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7" w:beforeLines="100" w:after="317" w:afterLines="100"/>
        <w:jc w:val="center"/>
        <w:rPr>
          <w:rFonts w:hint="eastAsia" w:ascii="仿宋" w:hAnsi="仿宋" w:eastAsia="仿宋" w:cs="仿宋"/>
          <w:b/>
          <w:bCs/>
          <w:color w:val="auto"/>
          <w:sz w:val="52"/>
          <w:szCs w:val="52"/>
          <w:lang w:val="en-US" w:eastAsia="zh-CN"/>
        </w:rPr>
      </w:pPr>
      <w:bookmarkStart w:id="0" w:name="_Hlk183703467"/>
    </w:p>
    <w:p>
      <w:pPr>
        <w:keepNext w:val="0"/>
        <w:keepLines w:val="0"/>
        <w:pageBreakBefore w:val="0"/>
        <w:widowControl w:val="0"/>
        <w:kinsoku/>
        <w:wordWrap/>
        <w:overflowPunct/>
        <w:topLinePunct w:val="0"/>
        <w:autoSpaceDE/>
        <w:autoSpaceDN/>
        <w:bidi w:val="0"/>
        <w:adjustRightInd/>
        <w:snapToGrid/>
        <w:spacing w:before="317" w:beforeLines="100" w:after="317" w:afterLines="100" w:line="700" w:lineRule="exact"/>
        <w:jc w:val="center"/>
        <w:textAlignment w:val="auto"/>
        <w:rPr>
          <w:rFonts w:hint="eastAsia" w:ascii="方正小标宋简体" w:hAnsi="方正小标宋简体" w:eastAsia="方正小标宋简体" w:cs="方正小标宋简体"/>
          <w:b/>
          <w:bCs/>
          <w:color w:val="auto"/>
          <w:sz w:val="52"/>
          <w:szCs w:val="52"/>
        </w:rPr>
      </w:pPr>
      <w:r>
        <w:rPr>
          <w:rFonts w:hint="eastAsia" w:ascii="方正小标宋简体" w:hAnsi="方正小标宋简体" w:eastAsia="方正小标宋简体" w:cs="方正小标宋简体"/>
          <w:b/>
          <w:bCs/>
          <w:color w:val="auto"/>
          <w:sz w:val="52"/>
          <w:szCs w:val="52"/>
          <w:lang w:val="en-US" w:eastAsia="zh-CN"/>
        </w:rPr>
        <w:t>金口河区</w:t>
      </w:r>
      <w:r>
        <w:rPr>
          <w:rFonts w:hint="eastAsia" w:ascii="方正小标宋简体" w:hAnsi="方正小标宋简体" w:eastAsia="方正小标宋简体" w:cs="方正小标宋简体"/>
          <w:b/>
          <w:bCs/>
          <w:color w:val="auto"/>
          <w:sz w:val="52"/>
          <w:szCs w:val="52"/>
        </w:rPr>
        <w:t>城市建筑垃圾</w:t>
      </w:r>
    </w:p>
    <w:p>
      <w:pPr>
        <w:keepNext w:val="0"/>
        <w:keepLines w:val="0"/>
        <w:pageBreakBefore w:val="0"/>
        <w:widowControl w:val="0"/>
        <w:kinsoku/>
        <w:wordWrap/>
        <w:overflowPunct/>
        <w:topLinePunct w:val="0"/>
        <w:autoSpaceDE/>
        <w:autoSpaceDN/>
        <w:bidi w:val="0"/>
        <w:adjustRightInd/>
        <w:snapToGrid/>
        <w:spacing w:before="317" w:beforeLines="100" w:after="317" w:afterLines="100" w:line="700" w:lineRule="exact"/>
        <w:jc w:val="center"/>
        <w:textAlignment w:val="auto"/>
        <w:rPr>
          <w:rFonts w:hint="eastAsia" w:ascii="方正小标宋简体" w:hAnsi="方正小标宋简体" w:eastAsia="方正小标宋简体" w:cs="方正小标宋简体"/>
          <w:b/>
          <w:bCs/>
          <w:color w:val="auto"/>
          <w:sz w:val="52"/>
          <w:szCs w:val="52"/>
          <w:lang w:eastAsia="zh-CN"/>
        </w:rPr>
      </w:pPr>
      <w:r>
        <w:rPr>
          <w:rFonts w:hint="eastAsia" w:ascii="方正小标宋简体" w:hAnsi="方正小标宋简体" w:eastAsia="方正小标宋简体" w:cs="方正小标宋简体"/>
          <w:b/>
          <w:bCs/>
          <w:color w:val="auto"/>
          <w:sz w:val="52"/>
          <w:szCs w:val="52"/>
        </w:rPr>
        <w:t>污染环境防治专项规划</w:t>
      </w:r>
    </w:p>
    <w:p>
      <w:pPr>
        <w:keepNext w:val="0"/>
        <w:keepLines w:val="0"/>
        <w:pageBreakBefore w:val="0"/>
        <w:widowControl w:val="0"/>
        <w:kinsoku/>
        <w:wordWrap/>
        <w:overflowPunct/>
        <w:topLinePunct w:val="0"/>
        <w:autoSpaceDE/>
        <w:autoSpaceDN/>
        <w:bidi w:val="0"/>
        <w:adjustRightInd/>
        <w:snapToGrid/>
        <w:spacing w:before="317" w:beforeLines="100" w:after="317" w:afterLines="100" w:line="700" w:lineRule="exact"/>
        <w:jc w:val="center"/>
        <w:textAlignment w:val="auto"/>
        <w:rPr>
          <w:rFonts w:hint="eastAsia" w:ascii="方正小标宋简体" w:hAnsi="方正小标宋简体" w:eastAsia="方正小标宋简体" w:cs="方正小标宋简体"/>
          <w:b/>
          <w:bCs/>
          <w:color w:val="auto"/>
          <w:sz w:val="52"/>
          <w:szCs w:val="52"/>
          <w:lang w:eastAsia="zh-CN"/>
        </w:rPr>
      </w:pPr>
      <w:r>
        <w:rPr>
          <w:rFonts w:hint="eastAsia" w:ascii="方正小标宋简体" w:hAnsi="方正小标宋简体" w:eastAsia="方正小标宋简体" w:cs="方正小标宋简体"/>
          <w:b/>
          <w:bCs/>
          <w:color w:val="auto"/>
          <w:sz w:val="52"/>
          <w:szCs w:val="52"/>
        </w:rPr>
        <w:t>（2025-2035）</w:t>
      </w:r>
      <w:bookmarkEnd w:id="0"/>
      <w:r>
        <w:rPr>
          <w:rFonts w:hint="eastAsia" w:ascii="方正小标宋简体" w:hAnsi="方正小标宋简体" w:eastAsia="方正小标宋简体" w:cs="方正小标宋简体"/>
          <w:b/>
          <w:bCs/>
          <w:color w:val="auto"/>
          <w:sz w:val="52"/>
          <w:szCs w:val="52"/>
          <w:lang w:eastAsia="zh-CN"/>
        </w:rPr>
        <w:t>（</w:t>
      </w:r>
      <w:r>
        <w:rPr>
          <w:rFonts w:hint="eastAsia" w:ascii="方正小标宋简体" w:hAnsi="方正小标宋简体" w:eastAsia="方正小标宋简体" w:cs="方正小标宋简体"/>
          <w:b/>
          <w:bCs/>
          <w:color w:val="auto"/>
          <w:sz w:val="52"/>
          <w:szCs w:val="52"/>
          <w:lang w:val="en-US" w:eastAsia="zh-CN"/>
        </w:rPr>
        <w:t>征求意见稿</w:t>
      </w:r>
      <w:bookmarkStart w:id="44" w:name="_GoBack"/>
      <w:bookmarkEnd w:id="44"/>
      <w:r>
        <w:rPr>
          <w:rFonts w:hint="eastAsia" w:ascii="方正小标宋简体" w:hAnsi="方正小标宋简体" w:eastAsia="方正小标宋简体" w:cs="方正小标宋简体"/>
          <w:b/>
          <w:bCs/>
          <w:color w:val="auto"/>
          <w:sz w:val="52"/>
          <w:szCs w:val="52"/>
          <w:lang w:eastAsia="zh-CN"/>
        </w:rPr>
        <w:t>）</w:t>
      </w:r>
    </w:p>
    <w:p>
      <w:pPr>
        <w:pStyle w:val="66"/>
        <w:rPr>
          <w:rFonts w:hint="eastAsia" w:ascii="仿宋" w:hAnsi="仿宋" w:eastAsia="仿宋" w:cs="仿宋"/>
          <w:snapToGrid w:val="0"/>
          <w:color w:val="auto"/>
          <w:sz w:val="36"/>
        </w:rPr>
      </w:pPr>
    </w:p>
    <w:p>
      <w:pPr>
        <w:pStyle w:val="66"/>
        <w:rPr>
          <w:rFonts w:hint="eastAsia" w:ascii="仿宋" w:hAnsi="仿宋" w:eastAsia="仿宋" w:cs="仿宋"/>
          <w:snapToGrid w:val="0"/>
          <w:color w:val="auto"/>
          <w:sz w:val="36"/>
        </w:rPr>
      </w:pPr>
    </w:p>
    <w:p>
      <w:pPr>
        <w:pStyle w:val="2"/>
        <w:rPr>
          <w:rFonts w:hint="eastAsia" w:ascii="仿宋" w:hAnsi="仿宋" w:eastAsia="仿宋" w:cs="仿宋"/>
          <w:b/>
          <w:color w:val="auto"/>
          <w:sz w:val="32"/>
        </w:rPr>
      </w:pPr>
    </w:p>
    <w:p>
      <w:pPr>
        <w:pStyle w:val="2"/>
        <w:rPr>
          <w:rFonts w:hint="eastAsia" w:ascii="仿宋" w:hAnsi="仿宋" w:eastAsia="仿宋" w:cs="仿宋"/>
          <w:b/>
          <w:color w:val="auto"/>
          <w:sz w:val="32"/>
        </w:rPr>
      </w:pPr>
    </w:p>
    <w:p>
      <w:pPr>
        <w:pStyle w:val="2"/>
        <w:rPr>
          <w:rFonts w:hint="eastAsia" w:ascii="仿宋" w:hAnsi="仿宋" w:eastAsia="仿宋" w:cs="仿宋"/>
          <w:b/>
          <w:color w:val="auto"/>
          <w:sz w:val="32"/>
        </w:rPr>
      </w:pPr>
    </w:p>
    <w:p>
      <w:pPr>
        <w:pStyle w:val="2"/>
        <w:rPr>
          <w:rFonts w:hint="eastAsia" w:ascii="仿宋" w:hAnsi="仿宋" w:eastAsia="仿宋" w:cs="仿宋"/>
          <w:b/>
          <w:color w:val="auto"/>
          <w:sz w:val="32"/>
        </w:rPr>
      </w:pPr>
    </w:p>
    <w:p>
      <w:pPr>
        <w:pStyle w:val="2"/>
        <w:rPr>
          <w:rFonts w:hint="eastAsia" w:ascii="仿宋" w:hAnsi="仿宋" w:eastAsia="仿宋" w:cs="仿宋"/>
          <w:b/>
          <w:color w:val="auto"/>
          <w:sz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36"/>
          <w:szCs w:val="36"/>
        </w:rPr>
      </w:pPr>
      <w:r>
        <w:rPr>
          <w:rFonts w:hint="eastAsia" w:ascii="仿宋" w:hAnsi="仿宋" w:eastAsia="仿宋" w:cs="仿宋"/>
          <w:b/>
          <w:bCs/>
          <w:color w:val="auto"/>
          <w:sz w:val="36"/>
          <w:szCs w:val="36"/>
          <w:lang w:val="en-US" w:eastAsia="zh-CN"/>
        </w:rPr>
        <w:t>乐山市金口河区综合行政执法局</w:t>
      </w:r>
    </w:p>
    <w:p>
      <w:pPr>
        <w:pStyle w:val="2"/>
        <w:rPr>
          <w:rFonts w:hint="eastAsia" w:ascii="仿宋" w:hAnsi="仿宋" w:eastAsia="仿宋" w:cs="仿宋"/>
        </w:rPr>
      </w:pPr>
    </w:p>
    <w:p>
      <w:pPr>
        <w:pStyle w:val="2"/>
        <w:rPr>
          <w:rFonts w:hint="eastAsia" w:ascii="仿宋" w:hAnsi="仿宋" w:eastAsia="仿宋" w:cs="仿宋"/>
        </w:rPr>
        <w:sectPr>
          <w:headerReference r:id="rId3" w:type="default"/>
          <w:footerReference r:id="rId4"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upperRoman" w:start="1"/>
          <w:cols w:space="0" w:num="1"/>
          <w:rtlGutter w:val="0"/>
          <w:docGrid w:type="lines" w:linePitch="330" w:charSpace="0"/>
        </w:sectPr>
      </w:pPr>
    </w:p>
    <w:p>
      <w:pPr>
        <w:keepNext w:val="0"/>
        <w:keepLines w:val="0"/>
        <w:pageBreakBefore w:val="0"/>
        <w:widowControl w:val="0"/>
        <w:kinsoku/>
        <w:wordWrap/>
        <w:overflowPunct/>
        <w:topLinePunct w:val="0"/>
        <w:autoSpaceDE/>
        <w:autoSpaceDN/>
        <w:bidi w:val="0"/>
        <w:adjustRightInd/>
        <w:snapToGrid/>
        <w:spacing w:before="158" w:beforeLines="50" w:after="158" w:afterLines="50" w:line="600" w:lineRule="exact"/>
        <w:jc w:val="center"/>
        <w:textAlignment w:val="auto"/>
        <w:rPr>
          <w:rFonts w:hint="default" w:ascii="Times New Roman" w:hAnsi="Times New Roman" w:eastAsia="仿宋" w:cs="Times New Roman"/>
          <w:color w:val="auto"/>
          <w:sz w:val="32"/>
          <w:szCs w:val="32"/>
          <w:lang w:val="en-US" w:eastAsia="zh-CN" w:bidi="ar-SA"/>
        </w:rPr>
      </w:pPr>
      <w:r>
        <w:rPr>
          <w:rFonts w:hint="default" w:ascii="Times New Roman" w:hAnsi="Times New Roman" w:eastAsia="仿宋" w:cs="Times New Roman"/>
          <w:b/>
          <w:bCs/>
          <w:color w:val="auto"/>
          <w:sz w:val="44"/>
          <w:szCs w:val="44"/>
        </w:rPr>
        <w:t>目录</w:t>
      </w: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color w:val="auto"/>
          <w:sz w:val="32"/>
          <w:szCs w:val="32"/>
          <w:lang w:val="en-US" w:eastAsia="zh-CN" w:bidi="ar-SA"/>
        </w:rPr>
        <w:instrText xml:space="preserve"> TOC \o "1-2" \h \z \u </w:instrText>
      </w:r>
      <w:r>
        <w:rPr>
          <w:rFonts w:hint="default" w:ascii="Times New Roman" w:hAnsi="Times New Roman" w:eastAsia="仿宋" w:cs="Times New Roman"/>
          <w:color w:val="auto"/>
          <w:sz w:val="32"/>
          <w:szCs w:val="32"/>
          <w:lang w:val="en-US" w:eastAsia="zh-CN" w:bidi="ar-SA"/>
        </w:rPr>
        <w:fldChar w:fldCharType="separate"/>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_Toc31469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第一章规划总则</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_Toc31469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_Toc13028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1.1</w:t>
      </w:r>
      <w:r>
        <w:rPr>
          <w:rFonts w:hint="default" w:ascii="Times New Roman" w:hAnsi="Times New Roman" w:eastAsia="仿宋" w:cs="Times New Roman"/>
          <w:sz w:val="32"/>
          <w:szCs w:val="32"/>
          <w:lang w:val="en-US" w:eastAsia="zh-CN"/>
        </w:rPr>
        <w:t>规划背景</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_Toc13028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_Toc15847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1.2</w:t>
      </w:r>
      <w:r>
        <w:rPr>
          <w:rFonts w:hint="default" w:ascii="Times New Roman" w:hAnsi="Times New Roman" w:eastAsia="仿宋" w:cs="Times New Roman"/>
          <w:sz w:val="32"/>
          <w:szCs w:val="32"/>
          <w:lang w:val="en-US" w:eastAsia="zh-CN"/>
        </w:rPr>
        <w:t>规划目的</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_Toc15847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4</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_Toc9240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1.3</w:t>
      </w:r>
      <w:r>
        <w:rPr>
          <w:rFonts w:hint="default" w:ascii="Times New Roman" w:hAnsi="Times New Roman" w:eastAsia="仿宋" w:cs="Times New Roman"/>
          <w:sz w:val="32"/>
          <w:szCs w:val="32"/>
          <w:lang w:val="en-US" w:eastAsia="zh-CN"/>
        </w:rPr>
        <w:t>指导思想</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_Toc9240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_Toc15366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1.4</w:t>
      </w:r>
      <w:r>
        <w:rPr>
          <w:rFonts w:hint="default" w:ascii="Times New Roman" w:hAnsi="Times New Roman" w:eastAsia="仿宋" w:cs="Times New Roman"/>
          <w:sz w:val="32"/>
          <w:szCs w:val="32"/>
          <w:lang w:val="en-US" w:eastAsia="zh-CN"/>
        </w:rPr>
        <w:t>规划范围</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_Toc15366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_Toc13353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1.5</w:t>
      </w:r>
      <w:r>
        <w:rPr>
          <w:rFonts w:hint="default" w:ascii="Times New Roman" w:hAnsi="Times New Roman" w:eastAsia="仿宋" w:cs="Times New Roman"/>
          <w:sz w:val="32"/>
          <w:szCs w:val="32"/>
          <w:lang w:val="en-US" w:eastAsia="zh-CN"/>
        </w:rPr>
        <w:t>规划年限</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_Toc13353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_Toc28074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1.6</w:t>
      </w:r>
      <w:r>
        <w:rPr>
          <w:rFonts w:hint="default" w:ascii="Times New Roman" w:hAnsi="Times New Roman" w:eastAsia="仿宋" w:cs="Times New Roman"/>
          <w:sz w:val="32"/>
          <w:szCs w:val="32"/>
          <w:lang w:val="en-US" w:eastAsia="zh-CN"/>
        </w:rPr>
        <w:t>规划依据</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_Toc28074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_Toc30298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sz w:val="32"/>
          <w:szCs w:val="32"/>
          <w:lang w:val="en-US" w:eastAsia="zh-CN" w:bidi="ar-SA"/>
        </w:rPr>
        <w:t>1.7</w:t>
      </w:r>
      <w:r>
        <w:rPr>
          <w:rFonts w:hint="default" w:ascii="Times New Roman" w:hAnsi="Times New Roman" w:eastAsia="仿宋" w:cs="Times New Roman"/>
          <w:sz w:val="32"/>
          <w:szCs w:val="32"/>
          <w:lang w:val="en-US" w:eastAsia="zh-CN"/>
        </w:rPr>
        <w:t>规划原则</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_Toc30298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10</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_Toc11236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第二章规划目标与指标</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_Toc11236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_Toc3817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2.1规划目标</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_Toc3817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_Toc17314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2.2规划对象</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_Toc17314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_Toc4619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2.3规划指标</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_Toc4619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14</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_Toc3904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第三章区域概况及相关规划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_Toc3904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17</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_Toc5062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3.1自然条件</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_Toc5062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17</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_Toc12662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3.2经济发展</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_Toc12662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21</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_Toc14221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3.3人口数量</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_Toc14221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21</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_Toc9480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3.4建筑业发展状况</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_Toc9480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22</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_Toc17865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3.5相关规划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_Toc17865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22</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_Toc11935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第四章建筑垃圾治理现状概况及分析</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_Toc11935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_Toc16060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4.1产生量预测</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_Toc16060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_Toc27313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第五章收集运输体系</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_Toc27313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_Toc23902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5.1分类收集规划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_Toc23902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_Toc16229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5.2运输线路规划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_Toc16229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38</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_Toc21018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第六章处置利用体系规划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_Toc21018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43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_Toc31440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6.1处置规划原则</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_Toc31440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43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_Toc31904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6.2处置设施规划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_Toc31904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44</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_Toc26634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6.3资源化利用设施规划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_Toc26634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47</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_Toc25898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第七章污染环境防治管控规划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_Toc25898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51</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_Toc14820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7.1管控重点空间</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_Toc14820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51</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_Toc30935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7.2环境污染源及风险分析</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_Toc30935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51</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_Toc24645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7.3管控措施</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_Toc24645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53</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_Toc27161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第八章管理体系规划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_Toc27161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_Toc17782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8.1建筑垃圾全过程监管制度</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_Toc17782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_Toc23871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8.2运营模式</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_Toc23871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_Toc6898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8.3全过程管理体系建设</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_Toc6898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56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_Toc2723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第九章近期建设规划</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_Toc2723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60</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_Toc22885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9.1近期建设目标</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_Toc22885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60</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_Toc2828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9.2存量治理</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_Toc2828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60</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_Toc30215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9.3收集运输设施建设</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_Toc30215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62</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29"/>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_Toc26677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sz w:val="32"/>
          <w:szCs w:val="32"/>
          <w:lang w:val="en-US" w:eastAsia="zh-CN"/>
        </w:rPr>
        <w:t>第十章保障措施</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_Toc26677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65</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_Toc8059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10.1建立工作机制</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_Toc8059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65</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_Toc6826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10.2加强要素保障</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_Toc6826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65</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pStyle w:val="33"/>
        <w:keepNext w:val="0"/>
        <w:keepLines w:val="0"/>
        <w:pageBreakBefore w:val="0"/>
        <w:widowControl w:val="0"/>
        <w:tabs>
          <w:tab w:val="right" w:leader="dot" w:pos="7268"/>
        </w:tabs>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sz w:val="32"/>
          <w:szCs w:val="32"/>
        </w:rPr>
      </w:pPr>
      <w:r>
        <w:rPr>
          <w:rFonts w:hint="default" w:ascii="Times New Roman" w:hAnsi="Times New Roman" w:eastAsia="仿宋" w:cs="Times New Roman"/>
          <w:color w:val="auto"/>
          <w:sz w:val="32"/>
          <w:szCs w:val="32"/>
          <w:lang w:val="en-US" w:eastAsia="zh-CN" w:bidi="ar-SA"/>
        </w:rPr>
        <w:fldChar w:fldCharType="begin"/>
      </w:r>
      <w:r>
        <w:rPr>
          <w:rFonts w:hint="default" w:ascii="Times New Roman" w:hAnsi="Times New Roman" w:eastAsia="仿宋" w:cs="Times New Roman"/>
          <w:sz w:val="32"/>
          <w:szCs w:val="32"/>
          <w:lang w:val="en-US" w:eastAsia="zh-CN" w:bidi="ar-SA"/>
        </w:rPr>
        <w:instrText xml:space="preserve"> HYPERLINK \l _Toc9930 </w:instrText>
      </w:r>
      <w:r>
        <w:rPr>
          <w:rFonts w:hint="default" w:ascii="Times New Roman" w:hAnsi="Times New Roman" w:eastAsia="仿宋" w:cs="Times New Roman"/>
          <w:sz w:val="32"/>
          <w:szCs w:val="32"/>
          <w:lang w:val="en-US" w:eastAsia="zh-CN" w:bidi="ar-SA"/>
        </w:rPr>
        <w:fldChar w:fldCharType="separate"/>
      </w:r>
      <w:r>
        <w:rPr>
          <w:rFonts w:hint="default" w:ascii="Times New Roman" w:hAnsi="Times New Roman" w:eastAsia="仿宋" w:cs="Times New Roman"/>
          <w:bCs/>
          <w:kern w:val="2"/>
          <w:sz w:val="32"/>
          <w:szCs w:val="32"/>
          <w:lang w:val="en-US" w:eastAsia="zh-CN"/>
        </w:rPr>
        <w:t>10.3建立监管机制</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_Toc9930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66</w:t>
      </w:r>
      <w:r>
        <w:rPr>
          <w:rFonts w:hint="default" w:ascii="Times New Roman" w:hAnsi="Times New Roman" w:eastAsia="仿宋" w:cs="Times New Roman"/>
          <w:sz w:val="32"/>
          <w:szCs w:val="32"/>
        </w:rPr>
        <w:fldChar w:fldCharType="end"/>
      </w:r>
      <w:r>
        <w:rPr>
          <w:rFonts w:hint="default" w:ascii="Times New Roman" w:hAnsi="Times New Roman" w:eastAsia="仿宋" w:cs="Times New Roman"/>
          <w:color w:val="auto"/>
          <w:sz w:val="32"/>
          <w:szCs w:val="32"/>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158" w:beforeLines="50" w:after="158" w:afterLines="50" w:line="600" w:lineRule="exact"/>
        <w:jc w:val="center"/>
        <w:textAlignment w:val="auto"/>
        <w:rPr>
          <w:rFonts w:hint="eastAsia" w:ascii="仿宋" w:hAnsi="仿宋" w:eastAsia="仿宋" w:cs="仿宋"/>
          <w:color w:val="auto"/>
        </w:rPr>
      </w:pPr>
      <w:r>
        <w:rPr>
          <w:rFonts w:hint="default" w:ascii="Times New Roman" w:hAnsi="Times New Roman" w:eastAsia="仿宋" w:cs="Times New Roman"/>
          <w:color w:val="auto"/>
          <w:sz w:val="32"/>
          <w:szCs w:val="32"/>
          <w:lang w:val="en-US" w:eastAsia="zh-CN" w:bidi="ar-SA"/>
        </w:rPr>
        <w:fldChar w:fldCharType="end"/>
      </w:r>
    </w:p>
    <w:p>
      <w:pPr>
        <w:pStyle w:val="66"/>
        <w:rPr>
          <w:rFonts w:hint="eastAsia" w:ascii="仿宋" w:hAnsi="仿宋" w:eastAsia="仿宋" w:cs="仿宋"/>
          <w:snapToGrid w:val="0"/>
          <w:color w:val="auto"/>
          <w:spacing w:val="-20"/>
        </w:rPr>
        <w:sectPr>
          <w:headerReference r:id="rId5" w:type="default"/>
          <w:footerReference r:id="rId6"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upperRoman" w:start="1"/>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rPr>
      </w:pPr>
      <w:bookmarkStart w:id="1" w:name="_Toc31469"/>
      <w:r>
        <w:rPr>
          <w:rFonts w:hint="eastAsia" w:ascii="方正小标宋简体" w:hAnsi="方正小标宋简体" w:eastAsia="方正小标宋简体" w:cs="方正小标宋简体"/>
          <w:sz w:val="44"/>
          <w:szCs w:val="44"/>
          <w:lang w:val="en-US" w:eastAsia="zh-CN"/>
        </w:rPr>
        <w:t>第一章规划总则</w:t>
      </w:r>
      <w:bookmarkEnd w:id="1"/>
    </w:p>
    <w:p>
      <w:pPr>
        <w:pStyle w:val="4"/>
        <w:numPr>
          <w:ilvl w:val="1"/>
          <w:numId w:val="0"/>
        </w:numPr>
        <w:ind w:left="575" w:leftChars="0" w:hanging="575" w:firstLineChars="0"/>
        <w:rPr>
          <w:rFonts w:hint="eastAsia" w:ascii="黑体" w:hAnsi="黑体" w:eastAsia="黑体" w:cs="黑体"/>
          <w:color w:val="auto"/>
          <w:sz w:val="32"/>
          <w:szCs w:val="32"/>
        </w:rPr>
      </w:pPr>
      <w:bookmarkStart w:id="2" w:name="_Toc13028"/>
      <w:r>
        <w:rPr>
          <w:rFonts w:hint="eastAsia" w:ascii="黑体" w:hAnsi="黑体" w:eastAsia="黑体" w:cs="黑体"/>
          <w:b/>
          <w:bCs/>
          <w:color w:val="auto"/>
          <w:sz w:val="32"/>
          <w:szCs w:val="32"/>
          <w:lang w:val="en-US" w:eastAsia="zh-CN" w:bidi="ar-SA"/>
        </w:rPr>
        <w:t>1.1</w:t>
      </w:r>
      <w:r>
        <w:rPr>
          <w:rFonts w:hint="eastAsia" w:ascii="黑体" w:hAnsi="黑体" w:eastAsia="黑体" w:cs="黑体"/>
          <w:color w:val="auto"/>
          <w:sz w:val="32"/>
          <w:szCs w:val="32"/>
          <w:lang w:val="en-US" w:eastAsia="zh-CN"/>
        </w:rPr>
        <w:t>规划背景</w:t>
      </w:r>
      <w:bookmarkEnd w:id="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多年来，金口河区一直十分重视建筑垃圾管理，将建筑垃圾建设管理纳入区政府重点工作、城市品质提升以及生态环境保护重点任务清单。但随着金口河区城镇化的推进、污染防治攻坚战、“老城区”改造等项目的启动，建筑垃圾产生量日益增加，管理工作难度加大，面临许多新问题、新挑战。如：建筑垃圾处理能力不足、处理方式粗放、处理设施运营管理不规范、违法倾倒问题时有发生、资源化产品推广应用力度不够等。建筑垃圾的处理不当，不仅占用大量土地资源，还可能对生态环境造成严重影响，如土壤污染、水体污染等。同时建筑垃圾排放、运输、综合利用、消纳等过程中伴随的日益严重的环境污染，对金口河区生态环境、市容环境卫生以及交通运输带来巨大压力。</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全面加强生态环境保护坚决打好污染防治攻坚战的意见》《中华人民共和国国民经济和社会发展第十四个五年规划和2035年远景目标纲要》《四川省城市建筑垃圾管理办法》等要求，抓好中央第三生态环境保护督察组反馈问题整改工作，切实解决目前金口河区城市建筑垃圾乱堆乱倒问题，全面提升我区建筑垃圾污染环境防治工作水平；也是积极响应四川省住房和城乡建设厅等八部门联合印发了《四川省城市建筑垃圾处置及资源化利用行动方案》（川建行规〔2024〕12号）要求：到2024年底，各市（州）完成制定或修订本地区城市建筑垃圾污染环境防治工作规划，城市建筑垃圾全过程管理制度更加健全，产生、运输、处置核准进一步规范。到2025年底，全省基本建立城市建筑垃圾治理体系，全过程管理制度有效落实，地级及以上城市建筑垃圾资源化处理能力满足实际需求，县级城市具有规范的建筑垃圾处置场所，城市建筑垃圾综合利用率达到50%以上。</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在此基础上乐山市金口河区综合行政执法局特编制《金口河区城市建筑垃圾污染环境防治工作专项规划（2025—2035年）》。</w:t>
      </w:r>
    </w:p>
    <w:p>
      <w:pPr>
        <w:pStyle w:val="4"/>
        <w:numPr>
          <w:ilvl w:val="1"/>
          <w:numId w:val="0"/>
        </w:numPr>
        <w:ind w:left="575" w:leftChars="0" w:hanging="575" w:firstLineChars="0"/>
        <w:rPr>
          <w:rFonts w:hint="default" w:ascii="黑体" w:hAnsi="黑体" w:eastAsia="黑体" w:cs="黑体"/>
          <w:color w:val="auto"/>
          <w:sz w:val="32"/>
          <w:szCs w:val="32"/>
          <w:lang w:val="en-US" w:eastAsia="zh-CN"/>
        </w:rPr>
      </w:pPr>
      <w:bookmarkStart w:id="3" w:name="_Toc15847"/>
      <w:r>
        <w:rPr>
          <w:rFonts w:hint="default" w:ascii="黑体" w:hAnsi="黑体" w:eastAsia="黑体" w:cs="黑体"/>
          <w:color w:val="auto"/>
          <w:sz w:val="32"/>
          <w:szCs w:val="32"/>
          <w:lang w:val="en-US" w:eastAsia="zh-CN"/>
        </w:rPr>
        <w:t>1.2规划目的</w:t>
      </w:r>
      <w:bookmarkEnd w:id="3"/>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本规划旨在调查金口河中心城区范围包括建筑垃圾源头减量、排放、贮存、运输、处理、管理体制等基本情况，通过以上基础资料的收集、整理和分析研究，合理预测建筑垃圾产量及处理需求，完善建筑垃圾收运系统，规划建筑垃圾处理处置方式，为集中处置设施选址布点，为建筑垃圾管理体制的调整、健全提出指导性建议，提高建筑垃圾资源化利用率，促进经济社会高质量发展和生态环境保护。</w:t>
      </w:r>
    </w:p>
    <w:p>
      <w:pPr>
        <w:pStyle w:val="4"/>
        <w:numPr>
          <w:ilvl w:val="1"/>
          <w:numId w:val="0"/>
        </w:numPr>
        <w:ind w:left="575" w:leftChars="0" w:hanging="575" w:firstLineChars="0"/>
        <w:rPr>
          <w:rFonts w:hint="default" w:ascii="黑体" w:hAnsi="黑体" w:eastAsia="黑体" w:cs="黑体"/>
          <w:color w:val="auto"/>
          <w:sz w:val="32"/>
          <w:szCs w:val="32"/>
          <w:lang w:val="en-US" w:eastAsia="zh-CN"/>
        </w:rPr>
      </w:pPr>
      <w:bookmarkStart w:id="4" w:name="_Toc9240"/>
      <w:r>
        <w:rPr>
          <w:rFonts w:hint="default" w:ascii="黑体" w:hAnsi="黑体" w:eastAsia="黑体" w:cs="黑体"/>
          <w:color w:val="auto"/>
          <w:sz w:val="32"/>
          <w:szCs w:val="32"/>
          <w:lang w:val="en-US" w:eastAsia="zh-CN"/>
        </w:rPr>
        <w:t>1.3指导思想</w:t>
      </w:r>
      <w:bookmarkEnd w:id="4"/>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全面贯彻习近平生态文明思想，深入贯彻落实党的二十大关于“加快构建废弃物循环利用体系”的战略部署，遵循减量化、再利用、资源化的循环经济理念，以提高资源利用效率为目标，结合金口河区实际，以建筑垃圾减量化、资源化、无害化、产业化为导向，建立区域统筹、布局合理、技术先进、资源得到有效利用的建筑垃圾治理系统，加快完善建筑垃圾源头减量、分类收集、贮存运输、处置利用的全过程监管体系，改善市容市貌和环境卫生，保护生态环境，进一步提升城市环境，实现建筑垃圾处理经济效益、生态效益和社会效益的统一。</w:t>
      </w:r>
    </w:p>
    <w:p>
      <w:pPr>
        <w:pStyle w:val="4"/>
        <w:numPr>
          <w:ilvl w:val="1"/>
          <w:numId w:val="0"/>
        </w:numPr>
        <w:ind w:left="575" w:leftChars="0" w:hanging="575" w:firstLineChars="0"/>
        <w:rPr>
          <w:rFonts w:hint="eastAsia" w:ascii="黑体" w:hAnsi="黑体" w:eastAsia="黑体" w:cs="黑体"/>
          <w:color w:val="auto"/>
          <w:sz w:val="32"/>
          <w:szCs w:val="32"/>
          <w:lang w:val="en-US" w:eastAsia="zh-CN"/>
        </w:rPr>
      </w:pPr>
      <w:bookmarkStart w:id="5" w:name="_Toc15366"/>
      <w:r>
        <w:rPr>
          <w:rFonts w:hint="eastAsia" w:ascii="黑体" w:hAnsi="黑体" w:eastAsia="黑体" w:cs="黑体"/>
          <w:b/>
          <w:bCs/>
          <w:color w:val="auto"/>
          <w:sz w:val="32"/>
          <w:szCs w:val="32"/>
          <w:lang w:val="en-US" w:eastAsia="zh-CN" w:bidi="ar-SA"/>
        </w:rPr>
        <w:t>1.4</w:t>
      </w:r>
      <w:r>
        <w:rPr>
          <w:rFonts w:hint="eastAsia" w:ascii="黑体" w:hAnsi="黑体" w:eastAsia="黑体" w:cs="黑体"/>
          <w:color w:val="auto"/>
          <w:sz w:val="32"/>
          <w:szCs w:val="32"/>
          <w:lang w:val="en-US" w:eastAsia="zh-CN"/>
        </w:rPr>
        <w:t>规划范围</w:t>
      </w:r>
      <w:bookmarkEnd w:id="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本次规划确定的规划范围为金口河区中心城区的城镇空间，金口河区中心城区范围包括永和镇、和平彝族乡部分城镇开发边界范围，总面积约2.26平方千米。</w:t>
      </w:r>
    </w:p>
    <w:p>
      <w:pPr>
        <w:pStyle w:val="4"/>
        <w:numPr>
          <w:ilvl w:val="1"/>
          <w:numId w:val="0"/>
        </w:numPr>
        <w:ind w:left="575" w:leftChars="0" w:hanging="575" w:firstLineChars="0"/>
        <w:rPr>
          <w:rFonts w:hint="default" w:ascii="黑体" w:hAnsi="黑体" w:eastAsia="黑体" w:cs="黑体"/>
          <w:b/>
          <w:bCs/>
          <w:color w:val="auto"/>
          <w:sz w:val="32"/>
          <w:szCs w:val="32"/>
          <w:lang w:val="en-US" w:eastAsia="zh-CN" w:bidi="ar-SA"/>
        </w:rPr>
      </w:pPr>
      <w:bookmarkStart w:id="6" w:name="_Toc13353"/>
      <w:r>
        <w:rPr>
          <w:rFonts w:hint="default" w:ascii="黑体" w:hAnsi="黑体" w:eastAsia="黑体" w:cs="黑体"/>
          <w:b/>
          <w:bCs/>
          <w:color w:val="auto"/>
          <w:sz w:val="32"/>
          <w:szCs w:val="32"/>
          <w:lang w:val="en-US" w:eastAsia="zh-CN" w:bidi="ar-SA"/>
        </w:rPr>
        <w:t>1.5规划年限</w:t>
      </w:r>
      <w:bookmarkEnd w:id="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规划期限：2025—2035年。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其中，近期规划2025—2030年，远期规划2031—2035年。</w:t>
      </w:r>
    </w:p>
    <w:p>
      <w:pPr>
        <w:pStyle w:val="4"/>
        <w:numPr>
          <w:ilvl w:val="1"/>
          <w:numId w:val="0"/>
        </w:numPr>
        <w:ind w:left="575" w:leftChars="0" w:hanging="575" w:firstLineChars="0"/>
        <w:rPr>
          <w:rFonts w:hint="default" w:ascii="黑体" w:hAnsi="黑体" w:eastAsia="黑体" w:cs="黑体"/>
          <w:b/>
          <w:bCs/>
          <w:color w:val="auto"/>
          <w:sz w:val="32"/>
          <w:szCs w:val="32"/>
          <w:lang w:val="en-US" w:eastAsia="zh-CN" w:bidi="ar-SA"/>
        </w:rPr>
      </w:pPr>
      <w:bookmarkStart w:id="7" w:name="_Toc28074"/>
      <w:r>
        <w:rPr>
          <w:rFonts w:hint="default" w:ascii="黑体" w:hAnsi="黑体" w:eastAsia="黑体" w:cs="黑体"/>
          <w:b/>
          <w:bCs/>
          <w:color w:val="auto"/>
          <w:sz w:val="32"/>
          <w:szCs w:val="32"/>
          <w:lang w:val="en-US" w:eastAsia="zh-CN" w:bidi="ar-SA"/>
        </w:rPr>
        <w:t>1.6规划依据</w:t>
      </w:r>
      <w:bookmarkEnd w:id="7"/>
      <w:r>
        <w:rPr>
          <w:rFonts w:hint="default" w:ascii="黑体" w:hAnsi="黑体" w:eastAsia="黑体" w:cs="黑体"/>
          <w:b/>
          <w:bCs/>
          <w:color w:val="auto"/>
          <w:sz w:val="32"/>
          <w:szCs w:val="32"/>
          <w:lang w:val="en-US" w:eastAsia="zh-CN" w:bidi="ar-SA"/>
        </w:rPr>
        <w:t xml:space="preserve"> </w:t>
      </w:r>
    </w:p>
    <w:p>
      <w:pPr>
        <w:pStyle w:val="4"/>
        <w:numPr>
          <w:ilvl w:val="1"/>
          <w:numId w:val="0"/>
        </w:numPr>
        <w:ind w:left="575" w:leftChars="0" w:hanging="575" w:firstLineChars="0"/>
        <w:rPr>
          <w:rFonts w:hint="default" w:ascii="黑体" w:hAnsi="黑体" w:eastAsia="黑体" w:cs="黑体"/>
          <w:b/>
          <w:bCs/>
          <w:color w:val="auto"/>
          <w:sz w:val="32"/>
          <w:szCs w:val="32"/>
          <w:lang w:val="en-US" w:eastAsia="zh-CN" w:bidi="ar-SA"/>
        </w:rPr>
      </w:pPr>
      <w:r>
        <w:rPr>
          <w:rFonts w:hint="default" w:ascii="黑体" w:hAnsi="黑体" w:eastAsia="黑体" w:cs="黑体"/>
          <w:b/>
          <w:bCs/>
          <w:color w:val="auto"/>
          <w:sz w:val="32"/>
          <w:szCs w:val="32"/>
          <w:lang w:val="en-US" w:eastAsia="zh-CN" w:bidi="ar-SA"/>
        </w:rPr>
        <w:t>1.6.1国家有关法律法规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w:t>
      </w:r>
      <w:r>
        <w:rPr>
          <w:rFonts w:hint="default" w:ascii="Times New Roman" w:hAnsi="Times New Roman" w:eastAsia="仿宋" w:cs="Times New Roman"/>
          <w:color w:val="auto"/>
          <w:spacing w:val="-2"/>
          <w:sz w:val="32"/>
          <w:szCs w:val="32"/>
          <w:lang w:val="en-US" w:eastAsia="zh-CN"/>
        </w:rPr>
        <w:t>《城市建筑垃圾管理规定》（建设部﹝2005﹞第139号令）；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2.</w:t>
      </w:r>
      <w:r>
        <w:rPr>
          <w:rFonts w:hint="default" w:ascii="Times New Roman" w:hAnsi="Times New Roman" w:eastAsia="仿宋" w:cs="Times New Roman"/>
          <w:color w:val="auto"/>
          <w:spacing w:val="-2"/>
          <w:sz w:val="32"/>
          <w:szCs w:val="32"/>
          <w:lang w:val="en-US" w:eastAsia="zh-CN"/>
        </w:rPr>
        <w:t>《中华人民共和国环境保护法》（2014年修订）；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3.</w:t>
      </w:r>
      <w:r>
        <w:rPr>
          <w:rFonts w:hint="default" w:ascii="Times New Roman" w:hAnsi="Times New Roman" w:eastAsia="仿宋" w:cs="Times New Roman"/>
          <w:color w:val="auto"/>
          <w:spacing w:val="-2"/>
          <w:sz w:val="32"/>
          <w:szCs w:val="32"/>
          <w:lang w:val="en-US" w:eastAsia="zh-CN"/>
        </w:rPr>
        <w:t>《中共中央国务院关于进一步加强城市规划建设管理工作的若干意见》（中发〔2016〕6号）；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4.</w:t>
      </w:r>
      <w:r>
        <w:rPr>
          <w:rFonts w:hint="default" w:ascii="Times New Roman" w:hAnsi="Times New Roman" w:eastAsia="仿宋" w:cs="Times New Roman"/>
          <w:color w:val="auto"/>
          <w:spacing w:val="-2"/>
          <w:sz w:val="32"/>
          <w:szCs w:val="32"/>
          <w:lang w:val="en-US" w:eastAsia="zh-CN"/>
        </w:rPr>
        <w:t>《建筑垃圾资源化利用行业规范条件公告管理暂行办法》（工业和信息化部、住房城乡建设部公告2016年第71号）；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5.</w:t>
      </w:r>
      <w:r>
        <w:rPr>
          <w:rFonts w:hint="default" w:ascii="Times New Roman" w:hAnsi="Times New Roman" w:eastAsia="仿宋" w:cs="Times New Roman"/>
          <w:color w:val="auto"/>
          <w:spacing w:val="-2"/>
          <w:sz w:val="32"/>
          <w:szCs w:val="32"/>
          <w:lang w:val="en-US" w:eastAsia="zh-CN"/>
        </w:rPr>
        <w:t>《城市市容和环境卫生管理条例》（2017年修订）；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6.</w:t>
      </w:r>
      <w:r>
        <w:rPr>
          <w:rFonts w:hint="default" w:ascii="Times New Roman" w:hAnsi="Times New Roman" w:eastAsia="仿宋" w:cs="Times New Roman"/>
          <w:color w:val="auto"/>
          <w:spacing w:val="-2"/>
          <w:sz w:val="32"/>
          <w:szCs w:val="32"/>
          <w:lang w:val="en-US" w:eastAsia="zh-CN"/>
        </w:rPr>
        <w:t>《中华人民共和国大气污染防治法》（2018年修订）；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7.</w:t>
      </w:r>
      <w:r>
        <w:rPr>
          <w:rFonts w:hint="default" w:ascii="Times New Roman" w:hAnsi="Times New Roman" w:eastAsia="仿宋" w:cs="Times New Roman"/>
          <w:color w:val="auto"/>
          <w:spacing w:val="-2"/>
          <w:sz w:val="32"/>
          <w:szCs w:val="32"/>
          <w:lang w:val="en-US" w:eastAsia="zh-CN"/>
        </w:rPr>
        <w:t>《中华人民共和国环境影响评价法》（2018年修订）；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8.</w:t>
      </w:r>
      <w:r>
        <w:rPr>
          <w:rFonts w:hint="default" w:ascii="Times New Roman" w:hAnsi="Times New Roman" w:eastAsia="仿宋" w:cs="Times New Roman"/>
          <w:color w:val="auto"/>
          <w:spacing w:val="-2"/>
          <w:sz w:val="32"/>
          <w:szCs w:val="32"/>
          <w:lang w:val="en-US" w:eastAsia="zh-CN"/>
        </w:rPr>
        <w:t>《住房城乡建设部关于开展建筑垃圾治理试点工作的通知》（建城函〔2018〕65号）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9.</w:t>
      </w:r>
      <w:r>
        <w:rPr>
          <w:rFonts w:hint="default" w:ascii="Times New Roman" w:hAnsi="Times New Roman" w:eastAsia="仿宋" w:cs="Times New Roman"/>
          <w:color w:val="auto"/>
          <w:spacing w:val="-2"/>
          <w:sz w:val="32"/>
          <w:szCs w:val="32"/>
          <w:lang w:val="en-US" w:eastAsia="zh-CN"/>
        </w:rPr>
        <w:t>《国务院办公厅关于印发“无废城市”建设试点工作方案的通知》（国办发〔2018〕128号）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10.</w:t>
      </w:r>
      <w:r>
        <w:rPr>
          <w:rFonts w:hint="default" w:ascii="Times New Roman" w:hAnsi="Times New Roman" w:eastAsia="仿宋" w:cs="Times New Roman"/>
          <w:color w:val="auto"/>
          <w:spacing w:val="-2"/>
          <w:sz w:val="32"/>
          <w:szCs w:val="32"/>
          <w:lang w:val="en-US" w:eastAsia="zh-CN"/>
        </w:rPr>
        <w:t>《中华人民共和国城乡规划法》（2019年修订）；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11.</w:t>
      </w:r>
      <w:r>
        <w:rPr>
          <w:rFonts w:hint="default" w:ascii="Times New Roman" w:hAnsi="Times New Roman" w:eastAsia="仿宋" w:cs="Times New Roman"/>
          <w:color w:val="auto"/>
          <w:spacing w:val="-2"/>
          <w:sz w:val="32"/>
          <w:szCs w:val="32"/>
          <w:lang w:val="en-US" w:eastAsia="zh-CN"/>
        </w:rPr>
        <w:t>《中华人民共和国土地管理法》（2019年修正）；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left"/>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12.</w:t>
      </w:r>
      <w:r>
        <w:rPr>
          <w:rFonts w:hint="default" w:ascii="Times New Roman" w:hAnsi="Times New Roman" w:eastAsia="仿宋" w:cs="Times New Roman"/>
          <w:color w:val="auto"/>
          <w:spacing w:val="-2"/>
          <w:sz w:val="32"/>
          <w:szCs w:val="32"/>
          <w:lang w:val="en-US" w:eastAsia="zh-CN"/>
        </w:rPr>
        <w:t>《中华人民共和国固体废物污染环境防治法》（2020年修订）；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left"/>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13.</w:t>
      </w:r>
      <w:r>
        <w:rPr>
          <w:rFonts w:hint="default" w:ascii="Times New Roman" w:hAnsi="Times New Roman" w:eastAsia="仿宋" w:cs="Times New Roman"/>
          <w:color w:val="auto"/>
          <w:spacing w:val="-2"/>
          <w:sz w:val="32"/>
          <w:szCs w:val="32"/>
          <w:lang w:val="en-US" w:eastAsia="zh-CN"/>
        </w:rPr>
        <w:t>《关于推进建筑垃圾减量化的指导意见》（建质〔2022〕46号）；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14.</w:t>
      </w:r>
      <w:r>
        <w:rPr>
          <w:rFonts w:hint="default" w:ascii="Times New Roman" w:hAnsi="Times New Roman" w:eastAsia="仿宋" w:cs="Times New Roman"/>
          <w:color w:val="auto"/>
          <w:spacing w:val="-2"/>
          <w:sz w:val="32"/>
          <w:szCs w:val="32"/>
          <w:lang w:val="en-US" w:eastAsia="zh-CN"/>
        </w:rPr>
        <w:t>《关于“十四五”大宗固体废弃物综合利用的指导意见》（发改环资〔2021〕381号）；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15.</w:t>
      </w:r>
      <w:r>
        <w:rPr>
          <w:rFonts w:hint="default" w:ascii="Times New Roman" w:hAnsi="Times New Roman" w:eastAsia="仿宋" w:cs="Times New Roman"/>
          <w:color w:val="auto"/>
          <w:spacing w:val="-2"/>
          <w:sz w:val="32"/>
          <w:szCs w:val="32"/>
          <w:lang w:val="en-US" w:eastAsia="zh-CN"/>
        </w:rPr>
        <w:t>《“十四五”生态保护监管规划》（环生态〔2022〕15号）；</w:t>
      </w:r>
    </w:p>
    <w:p>
      <w:pPr>
        <w:pStyle w:val="5"/>
        <w:numPr>
          <w:ilvl w:val="2"/>
          <w:numId w:val="0"/>
        </w:numPr>
        <w:ind w:left="720" w:leftChars="0" w:hanging="720" w:firstLineChars="0"/>
        <w:rPr>
          <w:rFonts w:hint="default" w:ascii="黑体" w:hAnsi="黑体" w:eastAsia="黑体" w:cs="黑体"/>
          <w:b/>
          <w:bCs/>
          <w:color w:val="auto"/>
          <w:sz w:val="32"/>
          <w:szCs w:val="32"/>
          <w:lang w:val="en-US" w:eastAsia="zh-CN" w:bidi="ar-SA"/>
        </w:rPr>
      </w:pPr>
      <w:r>
        <w:rPr>
          <w:rFonts w:hint="default" w:ascii="黑体" w:hAnsi="黑体" w:eastAsia="黑体" w:cs="黑体"/>
          <w:b/>
          <w:bCs/>
          <w:color w:val="auto"/>
          <w:sz w:val="32"/>
          <w:szCs w:val="32"/>
          <w:lang w:val="en-US" w:eastAsia="zh-CN" w:bidi="ar-SA"/>
        </w:rPr>
        <w:t xml:space="preserve">1.6.2地方性有关法规规章 </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w:t>
      </w:r>
      <w:r>
        <w:rPr>
          <w:rFonts w:hint="default" w:ascii="Times New Roman" w:hAnsi="Times New Roman" w:eastAsia="仿宋" w:cs="Times New Roman"/>
          <w:color w:val="auto"/>
          <w:spacing w:val="-2"/>
          <w:sz w:val="32"/>
          <w:szCs w:val="32"/>
          <w:lang w:val="en-US" w:eastAsia="zh-CN"/>
        </w:rPr>
        <w:t>《四川省环境保护条例》（2018年）；</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2.</w:t>
      </w:r>
      <w:r>
        <w:rPr>
          <w:rFonts w:hint="default" w:ascii="Times New Roman" w:hAnsi="Times New Roman" w:eastAsia="仿宋" w:cs="Times New Roman"/>
          <w:color w:val="auto"/>
          <w:spacing w:val="-2"/>
          <w:sz w:val="32"/>
          <w:szCs w:val="32"/>
          <w:lang w:val="en-US" w:eastAsia="zh-CN"/>
        </w:rPr>
        <w:t>《四川省城乡环境综合治理条例》（2019年修订）；</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3.</w:t>
      </w:r>
      <w:r>
        <w:rPr>
          <w:rFonts w:hint="default" w:ascii="Times New Roman" w:hAnsi="Times New Roman" w:eastAsia="仿宋" w:cs="Times New Roman"/>
          <w:color w:val="auto"/>
          <w:spacing w:val="-2"/>
          <w:sz w:val="32"/>
          <w:szCs w:val="32"/>
          <w:lang w:val="en-US" w:eastAsia="zh-CN"/>
        </w:rPr>
        <w:t>《四川省固体废物污染环境防治条例》（2022年修订）；</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4.</w:t>
      </w:r>
      <w:r>
        <w:rPr>
          <w:rFonts w:hint="default" w:ascii="Times New Roman" w:hAnsi="Times New Roman" w:eastAsia="仿宋" w:cs="Times New Roman"/>
          <w:color w:val="auto"/>
          <w:spacing w:val="-2"/>
          <w:sz w:val="32"/>
          <w:szCs w:val="32"/>
          <w:lang w:val="en-US" w:eastAsia="zh-CN"/>
        </w:rPr>
        <w:t>《四川省城市建筑垃圾管理办法》（川办规〔2024〕4号）；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5.</w:t>
      </w:r>
      <w:r>
        <w:rPr>
          <w:rFonts w:hint="default" w:ascii="Times New Roman" w:hAnsi="Times New Roman" w:eastAsia="仿宋" w:cs="Times New Roman"/>
          <w:color w:val="auto"/>
          <w:spacing w:val="-2"/>
          <w:sz w:val="32"/>
          <w:szCs w:val="32"/>
          <w:lang w:val="en-US" w:eastAsia="zh-CN"/>
        </w:rPr>
        <w:t>《乐山市城市市容和环境卫生管理办法》（2022年）；</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6.</w:t>
      </w:r>
      <w:r>
        <w:rPr>
          <w:rFonts w:hint="default" w:ascii="Times New Roman" w:hAnsi="Times New Roman" w:eastAsia="仿宋" w:cs="Times New Roman"/>
          <w:color w:val="auto"/>
          <w:spacing w:val="-2"/>
          <w:sz w:val="32"/>
          <w:szCs w:val="32"/>
          <w:lang w:val="en-US" w:eastAsia="zh-CN"/>
        </w:rPr>
        <w:t>《乐山市“无废城市”建设实施方案》（乐府发〔2022〕22号）；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7.</w:t>
      </w:r>
      <w:r>
        <w:rPr>
          <w:rFonts w:hint="default" w:ascii="Times New Roman" w:hAnsi="Times New Roman" w:eastAsia="仿宋" w:cs="Times New Roman"/>
          <w:color w:val="auto"/>
          <w:spacing w:val="-2"/>
          <w:sz w:val="32"/>
          <w:szCs w:val="32"/>
          <w:lang w:val="en-US" w:eastAsia="zh-CN"/>
        </w:rPr>
        <w:t>《关于加强乐山市主城区装修垃圾分类管理和处置工作的通知》（乐城管局通〔2022〕2号）；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8.</w:t>
      </w:r>
      <w:r>
        <w:rPr>
          <w:rFonts w:hint="default" w:ascii="Times New Roman" w:hAnsi="Times New Roman" w:eastAsia="仿宋" w:cs="Times New Roman"/>
          <w:color w:val="auto"/>
          <w:spacing w:val="-2"/>
          <w:sz w:val="32"/>
          <w:szCs w:val="32"/>
          <w:lang w:val="en-US" w:eastAsia="zh-CN"/>
        </w:rPr>
        <w:t>《乐山市贯彻落实〈四川省城市建筑垃圾处置及资源化利用行动方案〉任务清单》；</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9.</w:t>
      </w:r>
      <w:r>
        <w:rPr>
          <w:rFonts w:hint="default" w:ascii="Times New Roman" w:hAnsi="Times New Roman" w:eastAsia="仿宋" w:cs="Times New Roman"/>
          <w:color w:val="auto"/>
          <w:spacing w:val="-2"/>
          <w:sz w:val="32"/>
          <w:szCs w:val="32"/>
          <w:lang w:val="en-US" w:eastAsia="zh-CN"/>
        </w:rPr>
        <w:t>《乐山市碳达峰实施方案》（乐府发〔2024〕9号）；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10.</w:t>
      </w:r>
      <w:r>
        <w:rPr>
          <w:rFonts w:hint="default" w:ascii="Times New Roman" w:hAnsi="Times New Roman" w:eastAsia="仿宋" w:cs="Times New Roman"/>
          <w:color w:val="auto"/>
          <w:spacing w:val="-2"/>
          <w:sz w:val="32"/>
          <w:szCs w:val="32"/>
          <w:lang w:val="en-US" w:eastAsia="zh-CN"/>
        </w:rPr>
        <w:t>《乐山市人民政府关于印发乐山市生态环境分区管控方案（2023年版）的通知》（乐府发〔2024〕10号）；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11.</w:t>
      </w:r>
      <w:r>
        <w:rPr>
          <w:rFonts w:hint="default" w:ascii="Times New Roman" w:hAnsi="Times New Roman" w:eastAsia="仿宋" w:cs="Times New Roman"/>
          <w:color w:val="auto"/>
          <w:spacing w:val="-2"/>
          <w:sz w:val="32"/>
          <w:szCs w:val="32"/>
          <w:lang w:val="en-US" w:eastAsia="zh-CN"/>
        </w:rPr>
        <w:t>《金口河区“无废城市”建设实施方案》（2023年）；</w:t>
      </w:r>
    </w:p>
    <w:p>
      <w:pPr>
        <w:pStyle w:val="5"/>
        <w:numPr>
          <w:ilvl w:val="2"/>
          <w:numId w:val="0"/>
        </w:numPr>
        <w:ind w:left="720" w:leftChars="0" w:hanging="720" w:firstLineChars="0"/>
        <w:rPr>
          <w:rFonts w:hint="default" w:ascii="黑体" w:hAnsi="黑体" w:eastAsia="黑体" w:cs="黑体"/>
          <w:b/>
          <w:bCs/>
          <w:color w:val="auto"/>
          <w:sz w:val="32"/>
          <w:szCs w:val="32"/>
          <w:lang w:val="en-US" w:eastAsia="zh-CN" w:bidi="ar-SA"/>
        </w:rPr>
      </w:pPr>
      <w:r>
        <w:rPr>
          <w:rFonts w:hint="default" w:ascii="黑体" w:hAnsi="黑体" w:eastAsia="黑体" w:cs="黑体"/>
          <w:b/>
          <w:bCs/>
          <w:color w:val="auto"/>
          <w:sz w:val="32"/>
          <w:szCs w:val="32"/>
          <w:lang w:val="en-US" w:eastAsia="zh-CN" w:bidi="ar-SA"/>
        </w:rPr>
        <w:t>1.6.3相关标准、规范</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w:t>
      </w:r>
      <w:r>
        <w:rPr>
          <w:rFonts w:hint="default" w:ascii="Times New Roman" w:hAnsi="Times New Roman" w:eastAsia="仿宋" w:cs="Times New Roman"/>
          <w:color w:val="auto"/>
          <w:spacing w:val="-2"/>
          <w:sz w:val="32"/>
          <w:szCs w:val="32"/>
          <w:lang w:val="en-US" w:eastAsia="zh-CN"/>
        </w:rPr>
        <w:t>《环境卫生设施设置标准》（CJJ27-2012）；</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2.</w:t>
      </w:r>
      <w:r>
        <w:rPr>
          <w:rFonts w:hint="default" w:ascii="Times New Roman" w:hAnsi="Times New Roman" w:eastAsia="仿宋" w:cs="Times New Roman"/>
          <w:color w:val="auto"/>
          <w:spacing w:val="-2"/>
          <w:sz w:val="32"/>
          <w:szCs w:val="32"/>
          <w:lang w:val="en-US" w:eastAsia="zh-CN"/>
        </w:rPr>
        <w:t>《建筑垃圾处理技术标准》（CJJ/T134-2019）；</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3.</w:t>
      </w:r>
      <w:r>
        <w:rPr>
          <w:rFonts w:hint="default" w:ascii="Times New Roman" w:hAnsi="Times New Roman" w:eastAsia="仿宋" w:cs="Times New Roman"/>
          <w:color w:val="auto"/>
          <w:spacing w:val="-2"/>
          <w:sz w:val="32"/>
          <w:szCs w:val="32"/>
          <w:lang w:val="en-US" w:eastAsia="zh-CN"/>
        </w:rPr>
        <w:t>《建筑垃圾处理技术标准》（CJJ/T 134-2019）；</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4.</w:t>
      </w:r>
      <w:r>
        <w:rPr>
          <w:rFonts w:hint="default" w:ascii="Times New Roman" w:hAnsi="Times New Roman" w:eastAsia="仿宋" w:cs="Times New Roman"/>
          <w:color w:val="auto"/>
          <w:spacing w:val="-2"/>
          <w:sz w:val="32"/>
          <w:szCs w:val="32"/>
          <w:lang w:val="en-US" w:eastAsia="zh-CN"/>
        </w:rPr>
        <w:t>《建筑垃圾密闭运输车辆技术规范》（CJ035-2020）；</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5.</w:t>
      </w:r>
      <w:r>
        <w:rPr>
          <w:rFonts w:hint="default" w:ascii="Times New Roman" w:hAnsi="Times New Roman" w:eastAsia="仿宋" w:cs="Times New Roman"/>
          <w:color w:val="auto"/>
          <w:spacing w:val="-2"/>
          <w:sz w:val="32"/>
          <w:szCs w:val="32"/>
          <w:lang w:val="en-US" w:eastAsia="zh-CN"/>
        </w:rPr>
        <w:t>《建筑垃圾处理技术规程》（CG058-2021）；</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6.</w:t>
      </w:r>
      <w:r>
        <w:rPr>
          <w:rFonts w:hint="default" w:ascii="Times New Roman" w:hAnsi="Times New Roman" w:eastAsia="仿宋" w:cs="Times New Roman"/>
          <w:color w:val="auto"/>
          <w:spacing w:val="-2"/>
          <w:sz w:val="32"/>
          <w:szCs w:val="32"/>
          <w:lang w:val="en-US" w:eastAsia="zh-CN"/>
        </w:rPr>
        <w:t>《建筑垃圾处理场设施规范》（CG059-2021）；</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7.</w:t>
      </w:r>
      <w:r>
        <w:rPr>
          <w:rFonts w:hint="default" w:ascii="Times New Roman" w:hAnsi="Times New Roman" w:eastAsia="仿宋" w:cs="Times New Roman"/>
          <w:color w:val="auto"/>
          <w:spacing w:val="-2"/>
          <w:sz w:val="32"/>
          <w:szCs w:val="32"/>
          <w:lang w:val="en-US" w:eastAsia="zh-CN"/>
        </w:rPr>
        <w:t xml:space="preserve">《建筑余泥渣土受纳场建设技术规范》（DBJ/T15-118-2016） </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8.</w:t>
      </w:r>
      <w:r>
        <w:rPr>
          <w:rFonts w:hint="default" w:ascii="Times New Roman" w:hAnsi="Times New Roman" w:eastAsia="仿宋" w:cs="Times New Roman"/>
          <w:color w:val="auto"/>
          <w:spacing w:val="-2"/>
          <w:sz w:val="32"/>
          <w:szCs w:val="32"/>
          <w:lang w:val="en-US" w:eastAsia="zh-CN"/>
        </w:rPr>
        <w:t>《建筑用砂》（GB 14684-2011）；</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9.</w:t>
      </w:r>
      <w:r>
        <w:rPr>
          <w:rFonts w:hint="default" w:ascii="Times New Roman" w:hAnsi="Times New Roman" w:eastAsia="仿宋" w:cs="Times New Roman"/>
          <w:color w:val="auto"/>
          <w:spacing w:val="-2"/>
          <w:sz w:val="32"/>
          <w:szCs w:val="32"/>
          <w:lang w:val="en-US" w:eastAsia="zh-CN"/>
        </w:rPr>
        <w:t>《再生骨料应用技术规程》（JGJ/T 240-2011）；</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10.</w:t>
      </w:r>
      <w:r>
        <w:rPr>
          <w:rFonts w:hint="default" w:ascii="Times New Roman" w:hAnsi="Times New Roman" w:eastAsia="仿宋" w:cs="Times New Roman"/>
          <w:color w:val="auto"/>
          <w:spacing w:val="-2"/>
          <w:sz w:val="32"/>
          <w:szCs w:val="32"/>
          <w:lang w:val="en-US" w:eastAsia="zh-CN"/>
        </w:rPr>
        <w:t>《混凝土和砂浆用再生细骨料》（GB 25176-2010）；</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11.</w:t>
      </w:r>
      <w:r>
        <w:rPr>
          <w:rFonts w:hint="default" w:ascii="Times New Roman" w:hAnsi="Times New Roman" w:eastAsia="仿宋" w:cs="Times New Roman"/>
          <w:color w:val="auto"/>
          <w:spacing w:val="-2"/>
          <w:sz w:val="32"/>
          <w:szCs w:val="32"/>
          <w:lang w:val="en-US" w:eastAsia="zh-CN"/>
        </w:rPr>
        <w:t>《混凝土用再生粗骨料》（GB 25177-2010）；</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12.</w:t>
      </w:r>
      <w:r>
        <w:rPr>
          <w:rFonts w:hint="default" w:ascii="Times New Roman" w:hAnsi="Times New Roman" w:eastAsia="仿宋" w:cs="Times New Roman"/>
          <w:color w:val="auto"/>
          <w:spacing w:val="-2"/>
          <w:sz w:val="32"/>
          <w:szCs w:val="32"/>
          <w:lang w:val="en-US" w:eastAsia="zh-CN"/>
        </w:rPr>
        <w:t>《恶臭污染物排放标准》（GB 14554-1993）；</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13.</w:t>
      </w:r>
      <w:r>
        <w:rPr>
          <w:rFonts w:hint="default" w:ascii="Times New Roman" w:hAnsi="Times New Roman" w:eastAsia="仿宋" w:cs="Times New Roman"/>
          <w:color w:val="auto"/>
          <w:spacing w:val="-2"/>
          <w:sz w:val="32"/>
          <w:szCs w:val="32"/>
          <w:lang w:val="en-US" w:eastAsia="zh-CN"/>
        </w:rPr>
        <w:t>《工业企业厂界环境噪声排放标准》（GB 12348-2008）；</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14.</w:t>
      </w:r>
      <w:r>
        <w:rPr>
          <w:rFonts w:hint="default" w:ascii="Times New Roman" w:hAnsi="Times New Roman" w:eastAsia="仿宋" w:cs="Times New Roman"/>
          <w:color w:val="auto"/>
          <w:spacing w:val="-2"/>
          <w:sz w:val="32"/>
          <w:szCs w:val="32"/>
          <w:lang w:val="en-US" w:eastAsia="zh-CN"/>
        </w:rPr>
        <w:t>《大气环境质量标准》（GB 3095-2012）；</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15.</w:t>
      </w:r>
      <w:r>
        <w:rPr>
          <w:rFonts w:hint="default" w:ascii="Times New Roman" w:hAnsi="Times New Roman" w:eastAsia="仿宋" w:cs="Times New Roman"/>
          <w:color w:val="auto"/>
          <w:spacing w:val="-2"/>
          <w:sz w:val="32"/>
          <w:szCs w:val="32"/>
          <w:lang w:val="en-US" w:eastAsia="zh-CN"/>
        </w:rPr>
        <w:t>《地表水环境质量标准》（GB 3838-2002）；</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16.</w:t>
      </w:r>
      <w:r>
        <w:rPr>
          <w:rFonts w:hint="default" w:ascii="Times New Roman" w:hAnsi="Times New Roman" w:eastAsia="仿宋" w:cs="Times New Roman"/>
          <w:color w:val="auto"/>
          <w:spacing w:val="-2"/>
          <w:sz w:val="32"/>
          <w:szCs w:val="32"/>
          <w:lang w:val="en-US" w:eastAsia="zh-CN"/>
        </w:rPr>
        <w:t>《地下水质量标准》（GB/T 14848-2017）；</w:t>
      </w:r>
    </w:p>
    <w:p>
      <w:pPr>
        <w:pStyle w:val="5"/>
        <w:numPr>
          <w:ilvl w:val="2"/>
          <w:numId w:val="0"/>
        </w:numPr>
        <w:ind w:left="720" w:leftChars="0" w:hanging="720" w:firstLineChars="0"/>
        <w:rPr>
          <w:rFonts w:hint="default" w:ascii="黑体" w:hAnsi="黑体" w:eastAsia="黑体" w:cs="黑体"/>
          <w:b/>
          <w:bCs/>
          <w:color w:val="auto"/>
          <w:sz w:val="32"/>
          <w:szCs w:val="32"/>
          <w:lang w:val="en-US" w:eastAsia="zh-CN" w:bidi="ar-SA"/>
        </w:rPr>
      </w:pPr>
      <w:r>
        <w:rPr>
          <w:rFonts w:hint="default" w:ascii="黑体" w:hAnsi="黑体" w:eastAsia="黑体" w:cs="黑体"/>
          <w:b/>
          <w:bCs/>
          <w:color w:val="auto"/>
          <w:sz w:val="32"/>
          <w:szCs w:val="32"/>
          <w:lang w:val="en-US" w:eastAsia="zh-CN" w:bidi="ar-SA"/>
        </w:rPr>
        <w:t xml:space="preserve">1.6.4相关规划及其他相关文件 </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1.</w:t>
      </w:r>
      <w:r>
        <w:rPr>
          <w:rFonts w:hint="default" w:ascii="Times New Roman" w:hAnsi="Times New Roman" w:eastAsia="仿宋" w:cs="Times New Roman"/>
          <w:color w:val="auto"/>
          <w:spacing w:val="-2"/>
          <w:sz w:val="32"/>
          <w:szCs w:val="32"/>
          <w:lang w:val="en-US" w:eastAsia="zh-CN"/>
        </w:rPr>
        <w:t>《“十四五”循环经济发展规划》（2021）；</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2.</w:t>
      </w:r>
      <w:r>
        <w:rPr>
          <w:rFonts w:hint="default" w:ascii="Times New Roman" w:hAnsi="Times New Roman" w:eastAsia="仿宋" w:cs="Times New Roman"/>
          <w:color w:val="auto"/>
          <w:spacing w:val="-2"/>
          <w:sz w:val="32"/>
          <w:szCs w:val="32"/>
          <w:lang w:val="en-US" w:eastAsia="zh-CN"/>
        </w:rPr>
        <w:t>《“十四五”全国城市基础设施建设规划》；</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3.</w:t>
      </w:r>
      <w:r>
        <w:rPr>
          <w:rFonts w:hint="default" w:ascii="Times New Roman" w:hAnsi="Times New Roman" w:eastAsia="仿宋" w:cs="Times New Roman"/>
          <w:color w:val="auto"/>
          <w:spacing w:val="-2"/>
          <w:sz w:val="32"/>
          <w:szCs w:val="32"/>
          <w:lang w:val="en-US" w:eastAsia="zh-CN"/>
        </w:rPr>
        <w:t>《四川省“十四五”生态环境保护规划》（川府发〔2022〕2号）；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4.</w:t>
      </w:r>
      <w:r>
        <w:rPr>
          <w:rFonts w:hint="default" w:ascii="Times New Roman" w:hAnsi="Times New Roman" w:eastAsia="仿宋" w:cs="Times New Roman"/>
          <w:color w:val="auto"/>
          <w:spacing w:val="-2"/>
          <w:sz w:val="32"/>
          <w:szCs w:val="32"/>
          <w:lang w:val="en-US" w:eastAsia="zh-CN"/>
        </w:rPr>
        <w:t>《四川省城市建筑垃圾污染环境防治专项规划编制大纲》（川建城建发[2024]73号）；</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5.</w:t>
      </w:r>
      <w:r>
        <w:rPr>
          <w:rFonts w:hint="default" w:ascii="Times New Roman" w:hAnsi="Times New Roman" w:eastAsia="仿宋" w:cs="Times New Roman"/>
          <w:color w:val="auto"/>
          <w:spacing w:val="-2"/>
          <w:sz w:val="32"/>
          <w:szCs w:val="32"/>
          <w:lang w:val="en-US" w:eastAsia="zh-CN"/>
        </w:rPr>
        <w:t>《乐山市金口河区国土空间总体规划（2021-2035年）》；</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6.</w:t>
      </w:r>
      <w:r>
        <w:rPr>
          <w:rFonts w:hint="default" w:ascii="Times New Roman" w:hAnsi="Times New Roman" w:eastAsia="仿宋" w:cs="Times New Roman"/>
          <w:color w:val="auto"/>
          <w:spacing w:val="-2"/>
          <w:sz w:val="32"/>
          <w:szCs w:val="32"/>
          <w:lang w:val="en-US" w:eastAsia="zh-CN"/>
        </w:rPr>
        <w:t>《乐山市金口河区国民经济和社会发展第十四个五年规划和二〇三五年远景目标纲要》；</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7.</w:t>
      </w:r>
      <w:r>
        <w:rPr>
          <w:rFonts w:hint="default" w:ascii="Times New Roman" w:hAnsi="Times New Roman" w:eastAsia="仿宋" w:cs="Times New Roman"/>
          <w:color w:val="auto"/>
          <w:spacing w:val="-2"/>
          <w:sz w:val="32"/>
          <w:szCs w:val="32"/>
          <w:lang w:val="en-US" w:eastAsia="zh-CN"/>
        </w:rPr>
        <w:t>乐山市金口河区各乡镇已批准实施总体规划；</w:t>
      </w:r>
    </w:p>
    <w:p>
      <w:pPr>
        <w:pageBreakBefore w:val="0"/>
        <w:widowControl w:val="0"/>
        <w:numPr>
          <w:ilvl w:val="0"/>
          <w:numId w:val="0"/>
        </w:numPr>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bidi="ar-SA"/>
        </w:rPr>
        <w:t>8.</w:t>
      </w:r>
      <w:r>
        <w:rPr>
          <w:rFonts w:hint="default" w:ascii="Times New Roman" w:hAnsi="Times New Roman" w:eastAsia="仿宋" w:cs="Times New Roman"/>
          <w:color w:val="auto"/>
          <w:spacing w:val="-2"/>
          <w:sz w:val="32"/>
          <w:szCs w:val="32"/>
          <w:lang w:val="en-US" w:eastAsia="zh-CN"/>
        </w:rPr>
        <w:t>其他相关法律法规、标准及基础数据。</w:t>
      </w:r>
    </w:p>
    <w:p>
      <w:pPr>
        <w:pStyle w:val="5"/>
        <w:numPr>
          <w:ilvl w:val="2"/>
          <w:numId w:val="0"/>
        </w:numPr>
        <w:ind w:left="720" w:leftChars="0" w:hanging="720" w:firstLineChars="0"/>
        <w:rPr>
          <w:rFonts w:hint="default" w:ascii="黑体" w:hAnsi="黑体" w:eastAsia="黑体" w:cs="黑体"/>
          <w:b/>
          <w:bCs/>
          <w:color w:val="auto"/>
          <w:sz w:val="32"/>
          <w:szCs w:val="32"/>
          <w:lang w:val="en-US" w:eastAsia="zh-CN" w:bidi="ar-SA"/>
        </w:rPr>
      </w:pPr>
      <w:bookmarkStart w:id="8" w:name="_Toc30298"/>
      <w:r>
        <w:rPr>
          <w:rFonts w:hint="default" w:ascii="黑体" w:hAnsi="黑体" w:eastAsia="黑体" w:cs="黑体"/>
          <w:b/>
          <w:bCs/>
          <w:color w:val="auto"/>
          <w:sz w:val="32"/>
          <w:szCs w:val="32"/>
          <w:lang w:val="en-US" w:eastAsia="zh-CN" w:bidi="ar-SA"/>
        </w:rPr>
        <w:t>1.7规划原则</w:t>
      </w:r>
      <w:bookmarkEnd w:id="8"/>
      <w:r>
        <w:rPr>
          <w:rFonts w:hint="default" w:ascii="黑体" w:hAnsi="黑体" w:eastAsia="黑体" w:cs="黑体"/>
          <w:b/>
          <w:bCs/>
          <w:color w:val="auto"/>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（一）政府引导，市场推动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坚持政府引导、市场推动、社会参与、循环利用，鼓励社会力量参与建筑垃圾倾倒、中转、运输、消纳、利用等处置过程，发挥市场在资源配置中的决定性作用，营造有利于建筑垃圾资源化利用的市场环境。</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（二）源头减量，分类处置</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统筹规划、建设、管理三个环节，加强竖向设计方案、优化建筑设计、改进施工工艺，实施绿色设计与绿色施工。遵循减量化、资源化、无害化原则，按照工程渣土、工程泥浆、工程垃圾、拆除垃圾和装修垃圾进行分类收集、分类运输、分类处置，提升建筑垃圾分类收集的水平，从源头推动建筑废弃物处置规范化。</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（三）控制增量，治理存量</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大力实施建筑垃圾增量控制，加强建筑垃圾日常巡查监管，严查擅自倾倒、堆放、运输过程中沿途丢弃、遗撒建筑垃圾等违法行为。开展存量治理工作，全面排查登记，并制定有针对性的专项治理计划，消除存量建筑垃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（四）资源利用，无害处理</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推进建筑垃圾资源化利用，鼓励企业开展建筑垃圾资源化利用新技术、新工艺、新材料、新设备研发，建立健全建筑垃圾开发和再利用体系。严格执行风险预防和安全管控，构建全过程安全监管体系，严格控制影响城市环境的大气污染源、水污染源，杜绝随意排放现象，实现建筑垃圾无害化处理，促进人与社会、自然协调发展。</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（五）合理布局，区域共享</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未来城市开发建设情况，与国土空间规划、相关专项规划等相协调，科学预测建筑垃圾产生量与处置量。根据各地建筑垃圾产生量、种类和分布，从区级层面合理安排建筑垃圾处理设施的结构、布局、用地和规模，统筹考虑建设计划，做到功能集中、成本降低、用地集约，实现资源共享与污染集中控制。</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（六）科学合理、实施性强</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在详细调查现状情况的基础上，通过有针对性的分析评价，提出切实可行的规划方案和对策措施，体现环境效益、社会效益和经济效益的有效统一，保证规划既具有科学性、合理性，同时又具有较好的现实性和可实施性。</w:t>
      </w:r>
    </w:p>
    <w:p>
      <w:pPr>
        <w:pStyle w:val="2"/>
        <w:rPr>
          <w:rFonts w:hint="eastAsia" w:ascii="仿宋" w:hAnsi="仿宋" w:eastAsia="仿宋" w:cs="仿宋"/>
          <w:lang w:val="en-US" w:eastAsia="zh-CN"/>
        </w:rPr>
      </w:pPr>
    </w:p>
    <w:p>
      <w:pPr>
        <w:spacing w:line="360" w:lineRule="auto"/>
        <w:ind w:firstLine="592" w:firstLineChars="200"/>
        <w:rPr>
          <w:rFonts w:hint="eastAsia" w:ascii="仿宋" w:hAnsi="仿宋" w:eastAsia="仿宋" w:cs="仿宋"/>
          <w:color w:val="auto"/>
          <w:spacing w:val="-2"/>
          <w:sz w:val="30"/>
          <w:szCs w:val="30"/>
          <w:lang w:val="en-US" w:eastAsia="zh-CN"/>
        </w:rPr>
        <w:sectPr>
          <w:headerReference r:id="rId7" w:type="default"/>
          <w:footerReference r:id="rId8"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9" w:name="_Toc11236"/>
      <w:r>
        <w:rPr>
          <w:rFonts w:hint="eastAsia" w:ascii="方正小标宋简体" w:hAnsi="方正小标宋简体" w:eastAsia="方正小标宋简体" w:cs="方正小标宋简体"/>
          <w:sz w:val="44"/>
          <w:szCs w:val="44"/>
          <w:lang w:val="en-US" w:eastAsia="zh-CN"/>
        </w:rPr>
        <w:t>第二章规划目标与指标</w:t>
      </w:r>
      <w:bookmarkEnd w:id="9"/>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eastAsia" w:ascii="黑体" w:hAnsi="黑体" w:eastAsia="黑体" w:cs="黑体"/>
          <w:color w:val="auto"/>
          <w:sz w:val="32"/>
          <w:szCs w:val="32"/>
          <w:lang w:val="en-US" w:eastAsia="zh-CN"/>
        </w:rPr>
      </w:pPr>
      <w:bookmarkStart w:id="10" w:name="_Toc3817"/>
      <w:r>
        <w:rPr>
          <w:rFonts w:hint="eastAsia" w:ascii="黑体" w:hAnsi="黑体" w:eastAsia="黑体" w:cs="黑体"/>
          <w:color w:val="auto"/>
          <w:sz w:val="32"/>
          <w:szCs w:val="32"/>
          <w:lang w:val="en-US" w:eastAsia="zh-CN"/>
        </w:rPr>
        <w:t>2.1规划目标</w:t>
      </w:r>
      <w:bookmarkEnd w:id="10"/>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以“无害化、减量化、资源化”为目标，以“绿色、低碳、循环”发展为抓手，建立有效的建筑垃圾治理体系，加强建筑垃圾全过程管理，实现建筑垃圾的综合利用。推动形成城乡绿色可持续发展方式，改善金口河区人居环境、提升城市品位、创造高品质生活，助力乐山市创建全国卫生城市。</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1" w:name="_Toc17314"/>
      <w:r>
        <w:rPr>
          <w:rFonts w:hint="default" w:ascii="黑体" w:hAnsi="黑体" w:eastAsia="黑体" w:cs="黑体"/>
          <w:color w:val="auto"/>
          <w:sz w:val="32"/>
          <w:szCs w:val="32"/>
          <w:lang w:val="en-US" w:eastAsia="zh-CN"/>
        </w:rPr>
        <w:t>2.2规划对象</w:t>
      </w:r>
      <w:bookmarkEnd w:id="11"/>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本规划所指的建筑垃圾是施工现场产生的工程泥浆、工程渣土、拆迁垃圾、工程垃圾和装修垃圾的总称。包括新建改建、扩建和拆迁各类建筑物、构筑物等以及居民装饰装修房屋过程中产生的弃土、弃料及其它废弃物，不包括经检验、鉴定为危险废物的建筑垃圾。</w:t>
      </w:r>
    </w:p>
    <w:p>
      <w:pPr>
        <w:keepNext w:val="0"/>
        <w:keepLines w:val="0"/>
        <w:pageBreakBefore w:val="0"/>
        <w:widowControl w:val="0"/>
        <w:kinsoku/>
        <w:wordWrap/>
        <w:overflowPunct/>
        <w:topLinePunct w:val="0"/>
        <w:autoSpaceDE/>
        <w:autoSpaceDN/>
        <w:bidi w:val="0"/>
        <w:adjustRightInd/>
        <w:snapToGrid/>
        <w:spacing w:line="600" w:lineRule="exact"/>
        <w:ind w:firstLine="635"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b/>
          <w:bCs/>
          <w:color w:val="auto"/>
          <w:spacing w:val="-2"/>
          <w:sz w:val="32"/>
          <w:szCs w:val="32"/>
          <w:lang w:val="en-US" w:eastAsia="zh-CN"/>
        </w:rPr>
        <w:t>工程泥浆</w:t>
      </w:r>
      <w:r>
        <w:rPr>
          <w:rFonts w:hint="default" w:ascii="Times New Roman" w:hAnsi="Times New Roman" w:eastAsia="仿宋" w:cs="Times New Roman"/>
          <w:color w:val="auto"/>
          <w:spacing w:val="-2"/>
          <w:sz w:val="32"/>
          <w:szCs w:val="32"/>
          <w:lang w:val="en-US" w:eastAsia="zh-CN"/>
        </w:rPr>
        <w:t>：各类建（构）筑物桩基础、基坑围护结构以及泥水盾构、管网暗挖等施工产生的废置和剩余泥浆。</w:t>
      </w:r>
    </w:p>
    <w:p>
      <w:pPr>
        <w:keepNext w:val="0"/>
        <w:keepLines w:val="0"/>
        <w:pageBreakBefore w:val="0"/>
        <w:widowControl w:val="0"/>
        <w:kinsoku/>
        <w:wordWrap/>
        <w:overflowPunct/>
        <w:topLinePunct w:val="0"/>
        <w:autoSpaceDE/>
        <w:autoSpaceDN/>
        <w:bidi w:val="0"/>
        <w:adjustRightInd/>
        <w:snapToGrid/>
        <w:spacing w:line="600" w:lineRule="exact"/>
        <w:ind w:firstLine="635"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b/>
          <w:bCs/>
          <w:color w:val="auto"/>
          <w:spacing w:val="-2"/>
          <w:sz w:val="32"/>
          <w:szCs w:val="32"/>
          <w:lang w:val="en-US" w:eastAsia="zh-CN"/>
        </w:rPr>
        <w:t>工程渣土</w:t>
      </w:r>
      <w:r>
        <w:rPr>
          <w:rFonts w:hint="default" w:ascii="Times New Roman" w:hAnsi="Times New Roman" w:eastAsia="仿宋" w:cs="Times New Roman"/>
          <w:color w:val="auto"/>
          <w:spacing w:val="-2"/>
          <w:sz w:val="32"/>
          <w:szCs w:val="32"/>
          <w:lang w:val="en-US" w:eastAsia="zh-CN"/>
        </w:rPr>
        <w:t>：各类建筑物、构筑物、管网基础开挖过程中产生的弃土。</w:t>
      </w:r>
    </w:p>
    <w:p>
      <w:pPr>
        <w:keepNext w:val="0"/>
        <w:keepLines w:val="0"/>
        <w:pageBreakBefore w:val="0"/>
        <w:widowControl w:val="0"/>
        <w:kinsoku/>
        <w:wordWrap/>
        <w:overflowPunct/>
        <w:topLinePunct w:val="0"/>
        <w:autoSpaceDE/>
        <w:autoSpaceDN/>
        <w:bidi w:val="0"/>
        <w:adjustRightInd/>
        <w:snapToGrid/>
        <w:spacing w:line="600" w:lineRule="exact"/>
        <w:ind w:firstLine="635"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b/>
          <w:bCs/>
          <w:color w:val="auto"/>
          <w:spacing w:val="-2"/>
          <w:sz w:val="32"/>
          <w:szCs w:val="32"/>
          <w:lang w:val="en-US" w:eastAsia="zh-CN"/>
        </w:rPr>
        <w:t>拆除垃圾</w:t>
      </w:r>
      <w:r>
        <w:rPr>
          <w:rFonts w:hint="default" w:ascii="Times New Roman" w:hAnsi="Times New Roman" w:eastAsia="仿宋" w:cs="Times New Roman"/>
          <w:color w:val="auto"/>
          <w:spacing w:val="-2"/>
          <w:sz w:val="32"/>
          <w:szCs w:val="32"/>
          <w:lang w:val="en-US" w:eastAsia="zh-CN"/>
        </w:rPr>
        <w:t>：指各类建筑物、构筑物等拆除过程中产生的金属、混凝土、沥青、砖瓦、陶瓷、玻璃、木材、塑料等弃料。</w:t>
      </w:r>
    </w:p>
    <w:p>
      <w:pPr>
        <w:keepNext w:val="0"/>
        <w:keepLines w:val="0"/>
        <w:pageBreakBefore w:val="0"/>
        <w:widowControl w:val="0"/>
        <w:kinsoku/>
        <w:wordWrap/>
        <w:overflowPunct/>
        <w:topLinePunct w:val="0"/>
        <w:autoSpaceDE/>
        <w:autoSpaceDN/>
        <w:bidi w:val="0"/>
        <w:adjustRightInd/>
        <w:snapToGrid/>
        <w:spacing w:line="600" w:lineRule="exact"/>
        <w:ind w:firstLine="635"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b/>
          <w:bCs/>
          <w:color w:val="auto"/>
          <w:spacing w:val="-2"/>
          <w:sz w:val="32"/>
          <w:szCs w:val="32"/>
          <w:lang w:val="en-US" w:eastAsia="zh-CN"/>
        </w:rPr>
        <w:t>工程垃圾</w:t>
      </w:r>
      <w:r>
        <w:rPr>
          <w:rFonts w:hint="default" w:ascii="Times New Roman" w:hAnsi="Times New Roman" w:eastAsia="仿宋" w:cs="Times New Roman"/>
          <w:color w:val="auto"/>
          <w:spacing w:val="-2"/>
          <w:sz w:val="32"/>
          <w:szCs w:val="32"/>
          <w:lang w:val="en-US" w:eastAsia="zh-CN"/>
        </w:rPr>
        <w:t>：指各类建筑物、构筑物等建设过程中产生的金属、混凝土、沥青和模板等弃料。</w:t>
      </w:r>
    </w:p>
    <w:p>
      <w:pPr>
        <w:keepNext w:val="0"/>
        <w:keepLines w:val="0"/>
        <w:pageBreakBefore w:val="0"/>
        <w:widowControl w:val="0"/>
        <w:kinsoku/>
        <w:wordWrap/>
        <w:overflowPunct/>
        <w:topLinePunct w:val="0"/>
        <w:autoSpaceDE/>
        <w:autoSpaceDN/>
        <w:bidi w:val="0"/>
        <w:adjustRightInd/>
        <w:snapToGrid/>
        <w:spacing w:line="600" w:lineRule="exact"/>
        <w:ind w:firstLine="635"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b/>
          <w:bCs/>
          <w:color w:val="auto"/>
          <w:spacing w:val="-2"/>
          <w:sz w:val="32"/>
          <w:szCs w:val="32"/>
          <w:lang w:val="en-US" w:eastAsia="zh-CN"/>
        </w:rPr>
        <w:t>装修垃圾</w:t>
      </w:r>
      <w:r>
        <w:rPr>
          <w:rFonts w:hint="default" w:ascii="Times New Roman" w:hAnsi="Times New Roman" w:eastAsia="仿宋" w:cs="Times New Roman"/>
          <w:color w:val="auto"/>
          <w:spacing w:val="-2"/>
          <w:sz w:val="32"/>
          <w:szCs w:val="32"/>
          <w:lang w:val="en-US" w:eastAsia="zh-CN"/>
        </w:rPr>
        <w:t>：指装饰房屋过程中产生的金属、混凝土、砖、陶瓷、玻璃、木材、塑料、石膏、涂料等废弃物。</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2" w:name="_Toc4619"/>
      <w:r>
        <w:rPr>
          <w:rFonts w:hint="default" w:ascii="黑体" w:hAnsi="黑体" w:eastAsia="黑体" w:cs="黑体"/>
          <w:color w:val="auto"/>
          <w:sz w:val="32"/>
          <w:szCs w:val="32"/>
          <w:lang w:val="en-US" w:eastAsia="zh-CN"/>
        </w:rPr>
        <w:t>2.3规划指标</w:t>
      </w:r>
      <w:bookmarkEnd w:id="12"/>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根据《四川省城市建筑垃圾管理办法》《四川省城市建筑垃圾处置及资源化利用行动方案》《乐山市“无废城市”建设实施方案》，结合金口河区实际情况：</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到2030年，逐步建立建筑垃圾从源头到终端的全过程治理体系，源头减量措施得到有效落实，收集运输环节更加安全有序和绿色环保，建筑垃圾资源化利用水平显著提升，智能化全生命周期管理不断推进，建成“源头减量、综合利用、区域平衡、分散堆填、监管闭环、整体智治”的全过程分类治理体系。</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到2035年，建筑垃圾绿色低碳、循环利用、高效运行、智慧监管的治理体系全面建立，行业治理法治化、标准化、信息化建设得到全面加强，实现经济效益、生态效益和社会效益同步推进，为建设新时代美丽金口河提供坚实支撑和有力保障。</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相关指标如下表所示。</w:t>
      </w:r>
    </w:p>
    <w:p>
      <w:pPr>
        <w:spacing w:before="164" w:line="363" w:lineRule="auto"/>
        <w:ind w:left="279" w:firstLine="640"/>
        <w:jc w:val="both"/>
        <w:rPr>
          <w:rFonts w:hint="eastAsia" w:ascii="仿宋" w:hAnsi="仿宋" w:eastAsia="仿宋" w:cs="仿宋"/>
          <w:color w:val="auto"/>
          <w:spacing w:val="-2"/>
          <w:sz w:val="30"/>
          <w:szCs w:val="30"/>
          <w:lang w:val="en-US" w:eastAsia="zh-CN"/>
        </w:rPr>
      </w:pPr>
    </w:p>
    <w:p>
      <w:pPr>
        <w:spacing w:before="164" w:line="363" w:lineRule="auto"/>
        <w:ind w:left="279" w:firstLine="640"/>
        <w:jc w:val="both"/>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keepNext w:val="0"/>
        <w:keepLines w:val="0"/>
        <w:pageBreakBefore w:val="0"/>
        <w:widowControl w:val="0"/>
        <w:kinsoku/>
        <w:wordWrap/>
        <w:overflowPunct/>
        <w:topLinePunct w:val="0"/>
        <w:autoSpaceDE/>
        <w:autoSpaceDN/>
        <w:bidi w:val="0"/>
        <w:adjustRightInd/>
        <w:snapToGrid/>
        <w:spacing w:before="10" w:line="363" w:lineRule="auto"/>
        <w:jc w:val="center"/>
        <w:textAlignment w:val="auto"/>
        <w:rPr>
          <w:rFonts w:hint="eastAsia" w:ascii="仿宋" w:hAnsi="仿宋" w:eastAsia="仿宋" w:cs="仿宋"/>
          <w:b/>
          <w:bCs/>
          <w:color w:val="auto"/>
          <w:spacing w:val="-2"/>
          <w:sz w:val="24"/>
          <w:szCs w:val="24"/>
          <w:lang w:val="en-US" w:eastAsia="zh-CN"/>
        </w:rPr>
      </w:pPr>
      <w:r>
        <w:rPr>
          <w:rFonts w:hint="eastAsia" w:ascii="仿宋" w:hAnsi="仿宋" w:eastAsia="仿宋" w:cs="仿宋"/>
          <w:b/>
          <w:bCs/>
          <w:color w:val="auto"/>
          <w:spacing w:val="-2"/>
          <w:sz w:val="24"/>
          <w:szCs w:val="24"/>
          <w:lang w:val="en-US" w:eastAsia="zh-CN"/>
        </w:rPr>
        <w:t>表2-1规划控制指标一览表</w:t>
      </w:r>
    </w:p>
    <w:tbl>
      <w:tblPr>
        <w:tblStyle w:val="40"/>
        <w:tblW w:w="128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628"/>
        <w:gridCol w:w="5955"/>
        <w:gridCol w:w="1940"/>
        <w:gridCol w:w="1709"/>
        <w:gridCol w:w="1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内容</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2030年</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2035年</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指标性质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建筑垃圾安全处置率(%)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建筑垃圾资源化利用率(%)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建筑垃圾综合利用率(%)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建筑垃圾密闭化运输率(%)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(建筑垃圾密闭化运输车辆占建筑垃圾运输车辆的比例)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源头减量</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新建建筑施工现场建筑垃圾排放量</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≤300t/万m²</w:t>
            </w:r>
          </w:p>
        </w:tc>
        <w:tc>
          <w:tcPr>
            <w:tcW w:w="170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满足国家和地方政策要求</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装配式建筑施工现场建筑垃圾排放量</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≤200t/万m²</w:t>
            </w:r>
          </w:p>
        </w:tc>
        <w:tc>
          <w:tcPr>
            <w:tcW w:w="1709" w:type="dxa"/>
            <w:vMerge w:val="continue"/>
            <w:tcBorders>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绿色建筑占新建建筑的比例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装配式建筑占新建建筑的比例</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数字化</w:t>
            </w: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建筑垃圾运输车卫星定位装置接入率(%)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工程项目视频监控接入率(%)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建筑垃圾消纳场所视频监控接入率</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约束性</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24"/>
        </w:rPr>
      </w:pPr>
      <w:r>
        <w:rPr>
          <w:rFonts w:hint="eastAsia" w:ascii="仿宋" w:hAnsi="仿宋" w:eastAsia="仿宋" w:cs="仿宋"/>
          <w:sz w:val="24"/>
          <w:szCs w:val="24"/>
        </w:rPr>
        <w:t>备注：1.约束性指标是为实现规划目标，在规划期内不得突破或必须实现的指标；</w:t>
      </w:r>
    </w:p>
    <w:p>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both"/>
        <w:textAlignment w:val="auto"/>
        <w:rPr>
          <w:rFonts w:hint="eastAsia" w:ascii="仿宋" w:hAnsi="仿宋" w:eastAsia="仿宋" w:cs="仿宋"/>
          <w:sz w:val="24"/>
          <w:szCs w:val="24"/>
        </w:rPr>
      </w:pPr>
      <w:r>
        <w:rPr>
          <w:rFonts w:hint="eastAsia" w:ascii="仿宋" w:hAnsi="仿宋" w:eastAsia="仿宋" w:cs="仿宋"/>
          <w:sz w:val="24"/>
          <w:szCs w:val="24"/>
        </w:rPr>
        <w:t>2.预期性指标是指按照经济社会发展预期，规划期内努力实现或不突破的指标。</w:t>
      </w:r>
    </w:p>
    <w:p>
      <w:pPr>
        <w:pStyle w:val="2"/>
        <w:rPr>
          <w:rFonts w:hint="eastAsia" w:ascii="仿宋" w:hAnsi="仿宋" w:eastAsia="仿宋" w:cs="仿宋"/>
          <w:lang w:val="en-US" w:eastAsia="zh-CN"/>
        </w:rPr>
      </w:pPr>
    </w:p>
    <w:p>
      <w:pPr>
        <w:pStyle w:val="2"/>
        <w:rPr>
          <w:rFonts w:hint="eastAsia" w:ascii="仿宋" w:hAnsi="仿宋" w:eastAsia="仿宋" w:cs="仿宋"/>
          <w:color w:val="auto"/>
          <w:spacing w:val="-2"/>
          <w:sz w:val="30"/>
          <w:szCs w:val="30"/>
          <w:lang w:val="en-US" w:eastAsia="zh-CN"/>
        </w:rPr>
        <w:sectPr>
          <w:headerReference r:id="rId9" w:type="default"/>
          <w:pgSz w:w="16838" w:h="11905" w:orient="landscape"/>
          <w:pgMar w:top="3169" w:right="2041" w:bottom="1468" w:left="1587"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pageBreakBefore w:val="0"/>
        <w:widowControl w:val="0"/>
        <w:numPr>
          <w:ilvl w:val="0"/>
          <w:numId w:val="0"/>
        </w:numPr>
        <w:kinsoku/>
        <w:wordWrap/>
        <w:overflowPunct/>
        <w:topLinePunct w:val="0"/>
        <w:autoSpaceDE/>
        <w:autoSpaceDN/>
        <w:bidi w:val="0"/>
        <w:adjustRightInd/>
        <w:snapToGrid/>
        <w:spacing w:line="600" w:lineRule="exact"/>
        <w:ind w:leftChars="0"/>
        <w:jc w:val="center"/>
        <w:textAlignment w:val="auto"/>
        <w:rPr>
          <w:rFonts w:hint="eastAsia" w:ascii="方正小标宋简体" w:hAnsi="方正小标宋简体" w:eastAsia="方正小标宋简体" w:cs="方正小标宋简体"/>
          <w:sz w:val="44"/>
          <w:szCs w:val="44"/>
          <w:lang w:val="en-US" w:eastAsia="zh-CN"/>
        </w:rPr>
      </w:pPr>
      <w:bookmarkStart w:id="13" w:name="_Toc3904"/>
      <w:r>
        <w:rPr>
          <w:rFonts w:hint="eastAsia" w:ascii="方正小标宋简体" w:hAnsi="方正小标宋简体" w:eastAsia="方正小标宋简体" w:cs="方正小标宋简体"/>
          <w:sz w:val="44"/>
          <w:szCs w:val="44"/>
          <w:lang w:val="en-US" w:eastAsia="zh-CN"/>
        </w:rPr>
        <w:t>第三章区域概况及相关规划</w:t>
      </w:r>
      <w:bookmarkEnd w:id="13"/>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4" w:name="_Toc5062"/>
      <w:r>
        <w:rPr>
          <w:rFonts w:hint="default" w:ascii="黑体" w:hAnsi="黑体" w:eastAsia="黑体" w:cs="黑体"/>
          <w:color w:val="auto"/>
          <w:sz w:val="32"/>
          <w:szCs w:val="32"/>
          <w:lang w:val="en-US" w:eastAsia="zh-CN"/>
        </w:rPr>
        <w:t>3.1自然条件</w:t>
      </w:r>
      <w:bookmarkEnd w:id="14"/>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3.1.1地理位置</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位于四川省南部、乐山市西部，坐落在眉山、乐山、雅安、凉山四地交界处。地理坐标介于东经102°50′24″至103°10′24″，北纬29°00′24″至29°00′46″之间，东南与峨边自治县相邻，西与甘洛县、汉源县交界、北与洪雅县接壤，东北和峨眉山市相连，南北长42公里，东西宽约20公里，大渡河呈“∽”状南北流向横贯其间，全区幅员面积59816.39公顷（其中山地占99%，最低海拔530米，最高海拔3321米，最大落差2700米）。</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3.1.2地形地貌</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地处于四川西南部，总体地势呈西南高，东北低的趋势。区内最高点为南部共安乡境内的老鹰嘴，地面标高3321m；最低为东部吉星乡斑鸠嘴处的大渡河河谷，地面标高约530m。一般相对高差1000~2000m，最大相对高差达2700m。</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3.1.3区域地质</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地质构造部位属扬子准地台（Ⅰ级）、上扬子台拗（Ⅱ级）西缘，分属峨眉山断拱（III）级的瓦山断穹（IV）级和峨边断褶断束（IV）级。由于多期构造运动影响，地质构造叠加、复合、相互干涉的现象比较普遍，断层、褶皱发育，地质构造复杂。区内杨村断裂带为两个IV级构造单元的分解断裂。上扬子台坳峨眉山断拱在地质历史时期曾长期处于沉陷的构造背景下，接受了自中元古代以来巨厚的沉积。地层发育较为完整。区内褶皱、断裂发育；变质褶皱基底形成于晋宁期，主要表现为近东西向和南北向两组构造形迹；加里东期~燕山期，主要表现为块断运动特征；盖层褶皱形成喜马拉雅期，断裂往往姻袭古老断裂，褶皱构造以线性构造为主要特征，构造叠加、复合、相互干涉的现象比较普遍，南北向和北西向构造多数具有多期活动的特征，并对测区的地层沉积，岩浆活动，成矿作用起着明显的控制作用。</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3.1.4水文</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金口河区境内主要有过境干流大渡河，一级支流小河、金口河，二级支流野牛河、顺水河以及少量的高山湖泊。南北两岸的降水地带径流形如叶脉，都汇入了大渡河。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大渡河：干流全长1062km，四川省境内长852km，天然落差4175m，四川省境内2788m，流域面积90272km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，其中四川省境内6.80万km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，占全流域面积的91.5％，大渡河在金口河区的胜利乡白熊沟口流入乐山市境内，干流在乐山市境内河长172km，落差253m，平均比降约1.31‰，境内流域面积4610km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，境内河段38.65公里。年平均流量为1047m</w:t>
      </w:r>
      <w:r>
        <w:rPr>
          <w:rFonts w:hint="default" w:ascii="Times New Roman" w:hAnsi="Times New Roman" w:eastAsia="仿宋" w:cs="Times New Roman"/>
          <w:color w:val="auto"/>
          <w:spacing w:val="-2"/>
          <w:sz w:val="32"/>
          <w:szCs w:val="32"/>
          <w:vertAlign w:val="superscript"/>
          <w:lang w:val="en-US" w:eastAsia="zh-CN"/>
        </w:rPr>
        <w:t>3</w:t>
      </w:r>
      <w:r>
        <w:rPr>
          <w:rFonts w:hint="default" w:ascii="Times New Roman" w:hAnsi="Times New Roman" w:eastAsia="仿宋" w:cs="Times New Roman"/>
          <w:color w:val="auto"/>
          <w:spacing w:val="-2"/>
          <w:sz w:val="32"/>
          <w:szCs w:val="32"/>
          <w:lang w:val="en-US" w:eastAsia="zh-CN"/>
        </w:rPr>
        <w:t>/s，枯水期最小流量为320m</w:t>
      </w:r>
      <w:r>
        <w:rPr>
          <w:rFonts w:hint="default" w:ascii="Times New Roman" w:hAnsi="Times New Roman" w:eastAsia="仿宋" w:cs="Times New Roman"/>
          <w:color w:val="auto"/>
          <w:spacing w:val="-2"/>
          <w:sz w:val="32"/>
          <w:szCs w:val="32"/>
          <w:vertAlign w:val="superscript"/>
          <w:lang w:val="en-US" w:eastAsia="zh-CN"/>
        </w:rPr>
        <w:t>3</w:t>
      </w:r>
      <w:r>
        <w:rPr>
          <w:rFonts w:hint="default" w:ascii="Times New Roman" w:hAnsi="Times New Roman" w:eastAsia="仿宋" w:cs="Times New Roman"/>
          <w:color w:val="auto"/>
          <w:spacing w:val="-2"/>
          <w:sz w:val="32"/>
          <w:szCs w:val="32"/>
          <w:lang w:val="en-US" w:eastAsia="zh-CN"/>
        </w:rPr>
        <w:t>/s。大渡河平均比降1.2‰，干流在金口河区境内河长38.65km，河道平均比降3.8‰，境内集雨面积598km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落差147m。流域位于青藏高原南缘至四川盆地西部的过渡地带，总的地势是西北高、东南低，四周被崇山峻岭所包围，周界高程一般均在3000m以上，西部的贡嘎山是大雪山山脉的主峰，海拔高程7556m，是全省的最高峰。</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顺水河：大渡河左岸二级支流，发源于雅老贡山，河源海拔3110m，上源为青衣江水系的花溪河分水岭为界，中、下油与茅杆河、乌斯河相邻，全流域面积127.33km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，自东北向南流经永胜乡、金口河镇汇入金口河。顺水河河道总长20.2km，海拔高程750~3100m，相对高差达2360m，河流平均坡降88.2%。</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3.1.5气象气候</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属大渡河流域中下游地区，受山势地形的影响，属亚热带湿润季风气候区。冬季受西风带气流影响，寒冷少雨；夏季受东南暖湿所流控制，温湿多雨。在季节上具有春迟、夏短、秋早、冬长特点，并多低温、秋雨绵绵天气。降水较为丰沛，多年平均降水量1250mm~1500mm。境内高山林立，沟谷纵横，形成垂直立体气候，高中低山气温差异悬殊。在海拔1400米以下的地带，每上升100米，气温下降约0.6℃。高山山地亚冬带，海拔高度在1700米以上，年平均气温＜9.0℃，寒冷多雾多雪，结冰凌；中山山地暖湿带海拔在1200~1700米之间，年平均气温13.0℃~10.0℃，气温较低，雨水多，雾日较多，积雪日较短；低山河谷亚热带，海拔在1200米以下，为低热带区，年平均气温13.0℃，气候温暖，日照较足，雨量较少，无霜期长，干旱较为突出。</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3.1.6土地资源</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行政区域面积为59806.13公顷，其中，农用地56967.07公顷，占土地总面积的95.25%；建设用地840.95公顷，占土地总面积的1.41%；其他土地1998.11公顷，占土地总面积的3.34%。其中，耕地2545.13公顷，占土地总面积的4.26%，林地50945.20公顷，占土地总面积的85.18%。</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r>
        <w:rPr>
          <w:rFonts w:hint="default" w:ascii="黑体" w:hAnsi="黑体" w:eastAsia="黑体" w:cs="黑体"/>
          <w:color w:val="auto"/>
          <w:sz w:val="32"/>
          <w:szCs w:val="32"/>
          <w:lang w:val="en-US" w:eastAsia="zh-CN"/>
        </w:rPr>
        <w:t>3.1.7地震烈度</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根据《中国地震参数区划图》（GB 18306-2015），国家标准第1号修改单），乐山市金口河区抗震设防烈度为7度，设计基本地震加速度值为0.10g，属设计地震第二组。</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5" w:name="_Toc12662"/>
      <w:r>
        <w:rPr>
          <w:rFonts w:hint="default" w:ascii="黑体" w:hAnsi="黑体" w:eastAsia="黑体" w:cs="黑体"/>
          <w:color w:val="auto"/>
          <w:sz w:val="32"/>
          <w:szCs w:val="32"/>
          <w:lang w:val="en-US" w:eastAsia="zh-CN"/>
        </w:rPr>
        <w:t>3.2经济发展</w:t>
      </w:r>
      <w:bookmarkEnd w:id="15"/>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近年来，乐山市金口河区经济总量持续增长，稳步上升势头强劲。紧扣“产业发展年”经济工作主题，统筹推进稳增长、促改革、调结构、惠民生、防风险各项工作。经济运行总体平稳，稳中有进，经济社会发展取得新的成绩，产业结构呈现了“一稳、二降、三升”的变化趋势，转方式调结构初见成效。</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2023年，金口河区实现地区生产总值（GDP）38.47亿元，按可比价格计算，比上年增长4.3%。其中，第一产业增加值5.32亿元，增长3.1%；第二产业增加值18.60元，增长2.8%；第三产业增加值14.55亿元，增长7.0%。三次产业分别拉动GDP增长0.5、1.3和2.5个百分点，对经济增长的贡献率分别为10.9%、30.7%和58.5%。三次产业结构为：13.8:48.4:37.8。</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6" w:name="_Toc14221"/>
      <w:r>
        <w:rPr>
          <w:rFonts w:hint="default" w:ascii="黑体" w:hAnsi="黑体" w:eastAsia="黑体" w:cs="黑体"/>
          <w:color w:val="auto"/>
          <w:sz w:val="32"/>
          <w:szCs w:val="32"/>
          <w:lang w:val="en-US" w:eastAsia="zh-CN"/>
        </w:rPr>
        <w:t>3.3人口数量</w:t>
      </w:r>
      <w:bookmarkEnd w:id="16"/>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截至2023年末，金口河区总户数17594户，户籍人口46976人。出生人数487人，死亡人数448人，人口出生率10.4‰，死亡率9.5‰，自然增长率0.8‰。在总人口中，非农业人口14395人，农业人口32581人；男性人口24352人，女性人口22624人，人口性别比为107.6。年末常住人口3.8万人，城镇化率43.16%，比上年提高1个百分点</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7" w:name="_Toc9480"/>
      <w:r>
        <w:rPr>
          <w:rFonts w:hint="default" w:ascii="黑体" w:hAnsi="黑体" w:eastAsia="黑体" w:cs="黑体"/>
          <w:color w:val="auto"/>
          <w:sz w:val="32"/>
          <w:szCs w:val="32"/>
          <w:lang w:val="en-US" w:eastAsia="zh-CN"/>
        </w:rPr>
        <w:t>3.4建筑业发展状况</w:t>
      </w:r>
      <w:bookmarkEnd w:id="17"/>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根据《2023年乐山市统计年鉴》数据，2022年金口河区建筑业总产值4026万元，签订的合同额5603万元。全县2户营业的资质建筑企业，实现建筑业产值4026万元。全区2022年房屋建筑施工面积5179平方米。</w:t>
      </w:r>
    </w:p>
    <w:p>
      <w:pPr>
        <w:pStyle w:val="4"/>
        <w:pageBreakBefore w:val="0"/>
        <w:widowControl w:val="0"/>
        <w:numPr>
          <w:ilvl w:val="1"/>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color w:val="auto"/>
          <w:sz w:val="32"/>
          <w:szCs w:val="32"/>
          <w:lang w:val="en-US" w:eastAsia="zh-CN"/>
        </w:rPr>
      </w:pPr>
      <w:bookmarkStart w:id="18" w:name="_Toc17865"/>
      <w:r>
        <w:rPr>
          <w:rFonts w:hint="default" w:ascii="黑体" w:hAnsi="黑体" w:eastAsia="黑体" w:cs="黑体"/>
          <w:color w:val="auto"/>
          <w:sz w:val="32"/>
          <w:szCs w:val="32"/>
          <w:lang w:val="en-US" w:eastAsia="zh-CN"/>
        </w:rPr>
        <w:t>3.5相关规划</w:t>
      </w:r>
      <w:bookmarkEnd w:id="18"/>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3.5.1《乐山市金口河区国土空间总体规划（2021-2035年）》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eastAsia"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1.规划期限</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规划基期为2020年，规划期限为2021—2035年，近期到2025年，远期到2035年，展望到2050年。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2</w:t>
      </w:r>
      <w:r>
        <w:rPr>
          <w:rFonts w:hint="eastAsia" w:ascii="楷体" w:hAnsi="楷体" w:eastAsia="楷体" w:cs="楷体"/>
          <w:color w:val="auto"/>
          <w:spacing w:val="-2"/>
          <w:sz w:val="32"/>
          <w:szCs w:val="32"/>
          <w:lang w:val="en-US" w:eastAsia="zh-CN"/>
        </w:rPr>
        <w:t>.</w:t>
      </w:r>
      <w:r>
        <w:rPr>
          <w:rFonts w:hint="default" w:ascii="楷体" w:hAnsi="楷体" w:eastAsia="楷体" w:cs="楷体"/>
          <w:color w:val="auto"/>
          <w:spacing w:val="-2"/>
          <w:sz w:val="32"/>
          <w:szCs w:val="32"/>
          <w:lang w:val="en-US" w:eastAsia="zh-CN"/>
        </w:rPr>
        <w:t>规划范围</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规划层次分为全域和中心城区。全域范围包括2个镇、3个乡，总面积约598.06平方千米。中心城区范围包括永和镇、和平彝族乡部分城镇开发边界范围，总面积约2.26平方千米。</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3.</w:t>
      </w:r>
      <w:r>
        <w:rPr>
          <w:rFonts w:hint="default" w:ascii="楷体" w:hAnsi="楷体" w:eastAsia="楷体" w:cs="楷体"/>
          <w:color w:val="auto"/>
          <w:spacing w:val="-2"/>
          <w:sz w:val="32"/>
          <w:szCs w:val="32"/>
          <w:lang w:val="en-US" w:eastAsia="zh-CN"/>
        </w:rPr>
        <w:t>总体格局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立足区域发展态势，尊重自然地理特征，依据“三区三线”划定成果，结合资源环境承载能力评价和国土空间开发适应性评价，按照全域全要素思路，突出全域国土空间特征，构建“三廊三片、一谷两区、一心四点”的国土空间开发保护总体格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4.</w:t>
      </w:r>
      <w:r>
        <w:rPr>
          <w:rFonts w:hint="default" w:ascii="楷体" w:hAnsi="楷体" w:eastAsia="楷体" w:cs="楷体"/>
          <w:color w:val="auto"/>
          <w:spacing w:val="-2"/>
          <w:sz w:val="32"/>
          <w:szCs w:val="32"/>
          <w:lang w:val="en-US" w:eastAsia="zh-CN"/>
        </w:rPr>
        <w:t>路网布局</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规划构建符合金口河城区滨江带状城市特点的城市道路网络，以大渡河两岸各一条纵向主干道为骨架，加强跨江通道和支路建设。</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规划城区内部以常规公交为主，结合路网和用地布局特点，规划城区公交环线。规划以金口河汽车站承担城市公交枢纽功能。规划滨江休闲慢行带，串联各个组团的公园绿地，与城市道路人行道共同形成完善的城市慢行系统，支撑打造山水精品城市。</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5.</w:t>
      </w:r>
      <w:r>
        <w:rPr>
          <w:rFonts w:hint="default" w:ascii="楷体" w:hAnsi="楷体" w:eastAsia="楷体" w:cs="楷体"/>
          <w:color w:val="auto"/>
          <w:spacing w:val="-2"/>
          <w:sz w:val="32"/>
          <w:szCs w:val="32"/>
          <w:lang w:val="en-US" w:eastAsia="zh-CN"/>
        </w:rPr>
        <w:t>环卫工程</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实行垃圾分类收集、运输和处理，设置2处小型垃圾中转站，收集城区生活垃圾，由区环卫部门从垃圾压缩转运站，送至乐山市垃圾焚烧发电厂集中处理。结合新建金口河区建筑垃圾处理场，增加建筑垃圾资源化利用场地，对城区建筑垃圾采用建材制造等方式进行回收利用。城区危险废物可集中运至犍为的区域危险废物处置中心处理。公共厕所、环境卫生车辆停车场、环卫工人作息场所等环境卫生设施规模按照国家标准设置，其中环境卫生车辆停车场与垃圾压缩转运站合建，环卫工人作息场所结合公共厕所、垃圾转运站等设施配置。</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3.5.2《金口河区“无废城市”建设实施方案》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1" w:leftChars="0"/>
        <w:jc w:val="both"/>
        <w:textAlignment w:val="auto"/>
        <w:rPr>
          <w:rFonts w:hint="eastAsia"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1.总体目标</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全面推进以“山水画廊大峡谷·清洁无废金口河”为引领的金口河区“无废城市”建设，加快推进固体废物领域的生产生活方式向绿色低碳转型，突出生态优先、绿色发展。</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到2025年，“无废城市”建设制度体系、监管体系、市场体系和技术体系基本完善，固体废物源头减量化、资源化、无害化处置能力全面提升，“十四五”时期“无废城市”建设相关指标全面达成，“无废城市”宣传教育成效显著，打造一批以“无废景区”“无废工厂”“无废彝区”为代表的“无废细胞”，为乐山市“无废城市”创建贡献金口河力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1" w:leftChars="0"/>
        <w:jc w:val="both"/>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2</w:t>
      </w:r>
      <w:r>
        <w:rPr>
          <w:rFonts w:hint="eastAsia" w:ascii="楷体" w:hAnsi="楷体" w:eastAsia="楷体" w:cs="楷体"/>
          <w:color w:val="auto"/>
          <w:spacing w:val="-2"/>
          <w:sz w:val="32"/>
          <w:szCs w:val="32"/>
          <w:lang w:val="en-US" w:eastAsia="zh-CN"/>
        </w:rPr>
        <w:t>.</w:t>
      </w:r>
      <w:r>
        <w:rPr>
          <w:rFonts w:hint="default" w:ascii="楷体" w:hAnsi="楷体" w:eastAsia="楷体" w:cs="楷体"/>
          <w:color w:val="auto"/>
          <w:spacing w:val="-2"/>
          <w:sz w:val="32"/>
          <w:szCs w:val="32"/>
          <w:lang w:val="en-US" w:eastAsia="zh-CN"/>
        </w:rPr>
        <w:t>强化全过程管理，推进建筑垃圾资源综合利用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推动建筑垃圾源头减量。大力推动绿色设计、绿色施工、全装修交付等绿色建造，推广绿色建筑和绿色建材，大力发展装配式建筑和节能低碳建筑，提高装配式建筑占新建建筑比例，全面推进建筑垃圾源头减量。到2025年，绿色建筑占新建城镇建筑比例的100％，全区新开工装配式建筑占新建建筑的40％，装配式建筑单体建筑装配率不低于50％。</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完善建筑垃圾收运体系。积极谋划建筑垃圾堆放场建设，实施建筑垃圾分类，完善建筑垃圾收集体系，综合考虑建筑垃圾产生区域、产生量、运输距离等因素，合理规划布局建筑垃圾的收集、转运、临时处理、消纳处置、资源化利用等设施。</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提高建筑垃圾处置和资源化利用水平。积极引进建筑垃圾利用处置企业，推进拆除与综合利用一体化管理，加快推进建筑垃圾消纳场选址和建设。到2025年，完成建筑垃圾堆放场建设。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color w:val="auto"/>
          <w:spacing w:val="-2"/>
          <w:sz w:val="32"/>
          <w:szCs w:val="32"/>
          <w:lang w:val="en-US" w:eastAsia="zh-CN"/>
        </w:rPr>
        <w:t>强化建筑垃圾处理全过程监管。加强全区建筑垃圾收集、运输、中转、回填、消纳和利用等全过程监管，严厉打击乱倒乱埋等违法违规行为，建立建筑垃圾市场诚信体系，规范各类市场从业主体行为。</w:t>
      </w:r>
    </w:p>
    <w:p>
      <w:pPr>
        <w:spacing w:before="164" w:line="363" w:lineRule="auto"/>
        <w:ind w:left="279" w:firstLine="640"/>
        <w:jc w:val="both"/>
        <w:rPr>
          <w:rFonts w:hint="eastAsia" w:ascii="仿宋" w:hAnsi="仿宋" w:eastAsia="仿宋" w:cs="仿宋"/>
          <w:color w:val="auto"/>
          <w:spacing w:val="-2"/>
          <w:sz w:val="30"/>
          <w:szCs w:val="30"/>
          <w:lang w:val="en-US" w:eastAsia="zh-CN"/>
        </w:rPr>
      </w:pPr>
    </w:p>
    <w:p>
      <w:pPr>
        <w:spacing w:before="164" w:line="363" w:lineRule="auto"/>
        <w:ind w:left="279" w:firstLine="640"/>
        <w:jc w:val="both"/>
        <w:rPr>
          <w:rFonts w:hint="eastAsia" w:ascii="仿宋" w:hAnsi="仿宋" w:eastAsia="仿宋" w:cs="仿宋"/>
          <w:color w:val="auto"/>
          <w:spacing w:val="-2"/>
          <w:sz w:val="30"/>
          <w:szCs w:val="30"/>
          <w:lang w:val="en-US" w:eastAsia="zh-CN"/>
        </w:rPr>
        <w:sectPr>
          <w:headerReference r:id="rId10" w:type="default"/>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19" w:name="_Toc11935"/>
      <w:r>
        <w:rPr>
          <w:rFonts w:hint="eastAsia" w:ascii="方正小标宋简体" w:hAnsi="方正小标宋简体" w:eastAsia="方正小标宋简体" w:cs="方正小标宋简体"/>
          <w:sz w:val="44"/>
          <w:szCs w:val="44"/>
          <w:lang w:val="en-US" w:eastAsia="zh-CN"/>
        </w:rPr>
        <w:t>第四章建筑垃圾治理现状概况及分析</w:t>
      </w:r>
      <w:bookmarkEnd w:id="19"/>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20" w:name="_Toc16060"/>
      <w:r>
        <w:rPr>
          <w:rFonts w:hint="eastAsia" w:ascii="黑体" w:hAnsi="黑体" w:eastAsia="黑体" w:cs="黑体"/>
          <w:b/>
          <w:bCs/>
          <w:color w:val="auto"/>
          <w:kern w:val="2"/>
          <w:sz w:val="32"/>
          <w:szCs w:val="32"/>
          <w:lang w:val="en-US" w:eastAsia="zh-CN"/>
        </w:rPr>
        <w:t>4.1产生量预测</w:t>
      </w:r>
      <w:bookmarkEnd w:id="20"/>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4.1.1预测方法</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根据《建筑垃圾处理技术标准》（CJJ/T134-2019）对工程渣土和工程泥浆工程垃圾、装修垃圾和装修垃圾的产生量进行估算。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0"/>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bidi="ar-SA"/>
        </w:rPr>
        <w:t>（1）</w:t>
      </w:r>
      <w:r>
        <w:rPr>
          <w:rFonts w:hint="eastAsia" w:ascii="楷体" w:hAnsi="楷体" w:eastAsia="楷体" w:cs="楷体"/>
          <w:b/>
          <w:bCs/>
          <w:color w:val="auto"/>
          <w:spacing w:val="-2"/>
          <w:sz w:val="32"/>
          <w:szCs w:val="32"/>
          <w:lang w:val="en-US" w:eastAsia="zh-CN"/>
        </w:rPr>
        <w:t>工程渣土和工程泥浆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渣土、工程泥浆可结合现场地形、设计资料及施工工艺等综合确定。因脱水后的工程泥浆多与工程渣土一同处置，故本次将工程泥浆产生量计入工程渣土的预测量中，不单独进行预测。结合四川省工程渣土产生量预测方法，确定本次预测计算方法如下：</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工程渣土产生量=新增建筑面积×单位面积工程渣土产生量基数</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参照多地工程渣土经验算法，结合四川省近年来单位面积工程渣土产生量基数及工程渣土减量化措施，本规划确定工程渣土计算指标为2000吨/公顷。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（2）工程垃圾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工程垃圾产生量可按下式进行计算：</w:t>
      </w:r>
    </w:p>
    <w:p>
      <w:pPr>
        <w:keepNext w:val="0"/>
        <w:keepLines w:val="0"/>
        <w:pageBreakBefore w:val="0"/>
        <w:widowControl w:val="0"/>
        <w:kinsoku/>
        <w:wordWrap/>
        <w:overflowPunct/>
        <w:topLinePunct w:val="0"/>
        <w:autoSpaceDE/>
        <w:autoSpaceDN/>
        <w:bidi w:val="0"/>
        <w:adjustRightInd/>
        <w:snapToGrid/>
        <w:spacing w:before="166" w:beforeLines="50" w:line="600" w:lineRule="exact"/>
        <w:jc w:val="center"/>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sz w:val="32"/>
          <w:szCs w:val="32"/>
        </w:rPr>
        <w:drawing>
          <wp:inline distT="0" distB="0" distL="114300" distR="114300">
            <wp:extent cx="1148715" cy="33655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148715" cy="336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式中：Mg——某城市或区域工程垃圾产生量（t/a）；</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Rg——城市或区域新增建筑面积（10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/a）；</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mg——单位面积工程垃圾产生量基数（t/10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），可取300t/10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～800t/10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在推进建筑垃圾源头减量、加快推进绿色建筑高质量发展背景下，结合金口河城市空间规划和城市发展目标，本次规划近远期单位面积工程垃圾产生量基数（mg）取500t/10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（3）装修垃圾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装修垃圾产生量可按下式进行计算：</w:t>
      </w:r>
    </w:p>
    <w:p>
      <w:pPr>
        <w:keepNext w:val="0"/>
        <w:keepLines w:val="0"/>
        <w:pageBreakBefore w:val="0"/>
        <w:widowControl w:val="0"/>
        <w:kinsoku/>
        <w:wordWrap/>
        <w:overflowPunct/>
        <w:topLinePunct w:val="0"/>
        <w:autoSpaceDE/>
        <w:autoSpaceDN/>
        <w:bidi w:val="0"/>
        <w:adjustRightInd/>
        <w:snapToGrid/>
        <w:spacing w:before="166" w:beforeLines="50" w:line="600" w:lineRule="exact"/>
        <w:jc w:val="center"/>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sz w:val="32"/>
          <w:szCs w:val="32"/>
        </w:rPr>
        <w:drawing>
          <wp:inline distT="0" distB="0" distL="114300" distR="114300">
            <wp:extent cx="965200" cy="296545"/>
            <wp:effectExtent l="0" t="0" r="635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965200" cy="296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Rz——城市或区域居民户数（户）；</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bscript"/>
          <w:lang w:val="en-US" w:eastAsia="zh-CN"/>
        </w:rPr>
        <w:t>z</w:t>
      </w:r>
      <w:r>
        <w:rPr>
          <w:rFonts w:hint="default" w:ascii="Times New Roman" w:hAnsi="Times New Roman" w:eastAsia="仿宋" w:cs="Times New Roman"/>
          <w:color w:val="auto"/>
          <w:spacing w:val="-2"/>
          <w:sz w:val="32"/>
          <w:szCs w:val="32"/>
          <w:lang w:val="en-US" w:eastAsia="zh-CN"/>
        </w:rPr>
        <w:t>——单位户数装修垃圾产生量基数[t/（户·a）]，可取0.5t/（户·a）～1.0t/（户·a）。</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结合历史经验、调研结果、城市发展等因素，规划期内装修频次按1次计，单位户数装修垃圾产生量基数（m</w:t>
      </w:r>
      <w:r>
        <w:rPr>
          <w:rFonts w:hint="default" w:ascii="Times New Roman" w:hAnsi="Times New Roman" w:eastAsia="仿宋" w:cs="Times New Roman"/>
          <w:color w:val="auto"/>
          <w:spacing w:val="-2"/>
          <w:sz w:val="32"/>
          <w:szCs w:val="32"/>
          <w:vertAlign w:val="subscript"/>
          <w:lang w:val="en-US" w:eastAsia="zh-CN"/>
        </w:rPr>
        <w:t>z</w:t>
      </w:r>
      <w:r>
        <w:rPr>
          <w:rFonts w:hint="default" w:ascii="Times New Roman" w:hAnsi="Times New Roman" w:eastAsia="仿宋" w:cs="Times New Roman"/>
          <w:color w:val="auto"/>
          <w:spacing w:val="-2"/>
          <w:sz w:val="32"/>
          <w:szCs w:val="32"/>
          <w:lang w:val="en-US" w:eastAsia="zh-CN"/>
        </w:rPr>
        <w:t>）取0.8t/（户·a）。</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（4）拆除垃圾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拆除垃圾可按下列方式进行计算：</w:t>
      </w:r>
    </w:p>
    <w:p>
      <w:pPr>
        <w:keepNext w:val="0"/>
        <w:keepLines w:val="0"/>
        <w:pageBreakBefore w:val="0"/>
        <w:widowControl w:val="0"/>
        <w:kinsoku/>
        <w:wordWrap/>
        <w:overflowPunct/>
        <w:topLinePunct w:val="0"/>
        <w:autoSpaceDE/>
        <w:autoSpaceDN/>
        <w:bidi w:val="0"/>
        <w:adjustRightInd/>
        <w:snapToGrid/>
        <w:spacing w:before="166" w:beforeLines="50" w:line="600" w:lineRule="exact"/>
        <w:jc w:val="center"/>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sz w:val="32"/>
          <w:szCs w:val="32"/>
        </w:rPr>
        <w:drawing>
          <wp:inline distT="0" distB="0" distL="114300" distR="114300">
            <wp:extent cx="1069975" cy="288290"/>
            <wp:effectExtent l="0" t="0" r="1587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1069975" cy="288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式中：Mc——某城市或区域拆除垃圾产生量（t/a）；</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Rc——城市或区域拆除面积（10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 xml:space="preserve">/a）；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mc——单位面积拆除垃圾产生量基数（t/10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），可取8000t/10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～13000t/10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根据历史经验、近期年均房屋拆迁面积等因素，单位面积拆除垃圾产生量基数（mc）取12000t/10</w:t>
      </w:r>
      <w:r>
        <w:rPr>
          <w:rFonts w:hint="default" w:ascii="Times New Roman" w:hAnsi="Times New Roman" w:eastAsia="仿宋" w:cs="Times New Roman"/>
          <w:color w:val="auto"/>
          <w:spacing w:val="-2"/>
          <w:sz w:val="32"/>
          <w:szCs w:val="32"/>
          <w:vertAlign w:val="superscript"/>
          <w:lang w:val="en-US" w:eastAsia="zh-CN"/>
        </w:rPr>
        <w:t>4</w:t>
      </w:r>
      <w:r>
        <w:rPr>
          <w:rFonts w:hint="default" w:ascii="Times New Roman" w:hAnsi="Times New Roman" w:eastAsia="仿宋" w:cs="Times New Roman"/>
          <w:color w:val="auto"/>
          <w:spacing w:val="-2"/>
          <w:sz w:val="32"/>
          <w:szCs w:val="32"/>
          <w:lang w:val="en-US" w:eastAsia="zh-CN"/>
        </w:rPr>
        <w:t>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4.1.2预测计算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（1）工程渣土和工程泥浆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因脱水后的工程泥浆多与工程渣土一同处置，故本次将工程泥浆产生量计入工程渣土的预测量中，不单独进行预测。</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乐山市金口河区国土空间总体规划（2021—2035年）》，金口河中心城区建设用地规模0.902平方千米，规划至2035年中心城区建设用地2.26平方千米，新增中心城区建设用地1.358平方千米。取容积率为2.0。按照理论模型预测，结合统计出的金口河区规划新开工建筑面积数据，综合预测得出规划期内新开工建筑面积。</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根据章节4.1.1计算得出，金口河中心城区规划期内工程渣土产生总量为0.54万吨。规划近期暂无新开楼盘，产生总量为0万吨，规划远期产生总量为0.54万吨。</w:t>
      </w:r>
    </w:p>
    <w:p>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工程垃圾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住房和城乡建设部关于推进建筑垃圾减量化的指导意见》（建质〔2020〕46号），2025年底新建建筑施工现场建筑垃圾（不包括工程渣土和工程泥浆）排放量每万平方米不高于300吨，装配式建筑施工现场建筑垃圾（不包括工程渣土和工程泥浆）排放量每万平方米不高于200吨；本规划近期单位面积工程垃圾产生量基数取280吨/万平方米，远期取260吨/万平方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根据理论模型的预测，结合章节4.1.1公式计算得出，金口河中心城区规划期内工程垃圾产生总量为3.53万吨。规划近期产生总量为0万吨，规划远期产生总量为3.53万吨。</w:t>
      </w:r>
    </w:p>
    <w:p>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装修垃圾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参考《乐山市金口河区国土空间总体规划（2021—2035年）》规划至2030年，金口河中心城区常住人口1.95万人；规划至2035年，金口河中心城区常住人口2.65万人。按照3人/户计算。根据理论模型对人口变化的预测，结合章节4.1.1公式计算得出，金口河中心城区规划期内装修垃圾产生总量为2.12万吨。规划近期产生总量为1.56万吨，规划远期产生总量为0.56万吨。</w:t>
      </w:r>
    </w:p>
    <w:p>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0" w:leftChars="0" w:firstLine="641" w:firstLineChars="0"/>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拆除垃圾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考虑城市建设用地不断扩张、城市国土空间格局不断优化，根据历史经验、调研结果、近期年均房屋拆迁面积等因素，预测金口河中心城区2035年拆除总建筑面积为0.4平方千米。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根据理论模型预测，结合章节4.1.1公式计算得出，金口河中心城区规划期内拆除垃圾产生总量为0.48万吨。规划近期产生总量为0.288万吨，规划远期产生总量为0.192万吨。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4.1.3预测结果汇总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同时结合其他城市工程经验，1立方米工程渣土、工程垃圾及拆除垃圾重量均约为1.6吨，1立方米装修垃圾重量约为0.9吨。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综合上述预测结果，2030年金口河中心城区建筑垃圾产生量为1.848万吨（1.91万立方米），其中工程渣土、工程垃圾产生量为0，拆除垃圾产生量为0.288万吨（0.18万立方米），装修垃圾产生量为1.56万吨（1.73万立方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2035年金口河中心城区建筑垃圾产生量为4.822万吨（3.28万立方米），其中工程渣土产生量为0.54万吨（0.33万立方米），工程垃圾产生量为3.53万吨（2.21万立方米），拆除垃圾产生量为0.192万吨（0.12万立方米），装修垃圾产生量为0.56万吨（0.62万立方米）</w:t>
      </w:r>
    </w:p>
    <w:p>
      <w:pPr>
        <w:keepNext w:val="0"/>
        <w:keepLines w:val="0"/>
        <w:pageBreakBefore w:val="0"/>
        <w:widowControl w:val="0"/>
        <w:kinsoku/>
        <w:wordWrap/>
        <w:overflowPunct/>
        <w:topLinePunct w:val="0"/>
        <w:autoSpaceDE/>
        <w:autoSpaceDN/>
        <w:bidi w:val="0"/>
        <w:adjustRightInd/>
        <w:snapToGrid/>
        <w:spacing w:after="661" w:afterLines="200" w:line="600" w:lineRule="exact"/>
        <w:ind w:left="0" w:firstLine="641"/>
        <w:jc w:val="both"/>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color w:val="auto"/>
          <w:spacing w:val="-2"/>
          <w:sz w:val="32"/>
          <w:szCs w:val="32"/>
          <w:lang w:val="en-US" w:eastAsia="zh-CN"/>
        </w:rPr>
        <w:t>具体结果如下表所示：</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pacing w:val="-2"/>
          <w:sz w:val="30"/>
          <w:szCs w:val="30"/>
          <w:lang w:val="en-US" w:eastAsia="zh-CN"/>
        </w:rPr>
      </w:pPr>
      <w:r>
        <w:rPr>
          <w:rFonts w:hint="default" w:ascii="Times New Roman" w:hAnsi="Times New Roman" w:eastAsia="仿宋" w:cs="Times New Roman"/>
          <w:b/>
          <w:bCs/>
          <w:color w:val="auto"/>
          <w:spacing w:val="-2"/>
          <w:sz w:val="30"/>
          <w:szCs w:val="30"/>
          <w:lang w:val="en-US" w:eastAsia="zh-CN"/>
        </w:rPr>
        <w:t>表4-1金口河区中心城区建筑垃圾产生量测算（2025—2035）</w:t>
      </w:r>
    </w:p>
    <w:tbl>
      <w:tblPr>
        <w:tblStyle w:val="234"/>
        <w:tblW w:w="81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1"/>
        <w:gridCol w:w="1676"/>
        <w:gridCol w:w="1529"/>
        <w:gridCol w:w="1464"/>
        <w:gridCol w:w="1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类别</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近期产量（2030）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（万吨/年）</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近期产量（2030）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（万m</w:t>
            </w:r>
            <w:r>
              <w:rPr>
                <w:rFonts w:hint="default" w:ascii="Times New Roman" w:hAnsi="Times New Roman" w:eastAsia="仿宋" w:cs="Times New Roman"/>
                <w:i w:val="0"/>
                <w:iCs w:val="0"/>
                <w:color w:val="auto"/>
                <w:kern w:val="0"/>
                <w:sz w:val="28"/>
                <w:szCs w:val="28"/>
                <w:u w:val="none"/>
                <w:vertAlign w:val="superscript"/>
                <w:lang w:val="en-US" w:eastAsia="zh-CN" w:bidi="ar"/>
              </w:rPr>
              <w:t>3</w:t>
            </w:r>
            <w:r>
              <w:rPr>
                <w:rFonts w:hint="default" w:ascii="Times New Roman" w:hAnsi="Times New Roman" w:eastAsia="仿宋" w:cs="Times New Roman"/>
                <w:i w:val="0"/>
                <w:iCs w:val="0"/>
                <w:color w:val="auto"/>
                <w:kern w:val="0"/>
                <w:sz w:val="28"/>
                <w:szCs w:val="28"/>
                <w:u w:val="none"/>
                <w:lang w:val="en-US" w:eastAsia="zh-CN" w:bidi="ar"/>
              </w:rPr>
              <w:t>/年）</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远期产量（2035）</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（万吨/年）</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远期产量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（2035）</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（万m</w:t>
            </w:r>
            <w:r>
              <w:rPr>
                <w:rFonts w:hint="default" w:ascii="Times New Roman" w:hAnsi="Times New Roman" w:eastAsia="仿宋" w:cs="Times New Roman"/>
                <w:i w:val="0"/>
                <w:iCs w:val="0"/>
                <w:color w:val="auto"/>
                <w:kern w:val="0"/>
                <w:sz w:val="28"/>
                <w:szCs w:val="28"/>
                <w:u w:val="none"/>
                <w:vertAlign w:val="superscript"/>
                <w:lang w:val="en-US" w:eastAsia="zh-CN" w:bidi="ar"/>
              </w:rPr>
              <w:t>3</w:t>
            </w:r>
            <w:r>
              <w:rPr>
                <w:rFonts w:hint="default" w:ascii="Times New Roman" w:hAnsi="Times New Roman" w:eastAsia="仿宋" w:cs="Times New Roman"/>
                <w:i w:val="0"/>
                <w:iCs w:val="0"/>
                <w:color w:val="auto"/>
                <w:kern w:val="0"/>
                <w:sz w:val="28"/>
                <w:szCs w:val="28"/>
                <w:u w:val="none"/>
                <w:lang w:val="en-US" w:eastAsia="zh-CN" w:bidi="ar"/>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工程渣土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（含工程泥浆）</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0.54</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工程垃圾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3.53</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装修垃圾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1.56</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1.73</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0.56</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拆除垃圾</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0.288</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0.18</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0.192</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94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合计</w:t>
            </w:r>
          </w:p>
        </w:tc>
        <w:tc>
          <w:tcPr>
            <w:tcW w:w="167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1.848</w:t>
            </w:r>
          </w:p>
        </w:tc>
        <w:tc>
          <w:tcPr>
            <w:tcW w:w="152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1.91</w:t>
            </w:r>
          </w:p>
        </w:tc>
        <w:tc>
          <w:tcPr>
            <w:tcW w:w="146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4.822</w:t>
            </w:r>
          </w:p>
        </w:tc>
        <w:tc>
          <w:tcPr>
            <w:tcW w:w="151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仿宋" w:cs="Times New Roman"/>
                <w:i w:val="0"/>
                <w:iCs w:val="0"/>
                <w:color w:val="auto"/>
                <w:kern w:val="0"/>
                <w:sz w:val="28"/>
                <w:szCs w:val="28"/>
                <w:u w:val="none"/>
                <w:lang w:val="en-US" w:eastAsia="zh-CN" w:bidi="ar"/>
              </w:rPr>
            </w:pPr>
            <w:r>
              <w:rPr>
                <w:rFonts w:hint="default" w:ascii="Times New Roman" w:hAnsi="Times New Roman" w:eastAsia="仿宋" w:cs="Times New Roman"/>
                <w:i w:val="0"/>
                <w:iCs w:val="0"/>
                <w:color w:val="auto"/>
                <w:kern w:val="0"/>
                <w:sz w:val="28"/>
                <w:szCs w:val="28"/>
                <w:u w:val="none"/>
                <w:lang w:val="en-US" w:eastAsia="zh-CN" w:bidi="ar"/>
              </w:rPr>
              <w:t>3.28</w:t>
            </w:r>
          </w:p>
        </w:tc>
      </w:tr>
    </w:tbl>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4.2综合处置模式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不同类型的建筑垃圾其组成、产生源和资源属性均不同，这决定其处置利用方式和优先次序不同。参考《建筑垃圾处理技术标准》（CJJT134-2019）对建筑垃圾的处理及利用优先次序如下：</w:t>
      </w:r>
    </w:p>
    <w:p>
      <w:pPr>
        <w:pStyle w:val="2"/>
        <w:rPr>
          <w:rFonts w:hint="default" w:ascii="Times New Roman" w:hAnsi="Times New Roman" w:eastAsia="仿宋" w:cs="Times New Roman"/>
          <w:color w:val="auto"/>
          <w:spacing w:val="-2"/>
          <w:sz w:val="32"/>
          <w:szCs w:val="32"/>
          <w:lang w:val="en-US" w:eastAsia="zh-CN"/>
        </w:rPr>
      </w:pPr>
    </w:p>
    <w:p>
      <w:pPr>
        <w:pStyle w:val="2"/>
        <w:rPr>
          <w:rFonts w:hint="default" w:ascii="Times New Roman" w:hAnsi="Times New Roman" w:eastAsia="仿宋" w:cs="Times New Roman"/>
          <w:color w:val="auto"/>
          <w:spacing w:val="-2"/>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166" w:beforeLines="50"/>
        <w:jc w:val="center"/>
        <w:textAlignment w:val="auto"/>
        <w:rPr>
          <w:rFonts w:hint="eastAsia" w:ascii="黑体" w:hAnsi="黑体" w:eastAsia="黑体" w:cs="黑体"/>
          <w:b/>
          <w:bCs/>
          <w:color w:val="auto"/>
          <w:spacing w:val="-2"/>
          <w:sz w:val="30"/>
          <w:szCs w:val="30"/>
          <w:lang w:val="en-US" w:eastAsia="zh-CN"/>
        </w:rPr>
      </w:pPr>
      <w:r>
        <w:rPr>
          <w:rFonts w:hint="eastAsia" w:ascii="黑体" w:hAnsi="黑体" w:eastAsia="黑体" w:cs="黑体"/>
          <w:b/>
          <w:bCs/>
          <w:color w:val="auto"/>
          <w:spacing w:val="-2"/>
          <w:sz w:val="30"/>
          <w:szCs w:val="30"/>
          <w:lang w:val="en-US" w:eastAsia="zh-CN"/>
        </w:rPr>
        <w:t>表4-2建筑垃圾处理及利用优先次序</w:t>
      </w:r>
    </w:p>
    <w:tbl>
      <w:tblPr>
        <w:tblStyle w:val="40"/>
        <w:tblW w:w="82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0"/>
        <w:gridCol w:w="1773"/>
        <w:gridCol w:w="5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2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auto"/>
                <w:kern w:val="0"/>
                <w:sz w:val="28"/>
                <w:szCs w:val="28"/>
                <w:u w:val="none"/>
                <w:lang w:val="en-US" w:eastAsia="zh-CN" w:bidi="ar"/>
              </w:rPr>
            </w:pPr>
            <w:r>
              <w:rPr>
                <w:rFonts w:hint="eastAsia" w:ascii="仿宋" w:hAnsi="仿宋" w:eastAsia="仿宋" w:cs="仿宋"/>
                <w:b/>
                <w:bCs/>
                <w:i w:val="0"/>
                <w:iCs w:val="0"/>
                <w:color w:val="auto"/>
                <w:kern w:val="0"/>
                <w:sz w:val="28"/>
                <w:szCs w:val="28"/>
                <w:u w:val="none"/>
                <w:lang w:val="en-US" w:eastAsia="zh-CN" w:bidi="ar"/>
              </w:rPr>
              <w:t>类型</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auto"/>
                <w:kern w:val="0"/>
                <w:sz w:val="28"/>
                <w:szCs w:val="28"/>
                <w:u w:val="none"/>
                <w:lang w:val="en-US" w:eastAsia="zh-CN" w:bidi="ar"/>
              </w:rPr>
            </w:pPr>
            <w:r>
              <w:rPr>
                <w:rFonts w:hint="eastAsia" w:ascii="仿宋" w:hAnsi="仿宋" w:eastAsia="仿宋" w:cs="仿宋"/>
                <w:b/>
                <w:bCs/>
                <w:i w:val="0"/>
                <w:iCs w:val="0"/>
                <w:color w:val="auto"/>
                <w:kern w:val="0"/>
                <w:sz w:val="28"/>
                <w:szCs w:val="28"/>
                <w:u w:val="none"/>
                <w:lang w:val="en-US" w:eastAsia="zh-CN" w:bidi="ar"/>
              </w:rPr>
              <w:t>处理及利用优先次序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jc w:val="center"/>
        </w:trPr>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垃圾</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工程渣土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工程泥浆</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资源化利用；堆填；</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作为生活垃圾填埋场覆盖用土；填埋处置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工程垃圾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拆除垃圾</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资源化利用；堆填；填埋处置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装修垃圾</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28"/>
                <w:szCs w:val="28"/>
                <w:u w:val="none"/>
                <w:lang w:val="en-US" w:eastAsia="zh-CN" w:bidi="ar"/>
              </w:rPr>
              <w:t>资源化利用；填埋处置</w:t>
            </w:r>
          </w:p>
        </w:tc>
      </w:tr>
    </w:tbl>
    <w:p>
      <w:pPr>
        <w:keepNext w:val="0"/>
        <w:keepLines w:val="0"/>
        <w:pageBreakBefore w:val="0"/>
        <w:widowControl/>
        <w:suppressLineNumbers w:val="0"/>
        <w:kinsoku/>
        <w:wordWrap/>
        <w:overflowPunct/>
        <w:topLinePunct w:val="0"/>
        <w:autoSpaceDE/>
        <w:autoSpaceDN/>
        <w:bidi w:val="0"/>
        <w:adjustRightInd w:val="0"/>
        <w:snapToGrid w:val="0"/>
        <w:spacing w:before="166" w:beforeLines="50"/>
        <w:jc w:val="left"/>
        <w:textAlignment w:val="auto"/>
        <w:rPr>
          <w:rFonts w:hint="default" w:ascii="黑体" w:hAnsi="黑体" w:eastAsia="黑体" w:cs="黑体"/>
          <w:b/>
          <w:bCs/>
          <w:color w:val="auto"/>
          <w:spacing w:val="-2"/>
          <w:sz w:val="30"/>
          <w:szCs w:val="30"/>
          <w:lang w:val="en-US" w:eastAsia="zh-CN"/>
        </w:rPr>
      </w:pPr>
      <w:r>
        <w:rPr>
          <w:rFonts w:hint="default" w:ascii="黑体" w:hAnsi="黑体" w:eastAsia="黑体" w:cs="黑体"/>
          <w:b/>
          <w:bCs/>
          <w:color w:val="auto"/>
          <w:spacing w:val="-2"/>
          <w:sz w:val="30"/>
          <w:szCs w:val="30"/>
          <w:lang w:val="en-US" w:eastAsia="zh-CN"/>
        </w:rPr>
        <w:t xml:space="preserve">4.2.1工程渣土和工程泥浆处置模式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工程渣土和工程泥浆统一进入临时弃土场进行存放处理，通过全市的统筹协调分配，将工程渣土和工程泥浆运送至各综合利用点位进行处理，减少对固定处理场库容的占用，实现工程渣土和工程泥浆的综合利用。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依托建筑垃圾信息发布平台，加强工程渣土供应工地和需求工地之间的信息流通，推动建设项目间的工程渣土平衡利用。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4.2.2工程垃圾、拆除垃圾和装修垃圾处置模式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垃圾、拆除垃圾和装修垃圾需由处置单位进行分类后进入建筑垃圾资源化处理厂。进入资源化处理厂首先进行分选，将纸布、塑料、木材、钢筋、金属等轻物质和可回收物质分选出来，分别进入生活垃圾焚烧系统和可回收系统，之后将惰性物质送入资源化处理设备，将可资源化的建筑垃圾（如砼块、砖块、碎石、瓷砖等）进行破碎筛分，获得再生骨料等物质，剩余不可资源化的惰性物质送入固定消纳场进行处理。</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888" w:firstLineChars="300"/>
        <w:jc w:val="both"/>
        <w:textAlignment w:val="auto"/>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21" w:name="_Toc27313"/>
      <w:r>
        <w:rPr>
          <w:rFonts w:hint="eastAsia" w:ascii="方正小标宋简体" w:hAnsi="方正小标宋简体" w:eastAsia="方正小标宋简体" w:cs="方正小标宋简体"/>
          <w:sz w:val="44"/>
          <w:szCs w:val="44"/>
          <w:lang w:val="en-US" w:eastAsia="zh-CN"/>
        </w:rPr>
        <w:t>第五章收集运输体系</w:t>
      </w:r>
      <w:bookmarkEnd w:id="21"/>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22" w:name="_Toc23902"/>
      <w:r>
        <w:rPr>
          <w:rFonts w:hint="eastAsia" w:ascii="黑体" w:hAnsi="黑体" w:eastAsia="黑体" w:cs="黑体"/>
          <w:b/>
          <w:bCs/>
          <w:color w:val="auto"/>
          <w:kern w:val="2"/>
          <w:sz w:val="32"/>
          <w:szCs w:val="32"/>
          <w:lang w:val="en-US" w:eastAsia="zh-CN"/>
        </w:rPr>
        <w:t>5.1分类收集规划</w:t>
      </w:r>
      <w:bookmarkEnd w:id="22"/>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5.1.1体系规划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不同建筑垃圾产生源的分布情况，结合建筑垃圾处置方式和服务范围，确定建筑垃圾收运方式和收运流程，明确转运设施布局，规范收运公司要求，因地制宜地推进建筑垃圾分类收集和运输。依托信息化管理技术与平台，建立覆盖建筑垃圾收运处置全过程的电子联单跟踪系统，实现闭环监管，构建收运体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建筑垃圾的收运主体为建筑垃圾产生单位，由建筑垃圾产生单位委托有资质的收运公司进行运输。工程垃圾、拆除垃圾、工程渣土、工程泥浆的收运主体为施工单位，装修垃圾的收运主体为物业公司或居民。</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5.1.2分类收集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1.工程渣土收集规划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b w:val="0"/>
          <w:bCs w:val="0"/>
          <w:color w:val="auto"/>
          <w:spacing w:val="-2"/>
          <w:sz w:val="32"/>
          <w:szCs w:val="32"/>
          <w:lang w:val="en-US" w:eastAsia="zh-CN"/>
        </w:rPr>
      </w:pPr>
      <w:r>
        <w:rPr>
          <w:rFonts w:hint="eastAsia" w:ascii="仿宋" w:hAnsi="仿宋" w:eastAsia="仿宋" w:cs="仿宋"/>
          <w:b w:val="0"/>
          <w:bCs w:val="0"/>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①工程渣土应当随挖随运，因特殊原因确实需要临时存放的工程渣土应在施工现场安全区域集中堆放，堆放高度不应超出围挡（墙）高度，并与围挡（墙）及基坑周边保持安全距离，与现有的建筑物或构筑物保持安全距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②堆放建筑垃圾时，堆放高度高出地坪不宜超过3米，当超过3米时，应进行堆体和地基稳定性验算，保证堆体和地基的稳定安全。当堆场场地附近有挖方工程时，应进行堆体和挖方边坡稳定性验算，保证挖方工程安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仿宋" w:hAnsi="仿宋" w:eastAsia="仿宋" w:cs="仿宋"/>
          <w:b w:val="0"/>
          <w:bCs w:val="0"/>
          <w:color w:val="auto"/>
          <w:spacing w:val="-2"/>
          <w:sz w:val="32"/>
          <w:szCs w:val="32"/>
          <w:lang w:val="en-US" w:eastAsia="zh-CN"/>
        </w:rPr>
      </w:pPr>
      <w:r>
        <w:rPr>
          <w:rFonts w:hint="default" w:ascii="仿宋" w:hAnsi="仿宋" w:eastAsia="仿宋" w:cs="仿宋"/>
          <w:b w:val="0"/>
          <w:bCs w:val="0"/>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2.工程泥浆收集规划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有产生工程泥浆的施工现场应设置泥浆池，工程泥浆应通过泥浆池进行收集，泥浆池应设置防护栏，并挂设“泥浆池危险请勿靠近”安全警示牌。</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产生工程泥浆的施工场地，宜实施现场泥浆脱水处置。现场泥浆脱水处置，宜配备收集管网、沉淀池、泥饼堆场等设施。</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3.工程垃圾收集规划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①柱基工程的工程桩桩头、基坑工程的混凝土支护构件可统一收集。现场破碎、分离混凝土和钢筋时，混凝土和钢筋应分类堆放。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②道路混凝土或沥青混合料应单独收集。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③其他工程垃圾不应与工程桩桩头、支撑或道路混凝土、沥青混合料混杂。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4.拆除垃圾收集规划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房屋等建（构）筑物拆除前应清除、腾空内部可移动设施、设备、家具等物品。附属构件（门、窗等）可先于主体结构拆除，分类堆放。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拆除的混凝土梁、柱、楼板构件或其他预制件可统一破碎后收集。砖瓦宜分类堆放。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收集主体为施工单位。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5.装修垃圾收集规划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（1）收集规划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①装修垃圾的收集实行袋装化，装修过程中产生的木料、砂浆砖石、塑料、玻璃、金属等废料分类装袋，由居民或物业公司委托收运单位收集和运输。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②装修垃圾设置建筑垃圾分类收集点，并应符合下列要求：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a.应能容纳场所范围内的装修垃圾，同时供收运车辆进出、回车。</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b.地面应硬化，宜与场地道路同高。</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c.应设置标识标牌、围挡等设施，宜设置视频监控设备。</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d.应与周围环境相协调。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（2）收集主体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收集主体为物业服务单位、装修施工单位、社区、居民或其他合法主体。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5.1.2收集设施规划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分类设置建筑垃圾暂存点，除各街道外不单独设置转运调配场，有转运调配需求的于就近的建筑垃圾消纳场临时中转、暂存。</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1.工程垃圾、拆除垃圾和工程渣土（含泥浆）暂存点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工程渣土、工程泥浆、工程垃圾、拆除垃圾等建筑垃圾分类收集暂存点为施工现场，无法在施工现场暂存的建筑垃圾，运至建筑垃圾消纳场临时中转、暂存。</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2.装修垃圾暂存点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（1）物业服务小区装修垃圾暂存点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物业服务单位应当在物业管理区域内设置装修垃圾暂存点，收集小区业主倾倒的零星装修垃圾。物业服务小区应做到装修垃圾分类收集、定点处置、管理台账记录完整准确、采取有效抑尘措施等，不得随意倾倒抛洒、不得将生活垃圾及其他废弃物等倾倒在装修垃圾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（2）“自管小区”“三无小区”装修垃圾暂存点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由所属管辖区域建立建筑垃圾分类收集与存放管理机制，会同自然资源、住房城乡建设、综合执法等主管部门，在辖区内合理规划建筑垃圾暂存点，用于受纳、中转居民或个体工商户倾倒的零星装修垃圾，现场严格落实管理台账记录制度、防尘降尘措施、分类收集、贮存、运输管理等，严防安全生产和环境事故发生。</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（3）新建居住小区装修垃圾暂存点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新建居住小区应在规划建设时同步配套设置场地作为分类暂存点，与小区一并投入使用。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3.恢复和利用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设置建筑垃圾暂存场所若依据临时用地划定，对于使用期限到期、完成转运后不再投入使用的场地应依法进行复垦、修复及土地重新利用等。</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23" w:name="_Toc16229"/>
      <w:r>
        <w:rPr>
          <w:rFonts w:hint="eastAsia" w:ascii="黑体" w:hAnsi="黑体" w:eastAsia="黑体" w:cs="黑体"/>
          <w:b/>
          <w:bCs/>
          <w:color w:val="auto"/>
          <w:kern w:val="2"/>
          <w:sz w:val="32"/>
          <w:szCs w:val="32"/>
          <w:lang w:val="en-US" w:eastAsia="zh-CN"/>
        </w:rPr>
        <w:t>5.2运输线路规划</w:t>
      </w:r>
      <w:bookmarkEnd w:id="23"/>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5.2.1运输主体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以核发《城市建筑垃圾处置核准》为依据，采用特许经营方式或者其他合法方式进行运输。根据《中华人民共和国固体废物污染环境防治法》《城市建筑垃圾管理规定》《四川省城乡环境综合治理条例》等法律法规规定的方式进行运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5.2.2运输流程</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运输单位应采用装有卫星定位系统、符合建筑垃圾装载运输条件的载具，建立建筑垃圾运输管理台账，及时将建筑垃圾运输种类、运输量、垃圾流向等信息及时上报行业主管部门，需带齐建筑垃圾处置核准手续到区公安局交警大队、区综合执法局备案。实行分类运输，并根据建筑垃圾种类采取针对性的安全、环保措施等。</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5.2.3运输车辆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从事建筑渣土运输的车辆必须加装车辆密闭化设施，使车厢顶部全密闭（即自动平推式全密闭装置），在正常装载建筑渣土后，车厢顶部及后部无任何外露空隙，能够有效杜绝车辆冒载、抛撒滴漏等现象，车辆四周槽帮牢固可靠、无破损、挡板严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2.建筑渣土运输车辆具有合法的道路运输经营证、车辆行驶证，相关车辆和驾驶员须纳入企业统一管理并落实工作职责、安全责任、保险及事故赔偿办法。</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从事建筑渣土运输车辆必须按照“统一喷涂颜色（可选择环保绿）、统一密闭运输、统一车辆标志、统一放大号牌”四统一原则进行规范管理。建筑渣土运输车辆必须在驾驶室车顶安装统一放大号牌反光立标，建议尺寸为：宽100厘米，侧面截面直角底边24厘米，直角竖边32厘米，斜边40厘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4.《线运证》实行一车一证，随车携带。严禁涂改、转借、跨项目、逾期使用，到期后自动作废。未携带《线运证》的车辆严禁运输建筑渣土。</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5.各类建设工程项目要选用全封闭式环保建筑渣土运输车辆从事渣土运输。并严格落实“六个必须，六个不准、六个百分百”要求和“一不进，三不出”管理规定，确保车辆不带泥上路。另从事运输装修垃圾（包括农用车、小车等）的车辆也必须进行全密闭运输。</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5.2.4运输线路</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1.选线原则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（1）运输路线应避开噪声敏感建筑物（医院、学校、机关、科研单位、住宅等需要保持安静的建筑物）集中区域、车流高峰期。</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（2）就近运输、减少成本。</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（3）允许相邻城区协同推进资源化利用的跨区收运。</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（4）建筑渣土运输车辆在运输过程中，必须严格按照规定的时间、线路行驶，不得超速，乱鸣汽笛。</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（5）非施工时间段建筑渣土运输车辆必须停放在施工区域内或大型车辆停车场，不得占用城区小型汽车临时停车位或占道停车。</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2.收运线路</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建筑垃圾运输车辆属于特殊行业运输车辆，在金口河中心城区范围内运输需要由具备道路运输经营资格的企业进行运输。</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根据各类建筑垃圾的产生来源、运输特点、处置设施布局，结合道路状况，按照高效率、低影响的原则，建筑垃圾收运线路主要利用国道、省道、快捷通道、交通性城市主干路等路况好、距离便捷的路线。</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金口河城区收运主要路线为：</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主城区—金乌路—G245—金口河建筑垃圾临时堆放场</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387215" cy="3180715"/>
            <wp:effectExtent l="0" t="0" r="1333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4387215" cy="318071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b/>
          <w:bCs/>
          <w:lang w:val="en-US" w:eastAsia="zh-CN"/>
        </w:rPr>
      </w:pPr>
      <w:r>
        <w:rPr>
          <w:rFonts w:hint="eastAsia" w:ascii="仿宋" w:hAnsi="仿宋" w:eastAsia="仿宋" w:cs="仿宋"/>
          <w:b/>
          <w:bCs/>
          <w:lang w:val="en-US" w:eastAsia="zh-CN"/>
        </w:rPr>
        <w:t>运输路线</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黑体" w:hAnsi="黑体" w:eastAsia="黑体" w:cs="黑体"/>
          <w:b/>
          <w:bCs/>
          <w:color w:val="auto"/>
          <w:sz w:val="32"/>
          <w:szCs w:val="32"/>
          <w:lang w:val="en-US" w:eastAsia="zh-CN"/>
        </w:rPr>
      </w:pPr>
      <w:r>
        <w:rPr>
          <w:rFonts w:hint="default" w:ascii="黑体" w:hAnsi="黑体" w:eastAsia="黑体" w:cs="黑体"/>
          <w:b/>
          <w:bCs/>
          <w:color w:val="auto"/>
          <w:sz w:val="32"/>
          <w:szCs w:val="32"/>
          <w:lang w:val="en-US" w:eastAsia="zh-CN"/>
        </w:rPr>
        <w:t>5.2.5运输时段</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为缓解城市道路交通压力，净化交通环境，方便民众日常生活，实行建筑垃圾运输的时间限制和禁行区域管理。同时各街道可采取转运或直运的模式将建筑垃圾运输至建筑垃圾消纳场或资源化利用处理站，以便进行填埋或资源化利用处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在重大活动或重污染天气预警响应期间，按有关要求执行。</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5.2.6运输监管</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运输单位应当对建筑垃圾分类清运，不得将生活垃圾、工业垃圾、有毒有害垃圾混入建筑垃圾，防止环境污染。加强运输环节新技术的推广应用，让运输变得更高效环保。建立建筑垃圾运输台账，如实记录运输的建筑垃圾来源、种类、数量、运输路线及时间等信息，不得伪造、篡改台账，应当在行业主管部门检查时如实提供台账。</w:t>
      </w:r>
    </w:p>
    <w:p>
      <w:pPr>
        <w:pStyle w:val="2"/>
        <w:rPr>
          <w:rFonts w:hint="eastAsia" w:ascii="仿宋" w:hAnsi="仿宋" w:eastAsia="仿宋" w:cs="仿宋"/>
          <w:lang w:val="en-US" w:eastAsia="zh-CN"/>
        </w:rPr>
      </w:pPr>
    </w:p>
    <w:p>
      <w:pPr>
        <w:spacing w:line="360" w:lineRule="auto"/>
        <w:ind w:firstLine="592" w:firstLineChars="200"/>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24" w:name="_Toc21018"/>
      <w:r>
        <w:rPr>
          <w:rFonts w:hint="eastAsia" w:ascii="方正小标宋简体" w:hAnsi="方正小标宋简体" w:eastAsia="方正小标宋简体" w:cs="方正小标宋简体"/>
          <w:sz w:val="44"/>
          <w:szCs w:val="44"/>
          <w:lang w:val="en-US" w:eastAsia="zh-CN"/>
        </w:rPr>
        <w:t>第六章处置利用体系规划</w:t>
      </w:r>
      <w:bookmarkEnd w:id="24"/>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25" w:name="_Toc31440"/>
      <w:r>
        <w:rPr>
          <w:rFonts w:hint="eastAsia" w:ascii="黑体" w:hAnsi="黑体" w:eastAsia="黑体" w:cs="黑体"/>
          <w:b/>
          <w:bCs/>
          <w:color w:val="auto"/>
          <w:kern w:val="2"/>
          <w:sz w:val="32"/>
          <w:szCs w:val="32"/>
          <w:lang w:val="en-US" w:eastAsia="zh-CN"/>
        </w:rPr>
        <w:t>6.1处置规划原则</w:t>
      </w:r>
      <w:bookmarkEnd w:id="25"/>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（1）用地选址必须符合《金口河区国土空间总体规划（2021—2035年）》中“三区三线”的管控要求和乐山市生态环境分区管控方案要求。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（2）应符合环境卫生专项规划以及国家现行有关标准的规定。</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（3）需落实分类治理，实现全过程覆盖，按照工程渣土、工程泥浆、工程垃圾、装修垃圾和拆除垃圾分类治理，实现分类和协同相结合处置。</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（4）在合理布局的前提下缩短运距以减少建筑垃圾运输成本，并优先考虑资源化处理设施与消纳场相结合的布局模式。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（5）按不同建筑垃圾的特点，因地制宜布局填埋场，工程渣土（含工程泥浆）的填埋场按绿林地、生态间隔带、矿山修复等布局，工程垃圾、装修垃圾和拆除垃圾在考虑运距的前提下均衡布局。</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（6）场址不应受洪水、潮水或内涝的威胁。当必须建在该类地区时，应有可靠的防洪、排涝措施，其防洪标准应符合现行国家标准《防洪标准》（GB50201-2014）的有关规定。</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7）宜在城市规划建成区边缘或以外设置，应选符合防洪要求、具备运输条件的具有自然低洼地势的山坳、采石场废坑或土地及地下水利用价值低的地区。不得设置在风景名胜区、自然保护区、饮用水源保护地、水系河流沿线、重要生态廊道带、各类生态保护区等其他需要特别保护的区域。</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26" w:name="_Toc31904"/>
      <w:r>
        <w:rPr>
          <w:rFonts w:hint="default" w:ascii="黑体" w:hAnsi="黑体" w:eastAsia="黑体" w:cs="黑体"/>
          <w:b/>
          <w:bCs/>
          <w:color w:val="auto"/>
          <w:kern w:val="2"/>
          <w:sz w:val="32"/>
          <w:szCs w:val="32"/>
          <w:lang w:val="en-US" w:eastAsia="zh-CN"/>
        </w:rPr>
        <w:t>6.2处置设施规划</w:t>
      </w:r>
      <w:bookmarkEnd w:id="26"/>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6.2.1处置设施布局规划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按照“就地处理，就近回用，最大限度地降低运输成本”的原则，综合考虑建筑垃圾产生量及其分布、运输半径、环境保护等因素，合理规划全县建筑垃圾消纳场布点。</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建筑垃圾处理技术标准》（CJJ/T134-2019）规定，建筑垃圾消纳场每平方米填埋库区建筑垃圾填埋量不宜低于10立方米，综合考虑节约用地、提升土地资源利用效率及拟选址消纳场位置高程等因素，规划每平方米填埋库区建筑垃圾填埋量为10—30立方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目前金口河区已有1座建筑垃圾临时堆放场（装修垃圾场）。</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6.2.2处置基本要求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b/>
          <w:bCs/>
          <w:color w:val="auto"/>
          <w:spacing w:val="-2"/>
          <w:sz w:val="32"/>
          <w:szCs w:val="32"/>
          <w:lang w:val="en-US" w:eastAsia="zh-CN"/>
        </w:rPr>
      </w:pPr>
      <w:r>
        <w:rPr>
          <w:rFonts w:hint="eastAsia" w:ascii="楷体" w:hAnsi="楷体" w:eastAsia="楷体" w:cs="楷体"/>
          <w:b/>
          <w:bCs/>
          <w:color w:val="auto"/>
          <w:spacing w:val="-2"/>
          <w:sz w:val="32"/>
          <w:szCs w:val="32"/>
          <w:lang w:val="en-US" w:eastAsia="zh-CN"/>
        </w:rPr>
        <w:t>1.处置核准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以核发《城市建筑垃圾处置核准》为依据，采用特许经营方式或其他方式进行处置（含倾倒、收集、中转、运输、消纳、资源化利用等所有处置活动）。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2.处置标准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处理设施应满足《建筑垃圾处理技术标准》（CJJ/T134-2019）等相关标准，严格执行分区作业、堆填高度等要求；规范作业管理，严格控制废气、废水、粉尘、噪音污染，符合环境保护要求。以无害化为基本要求，以资源化为科学途径，按照标准的技术要求进行科学处理，生产合格的再生建材产品，最大程度实现建筑固废资源循环利用，并使建筑垃圾中掺和的不可再生废弃物得到无害化处置。</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b/>
          <w:bCs/>
          <w:color w:val="auto"/>
          <w:spacing w:val="-2"/>
          <w:sz w:val="32"/>
          <w:szCs w:val="32"/>
          <w:lang w:val="en-US" w:eastAsia="zh-CN"/>
        </w:rPr>
      </w:pPr>
      <w:r>
        <w:rPr>
          <w:rFonts w:hint="default" w:ascii="楷体" w:hAnsi="楷体" w:eastAsia="楷体" w:cs="楷体"/>
          <w:b/>
          <w:bCs/>
          <w:color w:val="auto"/>
          <w:spacing w:val="-2"/>
          <w:sz w:val="32"/>
          <w:szCs w:val="32"/>
          <w:lang w:val="en-US" w:eastAsia="zh-CN"/>
        </w:rPr>
        <w:t>3.分类处置方式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（1）源头减量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应从源头减少建筑垃圾的产生，秉承“谁产生谁负责”的基本原则，建设单位要做好建筑垃圾减量化工作，并明确工程施工、监理单位的建筑垃圾减量责任。在规划设计时须把建筑垃圾（工程渣土）产生量与项目场内自平衡相结合，减少建筑垃圾（工程渣土）外运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（2）无害化处置</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①工程回填</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工程渣土、工程泥浆直接利用方式主要为堆土造景、矿坑回填、山体复绿、复耕回填、道路工程回填、工程项目回填等。工程垃圾、拆除垃圾的直接利用方式主要有用作渣土桩填料，用作夯扩桩填料，建筑物拆除垃圾中完整尺寸的砖块经收集整理一般用于建筑施工工地的围墙、公路防护墙建设等，在城市兴建大型建筑、广场、市政设施时，将其作为回填材料来使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②固定消纳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由于建筑垃圾属于惰性无机物，因此可采用陆域安全堆填方式进行无害化处置，主要处置超出资源化利用水平和能力的其他建筑垃圾和通过再生资源化利用后的少部分生产废料。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（3）资源化利用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的资源化再生利用主要分为回收利用和再生利用，其中回收利用主要回收可回收金属类、轻物质料（木料、塑料、布料等）、砖块瓦类等建筑垃圾，再生利用主要可用于生产再生材料（如再生粉料、再生骨料、路基材料等）和再生制品（如再生骨料混凝土及其构件、再生骨料砂浆、再生混合料、再生混凝土砖、再生混凝土砌块、再生混凝土墙板、再生装配式建材、环保砖、烧结砖和烧结砌块等）。</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黑体" w:hAnsi="黑体" w:eastAsia="黑体" w:cs="黑体"/>
          <w:b/>
          <w:bCs/>
          <w:color w:val="auto"/>
          <w:sz w:val="32"/>
          <w:szCs w:val="32"/>
          <w:lang w:val="en-US" w:eastAsia="zh-CN"/>
        </w:rPr>
      </w:pPr>
      <w:bookmarkStart w:id="27" w:name="_Toc26634"/>
      <w:r>
        <w:rPr>
          <w:rFonts w:hint="default" w:ascii="黑体" w:hAnsi="黑体" w:eastAsia="黑体" w:cs="黑体"/>
          <w:b/>
          <w:bCs/>
          <w:color w:val="auto"/>
          <w:sz w:val="32"/>
          <w:szCs w:val="32"/>
          <w:lang w:val="en-US" w:eastAsia="zh-CN"/>
        </w:rPr>
        <w:t>6.3资源化利用设施规划</w:t>
      </w:r>
      <w:bookmarkEnd w:id="27"/>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6.3.1资源化利用基本要求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楷体" w:hAnsi="楷体" w:eastAsia="楷体" w:cs="楷体"/>
          <w:color w:val="auto"/>
          <w:spacing w:val="-2"/>
          <w:sz w:val="32"/>
          <w:szCs w:val="32"/>
          <w:lang w:val="en-US" w:eastAsia="zh-CN"/>
        </w:rPr>
      </w:pPr>
      <w:r>
        <w:rPr>
          <w:rFonts w:hint="eastAsia" w:ascii="楷体" w:hAnsi="楷体" w:eastAsia="楷体" w:cs="楷体"/>
          <w:color w:val="auto"/>
          <w:spacing w:val="-2"/>
          <w:sz w:val="32"/>
          <w:szCs w:val="32"/>
          <w:lang w:val="en-US" w:eastAsia="zh-CN"/>
        </w:rPr>
        <w:t>1.处置核准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遵循项目推进实施方案要求，以核发《城市建筑垃圾处置核准》为依据，采用特许经营方式或其他方式进行处置（含倾倒、收集、中转、运输、消纳、资源化利用等所有处置活动）。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楷体" w:hAnsi="楷体" w:eastAsia="楷体" w:cs="楷体"/>
          <w:color w:val="auto"/>
          <w:spacing w:val="-2"/>
          <w:sz w:val="32"/>
          <w:szCs w:val="32"/>
          <w:lang w:val="en-US" w:eastAsia="zh-CN"/>
        </w:rPr>
      </w:pPr>
      <w:r>
        <w:rPr>
          <w:rFonts w:hint="default" w:ascii="楷体" w:hAnsi="楷体" w:eastAsia="楷体" w:cs="楷体"/>
          <w:color w:val="auto"/>
          <w:spacing w:val="-2"/>
          <w:sz w:val="32"/>
          <w:szCs w:val="32"/>
          <w:lang w:val="en-US" w:eastAsia="zh-CN"/>
        </w:rPr>
        <w:t>2.规划原则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（1）资源化利用的原则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实现再生资源由“垃圾→源头分类→回收→运输→资源化利用前分拣整理→加工→利用→消费”的循环利用一体化原则。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（2）绿色环保原则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项目规划以绿色环保为主题，消灭二次污染，改善城市自然环境。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（3）协调性原则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网络体系的设置符合《金口河区国土空间总体规划（2021—2035年）》，统一规划，合理布局。</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（4）服务性原则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项目规划以金口河区的实际为出发点，服从和服务于金口河区的经济社会发展总体目标。</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（5）可操作性原则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项目规划应具有较强操作性，以保证其能得到有效实施。</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6.3.2综合处理方案选择原则</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（1）建筑废弃物的类别</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废弃物的类别直接决定着建筑废弃物在综合利用时，所采用的工艺及方式，应对不同类别的建筑废弃物分类收集、储存、处理和资源化利用。如建筑拆除渣土在源头就应该考虑直接回填使用，而不能考虑终端资源化利用；砖混结构建筑废弃物资源化产品价值不高，可考虑做成无机结合料作为道路垫层使用。</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（2）建筑废弃物的成分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废弃物的成分也在一定程度上决定了工艺，为实现资源化利用目的，需在工艺环节上充分去除建筑废弃物中的杂物，分离不同成分的物质。不同的来源所产生的建筑废弃物成分是不一样的，而且存在着明显的区别，需要根据建筑废弃物的来源及成分针对性考虑主导的综合利用工艺及产品方案。</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（3）市场对产品的需要</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废弃物资源化利用项目采用市场化运作模式，就要求建筑废弃物综合利用产品方案不仅要能够适应市场的需求，还要满足国家标准和实际使用过程中的产品质量要求，使建筑废弃物资源化产品销路畅通，促进建筑废弃物处理和资源化利用可持续发展。</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（4）符合国家相关产业政策</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建筑废弃物资源化利用产品方案应符合国家、地方的产业政策，并具有较高的技术含量和较强的市场竞争力。同时，还应考虑到相关的环保要求等因素。</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此外，应考虑所采用的主要原辅料的配套，另外，产品方案应与可能获得技术装备水平相适应，有利于环境污染控制。</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6.3.3资源化利用总体思路</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废弃物、装修垃圾，根据不同的来源放置于不同的储存区内，在储存区内进行预处理，供后续生产使用。建筑垃圾经预处理、分选分离、破碎筛分处理后制成再生骨料后外售。装修垃圾经过破碎、分选等工艺处理后骨料外售、金属外售、其余的运往焚烧厂进行焚烧处理。</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黑体" w:hAnsi="黑体" w:eastAsia="黑体" w:cs="黑体"/>
          <w:b/>
          <w:bCs/>
          <w:color w:val="auto"/>
          <w:sz w:val="32"/>
          <w:szCs w:val="32"/>
          <w:lang w:val="en-US" w:eastAsia="zh-CN"/>
        </w:rPr>
      </w:pPr>
      <w:r>
        <w:rPr>
          <w:rFonts w:hint="default" w:ascii="黑体" w:hAnsi="黑体" w:eastAsia="黑体" w:cs="黑体"/>
          <w:b/>
          <w:bCs/>
          <w:color w:val="auto"/>
          <w:sz w:val="32"/>
          <w:szCs w:val="32"/>
          <w:lang w:val="en-US" w:eastAsia="zh-CN"/>
        </w:rPr>
        <w:t>6.3.4资源化利用产出标准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按《建筑废弃物再生工厂设计标准》（GB51322-2018）中的资源化水平进行建设。将建筑垃圾、装修垃圾制成再生骨料后外售处理。</w:t>
      </w:r>
    </w:p>
    <w:p>
      <w:pPr>
        <w:keepNext w:val="0"/>
        <w:keepLines w:val="0"/>
        <w:pageBreakBefore w:val="0"/>
        <w:widowControl w:val="0"/>
        <w:kinsoku/>
        <w:wordWrap/>
        <w:overflowPunct/>
        <w:topLinePunct w:val="0"/>
        <w:autoSpaceDE/>
        <w:autoSpaceDN/>
        <w:bidi w:val="0"/>
        <w:adjustRightInd/>
        <w:snapToGrid/>
        <w:spacing w:before="10" w:line="363" w:lineRule="auto"/>
        <w:jc w:val="center"/>
        <w:textAlignment w:val="auto"/>
        <w:rPr>
          <w:rFonts w:hint="default" w:ascii="Times New Roman" w:hAnsi="Times New Roman" w:eastAsia="仿宋" w:cs="Times New Roman"/>
          <w:b/>
          <w:bCs/>
          <w:color w:val="auto"/>
          <w:spacing w:val="-2"/>
          <w:sz w:val="30"/>
          <w:szCs w:val="30"/>
          <w:lang w:val="en-US" w:eastAsia="zh-CN"/>
        </w:rPr>
      </w:pPr>
      <w:r>
        <w:rPr>
          <w:rFonts w:hint="default" w:ascii="Times New Roman" w:hAnsi="Times New Roman" w:eastAsia="仿宋" w:cs="Times New Roman"/>
          <w:b/>
          <w:bCs/>
          <w:color w:val="auto"/>
          <w:spacing w:val="-2"/>
          <w:sz w:val="30"/>
          <w:szCs w:val="30"/>
          <w:lang w:val="en-US" w:eastAsia="zh-CN"/>
        </w:rPr>
        <w:t>表6-1 建筑废弃物再生工厂资源化水平分类</w:t>
      </w:r>
    </w:p>
    <w:tbl>
      <w:tblPr>
        <w:tblStyle w:val="40"/>
        <w:tblW w:w="8109" w:type="dxa"/>
        <w:jc w:val="center"/>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3474"/>
        <w:gridCol w:w="1487"/>
        <w:gridCol w:w="1527"/>
        <w:gridCol w:w="1621"/>
      </w:tblGrid>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工艺系统配置</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Ⅰ类</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Ⅱ类</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Ⅲ类</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预处理系统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39"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分选分离系统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lang w:eastAsia="zh-CN"/>
              </w:rPr>
            </w:pPr>
            <w:r>
              <w:rPr>
                <w:rFonts w:hint="eastAsia" w:ascii="仿宋" w:hAnsi="仿宋" w:eastAsia="仿宋" w:cs="仿宋"/>
                <w:i w:val="0"/>
                <w:iCs w:val="0"/>
                <w:color w:val="000000"/>
                <w:sz w:val="28"/>
                <w:szCs w:val="28"/>
                <w:u w:val="none"/>
                <w:lang w:eastAsia="zh-CN"/>
              </w:rPr>
              <w:t>破碎筛分系统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再生道路无机混合料生产系统</w:t>
            </w:r>
          </w:p>
        </w:tc>
        <w:tc>
          <w:tcPr>
            <w:tcW w:w="148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再生干混砂浆系统</w:t>
            </w:r>
          </w:p>
        </w:tc>
        <w:tc>
          <w:tcPr>
            <w:tcW w:w="148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52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再生砌块生产系统</w:t>
            </w:r>
          </w:p>
        </w:tc>
        <w:tc>
          <w:tcPr>
            <w:tcW w:w="148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52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再生无机混合料系统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信息化与自动化</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骨料整形系统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再生建筑微粉系统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r>
        <w:tblPrEx>
          <w:tblBorders>
            <w:top w:val="single" w:color="000000" w:sz="12" w:space="0"/>
            <w:left w:val="single" w:color="000000" w:sz="2" w:space="0"/>
            <w:bottom w:val="single" w:color="000000" w:sz="1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48" w:hRule="atLeast"/>
          <w:jc w:val="center"/>
        </w:trPr>
        <w:tc>
          <w:tcPr>
            <w:tcW w:w="34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原料与中间产品输送系统</w:t>
            </w:r>
          </w:p>
        </w:tc>
        <w:tc>
          <w:tcPr>
            <w:tcW w:w="14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5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c>
          <w:tcPr>
            <w:tcW w:w="162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sz w:val="28"/>
                <w:szCs w:val="28"/>
                <w:u w:val="none"/>
                <w:lang w:eastAsia="zh-CN"/>
              </w:rPr>
              <w:t>○</w:t>
            </w:r>
          </w:p>
        </w:tc>
      </w:tr>
    </w:tbl>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注：</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表示必备；</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表示可选；</w:t>
      </w:r>
      <w:r>
        <w:rPr>
          <w:rFonts w:hint="eastAsia" w:ascii="仿宋" w:hAnsi="仿宋" w:eastAsia="仿宋" w:cs="仿宋"/>
          <w:i w:val="0"/>
          <w:iCs w:val="0"/>
          <w:color w:val="000000"/>
          <w:sz w:val="24"/>
          <w:szCs w:val="24"/>
          <w:u w:val="none"/>
          <w:lang w:eastAsia="zh-CN"/>
        </w:rPr>
        <w:t>◎</w:t>
      </w:r>
      <w:r>
        <w:rPr>
          <w:rFonts w:hint="eastAsia" w:ascii="仿宋" w:hAnsi="仿宋" w:eastAsia="仿宋" w:cs="仿宋"/>
          <w:color w:val="auto"/>
          <w:spacing w:val="-2"/>
          <w:sz w:val="28"/>
          <w:szCs w:val="28"/>
          <w:lang w:val="en-US" w:eastAsia="zh-CN"/>
        </w:rPr>
        <w:t>表示至少三选一</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黑体" w:hAnsi="黑体" w:eastAsia="黑体" w:cs="黑体"/>
          <w:b/>
          <w:bCs/>
          <w:color w:val="auto"/>
          <w:sz w:val="32"/>
          <w:szCs w:val="32"/>
          <w:lang w:val="en-US" w:eastAsia="zh-CN"/>
        </w:rPr>
      </w:pPr>
      <w:r>
        <w:rPr>
          <w:rFonts w:hint="default" w:ascii="黑体" w:hAnsi="黑体" w:eastAsia="黑体" w:cs="黑体"/>
          <w:b/>
          <w:bCs/>
          <w:color w:val="auto"/>
          <w:sz w:val="32"/>
          <w:szCs w:val="32"/>
          <w:lang w:val="en-US" w:eastAsia="zh-CN"/>
        </w:rPr>
        <w:t>6.3.5资源化利用设施布局要求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依据《建筑废弃物再生工厂设计标准》（GB51322-2018），明确建筑垃圾资源化利用设施选址要求。</w:t>
      </w:r>
    </w:p>
    <w:p>
      <w:pPr>
        <w:keepNext w:val="0"/>
        <w:keepLines w:val="0"/>
        <w:pageBreakBefore w:val="0"/>
        <w:widowControl w:val="0"/>
        <w:kinsoku/>
        <w:wordWrap/>
        <w:overflowPunct/>
        <w:topLinePunct w:val="0"/>
        <w:autoSpaceDE/>
        <w:autoSpaceDN/>
        <w:bidi w:val="0"/>
        <w:adjustRightInd/>
        <w:snapToGrid/>
        <w:spacing w:line="360" w:lineRule="auto"/>
        <w:ind w:left="0" w:firstLine="641"/>
        <w:jc w:val="both"/>
        <w:textAlignment w:val="auto"/>
        <w:rPr>
          <w:rFonts w:hint="eastAsia" w:ascii="仿宋" w:hAnsi="仿宋" w:eastAsia="仿宋" w:cs="仿宋"/>
          <w:color w:val="FF0000"/>
          <w:spacing w:val="-2"/>
          <w:sz w:val="28"/>
          <w:szCs w:val="28"/>
          <w:lang w:val="en-US" w:eastAsia="zh-CN"/>
        </w:rPr>
      </w:pPr>
    </w:p>
    <w:p>
      <w:pPr>
        <w:pStyle w:val="2"/>
        <w:rPr>
          <w:rFonts w:hint="eastAsia"/>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28" w:name="_Toc25898"/>
      <w:r>
        <w:rPr>
          <w:rFonts w:hint="eastAsia" w:ascii="方正小标宋简体" w:hAnsi="方正小标宋简体" w:eastAsia="方正小标宋简体" w:cs="方正小标宋简体"/>
          <w:sz w:val="44"/>
          <w:szCs w:val="44"/>
          <w:lang w:val="en-US" w:eastAsia="zh-CN"/>
        </w:rPr>
        <w:t>第七章污染环境防治管控规划</w:t>
      </w:r>
      <w:bookmarkEnd w:id="28"/>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29" w:name="_Toc14820"/>
      <w:r>
        <w:rPr>
          <w:rFonts w:hint="eastAsia" w:ascii="黑体" w:hAnsi="黑体" w:eastAsia="黑体" w:cs="黑体"/>
          <w:b/>
          <w:bCs/>
          <w:color w:val="auto"/>
          <w:kern w:val="2"/>
          <w:sz w:val="32"/>
          <w:szCs w:val="32"/>
          <w:lang w:val="en-US" w:eastAsia="zh-CN"/>
        </w:rPr>
        <w:t>7.1管控重点空间</w:t>
      </w:r>
      <w:bookmarkEnd w:id="29"/>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污染环境防治应针对重点产生建筑垃圾的源头（如城市新区建设、旧城改造等建设区域等）、建筑垃圾的运输路途以及建筑垃圾的资源化场所和消纳处置场所。同时应充分考虑受环境污染影响较大的人口、水资源、生态资源等分布情况，分区分类开展污染防治管控。</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污染环境防治管控重点场所主要分为三类。一是公共服务中心、商业中心、历史文化保护、风景名胜区等城市重要节点；二是生态保护红线，流域生态环境保护、生态屏障、重要生态板块、重要江河湿地湖库等重要生态资源；三是建筑垃圾消纳场及资源化利用中心。</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30" w:name="_Toc30935"/>
      <w:r>
        <w:rPr>
          <w:rFonts w:hint="default" w:ascii="黑体" w:hAnsi="黑体" w:eastAsia="黑体" w:cs="黑体"/>
          <w:b/>
          <w:bCs/>
          <w:color w:val="auto"/>
          <w:kern w:val="2"/>
          <w:sz w:val="32"/>
          <w:szCs w:val="32"/>
          <w:lang w:val="en-US" w:eastAsia="zh-CN"/>
        </w:rPr>
        <w:t>7.2环境污染源及风险分析</w:t>
      </w:r>
      <w:bookmarkEnd w:id="30"/>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7.2.1收运环节分析</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（1）扬尘污染。</w:t>
      </w:r>
      <w:r>
        <w:rPr>
          <w:rFonts w:hint="default" w:ascii="Times New Roman" w:hAnsi="Times New Roman" w:eastAsia="仿宋" w:cs="Times New Roman"/>
          <w:color w:val="auto"/>
          <w:spacing w:val="-2"/>
          <w:sz w:val="32"/>
          <w:szCs w:val="32"/>
          <w:lang w:val="en-US" w:eastAsia="zh-CN"/>
        </w:rPr>
        <w:t>建筑垃圾收运过程中的扬尘既包括运输车辆行驶时因车轮滚动、车身颠簸等动作所激起的路面尘土，也涵盖了运输过程中因建筑垃圾未妥善固定或遮盖而散落导致的扬尘现象，其污染的程度深受车辆行驶速度、道路维护保养状况及季节性气候湿润度等多重因素的共同影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（2）尾气排放。</w:t>
      </w:r>
      <w:r>
        <w:rPr>
          <w:rFonts w:hint="default" w:ascii="Times New Roman" w:hAnsi="Times New Roman" w:eastAsia="仿宋" w:cs="Times New Roman"/>
          <w:color w:val="auto"/>
          <w:spacing w:val="-2"/>
          <w:sz w:val="32"/>
          <w:szCs w:val="32"/>
          <w:lang w:val="en-US" w:eastAsia="zh-CN"/>
        </w:rPr>
        <w:t>汽车尾气排放对环境造成显著影响，具体有以下几个表现：一是排放的有害成分导致空气质量恶化，严重降低空气质量，影响人类健康；二是释放的二氧化碳等温室气体加剧温室效应，加剧全球气候变暖；三是促进酸雨形成，酸性物质随降水落到地面，对土壤、水体和建筑物造成破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（3）噪声污染。</w:t>
      </w:r>
      <w:r>
        <w:rPr>
          <w:rFonts w:hint="default" w:ascii="Times New Roman" w:hAnsi="Times New Roman" w:eastAsia="仿宋" w:cs="Times New Roman"/>
          <w:color w:val="auto"/>
          <w:spacing w:val="-2"/>
          <w:sz w:val="32"/>
          <w:szCs w:val="32"/>
          <w:lang w:val="en-US" w:eastAsia="zh-CN"/>
        </w:rPr>
        <w:t>建筑垃圾处置设施项目建成投产后，建筑垃圾运输车辆行驶时的交通噪声将对距离公路较近的环境敏感目标产生影响。为了减少建筑垃圾运输途中产生的扬尘及噪声对道路两侧村民的影响，运输车辆采用封闭式运输车，在经过紧邻路边的民房时，要做到减速慢行，严禁鸣笛；且将建筑垃圾运输安排在白天进行，将运输引发的扬尘、噪声对环境的影响降至最低程度。</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color w:val="auto"/>
          <w:spacing w:val="-2"/>
          <w:sz w:val="32"/>
          <w:szCs w:val="32"/>
          <w:lang w:val="en-US" w:eastAsia="zh-CN"/>
        </w:rPr>
      </w:pPr>
      <w:r>
        <w:rPr>
          <w:rFonts w:hint="eastAsia" w:ascii="黑体" w:hAnsi="黑体" w:eastAsia="黑体" w:cs="黑体"/>
          <w:color w:val="auto"/>
          <w:spacing w:val="-2"/>
          <w:sz w:val="32"/>
          <w:szCs w:val="32"/>
          <w:lang w:val="en-US" w:eastAsia="zh-CN"/>
        </w:rPr>
        <w:t>7.2.2处置环节分析</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建筑垃圾处置设施产生的环境影响分为两个方面，设施建设施工期的环境影响以及设施运营期的环境影响。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（1）施工期环境。</w:t>
      </w:r>
      <w:r>
        <w:rPr>
          <w:rFonts w:hint="default" w:ascii="Times New Roman" w:hAnsi="Times New Roman" w:eastAsia="仿宋" w:cs="Times New Roman"/>
          <w:color w:val="auto"/>
          <w:spacing w:val="-2"/>
          <w:sz w:val="32"/>
          <w:szCs w:val="32"/>
          <w:lang w:val="en-US" w:eastAsia="zh-CN"/>
        </w:rPr>
        <w:t>在建设期间的各项施工活动不可避免地对周围环境产生不同程度的影响，主要包括水土流失、废气、粉尘、噪声、固体废弃物、废水等对周围环境的影响，而且以粉尘和施工噪声的影响尤为突出。</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（2）运营期环境。</w:t>
      </w:r>
      <w:r>
        <w:rPr>
          <w:rFonts w:hint="default" w:ascii="Times New Roman" w:hAnsi="Times New Roman" w:eastAsia="仿宋" w:cs="Times New Roman"/>
          <w:color w:val="auto"/>
          <w:spacing w:val="-2"/>
          <w:sz w:val="32"/>
          <w:szCs w:val="32"/>
          <w:lang w:val="en-US" w:eastAsia="zh-CN"/>
        </w:rPr>
        <w:t>运营期的环境影响因素主要包括以下几个方面：废气（建筑垃圾预处理和再生产品生产环节中产生的颗粒物、锅炉燃烧废气、食堂油烟及污水处理站产生的少量恶臭）、废水（建筑垃圾项目运营期废水为生活污水、研发和质检废水、食堂废水）、固废（主要来自各生产处理工段产生的固体废弃物）和噪声（主要来自厂区生产设备产生的噪声）。规划鼓励建筑垃圾采用封闭的储存车间储存，结合建筑垃圾块大、细粉量成分少的特点，卸车和下料时进行洒水降尘，避免粉尘外溢到储存车间外。生产过程中产生的颗粒物经袋式除尘器净化处理后，其排放浓度和排放速率满足环境评价规定的标准限值，再经各生产车间排气筒进行排放。</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31" w:name="_Toc24645"/>
      <w:r>
        <w:rPr>
          <w:rFonts w:hint="eastAsia" w:ascii="黑体" w:hAnsi="黑体" w:eastAsia="黑体" w:cs="黑体"/>
          <w:b/>
          <w:bCs/>
          <w:color w:val="auto"/>
          <w:kern w:val="2"/>
          <w:sz w:val="32"/>
          <w:szCs w:val="32"/>
          <w:lang w:val="en-US" w:eastAsia="zh-CN"/>
        </w:rPr>
        <w:t>7.3管控措施</w:t>
      </w:r>
      <w:bookmarkEnd w:id="31"/>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7.3.1空气环境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（1）资源化处理工程应通过洒水降尘、封闭设备、局部抽吸等措施控制粉尘污染。局部抽吸换气次数不宜低于6次/h，含尘气体经过除尘装置处理后，排放应按相关标准执行。</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（2）在施工和运营过程中，采用湿法作业、覆盖物、围挡等措施控制扬尘的产生和扩散。</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（3）加强运输道路沿线的扬尘治理，例如定期洒水、铺设抑尘剂等措施，减少运输车辆尾气和扬尘对周边环境的影响。</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color w:val="auto"/>
          <w:spacing w:val="-2"/>
          <w:sz w:val="32"/>
          <w:szCs w:val="32"/>
          <w:lang w:val="en-US" w:eastAsia="zh-CN"/>
        </w:rPr>
      </w:pPr>
      <w:r>
        <w:rPr>
          <w:rFonts w:hint="eastAsia" w:ascii="黑体" w:hAnsi="黑体" w:eastAsia="黑体" w:cs="黑体"/>
          <w:color w:val="auto"/>
          <w:spacing w:val="-2"/>
          <w:sz w:val="32"/>
          <w:szCs w:val="32"/>
          <w:lang w:val="en-US" w:eastAsia="zh-CN"/>
        </w:rPr>
        <w:t>7.3.2水环境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（1）实施严格的废水收集、处理和排放标准，建设合规的废水处理设施，确保排放水质符合相关的环保标准。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（2）推广废水的回收和再利用技术，尤其是适用于清洗和冲洗过程中产生的废水。</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（3）对地基荷载的要求应大于15kPa/m</w:t>
      </w:r>
      <w:r>
        <w:rPr>
          <w:rFonts w:hint="default" w:ascii="Times New Roman" w:hAnsi="Times New Roman" w:eastAsia="仿宋" w:cs="Times New Roman"/>
          <w:color w:val="auto"/>
          <w:spacing w:val="-2"/>
          <w:sz w:val="32"/>
          <w:szCs w:val="32"/>
          <w:vertAlign w:val="superscript"/>
          <w:lang w:val="en-US" w:eastAsia="zh-CN"/>
        </w:rPr>
        <w:t>2</w:t>
      </w:r>
      <w:r>
        <w:rPr>
          <w:rFonts w:hint="default" w:ascii="Times New Roman" w:hAnsi="Times New Roman" w:eastAsia="仿宋" w:cs="Times New Roman"/>
          <w:color w:val="auto"/>
          <w:spacing w:val="-2"/>
          <w:sz w:val="32"/>
          <w:szCs w:val="32"/>
          <w:lang w:val="en-US" w:eastAsia="zh-CN"/>
        </w:rPr>
        <w:t>，防止填满垃圾后由于重力作用造成沉陷、塌方而破坏防渗衬层，造成垃圾渗滤液渗漏污染地下水。</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color w:val="auto"/>
          <w:spacing w:val="-2"/>
          <w:sz w:val="32"/>
          <w:szCs w:val="32"/>
          <w:lang w:val="en-US" w:eastAsia="zh-CN"/>
        </w:rPr>
      </w:pPr>
      <w:r>
        <w:rPr>
          <w:rFonts w:hint="eastAsia" w:ascii="黑体" w:hAnsi="黑体" w:eastAsia="黑体" w:cs="黑体"/>
          <w:color w:val="auto"/>
          <w:spacing w:val="-2"/>
          <w:sz w:val="32"/>
          <w:szCs w:val="32"/>
          <w:lang w:val="en-US" w:eastAsia="zh-CN"/>
        </w:rPr>
        <w:t>7.3.3声环境</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（1）在施工期间，选择低噪声的施工设备，并采用有效的减振、隔声等技术措施。合理布置施工总平，将主要的高噪声作业点安排在场地中央区域及南侧，利用施工场地的距离衰减效应来减缓噪声的扩散。</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（2）建筑垃圾收集、运输、处理系统应选取低噪声运输车辆，车辆在车厢开启、关闭、卸料时产生的噪声应满足相应规范要求。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（3）宜通过建立缓冲带、设置噪声屏障或封闭车间控制处理工程噪声。</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（4）资源化处理车间，宜采取隔声罩、隔声间或者在车间建筑内墙附加吸声材料等方式降低噪。</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（5）场（厂）界噪声应符合现行国家标准《工业企业厂界环境噪声排放标准》（GB12348）的规定。</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（6）建筑垃圾运输应将运输活动限制在22:00之前结束，避免夜间作业对居民生活造成干扰。</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default" w:ascii="黑体" w:hAnsi="黑体" w:eastAsia="黑体" w:cs="黑体"/>
          <w:color w:val="auto"/>
          <w:spacing w:val="-2"/>
          <w:sz w:val="32"/>
          <w:szCs w:val="32"/>
          <w:lang w:val="en-US" w:eastAsia="zh-CN"/>
        </w:rPr>
      </w:pPr>
      <w:r>
        <w:rPr>
          <w:rFonts w:hint="default" w:ascii="黑体" w:hAnsi="黑体" w:eastAsia="黑体" w:cs="黑体"/>
          <w:color w:val="auto"/>
          <w:spacing w:val="-2"/>
          <w:sz w:val="32"/>
          <w:szCs w:val="32"/>
          <w:lang w:val="en-US" w:eastAsia="zh-CN"/>
        </w:rPr>
        <w:t xml:space="preserve">7.3.4生态环境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（1）尽量减少开挖面积，采用沙袋或草席等暂时性防护措施，以防止路面径流直接冲刷坡面导致水土流失。根据实际场地的地形地貌，修筑挡土坝，提升边坡的稳定性。</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（2）工程完工30日内，进行必要的绿化建设，逐步恢复植被，以弥补因垃圾填埋而损失的植物种类多样性，取代原先灌木野草分布的荒山植被景观，确保不会对现有山坡和山顶的植被造成负面影响。</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eastAsia" w:ascii="仿宋" w:hAnsi="仿宋" w:eastAsia="仿宋" w:cs="仿宋"/>
          <w:color w:val="auto"/>
          <w:spacing w:val="-2"/>
          <w:sz w:val="28"/>
          <w:szCs w:val="28"/>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仿宋" w:cs="Times New Roman"/>
          <w:color w:val="auto"/>
          <w:spacing w:val="-2"/>
          <w:sz w:val="32"/>
          <w:szCs w:val="32"/>
          <w:lang w:val="en-US" w:eastAsia="zh-CN"/>
        </w:rPr>
        <w:t>（3）提高建筑垃圾处置设施绿化面积，鼓励采用柔性化设计与周边环境协调统一；加强建筑垃圾消纳场封场后的生态修复工作，鼓励将其打造为生态公园和环保教育基地</w:t>
      </w:r>
      <w:r>
        <w:rPr>
          <w:rFonts w:hint="eastAsia" w:ascii="仿宋" w:hAnsi="仿宋" w:eastAsia="仿宋" w:cs="仿宋"/>
          <w:color w:val="auto"/>
          <w:spacing w:val="-2"/>
          <w:sz w:val="28"/>
          <w:szCs w:val="28"/>
          <w:lang w:val="en-US" w:eastAsia="zh-CN"/>
        </w:rPr>
        <w:t>。</w:t>
      </w: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32" w:name="_Toc27161"/>
      <w:r>
        <w:rPr>
          <w:rFonts w:hint="eastAsia" w:ascii="方正小标宋简体" w:hAnsi="方正小标宋简体" w:eastAsia="方正小标宋简体" w:cs="方正小标宋简体"/>
          <w:sz w:val="44"/>
          <w:szCs w:val="44"/>
          <w:lang w:val="en-US" w:eastAsia="zh-CN"/>
        </w:rPr>
        <w:t>第八章管理体系规划</w:t>
      </w:r>
      <w:bookmarkEnd w:id="32"/>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33" w:name="_Toc17782"/>
      <w:r>
        <w:rPr>
          <w:rFonts w:hint="eastAsia" w:ascii="黑体" w:hAnsi="黑体" w:eastAsia="黑体" w:cs="黑体"/>
          <w:b/>
          <w:bCs/>
          <w:color w:val="auto"/>
          <w:kern w:val="2"/>
          <w:sz w:val="32"/>
          <w:szCs w:val="32"/>
          <w:lang w:val="en-US" w:eastAsia="zh-CN"/>
        </w:rPr>
        <w:t>8.1建筑垃圾全过程监管制度</w:t>
      </w:r>
      <w:bookmarkEnd w:id="33"/>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建设项目在规划设计阶段应同步编制建筑垃圾减量、分类和资源化利用等专项方案。</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34" w:name="_Toc23871"/>
      <w:r>
        <w:rPr>
          <w:rFonts w:hint="default" w:ascii="黑体" w:hAnsi="黑体" w:eastAsia="黑体" w:cs="黑体"/>
          <w:b/>
          <w:bCs/>
          <w:color w:val="auto"/>
          <w:kern w:val="2"/>
          <w:sz w:val="32"/>
          <w:szCs w:val="32"/>
          <w:lang w:val="en-US" w:eastAsia="zh-CN"/>
        </w:rPr>
        <w:t>8.2运营模式</w:t>
      </w:r>
      <w:bookmarkEnd w:id="34"/>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金口河区建筑垃圾资源化处置推行市场化运作、鼓励采用特许经营模式，对建筑垃圾倾倒、收集、中转、运输、消纳、资源化利用等所有处置活动实行一体化特许经营。</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35" w:name="_Toc6898"/>
      <w:r>
        <w:rPr>
          <w:rFonts w:hint="default" w:ascii="黑体" w:hAnsi="黑体" w:eastAsia="黑体" w:cs="黑体"/>
          <w:b/>
          <w:bCs/>
          <w:color w:val="auto"/>
          <w:kern w:val="2"/>
          <w:sz w:val="32"/>
          <w:szCs w:val="32"/>
          <w:lang w:val="en-US" w:eastAsia="zh-CN"/>
        </w:rPr>
        <w:t>8.3全过程管理体系建设</w:t>
      </w:r>
      <w:bookmarkEnd w:id="35"/>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8.3.1健全源头控制管理体系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（1）强化分类管理。</w:t>
      </w:r>
      <w:r>
        <w:rPr>
          <w:rFonts w:hint="default" w:ascii="Times New Roman" w:hAnsi="Times New Roman" w:eastAsia="仿宋" w:cs="Times New Roman"/>
          <w:color w:val="auto"/>
          <w:spacing w:val="-2"/>
          <w:sz w:val="32"/>
          <w:szCs w:val="32"/>
          <w:lang w:val="en-US" w:eastAsia="zh-CN"/>
        </w:rPr>
        <w:t>按照工程渣土、工程泥浆、工程垃圾、拆除垃圾和装修垃圾五类，分门别类形成与之相应的管理制度，出台相应管理政策，杜绝分类模糊不清，实现精准有效管理，为建筑垃圾处置与利用形成源头制度保障。制定施工现场建筑垃圾分类收集与存放管理制度，包括建筑垃圾具体分类，分时段、分部位、分种类收集存放要求，各单位各区域建筑垃圾管理责任，台账管理要求等。</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（2）实行处置付费。</w:t>
      </w:r>
      <w:r>
        <w:rPr>
          <w:rFonts w:hint="default" w:ascii="Times New Roman" w:hAnsi="Times New Roman" w:eastAsia="仿宋" w:cs="Times New Roman"/>
          <w:color w:val="auto"/>
          <w:spacing w:val="-2"/>
          <w:sz w:val="32"/>
          <w:szCs w:val="32"/>
          <w:lang w:val="en-US" w:eastAsia="zh-CN"/>
        </w:rPr>
        <w:t>建筑垃圾产生者负有建筑垃圾处置义务，应当承担建筑垃圾运输、处置的费用。建筑垃圾的运输费、处置费由产生者与运输单位和处置单位协商确定，并在运输合同、处置合同中予以明确，双方另有约定的除外。</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使用政府财政性资金以及国有投资占控股或者主导地位的建设工程，建设单位在设计阶段要优化竖向方案和建筑设计方案，将建筑垃圾相关费用列入工程概算并纳入初步设计审查，将建筑垃圾减量化目标和措施纳入招标文件和合同文本。</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（3）出台激励政策。</w:t>
      </w:r>
      <w:r>
        <w:rPr>
          <w:rFonts w:hint="default" w:ascii="Times New Roman" w:hAnsi="Times New Roman" w:eastAsia="仿宋" w:cs="Times New Roman"/>
          <w:color w:val="auto"/>
          <w:spacing w:val="-2"/>
          <w:sz w:val="32"/>
          <w:szCs w:val="32"/>
          <w:lang w:val="en-US" w:eastAsia="zh-CN"/>
        </w:rPr>
        <w:t>全面推广建筑垃圾新能源和智能运输车辆，研究出台建筑垃圾新能源和智能运输车辆应用推广和补贴政策。加快研究建筑垃圾资源化利用的有关补贴措施，将建筑垃圾资源化利用项目纳入政府相关资金扶持政策范围，对符合国家扶持政策的企业，实行税收优惠政策。</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r>
        <w:rPr>
          <w:rFonts w:hint="eastAsia" w:ascii="黑体" w:hAnsi="黑体" w:eastAsia="黑体" w:cs="黑体"/>
          <w:b/>
          <w:bCs/>
          <w:color w:val="auto"/>
          <w:kern w:val="2"/>
          <w:sz w:val="32"/>
          <w:szCs w:val="32"/>
          <w:lang w:val="en-US" w:eastAsia="zh-CN"/>
        </w:rPr>
        <w:t>8.3.2完善过程监督管理体系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（1）加强核准管理。</w:t>
      </w:r>
      <w:r>
        <w:rPr>
          <w:rFonts w:hint="default" w:ascii="Times New Roman" w:hAnsi="Times New Roman" w:eastAsia="仿宋" w:cs="Times New Roman"/>
          <w:color w:val="auto"/>
          <w:spacing w:val="-2"/>
          <w:sz w:val="32"/>
          <w:szCs w:val="32"/>
          <w:lang w:val="en-US" w:eastAsia="zh-CN"/>
        </w:rPr>
        <w:t>各县（区）应加强建筑垃圾管理，对城市建成区内建筑垃圾的产生、运输、处置等活动进行严格核准。建设工程垃圾、拆除垃圾的产生单位应办理产生核准；从事建筑垃圾运输的单位应办理运输核准；转运调配场、堆填场、填埋场、资源化利用厂等处置和资源化利用企业（单位）应办理处置核准。参与处置活动（含产生、运输、处置）的相关单位，应在获取城市建筑垃圾处置相应核准证后，方可开展处置活动。建设工程产生核准证在开工前应当完成办理。工程施工单位应当编制建筑垃圾处理方案，采取污染防治措施，并报主管部门备案。</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（2）开展联合执法。</w:t>
      </w:r>
      <w:r>
        <w:rPr>
          <w:rFonts w:hint="default" w:ascii="Times New Roman" w:hAnsi="Times New Roman" w:eastAsia="仿宋" w:cs="Times New Roman"/>
          <w:color w:val="auto"/>
          <w:spacing w:val="-2"/>
          <w:sz w:val="32"/>
          <w:szCs w:val="32"/>
          <w:lang w:val="en-US" w:eastAsia="zh-CN"/>
        </w:rPr>
        <w:t>各级城市管理行政执法部门应会同住房城乡建设、公安交管、自然资源、生态环境、交通运输、水利、农业农村、林业等执法监管部门建立健全多部门协同监管和联合执法工作机制，明确职责、细化分工、定期会商、协作联动、信息共享，依法查处建筑垃圾产生、收集、运输、处置、利用等过程中的违法行为，情节严重构成犯罪的应当依法移送司法机关。</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（3）提升信息水平。</w:t>
      </w:r>
      <w:r>
        <w:rPr>
          <w:rFonts w:hint="default" w:ascii="Times New Roman" w:hAnsi="Times New Roman" w:eastAsia="仿宋" w:cs="Times New Roman"/>
          <w:color w:val="auto"/>
          <w:spacing w:val="-2"/>
          <w:sz w:val="32"/>
          <w:szCs w:val="32"/>
          <w:lang w:val="en-US" w:eastAsia="zh-CN"/>
        </w:rPr>
        <w:t>依托全省城市建筑垃圾信息管理平台，及时汇集建筑垃圾产生位置、种类、数量、运输、处置等信息，按就近原则调度区域内建筑垃圾产生与处置的平衡，逐步建立全动态、全链条、闭合的建筑垃圾全过程监管制度。建立建筑垃圾利用和再生产品的供求信息定期公布制度，实现信息共享与高效利用，为建设项目就近消纳渣土提供供需平台。</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楷体" w:hAnsi="楷体" w:eastAsia="楷体" w:cs="楷体"/>
          <w:color w:val="auto"/>
          <w:spacing w:val="-2"/>
          <w:sz w:val="32"/>
          <w:szCs w:val="32"/>
          <w:lang w:val="en-US" w:eastAsia="zh-CN"/>
        </w:rPr>
        <w:t>（4）建立应急机制。</w:t>
      </w:r>
      <w:r>
        <w:rPr>
          <w:rFonts w:hint="default" w:ascii="Times New Roman" w:hAnsi="Times New Roman" w:eastAsia="仿宋" w:cs="Times New Roman"/>
          <w:color w:val="auto"/>
          <w:spacing w:val="-2"/>
          <w:sz w:val="32"/>
          <w:szCs w:val="32"/>
          <w:lang w:val="en-US" w:eastAsia="zh-CN"/>
        </w:rPr>
        <w:t>完善建筑垃圾运输应急机制，明确工程渣土、工程垃圾、拆除垃圾的运输由企业负责；装修垃圾的运输由委托的运输单位负责。在运输过程中如遇突发情况，主要由责任单位自行解决，管理部门提供协助；特别重大问题则上报上级主管部门协调解决，确保建筑垃圾运输的顺畅与安全。</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8.3.3建立评估评价管理体系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（1）开展综合评价。</w:t>
      </w:r>
      <w:r>
        <w:rPr>
          <w:rFonts w:hint="default" w:ascii="Times New Roman" w:hAnsi="Times New Roman" w:eastAsia="仿宋" w:cs="Times New Roman"/>
          <w:color w:val="auto"/>
          <w:spacing w:val="-2"/>
          <w:sz w:val="32"/>
          <w:szCs w:val="32"/>
          <w:lang w:val="en-US" w:eastAsia="zh-CN"/>
        </w:rPr>
        <w:t>区住房城乡建设局应定期会同有关部门对各建筑垃圾处置和资源化利用工作进行综合评价。适时对全区建筑垃圾管理情况进行评估，及时发现解决重大问题，不断健全完善常态长效机制。</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（2）实行信用评价。</w:t>
      </w:r>
      <w:r>
        <w:rPr>
          <w:rFonts w:hint="default" w:ascii="Times New Roman" w:hAnsi="Times New Roman" w:eastAsia="仿宋" w:cs="Times New Roman"/>
          <w:color w:val="auto"/>
          <w:spacing w:val="-2"/>
          <w:sz w:val="32"/>
          <w:szCs w:val="32"/>
          <w:lang w:val="en-US" w:eastAsia="zh-CN"/>
        </w:rPr>
        <w:t>健全对建设单位、运输、处置企业等对象的考评体系，完善现有建设（施工）企业和运输企业信用管理制度，充分利用市场主体信用考核体系和诚信系统，对建筑垃圾管理工作不到位的建设（施工）、运输企业及相关责任人实施信用惩戒，提高违法成本，及时向社会公布相关企业和人员不良行为信息。</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eastAsia" w:ascii="楷体" w:hAnsi="楷体" w:eastAsia="楷体" w:cs="楷体"/>
          <w:color w:val="auto"/>
          <w:spacing w:val="-2"/>
          <w:sz w:val="32"/>
          <w:szCs w:val="32"/>
          <w:lang w:val="en-US" w:eastAsia="zh-CN"/>
        </w:rPr>
        <w:t>（3）引导社会监督。</w:t>
      </w:r>
      <w:r>
        <w:rPr>
          <w:rFonts w:hint="default" w:ascii="Times New Roman" w:hAnsi="Times New Roman" w:eastAsia="仿宋" w:cs="Times New Roman"/>
          <w:color w:val="auto"/>
          <w:spacing w:val="-2"/>
          <w:sz w:val="32"/>
          <w:szCs w:val="32"/>
          <w:lang w:val="en-US" w:eastAsia="zh-CN"/>
        </w:rPr>
        <w:t>人民政府及其有关部门应通过广播、电视、报刊、网络等媒体，加强建筑垃圾管理相关法律法规宣传，增强公众法治意识，鼓励群众对建筑垃圾偷倒乱倒、超重运输等违法行为进行投诉举报，共同防止建筑垃圾污染环境。</w:t>
      </w:r>
    </w:p>
    <w:p>
      <w:pPr>
        <w:pStyle w:val="2"/>
        <w:rPr>
          <w:rFonts w:hint="eastAsia" w:ascii="仿宋" w:hAnsi="仿宋" w:eastAsia="仿宋" w:cs="仿宋"/>
          <w:lang w:val="en-US" w:eastAsia="zh-CN"/>
        </w:rPr>
      </w:pPr>
    </w:p>
    <w:p>
      <w:pPr>
        <w:pStyle w:val="2"/>
        <w:rPr>
          <w:rFonts w:hint="eastAsia" w:ascii="仿宋" w:hAnsi="仿宋" w:eastAsia="仿宋" w:cs="仿宋"/>
          <w:color w:val="auto"/>
          <w:spacing w:val="-2"/>
          <w:sz w:val="30"/>
          <w:szCs w:val="30"/>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36" w:name="_Toc2723"/>
      <w:r>
        <w:rPr>
          <w:rFonts w:hint="eastAsia" w:ascii="方正小标宋简体" w:hAnsi="方正小标宋简体" w:eastAsia="方正小标宋简体" w:cs="方正小标宋简体"/>
          <w:sz w:val="44"/>
          <w:szCs w:val="44"/>
          <w:lang w:val="en-US" w:eastAsia="zh-CN"/>
        </w:rPr>
        <w:t>第九章近期建设规划</w:t>
      </w:r>
      <w:bookmarkEnd w:id="36"/>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37" w:name="_Toc22885"/>
      <w:r>
        <w:rPr>
          <w:rFonts w:hint="eastAsia" w:ascii="黑体" w:hAnsi="黑体" w:eastAsia="黑体" w:cs="黑体"/>
          <w:b/>
          <w:bCs/>
          <w:color w:val="auto"/>
          <w:kern w:val="2"/>
          <w:sz w:val="32"/>
          <w:szCs w:val="32"/>
          <w:lang w:val="en-US" w:eastAsia="zh-CN"/>
        </w:rPr>
        <w:t>9.1近期建设目标</w:t>
      </w:r>
      <w:bookmarkEnd w:id="37"/>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9.1.1保障约束性指标达到相应要求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FF0000"/>
          <w:spacing w:val="-2"/>
          <w:sz w:val="32"/>
          <w:szCs w:val="32"/>
          <w:lang w:val="en-US" w:eastAsia="zh-CN"/>
        </w:rPr>
      </w:pPr>
      <w:r>
        <w:rPr>
          <w:rFonts w:hint="default" w:ascii="Times New Roman" w:hAnsi="Times New Roman" w:eastAsia="仿宋" w:cs="Times New Roman"/>
          <w:color w:val="auto"/>
          <w:spacing w:val="-2"/>
          <w:sz w:val="32"/>
          <w:szCs w:val="32"/>
          <w:lang w:val="en-US" w:eastAsia="zh-CN"/>
        </w:rPr>
        <w:t>约束性指标是指在规划期内制定必须达到的指标，这些指标具有强制性，是政府和相关部门必须履行的责任和义务。本规划中的约束性指标包括：</w:t>
      </w:r>
      <w:r>
        <w:rPr>
          <w:rFonts w:hint="eastAsia" w:ascii="Times New Roman" w:hAnsi="Times New Roman" w:eastAsia="仿宋" w:cs="Times New Roman"/>
          <w:color w:val="auto"/>
          <w:spacing w:val="-2"/>
          <w:sz w:val="32"/>
          <w:szCs w:val="32"/>
          <w:lang w:val="en-US" w:eastAsia="zh-CN"/>
        </w:rPr>
        <w:t>建筑垃圾安全处置率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100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；绿色建筑占新建建筑的比例</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8</w:t>
      </w:r>
      <w:r>
        <w:rPr>
          <w:rFonts w:hint="default" w:ascii="Times New Roman" w:hAnsi="Times New Roman" w:eastAsia="仿宋" w:cs="Times New Roman"/>
          <w:color w:val="auto"/>
          <w:spacing w:val="-2"/>
          <w:sz w:val="32"/>
          <w:szCs w:val="32"/>
          <w:lang w:val="en-US" w:eastAsia="zh-CN"/>
        </w:rPr>
        <w:t>5%；</w:t>
      </w:r>
      <w:r>
        <w:rPr>
          <w:rFonts w:hint="eastAsia" w:ascii="Times New Roman" w:hAnsi="Times New Roman" w:eastAsia="仿宋" w:cs="Times New Roman"/>
          <w:color w:val="auto"/>
          <w:spacing w:val="-2"/>
          <w:sz w:val="32"/>
          <w:szCs w:val="32"/>
          <w:lang w:val="en-US" w:eastAsia="zh-CN"/>
        </w:rPr>
        <w:t>建筑垃圾运输车卫星定位装置接入率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100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建筑垃圾消纳场所视频监控接入率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100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工程项目视频监控接入率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100</w:t>
      </w:r>
      <w:r>
        <w:rPr>
          <w:rFonts w:hint="default" w:ascii="Times New Roman" w:hAnsi="Times New Roman" w:eastAsia="仿宋" w:cs="Times New Roman"/>
          <w:color w:val="auto"/>
          <w:spacing w:val="-2"/>
          <w:sz w:val="32"/>
          <w:szCs w:val="32"/>
          <w:lang w:val="en-US" w:eastAsia="zh-CN"/>
        </w:rPr>
        <w:t>%。</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9.1.2促进预期性指标靠近相应要求</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预期性指标是指在规划期内设定的期望达到或可能实现的目标，这些指标通常基于对市场、经济、社会等发展趋势的预测和分析，反映政府对未来发展的期望和规划。本规划中的预期性指标包括：</w:t>
      </w:r>
      <w:r>
        <w:rPr>
          <w:rFonts w:hint="eastAsia" w:ascii="Times New Roman" w:hAnsi="Times New Roman" w:eastAsia="仿宋" w:cs="Times New Roman"/>
          <w:color w:val="auto"/>
          <w:spacing w:val="-2"/>
          <w:sz w:val="32"/>
          <w:szCs w:val="32"/>
          <w:lang w:val="en-US" w:eastAsia="zh-CN"/>
        </w:rPr>
        <w:t>建筑垃圾资源化利用率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60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建筑垃圾综合利用率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80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建筑垃圾密闭化运输率</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100</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装配式建筑占新建建筑的比例</w:t>
      </w:r>
      <w:r>
        <w:rPr>
          <w:rFonts w:hint="default" w:ascii="Times New Roman" w:hAnsi="Times New Roman" w:eastAsia="仿宋" w:cs="Times New Roman"/>
          <w:color w:val="auto"/>
          <w:spacing w:val="-2"/>
          <w:sz w:val="32"/>
          <w:szCs w:val="32"/>
          <w:lang w:val="en-US" w:eastAsia="zh-CN"/>
        </w:rPr>
        <w:t>≥</w:t>
      </w:r>
      <w:r>
        <w:rPr>
          <w:rFonts w:hint="eastAsia" w:ascii="Times New Roman" w:hAnsi="Times New Roman" w:eastAsia="仿宋" w:cs="Times New Roman"/>
          <w:color w:val="auto"/>
          <w:spacing w:val="-2"/>
          <w:sz w:val="32"/>
          <w:szCs w:val="32"/>
          <w:lang w:val="en-US" w:eastAsia="zh-CN"/>
        </w:rPr>
        <w:t>35</w:t>
      </w:r>
      <w:r>
        <w:rPr>
          <w:rFonts w:hint="default" w:ascii="Times New Roman" w:hAnsi="Times New Roman" w:eastAsia="仿宋" w:cs="Times New Roman"/>
          <w:color w:val="auto"/>
          <w:spacing w:val="-2"/>
          <w:sz w:val="32"/>
          <w:szCs w:val="32"/>
          <w:lang w:val="en-US" w:eastAsia="zh-CN"/>
        </w:rPr>
        <w:t>%。</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38" w:name="_Toc2828"/>
      <w:r>
        <w:rPr>
          <w:rFonts w:hint="default" w:ascii="黑体" w:hAnsi="黑体" w:eastAsia="黑体" w:cs="黑体"/>
          <w:b/>
          <w:bCs/>
          <w:color w:val="auto"/>
          <w:kern w:val="2"/>
          <w:sz w:val="32"/>
          <w:szCs w:val="32"/>
          <w:lang w:val="en-US" w:eastAsia="zh-CN"/>
        </w:rPr>
        <w:t>9.2存量治理</w:t>
      </w:r>
      <w:bookmarkEnd w:id="38"/>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9.2.1全面摸排存量建筑垃圾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对存量建筑垃圾进行全面摸底排查，按照属地管理原则，各辖区开展存量建筑垃圾摸底调查工作，重点排查城乡接合部，环境敏感区、主要交通干道沿线，查清现有存量建筑垃圾堆放点数量、规模，并按底数清、数据准和全覆盖、无遗漏要求建立台账。</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9.2.2有针对性制定存量治理清零计划</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根据排查情况，按照“一处一台账一措施”的原则，综合考虑存量建筑垃圾的体量、位置及周围环境等各种因素，制定有针对性的专项治理计划，明确治理的责任主体、整治目标、具体措施、资金来源、完成时间节点和监督检查办法，全面推进、妥善治理存量建筑垃圾。同时，按照“治理一处、核实一处、销号一处”的要求，重点核查是否整改、是否按要求整改、是否整改到位、是否有新增非正规建筑垃圾堆放点等情况，严格对标开展存量建筑垃圾治理成效复核和销号工作，对不及时整改、虚假整改、整改不到位，瞒报漏报等行为进行通报或责任追究。完成治理的点位要及时报地方环境卫生主管部门复核销号，严防环境污染事故发生。</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9.2.3采用筛分治理方式开展治理</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应采用筛分治理的方式开展治理工作，筛分后无污染的建筑垃圾可就地回填利用或转运至建筑垃圾资源化处理站进行处理，不可资源化利用的垃圾运至建筑垃圾消纳场进行消纳处置，有价值物料进入废品回收体系。对治理后的建筑垃圾堆放点，应按照规范标准要求进行复绿或复耕，确保对土壤环境无不良影响。</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9.2.4严格控制建筑垃圾增量</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应严格控制增量，相关职能部门应加大建筑垃圾私拉乱倒等情况的监督检查和查处力度，对违规倾倒和非法运输处置建筑垃圾的单位和个人，依法予以处罚。</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结合建筑垃圾收运要求，规划工程渣土、工程泥浆、工程垃圾、拆除垃圾等建筑垃圾暂存点收集设施为施工现场，不单独设置暂存点或转运调配站，无法在施工现场暂存的建筑垃圾，运至规划的建筑垃圾消纳场暂存；规划装修垃圾，涉及有物业服务小区的由物业服务企业、小区业主设置装修垃圾暂存点，无物业服务的小区在“自管小区”“三无小区”周边规划设置装修垃圾暂存点。</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bookmarkStart w:id="39" w:name="_Toc30215"/>
      <w:r>
        <w:rPr>
          <w:rFonts w:hint="default" w:ascii="黑体" w:hAnsi="黑体" w:eastAsia="黑体" w:cs="黑体"/>
          <w:b/>
          <w:bCs/>
          <w:color w:val="auto"/>
          <w:kern w:val="2"/>
          <w:sz w:val="32"/>
          <w:szCs w:val="32"/>
          <w:lang w:val="en-US" w:eastAsia="zh-CN"/>
        </w:rPr>
        <w:t>9.3收集运输设施建设</w:t>
      </w:r>
      <w:bookmarkEnd w:id="39"/>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9.3.1收运设施建设</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结合建筑垃圾收运要求，工程渣土、工程泥浆、工程垃圾、拆除垃圾等建筑垃圾暂存点收集设施为施工现场，不再单独设置暂存点或转运调配站，无法在施工现场暂存的建筑垃圾，运至规划的建筑垃圾消纳场暂存。</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装修垃圾，涉及有物业服务小区的由物业服务企业设置装修垃圾收集点；无物业服务的小区根据属地原则由社区统一进行管理，灵活增设装修垃圾收集点。装修垃圾收集点应充分利用现有资源，减少额外投资，同时确保收集点能够便捷地服务于装载和运输车辆，从而在保证效率的同时实现成本的有效控制。</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 xml:space="preserve">9.3.2转运调配场建设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参考《建筑垃圾处理技术标准》（CJJ/T134-2019），建筑垃圾转运调配场主体设施应包括围挡设施、分类堆放区、场区道路和地基处理等。规划用地面积参考《建筑垃圾处理专项规划导则》（T∕CECS 1320—2023）进行布局。</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建设内容主要包括围墙、大门、道路、排水系统等基础设施，设置建筑垃圾分类区、临时储存区等，建设建筑垃圾破碎、筛分、分选等处理设施以及资源化利用生产线。</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 xml:space="preserve">9.3.3建设结论分析 </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由前面可知，近期规划在1个建筑垃圾临时堆场，总转运处置能力为2万吨/年，可以满足要求。</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default" w:ascii="黑体" w:hAnsi="黑体" w:eastAsia="黑体" w:cs="黑体"/>
          <w:b/>
          <w:bCs/>
          <w:color w:val="auto"/>
          <w:kern w:val="2"/>
          <w:sz w:val="32"/>
          <w:szCs w:val="32"/>
          <w:lang w:val="en-US" w:eastAsia="zh-CN"/>
        </w:rPr>
      </w:pPr>
      <w:r>
        <w:rPr>
          <w:rFonts w:hint="default" w:ascii="黑体" w:hAnsi="黑体" w:eastAsia="黑体" w:cs="黑体"/>
          <w:b/>
          <w:bCs/>
          <w:color w:val="auto"/>
          <w:kern w:val="2"/>
          <w:sz w:val="32"/>
          <w:szCs w:val="32"/>
          <w:lang w:val="en-US" w:eastAsia="zh-CN"/>
        </w:rPr>
        <w:t>9.4.7建设结论分析</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本次仅对近期建设项目进行规划，远期建筑垃圾处置设施应根据属地管理原则由属地住房城乡建设部门再次规划建设建筑垃圾处置设施。</w:t>
      </w:r>
    </w:p>
    <w:p>
      <w:pPr>
        <w:keepNext w:val="0"/>
        <w:keepLines w:val="0"/>
        <w:pageBreakBefore w:val="0"/>
        <w:widowControl w:val="0"/>
        <w:kinsoku/>
        <w:wordWrap/>
        <w:overflowPunct/>
        <w:topLinePunct w:val="0"/>
        <w:autoSpaceDE/>
        <w:autoSpaceDN/>
        <w:bidi w:val="0"/>
        <w:adjustRightInd/>
        <w:snapToGrid/>
        <w:spacing w:line="360" w:lineRule="auto"/>
        <w:ind w:left="0" w:firstLine="641"/>
        <w:jc w:val="both"/>
        <w:textAlignment w:val="auto"/>
        <w:rPr>
          <w:rFonts w:hint="eastAsia" w:ascii="仿宋" w:hAnsi="仿宋" w:eastAsia="仿宋" w:cs="仿宋"/>
          <w:color w:val="auto"/>
          <w:spacing w:val="-2"/>
          <w:sz w:val="28"/>
          <w:szCs w:val="28"/>
          <w:lang w:val="en-US" w:eastAsia="zh-CN"/>
        </w:rPr>
      </w:pPr>
    </w:p>
    <w:p>
      <w:pPr>
        <w:pStyle w:val="2"/>
        <w:rPr>
          <w:rFonts w:hint="eastAsia" w:ascii="仿宋" w:hAnsi="仿宋" w:eastAsia="仿宋" w:cs="仿宋"/>
          <w:color w:val="auto"/>
          <w:spacing w:val="-2"/>
          <w:sz w:val="28"/>
          <w:szCs w:val="28"/>
          <w:lang w:val="en-US" w:eastAsia="zh-CN"/>
        </w:rPr>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pPr>
    </w:p>
    <w:p>
      <w:pPr>
        <w:pStyle w:val="3"/>
        <w:numPr>
          <w:ilvl w:val="0"/>
          <w:numId w:val="0"/>
        </w:numPr>
        <w:bidi w:val="0"/>
        <w:ind w:leftChars="0"/>
        <w:jc w:val="center"/>
        <w:rPr>
          <w:rFonts w:hint="eastAsia" w:ascii="方正小标宋简体" w:hAnsi="方正小标宋简体" w:eastAsia="方正小标宋简体" w:cs="方正小标宋简体"/>
          <w:sz w:val="44"/>
          <w:szCs w:val="44"/>
          <w:lang w:val="en-US" w:eastAsia="zh-CN"/>
        </w:rPr>
      </w:pPr>
      <w:bookmarkStart w:id="40" w:name="_Toc26677"/>
      <w:r>
        <w:rPr>
          <w:rFonts w:hint="eastAsia" w:ascii="方正小标宋简体" w:hAnsi="方正小标宋简体" w:eastAsia="方正小标宋简体" w:cs="方正小标宋简体"/>
          <w:sz w:val="44"/>
          <w:szCs w:val="44"/>
          <w:lang w:val="en-US" w:eastAsia="zh-CN"/>
        </w:rPr>
        <w:t>第十章保障措施</w:t>
      </w:r>
      <w:bookmarkEnd w:id="40"/>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41" w:name="_Toc8059"/>
      <w:r>
        <w:rPr>
          <w:rFonts w:hint="eastAsia" w:ascii="黑体" w:hAnsi="黑体" w:eastAsia="黑体" w:cs="黑体"/>
          <w:b/>
          <w:bCs/>
          <w:color w:val="auto"/>
          <w:kern w:val="2"/>
          <w:sz w:val="32"/>
          <w:szCs w:val="32"/>
          <w:lang w:val="en-US" w:eastAsia="zh-CN"/>
        </w:rPr>
        <w:t>10.1建立工作机制</w:t>
      </w:r>
      <w:bookmarkEnd w:id="41"/>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10.1.1加强制度建设，健全监督管理体系</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完善有关奖惩措施，深化城市建筑垃圾产生、运输、消纳以及循环利用等方面的监督管理。</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10.1.2加强组织领导，落实部门责任制</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将建筑垃圾治理和资源化利用量纳入年度计划和重点工作清单，建立工作协调机制，组织协调各级建筑垃圾治理工作，统筹推进建筑垃圾处理项目建设、日常监管及综合利用，协调推进建筑垃圾管理及资源化利用工作。</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42" w:name="_Toc6826"/>
      <w:r>
        <w:rPr>
          <w:rFonts w:hint="eastAsia" w:ascii="黑体" w:hAnsi="黑体" w:eastAsia="黑体" w:cs="黑体"/>
          <w:b/>
          <w:bCs/>
          <w:color w:val="auto"/>
          <w:kern w:val="2"/>
          <w:sz w:val="32"/>
          <w:szCs w:val="32"/>
          <w:lang w:val="en-US" w:eastAsia="zh-CN"/>
        </w:rPr>
        <w:t>10.2加强要素保障</w:t>
      </w:r>
      <w:bookmarkEnd w:id="42"/>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10.2.1加强土地保障</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区自然资源局配合做好该专项规划用地选址与国土空间总体规划、详细规划符合性审查。</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10.2.2落实资金保障</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继续加大公共财政投入力度，积极争取和利用各级财政优惠政策和资金，大力支持建筑垃圾处置及资源化利用项目建设，提高资金使用效率；创新投融资方式，鼓励金融机构积极参与，推动绿色金融债券、政策性银行专项贷款等支持项目建设，探索项目收益权、特许经营权等质押融资担保。</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10.2.3夯实技术基础保障</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加强建筑垃圾管理与资源化利用新技术、新工艺、新材料、新设备的研发，支持相关技术标准、课题的研究和编制。鼓励装备制造企业加大新型建筑垃圾收集、运输和资源化利用成套装备研发，促进装备制造业发展。充实建筑垃圾治理岗位专业技术人员或管理人员，建立一线作业人员的作业技能培训、作业资格认证、等级评定等制度，保障人员专业操作技能，提高专业化水平。</w:t>
      </w:r>
    </w:p>
    <w:p>
      <w:pPr>
        <w:pStyle w:val="4"/>
        <w:pageBreakBefore w:val="0"/>
        <w:widowControl w:val="0"/>
        <w:numPr>
          <w:ilvl w:val="1"/>
          <w:numId w:val="0"/>
        </w:numPr>
        <w:kinsoku/>
        <w:wordWrap/>
        <w:overflowPunct/>
        <w:topLinePunct w:val="0"/>
        <w:autoSpaceDE/>
        <w:autoSpaceDN/>
        <w:bidi w:val="0"/>
        <w:adjustRightInd/>
        <w:snapToGrid/>
        <w:spacing w:before="156" w:beforeLines="50" w:after="156" w:afterLines="50" w:line="600" w:lineRule="exact"/>
        <w:ind w:leftChars="0"/>
        <w:jc w:val="left"/>
        <w:textAlignment w:val="auto"/>
        <w:rPr>
          <w:rFonts w:hint="eastAsia" w:ascii="黑体" w:hAnsi="黑体" w:eastAsia="黑体" w:cs="黑体"/>
          <w:b/>
          <w:bCs/>
          <w:color w:val="auto"/>
          <w:kern w:val="2"/>
          <w:sz w:val="32"/>
          <w:szCs w:val="32"/>
          <w:lang w:val="en-US" w:eastAsia="zh-CN"/>
        </w:rPr>
      </w:pPr>
      <w:bookmarkStart w:id="43" w:name="_Toc9930"/>
      <w:r>
        <w:rPr>
          <w:rFonts w:hint="eastAsia" w:ascii="黑体" w:hAnsi="黑体" w:eastAsia="黑体" w:cs="黑体"/>
          <w:b/>
          <w:bCs/>
          <w:color w:val="auto"/>
          <w:kern w:val="2"/>
          <w:sz w:val="32"/>
          <w:szCs w:val="32"/>
          <w:lang w:val="en-US" w:eastAsia="zh-CN"/>
        </w:rPr>
        <w:t>10.3建立监管机制</w:t>
      </w:r>
      <w:bookmarkEnd w:id="43"/>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10.3.1建立建筑垃圾综合管理平台</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运用大数据、物联网、云计算、人工智能等技术手段，建立金口河区建筑垃圾综合管理平台，结合金口河区层面及市级、省级层面的建筑垃圾全过程信息化管理的发展，并入金口河区数字化城市管理监督指挥中心平台，进行升级提升建设。</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10.3.2加强公众参与保障</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auto"/>
          <w:spacing w:val="-2"/>
          <w:sz w:val="32"/>
          <w:szCs w:val="32"/>
          <w:lang w:val="en-US" w:eastAsia="zh-CN"/>
        </w:rPr>
      </w:pPr>
      <w:r>
        <w:rPr>
          <w:rFonts w:hint="default" w:ascii="Times New Roman" w:hAnsi="Times New Roman" w:eastAsia="仿宋" w:cs="Times New Roman"/>
          <w:color w:val="auto"/>
          <w:spacing w:val="-2"/>
          <w:sz w:val="32"/>
          <w:szCs w:val="32"/>
          <w:lang w:val="en-US" w:eastAsia="zh-CN"/>
        </w:rPr>
        <w:t>应建立和完善公众参与制度，积极发动、组织引导群众参与管理监督工作，形成广泛的群众基础，涉及群众利益的规划、决策和项目，应充分听取群众的意见，及时公布项目建设重点内容，保障公民知情权、参与权和监督权。</w:t>
      </w:r>
    </w:p>
    <w:p>
      <w:pPr>
        <w:pStyle w:val="5"/>
        <w:pageBreakBefore w:val="0"/>
        <w:widowControl w:val="0"/>
        <w:numPr>
          <w:ilvl w:val="2"/>
          <w:numId w:val="0"/>
        </w:numPr>
        <w:kinsoku/>
        <w:wordWrap/>
        <w:overflowPunct/>
        <w:topLinePunct w:val="0"/>
        <w:autoSpaceDE/>
        <w:autoSpaceDN/>
        <w:bidi w:val="0"/>
        <w:adjustRightInd/>
        <w:snapToGrid/>
        <w:spacing w:line="600" w:lineRule="exact"/>
        <w:ind w:left="720" w:leftChars="0" w:hanging="720" w:firstLineChars="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10.3.3健全指导考核评价机制</w:t>
      </w:r>
    </w:p>
    <w:p>
      <w:pPr>
        <w:keepNext w:val="0"/>
        <w:keepLines w:val="0"/>
        <w:pageBreakBefore w:val="0"/>
        <w:widowControl w:val="0"/>
        <w:kinsoku/>
        <w:wordWrap/>
        <w:overflowPunct/>
        <w:topLinePunct w:val="0"/>
        <w:autoSpaceDE/>
        <w:autoSpaceDN/>
        <w:bidi w:val="0"/>
        <w:adjustRightInd/>
        <w:snapToGrid/>
        <w:spacing w:line="600" w:lineRule="exact"/>
        <w:ind w:left="0" w:firstLine="641"/>
        <w:jc w:val="both"/>
        <w:textAlignment w:val="auto"/>
        <w:rPr>
          <w:rFonts w:hint="default" w:ascii="Times New Roman" w:hAnsi="Times New Roman" w:eastAsia="仿宋" w:cs="Times New Roman"/>
          <w:color w:val="000000"/>
          <w:sz w:val="32"/>
          <w:szCs w:val="32"/>
        </w:rPr>
      </w:pPr>
      <w:r>
        <w:rPr>
          <w:rFonts w:hint="default" w:ascii="Times New Roman" w:hAnsi="Times New Roman" w:eastAsia="仿宋" w:cs="Times New Roman"/>
          <w:color w:val="auto"/>
          <w:spacing w:val="-2"/>
          <w:sz w:val="32"/>
          <w:szCs w:val="32"/>
          <w:lang w:val="en-US" w:eastAsia="zh-CN"/>
        </w:rPr>
        <w:t>定期对建筑垃圾管理及资源化利用工作进行综合评估，严格按照相关规定及要求进行评估。</w:t>
      </w:r>
    </w:p>
    <w:sectPr>
      <w:pgSz w:w="11905" w:h="16838"/>
      <w:pgMar w:top="2041" w:right="1468" w:bottom="1587" w:left="1468" w:header="850" w:footer="992" w:gutter="0"/>
      <w:pgBorders w:offsetFrom="page">
        <w:top w:val="none" w:sz="0" w:space="0"/>
        <w:left w:val="none" w:sz="0" w:space="0"/>
        <w:bottom w:val="none" w:sz="0" w:space="0"/>
        <w:right w:val="none" w:sz="0" w:space="0"/>
      </w:pgBorders>
      <w:pgNumType w:fmt="decimal"/>
      <w:cols w:space="0" w:num="1"/>
      <w:rtlGutter w:val="0"/>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宋体"/>
    <w:panose1 w:val="00000000000000000000"/>
    <w:charset w:val="86"/>
    <w:family w:val="roman"/>
    <w:pitch w:val="default"/>
    <w:sig w:usb0="00000000" w:usb1="00000000" w:usb2="00000010" w:usb3="00000000" w:csb0="00060001"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5782"/>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tn3neIBAADDAwAADgAA&#10;AAAAAAABACAAAAAeAQAAZHJzL2Uyb0RvYy54bWxQSwUGAAAAAAYABgBZAQAAcgU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9685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72085" cy="196850"/>
                      </a:xfrm>
                      <a:prstGeom prst="rect">
                        <a:avLst/>
                      </a:prstGeom>
                      <a:noFill/>
                      <a:ln>
                        <a:noFill/>
                      </a:ln>
                    </wps:spPr>
                    <wps:txbx>
                      <w:txbxContent>
                        <w:p>
                          <w:pPr>
                            <w:pStyle w:val="27"/>
                            <w:rPr>
                              <w:rStyle w:val="44"/>
                            </w:rPr>
                          </w:pPr>
                          <w:r>
                            <w:fldChar w:fldCharType="begin"/>
                          </w:r>
                          <w:r>
                            <w:rPr>
                              <w:rStyle w:val="44"/>
                            </w:rPr>
                            <w:instrText xml:space="preserve">PAGE  </w:instrText>
                          </w:r>
                          <w:r>
                            <w:fldChar w:fldCharType="separate"/>
                          </w:r>
                          <w:r>
                            <w:rPr>
                              <w:rStyle w:val="44"/>
                            </w:rPr>
                            <w:t>427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5.5pt;width:13.55pt;mso-position-horizontal:center;mso-position-horizontal-relative:margin;mso-wrap-style:none;z-index:251660288;mso-width-relative:page;mso-height-relative:page;" filled="f" stroked="f" coordsize="21600,21600" o:gfxdata="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plNV0QAAAAMBAAAPAAAAAAAAAAEAIAAAACIAAABkcnMv&#10;ZG93bnJldi54bWxQSwECFAAUAAAACACHTuJAf5cGP9EBAACbAwAADgAAAAAAAAABACAAAAAgAQAA&#10;ZHJzL2Uyb0RvYy54bWxQSwUGAAAAAAYABgBZAQAAYwUAAAAA&#10;">
              <v:fill on="f" focussize="0,0"/>
              <v:stroke on="f"/>
              <v:imagedata o:title=""/>
              <o:lock v:ext="edit" aspectratio="f"/>
              <v:textbox inset="0mm,0mm,0mm,0mm" style="mso-fit-shape-to-text:t;">
                <w:txbxContent>
                  <w:p>
                    <w:pPr>
                      <w:pStyle w:val="27"/>
                      <w:rPr>
                        <w:rStyle w:val="44"/>
                      </w:rPr>
                    </w:pPr>
                    <w:r>
                      <w:fldChar w:fldCharType="begin"/>
                    </w:r>
                    <w:r>
                      <w:rPr>
                        <w:rStyle w:val="44"/>
                      </w:rPr>
                      <w:instrText xml:space="preserve">PAGE  </w:instrText>
                    </w:r>
                    <w:r>
                      <w:fldChar w:fldCharType="separate"/>
                    </w:r>
                    <w:r>
                      <w:rPr>
                        <w:rStyle w:val="44"/>
                      </w:rPr>
                      <w:t>427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left"/>
      <w:rPr>
        <w:rFonts w:hint="eastAsia" w:ascii="Calibri" w:hAnsi="Calibri" w:eastAsia="宋体" w:cs="Times New Roman"/>
        <w:sz w:val="21"/>
        <w:szCs w:val="21"/>
        <w:u w:val="single"/>
      </w:rPr>
    </w:pPr>
    <w:r>
      <w:rPr>
        <w:rFonts w:hint="eastAsia" w:eastAsia="宋体" w:cs="Times New Roman"/>
        <w:sz w:val="18"/>
        <w:szCs w:val="18"/>
        <w:u w:val="single"/>
        <w:lang w:val="en-US" w:eastAsia="zh-CN"/>
      </w:rPr>
      <w:t xml:space="preserve">                            金口河区</w:t>
    </w:r>
    <w:r>
      <w:rPr>
        <w:rFonts w:hint="eastAsia" w:ascii="Calibri" w:hAnsi="Calibri" w:eastAsia="宋体" w:cs="Times New Roman"/>
        <w:sz w:val="18"/>
        <w:szCs w:val="18"/>
        <w:u w:val="single"/>
        <w:lang w:val="en-US" w:eastAsia="zh-CN"/>
      </w:rPr>
      <w:t>城市建筑垃圾污染环境防治工作</w:t>
    </w:r>
    <w:r>
      <w:rPr>
        <w:rFonts w:hint="eastAsia" w:eastAsia="宋体" w:cs="Times New Roman"/>
        <w:sz w:val="18"/>
        <w:szCs w:val="18"/>
        <w:u w:val="single"/>
        <w:lang w:val="en-US" w:eastAsia="zh-CN"/>
      </w:rPr>
      <w:t>专项</w:t>
    </w:r>
    <w:r>
      <w:rPr>
        <w:rFonts w:hint="eastAsia" w:ascii="Calibri" w:hAnsi="Calibri" w:eastAsia="宋体" w:cs="Times New Roman"/>
        <w:sz w:val="18"/>
        <w:szCs w:val="18"/>
        <w:u w:val="single"/>
        <w:lang w:val="en-US" w:eastAsia="zh-CN"/>
      </w:rPr>
      <w:t>规划</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u w:val="single"/>
        <w:lang w:val="en-US" w:eastAsia="zh-CN"/>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u w:val="single"/>
        <w:lang w:val="en-US" w:eastAsia="zh-CN"/>
      </w:rPr>
      <w:t xml:space="preserve">    </w:t>
    </w:r>
  </w:p>
  <w:p>
    <w:pPr>
      <w:pStyle w:val="2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eastAsia" w:cs="Times New Roman"/>
        <w:sz w:val="18"/>
        <w:szCs w:val="18"/>
        <w:u w:val="non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default"/>
        <w:lang w:val="en-US"/>
      </w:rPr>
    </w:pPr>
    <w:r>
      <w:rPr>
        <w:rFonts w:hint="eastAsia" w:cs="Times New Roman"/>
        <w:sz w:val="18"/>
        <w:szCs w:val="18"/>
        <w:u w:val="single"/>
        <w:lang w:val="en-US" w:eastAsia="zh-CN"/>
      </w:rPr>
      <w:t xml:space="preserve">                 </w:t>
    </w:r>
    <w:r>
      <w:rPr>
        <w:rFonts w:hint="eastAsia" w:eastAsia="宋体" w:cs="Times New Roman"/>
        <w:sz w:val="18"/>
        <w:szCs w:val="18"/>
        <w:u w:val="single"/>
        <w:lang w:val="en-US" w:eastAsia="zh-CN"/>
      </w:rPr>
      <w:t>金口河区</w:t>
    </w:r>
    <w:r>
      <w:rPr>
        <w:rFonts w:hint="eastAsia" w:ascii="Calibri" w:hAnsi="Calibri" w:eastAsia="宋体" w:cs="Times New Roman"/>
        <w:sz w:val="18"/>
        <w:szCs w:val="18"/>
        <w:u w:val="single"/>
        <w:lang w:val="en-US" w:eastAsia="zh-CN"/>
      </w:rPr>
      <w:t>城市建筑垃圾污染环境防治工作</w:t>
    </w:r>
    <w:r>
      <w:rPr>
        <w:rFonts w:hint="eastAsia" w:eastAsia="宋体" w:cs="Times New Roman"/>
        <w:sz w:val="18"/>
        <w:szCs w:val="18"/>
        <w:u w:val="single"/>
        <w:lang w:val="en-US" w:eastAsia="zh-CN"/>
      </w:rPr>
      <w:t>专项</w:t>
    </w:r>
    <w:r>
      <w:rPr>
        <w:rFonts w:hint="eastAsia" w:ascii="Calibri" w:hAnsi="Calibri" w:eastAsia="宋体" w:cs="Times New Roman"/>
        <w:sz w:val="18"/>
        <w:szCs w:val="18"/>
        <w:u w:val="single"/>
        <w:lang w:val="en-US" w:eastAsia="zh-CN"/>
      </w:rPr>
      <w:t>规划</w:t>
    </w:r>
    <w:r>
      <w:rPr>
        <w:rFonts w:hint="eastAsia" w:cs="Times New Roman"/>
        <w:sz w:val="18"/>
        <w:szCs w:val="18"/>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eastAsia" w:cs="Times New Roman"/>
        <w:sz w:val="18"/>
        <w:szCs w:val="18"/>
        <w:u w:val="non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default"/>
        <w:lang w:val="en-US"/>
      </w:rPr>
    </w:pPr>
    <w:r>
      <w:rPr>
        <w:rFonts w:hint="eastAsia" w:cs="Times New Roman"/>
        <w:sz w:val="18"/>
        <w:szCs w:val="18"/>
        <w:u w:val="single"/>
        <w:lang w:val="en-US" w:eastAsia="zh-CN"/>
      </w:rPr>
      <w:t xml:space="preserve">                                                      </w:t>
    </w:r>
    <w:r>
      <w:rPr>
        <w:rFonts w:hint="eastAsia" w:eastAsia="宋体" w:cs="Times New Roman"/>
        <w:sz w:val="18"/>
        <w:szCs w:val="18"/>
        <w:u w:val="single"/>
        <w:lang w:val="en-US" w:eastAsia="zh-CN"/>
      </w:rPr>
      <w:t>金口河区</w:t>
    </w:r>
    <w:r>
      <w:rPr>
        <w:rFonts w:hint="eastAsia" w:ascii="Calibri" w:hAnsi="Calibri" w:eastAsia="宋体" w:cs="Times New Roman"/>
        <w:sz w:val="18"/>
        <w:szCs w:val="18"/>
        <w:u w:val="single"/>
        <w:lang w:val="en-US" w:eastAsia="zh-CN"/>
      </w:rPr>
      <w:t>城市建筑垃圾污染环境防治工作</w:t>
    </w:r>
    <w:r>
      <w:rPr>
        <w:rFonts w:hint="eastAsia" w:eastAsia="宋体" w:cs="Times New Roman"/>
        <w:sz w:val="18"/>
        <w:szCs w:val="18"/>
        <w:u w:val="single"/>
        <w:lang w:val="en-US" w:eastAsia="zh-CN"/>
      </w:rPr>
      <w:t>专项</w:t>
    </w:r>
    <w:r>
      <w:rPr>
        <w:rFonts w:hint="eastAsia" w:ascii="Calibri" w:hAnsi="Calibri" w:eastAsia="宋体" w:cs="Times New Roman"/>
        <w:sz w:val="18"/>
        <w:szCs w:val="18"/>
        <w:u w:val="single"/>
        <w:lang w:val="en-US" w:eastAsia="zh-CN"/>
      </w:rPr>
      <w:t>规划</w:t>
    </w:r>
    <w:r>
      <w:rPr>
        <w:rFonts w:hint="eastAsia" w:cs="Times New Roman"/>
        <w:sz w:val="18"/>
        <w:szCs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eastAsia" w:cs="Times New Roman"/>
        <w:sz w:val="18"/>
        <w:szCs w:val="18"/>
        <w:u w:val="non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eastAsia" w:cs="Times New Roman"/>
        <w:sz w:val="18"/>
        <w:szCs w:val="18"/>
        <w:u w:val="single"/>
        <w:lang w:val="en-US" w:eastAsia="zh-CN"/>
      </w:rPr>
    </w:pPr>
  </w:p>
  <w:p>
    <w:pPr>
      <w:pStyle w:val="28"/>
      <w:pBdr>
        <w:bottom w:val="none" w:color="auto" w:sz="0" w:space="1"/>
      </w:pBdr>
      <w:jc w:val="both"/>
      <w:rPr>
        <w:rFonts w:hint="default"/>
        <w:lang w:val="en-US"/>
      </w:rPr>
    </w:pPr>
    <w:r>
      <w:rPr>
        <w:rFonts w:hint="eastAsia" w:cs="Times New Roman"/>
        <w:sz w:val="18"/>
        <w:szCs w:val="18"/>
        <w:u w:val="single"/>
        <w:lang w:val="en-US" w:eastAsia="zh-CN"/>
      </w:rPr>
      <w:t xml:space="preserve">                    </w:t>
    </w:r>
    <w:r>
      <w:rPr>
        <w:rFonts w:hint="eastAsia" w:eastAsia="宋体" w:cs="Times New Roman"/>
        <w:sz w:val="18"/>
        <w:szCs w:val="18"/>
        <w:u w:val="single"/>
        <w:lang w:val="en-US" w:eastAsia="zh-CN"/>
      </w:rPr>
      <w:t>金口河区</w:t>
    </w:r>
    <w:r>
      <w:rPr>
        <w:rFonts w:hint="eastAsia" w:ascii="Calibri" w:hAnsi="Calibri" w:eastAsia="宋体" w:cs="Times New Roman"/>
        <w:sz w:val="18"/>
        <w:szCs w:val="18"/>
        <w:u w:val="single"/>
        <w:lang w:val="en-US" w:eastAsia="zh-CN"/>
      </w:rPr>
      <w:t>城市建筑垃圾污染环境防治工作</w:t>
    </w:r>
    <w:r>
      <w:rPr>
        <w:rFonts w:hint="eastAsia" w:eastAsia="宋体" w:cs="Times New Roman"/>
        <w:sz w:val="18"/>
        <w:szCs w:val="18"/>
        <w:u w:val="single"/>
        <w:lang w:val="en-US" w:eastAsia="zh-CN"/>
      </w:rPr>
      <w:t>专项</w:t>
    </w:r>
    <w:r>
      <w:rPr>
        <w:rFonts w:hint="eastAsia" w:ascii="Calibri" w:hAnsi="Calibri" w:eastAsia="宋体" w:cs="Times New Roman"/>
        <w:sz w:val="18"/>
        <w:szCs w:val="18"/>
        <w:u w:val="single"/>
        <w:lang w:val="en-US" w:eastAsia="zh-CN"/>
      </w:rPr>
      <w:t>规划</w:t>
    </w:r>
    <w:r>
      <w:rPr>
        <w:rFonts w:hint="eastAsia" w:cs="Times New Roman"/>
        <w:sz w:val="18"/>
        <w:szCs w:val="18"/>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74BE2"/>
    <w:multiLevelType w:val="singleLevel"/>
    <w:tmpl w:val="8E174BE2"/>
    <w:lvl w:ilvl="0" w:tentative="0">
      <w:start w:val="2"/>
      <w:numFmt w:val="decimal"/>
      <w:suff w:val="nothing"/>
      <w:lvlText w:val="（%1）"/>
      <w:lvlJc w:val="left"/>
    </w:lvl>
  </w:abstractNum>
  <w:abstractNum w:abstractNumId="1">
    <w:nsid w:val="CEF8EE94"/>
    <w:multiLevelType w:val="singleLevel"/>
    <w:tmpl w:val="CEF8EE94"/>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2">
    <w:nsid w:val="03CF53E1"/>
    <w:multiLevelType w:val="multilevel"/>
    <w:tmpl w:val="03CF53E1"/>
    <w:lvl w:ilvl="0" w:tentative="0">
      <w:start w:val="1"/>
      <w:numFmt w:val="decimal"/>
      <w:pStyle w:val="130"/>
      <w:lvlText w:val="表1-%1"/>
      <w:lvlJc w:val="left"/>
      <w:pPr>
        <w:tabs>
          <w:tab w:val="left" w:pos="851"/>
        </w:tabs>
        <w:ind w:left="0" w:firstLine="0"/>
      </w:pPr>
      <w:rPr>
        <w:rFonts w:hint="eastAsia"/>
        <w:b/>
        <w:bCs w:val="0"/>
        <w:i w:val="0"/>
        <w:iCs w:val="0"/>
        <w:caps w:val="0"/>
        <w:smallCaps w:val="0"/>
        <w:strike w:val="0"/>
        <w:dstrike w:val="0"/>
        <w:outline w:val="0"/>
        <w:shadow w:val="0"/>
        <w:emboss w:val="0"/>
        <w:imprint w:val="0"/>
        <w:vanish w:val="0"/>
        <w:spacing w:val="0"/>
        <w:position w:val="0"/>
        <w:sz w:val="24"/>
        <w:szCs w:val="24"/>
        <w:u w:val="none"/>
        <w:vertAlign w:val="baseline"/>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CF5D959"/>
    <w:multiLevelType w:val="multilevel"/>
    <w:tmpl w:val="0CF5D959"/>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4">
    <w:nsid w:val="61512D14"/>
    <w:multiLevelType w:val="multilevel"/>
    <w:tmpl w:val="61512D14"/>
    <w:lvl w:ilvl="0" w:tentative="0">
      <w:start w:val="1"/>
      <w:numFmt w:val="decimal"/>
      <w:pStyle w:val="115"/>
      <w:lvlText w:val="表5-%1"/>
      <w:lvlJc w:val="left"/>
      <w:pPr>
        <w:ind w:left="3240" w:firstLine="0"/>
      </w:pPr>
      <w:rPr>
        <w:rFonts w:hint="eastAsia"/>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71976DC"/>
    <w:multiLevelType w:val="multilevel"/>
    <w:tmpl w:val="671976DC"/>
    <w:lvl w:ilvl="0" w:tentative="0">
      <w:start w:val="1"/>
      <w:numFmt w:val="decimal"/>
      <w:pStyle w:val="157"/>
      <w:lvlText w:val="表2-%1"/>
      <w:lvlJc w:val="left"/>
      <w:pPr>
        <w:tabs>
          <w:tab w:val="left" w:pos="851"/>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B810809"/>
    <w:multiLevelType w:val="multilevel"/>
    <w:tmpl w:val="6B810809"/>
    <w:lvl w:ilvl="0" w:tentative="0">
      <w:start w:val="1"/>
      <w:numFmt w:val="decimal"/>
      <w:pStyle w:val="152"/>
      <w:lvlText w:val="表3-%1"/>
      <w:lvlJc w:val="left"/>
      <w:pPr>
        <w:ind w:left="4530" w:hanging="42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20"/>
  <w:drawingGridVerticalSpacing w:val="165"/>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3MzUwMDkwZDAyNzA0ZWNlMGU5MDQzMjAzOGI3YWQifQ=="/>
  </w:docVars>
  <w:rsids>
    <w:rsidRoot w:val="00172A27"/>
    <w:rsid w:val="00000070"/>
    <w:rsid w:val="00003242"/>
    <w:rsid w:val="00004066"/>
    <w:rsid w:val="00005326"/>
    <w:rsid w:val="000057AC"/>
    <w:rsid w:val="00005952"/>
    <w:rsid w:val="00006D62"/>
    <w:rsid w:val="00007A81"/>
    <w:rsid w:val="00011063"/>
    <w:rsid w:val="00011641"/>
    <w:rsid w:val="000116C6"/>
    <w:rsid w:val="00012039"/>
    <w:rsid w:val="00012101"/>
    <w:rsid w:val="0001337E"/>
    <w:rsid w:val="00013DAD"/>
    <w:rsid w:val="00013ED9"/>
    <w:rsid w:val="00014AC1"/>
    <w:rsid w:val="00014E78"/>
    <w:rsid w:val="00015230"/>
    <w:rsid w:val="00016791"/>
    <w:rsid w:val="00016E4F"/>
    <w:rsid w:val="00017132"/>
    <w:rsid w:val="0002026B"/>
    <w:rsid w:val="000205D8"/>
    <w:rsid w:val="000206C6"/>
    <w:rsid w:val="00020C79"/>
    <w:rsid w:val="00020C8F"/>
    <w:rsid w:val="00021658"/>
    <w:rsid w:val="00022041"/>
    <w:rsid w:val="000239A0"/>
    <w:rsid w:val="00023C17"/>
    <w:rsid w:val="00024352"/>
    <w:rsid w:val="00025BB2"/>
    <w:rsid w:val="000263F3"/>
    <w:rsid w:val="000267DD"/>
    <w:rsid w:val="00027214"/>
    <w:rsid w:val="00030691"/>
    <w:rsid w:val="00031688"/>
    <w:rsid w:val="00031909"/>
    <w:rsid w:val="0003258B"/>
    <w:rsid w:val="0003454F"/>
    <w:rsid w:val="0003588F"/>
    <w:rsid w:val="00040EB9"/>
    <w:rsid w:val="00041DD5"/>
    <w:rsid w:val="000420D0"/>
    <w:rsid w:val="00042377"/>
    <w:rsid w:val="00042752"/>
    <w:rsid w:val="00043A73"/>
    <w:rsid w:val="000464CD"/>
    <w:rsid w:val="00047241"/>
    <w:rsid w:val="00052169"/>
    <w:rsid w:val="000543E8"/>
    <w:rsid w:val="000545CD"/>
    <w:rsid w:val="000556A5"/>
    <w:rsid w:val="00057D58"/>
    <w:rsid w:val="000600A8"/>
    <w:rsid w:val="000608E7"/>
    <w:rsid w:val="00063027"/>
    <w:rsid w:val="00064011"/>
    <w:rsid w:val="00064D49"/>
    <w:rsid w:val="00065E00"/>
    <w:rsid w:val="00067ACF"/>
    <w:rsid w:val="00070C4B"/>
    <w:rsid w:val="00070C5E"/>
    <w:rsid w:val="00071854"/>
    <w:rsid w:val="00071F99"/>
    <w:rsid w:val="00072CAD"/>
    <w:rsid w:val="000731EE"/>
    <w:rsid w:val="00075B44"/>
    <w:rsid w:val="00076FA9"/>
    <w:rsid w:val="000778C0"/>
    <w:rsid w:val="00077995"/>
    <w:rsid w:val="00077ABA"/>
    <w:rsid w:val="000801B4"/>
    <w:rsid w:val="000808F2"/>
    <w:rsid w:val="00080E52"/>
    <w:rsid w:val="000818F7"/>
    <w:rsid w:val="0008193A"/>
    <w:rsid w:val="00081FE4"/>
    <w:rsid w:val="0008284D"/>
    <w:rsid w:val="0008463C"/>
    <w:rsid w:val="00084888"/>
    <w:rsid w:val="00085667"/>
    <w:rsid w:val="00085828"/>
    <w:rsid w:val="00085A57"/>
    <w:rsid w:val="00085AD3"/>
    <w:rsid w:val="00085C78"/>
    <w:rsid w:val="00085DFE"/>
    <w:rsid w:val="00087704"/>
    <w:rsid w:val="000877C3"/>
    <w:rsid w:val="00093029"/>
    <w:rsid w:val="00093A05"/>
    <w:rsid w:val="00093BDB"/>
    <w:rsid w:val="0009414A"/>
    <w:rsid w:val="000941C4"/>
    <w:rsid w:val="00094765"/>
    <w:rsid w:val="00095455"/>
    <w:rsid w:val="00095DC5"/>
    <w:rsid w:val="00096DC9"/>
    <w:rsid w:val="000970EE"/>
    <w:rsid w:val="0009757E"/>
    <w:rsid w:val="00097C44"/>
    <w:rsid w:val="000A06DA"/>
    <w:rsid w:val="000A0A4C"/>
    <w:rsid w:val="000A14EC"/>
    <w:rsid w:val="000A172B"/>
    <w:rsid w:val="000A2CCF"/>
    <w:rsid w:val="000A2CE0"/>
    <w:rsid w:val="000A2EF8"/>
    <w:rsid w:val="000A349F"/>
    <w:rsid w:val="000A3B5B"/>
    <w:rsid w:val="000A3F65"/>
    <w:rsid w:val="000A46FC"/>
    <w:rsid w:val="000A526C"/>
    <w:rsid w:val="000A54D0"/>
    <w:rsid w:val="000A5DFC"/>
    <w:rsid w:val="000A6484"/>
    <w:rsid w:val="000B0814"/>
    <w:rsid w:val="000B0BAC"/>
    <w:rsid w:val="000B16F1"/>
    <w:rsid w:val="000B295B"/>
    <w:rsid w:val="000B377B"/>
    <w:rsid w:val="000B3B45"/>
    <w:rsid w:val="000B40EB"/>
    <w:rsid w:val="000B49FA"/>
    <w:rsid w:val="000B4D40"/>
    <w:rsid w:val="000B5106"/>
    <w:rsid w:val="000B55E9"/>
    <w:rsid w:val="000B5ED4"/>
    <w:rsid w:val="000B673D"/>
    <w:rsid w:val="000B6758"/>
    <w:rsid w:val="000B6ECA"/>
    <w:rsid w:val="000C064C"/>
    <w:rsid w:val="000C0798"/>
    <w:rsid w:val="000C0975"/>
    <w:rsid w:val="000C0A77"/>
    <w:rsid w:val="000C0DD9"/>
    <w:rsid w:val="000C3667"/>
    <w:rsid w:val="000C3EAE"/>
    <w:rsid w:val="000C459F"/>
    <w:rsid w:val="000C5C6F"/>
    <w:rsid w:val="000C5E4B"/>
    <w:rsid w:val="000C6394"/>
    <w:rsid w:val="000C6B91"/>
    <w:rsid w:val="000D0433"/>
    <w:rsid w:val="000D0DD1"/>
    <w:rsid w:val="000D1F84"/>
    <w:rsid w:val="000D4D37"/>
    <w:rsid w:val="000D4E35"/>
    <w:rsid w:val="000D711A"/>
    <w:rsid w:val="000D775C"/>
    <w:rsid w:val="000E064B"/>
    <w:rsid w:val="000E09B6"/>
    <w:rsid w:val="000E1F73"/>
    <w:rsid w:val="000E3081"/>
    <w:rsid w:val="000E3717"/>
    <w:rsid w:val="000E3B31"/>
    <w:rsid w:val="000E43AB"/>
    <w:rsid w:val="000E4ABC"/>
    <w:rsid w:val="000E60E1"/>
    <w:rsid w:val="000E6199"/>
    <w:rsid w:val="000E6A73"/>
    <w:rsid w:val="000E700E"/>
    <w:rsid w:val="000E74DA"/>
    <w:rsid w:val="000E75B3"/>
    <w:rsid w:val="000E7CD1"/>
    <w:rsid w:val="000F2340"/>
    <w:rsid w:val="000F35EE"/>
    <w:rsid w:val="000F41CD"/>
    <w:rsid w:val="000F479B"/>
    <w:rsid w:val="000F559B"/>
    <w:rsid w:val="000F663F"/>
    <w:rsid w:val="00100661"/>
    <w:rsid w:val="00100D60"/>
    <w:rsid w:val="00101A3D"/>
    <w:rsid w:val="00102C23"/>
    <w:rsid w:val="001031B1"/>
    <w:rsid w:val="0010394A"/>
    <w:rsid w:val="00105117"/>
    <w:rsid w:val="00105204"/>
    <w:rsid w:val="001053FA"/>
    <w:rsid w:val="00105B3B"/>
    <w:rsid w:val="00106442"/>
    <w:rsid w:val="00106DA6"/>
    <w:rsid w:val="00106DF0"/>
    <w:rsid w:val="001100B7"/>
    <w:rsid w:val="00111983"/>
    <w:rsid w:val="00111A2A"/>
    <w:rsid w:val="001126C4"/>
    <w:rsid w:val="00112A85"/>
    <w:rsid w:val="00113CB8"/>
    <w:rsid w:val="00113D51"/>
    <w:rsid w:val="00116123"/>
    <w:rsid w:val="00116622"/>
    <w:rsid w:val="00116C49"/>
    <w:rsid w:val="00117275"/>
    <w:rsid w:val="0011730F"/>
    <w:rsid w:val="001207AD"/>
    <w:rsid w:val="00121C16"/>
    <w:rsid w:val="00122C87"/>
    <w:rsid w:val="001231DF"/>
    <w:rsid w:val="00124A77"/>
    <w:rsid w:val="00125248"/>
    <w:rsid w:val="00125645"/>
    <w:rsid w:val="00127050"/>
    <w:rsid w:val="00130522"/>
    <w:rsid w:val="00131373"/>
    <w:rsid w:val="0013204E"/>
    <w:rsid w:val="00132E30"/>
    <w:rsid w:val="00133B8C"/>
    <w:rsid w:val="00133FD2"/>
    <w:rsid w:val="00134B87"/>
    <w:rsid w:val="00134CCB"/>
    <w:rsid w:val="00135859"/>
    <w:rsid w:val="00135E3E"/>
    <w:rsid w:val="001362EC"/>
    <w:rsid w:val="001364E2"/>
    <w:rsid w:val="00137DD2"/>
    <w:rsid w:val="0014025D"/>
    <w:rsid w:val="0014062E"/>
    <w:rsid w:val="001414EE"/>
    <w:rsid w:val="00142127"/>
    <w:rsid w:val="00142242"/>
    <w:rsid w:val="00142551"/>
    <w:rsid w:val="00142F38"/>
    <w:rsid w:val="001436B0"/>
    <w:rsid w:val="00144390"/>
    <w:rsid w:val="0014480E"/>
    <w:rsid w:val="00146B3D"/>
    <w:rsid w:val="00146D3D"/>
    <w:rsid w:val="00146EFE"/>
    <w:rsid w:val="001513B4"/>
    <w:rsid w:val="00151E63"/>
    <w:rsid w:val="00152291"/>
    <w:rsid w:val="001553E5"/>
    <w:rsid w:val="00155875"/>
    <w:rsid w:val="00155E9B"/>
    <w:rsid w:val="00156A86"/>
    <w:rsid w:val="00160249"/>
    <w:rsid w:val="00160BCB"/>
    <w:rsid w:val="0016257D"/>
    <w:rsid w:val="00162BCA"/>
    <w:rsid w:val="00163455"/>
    <w:rsid w:val="001636ED"/>
    <w:rsid w:val="00163BBC"/>
    <w:rsid w:val="00164315"/>
    <w:rsid w:val="001649DC"/>
    <w:rsid w:val="00166422"/>
    <w:rsid w:val="00166D78"/>
    <w:rsid w:val="00167203"/>
    <w:rsid w:val="001715C5"/>
    <w:rsid w:val="00171DD6"/>
    <w:rsid w:val="00171E64"/>
    <w:rsid w:val="00174509"/>
    <w:rsid w:val="00174774"/>
    <w:rsid w:val="001750BB"/>
    <w:rsid w:val="00176F65"/>
    <w:rsid w:val="001772D2"/>
    <w:rsid w:val="0017745F"/>
    <w:rsid w:val="00177639"/>
    <w:rsid w:val="00180381"/>
    <w:rsid w:val="0018101C"/>
    <w:rsid w:val="0018189B"/>
    <w:rsid w:val="00182BE4"/>
    <w:rsid w:val="00183042"/>
    <w:rsid w:val="00184F7B"/>
    <w:rsid w:val="00185777"/>
    <w:rsid w:val="00185B01"/>
    <w:rsid w:val="00190670"/>
    <w:rsid w:val="001909AB"/>
    <w:rsid w:val="00190C65"/>
    <w:rsid w:val="00192765"/>
    <w:rsid w:val="001938B1"/>
    <w:rsid w:val="00194198"/>
    <w:rsid w:val="00194CEB"/>
    <w:rsid w:val="0019541A"/>
    <w:rsid w:val="0019629F"/>
    <w:rsid w:val="00197A15"/>
    <w:rsid w:val="00197ABA"/>
    <w:rsid w:val="00197C6D"/>
    <w:rsid w:val="001A08F8"/>
    <w:rsid w:val="001A1861"/>
    <w:rsid w:val="001A2312"/>
    <w:rsid w:val="001A2FC7"/>
    <w:rsid w:val="001A2FD7"/>
    <w:rsid w:val="001A4041"/>
    <w:rsid w:val="001A47F4"/>
    <w:rsid w:val="001A5248"/>
    <w:rsid w:val="001A56D7"/>
    <w:rsid w:val="001A5CD0"/>
    <w:rsid w:val="001A5E6F"/>
    <w:rsid w:val="001A6BE2"/>
    <w:rsid w:val="001A71CA"/>
    <w:rsid w:val="001B1359"/>
    <w:rsid w:val="001B159C"/>
    <w:rsid w:val="001B1C76"/>
    <w:rsid w:val="001B259B"/>
    <w:rsid w:val="001B273C"/>
    <w:rsid w:val="001B2752"/>
    <w:rsid w:val="001B2787"/>
    <w:rsid w:val="001B27FB"/>
    <w:rsid w:val="001B2EBE"/>
    <w:rsid w:val="001B3022"/>
    <w:rsid w:val="001B4CCD"/>
    <w:rsid w:val="001B51D0"/>
    <w:rsid w:val="001B5723"/>
    <w:rsid w:val="001B64D0"/>
    <w:rsid w:val="001B6581"/>
    <w:rsid w:val="001B6C13"/>
    <w:rsid w:val="001B767C"/>
    <w:rsid w:val="001B7FD2"/>
    <w:rsid w:val="001C1C3B"/>
    <w:rsid w:val="001C4D31"/>
    <w:rsid w:val="001C5617"/>
    <w:rsid w:val="001C5AC2"/>
    <w:rsid w:val="001C5F5D"/>
    <w:rsid w:val="001C6837"/>
    <w:rsid w:val="001C6AD0"/>
    <w:rsid w:val="001C6BB4"/>
    <w:rsid w:val="001C77FF"/>
    <w:rsid w:val="001C799A"/>
    <w:rsid w:val="001D055F"/>
    <w:rsid w:val="001D2700"/>
    <w:rsid w:val="001D350D"/>
    <w:rsid w:val="001D50A4"/>
    <w:rsid w:val="001D5E46"/>
    <w:rsid w:val="001D5ECF"/>
    <w:rsid w:val="001D6046"/>
    <w:rsid w:val="001D6648"/>
    <w:rsid w:val="001D7F79"/>
    <w:rsid w:val="001E14C0"/>
    <w:rsid w:val="001E153B"/>
    <w:rsid w:val="001E30E7"/>
    <w:rsid w:val="001E36A9"/>
    <w:rsid w:val="001E5569"/>
    <w:rsid w:val="001E5E2E"/>
    <w:rsid w:val="001E6110"/>
    <w:rsid w:val="001E6431"/>
    <w:rsid w:val="001E67D2"/>
    <w:rsid w:val="001E6875"/>
    <w:rsid w:val="001E6B9E"/>
    <w:rsid w:val="001E7B54"/>
    <w:rsid w:val="001E7E57"/>
    <w:rsid w:val="001F00E5"/>
    <w:rsid w:val="001F353B"/>
    <w:rsid w:val="001F4CAE"/>
    <w:rsid w:val="001F54CE"/>
    <w:rsid w:val="001F588E"/>
    <w:rsid w:val="00202EEB"/>
    <w:rsid w:val="0020345E"/>
    <w:rsid w:val="00203739"/>
    <w:rsid w:val="002037FC"/>
    <w:rsid w:val="00203A69"/>
    <w:rsid w:val="00204F33"/>
    <w:rsid w:val="0020567E"/>
    <w:rsid w:val="00205804"/>
    <w:rsid w:val="002058A0"/>
    <w:rsid w:val="00206CB2"/>
    <w:rsid w:val="00207479"/>
    <w:rsid w:val="0020763B"/>
    <w:rsid w:val="00207FF9"/>
    <w:rsid w:val="002106C9"/>
    <w:rsid w:val="002109CD"/>
    <w:rsid w:val="00211436"/>
    <w:rsid w:val="00211864"/>
    <w:rsid w:val="002125CC"/>
    <w:rsid w:val="002125E0"/>
    <w:rsid w:val="0021264F"/>
    <w:rsid w:val="0021391D"/>
    <w:rsid w:val="00214CBB"/>
    <w:rsid w:val="00216EDF"/>
    <w:rsid w:val="00216FDC"/>
    <w:rsid w:val="00216FF7"/>
    <w:rsid w:val="00220907"/>
    <w:rsid w:val="00220A97"/>
    <w:rsid w:val="00221428"/>
    <w:rsid w:val="00222119"/>
    <w:rsid w:val="00222634"/>
    <w:rsid w:val="002226B1"/>
    <w:rsid w:val="00222BA3"/>
    <w:rsid w:val="00222FC1"/>
    <w:rsid w:val="002255B6"/>
    <w:rsid w:val="00226783"/>
    <w:rsid w:val="00227622"/>
    <w:rsid w:val="00230C22"/>
    <w:rsid w:val="0023162E"/>
    <w:rsid w:val="00231CE5"/>
    <w:rsid w:val="002336A8"/>
    <w:rsid w:val="00234B24"/>
    <w:rsid w:val="002362E8"/>
    <w:rsid w:val="0023684D"/>
    <w:rsid w:val="00236E08"/>
    <w:rsid w:val="00237622"/>
    <w:rsid w:val="00237B1A"/>
    <w:rsid w:val="002415FB"/>
    <w:rsid w:val="002417C6"/>
    <w:rsid w:val="00241E42"/>
    <w:rsid w:val="002433A6"/>
    <w:rsid w:val="002436DD"/>
    <w:rsid w:val="0024372B"/>
    <w:rsid w:val="002437AA"/>
    <w:rsid w:val="002443AA"/>
    <w:rsid w:val="002443EC"/>
    <w:rsid w:val="00244BF1"/>
    <w:rsid w:val="00244C85"/>
    <w:rsid w:val="00245DED"/>
    <w:rsid w:val="00246FC6"/>
    <w:rsid w:val="00250F73"/>
    <w:rsid w:val="00251682"/>
    <w:rsid w:val="00251BD7"/>
    <w:rsid w:val="002528C2"/>
    <w:rsid w:val="00252CF0"/>
    <w:rsid w:val="00254CCC"/>
    <w:rsid w:val="00255073"/>
    <w:rsid w:val="00255FB3"/>
    <w:rsid w:val="002567F9"/>
    <w:rsid w:val="00256B96"/>
    <w:rsid w:val="0025798B"/>
    <w:rsid w:val="00260B5A"/>
    <w:rsid w:val="0026117C"/>
    <w:rsid w:val="00261945"/>
    <w:rsid w:val="002630BB"/>
    <w:rsid w:val="00263168"/>
    <w:rsid w:val="00263823"/>
    <w:rsid w:val="00263F2D"/>
    <w:rsid w:val="00264180"/>
    <w:rsid w:val="00264EE8"/>
    <w:rsid w:val="00265C27"/>
    <w:rsid w:val="00270047"/>
    <w:rsid w:val="00270054"/>
    <w:rsid w:val="00272010"/>
    <w:rsid w:val="002725C8"/>
    <w:rsid w:val="0027278D"/>
    <w:rsid w:val="00272BED"/>
    <w:rsid w:val="00273A82"/>
    <w:rsid w:val="00274A32"/>
    <w:rsid w:val="00276134"/>
    <w:rsid w:val="002812BC"/>
    <w:rsid w:val="00282944"/>
    <w:rsid w:val="00283A81"/>
    <w:rsid w:val="00283BA0"/>
    <w:rsid w:val="00284F04"/>
    <w:rsid w:val="00286004"/>
    <w:rsid w:val="0028745B"/>
    <w:rsid w:val="00290C8C"/>
    <w:rsid w:val="002912D4"/>
    <w:rsid w:val="002917BC"/>
    <w:rsid w:val="00293BA3"/>
    <w:rsid w:val="0029455B"/>
    <w:rsid w:val="002945FD"/>
    <w:rsid w:val="00294D7B"/>
    <w:rsid w:val="0029514C"/>
    <w:rsid w:val="0029544D"/>
    <w:rsid w:val="00296480"/>
    <w:rsid w:val="002971C4"/>
    <w:rsid w:val="00297809"/>
    <w:rsid w:val="00297CD1"/>
    <w:rsid w:val="00297E0B"/>
    <w:rsid w:val="00297F0C"/>
    <w:rsid w:val="002A04C3"/>
    <w:rsid w:val="002A11A6"/>
    <w:rsid w:val="002A1A3C"/>
    <w:rsid w:val="002A3420"/>
    <w:rsid w:val="002A4309"/>
    <w:rsid w:val="002A5218"/>
    <w:rsid w:val="002A56E4"/>
    <w:rsid w:val="002A655D"/>
    <w:rsid w:val="002A72E5"/>
    <w:rsid w:val="002A7655"/>
    <w:rsid w:val="002B0292"/>
    <w:rsid w:val="002B0BB1"/>
    <w:rsid w:val="002B16B4"/>
    <w:rsid w:val="002B19C5"/>
    <w:rsid w:val="002B1AD7"/>
    <w:rsid w:val="002B1F40"/>
    <w:rsid w:val="002B1F59"/>
    <w:rsid w:val="002B3394"/>
    <w:rsid w:val="002B3816"/>
    <w:rsid w:val="002B5A83"/>
    <w:rsid w:val="002C03BB"/>
    <w:rsid w:val="002C1CAE"/>
    <w:rsid w:val="002C27A2"/>
    <w:rsid w:val="002C2D79"/>
    <w:rsid w:val="002C390F"/>
    <w:rsid w:val="002C4826"/>
    <w:rsid w:val="002C4B13"/>
    <w:rsid w:val="002C58B2"/>
    <w:rsid w:val="002C6223"/>
    <w:rsid w:val="002D0DCA"/>
    <w:rsid w:val="002D1C43"/>
    <w:rsid w:val="002D2077"/>
    <w:rsid w:val="002D2DB4"/>
    <w:rsid w:val="002D3438"/>
    <w:rsid w:val="002D3BAA"/>
    <w:rsid w:val="002D40AD"/>
    <w:rsid w:val="002D4706"/>
    <w:rsid w:val="002D5CAB"/>
    <w:rsid w:val="002D6066"/>
    <w:rsid w:val="002D69FB"/>
    <w:rsid w:val="002E0398"/>
    <w:rsid w:val="002E0EB5"/>
    <w:rsid w:val="002E2E04"/>
    <w:rsid w:val="002E4FF2"/>
    <w:rsid w:val="002E63AE"/>
    <w:rsid w:val="002E6AB8"/>
    <w:rsid w:val="002E7CBE"/>
    <w:rsid w:val="002F1002"/>
    <w:rsid w:val="002F3691"/>
    <w:rsid w:val="002F5272"/>
    <w:rsid w:val="002F5338"/>
    <w:rsid w:val="002F7BF2"/>
    <w:rsid w:val="00300E28"/>
    <w:rsid w:val="0030248C"/>
    <w:rsid w:val="003026AE"/>
    <w:rsid w:val="00302C53"/>
    <w:rsid w:val="003040F8"/>
    <w:rsid w:val="00305027"/>
    <w:rsid w:val="00305CFC"/>
    <w:rsid w:val="003060E7"/>
    <w:rsid w:val="0030633F"/>
    <w:rsid w:val="003068AB"/>
    <w:rsid w:val="00306E2F"/>
    <w:rsid w:val="00307E0A"/>
    <w:rsid w:val="003118D3"/>
    <w:rsid w:val="0031191D"/>
    <w:rsid w:val="00311C9B"/>
    <w:rsid w:val="0031284E"/>
    <w:rsid w:val="00312F3D"/>
    <w:rsid w:val="003143E8"/>
    <w:rsid w:val="0031639B"/>
    <w:rsid w:val="00317BDB"/>
    <w:rsid w:val="00317E8D"/>
    <w:rsid w:val="00320EB2"/>
    <w:rsid w:val="0032108F"/>
    <w:rsid w:val="00321980"/>
    <w:rsid w:val="00321D8A"/>
    <w:rsid w:val="003222CE"/>
    <w:rsid w:val="00322878"/>
    <w:rsid w:val="00322D5C"/>
    <w:rsid w:val="00322F11"/>
    <w:rsid w:val="0032342A"/>
    <w:rsid w:val="00323955"/>
    <w:rsid w:val="003241D8"/>
    <w:rsid w:val="003244ED"/>
    <w:rsid w:val="00330B20"/>
    <w:rsid w:val="00330D2C"/>
    <w:rsid w:val="00331037"/>
    <w:rsid w:val="003328C1"/>
    <w:rsid w:val="00333477"/>
    <w:rsid w:val="003339BB"/>
    <w:rsid w:val="003339D4"/>
    <w:rsid w:val="00333D84"/>
    <w:rsid w:val="00334CE9"/>
    <w:rsid w:val="0033505C"/>
    <w:rsid w:val="00335A9C"/>
    <w:rsid w:val="00336D52"/>
    <w:rsid w:val="00337002"/>
    <w:rsid w:val="00337772"/>
    <w:rsid w:val="003377A4"/>
    <w:rsid w:val="00337E4E"/>
    <w:rsid w:val="003406DB"/>
    <w:rsid w:val="00343B29"/>
    <w:rsid w:val="003444E0"/>
    <w:rsid w:val="0034469D"/>
    <w:rsid w:val="00344AA8"/>
    <w:rsid w:val="00347ECF"/>
    <w:rsid w:val="0035122D"/>
    <w:rsid w:val="00351632"/>
    <w:rsid w:val="00351E55"/>
    <w:rsid w:val="0035243E"/>
    <w:rsid w:val="00352AA4"/>
    <w:rsid w:val="0035499D"/>
    <w:rsid w:val="003558AA"/>
    <w:rsid w:val="0035682D"/>
    <w:rsid w:val="003574C6"/>
    <w:rsid w:val="00360277"/>
    <w:rsid w:val="003605A6"/>
    <w:rsid w:val="00360854"/>
    <w:rsid w:val="00361336"/>
    <w:rsid w:val="00361F15"/>
    <w:rsid w:val="003632AC"/>
    <w:rsid w:val="00364FD2"/>
    <w:rsid w:val="00365A51"/>
    <w:rsid w:val="003665C9"/>
    <w:rsid w:val="00366CC4"/>
    <w:rsid w:val="00367FF4"/>
    <w:rsid w:val="003703C7"/>
    <w:rsid w:val="00371255"/>
    <w:rsid w:val="003714F3"/>
    <w:rsid w:val="0037175D"/>
    <w:rsid w:val="003720B2"/>
    <w:rsid w:val="00372302"/>
    <w:rsid w:val="00372919"/>
    <w:rsid w:val="003756ED"/>
    <w:rsid w:val="00376829"/>
    <w:rsid w:val="00377225"/>
    <w:rsid w:val="00380148"/>
    <w:rsid w:val="00381274"/>
    <w:rsid w:val="00384230"/>
    <w:rsid w:val="003905C3"/>
    <w:rsid w:val="00391A6D"/>
    <w:rsid w:val="00391AF9"/>
    <w:rsid w:val="00392651"/>
    <w:rsid w:val="00392727"/>
    <w:rsid w:val="00392874"/>
    <w:rsid w:val="00392C90"/>
    <w:rsid w:val="003935E9"/>
    <w:rsid w:val="003948B3"/>
    <w:rsid w:val="00395179"/>
    <w:rsid w:val="00395282"/>
    <w:rsid w:val="00395705"/>
    <w:rsid w:val="00396C47"/>
    <w:rsid w:val="003972E8"/>
    <w:rsid w:val="003A01E9"/>
    <w:rsid w:val="003A1022"/>
    <w:rsid w:val="003A2EAE"/>
    <w:rsid w:val="003A3667"/>
    <w:rsid w:val="003A4D13"/>
    <w:rsid w:val="003A4DB3"/>
    <w:rsid w:val="003A6F63"/>
    <w:rsid w:val="003A71DC"/>
    <w:rsid w:val="003A7E09"/>
    <w:rsid w:val="003B03B9"/>
    <w:rsid w:val="003B1029"/>
    <w:rsid w:val="003B1206"/>
    <w:rsid w:val="003B12F8"/>
    <w:rsid w:val="003B1B14"/>
    <w:rsid w:val="003B218D"/>
    <w:rsid w:val="003B286F"/>
    <w:rsid w:val="003B6B2D"/>
    <w:rsid w:val="003B6F19"/>
    <w:rsid w:val="003B76E8"/>
    <w:rsid w:val="003C02A1"/>
    <w:rsid w:val="003C09FF"/>
    <w:rsid w:val="003C1F3F"/>
    <w:rsid w:val="003C2A0C"/>
    <w:rsid w:val="003C4BD2"/>
    <w:rsid w:val="003C5593"/>
    <w:rsid w:val="003C6250"/>
    <w:rsid w:val="003C6278"/>
    <w:rsid w:val="003D0280"/>
    <w:rsid w:val="003D0297"/>
    <w:rsid w:val="003D07F5"/>
    <w:rsid w:val="003D1418"/>
    <w:rsid w:val="003D3AAE"/>
    <w:rsid w:val="003D3CEC"/>
    <w:rsid w:val="003D50B8"/>
    <w:rsid w:val="003D52C4"/>
    <w:rsid w:val="003D62A5"/>
    <w:rsid w:val="003D7158"/>
    <w:rsid w:val="003D79DE"/>
    <w:rsid w:val="003E13EA"/>
    <w:rsid w:val="003E3042"/>
    <w:rsid w:val="003E3D9A"/>
    <w:rsid w:val="003E4733"/>
    <w:rsid w:val="003E6B8E"/>
    <w:rsid w:val="003F1518"/>
    <w:rsid w:val="003F1B92"/>
    <w:rsid w:val="003F2002"/>
    <w:rsid w:val="003F24F3"/>
    <w:rsid w:val="003F401F"/>
    <w:rsid w:val="003F46D3"/>
    <w:rsid w:val="003F516E"/>
    <w:rsid w:val="003F5816"/>
    <w:rsid w:val="003F6AE5"/>
    <w:rsid w:val="003F71DD"/>
    <w:rsid w:val="003F72BB"/>
    <w:rsid w:val="003F78A4"/>
    <w:rsid w:val="003F7A2C"/>
    <w:rsid w:val="0040200B"/>
    <w:rsid w:val="00403A34"/>
    <w:rsid w:val="004040DB"/>
    <w:rsid w:val="0040506B"/>
    <w:rsid w:val="004056E0"/>
    <w:rsid w:val="004058A8"/>
    <w:rsid w:val="00406830"/>
    <w:rsid w:val="00406A8E"/>
    <w:rsid w:val="00406F50"/>
    <w:rsid w:val="004071F9"/>
    <w:rsid w:val="00407E77"/>
    <w:rsid w:val="00411556"/>
    <w:rsid w:val="004119AB"/>
    <w:rsid w:val="00412C65"/>
    <w:rsid w:val="0041307E"/>
    <w:rsid w:val="00413299"/>
    <w:rsid w:val="00413580"/>
    <w:rsid w:val="0041413B"/>
    <w:rsid w:val="0041438B"/>
    <w:rsid w:val="004143C6"/>
    <w:rsid w:val="00415580"/>
    <w:rsid w:val="004155F5"/>
    <w:rsid w:val="00415FD7"/>
    <w:rsid w:val="004175BA"/>
    <w:rsid w:val="00417C9C"/>
    <w:rsid w:val="00420A7D"/>
    <w:rsid w:val="00420F8A"/>
    <w:rsid w:val="00421689"/>
    <w:rsid w:val="004218B2"/>
    <w:rsid w:val="00421A36"/>
    <w:rsid w:val="00423FEB"/>
    <w:rsid w:val="00424497"/>
    <w:rsid w:val="00425554"/>
    <w:rsid w:val="00426AED"/>
    <w:rsid w:val="00426F43"/>
    <w:rsid w:val="00426FB5"/>
    <w:rsid w:val="00427F14"/>
    <w:rsid w:val="004311C4"/>
    <w:rsid w:val="004332BF"/>
    <w:rsid w:val="00433F49"/>
    <w:rsid w:val="00434709"/>
    <w:rsid w:val="004355E3"/>
    <w:rsid w:val="004373B8"/>
    <w:rsid w:val="004405BF"/>
    <w:rsid w:val="00440CAE"/>
    <w:rsid w:val="004423BA"/>
    <w:rsid w:val="0044337E"/>
    <w:rsid w:val="00444234"/>
    <w:rsid w:val="0044437F"/>
    <w:rsid w:val="00444F7B"/>
    <w:rsid w:val="004453DA"/>
    <w:rsid w:val="00445FA5"/>
    <w:rsid w:val="00447CB3"/>
    <w:rsid w:val="004502BA"/>
    <w:rsid w:val="0045332C"/>
    <w:rsid w:val="00453BCC"/>
    <w:rsid w:val="0045407B"/>
    <w:rsid w:val="00454B3D"/>
    <w:rsid w:val="00454F4E"/>
    <w:rsid w:val="00456BD8"/>
    <w:rsid w:val="00457242"/>
    <w:rsid w:val="0046065A"/>
    <w:rsid w:val="00460E2E"/>
    <w:rsid w:val="00461471"/>
    <w:rsid w:val="00462404"/>
    <w:rsid w:val="004626CA"/>
    <w:rsid w:val="0046283A"/>
    <w:rsid w:val="004648BB"/>
    <w:rsid w:val="004650D4"/>
    <w:rsid w:val="004658A7"/>
    <w:rsid w:val="00465D41"/>
    <w:rsid w:val="00466157"/>
    <w:rsid w:val="00466F3C"/>
    <w:rsid w:val="004704E0"/>
    <w:rsid w:val="00471BCC"/>
    <w:rsid w:val="00475AB1"/>
    <w:rsid w:val="00475E54"/>
    <w:rsid w:val="004760A0"/>
    <w:rsid w:val="00476366"/>
    <w:rsid w:val="00476797"/>
    <w:rsid w:val="00477727"/>
    <w:rsid w:val="00480435"/>
    <w:rsid w:val="0048049B"/>
    <w:rsid w:val="00482790"/>
    <w:rsid w:val="00483DF7"/>
    <w:rsid w:val="00484FD4"/>
    <w:rsid w:val="00485759"/>
    <w:rsid w:val="00485C01"/>
    <w:rsid w:val="0048645D"/>
    <w:rsid w:val="004864FF"/>
    <w:rsid w:val="00486624"/>
    <w:rsid w:val="00486DD9"/>
    <w:rsid w:val="004874D5"/>
    <w:rsid w:val="00490092"/>
    <w:rsid w:val="004908F8"/>
    <w:rsid w:val="00490D75"/>
    <w:rsid w:val="004919D9"/>
    <w:rsid w:val="00491CEA"/>
    <w:rsid w:val="00491FEF"/>
    <w:rsid w:val="004936D4"/>
    <w:rsid w:val="00493B1A"/>
    <w:rsid w:val="0049467E"/>
    <w:rsid w:val="00494BBC"/>
    <w:rsid w:val="004964F6"/>
    <w:rsid w:val="004971C8"/>
    <w:rsid w:val="00497226"/>
    <w:rsid w:val="004977CC"/>
    <w:rsid w:val="004A0379"/>
    <w:rsid w:val="004A0E1E"/>
    <w:rsid w:val="004A28DD"/>
    <w:rsid w:val="004A330C"/>
    <w:rsid w:val="004A3695"/>
    <w:rsid w:val="004A50A3"/>
    <w:rsid w:val="004A5A92"/>
    <w:rsid w:val="004B046E"/>
    <w:rsid w:val="004B15AF"/>
    <w:rsid w:val="004B2CB9"/>
    <w:rsid w:val="004B2E62"/>
    <w:rsid w:val="004B31CB"/>
    <w:rsid w:val="004B3645"/>
    <w:rsid w:val="004B3A2C"/>
    <w:rsid w:val="004B47E0"/>
    <w:rsid w:val="004B4A51"/>
    <w:rsid w:val="004B4C5A"/>
    <w:rsid w:val="004B635E"/>
    <w:rsid w:val="004C058F"/>
    <w:rsid w:val="004C0CE2"/>
    <w:rsid w:val="004C103F"/>
    <w:rsid w:val="004C17E8"/>
    <w:rsid w:val="004C2411"/>
    <w:rsid w:val="004C3386"/>
    <w:rsid w:val="004C52B8"/>
    <w:rsid w:val="004C55ED"/>
    <w:rsid w:val="004C57B5"/>
    <w:rsid w:val="004C58E6"/>
    <w:rsid w:val="004C6294"/>
    <w:rsid w:val="004C6E66"/>
    <w:rsid w:val="004C7CD0"/>
    <w:rsid w:val="004D0FE7"/>
    <w:rsid w:val="004D148D"/>
    <w:rsid w:val="004D16A2"/>
    <w:rsid w:val="004D190E"/>
    <w:rsid w:val="004D2248"/>
    <w:rsid w:val="004D2A6A"/>
    <w:rsid w:val="004D2AD3"/>
    <w:rsid w:val="004D2FC8"/>
    <w:rsid w:val="004D3ED4"/>
    <w:rsid w:val="004D41A5"/>
    <w:rsid w:val="004D50A7"/>
    <w:rsid w:val="004D6F01"/>
    <w:rsid w:val="004D7181"/>
    <w:rsid w:val="004D726D"/>
    <w:rsid w:val="004D7400"/>
    <w:rsid w:val="004D77BA"/>
    <w:rsid w:val="004E0BBC"/>
    <w:rsid w:val="004E0DEE"/>
    <w:rsid w:val="004E2044"/>
    <w:rsid w:val="004E26FA"/>
    <w:rsid w:val="004E27D2"/>
    <w:rsid w:val="004E3494"/>
    <w:rsid w:val="004E34BA"/>
    <w:rsid w:val="004E3E89"/>
    <w:rsid w:val="004E6867"/>
    <w:rsid w:val="004E7430"/>
    <w:rsid w:val="004F2A05"/>
    <w:rsid w:val="004F2F03"/>
    <w:rsid w:val="004F34BE"/>
    <w:rsid w:val="004F3CFA"/>
    <w:rsid w:val="004F4AAD"/>
    <w:rsid w:val="004F5246"/>
    <w:rsid w:val="004F5467"/>
    <w:rsid w:val="004F7A57"/>
    <w:rsid w:val="004F7C20"/>
    <w:rsid w:val="004F7E19"/>
    <w:rsid w:val="00501143"/>
    <w:rsid w:val="005016A9"/>
    <w:rsid w:val="00501F74"/>
    <w:rsid w:val="0050224E"/>
    <w:rsid w:val="00502372"/>
    <w:rsid w:val="00502493"/>
    <w:rsid w:val="005026F0"/>
    <w:rsid w:val="005037A6"/>
    <w:rsid w:val="00503F5D"/>
    <w:rsid w:val="005045B6"/>
    <w:rsid w:val="00504D50"/>
    <w:rsid w:val="00504FEE"/>
    <w:rsid w:val="00507F10"/>
    <w:rsid w:val="00510896"/>
    <w:rsid w:val="00510EF4"/>
    <w:rsid w:val="005114BC"/>
    <w:rsid w:val="00511525"/>
    <w:rsid w:val="00511F7A"/>
    <w:rsid w:val="005124D0"/>
    <w:rsid w:val="005126C5"/>
    <w:rsid w:val="0051310C"/>
    <w:rsid w:val="00513745"/>
    <w:rsid w:val="00513772"/>
    <w:rsid w:val="00514D7E"/>
    <w:rsid w:val="005159D4"/>
    <w:rsid w:val="00516A25"/>
    <w:rsid w:val="00517D6D"/>
    <w:rsid w:val="00520359"/>
    <w:rsid w:val="005203A9"/>
    <w:rsid w:val="0052045B"/>
    <w:rsid w:val="00520C72"/>
    <w:rsid w:val="00520F3D"/>
    <w:rsid w:val="00523449"/>
    <w:rsid w:val="00524C67"/>
    <w:rsid w:val="00524DE2"/>
    <w:rsid w:val="00526426"/>
    <w:rsid w:val="0052666F"/>
    <w:rsid w:val="005274E9"/>
    <w:rsid w:val="00530A52"/>
    <w:rsid w:val="005312D1"/>
    <w:rsid w:val="00532038"/>
    <w:rsid w:val="0053323A"/>
    <w:rsid w:val="00533A68"/>
    <w:rsid w:val="00533BEA"/>
    <w:rsid w:val="005343FC"/>
    <w:rsid w:val="005347C0"/>
    <w:rsid w:val="00534A43"/>
    <w:rsid w:val="005356CF"/>
    <w:rsid w:val="00535AE4"/>
    <w:rsid w:val="005363FC"/>
    <w:rsid w:val="00537841"/>
    <w:rsid w:val="00537C6B"/>
    <w:rsid w:val="005409C2"/>
    <w:rsid w:val="00540D92"/>
    <w:rsid w:val="00541562"/>
    <w:rsid w:val="00542994"/>
    <w:rsid w:val="00543A66"/>
    <w:rsid w:val="00543EEE"/>
    <w:rsid w:val="005462AD"/>
    <w:rsid w:val="00546C58"/>
    <w:rsid w:val="005502FD"/>
    <w:rsid w:val="00550CFC"/>
    <w:rsid w:val="00551625"/>
    <w:rsid w:val="005526F3"/>
    <w:rsid w:val="00552C24"/>
    <w:rsid w:val="00552D2A"/>
    <w:rsid w:val="00553481"/>
    <w:rsid w:val="0055379E"/>
    <w:rsid w:val="005549A2"/>
    <w:rsid w:val="00556B1B"/>
    <w:rsid w:val="00556B28"/>
    <w:rsid w:val="00560D47"/>
    <w:rsid w:val="00561AA1"/>
    <w:rsid w:val="00561FF6"/>
    <w:rsid w:val="0056218E"/>
    <w:rsid w:val="00562306"/>
    <w:rsid w:val="005629DD"/>
    <w:rsid w:val="00562B46"/>
    <w:rsid w:val="005636EA"/>
    <w:rsid w:val="00563838"/>
    <w:rsid w:val="005664C0"/>
    <w:rsid w:val="00566B17"/>
    <w:rsid w:val="005671D1"/>
    <w:rsid w:val="00571901"/>
    <w:rsid w:val="00572033"/>
    <w:rsid w:val="00574073"/>
    <w:rsid w:val="00574DAF"/>
    <w:rsid w:val="00574E3D"/>
    <w:rsid w:val="0057540E"/>
    <w:rsid w:val="00575765"/>
    <w:rsid w:val="00575845"/>
    <w:rsid w:val="00575847"/>
    <w:rsid w:val="00576C13"/>
    <w:rsid w:val="00577D2B"/>
    <w:rsid w:val="00580F50"/>
    <w:rsid w:val="00581350"/>
    <w:rsid w:val="00581575"/>
    <w:rsid w:val="005825C8"/>
    <w:rsid w:val="00583517"/>
    <w:rsid w:val="00583849"/>
    <w:rsid w:val="00585E36"/>
    <w:rsid w:val="00585F92"/>
    <w:rsid w:val="00586F8F"/>
    <w:rsid w:val="0058731D"/>
    <w:rsid w:val="00587CDE"/>
    <w:rsid w:val="00587E49"/>
    <w:rsid w:val="00590ABF"/>
    <w:rsid w:val="005920CE"/>
    <w:rsid w:val="005925FD"/>
    <w:rsid w:val="005926A1"/>
    <w:rsid w:val="005948AF"/>
    <w:rsid w:val="00595DEA"/>
    <w:rsid w:val="005A19CA"/>
    <w:rsid w:val="005A1BFC"/>
    <w:rsid w:val="005A31F7"/>
    <w:rsid w:val="005A36B7"/>
    <w:rsid w:val="005A398F"/>
    <w:rsid w:val="005A4477"/>
    <w:rsid w:val="005A4B17"/>
    <w:rsid w:val="005A5251"/>
    <w:rsid w:val="005A5FA7"/>
    <w:rsid w:val="005A649C"/>
    <w:rsid w:val="005A7098"/>
    <w:rsid w:val="005A78FE"/>
    <w:rsid w:val="005B008B"/>
    <w:rsid w:val="005B0336"/>
    <w:rsid w:val="005B11DB"/>
    <w:rsid w:val="005B16DF"/>
    <w:rsid w:val="005B228B"/>
    <w:rsid w:val="005B281C"/>
    <w:rsid w:val="005B2A43"/>
    <w:rsid w:val="005B3368"/>
    <w:rsid w:val="005B370A"/>
    <w:rsid w:val="005B4B12"/>
    <w:rsid w:val="005B4B3A"/>
    <w:rsid w:val="005B4B86"/>
    <w:rsid w:val="005B6741"/>
    <w:rsid w:val="005B6C75"/>
    <w:rsid w:val="005C122F"/>
    <w:rsid w:val="005C1E33"/>
    <w:rsid w:val="005C2575"/>
    <w:rsid w:val="005C32C3"/>
    <w:rsid w:val="005C3AFA"/>
    <w:rsid w:val="005C4706"/>
    <w:rsid w:val="005C4BDE"/>
    <w:rsid w:val="005C6439"/>
    <w:rsid w:val="005C7196"/>
    <w:rsid w:val="005D14EE"/>
    <w:rsid w:val="005D1E6C"/>
    <w:rsid w:val="005D6C3B"/>
    <w:rsid w:val="005D728B"/>
    <w:rsid w:val="005D7DFA"/>
    <w:rsid w:val="005E13EE"/>
    <w:rsid w:val="005E1806"/>
    <w:rsid w:val="005E28BD"/>
    <w:rsid w:val="005E2B3D"/>
    <w:rsid w:val="005E4C7B"/>
    <w:rsid w:val="005E525F"/>
    <w:rsid w:val="005E53A9"/>
    <w:rsid w:val="005E5B19"/>
    <w:rsid w:val="005E67C2"/>
    <w:rsid w:val="005E7888"/>
    <w:rsid w:val="005F0EB4"/>
    <w:rsid w:val="005F1ACD"/>
    <w:rsid w:val="005F230A"/>
    <w:rsid w:val="005F2E66"/>
    <w:rsid w:val="005F3532"/>
    <w:rsid w:val="005F3736"/>
    <w:rsid w:val="005F398B"/>
    <w:rsid w:val="005F3DA6"/>
    <w:rsid w:val="005F41D4"/>
    <w:rsid w:val="005F5115"/>
    <w:rsid w:val="005F6D6A"/>
    <w:rsid w:val="005F7369"/>
    <w:rsid w:val="00601031"/>
    <w:rsid w:val="00601E48"/>
    <w:rsid w:val="00602971"/>
    <w:rsid w:val="0060517C"/>
    <w:rsid w:val="006061AA"/>
    <w:rsid w:val="00610237"/>
    <w:rsid w:val="00610396"/>
    <w:rsid w:val="00613630"/>
    <w:rsid w:val="0061425E"/>
    <w:rsid w:val="00616816"/>
    <w:rsid w:val="00616DF6"/>
    <w:rsid w:val="006201F2"/>
    <w:rsid w:val="00623616"/>
    <w:rsid w:val="00623A48"/>
    <w:rsid w:val="00624DC4"/>
    <w:rsid w:val="0062560B"/>
    <w:rsid w:val="00625E7D"/>
    <w:rsid w:val="00626F3B"/>
    <w:rsid w:val="0062724E"/>
    <w:rsid w:val="0062725E"/>
    <w:rsid w:val="0062790D"/>
    <w:rsid w:val="0063117E"/>
    <w:rsid w:val="00631494"/>
    <w:rsid w:val="006318C4"/>
    <w:rsid w:val="00631926"/>
    <w:rsid w:val="00632FFA"/>
    <w:rsid w:val="00633551"/>
    <w:rsid w:val="00633BFE"/>
    <w:rsid w:val="00633D70"/>
    <w:rsid w:val="00634F85"/>
    <w:rsid w:val="00635171"/>
    <w:rsid w:val="00636180"/>
    <w:rsid w:val="006375F7"/>
    <w:rsid w:val="006410BB"/>
    <w:rsid w:val="006425C6"/>
    <w:rsid w:val="00642E7B"/>
    <w:rsid w:val="0064352F"/>
    <w:rsid w:val="00644EB5"/>
    <w:rsid w:val="0064576E"/>
    <w:rsid w:val="0065006A"/>
    <w:rsid w:val="006521F0"/>
    <w:rsid w:val="00652814"/>
    <w:rsid w:val="0065305E"/>
    <w:rsid w:val="0065321E"/>
    <w:rsid w:val="006532B9"/>
    <w:rsid w:val="006541A8"/>
    <w:rsid w:val="00654458"/>
    <w:rsid w:val="00655173"/>
    <w:rsid w:val="006569AB"/>
    <w:rsid w:val="0065796E"/>
    <w:rsid w:val="00657FE4"/>
    <w:rsid w:val="006615ED"/>
    <w:rsid w:val="00662AF1"/>
    <w:rsid w:val="00662EDA"/>
    <w:rsid w:val="0066501F"/>
    <w:rsid w:val="00666525"/>
    <w:rsid w:val="00666BF1"/>
    <w:rsid w:val="00666F68"/>
    <w:rsid w:val="00667C48"/>
    <w:rsid w:val="00673746"/>
    <w:rsid w:val="006741A6"/>
    <w:rsid w:val="00674C12"/>
    <w:rsid w:val="00676202"/>
    <w:rsid w:val="00677A81"/>
    <w:rsid w:val="00677B25"/>
    <w:rsid w:val="00677F15"/>
    <w:rsid w:val="006803DD"/>
    <w:rsid w:val="00681009"/>
    <w:rsid w:val="00681467"/>
    <w:rsid w:val="006822C6"/>
    <w:rsid w:val="006833EA"/>
    <w:rsid w:val="006836DB"/>
    <w:rsid w:val="00683F24"/>
    <w:rsid w:val="006846FB"/>
    <w:rsid w:val="00686369"/>
    <w:rsid w:val="00686621"/>
    <w:rsid w:val="0068671B"/>
    <w:rsid w:val="006869DB"/>
    <w:rsid w:val="00686C13"/>
    <w:rsid w:val="0068716F"/>
    <w:rsid w:val="006904BA"/>
    <w:rsid w:val="00690AA8"/>
    <w:rsid w:val="00690F2B"/>
    <w:rsid w:val="00691AD8"/>
    <w:rsid w:val="00691C96"/>
    <w:rsid w:val="00691D66"/>
    <w:rsid w:val="00691E20"/>
    <w:rsid w:val="00691FD4"/>
    <w:rsid w:val="006945BF"/>
    <w:rsid w:val="00694E30"/>
    <w:rsid w:val="00696426"/>
    <w:rsid w:val="00696AEF"/>
    <w:rsid w:val="00696FE2"/>
    <w:rsid w:val="006971B7"/>
    <w:rsid w:val="006A10BA"/>
    <w:rsid w:val="006A2E2D"/>
    <w:rsid w:val="006A35A8"/>
    <w:rsid w:val="006A3CF5"/>
    <w:rsid w:val="006A3D16"/>
    <w:rsid w:val="006A5070"/>
    <w:rsid w:val="006A61B2"/>
    <w:rsid w:val="006A6235"/>
    <w:rsid w:val="006A66C2"/>
    <w:rsid w:val="006A7DEE"/>
    <w:rsid w:val="006A7EA9"/>
    <w:rsid w:val="006B088C"/>
    <w:rsid w:val="006B2182"/>
    <w:rsid w:val="006B21E8"/>
    <w:rsid w:val="006B2E2F"/>
    <w:rsid w:val="006B32F8"/>
    <w:rsid w:val="006B383A"/>
    <w:rsid w:val="006B3B2A"/>
    <w:rsid w:val="006B4AFA"/>
    <w:rsid w:val="006B5C11"/>
    <w:rsid w:val="006B7A40"/>
    <w:rsid w:val="006C0BD7"/>
    <w:rsid w:val="006C0C01"/>
    <w:rsid w:val="006C2312"/>
    <w:rsid w:val="006C261E"/>
    <w:rsid w:val="006C2D46"/>
    <w:rsid w:val="006C3579"/>
    <w:rsid w:val="006C3CC7"/>
    <w:rsid w:val="006C5B4C"/>
    <w:rsid w:val="006C602C"/>
    <w:rsid w:val="006C69BC"/>
    <w:rsid w:val="006D054D"/>
    <w:rsid w:val="006D0602"/>
    <w:rsid w:val="006D0ADB"/>
    <w:rsid w:val="006D2B0F"/>
    <w:rsid w:val="006D2E85"/>
    <w:rsid w:val="006D2F90"/>
    <w:rsid w:val="006D30BB"/>
    <w:rsid w:val="006D383D"/>
    <w:rsid w:val="006D3BBC"/>
    <w:rsid w:val="006D4C98"/>
    <w:rsid w:val="006D51E8"/>
    <w:rsid w:val="006D57E0"/>
    <w:rsid w:val="006D5EB4"/>
    <w:rsid w:val="006D635F"/>
    <w:rsid w:val="006D6919"/>
    <w:rsid w:val="006D6C2F"/>
    <w:rsid w:val="006D7EBC"/>
    <w:rsid w:val="006E0272"/>
    <w:rsid w:val="006E1669"/>
    <w:rsid w:val="006E1A43"/>
    <w:rsid w:val="006E2364"/>
    <w:rsid w:val="006E24CC"/>
    <w:rsid w:val="006E28DD"/>
    <w:rsid w:val="006E3130"/>
    <w:rsid w:val="006E3C73"/>
    <w:rsid w:val="006E4798"/>
    <w:rsid w:val="006E5317"/>
    <w:rsid w:val="006E5B26"/>
    <w:rsid w:val="006E5E15"/>
    <w:rsid w:val="006E776F"/>
    <w:rsid w:val="006E7EEF"/>
    <w:rsid w:val="006F0F17"/>
    <w:rsid w:val="006F1156"/>
    <w:rsid w:val="006F1AAB"/>
    <w:rsid w:val="006F233F"/>
    <w:rsid w:val="006F5041"/>
    <w:rsid w:val="006F60A7"/>
    <w:rsid w:val="006F774E"/>
    <w:rsid w:val="007021F8"/>
    <w:rsid w:val="00703D88"/>
    <w:rsid w:val="007047F3"/>
    <w:rsid w:val="0070489C"/>
    <w:rsid w:val="00704CE7"/>
    <w:rsid w:val="00705B6B"/>
    <w:rsid w:val="00707173"/>
    <w:rsid w:val="00707C0C"/>
    <w:rsid w:val="007101D7"/>
    <w:rsid w:val="00711DB2"/>
    <w:rsid w:val="00713563"/>
    <w:rsid w:val="00713A55"/>
    <w:rsid w:val="00713DCC"/>
    <w:rsid w:val="00714668"/>
    <w:rsid w:val="00715EEB"/>
    <w:rsid w:val="007177BA"/>
    <w:rsid w:val="00720624"/>
    <w:rsid w:val="007218DD"/>
    <w:rsid w:val="00721DD4"/>
    <w:rsid w:val="00721F90"/>
    <w:rsid w:val="00722A6B"/>
    <w:rsid w:val="0072317D"/>
    <w:rsid w:val="00723C38"/>
    <w:rsid w:val="00724952"/>
    <w:rsid w:val="00724A4B"/>
    <w:rsid w:val="00724D44"/>
    <w:rsid w:val="00724EA9"/>
    <w:rsid w:val="00724FC2"/>
    <w:rsid w:val="00725CA2"/>
    <w:rsid w:val="00725D4D"/>
    <w:rsid w:val="007261F8"/>
    <w:rsid w:val="00726737"/>
    <w:rsid w:val="0072675D"/>
    <w:rsid w:val="00727487"/>
    <w:rsid w:val="00733B0C"/>
    <w:rsid w:val="00734093"/>
    <w:rsid w:val="007344EE"/>
    <w:rsid w:val="00734E6B"/>
    <w:rsid w:val="0073628C"/>
    <w:rsid w:val="00736AA2"/>
    <w:rsid w:val="0073749D"/>
    <w:rsid w:val="00740F74"/>
    <w:rsid w:val="0074187E"/>
    <w:rsid w:val="007430E0"/>
    <w:rsid w:val="00743BBE"/>
    <w:rsid w:val="00743F78"/>
    <w:rsid w:val="0074465C"/>
    <w:rsid w:val="00746A4E"/>
    <w:rsid w:val="0075144F"/>
    <w:rsid w:val="0075160B"/>
    <w:rsid w:val="00751795"/>
    <w:rsid w:val="00753D2B"/>
    <w:rsid w:val="00753F97"/>
    <w:rsid w:val="00755687"/>
    <w:rsid w:val="00756749"/>
    <w:rsid w:val="007606FB"/>
    <w:rsid w:val="007614D3"/>
    <w:rsid w:val="00761569"/>
    <w:rsid w:val="00761BC8"/>
    <w:rsid w:val="00762FE0"/>
    <w:rsid w:val="0076419E"/>
    <w:rsid w:val="007658B9"/>
    <w:rsid w:val="007659A0"/>
    <w:rsid w:val="007659D9"/>
    <w:rsid w:val="00765A13"/>
    <w:rsid w:val="007662B7"/>
    <w:rsid w:val="00766DBC"/>
    <w:rsid w:val="00766DF7"/>
    <w:rsid w:val="0076797B"/>
    <w:rsid w:val="00770B06"/>
    <w:rsid w:val="007715E7"/>
    <w:rsid w:val="00771D9B"/>
    <w:rsid w:val="00773D9B"/>
    <w:rsid w:val="00774A6A"/>
    <w:rsid w:val="00774CA9"/>
    <w:rsid w:val="00775901"/>
    <w:rsid w:val="007763F0"/>
    <w:rsid w:val="0077665F"/>
    <w:rsid w:val="00776B58"/>
    <w:rsid w:val="0077731F"/>
    <w:rsid w:val="00780CB8"/>
    <w:rsid w:val="00782C97"/>
    <w:rsid w:val="007841C3"/>
    <w:rsid w:val="007846E4"/>
    <w:rsid w:val="00784A29"/>
    <w:rsid w:val="0078503F"/>
    <w:rsid w:val="00785C61"/>
    <w:rsid w:val="0078650D"/>
    <w:rsid w:val="00786968"/>
    <w:rsid w:val="007875B9"/>
    <w:rsid w:val="00790F7C"/>
    <w:rsid w:val="00791856"/>
    <w:rsid w:val="00792420"/>
    <w:rsid w:val="00792747"/>
    <w:rsid w:val="00792A3B"/>
    <w:rsid w:val="00792B0E"/>
    <w:rsid w:val="007935F1"/>
    <w:rsid w:val="0079421A"/>
    <w:rsid w:val="00795B3A"/>
    <w:rsid w:val="00796666"/>
    <w:rsid w:val="00796F30"/>
    <w:rsid w:val="007972F7"/>
    <w:rsid w:val="00797B44"/>
    <w:rsid w:val="007A08CE"/>
    <w:rsid w:val="007A147F"/>
    <w:rsid w:val="007A1556"/>
    <w:rsid w:val="007A1643"/>
    <w:rsid w:val="007A1A63"/>
    <w:rsid w:val="007A2F58"/>
    <w:rsid w:val="007A32B0"/>
    <w:rsid w:val="007A35DA"/>
    <w:rsid w:val="007A3E23"/>
    <w:rsid w:val="007A456F"/>
    <w:rsid w:val="007A6551"/>
    <w:rsid w:val="007A6E3F"/>
    <w:rsid w:val="007B18C0"/>
    <w:rsid w:val="007B215E"/>
    <w:rsid w:val="007B246D"/>
    <w:rsid w:val="007B42D9"/>
    <w:rsid w:val="007B448A"/>
    <w:rsid w:val="007B53B3"/>
    <w:rsid w:val="007B560F"/>
    <w:rsid w:val="007B7158"/>
    <w:rsid w:val="007C1B31"/>
    <w:rsid w:val="007C2070"/>
    <w:rsid w:val="007C208B"/>
    <w:rsid w:val="007C2187"/>
    <w:rsid w:val="007C21E1"/>
    <w:rsid w:val="007C386E"/>
    <w:rsid w:val="007C3EDA"/>
    <w:rsid w:val="007C555B"/>
    <w:rsid w:val="007C6774"/>
    <w:rsid w:val="007C6912"/>
    <w:rsid w:val="007C7960"/>
    <w:rsid w:val="007D2BEC"/>
    <w:rsid w:val="007D3977"/>
    <w:rsid w:val="007D3B85"/>
    <w:rsid w:val="007D45E0"/>
    <w:rsid w:val="007D4C40"/>
    <w:rsid w:val="007D69C4"/>
    <w:rsid w:val="007D79C4"/>
    <w:rsid w:val="007E0E35"/>
    <w:rsid w:val="007E1228"/>
    <w:rsid w:val="007E25AD"/>
    <w:rsid w:val="007E294A"/>
    <w:rsid w:val="007E2968"/>
    <w:rsid w:val="007E2A19"/>
    <w:rsid w:val="007E2CA5"/>
    <w:rsid w:val="007E2F3C"/>
    <w:rsid w:val="007E3B84"/>
    <w:rsid w:val="007E4926"/>
    <w:rsid w:val="007E692B"/>
    <w:rsid w:val="007F022D"/>
    <w:rsid w:val="007F0888"/>
    <w:rsid w:val="007F1346"/>
    <w:rsid w:val="007F262E"/>
    <w:rsid w:val="007F4314"/>
    <w:rsid w:val="007F4F88"/>
    <w:rsid w:val="007F66F9"/>
    <w:rsid w:val="007F7136"/>
    <w:rsid w:val="007F7FAE"/>
    <w:rsid w:val="00801545"/>
    <w:rsid w:val="0080172F"/>
    <w:rsid w:val="00801820"/>
    <w:rsid w:val="008036E9"/>
    <w:rsid w:val="00804843"/>
    <w:rsid w:val="0080617D"/>
    <w:rsid w:val="008065A2"/>
    <w:rsid w:val="00807290"/>
    <w:rsid w:val="00807695"/>
    <w:rsid w:val="00807C22"/>
    <w:rsid w:val="0081073F"/>
    <w:rsid w:val="00810F0F"/>
    <w:rsid w:val="00811299"/>
    <w:rsid w:val="00812161"/>
    <w:rsid w:val="008129B1"/>
    <w:rsid w:val="00812ACA"/>
    <w:rsid w:val="00812DB5"/>
    <w:rsid w:val="008152E0"/>
    <w:rsid w:val="00815521"/>
    <w:rsid w:val="0081707C"/>
    <w:rsid w:val="00817420"/>
    <w:rsid w:val="008176DB"/>
    <w:rsid w:val="0082001D"/>
    <w:rsid w:val="00822B7D"/>
    <w:rsid w:val="008233C5"/>
    <w:rsid w:val="00823FE0"/>
    <w:rsid w:val="00824DA1"/>
    <w:rsid w:val="00826B38"/>
    <w:rsid w:val="00826F6A"/>
    <w:rsid w:val="008276F4"/>
    <w:rsid w:val="00827930"/>
    <w:rsid w:val="0083056E"/>
    <w:rsid w:val="00831A7E"/>
    <w:rsid w:val="00832290"/>
    <w:rsid w:val="008327FB"/>
    <w:rsid w:val="00832B1A"/>
    <w:rsid w:val="00832C2A"/>
    <w:rsid w:val="00833570"/>
    <w:rsid w:val="00833D25"/>
    <w:rsid w:val="00833F08"/>
    <w:rsid w:val="008345E5"/>
    <w:rsid w:val="00835576"/>
    <w:rsid w:val="00835B44"/>
    <w:rsid w:val="00836118"/>
    <w:rsid w:val="0083758E"/>
    <w:rsid w:val="00837ADE"/>
    <w:rsid w:val="00837C98"/>
    <w:rsid w:val="0084001A"/>
    <w:rsid w:val="008403B2"/>
    <w:rsid w:val="00841094"/>
    <w:rsid w:val="00841105"/>
    <w:rsid w:val="00841DE0"/>
    <w:rsid w:val="00841E0E"/>
    <w:rsid w:val="00843DC3"/>
    <w:rsid w:val="0084475D"/>
    <w:rsid w:val="00845FA0"/>
    <w:rsid w:val="00846329"/>
    <w:rsid w:val="00846BFF"/>
    <w:rsid w:val="008473F8"/>
    <w:rsid w:val="008473FD"/>
    <w:rsid w:val="0085037E"/>
    <w:rsid w:val="008510BF"/>
    <w:rsid w:val="0085208E"/>
    <w:rsid w:val="008525BD"/>
    <w:rsid w:val="008538BF"/>
    <w:rsid w:val="00854411"/>
    <w:rsid w:val="00855C85"/>
    <w:rsid w:val="00855FB8"/>
    <w:rsid w:val="0085770A"/>
    <w:rsid w:val="0085779B"/>
    <w:rsid w:val="008577A1"/>
    <w:rsid w:val="00857B57"/>
    <w:rsid w:val="00860983"/>
    <w:rsid w:val="00860E4C"/>
    <w:rsid w:val="00861773"/>
    <w:rsid w:val="008622D4"/>
    <w:rsid w:val="00862426"/>
    <w:rsid w:val="008629BA"/>
    <w:rsid w:val="0086357B"/>
    <w:rsid w:val="00864DF5"/>
    <w:rsid w:val="008650F0"/>
    <w:rsid w:val="00865117"/>
    <w:rsid w:val="00865314"/>
    <w:rsid w:val="00865B1E"/>
    <w:rsid w:val="00870810"/>
    <w:rsid w:val="00871F92"/>
    <w:rsid w:val="00873302"/>
    <w:rsid w:val="008733B5"/>
    <w:rsid w:val="0087350D"/>
    <w:rsid w:val="00874253"/>
    <w:rsid w:val="00876144"/>
    <w:rsid w:val="00876EFC"/>
    <w:rsid w:val="00877C52"/>
    <w:rsid w:val="00880663"/>
    <w:rsid w:val="008807D9"/>
    <w:rsid w:val="00880A31"/>
    <w:rsid w:val="00880E6C"/>
    <w:rsid w:val="00881719"/>
    <w:rsid w:val="0088248A"/>
    <w:rsid w:val="0088254E"/>
    <w:rsid w:val="008840E6"/>
    <w:rsid w:val="00885852"/>
    <w:rsid w:val="00885F6F"/>
    <w:rsid w:val="0088602A"/>
    <w:rsid w:val="0088734E"/>
    <w:rsid w:val="0088798E"/>
    <w:rsid w:val="0089019D"/>
    <w:rsid w:val="00890265"/>
    <w:rsid w:val="00892B27"/>
    <w:rsid w:val="008936E8"/>
    <w:rsid w:val="00893F26"/>
    <w:rsid w:val="00895C09"/>
    <w:rsid w:val="00896300"/>
    <w:rsid w:val="00896694"/>
    <w:rsid w:val="008974E9"/>
    <w:rsid w:val="008979FB"/>
    <w:rsid w:val="008A0379"/>
    <w:rsid w:val="008A1291"/>
    <w:rsid w:val="008A164D"/>
    <w:rsid w:val="008A29F1"/>
    <w:rsid w:val="008A2E15"/>
    <w:rsid w:val="008A4B9C"/>
    <w:rsid w:val="008A539F"/>
    <w:rsid w:val="008A5828"/>
    <w:rsid w:val="008B0041"/>
    <w:rsid w:val="008B076B"/>
    <w:rsid w:val="008B1F17"/>
    <w:rsid w:val="008B3B89"/>
    <w:rsid w:val="008B494E"/>
    <w:rsid w:val="008B4FD8"/>
    <w:rsid w:val="008B5473"/>
    <w:rsid w:val="008B5AF4"/>
    <w:rsid w:val="008B634D"/>
    <w:rsid w:val="008B65C8"/>
    <w:rsid w:val="008B7726"/>
    <w:rsid w:val="008C1CEB"/>
    <w:rsid w:val="008C201D"/>
    <w:rsid w:val="008C22CB"/>
    <w:rsid w:val="008C29BA"/>
    <w:rsid w:val="008C3CF7"/>
    <w:rsid w:val="008C47BD"/>
    <w:rsid w:val="008C4C0D"/>
    <w:rsid w:val="008C5B8A"/>
    <w:rsid w:val="008C5FAE"/>
    <w:rsid w:val="008C6B4E"/>
    <w:rsid w:val="008C75D1"/>
    <w:rsid w:val="008D0BC5"/>
    <w:rsid w:val="008D125B"/>
    <w:rsid w:val="008D1B4E"/>
    <w:rsid w:val="008D20A8"/>
    <w:rsid w:val="008D242B"/>
    <w:rsid w:val="008D30D1"/>
    <w:rsid w:val="008D33C6"/>
    <w:rsid w:val="008D3A4C"/>
    <w:rsid w:val="008D3E34"/>
    <w:rsid w:val="008D781C"/>
    <w:rsid w:val="008E0265"/>
    <w:rsid w:val="008E0340"/>
    <w:rsid w:val="008E29FF"/>
    <w:rsid w:val="008E32C6"/>
    <w:rsid w:val="008E41A9"/>
    <w:rsid w:val="008E5C82"/>
    <w:rsid w:val="008E74E3"/>
    <w:rsid w:val="008E7A96"/>
    <w:rsid w:val="008F0715"/>
    <w:rsid w:val="008F0F94"/>
    <w:rsid w:val="008F1D6B"/>
    <w:rsid w:val="008F2801"/>
    <w:rsid w:val="008F47C8"/>
    <w:rsid w:val="008F506D"/>
    <w:rsid w:val="008F537F"/>
    <w:rsid w:val="008F54A4"/>
    <w:rsid w:val="008F5507"/>
    <w:rsid w:val="008F5E08"/>
    <w:rsid w:val="008F5F03"/>
    <w:rsid w:val="008F7F42"/>
    <w:rsid w:val="00901CFE"/>
    <w:rsid w:val="009020B7"/>
    <w:rsid w:val="009029DD"/>
    <w:rsid w:val="00902BF6"/>
    <w:rsid w:val="0090388D"/>
    <w:rsid w:val="009039ED"/>
    <w:rsid w:val="00904599"/>
    <w:rsid w:val="00904BFA"/>
    <w:rsid w:val="00906AC5"/>
    <w:rsid w:val="00907FAB"/>
    <w:rsid w:val="00910892"/>
    <w:rsid w:val="00910F7C"/>
    <w:rsid w:val="009121D9"/>
    <w:rsid w:val="009138D2"/>
    <w:rsid w:val="00914553"/>
    <w:rsid w:val="00914B12"/>
    <w:rsid w:val="00915E8B"/>
    <w:rsid w:val="009208C8"/>
    <w:rsid w:val="0092282A"/>
    <w:rsid w:val="00923CF6"/>
    <w:rsid w:val="009240C9"/>
    <w:rsid w:val="0092501C"/>
    <w:rsid w:val="00925C8F"/>
    <w:rsid w:val="00925F00"/>
    <w:rsid w:val="00926AE7"/>
    <w:rsid w:val="00926BF8"/>
    <w:rsid w:val="009274E6"/>
    <w:rsid w:val="00927D6F"/>
    <w:rsid w:val="009304EC"/>
    <w:rsid w:val="00930AD6"/>
    <w:rsid w:val="00930E6D"/>
    <w:rsid w:val="00930ED4"/>
    <w:rsid w:val="0093107A"/>
    <w:rsid w:val="00931834"/>
    <w:rsid w:val="00932148"/>
    <w:rsid w:val="009322C3"/>
    <w:rsid w:val="009327E5"/>
    <w:rsid w:val="00932881"/>
    <w:rsid w:val="00932C5F"/>
    <w:rsid w:val="00933D80"/>
    <w:rsid w:val="00936BA3"/>
    <w:rsid w:val="00936CC5"/>
    <w:rsid w:val="00940528"/>
    <w:rsid w:val="00941A49"/>
    <w:rsid w:val="00942344"/>
    <w:rsid w:val="00942A94"/>
    <w:rsid w:val="00943265"/>
    <w:rsid w:val="00943827"/>
    <w:rsid w:val="009450C0"/>
    <w:rsid w:val="00945993"/>
    <w:rsid w:val="00946F5C"/>
    <w:rsid w:val="0095013D"/>
    <w:rsid w:val="009518C8"/>
    <w:rsid w:val="00951B5B"/>
    <w:rsid w:val="009535B5"/>
    <w:rsid w:val="00953B7C"/>
    <w:rsid w:val="0095430B"/>
    <w:rsid w:val="0095538C"/>
    <w:rsid w:val="009553DD"/>
    <w:rsid w:val="009553DE"/>
    <w:rsid w:val="00955A7F"/>
    <w:rsid w:val="00957E59"/>
    <w:rsid w:val="00960365"/>
    <w:rsid w:val="00961E34"/>
    <w:rsid w:val="009623FF"/>
    <w:rsid w:val="009624A4"/>
    <w:rsid w:val="00962545"/>
    <w:rsid w:val="00962A75"/>
    <w:rsid w:val="00963A82"/>
    <w:rsid w:val="00963FA7"/>
    <w:rsid w:val="009644EF"/>
    <w:rsid w:val="00964E1D"/>
    <w:rsid w:val="009659FD"/>
    <w:rsid w:val="00966B52"/>
    <w:rsid w:val="00966DA7"/>
    <w:rsid w:val="009674D9"/>
    <w:rsid w:val="0096773D"/>
    <w:rsid w:val="00967BE1"/>
    <w:rsid w:val="00970268"/>
    <w:rsid w:val="009721ED"/>
    <w:rsid w:val="00972876"/>
    <w:rsid w:val="00973CF8"/>
    <w:rsid w:val="00974A70"/>
    <w:rsid w:val="009755EE"/>
    <w:rsid w:val="00975EFC"/>
    <w:rsid w:val="009763E7"/>
    <w:rsid w:val="00976A88"/>
    <w:rsid w:val="00976E45"/>
    <w:rsid w:val="009800D2"/>
    <w:rsid w:val="0098010E"/>
    <w:rsid w:val="00981165"/>
    <w:rsid w:val="009814E9"/>
    <w:rsid w:val="00981503"/>
    <w:rsid w:val="00981CA3"/>
    <w:rsid w:val="00983A6E"/>
    <w:rsid w:val="00983C96"/>
    <w:rsid w:val="009841B3"/>
    <w:rsid w:val="00984B23"/>
    <w:rsid w:val="009866BB"/>
    <w:rsid w:val="0098743F"/>
    <w:rsid w:val="00987A5C"/>
    <w:rsid w:val="00987DAE"/>
    <w:rsid w:val="0099079B"/>
    <w:rsid w:val="00990848"/>
    <w:rsid w:val="009908A1"/>
    <w:rsid w:val="00990CF8"/>
    <w:rsid w:val="00991497"/>
    <w:rsid w:val="00992000"/>
    <w:rsid w:val="0099234E"/>
    <w:rsid w:val="00993A45"/>
    <w:rsid w:val="00996998"/>
    <w:rsid w:val="0099705F"/>
    <w:rsid w:val="00997A58"/>
    <w:rsid w:val="00997AA9"/>
    <w:rsid w:val="009A14DB"/>
    <w:rsid w:val="009A1C12"/>
    <w:rsid w:val="009A23E7"/>
    <w:rsid w:val="009A2500"/>
    <w:rsid w:val="009A2C58"/>
    <w:rsid w:val="009A4148"/>
    <w:rsid w:val="009A4D0F"/>
    <w:rsid w:val="009A55F9"/>
    <w:rsid w:val="009A58A0"/>
    <w:rsid w:val="009A7C70"/>
    <w:rsid w:val="009B10E8"/>
    <w:rsid w:val="009B1909"/>
    <w:rsid w:val="009B405F"/>
    <w:rsid w:val="009B4BD8"/>
    <w:rsid w:val="009B5580"/>
    <w:rsid w:val="009B6380"/>
    <w:rsid w:val="009C0D36"/>
    <w:rsid w:val="009C1517"/>
    <w:rsid w:val="009C26EF"/>
    <w:rsid w:val="009C54C7"/>
    <w:rsid w:val="009C5B37"/>
    <w:rsid w:val="009C641E"/>
    <w:rsid w:val="009C6655"/>
    <w:rsid w:val="009C6E6D"/>
    <w:rsid w:val="009C7190"/>
    <w:rsid w:val="009C7A7E"/>
    <w:rsid w:val="009C7CE7"/>
    <w:rsid w:val="009D0475"/>
    <w:rsid w:val="009D13E3"/>
    <w:rsid w:val="009D1E49"/>
    <w:rsid w:val="009D327D"/>
    <w:rsid w:val="009D4357"/>
    <w:rsid w:val="009D4BDB"/>
    <w:rsid w:val="009D6B6E"/>
    <w:rsid w:val="009D779A"/>
    <w:rsid w:val="009D7F98"/>
    <w:rsid w:val="009D7FEA"/>
    <w:rsid w:val="009E051E"/>
    <w:rsid w:val="009E10A2"/>
    <w:rsid w:val="009E1189"/>
    <w:rsid w:val="009E1F81"/>
    <w:rsid w:val="009E2D02"/>
    <w:rsid w:val="009E2E4A"/>
    <w:rsid w:val="009E3C20"/>
    <w:rsid w:val="009E3D45"/>
    <w:rsid w:val="009E464F"/>
    <w:rsid w:val="009E4857"/>
    <w:rsid w:val="009E4EE1"/>
    <w:rsid w:val="009E5FA2"/>
    <w:rsid w:val="009E6AB8"/>
    <w:rsid w:val="009F1121"/>
    <w:rsid w:val="009F1A48"/>
    <w:rsid w:val="009F2266"/>
    <w:rsid w:val="009F5F68"/>
    <w:rsid w:val="009F62EE"/>
    <w:rsid w:val="00A00A70"/>
    <w:rsid w:val="00A013E8"/>
    <w:rsid w:val="00A0221C"/>
    <w:rsid w:val="00A0288C"/>
    <w:rsid w:val="00A0353C"/>
    <w:rsid w:val="00A05A2D"/>
    <w:rsid w:val="00A05C3C"/>
    <w:rsid w:val="00A06544"/>
    <w:rsid w:val="00A070B2"/>
    <w:rsid w:val="00A106A2"/>
    <w:rsid w:val="00A10E21"/>
    <w:rsid w:val="00A12201"/>
    <w:rsid w:val="00A139D8"/>
    <w:rsid w:val="00A140B9"/>
    <w:rsid w:val="00A14FFF"/>
    <w:rsid w:val="00A15600"/>
    <w:rsid w:val="00A161A3"/>
    <w:rsid w:val="00A1736F"/>
    <w:rsid w:val="00A2000C"/>
    <w:rsid w:val="00A221ED"/>
    <w:rsid w:val="00A22F07"/>
    <w:rsid w:val="00A23551"/>
    <w:rsid w:val="00A2360D"/>
    <w:rsid w:val="00A23FB4"/>
    <w:rsid w:val="00A25333"/>
    <w:rsid w:val="00A254B9"/>
    <w:rsid w:val="00A26531"/>
    <w:rsid w:val="00A30235"/>
    <w:rsid w:val="00A31278"/>
    <w:rsid w:val="00A32CA4"/>
    <w:rsid w:val="00A33B48"/>
    <w:rsid w:val="00A33E09"/>
    <w:rsid w:val="00A41175"/>
    <w:rsid w:val="00A411A2"/>
    <w:rsid w:val="00A4133B"/>
    <w:rsid w:val="00A41CAA"/>
    <w:rsid w:val="00A428BF"/>
    <w:rsid w:val="00A43B3E"/>
    <w:rsid w:val="00A4438F"/>
    <w:rsid w:val="00A445A3"/>
    <w:rsid w:val="00A45BF4"/>
    <w:rsid w:val="00A47373"/>
    <w:rsid w:val="00A47ED5"/>
    <w:rsid w:val="00A47EDB"/>
    <w:rsid w:val="00A5009E"/>
    <w:rsid w:val="00A51958"/>
    <w:rsid w:val="00A51ACE"/>
    <w:rsid w:val="00A527A1"/>
    <w:rsid w:val="00A52FA1"/>
    <w:rsid w:val="00A53682"/>
    <w:rsid w:val="00A53B6B"/>
    <w:rsid w:val="00A545E1"/>
    <w:rsid w:val="00A549BA"/>
    <w:rsid w:val="00A54C43"/>
    <w:rsid w:val="00A56007"/>
    <w:rsid w:val="00A60B03"/>
    <w:rsid w:val="00A61AE7"/>
    <w:rsid w:val="00A63458"/>
    <w:rsid w:val="00A636B5"/>
    <w:rsid w:val="00A64555"/>
    <w:rsid w:val="00A6567B"/>
    <w:rsid w:val="00A65D08"/>
    <w:rsid w:val="00A6637B"/>
    <w:rsid w:val="00A66DBB"/>
    <w:rsid w:val="00A70938"/>
    <w:rsid w:val="00A712EB"/>
    <w:rsid w:val="00A71558"/>
    <w:rsid w:val="00A71838"/>
    <w:rsid w:val="00A7223A"/>
    <w:rsid w:val="00A72B48"/>
    <w:rsid w:val="00A7312B"/>
    <w:rsid w:val="00A7347F"/>
    <w:rsid w:val="00A75A56"/>
    <w:rsid w:val="00A77A6A"/>
    <w:rsid w:val="00A806AA"/>
    <w:rsid w:val="00A810C1"/>
    <w:rsid w:val="00A8198E"/>
    <w:rsid w:val="00A82E56"/>
    <w:rsid w:val="00A82F22"/>
    <w:rsid w:val="00A84FF8"/>
    <w:rsid w:val="00A85C50"/>
    <w:rsid w:val="00A86C2F"/>
    <w:rsid w:val="00A87A31"/>
    <w:rsid w:val="00A9020A"/>
    <w:rsid w:val="00A90C14"/>
    <w:rsid w:val="00A91D6F"/>
    <w:rsid w:val="00A921B1"/>
    <w:rsid w:val="00A926BF"/>
    <w:rsid w:val="00A92E8F"/>
    <w:rsid w:val="00A9401C"/>
    <w:rsid w:val="00A9619A"/>
    <w:rsid w:val="00A96584"/>
    <w:rsid w:val="00A97D01"/>
    <w:rsid w:val="00AA119A"/>
    <w:rsid w:val="00AA1AD9"/>
    <w:rsid w:val="00AA2059"/>
    <w:rsid w:val="00AA2135"/>
    <w:rsid w:val="00AA2C01"/>
    <w:rsid w:val="00AA3F4B"/>
    <w:rsid w:val="00AA42E9"/>
    <w:rsid w:val="00AA48A7"/>
    <w:rsid w:val="00AA6DB3"/>
    <w:rsid w:val="00AA7D78"/>
    <w:rsid w:val="00AB06D6"/>
    <w:rsid w:val="00AB0DE5"/>
    <w:rsid w:val="00AB273E"/>
    <w:rsid w:val="00AB2F91"/>
    <w:rsid w:val="00AB3570"/>
    <w:rsid w:val="00AB3C1E"/>
    <w:rsid w:val="00AB4808"/>
    <w:rsid w:val="00AB6486"/>
    <w:rsid w:val="00AB7009"/>
    <w:rsid w:val="00AC06B8"/>
    <w:rsid w:val="00AC0B05"/>
    <w:rsid w:val="00AC1129"/>
    <w:rsid w:val="00AC3948"/>
    <w:rsid w:val="00AC440D"/>
    <w:rsid w:val="00AC4C48"/>
    <w:rsid w:val="00AC51DF"/>
    <w:rsid w:val="00AC5B62"/>
    <w:rsid w:val="00AC629E"/>
    <w:rsid w:val="00AC6ADD"/>
    <w:rsid w:val="00AC6E3A"/>
    <w:rsid w:val="00AD0545"/>
    <w:rsid w:val="00AD1A1E"/>
    <w:rsid w:val="00AD42C6"/>
    <w:rsid w:val="00AD4314"/>
    <w:rsid w:val="00AD433D"/>
    <w:rsid w:val="00AD500D"/>
    <w:rsid w:val="00AD5E28"/>
    <w:rsid w:val="00AD5FC8"/>
    <w:rsid w:val="00AD6561"/>
    <w:rsid w:val="00AE02E0"/>
    <w:rsid w:val="00AE0BC2"/>
    <w:rsid w:val="00AE0D97"/>
    <w:rsid w:val="00AE26F6"/>
    <w:rsid w:val="00AE395E"/>
    <w:rsid w:val="00AE4404"/>
    <w:rsid w:val="00AE448C"/>
    <w:rsid w:val="00AE4F59"/>
    <w:rsid w:val="00AE503E"/>
    <w:rsid w:val="00AE5D48"/>
    <w:rsid w:val="00AE6763"/>
    <w:rsid w:val="00AE6F49"/>
    <w:rsid w:val="00AF1C94"/>
    <w:rsid w:val="00AF3D29"/>
    <w:rsid w:val="00AF3E33"/>
    <w:rsid w:val="00AF437A"/>
    <w:rsid w:val="00AF62AF"/>
    <w:rsid w:val="00AF682E"/>
    <w:rsid w:val="00AF7E20"/>
    <w:rsid w:val="00B00525"/>
    <w:rsid w:val="00B00C58"/>
    <w:rsid w:val="00B014E0"/>
    <w:rsid w:val="00B01518"/>
    <w:rsid w:val="00B01AE6"/>
    <w:rsid w:val="00B01EB9"/>
    <w:rsid w:val="00B01F78"/>
    <w:rsid w:val="00B02042"/>
    <w:rsid w:val="00B029D9"/>
    <w:rsid w:val="00B0389E"/>
    <w:rsid w:val="00B04571"/>
    <w:rsid w:val="00B0480A"/>
    <w:rsid w:val="00B054C0"/>
    <w:rsid w:val="00B05854"/>
    <w:rsid w:val="00B06C7E"/>
    <w:rsid w:val="00B10E93"/>
    <w:rsid w:val="00B10F82"/>
    <w:rsid w:val="00B1110D"/>
    <w:rsid w:val="00B11903"/>
    <w:rsid w:val="00B127C2"/>
    <w:rsid w:val="00B12F7A"/>
    <w:rsid w:val="00B13991"/>
    <w:rsid w:val="00B13AC7"/>
    <w:rsid w:val="00B14457"/>
    <w:rsid w:val="00B15976"/>
    <w:rsid w:val="00B15D86"/>
    <w:rsid w:val="00B15FC6"/>
    <w:rsid w:val="00B16159"/>
    <w:rsid w:val="00B20453"/>
    <w:rsid w:val="00B219F2"/>
    <w:rsid w:val="00B2274C"/>
    <w:rsid w:val="00B22BAD"/>
    <w:rsid w:val="00B2320F"/>
    <w:rsid w:val="00B237EB"/>
    <w:rsid w:val="00B23D42"/>
    <w:rsid w:val="00B23DA5"/>
    <w:rsid w:val="00B248F5"/>
    <w:rsid w:val="00B249CB"/>
    <w:rsid w:val="00B252CD"/>
    <w:rsid w:val="00B25338"/>
    <w:rsid w:val="00B273AF"/>
    <w:rsid w:val="00B27F3A"/>
    <w:rsid w:val="00B30ED8"/>
    <w:rsid w:val="00B3107C"/>
    <w:rsid w:val="00B32740"/>
    <w:rsid w:val="00B32991"/>
    <w:rsid w:val="00B32CD1"/>
    <w:rsid w:val="00B32FE1"/>
    <w:rsid w:val="00B3397C"/>
    <w:rsid w:val="00B34FE8"/>
    <w:rsid w:val="00B35383"/>
    <w:rsid w:val="00B35B85"/>
    <w:rsid w:val="00B35C2F"/>
    <w:rsid w:val="00B35C31"/>
    <w:rsid w:val="00B36694"/>
    <w:rsid w:val="00B3682B"/>
    <w:rsid w:val="00B3699E"/>
    <w:rsid w:val="00B37212"/>
    <w:rsid w:val="00B373DC"/>
    <w:rsid w:val="00B3749C"/>
    <w:rsid w:val="00B377C3"/>
    <w:rsid w:val="00B40887"/>
    <w:rsid w:val="00B42E29"/>
    <w:rsid w:val="00B42FD9"/>
    <w:rsid w:val="00B43C4A"/>
    <w:rsid w:val="00B43DE8"/>
    <w:rsid w:val="00B4429E"/>
    <w:rsid w:val="00B44F9F"/>
    <w:rsid w:val="00B45A32"/>
    <w:rsid w:val="00B472EE"/>
    <w:rsid w:val="00B47915"/>
    <w:rsid w:val="00B47996"/>
    <w:rsid w:val="00B50831"/>
    <w:rsid w:val="00B521AE"/>
    <w:rsid w:val="00B5291C"/>
    <w:rsid w:val="00B55656"/>
    <w:rsid w:val="00B56ED1"/>
    <w:rsid w:val="00B57CB6"/>
    <w:rsid w:val="00B60BF0"/>
    <w:rsid w:val="00B61300"/>
    <w:rsid w:val="00B61F15"/>
    <w:rsid w:val="00B62E8C"/>
    <w:rsid w:val="00B6439B"/>
    <w:rsid w:val="00B64B7B"/>
    <w:rsid w:val="00B64E2F"/>
    <w:rsid w:val="00B660AA"/>
    <w:rsid w:val="00B6667A"/>
    <w:rsid w:val="00B66DFF"/>
    <w:rsid w:val="00B66ED4"/>
    <w:rsid w:val="00B673AC"/>
    <w:rsid w:val="00B674B5"/>
    <w:rsid w:val="00B70186"/>
    <w:rsid w:val="00B7220D"/>
    <w:rsid w:val="00B73298"/>
    <w:rsid w:val="00B751BA"/>
    <w:rsid w:val="00B75DE7"/>
    <w:rsid w:val="00B76094"/>
    <w:rsid w:val="00B76117"/>
    <w:rsid w:val="00B771A8"/>
    <w:rsid w:val="00B77476"/>
    <w:rsid w:val="00B80CB6"/>
    <w:rsid w:val="00B81488"/>
    <w:rsid w:val="00B84571"/>
    <w:rsid w:val="00B84F7B"/>
    <w:rsid w:val="00B85B0B"/>
    <w:rsid w:val="00B85DB6"/>
    <w:rsid w:val="00B86E26"/>
    <w:rsid w:val="00B90C75"/>
    <w:rsid w:val="00B90FDC"/>
    <w:rsid w:val="00B9102A"/>
    <w:rsid w:val="00B91215"/>
    <w:rsid w:val="00B9173D"/>
    <w:rsid w:val="00B92659"/>
    <w:rsid w:val="00B92EE8"/>
    <w:rsid w:val="00B93305"/>
    <w:rsid w:val="00B9385D"/>
    <w:rsid w:val="00B94E8D"/>
    <w:rsid w:val="00B953AF"/>
    <w:rsid w:val="00B960A4"/>
    <w:rsid w:val="00B96329"/>
    <w:rsid w:val="00B96385"/>
    <w:rsid w:val="00B97764"/>
    <w:rsid w:val="00BA1093"/>
    <w:rsid w:val="00BA18B1"/>
    <w:rsid w:val="00BA1D24"/>
    <w:rsid w:val="00BA3C6C"/>
    <w:rsid w:val="00BA5012"/>
    <w:rsid w:val="00BA6A23"/>
    <w:rsid w:val="00BA76DF"/>
    <w:rsid w:val="00BB0677"/>
    <w:rsid w:val="00BB24A6"/>
    <w:rsid w:val="00BB2E74"/>
    <w:rsid w:val="00BB5BF9"/>
    <w:rsid w:val="00BB6711"/>
    <w:rsid w:val="00BB6D64"/>
    <w:rsid w:val="00BB709D"/>
    <w:rsid w:val="00BB7A76"/>
    <w:rsid w:val="00BC0171"/>
    <w:rsid w:val="00BC16F7"/>
    <w:rsid w:val="00BC194A"/>
    <w:rsid w:val="00BC2463"/>
    <w:rsid w:val="00BC3C8C"/>
    <w:rsid w:val="00BC4B7A"/>
    <w:rsid w:val="00BC4C06"/>
    <w:rsid w:val="00BC5429"/>
    <w:rsid w:val="00BC5D38"/>
    <w:rsid w:val="00BC6A0F"/>
    <w:rsid w:val="00BC771B"/>
    <w:rsid w:val="00BC7F49"/>
    <w:rsid w:val="00BD0711"/>
    <w:rsid w:val="00BD1D33"/>
    <w:rsid w:val="00BD1E9B"/>
    <w:rsid w:val="00BD25AC"/>
    <w:rsid w:val="00BD2768"/>
    <w:rsid w:val="00BD3047"/>
    <w:rsid w:val="00BD64ED"/>
    <w:rsid w:val="00BD7039"/>
    <w:rsid w:val="00BE0857"/>
    <w:rsid w:val="00BE123B"/>
    <w:rsid w:val="00BE29FC"/>
    <w:rsid w:val="00BE3C6B"/>
    <w:rsid w:val="00BE3D8E"/>
    <w:rsid w:val="00BE50A2"/>
    <w:rsid w:val="00BE6761"/>
    <w:rsid w:val="00BE6F6C"/>
    <w:rsid w:val="00BE7102"/>
    <w:rsid w:val="00BF05E2"/>
    <w:rsid w:val="00BF0D59"/>
    <w:rsid w:val="00BF1A57"/>
    <w:rsid w:val="00BF1CA8"/>
    <w:rsid w:val="00BF28FE"/>
    <w:rsid w:val="00BF2B49"/>
    <w:rsid w:val="00BF2D9F"/>
    <w:rsid w:val="00BF3782"/>
    <w:rsid w:val="00BF37D2"/>
    <w:rsid w:val="00BF3AAC"/>
    <w:rsid w:val="00BF3FA2"/>
    <w:rsid w:val="00BF4317"/>
    <w:rsid w:val="00BF4618"/>
    <w:rsid w:val="00BF47AE"/>
    <w:rsid w:val="00BF5352"/>
    <w:rsid w:val="00BF58E6"/>
    <w:rsid w:val="00BF6406"/>
    <w:rsid w:val="00BF6BA9"/>
    <w:rsid w:val="00BF7946"/>
    <w:rsid w:val="00BF7C9F"/>
    <w:rsid w:val="00BF7E6C"/>
    <w:rsid w:val="00C00F7A"/>
    <w:rsid w:val="00C01D10"/>
    <w:rsid w:val="00C01D52"/>
    <w:rsid w:val="00C03A8F"/>
    <w:rsid w:val="00C04A0A"/>
    <w:rsid w:val="00C04A25"/>
    <w:rsid w:val="00C04D58"/>
    <w:rsid w:val="00C0554A"/>
    <w:rsid w:val="00C0643E"/>
    <w:rsid w:val="00C07438"/>
    <w:rsid w:val="00C10367"/>
    <w:rsid w:val="00C10C35"/>
    <w:rsid w:val="00C11DD1"/>
    <w:rsid w:val="00C12252"/>
    <w:rsid w:val="00C122E2"/>
    <w:rsid w:val="00C12D1D"/>
    <w:rsid w:val="00C138E6"/>
    <w:rsid w:val="00C149F1"/>
    <w:rsid w:val="00C154DE"/>
    <w:rsid w:val="00C15E08"/>
    <w:rsid w:val="00C16C9F"/>
    <w:rsid w:val="00C173E5"/>
    <w:rsid w:val="00C1762E"/>
    <w:rsid w:val="00C1769E"/>
    <w:rsid w:val="00C17923"/>
    <w:rsid w:val="00C22513"/>
    <w:rsid w:val="00C2399F"/>
    <w:rsid w:val="00C24E59"/>
    <w:rsid w:val="00C251D1"/>
    <w:rsid w:val="00C252E3"/>
    <w:rsid w:val="00C25AE9"/>
    <w:rsid w:val="00C3107E"/>
    <w:rsid w:val="00C31143"/>
    <w:rsid w:val="00C311D0"/>
    <w:rsid w:val="00C31CA5"/>
    <w:rsid w:val="00C31CFA"/>
    <w:rsid w:val="00C32EC8"/>
    <w:rsid w:val="00C34185"/>
    <w:rsid w:val="00C34876"/>
    <w:rsid w:val="00C34BC6"/>
    <w:rsid w:val="00C377E7"/>
    <w:rsid w:val="00C37CFC"/>
    <w:rsid w:val="00C37E7F"/>
    <w:rsid w:val="00C37F0A"/>
    <w:rsid w:val="00C37F6D"/>
    <w:rsid w:val="00C40936"/>
    <w:rsid w:val="00C41881"/>
    <w:rsid w:val="00C435FA"/>
    <w:rsid w:val="00C4511B"/>
    <w:rsid w:val="00C45823"/>
    <w:rsid w:val="00C4592B"/>
    <w:rsid w:val="00C45A0B"/>
    <w:rsid w:val="00C45EF7"/>
    <w:rsid w:val="00C46B8A"/>
    <w:rsid w:val="00C47A35"/>
    <w:rsid w:val="00C50884"/>
    <w:rsid w:val="00C50953"/>
    <w:rsid w:val="00C50B42"/>
    <w:rsid w:val="00C517FC"/>
    <w:rsid w:val="00C52171"/>
    <w:rsid w:val="00C52F28"/>
    <w:rsid w:val="00C531B9"/>
    <w:rsid w:val="00C5358D"/>
    <w:rsid w:val="00C54293"/>
    <w:rsid w:val="00C5457E"/>
    <w:rsid w:val="00C55B39"/>
    <w:rsid w:val="00C569FF"/>
    <w:rsid w:val="00C57403"/>
    <w:rsid w:val="00C5741E"/>
    <w:rsid w:val="00C57602"/>
    <w:rsid w:val="00C57A6D"/>
    <w:rsid w:val="00C61469"/>
    <w:rsid w:val="00C62238"/>
    <w:rsid w:val="00C632B4"/>
    <w:rsid w:val="00C6330B"/>
    <w:rsid w:val="00C633F1"/>
    <w:rsid w:val="00C63509"/>
    <w:rsid w:val="00C64982"/>
    <w:rsid w:val="00C66C6D"/>
    <w:rsid w:val="00C676C6"/>
    <w:rsid w:val="00C70A16"/>
    <w:rsid w:val="00C71346"/>
    <w:rsid w:val="00C715F4"/>
    <w:rsid w:val="00C71C8A"/>
    <w:rsid w:val="00C721CB"/>
    <w:rsid w:val="00C73FC5"/>
    <w:rsid w:val="00C746C9"/>
    <w:rsid w:val="00C7566B"/>
    <w:rsid w:val="00C757F1"/>
    <w:rsid w:val="00C76B59"/>
    <w:rsid w:val="00C77695"/>
    <w:rsid w:val="00C80E64"/>
    <w:rsid w:val="00C81C21"/>
    <w:rsid w:val="00C82383"/>
    <w:rsid w:val="00C82BB3"/>
    <w:rsid w:val="00C82EA7"/>
    <w:rsid w:val="00C83644"/>
    <w:rsid w:val="00C83EBA"/>
    <w:rsid w:val="00C8540A"/>
    <w:rsid w:val="00C858AC"/>
    <w:rsid w:val="00C8794A"/>
    <w:rsid w:val="00C90C3A"/>
    <w:rsid w:val="00C922F8"/>
    <w:rsid w:val="00C92B75"/>
    <w:rsid w:val="00C93663"/>
    <w:rsid w:val="00C942D3"/>
    <w:rsid w:val="00C95662"/>
    <w:rsid w:val="00C9583F"/>
    <w:rsid w:val="00C96D41"/>
    <w:rsid w:val="00CA1089"/>
    <w:rsid w:val="00CA26A6"/>
    <w:rsid w:val="00CA3E11"/>
    <w:rsid w:val="00CA414A"/>
    <w:rsid w:val="00CA414B"/>
    <w:rsid w:val="00CA4A33"/>
    <w:rsid w:val="00CA51DD"/>
    <w:rsid w:val="00CA58D9"/>
    <w:rsid w:val="00CA58E7"/>
    <w:rsid w:val="00CA5B97"/>
    <w:rsid w:val="00CA61FB"/>
    <w:rsid w:val="00CA630D"/>
    <w:rsid w:val="00CB097F"/>
    <w:rsid w:val="00CB0BD3"/>
    <w:rsid w:val="00CB0E58"/>
    <w:rsid w:val="00CB1580"/>
    <w:rsid w:val="00CB1A56"/>
    <w:rsid w:val="00CB39BE"/>
    <w:rsid w:val="00CB3F9A"/>
    <w:rsid w:val="00CB48EF"/>
    <w:rsid w:val="00CB681A"/>
    <w:rsid w:val="00CB786E"/>
    <w:rsid w:val="00CC32D6"/>
    <w:rsid w:val="00CC6146"/>
    <w:rsid w:val="00CC6A54"/>
    <w:rsid w:val="00CD0873"/>
    <w:rsid w:val="00CD2097"/>
    <w:rsid w:val="00CD2324"/>
    <w:rsid w:val="00CD3C89"/>
    <w:rsid w:val="00CD410D"/>
    <w:rsid w:val="00CD4398"/>
    <w:rsid w:val="00CD4A13"/>
    <w:rsid w:val="00CD588B"/>
    <w:rsid w:val="00CD5923"/>
    <w:rsid w:val="00CD5C2C"/>
    <w:rsid w:val="00CD5C61"/>
    <w:rsid w:val="00CD6F83"/>
    <w:rsid w:val="00CD71F8"/>
    <w:rsid w:val="00CD7E85"/>
    <w:rsid w:val="00CE0D48"/>
    <w:rsid w:val="00CE0F3F"/>
    <w:rsid w:val="00CE1C50"/>
    <w:rsid w:val="00CE1F66"/>
    <w:rsid w:val="00CE2822"/>
    <w:rsid w:val="00CE3CB3"/>
    <w:rsid w:val="00CE4909"/>
    <w:rsid w:val="00CE5B73"/>
    <w:rsid w:val="00CE6219"/>
    <w:rsid w:val="00CE705D"/>
    <w:rsid w:val="00CF0A77"/>
    <w:rsid w:val="00CF1491"/>
    <w:rsid w:val="00CF167F"/>
    <w:rsid w:val="00CF1C5A"/>
    <w:rsid w:val="00CF1E3C"/>
    <w:rsid w:val="00CF216E"/>
    <w:rsid w:val="00CF2BC7"/>
    <w:rsid w:val="00CF5534"/>
    <w:rsid w:val="00CF5C96"/>
    <w:rsid w:val="00CF6531"/>
    <w:rsid w:val="00CF6D07"/>
    <w:rsid w:val="00CF79DF"/>
    <w:rsid w:val="00CF7F18"/>
    <w:rsid w:val="00D019E3"/>
    <w:rsid w:val="00D0317D"/>
    <w:rsid w:val="00D031D5"/>
    <w:rsid w:val="00D03AA8"/>
    <w:rsid w:val="00D03FDF"/>
    <w:rsid w:val="00D04BEE"/>
    <w:rsid w:val="00D055F7"/>
    <w:rsid w:val="00D05B4A"/>
    <w:rsid w:val="00D10507"/>
    <w:rsid w:val="00D107DC"/>
    <w:rsid w:val="00D11EF0"/>
    <w:rsid w:val="00D1267A"/>
    <w:rsid w:val="00D12982"/>
    <w:rsid w:val="00D1315F"/>
    <w:rsid w:val="00D13788"/>
    <w:rsid w:val="00D137BA"/>
    <w:rsid w:val="00D137DA"/>
    <w:rsid w:val="00D13AF9"/>
    <w:rsid w:val="00D13B73"/>
    <w:rsid w:val="00D14918"/>
    <w:rsid w:val="00D150F7"/>
    <w:rsid w:val="00D15181"/>
    <w:rsid w:val="00D15ED5"/>
    <w:rsid w:val="00D169A5"/>
    <w:rsid w:val="00D16F08"/>
    <w:rsid w:val="00D17006"/>
    <w:rsid w:val="00D20141"/>
    <w:rsid w:val="00D20633"/>
    <w:rsid w:val="00D207F8"/>
    <w:rsid w:val="00D20EB3"/>
    <w:rsid w:val="00D20F98"/>
    <w:rsid w:val="00D22C9C"/>
    <w:rsid w:val="00D24CBF"/>
    <w:rsid w:val="00D25022"/>
    <w:rsid w:val="00D2714F"/>
    <w:rsid w:val="00D30E0A"/>
    <w:rsid w:val="00D31973"/>
    <w:rsid w:val="00D322A3"/>
    <w:rsid w:val="00D3565E"/>
    <w:rsid w:val="00D3583D"/>
    <w:rsid w:val="00D36236"/>
    <w:rsid w:val="00D36279"/>
    <w:rsid w:val="00D364AA"/>
    <w:rsid w:val="00D366BD"/>
    <w:rsid w:val="00D36F8F"/>
    <w:rsid w:val="00D37BFB"/>
    <w:rsid w:val="00D403A4"/>
    <w:rsid w:val="00D405F0"/>
    <w:rsid w:val="00D421A4"/>
    <w:rsid w:val="00D427B9"/>
    <w:rsid w:val="00D43815"/>
    <w:rsid w:val="00D43FA8"/>
    <w:rsid w:val="00D447E2"/>
    <w:rsid w:val="00D44EE0"/>
    <w:rsid w:val="00D45027"/>
    <w:rsid w:val="00D46488"/>
    <w:rsid w:val="00D46905"/>
    <w:rsid w:val="00D4701E"/>
    <w:rsid w:val="00D5053C"/>
    <w:rsid w:val="00D50700"/>
    <w:rsid w:val="00D508A4"/>
    <w:rsid w:val="00D51695"/>
    <w:rsid w:val="00D52509"/>
    <w:rsid w:val="00D5673A"/>
    <w:rsid w:val="00D569AF"/>
    <w:rsid w:val="00D5717F"/>
    <w:rsid w:val="00D573E2"/>
    <w:rsid w:val="00D605D1"/>
    <w:rsid w:val="00D62E89"/>
    <w:rsid w:val="00D63101"/>
    <w:rsid w:val="00D63A97"/>
    <w:rsid w:val="00D63D0E"/>
    <w:rsid w:val="00D64201"/>
    <w:rsid w:val="00D647BE"/>
    <w:rsid w:val="00D652B2"/>
    <w:rsid w:val="00D66656"/>
    <w:rsid w:val="00D67FAD"/>
    <w:rsid w:val="00D70AB8"/>
    <w:rsid w:val="00D728A0"/>
    <w:rsid w:val="00D7291E"/>
    <w:rsid w:val="00D72A84"/>
    <w:rsid w:val="00D72A91"/>
    <w:rsid w:val="00D734E2"/>
    <w:rsid w:val="00D7646A"/>
    <w:rsid w:val="00D767F2"/>
    <w:rsid w:val="00D76E7A"/>
    <w:rsid w:val="00D80017"/>
    <w:rsid w:val="00D80996"/>
    <w:rsid w:val="00D80ED3"/>
    <w:rsid w:val="00D819B6"/>
    <w:rsid w:val="00D82127"/>
    <w:rsid w:val="00D82E31"/>
    <w:rsid w:val="00D850B1"/>
    <w:rsid w:val="00D8555D"/>
    <w:rsid w:val="00D863A8"/>
    <w:rsid w:val="00D8657A"/>
    <w:rsid w:val="00D86CDF"/>
    <w:rsid w:val="00D8759A"/>
    <w:rsid w:val="00D90C44"/>
    <w:rsid w:val="00D915C3"/>
    <w:rsid w:val="00D91844"/>
    <w:rsid w:val="00D91EE9"/>
    <w:rsid w:val="00D91F4A"/>
    <w:rsid w:val="00D9314C"/>
    <w:rsid w:val="00D9331E"/>
    <w:rsid w:val="00D93A2A"/>
    <w:rsid w:val="00D93BC1"/>
    <w:rsid w:val="00D95D2A"/>
    <w:rsid w:val="00D963D4"/>
    <w:rsid w:val="00D9695E"/>
    <w:rsid w:val="00D97069"/>
    <w:rsid w:val="00D97AAC"/>
    <w:rsid w:val="00DA19D4"/>
    <w:rsid w:val="00DA2218"/>
    <w:rsid w:val="00DA34A0"/>
    <w:rsid w:val="00DA3898"/>
    <w:rsid w:val="00DA41D7"/>
    <w:rsid w:val="00DA63D0"/>
    <w:rsid w:val="00DA6CE2"/>
    <w:rsid w:val="00DA6E58"/>
    <w:rsid w:val="00DA72C4"/>
    <w:rsid w:val="00DA7A53"/>
    <w:rsid w:val="00DB1755"/>
    <w:rsid w:val="00DB2D5A"/>
    <w:rsid w:val="00DB2FB9"/>
    <w:rsid w:val="00DB4942"/>
    <w:rsid w:val="00DB4C93"/>
    <w:rsid w:val="00DB6507"/>
    <w:rsid w:val="00DB6EF2"/>
    <w:rsid w:val="00DB710D"/>
    <w:rsid w:val="00DB7DA3"/>
    <w:rsid w:val="00DC1A14"/>
    <w:rsid w:val="00DC1A64"/>
    <w:rsid w:val="00DC499B"/>
    <w:rsid w:val="00DC50B5"/>
    <w:rsid w:val="00DC6304"/>
    <w:rsid w:val="00DC6949"/>
    <w:rsid w:val="00DC69E0"/>
    <w:rsid w:val="00DC7E84"/>
    <w:rsid w:val="00DD110A"/>
    <w:rsid w:val="00DD1CE9"/>
    <w:rsid w:val="00DD3DDB"/>
    <w:rsid w:val="00DD5719"/>
    <w:rsid w:val="00DD5D78"/>
    <w:rsid w:val="00DD6064"/>
    <w:rsid w:val="00DD68DA"/>
    <w:rsid w:val="00DD765A"/>
    <w:rsid w:val="00DD7A37"/>
    <w:rsid w:val="00DD7E0F"/>
    <w:rsid w:val="00DE0168"/>
    <w:rsid w:val="00DE0768"/>
    <w:rsid w:val="00DE20BE"/>
    <w:rsid w:val="00DE2E12"/>
    <w:rsid w:val="00DE4A65"/>
    <w:rsid w:val="00DE4D79"/>
    <w:rsid w:val="00DE58A0"/>
    <w:rsid w:val="00DE5A1F"/>
    <w:rsid w:val="00DE668F"/>
    <w:rsid w:val="00DE7BD0"/>
    <w:rsid w:val="00DE7CC4"/>
    <w:rsid w:val="00DE7F70"/>
    <w:rsid w:val="00DF0120"/>
    <w:rsid w:val="00DF0195"/>
    <w:rsid w:val="00DF112C"/>
    <w:rsid w:val="00DF18E5"/>
    <w:rsid w:val="00DF25A7"/>
    <w:rsid w:val="00DF2F63"/>
    <w:rsid w:val="00DF44E2"/>
    <w:rsid w:val="00DF4999"/>
    <w:rsid w:val="00DF4AE8"/>
    <w:rsid w:val="00DF4B72"/>
    <w:rsid w:val="00DF5431"/>
    <w:rsid w:val="00DF5FA5"/>
    <w:rsid w:val="00DF6D58"/>
    <w:rsid w:val="00DF7288"/>
    <w:rsid w:val="00DF75C5"/>
    <w:rsid w:val="00E000E4"/>
    <w:rsid w:val="00E01BC5"/>
    <w:rsid w:val="00E01D2C"/>
    <w:rsid w:val="00E03648"/>
    <w:rsid w:val="00E0404D"/>
    <w:rsid w:val="00E072FC"/>
    <w:rsid w:val="00E07622"/>
    <w:rsid w:val="00E07A3F"/>
    <w:rsid w:val="00E11189"/>
    <w:rsid w:val="00E11736"/>
    <w:rsid w:val="00E1300B"/>
    <w:rsid w:val="00E13EEB"/>
    <w:rsid w:val="00E203C3"/>
    <w:rsid w:val="00E2107E"/>
    <w:rsid w:val="00E210F5"/>
    <w:rsid w:val="00E21C27"/>
    <w:rsid w:val="00E22898"/>
    <w:rsid w:val="00E22E0E"/>
    <w:rsid w:val="00E22E77"/>
    <w:rsid w:val="00E2410C"/>
    <w:rsid w:val="00E246E1"/>
    <w:rsid w:val="00E24752"/>
    <w:rsid w:val="00E24B60"/>
    <w:rsid w:val="00E250B9"/>
    <w:rsid w:val="00E2666D"/>
    <w:rsid w:val="00E26DDC"/>
    <w:rsid w:val="00E26FE7"/>
    <w:rsid w:val="00E272D7"/>
    <w:rsid w:val="00E30FDA"/>
    <w:rsid w:val="00E31073"/>
    <w:rsid w:val="00E324CB"/>
    <w:rsid w:val="00E34296"/>
    <w:rsid w:val="00E35B07"/>
    <w:rsid w:val="00E36EF0"/>
    <w:rsid w:val="00E4012C"/>
    <w:rsid w:val="00E4104F"/>
    <w:rsid w:val="00E4179F"/>
    <w:rsid w:val="00E41987"/>
    <w:rsid w:val="00E4246C"/>
    <w:rsid w:val="00E42ED0"/>
    <w:rsid w:val="00E43143"/>
    <w:rsid w:val="00E43543"/>
    <w:rsid w:val="00E44110"/>
    <w:rsid w:val="00E4514F"/>
    <w:rsid w:val="00E45510"/>
    <w:rsid w:val="00E469E7"/>
    <w:rsid w:val="00E46C9D"/>
    <w:rsid w:val="00E479ED"/>
    <w:rsid w:val="00E47FD0"/>
    <w:rsid w:val="00E521AB"/>
    <w:rsid w:val="00E52371"/>
    <w:rsid w:val="00E52BFA"/>
    <w:rsid w:val="00E54E4C"/>
    <w:rsid w:val="00E552BA"/>
    <w:rsid w:val="00E560B0"/>
    <w:rsid w:val="00E5662E"/>
    <w:rsid w:val="00E57826"/>
    <w:rsid w:val="00E60117"/>
    <w:rsid w:val="00E60182"/>
    <w:rsid w:val="00E605F4"/>
    <w:rsid w:val="00E60696"/>
    <w:rsid w:val="00E60715"/>
    <w:rsid w:val="00E609A9"/>
    <w:rsid w:val="00E624C9"/>
    <w:rsid w:val="00E652EF"/>
    <w:rsid w:val="00E657A6"/>
    <w:rsid w:val="00E66FED"/>
    <w:rsid w:val="00E67340"/>
    <w:rsid w:val="00E67672"/>
    <w:rsid w:val="00E67D5C"/>
    <w:rsid w:val="00E67D6F"/>
    <w:rsid w:val="00E67DAB"/>
    <w:rsid w:val="00E702C7"/>
    <w:rsid w:val="00E70429"/>
    <w:rsid w:val="00E7046B"/>
    <w:rsid w:val="00E71B04"/>
    <w:rsid w:val="00E72052"/>
    <w:rsid w:val="00E73971"/>
    <w:rsid w:val="00E740E7"/>
    <w:rsid w:val="00E745BA"/>
    <w:rsid w:val="00E749C3"/>
    <w:rsid w:val="00E74BC8"/>
    <w:rsid w:val="00E7553C"/>
    <w:rsid w:val="00E75993"/>
    <w:rsid w:val="00E75B64"/>
    <w:rsid w:val="00E75BE6"/>
    <w:rsid w:val="00E75CF2"/>
    <w:rsid w:val="00E76232"/>
    <w:rsid w:val="00E76411"/>
    <w:rsid w:val="00E771D8"/>
    <w:rsid w:val="00E8192B"/>
    <w:rsid w:val="00E81A04"/>
    <w:rsid w:val="00E81C5A"/>
    <w:rsid w:val="00E82331"/>
    <w:rsid w:val="00E82A15"/>
    <w:rsid w:val="00E83058"/>
    <w:rsid w:val="00E84A74"/>
    <w:rsid w:val="00E85C5B"/>
    <w:rsid w:val="00E85DAD"/>
    <w:rsid w:val="00E860A7"/>
    <w:rsid w:val="00E86218"/>
    <w:rsid w:val="00E86F4F"/>
    <w:rsid w:val="00E87416"/>
    <w:rsid w:val="00E90BE2"/>
    <w:rsid w:val="00E90E13"/>
    <w:rsid w:val="00E910EC"/>
    <w:rsid w:val="00E912ED"/>
    <w:rsid w:val="00E915AB"/>
    <w:rsid w:val="00E91F23"/>
    <w:rsid w:val="00E92300"/>
    <w:rsid w:val="00E923B3"/>
    <w:rsid w:val="00E931FC"/>
    <w:rsid w:val="00E93E7A"/>
    <w:rsid w:val="00E94278"/>
    <w:rsid w:val="00E9552C"/>
    <w:rsid w:val="00E959D6"/>
    <w:rsid w:val="00E95BFD"/>
    <w:rsid w:val="00E95E70"/>
    <w:rsid w:val="00E9637B"/>
    <w:rsid w:val="00E9699E"/>
    <w:rsid w:val="00E97054"/>
    <w:rsid w:val="00E976B6"/>
    <w:rsid w:val="00E97866"/>
    <w:rsid w:val="00EA04BE"/>
    <w:rsid w:val="00EA08B3"/>
    <w:rsid w:val="00EA0F64"/>
    <w:rsid w:val="00EA31E1"/>
    <w:rsid w:val="00EA518D"/>
    <w:rsid w:val="00EA6CF3"/>
    <w:rsid w:val="00EA720D"/>
    <w:rsid w:val="00EA7539"/>
    <w:rsid w:val="00EB016A"/>
    <w:rsid w:val="00EB0CA0"/>
    <w:rsid w:val="00EB10A8"/>
    <w:rsid w:val="00EB193B"/>
    <w:rsid w:val="00EB1C1F"/>
    <w:rsid w:val="00EB22B5"/>
    <w:rsid w:val="00EB331B"/>
    <w:rsid w:val="00EB44FD"/>
    <w:rsid w:val="00EB7811"/>
    <w:rsid w:val="00EC05CF"/>
    <w:rsid w:val="00EC1235"/>
    <w:rsid w:val="00EC20C6"/>
    <w:rsid w:val="00EC2990"/>
    <w:rsid w:val="00EC2A16"/>
    <w:rsid w:val="00EC2E80"/>
    <w:rsid w:val="00EC57D0"/>
    <w:rsid w:val="00EC590D"/>
    <w:rsid w:val="00EC716A"/>
    <w:rsid w:val="00EC7223"/>
    <w:rsid w:val="00EC734F"/>
    <w:rsid w:val="00EC784C"/>
    <w:rsid w:val="00ED0357"/>
    <w:rsid w:val="00ED1B2D"/>
    <w:rsid w:val="00ED2105"/>
    <w:rsid w:val="00ED2652"/>
    <w:rsid w:val="00ED2D02"/>
    <w:rsid w:val="00ED2EA8"/>
    <w:rsid w:val="00ED482D"/>
    <w:rsid w:val="00ED509B"/>
    <w:rsid w:val="00ED5535"/>
    <w:rsid w:val="00ED5668"/>
    <w:rsid w:val="00ED59D6"/>
    <w:rsid w:val="00EE003D"/>
    <w:rsid w:val="00EE0405"/>
    <w:rsid w:val="00EE0D3B"/>
    <w:rsid w:val="00EE1004"/>
    <w:rsid w:val="00EE1828"/>
    <w:rsid w:val="00EE1BF8"/>
    <w:rsid w:val="00EE1D52"/>
    <w:rsid w:val="00EE1E25"/>
    <w:rsid w:val="00EE262F"/>
    <w:rsid w:val="00EE2F09"/>
    <w:rsid w:val="00EE4D89"/>
    <w:rsid w:val="00EE4DAE"/>
    <w:rsid w:val="00EE4E16"/>
    <w:rsid w:val="00EE5F51"/>
    <w:rsid w:val="00EE6013"/>
    <w:rsid w:val="00EE64C4"/>
    <w:rsid w:val="00EF24F5"/>
    <w:rsid w:val="00EF3111"/>
    <w:rsid w:val="00EF32D0"/>
    <w:rsid w:val="00EF387D"/>
    <w:rsid w:val="00EF3E62"/>
    <w:rsid w:val="00EF40F5"/>
    <w:rsid w:val="00EF4555"/>
    <w:rsid w:val="00EF4F2F"/>
    <w:rsid w:val="00EF5361"/>
    <w:rsid w:val="00EF542E"/>
    <w:rsid w:val="00EF5439"/>
    <w:rsid w:val="00EF6B9D"/>
    <w:rsid w:val="00F0091A"/>
    <w:rsid w:val="00F01BF4"/>
    <w:rsid w:val="00F01EB4"/>
    <w:rsid w:val="00F02F3A"/>
    <w:rsid w:val="00F07CF4"/>
    <w:rsid w:val="00F103B7"/>
    <w:rsid w:val="00F104BA"/>
    <w:rsid w:val="00F11AB9"/>
    <w:rsid w:val="00F12CFC"/>
    <w:rsid w:val="00F17B12"/>
    <w:rsid w:val="00F20B49"/>
    <w:rsid w:val="00F219BB"/>
    <w:rsid w:val="00F21B89"/>
    <w:rsid w:val="00F21C36"/>
    <w:rsid w:val="00F22468"/>
    <w:rsid w:val="00F247CD"/>
    <w:rsid w:val="00F256A2"/>
    <w:rsid w:val="00F25C89"/>
    <w:rsid w:val="00F26D5C"/>
    <w:rsid w:val="00F27A21"/>
    <w:rsid w:val="00F30F7C"/>
    <w:rsid w:val="00F31C37"/>
    <w:rsid w:val="00F31E06"/>
    <w:rsid w:val="00F32D7F"/>
    <w:rsid w:val="00F33247"/>
    <w:rsid w:val="00F332C4"/>
    <w:rsid w:val="00F33BED"/>
    <w:rsid w:val="00F33CE4"/>
    <w:rsid w:val="00F35C23"/>
    <w:rsid w:val="00F35EB6"/>
    <w:rsid w:val="00F37D22"/>
    <w:rsid w:val="00F40133"/>
    <w:rsid w:val="00F41458"/>
    <w:rsid w:val="00F4374C"/>
    <w:rsid w:val="00F44D5E"/>
    <w:rsid w:val="00F45A15"/>
    <w:rsid w:val="00F47B42"/>
    <w:rsid w:val="00F47E43"/>
    <w:rsid w:val="00F47EDA"/>
    <w:rsid w:val="00F50FF4"/>
    <w:rsid w:val="00F52D90"/>
    <w:rsid w:val="00F53E82"/>
    <w:rsid w:val="00F542F3"/>
    <w:rsid w:val="00F54540"/>
    <w:rsid w:val="00F54A92"/>
    <w:rsid w:val="00F54E35"/>
    <w:rsid w:val="00F55044"/>
    <w:rsid w:val="00F55666"/>
    <w:rsid w:val="00F568B0"/>
    <w:rsid w:val="00F57DE8"/>
    <w:rsid w:val="00F60441"/>
    <w:rsid w:val="00F61291"/>
    <w:rsid w:val="00F6192E"/>
    <w:rsid w:val="00F62863"/>
    <w:rsid w:val="00F62DE9"/>
    <w:rsid w:val="00F63869"/>
    <w:rsid w:val="00F63E3E"/>
    <w:rsid w:val="00F63EC4"/>
    <w:rsid w:val="00F646C3"/>
    <w:rsid w:val="00F65309"/>
    <w:rsid w:val="00F65FD8"/>
    <w:rsid w:val="00F661DB"/>
    <w:rsid w:val="00F66511"/>
    <w:rsid w:val="00F7051E"/>
    <w:rsid w:val="00F70C92"/>
    <w:rsid w:val="00F74D4E"/>
    <w:rsid w:val="00F754FC"/>
    <w:rsid w:val="00F7568B"/>
    <w:rsid w:val="00F7593E"/>
    <w:rsid w:val="00F7675B"/>
    <w:rsid w:val="00F77075"/>
    <w:rsid w:val="00F77E6F"/>
    <w:rsid w:val="00F77E84"/>
    <w:rsid w:val="00F82AC1"/>
    <w:rsid w:val="00F832E0"/>
    <w:rsid w:val="00F83635"/>
    <w:rsid w:val="00F84319"/>
    <w:rsid w:val="00F8466B"/>
    <w:rsid w:val="00F84B98"/>
    <w:rsid w:val="00F84F07"/>
    <w:rsid w:val="00F86C98"/>
    <w:rsid w:val="00F878B8"/>
    <w:rsid w:val="00F87935"/>
    <w:rsid w:val="00F9106F"/>
    <w:rsid w:val="00F91F74"/>
    <w:rsid w:val="00F92240"/>
    <w:rsid w:val="00F9257D"/>
    <w:rsid w:val="00F9288E"/>
    <w:rsid w:val="00F92AD4"/>
    <w:rsid w:val="00F9357D"/>
    <w:rsid w:val="00F9363D"/>
    <w:rsid w:val="00F94A4E"/>
    <w:rsid w:val="00F9595F"/>
    <w:rsid w:val="00F959C1"/>
    <w:rsid w:val="00F95A81"/>
    <w:rsid w:val="00F95B03"/>
    <w:rsid w:val="00F97950"/>
    <w:rsid w:val="00F97B8F"/>
    <w:rsid w:val="00FA020B"/>
    <w:rsid w:val="00FA07ED"/>
    <w:rsid w:val="00FA126E"/>
    <w:rsid w:val="00FA1774"/>
    <w:rsid w:val="00FA1FB0"/>
    <w:rsid w:val="00FA2117"/>
    <w:rsid w:val="00FA214D"/>
    <w:rsid w:val="00FA265E"/>
    <w:rsid w:val="00FA2889"/>
    <w:rsid w:val="00FA291F"/>
    <w:rsid w:val="00FA49FF"/>
    <w:rsid w:val="00FA4A5A"/>
    <w:rsid w:val="00FA4A5D"/>
    <w:rsid w:val="00FA5316"/>
    <w:rsid w:val="00FA5518"/>
    <w:rsid w:val="00FA7952"/>
    <w:rsid w:val="00FB0577"/>
    <w:rsid w:val="00FB2089"/>
    <w:rsid w:val="00FB2BC5"/>
    <w:rsid w:val="00FB2FD1"/>
    <w:rsid w:val="00FB3FFC"/>
    <w:rsid w:val="00FB46EF"/>
    <w:rsid w:val="00FB47DA"/>
    <w:rsid w:val="00FB4FA8"/>
    <w:rsid w:val="00FB563C"/>
    <w:rsid w:val="00FB5A36"/>
    <w:rsid w:val="00FB5C20"/>
    <w:rsid w:val="00FB5C52"/>
    <w:rsid w:val="00FB64F1"/>
    <w:rsid w:val="00FC06C3"/>
    <w:rsid w:val="00FC141C"/>
    <w:rsid w:val="00FC1A22"/>
    <w:rsid w:val="00FC2FF7"/>
    <w:rsid w:val="00FC3949"/>
    <w:rsid w:val="00FC3D45"/>
    <w:rsid w:val="00FC450C"/>
    <w:rsid w:val="00FC5055"/>
    <w:rsid w:val="00FC6E75"/>
    <w:rsid w:val="00FC7D3E"/>
    <w:rsid w:val="00FD1DAB"/>
    <w:rsid w:val="00FD2F2A"/>
    <w:rsid w:val="00FD33AC"/>
    <w:rsid w:val="00FD5B05"/>
    <w:rsid w:val="00FD5F26"/>
    <w:rsid w:val="00FE02D1"/>
    <w:rsid w:val="00FE059A"/>
    <w:rsid w:val="00FE098F"/>
    <w:rsid w:val="00FE126D"/>
    <w:rsid w:val="00FE216E"/>
    <w:rsid w:val="00FE2C25"/>
    <w:rsid w:val="00FE2DF0"/>
    <w:rsid w:val="00FE3C4E"/>
    <w:rsid w:val="00FE3C91"/>
    <w:rsid w:val="00FE473A"/>
    <w:rsid w:val="00FE581D"/>
    <w:rsid w:val="00FE5863"/>
    <w:rsid w:val="00FE5AE6"/>
    <w:rsid w:val="00FE5B41"/>
    <w:rsid w:val="00FE5CEF"/>
    <w:rsid w:val="00FE642E"/>
    <w:rsid w:val="00FE6502"/>
    <w:rsid w:val="00FE66D9"/>
    <w:rsid w:val="00FF1092"/>
    <w:rsid w:val="00FF147D"/>
    <w:rsid w:val="00FF192D"/>
    <w:rsid w:val="00FF2098"/>
    <w:rsid w:val="00FF38F4"/>
    <w:rsid w:val="00FF46D1"/>
    <w:rsid w:val="00FF5AF0"/>
    <w:rsid w:val="00FF6651"/>
    <w:rsid w:val="00FF6EF7"/>
    <w:rsid w:val="00FF6FCE"/>
    <w:rsid w:val="00FF7D3B"/>
    <w:rsid w:val="010416D0"/>
    <w:rsid w:val="010457BB"/>
    <w:rsid w:val="01087D1C"/>
    <w:rsid w:val="010D7985"/>
    <w:rsid w:val="011250B5"/>
    <w:rsid w:val="012C7BF7"/>
    <w:rsid w:val="01417567"/>
    <w:rsid w:val="014D047A"/>
    <w:rsid w:val="014D0EC0"/>
    <w:rsid w:val="01636E83"/>
    <w:rsid w:val="016B42D5"/>
    <w:rsid w:val="01745E8E"/>
    <w:rsid w:val="018378EB"/>
    <w:rsid w:val="01B22E75"/>
    <w:rsid w:val="01B42948"/>
    <w:rsid w:val="01BB1FB3"/>
    <w:rsid w:val="01CA2794"/>
    <w:rsid w:val="01CD539A"/>
    <w:rsid w:val="01D13A39"/>
    <w:rsid w:val="01DE37CB"/>
    <w:rsid w:val="020368CB"/>
    <w:rsid w:val="020F4208"/>
    <w:rsid w:val="02104E0C"/>
    <w:rsid w:val="0246078E"/>
    <w:rsid w:val="025320F2"/>
    <w:rsid w:val="025D7BD7"/>
    <w:rsid w:val="025E2E98"/>
    <w:rsid w:val="0269775A"/>
    <w:rsid w:val="028132C8"/>
    <w:rsid w:val="02925C80"/>
    <w:rsid w:val="02A142D6"/>
    <w:rsid w:val="02C25BBA"/>
    <w:rsid w:val="02C500FC"/>
    <w:rsid w:val="02DE442C"/>
    <w:rsid w:val="02EA4873"/>
    <w:rsid w:val="02EB1E41"/>
    <w:rsid w:val="02ED5B8E"/>
    <w:rsid w:val="030768D1"/>
    <w:rsid w:val="031318C3"/>
    <w:rsid w:val="031F41CC"/>
    <w:rsid w:val="03266AA7"/>
    <w:rsid w:val="03546191"/>
    <w:rsid w:val="035E53FD"/>
    <w:rsid w:val="03675EC4"/>
    <w:rsid w:val="03765BB3"/>
    <w:rsid w:val="039F19E2"/>
    <w:rsid w:val="039F42E4"/>
    <w:rsid w:val="03B231CE"/>
    <w:rsid w:val="03B2393A"/>
    <w:rsid w:val="03CA0C80"/>
    <w:rsid w:val="03E90D84"/>
    <w:rsid w:val="04004823"/>
    <w:rsid w:val="040F62E3"/>
    <w:rsid w:val="041F0478"/>
    <w:rsid w:val="04365445"/>
    <w:rsid w:val="04413471"/>
    <w:rsid w:val="045609B7"/>
    <w:rsid w:val="046E6DDE"/>
    <w:rsid w:val="04776320"/>
    <w:rsid w:val="047B0941"/>
    <w:rsid w:val="048554DC"/>
    <w:rsid w:val="048B5B19"/>
    <w:rsid w:val="049810DD"/>
    <w:rsid w:val="049D066B"/>
    <w:rsid w:val="049F0F6D"/>
    <w:rsid w:val="04A524BD"/>
    <w:rsid w:val="04B74621"/>
    <w:rsid w:val="04C71325"/>
    <w:rsid w:val="04D426FA"/>
    <w:rsid w:val="04D6042B"/>
    <w:rsid w:val="04F01DE7"/>
    <w:rsid w:val="05051BD7"/>
    <w:rsid w:val="050A1463"/>
    <w:rsid w:val="051D28D2"/>
    <w:rsid w:val="0528494B"/>
    <w:rsid w:val="05305904"/>
    <w:rsid w:val="05341081"/>
    <w:rsid w:val="05355BDA"/>
    <w:rsid w:val="05474423"/>
    <w:rsid w:val="0557577E"/>
    <w:rsid w:val="055D3FA5"/>
    <w:rsid w:val="05A16A35"/>
    <w:rsid w:val="05B21F98"/>
    <w:rsid w:val="05C96138"/>
    <w:rsid w:val="05D8725B"/>
    <w:rsid w:val="05EB4932"/>
    <w:rsid w:val="05ED7C26"/>
    <w:rsid w:val="061879F4"/>
    <w:rsid w:val="061C337B"/>
    <w:rsid w:val="06276F85"/>
    <w:rsid w:val="06585530"/>
    <w:rsid w:val="06B360EC"/>
    <w:rsid w:val="06BA402E"/>
    <w:rsid w:val="06CC0BA9"/>
    <w:rsid w:val="06D7509B"/>
    <w:rsid w:val="06E221FA"/>
    <w:rsid w:val="06EA1C53"/>
    <w:rsid w:val="06F82045"/>
    <w:rsid w:val="07031573"/>
    <w:rsid w:val="0755457D"/>
    <w:rsid w:val="075F333B"/>
    <w:rsid w:val="07686EC1"/>
    <w:rsid w:val="0775785B"/>
    <w:rsid w:val="077E6889"/>
    <w:rsid w:val="078B75F2"/>
    <w:rsid w:val="07936324"/>
    <w:rsid w:val="07AF29AA"/>
    <w:rsid w:val="07C94DF5"/>
    <w:rsid w:val="07CF4038"/>
    <w:rsid w:val="07F24761"/>
    <w:rsid w:val="080D25B0"/>
    <w:rsid w:val="080D4BE5"/>
    <w:rsid w:val="081862B7"/>
    <w:rsid w:val="08286C26"/>
    <w:rsid w:val="082F05D4"/>
    <w:rsid w:val="08321E90"/>
    <w:rsid w:val="086F6F1F"/>
    <w:rsid w:val="08720448"/>
    <w:rsid w:val="0895520F"/>
    <w:rsid w:val="089750F6"/>
    <w:rsid w:val="08C31FFD"/>
    <w:rsid w:val="08C51FE2"/>
    <w:rsid w:val="08C65EB2"/>
    <w:rsid w:val="08C928DA"/>
    <w:rsid w:val="08CD52A3"/>
    <w:rsid w:val="08D201F7"/>
    <w:rsid w:val="08E67426"/>
    <w:rsid w:val="08E80701"/>
    <w:rsid w:val="08F648FA"/>
    <w:rsid w:val="0902645A"/>
    <w:rsid w:val="090C0A67"/>
    <w:rsid w:val="091522FC"/>
    <w:rsid w:val="09180FEC"/>
    <w:rsid w:val="0926457E"/>
    <w:rsid w:val="093305F6"/>
    <w:rsid w:val="093E1A0B"/>
    <w:rsid w:val="094F40A1"/>
    <w:rsid w:val="09641F42"/>
    <w:rsid w:val="09686399"/>
    <w:rsid w:val="0969717F"/>
    <w:rsid w:val="09725813"/>
    <w:rsid w:val="097E3F67"/>
    <w:rsid w:val="099373E7"/>
    <w:rsid w:val="099D737B"/>
    <w:rsid w:val="09BC05EC"/>
    <w:rsid w:val="09D302F8"/>
    <w:rsid w:val="09DE7ED5"/>
    <w:rsid w:val="09E244F6"/>
    <w:rsid w:val="09E46732"/>
    <w:rsid w:val="09EC2B96"/>
    <w:rsid w:val="09FC5291"/>
    <w:rsid w:val="09FD5C6A"/>
    <w:rsid w:val="0A0478E0"/>
    <w:rsid w:val="0A0B142C"/>
    <w:rsid w:val="0A486323"/>
    <w:rsid w:val="0A4F1CC2"/>
    <w:rsid w:val="0A6236F4"/>
    <w:rsid w:val="0A714560"/>
    <w:rsid w:val="0A716B01"/>
    <w:rsid w:val="0A7D1661"/>
    <w:rsid w:val="0A8729A8"/>
    <w:rsid w:val="0AAB05DC"/>
    <w:rsid w:val="0AB12AAD"/>
    <w:rsid w:val="0AC04A3E"/>
    <w:rsid w:val="0AC8113D"/>
    <w:rsid w:val="0AD100C7"/>
    <w:rsid w:val="0AEC186B"/>
    <w:rsid w:val="0AFA64CB"/>
    <w:rsid w:val="0B052BD3"/>
    <w:rsid w:val="0B183C29"/>
    <w:rsid w:val="0B1E24E0"/>
    <w:rsid w:val="0B213F21"/>
    <w:rsid w:val="0B2D43BD"/>
    <w:rsid w:val="0B3C0E71"/>
    <w:rsid w:val="0B424D6B"/>
    <w:rsid w:val="0B5A65C0"/>
    <w:rsid w:val="0B603C91"/>
    <w:rsid w:val="0B69407C"/>
    <w:rsid w:val="0B7C0033"/>
    <w:rsid w:val="0B81216F"/>
    <w:rsid w:val="0BA535BA"/>
    <w:rsid w:val="0BC71EB5"/>
    <w:rsid w:val="0BDD6D45"/>
    <w:rsid w:val="0BDF7236"/>
    <w:rsid w:val="0BEA40E5"/>
    <w:rsid w:val="0BFA364D"/>
    <w:rsid w:val="0C203D65"/>
    <w:rsid w:val="0C381D7F"/>
    <w:rsid w:val="0C425295"/>
    <w:rsid w:val="0C51304B"/>
    <w:rsid w:val="0C55747D"/>
    <w:rsid w:val="0C681F7F"/>
    <w:rsid w:val="0C6F088F"/>
    <w:rsid w:val="0C757ED3"/>
    <w:rsid w:val="0CAC2668"/>
    <w:rsid w:val="0CAC5090"/>
    <w:rsid w:val="0CB55465"/>
    <w:rsid w:val="0CC46135"/>
    <w:rsid w:val="0CCD0E04"/>
    <w:rsid w:val="0CE93538"/>
    <w:rsid w:val="0CF875C7"/>
    <w:rsid w:val="0CFB2899"/>
    <w:rsid w:val="0D354EBC"/>
    <w:rsid w:val="0D42705A"/>
    <w:rsid w:val="0D436E32"/>
    <w:rsid w:val="0D454568"/>
    <w:rsid w:val="0D455F6D"/>
    <w:rsid w:val="0D474670"/>
    <w:rsid w:val="0D5A40C9"/>
    <w:rsid w:val="0D831390"/>
    <w:rsid w:val="0D9D3DDE"/>
    <w:rsid w:val="0DBE4FF5"/>
    <w:rsid w:val="0DBE5A53"/>
    <w:rsid w:val="0DC03D8A"/>
    <w:rsid w:val="0DCB50F9"/>
    <w:rsid w:val="0DD000B6"/>
    <w:rsid w:val="0DD73F1D"/>
    <w:rsid w:val="0DDE0DD9"/>
    <w:rsid w:val="0E295676"/>
    <w:rsid w:val="0E3A1449"/>
    <w:rsid w:val="0E474D12"/>
    <w:rsid w:val="0E5A4B8D"/>
    <w:rsid w:val="0E5B6625"/>
    <w:rsid w:val="0E5C288F"/>
    <w:rsid w:val="0E5E40AC"/>
    <w:rsid w:val="0E6354DA"/>
    <w:rsid w:val="0EBD5ABF"/>
    <w:rsid w:val="0ED403FD"/>
    <w:rsid w:val="0EF7630A"/>
    <w:rsid w:val="0EFA56DF"/>
    <w:rsid w:val="0F022F45"/>
    <w:rsid w:val="0F086EFC"/>
    <w:rsid w:val="0F264E85"/>
    <w:rsid w:val="0F2833C5"/>
    <w:rsid w:val="0F3965DC"/>
    <w:rsid w:val="0F525A5A"/>
    <w:rsid w:val="0F655282"/>
    <w:rsid w:val="0F6A5E06"/>
    <w:rsid w:val="0F7658A1"/>
    <w:rsid w:val="0F7F00F1"/>
    <w:rsid w:val="0F902CCD"/>
    <w:rsid w:val="0FAF605E"/>
    <w:rsid w:val="0FB34C8D"/>
    <w:rsid w:val="0FC449EB"/>
    <w:rsid w:val="0FCF529B"/>
    <w:rsid w:val="0FDC314E"/>
    <w:rsid w:val="0FDF0BB3"/>
    <w:rsid w:val="0FE508E3"/>
    <w:rsid w:val="0FF205F0"/>
    <w:rsid w:val="0FF51087"/>
    <w:rsid w:val="10142F30"/>
    <w:rsid w:val="10225986"/>
    <w:rsid w:val="102731E1"/>
    <w:rsid w:val="104A58B6"/>
    <w:rsid w:val="104C6855"/>
    <w:rsid w:val="10541363"/>
    <w:rsid w:val="106D5646"/>
    <w:rsid w:val="106F2E67"/>
    <w:rsid w:val="107B7E24"/>
    <w:rsid w:val="107D4FB7"/>
    <w:rsid w:val="1084680A"/>
    <w:rsid w:val="108840FD"/>
    <w:rsid w:val="10993D4D"/>
    <w:rsid w:val="10A92A68"/>
    <w:rsid w:val="10AE43A6"/>
    <w:rsid w:val="10F22276"/>
    <w:rsid w:val="1115722A"/>
    <w:rsid w:val="11210CC2"/>
    <w:rsid w:val="112C5753"/>
    <w:rsid w:val="113E50EE"/>
    <w:rsid w:val="114D016C"/>
    <w:rsid w:val="116264CE"/>
    <w:rsid w:val="116D5AEB"/>
    <w:rsid w:val="11A82935"/>
    <w:rsid w:val="11B14B7D"/>
    <w:rsid w:val="11B5429E"/>
    <w:rsid w:val="11BB22E4"/>
    <w:rsid w:val="11BB5642"/>
    <w:rsid w:val="11C5275B"/>
    <w:rsid w:val="11EF5C58"/>
    <w:rsid w:val="11F004AA"/>
    <w:rsid w:val="12044219"/>
    <w:rsid w:val="12091508"/>
    <w:rsid w:val="120E6325"/>
    <w:rsid w:val="12155B81"/>
    <w:rsid w:val="12190AED"/>
    <w:rsid w:val="1230601B"/>
    <w:rsid w:val="124E3F23"/>
    <w:rsid w:val="12531858"/>
    <w:rsid w:val="12561138"/>
    <w:rsid w:val="125C6E24"/>
    <w:rsid w:val="125E320E"/>
    <w:rsid w:val="125E5526"/>
    <w:rsid w:val="126444EB"/>
    <w:rsid w:val="127513B4"/>
    <w:rsid w:val="127E6DCA"/>
    <w:rsid w:val="128422EB"/>
    <w:rsid w:val="128568D3"/>
    <w:rsid w:val="128A7EEA"/>
    <w:rsid w:val="129764BC"/>
    <w:rsid w:val="12A617D0"/>
    <w:rsid w:val="12D422E9"/>
    <w:rsid w:val="12DF116C"/>
    <w:rsid w:val="132B3D06"/>
    <w:rsid w:val="132D60B6"/>
    <w:rsid w:val="134A0636"/>
    <w:rsid w:val="134F0723"/>
    <w:rsid w:val="13533D6F"/>
    <w:rsid w:val="13567B67"/>
    <w:rsid w:val="135E2875"/>
    <w:rsid w:val="13B6213F"/>
    <w:rsid w:val="13B744CB"/>
    <w:rsid w:val="13CB434D"/>
    <w:rsid w:val="13D16086"/>
    <w:rsid w:val="1403204C"/>
    <w:rsid w:val="14140182"/>
    <w:rsid w:val="14331F35"/>
    <w:rsid w:val="143358CF"/>
    <w:rsid w:val="143B3924"/>
    <w:rsid w:val="14496CDB"/>
    <w:rsid w:val="14690E3A"/>
    <w:rsid w:val="147E2723"/>
    <w:rsid w:val="149B422A"/>
    <w:rsid w:val="149E00D7"/>
    <w:rsid w:val="14C90162"/>
    <w:rsid w:val="14CD01E1"/>
    <w:rsid w:val="14E17DB7"/>
    <w:rsid w:val="14E80251"/>
    <w:rsid w:val="14F73119"/>
    <w:rsid w:val="14FB4D61"/>
    <w:rsid w:val="14FF41BE"/>
    <w:rsid w:val="1509149A"/>
    <w:rsid w:val="150C161A"/>
    <w:rsid w:val="154A7B84"/>
    <w:rsid w:val="155F624F"/>
    <w:rsid w:val="15640D44"/>
    <w:rsid w:val="15683064"/>
    <w:rsid w:val="15957736"/>
    <w:rsid w:val="15AA51CA"/>
    <w:rsid w:val="15B10359"/>
    <w:rsid w:val="15BC15D4"/>
    <w:rsid w:val="15C15A22"/>
    <w:rsid w:val="15C92F1A"/>
    <w:rsid w:val="15DD4874"/>
    <w:rsid w:val="15FF452F"/>
    <w:rsid w:val="16016360"/>
    <w:rsid w:val="160310AF"/>
    <w:rsid w:val="160A2580"/>
    <w:rsid w:val="1616228E"/>
    <w:rsid w:val="16285602"/>
    <w:rsid w:val="163B3EE9"/>
    <w:rsid w:val="16452817"/>
    <w:rsid w:val="165D45DD"/>
    <w:rsid w:val="165D493A"/>
    <w:rsid w:val="166045B3"/>
    <w:rsid w:val="1665769A"/>
    <w:rsid w:val="166B3D37"/>
    <w:rsid w:val="166F082A"/>
    <w:rsid w:val="16754CD4"/>
    <w:rsid w:val="16956398"/>
    <w:rsid w:val="16977247"/>
    <w:rsid w:val="16A3057A"/>
    <w:rsid w:val="16A57B54"/>
    <w:rsid w:val="16A8564B"/>
    <w:rsid w:val="16A95E65"/>
    <w:rsid w:val="16B17755"/>
    <w:rsid w:val="16C21616"/>
    <w:rsid w:val="16CA02A4"/>
    <w:rsid w:val="16D6070C"/>
    <w:rsid w:val="16FD5F63"/>
    <w:rsid w:val="17083812"/>
    <w:rsid w:val="170D2487"/>
    <w:rsid w:val="171410FC"/>
    <w:rsid w:val="17171C4A"/>
    <w:rsid w:val="17224FFB"/>
    <w:rsid w:val="172341EB"/>
    <w:rsid w:val="172F15EA"/>
    <w:rsid w:val="17307630"/>
    <w:rsid w:val="1734226D"/>
    <w:rsid w:val="173C495C"/>
    <w:rsid w:val="174024B0"/>
    <w:rsid w:val="17692FA4"/>
    <w:rsid w:val="17697955"/>
    <w:rsid w:val="17717889"/>
    <w:rsid w:val="17994A4A"/>
    <w:rsid w:val="179C7B46"/>
    <w:rsid w:val="17A16453"/>
    <w:rsid w:val="17A3726E"/>
    <w:rsid w:val="17A8092F"/>
    <w:rsid w:val="17BD40D2"/>
    <w:rsid w:val="17BF07D9"/>
    <w:rsid w:val="17BF5181"/>
    <w:rsid w:val="17C21A08"/>
    <w:rsid w:val="17C22E25"/>
    <w:rsid w:val="17CD0A29"/>
    <w:rsid w:val="17D3763F"/>
    <w:rsid w:val="17E0095D"/>
    <w:rsid w:val="17E61965"/>
    <w:rsid w:val="17E76B85"/>
    <w:rsid w:val="17F92DB9"/>
    <w:rsid w:val="17FE48F6"/>
    <w:rsid w:val="1800703F"/>
    <w:rsid w:val="180A176C"/>
    <w:rsid w:val="18195FF7"/>
    <w:rsid w:val="181F52F8"/>
    <w:rsid w:val="18456E5E"/>
    <w:rsid w:val="1853005E"/>
    <w:rsid w:val="185A16FC"/>
    <w:rsid w:val="186E67E3"/>
    <w:rsid w:val="1873245A"/>
    <w:rsid w:val="188129AF"/>
    <w:rsid w:val="18814E44"/>
    <w:rsid w:val="188321F1"/>
    <w:rsid w:val="18A7772D"/>
    <w:rsid w:val="191A5A3C"/>
    <w:rsid w:val="19231E39"/>
    <w:rsid w:val="192C0B32"/>
    <w:rsid w:val="197827C8"/>
    <w:rsid w:val="197D517F"/>
    <w:rsid w:val="199C184A"/>
    <w:rsid w:val="199C75F9"/>
    <w:rsid w:val="19B12CC6"/>
    <w:rsid w:val="19B17D71"/>
    <w:rsid w:val="19F60602"/>
    <w:rsid w:val="1A0852A8"/>
    <w:rsid w:val="1A0A3567"/>
    <w:rsid w:val="1A1228DA"/>
    <w:rsid w:val="1A332204"/>
    <w:rsid w:val="1A3A17E5"/>
    <w:rsid w:val="1A5D0570"/>
    <w:rsid w:val="1A661D2E"/>
    <w:rsid w:val="1A69195A"/>
    <w:rsid w:val="1A787C3A"/>
    <w:rsid w:val="1A8623D7"/>
    <w:rsid w:val="1A874C1A"/>
    <w:rsid w:val="1A9768B8"/>
    <w:rsid w:val="1AD44508"/>
    <w:rsid w:val="1AE11965"/>
    <w:rsid w:val="1AEF160A"/>
    <w:rsid w:val="1AF51DF3"/>
    <w:rsid w:val="1AF87DE1"/>
    <w:rsid w:val="1B18590F"/>
    <w:rsid w:val="1B494A52"/>
    <w:rsid w:val="1B5D2C68"/>
    <w:rsid w:val="1B6A60FA"/>
    <w:rsid w:val="1B731801"/>
    <w:rsid w:val="1B8862B8"/>
    <w:rsid w:val="1B8D755C"/>
    <w:rsid w:val="1BA24338"/>
    <w:rsid w:val="1BB823FD"/>
    <w:rsid w:val="1BD1311E"/>
    <w:rsid w:val="1BD34109"/>
    <w:rsid w:val="1C171F02"/>
    <w:rsid w:val="1C282ECB"/>
    <w:rsid w:val="1C3B154C"/>
    <w:rsid w:val="1C3F17B5"/>
    <w:rsid w:val="1C5947E1"/>
    <w:rsid w:val="1C7020CB"/>
    <w:rsid w:val="1C822255"/>
    <w:rsid w:val="1C8F460D"/>
    <w:rsid w:val="1CA60404"/>
    <w:rsid w:val="1CD90B8F"/>
    <w:rsid w:val="1CDC37CD"/>
    <w:rsid w:val="1CFC6AF6"/>
    <w:rsid w:val="1D3B7B21"/>
    <w:rsid w:val="1D3C7994"/>
    <w:rsid w:val="1D3F365B"/>
    <w:rsid w:val="1D4D078D"/>
    <w:rsid w:val="1D7E7727"/>
    <w:rsid w:val="1DA34F0E"/>
    <w:rsid w:val="1DB152A8"/>
    <w:rsid w:val="1DD2641D"/>
    <w:rsid w:val="1DDF1D83"/>
    <w:rsid w:val="1DE55C9C"/>
    <w:rsid w:val="1E084BA2"/>
    <w:rsid w:val="1E195BB5"/>
    <w:rsid w:val="1E2C4E72"/>
    <w:rsid w:val="1E2E78B2"/>
    <w:rsid w:val="1E3E33B1"/>
    <w:rsid w:val="1E560A60"/>
    <w:rsid w:val="1E5D1F46"/>
    <w:rsid w:val="1E5E31B8"/>
    <w:rsid w:val="1E8D1963"/>
    <w:rsid w:val="1E911BEF"/>
    <w:rsid w:val="1EBE453C"/>
    <w:rsid w:val="1ED16A0B"/>
    <w:rsid w:val="1ED65854"/>
    <w:rsid w:val="1ED80307"/>
    <w:rsid w:val="1EF15F4B"/>
    <w:rsid w:val="1EFF44A0"/>
    <w:rsid w:val="1F020D18"/>
    <w:rsid w:val="1F0A1CAD"/>
    <w:rsid w:val="1F1A19B4"/>
    <w:rsid w:val="1F1B3546"/>
    <w:rsid w:val="1F1E23D1"/>
    <w:rsid w:val="1F2479C9"/>
    <w:rsid w:val="1F253549"/>
    <w:rsid w:val="1F261AB2"/>
    <w:rsid w:val="1F48677A"/>
    <w:rsid w:val="1F6E657F"/>
    <w:rsid w:val="1FB3491D"/>
    <w:rsid w:val="1FBD5144"/>
    <w:rsid w:val="1FBF3C1C"/>
    <w:rsid w:val="1FE83A91"/>
    <w:rsid w:val="1FF313BB"/>
    <w:rsid w:val="20042BAF"/>
    <w:rsid w:val="20053857"/>
    <w:rsid w:val="202565B9"/>
    <w:rsid w:val="20541126"/>
    <w:rsid w:val="20554299"/>
    <w:rsid w:val="207A7D0E"/>
    <w:rsid w:val="208412FA"/>
    <w:rsid w:val="20967991"/>
    <w:rsid w:val="20AB69D2"/>
    <w:rsid w:val="20AD6601"/>
    <w:rsid w:val="20AF45AF"/>
    <w:rsid w:val="20BC28ED"/>
    <w:rsid w:val="20F44EB8"/>
    <w:rsid w:val="210516E4"/>
    <w:rsid w:val="211F34E2"/>
    <w:rsid w:val="21467805"/>
    <w:rsid w:val="214B3D98"/>
    <w:rsid w:val="21784D94"/>
    <w:rsid w:val="217F1B02"/>
    <w:rsid w:val="21A3329B"/>
    <w:rsid w:val="21B467C0"/>
    <w:rsid w:val="21BA2A12"/>
    <w:rsid w:val="21EC35E7"/>
    <w:rsid w:val="21F275DC"/>
    <w:rsid w:val="21FB217D"/>
    <w:rsid w:val="21FE53C9"/>
    <w:rsid w:val="220520F0"/>
    <w:rsid w:val="2207175D"/>
    <w:rsid w:val="22366017"/>
    <w:rsid w:val="22394A78"/>
    <w:rsid w:val="224A3FAC"/>
    <w:rsid w:val="22514CF2"/>
    <w:rsid w:val="22594C2E"/>
    <w:rsid w:val="228F5F0E"/>
    <w:rsid w:val="229301BF"/>
    <w:rsid w:val="229633C5"/>
    <w:rsid w:val="229853EE"/>
    <w:rsid w:val="229E5582"/>
    <w:rsid w:val="22AC4828"/>
    <w:rsid w:val="22CB010F"/>
    <w:rsid w:val="22DA6B1E"/>
    <w:rsid w:val="22E55AD1"/>
    <w:rsid w:val="22E62420"/>
    <w:rsid w:val="22E7257A"/>
    <w:rsid w:val="22FE2917"/>
    <w:rsid w:val="23071FF0"/>
    <w:rsid w:val="23075965"/>
    <w:rsid w:val="23123E05"/>
    <w:rsid w:val="23174D38"/>
    <w:rsid w:val="232B0D04"/>
    <w:rsid w:val="233723C9"/>
    <w:rsid w:val="2369138D"/>
    <w:rsid w:val="23756C34"/>
    <w:rsid w:val="237E2DED"/>
    <w:rsid w:val="238113F6"/>
    <w:rsid w:val="238C4714"/>
    <w:rsid w:val="239434E5"/>
    <w:rsid w:val="23A70E06"/>
    <w:rsid w:val="23BE0D8A"/>
    <w:rsid w:val="23C35A13"/>
    <w:rsid w:val="23C7533F"/>
    <w:rsid w:val="23CB7870"/>
    <w:rsid w:val="23EF1892"/>
    <w:rsid w:val="23F944BF"/>
    <w:rsid w:val="24395966"/>
    <w:rsid w:val="243F1868"/>
    <w:rsid w:val="244E3D53"/>
    <w:rsid w:val="246603BE"/>
    <w:rsid w:val="24695F02"/>
    <w:rsid w:val="249319E9"/>
    <w:rsid w:val="24946D94"/>
    <w:rsid w:val="249C399D"/>
    <w:rsid w:val="249F5E49"/>
    <w:rsid w:val="24AF11FC"/>
    <w:rsid w:val="24C148B0"/>
    <w:rsid w:val="24CA3EAF"/>
    <w:rsid w:val="24E06560"/>
    <w:rsid w:val="24EC54D2"/>
    <w:rsid w:val="24F86DB6"/>
    <w:rsid w:val="24FF6F33"/>
    <w:rsid w:val="25132028"/>
    <w:rsid w:val="2551040F"/>
    <w:rsid w:val="255B1EC7"/>
    <w:rsid w:val="256A7902"/>
    <w:rsid w:val="257439A3"/>
    <w:rsid w:val="257459D4"/>
    <w:rsid w:val="25B53CA1"/>
    <w:rsid w:val="25CD2D74"/>
    <w:rsid w:val="25EC41E4"/>
    <w:rsid w:val="26152813"/>
    <w:rsid w:val="262B318D"/>
    <w:rsid w:val="26315AFC"/>
    <w:rsid w:val="264A074B"/>
    <w:rsid w:val="264A1CCB"/>
    <w:rsid w:val="264D4A70"/>
    <w:rsid w:val="26515EB2"/>
    <w:rsid w:val="26662F12"/>
    <w:rsid w:val="268D619E"/>
    <w:rsid w:val="2694273C"/>
    <w:rsid w:val="26963226"/>
    <w:rsid w:val="26C36D5F"/>
    <w:rsid w:val="26D75F6F"/>
    <w:rsid w:val="26E565DB"/>
    <w:rsid w:val="26EC3BEF"/>
    <w:rsid w:val="26F23D33"/>
    <w:rsid w:val="27123CBB"/>
    <w:rsid w:val="2714160F"/>
    <w:rsid w:val="273A20B3"/>
    <w:rsid w:val="2756564D"/>
    <w:rsid w:val="27687A55"/>
    <w:rsid w:val="276A4A82"/>
    <w:rsid w:val="27C40759"/>
    <w:rsid w:val="27D56E27"/>
    <w:rsid w:val="27E708D7"/>
    <w:rsid w:val="27EA3E46"/>
    <w:rsid w:val="27EC6E59"/>
    <w:rsid w:val="27F77914"/>
    <w:rsid w:val="27F85438"/>
    <w:rsid w:val="281632B0"/>
    <w:rsid w:val="28192950"/>
    <w:rsid w:val="28253777"/>
    <w:rsid w:val="2829487E"/>
    <w:rsid w:val="2858231E"/>
    <w:rsid w:val="286B4664"/>
    <w:rsid w:val="286D65DE"/>
    <w:rsid w:val="286F4B9A"/>
    <w:rsid w:val="28A548FD"/>
    <w:rsid w:val="28A76BA9"/>
    <w:rsid w:val="28AB1AFF"/>
    <w:rsid w:val="28B62DCE"/>
    <w:rsid w:val="28C12C58"/>
    <w:rsid w:val="28CB17E8"/>
    <w:rsid w:val="28CF41EB"/>
    <w:rsid w:val="28D15861"/>
    <w:rsid w:val="28DC56B4"/>
    <w:rsid w:val="28DC5EA4"/>
    <w:rsid w:val="2902001C"/>
    <w:rsid w:val="290652AA"/>
    <w:rsid w:val="291E6AD0"/>
    <w:rsid w:val="29427A44"/>
    <w:rsid w:val="29456FBE"/>
    <w:rsid w:val="29474D55"/>
    <w:rsid w:val="29516251"/>
    <w:rsid w:val="295B5133"/>
    <w:rsid w:val="295C48C4"/>
    <w:rsid w:val="29652DD4"/>
    <w:rsid w:val="2975339C"/>
    <w:rsid w:val="297661E9"/>
    <w:rsid w:val="29A32A80"/>
    <w:rsid w:val="29A52C4D"/>
    <w:rsid w:val="29C8065E"/>
    <w:rsid w:val="29D46839"/>
    <w:rsid w:val="29D93241"/>
    <w:rsid w:val="29FD51A1"/>
    <w:rsid w:val="2A0730C3"/>
    <w:rsid w:val="2A1262DA"/>
    <w:rsid w:val="2A1627C6"/>
    <w:rsid w:val="2A3713D5"/>
    <w:rsid w:val="2A3E5BC8"/>
    <w:rsid w:val="2A404544"/>
    <w:rsid w:val="2A446887"/>
    <w:rsid w:val="2A4C0FCB"/>
    <w:rsid w:val="2A617867"/>
    <w:rsid w:val="2A6527AC"/>
    <w:rsid w:val="2A737D83"/>
    <w:rsid w:val="2A7D7C17"/>
    <w:rsid w:val="2A8D1599"/>
    <w:rsid w:val="2A9750AF"/>
    <w:rsid w:val="2AC36A18"/>
    <w:rsid w:val="2B03391C"/>
    <w:rsid w:val="2B065393"/>
    <w:rsid w:val="2B113454"/>
    <w:rsid w:val="2B6966E1"/>
    <w:rsid w:val="2B7902F8"/>
    <w:rsid w:val="2B7A2C4D"/>
    <w:rsid w:val="2B803135"/>
    <w:rsid w:val="2B880314"/>
    <w:rsid w:val="2B914C21"/>
    <w:rsid w:val="2B996587"/>
    <w:rsid w:val="2B9C744E"/>
    <w:rsid w:val="2BA01329"/>
    <w:rsid w:val="2BAA5B01"/>
    <w:rsid w:val="2BAB3D7C"/>
    <w:rsid w:val="2BAF7CE0"/>
    <w:rsid w:val="2BB05FF2"/>
    <w:rsid w:val="2BB11227"/>
    <w:rsid w:val="2BD9646E"/>
    <w:rsid w:val="2BF44B6C"/>
    <w:rsid w:val="2BF84702"/>
    <w:rsid w:val="2C111C4E"/>
    <w:rsid w:val="2C177CD2"/>
    <w:rsid w:val="2C2661CB"/>
    <w:rsid w:val="2C2D3207"/>
    <w:rsid w:val="2C355C30"/>
    <w:rsid w:val="2C3D4960"/>
    <w:rsid w:val="2C415298"/>
    <w:rsid w:val="2C503DCB"/>
    <w:rsid w:val="2C5129BE"/>
    <w:rsid w:val="2C545C2A"/>
    <w:rsid w:val="2C827A9B"/>
    <w:rsid w:val="2C95730F"/>
    <w:rsid w:val="2CA927FA"/>
    <w:rsid w:val="2CAE0BF0"/>
    <w:rsid w:val="2CCC0E1D"/>
    <w:rsid w:val="2CCD1003"/>
    <w:rsid w:val="2CCD42F6"/>
    <w:rsid w:val="2CCD4960"/>
    <w:rsid w:val="2CCD64E8"/>
    <w:rsid w:val="2CEA709A"/>
    <w:rsid w:val="2CFE0E33"/>
    <w:rsid w:val="2D2036F2"/>
    <w:rsid w:val="2D233A71"/>
    <w:rsid w:val="2D273C2E"/>
    <w:rsid w:val="2D2C4131"/>
    <w:rsid w:val="2D4A12A0"/>
    <w:rsid w:val="2D4F41F6"/>
    <w:rsid w:val="2D546562"/>
    <w:rsid w:val="2D55249B"/>
    <w:rsid w:val="2D5564C3"/>
    <w:rsid w:val="2D6159FC"/>
    <w:rsid w:val="2D75014C"/>
    <w:rsid w:val="2D7B49F7"/>
    <w:rsid w:val="2D9E0720"/>
    <w:rsid w:val="2D9E7749"/>
    <w:rsid w:val="2DAC4A35"/>
    <w:rsid w:val="2DF05FF6"/>
    <w:rsid w:val="2E0816F9"/>
    <w:rsid w:val="2E547C76"/>
    <w:rsid w:val="2E636C59"/>
    <w:rsid w:val="2E6F7A4E"/>
    <w:rsid w:val="2E70125D"/>
    <w:rsid w:val="2E895B31"/>
    <w:rsid w:val="2E932DCB"/>
    <w:rsid w:val="2EA01138"/>
    <w:rsid w:val="2EC92CDF"/>
    <w:rsid w:val="2ECF511C"/>
    <w:rsid w:val="2ED735A2"/>
    <w:rsid w:val="2EE24C44"/>
    <w:rsid w:val="2EF06257"/>
    <w:rsid w:val="2F081A04"/>
    <w:rsid w:val="2F3605D7"/>
    <w:rsid w:val="2F403AC2"/>
    <w:rsid w:val="2F407445"/>
    <w:rsid w:val="2F416D1A"/>
    <w:rsid w:val="2F4E33CE"/>
    <w:rsid w:val="2F5527C5"/>
    <w:rsid w:val="2F6938AF"/>
    <w:rsid w:val="2F734E5C"/>
    <w:rsid w:val="2F8040C7"/>
    <w:rsid w:val="2F824C4F"/>
    <w:rsid w:val="2F8E3E77"/>
    <w:rsid w:val="2F9140F6"/>
    <w:rsid w:val="2FB9776B"/>
    <w:rsid w:val="2FBD57FF"/>
    <w:rsid w:val="2FC83702"/>
    <w:rsid w:val="2FCF0B5D"/>
    <w:rsid w:val="2FDD5148"/>
    <w:rsid w:val="300F1DB7"/>
    <w:rsid w:val="30212652"/>
    <w:rsid w:val="30303586"/>
    <w:rsid w:val="303A28E9"/>
    <w:rsid w:val="30556F21"/>
    <w:rsid w:val="30716D5E"/>
    <w:rsid w:val="307A33FC"/>
    <w:rsid w:val="308B5554"/>
    <w:rsid w:val="30A259A9"/>
    <w:rsid w:val="310757C9"/>
    <w:rsid w:val="310A276C"/>
    <w:rsid w:val="311252FD"/>
    <w:rsid w:val="3119177A"/>
    <w:rsid w:val="311B04E6"/>
    <w:rsid w:val="311F6A83"/>
    <w:rsid w:val="3121752A"/>
    <w:rsid w:val="313D6E09"/>
    <w:rsid w:val="31475523"/>
    <w:rsid w:val="315A5AFA"/>
    <w:rsid w:val="315D4487"/>
    <w:rsid w:val="316B4522"/>
    <w:rsid w:val="317B02E4"/>
    <w:rsid w:val="31892F8E"/>
    <w:rsid w:val="318D53A5"/>
    <w:rsid w:val="318F2F55"/>
    <w:rsid w:val="31A907C5"/>
    <w:rsid w:val="31D363EE"/>
    <w:rsid w:val="31DD527D"/>
    <w:rsid w:val="31EA07D6"/>
    <w:rsid w:val="31ED31A7"/>
    <w:rsid w:val="31FA7E55"/>
    <w:rsid w:val="320E33CE"/>
    <w:rsid w:val="32144F9E"/>
    <w:rsid w:val="321D7D80"/>
    <w:rsid w:val="3228494F"/>
    <w:rsid w:val="322D02F0"/>
    <w:rsid w:val="3254454A"/>
    <w:rsid w:val="3280799F"/>
    <w:rsid w:val="32931A20"/>
    <w:rsid w:val="32A465AF"/>
    <w:rsid w:val="32AC3F4D"/>
    <w:rsid w:val="32BF290C"/>
    <w:rsid w:val="32CA21A8"/>
    <w:rsid w:val="32D30981"/>
    <w:rsid w:val="32DF4CDA"/>
    <w:rsid w:val="32E65C88"/>
    <w:rsid w:val="32EA3B2B"/>
    <w:rsid w:val="32F64195"/>
    <w:rsid w:val="33122B1C"/>
    <w:rsid w:val="33222E5D"/>
    <w:rsid w:val="332E1152"/>
    <w:rsid w:val="33341288"/>
    <w:rsid w:val="33356E3D"/>
    <w:rsid w:val="33432E9B"/>
    <w:rsid w:val="33791699"/>
    <w:rsid w:val="338867A4"/>
    <w:rsid w:val="33B12AF9"/>
    <w:rsid w:val="33C52F24"/>
    <w:rsid w:val="33D123A2"/>
    <w:rsid w:val="33F168CF"/>
    <w:rsid w:val="33F55DD6"/>
    <w:rsid w:val="340C5AC7"/>
    <w:rsid w:val="341A1000"/>
    <w:rsid w:val="342467D8"/>
    <w:rsid w:val="34386A4F"/>
    <w:rsid w:val="344C063B"/>
    <w:rsid w:val="34537939"/>
    <w:rsid w:val="345A332B"/>
    <w:rsid w:val="34626941"/>
    <w:rsid w:val="346B6F71"/>
    <w:rsid w:val="346C2BBD"/>
    <w:rsid w:val="34840090"/>
    <w:rsid w:val="34B36301"/>
    <w:rsid w:val="34C226AB"/>
    <w:rsid w:val="34D643A8"/>
    <w:rsid w:val="34E314EC"/>
    <w:rsid w:val="34E34F2D"/>
    <w:rsid w:val="34E62036"/>
    <w:rsid w:val="34EF21DB"/>
    <w:rsid w:val="34F01128"/>
    <w:rsid w:val="35004FE2"/>
    <w:rsid w:val="35550585"/>
    <w:rsid w:val="355A7743"/>
    <w:rsid w:val="355C48AD"/>
    <w:rsid w:val="35643762"/>
    <w:rsid w:val="3574263E"/>
    <w:rsid w:val="35912ADA"/>
    <w:rsid w:val="35954A96"/>
    <w:rsid w:val="35AB736C"/>
    <w:rsid w:val="35DF27E3"/>
    <w:rsid w:val="35ED7B84"/>
    <w:rsid w:val="3603498F"/>
    <w:rsid w:val="360C07DC"/>
    <w:rsid w:val="36126AF0"/>
    <w:rsid w:val="36193A64"/>
    <w:rsid w:val="362133EC"/>
    <w:rsid w:val="363B68C7"/>
    <w:rsid w:val="36466B1A"/>
    <w:rsid w:val="364720CB"/>
    <w:rsid w:val="366559E4"/>
    <w:rsid w:val="36686080"/>
    <w:rsid w:val="3671418E"/>
    <w:rsid w:val="368C7266"/>
    <w:rsid w:val="3692680B"/>
    <w:rsid w:val="36A45B66"/>
    <w:rsid w:val="36B9746D"/>
    <w:rsid w:val="36BB3856"/>
    <w:rsid w:val="36BE54BC"/>
    <w:rsid w:val="36CA48F4"/>
    <w:rsid w:val="36CB140C"/>
    <w:rsid w:val="36D22981"/>
    <w:rsid w:val="36D31483"/>
    <w:rsid w:val="36DC55D9"/>
    <w:rsid w:val="36DD2C41"/>
    <w:rsid w:val="36E35FF8"/>
    <w:rsid w:val="36F11025"/>
    <w:rsid w:val="36FC6473"/>
    <w:rsid w:val="37047173"/>
    <w:rsid w:val="37217877"/>
    <w:rsid w:val="37440962"/>
    <w:rsid w:val="37606D06"/>
    <w:rsid w:val="3764121C"/>
    <w:rsid w:val="37736ADA"/>
    <w:rsid w:val="37976024"/>
    <w:rsid w:val="37D01F19"/>
    <w:rsid w:val="37D973E2"/>
    <w:rsid w:val="37EE3326"/>
    <w:rsid w:val="383F7FAC"/>
    <w:rsid w:val="384F1AAA"/>
    <w:rsid w:val="385B56F4"/>
    <w:rsid w:val="387B14EE"/>
    <w:rsid w:val="387D7FFA"/>
    <w:rsid w:val="38A15F48"/>
    <w:rsid w:val="38BA3B13"/>
    <w:rsid w:val="38D75295"/>
    <w:rsid w:val="39036C3B"/>
    <w:rsid w:val="391F3BD0"/>
    <w:rsid w:val="39257DDA"/>
    <w:rsid w:val="3929435D"/>
    <w:rsid w:val="392B2497"/>
    <w:rsid w:val="392D4FFE"/>
    <w:rsid w:val="39316119"/>
    <w:rsid w:val="39440D68"/>
    <w:rsid w:val="395221DE"/>
    <w:rsid w:val="396942F0"/>
    <w:rsid w:val="39707F47"/>
    <w:rsid w:val="39726252"/>
    <w:rsid w:val="398D3BE3"/>
    <w:rsid w:val="39A9232A"/>
    <w:rsid w:val="39C10E2C"/>
    <w:rsid w:val="39CB6383"/>
    <w:rsid w:val="39DE7CE5"/>
    <w:rsid w:val="39DF2B9B"/>
    <w:rsid w:val="39E215D1"/>
    <w:rsid w:val="39F04A91"/>
    <w:rsid w:val="3A03223E"/>
    <w:rsid w:val="3A0467BD"/>
    <w:rsid w:val="3A1817E9"/>
    <w:rsid w:val="3A2A2AA7"/>
    <w:rsid w:val="3A2F6C9C"/>
    <w:rsid w:val="3A321395"/>
    <w:rsid w:val="3A3E50A4"/>
    <w:rsid w:val="3A4429B8"/>
    <w:rsid w:val="3A482009"/>
    <w:rsid w:val="3A4A25C0"/>
    <w:rsid w:val="3A560B03"/>
    <w:rsid w:val="3A6671FE"/>
    <w:rsid w:val="3A6B53FF"/>
    <w:rsid w:val="3A7566C5"/>
    <w:rsid w:val="3A846974"/>
    <w:rsid w:val="3A960A79"/>
    <w:rsid w:val="3A9F22D8"/>
    <w:rsid w:val="3AA03C11"/>
    <w:rsid w:val="3AA654F6"/>
    <w:rsid w:val="3AAC6949"/>
    <w:rsid w:val="3ABF0448"/>
    <w:rsid w:val="3AE633EB"/>
    <w:rsid w:val="3AF61FE4"/>
    <w:rsid w:val="3AFB2434"/>
    <w:rsid w:val="3B015B85"/>
    <w:rsid w:val="3B076041"/>
    <w:rsid w:val="3B0B3888"/>
    <w:rsid w:val="3B154F59"/>
    <w:rsid w:val="3B156C15"/>
    <w:rsid w:val="3B17558F"/>
    <w:rsid w:val="3B34602D"/>
    <w:rsid w:val="3B394C81"/>
    <w:rsid w:val="3B411E02"/>
    <w:rsid w:val="3B4D29EE"/>
    <w:rsid w:val="3B8B1A48"/>
    <w:rsid w:val="3BC00BC4"/>
    <w:rsid w:val="3BE26FED"/>
    <w:rsid w:val="3BFF2436"/>
    <w:rsid w:val="3C06263F"/>
    <w:rsid w:val="3C0F3629"/>
    <w:rsid w:val="3C262DD2"/>
    <w:rsid w:val="3C2961C4"/>
    <w:rsid w:val="3C495016"/>
    <w:rsid w:val="3C601127"/>
    <w:rsid w:val="3C683B38"/>
    <w:rsid w:val="3C691AF5"/>
    <w:rsid w:val="3C71267E"/>
    <w:rsid w:val="3C7F5257"/>
    <w:rsid w:val="3C880EE2"/>
    <w:rsid w:val="3C8F5692"/>
    <w:rsid w:val="3C921D0F"/>
    <w:rsid w:val="3CAD5676"/>
    <w:rsid w:val="3CB2375D"/>
    <w:rsid w:val="3CB420F3"/>
    <w:rsid w:val="3CC9339B"/>
    <w:rsid w:val="3CCF25C9"/>
    <w:rsid w:val="3CD101B4"/>
    <w:rsid w:val="3CFB3D19"/>
    <w:rsid w:val="3D0E7267"/>
    <w:rsid w:val="3D1A3E34"/>
    <w:rsid w:val="3D31187C"/>
    <w:rsid w:val="3D393726"/>
    <w:rsid w:val="3D4071FF"/>
    <w:rsid w:val="3D475B3C"/>
    <w:rsid w:val="3D4B0126"/>
    <w:rsid w:val="3D5F318D"/>
    <w:rsid w:val="3D6F432C"/>
    <w:rsid w:val="3D74475E"/>
    <w:rsid w:val="3D935F52"/>
    <w:rsid w:val="3DA13C94"/>
    <w:rsid w:val="3DA9506B"/>
    <w:rsid w:val="3DBE167A"/>
    <w:rsid w:val="3DCC3CDB"/>
    <w:rsid w:val="3E0757C2"/>
    <w:rsid w:val="3E1327DA"/>
    <w:rsid w:val="3E3D26A5"/>
    <w:rsid w:val="3E4A1C2C"/>
    <w:rsid w:val="3E521511"/>
    <w:rsid w:val="3E89308D"/>
    <w:rsid w:val="3E8E1161"/>
    <w:rsid w:val="3EA00DD4"/>
    <w:rsid w:val="3EA01963"/>
    <w:rsid w:val="3EA15D23"/>
    <w:rsid w:val="3F024ADA"/>
    <w:rsid w:val="3F0C17C8"/>
    <w:rsid w:val="3F1739F2"/>
    <w:rsid w:val="3F232222"/>
    <w:rsid w:val="3F2B5795"/>
    <w:rsid w:val="3F302A1C"/>
    <w:rsid w:val="3F373133"/>
    <w:rsid w:val="3F485251"/>
    <w:rsid w:val="3F585F31"/>
    <w:rsid w:val="3F6C4E59"/>
    <w:rsid w:val="3F79309F"/>
    <w:rsid w:val="3F7C5075"/>
    <w:rsid w:val="3F844B55"/>
    <w:rsid w:val="3F84512C"/>
    <w:rsid w:val="3F8D790F"/>
    <w:rsid w:val="3F9104E5"/>
    <w:rsid w:val="3FAA27D6"/>
    <w:rsid w:val="3FBA76E1"/>
    <w:rsid w:val="3FC66092"/>
    <w:rsid w:val="3FD638FB"/>
    <w:rsid w:val="3FE76628"/>
    <w:rsid w:val="3FEB51AC"/>
    <w:rsid w:val="3FFE4C0F"/>
    <w:rsid w:val="3FFF464F"/>
    <w:rsid w:val="40020BBF"/>
    <w:rsid w:val="400973E0"/>
    <w:rsid w:val="400A0B34"/>
    <w:rsid w:val="401F39E9"/>
    <w:rsid w:val="40204729"/>
    <w:rsid w:val="402E5098"/>
    <w:rsid w:val="403E536C"/>
    <w:rsid w:val="4057639D"/>
    <w:rsid w:val="406E3172"/>
    <w:rsid w:val="40781B63"/>
    <w:rsid w:val="40A337A8"/>
    <w:rsid w:val="40A623F8"/>
    <w:rsid w:val="40B4416E"/>
    <w:rsid w:val="40D53692"/>
    <w:rsid w:val="40D600EA"/>
    <w:rsid w:val="40DF0343"/>
    <w:rsid w:val="40E817BA"/>
    <w:rsid w:val="410F42F1"/>
    <w:rsid w:val="4125649B"/>
    <w:rsid w:val="412D70FE"/>
    <w:rsid w:val="412F6713"/>
    <w:rsid w:val="41410DFB"/>
    <w:rsid w:val="414C5983"/>
    <w:rsid w:val="41641C9D"/>
    <w:rsid w:val="41667A07"/>
    <w:rsid w:val="416A466C"/>
    <w:rsid w:val="41715BE0"/>
    <w:rsid w:val="41766E87"/>
    <w:rsid w:val="417E204F"/>
    <w:rsid w:val="41864611"/>
    <w:rsid w:val="41A62703"/>
    <w:rsid w:val="41AD35A7"/>
    <w:rsid w:val="41B2033C"/>
    <w:rsid w:val="41B57FAF"/>
    <w:rsid w:val="41C7326E"/>
    <w:rsid w:val="41CB3578"/>
    <w:rsid w:val="41D65FE1"/>
    <w:rsid w:val="41E2477A"/>
    <w:rsid w:val="42111F55"/>
    <w:rsid w:val="42164D42"/>
    <w:rsid w:val="4236259A"/>
    <w:rsid w:val="4244253E"/>
    <w:rsid w:val="424C7A58"/>
    <w:rsid w:val="42672AE3"/>
    <w:rsid w:val="42744EAE"/>
    <w:rsid w:val="42911771"/>
    <w:rsid w:val="42983E53"/>
    <w:rsid w:val="429C2AAA"/>
    <w:rsid w:val="42A84E82"/>
    <w:rsid w:val="42B131A5"/>
    <w:rsid w:val="42C72EAB"/>
    <w:rsid w:val="42CD5835"/>
    <w:rsid w:val="42D635B0"/>
    <w:rsid w:val="42FC76D0"/>
    <w:rsid w:val="43005DC1"/>
    <w:rsid w:val="43114C20"/>
    <w:rsid w:val="43301AAF"/>
    <w:rsid w:val="43324015"/>
    <w:rsid w:val="437537AC"/>
    <w:rsid w:val="43964C50"/>
    <w:rsid w:val="439D3FF2"/>
    <w:rsid w:val="43A30512"/>
    <w:rsid w:val="43A44340"/>
    <w:rsid w:val="43AB20C9"/>
    <w:rsid w:val="43C922A6"/>
    <w:rsid w:val="43CD5CA4"/>
    <w:rsid w:val="43D03BDD"/>
    <w:rsid w:val="43D95FB7"/>
    <w:rsid w:val="43F418AE"/>
    <w:rsid w:val="43F76776"/>
    <w:rsid w:val="44022AC4"/>
    <w:rsid w:val="443864E5"/>
    <w:rsid w:val="445A3E4B"/>
    <w:rsid w:val="44701FC7"/>
    <w:rsid w:val="447071E4"/>
    <w:rsid w:val="449E7441"/>
    <w:rsid w:val="44AB76D5"/>
    <w:rsid w:val="44C244DF"/>
    <w:rsid w:val="44F56688"/>
    <w:rsid w:val="44F7208C"/>
    <w:rsid w:val="44FC7513"/>
    <w:rsid w:val="45027F4B"/>
    <w:rsid w:val="452C716F"/>
    <w:rsid w:val="453274D9"/>
    <w:rsid w:val="454B0987"/>
    <w:rsid w:val="45526C31"/>
    <w:rsid w:val="45746215"/>
    <w:rsid w:val="458E444E"/>
    <w:rsid w:val="45967003"/>
    <w:rsid w:val="4599341F"/>
    <w:rsid w:val="45BD1ADF"/>
    <w:rsid w:val="45CD20BA"/>
    <w:rsid w:val="45CF1625"/>
    <w:rsid w:val="4606746A"/>
    <w:rsid w:val="460A146F"/>
    <w:rsid w:val="460D4399"/>
    <w:rsid w:val="462C18BF"/>
    <w:rsid w:val="464B33D4"/>
    <w:rsid w:val="46613951"/>
    <w:rsid w:val="466435C2"/>
    <w:rsid w:val="46715B26"/>
    <w:rsid w:val="469B4110"/>
    <w:rsid w:val="469D7EAA"/>
    <w:rsid w:val="46D60656"/>
    <w:rsid w:val="46D7567A"/>
    <w:rsid w:val="470F4BC0"/>
    <w:rsid w:val="4716469F"/>
    <w:rsid w:val="471C2891"/>
    <w:rsid w:val="47337675"/>
    <w:rsid w:val="473509E8"/>
    <w:rsid w:val="47396928"/>
    <w:rsid w:val="473A4619"/>
    <w:rsid w:val="47415191"/>
    <w:rsid w:val="474571AC"/>
    <w:rsid w:val="474E7921"/>
    <w:rsid w:val="47514866"/>
    <w:rsid w:val="47531A6D"/>
    <w:rsid w:val="4753379C"/>
    <w:rsid w:val="47961654"/>
    <w:rsid w:val="479B1DCF"/>
    <w:rsid w:val="47A26BF8"/>
    <w:rsid w:val="47A62A6C"/>
    <w:rsid w:val="47B340E0"/>
    <w:rsid w:val="47C03C59"/>
    <w:rsid w:val="47C21AC5"/>
    <w:rsid w:val="47C22AF2"/>
    <w:rsid w:val="47C24315"/>
    <w:rsid w:val="47D97F15"/>
    <w:rsid w:val="47DE59A7"/>
    <w:rsid w:val="47E12DD6"/>
    <w:rsid w:val="47E67544"/>
    <w:rsid w:val="47F170D7"/>
    <w:rsid w:val="47FE7A46"/>
    <w:rsid w:val="481E172F"/>
    <w:rsid w:val="482305F1"/>
    <w:rsid w:val="482A3257"/>
    <w:rsid w:val="482D7E6B"/>
    <w:rsid w:val="48301FE8"/>
    <w:rsid w:val="483529A2"/>
    <w:rsid w:val="483B6C0A"/>
    <w:rsid w:val="484C6DE3"/>
    <w:rsid w:val="48654906"/>
    <w:rsid w:val="488251D4"/>
    <w:rsid w:val="489B172C"/>
    <w:rsid w:val="489F2A24"/>
    <w:rsid w:val="48A2782E"/>
    <w:rsid w:val="48B0041F"/>
    <w:rsid w:val="48BE7A8D"/>
    <w:rsid w:val="48CF5879"/>
    <w:rsid w:val="48D5063E"/>
    <w:rsid w:val="48D96FA1"/>
    <w:rsid w:val="48DB38E3"/>
    <w:rsid w:val="48DE2217"/>
    <w:rsid w:val="49061370"/>
    <w:rsid w:val="49092B72"/>
    <w:rsid w:val="492352EB"/>
    <w:rsid w:val="492C578D"/>
    <w:rsid w:val="492E0DFE"/>
    <w:rsid w:val="4941795C"/>
    <w:rsid w:val="49461B27"/>
    <w:rsid w:val="495A6EFE"/>
    <w:rsid w:val="496523B1"/>
    <w:rsid w:val="496F0024"/>
    <w:rsid w:val="49703D6F"/>
    <w:rsid w:val="497209BA"/>
    <w:rsid w:val="4976590F"/>
    <w:rsid w:val="49804E91"/>
    <w:rsid w:val="4994191D"/>
    <w:rsid w:val="49955428"/>
    <w:rsid w:val="49B2480B"/>
    <w:rsid w:val="49B80751"/>
    <w:rsid w:val="49C70446"/>
    <w:rsid w:val="49D94573"/>
    <w:rsid w:val="49F4218E"/>
    <w:rsid w:val="4A0D5AA9"/>
    <w:rsid w:val="4A2013CF"/>
    <w:rsid w:val="4A237783"/>
    <w:rsid w:val="4A3C5905"/>
    <w:rsid w:val="4A4E214A"/>
    <w:rsid w:val="4A4F0B4F"/>
    <w:rsid w:val="4A520AB3"/>
    <w:rsid w:val="4A5319F6"/>
    <w:rsid w:val="4A586DE1"/>
    <w:rsid w:val="4A5A30AD"/>
    <w:rsid w:val="4A6D327B"/>
    <w:rsid w:val="4A740EE0"/>
    <w:rsid w:val="4A785B4B"/>
    <w:rsid w:val="4A860C15"/>
    <w:rsid w:val="4A88284C"/>
    <w:rsid w:val="4A897651"/>
    <w:rsid w:val="4A9A23E1"/>
    <w:rsid w:val="4AA81582"/>
    <w:rsid w:val="4AAC525A"/>
    <w:rsid w:val="4AAE3106"/>
    <w:rsid w:val="4ACD1AA3"/>
    <w:rsid w:val="4ACD4AD7"/>
    <w:rsid w:val="4AD03229"/>
    <w:rsid w:val="4B131B2A"/>
    <w:rsid w:val="4B142B24"/>
    <w:rsid w:val="4B2C437F"/>
    <w:rsid w:val="4B320AF5"/>
    <w:rsid w:val="4B5603C8"/>
    <w:rsid w:val="4B8A7DF8"/>
    <w:rsid w:val="4B9B3552"/>
    <w:rsid w:val="4BA52A2D"/>
    <w:rsid w:val="4BA625C5"/>
    <w:rsid w:val="4BA816F0"/>
    <w:rsid w:val="4BBF0383"/>
    <w:rsid w:val="4BC05755"/>
    <w:rsid w:val="4BC8238E"/>
    <w:rsid w:val="4BFD1697"/>
    <w:rsid w:val="4C095B41"/>
    <w:rsid w:val="4C0E52B3"/>
    <w:rsid w:val="4C1871B6"/>
    <w:rsid w:val="4C4206B1"/>
    <w:rsid w:val="4C8739D5"/>
    <w:rsid w:val="4CC75176"/>
    <w:rsid w:val="4D0B7754"/>
    <w:rsid w:val="4D0E24D9"/>
    <w:rsid w:val="4D230734"/>
    <w:rsid w:val="4D367D33"/>
    <w:rsid w:val="4D3D0EA6"/>
    <w:rsid w:val="4D543B15"/>
    <w:rsid w:val="4D54602F"/>
    <w:rsid w:val="4D567705"/>
    <w:rsid w:val="4D9554EC"/>
    <w:rsid w:val="4D9E1AAF"/>
    <w:rsid w:val="4DA73D09"/>
    <w:rsid w:val="4DA768EB"/>
    <w:rsid w:val="4DB16A76"/>
    <w:rsid w:val="4DDB6FBF"/>
    <w:rsid w:val="4DF16195"/>
    <w:rsid w:val="4DF81DE2"/>
    <w:rsid w:val="4E367022"/>
    <w:rsid w:val="4E4545AC"/>
    <w:rsid w:val="4E454D5F"/>
    <w:rsid w:val="4E6A4E84"/>
    <w:rsid w:val="4E6C4322"/>
    <w:rsid w:val="4E7376C3"/>
    <w:rsid w:val="4E964534"/>
    <w:rsid w:val="4E9728F5"/>
    <w:rsid w:val="4EE359A6"/>
    <w:rsid w:val="4EE67768"/>
    <w:rsid w:val="4F185CD9"/>
    <w:rsid w:val="4F194070"/>
    <w:rsid w:val="4F2413DF"/>
    <w:rsid w:val="4F2E37FF"/>
    <w:rsid w:val="4F426460"/>
    <w:rsid w:val="4F4F0B87"/>
    <w:rsid w:val="4F6906A4"/>
    <w:rsid w:val="4F6B2D9D"/>
    <w:rsid w:val="4F7F42A5"/>
    <w:rsid w:val="4F7F6310"/>
    <w:rsid w:val="4FC11A6C"/>
    <w:rsid w:val="4FC21357"/>
    <w:rsid w:val="4FCC0AAC"/>
    <w:rsid w:val="4FE706E8"/>
    <w:rsid w:val="4FEA76CA"/>
    <w:rsid w:val="4FEC50BF"/>
    <w:rsid w:val="50137000"/>
    <w:rsid w:val="501B58EA"/>
    <w:rsid w:val="501D61C3"/>
    <w:rsid w:val="50446212"/>
    <w:rsid w:val="504A0D54"/>
    <w:rsid w:val="505F6E04"/>
    <w:rsid w:val="50632B3C"/>
    <w:rsid w:val="50712F49"/>
    <w:rsid w:val="507F2A1F"/>
    <w:rsid w:val="50841A1D"/>
    <w:rsid w:val="508D0CCD"/>
    <w:rsid w:val="50914974"/>
    <w:rsid w:val="509915D9"/>
    <w:rsid w:val="50B6598C"/>
    <w:rsid w:val="50CD438B"/>
    <w:rsid w:val="50D13F4A"/>
    <w:rsid w:val="50E717BD"/>
    <w:rsid w:val="50F72B5C"/>
    <w:rsid w:val="50F754A6"/>
    <w:rsid w:val="5101379B"/>
    <w:rsid w:val="51041AAB"/>
    <w:rsid w:val="510F1382"/>
    <w:rsid w:val="511D77FB"/>
    <w:rsid w:val="51293DA9"/>
    <w:rsid w:val="512D6CA6"/>
    <w:rsid w:val="5132430A"/>
    <w:rsid w:val="51343C8C"/>
    <w:rsid w:val="51402E7D"/>
    <w:rsid w:val="514637DC"/>
    <w:rsid w:val="51496E30"/>
    <w:rsid w:val="51653C6F"/>
    <w:rsid w:val="517F5A58"/>
    <w:rsid w:val="51880A59"/>
    <w:rsid w:val="51931DD3"/>
    <w:rsid w:val="51937B64"/>
    <w:rsid w:val="51965ABB"/>
    <w:rsid w:val="519A636D"/>
    <w:rsid w:val="51AF447A"/>
    <w:rsid w:val="51C54979"/>
    <w:rsid w:val="51DC3687"/>
    <w:rsid w:val="51EC091C"/>
    <w:rsid w:val="51FD48CA"/>
    <w:rsid w:val="52064C36"/>
    <w:rsid w:val="520936AF"/>
    <w:rsid w:val="521E291B"/>
    <w:rsid w:val="523E5597"/>
    <w:rsid w:val="52632B94"/>
    <w:rsid w:val="52697FBF"/>
    <w:rsid w:val="52720E14"/>
    <w:rsid w:val="52763FDC"/>
    <w:rsid w:val="527E2D76"/>
    <w:rsid w:val="52AA688A"/>
    <w:rsid w:val="52B129DF"/>
    <w:rsid w:val="52B54E8E"/>
    <w:rsid w:val="52B65AB6"/>
    <w:rsid w:val="52BB031B"/>
    <w:rsid w:val="52D248AF"/>
    <w:rsid w:val="52DC4D8B"/>
    <w:rsid w:val="52E654BA"/>
    <w:rsid w:val="52F110D2"/>
    <w:rsid w:val="530504BA"/>
    <w:rsid w:val="531F2960"/>
    <w:rsid w:val="532309BA"/>
    <w:rsid w:val="533235E7"/>
    <w:rsid w:val="533A5D36"/>
    <w:rsid w:val="534253DF"/>
    <w:rsid w:val="53520AAB"/>
    <w:rsid w:val="535B21AD"/>
    <w:rsid w:val="535B4DF1"/>
    <w:rsid w:val="535F5982"/>
    <w:rsid w:val="538400CC"/>
    <w:rsid w:val="538B0B79"/>
    <w:rsid w:val="53A66A0A"/>
    <w:rsid w:val="53B90C90"/>
    <w:rsid w:val="53C57253"/>
    <w:rsid w:val="53DC50DF"/>
    <w:rsid w:val="53FF3AEF"/>
    <w:rsid w:val="540630E3"/>
    <w:rsid w:val="54240F4F"/>
    <w:rsid w:val="54273E51"/>
    <w:rsid w:val="542C689B"/>
    <w:rsid w:val="54485435"/>
    <w:rsid w:val="544B5630"/>
    <w:rsid w:val="548C5F7F"/>
    <w:rsid w:val="54A60D3D"/>
    <w:rsid w:val="54B0376E"/>
    <w:rsid w:val="54B10076"/>
    <w:rsid w:val="54B11342"/>
    <w:rsid w:val="54BF61A1"/>
    <w:rsid w:val="54D264A9"/>
    <w:rsid w:val="54E63C29"/>
    <w:rsid w:val="54F364D5"/>
    <w:rsid w:val="550665FB"/>
    <w:rsid w:val="550A2B6E"/>
    <w:rsid w:val="550A4A38"/>
    <w:rsid w:val="551B4463"/>
    <w:rsid w:val="553735EF"/>
    <w:rsid w:val="55377F1F"/>
    <w:rsid w:val="559B5B2A"/>
    <w:rsid w:val="55B464D4"/>
    <w:rsid w:val="55BA3F14"/>
    <w:rsid w:val="55C96803"/>
    <w:rsid w:val="55EB76DC"/>
    <w:rsid w:val="55F64C84"/>
    <w:rsid w:val="56140B11"/>
    <w:rsid w:val="562957F8"/>
    <w:rsid w:val="562C0E6B"/>
    <w:rsid w:val="562D3F3D"/>
    <w:rsid w:val="562E0352"/>
    <w:rsid w:val="562E5566"/>
    <w:rsid w:val="56323F10"/>
    <w:rsid w:val="564F0E35"/>
    <w:rsid w:val="565E21A4"/>
    <w:rsid w:val="565F229F"/>
    <w:rsid w:val="565F44AA"/>
    <w:rsid w:val="5681223D"/>
    <w:rsid w:val="56884F32"/>
    <w:rsid w:val="568B18E9"/>
    <w:rsid w:val="568C169B"/>
    <w:rsid w:val="56BE1065"/>
    <w:rsid w:val="56C33516"/>
    <w:rsid w:val="56C341D6"/>
    <w:rsid w:val="56C4175A"/>
    <w:rsid w:val="56D11521"/>
    <w:rsid w:val="56D56740"/>
    <w:rsid w:val="56F171A2"/>
    <w:rsid w:val="56F42469"/>
    <w:rsid w:val="570D5ACD"/>
    <w:rsid w:val="571807AB"/>
    <w:rsid w:val="5726041F"/>
    <w:rsid w:val="57274096"/>
    <w:rsid w:val="572F19CA"/>
    <w:rsid w:val="57470BA4"/>
    <w:rsid w:val="5748483A"/>
    <w:rsid w:val="574B46E0"/>
    <w:rsid w:val="5750111B"/>
    <w:rsid w:val="57575B70"/>
    <w:rsid w:val="57625040"/>
    <w:rsid w:val="5781139F"/>
    <w:rsid w:val="57866027"/>
    <w:rsid w:val="5789619A"/>
    <w:rsid w:val="579B3397"/>
    <w:rsid w:val="57A22B84"/>
    <w:rsid w:val="57AC4DC9"/>
    <w:rsid w:val="57AC77DC"/>
    <w:rsid w:val="57B612A4"/>
    <w:rsid w:val="57DD4F82"/>
    <w:rsid w:val="57FF2BE4"/>
    <w:rsid w:val="580276CF"/>
    <w:rsid w:val="58122517"/>
    <w:rsid w:val="581705A7"/>
    <w:rsid w:val="584F6927"/>
    <w:rsid w:val="5865174F"/>
    <w:rsid w:val="58876E3F"/>
    <w:rsid w:val="589B6A9A"/>
    <w:rsid w:val="58A14A65"/>
    <w:rsid w:val="58A90E20"/>
    <w:rsid w:val="58BE507E"/>
    <w:rsid w:val="58D44DBF"/>
    <w:rsid w:val="58E012A6"/>
    <w:rsid w:val="58E3424C"/>
    <w:rsid w:val="58E448D7"/>
    <w:rsid w:val="58F01A0C"/>
    <w:rsid w:val="58F45D87"/>
    <w:rsid w:val="58FE1654"/>
    <w:rsid w:val="590576DC"/>
    <w:rsid w:val="59252697"/>
    <w:rsid w:val="59271157"/>
    <w:rsid w:val="592E507E"/>
    <w:rsid w:val="59662095"/>
    <w:rsid w:val="597F735A"/>
    <w:rsid w:val="59852DC8"/>
    <w:rsid w:val="598F6750"/>
    <w:rsid w:val="59C62E03"/>
    <w:rsid w:val="59D904F2"/>
    <w:rsid w:val="59EB41AB"/>
    <w:rsid w:val="59EB7C48"/>
    <w:rsid w:val="59EF5474"/>
    <w:rsid w:val="5A0138A3"/>
    <w:rsid w:val="5A014D9B"/>
    <w:rsid w:val="5A0D0834"/>
    <w:rsid w:val="5A0D78F6"/>
    <w:rsid w:val="5A1131B6"/>
    <w:rsid w:val="5A13560A"/>
    <w:rsid w:val="5A155987"/>
    <w:rsid w:val="5A226B2F"/>
    <w:rsid w:val="5A391313"/>
    <w:rsid w:val="5A45448E"/>
    <w:rsid w:val="5A59798A"/>
    <w:rsid w:val="5A68064C"/>
    <w:rsid w:val="5A7D4C16"/>
    <w:rsid w:val="5A852533"/>
    <w:rsid w:val="5ABE74A5"/>
    <w:rsid w:val="5AE611EC"/>
    <w:rsid w:val="5B01542B"/>
    <w:rsid w:val="5B0428EC"/>
    <w:rsid w:val="5B3B5E66"/>
    <w:rsid w:val="5B5C2F07"/>
    <w:rsid w:val="5B6A5575"/>
    <w:rsid w:val="5B8014CF"/>
    <w:rsid w:val="5B852745"/>
    <w:rsid w:val="5B8848A8"/>
    <w:rsid w:val="5B985E58"/>
    <w:rsid w:val="5BA77182"/>
    <w:rsid w:val="5BA87F7C"/>
    <w:rsid w:val="5BAE4BD4"/>
    <w:rsid w:val="5BD249E7"/>
    <w:rsid w:val="5C071C60"/>
    <w:rsid w:val="5C0B536F"/>
    <w:rsid w:val="5C164F06"/>
    <w:rsid w:val="5C204B35"/>
    <w:rsid w:val="5C2D0003"/>
    <w:rsid w:val="5C336335"/>
    <w:rsid w:val="5C38160B"/>
    <w:rsid w:val="5C390BF5"/>
    <w:rsid w:val="5C417BE2"/>
    <w:rsid w:val="5C447CC6"/>
    <w:rsid w:val="5C682488"/>
    <w:rsid w:val="5C7C13B5"/>
    <w:rsid w:val="5C815CB5"/>
    <w:rsid w:val="5C836F26"/>
    <w:rsid w:val="5C897A35"/>
    <w:rsid w:val="5CA74AEF"/>
    <w:rsid w:val="5CB460DE"/>
    <w:rsid w:val="5CB65273"/>
    <w:rsid w:val="5CCB2A13"/>
    <w:rsid w:val="5CDD798A"/>
    <w:rsid w:val="5CE55627"/>
    <w:rsid w:val="5CF50DA2"/>
    <w:rsid w:val="5D1547F0"/>
    <w:rsid w:val="5D2A54E6"/>
    <w:rsid w:val="5D5C002C"/>
    <w:rsid w:val="5D5D232A"/>
    <w:rsid w:val="5D69161B"/>
    <w:rsid w:val="5D857E20"/>
    <w:rsid w:val="5D9B3FE5"/>
    <w:rsid w:val="5DA84667"/>
    <w:rsid w:val="5DB9123A"/>
    <w:rsid w:val="5DC63589"/>
    <w:rsid w:val="5DC866D4"/>
    <w:rsid w:val="5DCD22E1"/>
    <w:rsid w:val="5DD21518"/>
    <w:rsid w:val="5DE73431"/>
    <w:rsid w:val="5DF11D9D"/>
    <w:rsid w:val="5DF25D87"/>
    <w:rsid w:val="5DFD48E2"/>
    <w:rsid w:val="5E00236A"/>
    <w:rsid w:val="5E0771FD"/>
    <w:rsid w:val="5E0C58C4"/>
    <w:rsid w:val="5E18761F"/>
    <w:rsid w:val="5E385608"/>
    <w:rsid w:val="5E4943A0"/>
    <w:rsid w:val="5E5F4AC2"/>
    <w:rsid w:val="5E7375A4"/>
    <w:rsid w:val="5E803F72"/>
    <w:rsid w:val="5EC642E3"/>
    <w:rsid w:val="5ED26403"/>
    <w:rsid w:val="5ED64D12"/>
    <w:rsid w:val="5F03229F"/>
    <w:rsid w:val="5F170FA1"/>
    <w:rsid w:val="5F1E764C"/>
    <w:rsid w:val="5F2576E0"/>
    <w:rsid w:val="5F290930"/>
    <w:rsid w:val="5F5748B8"/>
    <w:rsid w:val="5F66009A"/>
    <w:rsid w:val="5F7C1B93"/>
    <w:rsid w:val="5F7C1BB8"/>
    <w:rsid w:val="5FA802EA"/>
    <w:rsid w:val="5FA946F0"/>
    <w:rsid w:val="5FAD5DB2"/>
    <w:rsid w:val="5FB421A0"/>
    <w:rsid w:val="5FC52ECB"/>
    <w:rsid w:val="5FC65FF2"/>
    <w:rsid w:val="5FC73A28"/>
    <w:rsid w:val="5FD1392C"/>
    <w:rsid w:val="5FDC7840"/>
    <w:rsid w:val="5FE544C8"/>
    <w:rsid w:val="5FE73B39"/>
    <w:rsid w:val="600630D3"/>
    <w:rsid w:val="60123C53"/>
    <w:rsid w:val="601B6543"/>
    <w:rsid w:val="601E25DC"/>
    <w:rsid w:val="602F489D"/>
    <w:rsid w:val="60385F8C"/>
    <w:rsid w:val="60402324"/>
    <w:rsid w:val="604E10A3"/>
    <w:rsid w:val="60530BE2"/>
    <w:rsid w:val="6068076A"/>
    <w:rsid w:val="606971C9"/>
    <w:rsid w:val="607B7A2E"/>
    <w:rsid w:val="608E5C6A"/>
    <w:rsid w:val="609407AF"/>
    <w:rsid w:val="60A22BF1"/>
    <w:rsid w:val="60AA71BE"/>
    <w:rsid w:val="60AF01FC"/>
    <w:rsid w:val="60BB58E8"/>
    <w:rsid w:val="60D110ED"/>
    <w:rsid w:val="60D15E96"/>
    <w:rsid w:val="610042DB"/>
    <w:rsid w:val="61147847"/>
    <w:rsid w:val="611A6DF5"/>
    <w:rsid w:val="61225CD0"/>
    <w:rsid w:val="612400C6"/>
    <w:rsid w:val="6130428B"/>
    <w:rsid w:val="6134222E"/>
    <w:rsid w:val="61585626"/>
    <w:rsid w:val="61592303"/>
    <w:rsid w:val="615A6D9B"/>
    <w:rsid w:val="615B0C4B"/>
    <w:rsid w:val="616B11D5"/>
    <w:rsid w:val="61A66A52"/>
    <w:rsid w:val="61A771CA"/>
    <w:rsid w:val="61AF4D04"/>
    <w:rsid w:val="61D0341C"/>
    <w:rsid w:val="61DD0883"/>
    <w:rsid w:val="61E40038"/>
    <w:rsid w:val="62057531"/>
    <w:rsid w:val="620C5AB5"/>
    <w:rsid w:val="620D5D16"/>
    <w:rsid w:val="621E3A44"/>
    <w:rsid w:val="623649D6"/>
    <w:rsid w:val="62511ACC"/>
    <w:rsid w:val="625309B3"/>
    <w:rsid w:val="62910952"/>
    <w:rsid w:val="629F49F7"/>
    <w:rsid w:val="62B177F5"/>
    <w:rsid w:val="62C320AA"/>
    <w:rsid w:val="62CE2037"/>
    <w:rsid w:val="62D47BC2"/>
    <w:rsid w:val="62DE2871"/>
    <w:rsid w:val="62E2628C"/>
    <w:rsid w:val="62F12936"/>
    <w:rsid w:val="62F37B4F"/>
    <w:rsid w:val="62F63ACE"/>
    <w:rsid w:val="63021A00"/>
    <w:rsid w:val="630B4C42"/>
    <w:rsid w:val="6310668A"/>
    <w:rsid w:val="631E130F"/>
    <w:rsid w:val="631E5F58"/>
    <w:rsid w:val="63260125"/>
    <w:rsid w:val="63555E53"/>
    <w:rsid w:val="6360069C"/>
    <w:rsid w:val="63654E63"/>
    <w:rsid w:val="63713680"/>
    <w:rsid w:val="637A77DE"/>
    <w:rsid w:val="637B3A23"/>
    <w:rsid w:val="637F6A8D"/>
    <w:rsid w:val="63A40D8D"/>
    <w:rsid w:val="63A94C8C"/>
    <w:rsid w:val="63BF042B"/>
    <w:rsid w:val="63C0700D"/>
    <w:rsid w:val="63E66C5C"/>
    <w:rsid w:val="63FB611B"/>
    <w:rsid w:val="64390645"/>
    <w:rsid w:val="64415375"/>
    <w:rsid w:val="645539C7"/>
    <w:rsid w:val="646C19DB"/>
    <w:rsid w:val="6475065C"/>
    <w:rsid w:val="648F0C67"/>
    <w:rsid w:val="64AC3353"/>
    <w:rsid w:val="64AD547D"/>
    <w:rsid w:val="64B434AD"/>
    <w:rsid w:val="64C5571C"/>
    <w:rsid w:val="64C752B4"/>
    <w:rsid w:val="64CF33C7"/>
    <w:rsid w:val="64EF165C"/>
    <w:rsid w:val="650926B6"/>
    <w:rsid w:val="651223E0"/>
    <w:rsid w:val="65125F4D"/>
    <w:rsid w:val="651C6D57"/>
    <w:rsid w:val="652848BF"/>
    <w:rsid w:val="65347F87"/>
    <w:rsid w:val="653B2C3B"/>
    <w:rsid w:val="655A5741"/>
    <w:rsid w:val="655F1E9A"/>
    <w:rsid w:val="656566F7"/>
    <w:rsid w:val="656F52AA"/>
    <w:rsid w:val="657C01C9"/>
    <w:rsid w:val="65901886"/>
    <w:rsid w:val="65A91C8D"/>
    <w:rsid w:val="65AE3559"/>
    <w:rsid w:val="65B34C2F"/>
    <w:rsid w:val="65C07C91"/>
    <w:rsid w:val="65C66728"/>
    <w:rsid w:val="65E36FAB"/>
    <w:rsid w:val="65E87D82"/>
    <w:rsid w:val="65F53162"/>
    <w:rsid w:val="65F831E1"/>
    <w:rsid w:val="660A0282"/>
    <w:rsid w:val="66110D21"/>
    <w:rsid w:val="661207DE"/>
    <w:rsid w:val="66155A56"/>
    <w:rsid w:val="661635E3"/>
    <w:rsid w:val="66285F62"/>
    <w:rsid w:val="662B3A23"/>
    <w:rsid w:val="665E0A19"/>
    <w:rsid w:val="66616461"/>
    <w:rsid w:val="666E6EE2"/>
    <w:rsid w:val="667917F3"/>
    <w:rsid w:val="667C4DD8"/>
    <w:rsid w:val="66973132"/>
    <w:rsid w:val="669D4693"/>
    <w:rsid w:val="66D87071"/>
    <w:rsid w:val="66D93796"/>
    <w:rsid w:val="66E1046F"/>
    <w:rsid w:val="66E24A03"/>
    <w:rsid w:val="66E63727"/>
    <w:rsid w:val="66FA709F"/>
    <w:rsid w:val="671214DF"/>
    <w:rsid w:val="671F2574"/>
    <w:rsid w:val="67254F87"/>
    <w:rsid w:val="672D0F40"/>
    <w:rsid w:val="672F3CD5"/>
    <w:rsid w:val="6742454A"/>
    <w:rsid w:val="674F2373"/>
    <w:rsid w:val="676966C3"/>
    <w:rsid w:val="677B6565"/>
    <w:rsid w:val="679963B7"/>
    <w:rsid w:val="679C0BF1"/>
    <w:rsid w:val="679E12A0"/>
    <w:rsid w:val="67A7735B"/>
    <w:rsid w:val="67CD5462"/>
    <w:rsid w:val="67E80F60"/>
    <w:rsid w:val="67F240B9"/>
    <w:rsid w:val="680F20DB"/>
    <w:rsid w:val="681B0323"/>
    <w:rsid w:val="68254029"/>
    <w:rsid w:val="6836686C"/>
    <w:rsid w:val="68422F43"/>
    <w:rsid w:val="684A218B"/>
    <w:rsid w:val="684A47FF"/>
    <w:rsid w:val="685629C6"/>
    <w:rsid w:val="68626ED7"/>
    <w:rsid w:val="686D23A6"/>
    <w:rsid w:val="687C166A"/>
    <w:rsid w:val="688B5574"/>
    <w:rsid w:val="68914293"/>
    <w:rsid w:val="689369AB"/>
    <w:rsid w:val="68942304"/>
    <w:rsid w:val="68A31319"/>
    <w:rsid w:val="68A4154F"/>
    <w:rsid w:val="68AC7DDC"/>
    <w:rsid w:val="68AD1138"/>
    <w:rsid w:val="68B33D39"/>
    <w:rsid w:val="68B70EC7"/>
    <w:rsid w:val="68C638D7"/>
    <w:rsid w:val="68CD112D"/>
    <w:rsid w:val="68E45348"/>
    <w:rsid w:val="694035C3"/>
    <w:rsid w:val="696C1A7A"/>
    <w:rsid w:val="696E2EB9"/>
    <w:rsid w:val="697D2E43"/>
    <w:rsid w:val="699559E7"/>
    <w:rsid w:val="699A00C4"/>
    <w:rsid w:val="699D71D5"/>
    <w:rsid w:val="69B135C8"/>
    <w:rsid w:val="69C22E71"/>
    <w:rsid w:val="69D0107E"/>
    <w:rsid w:val="69D414EB"/>
    <w:rsid w:val="69E10F26"/>
    <w:rsid w:val="69E93928"/>
    <w:rsid w:val="69ED503A"/>
    <w:rsid w:val="69EE374F"/>
    <w:rsid w:val="69FA4718"/>
    <w:rsid w:val="69FB44D8"/>
    <w:rsid w:val="6A06772B"/>
    <w:rsid w:val="6A0B6DC5"/>
    <w:rsid w:val="6A30373D"/>
    <w:rsid w:val="6A47408F"/>
    <w:rsid w:val="6A475032"/>
    <w:rsid w:val="6A51208C"/>
    <w:rsid w:val="6A532A3E"/>
    <w:rsid w:val="6A7C711D"/>
    <w:rsid w:val="6A8420F4"/>
    <w:rsid w:val="6AB0447A"/>
    <w:rsid w:val="6AB326AD"/>
    <w:rsid w:val="6AB44268"/>
    <w:rsid w:val="6AB73D58"/>
    <w:rsid w:val="6ADB36DF"/>
    <w:rsid w:val="6AE128AA"/>
    <w:rsid w:val="6AE21764"/>
    <w:rsid w:val="6AEA1A38"/>
    <w:rsid w:val="6B133A91"/>
    <w:rsid w:val="6B141B99"/>
    <w:rsid w:val="6B1431AA"/>
    <w:rsid w:val="6B160A7F"/>
    <w:rsid w:val="6B494DC4"/>
    <w:rsid w:val="6B4B13B5"/>
    <w:rsid w:val="6B5F4AF7"/>
    <w:rsid w:val="6B6E3716"/>
    <w:rsid w:val="6B7B2A36"/>
    <w:rsid w:val="6B882F49"/>
    <w:rsid w:val="6BAA60F1"/>
    <w:rsid w:val="6BB362CE"/>
    <w:rsid w:val="6BB565BA"/>
    <w:rsid w:val="6BE83888"/>
    <w:rsid w:val="6BEB0E6B"/>
    <w:rsid w:val="6BEE7ACE"/>
    <w:rsid w:val="6BF137E0"/>
    <w:rsid w:val="6BF42F41"/>
    <w:rsid w:val="6BFD5277"/>
    <w:rsid w:val="6C054007"/>
    <w:rsid w:val="6C16685D"/>
    <w:rsid w:val="6C332B2E"/>
    <w:rsid w:val="6C5A0D85"/>
    <w:rsid w:val="6C772085"/>
    <w:rsid w:val="6C7B5928"/>
    <w:rsid w:val="6C826073"/>
    <w:rsid w:val="6C8849B9"/>
    <w:rsid w:val="6C897A7D"/>
    <w:rsid w:val="6C9451B1"/>
    <w:rsid w:val="6C9554C1"/>
    <w:rsid w:val="6C9C0732"/>
    <w:rsid w:val="6CCD7863"/>
    <w:rsid w:val="6CD5291C"/>
    <w:rsid w:val="6CD865DD"/>
    <w:rsid w:val="6CDA035A"/>
    <w:rsid w:val="6CEE038B"/>
    <w:rsid w:val="6CFB2B7F"/>
    <w:rsid w:val="6D293335"/>
    <w:rsid w:val="6D4D4500"/>
    <w:rsid w:val="6D5A4E2F"/>
    <w:rsid w:val="6D703716"/>
    <w:rsid w:val="6D7964FC"/>
    <w:rsid w:val="6D8346B7"/>
    <w:rsid w:val="6D9F1A45"/>
    <w:rsid w:val="6DA53C24"/>
    <w:rsid w:val="6DA854D3"/>
    <w:rsid w:val="6DB04FD6"/>
    <w:rsid w:val="6DB11F01"/>
    <w:rsid w:val="6DE1612C"/>
    <w:rsid w:val="6DE305D5"/>
    <w:rsid w:val="6DEB6092"/>
    <w:rsid w:val="6E0D5194"/>
    <w:rsid w:val="6E1C5C47"/>
    <w:rsid w:val="6E2C1921"/>
    <w:rsid w:val="6E2E574B"/>
    <w:rsid w:val="6E3B4C7E"/>
    <w:rsid w:val="6E413F52"/>
    <w:rsid w:val="6E483A17"/>
    <w:rsid w:val="6E6D1CF1"/>
    <w:rsid w:val="6E77505A"/>
    <w:rsid w:val="6E8250C0"/>
    <w:rsid w:val="6E8C50F8"/>
    <w:rsid w:val="6E8E72B3"/>
    <w:rsid w:val="6E9876DA"/>
    <w:rsid w:val="6EA6211A"/>
    <w:rsid w:val="6EA656E9"/>
    <w:rsid w:val="6EBD3111"/>
    <w:rsid w:val="6EC13536"/>
    <w:rsid w:val="6EDA1B1D"/>
    <w:rsid w:val="6EEA2016"/>
    <w:rsid w:val="6EEA46FD"/>
    <w:rsid w:val="6EEF6896"/>
    <w:rsid w:val="6EF908FE"/>
    <w:rsid w:val="6EFF04DA"/>
    <w:rsid w:val="6F0F6FE9"/>
    <w:rsid w:val="6F381005"/>
    <w:rsid w:val="6F3A3DA8"/>
    <w:rsid w:val="6F426311"/>
    <w:rsid w:val="6F442C65"/>
    <w:rsid w:val="6F731E25"/>
    <w:rsid w:val="6F7803E0"/>
    <w:rsid w:val="6F863CF9"/>
    <w:rsid w:val="6F8F0FF9"/>
    <w:rsid w:val="6F9A203D"/>
    <w:rsid w:val="6FBB3961"/>
    <w:rsid w:val="6FCF2701"/>
    <w:rsid w:val="6FCF3968"/>
    <w:rsid w:val="6FD800CD"/>
    <w:rsid w:val="6FF2092E"/>
    <w:rsid w:val="70284CEE"/>
    <w:rsid w:val="702E5B1F"/>
    <w:rsid w:val="7047166F"/>
    <w:rsid w:val="70487B75"/>
    <w:rsid w:val="704D414E"/>
    <w:rsid w:val="70520C89"/>
    <w:rsid w:val="707B4851"/>
    <w:rsid w:val="70831B38"/>
    <w:rsid w:val="7097642E"/>
    <w:rsid w:val="70C271B2"/>
    <w:rsid w:val="70CC1BE0"/>
    <w:rsid w:val="70D6088A"/>
    <w:rsid w:val="70D66204"/>
    <w:rsid w:val="70D86E7B"/>
    <w:rsid w:val="70D94A29"/>
    <w:rsid w:val="70EB2705"/>
    <w:rsid w:val="71031E0B"/>
    <w:rsid w:val="711B7D4F"/>
    <w:rsid w:val="71204700"/>
    <w:rsid w:val="712374E4"/>
    <w:rsid w:val="712625B8"/>
    <w:rsid w:val="7127112F"/>
    <w:rsid w:val="71675088"/>
    <w:rsid w:val="716B369B"/>
    <w:rsid w:val="71935373"/>
    <w:rsid w:val="71980C7C"/>
    <w:rsid w:val="71AB75A5"/>
    <w:rsid w:val="71BC1D9F"/>
    <w:rsid w:val="71CC6FB9"/>
    <w:rsid w:val="71EA56CD"/>
    <w:rsid w:val="71FF1A19"/>
    <w:rsid w:val="7203630F"/>
    <w:rsid w:val="7206009D"/>
    <w:rsid w:val="721523B6"/>
    <w:rsid w:val="72154C17"/>
    <w:rsid w:val="7225137F"/>
    <w:rsid w:val="722C76CF"/>
    <w:rsid w:val="7247114F"/>
    <w:rsid w:val="72596DA7"/>
    <w:rsid w:val="726A0BF3"/>
    <w:rsid w:val="726E6C5B"/>
    <w:rsid w:val="72714B37"/>
    <w:rsid w:val="7288469C"/>
    <w:rsid w:val="729B048D"/>
    <w:rsid w:val="72CF73D1"/>
    <w:rsid w:val="72D21F1E"/>
    <w:rsid w:val="72D5492B"/>
    <w:rsid w:val="72D8486C"/>
    <w:rsid w:val="72DC14F2"/>
    <w:rsid w:val="72FA0F7E"/>
    <w:rsid w:val="72FB60AE"/>
    <w:rsid w:val="73041B05"/>
    <w:rsid w:val="73085399"/>
    <w:rsid w:val="731442F4"/>
    <w:rsid w:val="732A0718"/>
    <w:rsid w:val="73311842"/>
    <w:rsid w:val="73494759"/>
    <w:rsid w:val="734B6195"/>
    <w:rsid w:val="7354217C"/>
    <w:rsid w:val="7385675E"/>
    <w:rsid w:val="73936D15"/>
    <w:rsid w:val="73A759C8"/>
    <w:rsid w:val="73A95754"/>
    <w:rsid w:val="73B30F20"/>
    <w:rsid w:val="73CC33CF"/>
    <w:rsid w:val="73D5073D"/>
    <w:rsid w:val="73E77094"/>
    <w:rsid w:val="73F61526"/>
    <w:rsid w:val="73FF6FD1"/>
    <w:rsid w:val="740C0BF5"/>
    <w:rsid w:val="7411641F"/>
    <w:rsid w:val="742C374F"/>
    <w:rsid w:val="743C7A46"/>
    <w:rsid w:val="74460EBA"/>
    <w:rsid w:val="74500D96"/>
    <w:rsid w:val="74597EF2"/>
    <w:rsid w:val="747D19BD"/>
    <w:rsid w:val="748E00CC"/>
    <w:rsid w:val="749251AA"/>
    <w:rsid w:val="74965F08"/>
    <w:rsid w:val="749F51EF"/>
    <w:rsid w:val="74D12038"/>
    <w:rsid w:val="74EF3A25"/>
    <w:rsid w:val="75040883"/>
    <w:rsid w:val="7519181C"/>
    <w:rsid w:val="756C682A"/>
    <w:rsid w:val="756E3490"/>
    <w:rsid w:val="7572244A"/>
    <w:rsid w:val="75964A41"/>
    <w:rsid w:val="759E3D65"/>
    <w:rsid w:val="75A774D2"/>
    <w:rsid w:val="75B34CC5"/>
    <w:rsid w:val="75B4336E"/>
    <w:rsid w:val="75B87BBE"/>
    <w:rsid w:val="75D605CB"/>
    <w:rsid w:val="75FA1B7D"/>
    <w:rsid w:val="760F62A7"/>
    <w:rsid w:val="76283E52"/>
    <w:rsid w:val="76361E56"/>
    <w:rsid w:val="763C62B4"/>
    <w:rsid w:val="763F4010"/>
    <w:rsid w:val="764D377C"/>
    <w:rsid w:val="766D21E2"/>
    <w:rsid w:val="767C19B2"/>
    <w:rsid w:val="769E70FF"/>
    <w:rsid w:val="76A6105C"/>
    <w:rsid w:val="76B80988"/>
    <w:rsid w:val="76BD4A83"/>
    <w:rsid w:val="770723BF"/>
    <w:rsid w:val="77152DD4"/>
    <w:rsid w:val="774F20A3"/>
    <w:rsid w:val="77586F37"/>
    <w:rsid w:val="775B45AE"/>
    <w:rsid w:val="775E0F07"/>
    <w:rsid w:val="77AF54AD"/>
    <w:rsid w:val="77B75647"/>
    <w:rsid w:val="77CA09A9"/>
    <w:rsid w:val="77DF57B6"/>
    <w:rsid w:val="780555F1"/>
    <w:rsid w:val="780A3427"/>
    <w:rsid w:val="780A4000"/>
    <w:rsid w:val="783C3AEF"/>
    <w:rsid w:val="785F5324"/>
    <w:rsid w:val="78656911"/>
    <w:rsid w:val="78671F4B"/>
    <w:rsid w:val="787C23D1"/>
    <w:rsid w:val="78811A86"/>
    <w:rsid w:val="78977F0D"/>
    <w:rsid w:val="78A62260"/>
    <w:rsid w:val="78BF60CA"/>
    <w:rsid w:val="78DE2480"/>
    <w:rsid w:val="78EE101D"/>
    <w:rsid w:val="79020971"/>
    <w:rsid w:val="790D6EC5"/>
    <w:rsid w:val="791B5DBA"/>
    <w:rsid w:val="79450781"/>
    <w:rsid w:val="79457181"/>
    <w:rsid w:val="794762F6"/>
    <w:rsid w:val="79525DEC"/>
    <w:rsid w:val="79535D84"/>
    <w:rsid w:val="79557D36"/>
    <w:rsid w:val="795D6576"/>
    <w:rsid w:val="797448D9"/>
    <w:rsid w:val="797769CB"/>
    <w:rsid w:val="79B94B60"/>
    <w:rsid w:val="79BF0307"/>
    <w:rsid w:val="79C520CA"/>
    <w:rsid w:val="79D50DAE"/>
    <w:rsid w:val="79D76131"/>
    <w:rsid w:val="79DE36D3"/>
    <w:rsid w:val="79E37434"/>
    <w:rsid w:val="79F53F55"/>
    <w:rsid w:val="7A063F1A"/>
    <w:rsid w:val="7A9017EC"/>
    <w:rsid w:val="7AB643B8"/>
    <w:rsid w:val="7AC851C1"/>
    <w:rsid w:val="7AC878BC"/>
    <w:rsid w:val="7ADF12B3"/>
    <w:rsid w:val="7AE018E6"/>
    <w:rsid w:val="7AF462EF"/>
    <w:rsid w:val="7B0209A9"/>
    <w:rsid w:val="7B022477"/>
    <w:rsid w:val="7B300AA2"/>
    <w:rsid w:val="7B3957A9"/>
    <w:rsid w:val="7B3D6ECD"/>
    <w:rsid w:val="7B4A77C8"/>
    <w:rsid w:val="7B5828A2"/>
    <w:rsid w:val="7B62485C"/>
    <w:rsid w:val="7B957DE9"/>
    <w:rsid w:val="7B9F3945"/>
    <w:rsid w:val="7BA9214F"/>
    <w:rsid w:val="7BB40CE7"/>
    <w:rsid w:val="7BC1457E"/>
    <w:rsid w:val="7BD41836"/>
    <w:rsid w:val="7BD9542F"/>
    <w:rsid w:val="7BEE66A4"/>
    <w:rsid w:val="7BF87615"/>
    <w:rsid w:val="7BFD7B4B"/>
    <w:rsid w:val="7C0305B0"/>
    <w:rsid w:val="7C0B2440"/>
    <w:rsid w:val="7C305B51"/>
    <w:rsid w:val="7C33144C"/>
    <w:rsid w:val="7C371DCC"/>
    <w:rsid w:val="7C4E44E4"/>
    <w:rsid w:val="7C6015EC"/>
    <w:rsid w:val="7C6627B3"/>
    <w:rsid w:val="7C7257E1"/>
    <w:rsid w:val="7C7A781F"/>
    <w:rsid w:val="7C8350F2"/>
    <w:rsid w:val="7C8F24D0"/>
    <w:rsid w:val="7C991697"/>
    <w:rsid w:val="7CBD4889"/>
    <w:rsid w:val="7CEF7DBC"/>
    <w:rsid w:val="7D020272"/>
    <w:rsid w:val="7D0E44CE"/>
    <w:rsid w:val="7D1347B3"/>
    <w:rsid w:val="7D510356"/>
    <w:rsid w:val="7D7726B6"/>
    <w:rsid w:val="7D8B50AE"/>
    <w:rsid w:val="7DAB2B7D"/>
    <w:rsid w:val="7DC12151"/>
    <w:rsid w:val="7DE22911"/>
    <w:rsid w:val="7DF33F14"/>
    <w:rsid w:val="7DF64C49"/>
    <w:rsid w:val="7E00101F"/>
    <w:rsid w:val="7E0806FB"/>
    <w:rsid w:val="7E154E91"/>
    <w:rsid w:val="7E182124"/>
    <w:rsid w:val="7E2458E7"/>
    <w:rsid w:val="7E477835"/>
    <w:rsid w:val="7E485652"/>
    <w:rsid w:val="7E5162E8"/>
    <w:rsid w:val="7E5A6731"/>
    <w:rsid w:val="7E674EB2"/>
    <w:rsid w:val="7E7F0292"/>
    <w:rsid w:val="7EA45F4A"/>
    <w:rsid w:val="7EA5441A"/>
    <w:rsid w:val="7EA6304A"/>
    <w:rsid w:val="7EC41ECD"/>
    <w:rsid w:val="7ECF354B"/>
    <w:rsid w:val="7EDF0482"/>
    <w:rsid w:val="7EE11E39"/>
    <w:rsid w:val="7EF0142A"/>
    <w:rsid w:val="7F054B9B"/>
    <w:rsid w:val="7F062945"/>
    <w:rsid w:val="7F444D79"/>
    <w:rsid w:val="7F5948C8"/>
    <w:rsid w:val="7F670759"/>
    <w:rsid w:val="7F6E5E67"/>
    <w:rsid w:val="7FA40A1F"/>
    <w:rsid w:val="7FA54CA3"/>
    <w:rsid w:val="7FB074E7"/>
    <w:rsid w:val="7FCD0FCB"/>
    <w:rsid w:val="7FD574FB"/>
    <w:rsid w:val="7FE24BBC"/>
    <w:rsid w:val="7FED3263"/>
    <w:rsid w:val="7FF308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sz w:val="24"/>
      <w:szCs w:val="24"/>
      <w:lang w:val="en-US" w:eastAsia="zh-CN" w:bidi="ar-SA"/>
    </w:rPr>
  </w:style>
  <w:style w:type="paragraph" w:styleId="3">
    <w:name w:val="heading 1"/>
    <w:basedOn w:val="1"/>
    <w:next w:val="1"/>
    <w:link w:val="50"/>
    <w:qFormat/>
    <w:uiPriority w:val="9"/>
    <w:pPr>
      <w:keepNext/>
      <w:keepLines/>
      <w:numPr>
        <w:ilvl w:val="0"/>
        <w:numId w:val="1"/>
      </w:numPr>
      <w:spacing w:line="360" w:lineRule="auto"/>
      <w:ind w:left="432" w:hanging="432"/>
      <w:outlineLvl w:val="0"/>
    </w:pPr>
    <w:rPr>
      <w:rFonts w:ascii="Calibri" w:hAnsi="Calibri"/>
      <w:b/>
      <w:bCs/>
      <w:kern w:val="44"/>
      <w:sz w:val="32"/>
      <w:szCs w:val="44"/>
    </w:rPr>
  </w:style>
  <w:style w:type="paragraph" w:styleId="4">
    <w:name w:val="heading 2"/>
    <w:basedOn w:val="1"/>
    <w:next w:val="1"/>
    <w:link w:val="51"/>
    <w:qFormat/>
    <w:uiPriority w:val="9"/>
    <w:pPr>
      <w:keepNext/>
      <w:keepLines/>
      <w:numPr>
        <w:ilvl w:val="1"/>
        <w:numId w:val="1"/>
      </w:numPr>
      <w:spacing w:line="360" w:lineRule="auto"/>
      <w:ind w:left="575" w:hanging="575"/>
      <w:outlineLvl w:val="1"/>
    </w:pPr>
    <w:rPr>
      <w:rFonts w:ascii="Calibri Light" w:hAnsi="Calibri Light"/>
      <w:b/>
      <w:bCs/>
      <w:sz w:val="30"/>
      <w:szCs w:val="32"/>
    </w:rPr>
  </w:style>
  <w:style w:type="paragraph" w:styleId="5">
    <w:name w:val="heading 3"/>
    <w:basedOn w:val="1"/>
    <w:next w:val="1"/>
    <w:link w:val="52"/>
    <w:qFormat/>
    <w:uiPriority w:val="9"/>
    <w:pPr>
      <w:keepNext/>
      <w:keepLines/>
      <w:numPr>
        <w:ilvl w:val="2"/>
        <w:numId w:val="1"/>
      </w:numPr>
      <w:spacing w:line="360" w:lineRule="auto"/>
      <w:ind w:left="720" w:hanging="720" w:firstLineChars="0"/>
      <w:outlineLvl w:val="2"/>
    </w:pPr>
    <w:rPr>
      <w:rFonts w:ascii="Calibri" w:hAnsi="Calibri"/>
      <w:b/>
      <w:bCs/>
      <w:szCs w:val="32"/>
    </w:rPr>
  </w:style>
  <w:style w:type="paragraph" w:styleId="6">
    <w:name w:val="heading 4"/>
    <w:basedOn w:val="1"/>
    <w:next w:val="1"/>
    <w:link w:val="54"/>
    <w:qFormat/>
    <w:uiPriority w:val="9"/>
    <w:pPr>
      <w:keepNext/>
      <w:keepLines/>
      <w:numPr>
        <w:ilvl w:val="3"/>
        <w:numId w:val="1"/>
      </w:numPr>
      <w:spacing w:line="360" w:lineRule="auto"/>
      <w:ind w:left="864" w:hanging="864" w:firstLineChars="0"/>
      <w:outlineLvl w:val="3"/>
    </w:pPr>
    <w:rPr>
      <w:rFonts w:ascii="Calibri Light" w:hAnsi="Calibri Light" w:eastAsia="黑体"/>
      <w:b/>
      <w:bCs/>
      <w:szCs w:val="28"/>
    </w:rPr>
  </w:style>
  <w:style w:type="paragraph" w:styleId="7">
    <w:name w:val="heading 5"/>
    <w:basedOn w:val="1"/>
    <w:next w:val="1"/>
    <w:qFormat/>
    <w:uiPriority w:val="0"/>
    <w:pPr>
      <w:keepNext/>
      <w:keepLines/>
      <w:numPr>
        <w:ilvl w:val="4"/>
        <w:numId w:val="1"/>
      </w:numPr>
      <w:tabs>
        <w:tab w:val="left" w:pos="1008"/>
      </w:tabs>
      <w:jc w:val="both"/>
      <w:outlineLvl w:val="4"/>
    </w:pPr>
    <w:rPr>
      <w:rFonts w:eastAsia="黑体"/>
      <w:bCs/>
      <w:szCs w:val="28"/>
    </w:rPr>
  </w:style>
  <w:style w:type="paragraph" w:styleId="8">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2">
    <w:name w:val="Body Text"/>
    <w:basedOn w:val="1"/>
    <w:link w:val="58"/>
    <w:unhideWhenUsed/>
    <w:qFormat/>
    <w:uiPriority w:val="0"/>
    <w:pPr>
      <w:spacing w:after="120"/>
    </w:pPr>
  </w:style>
  <w:style w:type="paragraph" w:styleId="12">
    <w:name w:val="Normal Indent"/>
    <w:basedOn w:val="1"/>
    <w:next w:val="13"/>
    <w:link w:val="53"/>
    <w:qFormat/>
    <w:uiPriority w:val="99"/>
    <w:pPr>
      <w:spacing w:line="360" w:lineRule="auto"/>
      <w:ind w:firstLine="560" w:firstLineChars="200"/>
    </w:pPr>
    <w:rPr>
      <w:rFonts w:ascii="Calibri" w:hAnsi="Calibri"/>
      <w:szCs w:val="20"/>
    </w:rPr>
  </w:style>
  <w:style w:type="paragraph" w:customStyle="1" w:styleId="13">
    <w:name w:val="Body Text 22"/>
    <w:basedOn w:val="1"/>
    <w:qFormat/>
    <w:uiPriority w:val="0"/>
    <w:pPr>
      <w:adjustRightInd w:val="0"/>
      <w:spacing w:line="440" w:lineRule="atLeast"/>
      <w:ind w:firstLine="480"/>
      <w:textAlignment w:val="baseline"/>
    </w:pPr>
    <w:rPr>
      <w:rFonts w:eastAsia="仿宋_GB2312"/>
      <w:szCs w:val="20"/>
    </w:rPr>
  </w:style>
  <w:style w:type="paragraph" w:styleId="14">
    <w:name w:val="caption"/>
    <w:basedOn w:val="1"/>
    <w:next w:val="1"/>
    <w:qFormat/>
    <w:uiPriority w:val="35"/>
    <w:pPr>
      <w:widowControl/>
      <w:spacing w:line="360" w:lineRule="auto"/>
      <w:ind w:right="-675" w:rightChars="-675"/>
      <w:jc w:val="left"/>
    </w:pPr>
    <w:rPr>
      <w:rFonts w:ascii="Cambria" w:hAnsi="Cambria" w:eastAsia="黑体"/>
      <w:sz w:val="20"/>
      <w:szCs w:val="20"/>
    </w:rPr>
  </w:style>
  <w:style w:type="paragraph" w:styleId="15">
    <w:name w:val="Document Map"/>
    <w:basedOn w:val="1"/>
    <w:link w:val="55"/>
    <w:unhideWhenUsed/>
    <w:qFormat/>
    <w:uiPriority w:val="99"/>
    <w:rPr>
      <w:rFonts w:hAnsi="Calibri"/>
      <w:sz w:val="18"/>
      <w:szCs w:val="18"/>
    </w:rPr>
  </w:style>
  <w:style w:type="paragraph" w:styleId="16">
    <w:name w:val="annotation text"/>
    <w:basedOn w:val="1"/>
    <w:link w:val="56"/>
    <w:unhideWhenUsed/>
    <w:qFormat/>
    <w:uiPriority w:val="99"/>
    <w:pPr>
      <w:jc w:val="left"/>
    </w:pPr>
  </w:style>
  <w:style w:type="paragraph" w:styleId="17">
    <w:name w:val="Salutation"/>
    <w:basedOn w:val="1"/>
    <w:next w:val="1"/>
    <w:qFormat/>
    <w:uiPriority w:val="0"/>
    <w:pPr>
      <w:spacing w:line="240" w:lineRule="auto"/>
    </w:pPr>
  </w:style>
  <w:style w:type="paragraph" w:styleId="18">
    <w:name w:val="Body Text 3"/>
    <w:basedOn w:val="1"/>
    <w:link w:val="57"/>
    <w:unhideWhenUsed/>
    <w:qFormat/>
    <w:uiPriority w:val="99"/>
    <w:rPr>
      <w:rFonts w:ascii="Calibri" w:hAnsi="Calibri"/>
      <w:kern w:val="2"/>
      <w:sz w:val="16"/>
      <w:szCs w:val="16"/>
    </w:rPr>
  </w:style>
  <w:style w:type="paragraph" w:styleId="19">
    <w:name w:val="Body Text Indent"/>
    <w:basedOn w:val="1"/>
    <w:next w:val="1"/>
    <w:qFormat/>
    <w:uiPriority w:val="99"/>
    <w:pPr>
      <w:spacing w:line="360" w:lineRule="auto"/>
      <w:ind w:firstLine="480" w:firstLineChars="200"/>
    </w:pPr>
    <w:rPr>
      <w:kern w:val="0"/>
    </w:rPr>
  </w:style>
  <w:style w:type="paragraph" w:styleId="20">
    <w:name w:val="toc 3"/>
    <w:basedOn w:val="1"/>
    <w:next w:val="1"/>
    <w:qFormat/>
    <w:uiPriority w:val="39"/>
    <w:pPr>
      <w:spacing w:line="360" w:lineRule="auto"/>
      <w:ind w:left="420" w:firstLine="200" w:firstLineChars="200"/>
    </w:pPr>
    <w:rPr>
      <w:rFonts w:ascii="Times New Roman" w:hAnsi="Times New Roman" w:eastAsia="Times New Roman"/>
      <w:i/>
      <w:kern w:val="2"/>
      <w:sz w:val="20"/>
      <w:szCs w:val="20"/>
    </w:rPr>
  </w:style>
  <w:style w:type="paragraph" w:styleId="21">
    <w:name w:val="Plain Text"/>
    <w:basedOn w:val="1"/>
    <w:next w:val="22"/>
    <w:qFormat/>
    <w:uiPriority w:val="0"/>
    <w:rPr>
      <w:rFonts w:ascii="宋体" w:hAnsi="Courier New"/>
      <w:kern w:val="0"/>
      <w:sz w:val="20"/>
      <w:szCs w:val="20"/>
    </w:rPr>
  </w:style>
  <w:style w:type="paragraph" w:customStyle="1" w:styleId="22">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23">
    <w:name w:val="List Bullet 5"/>
    <w:basedOn w:val="1"/>
    <w:unhideWhenUsed/>
    <w:qFormat/>
    <w:uiPriority w:val="99"/>
    <w:pPr>
      <w:numPr>
        <w:ilvl w:val="0"/>
        <w:numId w:val="2"/>
      </w:numPr>
    </w:pPr>
  </w:style>
  <w:style w:type="paragraph" w:styleId="24">
    <w:name w:val="Date"/>
    <w:basedOn w:val="1"/>
    <w:next w:val="1"/>
    <w:link w:val="59"/>
    <w:unhideWhenUsed/>
    <w:qFormat/>
    <w:uiPriority w:val="99"/>
    <w:pPr>
      <w:ind w:left="100" w:leftChars="2500"/>
    </w:pPr>
  </w:style>
  <w:style w:type="paragraph" w:styleId="25">
    <w:name w:val="Body Text Indent 2"/>
    <w:basedOn w:val="1"/>
    <w:next w:val="1"/>
    <w:link w:val="60"/>
    <w:qFormat/>
    <w:uiPriority w:val="0"/>
    <w:pPr>
      <w:spacing w:line="540" w:lineRule="exact"/>
      <w:ind w:firstLine="490" w:firstLineChars="177"/>
    </w:pPr>
    <w:rPr>
      <w:rFonts w:eastAsia="仿宋_GB2312"/>
      <w:kern w:val="0"/>
      <w:sz w:val="28"/>
    </w:rPr>
  </w:style>
  <w:style w:type="paragraph" w:styleId="26">
    <w:name w:val="Balloon Text"/>
    <w:basedOn w:val="1"/>
    <w:link w:val="61"/>
    <w:unhideWhenUsed/>
    <w:qFormat/>
    <w:uiPriority w:val="99"/>
    <w:rPr>
      <w:rFonts w:ascii="Calibri" w:hAnsi="Calibri"/>
      <w:sz w:val="18"/>
      <w:szCs w:val="18"/>
    </w:rPr>
  </w:style>
  <w:style w:type="paragraph" w:styleId="27">
    <w:name w:val="footer"/>
    <w:basedOn w:val="1"/>
    <w:link w:val="62"/>
    <w:unhideWhenUsed/>
    <w:qFormat/>
    <w:uiPriority w:val="99"/>
    <w:pPr>
      <w:tabs>
        <w:tab w:val="center" w:pos="4153"/>
        <w:tab w:val="right" w:pos="8306"/>
      </w:tabs>
      <w:snapToGrid w:val="0"/>
      <w:jc w:val="left"/>
    </w:pPr>
    <w:rPr>
      <w:rFonts w:ascii="Calibri" w:hAnsi="Calibri"/>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9">
    <w:name w:val="toc 1"/>
    <w:basedOn w:val="1"/>
    <w:next w:val="1"/>
    <w:unhideWhenUsed/>
    <w:qFormat/>
    <w:uiPriority w:val="39"/>
  </w:style>
  <w:style w:type="paragraph" w:styleId="30">
    <w:name w:val="Subtitle"/>
    <w:basedOn w:val="1"/>
    <w:qFormat/>
    <w:uiPriority w:val="0"/>
    <w:pPr>
      <w:spacing w:before="240" w:after="60" w:line="312" w:lineRule="auto"/>
      <w:jc w:val="center"/>
      <w:outlineLvl w:val="1"/>
    </w:pPr>
    <w:rPr>
      <w:rFonts w:ascii="Arial" w:hAnsi="Arial"/>
      <w:b/>
      <w:bCs/>
      <w:kern w:val="28"/>
      <w:sz w:val="32"/>
      <w:szCs w:val="32"/>
    </w:rPr>
  </w:style>
  <w:style w:type="paragraph" w:styleId="31">
    <w:name w:val="List"/>
    <w:basedOn w:val="1"/>
    <w:next w:val="1"/>
    <w:qFormat/>
    <w:uiPriority w:val="0"/>
    <w:pPr>
      <w:adjustRightInd w:val="0"/>
      <w:snapToGrid w:val="0"/>
      <w:jc w:val="center"/>
    </w:pPr>
    <w:rPr>
      <w:rFonts w:ascii="Times New Roman" w:hAnsi="Times New Roman"/>
      <w:kern w:val="0"/>
      <w:szCs w:val="20"/>
    </w:rPr>
  </w:style>
  <w:style w:type="paragraph" w:styleId="32">
    <w:name w:val="Body Text Indent 3"/>
    <w:basedOn w:val="1"/>
    <w:link w:val="64"/>
    <w:unhideWhenUsed/>
    <w:qFormat/>
    <w:uiPriority w:val="99"/>
    <w:pPr>
      <w:spacing w:after="120"/>
      <w:ind w:left="420" w:leftChars="200"/>
    </w:pPr>
    <w:rPr>
      <w:rFonts w:ascii="Calibri" w:hAnsi="Calibri"/>
      <w:sz w:val="16"/>
      <w:szCs w:val="16"/>
    </w:rPr>
  </w:style>
  <w:style w:type="paragraph" w:styleId="33">
    <w:name w:val="toc 2"/>
    <w:basedOn w:val="1"/>
    <w:next w:val="1"/>
    <w:unhideWhenUsed/>
    <w:qFormat/>
    <w:uiPriority w:val="39"/>
    <w:pPr>
      <w:ind w:left="420" w:leftChars="200"/>
    </w:pPr>
  </w:style>
  <w:style w:type="paragraph" w:styleId="34">
    <w:name w:val="Body Text 2"/>
    <w:basedOn w:val="1"/>
    <w:qFormat/>
    <w:uiPriority w:val="0"/>
    <w:pPr>
      <w:spacing w:line="360" w:lineRule="auto"/>
    </w:pPr>
    <w:rPr>
      <w:color w:val="000000"/>
      <w:kern w:val="0"/>
    </w:rPr>
  </w:style>
  <w:style w:type="paragraph" w:styleId="35">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36">
    <w:name w:val="Normal (Web)"/>
    <w:basedOn w:val="1"/>
    <w:qFormat/>
    <w:uiPriority w:val="99"/>
    <w:pPr>
      <w:widowControl/>
      <w:spacing w:before="100" w:beforeAutospacing="1" w:after="100" w:afterAutospacing="1"/>
      <w:jc w:val="left"/>
    </w:pPr>
    <w:rPr>
      <w:rFonts w:ascii="宋体" w:hAnsi="宋体" w:cs="宋体"/>
      <w:kern w:val="0"/>
    </w:rPr>
  </w:style>
  <w:style w:type="paragraph" w:styleId="37">
    <w:name w:val="annotation subject"/>
    <w:basedOn w:val="16"/>
    <w:next w:val="16"/>
    <w:link w:val="65"/>
    <w:unhideWhenUsed/>
    <w:qFormat/>
    <w:uiPriority w:val="99"/>
    <w:rPr>
      <w:rFonts w:ascii="Calibri" w:hAnsi="Calibri"/>
      <w:b/>
      <w:bCs/>
      <w:sz w:val="20"/>
      <w:szCs w:val="20"/>
    </w:rPr>
  </w:style>
  <w:style w:type="paragraph" w:styleId="38">
    <w:name w:val="Body Text First Indent"/>
    <w:basedOn w:val="2"/>
    <w:next w:val="1"/>
    <w:qFormat/>
    <w:uiPriority w:val="0"/>
    <w:pPr>
      <w:spacing w:after="120"/>
      <w:ind w:firstLine="420" w:firstLineChars="100"/>
    </w:pPr>
    <w:rPr>
      <w:sz w:val="21"/>
    </w:rPr>
  </w:style>
  <w:style w:type="paragraph" w:styleId="39">
    <w:name w:val="Body Text First Indent 2"/>
    <w:basedOn w:val="19"/>
    <w:next w:val="1"/>
    <w:qFormat/>
    <w:uiPriority w:val="0"/>
    <w:pPr>
      <w:ind w:firstLine="420" w:firstLineChars="200"/>
    </w:pPr>
  </w:style>
  <w:style w:type="table" w:styleId="41">
    <w:name w:val="Table Grid"/>
    <w:basedOn w:val="4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22"/>
    <w:rPr>
      <w:rFonts w:hint="default" w:ascii="Times New Roman" w:hAnsi="Times New Roman" w:eastAsia="宋体" w:cs="Times New Roman"/>
      <w:b/>
      <w:bCs/>
      <w:kern w:val="0"/>
      <w:szCs w:val="20"/>
    </w:rPr>
  </w:style>
  <w:style w:type="character" w:styleId="44">
    <w:name w:val="page number"/>
    <w:basedOn w:val="42"/>
    <w:qFormat/>
    <w:uiPriority w:val="0"/>
  </w:style>
  <w:style w:type="character" w:styleId="45">
    <w:name w:val="Emphasis"/>
    <w:qFormat/>
    <w:uiPriority w:val="20"/>
    <w:rPr>
      <w:i/>
    </w:rPr>
  </w:style>
  <w:style w:type="character" w:styleId="46">
    <w:name w:val="Hyperlink"/>
    <w:basedOn w:val="42"/>
    <w:unhideWhenUsed/>
    <w:qFormat/>
    <w:uiPriority w:val="99"/>
    <w:rPr>
      <w:color w:val="0563C1"/>
      <w:u w:val="single"/>
    </w:rPr>
  </w:style>
  <w:style w:type="character" w:styleId="47">
    <w:name w:val="annotation reference"/>
    <w:unhideWhenUsed/>
    <w:qFormat/>
    <w:uiPriority w:val="99"/>
    <w:rPr>
      <w:sz w:val="21"/>
      <w:szCs w:val="21"/>
    </w:rPr>
  </w:style>
  <w:style w:type="paragraph" w:customStyle="1" w:styleId="4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_Style 3"/>
    <w:next w:val="1"/>
    <w:qFormat/>
    <w:uiPriority w:val="0"/>
    <w:pPr>
      <w:widowControl w:val="0"/>
      <w:spacing w:line="340" w:lineRule="exact"/>
      <w:jc w:val="center"/>
    </w:pPr>
    <w:rPr>
      <w:rFonts w:ascii="Times New Roman" w:hAnsi="Times New Roman" w:eastAsia="宋体" w:cs="Times New Roman"/>
      <w:kern w:val="2"/>
      <w:sz w:val="21"/>
      <w:szCs w:val="24"/>
      <w:lang w:val="en-US" w:eastAsia="zh-CN" w:bidi="ar-SA"/>
    </w:rPr>
  </w:style>
  <w:style w:type="character" w:customStyle="1" w:styleId="50">
    <w:name w:val="标题 1 Char"/>
    <w:link w:val="3"/>
    <w:qFormat/>
    <w:uiPriority w:val="9"/>
    <w:rPr>
      <w:b/>
      <w:bCs/>
      <w:kern w:val="44"/>
      <w:sz w:val="32"/>
      <w:szCs w:val="44"/>
    </w:rPr>
  </w:style>
  <w:style w:type="character" w:customStyle="1" w:styleId="51">
    <w:name w:val="标题 2 Char"/>
    <w:link w:val="4"/>
    <w:qFormat/>
    <w:uiPriority w:val="9"/>
    <w:rPr>
      <w:rFonts w:ascii="Calibri Light" w:hAnsi="Calibri Light" w:eastAsia="宋体"/>
      <w:b/>
      <w:bCs/>
      <w:sz w:val="30"/>
      <w:szCs w:val="32"/>
    </w:rPr>
  </w:style>
  <w:style w:type="character" w:customStyle="1" w:styleId="52">
    <w:name w:val="标题 3 Char"/>
    <w:link w:val="5"/>
    <w:qFormat/>
    <w:uiPriority w:val="9"/>
    <w:rPr>
      <w:b/>
      <w:bCs/>
      <w:sz w:val="24"/>
      <w:szCs w:val="32"/>
    </w:rPr>
  </w:style>
  <w:style w:type="character" w:customStyle="1" w:styleId="53">
    <w:name w:val="正文缩进 Char"/>
    <w:link w:val="12"/>
    <w:qFormat/>
    <w:uiPriority w:val="99"/>
    <w:rPr>
      <w:rFonts w:eastAsia="宋体"/>
      <w:sz w:val="24"/>
    </w:rPr>
  </w:style>
  <w:style w:type="character" w:customStyle="1" w:styleId="54">
    <w:name w:val="标题 4 Char"/>
    <w:link w:val="6"/>
    <w:qFormat/>
    <w:uiPriority w:val="9"/>
    <w:rPr>
      <w:rFonts w:ascii="Calibri Light" w:hAnsi="Calibri Light" w:eastAsia="黑体"/>
      <w:b/>
      <w:bCs/>
      <w:sz w:val="24"/>
      <w:szCs w:val="28"/>
    </w:rPr>
  </w:style>
  <w:style w:type="character" w:customStyle="1" w:styleId="55">
    <w:name w:val="文档结构图 Char"/>
    <w:link w:val="15"/>
    <w:semiHidden/>
    <w:qFormat/>
    <w:uiPriority w:val="99"/>
    <w:rPr>
      <w:rFonts w:ascii="宋体" w:eastAsia="宋体"/>
      <w:sz w:val="18"/>
      <w:szCs w:val="18"/>
    </w:rPr>
  </w:style>
  <w:style w:type="character" w:customStyle="1" w:styleId="56">
    <w:name w:val="批注文字 Char"/>
    <w:basedOn w:val="42"/>
    <w:link w:val="16"/>
    <w:semiHidden/>
    <w:qFormat/>
    <w:uiPriority w:val="99"/>
  </w:style>
  <w:style w:type="character" w:customStyle="1" w:styleId="57">
    <w:name w:val="正文文本 3 Char1"/>
    <w:basedOn w:val="42"/>
    <w:link w:val="18"/>
    <w:qFormat/>
    <w:locked/>
    <w:uiPriority w:val="99"/>
    <w:rPr>
      <w:kern w:val="2"/>
      <w:sz w:val="16"/>
      <w:szCs w:val="16"/>
    </w:rPr>
  </w:style>
  <w:style w:type="character" w:customStyle="1" w:styleId="58">
    <w:name w:val="正文文本 Char"/>
    <w:basedOn w:val="42"/>
    <w:link w:val="2"/>
    <w:qFormat/>
    <w:uiPriority w:val="0"/>
  </w:style>
  <w:style w:type="character" w:customStyle="1" w:styleId="59">
    <w:name w:val="日期 Char"/>
    <w:basedOn w:val="42"/>
    <w:link w:val="24"/>
    <w:semiHidden/>
    <w:qFormat/>
    <w:uiPriority w:val="99"/>
  </w:style>
  <w:style w:type="character" w:customStyle="1" w:styleId="60">
    <w:name w:val="正文文本缩进 2 Char"/>
    <w:basedOn w:val="42"/>
    <w:link w:val="25"/>
    <w:qFormat/>
    <w:uiPriority w:val="0"/>
    <w:rPr>
      <w:rFonts w:ascii="宋体" w:hAnsi="宋体" w:eastAsia="仿宋_GB2312"/>
      <w:sz w:val="28"/>
      <w:szCs w:val="24"/>
    </w:rPr>
  </w:style>
  <w:style w:type="character" w:customStyle="1" w:styleId="61">
    <w:name w:val="批注框文本 Char"/>
    <w:link w:val="26"/>
    <w:semiHidden/>
    <w:qFormat/>
    <w:uiPriority w:val="99"/>
    <w:rPr>
      <w:sz w:val="18"/>
      <w:szCs w:val="18"/>
    </w:rPr>
  </w:style>
  <w:style w:type="character" w:customStyle="1" w:styleId="62">
    <w:name w:val="页脚 Char"/>
    <w:link w:val="27"/>
    <w:qFormat/>
    <w:uiPriority w:val="99"/>
    <w:rPr>
      <w:sz w:val="18"/>
      <w:szCs w:val="18"/>
    </w:rPr>
  </w:style>
  <w:style w:type="character" w:customStyle="1" w:styleId="63">
    <w:name w:val="页眉 Char"/>
    <w:link w:val="28"/>
    <w:qFormat/>
    <w:uiPriority w:val="99"/>
    <w:rPr>
      <w:sz w:val="18"/>
      <w:szCs w:val="18"/>
    </w:rPr>
  </w:style>
  <w:style w:type="character" w:customStyle="1" w:styleId="64">
    <w:name w:val="正文文本缩进 3 Char"/>
    <w:link w:val="32"/>
    <w:semiHidden/>
    <w:qFormat/>
    <w:uiPriority w:val="99"/>
    <w:rPr>
      <w:sz w:val="16"/>
      <w:szCs w:val="16"/>
    </w:rPr>
  </w:style>
  <w:style w:type="character" w:customStyle="1" w:styleId="65">
    <w:name w:val="批注主题 Char"/>
    <w:link w:val="37"/>
    <w:semiHidden/>
    <w:qFormat/>
    <w:uiPriority w:val="99"/>
    <w:rPr>
      <w:b/>
      <w:bCs/>
    </w:rPr>
  </w:style>
  <w:style w:type="paragraph" w:customStyle="1" w:styleId="66">
    <w:name w:val="Default"/>
    <w:basedOn w:val="67"/>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6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68">
    <w:name w:val="正文-蓝色 Char"/>
    <w:link w:val="69"/>
    <w:qFormat/>
    <w:uiPriority w:val="0"/>
    <w:rPr>
      <w:color w:val="0000FF"/>
    </w:rPr>
  </w:style>
  <w:style w:type="paragraph" w:customStyle="1" w:styleId="69">
    <w:name w:val="正文-蓝色"/>
    <w:basedOn w:val="70"/>
    <w:link w:val="68"/>
    <w:qFormat/>
    <w:uiPriority w:val="0"/>
    <w:pPr>
      <w:ind w:firstLine="480"/>
    </w:pPr>
    <w:rPr>
      <w:rFonts w:ascii="Calibri" w:hAnsi="Calibri" w:cs="Times New Roman"/>
      <w:color w:val="0000FF"/>
      <w:sz w:val="20"/>
      <w:szCs w:val="20"/>
    </w:rPr>
  </w:style>
  <w:style w:type="paragraph" w:customStyle="1" w:styleId="70">
    <w:name w:val="正文-欣欣"/>
    <w:basedOn w:val="1"/>
    <w:qFormat/>
    <w:uiPriority w:val="0"/>
    <w:pPr>
      <w:adjustRightInd w:val="0"/>
      <w:spacing w:line="360" w:lineRule="auto"/>
      <w:ind w:firstLine="200" w:firstLineChars="200"/>
    </w:pPr>
    <w:rPr>
      <w:rFonts w:cs="Courier New"/>
      <w:sz w:val="24"/>
      <w:szCs w:val="21"/>
    </w:rPr>
  </w:style>
  <w:style w:type="character" w:customStyle="1" w:styleId="71">
    <w:name w:val="【表中文字】 Char"/>
    <w:link w:val="72"/>
    <w:qFormat/>
    <w:uiPriority w:val="0"/>
    <w:rPr>
      <w:rFonts w:ascii="Times New Roman" w:hAnsi="Times New Roman" w:eastAsia="宋体" w:cs="Times New Roman"/>
      <w:szCs w:val="20"/>
    </w:rPr>
  </w:style>
  <w:style w:type="paragraph" w:customStyle="1" w:styleId="72">
    <w:name w:val="【表中文字】"/>
    <w:basedOn w:val="1"/>
    <w:link w:val="71"/>
    <w:qFormat/>
    <w:uiPriority w:val="0"/>
    <w:pPr>
      <w:adjustRightInd w:val="0"/>
      <w:snapToGrid w:val="0"/>
      <w:jc w:val="center"/>
    </w:pPr>
    <w:rPr>
      <w:rFonts w:ascii="Times New Roman" w:hAnsi="Times New Roman"/>
      <w:sz w:val="20"/>
      <w:szCs w:val="20"/>
    </w:rPr>
  </w:style>
  <w:style w:type="character" w:customStyle="1" w:styleId="73">
    <w:name w:val="无间隔 Char"/>
    <w:link w:val="74"/>
    <w:qFormat/>
    <w:uiPriority w:val="1"/>
    <w:rPr>
      <w:sz w:val="22"/>
      <w:szCs w:val="22"/>
      <w:lang w:val="en-US" w:eastAsia="zh-CN" w:bidi="ar-SA"/>
    </w:rPr>
  </w:style>
  <w:style w:type="paragraph" w:customStyle="1" w:styleId="74">
    <w:name w:val="No Spacing"/>
    <w:link w:val="73"/>
    <w:qFormat/>
    <w:uiPriority w:val="1"/>
    <w:rPr>
      <w:rFonts w:ascii="Times New Roman" w:hAnsi="Times New Roman" w:eastAsia="宋体" w:cs="Times New Roman"/>
      <w:sz w:val="22"/>
      <w:szCs w:val="22"/>
      <w:lang w:val="en-US" w:eastAsia="zh-CN" w:bidi="ar-SA"/>
    </w:rPr>
  </w:style>
  <w:style w:type="character" w:customStyle="1" w:styleId="75">
    <w:name w:val="正文文本 3 Char"/>
    <w:basedOn w:val="42"/>
    <w:semiHidden/>
    <w:qFormat/>
    <w:uiPriority w:val="99"/>
    <w:rPr>
      <w:rFonts w:ascii="宋体" w:hAnsi="宋体"/>
      <w:sz w:val="16"/>
      <w:szCs w:val="16"/>
    </w:rPr>
  </w:style>
  <w:style w:type="character" w:customStyle="1" w:styleId="76">
    <w:name w:val="0表格/图头 Char"/>
    <w:link w:val="77"/>
    <w:qFormat/>
    <w:uiPriority w:val="0"/>
    <w:rPr>
      <w:b/>
      <w:szCs w:val="24"/>
    </w:rPr>
  </w:style>
  <w:style w:type="paragraph" w:customStyle="1" w:styleId="77">
    <w:name w:val="0表格/图头"/>
    <w:basedOn w:val="1"/>
    <w:link w:val="76"/>
    <w:qFormat/>
    <w:uiPriority w:val="0"/>
    <w:pPr>
      <w:spacing w:line="360" w:lineRule="auto"/>
      <w:ind w:firstLine="34" w:firstLineChars="16"/>
      <w:jc w:val="center"/>
    </w:pPr>
    <w:rPr>
      <w:rFonts w:ascii="Calibri" w:hAnsi="Calibri"/>
      <w:b/>
      <w:sz w:val="20"/>
    </w:rPr>
  </w:style>
  <w:style w:type="character" w:customStyle="1" w:styleId="78">
    <w:name w:val="16"/>
    <w:qFormat/>
    <w:uiPriority w:val="0"/>
    <w:rPr>
      <w:rFonts w:hint="default" w:ascii="Times New Roman" w:hAnsi="Times New Roman" w:cs="Times New Roman"/>
      <w:b/>
      <w:bCs/>
    </w:rPr>
  </w:style>
  <w:style w:type="character" w:customStyle="1" w:styleId="79">
    <w:name w:val="fontstyle21"/>
    <w:qFormat/>
    <w:uiPriority w:val="0"/>
    <w:rPr>
      <w:rFonts w:hint="default" w:ascii="TimesNewRomanPSMT" w:hAnsi="TimesNewRomanPSMT"/>
      <w:color w:val="000000"/>
      <w:sz w:val="24"/>
      <w:szCs w:val="24"/>
    </w:rPr>
  </w:style>
  <w:style w:type="character" w:customStyle="1" w:styleId="80">
    <w:name w:val="表 头 Char"/>
    <w:link w:val="81"/>
    <w:qFormat/>
    <w:uiPriority w:val="0"/>
    <w:rPr>
      <w:rFonts w:eastAsia="黑体"/>
      <w:spacing w:val="10"/>
      <w:sz w:val="24"/>
    </w:rPr>
  </w:style>
  <w:style w:type="paragraph" w:customStyle="1" w:styleId="81">
    <w:name w:val="表 头"/>
    <w:basedOn w:val="1"/>
    <w:link w:val="80"/>
    <w:qFormat/>
    <w:uiPriority w:val="0"/>
    <w:pPr>
      <w:adjustRightInd w:val="0"/>
      <w:spacing w:before="120" w:after="120" w:line="360" w:lineRule="atLeast"/>
      <w:jc w:val="center"/>
    </w:pPr>
    <w:rPr>
      <w:rFonts w:ascii="Calibri" w:hAnsi="Calibri" w:eastAsia="黑体"/>
      <w:spacing w:val="10"/>
      <w:szCs w:val="20"/>
    </w:rPr>
  </w:style>
  <w:style w:type="character" w:customStyle="1" w:styleId="82">
    <w:name w:val="表格 Char"/>
    <w:link w:val="83"/>
    <w:qFormat/>
    <w:uiPriority w:val="0"/>
    <w:rPr>
      <w:rFonts w:ascii="宋体" w:hAnsi="宋体" w:eastAsia="Times New Roman" w:cs="Times New Roman"/>
      <w:snapToGrid w:val="0"/>
      <w:sz w:val="21"/>
      <w:lang w:val="en-US" w:eastAsia="zh-CN" w:bidi="ar-SA"/>
    </w:rPr>
  </w:style>
  <w:style w:type="paragraph" w:customStyle="1" w:styleId="83">
    <w:name w:val="表格"/>
    <w:basedOn w:val="31"/>
    <w:next w:val="1"/>
    <w:link w:val="82"/>
    <w:qFormat/>
    <w:uiPriority w:val="0"/>
    <w:pPr>
      <w:spacing w:line="380" w:lineRule="exact"/>
      <w:jc w:val="center"/>
    </w:pPr>
    <w:rPr>
      <w:rFonts w:ascii="宋体" w:hAnsi="宋体" w:eastAsia="Times New Roman"/>
      <w:snapToGrid w:val="0"/>
      <w:sz w:val="21"/>
      <w:lang w:val="en-US" w:eastAsia="zh-CN"/>
    </w:rPr>
  </w:style>
  <w:style w:type="character" w:customStyle="1" w:styleId="84">
    <w:name w:val="fontstyle01"/>
    <w:qFormat/>
    <w:uiPriority w:val="0"/>
    <w:rPr>
      <w:rFonts w:hint="eastAsia" w:ascii="宋体" w:hAnsi="宋体" w:eastAsia="宋体"/>
      <w:color w:val="000000"/>
      <w:sz w:val="24"/>
      <w:szCs w:val="24"/>
    </w:rPr>
  </w:style>
  <w:style w:type="character" w:customStyle="1" w:styleId="85">
    <w:name w:val="报告 Char Char"/>
    <w:link w:val="86"/>
    <w:qFormat/>
    <w:locked/>
    <w:uiPriority w:val="0"/>
    <w:rPr>
      <w:rFonts w:ascii="Times New Roman" w:hAnsi="Times New Roman"/>
      <w:sz w:val="24"/>
    </w:rPr>
  </w:style>
  <w:style w:type="paragraph" w:customStyle="1" w:styleId="86">
    <w:name w:val="报告"/>
    <w:basedOn w:val="1"/>
    <w:link w:val="85"/>
    <w:qFormat/>
    <w:uiPriority w:val="0"/>
    <w:pPr>
      <w:adjustRightInd w:val="0"/>
      <w:spacing w:line="360" w:lineRule="auto"/>
      <w:ind w:firstLine="505"/>
    </w:pPr>
    <w:rPr>
      <w:rFonts w:ascii="Times New Roman" w:hAnsi="Times New Roman"/>
      <w:szCs w:val="20"/>
    </w:rPr>
  </w:style>
  <w:style w:type="paragraph" w:customStyle="1" w:styleId="87">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 w:type="paragraph" w:customStyle="1" w:styleId="88">
    <w:name w:val="正文格式"/>
    <w:basedOn w:val="1"/>
    <w:qFormat/>
    <w:uiPriority w:val="0"/>
    <w:pPr>
      <w:spacing w:line="360" w:lineRule="auto"/>
      <w:ind w:firstLine="560"/>
      <w:jc w:val="both"/>
    </w:pPr>
    <w:rPr>
      <w:rFonts w:ascii="宋体" w:hAnsi="宋体"/>
      <w:sz w:val="28"/>
      <w:szCs w:val="28"/>
    </w:rPr>
  </w:style>
  <w:style w:type="paragraph" w:customStyle="1" w:styleId="89">
    <w:name w:val="表题"/>
    <w:basedOn w:val="31"/>
    <w:qFormat/>
    <w:uiPriority w:val="0"/>
    <w:pPr>
      <w:adjustRightInd/>
      <w:snapToGrid w:val="0"/>
      <w:spacing w:line="240" w:lineRule="auto"/>
      <w:jc w:val="center"/>
    </w:pPr>
    <w:rPr>
      <w:rFonts w:eastAsia="黑体"/>
      <w:szCs w:val="20"/>
    </w:rPr>
  </w:style>
  <w:style w:type="paragraph" w:customStyle="1" w:styleId="90">
    <w:name w:val="标题 11"/>
    <w:basedOn w:val="1"/>
    <w:qFormat/>
    <w:uiPriority w:val="1"/>
    <w:pPr>
      <w:outlineLvl w:val="0"/>
    </w:pPr>
    <w:rPr>
      <w:rFonts w:ascii="黑体" w:eastAsia="黑体" w:cs="黑体"/>
      <w:b/>
      <w:bCs/>
      <w:sz w:val="36"/>
      <w:szCs w:val="36"/>
    </w:rPr>
  </w:style>
  <w:style w:type="paragraph" w:customStyle="1" w:styleId="91">
    <w:name w:val="报告表"/>
    <w:basedOn w:val="1"/>
    <w:qFormat/>
    <w:uiPriority w:val="0"/>
    <w:pPr>
      <w:wordWrap w:val="0"/>
      <w:adjustRightInd w:val="0"/>
      <w:snapToGrid w:val="0"/>
      <w:ind w:firstLine="200" w:firstLineChars="200"/>
      <w:jc w:val="left"/>
    </w:pPr>
  </w:style>
  <w:style w:type="paragraph" w:customStyle="1" w:styleId="92">
    <w:name w:val="-正文"/>
    <w:basedOn w:val="1"/>
    <w:qFormat/>
    <w:uiPriority w:val="0"/>
    <w:pPr>
      <w:spacing w:line="480" w:lineRule="exact"/>
      <w:ind w:firstLine="480" w:firstLineChars="200"/>
    </w:pPr>
    <w:rPr>
      <w:rFonts w:cs="宋体"/>
      <w:sz w:val="24"/>
      <w:szCs w:val="20"/>
    </w:rPr>
  </w:style>
  <w:style w:type="paragraph" w:customStyle="1" w:styleId="93">
    <w:name w:val="表格文字"/>
    <w:basedOn w:val="88"/>
    <w:next w:val="1"/>
    <w:qFormat/>
    <w:uiPriority w:val="99"/>
    <w:pPr>
      <w:widowControl w:val="0"/>
      <w:autoSpaceDE w:val="0"/>
      <w:autoSpaceDN w:val="0"/>
      <w:adjustRightInd w:val="0"/>
      <w:spacing w:line="320" w:lineRule="exact"/>
      <w:jc w:val="center"/>
      <w:textAlignment w:val="baseline"/>
    </w:pPr>
    <w:rPr>
      <w:rFonts w:ascii="宋体" w:hAnsi="Times New Roman" w:eastAsia="宋体" w:cs="Times New Roman"/>
      <w:color w:val="000000"/>
      <w:sz w:val="24"/>
      <w:lang w:val="en-US" w:eastAsia="zh-CN" w:bidi="ar-SA"/>
    </w:rPr>
  </w:style>
  <w:style w:type="paragraph" w:customStyle="1" w:styleId="94">
    <w:name w:val="样式标题5"/>
    <w:basedOn w:val="1"/>
    <w:next w:val="95"/>
    <w:qFormat/>
    <w:uiPriority w:val="0"/>
    <w:pPr>
      <w:spacing w:line="520" w:lineRule="exact"/>
      <w:ind w:firstLine="400"/>
    </w:pPr>
  </w:style>
  <w:style w:type="paragraph" w:customStyle="1" w:styleId="95">
    <w:name w:val="报告书正文"/>
    <w:basedOn w:val="1"/>
    <w:next w:val="1"/>
    <w:qFormat/>
    <w:uiPriority w:val="0"/>
    <w:pPr>
      <w:spacing w:line="360" w:lineRule="auto"/>
      <w:ind w:firstLine="200" w:firstLineChars="200"/>
    </w:pPr>
  </w:style>
  <w:style w:type="paragraph" w:customStyle="1" w:styleId="96">
    <w:name w:val="正文（标准）"/>
    <w:basedOn w:val="1"/>
    <w:qFormat/>
    <w:uiPriority w:val="0"/>
    <w:pPr>
      <w:adjustRightInd w:val="0"/>
      <w:spacing w:line="360" w:lineRule="auto"/>
      <w:ind w:firstLine="200" w:firstLineChars="200"/>
    </w:pPr>
    <w:rPr>
      <w:rFonts w:ascii="Times New Roman" w:hAnsi="Times New Roman"/>
      <w:sz w:val="24"/>
      <w:szCs w:val="30"/>
    </w:rPr>
  </w:style>
  <w:style w:type="paragraph" w:customStyle="1" w:styleId="97">
    <w:name w:val="5正文"/>
    <w:basedOn w:val="1"/>
    <w:qFormat/>
    <w:uiPriority w:val="0"/>
    <w:pPr>
      <w:spacing w:line="520" w:lineRule="exact"/>
      <w:ind w:firstLine="200" w:firstLineChars="200"/>
    </w:pPr>
    <w:rPr>
      <w:rFonts w:ascii="Times New Roman" w:hAnsi="Times New Roman"/>
      <w:sz w:val="24"/>
    </w:rPr>
  </w:style>
  <w:style w:type="paragraph" w:customStyle="1" w:styleId="9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99">
    <w:name w:val="表格文字2"/>
    <w:basedOn w:val="1"/>
    <w:qFormat/>
    <w:uiPriority w:val="99"/>
    <w:pPr>
      <w:adjustRightInd w:val="0"/>
      <w:spacing w:before="60" w:line="320" w:lineRule="exact"/>
      <w:jc w:val="center"/>
      <w:textAlignment w:val="baseline"/>
    </w:pPr>
    <w:rPr>
      <w:rFonts w:ascii="宋体" w:hAnsi="Times New Roman"/>
      <w:kern w:val="0"/>
      <w:sz w:val="24"/>
      <w:szCs w:val="20"/>
    </w:rPr>
  </w:style>
  <w:style w:type="paragraph" w:customStyle="1" w:styleId="100">
    <w:name w:val="表格内容"/>
    <w:basedOn w:val="12"/>
    <w:next w:val="21"/>
    <w:qFormat/>
    <w:uiPriority w:val="0"/>
    <w:pPr>
      <w:spacing w:line="360" w:lineRule="auto"/>
      <w:jc w:val="center"/>
    </w:pPr>
    <w:rPr>
      <w:color w:val="000000"/>
    </w:rPr>
  </w:style>
  <w:style w:type="paragraph" w:customStyle="1" w:styleId="101">
    <w:name w:val="表格字体"/>
    <w:qFormat/>
    <w:uiPriority w:val="99"/>
    <w:pPr>
      <w:snapToGrid w:val="0"/>
      <w:jc w:val="center"/>
    </w:pPr>
    <w:rPr>
      <w:rFonts w:ascii="Times New Roman" w:hAnsi="Times New Roman" w:eastAsia="宋体" w:cs="Times New Roman"/>
      <w:kern w:val="2"/>
      <w:sz w:val="21"/>
      <w:lang w:val="en-US" w:eastAsia="zh-CN" w:bidi="ar-SA"/>
    </w:rPr>
  </w:style>
  <w:style w:type="paragraph" w:customStyle="1" w:styleId="102">
    <w:name w:val="【正文】"/>
    <w:basedOn w:val="1"/>
    <w:qFormat/>
    <w:uiPriority w:val="0"/>
    <w:pPr>
      <w:spacing w:line="440" w:lineRule="exact"/>
      <w:ind w:firstLine="544" w:firstLineChars="200"/>
    </w:pPr>
    <w:rPr>
      <w:spacing w:val="4"/>
    </w:rPr>
  </w:style>
  <w:style w:type="paragraph" w:customStyle="1" w:styleId="103">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4">
    <w:name w:val="表格标题-xin"/>
    <w:basedOn w:val="1"/>
    <w:next w:val="3"/>
    <w:semiHidden/>
    <w:qFormat/>
    <w:uiPriority w:val="0"/>
    <w:pPr>
      <w:snapToGrid w:val="0"/>
      <w:ind w:left="0"/>
      <w:jc w:val="center"/>
    </w:pPr>
    <w:rPr>
      <w:rFonts w:eastAsia="黑体"/>
    </w:rPr>
  </w:style>
  <w:style w:type="paragraph" w:customStyle="1" w:styleId="105">
    <w:name w:val="WPSOffice手动目录 1"/>
    <w:qFormat/>
    <w:uiPriority w:val="0"/>
    <w:rPr>
      <w:rFonts w:ascii="Times New Roman" w:hAnsi="Times New Roman" w:eastAsia="宋体" w:cs="Times New Roman"/>
      <w:lang w:val="en-US" w:eastAsia="zh-CN" w:bidi="ar-SA"/>
    </w:rPr>
  </w:style>
  <w:style w:type="paragraph" w:customStyle="1" w:styleId="106">
    <w:name w:val="新格式表"/>
    <w:basedOn w:val="1"/>
    <w:qFormat/>
    <w:uiPriority w:val="0"/>
    <w:pPr>
      <w:adjustRightInd w:val="0"/>
      <w:snapToGrid w:val="0"/>
      <w:spacing w:line="240" w:lineRule="atLeast"/>
      <w:jc w:val="center"/>
    </w:pPr>
    <w:rPr>
      <w:rFonts w:ascii="Calibri" w:hAnsi="Calibri"/>
      <w:bCs/>
      <w:color w:val="000000"/>
      <w:kern w:val="2"/>
      <w:sz w:val="21"/>
      <w:szCs w:val="21"/>
    </w:rPr>
  </w:style>
  <w:style w:type="paragraph" w:customStyle="1" w:styleId="107">
    <w:name w:val="图表标题"/>
    <w:next w:val="1"/>
    <w:qFormat/>
    <w:uiPriority w:val="0"/>
    <w:pPr>
      <w:adjustRightInd w:val="0"/>
      <w:snapToGrid w:val="0"/>
      <w:jc w:val="center"/>
    </w:pPr>
    <w:rPr>
      <w:rFonts w:ascii="Times New Roman" w:hAnsi="Times New Roman" w:eastAsia="宋体" w:cs="Times New Roman"/>
      <w:b/>
      <w:kern w:val="2"/>
      <w:sz w:val="21"/>
      <w:szCs w:val="24"/>
      <w:lang w:val="en-US" w:eastAsia="zh-CN" w:bidi="ar-SA"/>
    </w:rPr>
  </w:style>
  <w:style w:type="paragraph" w:customStyle="1" w:styleId="108">
    <w:name w:val="0 正文"/>
    <w:basedOn w:val="1"/>
    <w:qFormat/>
    <w:uiPriority w:val="0"/>
    <w:pPr>
      <w:adjustRightInd w:val="0"/>
      <w:snapToGrid w:val="0"/>
      <w:spacing w:line="360" w:lineRule="auto"/>
      <w:ind w:firstLine="200" w:firstLineChars="200"/>
    </w:pPr>
    <w:rPr>
      <w:rFonts w:ascii="Times New Roman" w:hAnsi="Times New Roman"/>
      <w:kern w:val="2"/>
    </w:rPr>
  </w:style>
  <w:style w:type="paragraph" w:customStyle="1" w:styleId="109">
    <w:name w:val="纯文本1"/>
    <w:basedOn w:val="1"/>
    <w:next w:val="1"/>
    <w:qFormat/>
    <w:uiPriority w:val="0"/>
    <w:pPr>
      <w:adjustRightInd w:val="0"/>
      <w:snapToGrid w:val="0"/>
      <w:spacing w:line="240" w:lineRule="atLeast"/>
      <w:ind w:left="-105" w:leftChars="-50" w:right="-105" w:rightChars="-50"/>
      <w:jc w:val="center"/>
    </w:pPr>
    <w:rPr>
      <w:szCs w:val="21"/>
    </w:rPr>
  </w:style>
  <w:style w:type="paragraph" w:customStyle="1" w:styleId="110">
    <w:name w:val="Heading 3"/>
    <w:basedOn w:val="1"/>
    <w:qFormat/>
    <w:uiPriority w:val="1"/>
    <w:pPr>
      <w:spacing w:before="92"/>
      <w:ind w:left="128"/>
      <w:outlineLvl w:val="2"/>
    </w:pPr>
    <w:rPr>
      <w:b/>
      <w:bCs/>
      <w:sz w:val="28"/>
      <w:szCs w:val="28"/>
    </w:rPr>
  </w:style>
  <w:style w:type="paragraph" w:customStyle="1" w:styleId="111">
    <w:name w:val="样式17"/>
    <w:basedOn w:val="1"/>
    <w:qFormat/>
    <w:uiPriority w:val="0"/>
    <w:pPr>
      <w:jc w:val="center"/>
    </w:pPr>
    <w:rPr>
      <w:szCs w:val="21"/>
    </w:rPr>
  </w:style>
  <w:style w:type="paragraph" w:customStyle="1" w:styleId="112">
    <w:name w:val="样式 首行缩进"/>
    <w:basedOn w:val="1"/>
    <w:qFormat/>
    <w:uiPriority w:val="0"/>
    <w:pPr>
      <w:keepNext w:val="0"/>
      <w:keepLines w:val="0"/>
      <w:widowControl w:val="0"/>
      <w:suppressLineNumbers w:val="0"/>
      <w:spacing w:before="60" w:beforeAutospacing="0" w:after="60" w:afterAutospacing="0" w:line="360" w:lineRule="auto"/>
      <w:ind w:left="0" w:right="0" w:firstLine="480" w:firstLineChars="200"/>
      <w:jc w:val="both"/>
    </w:pPr>
    <w:rPr>
      <w:rFonts w:hint="default" w:ascii="Times New Roman" w:hAnsi="Times New Roman" w:eastAsia="宋体" w:cs="宋体"/>
      <w:kern w:val="2"/>
      <w:sz w:val="24"/>
      <w:szCs w:val="20"/>
      <w:lang w:val="en-US" w:eastAsia="zh-CN" w:bidi="ar"/>
    </w:rPr>
  </w:style>
  <w:style w:type="paragraph" w:customStyle="1" w:styleId="113">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114">
    <w:name w:val="表格题名"/>
    <w:qFormat/>
    <w:uiPriority w:val="0"/>
    <w:pPr>
      <w:adjustRightInd w:val="0"/>
      <w:spacing w:before="100" w:after="100"/>
      <w:jc w:val="center"/>
      <w:textAlignment w:val="baseline"/>
    </w:pPr>
    <w:rPr>
      <w:rFonts w:ascii="Times New Roman" w:hAnsi="Times New Roman" w:eastAsia="宋体" w:cs="Times New Roman"/>
      <w:b/>
      <w:sz w:val="24"/>
      <w:lang w:val="en-US" w:eastAsia="zh-CN" w:bidi="ar-SA"/>
    </w:rPr>
  </w:style>
  <w:style w:type="paragraph" w:customStyle="1" w:styleId="115">
    <w:name w:val="表格标题-5"/>
    <w:basedOn w:val="104"/>
    <w:next w:val="1"/>
    <w:qFormat/>
    <w:uiPriority w:val="0"/>
    <w:pPr>
      <w:numPr>
        <w:ilvl w:val="0"/>
        <w:numId w:val="3"/>
      </w:numPr>
    </w:pPr>
    <w:rPr>
      <w:rFonts w:ascii="Times New Roman"/>
    </w:rPr>
  </w:style>
  <w:style w:type="paragraph" w:customStyle="1" w:styleId="116">
    <w:name w:val="p0"/>
    <w:basedOn w:val="1"/>
    <w:qFormat/>
    <w:uiPriority w:val="0"/>
    <w:pPr>
      <w:widowControl/>
    </w:pPr>
    <w:rPr>
      <w:kern w:val="0"/>
      <w:szCs w:val="21"/>
    </w:rPr>
  </w:style>
  <w:style w:type="paragraph" w:customStyle="1" w:styleId="117">
    <w:name w:val="_Style 12"/>
    <w:qFormat/>
    <w:uiPriority w:val="1"/>
    <w:pPr>
      <w:widowControl w:val="0"/>
      <w:spacing w:line="360" w:lineRule="auto"/>
      <w:ind w:right="-675" w:rightChars="-675"/>
      <w:jc w:val="both"/>
    </w:pPr>
    <w:rPr>
      <w:rFonts w:ascii="Times New Roman" w:hAnsi="Times New Roman" w:eastAsia="宋体" w:cs="Times New Roman"/>
      <w:kern w:val="2"/>
      <w:sz w:val="24"/>
      <w:szCs w:val="24"/>
      <w:lang w:val="en-US" w:eastAsia="zh-CN" w:bidi="ar-SA"/>
    </w:rPr>
  </w:style>
  <w:style w:type="paragraph" w:customStyle="1" w:styleId="118">
    <w:name w:val="表格名称"/>
    <w:basedOn w:val="83"/>
    <w:qFormat/>
    <w:uiPriority w:val="0"/>
    <w:rPr>
      <w:b/>
      <w:sz w:val="24"/>
    </w:rPr>
  </w:style>
  <w:style w:type="paragraph" w:customStyle="1" w:styleId="119">
    <w:name w:val="正文-黑体"/>
    <w:basedOn w:val="70"/>
    <w:qFormat/>
    <w:uiPriority w:val="0"/>
    <w:rPr>
      <w:rFonts w:eastAsia="黑体"/>
    </w:rPr>
  </w:style>
  <w:style w:type="paragraph" w:customStyle="1" w:styleId="120">
    <w:name w:val="君邦正文"/>
    <w:qFormat/>
    <w:uiPriority w:val="99"/>
    <w:pPr>
      <w:spacing w:after="60" w:line="360" w:lineRule="auto"/>
      <w:ind w:firstLine="480" w:firstLineChars="200"/>
      <w:jc w:val="both"/>
    </w:pPr>
    <w:rPr>
      <w:rFonts w:ascii="Times New Roman" w:hAnsi="Times New Roman" w:eastAsia="宋体" w:cs="Times New Roman"/>
      <w:bCs/>
      <w:sz w:val="24"/>
      <w:lang w:val="en-US" w:eastAsia="zh-CN" w:bidi="ar-SA"/>
    </w:rPr>
  </w:style>
  <w:style w:type="paragraph" w:customStyle="1" w:styleId="121">
    <w:name w:val="表内容"/>
    <w:basedOn w:val="1"/>
    <w:next w:val="92"/>
    <w:qFormat/>
    <w:uiPriority w:val="0"/>
    <w:pPr>
      <w:spacing w:line="240" w:lineRule="auto"/>
      <w:jc w:val="center"/>
    </w:pPr>
    <w:rPr>
      <w:sz w:val="21"/>
      <w:szCs w:val="21"/>
    </w:rPr>
  </w:style>
  <w:style w:type="paragraph" w:customStyle="1" w:styleId="122">
    <w:name w:val="表格内文字1"/>
    <w:qFormat/>
    <w:uiPriority w:val="0"/>
    <w:pPr>
      <w:widowControl w:val="0"/>
      <w:jc w:val="center"/>
    </w:pPr>
    <w:rPr>
      <w:rFonts w:ascii="Times New Roman" w:hAnsi="Times New Roman" w:eastAsia="宋体" w:cs="Times New Roman"/>
      <w:color w:val="000000"/>
      <w:kern w:val="2"/>
      <w:sz w:val="21"/>
      <w:szCs w:val="24"/>
      <w:lang w:val="en-US" w:eastAsia="zh-CN" w:bidi="ar-SA"/>
    </w:rPr>
  </w:style>
  <w:style w:type="paragraph" w:customStyle="1" w:styleId="123">
    <w:name w:val="表格标题"/>
    <w:basedOn w:val="100"/>
    <w:qFormat/>
    <w:uiPriority w:val="0"/>
    <w:pPr>
      <w:spacing w:before="120"/>
      <w:jc w:val="center"/>
    </w:pPr>
    <w:rPr>
      <w:rFonts w:eastAsia="仿宋_GB2312"/>
      <w:szCs w:val="20"/>
    </w:rPr>
  </w:style>
  <w:style w:type="paragraph" w:customStyle="1" w:styleId="124">
    <w:name w:val="正文2"/>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125">
    <w:name w:val="二级标题"/>
    <w:basedOn w:val="1"/>
    <w:qFormat/>
    <w:uiPriority w:val="99"/>
    <w:pPr>
      <w:outlineLvl w:val="1"/>
    </w:pPr>
    <w:rPr>
      <w:rFonts w:eastAsia="黑体"/>
      <w:sz w:val="30"/>
    </w:rPr>
  </w:style>
  <w:style w:type="paragraph" w:customStyle="1" w:styleId="126">
    <w:name w:val="表格中文字"/>
    <w:basedOn w:val="1"/>
    <w:qFormat/>
    <w:uiPriority w:val="0"/>
    <w:pPr>
      <w:adjustRightInd w:val="0"/>
      <w:snapToGrid w:val="0"/>
      <w:spacing w:line="240" w:lineRule="auto"/>
      <w:ind w:firstLine="0" w:firstLineChars="0"/>
      <w:jc w:val="center"/>
    </w:pPr>
    <w:rPr>
      <w:rFonts w:cs="Times New Roman"/>
      <w:kern w:val="18"/>
      <w:sz w:val="21"/>
      <w:szCs w:val="21"/>
    </w:rPr>
  </w:style>
  <w:style w:type="paragraph" w:customStyle="1" w:styleId="127">
    <w:name w:val="Heading 1"/>
    <w:basedOn w:val="1"/>
    <w:qFormat/>
    <w:uiPriority w:val="1"/>
    <w:pPr>
      <w:outlineLvl w:val="0"/>
    </w:pPr>
    <w:rPr>
      <w:rFonts w:ascii="黑体" w:eastAsia="黑体" w:cs="黑体"/>
      <w:b/>
      <w:bCs/>
      <w:sz w:val="36"/>
      <w:szCs w:val="36"/>
    </w:rPr>
  </w:style>
  <w:style w:type="paragraph" w:customStyle="1" w:styleId="128">
    <w:name w:val="正文文本1"/>
    <w:basedOn w:val="1"/>
    <w:qFormat/>
    <w:uiPriority w:val="0"/>
    <w:pPr>
      <w:spacing w:line="480" w:lineRule="exact"/>
      <w:ind w:firstLine="200" w:firstLineChars="200"/>
    </w:pPr>
    <w:rPr>
      <w:color w:val="000000"/>
      <w:sz w:val="24"/>
    </w:rPr>
  </w:style>
  <w:style w:type="paragraph" w:customStyle="1" w:styleId="129">
    <w:name w:val="0正文"/>
    <w:basedOn w:val="19"/>
    <w:unhideWhenUsed/>
    <w:qFormat/>
    <w:uiPriority w:val="0"/>
    <w:pPr>
      <w:ind w:firstLine="720"/>
    </w:pPr>
    <w:rPr>
      <w:sz w:val="24"/>
    </w:rPr>
  </w:style>
  <w:style w:type="paragraph" w:customStyle="1" w:styleId="130">
    <w:name w:val="表格标题-1"/>
    <w:basedOn w:val="104"/>
    <w:next w:val="1"/>
    <w:qFormat/>
    <w:uiPriority w:val="0"/>
    <w:pPr>
      <w:numPr>
        <w:ilvl w:val="0"/>
        <w:numId w:val="4"/>
      </w:numPr>
    </w:pPr>
    <w:rPr>
      <w:rFonts w:ascii="Times New Roman"/>
    </w:rPr>
  </w:style>
  <w:style w:type="paragraph" w:customStyle="1" w:styleId="131">
    <w:name w:val="表格样式"/>
    <w:basedOn w:val="111"/>
    <w:qFormat/>
    <w:uiPriority w:val="0"/>
    <w:rPr>
      <w:b/>
    </w:rPr>
  </w:style>
  <w:style w:type="paragraph" w:customStyle="1" w:styleId="132">
    <w:name w:val="图文框"/>
    <w:basedOn w:val="1"/>
    <w:qFormat/>
    <w:uiPriority w:val="0"/>
    <w:pPr>
      <w:autoSpaceDE w:val="0"/>
      <w:autoSpaceDN w:val="0"/>
      <w:adjustRightInd w:val="0"/>
      <w:snapToGrid w:val="0"/>
      <w:spacing w:before="36" w:after="36" w:line="240" w:lineRule="exact"/>
      <w:jc w:val="center"/>
      <w:textAlignment w:val="baseline"/>
    </w:pPr>
    <w:rPr>
      <w:color w:val="000000"/>
      <w:sz w:val="21"/>
      <w:szCs w:val="21"/>
    </w:rPr>
  </w:style>
  <w:style w:type="paragraph" w:customStyle="1" w:styleId="133">
    <w:name w:val="TOC 标题1"/>
    <w:basedOn w:val="3"/>
    <w:next w:val="1"/>
    <w:unhideWhenUsed/>
    <w:qFormat/>
    <w:uiPriority w:val="39"/>
    <w:pPr>
      <w:widowControl/>
      <w:spacing w:before="240" w:after="0" w:line="259" w:lineRule="auto"/>
      <w:jc w:val="left"/>
      <w:outlineLvl w:val="9"/>
    </w:pPr>
    <w:rPr>
      <w:rFonts w:ascii="Calibri Light" w:hAnsi="Calibri Light"/>
      <w:b w:val="0"/>
      <w:bCs w:val="0"/>
      <w:color w:val="2E75B5"/>
      <w:kern w:val="0"/>
      <w:sz w:val="32"/>
      <w:szCs w:val="32"/>
    </w:rPr>
  </w:style>
  <w:style w:type="paragraph" w:customStyle="1" w:styleId="134">
    <w:name w:val="0"/>
    <w:basedOn w:val="1"/>
    <w:qFormat/>
    <w:uiPriority w:val="0"/>
    <w:pPr>
      <w:widowControl/>
      <w:spacing w:before="100" w:beforeAutospacing="1" w:after="100" w:afterAutospacing="1" w:line="360" w:lineRule="auto"/>
      <w:jc w:val="left"/>
    </w:pPr>
  </w:style>
  <w:style w:type="paragraph" w:customStyle="1" w:styleId="135">
    <w:name w:val="报告表格"/>
    <w:basedOn w:val="1"/>
    <w:qFormat/>
    <w:uiPriority w:val="0"/>
    <w:pPr>
      <w:autoSpaceDE w:val="0"/>
      <w:autoSpaceDN w:val="0"/>
      <w:spacing w:before="40" w:after="40"/>
      <w:ind w:firstLine="1040" w:firstLineChars="200"/>
      <w:jc w:val="center"/>
      <w:textAlignment w:val="bottom"/>
    </w:pPr>
    <w:rPr>
      <w:rFonts w:ascii="Times New Roman" w:hAnsi="Times New Roman"/>
      <w:sz w:val="24"/>
      <w:szCs w:val="24"/>
    </w:rPr>
  </w:style>
  <w:style w:type="paragraph" w:customStyle="1" w:styleId="136">
    <w:name w:val="标题 31"/>
    <w:basedOn w:val="1"/>
    <w:qFormat/>
    <w:uiPriority w:val="1"/>
    <w:pPr>
      <w:spacing w:before="92"/>
      <w:ind w:left="128"/>
      <w:outlineLvl w:val="2"/>
    </w:pPr>
    <w:rPr>
      <w:b/>
      <w:bCs/>
      <w:sz w:val="28"/>
      <w:szCs w:val="28"/>
    </w:rPr>
  </w:style>
  <w:style w:type="paragraph" w:customStyle="1" w:styleId="137">
    <w:name w:val="List Paragraph"/>
    <w:basedOn w:val="1"/>
    <w:qFormat/>
    <w:uiPriority w:val="34"/>
    <w:pPr>
      <w:ind w:firstLine="420" w:firstLineChars="200"/>
    </w:pPr>
  </w:style>
  <w:style w:type="paragraph" w:customStyle="1" w:styleId="138">
    <w:name w:val="WPSOffice手动目录 2"/>
    <w:qFormat/>
    <w:uiPriority w:val="0"/>
    <w:pPr>
      <w:ind w:leftChars="200"/>
    </w:pPr>
    <w:rPr>
      <w:rFonts w:ascii="Times New Roman" w:hAnsi="Times New Roman" w:eastAsia="宋体" w:cs="Times New Roman"/>
      <w:lang w:val="en-US" w:eastAsia="zh-CN" w:bidi="ar-SA"/>
    </w:rPr>
  </w:style>
  <w:style w:type="paragraph" w:customStyle="1" w:styleId="139">
    <w:name w:val="闽科书表格文字"/>
    <w:qFormat/>
    <w:uiPriority w:val="0"/>
    <w:pPr>
      <w:widowControl w:val="0"/>
      <w:jc w:val="center"/>
    </w:pPr>
    <w:rPr>
      <w:rFonts w:ascii="Times New Roman" w:hAnsi="Times New Roman" w:eastAsia="宋体" w:cs="Courier New"/>
      <w:kern w:val="2"/>
      <w:sz w:val="18"/>
      <w:szCs w:val="18"/>
      <w:lang w:val="en-US" w:eastAsia="zh-CN" w:bidi="ar-SA"/>
    </w:rPr>
  </w:style>
  <w:style w:type="paragraph" w:customStyle="1" w:styleId="140">
    <w:name w:val="Revision"/>
    <w:semiHidden/>
    <w:qFormat/>
    <w:uiPriority w:val="99"/>
    <w:rPr>
      <w:rFonts w:ascii="Times New Roman" w:hAnsi="Times New Roman" w:eastAsia="宋体" w:cs="Times New Roman"/>
      <w:kern w:val="2"/>
      <w:sz w:val="21"/>
      <w:szCs w:val="22"/>
      <w:lang w:val="en-US" w:eastAsia="zh-CN" w:bidi="ar-SA"/>
    </w:rPr>
  </w:style>
  <w:style w:type="paragraph" w:customStyle="1" w:styleId="141">
    <w:name w:val="表格首行"/>
    <w:basedOn w:val="1"/>
    <w:next w:val="3"/>
    <w:qFormat/>
    <w:uiPriority w:val="0"/>
    <w:pPr>
      <w:adjustRightInd w:val="0"/>
      <w:jc w:val="center"/>
    </w:pPr>
    <w:rPr>
      <w:rFonts w:cs="宋体"/>
      <w:b/>
      <w:szCs w:val="20"/>
    </w:rPr>
  </w:style>
  <w:style w:type="paragraph" w:customStyle="1" w:styleId="142">
    <w:name w:val="表头样式"/>
    <w:basedOn w:val="1"/>
    <w:qFormat/>
    <w:uiPriority w:val="0"/>
    <w:pPr>
      <w:spacing w:beforeLines="50" w:afterLines="50"/>
      <w:jc w:val="center"/>
    </w:pPr>
    <w:rPr>
      <w:b/>
      <w:szCs w:val="21"/>
    </w:rPr>
  </w:style>
  <w:style w:type="paragraph" w:customStyle="1" w:styleId="143">
    <w:name w:val="正文01"/>
    <w:basedOn w:val="1"/>
    <w:qFormat/>
    <w:uiPriority w:val="0"/>
    <w:pPr>
      <w:spacing w:line="460" w:lineRule="exact"/>
    </w:pPr>
    <w:rPr>
      <w:rFonts w:ascii="Calibri" w:hAnsi="Calibri" w:cs="Times New Roman"/>
      <w:kern w:val="2"/>
    </w:rPr>
  </w:style>
  <w:style w:type="paragraph" w:customStyle="1" w:styleId="144">
    <w:name w:val="正文文本缩进 21"/>
    <w:basedOn w:val="1"/>
    <w:qFormat/>
    <w:uiPriority w:val="0"/>
    <w:pPr>
      <w:spacing w:line="440" w:lineRule="exact"/>
      <w:ind w:firstLine="435"/>
    </w:pPr>
    <w:rPr>
      <w:rFonts w:ascii="Times New Roman" w:hAnsi="Times New Roman"/>
      <w:sz w:val="24"/>
      <w:szCs w:val="20"/>
    </w:rPr>
  </w:style>
  <w:style w:type="paragraph" w:customStyle="1" w:styleId="145">
    <w:name w:val="表头"/>
    <w:basedOn w:val="123"/>
    <w:qFormat/>
    <w:uiPriority w:val="0"/>
    <w:pPr>
      <w:spacing w:line="240" w:lineRule="auto"/>
    </w:pPr>
  </w:style>
  <w:style w:type="paragraph" w:customStyle="1" w:styleId="146">
    <w:name w:val="批注"/>
    <w:basedOn w:val="1"/>
    <w:next w:val="1"/>
    <w:qFormat/>
    <w:uiPriority w:val="0"/>
    <w:pPr>
      <w:adjustRightInd/>
      <w:ind w:left="0" w:firstLine="525" w:firstLineChars="250"/>
    </w:pPr>
    <w:rPr>
      <w:rFonts w:cs="宋体"/>
    </w:rPr>
  </w:style>
  <w:style w:type="paragraph" w:customStyle="1" w:styleId="147">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48">
    <w:name w:val="表格表头"/>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49">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150">
    <w:name w:val="char"/>
    <w:basedOn w:val="1"/>
    <w:qFormat/>
    <w:uiPriority w:val="0"/>
    <w:pPr>
      <w:spacing w:line="360" w:lineRule="auto"/>
      <w:ind w:firstLine="560" w:firstLineChars="200"/>
    </w:pPr>
    <w:rPr>
      <w:iCs/>
      <w:kern w:val="2"/>
      <w:sz w:val="28"/>
      <w:szCs w:val="28"/>
    </w:rPr>
  </w:style>
  <w:style w:type="paragraph" w:customStyle="1" w:styleId="151">
    <w:name w:val="妇幼正文"/>
    <w:basedOn w:val="1"/>
    <w:qFormat/>
    <w:uiPriority w:val="0"/>
    <w:pPr>
      <w:adjustRightInd w:val="0"/>
      <w:spacing w:line="360" w:lineRule="auto"/>
      <w:ind w:firstLine="480" w:firstLineChars="200"/>
    </w:pPr>
    <w:rPr>
      <w:color w:val="000000"/>
      <w:sz w:val="24"/>
    </w:rPr>
  </w:style>
  <w:style w:type="paragraph" w:customStyle="1" w:styleId="152">
    <w:name w:val="表格标题-3"/>
    <w:basedOn w:val="104"/>
    <w:next w:val="1"/>
    <w:qFormat/>
    <w:uiPriority w:val="0"/>
    <w:pPr>
      <w:numPr>
        <w:ilvl w:val="0"/>
        <w:numId w:val="5"/>
      </w:numPr>
      <w:ind w:left="0" w:firstLine="0"/>
    </w:pPr>
    <w:rPr>
      <w:rFonts w:ascii="Times New Roman"/>
    </w:rPr>
  </w:style>
  <w:style w:type="paragraph" w:customStyle="1" w:styleId="153">
    <w:name w:val="样式 正文缩进 + 首行缩进:  2 字符"/>
    <w:basedOn w:val="12"/>
    <w:qFormat/>
    <w:uiPriority w:val="0"/>
    <w:pPr>
      <w:widowControl/>
      <w:spacing w:line="500" w:lineRule="exact"/>
      <w:ind w:firstLine="200" w:firstLineChars="200"/>
      <w:jc w:val="left"/>
    </w:pPr>
    <w:rPr>
      <w:sz w:val="24"/>
    </w:rPr>
  </w:style>
  <w:style w:type="paragraph" w:customStyle="1" w:styleId="154">
    <w:name w:val="表格式"/>
    <w:basedOn w:val="31"/>
    <w:qFormat/>
    <w:uiPriority w:val="0"/>
    <w:pPr>
      <w:spacing w:beforeLines="50" w:afterLines="50" w:line="200" w:lineRule="exact"/>
    </w:pPr>
  </w:style>
  <w:style w:type="table" w:customStyle="1" w:styleId="155">
    <w:name w:val="网格型1"/>
    <w:basedOn w:val="40"/>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
    <w:name w:val="网格型6"/>
    <w:basedOn w:val="40"/>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57">
    <w:name w:val="表格标题-2"/>
    <w:basedOn w:val="104"/>
    <w:next w:val="1"/>
    <w:qFormat/>
    <w:uiPriority w:val="0"/>
    <w:pPr>
      <w:numPr>
        <w:ilvl w:val="0"/>
        <w:numId w:val="6"/>
      </w:numPr>
    </w:pPr>
  </w:style>
  <w:style w:type="paragraph" w:customStyle="1" w:styleId="158">
    <w:name w:val="表后隔行"/>
    <w:basedOn w:val="96"/>
    <w:qFormat/>
    <w:uiPriority w:val="0"/>
    <w:pPr>
      <w:spacing w:line="240" w:lineRule="auto"/>
    </w:pPr>
  </w:style>
  <w:style w:type="paragraph" w:customStyle="1" w:styleId="159">
    <w:name w:val="表标题"/>
    <w:basedOn w:val="1"/>
    <w:next w:val="83"/>
    <w:qFormat/>
    <w:uiPriority w:val="0"/>
    <w:pPr>
      <w:ind w:firstLine="470" w:firstLineChars="195"/>
      <w:jc w:val="center"/>
    </w:pPr>
    <w:rPr>
      <w:rFonts w:eastAsia="黑体"/>
      <w:bCs/>
    </w:rPr>
  </w:style>
  <w:style w:type="paragraph" w:customStyle="1" w:styleId="160">
    <w:name w:val="样式 表头 + 段前: 0.5 行"/>
    <w:basedOn w:val="145"/>
    <w:qFormat/>
    <w:uiPriority w:val="0"/>
    <w:pPr>
      <w:framePr w:wrap="auto" w:vAnchor="margin" w:hAnchor="text" w:yAlign="top"/>
      <w:spacing w:beforeLines="30" w:line="360" w:lineRule="exact"/>
    </w:pPr>
    <w:rPr>
      <w:rFonts w:cs="宋体"/>
      <w:color w:val="000000"/>
      <w:kern w:val="0"/>
      <w:szCs w:val="20"/>
    </w:rPr>
  </w:style>
  <w:style w:type="paragraph" w:customStyle="1" w:styleId="161">
    <w:name w:val="真·正文"/>
    <w:basedOn w:val="1"/>
    <w:next w:val="162"/>
    <w:qFormat/>
    <w:uiPriority w:val="0"/>
    <w:pPr>
      <w:ind w:firstLine="200"/>
    </w:pPr>
    <w:rPr>
      <w:rFonts w:ascii="Calibri"/>
    </w:rPr>
  </w:style>
  <w:style w:type="paragraph" w:customStyle="1" w:styleId="162">
    <w:name w:val="1表格"/>
    <w:basedOn w:val="1"/>
    <w:next w:val="2"/>
    <w:qFormat/>
    <w:uiPriority w:val="0"/>
  </w:style>
  <w:style w:type="paragraph" w:customStyle="1" w:styleId="16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6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165">
    <w:name w:val="Table Grid_0"/>
    <w:basedOn w:val="4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6">
    <w:name w:val="10"/>
    <w:qFormat/>
    <w:uiPriority w:val="0"/>
    <w:rPr>
      <w:rFonts w:hint="eastAsia" w:ascii="仿宋" w:hAnsi="仿宋" w:eastAsia="仿宋"/>
    </w:rPr>
  </w:style>
  <w:style w:type="paragraph" w:customStyle="1" w:styleId="167">
    <w:name w:val="zw1"/>
    <w:basedOn w:val="1"/>
    <w:qFormat/>
    <w:uiPriority w:val="0"/>
    <w:pPr>
      <w:tabs>
        <w:tab w:val="left" w:pos="0"/>
      </w:tabs>
      <w:spacing w:line="440" w:lineRule="exact"/>
      <w:ind w:firstLine="200" w:firstLineChars="200"/>
    </w:pPr>
    <w:rPr>
      <w:sz w:val="24"/>
    </w:rPr>
  </w:style>
  <w:style w:type="paragraph" w:customStyle="1" w:styleId="168">
    <w:name w:val="样式1"/>
    <w:basedOn w:val="1"/>
    <w:qFormat/>
    <w:uiPriority w:val="0"/>
    <w:pPr>
      <w:spacing w:line="480" w:lineRule="exact"/>
    </w:pPr>
    <w:rPr>
      <w:b/>
    </w:rPr>
  </w:style>
  <w:style w:type="character" w:customStyle="1" w:styleId="169">
    <w:name w:val="15"/>
    <w:qFormat/>
    <w:uiPriority w:val="0"/>
    <w:rPr>
      <w:rFonts w:hint="default" w:ascii="Times New Roman" w:hAnsi="Times New Roman" w:eastAsia="宋体" w:cs="Times New Roman"/>
      <w:sz w:val="21"/>
      <w:szCs w:val="21"/>
    </w:rPr>
  </w:style>
  <w:style w:type="character" w:customStyle="1" w:styleId="170">
    <w:name w:val="font31"/>
    <w:basedOn w:val="42"/>
    <w:qFormat/>
    <w:uiPriority w:val="0"/>
    <w:rPr>
      <w:rFonts w:ascii="宋体" w:hAnsi="宋体" w:eastAsia="宋体" w:cs="宋体"/>
      <w:b/>
      <w:bCs/>
      <w:color w:val="000000"/>
      <w:sz w:val="26"/>
      <w:szCs w:val="26"/>
      <w:u w:val="none"/>
    </w:rPr>
  </w:style>
  <w:style w:type="character" w:customStyle="1" w:styleId="171">
    <w:name w:val="font41"/>
    <w:basedOn w:val="42"/>
    <w:qFormat/>
    <w:uiPriority w:val="0"/>
    <w:rPr>
      <w:rFonts w:ascii="宋体" w:hAnsi="宋体" w:eastAsia="宋体" w:cs="宋体"/>
      <w:color w:val="000000"/>
      <w:sz w:val="26"/>
      <w:szCs w:val="26"/>
      <w:u w:val="none"/>
    </w:rPr>
  </w:style>
  <w:style w:type="character" w:customStyle="1" w:styleId="172">
    <w:name w:val="font51"/>
    <w:basedOn w:val="42"/>
    <w:qFormat/>
    <w:uiPriority w:val="0"/>
    <w:rPr>
      <w:rFonts w:ascii="Calibri" w:hAnsi="Calibri" w:cs="Calibri"/>
      <w:color w:val="000000"/>
      <w:sz w:val="28"/>
      <w:szCs w:val="28"/>
      <w:u w:val="none"/>
    </w:rPr>
  </w:style>
  <w:style w:type="character" w:customStyle="1" w:styleId="173">
    <w:name w:val="font61"/>
    <w:basedOn w:val="42"/>
    <w:qFormat/>
    <w:uiPriority w:val="0"/>
    <w:rPr>
      <w:rFonts w:hint="default" w:ascii="Calibri" w:hAnsi="Calibri" w:cs="Calibri"/>
      <w:color w:val="000000"/>
      <w:sz w:val="26"/>
      <w:szCs w:val="26"/>
      <w:u w:val="none"/>
    </w:rPr>
  </w:style>
  <w:style w:type="character" w:customStyle="1" w:styleId="174">
    <w:name w:val="font11"/>
    <w:basedOn w:val="42"/>
    <w:qFormat/>
    <w:uiPriority w:val="0"/>
    <w:rPr>
      <w:rFonts w:ascii="宋体" w:hAnsi="宋体" w:eastAsia="宋体" w:cs="宋体"/>
      <w:b/>
      <w:bCs/>
      <w:color w:val="141815"/>
      <w:sz w:val="28"/>
      <w:szCs w:val="28"/>
      <w:u w:val="none"/>
    </w:rPr>
  </w:style>
  <w:style w:type="character" w:customStyle="1" w:styleId="175">
    <w:name w:val="font22"/>
    <w:basedOn w:val="42"/>
    <w:qFormat/>
    <w:uiPriority w:val="0"/>
    <w:rPr>
      <w:rFonts w:ascii="宋体" w:hAnsi="宋体" w:eastAsia="宋体" w:cs="宋体"/>
      <w:b/>
      <w:bCs/>
      <w:color w:val="131613"/>
      <w:sz w:val="28"/>
      <w:szCs w:val="28"/>
      <w:u w:val="none"/>
    </w:rPr>
  </w:style>
  <w:style w:type="character" w:customStyle="1" w:styleId="176">
    <w:name w:val="font91"/>
    <w:basedOn w:val="42"/>
    <w:qFormat/>
    <w:uiPriority w:val="0"/>
    <w:rPr>
      <w:rFonts w:ascii="宋体" w:hAnsi="宋体" w:eastAsia="宋体" w:cs="宋体"/>
      <w:b/>
      <w:bCs/>
      <w:color w:val="0C0E0C"/>
      <w:sz w:val="28"/>
      <w:szCs w:val="28"/>
      <w:u w:val="none"/>
    </w:rPr>
  </w:style>
  <w:style w:type="character" w:customStyle="1" w:styleId="177">
    <w:name w:val="font32"/>
    <w:basedOn w:val="42"/>
    <w:qFormat/>
    <w:uiPriority w:val="0"/>
    <w:rPr>
      <w:rFonts w:ascii="宋体" w:hAnsi="宋体" w:eastAsia="宋体" w:cs="宋体"/>
      <w:b/>
      <w:bCs/>
      <w:color w:val="111411"/>
      <w:sz w:val="28"/>
      <w:szCs w:val="28"/>
      <w:u w:val="none"/>
    </w:rPr>
  </w:style>
  <w:style w:type="character" w:customStyle="1" w:styleId="178">
    <w:name w:val="font101"/>
    <w:basedOn w:val="42"/>
    <w:qFormat/>
    <w:uiPriority w:val="0"/>
    <w:rPr>
      <w:rFonts w:ascii="宋体" w:hAnsi="宋体" w:eastAsia="宋体" w:cs="宋体"/>
      <w:color w:val="000000"/>
      <w:sz w:val="28"/>
      <w:szCs w:val="28"/>
      <w:u w:val="none"/>
    </w:rPr>
  </w:style>
  <w:style w:type="character" w:customStyle="1" w:styleId="179">
    <w:name w:val="font112"/>
    <w:basedOn w:val="42"/>
    <w:qFormat/>
    <w:uiPriority w:val="0"/>
    <w:rPr>
      <w:rFonts w:ascii="宋体" w:hAnsi="宋体" w:eastAsia="宋体" w:cs="宋体"/>
      <w:b/>
      <w:bCs/>
      <w:color w:val="4C5955"/>
      <w:sz w:val="28"/>
      <w:szCs w:val="28"/>
      <w:u w:val="none"/>
    </w:rPr>
  </w:style>
  <w:style w:type="character" w:customStyle="1" w:styleId="180">
    <w:name w:val="font121"/>
    <w:basedOn w:val="42"/>
    <w:qFormat/>
    <w:uiPriority w:val="0"/>
    <w:rPr>
      <w:rFonts w:ascii="宋体" w:hAnsi="宋体" w:eastAsia="宋体" w:cs="宋体"/>
      <w:color w:val="4C5955"/>
      <w:sz w:val="28"/>
      <w:szCs w:val="28"/>
      <w:u w:val="none"/>
    </w:rPr>
  </w:style>
  <w:style w:type="character" w:customStyle="1" w:styleId="181">
    <w:name w:val="font131"/>
    <w:basedOn w:val="42"/>
    <w:qFormat/>
    <w:uiPriority w:val="0"/>
    <w:rPr>
      <w:rFonts w:ascii="宋体" w:hAnsi="宋体" w:eastAsia="宋体" w:cs="宋体"/>
      <w:b/>
      <w:bCs/>
      <w:color w:val="4D5751"/>
      <w:sz w:val="28"/>
      <w:szCs w:val="28"/>
      <w:u w:val="none"/>
    </w:rPr>
  </w:style>
  <w:style w:type="character" w:customStyle="1" w:styleId="182">
    <w:name w:val="font141"/>
    <w:basedOn w:val="42"/>
    <w:qFormat/>
    <w:uiPriority w:val="0"/>
    <w:rPr>
      <w:rFonts w:ascii="宋体" w:hAnsi="宋体" w:eastAsia="宋体" w:cs="宋体"/>
      <w:b/>
      <w:bCs/>
      <w:color w:val="4C534A"/>
      <w:sz w:val="28"/>
      <w:szCs w:val="28"/>
      <w:u w:val="none"/>
    </w:rPr>
  </w:style>
  <w:style w:type="character" w:customStyle="1" w:styleId="183">
    <w:name w:val="font151"/>
    <w:basedOn w:val="42"/>
    <w:qFormat/>
    <w:uiPriority w:val="0"/>
    <w:rPr>
      <w:rFonts w:ascii="宋体" w:hAnsi="宋体" w:eastAsia="宋体" w:cs="宋体"/>
      <w:color w:val="4C534A"/>
      <w:sz w:val="28"/>
      <w:szCs w:val="28"/>
      <w:u w:val="none"/>
    </w:rPr>
  </w:style>
  <w:style w:type="character" w:customStyle="1" w:styleId="184">
    <w:name w:val="font161"/>
    <w:basedOn w:val="42"/>
    <w:qFormat/>
    <w:uiPriority w:val="0"/>
    <w:rPr>
      <w:rFonts w:ascii="宋体" w:hAnsi="宋体" w:eastAsia="宋体" w:cs="宋体"/>
      <w:b/>
      <w:bCs/>
      <w:color w:val="4D564D"/>
      <w:sz w:val="28"/>
      <w:szCs w:val="28"/>
      <w:u w:val="none"/>
    </w:rPr>
  </w:style>
  <w:style w:type="character" w:customStyle="1" w:styleId="185">
    <w:name w:val="font171"/>
    <w:basedOn w:val="42"/>
    <w:qFormat/>
    <w:uiPriority w:val="0"/>
    <w:rPr>
      <w:rFonts w:ascii="宋体" w:hAnsi="宋体" w:eastAsia="宋体" w:cs="宋体"/>
      <w:color w:val="4D564D"/>
      <w:sz w:val="28"/>
      <w:szCs w:val="28"/>
      <w:u w:val="none"/>
    </w:rPr>
  </w:style>
  <w:style w:type="character" w:customStyle="1" w:styleId="186">
    <w:name w:val="font181"/>
    <w:basedOn w:val="42"/>
    <w:qFormat/>
    <w:uiPriority w:val="0"/>
    <w:rPr>
      <w:rFonts w:ascii="宋体" w:hAnsi="宋体" w:eastAsia="宋体" w:cs="宋体"/>
      <w:color w:val="5F6F66"/>
      <w:sz w:val="28"/>
      <w:szCs w:val="28"/>
      <w:u w:val="none"/>
    </w:rPr>
  </w:style>
  <w:style w:type="character" w:customStyle="1" w:styleId="187">
    <w:name w:val="font191"/>
    <w:basedOn w:val="42"/>
    <w:qFormat/>
    <w:uiPriority w:val="0"/>
    <w:rPr>
      <w:rFonts w:ascii="宋体" w:hAnsi="宋体" w:eastAsia="宋体" w:cs="宋体"/>
      <w:b/>
      <w:bCs/>
      <w:color w:val="4D5B55"/>
      <w:sz w:val="28"/>
      <w:szCs w:val="28"/>
      <w:u w:val="none"/>
    </w:rPr>
  </w:style>
  <w:style w:type="character" w:customStyle="1" w:styleId="188">
    <w:name w:val="font201"/>
    <w:basedOn w:val="42"/>
    <w:qFormat/>
    <w:uiPriority w:val="0"/>
    <w:rPr>
      <w:rFonts w:ascii="宋体" w:hAnsi="宋体" w:eastAsia="宋体" w:cs="宋体"/>
      <w:b/>
      <w:bCs/>
      <w:color w:val="565D53"/>
      <w:sz w:val="28"/>
      <w:szCs w:val="28"/>
      <w:u w:val="none"/>
    </w:rPr>
  </w:style>
  <w:style w:type="character" w:customStyle="1" w:styleId="189">
    <w:name w:val="font211"/>
    <w:basedOn w:val="42"/>
    <w:qFormat/>
    <w:uiPriority w:val="0"/>
    <w:rPr>
      <w:rFonts w:ascii="宋体" w:hAnsi="宋体" w:eastAsia="宋体" w:cs="宋体"/>
      <w:color w:val="565D53"/>
      <w:sz w:val="28"/>
      <w:szCs w:val="28"/>
      <w:u w:val="none"/>
    </w:rPr>
  </w:style>
  <w:style w:type="character" w:customStyle="1" w:styleId="190">
    <w:name w:val="font222"/>
    <w:basedOn w:val="42"/>
    <w:qFormat/>
    <w:uiPriority w:val="0"/>
    <w:rPr>
      <w:rFonts w:ascii="宋体" w:hAnsi="宋体" w:eastAsia="宋体" w:cs="宋体"/>
      <w:b/>
      <w:bCs/>
      <w:color w:val="474F4B"/>
      <w:sz w:val="28"/>
      <w:szCs w:val="28"/>
      <w:u w:val="none"/>
    </w:rPr>
  </w:style>
  <w:style w:type="character" w:customStyle="1" w:styleId="191">
    <w:name w:val="font231"/>
    <w:basedOn w:val="42"/>
    <w:qFormat/>
    <w:uiPriority w:val="0"/>
    <w:rPr>
      <w:rFonts w:ascii="宋体" w:hAnsi="宋体" w:eastAsia="宋体" w:cs="宋体"/>
      <w:color w:val="474F4B"/>
      <w:sz w:val="28"/>
      <w:szCs w:val="28"/>
      <w:u w:val="none"/>
    </w:rPr>
  </w:style>
  <w:style w:type="character" w:customStyle="1" w:styleId="192">
    <w:name w:val="font241"/>
    <w:basedOn w:val="42"/>
    <w:qFormat/>
    <w:uiPriority w:val="0"/>
    <w:rPr>
      <w:rFonts w:ascii="宋体" w:hAnsi="宋体" w:eastAsia="宋体" w:cs="宋体"/>
      <w:b/>
      <w:bCs/>
      <w:color w:val="596965"/>
      <w:sz w:val="28"/>
      <w:szCs w:val="28"/>
      <w:u w:val="none"/>
    </w:rPr>
  </w:style>
  <w:style w:type="character" w:customStyle="1" w:styleId="193">
    <w:name w:val="font251"/>
    <w:basedOn w:val="42"/>
    <w:qFormat/>
    <w:uiPriority w:val="0"/>
    <w:rPr>
      <w:rFonts w:ascii="宋体" w:hAnsi="宋体" w:eastAsia="宋体" w:cs="宋体"/>
      <w:color w:val="596965"/>
      <w:sz w:val="28"/>
      <w:szCs w:val="28"/>
      <w:u w:val="none"/>
    </w:rPr>
  </w:style>
  <w:style w:type="character" w:customStyle="1" w:styleId="194">
    <w:name w:val="font261"/>
    <w:basedOn w:val="42"/>
    <w:qFormat/>
    <w:uiPriority w:val="0"/>
    <w:rPr>
      <w:rFonts w:ascii="宋体" w:hAnsi="宋体" w:eastAsia="宋体" w:cs="宋体"/>
      <w:b/>
      <w:bCs/>
      <w:color w:val="1B211C"/>
      <w:sz w:val="28"/>
      <w:szCs w:val="28"/>
      <w:u w:val="none"/>
    </w:rPr>
  </w:style>
  <w:style w:type="character" w:customStyle="1" w:styleId="195">
    <w:name w:val="font271"/>
    <w:basedOn w:val="42"/>
    <w:qFormat/>
    <w:uiPriority w:val="0"/>
    <w:rPr>
      <w:rFonts w:ascii="宋体" w:hAnsi="宋体" w:eastAsia="宋体" w:cs="宋体"/>
      <w:color w:val="1B211C"/>
      <w:sz w:val="28"/>
      <w:szCs w:val="28"/>
      <w:u w:val="none"/>
    </w:rPr>
  </w:style>
  <w:style w:type="character" w:customStyle="1" w:styleId="196">
    <w:name w:val="font281"/>
    <w:basedOn w:val="42"/>
    <w:qFormat/>
    <w:uiPriority w:val="0"/>
    <w:rPr>
      <w:rFonts w:ascii="宋体" w:hAnsi="宋体" w:eastAsia="宋体" w:cs="宋体"/>
      <w:color w:val="5C6B5F"/>
      <w:sz w:val="28"/>
      <w:szCs w:val="28"/>
      <w:u w:val="none"/>
    </w:rPr>
  </w:style>
  <w:style w:type="character" w:customStyle="1" w:styleId="197">
    <w:name w:val="font291"/>
    <w:basedOn w:val="42"/>
    <w:qFormat/>
    <w:uiPriority w:val="0"/>
    <w:rPr>
      <w:rFonts w:ascii="宋体" w:hAnsi="宋体" w:eastAsia="宋体" w:cs="宋体"/>
      <w:b/>
      <w:bCs/>
      <w:color w:val="161A16"/>
      <w:sz w:val="28"/>
      <w:szCs w:val="28"/>
      <w:u w:val="none"/>
    </w:rPr>
  </w:style>
  <w:style w:type="character" w:customStyle="1" w:styleId="198">
    <w:name w:val="font301"/>
    <w:basedOn w:val="42"/>
    <w:qFormat/>
    <w:uiPriority w:val="0"/>
    <w:rPr>
      <w:rFonts w:ascii="宋体" w:hAnsi="宋体" w:eastAsia="宋体" w:cs="宋体"/>
      <w:color w:val="161A16"/>
      <w:sz w:val="28"/>
      <w:szCs w:val="28"/>
      <w:u w:val="none"/>
    </w:rPr>
  </w:style>
  <w:style w:type="character" w:customStyle="1" w:styleId="199">
    <w:name w:val="font311"/>
    <w:basedOn w:val="42"/>
    <w:qFormat/>
    <w:uiPriority w:val="0"/>
    <w:rPr>
      <w:rFonts w:ascii="宋体" w:hAnsi="宋体" w:eastAsia="宋体" w:cs="宋体"/>
      <w:color w:val="31332F"/>
      <w:sz w:val="28"/>
      <w:szCs w:val="28"/>
      <w:u w:val="none"/>
    </w:rPr>
  </w:style>
  <w:style w:type="character" w:customStyle="1" w:styleId="200">
    <w:name w:val="font322"/>
    <w:basedOn w:val="42"/>
    <w:qFormat/>
    <w:uiPriority w:val="0"/>
    <w:rPr>
      <w:rFonts w:ascii="宋体" w:hAnsi="宋体" w:eastAsia="宋体" w:cs="宋体"/>
      <w:color w:val="637568"/>
      <w:sz w:val="28"/>
      <w:szCs w:val="28"/>
      <w:u w:val="none"/>
    </w:rPr>
  </w:style>
  <w:style w:type="character" w:customStyle="1" w:styleId="201">
    <w:name w:val="font331"/>
    <w:basedOn w:val="42"/>
    <w:qFormat/>
    <w:uiPriority w:val="0"/>
    <w:rPr>
      <w:rFonts w:ascii="宋体" w:hAnsi="宋体" w:eastAsia="宋体" w:cs="宋体"/>
      <w:color w:val="636D62"/>
      <w:sz w:val="28"/>
      <w:szCs w:val="28"/>
      <w:u w:val="none"/>
    </w:rPr>
  </w:style>
  <w:style w:type="character" w:customStyle="1" w:styleId="202">
    <w:name w:val="font341"/>
    <w:basedOn w:val="42"/>
    <w:qFormat/>
    <w:uiPriority w:val="0"/>
    <w:rPr>
      <w:rFonts w:ascii="宋体" w:hAnsi="宋体" w:eastAsia="宋体" w:cs="宋体"/>
      <w:color w:val="4B554D"/>
      <w:sz w:val="28"/>
      <w:szCs w:val="28"/>
      <w:u w:val="none"/>
    </w:rPr>
  </w:style>
  <w:style w:type="character" w:customStyle="1" w:styleId="203">
    <w:name w:val="font351"/>
    <w:basedOn w:val="42"/>
    <w:qFormat/>
    <w:uiPriority w:val="0"/>
    <w:rPr>
      <w:rFonts w:ascii="宋体" w:hAnsi="宋体" w:eastAsia="宋体" w:cs="宋体"/>
      <w:color w:val="252121"/>
      <w:sz w:val="28"/>
      <w:szCs w:val="28"/>
      <w:u w:val="none"/>
    </w:rPr>
  </w:style>
  <w:style w:type="character" w:customStyle="1" w:styleId="204">
    <w:name w:val="font361"/>
    <w:basedOn w:val="42"/>
    <w:qFormat/>
    <w:uiPriority w:val="0"/>
    <w:rPr>
      <w:rFonts w:ascii="宋体" w:hAnsi="宋体" w:eastAsia="宋体" w:cs="宋体"/>
      <w:color w:val="333233"/>
      <w:sz w:val="28"/>
      <w:szCs w:val="28"/>
      <w:u w:val="none"/>
    </w:rPr>
  </w:style>
  <w:style w:type="character" w:customStyle="1" w:styleId="205">
    <w:name w:val="font371"/>
    <w:basedOn w:val="42"/>
    <w:qFormat/>
    <w:uiPriority w:val="0"/>
    <w:rPr>
      <w:rFonts w:ascii="宋体" w:hAnsi="宋体" w:eastAsia="宋体" w:cs="宋体"/>
      <w:color w:val="697B6E"/>
      <w:sz w:val="28"/>
      <w:szCs w:val="28"/>
      <w:u w:val="none"/>
    </w:rPr>
  </w:style>
  <w:style w:type="character" w:customStyle="1" w:styleId="206">
    <w:name w:val="font381"/>
    <w:basedOn w:val="42"/>
    <w:qFormat/>
    <w:uiPriority w:val="0"/>
    <w:rPr>
      <w:rFonts w:ascii="宋体" w:hAnsi="宋体" w:eastAsia="宋体" w:cs="宋体"/>
      <w:b/>
      <w:bCs/>
      <w:color w:val="181D19"/>
      <w:sz w:val="28"/>
      <w:szCs w:val="28"/>
      <w:u w:val="none"/>
    </w:rPr>
  </w:style>
  <w:style w:type="character" w:customStyle="1" w:styleId="207">
    <w:name w:val="font391"/>
    <w:basedOn w:val="42"/>
    <w:qFormat/>
    <w:uiPriority w:val="0"/>
    <w:rPr>
      <w:rFonts w:ascii="宋体" w:hAnsi="宋体" w:eastAsia="宋体" w:cs="宋体"/>
      <w:color w:val="181D19"/>
      <w:sz w:val="28"/>
      <w:szCs w:val="28"/>
      <w:u w:val="none"/>
    </w:rPr>
  </w:style>
  <w:style w:type="character" w:customStyle="1" w:styleId="208">
    <w:name w:val="font401"/>
    <w:basedOn w:val="42"/>
    <w:qFormat/>
    <w:uiPriority w:val="0"/>
    <w:rPr>
      <w:rFonts w:ascii="宋体" w:hAnsi="宋体" w:eastAsia="宋体" w:cs="宋体"/>
      <w:color w:val="5F7167"/>
      <w:sz w:val="28"/>
      <w:szCs w:val="28"/>
      <w:u w:val="none"/>
    </w:rPr>
  </w:style>
  <w:style w:type="character" w:customStyle="1" w:styleId="209">
    <w:name w:val="font412"/>
    <w:basedOn w:val="42"/>
    <w:qFormat/>
    <w:uiPriority w:val="0"/>
    <w:rPr>
      <w:rFonts w:ascii="宋体" w:hAnsi="宋体" w:eastAsia="宋体" w:cs="宋体"/>
      <w:color w:val="48534B"/>
      <w:sz w:val="28"/>
      <w:szCs w:val="28"/>
      <w:u w:val="none"/>
    </w:rPr>
  </w:style>
  <w:style w:type="character" w:customStyle="1" w:styleId="210">
    <w:name w:val="font421"/>
    <w:basedOn w:val="42"/>
    <w:qFormat/>
    <w:uiPriority w:val="0"/>
    <w:rPr>
      <w:rFonts w:ascii="宋体" w:hAnsi="宋体" w:eastAsia="宋体" w:cs="宋体"/>
      <w:b/>
      <w:bCs/>
      <w:color w:val="56635B"/>
      <w:sz w:val="28"/>
      <w:szCs w:val="28"/>
      <w:u w:val="none"/>
    </w:rPr>
  </w:style>
  <w:style w:type="character" w:customStyle="1" w:styleId="211">
    <w:name w:val="font431"/>
    <w:basedOn w:val="42"/>
    <w:qFormat/>
    <w:uiPriority w:val="0"/>
    <w:rPr>
      <w:rFonts w:ascii="宋体" w:hAnsi="宋体" w:eastAsia="宋体" w:cs="宋体"/>
      <w:color w:val="56635B"/>
      <w:sz w:val="28"/>
      <w:szCs w:val="28"/>
      <w:u w:val="none"/>
    </w:rPr>
  </w:style>
  <w:style w:type="character" w:customStyle="1" w:styleId="212">
    <w:name w:val="font441"/>
    <w:basedOn w:val="42"/>
    <w:qFormat/>
    <w:uiPriority w:val="0"/>
    <w:rPr>
      <w:rFonts w:ascii="宋体" w:hAnsi="宋体" w:eastAsia="宋体" w:cs="宋体"/>
      <w:b/>
      <w:bCs/>
      <w:color w:val="111412"/>
      <w:sz w:val="28"/>
      <w:szCs w:val="28"/>
      <w:u w:val="none"/>
    </w:rPr>
  </w:style>
  <w:style w:type="character" w:customStyle="1" w:styleId="213">
    <w:name w:val="font451"/>
    <w:basedOn w:val="42"/>
    <w:qFormat/>
    <w:uiPriority w:val="0"/>
    <w:rPr>
      <w:rFonts w:ascii="宋体" w:hAnsi="宋体" w:eastAsia="宋体" w:cs="宋体"/>
      <w:color w:val="111412"/>
      <w:sz w:val="28"/>
      <w:szCs w:val="28"/>
      <w:u w:val="none"/>
    </w:rPr>
  </w:style>
  <w:style w:type="character" w:customStyle="1" w:styleId="214">
    <w:name w:val="font461"/>
    <w:basedOn w:val="42"/>
    <w:qFormat/>
    <w:uiPriority w:val="0"/>
    <w:rPr>
      <w:rFonts w:ascii="宋体" w:hAnsi="宋体" w:eastAsia="宋体" w:cs="宋体"/>
      <w:color w:val="636C61"/>
      <w:sz w:val="28"/>
      <w:szCs w:val="28"/>
      <w:u w:val="none"/>
    </w:rPr>
  </w:style>
  <w:style w:type="character" w:customStyle="1" w:styleId="215">
    <w:name w:val="font471"/>
    <w:basedOn w:val="42"/>
    <w:qFormat/>
    <w:uiPriority w:val="0"/>
    <w:rPr>
      <w:rFonts w:ascii="宋体" w:hAnsi="宋体" w:eastAsia="宋体" w:cs="宋体"/>
      <w:b/>
      <w:bCs/>
      <w:color w:val="0A0C0A"/>
      <w:sz w:val="28"/>
      <w:szCs w:val="28"/>
      <w:u w:val="none"/>
    </w:rPr>
  </w:style>
  <w:style w:type="character" w:customStyle="1" w:styleId="216">
    <w:name w:val="font481"/>
    <w:basedOn w:val="42"/>
    <w:qFormat/>
    <w:uiPriority w:val="0"/>
    <w:rPr>
      <w:rFonts w:ascii="宋体" w:hAnsi="宋体" w:eastAsia="宋体" w:cs="宋体"/>
      <w:color w:val="0A0C0A"/>
      <w:sz w:val="28"/>
      <w:szCs w:val="28"/>
      <w:u w:val="none"/>
    </w:rPr>
  </w:style>
  <w:style w:type="character" w:customStyle="1" w:styleId="217">
    <w:name w:val="font71"/>
    <w:basedOn w:val="42"/>
    <w:qFormat/>
    <w:uiPriority w:val="0"/>
    <w:rPr>
      <w:rFonts w:ascii="宋体" w:hAnsi="宋体" w:eastAsia="宋体" w:cs="宋体"/>
      <w:color w:val="576459"/>
      <w:sz w:val="28"/>
      <w:szCs w:val="28"/>
      <w:u w:val="none"/>
    </w:rPr>
  </w:style>
  <w:style w:type="character" w:customStyle="1" w:styleId="218">
    <w:name w:val="font491"/>
    <w:basedOn w:val="42"/>
    <w:qFormat/>
    <w:uiPriority w:val="0"/>
    <w:rPr>
      <w:rFonts w:ascii="宋体" w:hAnsi="宋体" w:eastAsia="宋体" w:cs="宋体"/>
      <w:b/>
      <w:bCs/>
      <w:color w:val="4D5955"/>
      <w:sz w:val="28"/>
      <w:szCs w:val="28"/>
      <w:u w:val="none"/>
    </w:rPr>
  </w:style>
  <w:style w:type="character" w:customStyle="1" w:styleId="219">
    <w:name w:val="font81"/>
    <w:basedOn w:val="42"/>
    <w:qFormat/>
    <w:uiPriority w:val="0"/>
    <w:rPr>
      <w:rFonts w:ascii="宋体" w:hAnsi="宋体" w:eastAsia="宋体" w:cs="宋体"/>
      <w:color w:val="4D5955"/>
      <w:sz w:val="28"/>
      <w:szCs w:val="28"/>
      <w:u w:val="none"/>
    </w:rPr>
  </w:style>
  <w:style w:type="character" w:customStyle="1" w:styleId="220">
    <w:name w:val="font501"/>
    <w:basedOn w:val="42"/>
    <w:qFormat/>
    <w:uiPriority w:val="0"/>
    <w:rPr>
      <w:rFonts w:ascii="宋体" w:hAnsi="宋体" w:eastAsia="宋体" w:cs="宋体"/>
      <w:b/>
      <w:bCs/>
      <w:color w:val="181C18"/>
      <w:sz w:val="28"/>
      <w:szCs w:val="28"/>
      <w:u w:val="none"/>
    </w:rPr>
  </w:style>
  <w:style w:type="character" w:customStyle="1" w:styleId="221">
    <w:name w:val="font512"/>
    <w:basedOn w:val="42"/>
    <w:qFormat/>
    <w:uiPriority w:val="0"/>
    <w:rPr>
      <w:rFonts w:ascii="宋体" w:hAnsi="宋体" w:eastAsia="宋体" w:cs="宋体"/>
      <w:color w:val="181C18"/>
      <w:sz w:val="28"/>
      <w:szCs w:val="28"/>
      <w:u w:val="none"/>
    </w:rPr>
  </w:style>
  <w:style w:type="character" w:customStyle="1" w:styleId="222">
    <w:name w:val="font521"/>
    <w:basedOn w:val="42"/>
    <w:qFormat/>
    <w:uiPriority w:val="0"/>
    <w:rPr>
      <w:rFonts w:ascii="宋体" w:hAnsi="宋体" w:eastAsia="宋体" w:cs="宋体"/>
      <w:b/>
      <w:bCs/>
      <w:color w:val="1C221D"/>
      <w:sz w:val="28"/>
      <w:szCs w:val="28"/>
      <w:u w:val="none"/>
    </w:rPr>
  </w:style>
  <w:style w:type="character" w:customStyle="1" w:styleId="223">
    <w:name w:val="font531"/>
    <w:basedOn w:val="42"/>
    <w:qFormat/>
    <w:uiPriority w:val="0"/>
    <w:rPr>
      <w:rFonts w:ascii="宋体" w:hAnsi="宋体" w:eastAsia="宋体" w:cs="宋体"/>
      <w:color w:val="1C221D"/>
      <w:sz w:val="28"/>
      <w:szCs w:val="28"/>
      <w:u w:val="none"/>
    </w:rPr>
  </w:style>
  <w:style w:type="character" w:customStyle="1" w:styleId="224">
    <w:name w:val="font541"/>
    <w:basedOn w:val="42"/>
    <w:qFormat/>
    <w:uiPriority w:val="0"/>
    <w:rPr>
      <w:rFonts w:ascii="宋体" w:hAnsi="宋体" w:eastAsia="宋体" w:cs="宋体"/>
      <w:color w:val="3D3F41"/>
      <w:sz w:val="28"/>
      <w:szCs w:val="28"/>
      <w:u w:val="none"/>
    </w:rPr>
  </w:style>
  <w:style w:type="character" w:customStyle="1" w:styleId="225">
    <w:name w:val="font13"/>
    <w:basedOn w:val="42"/>
    <w:qFormat/>
    <w:uiPriority w:val="0"/>
    <w:rPr>
      <w:rFonts w:ascii="宋体" w:hAnsi="宋体" w:eastAsia="宋体" w:cs="宋体"/>
      <w:b/>
      <w:bCs/>
      <w:color w:val="141714"/>
      <w:sz w:val="28"/>
      <w:szCs w:val="28"/>
      <w:u w:val="none"/>
    </w:rPr>
  </w:style>
  <w:style w:type="character" w:customStyle="1" w:styleId="226">
    <w:name w:val="font21"/>
    <w:basedOn w:val="42"/>
    <w:qFormat/>
    <w:uiPriority w:val="0"/>
    <w:rPr>
      <w:rFonts w:ascii="宋体" w:hAnsi="宋体" w:eastAsia="宋体" w:cs="宋体"/>
      <w:b/>
      <w:bCs/>
      <w:color w:val="1E231E"/>
      <w:sz w:val="28"/>
      <w:szCs w:val="28"/>
      <w:u w:val="none"/>
    </w:rPr>
  </w:style>
  <w:style w:type="character" w:customStyle="1" w:styleId="227">
    <w:name w:val="font33"/>
    <w:basedOn w:val="42"/>
    <w:qFormat/>
    <w:uiPriority w:val="0"/>
    <w:rPr>
      <w:rFonts w:ascii="宋体" w:hAnsi="宋体" w:eastAsia="宋体" w:cs="宋体"/>
      <w:b/>
      <w:bCs/>
      <w:color w:val="0E110E"/>
      <w:sz w:val="28"/>
      <w:szCs w:val="28"/>
      <w:u w:val="none"/>
    </w:rPr>
  </w:style>
  <w:style w:type="character" w:customStyle="1" w:styleId="228">
    <w:name w:val="font111"/>
    <w:basedOn w:val="42"/>
    <w:qFormat/>
    <w:uiPriority w:val="0"/>
    <w:rPr>
      <w:rFonts w:ascii="宋体" w:hAnsi="宋体" w:eastAsia="宋体" w:cs="宋体"/>
      <w:color w:val="565000"/>
      <w:sz w:val="28"/>
      <w:szCs w:val="28"/>
      <w:u w:val="none"/>
    </w:rPr>
  </w:style>
  <w:style w:type="character" w:customStyle="1" w:styleId="229">
    <w:name w:val="font132"/>
    <w:basedOn w:val="42"/>
    <w:qFormat/>
    <w:uiPriority w:val="0"/>
    <w:rPr>
      <w:rFonts w:ascii="宋体" w:hAnsi="宋体" w:eastAsia="宋体" w:cs="宋体"/>
      <w:b/>
      <w:bCs/>
      <w:color w:val="151A16"/>
      <w:sz w:val="28"/>
      <w:szCs w:val="28"/>
      <w:u w:val="none"/>
    </w:rPr>
  </w:style>
  <w:style w:type="character" w:customStyle="1" w:styleId="230">
    <w:name w:val="font212"/>
    <w:basedOn w:val="42"/>
    <w:qFormat/>
    <w:uiPriority w:val="0"/>
    <w:rPr>
      <w:rFonts w:ascii="宋体" w:hAnsi="宋体" w:eastAsia="宋体" w:cs="宋体"/>
      <w:color w:val="566259"/>
      <w:sz w:val="28"/>
      <w:szCs w:val="28"/>
      <w:u w:val="none"/>
    </w:rPr>
  </w:style>
  <w:style w:type="character" w:customStyle="1" w:styleId="231">
    <w:name w:val="font221"/>
    <w:basedOn w:val="42"/>
    <w:qFormat/>
    <w:uiPriority w:val="0"/>
    <w:rPr>
      <w:rFonts w:ascii="宋体" w:hAnsi="宋体" w:eastAsia="宋体" w:cs="宋体"/>
      <w:b/>
      <w:bCs/>
      <w:color w:val="111411"/>
      <w:sz w:val="28"/>
      <w:szCs w:val="28"/>
      <w:u w:val="none"/>
    </w:rPr>
  </w:style>
  <w:style w:type="character" w:customStyle="1" w:styleId="232">
    <w:name w:val="font321"/>
    <w:basedOn w:val="42"/>
    <w:qFormat/>
    <w:uiPriority w:val="0"/>
    <w:rPr>
      <w:rFonts w:ascii="宋体" w:hAnsi="宋体" w:eastAsia="宋体" w:cs="宋体"/>
      <w:b/>
      <w:bCs/>
      <w:color w:val="00624E"/>
      <w:sz w:val="28"/>
      <w:szCs w:val="28"/>
      <w:u w:val="none"/>
    </w:rPr>
  </w:style>
  <w:style w:type="character" w:customStyle="1" w:styleId="233">
    <w:name w:val="font332"/>
    <w:basedOn w:val="42"/>
    <w:qFormat/>
    <w:uiPriority w:val="0"/>
    <w:rPr>
      <w:rFonts w:ascii="宋体" w:hAnsi="宋体" w:eastAsia="宋体" w:cs="宋体"/>
      <w:color w:val="00624E"/>
      <w:sz w:val="28"/>
      <w:szCs w:val="28"/>
      <w:u w:val="none"/>
    </w:rPr>
  </w:style>
  <w:style w:type="table" w:customStyle="1" w:styleId="234">
    <w:name w:val="Table Normal"/>
    <w:semiHidden/>
    <w:unhideWhenUsed/>
    <w:qFormat/>
    <w:uiPriority w:val="0"/>
    <w:tblPr>
      <w:tblCellMar>
        <w:top w:w="0" w:type="dxa"/>
        <w:left w:w="0" w:type="dxa"/>
        <w:bottom w:w="0" w:type="dxa"/>
        <w:right w:w="0" w:type="dxa"/>
      </w:tblCellMar>
    </w:tblPr>
  </w:style>
  <w:style w:type="paragraph" w:customStyle="1" w:styleId="235">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10327</Words>
  <Characters>11920</Characters>
  <Lines>1229</Lines>
  <Paragraphs>346</Paragraphs>
  <TotalTime>21</TotalTime>
  <ScaleCrop>false</ScaleCrop>
  <LinksUpToDate>false</LinksUpToDate>
  <CharactersWithSpaces>11981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2017-10-31T08:45:00Z</dcterms:created>
  <dc:creator>PC</dc:creator>
  <cp:lastModifiedBy>廖雪媚</cp:lastModifiedBy>
  <cp:lastPrinted>2023-05-05T08:51:00Z</cp:lastPrinted>
  <dcterms:modified xsi:type="dcterms:W3CDTF">2025-05-16T08:49:55Z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8A755992CA3A46F2A54B05D5B03BA7E3</vt:lpwstr>
  </property>
  <property fmtid="{D5CDD505-2E9C-101B-9397-08002B2CF9AE}" pid="4" name="KSOTemplateDocerSaveRecord">
    <vt:lpwstr>eyJoZGlkIjoiZGZiMDQ2M2U2YjQ0MWMwOGRiOTBkNzg1ZDUxYWZjZmIiLCJ1c2VySWQiOiIxOTkwMzg2MzgifQ==</vt:lpwstr>
  </property>
</Properties>
</file>