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版本号：N511113202500008120251114001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乐山市金口河区桅杆村1-4组产业路提升工程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N5111132025000081</w:t>
      </w:r>
    </w:p>
    <w:p>
      <w:pPr>
        <w:pStyle w:val="null3"/>
        <w:jc w:val="left"/>
        <w:outlineLvl w:val="2"/>
      </w:pPr>
      <w:r>
        <w:rPr>
          <w:rFonts w:ascii="仿宋_GB2312" w:hAnsi="仿宋_GB2312" w:cs="仿宋_GB2312" w:eastAsia="仿宋_GB2312"/>
          <w:sz w:val="28"/>
          <w:b/>
        </w:rPr>
        <w:t>乐山市金口河区永胜乡人民政府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乐山市金口河区永胜乡人民政府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乐山市金口河区桅杆村1-4组产业路提升工程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乐山市金口河区桅杆村1-4组产业路提升工程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本项目路线全长约13332.56米包含交通工程(波形护栏、防撞护栏)、路基工程、路面工程等。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乐山市金口河区永胜乡人民政府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乐山市金口河区永胜乡民主村二组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王洪玖</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18227190679</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采购包1：3,788,728.39元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乐山市金口河区永胜乡人民政府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乐山市金口河区永胜乡人民政府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1、供应商针对本项目的施工，必须达到国家及行业现行技术规范标准，符合国家及行业验收合格标准。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合同中约定。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乐山市金口河区永胜乡人民政府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联系人：王洪玖</w:t>
      </w:r>
    </w:p>
    <w:p>
      <w:pPr>
        <w:pStyle w:val="null3"/>
        <w:jc w:val="left"/>
      </w:pPr>
      <w:r>
        <w:rPr>
          <w:rFonts w:ascii="仿宋_GB2312" w:hAnsi="仿宋_GB2312" w:cs="仿宋_GB2312" w:eastAsia="仿宋_GB2312"/>
        </w:rPr>
        <w:t>联系电话：18227190679</w:t>
      </w:r>
    </w:p>
    <w:p>
      <w:pPr>
        <w:pStyle w:val="null3"/>
        <w:jc w:val="left"/>
      </w:pPr>
      <w:r>
        <w:rPr>
          <w:rFonts w:ascii="仿宋_GB2312" w:hAnsi="仿宋_GB2312" w:cs="仿宋_GB2312" w:eastAsia="仿宋_GB2312"/>
        </w:rPr>
        <w:t>地址： 乐山市金口河区永胜乡民主村二组</w:t>
      </w:r>
    </w:p>
    <w:p>
      <w:pPr>
        <w:pStyle w:val="null3"/>
        <w:jc w:val="left"/>
      </w:pPr>
      <w:r>
        <w:rPr>
          <w:rFonts w:ascii="仿宋_GB2312" w:hAnsi="仿宋_GB2312" w:cs="仿宋_GB2312" w:eastAsia="仿宋_GB2312"/>
        </w:rPr>
        <w:t>邮编： 614701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3,788,728.39</w:t>
      </w:r>
    </w:p>
    <w:p>
      <w:pPr>
        <w:pStyle w:val="null3"/>
        <w:jc w:val="left"/>
      </w:pPr>
      <w:r>
        <w:rPr>
          <w:rFonts w:ascii="仿宋_GB2312" w:hAnsi="仿宋_GB2312" w:cs="仿宋_GB2312" w:eastAsia="仿宋_GB2312"/>
        </w:rPr>
        <w:t>采购包最高限价（元）: 3,788,728.39</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B02020000 公路工程施工</w:t>
            </w:r>
          </w:p>
        </w:tc>
        <w:tc>
          <w:tcPr>
            <w:tcW w:type="dxa" w:w="821"/>
          </w:tcPr>
          <w:p>
            <w:pPr>
              <w:pStyle w:val="null3"/>
              <w:jc w:val="left"/>
            </w:pPr>
            <w:r>
              <w:rPr>
                <w:rFonts w:ascii="仿宋_GB2312" w:hAnsi="仿宋_GB2312" w:cs="仿宋_GB2312" w:eastAsia="仿宋_GB2312"/>
              </w:rPr>
              <w:t>乐山市金口河区桅杆村1-4组产业路提升工程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3,788,728.39</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乐山市金口河区桅杆村1-4组产业路提升工程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3,788,728.39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B02020000 公路工程施工</w:t>
            </w:r>
          </w:p>
        </w:tc>
        <w:tc>
          <w:tcPr>
            <w:tcW w:type="dxa" w:w="2492"/>
          </w:tcPr>
          <w:p>
            <w:pPr>
              <w:pStyle w:val="null3"/>
              <w:jc w:val="left"/>
            </w:pPr>
            <w:r>
              <w:rPr>
                <w:rFonts w:ascii="仿宋_GB2312" w:hAnsi="仿宋_GB2312" w:cs="仿宋_GB2312" w:eastAsia="仿宋_GB2312"/>
              </w:rPr>
              <w:t>乐山市金口河区桅杆村1-4组产业路提升工程</w:t>
            </w:r>
          </w:p>
        </w:tc>
        <w:tc>
          <w:tcPr>
            <w:tcW w:type="dxa" w:w="2492"/>
          </w:tcPr>
          <w:p>
            <w:pPr>
              <w:pStyle w:val="null3"/>
              <w:jc w:val="left"/>
            </w:pPr>
            <w:r>
              <w:rPr>
                <w:rFonts w:ascii="仿宋_GB2312" w:hAnsi="仿宋_GB2312" w:cs="仿宋_GB2312" w:eastAsia="仿宋_GB2312"/>
              </w:rPr>
              <w:t>32.5级水泥、PVC塑料管(Φ50mm)Φ50mm、PVC塑料管(Φ100mm)Φ100mm</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标的名称：乐山市金口河区桅杆村1-4组产业路提升工程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详见附件：工程量清单（技术标准参照四级（Ⅱ类）公路。路基：路基宽3.5米，路基压实。路面：18cm厚混凝土路面+15cm厚C15贫混凝土基层（弯拉强度不低于 4.0MPa）。设置波形梁钢护栏，防撞等级一（C）级；水泥混凝土防撞护栏：平均50cm宽，40cm厚水泥砼路肩，强度为C30。）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具备公路工程类专业中级及以上职称。提供：1、人员证书复印件；2、提供其为本单位人员的证明材料。（均加盖单位鲜章）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12个月，自工程交工验收合格之日起算。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缺陷责任期满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w:t>
            </w:r>
          </w:p>
        </w:tc>
        <w:tc>
          <w:tcPr>
            <w:tcW w:type="dxa" w:w="5814"/>
          </w:tcPr>
          <w:p>
            <w:pPr>
              <w:pStyle w:val="null3"/>
              <w:jc w:val="left"/>
            </w:pPr>
            <w:r>
              <w:rPr>
                <w:rFonts w:ascii="仿宋_GB2312" w:hAnsi="仿宋_GB2312" w:cs="仿宋_GB2312" w:eastAsia="仿宋_GB2312"/>
              </w:rPr>
              <w:t>工程量清单及图纸所示范围。</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根据《工程建设领域农民工工资保证金规定》第十一条规定和《四川省人力资源和社会保障厅等七部门关于转发&lt;工程建设领域农民工工资保证金规定&gt;的通知》(川人社发〔2021〕24号)第二条之规定缴纳农民工工资保证金。按照《工程建设领域农民工工资专用账户管理暂行办法》第六条之规定在工程施工合同签订之日起30日内开立专用账户，并与建设单位、开户银行签订资金管理三方协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自合同签订之日起180日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乐山市金口河区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1、预付款，合同签订后，待财政资金到位，达到付款条件起15日内，据实情况说明为支付合同总价30%作为工程预付款</w:t>
            </w:r>
          </w:p>
          <w:p>
            <w:pPr>
              <w:pStyle w:val="null3"/>
              <w:jc w:val="left"/>
            </w:pPr>
            <w:r>
              <w:rPr>
                <w:rFonts w:ascii="仿宋_GB2312" w:hAnsi="仿宋_GB2312" w:cs="仿宋_GB2312" w:eastAsia="仿宋_GB2312"/>
              </w:rPr>
              <w:t>2、进度款，项目实施进度付款按当月已完成工程量进行支付，达到付款条件起15日内，据实情况说明为工程交工验收前，完成工程量超过80%，最多划拨至合同价79%</w:t>
            </w:r>
          </w:p>
          <w:p>
            <w:pPr>
              <w:pStyle w:val="null3"/>
              <w:jc w:val="left"/>
            </w:pPr>
            <w:r>
              <w:rPr>
                <w:rFonts w:ascii="仿宋_GB2312" w:hAnsi="仿宋_GB2312" w:cs="仿宋_GB2312" w:eastAsia="仿宋_GB2312"/>
              </w:rPr>
              <w:t>3、尾款，项目完成财政结算评审后，达到付款条件起15日内，据实情况说明为可划拨至财政结算评审金额的97%</w:t>
            </w:r>
          </w:p>
          <w:p>
            <w:pPr>
              <w:pStyle w:val="null3"/>
              <w:jc w:val="left"/>
            </w:pPr>
            <w:r>
              <w:rPr>
                <w:rFonts w:ascii="仿宋_GB2312" w:hAnsi="仿宋_GB2312" w:cs="仿宋_GB2312" w:eastAsia="仿宋_GB2312"/>
              </w:rPr>
              <w:t>4、缺陷责任期，缺陷责任期满后，无工程质量问题，达到付款条件起15日内，据实情况说明为划拨至财政结算评审金额的100%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和方法:①验收方法:成交供应商与采购人应严格按照《财政部关于进一步加强政府采购需求和履约验收管理的指导意见》(财库〔2016〕205号)和乐山市财政局《乐山市政府采购项目需求论证和履约验收管理实施细则》(乐市财政采〔2018〕16号)的要求进行验收。 ②验收标准:按照现行相关的工程技术标准、规范进行验收，验收结果为合格。</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由供需双方在采购合同中详细约定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公路工程二级注册建造师及以上建造师注册证书原件扫描件；供应商应当提供项目负责人的行业主管部门颁发的且在有效期内的公路水运工程安全生产考核合格证书（B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