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版本号：N511113202500006120250903001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（工程类）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乐山市金口河区和平彝族乡解放村1号安置点公路边治理项目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N5111132025000061</w:t>
      </w:r>
    </w:p>
    <w:p>
      <w:pPr>
        <w:pStyle w:val="null3"/>
        <w:jc w:val="left"/>
        <w:outlineLvl w:val="2"/>
      </w:pPr>
      <w:r>
        <w:rPr>
          <w:rFonts w:ascii="仿宋_GB2312" w:hAnsi="仿宋_GB2312" w:cs="仿宋_GB2312" w:eastAsia="仿宋_GB2312"/>
          <w:sz w:val="28"/>
          <w:b/>
        </w:rPr>
        <w:t>乐山市金口河区和平彝族乡人民政府</w:t>
      </w:r>
    </w:p>
    <w:p>
      <w:pPr>
        <w:pStyle w:val="null3"/>
        <w:jc w:val="center"/>
        <w:outlineLvl w:val="2"/>
      </w:pPr>
      <w:r>
        <w:rPr>
          <w:rFonts w:ascii="仿宋_GB2312" w:hAnsi="仿宋_GB2312" w:cs="仿宋_GB2312" w:eastAsia="仿宋_GB2312"/>
          <w:sz w:val="28"/>
          <w:b/>
        </w:rPr>
        <w:t>乐山市金口河区政府采购中心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2025年09月03日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乐山市金口河区政府采购中心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委托，拟对 </w:t>
      </w:r>
      <w:r>
        <w:rPr>
          <w:rFonts w:ascii="仿宋_GB2312" w:hAnsi="仿宋_GB2312" w:cs="仿宋_GB2312" w:eastAsia="仿宋_GB2312"/>
        </w:rPr>
        <w:t>乐山市金口河区和平彝族乡解放村1号安置点公路边治理项目</w:t>
      </w:r>
      <w:r>
        <w:rPr>
          <w:rFonts w:ascii="仿宋_GB2312" w:hAnsi="仿宋_GB2312" w:cs="仿宋_GB2312" w:eastAsia="仿宋_GB2312"/>
        </w:rPr>
        <w:t>采用竞争性谈判方式进行采购，兹邀请符合资格条件的供应商参加谈判。本项目为四川省</w:t>
      </w:r>
      <w:r>
        <w:rPr>
          <w:rFonts w:ascii="仿宋_GB2312" w:hAnsi="仿宋_GB2312" w:cs="仿宋_GB2312" w:eastAsia="仿宋_GB2312"/>
        </w:rPr>
        <w:t>乐山市金口河区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N5111132025000061</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乐山市金口河区和平彝族乡解放村1号安置点公路边治理项目</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修建1号安置点匝道处建混凝土挡土墙约2500立方米，不锈钢栏杆40米，排水沟180米，波形护栏70米。</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本项目以供应商库随机抽取方式邀请供应商参加谈判。</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具有符合工程管理规定的建筑业企业资质、安全生产许可证。（描述：供应商应当具备行业主管部门颁发的且在有效期内的安全生产许可证；供应商应当具备行业主管部门颁发的且在有效期内的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p>
      <w:pPr>
        <w:pStyle w:val="null3"/>
        <w:jc w:val="left"/>
      </w:pPr>
      <w:r>
        <w:rPr>
          <w:rFonts w:ascii="仿宋_GB2312" w:hAnsi="仿宋_GB2312" w:cs="仿宋_GB2312" w:eastAsia="仿宋_GB2312"/>
        </w:rPr>
        <w:t>2、供应商取得本项目成交资格且注册地不在四川省行政区域内的，应当在政府采购合同签订前向采购人提交在有效期内的四川省住房和城乡建设厅官网已公开的入川信息网页截图。（描述：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详见邀请书</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详见邀请书</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乐山市金口河区和平彝族乡人民政府</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和平彝族乡桠溪村2组</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曾祖鉴</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17711497143</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乐山市金口河区政府采购中心</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四川省乐山市金口河区滨河路三段153号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614700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袁老师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0833-2713780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采购包1：1,892,121.86元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质量保证金★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质量保证金缴纳比例：工程价款结算总额的</w:t>
            </w:r>
            <w:r>
              <w:rPr>
                <w:rFonts w:ascii="仿宋_GB2312" w:hAnsi="仿宋_GB2312" w:cs="仿宋_GB2312" w:eastAsia="仿宋_GB2312"/>
              </w:rPr>
              <w:t>3.0</w:t>
            </w:r>
            <w:r>
              <w:rPr>
                <w:rFonts w:ascii="仿宋_GB2312" w:hAnsi="仿宋_GB2312" w:cs="仿宋_GB2312" w:eastAsia="仿宋_GB2312"/>
              </w:rPr>
              <w:t>%</w:t>
            </w:r>
          </w:p>
          <w:p>
            <w:pPr>
              <w:pStyle w:val="null3"/>
              <w:jc w:val="left"/>
            </w:pPr>
            <w:r>
              <w:rPr>
                <w:rFonts w:ascii="仿宋_GB2312" w:hAnsi="仿宋_GB2312" w:cs="仿宋_GB2312" w:eastAsia="仿宋_GB2312"/>
              </w:rPr>
              <w:t>缴纳方式：</w:t>
            </w:r>
            <w:r>
              <w:rPr>
                <w:rFonts w:ascii="仿宋_GB2312" w:hAnsi="仿宋_GB2312" w:cs="仿宋_GB2312" w:eastAsia="仿宋_GB2312"/>
              </w:rPr>
              <w:t>合同款中扣除</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 和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乐山市金口河区和平彝族乡人民政府</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邀请书</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乐山市金口河区政府采购中心</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一、供应商应认真核实本项目的工程量清单。</w:t>
      </w:r>
    </w:p>
    <w:p>
      <w:pPr>
        <w:pStyle w:val="null3"/>
        <w:ind w:firstLine="480"/>
        <w:jc w:val="left"/>
      </w:pPr>
      <w:r>
        <w:rPr>
          <w:rFonts w:ascii="仿宋_GB2312" w:hAnsi="仿宋_GB2312" w:cs="仿宋_GB2312" w:eastAsia="仿宋_GB2312"/>
        </w:rPr>
        <w:t>二、供应商的报价是其响应本项目要求的全部工作内容的价格体现或者结算标准，包括供应商完成本项目所需的一切费用。</w:t>
      </w:r>
    </w:p>
    <w:p>
      <w:pPr>
        <w:pStyle w:val="null3"/>
        <w:ind w:firstLine="480"/>
        <w:jc w:val="left"/>
      </w:pPr>
      <w:r>
        <w:rPr>
          <w:rFonts w:ascii="仿宋_GB2312" w:hAnsi="仿宋_GB2312" w:cs="仿宋_GB2312" w:eastAsia="仿宋_GB2312"/>
        </w:rPr>
        <w:t>三、本项目报价形式为：总价</w:t>
      </w:r>
    </w:p>
    <w:p>
      <w:pPr>
        <w:pStyle w:val="null3"/>
        <w:ind w:firstLine="480"/>
        <w:jc w:val="left"/>
      </w:pPr>
      <w:r>
        <w:rPr>
          <w:rFonts w:ascii="仿宋_GB2312" w:hAnsi="仿宋_GB2312" w:cs="仿宋_GB2312" w:eastAsia="仿宋_GB2312"/>
        </w:rPr>
        <w:t>供应商编制的已标价工程量清单的汇总价格，作为响应文件中的报价，即首次报价。供应商应按谈判文件及工程量清单编制要求，编制已标价工程量清单，作为响应文件响应报价的组成明细。已标价工程量清单的扉页(仅指投标总价扉页)应由注册或登记在本单位的造价人员签字并盖执业印章。供应商委托工程造价咨询企业编制已标价工程量清单的，应在施工响应文件中附工程造价咨询委托合同，由注册或登记在工程造价咨询企业的造价人员签字并盖执业印章。</w:t>
      </w:r>
    </w:p>
    <w:p>
      <w:pPr>
        <w:pStyle w:val="null3"/>
        <w:ind w:firstLine="480"/>
        <w:jc w:val="left"/>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ind w:firstLine="480"/>
        <w:jc w:val="left"/>
      </w:pPr>
      <w:r>
        <w:rPr>
          <w:rFonts w:ascii="仿宋_GB2312" w:hAnsi="仿宋_GB2312" w:cs="仿宋_GB2312" w:eastAsia="仿宋_GB2312"/>
        </w:rPr>
        <w:t>（一）供应商对工程量清单中的分部分项工程量清单项目（说明：根据建筑、水利、交通等确定具体表述）的单价未填报或填报为零的；</w:t>
      </w:r>
    </w:p>
    <w:p>
      <w:pPr>
        <w:pStyle w:val="null3"/>
        <w:ind w:firstLine="480"/>
        <w:jc w:val="left"/>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ind w:firstLine="480"/>
        <w:jc w:val="left"/>
      </w:pPr>
      <w:r>
        <w:rPr>
          <w:rFonts w:ascii="仿宋_GB2312" w:hAnsi="仿宋_GB2312" w:cs="仿宋_GB2312" w:eastAsia="仿宋_GB2312"/>
        </w:rPr>
        <w:t>（三）谈判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ind w:firstLine="480"/>
        <w:jc w:val="left"/>
      </w:pPr>
      <w:r>
        <w:rPr>
          <w:rFonts w:ascii="仿宋_GB2312" w:hAnsi="仿宋_GB2312" w:cs="仿宋_GB2312" w:eastAsia="仿宋_GB2312"/>
        </w:rPr>
        <w:t>（四）谈判文件已明确各单位工程规费金额并要求按此金额填报而供应商填报错误或未填报的，或供应商未按相关计价规定计取规费的；</w:t>
      </w:r>
    </w:p>
    <w:p>
      <w:pPr>
        <w:pStyle w:val="null3"/>
        <w:ind w:firstLine="480"/>
        <w:jc w:val="left"/>
      </w:pPr>
      <w:r>
        <w:rPr>
          <w:rFonts w:ascii="仿宋_GB2312" w:hAnsi="仿宋_GB2312" w:cs="仿宋_GB2312" w:eastAsia="仿宋_GB2312"/>
        </w:rPr>
        <w:t>（五）谈判文件若已明确创优质工程奖补偿奖励费金额并要求按此金额填报而供应商填报错误或未填报的；</w:t>
      </w:r>
    </w:p>
    <w:p>
      <w:pPr>
        <w:pStyle w:val="null3"/>
        <w:ind w:firstLine="480"/>
        <w:jc w:val="left"/>
      </w:pPr>
      <w:r>
        <w:rPr>
          <w:rFonts w:ascii="仿宋_GB2312" w:hAnsi="仿宋_GB2312" w:cs="仿宋_GB2312" w:eastAsia="仿宋_GB2312"/>
        </w:rPr>
        <w:t>（六）已标价工程量清单中暂列金额未按工程量清单中列明的金额填报的；</w:t>
      </w:r>
    </w:p>
    <w:p>
      <w:pPr>
        <w:pStyle w:val="null3"/>
        <w:ind w:firstLine="480"/>
        <w:jc w:val="left"/>
      </w:pPr>
      <w:r>
        <w:rPr>
          <w:rFonts w:ascii="仿宋_GB2312" w:hAnsi="仿宋_GB2312" w:cs="仿宋_GB2312" w:eastAsia="仿宋_GB2312"/>
        </w:rPr>
        <w:t>（七）已标价工程量清单中材料、工程设备暂估价未按工程量清单中列出的单价计入综合单价的；</w:t>
      </w:r>
    </w:p>
    <w:p>
      <w:pPr>
        <w:pStyle w:val="null3"/>
        <w:ind w:firstLine="480"/>
        <w:jc w:val="left"/>
      </w:pPr>
      <w:r>
        <w:rPr>
          <w:rFonts w:ascii="仿宋_GB2312" w:hAnsi="仿宋_GB2312" w:cs="仿宋_GB2312" w:eastAsia="仿宋_GB2312"/>
        </w:rPr>
        <w:t>（八）已标价工程量清单中专业工程暂估价未按工程量清单中列明的金额填写的；</w:t>
      </w:r>
    </w:p>
    <w:p>
      <w:pPr>
        <w:pStyle w:val="null3"/>
        <w:ind w:firstLine="480"/>
        <w:jc w:val="left"/>
      </w:pPr>
      <w:r>
        <w:rPr>
          <w:rFonts w:ascii="仿宋_GB2312" w:hAnsi="仿宋_GB2312" w:cs="仿宋_GB2312" w:eastAsia="仿宋_GB2312"/>
        </w:rPr>
        <w:t>（九）已标价工程量清单中计日工未按工程量清单中列明的数量进行报价的；</w:t>
      </w:r>
    </w:p>
    <w:p>
      <w:pPr>
        <w:pStyle w:val="null3"/>
        <w:ind w:firstLine="480"/>
        <w:jc w:val="left"/>
      </w:pPr>
      <w:r>
        <w:rPr>
          <w:rFonts w:ascii="仿宋_GB2312" w:hAnsi="仿宋_GB2312" w:cs="仿宋_GB2312" w:eastAsia="仿宋_GB2312"/>
        </w:rPr>
        <w:t>（十）单价、合价或总价，不论其大写金额或小写金额均只能有一个，否则作无效处理。</w:t>
      </w:r>
    </w:p>
    <w:p>
      <w:pPr>
        <w:pStyle w:val="null3"/>
        <w:ind w:firstLine="480"/>
        <w:jc w:val="left"/>
      </w:pPr>
      <w:r>
        <w:rPr>
          <w:rFonts w:ascii="仿宋_GB2312" w:hAnsi="仿宋_GB2312" w:cs="仿宋_GB2312" w:eastAsia="仿宋_GB2312"/>
        </w:rPr>
        <w:t>若供应商最后报价低于首次报价的，供应商可以在提交报价的同时上传相应调整部分报价构成及明细，成交后按照调整部分报价构成及明细标准进行调整部分的工程结算，未调整部分按照已标价工程量清单明确的标准进行工程结算；未提交调整部分报价构成及明细的，成交后基于已标价工程量清单按照最后成交总价对应首次报价的下浮比例（不可竞争费用除外）进行工程结算。</w:t>
      </w:r>
    </w:p>
    <w:p>
      <w:pPr>
        <w:pStyle w:val="null3"/>
        <w:ind w:firstLine="480"/>
        <w:jc w:val="left"/>
      </w:pPr>
      <w:r>
        <w:rPr>
          <w:rFonts w:ascii="仿宋_GB2312" w:hAnsi="仿宋_GB2312" w:cs="仿宋_GB2312" w:eastAsia="仿宋_GB2312"/>
        </w:rPr>
        <w:t>四、按照谈判文件第五章谈判办法规定进行价格修正的，修正后的报价经供应商加盖电子印章确认后产生约束力。未在规定时间内确认的，视同供应商不确认，作无效响应处理。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ind w:firstLine="480"/>
        <w:jc w:val="left"/>
      </w:pPr>
      <w:r>
        <w:rPr>
          <w:rFonts w:ascii="仿宋_GB2312" w:hAnsi="仿宋_GB2312" w:cs="仿宋_GB2312" w:eastAsia="仿宋_GB2312"/>
        </w:rPr>
        <w:t xml:space="preserve"> 三、合同履行过程中，供应商因特殊原因需要更换项目负责人的，应当事前经采购人同意并按规定报建设工程行业主管部门备案；更换后的项目负责人应当符合项目资格条件，且在确认参与该项目随机抽取时已是供应商依法聘用并符合相应资质要求的项目负责人。</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30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满足国家及行业的现行相关标准、规范要求、符合相关法律、法规及业主要求的质量和技术深度要求。</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提交施工成果和竣工成果文件的时间和地点（范围）、付款条件（进度和方式）、售后服务等</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按照《财政部关于进一步加强政府采购需求和履约验收管理的报导意见》（财库【2016】205 号）、《政府采购需求管理办法》（财库〔2021〕22号）和《关于沿用〈乐山市政府采购项目需求论证和履约验收管理实施细则〉的通知》（乐市财政采〔2021〕8号）的规定进行履约验收。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注：</w:t>
      </w:r>
    </w:p>
    <w:p>
      <w:pPr>
        <w:pStyle w:val="null3"/>
        <w:ind w:firstLine="480"/>
        <w:jc w:val="left"/>
      </w:pPr>
      <w:r>
        <w:rPr>
          <w:rFonts w:ascii="仿宋_GB2312" w:hAnsi="仿宋_GB2312" w:cs="仿宋_GB2312" w:eastAsia="仿宋_GB2312"/>
        </w:rPr>
        <w:t>1.交付竣工验收的工程，必须符合规定的工程质量标准，有完整的工程技术经济资料和经签署的工程保修书，并具备国家规定的其他竣工条件。</w:t>
      </w:r>
    </w:p>
    <w:p>
      <w:pPr>
        <w:pStyle w:val="null3"/>
        <w:ind w:firstLine="480"/>
        <w:jc w:val="left"/>
      </w:pPr>
      <w:r>
        <w:rPr>
          <w:rFonts w:ascii="仿宋_GB2312" w:hAnsi="仿宋_GB2312" w:cs="仿宋_GB2312" w:eastAsia="仿宋_GB2312"/>
        </w:rPr>
        <w:t>工程竣工经验收合格后，方可交付使用；未经验收或者验收不合格的，不得交付使用。</w:t>
      </w:r>
    </w:p>
    <w:p>
      <w:pPr>
        <w:pStyle w:val="null3"/>
        <w:ind w:firstLine="480"/>
        <w:jc w:val="left"/>
      </w:pPr>
      <w:r>
        <w:rPr>
          <w:rFonts w:ascii="仿宋_GB2312" w:hAnsi="仿宋_GB2312" w:cs="仿宋_GB2312" w:eastAsia="仿宋_GB2312"/>
        </w:rPr>
        <w:t>2.验收结果合格的，采购人应向成交供应商出具履约验收报告，成交供应商凭验收报告办理相关手续。</w:t>
      </w:r>
    </w:p>
    <w:p>
      <w:pPr>
        <w:pStyle w:val="null3"/>
        <w:ind w:firstLine="480"/>
        <w:jc w:val="left"/>
      </w:pPr>
      <w:r>
        <w:rPr>
          <w:rFonts w:ascii="仿宋_GB2312" w:hAnsi="仿宋_GB2312" w:cs="仿宋_GB2312" w:eastAsia="仿宋_GB2312"/>
        </w:rPr>
        <w:t>3.验收结果不合格的，履约保证金将不予退还，给采购人造成的损失超过履约保证金数额的，还应当对超过部分予以赔偿；没有提交履约保证金的，应当对采购人的损失承担赔偿责任。</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乐山市金口河区和平彝族乡人民政府</w:t>
      </w:r>
      <w:r>
        <w:rPr>
          <w:rFonts w:ascii="仿宋_GB2312" w:hAnsi="仿宋_GB2312" w:cs="仿宋_GB2312" w:eastAsia="仿宋_GB2312"/>
        </w:rPr>
        <w:t xml:space="preserve">负责答复；供应商对除采购需求外的谈判文件的询问、质疑由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乐山市金口河区政府采购中心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联系人：曾祖鉴</w:t>
      </w:r>
    </w:p>
    <w:p>
      <w:pPr>
        <w:pStyle w:val="null3"/>
        <w:jc w:val="left"/>
      </w:pPr>
      <w:r>
        <w:rPr>
          <w:rFonts w:ascii="仿宋_GB2312" w:hAnsi="仿宋_GB2312" w:cs="仿宋_GB2312" w:eastAsia="仿宋_GB2312"/>
        </w:rPr>
        <w:t>联系电话：17711497143</w:t>
      </w:r>
    </w:p>
    <w:p>
      <w:pPr>
        <w:pStyle w:val="null3"/>
        <w:jc w:val="left"/>
      </w:pPr>
      <w:r>
        <w:rPr>
          <w:rFonts w:ascii="仿宋_GB2312" w:hAnsi="仿宋_GB2312" w:cs="仿宋_GB2312" w:eastAsia="仿宋_GB2312"/>
        </w:rPr>
        <w:t>地址：和平彝族乡桠溪村2组</w:t>
      </w:r>
    </w:p>
    <w:p>
      <w:pPr>
        <w:pStyle w:val="null3"/>
        <w:jc w:val="left"/>
      </w:pPr>
      <w:r>
        <w:rPr>
          <w:rFonts w:ascii="仿宋_GB2312" w:hAnsi="仿宋_GB2312" w:cs="仿宋_GB2312" w:eastAsia="仿宋_GB2312"/>
        </w:rPr>
        <w:t>邮编：614000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联系人：袁老师</w:t>
      </w:r>
    </w:p>
    <w:p>
      <w:pPr>
        <w:pStyle w:val="null3"/>
        <w:jc w:val="left"/>
      </w:pPr>
      <w:r>
        <w:rPr>
          <w:rFonts w:ascii="仿宋_GB2312" w:hAnsi="仿宋_GB2312" w:cs="仿宋_GB2312" w:eastAsia="仿宋_GB2312"/>
        </w:rPr>
        <w:t>联系电话：0833-2713780</w:t>
      </w:r>
    </w:p>
    <w:p>
      <w:pPr>
        <w:pStyle w:val="null3"/>
        <w:jc w:val="left"/>
      </w:pPr>
      <w:r>
        <w:rPr>
          <w:rFonts w:ascii="仿宋_GB2312" w:hAnsi="仿宋_GB2312" w:cs="仿宋_GB2312" w:eastAsia="仿宋_GB2312"/>
        </w:rPr>
        <w:t>地址：四川省乐山市金口河区滨河路三段153号</w:t>
      </w:r>
    </w:p>
    <w:p>
      <w:pPr>
        <w:pStyle w:val="null3"/>
        <w:jc w:val="left"/>
      </w:pPr>
      <w:r>
        <w:rPr>
          <w:rFonts w:ascii="仿宋_GB2312" w:hAnsi="仿宋_GB2312" w:cs="仿宋_GB2312" w:eastAsia="仿宋_GB2312"/>
        </w:rPr>
        <w:t>邮编：614700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1,892,121.86</w:t>
      </w:r>
    </w:p>
    <w:p>
      <w:pPr>
        <w:pStyle w:val="null3"/>
        <w:jc w:val="left"/>
      </w:pPr>
      <w:r>
        <w:rPr>
          <w:rFonts w:ascii="仿宋_GB2312" w:hAnsi="仿宋_GB2312" w:cs="仿宋_GB2312" w:eastAsia="仿宋_GB2312"/>
        </w:rPr>
        <w:t>采购包最高限价（元）: 1,892,121.86</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B02990000 其他构筑物工程施工</w:t>
            </w:r>
          </w:p>
        </w:tc>
        <w:tc>
          <w:tcPr>
            <w:tcW w:type="dxa" w:w="821"/>
          </w:tcPr>
          <w:p>
            <w:pPr>
              <w:pStyle w:val="null3"/>
              <w:jc w:val="left"/>
            </w:pPr>
            <w:r>
              <w:rPr>
                <w:rFonts w:ascii="仿宋_GB2312" w:hAnsi="仿宋_GB2312" w:cs="仿宋_GB2312" w:eastAsia="仿宋_GB2312"/>
              </w:rPr>
              <w:t>乐山市金口河区和平彝族乡解放村1号安置点公路边坡治理项目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1,892,121.86</w:t>
            </w:r>
          </w:p>
        </w:tc>
        <w:tc>
          <w:tcPr>
            <w:tcW w:type="dxa" w:w="821"/>
          </w:tcPr>
          <w:p>
            <w:pPr>
              <w:pStyle w:val="null3"/>
              <w:jc w:val="left"/>
            </w:pPr>
            <w:r>
              <w:rPr>
                <w:rFonts w:ascii="仿宋_GB2312" w:hAnsi="仿宋_GB2312" w:cs="仿宋_GB2312" w:eastAsia="仿宋_GB2312"/>
              </w:rPr>
              <w:t>建筑业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是</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乐山市金口河区和平彝族乡解放村1号安置点公路边坡治理项目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1,892,121.86</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本项目币种为人民币，本项目报价包括实施和完成合同工程（图纸、招标工程量清单范围内所有项目）所需的人工、材料、机械、质检（自检）、安装、维护、缺陷修复、保险、税费、利润、培训、安全文明施工管理等费用，以及合同明示或暗示的所有完成本项目履行工作的责任、义务和一般风险。</w:t>
            </w:r>
          </w:p>
        </w:tc>
      </w:tr>
    </w:tbl>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承诺，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注：响应产品属于《节能产品政府采购品目清单》中优先采购的产品，供应商提供由国家确定的认证机构出具的、处于有效期之内的节能产品认证证书的承诺，可以享受优先采购政策。具体要求详见第五章规定。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B02990000 其他构筑物工程施工</w:t>
            </w:r>
          </w:p>
        </w:tc>
        <w:tc>
          <w:tcPr>
            <w:tcW w:type="dxa" w:w="2492"/>
          </w:tcPr>
          <w:p>
            <w:pPr>
              <w:pStyle w:val="null3"/>
              <w:jc w:val="left"/>
            </w:pPr>
            <w:r>
              <w:rPr>
                <w:rFonts w:ascii="仿宋_GB2312" w:hAnsi="仿宋_GB2312" w:cs="仿宋_GB2312" w:eastAsia="仿宋_GB2312"/>
              </w:rPr>
              <w:t>乐山市金口河区和平彝族乡解放村1号安置点公路边坡治理项目</w:t>
            </w:r>
          </w:p>
        </w:tc>
        <w:tc>
          <w:tcPr>
            <w:tcW w:type="dxa" w:w="2492"/>
          </w:tcPr>
          <w:p>
            <w:pPr>
              <w:pStyle w:val="null3"/>
              <w:jc w:val="left"/>
            </w:pPr>
            <w:r>
              <w:rPr>
                <w:rFonts w:ascii="仿宋_GB2312" w:hAnsi="仿宋_GB2312" w:cs="仿宋_GB2312" w:eastAsia="仿宋_GB2312"/>
              </w:rPr>
              <w:t>C30混凝土、C20混凝土、M10浆砌片石、黏层、6cm中粒式沥青混凝土AC-20C、C15混凝土、C25混凝土、混凝土排水管(含包封）、Φ110PVC管、Φ25PE管、Φ50PE管、Φ90PE管、跌水井、成品仿木栏杆</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注：响应产品属于《环境标志产品政府采购品目清单》中的产品，供应商提供由国家确定的认证机构出具的、处于有效期之内的环境标志产品认证证书的承诺，可以享受优先采购政策。具体要求详见第五章规定。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标的名称：乐山市金口河区和平彝族乡解放村1号安置点公路边坡治理项目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材料要求</w:t>
            </w:r>
          </w:p>
        </w:tc>
        <w:tc>
          <w:tcPr>
            <w:tcW w:type="dxa" w:w="5814"/>
          </w:tcPr>
          <w:p>
            <w:pPr>
              <w:pStyle w:val="null3"/>
              <w:jc w:val="left"/>
            </w:pPr>
            <w:r>
              <w:rPr>
                <w:rFonts w:ascii="仿宋_GB2312" w:hAnsi="仿宋_GB2312" w:cs="仿宋_GB2312" w:eastAsia="仿宋_GB2312"/>
              </w:rPr>
              <w:t>材料、设备选用要满足设计和国家现行相关质量标准的要求。</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施工要求</w:t>
            </w:r>
          </w:p>
        </w:tc>
        <w:tc>
          <w:tcPr>
            <w:tcW w:type="dxa" w:w="5814"/>
          </w:tcPr>
          <w:p>
            <w:pPr>
              <w:pStyle w:val="null3"/>
              <w:jc w:val="left"/>
            </w:pPr>
            <w:r>
              <w:rPr>
                <w:rFonts w:ascii="仿宋_GB2312" w:hAnsi="仿宋_GB2312" w:cs="仿宋_GB2312" w:eastAsia="仿宋_GB2312"/>
              </w:rPr>
              <w:t>1、满足安全文明施工相关要求的规定。工程施工必须按经批准的施工组织设计实施，并要符合施工规范及验收标准的相关要求，施工单位除按工程图纸及说明施工外，还必须严格满足国家颁布的现 行安装及施工工程验收规范和工程质量检验评定标准。</w:t>
            </w:r>
          </w:p>
          <w:p>
            <w:pPr>
              <w:pStyle w:val="null3"/>
              <w:jc w:val="left"/>
            </w:pPr>
            <w:r>
              <w:rPr>
                <w:rFonts w:ascii="仿宋_GB2312" w:hAnsi="仿宋_GB2312" w:cs="仿宋_GB2312" w:eastAsia="仿宋_GB2312"/>
              </w:rPr>
              <w:t>2、本项目施工 实施过程中，供应商须严格按照项目施工方案及规范施工并做好安全防护措施，在施工过程中，对施工范围周边区域原有设施 设备采取适当措施进行保护，如因供应商原因造成施工场地周边原有设备设施损坏的，供应商有责任无偿进行恢复。在施工过 程中所发生的所有安全事故和生产事故，劳动纠纷（含农民工工资）均由成交供应商承担。如遇上述情况，采购人有权将未支 付的货款用于支付上述事宜，成交供应商不得有异议。</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资料要求</w:t>
            </w:r>
          </w:p>
        </w:tc>
        <w:tc>
          <w:tcPr>
            <w:tcW w:type="dxa" w:w="5814"/>
          </w:tcPr>
          <w:p>
            <w:pPr>
              <w:pStyle w:val="null3"/>
              <w:jc w:val="left"/>
            </w:pPr>
            <w:r>
              <w:rPr>
                <w:rFonts w:ascii="仿宋_GB2312" w:hAnsi="仿宋_GB2312" w:cs="仿宋_GB2312" w:eastAsia="仿宋_GB2312"/>
              </w:rPr>
              <w:t>验收合格后提供完整的《竣工验收资料》给监理单位且完成备案工作, 若有图纸资料还须提供纸质及电子版。</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安全责任</w:t>
            </w:r>
          </w:p>
        </w:tc>
        <w:tc>
          <w:tcPr>
            <w:tcW w:type="dxa" w:w="5814"/>
          </w:tcPr>
          <w:p>
            <w:pPr>
              <w:pStyle w:val="null3"/>
              <w:jc w:val="left"/>
            </w:pPr>
            <w:r>
              <w:rPr>
                <w:rFonts w:ascii="仿宋_GB2312" w:hAnsi="仿宋_GB2312" w:cs="仿宋_GB2312" w:eastAsia="仿宋_GB2312"/>
              </w:rPr>
              <w:t>在本工程施工期间所有的安全问题及安全责任（含事故）均由成交供应商承担。成交供应商在进场后须严格按照国家（行业）相关规范要求进行施工，并完全接受采购人的合理化建议及相关部门的监督、检查；成交供应商必须使用本单位的施工队伍进行施工，不得以任何形式转包给其他单位。</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环境要求</w:t>
            </w:r>
          </w:p>
        </w:tc>
        <w:tc>
          <w:tcPr>
            <w:tcW w:type="dxa" w:w="5814"/>
          </w:tcPr>
          <w:p>
            <w:pPr>
              <w:pStyle w:val="null3"/>
              <w:jc w:val="left"/>
            </w:pPr>
            <w:r>
              <w:rPr>
                <w:rFonts w:ascii="仿宋_GB2312" w:hAnsi="仿宋_GB2312" w:cs="仿宋_GB2312" w:eastAsia="仿宋_GB2312"/>
              </w:rPr>
              <w:t>成交供应商应采取合理措施保护施工现场环境。对施工作业过程中可能引起的大气、水、噪音以及固体废物污染采取具体可行的防范措施。成交供应商应当承担因其原因引起的环境污染侵权损害赔偿责任，因上述环境污染引起纠纷而导致暂停施工的，由此增加的费用和（或）延误的工期由成交供应商承担。</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工程技术要求</w:t>
            </w:r>
          </w:p>
        </w:tc>
        <w:tc>
          <w:tcPr>
            <w:tcW w:type="dxa" w:w="5814"/>
          </w:tcPr>
          <w:p>
            <w:pPr>
              <w:pStyle w:val="null3"/>
              <w:jc w:val="left"/>
            </w:pPr>
            <w:r>
              <w:rPr>
                <w:rFonts w:ascii="仿宋_GB2312" w:hAnsi="仿宋_GB2312" w:cs="仿宋_GB2312" w:eastAsia="仿宋_GB2312"/>
              </w:rPr>
              <w:t>详见附件：工程量清单、施工图纸</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技术负责人</w:t>
            </w:r>
          </w:p>
        </w:tc>
        <w:tc>
          <w:tcPr>
            <w:tcW w:type="dxa" w:w="5814"/>
          </w:tcPr>
          <w:p>
            <w:pPr>
              <w:pStyle w:val="null3"/>
              <w:jc w:val="left"/>
            </w:pPr>
            <w:r>
              <w:rPr>
                <w:rFonts w:ascii="仿宋_GB2312" w:hAnsi="仿宋_GB2312" w:cs="仿宋_GB2312" w:eastAsia="仿宋_GB2312"/>
              </w:rPr>
              <w:t>具备公路工程类专业中级及以上职称。提供：1、人员证书复印件；2、提供其为本单位人员的证明材料。（均加盖单位鲜章）</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缺陷责任期</w:t>
            </w:r>
          </w:p>
        </w:tc>
        <w:tc>
          <w:tcPr>
            <w:tcW w:type="dxa" w:w="5814"/>
          </w:tcPr>
          <w:p>
            <w:pPr>
              <w:pStyle w:val="null3"/>
              <w:jc w:val="left"/>
            </w:pPr>
            <w:r>
              <w:rPr>
                <w:rFonts w:ascii="仿宋_GB2312" w:hAnsi="仿宋_GB2312" w:cs="仿宋_GB2312" w:eastAsia="仿宋_GB2312"/>
              </w:rPr>
              <w:t>12个月，自工程竣工验收合格之日起算。</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工程质量保证金</w:t>
            </w:r>
          </w:p>
        </w:tc>
        <w:tc>
          <w:tcPr>
            <w:tcW w:type="dxa" w:w="5814"/>
          </w:tcPr>
          <w:p>
            <w:pPr>
              <w:pStyle w:val="null3"/>
              <w:jc w:val="left"/>
            </w:pPr>
            <w:r>
              <w:rPr>
                <w:rFonts w:ascii="仿宋_GB2312" w:hAnsi="仿宋_GB2312" w:cs="仿宋_GB2312" w:eastAsia="仿宋_GB2312"/>
              </w:rPr>
              <w:t>本项目收取工程价款结算总额的3.0%作为工程质量保证金。质保期满一年后如无工程质量问题，全额无息退还。若工程存在质量问题，应将工程质量保证金转作维修费，并按项目实施责任书或工程承包合同的有关条款进行处理。</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参照《建设工程质量管理条例》执行。</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民工工资要求</w:t>
            </w:r>
          </w:p>
        </w:tc>
        <w:tc>
          <w:tcPr>
            <w:tcW w:type="dxa" w:w="5814"/>
          </w:tcPr>
          <w:p>
            <w:pPr>
              <w:pStyle w:val="null3"/>
              <w:jc w:val="left"/>
            </w:pPr>
            <w:r>
              <w:rPr>
                <w:rFonts w:ascii="仿宋_GB2312" w:hAnsi="仿宋_GB2312" w:cs="仿宋_GB2312" w:eastAsia="仿宋_GB2312"/>
              </w:rPr>
              <w:t>承包人应按照《中华人民共和国劳动合同法》规定，与民工建立劳动关系，订立书面劳动合同；按照《保障农民工工资支付条例》第三十二条之规定向人社部门缴纳农民工工资保证金；按照《工程建设领域农民工工资专用账户管理暂行办法》第六条之规定在工程施工合同签订之日起30日内开立专用账户，并与建设单位、开户银行签订资金管理三方协议。在专用账户开立后的30日内报人社局。未开设农民工工资专用账户的依据《保障农民工工资支付条例》第五十五条之规定予以处罚(5-10万元)。承包人申请拨付进度款金额达到合同价的79%时，农民工工资专用账户金额应达到能够足额支付民工工资的金额，每月提交有公司印章的民工工资拨付凭证。</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施工工期</w:t>
            </w:r>
          </w:p>
        </w:tc>
        <w:tc>
          <w:tcPr>
            <w:tcW w:type="dxa" w:w="5814"/>
          </w:tcPr>
          <w:p>
            <w:pPr>
              <w:pStyle w:val="null3"/>
              <w:jc w:val="left"/>
            </w:pPr>
            <w:r>
              <w:rPr>
                <w:rFonts w:ascii="仿宋_GB2312" w:hAnsi="仿宋_GB2312" w:cs="仿宋_GB2312" w:eastAsia="仿宋_GB2312"/>
              </w:rPr>
              <w:t>自合同签订之日起120日</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施工地点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1、预付款，工程预付款，项目合同签订并开工后，达到付款条件起15日内，据实情况说明为支付合同总金额的30.00%</w:t>
            </w:r>
          </w:p>
          <w:p>
            <w:pPr>
              <w:pStyle w:val="null3"/>
              <w:jc w:val="left"/>
            </w:pPr>
            <w:r>
              <w:rPr>
                <w:rFonts w:ascii="仿宋_GB2312" w:hAnsi="仿宋_GB2312" w:cs="仿宋_GB2312" w:eastAsia="仿宋_GB2312"/>
              </w:rPr>
              <w:t>2、进度款，工程进度款，项目工程量完成80%，达到付款条件起15日内，据实情况说明为支付合同总金额的49.00%</w:t>
            </w:r>
          </w:p>
          <w:p>
            <w:pPr>
              <w:pStyle w:val="null3"/>
              <w:jc w:val="left"/>
            </w:pPr>
            <w:r>
              <w:rPr>
                <w:rFonts w:ascii="仿宋_GB2312" w:hAnsi="仿宋_GB2312" w:cs="仿宋_GB2312" w:eastAsia="仿宋_GB2312"/>
              </w:rPr>
              <w:t>3、尾款，工程尾款，根据工程竣工结算审计结果进行支付，达到付款条件起15日内，据实情况说明为支付合同总金额的18.00%</w:t>
            </w:r>
          </w:p>
          <w:p>
            <w:pPr>
              <w:pStyle w:val="null3"/>
              <w:jc w:val="left"/>
            </w:pPr>
            <w:r>
              <w:rPr>
                <w:rFonts w:ascii="仿宋_GB2312" w:hAnsi="仿宋_GB2312" w:cs="仿宋_GB2312" w:eastAsia="仿宋_GB2312"/>
              </w:rPr>
              <w:t>4、缺陷责任期，缺责任期满一年后，达到付款条件后，达到付款条件起15日内，据实情况说明为支付合同总金额的3.00%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（1）严格按照采购文件、投标文件的相关要求，合同条款要求及相关法律法规或行业规定等进行验收。 （2）采购人将按照《财政部关于进一步加强政府采购需求和履约验收管理的报导意见》（财库【2016】205号）、《政府采购需求管理办法》（财库〔2021〕22 号）和《关于沿用〈乐山市政府采购项目需求论证和履约验收管理实施细则〉的通知》（乐市财政采〔2021〕8号）的规定进行履约验收。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按合同约定执行。本项目施工实施过程中，供应商须严格按照项目施工方案及规范施工并做好安全防护措施，在施工过程中，对施工范围周边区域原有设施设备采取适当措施进行保护，如因供应商原因造成施工场地周边原有设备设施损坏的，供应商有责任无偿进行恢复。在施工过程中所发生的所有安全事故和生产事故，劳动纠纷（含农民工工资）均由成交供应商承担。如遇上述情况，采购人有权将未支付的货款用于支付上述事宜，成交供应商不得有异议。</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漏项工程处理</w:t>
            </w:r>
          </w:p>
        </w:tc>
        <w:tc>
          <w:tcPr>
            <w:tcW w:type="dxa" w:w="5814"/>
          </w:tcPr>
          <w:p>
            <w:pPr>
              <w:pStyle w:val="null3"/>
              <w:jc w:val="left"/>
            </w:pPr>
            <w:r>
              <w:rPr>
                <w:rFonts w:ascii="仿宋_GB2312" w:hAnsi="仿宋_GB2312" w:cs="仿宋_GB2312" w:eastAsia="仿宋_GB2312"/>
              </w:rPr>
              <w:t>施工过程中，发现招标工程量清单存在漏项工程的，该漏项工程作为本项目本章采购需求的组成部分，采购人和供应商可以按照《中华人民共和国政府采购法》的规定签订不超过成交金额百 分之十的补充合同。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rPr>
        <w:t>本谈判文件中除标注“★”以外的内容，根据采购人项目实际需求可进行谈判。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ind w:firstLine="480"/>
        <w:jc w:val="left"/>
      </w:pPr>
      <w:r>
        <w:rPr>
          <w:rFonts w:ascii="仿宋_GB2312" w:hAnsi="仿宋_GB2312" w:cs="仿宋_GB2312" w:eastAsia="仿宋_GB2312"/>
        </w:rPr>
        <w:t>注：工程量清单不属于谈判过程中可以实质性变动的内容。</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 xml:space="preserve"> 六、谈判文件规定的供应商资格条件与随机抽取设置的或邀请书中载明的供应商资格条件不一致的；</w:t>
      </w:r>
    </w:p>
    <w:p>
      <w:pPr>
        <w:pStyle w:val="null3"/>
        <w:jc w:val="left"/>
      </w:pPr>
      <w:r>
        <w:rPr>
          <w:rFonts w:ascii="仿宋_GB2312" w:hAnsi="仿宋_GB2312" w:cs="仿宋_GB2312" w:eastAsia="仿宋_GB2312"/>
        </w:rPr>
        <w:t xml:space="preserve"> 七、谈判文件有违反国家其他有关强制性规定的情形。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响应文件封面,投标（响应）函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完整的全套财务报表（应当包括资产负债表、利润表、现金流量表、所有者权益变动表、附注）或者银行出具的资信证明。供应商注册时间截至响应文件提交截止之日前不足一年的，也可提供在相关主管部门备案的公司章程等证明材料。供应商需在交易系统中按要求上传相应证明文件到《具有健全的财务会计制度证明材料》中并进行电子签章。</w:t>
            </w:r>
          </w:p>
        </w:tc>
        <w:tc>
          <w:tcPr>
            <w:tcW w:type="dxa" w:w="1910"/>
          </w:tcPr>
          <w:p>
            <w:pPr>
              <w:pStyle w:val="null3"/>
              <w:jc w:val="left"/>
            </w:pPr>
            <w:r>
              <w:rPr>
                <w:rFonts w:ascii="仿宋_GB2312" w:hAnsi="仿宋_GB2312" w:cs="仿宋_GB2312" w:eastAsia="仿宋_GB2312"/>
              </w:rPr>
              <w:t>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br/>
              <w:t>供应商应当提供项目负责人的人员社保费缴纳证明原件扫描件并进行电子签章，如项目负责人为符合行业主管部门规定的退休人员，则应当提供退休证或退休后社保领取证明、退休人员身份证和聘用合同等原件扫描件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供应商应当提供项目负责人的行业主管部门颁发的且在有效期内的 公路工程二级注册建造师及以上建造师注册证书原件扫描件；供应商应当提供项目负责人的行业主管部门颁发的且在有效期内的公路水运工程安全生产考核合格证书（B 证）原件扫描件；供应商需在使用投标（响应）客户端编制响应文件时，按要求上传相应证明材料，填写《投标（响应）函》完成承诺，并进行电子签章。若本采购包采取供应商库抽取的，则供应商响应文件中提供的项目负责人建造师注册证书、安全生产考核合格证书（B证）应当与该供应商确认随机抽取时提交的项目负责人建造师注册证书、安全生产考核合格证书（B证）保持一致。</w:t>
            </w:r>
          </w:p>
        </w:tc>
        <w:tc>
          <w:tcPr>
            <w:tcW w:type="dxa" w:w="1910"/>
          </w:tcPr>
          <w:p>
            <w:pPr>
              <w:pStyle w:val="null3"/>
              <w:jc w:val="left"/>
            </w:pPr>
            <w:r>
              <w:rPr>
                <w:rFonts w:ascii="仿宋_GB2312" w:hAnsi="仿宋_GB2312" w:cs="仿宋_GB2312" w:eastAsia="仿宋_GB2312"/>
              </w:rPr>
              <w:t>投标（响应）函,项目负责人信息表</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575"/>
          </w:tcPr>
          <w:p>
            <w:pPr>
              <w:pStyle w:val="null3"/>
              <w:jc w:val="left"/>
            </w:pPr>
            <w:r>
              <w:rPr>
                <w:rFonts w:ascii="仿宋_GB2312" w:hAnsi="仿宋_GB2312" w:cs="仿宋_GB2312" w:eastAsia="仿宋_GB2312"/>
              </w:rPr>
              <w:t>本采购包属于专门面向中小企业采购。</w:t>
            </w:r>
          </w:p>
        </w:tc>
        <w:tc>
          <w:tcPr>
            <w:tcW w:type="dxa" w:w="3239"/>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具有符合工程管理规定的建筑业企业资质、安全生产许可证。</w:t>
            </w:r>
          </w:p>
        </w:tc>
        <w:tc>
          <w:tcPr>
            <w:tcW w:type="dxa" w:w="3322"/>
          </w:tcPr>
          <w:p>
            <w:pPr>
              <w:pStyle w:val="null3"/>
              <w:jc w:val="left"/>
            </w:pPr>
            <w:r>
              <w:rPr>
                <w:rFonts w:ascii="仿宋_GB2312" w:hAnsi="仿宋_GB2312" w:cs="仿宋_GB2312" w:eastAsia="仿宋_GB2312"/>
              </w:rPr>
              <w:t>供应商应当具备行业主管部门颁发的且在有效期内的安全生产许可证；供应商应当具备行业主管部门颁发的且在有效期内的公路工程施工总承包三级或以上；供应商需在使用投标（响应）客户端编制响应文件时，按要求上传相应证明文件并进行电子签章。若本采购包采取供应商库抽取的，则供应商响应文件中提供的建筑业企业资质、安全生产许可证应当与该供应商确认随机抽取时提交的建筑业企业资质、安全生产许可证保持一致。</w:t>
            </w:r>
          </w:p>
        </w:tc>
        <w:tc>
          <w:tcPr>
            <w:tcW w:type="dxa" w:w="1910"/>
          </w:tcPr>
          <w:p>
            <w:pPr>
              <w:pStyle w:val="null3"/>
              <w:jc w:val="left"/>
            </w:pPr>
            <w:r>
              <w:rPr>
                <w:rFonts w:ascii="仿宋_GB2312" w:hAnsi="仿宋_GB2312" w:cs="仿宋_GB2312" w:eastAsia="仿宋_GB2312"/>
              </w:rPr>
              <w:t>投标（响应）函,企业资质信息表</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供应商取得本项目成交资格且注册地不在四川省行政区域内的，应当在政府采购合同签订前向采购人提交在有效期内的四川省住房和城乡建设厅官网已公开的入川信息网页截图。</w:t>
            </w:r>
          </w:p>
        </w:tc>
        <w:tc>
          <w:tcPr>
            <w:tcW w:type="dxa" w:w="3322"/>
          </w:tcPr>
          <w:p>
            <w:pPr>
              <w:pStyle w:val="null3"/>
              <w:jc w:val="left"/>
            </w:pPr>
            <w:r>
              <w:rPr>
                <w:rFonts w:ascii="仿宋_GB2312" w:hAnsi="仿宋_GB2312" w:cs="仿宋_GB2312" w:eastAsia="仿宋_GB2312"/>
              </w:rPr>
              <w:t>注册地不在四川省行政区域内的供应商： 1、未进行入川承揽业务登记手续的，响应时须提供承诺函承诺：“在取得本项目成交资格后、签订政府采购项目合同前向采购人提交在有效期内的四川省住房和城乡建设厅官网已公开的入川信息网页截图。” 2、已完成入川承揽业务登记手续的，响应时须在《资格证明材料》中提供有效期内的四川省住房和城乡建设厅官网已公开的入川信息网页截图并加盖供应商电子印章。</w:t>
            </w:r>
          </w:p>
        </w:tc>
        <w:tc>
          <w:tcPr>
            <w:tcW w:type="dxa" w:w="1910"/>
          </w:tcPr>
          <w:p>
            <w:pPr>
              <w:pStyle w:val="null3"/>
              <w:jc w:val="left"/>
            </w:pPr>
            <w:r>
              <w:rPr>
                <w:rFonts w:ascii="仿宋_GB2312" w:hAnsi="仿宋_GB2312" w:cs="仿宋_GB2312" w:eastAsia="仿宋_GB2312"/>
              </w:rPr>
              <w:t>入川承诺函.docx,供应商应提交的相关证明材料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一、谈判小组依据本谈判文件的符合性审查要求，对符合资格要求供应商的响应文件有效性、完整性和响应程度进行审查。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二、谈判小组应对供应商已标价工程量清单进行算术性复核，如果出现下列不一致的，按以下原则进行修正：</w:t>
      </w:r>
    </w:p>
    <w:p>
      <w:pPr>
        <w:pStyle w:val="null3"/>
        <w:ind w:firstLine="480"/>
        <w:jc w:val="left"/>
      </w:pPr>
      <w:r>
        <w:rPr>
          <w:rFonts w:ascii="仿宋_GB2312" w:hAnsi="仿宋_GB2312" w:cs="仿宋_GB2312" w:eastAsia="仿宋_GB2312"/>
        </w:rPr>
        <w:t>（一）报价大写金额和小写金额不一致的，以大写金额为准。但大写金额文字存在错误的，应当先对大写金额的文字错误进行澄清、说明或者更正，再行修正。</w:t>
      </w:r>
    </w:p>
    <w:p>
      <w:pPr>
        <w:pStyle w:val="null3"/>
        <w:ind w:firstLine="480"/>
        <w:jc w:val="left"/>
      </w:pPr>
      <w:r>
        <w:rPr>
          <w:rFonts w:ascii="仿宋_GB2312" w:hAnsi="仿宋_GB2312" w:cs="仿宋_GB2312" w:eastAsia="仿宋_GB2312"/>
        </w:rPr>
        <w:t>（二）总价金额与依据单价（或费率）计算出的结果不一致的，以单价（或费率）为准修正总价，但单价（或费率）小数点有明显错误的除外。</w:t>
      </w:r>
    </w:p>
    <w:p>
      <w:pPr>
        <w:pStyle w:val="null3"/>
        <w:ind w:firstLine="480"/>
        <w:jc w:val="left"/>
      </w:pPr>
      <w:r>
        <w:rPr>
          <w:rFonts w:ascii="仿宋_GB2312" w:hAnsi="仿宋_GB2312" w:cs="仿宋_GB2312" w:eastAsia="仿宋_GB2312"/>
        </w:rPr>
        <w:t>修正后的报价经供应商确认后产生约束力，供应商不确认的，其响应文件作为无效处理。供应商确认采取书面方式并经供应商授权代表签字。谈判小组不得未经书面形式要求供应商确认，直接将供应商响应文件作为无效处理。</w:t>
      </w:r>
    </w:p>
    <w:p>
      <w:pPr>
        <w:pStyle w:val="null3"/>
        <w:ind w:firstLine="480"/>
        <w:jc w:val="left"/>
      </w:pPr>
      <w:r>
        <w:rPr>
          <w:rFonts w:ascii="仿宋_GB2312" w:hAnsi="仿宋_GB2312" w:cs="仿宋_GB2312" w:eastAsia="仿宋_GB2312"/>
        </w:rPr>
        <w:t>三、在符合性审查过程中，如果出现谈判小组成员意见不一致的情况，按照少数服从多数的原则确定，但不得违反政府采购基本原则和谈判文件规定。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不正当竞争预防措施（实质性要求）</w:t>
            </w:r>
          </w:p>
        </w:tc>
        <w:tc>
          <w:tcPr>
            <w:tcW w:type="dxa" w:w="3322"/>
          </w:tcPr>
          <w:p>
            <w:pPr>
              <w:pStyle w:val="null3"/>
              <w:jc w:val="left"/>
            </w:pPr>
            <w:r>
              <w:rPr>
                <w:rFonts w:ascii="仿宋_GB2312" w:hAnsi="仿宋_GB2312" w:cs="仿宋_GB2312" w:eastAsia="仿宋_GB2312"/>
              </w:rPr>
              <w:t>1.超过本采购包采购预算或者最高限价的，供应商响应文件作为无效响应处理。 2.在评审过程中，谈判小组认为供应商响应报价明显低于其他通过符合性审查供应商的响应报价，有可能影响产品质量或者不能诚信履约的，谈判小组应当要求其在合理的时间内通过交易系统进行书面说明并加盖电子签章，必要时提交相关证明材料。在谈判小组要求的时间内通过交易系统进行提交，否则视为不能证明其响应报价合理性。供应商不能证明其响应报价合理性的，谈判小组应当将其响应文件作为无效响应处理。（注：供应商报价低于最高限价85%或者低于其他有效供应商报价算术平均价90%的，谈判小组可以认为该供应商“报价明显低于其他通过符合性审查供应商的供应商报价”。）3.供应商通过项目电子化交易系统在谈判小组要求的合理时间内提交说明，否则无效。</w:t>
            </w:r>
          </w:p>
        </w:tc>
        <w:tc>
          <w:tcPr>
            <w:tcW w:type="dxa" w:w="1910"/>
          </w:tcPr>
          <w:p>
            <w:pPr>
              <w:pStyle w:val="null3"/>
              <w:jc w:val="left"/>
            </w:pPr>
            <w:r>
              <w:rPr>
                <w:rFonts w:ascii="仿宋_GB2312" w:hAnsi="仿宋_GB2312" w:cs="仿宋_GB2312" w:eastAsia="仿宋_GB2312"/>
              </w:rPr>
              <w:t>已标价工程量清单,报价明细表,报价表</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技术服务要求应答</w:t>
            </w:r>
          </w:p>
        </w:tc>
        <w:tc>
          <w:tcPr>
            <w:tcW w:type="dxa" w:w="3322"/>
          </w:tcPr>
          <w:p>
            <w:pPr>
              <w:pStyle w:val="null3"/>
              <w:jc w:val="left"/>
            </w:pPr>
            <w:r>
              <w:rPr>
                <w:rFonts w:ascii="仿宋_GB2312" w:hAnsi="仿宋_GB2312" w:cs="仿宋_GB2312" w:eastAsia="仿宋_GB2312"/>
              </w:rPr>
              <w:t>1、供应商必须把谈判文件第3章“3.2 技术要求”、“3.3服务要求”的全部要求在本表中进行逐条响应，供应商若无法列入此表的，由供应商自拟格式响应，并加盖供应商电子印章。 2、标注有“★”的内容为本项目实质性要求，谈判前必须满足，不满足或有负偏离的，响应文件作无效处理。 3、谈判文件要求提供证明材料的，可作为应答表附件附后，并加盖供应商电子印章。</w:t>
            </w:r>
          </w:p>
        </w:tc>
        <w:tc>
          <w:tcPr>
            <w:tcW w:type="dxa" w:w="1910"/>
          </w:tcPr>
          <w:p>
            <w:pPr>
              <w:pStyle w:val="null3"/>
              <w:jc w:val="left"/>
            </w:pPr>
            <w:r>
              <w:rPr>
                <w:rFonts w:ascii="仿宋_GB2312" w:hAnsi="仿宋_GB2312" w:cs="仿宋_GB2312" w:eastAsia="仿宋_GB2312"/>
              </w:rPr>
              <w:t>技术服务要求应答表.docx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谈判小组认为供应商响应报价明显低于其他通过符合性审查供应商的响应报价，有可能影响产品质量或者不能诚信履约的，谈判小组应当要求其在合理的时间内通过交易系统进行书面说明、提交相关证明材料，并加盖电子印章。供应商拒绝或者变相拒绝提供有效书面说明或者书面说明不能证明其报价合理性的，谈判小组应当将其响应文件作为无效响应处理。（注：供应商报价低于最高限价85%或者低于其他有效供应商报价算术平均价90%的，谈判小组可以认为该供应商“报价明显低于其他实质性响应的供应商报价”。）</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承诺提供的优先采购产品认证证书数量由多到少顺序排列；最后报价且承诺提供的优先采购产品认证证书数量相同的并列。供应商响应的产品同时具有节能产品认证证书、环境标志产品认证证书的，按承诺提供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已标价工程量清单,报价明细表,报价表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559"/>
          </w:tcPr>
          <w:p>
            <w:pPr>
              <w:pStyle w:val="null3"/>
              <w:jc w:val="left"/>
            </w:pPr>
            <w:r>
              <w:rPr>
                <w:rFonts w:ascii="仿宋_GB2312" w:hAnsi="仿宋_GB2312" w:cs="仿宋_GB2312" w:eastAsia="仿宋_GB2312"/>
              </w:rPr>
              <w:t>1</w:t>
            </w:r>
          </w:p>
        </w:tc>
        <w:tc>
          <w:tcPr>
            <w:tcW w:type="dxa" w:w="2396"/>
          </w:tcPr>
          <w:p>
            <w:pPr>
              <w:pStyle w:val="null3"/>
              <w:jc w:val="left"/>
            </w:pPr>
            <w:r>
              <w:rPr>
                <w:rFonts w:ascii="仿宋_GB2312" w:hAnsi="仿宋_GB2312" w:cs="仿宋_GB2312" w:eastAsia="仿宋_GB2312"/>
              </w:rPr>
              <w:t>优先采购环境标志产品</w:t>
            </w:r>
          </w:p>
        </w:tc>
        <w:tc>
          <w:tcPr>
            <w:tcW w:type="dxa" w:w="2396"/>
          </w:tcPr>
          <w:p>
            <w:pPr>
              <w:pStyle w:val="null3"/>
              <w:jc w:val="left"/>
            </w:pPr>
            <w:r>
              <w:rPr>
                <w:rFonts w:ascii="仿宋_GB2312" w:hAnsi="仿宋_GB2312" w:cs="仿宋_GB2312" w:eastAsia="仿宋_GB2312"/>
              </w:rPr>
              <w:t>根据供应商响应的优先采购的环境标志产品，确定具有环境标志产品认证证书的数量，合并计入优先采购产品认证证书数量。说明：响应产品属于《环境标志产品政府采购品目清单》中的产品，供应商提供由国家确定的认证机构出具的、处于有效期之内的环境标志产品认证证书的承诺，可以享受优先采购政策。</w:t>
            </w:r>
          </w:p>
        </w:tc>
        <w:tc>
          <w:tcPr>
            <w:tcW w:type="dxa" w:w="2955"/>
          </w:tcPr>
          <w:p>
            <w:pPr>
              <w:pStyle w:val="null3"/>
              <w:jc w:val="left"/>
            </w:pPr>
            <w:r>
              <w:rPr>
                <w:rFonts w:ascii="仿宋_GB2312" w:hAnsi="仿宋_GB2312" w:cs="仿宋_GB2312" w:eastAsia="仿宋_GB2312"/>
              </w:rPr>
              <w:t>强制、优先采购产品承诺函</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一、评审结束后，代理机构在评审结束后2个工作日内将谈判报告及有关资料送交采购人确定成交供应商。</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三、根据采购人确定的成交供应商，代理机构在四川政府采购网发布成交结果公告，同时向成交供应商发出成交通知书。</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详见附件：已标价工程量清单</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详见附件：项目负责人信息表</w:t>
      </w:r>
    </w:p>
    <w:p>
      <w:pPr>
        <w:pStyle w:val="null3"/>
        <w:ind w:firstLine="960"/>
        <w:jc w:val="left"/>
      </w:pPr>
      <w:r>
        <w:rPr>
          <w:rFonts w:ascii="仿宋_GB2312" w:hAnsi="仿宋_GB2312" w:cs="仿宋_GB2312" w:eastAsia="仿宋_GB2312"/>
        </w:rPr>
        <w:t>详见附件：强制、优先采购产品承诺函</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详见附件：企业资质信息表</w:t>
      </w:r>
    </w:p>
    <w:p>
      <w:pPr>
        <w:pStyle w:val="null3"/>
        <w:ind w:firstLine="960"/>
        <w:jc w:val="left"/>
      </w:pPr>
      <w:r>
        <w:rPr>
          <w:rFonts w:ascii="仿宋_GB2312" w:hAnsi="仿宋_GB2312" w:cs="仿宋_GB2312" w:eastAsia="仿宋_GB2312"/>
        </w:rPr>
        <w:t>详见附件：入川承诺函.docx</w:t>
      </w:r>
    </w:p>
    <w:p>
      <w:pPr>
        <w:pStyle w:val="null3"/>
        <w:ind w:firstLine="960"/>
        <w:jc w:val="left"/>
      </w:pPr>
      <w:r>
        <w:rPr>
          <w:rFonts w:ascii="仿宋_GB2312" w:hAnsi="仿宋_GB2312" w:cs="仿宋_GB2312" w:eastAsia="仿宋_GB2312"/>
        </w:rPr>
        <w:t>详见附件：技术服务要求应答表.docx</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详见附件：项目施工合同（模板）.docx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