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版本号：N511113202500000720250225001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金口河区延风中学维修改造工程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N5111132025000007</w:t>
      </w:r>
    </w:p>
    <w:p>
      <w:pPr>
        <w:pStyle w:val="null3"/>
        <w:jc w:val="center"/>
        <w:outlineLvl w:val="2"/>
      </w:pPr>
      <w:r>
        <w:rPr>
          <w:rFonts w:ascii="仿宋_GB2312" w:hAnsi="仿宋_GB2312" w:cs="仿宋_GB2312" w:eastAsia="仿宋_GB2312"/>
          <w:sz w:val="28"/>
          <w:b/>
        </w:rPr>
        <w:t>乐山市金口河区延风中学</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乐山市金口河区延风中学</w:t>
      </w:r>
      <w:r>
        <w:rPr>
          <w:rFonts w:ascii="仿宋_GB2312" w:hAnsi="仿宋_GB2312" w:cs="仿宋_GB2312" w:eastAsia="仿宋_GB2312"/>
        </w:rPr>
        <w:t xml:space="preserve"> 委托，拟对 </w:t>
      </w:r>
      <w:r>
        <w:rPr>
          <w:rFonts w:ascii="仿宋_GB2312" w:hAnsi="仿宋_GB2312" w:cs="仿宋_GB2312" w:eastAsia="仿宋_GB2312"/>
        </w:rPr>
        <w:t>金口河区延风中学维修改造工程</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N5111132025000007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金口河区延风中学维修改造工程</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工程建设地点为金口河区延风中学校园内，建设内容为拆除原校门，新建校门一个；更换初中部教学楼已损坏教室门48扇，高中部教学楼已损坏教室门50扇；拆除已损坏塑胶跑道面层，重新铺设塑胶面层3000平方米；拆除已锈蚀铅球场围栏，重新制作安装铅球场围栏120平方米；将学生食堂侧面原公园改造为36块学生劳动实践基地，改造面积420平方米；将学生食堂底楼外水泥地面改造为水磨石地面，改造面积800平方米；改扩建学校操场舞台120平方米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pPr>
      <w:r>
        <w:rPr>
          <w:rFonts w:ascii="仿宋_GB2312" w:hAnsi="仿宋_GB2312" w:cs="仿宋_GB2312" w:eastAsia="仿宋_GB2312"/>
        </w:rPr>
        <w:t>2、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乐山市金口河区延风中学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四川省乐山市金口河区永和镇红华路54号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18981346991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乐山市金口河区政府采购中心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采购包1：1,464,727.79元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乐山市金口河区延风中学</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乐山市金口河区延风中学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项目整体施工完成后， 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本项目工程质量、技术要求须达到国家现行质量验收合格标准;具体技术要求及施工内容详见本项目工程量清 单及施工图纸。</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具体详见采购文件第三章。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(1)成交人与采购人应严格按照《财政部关于进一步加强政府采购需求和履约 验收管理的指导意见》(财库(2016)205号)的要求、采购文件规定的要求和响 应文件及合同承诺的内容进行验收。(2)除合同另有约定外，材料、施工工艺和本工程都应依照本技术标准和要求 以及适用的现行规范、标准和规程的最新版本执行。若适用的现行规范、标准和规程的最新版本是在基准日后颁布的，且相应标准发生变更并成为合同文件中最严格 的标准，则应按合同条款的约定办理。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乐山市金口河区延风中学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联系人：何文</w:t>
      </w:r>
    </w:p>
    <w:p>
      <w:pPr>
        <w:pStyle w:val="null3"/>
        <w:jc w:val="left"/>
      </w:pPr>
      <w:r>
        <w:rPr>
          <w:rFonts w:ascii="仿宋_GB2312" w:hAnsi="仿宋_GB2312" w:cs="仿宋_GB2312" w:eastAsia="仿宋_GB2312"/>
        </w:rPr>
        <w:t>联系电话：18981346991</w:t>
      </w:r>
    </w:p>
    <w:p>
      <w:pPr>
        <w:pStyle w:val="null3"/>
        <w:jc w:val="left"/>
      </w:pPr>
      <w:r>
        <w:rPr>
          <w:rFonts w:ascii="仿宋_GB2312" w:hAnsi="仿宋_GB2312" w:cs="仿宋_GB2312" w:eastAsia="仿宋_GB2312"/>
        </w:rPr>
        <w:t>地址：四川省乐山市金口河区永和镇红华路54号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1,464,727.79</w:t>
      </w:r>
    </w:p>
    <w:p>
      <w:pPr>
        <w:pStyle w:val="null3"/>
        <w:jc w:val="left"/>
      </w:pPr>
      <w:r>
        <w:rPr>
          <w:rFonts w:ascii="仿宋_GB2312" w:hAnsi="仿宋_GB2312" w:cs="仿宋_GB2312" w:eastAsia="仿宋_GB2312"/>
        </w:rPr>
        <w:t>采购包最高限价（元）: 1,464,727.79</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金口河区延风中学维修改造工程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1,464,727.79</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金口河区延风中学维修改造工程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1,464,727.79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金口河区延风中学维修改造工程</w:t>
            </w:r>
          </w:p>
        </w:tc>
        <w:tc>
          <w:tcPr>
            <w:tcW w:type="dxa" w:w="2492"/>
          </w:tcPr>
          <w:p>
            <w:pPr>
              <w:pStyle w:val="null3"/>
              <w:jc w:val="left"/>
            </w:pPr>
            <w:r>
              <w:rPr>
                <w:rFonts w:ascii="仿宋_GB2312" w:hAnsi="仿宋_GB2312" w:cs="仿宋_GB2312" w:eastAsia="仿宋_GB2312"/>
              </w:rPr>
              <w:t>定制钢质门（带观察窗）、商品混凝土、不锈钢门、墙面乳胶漆、不锈钢小门、屋面1.5厚自粘聚合物改性沥青防水卷材、天棚白色涂料、水泥、100*100mm面砖、外墙瓷砖专用胶粘贴纸皮砖。</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标的名称：金口河区延风中学维修改造工程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磋商文件工程量清单中若涉及政府强制采购产品的，按磋商须知提供相应的证明材料。供应商须按采购需求提供施工材料，必须符合国家质量标准及生产厂商的质量要求，并且是全新的、未使用过的、原装合格正品。采购方有权对材料、半成品、成品等进行随机抽查，成交供应商应积极配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具备建筑工程类专业中级及以上职称。提供：1、人员证书复印件；2、提供其为本单位人员的证明材料。（均加盖单位鲜章）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结算审定金额3%的工程质量保证金。缺陷责任期满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民工工资保证金</w:t>
            </w:r>
          </w:p>
        </w:tc>
        <w:tc>
          <w:tcPr>
            <w:tcW w:type="dxa" w:w="5814"/>
          </w:tcPr>
          <w:p>
            <w:pPr>
              <w:pStyle w:val="null3"/>
              <w:jc w:val="left"/>
            </w:pPr>
            <w:r>
              <w:rPr>
                <w:rFonts w:ascii="仿宋_GB2312" w:hAnsi="仿宋_GB2312" w:cs="仿宋_GB2312" w:eastAsia="仿宋_GB2312"/>
              </w:rPr>
              <w:t>按照乐山市住房和城乡建设局有关规定执行。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乐山市金口河区延风中学校园内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1、以银行转帐方式按施工进度和财政资金到位情况支付。工程开工后，达到付款条件起15日内，据实情况说明为发包人向承包人支付工程总价款的 40%</w:t>
            </w:r>
          </w:p>
          <w:p>
            <w:pPr>
              <w:pStyle w:val="null3"/>
              <w:jc w:val="left"/>
            </w:pPr>
            <w:r>
              <w:rPr>
                <w:rFonts w:ascii="仿宋_GB2312" w:hAnsi="仿宋_GB2312" w:cs="仿宋_GB2312" w:eastAsia="仿宋_GB2312"/>
              </w:rPr>
              <w:t>2、工程竣工验收合格后，达到付款条件起20日内，据实情况说明为发包人向承包人支付工程总价款的40%</w:t>
            </w:r>
          </w:p>
          <w:p>
            <w:pPr>
              <w:pStyle w:val="null3"/>
              <w:jc w:val="left"/>
            </w:pPr>
            <w:r>
              <w:rPr>
                <w:rFonts w:ascii="仿宋_GB2312" w:hAnsi="仿宋_GB2312" w:cs="仿宋_GB2312" w:eastAsia="仿宋_GB2312"/>
              </w:rPr>
              <w:t>3、结算评审后，达到付款条件起20日内，据实情况说明为发包人向承包人支付剩余工程款。在支付剩余工程款前，缺陷责任期未满的承包人需先缴纳工程结算审定金额3%的质量保证金，待缺陷责任期满后无质量问题一次性无息退还。</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(1)成交人与采购人应严格按照《财政部关于进一步加强政府采购需求和履约 验收管理的指导意见》(财库(2016)205号)的要求、采购文件规定的要求和响 应文件及合同承诺的内容进行验收。(2)除合同另有约定外，材料、施工工艺和本工程都应依照本技术标准和要求 以及适用的现行规范、标准和规程的最新版本执行。若适用的现行规范、标准和规程的最新版本是在基准日后颁布的，且相应标准发生变更并成为合同文件中最严格 的标准，则应按合同条款的约定办理。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成交供应商双方必须遵守采购合同并执行合同中的各项规定，保证釆购合同的正常履行。任何一方违约给对方造成的直接损失均负有赔偿责任;对方均有权视情况要求对方继续履行合同或提出解除合同。 2、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 3、争议解决办法：合同履行期间，若双方发生争议，可协商或由有关部门调解解决，协商或调解不成的，由当事人依法向项目所在地有管辖权的人民法院提起诉讼，维护其合法权益。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建筑工程二级注册建造师及以上建造师注册证书原件扫描件；供应商应当提供行项目负责人的业主管部门颁发的且在有效期内的房屋建筑和市政基础设施工程安全生产考核合格证书（B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入川承诺函,供应商应提交的相关证明材料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报价一览表,已标价工程量清单,报价明细表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供应商2022年1月1日（含1日）以来具有一个已完成类似项目业绩的得3分，在此基础上每增加1个加2分， 最多得7分。（提供施工合同复印件和竣工验收报告复印件，类似业绩是指建筑工程施工业绩）</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供应商提供的施工组织设计方案包含①进度计划、②质量保证措施、③安全保证措施、④资源配置计划、⑤环保文明措施、⑥应急预案、⑦施工工艺内容、⑧噪音控制措施、⑨空气和周围环境、植被保护控制措施和工地环境卫生措施，以上九项内容每缺少一项内容的扣7分；每有一项内容缺陷或内容错误的扣3.5分，扣完为止。本项最多得63分。 （内容缺陷是指：与本项目实际不符合、无针对性或夸大无法实施的情形，只是简单的复制采购需求内容而没有具体详细阐述的按照错误或不足处理。内容错误是指：项目名称、实施地点、涉及的工程质量、材料质量、施工质量、安全文明施工的规范，施工技术规范标准、施工竣工验收合格标准与本项目要求不一致，不能满足业主要求，进度计划超期。）</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详见附件：入川承诺函</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详见附件：施工组织设计</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