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color w:val="000000"/>
          <w:sz w:val="52"/>
          <w:szCs w:val="52"/>
        </w:rPr>
      </w:pPr>
      <w:bookmarkStart w:id="660" w:name="_GoBack"/>
      <w:bookmarkEnd w:id="660"/>
      <w:r>
        <w:rPr>
          <w:rFonts w:hint="eastAsia" w:ascii="宋体"/>
          <w:color w:val="000000"/>
          <w:sz w:val="52"/>
          <w:szCs w:val="52"/>
        </w:rPr>
        <w:t>乐山市金口河区政府采购工程项目</w:t>
      </w:r>
    </w:p>
    <w:p>
      <w:pPr>
        <w:spacing w:line="500" w:lineRule="exact"/>
        <w:ind w:firstLine="1040"/>
        <w:jc w:val="center"/>
        <w:rPr>
          <w:rFonts w:ascii="宋体"/>
          <w:color w:val="000000"/>
          <w:sz w:val="52"/>
          <w:szCs w:val="52"/>
        </w:rPr>
      </w:pPr>
    </w:p>
    <w:p>
      <w:pPr>
        <w:spacing w:line="500" w:lineRule="exact"/>
        <w:ind w:firstLine="1040"/>
        <w:jc w:val="center"/>
        <w:rPr>
          <w:rFonts w:ascii="宋体"/>
          <w:color w:val="000000"/>
          <w:sz w:val="52"/>
          <w:szCs w:val="52"/>
        </w:rPr>
      </w:pPr>
    </w:p>
    <w:p>
      <w:pPr>
        <w:spacing w:line="500" w:lineRule="exact"/>
        <w:ind w:firstLine="1040"/>
        <w:jc w:val="center"/>
        <w:rPr>
          <w:rFonts w:ascii="宋体"/>
          <w:color w:val="000000"/>
          <w:sz w:val="52"/>
          <w:szCs w:val="52"/>
        </w:rPr>
      </w:pPr>
    </w:p>
    <w:p>
      <w:pPr>
        <w:spacing w:line="500" w:lineRule="exact"/>
        <w:ind w:firstLine="480"/>
        <w:jc w:val="center"/>
        <w:rPr>
          <w:rStyle w:val="45"/>
          <w:b w:val="0"/>
          <w:color w:val="000000"/>
        </w:rPr>
      </w:pPr>
    </w:p>
    <w:p>
      <w:pPr>
        <w:spacing w:line="500" w:lineRule="exact"/>
        <w:ind w:firstLine="1040"/>
        <w:rPr>
          <w:color w:val="000000"/>
          <w:sz w:val="52"/>
          <w:szCs w:val="52"/>
        </w:rPr>
      </w:pPr>
    </w:p>
    <w:p>
      <w:pPr>
        <w:tabs>
          <w:tab w:val="center" w:pos="4204"/>
        </w:tabs>
        <w:spacing w:line="600" w:lineRule="exact"/>
        <w:ind w:firstLine="1040"/>
        <w:jc w:val="center"/>
        <w:rPr>
          <w:color w:val="000000"/>
          <w:sz w:val="52"/>
          <w:szCs w:val="52"/>
        </w:rPr>
      </w:pPr>
      <w:r>
        <w:rPr>
          <w:rFonts w:hint="eastAsia" w:ascii="宋体"/>
          <w:color w:val="000000"/>
          <w:sz w:val="52"/>
          <w:szCs w:val="52"/>
        </w:rPr>
        <w:t>竞争性磋商</w:t>
      </w:r>
      <w:r>
        <w:rPr>
          <w:rFonts w:hint="eastAsia"/>
          <w:color w:val="000000"/>
          <w:sz w:val="52"/>
          <w:szCs w:val="52"/>
        </w:rPr>
        <w:t>文件</w:t>
      </w:r>
    </w:p>
    <w:p>
      <w:pPr>
        <w:spacing w:line="500" w:lineRule="exact"/>
        <w:ind w:firstLine="1040"/>
        <w:rPr>
          <w:color w:val="000000"/>
          <w:sz w:val="52"/>
          <w:szCs w:val="52"/>
        </w:rPr>
      </w:pPr>
    </w:p>
    <w:p>
      <w:pPr>
        <w:spacing w:line="500" w:lineRule="exact"/>
        <w:ind w:firstLine="640"/>
        <w:rPr>
          <w:color w:val="000000"/>
          <w:sz w:val="32"/>
          <w:szCs w:val="32"/>
        </w:rPr>
      </w:pPr>
    </w:p>
    <w:p>
      <w:pPr>
        <w:spacing w:line="500" w:lineRule="exact"/>
        <w:ind w:firstLine="640"/>
        <w:jc w:val="center"/>
        <w:rPr>
          <w:color w:val="000000"/>
          <w:sz w:val="32"/>
          <w:szCs w:val="32"/>
        </w:rPr>
      </w:pPr>
    </w:p>
    <w:p>
      <w:pPr>
        <w:spacing w:line="500" w:lineRule="exact"/>
        <w:ind w:firstLine="640"/>
        <w:jc w:val="center"/>
        <w:rPr>
          <w:color w:val="000000"/>
          <w:sz w:val="32"/>
          <w:szCs w:val="32"/>
        </w:rPr>
      </w:pPr>
    </w:p>
    <w:p>
      <w:pPr>
        <w:spacing w:line="500" w:lineRule="exact"/>
        <w:ind w:firstLine="640"/>
        <w:jc w:val="center"/>
        <w:rPr>
          <w:color w:val="000000"/>
          <w:sz w:val="32"/>
          <w:szCs w:val="32"/>
        </w:rPr>
      </w:pPr>
    </w:p>
    <w:p>
      <w:pPr>
        <w:spacing w:line="500" w:lineRule="exact"/>
        <w:ind w:firstLine="640"/>
        <w:jc w:val="center"/>
        <w:rPr>
          <w:color w:val="000000"/>
          <w:sz w:val="32"/>
          <w:szCs w:val="32"/>
        </w:rPr>
      </w:pPr>
    </w:p>
    <w:p>
      <w:pPr>
        <w:spacing w:line="500" w:lineRule="exact"/>
        <w:ind w:firstLine="640"/>
        <w:jc w:val="center"/>
        <w:rPr>
          <w:color w:val="000000"/>
          <w:sz w:val="32"/>
          <w:szCs w:val="32"/>
        </w:rPr>
      </w:pPr>
    </w:p>
    <w:p>
      <w:pPr>
        <w:spacing w:line="500" w:lineRule="exact"/>
        <w:ind w:firstLine="640"/>
        <w:jc w:val="center"/>
        <w:rPr>
          <w:color w:val="000000"/>
          <w:sz w:val="32"/>
          <w:szCs w:val="32"/>
        </w:rPr>
      </w:pPr>
    </w:p>
    <w:p>
      <w:pPr>
        <w:pStyle w:val="2"/>
        <w:spacing w:line="300" w:lineRule="auto"/>
        <w:ind w:firstLine="640"/>
        <w:rPr>
          <w:rFonts w:ascii="宋体"/>
          <w:color w:val="000000"/>
          <w:sz w:val="32"/>
          <w:szCs w:val="32"/>
          <w:u w:val="single"/>
        </w:rPr>
      </w:pPr>
      <w:r>
        <w:rPr>
          <w:rFonts w:hint="eastAsia" w:ascii="宋体"/>
          <w:color w:val="000000"/>
          <w:sz w:val="32"/>
          <w:szCs w:val="32"/>
        </w:rPr>
        <w:t>采购编号：</w:t>
      </w:r>
      <w:r>
        <w:rPr>
          <w:rFonts w:hint="eastAsia" w:ascii="宋体"/>
          <w:color w:val="000000"/>
          <w:sz w:val="32"/>
          <w:szCs w:val="32"/>
          <w:u w:val="single"/>
        </w:rPr>
        <w:t xml:space="preserve">       </w:t>
      </w:r>
      <w:r>
        <w:rPr>
          <w:rFonts w:hint="eastAsia" w:ascii="宋体"/>
          <w:color w:val="000000"/>
          <w:sz w:val="32"/>
          <w:szCs w:val="32"/>
          <w:u w:val="single"/>
          <w:lang w:eastAsia="zh-CN"/>
        </w:rPr>
        <w:t xml:space="preserve">JFCG-GC2022008CS </w:t>
      </w:r>
      <w:r>
        <w:rPr>
          <w:rFonts w:hint="eastAsia" w:ascii="宋体"/>
          <w:color w:val="000000"/>
          <w:sz w:val="32"/>
          <w:szCs w:val="32"/>
          <w:u w:val="single"/>
        </w:rPr>
        <w:t xml:space="preserve">     </w:t>
      </w:r>
    </w:p>
    <w:p>
      <w:pPr>
        <w:spacing w:line="300" w:lineRule="auto"/>
        <w:ind w:left="2238" w:leftChars="304" w:hanging="1600" w:hangingChars="500"/>
        <w:jc w:val="left"/>
        <w:rPr>
          <w:rFonts w:hint="eastAsia" w:eastAsia="宋体"/>
          <w:color w:val="000000"/>
          <w:sz w:val="32"/>
          <w:szCs w:val="32"/>
          <w:u w:val="single"/>
          <w:lang w:eastAsia="zh-CN"/>
        </w:rPr>
      </w:pPr>
      <w:r>
        <w:rPr>
          <w:rFonts w:hint="eastAsia" w:ascii="宋体"/>
          <w:color w:val="000000"/>
          <w:sz w:val="32"/>
          <w:szCs w:val="32"/>
        </w:rPr>
        <w:t>项目</w:t>
      </w:r>
      <w:r>
        <w:rPr>
          <w:rFonts w:ascii="宋体"/>
          <w:color w:val="000000"/>
          <w:sz w:val="32"/>
          <w:szCs w:val="32"/>
        </w:rPr>
        <w:t>名称</w:t>
      </w:r>
      <w:r>
        <w:rPr>
          <w:rFonts w:hint="eastAsia" w:ascii="宋体"/>
          <w:color w:val="000000"/>
          <w:sz w:val="32"/>
          <w:szCs w:val="32"/>
        </w:rPr>
        <w:t>：</w:t>
      </w:r>
      <w:r>
        <w:rPr>
          <w:rFonts w:hint="eastAsia" w:ascii="宋体"/>
          <w:color w:val="000000"/>
          <w:sz w:val="32"/>
          <w:szCs w:val="32"/>
          <w:u w:val="single"/>
          <w:lang w:eastAsia="zh-CN"/>
        </w:rPr>
        <w:t>乐山市金口河区和平彝族乡迎春村3组丁家槽滑坡治理工程施工</w:t>
      </w:r>
    </w:p>
    <w:p>
      <w:pPr>
        <w:ind w:firstLine="640" w:firstLineChars="200"/>
        <w:rPr>
          <w:rFonts w:ascii="宋体"/>
          <w:color w:val="000000"/>
          <w:sz w:val="32"/>
          <w:szCs w:val="32"/>
          <w:u w:val="single"/>
        </w:rPr>
      </w:pPr>
      <w:r>
        <w:rPr>
          <w:color w:val="000000"/>
          <w:sz w:val="32"/>
          <w:szCs w:val="32"/>
        </w:rPr>
        <mc:AlternateContent>
          <mc:Choice Requires="wps">
            <w:drawing>
              <wp:anchor distT="0" distB="0" distL="114300" distR="114300" simplePos="0" relativeHeight="251659264" behindDoc="0" locked="0" layoutInCell="1" allowOverlap="1">
                <wp:simplePos x="0" y="0"/>
                <wp:positionH relativeFrom="column">
                  <wp:posOffset>4762500</wp:posOffset>
                </wp:positionH>
                <wp:positionV relativeFrom="paragraph">
                  <wp:posOffset>90805</wp:posOffset>
                </wp:positionV>
                <wp:extent cx="1128395" cy="457200"/>
                <wp:effectExtent l="5080" t="4445" r="5715" b="17145"/>
                <wp:wrapNone/>
                <wp:docPr id="1" name="文本框 3"/>
                <wp:cNvGraphicFramePr/>
                <a:graphic xmlns:a="http://schemas.openxmlformats.org/drawingml/2006/main">
                  <a:graphicData uri="http://schemas.microsoft.com/office/word/2010/wordprocessingShape">
                    <wps:wsp>
                      <wps:cNvSpPr txBox="1"/>
                      <wps:spPr>
                        <a:xfrm>
                          <a:off x="0" y="0"/>
                          <a:ext cx="1128395" cy="45720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rPr>
                                <w:b/>
                                <w:color w:val="FFFFFF"/>
                                <w:sz w:val="26"/>
                                <w:szCs w:val="26"/>
                              </w:rPr>
                            </w:pPr>
                            <w:r>
                              <w:rPr>
                                <w:rFonts w:hint="eastAsia"/>
                                <w:b/>
                                <w:sz w:val="32"/>
                                <w:szCs w:val="32"/>
                              </w:rPr>
                              <w:t>共同编制</w:t>
                            </w:r>
                          </w:p>
                        </w:txbxContent>
                      </wps:txbx>
                      <wps:bodyPr upright="1"/>
                    </wps:wsp>
                  </a:graphicData>
                </a:graphic>
              </wp:anchor>
            </w:drawing>
          </mc:Choice>
          <mc:Fallback>
            <w:pict>
              <v:shape id="文本框 3" o:spid="_x0000_s1026" o:spt="202" type="#_x0000_t202" style="position:absolute;left:0pt;margin-left:375pt;margin-top:7.15pt;height:36pt;width:88.85pt;z-index:251659264;mso-width-relative:page;mso-height-relative:page;" fillcolor="#FFFFFF" filled="t" stroked="t" coordsize="21600,21600" o:gfxdata="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B1B9Il2AAAAAkBAAAPAAAAAAAAAAEAIAAAACIAAABkcnMvZG93bnJldi54bWxQSwEC&#10;FAAUAAAACACHTuJAQZajS/QBAAD2AwAADgAAAAAAAAABACAAAAAnAQAAZHJzL2Uyb0RvYy54bWxQ&#10;SwUGAAAAAAYABgBZAQAAjQUAAAAA&#10;">
                <v:fill on="t" focussize="0,0"/>
                <v:stroke color="#000000" joinstyle="miter"/>
                <v:imagedata o:title=""/>
                <o:lock v:ext="edit" aspectratio="f"/>
                <v:textbox>
                  <w:txbxContent>
                    <w:p>
                      <w:pPr>
                        <w:rPr>
                          <w:b/>
                          <w:color w:val="FFFFFF"/>
                          <w:sz w:val="26"/>
                          <w:szCs w:val="26"/>
                        </w:rPr>
                      </w:pPr>
                      <w:r>
                        <w:rPr>
                          <w:rFonts w:hint="eastAsia"/>
                          <w:b/>
                          <w:sz w:val="32"/>
                          <w:szCs w:val="32"/>
                        </w:rPr>
                        <w:t>共同编制</w:t>
                      </w:r>
                    </w:p>
                  </w:txbxContent>
                </v:textbox>
              </v:shape>
            </w:pict>
          </mc:Fallback>
        </mc:AlternateContent>
      </w:r>
      <w:r>
        <w:rPr>
          <w:rFonts w:hint="eastAsia"/>
          <w:color w:val="000000"/>
          <w:sz w:val="32"/>
          <w:szCs w:val="32"/>
        </w:rPr>
        <w:t>采 购 人</w:t>
      </w:r>
      <w:r>
        <w:rPr>
          <w:color w:val="000000"/>
          <w:sz w:val="32"/>
          <w:szCs w:val="32"/>
        </w:rPr>
        <w:t>：</w:t>
      </w:r>
      <w:r>
        <w:rPr>
          <w:rFonts w:hint="eastAsia"/>
          <w:color w:val="000000"/>
          <w:sz w:val="32"/>
          <w:szCs w:val="32"/>
          <w:u w:val="single"/>
        </w:rPr>
        <w:t xml:space="preserve"> </w:t>
      </w:r>
      <w:r>
        <w:rPr>
          <w:rFonts w:hint="eastAsia" w:ascii="宋体" w:hAnsi="宋体"/>
          <w:color w:val="000000"/>
          <w:sz w:val="32"/>
          <w:u w:val="single"/>
          <w:lang w:eastAsia="zh-CN"/>
        </w:rPr>
        <w:t xml:space="preserve">乐山市金口河区自然资源局 </w:t>
      </w:r>
      <w:r>
        <w:rPr>
          <w:rFonts w:hint="eastAsia" w:ascii="宋体" w:hAnsi="宋体"/>
          <w:color w:val="000000"/>
          <w:sz w:val="32"/>
          <w:u w:val="single"/>
        </w:rPr>
        <w:t xml:space="preserve">  </w:t>
      </w:r>
    </w:p>
    <w:p>
      <w:pPr>
        <w:spacing w:line="500" w:lineRule="exact"/>
        <w:ind w:firstLine="640"/>
        <w:rPr>
          <w:rFonts w:ascii="宋体"/>
          <w:color w:val="000000"/>
          <w:sz w:val="32"/>
          <w:szCs w:val="32"/>
          <w:u w:val="single"/>
        </w:rPr>
      </w:pPr>
      <w:r>
        <w:rPr>
          <w:rFonts w:hint="eastAsia"/>
          <w:color w:val="000000"/>
          <w:sz w:val="32"/>
          <w:szCs w:val="32"/>
        </w:rPr>
        <w:t>采购</w:t>
      </w:r>
      <w:r>
        <w:rPr>
          <w:color w:val="000000"/>
          <w:sz w:val="32"/>
          <w:szCs w:val="32"/>
        </w:rPr>
        <w:t>代理机构：</w:t>
      </w:r>
      <w:r>
        <w:rPr>
          <w:rFonts w:hint="eastAsia" w:ascii="宋体"/>
          <w:color w:val="000000"/>
          <w:sz w:val="32"/>
          <w:szCs w:val="32"/>
          <w:u w:val="single"/>
        </w:rPr>
        <w:t xml:space="preserve">乐山市金口河政府采购中心 </w:t>
      </w:r>
    </w:p>
    <w:p>
      <w:pPr>
        <w:spacing w:line="500" w:lineRule="exact"/>
        <w:ind w:firstLine="640"/>
        <w:rPr>
          <w:color w:val="000000"/>
          <w:sz w:val="32"/>
          <w:szCs w:val="32"/>
          <w:u w:val="single"/>
        </w:rPr>
      </w:pPr>
    </w:p>
    <w:p>
      <w:pPr>
        <w:spacing w:line="500" w:lineRule="exact"/>
        <w:ind w:firstLine="3200" w:firstLineChars="1000"/>
        <w:rPr>
          <w:rFonts w:ascii="宋体"/>
          <w:color w:val="000000"/>
          <w:sz w:val="32"/>
          <w:szCs w:val="32"/>
        </w:rPr>
      </w:pPr>
    </w:p>
    <w:p>
      <w:pPr>
        <w:spacing w:line="500" w:lineRule="exact"/>
        <w:ind w:firstLine="3200" w:firstLineChars="1000"/>
        <w:rPr>
          <w:bCs/>
          <w:color w:val="000000"/>
          <w:sz w:val="32"/>
          <w:szCs w:val="32"/>
          <w:lang w:val="zh-CN"/>
        </w:rPr>
      </w:pPr>
      <w:r>
        <w:rPr>
          <w:rFonts w:ascii="宋体"/>
          <w:color w:val="000000"/>
          <w:sz w:val="32"/>
          <w:szCs w:val="32"/>
        </w:rPr>
        <w:t>20</w:t>
      </w:r>
      <w:r>
        <w:rPr>
          <w:rFonts w:hint="eastAsia" w:ascii="宋体"/>
          <w:color w:val="000000"/>
          <w:sz w:val="32"/>
          <w:szCs w:val="32"/>
        </w:rPr>
        <w:t>2</w:t>
      </w:r>
      <w:r>
        <w:rPr>
          <w:rFonts w:hint="eastAsia" w:ascii="宋体"/>
          <w:color w:val="000000"/>
          <w:sz w:val="32"/>
          <w:szCs w:val="32"/>
          <w:lang w:val="en-US" w:eastAsia="zh-CN"/>
        </w:rPr>
        <w:t>2</w:t>
      </w:r>
      <w:r>
        <w:rPr>
          <w:bCs/>
          <w:color w:val="000000"/>
          <w:sz w:val="32"/>
          <w:szCs w:val="32"/>
          <w:lang w:val="zh-CN"/>
        </w:rPr>
        <w:t>年</w:t>
      </w:r>
      <w:r>
        <w:rPr>
          <w:rFonts w:hint="eastAsia"/>
          <w:bCs/>
          <w:color w:val="000000" w:themeColor="text1"/>
          <w:sz w:val="32"/>
          <w:szCs w:val="32"/>
          <w:lang w:val="en-US" w:eastAsia="zh-CN"/>
          <w14:textFill>
            <w14:solidFill>
              <w14:schemeClr w14:val="tx1"/>
            </w14:solidFill>
          </w14:textFill>
        </w:rPr>
        <w:t>10</w:t>
      </w:r>
      <w:r>
        <w:rPr>
          <w:bCs/>
          <w:color w:val="000000"/>
          <w:sz w:val="32"/>
          <w:szCs w:val="32"/>
          <w:lang w:val="zh-CN"/>
        </w:rPr>
        <w:t>月</w:t>
      </w:r>
    </w:p>
    <w:p>
      <w:pPr>
        <w:spacing w:line="360" w:lineRule="auto"/>
        <w:jc w:val="center"/>
        <w:rPr>
          <w:rFonts w:ascii="仿宋" w:hAnsi="仿宋" w:eastAsia="仿宋" w:cs="宋体"/>
          <w:b/>
          <w:bCs/>
          <w:sz w:val="30"/>
          <w:szCs w:val="30"/>
        </w:rPr>
      </w:pPr>
      <w:r>
        <w:rPr>
          <w:rFonts w:ascii="仿宋" w:hAnsi="仿宋" w:eastAsia="仿宋" w:cs="宋体"/>
          <w:b/>
          <w:bCs/>
          <w:sz w:val="30"/>
          <w:szCs w:val="30"/>
        </w:rPr>
        <w:tab/>
      </w:r>
    </w:p>
    <w:p>
      <w:pPr>
        <w:pStyle w:val="2"/>
        <w:rPr>
          <w:rFonts w:ascii="仿宋" w:hAnsi="仿宋" w:eastAsia="仿宋" w:cs="宋体"/>
          <w:b/>
          <w:bCs/>
          <w:sz w:val="30"/>
          <w:szCs w:val="30"/>
        </w:rPr>
      </w:pPr>
    </w:p>
    <w:p/>
    <w:p/>
    <w:p>
      <w:pPr>
        <w:pStyle w:val="5"/>
        <w:keepNext w:val="0"/>
        <w:keepLines w:val="0"/>
        <w:spacing w:line="360" w:lineRule="auto"/>
        <w:jc w:val="center"/>
        <w:rPr>
          <w:rFonts w:ascii="仿宋" w:hAnsi="仿宋" w:eastAsia="仿宋" w:cs="Times New Roman"/>
        </w:rPr>
      </w:pPr>
      <w:r>
        <w:rPr>
          <w:rFonts w:hint="eastAsia" w:ascii="仿宋" w:hAnsi="仿宋" w:eastAsia="仿宋" w:cs="仿宋"/>
          <w:sz w:val="36"/>
          <w:szCs w:val="36"/>
        </w:rPr>
        <w:t>目录</w:t>
      </w:r>
    </w:p>
    <w:p>
      <w:pPr>
        <w:pStyle w:val="30"/>
        <w:tabs>
          <w:tab w:val="right" w:leader="dot" w:pos="8303"/>
        </w:tabs>
        <w:rPr>
          <w:rFonts w:ascii="Calibri" w:hAnsi="Calibri" w:cs="Calibri"/>
          <w:sz w:val="21"/>
          <w:szCs w:val="21"/>
        </w:rPr>
      </w:pPr>
      <w:r>
        <w:rPr>
          <w:rStyle w:val="48"/>
          <w:caps/>
          <w:color w:val="auto"/>
        </w:rPr>
        <w:fldChar w:fldCharType="begin"/>
      </w:r>
      <w:r>
        <w:rPr>
          <w:rStyle w:val="48"/>
          <w:caps/>
          <w:color w:val="auto"/>
        </w:rPr>
        <w:instrText xml:space="preserve">TOC \h \z \t "</w:instrText>
      </w:r>
      <w:r>
        <w:rPr>
          <w:rStyle w:val="48"/>
          <w:rFonts w:hint="eastAsia" w:cs="宋体"/>
          <w:caps/>
          <w:color w:val="auto"/>
        </w:rPr>
        <w:instrText xml:space="preserve">标题</w:instrText>
      </w:r>
      <w:r>
        <w:rPr>
          <w:rStyle w:val="48"/>
          <w:caps/>
          <w:color w:val="auto"/>
        </w:rPr>
        <w:instrText xml:space="preserve">,1"</w:instrText>
      </w:r>
      <w:r>
        <w:rPr>
          <w:rStyle w:val="48"/>
          <w:caps/>
          <w:color w:val="auto"/>
        </w:rPr>
        <w:fldChar w:fldCharType="separate"/>
      </w:r>
      <w:r>
        <w:fldChar w:fldCharType="begin"/>
      </w:r>
      <w:r>
        <w:instrText xml:space="preserve"> HYPERLINK \l "_Toc41037902" </w:instrText>
      </w:r>
      <w:r>
        <w:fldChar w:fldCharType="separate"/>
      </w:r>
      <w:r>
        <w:rPr>
          <w:rStyle w:val="48"/>
          <w:rFonts w:hint="eastAsia" w:ascii="仿宋" w:hAnsi="仿宋" w:eastAsia="仿宋" w:cs="仿宋"/>
          <w:color w:val="auto"/>
        </w:rPr>
        <w:t>第一章磋商邀请</w:t>
      </w:r>
      <w:r>
        <w:tab/>
      </w:r>
      <w:r>
        <w:fldChar w:fldCharType="begin"/>
      </w:r>
      <w:r>
        <w:instrText xml:space="preserve"> PAGEREF _Toc41037902 \h </w:instrText>
      </w:r>
      <w:r>
        <w:fldChar w:fldCharType="separate"/>
      </w:r>
      <w:r>
        <w:t>3</w:t>
      </w:r>
      <w:r>
        <w:fldChar w:fldCharType="end"/>
      </w:r>
      <w:r>
        <w:fldChar w:fldCharType="end"/>
      </w:r>
    </w:p>
    <w:p>
      <w:pPr>
        <w:pStyle w:val="30"/>
        <w:tabs>
          <w:tab w:val="right" w:leader="dot" w:pos="8303"/>
        </w:tabs>
        <w:rPr>
          <w:rFonts w:ascii="Calibri" w:hAnsi="Calibri" w:cs="Calibri"/>
          <w:sz w:val="21"/>
          <w:szCs w:val="21"/>
        </w:rPr>
      </w:pPr>
      <w:r>
        <w:fldChar w:fldCharType="begin"/>
      </w:r>
      <w:r>
        <w:instrText xml:space="preserve"> HYPERLINK \l "_Toc41037903" </w:instrText>
      </w:r>
      <w:r>
        <w:fldChar w:fldCharType="separate"/>
      </w:r>
      <w:r>
        <w:rPr>
          <w:rStyle w:val="48"/>
          <w:rFonts w:hint="eastAsia" w:ascii="仿宋" w:hAnsi="仿宋" w:eastAsia="仿宋" w:cs="仿宋"/>
          <w:color w:val="auto"/>
        </w:rPr>
        <w:t>第二章磋商须知</w:t>
      </w:r>
      <w:r>
        <w:tab/>
      </w:r>
      <w:r>
        <w:rPr>
          <w:rFonts w:hint="eastAsia"/>
          <w:lang w:val="en-US" w:eastAsia="zh-CN"/>
        </w:rPr>
        <w:t>8</w:t>
      </w:r>
      <w:r>
        <w:rPr>
          <w:rFonts w:hint="eastAsia"/>
        </w:rPr>
        <w:fldChar w:fldCharType="end"/>
      </w:r>
    </w:p>
    <w:p>
      <w:pPr>
        <w:pStyle w:val="30"/>
        <w:tabs>
          <w:tab w:val="right" w:leader="dot" w:pos="8303"/>
        </w:tabs>
        <w:rPr>
          <w:rFonts w:hint="eastAsia" w:ascii="Calibri" w:hAnsi="Calibri" w:eastAsia="宋体" w:cs="Calibri"/>
          <w:sz w:val="21"/>
          <w:szCs w:val="21"/>
          <w:lang w:eastAsia="zh-CN"/>
        </w:rPr>
      </w:pPr>
      <w:r>
        <w:fldChar w:fldCharType="begin"/>
      </w:r>
      <w:r>
        <w:instrText xml:space="preserve"> HYPERLINK \l "_Toc41037906" </w:instrText>
      </w:r>
      <w:r>
        <w:fldChar w:fldCharType="separate"/>
      </w:r>
      <w:r>
        <w:rPr>
          <w:rStyle w:val="48"/>
          <w:rFonts w:hint="eastAsia" w:ascii="仿宋" w:hAnsi="仿宋" w:eastAsia="仿宋" w:cs="仿宋"/>
          <w:color w:val="auto"/>
        </w:rPr>
        <w:t>第三章采购项目技术、服务、政府采购合同内容条款及其他商务要求</w:t>
      </w:r>
      <w:r>
        <w:tab/>
      </w:r>
      <w:r>
        <w:rPr>
          <w:rFonts w:hint="eastAsia"/>
        </w:rPr>
        <w:t>2</w:t>
      </w:r>
      <w:r>
        <w:rPr>
          <w:rFonts w:hint="eastAsia"/>
        </w:rPr>
        <w:fldChar w:fldCharType="end"/>
      </w:r>
      <w:r>
        <w:rPr>
          <w:rFonts w:hint="eastAsia"/>
          <w:lang w:val="en-US" w:eastAsia="zh-CN"/>
        </w:rPr>
        <w:t>2</w:t>
      </w:r>
    </w:p>
    <w:p>
      <w:pPr>
        <w:pStyle w:val="30"/>
        <w:tabs>
          <w:tab w:val="right" w:leader="dot" w:pos="8303"/>
        </w:tabs>
        <w:rPr>
          <w:rFonts w:hint="eastAsia" w:ascii="Calibri" w:hAnsi="Calibri" w:eastAsia="宋体" w:cs="Calibri"/>
          <w:sz w:val="21"/>
          <w:szCs w:val="21"/>
          <w:lang w:eastAsia="zh-CN"/>
        </w:rPr>
      </w:pPr>
      <w:r>
        <w:fldChar w:fldCharType="begin"/>
      </w:r>
      <w:r>
        <w:instrText xml:space="preserve"> HYPERLINK \l "_Toc41037907" </w:instrText>
      </w:r>
      <w:r>
        <w:fldChar w:fldCharType="separate"/>
      </w:r>
      <w:r>
        <w:rPr>
          <w:rStyle w:val="48"/>
          <w:rFonts w:hint="eastAsia" w:ascii="仿宋" w:hAnsi="仿宋" w:eastAsia="仿宋" w:cs="仿宋"/>
          <w:color w:val="auto"/>
        </w:rPr>
        <w:t>第四章磋商内容、磋商过程中可实质性变动的内容</w:t>
      </w:r>
      <w:r>
        <w:tab/>
      </w:r>
      <w:r>
        <w:rPr>
          <w:rFonts w:hint="eastAsia"/>
        </w:rPr>
        <w:t>2</w:t>
      </w:r>
      <w:r>
        <w:rPr>
          <w:rFonts w:hint="eastAsia"/>
        </w:rPr>
        <w:fldChar w:fldCharType="end"/>
      </w:r>
      <w:r>
        <w:rPr>
          <w:rFonts w:hint="eastAsia"/>
          <w:lang w:val="en-US" w:eastAsia="zh-CN"/>
        </w:rPr>
        <w:t>5</w:t>
      </w:r>
    </w:p>
    <w:p>
      <w:pPr>
        <w:pStyle w:val="30"/>
        <w:tabs>
          <w:tab w:val="right" w:leader="dot" w:pos="8303"/>
        </w:tabs>
        <w:rPr>
          <w:rFonts w:hint="eastAsia" w:ascii="Calibri" w:hAnsi="Calibri" w:eastAsia="宋体" w:cs="Calibri"/>
          <w:sz w:val="21"/>
          <w:szCs w:val="21"/>
          <w:lang w:val="en-US" w:eastAsia="zh-CN"/>
        </w:rPr>
      </w:pPr>
      <w:r>
        <w:fldChar w:fldCharType="begin"/>
      </w:r>
      <w:r>
        <w:instrText xml:space="preserve"> HYPERLINK \l "_Toc41037908" </w:instrText>
      </w:r>
      <w:r>
        <w:fldChar w:fldCharType="separate"/>
      </w:r>
      <w:r>
        <w:rPr>
          <w:rStyle w:val="48"/>
          <w:rFonts w:hint="eastAsia" w:ascii="仿宋" w:hAnsi="仿宋" w:eastAsia="仿宋" w:cs="仿宋"/>
          <w:color w:val="auto"/>
        </w:rPr>
        <w:t>第五章响应文件格式</w:t>
      </w:r>
      <w:r>
        <w:tab/>
      </w:r>
      <w:r>
        <w:rPr>
          <w:rFonts w:hint="eastAsia"/>
          <w:lang w:val="en-US" w:eastAsia="zh-CN"/>
        </w:rPr>
        <w:t>2</w:t>
      </w:r>
      <w:r>
        <w:rPr>
          <w:rFonts w:hint="eastAsia"/>
        </w:rPr>
        <w:fldChar w:fldCharType="end"/>
      </w:r>
      <w:r>
        <w:rPr>
          <w:rFonts w:hint="eastAsia"/>
          <w:lang w:val="en-US" w:eastAsia="zh-CN"/>
        </w:rPr>
        <w:t>6</w:t>
      </w:r>
    </w:p>
    <w:p>
      <w:pPr>
        <w:pStyle w:val="30"/>
        <w:tabs>
          <w:tab w:val="right" w:leader="dot" w:pos="8303"/>
        </w:tabs>
        <w:rPr>
          <w:rFonts w:hint="eastAsia" w:ascii="Calibri" w:hAnsi="Calibri" w:eastAsia="宋体" w:cs="Calibri"/>
          <w:sz w:val="21"/>
          <w:szCs w:val="21"/>
          <w:lang w:eastAsia="zh-CN"/>
        </w:rPr>
      </w:pPr>
      <w:r>
        <w:fldChar w:fldCharType="begin"/>
      </w:r>
      <w:r>
        <w:instrText xml:space="preserve"> HYPERLINK \l "_Toc41037909" </w:instrText>
      </w:r>
      <w:r>
        <w:fldChar w:fldCharType="separate"/>
      </w:r>
      <w:r>
        <w:rPr>
          <w:rStyle w:val="48"/>
          <w:rFonts w:hint="eastAsia" w:ascii="仿宋" w:hAnsi="仿宋" w:eastAsia="仿宋" w:cs="仿宋"/>
          <w:color w:val="auto"/>
        </w:rPr>
        <w:t>第六章评审方法</w:t>
      </w:r>
      <w:r>
        <w:tab/>
      </w:r>
      <w:r>
        <w:rPr>
          <w:rFonts w:hint="eastAsia"/>
          <w:lang w:val="en-US" w:eastAsia="zh-CN"/>
        </w:rPr>
        <w:t>4</w:t>
      </w:r>
      <w:r>
        <w:rPr>
          <w:rFonts w:hint="eastAsia"/>
        </w:rPr>
        <w:fldChar w:fldCharType="end"/>
      </w:r>
      <w:r>
        <w:rPr>
          <w:rFonts w:hint="eastAsia"/>
          <w:lang w:val="en-US" w:eastAsia="zh-CN"/>
        </w:rPr>
        <w:t>5</w:t>
      </w:r>
    </w:p>
    <w:p>
      <w:pPr>
        <w:pStyle w:val="30"/>
        <w:tabs>
          <w:tab w:val="right" w:leader="dot" w:pos="8303"/>
        </w:tabs>
        <w:rPr>
          <w:rFonts w:hint="eastAsia" w:ascii="Calibri" w:hAnsi="Calibri" w:eastAsia="宋体" w:cs="Calibri"/>
          <w:sz w:val="21"/>
          <w:szCs w:val="21"/>
          <w:lang w:eastAsia="zh-CN"/>
        </w:rPr>
      </w:pPr>
      <w:r>
        <w:fldChar w:fldCharType="begin"/>
      </w:r>
      <w:r>
        <w:instrText xml:space="preserve"> HYPERLINK \l "_Toc41037910" </w:instrText>
      </w:r>
      <w:r>
        <w:fldChar w:fldCharType="separate"/>
      </w:r>
      <w:r>
        <w:rPr>
          <w:rStyle w:val="48"/>
          <w:rFonts w:hint="eastAsia" w:ascii="仿宋" w:hAnsi="仿宋" w:eastAsia="仿宋" w:cs="仿宋"/>
          <w:color w:val="auto"/>
        </w:rPr>
        <w:t>第七章政府采购合同（草案）</w:t>
      </w:r>
      <w:r>
        <w:tab/>
      </w:r>
      <w:r>
        <w:rPr>
          <w:rFonts w:hint="eastAsia"/>
        </w:rPr>
        <w:t>5</w:t>
      </w:r>
      <w:r>
        <w:rPr>
          <w:rFonts w:hint="eastAsia"/>
        </w:rPr>
        <w:fldChar w:fldCharType="end"/>
      </w:r>
      <w:r>
        <w:rPr>
          <w:rFonts w:hint="eastAsia"/>
          <w:lang w:val="en-US" w:eastAsia="zh-CN"/>
        </w:rPr>
        <w:t>6</w:t>
      </w:r>
    </w:p>
    <w:p>
      <w:pPr>
        <w:pStyle w:val="30"/>
        <w:tabs>
          <w:tab w:val="right" w:leader="dot" w:pos="8303"/>
        </w:tabs>
        <w:rPr>
          <w:rFonts w:hint="default" w:ascii="Calibri" w:hAnsi="Calibri" w:eastAsia="宋体" w:cs="Calibri"/>
          <w:sz w:val="21"/>
          <w:szCs w:val="21"/>
          <w:lang w:val="en-US" w:eastAsia="zh-CN"/>
        </w:rPr>
      </w:pPr>
      <w:r>
        <w:fldChar w:fldCharType="begin"/>
      </w:r>
      <w:r>
        <w:instrText xml:space="preserve"> HYPERLINK \l "_Toc41037911" </w:instrText>
      </w:r>
      <w:r>
        <w:fldChar w:fldCharType="separate"/>
      </w:r>
      <w:r>
        <w:rPr>
          <w:rStyle w:val="48"/>
          <w:rFonts w:hint="eastAsia" w:ascii="仿宋" w:hAnsi="仿宋" w:eastAsia="仿宋" w:cs="仿宋"/>
          <w:color w:val="auto"/>
        </w:rPr>
        <w:t>第八章工程量清单和图纸</w:t>
      </w:r>
      <w:r>
        <w:tab/>
      </w:r>
      <w:r>
        <w:fldChar w:fldCharType="end"/>
      </w:r>
      <w:r>
        <w:rPr>
          <w:rFonts w:hint="eastAsia"/>
          <w:lang w:val="en-US" w:eastAsia="zh-CN"/>
        </w:rPr>
        <w:t>80</w:t>
      </w:r>
    </w:p>
    <w:p>
      <w:pPr>
        <w:pStyle w:val="30"/>
        <w:tabs>
          <w:tab w:val="right" w:leader="dot" w:pos="9345"/>
        </w:tabs>
        <w:ind w:right="-105" w:rightChars="-50"/>
        <w:jc w:val="left"/>
        <w:rPr>
          <w:rFonts w:ascii="仿宋" w:hAnsi="仿宋" w:eastAsia="仿宋"/>
        </w:rPr>
      </w:pPr>
      <w:r>
        <w:rPr>
          <w:rStyle w:val="48"/>
          <w:caps/>
          <w:color w:val="auto"/>
        </w:rPr>
        <w:fldChar w:fldCharType="end"/>
      </w:r>
    </w:p>
    <w:p>
      <w:pPr>
        <w:widowControl/>
        <w:spacing w:line="360" w:lineRule="auto"/>
        <w:jc w:val="left"/>
        <w:rPr>
          <w:rFonts w:ascii="仿宋" w:hAnsi="仿宋" w:eastAsia="仿宋"/>
          <w:sz w:val="24"/>
          <w:szCs w:val="24"/>
        </w:rPr>
      </w:pPr>
    </w:p>
    <w:p>
      <w:pPr>
        <w:pStyle w:val="2"/>
        <w:rPr>
          <w:rFonts w:ascii="仿宋" w:hAnsi="仿宋" w:eastAsia="仿宋"/>
          <w:sz w:val="24"/>
          <w:szCs w:val="24"/>
        </w:rPr>
      </w:pPr>
    </w:p>
    <w:p>
      <w:pPr>
        <w:rPr>
          <w:rFonts w:ascii="仿宋" w:hAnsi="仿宋" w:eastAsia="仿宋"/>
          <w:sz w:val="24"/>
          <w:szCs w:val="24"/>
        </w:rPr>
      </w:pPr>
    </w:p>
    <w:p>
      <w:pPr>
        <w:pStyle w:val="2"/>
        <w:rPr>
          <w:rFonts w:ascii="仿宋" w:hAnsi="仿宋" w:eastAsia="仿宋"/>
          <w:sz w:val="24"/>
          <w:szCs w:val="24"/>
        </w:rPr>
      </w:pPr>
    </w:p>
    <w:p>
      <w:pPr>
        <w:rPr>
          <w:rFonts w:ascii="仿宋" w:hAnsi="仿宋" w:eastAsia="仿宋"/>
          <w:sz w:val="24"/>
          <w:szCs w:val="24"/>
        </w:rPr>
      </w:pPr>
    </w:p>
    <w:p>
      <w:pPr>
        <w:pStyle w:val="2"/>
        <w:rPr>
          <w:rFonts w:ascii="仿宋" w:hAnsi="仿宋" w:eastAsia="仿宋"/>
          <w:sz w:val="24"/>
          <w:szCs w:val="24"/>
        </w:rPr>
      </w:pPr>
    </w:p>
    <w:p>
      <w:pPr>
        <w:rPr>
          <w:rFonts w:ascii="仿宋" w:hAnsi="仿宋" w:eastAsia="仿宋"/>
          <w:sz w:val="24"/>
          <w:szCs w:val="24"/>
        </w:rPr>
      </w:pPr>
    </w:p>
    <w:p>
      <w:pPr>
        <w:pStyle w:val="2"/>
        <w:rPr>
          <w:rFonts w:ascii="仿宋" w:hAnsi="仿宋" w:eastAsia="仿宋"/>
          <w:sz w:val="24"/>
          <w:szCs w:val="24"/>
        </w:rPr>
      </w:pPr>
    </w:p>
    <w:p>
      <w:pPr>
        <w:rPr>
          <w:rFonts w:ascii="仿宋" w:hAnsi="仿宋" w:eastAsia="仿宋"/>
          <w:sz w:val="24"/>
          <w:szCs w:val="24"/>
        </w:rPr>
      </w:pPr>
    </w:p>
    <w:p>
      <w:pPr>
        <w:pStyle w:val="2"/>
        <w:rPr>
          <w:rFonts w:ascii="仿宋" w:hAnsi="仿宋" w:eastAsia="仿宋"/>
          <w:sz w:val="24"/>
          <w:szCs w:val="24"/>
        </w:rPr>
      </w:pPr>
    </w:p>
    <w:p>
      <w:pPr>
        <w:rPr>
          <w:rFonts w:ascii="仿宋" w:hAnsi="仿宋" w:eastAsia="仿宋"/>
          <w:sz w:val="24"/>
          <w:szCs w:val="24"/>
        </w:rPr>
      </w:pPr>
    </w:p>
    <w:p>
      <w:pPr>
        <w:pStyle w:val="2"/>
        <w:rPr>
          <w:rFonts w:ascii="仿宋" w:hAnsi="仿宋" w:eastAsia="仿宋"/>
          <w:sz w:val="24"/>
          <w:szCs w:val="24"/>
        </w:rPr>
      </w:pPr>
    </w:p>
    <w:p>
      <w:pPr>
        <w:rPr>
          <w:rFonts w:ascii="仿宋" w:hAnsi="仿宋" w:eastAsia="仿宋"/>
          <w:sz w:val="24"/>
          <w:szCs w:val="24"/>
        </w:rPr>
      </w:pPr>
    </w:p>
    <w:p>
      <w:pPr>
        <w:pStyle w:val="2"/>
        <w:rPr>
          <w:rFonts w:ascii="仿宋" w:hAnsi="仿宋" w:eastAsia="仿宋"/>
          <w:sz w:val="24"/>
          <w:szCs w:val="24"/>
        </w:rPr>
      </w:pPr>
    </w:p>
    <w:p/>
    <w:p>
      <w:pPr>
        <w:pStyle w:val="2"/>
      </w:pPr>
    </w:p>
    <w:p/>
    <w:p>
      <w:pPr>
        <w:pStyle w:val="2"/>
      </w:pPr>
    </w:p>
    <w:p/>
    <w:p/>
    <w:p>
      <w:pPr>
        <w:pStyle w:val="39"/>
        <w:rPr>
          <w:rFonts w:ascii="仿宋" w:hAnsi="仿宋" w:eastAsia="仿宋" w:cs="Times New Roman"/>
        </w:rPr>
      </w:pPr>
      <w:bookmarkStart w:id="0" w:name="_Toc41037902"/>
      <w:bookmarkStart w:id="1" w:name="_Toc509579140"/>
      <w:r>
        <w:rPr>
          <w:rFonts w:hint="eastAsia" w:ascii="仿宋" w:hAnsi="仿宋" w:eastAsia="仿宋" w:cs="仿宋"/>
        </w:rPr>
        <w:t>第一章磋商邀请</w:t>
      </w:r>
      <w:bookmarkEnd w:id="0"/>
      <w:bookmarkEnd w:id="1"/>
    </w:p>
    <w:p>
      <w:pPr>
        <w:spacing w:line="360" w:lineRule="auto"/>
        <w:ind w:firstLine="720" w:firstLineChars="300"/>
        <w:jc w:val="left"/>
        <w:rPr>
          <w:rFonts w:ascii="仿宋" w:hAnsi="仿宋" w:eastAsia="仿宋"/>
          <w:sz w:val="24"/>
          <w:szCs w:val="24"/>
        </w:rPr>
      </w:pPr>
    </w:p>
    <w:p>
      <w:pPr>
        <w:spacing w:line="360" w:lineRule="auto"/>
        <w:ind w:firstLine="480" w:firstLineChars="200"/>
        <w:rPr>
          <w:rFonts w:ascii="宋体"/>
          <w:bCs/>
          <w:sz w:val="24"/>
          <w:szCs w:val="28"/>
        </w:rPr>
      </w:pPr>
      <w:r>
        <w:rPr>
          <w:rFonts w:hint="eastAsia" w:ascii="宋体"/>
          <w:bCs/>
          <w:sz w:val="24"/>
          <w:szCs w:val="28"/>
          <w:u w:val="single"/>
        </w:rPr>
        <w:t>乐山市金口河政府采购中心</w:t>
      </w:r>
      <w:r>
        <w:rPr>
          <w:rFonts w:hint="eastAsia" w:ascii="宋体"/>
          <w:bCs/>
          <w:sz w:val="24"/>
          <w:szCs w:val="28"/>
        </w:rPr>
        <w:t>受</w:t>
      </w:r>
      <w:r>
        <w:rPr>
          <w:rFonts w:hint="eastAsia" w:ascii="宋体"/>
          <w:bCs/>
          <w:sz w:val="24"/>
          <w:szCs w:val="28"/>
          <w:lang w:eastAsia="zh-CN"/>
        </w:rPr>
        <w:t xml:space="preserve">乐山市金口河区自然资源局 </w:t>
      </w:r>
      <w:r>
        <w:rPr>
          <w:rFonts w:hint="eastAsia" w:ascii="宋体"/>
          <w:bCs/>
          <w:sz w:val="24"/>
          <w:szCs w:val="28"/>
        </w:rPr>
        <w:t>委托，拟对</w:t>
      </w:r>
      <w:bookmarkStart w:id="2" w:name="PO_默认文件内容_1"/>
      <w:r>
        <w:rPr>
          <w:rFonts w:hint="eastAsia" w:ascii="宋体"/>
          <w:bCs/>
          <w:sz w:val="24"/>
          <w:szCs w:val="28"/>
          <w:u w:val="single"/>
          <w:lang w:eastAsia="zh-CN"/>
        </w:rPr>
        <w:t>乐山市金口河区和平彝族乡迎春村3组丁家槽滑坡治理工程施工</w:t>
      </w:r>
      <w:r>
        <w:rPr>
          <w:rFonts w:hint="eastAsia" w:ascii="宋体"/>
          <w:bCs/>
          <w:sz w:val="24"/>
          <w:szCs w:val="28"/>
        </w:rPr>
        <w:t>采用</w:t>
      </w:r>
      <w:r>
        <w:rPr>
          <w:rFonts w:hint="eastAsia" w:ascii="宋体"/>
          <w:bCs/>
          <w:sz w:val="24"/>
          <w:szCs w:val="28"/>
          <w:u w:val="single"/>
        </w:rPr>
        <w:t>竞争性磋商</w:t>
      </w:r>
      <w:r>
        <w:rPr>
          <w:rFonts w:hint="eastAsia" w:ascii="宋体"/>
          <w:bCs/>
          <w:sz w:val="24"/>
          <w:szCs w:val="28"/>
        </w:rPr>
        <w:t>方式进行采购，特邀请符合本次采购要求的供应商参加本项目的竞争性磋商。</w:t>
      </w:r>
      <w:bookmarkEnd w:id="2"/>
    </w:p>
    <w:p>
      <w:pPr>
        <w:spacing w:line="360" w:lineRule="auto"/>
        <w:ind w:firstLine="482" w:firstLineChars="200"/>
        <w:rPr>
          <w:rFonts w:ascii="宋体" w:hAnsi="宋体" w:cs="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一、采购项目基本情况</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1.项目编号：</w:t>
      </w:r>
      <w:r>
        <w:rPr>
          <w:rFonts w:hint="eastAsia" w:ascii="宋体" w:hAnsi="宋体" w:cs="宋体"/>
          <w:color w:val="000000" w:themeColor="text1"/>
          <w:sz w:val="24"/>
          <w:szCs w:val="24"/>
          <w:lang w:eastAsia="zh-CN"/>
          <w14:textFill>
            <w14:solidFill>
              <w14:schemeClr w14:val="tx1"/>
            </w14:solidFill>
          </w14:textFill>
        </w:rPr>
        <w:t xml:space="preserve">JFCG-GC2022008CS </w:t>
      </w:r>
      <w:r>
        <w:rPr>
          <w:rFonts w:hint="eastAsia" w:ascii="宋体" w:hAnsi="宋体" w:cs="宋体"/>
          <w:color w:val="000000" w:themeColor="text1"/>
          <w:sz w:val="24"/>
          <w:szCs w:val="24"/>
          <w14:textFill>
            <w14:solidFill>
              <w14:schemeClr w14:val="tx1"/>
            </w14:solidFill>
          </w14:textFill>
        </w:rPr>
        <w:t xml:space="preserve"> 。</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2.采购项目名称：</w:t>
      </w:r>
      <w:r>
        <w:rPr>
          <w:rFonts w:hint="eastAsia" w:ascii="宋体"/>
          <w:bCs/>
          <w:sz w:val="24"/>
          <w:szCs w:val="28"/>
          <w:u w:val="single"/>
          <w:lang w:eastAsia="zh-CN"/>
        </w:rPr>
        <w:t>乐山市金口河区和平彝族乡迎春村3组丁家槽滑坡治理工程施工</w:t>
      </w:r>
      <w:r>
        <w:rPr>
          <w:rFonts w:hint="eastAsia" w:ascii="宋体" w:hAnsi="宋体" w:cs="宋体"/>
          <w:color w:val="000000" w:themeColor="text1"/>
          <w:sz w:val="24"/>
          <w:szCs w:val="24"/>
          <w14:textFill>
            <w14:solidFill>
              <w14:schemeClr w14:val="tx1"/>
            </w14:solidFill>
          </w14:textFill>
        </w:rPr>
        <w:t>。</w:t>
      </w:r>
    </w:p>
    <w:p>
      <w:pPr>
        <w:spacing w:line="360" w:lineRule="auto"/>
        <w:ind w:firstLine="482" w:firstLineChars="200"/>
        <w:rPr>
          <w:rFonts w:ascii="宋体" w:hAnsi="宋体" w:cs="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二、资金情况</w:t>
      </w:r>
    </w:p>
    <w:p>
      <w:pPr>
        <w:spacing w:line="360" w:lineRule="auto"/>
        <w:ind w:right="31" w:rightChars="15" w:firstLine="480" w:firstLineChars="200"/>
        <w:rPr>
          <w:rFonts w:ascii="宋体" w:hAnsi="宋体" w:cs="宋体"/>
          <w:b/>
          <w:bCs/>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资金来源：</w:t>
      </w:r>
      <w:r>
        <w:rPr>
          <w:rFonts w:hint="eastAsia" w:ascii="宋体"/>
          <w:bCs/>
          <w:sz w:val="24"/>
          <w:lang w:val="en-US" w:eastAsia="zh-CN"/>
        </w:rPr>
        <w:t>中央</w:t>
      </w:r>
      <w:r>
        <w:rPr>
          <w:rFonts w:hint="eastAsia" w:ascii="宋体"/>
          <w:bCs/>
          <w:sz w:val="24"/>
        </w:rPr>
        <w:t>资金</w:t>
      </w:r>
    </w:p>
    <w:p>
      <w:pPr>
        <w:spacing w:line="360" w:lineRule="auto"/>
        <w:ind w:firstLine="482" w:firstLineChars="200"/>
        <w:rPr>
          <w:rFonts w:ascii="宋体" w:hAnsi="宋体" w:cs="宋体"/>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三、采购项目简介：</w:t>
      </w:r>
    </w:p>
    <w:p>
      <w:pPr>
        <w:spacing w:line="360" w:lineRule="auto"/>
        <w:ind w:firstLine="480" w:firstLineChars="200"/>
        <w:rPr>
          <w:rFonts w:ascii="宋体"/>
          <w:bCs/>
          <w:sz w:val="24"/>
          <w:szCs w:val="28"/>
        </w:rPr>
      </w:pPr>
      <w:bookmarkStart w:id="3" w:name="_Toc238382847"/>
      <w:r>
        <w:rPr>
          <w:rFonts w:hint="eastAsia" w:ascii="宋体"/>
          <w:bCs/>
          <w:sz w:val="24"/>
          <w:szCs w:val="28"/>
        </w:rPr>
        <w:t>1.项目名称：</w:t>
      </w:r>
      <w:r>
        <w:rPr>
          <w:rFonts w:hint="eastAsia" w:ascii="宋体"/>
          <w:bCs/>
          <w:sz w:val="24"/>
          <w:szCs w:val="28"/>
          <w:lang w:eastAsia="zh-CN"/>
        </w:rPr>
        <w:t>乐山市金口河区和平彝族乡迎春村3组丁家槽滑坡治理工程施工</w:t>
      </w:r>
      <w:r>
        <w:rPr>
          <w:rFonts w:hint="eastAsia" w:ascii="宋体"/>
          <w:bCs/>
          <w:sz w:val="24"/>
          <w:szCs w:val="28"/>
        </w:rPr>
        <w:t>。</w:t>
      </w:r>
    </w:p>
    <w:p>
      <w:pPr>
        <w:spacing w:line="360" w:lineRule="auto"/>
        <w:ind w:firstLine="480" w:firstLineChars="200"/>
        <w:rPr>
          <w:rFonts w:hint="eastAsia" w:ascii="宋体"/>
          <w:bCs/>
          <w:sz w:val="24"/>
          <w:szCs w:val="28"/>
          <w:lang w:val="en-US" w:eastAsia="zh-CN"/>
        </w:rPr>
      </w:pPr>
      <w:r>
        <w:rPr>
          <w:rFonts w:hint="eastAsia" w:ascii="宋体"/>
          <w:bCs/>
          <w:sz w:val="24"/>
          <w:szCs w:val="28"/>
        </w:rPr>
        <w:t>2.项目实施规模及内容：</w:t>
      </w:r>
      <w:bookmarkEnd w:id="3"/>
      <w:r>
        <w:rPr>
          <w:rFonts w:hint="eastAsia" w:ascii="宋体"/>
          <w:bCs/>
          <w:sz w:val="24"/>
          <w:szCs w:val="28"/>
          <w:lang w:val="en-US" w:eastAsia="zh-CN"/>
        </w:rPr>
        <w:t>因金口河区和平彝族乡迎春村3组丁家槽滑坡威胁其滑坡体上11户38人，受威胁财产约450万元，需建设抗滑桩+排水。</w:t>
      </w:r>
    </w:p>
    <w:p>
      <w:pPr>
        <w:spacing w:line="360" w:lineRule="auto"/>
        <w:ind w:firstLine="480" w:firstLineChars="200"/>
        <w:rPr>
          <w:rFonts w:ascii="宋体"/>
          <w:bCs/>
          <w:sz w:val="24"/>
          <w:szCs w:val="28"/>
        </w:rPr>
      </w:pPr>
      <w:r>
        <w:rPr>
          <w:rFonts w:hint="eastAsia" w:ascii="宋体"/>
          <w:bCs/>
          <w:sz w:val="24"/>
          <w:szCs w:val="28"/>
        </w:rPr>
        <w:t>3.项目建设地点：</w:t>
      </w:r>
      <w:r>
        <w:rPr>
          <w:rFonts w:hint="eastAsia" w:ascii="宋体"/>
          <w:bCs/>
          <w:sz w:val="24"/>
          <w:szCs w:val="28"/>
          <w:lang w:val="en-US" w:eastAsia="zh-CN"/>
        </w:rPr>
        <w:t>乐山市金口河区。</w:t>
      </w:r>
    </w:p>
    <w:p>
      <w:pPr>
        <w:spacing w:line="360" w:lineRule="auto"/>
        <w:ind w:firstLine="480" w:firstLineChars="200"/>
        <w:rPr>
          <w:rFonts w:hint="eastAsia" w:ascii="宋体"/>
          <w:bCs/>
          <w:sz w:val="24"/>
          <w:szCs w:val="28"/>
          <w:lang w:val="en-US" w:eastAsia="zh-CN"/>
        </w:rPr>
      </w:pPr>
      <w:r>
        <w:rPr>
          <w:rFonts w:hint="eastAsia" w:ascii="宋体"/>
          <w:bCs/>
          <w:sz w:val="24"/>
          <w:szCs w:val="28"/>
        </w:rPr>
        <w:t>4.招标范围：</w:t>
      </w:r>
      <w:r>
        <w:rPr>
          <w:rFonts w:hint="eastAsia" w:ascii="宋体"/>
          <w:bCs/>
          <w:sz w:val="24"/>
          <w:szCs w:val="28"/>
          <w:lang w:val="en-US" w:eastAsia="zh-CN"/>
        </w:rPr>
        <w:t>本项目施工设计图纸、工程量清单范围所含的全部内容的施工及保修期和责任缺项期的责任。</w:t>
      </w:r>
    </w:p>
    <w:p>
      <w:pPr>
        <w:pStyle w:val="2"/>
        <w:ind w:firstLine="480" w:firstLineChars="200"/>
      </w:pPr>
      <w:r>
        <w:rPr>
          <w:rFonts w:hint="eastAsia" w:ascii="宋体"/>
          <w:bCs/>
          <w:sz w:val="24"/>
          <w:szCs w:val="28"/>
        </w:rPr>
        <w:t>5.项目采购标的清单及对应的中小企业划分标准所属行业：建筑业。</w:t>
      </w:r>
    </w:p>
    <w:p>
      <w:pPr>
        <w:spacing w:line="360" w:lineRule="auto"/>
        <w:ind w:firstLine="482" w:firstLineChars="200"/>
        <w:rPr>
          <w:rFonts w:ascii="宋体" w:hAnsi="宋体" w:cs="宋体"/>
          <w:color w:val="000000" w:themeColor="text1"/>
          <w:sz w:val="24"/>
          <w:szCs w:val="24"/>
          <w14:textFill>
            <w14:solidFill>
              <w14:schemeClr w14:val="tx1"/>
            </w14:solidFill>
          </w14:textFill>
        </w:rPr>
      </w:pPr>
      <w:bookmarkStart w:id="4" w:name="_Toc213396759"/>
      <w:bookmarkStart w:id="5" w:name="_Toc213396945"/>
      <w:bookmarkStart w:id="6" w:name="_Toc213496267"/>
      <w:bookmarkStart w:id="7" w:name="_Toc213397009"/>
      <w:bookmarkStart w:id="8" w:name="_Toc217446031"/>
      <w:bookmarkStart w:id="9" w:name="_Toc509579141"/>
      <w:r>
        <w:rPr>
          <w:rFonts w:hint="eastAsia" w:ascii="宋体" w:hAnsi="宋体" w:cs="宋体"/>
          <w:b/>
          <w:bCs/>
          <w:color w:val="000000" w:themeColor="text1"/>
          <w:sz w:val="24"/>
          <w:szCs w:val="24"/>
          <w14:textFill>
            <w14:solidFill>
              <w14:schemeClr w14:val="tx1"/>
            </w14:solidFill>
          </w14:textFill>
        </w:rPr>
        <w:t>四、定向采购情况</w:t>
      </w:r>
    </w:p>
    <w:p>
      <w:pPr>
        <w:spacing w:line="360" w:lineRule="auto"/>
        <w:ind w:firstLine="480" w:firstLineChars="200"/>
        <w:rPr>
          <w:rFonts w:ascii="宋体"/>
          <w:bCs/>
          <w:sz w:val="24"/>
        </w:rPr>
      </w:pPr>
      <w:r>
        <w:rPr>
          <w:rFonts w:hint="eastAsia" w:ascii="宋体"/>
          <w:bCs/>
          <w:color w:val="000000"/>
          <w:sz w:val="24"/>
        </w:rPr>
        <w:t>本项目专门面向中小微企业采购（监狱企业、残疾人福利性单位均视同小微企业）。</w:t>
      </w:r>
    </w:p>
    <w:p>
      <w:pPr>
        <w:numPr>
          <w:ilvl w:val="0"/>
          <w:numId w:val="0"/>
        </w:numPr>
        <w:spacing w:line="360" w:lineRule="auto"/>
        <w:ind w:firstLine="482" w:firstLineChars="200"/>
        <w:rPr>
          <w:rFonts w:hint="eastAsia" w:ascii="宋体" w:hAnsi="宋体" w:eastAsia="宋体" w:cs="宋体"/>
          <w:b/>
          <w:bCs/>
          <w:color w:val="000000" w:themeColor="text1"/>
          <w:sz w:val="24"/>
          <w:szCs w:val="24"/>
          <w:lang w:eastAsia="zh-CN"/>
          <w14:textFill>
            <w14:solidFill>
              <w14:schemeClr w14:val="tx1"/>
            </w14:solidFill>
          </w14:textFill>
        </w:rPr>
      </w:pPr>
      <w:r>
        <w:rPr>
          <w:rFonts w:hint="eastAsia" w:ascii="宋体" w:hAnsi="宋体" w:eastAsia="宋体" w:cs="宋体"/>
          <w:b/>
          <w:bCs/>
          <w:color w:val="000000" w:themeColor="text1"/>
          <w:sz w:val="24"/>
          <w:szCs w:val="24"/>
          <w:lang w:eastAsia="zh-CN"/>
          <w14:textFill>
            <w14:solidFill>
              <w14:schemeClr w14:val="tx1"/>
            </w14:solidFill>
          </w14:textFill>
        </w:rPr>
        <w:t>五、供应商资格条件：</w:t>
      </w:r>
    </w:p>
    <w:p>
      <w:pPr>
        <w:spacing w:line="360" w:lineRule="auto"/>
        <w:ind w:right="31" w:rightChars="15" w:firstLine="480" w:firstLineChars="200"/>
        <w:rPr>
          <w:rFonts w:hint="eastAsia" w:ascii="宋体" w:eastAsia="宋体"/>
          <w:bCs/>
          <w:color w:val="000000" w:themeColor="text1"/>
          <w:sz w:val="24"/>
          <w:lang w:val="en-US" w:eastAsia="zh-CN"/>
          <w14:textFill>
            <w14:solidFill>
              <w14:schemeClr w14:val="tx1"/>
            </w14:solidFill>
          </w14:textFill>
        </w:rPr>
      </w:pPr>
      <w:r>
        <w:rPr>
          <w:rFonts w:hint="eastAsia" w:ascii="宋体"/>
          <w:bCs/>
          <w:color w:val="000000" w:themeColor="text1"/>
          <w:sz w:val="24"/>
          <w:lang w:val="en-US" w:eastAsia="zh-CN"/>
          <w14:textFill>
            <w14:solidFill>
              <w14:schemeClr w14:val="tx1"/>
            </w14:solidFill>
          </w14:textFill>
        </w:rPr>
        <w:t xml:space="preserve">通过本项目资格预审且被随机抽中的供应商。 </w:t>
      </w:r>
    </w:p>
    <w:p>
      <w:pPr>
        <w:numPr>
          <w:ilvl w:val="0"/>
          <w:numId w:val="0"/>
        </w:numPr>
        <w:spacing w:line="360" w:lineRule="auto"/>
        <w:ind w:firstLine="482" w:firstLineChars="200"/>
        <w:rPr>
          <w:rFonts w:ascii="宋体" w:hAnsi="宋体" w:cs="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lang w:val="en-US" w:eastAsia="zh-CN"/>
          <w14:textFill>
            <w14:solidFill>
              <w14:schemeClr w14:val="tx1"/>
            </w14:solidFill>
          </w14:textFill>
        </w:rPr>
        <w:t>六</w:t>
      </w:r>
      <w:r>
        <w:rPr>
          <w:rFonts w:hint="eastAsia" w:ascii="宋体" w:hAnsi="宋体" w:cs="宋体"/>
          <w:b/>
          <w:bCs/>
          <w:color w:val="000000" w:themeColor="text1"/>
          <w:sz w:val="24"/>
          <w:szCs w:val="24"/>
          <w:lang w:eastAsia="zh-CN"/>
          <w14:textFill>
            <w14:solidFill>
              <w14:schemeClr w14:val="tx1"/>
            </w14:solidFill>
          </w14:textFill>
        </w:rPr>
        <w:t>、</w:t>
      </w:r>
      <w:r>
        <w:rPr>
          <w:rFonts w:hint="eastAsia" w:ascii="宋体" w:hAnsi="宋体" w:cs="宋体"/>
          <w:b/>
          <w:bCs/>
          <w:color w:val="000000" w:themeColor="text1"/>
          <w:sz w:val="24"/>
          <w:szCs w:val="24"/>
          <w14:textFill>
            <w14:solidFill>
              <w14:schemeClr w14:val="tx1"/>
            </w14:solidFill>
          </w14:textFill>
        </w:rPr>
        <w:t>禁止参加本次采购活动的供应商</w:t>
      </w:r>
    </w:p>
    <w:p>
      <w:pPr>
        <w:spacing w:line="360" w:lineRule="auto"/>
        <w:ind w:firstLine="480" w:firstLineChars="200"/>
        <w:rPr>
          <w:rFonts w:ascii="宋体" w:hAnsi="宋体" w:cs="宋体"/>
          <w:color w:val="000000" w:themeColor="text1"/>
          <w:sz w:val="24"/>
          <w:szCs w:val="24"/>
          <w14:textFill>
            <w14:solidFill>
              <w14:schemeClr w14:val="tx1"/>
            </w14:solidFill>
          </w14:textFill>
        </w:rPr>
      </w:pPr>
      <w:bookmarkStart w:id="10" w:name="PO_默认文件内容_4"/>
      <w:r>
        <w:rPr>
          <w:rFonts w:hint="eastAsia" w:ascii="宋体" w:hAnsi="宋体" w:cs="宋体"/>
          <w:color w:val="000000" w:themeColor="text1"/>
          <w:sz w:val="24"/>
          <w:szCs w:val="24"/>
          <w14:textFill>
            <w14:solidFill>
              <w14:schemeClr w14:val="tx1"/>
            </w14:solidFill>
          </w14:textFill>
        </w:rPr>
        <w:t>根据《关于在政府采购活动中查询及使用信用记录有关问题的通知》（财库〔2016〕125号）的要求，采购人/采购代理机构将通过“信用中国”网站（www.creditchina.gov.cn）、“中国政府采购网”网站（www.ccgp.gov.cn）等渠道查询供应商的信用记录并保存信用记录结果网页截图，拒绝列入失信被执行人名单、重大税收违法案件当事人名单、政府采购严重违法失信行为记录名单中的供应商参加本项目的采购活动（以联合体形式参加本项目采购活动，联合体成员存在不良信用记录的，视同联合体存在不良信用记录）。</w:t>
      </w:r>
    </w:p>
    <w:bookmarkEnd w:id="10"/>
    <w:p>
      <w:pPr>
        <w:spacing w:line="360" w:lineRule="auto"/>
        <w:ind w:firstLine="482" w:firstLineChars="200"/>
        <w:jc w:val="left"/>
        <w:rPr>
          <w:rFonts w:ascii="宋体" w:hAnsi="宋体" w:cs="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lang w:val="en-US" w:eastAsia="zh-CN"/>
          <w14:textFill>
            <w14:solidFill>
              <w14:schemeClr w14:val="tx1"/>
            </w14:solidFill>
          </w14:textFill>
        </w:rPr>
        <w:t>七</w:t>
      </w:r>
      <w:r>
        <w:rPr>
          <w:rFonts w:hint="eastAsia" w:ascii="宋体" w:hAnsi="宋体" w:cs="宋体"/>
          <w:b/>
          <w:bCs/>
          <w:color w:val="000000" w:themeColor="text1"/>
          <w:sz w:val="24"/>
          <w:szCs w:val="24"/>
          <w14:textFill>
            <w14:solidFill>
              <w14:schemeClr w14:val="tx1"/>
            </w14:solidFill>
          </w14:textFill>
        </w:rPr>
        <w:t>、采购文件获取方式</w:t>
      </w:r>
      <w:r>
        <w:rPr>
          <w:rFonts w:hint="eastAsia" w:ascii="宋体" w:hAnsi="宋体" w:cs="宋体"/>
          <w:b/>
          <w:bCs/>
          <w:color w:val="000000" w:themeColor="text1"/>
          <w:sz w:val="24"/>
          <w:szCs w:val="24"/>
          <w:lang w:val="en-US" w:eastAsia="zh-CN"/>
          <w14:textFill>
            <w14:solidFill>
              <w14:schemeClr w14:val="tx1"/>
            </w14:solidFill>
          </w14:textFill>
        </w:rPr>
        <w:t>、时间：</w:t>
      </w:r>
    </w:p>
    <w:p>
      <w:pPr>
        <w:spacing w:line="360" w:lineRule="auto"/>
        <w:ind w:right="31" w:rightChars="15" w:firstLine="480" w:firstLineChars="200"/>
        <w:rPr>
          <w:rFonts w:hint="eastAsia" w:ascii="宋体" w:hAnsi="Times New Roman" w:cs="Times New Roman"/>
          <w:bCs/>
          <w:sz w:val="24"/>
          <w:lang w:val="en-US" w:eastAsia="zh-CN"/>
        </w:rPr>
      </w:pPr>
      <w:r>
        <w:rPr>
          <w:rFonts w:hint="eastAsia" w:ascii="宋体" w:hAnsi="Times New Roman" w:cs="Times New Roman"/>
          <w:bCs/>
          <w:sz w:val="24"/>
        </w:rPr>
        <w:t>1、采购文件获取：</w:t>
      </w:r>
      <w:r>
        <w:rPr>
          <w:rFonts w:hint="eastAsia" w:ascii="宋体" w:hAnsi="Times New Roman" w:cs="Times New Roman"/>
          <w:bCs/>
          <w:sz w:val="24"/>
          <w:lang w:val="en-US" w:eastAsia="zh-CN"/>
        </w:rPr>
        <w:t>由代理机构以邮件形式发送至供应商提供的邮箱中。</w:t>
      </w:r>
    </w:p>
    <w:p>
      <w:pPr>
        <w:spacing w:line="360" w:lineRule="auto"/>
        <w:ind w:right="31" w:rightChars="15" w:firstLine="480" w:firstLineChars="200"/>
        <w:rPr>
          <w:rFonts w:hint="default" w:ascii="宋体" w:hAnsi="Times New Roman" w:cs="Times New Roman"/>
          <w:bCs/>
          <w:color w:val="000000" w:themeColor="text1"/>
          <w:sz w:val="24"/>
          <w:lang w:val="en-US" w:eastAsia="zh-CN"/>
          <w14:textFill>
            <w14:solidFill>
              <w14:schemeClr w14:val="tx1"/>
            </w14:solidFill>
          </w14:textFill>
        </w:rPr>
      </w:pPr>
      <w:r>
        <w:rPr>
          <w:rFonts w:hint="eastAsia" w:ascii="宋体" w:hAnsi="Times New Roman" w:cs="Times New Roman"/>
          <w:bCs/>
          <w:color w:val="000000" w:themeColor="text1"/>
          <w:sz w:val="24"/>
          <w14:textFill>
            <w14:solidFill>
              <w14:schemeClr w14:val="tx1"/>
            </w14:solidFill>
          </w14:textFill>
        </w:rPr>
        <w:t>2、</w:t>
      </w:r>
      <w:r>
        <w:rPr>
          <w:rFonts w:hint="eastAsia" w:ascii="宋体" w:hAnsi="Times New Roman" w:cs="Times New Roman"/>
          <w:bCs/>
          <w:color w:val="000000" w:themeColor="text1"/>
          <w:sz w:val="24"/>
          <w:lang w:val="en-US" w:eastAsia="zh-CN"/>
          <w14:textFill>
            <w14:solidFill>
              <w14:schemeClr w14:val="tx1"/>
            </w14:solidFill>
          </w14:textFill>
        </w:rPr>
        <w:t>采购文件获取时间：</w:t>
      </w:r>
      <w:r>
        <w:rPr>
          <w:rFonts w:hint="eastAsia" w:ascii="宋体" w:cs="Times New Roman"/>
          <w:bCs/>
          <w:color w:val="000000" w:themeColor="text1"/>
          <w:sz w:val="24"/>
          <w:lang w:val="en-US" w:eastAsia="zh-CN"/>
          <w14:textFill>
            <w14:solidFill>
              <w14:schemeClr w14:val="tx1"/>
            </w14:solidFill>
          </w14:textFill>
        </w:rPr>
        <w:t>2022</w:t>
      </w:r>
      <w:r>
        <w:rPr>
          <w:rFonts w:hint="eastAsia" w:ascii="宋体" w:hAnsi="Times New Roman" w:cs="Times New Roman"/>
          <w:bCs/>
          <w:color w:val="000000" w:themeColor="text1"/>
          <w:sz w:val="24"/>
          <w:lang w:val="en-US" w:eastAsia="zh-CN"/>
          <w14:textFill>
            <w14:solidFill>
              <w14:schemeClr w14:val="tx1"/>
            </w14:solidFill>
          </w14:textFill>
        </w:rPr>
        <w:t>年</w:t>
      </w:r>
      <w:r>
        <w:rPr>
          <w:rFonts w:hint="eastAsia" w:ascii="宋体" w:cs="Times New Roman"/>
          <w:bCs/>
          <w:color w:val="000000" w:themeColor="text1"/>
          <w:sz w:val="24"/>
          <w:lang w:val="en-US" w:eastAsia="zh-CN"/>
          <w14:textFill>
            <w14:solidFill>
              <w14:schemeClr w14:val="tx1"/>
            </w14:solidFill>
          </w14:textFill>
        </w:rPr>
        <w:t>10</w:t>
      </w:r>
      <w:r>
        <w:rPr>
          <w:rFonts w:hint="eastAsia" w:ascii="宋体" w:hAnsi="Times New Roman" w:cs="Times New Roman"/>
          <w:bCs/>
          <w:color w:val="000000" w:themeColor="text1"/>
          <w:sz w:val="24"/>
          <w:lang w:val="en-US" w:eastAsia="zh-CN"/>
          <w14:textFill>
            <w14:solidFill>
              <w14:schemeClr w14:val="tx1"/>
            </w14:solidFill>
          </w14:textFill>
        </w:rPr>
        <w:t>月</w:t>
      </w:r>
      <w:r>
        <w:rPr>
          <w:rFonts w:hint="eastAsia" w:ascii="宋体" w:cs="Times New Roman"/>
          <w:bCs/>
          <w:color w:val="000000" w:themeColor="text1"/>
          <w:sz w:val="24"/>
          <w:lang w:val="en-US" w:eastAsia="zh-CN"/>
          <w14:textFill>
            <w14:solidFill>
              <w14:schemeClr w14:val="tx1"/>
            </w14:solidFill>
          </w14:textFill>
        </w:rPr>
        <w:t>27</w:t>
      </w:r>
      <w:r>
        <w:rPr>
          <w:rFonts w:hint="eastAsia" w:ascii="宋体" w:hAnsi="Times New Roman" w:cs="Times New Roman"/>
          <w:bCs/>
          <w:color w:val="000000" w:themeColor="text1"/>
          <w:sz w:val="24"/>
          <w:lang w:val="en-US" w:eastAsia="zh-CN"/>
          <w14:textFill>
            <w14:solidFill>
              <w14:schemeClr w14:val="tx1"/>
            </w14:solidFill>
          </w14:textFill>
        </w:rPr>
        <w:t>日0</w:t>
      </w:r>
      <w:r>
        <w:rPr>
          <w:rFonts w:hint="eastAsia" w:ascii="宋体" w:cs="Times New Roman"/>
          <w:bCs/>
          <w:color w:val="000000" w:themeColor="text1"/>
          <w:sz w:val="24"/>
          <w:lang w:val="en-US" w:eastAsia="zh-CN"/>
          <w14:textFill>
            <w14:solidFill>
              <w14:schemeClr w14:val="tx1"/>
            </w14:solidFill>
          </w14:textFill>
        </w:rPr>
        <w:t>0</w:t>
      </w:r>
      <w:r>
        <w:rPr>
          <w:rFonts w:hint="eastAsia" w:ascii="宋体" w:hAnsi="Times New Roman" w:cs="Times New Roman"/>
          <w:bCs/>
          <w:color w:val="000000" w:themeColor="text1"/>
          <w:sz w:val="24"/>
          <w:lang w:val="en-US" w:eastAsia="zh-CN"/>
          <w14:textFill>
            <w14:solidFill>
              <w14:schemeClr w14:val="tx1"/>
            </w14:solidFill>
          </w14:textFill>
        </w:rPr>
        <w:t>:00-</w:t>
      </w:r>
      <w:r>
        <w:rPr>
          <w:rFonts w:hint="eastAsia" w:ascii="宋体" w:cs="Times New Roman"/>
          <w:bCs/>
          <w:color w:val="000000" w:themeColor="text1"/>
          <w:sz w:val="24"/>
          <w:lang w:val="en-US" w:eastAsia="zh-CN"/>
          <w14:textFill>
            <w14:solidFill>
              <w14:schemeClr w14:val="tx1"/>
            </w14:solidFill>
          </w14:textFill>
        </w:rPr>
        <w:t>2022</w:t>
      </w:r>
      <w:r>
        <w:rPr>
          <w:rFonts w:hint="eastAsia" w:ascii="宋体" w:hAnsi="Times New Roman" w:cs="Times New Roman"/>
          <w:bCs/>
          <w:color w:val="000000" w:themeColor="text1"/>
          <w:sz w:val="24"/>
          <w:lang w:val="en-US" w:eastAsia="zh-CN"/>
          <w14:textFill>
            <w14:solidFill>
              <w14:schemeClr w14:val="tx1"/>
            </w14:solidFill>
          </w14:textFill>
        </w:rPr>
        <w:t>年</w:t>
      </w:r>
      <w:r>
        <w:rPr>
          <w:rFonts w:hint="eastAsia" w:ascii="宋体" w:cs="Times New Roman"/>
          <w:bCs/>
          <w:color w:val="000000" w:themeColor="text1"/>
          <w:sz w:val="24"/>
          <w:lang w:val="en-US" w:eastAsia="zh-CN"/>
          <w14:textFill>
            <w14:solidFill>
              <w14:schemeClr w14:val="tx1"/>
            </w14:solidFill>
          </w14:textFill>
        </w:rPr>
        <w:t>11</w:t>
      </w:r>
      <w:r>
        <w:rPr>
          <w:rFonts w:hint="eastAsia" w:ascii="宋体" w:hAnsi="Times New Roman" w:cs="Times New Roman"/>
          <w:bCs/>
          <w:color w:val="000000" w:themeColor="text1"/>
          <w:sz w:val="24"/>
          <w:lang w:val="en-US" w:eastAsia="zh-CN"/>
          <w14:textFill>
            <w14:solidFill>
              <w14:schemeClr w14:val="tx1"/>
            </w14:solidFill>
          </w14:textFill>
        </w:rPr>
        <w:t>月</w:t>
      </w:r>
      <w:r>
        <w:rPr>
          <w:rFonts w:hint="eastAsia" w:ascii="宋体" w:cs="Times New Roman"/>
          <w:bCs/>
          <w:color w:val="000000" w:themeColor="text1"/>
          <w:sz w:val="24"/>
          <w:lang w:val="en-US" w:eastAsia="zh-CN"/>
          <w14:textFill>
            <w14:solidFill>
              <w14:schemeClr w14:val="tx1"/>
            </w14:solidFill>
          </w14:textFill>
        </w:rPr>
        <w:t>2</w:t>
      </w:r>
      <w:r>
        <w:rPr>
          <w:rFonts w:hint="eastAsia" w:ascii="宋体" w:hAnsi="Times New Roman" w:cs="Times New Roman"/>
          <w:bCs/>
          <w:color w:val="000000" w:themeColor="text1"/>
          <w:sz w:val="24"/>
          <w:lang w:val="en-US" w:eastAsia="zh-CN"/>
          <w14:textFill>
            <w14:solidFill>
              <w14:schemeClr w14:val="tx1"/>
            </w14:solidFill>
          </w14:textFill>
        </w:rPr>
        <w:t>日</w:t>
      </w:r>
      <w:r>
        <w:rPr>
          <w:rFonts w:hint="eastAsia" w:ascii="宋体" w:cs="Times New Roman"/>
          <w:bCs/>
          <w:color w:val="000000" w:themeColor="text1"/>
          <w:sz w:val="24"/>
          <w:lang w:val="en-US" w:eastAsia="zh-CN"/>
          <w14:textFill>
            <w14:solidFill>
              <w14:schemeClr w14:val="tx1"/>
            </w14:solidFill>
          </w14:textFill>
        </w:rPr>
        <w:t>23</w:t>
      </w:r>
      <w:r>
        <w:rPr>
          <w:rFonts w:hint="eastAsia" w:ascii="宋体" w:hAnsi="Times New Roman" w:cs="Times New Roman"/>
          <w:bCs/>
          <w:color w:val="000000" w:themeColor="text1"/>
          <w:sz w:val="24"/>
          <w:lang w:val="en-US" w:eastAsia="zh-CN"/>
          <w14:textFill>
            <w14:solidFill>
              <w14:schemeClr w14:val="tx1"/>
            </w14:solidFill>
          </w14:textFill>
        </w:rPr>
        <w:t>：</w:t>
      </w:r>
      <w:r>
        <w:rPr>
          <w:rFonts w:hint="eastAsia" w:ascii="宋体" w:cs="Times New Roman"/>
          <w:bCs/>
          <w:color w:val="000000" w:themeColor="text1"/>
          <w:sz w:val="24"/>
          <w:lang w:val="en-US" w:eastAsia="zh-CN"/>
          <w14:textFill>
            <w14:solidFill>
              <w14:schemeClr w14:val="tx1"/>
            </w14:solidFill>
          </w14:textFill>
        </w:rPr>
        <w:t>59</w:t>
      </w:r>
      <w:r>
        <w:rPr>
          <w:rFonts w:hint="eastAsia" w:ascii="宋体" w:hAnsi="Times New Roman" w:cs="Times New Roman"/>
          <w:bCs/>
          <w:color w:val="000000" w:themeColor="text1"/>
          <w:sz w:val="24"/>
          <w:lang w:val="en-US" w:eastAsia="zh-CN"/>
          <w14:textFill>
            <w14:solidFill>
              <w14:schemeClr w14:val="tx1"/>
            </w14:solidFill>
          </w14:textFill>
        </w:rPr>
        <w:t>（北京时间）。</w:t>
      </w:r>
    </w:p>
    <w:p>
      <w:pPr>
        <w:spacing w:line="360" w:lineRule="auto"/>
        <w:ind w:right="31" w:rightChars="15" w:firstLine="480" w:firstLineChars="200"/>
        <w:rPr>
          <w:rFonts w:hint="eastAsia" w:ascii="宋体" w:hAnsi="Times New Roman" w:cs="Times New Roman"/>
          <w:bCs/>
          <w:sz w:val="24"/>
        </w:rPr>
      </w:pPr>
      <w:r>
        <w:rPr>
          <w:rFonts w:hint="eastAsia" w:ascii="宋体" w:hAnsi="Times New Roman" w:cs="Times New Roman"/>
          <w:bCs/>
          <w:sz w:val="24"/>
          <w:lang w:val="en-US" w:eastAsia="zh-CN"/>
        </w:rPr>
        <w:t>3、磋商</w:t>
      </w:r>
      <w:r>
        <w:rPr>
          <w:rFonts w:hint="eastAsia" w:ascii="宋体" w:hAnsi="Times New Roman" w:cs="Times New Roman"/>
          <w:bCs/>
          <w:sz w:val="24"/>
        </w:rPr>
        <w:t>文件售价：无。</w:t>
      </w:r>
      <w:bookmarkStart w:id="11" w:name="PO_默认文件内容_29"/>
      <w:r>
        <w:rPr>
          <w:rFonts w:hint="eastAsia" w:ascii="宋体" w:hAnsi="Times New Roman" w:cs="Times New Roman"/>
          <w:bCs/>
          <w:sz w:val="24"/>
          <w:lang w:val="en-US" w:eastAsia="zh-CN"/>
        </w:rPr>
        <w:t>磋商</w:t>
      </w:r>
      <w:r>
        <w:rPr>
          <w:rFonts w:hint="eastAsia" w:ascii="宋体" w:hAnsi="Times New Roman" w:cs="Times New Roman"/>
          <w:bCs/>
          <w:sz w:val="24"/>
        </w:rPr>
        <w:t>资格不能转让。</w:t>
      </w:r>
      <w:bookmarkEnd w:id="11"/>
    </w:p>
    <w:p>
      <w:pPr>
        <w:spacing w:after="120" w:line="360" w:lineRule="auto"/>
        <w:ind w:firstLine="482" w:firstLineChars="200"/>
        <w:rPr>
          <w:rFonts w:ascii="仿宋" w:hAnsi="仿宋" w:eastAsia="仿宋" w:cs="仿宋"/>
          <w:color w:val="000000" w:themeColor="text1"/>
          <w:sz w:val="24"/>
          <w:szCs w:val="24"/>
          <w14:textFill>
            <w14:solidFill>
              <w14:schemeClr w14:val="tx1"/>
            </w14:solidFill>
          </w14:textFill>
        </w:rPr>
      </w:pPr>
      <w:r>
        <w:rPr>
          <w:rFonts w:hint="eastAsia" w:ascii="宋体" w:hAnsi="宋体" w:cs="宋体"/>
          <w:b/>
          <w:bCs/>
          <w:color w:val="000000" w:themeColor="text1"/>
          <w:sz w:val="24"/>
          <w:szCs w:val="24"/>
          <w:lang w:val="en-US" w:eastAsia="zh-CN"/>
          <w14:textFill>
            <w14:solidFill>
              <w14:schemeClr w14:val="tx1"/>
            </w14:solidFill>
          </w14:textFill>
        </w:rPr>
        <w:t>八</w:t>
      </w:r>
      <w:r>
        <w:rPr>
          <w:rFonts w:hint="eastAsia" w:ascii="宋体" w:hAnsi="宋体" w:cs="宋体"/>
          <w:b/>
          <w:bCs/>
          <w:color w:val="000000" w:themeColor="text1"/>
          <w:sz w:val="24"/>
          <w:szCs w:val="24"/>
          <w14:textFill>
            <w14:solidFill>
              <w14:schemeClr w14:val="tx1"/>
            </w14:solidFill>
          </w14:textFill>
        </w:rPr>
        <w:t>、响应文件递交起止时间</w:t>
      </w:r>
      <w:r>
        <w:rPr>
          <w:rFonts w:hint="eastAsia" w:ascii="宋体" w:hAnsi="宋体" w:cs="宋体"/>
          <w:color w:val="000000" w:themeColor="text1"/>
          <w:sz w:val="24"/>
          <w:szCs w:val="24"/>
          <w14:textFill>
            <w14:solidFill>
              <w14:schemeClr w14:val="tx1"/>
            </w14:solidFill>
          </w14:textFill>
        </w:rPr>
        <w:t>：</w:t>
      </w:r>
      <w:r>
        <w:rPr>
          <w:rFonts w:hint="eastAsia" w:ascii="宋体" w:hAnsi="宋体" w:cs="宋体"/>
          <w:color w:val="000000" w:themeColor="text1"/>
          <w:sz w:val="24"/>
          <w:szCs w:val="24"/>
          <w:lang w:eastAsia="zh-CN"/>
          <w14:textFill>
            <w14:solidFill>
              <w14:schemeClr w14:val="tx1"/>
            </w14:solidFill>
          </w14:textFill>
        </w:rPr>
        <w:t>2022</w:t>
      </w:r>
      <w:r>
        <w:rPr>
          <w:rFonts w:hint="eastAsia" w:ascii="宋体" w:hAnsi="宋体" w:cs="宋体"/>
          <w:color w:val="000000" w:themeColor="text1"/>
          <w:sz w:val="24"/>
          <w:szCs w:val="24"/>
          <w14:textFill>
            <w14:solidFill>
              <w14:schemeClr w14:val="tx1"/>
            </w14:solidFill>
          </w14:textFill>
        </w:rPr>
        <w:t>年</w:t>
      </w:r>
      <w:r>
        <w:rPr>
          <w:rFonts w:hint="eastAsia" w:ascii="宋体" w:hAnsi="宋体" w:cs="宋体"/>
          <w:color w:val="000000" w:themeColor="text1"/>
          <w:sz w:val="24"/>
          <w:szCs w:val="24"/>
          <w:lang w:val="en-US" w:eastAsia="zh-CN"/>
          <w14:textFill>
            <w14:solidFill>
              <w14:schemeClr w14:val="tx1"/>
            </w14:solidFill>
          </w14:textFill>
        </w:rPr>
        <w:t>11</w:t>
      </w:r>
      <w:r>
        <w:rPr>
          <w:rFonts w:hint="eastAsia" w:ascii="宋体" w:hAnsi="宋体" w:cs="宋体"/>
          <w:color w:val="000000" w:themeColor="text1"/>
          <w:sz w:val="24"/>
          <w:szCs w:val="24"/>
          <w14:textFill>
            <w14:solidFill>
              <w14:schemeClr w14:val="tx1"/>
            </w14:solidFill>
          </w14:textFill>
        </w:rPr>
        <w:t>月</w:t>
      </w:r>
      <w:r>
        <w:rPr>
          <w:rFonts w:hint="eastAsia" w:ascii="宋体" w:hAnsi="宋体" w:cs="宋体"/>
          <w:color w:val="000000" w:themeColor="text1"/>
          <w:sz w:val="24"/>
          <w:szCs w:val="24"/>
          <w:lang w:val="en-US" w:eastAsia="zh-CN"/>
          <w14:textFill>
            <w14:solidFill>
              <w14:schemeClr w14:val="tx1"/>
            </w14:solidFill>
          </w14:textFill>
        </w:rPr>
        <w:t>7</w:t>
      </w:r>
      <w:r>
        <w:rPr>
          <w:rFonts w:hint="eastAsia" w:ascii="宋体" w:hAnsi="宋体" w:cs="宋体"/>
          <w:color w:val="000000" w:themeColor="text1"/>
          <w:sz w:val="24"/>
          <w:szCs w:val="24"/>
          <w14:textFill>
            <w14:solidFill>
              <w14:schemeClr w14:val="tx1"/>
            </w14:solidFill>
          </w14:textFill>
        </w:rPr>
        <w:t>日</w:t>
      </w:r>
      <w:r>
        <w:rPr>
          <w:rFonts w:hint="eastAsia" w:ascii="宋体" w:hAnsi="宋体" w:cs="宋体"/>
          <w:color w:val="000000" w:themeColor="text1"/>
          <w:sz w:val="24"/>
          <w:szCs w:val="24"/>
          <w:lang w:val="en-US" w:eastAsia="zh-CN"/>
          <w14:textFill>
            <w14:solidFill>
              <w14:schemeClr w14:val="tx1"/>
            </w14:solidFill>
          </w14:textFill>
        </w:rPr>
        <w:t>13</w:t>
      </w:r>
      <w:r>
        <w:rPr>
          <w:rFonts w:hint="eastAsia" w:ascii="宋体" w:hAnsi="宋体" w:cs="宋体"/>
          <w:color w:val="000000" w:themeColor="text1"/>
          <w:sz w:val="24"/>
          <w:szCs w:val="24"/>
          <w14:textFill>
            <w14:solidFill>
              <w14:schemeClr w14:val="tx1"/>
            </w14:solidFill>
          </w14:textFill>
        </w:rPr>
        <w:t>:</w:t>
      </w:r>
      <w:r>
        <w:rPr>
          <w:rFonts w:hint="eastAsia" w:ascii="宋体" w:hAnsi="宋体" w:cs="宋体"/>
          <w:color w:val="000000" w:themeColor="text1"/>
          <w:sz w:val="24"/>
          <w:szCs w:val="24"/>
          <w:lang w:val="en-US" w:eastAsia="zh-CN"/>
          <w14:textFill>
            <w14:solidFill>
              <w14:schemeClr w14:val="tx1"/>
            </w14:solidFill>
          </w14:textFill>
        </w:rPr>
        <w:t>0</w:t>
      </w:r>
      <w:r>
        <w:rPr>
          <w:rFonts w:hint="eastAsia" w:ascii="宋体" w:hAnsi="宋体" w:cs="宋体"/>
          <w:color w:val="000000" w:themeColor="text1"/>
          <w:sz w:val="24"/>
          <w:szCs w:val="24"/>
          <w14:textFill>
            <w14:solidFill>
              <w14:schemeClr w14:val="tx1"/>
            </w14:solidFill>
          </w14:textFill>
        </w:rPr>
        <w:t>0至</w:t>
      </w:r>
      <w:r>
        <w:rPr>
          <w:rFonts w:hint="eastAsia" w:ascii="宋体" w:hAnsi="宋体" w:cs="宋体"/>
          <w:color w:val="000000" w:themeColor="text1"/>
          <w:sz w:val="24"/>
          <w:szCs w:val="24"/>
          <w:lang w:eastAsia="zh-CN"/>
          <w14:textFill>
            <w14:solidFill>
              <w14:schemeClr w14:val="tx1"/>
            </w14:solidFill>
          </w14:textFill>
        </w:rPr>
        <w:t>2022</w:t>
      </w:r>
      <w:r>
        <w:rPr>
          <w:rFonts w:hint="eastAsia" w:ascii="宋体" w:hAnsi="宋体" w:cs="宋体"/>
          <w:color w:val="000000" w:themeColor="text1"/>
          <w:sz w:val="24"/>
          <w:szCs w:val="24"/>
          <w14:textFill>
            <w14:solidFill>
              <w14:schemeClr w14:val="tx1"/>
            </w14:solidFill>
          </w14:textFill>
        </w:rPr>
        <w:t>年</w:t>
      </w:r>
      <w:r>
        <w:rPr>
          <w:rFonts w:hint="eastAsia" w:ascii="宋体" w:hAnsi="宋体" w:cs="宋体"/>
          <w:color w:val="000000" w:themeColor="text1"/>
          <w:sz w:val="24"/>
          <w:szCs w:val="24"/>
          <w:lang w:val="en-US" w:eastAsia="zh-CN"/>
          <w14:textFill>
            <w14:solidFill>
              <w14:schemeClr w14:val="tx1"/>
            </w14:solidFill>
          </w14:textFill>
        </w:rPr>
        <w:t>11</w:t>
      </w:r>
      <w:r>
        <w:rPr>
          <w:rFonts w:hint="eastAsia" w:ascii="宋体" w:hAnsi="宋体" w:cs="宋体"/>
          <w:color w:val="000000" w:themeColor="text1"/>
          <w:sz w:val="24"/>
          <w:szCs w:val="24"/>
          <w14:textFill>
            <w14:solidFill>
              <w14:schemeClr w14:val="tx1"/>
            </w14:solidFill>
          </w14:textFill>
        </w:rPr>
        <w:t>月</w:t>
      </w:r>
      <w:r>
        <w:rPr>
          <w:rFonts w:hint="eastAsia" w:ascii="宋体" w:hAnsi="宋体" w:cs="宋体"/>
          <w:color w:val="000000" w:themeColor="text1"/>
          <w:sz w:val="24"/>
          <w:szCs w:val="24"/>
          <w:lang w:val="en-US" w:eastAsia="zh-CN"/>
          <w14:textFill>
            <w14:solidFill>
              <w14:schemeClr w14:val="tx1"/>
            </w14:solidFill>
          </w14:textFill>
        </w:rPr>
        <w:t>7</w:t>
      </w:r>
      <w:r>
        <w:rPr>
          <w:rFonts w:hint="eastAsia" w:ascii="宋体" w:hAnsi="宋体" w:cs="宋体"/>
          <w:color w:val="000000" w:themeColor="text1"/>
          <w:sz w:val="24"/>
          <w:szCs w:val="24"/>
          <w14:textFill>
            <w14:solidFill>
              <w14:schemeClr w14:val="tx1"/>
            </w14:solidFill>
          </w14:textFill>
        </w:rPr>
        <w:t>日</w:t>
      </w:r>
      <w:r>
        <w:rPr>
          <w:rFonts w:hint="eastAsia" w:ascii="宋体" w:hAnsi="宋体" w:cs="宋体"/>
          <w:color w:val="000000" w:themeColor="text1"/>
          <w:sz w:val="24"/>
          <w:szCs w:val="24"/>
          <w:lang w:val="en-US" w:eastAsia="zh-CN"/>
          <w14:textFill>
            <w14:solidFill>
              <w14:schemeClr w14:val="tx1"/>
            </w14:solidFill>
          </w14:textFill>
        </w:rPr>
        <w:t>13</w:t>
      </w:r>
      <w:r>
        <w:rPr>
          <w:rFonts w:hint="eastAsia" w:ascii="宋体" w:hAnsi="宋体" w:cs="宋体"/>
          <w:color w:val="000000" w:themeColor="text1"/>
          <w:sz w:val="24"/>
          <w:szCs w:val="24"/>
          <w14:textFill>
            <w14:solidFill>
              <w14:schemeClr w14:val="tx1"/>
            </w14:solidFill>
          </w14:textFill>
        </w:rPr>
        <w:t>:</w:t>
      </w:r>
      <w:r>
        <w:rPr>
          <w:rFonts w:hint="eastAsia" w:ascii="宋体" w:hAnsi="宋体" w:cs="宋体"/>
          <w:color w:val="000000" w:themeColor="text1"/>
          <w:sz w:val="24"/>
          <w:szCs w:val="24"/>
          <w:lang w:val="en-US" w:eastAsia="zh-CN"/>
          <w14:textFill>
            <w14:solidFill>
              <w14:schemeClr w14:val="tx1"/>
            </w14:solidFill>
          </w14:textFill>
        </w:rPr>
        <w:t>3</w:t>
      </w:r>
      <w:r>
        <w:rPr>
          <w:rFonts w:hint="eastAsia" w:ascii="宋体" w:hAnsi="宋体" w:cs="宋体"/>
          <w:color w:val="000000" w:themeColor="text1"/>
          <w:sz w:val="24"/>
          <w:szCs w:val="24"/>
          <w14:textFill>
            <w14:solidFill>
              <w14:schemeClr w14:val="tx1"/>
            </w14:solidFill>
          </w14:textFill>
        </w:rPr>
        <w:t>0（北京时间）。逾期送达的响应文件不予接收。</w:t>
      </w:r>
    </w:p>
    <w:p>
      <w:pPr>
        <w:spacing w:after="120" w:line="360" w:lineRule="auto"/>
        <w:ind w:firstLine="422" w:firstLineChars="175"/>
        <w:rPr>
          <w:rFonts w:ascii="宋体" w:hAnsi="宋体" w:cs="宋体"/>
          <w:color w:val="000000" w:themeColor="text1"/>
          <w:sz w:val="24"/>
          <w:szCs w:val="24"/>
          <w14:textFill>
            <w14:solidFill>
              <w14:schemeClr w14:val="tx1"/>
            </w14:solidFill>
          </w14:textFill>
        </w:rPr>
      </w:pPr>
      <w:r>
        <w:rPr>
          <w:rFonts w:hint="eastAsia" w:ascii="宋体" w:hAnsi="宋体" w:cs="宋体"/>
          <w:b/>
          <w:bCs/>
          <w:color w:val="000000" w:themeColor="text1"/>
          <w:sz w:val="24"/>
          <w:szCs w:val="24"/>
          <w:lang w:val="en-US" w:eastAsia="zh-CN"/>
          <w14:textFill>
            <w14:solidFill>
              <w14:schemeClr w14:val="tx1"/>
            </w14:solidFill>
          </w14:textFill>
        </w:rPr>
        <w:t>九</w:t>
      </w:r>
      <w:r>
        <w:rPr>
          <w:rFonts w:hint="eastAsia" w:ascii="宋体" w:hAnsi="宋体" w:cs="宋体"/>
          <w:b/>
          <w:bCs/>
          <w:color w:val="000000" w:themeColor="text1"/>
          <w:sz w:val="24"/>
          <w:szCs w:val="24"/>
          <w14:textFill>
            <w14:solidFill>
              <w14:schemeClr w14:val="tx1"/>
            </w14:solidFill>
          </w14:textFill>
        </w:rPr>
        <w:t>、递交响应文件地点：</w:t>
      </w:r>
      <w:bookmarkStart w:id="12" w:name="PO_默认文件内容_7"/>
      <w:r>
        <w:rPr>
          <w:rFonts w:hint="eastAsia" w:ascii="宋体" w:hAnsi="宋体" w:cs="宋体"/>
          <w:b/>
          <w:bCs/>
          <w:color w:val="000000" w:themeColor="text1"/>
          <w:sz w:val="24"/>
          <w:szCs w:val="24"/>
          <w:lang w:eastAsia="zh-CN"/>
          <w14:textFill>
            <w14:solidFill>
              <w14:schemeClr w14:val="tx1"/>
            </w14:solidFill>
          </w14:textFill>
        </w:rPr>
        <w:t>乐山市金口河区公共资源交易服务中心驻乐山办事处（乐山市市中区山水世家秀水庭院四幢三单元）。</w:t>
      </w:r>
      <w:r>
        <w:rPr>
          <w:rFonts w:hint="eastAsia" w:ascii="宋体" w:hAnsi="宋体" w:cs="宋体"/>
          <w:color w:val="000000" w:themeColor="text1"/>
          <w:sz w:val="24"/>
          <w:szCs w:val="24"/>
          <w14:textFill>
            <w14:solidFill>
              <w14:schemeClr w14:val="tx1"/>
            </w14:solidFill>
          </w14:textFill>
        </w:rPr>
        <w:t>响应文件必须在递交响应文件截止时间前送达</w:t>
      </w:r>
      <w:r>
        <w:rPr>
          <w:rFonts w:hint="eastAsia" w:ascii="宋体" w:hAnsi="宋体" w:cs="宋体"/>
          <w:color w:val="000000" w:themeColor="text1"/>
          <w:sz w:val="24"/>
          <w:szCs w:val="24"/>
          <w:lang w:val="en-US" w:eastAsia="zh-CN"/>
          <w14:textFill>
            <w14:solidFill>
              <w14:schemeClr w14:val="tx1"/>
            </w14:solidFill>
          </w14:textFill>
        </w:rPr>
        <w:t>磋商</w:t>
      </w:r>
      <w:r>
        <w:rPr>
          <w:rFonts w:hint="eastAsia" w:ascii="宋体" w:hAnsi="宋体" w:cs="宋体"/>
          <w:color w:val="000000" w:themeColor="text1"/>
          <w:sz w:val="24"/>
          <w:szCs w:val="24"/>
          <w14:textFill>
            <w14:solidFill>
              <w14:schemeClr w14:val="tx1"/>
            </w14:solidFill>
          </w14:textFill>
        </w:rPr>
        <w:t>地点。逾期送达或没有密封的响应文件恕不接收。本次采购不接收邮寄的响应文件。</w:t>
      </w:r>
      <w:bookmarkEnd w:id="12"/>
    </w:p>
    <w:p>
      <w:pPr>
        <w:spacing w:after="120" w:line="360" w:lineRule="auto"/>
        <w:ind w:firstLine="482" w:firstLineChars="200"/>
        <w:rPr>
          <w:rFonts w:ascii="宋体" w:hAnsi="宋体" w:cs="宋体"/>
          <w:color w:val="000000" w:themeColor="text1"/>
          <w:sz w:val="24"/>
          <w:szCs w:val="24"/>
          <w14:textFill>
            <w14:solidFill>
              <w14:schemeClr w14:val="tx1"/>
            </w14:solidFill>
          </w14:textFill>
        </w:rPr>
      </w:pPr>
      <w:r>
        <w:rPr>
          <w:rFonts w:hint="eastAsia" w:ascii="宋体" w:hAnsi="宋体" w:cs="宋体"/>
          <w:b/>
          <w:bCs/>
          <w:color w:val="000000" w:themeColor="text1"/>
          <w:sz w:val="24"/>
          <w:szCs w:val="24"/>
          <w:lang w:val="en-US" w:eastAsia="zh-CN"/>
          <w14:textFill>
            <w14:solidFill>
              <w14:schemeClr w14:val="tx1"/>
            </w14:solidFill>
          </w14:textFill>
        </w:rPr>
        <w:t>十</w:t>
      </w:r>
      <w:r>
        <w:rPr>
          <w:rFonts w:hint="eastAsia" w:ascii="宋体" w:hAnsi="宋体" w:cs="宋体"/>
          <w:b/>
          <w:bCs/>
          <w:color w:val="000000" w:themeColor="text1"/>
          <w:sz w:val="24"/>
          <w:szCs w:val="24"/>
          <w14:textFill>
            <w14:solidFill>
              <w14:schemeClr w14:val="tx1"/>
            </w14:solidFill>
          </w14:textFill>
        </w:rPr>
        <w:t>、响应文件开启时间：</w:t>
      </w:r>
      <w:r>
        <w:rPr>
          <w:rFonts w:hint="eastAsia" w:ascii="宋体" w:hAnsi="宋体" w:cs="宋体"/>
          <w:b/>
          <w:bCs/>
          <w:color w:val="000000" w:themeColor="text1"/>
          <w:sz w:val="24"/>
          <w:szCs w:val="24"/>
          <w:lang w:eastAsia="zh-CN"/>
          <w14:textFill>
            <w14:solidFill>
              <w14:schemeClr w14:val="tx1"/>
            </w14:solidFill>
          </w14:textFill>
        </w:rPr>
        <w:t>2022</w:t>
      </w:r>
      <w:r>
        <w:rPr>
          <w:rFonts w:hint="eastAsia" w:ascii="宋体" w:hAnsi="宋体" w:cs="宋体"/>
          <w:b/>
          <w:bCs/>
          <w:color w:val="000000" w:themeColor="text1"/>
          <w:sz w:val="24"/>
          <w:szCs w:val="24"/>
          <w14:textFill>
            <w14:solidFill>
              <w14:schemeClr w14:val="tx1"/>
            </w14:solidFill>
          </w14:textFill>
        </w:rPr>
        <w:t>年</w:t>
      </w:r>
      <w:r>
        <w:rPr>
          <w:rFonts w:hint="eastAsia" w:ascii="宋体" w:hAnsi="宋体" w:cs="宋体"/>
          <w:b/>
          <w:bCs/>
          <w:color w:val="000000" w:themeColor="text1"/>
          <w:sz w:val="24"/>
          <w:szCs w:val="24"/>
          <w:lang w:val="en-US" w:eastAsia="zh-CN"/>
          <w14:textFill>
            <w14:solidFill>
              <w14:schemeClr w14:val="tx1"/>
            </w14:solidFill>
          </w14:textFill>
        </w:rPr>
        <w:t>11</w:t>
      </w:r>
      <w:r>
        <w:rPr>
          <w:rFonts w:hint="eastAsia" w:ascii="宋体" w:hAnsi="宋体" w:cs="宋体"/>
          <w:b/>
          <w:bCs/>
          <w:color w:val="000000" w:themeColor="text1"/>
          <w:sz w:val="24"/>
          <w:szCs w:val="24"/>
          <w14:textFill>
            <w14:solidFill>
              <w14:schemeClr w14:val="tx1"/>
            </w14:solidFill>
          </w14:textFill>
        </w:rPr>
        <w:t>月</w:t>
      </w:r>
      <w:r>
        <w:rPr>
          <w:rFonts w:hint="eastAsia" w:ascii="宋体" w:hAnsi="宋体" w:cs="宋体"/>
          <w:b/>
          <w:bCs/>
          <w:color w:val="000000" w:themeColor="text1"/>
          <w:sz w:val="24"/>
          <w:szCs w:val="24"/>
          <w:lang w:val="en-US" w:eastAsia="zh-CN"/>
          <w14:textFill>
            <w14:solidFill>
              <w14:schemeClr w14:val="tx1"/>
            </w14:solidFill>
          </w14:textFill>
        </w:rPr>
        <w:t>7</w:t>
      </w:r>
      <w:r>
        <w:rPr>
          <w:rFonts w:hint="eastAsia" w:ascii="宋体" w:hAnsi="宋体" w:cs="宋体"/>
          <w:b/>
          <w:bCs/>
          <w:color w:val="000000" w:themeColor="text1"/>
          <w:sz w:val="24"/>
          <w:szCs w:val="24"/>
          <w14:textFill>
            <w14:solidFill>
              <w14:schemeClr w14:val="tx1"/>
            </w14:solidFill>
          </w14:textFill>
        </w:rPr>
        <w:t>日</w:t>
      </w:r>
      <w:r>
        <w:rPr>
          <w:rFonts w:hint="eastAsia" w:ascii="宋体" w:hAnsi="宋体" w:cs="宋体"/>
          <w:b/>
          <w:bCs/>
          <w:color w:val="000000" w:themeColor="text1"/>
          <w:sz w:val="24"/>
          <w:szCs w:val="24"/>
          <w:lang w:val="en-US" w:eastAsia="zh-CN"/>
          <w14:textFill>
            <w14:solidFill>
              <w14:schemeClr w14:val="tx1"/>
            </w14:solidFill>
          </w14:textFill>
        </w:rPr>
        <w:t>13</w:t>
      </w:r>
      <w:r>
        <w:rPr>
          <w:rFonts w:hint="eastAsia" w:ascii="宋体" w:hAnsi="宋体" w:cs="宋体"/>
          <w:b/>
          <w:bCs/>
          <w:color w:val="000000" w:themeColor="text1"/>
          <w:sz w:val="24"/>
          <w:szCs w:val="24"/>
          <w14:textFill>
            <w14:solidFill>
              <w14:schemeClr w14:val="tx1"/>
            </w14:solidFill>
          </w14:textFill>
        </w:rPr>
        <w:t>:30</w:t>
      </w:r>
      <w:r>
        <w:rPr>
          <w:rFonts w:hint="eastAsia" w:ascii="宋体" w:hAnsi="宋体" w:cs="宋体"/>
          <w:color w:val="000000" w:themeColor="text1"/>
          <w:sz w:val="24"/>
          <w:szCs w:val="24"/>
          <w14:textFill>
            <w14:solidFill>
              <w14:schemeClr w14:val="tx1"/>
            </w14:solidFill>
          </w14:textFill>
        </w:rPr>
        <w:t>在</w:t>
      </w:r>
      <w:r>
        <w:rPr>
          <w:rFonts w:hint="eastAsia" w:ascii="宋体" w:hAnsi="宋体" w:cs="宋体"/>
          <w:color w:val="000000" w:themeColor="text1"/>
          <w:sz w:val="24"/>
          <w:szCs w:val="24"/>
          <w:lang w:val="en-US" w:eastAsia="zh-CN"/>
          <w14:textFill>
            <w14:solidFill>
              <w14:schemeClr w14:val="tx1"/>
            </w14:solidFill>
          </w14:textFill>
        </w:rPr>
        <w:t>磋商</w:t>
      </w:r>
      <w:r>
        <w:rPr>
          <w:rFonts w:hint="eastAsia" w:ascii="宋体" w:hAnsi="宋体" w:cs="宋体"/>
          <w:color w:val="000000" w:themeColor="text1"/>
          <w:sz w:val="24"/>
          <w:szCs w:val="24"/>
          <w14:textFill>
            <w14:solidFill>
              <w14:schemeClr w14:val="tx1"/>
            </w14:solidFill>
          </w14:textFill>
        </w:rPr>
        <w:t>地点开启。</w:t>
      </w:r>
    </w:p>
    <w:p>
      <w:pPr>
        <w:spacing w:line="360" w:lineRule="auto"/>
        <w:ind w:firstLine="489" w:firstLineChars="203"/>
        <w:rPr>
          <w:rFonts w:ascii="宋体" w:hAnsi="宋体" w:cs="宋体"/>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十</w:t>
      </w:r>
      <w:r>
        <w:rPr>
          <w:rFonts w:hint="eastAsia" w:ascii="宋体" w:hAnsi="宋体" w:cs="宋体"/>
          <w:b/>
          <w:bCs/>
          <w:color w:val="000000" w:themeColor="text1"/>
          <w:sz w:val="24"/>
          <w:szCs w:val="24"/>
          <w:lang w:val="en-US" w:eastAsia="zh-CN"/>
          <w14:textFill>
            <w14:solidFill>
              <w14:schemeClr w14:val="tx1"/>
            </w14:solidFill>
          </w14:textFill>
        </w:rPr>
        <w:t>一</w:t>
      </w:r>
      <w:r>
        <w:rPr>
          <w:rFonts w:hint="eastAsia" w:ascii="宋体" w:hAnsi="宋体" w:cs="宋体"/>
          <w:b/>
          <w:bCs/>
          <w:color w:val="000000" w:themeColor="text1"/>
          <w:sz w:val="24"/>
          <w:szCs w:val="24"/>
          <w14:textFill>
            <w14:solidFill>
              <w14:schemeClr w14:val="tx1"/>
            </w14:solidFill>
          </w14:textFill>
        </w:rPr>
        <w:t>、</w:t>
      </w:r>
      <w:r>
        <w:rPr>
          <w:rFonts w:hint="eastAsia" w:ascii="宋体" w:hAnsi="宋体" w:cs="宋体"/>
          <w:b/>
          <w:bCs/>
          <w:color w:val="000000" w:themeColor="text1"/>
          <w:sz w:val="24"/>
          <w:szCs w:val="24"/>
          <w:lang w:val="en-US" w:eastAsia="zh-CN"/>
          <w14:textFill>
            <w14:solidFill>
              <w14:schemeClr w14:val="tx1"/>
            </w14:solidFill>
          </w14:textFill>
        </w:rPr>
        <w:t>磋商</w:t>
      </w:r>
      <w:r>
        <w:rPr>
          <w:rFonts w:hint="eastAsia" w:ascii="宋体" w:hAnsi="宋体" w:cs="宋体"/>
          <w:b/>
          <w:bCs/>
          <w:color w:val="000000" w:themeColor="text1"/>
          <w:sz w:val="24"/>
          <w:szCs w:val="24"/>
          <w14:textFill>
            <w14:solidFill>
              <w14:schemeClr w14:val="tx1"/>
            </w14:solidFill>
          </w14:textFill>
        </w:rPr>
        <w:t>地点：</w:t>
      </w:r>
      <w:r>
        <w:rPr>
          <w:rFonts w:hint="eastAsia" w:ascii="宋体" w:hAnsi="宋体" w:cs="宋体"/>
          <w:b/>
          <w:bCs/>
          <w:color w:val="000000" w:themeColor="text1"/>
          <w:sz w:val="24"/>
          <w:szCs w:val="24"/>
          <w:lang w:eastAsia="zh-CN"/>
          <w14:textFill>
            <w14:solidFill>
              <w14:schemeClr w14:val="tx1"/>
            </w14:solidFill>
          </w14:textFill>
        </w:rPr>
        <w:t>乐山市金口河区公共资源交易服务中心驻乐山办事处（乐山市市中区山水世家秀水庭院四幢三单元）。</w:t>
      </w:r>
    </w:p>
    <w:p>
      <w:pPr>
        <w:pStyle w:val="74"/>
        <w:ind w:firstLine="482"/>
        <w:rPr>
          <w:rFonts w:ascii="宋体" w:hAnsi="宋体" w:cs="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十</w:t>
      </w:r>
      <w:r>
        <w:rPr>
          <w:rFonts w:hint="eastAsia" w:ascii="宋体" w:hAnsi="宋体" w:cs="宋体"/>
          <w:b/>
          <w:bCs/>
          <w:color w:val="000000" w:themeColor="text1"/>
          <w:sz w:val="24"/>
          <w:szCs w:val="24"/>
          <w:lang w:val="en-US" w:eastAsia="zh-CN"/>
          <w14:textFill>
            <w14:solidFill>
              <w14:schemeClr w14:val="tx1"/>
            </w14:solidFill>
          </w14:textFill>
        </w:rPr>
        <w:t>二</w:t>
      </w:r>
      <w:r>
        <w:rPr>
          <w:rFonts w:hint="eastAsia" w:ascii="宋体" w:hAnsi="宋体" w:cs="宋体"/>
          <w:b/>
          <w:bCs/>
          <w:color w:val="000000" w:themeColor="text1"/>
          <w:sz w:val="24"/>
          <w:szCs w:val="24"/>
          <w14:textFill>
            <w14:solidFill>
              <w14:schemeClr w14:val="tx1"/>
            </w14:solidFill>
          </w14:textFill>
        </w:rPr>
        <w:t>、供应商信用融资：</w:t>
      </w:r>
    </w:p>
    <w:p>
      <w:pPr>
        <w:pStyle w:val="74"/>
        <w:ind w:firstLine="48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根据《四川省财政厅关于推进四川省政府采购供应商信用融资工作的通知》（川财采[2018]123号）文件要求，为助力解决政府采购中标、成交供应商资金不足、融资难、融资贵的困难，促进供应商依法诚信参加政府采购活动，有融资需求的供应商可根据四川政府采购网公示的银行及其“政采贷”产品，自行选择符合自身情况的“政采贷”银行及其产品，凭中标（成交）通知书向银行提出贷款意向申请，并按照相关规定要求和贷款流程申请信用融资贷款。</w:t>
      </w:r>
    </w:p>
    <w:p>
      <w:pPr>
        <w:pStyle w:val="74"/>
        <w:ind w:firstLine="482"/>
        <w:rPr>
          <w:rFonts w:ascii="宋体" w:hAnsi="宋体" w:cs="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十</w:t>
      </w:r>
      <w:r>
        <w:rPr>
          <w:rFonts w:hint="eastAsia" w:ascii="宋体" w:hAnsi="宋体" w:cs="宋体"/>
          <w:b/>
          <w:bCs/>
          <w:color w:val="000000" w:themeColor="text1"/>
          <w:sz w:val="24"/>
          <w:szCs w:val="24"/>
          <w:lang w:val="en-US" w:eastAsia="zh-CN"/>
          <w14:textFill>
            <w14:solidFill>
              <w14:schemeClr w14:val="tx1"/>
            </w14:solidFill>
          </w14:textFill>
        </w:rPr>
        <w:t>三</w:t>
      </w:r>
      <w:r>
        <w:rPr>
          <w:rFonts w:hint="eastAsia" w:ascii="宋体" w:hAnsi="宋体" w:cs="宋体"/>
          <w:b/>
          <w:bCs/>
          <w:color w:val="000000" w:themeColor="text1"/>
          <w:sz w:val="24"/>
          <w:szCs w:val="24"/>
          <w14:textFill>
            <w14:solidFill>
              <w14:schemeClr w14:val="tx1"/>
            </w14:solidFill>
          </w14:textFill>
        </w:rPr>
        <w:t>、联系方式</w:t>
      </w:r>
    </w:p>
    <w:p>
      <w:pPr>
        <w:pStyle w:val="74"/>
        <w:ind w:firstLine="0" w:firstLineChars="0"/>
        <w:rPr>
          <w:rFonts w:hint="eastAsia" w:ascii="宋体" w:eastAsia="宋体"/>
          <w:color w:val="000000" w:themeColor="text1"/>
          <w:sz w:val="24"/>
          <w:szCs w:val="28"/>
          <w:u w:val="single"/>
          <w:lang w:eastAsia="zh-CN"/>
          <w14:textFill>
            <w14:solidFill>
              <w14:schemeClr w14:val="tx1"/>
            </w14:solidFill>
          </w14:textFill>
        </w:rPr>
      </w:pPr>
      <w:r>
        <w:rPr>
          <w:rFonts w:hint="eastAsia"/>
          <w:b/>
          <w:sz w:val="24"/>
        </w:rPr>
        <w:t>采购人：</w:t>
      </w:r>
      <w:r>
        <w:rPr>
          <w:rFonts w:hint="eastAsia"/>
          <w:color w:val="000000" w:themeColor="text1"/>
          <w:sz w:val="24"/>
          <w:u w:val="single"/>
          <w14:textFill>
            <w14:solidFill>
              <w14:schemeClr w14:val="tx1"/>
            </w14:solidFill>
          </w14:textFill>
        </w:rPr>
        <w:t xml:space="preserve"> </w:t>
      </w:r>
      <w:r>
        <w:rPr>
          <w:rFonts w:hint="eastAsia"/>
          <w:color w:val="000000" w:themeColor="text1"/>
          <w:sz w:val="24"/>
          <w:u w:val="single"/>
          <w:lang w:eastAsia="zh-CN"/>
          <w14:textFill>
            <w14:solidFill>
              <w14:schemeClr w14:val="tx1"/>
            </w14:solidFill>
          </w14:textFill>
        </w:rPr>
        <w:t>乐山市金口河区自然资源局</w:t>
      </w:r>
    </w:p>
    <w:p>
      <w:pPr>
        <w:pStyle w:val="74"/>
        <w:ind w:firstLine="0" w:firstLineChars="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联 系 人：</w:t>
      </w:r>
      <w:r>
        <w:rPr>
          <w:rFonts w:hint="eastAsia"/>
          <w:color w:val="000000" w:themeColor="text1"/>
          <w:sz w:val="24"/>
          <w:lang w:val="en-US" w:eastAsia="zh-CN"/>
          <w14:textFill>
            <w14:solidFill>
              <w14:schemeClr w14:val="tx1"/>
            </w14:solidFill>
          </w14:textFill>
        </w:rPr>
        <w:t>何老师</w:t>
      </w:r>
    </w:p>
    <w:p>
      <w:pPr>
        <w:pStyle w:val="74"/>
        <w:ind w:firstLine="0" w:firstLineChars="0"/>
        <w:rPr>
          <w:rFonts w:hint="default"/>
          <w:color w:val="000000" w:themeColor="text1"/>
          <w:sz w:val="24"/>
          <w:lang w:val="en-US" w:eastAsia="zh-CN"/>
          <w14:textFill>
            <w14:solidFill>
              <w14:schemeClr w14:val="tx1"/>
            </w14:solidFill>
          </w14:textFill>
        </w:rPr>
      </w:pPr>
      <w:r>
        <w:rPr>
          <w:rFonts w:hint="eastAsia"/>
          <w:color w:val="000000" w:themeColor="text1"/>
          <w:sz w:val="24"/>
          <w14:textFill>
            <w14:solidFill>
              <w14:schemeClr w14:val="tx1"/>
            </w14:solidFill>
          </w14:textFill>
        </w:rPr>
        <w:t>联系电话：</w:t>
      </w:r>
      <w:r>
        <w:rPr>
          <w:rFonts w:hint="eastAsia"/>
          <w:color w:val="000000"/>
          <w:sz w:val="24"/>
          <w:lang w:val="en-US" w:eastAsia="zh-CN"/>
        </w:rPr>
        <w:t>18090373031</w:t>
      </w:r>
    </w:p>
    <w:p>
      <w:pPr>
        <w:pStyle w:val="74"/>
        <w:ind w:firstLine="0" w:firstLineChars="0"/>
        <w:rPr>
          <w:sz w:val="24"/>
        </w:rPr>
      </w:pPr>
      <w:r>
        <w:rPr>
          <w:rFonts w:hint="eastAsia"/>
          <w:b/>
          <w:sz w:val="24"/>
        </w:rPr>
        <w:t>采购代理机构：</w:t>
      </w:r>
      <w:r>
        <w:rPr>
          <w:rFonts w:hint="eastAsia"/>
          <w:sz w:val="24"/>
          <w:u w:val="single"/>
        </w:rPr>
        <w:t>乐山市金口河区政府采购中心</w:t>
      </w:r>
      <w:r>
        <w:rPr>
          <w:sz w:val="24"/>
          <w:u w:val="single"/>
        </w:rPr>
        <w:t xml:space="preserve"> </w:t>
      </w:r>
      <w:r>
        <w:rPr>
          <w:rFonts w:hint="eastAsia"/>
          <w:sz w:val="24"/>
        </w:rPr>
        <w:t xml:space="preserve">                         </w:t>
      </w:r>
    </w:p>
    <w:p>
      <w:pPr>
        <w:pStyle w:val="74"/>
        <w:ind w:firstLine="0" w:firstLineChars="0"/>
        <w:rPr>
          <w:sz w:val="24"/>
        </w:rPr>
      </w:pPr>
      <w:r>
        <w:rPr>
          <w:rFonts w:hint="eastAsia"/>
          <w:sz w:val="24"/>
        </w:rPr>
        <w:t xml:space="preserve">联 系 人： </w:t>
      </w:r>
      <w:r>
        <w:rPr>
          <w:sz w:val="24"/>
        </w:rPr>
        <w:t xml:space="preserve"> </w:t>
      </w:r>
      <w:r>
        <w:rPr>
          <w:rFonts w:hint="eastAsia"/>
          <w:sz w:val="24"/>
        </w:rPr>
        <w:t>李老师</w:t>
      </w:r>
      <w:r>
        <w:rPr>
          <w:sz w:val="24"/>
        </w:rPr>
        <w:t xml:space="preserve">       </w:t>
      </w:r>
    </w:p>
    <w:p>
      <w:pPr>
        <w:pStyle w:val="74"/>
        <w:ind w:firstLine="0" w:firstLineChars="0"/>
        <w:rPr>
          <w:sz w:val="24"/>
        </w:rPr>
      </w:pPr>
      <w:r>
        <w:rPr>
          <w:rFonts w:hint="eastAsia"/>
          <w:sz w:val="24"/>
        </w:rPr>
        <w:t xml:space="preserve">联系电话：  </w:t>
      </w:r>
      <w:r>
        <w:rPr>
          <w:sz w:val="24"/>
        </w:rPr>
        <w:t>0833-</w:t>
      </w:r>
      <w:r>
        <w:rPr>
          <w:rFonts w:hint="eastAsia"/>
          <w:sz w:val="24"/>
          <w:lang w:eastAsia="zh-CN"/>
        </w:rPr>
        <w:t>2713780</w:t>
      </w:r>
      <w:r>
        <w:rPr>
          <w:rFonts w:hint="eastAsia"/>
          <w:sz w:val="24"/>
        </w:rPr>
        <w:t xml:space="preserve">                          </w:t>
      </w:r>
    </w:p>
    <w:p>
      <w:pPr>
        <w:pStyle w:val="38"/>
        <w:spacing w:before="0" w:beforeAutospacing="0" w:after="0" w:afterAutospacing="0" w:line="360" w:lineRule="auto"/>
        <w:rPr>
          <w:rFonts w:ascii="Times New Roman" w:hAnsi="Times New Roman" w:cs="Times New Roman"/>
          <w:kern w:val="2"/>
          <w:sz w:val="24"/>
          <w:szCs w:val="21"/>
        </w:rPr>
      </w:pPr>
      <w:r>
        <w:rPr>
          <w:rFonts w:hint="eastAsia"/>
          <w:sz w:val="24"/>
        </w:rPr>
        <w:t>电子邮件：</w:t>
      </w:r>
      <w:r>
        <w:rPr>
          <w:sz w:val="24"/>
        </w:rPr>
        <w:t xml:space="preserve">  </w:t>
      </w:r>
      <w:r>
        <w:fldChar w:fldCharType="begin"/>
      </w:r>
      <w:r>
        <w:instrText xml:space="preserve"> HYPERLINK "mailto:171711672@qq.com" </w:instrText>
      </w:r>
      <w:r>
        <w:fldChar w:fldCharType="separate"/>
      </w:r>
      <w:r>
        <w:rPr>
          <w:rFonts w:ascii="Times New Roman" w:hAnsi="Times New Roman" w:cs="Times New Roman"/>
          <w:kern w:val="2"/>
          <w:sz w:val="24"/>
          <w:szCs w:val="21"/>
        </w:rPr>
        <w:t>2789551916@qq.com</w:t>
      </w:r>
      <w:r>
        <w:rPr>
          <w:rFonts w:ascii="Times New Roman" w:hAnsi="Times New Roman" w:cs="Times New Roman"/>
          <w:kern w:val="2"/>
          <w:sz w:val="24"/>
          <w:szCs w:val="21"/>
        </w:rPr>
        <w:fldChar w:fldCharType="end"/>
      </w:r>
      <w:r>
        <w:rPr>
          <w:rFonts w:ascii="Times New Roman" w:hAnsi="Times New Roman" w:cs="Times New Roman"/>
          <w:kern w:val="2"/>
          <w:sz w:val="24"/>
          <w:szCs w:val="21"/>
        </w:rPr>
        <w:t xml:space="preserve"> </w:t>
      </w:r>
    </w:p>
    <w:p>
      <w:pPr>
        <w:pStyle w:val="38"/>
        <w:spacing w:before="0" w:beforeAutospacing="0" w:after="0" w:afterAutospacing="0" w:line="400" w:lineRule="exact"/>
        <w:rPr>
          <w:sz w:val="24"/>
        </w:rPr>
      </w:pPr>
    </w:p>
    <w:p>
      <w:pPr>
        <w:pStyle w:val="38"/>
        <w:spacing w:before="0" w:beforeAutospacing="0" w:after="0" w:afterAutospacing="0" w:line="400" w:lineRule="exact"/>
        <w:rPr>
          <w:sz w:val="24"/>
        </w:rPr>
      </w:pPr>
    </w:p>
    <w:p>
      <w:pPr>
        <w:pStyle w:val="38"/>
        <w:spacing w:before="0" w:beforeAutospacing="0" w:after="0" w:afterAutospacing="0" w:line="400" w:lineRule="exact"/>
        <w:rPr>
          <w:sz w:val="24"/>
        </w:rPr>
      </w:pPr>
    </w:p>
    <w:p>
      <w:pPr>
        <w:pStyle w:val="38"/>
        <w:spacing w:before="0" w:beforeAutospacing="0" w:after="0" w:afterAutospacing="0" w:line="400" w:lineRule="exact"/>
        <w:rPr>
          <w:sz w:val="24"/>
        </w:rPr>
      </w:pPr>
    </w:p>
    <w:p>
      <w:pPr>
        <w:pStyle w:val="38"/>
        <w:spacing w:before="0" w:beforeAutospacing="0" w:after="0" w:afterAutospacing="0" w:line="400" w:lineRule="exact"/>
        <w:rPr>
          <w:sz w:val="24"/>
        </w:rPr>
      </w:pPr>
    </w:p>
    <w:p>
      <w:pPr>
        <w:pStyle w:val="38"/>
        <w:spacing w:before="0" w:beforeAutospacing="0" w:after="0" w:afterAutospacing="0" w:line="400" w:lineRule="exact"/>
        <w:rPr>
          <w:sz w:val="24"/>
        </w:rPr>
      </w:pPr>
    </w:p>
    <w:p>
      <w:pPr>
        <w:pStyle w:val="38"/>
        <w:spacing w:before="0" w:beforeAutospacing="0" w:after="0" w:afterAutospacing="0" w:line="400" w:lineRule="exact"/>
        <w:rPr>
          <w:sz w:val="24"/>
        </w:rPr>
      </w:pPr>
    </w:p>
    <w:p>
      <w:pPr>
        <w:pStyle w:val="38"/>
        <w:spacing w:before="0" w:beforeAutospacing="0" w:after="0" w:afterAutospacing="0" w:line="400" w:lineRule="exact"/>
        <w:rPr>
          <w:sz w:val="24"/>
        </w:rPr>
      </w:pPr>
    </w:p>
    <w:p>
      <w:pPr>
        <w:pStyle w:val="38"/>
        <w:spacing w:before="0" w:beforeAutospacing="0" w:after="0" w:afterAutospacing="0" w:line="400" w:lineRule="exact"/>
        <w:rPr>
          <w:sz w:val="24"/>
        </w:rPr>
      </w:pPr>
    </w:p>
    <w:p>
      <w:pPr>
        <w:pStyle w:val="38"/>
        <w:spacing w:before="0" w:beforeAutospacing="0" w:after="0" w:afterAutospacing="0" w:line="400" w:lineRule="exact"/>
        <w:rPr>
          <w:sz w:val="24"/>
        </w:rPr>
      </w:pPr>
    </w:p>
    <w:p>
      <w:pPr>
        <w:pStyle w:val="38"/>
        <w:spacing w:before="0" w:beforeAutospacing="0" w:after="0" w:afterAutospacing="0" w:line="400" w:lineRule="exact"/>
        <w:rPr>
          <w:sz w:val="24"/>
        </w:rPr>
      </w:pPr>
    </w:p>
    <w:p>
      <w:pPr>
        <w:pStyle w:val="38"/>
        <w:spacing w:before="0" w:beforeAutospacing="0" w:after="0" w:afterAutospacing="0" w:line="400" w:lineRule="exact"/>
        <w:rPr>
          <w:sz w:val="24"/>
        </w:rPr>
      </w:pPr>
    </w:p>
    <w:p>
      <w:pPr>
        <w:pStyle w:val="38"/>
        <w:spacing w:before="0" w:beforeAutospacing="0" w:after="0" w:afterAutospacing="0" w:line="400" w:lineRule="exact"/>
        <w:rPr>
          <w:sz w:val="24"/>
        </w:rPr>
      </w:pPr>
    </w:p>
    <w:p>
      <w:pPr>
        <w:pStyle w:val="38"/>
        <w:spacing w:before="0" w:beforeAutospacing="0" w:after="0" w:afterAutospacing="0" w:line="400" w:lineRule="exact"/>
        <w:rPr>
          <w:sz w:val="24"/>
        </w:rPr>
      </w:pPr>
    </w:p>
    <w:p>
      <w:pPr>
        <w:pStyle w:val="38"/>
        <w:spacing w:before="0" w:beforeAutospacing="0" w:after="0" w:afterAutospacing="0" w:line="400" w:lineRule="exact"/>
        <w:rPr>
          <w:sz w:val="24"/>
        </w:rPr>
      </w:pPr>
    </w:p>
    <w:p>
      <w:pPr>
        <w:pStyle w:val="38"/>
        <w:spacing w:before="0" w:beforeAutospacing="0" w:after="0" w:afterAutospacing="0" w:line="400" w:lineRule="exact"/>
        <w:rPr>
          <w:sz w:val="24"/>
        </w:rPr>
      </w:pPr>
    </w:p>
    <w:p>
      <w:pPr>
        <w:pStyle w:val="38"/>
        <w:spacing w:before="0" w:beforeAutospacing="0" w:after="0" w:afterAutospacing="0" w:line="400" w:lineRule="exact"/>
        <w:rPr>
          <w:sz w:val="24"/>
        </w:rPr>
      </w:pPr>
    </w:p>
    <w:p>
      <w:pPr>
        <w:pStyle w:val="38"/>
        <w:spacing w:before="0" w:beforeAutospacing="0" w:after="0" w:afterAutospacing="0" w:line="400" w:lineRule="exact"/>
        <w:rPr>
          <w:sz w:val="24"/>
        </w:rPr>
      </w:pPr>
    </w:p>
    <w:p>
      <w:pPr>
        <w:pStyle w:val="38"/>
        <w:spacing w:before="0" w:beforeAutospacing="0" w:after="0" w:afterAutospacing="0" w:line="400" w:lineRule="exact"/>
        <w:rPr>
          <w:sz w:val="24"/>
        </w:rPr>
      </w:pPr>
    </w:p>
    <w:p>
      <w:pPr>
        <w:pStyle w:val="38"/>
        <w:spacing w:before="0" w:beforeAutospacing="0" w:after="0" w:afterAutospacing="0" w:line="400" w:lineRule="exact"/>
        <w:rPr>
          <w:color w:val="000000" w:themeColor="text1"/>
          <w:sz w:val="24"/>
          <w:szCs w:val="24"/>
          <w14:textFill>
            <w14:solidFill>
              <w14:schemeClr w14:val="tx1"/>
            </w14:solidFill>
          </w14:textFill>
        </w:rPr>
      </w:pPr>
    </w:p>
    <w:p>
      <w:pPr>
        <w:pStyle w:val="74"/>
        <w:ind w:firstLine="0" w:firstLineChars="0"/>
        <w:jc w:val="center"/>
        <w:rPr>
          <w:rFonts w:hint="eastAsia" w:ascii="宋体" w:hAnsi="宋体" w:cs="宋体"/>
          <w:b/>
          <w:bCs/>
          <w:color w:val="000000" w:themeColor="text1"/>
          <w:sz w:val="32"/>
          <w:szCs w:val="32"/>
          <w14:textFill>
            <w14:solidFill>
              <w14:schemeClr w14:val="tx1"/>
            </w14:solidFill>
          </w14:textFill>
        </w:rPr>
      </w:pPr>
      <w:bookmarkStart w:id="13" w:name="_Toc41037903"/>
    </w:p>
    <w:p>
      <w:pPr>
        <w:pStyle w:val="74"/>
        <w:ind w:firstLine="0" w:firstLineChars="0"/>
        <w:jc w:val="center"/>
        <w:rPr>
          <w:rFonts w:hint="eastAsia" w:ascii="宋体" w:hAnsi="宋体" w:cs="宋体"/>
          <w:b/>
          <w:bCs/>
          <w:color w:val="000000" w:themeColor="text1"/>
          <w:sz w:val="32"/>
          <w:szCs w:val="32"/>
          <w14:textFill>
            <w14:solidFill>
              <w14:schemeClr w14:val="tx1"/>
            </w14:solidFill>
          </w14:textFill>
        </w:rPr>
      </w:pPr>
    </w:p>
    <w:p>
      <w:pPr>
        <w:pStyle w:val="74"/>
        <w:ind w:firstLine="0" w:firstLineChars="0"/>
        <w:jc w:val="center"/>
        <w:rPr>
          <w:rFonts w:hint="eastAsia" w:ascii="宋体" w:hAnsi="宋体" w:cs="宋体"/>
          <w:b/>
          <w:bCs/>
          <w:color w:val="000000" w:themeColor="text1"/>
          <w:sz w:val="32"/>
          <w:szCs w:val="32"/>
          <w14:textFill>
            <w14:solidFill>
              <w14:schemeClr w14:val="tx1"/>
            </w14:solidFill>
          </w14:textFill>
        </w:rPr>
      </w:pPr>
    </w:p>
    <w:p>
      <w:pPr>
        <w:pStyle w:val="74"/>
        <w:ind w:firstLine="0" w:firstLineChars="0"/>
        <w:jc w:val="center"/>
        <w:rPr>
          <w:rFonts w:hint="eastAsia" w:ascii="宋体" w:hAnsi="宋体" w:cs="宋体"/>
          <w:b/>
          <w:bCs/>
          <w:color w:val="000000" w:themeColor="text1"/>
          <w:sz w:val="32"/>
          <w:szCs w:val="32"/>
          <w14:textFill>
            <w14:solidFill>
              <w14:schemeClr w14:val="tx1"/>
            </w14:solidFill>
          </w14:textFill>
        </w:rPr>
      </w:pPr>
    </w:p>
    <w:p>
      <w:pPr>
        <w:pStyle w:val="74"/>
        <w:ind w:firstLine="0" w:firstLineChars="0"/>
        <w:jc w:val="center"/>
        <w:rPr>
          <w:rFonts w:hint="eastAsia" w:ascii="宋体" w:hAnsi="宋体" w:cs="宋体"/>
          <w:b/>
          <w:bCs/>
          <w:color w:val="000000" w:themeColor="text1"/>
          <w:sz w:val="32"/>
          <w:szCs w:val="32"/>
          <w14:textFill>
            <w14:solidFill>
              <w14:schemeClr w14:val="tx1"/>
            </w14:solidFill>
          </w14:textFill>
        </w:rPr>
      </w:pPr>
    </w:p>
    <w:p>
      <w:pPr>
        <w:pStyle w:val="74"/>
        <w:ind w:firstLine="0" w:firstLineChars="0"/>
        <w:jc w:val="center"/>
        <w:rPr>
          <w:rFonts w:hint="eastAsia" w:ascii="宋体" w:hAnsi="宋体" w:cs="宋体"/>
          <w:b/>
          <w:bCs/>
          <w:color w:val="000000" w:themeColor="text1"/>
          <w:sz w:val="32"/>
          <w:szCs w:val="32"/>
          <w14:textFill>
            <w14:solidFill>
              <w14:schemeClr w14:val="tx1"/>
            </w14:solidFill>
          </w14:textFill>
        </w:rPr>
      </w:pPr>
    </w:p>
    <w:p>
      <w:pPr>
        <w:pStyle w:val="74"/>
        <w:ind w:firstLine="0" w:firstLineChars="0"/>
        <w:jc w:val="center"/>
        <w:rPr>
          <w:rFonts w:hint="eastAsia" w:ascii="宋体" w:hAnsi="宋体" w:cs="宋体"/>
          <w:b/>
          <w:bCs/>
          <w:color w:val="000000" w:themeColor="text1"/>
          <w:sz w:val="32"/>
          <w:szCs w:val="32"/>
          <w14:textFill>
            <w14:solidFill>
              <w14:schemeClr w14:val="tx1"/>
            </w14:solidFill>
          </w14:textFill>
        </w:rPr>
      </w:pPr>
    </w:p>
    <w:p>
      <w:pPr>
        <w:pStyle w:val="74"/>
        <w:ind w:firstLine="0" w:firstLineChars="0"/>
        <w:jc w:val="center"/>
        <w:rPr>
          <w:rFonts w:ascii="仿宋" w:hAnsi="仿宋" w:eastAsia="仿宋"/>
        </w:rPr>
      </w:pPr>
      <w:r>
        <w:rPr>
          <w:rFonts w:hint="eastAsia" w:ascii="宋体" w:hAnsi="宋体" w:cs="宋体"/>
          <w:b/>
          <w:bCs/>
          <w:color w:val="000000" w:themeColor="text1"/>
          <w:sz w:val="32"/>
          <w:szCs w:val="32"/>
          <w14:textFill>
            <w14:solidFill>
              <w14:schemeClr w14:val="tx1"/>
            </w14:solidFill>
          </w14:textFill>
        </w:rPr>
        <w:t>第二章磋商须知</w:t>
      </w:r>
      <w:bookmarkEnd w:id="4"/>
      <w:bookmarkEnd w:id="5"/>
      <w:bookmarkEnd w:id="6"/>
      <w:bookmarkEnd w:id="7"/>
      <w:bookmarkEnd w:id="8"/>
      <w:bookmarkEnd w:id="9"/>
      <w:bookmarkEnd w:id="13"/>
    </w:p>
    <w:p>
      <w:pPr>
        <w:pStyle w:val="5"/>
        <w:keepNext w:val="0"/>
        <w:keepLines w:val="0"/>
        <w:spacing w:line="240" w:lineRule="auto"/>
        <w:jc w:val="center"/>
        <w:rPr>
          <w:rFonts w:ascii="仿宋" w:hAnsi="仿宋" w:eastAsia="仿宋" w:cs="Times New Roman"/>
        </w:rPr>
      </w:pPr>
      <w:r>
        <w:rPr>
          <w:rFonts w:hint="eastAsia" w:ascii="仿宋" w:hAnsi="仿宋" w:eastAsia="仿宋" w:cs="仿宋"/>
        </w:rPr>
        <w:t>一、供应商须知附表</w:t>
      </w:r>
    </w:p>
    <w:tbl>
      <w:tblPr>
        <w:tblStyle w:val="42"/>
        <w:tblW w:w="9506" w:type="dxa"/>
        <w:jc w:val="center"/>
        <w:tblInd w:w="0" w:type="dxa"/>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
      <w:tblGrid>
        <w:gridCol w:w="1013"/>
        <w:gridCol w:w="2409"/>
        <w:gridCol w:w="6084"/>
      </w:tblGrid>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PrEx>
        <w:trPr>
          <w:trHeight w:val="20" w:hRule="atLeast"/>
          <w:tblHeader/>
          <w:jc w:val="center"/>
        </w:trPr>
        <w:tc>
          <w:tcPr>
            <w:tcW w:w="1013" w:type="dxa"/>
            <w:tcBorders>
              <w:top w:val="single" w:color="auto" w:sz="18" w:space="0"/>
            </w:tcBorders>
            <w:vAlign w:val="center"/>
          </w:tcPr>
          <w:p>
            <w:pPr>
              <w:pStyle w:val="76"/>
              <w:spacing w:line="360" w:lineRule="auto"/>
              <w:ind w:left="9"/>
              <w:jc w:val="center"/>
              <w:rPr>
                <w:color w:val="000000" w:themeColor="text1"/>
                <w:sz w:val="21"/>
                <w:szCs w:val="21"/>
                <w:lang w:val="zh-CN"/>
                <w14:textFill>
                  <w14:solidFill>
                    <w14:schemeClr w14:val="tx1"/>
                  </w14:solidFill>
                </w14:textFill>
              </w:rPr>
            </w:pPr>
            <w:r>
              <w:rPr>
                <w:rFonts w:hint="eastAsia"/>
                <w:color w:val="000000" w:themeColor="text1"/>
                <w:sz w:val="21"/>
                <w:szCs w:val="21"/>
                <w:lang w:val="zh-CN"/>
                <w14:textFill>
                  <w14:solidFill>
                    <w14:schemeClr w14:val="tx1"/>
                  </w14:solidFill>
                </w14:textFill>
              </w:rPr>
              <w:t>序号</w:t>
            </w:r>
          </w:p>
        </w:tc>
        <w:tc>
          <w:tcPr>
            <w:tcW w:w="2409" w:type="dxa"/>
            <w:tcBorders>
              <w:top w:val="single" w:color="auto" w:sz="18" w:space="0"/>
            </w:tcBorders>
            <w:vAlign w:val="center"/>
          </w:tcPr>
          <w:p>
            <w:pPr>
              <w:pStyle w:val="76"/>
              <w:spacing w:line="360" w:lineRule="auto"/>
              <w:ind w:left="38"/>
              <w:jc w:val="center"/>
              <w:rPr>
                <w:color w:val="000000" w:themeColor="text1"/>
                <w:sz w:val="21"/>
                <w:szCs w:val="21"/>
                <w:lang w:val="zh-CN"/>
                <w14:textFill>
                  <w14:solidFill>
                    <w14:schemeClr w14:val="tx1"/>
                  </w14:solidFill>
                </w14:textFill>
              </w:rPr>
            </w:pPr>
            <w:r>
              <w:rPr>
                <w:rFonts w:hint="eastAsia"/>
                <w:color w:val="000000" w:themeColor="text1"/>
                <w:sz w:val="21"/>
                <w:szCs w:val="21"/>
                <w:lang w:val="zh-CN"/>
                <w14:textFill>
                  <w14:solidFill>
                    <w14:schemeClr w14:val="tx1"/>
                  </w14:solidFill>
                </w14:textFill>
              </w:rPr>
              <w:t>应知事项</w:t>
            </w:r>
          </w:p>
        </w:tc>
        <w:tc>
          <w:tcPr>
            <w:tcW w:w="6084" w:type="dxa"/>
            <w:tcBorders>
              <w:top w:val="single" w:color="auto" w:sz="18" w:space="0"/>
            </w:tcBorders>
            <w:vAlign w:val="center"/>
          </w:tcPr>
          <w:p>
            <w:pPr>
              <w:pStyle w:val="76"/>
              <w:spacing w:line="360" w:lineRule="auto"/>
              <w:jc w:val="center"/>
              <w:rPr>
                <w:color w:val="000000" w:themeColor="text1"/>
                <w:sz w:val="21"/>
                <w:szCs w:val="21"/>
                <w:lang w:val="zh-CN"/>
                <w14:textFill>
                  <w14:solidFill>
                    <w14:schemeClr w14:val="tx1"/>
                  </w14:solidFill>
                </w14:textFill>
              </w:rPr>
            </w:pPr>
            <w:r>
              <w:rPr>
                <w:rFonts w:hint="eastAsia"/>
                <w:color w:val="000000" w:themeColor="text1"/>
                <w:sz w:val="21"/>
                <w:szCs w:val="21"/>
                <w:lang w:val="zh-CN"/>
                <w14:textFill>
                  <w14:solidFill>
                    <w14:schemeClr w14:val="tx1"/>
                  </w14:solidFill>
                </w14:textFill>
              </w:rPr>
              <w:t>说明和要求</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93" w:hRule="atLeast"/>
          <w:jc w:val="center"/>
        </w:trPr>
        <w:tc>
          <w:tcPr>
            <w:tcW w:w="1013" w:type="dxa"/>
            <w:tcBorders>
              <w:bottom w:val="single" w:color="auto" w:sz="4" w:space="0"/>
            </w:tcBorders>
            <w:vAlign w:val="center"/>
          </w:tcPr>
          <w:p>
            <w:pPr>
              <w:pStyle w:val="76"/>
              <w:spacing w:line="360" w:lineRule="auto"/>
              <w:ind w:right="230"/>
              <w:jc w:val="center"/>
              <w:rPr>
                <w:color w:val="000000" w:themeColor="text1"/>
                <w:sz w:val="21"/>
                <w:szCs w:val="21"/>
                <w:lang w:val="zh-CN"/>
                <w14:textFill>
                  <w14:solidFill>
                    <w14:schemeClr w14:val="tx1"/>
                  </w14:solidFill>
                </w14:textFill>
              </w:rPr>
            </w:pPr>
            <w:r>
              <w:rPr>
                <w:rFonts w:hint="eastAsia"/>
                <w:color w:val="000000" w:themeColor="text1"/>
                <w:sz w:val="21"/>
                <w:szCs w:val="21"/>
                <w:lang w:val="zh-CN"/>
                <w14:textFill>
                  <w14:solidFill>
                    <w14:schemeClr w14:val="tx1"/>
                  </w14:solidFill>
                </w14:textFill>
              </w:rPr>
              <w:t>1</w:t>
            </w:r>
          </w:p>
        </w:tc>
        <w:tc>
          <w:tcPr>
            <w:tcW w:w="2409" w:type="dxa"/>
            <w:tcBorders>
              <w:bottom w:val="single" w:color="auto" w:sz="4" w:space="0"/>
            </w:tcBorders>
            <w:vAlign w:val="center"/>
          </w:tcPr>
          <w:p>
            <w:pPr>
              <w:pStyle w:val="76"/>
              <w:spacing w:line="360" w:lineRule="auto"/>
              <w:ind w:left="38"/>
              <w:jc w:val="center"/>
              <w:rPr>
                <w:color w:val="000000" w:themeColor="text1"/>
                <w:sz w:val="21"/>
                <w:szCs w:val="21"/>
                <w:lang w:val="zh-CN"/>
                <w14:textFill>
                  <w14:solidFill>
                    <w14:schemeClr w14:val="tx1"/>
                  </w14:solidFill>
                </w14:textFill>
              </w:rPr>
            </w:pPr>
            <w:r>
              <w:rPr>
                <w:rFonts w:hint="eastAsia"/>
                <w:color w:val="000000" w:themeColor="text1"/>
                <w:sz w:val="21"/>
                <w:szCs w:val="21"/>
                <w:lang w:val="zh-CN"/>
                <w14:textFill>
                  <w14:solidFill>
                    <w14:schemeClr w14:val="tx1"/>
                  </w14:solidFill>
                </w14:textFill>
              </w:rPr>
              <w:t>定向采购</w:t>
            </w:r>
          </w:p>
        </w:tc>
        <w:tc>
          <w:tcPr>
            <w:tcW w:w="6084" w:type="dxa"/>
            <w:tcBorders>
              <w:bottom w:val="single" w:color="auto" w:sz="4" w:space="0"/>
            </w:tcBorders>
          </w:tcPr>
          <w:p>
            <w:pPr>
              <w:pStyle w:val="76"/>
              <w:spacing w:line="360" w:lineRule="auto"/>
              <w:ind w:firstLine="420" w:firstLineChars="200"/>
              <w:jc w:val="both"/>
              <w:rPr>
                <w:color w:val="000000" w:themeColor="text1"/>
                <w:sz w:val="21"/>
                <w:szCs w:val="21"/>
                <w:lang w:val="zh-CN"/>
                <w14:textFill>
                  <w14:solidFill>
                    <w14:schemeClr w14:val="tx1"/>
                  </w14:solidFill>
                </w14:textFill>
              </w:rPr>
            </w:pPr>
            <w:r>
              <w:rPr>
                <w:rFonts w:hint="eastAsia"/>
                <w:color w:val="000000" w:themeColor="text1"/>
                <w:sz w:val="21"/>
                <w:szCs w:val="21"/>
                <w:lang w:val="zh-CN"/>
                <w14:textFill>
                  <w14:solidFill>
                    <w14:schemeClr w14:val="tx1"/>
                  </w14:solidFill>
                </w14:textFill>
              </w:rPr>
              <w:t>本项目专门面向中小</w:t>
            </w:r>
            <w:r>
              <w:rPr>
                <w:rFonts w:hint="eastAsia"/>
                <w:color w:val="000000" w:themeColor="text1"/>
                <w:sz w:val="21"/>
                <w:szCs w:val="21"/>
                <w14:textFill>
                  <w14:solidFill>
                    <w14:schemeClr w14:val="tx1"/>
                  </w14:solidFill>
                </w14:textFill>
              </w:rPr>
              <w:t>微</w:t>
            </w:r>
            <w:r>
              <w:rPr>
                <w:rFonts w:hint="eastAsia"/>
                <w:color w:val="000000" w:themeColor="text1"/>
                <w:sz w:val="21"/>
                <w:szCs w:val="21"/>
                <w:lang w:val="zh-CN"/>
                <w14:textFill>
                  <w14:solidFill>
                    <w14:schemeClr w14:val="tx1"/>
                  </w14:solidFill>
                </w14:textFill>
              </w:rPr>
              <w:t>企业采购</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715" w:hRule="atLeast"/>
          <w:jc w:val="center"/>
        </w:trPr>
        <w:tc>
          <w:tcPr>
            <w:tcW w:w="1013" w:type="dxa"/>
            <w:tcBorders>
              <w:top w:val="single" w:color="auto" w:sz="4" w:space="0"/>
            </w:tcBorders>
            <w:vAlign w:val="center"/>
          </w:tcPr>
          <w:p>
            <w:pPr>
              <w:pStyle w:val="76"/>
              <w:spacing w:line="360" w:lineRule="auto"/>
              <w:ind w:right="230"/>
              <w:jc w:val="center"/>
              <w:rPr>
                <w:color w:val="000000" w:themeColor="text1"/>
                <w:sz w:val="21"/>
                <w:szCs w:val="21"/>
                <w:lang w:val="zh-CN"/>
                <w14:textFill>
                  <w14:solidFill>
                    <w14:schemeClr w14:val="tx1"/>
                  </w14:solidFill>
                </w14:textFill>
              </w:rPr>
            </w:pPr>
            <w:r>
              <w:rPr>
                <w:rFonts w:hint="eastAsia"/>
                <w:color w:val="000000" w:themeColor="text1"/>
                <w:sz w:val="21"/>
                <w:szCs w:val="21"/>
                <w:lang w:val="zh-CN"/>
                <w14:textFill>
                  <w14:solidFill>
                    <w14:schemeClr w14:val="tx1"/>
                  </w14:solidFill>
                </w14:textFill>
              </w:rPr>
              <w:t>2</w:t>
            </w:r>
          </w:p>
        </w:tc>
        <w:tc>
          <w:tcPr>
            <w:tcW w:w="2409" w:type="dxa"/>
            <w:tcBorders>
              <w:top w:val="single" w:color="auto" w:sz="4" w:space="0"/>
            </w:tcBorders>
            <w:vAlign w:val="center"/>
          </w:tcPr>
          <w:p>
            <w:pPr>
              <w:pStyle w:val="76"/>
              <w:spacing w:line="360" w:lineRule="auto"/>
              <w:ind w:left="38"/>
              <w:jc w:val="center"/>
              <w:rPr>
                <w:color w:val="000000" w:themeColor="text1"/>
                <w:sz w:val="21"/>
                <w:szCs w:val="21"/>
                <w:lang w:val="zh-CN"/>
                <w14:textFill>
                  <w14:solidFill>
                    <w14:schemeClr w14:val="tx1"/>
                  </w14:solidFill>
                </w14:textFill>
              </w:rPr>
            </w:pPr>
            <w:r>
              <w:rPr>
                <w:rFonts w:hint="eastAsia"/>
                <w:color w:val="000000" w:themeColor="text1"/>
                <w:sz w:val="21"/>
                <w:szCs w:val="21"/>
                <w:lang w:val="zh-CN"/>
                <w14:textFill>
                  <w14:solidFill>
                    <w14:schemeClr w14:val="tx1"/>
                  </w14:solidFill>
                </w14:textFill>
              </w:rPr>
              <w:t>采购预算</w:t>
            </w:r>
          </w:p>
          <w:p>
            <w:pPr>
              <w:pStyle w:val="76"/>
              <w:spacing w:line="360" w:lineRule="auto"/>
              <w:ind w:left="38"/>
              <w:jc w:val="center"/>
              <w:rPr>
                <w:color w:val="000000" w:themeColor="text1"/>
                <w:sz w:val="21"/>
                <w:szCs w:val="21"/>
                <w:lang w:val="zh-CN"/>
                <w14:textFill>
                  <w14:solidFill>
                    <w14:schemeClr w14:val="tx1"/>
                  </w14:solidFill>
                </w14:textFill>
              </w:rPr>
            </w:pPr>
            <w:r>
              <w:rPr>
                <w:rFonts w:hint="eastAsia"/>
                <w:color w:val="000000" w:themeColor="text1"/>
                <w:sz w:val="21"/>
                <w:szCs w:val="21"/>
                <w:lang w:val="zh-CN"/>
                <w14:textFill>
                  <w14:solidFill>
                    <w14:schemeClr w14:val="tx1"/>
                  </w14:solidFill>
                </w14:textFill>
              </w:rPr>
              <w:t>（实质性要求）</w:t>
            </w:r>
          </w:p>
        </w:tc>
        <w:tc>
          <w:tcPr>
            <w:tcW w:w="6084" w:type="dxa"/>
            <w:tcBorders>
              <w:top w:val="single" w:color="auto" w:sz="4" w:space="0"/>
            </w:tcBorders>
            <w:vAlign w:val="center"/>
          </w:tcPr>
          <w:p>
            <w:pPr>
              <w:pStyle w:val="76"/>
              <w:spacing w:line="360" w:lineRule="auto"/>
              <w:ind w:firstLine="480" w:firstLineChars="200"/>
              <w:jc w:val="both"/>
              <w:rPr>
                <w:color w:val="000000" w:themeColor="text1"/>
                <w:sz w:val="21"/>
                <w:szCs w:val="21"/>
                <w:lang w:val="zh-CN"/>
                <w14:textFill>
                  <w14:solidFill>
                    <w14:schemeClr w14:val="tx1"/>
                  </w14:solidFill>
                </w14:textFill>
              </w:rPr>
            </w:pPr>
            <w:r>
              <w:rPr>
                <w:rFonts w:hint="eastAsia" w:ascii="宋体" w:hAnsi="宋体" w:eastAsia="宋体" w:cs="宋体"/>
                <w:sz w:val="24"/>
                <w:u w:val="single"/>
                <w:lang w:val="en-US" w:eastAsia="zh-CN"/>
              </w:rPr>
              <w:t>121.888922</w:t>
            </w:r>
            <w:r>
              <w:rPr>
                <w:rFonts w:hint="eastAsia" w:ascii="Times New Roman" w:hAnsi="Times New Roman"/>
                <w:color w:val="000000"/>
                <w:kern w:val="2"/>
              </w:rPr>
              <w:t>万</w:t>
            </w:r>
            <w:r>
              <w:rPr>
                <w:rFonts w:hint="eastAsia" w:ascii="Times New Roman" w:hAnsi="Times New Roman"/>
                <w:color w:val="000000"/>
                <w:kern w:val="2"/>
                <w:lang w:val="zh-CN"/>
              </w:rPr>
              <w:t>元</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20" w:hRule="atLeast"/>
          <w:jc w:val="center"/>
        </w:trPr>
        <w:tc>
          <w:tcPr>
            <w:tcW w:w="1013" w:type="dxa"/>
            <w:vAlign w:val="center"/>
          </w:tcPr>
          <w:p>
            <w:pPr>
              <w:pStyle w:val="76"/>
              <w:spacing w:line="360" w:lineRule="auto"/>
              <w:ind w:right="230"/>
              <w:jc w:val="center"/>
              <w:rPr>
                <w:color w:val="000000" w:themeColor="text1"/>
                <w:sz w:val="21"/>
                <w:szCs w:val="21"/>
                <w:lang w:val="zh-CN"/>
                <w14:textFill>
                  <w14:solidFill>
                    <w14:schemeClr w14:val="tx1"/>
                  </w14:solidFill>
                </w14:textFill>
              </w:rPr>
            </w:pPr>
            <w:r>
              <w:rPr>
                <w:rFonts w:hint="eastAsia"/>
                <w:color w:val="000000" w:themeColor="text1"/>
                <w:sz w:val="21"/>
                <w:szCs w:val="21"/>
                <w:lang w:val="zh-CN"/>
                <w14:textFill>
                  <w14:solidFill>
                    <w14:schemeClr w14:val="tx1"/>
                  </w14:solidFill>
                </w14:textFill>
              </w:rPr>
              <w:t>3</w:t>
            </w:r>
          </w:p>
        </w:tc>
        <w:tc>
          <w:tcPr>
            <w:tcW w:w="2409" w:type="dxa"/>
            <w:vAlign w:val="center"/>
          </w:tcPr>
          <w:p>
            <w:pPr>
              <w:pStyle w:val="76"/>
              <w:spacing w:line="360" w:lineRule="auto"/>
              <w:ind w:left="38"/>
              <w:jc w:val="center"/>
              <w:rPr>
                <w:color w:val="000000" w:themeColor="text1"/>
                <w:sz w:val="21"/>
                <w:szCs w:val="21"/>
                <w:lang w:val="zh-CN"/>
                <w14:textFill>
                  <w14:solidFill>
                    <w14:schemeClr w14:val="tx1"/>
                  </w14:solidFill>
                </w14:textFill>
              </w:rPr>
            </w:pPr>
            <w:r>
              <w:rPr>
                <w:rFonts w:hint="eastAsia"/>
                <w:color w:val="000000" w:themeColor="text1"/>
                <w:sz w:val="21"/>
                <w:szCs w:val="21"/>
                <w:lang w:val="zh-CN"/>
                <w14:textFill>
                  <w14:solidFill>
                    <w14:schemeClr w14:val="tx1"/>
                  </w14:solidFill>
                </w14:textFill>
              </w:rPr>
              <w:t>最高限价</w:t>
            </w:r>
          </w:p>
          <w:p>
            <w:pPr>
              <w:pStyle w:val="76"/>
              <w:spacing w:line="360" w:lineRule="auto"/>
              <w:ind w:left="38"/>
              <w:jc w:val="center"/>
              <w:rPr>
                <w:color w:val="000000" w:themeColor="text1"/>
                <w:sz w:val="21"/>
                <w:szCs w:val="21"/>
                <w:lang w:val="zh-CN"/>
                <w14:textFill>
                  <w14:solidFill>
                    <w14:schemeClr w14:val="tx1"/>
                  </w14:solidFill>
                </w14:textFill>
              </w:rPr>
            </w:pPr>
            <w:r>
              <w:rPr>
                <w:rFonts w:hint="eastAsia"/>
                <w:color w:val="000000" w:themeColor="text1"/>
                <w:sz w:val="21"/>
                <w:szCs w:val="21"/>
                <w:lang w:val="zh-CN"/>
                <w14:textFill>
                  <w14:solidFill>
                    <w14:schemeClr w14:val="tx1"/>
                  </w14:solidFill>
                </w14:textFill>
              </w:rPr>
              <w:t>（实质性要求）</w:t>
            </w:r>
          </w:p>
        </w:tc>
        <w:tc>
          <w:tcPr>
            <w:tcW w:w="6084" w:type="dxa"/>
            <w:vAlign w:val="center"/>
          </w:tcPr>
          <w:p>
            <w:pPr>
              <w:pStyle w:val="76"/>
              <w:spacing w:line="360" w:lineRule="auto"/>
              <w:ind w:firstLine="480" w:firstLineChars="200"/>
              <w:jc w:val="both"/>
              <w:rPr>
                <w:rFonts w:ascii="Times New Roman" w:hAnsi="Times New Roman"/>
                <w:color w:val="000000"/>
                <w:kern w:val="2"/>
                <w:lang w:val="zh-CN"/>
              </w:rPr>
            </w:pPr>
            <w:bookmarkStart w:id="14" w:name="PO_默认文件内容_8"/>
            <w:r>
              <w:rPr>
                <w:rFonts w:hint="eastAsia" w:cs="宋体"/>
                <w:sz w:val="24"/>
                <w:u w:val="single"/>
                <w:lang w:val="en-US" w:eastAsia="zh-CN"/>
              </w:rPr>
              <w:t>121.888922</w:t>
            </w:r>
            <w:r>
              <w:rPr>
                <w:rFonts w:hint="eastAsia" w:ascii="Times New Roman" w:hAnsi="Times New Roman"/>
                <w:color w:val="000000"/>
                <w:kern w:val="2"/>
              </w:rPr>
              <w:t>万</w:t>
            </w:r>
            <w:r>
              <w:rPr>
                <w:rFonts w:hint="eastAsia" w:ascii="Times New Roman" w:hAnsi="Times New Roman"/>
                <w:color w:val="000000"/>
                <w:kern w:val="2"/>
                <w:lang w:val="zh-CN"/>
              </w:rPr>
              <w:t>元</w:t>
            </w:r>
          </w:p>
          <w:p>
            <w:pPr>
              <w:pStyle w:val="76"/>
              <w:spacing w:line="360" w:lineRule="auto"/>
              <w:ind w:firstLine="420" w:firstLineChars="200"/>
              <w:jc w:val="both"/>
              <w:rPr>
                <w:color w:val="000000" w:themeColor="text1"/>
                <w:sz w:val="21"/>
                <w:szCs w:val="21"/>
                <w:lang w:val="zh-CN"/>
                <w14:textFill>
                  <w14:solidFill>
                    <w14:schemeClr w14:val="tx1"/>
                  </w14:solidFill>
                </w14:textFill>
              </w:rPr>
            </w:pPr>
            <w:r>
              <w:rPr>
                <w:rFonts w:hint="eastAsia"/>
                <w:color w:val="000000" w:themeColor="text1"/>
                <w:sz w:val="21"/>
                <w:szCs w:val="21"/>
                <w:lang w:val="zh-CN"/>
                <w14:textFill>
                  <w14:solidFill>
                    <w14:schemeClr w14:val="tx1"/>
                  </w14:solidFill>
                </w14:textFill>
              </w:rPr>
              <w:t>最后报价超过最高限价,其响应文件按无效处理。</w:t>
            </w:r>
            <w:bookmarkEnd w:id="14"/>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20" w:hRule="atLeast"/>
          <w:jc w:val="center"/>
        </w:trPr>
        <w:tc>
          <w:tcPr>
            <w:tcW w:w="1013" w:type="dxa"/>
            <w:vAlign w:val="center"/>
          </w:tcPr>
          <w:p>
            <w:pPr>
              <w:pStyle w:val="76"/>
              <w:spacing w:line="360" w:lineRule="auto"/>
              <w:ind w:right="230"/>
              <w:jc w:val="center"/>
              <w:rPr>
                <w:color w:val="000000" w:themeColor="text1"/>
                <w:sz w:val="21"/>
                <w:szCs w:val="21"/>
                <w:lang w:val="zh-CN"/>
                <w14:textFill>
                  <w14:solidFill>
                    <w14:schemeClr w14:val="tx1"/>
                  </w14:solidFill>
                </w14:textFill>
              </w:rPr>
            </w:pPr>
            <w:r>
              <w:rPr>
                <w:rFonts w:hint="eastAsia"/>
                <w:color w:val="000000" w:themeColor="text1"/>
                <w:sz w:val="21"/>
                <w:szCs w:val="21"/>
                <w:lang w:val="zh-CN"/>
                <w14:textFill>
                  <w14:solidFill>
                    <w14:schemeClr w14:val="tx1"/>
                  </w14:solidFill>
                </w14:textFill>
              </w:rPr>
              <w:t>4</w:t>
            </w:r>
          </w:p>
        </w:tc>
        <w:tc>
          <w:tcPr>
            <w:tcW w:w="2409" w:type="dxa"/>
            <w:vAlign w:val="center"/>
          </w:tcPr>
          <w:p>
            <w:pPr>
              <w:pStyle w:val="76"/>
              <w:spacing w:line="360" w:lineRule="auto"/>
              <w:ind w:left="38"/>
              <w:jc w:val="center"/>
              <w:rPr>
                <w:color w:val="000000" w:themeColor="text1"/>
                <w:sz w:val="21"/>
                <w:szCs w:val="21"/>
                <w:lang w:val="zh-CN"/>
                <w14:textFill>
                  <w14:solidFill>
                    <w14:schemeClr w14:val="tx1"/>
                  </w14:solidFill>
                </w14:textFill>
              </w:rPr>
            </w:pPr>
            <w:r>
              <w:rPr>
                <w:rFonts w:hint="eastAsia"/>
                <w:color w:val="000000" w:themeColor="text1"/>
                <w:sz w:val="21"/>
                <w:szCs w:val="21"/>
                <w:lang w:val="zh-CN"/>
                <w14:textFill>
                  <w14:solidFill>
                    <w14:schemeClr w14:val="tx1"/>
                  </w14:solidFill>
                </w14:textFill>
              </w:rPr>
              <w:t>本国工程</w:t>
            </w:r>
          </w:p>
          <w:p>
            <w:pPr>
              <w:pStyle w:val="76"/>
              <w:spacing w:line="360" w:lineRule="auto"/>
              <w:ind w:left="38"/>
              <w:jc w:val="center"/>
              <w:rPr>
                <w:color w:val="000000" w:themeColor="text1"/>
                <w:sz w:val="21"/>
                <w:szCs w:val="21"/>
                <w:lang w:val="zh-CN"/>
                <w14:textFill>
                  <w14:solidFill>
                    <w14:schemeClr w14:val="tx1"/>
                  </w14:solidFill>
                </w14:textFill>
              </w:rPr>
            </w:pPr>
            <w:r>
              <w:rPr>
                <w:rFonts w:hint="eastAsia"/>
                <w:color w:val="000000" w:themeColor="text1"/>
                <w:sz w:val="21"/>
                <w:szCs w:val="21"/>
                <w:lang w:val="zh-CN"/>
                <w14:textFill>
                  <w14:solidFill>
                    <w14:schemeClr w14:val="tx1"/>
                  </w14:solidFill>
                </w14:textFill>
              </w:rPr>
              <w:t>（实质性要求）</w:t>
            </w:r>
          </w:p>
        </w:tc>
        <w:tc>
          <w:tcPr>
            <w:tcW w:w="6084" w:type="dxa"/>
            <w:vAlign w:val="center"/>
          </w:tcPr>
          <w:p>
            <w:pPr>
              <w:pStyle w:val="76"/>
              <w:spacing w:line="360" w:lineRule="auto"/>
              <w:ind w:firstLine="420" w:firstLineChars="200"/>
              <w:jc w:val="both"/>
              <w:rPr>
                <w:color w:val="000000" w:themeColor="text1"/>
                <w:sz w:val="21"/>
                <w:szCs w:val="21"/>
                <w:lang w:val="zh-CN"/>
                <w14:textFill>
                  <w14:solidFill>
                    <w14:schemeClr w14:val="tx1"/>
                  </w14:solidFill>
                </w14:textFill>
              </w:rPr>
            </w:pPr>
            <w:bookmarkStart w:id="15" w:name="PO_默认文件内容_10"/>
            <w:r>
              <w:rPr>
                <w:rFonts w:hint="eastAsia"/>
                <w:color w:val="000000" w:themeColor="text1"/>
                <w:sz w:val="21"/>
                <w:szCs w:val="21"/>
                <w14:textFill>
                  <w14:solidFill>
                    <w14:schemeClr w14:val="tx1"/>
                  </w14:solidFill>
                </w14:textFill>
              </w:rPr>
              <w:t>根据《中华人民共和国政府采购法》第十条的规定，本项目采购本国工程。</w:t>
            </w:r>
            <w:bookmarkEnd w:id="15"/>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20" w:hRule="atLeast"/>
          <w:jc w:val="center"/>
        </w:trPr>
        <w:tc>
          <w:tcPr>
            <w:tcW w:w="1013" w:type="dxa"/>
            <w:vAlign w:val="center"/>
          </w:tcPr>
          <w:p>
            <w:pPr>
              <w:pStyle w:val="76"/>
              <w:spacing w:line="360" w:lineRule="auto"/>
              <w:ind w:right="230"/>
              <w:jc w:val="center"/>
              <w:rPr>
                <w:color w:val="000000" w:themeColor="text1"/>
                <w:sz w:val="21"/>
                <w:szCs w:val="21"/>
                <w:lang w:val="zh-CN"/>
                <w14:textFill>
                  <w14:solidFill>
                    <w14:schemeClr w14:val="tx1"/>
                  </w14:solidFill>
                </w14:textFill>
              </w:rPr>
            </w:pPr>
            <w:r>
              <w:rPr>
                <w:rFonts w:hint="eastAsia"/>
                <w:color w:val="000000" w:themeColor="text1"/>
                <w:sz w:val="21"/>
                <w:szCs w:val="21"/>
                <w:lang w:val="zh-CN"/>
                <w14:textFill>
                  <w14:solidFill>
                    <w14:schemeClr w14:val="tx1"/>
                  </w14:solidFill>
                </w14:textFill>
              </w:rPr>
              <w:t>5</w:t>
            </w:r>
          </w:p>
        </w:tc>
        <w:tc>
          <w:tcPr>
            <w:tcW w:w="2409" w:type="dxa"/>
            <w:vAlign w:val="center"/>
          </w:tcPr>
          <w:p>
            <w:pPr>
              <w:pStyle w:val="76"/>
              <w:spacing w:line="360" w:lineRule="auto"/>
              <w:ind w:left="38"/>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低于成本价</w:t>
            </w:r>
          </w:p>
          <w:p>
            <w:pPr>
              <w:pStyle w:val="76"/>
              <w:spacing w:line="360" w:lineRule="auto"/>
              <w:ind w:left="38"/>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不正当竞争预防措施</w:t>
            </w:r>
          </w:p>
          <w:p>
            <w:pPr>
              <w:pStyle w:val="76"/>
              <w:spacing w:line="360" w:lineRule="auto"/>
              <w:ind w:left="38"/>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（实质性要求）</w:t>
            </w:r>
          </w:p>
        </w:tc>
        <w:tc>
          <w:tcPr>
            <w:tcW w:w="6084" w:type="dxa"/>
            <w:vAlign w:val="center"/>
          </w:tcPr>
          <w:p>
            <w:pPr>
              <w:spacing w:line="360" w:lineRule="auto"/>
              <w:ind w:left="105" w:leftChars="50" w:right="105" w:rightChars="50" w:firstLine="420" w:firstLineChars="200"/>
              <w:rPr>
                <w:rFonts w:ascii="宋体" w:hAnsi="宋体" w:cs="宋体"/>
                <w:color w:val="000000" w:themeColor="text1"/>
                <w:kern w:val="0"/>
                <w14:textFill>
                  <w14:solidFill>
                    <w14:schemeClr w14:val="tx1"/>
                  </w14:solidFill>
                </w14:textFill>
              </w:rPr>
            </w:pPr>
            <w:bookmarkStart w:id="16" w:name="PO_默认文件内容_111"/>
            <w:r>
              <w:rPr>
                <w:rFonts w:hint="eastAsia" w:ascii="宋体" w:hAnsi="宋体" w:cs="宋体"/>
                <w:color w:val="000000" w:themeColor="text1"/>
                <w:kern w:val="0"/>
                <w14:textFill>
                  <w14:solidFill>
                    <w14:schemeClr w14:val="tx1"/>
                  </w14:solidFill>
                </w14:textFill>
              </w:rPr>
              <w:t>1、供应商报价低于采购预算85%或者低于其他有效供应商报价算术平均价90%，有可能影响工程质量或者不能诚信履约的，应当要求其在评审现场合理的时间内提供书面说明，必要时提交相关证明材料；供应商不能证明其报价合理性的，磋商小组应当将其</w:t>
            </w:r>
            <w:r>
              <w:rPr>
                <w:rFonts w:hint="eastAsia" w:ascii="宋体" w:hAnsi="宋体" w:cs="宋体"/>
                <w:color w:val="000000" w:themeColor="text1"/>
                <w14:textFill>
                  <w14:solidFill>
                    <w14:schemeClr w14:val="tx1"/>
                  </w14:solidFill>
                </w14:textFill>
              </w:rPr>
              <w:t>响应文件作为无效处理</w:t>
            </w:r>
            <w:r>
              <w:rPr>
                <w:rFonts w:hint="eastAsia" w:ascii="宋体" w:hAnsi="宋体" w:cs="宋体"/>
                <w:color w:val="000000" w:themeColor="text1"/>
                <w:kern w:val="0"/>
                <w14:textFill>
                  <w14:solidFill>
                    <w14:schemeClr w14:val="tx1"/>
                  </w14:solidFill>
                </w14:textFill>
              </w:rPr>
              <w:t>。供应商的书面说明材料应当按照国家财务会计制度的规定要求，逐项就供应商提供的工程及其有关的货物、服务的主营业务成本、税金及附加、销售费用、管理费用、财务费用等成本构成事项详细陈述。</w:t>
            </w:r>
            <w:bookmarkEnd w:id="16"/>
          </w:p>
          <w:p>
            <w:pPr>
              <w:spacing w:line="360" w:lineRule="auto"/>
              <w:ind w:left="105" w:leftChars="50" w:right="105" w:rightChars="50" w:firstLine="420" w:firstLineChars="2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2、供应商书面说明应当签字确认或者加盖公章，否则无效。书面说明应由其法定代表人/主要负责人或者其授权代表签字确认。</w:t>
            </w:r>
          </w:p>
          <w:p>
            <w:pPr>
              <w:spacing w:line="360" w:lineRule="auto"/>
              <w:ind w:left="105" w:leftChars="50" w:right="105" w:rightChars="50" w:firstLine="420" w:firstLineChars="2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3、供应商提供书面说明后，磋商小组应当结合采购项目采购需求、专业实际情况、供应商财务状况报告、与其他供应商比较情况等就供应商书面说明进行审查评价。供应商拒绝或者变相拒绝提供有效书面说明或者书面说明不能证明其报价合理性的或未在规定时间内递交有效书面说明书的，磋商小组应当将其响应文件作为无效处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20" w:hRule="atLeast"/>
          <w:jc w:val="center"/>
        </w:trPr>
        <w:tc>
          <w:tcPr>
            <w:tcW w:w="1013" w:type="dxa"/>
            <w:vAlign w:val="center"/>
          </w:tcPr>
          <w:p>
            <w:pPr>
              <w:pStyle w:val="76"/>
              <w:spacing w:line="360" w:lineRule="auto"/>
              <w:ind w:right="230"/>
              <w:jc w:val="center"/>
              <w:rPr>
                <w:color w:val="000000" w:themeColor="text1"/>
                <w:sz w:val="21"/>
                <w:szCs w:val="21"/>
                <w:lang w:val="zh-CN"/>
                <w14:textFill>
                  <w14:solidFill>
                    <w14:schemeClr w14:val="tx1"/>
                  </w14:solidFill>
                </w14:textFill>
              </w:rPr>
            </w:pPr>
            <w:r>
              <w:rPr>
                <w:rFonts w:hint="eastAsia"/>
                <w:color w:val="000000" w:themeColor="text1"/>
                <w:sz w:val="21"/>
                <w:szCs w:val="21"/>
                <w:lang w:val="zh-CN"/>
                <w14:textFill>
                  <w14:solidFill>
                    <w14:schemeClr w14:val="tx1"/>
                  </w14:solidFill>
                </w14:textFill>
              </w:rPr>
              <w:t>6</w:t>
            </w:r>
          </w:p>
          <w:p>
            <w:pPr>
              <w:pStyle w:val="76"/>
              <w:spacing w:line="360" w:lineRule="auto"/>
              <w:ind w:right="230"/>
              <w:jc w:val="center"/>
              <w:rPr>
                <w:color w:val="000000" w:themeColor="text1"/>
                <w:sz w:val="21"/>
                <w:szCs w:val="21"/>
                <w:lang w:val="zh-CN"/>
                <w14:textFill>
                  <w14:solidFill>
                    <w14:schemeClr w14:val="tx1"/>
                  </w14:solidFill>
                </w14:textFill>
              </w:rPr>
            </w:pPr>
          </w:p>
        </w:tc>
        <w:tc>
          <w:tcPr>
            <w:tcW w:w="2409" w:type="dxa"/>
            <w:vAlign w:val="center"/>
          </w:tcPr>
          <w:p>
            <w:pPr>
              <w:pStyle w:val="76"/>
              <w:spacing w:line="360" w:lineRule="auto"/>
              <w:ind w:left="38"/>
              <w:jc w:val="center"/>
              <w:rPr>
                <w:color w:val="000000" w:themeColor="text1"/>
                <w:sz w:val="21"/>
                <w:szCs w:val="21"/>
                <w:lang w:val="zh-CN"/>
                <w14:textFill>
                  <w14:solidFill>
                    <w14:schemeClr w14:val="tx1"/>
                  </w14:solidFill>
                </w14:textFill>
              </w:rPr>
            </w:pPr>
            <w:r>
              <w:rPr>
                <w:rFonts w:hint="eastAsia"/>
                <w:color w:val="000000" w:themeColor="text1"/>
                <w:sz w:val="21"/>
                <w:szCs w:val="21"/>
                <w:lang w:val="zh-CN"/>
                <w14:textFill>
                  <w14:solidFill>
                    <w14:schemeClr w14:val="tx1"/>
                  </w14:solidFill>
                </w14:textFill>
              </w:rPr>
              <w:t>小微企业（监狱企业、残疾人福利性单位视同小微企业）价格扣除和</w:t>
            </w:r>
          </w:p>
          <w:p>
            <w:pPr>
              <w:pStyle w:val="76"/>
              <w:spacing w:line="360" w:lineRule="auto"/>
              <w:ind w:left="38"/>
              <w:jc w:val="center"/>
              <w:rPr>
                <w:color w:val="000000" w:themeColor="text1"/>
                <w:sz w:val="21"/>
                <w:szCs w:val="21"/>
                <w:lang w:val="zh-CN"/>
                <w14:textFill>
                  <w14:solidFill>
                    <w14:schemeClr w14:val="tx1"/>
                  </w14:solidFill>
                </w14:textFill>
              </w:rPr>
            </w:pPr>
            <w:r>
              <w:rPr>
                <w:rFonts w:hint="eastAsia"/>
                <w:color w:val="000000" w:themeColor="text1"/>
                <w:sz w:val="21"/>
                <w:szCs w:val="21"/>
                <w:lang w:val="zh-CN"/>
                <w14:textFill>
                  <w14:solidFill>
                    <w14:schemeClr w14:val="tx1"/>
                  </w14:solidFill>
                </w14:textFill>
              </w:rPr>
              <w:t>失信企业报价加成</w:t>
            </w:r>
          </w:p>
          <w:p>
            <w:pPr>
              <w:pStyle w:val="76"/>
              <w:spacing w:line="360" w:lineRule="auto"/>
              <w:ind w:left="38"/>
              <w:jc w:val="center"/>
              <w:rPr>
                <w:color w:val="000000" w:themeColor="text1"/>
                <w:sz w:val="21"/>
                <w:szCs w:val="21"/>
                <w:lang w:val="zh-CN"/>
                <w14:textFill>
                  <w14:solidFill>
                    <w14:schemeClr w14:val="tx1"/>
                  </w14:solidFill>
                </w14:textFill>
              </w:rPr>
            </w:pPr>
            <w:r>
              <w:rPr>
                <w:rFonts w:hint="eastAsia"/>
                <w:color w:val="000000" w:themeColor="text1"/>
                <w:sz w:val="21"/>
                <w:szCs w:val="21"/>
                <w:lang w:val="zh-CN"/>
                <w14:textFill>
                  <w14:solidFill>
                    <w14:schemeClr w14:val="tx1"/>
                  </w14:solidFill>
                </w14:textFill>
              </w:rPr>
              <w:t>或者扣分</w:t>
            </w:r>
          </w:p>
          <w:p>
            <w:pPr>
              <w:pStyle w:val="76"/>
              <w:spacing w:line="360" w:lineRule="auto"/>
              <w:ind w:left="38"/>
              <w:jc w:val="center"/>
              <w:rPr>
                <w:color w:val="000000" w:themeColor="text1"/>
                <w:sz w:val="21"/>
                <w:szCs w:val="21"/>
                <w:lang w:val="zh-CN"/>
                <w14:textFill>
                  <w14:solidFill>
                    <w14:schemeClr w14:val="tx1"/>
                  </w14:solidFill>
                </w14:textFill>
              </w:rPr>
            </w:pPr>
          </w:p>
        </w:tc>
        <w:tc>
          <w:tcPr>
            <w:tcW w:w="6084" w:type="dxa"/>
          </w:tcPr>
          <w:p>
            <w:pPr>
              <w:spacing w:line="360" w:lineRule="auto"/>
              <w:ind w:right="105" w:rightChars="50" w:firstLine="210" w:firstLineChars="100"/>
              <w:rPr>
                <w:rFonts w:cs="仿宋" w:asciiTheme="minorEastAsia" w:hAnsiTheme="minorEastAsia" w:eastAsiaTheme="minorEastAsia"/>
              </w:rPr>
            </w:pPr>
            <w:bookmarkStart w:id="17" w:name="PO_默认文件内容_13"/>
            <w:r>
              <w:rPr>
                <w:rFonts w:hint="eastAsia" w:cs="仿宋" w:asciiTheme="minorEastAsia" w:hAnsiTheme="minorEastAsia" w:eastAsiaTheme="minorEastAsia"/>
              </w:rPr>
              <w:t>一、</w:t>
            </w:r>
            <w:r>
              <w:rPr>
                <w:rFonts w:hint="eastAsia" w:cs="仿宋" w:asciiTheme="minorEastAsia" w:hAnsiTheme="minorEastAsia" w:eastAsiaTheme="minorEastAsia"/>
                <w:lang w:val="zh-CN"/>
              </w:rPr>
              <w:t>本项目专门面向中小企业采购，</w:t>
            </w:r>
            <w:r>
              <w:rPr>
                <w:rFonts w:hint="eastAsia" w:cs="仿宋" w:asciiTheme="minorEastAsia" w:hAnsiTheme="minorEastAsia" w:eastAsiaTheme="minorEastAsia"/>
              </w:rPr>
              <w:t>不享受价格扣除。</w:t>
            </w:r>
          </w:p>
          <w:p>
            <w:pPr>
              <w:pStyle w:val="2"/>
              <w:ind w:firstLine="210" w:firstLineChars="100"/>
            </w:pPr>
            <w:r>
              <w:rPr>
                <w:rFonts w:hint="eastAsia"/>
              </w:rPr>
              <w:t>二、失信企业报价加成或者扣分</w:t>
            </w:r>
            <w:r>
              <w:rPr>
                <w:rFonts w:hint="eastAsia"/>
                <w:lang w:val="zh-CN"/>
              </w:rPr>
              <w:t>（实质性要求）</w:t>
            </w:r>
          </w:p>
          <w:p>
            <w:pPr>
              <w:pStyle w:val="2"/>
              <w:spacing w:line="360" w:lineRule="auto"/>
              <w:ind w:firstLine="210" w:firstLineChars="100"/>
            </w:pPr>
            <w:r>
              <w:t>1.</w:t>
            </w:r>
            <w:r>
              <w:rPr>
                <w:rFonts w:hint="eastAsia"/>
              </w:rPr>
              <w:t>对记入诚信档案且在有效期内的失信供应商，参加政府采购活动按照</w:t>
            </w:r>
            <w:r>
              <w:t>10%</w:t>
            </w:r>
            <w:r>
              <w:rPr>
                <w:rFonts w:hint="eastAsia"/>
              </w:rPr>
              <w:t>的报价加成，以加成后报价作为该供应商报价参与评审。供应商失信行为惩戒实行无限制累加制，因其失信行为进行报价加成惩戒后报价超过政府采购预算的，其响应文件按照无效处理。</w:t>
            </w:r>
          </w:p>
          <w:p>
            <w:pPr>
              <w:pStyle w:val="2"/>
              <w:spacing w:line="360" w:lineRule="auto"/>
              <w:ind w:firstLine="210" w:firstLineChars="100"/>
              <w:rPr>
                <w:rFonts w:ascii="宋体" w:hAnsi="宋体" w:cs="宋体"/>
                <w:color w:val="000000" w:themeColor="text1"/>
                <w14:textFill>
                  <w14:solidFill>
                    <w14:schemeClr w14:val="tx1"/>
                  </w14:solidFill>
                </w14:textFill>
              </w:rPr>
            </w:pPr>
            <w:r>
              <w:t>2.</w:t>
            </w:r>
            <w:r>
              <w:rPr>
                <w:rFonts w:hint="eastAsia"/>
              </w:rPr>
              <w:t>供应商参加政府采购活动时，应当就自己的诚信情况在响应文件中进行承诺。</w:t>
            </w:r>
            <w:bookmarkEnd w:id="17"/>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20" w:hRule="atLeast"/>
          <w:jc w:val="center"/>
        </w:trPr>
        <w:tc>
          <w:tcPr>
            <w:tcW w:w="1013" w:type="dxa"/>
            <w:vAlign w:val="center"/>
          </w:tcPr>
          <w:p>
            <w:pPr>
              <w:pStyle w:val="76"/>
              <w:spacing w:line="360" w:lineRule="auto"/>
              <w:ind w:right="230"/>
              <w:jc w:val="center"/>
              <w:rPr>
                <w:color w:val="000000" w:themeColor="text1"/>
                <w:sz w:val="21"/>
                <w:szCs w:val="21"/>
                <w:lang w:val="zh-CN"/>
                <w14:textFill>
                  <w14:solidFill>
                    <w14:schemeClr w14:val="tx1"/>
                  </w14:solidFill>
                </w14:textFill>
              </w:rPr>
            </w:pPr>
            <w:r>
              <w:rPr>
                <w:rFonts w:hint="eastAsia"/>
                <w:color w:val="000000" w:themeColor="text1"/>
                <w:sz w:val="21"/>
                <w:szCs w:val="21"/>
                <w:lang w:val="zh-CN"/>
                <w14:textFill>
                  <w14:solidFill>
                    <w14:schemeClr w14:val="tx1"/>
                  </w14:solidFill>
                </w14:textFill>
              </w:rPr>
              <w:t>7</w:t>
            </w:r>
          </w:p>
        </w:tc>
        <w:tc>
          <w:tcPr>
            <w:tcW w:w="2409" w:type="dxa"/>
            <w:vAlign w:val="center"/>
          </w:tcPr>
          <w:p>
            <w:pPr>
              <w:pStyle w:val="76"/>
              <w:spacing w:line="360" w:lineRule="auto"/>
              <w:ind w:left="38"/>
              <w:jc w:val="center"/>
              <w:rPr>
                <w:color w:val="000000" w:themeColor="text1"/>
                <w:sz w:val="21"/>
                <w:szCs w:val="21"/>
                <w:lang w:val="zh-CN"/>
                <w14:textFill>
                  <w14:solidFill>
                    <w14:schemeClr w14:val="tx1"/>
                  </w14:solidFill>
                </w14:textFill>
              </w:rPr>
            </w:pPr>
            <w:r>
              <w:rPr>
                <w:rFonts w:hint="eastAsia"/>
                <w:color w:val="000000" w:themeColor="text1"/>
                <w:kern w:val="2"/>
                <w:sz w:val="21"/>
                <w:szCs w:val="21"/>
                <w14:textFill>
                  <w14:solidFill>
                    <w14:schemeClr w14:val="tx1"/>
                  </w14:solidFill>
                </w14:textFill>
              </w:rPr>
              <w:t>节能、环保及无线局域网产品政府采购政策</w:t>
            </w:r>
          </w:p>
        </w:tc>
        <w:tc>
          <w:tcPr>
            <w:tcW w:w="6084" w:type="dxa"/>
            <w:vAlign w:val="center"/>
          </w:tcPr>
          <w:p>
            <w:pPr>
              <w:spacing w:line="340" w:lineRule="exact"/>
              <w:ind w:right="105" w:rightChars="50"/>
              <w:rPr>
                <w:rFonts w:ascii="宋体" w:hAnsi="宋体" w:cs="宋体"/>
                <w:b/>
                <w:bCs/>
                <w:color w:val="000000" w:themeColor="text1"/>
                <w14:textFill>
                  <w14:solidFill>
                    <w14:schemeClr w14:val="tx1"/>
                  </w14:solidFill>
                </w14:textFill>
              </w:rPr>
            </w:pPr>
            <w:r>
              <w:rPr>
                <w:rFonts w:hint="eastAsia" w:ascii="宋体" w:hAnsi="宋体" w:cs="宋体"/>
                <w:b/>
                <w:bCs/>
                <w:color w:val="000000" w:themeColor="text1"/>
                <w14:textFill>
                  <w14:solidFill>
                    <w14:schemeClr w14:val="tx1"/>
                  </w14:solidFill>
                </w14:textFill>
              </w:rPr>
              <w:t>一、节能、环保产品政府采购政策：</w:t>
            </w:r>
          </w:p>
          <w:p>
            <w:pPr>
              <w:spacing w:line="340" w:lineRule="exact"/>
              <w:ind w:right="105" w:rightChars="50" w:firstLine="420" w:firstLineChars="2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根据《财政部发展改革委生态环境部市场监管总局关于调整优化节能产品、环境标志产品政府采购执行机制的通知》（财库〔2019〕9号）相关要求，依据品目清单和认证证书实施政府优先采购和强制采购。本项目采购的产品属于品目清单范围的，依据国家确定的认证机构出具的、处于有效期之内的节能产品、环境标志产品认证信息，对通过认证的产品实施政府优先采购或强制采购。</w:t>
            </w:r>
          </w:p>
          <w:p>
            <w:pPr>
              <w:spacing w:line="340" w:lineRule="exact"/>
              <w:ind w:right="105" w:rightChars="50" w:firstLine="420" w:firstLineChars="2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本项目采购的产品属于品目清单强制采购范围的，供应商应当在响应文件中提供国家确定的认证机构的认证结果信息发布平台公布的该产品认证信息截图或者打印资料并加盖供应商公章（鲜章），否则其响应文件按无效处理。</w:t>
            </w:r>
            <w:r>
              <w:rPr>
                <w:rFonts w:hint="eastAsia" w:ascii="宋体" w:hAnsi="宋体" w:cs="宋体"/>
                <w:b/>
                <w:bCs/>
                <w:color w:val="000000" w:themeColor="text1"/>
                <w14:textFill>
                  <w14:solidFill>
                    <w14:schemeClr w14:val="tx1"/>
                  </w14:solidFill>
                </w14:textFill>
              </w:rPr>
              <w:t>（实质性要求）</w:t>
            </w:r>
          </w:p>
          <w:p>
            <w:pPr>
              <w:spacing w:line="340" w:lineRule="exact"/>
              <w:ind w:right="105" w:rightChars="50" w:firstLine="420" w:firstLineChars="2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本项目采购的产品属于品目清单优先采购范围的，按照第六章《综合评分明细表》的规则进行加分。</w:t>
            </w:r>
          </w:p>
          <w:p>
            <w:pPr>
              <w:spacing w:line="340" w:lineRule="exact"/>
              <w:ind w:right="105" w:rightChars="50" w:firstLine="420" w:firstLineChars="2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注：对政府采购节能产品、环境标志产品实施品目清单管理。财政部、发展改革委、生态环境部等部门确定实施政府优先采购和强制采购的产品类别，以品目清单的形式发布并适时调整。</w:t>
            </w:r>
          </w:p>
          <w:p>
            <w:pPr>
              <w:spacing w:line="340" w:lineRule="exact"/>
              <w:ind w:right="105" w:rightChars="50" w:firstLine="422" w:firstLineChars="200"/>
              <w:rPr>
                <w:rFonts w:ascii="宋体" w:hAnsi="宋体" w:cs="宋体"/>
                <w:b/>
                <w:bCs/>
                <w:color w:val="000000" w:themeColor="text1"/>
                <w14:textFill>
                  <w14:solidFill>
                    <w14:schemeClr w14:val="tx1"/>
                  </w14:solidFill>
                </w14:textFill>
              </w:rPr>
            </w:pPr>
            <w:r>
              <w:rPr>
                <w:rFonts w:hint="eastAsia" w:ascii="宋体" w:hAnsi="宋体" w:cs="宋体"/>
                <w:b/>
                <w:bCs/>
                <w:color w:val="000000" w:themeColor="text1"/>
                <w14:textFill>
                  <w14:solidFill>
                    <w14:schemeClr w14:val="tx1"/>
                  </w14:solidFill>
                </w14:textFill>
              </w:rPr>
              <w:t>二、无线局域网产品政府采购政策：</w:t>
            </w:r>
          </w:p>
          <w:p>
            <w:pPr>
              <w:spacing w:line="340" w:lineRule="exact"/>
              <w:ind w:right="105" w:rightChars="50" w:firstLine="420" w:firstLineChars="200"/>
              <w:rPr>
                <w:rFonts w:ascii="宋体" w:hAnsi="宋体" w:cs="宋体"/>
                <w:color w:val="000000" w:themeColor="text1"/>
                <w:lang w:val="zh-CN"/>
                <w14:textFill>
                  <w14:solidFill>
                    <w14:schemeClr w14:val="tx1"/>
                  </w14:solidFill>
                </w14:textFill>
              </w:rPr>
            </w:pPr>
            <w:r>
              <w:rPr>
                <w:rFonts w:hint="eastAsia" w:ascii="宋体" w:hAnsi="宋体" w:cs="宋体"/>
                <w:color w:val="000000" w:themeColor="text1"/>
                <w14:textFill>
                  <w14:solidFill>
                    <w14:schemeClr w14:val="tx1"/>
                  </w14:solidFill>
                </w14:textFill>
              </w:rPr>
              <w:t>本项目采购的产品属于中国政府采购网公布的《无线局域网认证产品政府采购清单》且在有效期内的，按照第六章《综合评分明细表》的规则进行加分。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20" w:hRule="atLeast"/>
          <w:jc w:val="center"/>
        </w:trPr>
        <w:tc>
          <w:tcPr>
            <w:tcW w:w="1013" w:type="dxa"/>
            <w:vAlign w:val="center"/>
          </w:tcPr>
          <w:p>
            <w:pPr>
              <w:pStyle w:val="76"/>
              <w:spacing w:line="360" w:lineRule="auto"/>
              <w:ind w:right="230"/>
              <w:jc w:val="center"/>
              <w:rPr>
                <w:color w:val="000000" w:themeColor="text1"/>
                <w:sz w:val="21"/>
                <w:szCs w:val="21"/>
                <w:lang w:val="zh-CN"/>
                <w14:textFill>
                  <w14:solidFill>
                    <w14:schemeClr w14:val="tx1"/>
                  </w14:solidFill>
                </w14:textFill>
              </w:rPr>
            </w:pPr>
            <w:r>
              <w:rPr>
                <w:rFonts w:hint="eastAsia"/>
                <w:color w:val="000000" w:themeColor="text1"/>
                <w:sz w:val="21"/>
                <w:szCs w:val="21"/>
                <w:lang w:val="zh-CN"/>
                <w14:textFill>
                  <w14:solidFill>
                    <w14:schemeClr w14:val="tx1"/>
                  </w14:solidFill>
                </w14:textFill>
              </w:rPr>
              <w:t>8</w:t>
            </w:r>
          </w:p>
        </w:tc>
        <w:tc>
          <w:tcPr>
            <w:tcW w:w="2409" w:type="dxa"/>
            <w:vAlign w:val="center"/>
          </w:tcPr>
          <w:p>
            <w:pPr>
              <w:pStyle w:val="76"/>
              <w:spacing w:line="360" w:lineRule="auto"/>
              <w:ind w:left="38"/>
              <w:jc w:val="center"/>
              <w:rPr>
                <w:color w:val="000000" w:themeColor="text1"/>
                <w:sz w:val="21"/>
                <w:szCs w:val="21"/>
                <w:lang w:val="zh-CN"/>
                <w14:textFill>
                  <w14:solidFill>
                    <w14:schemeClr w14:val="tx1"/>
                  </w14:solidFill>
                </w14:textFill>
              </w:rPr>
            </w:pPr>
            <w:r>
              <w:rPr>
                <w:rFonts w:hint="eastAsia"/>
                <w:color w:val="000000" w:themeColor="text1"/>
                <w:sz w:val="21"/>
                <w:szCs w:val="21"/>
                <w:lang w:val="zh-CN"/>
                <w14:textFill>
                  <w14:solidFill>
                    <w14:schemeClr w14:val="tx1"/>
                  </w14:solidFill>
                </w14:textFill>
              </w:rPr>
              <w:t>磋商情况公告</w:t>
            </w:r>
          </w:p>
        </w:tc>
        <w:tc>
          <w:tcPr>
            <w:tcW w:w="6084" w:type="dxa"/>
            <w:vAlign w:val="center"/>
          </w:tcPr>
          <w:p>
            <w:pPr>
              <w:pStyle w:val="76"/>
              <w:spacing w:line="360" w:lineRule="auto"/>
              <w:ind w:firstLine="420" w:firstLineChars="200"/>
              <w:jc w:val="both"/>
              <w:rPr>
                <w:color w:val="000000" w:themeColor="text1"/>
                <w:sz w:val="21"/>
                <w:szCs w:val="21"/>
                <w:lang w:val="zh-CN"/>
                <w14:textFill>
                  <w14:solidFill>
                    <w14:schemeClr w14:val="tx1"/>
                  </w14:solidFill>
                </w14:textFill>
              </w:rPr>
            </w:pPr>
            <w:bookmarkStart w:id="18" w:name="PO_默认文件内容_15"/>
            <w:r>
              <w:rPr>
                <w:rFonts w:hint="eastAsia"/>
                <w:color w:val="000000" w:themeColor="text1"/>
                <w:sz w:val="21"/>
                <w:szCs w:val="21"/>
                <w:lang w:val="zh-CN"/>
                <w14:textFill>
                  <w14:solidFill>
                    <w14:schemeClr w14:val="tx1"/>
                  </w14:solidFill>
                </w14:textFill>
              </w:rPr>
              <w:t>供应商</w:t>
            </w:r>
            <w:r>
              <w:rPr>
                <w:rFonts w:hint="eastAsia"/>
                <w:color w:val="000000" w:themeColor="text1"/>
                <w:sz w:val="21"/>
                <w:szCs w:val="21"/>
                <w14:textFill>
                  <w14:solidFill>
                    <w14:schemeClr w14:val="tx1"/>
                  </w14:solidFill>
                </w14:textFill>
              </w:rPr>
              <w:t>随机抽取</w:t>
            </w:r>
            <w:r>
              <w:rPr>
                <w:rFonts w:hint="eastAsia"/>
                <w:color w:val="000000" w:themeColor="text1"/>
                <w:sz w:val="21"/>
                <w:szCs w:val="21"/>
                <w:lang w:val="zh-CN"/>
                <w14:textFill>
                  <w14:solidFill>
                    <w14:schemeClr w14:val="tx1"/>
                  </w14:solidFill>
                </w14:textFill>
              </w:rPr>
              <w:t>情况、磋商情况、报价情况、磋商结果等在四川政府采购网上采购结果公告栏中予以公告。</w:t>
            </w:r>
            <w:bookmarkEnd w:id="18"/>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20" w:hRule="atLeast"/>
          <w:jc w:val="center"/>
        </w:trPr>
        <w:tc>
          <w:tcPr>
            <w:tcW w:w="1013" w:type="dxa"/>
            <w:vAlign w:val="center"/>
          </w:tcPr>
          <w:p>
            <w:pPr>
              <w:pStyle w:val="76"/>
              <w:spacing w:line="360" w:lineRule="auto"/>
              <w:ind w:right="230"/>
              <w:jc w:val="center"/>
              <w:rPr>
                <w:color w:val="000000" w:themeColor="text1"/>
                <w:sz w:val="21"/>
                <w:szCs w:val="21"/>
                <w:lang w:val="zh-CN"/>
                <w14:textFill>
                  <w14:solidFill>
                    <w14:schemeClr w14:val="tx1"/>
                  </w14:solidFill>
                </w14:textFill>
              </w:rPr>
            </w:pPr>
            <w:r>
              <w:rPr>
                <w:rFonts w:hint="eastAsia"/>
                <w:color w:val="000000" w:themeColor="text1"/>
                <w:sz w:val="21"/>
                <w:szCs w:val="21"/>
                <w:lang w:val="zh-CN"/>
                <w14:textFill>
                  <w14:solidFill>
                    <w14:schemeClr w14:val="tx1"/>
                  </w14:solidFill>
                </w14:textFill>
              </w:rPr>
              <w:t>9</w:t>
            </w:r>
          </w:p>
        </w:tc>
        <w:tc>
          <w:tcPr>
            <w:tcW w:w="2409" w:type="dxa"/>
            <w:vAlign w:val="center"/>
          </w:tcPr>
          <w:p>
            <w:pPr>
              <w:pStyle w:val="76"/>
              <w:spacing w:line="360" w:lineRule="auto"/>
              <w:ind w:left="38"/>
              <w:jc w:val="center"/>
              <w:rPr>
                <w:color w:val="000000" w:themeColor="text1"/>
                <w:sz w:val="21"/>
                <w:szCs w:val="21"/>
                <w:lang w:val="zh-CN"/>
                <w14:textFill>
                  <w14:solidFill>
                    <w14:schemeClr w14:val="tx1"/>
                  </w14:solidFill>
                </w14:textFill>
              </w:rPr>
            </w:pPr>
            <w:r>
              <w:rPr>
                <w:rFonts w:hint="eastAsia"/>
                <w:color w:val="000000" w:themeColor="text1"/>
                <w:sz w:val="21"/>
                <w:szCs w:val="21"/>
                <w:lang w:val="zh-CN"/>
                <w14:textFill>
                  <w14:solidFill>
                    <w14:schemeClr w14:val="tx1"/>
                  </w14:solidFill>
                </w14:textFill>
              </w:rPr>
              <w:t>履约保证金</w:t>
            </w:r>
          </w:p>
        </w:tc>
        <w:tc>
          <w:tcPr>
            <w:tcW w:w="6084" w:type="dxa"/>
            <w:vAlign w:val="center"/>
          </w:tcPr>
          <w:p>
            <w:pPr>
              <w:pStyle w:val="76"/>
              <w:spacing w:line="360" w:lineRule="auto"/>
              <w:ind w:left="38" w:firstLine="210" w:firstLineChars="100"/>
              <w:rPr>
                <w:rFonts w:hint="eastAsia" w:eastAsia="宋体"/>
                <w:color w:val="000000" w:themeColor="text1"/>
                <w:sz w:val="21"/>
                <w:szCs w:val="21"/>
                <w:lang w:eastAsia="zh-CN"/>
                <w14:textFill>
                  <w14:solidFill>
                    <w14:schemeClr w14:val="tx1"/>
                  </w14:solidFill>
                </w14:textFill>
              </w:rPr>
            </w:pPr>
            <w:r>
              <w:rPr>
                <w:rFonts w:hint="eastAsia"/>
                <w:color w:val="000000" w:themeColor="text1"/>
                <w:sz w:val="21"/>
                <w:szCs w:val="21"/>
                <w14:textFill>
                  <w14:solidFill>
                    <w14:schemeClr w14:val="tx1"/>
                  </w14:solidFill>
                </w14:textFill>
              </w:rPr>
              <w:t>履约保证金按中标价的10%缴纳</w:t>
            </w:r>
            <w:r>
              <w:rPr>
                <w:rFonts w:hint="eastAsia"/>
                <w:color w:val="000000" w:themeColor="text1"/>
                <w:sz w:val="21"/>
                <w:szCs w:val="21"/>
                <w:lang w:eastAsia="zh-CN"/>
                <w14:textFill>
                  <w14:solidFill>
                    <w14:schemeClr w14:val="tx1"/>
                  </w14:solidFill>
                </w14:textFill>
              </w:rPr>
              <w:t>。</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20" w:hRule="atLeast"/>
          <w:jc w:val="center"/>
        </w:trPr>
        <w:tc>
          <w:tcPr>
            <w:tcW w:w="1013" w:type="dxa"/>
            <w:vAlign w:val="center"/>
          </w:tcPr>
          <w:p>
            <w:pPr>
              <w:pStyle w:val="76"/>
              <w:spacing w:line="360" w:lineRule="auto"/>
              <w:ind w:right="230"/>
              <w:jc w:val="center"/>
              <w:rPr>
                <w:color w:val="000000" w:themeColor="text1"/>
                <w:sz w:val="21"/>
                <w:szCs w:val="21"/>
                <w:lang w:val="zh-CN"/>
                <w14:textFill>
                  <w14:solidFill>
                    <w14:schemeClr w14:val="tx1"/>
                  </w14:solidFill>
                </w14:textFill>
              </w:rPr>
            </w:pPr>
            <w:r>
              <w:rPr>
                <w:rFonts w:hint="eastAsia"/>
                <w:color w:val="000000" w:themeColor="text1"/>
                <w:sz w:val="21"/>
                <w:szCs w:val="21"/>
                <w:lang w:val="zh-CN"/>
                <w14:textFill>
                  <w14:solidFill>
                    <w14:schemeClr w14:val="tx1"/>
                  </w14:solidFill>
                </w14:textFill>
              </w:rPr>
              <w:t>10</w:t>
            </w:r>
          </w:p>
        </w:tc>
        <w:tc>
          <w:tcPr>
            <w:tcW w:w="2409" w:type="dxa"/>
            <w:vAlign w:val="center"/>
          </w:tcPr>
          <w:p>
            <w:pPr>
              <w:pStyle w:val="76"/>
              <w:spacing w:line="360" w:lineRule="auto"/>
              <w:ind w:left="38"/>
              <w:jc w:val="center"/>
              <w:rPr>
                <w:color w:val="000000" w:themeColor="text1"/>
                <w:sz w:val="21"/>
                <w:szCs w:val="21"/>
                <w:lang w:val="zh-CN"/>
                <w14:textFill>
                  <w14:solidFill>
                    <w14:schemeClr w14:val="tx1"/>
                  </w14:solidFill>
                </w14:textFill>
              </w:rPr>
            </w:pPr>
            <w:r>
              <w:rPr>
                <w:rFonts w:hint="eastAsia"/>
                <w:color w:val="000000" w:themeColor="text1"/>
                <w:sz w:val="21"/>
                <w:szCs w:val="21"/>
                <w14:textFill>
                  <w14:solidFill>
                    <w14:schemeClr w14:val="tx1"/>
                  </w14:solidFill>
                </w14:textFill>
              </w:rPr>
              <w:t>磋商</w:t>
            </w:r>
            <w:r>
              <w:rPr>
                <w:rFonts w:hint="eastAsia"/>
                <w:color w:val="000000" w:themeColor="text1"/>
                <w:sz w:val="21"/>
                <w:szCs w:val="21"/>
                <w:lang w:val="zh-CN"/>
                <w14:textFill>
                  <w14:solidFill>
                    <w14:schemeClr w14:val="tx1"/>
                  </w14:solidFill>
                </w14:textFill>
              </w:rPr>
              <w:t>文件咨询</w:t>
            </w:r>
          </w:p>
        </w:tc>
        <w:tc>
          <w:tcPr>
            <w:tcW w:w="6084" w:type="dxa"/>
            <w:vAlign w:val="center"/>
          </w:tcPr>
          <w:p>
            <w:pPr>
              <w:pStyle w:val="76"/>
              <w:spacing w:line="360" w:lineRule="auto"/>
              <w:ind w:firstLine="210" w:firstLineChars="100"/>
              <w:jc w:val="both"/>
              <w:rPr>
                <w:color w:val="000000" w:themeColor="text1"/>
                <w:sz w:val="21"/>
                <w:szCs w:val="21"/>
                <w:lang w:val="zh-CN"/>
                <w14:textFill>
                  <w14:solidFill>
                    <w14:schemeClr w14:val="tx1"/>
                  </w14:solidFill>
                </w14:textFill>
              </w:rPr>
            </w:pPr>
            <w:r>
              <w:rPr>
                <w:rFonts w:hint="eastAsia"/>
                <w:color w:val="000000" w:themeColor="text1"/>
                <w:sz w:val="21"/>
                <w:szCs w:val="21"/>
                <w:lang w:val="zh-CN"/>
                <w14:textFill>
                  <w14:solidFill>
                    <w14:schemeClr w14:val="tx1"/>
                  </w14:solidFill>
                </w14:textFill>
              </w:rPr>
              <w:t>联系人：</w:t>
            </w:r>
            <w:r>
              <w:rPr>
                <w:rFonts w:hint="eastAsia"/>
                <w:color w:val="000000" w:themeColor="text1"/>
                <w:sz w:val="21"/>
                <w:szCs w:val="21"/>
                <w14:textFill>
                  <w14:solidFill>
                    <w14:schemeClr w14:val="tx1"/>
                  </w14:solidFill>
                </w14:textFill>
              </w:rPr>
              <w:t>李老师</w:t>
            </w:r>
            <w:r>
              <w:rPr>
                <w:rFonts w:hint="eastAsia"/>
                <w:color w:val="000000" w:themeColor="text1"/>
                <w:sz w:val="21"/>
                <w:szCs w:val="21"/>
                <w:lang w:val="zh-CN"/>
                <w14:textFill>
                  <w14:solidFill>
                    <w14:schemeClr w14:val="tx1"/>
                  </w14:solidFill>
                </w14:textFill>
              </w:rPr>
              <w:t>。</w:t>
            </w:r>
          </w:p>
          <w:p>
            <w:pPr>
              <w:pStyle w:val="76"/>
              <w:spacing w:line="360" w:lineRule="auto"/>
              <w:ind w:firstLine="210" w:firstLineChars="100"/>
              <w:jc w:val="both"/>
              <w:rPr>
                <w:color w:val="000000" w:themeColor="text1"/>
                <w:sz w:val="21"/>
                <w:szCs w:val="21"/>
                <w:lang w:val="zh-CN"/>
                <w14:textFill>
                  <w14:solidFill>
                    <w14:schemeClr w14:val="tx1"/>
                  </w14:solidFill>
                </w14:textFill>
              </w:rPr>
            </w:pPr>
            <w:r>
              <w:rPr>
                <w:rFonts w:hint="eastAsia"/>
                <w:color w:val="000000" w:themeColor="text1"/>
                <w:sz w:val="21"/>
                <w:szCs w:val="21"/>
                <w:lang w:val="zh-CN"/>
                <w14:textFill>
                  <w14:solidFill>
                    <w14:schemeClr w14:val="tx1"/>
                  </w14:solidFill>
                </w14:textFill>
              </w:rPr>
              <w:t>联系电话：</w:t>
            </w:r>
            <w:r>
              <w:rPr>
                <w:rFonts w:hint="eastAsia"/>
                <w:color w:val="000000" w:themeColor="text1"/>
                <w:sz w:val="21"/>
                <w:szCs w:val="21"/>
                <w14:textFill>
                  <w14:solidFill>
                    <w14:schemeClr w14:val="tx1"/>
                  </w14:solidFill>
                </w14:textFill>
              </w:rPr>
              <w:t>0833-</w:t>
            </w:r>
            <w:r>
              <w:rPr>
                <w:rFonts w:hint="eastAsia"/>
                <w:color w:val="000000" w:themeColor="text1"/>
                <w:sz w:val="21"/>
                <w:szCs w:val="21"/>
                <w:lang w:eastAsia="zh-CN"/>
                <w14:textFill>
                  <w14:solidFill>
                    <w14:schemeClr w14:val="tx1"/>
                  </w14:solidFill>
                </w14:textFill>
              </w:rPr>
              <w:t>2713780</w:t>
            </w:r>
            <w:r>
              <w:rPr>
                <w:rFonts w:hint="eastAsia"/>
                <w:color w:val="000000" w:themeColor="text1"/>
                <w:sz w:val="21"/>
                <w:szCs w:val="21"/>
                <w:lang w:val="zh-CN"/>
                <w14:textFill>
                  <w14:solidFill>
                    <w14:schemeClr w14:val="tx1"/>
                  </w14:solidFill>
                </w14:textFill>
              </w:rPr>
              <w:t>。</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20" w:hRule="atLeast"/>
          <w:jc w:val="center"/>
        </w:trPr>
        <w:tc>
          <w:tcPr>
            <w:tcW w:w="1013" w:type="dxa"/>
            <w:vAlign w:val="center"/>
          </w:tcPr>
          <w:p>
            <w:pPr>
              <w:pStyle w:val="76"/>
              <w:spacing w:line="360" w:lineRule="auto"/>
              <w:ind w:right="230"/>
              <w:jc w:val="center"/>
              <w:rPr>
                <w:color w:val="000000" w:themeColor="text1"/>
                <w:sz w:val="21"/>
                <w:szCs w:val="21"/>
                <w:lang w:val="zh-CN"/>
                <w14:textFill>
                  <w14:solidFill>
                    <w14:schemeClr w14:val="tx1"/>
                  </w14:solidFill>
                </w14:textFill>
              </w:rPr>
            </w:pPr>
            <w:r>
              <w:rPr>
                <w:rFonts w:hint="eastAsia"/>
                <w:color w:val="000000" w:themeColor="text1"/>
                <w:sz w:val="21"/>
                <w:szCs w:val="21"/>
                <w:lang w:val="zh-CN"/>
                <w14:textFill>
                  <w14:solidFill>
                    <w14:schemeClr w14:val="tx1"/>
                  </w14:solidFill>
                </w14:textFill>
              </w:rPr>
              <w:t>11</w:t>
            </w:r>
          </w:p>
        </w:tc>
        <w:tc>
          <w:tcPr>
            <w:tcW w:w="2409" w:type="dxa"/>
            <w:vAlign w:val="center"/>
          </w:tcPr>
          <w:p>
            <w:pPr>
              <w:pStyle w:val="76"/>
              <w:spacing w:line="360" w:lineRule="auto"/>
              <w:ind w:left="38"/>
              <w:jc w:val="center"/>
              <w:rPr>
                <w:color w:val="000000" w:themeColor="text1"/>
                <w:sz w:val="21"/>
                <w:szCs w:val="21"/>
                <w:lang w:val="zh-CN"/>
                <w14:textFill>
                  <w14:solidFill>
                    <w14:schemeClr w14:val="tx1"/>
                  </w14:solidFill>
                </w14:textFill>
              </w:rPr>
            </w:pPr>
            <w:r>
              <w:rPr>
                <w:rFonts w:hint="eastAsia"/>
                <w:color w:val="000000" w:themeColor="text1"/>
                <w:sz w:val="21"/>
                <w:szCs w:val="21"/>
                <w:lang w:val="zh-CN"/>
                <w14:textFill>
                  <w14:solidFill>
                    <w14:schemeClr w14:val="tx1"/>
                  </w14:solidFill>
                </w14:textFill>
              </w:rPr>
              <w:t>磋商过程、结果咨询</w:t>
            </w:r>
          </w:p>
        </w:tc>
        <w:tc>
          <w:tcPr>
            <w:tcW w:w="6084" w:type="dxa"/>
            <w:vAlign w:val="center"/>
          </w:tcPr>
          <w:p>
            <w:pPr>
              <w:pStyle w:val="76"/>
              <w:spacing w:line="360" w:lineRule="auto"/>
              <w:ind w:firstLine="210" w:firstLineChars="100"/>
              <w:jc w:val="both"/>
              <w:rPr>
                <w:color w:val="000000" w:themeColor="text1"/>
                <w:sz w:val="21"/>
                <w:szCs w:val="21"/>
                <w:lang w:val="zh-CN"/>
                <w14:textFill>
                  <w14:solidFill>
                    <w14:schemeClr w14:val="tx1"/>
                  </w14:solidFill>
                </w14:textFill>
              </w:rPr>
            </w:pPr>
            <w:r>
              <w:rPr>
                <w:rFonts w:hint="eastAsia"/>
                <w:color w:val="000000" w:themeColor="text1"/>
                <w:sz w:val="21"/>
                <w:szCs w:val="21"/>
                <w:lang w:val="zh-CN"/>
                <w14:textFill>
                  <w14:solidFill>
                    <w14:schemeClr w14:val="tx1"/>
                  </w14:solidFill>
                </w14:textFill>
              </w:rPr>
              <w:t xml:space="preserve">联系人： </w:t>
            </w:r>
            <w:r>
              <w:rPr>
                <w:rFonts w:hint="eastAsia"/>
                <w:color w:val="000000" w:themeColor="text1"/>
                <w:sz w:val="21"/>
                <w:szCs w:val="21"/>
                <w14:textFill>
                  <w14:solidFill>
                    <w14:schemeClr w14:val="tx1"/>
                  </w14:solidFill>
                </w14:textFill>
              </w:rPr>
              <w:t>李老师</w:t>
            </w:r>
            <w:r>
              <w:rPr>
                <w:rFonts w:hint="eastAsia"/>
                <w:color w:val="000000" w:themeColor="text1"/>
                <w:sz w:val="21"/>
                <w:szCs w:val="21"/>
                <w:lang w:val="zh-CN"/>
                <w14:textFill>
                  <w14:solidFill>
                    <w14:schemeClr w14:val="tx1"/>
                  </w14:solidFill>
                </w14:textFill>
              </w:rPr>
              <w:t>。</w:t>
            </w:r>
          </w:p>
          <w:p>
            <w:pPr>
              <w:pStyle w:val="76"/>
              <w:spacing w:line="360" w:lineRule="auto"/>
              <w:ind w:firstLine="210" w:firstLineChars="100"/>
              <w:jc w:val="both"/>
              <w:rPr>
                <w:color w:val="000000" w:themeColor="text1"/>
                <w:sz w:val="21"/>
                <w:szCs w:val="21"/>
                <w:lang w:val="zh-CN"/>
                <w14:textFill>
                  <w14:solidFill>
                    <w14:schemeClr w14:val="tx1"/>
                  </w14:solidFill>
                </w14:textFill>
              </w:rPr>
            </w:pPr>
            <w:r>
              <w:rPr>
                <w:rFonts w:hint="eastAsia"/>
                <w:color w:val="000000" w:themeColor="text1"/>
                <w:sz w:val="21"/>
                <w:szCs w:val="21"/>
                <w:lang w:val="zh-CN"/>
                <w14:textFill>
                  <w14:solidFill>
                    <w14:schemeClr w14:val="tx1"/>
                  </w14:solidFill>
                </w14:textFill>
              </w:rPr>
              <w:t>联系电话：</w:t>
            </w:r>
            <w:r>
              <w:rPr>
                <w:rFonts w:hint="eastAsia"/>
                <w:color w:val="000000" w:themeColor="text1"/>
                <w:sz w:val="21"/>
                <w:szCs w:val="21"/>
                <w14:textFill>
                  <w14:solidFill>
                    <w14:schemeClr w14:val="tx1"/>
                  </w14:solidFill>
                </w14:textFill>
              </w:rPr>
              <w:t>0833-</w:t>
            </w:r>
            <w:r>
              <w:rPr>
                <w:rFonts w:hint="eastAsia"/>
                <w:color w:val="000000" w:themeColor="text1"/>
                <w:sz w:val="21"/>
                <w:szCs w:val="21"/>
                <w:lang w:eastAsia="zh-CN"/>
                <w14:textFill>
                  <w14:solidFill>
                    <w14:schemeClr w14:val="tx1"/>
                  </w14:solidFill>
                </w14:textFill>
              </w:rPr>
              <w:t>2713780</w:t>
            </w:r>
            <w:r>
              <w:rPr>
                <w:rFonts w:hint="eastAsia"/>
                <w:color w:val="000000" w:themeColor="text1"/>
                <w:sz w:val="21"/>
                <w:szCs w:val="21"/>
                <w:lang w:val="zh-CN"/>
                <w14:textFill>
                  <w14:solidFill>
                    <w14:schemeClr w14:val="tx1"/>
                  </w14:solidFill>
                </w14:textFill>
              </w:rPr>
              <w:t>。</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20" w:hRule="atLeast"/>
          <w:jc w:val="center"/>
        </w:trPr>
        <w:tc>
          <w:tcPr>
            <w:tcW w:w="1013" w:type="dxa"/>
            <w:vAlign w:val="center"/>
          </w:tcPr>
          <w:p>
            <w:pPr>
              <w:pStyle w:val="76"/>
              <w:spacing w:line="360" w:lineRule="auto"/>
              <w:ind w:right="230"/>
              <w:jc w:val="center"/>
              <w:rPr>
                <w:color w:val="000000" w:themeColor="text1"/>
                <w:sz w:val="21"/>
                <w:szCs w:val="21"/>
                <w:lang w:val="zh-CN"/>
                <w14:textFill>
                  <w14:solidFill>
                    <w14:schemeClr w14:val="tx1"/>
                  </w14:solidFill>
                </w14:textFill>
              </w:rPr>
            </w:pPr>
            <w:r>
              <w:rPr>
                <w:rFonts w:hint="eastAsia"/>
                <w:color w:val="000000" w:themeColor="text1"/>
                <w:sz w:val="21"/>
                <w:szCs w:val="21"/>
                <w:lang w:val="zh-CN"/>
                <w14:textFill>
                  <w14:solidFill>
                    <w14:schemeClr w14:val="tx1"/>
                  </w14:solidFill>
                </w14:textFill>
              </w:rPr>
              <w:t>12</w:t>
            </w:r>
          </w:p>
        </w:tc>
        <w:tc>
          <w:tcPr>
            <w:tcW w:w="2409" w:type="dxa"/>
            <w:vAlign w:val="center"/>
          </w:tcPr>
          <w:p>
            <w:pPr>
              <w:pStyle w:val="76"/>
              <w:spacing w:line="360" w:lineRule="auto"/>
              <w:ind w:left="38"/>
              <w:jc w:val="center"/>
              <w:rPr>
                <w:color w:val="000000" w:themeColor="text1"/>
                <w:sz w:val="21"/>
                <w:szCs w:val="21"/>
                <w:lang w:val="zh-CN"/>
                <w14:textFill>
                  <w14:solidFill>
                    <w14:schemeClr w14:val="tx1"/>
                  </w14:solidFill>
                </w14:textFill>
              </w:rPr>
            </w:pPr>
            <w:r>
              <w:rPr>
                <w:rFonts w:hint="eastAsia"/>
                <w:color w:val="000000" w:themeColor="text1"/>
                <w:sz w:val="21"/>
                <w:szCs w:val="21"/>
                <w:lang w:val="zh-CN"/>
                <w14:textFill>
                  <w14:solidFill>
                    <w14:schemeClr w14:val="tx1"/>
                  </w14:solidFill>
                </w14:textFill>
              </w:rPr>
              <w:t>成交通知书领取</w:t>
            </w:r>
          </w:p>
        </w:tc>
        <w:tc>
          <w:tcPr>
            <w:tcW w:w="6084" w:type="dxa"/>
            <w:vAlign w:val="center"/>
          </w:tcPr>
          <w:p>
            <w:pPr>
              <w:pStyle w:val="76"/>
              <w:spacing w:line="360" w:lineRule="auto"/>
              <w:ind w:firstLine="210" w:firstLineChars="100"/>
              <w:jc w:val="both"/>
              <w:rPr>
                <w:color w:val="000000" w:themeColor="text1"/>
                <w:sz w:val="21"/>
                <w:szCs w:val="21"/>
                <w:lang w:val="zh-CN"/>
                <w14:textFill>
                  <w14:solidFill>
                    <w14:schemeClr w14:val="tx1"/>
                  </w14:solidFill>
                </w14:textFill>
              </w:rPr>
            </w:pPr>
            <w:r>
              <w:rPr>
                <w:rFonts w:hint="eastAsia"/>
                <w:color w:val="000000" w:themeColor="text1"/>
                <w:sz w:val="21"/>
                <w:szCs w:val="21"/>
                <w:lang w:val="zh-CN"/>
                <w14:textFill>
                  <w14:solidFill>
                    <w14:schemeClr w14:val="tx1"/>
                  </w14:solidFill>
                </w14:textFill>
              </w:rPr>
              <w:t>采购结果公告在四川政府采购网上发布后，请成交供应商凭有效身份证明证件以及公司介绍信在3个工作日之内到</w:t>
            </w:r>
            <w:r>
              <w:rPr>
                <w:rFonts w:hint="eastAsia"/>
                <w:color w:val="000000" w:themeColor="text1"/>
                <w:sz w:val="21"/>
                <w:szCs w:val="21"/>
                <w14:textFill>
                  <w14:solidFill>
                    <w14:schemeClr w14:val="tx1"/>
                  </w14:solidFill>
                </w14:textFill>
              </w:rPr>
              <w:t>乐山市金口河区</w:t>
            </w:r>
            <w:r>
              <w:rPr>
                <w:rFonts w:hint="eastAsia"/>
                <w:color w:val="000000" w:themeColor="text1"/>
                <w:sz w:val="21"/>
                <w:szCs w:val="21"/>
                <w:lang w:val="zh-CN"/>
                <w14:textFill>
                  <w14:solidFill>
                    <w14:schemeClr w14:val="tx1"/>
                  </w14:solidFill>
                </w14:textFill>
              </w:rPr>
              <w:t>政府采购中心领取成交通知书。</w:t>
            </w:r>
          </w:p>
          <w:p>
            <w:pPr>
              <w:pStyle w:val="76"/>
              <w:spacing w:line="360" w:lineRule="auto"/>
              <w:ind w:firstLine="210" w:firstLineChars="100"/>
              <w:jc w:val="both"/>
              <w:rPr>
                <w:rFonts w:hint="eastAsia" w:eastAsia="宋体"/>
                <w:color w:val="000000" w:themeColor="text1"/>
                <w:sz w:val="21"/>
                <w:szCs w:val="21"/>
                <w:lang w:eastAsia="zh-CN"/>
                <w14:textFill>
                  <w14:solidFill>
                    <w14:schemeClr w14:val="tx1"/>
                  </w14:solidFill>
                </w14:textFill>
              </w:rPr>
            </w:pPr>
            <w:r>
              <w:rPr>
                <w:rFonts w:hint="eastAsia"/>
                <w:color w:val="000000" w:themeColor="text1"/>
                <w:sz w:val="21"/>
                <w:szCs w:val="21"/>
                <w:lang w:val="zh-CN"/>
                <w14:textFill>
                  <w14:solidFill>
                    <w14:schemeClr w14:val="tx1"/>
                  </w14:solidFill>
                </w14:textFill>
              </w:rPr>
              <w:t>联系人：</w:t>
            </w:r>
            <w:r>
              <w:rPr>
                <w:rFonts w:hint="eastAsia"/>
                <w:color w:val="000000" w:themeColor="text1"/>
                <w:sz w:val="21"/>
                <w:szCs w:val="21"/>
                <w14:textFill>
                  <w14:solidFill>
                    <w14:schemeClr w14:val="tx1"/>
                  </w14:solidFill>
                </w14:textFill>
              </w:rPr>
              <w:t>李</w:t>
            </w:r>
            <w:r>
              <w:rPr>
                <w:rFonts w:hint="eastAsia"/>
                <w:color w:val="000000" w:themeColor="text1"/>
                <w:sz w:val="21"/>
                <w:szCs w:val="21"/>
                <w:lang w:val="zh-CN"/>
                <w14:textFill>
                  <w14:solidFill>
                    <w14:schemeClr w14:val="tx1"/>
                  </w14:solidFill>
                </w14:textFill>
              </w:rPr>
              <w:t>老师  联系电话：0833-</w:t>
            </w:r>
            <w:r>
              <w:rPr>
                <w:rFonts w:hint="eastAsia"/>
                <w:color w:val="000000" w:themeColor="text1"/>
                <w:sz w:val="21"/>
                <w:szCs w:val="21"/>
                <w:lang w:eastAsia="zh-CN"/>
                <w14:textFill>
                  <w14:solidFill>
                    <w14:schemeClr w14:val="tx1"/>
                  </w14:solidFill>
                </w14:textFill>
              </w:rPr>
              <w:t>2713780</w:t>
            </w:r>
          </w:p>
          <w:p>
            <w:pPr>
              <w:pStyle w:val="76"/>
              <w:spacing w:line="360" w:lineRule="auto"/>
              <w:ind w:firstLine="210" w:firstLineChars="100"/>
              <w:jc w:val="both"/>
              <w:rPr>
                <w:color w:val="000000" w:themeColor="text1"/>
                <w:sz w:val="21"/>
                <w:szCs w:val="21"/>
                <w:lang w:val="zh-CN"/>
                <w14:textFill>
                  <w14:solidFill>
                    <w14:schemeClr w14:val="tx1"/>
                  </w14:solidFill>
                </w14:textFill>
              </w:rPr>
            </w:pPr>
            <w:r>
              <w:rPr>
                <w:rFonts w:hint="eastAsia"/>
                <w:color w:val="000000" w:themeColor="text1"/>
                <w:sz w:val="21"/>
                <w:szCs w:val="21"/>
                <w:lang w:val="zh-CN"/>
                <w14:textFill>
                  <w14:solidFill>
                    <w14:schemeClr w14:val="tx1"/>
                  </w14:solidFill>
                </w14:textFill>
              </w:rPr>
              <w:t>地址：乐山市金口河区</w:t>
            </w:r>
            <w:r>
              <w:rPr>
                <w:rFonts w:hint="eastAsia"/>
                <w:color w:val="000000" w:themeColor="text1"/>
                <w:sz w:val="21"/>
                <w:szCs w:val="21"/>
                <w:lang w:val="en-US" w:eastAsia="zh-CN"/>
                <w14:textFill>
                  <w14:solidFill>
                    <w14:schemeClr w14:val="tx1"/>
                  </w14:solidFill>
                </w14:textFill>
              </w:rPr>
              <w:t>滨河路三段153号</w:t>
            </w:r>
            <w:r>
              <w:rPr>
                <w:rFonts w:hint="eastAsia"/>
                <w:color w:val="000000" w:themeColor="text1"/>
                <w:sz w:val="21"/>
                <w:szCs w:val="21"/>
                <w:lang w:val="zh-CN"/>
                <w14:textFill>
                  <w14:solidFill>
                    <w14:schemeClr w14:val="tx1"/>
                  </w14:solidFill>
                </w14:textFill>
              </w:rPr>
              <w:t>。</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20" w:hRule="atLeast"/>
          <w:jc w:val="center"/>
        </w:trPr>
        <w:tc>
          <w:tcPr>
            <w:tcW w:w="1013" w:type="dxa"/>
            <w:vAlign w:val="center"/>
          </w:tcPr>
          <w:p>
            <w:pPr>
              <w:pStyle w:val="76"/>
              <w:spacing w:line="360" w:lineRule="auto"/>
              <w:ind w:right="230"/>
              <w:jc w:val="center"/>
              <w:rPr>
                <w:color w:val="000000" w:themeColor="text1"/>
                <w:sz w:val="21"/>
                <w:szCs w:val="21"/>
                <w:lang w:val="zh-CN"/>
                <w14:textFill>
                  <w14:solidFill>
                    <w14:schemeClr w14:val="tx1"/>
                  </w14:solidFill>
                </w14:textFill>
              </w:rPr>
            </w:pPr>
            <w:r>
              <w:rPr>
                <w:rFonts w:hint="eastAsia"/>
                <w:color w:val="000000" w:themeColor="text1"/>
                <w:sz w:val="21"/>
                <w:szCs w:val="21"/>
                <w:lang w:val="zh-CN"/>
                <w14:textFill>
                  <w14:solidFill>
                    <w14:schemeClr w14:val="tx1"/>
                  </w14:solidFill>
                </w14:textFill>
              </w:rPr>
              <w:t>13</w:t>
            </w:r>
          </w:p>
        </w:tc>
        <w:tc>
          <w:tcPr>
            <w:tcW w:w="2409" w:type="dxa"/>
            <w:vAlign w:val="center"/>
          </w:tcPr>
          <w:p>
            <w:pPr>
              <w:pStyle w:val="76"/>
              <w:spacing w:line="360" w:lineRule="auto"/>
              <w:ind w:left="38"/>
              <w:jc w:val="center"/>
              <w:rPr>
                <w:color w:val="000000" w:themeColor="text1"/>
                <w:sz w:val="21"/>
                <w:szCs w:val="21"/>
                <w:lang w:val="zh-CN"/>
                <w14:textFill>
                  <w14:solidFill>
                    <w14:schemeClr w14:val="tx1"/>
                  </w14:solidFill>
                </w14:textFill>
              </w:rPr>
            </w:pPr>
            <w:r>
              <w:rPr>
                <w:rFonts w:hint="eastAsia"/>
                <w:color w:val="000000" w:themeColor="text1"/>
                <w:sz w:val="21"/>
                <w:szCs w:val="21"/>
                <w:lang w:val="zh-CN"/>
                <w14:textFill>
                  <w14:solidFill>
                    <w14:schemeClr w14:val="tx1"/>
                  </w14:solidFill>
                </w14:textFill>
              </w:rPr>
              <w:t>供应商询问</w:t>
            </w:r>
          </w:p>
        </w:tc>
        <w:tc>
          <w:tcPr>
            <w:tcW w:w="6084" w:type="dxa"/>
          </w:tcPr>
          <w:p>
            <w:pPr>
              <w:pStyle w:val="76"/>
              <w:spacing w:line="360" w:lineRule="auto"/>
              <w:ind w:left="634" w:leftChars="102" w:hanging="420" w:hangingChars="200"/>
              <w:jc w:val="both"/>
              <w:rPr>
                <w:color w:val="000000" w:themeColor="text1"/>
                <w:sz w:val="21"/>
                <w:szCs w:val="21"/>
                <w:lang w:val="zh-CN"/>
                <w14:textFill>
                  <w14:solidFill>
                    <w14:schemeClr w14:val="tx1"/>
                  </w14:solidFill>
                </w14:textFill>
              </w:rPr>
            </w:pPr>
            <w:r>
              <w:rPr>
                <w:rFonts w:hint="eastAsia"/>
                <w:color w:val="000000" w:themeColor="text1"/>
                <w:sz w:val="21"/>
                <w:szCs w:val="21"/>
                <w:lang w:val="zh-CN"/>
                <w14:textFill>
                  <w14:solidFill>
                    <w14:schemeClr w14:val="tx1"/>
                  </w14:solidFill>
                </w14:textFill>
              </w:rPr>
              <w:t>联系人：</w:t>
            </w:r>
            <w:r>
              <w:rPr>
                <w:rFonts w:hint="eastAsia"/>
                <w:color w:val="000000" w:themeColor="text1"/>
                <w:sz w:val="21"/>
                <w:szCs w:val="21"/>
                <w14:textFill>
                  <w14:solidFill>
                    <w14:schemeClr w14:val="tx1"/>
                  </w14:solidFill>
                </w14:textFill>
              </w:rPr>
              <w:t>李老师</w:t>
            </w:r>
            <w:r>
              <w:rPr>
                <w:rFonts w:hint="eastAsia"/>
                <w:color w:val="000000" w:themeColor="text1"/>
                <w:sz w:val="21"/>
                <w:szCs w:val="21"/>
                <w:lang w:val="zh-CN"/>
                <w14:textFill>
                  <w14:solidFill>
                    <w14:schemeClr w14:val="tx1"/>
                  </w14:solidFill>
                </w14:textFill>
              </w:rPr>
              <w:t>。</w:t>
            </w:r>
          </w:p>
          <w:p>
            <w:pPr>
              <w:pStyle w:val="76"/>
              <w:spacing w:line="360" w:lineRule="auto"/>
              <w:ind w:firstLine="210" w:firstLineChars="100"/>
              <w:rPr>
                <w:color w:val="000000" w:themeColor="text1"/>
                <w:sz w:val="21"/>
                <w:szCs w:val="21"/>
                <w:lang w:val="zh-CN"/>
                <w14:textFill>
                  <w14:solidFill>
                    <w14:schemeClr w14:val="tx1"/>
                  </w14:solidFill>
                </w14:textFill>
              </w:rPr>
            </w:pPr>
            <w:r>
              <w:rPr>
                <w:rFonts w:hint="eastAsia"/>
                <w:color w:val="000000" w:themeColor="text1"/>
                <w:sz w:val="21"/>
                <w:szCs w:val="21"/>
                <w:lang w:val="zh-CN"/>
                <w14:textFill>
                  <w14:solidFill>
                    <w14:schemeClr w14:val="tx1"/>
                  </w14:solidFill>
                </w14:textFill>
              </w:rPr>
              <w:t>联系电话：</w:t>
            </w:r>
            <w:r>
              <w:rPr>
                <w:rFonts w:hint="eastAsia"/>
                <w:color w:val="000000" w:themeColor="text1"/>
                <w:sz w:val="21"/>
                <w:szCs w:val="21"/>
                <w14:textFill>
                  <w14:solidFill>
                    <w14:schemeClr w14:val="tx1"/>
                  </w14:solidFill>
                </w14:textFill>
              </w:rPr>
              <w:t>0833-</w:t>
            </w:r>
            <w:r>
              <w:rPr>
                <w:rFonts w:hint="eastAsia"/>
                <w:color w:val="000000" w:themeColor="text1"/>
                <w:sz w:val="21"/>
                <w:szCs w:val="21"/>
                <w:lang w:eastAsia="zh-CN"/>
                <w14:textFill>
                  <w14:solidFill>
                    <w14:schemeClr w14:val="tx1"/>
                  </w14:solidFill>
                </w14:textFill>
              </w:rPr>
              <w:t>2713780</w:t>
            </w:r>
            <w:r>
              <w:rPr>
                <w:rFonts w:hint="eastAsia"/>
                <w:color w:val="000000" w:themeColor="text1"/>
                <w:sz w:val="21"/>
                <w:szCs w:val="21"/>
                <w:lang w:val="zh-CN"/>
                <w14:textFill>
                  <w14:solidFill>
                    <w14:schemeClr w14:val="tx1"/>
                  </w14:solidFill>
                </w14:textFill>
              </w:rPr>
              <w:t>。</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20" w:hRule="atLeast"/>
          <w:jc w:val="center"/>
        </w:trPr>
        <w:tc>
          <w:tcPr>
            <w:tcW w:w="1013" w:type="dxa"/>
            <w:vAlign w:val="center"/>
          </w:tcPr>
          <w:p>
            <w:pPr>
              <w:pStyle w:val="76"/>
              <w:spacing w:line="360" w:lineRule="auto"/>
              <w:ind w:right="230"/>
              <w:jc w:val="center"/>
              <w:rPr>
                <w:color w:val="000000" w:themeColor="text1"/>
                <w:sz w:val="21"/>
                <w:szCs w:val="21"/>
                <w:lang w:val="zh-CN"/>
                <w14:textFill>
                  <w14:solidFill>
                    <w14:schemeClr w14:val="tx1"/>
                  </w14:solidFill>
                </w14:textFill>
              </w:rPr>
            </w:pPr>
            <w:r>
              <w:rPr>
                <w:rFonts w:hint="eastAsia"/>
                <w:color w:val="000000" w:themeColor="text1"/>
                <w:sz w:val="21"/>
                <w:szCs w:val="21"/>
                <w:lang w:val="zh-CN"/>
                <w14:textFill>
                  <w14:solidFill>
                    <w14:schemeClr w14:val="tx1"/>
                  </w14:solidFill>
                </w14:textFill>
              </w:rPr>
              <w:t>14</w:t>
            </w:r>
          </w:p>
        </w:tc>
        <w:tc>
          <w:tcPr>
            <w:tcW w:w="2409" w:type="dxa"/>
            <w:vAlign w:val="center"/>
          </w:tcPr>
          <w:p>
            <w:pPr>
              <w:pStyle w:val="76"/>
              <w:spacing w:line="360" w:lineRule="auto"/>
              <w:ind w:left="96"/>
              <w:jc w:val="center"/>
              <w:rPr>
                <w:color w:val="000000" w:themeColor="text1"/>
                <w:sz w:val="21"/>
                <w:szCs w:val="21"/>
                <w:lang w:val="zh-CN"/>
                <w14:textFill>
                  <w14:solidFill>
                    <w14:schemeClr w14:val="tx1"/>
                  </w14:solidFill>
                </w14:textFill>
              </w:rPr>
            </w:pPr>
            <w:r>
              <w:rPr>
                <w:rFonts w:hint="eastAsia"/>
                <w:color w:val="000000" w:themeColor="text1"/>
                <w:sz w:val="21"/>
                <w:szCs w:val="21"/>
                <w:lang w:val="zh-CN"/>
                <w14:textFill>
                  <w14:solidFill>
                    <w14:schemeClr w14:val="tx1"/>
                  </w14:solidFill>
                </w14:textFill>
              </w:rPr>
              <w:t>供应商质疑</w:t>
            </w:r>
          </w:p>
        </w:tc>
        <w:tc>
          <w:tcPr>
            <w:tcW w:w="6084" w:type="dxa"/>
            <w:vAlign w:val="center"/>
          </w:tcPr>
          <w:p>
            <w:pPr>
              <w:pStyle w:val="76"/>
              <w:spacing w:line="360" w:lineRule="auto"/>
              <w:ind w:left="634" w:leftChars="102" w:hanging="420" w:hangingChars="200"/>
              <w:jc w:val="both"/>
              <w:rPr>
                <w:color w:val="000000" w:themeColor="text1"/>
                <w:sz w:val="21"/>
                <w:szCs w:val="21"/>
                <w:lang w:val="zh-CN"/>
                <w14:textFill>
                  <w14:solidFill>
                    <w14:schemeClr w14:val="tx1"/>
                  </w14:solidFill>
                </w14:textFill>
              </w:rPr>
            </w:pPr>
            <w:bookmarkStart w:id="19" w:name="PO_默认文件内容_19"/>
            <w:r>
              <w:rPr>
                <w:rFonts w:hint="eastAsia"/>
                <w:color w:val="000000" w:themeColor="text1"/>
                <w:sz w:val="21"/>
                <w:szCs w:val="21"/>
                <w:lang w:val="zh-CN"/>
                <w14:textFill>
                  <w14:solidFill>
                    <w14:schemeClr w14:val="tx1"/>
                  </w14:solidFill>
                </w14:textFill>
              </w:rPr>
              <w:t>联系人：</w:t>
            </w:r>
            <w:r>
              <w:rPr>
                <w:rFonts w:hint="eastAsia"/>
                <w:color w:val="000000" w:themeColor="text1"/>
                <w:sz w:val="21"/>
                <w:szCs w:val="21"/>
                <w14:textFill>
                  <w14:solidFill>
                    <w14:schemeClr w14:val="tx1"/>
                  </w14:solidFill>
                </w14:textFill>
              </w:rPr>
              <w:t>李老师</w:t>
            </w:r>
            <w:r>
              <w:rPr>
                <w:rFonts w:hint="eastAsia"/>
                <w:color w:val="000000" w:themeColor="text1"/>
                <w:sz w:val="21"/>
                <w:szCs w:val="21"/>
                <w:lang w:val="zh-CN"/>
                <w14:textFill>
                  <w14:solidFill>
                    <w14:schemeClr w14:val="tx1"/>
                  </w14:solidFill>
                </w14:textFill>
              </w:rPr>
              <w:t>。</w:t>
            </w:r>
          </w:p>
          <w:p>
            <w:pPr>
              <w:pStyle w:val="76"/>
              <w:spacing w:line="360" w:lineRule="auto"/>
              <w:ind w:firstLine="210" w:firstLineChars="100"/>
              <w:rPr>
                <w:color w:val="000000" w:themeColor="text1"/>
                <w:sz w:val="21"/>
                <w:szCs w:val="21"/>
                <w:lang w:val="zh-CN"/>
                <w14:textFill>
                  <w14:solidFill>
                    <w14:schemeClr w14:val="tx1"/>
                  </w14:solidFill>
                </w14:textFill>
              </w:rPr>
            </w:pPr>
            <w:r>
              <w:rPr>
                <w:rFonts w:hint="eastAsia"/>
                <w:color w:val="000000" w:themeColor="text1"/>
                <w:sz w:val="21"/>
                <w:szCs w:val="21"/>
                <w:lang w:val="zh-CN"/>
                <w14:textFill>
                  <w14:solidFill>
                    <w14:schemeClr w14:val="tx1"/>
                  </w14:solidFill>
                </w14:textFill>
              </w:rPr>
              <w:t>联系电话：</w:t>
            </w:r>
            <w:r>
              <w:rPr>
                <w:rFonts w:hint="eastAsia"/>
                <w:color w:val="000000" w:themeColor="text1"/>
                <w:sz w:val="21"/>
                <w:szCs w:val="21"/>
                <w14:textFill>
                  <w14:solidFill>
                    <w14:schemeClr w14:val="tx1"/>
                  </w14:solidFill>
                </w14:textFill>
              </w:rPr>
              <w:t>0833-</w:t>
            </w:r>
            <w:r>
              <w:rPr>
                <w:rFonts w:hint="eastAsia"/>
                <w:color w:val="000000" w:themeColor="text1"/>
                <w:sz w:val="21"/>
                <w:szCs w:val="21"/>
                <w:lang w:eastAsia="zh-CN"/>
                <w14:textFill>
                  <w14:solidFill>
                    <w14:schemeClr w14:val="tx1"/>
                  </w14:solidFill>
                </w14:textFill>
              </w:rPr>
              <w:t>2713780</w:t>
            </w:r>
            <w:r>
              <w:rPr>
                <w:rFonts w:hint="eastAsia"/>
                <w:color w:val="000000" w:themeColor="text1"/>
                <w:sz w:val="21"/>
                <w:szCs w:val="21"/>
                <w:lang w:val="zh-CN"/>
                <w14:textFill>
                  <w14:solidFill>
                    <w14:schemeClr w14:val="tx1"/>
                  </w14:solidFill>
                </w14:textFill>
              </w:rPr>
              <w:t>。</w:t>
            </w:r>
          </w:p>
          <w:p>
            <w:pPr>
              <w:pStyle w:val="76"/>
              <w:spacing w:line="360" w:lineRule="auto"/>
              <w:ind w:firstLine="210" w:firstLineChars="100"/>
              <w:rPr>
                <w:color w:val="000000" w:themeColor="text1"/>
                <w:kern w:val="2"/>
                <w:sz w:val="21"/>
                <w:szCs w:val="21"/>
                <w:lang w:val="zh-CN"/>
                <w14:textFill>
                  <w14:solidFill>
                    <w14:schemeClr w14:val="tx1"/>
                  </w14:solidFill>
                </w14:textFill>
              </w:rPr>
            </w:pPr>
            <w:r>
              <w:rPr>
                <w:rFonts w:hint="eastAsia"/>
                <w:color w:val="000000" w:themeColor="text1"/>
                <w:sz w:val="21"/>
                <w:szCs w:val="21"/>
                <w:lang w:val="zh-CN"/>
                <w14:textFill>
                  <w14:solidFill>
                    <w14:schemeClr w14:val="tx1"/>
                  </w14:solidFill>
                </w14:textFill>
              </w:rPr>
              <w:t>注：根据《中华人民共和国政府采购法》等规定，供应商质疑不得超出磋商文件、磋商过程、磋商结果的范围</w:t>
            </w:r>
            <w:r>
              <w:rPr>
                <w:rFonts w:hint="eastAsia"/>
                <w:color w:val="000000" w:themeColor="text1"/>
                <w:kern w:val="2"/>
                <w:sz w:val="21"/>
                <w:szCs w:val="21"/>
                <w:lang w:val="zh-CN"/>
                <w14:textFill>
                  <w14:solidFill>
                    <w14:schemeClr w14:val="tx1"/>
                  </w14:solidFill>
                </w14:textFill>
              </w:rPr>
              <w:t>，供应商针对同一采购程序环节的质疑应在法定质疑期内一次性提出。</w:t>
            </w:r>
            <w:bookmarkEnd w:id="19"/>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1770" w:hRule="atLeast"/>
          <w:jc w:val="center"/>
        </w:trPr>
        <w:tc>
          <w:tcPr>
            <w:tcW w:w="1013" w:type="dxa"/>
            <w:tcBorders>
              <w:bottom w:val="single" w:color="auto" w:sz="4" w:space="0"/>
            </w:tcBorders>
            <w:vAlign w:val="center"/>
          </w:tcPr>
          <w:p>
            <w:pPr>
              <w:pStyle w:val="76"/>
              <w:spacing w:line="360" w:lineRule="auto"/>
              <w:ind w:right="230"/>
              <w:jc w:val="center"/>
              <w:rPr>
                <w:color w:val="000000" w:themeColor="text1"/>
                <w:sz w:val="21"/>
                <w:szCs w:val="21"/>
                <w:lang w:val="zh-CN"/>
                <w14:textFill>
                  <w14:solidFill>
                    <w14:schemeClr w14:val="tx1"/>
                  </w14:solidFill>
                </w14:textFill>
              </w:rPr>
            </w:pPr>
            <w:r>
              <w:rPr>
                <w:rFonts w:hint="eastAsia"/>
                <w:color w:val="000000" w:themeColor="text1"/>
                <w:sz w:val="21"/>
                <w:szCs w:val="21"/>
                <w:lang w:val="zh-CN"/>
                <w14:textFill>
                  <w14:solidFill>
                    <w14:schemeClr w14:val="tx1"/>
                  </w14:solidFill>
                </w14:textFill>
              </w:rPr>
              <w:t>15</w:t>
            </w:r>
          </w:p>
        </w:tc>
        <w:tc>
          <w:tcPr>
            <w:tcW w:w="2409" w:type="dxa"/>
            <w:tcBorders>
              <w:bottom w:val="single" w:color="auto" w:sz="4" w:space="0"/>
            </w:tcBorders>
            <w:vAlign w:val="center"/>
          </w:tcPr>
          <w:p>
            <w:pPr>
              <w:pStyle w:val="76"/>
              <w:spacing w:line="360" w:lineRule="auto"/>
              <w:ind w:left="96"/>
              <w:jc w:val="center"/>
              <w:rPr>
                <w:color w:val="000000" w:themeColor="text1"/>
                <w:sz w:val="21"/>
                <w:szCs w:val="21"/>
                <w:lang w:val="zh-CN"/>
                <w14:textFill>
                  <w14:solidFill>
                    <w14:schemeClr w14:val="tx1"/>
                  </w14:solidFill>
                </w14:textFill>
              </w:rPr>
            </w:pPr>
            <w:r>
              <w:rPr>
                <w:rFonts w:hint="eastAsia"/>
                <w:color w:val="000000" w:themeColor="text1"/>
                <w:sz w:val="21"/>
                <w:szCs w:val="21"/>
                <w:lang w:val="zh-CN"/>
                <w14:textFill>
                  <w14:solidFill>
                    <w14:schemeClr w14:val="tx1"/>
                  </w14:solidFill>
                </w14:textFill>
              </w:rPr>
              <w:t>供应商投诉</w:t>
            </w:r>
          </w:p>
        </w:tc>
        <w:tc>
          <w:tcPr>
            <w:tcW w:w="6084" w:type="dxa"/>
            <w:tcBorders>
              <w:bottom w:val="single" w:color="auto" w:sz="4" w:space="0"/>
            </w:tcBorders>
            <w:vAlign w:val="center"/>
          </w:tcPr>
          <w:p>
            <w:pPr>
              <w:pStyle w:val="76"/>
              <w:spacing w:line="360" w:lineRule="auto"/>
              <w:ind w:left="634" w:leftChars="102" w:hanging="420" w:hangingChars="200"/>
              <w:jc w:val="both"/>
              <w:rPr>
                <w:color w:val="000000" w:themeColor="text1"/>
                <w:sz w:val="21"/>
                <w:szCs w:val="21"/>
                <w:lang w:val="zh-CN"/>
                <w14:textFill>
                  <w14:solidFill>
                    <w14:schemeClr w14:val="tx1"/>
                  </w14:solidFill>
                </w14:textFill>
              </w:rPr>
            </w:pPr>
            <w:r>
              <w:rPr>
                <w:rFonts w:hint="eastAsia"/>
                <w:color w:val="000000" w:themeColor="text1"/>
                <w:sz w:val="21"/>
                <w:szCs w:val="21"/>
                <w:lang w:val="zh-CN"/>
                <w14:textFill>
                  <w14:solidFill>
                    <w14:schemeClr w14:val="tx1"/>
                  </w14:solidFill>
                </w14:textFill>
              </w:rPr>
              <w:t>投诉受理单位：</w:t>
            </w:r>
            <w:r>
              <w:rPr>
                <w:rFonts w:hint="eastAsia"/>
                <w:color w:val="000000" w:themeColor="text1"/>
                <w:sz w:val="21"/>
                <w:szCs w:val="21"/>
                <w14:textFill>
                  <w14:solidFill>
                    <w14:schemeClr w14:val="tx1"/>
                  </w14:solidFill>
                </w14:textFill>
              </w:rPr>
              <w:t>乐山市金口河区财政局</w:t>
            </w:r>
            <w:r>
              <w:rPr>
                <w:rFonts w:hint="eastAsia"/>
                <w:color w:val="000000" w:themeColor="text1"/>
                <w:sz w:val="21"/>
                <w:szCs w:val="21"/>
                <w:lang w:val="zh-CN"/>
                <w14:textFill>
                  <w14:solidFill>
                    <w14:schemeClr w14:val="tx1"/>
                  </w14:solidFill>
                </w14:textFill>
              </w:rPr>
              <w:t>。</w:t>
            </w:r>
          </w:p>
          <w:p>
            <w:pPr>
              <w:pStyle w:val="76"/>
              <w:spacing w:line="360" w:lineRule="auto"/>
              <w:ind w:left="634" w:leftChars="102" w:hanging="420" w:hangingChars="200"/>
              <w:jc w:val="both"/>
              <w:rPr>
                <w:color w:val="000000" w:themeColor="text1"/>
                <w:sz w:val="21"/>
                <w:szCs w:val="21"/>
                <w:lang w:val="zh-CN"/>
                <w14:textFill>
                  <w14:solidFill>
                    <w14:schemeClr w14:val="tx1"/>
                  </w14:solidFill>
                </w14:textFill>
              </w:rPr>
            </w:pPr>
            <w:r>
              <w:rPr>
                <w:rFonts w:hint="eastAsia"/>
                <w:color w:val="000000" w:themeColor="text1"/>
                <w:sz w:val="21"/>
                <w:szCs w:val="21"/>
                <w:lang w:val="zh-CN"/>
                <w14:textFill>
                  <w14:solidFill>
                    <w14:schemeClr w14:val="tx1"/>
                  </w14:solidFill>
                </w14:textFill>
              </w:rPr>
              <w:t>联系电话：0833-</w:t>
            </w:r>
            <w:r>
              <w:rPr>
                <w:rFonts w:hint="eastAsia"/>
                <w:color w:val="000000" w:themeColor="text1"/>
                <w:sz w:val="21"/>
                <w:szCs w:val="21"/>
                <w14:textFill>
                  <w14:solidFill>
                    <w14:schemeClr w14:val="tx1"/>
                  </w14:solidFill>
                </w14:textFill>
              </w:rPr>
              <w:t>2711163</w:t>
            </w:r>
            <w:r>
              <w:rPr>
                <w:rFonts w:hint="eastAsia"/>
                <w:color w:val="000000" w:themeColor="text1"/>
                <w:sz w:val="21"/>
                <w:szCs w:val="21"/>
                <w:lang w:val="zh-CN"/>
                <w14:textFill>
                  <w14:solidFill>
                    <w14:schemeClr w14:val="tx1"/>
                  </w14:solidFill>
                </w14:textFill>
              </w:rPr>
              <w:t>。</w:t>
            </w:r>
          </w:p>
          <w:p>
            <w:pPr>
              <w:pStyle w:val="76"/>
              <w:spacing w:line="360" w:lineRule="auto"/>
              <w:ind w:left="634" w:leftChars="102" w:hanging="420" w:hangingChars="200"/>
              <w:jc w:val="both"/>
              <w:rPr>
                <w:color w:val="000000" w:themeColor="text1"/>
                <w:sz w:val="21"/>
                <w:szCs w:val="21"/>
                <w:lang w:val="zh-CN"/>
                <w14:textFill>
                  <w14:solidFill>
                    <w14:schemeClr w14:val="tx1"/>
                  </w14:solidFill>
                </w14:textFill>
              </w:rPr>
            </w:pPr>
            <w:r>
              <w:rPr>
                <w:rFonts w:hint="eastAsia"/>
                <w:color w:val="000000" w:themeColor="text1"/>
                <w:sz w:val="21"/>
                <w:szCs w:val="21"/>
                <w:lang w:val="zh-CN"/>
                <w14:textFill>
                  <w14:solidFill>
                    <w14:schemeClr w14:val="tx1"/>
                  </w14:solidFill>
                </w14:textFill>
              </w:rPr>
              <w:t>联系地址：</w:t>
            </w:r>
            <w:r>
              <w:rPr>
                <w:rFonts w:hint="eastAsia"/>
                <w:color w:val="000000" w:themeColor="text1"/>
                <w:sz w:val="21"/>
                <w:szCs w:val="21"/>
                <w14:textFill>
                  <w14:solidFill>
                    <w14:schemeClr w14:val="tx1"/>
                  </w14:solidFill>
                </w14:textFill>
              </w:rPr>
              <w:t>乐山市金口河区新市街63号</w:t>
            </w:r>
            <w:r>
              <w:rPr>
                <w:rFonts w:hint="eastAsia"/>
                <w:color w:val="000000" w:themeColor="text1"/>
                <w:sz w:val="21"/>
                <w:szCs w:val="21"/>
                <w:lang w:val="zh-CN"/>
                <w14:textFill>
                  <w14:solidFill>
                    <w14:schemeClr w14:val="tx1"/>
                  </w14:solidFill>
                </w14:textFill>
              </w:rPr>
              <w:t>。</w:t>
            </w:r>
          </w:p>
          <w:p>
            <w:pPr>
              <w:pStyle w:val="76"/>
              <w:spacing w:line="360" w:lineRule="auto"/>
              <w:ind w:firstLine="210" w:firstLineChars="100"/>
              <w:jc w:val="both"/>
              <w:rPr>
                <w:color w:val="000000" w:themeColor="text1"/>
                <w:sz w:val="21"/>
                <w:szCs w:val="21"/>
                <w:lang w:val="zh-CN"/>
                <w14:textFill>
                  <w14:solidFill>
                    <w14:schemeClr w14:val="tx1"/>
                  </w14:solidFill>
                </w14:textFill>
              </w:rPr>
            </w:pPr>
            <w:r>
              <w:rPr>
                <w:rFonts w:hint="eastAsia"/>
                <w:color w:val="000000" w:themeColor="text1"/>
                <w:sz w:val="21"/>
                <w:szCs w:val="21"/>
                <w:lang w:val="zh-CN"/>
                <w14:textFill>
                  <w14:solidFill>
                    <w14:schemeClr w14:val="tx1"/>
                  </w14:solidFill>
                </w14:textFill>
              </w:rPr>
              <w:t>注：根据《中华人民共和国政府采购法》及其他有关等规定，供应商投诉事项不得超出已质疑事项的范围。</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20" w:hRule="atLeast"/>
          <w:jc w:val="center"/>
        </w:trPr>
        <w:tc>
          <w:tcPr>
            <w:tcW w:w="1013" w:type="dxa"/>
            <w:vAlign w:val="center"/>
          </w:tcPr>
          <w:p>
            <w:pPr>
              <w:pStyle w:val="76"/>
              <w:spacing w:line="360" w:lineRule="auto"/>
              <w:ind w:right="230"/>
              <w:jc w:val="center"/>
              <w:rPr>
                <w:color w:val="000000" w:themeColor="text1"/>
                <w:sz w:val="21"/>
                <w:szCs w:val="21"/>
                <w:lang w:val="zh-CN"/>
                <w14:textFill>
                  <w14:solidFill>
                    <w14:schemeClr w14:val="tx1"/>
                  </w14:solidFill>
                </w14:textFill>
              </w:rPr>
            </w:pPr>
            <w:r>
              <w:rPr>
                <w:rFonts w:hint="eastAsia"/>
                <w:color w:val="000000" w:themeColor="text1"/>
                <w:sz w:val="21"/>
                <w:szCs w:val="21"/>
                <w:lang w:val="zh-CN"/>
                <w14:textFill>
                  <w14:solidFill>
                    <w14:schemeClr w14:val="tx1"/>
                  </w14:solidFill>
                </w14:textFill>
              </w:rPr>
              <w:t>16</w:t>
            </w:r>
          </w:p>
        </w:tc>
        <w:tc>
          <w:tcPr>
            <w:tcW w:w="2409" w:type="dxa"/>
            <w:vAlign w:val="center"/>
          </w:tcPr>
          <w:p>
            <w:pPr>
              <w:pStyle w:val="76"/>
              <w:spacing w:line="360" w:lineRule="auto"/>
              <w:ind w:left="96"/>
              <w:jc w:val="center"/>
              <w:rPr>
                <w:color w:val="000000" w:themeColor="text1"/>
                <w:sz w:val="21"/>
                <w:szCs w:val="21"/>
                <w:lang w:val="zh-CN"/>
                <w14:textFill>
                  <w14:solidFill>
                    <w14:schemeClr w14:val="tx1"/>
                  </w14:solidFill>
                </w14:textFill>
              </w:rPr>
            </w:pPr>
            <w:r>
              <w:rPr>
                <w:rFonts w:hint="eastAsia"/>
                <w:color w:val="000000" w:themeColor="text1"/>
                <w:sz w:val="21"/>
                <w:szCs w:val="21"/>
                <w:lang w:val="zh-CN"/>
                <w14:textFill>
                  <w14:solidFill>
                    <w14:schemeClr w14:val="tx1"/>
                  </w14:solidFill>
                </w14:textFill>
              </w:rPr>
              <w:t>政府采购合同</w:t>
            </w:r>
          </w:p>
          <w:p>
            <w:pPr>
              <w:pStyle w:val="76"/>
              <w:spacing w:line="360" w:lineRule="auto"/>
              <w:ind w:left="96"/>
              <w:jc w:val="center"/>
              <w:rPr>
                <w:color w:val="000000" w:themeColor="text1"/>
                <w:sz w:val="21"/>
                <w:szCs w:val="21"/>
                <w:lang w:val="zh-CN"/>
                <w14:textFill>
                  <w14:solidFill>
                    <w14:schemeClr w14:val="tx1"/>
                  </w14:solidFill>
                </w14:textFill>
              </w:rPr>
            </w:pPr>
            <w:r>
              <w:rPr>
                <w:rFonts w:hint="eastAsia"/>
                <w:color w:val="000000" w:themeColor="text1"/>
                <w:sz w:val="21"/>
                <w:szCs w:val="21"/>
                <w:lang w:val="zh-CN"/>
                <w14:textFill>
                  <w14:solidFill>
                    <w14:schemeClr w14:val="tx1"/>
                  </w14:solidFill>
                </w14:textFill>
              </w:rPr>
              <w:t>公告备案</w:t>
            </w:r>
          </w:p>
        </w:tc>
        <w:tc>
          <w:tcPr>
            <w:tcW w:w="6084" w:type="dxa"/>
            <w:vAlign w:val="center"/>
          </w:tcPr>
          <w:p>
            <w:pPr>
              <w:pStyle w:val="76"/>
              <w:spacing w:line="360" w:lineRule="auto"/>
              <w:ind w:firstLine="210" w:firstLineChars="100"/>
              <w:jc w:val="both"/>
              <w:rPr>
                <w:color w:val="000000" w:themeColor="text1"/>
                <w:sz w:val="21"/>
                <w:szCs w:val="21"/>
                <w:lang w:val="zh-CN"/>
                <w14:textFill>
                  <w14:solidFill>
                    <w14:schemeClr w14:val="tx1"/>
                  </w14:solidFill>
                </w14:textFill>
              </w:rPr>
            </w:pPr>
            <w:bookmarkStart w:id="20" w:name="PO_默认文件内容_20"/>
            <w:r>
              <w:rPr>
                <w:rFonts w:hint="eastAsia"/>
                <w:color w:val="000000" w:themeColor="text1"/>
                <w:sz w:val="21"/>
                <w:szCs w:val="21"/>
                <w:lang w:val="zh-CN"/>
                <w14:textFill>
                  <w14:solidFill>
                    <w14:schemeClr w14:val="tx1"/>
                  </w14:solidFill>
                </w14:textFill>
              </w:rPr>
              <w:t>政府采购合同签订之日起2个工作日内，政府采购合同将在四川</w:t>
            </w:r>
          </w:p>
          <w:p>
            <w:pPr>
              <w:pStyle w:val="76"/>
              <w:spacing w:line="360" w:lineRule="auto"/>
              <w:ind w:firstLine="210" w:firstLineChars="100"/>
              <w:jc w:val="both"/>
              <w:rPr>
                <w:color w:val="000000" w:themeColor="text1"/>
                <w:sz w:val="21"/>
                <w:szCs w:val="21"/>
                <w:lang w:val="zh-CN"/>
                <w14:textFill>
                  <w14:solidFill>
                    <w14:schemeClr w14:val="tx1"/>
                  </w14:solidFill>
                </w14:textFill>
              </w:rPr>
            </w:pPr>
            <w:r>
              <w:rPr>
                <w:rFonts w:hint="eastAsia"/>
                <w:color w:val="000000" w:themeColor="text1"/>
                <w:sz w:val="21"/>
                <w:szCs w:val="21"/>
                <w:lang w:val="zh-CN"/>
                <w14:textFill>
                  <w14:solidFill>
                    <w14:schemeClr w14:val="tx1"/>
                  </w14:solidFill>
                </w14:textFill>
              </w:rPr>
              <w:t>政府采购网公告；政府采购合同签订之日起七个工作日内，政府</w:t>
            </w:r>
          </w:p>
          <w:p>
            <w:pPr>
              <w:pStyle w:val="76"/>
              <w:spacing w:line="360" w:lineRule="auto"/>
              <w:jc w:val="both"/>
              <w:rPr>
                <w:color w:val="000000" w:themeColor="text1"/>
                <w:sz w:val="21"/>
                <w:szCs w:val="21"/>
                <w:lang w:val="zh-CN"/>
                <w14:textFill>
                  <w14:solidFill>
                    <w14:schemeClr w14:val="tx1"/>
                  </w14:solidFill>
                </w14:textFill>
              </w:rPr>
            </w:pPr>
            <w:r>
              <w:rPr>
                <w:rFonts w:hint="eastAsia"/>
                <w:color w:val="000000" w:themeColor="text1"/>
                <w:sz w:val="21"/>
                <w:szCs w:val="21"/>
                <w:lang w:val="zh-CN"/>
                <w14:textFill>
                  <w14:solidFill>
                    <w14:schemeClr w14:val="tx1"/>
                  </w14:solidFill>
                </w14:textFill>
              </w:rPr>
              <w:t>采购合同将向采购项目同级财政部门备案。</w:t>
            </w:r>
            <w:bookmarkEnd w:id="20"/>
          </w:p>
          <w:p>
            <w:pPr>
              <w:pStyle w:val="76"/>
              <w:spacing w:line="360" w:lineRule="auto"/>
              <w:ind w:left="151" w:leftChars="72" w:firstLine="210" w:firstLineChars="100"/>
              <w:jc w:val="both"/>
              <w:rPr>
                <w:color w:val="000000" w:themeColor="text1"/>
                <w:sz w:val="21"/>
                <w:szCs w:val="21"/>
                <w:lang w:val="zh-CN"/>
                <w14:textFill>
                  <w14:solidFill>
                    <w14:schemeClr w14:val="tx1"/>
                  </w14:solidFill>
                </w14:textFill>
              </w:rPr>
            </w:pPr>
            <w:r>
              <w:rPr>
                <w:rFonts w:hint="eastAsia"/>
                <w:color w:val="000000" w:themeColor="text1"/>
                <w:sz w:val="21"/>
                <w:szCs w:val="21"/>
                <w:lang w:val="zh-CN"/>
                <w14:textFill>
                  <w14:solidFill>
                    <w14:schemeClr w14:val="tx1"/>
                  </w14:solidFill>
                </w14:textFill>
              </w:rPr>
              <w:t>违规签订政府采购合同将依法追究法律责任。</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20" w:hRule="atLeast"/>
          <w:jc w:val="center"/>
        </w:trPr>
        <w:tc>
          <w:tcPr>
            <w:tcW w:w="1013" w:type="dxa"/>
            <w:vAlign w:val="center"/>
          </w:tcPr>
          <w:p>
            <w:pPr>
              <w:pStyle w:val="76"/>
              <w:spacing w:line="360" w:lineRule="auto"/>
              <w:ind w:right="230"/>
              <w:jc w:val="center"/>
              <w:rPr>
                <w:color w:val="000000" w:themeColor="text1"/>
                <w:sz w:val="21"/>
                <w:szCs w:val="21"/>
                <w:lang w:val="zh-CN"/>
                <w14:textFill>
                  <w14:solidFill>
                    <w14:schemeClr w14:val="tx1"/>
                  </w14:solidFill>
                </w14:textFill>
              </w:rPr>
            </w:pPr>
            <w:r>
              <w:rPr>
                <w:rFonts w:hint="eastAsia"/>
                <w:color w:val="000000" w:themeColor="text1"/>
                <w:sz w:val="21"/>
                <w:szCs w:val="21"/>
                <w:lang w:val="zh-CN"/>
                <w14:textFill>
                  <w14:solidFill>
                    <w14:schemeClr w14:val="tx1"/>
                  </w14:solidFill>
                </w14:textFill>
              </w:rPr>
              <w:t>17</w:t>
            </w:r>
          </w:p>
        </w:tc>
        <w:tc>
          <w:tcPr>
            <w:tcW w:w="2409" w:type="dxa"/>
            <w:vAlign w:val="center"/>
          </w:tcPr>
          <w:p>
            <w:pPr>
              <w:pStyle w:val="76"/>
              <w:spacing w:line="360" w:lineRule="auto"/>
              <w:ind w:left="96"/>
              <w:jc w:val="center"/>
              <w:rPr>
                <w:color w:val="000000" w:themeColor="text1"/>
                <w:sz w:val="21"/>
                <w:szCs w:val="21"/>
                <w:lang w:val="zh-CN"/>
                <w14:textFill>
                  <w14:solidFill>
                    <w14:schemeClr w14:val="tx1"/>
                  </w14:solidFill>
                </w14:textFill>
              </w:rPr>
            </w:pPr>
            <w:r>
              <w:rPr>
                <w:rFonts w:hint="eastAsia"/>
                <w:color w:val="000000" w:themeColor="text1"/>
                <w:sz w:val="21"/>
                <w:szCs w:val="21"/>
                <w:lang w:val="zh-CN"/>
                <w14:textFill>
                  <w14:solidFill>
                    <w14:schemeClr w14:val="tx1"/>
                  </w14:solidFill>
                </w14:textFill>
              </w:rPr>
              <w:t>代理服务费</w:t>
            </w:r>
          </w:p>
        </w:tc>
        <w:tc>
          <w:tcPr>
            <w:tcW w:w="6084" w:type="dxa"/>
            <w:vAlign w:val="center"/>
          </w:tcPr>
          <w:p>
            <w:pPr>
              <w:pStyle w:val="76"/>
              <w:spacing w:line="360" w:lineRule="auto"/>
              <w:ind w:left="155" w:leftChars="74" w:firstLine="56" w:firstLineChars="27"/>
              <w:jc w:val="both"/>
              <w:rPr>
                <w:color w:val="000000" w:themeColor="text1"/>
                <w:sz w:val="21"/>
                <w:szCs w:val="21"/>
                <w:lang w:val="zh-CN"/>
                <w14:textFill>
                  <w14:solidFill>
                    <w14:schemeClr w14:val="tx1"/>
                  </w14:solidFill>
                </w14:textFill>
              </w:rPr>
            </w:pPr>
            <w:r>
              <w:rPr>
                <w:rFonts w:hint="eastAsia"/>
                <w:color w:val="000000" w:themeColor="text1"/>
                <w:sz w:val="21"/>
                <w:szCs w:val="21"/>
                <w14:textFill>
                  <w14:solidFill>
                    <w14:schemeClr w14:val="tx1"/>
                  </w14:solidFill>
                </w14:textFill>
              </w:rPr>
              <w:t>无</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20" w:hRule="atLeast"/>
          <w:jc w:val="center"/>
        </w:trPr>
        <w:tc>
          <w:tcPr>
            <w:tcW w:w="1013" w:type="dxa"/>
            <w:vAlign w:val="center"/>
          </w:tcPr>
          <w:p>
            <w:pPr>
              <w:pStyle w:val="76"/>
              <w:spacing w:line="360" w:lineRule="auto"/>
              <w:ind w:right="230"/>
              <w:jc w:val="center"/>
              <w:rPr>
                <w:color w:val="000000" w:themeColor="text1"/>
                <w:sz w:val="21"/>
                <w:szCs w:val="21"/>
                <w:lang w:val="zh-CN"/>
                <w14:textFill>
                  <w14:solidFill>
                    <w14:schemeClr w14:val="tx1"/>
                  </w14:solidFill>
                </w14:textFill>
              </w:rPr>
            </w:pPr>
            <w:r>
              <w:rPr>
                <w:rFonts w:hint="eastAsia"/>
                <w:color w:val="000000" w:themeColor="text1"/>
                <w:sz w:val="21"/>
                <w:szCs w:val="21"/>
                <w:lang w:val="zh-CN"/>
                <w14:textFill>
                  <w14:solidFill>
                    <w14:schemeClr w14:val="tx1"/>
                  </w14:solidFill>
                </w14:textFill>
              </w:rPr>
              <w:t>18</w:t>
            </w:r>
          </w:p>
        </w:tc>
        <w:tc>
          <w:tcPr>
            <w:tcW w:w="2409" w:type="dxa"/>
            <w:vAlign w:val="center"/>
          </w:tcPr>
          <w:p>
            <w:pPr>
              <w:pStyle w:val="76"/>
              <w:spacing w:line="360" w:lineRule="auto"/>
              <w:ind w:left="96"/>
              <w:jc w:val="center"/>
              <w:rPr>
                <w:color w:val="000000" w:themeColor="text1"/>
                <w:sz w:val="21"/>
                <w:szCs w:val="21"/>
                <w:lang w:val="zh-CN"/>
                <w14:textFill>
                  <w14:solidFill>
                    <w14:schemeClr w14:val="tx1"/>
                  </w14:solidFill>
                </w14:textFill>
              </w:rPr>
            </w:pPr>
            <w:r>
              <w:rPr>
                <w:rFonts w:hint="eastAsia"/>
                <w:color w:val="000000" w:themeColor="text1"/>
                <w:sz w:val="21"/>
                <w:szCs w:val="21"/>
                <w:lang w:val="zh-CN"/>
                <w14:textFill>
                  <w14:solidFill>
                    <w14:schemeClr w14:val="tx1"/>
                  </w14:solidFill>
                </w14:textFill>
              </w:rPr>
              <w:t>合同分包</w:t>
            </w:r>
          </w:p>
        </w:tc>
        <w:tc>
          <w:tcPr>
            <w:tcW w:w="6084" w:type="dxa"/>
            <w:vAlign w:val="center"/>
          </w:tcPr>
          <w:p>
            <w:pPr>
              <w:pStyle w:val="76"/>
              <w:spacing w:line="360" w:lineRule="auto"/>
              <w:ind w:left="155" w:leftChars="74" w:firstLine="56" w:firstLineChars="27"/>
              <w:jc w:val="both"/>
              <w:rPr>
                <w:color w:val="000000" w:themeColor="text1"/>
                <w:sz w:val="21"/>
                <w:szCs w:val="21"/>
                <w:lang w:val="zh-CN"/>
                <w14:textFill>
                  <w14:solidFill>
                    <w14:schemeClr w14:val="tx1"/>
                  </w14:solidFill>
                </w14:textFill>
              </w:rPr>
            </w:pPr>
            <w:r>
              <w:rPr>
                <w:rFonts w:hint="eastAsia"/>
                <w:color w:val="000000" w:themeColor="text1"/>
                <w:sz w:val="21"/>
                <w:szCs w:val="21"/>
                <w:lang w:val="zh-CN"/>
                <w14:textFill>
                  <w14:solidFill>
                    <w14:schemeClr w14:val="tx1"/>
                  </w14:solidFill>
                </w14:textFill>
              </w:rPr>
              <w:t>本项目不接受合同分包</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20" w:hRule="atLeast"/>
          <w:jc w:val="center"/>
        </w:trPr>
        <w:tc>
          <w:tcPr>
            <w:tcW w:w="1013" w:type="dxa"/>
            <w:vAlign w:val="center"/>
          </w:tcPr>
          <w:p>
            <w:pPr>
              <w:pStyle w:val="76"/>
              <w:spacing w:line="360" w:lineRule="auto"/>
              <w:ind w:right="230"/>
              <w:jc w:val="center"/>
              <w:rPr>
                <w:color w:val="000000" w:themeColor="text1"/>
                <w:sz w:val="21"/>
                <w:szCs w:val="21"/>
                <w:lang w:val="zh-CN"/>
                <w14:textFill>
                  <w14:solidFill>
                    <w14:schemeClr w14:val="tx1"/>
                  </w14:solidFill>
                </w14:textFill>
              </w:rPr>
            </w:pPr>
            <w:r>
              <w:rPr>
                <w:rFonts w:hint="eastAsia"/>
                <w:color w:val="000000" w:themeColor="text1"/>
                <w:sz w:val="21"/>
                <w:szCs w:val="21"/>
                <w:lang w:val="zh-CN"/>
                <w14:textFill>
                  <w14:solidFill>
                    <w14:schemeClr w14:val="tx1"/>
                  </w14:solidFill>
                </w14:textFill>
              </w:rPr>
              <w:t>19</w:t>
            </w:r>
          </w:p>
        </w:tc>
        <w:tc>
          <w:tcPr>
            <w:tcW w:w="2409" w:type="dxa"/>
            <w:vAlign w:val="center"/>
          </w:tcPr>
          <w:p>
            <w:pPr>
              <w:pStyle w:val="76"/>
              <w:spacing w:line="360" w:lineRule="auto"/>
              <w:ind w:left="155" w:leftChars="74" w:firstLine="56" w:firstLineChars="27"/>
              <w:jc w:val="center"/>
              <w:rPr>
                <w:color w:val="000000" w:themeColor="text1"/>
                <w:sz w:val="21"/>
                <w:szCs w:val="21"/>
                <w:lang w:val="zh-CN"/>
                <w14:textFill>
                  <w14:solidFill>
                    <w14:schemeClr w14:val="tx1"/>
                  </w14:solidFill>
                </w14:textFill>
              </w:rPr>
            </w:pPr>
            <w:r>
              <w:rPr>
                <w:rFonts w:hint="eastAsia"/>
                <w:color w:val="000000" w:themeColor="text1"/>
                <w:sz w:val="21"/>
                <w:szCs w:val="21"/>
                <w:lang w:val="zh-CN"/>
                <w14:textFill>
                  <w14:solidFill>
                    <w14:schemeClr w14:val="tx1"/>
                  </w14:solidFill>
                </w14:textFill>
              </w:rPr>
              <w:t>声明承诺提醒</w:t>
            </w:r>
          </w:p>
        </w:tc>
        <w:tc>
          <w:tcPr>
            <w:tcW w:w="6084" w:type="dxa"/>
            <w:vAlign w:val="center"/>
          </w:tcPr>
          <w:p>
            <w:pPr>
              <w:pStyle w:val="76"/>
              <w:spacing w:line="360" w:lineRule="auto"/>
              <w:ind w:left="155" w:leftChars="74" w:firstLine="264" w:firstLineChars="126"/>
              <w:jc w:val="both"/>
              <w:rPr>
                <w:color w:val="000000" w:themeColor="text1"/>
                <w:sz w:val="21"/>
                <w:szCs w:val="21"/>
                <w:lang w:val="zh-CN"/>
                <w14:textFill>
                  <w14:solidFill>
                    <w14:schemeClr w14:val="tx1"/>
                  </w14:solidFill>
                </w14:textFill>
              </w:rPr>
            </w:pPr>
            <w:r>
              <w:rPr>
                <w:rFonts w:hint="eastAsia"/>
                <w:color w:val="000000" w:themeColor="text1"/>
                <w:sz w:val="21"/>
                <w:szCs w:val="21"/>
                <w:lang w:val="zh-CN"/>
                <w14:textFill>
                  <w14:solidFill>
                    <w14:schemeClr w14:val="tx1"/>
                  </w14:solidFill>
                </w14:textFill>
              </w:rPr>
              <w:t>供应商响应文件中提供的各种声明和承诺应当真实有效，无效声明和承诺、虚假声明和承诺将由供应商自己承担由此带来的任何不利后果，虚假声明和承诺还将报告监管部门追究法律责任。</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20" w:hRule="atLeast"/>
          <w:jc w:val="center"/>
        </w:trPr>
        <w:tc>
          <w:tcPr>
            <w:tcW w:w="1013" w:type="dxa"/>
            <w:vAlign w:val="center"/>
          </w:tcPr>
          <w:p>
            <w:pPr>
              <w:pStyle w:val="76"/>
              <w:spacing w:line="360" w:lineRule="auto"/>
              <w:ind w:right="230"/>
              <w:jc w:val="center"/>
              <w:rPr>
                <w:color w:val="000000" w:themeColor="text1"/>
                <w:sz w:val="21"/>
                <w:szCs w:val="21"/>
                <w:highlight w:val="yellow"/>
                <w:lang w:val="zh-CN"/>
                <w14:textFill>
                  <w14:solidFill>
                    <w14:schemeClr w14:val="tx1"/>
                  </w14:solidFill>
                </w14:textFill>
              </w:rPr>
            </w:pPr>
            <w:r>
              <w:rPr>
                <w:rFonts w:hint="eastAsia"/>
                <w:color w:val="000000" w:themeColor="text1"/>
                <w:sz w:val="21"/>
                <w:szCs w:val="21"/>
                <w:lang w:val="zh-CN"/>
                <w14:textFill>
                  <w14:solidFill>
                    <w14:schemeClr w14:val="tx1"/>
                  </w14:solidFill>
                </w14:textFill>
              </w:rPr>
              <w:t>20</w:t>
            </w:r>
          </w:p>
        </w:tc>
        <w:tc>
          <w:tcPr>
            <w:tcW w:w="2409" w:type="dxa"/>
            <w:vAlign w:val="center"/>
          </w:tcPr>
          <w:p>
            <w:pPr>
              <w:pStyle w:val="76"/>
              <w:spacing w:line="360" w:lineRule="auto"/>
              <w:ind w:left="155" w:leftChars="74" w:firstLine="56" w:firstLineChars="27"/>
              <w:jc w:val="center"/>
              <w:rPr>
                <w:color w:val="000000" w:themeColor="text1"/>
                <w:sz w:val="21"/>
                <w:szCs w:val="21"/>
                <w:lang w:val="zh-CN"/>
                <w14:textFill>
                  <w14:solidFill>
                    <w14:schemeClr w14:val="tx1"/>
                  </w14:solidFill>
                </w14:textFill>
              </w:rPr>
            </w:pPr>
            <w:r>
              <w:rPr>
                <w:rFonts w:hint="eastAsia"/>
                <w:color w:val="000000" w:themeColor="text1"/>
                <w:sz w:val="21"/>
                <w:szCs w:val="21"/>
                <w:lang w:val="zh-CN"/>
                <w14:textFill>
                  <w14:solidFill>
                    <w14:schemeClr w14:val="tx1"/>
                  </w14:solidFill>
                </w14:textFill>
              </w:rPr>
              <w:t>中小企业政府采购信用融资</w:t>
            </w:r>
          </w:p>
        </w:tc>
        <w:tc>
          <w:tcPr>
            <w:tcW w:w="6084" w:type="dxa"/>
            <w:vAlign w:val="center"/>
          </w:tcPr>
          <w:p>
            <w:pPr>
              <w:pStyle w:val="76"/>
              <w:spacing w:line="360" w:lineRule="auto"/>
              <w:ind w:left="155" w:leftChars="74" w:firstLine="264" w:firstLineChars="126"/>
              <w:jc w:val="both"/>
              <w:rPr>
                <w:color w:val="000000" w:themeColor="text1"/>
                <w:sz w:val="21"/>
                <w:szCs w:val="21"/>
                <w:lang w:val="zh-CN"/>
                <w14:textFill>
                  <w14:solidFill>
                    <w14:schemeClr w14:val="tx1"/>
                  </w14:solidFill>
                </w14:textFill>
              </w:rPr>
            </w:pPr>
            <w:r>
              <w:rPr>
                <w:rFonts w:hint="eastAsia"/>
                <w:color w:val="000000" w:themeColor="text1"/>
                <w:sz w:val="21"/>
                <w:szCs w:val="21"/>
                <w:lang w:val="zh-CN"/>
                <w14:textFill>
                  <w14:solidFill>
                    <w14:schemeClr w14:val="tx1"/>
                  </w14:solidFill>
                </w14:textFill>
              </w:rPr>
              <w:t>参加本次采购活动成交的中小企业无需提供财产抵押或第三方担保，凭借政府采购合同可向金融机构申请融资。相关政策规定内容请在“四川政府采购网”查询。</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20" w:hRule="atLeast"/>
          <w:jc w:val="center"/>
        </w:trPr>
        <w:tc>
          <w:tcPr>
            <w:tcW w:w="1013" w:type="dxa"/>
            <w:tcBorders>
              <w:bottom w:val="single" w:color="auto" w:sz="18" w:space="0"/>
            </w:tcBorders>
            <w:vAlign w:val="center"/>
          </w:tcPr>
          <w:p>
            <w:pPr>
              <w:pStyle w:val="76"/>
              <w:spacing w:line="360" w:lineRule="auto"/>
              <w:ind w:right="230"/>
              <w:jc w:val="center"/>
              <w:rPr>
                <w:rFonts w:hint="default" w:eastAsia="宋体"/>
                <w:color w:val="000000" w:themeColor="text1"/>
                <w:sz w:val="21"/>
                <w:szCs w:val="21"/>
                <w:lang w:val="en-US" w:eastAsia="zh-CN"/>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21</w:t>
            </w:r>
          </w:p>
        </w:tc>
        <w:tc>
          <w:tcPr>
            <w:tcW w:w="2409" w:type="dxa"/>
            <w:tcBorders>
              <w:bottom w:val="single" w:color="auto" w:sz="18" w:space="0"/>
            </w:tcBorders>
            <w:vAlign w:val="center"/>
          </w:tcPr>
          <w:p>
            <w:pPr>
              <w:pStyle w:val="76"/>
              <w:spacing w:line="360" w:lineRule="auto"/>
              <w:ind w:left="155" w:leftChars="74" w:firstLine="56" w:firstLineChars="27"/>
              <w:jc w:val="center"/>
              <w:rPr>
                <w:rFonts w:hint="eastAsia"/>
                <w:color w:val="000000" w:themeColor="text1"/>
                <w:sz w:val="21"/>
                <w:szCs w:val="21"/>
                <w:lang w:val="zh-CN"/>
                <w14:textFill>
                  <w14:solidFill>
                    <w14:schemeClr w14:val="tx1"/>
                  </w14:solidFill>
                </w14:textFill>
              </w:rPr>
            </w:pPr>
            <w:r>
              <w:rPr>
                <w:rFonts w:hint="eastAsia"/>
                <w:color w:val="000000" w:themeColor="text1"/>
                <w:sz w:val="21"/>
                <w:szCs w:val="21"/>
                <w:lang w:val="zh-CN" w:eastAsia="zh-CN"/>
                <w14:textFill>
                  <w14:solidFill>
                    <w14:schemeClr w14:val="tx1"/>
                  </w14:solidFill>
                </w14:textFill>
              </w:rPr>
              <w:t>疫情防控特别说明</w:t>
            </w:r>
          </w:p>
        </w:tc>
        <w:tc>
          <w:tcPr>
            <w:tcW w:w="6084" w:type="dxa"/>
            <w:tcBorders>
              <w:bottom w:val="single" w:color="auto" w:sz="18" w:space="0"/>
            </w:tcBorders>
            <w:vAlign w:val="center"/>
          </w:tcPr>
          <w:p>
            <w:pPr>
              <w:pStyle w:val="76"/>
              <w:spacing w:line="360" w:lineRule="auto"/>
              <w:ind w:left="155" w:leftChars="74" w:firstLine="264" w:firstLineChars="126"/>
              <w:jc w:val="both"/>
              <w:rPr>
                <w:rFonts w:hint="eastAsia"/>
                <w:color w:val="000000" w:themeColor="text1"/>
                <w:sz w:val="21"/>
                <w:szCs w:val="21"/>
                <w:lang w:val="zh-CN"/>
                <w14:textFill>
                  <w14:solidFill>
                    <w14:schemeClr w14:val="tx1"/>
                  </w14:solidFill>
                </w14:textFill>
              </w:rPr>
            </w:pPr>
            <w:r>
              <w:rPr>
                <w:rFonts w:hint="eastAsia"/>
                <w:color w:val="000000" w:themeColor="text1"/>
                <w:sz w:val="21"/>
                <w:szCs w:val="21"/>
                <w:lang w:val="zh-CN"/>
                <w14:textFill>
                  <w14:solidFill>
                    <w14:schemeClr w14:val="tx1"/>
                  </w14:solidFill>
                </w14:textFill>
              </w:rPr>
              <w:t>（一）全员登记监测。进入</w:t>
            </w:r>
            <w:r>
              <w:rPr>
                <w:rFonts w:hint="eastAsia"/>
                <w:color w:val="000000" w:themeColor="text1"/>
                <w:sz w:val="21"/>
                <w:szCs w:val="21"/>
                <w:lang w:val="en-US" w:eastAsia="zh-CN"/>
                <w14:textFill>
                  <w14:solidFill>
                    <w14:schemeClr w14:val="tx1"/>
                  </w14:solidFill>
                </w14:textFill>
              </w:rPr>
              <w:t>交易场地</w:t>
            </w:r>
            <w:r>
              <w:rPr>
                <w:rFonts w:hint="eastAsia"/>
                <w:color w:val="000000" w:themeColor="text1"/>
                <w:sz w:val="21"/>
                <w:szCs w:val="21"/>
                <w:lang w:val="zh-CN"/>
                <w14:textFill>
                  <w14:solidFill>
                    <w14:schemeClr w14:val="tx1"/>
                  </w14:solidFill>
                </w14:textFill>
              </w:rPr>
              <w:t>的各类人员应自觉做好个人防护，正确佩戴无呼吸气阀的合格口罩，并携带身份证原件，至少提前30分钟到达检疫点，主动接受身份核验、体温检测等防控工作。未正确佩戴合格口罩、体温超过37.3℃、有疫情接触史且医学观察未满14天者将被劝返，必要的应配合区域防疫机构强制隔离。</w:t>
            </w:r>
          </w:p>
          <w:p>
            <w:pPr>
              <w:pStyle w:val="76"/>
              <w:spacing w:line="360" w:lineRule="auto"/>
              <w:ind w:left="155" w:leftChars="74" w:firstLine="264" w:firstLineChars="126"/>
              <w:jc w:val="both"/>
              <w:rPr>
                <w:rFonts w:hint="eastAsia"/>
                <w:color w:val="000000" w:themeColor="text1"/>
                <w:sz w:val="21"/>
                <w:szCs w:val="21"/>
                <w:lang w:val="zh-CN"/>
                <w14:textFill>
                  <w14:solidFill>
                    <w14:schemeClr w14:val="tx1"/>
                  </w14:solidFill>
                </w14:textFill>
              </w:rPr>
            </w:pPr>
            <w:r>
              <w:rPr>
                <w:rFonts w:hint="eastAsia"/>
                <w:color w:val="000000" w:themeColor="text1"/>
                <w:sz w:val="21"/>
                <w:szCs w:val="21"/>
                <w:lang w:val="zh-CN"/>
                <w14:textFill>
                  <w14:solidFill>
                    <w14:schemeClr w14:val="tx1"/>
                  </w14:solidFill>
                </w14:textFill>
              </w:rPr>
              <w:t>（二）全员主动承诺。各市场主体、评标专家、监督人员应指派无疫情接触史、身体健康且符合防疫要求的人员参加现场交易活动，并提前准备四川天府健康码</w:t>
            </w:r>
            <w:r>
              <w:rPr>
                <w:rFonts w:hint="eastAsia"/>
                <w:color w:val="000000" w:themeColor="text1"/>
                <w:sz w:val="21"/>
                <w:szCs w:val="21"/>
                <w:lang w:val="en-US" w:eastAsia="zh-CN"/>
                <w14:textFill>
                  <w14:solidFill>
                    <w14:schemeClr w14:val="tx1"/>
                  </w14:solidFill>
                </w14:textFill>
              </w:rPr>
              <w:t>绿码、行程码</w:t>
            </w:r>
            <w:r>
              <w:rPr>
                <w:rFonts w:hint="eastAsia"/>
                <w:color w:val="000000" w:themeColor="text1"/>
                <w:sz w:val="21"/>
                <w:szCs w:val="21"/>
                <w:lang w:val="zh-CN"/>
                <w14:textFill>
                  <w14:solidFill>
                    <w14:schemeClr w14:val="tx1"/>
                  </w14:solidFill>
                </w14:textFill>
              </w:rPr>
              <w:t>，于开标当日到达时出示至检疫点工作人员检查。</w:t>
            </w:r>
          </w:p>
          <w:p>
            <w:pPr>
              <w:pStyle w:val="76"/>
              <w:spacing w:line="360" w:lineRule="auto"/>
              <w:ind w:left="155" w:leftChars="74" w:firstLine="264" w:firstLineChars="126"/>
              <w:jc w:val="both"/>
              <w:rPr>
                <w:rFonts w:hint="eastAsia"/>
                <w:color w:val="000000" w:themeColor="text1"/>
                <w:sz w:val="21"/>
                <w:szCs w:val="21"/>
                <w:lang w:val="zh-CN"/>
                <w14:textFill>
                  <w14:solidFill>
                    <w14:schemeClr w14:val="tx1"/>
                  </w14:solidFill>
                </w14:textFill>
              </w:rPr>
            </w:pPr>
            <w:r>
              <w:rPr>
                <w:rFonts w:hint="eastAsia"/>
                <w:color w:val="000000" w:themeColor="text1"/>
                <w:sz w:val="21"/>
                <w:szCs w:val="21"/>
                <w:lang w:val="zh-CN"/>
                <w14:textFill>
                  <w14:solidFill>
                    <w14:schemeClr w14:val="tx1"/>
                  </w14:solidFill>
                </w14:textFill>
              </w:rPr>
              <w:t>（三）保持安全距离。交易当天，进场人员应积极配合工作人员做好场地调配及人员引导工作。所有人员在场内等候或工作期间，应全程佩戴口罩，座位隔空就座，保持间隔距离，不扎堆聚集，不喧哗闲聊，不随意走动，废弃口罩定点投放。</w:t>
            </w:r>
          </w:p>
          <w:p>
            <w:pPr>
              <w:pStyle w:val="76"/>
              <w:spacing w:line="360" w:lineRule="auto"/>
              <w:ind w:left="155" w:leftChars="74" w:firstLine="264" w:firstLineChars="126"/>
              <w:jc w:val="both"/>
              <w:rPr>
                <w:rFonts w:hint="eastAsia"/>
                <w:color w:val="000000" w:themeColor="text1"/>
                <w:sz w:val="21"/>
                <w:szCs w:val="21"/>
                <w:lang w:val="zh-CN"/>
                <w14:textFill>
                  <w14:solidFill>
                    <w14:schemeClr w14:val="tx1"/>
                  </w14:solidFill>
                </w14:textFill>
              </w:rPr>
            </w:pPr>
            <w:r>
              <w:rPr>
                <w:rFonts w:hint="eastAsia"/>
                <w:color w:val="000000" w:themeColor="text1"/>
                <w:sz w:val="21"/>
                <w:szCs w:val="21"/>
                <w:lang w:val="zh-CN"/>
                <w14:textFill>
                  <w14:solidFill>
                    <w14:schemeClr w14:val="tx1"/>
                  </w14:solidFill>
                </w14:textFill>
              </w:rPr>
              <w:t>（</w:t>
            </w:r>
            <w:r>
              <w:rPr>
                <w:rFonts w:hint="eastAsia"/>
                <w:color w:val="000000" w:themeColor="text1"/>
                <w:sz w:val="21"/>
                <w:szCs w:val="21"/>
                <w:lang w:val="en-US" w:eastAsia="zh-CN"/>
                <w14:textFill>
                  <w14:solidFill>
                    <w14:schemeClr w14:val="tx1"/>
                  </w14:solidFill>
                </w14:textFill>
              </w:rPr>
              <w:t>四</w:t>
            </w:r>
            <w:r>
              <w:rPr>
                <w:rFonts w:hint="eastAsia"/>
                <w:color w:val="000000" w:themeColor="text1"/>
                <w:sz w:val="21"/>
                <w:szCs w:val="21"/>
                <w:lang w:val="zh-CN"/>
                <w14:textFill>
                  <w14:solidFill>
                    <w14:schemeClr w14:val="tx1"/>
                  </w14:solidFill>
                </w14:textFill>
              </w:rPr>
              <w:t>）开标活动结束后，</w:t>
            </w:r>
            <w:r>
              <w:rPr>
                <w:rFonts w:hint="eastAsia"/>
                <w:color w:val="000000" w:themeColor="text1"/>
                <w:sz w:val="21"/>
                <w:szCs w:val="21"/>
                <w:lang w:val="en-US" w:eastAsia="zh-CN"/>
                <w14:textFill>
                  <w14:solidFill>
                    <w14:schemeClr w14:val="tx1"/>
                  </w14:solidFill>
                </w14:textFill>
              </w:rPr>
              <w:t>听从工作人员安排</w:t>
            </w:r>
            <w:r>
              <w:rPr>
                <w:rFonts w:hint="eastAsia"/>
                <w:color w:val="000000" w:themeColor="text1"/>
                <w:sz w:val="21"/>
                <w:szCs w:val="21"/>
                <w:lang w:val="zh-CN"/>
                <w14:textFill>
                  <w14:solidFill>
                    <w14:schemeClr w14:val="tx1"/>
                  </w14:solidFill>
                </w14:textFill>
              </w:rPr>
              <w:t>，保持通讯畅通，为确保澄清（如有）、</w:t>
            </w:r>
            <w:r>
              <w:rPr>
                <w:rFonts w:hint="eastAsia"/>
                <w:color w:val="000000" w:themeColor="text1"/>
                <w:sz w:val="21"/>
                <w:szCs w:val="21"/>
                <w:lang w:val="en-US" w:eastAsia="zh-CN"/>
                <w14:textFill>
                  <w14:solidFill>
                    <w14:schemeClr w14:val="tx1"/>
                  </w14:solidFill>
                </w14:textFill>
              </w:rPr>
              <w:t>谈判等</w:t>
            </w:r>
            <w:r>
              <w:rPr>
                <w:rFonts w:hint="eastAsia"/>
                <w:color w:val="000000" w:themeColor="text1"/>
                <w:sz w:val="21"/>
                <w:szCs w:val="21"/>
                <w:lang w:val="zh-CN"/>
                <w14:textFill>
                  <w14:solidFill>
                    <w14:schemeClr w14:val="tx1"/>
                  </w14:solidFill>
                </w14:textFill>
              </w:rPr>
              <w:t>环节的顺利进行，供应商代表在接到电话通知后须在10分钟内到达开标地点。</w:t>
            </w:r>
          </w:p>
          <w:p>
            <w:pPr>
              <w:pStyle w:val="76"/>
              <w:spacing w:line="360" w:lineRule="auto"/>
              <w:ind w:left="155" w:leftChars="74" w:firstLine="264" w:firstLineChars="126"/>
              <w:jc w:val="both"/>
              <w:rPr>
                <w:rFonts w:hint="eastAsia"/>
                <w:color w:val="000000" w:themeColor="text1"/>
                <w:sz w:val="21"/>
                <w:szCs w:val="21"/>
                <w:lang w:val="zh-CN"/>
                <w14:textFill>
                  <w14:solidFill>
                    <w14:schemeClr w14:val="tx1"/>
                  </w14:solidFill>
                </w14:textFill>
              </w:rPr>
            </w:pPr>
            <w:r>
              <w:rPr>
                <w:rFonts w:hint="eastAsia"/>
                <w:color w:val="000000" w:themeColor="text1"/>
                <w:sz w:val="21"/>
                <w:szCs w:val="21"/>
                <w:lang w:val="zh-CN"/>
                <w14:textFill>
                  <w14:solidFill>
                    <w14:schemeClr w14:val="tx1"/>
                  </w14:solidFill>
                </w14:textFill>
              </w:rPr>
              <w:t>（</w:t>
            </w:r>
            <w:r>
              <w:rPr>
                <w:rFonts w:hint="eastAsia"/>
                <w:color w:val="000000" w:themeColor="text1"/>
                <w:sz w:val="21"/>
                <w:szCs w:val="21"/>
                <w:lang w:val="en-US" w:eastAsia="zh-CN"/>
                <w14:textFill>
                  <w14:solidFill>
                    <w14:schemeClr w14:val="tx1"/>
                  </w14:solidFill>
                </w14:textFill>
              </w:rPr>
              <w:t>五</w:t>
            </w:r>
            <w:r>
              <w:rPr>
                <w:rFonts w:hint="eastAsia"/>
                <w:color w:val="000000" w:themeColor="text1"/>
                <w:sz w:val="21"/>
                <w:szCs w:val="21"/>
                <w:lang w:val="zh-CN"/>
                <w14:textFill>
                  <w14:solidFill>
                    <w14:schemeClr w14:val="tx1"/>
                  </w14:solidFill>
                </w14:textFill>
              </w:rPr>
              <w:t>）紧急防疫联动。在交易过程中发现人员有疫情症状等紧急情况，应立即主动联系现场工作人员。</w:t>
            </w:r>
          </w:p>
        </w:tc>
      </w:tr>
    </w:tbl>
    <w:p>
      <w:pPr>
        <w:pStyle w:val="5"/>
        <w:keepNext w:val="0"/>
        <w:keepLines w:val="0"/>
        <w:spacing w:before="0" w:after="0" w:line="360" w:lineRule="auto"/>
        <w:jc w:val="center"/>
        <w:rPr>
          <w:rFonts w:ascii="仿宋" w:hAnsi="仿宋" w:eastAsia="仿宋" w:cs="Times New Roman"/>
        </w:rPr>
      </w:pPr>
    </w:p>
    <w:p>
      <w:pPr>
        <w:pStyle w:val="5"/>
        <w:keepNext w:val="0"/>
        <w:keepLines w:val="0"/>
        <w:spacing w:before="0" w:after="0" w:line="360" w:lineRule="auto"/>
        <w:jc w:val="center"/>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二、总则</w:t>
      </w:r>
    </w:p>
    <w:p>
      <w:pPr>
        <w:pStyle w:val="6"/>
        <w:keepNext w:val="0"/>
        <w:keepLines w:val="0"/>
        <w:spacing w:before="0" w:after="0" w:line="360" w:lineRule="auto"/>
        <w:ind w:firstLine="482" w:firstLineChars="200"/>
        <w:rPr>
          <w:rFonts w:ascii="仿宋" w:hAnsi="仿宋" w:eastAsia="仿宋"/>
          <w:sz w:val="24"/>
          <w:szCs w:val="24"/>
        </w:rPr>
      </w:pPr>
      <w:bookmarkStart w:id="21" w:name="_Toc183582205"/>
      <w:bookmarkStart w:id="22" w:name="_Toc183682342"/>
      <w:bookmarkStart w:id="23" w:name="_Toc217446034"/>
      <w:bookmarkStart w:id="24" w:name="PO_默认文件内容_23"/>
    </w:p>
    <w:p>
      <w:pPr>
        <w:pStyle w:val="6"/>
        <w:keepNext w:val="0"/>
        <w:keepLines w:val="0"/>
        <w:spacing w:before="0" w:after="0" w:line="360" w:lineRule="auto"/>
        <w:ind w:firstLine="482"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w:t>
      </w:r>
      <w:bookmarkEnd w:id="21"/>
      <w:bookmarkEnd w:id="22"/>
      <w:r>
        <w:rPr>
          <w:rFonts w:hint="eastAsia" w:ascii="宋体" w:hAnsi="宋体" w:cs="宋体"/>
          <w:color w:val="000000" w:themeColor="text1"/>
          <w:sz w:val="24"/>
          <w:szCs w:val="24"/>
          <w14:textFill>
            <w14:solidFill>
              <w14:schemeClr w14:val="tx1"/>
            </w14:solidFill>
          </w14:textFill>
        </w:rPr>
        <w:t>适用范围</w:t>
      </w:r>
      <w:bookmarkEnd w:id="23"/>
    </w:p>
    <w:p>
      <w:pPr>
        <w:tabs>
          <w:tab w:val="left" w:pos="7665"/>
        </w:tabs>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1.1 本磋商文件仅适用于本次磋商采购项目。</w:t>
      </w:r>
    </w:p>
    <w:p>
      <w:pPr>
        <w:tabs>
          <w:tab w:val="left" w:pos="7665"/>
        </w:tabs>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1.2 本磋商文件的解释权归采购人和采购代理机构所有。</w:t>
      </w:r>
      <w:bookmarkEnd w:id="24"/>
    </w:p>
    <w:p>
      <w:pPr>
        <w:pStyle w:val="6"/>
        <w:keepNext w:val="0"/>
        <w:keepLines w:val="0"/>
        <w:spacing w:before="0" w:after="0" w:line="360" w:lineRule="auto"/>
        <w:ind w:firstLine="482" w:firstLineChars="200"/>
        <w:rPr>
          <w:rFonts w:ascii="宋体" w:hAnsi="宋体" w:cs="宋体"/>
          <w:color w:val="000000" w:themeColor="text1"/>
          <w:sz w:val="24"/>
          <w:szCs w:val="24"/>
          <w14:textFill>
            <w14:solidFill>
              <w14:schemeClr w14:val="tx1"/>
            </w14:solidFill>
          </w14:textFill>
        </w:rPr>
      </w:pPr>
      <w:bookmarkStart w:id="25" w:name="_Toc217446035"/>
      <w:bookmarkStart w:id="26" w:name="_Toc183682343"/>
      <w:bookmarkStart w:id="27" w:name="_Toc183582206"/>
      <w:r>
        <w:rPr>
          <w:rFonts w:hint="eastAsia" w:ascii="宋体" w:hAnsi="宋体" w:cs="宋体"/>
          <w:color w:val="000000" w:themeColor="text1"/>
          <w:sz w:val="24"/>
          <w:szCs w:val="24"/>
          <w14:textFill>
            <w14:solidFill>
              <w14:schemeClr w14:val="tx1"/>
            </w14:solidFill>
          </w14:textFill>
        </w:rPr>
        <w:t>2.</w:t>
      </w:r>
      <w:bookmarkEnd w:id="25"/>
      <w:bookmarkEnd w:id="26"/>
      <w:bookmarkEnd w:id="27"/>
      <w:r>
        <w:rPr>
          <w:rFonts w:hint="eastAsia" w:ascii="宋体" w:hAnsi="宋体" w:cs="宋体"/>
          <w:color w:val="000000" w:themeColor="text1"/>
          <w:sz w:val="24"/>
          <w:szCs w:val="24"/>
          <w14:textFill>
            <w14:solidFill>
              <w14:schemeClr w14:val="tx1"/>
            </w14:solidFill>
          </w14:textFill>
        </w:rPr>
        <w:t>采购主体</w:t>
      </w:r>
    </w:p>
    <w:p>
      <w:pPr>
        <w:tabs>
          <w:tab w:val="left" w:pos="7665"/>
        </w:tabs>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2.1本次磋商的采购人是</w:t>
      </w:r>
      <w:r>
        <w:rPr>
          <w:rFonts w:hint="eastAsia" w:ascii="宋体" w:hAnsi="宋体" w:cs="宋体"/>
          <w:color w:val="000000" w:themeColor="text1"/>
          <w:sz w:val="24"/>
          <w:szCs w:val="24"/>
          <w:lang w:eastAsia="zh-CN"/>
          <w14:textFill>
            <w14:solidFill>
              <w14:schemeClr w14:val="tx1"/>
            </w14:solidFill>
          </w14:textFill>
        </w:rPr>
        <w:t>乐山市金口河区自然资源局</w:t>
      </w:r>
      <w:r>
        <w:rPr>
          <w:rFonts w:hint="eastAsia" w:ascii="宋体" w:hAnsi="宋体" w:cs="宋体"/>
          <w:color w:val="000000" w:themeColor="text1"/>
          <w:sz w:val="24"/>
          <w:szCs w:val="24"/>
          <w14:textFill>
            <w14:solidFill>
              <w14:schemeClr w14:val="tx1"/>
            </w14:solidFill>
          </w14:textFill>
        </w:rPr>
        <w:t>。</w:t>
      </w:r>
    </w:p>
    <w:p>
      <w:pPr>
        <w:tabs>
          <w:tab w:val="left" w:pos="7665"/>
        </w:tabs>
        <w:spacing w:line="360" w:lineRule="auto"/>
        <w:ind w:firstLine="480" w:firstLineChars="200"/>
        <w:rPr>
          <w:rFonts w:ascii="宋体" w:hAnsi="宋体" w:cs="宋体"/>
          <w:color w:val="000000" w:themeColor="text1"/>
          <w:sz w:val="24"/>
          <w:szCs w:val="24"/>
          <w14:textFill>
            <w14:solidFill>
              <w14:schemeClr w14:val="tx1"/>
            </w14:solidFill>
          </w14:textFill>
        </w:rPr>
      </w:pPr>
      <w:bookmarkStart w:id="28" w:name="PO_默认文件内容_24"/>
      <w:r>
        <w:rPr>
          <w:rFonts w:hint="eastAsia" w:ascii="宋体" w:hAnsi="宋体" w:cs="宋体"/>
          <w:color w:val="000000" w:themeColor="text1"/>
          <w:sz w:val="24"/>
          <w:szCs w:val="24"/>
          <w14:textFill>
            <w14:solidFill>
              <w14:schemeClr w14:val="tx1"/>
            </w14:solidFill>
          </w14:textFill>
        </w:rPr>
        <w:t>2.2本次磋商的采购代理机构是乐山市金口河政府采购中心。</w:t>
      </w:r>
    </w:p>
    <w:p>
      <w:pPr>
        <w:pStyle w:val="6"/>
        <w:keepNext w:val="0"/>
        <w:keepLines w:val="0"/>
        <w:spacing w:before="0" w:after="0" w:line="360" w:lineRule="auto"/>
        <w:ind w:firstLine="482" w:firstLineChars="200"/>
        <w:rPr>
          <w:rFonts w:ascii="宋体" w:hAnsi="宋体" w:cs="宋体"/>
          <w:color w:val="000000" w:themeColor="text1"/>
          <w:sz w:val="24"/>
          <w:szCs w:val="24"/>
          <w14:textFill>
            <w14:solidFill>
              <w14:schemeClr w14:val="tx1"/>
            </w14:solidFill>
          </w14:textFill>
        </w:rPr>
      </w:pPr>
      <w:bookmarkStart w:id="29" w:name="_Toc217446036"/>
      <w:bookmarkStart w:id="30" w:name="_Toc183682344"/>
      <w:bookmarkStart w:id="31" w:name="_Toc217390843"/>
      <w:bookmarkStart w:id="32" w:name="_Toc183582207"/>
      <w:r>
        <w:rPr>
          <w:rFonts w:hint="eastAsia" w:ascii="宋体" w:hAnsi="宋体" w:cs="宋体"/>
          <w:color w:val="000000" w:themeColor="text1"/>
          <w:sz w:val="24"/>
          <w:szCs w:val="24"/>
          <w14:textFill>
            <w14:solidFill>
              <w14:schemeClr w14:val="tx1"/>
            </w14:solidFill>
          </w14:textFill>
        </w:rPr>
        <w:t>3. 合格</w:t>
      </w:r>
      <w:bookmarkEnd w:id="29"/>
      <w:bookmarkEnd w:id="30"/>
      <w:bookmarkEnd w:id="31"/>
      <w:bookmarkEnd w:id="32"/>
      <w:r>
        <w:rPr>
          <w:rFonts w:hint="eastAsia" w:ascii="宋体" w:hAnsi="宋体" w:cs="宋体"/>
          <w:color w:val="000000" w:themeColor="text1"/>
          <w:sz w:val="24"/>
          <w:szCs w:val="24"/>
          <w14:textFill>
            <w14:solidFill>
              <w14:schemeClr w14:val="tx1"/>
            </w14:solidFill>
          </w14:textFill>
        </w:rPr>
        <w:t>供应商</w:t>
      </w:r>
    </w:p>
    <w:p>
      <w:pPr>
        <w:tabs>
          <w:tab w:val="left" w:pos="7665"/>
        </w:tabs>
        <w:spacing w:line="360" w:lineRule="auto"/>
        <w:ind w:firstLine="720" w:firstLineChars="3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合格供应商应具备以下条件：</w:t>
      </w:r>
    </w:p>
    <w:p>
      <w:pPr>
        <w:tabs>
          <w:tab w:val="left" w:pos="7665"/>
        </w:tabs>
        <w:spacing w:line="360" w:lineRule="auto"/>
        <w:ind w:firstLine="480" w:firstLineChars="200"/>
        <w:rPr>
          <w:rFonts w:ascii="宋体" w:hAnsi="宋体" w:cs="宋体"/>
          <w:color w:val="000000" w:themeColor="text1"/>
          <w:spacing w:val="-4"/>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3.1 具备法律法规和本采购文件规定的资格条件</w:t>
      </w:r>
      <w:r>
        <w:rPr>
          <w:rFonts w:hint="eastAsia" w:ascii="宋体" w:hAnsi="宋体" w:cs="宋体"/>
          <w:color w:val="000000" w:themeColor="text1"/>
          <w:spacing w:val="-4"/>
          <w:sz w:val="24"/>
          <w:szCs w:val="24"/>
          <w14:textFill>
            <w14:solidFill>
              <w14:schemeClr w14:val="tx1"/>
            </w14:solidFill>
          </w14:textFill>
        </w:rPr>
        <w:t>；</w:t>
      </w:r>
    </w:p>
    <w:p>
      <w:pPr>
        <w:tabs>
          <w:tab w:val="left" w:pos="7665"/>
        </w:tabs>
        <w:spacing w:line="360" w:lineRule="auto"/>
        <w:ind w:firstLine="464"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pacing w:val="-4"/>
          <w:sz w:val="24"/>
          <w:szCs w:val="24"/>
          <w14:textFill>
            <w14:solidFill>
              <w14:schemeClr w14:val="tx1"/>
            </w14:solidFill>
          </w14:textFill>
        </w:rPr>
        <w:t>3.2 不属于禁止参加本项目采购活动的供应商。</w:t>
      </w:r>
      <w:bookmarkStart w:id="33" w:name="_Toc217446037"/>
      <w:bookmarkStart w:id="34" w:name="_Toc183682345"/>
      <w:bookmarkStart w:id="35" w:name="_Toc183582208"/>
    </w:p>
    <w:p>
      <w:pPr>
        <w:pStyle w:val="6"/>
        <w:keepNext w:val="0"/>
        <w:keepLines w:val="0"/>
        <w:spacing w:before="0" w:after="0" w:line="360" w:lineRule="auto"/>
        <w:ind w:firstLine="482"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4. 磋商费用</w:t>
      </w:r>
      <w:bookmarkEnd w:id="33"/>
      <w:bookmarkEnd w:id="34"/>
      <w:bookmarkEnd w:id="35"/>
      <w:r>
        <w:rPr>
          <w:rFonts w:hint="eastAsia" w:ascii="宋体" w:hAnsi="宋体" w:cs="宋体"/>
          <w:color w:val="000000" w:themeColor="text1"/>
          <w:kern w:val="0"/>
          <w:sz w:val="24"/>
          <w:szCs w:val="24"/>
          <w14:textFill>
            <w14:solidFill>
              <w14:schemeClr w14:val="tx1"/>
            </w14:solidFill>
          </w14:textFill>
        </w:rPr>
        <w:t>（实质性要求）</w:t>
      </w:r>
    </w:p>
    <w:p>
      <w:pPr>
        <w:tabs>
          <w:tab w:val="left" w:pos="7665"/>
        </w:tabs>
        <w:spacing w:line="360" w:lineRule="auto"/>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供应商应自行承担参加磋商活动的全部费用。</w:t>
      </w:r>
    </w:p>
    <w:p>
      <w:pPr>
        <w:pStyle w:val="75"/>
        <w:spacing w:line="360" w:lineRule="auto"/>
        <w:ind w:left="1" w:firstLine="482" w:firstLineChars="200"/>
        <w:rPr>
          <w:rFonts w:hAnsi="宋体"/>
          <w:b/>
          <w:bCs/>
          <w:color w:val="000000" w:themeColor="text1"/>
          <w:sz w:val="24"/>
          <w:szCs w:val="24"/>
          <w14:textFill>
            <w14:solidFill>
              <w14:schemeClr w14:val="tx1"/>
            </w14:solidFill>
          </w14:textFill>
        </w:rPr>
      </w:pPr>
      <w:r>
        <w:rPr>
          <w:rFonts w:hint="eastAsia" w:hAnsi="宋体"/>
          <w:b/>
          <w:bCs/>
          <w:color w:val="000000" w:themeColor="text1"/>
          <w:sz w:val="24"/>
          <w:szCs w:val="24"/>
          <w14:textFill>
            <w14:solidFill>
              <w14:schemeClr w14:val="tx1"/>
            </w14:solidFill>
          </w14:textFill>
        </w:rPr>
        <w:t>5.充分、公平竞争保障措施（实质性要求）</w:t>
      </w:r>
    </w:p>
    <w:p>
      <w:pPr>
        <w:pStyle w:val="75"/>
        <w:spacing w:line="360" w:lineRule="auto"/>
        <w:ind w:left="1" w:firstLine="480" w:firstLineChars="200"/>
        <w:rPr>
          <w:rFonts w:hAnsi="宋体"/>
          <w:color w:val="000000" w:themeColor="text1"/>
          <w:sz w:val="28"/>
          <w:szCs w:val="28"/>
          <w14:textFill>
            <w14:solidFill>
              <w14:schemeClr w14:val="tx1"/>
            </w14:solidFill>
          </w14:textFill>
        </w:rPr>
      </w:pPr>
      <w:r>
        <w:rPr>
          <w:rFonts w:hint="eastAsia" w:hAnsi="宋体"/>
          <w:color w:val="000000" w:themeColor="text1"/>
          <w:sz w:val="24"/>
          <w:szCs w:val="24"/>
          <w14:textFill>
            <w14:solidFill>
              <w14:schemeClr w14:val="tx1"/>
            </w14:solidFill>
          </w14:textFill>
        </w:rPr>
        <w:t>5.1利害关系供应商处理。单位负责人为同一人或者存在直接控股、管理关系的不同供应商不得参加同一合同项下的政府采购活动。采购项目实行资格预审的，单位负责人为同一人或者存在直接控股、管理关系的不同供应商可以参加资格预审，但只能由供应商确定其中一家符合条件的供应商参加后续的政府采购活动，否则，其响应文件作为无效处理。</w:t>
      </w:r>
    </w:p>
    <w:p>
      <w:pPr>
        <w:pStyle w:val="75"/>
        <w:spacing w:line="360" w:lineRule="auto"/>
        <w:ind w:left="1" w:firstLine="480" w:firstLineChars="200"/>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5.2利害关系授权代表处理。两家以上的供应商不得在同一合同项下的采购项目中，委托同一个自然人、同一家庭的人员、同一单位的人员作为其授权代表，否则，其响应文件作为无效处理。</w:t>
      </w:r>
    </w:p>
    <w:p>
      <w:pPr>
        <w:pStyle w:val="75"/>
        <w:spacing w:line="360" w:lineRule="auto"/>
        <w:ind w:left="1" w:firstLine="480" w:firstLineChars="200"/>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5.3前期参与供应商处理。为采购项目提供整体设计、规范编制或者项目管理、监理、检测等服务的供应商，不得再参加该采购项目的其他采购活动。供应商为采购人、采购代理机构在确定采购需求、编制采购文件过程中提供咨询论证，其提供的咨询论证意见成为采购文件中规定的供应商资格条件、技术服务商务要求、评审因素和标准、政府采购合同等实质性内容条款的，视同为采购项目提供规范编制。本项目无符合本条规定的供应商。</w:t>
      </w:r>
    </w:p>
    <w:p>
      <w:pPr>
        <w:pStyle w:val="75"/>
        <w:spacing w:line="360" w:lineRule="auto"/>
        <w:ind w:left="1" w:firstLine="480" w:firstLineChars="200"/>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5.4供应商实际控制人或者中高级管理人员，同时是采购代理机构工作人员，不得参与本项目政府采购活动。</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5.5同一母公司的两家以上的子公司只能组成联合体参加本项目同一合同项下的采购活动，不得以不同供应商身份同时参加本项目同一合同项下的采购活动。</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5.6供应商与采购代理机构存在关联关系，或者是采购代理机构的母公司或子公司，不得参加本项目政府采购活动。</w:t>
      </w:r>
    </w:p>
    <w:p>
      <w:pPr>
        <w:pStyle w:val="75"/>
        <w:spacing w:line="360" w:lineRule="auto"/>
        <w:ind w:left="1" w:firstLine="480" w:firstLineChars="200"/>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5.7回避。政府采购活动中，采购人员及相关人员与供应商有下列利害关系之一的，应当回避：</w:t>
      </w:r>
    </w:p>
    <w:p>
      <w:pPr>
        <w:pStyle w:val="75"/>
        <w:spacing w:line="360" w:lineRule="auto"/>
        <w:ind w:left="1" w:firstLine="480" w:firstLineChars="200"/>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（1）参加采购活动前3年内与供应商存在劳动关系；</w:t>
      </w:r>
    </w:p>
    <w:p>
      <w:pPr>
        <w:pStyle w:val="75"/>
        <w:spacing w:line="360" w:lineRule="auto"/>
        <w:ind w:left="1" w:firstLine="480" w:firstLineChars="200"/>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（2）参加采购活动前3年内担任供应商的董事、监事；</w:t>
      </w:r>
    </w:p>
    <w:p>
      <w:pPr>
        <w:pStyle w:val="75"/>
        <w:spacing w:line="360" w:lineRule="auto"/>
        <w:ind w:left="1" w:firstLine="480" w:firstLineChars="200"/>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（3）参加采购活动前3年内是供应商的控股股东或者实际控制人；</w:t>
      </w:r>
    </w:p>
    <w:p>
      <w:pPr>
        <w:pStyle w:val="75"/>
        <w:spacing w:line="360" w:lineRule="auto"/>
        <w:ind w:left="1" w:firstLine="480" w:firstLineChars="200"/>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（4）与供应商的法定代表人或者负责人有夫妻、直系血亲、三代以内旁系血亲或者近姻亲关系；</w:t>
      </w:r>
    </w:p>
    <w:p>
      <w:pPr>
        <w:pStyle w:val="75"/>
        <w:spacing w:line="360" w:lineRule="auto"/>
        <w:ind w:left="1" w:firstLine="480" w:firstLineChars="200"/>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（5）与供应商有其他可能影响政府采购活动公平、公正进行的关系。</w:t>
      </w:r>
    </w:p>
    <w:p>
      <w:pPr>
        <w:pStyle w:val="75"/>
        <w:spacing w:line="360" w:lineRule="auto"/>
        <w:ind w:left="1" w:firstLine="480" w:firstLineChars="200"/>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本项目政府采购活动中需要依法回避的采购人员是指采购人内部负责采购项目的具体经办工作人员和直接分管采购项目的负责人，以及采购代理机构负责采购项目的具体经办工作人员和直接分管采购活动的负责人。本项目政府采购活动中需要依法回避的相关人员是指磋商小组成员。</w:t>
      </w:r>
    </w:p>
    <w:p>
      <w:pPr>
        <w:pStyle w:val="75"/>
        <w:spacing w:line="360" w:lineRule="auto"/>
        <w:ind w:left="1" w:firstLine="480" w:firstLineChars="200"/>
        <w:rPr>
          <w:rFonts w:hAnsi="宋体"/>
          <w:b/>
          <w:bCs/>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供应商认为采购人员及相关人员与其他供应商有利害关系的，可以向采购代理机构书面提出回避申请，并说明理由。采购代理机构将及时询问被申请回避人员，有利害关系的被申请回避人员应当回避。</w:t>
      </w:r>
    </w:p>
    <w:p>
      <w:pPr>
        <w:pStyle w:val="75"/>
        <w:spacing w:line="360" w:lineRule="auto"/>
        <w:ind w:left="1" w:firstLine="482" w:firstLineChars="200"/>
        <w:rPr>
          <w:rFonts w:hAnsi="宋体"/>
          <w:b/>
          <w:bCs/>
          <w:color w:val="000000" w:themeColor="text1"/>
          <w:sz w:val="24"/>
          <w:szCs w:val="24"/>
          <w14:textFill>
            <w14:solidFill>
              <w14:schemeClr w14:val="tx1"/>
            </w14:solidFill>
          </w14:textFill>
        </w:rPr>
      </w:pPr>
      <w:r>
        <w:rPr>
          <w:rFonts w:hint="eastAsia" w:hAnsi="宋体"/>
          <w:b/>
          <w:bCs/>
          <w:color w:val="000000" w:themeColor="text1"/>
          <w:sz w:val="24"/>
          <w:szCs w:val="24"/>
          <w14:textFill>
            <w14:solidFill>
              <w14:schemeClr w14:val="tx1"/>
            </w14:solidFill>
          </w14:textFill>
        </w:rPr>
        <w:t>6.联合体竞争性磋商（仅适用于允许联合体参与的项目）</w:t>
      </w:r>
    </w:p>
    <w:p>
      <w:pPr>
        <w:pStyle w:val="75"/>
        <w:spacing w:line="360" w:lineRule="auto"/>
        <w:ind w:left="1" w:firstLine="480" w:firstLineChars="200"/>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联合体各方应当共同与采购人签订采购合同，就采购合同约定的事项对采购人承担连带责任。</w:t>
      </w:r>
    </w:p>
    <w:p>
      <w:pPr>
        <w:spacing w:line="360" w:lineRule="auto"/>
        <w:ind w:firstLine="472" w:firstLineChars="196"/>
        <w:rPr>
          <w:rFonts w:ascii="宋体" w:hAnsi="宋体" w:cs="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7.响应文件有效期</w:t>
      </w:r>
    </w:p>
    <w:p>
      <w:pPr>
        <w:spacing w:line="360" w:lineRule="auto"/>
        <w:ind w:firstLine="470" w:firstLineChars="196"/>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本项目响应文件有效期为递交磋商响应文件截止之日起</w:t>
      </w:r>
      <w:r>
        <w:rPr>
          <w:rFonts w:hint="eastAsia" w:ascii="宋体" w:hAnsi="宋体" w:cs="宋体"/>
          <w:color w:val="000000" w:themeColor="text1"/>
          <w:sz w:val="24"/>
          <w:szCs w:val="24"/>
          <w:u w:val="single"/>
          <w14:textFill>
            <w14:solidFill>
              <w14:schemeClr w14:val="tx1"/>
            </w14:solidFill>
          </w14:textFill>
        </w:rPr>
        <w:t>60</w:t>
      </w:r>
      <w:r>
        <w:rPr>
          <w:rFonts w:hint="eastAsia" w:ascii="宋体" w:hAnsi="宋体" w:cs="宋体"/>
          <w:color w:val="000000" w:themeColor="text1"/>
          <w:sz w:val="24"/>
          <w:szCs w:val="24"/>
          <w14:textFill>
            <w14:solidFill>
              <w14:schemeClr w14:val="tx1"/>
            </w14:solidFill>
          </w14:textFill>
        </w:rPr>
        <w:t>天。供应商响应文件中必须载明响应文件有效期，响应文件中载明的响应文件有效期可以长于磋商文件规定的期限，但不得短于磋商文件规定的期限。否则，其响应文件将作为无效处理。</w:t>
      </w:r>
    </w:p>
    <w:p>
      <w:pPr>
        <w:pStyle w:val="19"/>
        <w:spacing w:line="360" w:lineRule="auto"/>
        <w:ind w:firstLine="482" w:firstLineChars="200"/>
        <w:rPr>
          <w:rFonts w:ascii="宋体" w:hAnsi="宋体" w:cs="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8.知识产权（实质性要求）</w:t>
      </w:r>
    </w:p>
    <w:p>
      <w:pPr>
        <w:pStyle w:val="19"/>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8.1供应商应保证在本项目中使用的任何技术、产品和服务（包括部分使用），不会产生因第三方提出侵犯其专利权、商标权或其它知识产权而引起的法律和经济纠纷，如因专利权、商标权或其它知识产权而引起法律和经济纠纷，由供应商承担所有相关责任。</w:t>
      </w:r>
    </w:p>
    <w:p>
      <w:pPr>
        <w:pStyle w:val="19"/>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8.2 除非磋商文件特别规定，采购人享有本项目实施过程中产生的知识成果及知识产权。</w:t>
      </w:r>
    </w:p>
    <w:p>
      <w:pPr>
        <w:spacing w:line="360" w:lineRule="auto"/>
        <w:ind w:firstLine="480" w:firstLineChars="200"/>
        <w:rPr>
          <w:rFonts w:ascii="宋体" w:hAnsi="宋体" w:cs="宋体"/>
          <w:color w:val="000000" w:themeColor="text1"/>
          <w:sz w:val="32"/>
          <w:szCs w:val="32"/>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8.3供应商将在采购项目实施过程中采用自有或者第三方知识成果的，使用该知识成果后，供应商需提供开发接口和开发手册等技术资料，并承诺提供无限期支持，采购人享有使用权（含采购人委托第三方在该项目后续开发的使用权）。</w:t>
      </w:r>
    </w:p>
    <w:p>
      <w:pPr>
        <w:spacing w:line="360" w:lineRule="auto"/>
        <w:ind w:firstLine="460" w:firstLineChars="192"/>
        <w:rPr>
          <w:rFonts w:ascii="仿宋" w:hAnsi="仿宋" w:eastAsia="仿宋"/>
        </w:rPr>
      </w:pPr>
      <w:r>
        <w:rPr>
          <w:rFonts w:hint="eastAsia" w:ascii="宋体" w:hAnsi="宋体" w:cs="宋体"/>
          <w:color w:val="000000" w:themeColor="text1"/>
          <w:sz w:val="24"/>
          <w:szCs w:val="24"/>
          <w14:textFill>
            <w14:solidFill>
              <w14:schemeClr w14:val="tx1"/>
            </w14:solidFill>
          </w14:textFill>
        </w:rPr>
        <w:t>8.4 如采用供应商所不拥有的知识产权，则在报价中必须包括合法获取使用该知识产权的相关费用。</w:t>
      </w:r>
      <w:bookmarkEnd w:id="28"/>
      <w:bookmarkStart w:id="36" w:name="_Toc183682346"/>
      <w:bookmarkStart w:id="37" w:name="_Toc77400779"/>
      <w:bookmarkStart w:id="38" w:name="_Toc183582209"/>
      <w:bookmarkStart w:id="39" w:name="_Toc217446038"/>
      <w:bookmarkStart w:id="40" w:name="_Toc89075875"/>
    </w:p>
    <w:p>
      <w:pPr>
        <w:pStyle w:val="5"/>
        <w:keepNext w:val="0"/>
        <w:keepLines w:val="0"/>
        <w:spacing w:before="0" w:after="0" w:line="360" w:lineRule="auto"/>
        <w:jc w:val="center"/>
        <w:rPr>
          <w:rFonts w:ascii="仿宋" w:hAnsi="仿宋" w:eastAsia="仿宋" w:cs="Times New Roman"/>
        </w:rPr>
      </w:pPr>
      <w:r>
        <w:rPr>
          <w:rFonts w:hint="eastAsia" w:ascii="仿宋" w:hAnsi="仿宋" w:eastAsia="仿宋" w:cs="仿宋"/>
        </w:rPr>
        <w:t>三、磋商文件</w:t>
      </w:r>
      <w:bookmarkEnd w:id="36"/>
      <w:bookmarkEnd w:id="37"/>
      <w:bookmarkEnd w:id="38"/>
      <w:bookmarkEnd w:id="39"/>
      <w:bookmarkEnd w:id="40"/>
    </w:p>
    <w:p>
      <w:pPr>
        <w:pStyle w:val="6"/>
        <w:keepNext w:val="0"/>
        <w:keepLines w:val="0"/>
        <w:spacing w:before="0" w:after="0" w:line="360" w:lineRule="auto"/>
        <w:ind w:firstLine="482" w:firstLineChars="200"/>
        <w:rPr>
          <w:rFonts w:ascii="宋体" w:hAnsi="宋体" w:cs="宋体"/>
          <w:color w:val="000000" w:themeColor="text1"/>
          <w:sz w:val="24"/>
          <w:szCs w:val="24"/>
          <w14:textFill>
            <w14:solidFill>
              <w14:schemeClr w14:val="tx1"/>
            </w14:solidFill>
          </w14:textFill>
        </w:rPr>
      </w:pPr>
      <w:bookmarkStart w:id="41" w:name="PO_默认文件内容_25"/>
      <w:r>
        <w:rPr>
          <w:rFonts w:hint="eastAsia" w:ascii="宋体" w:hAnsi="宋体" w:cs="宋体"/>
          <w:color w:val="000000" w:themeColor="text1"/>
          <w:sz w:val="24"/>
          <w:szCs w:val="24"/>
          <w14:textFill>
            <w14:solidFill>
              <w14:schemeClr w14:val="tx1"/>
            </w14:solidFill>
          </w14:textFill>
        </w:rPr>
        <w:t>9．磋商文件的构成（实质性要求）</w:t>
      </w:r>
    </w:p>
    <w:p>
      <w:pPr>
        <w:tabs>
          <w:tab w:val="left" w:pos="720"/>
        </w:tabs>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9</w:t>
      </w:r>
      <w:r>
        <w:rPr>
          <w:rFonts w:hint="eastAsia" w:ascii="宋体" w:hAnsi="宋体" w:cs="宋体"/>
          <w:b/>
          <w:bCs/>
          <w:color w:val="000000" w:themeColor="text1"/>
          <w:sz w:val="24"/>
          <w:szCs w:val="24"/>
          <w14:textFill>
            <w14:solidFill>
              <w14:schemeClr w14:val="tx1"/>
            </w14:solidFill>
          </w14:textFill>
        </w:rPr>
        <w:t>.</w:t>
      </w:r>
      <w:r>
        <w:rPr>
          <w:rFonts w:hint="eastAsia" w:ascii="宋体" w:hAnsi="宋体" w:cs="宋体"/>
          <w:color w:val="000000" w:themeColor="text1"/>
          <w:sz w:val="24"/>
          <w:szCs w:val="24"/>
          <w14:textFill>
            <w14:solidFill>
              <w14:schemeClr w14:val="tx1"/>
            </w14:solidFill>
          </w14:textFill>
        </w:rPr>
        <w:t>1 磋商文件是供应商准备响应文件和参加磋商的依据，同时也是磋商的重要依据。磋商文件用以阐明磋商项目所需的资质、技术、服务及报价等要求、磋商程序、有关规定和注意事项以及合同主要条款等。</w:t>
      </w:r>
    </w:p>
    <w:p>
      <w:pPr>
        <w:tabs>
          <w:tab w:val="left" w:pos="7665"/>
        </w:tabs>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9</w:t>
      </w:r>
      <w:r>
        <w:rPr>
          <w:rFonts w:hint="eastAsia" w:ascii="宋体" w:hAnsi="宋体" w:cs="宋体"/>
          <w:b/>
          <w:bCs/>
          <w:color w:val="000000" w:themeColor="text1"/>
          <w:sz w:val="24"/>
          <w:szCs w:val="24"/>
          <w14:textFill>
            <w14:solidFill>
              <w14:schemeClr w14:val="tx1"/>
            </w14:solidFill>
          </w14:textFill>
        </w:rPr>
        <w:t>.</w:t>
      </w:r>
      <w:r>
        <w:rPr>
          <w:rFonts w:hint="eastAsia" w:ascii="宋体" w:hAnsi="宋体" w:cs="宋体"/>
          <w:color w:val="000000" w:themeColor="text1"/>
          <w:sz w:val="24"/>
          <w:szCs w:val="24"/>
          <w14:textFill>
            <w14:solidFill>
              <w14:schemeClr w14:val="tx1"/>
            </w14:solidFill>
          </w14:textFill>
        </w:rPr>
        <w:t>2 供应商应认真阅读和充分理解磋商文件中所有的事项、格式条款和规范要求。供应商应详细阅读磋商文件的全部内容，按照磋商文件的要求提供响应文件，并保证所提供的全部资料的真实性和有效性，一经发现有虚假行为的，将取消其参加磋商或成交资格，并承担相应的法律责任。</w:t>
      </w:r>
      <w:bookmarkStart w:id="42" w:name="_Toc183682348"/>
      <w:bookmarkStart w:id="43" w:name="_Toc183582211"/>
      <w:bookmarkStart w:id="44" w:name="_Toc217446040"/>
    </w:p>
    <w:p>
      <w:pPr>
        <w:pStyle w:val="6"/>
        <w:keepNext w:val="0"/>
        <w:keepLines w:val="0"/>
        <w:spacing w:before="0" w:after="0" w:line="360" w:lineRule="auto"/>
        <w:ind w:firstLine="482"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10. 磋商文件的澄清</w:t>
      </w:r>
      <w:bookmarkEnd w:id="42"/>
      <w:bookmarkEnd w:id="43"/>
      <w:r>
        <w:rPr>
          <w:rFonts w:hint="eastAsia" w:ascii="宋体" w:hAnsi="宋体" w:cs="宋体"/>
          <w:color w:val="000000" w:themeColor="text1"/>
          <w:sz w:val="24"/>
          <w:szCs w:val="24"/>
          <w14:textFill>
            <w14:solidFill>
              <w14:schemeClr w14:val="tx1"/>
            </w14:solidFill>
          </w14:textFill>
        </w:rPr>
        <w:t>和修改</w:t>
      </w:r>
      <w:bookmarkEnd w:id="44"/>
    </w:p>
    <w:p>
      <w:pPr>
        <w:tabs>
          <w:tab w:val="left" w:pos="720"/>
        </w:tabs>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10.1 在递交响应文件截止时间前，采购人、采购代理机构可以对磋商文件进行澄清或者修改。</w:t>
      </w:r>
    </w:p>
    <w:p>
      <w:pPr>
        <w:tabs>
          <w:tab w:val="left" w:pos="720"/>
        </w:tabs>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10.2 采购代理机构对已发出的磋商文件进行澄清或者修改，应当以书面形式将澄清或者修改的内容通知所有按照规定获得了磋商文件的供应商，同时在四川政府采购网上发布更正公告。该澄清或者修改的内容为磋商文件的组成部分，澄清或者修改的内容可能影响响应文件编制的，采购人或者采购代理机构发布公告并书面通知供应商的时间，应当在首次提交响应文件截止之日起5日前；不足上述时间的，应当顺延递交响应文件的截止时间。</w:t>
      </w:r>
    </w:p>
    <w:p>
      <w:pPr>
        <w:tabs>
          <w:tab w:val="left" w:pos="7665"/>
        </w:tabs>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10.3 供应商应于递交响应文件截止前，在四川政府采购网查询本项目的更正公告，以保证其对磋商文件做出正确的响应。供应商未按要求下载相关文件，或由于未及时关注更正公告的信息造成的后果，其责任由供应商自行负责。</w:t>
      </w:r>
    </w:p>
    <w:p>
      <w:pPr>
        <w:tabs>
          <w:tab w:val="left" w:pos="720"/>
        </w:tabs>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10.4供应商认为需要对磋商文件进行澄清或者修改的，可以以书面形式向采购人或采购代理机构提出申请，由采购人或采购代理机构决定是否采纳供应商的申请事项。</w:t>
      </w:r>
    </w:p>
    <w:p>
      <w:pPr>
        <w:pStyle w:val="6"/>
        <w:keepNext w:val="0"/>
        <w:keepLines w:val="0"/>
        <w:spacing w:before="0" w:after="0" w:line="360" w:lineRule="auto"/>
        <w:ind w:firstLine="482" w:firstLineChars="200"/>
        <w:rPr>
          <w:rFonts w:ascii="宋体" w:hAnsi="宋体" w:cs="宋体"/>
          <w:color w:val="000000" w:themeColor="text1"/>
          <w:sz w:val="24"/>
          <w:szCs w:val="24"/>
          <w14:textFill>
            <w14:solidFill>
              <w14:schemeClr w14:val="tx1"/>
            </w14:solidFill>
          </w14:textFill>
        </w:rPr>
      </w:pPr>
      <w:bookmarkStart w:id="45" w:name="_Toc217446041"/>
      <w:bookmarkStart w:id="46" w:name="_Toc208848971"/>
      <w:r>
        <w:rPr>
          <w:rFonts w:hint="eastAsia" w:ascii="宋体" w:hAnsi="宋体" w:cs="宋体"/>
          <w:color w:val="000000" w:themeColor="text1"/>
          <w:sz w:val="24"/>
          <w:szCs w:val="24"/>
          <w14:textFill>
            <w14:solidFill>
              <w14:schemeClr w14:val="tx1"/>
            </w14:solidFill>
          </w14:textFill>
        </w:rPr>
        <w:t>11. 答疑会和现场考察</w:t>
      </w:r>
      <w:bookmarkEnd w:id="45"/>
      <w:bookmarkEnd w:id="46"/>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11.1 根据采购项目和具体情况，采购人、采购代理机构认为有必要，可以在磋商文件提供期限截止后响应文件提交截止前，组织已获取磋商文件的潜在供应商现场考察或者召开答疑会。</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11.2采购人、采购代理机构组织现场考察或者召开答疑会的，将以书面形式通知所有按照规定获取了磋商文件的潜在供应商。供应商接到通知后，不按照要求参加现场考察或者答疑会的，视同放弃参加现场考察或者答疑的权利，采购人、采购代理机构不再对该供应商重新组织，但也不会以此限制供应商提交响应文件或者以此将供应商响应文件直接作为无效处理。</w:t>
      </w:r>
    </w:p>
    <w:p>
      <w:pPr>
        <w:adjustRightInd w:val="0"/>
        <w:snapToGrid w:val="0"/>
        <w:spacing w:line="360" w:lineRule="auto"/>
        <w:ind w:firstLine="420" w:firstLineChars="175"/>
        <w:rPr>
          <w:rFonts w:ascii="宋体" w:hAnsi="宋体" w:cs="宋体"/>
          <w:color w:val="000000" w:themeColor="text1"/>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11.3 供应商考察现场或者参加答疑会所发生的一切费用由供应商自己承担。</w:t>
      </w:r>
      <w:bookmarkEnd w:id="41"/>
      <w:bookmarkStart w:id="47" w:name="_Toc183682351"/>
      <w:bookmarkStart w:id="48" w:name="_Toc89075876"/>
      <w:bookmarkStart w:id="49" w:name="_Toc77400780"/>
      <w:bookmarkStart w:id="50" w:name="_Toc217446042"/>
      <w:bookmarkStart w:id="51" w:name="_Toc183582214"/>
    </w:p>
    <w:p>
      <w:pPr>
        <w:pStyle w:val="5"/>
        <w:keepNext w:val="0"/>
        <w:keepLines w:val="0"/>
        <w:spacing w:before="0" w:after="0" w:line="360" w:lineRule="auto"/>
        <w:jc w:val="center"/>
        <w:rPr>
          <w:rFonts w:ascii="宋体" w:hAnsi="宋体" w:eastAsia="宋体" w:cs="宋体"/>
          <w:color w:val="000000" w:themeColor="text1"/>
          <w14:textFill>
            <w14:solidFill>
              <w14:schemeClr w14:val="tx1"/>
            </w14:solidFill>
          </w14:textFill>
        </w:rPr>
      </w:pPr>
      <w:bookmarkStart w:id="52" w:name="PO_默认文件内容_26"/>
      <w:r>
        <w:rPr>
          <w:rFonts w:hint="eastAsia" w:ascii="宋体" w:hAnsi="宋体" w:eastAsia="宋体" w:cs="宋体"/>
          <w:color w:val="000000" w:themeColor="text1"/>
          <w14:textFill>
            <w14:solidFill>
              <w14:schemeClr w14:val="tx1"/>
            </w14:solidFill>
          </w14:textFill>
        </w:rPr>
        <w:t>四、响应文件</w:t>
      </w:r>
      <w:bookmarkEnd w:id="47"/>
      <w:bookmarkEnd w:id="48"/>
      <w:bookmarkEnd w:id="49"/>
      <w:bookmarkEnd w:id="50"/>
      <w:bookmarkEnd w:id="51"/>
    </w:p>
    <w:p>
      <w:pPr>
        <w:spacing w:line="360" w:lineRule="auto"/>
        <w:ind w:firstLine="482" w:firstLineChars="200"/>
        <w:outlineLvl w:val="2"/>
        <w:rPr>
          <w:rFonts w:ascii="宋体" w:hAnsi="宋体" w:cs="宋体"/>
          <w:b/>
          <w:bCs/>
          <w:color w:val="000000" w:themeColor="text1"/>
          <w:sz w:val="24"/>
          <w:szCs w:val="24"/>
          <w14:textFill>
            <w14:solidFill>
              <w14:schemeClr w14:val="tx1"/>
            </w14:solidFill>
          </w14:textFill>
        </w:rPr>
      </w:pPr>
      <w:bookmarkStart w:id="53" w:name="_Toc183682352"/>
      <w:bookmarkStart w:id="54" w:name="_Toc183582215"/>
      <w:bookmarkStart w:id="55" w:name="_Toc217446043"/>
      <w:r>
        <w:rPr>
          <w:rFonts w:hint="eastAsia" w:ascii="宋体" w:hAnsi="宋体" w:cs="宋体"/>
          <w:b/>
          <w:bCs/>
          <w:color w:val="000000" w:themeColor="text1"/>
          <w:sz w:val="24"/>
          <w:szCs w:val="24"/>
          <w14:textFill>
            <w14:solidFill>
              <w14:schemeClr w14:val="tx1"/>
            </w14:solidFill>
          </w14:textFill>
        </w:rPr>
        <w:t>12.响应文件的组成（实质性要求）</w:t>
      </w:r>
    </w:p>
    <w:p>
      <w:pPr>
        <w:spacing w:line="360" w:lineRule="auto"/>
        <w:ind w:left="2" w:leftChars="1"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12.1供应商应按照磋商文件的规定和要求编制响应文件。供应商在成交后将成交项目的非主体、非关键性工作分包他人完成的，应当在响应文件中载明或磋商过程中澄清。</w:t>
      </w:r>
    </w:p>
    <w:p>
      <w:pPr>
        <w:spacing w:line="360" w:lineRule="auto"/>
        <w:ind w:left="2" w:leftChars="1"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12.2供应商须提供纸质响应文件正本一份、副本两份，若正本和副本有不一致，以正本书面响应文件为准。</w:t>
      </w:r>
    </w:p>
    <w:p>
      <w:pPr>
        <w:pStyle w:val="6"/>
        <w:keepNext w:val="0"/>
        <w:keepLines w:val="0"/>
        <w:spacing w:before="0" w:after="0" w:line="360" w:lineRule="auto"/>
        <w:ind w:firstLine="482"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13.响应文件的语言</w:t>
      </w:r>
      <w:bookmarkEnd w:id="53"/>
      <w:bookmarkEnd w:id="54"/>
      <w:bookmarkEnd w:id="55"/>
      <w:r>
        <w:rPr>
          <w:rFonts w:hint="eastAsia" w:ascii="宋体" w:hAnsi="宋体" w:cs="宋体"/>
          <w:color w:val="000000" w:themeColor="text1"/>
          <w:sz w:val="24"/>
          <w:szCs w:val="24"/>
          <w14:textFill>
            <w14:solidFill>
              <w14:schemeClr w14:val="tx1"/>
            </w14:solidFill>
          </w14:textFill>
        </w:rPr>
        <w:t>（实质性要求）</w:t>
      </w:r>
    </w:p>
    <w:p>
      <w:pPr>
        <w:tabs>
          <w:tab w:val="left" w:pos="1134"/>
        </w:tabs>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13.1供应商提交的响应文件以及供应商与采购组织单位就有关磋商采购的所有来往书面文件均须使用中文。响应文件中如附有外文资料，主要部分要对应翻译成中文并加盖供应商公章后附在相关外文资料后面。</w:t>
      </w:r>
    </w:p>
    <w:p>
      <w:pPr>
        <w:tabs>
          <w:tab w:val="left" w:pos="1134"/>
        </w:tabs>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13.2 翻译的中文资料与外文资料如果出现差异和矛盾时，以中文为准。涉嫌提供虚假材料的按照相关法律法规处理。</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13.3 如因未翻译而造成对供应商的不利后果，由供应商承担。</w:t>
      </w:r>
    </w:p>
    <w:p>
      <w:pPr>
        <w:pStyle w:val="6"/>
        <w:keepNext w:val="0"/>
        <w:keepLines w:val="0"/>
        <w:spacing w:before="0" w:after="0" w:line="360" w:lineRule="auto"/>
        <w:ind w:firstLine="482" w:firstLineChars="200"/>
        <w:rPr>
          <w:rFonts w:ascii="宋体" w:hAnsi="宋体" w:cs="宋体"/>
          <w:color w:val="000000" w:themeColor="text1"/>
          <w:sz w:val="24"/>
          <w:szCs w:val="24"/>
          <w14:textFill>
            <w14:solidFill>
              <w14:schemeClr w14:val="tx1"/>
            </w14:solidFill>
          </w14:textFill>
        </w:rPr>
      </w:pPr>
      <w:bookmarkStart w:id="56" w:name="_Toc183682353"/>
      <w:bookmarkStart w:id="57" w:name="_Toc183582216"/>
      <w:bookmarkStart w:id="58" w:name="_Toc217446044"/>
      <w:r>
        <w:rPr>
          <w:rFonts w:hint="eastAsia" w:ascii="宋体" w:hAnsi="宋体" w:cs="宋体"/>
          <w:color w:val="000000" w:themeColor="text1"/>
          <w:sz w:val="24"/>
          <w:szCs w:val="24"/>
          <w14:textFill>
            <w14:solidFill>
              <w14:schemeClr w14:val="tx1"/>
            </w14:solidFill>
          </w14:textFill>
        </w:rPr>
        <w:t>14．计量单位</w:t>
      </w:r>
      <w:bookmarkEnd w:id="56"/>
      <w:bookmarkEnd w:id="57"/>
      <w:bookmarkEnd w:id="58"/>
      <w:r>
        <w:rPr>
          <w:rFonts w:hint="eastAsia" w:ascii="宋体" w:hAnsi="宋体" w:cs="宋体"/>
          <w:color w:val="000000" w:themeColor="text1"/>
          <w:sz w:val="24"/>
          <w:szCs w:val="24"/>
          <w14:textFill>
            <w14:solidFill>
              <w14:schemeClr w14:val="tx1"/>
            </w14:solidFill>
          </w14:textFill>
        </w:rPr>
        <w:t>（实质性要求）</w:t>
      </w:r>
    </w:p>
    <w:p>
      <w:pPr>
        <w:spacing w:line="360" w:lineRule="auto"/>
        <w:ind w:firstLine="470" w:firstLineChars="196"/>
        <w:rPr>
          <w:rFonts w:ascii="宋体" w:hAnsi="宋体" w:cs="宋体"/>
          <w:b/>
          <w:bCs/>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除磋商文件中另有规定外，本次采购项目所有合同项下的报价均采用国家法定的计量单位。</w:t>
      </w:r>
      <w:bookmarkStart w:id="59" w:name="_Toc217446045"/>
    </w:p>
    <w:p>
      <w:pPr>
        <w:spacing w:line="360" w:lineRule="auto"/>
        <w:ind w:firstLine="470" w:firstLineChars="195"/>
        <w:rPr>
          <w:rFonts w:ascii="宋体" w:hAnsi="宋体" w:cs="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15. 报价（实质性要求）</w:t>
      </w:r>
    </w:p>
    <w:p>
      <w:pPr>
        <w:pStyle w:val="86"/>
        <w:spacing w:line="360" w:lineRule="auto"/>
        <w:ind w:left="6" w:firstLineChars="175"/>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15.1供应商应认真核实本项目的工程量清单。</w:t>
      </w:r>
    </w:p>
    <w:p>
      <w:pPr>
        <w:pStyle w:val="86"/>
        <w:spacing w:line="360" w:lineRule="auto"/>
        <w:ind w:left="6" w:firstLineChars="175"/>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15.2所有报价一律以人民币报价</w:t>
      </w:r>
      <w:r>
        <w:rPr>
          <w:rFonts w:hint="eastAsia" w:ascii="宋体" w:hAnsi="宋体" w:cs="宋体"/>
          <w:color w:val="000000" w:themeColor="text1"/>
          <w:sz w:val="24"/>
          <w:szCs w:val="24"/>
          <w14:textFill>
            <w14:solidFill>
              <w14:schemeClr w14:val="tx1"/>
            </w14:solidFill>
          </w14:textFill>
        </w:rPr>
        <w:t>（</w:t>
      </w:r>
      <w:r>
        <w:rPr>
          <w:rFonts w:hint="eastAsia" w:ascii="宋体" w:hAnsi="宋体" w:cs="宋体"/>
          <w:color w:val="000000" w:themeColor="text1"/>
          <w:sz w:val="24"/>
          <w:szCs w:val="24"/>
          <w:lang w:val="en-US" w:eastAsia="zh-CN"/>
          <w14:textFill>
            <w14:solidFill>
              <w14:schemeClr w14:val="tx1"/>
            </w14:solidFill>
          </w14:textFill>
        </w:rPr>
        <w:t>最多</w:t>
      </w:r>
      <w:r>
        <w:rPr>
          <w:rFonts w:hint="eastAsia" w:ascii="宋体" w:hAnsi="宋体" w:cs="宋体"/>
          <w:color w:val="000000" w:themeColor="text1"/>
          <w:sz w:val="24"/>
          <w:szCs w:val="24"/>
          <w14:textFill>
            <w14:solidFill>
              <w14:schemeClr w14:val="tx1"/>
            </w14:solidFill>
          </w14:textFill>
        </w:rPr>
        <w:t>保留两位小数）</w:t>
      </w:r>
      <w:r>
        <w:rPr>
          <w:rFonts w:hint="eastAsia" w:ascii="宋体" w:hAnsi="宋体" w:cs="宋体"/>
          <w:color w:val="000000" w:themeColor="text1"/>
          <w14:textFill>
            <w14:solidFill>
              <w14:schemeClr w14:val="tx1"/>
            </w14:solidFill>
          </w14:textFill>
        </w:rPr>
        <w:t>。采购人不接受任何非人民币币种的报价。</w:t>
      </w:r>
    </w:p>
    <w:p>
      <w:pPr>
        <w:pStyle w:val="86"/>
        <w:spacing w:line="360" w:lineRule="auto"/>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15.3供应商的报价是其响应本项目要求的全部工作内容的价格体现，包括供应商完成本项目所需的一切费用。</w:t>
      </w:r>
    </w:p>
    <w:p>
      <w:pPr>
        <w:pStyle w:val="86"/>
        <w:spacing w:line="360" w:lineRule="auto"/>
        <w:ind w:left="426" w:firstLine="0" w:firstLineChars="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15.4本项目合同价格形式为固定单价合同。</w:t>
      </w:r>
    </w:p>
    <w:p>
      <w:pPr>
        <w:pStyle w:val="86"/>
        <w:spacing w:line="360" w:lineRule="auto"/>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15.5本项目采用工程量清单报价，合同为固定单价合同。</w:t>
      </w:r>
    </w:p>
    <w:p>
      <w:pPr>
        <w:pStyle w:val="86"/>
        <w:spacing w:line="360" w:lineRule="auto"/>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已标价工程量清单的扉页（仅指投标总价扉页，下同）应由注册或登记在本单位的造价人员签字并盖执业印章。除此之外，造价人员无需在响应文件其他任何地方签字或盖执业印章。供应商委托工程造价咨询企业编制已标价工程量清单的，应在响应文件中附工程造价咨询委托合同，由注册或登记在工程造价咨询企业的造价人员签字并盖执业印章。</w:t>
      </w:r>
    </w:p>
    <w:p>
      <w:pPr>
        <w:pStyle w:val="86"/>
        <w:spacing w:line="360" w:lineRule="auto"/>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供应商最后报价超过政府采购预算或最高限价（金额详见“供应商须知附表”）的, 其响应文件按无效处理。</w:t>
      </w:r>
    </w:p>
    <w:p>
      <w:pPr>
        <w:pStyle w:val="86"/>
        <w:spacing w:line="360" w:lineRule="auto"/>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供应商在首次提交的响应文件中的报价（即首次报价）应按磋商文件及工程量清单编制要求，列出报价的构成及明细，包括但不限于分部分项工程、措施项目、其他项目、规费及税金等。其中安全文明施工费、暂列金额、暂估价、规费及税金应按工程量清单（总说明）的要求计取。</w:t>
      </w:r>
    </w:p>
    <w:p>
      <w:pPr>
        <w:pStyle w:val="86"/>
        <w:spacing w:line="360" w:lineRule="auto"/>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供应商对工程量清单中的分部分项工程量清单项目的单价未填报或填报为零的，视为单价遗漏。出现单价遗漏情况，视为其费用已分摊在工程量清单其他相关子目的单价（价格）之中。如成交，供应商应完成该项目，但该项目不得另行计价。</w:t>
      </w:r>
    </w:p>
    <w:p>
      <w:pPr>
        <w:pStyle w:val="86"/>
        <w:spacing w:line="360" w:lineRule="auto"/>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供应商提交的已标价工程量清单应符合本项目工程量清单以及清单说明的要求。当供应商的已标价工程量清单有下列情形之一的，应按照无效响应文件处理。</w:t>
      </w:r>
    </w:p>
    <w:p>
      <w:pPr>
        <w:pStyle w:val="86"/>
        <w:spacing w:line="360" w:lineRule="auto"/>
        <w:ind w:left="-147"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（一）已标价工程量清单中的项目名称、项目特征描述（与采购文件工程量清单中的项目特征描述的实质性内容一致的除外）、计量单位、工程量与采购文件工程量清单不一致的；</w:t>
      </w:r>
    </w:p>
    <w:p>
      <w:pPr>
        <w:pStyle w:val="86"/>
        <w:spacing w:line="360" w:lineRule="auto"/>
        <w:ind w:left="6" w:firstLineChars="175"/>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（二）供应商未按采购文件工程量清单总说明规定或其持有的《四川省施工企业工程规费计取标准》证书中的规费标准(采购文件工程量清单总说明无规定时)计取规费的；</w:t>
      </w:r>
    </w:p>
    <w:p>
      <w:pPr>
        <w:pStyle w:val="86"/>
        <w:spacing w:line="360" w:lineRule="auto"/>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（三）采购文件明确了安全文明施工费金额或费率并要求按此金额或费率填报而供应商填报错误或未填报的；</w:t>
      </w:r>
    </w:p>
    <w:p>
      <w:pPr>
        <w:pStyle w:val="86"/>
        <w:spacing w:line="360" w:lineRule="auto"/>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（四）已标价工程量清单中暂列金额未按采购文件工程量清单中列明的金额填报的；</w:t>
      </w:r>
    </w:p>
    <w:p>
      <w:pPr>
        <w:pStyle w:val="86"/>
        <w:spacing w:line="360" w:lineRule="auto"/>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（五）已标价工程量清单中材料、工程设备暂估价未按采购文件工程量清单中列出的单价计入综合单价的；</w:t>
      </w:r>
    </w:p>
    <w:p>
      <w:pPr>
        <w:pStyle w:val="86"/>
        <w:spacing w:line="360" w:lineRule="auto"/>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（六）已标价工程量清单中专业工程暂估价未按采购文件工程量清单中列明的金额填写的；</w:t>
      </w:r>
    </w:p>
    <w:p>
      <w:pPr>
        <w:pStyle w:val="86"/>
        <w:spacing w:line="360" w:lineRule="auto"/>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（七）已标价工程量清单中计日工未按采购文件工程量清单中列明的数量进行报价的；</w:t>
      </w:r>
    </w:p>
    <w:p>
      <w:pPr>
        <w:pStyle w:val="86"/>
        <w:spacing w:line="360" w:lineRule="auto"/>
        <w:ind w:left="155" w:leftChars="74"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（八）当已标价工程量清单中的任何单价、合价或总价，出现两个及以上金额的。</w:t>
      </w:r>
    </w:p>
    <w:p>
      <w:pPr>
        <w:spacing w:line="360" w:lineRule="auto"/>
        <w:ind w:firstLine="480" w:firstLineChars="200"/>
        <w:rPr>
          <w:rFonts w:ascii="宋体" w:hAnsi="宋体" w:cs="宋体"/>
          <w:color w:val="000000" w:themeColor="text1"/>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若供应商的最后报价只有一个总价，且相对首次报价有调整（上调取“+”，下调取“-”），则该调整金额将会以百分比（A）形式套用于首次报价中除暂列金额、专业暂估价以及包干费用以外的各项目单价，调整后的单价（B）作为工程变更及竣工结算的依据。百分比（A）计算如下（保留两位小数）：</w:t>
      </w:r>
    </w:p>
    <w:p>
      <w:pPr>
        <w:spacing w:line="360" w:lineRule="auto"/>
        <w:ind w:firstLine="468" w:firstLineChars="195"/>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ab/>
      </w:r>
      <w:r>
        <w:rPr>
          <w:rFonts w:hint="eastAsia" w:ascii="宋体" w:hAnsi="宋体" w:cs="宋体"/>
          <w:color w:val="000000" w:themeColor="text1"/>
          <w:sz w:val="24"/>
          <w:szCs w:val="24"/>
          <w14:textFill>
            <w14:solidFill>
              <w14:schemeClr w14:val="tx1"/>
            </w14:solidFill>
          </w14:textFill>
        </w:rPr>
        <w:tab/>
      </w:r>
      <w:r>
        <w:rPr>
          <w:rFonts w:hint="eastAsia" w:ascii="宋体" w:hAnsi="宋体" w:cs="宋体"/>
          <w:color w:val="000000" w:themeColor="text1"/>
          <w:sz w:val="24"/>
          <w:szCs w:val="24"/>
          <w14:textFill>
            <w14:solidFill>
              <w14:schemeClr w14:val="tx1"/>
            </w14:solidFill>
          </w14:textFill>
        </w:rPr>
        <w:t>（±）调整金额</w:t>
      </w:r>
    </w:p>
    <w:p>
      <w:pPr>
        <w:spacing w:line="360" w:lineRule="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百分比（A）= ×100%</w:t>
      </w:r>
    </w:p>
    <w:p>
      <w:pPr>
        <w:spacing w:line="360" w:lineRule="auto"/>
        <w:ind w:firstLine="1680" w:firstLineChars="7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修正后的首次报价-暂列金额-专业工程暂估价-包干费用</w:t>
      </w:r>
    </w:p>
    <w:p>
      <w:pPr>
        <w:spacing w:line="360" w:lineRule="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调整后的单价B =修正后的首次报价中的单价×（1+A）</w:t>
      </w:r>
    </w:p>
    <w:bookmarkEnd w:id="59"/>
    <w:p>
      <w:pPr>
        <w:spacing w:line="360" w:lineRule="auto"/>
        <w:ind w:left="2" w:leftChars="1" w:firstLine="482" w:firstLineChars="200"/>
        <w:rPr>
          <w:rFonts w:ascii="宋体" w:hAnsi="宋体" w:cs="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16.响应文件格式</w:t>
      </w:r>
    </w:p>
    <w:p>
      <w:pPr>
        <w:spacing w:line="360" w:lineRule="auto"/>
        <w:ind w:left="2" w:leftChars="1"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16.1 供应商应执行磋商文件第五章的规定要求。</w:t>
      </w:r>
    </w:p>
    <w:p>
      <w:pPr>
        <w:spacing w:line="360" w:lineRule="auto"/>
        <w:ind w:left="2" w:leftChars="1"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16.2 对于磋商文件没有格式要求的由供应商自行编写。</w:t>
      </w:r>
      <w:bookmarkStart w:id="60" w:name="_Toc183682361"/>
      <w:bookmarkStart w:id="61" w:name="_Toc183582224"/>
      <w:bookmarkStart w:id="62" w:name="_Toc217446051"/>
    </w:p>
    <w:p>
      <w:pPr>
        <w:spacing w:line="360" w:lineRule="auto"/>
        <w:ind w:firstLine="472" w:firstLineChars="196"/>
        <w:rPr>
          <w:rFonts w:ascii="宋体" w:hAnsi="宋体" w:cs="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17.响应文件的编制和签署</w:t>
      </w:r>
    </w:p>
    <w:p>
      <w:pPr>
        <w:spacing w:line="360" w:lineRule="auto"/>
        <w:ind w:firstLine="468" w:firstLineChars="195"/>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17.1 响应文件封面上应清楚地标明采购项目名称、采购项目编号、包件号及名称（若有）、供应商名称以及“正本”或“副本”字样。</w:t>
      </w:r>
    </w:p>
    <w:p>
      <w:pPr>
        <w:spacing w:line="360" w:lineRule="auto"/>
        <w:ind w:firstLine="468" w:firstLineChars="195"/>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xml:space="preserve">17.2 </w:t>
      </w:r>
      <w:bookmarkEnd w:id="60"/>
      <w:bookmarkEnd w:id="61"/>
      <w:bookmarkEnd w:id="62"/>
      <w:r>
        <w:rPr>
          <w:rFonts w:hint="eastAsia" w:ascii="宋体" w:hAnsi="宋体" w:cs="宋体"/>
          <w:color w:val="000000" w:themeColor="text1"/>
          <w:sz w:val="24"/>
          <w:szCs w:val="24"/>
          <w14:textFill>
            <w14:solidFill>
              <w14:schemeClr w14:val="tx1"/>
            </w14:solidFill>
          </w14:textFill>
        </w:rPr>
        <w:t>响应文件正本和副本均需打印或用不褪色、不变质的墨水书写，并在规定签章处签字和盖章。响应文件副本可采用正本的复印件。本项目响应文件提供纸质响应文件。</w:t>
      </w:r>
    </w:p>
    <w:p>
      <w:pPr>
        <w:spacing w:line="360" w:lineRule="auto"/>
        <w:ind w:firstLine="468" w:firstLineChars="195"/>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17.3响应文件的打印和书写应清楚工整，任何行间插字、涂改或增删，必须由供应商的法定代表人/单位负责人或其授权代表签字并盖供应商公章。</w:t>
      </w:r>
    </w:p>
    <w:p>
      <w:pPr>
        <w:spacing w:line="360" w:lineRule="auto"/>
        <w:ind w:firstLine="468" w:firstLineChars="195"/>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17.4</w:t>
      </w:r>
      <w:r>
        <w:rPr>
          <w:rFonts w:hint="eastAsia" w:ascii="宋体" w:hAnsi="宋体" w:cs="宋体"/>
          <w:b/>
          <w:bCs/>
          <w:color w:val="000000" w:themeColor="text1"/>
          <w:sz w:val="24"/>
          <w:szCs w:val="24"/>
          <w14:textFill>
            <w14:solidFill>
              <w14:schemeClr w14:val="tx1"/>
            </w14:solidFill>
          </w14:textFill>
        </w:rPr>
        <w:t>（实质性要求）</w:t>
      </w:r>
      <w:r>
        <w:rPr>
          <w:rFonts w:hint="eastAsia" w:ascii="宋体" w:hAnsi="宋体" w:cs="宋体"/>
          <w:color w:val="000000" w:themeColor="text1"/>
          <w:sz w:val="24"/>
          <w:szCs w:val="24"/>
          <w14:textFill>
            <w14:solidFill>
              <w14:schemeClr w14:val="tx1"/>
            </w14:solidFill>
          </w14:textFill>
        </w:rPr>
        <w:t>响应文件应由供应商法定代表人/主要负责人/本人或其授权代表在响应文件要求的地方签字（注：供应商为法人的，应当由其法定代表人或者授权代表签字确认；供应商为其他组织的，应当由其主要负责人或者授权代表签字确认；供应商为自然人的，应当由其本人或者授权代表签字确认）或加盖私人印章，要求加盖公章的地方加盖单位公章，不得使用专用章（如经济合同章、投标专用章等）或下属单位印章代替。</w:t>
      </w:r>
    </w:p>
    <w:p>
      <w:pPr>
        <w:spacing w:line="360" w:lineRule="auto"/>
        <w:ind w:firstLine="468" w:firstLineChars="195"/>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17.5响应文件正本和副本需要逐页编目编码。</w:t>
      </w:r>
    </w:p>
    <w:p>
      <w:pPr>
        <w:tabs>
          <w:tab w:val="left" w:pos="1080"/>
        </w:tabs>
        <w:spacing w:line="360" w:lineRule="auto"/>
        <w:ind w:firstLine="460" w:firstLineChars="192"/>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17.6要求提供纸质响应文件的，响应文件正本和副本应当采用胶装方式装订成册，不得散装或者合页装订。</w:t>
      </w:r>
    </w:p>
    <w:p>
      <w:pPr>
        <w:tabs>
          <w:tab w:val="left" w:pos="1080"/>
        </w:tabs>
        <w:spacing w:line="360" w:lineRule="auto"/>
        <w:ind w:firstLine="460" w:firstLineChars="192"/>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17.7</w:t>
      </w:r>
      <w:r>
        <w:rPr>
          <w:rFonts w:hint="eastAsia" w:ascii="宋体" w:hAnsi="宋体" w:cs="宋体"/>
          <w:b/>
          <w:bCs/>
          <w:color w:val="000000" w:themeColor="text1"/>
          <w:sz w:val="24"/>
          <w:szCs w:val="24"/>
          <w14:textFill>
            <w14:solidFill>
              <w14:schemeClr w14:val="tx1"/>
            </w14:solidFill>
          </w14:textFill>
        </w:rPr>
        <w:t>（实质性要求）</w:t>
      </w:r>
      <w:r>
        <w:rPr>
          <w:rFonts w:hint="eastAsia" w:ascii="宋体" w:hAnsi="宋体" w:cs="宋体"/>
          <w:color w:val="000000" w:themeColor="text1"/>
          <w:sz w:val="24"/>
          <w:szCs w:val="24"/>
          <w14:textFill>
            <w14:solidFill>
              <w14:schemeClr w14:val="tx1"/>
            </w14:solidFill>
          </w14:textFill>
        </w:rPr>
        <w:t>响应文件应按磋商文件的要求签署、盖章（第六章2.2.6规定的例外情形除外）。</w:t>
      </w:r>
    </w:p>
    <w:p>
      <w:pPr>
        <w:tabs>
          <w:tab w:val="left" w:pos="1080"/>
        </w:tabs>
        <w:spacing w:line="360" w:lineRule="auto"/>
        <w:ind w:left="220" w:leftChars="105" w:firstLine="223" w:firstLineChars="93"/>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17.8提供纸质响应文件的，响应文件统一用A4幅面纸印制，除另有规定外。</w:t>
      </w:r>
      <w:bookmarkStart w:id="63" w:name="_Toc183582226"/>
      <w:bookmarkStart w:id="64" w:name="_Toc183682363"/>
      <w:bookmarkStart w:id="65" w:name="_Toc217446053"/>
      <w:bookmarkStart w:id="66" w:name="_Toc77400781"/>
      <w:bookmarkStart w:id="67" w:name="_Toc89075877"/>
    </w:p>
    <w:p>
      <w:pPr>
        <w:tabs>
          <w:tab w:val="left" w:pos="1080"/>
        </w:tabs>
        <w:spacing w:line="360" w:lineRule="auto"/>
        <w:ind w:firstLine="446" w:firstLineChars="185"/>
        <w:rPr>
          <w:rFonts w:ascii="宋体" w:hAnsi="宋体" w:cs="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18.响应文件的密封和标注（不属于本项目磋商小组评审范畴，由采购人、采购代理机构在接收响应文件时及时处理）</w:t>
      </w:r>
    </w:p>
    <w:p>
      <w:pPr>
        <w:tabs>
          <w:tab w:val="left" w:pos="1080"/>
        </w:tabs>
        <w:spacing w:line="360" w:lineRule="auto"/>
        <w:ind w:firstLine="460" w:firstLineChars="192"/>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18.1 响应文件可以单独密封包装，也可以所有响应文件密封包装在一个密封袋内。</w:t>
      </w:r>
    </w:p>
    <w:p>
      <w:pPr>
        <w:tabs>
          <w:tab w:val="left" w:pos="1080"/>
        </w:tabs>
        <w:spacing w:line="360" w:lineRule="auto"/>
        <w:ind w:firstLine="460" w:firstLineChars="192"/>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18.2 响应文件密封袋的最外层应清楚地标明采购项目名称、采购项目编号、包件号及名称（若有）、供应商名称。</w:t>
      </w:r>
    </w:p>
    <w:p>
      <w:pPr>
        <w:tabs>
          <w:tab w:val="left" w:pos="1080"/>
        </w:tabs>
        <w:spacing w:line="360" w:lineRule="auto"/>
        <w:ind w:firstLine="460" w:firstLineChars="192"/>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18.3 所有外层密封袋的封口处应粘贴牢固。</w:t>
      </w:r>
    </w:p>
    <w:p>
      <w:pPr>
        <w:tabs>
          <w:tab w:val="left" w:pos="1080"/>
        </w:tabs>
        <w:spacing w:line="360" w:lineRule="auto"/>
        <w:ind w:firstLine="460" w:firstLineChars="192"/>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18.4 未密封的响应文件，采购人、采购代理机构将拒收或者在时间允许的范围内，要求供应商密封完善后接收。</w:t>
      </w:r>
    </w:p>
    <w:p>
      <w:pPr>
        <w:tabs>
          <w:tab w:val="left" w:pos="1080"/>
        </w:tabs>
        <w:spacing w:line="360" w:lineRule="auto"/>
        <w:ind w:firstLine="463" w:firstLineChars="192"/>
        <w:rPr>
          <w:rFonts w:ascii="宋体" w:hAnsi="宋体" w:cs="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19.响应文件的递交</w:t>
      </w:r>
    </w:p>
    <w:p>
      <w:pPr>
        <w:tabs>
          <w:tab w:val="left" w:pos="1080"/>
        </w:tabs>
        <w:spacing w:line="360" w:lineRule="auto"/>
        <w:ind w:firstLine="460" w:firstLineChars="192"/>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19.1 响应文件应于递交响应文件截止时间前送达指定地点，采购代理机构拒绝接收截止时间后送达的响应文件。</w:t>
      </w:r>
    </w:p>
    <w:p>
      <w:pPr>
        <w:tabs>
          <w:tab w:val="left" w:pos="1080"/>
        </w:tabs>
        <w:spacing w:line="360" w:lineRule="auto"/>
        <w:ind w:firstLine="460" w:firstLineChars="192"/>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19.2报价表在磋商后，由磋商小组要求供应商进行报价时递交。</w:t>
      </w:r>
    </w:p>
    <w:p>
      <w:pPr>
        <w:tabs>
          <w:tab w:val="left" w:pos="1080"/>
        </w:tabs>
        <w:spacing w:line="360" w:lineRule="auto"/>
        <w:ind w:firstLine="460" w:firstLineChars="192"/>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19.3本次采购不接收邮寄的响应文件。</w:t>
      </w:r>
    </w:p>
    <w:bookmarkEnd w:id="63"/>
    <w:bookmarkEnd w:id="64"/>
    <w:bookmarkEnd w:id="65"/>
    <w:bookmarkEnd w:id="66"/>
    <w:bookmarkEnd w:id="67"/>
    <w:p>
      <w:pPr>
        <w:tabs>
          <w:tab w:val="left" w:pos="1080"/>
        </w:tabs>
        <w:spacing w:line="360" w:lineRule="auto"/>
        <w:ind w:firstLine="463" w:firstLineChars="192"/>
        <w:rPr>
          <w:rFonts w:ascii="宋体" w:hAnsi="宋体" w:cs="宋体"/>
          <w:b/>
          <w:bCs/>
          <w:color w:val="000000" w:themeColor="text1"/>
          <w:sz w:val="24"/>
          <w:szCs w:val="24"/>
          <w14:textFill>
            <w14:solidFill>
              <w14:schemeClr w14:val="tx1"/>
            </w14:solidFill>
          </w14:textFill>
        </w:rPr>
      </w:pPr>
      <w:bookmarkStart w:id="68" w:name="_Toc183582228"/>
      <w:bookmarkStart w:id="69" w:name="_Toc183682365"/>
      <w:bookmarkStart w:id="70" w:name="_Toc217446055"/>
      <w:r>
        <w:rPr>
          <w:rFonts w:hint="eastAsia" w:ascii="宋体" w:hAnsi="宋体" w:cs="宋体"/>
          <w:b/>
          <w:bCs/>
          <w:color w:val="000000" w:themeColor="text1"/>
          <w:sz w:val="24"/>
          <w:szCs w:val="24"/>
          <w14:textFill>
            <w14:solidFill>
              <w14:schemeClr w14:val="tx1"/>
            </w14:solidFill>
          </w14:textFill>
        </w:rPr>
        <w:t>20.响应文件的修改和撤回（补充、修改响应文件的密封和标注按照本章“18.响应文件的密封和标注”规定处理）</w:t>
      </w:r>
    </w:p>
    <w:p>
      <w:pPr>
        <w:pStyle w:val="14"/>
        <w:spacing w:line="360" w:lineRule="auto"/>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20.1供应商在提交响应文件后可对其响应文件进行修改或撤回，但该修改或撤回的书面通知须在递交截止时间之前送达采购代理机构，补充、修改的内容作为响应文件的组成部分。且该通知需经正式授权的供应商代表签字方为有效。供应商在提交响应文件截止时间前，可以对所提交的响应文件进行补充、修改或者撤回，补充、修改的内容与响应文件不一致的，以补充、修改的内容为准。</w:t>
      </w:r>
    </w:p>
    <w:p>
      <w:pPr>
        <w:adjustRightInd w:val="0"/>
        <w:snapToGrid w:val="0"/>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20.2供应商对响应文件修改的书面材料或撤回的通知应该按规定进行编写、密封、标注和递送，并注明“修改响应文件”字样。</w:t>
      </w:r>
    </w:p>
    <w:p>
      <w:pPr>
        <w:adjustRightInd w:val="0"/>
        <w:snapToGrid w:val="0"/>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20.3供应商不得在递交截止时间起至响应文件有效期期满前撤销其响应文件，否则将认定其响应文件有效期的承诺为虚假承诺，并依法追究其法律责任。</w:t>
      </w:r>
    </w:p>
    <w:p>
      <w:pPr>
        <w:spacing w:line="360" w:lineRule="auto"/>
        <w:ind w:firstLine="48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20.4供应商对其提交的响应文件的真实性、合法性承担法律责任。</w:t>
      </w:r>
      <w:bookmarkEnd w:id="68"/>
      <w:bookmarkEnd w:id="69"/>
      <w:bookmarkEnd w:id="70"/>
    </w:p>
    <w:p>
      <w:pPr>
        <w:pStyle w:val="5"/>
        <w:keepNext w:val="0"/>
        <w:keepLines w:val="0"/>
        <w:spacing w:line="360" w:lineRule="auto"/>
        <w:jc w:val="center"/>
        <w:rPr>
          <w:rFonts w:ascii="宋体" w:hAnsi="宋体" w:eastAsia="宋体" w:cs="宋体"/>
          <w:color w:val="000000" w:themeColor="text1"/>
          <w14:textFill>
            <w14:solidFill>
              <w14:schemeClr w14:val="tx1"/>
            </w14:solidFill>
          </w14:textFill>
        </w:rPr>
      </w:pPr>
      <w:bookmarkStart w:id="71" w:name="_Toc183582231"/>
      <w:bookmarkStart w:id="72" w:name="_Toc217446056"/>
      <w:bookmarkStart w:id="73" w:name="_Toc89075878"/>
      <w:bookmarkStart w:id="74" w:name="_Toc183682368"/>
      <w:bookmarkStart w:id="75" w:name="_Toc77400782"/>
      <w:r>
        <w:rPr>
          <w:rFonts w:hint="eastAsia" w:ascii="宋体" w:hAnsi="宋体" w:eastAsia="宋体" w:cs="宋体"/>
          <w:color w:val="000000" w:themeColor="text1"/>
          <w14:textFill>
            <w14:solidFill>
              <w14:schemeClr w14:val="tx1"/>
            </w14:solidFill>
          </w14:textFill>
        </w:rPr>
        <w:t>五、评审</w:t>
      </w:r>
    </w:p>
    <w:p>
      <w:pPr>
        <w:tabs>
          <w:tab w:val="left" w:pos="1080"/>
        </w:tabs>
        <w:spacing w:line="360" w:lineRule="auto"/>
        <w:ind w:firstLine="463" w:firstLineChars="192"/>
        <w:rPr>
          <w:rFonts w:ascii="宋体" w:hAnsi="宋体" w:cs="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21.评审</w:t>
      </w:r>
    </w:p>
    <w:p>
      <w:pPr>
        <w:pStyle w:val="5"/>
        <w:keepNext w:val="0"/>
        <w:keepLines w:val="0"/>
        <w:spacing w:line="360" w:lineRule="auto"/>
        <w:ind w:firstLine="480" w:firstLineChars="200"/>
        <w:rPr>
          <w:rFonts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21.1磋商小组的组建及其评审工作按照有关法律制度和本文件第六章的规定进行。</w:t>
      </w:r>
    </w:p>
    <w:p>
      <w:pPr>
        <w:pStyle w:val="5"/>
        <w:keepNext w:val="0"/>
        <w:keepLines w:val="0"/>
        <w:spacing w:line="360" w:lineRule="auto"/>
        <w:jc w:val="center"/>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六、成交事项</w:t>
      </w:r>
    </w:p>
    <w:p>
      <w:pPr>
        <w:pStyle w:val="5"/>
        <w:keepNext w:val="0"/>
        <w:keepLines w:val="0"/>
        <w:spacing w:after="0" w:line="360" w:lineRule="auto"/>
        <w:ind w:firstLine="482" w:firstLineChars="200"/>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22.确定成交供应商</w:t>
      </w:r>
    </w:p>
    <w:p>
      <w:pPr>
        <w:pStyle w:val="5"/>
        <w:keepNext w:val="0"/>
        <w:keepLines w:val="0"/>
        <w:spacing w:before="0" w:after="0" w:line="360" w:lineRule="auto"/>
        <w:ind w:firstLine="480" w:firstLineChars="200"/>
        <w:rPr>
          <w:rFonts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22.1本项目采购人将按磋商小组推荐的成交候选供应商顺序确定成交供应商。</w:t>
      </w:r>
    </w:p>
    <w:p>
      <w:pPr>
        <w:pStyle w:val="5"/>
        <w:keepNext w:val="0"/>
        <w:keepLines w:val="0"/>
        <w:spacing w:before="0" w:after="0" w:line="360" w:lineRule="auto"/>
        <w:ind w:firstLine="480" w:firstLineChars="200"/>
        <w:rPr>
          <w:rFonts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22.2采购代理机构自评审结束后2个工作日内将磋商报告及有关资料送交采购人确定成交供应商。</w:t>
      </w:r>
    </w:p>
    <w:p>
      <w:pPr>
        <w:pStyle w:val="5"/>
        <w:keepNext w:val="0"/>
        <w:keepLines w:val="0"/>
        <w:spacing w:before="0" w:after="0" w:line="360" w:lineRule="auto"/>
        <w:ind w:firstLine="480" w:firstLineChars="200"/>
        <w:rPr>
          <w:rFonts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22.3采购人收到磋商报告及有关资料后，将在5个工作日内按照磋商报告中推荐的成交候选供应商顺序确定成交供应商。评审得分且最后报价且技术指标得分均相同的，成交候选供应商并列，由采购人随机抽签确定成交供应商。采购人逾期未确定成交供应商且不提出异议的，视为确定磋商报告提出的排序第一的供应商为成交供应商。</w:t>
      </w:r>
    </w:p>
    <w:p>
      <w:pPr>
        <w:pStyle w:val="5"/>
        <w:keepNext w:val="0"/>
        <w:keepLines w:val="0"/>
        <w:spacing w:before="0" w:after="0" w:line="360" w:lineRule="auto"/>
        <w:ind w:firstLine="480" w:firstLineChars="200"/>
        <w:rPr>
          <w:rFonts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22.4采购人确定成交供应商过程中，发现成交候选供应商有下列情形之一的，不予确定其为成交供应商：</w:t>
      </w:r>
    </w:p>
    <w:p>
      <w:pPr>
        <w:pStyle w:val="5"/>
        <w:keepNext w:val="0"/>
        <w:keepLines w:val="0"/>
        <w:spacing w:before="0" w:after="0" w:line="360" w:lineRule="auto"/>
        <w:ind w:firstLine="480" w:firstLineChars="200"/>
        <w:rPr>
          <w:rFonts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（1）成交候选供应商属于禁止参加本项目采购活动的；</w:t>
      </w:r>
    </w:p>
    <w:p>
      <w:pPr>
        <w:pStyle w:val="5"/>
        <w:keepNext w:val="0"/>
        <w:keepLines w:val="0"/>
        <w:spacing w:before="0" w:after="0" w:line="360" w:lineRule="auto"/>
        <w:ind w:firstLine="480" w:firstLineChars="200"/>
        <w:rPr>
          <w:rFonts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（2）成交候选供应商因不可抗力，不能继续参加政府采购活动；</w:t>
      </w:r>
    </w:p>
    <w:p>
      <w:pPr>
        <w:pStyle w:val="5"/>
        <w:keepNext w:val="0"/>
        <w:keepLines w:val="0"/>
        <w:spacing w:before="0" w:after="0" w:line="360" w:lineRule="auto"/>
        <w:ind w:firstLine="480" w:firstLineChars="200"/>
        <w:rPr>
          <w:rFonts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（3）成交候选供应商无偿赠与或者低于成本价竞争；</w:t>
      </w:r>
    </w:p>
    <w:p>
      <w:pPr>
        <w:pStyle w:val="5"/>
        <w:keepNext w:val="0"/>
        <w:keepLines w:val="0"/>
        <w:spacing w:before="0" w:after="0" w:line="360" w:lineRule="auto"/>
        <w:ind w:firstLine="480" w:firstLineChars="200"/>
        <w:rPr>
          <w:rFonts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（4）成交候选供应商提供虚假材料；</w:t>
      </w:r>
    </w:p>
    <w:p>
      <w:pPr>
        <w:pStyle w:val="5"/>
        <w:keepNext w:val="0"/>
        <w:keepLines w:val="0"/>
        <w:spacing w:before="0" w:after="0" w:line="360" w:lineRule="auto"/>
        <w:ind w:firstLine="480" w:firstLineChars="200"/>
        <w:rPr>
          <w:rFonts w:ascii="宋体" w:hAnsi="宋体" w:eastAsia="宋体" w:cs="宋体"/>
          <w:color w:val="000000" w:themeColor="text1"/>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（5）成交候选供应商恶意串通。</w:t>
      </w:r>
    </w:p>
    <w:p>
      <w:pPr>
        <w:pStyle w:val="5"/>
        <w:keepNext w:val="0"/>
        <w:keepLines w:val="0"/>
        <w:spacing w:before="0" w:after="0" w:line="360" w:lineRule="auto"/>
        <w:ind w:firstLine="482" w:firstLineChars="200"/>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23.成交结果</w:t>
      </w:r>
    </w:p>
    <w:p>
      <w:pPr>
        <w:pStyle w:val="5"/>
        <w:keepNext w:val="0"/>
        <w:keepLines w:val="0"/>
        <w:spacing w:before="0" w:after="0" w:line="360" w:lineRule="auto"/>
        <w:ind w:firstLine="480" w:firstLineChars="200"/>
        <w:rPr>
          <w:rFonts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23.1采购人确定成交供应商后，将及时书面通知采购代理机构，由采购代理机构发出成交通知书并发布成交结果公告。</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23.2成交供应商应当及时领取成交通知书。本项目需要交纳履约保证金的，成交供应商应当及时向采购人交纳。</w:t>
      </w:r>
    </w:p>
    <w:p>
      <w:pPr>
        <w:spacing w:line="360" w:lineRule="auto"/>
        <w:ind w:firstLine="465"/>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23.3成交供应商不能及时领取成交通知书，采购人或者采购代理机应当通过邮寄、快递等方式将项目成交通知书送达成交供应商。</w:t>
      </w:r>
    </w:p>
    <w:p>
      <w:pPr>
        <w:pStyle w:val="5"/>
        <w:keepNext w:val="0"/>
        <w:keepLines w:val="0"/>
        <w:spacing w:before="0" w:after="0" w:line="360" w:lineRule="auto"/>
        <w:ind w:firstLine="482" w:firstLineChars="200"/>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24.成交通知书</w:t>
      </w:r>
    </w:p>
    <w:p>
      <w:pPr>
        <w:pStyle w:val="5"/>
        <w:keepNext w:val="0"/>
        <w:keepLines w:val="0"/>
        <w:spacing w:before="0" w:after="0" w:line="360" w:lineRule="auto"/>
        <w:ind w:firstLine="480" w:firstLineChars="200"/>
        <w:rPr>
          <w:rFonts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24.1成交通知书为签订政府采购合同的依据之一，是合同的有效组成部分。</w:t>
      </w:r>
    </w:p>
    <w:p>
      <w:pPr>
        <w:pStyle w:val="5"/>
        <w:keepNext w:val="0"/>
        <w:keepLines w:val="0"/>
        <w:spacing w:before="0" w:after="0" w:line="360" w:lineRule="auto"/>
        <w:ind w:firstLine="480" w:firstLineChars="200"/>
        <w:rPr>
          <w:rFonts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24.2成交通知书对采购人和成交供应商均具有法律效力。成交通知书发出后，采购人无正当理由改变成交结果，或者成交供应商无正当理由放弃成交的，将承担相应的法律责任。</w:t>
      </w:r>
    </w:p>
    <w:p>
      <w:pPr>
        <w:pStyle w:val="5"/>
        <w:keepNext w:val="0"/>
        <w:keepLines w:val="0"/>
        <w:spacing w:before="0" w:after="0" w:line="360" w:lineRule="auto"/>
        <w:ind w:firstLine="480" w:firstLineChars="200"/>
        <w:rPr>
          <w:rFonts w:ascii="宋体" w:hAnsi="宋体" w:eastAsia="宋体" w:cs="宋体"/>
          <w:color w:val="000000" w:themeColor="text1"/>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24.3成交供应商的响应文件作为无效响应文件处理或者有政府采购法律法规规章制度规定的成交无效情形的，采购人/采购代理机构在取得有权主体的认定以后，有权宣布发出的成交通知书无效，并收回发出的成交通知书，依法重新确定成交供应商或者重新开展采购活动。</w:t>
      </w:r>
    </w:p>
    <w:p>
      <w:pPr>
        <w:pStyle w:val="5"/>
        <w:keepNext w:val="0"/>
        <w:keepLines w:val="0"/>
        <w:spacing w:line="360" w:lineRule="auto"/>
        <w:jc w:val="center"/>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七、合同事项</w:t>
      </w:r>
    </w:p>
    <w:p>
      <w:pPr>
        <w:pStyle w:val="5"/>
        <w:keepNext w:val="0"/>
        <w:keepLines w:val="0"/>
        <w:spacing w:before="0" w:after="0" w:line="360" w:lineRule="auto"/>
        <w:ind w:firstLine="472" w:firstLineChars="196"/>
        <w:rPr>
          <w:rFonts w:ascii="宋体" w:hAnsi="宋体" w:eastAsia="宋体" w:cs="宋体"/>
          <w:color w:val="000000" w:themeColor="text1"/>
          <w:sz w:val="24"/>
          <w:szCs w:val="24"/>
          <w14:textFill>
            <w14:solidFill>
              <w14:schemeClr w14:val="tx1"/>
            </w14:solidFill>
          </w14:textFill>
        </w:rPr>
      </w:pPr>
      <w:bookmarkStart w:id="76" w:name="_Toc101250646"/>
      <w:bookmarkStart w:id="77" w:name="_Toc430773927"/>
      <w:bookmarkStart w:id="78" w:name="_Toc209847069"/>
      <w:bookmarkStart w:id="79" w:name="_Toc101174151"/>
      <w:bookmarkStart w:id="80" w:name="_Toc101338364"/>
      <w:r>
        <w:rPr>
          <w:rFonts w:hint="eastAsia" w:ascii="宋体" w:hAnsi="宋体" w:eastAsia="宋体" w:cs="宋体"/>
          <w:color w:val="000000" w:themeColor="text1"/>
          <w:sz w:val="24"/>
          <w:szCs w:val="24"/>
          <w14:textFill>
            <w14:solidFill>
              <w14:schemeClr w14:val="tx1"/>
            </w14:solidFill>
          </w14:textFill>
        </w:rPr>
        <w:t>25.签订合同</w:t>
      </w:r>
      <w:bookmarkEnd w:id="76"/>
      <w:bookmarkEnd w:id="77"/>
      <w:bookmarkEnd w:id="78"/>
      <w:bookmarkEnd w:id="79"/>
      <w:bookmarkEnd w:id="80"/>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25.1 成交供应商应在成交通知书发出之日起三十日内与采购人签订采购合同。由于成交供应商的原因逾期未与采购人签订采购合同的，将视为放弃成交，取消其成交资格并将按相关规定进行处理。</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25.2 磋商文件、成交供应商的响应文件及双方确认的澄清文件等，均为有法律约束力的合同组成部分。</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25.3 采购人不得向成交供应商提出任何不合理的要求，作为签订合同的条件，不得与成交供应商私下订立背离合同实质性内容的任何协议，所签订的合同不得对磋商文件和成交供应商响应文件确定的事项进行修改。</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25.4 成交供应商因不可抗力原因不能履行采购合同或放弃成交的，采购人可以与后一位序的成交候选供应商签订采购合同，依此类推。</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25.5竞争性磋商文件、成交供应商提交的响应文件、磋商中的最后报价、成交供应商承诺书、成交通知书等均称为有法律约束力的合同组成内容。</w:t>
      </w:r>
    </w:p>
    <w:p>
      <w:pPr>
        <w:spacing w:line="360" w:lineRule="auto"/>
        <w:ind w:firstLine="482" w:firstLineChars="200"/>
        <w:rPr>
          <w:rFonts w:ascii="宋体" w:hAnsi="宋体" w:cs="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26.合同分包（实质性要求）</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26.1本项目合同接受分包与否，以“供应商须知附表”为准。</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26.2 采购合同实行分包履行的，成交供应商就采购项目和分包项目向采购人负责，分包供应商就分包项目承担责任。履行分包项目事项应当具备法定资质规定要求的，分包供应商应当具备相应资质。</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26.3 中小企业依据</w:t>
      </w:r>
      <w:r>
        <w:rPr>
          <w:rFonts w:hint="eastAsia" w:ascii="宋体" w:hAnsi="宋体" w:cs="宋体"/>
          <w:bCs/>
          <w:color w:val="000000"/>
          <w:sz w:val="24"/>
        </w:rPr>
        <w:t>《政府采购促进中小企业发展管理办法》（财库〔2020〕46号）</w:t>
      </w:r>
      <w:r>
        <w:rPr>
          <w:rFonts w:hint="eastAsia" w:ascii="宋体" w:hAnsi="宋体" w:cs="宋体"/>
          <w:color w:val="000000" w:themeColor="text1"/>
          <w:sz w:val="24"/>
          <w:szCs w:val="24"/>
          <w14:textFill>
            <w14:solidFill>
              <w14:schemeClr w14:val="tx1"/>
            </w14:solidFill>
          </w14:textFill>
        </w:rPr>
        <w:t>规定的政策获取政府采购合同后，小型、微型企业不得分包或转包给大型、中型企业，中型企业不得分包或转包给大型企业。</w:t>
      </w:r>
    </w:p>
    <w:p>
      <w:pPr>
        <w:spacing w:line="360" w:lineRule="auto"/>
        <w:ind w:firstLine="482" w:firstLineChars="200"/>
        <w:rPr>
          <w:rFonts w:ascii="宋体" w:hAnsi="宋体" w:cs="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27.合同转包（实质性要求）</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本采购项目严禁成交供应商将任何政府采购合同义务转包。本项目所称转包，是指成交供应商将政府采购合同义务转让给第三人，并退出现有政府采购合同当事人双方的权利义务关系，受让人（即第三人）实质成为政府采购合同的另一方当事人的行为。</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成交供应商转包的，视同拒绝履行政府采购合同义务，将依法追究法律责任。</w:t>
      </w:r>
    </w:p>
    <w:p>
      <w:pPr>
        <w:spacing w:line="360" w:lineRule="auto"/>
        <w:ind w:firstLine="482" w:firstLineChars="200"/>
        <w:rPr>
          <w:rFonts w:ascii="宋体" w:hAnsi="宋体" w:cs="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28.补充合同</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采购合同履行过程中，采购人需要追加与合同标的相同的货物、工程或者服务的，在不改变合同其他条款的前提下，可以与成交供应商协商签订补充合同，但所有补充合同的采购金额不得超过原合同采购金额的百分之十，该补充合同应当在原政府采购合同履行过程中，不得在原政府采购合同履行结束后，且采购货物、工程和服务的名称、价格、履约方式、验收标准等必须与原政府采购合同一致。</w:t>
      </w:r>
    </w:p>
    <w:p>
      <w:pPr>
        <w:spacing w:line="360" w:lineRule="auto"/>
        <w:ind w:firstLine="482" w:firstLineChars="200"/>
        <w:rPr>
          <w:rFonts w:ascii="仿宋" w:hAnsi="仿宋" w:eastAsia="仿宋"/>
          <w:b/>
          <w:bCs/>
          <w:sz w:val="24"/>
          <w:szCs w:val="24"/>
        </w:rPr>
      </w:pPr>
      <w:r>
        <w:rPr>
          <w:rFonts w:hint="eastAsia" w:ascii="宋体" w:hAnsi="宋体" w:cs="宋体"/>
          <w:b/>
          <w:bCs/>
          <w:color w:val="000000" w:themeColor="text1"/>
          <w:sz w:val="24"/>
          <w:szCs w:val="24"/>
          <w14:textFill>
            <w14:solidFill>
              <w14:schemeClr w14:val="tx1"/>
            </w14:solidFill>
          </w14:textFill>
        </w:rPr>
        <w:t>29.履约保证金（实质性要求）</w:t>
      </w:r>
    </w:p>
    <w:p>
      <w:pPr>
        <w:spacing w:line="360" w:lineRule="auto"/>
        <w:ind w:firstLine="480" w:firstLineChars="200"/>
        <w:rPr>
          <w:rFonts w:hint="eastAsia"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29</w:t>
      </w:r>
      <w:r>
        <w:rPr>
          <w:rFonts w:hint="eastAsia" w:ascii="宋体" w:hAnsi="宋体" w:cs="宋体"/>
          <w:color w:val="000000" w:themeColor="text1"/>
          <w:sz w:val="24"/>
          <w:szCs w:val="24"/>
          <w14:textFill>
            <w14:solidFill>
              <w14:schemeClr w14:val="tx1"/>
            </w14:solidFill>
          </w14:textFill>
        </w:rPr>
        <w:t>.1 成交供应商应在合同签订之前交纳竞争性磋商文件规定数额的履约保证金。</w:t>
      </w:r>
    </w:p>
    <w:p>
      <w:pPr>
        <w:spacing w:line="360" w:lineRule="auto"/>
        <w:ind w:firstLine="480" w:firstLineChars="200"/>
        <w:rPr>
          <w:rFonts w:hint="eastAsia" w:ascii="宋体" w:hAnsi="宋体" w:cs="宋体"/>
          <w:b/>
          <w:bCs/>
          <w:color w:val="000000" w:themeColor="text1"/>
          <w:sz w:val="24"/>
          <w:szCs w:val="24"/>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29</w:t>
      </w:r>
      <w:r>
        <w:rPr>
          <w:rFonts w:hint="eastAsia" w:ascii="宋体" w:hAnsi="宋体" w:cs="宋体"/>
          <w:color w:val="000000" w:themeColor="text1"/>
          <w:sz w:val="24"/>
          <w:szCs w:val="24"/>
          <w14:textFill>
            <w14:solidFill>
              <w14:schemeClr w14:val="tx1"/>
            </w14:solidFill>
          </w14:textFill>
        </w:rPr>
        <w:t>.2 如果成交供应商在规定的合同签订时间内，没有按照采购文件的规定交纳履约保证金，且又无正当理由的，将视为放弃成交。</w:t>
      </w:r>
    </w:p>
    <w:p>
      <w:pPr>
        <w:spacing w:line="360" w:lineRule="auto"/>
        <w:ind w:firstLine="482" w:firstLineChars="200"/>
        <w:rPr>
          <w:rFonts w:ascii="宋体" w:hAnsi="宋体" w:cs="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30.合同公告</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采购人应当自政府采购合同签订（双方当事人均已签字盖章）之日起2个工作日内，将政府采购合同在四川政府采购网上公告，但政府采购合同中涉及国家秘密、商业秘密的内容除外。</w:t>
      </w:r>
    </w:p>
    <w:p>
      <w:pPr>
        <w:spacing w:line="360" w:lineRule="auto"/>
        <w:ind w:firstLine="482" w:firstLineChars="200"/>
        <w:rPr>
          <w:rFonts w:ascii="宋体" w:hAnsi="宋体" w:cs="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31.合同备案</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采购人应当将政府采购合同副本自签订（双方当事人均已签字盖章）之日起七个工作日内通过四川政府采购网报同级财政部门备案。</w:t>
      </w:r>
    </w:p>
    <w:p>
      <w:pPr>
        <w:spacing w:line="360" w:lineRule="auto"/>
        <w:ind w:firstLine="482" w:firstLineChars="200"/>
        <w:rPr>
          <w:rFonts w:ascii="宋体" w:hAnsi="宋体" w:cs="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32.履行合同</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32.1 成交供应商与采购人签订合同后，合同双方应严格执行合同条款，履行合同规定的义务，保证合同的顺利完成。</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32.2 在合同履行过程中，如发生合同纠纷，合同双方应按照合同约定及《合同法》的有关规定进行处理。</w:t>
      </w:r>
    </w:p>
    <w:p>
      <w:pPr>
        <w:spacing w:line="360" w:lineRule="auto"/>
        <w:ind w:firstLine="482" w:firstLineChars="200"/>
        <w:rPr>
          <w:rFonts w:ascii="宋体" w:hAnsi="宋体" w:cs="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33.验收</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33.1本项目采购人及其委托的采购代理机构将严格按照政府采购相关法律法规、《四川省政府采购项目需求论证和履约验收管理办法》（川财采〔2015〕32号）的要求及国家行业主管部门规定的标准、方法和内容进行验收。</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33.2 验收结果合格的，成交供应商凭验收报告办理相关手续；验收结果不合格的，履约保证金将不予退还，也将不予支付采购资金，还可能会报本项目同级财政部门按照政府采购法律法规及《四川省政府采购当事人诚信管理办法》（川财采〔2015〕33号）等有关规定给予行政处罚或者以失信行为记入诚信档案。</w:t>
      </w:r>
    </w:p>
    <w:p>
      <w:pPr>
        <w:spacing w:line="360" w:lineRule="auto"/>
        <w:ind w:firstLine="482" w:firstLineChars="200"/>
        <w:rPr>
          <w:rFonts w:ascii="宋体" w:hAnsi="宋体" w:cs="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34.资金支付</w:t>
      </w:r>
    </w:p>
    <w:p>
      <w:pPr>
        <w:spacing w:line="360" w:lineRule="auto"/>
        <w:ind w:firstLine="480" w:firstLineChars="200"/>
        <w:rPr>
          <w:rFonts w:ascii="宋体" w:hAnsi="宋体" w:cs="宋体"/>
          <w:b/>
          <w:bCs/>
          <w:color w:val="000000" w:themeColor="text1"/>
          <w:sz w:val="32"/>
          <w:szCs w:val="32"/>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采购人将按照政府采购合同规定，及时向成交供应商支付采购资金。本项目采购资金付款详见第三章规定的付款方式。对于满足政府采购合同约定支付条件的，采购人应当自收到发票后30日内将资金支付到合同约定的供应商账户，不得以机构变动、人员更替、政策调整等为由延迟付款，不得将采购文件和合同中未规定的义务作为向供应商付款的条件。</w:t>
      </w:r>
    </w:p>
    <w:p>
      <w:pPr>
        <w:pStyle w:val="5"/>
        <w:keepNext w:val="0"/>
        <w:keepLines w:val="0"/>
        <w:spacing w:before="0" w:after="0" w:line="360" w:lineRule="auto"/>
        <w:jc w:val="center"/>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八、磋商纪律要求</w:t>
      </w:r>
    </w:p>
    <w:p>
      <w:pPr>
        <w:tabs>
          <w:tab w:val="left" w:pos="851"/>
        </w:tabs>
        <w:spacing w:line="360" w:lineRule="auto"/>
        <w:ind w:firstLine="482" w:firstLineChars="200"/>
        <w:rPr>
          <w:rFonts w:ascii="宋体" w:hAnsi="宋体" w:cs="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35.供应商不得具有的情形</w:t>
      </w:r>
    </w:p>
    <w:p>
      <w:pPr>
        <w:tabs>
          <w:tab w:val="left" w:pos="851"/>
        </w:tabs>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供应商参加本项目磋商不得有下列情形：</w:t>
      </w:r>
    </w:p>
    <w:p>
      <w:pPr>
        <w:tabs>
          <w:tab w:val="left" w:pos="851"/>
        </w:tabs>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（1）提供虚假材料谋取成交；</w:t>
      </w:r>
    </w:p>
    <w:p>
      <w:pPr>
        <w:tabs>
          <w:tab w:val="left" w:pos="851"/>
        </w:tabs>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（2）采取不正当手段诋毁、排挤其他供应商；</w:t>
      </w:r>
    </w:p>
    <w:p>
      <w:pPr>
        <w:tabs>
          <w:tab w:val="left" w:pos="851"/>
        </w:tabs>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（3）与采购人、采购代理机构、或其他供应商恶意串通；</w:t>
      </w:r>
    </w:p>
    <w:p>
      <w:pPr>
        <w:tabs>
          <w:tab w:val="left" w:pos="851"/>
        </w:tabs>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（4）向采购人、采购代理机构、磋商小组成员行贿或者提供其他不正当利益；</w:t>
      </w:r>
    </w:p>
    <w:p>
      <w:pPr>
        <w:tabs>
          <w:tab w:val="left" w:pos="851"/>
        </w:tabs>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（5）在磋商过程中与采购人、采购代理机构进行协商；</w:t>
      </w:r>
    </w:p>
    <w:p>
      <w:pPr>
        <w:tabs>
          <w:tab w:val="left" w:pos="851"/>
        </w:tabs>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（6）成交后无正当理由拒不与采购人签订政府采购合同；</w:t>
      </w:r>
    </w:p>
    <w:p>
      <w:pPr>
        <w:tabs>
          <w:tab w:val="left" w:pos="851"/>
        </w:tabs>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（7）未按照磋商文件确定的事项签订政府采购合同；</w:t>
      </w:r>
    </w:p>
    <w:p>
      <w:pPr>
        <w:tabs>
          <w:tab w:val="left" w:pos="851"/>
        </w:tabs>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（8）将政府采购合同转包或者违规分包；</w:t>
      </w:r>
    </w:p>
    <w:p>
      <w:pPr>
        <w:tabs>
          <w:tab w:val="left" w:pos="851"/>
        </w:tabs>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（9）提供假冒伪劣产品；</w:t>
      </w:r>
    </w:p>
    <w:p>
      <w:pPr>
        <w:tabs>
          <w:tab w:val="left" w:pos="851"/>
        </w:tabs>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（10）擅自变更、中止或者终止政府采购合同；</w:t>
      </w:r>
    </w:p>
    <w:p>
      <w:pPr>
        <w:tabs>
          <w:tab w:val="left" w:pos="851"/>
        </w:tabs>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（11）拒绝有关部门的监督检查或者向监督检查部门提供虚假情况；</w:t>
      </w:r>
    </w:p>
    <w:p>
      <w:pPr>
        <w:tabs>
          <w:tab w:val="left" w:pos="851"/>
        </w:tabs>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（12）法律法规规定的其他情形。</w:t>
      </w:r>
    </w:p>
    <w:p>
      <w:pPr>
        <w:tabs>
          <w:tab w:val="left" w:pos="851"/>
        </w:tabs>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供应商有上述情形的，按照规定追究法律责任，具备（1）-（8）条情形之一的，同时将取消成交资格或者认定成交无效。</w:t>
      </w:r>
    </w:p>
    <w:p>
      <w:pPr>
        <w:tabs>
          <w:tab w:val="left" w:pos="851"/>
        </w:tabs>
        <w:spacing w:line="360" w:lineRule="auto"/>
        <w:jc w:val="center"/>
        <w:rPr>
          <w:rFonts w:ascii="宋体" w:hAnsi="宋体" w:cs="宋体"/>
          <w:color w:val="000000" w:themeColor="text1"/>
          <w:sz w:val="24"/>
          <w:szCs w:val="24"/>
          <w14:textFill>
            <w14:solidFill>
              <w14:schemeClr w14:val="tx1"/>
            </w14:solidFill>
          </w14:textFill>
        </w:rPr>
      </w:pPr>
      <w:r>
        <w:rPr>
          <w:rFonts w:hint="eastAsia" w:ascii="宋体" w:hAnsi="宋体" w:cs="宋体"/>
          <w:b/>
          <w:bCs/>
          <w:color w:val="000000" w:themeColor="text1"/>
          <w:sz w:val="32"/>
          <w:szCs w:val="32"/>
          <w14:textFill>
            <w14:solidFill>
              <w14:schemeClr w14:val="tx1"/>
            </w14:solidFill>
          </w14:textFill>
        </w:rPr>
        <w:t>九、询问、质疑和投诉</w:t>
      </w:r>
    </w:p>
    <w:p>
      <w:pPr>
        <w:tabs>
          <w:tab w:val="left" w:pos="851"/>
        </w:tabs>
        <w:spacing w:line="360" w:lineRule="auto"/>
        <w:ind w:firstLine="495"/>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36.询问、质疑、投诉的接收和处理严格按照《中华人民共和国政府采购法》、《中华人民共和国政府采购法实施条例》、《财政部关于加强政府采购供应商投诉受理审查工作的通知》、《政府采购质疑和投诉办法》和四川省的有关规定办理（详细规定请在四川政府采购网政策法规模块查询）。</w:t>
      </w:r>
    </w:p>
    <w:p>
      <w:pPr>
        <w:tabs>
          <w:tab w:val="left" w:pos="851"/>
        </w:tabs>
        <w:spacing w:line="360" w:lineRule="auto"/>
        <w:jc w:val="center"/>
        <w:rPr>
          <w:rFonts w:ascii="宋体" w:hAnsi="宋体" w:cs="宋体"/>
          <w:color w:val="000000" w:themeColor="text1"/>
          <w:sz w:val="24"/>
          <w:szCs w:val="24"/>
          <w14:textFill>
            <w14:solidFill>
              <w14:schemeClr w14:val="tx1"/>
            </w14:solidFill>
          </w14:textFill>
        </w:rPr>
      </w:pPr>
      <w:r>
        <w:rPr>
          <w:rFonts w:hint="eastAsia" w:ascii="宋体" w:hAnsi="宋体" w:cs="宋体"/>
          <w:b/>
          <w:bCs/>
          <w:color w:val="000000" w:themeColor="text1"/>
          <w:sz w:val="32"/>
          <w:szCs w:val="32"/>
          <w14:textFill>
            <w14:solidFill>
              <w14:schemeClr w14:val="tx1"/>
            </w14:solidFill>
          </w14:textFill>
        </w:rPr>
        <w:t>十、其他</w:t>
      </w:r>
    </w:p>
    <w:p>
      <w:pPr>
        <w:tabs>
          <w:tab w:val="left" w:pos="851"/>
        </w:tabs>
        <w:spacing w:line="360" w:lineRule="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xml:space="preserve">    37.本磋商文件中所引相关法律制度规定，在政府采购中有变化的，按照变化后的相关法律制度规定执行。本章规定的内容条款，在本项目递交响应文件截止时间届满后，因相关法律制度规定的变化导致不符合相关法律制度规定的，直接按照变化后的相关法律制度规定执行，本磋商文件不再做调整。</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38.</w:t>
      </w:r>
      <w:r>
        <w:rPr>
          <w:rFonts w:hint="eastAsia" w:ascii="宋体" w:hAnsi="宋体" w:cs="宋体"/>
          <w:b/>
          <w:bCs/>
          <w:color w:val="000000" w:themeColor="text1"/>
          <w:sz w:val="24"/>
          <w:szCs w:val="24"/>
          <w14:textFill>
            <w14:solidFill>
              <w14:schemeClr w14:val="tx1"/>
            </w14:solidFill>
          </w14:textFill>
        </w:rPr>
        <w:t>（实质性要求）</w:t>
      </w:r>
      <w:r>
        <w:rPr>
          <w:rFonts w:hint="eastAsia" w:ascii="宋体" w:hAnsi="宋体" w:cs="宋体"/>
          <w:color w:val="000000" w:themeColor="text1"/>
          <w:sz w:val="24"/>
          <w:szCs w:val="24"/>
          <w14:textFill>
            <w14:solidFill>
              <w14:schemeClr w14:val="tx1"/>
            </w14:solidFill>
          </w14:textFill>
        </w:rPr>
        <w:t>国家或行业主管部门对工程项目的技术标准、质量标准和资格资质条件等有强制性规定的，必须符合其要求。</w:t>
      </w:r>
    </w:p>
    <w:p/>
    <w:p>
      <w:pPr>
        <w:pStyle w:val="2"/>
      </w:pPr>
    </w:p>
    <w:p>
      <w:pPr>
        <w:pStyle w:val="3"/>
      </w:pPr>
    </w:p>
    <w:p/>
    <w:p>
      <w:pPr>
        <w:pStyle w:val="2"/>
      </w:pPr>
    </w:p>
    <w:p>
      <w:pPr>
        <w:pStyle w:val="3"/>
      </w:pPr>
    </w:p>
    <w:p/>
    <w:p>
      <w:pPr>
        <w:pStyle w:val="2"/>
      </w:pPr>
    </w:p>
    <w:p>
      <w:pPr>
        <w:pStyle w:val="3"/>
      </w:pPr>
    </w:p>
    <w:p/>
    <w:p>
      <w:pPr>
        <w:pStyle w:val="2"/>
      </w:pPr>
    </w:p>
    <w:p>
      <w:pPr>
        <w:pStyle w:val="2"/>
      </w:pPr>
    </w:p>
    <w:p>
      <w:pPr>
        <w:pStyle w:val="39"/>
        <w:rPr>
          <w:rFonts w:hint="eastAsia" w:ascii="仿宋" w:hAnsi="仿宋" w:eastAsia="仿宋" w:cs="仿宋"/>
          <w:lang w:eastAsia="zh-CN"/>
        </w:rPr>
      </w:pPr>
      <w:bookmarkStart w:id="81" w:name="_Toc41037906"/>
      <w:bookmarkStart w:id="82" w:name="_Toc509579144"/>
      <w:r>
        <w:rPr>
          <w:rFonts w:hint="eastAsia" w:ascii="仿宋" w:hAnsi="仿宋" w:eastAsia="仿宋" w:cs="仿宋"/>
        </w:rPr>
        <w:t>第三章采购项目技术、服务、政府采购合同内容条款</w:t>
      </w:r>
    </w:p>
    <w:p>
      <w:pPr>
        <w:pStyle w:val="39"/>
        <w:rPr>
          <w:rFonts w:ascii="仿宋" w:hAnsi="仿宋" w:eastAsia="仿宋" w:cs="Times New Roman"/>
        </w:rPr>
      </w:pPr>
      <w:r>
        <w:rPr>
          <w:rFonts w:hint="eastAsia" w:ascii="仿宋" w:hAnsi="仿宋" w:eastAsia="仿宋" w:cs="仿宋"/>
        </w:rPr>
        <w:t>及其他商务要求</w:t>
      </w:r>
      <w:bookmarkEnd w:id="81"/>
      <w:bookmarkEnd w:id="82"/>
    </w:p>
    <w:p>
      <w:pPr>
        <w:pStyle w:val="5"/>
        <w:keepNext w:val="0"/>
        <w:keepLines w:val="0"/>
        <w:spacing w:before="0" w:after="0" w:line="360" w:lineRule="auto"/>
        <w:ind w:firstLine="118" w:firstLineChars="49"/>
        <w:jc w:val="left"/>
        <w:rPr>
          <w:rFonts w:ascii="仿宋" w:hAnsi="仿宋" w:eastAsia="仿宋" w:cs="Times New Roman"/>
          <w:sz w:val="24"/>
          <w:szCs w:val="24"/>
        </w:rPr>
      </w:pPr>
    </w:p>
    <w:p>
      <w:pPr>
        <w:pStyle w:val="5"/>
        <w:keepNext w:val="0"/>
        <w:keepLines w:val="0"/>
        <w:spacing w:before="0" w:after="0" w:line="360" w:lineRule="auto"/>
        <w:ind w:firstLine="590" w:firstLineChars="245"/>
        <w:jc w:val="left"/>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本章采购需求中标注“★”号的条款为本次磋商采购项目的实质性要求，供应商在磋商结束后应全部满足。</w:t>
      </w:r>
    </w:p>
    <w:p>
      <w:pPr>
        <w:pStyle w:val="5"/>
        <w:keepNext w:val="0"/>
        <w:keepLines w:val="0"/>
        <w:spacing w:before="0" w:after="0" w:line="360" w:lineRule="auto"/>
        <w:ind w:firstLine="118" w:firstLineChars="49"/>
        <w:jc w:val="left"/>
        <w:rPr>
          <w:rFonts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w:t>
      </w:r>
      <w:r>
        <w:rPr>
          <w:rFonts w:hint="eastAsia" w:ascii="宋体" w:hAnsi="宋体" w:eastAsia="宋体" w:cs="宋体"/>
          <w:b w:val="0"/>
          <w:bCs w:val="0"/>
          <w:color w:val="000000" w:themeColor="text1"/>
          <w:sz w:val="24"/>
          <w:szCs w:val="24"/>
          <w14:textFill>
            <w14:solidFill>
              <w14:schemeClr w14:val="tx1"/>
            </w14:solidFill>
          </w14:textFill>
        </w:rPr>
        <w:t>1. 技术、服务、合同条款要求</w:t>
      </w:r>
    </w:p>
    <w:tbl>
      <w:tblPr>
        <w:tblStyle w:val="42"/>
        <w:tblW w:w="10199" w:type="dxa"/>
        <w:jc w:val="center"/>
        <w:tblInd w:w="0" w:type="dxa"/>
        <w:tblLayout w:type="fixed"/>
        <w:tblCellMar>
          <w:top w:w="0" w:type="dxa"/>
          <w:left w:w="108" w:type="dxa"/>
          <w:bottom w:w="0" w:type="dxa"/>
          <w:right w:w="108" w:type="dxa"/>
        </w:tblCellMar>
      </w:tblPr>
      <w:tblGrid>
        <w:gridCol w:w="877"/>
        <w:gridCol w:w="1920"/>
        <w:gridCol w:w="4326"/>
        <w:gridCol w:w="3076"/>
      </w:tblGrid>
      <w:tr>
        <w:tblPrEx>
          <w:tblLayout w:type="fixed"/>
          <w:tblCellMar>
            <w:top w:w="0" w:type="dxa"/>
            <w:left w:w="108" w:type="dxa"/>
            <w:bottom w:w="0" w:type="dxa"/>
            <w:right w:w="108" w:type="dxa"/>
          </w:tblCellMar>
        </w:tblPrEx>
        <w:trPr>
          <w:trHeight w:val="705" w:hRule="atLeast"/>
          <w:jc w:val="center"/>
        </w:trPr>
        <w:tc>
          <w:tcPr>
            <w:tcW w:w="877"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spacing w:line="360" w:lineRule="auto"/>
              <w:jc w:val="left"/>
              <w:rPr>
                <w:rFonts w:ascii="宋体" w:hAnsi="宋体"/>
                <w:sz w:val="24"/>
              </w:rPr>
            </w:pPr>
            <w:r>
              <w:rPr>
                <w:rFonts w:hint="eastAsia" w:ascii="宋体" w:hAnsi="宋体"/>
                <w:sz w:val="24"/>
              </w:rPr>
              <w:t>序号</w:t>
            </w:r>
          </w:p>
        </w:tc>
        <w:tc>
          <w:tcPr>
            <w:tcW w:w="1920" w:type="dxa"/>
            <w:tcBorders>
              <w:top w:val="single" w:color="auto" w:sz="4" w:space="0"/>
              <w:left w:val="nil"/>
              <w:bottom w:val="single" w:color="auto" w:sz="4" w:space="0"/>
              <w:right w:val="single" w:color="auto" w:sz="4" w:space="0"/>
            </w:tcBorders>
            <w:vAlign w:val="center"/>
          </w:tcPr>
          <w:p>
            <w:pPr>
              <w:widowControl/>
              <w:shd w:val="clear" w:color="auto" w:fill="FFFFFF"/>
              <w:spacing w:line="360" w:lineRule="auto"/>
              <w:jc w:val="left"/>
              <w:rPr>
                <w:rFonts w:ascii="宋体" w:hAnsi="宋体"/>
                <w:sz w:val="24"/>
              </w:rPr>
            </w:pPr>
            <w:r>
              <w:rPr>
                <w:rFonts w:hint="eastAsia" w:ascii="宋体" w:hAnsi="宋体"/>
                <w:sz w:val="24"/>
              </w:rPr>
              <w:t>项目</w:t>
            </w:r>
          </w:p>
        </w:tc>
        <w:tc>
          <w:tcPr>
            <w:tcW w:w="4326" w:type="dxa"/>
            <w:tcBorders>
              <w:top w:val="single" w:color="auto" w:sz="4" w:space="0"/>
              <w:left w:val="nil"/>
              <w:bottom w:val="single" w:color="auto" w:sz="4" w:space="0"/>
              <w:right w:val="single" w:color="auto" w:sz="4" w:space="0"/>
            </w:tcBorders>
            <w:vAlign w:val="center"/>
          </w:tcPr>
          <w:p>
            <w:pPr>
              <w:widowControl/>
              <w:shd w:val="clear" w:color="auto" w:fill="FFFFFF"/>
              <w:spacing w:line="360" w:lineRule="auto"/>
              <w:jc w:val="left"/>
              <w:rPr>
                <w:rFonts w:ascii="宋体" w:hAnsi="宋体"/>
                <w:sz w:val="24"/>
              </w:rPr>
            </w:pPr>
            <w:r>
              <w:rPr>
                <w:rFonts w:hint="eastAsia" w:ascii="宋体" w:hAnsi="宋体"/>
                <w:sz w:val="24"/>
              </w:rPr>
              <w:t>要求</w:t>
            </w:r>
          </w:p>
        </w:tc>
        <w:tc>
          <w:tcPr>
            <w:tcW w:w="3076" w:type="dxa"/>
            <w:tcBorders>
              <w:top w:val="single" w:color="auto" w:sz="4" w:space="0"/>
              <w:left w:val="nil"/>
              <w:bottom w:val="single" w:color="auto" w:sz="4" w:space="0"/>
              <w:right w:val="single" w:color="auto" w:sz="4" w:space="0"/>
            </w:tcBorders>
            <w:vAlign w:val="center"/>
          </w:tcPr>
          <w:p>
            <w:pPr>
              <w:widowControl/>
              <w:shd w:val="clear" w:color="auto" w:fill="FFFFFF"/>
              <w:spacing w:line="360" w:lineRule="auto"/>
              <w:jc w:val="left"/>
              <w:rPr>
                <w:rFonts w:ascii="宋体" w:hAnsi="宋体"/>
                <w:sz w:val="24"/>
              </w:rPr>
            </w:pPr>
            <w:r>
              <w:rPr>
                <w:rFonts w:hint="eastAsia" w:ascii="宋体" w:hAnsi="宋体"/>
                <w:sz w:val="24"/>
              </w:rPr>
              <w:t>备注</w:t>
            </w:r>
          </w:p>
        </w:tc>
      </w:tr>
      <w:tr>
        <w:tblPrEx>
          <w:tblLayout w:type="fixed"/>
          <w:tblCellMar>
            <w:top w:w="0" w:type="dxa"/>
            <w:left w:w="108" w:type="dxa"/>
            <w:bottom w:w="0" w:type="dxa"/>
            <w:right w:w="108" w:type="dxa"/>
          </w:tblCellMar>
        </w:tblPrEx>
        <w:trPr>
          <w:trHeight w:val="705" w:hRule="atLeast"/>
          <w:jc w:val="center"/>
        </w:trPr>
        <w:tc>
          <w:tcPr>
            <w:tcW w:w="877" w:type="dxa"/>
            <w:vMerge w:val="restart"/>
            <w:tcBorders>
              <w:top w:val="single" w:color="auto" w:sz="4" w:space="0"/>
              <w:left w:val="single" w:color="auto" w:sz="4" w:space="0"/>
              <w:right w:val="single" w:color="auto" w:sz="4" w:space="0"/>
            </w:tcBorders>
            <w:vAlign w:val="center"/>
          </w:tcPr>
          <w:p>
            <w:pPr>
              <w:widowControl/>
              <w:shd w:val="clear" w:color="auto" w:fill="FFFFFF"/>
              <w:spacing w:line="360" w:lineRule="auto"/>
              <w:jc w:val="left"/>
              <w:rPr>
                <w:rFonts w:ascii="宋体" w:hAnsi="宋体"/>
                <w:sz w:val="24"/>
              </w:rPr>
            </w:pPr>
            <w:r>
              <w:rPr>
                <w:rFonts w:hint="eastAsia" w:ascii="宋体" w:hAnsi="宋体"/>
                <w:sz w:val="24"/>
              </w:rPr>
              <w:t>1</w:t>
            </w:r>
          </w:p>
        </w:tc>
        <w:tc>
          <w:tcPr>
            <w:tcW w:w="1920" w:type="dxa"/>
            <w:vMerge w:val="restart"/>
            <w:tcBorders>
              <w:top w:val="single" w:color="auto" w:sz="4" w:space="0"/>
              <w:left w:val="nil"/>
              <w:right w:val="single" w:color="auto" w:sz="4" w:space="0"/>
            </w:tcBorders>
            <w:vAlign w:val="center"/>
          </w:tcPr>
          <w:p>
            <w:pPr>
              <w:widowControl/>
              <w:shd w:val="clear" w:color="auto" w:fill="FFFFFF"/>
              <w:spacing w:line="360" w:lineRule="auto"/>
              <w:jc w:val="left"/>
              <w:rPr>
                <w:rFonts w:ascii="宋体" w:hAnsi="宋体"/>
                <w:sz w:val="24"/>
              </w:rPr>
            </w:pPr>
            <w:r>
              <w:rPr>
                <w:rFonts w:hint="eastAsia" w:ascii="宋体" w:hAnsi="宋体"/>
                <w:sz w:val="24"/>
              </w:rPr>
              <w:t>项目经理</w:t>
            </w:r>
          </w:p>
        </w:tc>
        <w:tc>
          <w:tcPr>
            <w:tcW w:w="4326" w:type="dxa"/>
            <w:tcBorders>
              <w:top w:val="single" w:color="auto" w:sz="4" w:space="0"/>
              <w:left w:val="nil"/>
              <w:bottom w:val="single" w:color="auto" w:sz="4" w:space="0"/>
              <w:right w:val="single" w:color="auto" w:sz="4" w:space="0"/>
            </w:tcBorders>
            <w:vAlign w:val="center"/>
          </w:tcPr>
          <w:p>
            <w:pPr>
              <w:widowControl/>
              <w:shd w:val="clear" w:color="auto" w:fill="FFFFFF"/>
              <w:spacing w:line="360" w:lineRule="auto"/>
              <w:jc w:val="left"/>
              <w:rPr>
                <w:rFonts w:ascii="宋体" w:hAnsi="宋体"/>
                <w:sz w:val="24"/>
              </w:rPr>
            </w:pPr>
            <w:r>
              <w:rPr>
                <w:rFonts w:hint="eastAsia" w:ascii="宋体" w:hAnsi="宋体"/>
                <w:sz w:val="24"/>
                <w:lang w:val="en-US" w:eastAsia="zh-CN"/>
              </w:rPr>
              <w:t>具备建筑工程专业二级及以上注册建造师资格且同时具备水文地质或工程地质或环境地质相关专业中级或以上职称</w:t>
            </w:r>
          </w:p>
        </w:tc>
        <w:tc>
          <w:tcPr>
            <w:tcW w:w="3076" w:type="dxa"/>
            <w:tcBorders>
              <w:top w:val="single" w:color="auto" w:sz="4" w:space="0"/>
              <w:left w:val="nil"/>
              <w:bottom w:val="single" w:color="auto" w:sz="4" w:space="0"/>
              <w:right w:val="single" w:color="auto" w:sz="4" w:space="0"/>
            </w:tcBorders>
            <w:vAlign w:val="center"/>
          </w:tcPr>
          <w:p>
            <w:pPr>
              <w:widowControl/>
              <w:shd w:val="clear" w:color="auto" w:fill="FFFFFF"/>
              <w:spacing w:line="360" w:lineRule="auto"/>
              <w:jc w:val="left"/>
              <w:rPr>
                <w:rFonts w:ascii="宋体" w:hAnsi="宋体"/>
                <w:sz w:val="24"/>
              </w:rPr>
            </w:pPr>
            <w:r>
              <w:rPr>
                <w:rFonts w:hint="eastAsia" w:ascii="宋体" w:hAnsi="宋体"/>
                <w:sz w:val="24"/>
                <w:lang w:val="en-US" w:eastAsia="zh-CN"/>
              </w:rPr>
              <w:t>1、</w:t>
            </w:r>
            <w:r>
              <w:rPr>
                <w:rFonts w:hint="eastAsia" w:ascii="宋体" w:hAnsi="宋体"/>
                <w:sz w:val="24"/>
              </w:rPr>
              <w:t>人员证书复印件</w:t>
            </w:r>
            <w:r>
              <w:rPr>
                <w:rFonts w:hint="eastAsia" w:ascii="宋体" w:hAnsi="宋体"/>
                <w:sz w:val="24"/>
                <w:lang w:eastAsia="zh-CN"/>
              </w:rPr>
              <w:t>；</w:t>
            </w:r>
            <w:r>
              <w:rPr>
                <w:rFonts w:hint="eastAsia" w:ascii="宋体" w:hAnsi="宋体"/>
                <w:sz w:val="24"/>
                <w:lang w:val="en-US" w:eastAsia="zh-CN"/>
              </w:rPr>
              <w:t>2、提供其为本单位人员的证明材料。</w:t>
            </w:r>
            <w:r>
              <w:rPr>
                <w:rFonts w:hint="eastAsia" w:ascii="宋体" w:hAnsi="宋体"/>
                <w:sz w:val="24"/>
                <w:lang w:eastAsia="zh-CN"/>
              </w:rPr>
              <w:t>（均</w:t>
            </w:r>
            <w:r>
              <w:rPr>
                <w:rFonts w:hint="eastAsia" w:ascii="宋体" w:hAnsi="宋体"/>
                <w:sz w:val="24"/>
              </w:rPr>
              <w:t>加盖单位鲜章</w:t>
            </w:r>
            <w:r>
              <w:rPr>
                <w:rFonts w:hint="eastAsia" w:ascii="宋体" w:hAnsi="宋体"/>
                <w:sz w:val="24"/>
                <w:lang w:eastAsia="zh-CN"/>
              </w:rPr>
              <w:t>）</w:t>
            </w:r>
          </w:p>
        </w:tc>
      </w:tr>
      <w:tr>
        <w:tblPrEx>
          <w:tblLayout w:type="fixed"/>
          <w:tblCellMar>
            <w:top w:w="0" w:type="dxa"/>
            <w:left w:w="108" w:type="dxa"/>
            <w:bottom w:w="0" w:type="dxa"/>
            <w:right w:w="108" w:type="dxa"/>
          </w:tblCellMar>
        </w:tblPrEx>
        <w:trPr>
          <w:trHeight w:val="705" w:hRule="atLeast"/>
          <w:jc w:val="center"/>
        </w:trPr>
        <w:tc>
          <w:tcPr>
            <w:tcW w:w="877" w:type="dxa"/>
            <w:vMerge w:val="continue"/>
            <w:tcBorders>
              <w:left w:val="single" w:color="auto" w:sz="4" w:space="0"/>
              <w:bottom w:val="single" w:color="auto" w:sz="4" w:space="0"/>
              <w:right w:val="single" w:color="auto" w:sz="4" w:space="0"/>
            </w:tcBorders>
            <w:vAlign w:val="center"/>
          </w:tcPr>
          <w:p>
            <w:pPr>
              <w:widowControl/>
              <w:shd w:val="clear" w:color="auto" w:fill="FFFFFF"/>
              <w:spacing w:line="360" w:lineRule="auto"/>
              <w:jc w:val="left"/>
              <w:rPr>
                <w:rFonts w:ascii="宋体" w:hAnsi="宋体"/>
                <w:sz w:val="24"/>
              </w:rPr>
            </w:pPr>
          </w:p>
        </w:tc>
        <w:tc>
          <w:tcPr>
            <w:tcW w:w="1920" w:type="dxa"/>
            <w:vMerge w:val="continue"/>
            <w:tcBorders>
              <w:left w:val="nil"/>
              <w:bottom w:val="single" w:color="auto" w:sz="4" w:space="0"/>
              <w:right w:val="single" w:color="auto" w:sz="4" w:space="0"/>
            </w:tcBorders>
            <w:vAlign w:val="center"/>
          </w:tcPr>
          <w:p>
            <w:pPr>
              <w:widowControl/>
              <w:shd w:val="clear" w:color="auto" w:fill="FFFFFF"/>
              <w:spacing w:line="360" w:lineRule="auto"/>
              <w:jc w:val="left"/>
              <w:rPr>
                <w:rFonts w:ascii="宋体" w:hAnsi="宋体"/>
                <w:sz w:val="24"/>
              </w:rPr>
            </w:pPr>
          </w:p>
        </w:tc>
        <w:tc>
          <w:tcPr>
            <w:tcW w:w="4326" w:type="dxa"/>
            <w:tcBorders>
              <w:top w:val="single" w:color="auto" w:sz="4" w:space="0"/>
              <w:left w:val="nil"/>
              <w:bottom w:val="single" w:color="auto" w:sz="4" w:space="0"/>
              <w:right w:val="single" w:color="auto" w:sz="4" w:space="0"/>
            </w:tcBorders>
            <w:vAlign w:val="center"/>
          </w:tcPr>
          <w:p>
            <w:pPr>
              <w:widowControl/>
              <w:shd w:val="clear" w:color="auto" w:fill="FFFFFF"/>
              <w:spacing w:line="360" w:lineRule="auto"/>
              <w:jc w:val="left"/>
              <w:rPr>
                <w:rFonts w:ascii="宋体" w:hAnsi="宋体"/>
                <w:sz w:val="24"/>
              </w:rPr>
            </w:pPr>
            <w:r>
              <w:rPr>
                <w:rFonts w:hint="eastAsia" w:ascii="宋体" w:hAnsi="宋体"/>
                <w:sz w:val="24"/>
              </w:rPr>
              <w:t>参加本项目投标时没有在其他未完工项目担任项目经理，成交后至完工前也不得在其他项目担任项目经理。</w:t>
            </w:r>
          </w:p>
        </w:tc>
        <w:tc>
          <w:tcPr>
            <w:tcW w:w="3076" w:type="dxa"/>
            <w:tcBorders>
              <w:top w:val="single" w:color="auto" w:sz="4" w:space="0"/>
              <w:left w:val="nil"/>
              <w:bottom w:val="single" w:color="auto" w:sz="4" w:space="0"/>
              <w:right w:val="single" w:color="auto" w:sz="4" w:space="0"/>
            </w:tcBorders>
            <w:vAlign w:val="center"/>
          </w:tcPr>
          <w:p>
            <w:pPr>
              <w:widowControl/>
              <w:shd w:val="clear" w:color="auto" w:fill="FFFFFF"/>
              <w:spacing w:line="360" w:lineRule="auto"/>
              <w:jc w:val="left"/>
              <w:rPr>
                <w:rFonts w:ascii="宋体" w:hAnsi="宋体"/>
                <w:sz w:val="24"/>
              </w:rPr>
            </w:pPr>
            <w:r>
              <w:rPr>
                <w:rFonts w:hint="eastAsia" w:ascii="宋体" w:hAnsi="宋体"/>
                <w:sz w:val="24"/>
              </w:rPr>
              <w:t>提供承诺函原件，加盖单位公章。</w:t>
            </w:r>
          </w:p>
        </w:tc>
      </w:tr>
      <w:tr>
        <w:tblPrEx>
          <w:tblLayout w:type="fixed"/>
          <w:tblCellMar>
            <w:top w:w="0" w:type="dxa"/>
            <w:left w:w="108" w:type="dxa"/>
            <w:bottom w:w="0" w:type="dxa"/>
            <w:right w:w="108" w:type="dxa"/>
          </w:tblCellMar>
        </w:tblPrEx>
        <w:trPr>
          <w:trHeight w:val="705" w:hRule="atLeast"/>
          <w:jc w:val="center"/>
        </w:trPr>
        <w:tc>
          <w:tcPr>
            <w:tcW w:w="877"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spacing w:line="360" w:lineRule="auto"/>
              <w:jc w:val="left"/>
              <w:rPr>
                <w:rFonts w:ascii="宋体" w:hAnsi="宋体"/>
                <w:sz w:val="24"/>
              </w:rPr>
            </w:pPr>
            <w:r>
              <w:rPr>
                <w:rFonts w:hint="eastAsia" w:ascii="宋体" w:hAnsi="宋体"/>
                <w:sz w:val="24"/>
              </w:rPr>
              <w:t>2</w:t>
            </w:r>
          </w:p>
        </w:tc>
        <w:tc>
          <w:tcPr>
            <w:tcW w:w="1920" w:type="dxa"/>
            <w:tcBorders>
              <w:top w:val="single" w:color="auto" w:sz="4" w:space="0"/>
              <w:left w:val="nil"/>
              <w:bottom w:val="single" w:color="auto" w:sz="4" w:space="0"/>
              <w:right w:val="single" w:color="auto" w:sz="4" w:space="0"/>
            </w:tcBorders>
            <w:vAlign w:val="center"/>
          </w:tcPr>
          <w:p>
            <w:pPr>
              <w:widowControl/>
              <w:shd w:val="clear" w:color="auto" w:fill="FFFFFF"/>
              <w:spacing w:line="360" w:lineRule="auto"/>
              <w:jc w:val="left"/>
              <w:rPr>
                <w:rFonts w:ascii="宋体" w:hAnsi="宋体"/>
                <w:sz w:val="24"/>
              </w:rPr>
            </w:pPr>
            <w:r>
              <w:rPr>
                <w:rFonts w:hint="eastAsia" w:ascii="宋体" w:hAnsi="宋体"/>
                <w:sz w:val="24"/>
              </w:rPr>
              <w:t>技术负责人</w:t>
            </w:r>
          </w:p>
        </w:tc>
        <w:tc>
          <w:tcPr>
            <w:tcW w:w="4326" w:type="dxa"/>
            <w:tcBorders>
              <w:top w:val="single" w:color="auto" w:sz="4" w:space="0"/>
              <w:left w:val="nil"/>
              <w:bottom w:val="single" w:color="auto" w:sz="4" w:space="0"/>
              <w:right w:val="single" w:color="auto" w:sz="4" w:space="0"/>
            </w:tcBorders>
            <w:vAlign w:val="center"/>
          </w:tcPr>
          <w:p>
            <w:pPr>
              <w:widowControl/>
              <w:shd w:val="clear" w:color="auto" w:fill="FFFFFF"/>
              <w:spacing w:line="360" w:lineRule="auto"/>
              <w:jc w:val="left"/>
              <w:rPr>
                <w:rFonts w:ascii="宋体" w:hAnsi="宋体"/>
                <w:sz w:val="24"/>
              </w:rPr>
            </w:pPr>
            <w:r>
              <w:rPr>
                <w:rFonts w:hint="eastAsia" w:ascii="宋体" w:hAnsi="宋体"/>
                <w:sz w:val="24"/>
                <w:lang w:val="en-US" w:eastAsia="zh-CN"/>
              </w:rPr>
              <w:t>具备水文地质或工程地质或环境地质相关专业中级或以上职称</w:t>
            </w:r>
          </w:p>
        </w:tc>
        <w:tc>
          <w:tcPr>
            <w:tcW w:w="3076" w:type="dxa"/>
            <w:tcBorders>
              <w:top w:val="single" w:color="auto" w:sz="4" w:space="0"/>
              <w:left w:val="nil"/>
              <w:bottom w:val="single" w:color="auto" w:sz="4" w:space="0"/>
              <w:right w:val="single" w:color="auto" w:sz="4" w:space="0"/>
            </w:tcBorders>
            <w:vAlign w:val="center"/>
          </w:tcPr>
          <w:p>
            <w:pPr>
              <w:widowControl/>
              <w:shd w:val="clear" w:color="auto" w:fill="FFFFFF"/>
              <w:spacing w:line="360" w:lineRule="auto"/>
              <w:jc w:val="left"/>
              <w:rPr>
                <w:rFonts w:ascii="宋体" w:hAnsi="宋体"/>
                <w:sz w:val="24"/>
              </w:rPr>
            </w:pPr>
            <w:r>
              <w:rPr>
                <w:rFonts w:hint="eastAsia" w:ascii="宋体" w:hAnsi="宋体" w:eastAsia="宋体" w:cs="宋体"/>
                <w:color w:val="000000" w:themeColor="text1"/>
                <w:kern w:val="2"/>
                <w:sz w:val="24"/>
                <w:szCs w:val="24"/>
                <w:lang w:val="en-US" w:eastAsia="zh-CN" w:bidi="ar-SA"/>
                <w14:textFill>
                  <w14:solidFill>
                    <w14:schemeClr w14:val="tx1"/>
                  </w14:solidFill>
                </w14:textFill>
              </w:rPr>
              <w:t>1、人员证书复印件；2、提供其为本单位人员的证明材料。（均加盖单位鲜章）</w:t>
            </w:r>
          </w:p>
        </w:tc>
      </w:tr>
      <w:tr>
        <w:tblPrEx>
          <w:tblLayout w:type="fixed"/>
          <w:tblCellMar>
            <w:top w:w="0" w:type="dxa"/>
            <w:left w:w="108" w:type="dxa"/>
            <w:bottom w:w="0" w:type="dxa"/>
            <w:right w:w="108" w:type="dxa"/>
          </w:tblCellMar>
        </w:tblPrEx>
        <w:trPr>
          <w:trHeight w:val="705" w:hRule="atLeast"/>
          <w:jc w:val="center"/>
        </w:trPr>
        <w:tc>
          <w:tcPr>
            <w:tcW w:w="877"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spacing w:line="360" w:lineRule="auto"/>
              <w:jc w:val="left"/>
              <w:rPr>
                <w:rFonts w:ascii="宋体" w:hAnsi="宋体"/>
                <w:sz w:val="24"/>
                <w:szCs w:val="24"/>
              </w:rPr>
            </w:pPr>
            <w:r>
              <w:rPr>
                <w:rFonts w:hint="eastAsia" w:ascii="宋体" w:hAnsi="宋体"/>
                <w:sz w:val="24"/>
              </w:rPr>
              <w:t>3</w:t>
            </w:r>
          </w:p>
        </w:tc>
        <w:tc>
          <w:tcPr>
            <w:tcW w:w="1920" w:type="dxa"/>
            <w:tcBorders>
              <w:top w:val="single" w:color="auto" w:sz="4" w:space="0"/>
              <w:left w:val="nil"/>
              <w:bottom w:val="single" w:color="auto" w:sz="4" w:space="0"/>
              <w:right w:val="single" w:color="auto" w:sz="4" w:space="0"/>
            </w:tcBorders>
            <w:vAlign w:val="center"/>
          </w:tcPr>
          <w:p>
            <w:pPr>
              <w:widowControl/>
              <w:shd w:val="clear" w:color="auto" w:fill="FFFFFF"/>
              <w:spacing w:line="360" w:lineRule="auto"/>
              <w:jc w:val="left"/>
              <w:rPr>
                <w:rFonts w:ascii="宋体" w:hAnsi="宋体"/>
                <w:sz w:val="24"/>
                <w:szCs w:val="24"/>
              </w:rPr>
            </w:pPr>
            <w:r>
              <w:rPr>
                <w:rFonts w:hint="eastAsia" w:ascii="宋体" w:hAnsi="宋体"/>
                <w:sz w:val="24"/>
              </w:rPr>
              <w:t>工期</w:t>
            </w:r>
          </w:p>
        </w:tc>
        <w:tc>
          <w:tcPr>
            <w:tcW w:w="4326" w:type="dxa"/>
            <w:tcBorders>
              <w:top w:val="single" w:color="auto" w:sz="4" w:space="0"/>
              <w:left w:val="nil"/>
              <w:bottom w:val="single" w:color="auto" w:sz="4" w:space="0"/>
              <w:right w:val="single" w:color="auto" w:sz="4" w:space="0"/>
            </w:tcBorders>
            <w:vAlign w:val="center"/>
          </w:tcPr>
          <w:p>
            <w:pPr>
              <w:widowControl/>
              <w:shd w:val="clear" w:color="auto" w:fill="FFFFFF"/>
              <w:spacing w:line="360" w:lineRule="auto"/>
              <w:jc w:val="left"/>
              <w:rPr>
                <w:rFonts w:ascii="宋体" w:hAnsi="宋体"/>
                <w:sz w:val="24"/>
                <w:szCs w:val="24"/>
              </w:rPr>
            </w:pPr>
            <w:r>
              <w:rPr>
                <w:rFonts w:hint="eastAsia" w:ascii="宋体" w:hAnsi="宋体"/>
                <w:sz w:val="24"/>
              </w:rPr>
              <w:t>工期总日历天数：</w:t>
            </w:r>
            <w:r>
              <w:rPr>
                <w:rFonts w:hint="eastAsia" w:ascii="宋体" w:hAnsi="宋体"/>
                <w:sz w:val="24"/>
                <w:lang w:val="en-US" w:eastAsia="zh-CN"/>
              </w:rPr>
              <w:t>60</w:t>
            </w:r>
            <w:r>
              <w:rPr>
                <w:rFonts w:hint="eastAsia" w:ascii="宋体" w:hAnsi="宋体"/>
                <w:sz w:val="24"/>
              </w:rPr>
              <w:t>天。</w:t>
            </w:r>
          </w:p>
        </w:tc>
        <w:tc>
          <w:tcPr>
            <w:tcW w:w="3076" w:type="dxa"/>
            <w:tcBorders>
              <w:top w:val="single" w:color="auto" w:sz="4" w:space="0"/>
              <w:left w:val="nil"/>
              <w:bottom w:val="single" w:color="auto" w:sz="4" w:space="0"/>
              <w:right w:val="single" w:color="auto" w:sz="4" w:space="0"/>
            </w:tcBorders>
            <w:vAlign w:val="center"/>
          </w:tcPr>
          <w:p>
            <w:pPr>
              <w:widowControl/>
              <w:shd w:val="clear" w:color="auto" w:fill="FFFFFF"/>
              <w:spacing w:line="360" w:lineRule="auto"/>
              <w:jc w:val="left"/>
              <w:rPr>
                <w:rFonts w:ascii="宋体" w:hAnsi="宋体"/>
                <w:sz w:val="24"/>
              </w:rPr>
            </w:pPr>
          </w:p>
        </w:tc>
      </w:tr>
      <w:tr>
        <w:tblPrEx>
          <w:tblLayout w:type="fixed"/>
          <w:tblCellMar>
            <w:top w:w="0" w:type="dxa"/>
            <w:left w:w="108" w:type="dxa"/>
            <w:bottom w:w="0" w:type="dxa"/>
            <w:right w:w="108" w:type="dxa"/>
          </w:tblCellMar>
        </w:tblPrEx>
        <w:trPr>
          <w:trHeight w:val="705" w:hRule="atLeast"/>
          <w:jc w:val="center"/>
        </w:trPr>
        <w:tc>
          <w:tcPr>
            <w:tcW w:w="877"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spacing w:line="360" w:lineRule="auto"/>
              <w:jc w:val="left"/>
              <w:rPr>
                <w:rFonts w:ascii="宋体" w:hAnsi="宋体"/>
                <w:sz w:val="24"/>
              </w:rPr>
            </w:pPr>
            <w:r>
              <w:rPr>
                <w:rFonts w:hint="eastAsia" w:ascii="宋体" w:hAnsi="宋体"/>
                <w:sz w:val="24"/>
              </w:rPr>
              <w:t>4</w:t>
            </w:r>
          </w:p>
        </w:tc>
        <w:tc>
          <w:tcPr>
            <w:tcW w:w="1920" w:type="dxa"/>
            <w:tcBorders>
              <w:top w:val="single" w:color="auto" w:sz="4" w:space="0"/>
              <w:left w:val="nil"/>
              <w:bottom w:val="single" w:color="auto" w:sz="4" w:space="0"/>
              <w:right w:val="single" w:color="auto" w:sz="4" w:space="0"/>
            </w:tcBorders>
            <w:vAlign w:val="center"/>
          </w:tcPr>
          <w:p>
            <w:pPr>
              <w:widowControl/>
              <w:shd w:val="clear" w:color="auto" w:fill="FFFFFF"/>
              <w:spacing w:line="360" w:lineRule="auto"/>
              <w:jc w:val="left"/>
              <w:rPr>
                <w:rFonts w:ascii="宋体" w:hAnsi="宋体"/>
                <w:sz w:val="24"/>
              </w:rPr>
            </w:pPr>
            <w:r>
              <w:rPr>
                <w:rFonts w:hint="eastAsia" w:ascii="宋体" w:hAnsi="宋体"/>
                <w:sz w:val="24"/>
              </w:rPr>
              <w:t>缺陷责任期</w:t>
            </w:r>
          </w:p>
        </w:tc>
        <w:tc>
          <w:tcPr>
            <w:tcW w:w="4326" w:type="dxa"/>
            <w:tcBorders>
              <w:top w:val="single" w:color="auto" w:sz="4" w:space="0"/>
              <w:left w:val="nil"/>
              <w:bottom w:val="single" w:color="auto" w:sz="4" w:space="0"/>
              <w:right w:val="single" w:color="auto" w:sz="4" w:space="0"/>
            </w:tcBorders>
            <w:vAlign w:val="center"/>
          </w:tcPr>
          <w:p>
            <w:pPr>
              <w:widowControl/>
              <w:shd w:val="clear" w:color="auto" w:fill="FFFFFF"/>
              <w:spacing w:line="360" w:lineRule="auto"/>
              <w:jc w:val="left"/>
              <w:rPr>
                <w:rFonts w:ascii="宋体" w:hAnsi="宋体"/>
                <w:sz w:val="24"/>
              </w:rPr>
            </w:pPr>
            <w:r>
              <w:rPr>
                <w:rFonts w:hint="eastAsia" w:ascii="宋体" w:hAnsi="宋体"/>
                <w:sz w:val="24"/>
              </w:rPr>
              <w:t>12个月。</w:t>
            </w:r>
          </w:p>
        </w:tc>
        <w:tc>
          <w:tcPr>
            <w:tcW w:w="3076" w:type="dxa"/>
            <w:tcBorders>
              <w:top w:val="single" w:color="auto" w:sz="4" w:space="0"/>
              <w:left w:val="nil"/>
              <w:bottom w:val="single" w:color="auto" w:sz="4" w:space="0"/>
              <w:right w:val="single" w:color="auto" w:sz="4" w:space="0"/>
            </w:tcBorders>
            <w:vAlign w:val="center"/>
          </w:tcPr>
          <w:p>
            <w:pPr>
              <w:widowControl/>
              <w:shd w:val="clear" w:color="auto" w:fill="FFFFFF"/>
              <w:spacing w:line="360" w:lineRule="auto"/>
              <w:jc w:val="left"/>
              <w:rPr>
                <w:rFonts w:ascii="宋体" w:hAnsi="宋体"/>
                <w:sz w:val="24"/>
              </w:rPr>
            </w:pPr>
          </w:p>
        </w:tc>
      </w:tr>
      <w:tr>
        <w:tblPrEx>
          <w:tblLayout w:type="fixed"/>
          <w:tblCellMar>
            <w:top w:w="0" w:type="dxa"/>
            <w:left w:w="108" w:type="dxa"/>
            <w:bottom w:w="0" w:type="dxa"/>
            <w:right w:w="108" w:type="dxa"/>
          </w:tblCellMar>
        </w:tblPrEx>
        <w:trPr>
          <w:trHeight w:val="705" w:hRule="atLeast"/>
          <w:jc w:val="center"/>
        </w:trPr>
        <w:tc>
          <w:tcPr>
            <w:tcW w:w="877"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spacing w:line="360" w:lineRule="auto"/>
              <w:jc w:val="left"/>
              <w:rPr>
                <w:rFonts w:ascii="宋体" w:hAnsi="宋体"/>
                <w:sz w:val="24"/>
              </w:rPr>
            </w:pPr>
            <w:r>
              <w:rPr>
                <w:rFonts w:hint="eastAsia" w:ascii="宋体" w:hAnsi="宋体"/>
                <w:sz w:val="24"/>
              </w:rPr>
              <w:t>5</w:t>
            </w:r>
          </w:p>
        </w:tc>
        <w:tc>
          <w:tcPr>
            <w:tcW w:w="1920" w:type="dxa"/>
            <w:tcBorders>
              <w:top w:val="single" w:color="auto" w:sz="4" w:space="0"/>
              <w:left w:val="nil"/>
              <w:bottom w:val="single" w:color="auto" w:sz="4" w:space="0"/>
              <w:right w:val="single" w:color="auto" w:sz="4" w:space="0"/>
            </w:tcBorders>
            <w:vAlign w:val="center"/>
          </w:tcPr>
          <w:p>
            <w:pPr>
              <w:widowControl/>
              <w:shd w:val="clear" w:color="auto" w:fill="FFFFFF"/>
              <w:spacing w:line="360" w:lineRule="auto"/>
              <w:jc w:val="left"/>
              <w:rPr>
                <w:rFonts w:ascii="宋体" w:hAnsi="宋体"/>
                <w:sz w:val="24"/>
              </w:rPr>
            </w:pPr>
            <w:r>
              <w:rPr>
                <w:rFonts w:hint="eastAsia" w:ascii="宋体" w:hAnsi="宋体"/>
                <w:sz w:val="24"/>
              </w:rPr>
              <w:t>分包</w:t>
            </w:r>
          </w:p>
        </w:tc>
        <w:tc>
          <w:tcPr>
            <w:tcW w:w="4326" w:type="dxa"/>
            <w:tcBorders>
              <w:top w:val="single" w:color="auto" w:sz="4" w:space="0"/>
              <w:left w:val="nil"/>
              <w:bottom w:val="single" w:color="auto" w:sz="4" w:space="0"/>
              <w:right w:val="single" w:color="auto" w:sz="4" w:space="0"/>
            </w:tcBorders>
            <w:vAlign w:val="center"/>
          </w:tcPr>
          <w:p>
            <w:pPr>
              <w:widowControl/>
              <w:shd w:val="clear" w:color="auto" w:fill="FFFFFF"/>
              <w:spacing w:line="360" w:lineRule="auto"/>
              <w:jc w:val="left"/>
              <w:rPr>
                <w:rFonts w:ascii="宋体" w:hAnsi="宋体"/>
                <w:sz w:val="24"/>
              </w:rPr>
            </w:pPr>
            <w:r>
              <w:rPr>
                <w:rFonts w:hint="eastAsia" w:ascii="宋体" w:hAnsi="宋体"/>
                <w:sz w:val="24"/>
              </w:rPr>
              <w:t>不允许。</w:t>
            </w:r>
          </w:p>
        </w:tc>
        <w:tc>
          <w:tcPr>
            <w:tcW w:w="3076" w:type="dxa"/>
            <w:tcBorders>
              <w:top w:val="single" w:color="auto" w:sz="4" w:space="0"/>
              <w:left w:val="nil"/>
              <w:bottom w:val="single" w:color="auto" w:sz="4" w:space="0"/>
              <w:right w:val="single" w:color="auto" w:sz="4" w:space="0"/>
            </w:tcBorders>
            <w:vAlign w:val="center"/>
          </w:tcPr>
          <w:p>
            <w:pPr>
              <w:widowControl/>
              <w:shd w:val="clear" w:color="auto" w:fill="FFFFFF"/>
              <w:spacing w:line="360" w:lineRule="auto"/>
              <w:jc w:val="left"/>
              <w:rPr>
                <w:rFonts w:ascii="宋体" w:hAnsi="宋体"/>
                <w:sz w:val="24"/>
              </w:rPr>
            </w:pPr>
          </w:p>
        </w:tc>
      </w:tr>
      <w:tr>
        <w:tblPrEx>
          <w:tblLayout w:type="fixed"/>
          <w:tblCellMar>
            <w:top w:w="0" w:type="dxa"/>
            <w:left w:w="108" w:type="dxa"/>
            <w:bottom w:w="0" w:type="dxa"/>
            <w:right w:w="108" w:type="dxa"/>
          </w:tblCellMar>
        </w:tblPrEx>
        <w:trPr>
          <w:trHeight w:val="705" w:hRule="atLeast"/>
          <w:jc w:val="center"/>
        </w:trPr>
        <w:tc>
          <w:tcPr>
            <w:tcW w:w="877"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spacing w:line="360" w:lineRule="auto"/>
              <w:jc w:val="left"/>
              <w:rPr>
                <w:rFonts w:ascii="宋体" w:hAnsi="宋体"/>
                <w:sz w:val="24"/>
              </w:rPr>
            </w:pPr>
            <w:r>
              <w:rPr>
                <w:rFonts w:hint="eastAsia" w:ascii="宋体" w:hAnsi="宋体"/>
                <w:sz w:val="24"/>
              </w:rPr>
              <w:t>6</w:t>
            </w:r>
          </w:p>
        </w:tc>
        <w:tc>
          <w:tcPr>
            <w:tcW w:w="1920" w:type="dxa"/>
            <w:tcBorders>
              <w:top w:val="single" w:color="auto" w:sz="4" w:space="0"/>
              <w:left w:val="nil"/>
              <w:bottom w:val="single" w:color="auto" w:sz="4" w:space="0"/>
              <w:right w:val="single" w:color="auto" w:sz="4" w:space="0"/>
            </w:tcBorders>
            <w:vAlign w:val="center"/>
          </w:tcPr>
          <w:p>
            <w:pPr>
              <w:widowControl/>
              <w:shd w:val="clear" w:color="auto" w:fill="FFFFFF"/>
              <w:spacing w:line="360" w:lineRule="auto"/>
              <w:jc w:val="left"/>
              <w:rPr>
                <w:rFonts w:ascii="宋体" w:hAnsi="宋体"/>
                <w:sz w:val="24"/>
              </w:rPr>
            </w:pPr>
            <w:r>
              <w:rPr>
                <w:rFonts w:hint="eastAsia" w:ascii="宋体" w:hAnsi="宋体"/>
                <w:sz w:val="24"/>
              </w:rPr>
              <w:t>价格调整</w:t>
            </w:r>
          </w:p>
        </w:tc>
        <w:tc>
          <w:tcPr>
            <w:tcW w:w="4326" w:type="dxa"/>
            <w:tcBorders>
              <w:top w:val="single" w:color="auto" w:sz="4" w:space="0"/>
              <w:left w:val="nil"/>
              <w:bottom w:val="single" w:color="auto" w:sz="4" w:space="0"/>
              <w:right w:val="single" w:color="auto" w:sz="4" w:space="0"/>
            </w:tcBorders>
            <w:vAlign w:val="center"/>
          </w:tcPr>
          <w:p>
            <w:pPr>
              <w:widowControl/>
              <w:shd w:val="clear" w:color="auto" w:fill="FFFFFF"/>
              <w:spacing w:line="360" w:lineRule="auto"/>
              <w:jc w:val="left"/>
              <w:rPr>
                <w:rFonts w:ascii="宋体" w:hAnsi="宋体"/>
                <w:sz w:val="24"/>
              </w:rPr>
            </w:pPr>
            <w:r>
              <w:rPr>
                <w:rFonts w:hint="eastAsia" w:ascii="宋体" w:hAnsi="宋体"/>
                <w:sz w:val="24"/>
              </w:rPr>
              <w:t>不予调整。</w:t>
            </w:r>
          </w:p>
        </w:tc>
        <w:tc>
          <w:tcPr>
            <w:tcW w:w="3076" w:type="dxa"/>
            <w:tcBorders>
              <w:top w:val="single" w:color="auto" w:sz="4" w:space="0"/>
              <w:left w:val="nil"/>
              <w:bottom w:val="single" w:color="auto" w:sz="4" w:space="0"/>
              <w:right w:val="single" w:color="auto" w:sz="4" w:space="0"/>
            </w:tcBorders>
            <w:vAlign w:val="center"/>
          </w:tcPr>
          <w:p>
            <w:pPr>
              <w:widowControl/>
              <w:shd w:val="clear" w:color="auto" w:fill="FFFFFF"/>
              <w:spacing w:line="360" w:lineRule="auto"/>
              <w:jc w:val="left"/>
              <w:rPr>
                <w:rFonts w:ascii="宋体" w:hAnsi="宋体"/>
                <w:sz w:val="24"/>
              </w:rPr>
            </w:pPr>
          </w:p>
        </w:tc>
      </w:tr>
      <w:tr>
        <w:tblPrEx>
          <w:tblLayout w:type="fixed"/>
          <w:tblCellMar>
            <w:top w:w="0" w:type="dxa"/>
            <w:left w:w="108" w:type="dxa"/>
            <w:bottom w:w="0" w:type="dxa"/>
            <w:right w:w="108" w:type="dxa"/>
          </w:tblCellMar>
        </w:tblPrEx>
        <w:trPr>
          <w:trHeight w:val="611" w:hRule="atLeast"/>
          <w:jc w:val="center"/>
        </w:trPr>
        <w:tc>
          <w:tcPr>
            <w:tcW w:w="877"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spacing w:line="360" w:lineRule="auto"/>
              <w:jc w:val="left"/>
              <w:rPr>
                <w:rFonts w:ascii="宋体" w:hAnsi="宋体"/>
                <w:sz w:val="24"/>
              </w:rPr>
            </w:pPr>
            <w:r>
              <w:rPr>
                <w:rFonts w:hint="eastAsia" w:ascii="宋体" w:hAnsi="宋体"/>
                <w:sz w:val="24"/>
              </w:rPr>
              <w:t>7</w:t>
            </w:r>
          </w:p>
        </w:tc>
        <w:tc>
          <w:tcPr>
            <w:tcW w:w="1920" w:type="dxa"/>
            <w:tcBorders>
              <w:top w:val="single" w:color="auto" w:sz="4" w:space="0"/>
              <w:left w:val="nil"/>
              <w:bottom w:val="single" w:color="auto" w:sz="4" w:space="0"/>
              <w:right w:val="single" w:color="auto" w:sz="4" w:space="0"/>
            </w:tcBorders>
            <w:vAlign w:val="center"/>
          </w:tcPr>
          <w:p>
            <w:pPr>
              <w:widowControl/>
              <w:shd w:val="clear" w:color="auto" w:fill="FFFFFF"/>
              <w:spacing w:line="360" w:lineRule="auto"/>
              <w:jc w:val="left"/>
              <w:rPr>
                <w:rFonts w:ascii="宋体" w:hAnsi="宋体"/>
                <w:sz w:val="24"/>
              </w:rPr>
            </w:pPr>
            <w:r>
              <w:rPr>
                <w:rFonts w:hint="eastAsia" w:ascii="宋体" w:hAnsi="宋体"/>
                <w:sz w:val="24"/>
              </w:rPr>
              <w:t>履约保证金</w:t>
            </w:r>
          </w:p>
        </w:tc>
        <w:tc>
          <w:tcPr>
            <w:tcW w:w="4326" w:type="dxa"/>
            <w:tcBorders>
              <w:top w:val="single" w:color="auto" w:sz="4" w:space="0"/>
              <w:left w:val="nil"/>
              <w:bottom w:val="single" w:color="auto" w:sz="4" w:space="0"/>
              <w:right w:val="single" w:color="auto" w:sz="4" w:space="0"/>
            </w:tcBorders>
            <w:vAlign w:val="center"/>
          </w:tcPr>
          <w:p>
            <w:pPr>
              <w:widowControl/>
              <w:shd w:val="clear" w:color="auto" w:fill="FFFFFF"/>
              <w:spacing w:line="360" w:lineRule="auto"/>
              <w:jc w:val="left"/>
              <w:rPr>
                <w:rFonts w:ascii="宋体" w:hAnsi="宋体"/>
                <w:sz w:val="24"/>
              </w:rPr>
            </w:pPr>
            <w:r>
              <w:rPr>
                <w:rFonts w:hint="eastAsia" w:ascii="宋体" w:hAnsi="宋体"/>
                <w:sz w:val="24"/>
              </w:rPr>
              <w:t>履约保证金按中标价的10%缴纳</w:t>
            </w:r>
          </w:p>
        </w:tc>
        <w:tc>
          <w:tcPr>
            <w:tcW w:w="3076" w:type="dxa"/>
            <w:tcBorders>
              <w:top w:val="single" w:color="auto" w:sz="4" w:space="0"/>
              <w:left w:val="nil"/>
              <w:bottom w:val="single" w:color="auto" w:sz="4" w:space="0"/>
              <w:right w:val="single" w:color="auto" w:sz="4" w:space="0"/>
            </w:tcBorders>
            <w:vAlign w:val="center"/>
          </w:tcPr>
          <w:p>
            <w:pPr>
              <w:widowControl/>
              <w:shd w:val="clear" w:color="auto" w:fill="FFFFFF"/>
              <w:spacing w:line="360" w:lineRule="auto"/>
              <w:jc w:val="left"/>
              <w:rPr>
                <w:rFonts w:ascii="宋体" w:hAnsi="宋体"/>
                <w:sz w:val="24"/>
              </w:rPr>
            </w:pPr>
          </w:p>
        </w:tc>
      </w:tr>
      <w:tr>
        <w:tblPrEx>
          <w:tblLayout w:type="fixed"/>
          <w:tblCellMar>
            <w:top w:w="0" w:type="dxa"/>
            <w:left w:w="108" w:type="dxa"/>
            <w:bottom w:w="0" w:type="dxa"/>
            <w:right w:w="108" w:type="dxa"/>
          </w:tblCellMar>
        </w:tblPrEx>
        <w:trPr>
          <w:trHeight w:val="623" w:hRule="atLeast"/>
          <w:jc w:val="center"/>
        </w:trPr>
        <w:tc>
          <w:tcPr>
            <w:tcW w:w="877"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spacing w:line="360" w:lineRule="auto"/>
              <w:jc w:val="left"/>
              <w:rPr>
                <w:rFonts w:ascii="宋体" w:hAnsi="宋体"/>
                <w:sz w:val="24"/>
              </w:rPr>
            </w:pPr>
            <w:r>
              <w:rPr>
                <w:rFonts w:hint="eastAsia" w:ascii="宋体" w:hAnsi="宋体"/>
                <w:sz w:val="24"/>
              </w:rPr>
              <w:t>8</w:t>
            </w:r>
          </w:p>
        </w:tc>
        <w:tc>
          <w:tcPr>
            <w:tcW w:w="1920" w:type="dxa"/>
            <w:tcBorders>
              <w:top w:val="single" w:color="auto" w:sz="4" w:space="0"/>
              <w:left w:val="nil"/>
              <w:bottom w:val="single" w:color="auto" w:sz="4" w:space="0"/>
              <w:right w:val="single" w:color="auto" w:sz="4" w:space="0"/>
            </w:tcBorders>
            <w:vAlign w:val="center"/>
          </w:tcPr>
          <w:p>
            <w:pPr>
              <w:widowControl/>
              <w:shd w:val="clear" w:color="auto" w:fill="FFFFFF"/>
              <w:spacing w:line="360" w:lineRule="auto"/>
              <w:jc w:val="left"/>
              <w:rPr>
                <w:rFonts w:ascii="宋体" w:hAnsi="宋体"/>
                <w:sz w:val="24"/>
              </w:rPr>
            </w:pPr>
            <w:r>
              <w:rPr>
                <w:rFonts w:hint="eastAsia" w:ascii="宋体" w:hAnsi="宋体"/>
                <w:sz w:val="24"/>
              </w:rPr>
              <w:t>付款方式</w:t>
            </w:r>
          </w:p>
        </w:tc>
        <w:tc>
          <w:tcPr>
            <w:tcW w:w="4326" w:type="dxa"/>
            <w:tcBorders>
              <w:top w:val="single" w:color="auto" w:sz="4" w:space="0"/>
              <w:left w:val="nil"/>
              <w:bottom w:val="single" w:color="auto" w:sz="4" w:space="0"/>
              <w:right w:val="single" w:color="auto" w:sz="4" w:space="0"/>
            </w:tcBorders>
            <w:vAlign w:val="center"/>
          </w:tcPr>
          <w:p>
            <w:pPr>
              <w:widowControl/>
              <w:shd w:val="clear" w:color="auto" w:fill="FFFFFF"/>
              <w:spacing w:line="360" w:lineRule="auto"/>
              <w:jc w:val="left"/>
              <w:rPr>
                <w:rFonts w:ascii="宋体" w:hAnsi="宋体"/>
                <w:sz w:val="24"/>
              </w:rPr>
            </w:pPr>
            <w:r>
              <w:rPr>
                <w:rFonts w:hint="eastAsia" w:ascii="宋体" w:hAnsi="宋体"/>
                <w:sz w:val="24"/>
                <w:lang w:val="en-US" w:eastAsia="zh-CN"/>
              </w:rPr>
              <w:t>签订合同后支付合同金额的30%，项目实施进度拨款，项目完成实施进度的50%再支付合同金额的20%，竣工验收合格后支付至合同金额的80%；经竣工结算后支付至审定结算金额的100%。</w:t>
            </w:r>
          </w:p>
        </w:tc>
        <w:tc>
          <w:tcPr>
            <w:tcW w:w="3076" w:type="dxa"/>
            <w:tcBorders>
              <w:top w:val="single" w:color="auto" w:sz="4" w:space="0"/>
              <w:left w:val="nil"/>
              <w:bottom w:val="single" w:color="auto" w:sz="4" w:space="0"/>
              <w:right w:val="single" w:color="auto" w:sz="4" w:space="0"/>
            </w:tcBorders>
            <w:vAlign w:val="center"/>
          </w:tcPr>
          <w:p>
            <w:pPr>
              <w:widowControl/>
              <w:shd w:val="clear" w:color="auto" w:fill="FFFFFF"/>
              <w:spacing w:line="360" w:lineRule="auto"/>
              <w:jc w:val="left"/>
              <w:rPr>
                <w:rFonts w:ascii="宋体" w:hAnsi="宋体"/>
                <w:sz w:val="24"/>
              </w:rPr>
            </w:pPr>
          </w:p>
        </w:tc>
      </w:tr>
      <w:tr>
        <w:tblPrEx>
          <w:tblLayout w:type="fixed"/>
          <w:tblCellMar>
            <w:top w:w="0" w:type="dxa"/>
            <w:left w:w="108" w:type="dxa"/>
            <w:bottom w:w="0" w:type="dxa"/>
            <w:right w:w="108" w:type="dxa"/>
          </w:tblCellMar>
        </w:tblPrEx>
        <w:trPr>
          <w:trHeight w:val="718" w:hRule="atLeast"/>
          <w:jc w:val="center"/>
        </w:trPr>
        <w:tc>
          <w:tcPr>
            <w:tcW w:w="877"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spacing w:line="360" w:lineRule="auto"/>
              <w:jc w:val="left"/>
              <w:rPr>
                <w:rFonts w:ascii="宋体" w:hAnsi="宋体"/>
                <w:sz w:val="24"/>
              </w:rPr>
            </w:pPr>
            <w:r>
              <w:rPr>
                <w:rFonts w:hint="eastAsia" w:ascii="宋体" w:hAnsi="宋体"/>
                <w:sz w:val="24"/>
              </w:rPr>
              <w:t>9</w:t>
            </w:r>
          </w:p>
        </w:tc>
        <w:tc>
          <w:tcPr>
            <w:tcW w:w="1920" w:type="dxa"/>
            <w:tcBorders>
              <w:top w:val="single" w:color="auto" w:sz="4" w:space="0"/>
              <w:left w:val="nil"/>
              <w:bottom w:val="single" w:color="auto" w:sz="4" w:space="0"/>
              <w:right w:val="single" w:color="auto" w:sz="4" w:space="0"/>
            </w:tcBorders>
            <w:vAlign w:val="center"/>
          </w:tcPr>
          <w:p>
            <w:pPr>
              <w:widowControl/>
              <w:shd w:val="clear" w:color="auto" w:fill="FFFFFF"/>
              <w:spacing w:line="360" w:lineRule="auto"/>
              <w:jc w:val="left"/>
              <w:rPr>
                <w:rFonts w:ascii="宋体" w:hAnsi="宋体"/>
                <w:sz w:val="24"/>
              </w:rPr>
            </w:pPr>
            <w:r>
              <w:rPr>
                <w:rFonts w:hint="eastAsia" w:ascii="宋体" w:hAnsi="宋体"/>
                <w:sz w:val="24"/>
              </w:rPr>
              <w:t>民工工资保证金</w:t>
            </w:r>
          </w:p>
        </w:tc>
        <w:tc>
          <w:tcPr>
            <w:tcW w:w="4326" w:type="dxa"/>
            <w:tcBorders>
              <w:top w:val="single" w:color="auto" w:sz="4" w:space="0"/>
              <w:left w:val="nil"/>
              <w:bottom w:val="single" w:color="auto" w:sz="4" w:space="0"/>
              <w:right w:val="single" w:color="auto" w:sz="4" w:space="0"/>
            </w:tcBorders>
            <w:vAlign w:val="center"/>
          </w:tcPr>
          <w:p>
            <w:pPr>
              <w:widowControl/>
              <w:shd w:val="clear" w:color="auto" w:fill="FFFFFF"/>
              <w:spacing w:line="360" w:lineRule="auto"/>
              <w:jc w:val="left"/>
              <w:rPr>
                <w:rFonts w:ascii="宋体" w:hAnsi="宋体"/>
                <w:sz w:val="24"/>
              </w:rPr>
            </w:pPr>
            <w:r>
              <w:rPr>
                <w:rFonts w:hint="eastAsia" w:ascii="宋体" w:hAnsi="宋体"/>
                <w:sz w:val="24"/>
              </w:rPr>
              <w:t>按照乐山市住房和城乡建设局有关规定执行。</w:t>
            </w:r>
          </w:p>
        </w:tc>
        <w:tc>
          <w:tcPr>
            <w:tcW w:w="3076" w:type="dxa"/>
            <w:tcBorders>
              <w:top w:val="single" w:color="auto" w:sz="4" w:space="0"/>
              <w:left w:val="nil"/>
              <w:bottom w:val="single" w:color="auto" w:sz="4" w:space="0"/>
              <w:right w:val="single" w:color="auto" w:sz="4" w:space="0"/>
            </w:tcBorders>
            <w:vAlign w:val="center"/>
          </w:tcPr>
          <w:p>
            <w:pPr>
              <w:widowControl/>
              <w:shd w:val="clear" w:color="auto" w:fill="FFFFFF"/>
              <w:spacing w:line="360" w:lineRule="auto"/>
              <w:jc w:val="left"/>
              <w:rPr>
                <w:rFonts w:ascii="宋体" w:hAnsi="宋体"/>
                <w:sz w:val="24"/>
              </w:rPr>
            </w:pPr>
          </w:p>
        </w:tc>
      </w:tr>
    </w:tbl>
    <w:p>
      <w:pPr>
        <w:rPr>
          <w:b/>
          <w:bCs/>
        </w:rPr>
      </w:pPr>
    </w:p>
    <w:p>
      <w:pPr>
        <w:widowControl/>
        <w:shd w:val="clear" w:color="auto" w:fill="FFFFFF"/>
        <w:spacing w:line="360" w:lineRule="auto"/>
        <w:jc w:val="left"/>
        <w:rPr>
          <w:rFonts w:ascii="宋体" w:hAnsi="宋体"/>
          <w:sz w:val="24"/>
        </w:rPr>
      </w:pPr>
      <w:r>
        <w:rPr>
          <w:rFonts w:hint="eastAsia" w:ascii="宋体" w:hAnsi="宋体" w:cs="宋体"/>
          <w:color w:val="000000" w:themeColor="text1"/>
          <w:sz w:val="24"/>
          <w:szCs w:val="24"/>
          <w14:textFill>
            <w14:solidFill>
              <w14:schemeClr w14:val="tx1"/>
            </w14:solidFill>
          </w14:textFill>
        </w:rPr>
        <w:t>★</w:t>
      </w:r>
      <w:r>
        <w:rPr>
          <w:rFonts w:hint="eastAsia" w:ascii="宋体" w:hAnsi="宋体" w:cs="宋体"/>
          <w:b/>
          <w:sz w:val="24"/>
        </w:rPr>
        <w:t>2、漏项工程处理：</w:t>
      </w:r>
      <w:r>
        <w:rPr>
          <w:rFonts w:hint="eastAsia" w:ascii="宋体" w:hAnsi="宋体"/>
          <w:sz w:val="24"/>
        </w:rPr>
        <w:t>施工过程中，发现招标工程量清单存在漏项工程的，该漏项工程作为本项目本章采购需求的组成部分，采购人和供应商可以按照《中华人民共和国政府采购法》的规定签订不超过成交金额百分之十的补充合同。</w:t>
      </w:r>
    </w:p>
    <w:p>
      <w:pPr>
        <w:spacing w:line="400" w:lineRule="auto"/>
        <w:rPr>
          <w:rFonts w:ascii="宋体" w:hAnsi="宋体" w:cs="宋体"/>
          <w:b/>
          <w:sz w:val="24"/>
        </w:rPr>
      </w:pPr>
      <w:r>
        <w:rPr>
          <w:rFonts w:hint="eastAsia" w:ascii="宋体" w:hAnsi="宋体" w:cs="宋体"/>
          <w:color w:val="000000" w:themeColor="text1"/>
          <w:sz w:val="24"/>
          <w:szCs w:val="24"/>
          <w14:textFill>
            <w14:solidFill>
              <w14:schemeClr w14:val="tx1"/>
            </w14:solidFill>
          </w14:textFill>
        </w:rPr>
        <w:t>★</w:t>
      </w:r>
      <w:r>
        <w:rPr>
          <w:rFonts w:hint="eastAsia" w:ascii="宋体" w:hAnsi="宋体" w:cs="宋体"/>
          <w:b/>
          <w:sz w:val="24"/>
        </w:rPr>
        <w:t>3、</w:t>
      </w:r>
      <w:r>
        <w:rPr>
          <w:rFonts w:hint="eastAsia" w:ascii="宋体" w:hAnsi="宋体"/>
          <w:sz w:val="24"/>
        </w:rPr>
        <w:t>供应商针对本项目的施工，必须达到国家及行业现行技术规范标准，符合国家及行业验收合格标准。</w:t>
      </w:r>
    </w:p>
    <w:p>
      <w:pPr>
        <w:widowControl/>
        <w:shd w:val="clear" w:color="auto" w:fill="FFFFFF"/>
        <w:spacing w:line="360" w:lineRule="auto"/>
        <w:jc w:val="left"/>
        <w:rPr>
          <w:rFonts w:ascii="宋体" w:hAnsi="宋体" w:cs="宋体"/>
          <w:b/>
          <w:sz w:val="24"/>
        </w:rPr>
      </w:pPr>
      <w:r>
        <w:rPr>
          <w:rFonts w:hint="eastAsia" w:ascii="宋体" w:hAnsi="宋体" w:cs="宋体"/>
          <w:color w:val="000000" w:themeColor="text1"/>
          <w:sz w:val="24"/>
          <w:szCs w:val="24"/>
          <w14:textFill>
            <w14:solidFill>
              <w14:schemeClr w14:val="tx1"/>
            </w14:solidFill>
          </w14:textFill>
        </w:rPr>
        <w:t>★</w:t>
      </w:r>
      <w:r>
        <w:rPr>
          <w:rFonts w:hint="eastAsia" w:ascii="宋体" w:hAnsi="宋体" w:cs="宋体"/>
          <w:b/>
          <w:sz w:val="24"/>
        </w:rPr>
        <w:t>4、针对本项目的其他技术服务要求：</w:t>
      </w:r>
    </w:p>
    <w:p>
      <w:pPr>
        <w:widowControl/>
        <w:shd w:val="clear" w:color="auto" w:fill="FFFFFF"/>
        <w:spacing w:line="360" w:lineRule="auto"/>
        <w:ind w:firstLine="480" w:firstLineChars="200"/>
        <w:jc w:val="left"/>
        <w:rPr>
          <w:rFonts w:ascii="宋体" w:hAnsi="宋体"/>
          <w:sz w:val="24"/>
        </w:rPr>
      </w:pPr>
      <w:r>
        <w:rPr>
          <w:rFonts w:hint="eastAsia" w:ascii="宋体" w:hAnsi="宋体"/>
          <w:sz w:val="24"/>
        </w:rPr>
        <w:t>（1）.材料要求：材料、设备选用要满足设计和国家现行相关质量标准的要求。</w:t>
      </w:r>
    </w:p>
    <w:p>
      <w:pPr>
        <w:widowControl/>
        <w:shd w:val="clear" w:color="auto" w:fill="FFFFFF"/>
        <w:spacing w:line="360" w:lineRule="auto"/>
        <w:ind w:firstLine="480" w:firstLineChars="200"/>
        <w:jc w:val="left"/>
        <w:rPr>
          <w:rFonts w:ascii="宋体" w:hAnsi="宋体"/>
          <w:sz w:val="24"/>
        </w:rPr>
      </w:pPr>
      <w:r>
        <w:rPr>
          <w:rFonts w:hint="eastAsia" w:ascii="宋体" w:hAnsi="宋体"/>
          <w:sz w:val="24"/>
        </w:rPr>
        <w:t xml:space="preserve">（2）.施工要求：满足安全文明施工相关要求的规定。工程施工必须按经批准的施工组织设计实施，并要符合施工规范及验收标准的相关要求，施工单位除按工程图纸及说明施工外，还必须严格满足国家颁布的现行安装及施工工程验收规范和工程质量检验评定标准。 </w:t>
      </w:r>
    </w:p>
    <w:p>
      <w:pPr>
        <w:widowControl/>
        <w:shd w:val="clear" w:color="auto" w:fill="FFFFFF"/>
        <w:spacing w:line="360" w:lineRule="auto"/>
        <w:ind w:firstLine="480" w:firstLineChars="200"/>
        <w:jc w:val="left"/>
        <w:rPr>
          <w:rFonts w:ascii="宋体" w:hAnsi="宋体"/>
          <w:sz w:val="24"/>
        </w:rPr>
      </w:pPr>
      <w:r>
        <w:rPr>
          <w:rFonts w:hint="eastAsia" w:ascii="宋体" w:hAnsi="宋体"/>
          <w:sz w:val="24"/>
        </w:rPr>
        <w:t>（3）.资料要求：验收合格后提供完整的《竣工验收资料》给监理单位且完成备案工作, 若有图纸资料还须提供纸质及电子版。</w:t>
      </w:r>
    </w:p>
    <w:p>
      <w:pPr>
        <w:widowControl/>
        <w:shd w:val="clear" w:color="auto" w:fill="FFFFFF"/>
        <w:spacing w:line="360" w:lineRule="auto"/>
        <w:ind w:firstLine="480" w:firstLineChars="200"/>
        <w:jc w:val="left"/>
        <w:rPr>
          <w:rFonts w:ascii="宋体" w:hAnsi="宋体"/>
          <w:sz w:val="24"/>
        </w:rPr>
      </w:pPr>
      <w:r>
        <w:rPr>
          <w:rFonts w:hint="eastAsia" w:ascii="宋体" w:hAnsi="宋体"/>
          <w:sz w:val="24"/>
        </w:rPr>
        <w:t>（4）.安全责任：在本工程施工期间所有的安全问题及安全责任均由成交供应商承担。</w:t>
      </w:r>
    </w:p>
    <w:p>
      <w:pPr>
        <w:widowControl/>
        <w:shd w:val="clear" w:color="auto" w:fill="FFFFFF"/>
        <w:spacing w:line="360" w:lineRule="auto"/>
        <w:ind w:firstLine="480" w:firstLineChars="200"/>
        <w:jc w:val="left"/>
        <w:rPr>
          <w:rFonts w:ascii="宋体" w:hAnsi="宋体"/>
          <w:sz w:val="24"/>
        </w:rPr>
      </w:pPr>
      <w:r>
        <w:rPr>
          <w:rFonts w:hint="eastAsia" w:ascii="宋体" w:hAnsi="宋体"/>
          <w:sz w:val="24"/>
        </w:rPr>
        <w:t>（5）.关于工程保险的特别约定：</w:t>
      </w:r>
    </w:p>
    <w:p>
      <w:pPr>
        <w:widowControl/>
        <w:shd w:val="clear" w:color="auto" w:fill="FFFFFF"/>
        <w:spacing w:line="360" w:lineRule="auto"/>
        <w:ind w:firstLine="480" w:firstLineChars="200"/>
        <w:jc w:val="left"/>
        <w:rPr>
          <w:rFonts w:ascii="宋体" w:hAnsi="宋体"/>
          <w:sz w:val="24"/>
        </w:rPr>
      </w:pPr>
      <w:r>
        <w:rPr>
          <w:rFonts w:ascii="Calibri" w:hAnsi="Calibri" w:cs="Calibri"/>
          <w:sz w:val="24"/>
        </w:rPr>
        <w:t>①</w:t>
      </w:r>
      <w:r>
        <w:rPr>
          <w:rFonts w:hint="eastAsia" w:ascii="宋体" w:hAnsi="宋体"/>
          <w:sz w:val="24"/>
        </w:rPr>
        <w:t>本项目投保的所有保险内容，有关费用已包含在合同价款中，均由供应商购买，采购人不再额外支付，保险有限期至工程竣工验收合格交付采购人为止。</w:t>
      </w:r>
    </w:p>
    <w:p>
      <w:pPr>
        <w:widowControl/>
        <w:shd w:val="clear" w:color="auto" w:fill="FFFFFF"/>
        <w:spacing w:line="360" w:lineRule="auto"/>
        <w:ind w:firstLine="480" w:firstLineChars="200"/>
        <w:jc w:val="left"/>
        <w:rPr>
          <w:rFonts w:ascii="宋体" w:hAnsi="宋体"/>
          <w:sz w:val="24"/>
        </w:rPr>
      </w:pPr>
      <w:r>
        <w:rPr>
          <w:rFonts w:ascii="Calibri" w:hAnsi="Calibri" w:cs="Calibri"/>
          <w:sz w:val="24"/>
        </w:rPr>
        <w:t>②</w:t>
      </w:r>
      <w:r>
        <w:rPr>
          <w:rFonts w:hint="eastAsia" w:ascii="宋体" w:hAnsi="宋体"/>
          <w:sz w:val="24"/>
        </w:rPr>
        <w:t>供应商应以双方的名义为本工程项目投保工程一切险和第三者责任险，其费用已包含在合同价款中，由供应商承担。当发生损失或损害时，供应商应及时向监理人和采购人报告。</w:t>
      </w:r>
    </w:p>
    <w:p>
      <w:pPr>
        <w:widowControl/>
        <w:shd w:val="clear" w:color="auto" w:fill="FFFFFF"/>
        <w:spacing w:line="360" w:lineRule="auto"/>
        <w:ind w:firstLine="480" w:firstLineChars="200"/>
        <w:jc w:val="left"/>
        <w:rPr>
          <w:rFonts w:ascii="宋体" w:hAnsi="宋体"/>
          <w:sz w:val="24"/>
        </w:rPr>
      </w:pPr>
      <w:r>
        <w:rPr>
          <w:rFonts w:ascii="Calibri" w:hAnsi="Calibri" w:cs="Calibri"/>
          <w:sz w:val="24"/>
        </w:rPr>
        <w:t>③</w:t>
      </w:r>
      <w:r>
        <w:rPr>
          <w:rFonts w:hint="eastAsia" w:ascii="宋体" w:hAnsi="宋体"/>
          <w:sz w:val="24"/>
        </w:rPr>
        <w:t>在该工程项目施工和缺陷修复过程中，采购人对供应商雇员的人身死亡或伤残，或财产（设备）的损失或损害不予赔偿；采购人不对供应商与此有关的索赔、损害、赔偿及诉讼等费用和其他开支承担任何责任。</w:t>
      </w:r>
    </w:p>
    <w:p>
      <w:pPr>
        <w:widowControl/>
        <w:shd w:val="clear" w:color="auto" w:fill="FFFFFF"/>
        <w:spacing w:line="360" w:lineRule="auto"/>
        <w:ind w:firstLine="480" w:firstLineChars="200"/>
        <w:jc w:val="left"/>
        <w:rPr>
          <w:rFonts w:ascii="宋体" w:hAnsi="宋体"/>
          <w:sz w:val="24"/>
        </w:rPr>
      </w:pPr>
      <w:r>
        <w:rPr>
          <w:rFonts w:ascii="Calibri" w:hAnsi="Calibri" w:cs="Calibri"/>
          <w:sz w:val="24"/>
        </w:rPr>
        <w:t>④</w:t>
      </w:r>
      <w:r>
        <w:rPr>
          <w:rFonts w:hint="eastAsia" w:ascii="宋体" w:hAnsi="宋体"/>
          <w:sz w:val="24"/>
        </w:rPr>
        <w:t>供应商若不投保，施工及缺陷修复期间所发生的的一切与本工程有关的人员、工程、财产等意外伤害、损失，由供应商承担全部责任和费用。</w:t>
      </w:r>
    </w:p>
    <w:p>
      <w:pPr>
        <w:widowControl/>
        <w:shd w:val="clear" w:color="auto" w:fill="FFFFFF"/>
        <w:spacing w:line="360" w:lineRule="auto"/>
        <w:ind w:firstLine="480" w:firstLineChars="200"/>
        <w:jc w:val="left"/>
        <w:rPr>
          <w:rFonts w:ascii="宋体" w:hAnsi="宋体"/>
          <w:sz w:val="24"/>
        </w:rPr>
      </w:pPr>
      <w:r>
        <w:rPr>
          <w:rFonts w:hint="eastAsia" w:ascii="宋体" w:hAnsi="宋体" w:cs="宋体"/>
          <w:color w:val="000000" w:themeColor="text1"/>
          <w:sz w:val="24"/>
          <w:szCs w:val="24"/>
          <w14:textFill>
            <w14:solidFill>
              <w14:schemeClr w14:val="tx1"/>
            </w14:solidFill>
          </w14:textFill>
        </w:rPr>
        <w:t>★</w:t>
      </w:r>
      <w:r>
        <w:rPr>
          <w:rFonts w:hint="eastAsia" w:ascii="宋体" w:hAnsi="宋体"/>
          <w:sz w:val="24"/>
        </w:rPr>
        <w:t xml:space="preserve">（7）.报价要求：  </w:t>
      </w:r>
    </w:p>
    <w:p>
      <w:pPr>
        <w:widowControl/>
        <w:shd w:val="clear" w:color="auto" w:fill="FFFFFF"/>
        <w:spacing w:line="360" w:lineRule="auto"/>
        <w:jc w:val="left"/>
        <w:rPr>
          <w:rFonts w:ascii="宋体" w:hAnsi="宋体"/>
          <w:sz w:val="24"/>
        </w:rPr>
      </w:pPr>
      <w:r>
        <w:rPr>
          <w:rFonts w:hint="eastAsia" w:ascii="宋体" w:hAnsi="宋体"/>
          <w:sz w:val="24"/>
        </w:rPr>
        <w:t>本项目币种为人民币，本项目报价包括实施和完成合同工程（图纸、招标工程量清单范围内所有项目）所需的人工、材料、机械、质检（自检）、安装、维护、缺陷修复、保险、税费、利润、培训、安全文明施工管理等费用，以及合同明示或暗示的所有完成本项目履行工作的责任、义务和一般风险。</w:t>
      </w:r>
    </w:p>
    <w:p>
      <w:pPr>
        <w:widowControl/>
        <w:shd w:val="clear" w:color="auto" w:fill="FFFFFF"/>
        <w:spacing w:line="360" w:lineRule="auto"/>
        <w:ind w:firstLine="480" w:firstLineChars="200"/>
        <w:jc w:val="left"/>
        <w:rPr>
          <w:rFonts w:ascii="宋体" w:hAnsi="宋体"/>
          <w:sz w:val="24"/>
        </w:rPr>
      </w:pPr>
      <w:r>
        <w:rPr>
          <w:rFonts w:hint="eastAsia" w:ascii="宋体" w:hAnsi="宋体" w:cs="宋体"/>
          <w:color w:val="000000" w:themeColor="text1"/>
          <w:sz w:val="24"/>
          <w:szCs w:val="24"/>
          <w14:textFill>
            <w14:solidFill>
              <w14:schemeClr w14:val="tx1"/>
            </w14:solidFill>
          </w14:textFill>
        </w:rPr>
        <w:t>★</w:t>
      </w:r>
      <w:r>
        <w:rPr>
          <w:rFonts w:hint="eastAsia" w:ascii="宋体" w:hAnsi="宋体"/>
          <w:sz w:val="24"/>
        </w:rPr>
        <w:t xml:space="preserve">（8）.验收方法及标准 </w:t>
      </w:r>
    </w:p>
    <w:p>
      <w:pPr>
        <w:widowControl/>
        <w:shd w:val="clear" w:color="auto" w:fill="FFFFFF"/>
        <w:spacing w:line="360" w:lineRule="auto"/>
        <w:ind w:firstLine="480" w:firstLineChars="200"/>
        <w:jc w:val="left"/>
        <w:rPr>
          <w:rFonts w:ascii="宋体" w:hAnsi="宋体"/>
          <w:sz w:val="24"/>
        </w:rPr>
      </w:pPr>
      <w:r>
        <w:rPr>
          <w:rFonts w:ascii="Calibri" w:hAnsi="Calibri" w:cs="Calibri"/>
          <w:sz w:val="24"/>
        </w:rPr>
        <w:t>①</w:t>
      </w:r>
      <w:r>
        <w:rPr>
          <w:rFonts w:hint="eastAsia" w:ascii="宋体" w:hAnsi="宋体"/>
          <w:sz w:val="24"/>
        </w:rPr>
        <w:t>验收方法：成交供应商与采购人应严格按照《财政部关于进一步加强政府采购需求和履约验收管理的指导意见》（财库〔2016〕205号）</w:t>
      </w:r>
      <w:r>
        <w:rPr>
          <w:rFonts w:hint="eastAsia" w:ascii="宋体" w:hAnsi="宋体"/>
          <w:sz w:val="24"/>
          <w:lang w:val="en-US" w:eastAsia="zh-CN"/>
        </w:rPr>
        <w:t>和乐山市财政局《乐山市政府购项目需求论证和履约验收管理实施细则》（乐市财政采〔2021〕8 号）</w:t>
      </w:r>
      <w:r>
        <w:rPr>
          <w:rFonts w:hint="eastAsia" w:ascii="宋体" w:hAnsi="宋体"/>
          <w:sz w:val="24"/>
        </w:rPr>
        <w:t>的要求进行验收。</w:t>
      </w:r>
    </w:p>
    <w:p>
      <w:pPr>
        <w:widowControl/>
        <w:shd w:val="clear" w:color="auto" w:fill="FFFFFF"/>
        <w:spacing w:line="360" w:lineRule="auto"/>
        <w:ind w:firstLine="480" w:firstLineChars="200"/>
        <w:jc w:val="left"/>
        <w:rPr>
          <w:rFonts w:hint="eastAsia" w:ascii="宋体" w:hAnsi="宋体"/>
          <w:sz w:val="24"/>
        </w:rPr>
      </w:pPr>
      <w:r>
        <w:rPr>
          <w:rFonts w:ascii="Calibri" w:hAnsi="Calibri" w:cs="Calibri"/>
          <w:sz w:val="24"/>
        </w:rPr>
        <w:t>②</w:t>
      </w:r>
      <w:r>
        <w:rPr>
          <w:rFonts w:hint="eastAsia" w:ascii="宋体" w:hAnsi="宋体"/>
          <w:sz w:val="24"/>
        </w:rPr>
        <w:t>验收标准：按照现行相关的工程技术标准、规范进行验收，验收结果为合格。</w:t>
      </w:r>
    </w:p>
    <w:p>
      <w:pPr>
        <w:widowControl/>
        <w:shd w:val="clear" w:color="auto" w:fill="FFFFFF"/>
        <w:spacing w:line="360" w:lineRule="auto"/>
        <w:ind w:firstLine="480" w:firstLineChars="200"/>
        <w:jc w:val="left"/>
        <w:rPr>
          <w:rFonts w:hint="eastAsia" w:ascii="宋体" w:hAnsi="宋体" w:eastAsia="宋体" w:cs="Times New Roman"/>
          <w:kern w:val="2"/>
          <w:sz w:val="24"/>
          <w:szCs w:val="21"/>
          <w:lang w:val="en-US" w:eastAsia="zh-CN" w:bidi="ar-SA"/>
        </w:rPr>
      </w:pPr>
      <w:r>
        <w:rPr>
          <w:rFonts w:hint="eastAsia" w:ascii="宋体" w:hAnsi="宋体" w:eastAsia="宋体" w:cs="Times New Roman"/>
          <w:kern w:val="2"/>
          <w:sz w:val="24"/>
          <w:szCs w:val="21"/>
          <w:lang w:val="en-US" w:eastAsia="zh-CN" w:bidi="ar-SA"/>
        </w:rPr>
        <w:t>（9）环境保护要求：注意施工垃圾和扬尘的处理。</w:t>
      </w:r>
    </w:p>
    <w:p>
      <w:pPr>
        <w:keepNext w:val="0"/>
        <w:keepLines w:val="0"/>
        <w:pageBreakBefore w:val="0"/>
        <w:widowControl w:val="0"/>
        <w:suppressLineNumbers w:val="0"/>
        <w:kinsoku/>
        <w:wordWrap/>
        <w:overflowPunct/>
        <w:autoSpaceDE w:val="0"/>
        <w:autoSpaceDN w:val="0"/>
        <w:bidi w:val="0"/>
        <w:adjustRightInd w:val="0"/>
        <w:snapToGrid/>
        <w:spacing w:before="0" w:beforeAutospacing="0" w:after="0" w:afterAutospacing="0" w:line="360" w:lineRule="auto"/>
        <w:ind w:right="0" w:firstLine="480" w:firstLineChars="200"/>
        <w:jc w:val="left"/>
        <w:textAlignment w:val="auto"/>
        <w:rPr>
          <w:rFonts w:hint="eastAsia" w:ascii="宋体" w:hAnsi="宋体" w:eastAsia="宋体" w:cs="宋体"/>
          <w:b/>
          <w:color w:val="000000"/>
          <w:kern w:val="2"/>
          <w:sz w:val="24"/>
          <w:szCs w:val="24"/>
          <w:lang w:val="en-US" w:eastAsia="zh-CN" w:bidi="ar-SA"/>
        </w:rPr>
      </w:pPr>
      <w:r>
        <w:rPr>
          <w:rFonts w:hint="eastAsia" w:ascii="宋体" w:hAnsi="宋体" w:cs="宋体"/>
          <w:color w:val="000000" w:themeColor="text1"/>
          <w:sz w:val="24"/>
          <w:szCs w:val="24"/>
          <w14:textFill>
            <w14:solidFill>
              <w14:schemeClr w14:val="tx1"/>
            </w14:solidFill>
          </w14:textFill>
        </w:rPr>
        <w:t>★</w:t>
      </w:r>
      <w:r>
        <w:rPr>
          <w:rFonts w:hint="eastAsia" w:ascii="宋体" w:hAnsi="宋体" w:eastAsia="宋体" w:cs="宋体"/>
          <w:b/>
          <w:color w:val="000000"/>
          <w:kern w:val="2"/>
          <w:sz w:val="24"/>
          <w:szCs w:val="24"/>
          <w:lang w:val="en-US" w:eastAsia="zh-CN" w:bidi="ar-SA"/>
        </w:rPr>
        <w:t>5、</w:t>
      </w:r>
      <w:r>
        <w:rPr>
          <w:rFonts w:hint="default" w:ascii="宋体" w:hAnsi="宋体" w:eastAsia="宋体" w:cs="Times New Roman"/>
          <w:color w:val="000000"/>
          <w:kern w:val="2"/>
          <w:sz w:val="24"/>
          <w:szCs w:val="24"/>
          <w:lang w:val="en-US" w:eastAsia="zh-CN" w:bidi="ar-SA"/>
        </w:rPr>
        <w:t>本项目涉及的相应工程安全责任（含事故）均由成交供应商全部承担，成交供应商在进场后须严格按照国家（行业）相关规范要求进行施工，并完全接受采购人的合理化建议及相关部门的监督、检查；成交供应商必须使用本单位的施工队伍进行施工，不得以任何形式转包给其他单位。</w:t>
      </w:r>
    </w:p>
    <w:p>
      <w:pPr>
        <w:spacing w:after="120" w:line="360" w:lineRule="auto"/>
        <w:ind w:firstLine="480" w:firstLineChars="200"/>
        <w:jc w:val="center"/>
        <w:rPr>
          <w:rFonts w:ascii="仿宋" w:hAnsi="仿宋" w:eastAsia="仿宋"/>
        </w:rPr>
      </w:pPr>
      <w:r>
        <w:rPr>
          <w:rFonts w:ascii="仿宋" w:hAnsi="仿宋" w:eastAsia="仿宋"/>
          <w:sz w:val="24"/>
          <w:szCs w:val="24"/>
        </w:rPr>
        <w:br w:type="page"/>
      </w:r>
      <w:bookmarkEnd w:id="71"/>
      <w:bookmarkEnd w:id="72"/>
      <w:bookmarkEnd w:id="73"/>
      <w:bookmarkEnd w:id="74"/>
      <w:bookmarkEnd w:id="75"/>
      <w:bookmarkStart w:id="83" w:name="_Toc509579145"/>
      <w:bookmarkStart w:id="84" w:name="_Toc41037907"/>
      <w:bookmarkStart w:id="85" w:name="_Toc217446057"/>
      <w:bookmarkStart w:id="86" w:name="_Toc183582232"/>
      <w:bookmarkStart w:id="87" w:name="_Toc183682369"/>
      <w:r>
        <w:rPr>
          <w:rFonts w:hint="eastAsia" w:ascii="仿宋" w:hAnsi="仿宋" w:eastAsia="仿宋" w:cs="仿宋"/>
          <w:b/>
          <w:bCs/>
          <w:sz w:val="32"/>
          <w:szCs w:val="32"/>
        </w:rPr>
        <w:t>第四章磋商内容、磋商过程中可实质性变动的内容</w:t>
      </w:r>
      <w:bookmarkEnd w:id="83"/>
      <w:bookmarkEnd w:id="84"/>
    </w:p>
    <w:p>
      <w:pPr>
        <w:tabs>
          <w:tab w:val="left" w:pos="7665"/>
        </w:tabs>
        <w:spacing w:line="360" w:lineRule="auto"/>
        <w:ind w:firstLine="480"/>
        <w:rPr>
          <w:rFonts w:ascii="仿宋" w:hAnsi="仿宋" w:eastAsia="仿宋"/>
          <w:sz w:val="24"/>
          <w:szCs w:val="24"/>
        </w:rPr>
      </w:pPr>
    </w:p>
    <w:p>
      <w:pPr>
        <w:tabs>
          <w:tab w:val="left" w:pos="7665"/>
        </w:tabs>
        <w:spacing w:line="360" w:lineRule="auto"/>
        <w:ind w:firstLine="48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针对第三章、第七章所包含的技术、服务要求以及合同草案条款，在磋商过程中，磋商小组在获得采购人代表确认的前提下，可以根据磋商情况实质性变动相关内容。磋商小组对磋商文件作出的实质性变动是磋商文件的有效组成部分，磋商小组会及时以书面形式通知所有参加磋商的供应商。</w:t>
      </w:r>
    </w:p>
    <w:p>
      <w:pPr>
        <w:tabs>
          <w:tab w:val="left" w:pos="7665"/>
        </w:tabs>
        <w:spacing w:line="360" w:lineRule="auto"/>
        <w:ind w:firstLine="480"/>
        <w:rPr>
          <w:rFonts w:ascii="仿宋" w:hAnsi="仿宋" w:eastAsia="仿宋"/>
          <w:sz w:val="24"/>
          <w:szCs w:val="24"/>
        </w:rPr>
      </w:pPr>
    </w:p>
    <w:p>
      <w:pPr>
        <w:tabs>
          <w:tab w:val="left" w:pos="7665"/>
        </w:tabs>
        <w:spacing w:line="360" w:lineRule="auto"/>
        <w:ind w:firstLine="480"/>
        <w:rPr>
          <w:rFonts w:ascii="仿宋" w:hAnsi="仿宋" w:eastAsia="仿宋"/>
          <w:sz w:val="24"/>
          <w:szCs w:val="24"/>
        </w:rPr>
      </w:pPr>
    </w:p>
    <w:p>
      <w:pPr>
        <w:tabs>
          <w:tab w:val="left" w:pos="7665"/>
        </w:tabs>
        <w:spacing w:line="360" w:lineRule="auto"/>
        <w:ind w:firstLine="480"/>
        <w:rPr>
          <w:rFonts w:ascii="仿宋" w:hAnsi="仿宋" w:eastAsia="仿宋"/>
          <w:sz w:val="24"/>
          <w:szCs w:val="24"/>
        </w:rPr>
      </w:pPr>
    </w:p>
    <w:p>
      <w:pPr>
        <w:tabs>
          <w:tab w:val="left" w:pos="7665"/>
        </w:tabs>
        <w:spacing w:line="360" w:lineRule="auto"/>
        <w:ind w:firstLine="480"/>
        <w:jc w:val="center"/>
        <w:rPr>
          <w:rFonts w:ascii="仿宋" w:hAnsi="仿宋" w:eastAsia="仿宋"/>
          <w:b/>
          <w:bCs/>
          <w:sz w:val="32"/>
          <w:szCs w:val="32"/>
        </w:rPr>
      </w:pPr>
    </w:p>
    <w:p>
      <w:pPr>
        <w:tabs>
          <w:tab w:val="left" w:pos="7665"/>
        </w:tabs>
        <w:spacing w:line="360" w:lineRule="auto"/>
        <w:ind w:firstLine="480"/>
        <w:jc w:val="center"/>
        <w:rPr>
          <w:rFonts w:ascii="仿宋" w:hAnsi="仿宋" w:eastAsia="仿宋"/>
          <w:b/>
          <w:bCs/>
          <w:sz w:val="32"/>
          <w:szCs w:val="32"/>
        </w:rPr>
      </w:pPr>
    </w:p>
    <w:p>
      <w:pPr>
        <w:tabs>
          <w:tab w:val="left" w:pos="7665"/>
        </w:tabs>
        <w:spacing w:line="360" w:lineRule="auto"/>
        <w:ind w:firstLine="480"/>
        <w:jc w:val="center"/>
        <w:rPr>
          <w:rFonts w:ascii="仿宋" w:hAnsi="仿宋" w:eastAsia="仿宋"/>
          <w:b/>
          <w:bCs/>
          <w:sz w:val="32"/>
          <w:szCs w:val="32"/>
        </w:rPr>
      </w:pPr>
    </w:p>
    <w:p>
      <w:pPr>
        <w:tabs>
          <w:tab w:val="left" w:pos="7665"/>
        </w:tabs>
        <w:spacing w:line="360" w:lineRule="auto"/>
        <w:ind w:firstLine="480"/>
        <w:rPr>
          <w:rFonts w:ascii="仿宋" w:hAnsi="仿宋" w:eastAsia="仿宋"/>
          <w:sz w:val="24"/>
          <w:szCs w:val="24"/>
        </w:rPr>
      </w:pPr>
    </w:p>
    <w:p>
      <w:pPr>
        <w:tabs>
          <w:tab w:val="left" w:pos="7665"/>
        </w:tabs>
        <w:spacing w:line="360" w:lineRule="auto"/>
        <w:ind w:firstLine="480"/>
        <w:rPr>
          <w:rFonts w:ascii="仿宋" w:hAnsi="仿宋" w:eastAsia="仿宋"/>
          <w:b/>
          <w:bCs/>
          <w:sz w:val="32"/>
          <w:szCs w:val="32"/>
        </w:rPr>
      </w:pPr>
    </w:p>
    <w:p>
      <w:pPr>
        <w:tabs>
          <w:tab w:val="left" w:pos="7665"/>
        </w:tabs>
        <w:spacing w:line="360" w:lineRule="auto"/>
        <w:ind w:firstLine="480"/>
        <w:rPr>
          <w:rFonts w:ascii="仿宋" w:hAnsi="仿宋" w:eastAsia="仿宋"/>
          <w:b/>
          <w:bCs/>
          <w:sz w:val="32"/>
          <w:szCs w:val="32"/>
        </w:rPr>
      </w:pPr>
    </w:p>
    <w:p>
      <w:pPr>
        <w:pStyle w:val="39"/>
        <w:rPr>
          <w:rFonts w:ascii="仿宋" w:hAnsi="仿宋" w:eastAsia="仿宋" w:cs="Times New Roman"/>
        </w:rPr>
      </w:pPr>
      <w:r>
        <w:rPr>
          <w:rFonts w:ascii="仿宋" w:hAnsi="仿宋" w:eastAsia="仿宋" w:cs="Times New Roman"/>
        </w:rPr>
        <w:br w:type="page"/>
      </w:r>
      <w:bookmarkStart w:id="88" w:name="_Toc509579146"/>
      <w:bookmarkStart w:id="89" w:name="_Toc41037908"/>
      <w:r>
        <w:rPr>
          <w:rFonts w:hint="eastAsia" w:ascii="仿宋" w:hAnsi="仿宋" w:eastAsia="仿宋" w:cs="仿宋"/>
        </w:rPr>
        <w:t>第五章响应文件格式</w:t>
      </w:r>
      <w:bookmarkEnd w:id="88"/>
      <w:bookmarkEnd w:id="89"/>
    </w:p>
    <w:p>
      <w:pPr>
        <w:spacing w:line="360" w:lineRule="auto"/>
        <w:jc w:val="left"/>
        <w:rPr>
          <w:rFonts w:ascii="仿宋" w:hAnsi="仿宋" w:eastAsia="仿宋"/>
          <w:b/>
          <w:bCs/>
          <w:sz w:val="32"/>
          <w:szCs w:val="32"/>
        </w:rPr>
      </w:pP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一、本章所制响应文件格式（不包括签字盖章），除格式中明确将该格式作为实质性要求的，不具有强制性。</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二、本章所制响应文件格式有关表格中的备注栏，由供应商根据自身响应情况作解释性说明，不作为必填项。</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三、本章所制响应文件格式中需要填写的相关内容事项，可能会与本采购项目无关，在不改变响应文件原义、不影响本项目采购需求的情况下，供应商可以不予填写，但应当注明。</w:t>
      </w:r>
    </w:p>
    <w:p>
      <w:pPr>
        <w:spacing w:line="360" w:lineRule="auto"/>
        <w:jc w:val="center"/>
        <w:rPr>
          <w:rFonts w:ascii="仿宋" w:hAnsi="仿宋" w:eastAsia="仿宋"/>
          <w:b/>
          <w:bCs/>
          <w:sz w:val="32"/>
          <w:szCs w:val="32"/>
        </w:rPr>
      </w:pPr>
    </w:p>
    <w:p>
      <w:pPr>
        <w:widowControl/>
        <w:spacing w:line="360" w:lineRule="auto"/>
        <w:jc w:val="center"/>
        <w:rPr>
          <w:rFonts w:ascii="仿宋" w:hAnsi="仿宋" w:eastAsia="仿宋"/>
          <w:b/>
          <w:bCs/>
          <w:sz w:val="32"/>
          <w:szCs w:val="32"/>
        </w:rPr>
      </w:pPr>
      <w:r>
        <w:rPr>
          <w:rFonts w:ascii="仿宋" w:hAnsi="仿宋" w:eastAsia="仿宋"/>
          <w:b/>
          <w:bCs/>
          <w:sz w:val="32"/>
          <w:szCs w:val="32"/>
        </w:rPr>
        <w:br w:type="page"/>
      </w:r>
      <w:r>
        <w:rPr>
          <w:rFonts w:hint="eastAsia" w:ascii="仿宋" w:hAnsi="仿宋" w:eastAsia="仿宋" w:cs="仿宋"/>
          <w:b/>
          <w:bCs/>
          <w:sz w:val="32"/>
          <w:szCs w:val="32"/>
        </w:rPr>
        <w:t>响应文件格式</w:t>
      </w:r>
    </w:p>
    <w:p>
      <w:pPr>
        <w:spacing w:line="360" w:lineRule="auto"/>
        <w:rPr>
          <w:rFonts w:ascii="仿宋" w:hAnsi="仿宋" w:eastAsia="仿宋"/>
          <w:b/>
          <w:bCs/>
          <w:sz w:val="28"/>
          <w:szCs w:val="28"/>
        </w:rPr>
      </w:pPr>
    </w:p>
    <w:p>
      <w:pPr>
        <w:spacing w:line="360" w:lineRule="auto"/>
        <w:rPr>
          <w:rFonts w:ascii="仿宋" w:hAnsi="仿宋" w:eastAsia="仿宋" w:cs="仿宋"/>
          <w:b/>
          <w:bCs/>
          <w:sz w:val="28"/>
          <w:szCs w:val="28"/>
        </w:rPr>
      </w:pPr>
      <w:r>
        <w:rPr>
          <w:rFonts w:hint="eastAsia" w:ascii="仿宋" w:hAnsi="仿宋" w:eastAsia="仿宋" w:cs="仿宋"/>
          <w:b/>
          <w:bCs/>
          <w:sz w:val="28"/>
          <w:szCs w:val="28"/>
        </w:rPr>
        <w:t>格式1</w:t>
      </w:r>
      <w:r>
        <w:rPr>
          <w:rFonts w:ascii="仿宋" w:hAnsi="仿宋" w:eastAsia="仿宋" w:cs="仿宋"/>
          <w:b/>
          <w:bCs/>
          <w:sz w:val="28"/>
          <w:szCs w:val="28"/>
        </w:rPr>
        <w:t>-1</w:t>
      </w:r>
    </w:p>
    <w:p>
      <w:pPr>
        <w:spacing w:line="360" w:lineRule="auto"/>
        <w:rPr>
          <w:rFonts w:ascii="仿宋" w:hAnsi="仿宋" w:eastAsia="仿宋"/>
          <w:b/>
          <w:bCs/>
          <w:sz w:val="32"/>
          <w:szCs w:val="32"/>
        </w:rPr>
      </w:pPr>
      <w:r>
        <w:rPr>
          <w:rFonts w:hint="eastAsia" w:ascii="仿宋" w:hAnsi="仿宋" w:eastAsia="仿宋" w:cs="仿宋"/>
          <w:b/>
          <w:bCs/>
          <w:sz w:val="32"/>
          <w:szCs w:val="32"/>
        </w:rPr>
        <w:t>封面：</w:t>
      </w:r>
    </w:p>
    <w:p>
      <w:pPr>
        <w:spacing w:line="360" w:lineRule="auto"/>
        <w:jc w:val="right"/>
        <w:rPr>
          <w:rFonts w:ascii="仿宋" w:hAnsi="仿宋" w:eastAsia="仿宋"/>
          <w:b/>
          <w:bCs/>
          <w:sz w:val="36"/>
          <w:szCs w:val="36"/>
        </w:rPr>
      </w:pPr>
      <w:r>
        <w:rPr>
          <w:rFonts w:hint="eastAsia" w:ascii="仿宋" w:hAnsi="仿宋" w:eastAsia="仿宋" w:cs="仿宋"/>
          <w:b/>
          <w:bCs/>
          <w:sz w:val="36"/>
          <w:szCs w:val="36"/>
        </w:rPr>
        <w:t>（正本</w:t>
      </w:r>
      <w:r>
        <w:rPr>
          <w:rFonts w:ascii="仿宋" w:hAnsi="仿宋" w:eastAsia="仿宋" w:cs="仿宋"/>
          <w:b/>
          <w:bCs/>
          <w:sz w:val="36"/>
          <w:szCs w:val="36"/>
        </w:rPr>
        <w:t>/</w:t>
      </w:r>
      <w:r>
        <w:rPr>
          <w:rFonts w:hint="eastAsia" w:ascii="仿宋" w:hAnsi="仿宋" w:eastAsia="仿宋" w:cs="仿宋"/>
          <w:b/>
          <w:bCs/>
          <w:sz w:val="36"/>
          <w:szCs w:val="36"/>
        </w:rPr>
        <w:t>副本）</w:t>
      </w:r>
    </w:p>
    <w:p>
      <w:pPr>
        <w:spacing w:line="360" w:lineRule="auto"/>
        <w:rPr>
          <w:rFonts w:ascii="仿宋" w:hAnsi="仿宋" w:eastAsia="仿宋"/>
          <w:b/>
          <w:bCs/>
          <w:sz w:val="32"/>
          <w:szCs w:val="32"/>
        </w:rPr>
      </w:pPr>
    </w:p>
    <w:p>
      <w:pPr>
        <w:spacing w:line="360" w:lineRule="auto"/>
        <w:jc w:val="center"/>
        <w:rPr>
          <w:rFonts w:ascii="仿宋" w:hAnsi="仿宋" w:eastAsia="仿宋"/>
          <w:b/>
          <w:bCs/>
          <w:sz w:val="72"/>
          <w:szCs w:val="72"/>
        </w:rPr>
      </w:pPr>
      <w:r>
        <w:rPr>
          <w:rFonts w:ascii="仿宋" w:hAnsi="仿宋" w:eastAsia="仿宋" w:cs="仿宋"/>
          <w:b/>
          <w:bCs/>
          <w:sz w:val="40"/>
          <w:szCs w:val="40"/>
        </w:rPr>
        <w:t>XX</w:t>
      </w:r>
      <w:r>
        <w:rPr>
          <w:rFonts w:hint="eastAsia" w:ascii="仿宋" w:hAnsi="仿宋" w:eastAsia="仿宋" w:cs="仿宋"/>
          <w:b/>
          <w:bCs/>
          <w:sz w:val="40"/>
          <w:szCs w:val="40"/>
        </w:rPr>
        <w:t>项目</w:t>
      </w:r>
    </w:p>
    <w:p>
      <w:pPr>
        <w:spacing w:line="360" w:lineRule="auto"/>
        <w:rPr>
          <w:rFonts w:ascii="仿宋" w:hAnsi="仿宋" w:eastAsia="仿宋"/>
          <w:b/>
          <w:bCs/>
          <w:sz w:val="52"/>
          <w:szCs w:val="52"/>
        </w:rPr>
      </w:pPr>
    </w:p>
    <w:p>
      <w:pPr>
        <w:spacing w:line="360" w:lineRule="auto"/>
        <w:jc w:val="center"/>
        <w:rPr>
          <w:rFonts w:ascii="仿宋" w:hAnsi="仿宋" w:eastAsia="仿宋"/>
          <w:b/>
          <w:bCs/>
          <w:sz w:val="32"/>
          <w:szCs w:val="32"/>
        </w:rPr>
      </w:pPr>
      <w:r>
        <w:rPr>
          <w:rFonts w:hint="eastAsia" w:ascii="仿宋" w:hAnsi="仿宋" w:eastAsia="仿宋" w:cs="仿宋"/>
          <w:b/>
          <w:bCs/>
          <w:sz w:val="52"/>
          <w:szCs w:val="52"/>
        </w:rPr>
        <w:t>响应文件</w:t>
      </w:r>
    </w:p>
    <w:p>
      <w:pPr>
        <w:spacing w:line="360" w:lineRule="auto"/>
        <w:rPr>
          <w:rFonts w:ascii="仿宋" w:hAnsi="仿宋" w:eastAsia="仿宋"/>
          <w:b/>
          <w:bCs/>
          <w:sz w:val="36"/>
          <w:szCs w:val="36"/>
        </w:rPr>
      </w:pPr>
    </w:p>
    <w:p>
      <w:pPr>
        <w:spacing w:line="360" w:lineRule="auto"/>
        <w:rPr>
          <w:rFonts w:ascii="仿宋" w:hAnsi="仿宋" w:eastAsia="仿宋"/>
          <w:b/>
          <w:bCs/>
          <w:sz w:val="36"/>
          <w:szCs w:val="36"/>
        </w:rPr>
      </w:pPr>
    </w:p>
    <w:p>
      <w:pPr>
        <w:spacing w:line="360" w:lineRule="auto"/>
        <w:ind w:firstLine="643" w:firstLineChars="200"/>
        <w:jc w:val="left"/>
        <w:rPr>
          <w:rFonts w:ascii="仿宋" w:hAnsi="仿宋" w:eastAsia="仿宋"/>
          <w:b/>
          <w:bCs/>
          <w:sz w:val="32"/>
          <w:szCs w:val="32"/>
          <w:u w:val="single"/>
        </w:rPr>
      </w:pPr>
      <w:r>
        <w:rPr>
          <w:rFonts w:hint="eastAsia" w:ascii="仿宋" w:hAnsi="仿宋" w:eastAsia="仿宋" w:cs="仿宋"/>
          <w:b/>
          <w:bCs/>
          <w:sz w:val="32"/>
          <w:szCs w:val="32"/>
        </w:rPr>
        <w:t>供应商名称：</w:t>
      </w:r>
    </w:p>
    <w:p>
      <w:pPr>
        <w:spacing w:line="360" w:lineRule="auto"/>
        <w:ind w:firstLine="643" w:firstLineChars="200"/>
        <w:jc w:val="left"/>
        <w:rPr>
          <w:rFonts w:ascii="仿宋" w:hAnsi="仿宋" w:eastAsia="仿宋"/>
          <w:b/>
          <w:bCs/>
          <w:sz w:val="32"/>
          <w:szCs w:val="32"/>
          <w:u w:val="single"/>
        </w:rPr>
      </w:pPr>
      <w:r>
        <w:rPr>
          <w:rFonts w:hint="eastAsia" w:ascii="仿宋" w:hAnsi="仿宋" w:eastAsia="仿宋" w:cs="仿宋"/>
          <w:b/>
          <w:bCs/>
          <w:sz w:val="32"/>
          <w:szCs w:val="32"/>
        </w:rPr>
        <w:t>采购项目编号：</w:t>
      </w:r>
    </w:p>
    <w:p>
      <w:pPr>
        <w:spacing w:line="360" w:lineRule="auto"/>
        <w:ind w:firstLine="643" w:firstLineChars="200"/>
        <w:jc w:val="left"/>
        <w:rPr>
          <w:rFonts w:ascii="仿宋" w:hAnsi="仿宋" w:eastAsia="仿宋"/>
          <w:b/>
          <w:bCs/>
          <w:sz w:val="32"/>
          <w:szCs w:val="32"/>
          <w:u w:val="single"/>
        </w:rPr>
      </w:pPr>
      <w:r>
        <w:rPr>
          <w:rFonts w:hint="eastAsia" w:ascii="仿宋" w:hAnsi="仿宋" w:eastAsia="仿宋" w:cs="仿宋"/>
          <w:b/>
          <w:bCs/>
          <w:sz w:val="32"/>
          <w:szCs w:val="32"/>
        </w:rPr>
        <w:t>包号：</w:t>
      </w:r>
    </w:p>
    <w:p>
      <w:pPr>
        <w:spacing w:line="360" w:lineRule="auto"/>
        <w:ind w:firstLine="790" w:firstLineChars="246"/>
        <w:jc w:val="center"/>
        <w:rPr>
          <w:rFonts w:ascii="仿宋" w:hAnsi="仿宋" w:eastAsia="仿宋"/>
          <w:b/>
          <w:bCs/>
          <w:sz w:val="32"/>
          <w:szCs w:val="32"/>
        </w:rPr>
      </w:pPr>
      <w:r>
        <w:rPr>
          <w:rFonts w:ascii="仿宋" w:hAnsi="仿宋" w:eastAsia="仿宋" w:cs="仿宋"/>
          <w:b/>
          <w:bCs/>
          <w:sz w:val="32"/>
          <w:szCs w:val="32"/>
        </w:rPr>
        <w:t xml:space="preserve">            XX</w:t>
      </w:r>
      <w:r>
        <w:rPr>
          <w:rFonts w:hint="eastAsia" w:ascii="仿宋" w:hAnsi="仿宋" w:eastAsia="仿宋" w:cs="仿宋"/>
          <w:b/>
          <w:bCs/>
          <w:sz w:val="32"/>
          <w:szCs w:val="32"/>
        </w:rPr>
        <w:t>年</w:t>
      </w:r>
      <w:r>
        <w:rPr>
          <w:rFonts w:ascii="仿宋" w:hAnsi="仿宋" w:eastAsia="仿宋" w:cs="仿宋"/>
          <w:b/>
          <w:bCs/>
          <w:sz w:val="32"/>
          <w:szCs w:val="32"/>
        </w:rPr>
        <w:t>XX</w:t>
      </w:r>
      <w:r>
        <w:rPr>
          <w:rFonts w:hint="eastAsia" w:ascii="仿宋" w:hAnsi="仿宋" w:eastAsia="仿宋" w:cs="仿宋"/>
          <w:b/>
          <w:bCs/>
          <w:sz w:val="32"/>
          <w:szCs w:val="32"/>
        </w:rPr>
        <w:t>月</w:t>
      </w:r>
      <w:r>
        <w:rPr>
          <w:rFonts w:ascii="仿宋" w:hAnsi="仿宋" w:eastAsia="仿宋" w:cs="仿宋"/>
          <w:b/>
          <w:bCs/>
          <w:sz w:val="32"/>
          <w:szCs w:val="32"/>
        </w:rPr>
        <w:t>XX</w:t>
      </w:r>
      <w:r>
        <w:rPr>
          <w:rFonts w:hint="eastAsia" w:ascii="仿宋" w:hAnsi="仿宋" w:eastAsia="仿宋" w:cs="仿宋"/>
          <w:b/>
          <w:bCs/>
          <w:sz w:val="32"/>
          <w:szCs w:val="32"/>
        </w:rPr>
        <w:t>日</w:t>
      </w:r>
    </w:p>
    <w:p>
      <w:pPr>
        <w:spacing w:line="360" w:lineRule="auto"/>
        <w:rPr>
          <w:rFonts w:ascii="仿宋" w:hAnsi="仿宋" w:eastAsia="仿宋"/>
          <w:b/>
          <w:bCs/>
          <w:sz w:val="32"/>
          <w:szCs w:val="32"/>
        </w:rPr>
      </w:pPr>
      <w:r>
        <w:rPr>
          <w:rFonts w:ascii="仿宋" w:hAnsi="仿宋" w:eastAsia="仿宋"/>
          <w:b/>
          <w:bCs/>
          <w:sz w:val="32"/>
          <w:szCs w:val="32"/>
        </w:rPr>
        <w:br w:type="page"/>
      </w:r>
    </w:p>
    <w:p>
      <w:pPr>
        <w:widowControl/>
        <w:jc w:val="left"/>
        <w:rPr>
          <w:rFonts w:hint="eastAsia" w:ascii="仿宋" w:hAnsi="仿宋" w:eastAsia="仿宋" w:cs="仿宋"/>
          <w:b/>
          <w:bCs/>
          <w:sz w:val="28"/>
          <w:szCs w:val="28"/>
          <w:lang w:eastAsia="zh-CN"/>
        </w:rPr>
      </w:pPr>
      <w:r>
        <w:rPr>
          <w:rFonts w:hint="eastAsia" w:ascii="仿宋" w:hAnsi="仿宋" w:eastAsia="仿宋" w:cs="仿宋"/>
          <w:b/>
          <w:bCs/>
          <w:sz w:val="28"/>
          <w:szCs w:val="28"/>
        </w:rPr>
        <w:t>格式</w:t>
      </w:r>
      <w:r>
        <w:rPr>
          <w:rFonts w:ascii="仿宋" w:hAnsi="仿宋" w:eastAsia="仿宋" w:cs="仿宋"/>
          <w:b/>
          <w:bCs/>
          <w:sz w:val="28"/>
          <w:szCs w:val="28"/>
        </w:rPr>
        <w:t>1-</w:t>
      </w:r>
      <w:r>
        <w:rPr>
          <w:rFonts w:hint="eastAsia" w:ascii="仿宋" w:hAnsi="仿宋" w:eastAsia="仿宋" w:cs="仿宋"/>
          <w:b/>
          <w:bCs/>
          <w:sz w:val="28"/>
          <w:szCs w:val="28"/>
          <w:lang w:val="en-US" w:eastAsia="zh-CN"/>
        </w:rPr>
        <w:t>2</w:t>
      </w:r>
    </w:p>
    <w:p>
      <w:pPr>
        <w:pStyle w:val="6"/>
        <w:tabs>
          <w:tab w:val="left" w:pos="709"/>
        </w:tabs>
        <w:jc w:val="center"/>
      </w:pPr>
    </w:p>
    <w:p>
      <w:pPr>
        <w:pStyle w:val="6"/>
        <w:tabs>
          <w:tab w:val="left" w:pos="709"/>
        </w:tabs>
        <w:jc w:val="center"/>
        <w:rPr>
          <w:rFonts w:hint="eastAsia" w:ascii="仿宋" w:hAnsi="仿宋" w:eastAsia="仿宋" w:cs="仿宋"/>
          <w:b/>
          <w:bCs/>
          <w:kern w:val="2"/>
          <w:sz w:val="32"/>
          <w:szCs w:val="32"/>
          <w:lang w:val="en-US" w:eastAsia="zh-CN" w:bidi="ar-SA"/>
        </w:rPr>
      </w:pPr>
      <w:r>
        <w:rPr>
          <w:rFonts w:hint="eastAsia" w:ascii="仿宋" w:hAnsi="仿宋" w:eastAsia="仿宋" w:cs="仿宋"/>
          <w:b/>
          <w:bCs/>
          <w:kern w:val="2"/>
          <w:sz w:val="32"/>
          <w:szCs w:val="32"/>
          <w:lang w:val="en-US" w:eastAsia="zh-CN" w:bidi="ar-SA"/>
        </w:rPr>
        <w:t>一、法定代表人身份证明书</w:t>
      </w:r>
    </w:p>
    <w:p/>
    <w:p>
      <w:pPr>
        <w:spacing w:line="360" w:lineRule="auto"/>
        <w:ind w:firstLine="600" w:firstLineChars="250"/>
        <w:rPr>
          <w:rFonts w:hint="eastAsia" w:ascii="宋体" w:hAnsi="宋体" w:eastAsia="宋体" w:cs="宋体"/>
          <w:color w:val="000000" w:themeColor="text1"/>
          <w:sz w:val="24"/>
          <w:szCs w:val="24"/>
          <w:lang w:val="zh-CN"/>
          <w14:textFill>
            <w14:solidFill>
              <w14:schemeClr w14:val="tx1"/>
            </w14:solidFill>
          </w14:textFill>
        </w:rPr>
      </w:pPr>
      <w:r>
        <w:rPr>
          <w:rFonts w:hint="eastAsia" w:ascii="宋体" w:hAnsi="宋体" w:eastAsia="宋体" w:cs="宋体"/>
          <w:color w:val="000000" w:themeColor="text1"/>
          <w:sz w:val="24"/>
          <w:szCs w:val="24"/>
          <w:u w:val="single"/>
          <w:lang w:val="zh-CN"/>
          <w14:textFill>
            <w14:solidFill>
              <w14:schemeClr w14:val="tx1"/>
            </w14:solidFill>
          </w14:textFill>
        </w:rPr>
        <w:t>（法定代表人姓名）</w:t>
      </w:r>
      <w:r>
        <w:rPr>
          <w:rFonts w:hint="eastAsia" w:ascii="宋体" w:hAnsi="宋体" w:eastAsia="宋体" w:cs="宋体"/>
          <w:color w:val="000000" w:themeColor="text1"/>
          <w:sz w:val="24"/>
          <w:szCs w:val="24"/>
          <w:lang w:val="zh-CN"/>
          <w14:textFill>
            <w14:solidFill>
              <w14:schemeClr w14:val="tx1"/>
            </w14:solidFill>
          </w14:textFill>
        </w:rPr>
        <w:t>在</w:t>
      </w:r>
      <w:r>
        <w:rPr>
          <w:rFonts w:hint="eastAsia" w:ascii="宋体" w:hAnsi="宋体" w:eastAsia="宋体" w:cs="宋体"/>
          <w:color w:val="000000" w:themeColor="text1"/>
          <w:sz w:val="24"/>
          <w:szCs w:val="24"/>
          <w:u w:val="single"/>
          <w:lang w:val="zh-CN"/>
          <w14:textFill>
            <w14:solidFill>
              <w14:schemeClr w14:val="tx1"/>
            </w14:solidFill>
          </w14:textFill>
        </w:rPr>
        <w:t>（供应商名称）</w:t>
      </w:r>
      <w:r>
        <w:rPr>
          <w:rFonts w:hint="eastAsia" w:ascii="宋体" w:hAnsi="宋体" w:eastAsia="宋体" w:cs="宋体"/>
          <w:color w:val="000000" w:themeColor="text1"/>
          <w:sz w:val="24"/>
          <w:szCs w:val="24"/>
          <w:lang w:val="zh-CN"/>
          <w14:textFill>
            <w14:solidFill>
              <w14:schemeClr w14:val="tx1"/>
            </w14:solidFill>
          </w14:textFill>
        </w:rPr>
        <w:t>处任</w:t>
      </w:r>
      <w:r>
        <w:rPr>
          <w:rFonts w:hint="eastAsia" w:ascii="宋体" w:hAnsi="宋体" w:eastAsia="宋体" w:cs="宋体"/>
          <w:color w:val="000000" w:themeColor="text1"/>
          <w:sz w:val="24"/>
          <w:szCs w:val="24"/>
          <w:u w:val="single"/>
          <w:lang w:val="zh-CN"/>
          <w14:textFill>
            <w14:solidFill>
              <w14:schemeClr w14:val="tx1"/>
            </w14:solidFill>
          </w14:textFill>
        </w:rPr>
        <w:t>（职务名称）</w:t>
      </w:r>
      <w:r>
        <w:rPr>
          <w:rFonts w:hint="eastAsia" w:ascii="宋体" w:hAnsi="宋体" w:eastAsia="宋体" w:cs="宋体"/>
          <w:color w:val="000000" w:themeColor="text1"/>
          <w:sz w:val="24"/>
          <w:szCs w:val="24"/>
          <w:lang w:val="zh-CN"/>
          <w14:textFill>
            <w14:solidFill>
              <w14:schemeClr w14:val="tx1"/>
            </w14:solidFill>
          </w14:textFill>
        </w:rPr>
        <w:t>职务，是（</w:t>
      </w:r>
      <w:r>
        <w:rPr>
          <w:rFonts w:hint="eastAsia" w:ascii="宋体" w:hAnsi="宋体" w:eastAsia="宋体" w:cs="宋体"/>
          <w:color w:val="000000" w:themeColor="text1"/>
          <w:sz w:val="24"/>
          <w:szCs w:val="24"/>
          <w:u w:val="single"/>
          <w:lang w:val="zh-CN"/>
          <w14:textFill>
            <w14:solidFill>
              <w14:schemeClr w14:val="tx1"/>
            </w14:solidFill>
          </w14:textFill>
        </w:rPr>
        <w:t>供应商名称）</w:t>
      </w:r>
      <w:r>
        <w:rPr>
          <w:rFonts w:hint="eastAsia" w:ascii="宋体" w:hAnsi="宋体" w:eastAsia="宋体" w:cs="宋体"/>
          <w:color w:val="000000" w:themeColor="text1"/>
          <w:sz w:val="24"/>
          <w:szCs w:val="24"/>
          <w:lang w:val="zh-CN"/>
          <w14:textFill>
            <w14:solidFill>
              <w14:schemeClr w14:val="tx1"/>
            </w14:solidFill>
          </w14:textFill>
        </w:rPr>
        <w:t>的法定代表人。</w:t>
      </w:r>
    </w:p>
    <w:p>
      <w:pPr>
        <w:spacing w:line="360" w:lineRule="auto"/>
        <w:ind w:firstLine="360" w:firstLineChars="150"/>
        <w:rPr>
          <w:rFonts w:hint="eastAsia" w:ascii="宋体" w:hAnsi="宋体" w:eastAsia="宋体" w:cs="宋体"/>
          <w:color w:val="000000" w:themeColor="text1"/>
          <w:sz w:val="24"/>
          <w:szCs w:val="24"/>
          <w:lang w:val="zh-CN"/>
          <w14:textFill>
            <w14:solidFill>
              <w14:schemeClr w14:val="tx1"/>
            </w14:solidFill>
          </w14:textFill>
        </w:rPr>
      </w:pPr>
      <w:r>
        <w:rPr>
          <w:rFonts w:hint="eastAsia" w:ascii="宋体" w:hAnsi="宋体" w:eastAsia="宋体" w:cs="宋体"/>
          <w:color w:val="000000" w:themeColor="text1"/>
          <w:sz w:val="24"/>
          <w:szCs w:val="24"/>
          <w:lang w:val="zh-CN"/>
          <w14:textFill>
            <w14:solidFill>
              <w14:schemeClr w14:val="tx1"/>
            </w14:solidFill>
          </w14:textFill>
        </w:rPr>
        <w:t>特此证明。</w:t>
      </w:r>
    </w:p>
    <w:p>
      <w:pPr>
        <w:spacing w:line="360" w:lineRule="auto"/>
        <w:ind w:firstLine="360" w:firstLineChars="150"/>
        <w:rPr>
          <w:rFonts w:hint="eastAsia" w:ascii="宋体" w:hAnsi="宋体" w:eastAsia="宋体" w:cs="宋体"/>
          <w:color w:val="000000" w:themeColor="text1"/>
          <w:sz w:val="24"/>
          <w:szCs w:val="24"/>
          <w:lang w:val="zh-CN"/>
          <w14:textFill>
            <w14:solidFill>
              <w14:schemeClr w14:val="tx1"/>
            </w14:solidFill>
          </w14:textFill>
        </w:rPr>
      </w:pPr>
    </w:p>
    <w:p>
      <w:pPr>
        <w:spacing w:line="360" w:lineRule="auto"/>
        <w:ind w:firstLine="360" w:firstLineChars="150"/>
        <w:rPr>
          <w:rFonts w:hint="eastAsia" w:ascii="宋体" w:hAnsi="宋体" w:eastAsia="宋体" w:cs="宋体"/>
          <w:color w:val="000000" w:themeColor="text1"/>
          <w:sz w:val="24"/>
          <w:szCs w:val="24"/>
          <w:lang w:val="zh-CN"/>
          <w14:textFill>
            <w14:solidFill>
              <w14:schemeClr w14:val="tx1"/>
            </w14:solidFill>
          </w14:textFill>
        </w:rPr>
      </w:pPr>
    </w:p>
    <w:p>
      <w:pPr>
        <w:spacing w:line="360" w:lineRule="auto"/>
        <w:ind w:firstLine="360" w:firstLineChars="150"/>
        <w:rPr>
          <w:rFonts w:hint="eastAsia" w:ascii="宋体" w:hAnsi="宋体" w:eastAsia="宋体" w:cs="宋体"/>
          <w:color w:val="000000" w:themeColor="text1"/>
          <w:sz w:val="24"/>
          <w:szCs w:val="24"/>
          <w:lang w:val="zh-CN"/>
          <w14:textFill>
            <w14:solidFill>
              <w14:schemeClr w14:val="tx1"/>
            </w14:solidFill>
          </w14:textFill>
        </w:rPr>
      </w:pPr>
    </w:p>
    <w:p>
      <w:pPr>
        <w:spacing w:line="360" w:lineRule="auto"/>
        <w:ind w:firstLine="360" w:firstLineChars="15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val="zh-CN"/>
          <w14:textFill>
            <w14:solidFill>
              <w14:schemeClr w14:val="tx1"/>
            </w14:solidFill>
          </w14:textFill>
        </w:rPr>
        <w:t>供应商名称：XXXX（加盖公章）</w:t>
      </w:r>
    </w:p>
    <w:p>
      <w:pPr>
        <w:spacing w:line="360" w:lineRule="auto"/>
        <w:ind w:firstLine="360" w:firstLineChars="15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日期：XX年XX月XX日</w:t>
      </w:r>
    </w:p>
    <w:p>
      <w:pPr>
        <w:spacing w:line="360" w:lineRule="auto"/>
        <w:ind w:firstLine="360" w:firstLineChars="150"/>
        <w:rPr>
          <w:rFonts w:hint="eastAsia" w:ascii="宋体" w:hAnsi="宋体" w:eastAsia="宋体" w:cs="宋体"/>
          <w:color w:val="000000" w:themeColor="text1"/>
          <w:sz w:val="24"/>
          <w:szCs w:val="24"/>
          <w14:textFill>
            <w14:solidFill>
              <w14:schemeClr w14:val="tx1"/>
            </w14:solidFill>
          </w14:textFill>
        </w:rPr>
      </w:pPr>
    </w:p>
    <w:p>
      <w:pPr>
        <w:spacing w:line="360" w:lineRule="auto"/>
        <w:ind w:firstLine="360" w:firstLineChars="150"/>
        <w:rPr>
          <w:rFonts w:hint="eastAsia" w:ascii="宋体" w:hAnsi="宋体" w:eastAsia="宋体" w:cs="宋体"/>
          <w:color w:val="000000" w:themeColor="text1"/>
          <w:sz w:val="24"/>
          <w:szCs w:val="24"/>
          <w14:textFill>
            <w14:solidFill>
              <w14:schemeClr w14:val="tx1"/>
            </w14:solidFill>
          </w14:textFill>
        </w:rPr>
      </w:pPr>
    </w:p>
    <w:p>
      <w:pPr>
        <w:spacing w:line="360" w:lineRule="auto"/>
        <w:ind w:firstLine="360" w:firstLineChars="150"/>
        <w:rPr>
          <w:rFonts w:hint="eastAsia" w:ascii="宋体" w:hAnsi="宋体" w:eastAsia="宋体" w:cs="宋体"/>
          <w:color w:val="000000" w:themeColor="text1"/>
          <w:sz w:val="24"/>
          <w:szCs w:val="24"/>
          <w14:textFill>
            <w14:solidFill>
              <w14:schemeClr w14:val="tx1"/>
            </w14:solidFill>
          </w14:textFill>
        </w:rPr>
      </w:pPr>
    </w:p>
    <w:p>
      <w:pPr>
        <w:spacing w:line="360" w:lineRule="auto"/>
        <w:ind w:firstLine="360" w:firstLineChars="150"/>
        <w:rPr>
          <w:rFonts w:hint="eastAsia" w:ascii="宋体" w:hAnsi="宋体" w:eastAsia="宋体" w:cs="宋体"/>
          <w:color w:val="000000" w:themeColor="text1"/>
          <w:sz w:val="24"/>
          <w:szCs w:val="24"/>
          <w14:textFill>
            <w14:solidFill>
              <w14:schemeClr w14:val="tx1"/>
            </w14:solidFill>
          </w14:textFill>
        </w:rPr>
      </w:pPr>
    </w:p>
    <w:p>
      <w:pPr>
        <w:spacing w:line="360" w:lineRule="auto"/>
        <w:ind w:firstLine="360" w:firstLineChars="15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val="zh-CN"/>
          <w14:textFill>
            <w14:solidFill>
              <w14:schemeClr w14:val="tx1"/>
            </w14:solidFill>
          </w14:textFill>
        </w:rPr>
        <w:t>说明：上述证明文件在资格性响应文件中附有法定代表人身份证复印件（身份证两面均应复印）或护照复印件（供应商的法定代表人为外籍人士的，则提供护照复印件）时才能生效。</w:t>
      </w:r>
    </w:p>
    <w:p>
      <w:pPr>
        <w:spacing w:line="360" w:lineRule="auto"/>
        <w:rPr>
          <w:rFonts w:hint="eastAsia" w:ascii="仿宋" w:hAnsi="仿宋" w:eastAsia="仿宋" w:cs="仿宋"/>
          <w:b/>
          <w:bCs/>
          <w:sz w:val="28"/>
          <w:szCs w:val="28"/>
        </w:rPr>
      </w:pPr>
    </w:p>
    <w:p>
      <w:pPr>
        <w:spacing w:line="360" w:lineRule="auto"/>
        <w:rPr>
          <w:rFonts w:hint="eastAsia" w:ascii="仿宋" w:hAnsi="仿宋" w:eastAsia="仿宋" w:cs="仿宋"/>
          <w:b/>
          <w:bCs/>
          <w:sz w:val="28"/>
          <w:szCs w:val="28"/>
        </w:rPr>
      </w:pPr>
    </w:p>
    <w:p>
      <w:pPr>
        <w:spacing w:line="360" w:lineRule="auto"/>
        <w:rPr>
          <w:rFonts w:hint="eastAsia" w:ascii="仿宋" w:hAnsi="仿宋" w:eastAsia="仿宋" w:cs="仿宋"/>
          <w:b/>
          <w:bCs/>
          <w:sz w:val="28"/>
          <w:szCs w:val="28"/>
        </w:rPr>
      </w:pPr>
    </w:p>
    <w:p>
      <w:pPr>
        <w:spacing w:line="360" w:lineRule="auto"/>
        <w:rPr>
          <w:rFonts w:hint="eastAsia" w:ascii="仿宋" w:hAnsi="仿宋" w:eastAsia="仿宋" w:cs="仿宋"/>
          <w:b/>
          <w:bCs/>
          <w:sz w:val="28"/>
          <w:szCs w:val="28"/>
        </w:rPr>
      </w:pPr>
    </w:p>
    <w:p>
      <w:pPr>
        <w:spacing w:line="360" w:lineRule="auto"/>
        <w:rPr>
          <w:rFonts w:hint="eastAsia" w:ascii="仿宋" w:hAnsi="仿宋" w:eastAsia="仿宋" w:cs="仿宋"/>
          <w:b/>
          <w:bCs/>
          <w:sz w:val="28"/>
          <w:szCs w:val="28"/>
        </w:rPr>
      </w:pPr>
    </w:p>
    <w:p>
      <w:pPr>
        <w:pStyle w:val="2"/>
        <w:rPr>
          <w:rFonts w:hint="eastAsia" w:ascii="仿宋" w:hAnsi="仿宋" w:eastAsia="仿宋" w:cs="仿宋"/>
          <w:b/>
          <w:bCs/>
          <w:sz w:val="28"/>
          <w:szCs w:val="28"/>
        </w:rPr>
      </w:pPr>
    </w:p>
    <w:p>
      <w:pPr>
        <w:pStyle w:val="32"/>
        <w:rPr>
          <w:rFonts w:hint="eastAsia"/>
        </w:rPr>
      </w:pPr>
    </w:p>
    <w:p>
      <w:pPr>
        <w:spacing w:line="360" w:lineRule="auto"/>
        <w:rPr>
          <w:rFonts w:hint="eastAsia" w:ascii="仿宋" w:hAnsi="仿宋" w:eastAsia="仿宋" w:cs="仿宋"/>
          <w:b/>
          <w:bCs/>
          <w:sz w:val="28"/>
          <w:szCs w:val="28"/>
        </w:rPr>
      </w:pPr>
    </w:p>
    <w:p>
      <w:pPr>
        <w:spacing w:line="360" w:lineRule="auto"/>
        <w:rPr>
          <w:rFonts w:hint="eastAsia" w:ascii="仿宋" w:hAnsi="仿宋" w:eastAsia="仿宋"/>
          <w:b/>
          <w:bCs/>
          <w:sz w:val="32"/>
          <w:szCs w:val="32"/>
          <w:lang w:eastAsia="zh-CN"/>
        </w:rPr>
      </w:pPr>
      <w:r>
        <w:rPr>
          <w:rFonts w:hint="eastAsia" w:ascii="仿宋" w:hAnsi="仿宋" w:eastAsia="仿宋" w:cs="仿宋"/>
          <w:b/>
          <w:bCs/>
          <w:sz w:val="28"/>
          <w:szCs w:val="28"/>
        </w:rPr>
        <w:t>格式1</w:t>
      </w:r>
      <w:r>
        <w:rPr>
          <w:rFonts w:ascii="仿宋" w:hAnsi="仿宋" w:eastAsia="仿宋" w:cs="仿宋"/>
          <w:b/>
          <w:bCs/>
          <w:sz w:val="28"/>
          <w:szCs w:val="28"/>
        </w:rPr>
        <w:t>-</w:t>
      </w:r>
      <w:r>
        <w:rPr>
          <w:rFonts w:hint="eastAsia" w:ascii="仿宋" w:hAnsi="仿宋" w:eastAsia="仿宋" w:cs="仿宋"/>
          <w:b/>
          <w:bCs/>
          <w:sz w:val="28"/>
          <w:szCs w:val="28"/>
          <w:lang w:val="en-US" w:eastAsia="zh-CN"/>
        </w:rPr>
        <w:t>3</w:t>
      </w:r>
    </w:p>
    <w:p>
      <w:pPr>
        <w:spacing w:line="360" w:lineRule="auto"/>
        <w:jc w:val="center"/>
        <w:rPr>
          <w:rFonts w:ascii="仿宋" w:hAnsi="仿宋" w:eastAsia="仿宋"/>
          <w:b/>
          <w:bCs/>
          <w:sz w:val="32"/>
          <w:szCs w:val="32"/>
        </w:rPr>
      </w:pPr>
      <w:bookmarkStart w:id="90" w:name="_Toc308164824"/>
      <w:r>
        <w:rPr>
          <w:rFonts w:hint="eastAsia" w:ascii="仿宋" w:hAnsi="仿宋" w:eastAsia="仿宋" w:cs="仿宋"/>
          <w:b/>
          <w:bCs/>
          <w:sz w:val="32"/>
          <w:szCs w:val="32"/>
          <w:lang w:val="en-US" w:eastAsia="zh-CN"/>
        </w:rPr>
        <w:t>二</w:t>
      </w:r>
      <w:r>
        <w:rPr>
          <w:rFonts w:hint="eastAsia" w:ascii="仿宋" w:hAnsi="仿宋" w:eastAsia="仿宋" w:cs="仿宋"/>
          <w:b/>
          <w:bCs/>
          <w:sz w:val="32"/>
          <w:szCs w:val="32"/>
        </w:rPr>
        <w:t>、法定代表人</w:t>
      </w:r>
      <w:r>
        <w:rPr>
          <w:rFonts w:ascii="仿宋" w:hAnsi="仿宋" w:eastAsia="仿宋" w:cs="仿宋"/>
          <w:b/>
          <w:bCs/>
          <w:sz w:val="32"/>
          <w:szCs w:val="32"/>
        </w:rPr>
        <w:t>/</w:t>
      </w:r>
      <w:r>
        <w:rPr>
          <w:rFonts w:hint="eastAsia" w:ascii="仿宋" w:hAnsi="仿宋" w:eastAsia="仿宋" w:cs="仿宋"/>
          <w:b/>
          <w:bCs/>
          <w:sz w:val="32"/>
          <w:szCs w:val="32"/>
        </w:rPr>
        <w:t>单位负责人授权书</w:t>
      </w:r>
    </w:p>
    <w:p>
      <w:pPr>
        <w:widowControl/>
        <w:spacing w:line="360" w:lineRule="auto"/>
        <w:ind w:firstLine="472" w:firstLineChars="196"/>
        <w:jc w:val="left"/>
        <w:outlineLvl w:val="1"/>
        <w:rPr>
          <w:rFonts w:ascii="仿宋" w:hAnsi="仿宋" w:eastAsia="仿宋"/>
          <w:b/>
          <w:bCs/>
          <w:sz w:val="24"/>
          <w:szCs w:val="24"/>
        </w:rPr>
      </w:pPr>
    </w:p>
    <w:p>
      <w:pPr>
        <w:spacing w:line="360" w:lineRule="auto"/>
        <w:ind w:firstLine="360" w:firstLineChars="150"/>
        <w:rPr>
          <w:rFonts w:ascii="宋体" w:hAnsi="宋体" w:cs="宋体"/>
          <w:color w:val="000000" w:themeColor="text1"/>
          <w:sz w:val="24"/>
          <w:szCs w:val="24"/>
          <w14:textFill>
            <w14:solidFill>
              <w14:schemeClr w14:val="tx1"/>
            </w14:solidFill>
          </w14:textFill>
        </w:rPr>
      </w:pPr>
    </w:p>
    <w:p>
      <w:pPr>
        <w:spacing w:line="360" w:lineRule="auto"/>
        <w:ind w:firstLine="360" w:firstLineChars="15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XXXXXXXX（采购人名称）：</w:t>
      </w:r>
    </w:p>
    <w:p>
      <w:pPr>
        <w:spacing w:line="360" w:lineRule="auto"/>
        <w:ind w:firstLine="360" w:firstLineChars="15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本授权声明： XXXX（供应商名称）XXXX（法定代表人/单位负责人姓名、职务）授权XXXX（被授权人姓名、职务）为我方“XXXXXXXX”项目（采购项目编号：XXXX）磋商采购活动的合法代表，以我方名义全权处理该项目有关磋商采购、签订合同以及执行合同等一切事宜。</w:t>
      </w:r>
    </w:p>
    <w:p>
      <w:pPr>
        <w:spacing w:line="360" w:lineRule="auto"/>
        <w:ind w:firstLine="360" w:firstLineChars="15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特此声明。</w:t>
      </w:r>
    </w:p>
    <w:p>
      <w:pPr>
        <w:spacing w:line="360" w:lineRule="auto"/>
        <w:ind w:firstLine="360" w:firstLineChars="150"/>
        <w:rPr>
          <w:rFonts w:ascii="宋体" w:hAnsi="宋体" w:cs="宋体"/>
          <w:color w:val="000000" w:themeColor="text1"/>
          <w:sz w:val="24"/>
          <w:szCs w:val="24"/>
          <w14:textFill>
            <w14:solidFill>
              <w14:schemeClr w14:val="tx1"/>
            </w14:solidFill>
          </w14:textFill>
        </w:rPr>
      </w:pPr>
    </w:p>
    <w:p>
      <w:pPr>
        <w:spacing w:line="360" w:lineRule="auto"/>
        <w:ind w:firstLine="360" w:firstLineChars="15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法定代表人/单位负责人（委托人）签字或加盖个人印章：XXXX</w:t>
      </w:r>
    </w:p>
    <w:p>
      <w:pPr>
        <w:spacing w:line="360" w:lineRule="auto"/>
        <w:ind w:firstLine="360" w:firstLineChars="150"/>
        <w:rPr>
          <w:rFonts w:ascii="宋体" w:hAnsi="宋体" w:cs="宋体"/>
          <w:color w:val="000000" w:themeColor="text1"/>
          <w:sz w:val="24"/>
          <w:szCs w:val="24"/>
          <w14:textFill>
            <w14:solidFill>
              <w14:schemeClr w14:val="tx1"/>
            </w14:solidFill>
          </w14:textFill>
        </w:rPr>
      </w:pPr>
    </w:p>
    <w:p>
      <w:pPr>
        <w:spacing w:line="360" w:lineRule="auto"/>
        <w:ind w:firstLine="360" w:firstLineChars="15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授权代表（被授权人）签字：XXXX</w:t>
      </w:r>
    </w:p>
    <w:p>
      <w:pPr>
        <w:spacing w:line="360" w:lineRule="auto"/>
        <w:ind w:firstLine="360" w:firstLineChars="150"/>
        <w:rPr>
          <w:rFonts w:ascii="宋体" w:hAnsi="宋体" w:cs="宋体"/>
          <w:color w:val="000000" w:themeColor="text1"/>
          <w:sz w:val="24"/>
          <w:szCs w:val="24"/>
          <w14:textFill>
            <w14:solidFill>
              <w14:schemeClr w14:val="tx1"/>
            </w14:solidFill>
          </w14:textFill>
        </w:rPr>
      </w:pPr>
    </w:p>
    <w:p>
      <w:pPr>
        <w:spacing w:line="360" w:lineRule="auto"/>
        <w:ind w:firstLine="360" w:firstLineChars="15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供应商名称：XXXX（单位盖章）</w:t>
      </w:r>
    </w:p>
    <w:p>
      <w:pPr>
        <w:spacing w:line="360" w:lineRule="auto"/>
        <w:ind w:firstLine="360" w:firstLineChars="150"/>
        <w:rPr>
          <w:rFonts w:ascii="宋体" w:hAnsi="宋体" w:cs="宋体"/>
          <w:color w:val="000000" w:themeColor="text1"/>
          <w:sz w:val="24"/>
          <w:szCs w:val="24"/>
          <w14:textFill>
            <w14:solidFill>
              <w14:schemeClr w14:val="tx1"/>
            </w14:solidFill>
          </w14:textFill>
        </w:rPr>
      </w:pPr>
    </w:p>
    <w:p>
      <w:pPr>
        <w:spacing w:line="360" w:lineRule="auto"/>
        <w:ind w:firstLine="360" w:firstLineChars="15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xml:space="preserve">日期：XXXX            </w:t>
      </w:r>
    </w:p>
    <w:p>
      <w:pPr>
        <w:spacing w:line="360" w:lineRule="auto"/>
        <w:ind w:firstLine="360" w:firstLineChars="150"/>
        <w:rPr>
          <w:rFonts w:ascii="宋体" w:hAnsi="宋体" w:cs="宋体"/>
          <w:color w:val="000000" w:themeColor="text1"/>
          <w:sz w:val="24"/>
          <w:szCs w:val="24"/>
          <w14:textFill>
            <w14:solidFill>
              <w14:schemeClr w14:val="tx1"/>
            </w14:solidFill>
          </w14:textFill>
        </w:rPr>
      </w:pPr>
      <w:bookmarkStart w:id="91" w:name="_Toc217446084"/>
    </w:p>
    <w:p>
      <w:pPr>
        <w:spacing w:line="360" w:lineRule="auto"/>
        <w:ind w:firstLine="360" w:firstLineChars="150"/>
        <w:rPr>
          <w:rFonts w:ascii="宋体" w:hAnsi="宋体" w:cs="宋体"/>
          <w:color w:val="000000" w:themeColor="text1"/>
          <w:sz w:val="24"/>
          <w:szCs w:val="24"/>
          <w14:textFill>
            <w14:solidFill>
              <w14:schemeClr w14:val="tx1"/>
            </w14:solidFill>
          </w14:textFill>
        </w:rPr>
      </w:pPr>
    </w:p>
    <w:p>
      <w:pPr>
        <w:spacing w:line="360" w:lineRule="auto"/>
        <w:ind w:firstLine="360" w:firstLineChars="15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注：</w:t>
      </w:r>
    </w:p>
    <w:p>
      <w:pPr>
        <w:spacing w:line="360" w:lineRule="auto"/>
        <w:ind w:firstLine="360" w:firstLineChars="15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1、供应商为法人单位时提供“法定代表人授权书”，供应商为其他组织时提供“单位负责人授权书”，供应商为自然人时提供“自然人身份证明材料”。</w:t>
      </w:r>
    </w:p>
    <w:p>
      <w:pPr>
        <w:spacing w:line="360" w:lineRule="auto"/>
        <w:ind w:firstLine="360" w:firstLineChars="15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2、应附法定代表人/单位负责人身份证明材料复印件和授权代表身份证明材料复印件。</w:t>
      </w:r>
    </w:p>
    <w:p>
      <w:pPr>
        <w:spacing w:line="360" w:lineRule="auto"/>
        <w:ind w:firstLine="360" w:firstLineChars="15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3、身份证明材料包括居民身份证或户口本或军官证或护照等。</w:t>
      </w:r>
    </w:p>
    <w:p>
      <w:pPr>
        <w:spacing w:line="360" w:lineRule="auto"/>
        <w:ind w:firstLine="360" w:firstLineChars="150"/>
        <w:rPr>
          <w:rFonts w:ascii="仿宋" w:hAnsi="仿宋" w:eastAsia="仿宋" w:cs="仿宋"/>
          <w:b/>
          <w:bCs/>
          <w:sz w:val="32"/>
          <w:szCs w:val="32"/>
        </w:rPr>
      </w:pPr>
      <w:r>
        <w:rPr>
          <w:rFonts w:hint="eastAsia" w:ascii="宋体" w:hAnsi="宋体" w:cs="宋体"/>
          <w:color w:val="000000" w:themeColor="text1"/>
          <w:sz w:val="24"/>
          <w:szCs w:val="24"/>
          <w14:textFill>
            <w14:solidFill>
              <w14:schemeClr w14:val="tx1"/>
            </w14:solidFill>
          </w14:textFill>
        </w:rPr>
        <w:t>4、身份证明材料应同时提供其在有效期的材料，如居民身份证正、反面复印件。</w:t>
      </w:r>
      <w:bookmarkEnd w:id="91"/>
    </w:p>
    <w:p>
      <w:pPr>
        <w:spacing w:line="360" w:lineRule="auto"/>
        <w:jc w:val="left"/>
        <w:rPr>
          <w:rFonts w:hint="eastAsia" w:ascii="仿宋" w:hAnsi="仿宋" w:eastAsia="仿宋" w:cs="仿宋"/>
          <w:b/>
          <w:bCs/>
          <w:sz w:val="28"/>
          <w:szCs w:val="28"/>
          <w:lang w:eastAsia="zh-CN"/>
        </w:rPr>
      </w:pPr>
      <w:r>
        <w:rPr>
          <w:rFonts w:hint="eastAsia" w:ascii="仿宋" w:hAnsi="仿宋" w:eastAsia="仿宋" w:cs="仿宋"/>
          <w:b/>
          <w:bCs/>
          <w:sz w:val="28"/>
          <w:szCs w:val="28"/>
        </w:rPr>
        <w:t>格式1</w:t>
      </w:r>
      <w:r>
        <w:rPr>
          <w:rFonts w:ascii="仿宋" w:hAnsi="仿宋" w:eastAsia="仿宋" w:cs="仿宋"/>
          <w:b/>
          <w:bCs/>
          <w:sz w:val="28"/>
          <w:szCs w:val="28"/>
        </w:rPr>
        <w:t>-</w:t>
      </w:r>
      <w:r>
        <w:rPr>
          <w:rFonts w:hint="eastAsia" w:ascii="仿宋" w:hAnsi="仿宋" w:eastAsia="仿宋" w:cs="仿宋"/>
          <w:b/>
          <w:bCs/>
          <w:sz w:val="28"/>
          <w:szCs w:val="28"/>
          <w:lang w:val="en-US" w:eastAsia="zh-CN"/>
        </w:rPr>
        <w:t>4</w:t>
      </w:r>
    </w:p>
    <w:p>
      <w:pPr>
        <w:spacing w:line="360" w:lineRule="auto"/>
        <w:jc w:val="center"/>
        <w:rPr>
          <w:rFonts w:ascii="仿宋" w:hAnsi="仿宋" w:eastAsia="仿宋"/>
          <w:b/>
          <w:bCs/>
          <w:sz w:val="32"/>
          <w:szCs w:val="32"/>
        </w:rPr>
      </w:pPr>
      <w:r>
        <w:rPr>
          <w:rFonts w:hint="eastAsia" w:ascii="仿宋" w:hAnsi="仿宋" w:eastAsia="仿宋" w:cs="仿宋"/>
          <w:b/>
          <w:bCs/>
          <w:sz w:val="32"/>
          <w:szCs w:val="32"/>
          <w:lang w:val="en-US" w:eastAsia="zh-CN"/>
        </w:rPr>
        <w:t>三</w:t>
      </w:r>
      <w:r>
        <w:rPr>
          <w:rFonts w:hint="eastAsia" w:ascii="仿宋" w:hAnsi="仿宋" w:eastAsia="仿宋" w:cs="仿宋"/>
          <w:b/>
          <w:bCs/>
          <w:sz w:val="32"/>
          <w:szCs w:val="32"/>
        </w:rPr>
        <w:t>、报价函</w:t>
      </w:r>
    </w:p>
    <w:p>
      <w:pPr>
        <w:spacing w:line="360" w:lineRule="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u w:val="single"/>
          <w14:textFill>
            <w14:solidFill>
              <w14:schemeClr w14:val="tx1"/>
            </w14:solidFill>
          </w14:textFill>
        </w:rPr>
        <w:t>XXXXXXX</w:t>
      </w:r>
      <w:r>
        <w:rPr>
          <w:rFonts w:hint="eastAsia" w:ascii="宋体" w:hAnsi="宋体" w:cs="宋体"/>
          <w:color w:val="000000" w:themeColor="text1"/>
          <w:sz w:val="24"/>
          <w:szCs w:val="24"/>
          <w14:textFill>
            <w14:solidFill>
              <w14:schemeClr w14:val="tx1"/>
            </w14:solidFill>
          </w14:textFill>
        </w:rPr>
        <w:t xml:space="preserve">（采购代理机构名称）: </w:t>
      </w:r>
    </w:p>
    <w:p>
      <w:pPr>
        <w:pStyle w:val="86"/>
        <w:tabs>
          <w:tab w:val="left" w:pos="227"/>
        </w:tabs>
        <w:spacing w:line="360" w:lineRule="auto"/>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1.我方己仔细研究了（项目名称）磋商文件的全部内容，愿意以人民币（大写）</w:t>
      </w:r>
      <w:r>
        <w:rPr>
          <w:rFonts w:hint="eastAsia" w:ascii="宋体" w:hAnsi="宋体" w:cs="宋体"/>
          <w:color w:val="000000" w:themeColor="text1"/>
          <w:u w:val="single"/>
          <w14:textFill>
            <w14:solidFill>
              <w14:schemeClr w14:val="tx1"/>
            </w14:solidFill>
          </w14:textFill>
        </w:rPr>
        <w:t>XX</w:t>
      </w:r>
      <w:r>
        <w:rPr>
          <w:rFonts w:hint="eastAsia" w:ascii="宋体" w:hAnsi="宋体" w:cs="宋体"/>
          <w:color w:val="000000" w:themeColor="text1"/>
          <w14:textFill>
            <w14:solidFill>
              <w14:schemeClr w14:val="tx1"/>
            </w14:solidFill>
          </w14:textFill>
        </w:rPr>
        <w:t>（￥）的总报价，工期</w:t>
      </w:r>
      <w:r>
        <w:rPr>
          <w:rFonts w:hint="eastAsia" w:ascii="宋体" w:hAnsi="宋体" w:cs="宋体"/>
          <w:color w:val="000000" w:themeColor="text1"/>
          <w:u w:val="single"/>
          <w14:textFill>
            <w14:solidFill>
              <w14:schemeClr w14:val="tx1"/>
            </w14:solidFill>
          </w14:textFill>
        </w:rPr>
        <w:t xml:space="preserve"> XX </w:t>
      </w:r>
      <w:r>
        <w:rPr>
          <w:rFonts w:hint="eastAsia" w:ascii="宋体" w:hAnsi="宋体" w:cs="宋体"/>
          <w:color w:val="000000" w:themeColor="text1"/>
          <w14:textFill>
            <w14:solidFill>
              <w14:schemeClr w14:val="tx1"/>
            </w14:solidFill>
          </w14:textFill>
        </w:rPr>
        <w:t>日历天，按合同约定实施和完成承包工程，修补工程中的任何缺陷，工程质量达到规定要求标准。</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2．我方承诺在响应文件有效期天内不修改、撤销响应文件。</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3．如我方成交：</w:t>
      </w:r>
    </w:p>
    <w:p>
      <w:pPr>
        <w:spacing w:line="360" w:lineRule="auto"/>
        <w:ind w:firstLine="360" w:firstLineChars="15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(l）我方承诺在收到成交通知书后，在规定的期限内与采购人签订合同。</w:t>
      </w:r>
    </w:p>
    <w:p>
      <w:pPr>
        <w:spacing w:line="360" w:lineRule="auto"/>
        <w:ind w:firstLine="240" w:firstLineChars="1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（2）我方承诺按照磋商文件规定的金额和方式向采购人缴纳履约保证金。</w:t>
      </w:r>
    </w:p>
    <w:p>
      <w:pPr>
        <w:spacing w:line="360" w:lineRule="auto"/>
        <w:ind w:firstLine="240" w:firstLineChars="1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（3）我方将严格履行政府采购合同规定的责任和义务。</w:t>
      </w:r>
    </w:p>
    <w:p>
      <w:pPr>
        <w:spacing w:line="360" w:lineRule="auto"/>
        <w:ind w:firstLine="240" w:firstLineChars="1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（4）我方同意本磋商文件依据《四川省政府采购当事人诚信管理办法》（川财采〔2015〕33号文件）对我方可能存在的失信行为进行惩戒。</w:t>
      </w:r>
    </w:p>
    <w:p>
      <w:pPr>
        <w:spacing w:line="360" w:lineRule="auto"/>
        <w:ind w:firstLine="240" w:firstLineChars="1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（5）我方愿意提供贵单位可能另外要求的，与磋商报价有关的文件资料，并保证我方已提供和将要提供的文件资料是真实、准确的。</w:t>
      </w:r>
    </w:p>
    <w:p>
      <w:pPr>
        <w:spacing w:line="360" w:lineRule="auto"/>
        <w:ind w:firstLine="240" w:firstLineChars="1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（6）我方自愿按照磋商文件规定的各项要求完成工程建设项目，最后报价以《最后报价表》为准，接受采购人按照政府采购合同约定金额支付采购资金。</w:t>
      </w:r>
    </w:p>
    <w:p>
      <w:pPr>
        <w:spacing w:line="360" w:lineRule="auto"/>
        <w:ind w:firstLine="240" w:firstLineChars="1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（7）（其他补充说明）。</w:t>
      </w:r>
    </w:p>
    <w:p>
      <w:pPr>
        <w:adjustRightInd w:val="0"/>
        <w:spacing w:line="360" w:lineRule="auto"/>
        <w:ind w:firstLine="480" w:firstLineChars="200"/>
        <w:jc w:val="left"/>
        <w:rPr>
          <w:rFonts w:ascii="宋体" w:hAnsi="宋体" w:cs="宋体"/>
          <w:color w:val="000000" w:themeColor="text1"/>
          <w:sz w:val="24"/>
          <w:szCs w:val="24"/>
          <w14:textFill>
            <w14:solidFill>
              <w14:schemeClr w14:val="tx1"/>
            </w14:solidFill>
          </w14:textFill>
        </w:rPr>
      </w:pPr>
    </w:p>
    <w:p>
      <w:pPr>
        <w:adjustRightInd w:val="0"/>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供应商名称：XXX（盖单位公章）</w:t>
      </w:r>
    </w:p>
    <w:p>
      <w:pPr>
        <w:spacing w:line="360" w:lineRule="auto"/>
        <w:ind w:firstLine="470" w:firstLineChars="196"/>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法定代表人/单位负责人或授权代表（签字或加盖个人印章）：XXX</w:t>
      </w:r>
    </w:p>
    <w:p>
      <w:pPr>
        <w:spacing w:line="360" w:lineRule="auto"/>
        <w:ind w:firstLine="470" w:firstLineChars="196"/>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通讯地址：XXX</w:t>
      </w:r>
    </w:p>
    <w:p>
      <w:pPr>
        <w:spacing w:line="360" w:lineRule="auto"/>
        <w:ind w:firstLine="470" w:firstLineChars="196"/>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邮政编码：XXX</w:t>
      </w:r>
    </w:p>
    <w:p>
      <w:pPr>
        <w:spacing w:line="360" w:lineRule="auto"/>
        <w:ind w:firstLine="470" w:firstLineChars="196"/>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联系电话：XXX</w:t>
      </w:r>
    </w:p>
    <w:p>
      <w:pPr>
        <w:spacing w:line="360" w:lineRule="auto"/>
        <w:ind w:firstLine="470" w:firstLineChars="196"/>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传真：XXX</w:t>
      </w:r>
    </w:p>
    <w:p>
      <w:pPr>
        <w:ind w:firstLine="480" w:firstLineChars="200"/>
        <w:rPr>
          <w:rFonts w:hint="eastAsia" w:ascii="仿宋" w:hAnsi="仿宋" w:eastAsia="仿宋" w:cs="仿宋"/>
          <w:b/>
          <w:bCs/>
          <w:sz w:val="32"/>
          <w:szCs w:val="32"/>
          <w:lang w:eastAsia="zh-CN"/>
        </w:rPr>
      </w:pPr>
      <w:r>
        <w:rPr>
          <w:rFonts w:hint="eastAsia" w:ascii="宋体" w:hAnsi="宋体" w:cs="宋体"/>
          <w:color w:val="000000" w:themeColor="text1"/>
          <w:sz w:val="24"/>
          <w:szCs w:val="24"/>
          <w14:textFill>
            <w14:solidFill>
              <w14:schemeClr w14:val="tx1"/>
            </w14:solidFill>
          </w14:textFill>
        </w:rPr>
        <w:t>日期：XXX年XXX月XXX日</w:t>
      </w:r>
      <w:r>
        <w:rPr>
          <w:rFonts w:hint="eastAsia" w:ascii="宋体" w:hAnsi="宋体" w:cs="宋体"/>
          <w:b/>
          <w:bCs/>
          <w:color w:val="000000" w:themeColor="text1"/>
          <w:sz w:val="24"/>
          <w:szCs w:val="24"/>
          <w14:textFill>
            <w14:solidFill>
              <w14:schemeClr w14:val="tx1"/>
            </w14:solidFill>
          </w14:textFill>
        </w:rPr>
        <w:br w:type="page"/>
      </w:r>
      <w:r>
        <w:rPr>
          <w:rFonts w:hint="eastAsia" w:ascii="仿宋" w:hAnsi="仿宋" w:eastAsia="仿宋" w:cs="仿宋"/>
          <w:b/>
          <w:bCs/>
          <w:sz w:val="32"/>
          <w:szCs w:val="32"/>
        </w:rPr>
        <w:t>格式1</w:t>
      </w:r>
      <w:r>
        <w:rPr>
          <w:rFonts w:ascii="仿宋" w:hAnsi="仿宋" w:eastAsia="仿宋" w:cs="仿宋"/>
          <w:b/>
          <w:bCs/>
          <w:sz w:val="32"/>
          <w:szCs w:val="32"/>
        </w:rPr>
        <w:t>-</w:t>
      </w:r>
      <w:r>
        <w:rPr>
          <w:rFonts w:hint="eastAsia" w:ascii="仿宋" w:hAnsi="仿宋" w:eastAsia="仿宋" w:cs="仿宋"/>
          <w:b/>
          <w:bCs/>
          <w:sz w:val="32"/>
          <w:szCs w:val="32"/>
          <w:lang w:val="en-US" w:eastAsia="zh-CN"/>
        </w:rPr>
        <w:t>5</w:t>
      </w:r>
    </w:p>
    <w:p>
      <w:pPr>
        <w:widowControl/>
        <w:jc w:val="center"/>
        <w:outlineLvl w:val="1"/>
        <w:rPr>
          <w:rFonts w:ascii="仿宋" w:hAnsi="仿宋" w:eastAsia="仿宋"/>
          <w:b/>
          <w:bCs/>
          <w:sz w:val="32"/>
          <w:szCs w:val="32"/>
        </w:rPr>
      </w:pPr>
      <w:r>
        <w:rPr>
          <w:rFonts w:hint="eastAsia" w:ascii="仿宋" w:hAnsi="仿宋" w:eastAsia="仿宋" w:cs="仿宋"/>
          <w:b/>
          <w:bCs/>
          <w:sz w:val="32"/>
          <w:szCs w:val="32"/>
          <w:lang w:val="en-US" w:eastAsia="zh-CN"/>
        </w:rPr>
        <w:t>四</w:t>
      </w:r>
      <w:r>
        <w:rPr>
          <w:rFonts w:hint="eastAsia" w:ascii="仿宋" w:hAnsi="仿宋" w:eastAsia="仿宋" w:cs="仿宋"/>
          <w:b/>
          <w:bCs/>
          <w:sz w:val="32"/>
          <w:szCs w:val="32"/>
        </w:rPr>
        <w:t>、承诺函（实质性要求）</w:t>
      </w:r>
    </w:p>
    <w:p>
      <w:pPr>
        <w:widowControl/>
        <w:jc w:val="center"/>
        <w:outlineLvl w:val="1"/>
        <w:rPr>
          <w:rFonts w:ascii="仿宋" w:hAnsi="仿宋" w:eastAsia="仿宋"/>
          <w:b/>
          <w:bCs/>
          <w:sz w:val="24"/>
          <w:szCs w:val="24"/>
        </w:rPr>
      </w:pPr>
    </w:p>
    <w:p>
      <w:pPr>
        <w:spacing w:line="440" w:lineRule="exact"/>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XXX（采购代理机构名称）：</w:t>
      </w:r>
    </w:p>
    <w:p>
      <w:pPr>
        <w:spacing w:line="440" w:lineRule="exact"/>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我方作为本次采购项目的供应商，根据磋商文件要求，现郑重承诺如下：</w:t>
      </w:r>
    </w:p>
    <w:p>
      <w:pPr>
        <w:spacing w:line="440" w:lineRule="exact"/>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一、我方已认真阅读并接受本项目磋商文件的全部实质性要求。</w:t>
      </w:r>
    </w:p>
    <w:p>
      <w:pPr>
        <w:spacing w:line="440" w:lineRule="exact"/>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二、在参加本次采购活动中，不存在与单位负责人为同一人或者存在直接控股、管理关系的其他供应商参与同一合同项下的政府采购活动的行为。</w:t>
      </w:r>
    </w:p>
    <w:p>
      <w:pPr>
        <w:spacing w:line="440" w:lineRule="exact"/>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三、为采购项目提供整体设计、规范编制或者项目管理、监理、检测等服务的供应商，不得再参加该采购项目的其他采购活动，我方承诺不属于此类禁止参加本项目的供应商。</w:t>
      </w:r>
    </w:p>
    <w:p>
      <w:pPr>
        <w:spacing w:line="440" w:lineRule="exact"/>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四、在参加本次采购活动中，不存在和其他供应商在同一合同项下的采购项目中，同时委托同一个自然人、同一家庭的人员、同一单位的人员作为代理人的行为。</w:t>
      </w:r>
    </w:p>
    <w:p>
      <w:pPr>
        <w:spacing w:line="440" w:lineRule="exact"/>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五、我方实际控制人或者中高级管理人员或者其他工作人员，不存在同时是采购代理机构工作人员的情形。</w:t>
      </w:r>
    </w:p>
    <w:p>
      <w:pPr>
        <w:spacing w:line="440" w:lineRule="exact"/>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六、不存在同一母公司的两家以上的子公司，以不同供应商身份同时参加本项目同一合同项下的采购活动的情形。</w:t>
      </w:r>
    </w:p>
    <w:p>
      <w:pPr>
        <w:spacing w:line="440" w:lineRule="exact"/>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七、我方与采购代理机构不存在关联关系，也不是采购代理机构的母公司或子公司。</w:t>
      </w:r>
    </w:p>
    <w:p>
      <w:pPr>
        <w:spacing w:line="440" w:lineRule="exact"/>
        <w:ind w:firstLine="480" w:firstLineChars="200"/>
        <w:rPr>
          <w:rFonts w:hint="eastAsia"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八、截至响应文件递交截止日未被列入失信被执行人、重大税收违法案件当事人名单、政府采购严重违法失信行为记录名单。如果有《四川省政府采购当事人诚信管理办法》（川财采[2015]33号）规定的记入诚信档案的失信行为，将在响应文件中全面如实反映。</w:t>
      </w:r>
    </w:p>
    <w:p>
      <w:pPr>
        <w:spacing w:line="440" w:lineRule="exact"/>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九、响应文件中提供的任何资料和技术、服务、商务等响应承诺情况都是真实的、有效的、合法的。</w:t>
      </w:r>
    </w:p>
    <w:p>
      <w:pPr>
        <w:spacing w:line="440" w:lineRule="exact"/>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十、如本项目磋商采购过程中需要提供样品，则我方提供的样品即为成交后将要提供的成交产品，我方对提供样品的性能和质量负责，因样品存在缺陷或者不符合磋商文件要求导致未能成交的，我方愿意承担相应不利后果。</w:t>
      </w:r>
    </w:p>
    <w:p>
      <w:pPr>
        <w:spacing w:line="440" w:lineRule="exact"/>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十一、国家或行业主管部门对工程项目的技术标准、质量标准和资格资质条件等有强制性规定的，我方承诺符合其要求。</w:t>
      </w:r>
    </w:p>
    <w:p>
      <w:pPr>
        <w:spacing w:line="440" w:lineRule="exact"/>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十二、参加本次采购活动，我方完全同意磋商文件第二章关于“磋商费用”、“合同分包”、“合同转包”、“履约保证金”的实质性要求，并承诺严格按照磋商文件要求履行。</w:t>
      </w:r>
    </w:p>
    <w:p>
      <w:pPr>
        <w:spacing w:line="440" w:lineRule="exact"/>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十三、我方保证在本项目使用的任何技术、产品和服务（包括部分使用）时，不会产生因第三方提出侵犯其专利权、商标权或其它知识产权而引起的法律和经济纠纷，如因专利权、商标权或其它知识产权而引起法律和经济纠纷，由我方承担所有相关责任。除非磋商文件特别规定，采购人享有本项目实施过程中产生的知识成果及知识产权。如我方在采购项目实施过程中采用自有或者第三方知识成果的，使用该知识成果后，我方承诺提供开发接口和开发手册等技术资料，并提供无限期支持，采购人享有使用权（含采购人委托第三方在该项目后续开发的使用权）。如我方在项目实施过程中采用非自有的知识产权，则在报价中已包括合法获取该知识产权的相关费用。</w:t>
      </w:r>
    </w:p>
    <w:p>
      <w:pPr>
        <w:spacing w:line="440" w:lineRule="exact"/>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十四、与我方存在直接控股关系的单位为：XXX；存在管理关系单位为：XXX。</w:t>
      </w:r>
    </w:p>
    <w:p>
      <w:pPr>
        <w:spacing w:line="440" w:lineRule="exact"/>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十五、</w:t>
      </w:r>
      <w:r>
        <w:rPr>
          <w:rFonts w:hint="eastAsia" w:ascii="宋体" w:hAnsi="宋体"/>
          <w:color w:val="000000" w:themeColor="text1"/>
          <w:sz w:val="24"/>
          <w14:textFill>
            <w14:solidFill>
              <w14:schemeClr w14:val="tx1"/>
            </w14:solidFill>
          </w14:textFill>
        </w:rPr>
        <w:t>我方承诺在本项目履约期间，严格执行《保障农民工工资支付条例》的相关规定，项目履约期间的引发的劳资纠纷责任，由我方自行承担，采购人不承担任何责任。</w:t>
      </w:r>
      <w:r>
        <w:rPr>
          <w:rFonts w:hint="eastAsia" w:ascii="宋体" w:hAnsi="宋体" w:cs="宋体"/>
          <w:color w:val="000000" w:themeColor="text1"/>
          <w:sz w:val="24"/>
          <w:szCs w:val="24"/>
          <w14:textFill>
            <w14:solidFill>
              <w14:schemeClr w14:val="tx1"/>
            </w14:solidFill>
          </w14:textFill>
        </w:rPr>
        <w:t xml:space="preserve"> </w:t>
      </w:r>
    </w:p>
    <w:p>
      <w:pPr>
        <w:spacing w:line="440" w:lineRule="exact"/>
        <w:ind w:firstLine="480" w:firstLineChars="200"/>
        <w:rPr>
          <w:rFonts w:hint="eastAsia"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xml:space="preserve">十六、我方同意本次磋商的有效期为60日历天 。  </w:t>
      </w:r>
    </w:p>
    <w:p>
      <w:pPr>
        <w:spacing w:line="440" w:lineRule="exact"/>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我方对上述承诺的内容事项真实性负责。如经查实上述承诺的内容事项存在虚假，我方愿意接受以提供虚假材料谋取成交的法律责任。</w:t>
      </w:r>
    </w:p>
    <w:p>
      <w:pPr>
        <w:spacing w:line="440" w:lineRule="exact"/>
        <w:ind w:firstLine="480" w:firstLineChars="200"/>
        <w:rPr>
          <w:rFonts w:ascii="宋体" w:hAnsi="宋体" w:cs="宋体"/>
          <w:color w:val="000000" w:themeColor="text1"/>
          <w:sz w:val="24"/>
          <w:szCs w:val="24"/>
          <w14:textFill>
            <w14:solidFill>
              <w14:schemeClr w14:val="tx1"/>
            </w14:solidFill>
          </w14:textFill>
        </w:rPr>
      </w:pPr>
    </w:p>
    <w:p>
      <w:pPr>
        <w:spacing w:line="440" w:lineRule="exact"/>
        <w:ind w:firstLine="480" w:firstLineChars="200"/>
        <w:rPr>
          <w:rFonts w:ascii="宋体" w:hAnsi="宋体" w:cs="宋体"/>
          <w:color w:val="000000" w:themeColor="text1"/>
          <w:sz w:val="24"/>
          <w:szCs w:val="24"/>
          <w14:textFill>
            <w14:solidFill>
              <w14:schemeClr w14:val="tx1"/>
            </w14:solidFill>
          </w14:textFill>
        </w:rPr>
      </w:pPr>
    </w:p>
    <w:p>
      <w:pPr>
        <w:spacing w:line="440" w:lineRule="exact"/>
        <w:ind w:firstLine="480" w:firstLineChars="200"/>
        <w:rPr>
          <w:rFonts w:ascii="宋体" w:hAnsi="宋体" w:cs="宋体"/>
          <w:color w:val="000000" w:themeColor="text1"/>
          <w:sz w:val="24"/>
          <w:szCs w:val="24"/>
          <w14:textFill>
            <w14:solidFill>
              <w14:schemeClr w14:val="tx1"/>
            </w14:solidFill>
          </w14:textFill>
        </w:rPr>
      </w:pPr>
    </w:p>
    <w:p>
      <w:pPr>
        <w:spacing w:line="360" w:lineRule="auto"/>
        <w:ind w:firstLine="470" w:firstLineChars="196"/>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法定代表人/单位负责人或授权代表（签字或加盖个人印章）：XXX</w:t>
      </w:r>
    </w:p>
    <w:p>
      <w:pPr>
        <w:spacing w:line="440" w:lineRule="exact"/>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供应商名称：XXXX（盖章）</w:t>
      </w:r>
    </w:p>
    <w:p>
      <w:pPr>
        <w:spacing w:line="440" w:lineRule="exact"/>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日期：XXX年XXX月XXX日</w:t>
      </w:r>
    </w:p>
    <w:p>
      <w:pPr>
        <w:spacing w:line="360" w:lineRule="auto"/>
        <w:ind w:firstLine="480" w:firstLineChars="200"/>
        <w:rPr>
          <w:rFonts w:ascii="仿宋" w:hAnsi="仿宋" w:eastAsia="仿宋"/>
          <w:sz w:val="24"/>
          <w:szCs w:val="24"/>
        </w:rPr>
      </w:pPr>
    </w:p>
    <w:p>
      <w:pPr>
        <w:spacing w:line="360" w:lineRule="auto"/>
        <w:rPr>
          <w:rFonts w:hint="eastAsia" w:ascii="仿宋" w:hAnsi="仿宋" w:eastAsia="仿宋"/>
          <w:b/>
          <w:bCs/>
          <w:sz w:val="32"/>
          <w:szCs w:val="32"/>
          <w:lang w:eastAsia="zh-CN"/>
        </w:rPr>
      </w:pPr>
      <w:r>
        <w:rPr>
          <w:rFonts w:ascii="仿宋" w:hAnsi="仿宋" w:eastAsia="仿宋"/>
          <w:b/>
          <w:bCs/>
          <w:sz w:val="32"/>
          <w:szCs w:val="32"/>
        </w:rPr>
        <w:br w:type="page"/>
      </w:r>
      <w:bookmarkEnd w:id="90"/>
      <w:bookmarkStart w:id="92" w:name="_Toc217446087"/>
      <w:r>
        <w:rPr>
          <w:rFonts w:hint="eastAsia" w:ascii="仿宋" w:hAnsi="仿宋" w:eastAsia="仿宋" w:cs="仿宋"/>
          <w:b/>
          <w:bCs/>
          <w:sz w:val="28"/>
          <w:szCs w:val="28"/>
        </w:rPr>
        <w:t>格式1</w:t>
      </w:r>
      <w:r>
        <w:rPr>
          <w:rFonts w:ascii="仿宋" w:hAnsi="仿宋" w:eastAsia="仿宋" w:cs="仿宋"/>
          <w:b/>
          <w:bCs/>
          <w:sz w:val="28"/>
          <w:szCs w:val="28"/>
        </w:rPr>
        <w:t>-</w:t>
      </w:r>
      <w:r>
        <w:rPr>
          <w:rFonts w:hint="eastAsia" w:ascii="仿宋" w:hAnsi="仿宋" w:eastAsia="仿宋" w:cs="仿宋"/>
          <w:b/>
          <w:bCs/>
          <w:sz w:val="28"/>
          <w:szCs w:val="28"/>
          <w:lang w:val="en-US" w:eastAsia="zh-CN"/>
        </w:rPr>
        <w:t>6</w:t>
      </w:r>
    </w:p>
    <w:p>
      <w:pPr>
        <w:widowControl/>
        <w:spacing w:line="360" w:lineRule="auto"/>
        <w:jc w:val="center"/>
        <w:outlineLvl w:val="1"/>
        <w:rPr>
          <w:rFonts w:ascii="仿宋" w:hAnsi="仿宋" w:eastAsia="仿宋"/>
          <w:b/>
          <w:bCs/>
          <w:sz w:val="32"/>
          <w:szCs w:val="32"/>
        </w:rPr>
      </w:pPr>
    </w:p>
    <w:p>
      <w:pPr>
        <w:spacing w:line="360" w:lineRule="auto"/>
        <w:jc w:val="center"/>
        <w:rPr>
          <w:rFonts w:ascii="仿宋" w:hAnsi="仿宋" w:eastAsia="仿宋"/>
          <w:b/>
          <w:bCs/>
          <w:sz w:val="32"/>
          <w:szCs w:val="32"/>
        </w:rPr>
      </w:pPr>
      <w:r>
        <w:rPr>
          <w:rFonts w:hint="eastAsia" w:ascii="仿宋" w:hAnsi="仿宋" w:eastAsia="仿宋" w:cs="仿宋"/>
          <w:b/>
          <w:bCs/>
          <w:sz w:val="32"/>
          <w:szCs w:val="32"/>
          <w:lang w:val="en-US" w:eastAsia="zh-CN"/>
        </w:rPr>
        <w:t>五</w:t>
      </w:r>
      <w:r>
        <w:rPr>
          <w:rFonts w:hint="eastAsia" w:ascii="仿宋" w:hAnsi="仿宋" w:eastAsia="仿宋" w:cs="仿宋"/>
          <w:b/>
          <w:bCs/>
          <w:sz w:val="32"/>
          <w:szCs w:val="32"/>
        </w:rPr>
        <w:t>、已标价工程量清单、施工组织设计（实施方案）</w:t>
      </w:r>
    </w:p>
    <w:p>
      <w:pPr>
        <w:widowControl/>
        <w:spacing w:line="360" w:lineRule="auto"/>
        <w:jc w:val="center"/>
        <w:outlineLvl w:val="1"/>
        <w:rPr>
          <w:rFonts w:ascii="仿宋" w:hAnsi="仿宋" w:eastAsia="仿宋"/>
          <w:b/>
          <w:bCs/>
          <w:sz w:val="32"/>
          <w:szCs w:val="32"/>
        </w:rPr>
      </w:pPr>
    </w:p>
    <w:p>
      <w:pPr>
        <w:pStyle w:val="86"/>
        <w:widowControl/>
        <w:numPr>
          <w:ilvl w:val="0"/>
          <w:numId w:val="1"/>
        </w:numPr>
        <w:spacing w:line="360" w:lineRule="auto"/>
        <w:ind w:firstLineChars="0"/>
        <w:outlineLvl w:val="1"/>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已标价工程量清单相关要求详见磋商文件“第二章磋商须知”第15条关于报价的相关要求以及工程量清单总说明的相关要求。</w:t>
      </w:r>
    </w:p>
    <w:p>
      <w:pPr>
        <w:pStyle w:val="86"/>
        <w:widowControl/>
        <w:numPr>
          <w:ilvl w:val="0"/>
          <w:numId w:val="1"/>
        </w:numPr>
        <w:spacing w:line="360" w:lineRule="auto"/>
        <w:ind w:firstLineChars="0"/>
        <w:outlineLvl w:val="1"/>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施工组织设计（实施方案）格式及内容自拟。</w:t>
      </w:r>
    </w:p>
    <w:p>
      <w:pPr>
        <w:widowControl/>
        <w:spacing w:line="360" w:lineRule="auto"/>
        <w:outlineLvl w:val="1"/>
        <w:rPr>
          <w:rFonts w:hint="eastAsia" w:ascii="仿宋" w:hAnsi="仿宋" w:eastAsia="仿宋"/>
          <w:sz w:val="24"/>
          <w:szCs w:val="24"/>
          <w:lang w:eastAsia="zh-CN"/>
        </w:rPr>
      </w:pPr>
      <w:r>
        <w:rPr>
          <w:rFonts w:hint="eastAsia" w:ascii="宋体" w:hAnsi="宋体" w:cs="宋体"/>
          <w:color w:val="000000" w:themeColor="text1"/>
          <w:sz w:val="24"/>
          <w:szCs w:val="24"/>
          <w14:textFill>
            <w14:solidFill>
              <w14:schemeClr w14:val="tx1"/>
            </w14:solidFill>
          </w14:textFill>
        </w:rPr>
        <w:br w:type="page"/>
      </w:r>
      <w:r>
        <w:rPr>
          <w:rFonts w:hint="eastAsia" w:ascii="仿宋" w:hAnsi="仿宋" w:eastAsia="仿宋" w:cs="仿宋"/>
          <w:b/>
          <w:bCs/>
          <w:sz w:val="28"/>
          <w:szCs w:val="28"/>
        </w:rPr>
        <w:t>格式1</w:t>
      </w:r>
      <w:r>
        <w:rPr>
          <w:rFonts w:ascii="仿宋" w:hAnsi="仿宋" w:eastAsia="仿宋" w:cs="仿宋"/>
          <w:b/>
          <w:bCs/>
          <w:sz w:val="28"/>
          <w:szCs w:val="28"/>
        </w:rPr>
        <w:t>-</w:t>
      </w:r>
      <w:r>
        <w:rPr>
          <w:rFonts w:hint="eastAsia" w:ascii="仿宋" w:hAnsi="仿宋" w:eastAsia="仿宋" w:cs="仿宋"/>
          <w:b/>
          <w:bCs/>
          <w:sz w:val="28"/>
          <w:szCs w:val="28"/>
          <w:lang w:val="en-US" w:eastAsia="zh-CN"/>
        </w:rPr>
        <w:t>7</w:t>
      </w:r>
    </w:p>
    <w:p>
      <w:pPr>
        <w:spacing w:line="360" w:lineRule="auto"/>
        <w:jc w:val="center"/>
        <w:rPr>
          <w:rFonts w:ascii="仿宋" w:hAnsi="仿宋" w:eastAsia="仿宋"/>
          <w:b/>
          <w:bCs/>
          <w:sz w:val="32"/>
          <w:szCs w:val="32"/>
        </w:rPr>
      </w:pPr>
      <w:r>
        <w:rPr>
          <w:rFonts w:hint="eastAsia" w:ascii="仿宋" w:hAnsi="仿宋" w:eastAsia="仿宋" w:cs="仿宋"/>
          <w:b/>
          <w:bCs/>
          <w:sz w:val="32"/>
          <w:szCs w:val="32"/>
          <w:lang w:val="en-US" w:eastAsia="zh-CN"/>
        </w:rPr>
        <w:t>六</w:t>
      </w:r>
      <w:r>
        <w:rPr>
          <w:rFonts w:hint="eastAsia" w:ascii="仿宋" w:hAnsi="仿宋" w:eastAsia="仿宋" w:cs="仿宋"/>
          <w:b/>
          <w:bCs/>
          <w:sz w:val="32"/>
          <w:szCs w:val="32"/>
        </w:rPr>
        <w:t>、供应商基本情况表</w:t>
      </w:r>
    </w:p>
    <w:tbl>
      <w:tblPr>
        <w:tblStyle w:val="42"/>
        <w:tblW w:w="918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0"/>
        <w:gridCol w:w="1080"/>
        <w:gridCol w:w="180"/>
        <w:gridCol w:w="1260"/>
        <w:gridCol w:w="1260"/>
        <w:gridCol w:w="420"/>
        <w:gridCol w:w="480"/>
        <w:gridCol w:w="360"/>
        <w:gridCol w:w="840"/>
        <w:gridCol w:w="60"/>
        <w:gridCol w:w="360"/>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0" w:hRule="atLeast"/>
          <w:jc w:val="center"/>
        </w:trPr>
        <w:tc>
          <w:tcPr>
            <w:tcW w:w="1620" w:type="dxa"/>
            <w:vAlign w:val="center"/>
          </w:tcPr>
          <w:p>
            <w:pPr>
              <w:spacing w:line="360" w:lineRule="auto"/>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供应商名称</w:t>
            </w:r>
          </w:p>
        </w:tc>
        <w:tc>
          <w:tcPr>
            <w:tcW w:w="7560" w:type="dxa"/>
            <w:gridSpan w:val="11"/>
            <w:vAlign w:val="center"/>
          </w:tcPr>
          <w:p>
            <w:pPr>
              <w:spacing w:line="360" w:lineRule="auto"/>
              <w:jc w:val="cente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8" w:hRule="atLeast"/>
          <w:jc w:val="center"/>
        </w:trPr>
        <w:tc>
          <w:tcPr>
            <w:tcW w:w="1620" w:type="dxa"/>
            <w:vAlign w:val="center"/>
          </w:tcPr>
          <w:p>
            <w:pPr>
              <w:spacing w:line="360" w:lineRule="auto"/>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注册地址</w:t>
            </w:r>
          </w:p>
        </w:tc>
        <w:tc>
          <w:tcPr>
            <w:tcW w:w="4680" w:type="dxa"/>
            <w:gridSpan w:val="6"/>
            <w:vAlign w:val="center"/>
          </w:tcPr>
          <w:p>
            <w:pPr>
              <w:spacing w:line="360" w:lineRule="auto"/>
              <w:jc w:val="center"/>
              <w:rPr>
                <w:rFonts w:ascii="宋体" w:hAnsi="宋体" w:cs="宋体"/>
                <w:color w:val="000000" w:themeColor="text1"/>
                <w14:textFill>
                  <w14:solidFill>
                    <w14:schemeClr w14:val="tx1"/>
                  </w14:solidFill>
                </w14:textFill>
              </w:rPr>
            </w:pPr>
          </w:p>
        </w:tc>
        <w:tc>
          <w:tcPr>
            <w:tcW w:w="1260" w:type="dxa"/>
            <w:gridSpan w:val="3"/>
            <w:vAlign w:val="center"/>
          </w:tcPr>
          <w:p>
            <w:pPr>
              <w:spacing w:line="360" w:lineRule="auto"/>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邮政编码</w:t>
            </w:r>
          </w:p>
        </w:tc>
        <w:tc>
          <w:tcPr>
            <w:tcW w:w="1620" w:type="dxa"/>
            <w:gridSpan w:val="2"/>
            <w:vAlign w:val="center"/>
          </w:tcPr>
          <w:p>
            <w:pPr>
              <w:spacing w:line="360" w:lineRule="auto"/>
              <w:jc w:val="cente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2" w:hRule="atLeast"/>
          <w:jc w:val="center"/>
        </w:trPr>
        <w:tc>
          <w:tcPr>
            <w:tcW w:w="1620" w:type="dxa"/>
            <w:vMerge w:val="restart"/>
            <w:vAlign w:val="center"/>
          </w:tcPr>
          <w:p>
            <w:pPr>
              <w:spacing w:line="360" w:lineRule="auto"/>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联系方式</w:t>
            </w:r>
          </w:p>
        </w:tc>
        <w:tc>
          <w:tcPr>
            <w:tcW w:w="1080" w:type="dxa"/>
            <w:vAlign w:val="center"/>
          </w:tcPr>
          <w:p>
            <w:pPr>
              <w:spacing w:line="360" w:lineRule="auto"/>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联系人</w:t>
            </w:r>
          </w:p>
        </w:tc>
        <w:tc>
          <w:tcPr>
            <w:tcW w:w="3600" w:type="dxa"/>
            <w:gridSpan w:val="5"/>
            <w:vAlign w:val="center"/>
          </w:tcPr>
          <w:p>
            <w:pPr>
              <w:spacing w:line="360" w:lineRule="auto"/>
              <w:jc w:val="center"/>
              <w:rPr>
                <w:rFonts w:ascii="宋体" w:hAnsi="宋体" w:cs="宋体"/>
                <w:color w:val="000000" w:themeColor="text1"/>
                <w14:textFill>
                  <w14:solidFill>
                    <w14:schemeClr w14:val="tx1"/>
                  </w14:solidFill>
                </w14:textFill>
              </w:rPr>
            </w:pPr>
          </w:p>
        </w:tc>
        <w:tc>
          <w:tcPr>
            <w:tcW w:w="1260" w:type="dxa"/>
            <w:gridSpan w:val="3"/>
            <w:vAlign w:val="center"/>
          </w:tcPr>
          <w:p>
            <w:pPr>
              <w:spacing w:line="360" w:lineRule="auto"/>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联系电话</w:t>
            </w:r>
          </w:p>
        </w:tc>
        <w:tc>
          <w:tcPr>
            <w:tcW w:w="1620" w:type="dxa"/>
            <w:gridSpan w:val="2"/>
            <w:vAlign w:val="center"/>
          </w:tcPr>
          <w:p>
            <w:pPr>
              <w:spacing w:line="360" w:lineRule="auto"/>
              <w:jc w:val="cente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8" w:hRule="atLeast"/>
          <w:jc w:val="center"/>
        </w:trPr>
        <w:tc>
          <w:tcPr>
            <w:tcW w:w="1620" w:type="dxa"/>
            <w:vMerge w:val="continue"/>
            <w:vAlign w:val="center"/>
          </w:tcPr>
          <w:p>
            <w:pPr>
              <w:spacing w:line="360" w:lineRule="auto"/>
              <w:jc w:val="center"/>
              <w:rPr>
                <w:rFonts w:ascii="宋体" w:hAnsi="宋体" w:cs="宋体"/>
                <w:color w:val="000000" w:themeColor="text1"/>
                <w14:textFill>
                  <w14:solidFill>
                    <w14:schemeClr w14:val="tx1"/>
                  </w14:solidFill>
                </w14:textFill>
              </w:rPr>
            </w:pPr>
          </w:p>
        </w:tc>
        <w:tc>
          <w:tcPr>
            <w:tcW w:w="1080" w:type="dxa"/>
            <w:vAlign w:val="center"/>
          </w:tcPr>
          <w:p>
            <w:pPr>
              <w:spacing w:line="360" w:lineRule="auto"/>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传真</w:t>
            </w:r>
          </w:p>
        </w:tc>
        <w:tc>
          <w:tcPr>
            <w:tcW w:w="3600" w:type="dxa"/>
            <w:gridSpan w:val="5"/>
            <w:vAlign w:val="center"/>
          </w:tcPr>
          <w:p>
            <w:pPr>
              <w:spacing w:line="360" w:lineRule="auto"/>
              <w:jc w:val="center"/>
              <w:rPr>
                <w:rFonts w:ascii="宋体" w:hAnsi="宋体" w:cs="宋体"/>
                <w:color w:val="000000" w:themeColor="text1"/>
                <w14:textFill>
                  <w14:solidFill>
                    <w14:schemeClr w14:val="tx1"/>
                  </w14:solidFill>
                </w14:textFill>
              </w:rPr>
            </w:pPr>
          </w:p>
        </w:tc>
        <w:tc>
          <w:tcPr>
            <w:tcW w:w="1260" w:type="dxa"/>
            <w:gridSpan w:val="3"/>
            <w:vAlign w:val="center"/>
          </w:tcPr>
          <w:p>
            <w:pPr>
              <w:spacing w:line="360" w:lineRule="auto"/>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网址</w:t>
            </w:r>
          </w:p>
        </w:tc>
        <w:tc>
          <w:tcPr>
            <w:tcW w:w="1620" w:type="dxa"/>
            <w:gridSpan w:val="2"/>
            <w:vAlign w:val="center"/>
          </w:tcPr>
          <w:p>
            <w:pPr>
              <w:spacing w:line="360" w:lineRule="auto"/>
              <w:jc w:val="cente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3" w:hRule="atLeast"/>
          <w:jc w:val="center"/>
        </w:trPr>
        <w:tc>
          <w:tcPr>
            <w:tcW w:w="1620" w:type="dxa"/>
            <w:vAlign w:val="center"/>
          </w:tcPr>
          <w:p>
            <w:pPr>
              <w:spacing w:line="360" w:lineRule="auto"/>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法定代表人/主要负责人</w:t>
            </w:r>
          </w:p>
        </w:tc>
        <w:tc>
          <w:tcPr>
            <w:tcW w:w="1260" w:type="dxa"/>
            <w:gridSpan w:val="2"/>
            <w:vAlign w:val="center"/>
          </w:tcPr>
          <w:p>
            <w:pPr>
              <w:spacing w:line="360" w:lineRule="auto"/>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姓名</w:t>
            </w:r>
          </w:p>
        </w:tc>
        <w:tc>
          <w:tcPr>
            <w:tcW w:w="1260" w:type="dxa"/>
            <w:vAlign w:val="center"/>
          </w:tcPr>
          <w:p>
            <w:pPr>
              <w:spacing w:line="360" w:lineRule="auto"/>
              <w:jc w:val="center"/>
              <w:rPr>
                <w:rFonts w:ascii="宋体" w:hAnsi="宋体" w:cs="宋体"/>
                <w:color w:val="000000" w:themeColor="text1"/>
                <w14:textFill>
                  <w14:solidFill>
                    <w14:schemeClr w14:val="tx1"/>
                  </w14:solidFill>
                </w14:textFill>
              </w:rPr>
            </w:pPr>
          </w:p>
        </w:tc>
        <w:tc>
          <w:tcPr>
            <w:tcW w:w="1260" w:type="dxa"/>
            <w:vAlign w:val="center"/>
          </w:tcPr>
          <w:p>
            <w:pPr>
              <w:spacing w:line="360" w:lineRule="auto"/>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技术职称</w:t>
            </w:r>
          </w:p>
        </w:tc>
        <w:tc>
          <w:tcPr>
            <w:tcW w:w="1260" w:type="dxa"/>
            <w:gridSpan w:val="3"/>
            <w:vAlign w:val="center"/>
          </w:tcPr>
          <w:p>
            <w:pPr>
              <w:spacing w:line="360" w:lineRule="auto"/>
              <w:jc w:val="center"/>
              <w:rPr>
                <w:rFonts w:ascii="宋体" w:hAnsi="宋体" w:cs="宋体"/>
                <w:color w:val="000000" w:themeColor="text1"/>
                <w14:textFill>
                  <w14:solidFill>
                    <w14:schemeClr w14:val="tx1"/>
                  </w14:solidFill>
                </w14:textFill>
              </w:rPr>
            </w:pPr>
          </w:p>
        </w:tc>
        <w:tc>
          <w:tcPr>
            <w:tcW w:w="1260" w:type="dxa"/>
            <w:gridSpan w:val="3"/>
            <w:vAlign w:val="center"/>
          </w:tcPr>
          <w:p>
            <w:pPr>
              <w:spacing w:line="360" w:lineRule="auto"/>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联系电话</w:t>
            </w:r>
          </w:p>
        </w:tc>
        <w:tc>
          <w:tcPr>
            <w:tcW w:w="1260" w:type="dxa"/>
            <w:vAlign w:val="center"/>
          </w:tcPr>
          <w:p>
            <w:pPr>
              <w:spacing w:line="360" w:lineRule="auto"/>
              <w:jc w:val="cente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jc w:val="center"/>
        </w:trPr>
        <w:tc>
          <w:tcPr>
            <w:tcW w:w="1620" w:type="dxa"/>
            <w:vAlign w:val="center"/>
          </w:tcPr>
          <w:p>
            <w:pPr>
              <w:spacing w:line="360" w:lineRule="auto"/>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技术负责人</w:t>
            </w:r>
          </w:p>
        </w:tc>
        <w:tc>
          <w:tcPr>
            <w:tcW w:w="1260" w:type="dxa"/>
            <w:gridSpan w:val="2"/>
            <w:vAlign w:val="center"/>
          </w:tcPr>
          <w:p>
            <w:pPr>
              <w:spacing w:line="360" w:lineRule="auto"/>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姓名</w:t>
            </w:r>
          </w:p>
        </w:tc>
        <w:tc>
          <w:tcPr>
            <w:tcW w:w="1260" w:type="dxa"/>
            <w:vAlign w:val="center"/>
          </w:tcPr>
          <w:p>
            <w:pPr>
              <w:spacing w:line="360" w:lineRule="auto"/>
              <w:jc w:val="center"/>
              <w:rPr>
                <w:rFonts w:ascii="宋体" w:hAnsi="宋体" w:cs="宋体"/>
                <w:color w:val="000000" w:themeColor="text1"/>
                <w14:textFill>
                  <w14:solidFill>
                    <w14:schemeClr w14:val="tx1"/>
                  </w14:solidFill>
                </w14:textFill>
              </w:rPr>
            </w:pPr>
          </w:p>
        </w:tc>
        <w:tc>
          <w:tcPr>
            <w:tcW w:w="1260" w:type="dxa"/>
            <w:vAlign w:val="center"/>
          </w:tcPr>
          <w:p>
            <w:pPr>
              <w:spacing w:line="360" w:lineRule="auto"/>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技术职称</w:t>
            </w:r>
          </w:p>
        </w:tc>
        <w:tc>
          <w:tcPr>
            <w:tcW w:w="1260" w:type="dxa"/>
            <w:gridSpan w:val="3"/>
            <w:vAlign w:val="center"/>
          </w:tcPr>
          <w:p>
            <w:pPr>
              <w:spacing w:line="360" w:lineRule="auto"/>
              <w:jc w:val="center"/>
              <w:rPr>
                <w:rFonts w:ascii="宋体" w:hAnsi="宋体" w:cs="宋体"/>
                <w:color w:val="000000" w:themeColor="text1"/>
                <w14:textFill>
                  <w14:solidFill>
                    <w14:schemeClr w14:val="tx1"/>
                  </w14:solidFill>
                </w14:textFill>
              </w:rPr>
            </w:pPr>
          </w:p>
        </w:tc>
        <w:tc>
          <w:tcPr>
            <w:tcW w:w="1260" w:type="dxa"/>
            <w:gridSpan w:val="3"/>
            <w:vAlign w:val="center"/>
          </w:tcPr>
          <w:p>
            <w:pPr>
              <w:spacing w:line="360" w:lineRule="auto"/>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联系电话</w:t>
            </w:r>
          </w:p>
        </w:tc>
        <w:tc>
          <w:tcPr>
            <w:tcW w:w="1260" w:type="dxa"/>
            <w:vAlign w:val="center"/>
          </w:tcPr>
          <w:p>
            <w:pPr>
              <w:spacing w:line="360" w:lineRule="auto"/>
              <w:jc w:val="cente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jc w:val="center"/>
        </w:trPr>
        <w:tc>
          <w:tcPr>
            <w:tcW w:w="1620" w:type="dxa"/>
            <w:vAlign w:val="center"/>
          </w:tcPr>
          <w:p>
            <w:pPr>
              <w:spacing w:line="360" w:lineRule="auto"/>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成立时间</w:t>
            </w:r>
          </w:p>
        </w:tc>
        <w:tc>
          <w:tcPr>
            <w:tcW w:w="2520" w:type="dxa"/>
            <w:gridSpan w:val="3"/>
            <w:vAlign w:val="center"/>
          </w:tcPr>
          <w:p>
            <w:pPr>
              <w:spacing w:line="360" w:lineRule="auto"/>
              <w:jc w:val="center"/>
              <w:rPr>
                <w:rFonts w:ascii="宋体" w:hAnsi="宋体" w:cs="宋体"/>
                <w:color w:val="000000" w:themeColor="text1"/>
                <w14:textFill>
                  <w14:solidFill>
                    <w14:schemeClr w14:val="tx1"/>
                  </w14:solidFill>
                </w14:textFill>
              </w:rPr>
            </w:pPr>
          </w:p>
        </w:tc>
        <w:tc>
          <w:tcPr>
            <w:tcW w:w="5040" w:type="dxa"/>
            <w:gridSpan w:val="8"/>
            <w:vAlign w:val="center"/>
          </w:tcPr>
          <w:p>
            <w:pPr>
              <w:spacing w:line="360" w:lineRule="auto"/>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6" w:hRule="atLeast"/>
          <w:jc w:val="center"/>
        </w:trPr>
        <w:tc>
          <w:tcPr>
            <w:tcW w:w="1620" w:type="dxa"/>
            <w:vAlign w:val="center"/>
          </w:tcPr>
          <w:p>
            <w:pPr>
              <w:spacing w:line="360" w:lineRule="auto"/>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企业资质等级</w:t>
            </w:r>
          </w:p>
        </w:tc>
        <w:tc>
          <w:tcPr>
            <w:tcW w:w="2520" w:type="dxa"/>
            <w:gridSpan w:val="3"/>
            <w:vAlign w:val="center"/>
          </w:tcPr>
          <w:p>
            <w:pPr>
              <w:spacing w:line="360" w:lineRule="auto"/>
              <w:jc w:val="center"/>
              <w:rPr>
                <w:rFonts w:ascii="宋体" w:hAnsi="宋体" w:cs="宋体"/>
                <w:color w:val="000000" w:themeColor="text1"/>
                <w14:textFill>
                  <w14:solidFill>
                    <w14:schemeClr w14:val="tx1"/>
                  </w14:solidFill>
                </w14:textFill>
              </w:rPr>
            </w:pPr>
          </w:p>
        </w:tc>
        <w:tc>
          <w:tcPr>
            <w:tcW w:w="1680" w:type="dxa"/>
            <w:gridSpan w:val="2"/>
            <w:vMerge w:val="restart"/>
            <w:vAlign w:val="center"/>
          </w:tcPr>
          <w:p>
            <w:pPr>
              <w:spacing w:line="360" w:lineRule="auto"/>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其中</w:t>
            </w:r>
          </w:p>
        </w:tc>
        <w:tc>
          <w:tcPr>
            <w:tcW w:w="1680" w:type="dxa"/>
            <w:gridSpan w:val="3"/>
            <w:vAlign w:val="center"/>
          </w:tcPr>
          <w:p>
            <w:pPr>
              <w:spacing w:line="360" w:lineRule="auto"/>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项目经理</w:t>
            </w:r>
          </w:p>
        </w:tc>
        <w:tc>
          <w:tcPr>
            <w:tcW w:w="1680" w:type="dxa"/>
            <w:gridSpan w:val="3"/>
            <w:vAlign w:val="center"/>
          </w:tcPr>
          <w:p>
            <w:pPr>
              <w:spacing w:line="360" w:lineRule="auto"/>
              <w:jc w:val="cente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atLeast"/>
          <w:jc w:val="center"/>
        </w:trPr>
        <w:tc>
          <w:tcPr>
            <w:tcW w:w="1620" w:type="dxa"/>
            <w:vAlign w:val="center"/>
          </w:tcPr>
          <w:p>
            <w:pPr>
              <w:spacing w:line="360" w:lineRule="auto"/>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营业执照号</w:t>
            </w:r>
          </w:p>
        </w:tc>
        <w:tc>
          <w:tcPr>
            <w:tcW w:w="2520" w:type="dxa"/>
            <w:gridSpan w:val="3"/>
            <w:vAlign w:val="center"/>
          </w:tcPr>
          <w:p>
            <w:pPr>
              <w:spacing w:line="360" w:lineRule="auto"/>
              <w:jc w:val="center"/>
              <w:rPr>
                <w:rFonts w:ascii="宋体" w:hAnsi="宋体" w:cs="宋体"/>
                <w:color w:val="000000" w:themeColor="text1"/>
                <w14:textFill>
                  <w14:solidFill>
                    <w14:schemeClr w14:val="tx1"/>
                  </w14:solidFill>
                </w14:textFill>
              </w:rPr>
            </w:pPr>
          </w:p>
        </w:tc>
        <w:tc>
          <w:tcPr>
            <w:tcW w:w="1680" w:type="dxa"/>
            <w:gridSpan w:val="2"/>
            <w:vMerge w:val="continue"/>
            <w:vAlign w:val="center"/>
          </w:tcPr>
          <w:p>
            <w:pPr>
              <w:spacing w:line="360" w:lineRule="auto"/>
              <w:jc w:val="center"/>
              <w:rPr>
                <w:rFonts w:ascii="宋体" w:hAnsi="宋体" w:cs="宋体"/>
                <w:color w:val="000000" w:themeColor="text1"/>
                <w14:textFill>
                  <w14:solidFill>
                    <w14:schemeClr w14:val="tx1"/>
                  </w14:solidFill>
                </w14:textFill>
              </w:rPr>
            </w:pPr>
          </w:p>
        </w:tc>
        <w:tc>
          <w:tcPr>
            <w:tcW w:w="1680" w:type="dxa"/>
            <w:gridSpan w:val="3"/>
            <w:vAlign w:val="center"/>
          </w:tcPr>
          <w:p>
            <w:pPr>
              <w:spacing w:line="360" w:lineRule="auto"/>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高级职称人员</w:t>
            </w:r>
          </w:p>
        </w:tc>
        <w:tc>
          <w:tcPr>
            <w:tcW w:w="1680" w:type="dxa"/>
            <w:gridSpan w:val="3"/>
            <w:vAlign w:val="center"/>
          </w:tcPr>
          <w:p>
            <w:pPr>
              <w:spacing w:line="360" w:lineRule="auto"/>
              <w:jc w:val="cente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1" w:hRule="atLeast"/>
          <w:jc w:val="center"/>
        </w:trPr>
        <w:tc>
          <w:tcPr>
            <w:tcW w:w="1620" w:type="dxa"/>
            <w:vAlign w:val="center"/>
          </w:tcPr>
          <w:p>
            <w:pPr>
              <w:spacing w:line="360" w:lineRule="auto"/>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注册资金</w:t>
            </w:r>
          </w:p>
        </w:tc>
        <w:tc>
          <w:tcPr>
            <w:tcW w:w="2520" w:type="dxa"/>
            <w:gridSpan w:val="3"/>
            <w:vAlign w:val="center"/>
          </w:tcPr>
          <w:p>
            <w:pPr>
              <w:spacing w:line="360" w:lineRule="auto"/>
              <w:jc w:val="center"/>
              <w:rPr>
                <w:rFonts w:ascii="宋体" w:hAnsi="宋体" w:cs="宋体"/>
                <w:color w:val="000000" w:themeColor="text1"/>
                <w14:textFill>
                  <w14:solidFill>
                    <w14:schemeClr w14:val="tx1"/>
                  </w14:solidFill>
                </w14:textFill>
              </w:rPr>
            </w:pPr>
          </w:p>
        </w:tc>
        <w:tc>
          <w:tcPr>
            <w:tcW w:w="1680" w:type="dxa"/>
            <w:gridSpan w:val="2"/>
            <w:vMerge w:val="continue"/>
            <w:vAlign w:val="center"/>
          </w:tcPr>
          <w:p>
            <w:pPr>
              <w:spacing w:line="360" w:lineRule="auto"/>
              <w:jc w:val="center"/>
              <w:rPr>
                <w:rFonts w:ascii="宋体" w:hAnsi="宋体" w:cs="宋体"/>
                <w:color w:val="000000" w:themeColor="text1"/>
                <w14:textFill>
                  <w14:solidFill>
                    <w14:schemeClr w14:val="tx1"/>
                  </w14:solidFill>
                </w14:textFill>
              </w:rPr>
            </w:pPr>
          </w:p>
        </w:tc>
        <w:tc>
          <w:tcPr>
            <w:tcW w:w="1680" w:type="dxa"/>
            <w:gridSpan w:val="3"/>
            <w:vAlign w:val="center"/>
          </w:tcPr>
          <w:p>
            <w:pPr>
              <w:spacing w:line="360" w:lineRule="auto"/>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中级职称人员</w:t>
            </w:r>
          </w:p>
        </w:tc>
        <w:tc>
          <w:tcPr>
            <w:tcW w:w="1680" w:type="dxa"/>
            <w:gridSpan w:val="3"/>
            <w:vAlign w:val="center"/>
          </w:tcPr>
          <w:p>
            <w:pPr>
              <w:spacing w:line="360" w:lineRule="auto"/>
              <w:jc w:val="cente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1" w:hRule="atLeast"/>
          <w:jc w:val="center"/>
        </w:trPr>
        <w:tc>
          <w:tcPr>
            <w:tcW w:w="1620" w:type="dxa"/>
            <w:vAlign w:val="center"/>
          </w:tcPr>
          <w:p>
            <w:pPr>
              <w:spacing w:line="360" w:lineRule="auto"/>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开户银行</w:t>
            </w:r>
          </w:p>
        </w:tc>
        <w:tc>
          <w:tcPr>
            <w:tcW w:w="2520" w:type="dxa"/>
            <w:gridSpan w:val="3"/>
            <w:vAlign w:val="center"/>
          </w:tcPr>
          <w:p>
            <w:pPr>
              <w:spacing w:line="360" w:lineRule="auto"/>
              <w:jc w:val="center"/>
              <w:rPr>
                <w:rFonts w:ascii="宋体" w:hAnsi="宋体" w:cs="宋体"/>
                <w:color w:val="000000" w:themeColor="text1"/>
                <w14:textFill>
                  <w14:solidFill>
                    <w14:schemeClr w14:val="tx1"/>
                  </w14:solidFill>
                </w14:textFill>
              </w:rPr>
            </w:pPr>
          </w:p>
        </w:tc>
        <w:tc>
          <w:tcPr>
            <w:tcW w:w="1680" w:type="dxa"/>
            <w:gridSpan w:val="2"/>
            <w:vMerge w:val="continue"/>
            <w:vAlign w:val="center"/>
          </w:tcPr>
          <w:p>
            <w:pPr>
              <w:spacing w:line="360" w:lineRule="auto"/>
              <w:jc w:val="center"/>
              <w:rPr>
                <w:rFonts w:ascii="宋体" w:hAnsi="宋体" w:cs="宋体"/>
                <w:color w:val="000000" w:themeColor="text1"/>
                <w14:textFill>
                  <w14:solidFill>
                    <w14:schemeClr w14:val="tx1"/>
                  </w14:solidFill>
                </w14:textFill>
              </w:rPr>
            </w:pPr>
          </w:p>
        </w:tc>
        <w:tc>
          <w:tcPr>
            <w:tcW w:w="1680" w:type="dxa"/>
            <w:gridSpan w:val="3"/>
            <w:vAlign w:val="center"/>
          </w:tcPr>
          <w:p>
            <w:pPr>
              <w:spacing w:line="360" w:lineRule="auto"/>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初级职称人员</w:t>
            </w:r>
          </w:p>
        </w:tc>
        <w:tc>
          <w:tcPr>
            <w:tcW w:w="1680" w:type="dxa"/>
            <w:gridSpan w:val="3"/>
            <w:vAlign w:val="center"/>
          </w:tcPr>
          <w:p>
            <w:pPr>
              <w:spacing w:line="360" w:lineRule="auto"/>
              <w:jc w:val="cente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6" w:hRule="atLeast"/>
          <w:jc w:val="center"/>
        </w:trPr>
        <w:tc>
          <w:tcPr>
            <w:tcW w:w="1620" w:type="dxa"/>
            <w:vAlign w:val="center"/>
          </w:tcPr>
          <w:p>
            <w:pPr>
              <w:spacing w:line="360" w:lineRule="auto"/>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账号</w:t>
            </w:r>
          </w:p>
        </w:tc>
        <w:tc>
          <w:tcPr>
            <w:tcW w:w="2520" w:type="dxa"/>
            <w:gridSpan w:val="3"/>
            <w:vAlign w:val="center"/>
          </w:tcPr>
          <w:p>
            <w:pPr>
              <w:spacing w:line="360" w:lineRule="auto"/>
              <w:jc w:val="center"/>
              <w:rPr>
                <w:rFonts w:ascii="宋体" w:hAnsi="宋体" w:cs="宋体"/>
                <w:color w:val="000000" w:themeColor="text1"/>
                <w14:textFill>
                  <w14:solidFill>
                    <w14:schemeClr w14:val="tx1"/>
                  </w14:solidFill>
                </w14:textFill>
              </w:rPr>
            </w:pPr>
          </w:p>
        </w:tc>
        <w:tc>
          <w:tcPr>
            <w:tcW w:w="1680" w:type="dxa"/>
            <w:gridSpan w:val="2"/>
            <w:vMerge w:val="continue"/>
            <w:vAlign w:val="center"/>
          </w:tcPr>
          <w:p>
            <w:pPr>
              <w:spacing w:line="360" w:lineRule="auto"/>
              <w:jc w:val="center"/>
              <w:rPr>
                <w:rFonts w:ascii="宋体" w:hAnsi="宋体" w:cs="宋体"/>
                <w:color w:val="000000" w:themeColor="text1"/>
                <w14:textFill>
                  <w14:solidFill>
                    <w14:schemeClr w14:val="tx1"/>
                  </w14:solidFill>
                </w14:textFill>
              </w:rPr>
            </w:pPr>
          </w:p>
        </w:tc>
        <w:tc>
          <w:tcPr>
            <w:tcW w:w="1680" w:type="dxa"/>
            <w:gridSpan w:val="3"/>
            <w:vAlign w:val="center"/>
          </w:tcPr>
          <w:p>
            <w:pPr>
              <w:spacing w:line="360" w:lineRule="auto"/>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技工</w:t>
            </w:r>
          </w:p>
        </w:tc>
        <w:tc>
          <w:tcPr>
            <w:tcW w:w="1680" w:type="dxa"/>
            <w:gridSpan w:val="3"/>
            <w:vAlign w:val="center"/>
          </w:tcPr>
          <w:p>
            <w:pPr>
              <w:spacing w:line="360" w:lineRule="auto"/>
              <w:jc w:val="cente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4" w:hRule="atLeast"/>
          <w:jc w:val="center"/>
        </w:trPr>
        <w:tc>
          <w:tcPr>
            <w:tcW w:w="1620" w:type="dxa"/>
            <w:vAlign w:val="center"/>
          </w:tcPr>
          <w:p>
            <w:pPr>
              <w:spacing w:line="360" w:lineRule="auto"/>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经营范围</w:t>
            </w:r>
          </w:p>
        </w:tc>
        <w:tc>
          <w:tcPr>
            <w:tcW w:w="7560" w:type="dxa"/>
            <w:gridSpan w:val="11"/>
            <w:vAlign w:val="center"/>
          </w:tcPr>
          <w:p>
            <w:pPr>
              <w:spacing w:line="360" w:lineRule="auto"/>
              <w:jc w:val="cente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7" w:hRule="atLeast"/>
          <w:jc w:val="center"/>
        </w:trPr>
        <w:tc>
          <w:tcPr>
            <w:tcW w:w="1620" w:type="dxa"/>
            <w:vAlign w:val="center"/>
          </w:tcPr>
          <w:p>
            <w:pPr>
              <w:spacing w:line="360" w:lineRule="auto"/>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备注</w:t>
            </w:r>
          </w:p>
        </w:tc>
        <w:tc>
          <w:tcPr>
            <w:tcW w:w="7560" w:type="dxa"/>
            <w:gridSpan w:val="11"/>
            <w:vAlign w:val="center"/>
          </w:tcPr>
          <w:p>
            <w:pPr>
              <w:spacing w:line="360" w:lineRule="auto"/>
              <w:jc w:val="center"/>
              <w:rPr>
                <w:rFonts w:ascii="宋体" w:hAnsi="宋体" w:cs="宋体"/>
                <w:color w:val="000000" w:themeColor="text1"/>
                <w14:textFill>
                  <w14:solidFill>
                    <w14:schemeClr w14:val="tx1"/>
                  </w14:solidFill>
                </w14:textFill>
              </w:rPr>
            </w:pPr>
          </w:p>
        </w:tc>
      </w:tr>
    </w:tbl>
    <w:p>
      <w:pPr>
        <w:adjustRightInd w:val="0"/>
        <w:spacing w:line="360" w:lineRule="auto"/>
        <w:jc w:val="left"/>
        <w:rPr>
          <w:rFonts w:ascii="宋体" w:hAnsi="宋体" w:cs="宋体"/>
          <w:color w:val="000000" w:themeColor="text1"/>
          <w:sz w:val="24"/>
          <w:szCs w:val="24"/>
          <w14:textFill>
            <w14:solidFill>
              <w14:schemeClr w14:val="tx1"/>
            </w14:solidFill>
          </w14:textFill>
        </w:rPr>
      </w:pPr>
    </w:p>
    <w:p>
      <w:pPr>
        <w:adjustRightInd w:val="0"/>
        <w:spacing w:line="360" w:lineRule="auto"/>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供应商名称：XXX（盖单位公章）</w:t>
      </w:r>
    </w:p>
    <w:p>
      <w:pPr>
        <w:adjustRightInd w:val="0"/>
        <w:spacing w:line="360" w:lineRule="auto"/>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法定代表人/单位负责人或授权代表（签字或加盖个人印章）：XXX</w:t>
      </w:r>
    </w:p>
    <w:p>
      <w:pPr>
        <w:spacing w:line="360" w:lineRule="auto"/>
        <w:rPr>
          <w:rFonts w:hint="eastAsia" w:ascii="仿宋" w:hAnsi="仿宋" w:eastAsia="仿宋" w:cs="仿宋"/>
          <w:b/>
          <w:bCs/>
          <w:sz w:val="28"/>
          <w:szCs w:val="28"/>
          <w:lang w:eastAsia="zh-CN"/>
        </w:rPr>
      </w:pPr>
      <w:r>
        <w:rPr>
          <w:rFonts w:hint="eastAsia" w:ascii="宋体" w:hAnsi="宋体" w:cs="宋体"/>
          <w:color w:val="000000" w:themeColor="text1"/>
          <w:sz w:val="24"/>
          <w:szCs w:val="24"/>
          <w14:textFill>
            <w14:solidFill>
              <w14:schemeClr w14:val="tx1"/>
            </w14:solidFill>
          </w14:textFill>
        </w:rPr>
        <w:t>日期：XXX年XXX月XXX日</w:t>
      </w:r>
      <w:r>
        <w:rPr>
          <w:rFonts w:ascii="仿宋" w:hAnsi="仿宋" w:eastAsia="仿宋"/>
          <w:b/>
          <w:bCs/>
          <w:sz w:val="28"/>
          <w:szCs w:val="28"/>
        </w:rPr>
        <w:br w:type="page"/>
      </w:r>
      <w:r>
        <w:rPr>
          <w:rFonts w:hint="eastAsia" w:ascii="仿宋" w:hAnsi="仿宋" w:eastAsia="仿宋" w:cs="仿宋"/>
          <w:b/>
          <w:bCs/>
          <w:sz w:val="28"/>
          <w:szCs w:val="28"/>
        </w:rPr>
        <w:t>格式1</w:t>
      </w:r>
      <w:r>
        <w:rPr>
          <w:rFonts w:ascii="仿宋" w:hAnsi="仿宋" w:eastAsia="仿宋" w:cs="仿宋"/>
          <w:b/>
          <w:bCs/>
          <w:sz w:val="28"/>
          <w:szCs w:val="28"/>
        </w:rPr>
        <w:t>-</w:t>
      </w:r>
      <w:r>
        <w:rPr>
          <w:rFonts w:hint="eastAsia" w:ascii="仿宋" w:hAnsi="仿宋" w:eastAsia="仿宋" w:cs="仿宋"/>
          <w:b/>
          <w:bCs/>
          <w:sz w:val="28"/>
          <w:szCs w:val="28"/>
          <w:lang w:val="en-US" w:eastAsia="zh-CN"/>
        </w:rPr>
        <w:t>8</w:t>
      </w:r>
    </w:p>
    <w:p>
      <w:pPr>
        <w:spacing w:line="360" w:lineRule="auto"/>
        <w:jc w:val="center"/>
        <w:rPr>
          <w:rFonts w:hint="eastAsia" w:ascii="仿宋" w:hAnsi="仿宋" w:eastAsia="仿宋" w:cs="仿宋"/>
          <w:b/>
          <w:bCs/>
          <w:sz w:val="32"/>
          <w:szCs w:val="32"/>
          <w:lang w:val="en-US" w:eastAsia="zh-CN"/>
        </w:rPr>
      </w:pPr>
    </w:p>
    <w:p>
      <w:pPr>
        <w:spacing w:line="360" w:lineRule="auto"/>
        <w:jc w:val="center"/>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七、技术、服务、合同条款及其他商务要求应答表（实质性要求）</w:t>
      </w:r>
    </w:p>
    <w:p>
      <w:pPr>
        <w:spacing w:line="360" w:lineRule="auto"/>
        <w:ind w:firstLine="482" w:firstLineChars="200"/>
        <w:rPr>
          <w:rFonts w:asciiTheme="minorEastAsia" w:hAnsiTheme="minorEastAsia" w:eastAsiaTheme="minorEastAsia"/>
          <w:b/>
          <w:bCs/>
          <w:sz w:val="24"/>
          <w:szCs w:val="24"/>
        </w:rPr>
      </w:pPr>
    </w:p>
    <w:p>
      <w:pPr>
        <w:spacing w:line="360" w:lineRule="auto"/>
        <w:ind w:firstLine="480" w:firstLineChars="200"/>
        <w:rPr>
          <w:rFonts w:asciiTheme="minorEastAsia" w:hAnsiTheme="minorEastAsia" w:eastAsiaTheme="minorEastAsia"/>
          <w:color w:val="000000"/>
          <w:sz w:val="24"/>
        </w:rPr>
      </w:pPr>
      <w:r>
        <w:rPr>
          <w:rFonts w:hint="eastAsia" w:cs="仿宋" w:asciiTheme="minorEastAsia" w:hAnsiTheme="minorEastAsia" w:eastAsiaTheme="minorEastAsia"/>
          <w:sz w:val="24"/>
          <w:szCs w:val="24"/>
        </w:rPr>
        <w:t>注：</w:t>
      </w:r>
      <w:r>
        <w:rPr>
          <w:rFonts w:asciiTheme="minorEastAsia" w:hAnsiTheme="minorEastAsia" w:eastAsiaTheme="minorEastAsia"/>
          <w:color w:val="000000"/>
          <w:sz w:val="24"/>
        </w:rPr>
        <w:t>1</w:t>
      </w:r>
      <w:r>
        <w:rPr>
          <w:rFonts w:hint="eastAsia" w:asciiTheme="minorEastAsia" w:hAnsiTheme="minorEastAsia" w:eastAsiaTheme="minorEastAsia"/>
          <w:color w:val="000000"/>
          <w:sz w:val="24"/>
        </w:rPr>
        <w:t>、供应商应按照“第三章</w:t>
      </w:r>
      <w:r>
        <w:rPr>
          <w:rFonts w:asciiTheme="minorEastAsia" w:hAnsiTheme="minorEastAsia" w:eastAsiaTheme="minorEastAsia"/>
          <w:color w:val="000000"/>
          <w:sz w:val="24"/>
        </w:rPr>
        <w:t xml:space="preserve"> </w:t>
      </w:r>
      <w:r>
        <w:rPr>
          <w:rFonts w:hint="eastAsia" w:asciiTheme="minorEastAsia" w:hAnsiTheme="minorEastAsia" w:eastAsiaTheme="minorEastAsia"/>
          <w:color w:val="000000"/>
          <w:sz w:val="24"/>
        </w:rPr>
        <w:t>采购项目技术、服务、政府采购合同内容条款及其他商务要求”逐项应答。</w:t>
      </w:r>
    </w:p>
    <w:p>
      <w:pPr>
        <w:spacing w:line="360" w:lineRule="auto"/>
        <w:ind w:firstLine="960" w:firstLineChars="400"/>
        <w:rPr>
          <w:rFonts w:asciiTheme="minorEastAsia" w:hAnsiTheme="minorEastAsia" w:eastAsiaTheme="minorEastAsia"/>
          <w:b/>
          <w:bCs/>
          <w:sz w:val="24"/>
          <w:szCs w:val="24"/>
        </w:rPr>
      </w:pPr>
      <w:r>
        <w:rPr>
          <w:rFonts w:hint="eastAsia" w:cs="仿宋" w:asciiTheme="minorEastAsia" w:hAnsiTheme="minorEastAsia" w:eastAsiaTheme="minorEastAsia"/>
          <w:sz w:val="24"/>
          <w:szCs w:val="24"/>
        </w:rPr>
        <w:t>2、供应商必须根据</w:t>
      </w:r>
      <w:r>
        <w:rPr>
          <w:rFonts w:hint="eastAsia" w:cs="仿宋" w:asciiTheme="minorEastAsia" w:hAnsiTheme="minorEastAsia" w:eastAsiaTheme="minorEastAsia"/>
          <w:sz w:val="24"/>
          <w:szCs w:val="24"/>
          <w:lang w:val="en-US" w:eastAsia="zh-CN"/>
        </w:rPr>
        <w:t>磋商</w:t>
      </w:r>
      <w:r>
        <w:rPr>
          <w:rFonts w:hint="eastAsia" w:cs="仿宋" w:asciiTheme="minorEastAsia" w:hAnsiTheme="minorEastAsia" w:eastAsiaTheme="minorEastAsia"/>
          <w:sz w:val="24"/>
          <w:szCs w:val="24"/>
        </w:rPr>
        <w:t>文件要求据实逐条填写，不得虚假响应，虚假响应的，其响应文件无效并按规定追究其相关责任。</w:t>
      </w:r>
    </w:p>
    <w:p>
      <w:pPr>
        <w:spacing w:line="360" w:lineRule="auto"/>
        <w:ind w:firstLine="480" w:firstLineChars="200"/>
        <w:rPr>
          <w:rFonts w:asciiTheme="minorEastAsia" w:hAnsiTheme="minorEastAsia" w:eastAsiaTheme="minorEastAsia"/>
          <w:color w:val="000000"/>
          <w:sz w:val="24"/>
        </w:rPr>
      </w:pPr>
    </w:p>
    <w:p>
      <w:pPr>
        <w:spacing w:line="360" w:lineRule="auto"/>
        <w:ind w:firstLine="240" w:firstLineChars="100"/>
        <w:rPr>
          <w:rFonts w:asciiTheme="minorEastAsia" w:hAnsiTheme="minorEastAsia" w:eastAsiaTheme="minorEastAsia"/>
          <w:color w:val="000000"/>
          <w:sz w:val="24"/>
        </w:rPr>
      </w:pPr>
    </w:p>
    <w:tbl>
      <w:tblPr>
        <w:tblStyle w:val="42"/>
        <w:tblW w:w="881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5"/>
        <w:gridCol w:w="4170"/>
        <w:gridCol w:w="34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6" w:hRule="atLeast"/>
          <w:jc w:val="center"/>
        </w:trPr>
        <w:tc>
          <w:tcPr>
            <w:tcW w:w="1245" w:type="dxa"/>
            <w:vAlign w:val="center"/>
          </w:tcPr>
          <w:p>
            <w:pPr>
              <w:jc w:val="center"/>
              <w:rPr>
                <w:rFonts w:asciiTheme="minorEastAsia" w:hAnsiTheme="minorEastAsia" w:eastAsiaTheme="minorEastAsia"/>
                <w:color w:val="000000"/>
                <w:sz w:val="24"/>
              </w:rPr>
            </w:pPr>
            <w:r>
              <w:rPr>
                <w:rFonts w:hint="eastAsia" w:asciiTheme="minorEastAsia" w:hAnsiTheme="minorEastAsia" w:eastAsiaTheme="minorEastAsia"/>
                <w:color w:val="000000"/>
                <w:sz w:val="24"/>
              </w:rPr>
              <w:t>序号</w:t>
            </w:r>
          </w:p>
        </w:tc>
        <w:tc>
          <w:tcPr>
            <w:tcW w:w="4170" w:type="dxa"/>
            <w:vAlign w:val="center"/>
          </w:tcPr>
          <w:p>
            <w:pPr>
              <w:jc w:val="center"/>
              <w:rPr>
                <w:rFonts w:asciiTheme="minorEastAsia" w:hAnsiTheme="minorEastAsia" w:eastAsiaTheme="minorEastAsia"/>
                <w:color w:val="000000"/>
                <w:sz w:val="24"/>
              </w:rPr>
            </w:pPr>
            <w:r>
              <w:rPr>
                <w:rFonts w:hint="eastAsia" w:asciiTheme="minorEastAsia" w:hAnsiTheme="minorEastAsia" w:eastAsiaTheme="minorEastAsia"/>
                <w:color w:val="000000"/>
                <w:sz w:val="24"/>
              </w:rPr>
              <w:t>采购文件要求</w:t>
            </w:r>
          </w:p>
        </w:tc>
        <w:tc>
          <w:tcPr>
            <w:tcW w:w="3402" w:type="dxa"/>
            <w:vAlign w:val="center"/>
          </w:tcPr>
          <w:p>
            <w:pPr>
              <w:jc w:val="center"/>
              <w:rPr>
                <w:rFonts w:asciiTheme="minorEastAsia" w:hAnsiTheme="minorEastAsia" w:eastAsiaTheme="minorEastAsia"/>
                <w:color w:val="000000"/>
                <w:sz w:val="24"/>
              </w:rPr>
            </w:pPr>
            <w:r>
              <w:rPr>
                <w:rFonts w:hint="eastAsia" w:asciiTheme="minorEastAsia" w:hAnsiTheme="minorEastAsia" w:eastAsiaTheme="minorEastAsia"/>
                <w:color w:val="000000"/>
                <w:sz w:val="24"/>
              </w:rPr>
              <w:t>响应文件响应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0" w:hRule="atLeast"/>
          <w:jc w:val="center"/>
        </w:trPr>
        <w:tc>
          <w:tcPr>
            <w:tcW w:w="1245" w:type="dxa"/>
          </w:tcPr>
          <w:p>
            <w:pPr>
              <w:jc w:val="center"/>
              <w:rPr>
                <w:rFonts w:asciiTheme="minorEastAsia" w:hAnsiTheme="minorEastAsia" w:eastAsiaTheme="minorEastAsia"/>
                <w:color w:val="000000"/>
                <w:sz w:val="24"/>
              </w:rPr>
            </w:pPr>
          </w:p>
        </w:tc>
        <w:tc>
          <w:tcPr>
            <w:tcW w:w="4170" w:type="dxa"/>
          </w:tcPr>
          <w:p>
            <w:pPr>
              <w:jc w:val="center"/>
              <w:rPr>
                <w:rFonts w:asciiTheme="minorEastAsia" w:hAnsiTheme="minorEastAsia" w:eastAsiaTheme="minorEastAsia"/>
                <w:color w:val="000000"/>
                <w:sz w:val="24"/>
              </w:rPr>
            </w:pPr>
          </w:p>
        </w:tc>
        <w:tc>
          <w:tcPr>
            <w:tcW w:w="3402" w:type="dxa"/>
          </w:tcPr>
          <w:p>
            <w:pPr>
              <w:jc w:val="center"/>
              <w:rPr>
                <w:rFonts w:asciiTheme="minorEastAsia" w:hAnsiTheme="minorEastAsia" w:eastAsiaTheme="minorEastAsia"/>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0" w:hRule="atLeast"/>
          <w:jc w:val="center"/>
        </w:trPr>
        <w:tc>
          <w:tcPr>
            <w:tcW w:w="1245" w:type="dxa"/>
          </w:tcPr>
          <w:p>
            <w:pPr>
              <w:jc w:val="center"/>
              <w:rPr>
                <w:rFonts w:asciiTheme="minorEastAsia" w:hAnsiTheme="minorEastAsia" w:eastAsiaTheme="minorEastAsia"/>
                <w:color w:val="000000"/>
                <w:sz w:val="24"/>
              </w:rPr>
            </w:pPr>
          </w:p>
        </w:tc>
        <w:tc>
          <w:tcPr>
            <w:tcW w:w="4170" w:type="dxa"/>
          </w:tcPr>
          <w:p>
            <w:pPr>
              <w:jc w:val="center"/>
              <w:rPr>
                <w:rFonts w:asciiTheme="minorEastAsia" w:hAnsiTheme="minorEastAsia" w:eastAsiaTheme="minorEastAsia"/>
                <w:color w:val="000000"/>
                <w:sz w:val="24"/>
              </w:rPr>
            </w:pPr>
          </w:p>
        </w:tc>
        <w:tc>
          <w:tcPr>
            <w:tcW w:w="3402" w:type="dxa"/>
          </w:tcPr>
          <w:p>
            <w:pPr>
              <w:jc w:val="center"/>
              <w:rPr>
                <w:rFonts w:asciiTheme="minorEastAsia" w:hAnsiTheme="minorEastAsia" w:eastAsiaTheme="minorEastAsia"/>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0" w:hRule="atLeast"/>
          <w:jc w:val="center"/>
        </w:trPr>
        <w:tc>
          <w:tcPr>
            <w:tcW w:w="1245" w:type="dxa"/>
          </w:tcPr>
          <w:p>
            <w:pPr>
              <w:jc w:val="center"/>
              <w:rPr>
                <w:rFonts w:asciiTheme="minorEastAsia" w:hAnsiTheme="minorEastAsia" w:eastAsiaTheme="minorEastAsia"/>
                <w:color w:val="000000"/>
                <w:sz w:val="24"/>
              </w:rPr>
            </w:pPr>
          </w:p>
        </w:tc>
        <w:tc>
          <w:tcPr>
            <w:tcW w:w="4170" w:type="dxa"/>
          </w:tcPr>
          <w:p>
            <w:pPr>
              <w:jc w:val="center"/>
              <w:rPr>
                <w:rFonts w:asciiTheme="minorEastAsia" w:hAnsiTheme="minorEastAsia" w:eastAsiaTheme="minorEastAsia"/>
                <w:color w:val="000000"/>
                <w:sz w:val="24"/>
              </w:rPr>
            </w:pPr>
          </w:p>
        </w:tc>
        <w:tc>
          <w:tcPr>
            <w:tcW w:w="3402" w:type="dxa"/>
          </w:tcPr>
          <w:p>
            <w:pPr>
              <w:jc w:val="center"/>
              <w:rPr>
                <w:rFonts w:asciiTheme="minorEastAsia" w:hAnsiTheme="minorEastAsia" w:eastAsiaTheme="minorEastAsia"/>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0" w:hRule="atLeast"/>
          <w:jc w:val="center"/>
        </w:trPr>
        <w:tc>
          <w:tcPr>
            <w:tcW w:w="1245" w:type="dxa"/>
          </w:tcPr>
          <w:p>
            <w:pPr>
              <w:jc w:val="center"/>
              <w:rPr>
                <w:rFonts w:asciiTheme="minorEastAsia" w:hAnsiTheme="minorEastAsia" w:eastAsiaTheme="minorEastAsia"/>
                <w:color w:val="000000"/>
                <w:sz w:val="24"/>
              </w:rPr>
            </w:pPr>
          </w:p>
        </w:tc>
        <w:tc>
          <w:tcPr>
            <w:tcW w:w="4170" w:type="dxa"/>
          </w:tcPr>
          <w:p>
            <w:pPr>
              <w:jc w:val="center"/>
              <w:rPr>
                <w:rFonts w:asciiTheme="minorEastAsia" w:hAnsiTheme="minorEastAsia" w:eastAsiaTheme="minorEastAsia"/>
                <w:color w:val="000000"/>
                <w:sz w:val="24"/>
              </w:rPr>
            </w:pPr>
          </w:p>
        </w:tc>
        <w:tc>
          <w:tcPr>
            <w:tcW w:w="3402" w:type="dxa"/>
          </w:tcPr>
          <w:p>
            <w:pPr>
              <w:jc w:val="center"/>
              <w:rPr>
                <w:rFonts w:asciiTheme="minorEastAsia" w:hAnsiTheme="minorEastAsia" w:eastAsiaTheme="minorEastAsia"/>
                <w:color w:val="000000"/>
                <w:sz w:val="24"/>
              </w:rPr>
            </w:pPr>
          </w:p>
        </w:tc>
      </w:tr>
    </w:tbl>
    <w:p>
      <w:pPr>
        <w:ind w:firstLine="482" w:firstLineChars="200"/>
        <w:rPr>
          <w:rFonts w:asciiTheme="minorEastAsia" w:hAnsiTheme="minorEastAsia" w:eastAsiaTheme="minorEastAsia"/>
          <w:b/>
          <w:color w:val="000000"/>
          <w:sz w:val="24"/>
        </w:rPr>
      </w:pPr>
    </w:p>
    <w:p>
      <w:pPr>
        <w:ind w:firstLine="480" w:firstLineChars="200"/>
        <w:rPr>
          <w:rFonts w:asciiTheme="minorEastAsia" w:hAnsiTheme="minorEastAsia" w:eastAsiaTheme="minorEastAsia"/>
          <w:color w:val="000000"/>
          <w:sz w:val="24"/>
        </w:rPr>
      </w:pPr>
    </w:p>
    <w:p>
      <w:pPr>
        <w:adjustRightInd w:val="0"/>
        <w:spacing w:line="360" w:lineRule="auto"/>
        <w:ind w:firstLine="480" w:firstLineChars="200"/>
        <w:jc w:val="left"/>
        <w:rPr>
          <w:rFonts w:asciiTheme="minorEastAsia" w:hAnsiTheme="minorEastAsia" w:eastAsiaTheme="minorEastAsia"/>
          <w:sz w:val="24"/>
          <w:szCs w:val="24"/>
        </w:rPr>
      </w:pPr>
    </w:p>
    <w:p>
      <w:pPr>
        <w:adjustRightInd w:val="0"/>
        <w:spacing w:line="360" w:lineRule="auto"/>
        <w:ind w:firstLine="480" w:firstLineChars="200"/>
        <w:jc w:val="left"/>
        <w:rPr>
          <w:rFonts w:asciiTheme="minorEastAsia" w:hAnsiTheme="minorEastAsia" w:eastAsiaTheme="minorEastAsia"/>
          <w:sz w:val="24"/>
          <w:szCs w:val="24"/>
        </w:rPr>
      </w:pPr>
      <w:r>
        <w:rPr>
          <w:rFonts w:hint="eastAsia" w:cs="仿宋" w:asciiTheme="minorEastAsia" w:hAnsiTheme="minorEastAsia" w:eastAsiaTheme="minorEastAsia"/>
          <w:sz w:val="24"/>
          <w:szCs w:val="24"/>
        </w:rPr>
        <w:t>供应商名称：</w:t>
      </w:r>
      <w:r>
        <w:rPr>
          <w:rFonts w:cs="仿宋" w:asciiTheme="minorEastAsia" w:hAnsiTheme="minorEastAsia" w:eastAsiaTheme="minorEastAsia"/>
          <w:sz w:val="24"/>
          <w:szCs w:val="24"/>
        </w:rPr>
        <w:t>XXX</w:t>
      </w:r>
      <w:r>
        <w:rPr>
          <w:rFonts w:hint="eastAsia" w:cs="仿宋" w:asciiTheme="minorEastAsia" w:hAnsiTheme="minorEastAsia" w:eastAsiaTheme="minorEastAsia"/>
          <w:sz w:val="24"/>
          <w:szCs w:val="24"/>
        </w:rPr>
        <w:t>（盖单位公章）</w:t>
      </w:r>
    </w:p>
    <w:p>
      <w:pPr>
        <w:adjustRightInd w:val="0"/>
        <w:spacing w:line="360" w:lineRule="auto"/>
        <w:ind w:firstLine="480" w:firstLineChars="200"/>
        <w:jc w:val="left"/>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法定代表人</w:t>
      </w:r>
      <w:r>
        <w:rPr>
          <w:rFonts w:cs="仿宋" w:asciiTheme="minorEastAsia" w:hAnsiTheme="minorEastAsia" w:eastAsiaTheme="minorEastAsia"/>
          <w:sz w:val="24"/>
          <w:szCs w:val="24"/>
        </w:rPr>
        <w:t>/</w:t>
      </w:r>
      <w:r>
        <w:rPr>
          <w:rFonts w:hint="eastAsia" w:cs="仿宋" w:asciiTheme="minorEastAsia" w:hAnsiTheme="minorEastAsia" w:eastAsiaTheme="minorEastAsia"/>
          <w:sz w:val="24"/>
          <w:szCs w:val="24"/>
        </w:rPr>
        <w:t>单位负责人或授权代表（签字或加盖个人印章）：</w:t>
      </w:r>
      <w:r>
        <w:rPr>
          <w:rFonts w:cs="仿宋" w:asciiTheme="minorEastAsia" w:hAnsiTheme="minorEastAsia" w:eastAsiaTheme="minorEastAsia"/>
          <w:sz w:val="24"/>
          <w:szCs w:val="24"/>
        </w:rPr>
        <w:t>XXX</w:t>
      </w:r>
    </w:p>
    <w:p>
      <w:pPr>
        <w:adjustRightInd w:val="0"/>
        <w:spacing w:line="360" w:lineRule="auto"/>
        <w:ind w:firstLine="540" w:firstLineChars="225"/>
        <w:jc w:val="left"/>
        <w:rPr>
          <w:rFonts w:asciiTheme="minorEastAsia" w:hAnsiTheme="minorEastAsia" w:eastAsiaTheme="minorEastAsia"/>
        </w:rPr>
      </w:pPr>
      <w:r>
        <w:rPr>
          <w:rFonts w:hint="eastAsia" w:cs="仿宋" w:asciiTheme="minorEastAsia" w:hAnsiTheme="minorEastAsia" w:eastAsiaTheme="minorEastAsia"/>
          <w:sz w:val="24"/>
          <w:szCs w:val="24"/>
        </w:rPr>
        <w:t>日</w:t>
      </w:r>
      <w:r>
        <w:rPr>
          <w:rFonts w:cs="仿宋" w:asciiTheme="minorEastAsia" w:hAnsiTheme="minorEastAsia" w:eastAsiaTheme="minorEastAsia"/>
          <w:sz w:val="24"/>
          <w:szCs w:val="24"/>
        </w:rPr>
        <w:t xml:space="preserve">  </w:t>
      </w:r>
      <w:r>
        <w:rPr>
          <w:rFonts w:hint="eastAsia" w:cs="仿宋" w:asciiTheme="minorEastAsia" w:hAnsiTheme="minorEastAsia" w:eastAsiaTheme="minorEastAsia"/>
          <w:sz w:val="24"/>
          <w:szCs w:val="24"/>
        </w:rPr>
        <w:t>期：</w:t>
      </w:r>
      <w:r>
        <w:rPr>
          <w:rFonts w:cs="仿宋" w:asciiTheme="minorEastAsia" w:hAnsiTheme="minorEastAsia" w:eastAsiaTheme="minorEastAsia"/>
          <w:sz w:val="24"/>
          <w:szCs w:val="24"/>
        </w:rPr>
        <w:t>XXX</w:t>
      </w:r>
      <w:r>
        <w:rPr>
          <w:rFonts w:hint="eastAsia" w:cs="仿宋" w:asciiTheme="minorEastAsia" w:hAnsiTheme="minorEastAsia" w:eastAsiaTheme="minorEastAsia"/>
          <w:sz w:val="24"/>
          <w:szCs w:val="24"/>
        </w:rPr>
        <w:t>年</w:t>
      </w:r>
      <w:r>
        <w:rPr>
          <w:rFonts w:cs="仿宋" w:asciiTheme="minorEastAsia" w:hAnsiTheme="minorEastAsia" w:eastAsiaTheme="minorEastAsia"/>
          <w:sz w:val="24"/>
          <w:szCs w:val="24"/>
        </w:rPr>
        <w:t>XXX</w:t>
      </w:r>
      <w:r>
        <w:rPr>
          <w:rFonts w:hint="eastAsia" w:cs="仿宋" w:asciiTheme="minorEastAsia" w:hAnsiTheme="minorEastAsia" w:eastAsiaTheme="minorEastAsia"/>
          <w:sz w:val="24"/>
          <w:szCs w:val="24"/>
        </w:rPr>
        <w:t>月</w:t>
      </w:r>
      <w:r>
        <w:rPr>
          <w:rFonts w:cs="仿宋" w:asciiTheme="minorEastAsia" w:hAnsiTheme="minorEastAsia" w:eastAsiaTheme="minorEastAsia"/>
          <w:sz w:val="24"/>
          <w:szCs w:val="24"/>
        </w:rPr>
        <w:t>XXX</w:t>
      </w:r>
      <w:r>
        <w:rPr>
          <w:rFonts w:hint="eastAsia" w:cs="仿宋" w:asciiTheme="minorEastAsia" w:hAnsiTheme="minorEastAsia" w:eastAsiaTheme="minorEastAsia"/>
          <w:sz w:val="24"/>
          <w:szCs w:val="24"/>
        </w:rPr>
        <w:t>日</w:t>
      </w:r>
    </w:p>
    <w:p>
      <w:pPr>
        <w:adjustRightInd w:val="0"/>
        <w:spacing w:line="360" w:lineRule="auto"/>
        <w:ind w:firstLine="540" w:firstLineChars="225"/>
        <w:jc w:val="left"/>
        <w:rPr>
          <w:rFonts w:ascii="仿宋" w:hAnsi="仿宋" w:eastAsia="仿宋"/>
          <w:sz w:val="24"/>
          <w:szCs w:val="24"/>
        </w:rPr>
      </w:pPr>
    </w:p>
    <w:p>
      <w:pPr>
        <w:pStyle w:val="2"/>
        <w:rPr>
          <w:rFonts w:ascii="仿宋" w:hAnsi="仿宋" w:eastAsia="仿宋"/>
          <w:sz w:val="24"/>
          <w:szCs w:val="24"/>
        </w:rPr>
      </w:pPr>
    </w:p>
    <w:p>
      <w:pPr>
        <w:spacing w:line="360" w:lineRule="auto"/>
        <w:rPr>
          <w:rFonts w:hint="eastAsia" w:ascii="仿宋" w:hAnsi="仿宋" w:eastAsia="仿宋" w:cs="仿宋"/>
          <w:b/>
          <w:bCs/>
          <w:sz w:val="28"/>
          <w:szCs w:val="28"/>
          <w:lang w:eastAsia="zh-CN"/>
        </w:rPr>
      </w:pPr>
      <w:r>
        <w:rPr>
          <w:rFonts w:hint="eastAsia" w:ascii="仿宋" w:hAnsi="仿宋" w:eastAsia="仿宋" w:cs="仿宋"/>
          <w:b/>
          <w:bCs/>
          <w:sz w:val="28"/>
          <w:szCs w:val="28"/>
        </w:rPr>
        <w:t>格式1-</w:t>
      </w:r>
      <w:r>
        <w:rPr>
          <w:rFonts w:hint="eastAsia" w:ascii="仿宋" w:hAnsi="仿宋" w:eastAsia="仿宋" w:cs="仿宋"/>
          <w:b/>
          <w:bCs/>
          <w:sz w:val="28"/>
          <w:szCs w:val="28"/>
          <w:lang w:val="en-US" w:eastAsia="zh-CN"/>
        </w:rPr>
        <w:t>9</w:t>
      </w:r>
    </w:p>
    <w:p>
      <w:pPr>
        <w:spacing w:line="360" w:lineRule="auto"/>
        <w:jc w:val="center"/>
        <w:rPr>
          <w:rFonts w:ascii="仿宋" w:hAnsi="仿宋" w:eastAsia="仿宋"/>
          <w:b/>
          <w:bCs/>
          <w:sz w:val="32"/>
          <w:szCs w:val="32"/>
        </w:rPr>
      </w:pPr>
    </w:p>
    <w:p>
      <w:pPr>
        <w:spacing w:line="360" w:lineRule="auto"/>
        <w:jc w:val="center"/>
        <w:rPr>
          <w:rFonts w:ascii="仿宋" w:hAnsi="仿宋" w:eastAsia="仿宋"/>
          <w:b/>
          <w:bCs/>
          <w:sz w:val="32"/>
          <w:szCs w:val="32"/>
        </w:rPr>
      </w:pPr>
      <w:r>
        <w:rPr>
          <w:rFonts w:hint="eastAsia" w:ascii="仿宋" w:hAnsi="仿宋" w:eastAsia="仿宋" w:cs="仿宋"/>
          <w:b/>
          <w:bCs/>
          <w:sz w:val="32"/>
          <w:szCs w:val="32"/>
          <w:lang w:val="en-US" w:eastAsia="zh-CN"/>
        </w:rPr>
        <w:t>八</w:t>
      </w:r>
      <w:r>
        <w:rPr>
          <w:rFonts w:hint="eastAsia" w:ascii="仿宋" w:hAnsi="仿宋" w:eastAsia="仿宋" w:cs="仿宋"/>
          <w:b/>
          <w:bCs/>
          <w:sz w:val="32"/>
          <w:szCs w:val="32"/>
        </w:rPr>
        <w:t>、供应商类似项目业绩一览表</w:t>
      </w:r>
    </w:p>
    <w:p>
      <w:pPr>
        <w:spacing w:line="360" w:lineRule="auto"/>
        <w:rPr>
          <w:rFonts w:ascii="仿宋" w:hAnsi="仿宋" w:eastAsia="仿宋"/>
          <w:sz w:val="24"/>
          <w:szCs w:val="24"/>
        </w:rPr>
      </w:pPr>
    </w:p>
    <w:tbl>
      <w:tblPr>
        <w:tblStyle w:val="42"/>
        <w:tblW w:w="10506" w:type="dxa"/>
        <w:jc w:val="center"/>
        <w:tblInd w:w="0" w:type="dxa"/>
        <w:tblLayout w:type="fixed"/>
        <w:tblCellMar>
          <w:top w:w="0" w:type="dxa"/>
          <w:left w:w="108" w:type="dxa"/>
          <w:bottom w:w="0" w:type="dxa"/>
          <w:right w:w="108" w:type="dxa"/>
        </w:tblCellMar>
      </w:tblPr>
      <w:tblGrid>
        <w:gridCol w:w="658"/>
        <w:gridCol w:w="1417"/>
        <w:gridCol w:w="1559"/>
        <w:gridCol w:w="1276"/>
        <w:gridCol w:w="1418"/>
        <w:gridCol w:w="1134"/>
        <w:gridCol w:w="1133"/>
        <w:gridCol w:w="1224"/>
        <w:gridCol w:w="687"/>
      </w:tblGrid>
      <w:tr>
        <w:tblPrEx>
          <w:tblLayout w:type="fixed"/>
          <w:tblCellMar>
            <w:top w:w="0" w:type="dxa"/>
            <w:left w:w="108" w:type="dxa"/>
            <w:bottom w:w="0" w:type="dxa"/>
            <w:right w:w="108" w:type="dxa"/>
          </w:tblCellMar>
        </w:tblPrEx>
        <w:trPr>
          <w:trHeight w:val="601" w:hRule="atLeast"/>
          <w:jc w:val="center"/>
        </w:trPr>
        <w:tc>
          <w:tcPr>
            <w:tcW w:w="65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序号</w:t>
            </w:r>
          </w:p>
        </w:tc>
        <w:tc>
          <w:tcPr>
            <w:tcW w:w="1417" w:type="dxa"/>
            <w:tcBorders>
              <w:top w:val="single" w:color="auto" w:sz="4" w:space="0"/>
              <w:left w:val="nil"/>
              <w:bottom w:val="single" w:color="auto" w:sz="4" w:space="0"/>
              <w:right w:val="single" w:color="auto" w:sz="4" w:space="0"/>
            </w:tcBorders>
            <w:vAlign w:val="center"/>
          </w:tcPr>
          <w:p>
            <w:pPr>
              <w:widowControl/>
              <w:spacing w:line="360" w:lineRule="auto"/>
              <w:ind w:left="-69" w:leftChars="-33" w:right="-94" w:rightChars="-45"/>
              <w:jc w:val="center"/>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项目业主</w:t>
            </w:r>
          </w:p>
        </w:tc>
        <w:tc>
          <w:tcPr>
            <w:tcW w:w="155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项目名称</w:t>
            </w:r>
          </w:p>
        </w:tc>
        <w:tc>
          <w:tcPr>
            <w:tcW w:w="1276"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工程类别</w:t>
            </w:r>
          </w:p>
        </w:tc>
        <w:tc>
          <w:tcPr>
            <w:tcW w:w="1418"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开工日期</w:t>
            </w:r>
          </w:p>
        </w:tc>
        <w:tc>
          <w:tcPr>
            <w:tcW w:w="1134"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竣工日期</w:t>
            </w:r>
          </w:p>
        </w:tc>
        <w:tc>
          <w:tcPr>
            <w:tcW w:w="1133" w:type="dxa"/>
            <w:tcBorders>
              <w:top w:val="single" w:color="auto" w:sz="4" w:space="0"/>
              <w:left w:val="nil"/>
              <w:bottom w:val="single" w:color="auto" w:sz="4" w:space="0"/>
              <w:right w:val="single" w:color="auto" w:sz="4" w:space="0"/>
            </w:tcBorders>
            <w:vAlign w:val="center"/>
          </w:tcPr>
          <w:p>
            <w:pPr>
              <w:widowControl/>
              <w:spacing w:line="360" w:lineRule="auto"/>
              <w:ind w:left="13" w:leftChars="-44" w:right="-94" w:rightChars="-45" w:hanging="105" w:hangingChars="50"/>
              <w:jc w:val="center"/>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建设规模</w:t>
            </w:r>
          </w:p>
        </w:tc>
        <w:tc>
          <w:tcPr>
            <w:tcW w:w="1224" w:type="dxa"/>
            <w:tcBorders>
              <w:top w:val="single" w:color="auto" w:sz="4" w:space="0"/>
              <w:left w:val="nil"/>
              <w:bottom w:val="single" w:color="auto" w:sz="4" w:space="0"/>
              <w:right w:val="single" w:color="auto" w:sz="4" w:space="0"/>
            </w:tcBorders>
            <w:vAlign w:val="center"/>
          </w:tcPr>
          <w:p>
            <w:pPr>
              <w:widowControl/>
              <w:spacing w:line="360" w:lineRule="auto"/>
              <w:ind w:right="-94" w:rightChars="-45"/>
              <w:jc w:val="center"/>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合同价格（元）</w:t>
            </w:r>
          </w:p>
        </w:tc>
        <w:tc>
          <w:tcPr>
            <w:tcW w:w="687" w:type="dxa"/>
            <w:tcBorders>
              <w:top w:val="single" w:color="auto" w:sz="4" w:space="0"/>
              <w:left w:val="nil"/>
              <w:bottom w:val="single" w:color="auto" w:sz="4" w:space="0"/>
              <w:right w:val="single" w:color="auto" w:sz="4" w:space="0"/>
            </w:tcBorders>
            <w:vAlign w:val="center"/>
          </w:tcPr>
          <w:p>
            <w:pPr>
              <w:widowControl/>
              <w:spacing w:line="360" w:lineRule="auto"/>
              <w:ind w:right="-94" w:rightChars="-45"/>
              <w:jc w:val="center"/>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备注</w:t>
            </w:r>
          </w:p>
        </w:tc>
      </w:tr>
      <w:tr>
        <w:tblPrEx>
          <w:tblLayout w:type="fixed"/>
          <w:tblCellMar>
            <w:top w:w="0" w:type="dxa"/>
            <w:left w:w="108" w:type="dxa"/>
            <w:bottom w:w="0" w:type="dxa"/>
            <w:right w:w="108" w:type="dxa"/>
          </w:tblCellMar>
        </w:tblPrEx>
        <w:trPr>
          <w:trHeight w:val="601" w:hRule="atLeast"/>
          <w:jc w:val="center"/>
        </w:trPr>
        <w:tc>
          <w:tcPr>
            <w:tcW w:w="65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1</w:t>
            </w:r>
          </w:p>
        </w:tc>
        <w:tc>
          <w:tcPr>
            <w:tcW w:w="1417"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color w:val="000000" w:themeColor="text1"/>
                <w:kern w:val="0"/>
                <w14:textFill>
                  <w14:solidFill>
                    <w14:schemeClr w14:val="tx1"/>
                  </w14:solidFill>
                </w14:textFill>
              </w:rPr>
            </w:pPr>
          </w:p>
        </w:tc>
        <w:tc>
          <w:tcPr>
            <w:tcW w:w="155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color w:val="000000" w:themeColor="text1"/>
                <w:kern w:val="0"/>
                <w14:textFill>
                  <w14:solidFill>
                    <w14:schemeClr w14:val="tx1"/>
                  </w14:solidFill>
                </w14:textFill>
              </w:rPr>
            </w:pPr>
          </w:p>
        </w:tc>
        <w:tc>
          <w:tcPr>
            <w:tcW w:w="1276"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color w:val="000000" w:themeColor="text1"/>
                <w:kern w:val="0"/>
                <w14:textFill>
                  <w14:solidFill>
                    <w14:schemeClr w14:val="tx1"/>
                  </w14:solidFill>
                </w14:textFill>
              </w:rPr>
            </w:pPr>
          </w:p>
        </w:tc>
        <w:tc>
          <w:tcPr>
            <w:tcW w:w="1418"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color w:val="000000" w:themeColor="text1"/>
                <w:kern w:val="0"/>
                <w14:textFill>
                  <w14:solidFill>
                    <w14:schemeClr w14:val="tx1"/>
                  </w14:solidFill>
                </w14:textFill>
              </w:rPr>
            </w:pPr>
          </w:p>
        </w:tc>
        <w:tc>
          <w:tcPr>
            <w:tcW w:w="1134"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color w:val="000000" w:themeColor="text1"/>
                <w:kern w:val="0"/>
                <w14:textFill>
                  <w14:solidFill>
                    <w14:schemeClr w14:val="tx1"/>
                  </w14:solidFill>
                </w14:textFill>
              </w:rPr>
            </w:pPr>
          </w:p>
        </w:tc>
        <w:tc>
          <w:tcPr>
            <w:tcW w:w="1133"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color w:val="000000" w:themeColor="text1"/>
                <w:kern w:val="0"/>
                <w14:textFill>
                  <w14:solidFill>
                    <w14:schemeClr w14:val="tx1"/>
                  </w14:solidFill>
                </w14:textFill>
              </w:rPr>
            </w:pPr>
          </w:p>
        </w:tc>
        <w:tc>
          <w:tcPr>
            <w:tcW w:w="1224"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color w:val="000000" w:themeColor="text1"/>
                <w:kern w:val="0"/>
                <w14:textFill>
                  <w14:solidFill>
                    <w14:schemeClr w14:val="tx1"/>
                  </w14:solidFill>
                </w14:textFill>
              </w:rPr>
            </w:pPr>
          </w:p>
        </w:tc>
        <w:tc>
          <w:tcPr>
            <w:tcW w:w="687" w:type="dxa"/>
            <w:tcBorders>
              <w:top w:val="single" w:color="auto" w:sz="4" w:space="0"/>
              <w:left w:val="nil"/>
              <w:bottom w:val="single" w:color="auto" w:sz="4" w:space="0"/>
              <w:right w:val="single" w:color="auto" w:sz="4" w:space="0"/>
            </w:tcBorders>
          </w:tcPr>
          <w:p>
            <w:pPr>
              <w:widowControl/>
              <w:spacing w:line="360" w:lineRule="auto"/>
              <w:jc w:val="center"/>
              <w:rPr>
                <w:rFonts w:ascii="宋体" w:hAnsi="宋体" w:cs="宋体"/>
                <w:color w:val="000000" w:themeColor="text1"/>
                <w:kern w:val="0"/>
                <w14:textFill>
                  <w14:solidFill>
                    <w14:schemeClr w14:val="tx1"/>
                  </w14:solidFill>
                </w14:textFill>
              </w:rPr>
            </w:pPr>
          </w:p>
        </w:tc>
      </w:tr>
      <w:tr>
        <w:tblPrEx>
          <w:tblLayout w:type="fixed"/>
          <w:tblCellMar>
            <w:top w:w="0" w:type="dxa"/>
            <w:left w:w="108" w:type="dxa"/>
            <w:bottom w:w="0" w:type="dxa"/>
            <w:right w:w="108" w:type="dxa"/>
          </w:tblCellMar>
        </w:tblPrEx>
        <w:trPr>
          <w:trHeight w:val="537" w:hRule="atLeast"/>
          <w:jc w:val="center"/>
        </w:trPr>
        <w:tc>
          <w:tcPr>
            <w:tcW w:w="65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2</w:t>
            </w:r>
          </w:p>
        </w:tc>
        <w:tc>
          <w:tcPr>
            <w:tcW w:w="1417"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color w:val="000000" w:themeColor="text1"/>
                <w:kern w:val="0"/>
                <w14:textFill>
                  <w14:solidFill>
                    <w14:schemeClr w14:val="tx1"/>
                  </w14:solidFill>
                </w14:textFill>
              </w:rPr>
            </w:pPr>
          </w:p>
        </w:tc>
        <w:tc>
          <w:tcPr>
            <w:tcW w:w="155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color w:val="000000" w:themeColor="text1"/>
                <w:kern w:val="0"/>
                <w14:textFill>
                  <w14:solidFill>
                    <w14:schemeClr w14:val="tx1"/>
                  </w14:solidFill>
                </w14:textFill>
              </w:rPr>
            </w:pPr>
          </w:p>
        </w:tc>
        <w:tc>
          <w:tcPr>
            <w:tcW w:w="1276"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color w:val="000000" w:themeColor="text1"/>
                <w:kern w:val="0"/>
                <w14:textFill>
                  <w14:solidFill>
                    <w14:schemeClr w14:val="tx1"/>
                  </w14:solidFill>
                </w14:textFill>
              </w:rPr>
            </w:pPr>
          </w:p>
        </w:tc>
        <w:tc>
          <w:tcPr>
            <w:tcW w:w="1418"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color w:val="000000" w:themeColor="text1"/>
                <w:kern w:val="0"/>
                <w14:textFill>
                  <w14:solidFill>
                    <w14:schemeClr w14:val="tx1"/>
                  </w14:solidFill>
                </w14:textFill>
              </w:rPr>
            </w:pPr>
          </w:p>
        </w:tc>
        <w:tc>
          <w:tcPr>
            <w:tcW w:w="1134"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color w:val="000000" w:themeColor="text1"/>
                <w:kern w:val="0"/>
                <w14:textFill>
                  <w14:solidFill>
                    <w14:schemeClr w14:val="tx1"/>
                  </w14:solidFill>
                </w14:textFill>
              </w:rPr>
            </w:pPr>
          </w:p>
        </w:tc>
        <w:tc>
          <w:tcPr>
            <w:tcW w:w="1133"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color w:val="000000" w:themeColor="text1"/>
                <w:kern w:val="0"/>
                <w14:textFill>
                  <w14:solidFill>
                    <w14:schemeClr w14:val="tx1"/>
                  </w14:solidFill>
                </w14:textFill>
              </w:rPr>
            </w:pPr>
          </w:p>
        </w:tc>
        <w:tc>
          <w:tcPr>
            <w:tcW w:w="1224"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color w:val="000000" w:themeColor="text1"/>
                <w:kern w:val="0"/>
                <w14:textFill>
                  <w14:solidFill>
                    <w14:schemeClr w14:val="tx1"/>
                  </w14:solidFill>
                </w14:textFill>
              </w:rPr>
            </w:pPr>
          </w:p>
        </w:tc>
        <w:tc>
          <w:tcPr>
            <w:tcW w:w="687" w:type="dxa"/>
            <w:tcBorders>
              <w:top w:val="single" w:color="auto" w:sz="4" w:space="0"/>
              <w:left w:val="nil"/>
              <w:bottom w:val="single" w:color="auto" w:sz="4" w:space="0"/>
              <w:right w:val="single" w:color="auto" w:sz="4" w:space="0"/>
            </w:tcBorders>
          </w:tcPr>
          <w:p>
            <w:pPr>
              <w:widowControl/>
              <w:spacing w:line="360" w:lineRule="auto"/>
              <w:jc w:val="center"/>
              <w:rPr>
                <w:rFonts w:ascii="宋体" w:hAnsi="宋体" w:cs="宋体"/>
                <w:color w:val="000000" w:themeColor="text1"/>
                <w:kern w:val="0"/>
                <w14:textFill>
                  <w14:solidFill>
                    <w14:schemeClr w14:val="tx1"/>
                  </w14:solidFill>
                </w14:textFill>
              </w:rPr>
            </w:pPr>
          </w:p>
        </w:tc>
      </w:tr>
      <w:tr>
        <w:tblPrEx>
          <w:tblLayout w:type="fixed"/>
          <w:tblCellMar>
            <w:top w:w="0" w:type="dxa"/>
            <w:left w:w="108" w:type="dxa"/>
            <w:bottom w:w="0" w:type="dxa"/>
            <w:right w:w="108" w:type="dxa"/>
          </w:tblCellMar>
        </w:tblPrEx>
        <w:trPr>
          <w:trHeight w:val="537" w:hRule="atLeast"/>
          <w:jc w:val="center"/>
        </w:trPr>
        <w:tc>
          <w:tcPr>
            <w:tcW w:w="65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3</w:t>
            </w:r>
          </w:p>
        </w:tc>
        <w:tc>
          <w:tcPr>
            <w:tcW w:w="1417"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color w:val="000000" w:themeColor="text1"/>
                <w:kern w:val="0"/>
                <w14:textFill>
                  <w14:solidFill>
                    <w14:schemeClr w14:val="tx1"/>
                  </w14:solidFill>
                </w14:textFill>
              </w:rPr>
            </w:pPr>
          </w:p>
        </w:tc>
        <w:tc>
          <w:tcPr>
            <w:tcW w:w="155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color w:val="000000" w:themeColor="text1"/>
                <w:kern w:val="0"/>
                <w14:textFill>
                  <w14:solidFill>
                    <w14:schemeClr w14:val="tx1"/>
                  </w14:solidFill>
                </w14:textFill>
              </w:rPr>
            </w:pPr>
          </w:p>
        </w:tc>
        <w:tc>
          <w:tcPr>
            <w:tcW w:w="1276"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color w:val="000000" w:themeColor="text1"/>
                <w:kern w:val="0"/>
                <w14:textFill>
                  <w14:solidFill>
                    <w14:schemeClr w14:val="tx1"/>
                  </w14:solidFill>
                </w14:textFill>
              </w:rPr>
            </w:pPr>
          </w:p>
        </w:tc>
        <w:tc>
          <w:tcPr>
            <w:tcW w:w="1418"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color w:val="000000" w:themeColor="text1"/>
                <w:kern w:val="0"/>
                <w14:textFill>
                  <w14:solidFill>
                    <w14:schemeClr w14:val="tx1"/>
                  </w14:solidFill>
                </w14:textFill>
              </w:rPr>
            </w:pPr>
          </w:p>
        </w:tc>
        <w:tc>
          <w:tcPr>
            <w:tcW w:w="1134"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color w:val="000000" w:themeColor="text1"/>
                <w:kern w:val="0"/>
                <w14:textFill>
                  <w14:solidFill>
                    <w14:schemeClr w14:val="tx1"/>
                  </w14:solidFill>
                </w14:textFill>
              </w:rPr>
            </w:pPr>
          </w:p>
        </w:tc>
        <w:tc>
          <w:tcPr>
            <w:tcW w:w="1133"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color w:val="000000" w:themeColor="text1"/>
                <w:kern w:val="0"/>
                <w14:textFill>
                  <w14:solidFill>
                    <w14:schemeClr w14:val="tx1"/>
                  </w14:solidFill>
                </w14:textFill>
              </w:rPr>
            </w:pPr>
          </w:p>
        </w:tc>
        <w:tc>
          <w:tcPr>
            <w:tcW w:w="1224"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color w:val="000000" w:themeColor="text1"/>
                <w:kern w:val="0"/>
                <w14:textFill>
                  <w14:solidFill>
                    <w14:schemeClr w14:val="tx1"/>
                  </w14:solidFill>
                </w14:textFill>
              </w:rPr>
            </w:pPr>
          </w:p>
        </w:tc>
        <w:tc>
          <w:tcPr>
            <w:tcW w:w="687" w:type="dxa"/>
            <w:tcBorders>
              <w:top w:val="single" w:color="auto" w:sz="4" w:space="0"/>
              <w:left w:val="nil"/>
              <w:bottom w:val="single" w:color="auto" w:sz="4" w:space="0"/>
              <w:right w:val="single" w:color="auto" w:sz="4" w:space="0"/>
            </w:tcBorders>
          </w:tcPr>
          <w:p>
            <w:pPr>
              <w:widowControl/>
              <w:spacing w:line="360" w:lineRule="auto"/>
              <w:jc w:val="center"/>
              <w:rPr>
                <w:rFonts w:ascii="宋体" w:hAnsi="宋体" w:cs="宋体"/>
                <w:color w:val="000000" w:themeColor="text1"/>
                <w:kern w:val="0"/>
                <w14:textFill>
                  <w14:solidFill>
                    <w14:schemeClr w14:val="tx1"/>
                  </w14:solidFill>
                </w14:textFill>
              </w:rPr>
            </w:pPr>
          </w:p>
        </w:tc>
      </w:tr>
      <w:tr>
        <w:tblPrEx>
          <w:tblLayout w:type="fixed"/>
          <w:tblCellMar>
            <w:top w:w="0" w:type="dxa"/>
            <w:left w:w="108" w:type="dxa"/>
            <w:bottom w:w="0" w:type="dxa"/>
            <w:right w:w="108" w:type="dxa"/>
          </w:tblCellMar>
        </w:tblPrEx>
        <w:trPr>
          <w:trHeight w:val="537" w:hRule="atLeast"/>
          <w:jc w:val="center"/>
        </w:trPr>
        <w:tc>
          <w:tcPr>
            <w:tcW w:w="65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w:t>
            </w:r>
          </w:p>
        </w:tc>
        <w:tc>
          <w:tcPr>
            <w:tcW w:w="1417"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color w:val="000000" w:themeColor="text1"/>
                <w:kern w:val="0"/>
                <w14:textFill>
                  <w14:solidFill>
                    <w14:schemeClr w14:val="tx1"/>
                  </w14:solidFill>
                </w14:textFill>
              </w:rPr>
            </w:pPr>
          </w:p>
        </w:tc>
        <w:tc>
          <w:tcPr>
            <w:tcW w:w="155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color w:val="000000" w:themeColor="text1"/>
                <w:kern w:val="0"/>
                <w14:textFill>
                  <w14:solidFill>
                    <w14:schemeClr w14:val="tx1"/>
                  </w14:solidFill>
                </w14:textFill>
              </w:rPr>
            </w:pPr>
          </w:p>
        </w:tc>
        <w:tc>
          <w:tcPr>
            <w:tcW w:w="1276"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color w:val="000000" w:themeColor="text1"/>
                <w:kern w:val="0"/>
                <w14:textFill>
                  <w14:solidFill>
                    <w14:schemeClr w14:val="tx1"/>
                  </w14:solidFill>
                </w14:textFill>
              </w:rPr>
            </w:pPr>
          </w:p>
        </w:tc>
        <w:tc>
          <w:tcPr>
            <w:tcW w:w="1418"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color w:val="000000" w:themeColor="text1"/>
                <w:kern w:val="0"/>
                <w14:textFill>
                  <w14:solidFill>
                    <w14:schemeClr w14:val="tx1"/>
                  </w14:solidFill>
                </w14:textFill>
              </w:rPr>
            </w:pPr>
          </w:p>
        </w:tc>
        <w:tc>
          <w:tcPr>
            <w:tcW w:w="1134"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color w:val="000000" w:themeColor="text1"/>
                <w:kern w:val="0"/>
                <w14:textFill>
                  <w14:solidFill>
                    <w14:schemeClr w14:val="tx1"/>
                  </w14:solidFill>
                </w14:textFill>
              </w:rPr>
            </w:pPr>
          </w:p>
        </w:tc>
        <w:tc>
          <w:tcPr>
            <w:tcW w:w="1133"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color w:val="000000" w:themeColor="text1"/>
                <w:kern w:val="0"/>
                <w14:textFill>
                  <w14:solidFill>
                    <w14:schemeClr w14:val="tx1"/>
                  </w14:solidFill>
                </w14:textFill>
              </w:rPr>
            </w:pPr>
          </w:p>
        </w:tc>
        <w:tc>
          <w:tcPr>
            <w:tcW w:w="1224"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color w:val="000000" w:themeColor="text1"/>
                <w:kern w:val="0"/>
                <w14:textFill>
                  <w14:solidFill>
                    <w14:schemeClr w14:val="tx1"/>
                  </w14:solidFill>
                </w14:textFill>
              </w:rPr>
            </w:pPr>
          </w:p>
        </w:tc>
        <w:tc>
          <w:tcPr>
            <w:tcW w:w="687" w:type="dxa"/>
            <w:tcBorders>
              <w:top w:val="single" w:color="auto" w:sz="4" w:space="0"/>
              <w:left w:val="nil"/>
              <w:bottom w:val="single" w:color="auto" w:sz="4" w:space="0"/>
              <w:right w:val="single" w:color="auto" w:sz="4" w:space="0"/>
            </w:tcBorders>
          </w:tcPr>
          <w:p>
            <w:pPr>
              <w:widowControl/>
              <w:spacing w:line="360" w:lineRule="auto"/>
              <w:jc w:val="center"/>
              <w:rPr>
                <w:rFonts w:ascii="宋体" w:hAnsi="宋体" w:cs="宋体"/>
                <w:color w:val="000000" w:themeColor="text1"/>
                <w:kern w:val="0"/>
                <w14:textFill>
                  <w14:solidFill>
                    <w14:schemeClr w14:val="tx1"/>
                  </w14:solidFill>
                </w14:textFill>
              </w:rPr>
            </w:pPr>
          </w:p>
        </w:tc>
      </w:tr>
    </w:tbl>
    <w:p>
      <w:pPr>
        <w:spacing w:line="360" w:lineRule="auto"/>
        <w:rPr>
          <w:rFonts w:ascii="宋体" w:hAnsi="宋体" w:cs="宋体"/>
          <w:color w:val="000000" w:themeColor="text1"/>
          <w:sz w:val="24"/>
          <w:szCs w:val="24"/>
          <w14:textFill>
            <w14:solidFill>
              <w14:schemeClr w14:val="tx1"/>
            </w14:solidFill>
          </w14:textFill>
        </w:rPr>
      </w:pPr>
    </w:p>
    <w:p>
      <w:pPr>
        <w:spacing w:line="360" w:lineRule="auto"/>
        <w:ind w:left="360"/>
        <w:jc w:val="center"/>
        <w:rPr>
          <w:rFonts w:ascii="宋体" w:hAnsi="宋体" w:cs="宋体"/>
          <w:color w:val="000000" w:themeColor="text1"/>
          <w:sz w:val="24"/>
          <w:szCs w:val="24"/>
          <w14:textFill>
            <w14:solidFill>
              <w14:schemeClr w14:val="tx1"/>
            </w14:solidFill>
          </w14:textFill>
        </w:rPr>
      </w:pPr>
    </w:p>
    <w:p>
      <w:pPr>
        <w:spacing w:line="360" w:lineRule="auto"/>
        <w:jc w:val="left"/>
        <w:rPr>
          <w:rFonts w:ascii="宋体" w:hAnsi="宋体" w:cs="宋体"/>
          <w:color w:val="000000" w:themeColor="text1"/>
          <w14:textFill>
            <w14:solidFill>
              <w14:schemeClr w14:val="tx1"/>
            </w14:solidFill>
          </w14:textFill>
        </w:rPr>
      </w:pP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供应商名称：XXXX（盖单位公章）</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日期: XXXX</w:t>
      </w:r>
    </w:p>
    <w:p>
      <w:pPr>
        <w:widowControl/>
        <w:jc w:val="left"/>
        <w:rPr>
          <w:rFonts w:hint="default" w:ascii="仿宋" w:hAnsi="仿宋" w:eastAsia="仿宋" w:cs="仿宋"/>
          <w:b/>
          <w:bCs/>
          <w:sz w:val="28"/>
          <w:szCs w:val="28"/>
          <w:lang w:val="en-US" w:eastAsia="zh-CN"/>
        </w:rPr>
      </w:pPr>
      <w:r>
        <w:rPr>
          <w:rFonts w:hint="eastAsia" w:ascii="宋体" w:hAnsi="宋体" w:cs="宋体"/>
          <w:color w:val="000000" w:themeColor="text1"/>
          <w:sz w:val="24"/>
          <w:szCs w:val="24"/>
          <w14:textFill>
            <w14:solidFill>
              <w14:schemeClr w14:val="tx1"/>
            </w14:solidFill>
          </w14:textFill>
        </w:rPr>
        <w:br w:type="page"/>
      </w:r>
      <w:r>
        <w:rPr>
          <w:rFonts w:hint="eastAsia" w:ascii="仿宋" w:hAnsi="仿宋" w:eastAsia="仿宋" w:cs="仿宋"/>
          <w:b/>
          <w:bCs/>
          <w:sz w:val="28"/>
          <w:szCs w:val="28"/>
        </w:rPr>
        <w:t>格式1-</w:t>
      </w:r>
      <w:r>
        <w:rPr>
          <w:rFonts w:hint="eastAsia" w:ascii="仿宋" w:hAnsi="仿宋" w:eastAsia="仿宋" w:cs="仿宋"/>
          <w:b/>
          <w:bCs/>
          <w:sz w:val="28"/>
          <w:szCs w:val="28"/>
          <w:lang w:val="en-US" w:eastAsia="zh-CN"/>
        </w:rPr>
        <w:t>10</w:t>
      </w:r>
    </w:p>
    <w:p>
      <w:pPr>
        <w:spacing w:line="360" w:lineRule="auto"/>
        <w:jc w:val="center"/>
        <w:rPr>
          <w:rFonts w:ascii="仿宋" w:hAnsi="仿宋" w:eastAsia="仿宋"/>
          <w:b/>
          <w:bCs/>
          <w:sz w:val="32"/>
          <w:szCs w:val="32"/>
        </w:rPr>
      </w:pPr>
      <w:r>
        <w:rPr>
          <w:rFonts w:hint="eastAsia" w:ascii="仿宋" w:hAnsi="仿宋" w:eastAsia="仿宋" w:cs="仿宋"/>
          <w:b/>
          <w:bCs/>
          <w:sz w:val="32"/>
          <w:szCs w:val="32"/>
          <w:lang w:val="en-US" w:eastAsia="zh-CN"/>
        </w:rPr>
        <w:t>九</w:t>
      </w:r>
      <w:r>
        <w:rPr>
          <w:rFonts w:hint="eastAsia" w:ascii="仿宋" w:hAnsi="仿宋" w:eastAsia="仿宋" w:cs="仿宋"/>
          <w:b/>
          <w:bCs/>
          <w:sz w:val="32"/>
          <w:szCs w:val="32"/>
        </w:rPr>
        <w:t>、供应商类似项目业绩情况表</w:t>
      </w:r>
    </w:p>
    <w:p>
      <w:pPr>
        <w:spacing w:line="360" w:lineRule="auto"/>
        <w:rPr>
          <w:rFonts w:ascii="仿宋" w:hAnsi="仿宋" w:eastAsia="仿宋"/>
          <w:sz w:val="24"/>
          <w:szCs w:val="24"/>
        </w:rPr>
      </w:pPr>
    </w:p>
    <w:tbl>
      <w:tblPr>
        <w:tblStyle w:val="42"/>
        <w:tblW w:w="9530" w:type="dxa"/>
        <w:jc w:val="center"/>
        <w:tblInd w:w="0" w:type="dxa"/>
        <w:tblLayout w:type="fixed"/>
        <w:tblCellMar>
          <w:top w:w="0" w:type="dxa"/>
          <w:left w:w="108" w:type="dxa"/>
          <w:bottom w:w="0" w:type="dxa"/>
          <w:right w:w="108" w:type="dxa"/>
        </w:tblCellMar>
      </w:tblPr>
      <w:tblGrid>
        <w:gridCol w:w="677"/>
        <w:gridCol w:w="8853"/>
      </w:tblGrid>
      <w:tr>
        <w:tblPrEx>
          <w:tblLayout w:type="fixed"/>
          <w:tblCellMar>
            <w:top w:w="0" w:type="dxa"/>
            <w:left w:w="108" w:type="dxa"/>
            <w:bottom w:w="0" w:type="dxa"/>
            <w:right w:w="108" w:type="dxa"/>
          </w:tblCellMar>
        </w:tblPrEx>
        <w:trPr>
          <w:cantSplit/>
          <w:trHeight w:val="638" w:hRule="atLeast"/>
          <w:jc w:val="center"/>
        </w:trPr>
        <w:tc>
          <w:tcPr>
            <w:tcW w:w="677" w:type="dxa"/>
            <w:vMerge w:val="restart"/>
            <w:tcBorders>
              <w:top w:val="single" w:color="auto" w:sz="4" w:space="0"/>
              <w:left w:val="single" w:color="auto" w:sz="4" w:space="0"/>
              <w:bottom w:val="single" w:color="auto" w:sz="4" w:space="0"/>
              <w:right w:val="single" w:color="auto" w:sz="4" w:space="0"/>
            </w:tcBorders>
            <w:vAlign w:val="center"/>
          </w:tcPr>
          <w:p>
            <w:pPr>
              <w:pStyle w:val="14"/>
              <w:spacing w:line="360" w:lineRule="auto"/>
              <w:ind w:firstLine="0" w:firstLineChars="0"/>
              <w:jc w:val="center"/>
              <w:rPr>
                <w:rFonts w:ascii="宋体" w:hAnsi="宋体" w:cs="宋体"/>
                <w:color w:val="000000" w:themeColor="text1"/>
                <w:kern w:val="2"/>
                <w:sz w:val="21"/>
                <w:szCs w:val="21"/>
                <w14:textFill>
                  <w14:solidFill>
                    <w14:schemeClr w14:val="tx1"/>
                  </w14:solidFill>
                </w14:textFill>
              </w:rPr>
            </w:pPr>
            <w:r>
              <w:rPr>
                <w:rFonts w:hint="eastAsia" w:ascii="宋体" w:hAnsi="宋体" w:cs="宋体"/>
                <w:color w:val="000000" w:themeColor="text1"/>
                <w:kern w:val="2"/>
                <w:sz w:val="21"/>
                <w:szCs w:val="21"/>
                <w14:textFill>
                  <w14:solidFill>
                    <w14:schemeClr w14:val="tx1"/>
                  </w14:solidFill>
                </w14:textFill>
              </w:rPr>
              <w:t>1</w:t>
            </w:r>
          </w:p>
        </w:tc>
        <w:tc>
          <w:tcPr>
            <w:tcW w:w="8853" w:type="dxa"/>
            <w:tcBorders>
              <w:top w:val="single" w:color="auto" w:sz="4" w:space="0"/>
              <w:left w:val="nil"/>
              <w:bottom w:val="single" w:color="auto" w:sz="4" w:space="0"/>
              <w:right w:val="single" w:color="auto" w:sz="4" w:space="0"/>
            </w:tcBorders>
            <w:vAlign w:val="center"/>
          </w:tcPr>
          <w:p>
            <w:pPr>
              <w:spacing w:line="360" w:lineRule="auto"/>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合同名称：</w:t>
            </w:r>
          </w:p>
        </w:tc>
      </w:tr>
      <w:tr>
        <w:tblPrEx>
          <w:tblLayout w:type="fixed"/>
          <w:tblCellMar>
            <w:top w:w="0" w:type="dxa"/>
            <w:left w:w="108" w:type="dxa"/>
            <w:bottom w:w="0" w:type="dxa"/>
            <w:right w:w="108" w:type="dxa"/>
          </w:tblCellMar>
        </w:tblPrEx>
        <w:trPr>
          <w:cantSplit/>
          <w:trHeight w:val="638" w:hRule="atLeast"/>
          <w:jc w:val="center"/>
        </w:trPr>
        <w:tc>
          <w:tcPr>
            <w:tcW w:w="67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color w:val="000000" w:themeColor="text1"/>
                <w14:textFill>
                  <w14:solidFill>
                    <w14:schemeClr w14:val="tx1"/>
                  </w14:solidFill>
                </w14:textFill>
              </w:rPr>
            </w:pPr>
          </w:p>
        </w:tc>
        <w:tc>
          <w:tcPr>
            <w:tcW w:w="8853" w:type="dxa"/>
            <w:tcBorders>
              <w:top w:val="single" w:color="auto" w:sz="4" w:space="0"/>
              <w:left w:val="nil"/>
              <w:bottom w:val="single" w:color="auto" w:sz="4" w:space="0"/>
              <w:right w:val="single" w:color="auto" w:sz="4" w:space="0"/>
            </w:tcBorders>
            <w:vAlign w:val="center"/>
          </w:tcPr>
          <w:p>
            <w:pPr>
              <w:spacing w:line="360" w:lineRule="auto"/>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业主名称：</w:t>
            </w:r>
          </w:p>
        </w:tc>
      </w:tr>
      <w:tr>
        <w:tblPrEx>
          <w:tblLayout w:type="fixed"/>
          <w:tblCellMar>
            <w:top w:w="0" w:type="dxa"/>
            <w:left w:w="108" w:type="dxa"/>
            <w:bottom w:w="0" w:type="dxa"/>
            <w:right w:w="108" w:type="dxa"/>
          </w:tblCellMar>
        </w:tblPrEx>
        <w:trPr>
          <w:cantSplit/>
          <w:trHeight w:val="638" w:hRule="atLeast"/>
          <w:jc w:val="center"/>
        </w:trPr>
        <w:tc>
          <w:tcPr>
            <w:tcW w:w="67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color w:val="000000" w:themeColor="text1"/>
                <w14:textFill>
                  <w14:solidFill>
                    <w14:schemeClr w14:val="tx1"/>
                  </w14:solidFill>
                </w14:textFill>
              </w:rPr>
            </w:pPr>
          </w:p>
        </w:tc>
        <w:tc>
          <w:tcPr>
            <w:tcW w:w="8853" w:type="dxa"/>
            <w:tcBorders>
              <w:top w:val="single" w:color="auto" w:sz="4" w:space="0"/>
              <w:left w:val="nil"/>
              <w:bottom w:val="single" w:color="auto" w:sz="4" w:space="0"/>
              <w:right w:val="single" w:color="auto" w:sz="4" w:space="0"/>
            </w:tcBorders>
            <w:vAlign w:val="center"/>
          </w:tcPr>
          <w:p>
            <w:pPr>
              <w:spacing w:line="360" w:lineRule="auto"/>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合同价格：</w:t>
            </w:r>
          </w:p>
        </w:tc>
      </w:tr>
      <w:tr>
        <w:tblPrEx>
          <w:tblLayout w:type="fixed"/>
          <w:tblCellMar>
            <w:top w:w="0" w:type="dxa"/>
            <w:left w:w="108" w:type="dxa"/>
            <w:bottom w:w="0" w:type="dxa"/>
            <w:right w:w="108" w:type="dxa"/>
          </w:tblCellMar>
        </w:tblPrEx>
        <w:trPr>
          <w:cantSplit/>
          <w:trHeight w:val="638" w:hRule="atLeast"/>
          <w:jc w:val="center"/>
        </w:trPr>
        <w:tc>
          <w:tcPr>
            <w:tcW w:w="67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color w:val="000000" w:themeColor="text1"/>
                <w14:textFill>
                  <w14:solidFill>
                    <w14:schemeClr w14:val="tx1"/>
                  </w14:solidFill>
                </w14:textFill>
              </w:rPr>
            </w:pPr>
          </w:p>
        </w:tc>
        <w:tc>
          <w:tcPr>
            <w:tcW w:w="8853" w:type="dxa"/>
            <w:tcBorders>
              <w:top w:val="single" w:color="auto" w:sz="4" w:space="0"/>
              <w:left w:val="nil"/>
              <w:bottom w:val="single" w:color="auto" w:sz="4" w:space="0"/>
              <w:right w:val="single" w:color="auto" w:sz="4" w:space="0"/>
            </w:tcBorders>
            <w:vAlign w:val="center"/>
          </w:tcPr>
          <w:p>
            <w:pPr>
              <w:spacing w:line="360" w:lineRule="auto"/>
              <w:ind w:left="4" w:leftChars="-10" w:hanging="25" w:hangingChars="12"/>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工程地址：</w:t>
            </w:r>
          </w:p>
        </w:tc>
      </w:tr>
      <w:tr>
        <w:tblPrEx>
          <w:tblLayout w:type="fixed"/>
          <w:tblCellMar>
            <w:top w:w="0" w:type="dxa"/>
            <w:left w:w="108" w:type="dxa"/>
            <w:bottom w:w="0" w:type="dxa"/>
            <w:right w:w="108" w:type="dxa"/>
          </w:tblCellMar>
        </w:tblPrEx>
        <w:trPr>
          <w:trHeight w:val="638" w:hRule="atLeast"/>
          <w:jc w:val="center"/>
        </w:trPr>
        <w:tc>
          <w:tcPr>
            <w:tcW w:w="677" w:type="dxa"/>
            <w:tcBorders>
              <w:top w:val="single" w:color="auto" w:sz="4" w:space="0"/>
              <w:left w:val="single" w:color="auto" w:sz="4" w:space="0"/>
              <w:bottom w:val="single" w:color="auto" w:sz="4" w:space="0"/>
              <w:right w:val="single" w:color="auto" w:sz="4" w:space="0"/>
            </w:tcBorders>
            <w:vAlign w:val="center"/>
          </w:tcPr>
          <w:p>
            <w:pPr>
              <w:pStyle w:val="14"/>
              <w:spacing w:line="360" w:lineRule="auto"/>
              <w:ind w:firstLine="0" w:firstLineChars="0"/>
              <w:jc w:val="center"/>
              <w:rPr>
                <w:rFonts w:ascii="宋体" w:hAnsi="宋体" w:cs="宋体"/>
                <w:color w:val="000000" w:themeColor="text1"/>
                <w:kern w:val="2"/>
                <w:sz w:val="21"/>
                <w:szCs w:val="21"/>
                <w14:textFill>
                  <w14:solidFill>
                    <w14:schemeClr w14:val="tx1"/>
                  </w14:solidFill>
                </w14:textFill>
              </w:rPr>
            </w:pPr>
            <w:r>
              <w:rPr>
                <w:rFonts w:hint="eastAsia" w:ascii="宋体" w:hAnsi="宋体" w:cs="宋体"/>
                <w:color w:val="000000" w:themeColor="text1"/>
                <w:kern w:val="2"/>
                <w:sz w:val="21"/>
                <w:szCs w:val="21"/>
                <w14:textFill>
                  <w14:solidFill>
                    <w14:schemeClr w14:val="tx1"/>
                  </w14:solidFill>
                </w14:textFill>
              </w:rPr>
              <w:t>2</w:t>
            </w:r>
          </w:p>
        </w:tc>
        <w:tc>
          <w:tcPr>
            <w:tcW w:w="8853" w:type="dxa"/>
            <w:tcBorders>
              <w:top w:val="single" w:color="auto" w:sz="4" w:space="0"/>
              <w:left w:val="nil"/>
              <w:bottom w:val="single" w:color="auto" w:sz="4" w:space="0"/>
              <w:right w:val="single" w:color="auto" w:sz="4" w:space="0"/>
            </w:tcBorders>
            <w:vAlign w:val="center"/>
          </w:tcPr>
          <w:p>
            <w:pPr>
              <w:pStyle w:val="92"/>
              <w:spacing w:line="360" w:lineRule="auto"/>
              <w:rPr>
                <w:rFonts w:hAnsi="宋体"/>
                <w:color w:val="000000" w:themeColor="text1"/>
                <w:sz w:val="21"/>
                <w:szCs w:val="21"/>
                <w14:textFill>
                  <w14:solidFill>
                    <w14:schemeClr w14:val="tx1"/>
                  </w14:solidFill>
                </w14:textFill>
              </w:rPr>
            </w:pPr>
            <w:r>
              <w:rPr>
                <w:rFonts w:hint="eastAsia" w:hAnsi="宋体"/>
                <w:color w:val="000000" w:themeColor="text1"/>
                <w:sz w:val="21"/>
                <w:szCs w:val="21"/>
                <w14:textFill>
                  <w14:solidFill>
                    <w14:schemeClr w14:val="tx1"/>
                  </w14:solidFill>
                </w14:textFill>
              </w:rPr>
              <w:t>所承担合同的主要内容：</w:t>
            </w:r>
          </w:p>
        </w:tc>
      </w:tr>
      <w:tr>
        <w:tblPrEx>
          <w:tblLayout w:type="fixed"/>
          <w:tblCellMar>
            <w:top w:w="0" w:type="dxa"/>
            <w:left w:w="108" w:type="dxa"/>
            <w:bottom w:w="0" w:type="dxa"/>
            <w:right w:w="108" w:type="dxa"/>
          </w:tblCellMar>
        </w:tblPrEx>
        <w:trPr>
          <w:trHeight w:val="638" w:hRule="atLeast"/>
          <w:jc w:val="center"/>
        </w:trPr>
        <w:tc>
          <w:tcPr>
            <w:tcW w:w="677" w:type="dxa"/>
            <w:tcBorders>
              <w:top w:val="single" w:color="auto" w:sz="4" w:space="0"/>
              <w:left w:val="single" w:color="auto" w:sz="4" w:space="0"/>
              <w:bottom w:val="single" w:color="auto" w:sz="4" w:space="0"/>
              <w:right w:val="single" w:color="auto" w:sz="4" w:space="0"/>
            </w:tcBorders>
            <w:vAlign w:val="center"/>
          </w:tcPr>
          <w:p>
            <w:pPr>
              <w:pStyle w:val="14"/>
              <w:spacing w:line="360" w:lineRule="auto"/>
              <w:ind w:firstLine="0" w:firstLineChars="0"/>
              <w:jc w:val="center"/>
              <w:rPr>
                <w:rFonts w:ascii="宋体" w:hAnsi="宋体" w:cs="宋体"/>
                <w:color w:val="000000" w:themeColor="text1"/>
                <w:kern w:val="2"/>
                <w:sz w:val="21"/>
                <w:szCs w:val="21"/>
                <w14:textFill>
                  <w14:solidFill>
                    <w14:schemeClr w14:val="tx1"/>
                  </w14:solidFill>
                </w14:textFill>
              </w:rPr>
            </w:pPr>
            <w:r>
              <w:rPr>
                <w:rFonts w:hint="eastAsia" w:ascii="宋体" w:hAnsi="宋体" w:cs="宋体"/>
                <w:color w:val="000000" w:themeColor="text1"/>
                <w:kern w:val="2"/>
                <w:sz w:val="21"/>
                <w:szCs w:val="21"/>
                <w14:textFill>
                  <w14:solidFill>
                    <w14:schemeClr w14:val="tx1"/>
                  </w14:solidFill>
                </w14:textFill>
              </w:rPr>
              <w:t>3</w:t>
            </w:r>
          </w:p>
        </w:tc>
        <w:tc>
          <w:tcPr>
            <w:tcW w:w="8853" w:type="dxa"/>
            <w:tcBorders>
              <w:top w:val="single" w:color="auto" w:sz="4" w:space="0"/>
              <w:left w:val="nil"/>
              <w:bottom w:val="single" w:color="auto" w:sz="4" w:space="0"/>
              <w:right w:val="single" w:color="auto" w:sz="4" w:space="0"/>
            </w:tcBorders>
            <w:vAlign w:val="center"/>
          </w:tcPr>
          <w:p>
            <w:pPr>
              <w:pStyle w:val="92"/>
              <w:spacing w:line="360" w:lineRule="auto"/>
              <w:rPr>
                <w:rFonts w:hAnsi="宋体"/>
                <w:color w:val="000000" w:themeColor="text1"/>
                <w:sz w:val="21"/>
                <w:szCs w:val="21"/>
                <w14:textFill>
                  <w14:solidFill>
                    <w14:schemeClr w14:val="tx1"/>
                  </w14:solidFill>
                </w14:textFill>
              </w:rPr>
            </w:pPr>
            <w:r>
              <w:rPr>
                <w:rFonts w:hint="eastAsia" w:hAnsi="宋体"/>
                <w:color w:val="000000" w:themeColor="text1"/>
                <w:sz w:val="21"/>
                <w:szCs w:val="21"/>
                <w14:textFill>
                  <w14:solidFill>
                    <w14:schemeClr w14:val="tx1"/>
                  </w14:solidFill>
                </w14:textFill>
              </w:rPr>
              <w:t>工程类别：</w:t>
            </w:r>
          </w:p>
        </w:tc>
      </w:tr>
      <w:tr>
        <w:tblPrEx>
          <w:tblLayout w:type="fixed"/>
          <w:tblCellMar>
            <w:top w:w="0" w:type="dxa"/>
            <w:left w:w="108" w:type="dxa"/>
            <w:bottom w:w="0" w:type="dxa"/>
            <w:right w:w="108" w:type="dxa"/>
          </w:tblCellMar>
        </w:tblPrEx>
        <w:trPr>
          <w:trHeight w:val="638" w:hRule="atLeast"/>
          <w:jc w:val="center"/>
        </w:trPr>
        <w:tc>
          <w:tcPr>
            <w:tcW w:w="677" w:type="dxa"/>
            <w:tcBorders>
              <w:top w:val="single" w:color="auto" w:sz="4" w:space="0"/>
              <w:left w:val="single" w:color="auto" w:sz="4" w:space="0"/>
              <w:bottom w:val="single" w:color="auto" w:sz="4" w:space="0"/>
              <w:right w:val="single" w:color="auto" w:sz="4" w:space="0"/>
            </w:tcBorders>
            <w:vAlign w:val="center"/>
          </w:tcPr>
          <w:p>
            <w:pPr>
              <w:pStyle w:val="14"/>
              <w:spacing w:line="360" w:lineRule="auto"/>
              <w:ind w:firstLine="0" w:firstLineChars="0"/>
              <w:jc w:val="center"/>
              <w:rPr>
                <w:rFonts w:ascii="宋体" w:hAnsi="宋体" w:cs="宋体"/>
                <w:color w:val="000000" w:themeColor="text1"/>
                <w:kern w:val="2"/>
                <w:sz w:val="21"/>
                <w:szCs w:val="21"/>
                <w14:textFill>
                  <w14:solidFill>
                    <w14:schemeClr w14:val="tx1"/>
                  </w14:solidFill>
                </w14:textFill>
              </w:rPr>
            </w:pPr>
            <w:r>
              <w:rPr>
                <w:rFonts w:hint="eastAsia" w:ascii="宋体" w:hAnsi="宋体" w:cs="宋体"/>
                <w:color w:val="000000" w:themeColor="text1"/>
                <w:kern w:val="2"/>
                <w:sz w:val="21"/>
                <w:szCs w:val="21"/>
                <w14:textFill>
                  <w14:solidFill>
                    <w14:schemeClr w14:val="tx1"/>
                  </w14:solidFill>
                </w14:textFill>
              </w:rPr>
              <w:t>4</w:t>
            </w:r>
          </w:p>
        </w:tc>
        <w:tc>
          <w:tcPr>
            <w:tcW w:w="8853" w:type="dxa"/>
            <w:tcBorders>
              <w:top w:val="single" w:color="auto" w:sz="4" w:space="0"/>
              <w:left w:val="nil"/>
              <w:bottom w:val="single" w:color="auto" w:sz="4" w:space="0"/>
              <w:right w:val="single" w:color="auto" w:sz="4" w:space="0"/>
            </w:tcBorders>
            <w:vAlign w:val="center"/>
          </w:tcPr>
          <w:p>
            <w:pPr>
              <w:pStyle w:val="92"/>
              <w:spacing w:line="360" w:lineRule="auto"/>
              <w:rPr>
                <w:rFonts w:hAnsi="宋体"/>
                <w:color w:val="000000" w:themeColor="text1"/>
                <w:sz w:val="21"/>
                <w:szCs w:val="21"/>
                <w14:textFill>
                  <w14:solidFill>
                    <w14:schemeClr w14:val="tx1"/>
                  </w14:solidFill>
                </w14:textFill>
              </w:rPr>
            </w:pPr>
            <w:r>
              <w:rPr>
                <w:rFonts w:hint="eastAsia" w:hAnsi="宋体"/>
                <w:color w:val="000000" w:themeColor="text1"/>
                <w:sz w:val="21"/>
                <w:szCs w:val="21"/>
                <w14:textFill>
                  <w14:solidFill>
                    <w14:schemeClr w14:val="tx1"/>
                  </w14:solidFill>
                </w14:textFill>
              </w:rPr>
              <w:t>建设规模：</w:t>
            </w:r>
          </w:p>
        </w:tc>
      </w:tr>
      <w:tr>
        <w:tblPrEx>
          <w:tblLayout w:type="fixed"/>
          <w:tblCellMar>
            <w:top w:w="0" w:type="dxa"/>
            <w:left w:w="108" w:type="dxa"/>
            <w:bottom w:w="0" w:type="dxa"/>
            <w:right w:w="108" w:type="dxa"/>
          </w:tblCellMar>
        </w:tblPrEx>
        <w:trPr>
          <w:trHeight w:val="638" w:hRule="atLeast"/>
          <w:jc w:val="center"/>
        </w:trPr>
        <w:tc>
          <w:tcPr>
            <w:tcW w:w="677" w:type="dxa"/>
            <w:tcBorders>
              <w:top w:val="single" w:color="auto" w:sz="4" w:space="0"/>
              <w:left w:val="single" w:color="auto" w:sz="4" w:space="0"/>
              <w:bottom w:val="single" w:color="auto" w:sz="4" w:space="0"/>
              <w:right w:val="single" w:color="auto" w:sz="4" w:space="0"/>
            </w:tcBorders>
            <w:vAlign w:val="center"/>
          </w:tcPr>
          <w:p>
            <w:pPr>
              <w:pStyle w:val="14"/>
              <w:spacing w:line="360" w:lineRule="auto"/>
              <w:ind w:firstLine="0" w:firstLineChars="0"/>
              <w:jc w:val="center"/>
              <w:rPr>
                <w:rFonts w:ascii="宋体" w:hAnsi="宋体" w:cs="宋体"/>
                <w:color w:val="000000" w:themeColor="text1"/>
                <w:kern w:val="2"/>
                <w:sz w:val="21"/>
                <w:szCs w:val="21"/>
                <w14:textFill>
                  <w14:solidFill>
                    <w14:schemeClr w14:val="tx1"/>
                  </w14:solidFill>
                </w14:textFill>
              </w:rPr>
            </w:pPr>
            <w:r>
              <w:rPr>
                <w:rFonts w:hint="eastAsia" w:ascii="宋体" w:hAnsi="宋体" w:cs="宋体"/>
                <w:color w:val="000000" w:themeColor="text1"/>
                <w:kern w:val="2"/>
                <w:sz w:val="21"/>
                <w:szCs w:val="21"/>
                <w14:textFill>
                  <w14:solidFill>
                    <w14:schemeClr w14:val="tx1"/>
                  </w14:solidFill>
                </w14:textFill>
              </w:rPr>
              <w:t>5</w:t>
            </w:r>
          </w:p>
        </w:tc>
        <w:tc>
          <w:tcPr>
            <w:tcW w:w="8853" w:type="dxa"/>
            <w:tcBorders>
              <w:top w:val="single" w:color="auto" w:sz="4" w:space="0"/>
              <w:left w:val="nil"/>
              <w:bottom w:val="single" w:color="auto" w:sz="4" w:space="0"/>
              <w:right w:val="single" w:color="auto" w:sz="4" w:space="0"/>
            </w:tcBorders>
            <w:vAlign w:val="center"/>
          </w:tcPr>
          <w:p>
            <w:pPr>
              <w:pStyle w:val="92"/>
              <w:spacing w:line="360" w:lineRule="auto"/>
              <w:rPr>
                <w:rFonts w:hAnsi="宋体"/>
                <w:color w:val="000000" w:themeColor="text1"/>
                <w:sz w:val="21"/>
                <w:szCs w:val="21"/>
                <w14:textFill>
                  <w14:solidFill>
                    <w14:schemeClr w14:val="tx1"/>
                  </w14:solidFill>
                </w14:textFill>
              </w:rPr>
            </w:pPr>
            <w:r>
              <w:rPr>
                <w:rFonts w:hint="eastAsia" w:hAnsi="宋体"/>
                <w:color w:val="000000" w:themeColor="text1"/>
                <w:sz w:val="21"/>
                <w:szCs w:val="21"/>
                <w14:textFill>
                  <w14:solidFill>
                    <w14:schemeClr w14:val="tx1"/>
                  </w14:solidFill>
                </w14:textFill>
              </w:rPr>
              <w:t>项目负责人：</w:t>
            </w:r>
          </w:p>
        </w:tc>
      </w:tr>
      <w:tr>
        <w:tblPrEx>
          <w:tblLayout w:type="fixed"/>
          <w:tblCellMar>
            <w:top w:w="0" w:type="dxa"/>
            <w:left w:w="108" w:type="dxa"/>
            <w:bottom w:w="0" w:type="dxa"/>
            <w:right w:w="108" w:type="dxa"/>
          </w:tblCellMar>
        </w:tblPrEx>
        <w:trPr>
          <w:trHeight w:val="638" w:hRule="atLeast"/>
          <w:jc w:val="center"/>
        </w:trPr>
        <w:tc>
          <w:tcPr>
            <w:tcW w:w="677" w:type="dxa"/>
            <w:tcBorders>
              <w:top w:val="single" w:color="auto" w:sz="4" w:space="0"/>
              <w:left w:val="single" w:color="auto" w:sz="4" w:space="0"/>
              <w:bottom w:val="single" w:color="auto" w:sz="4" w:space="0"/>
              <w:right w:val="single" w:color="auto" w:sz="4" w:space="0"/>
            </w:tcBorders>
            <w:vAlign w:val="center"/>
          </w:tcPr>
          <w:p>
            <w:pPr>
              <w:pStyle w:val="14"/>
              <w:spacing w:line="360" w:lineRule="auto"/>
              <w:ind w:firstLine="0" w:firstLineChars="0"/>
              <w:jc w:val="center"/>
              <w:rPr>
                <w:rFonts w:ascii="宋体" w:hAnsi="宋体" w:cs="宋体"/>
                <w:color w:val="000000" w:themeColor="text1"/>
                <w:kern w:val="2"/>
                <w:sz w:val="21"/>
                <w:szCs w:val="21"/>
                <w14:textFill>
                  <w14:solidFill>
                    <w14:schemeClr w14:val="tx1"/>
                  </w14:solidFill>
                </w14:textFill>
              </w:rPr>
            </w:pPr>
            <w:r>
              <w:rPr>
                <w:rFonts w:hint="eastAsia" w:ascii="宋体" w:hAnsi="宋体" w:cs="宋体"/>
                <w:color w:val="000000" w:themeColor="text1"/>
                <w:kern w:val="2"/>
                <w:sz w:val="21"/>
                <w:szCs w:val="21"/>
                <w14:textFill>
                  <w14:solidFill>
                    <w14:schemeClr w14:val="tx1"/>
                  </w14:solidFill>
                </w14:textFill>
              </w:rPr>
              <w:t>6</w:t>
            </w:r>
          </w:p>
        </w:tc>
        <w:tc>
          <w:tcPr>
            <w:tcW w:w="8853" w:type="dxa"/>
            <w:tcBorders>
              <w:top w:val="single" w:color="auto" w:sz="4" w:space="0"/>
              <w:left w:val="nil"/>
              <w:bottom w:val="single" w:color="auto" w:sz="4" w:space="0"/>
              <w:right w:val="single" w:color="auto" w:sz="4" w:space="0"/>
            </w:tcBorders>
            <w:vAlign w:val="center"/>
          </w:tcPr>
          <w:p>
            <w:pPr>
              <w:pStyle w:val="92"/>
              <w:spacing w:line="360" w:lineRule="auto"/>
              <w:rPr>
                <w:rFonts w:hAnsi="宋体"/>
                <w:color w:val="000000" w:themeColor="text1"/>
                <w:sz w:val="21"/>
                <w:szCs w:val="21"/>
                <w14:textFill>
                  <w14:solidFill>
                    <w14:schemeClr w14:val="tx1"/>
                  </w14:solidFill>
                </w14:textFill>
              </w:rPr>
            </w:pPr>
            <w:r>
              <w:rPr>
                <w:rFonts w:hint="eastAsia" w:hAnsi="宋体"/>
                <w:color w:val="000000" w:themeColor="text1"/>
                <w:sz w:val="21"/>
                <w:szCs w:val="21"/>
                <w14:textFill>
                  <w14:solidFill>
                    <w14:schemeClr w14:val="tx1"/>
                  </w14:solidFill>
                </w14:textFill>
              </w:rPr>
              <w:t>开工日期：</w:t>
            </w:r>
          </w:p>
        </w:tc>
      </w:tr>
      <w:tr>
        <w:tblPrEx>
          <w:tblLayout w:type="fixed"/>
          <w:tblCellMar>
            <w:top w:w="0" w:type="dxa"/>
            <w:left w:w="108" w:type="dxa"/>
            <w:bottom w:w="0" w:type="dxa"/>
            <w:right w:w="108" w:type="dxa"/>
          </w:tblCellMar>
        </w:tblPrEx>
        <w:trPr>
          <w:trHeight w:val="638" w:hRule="atLeast"/>
          <w:jc w:val="center"/>
        </w:trPr>
        <w:tc>
          <w:tcPr>
            <w:tcW w:w="677" w:type="dxa"/>
            <w:tcBorders>
              <w:top w:val="single" w:color="auto" w:sz="4" w:space="0"/>
              <w:left w:val="single" w:color="auto" w:sz="4" w:space="0"/>
              <w:bottom w:val="single" w:color="auto" w:sz="4" w:space="0"/>
              <w:right w:val="single" w:color="auto" w:sz="4" w:space="0"/>
            </w:tcBorders>
            <w:vAlign w:val="center"/>
          </w:tcPr>
          <w:p>
            <w:pPr>
              <w:pStyle w:val="14"/>
              <w:spacing w:line="360" w:lineRule="auto"/>
              <w:ind w:firstLine="0" w:firstLineChars="0"/>
              <w:jc w:val="center"/>
              <w:rPr>
                <w:rFonts w:ascii="宋体" w:hAnsi="宋体" w:cs="宋体"/>
                <w:color w:val="000000" w:themeColor="text1"/>
                <w:kern w:val="2"/>
                <w:sz w:val="21"/>
                <w:szCs w:val="21"/>
                <w14:textFill>
                  <w14:solidFill>
                    <w14:schemeClr w14:val="tx1"/>
                  </w14:solidFill>
                </w14:textFill>
              </w:rPr>
            </w:pPr>
            <w:r>
              <w:rPr>
                <w:rFonts w:hint="eastAsia" w:ascii="宋体" w:hAnsi="宋体" w:cs="宋体"/>
                <w:color w:val="000000" w:themeColor="text1"/>
                <w:kern w:val="2"/>
                <w:sz w:val="21"/>
                <w:szCs w:val="21"/>
                <w14:textFill>
                  <w14:solidFill>
                    <w14:schemeClr w14:val="tx1"/>
                  </w14:solidFill>
                </w14:textFill>
              </w:rPr>
              <w:t>7</w:t>
            </w:r>
          </w:p>
        </w:tc>
        <w:tc>
          <w:tcPr>
            <w:tcW w:w="8853" w:type="dxa"/>
            <w:tcBorders>
              <w:top w:val="single" w:color="auto" w:sz="4" w:space="0"/>
              <w:left w:val="nil"/>
              <w:bottom w:val="single" w:color="auto" w:sz="4" w:space="0"/>
              <w:right w:val="single" w:color="auto" w:sz="4" w:space="0"/>
            </w:tcBorders>
            <w:vAlign w:val="center"/>
          </w:tcPr>
          <w:p>
            <w:pPr>
              <w:pStyle w:val="92"/>
              <w:spacing w:line="360" w:lineRule="auto"/>
              <w:rPr>
                <w:rFonts w:hAnsi="宋体"/>
                <w:color w:val="000000" w:themeColor="text1"/>
                <w:sz w:val="21"/>
                <w:szCs w:val="21"/>
                <w14:textFill>
                  <w14:solidFill>
                    <w14:schemeClr w14:val="tx1"/>
                  </w14:solidFill>
                </w14:textFill>
              </w:rPr>
            </w:pPr>
            <w:r>
              <w:rPr>
                <w:rFonts w:hint="eastAsia" w:hAnsi="宋体"/>
                <w:color w:val="000000" w:themeColor="text1"/>
                <w:sz w:val="21"/>
                <w:szCs w:val="21"/>
                <w14:textFill>
                  <w14:solidFill>
                    <w14:schemeClr w14:val="tx1"/>
                  </w14:solidFill>
                </w14:textFill>
              </w:rPr>
              <w:t>竣工日期（或计划竣工日期）：</w:t>
            </w:r>
          </w:p>
        </w:tc>
      </w:tr>
      <w:tr>
        <w:tblPrEx>
          <w:tblLayout w:type="fixed"/>
          <w:tblCellMar>
            <w:top w:w="0" w:type="dxa"/>
            <w:left w:w="108" w:type="dxa"/>
            <w:bottom w:w="0" w:type="dxa"/>
            <w:right w:w="108" w:type="dxa"/>
          </w:tblCellMar>
        </w:tblPrEx>
        <w:trPr>
          <w:trHeight w:val="638" w:hRule="atLeast"/>
          <w:jc w:val="center"/>
        </w:trPr>
        <w:tc>
          <w:tcPr>
            <w:tcW w:w="677" w:type="dxa"/>
            <w:tcBorders>
              <w:top w:val="single" w:color="auto" w:sz="4" w:space="0"/>
              <w:left w:val="single" w:color="auto" w:sz="4" w:space="0"/>
              <w:bottom w:val="single" w:color="auto" w:sz="4" w:space="0"/>
              <w:right w:val="single" w:color="auto" w:sz="4" w:space="0"/>
            </w:tcBorders>
            <w:vAlign w:val="center"/>
          </w:tcPr>
          <w:p>
            <w:pPr>
              <w:pStyle w:val="14"/>
              <w:spacing w:line="360" w:lineRule="auto"/>
              <w:ind w:firstLine="0" w:firstLineChars="0"/>
              <w:jc w:val="center"/>
              <w:rPr>
                <w:rFonts w:ascii="宋体" w:hAnsi="宋体" w:cs="宋体"/>
                <w:color w:val="000000" w:themeColor="text1"/>
                <w:kern w:val="2"/>
                <w:sz w:val="21"/>
                <w:szCs w:val="21"/>
                <w14:textFill>
                  <w14:solidFill>
                    <w14:schemeClr w14:val="tx1"/>
                  </w14:solidFill>
                </w14:textFill>
              </w:rPr>
            </w:pPr>
            <w:r>
              <w:rPr>
                <w:rFonts w:hint="eastAsia" w:ascii="宋体" w:hAnsi="宋体" w:cs="宋体"/>
                <w:color w:val="000000" w:themeColor="text1"/>
                <w:kern w:val="2"/>
                <w:sz w:val="21"/>
                <w:szCs w:val="21"/>
                <w14:textFill>
                  <w14:solidFill>
                    <w14:schemeClr w14:val="tx1"/>
                  </w14:solidFill>
                </w14:textFill>
              </w:rPr>
              <w:t>8</w:t>
            </w:r>
          </w:p>
        </w:tc>
        <w:tc>
          <w:tcPr>
            <w:tcW w:w="8853" w:type="dxa"/>
            <w:tcBorders>
              <w:top w:val="single" w:color="auto" w:sz="4" w:space="0"/>
              <w:left w:val="nil"/>
              <w:bottom w:val="single" w:color="auto" w:sz="4" w:space="0"/>
              <w:right w:val="single" w:color="auto" w:sz="4" w:space="0"/>
            </w:tcBorders>
            <w:vAlign w:val="center"/>
          </w:tcPr>
          <w:p>
            <w:pPr>
              <w:spacing w:line="360" w:lineRule="auto"/>
              <w:ind w:left="4" w:leftChars="-10" w:hanging="25" w:hangingChars="12"/>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项目描述：</w:t>
            </w:r>
          </w:p>
        </w:tc>
      </w:tr>
      <w:tr>
        <w:tblPrEx>
          <w:tblLayout w:type="fixed"/>
          <w:tblCellMar>
            <w:top w:w="0" w:type="dxa"/>
            <w:left w:w="108" w:type="dxa"/>
            <w:bottom w:w="0" w:type="dxa"/>
            <w:right w:w="108" w:type="dxa"/>
          </w:tblCellMar>
        </w:tblPrEx>
        <w:trPr>
          <w:trHeight w:val="638" w:hRule="atLeast"/>
          <w:jc w:val="center"/>
        </w:trPr>
        <w:tc>
          <w:tcPr>
            <w:tcW w:w="677" w:type="dxa"/>
            <w:tcBorders>
              <w:top w:val="single" w:color="auto" w:sz="4" w:space="0"/>
              <w:left w:val="single" w:color="auto" w:sz="4" w:space="0"/>
              <w:bottom w:val="single" w:color="auto" w:sz="4" w:space="0"/>
              <w:right w:val="single" w:color="auto" w:sz="4" w:space="0"/>
            </w:tcBorders>
            <w:vAlign w:val="center"/>
          </w:tcPr>
          <w:p>
            <w:pPr>
              <w:pStyle w:val="14"/>
              <w:spacing w:line="360" w:lineRule="auto"/>
              <w:ind w:firstLine="0" w:firstLineChars="0"/>
              <w:jc w:val="center"/>
              <w:rPr>
                <w:rFonts w:ascii="宋体" w:hAnsi="宋体" w:cs="宋体"/>
                <w:color w:val="000000" w:themeColor="text1"/>
                <w:kern w:val="2"/>
                <w:sz w:val="21"/>
                <w:szCs w:val="21"/>
                <w14:textFill>
                  <w14:solidFill>
                    <w14:schemeClr w14:val="tx1"/>
                  </w14:solidFill>
                </w14:textFill>
              </w:rPr>
            </w:pPr>
            <w:r>
              <w:rPr>
                <w:rFonts w:hint="eastAsia" w:ascii="宋体" w:hAnsi="宋体" w:cs="宋体"/>
                <w:color w:val="000000" w:themeColor="text1"/>
                <w:kern w:val="2"/>
                <w:sz w:val="21"/>
                <w:szCs w:val="21"/>
                <w14:textFill>
                  <w14:solidFill>
                    <w14:schemeClr w14:val="tx1"/>
                  </w14:solidFill>
                </w14:textFill>
              </w:rPr>
              <w:t>9</w:t>
            </w:r>
          </w:p>
        </w:tc>
        <w:tc>
          <w:tcPr>
            <w:tcW w:w="8853" w:type="dxa"/>
            <w:tcBorders>
              <w:top w:val="single" w:color="auto" w:sz="4" w:space="0"/>
              <w:left w:val="nil"/>
              <w:bottom w:val="single" w:color="auto" w:sz="4" w:space="0"/>
              <w:right w:val="single" w:color="auto" w:sz="4" w:space="0"/>
            </w:tcBorders>
            <w:vAlign w:val="center"/>
          </w:tcPr>
          <w:p>
            <w:pPr>
              <w:spacing w:line="360" w:lineRule="auto"/>
              <w:ind w:left="4" w:leftChars="-10" w:hanging="25" w:hangingChars="12"/>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其他：</w:t>
            </w:r>
          </w:p>
        </w:tc>
      </w:tr>
    </w:tbl>
    <w:p>
      <w:pPr>
        <w:autoSpaceDE w:val="0"/>
        <w:autoSpaceDN w:val="0"/>
        <w:adjustRightInd w:val="0"/>
        <w:snapToGrid w:val="0"/>
        <w:spacing w:line="360" w:lineRule="auto"/>
        <w:jc w:val="left"/>
        <w:rPr>
          <w:rFonts w:ascii="宋体" w:hAnsi="宋体" w:cs="宋体"/>
          <w:color w:val="000000" w:themeColor="text1"/>
          <w:sz w:val="24"/>
          <w:szCs w:val="24"/>
          <w14:textFill>
            <w14:solidFill>
              <w14:schemeClr w14:val="tx1"/>
            </w14:solidFill>
          </w14:textFill>
        </w:rPr>
      </w:pPr>
    </w:p>
    <w:p>
      <w:pPr>
        <w:autoSpaceDE w:val="0"/>
        <w:autoSpaceDN w:val="0"/>
        <w:adjustRightInd w:val="0"/>
        <w:snapToGrid w:val="0"/>
        <w:spacing w:line="360" w:lineRule="auto"/>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注：1、每个业绩项目单独填表并编号，应按要求填报工程业绩表并附相关有效证明材料，盖章方式不作要求。</w:t>
      </w:r>
    </w:p>
    <w:p>
      <w:pPr>
        <w:spacing w:line="360" w:lineRule="auto"/>
        <w:ind w:firstLine="840" w:firstLineChars="35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2、表中所有空格内容均须填写，如确实不须填写或无法填写，应在空格中填写“无”。</w:t>
      </w:r>
    </w:p>
    <w:p>
      <w:pPr>
        <w:widowControl/>
        <w:jc w:val="left"/>
        <w:rPr>
          <w:rFonts w:hint="eastAsia" w:ascii="仿宋" w:hAnsi="仿宋" w:eastAsia="仿宋" w:cs="仿宋"/>
          <w:b/>
          <w:bCs/>
          <w:sz w:val="28"/>
          <w:szCs w:val="28"/>
          <w:lang w:eastAsia="zh-CN"/>
        </w:rPr>
      </w:pPr>
      <w:r>
        <w:rPr>
          <w:rFonts w:hint="eastAsia" w:ascii="宋体" w:hAnsi="宋体" w:cs="宋体"/>
          <w:b/>
          <w:bCs/>
          <w:color w:val="000000" w:themeColor="text1"/>
          <w:sz w:val="32"/>
          <w:szCs w:val="32"/>
          <w14:textFill>
            <w14:solidFill>
              <w14:schemeClr w14:val="tx1"/>
            </w14:solidFill>
          </w14:textFill>
        </w:rPr>
        <w:br w:type="page"/>
      </w:r>
      <w:r>
        <w:rPr>
          <w:rFonts w:hint="eastAsia" w:ascii="仿宋" w:hAnsi="仿宋" w:eastAsia="仿宋" w:cs="仿宋"/>
          <w:b/>
          <w:bCs/>
          <w:sz w:val="28"/>
          <w:szCs w:val="28"/>
        </w:rPr>
        <w:t>格式1-1</w:t>
      </w:r>
      <w:r>
        <w:rPr>
          <w:rFonts w:hint="eastAsia" w:ascii="仿宋" w:hAnsi="仿宋" w:eastAsia="仿宋" w:cs="仿宋"/>
          <w:b/>
          <w:bCs/>
          <w:sz w:val="28"/>
          <w:szCs w:val="28"/>
          <w:lang w:val="en-US" w:eastAsia="zh-CN"/>
        </w:rPr>
        <w:t>1</w:t>
      </w:r>
    </w:p>
    <w:p>
      <w:pPr>
        <w:spacing w:line="360" w:lineRule="auto"/>
        <w:jc w:val="center"/>
        <w:rPr>
          <w:rFonts w:ascii="仿宋" w:hAnsi="仿宋" w:eastAsia="仿宋"/>
          <w:b/>
          <w:bCs/>
          <w:sz w:val="32"/>
          <w:szCs w:val="32"/>
        </w:rPr>
      </w:pPr>
      <w:r>
        <w:rPr>
          <w:rFonts w:hint="eastAsia" w:ascii="仿宋" w:hAnsi="仿宋" w:eastAsia="仿宋" w:cs="仿宋"/>
          <w:b/>
          <w:bCs/>
          <w:sz w:val="32"/>
          <w:szCs w:val="32"/>
          <w:lang w:val="en-US" w:eastAsia="zh-CN"/>
        </w:rPr>
        <w:t>十</w:t>
      </w:r>
      <w:r>
        <w:rPr>
          <w:rFonts w:hint="eastAsia" w:ascii="仿宋" w:hAnsi="仿宋" w:eastAsia="仿宋" w:cs="仿宋"/>
          <w:b/>
          <w:bCs/>
          <w:sz w:val="32"/>
          <w:szCs w:val="32"/>
        </w:rPr>
        <w:t>、项目管理机构</w:t>
      </w:r>
    </w:p>
    <w:p>
      <w:pPr>
        <w:spacing w:line="360" w:lineRule="auto"/>
        <w:rPr>
          <w:rFonts w:ascii="仿宋" w:hAnsi="仿宋" w:eastAsia="仿宋"/>
          <w:sz w:val="32"/>
          <w:szCs w:val="32"/>
        </w:rPr>
      </w:pPr>
    </w:p>
    <w:p>
      <w:pPr>
        <w:spacing w:line="360" w:lineRule="auto"/>
        <w:jc w:val="center"/>
        <w:rPr>
          <w:rFonts w:ascii="仿宋" w:hAnsi="仿宋" w:eastAsia="仿宋"/>
          <w:b/>
          <w:bCs/>
          <w:sz w:val="24"/>
          <w:szCs w:val="24"/>
        </w:rPr>
      </w:pPr>
      <w:r>
        <w:rPr>
          <w:rFonts w:ascii="仿宋" w:hAnsi="仿宋" w:eastAsia="仿宋" w:cs="仿宋"/>
          <w:b/>
          <w:bCs/>
          <w:sz w:val="24"/>
          <w:szCs w:val="24"/>
        </w:rPr>
        <w:t xml:space="preserve"> (</w:t>
      </w:r>
      <w:r>
        <w:rPr>
          <w:rFonts w:hint="eastAsia" w:ascii="仿宋" w:hAnsi="仿宋" w:eastAsia="仿宋" w:cs="仿宋"/>
          <w:b/>
          <w:bCs/>
          <w:sz w:val="24"/>
          <w:szCs w:val="24"/>
        </w:rPr>
        <w:t>一</w:t>
      </w:r>
      <w:r>
        <w:rPr>
          <w:rFonts w:ascii="仿宋" w:hAnsi="仿宋" w:eastAsia="仿宋" w:cs="仿宋"/>
          <w:b/>
          <w:bCs/>
          <w:sz w:val="24"/>
          <w:szCs w:val="24"/>
        </w:rPr>
        <w:t>)</w:t>
      </w:r>
      <w:r>
        <w:rPr>
          <w:rFonts w:hint="eastAsia" w:ascii="仿宋" w:hAnsi="仿宋" w:eastAsia="仿宋" w:cs="仿宋"/>
          <w:b/>
          <w:bCs/>
          <w:sz w:val="24"/>
          <w:szCs w:val="24"/>
        </w:rPr>
        <w:t>项目管理机构组成表</w:t>
      </w:r>
    </w:p>
    <w:p>
      <w:pPr>
        <w:autoSpaceDE w:val="0"/>
        <w:autoSpaceDN w:val="0"/>
        <w:adjustRightInd w:val="0"/>
        <w:spacing w:line="360" w:lineRule="auto"/>
        <w:ind w:left="220" w:right="-20"/>
        <w:jc w:val="center"/>
        <w:rPr>
          <w:rFonts w:ascii="仿宋" w:hAnsi="仿宋" w:eastAsia="仿宋"/>
          <w:b/>
          <w:bCs/>
        </w:rPr>
      </w:pPr>
    </w:p>
    <w:tbl>
      <w:tblPr>
        <w:tblStyle w:val="42"/>
        <w:tblW w:w="9366" w:type="dxa"/>
        <w:jc w:val="center"/>
        <w:tblInd w:w="0" w:type="dxa"/>
        <w:tblLayout w:type="fixed"/>
        <w:tblCellMar>
          <w:top w:w="0" w:type="dxa"/>
          <w:left w:w="0" w:type="dxa"/>
          <w:bottom w:w="0" w:type="dxa"/>
          <w:right w:w="0" w:type="dxa"/>
        </w:tblCellMar>
      </w:tblPr>
      <w:tblGrid>
        <w:gridCol w:w="857"/>
        <w:gridCol w:w="1695"/>
        <w:gridCol w:w="1423"/>
        <w:gridCol w:w="1276"/>
        <w:gridCol w:w="1301"/>
        <w:gridCol w:w="1134"/>
        <w:gridCol w:w="1680"/>
      </w:tblGrid>
      <w:tr>
        <w:tblPrEx>
          <w:tblLayout w:type="fixed"/>
          <w:tblCellMar>
            <w:top w:w="0" w:type="dxa"/>
            <w:left w:w="0" w:type="dxa"/>
            <w:bottom w:w="0" w:type="dxa"/>
            <w:right w:w="0" w:type="dxa"/>
          </w:tblCellMar>
        </w:tblPrEx>
        <w:trPr>
          <w:trHeight w:val="614" w:hRule="atLeast"/>
          <w:jc w:val="center"/>
        </w:trPr>
        <w:tc>
          <w:tcPr>
            <w:tcW w:w="857" w:type="dxa"/>
            <w:vMerge w:val="restart"/>
            <w:tcBorders>
              <w:top w:val="single" w:color="auto" w:sz="4" w:space="0"/>
              <w:left w:val="single" w:color="auto" w:sz="4" w:space="0"/>
              <w:right w:val="single" w:color="auto" w:sz="4" w:space="0"/>
            </w:tcBorders>
            <w:vAlign w:val="center"/>
          </w:tcPr>
          <w:p>
            <w:pPr>
              <w:spacing w:line="360" w:lineRule="auto"/>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序号</w:t>
            </w:r>
          </w:p>
        </w:tc>
        <w:tc>
          <w:tcPr>
            <w:tcW w:w="1695" w:type="dxa"/>
            <w:vMerge w:val="restart"/>
            <w:tcBorders>
              <w:top w:val="single" w:color="auto" w:sz="4" w:space="0"/>
              <w:left w:val="nil"/>
              <w:right w:val="single" w:color="auto" w:sz="4" w:space="0"/>
            </w:tcBorders>
            <w:vAlign w:val="center"/>
          </w:tcPr>
          <w:p>
            <w:pPr>
              <w:spacing w:line="360" w:lineRule="auto"/>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职务</w:t>
            </w:r>
          </w:p>
        </w:tc>
        <w:tc>
          <w:tcPr>
            <w:tcW w:w="1423" w:type="dxa"/>
            <w:vMerge w:val="restart"/>
            <w:tcBorders>
              <w:top w:val="single" w:color="auto" w:sz="4" w:space="0"/>
              <w:left w:val="nil"/>
              <w:right w:val="single" w:color="auto" w:sz="4" w:space="0"/>
            </w:tcBorders>
            <w:vAlign w:val="center"/>
          </w:tcPr>
          <w:p>
            <w:pPr>
              <w:spacing w:line="360" w:lineRule="auto"/>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姓名</w:t>
            </w:r>
          </w:p>
        </w:tc>
        <w:tc>
          <w:tcPr>
            <w:tcW w:w="2577" w:type="dxa"/>
            <w:gridSpan w:val="2"/>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执业或职业资格</w:t>
            </w:r>
          </w:p>
        </w:tc>
        <w:tc>
          <w:tcPr>
            <w:tcW w:w="2814" w:type="dxa"/>
            <w:gridSpan w:val="2"/>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职称</w:t>
            </w:r>
          </w:p>
        </w:tc>
      </w:tr>
      <w:tr>
        <w:tblPrEx>
          <w:tblLayout w:type="fixed"/>
          <w:tblCellMar>
            <w:top w:w="0" w:type="dxa"/>
            <w:left w:w="0" w:type="dxa"/>
            <w:bottom w:w="0" w:type="dxa"/>
            <w:right w:w="0" w:type="dxa"/>
          </w:tblCellMar>
        </w:tblPrEx>
        <w:trPr>
          <w:trHeight w:val="614" w:hRule="atLeast"/>
          <w:jc w:val="center"/>
        </w:trPr>
        <w:tc>
          <w:tcPr>
            <w:tcW w:w="857" w:type="dxa"/>
            <w:vMerge w:val="continue"/>
            <w:tcBorders>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themeColor="text1"/>
                <w14:textFill>
                  <w14:solidFill>
                    <w14:schemeClr w14:val="tx1"/>
                  </w14:solidFill>
                </w14:textFill>
              </w:rPr>
            </w:pPr>
          </w:p>
        </w:tc>
        <w:tc>
          <w:tcPr>
            <w:tcW w:w="1695" w:type="dxa"/>
            <w:vMerge w:val="continue"/>
            <w:tcBorders>
              <w:left w:val="nil"/>
              <w:bottom w:val="single" w:color="auto" w:sz="4" w:space="0"/>
              <w:right w:val="single" w:color="auto" w:sz="4" w:space="0"/>
            </w:tcBorders>
            <w:vAlign w:val="center"/>
          </w:tcPr>
          <w:p>
            <w:pPr>
              <w:spacing w:line="360" w:lineRule="auto"/>
              <w:jc w:val="center"/>
              <w:rPr>
                <w:rFonts w:ascii="宋体" w:hAnsi="宋体" w:cs="宋体"/>
                <w:color w:val="000000" w:themeColor="text1"/>
                <w14:textFill>
                  <w14:solidFill>
                    <w14:schemeClr w14:val="tx1"/>
                  </w14:solidFill>
                </w14:textFill>
              </w:rPr>
            </w:pPr>
          </w:p>
        </w:tc>
        <w:tc>
          <w:tcPr>
            <w:tcW w:w="1423" w:type="dxa"/>
            <w:vMerge w:val="continue"/>
            <w:tcBorders>
              <w:left w:val="nil"/>
              <w:bottom w:val="single" w:color="auto" w:sz="4" w:space="0"/>
              <w:right w:val="single" w:color="auto" w:sz="4" w:space="0"/>
            </w:tcBorders>
            <w:vAlign w:val="center"/>
          </w:tcPr>
          <w:p>
            <w:pPr>
              <w:spacing w:line="360" w:lineRule="auto"/>
              <w:jc w:val="center"/>
              <w:rPr>
                <w:rFonts w:ascii="宋体" w:hAnsi="宋体" w:cs="宋体"/>
                <w:color w:val="000000" w:themeColor="text1"/>
                <w14:textFill>
                  <w14:solidFill>
                    <w14:schemeClr w14:val="tx1"/>
                  </w14:solidFill>
                </w14:textFill>
              </w:rPr>
            </w:pPr>
          </w:p>
        </w:tc>
        <w:tc>
          <w:tcPr>
            <w:tcW w:w="1276"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证书名称</w:t>
            </w:r>
          </w:p>
        </w:tc>
        <w:tc>
          <w:tcPr>
            <w:tcW w:w="1301"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证书编号</w:t>
            </w:r>
          </w:p>
        </w:tc>
        <w:tc>
          <w:tcPr>
            <w:tcW w:w="1134"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职称专业</w:t>
            </w:r>
          </w:p>
        </w:tc>
        <w:tc>
          <w:tcPr>
            <w:tcW w:w="1680"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级别</w:t>
            </w:r>
          </w:p>
        </w:tc>
      </w:tr>
      <w:tr>
        <w:tblPrEx>
          <w:tblLayout w:type="fixed"/>
          <w:tblCellMar>
            <w:top w:w="0" w:type="dxa"/>
            <w:left w:w="0" w:type="dxa"/>
            <w:bottom w:w="0" w:type="dxa"/>
            <w:right w:w="0" w:type="dxa"/>
          </w:tblCellMar>
        </w:tblPrEx>
        <w:trPr>
          <w:trHeight w:val="589" w:hRule="atLeast"/>
          <w:jc w:val="center"/>
        </w:trPr>
        <w:tc>
          <w:tcPr>
            <w:tcW w:w="85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w:t>
            </w:r>
          </w:p>
        </w:tc>
        <w:tc>
          <w:tcPr>
            <w:tcW w:w="1695"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项目负责人</w:t>
            </w:r>
          </w:p>
          <w:p>
            <w:pPr>
              <w:spacing w:line="360" w:lineRule="auto"/>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（项目经理）</w:t>
            </w:r>
          </w:p>
        </w:tc>
        <w:tc>
          <w:tcPr>
            <w:tcW w:w="1423"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color w:val="000000" w:themeColor="text1"/>
                <w14:textFill>
                  <w14:solidFill>
                    <w14:schemeClr w14:val="tx1"/>
                  </w14:solidFill>
                </w14:textFill>
              </w:rPr>
            </w:pPr>
          </w:p>
        </w:tc>
        <w:tc>
          <w:tcPr>
            <w:tcW w:w="1276"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color w:val="000000" w:themeColor="text1"/>
                <w14:textFill>
                  <w14:solidFill>
                    <w14:schemeClr w14:val="tx1"/>
                  </w14:solidFill>
                </w14:textFill>
              </w:rPr>
            </w:pPr>
          </w:p>
        </w:tc>
        <w:tc>
          <w:tcPr>
            <w:tcW w:w="1301"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color w:val="000000" w:themeColor="text1"/>
                <w14:textFill>
                  <w14:solidFill>
                    <w14:schemeClr w14:val="tx1"/>
                  </w14:solidFill>
                </w14:textFill>
              </w:rPr>
            </w:pPr>
          </w:p>
        </w:tc>
        <w:tc>
          <w:tcPr>
            <w:tcW w:w="1134"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color w:val="000000" w:themeColor="text1"/>
                <w14:textFill>
                  <w14:solidFill>
                    <w14:schemeClr w14:val="tx1"/>
                  </w14:solidFill>
                </w14:textFill>
              </w:rPr>
            </w:pPr>
          </w:p>
        </w:tc>
        <w:tc>
          <w:tcPr>
            <w:tcW w:w="1680" w:type="dxa"/>
            <w:tcBorders>
              <w:top w:val="single" w:color="auto" w:sz="4" w:space="0"/>
              <w:left w:val="nil"/>
              <w:bottom w:val="single" w:color="auto" w:sz="4" w:space="0"/>
              <w:right w:val="single" w:color="auto" w:sz="4" w:space="0"/>
            </w:tcBorders>
          </w:tcPr>
          <w:p>
            <w:pPr>
              <w:spacing w:line="360" w:lineRule="auto"/>
              <w:jc w:val="center"/>
              <w:rPr>
                <w:rFonts w:ascii="宋体" w:hAnsi="宋体" w:cs="宋体"/>
                <w:color w:val="000000" w:themeColor="text1"/>
                <w14:textFill>
                  <w14:solidFill>
                    <w14:schemeClr w14:val="tx1"/>
                  </w14:solidFill>
                </w14:textFill>
              </w:rPr>
            </w:pPr>
          </w:p>
        </w:tc>
      </w:tr>
      <w:tr>
        <w:tblPrEx>
          <w:tblLayout w:type="fixed"/>
          <w:tblCellMar>
            <w:top w:w="0" w:type="dxa"/>
            <w:left w:w="0" w:type="dxa"/>
            <w:bottom w:w="0" w:type="dxa"/>
            <w:right w:w="0" w:type="dxa"/>
          </w:tblCellMar>
        </w:tblPrEx>
        <w:trPr>
          <w:trHeight w:val="589" w:hRule="atLeast"/>
          <w:jc w:val="center"/>
        </w:trPr>
        <w:tc>
          <w:tcPr>
            <w:tcW w:w="85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2</w:t>
            </w:r>
          </w:p>
        </w:tc>
        <w:tc>
          <w:tcPr>
            <w:tcW w:w="1695" w:type="dxa"/>
            <w:tcBorders>
              <w:top w:val="single" w:color="auto" w:sz="4" w:space="0"/>
              <w:left w:val="nil"/>
              <w:bottom w:val="single" w:color="auto" w:sz="4" w:space="0"/>
              <w:right w:val="single" w:color="auto" w:sz="4" w:space="0"/>
            </w:tcBorders>
            <w:vAlign w:val="center"/>
          </w:tcPr>
          <w:p>
            <w:pPr>
              <w:spacing w:line="360" w:lineRule="auto"/>
              <w:jc w:val="left"/>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项目技术负责人</w:t>
            </w:r>
          </w:p>
        </w:tc>
        <w:tc>
          <w:tcPr>
            <w:tcW w:w="1423"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color w:val="000000" w:themeColor="text1"/>
                <w14:textFill>
                  <w14:solidFill>
                    <w14:schemeClr w14:val="tx1"/>
                  </w14:solidFill>
                </w14:textFill>
              </w:rPr>
            </w:pPr>
          </w:p>
        </w:tc>
        <w:tc>
          <w:tcPr>
            <w:tcW w:w="1276"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color w:val="000000" w:themeColor="text1"/>
                <w14:textFill>
                  <w14:solidFill>
                    <w14:schemeClr w14:val="tx1"/>
                  </w14:solidFill>
                </w14:textFill>
              </w:rPr>
            </w:pPr>
          </w:p>
        </w:tc>
        <w:tc>
          <w:tcPr>
            <w:tcW w:w="1301"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color w:val="000000" w:themeColor="text1"/>
                <w14:textFill>
                  <w14:solidFill>
                    <w14:schemeClr w14:val="tx1"/>
                  </w14:solidFill>
                </w14:textFill>
              </w:rPr>
            </w:pPr>
          </w:p>
        </w:tc>
        <w:tc>
          <w:tcPr>
            <w:tcW w:w="1134"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color w:val="000000" w:themeColor="text1"/>
                <w14:textFill>
                  <w14:solidFill>
                    <w14:schemeClr w14:val="tx1"/>
                  </w14:solidFill>
                </w14:textFill>
              </w:rPr>
            </w:pPr>
          </w:p>
        </w:tc>
        <w:tc>
          <w:tcPr>
            <w:tcW w:w="1680" w:type="dxa"/>
            <w:tcBorders>
              <w:top w:val="single" w:color="auto" w:sz="4" w:space="0"/>
              <w:left w:val="nil"/>
              <w:bottom w:val="single" w:color="auto" w:sz="4" w:space="0"/>
              <w:right w:val="single" w:color="auto" w:sz="4" w:space="0"/>
            </w:tcBorders>
          </w:tcPr>
          <w:p>
            <w:pPr>
              <w:spacing w:line="360" w:lineRule="auto"/>
              <w:jc w:val="center"/>
              <w:rPr>
                <w:rFonts w:ascii="宋体" w:hAnsi="宋体" w:cs="宋体"/>
                <w:color w:val="000000" w:themeColor="text1"/>
                <w14:textFill>
                  <w14:solidFill>
                    <w14:schemeClr w14:val="tx1"/>
                  </w14:solidFill>
                </w14:textFill>
              </w:rPr>
            </w:pPr>
          </w:p>
        </w:tc>
      </w:tr>
      <w:tr>
        <w:tblPrEx>
          <w:tblLayout w:type="fixed"/>
          <w:tblCellMar>
            <w:top w:w="0" w:type="dxa"/>
            <w:left w:w="0" w:type="dxa"/>
            <w:bottom w:w="0" w:type="dxa"/>
            <w:right w:w="0" w:type="dxa"/>
          </w:tblCellMar>
        </w:tblPrEx>
        <w:trPr>
          <w:trHeight w:val="589" w:hRule="atLeast"/>
          <w:jc w:val="center"/>
        </w:trPr>
        <w:tc>
          <w:tcPr>
            <w:tcW w:w="85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3</w:t>
            </w:r>
          </w:p>
        </w:tc>
        <w:tc>
          <w:tcPr>
            <w:tcW w:w="1695"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施工员</w:t>
            </w:r>
          </w:p>
        </w:tc>
        <w:tc>
          <w:tcPr>
            <w:tcW w:w="1423"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color w:val="000000" w:themeColor="text1"/>
                <w14:textFill>
                  <w14:solidFill>
                    <w14:schemeClr w14:val="tx1"/>
                  </w14:solidFill>
                </w14:textFill>
              </w:rPr>
            </w:pPr>
          </w:p>
        </w:tc>
        <w:tc>
          <w:tcPr>
            <w:tcW w:w="1276"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color w:val="000000" w:themeColor="text1"/>
                <w14:textFill>
                  <w14:solidFill>
                    <w14:schemeClr w14:val="tx1"/>
                  </w14:solidFill>
                </w14:textFill>
              </w:rPr>
            </w:pPr>
          </w:p>
        </w:tc>
        <w:tc>
          <w:tcPr>
            <w:tcW w:w="1301"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color w:val="000000" w:themeColor="text1"/>
                <w14:textFill>
                  <w14:solidFill>
                    <w14:schemeClr w14:val="tx1"/>
                  </w14:solidFill>
                </w14:textFill>
              </w:rPr>
            </w:pPr>
          </w:p>
        </w:tc>
        <w:tc>
          <w:tcPr>
            <w:tcW w:w="1134"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color w:val="000000" w:themeColor="text1"/>
                <w14:textFill>
                  <w14:solidFill>
                    <w14:schemeClr w14:val="tx1"/>
                  </w14:solidFill>
                </w14:textFill>
              </w:rPr>
            </w:pPr>
          </w:p>
        </w:tc>
        <w:tc>
          <w:tcPr>
            <w:tcW w:w="1680" w:type="dxa"/>
            <w:tcBorders>
              <w:top w:val="single" w:color="auto" w:sz="4" w:space="0"/>
              <w:left w:val="nil"/>
              <w:bottom w:val="single" w:color="auto" w:sz="4" w:space="0"/>
              <w:right w:val="single" w:color="auto" w:sz="4" w:space="0"/>
            </w:tcBorders>
          </w:tcPr>
          <w:p>
            <w:pPr>
              <w:spacing w:line="360" w:lineRule="auto"/>
              <w:jc w:val="center"/>
              <w:rPr>
                <w:rFonts w:ascii="宋体" w:hAnsi="宋体" w:cs="宋体"/>
                <w:color w:val="000000" w:themeColor="text1"/>
                <w14:textFill>
                  <w14:solidFill>
                    <w14:schemeClr w14:val="tx1"/>
                  </w14:solidFill>
                </w14:textFill>
              </w:rPr>
            </w:pPr>
          </w:p>
        </w:tc>
      </w:tr>
      <w:tr>
        <w:tblPrEx>
          <w:tblLayout w:type="fixed"/>
          <w:tblCellMar>
            <w:top w:w="0" w:type="dxa"/>
            <w:left w:w="0" w:type="dxa"/>
            <w:bottom w:w="0" w:type="dxa"/>
            <w:right w:w="0" w:type="dxa"/>
          </w:tblCellMar>
        </w:tblPrEx>
        <w:trPr>
          <w:trHeight w:val="589" w:hRule="atLeast"/>
          <w:jc w:val="center"/>
        </w:trPr>
        <w:tc>
          <w:tcPr>
            <w:tcW w:w="85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4</w:t>
            </w:r>
          </w:p>
        </w:tc>
        <w:tc>
          <w:tcPr>
            <w:tcW w:w="1695"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质量员</w:t>
            </w:r>
          </w:p>
        </w:tc>
        <w:tc>
          <w:tcPr>
            <w:tcW w:w="1423"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color w:val="000000" w:themeColor="text1"/>
                <w14:textFill>
                  <w14:solidFill>
                    <w14:schemeClr w14:val="tx1"/>
                  </w14:solidFill>
                </w14:textFill>
              </w:rPr>
            </w:pPr>
          </w:p>
        </w:tc>
        <w:tc>
          <w:tcPr>
            <w:tcW w:w="1276"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color w:val="000000" w:themeColor="text1"/>
                <w14:textFill>
                  <w14:solidFill>
                    <w14:schemeClr w14:val="tx1"/>
                  </w14:solidFill>
                </w14:textFill>
              </w:rPr>
            </w:pPr>
          </w:p>
        </w:tc>
        <w:tc>
          <w:tcPr>
            <w:tcW w:w="1301"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color w:val="000000" w:themeColor="text1"/>
                <w14:textFill>
                  <w14:solidFill>
                    <w14:schemeClr w14:val="tx1"/>
                  </w14:solidFill>
                </w14:textFill>
              </w:rPr>
            </w:pPr>
          </w:p>
        </w:tc>
        <w:tc>
          <w:tcPr>
            <w:tcW w:w="1134"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color w:val="000000" w:themeColor="text1"/>
                <w14:textFill>
                  <w14:solidFill>
                    <w14:schemeClr w14:val="tx1"/>
                  </w14:solidFill>
                </w14:textFill>
              </w:rPr>
            </w:pPr>
          </w:p>
        </w:tc>
        <w:tc>
          <w:tcPr>
            <w:tcW w:w="1680" w:type="dxa"/>
            <w:tcBorders>
              <w:top w:val="single" w:color="auto" w:sz="4" w:space="0"/>
              <w:left w:val="nil"/>
              <w:bottom w:val="single" w:color="auto" w:sz="4" w:space="0"/>
              <w:right w:val="single" w:color="auto" w:sz="4" w:space="0"/>
            </w:tcBorders>
          </w:tcPr>
          <w:p>
            <w:pPr>
              <w:spacing w:line="360" w:lineRule="auto"/>
              <w:jc w:val="center"/>
              <w:rPr>
                <w:rFonts w:ascii="宋体" w:hAnsi="宋体" w:cs="宋体"/>
                <w:color w:val="000000" w:themeColor="text1"/>
                <w14:textFill>
                  <w14:solidFill>
                    <w14:schemeClr w14:val="tx1"/>
                  </w14:solidFill>
                </w14:textFill>
              </w:rPr>
            </w:pPr>
          </w:p>
        </w:tc>
      </w:tr>
      <w:tr>
        <w:tblPrEx>
          <w:tblLayout w:type="fixed"/>
          <w:tblCellMar>
            <w:top w:w="0" w:type="dxa"/>
            <w:left w:w="0" w:type="dxa"/>
            <w:bottom w:w="0" w:type="dxa"/>
            <w:right w:w="0" w:type="dxa"/>
          </w:tblCellMar>
        </w:tblPrEx>
        <w:trPr>
          <w:trHeight w:val="589" w:hRule="atLeast"/>
          <w:jc w:val="center"/>
        </w:trPr>
        <w:tc>
          <w:tcPr>
            <w:tcW w:w="85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5</w:t>
            </w:r>
          </w:p>
        </w:tc>
        <w:tc>
          <w:tcPr>
            <w:tcW w:w="1695"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安全员</w:t>
            </w:r>
          </w:p>
        </w:tc>
        <w:tc>
          <w:tcPr>
            <w:tcW w:w="1423"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color w:val="000000" w:themeColor="text1"/>
                <w14:textFill>
                  <w14:solidFill>
                    <w14:schemeClr w14:val="tx1"/>
                  </w14:solidFill>
                </w14:textFill>
              </w:rPr>
            </w:pPr>
          </w:p>
        </w:tc>
        <w:tc>
          <w:tcPr>
            <w:tcW w:w="1276"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color w:val="000000" w:themeColor="text1"/>
                <w14:textFill>
                  <w14:solidFill>
                    <w14:schemeClr w14:val="tx1"/>
                  </w14:solidFill>
                </w14:textFill>
              </w:rPr>
            </w:pPr>
          </w:p>
        </w:tc>
        <w:tc>
          <w:tcPr>
            <w:tcW w:w="1301"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color w:val="000000" w:themeColor="text1"/>
                <w14:textFill>
                  <w14:solidFill>
                    <w14:schemeClr w14:val="tx1"/>
                  </w14:solidFill>
                </w14:textFill>
              </w:rPr>
            </w:pPr>
          </w:p>
        </w:tc>
        <w:tc>
          <w:tcPr>
            <w:tcW w:w="1134"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color w:val="000000" w:themeColor="text1"/>
                <w14:textFill>
                  <w14:solidFill>
                    <w14:schemeClr w14:val="tx1"/>
                  </w14:solidFill>
                </w14:textFill>
              </w:rPr>
            </w:pPr>
          </w:p>
        </w:tc>
        <w:tc>
          <w:tcPr>
            <w:tcW w:w="1680" w:type="dxa"/>
            <w:tcBorders>
              <w:top w:val="single" w:color="auto" w:sz="4" w:space="0"/>
              <w:left w:val="nil"/>
              <w:bottom w:val="single" w:color="auto" w:sz="4" w:space="0"/>
              <w:right w:val="single" w:color="auto" w:sz="4" w:space="0"/>
            </w:tcBorders>
          </w:tcPr>
          <w:p>
            <w:pPr>
              <w:spacing w:line="360" w:lineRule="auto"/>
              <w:jc w:val="center"/>
              <w:rPr>
                <w:rFonts w:ascii="宋体" w:hAnsi="宋体" w:cs="宋体"/>
                <w:color w:val="000000" w:themeColor="text1"/>
                <w14:textFill>
                  <w14:solidFill>
                    <w14:schemeClr w14:val="tx1"/>
                  </w14:solidFill>
                </w14:textFill>
              </w:rPr>
            </w:pPr>
          </w:p>
        </w:tc>
      </w:tr>
      <w:tr>
        <w:tblPrEx>
          <w:tblLayout w:type="fixed"/>
          <w:tblCellMar>
            <w:top w:w="0" w:type="dxa"/>
            <w:left w:w="0" w:type="dxa"/>
            <w:bottom w:w="0" w:type="dxa"/>
            <w:right w:w="0" w:type="dxa"/>
          </w:tblCellMar>
        </w:tblPrEx>
        <w:trPr>
          <w:trHeight w:val="589" w:hRule="atLeast"/>
          <w:jc w:val="center"/>
        </w:trPr>
        <w:tc>
          <w:tcPr>
            <w:tcW w:w="85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w:t>
            </w:r>
          </w:p>
        </w:tc>
        <w:tc>
          <w:tcPr>
            <w:tcW w:w="1695"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w:t>
            </w:r>
          </w:p>
        </w:tc>
        <w:tc>
          <w:tcPr>
            <w:tcW w:w="1423"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color w:val="000000" w:themeColor="text1"/>
                <w14:textFill>
                  <w14:solidFill>
                    <w14:schemeClr w14:val="tx1"/>
                  </w14:solidFill>
                </w14:textFill>
              </w:rPr>
            </w:pPr>
          </w:p>
        </w:tc>
        <w:tc>
          <w:tcPr>
            <w:tcW w:w="1276"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color w:val="000000" w:themeColor="text1"/>
                <w14:textFill>
                  <w14:solidFill>
                    <w14:schemeClr w14:val="tx1"/>
                  </w14:solidFill>
                </w14:textFill>
              </w:rPr>
            </w:pPr>
          </w:p>
        </w:tc>
        <w:tc>
          <w:tcPr>
            <w:tcW w:w="1301"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color w:val="000000" w:themeColor="text1"/>
                <w14:textFill>
                  <w14:solidFill>
                    <w14:schemeClr w14:val="tx1"/>
                  </w14:solidFill>
                </w14:textFill>
              </w:rPr>
            </w:pPr>
          </w:p>
        </w:tc>
        <w:tc>
          <w:tcPr>
            <w:tcW w:w="1134"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color w:val="000000" w:themeColor="text1"/>
                <w14:textFill>
                  <w14:solidFill>
                    <w14:schemeClr w14:val="tx1"/>
                  </w14:solidFill>
                </w14:textFill>
              </w:rPr>
            </w:pPr>
          </w:p>
        </w:tc>
        <w:tc>
          <w:tcPr>
            <w:tcW w:w="1680" w:type="dxa"/>
            <w:tcBorders>
              <w:top w:val="single" w:color="auto" w:sz="4" w:space="0"/>
              <w:left w:val="nil"/>
              <w:bottom w:val="single" w:color="auto" w:sz="4" w:space="0"/>
              <w:right w:val="single" w:color="auto" w:sz="4" w:space="0"/>
            </w:tcBorders>
          </w:tcPr>
          <w:p>
            <w:pPr>
              <w:spacing w:line="360" w:lineRule="auto"/>
              <w:jc w:val="center"/>
              <w:rPr>
                <w:rFonts w:ascii="宋体" w:hAnsi="宋体" w:cs="宋体"/>
                <w:color w:val="000000" w:themeColor="text1"/>
                <w14:textFill>
                  <w14:solidFill>
                    <w14:schemeClr w14:val="tx1"/>
                  </w14:solidFill>
                </w14:textFill>
              </w:rPr>
            </w:pPr>
          </w:p>
        </w:tc>
      </w:tr>
    </w:tbl>
    <w:p>
      <w:pPr>
        <w:spacing w:line="360" w:lineRule="auto"/>
        <w:rPr>
          <w:rFonts w:ascii="宋体" w:hAnsi="宋体" w:cs="宋体"/>
          <w:color w:val="000000" w:themeColor="text1"/>
          <w14:textFill>
            <w14:solidFill>
              <w14:schemeClr w14:val="tx1"/>
            </w14:solidFill>
          </w14:textFill>
        </w:rPr>
      </w:pPr>
    </w:p>
    <w:p>
      <w:pPr>
        <w:spacing w:line="360" w:lineRule="auto"/>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注：为降低供应商参加政府采购活动成本，除项目负责人、项目技术负责人以外，该表中的施工员、质量员、安全员等可以在供应商成交后在政府采购合同中约定，不得要求必须在参加采购活动前提供该类工作人员信息，如需办理施工许可证，人员配备需满足办理施工许可证相关要求。</w:t>
      </w:r>
    </w:p>
    <w:p>
      <w:pPr>
        <w:spacing w:line="360" w:lineRule="auto"/>
        <w:ind w:left="359" w:leftChars="171"/>
        <w:rPr>
          <w:rFonts w:ascii="宋体" w:hAnsi="宋体" w:cs="宋体"/>
          <w:color w:val="000000" w:themeColor="text1"/>
          <w14:textFill>
            <w14:solidFill>
              <w14:schemeClr w14:val="tx1"/>
            </w14:solidFill>
          </w14:textFill>
        </w:rPr>
      </w:pPr>
    </w:p>
    <w:p>
      <w:pPr>
        <w:spacing w:line="360" w:lineRule="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供应商名称：XXX（盖单位公章）</w:t>
      </w:r>
    </w:p>
    <w:p>
      <w:pPr>
        <w:spacing w:line="360" w:lineRule="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法定代表人/单位负责人或授权代表（签字或加盖个人印章）：XXX</w:t>
      </w:r>
    </w:p>
    <w:p>
      <w:pPr>
        <w:spacing w:line="360" w:lineRule="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日期：XXX</w:t>
      </w:r>
    </w:p>
    <w:p>
      <w:pPr>
        <w:spacing w:line="360" w:lineRule="auto"/>
        <w:jc w:val="center"/>
        <w:rPr>
          <w:rFonts w:ascii="仿宋" w:hAnsi="仿宋" w:eastAsia="仿宋"/>
          <w:b/>
          <w:bCs/>
          <w:sz w:val="24"/>
          <w:szCs w:val="24"/>
        </w:rPr>
      </w:pPr>
      <w:r>
        <w:rPr>
          <w:rFonts w:hint="eastAsia" w:ascii="宋体" w:hAnsi="宋体" w:cs="宋体"/>
          <w:color w:val="000000" w:themeColor="text1"/>
          <w14:textFill>
            <w14:solidFill>
              <w14:schemeClr w14:val="tx1"/>
            </w14:solidFill>
          </w14:textFill>
        </w:rPr>
        <w:br w:type="page"/>
      </w:r>
      <w:r>
        <w:rPr>
          <w:rFonts w:ascii="仿宋" w:hAnsi="仿宋" w:eastAsia="仿宋" w:cs="仿宋"/>
          <w:b/>
          <w:bCs/>
          <w:sz w:val="24"/>
          <w:szCs w:val="24"/>
        </w:rPr>
        <w:t>(</w:t>
      </w:r>
      <w:r>
        <w:rPr>
          <w:rFonts w:hint="eastAsia" w:ascii="仿宋" w:hAnsi="仿宋" w:eastAsia="仿宋" w:cs="仿宋"/>
          <w:b/>
          <w:bCs/>
          <w:sz w:val="24"/>
          <w:szCs w:val="24"/>
        </w:rPr>
        <w:t>二</w:t>
      </w:r>
      <w:r>
        <w:rPr>
          <w:rFonts w:ascii="仿宋" w:hAnsi="仿宋" w:eastAsia="仿宋" w:cs="仿宋"/>
          <w:b/>
          <w:bCs/>
          <w:sz w:val="24"/>
          <w:szCs w:val="24"/>
        </w:rPr>
        <w:t>)</w:t>
      </w:r>
      <w:r>
        <w:rPr>
          <w:rFonts w:hint="eastAsia" w:ascii="仿宋" w:hAnsi="仿宋" w:eastAsia="仿宋" w:cs="仿宋"/>
          <w:b/>
          <w:bCs/>
          <w:sz w:val="24"/>
          <w:szCs w:val="24"/>
        </w:rPr>
        <w:t>主要人员简历表</w:t>
      </w:r>
    </w:p>
    <w:p>
      <w:pPr>
        <w:spacing w:line="360" w:lineRule="auto"/>
        <w:rPr>
          <w:rFonts w:ascii="仿宋" w:hAnsi="仿宋" w:eastAsia="仿宋"/>
        </w:rPr>
      </w:pPr>
    </w:p>
    <w:tbl>
      <w:tblPr>
        <w:tblStyle w:val="42"/>
        <w:tblW w:w="9406" w:type="dxa"/>
        <w:jc w:val="center"/>
        <w:tblInd w:w="0" w:type="dxa"/>
        <w:tblLayout w:type="fixed"/>
        <w:tblCellMar>
          <w:top w:w="0" w:type="dxa"/>
          <w:left w:w="0" w:type="dxa"/>
          <w:bottom w:w="0" w:type="dxa"/>
          <w:right w:w="0" w:type="dxa"/>
        </w:tblCellMar>
      </w:tblPr>
      <w:tblGrid>
        <w:gridCol w:w="1595"/>
        <w:gridCol w:w="25"/>
        <w:gridCol w:w="1215"/>
        <w:gridCol w:w="1134"/>
        <w:gridCol w:w="1276"/>
        <w:gridCol w:w="1843"/>
        <w:gridCol w:w="2318"/>
      </w:tblGrid>
      <w:tr>
        <w:tblPrEx>
          <w:tblLayout w:type="fixed"/>
          <w:tblCellMar>
            <w:top w:w="0" w:type="dxa"/>
            <w:left w:w="0" w:type="dxa"/>
            <w:bottom w:w="0" w:type="dxa"/>
            <w:right w:w="0" w:type="dxa"/>
          </w:tblCellMar>
        </w:tblPrEx>
        <w:trPr>
          <w:trHeight w:val="463" w:hRule="atLeast"/>
          <w:jc w:val="center"/>
        </w:trPr>
        <w:tc>
          <w:tcPr>
            <w:tcW w:w="159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姓名</w:t>
            </w:r>
          </w:p>
        </w:tc>
        <w:tc>
          <w:tcPr>
            <w:tcW w:w="1240" w:type="dxa"/>
            <w:gridSpan w:val="2"/>
            <w:tcBorders>
              <w:top w:val="single" w:color="auto" w:sz="4" w:space="0"/>
              <w:left w:val="nil"/>
              <w:bottom w:val="single" w:color="auto" w:sz="4" w:space="0"/>
              <w:right w:val="single" w:color="auto" w:sz="4" w:space="0"/>
            </w:tcBorders>
          </w:tcPr>
          <w:p>
            <w:pPr>
              <w:spacing w:line="360" w:lineRule="auto"/>
              <w:jc w:val="center"/>
              <w:rPr>
                <w:rFonts w:ascii="宋体" w:hAnsi="宋体" w:cs="宋体"/>
                <w:color w:val="000000" w:themeColor="text1"/>
                <w14:textFill>
                  <w14:solidFill>
                    <w14:schemeClr w14:val="tx1"/>
                  </w14:solidFill>
                </w14:textFill>
              </w:rPr>
            </w:pPr>
          </w:p>
        </w:tc>
        <w:tc>
          <w:tcPr>
            <w:tcW w:w="1134"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年龄</w:t>
            </w:r>
          </w:p>
        </w:tc>
        <w:tc>
          <w:tcPr>
            <w:tcW w:w="5437" w:type="dxa"/>
            <w:gridSpan w:val="3"/>
            <w:tcBorders>
              <w:top w:val="single" w:color="auto" w:sz="4" w:space="0"/>
              <w:left w:val="nil"/>
              <w:bottom w:val="single" w:color="auto" w:sz="4" w:space="0"/>
              <w:right w:val="single" w:color="auto" w:sz="4" w:space="0"/>
            </w:tcBorders>
          </w:tcPr>
          <w:p>
            <w:pPr>
              <w:spacing w:line="360" w:lineRule="auto"/>
              <w:jc w:val="center"/>
              <w:rPr>
                <w:rFonts w:ascii="宋体" w:hAnsi="宋体" w:cs="宋体"/>
                <w:color w:val="000000" w:themeColor="text1"/>
                <w14:textFill>
                  <w14:solidFill>
                    <w14:schemeClr w14:val="tx1"/>
                  </w14:solidFill>
                </w14:textFill>
              </w:rPr>
            </w:pPr>
          </w:p>
        </w:tc>
      </w:tr>
      <w:tr>
        <w:tblPrEx>
          <w:tblLayout w:type="fixed"/>
          <w:tblCellMar>
            <w:top w:w="0" w:type="dxa"/>
            <w:left w:w="0" w:type="dxa"/>
            <w:bottom w:w="0" w:type="dxa"/>
            <w:right w:w="0" w:type="dxa"/>
          </w:tblCellMar>
        </w:tblPrEx>
        <w:trPr>
          <w:trHeight w:val="451" w:hRule="atLeast"/>
          <w:jc w:val="center"/>
        </w:trPr>
        <w:tc>
          <w:tcPr>
            <w:tcW w:w="159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职称</w:t>
            </w:r>
          </w:p>
        </w:tc>
        <w:tc>
          <w:tcPr>
            <w:tcW w:w="1240" w:type="dxa"/>
            <w:gridSpan w:val="2"/>
            <w:tcBorders>
              <w:top w:val="single" w:color="auto" w:sz="4" w:space="0"/>
              <w:left w:val="nil"/>
              <w:bottom w:val="single" w:color="auto" w:sz="4" w:space="0"/>
              <w:right w:val="single" w:color="auto" w:sz="4" w:space="0"/>
            </w:tcBorders>
          </w:tcPr>
          <w:p>
            <w:pPr>
              <w:spacing w:line="360" w:lineRule="auto"/>
              <w:jc w:val="center"/>
              <w:rPr>
                <w:rFonts w:ascii="宋体" w:hAnsi="宋体" w:cs="宋体"/>
                <w:color w:val="000000" w:themeColor="text1"/>
                <w14:textFill>
                  <w14:solidFill>
                    <w14:schemeClr w14:val="tx1"/>
                  </w14:solidFill>
                </w14:textFill>
              </w:rPr>
            </w:pPr>
          </w:p>
        </w:tc>
        <w:tc>
          <w:tcPr>
            <w:tcW w:w="1134"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职务</w:t>
            </w:r>
          </w:p>
        </w:tc>
        <w:tc>
          <w:tcPr>
            <w:tcW w:w="1276" w:type="dxa"/>
            <w:tcBorders>
              <w:top w:val="single" w:color="auto" w:sz="4" w:space="0"/>
              <w:left w:val="nil"/>
              <w:bottom w:val="single" w:color="auto" w:sz="4" w:space="0"/>
              <w:right w:val="single" w:color="auto" w:sz="4" w:space="0"/>
            </w:tcBorders>
          </w:tcPr>
          <w:p>
            <w:pPr>
              <w:spacing w:line="360" w:lineRule="auto"/>
              <w:jc w:val="center"/>
              <w:rPr>
                <w:rFonts w:ascii="宋体" w:hAnsi="宋体" w:cs="宋体"/>
                <w:color w:val="000000" w:themeColor="text1"/>
                <w14:textFill>
                  <w14:solidFill>
                    <w14:schemeClr w14:val="tx1"/>
                  </w14:solidFill>
                </w14:textFill>
              </w:rPr>
            </w:pPr>
          </w:p>
        </w:tc>
        <w:tc>
          <w:tcPr>
            <w:tcW w:w="1843"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拟在本合同任职</w:t>
            </w:r>
          </w:p>
        </w:tc>
        <w:tc>
          <w:tcPr>
            <w:tcW w:w="2318" w:type="dxa"/>
            <w:tcBorders>
              <w:top w:val="single" w:color="auto" w:sz="4" w:space="0"/>
              <w:left w:val="nil"/>
              <w:bottom w:val="single" w:color="auto" w:sz="4" w:space="0"/>
              <w:right w:val="single" w:color="auto" w:sz="4" w:space="0"/>
            </w:tcBorders>
          </w:tcPr>
          <w:p>
            <w:pPr>
              <w:spacing w:line="360" w:lineRule="auto"/>
              <w:jc w:val="center"/>
              <w:rPr>
                <w:rFonts w:ascii="宋体" w:hAnsi="宋体" w:cs="宋体"/>
                <w:color w:val="000000" w:themeColor="text1"/>
                <w14:textFill>
                  <w14:solidFill>
                    <w14:schemeClr w14:val="tx1"/>
                  </w14:solidFill>
                </w14:textFill>
              </w:rPr>
            </w:pPr>
          </w:p>
        </w:tc>
      </w:tr>
      <w:tr>
        <w:tblPrEx>
          <w:tblLayout w:type="fixed"/>
          <w:tblCellMar>
            <w:top w:w="0" w:type="dxa"/>
            <w:left w:w="0" w:type="dxa"/>
            <w:bottom w:w="0" w:type="dxa"/>
            <w:right w:w="0" w:type="dxa"/>
          </w:tblCellMar>
        </w:tblPrEx>
        <w:trPr>
          <w:trHeight w:val="613" w:hRule="atLeast"/>
          <w:jc w:val="center"/>
        </w:trPr>
        <w:tc>
          <w:tcPr>
            <w:tcW w:w="9406" w:type="dxa"/>
            <w:gridSpan w:val="7"/>
            <w:tcBorders>
              <w:top w:val="single" w:color="auto" w:sz="4" w:space="0"/>
              <w:left w:val="single" w:color="auto" w:sz="4" w:space="0"/>
              <w:bottom w:val="single" w:color="auto" w:sz="4" w:space="0"/>
              <w:right w:val="single" w:color="auto" w:sz="4" w:space="0"/>
            </w:tcBorders>
            <w:vAlign w:val="center"/>
          </w:tcPr>
          <w:p>
            <w:pPr>
              <w:spacing w:line="360" w:lineRule="auto"/>
              <w:ind w:firstLine="4200" w:firstLineChars="20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主要工作经历</w:t>
            </w:r>
          </w:p>
        </w:tc>
      </w:tr>
      <w:tr>
        <w:tblPrEx>
          <w:tblLayout w:type="fixed"/>
          <w:tblCellMar>
            <w:top w:w="0" w:type="dxa"/>
            <w:left w:w="0" w:type="dxa"/>
            <w:bottom w:w="0" w:type="dxa"/>
            <w:right w:w="0" w:type="dxa"/>
          </w:tblCellMar>
        </w:tblPrEx>
        <w:trPr>
          <w:trHeight w:val="613" w:hRule="atLeast"/>
          <w:jc w:val="center"/>
        </w:trPr>
        <w:tc>
          <w:tcPr>
            <w:tcW w:w="1620"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时间</w:t>
            </w:r>
          </w:p>
        </w:tc>
        <w:tc>
          <w:tcPr>
            <w:tcW w:w="3625" w:type="dxa"/>
            <w:gridSpan w:val="3"/>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项目名称</w:t>
            </w:r>
          </w:p>
        </w:tc>
        <w:tc>
          <w:tcPr>
            <w:tcW w:w="1843"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担任职务</w:t>
            </w:r>
          </w:p>
        </w:tc>
        <w:tc>
          <w:tcPr>
            <w:tcW w:w="2318"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发包人</w:t>
            </w:r>
          </w:p>
        </w:tc>
      </w:tr>
      <w:tr>
        <w:tblPrEx>
          <w:tblLayout w:type="fixed"/>
          <w:tblCellMar>
            <w:top w:w="0" w:type="dxa"/>
            <w:left w:w="0" w:type="dxa"/>
            <w:bottom w:w="0" w:type="dxa"/>
            <w:right w:w="0" w:type="dxa"/>
          </w:tblCellMar>
        </w:tblPrEx>
        <w:trPr>
          <w:trHeight w:val="613" w:hRule="atLeast"/>
          <w:jc w:val="center"/>
        </w:trPr>
        <w:tc>
          <w:tcPr>
            <w:tcW w:w="1620"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themeColor="text1"/>
                <w14:textFill>
                  <w14:solidFill>
                    <w14:schemeClr w14:val="tx1"/>
                  </w14:solidFill>
                </w14:textFill>
              </w:rPr>
            </w:pPr>
          </w:p>
        </w:tc>
        <w:tc>
          <w:tcPr>
            <w:tcW w:w="3625" w:type="dxa"/>
            <w:gridSpan w:val="3"/>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color w:val="000000" w:themeColor="text1"/>
                <w14:textFill>
                  <w14:solidFill>
                    <w14:schemeClr w14:val="tx1"/>
                  </w14:solidFill>
                </w14:textFill>
              </w:rPr>
            </w:pPr>
          </w:p>
        </w:tc>
        <w:tc>
          <w:tcPr>
            <w:tcW w:w="1843"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color w:val="000000" w:themeColor="text1"/>
                <w14:textFill>
                  <w14:solidFill>
                    <w14:schemeClr w14:val="tx1"/>
                  </w14:solidFill>
                </w14:textFill>
              </w:rPr>
            </w:pPr>
          </w:p>
        </w:tc>
        <w:tc>
          <w:tcPr>
            <w:tcW w:w="2318"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color w:val="000000" w:themeColor="text1"/>
                <w14:textFill>
                  <w14:solidFill>
                    <w14:schemeClr w14:val="tx1"/>
                  </w14:solidFill>
                </w14:textFill>
              </w:rPr>
            </w:pPr>
          </w:p>
        </w:tc>
      </w:tr>
      <w:tr>
        <w:tblPrEx>
          <w:tblLayout w:type="fixed"/>
          <w:tblCellMar>
            <w:top w:w="0" w:type="dxa"/>
            <w:left w:w="0" w:type="dxa"/>
            <w:bottom w:w="0" w:type="dxa"/>
            <w:right w:w="0" w:type="dxa"/>
          </w:tblCellMar>
        </w:tblPrEx>
        <w:trPr>
          <w:trHeight w:val="613" w:hRule="atLeast"/>
          <w:jc w:val="center"/>
        </w:trPr>
        <w:tc>
          <w:tcPr>
            <w:tcW w:w="1620"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themeColor="text1"/>
                <w14:textFill>
                  <w14:solidFill>
                    <w14:schemeClr w14:val="tx1"/>
                  </w14:solidFill>
                </w14:textFill>
              </w:rPr>
            </w:pPr>
          </w:p>
        </w:tc>
        <w:tc>
          <w:tcPr>
            <w:tcW w:w="3625" w:type="dxa"/>
            <w:gridSpan w:val="3"/>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color w:val="000000" w:themeColor="text1"/>
                <w14:textFill>
                  <w14:solidFill>
                    <w14:schemeClr w14:val="tx1"/>
                  </w14:solidFill>
                </w14:textFill>
              </w:rPr>
            </w:pPr>
          </w:p>
        </w:tc>
        <w:tc>
          <w:tcPr>
            <w:tcW w:w="1843"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color w:val="000000" w:themeColor="text1"/>
                <w14:textFill>
                  <w14:solidFill>
                    <w14:schemeClr w14:val="tx1"/>
                  </w14:solidFill>
                </w14:textFill>
              </w:rPr>
            </w:pPr>
          </w:p>
        </w:tc>
        <w:tc>
          <w:tcPr>
            <w:tcW w:w="2318"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color w:val="000000" w:themeColor="text1"/>
                <w14:textFill>
                  <w14:solidFill>
                    <w14:schemeClr w14:val="tx1"/>
                  </w14:solidFill>
                </w14:textFill>
              </w:rPr>
            </w:pPr>
          </w:p>
        </w:tc>
      </w:tr>
      <w:tr>
        <w:tblPrEx>
          <w:tblLayout w:type="fixed"/>
          <w:tblCellMar>
            <w:top w:w="0" w:type="dxa"/>
            <w:left w:w="0" w:type="dxa"/>
            <w:bottom w:w="0" w:type="dxa"/>
            <w:right w:w="0" w:type="dxa"/>
          </w:tblCellMar>
        </w:tblPrEx>
        <w:trPr>
          <w:trHeight w:val="613" w:hRule="atLeast"/>
          <w:jc w:val="center"/>
        </w:trPr>
        <w:tc>
          <w:tcPr>
            <w:tcW w:w="1620"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themeColor="text1"/>
                <w14:textFill>
                  <w14:solidFill>
                    <w14:schemeClr w14:val="tx1"/>
                  </w14:solidFill>
                </w14:textFill>
              </w:rPr>
            </w:pPr>
          </w:p>
        </w:tc>
        <w:tc>
          <w:tcPr>
            <w:tcW w:w="3625" w:type="dxa"/>
            <w:gridSpan w:val="3"/>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color w:val="000000" w:themeColor="text1"/>
                <w14:textFill>
                  <w14:solidFill>
                    <w14:schemeClr w14:val="tx1"/>
                  </w14:solidFill>
                </w14:textFill>
              </w:rPr>
            </w:pPr>
          </w:p>
        </w:tc>
        <w:tc>
          <w:tcPr>
            <w:tcW w:w="1843"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color w:val="000000" w:themeColor="text1"/>
                <w14:textFill>
                  <w14:solidFill>
                    <w14:schemeClr w14:val="tx1"/>
                  </w14:solidFill>
                </w14:textFill>
              </w:rPr>
            </w:pPr>
          </w:p>
        </w:tc>
        <w:tc>
          <w:tcPr>
            <w:tcW w:w="2318"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color w:val="000000" w:themeColor="text1"/>
                <w14:textFill>
                  <w14:solidFill>
                    <w14:schemeClr w14:val="tx1"/>
                  </w14:solidFill>
                </w14:textFill>
              </w:rPr>
            </w:pPr>
          </w:p>
        </w:tc>
      </w:tr>
    </w:tbl>
    <w:p>
      <w:pPr>
        <w:spacing w:line="360" w:lineRule="auto"/>
        <w:rPr>
          <w:rFonts w:ascii="宋体" w:hAnsi="宋体" w:cs="宋体"/>
          <w:color w:val="000000" w:themeColor="text1"/>
          <w14:textFill>
            <w14:solidFill>
              <w14:schemeClr w14:val="tx1"/>
            </w14:solidFill>
          </w14:textFill>
        </w:rPr>
      </w:pPr>
    </w:p>
    <w:p>
      <w:pPr>
        <w:spacing w:line="360" w:lineRule="auto"/>
        <w:ind w:left="105" w:hanging="105" w:hangingChars="5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注：</w:t>
      </w:r>
    </w:p>
    <w:p>
      <w:pPr>
        <w:spacing w:line="360" w:lineRule="auto"/>
        <w:ind w:left="105" w:hanging="105" w:hangingChars="5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1、人员应附身份证复印件。</w:t>
      </w:r>
    </w:p>
    <w:p>
      <w:pPr>
        <w:spacing w:line="360" w:lineRule="auto"/>
        <w:ind w:left="105" w:hanging="105" w:hangingChars="5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2、人员应附执业或职业资格证或上岗证或职称证复印件。</w:t>
      </w:r>
    </w:p>
    <w:p>
      <w:pPr>
        <w:numPr>
          <w:ilvl w:val="0"/>
          <w:numId w:val="0"/>
        </w:numPr>
        <w:spacing w:line="360" w:lineRule="auto"/>
        <w:rPr>
          <w:rFonts w:ascii="仿宋" w:hAnsi="仿宋" w:eastAsia="仿宋" w:cs="仿宋"/>
          <w:b/>
          <w:bCs/>
          <w:color w:val="FF0000"/>
          <w:sz w:val="24"/>
          <w:szCs w:val="24"/>
        </w:rPr>
      </w:pPr>
      <w:r>
        <w:rPr>
          <w:rFonts w:hint="eastAsia" w:ascii="宋体" w:hAnsi="宋体" w:cs="宋体"/>
          <w:color w:val="000000" w:themeColor="text1"/>
          <w14:textFill>
            <w14:solidFill>
              <w14:schemeClr w14:val="tx1"/>
            </w14:solidFill>
          </w14:textFill>
        </w:rPr>
        <w:br w:type="page"/>
      </w:r>
      <w:bookmarkEnd w:id="92"/>
      <w:r>
        <w:rPr>
          <w:rFonts w:hint="eastAsia" w:ascii="宋体" w:hAnsi="宋体" w:cs="宋体"/>
          <w:color w:val="000000" w:themeColor="text1"/>
          <w:lang w:val="en-US" w:eastAsia="zh-CN"/>
          <w14:textFill>
            <w14:solidFill>
              <w14:schemeClr w14:val="tx1"/>
            </w14:solidFill>
          </w14:textFill>
        </w:rPr>
        <w:t xml:space="preserve">            </w:t>
      </w:r>
      <w:r>
        <w:rPr>
          <w:rFonts w:hint="eastAsia" w:ascii="仿宋" w:hAnsi="仿宋" w:eastAsia="仿宋" w:cs="仿宋"/>
          <w:b/>
          <w:bCs/>
          <w:sz w:val="24"/>
          <w:szCs w:val="24"/>
          <w:lang w:eastAsia="zh-CN"/>
        </w:rPr>
        <w:t>（</w:t>
      </w:r>
      <w:r>
        <w:rPr>
          <w:rFonts w:hint="eastAsia" w:ascii="仿宋" w:hAnsi="仿宋" w:eastAsia="仿宋" w:cs="仿宋"/>
          <w:b/>
          <w:bCs/>
          <w:sz w:val="24"/>
          <w:szCs w:val="24"/>
          <w:lang w:val="en-US" w:eastAsia="zh-CN"/>
        </w:rPr>
        <w:t>三</w:t>
      </w:r>
      <w:r>
        <w:rPr>
          <w:rFonts w:hint="eastAsia" w:ascii="仿宋" w:hAnsi="仿宋" w:eastAsia="仿宋" w:cs="仿宋"/>
          <w:b/>
          <w:bCs/>
          <w:sz w:val="24"/>
          <w:szCs w:val="24"/>
          <w:lang w:eastAsia="zh-CN"/>
        </w:rPr>
        <w:t>）</w:t>
      </w:r>
      <w:r>
        <w:rPr>
          <w:rFonts w:hint="eastAsia" w:ascii="仿宋" w:hAnsi="仿宋" w:eastAsia="仿宋" w:cs="仿宋"/>
          <w:b/>
          <w:bCs/>
          <w:sz w:val="24"/>
          <w:szCs w:val="24"/>
          <w:lang w:val="en-US" w:eastAsia="zh-CN"/>
        </w:rPr>
        <w:t>项目经理和技术负责人相关证明材料</w:t>
      </w:r>
    </w:p>
    <w:p>
      <w:pPr>
        <w:pStyle w:val="17"/>
        <w:numPr>
          <w:ilvl w:val="0"/>
          <w:numId w:val="0"/>
        </w:numPr>
        <w:spacing w:line="360" w:lineRule="auto"/>
        <w:ind w:firstLine="480" w:firstLineChars="200"/>
        <w:rPr>
          <w:rFonts w:hint="eastAsia"/>
          <w:color w:val="FF0000"/>
          <w:lang w:val="en-US" w:eastAsia="zh-CN"/>
        </w:rPr>
      </w:pPr>
      <w:r>
        <w:rPr>
          <w:rFonts w:hint="eastAsia"/>
          <w:color w:val="FF0000"/>
          <w:lang w:val="en-US" w:eastAsia="zh-CN"/>
        </w:rPr>
        <w:t>1、项目经理：</w:t>
      </w:r>
    </w:p>
    <w:p>
      <w:pPr>
        <w:pStyle w:val="17"/>
        <w:numPr>
          <w:ilvl w:val="0"/>
          <w:numId w:val="0"/>
        </w:numPr>
        <w:spacing w:line="360" w:lineRule="auto"/>
        <w:ind w:firstLine="480" w:firstLineChars="200"/>
        <w:rPr>
          <w:rFonts w:hint="eastAsia"/>
          <w:color w:val="FF0000"/>
          <w:lang w:val="en-US" w:eastAsia="zh-CN"/>
        </w:rPr>
      </w:pPr>
      <w:r>
        <w:rPr>
          <w:rFonts w:hint="eastAsia"/>
          <w:color w:val="FF0000"/>
          <w:lang w:eastAsia="zh-CN"/>
        </w:rPr>
        <w:t>①</w:t>
      </w:r>
      <w:r>
        <w:rPr>
          <w:rFonts w:hint="eastAsia"/>
          <w:color w:val="FF0000"/>
          <w:lang w:val="en-US" w:eastAsia="zh-CN"/>
        </w:rPr>
        <w:t>具备建筑工程专业二级及以上注册建造师资格且同时具备水文地质或工程地质或环境地质相关专业中级或以上职称</w:t>
      </w:r>
      <w:r>
        <w:rPr>
          <w:rFonts w:hint="eastAsia"/>
          <w:color w:val="FF0000"/>
          <w:lang w:eastAsia="zh-CN"/>
        </w:rPr>
        <w:t>（提供：</w:t>
      </w:r>
      <w:r>
        <w:rPr>
          <w:rFonts w:hint="eastAsia"/>
          <w:color w:val="FF0000"/>
          <w:lang w:val="en-US" w:eastAsia="zh-CN"/>
        </w:rPr>
        <w:t>1、</w:t>
      </w:r>
      <w:r>
        <w:rPr>
          <w:rFonts w:hint="eastAsia"/>
          <w:color w:val="FF0000"/>
          <w:lang w:eastAsia="zh-CN"/>
        </w:rPr>
        <w:t>人员证书复印件；</w:t>
      </w:r>
      <w:r>
        <w:rPr>
          <w:rFonts w:hint="eastAsia"/>
          <w:color w:val="FF0000"/>
          <w:lang w:val="en-US" w:eastAsia="zh-CN"/>
        </w:rPr>
        <w:t>2、提供其为本单位人员的证明材料。</w:t>
      </w:r>
      <w:r>
        <w:rPr>
          <w:rFonts w:hint="eastAsia"/>
          <w:color w:val="FF0000"/>
          <w:lang w:eastAsia="zh-CN"/>
        </w:rPr>
        <w:t>均加盖单位鲜章）</w:t>
      </w:r>
    </w:p>
    <w:p>
      <w:pPr>
        <w:pStyle w:val="17"/>
        <w:numPr>
          <w:ilvl w:val="0"/>
          <w:numId w:val="0"/>
        </w:numPr>
        <w:spacing w:line="360" w:lineRule="auto"/>
        <w:ind w:firstLine="480" w:firstLineChars="200"/>
        <w:rPr>
          <w:rFonts w:hint="eastAsia"/>
          <w:color w:val="FF0000"/>
          <w:lang w:val="en-US" w:eastAsia="zh-CN"/>
        </w:rPr>
      </w:pPr>
      <w:r>
        <w:rPr>
          <w:rFonts w:hint="eastAsia"/>
          <w:color w:val="FF0000"/>
          <w:lang w:val="en-US" w:eastAsia="zh-CN"/>
        </w:rPr>
        <w:t>②</w:t>
      </w:r>
      <w:r>
        <w:rPr>
          <w:rFonts w:hint="eastAsia"/>
          <w:color w:val="FF0000"/>
        </w:rPr>
        <w:t>参加本项目投标时没有在其他未完工项目担任项目经理，成交后至完工前也不得在其他项目担任项目经理。</w:t>
      </w:r>
      <w:r>
        <w:rPr>
          <w:rFonts w:hint="eastAsia"/>
          <w:color w:val="FF0000"/>
          <w:lang w:eastAsia="zh-CN"/>
        </w:rPr>
        <w:t>（</w:t>
      </w:r>
      <w:r>
        <w:rPr>
          <w:rFonts w:hint="eastAsia"/>
          <w:color w:val="FF0000"/>
        </w:rPr>
        <w:t>提供承诺函原件，加盖单位公章</w:t>
      </w:r>
      <w:r>
        <w:rPr>
          <w:rFonts w:hint="eastAsia"/>
          <w:color w:val="FF0000"/>
          <w:lang w:eastAsia="zh-CN"/>
        </w:rPr>
        <w:t>）</w:t>
      </w:r>
    </w:p>
    <w:p>
      <w:pPr>
        <w:pStyle w:val="17"/>
        <w:numPr>
          <w:ilvl w:val="0"/>
          <w:numId w:val="0"/>
        </w:numPr>
        <w:spacing w:line="360" w:lineRule="auto"/>
        <w:ind w:firstLine="480" w:firstLineChars="200"/>
        <w:rPr>
          <w:rFonts w:hint="eastAsia"/>
          <w:color w:val="FF0000"/>
          <w:lang w:val="en-US" w:eastAsia="zh-CN"/>
        </w:rPr>
      </w:pPr>
      <w:r>
        <w:rPr>
          <w:rFonts w:hint="eastAsia"/>
          <w:color w:val="FF0000"/>
          <w:lang w:val="en-US" w:eastAsia="zh-CN"/>
        </w:rPr>
        <w:t>2、技术负责人：</w:t>
      </w:r>
    </w:p>
    <w:p>
      <w:pPr>
        <w:pStyle w:val="17"/>
        <w:numPr>
          <w:ilvl w:val="0"/>
          <w:numId w:val="0"/>
        </w:numPr>
        <w:spacing w:line="360" w:lineRule="auto"/>
        <w:ind w:firstLine="480" w:firstLineChars="200"/>
        <w:rPr>
          <w:rFonts w:hint="eastAsia"/>
          <w:color w:val="FF0000"/>
          <w:lang w:val="en-US" w:eastAsia="zh-CN"/>
        </w:rPr>
      </w:pPr>
      <w:r>
        <w:rPr>
          <w:rFonts w:hint="eastAsia"/>
          <w:color w:val="FF0000"/>
          <w:lang w:val="en-US" w:eastAsia="zh-CN"/>
        </w:rPr>
        <w:t>具备水文地质或工程地质或环境地质相关专业中级或以上职称。（提供：1、人员证书复印件；2、提供其为本单位人员的证明材料。均加盖单位鲜章）</w:t>
      </w:r>
    </w:p>
    <w:p>
      <w:pPr>
        <w:spacing w:line="360" w:lineRule="auto"/>
        <w:rPr>
          <w:rFonts w:ascii="仿宋" w:hAnsi="仿宋" w:eastAsia="仿宋" w:cs="仿宋"/>
          <w:b/>
          <w:bCs/>
          <w:sz w:val="28"/>
          <w:szCs w:val="28"/>
        </w:rPr>
      </w:pPr>
    </w:p>
    <w:p>
      <w:pPr>
        <w:spacing w:line="360" w:lineRule="auto"/>
        <w:rPr>
          <w:rFonts w:ascii="仿宋" w:hAnsi="仿宋" w:eastAsia="仿宋" w:cs="仿宋"/>
          <w:b/>
          <w:bCs/>
          <w:sz w:val="28"/>
          <w:szCs w:val="28"/>
        </w:rPr>
      </w:pPr>
    </w:p>
    <w:p>
      <w:pPr>
        <w:spacing w:line="360" w:lineRule="auto"/>
        <w:rPr>
          <w:rFonts w:ascii="仿宋" w:hAnsi="仿宋" w:eastAsia="仿宋" w:cs="仿宋"/>
          <w:b/>
          <w:bCs/>
          <w:sz w:val="28"/>
          <w:szCs w:val="28"/>
        </w:rPr>
      </w:pPr>
    </w:p>
    <w:p>
      <w:pPr>
        <w:spacing w:line="360" w:lineRule="auto"/>
        <w:rPr>
          <w:rFonts w:ascii="仿宋" w:hAnsi="仿宋" w:eastAsia="仿宋" w:cs="仿宋"/>
          <w:b/>
          <w:bCs/>
          <w:sz w:val="28"/>
          <w:szCs w:val="28"/>
        </w:rPr>
      </w:pPr>
    </w:p>
    <w:p>
      <w:pPr>
        <w:spacing w:line="360" w:lineRule="auto"/>
        <w:rPr>
          <w:rFonts w:ascii="仿宋" w:hAnsi="仿宋" w:eastAsia="仿宋" w:cs="仿宋"/>
          <w:b/>
          <w:bCs/>
          <w:sz w:val="28"/>
          <w:szCs w:val="28"/>
        </w:rPr>
      </w:pPr>
    </w:p>
    <w:p>
      <w:pPr>
        <w:spacing w:line="360" w:lineRule="auto"/>
        <w:rPr>
          <w:rFonts w:ascii="仿宋" w:hAnsi="仿宋" w:eastAsia="仿宋" w:cs="仿宋"/>
          <w:b/>
          <w:bCs/>
          <w:sz w:val="28"/>
          <w:szCs w:val="28"/>
        </w:rPr>
      </w:pPr>
    </w:p>
    <w:p>
      <w:pPr>
        <w:spacing w:line="360" w:lineRule="auto"/>
        <w:rPr>
          <w:rFonts w:ascii="仿宋" w:hAnsi="仿宋" w:eastAsia="仿宋" w:cs="仿宋"/>
          <w:b/>
          <w:bCs/>
          <w:sz w:val="28"/>
          <w:szCs w:val="28"/>
        </w:rPr>
      </w:pPr>
    </w:p>
    <w:p>
      <w:pPr>
        <w:spacing w:line="360" w:lineRule="auto"/>
        <w:rPr>
          <w:rFonts w:ascii="仿宋" w:hAnsi="仿宋" w:eastAsia="仿宋" w:cs="仿宋"/>
          <w:b/>
          <w:bCs/>
          <w:sz w:val="28"/>
          <w:szCs w:val="28"/>
        </w:rPr>
      </w:pPr>
    </w:p>
    <w:p>
      <w:pPr>
        <w:spacing w:line="360" w:lineRule="auto"/>
        <w:rPr>
          <w:rFonts w:ascii="仿宋" w:hAnsi="仿宋" w:eastAsia="仿宋" w:cs="仿宋"/>
          <w:b/>
          <w:bCs/>
          <w:sz w:val="28"/>
          <w:szCs w:val="28"/>
        </w:rPr>
      </w:pPr>
    </w:p>
    <w:p>
      <w:pPr>
        <w:spacing w:line="360" w:lineRule="auto"/>
        <w:rPr>
          <w:rFonts w:ascii="仿宋" w:hAnsi="仿宋" w:eastAsia="仿宋" w:cs="仿宋"/>
          <w:b/>
          <w:bCs/>
          <w:sz w:val="28"/>
          <w:szCs w:val="28"/>
        </w:rPr>
      </w:pPr>
    </w:p>
    <w:p>
      <w:pPr>
        <w:spacing w:line="360" w:lineRule="auto"/>
        <w:rPr>
          <w:rFonts w:ascii="仿宋" w:hAnsi="仿宋" w:eastAsia="仿宋" w:cs="仿宋"/>
          <w:b/>
          <w:bCs/>
          <w:sz w:val="28"/>
          <w:szCs w:val="28"/>
        </w:rPr>
      </w:pPr>
    </w:p>
    <w:p>
      <w:pPr>
        <w:spacing w:line="360" w:lineRule="auto"/>
        <w:rPr>
          <w:rFonts w:ascii="仿宋" w:hAnsi="仿宋" w:eastAsia="仿宋" w:cs="仿宋"/>
          <w:b/>
          <w:bCs/>
          <w:sz w:val="28"/>
          <w:szCs w:val="28"/>
        </w:rPr>
      </w:pPr>
    </w:p>
    <w:p>
      <w:pPr>
        <w:spacing w:line="360" w:lineRule="auto"/>
        <w:rPr>
          <w:rFonts w:ascii="仿宋" w:hAnsi="仿宋" w:eastAsia="仿宋" w:cs="仿宋"/>
          <w:b/>
          <w:bCs/>
          <w:sz w:val="28"/>
          <w:szCs w:val="28"/>
        </w:rPr>
      </w:pPr>
    </w:p>
    <w:p>
      <w:pPr>
        <w:spacing w:line="360" w:lineRule="auto"/>
        <w:rPr>
          <w:rFonts w:ascii="仿宋" w:hAnsi="仿宋" w:eastAsia="仿宋" w:cs="仿宋"/>
          <w:b/>
          <w:bCs/>
          <w:sz w:val="28"/>
          <w:szCs w:val="28"/>
        </w:rPr>
      </w:pPr>
    </w:p>
    <w:p>
      <w:pPr>
        <w:spacing w:line="360" w:lineRule="auto"/>
        <w:rPr>
          <w:rFonts w:ascii="仿宋" w:hAnsi="仿宋" w:eastAsia="仿宋" w:cs="仿宋"/>
          <w:b/>
          <w:bCs/>
          <w:sz w:val="28"/>
          <w:szCs w:val="28"/>
        </w:rPr>
      </w:pPr>
    </w:p>
    <w:p>
      <w:pPr>
        <w:spacing w:line="360" w:lineRule="auto"/>
        <w:rPr>
          <w:rFonts w:ascii="仿宋" w:hAnsi="仿宋" w:eastAsia="仿宋" w:cs="仿宋"/>
          <w:b/>
          <w:bCs/>
          <w:sz w:val="28"/>
          <w:szCs w:val="28"/>
        </w:rPr>
      </w:pPr>
    </w:p>
    <w:p>
      <w:pPr>
        <w:spacing w:line="360" w:lineRule="auto"/>
        <w:rPr>
          <w:rFonts w:hint="eastAsia" w:ascii="仿宋" w:hAnsi="仿宋" w:eastAsia="仿宋" w:cs="仿宋"/>
          <w:b/>
          <w:bCs/>
          <w:sz w:val="28"/>
          <w:szCs w:val="28"/>
          <w:lang w:eastAsia="zh-CN"/>
        </w:rPr>
      </w:pPr>
      <w:r>
        <w:rPr>
          <w:rFonts w:hint="eastAsia" w:ascii="仿宋" w:hAnsi="仿宋" w:eastAsia="仿宋" w:cs="仿宋"/>
          <w:b/>
          <w:bCs/>
          <w:sz w:val="28"/>
          <w:szCs w:val="28"/>
        </w:rPr>
        <w:t>格式1-1</w:t>
      </w:r>
      <w:r>
        <w:rPr>
          <w:rFonts w:hint="eastAsia" w:ascii="仿宋" w:hAnsi="仿宋" w:eastAsia="仿宋" w:cs="仿宋"/>
          <w:b/>
          <w:bCs/>
          <w:sz w:val="28"/>
          <w:szCs w:val="28"/>
          <w:lang w:val="en-US" w:eastAsia="zh-CN"/>
        </w:rPr>
        <w:t>2</w:t>
      </w:r>
    </w:p>
    <w:p>
      <w:pPr>
        <w:spacing w:line="360" w:lineRule="auto"/>
        <w:jc w:val="center"/>
        <w:rPr>
          <w:rFonts w:ascii="仿宋" w:hAnsi="仿宋" w:eastAsia="仿宋"/>
          <w:b/>
          <w:bCs/>
          <w:sz w:val="32"/>
          <w:szCs w:val="32"/>
        </w:rPr>
      </w:pPr>
      <w:r>
        <w:rPr>
          <w:rFonts w:hint="eastAsia" w:ascii="仿宋" w:hAnsi="仿宋" w:eastAsia="仿宋" w:cs="仿宋"/>
          <w:b/>
          <w:bCs/>
          <w:sz w:val="32"/>
          <w:szCs w:val="32"/>
        </w:rPr>
        <w:t>十</w:t>
      </w:r>
      <w:r>
        <w:rPr>
          <w:rFonts w:hint="eastAsia" w:ascii="仿宋" w:hAnsi="仿宋" w:eastAsia="仿宋" w:cs="仿宋"/>
          <w:b/>
          <w:bCs/>
          <w:sz w:val="32"/>
          <w:szCs w:val="32"/>
          <w:lang w:val="en-US" w:eastAsia="zh-CN"/>
        </w:rPr>
        <w:t>一</w:t>
      </w:r>
      <w:r>
        <w:rPr>
          <w:rFonts w:hint="eastAsia" w:ascii="仿宋" w:hAnsi="仿宋" w:eastAsia="仿宋" w:cs="仿宋"/>
          <w:b/>
          <w:bCs/>
          <w:sz w:val="32"/>
          <w:szCs w:val="32"/>
        </w:rPr>
        <w:t>、供应商诚信情况承诺函</w:t>
      </w:r>
    </w:p>
    <w:p>
      <w:pPr>
        <w:spacing w:line="360" w:lineRule="auto"/>
        <w:rPr>
          <w:rFonts w:ascii="仿宋" w:hAnsi="仿宋" w:eastAsia="仿宋"/>
          <w:sz w:val="24"/>
          <w:szCs w:val="24"/>
        </w:rPr>
      </w:pPr>
    </w:p>
    <w:p>
      <w:pPr>
        <w:spacing w:line="360" w:lineRule="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致（采购代理机构）：</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本单位</w:t>
      </w:r>
      <w:r>
        <w:rPr>
          <w:rFonts w:hint="eastAsia" w:ascii="宋体" w:hAnsi="宋体" w:cs="宋体"/>
          <w:color w:val="000000" w:themeColor="text1"/>
          <w:sz w:val="24"/>
          <w:szCs w:val="24"/>
          <w:u w:val="single"/>
          <w14:textFill>
            <w14:solidFill>
              <w14:schemeClr w14:val="tx1"/>
            </w14:solidFill>
          </w14:textFill>
        </w:rPr>
        <w:t>XXXX（供应商名称）</w:t>
      </w:r>
      <w:r>
        <w:rPr>
          <w:rFonts w:hint="eastAsia" w:ascii="宋体" w:hAnsi="宋体" w:cs="宋体"/>
          <w:color w:val="000000" w:themeColor="text1"/>
          <w:sz w:val="24"/>
          <w:szCs w:val="24"/>
          <w14:textFill>
            <w14:solidFill>
              <w14:schemeClr w14:val="tx1"/>
            </w14:solidFill>
          </w14:textFill>
        </w:rPr>
        <w:t>参加</w:t>
      </w:r>
      <w:r>
        <w:rPr>
          <w:rFonts w:hint="eastAsia" w:ascii="宋体" w:hAnsi="宋体" w:cs="宋体"/>
          <w:color w:val="000000" w:themeColor="text1"/>
          <w:sz w:val="24"/>
          <w:szCs w:val="24"/>
          <w:u w:val="single"/>
          <w14:textFill>
            <w14:solidFill>
              <w14:schemeClr w14:val="tx1"/>
            </w14:solidFill>
          </w14:textFill>
        </w:rPr>
        <w:t>XXXX（项目名称及采购编号）</w:t>
      </w:r>
      <w:r>
        <w:rPr>
          <w:rFonts w:hint="eastAsia" w:ascii="宋体" w:hAnsi="宋体" w:cs="宋体"/>
          <w:color w:val="000000" w:themeColor="text1"/>
          <w:sz w:val="24"/>
          <w:szCs w:val="24"/>
          <w14:textFill>
            <w14:solidFill>
              <w14:schemeClr w14:val="tx1"/>
            </w14:solidFill>
          </w14:textFill>
        </w:rPr>
        <w:t>的政府采购活动，现根据《四川省政府采购当事人诚信管理办法》（川财采[2015]33号）的相关规定，针对本单位的诚信情况作出以下承诺：</w:t>
      </w:r>
    </w:p>
    <w:p>
      <w:pPr>
        <w:spacing w:line="360" w:lineRule="auto"/>
        <w:ind w:firstLine="480" w:firstLineChars="200"/>
        <w:rPr>
          <w:rFonts w:ascii="宋体" w:hAnsi="宋体" w:cs="宋体"/>
          <w:color w:val="000000" w:themeColor="text1"/>
          <w:sz w:val="24"/>
          <w:szCs w:val="24"/>
          <w14:textFill>
            <w14:solidFill>
              <w14:schemeClr w14:val="tx1"/>
            </w14:solidFill>
          </w14:textFill>
        </w:rPr>
      </w:pP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我单位具有《四川省政府采购当事人诚信管理办法》（川财采[2015]33号）所规定的失信行为</w:t>
      </w:r>
      <w:r>
        <w:rPr>
          <w:rFonts w:hint="eastAsia" w:ascii="宋体" w:hAnsi="宋体" w:cs="宋体"/>
          <w:color w:val="000000" w:themeColor="text1"/>
          <w:sz w:val="24"/>
          <w:szCs w:val="24"/>
          <w:u w:val="single"/>
          <w14:textFill>
            <w14:solidFill>
              <w14:schemeClr w14:val="tx1"/>
            </w14:solidFill>
          </w14:textFill>
        </w:rPr>
        <w:t>XXXX</w:t>
      </w:r>
      <w:r>
        <w:rPr>
          <w:rFonts w:hint="eastAsia" w:ascii="宋体" w:hAnsi="宋体" w:cs="宋体"/>
          <w:color w:val="000000" w:themeColor="text1"/>
          <w:sz w:val="24"/>
          <w:szCs w:val="24"/>
          <w14:textFill>
            <w14:solidFill>
              <w14:schemeClr w14:val="tx1"/>
            </w14:solidFill>
          </w14:textFill>
        </w:rPr>
        <w:t>次（填写失信行为的次数时，建议使用大写数字，如零、壹、贰、叁、肆等。）；（仅限递交响应文件截止当日仍在有效期的次数）</w:t>
      </w:r>
    </w:p>
    <w:p>
      <w:pPr>
        <w:spacing w:line="360" w:lineRule="auto"/>
        <w:ind w:firstLine="480" w:firstLineChars="200"/>
        <w:rPr>
          <w:rFonts w:ascii="宋体" w:hAnsi="宋体" w:cs="宋体"/>
          <w:color w:val="000000" w:themeColor="text1"/>
          <w:sz w:val="24"/>
          <w:szCs w:val="24"/>
          <w14:textFill>
            <w14:solidFill>
              <w14:schemeClr w14:val="tx1"/>
            </w14:solidFill>
          </w14:textFill>
        </w:rPr>
      </w:pP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我单位对以上填写信息的真实性负责。如有不实，本单位愿承担由此产生的一切法律责任和后果。</w:t>
      </w:r>
    </w:p>
    <w:p>
      <w:pPr>
        <w:spacing w:line="360" w:lineRule="auto"/>
        <w:rPr>
          <w:rFonts w:ascii="宋体" w:hAnsi="宋体" w:cs="宋体"/>
          <w:color w:val="000000" w:themeColor="text1"/>
          <w:sz w:val="24"/>
          <w:szCs w:val="24"/>
          <w14:textFill>
            <w14:solidFill>
              <w14:schemeClr w14:val="tx1"/>
            </w14:solidFill>
          </w14:textFill>
        </w:rPr>
      </w:pPr>
    </w:p>
    <w:p>
      <w:pPr>
        <w:widowControl/>
        <w:spacing w:line="360" w:lineRule="auto"/>
        <w:ind w:firstLine="470" w:firstLineChars="196"/>
        <w:jc w:val="left"/>
        <w:outlineLvl w:val="1"/>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供应商名称：XXXX（单位盖章）。</w:t>
      </w:r>
    </w:p>
    <w:p>
      <w:pPr>
        <w:widowControl/>
        <w:spacing w:line="360" w:lineRule="auto"/>
        <w:ind w:firstLine="470" w:firstLineChars="196"/>
        <w:jc w:val="left"/>
        <w:outlineLvl w:val="1"/>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递交响应文件截止日期: XXXX。</w:t>
      </w:r>
    </w:p>
    <w:p>
      <w:pPr>
        <w:spacing w:line="360" w:lineRule="auto"/>
        <w:rPr>
          <w:rFonts w:ascii="宋体" w:hAnsi="宋体" w:cs="宋体"/>
          <w:color w:val="000000" w:themeColor="text1"/>
          <w:sz w:val="24"/>
          <w:szCs w:val="24"/>
          <w14:textFill>
            <w14:solidFill>
              <w14:schemeClr w14:val="tx1"/>
            </w14:solidFill>
          </w14:textFill>
        </w:rPr>
      </w:pPr>
    </w:p>
    <w:p>
      <w:pPr>
        <w:spacing w:line="360" w:lineRule="auto"/>
        <w:rPr>
          <w:rFonts w:ascii="宋体" w:hAnsi="宋体" w:cs="宋体"/>
          <w:color w:val="000000" w:themeColor="text1"/>
          <w:sz w:val="24"/>
          <w:szCs w:val="24"/>
          <w14:textFill>
            <w14:solidFill>
              <w14:schemeClr w14:val="tx1"/>
            </w14:solidFill>
          </w14:textFill>
        </w:rPr>
      </w:pPr>
    </w:p>
    <w:p>
      <w:pPr>
        <w:spacing w:line="360" w:lineRule="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注：</w:t>
      </w:r>
    </w:p>
    <w:p>
      <w:pPr>
        <w:spacing w:line="360" w:lineRule="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1、本表格式及内容仅供参考，供应商也可提供自己的格式；</w:t>
      </w:r>
    </w:p>
    <w:p>
      <w:pPr>
        <w:spacing w:line="360" w:lineRule="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2、供应商存在以上所述失信行为的，将按照第二章磋商须知附表的要求进行处理；</w:t>
      </w:r>
    </w:p>
    <w:p>
      <w:pPr>
        <w:spacing w:line="360" w:lineRule="auto"/>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3、财政部门对政府采购当事人的失信行为依法进行处罚、处理后，应当在四川政府采购网向社会公告，并记入诚信档案，有效期为1年。工商部门、税务部门、审判机关及其他有关部门单位认定供应商的失信行为明</w:t>
      </w:r>
      <w:r>
        <w:rPr>
          <w:rFonts w:hint="eastAsia" w:ascii="宋体" w:hAnsi="宋体" w:cs="宋体"/>
          <w:color w:val="000000" w:themeColor="text1"/>
          <w:kern w:val="0"/>
          <w:sz w:val="24"/>
          <w:szCs w:val="24"/>
          <w14:textFill>
            <w14:solidFill>
              <w14:schemeClr w14:val="tx1"/>
            </w14:solidFill>
          </w14:textFill>
        </w:rPr>
        <w:t>确了有效期的，不再重复计算。</w:t>
      </w:r>
    </w:p>
    <w:p>
      <w:pPr>
        <w:spacing w:line="360" w:lineRule="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4、</w:t>
      </w:r>
      <w:r>
        <w:rPr>
          <w:rFonts w:hint="eastAsia" w:ascii="宋体" w:hAnsi="宋体" w:cs="宋体"/>
          <w:color w:val="000000" w:themeColor="text1"/>
          <w:sz w:val="24"/>
          <w:szCs w:val="24"/>
          <w14:textFill>
            <w14:solidFill>
              <w14:schemeClr w14:val="tx1"/>
            </w14:solidFill>
          </w14:textFill>
        </w:rPr>
        <w:t>供应商的失信行为受到行政处罚或司法惩处的，评审时不再对其以价格加成进行惩戒。</w:t>
      </w:r>
    </w:p>
    <w:p>
      <w:pPr>
        <w:pStyle w:val="158"/>
        <w:ind w:firstLine="551"/>
      </w:pPr>
      <w:r>
        <w:rPr>
          <w:rFonts w:ascii="仿宋" w:hAnsi="仿宋" w:eastAsia="仿宋"/>
          <w:sz w:val="24"/>
          <w:szCs w:val="24"/>
        </w:rPr>
        <w:br w:type="page"/>
      </w:r>
    </w:p>
    <w:p>
      <w:pPr>
        <w:spacing w:line="360" w:lineRule="auto"/>
        <w:jc w:val="left"/>
        <w:rPr>
          <w:rFonts w:hint="eastAsia" w:ascii="仿宋" w:hAnsi="仿宋" w:eastAsia="仿宋" w:cs="仿宋"/>
          <w:b/>
          <w:bCs/>
          <w:sz w:val="28"/>
          <w:szCs w:val="28"/>
          <w:lang w:val="en-US" w:eastAsia="zh-CN"/>
        </w:rPr>
      </w:pPr>
      <w:r>
        <w:rPr>
          <w:rFonts w:hint="eastAsia" w:ascii="仿宋" w:hAnsi="仿宋" w:eastAsia="仿宋" w:cs="仿宋"/>
          <w:b/>
          <w:bCs/>
          <w:sz w:val="28"/>
          <w:szCs w:val="28"/>
        </w:rPr>
        <w:t>格式1-1</w:t>
      </w:r>
      <w:r>
        <w:rPr>
          <w:rFonts w:hint="eastAsia" w:ascii="仿宋" w:hAnsi="仿宋" w:eastAsia="仿宋" w:cs="仿宋"/>
          <w:b/>
          <w:bCs/>
          <w:sz w:val="28"/>
          <w:szCs w:val="28"/>
          <w:lang w:val="en-US" w:eastAsia="zh-CN"/>
        </w:rPr>
        <w:t>3</w:t>
      </w:r>
    </w:p>
    <w:p>
      <w:pPr>
        <w:spacing w:line="360" w:lineRule="auto"/>
        <w:jc w:val="center"/>
        <w:rPr>
          <w:rFonts w:ascii="仿宋" w:hAnsi="仿宋" w:eastAsia="仿宋"/>
          <w:b/>
          <w:bCs/>
          <w:sz w:val="32"/>
          <w:szCs w:val="32"/>
        </w:rPr>
      </w:pPr>
      <w:r>
        <w:rPr>
          <w:rFonts w:hint="eastAsia" w:ascii="仿宋" w:hAnsi="仿宋" w:eastAsia="仿宋" w:cs="仿宋"/>
          <w:b/>
          <w:bCs/>
          <w:sz w:val="32"/>
          <w:szCs w:val="32"/>
          <w:lang w:val="en-US" w:eastAsia="zh-CN"/>
        </w:rPr>
        <w:t>十二</w:t>
      </w:r>
      <w:r>
        <w:rPr>
          <w:rFonts w:hint="eastAsia" w:ascii="仿宋" w:hAnsi="仿宋" w:eastAsia="仿宋" w:cs="仿宋"/>
          <w:b/>
          <w:bCs/>
          <w:sz w:val="32"/>
          <w:szCs w:val="32"/>
        </w:rPr>
        <w:t>、</w:t>
      </w:r>
      <w:r>
        <w:rPr>
          <w:rFonts w:hint="eastAsia" w:ascii="宋体" w:hAnsi="宋体" w:eastAsia="宋体" w:cs="宋体"/>
          <w:b/>
          <w:bCs/>
          <w:color w:val="000000" w:themeColor="text1"/>
          <w:kern w:val="2"/>
          <w:sz w:val="32"/>
          <w:szCs w:val="32"/>
          <w:lang w:val="en-US" w:eastAsia="zh-CN" w:bidi="ar-SA"/>
          <w14:textFill>
            <w14:solidFill>
              <w14:schemeClr w14:val="tx1"/>
            </w14:solidFill>
          </w14:textFill>
        </w:rPr>
        <w:t>中小企业声明函</w:t>
      </w:r>
    </w:p>
    <w:p>
      <w:pPr>
        <w:spacing w:line="360" w:lineRule="auto"/>
        <w:ind w:firstLine="480" w:firstLineChars="200"/>
        <w:jc w:val="left"/>
        <w:rPr>
          <w:rFonts w:hint="eastAsia" w:ascii="宋体" w:hAnsi="宋体" w:eastAsia="宋体" w:cs="宋体"/>
          <w:color w:val="000000" w:themeColor="text1"/>
          <w:kern w:val="2"/>
          <w:sz w:val="24"/>
          <w:szCs w:val="24"/>
          <w:lang w:val="en-US" w:eastAsia="zh-CN" w:bidi="ar-SA"/>
          <w14:textFill>
            <w14:solidFill>
              <w14:schemeClr w14:val="tx1"/>
            </w14:solidFill>
          </w14:textFill>
        </w:rPr>
      </w:pPr>
    </w:p>
    <w:p>
      <w:pPr>
        <w:spacing w:line="360" w:lineRule="auto"/>
        <w:ind w:firstLine="480" w:firstLineChars="200"/>
        <w:jc w:val="left"/>
        <w:rPr>
          <w:rFonts w:hint="eastAsia" w:ascii="宋体" w:hAnsi="宋体" w:eastAsia="宋体" w:cs="宋体"/>
          <w:color w:val="000000" w:themeColor="text1"/>
          <w:kern w:val="2"/>
          <w:sz w:val="24"/>
          <w:szCs w:val="24"/>
          <w:lang w:val="en-US" w:eastAsia="zh-CN" w:bidi="ar-SA"/>
          <w14:textFill>
            <w14:solidFill>
              <w14:schemeClr w14:val="tx1"/>
            </w14:solidFill>
          </w14:textFill>
        </w:rPr>
      </w:pPr>
      <w:r>
        <w:rPr>
          <w:rFonts w:hint="eastAsia" w:ascii="宋体" w:hAnsi="宋体" w:eastAsia="宋体" w:cs="宋体"/>
          <w:color w:val="000000" w:themeColor="text1"/>
          <w:kern w:val="2"/>
          <w:sz w:val="24"/>
          <w:szCs w:val="24"/>
          <w:lang w:val="en-US" w:eastAsia="zh-CN" w:bidi="ar-SA"/>
          <w14:textFill>
            <w14:solidFill>
              <w14:schemeClr w14:val="tx1"/>
            </w14:solidFill>
          </w14:textFill>
        </w:rPr>
        <w:t>本公司郑重声明，根据《政府采购促进中小企业发展暂行办法》（财库〔2011〕181号）的规定，本公司为XXXX（请填写：中型、小型、微型）企业。即，本公司同时满足以下条件：</w:t>
      </w:r>
    </w:p>
    <w:p>
      <w:pPr>
        <w:spacing w:line="360" w:lineRule="auto"/>
        <w:ind w:firstLine="480" w:firstLineChars="200"/>
        <w:jc w:val="left"/>
        <w:rPr>
          <w:rFonts w:hint="eastAsia" w:ascii="宋体" w:hAnsi="宋体" w:eastAsia="宋体" w:cs="宋体"/>
          <w:color w:val="000000" w:themeColor="text1"/>
          <w:kern w:val="2"/>
          <w:sz w:val="24"/>
          <w:szCs w:val="24"/>
          <w:lang w:val="en-US" w:eastAsia="zh-CN" w:bidi="ar-SA"/>
          <w14:textFill>
            <w14:solidFill>
              <w14:schemeClr w14:val="tx1"/>
            </w14:solidFill>
          </w14:textFill>
        </w:rPr>
      </w:pPr>
      <w:r>
        <w:rPr>
          <w:rFonts w:hint="eastAsia" w:ascii="宋体" w:hAnsi="宋体" w:eastAsia="宋体" w:cs="宋体"/>
          <w:color w:val="000000" w:themeColor="text1"/>
          <w:kern w:val="2"/>
          <w:sz w:val="24"/>
          <w:szCs w:val="24"/>
          <w:lang w:val="en-US" w:eastAsia="zh-CN" w:bidi="ar-SA"/>
          <w14:textFill>
            <w14:solidFill>
              <w14:schemeClr w14:val="tx1"/>
            </w14:solidFill>
          </w14:textFill>
        </w:rPr>
        <w:t>　　1.根据《工业和信息化部、国家统计局、国家发展和改革委员会、财政部关于印发中小企业划型标准规定的通知》（工信部联企业〔2011〕300号）规定的划分标准，本公司为  XXXX  （请填写：中型、小型、微型）企业。</w:t>
      </w:r>
    </w:p>
    <w:p>
      <w:pPr>
        <w:spacing w:line="360" w:lineRule="auto"/>
        <w:ind w:firstLine="480" w:firstLineChars="200"/>
        <w:jc w:val="left"/>
        <w:rPr>
          <w:rFonts w:hint="eastAsia" w:ascii="宋体" w:hAnsi="宋体" w:eastAsia="宋体" w:cs="宋体"/>
          <w:color w:val="000000" w:themeColor="text1"/>
          <w:kern w:val="2"/>
          <w:sz w:val="24"/>
          <w:szCs w:val="24"/>
          <w:lang w:val="en-US" w:eastAsia="zh-CN" w:bidi="ar-SA"/>
          <w14:textFill>
            <w14:solidFill>
              <w14:schemeClr w14:val="tx1"/>
            </w14:solidFill>
          </w14:textFill>
        </w:rPr>
      </w:pPr>
      <w:r>
        <w:rPr>
          <w:rFonts w:hint="eastAsia" w:ascii="宋体" w:hAnsi="宋体" w:eastAsia="宋体" w:cs="宋体"/>
          <w:color w:val="000000" w:themeColor="text1"/>
          <w:kern w:val="2"/>
          <w:sz w:val="24"/>
          <w:szCs w:val="24"/>
          <w:lang w:val="en-US" w:eastAsia="zh-CN" w:bidi="ar-SA"/>
          <w14:textFill>
            <w14:solidFill>
              <w14:schemeClr w14:val="tx1"/>
            </w14:solidFill>
          </w14:textFill>
        </w:rPr>
        <w:t>　　2.本公司参加  XXXX  单位的  XXXX  项目采购活动，由本企业承担工程建设及服务。</w:t>
      </w:r>
    </w:p>
    <w:p>
      <w:pPr>
        <w:spacing w:line="360" w:lineRule="auto"/>
        <w:ind w:firstLine="480" w:firstLineChars="200"/>
        <w:jc w:val="left"/>
        <w:rPr>
          <w:rFonts w:hint="eastAsia" w:ascii="宋体" w:hAnsi="宋体" w:eastAsia="宋体" w:cs="宋体"/>
          <w:color w:val="000000" w:themeColor="text1"/>
          <w:kern w:val="2"/>
          <w:sz w:val="24"/>
          <w:szCs w:val="24"/>
          <w:lang w:val="en-US" w:eastAsia="zh-CN" w:bidi="ar-SA"/>
          <w14:textFill>
            <w14:solidFill>
              <w14:schemeClr w14:val="tx1"/>
            </w14:solidFill>
          </w14:textFill>
        </w:rPr>
      </w:pPr>
      <w:r>
        <w:rPr>
          <w:rFonts w:hint="eastAsia" w:ascii="宋体" w:hAnsi="宋体" w:eastAsia="宋体" w:cs="宋体"/>
          <w:color w:val="000000" w:themeColor="text1"/>
          <w:kern w:val="2"/>
          <w:sz w:val="24"/>
          <w:szCs w:val="24"/>
          <w:lang w:val="en-US" w:eastAsia="zh-CN" w:bidi="ar-SA"/>
          <w14:textFill>
            <w14:solidFill>
              <w14:schemeClr w14:val="tx1"/>
            </w14:solidFill>
          </w14:textFill>
        </w:rPr>
        <w:t>　　本公司对上述声明的真实性负责。如有虚假，将依法承担相应责任。</w:t>
      </w:r>
    </w:p>
    <w:p>
      <w:pPr>
        <w:spacing w:line="360" w:lineRule="auto"/>
        <w:rPr>
          <w:rFonts w:hint="eastAsia" w:ascii="宋体" w:hAnsi="宋体" w:eastAsia="宋体" w:cs="宋体"/>
          <w:color w:val="000000" w:themeColor="text1"/>
          <w:kern w:val="2"/>
          <w:sz w:val="24"/>
          <w:szCs w:val="24"/>
          <w:lang w:val="en-US" w:eastAsia="zh-CN" w:bidi="ar-SA"/>
          <w14:textFill>
            <w14:solidFill>
              <w14:schemeClr w14:val="tx1"/>
            </w14:solidFill>
          </w14:textFill>
        </w:rPr>
      </w:pPr>
    </w:p>
    <w:p>
      <w:pPr>
        <w:spacing w:line="360" w:lineRule="auto"/>
        <w:ind w:firstLine="480" w:firstLineChars="200"/>
        <w:jc w:val="left"/>
        <w:rPr>
          <w:rFonts w:hint="eastAsia" w:ascii="宋体" w:hAnsi="宋体" w:eastAsia="宋体" w:cs="宋体"/>
          <w:color w:val="000000" w:themeColor="text1"/>
          <w:kern w:val="2"/>
          <w:sz w:val="24"/>
          <w:szCs w:val="24"/>
          <w:lang w:val="en-US" w:eastAsia="zh-CN" w:bidi="ar-SA"/>
          <w14:textFill>
            <w14:solidFill>
              <w14:schemeClr w14:val="tx1"/>
            </w14:solidFill>
          </w14:textFill>
        </w:rPr>
      </w:pPr>
      <w:r>
        <w:rPr>
          <w:rFonts w:hint="eastAsia" w:ascii="宋体" w:hAnsi="宋体" w:eastAsia="宋体" w:cs="宋体"/>
          <w:color w:val="000000" w:themeColor="text1"/>
          <w:kern w:val="2"/>
          <w:sz w:val="24"/>
          <w:szCs w:val="24"/>
          <w:lang w:val="en-US" w:eastAsia="zh-CN" w:bidi="ar-SA"/>
          <w14:textFill>
            <w14:solidFill>
              <w14:schemeClr w14:val="tx1"/>
            </w14:solidFill>
          </w14:textFill>
        </w:rPr>
        <w:t>供应商名称：XXXX（盖单位公章）</w:t>
      </w:r>
    </w:p>
    <w:p>
      <w:pPr>
        <w:spacing w:line="360" w:lineRule="auto"/>
        <w:ind w:firstLine="480" w:firstLineChars="200"/>
        <w:jc w:val="left"/>
        <w:rPr>
          <w:rFonts w:hint="eastAsia" w:ascii="宋体" w:hAnsi="宋体" w:eastAsia="宋体" w:cs="宋体"/>
          <w:color w:val="000000" w:themeColor="text1"/>
          <w:kern w:val="2"/>
          <w:sz w:val="24"/>
          <w:szCs w:val="24"/>
          <w:lang w:val="en-US" w:eastAsia="zh-CN" w:bidi="ar-SA"/>
          <w14:textFill>
            <w14:solidFill>
              <w14:schemeClr w14:val="tx1"/>
            </w14:solidFill>
          </w14:textFill>
        </w:rPr>
      </w:pPr>
      <w:r>
        <w:rPr>
          <w:rFonts w:hint="eastAsia" w:ascii="宋体" w:hAnsi="宋体" w:eastAsia="宋体" w:cs="宋体"/>
          <w:color w:val="000000" w:themeColor="text1"/>
          <w:kern w:val="2"/>
          <w:sz w:val="24"/>
          <w:szCs w:val="24"/>
          <w:lang w:val="en-US" w:eastAsia="zh-CN" w:bidi="ar-SA"/>
          <w14:textFill>
            <w14:solidFill>
              <w14:schemeClr w14:val="tx1"/>
            </w14:solidFill>
          </w14:textFill>
        </w:rPr>
        <w:t>法定代表人/单位负责人或授权代表（签字或加盖个人印章）：XXXX</w:t>
      </w:r>
    </w:p>
    <w:p>
      <w:pPr>
        <w:spacing w:line="360" w:lineRule="auto"/>
        <w:ind w:firstLine="480" w:firstLineChars="200"/>
        <w:jc w:val="left"/>
        <w:rPr>
          <w:rFonts w:hint="eastAsia" w:ascii="宋体" w:hAnsi="宋体" w:eastAsia="宋体" w:cs="宋体"/>
          <w:color w:val="000000" w:themeColor="text1"/>
          <w:kern w:val="2"/>
          <w:sz w:val="24"/>
          <w:szCs w:val="24"/>
          <w:lang w:val="en-US" w:eastAsia="zh-CN" w:bidi="ar-SA"/>
          <w14:textFill>
            <w14:solidFill>
              <w14:schemeClr w14:val="tx1"/>
            </w14:solidFill>
          </w14:textFill>
        </w:rPr>
      </w:pPr>
      <w:r>
        <w:rPr>
          <w:rFonts w:hint="eastAsia" w:ascii="宋体" w:hAnsi="宋体" w:eastAsia="宋体" w:cs="宋体"/>
          <w:color w:val="000000" w:themeColor="text1"/>
          <w:kern w:val="2"/>
          <w:sz w:val="24"/>
          <w:szCs w:val="24"/>
          <w:lang w:val="en-US" w:eastAsia="zh-CN" w:bidi="ar-SA"/>
          <w14:textFill>
            <w14:solidFill>
              <w14:schemeClr w14:val="tx1"/>
            </w14:solidFill>
          </w14:textFill>
        </w:rPr>
        <w:t>日期：XXXX</w:t>
      </w:r>
    </w:p>
    <w:p>
      <w:pPr>
        <w:spacing w:line="360" w:lineRule="auto"/>
        <w:rPr>
          <w:rFonts w:hint="eastAsia" w:ascii="宋体" w:hAnsi="宋体" w:eastAsia="宋体" w:cs="宋体"/>
          <w:color w:val="000000" w:themeColor="text1"/>
          <w:kern w:val="2"/>
          <w:sz w:val="24"/>
          <w:szCs w:val="24"/>
          <w:lang w:val="en-US" w:eastAsia="zh-CN" w:bidi="ar-SA"/>
          <w14:textFill>
            <w14:solidFill>
              <w14:schemeClr w14:val="tx1"/>
            </w14:solidFill>
          </w14:textFill>
        </w:rPr>
      </w:pPr>
    </w:p>
    <w:p>
      <w:pPr>
        <w:spacing w:line="360" w:lineRule="auto"/>
        <w:rPr>
          <w:rFonts w:hint="eastAsia" w:ascii="宋体" w:hAnsi="宋体" w:eastAsia="宋体" w:cs="宋体"/>
          <w:color w:val="000000" w:themeColor="text1"/>
          <w:kern w:val="2"/>
          <w:sz w:val="24"/>
          <w:szCs w:val="24"/>
          <w:lang w:val="en-US" w:eastAsia="zh-CN" w:bidi="ar-SA"/>
          <w14:textFill>
            <w14:solidFill>
              <w14:schemeClr w14:val="tx1"/>
            </w14:solidFill>
          </w14:textFill>
        </w:rPr>
      </w:pPr>
    </w:p>
    <w:p>
      <w:pPr>
        <w:spacing w:line="360" w:lineRule="auto"/>
        <w:rPr>
          <w:rFonts w:hint="eastAsia" w:ascii="宋体" w:hAnsi="宋体" w:eastAsia="宋体" w:cs="宋体"/>
          <w:color w:val="000000" w:themeColor="text1"/>
          <w:kern w:val="2"/>
          <w:sz w:val="24"/>
          <w:szCs w:val="24"/>
          <w:lang w:val="en-US" w:eastAsia="zh-CN" w:bidi="ar-SA"/>
          <w14:textFill>
            <w14:solidFill>
              <w14:schemeClr w14:val="tx1"/>
            </w14:solidFill>
          </w14:textFill>
        </w:rPr>
      </w:pPr>
    </w:p>
    <w:p>
      <w:pPr>
        <w:spacing w:line="360" w:lineRule="auto"/>
        <w:rPr>
          <w:rFonts w:hint="eastAsia" w:ascii="宋体" w:hAnsi="宋体" w:eastAsia="宋体" w:cs="宋体"/>
          <w:color w:val="000000" w:themeColor="text1"/>
          <w:kern w:val="2"/>
          <w:sz w:val="24"/>
          <w:szCs w:val="24"/>
          <w:lang w:val="en-US" w:eastAsia="zh-CN" w:bidi="ar-SA"/>
          <w14:textFill>
            <w14:solidFill>
              <w14:schemeClr w14:val="tx1"/>
            </w14:solidFill>
          </w14:textFill>
        </w:rPr>
      </w:pPr>
      <w:r>
        <w:rPr>
          <w:rFonts w:hint="eastAsia" w:ascii="宋体" w:hAnsi="宋体" w:eastAsia="宋体" w:cs="宋体"/>
          <w:color w:val="000000" w:themeColor="text1"/>
          <w:kern w:val="2"/>
          <w:sz w:val="24"/>
          <w:szCs w:val="24"/>
          <w:lang w:val="en-US" w:eastAsia="zh-CN" w:bidi="ar-SA"/>
          <w14:textFill>
            <w14:solidFill>
              <w14:schemeClr w14:val="tx1"/>
            </w14:solidFill>
          </w14:textFill>
        </w:rPr>
        <w:t>注：</w:t>
      </w:r>
    </w:p>
    <w:p>
      <w:pPr>
        <w:spacing w:line="360" w:lineRule="auto"/>
        <w:ind w:firstLine="480" w:firstLineChars="200"/>
        <w:rPr>
          <w:rFonts w:hint="eastAsia" w:ascii="宋体" w:hAnsi="宋体" w:eastAsia="宋体" w:cs="宋体"/>
          <w:color w:val="000000" w:themeColor="text1"/>
          <w:kern w:val="2"/>
          <w:sz w:val="24"/>
          <w:szCs w:val="24"/>
          <w:lang w:val="en-US" w:eastAsia="zh-CN" w:bidi="ar-SA"/>
          <w14:textFill>
            <w14:solidFill>
              <w14:schemeClr w14:val="tx1"/>
            </w14:solidFill>
          </w14:textFill>
        </w:rPr>
      </w:pPr>
      <w:r>
        <w:rPr>
          <w:rFonts w:hint="eastAsia" w:ascii="宋体" w:hAnsi="宋体" w:eastAsia="宋体" w:cs="宋体"/>
          <w:color w:val="000000" w:themeColor="text1"/>
          <w:kern w:val="2"/>
          <w:sz w:val="24"/>
          <w:szCs w:val="24"/>
          <w:lang w:val="en-US" w:eastAsia="zh-CN" w:bidi="ar-SA"/>
          <w14:textFill>
            <w14:solidFill>
              <w14:schemeClr w14:val="tx1"/>
            </w14:solidFill>
          </w14:textFill>
        </w:rPr>
        <w:t>1、本声明适用于供应商符合《工业和信息化部、国家统计局、国家发展和改革委员会、财政部关于印发中小企业划型标准规定的通知》（工信部联企业〔2011〕300号）规定划分标准的中小企业。</w:t>
      </w:r>
    </w:p>
    <w:p>
      <w:pPr>
        <w:pStyle w:val="32"/>
        <w:ind w:firstLine="480" w:firstLineChars="200"/>
        <w:jc w:val="left"/>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2、供应商为非企业单位的，不得提供此声明，提供此声明的，声明无效。</w:t>
      </w:r>
    </w:p>
    <w:p>
      <w:pPr>
        <w:spacing w:line="360" w:lineRule="auto"/>
        <w:jc w:val="left"/>
        <w:rPr>
          <w:rFonts w:hint="eastAsia" w:ascii="仿宋" w:hAnsi="仿宋" w:eastAsia="仿宋" w:cs="仿宋"/>
          <w:b/>
          <w:bCs/>
          <w:sz w:val="28"/>
          <w:szCs w:val="28"/>
        </w:rPr>
      </w:pPr>
    </w:p>
    <w:p>
      <w:pPr>
        <w:spacing w:line="360" w:lineRule="auto"/>
        <w:jc w:val="left"/>
        <w:rPr>
          <w:rFonts w:hint="eastAsia" w:ascii="仿宋" w:hAnsi="仿宋" w:eastAsia="仿宋" w:cs="仿宋"/>
          <w:b/>
          <w:bCs/>
          <w:sz w:val="28"/>
          <w:szCs w:val="28"/>
        </w:rPr>
      </w:pPr>
    </w:p>
    <w:p>
      <w:pPr>
        <w:spacing w:line="360" w:lineRule="auto"/>
        <w:jc w:val="left"/>
        <w:rPr>
          <w:rFonts w:hint="eastAsia" w:ascii="仿宋" w:hAnsi="仿宋" w:eastAsia="仿宋" w:cs="仿宋"/>
          <w:b/>
          <w:bCs/>
          <w:sz w:val="28"/>
          <w:szCs w:val="28"/>
        </w:rPr>
      </w:pPr>
    </w:p>
    <w:p>
      <w:pPr>
        <w:spacing w:line="360" w:lineRule="auto"/>
        <w:jc w:val="left"/>
        <w:rPr>
          <w:rFonts w:hint="eastAsia" w:ascii="仿宋" w:hAnsi="仿宋" w:eastAsia="仿宋" w:cs="仿宋"/>
          <w:b/>
          <w:bCs/>
          <w:sz w:val="28"/>
          <w:szCs w:val="28"/>
        </w:rPr>
      </w:pPr>
    </w:p>
    <w:p>
      <w:pPr>
        <w:spacing w:line="360" w:lineRule="auto"/>
        <w:jc w:val="left"/>
        <w:rPr>
          <w:rFonts w:hint="eastAsia" w:ascii="仿宋" w:hAnsi="仿宋" w:eastAsia="仿宋" w:cs="仿宋"/>
          <w:b/>
          <w:bCs/>
          <w:sz w:val="28"/>
          <w:szCs w:val="28"/>
          <w:lang w:val="en-US" w:eastAsia="zh-CN"/>
        </w:rPr>
      </w:pPr>
      <w:r>
        <w:rPr>
          <w:rFonts w:hint="eastAsia" w:ascii="仿宋" w:hAnsi="仿宋" w:eastAsia="仿宋" w:cs="仿宋"/>
          <w:b/>
          <w:bCs/>
          <w:sz w:val="28"/>
          <w:szCs w:val="28"/>
        </w:rPr>
        <w:t>格式1-1</w:t>
      </w:r>
      <w:r>
        <w:rPr>
          <w:rFonts w:hint="eastAsia" w:ascii="仿宋" w:hAnsi="仿宋" w:eastAsia="仿宋" w:cs="仿宋"/>
          <w:b/>
          <w:bCs/>
          <w:sz w:val="28"/>
          <w:szCs w:val="28"/>
          <w:lang w:val="en-US" w:eastAsia="zh-CN"/>
        </w:rPr>
        <w:t>4</w:t>
      </w:r>
    </w:p>
    <w:p>
      <w:pP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p>
    <w:p>
      <w:pPr>
        <w:pStyle w:val="2"/>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p>
    <w:p>
      <w:pPr>
        <w:spacing w:line="360" w:lineRule="auto"/>
        <w:jc w:val="center"/>
        <w:rPr>
          <w:rFonts w:ascii="仿宋" w:hAnsi="仿宋" w:eastAsia="仿宋"/>
          <w:b/>
          <w:bCs/>
          <w:sz w:val="32"/>
          <w:szCs w:val="32"/>
        </w:rPr>
      </w:pPr>
      <w:r>
        <w:rPr>
          <w:rFonts w:hint="eastAsia" w:ascii="仿宋" w:hAnsi="仿宋" w:eastAsia="仿宋" w:cs="仿宋"/>
          <w:b/>
          <w:bCs/>
          <w:sz w:val="32"/>
          <w:szCs w:val="32"/>
          <w:lang w:val="en-US" w:eastAsia="zh-CN"/>
        </w:rPr>
        <w:t>十三</w:t>
      </w:r>
      <w:r>
        <w:rPr>
          <w:rFonts w:hint="eastAsia" w:ascii="仿宋" w:hAnsi="仿宋" w:eastAsia="仿宋" w:cs="仿宋"/>
          <w:b/>
          <w:bCs/>
          <w:sz w:val="32"/>
          <w:szCs w:val="32"/>
        </w:rPr>
        <w:t>、残疾人福利性单位声明函</w:t>
      </w:r>
    </w:p>
    <w:p>
      <w:pPr>
        <w:spacing w:line="360" w:lineRule="auto"/>
        <w:rPr>
          <w:rFonts w:ascii="仿宋" w:hAnsi="仿宋" w:eastAsia="仿宋"/>
          <w:b/>
          <w:bCs/>
          <w:spacing w:val="6"/>
          <w:sz w:val="24"/>
          <w:szCs w:val="24"/>
        </w:rPr>
      </w:pPr>
    </w:p>
    <w:p>
      <w:pPr>
        <w:spacing w:line="360" w:lineRule="auto"/>
        <w:ind w:firstLine="480" w:firstLineChars="200"/>
        <w:jc w:val="left"/>
        <w:rPr>
          <w:rFonts w:hint="eastAsia" w:ascii="宋体" w:hAnsi="宋体" w:eastAsia="宋体" w:cs="宋体"/>
          <w:color w:val="000000" w:themeColor="text1"/>
          <w:kern w:val="2"/>
          <w:sz w:val="24"/>
          <w:szCs w:val="24"/>
          <w:lang w:val="en-US" w:eastAsia="zh-CN" w:bidi="ar-SA"/>
          <w14:textFill>
            <w14:solidFill>
              <w14:schemeClr w14:val="tx1"/>
            </w14:solidFill>
          </w14:textFill>
        </w:rPr>
      </w:pPr>
      <w:r>
        <w:rPr>
          <w:rFonts w:hint="eastAsia" w:ascii="宋体" w:hAnsi="宋体" w:eastAsia="宋体" w:cs="宋体"/>
          <w:color w:val="000000" w:themeColor="text1"/>
          <w:kern w:val="2"/>
          <w:sz w:val="24"/>
          <w:szCs w:val="24"/>
          <w:lang w:val="en-US" w:eastAsia="zh-CN" w:bidi="ar-SA"/>
          <w14:textFill>
            <w14:solidFill>
              <w14:schemeClr w14:val="tx1"/>
            </w14:solidFill>
          </w14:textFill>
        </w:rPr>
        <w:t>本单位郑重声明，根据《财政部民政部中国残疾人联合会关于促进残疾人就业政府采购政策的通知》（财库〔2017〕 141号）的规定，本单位为符合条件的残疾人福利性单位，且本单位参加XXXX单位的XXXX项目采购活动由本单位承担工程。</w:t>
      </w:r>
    </w:p>
    <w:p>
      <w:pPr>
        <w:spacing w:line="360" w:lineRule="auto"/>
        <w:ind w:firstLine="480" w:firstLineChars="200"/>
        <w:jc w:val="left"/>
        <w:rPr>
          <w:rFonts w:hint="eastAsia" w:ascii="宋体" w:hAnsi="宋体" w:eastAsia="宋体" w:cs="宋体"/>
          <w:color w:val="000000" w:themeColor="text1"/>
          <w:kern w:val="2"/>
          <w:sz w:val="24"/>
          <w:szCs w:val="24"/>
          <w:lang w:val="en-US" w:eastAsia="zh-CN" w:bidi="ar-SA"/>
          <w14:textFill>
            <w14:solidFill>
              <w14:schemeClr w14:val="tx1"/>
            </w14:solidFill>
          </w14:textFill>
        </w:rPr>
      </w:pPr>
      <w:r>
        <w:rPr>
          <w:rFonts w:hint="eastAsia" w:ascii="宋体" w:hAnsi="宋体" w:eastAsia="宋体" w:cs="宋体"/>
          <w:color w:val="000000" w:themeColor="text1"/>
          <w:kern w:val="2"/>
          <w:sz w:val="24"/>
          <w:szCs w:val="24"/>
          <w:lang w:val="en-US" w:eastAsia="zh-CN" w:bidi="ar-SA"/>
          <w14:textFill>
            <w14:solidFill>
              <w14:schemeClr w14:val="tx1"/>
            </w14:solidFill>
          </w14:textFill>
        </w:rPr>
        <w:t>本单位对上述声明的真实性负责。如有虚假，将依法承担相应责任。</w:t>
      </w:r>
    </w:p>
    <w:p>
      <w:pPr>
        <w:spacing w:line="360" w:lineRule="auto"/>
        <w:ind w:firstLine="480" w:firstLineChars="200"/>
        <w:jc w:val="left"/>
        <w:rPr>
          <w:rFonts w:hint="eastAsia" w:ascii="宋体" w:hAnsi="宋体" w:eastAsia="宋体" w:cs="宋体"/>
          <w:color w:val="000000" w:themeColor="text1"/>
          <w:kern w:val="2"/>
          <w:sz w:val="24"/>
          <w:szCs w:val="24"/>
          <w:lang w:val="en-US" w:eastAsia="zh-CN" w:bidi="ar-SA"/>
          <w14:textFill>
            <w14:solidFill>
              <w14:schemeClr w14:val="tx1"/>
            </w14:solidFill>
          </w14:textFill>
        </w:rPr>
      </w:pPr>
    </w:p>
    <w:p>
      <w:pPr>
        <w:spacing w:line="360" w:lineRule="auto"/>
        <w:ind w:firstLine="480" w:firstLineChars="200"/>
        <w:jc w:val="left"/>
        <w:rPr>
          <w:rFonts w:hint="eastAsia" w:ascii="宋体" w:hAnsi="宋体" w:eastAsia="宋体" w:cs="宋体"/>
          <w:color w:val="000000" w:themeColor="text1"/>
          <w:kern w:val="2"/>
          <w:sz w:val="24"/>
          <w:szCs w:val="24"/>
          <w:lang w:val="en-US" w:eastAsia="zh-CN" w:bidi="ar-SA"/>
          <w14:textFill>
            <w14:solidFill>
              <w14:schemeClr w14:val="tx1"/>
            </w14:solidFill>
          </w14:textFill>
        </w:rPr>
      </w:pPr>
    </w:p>
    <w:p>
      <w:pPr>
        <w:spacing w:line="360" w:lineRule="auto"/>
        <w:ind w:firstLine="480" w:firstLineChars="200"/>
        <w:jc w:val="left"/>
        <w:rPr>
          <w:rFonts w:hint="eastAsia" w:ascii="宋体" w:hAnsi="宋体" w:eastAsia="宋体" w:cs="宋体"/>
          <w:color w:val="000000" w:themeColor="text1"/>
          <w:kern w:val="2"/>
          <w:sz w:val="24"/>
          <w:szCs w:val="24"/>
          <w:lang w:val="en-US" w:eastAsia="zh-CN" w:bidi="ar-SA"/>
          <w14:textFill>
            <w14:solidFill>
              <w14:schemeClr w14:val="tx1"/>
            </w14:solidFill>
          </w14:textFill>
        </w:rPr>
      </w:pPr>
      <w:r>
        <w:rPr>
          <w:rFonts w:hint="eastAsia" w:ascii="宋体" w:hAnsi="宋体" w:eastAsia="宋体" w:cs="宋体"/>
          <w:color w:val="000000" w:themeColor="text1"/>
          <w:kern w:val="2"/>
          <w:sz w:val="24"/>
          <w:szCs w:val="24"/>
          <w:lang w:val="en-US" w:eastAsia="zh-CN" w:bidi="ar-SA"/>
          <w14:textFill>
            <w14:solidFill>
              <w14:schemeClr w14:val="tx1"/>
            </w14:solidFill>
          </w14:textFill>
        </w:rPr>
        <w:t>单位名称：XXXX（盖单位公章）</w:t>
      </w:r>
    </w:p>
    <w:p>
      <w:pPr>
        <w:spacing w:line="360" w:lineRule="auto"/>
        <w:ind w:firstLine="480" w:firstLineChars="200"/>
        <w:jc w:val="left"/>
        <w:rPr>
          <w:rFonts w:hint="eastAsia" w:ascii="宋体" w:hAnsi="宋体" w:eastAsia="宋体" w:cs="宋体"/>
          <w:color w:val="000000" w:themeColor="text1"/>
          <w:kern w:val="2"/>
          <w:sz w:val="24"/>
          <w:szCs w:val="24"/>
          <w:lang w:val="en-US" w:eastAsia="zh-CN" w:bidi="ar-SA"/>
          <w14:textFill>
            <w14:solidFill>
              <w14:schemeClr w14:val="tx1"/>
            </w14:solidFill>
          </w14:textFill>
        </w:rPr>
      </w:pPr>
      <w:r>
        <w:rPr>
          <w:rFonts w:hint="eastAsia" w:ascii="宋体" w:hAnsi="宋体" w:eastAsia="宋体" w:cs="宋体"/>
          <w:color w:val="000000" w:themeColor="text1"/>
          <w:kern w:val="2"/>
          <w:sz w:val="24"/>
          <w:szCs w:val="24"/>
          <w:lang w:val="en-US" w:eastAsia="zh-CN" w:bidi="ar-SA"/>
          <w14:textFill>
            <w14:solidFill>
              <w14:schemeClr w14:val="tx1"/>
            </w14:solidFill>
          </w14:textFill>
        </w:rPr>
        <w:t>法定代表人/单位负责人或授权代表（签字或加盖个人印章）：XXXX</w:t>
      </w:r>
    </w:p>
    <w:p>
      <w:pPr>
        <w:spacing w:line="360" w:lineRule="auto"/>
        <w:ind w:firstLine="480" w:firstLineChars="200"/>
        <w:jc w:val="left"/>
        <w:rPr>
          <w:rFonts w:hint="eastAsia" w:ascii="宋体" w:hAnsi="宋体" w:eastAsia="宋体" w:cs="宋体"/>
          <w:color w:val="000000" w:themeColor="text1"/>
          <w:kern w:val="2"/>
          <w:sz w:val="24"/>
          <w:szCs w:val="24"/>
          <w:lang w:val="en-US" w:eastAsia="zh-CN" w:bidi="ar-SA"/>
          <w14:textFill>
            <w14:solidFill>
              <w14:schemeClr w14:val="tx1"/>
            </w14:solidFill>
          </w14:textFill>
        </w:rPr>
      </w:pPr>
      <w:r>
        <w:rPr>
          <w:rFonts w:hint="eastAsia" w:ascii="宋体" w:hAnsi="宋体" w:eastAsia="宋体" w:cs="宋体"/>
          <w:color w:val="000000" w:themeColor="text1"/>
          <w:kern w:val="2"/>
          <w:sz w:val="24"/>
          <w:szCs w:val="24"/>
          <w:lang w:val="en-US" w:eastAsia="zh-CN" w:bidi="ar-SA"/>
          <w14:textFill>
            <w14:solidFill>
              <w14:schemeClr w14:val="tx1"/>
            </w14:solidFill>
          </w14:textFill>
        </w:rPr>
        <w:t>日期：XXXX</w:t>
      </w:r>
    </w:p>
    <w:p>
      <w:pPr>
        <w:spacing w:line="360" w:lineRule="auto"/>
        <w:ind w:firstLine="480" w:firstLineChars="200"/>
        <w:jc w:val="left"/>
        <w:rPr>
          <w:rFonts w:hint="eastAsia" w:ascii="宋体" w:hAnsi="宋体" w:eastAsia="宋体" w:cs="宋体"/>
          <w:color w:val="000000" w:themeColor="text1"/>
          <w:kern w:val="2"/>
          <w:sz w:val="24"/>
          <w:szCs w:val="24"/>
          <w:lang w:val="en-US" w:eastAsia="zh-CN" w:bidi="ar-SA"/>
          <w14:textFill>
            <w14:solidFill>
              <w14:schemeClr w14:val="tx1"/>
            </w14:solidFill>
          </w14:textFill>
        </w:rPr>
      </w:pPr>
    </w:p>
    <w:p>
      <w:pPr>
        <w:spacing w:line="360" w:lineRule="auto"/>
        <w:ind w:firstLine="480" w:firstLineChars="200"/>
        <w:jc w:val="left"/>
        <w:rPr>
          <w:rFonts w:hint="eastAsia" w:ascii="宋体" w:hAnsi="宋体" w:eastAsia="宋体" w:cs="宋体"/>
          <w:color w:val="000000" w:themeColor="text1"/>
          <w:kern w:val="2"/>
          <w:sz w:val="24"/>
          <w:szCs w:val="24"/>
          <w:lang w:val="en-US" w:eastAsia="zh-CN" w:bidi="ar-SA"/>
          <w14:textFill>
            <w14:solidFill>
              <w14:schemeClr w14:val="tx1"/>
            </w14:solidFill>
          </w14:textFill>
        </w:rPr>
      </w:pPr>
    </w:p>
    <w:p>
      <w:pPr>
        <w:spacing w:line="360" w:lineRule="auto"/>
        <w:ind w:firstLine="480" w:firstLineChars="200"/>
        <w:jc w:val="left"/>
        <w:rPr>
          <w:rFonts w:hint="eastAsia" w:ascii="宋体" w:hAnsi="宋体" w:eastAsia="宋体" w:cs="宋体"/>
          <w:color w:val="000000" w:themeColor="text1"/>
          <w:kern w:val="2"/>
          <w:sz w:val="24"/>
          <w:szCs w:val="24"/>
          <w:lang w:val="en-US" w:eastAsia="zh-CN" w:bidi="ar-SA"/>
          <w14:textFill>
            <w14:solidFill>
              <w14:schemeClr w14:val="tx1"/>
            </w14:solidFill>
          </w14:textFill>
        </w:rPr>
      </w:pPr>
      <w:r>
        <w:rPr>
          <w:rFonts w:hint="eastAsia" w:ascii="宋体" w:hAnsi="宋体" w:eastAsia="宋体" w:cs="宋体"/>
          <w:color w:val="000000" w:themeColor="text1"/>
          <w:kern w:val="2"/>
          <w:sz w:val="24"/>
          <w:szCs w:val="24"/>
          <w:lang w:val="en-US" w:eastAsia="zh-CN" w:bidi="ar-SA"/>
          <w14:textFill>
            <w14:solidFill>
              <w14:schemeClr w14:val="tx1"/>
            </w14:solidFill>
          </w14:textFill>
        </w:rPr>
        <w:t>注：</w:t>
      </w:r>
    </w:p>
    <w:p>
      <w:pPr>
        <w:spacing w:line="360" w:lineRule="auto"/>
        <w:ind w:firstLine="480" w:firstLineChars="200"/>
        <w:jc w:val="left"/>
        <w:rPr>
          <w:rFonts w:hint="eastAsia" w:ascii="宋体" w:hAnsi="宋体" w:eastAsia="宋体" w:cs="宋体"/>
          <w:color w:val="000000" w:themeColor="text1"/>
          <w:kern w:val="2"/>
          <w:sz w:val="24"/>
          <w:szCs w:val="24"/>
          <w:lang w:val="en-US" w:eastAsia="zh-CN" w:bidi="ar-SA"/>
          <w14:textFill>
            <w14:solidFill>
              <w14:schemeClr w14:val="tx1"/>
            </w14:solidFill>
          </w14:textFill>
        </w:rPr>
      </w:pPr>
      <w:r>
        <w:rPr>
          <w:rFonts w:hint="eastAsia" w:ascii="宋体" w:hAnsi="宋体" w:eastAsia="宋体" w:cs="宋体"/>
          <w:color w:val="000000" w:themeColor="text1"/>
          <w:kern w:val="2"/>
          <w:sz w:val="24"/>
          <w:szCs w:val="24"/>
          <w:lang w:val="en-US" w:eastAsia="zh-CN" w:bidi="ar-SA"/>
          <w14:textFill>
            <w14:solidFill>
              <w14:schemeClr w14:val="tx1"/>
            </w14:solidFill>
          </w14:textFill>
        </w:rPr>
        <w:t>1、残疾人福利性单位视同小型、微型企业，享受预留份额、评审中价格扣除等促进中小企业发展的政府采购政策。残疾人福利性单位属于小型、微型企业的，不重复享受政策。</w:t>
      </w:r>
    </w:p>
    <w:p>
      <w:pPr>
        <w:spacing w:line="360" w:lineRule="auto"/>
        <w:ind w:firstLine="480" w:firstLineChars="200"/>
        <w:jc w:val="left"/>
        <w:rPr>
          <w:rFonts w:hint="eastAsia" w:ascii="宋体" w:hAnsi="宋体" w:eastAsia="宋体" w:cs="宋体"/>
          <w:color w:val="000000" w:themeColor="text1"/>
          <w:kern w:val="2"/>
          <w:sz w:val="24"/>
          <w:szCs w:val="24"/>
          <w:lang w:val="en-US" w:eastAsia="zh-CN" w:bidi="ar-SA"/>
          <w14:textFill>
            <w14:solidFill>
              <w14:schemeClr w14:val="tx1"/>
            </w14:solidFill>
          </w14:textFill>
        </w:rPr>
      </w:pPr>
      <w:r>
        <w:rPr>
          <w:rFonts w:hint="eastAsia" w:ascii="宋体" w:hAnsi="宋体" w:eastAsia="宋体" w:cs="宋体"/>
          <w:color w:val="000000" w:themeColor="text1"/>
          <w:kern w:val="2"/>
          <w:sz w:val="24"/>
          <w:szCs w:val="24"/>
          <w:lang w:val="en-US" w:eastAsia="zh-CN" w:bidi="ar-SA"/>
          <w14:textFill>
            <w14:solidFill>
              <w14:schemeClr w14:val="tx1"/>
            </w14:solidFill>
          </w14:textFill>
        </w:rPr>
        <w:t>2、供应商为非残疾人福利性单位的，不得提供此声明，提供此声明的，声明无效。</w:t>
      </w:r>
    </w:p>
    <w:p>
      <w:pPr>
        <w:pStyle w:val="39"/>
        <w:rPr>
          <w:rFonts w:ascii="仿宋" w:hAnsi="仿宋" w:eastAsia="仿宋" w:cs="Times New Roman"/>
          <w:sz w:val="24"/>
          <w:szCs w:val="24"/>
        </w:rPr>
      </w:pPr>
    </w:p>
    <w:p>
      <w:pPr>
        <w:pStyle w:val="39"/>
        <w:rPr>
          <w:rFonts w:ascii="仿宋" w:hAnsi="仿宋" w:eastAsia="仿宋" w:cs="Times New Roman"/>
          <w:sz w:val="24"/>
          <w:szCs w:val="24"/>
        </w:rPr>
      </w:pPr>
    </w:p>
    <w:p>
      <w:pPr>
        <w:pStyle w:val="39"/>
        <w:rPr>
          <w:rFonts w:ascii="仿宋" w:hAnsi="仿宋" w:eastAsia="仿宋" w:cs="Times New Roman"/>
          <w:sz w:val="24"/>
          <w:szCs w:val="24"/>
        </w:rPr>
      </w:pPr>
    </w:p>
    <w:p>
      <w:pPr>
        <w:pStyle w:val="39"/>
        <w:rPr>
          <w:rFonts w:ascii="仿宋" w:hAnsi="仿宋" w:eastAsia="仿宋" w:cs="Times New Roman"/>
          <w:sz w:val="24"/>
          <w:szCs w:val="24"/>
        </w:rPr>
      </w:pPr>
    </w:p>
    <w:p>
      <w:pPr>
        <w:pStyle w:val="39"/>
        <w:jc w:val="both"/>
        <w:rPr>
          <w:rFonts w:ascii="仿宋" w:hAnsi="仿宋" w:eastAsia="仿宋" w:cs="Times New Roman"/>
          <w:sz w:val="24"/>
          <w:szCs w:val="24"/>
        </w:rPr>
      </w:pPr>
    </w:p>
    <w:p/>
    <w:p>
      <w:pPr>
        <w:widowControl/>
        <w:jc w:val="left"/>
        <w:rPr>
          <w:rFonts w:hint="eastAsia" w:ascii="仿宋" w:hAnsi="仿宋" w:eastAsia="仿宋" w:cs="仿宋"/>
          <w:b/>
          <w:bCs/>
          <w:sz w:val="28"/>
          <w:szCs w:val="28"/>
          <w:lang w:eastAsia="zh-CN"/>
        </w:rPr>
      </w:pPr>
      <w:bookmarkStart w:id="93" w:name="_Toc28334876"/>
      <w:r>
        <w:rPr>
          <w:rFonts w:hint="eastAsia" w:ascii="仿宋" w:hAnsi="仿宋" w:eastAsia="仿宋" w:cs="仿宋"/>
          <w:b/>
          <w:bCs/>
          <w:sz w:val="28"/>
          <w:szCs w:val="28"/>
        </w:rPr>
        <w:t>格式1-1</w:t>
      </w:r>
      <w:r>
        <w:rPr>
          <w:rFonts w:hint="eastAsia" w:ascii="仿宋" w:hAnsi="仿宋" w:eastAsia="仿宋" w:cs="仿宋"/>
          <w:b/>
          <w:bCs/>
          <w:sz w:val="28"/>
          <w:szCs w:val="28"/>
          <w:lang w:val="en-US" w:eastAsia="zh-CN"/>
        </w:rPr>
        <w:t>5</w:t>
      </w:r>
    </w:p>
    <w:p>
      <w:pPr>
        <w:pStyle w:val="5"/>
        <w:tabs>
          <w:tab w:val="left" w:pos="426"/>
          <w:tab w:val="left" w:pos="567"/>
        </w:tabs>
        <w:jc w:val="center"/>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十</w:t>
      </w:r>
      <w:r>
        <w:rPr>
          <w:rFonts w:hint="eastAsia" w:ascii="宋体" w:hAnsi="宋体" w:eastAsia="宋体" w:cs="宋体"/>
          <w:color w:val="000000" w:themeColor="text1"/>
          <w:lang w:val="en-US" w:eastAsia="zh-CN"/>
          <w14:textFill>
            <w14:solidFill>
              <w14:schemeClr w14:val="tx1"/>
            </w14:solidFill>
          </w14:textFill>
        </w:rPr>
        <w:t>四</w:t>
      </w:r>
      <w:r>
        <w:rPr>
          <w:rFonts w:hint="eastAsia" w:ascii="宋体" w:hAnsi="宋体" w:eastAsia="宋体" w:cs="宋体"/>
          <w:color w:val="000000" w:themeColor="text1"/>
          <w14:textFill>
            <w14:solidFill>
              <w14:schemeClr w14:val="tx1"/>
            </w14:solidFill>
          </w14:textFill>
        </w:rPr>
        <w:t>、最后报价表</w:t>
      </w:r>
      <w:bookmarkEnd w:id="93"/>
    </w:p>
    <w:p>
      <w:pPr>
        <w:spacing w:line="360" w:lineRule="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项目名称：XXX采购项目</w:t>
      </w:r>
    </w:p>
    <w:p>
      <w:pPr>
        <w:spacing w:line="360" w:lineRule="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项目编号：XXX号</w:t>
      </w:r>
    </w:p>
    <w:tbl>
      <w:tblPr>
        <w:tblStyle w:val="42"/>
        <w:tblpPr w:leftFromText="180" w:rightFromText="180" w:vertAnchor="text" w:tblpXSpec="center" w:tblpY="128"/>
        <w:tblW w:w="910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9"/>
        <w:gridCol w:w="5282"/>
        <w:gridCol w:w="26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9" w:hRule="atLeast"/>
        </w:trPr>
        <w:tc>
          <w:tcPr>
            <w:tcW w:w="1129" w:type="dxa"/>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序号</w:t>
            </w:r>
          </w:p>
        </w:tc>
        <w:tc>
          <w:tcPr>
            <w:tcW w:w="5282" w:type="dxa"/>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采购内容</w:t>
            </w:r>
          </w:p>
        </w:tc>
        <w:tc>
          <w:tcPr>
            <w:tcW w:w="2693" w:type="dxa"/>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9" w:hRule="atLeast"/>
        </w:trPr>
        <w:tc>
          <w:tcPr>
            <w:tcW w:w="1129" w:type="dxa"/>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w:t>
            </w:r>
          </w:p>
        </w:tc>
        <w:tc>
          <w:tcPr>
            <w:tcW w:w="5282" w:type="dxa"/>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XXX</w:t>
            </w:r>
          </w:p>
        </w:tc>
        <w:tc>
          <w:tcPr>
            <w:tcW w:w="2693" w:type="dxa"/>
            <w:vAlign w:val="center"/>
          </w:tcPr>
          <w:p>
            <w:pPr>
              <w:ind w:firstLine="748" w:firstLineChars="312"/>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xml:space="preserve"> XX元</w:t>
            </w:r>
          </w:p>
        </w:tc>
      </w:tr>
    </w:tbl>
    <w:p>
      <w:pPr>
        <w:snapToGrid w:val="0"/>
        <w:spacing w:line="360" w:lineRule="auto"/>
        <w:ind w:right="-624" w:rightChars="-297"/>
        <w:rPr>
          <w:rFonts w:ascii="宋体" w:hAnsi="宋体" w:cs="宋体"/>
          <w:color w:val="000000" w:themeColor="text1"/>
          <w:sz w:val="24"/>
          <w:szCs w:val="24"/>
          <w14:textFill>
            <w14:solidFill>
              <w14:schemeClr w14:val="tx1"/>
            </w14:solidFill>
          </w14:textFill>
        </w:rPr>
      </w:pPr>
    </w:p>
    <w:p>
      <w:pPr>
        <w:snapToGrid w:val="0"/>
        <w:spacing w:line="360" w:lineRule="auto"/>
        <w:ind w:right="-624" w:rightChars="-297"/>
        <w:rPr>
          <w:rFonts w:ascii="宋体" w:hAnsi="宋体" w:cs="宋体"/>
          <w:color w:val="000000" w:themeColor="text1"/>
          <w:sz w:val="24"/>
          <w:szCs w:val="24"/>
          <w14:textFill>
            <w14:solidFill>
              <w14:schemeClr w14:val="tx1"/>
            </w14:solidFill>
          </w14:textFill>
        </w:rPr>
      </w:pPr>
    </w:p>
    <w:p>
      <w:pPr>
        <w:pStyle w:val="158"/>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最后报价（大写人民币）：XXXX</w:t>
      </w:r>
    </w:p>
    <w:p>
      <w:pPr>
        <w:pStyle w:val="158"/>
        <w:ind w:firstLine="0"/>
        <w:rPr>
          <w:rFonts w:ascii="宋体" w:hAnsi="宋体" w:cs="宋体"/>
          <w:color w:val="000000" w:themeColor="text1"/>
          <w:sz w:val="24"/>
          <w:szCs w:val="24"/>
          <w14:textFill>
            <w14:solidFill>
              <w14:schemeClr w14:val="tx1"/>
            </w14:solidFill>
          </w14:textFill>
        </w:rPr>
      </w:pPr>
    </w:p>
    <w:p>
      <w:pPr>
        <w:pStyle w:val="158"/>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供应商名称：XXXX</w:t>
      </w:r>
    </w:p>
    <w:p>
      <w:pPr>
        <w:pStyle w:val="158"/>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法定代表人或代理人：XXXX（签字）</w:t>
      </w:r>
    </w:p>
    <w:p>
      <w:pPr>
        <w:pStyle w:val="158"/>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日期：XX年XX月XX日</w:t>
      </w:r>
    </w:p>
    <w:p>
      <w:pPr>
        <w:pStyle w:val="158"/>
        <w:ind w:firstLine="551"/>
        <w:rPr>
          <w:rFonts w:hint="eastAsia" w:ascii="宋体" w:hAnsi="宋体" w:cs="宋体"/>
          <w:color w:val="000000" w:themeColor="text1"/>
          <w:sz w:val="24"/>
          <w:szCs w:val="24"/>
          <w14:textFill>
            <w14:solidFill>
              <w14:schemeClr w14:val="tx1"/>
            </w14:solidFill>
          </w14:textFill>
        </w:rPr>
      </w:pPr>
    </w:p>
    <w:p>
      <w:pPr>
        <w:pStyle w:val="158"/>
        <w:ind w:firstLine="551"/>
        <w:rPr>
          <w:rFonts w:hint="eastAsia" w:ascii="宋体" w:hAnsi="宋体" w:cs="宋体"/>
          <w:color w:val="000000" w:themeColor="text1"/>
          <w:sz w:val="24"/>
          <w:szCs w:val="24"/>
          <w14:textFill>
            <w14:solidFill>
              <w14:schemeClr w14:val="tx1"/>
            </w14:solidFill>
          </w14:textFill>
        </w:rPr>
      </w:pPr>
    </w:p>
    <w:p>
      <w:pPr>
        <w:pStyle w:val="158"/>
        <w:ind w:firstLine="551"/>
        <w:rPr>
          <w:rFonts w:hint="eastAsia"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说明：</w:t>
      </w:r>
    </w:p>
    <w:p>
      <w:pPr>
        <w:pStyle w:val="158"/>
        <w:numPr>
          <w:ilvl w:val="0"/>
          <w:numId w:val="2"/>
        </w:numPr>
        <w:ind w:firstLine="551"/>
        <w:rPr>
          <w:rFonts w:hint="eastAsia"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供应商可不在响应文件中填写并提供此表。此表为</w:t>
      </w:r>
      <w:r>
        <w:rPr>
          <w:rFonts w:hint="eastAsia" w:ascii="宋体" w:hAnsi="宋体" w:cs="宋体"/>
          <w:color w:val="000000" w:themeColor="text1"/>
          <w:sz w:val="24"/>
          <w:szCs w:val="24"/>
          <w:lang w:val="en-US" w:eastAsia="zh-CN"/>
          <w14:textFill>
            <w14:solidFill>
              <w14:schemeClr w14:val="tx1"/>
            </w14:solidFill>
          </w14:textFill>
        </w:rPr>
        <w:t>磋商</w:t>
      </w:r>
      <w:r>
        <w:rPr>
          <w:rFonts w:hint="eastAsia" w:ascii="宋体" w:hAnsi="宋体" w:cs="宋体"/>
          <w:color w:val="000000" w:themeColor="text1"/>
          <w:sz w:val="24"/>
          <w:szCs w:val="24"/>
          <w14:textFill>
            <w14:solidFill>
              <w14:schemeClr w14:val="tx1"/>
            </w14:solidFill>
          </w14:textFill>
        </w:rPr>
        <w:t>结束后，由供应商填写“最后报价”（表格</w:t>
      </w:r>
      <w:r>
        <w:rPr>
          <w:rFonts w:hint="eastAsia" w:ascii="宋体" w:hAnsi="宋体" w:cs="宋体"/>
          <w:color w:val="000000" w:themeColor="text1"/>
          <w:sz w:val="24"/>
          <w:szCs w:val="24"/>
          <w:lang w:eastAsia="zh-CN"/>
          <w14:textFill>
            <w14:solidFill>
              <w14:schemeClr w14:val="tx1"/>
            </w14:solidFill>
          </w14:textFill>
        </w:rPr>
        <w:t>、</w:t>
      </w:r>
      <w:r>
        <w:rPr>
          <w:rFonts w:hint="eastAsia" w:ascii="宋体" w:hAnsi="宋体" w:cs="宋体"/>
          <w:color w:val="000000" w:themeColor="text1"/>
          <w:sz w:val="24"/>
          <w:szCs w:val="24"/>
          <w:lang w:val="en-US" w:eastAsia="zh-CN"/>
          <w14:textFill>
            <w14:solidFill>
              <w14:schemeClr w14:val="tx1"/>
            </w14:solidFill>
          </w14:textFill>
        </w:rPr>
        <w:t>密封袋</w:t>
      </w:r>
      <w:r>
        <w:rPr>
          <w:rFonts w:hint="eastAsia" w:ascii="宋体" w:hAnsi="宋体" w:cs="宋体"/>
          <w:color w:val="000000" w:themeColor="text1"/>
          <w:sz w:val="24"/>
          <w:szCs w:val="24"/>
          <w14:textFill>
            <w14:solidFill>
              <w14:schemeClr w14:val="tx1"/>
            </w14:solidFill>
          </w14:textFill>
        </w:rPr>
        <w:t>由</w:t>
      </w:r>
      <w:r>
        <w:rPr>
          <w:rFonts w:hint="eastAsia" w:ascii="宋体" w:hAnsi="宋体" w:cs="宋体"/>
          <w:color w:val="000000" w:themeColor="text1"/>
          <w:sz w:val="24"/>
          <w:szCs w:val="24"/>
          <w:lang w:val="en-US" w:eastAsia="zh-CN"/>
          <w14:textFill>
            <w14:solidFill>
              <w14:schemeClr w14:val="tx1"/>
            </w14:solidFill>
          </w14:textFill>
        </w:rPr>
        <w:t>供应商自行准备</w:t>
      </w:r>
      <w:r>
        <w:rPr>
          <w:rFonts w:hint="eastAsia" w:ascii="宋体" w:hAnsi="宋体" w:cs="宋体"/>
          <w:color w:val="000000" w:themeColor="text1"/>
          <w:sz w:val="24"/>
          <w:szCs w:val="24"/>
          <w14:textFill>
            <w14:solidFill>
              <w14:schemeClr w14:val="tx1"/>
            </w14:solidFill>
          </w14:textFill>
        </w:rPr>
        <w:t>），经供应商法定代表人或代理人</w:t>
      </w:r>
      <w:r>
        <w:rPr>
          <w:rFonts w:hint="eastAsia" w:ascii="宋体" w:hAnsi="宋体" w:cs="宋体"/>
          <w:color w:val="FF0000"/>
          <w:sz w:val="24"/>
          <w:szCs w:val="24"/>
        </w:rPr>
        <w:t>签字后密封</w:t>
      </w:r>
      <w:r>
        <w:rPr>
          <w:rFonts w:hint="eastAsia" w:ascii="宋体" w:hAnsi="宋体" w:cs="宋体"/>
          <w:color w:val="000000" w:themeColor="text1"/>
          <w:sz w:val="24"/>
          <w:szCs w:val="24"/>
          <w14:textFill>
            <w14:solidFill>
              <w14:schemeClr w14:val="tx1"/>
            </w14:solidFill>
          </w14:textFill>
        </w:rPr>
        <w:t>递交给采购代理机构工作人员，由其收集齐后集中递交</w:t>
      </w:r>
      <w:r>
        <w:rPr>
          <w:rFonts w:hint="eastAsia" w:ascii="宋体" w:hAnsi="宋体" w:cs="宋体"/>
          <w:color w:val="000000" w:themeColor="text1"/>
          <w:sz w:val="24"/>
          <w:szCs w:val="24"/>
          <w:lang w:val="en-US" w:eastAsia="zh-CN"/>
          <w14:textFill>
            <w14:solidFill>
              <w14:schemeClr w14:val="tx1"/>
            </w14:solidFill>
          </w14:textFill>
        </w:rPr>
        <w:t>磋商</w:t>
      </w:r>
      <w:r>
        <w:rPr>
          <w:rFonts w:hint="eastAsia" w:ascii="宋体" w:hAnsi="宋体" w:cs="宋体"/>
          <w:color w:val="000000" w:themeColor="text1"/>
          <w:sz w:val="24"/>
          <w:szCs w:val="24"/>
          <w14:textFill>
            <w14:solidFill>
              <w14:schemeClr w14:val="tx1"/>
            </w14:solidFill>
          </w14:textFill>
        </w:rPr>
        <w:t>小组。供应商在响应文件中提交此表的，不影响其响应文件的有效性，其最后报价以</w:t>
      </w:r>
      <w:r>
        <w:rPr>
          <w:rFonts w:hint="eastAsia" w:ascii="宋体" w:hAnsi="宋体" w:cs="宋体"/>
          <w:color w:val="000000" w:themeColor="text1"/>
          <w:sz w:val="24"/>
          <w:szCs w:val="24"/>
          <w:lang w:val="en-US" w:eastAsia="zh-CN"/>
          <w14:textFill>
            <w14:solidFill>
              <w14:schemeClr w14:val="tx1"/>
            </w14:solidFill>
          </w14:textFill>
        </w:rPr>
        <w:t>磋商</w:t>
      </w:r>
      <w:r>
        <w:rPr>
          <w:rFonts w:hint="eastAsia" w:ascii="宋体" w:hAnsi="宋体" w:cs="宋体"/>
          <w:color w:val="000000" w:themeColor="text1"/>
          <w:sz w:val="24"/>
          <w:szCs w:val="24"/>
          <w14:textFill>
            <w14:solidFill>
              <w14:schemeClr w14:val="tx1"/>
            </w14:solidFill>
          </w14:textFill>
        </w:rPr>
        <w:t>结束后提交的“最后报价”为准。</w:t>
      </w:r>
    </w:p>
    <w:p>
      <w:pPr>
        <w:pStyle w:val="158"/>
        <w:numPr>
          <w:ilvl w:val="0"/>
          <w:numId w:val="0"/>
        </w:numPr>
        <w:ind w:firstLine="480" w:firstLineChars="200"/>
        <w:jc w:val="center"/>
        <w:rPr>
          <w:rFonts w:ascii="仿宋" w:hAnsi="仿宋" w:eastAsia="仿宋" w:cs="Times New Roman"/>
        </w:rPr>
      </w:pP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2、报价应是包括</w:t>
      </w:r>
      <w:r>
        <w:rPr>
          <w:rFonts w:hint="eastAsia" w:ascii="宋体" w:hAnsi="宋体" w:cs="宋体"/>
          <w:b w:val="0"/>
          <w:bCs w:val="0"/>
          <w:color w:val="000000" w:themeColor="text1"/>
          <w:kern w:val="2"/>
          <w:sz w:val="24"/>
          <w:szCs w:val="24"/>
          <w:lang w:val="en-US" w:eastAsia="zh-CN" w:bidi="ar-SA"/>
          <w14:textFill>
            <w14:solidFill>
              <w14:schemeClr w14:val="tx1"/>
            </w14:solidFill>
          </w14:textFill>
        </w:rPr>
        <w:t>磋商</w:t>
      </w: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文件规定的全部相应内容的报价。</w:t>
      </w:r>
      <w:r>
        <w:rPr>
          <w:rFonts w:ascii="仿宋" w:hAnsi="仿宋" w:eastAsia="仿宋" w:cs="Times New Roman"/>
          <w:sz w:val="24"/>
          <w:szCs w:val="24"/>
        </w:rPr>
        <w:br w:type="page"/>
      </w:r>
      <w:bookmarkStart w:id="94" w:name="_Toc509579147"/>
      <w:bookmarkStart w:id="95" w:name="_Toc41037909"/>
      <w:r>
        <w:rPr>
          <w:rFonts w:hint="eastAsia" w:ascii="宋体" w:hAnsi="宋体" w:eastAsia="宋体" w:cs="宋体"/>
          <w:b/>
          <w:bCs/>
          <w:color w:val="000000" w:themeColor="text1"/>
          <w:kern w:val="2"/>
          <w:sz w:val="32"/>
          <w:szCs w:val="32"/>
          <w:lang w:val="en-US" w:eastAsia="zh-CN" w:bidi="ar-SA"/>
          <w14:textFill>
            <w14:solidFill>
              <w14:schemeClr w14:val="tx1"/>
            </w14:solidFill>
          </w14:textFill>
        </w:rPr>
        <w:t>第六章  评审方法</w:t>
      </w:r>
      <w:bookmarkEnd w:id="94"/>
      <w:bookmarkEnd w:id="95"/>
    </w:p>
    <w:p>
      <w:pPr>
        <w:pStyle w:val="5"/>
        <w:keepNext w:val="0"/>
        <w:keepLines w:val="0"/>
        <w:spacing w:before="0" w:after="0" w:line="360" w:lineRule="auto"/>
        <w:ind w:firstLine="472" w:firstLineChars="196"/>
        <w:rPr>
          <w:rFonts w:ascii="仿宋" w:hAnsi="仿宋" w:eastAsia="仿宋" w:cs="Times New Roman"/>
          <w:sz w:val="24"/>
          <w:szCs w:val="24"/>
        </w:rPr>
      </w:pPr>
      <w:bookmarkStart w:id="96" w:name="_Toc101174146"/>
      <w:bookmarkStart w:id="97" w:name="_Toc101338358"/>
      <w:bookmarkStart w:id="98" w:name="_Toc209847065"/>
      <w:bookmarkStart w:id="99" w:name="_Toc101250640"/>
      <w:bookmarkStart w:id="100" w:name="_Toc430773924"/>
    </w:p>
    <w:p>
      <w:pPr>
        <w:pStyle w:val="5"/>
        <w:keepNext w:val="0"/>
        <w:keepLines w:val="0"/>
        <w:spacing w:before="0" w:after="0" w:line="360" w:lineRule="auto"/>
        <w:ind w:firstLine="472" w:firstLineChars="196"/>
        <w:rPr>
          <w:rFonts w:ascii="仿宋" w:hAnsi="仿宋" w:eastAsia="仿宋" w:cs="Times New Roman"/>
          <w:sz w:val="24"/>
          <w:szCs w:val="24"/>
        </w:rPr>
      </w:pPr>
      <w:r>
        <w:rPr>
          <w:rFonts w:ascii="仿宋" w:hAnsi="仿宋" w:eastAsia="仿宋" w:cs="仿宋"/>
          <w:sz w:val="24"/>
          <w:szCs w:val="24"/>
        </w:rPr>
        <w:t>1.</w:t>
      </w:r>
      <w:r>
        <w:rPr>
          <w:rFonts w:hint="eastAsia" w:ascii="仿宋" w:hAnsi="仿宋" w:eastAsia="仿宋" w:cs="仿宋"/>
          <w:sz w:val="24"/>
          <w:szCs w:val="24"/>
        </w:rPr>
        <w:t>总则</w:t>
      </w:r>
    </w:p>
    <w:p>
      <w:pPr>
        <w:pStyle w:val="5"/>
        <w:keepNext w:val="0"/>
        <w:keepLines w:val="0"/>
        <w:spacing w:before="0" w:after="0" w:line="360" w:lineRule="auto"/>
        <w:ind w:firstLine="470" w:firstLineChars="196"/>
        <w:rPr>
          <w:rFonts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1.1 根据《中华人民共和国政府采购法》、《中华人民共和国政府采购法实施条例》、《政府采购竞争性磋商采购方式管理暂行办法》等法律制度，结合本采购项目特点制定本次磋商采购评审方法。</w:t>
      </w:r>
    </w:p>
    <w:p>
      <w:pPr>
        <w:pStyle w:val="5"/>
        <w:keepNext w:val="0"/>
        <w:keepLines w:val="0"/>
        <w:spacing w:before="0" w:after="0" w:line="360" w:lineRule="auto"/>
        <w:ind w:firstLine="470" w:firstLineChars="196"/>
        <w:rPr>
          <w:rFonts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1.2 磋商工作由采购代理机构负责组织，具体磋商由采购代理机构依法组建的磋商小组负责。</w:t>
      </w:r>
    </w:p>
    <w:p>
      <w:pPr>
        <w:pStyle w:val="5"/>
        <w:keepNext w:val="0"/>
        <w:keepLines w:val="0"/>
        <w:spacing w:before="0" w:after="0" w:line="360" w:lineRule="auto"/>
        <w:ind w:firstLine="470" w:firstLineChars="196"/>
        <w:rPr>
          <w:rFonts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1.3 磋商工作应遵循公平、公正、科学及择优的原则，并以相同的磋商程序和标准对待所有的供应商。</w:t>
      </w:r>
    </w:p>
    <w:p>
      <w:pPr>
        <w:pStyle w:val="5"/>
        <w:keepNext w:val="0"/>
        <w:keepLines w:val="0"/>
        <w:spacing w:before="0" w:after="0" w:line="360" w:lineRule="auto"/>
        <w:ind w:firstLine="470" w:firstLineChars="196"/>
        <w:rPr>
          <w:rFonts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1.4 磋商小组按照磋商文件规定的磋商程序、评分方法和标准进行评审，并独立履行下列职责：</w:t>
      </w:r>
    </w:p>
    <w:p>
      <w:pPr>
        <w:pStyle w:val="5"/>
        <w:keepNext w:val="0"/>
        <w:keepLines w:val="0"/>
        <w:spacing w:before="0" w:after="0" w:line="360" w:lineRule="auto"/>
        <w:ind w:firstLine="470" w:firstLineChars="196"/>
        <w:rPr>
          <w:rFonts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（一）熟悉和理解磋商文件，确定磋商文件内容是否违反国家有关强制性规定或者磋商文件存在歧义、重大缺陷，根据需要书面要求采购人、采购代理机构对磋商文件作出解释；</w:t>
      </w:r>
    </w:p>
    <w:p>
      <w:pPr>
        <w:pStyle w:val="5"/>
        <w:keepNext w:val="0"/>
        <w:keepLines w:val="0"/>
        <w:spacing w:before="0" w:after="0" w:line="360" w:lineRule="auto"/>
        <w:ind w:firstLine="470" w:firstLineChars="196"/>
        <w:rPr>
          <w:rFonts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（二）审查供应商响应文件是否满足磋商文件要求，并作出公正评价；</w:t>
      </w:r>
    </w:p>
    <w:p>
      <w:pPr>
        <w:pStyle w:val="5"/>
        <w:keepNext w:val="0"/>
        <w:keepLines w:val="0"/>
        <w:spacing w:before="0" w:after="0" w:line="360" w:lineRule="auto"/>
        <w:ind w:firstLine="470" w:firstLineChars="196"/>
        <w:rPr>
          <w:rFonts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（三）根据需要要求供应商对响应文件中含义不明确、同类问题表述不一致或者有明显文字和计算错误的内容等作出必要的澄清、说明或者更正；</w:t>
      </w:r>
    </w:p>
    <w:p>
      <w:pPr>
        <w:pStyle w:val="5"/>
        <w:keepNext w:val="0"/>
        <w:keepLines w:val="0"/>
        <w:spacing w:before="0" w:after="0" w:line="360" w:lineRule="auto"/>
        <w:ind w:firstLine="470" w:firstLineChars="196"/>
        <w:rPr>
          <w:rFonts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（四）推荐成交供应商，或者受采购人委托确定成交供应商；</w:t>
      </w:r>
    </w:p>
    <w:p>
      <w:pPr>
        <w:pStyle w:val="5"/>
        <w:keepNext w:val="0"/>
        <w:keepLines w:val="0"/>
        <w:spacing w:before="0" w:after="0" w:line="360" w:lineRule="auto"/>
        <w:ind w:firstLine="470" w:firstLineChars="196"/>
        <w:rPr>
          <w:rFonts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（五）起草评审报告并进行签署；</w:t>
      </w:r>
    </w:p>
    <w:p>
      <w:pPr>
        <w:pStyle w:val="5"/>
        <w:keepNext w:val="0"/>
        <w:keepLines w:val="0"/>
        <w:spacing w:before="0" w:after="0" w:line="360" w:lineRule="auto"/>
        <w:ind w:firstLine="470" w:firstLineChars="196"/>
        <w:rPr>
          <w:rFonts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（六）向采购人、采购代理机构、财政部门或者其他监督部门报告非法干预评审工作的行为；</w:t>
      </w:r>
    </w:p>
    <w:p>
      <w:pPr>
        <w:pStyle w:val="5"/>
        <w:keepNext w:val="0"/>
        <w:keepLines w:val="0"/>
        <w:spacing w:before="0" w:after="0" w:line="360" w:lineRule="auto"/>
        <w:ind w:firstLine="470" w:firstLineChars="196"/>
        <w:rPr>
          <w:rFonts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（七）法律、法规和规章规定的其他职责。</w:t>
      </w:r>
    </w:p>
    <w:p>
      <w:pPr>
        <w:pStyle w:val="5"/>
        <w:keepNext w:val="0"/>
        <w:keepLines w:val="0"/>
        <w:spacing w:before="0" w:after="0" w:line="360" w:lineRule="auto"/>
        <w:ind w:firstLine="470" w:firstLineChars="196"/>
        <w:rPr>
          <w:rFonts w:ascii="仿宋" w:hAnsi="仿宋" w:eastAsia="仿宋"/>
        </w:rPr>
      </w:pPr>
      <w:r>
        <w:rPr>
          <w:rFonts w:hint="eastAsia" w:ascii="宋体" w:hAnsi="宋体" w:eastAsia="宋体" w:cs="宋体"/>
          <w:b w:val="0"/>
          <w:bCs w:val="0"/>
          <w:color w:val="000000" w:themeColor="text1"/>
          <w:sz w:val="24"/>
          <w:szCs w:val="24"/>
          <w14:textFill>
            <w14:solidFill>
              <w14:schemeClr w14:val="tx1"/>
            </w14:solidFill>
          </w14:textFill>
        </w:rPr>
        <w:t>1.5磋商过程独立、保密。供应商非法干预磋商过程的，其响应文件作无效处理。</w:t>
      </w:r>
    </w:p>
    <w:p>
      <w:pPr>
        <w:pStyle w:val="5"/>
        <w:keepNext w:val="0"/>
        <w:keepLines w:val="0"/>
        <w:spacing w:before="0" w:after="0" w:line="360" w:lineRule="auto"/>
        <w:ind w:firstLine="472" w:firstLineChars="196"/>
        <w:rPr>
          <w:rFonts w:ascii="仿宋" w:hAnsi="仿宋" w:eastAsia="仿宋" w:cs="Times New Roman"/>
          <w:sz w:val="24"/>
          <w:szCs w:val="24"/>
        </w:rPr>
      </w:pPr>
      <w:r>
        <w:rPr>
          <w:rFonts w:ascii="仿宋" w:hAnsi="仿宋" w:eastAsia="仿宋" w:cs="仿宋"/>
          <w:sz w:val="24"/>
          <w:szCs w:val="24"/>
        </w:rPr>
        <w:t>2.</w:t>
      </w:r>
      <w:r>
        <w:rPr>
          <w:rFonts w:hint="eastAsia" w:ascii="仿宋" w:hAnsi="仿宋" w:eastAsia="仿宋" w:cs="仿宋"/>
          <w:sz w:val="24"/>
          <w:szCs w:val="24"/>
        </w:rPr>
        <w:t>磋商程序</w:t>
      </w:r>
    </w:p>
    <w:p>
      <w:pPr>
        <w:pStyle w:val="5"/>
        <w:keepNext w:val="0"/>
        <w:keepLines w:val="0"/>
        <w:spacing w:before="0" w:after="0" w:line="360" w:lineRule="auto"/>
        <w:ind w:firstLine="470" w:firstLineChars="196"/>
        <w:rPr>
          <w:rFonts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2.1审查磋商文件和停止评审。</w:t>
      </w:r>
    </w:p>
    <w:p>
      <w:pPr>
        <w:pStyle w:val="5"/>
        <w:keepNext w:val="0"/>
        <w:keepLines w:val="0"/>
        <w:spacing w:before="0" w:after="0" w:line="360" w:lineRule="auto"/>
        <w:ind w:firstLine="470" w:firstLineChars="196"/>
        <w:rPr>
          <w:rFonts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2.1.1 磋商小组正式评审前，应当对磋商文件进行熟悉和理解，内容主要包括磋商文件中供应商资格条件要求、采购项目技术、服务和商务要求、磋商办法和标准、政府采购政策要求以及政府采购合同主要条款等。</w:t>
      </w:r>
    </w:p>
    <w:p>
      <w:pPr>
        <w:pStyle w:val="5"/>
        <w:keepNext w:val="0"/>
        <w:keepLines w:val="0"/>
        <w:spacing w:before="0" w:after="0" w:line="360" w:lineRule="auto"/>
        <w:ind w:firstLine="470" w:firstLineChars="196"/>
        <w:rPr>
          <w:rFonts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2.1.2 本磋商文件有下列情形之一的，磋商小组应当停止评审：</w:t>
      </w:r>
    </w:p>
    <w:p>
      <w:pPr>
        <w:pStyle w:val="5"/>
        <w:keepNext w:val="0"/>
        <w:keepLines w:val="0"/>
        <w:spacing w:before="0" w:after="0" w:line="360" w:lineRule="auto"/>
        <w:ind w:firstLine="470" w:firstLineChars="196"/>
        <w:rPr>
          <w:rFonts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（1）磋商文件的规定存在歧义、重大缺陷，导致评审无法进行的；</w:t>
      </w:r>
    </w:p>
    <w:p>
      <w:pPr>
        <w:pStyle w:val="5"/>
        <w:keepNext w:val="0"/>
        <w:keepLines w:val="0"/>
        <w:spacing w:before="0" w:after="0" w:line="360" w:lineRule="auto"/>
        <w:ind w:firstLine="470" w:firstLineChars="196"/>
        <w:rPr>
          <w:rFonts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（2）磋商文件明显以不合理条件对供应商实行差别待遇或者歧视待遇的；</w:t>
      </w:r>
    </w:p>
    <w:p>
      <w:pPr>
        <w:pStyle w:val="5"/>
        <w:keepNext w:val="0"/>
        <w:keepLines w:val="0"/>
        <w:spacing w:before="0" w:after="0" w:line="360" w:lineRule="auto"/>
        <w:ind w:firstLine="470" w:firstLineChars="196"/>
        <w:rPr>
          <w:rFonts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（3）采购项目属于国家规定的优先、强制采购范围，但是磋商文件未依法体现优先、强制采购相关规定的；</w:t>
      </w:r>
    </w:p>
    <w:p>
      <w:pPr>
        <w:pStyle w:val="5"/>
        <w:keepNext w:val="0"/>
        <w:keepLines w:val="0"/>
        <w:spacing w:before="0" w:after="0" w:line="360" w:lineRule="auto"/>
        <w:ind w:firstLine="470" w:firstLineChars="196"/>
        <w:rPr>
          <w:rFonts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（4）采购项目属于政府采购促进中小企业发展的范围，但是磋商文件未依法体现促进中小企业发展相关规定的；</w:t>
      </w:r>
    </w:p>
    <w:p>
      <w:pPr>
        <w:pStyle w:val="5"/>
        <w:keepNext w:val="0"/>
        <w:keepLines w:val="0"/>
        <w:spacing w:before="0" w:after="0" w:line="360" w:lineRule="auto"/>
        <w:ind w:firstLine="470" w:firstLineChars="196"/>
        <w:rPr>
          <w:rFonts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（5）磋商文件将供应商的资格条件列为评分因素的；</w:t>
      </w:r>
    </w:p>
    <w:p>
      <w:pPr>
        <w:pStyle w:val="5"/>
        <w:keepNext w:val="0"/>
        <w:keepLines w:val="0"/>
        <w:spacing w:before="0" w:after="0" w:line="360" w:lineRule="auto"/>
        <w:ind w:firstLine="470" w:firstLineChars="196"/>
        <w:rPr>
          <w:rFonts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（6）磋商文件载明的成交原则不合法的；</w:t>
      </w:r>
    </w:p>
    <w:p>
      <w:pPr>
        <w:pStyle w:val="5"/>
        <w:keepNext w:val="0"/>
        <w:keepLines w:val="0"/>
        <w:spacing w:before="0" w:after="0" w:line="360" w:lineRule="auto"/>
        <w:ind w:firstLine="470" w:firstLineChars="196"/>
        <w:rPr>
          <w:rFonts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（7）磋商文件有违反国家其他有关强制性规定的情形。</w:t>
      </w:r>
    </w:p>
    <w:p>
      <w:pPr>
        <w:pStyle w:val="5"/>
        <w:keepNext w:val="0"/>
        <w:keepLines w:val="0"/>
        <w:spacing w:before="0" w:after="0" w:line="360" w:lineRule="auto"/>
        <w:ind w:firstLine="470" w:firstLineChars="196"/>
        <w:rPr>
          <w:rFonts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2.1.3 出现本条2.1.2规定应当停止评审情形的，磋商小组应当向采购组织单位书面书面说明情况。除2.1.2规定的情形外，磋商小组不得以任何方式和理由停止评审。</w:t>
      </w:r>
    </w:p>
    <w:p>
      <w:pPr>
        <w:pStyle w:val="5"/>
        <w:keepNext w:val="0"/>
        <w:keepLines w:val="0"/>
        <w:spacing w:before="0" w:after="0" w:line="360" w:lineRule="auto"/>
        <w:ind w:firstLine="470" w:firstLineChars="196"/>
        <w:rPr>
          <w:rFonts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2.2磋商。</w:t>
      </w:r>
    </w:p>
    <w:p>
      <w:pPr>
        <w:pStyle w:val="5"/>
        <w:keepNext w:val="0"/>
        <w:keepLines w:val="0"/>
        <w:spacing w:before="0" w:after="0" w:line="360" w:lineRule="auto"/>
        <w:ind w:firstLine="470" w:firstLineChars="196"/>
        <w:rPr>
          <w:rFonts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2.2.1磋商小组所有成员集中与单一供应商分别进行一轮或多轮磋商，并给予所有参加磋商的供应商平等的磋商机会。磋商顺序以现场抽签的方式确定。磋商过程中，磋商小组可以根据磋商情况调整磋商轮次。</w:t>
      </w:r>
    </w:p>
    <w:p>
      <w:pPr>
        <w:pStyle w:val="5"/>
        <w:keepNext w:val="0"/>
        <w:keepLines w:val="0"/>
        <w:spacing w:before="0" w:after="0" w:line="360" w:lineRule="auto"/>
        <w:ind w:firstLine="470" w:firstLineChars="196"/>
        <w:rPr>
          <w:rFonts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2.2.2每轮磋商开始前，磋商小组应根据磋商文件的规定，并结合各供应商的响应文件拟定磋商内容。</w:t>
      </w:r>
    </w:p>
    <w:p>
      <w:pPr>
        <w:pStyle w:val="5"/>
        <w:keepNext w:val="0"/>
        <w:keepLines w:val="0"/>
        <w:spacing w:before="0" w:after="0" w:line="360" w:lineRule="auto"/>
        <w:ind w:firstLine="470" w:firstLineChars="196"/>
        <w:rPr>
          <w:rFonts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2.2.3在磋商过程中，磋商小组可以根据磋商文件和磋商情况实质性变动磋商文件的技术、服务要求以及合同草案条款，但不得变动磋商文件中的其他内容。实质性变动的内容，须经采购人代表书面确认。</w:t>
      </w:r>
    </w:p>
    <w:p>
      <w:pPr>
        <w:pStyle w:val="5"/>
        <w:keepNext w:val="0"/>
        <w:keepLines w:val="0"/>
        <w:spacing w:before="0" w:after="0" w:line="360" w:lineRule="auto"/>
        <w:ind w:firstLine="470" w:firstLineChars="196"/>
        <w:rPr>
          <w:rFonts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2.2.4对磋商文件作出的实质性变动是磋商文件的有效组成部分，磋商小组应当及时以书面形式同时通知所有参加磋商的供应商。</w:t>
      </w:r>
    </w:p>
    <w:p>
      <w:pPr>
        <w:pStyle w:val="5"/>
        <w:keepNext w:val="0"/>
        <w:keepLines w:val="0"/>
        <w:spacing w:before="0" w:after="0" w:line="360" w:lineRule="auto"/>
        <w:ind w:firstLine="470" w:firstLineChars="196"/>
        <w:rPr>
          <w:rFonts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2.2.5磋商过程中，磋商文件变动的，供应商应当按照磋商文件的变动情况和磋商小组的要求重新提交响应文件，并由其法定代表人/主要负责人/本人或其授权代表签字（注：供应商为法人的，应当由其法定代表人或者授权代表签字确认；供应商为其他组织的，应当由其主要负责人或者授权代表签字确认；供应商为自然人的，应当由其本人或者授权代表签字确认）或者加盖公章。磋商过程中，供应商根据磋商情况自行决定变更其响应文件的，磋商小组不得拒绝，并应当给予供应商必要的时间，但是供应商变更其响应文件，应当以有利于满足磋商文件要求为原则，不得变更为不利于满足磋商文件规定，否则，其响应文件作为无效处理。</w:t>
      </w:r>
    </w:p>
    <w:p>
      <w:pPr>
        <w:pStyle w:val="23"/>
        <w:snapToGrid w:val="0"/>
        <w:spacing w:line="360" w:lineRule="auto"/>
        <w:ind w:firstLine="480" w:firstLineChars="200"/>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2.2.6</w:t>
      </w:r>
      <w:r>
        <w:rPr>
          <w:rFonts w:hint="eastAsia" w:hAnsi="宋体"/>
          <w:color w:val="000000" w:themeColor="text1"/>
          <w:sz w:val="24"/>
          <w:szCs w:val="24"/>
          <w:lang w:val="zh-CN"/>
          <w14:textFill>
            <w14:solidFill>
              <w14:schemeClr w14:val="tx1"/>
            </w14:solidFill>
          </w14:textFill>
        </w:rPr>
        <w:t>有效性、完整性和响应程度审查</w:t>
      </w:r>
    </w:p>
    <w:p>
      <w:pPr>
        <w:pStyle w:val="23"/>
        <w:snapToGrid w:val="0"/>
        <w:spacing w:line="360" w:lineRule="auto"/>
        <w:ind w:firstLine="480" w:firstLineChars="200"/>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2.2.6.1磋商过程中，</w:t>
      </w:r>
      <w:r>
        <w:rPr>
          <w:rFonts w:hint="eastAsia" w:hAnsi="宋体"/>
          <w:color w:val="000000" w:themeColor="text1"/>
          <w:sz w:val="24"/>
          <w:szCs w:val="24"/>
          <w:lang w:val="zh-CN"/>
          <w14:textFill>
            <w14:solidFill>
              <w14:schemeClr w14:val="tx1"/>
            </w14:solidFill>
          </w14:textFill>
        </w:rPr>
        <w:t>磋商小组对供应商首次递交的响应文件进行审查，审查中发现供应商首次响应文件有下列情况之一的，应按照无效响应文件处理：</w:t>
      </w:r>
    </w:p>
    <w:p>
      <w:pPr>
        <w:pStyle w:val="23"/>
        <w:snapToGrid w:val="0"/>
        <w:spacing w:line="360" w:lineRule="auto"/>
        <w:ind w:firstLine="480" w:firstLineChars="200"/>
        <w:rPr>
          <w:rFonts w:hAnsi="宋体"/>
          <w:color w:val="000000" w:themeColor="text1"/>
          <w:sz w:val="24"/>
          <w:szCs w:val="24"/>
          <w:lang w:val="zh-CN"/>
          <w14:textFill>
            <w14:solidFill>
              <w14:schemeClr w14:val="tx1"/>
            </w14:solidFill>
          </w14:textFill>
        </w:rPr>
      </w:pPr>
      <w:r>
        <w:rPr>
          <w:rFonts w:hint="eastAsia" w:hAnsi="宋体"/>
          <w:color w:val="000000" w:themeColor="text1"/>
          <w:sz w:val="24"/>
          <w:szCs w:val="24"/>
          <w:lang w:val="zh-CN"/>
          <w14:textFill>
            <w14:solidFill>
              <w14:schemeClr w14:val="tx1"/>
            </w14:solidFill>
          </w14:textFill>
        </w:rPr>
        <w:t>（</w:t>
      </w:r>
      <w:r>
        <w:rPr>
          <w:rFonts w:hint="eastAsia" w:hAnsi="宋体"/>
          <w:color w:val="000000" w:themeColor="text1"/>
          <w:sz w:val="24"/>
          <w:szCs w:val="24"/>
          <w14:textFill>
            <w14:solidFill>
              <w14:schemeClr w14:val="tx1"/>
            </w14:solidFill>
          </w14:textFill>
        </w:rPr>
        <w:t>1</w:t>
      </w:r>
      <w:r>
        <w:rPr>
          <w:rFonts w:hint="eastAsia" w:hAnsi="宋体"/>
          <w:color w:val="000000" w:themeColor="text1"/>
          <w:sz w:val="24"/>
          <w:szCs w:val="24"/>
          <w:lang w:val="zh-CN"/>
          <w14:textFill>
            <w14:solidFill>
              <w14:schemeClr w14:val="tx1"/>
            </w14:solidFill>
          </w14:textFill>
        </w:rPr>
        <w:t>）响应文件的语言、报价货币、知识产权、响应文件有效期不符合采购文件的规定，影响磋商小组评判的；</w:t>
      </w:r>
    </w:p>
    <w:p>
      <w:pPr>
        <w:pStyle w:val="23"/>
        <w:snapToGrid w:val="0"/>
        <w:spacing w:line="360" w:lineRule="auto"/>
        <w:ind w:firstLine="480" w:firstLineChars="200"/>
        <w:rPr>
          <w:rFonts w:hAnsi="宋体"/>
          <w:color w:val="000000" w:themeColor="text1"/>
          <w:sz w:val="24"/>
          <w:szCs w:val="24"/>
          <w:lang w:val="zh-CN"/>
          <w14:textFill>
            <w14:solidFill>
              <w14:schemeClr w14:val="tx1"/>
            </w14:solidFill>
          </w14:textFill>
        </w:rPr>
      </w:pPr>
      <w:r>
        <w:rPr>
          <w:rFonts w:hint="eastAsia" w:hAnsi="宋体"/>
          <w:color w:val="000000" w:themeColor="text1"/>
          <w:sz w:val="24"/>
          <w:szCs w:val="24"/>
          <w:lang w:val="zh-CN"/>
          <w14:textFill>
            <w14:solidFill>
              <w14:schemeClr w14:val="tx1"/>
            </w14:solidFill>
          </w14:textFill>
        </w:rPr>
        <w:t>（2）响应文件中未附已标价工程量清单。</w:t>
      </w:r>
    </w:p>
    <w:p>
      <w:pPr>
        <w:pStyle w:val="23"/>
        <w:snapToGrid w:val="0"/>
        <w:spacing w:line="360" w:lineRule="auto"/>
        <w:ind w:firstLine="480" w:firstLineChars="200"/>
        <w:rPr>
          <w:rFonts w:hAnsi="宋体"/>
          <w:color w:val="000000" w:themeColor="text1"/>
          <w:sz w:val="24"/>
          <w:szCs w:val="24"/>
          <w14:textFill>
            <w14:solidFill>
              <w14:schemeClr w14:val="tx1"/>
            </w14:solidFill>
          </w14:textFill>
        </w:rPr>
      </w:pPr>
      <w:r>
        <w:rPr>
          <w:rFonts w:hint="eastAsia" w:hAnsi="宋体"/>
          <w:color w:val="000000" w:themeColor="text1"/>
          <w:sz w:val="24"/>
          <w:szCs w:val="24"/>
          <w:lang w:val="zh-CN"/>
          <w14:textFill>
            <w14:solidFill>
              <w14:schemeClr w14:val="tx1"/>
            </w14:solidFill>
          </w14:textFill>
        </w:rPr>
        <w:t>2.2.6.2经最终磋商后，响应文件仍有下列情况之一的，应按照无效响应文件处理：</w:t>
      </w:r>
    </w:p>
    <w:p>
      <w:pPr>
        <w:pStyle w:val="23"/>
        <w:snapToGrid w:val="0"/>
        <w:spacing w:line="360" w:lineRule="auto"/>
        <w:ind w:firstLine="480" w:firstLineChars="200"/>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（1）</w:t>
      </w:r>
      <w:r>
        <w:rPr>
          <w:rFonts w:hint="eastAsia" w:hAnsi="宋体"/>
          <w:color w:val="000000" w:themeColor="text1"/>
          <w:sz w:val="24"/>
          <w:szCs w:val="24"/>
          <w:lang w:val="zh-CN"/>
          <w14:textFill>
            <w14:solidFill>
              <w14:schemeClr w14:val="tx1"/>
            </w14:solidFill>
          </w14:textFill>
        </w:rPr>
        <w:t>响应文件仍不能实质响应采购文件的实质性要求的；</w:t>
      </w:r>
    </w:p>
    <w:p>
      <w:pPr>
        <w:pStyle w:val="23"/>
        <w:snapToGrid w:val="0"/>
        <w:spacing w:line="360" w:lineRule="auto"/>
        <w:ind w:firstLine="480" w:firstLineChars="200"/>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（2）响应文件仍中有磋商文件规定的其他无效响应情形的。</w:t>
      </w:r>
    </w:p>
    <w:p>
      <w:pPr>
        <w:pStyle w:val="23"/>
        <w:snapToGrid w:val="0"/>
        <w:spacing w:line="360" w:lineRule="auto"/>
        <w:ind w:firstLine="480" w:firstLineChars="200"/>
        <w:rPr>
          <w:rFonts w:hAnsi="宋体"/>
          <w:color w:val="000000" w:themeColor="text1"/>
          <w:sz w:val="24"/>
          <w:szCs w:val="24"/>
          <w:lang w:val="zh-CN"/>
          <w14:textFill>
            <w14:solidFill>
              <w14:schemeClr w14:val="tx1"/>
            </w14:solidFill>
          </w14:textFill>
        </w:rPr>
      </w:pPr>
      <w:r>
        <w:rPr>
          <w:rFonts w:hint="eastAsia" w:hAnsi="宋体"/>
          <w:color w:val="000000" w:themeColor="text1"/>
          <w:sz w:val="24"/>
          <w:szCs w:val="24"/>
          <w:lang w:val="zh-CN"/>
          <w14:textFill>
            <w14:solidFill>
              <w14:schemeClr w14:val="tx1"/>
            </w14:solidFill>
          </w14:textFill>
        </w:rPr>
        <w:t>2.2.6.3磋商小组对响应文件签署、盖章等进行审查过程中，有下列情形的，磋商小组应当评定为不影响整个响应文件有效性和采购活动公平竞争，并通过响应文件的有效性审查：</w:t>
      </w:r>
    </w:p>
    <w:p>
      <w:pPr>
        <w:pStyle w:val="23"/>
        <w:snapToGrid w:val="0"/>
        <w:spacing w:line="360" w:lineRule="auto"/>
        <w:ind w:firstLine="480" w:firstLineChars="200"/>
        <w:rPr>
          <w:rFonts w:hAnsi="宋体"/>
          <w:color w:val="000000" w:themeColor="text1"/>
          <w:sz w:val="24"/>
          <w:szCs w:val="24"/>
          <w:lang w:val="zh-CN"/>
          <w14:textFill>
            <w14:solidFill>
              <w14:schemeClr w14:val="tx1"/>
            </w14:solidFill>
          </w14:textFill>
        </w:rPr>
      </w:pPr>
      <w:r>
        <w:rPr>
          <w:rFonts w:hint="eastAsia" w:hAnsi="宋体"/>
          <w:color w:val="000000" w:themeColor="text1"/>
          <w:sz w:val="24"/>
          <w:szCs w:val="24"/>
          <w:lang w:val="zh-CN"/>
          <w14:textFill>
            <w14:solidFill>
              <w14:schemeClr w14:val="tx1"/>
            </w14:solidFill>
          </w14:textFill>
        </w:rPr>
        <w:t>（</w:t>
      </w:r>
      <w:r>
        <w:rPr>
          <w:rFonts w:hint="eastAsia" w:hAnsi="宋体"/>
          <w:color w:val="000000" w:themeColor="text1"/>
          <w:sz w:val="24"/>
          <w:szCs w:val="24"/>
          <w14:textFill>
            <w14:solidFill>
              <w14:schemeClr w14:val="tx1"/>
            </w14:solidFill>
          </w14:textFill>
        </w:rPr>
        <w:t>1</w:t>
      </w:r>
      <w:r>
        <w:rPr>
          <w:rFonts w:hint="eastAsia" w:hAnsi="宋体"/>
          <w:color w:val="000000" w:themeColor="text1"/>
          <w:sz w:val="24"/>
          <w:szCs w:val="24"/>
          <w:lang w:val="zh-CN"/>
          <w14:textFill>
            <w14:solidFill>
              <w14:schemeClr w14:val="tx1"/>
            </w14:solidFill>
          </w14:textFill>
        </w:rPr>
        <w:t>）响应文件存在个别地方（总数不能超过2个）没有法定代表人/单位负责人签字，但有法定代表人/单位负责人的私人印章或者有效授权代理人签字的，但法定代表人/单位负责人授权书除外；</w:t>
      </w:r>
    </w:p>
    <w:p>
      <w:pPr>
        <w:pStyle w:val="23"/>
        <w:snapToGrid w:val="0"/>
        <w:spacing w:line="360" w:lineRule="auto"/>
        <w:ind w:firstLine="480" w:firstLineChars="200"/>
        <w:rPr>
          <w:rFonts w:hAnsi="宋体"/>
          <w:color w:val="000000" w:themeColor="text1"/>
          <w:sz w:val="24"/>
          <w:szCs w:val="24"/>
          <w:lang w:val="zh-CN"/>
          <w14:textFill>
            <w14:solidFill>
              <w14:schemeClr w14:val="tx1"/>
            </w14:solidFill>
          </w14:textFill>
        </w:rPr>
      </w:pPr>
      <w:r>
        <w:rPr>
          <w:rFonts w:hint="eastAsia" w:hAnsi="宋体"/>
          <w:color w:val="000000" w:themeColor="text1"/>
          <w:sz w:val="24"/>
          <w:szCs w:val="24"/>
          <w:lang w:val="zh-CN"/>
          <w14:textFill>
            <w14:solidFill>
              <w14:schemeClr w14:val="tx1"/>
            </w14:solidFill>
          </w14:textFill>
        </w:rPr>
        <w:t>（</w:t>
      </w:r>
      <w:r>
        <w:rPr>
          <w:rFonts w:hint="eastAsia" w:hAnsi="宋体"/>
          <w:color w:val="000000" w:themeColor="text1"/>
          <w:sz w:val="24"/>
          <w:szCs w:val="24"/>
          <w14:textFill>
            <w14:solidFill>
              <w14:schemeClr w14:val="tx1"/>
            </w14:solidFill>
          </w14:textFill>
        </w:rPr>
        <w:t>2</w:t>
      </w:r>
      <w:r>
        <w:rPr>
          <w:rFonts w:hint="eastAsia" w:hAnsi="宋体"/>
          <w:color w:val="000000" w:themeColor="text1"/>
          <w:sz w:val="24"/>
          <w:szCs w:val="24"/>
          <w:lang w:val="zh-CN"/>
          <w14:textFill>
            <w14:solidFill>
              <w14:schemeClr w14:val="tx1"/>
            </w14:solidFill>
          </w14:textFill>
        </w:rPr>
        <w:t>）响应文件除采购文件明确要求加盖单位(法人)公章的以外，其他地方以相关专用章加盖的；</w:t>
      </w:r>
    </w:p>
    <w:p>
      <w:pPr>
        <w:pStyle w:val="23"/>
        <w:snapToGrid w:val="0"/>
        <w:spacing w:line="360" w:lineRule="auto"/>
        <w:ind w:firstLine="480" w:firstLineChars="200"/>
        <w:rPr>
          <w:rFonts w:hAnsi="宋体"/>
          <w:color w:val="000000" w:themeColor="text1"/>
          <w:sz w:val="24"/>
          <w:szCs w:val="24"/>
          <w:lang w:val="zh-CN"/>
          <w14:textFill>
            <w14:solidFill>
              <w14:schemeClr w14:val="tx1"/>
            </w14:solidFill>
          </w14:textFill>
        </w:rPr>
      </w:pPr>
      <w:r>
        <w:rPr>
          <w:rFonts w:hint="eastAsia" w:hAnsi="宋体"/>
          <w:color w:val="000000" w:themeColor="text1"/>
          <w:sz w:val="24"/>
          <w:szCs w:val="24"/>
          <w:lang w:val="zh-CN"/>
          <w14:textFill>
            <w14:solidFill>
              <w14:schemeClr w14:val="tx1"/>
            </w14:solidFill>
          </w14:textFill>
        </w:rPr>
        <w:t>（</w:t>
      </w:r>
      <w:r>
        <w:rPr>
          <w:rFonts w:hint="eastAsia" w:hAnsi="宋体"/>
          <w:color w:val="000000" w:themeColor="text1"/>
          <w:sz w:val="24"/>
          <w:szCs w:val="24"/>
          <w14:textFill>
            <w14:solidFill>
              <w14:schemeClr w14:val="tx1"/>
            </w14:solidFill>
          </w14:textFill>
        </w:rPr>
        <w:t>3</w:t>
      </w:r>
      <w:r>
        <w:rPr>
          <w:rFonts w:hint="eastAsia" w:hAnsi="宋体"/>
          <w:color w:val="000000" w:themeColor="text1"/>
          <w:sz w:val="24"/>
          <w:szCs w:val="24"/>
          <w:lang w:val="zh-CN"/>
          <w14:textFill>
            <w14:solidFill>
              <w14:schemeClr w14:val="tx1"/>
            </w14:solidFill>
          </w14:textFill>
        </w:rPr>
        <w:t>）以骑缝章的形式代替响应文件内容逐页盖章的（但是骑缝章模糊不清，印章名称无法辨认的除外）。</w:t>
      </w:r>
    </w:p>
    <w:p>
      <w:pPr>
        <w:pStyle w:val="23"/>
        <w:snapToGrid w:val="0"/>
        <w:spacing w:line="360" w:lineRule="auto"/>
        <w:ind w:firstLine="480" w:firstLineChars="200"/>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2.2.6.4磋商小组</w:t>
      </w:r>
      <w:r>
        <w:rPr>
          <w:rFonts w:hint="eastAsia" w:hAnsi="宋体"/>
          <w:color w:val="000000" w:themeColor="text1"/>
          <w:sz w:val="24"/>
          <w:szCs w:val="24"/>
          <w:lang w:val="zh-CN"/>
          <w14:textFill>
            <w14:solidFill>
              <w14:schemeClr w14:val="tx1"/>
            </w14:solidFill>
          </w14:textFill>
        </w:rPr>
        <w:t>对所有响应文件的有效性、完整性和响应程度进行审查</w:t>
      </w:r>
      <w:r>
        <w:rPr>
          <w:rFonts w:hint="eastAsia" w:hAnsi="宋体"/>
          <w:color w:val="000000" w:themeColor="text1"/>
          <w:sz w:val="24"/>
          <w:szCs w:val="24"/>
          <w14:textFill>
            <w14:solidFill>
              <w14:schemeClr w14:val="tx1"/>
            </w14:solidFill>
          </w14:textFill>
        </w:rPr>
        <w:t>后，向采购</w:t>
      </w:r>
      <w:r>
        <w:rPr>
          <w:rFonts w:hint="eastAsia" w:hAnsi="宋体"/>
          <w:color w:val="000000" w:themeColor="text1"/>
          <w:sz w:val="24"/>
          <w:szCs w:val="24"/>
          <w:lang w:val="zh-CN"/>
          <w14:textFill>
            <w14:solidFill>
              <w14:schemeClr w14:val="tx1"/>
            </w14:solidFill>
          </w14:textFill>
        </w:rPr>
        <w:t>代理机构</w:t>
      </w:r>
      <w:r>
        <w:rPr>
          <w:rFonts w:hint="eastAsia" w:hAnsi="宋体"/>
          <w:color w:val="000000" w:themeColor="text1"/>
          <w:sz w:val="24"/>
          <w:szCs w:val="24"/>
          <w14:textFill>
            <w14:solidFill>
              <w14:schemeClr w14:val="tx1"/>
            </w14:solidFill>
          </w14:textFill>
        </w:rPr>
        <w:t>出具</w:t>
      </w:r>
      <w:r>
        <w:rPr>
          <w:rFonts w:hint="eastAsia" w:hAnsi="宋体"/>
          <w:color w:val="000000" w:themeColor="text1"/>
          <w:sz w:val="24"/>
          <w:szCs w:val="24"/>
          <w:lang w:val="zh-CN"/>
          <w14:textFill>
            <w14:solidFill>
              <w14:schemeClr w14:val="tx1"/>
            </w14:solidFill>
          </w14:textFill>
        </w:rPr>
        <w:t>有效性、完整性和响应程度</w:t>
      </w:r>
      <w:r>
        <w:rPr>
          <w:rFonts w:hint="eastAsia" w:hAnsi="宋体"/>
          <w:color w:val="000000" w:themeColor="text1"/>
          <w:sz w:val="24"/>
          <w:szCs w:val="24"/>
          <w14:textFill>
            <w14:solidFill>
              <w14:schemeClr w14:val="tx1"/>
            </w14:solidFill>
          </w14:textFill>
        </w:rPr>
        <w:t>审查报告，确定继续磋商的供应商名单。没有通过</w:t>
      </w:r>
      <w:r>
        <w:rPr>
          <w:rFonts w:hint="eastAsia" w:hAnsi="宋体"/>
          <w:color w:val="000000" w:themeColor="text1"/>
          <w:sz w:val="24"/>
          <w:szCs w:val="24"/>
          <w:lang w:val="zh-CN"/>
          <w14:textFill>
            <w14:solidFill>
              <w14:schemeClr w14:val="tx1"/>
            </w14:solidFill>
          </w14:textFill>
        </w:rPr>
        <w:t>有效性、完整性和响应程度</w:t>
      </w:r>
      <w:r>
        <w:rPr>
          <w:rFonts w:hint="eastAsia" w:hAnsi="宋体"/>
          <w:color w:val="000000" w:themeColor="text1"/>
          <w:sz w:val="24"/>
          <w:szCs w:val="24"/>
          <w14:textFill>
            <w14:solidFill>
              <w14:schemeClr w14:val="tx1"/>
            </w14:solidFill>
          </w14:textFill>
        </w:rPr>
        <w:t>审查的供应商，磋商小组应在</w:t>
      </w:r>
      <w:r>
        <w:rPr>
          <w:rFonts w:hint="eastAsia" w:hAnsi="宋体"/>
          <w:color w:val="000000" w:themeColor="text1"/>
          <w:sz w:val="24"/>
          <w:szCs w:val="24"/>
          <w:lang w:val="zh-CN"/>
          <w14:textFill>
            <w14:solidFill>
              <w14:schemeClr w14:val="tx1"/>
            </w14:solidFill>
          </w14:textFill>
        </w:rPr>
        <w:t>有效性、完整性和响应程度</w:t>
      </w:r>
      <w:r>
        <w:rPr>
          <w:rFonts w:hint="eastAsia" w:hAnsi="宋体"/>
          <w:color w:val="000000" w:themeColor="text1"/>
          <w:sz w:val="24"/>
          <w:szCs w:val="24"/>
          <w14:textFill>
            <w14:solidFill>
              <w14:schemeClr w14:val="tx1"/>
            </w14:solidFill>
          </w14:textFill>
        </w:rPr>
        <w:t>审查报告中说明原因。</w:t>
      </w:r>
    </w:p>
    <w:p>
      <w:pPr>
        <w:pStyle w:val="5"/>
        <w:keepNext w:val="0"/>
        <w:keepLines w:val="0"/>
        <w:spacing w:before="0" w:after="0" w:line="360" w:lineRule="auto"/>
        <w:ind w:firstLine="470" w:firstLineChars="196"/>
        <w:rPr>
          <w:rFonts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2.2.7磋商过程中，磋商的任何一方不得透露与磋商有关的其他供应商的技术资料、价格和其他信息。</w:t>
      </w:r>
    </w:p>
    <w:p>
      <w:pPr>
        <w:pStyle w:val="5"/>
        <w:keepNext w:val="0"/>
        <w:keepLines w:val="0"/>
        <w:spacing w:before="0" w:after="0" w:line="360" w:lineRule="auto"/>
        <w:ind w:firstLine="470" w:firstLineChars="196"/>
        <w:rPr>
          <w:rFonts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2.2.8磋商过程中，磋商小组发现或者知晓供应商存在违法、违纪行为的，磋商小组应当将该供应商响应文件作无效处理，不允许其提交最后报价。</w:t>
      </w:r>
    </w:p>
    <w:p>
      <w:pPr>
        <w:pStyle w:val="5"/>
        <w:keepNext w:val="0"/>
        <w:keepLines w:val="0"/>
        <w:spacing w:before="0" w:after="0" w:line="360" w:lineRule="auto"/>
        <w:ind w:firstLine="470" w:firstLineChars="196"/>
        <w:rPr>
          <w:rFonts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2.2.9磋商完成后，磋商小组应出具磋商情况记录表，磋商情况记录表需包含磋商内容、磋商意见、实质性变动内容等。</w:t>
      </w:r>
    </w:p>
    <w:p>
      <w:pPr>
        <w:spacing w:line="360" w:lineRule="auto"/>
        <w:ind w:firstLine="480" w:firstLineChars="200"/>
        <w:rPr>
          <w:ins w:id="0" w:author="ts" w:date="2018-05-17T10:56:00Z"/>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2.3报价</w:t>
      </w:r>
    </w:p>
    <w:p>
      <w:pPr>
        <w:spacing w:line="360" w:lineRule="auto"/>
        <w:ind w:firstLine="480" w:firstLineChars="200"/>
        <w:rPr>
          <w:rFonts w:ascii="宋体" w:hAnsi="宋体" w:cs="宋体"/>
          <w:color w:val="000000" w:themeColor="text1"/>
          <w:sz w:val="24"/>
          <w:szCs w:val="24"/>
          <w:lang w:val="zh-CN"/>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2.3.1除首次响应文件中的报价以外，供应商报价采用现场报价。现场报价前，磋商小组应对供应商首次响应文件中的报价（</w:t>
      </w:r>
      <w:r>
        <w:rPr>
          <w:rFonts w:hint="eastAsia" w:ascii="宋体" w:hAnsi="宋体" w:cs="宋体"/>
          <w:color w:val="000000" w:themeColor="text1"/>
          <w:sz w:val="24"/>
          <w:szCs w:val="24"/>
          <w:lang w:val="zh-CN"/>
          <w14:textFill>
            <w14:solidFill>
              <w14:schemeClr w14:val="tx1"/>
            </w14:solidFill>
          </w14:textFill>
        </w:rPr>
        <w:t>已标价工程量清单</w:t>
      </w:r>
      <w:r>
        <w:rPr>
          <w:rFonts w:hint="eastAsia" w:ascii="宋体" w:hAnsi="宋体" w:cs="宋体"/>
          <w:color w:val="000000" w:themeColor="text1"/>
          <w:sz w:val="24"/>
          <w:szCs w:val="24"/>
          <w14:textFill>
            <w14:solidFill>
              <w14:schemeClr w14:val="tx1"/>
            </w14:solidFill>
          </w14:textFill>
        </w:rPr>
        <w:t>）进行评审：</w:t>
      </w:r>
    </w:p>
    <w:p>
      <w:pPr>
        <w:pStyle w:val="23"/>
        <w:snapToGrid w:val="0"/>
        <w:spacing w:line="360" w:lineRule="auto"/>
        <w:ind w:firstLine="480" w:firstLineChars="200"/>
        <w:rPr>
          <w:rFonts w:hAnsi="宋体"/>
          <w:color w:val="000000" w:themeColor="text1"/>
          <w:sz w:val="24"/>
          <w:szCs w:val="24"/>
          <w:lang w:val="zh-CN"/>
          <w14:textFill>
            <w14:solidFill>
              <w14:schemeClr w14:val="tx1"/>
            </w14:solidFill>
          </w14:textFill>
        </w:rPr>
      </w:pPr>
      <w:r>
        <w:rPr>
          <w:rFonts w:hint="eastAsia" w:hAnsi="宋体"/>
          <w:color w:val="000000" w:themeColor="text1"/>
          <w:sz w:val="24"/>
          <w:szCs w:val="24"/>
          <w:lang w:val="zh-CN"/>
          <w14:textFill>
            <w14:solidFill>
              <w14:schemeClr w14:val="tx1"/>
            </w14:solidFill>
          </w14:textFill>
        </w:rPr>
        <w:t>（1）供应商已标价工程量清单出现磋商文件“供应商须知附表”中第5项规定情形之一的，应按照无效响应文件处理；</w:t>
      </w:r>
    </w:p>
    <w:p>
      <w:pPr>
        <w:pStyle w:val="23"/>
        <w:snapToGrid w:val="0"/>
        <w:spacing w:line="360" w:lineRule="auto"/>
        <w:ind w:firstLine="480" w:firstLineChars="200"/>
        <w:rPr>
          <w:rFonts w:hAnsi="宋体"/>
          <w:color w:val="000000" w:themeColor="text1"/>
          <w:sz w:val="24"/>
          <w:szCs w:val="24"/>
          <w:lang w:val="zh-CN"/>
          <w14:textFill>
            <w14:solidFill>
              <w14:schemeClr w14:val="tx1"/>
            </w14:solidFill>
          </w14:textFill>
        </w:rPr>
      </w:pPr>
      <w:r>
        <w:rPr>
          <w:rFonts w:hint="eastAsia" w:hAnsi="宋体"/>
          <w:color w:val="000000" w:themeColor="text1"/>
          <w:sz w:val="24"/>
          <w:szCs w:val="24"/>
          <w:lang w:val="zh-CN"/>
          <w14:textFill>
            <w14:solidFill>
              <w14:schemeClr w14:val="tx1"/>
            </w14:solidFill>
          </w14:textFill>
        </w:rPr>
        <w:t>（2）磋商小组对供应商已标价工程量清单进行算术性复核，如果出现下列不一致的，按以下原则进行修正：</w:t>
      </w:r>
    </w:p>
    <w:p>
      <w:pPr>
        <w:pStyle w:val="23"/>
        <w:snapToGrid w:val="0"/>
        <w:spacing w:line="360" w:lineRule="auto"/>
        <w:ind w:firstLine="480" w:firstLineChars="200"/>
        <w:rPr>
          <w:rFonts w:hAnsi="宋体"/>
          <w:color w:val="000000" w:themeColor="text1"/>
          <w:sz w:val="24"/>
          <w:szCs w:val="24"/>
          <w:lang w:val="zh-CN"/>
          <w14:textFill>
            <w14:solidFill>
              <w14:schemeClr w14:val="tx1"/>
            </w14:solidFill>
          </w14:textFill>
        </w:rPr>
      </w:pPr>
      <w:r>
        <w:rPr>
          <w:rFonts w:hint="eastAsia" w:hAnsi="宋体"/>
          <w:color w:val="000000" w:themeColor="text1"/>
          <w:sz w:val="24"/>
          <w:szCs w:val="24"/>
          <w:lang w:val="zh-CN"/>
          <w14:textFill>
            <w14:solidFill>
              <w14:schemeClr w14:val="tx1"/>
            </w14:solidFill>
          </w14:textFill>
        </w:rPr>
        <w:t>总价金额与依据单价（或费率）计算出的结果不一致的，以单价（或费率）为准修正总价，但单价（或费率）小数点有明显错误的除外（包括但不限于工程量清单、单位工程汇总表、单项工程汇总表、投标报价汇总表）。</w:t>
      </w:r>
    </w:p>
    <w:p>
      <w:pPr>
        <w:pStyle w:val="23"/>
        <w:snapToGrid w:val="0"/>
        <w:spacing w:line="360" w:lineRule="auto"/>
        <w:ind w:firstLine="480" w:firstLineChars="200"/>
        <w:rPr>
          <w:rFonts w:hAnsi="宋体"/>
          <w:color w:val="000000" w:themeColor="text1"/>
          <w:sz w:val="24"/>
          <w:szCs w:val="24"/>
          <w:lang w:val="zh-CN"/>
          <w14:textFill>
            <w14:solidFill>
              <w14:schemeClr w14:val="tx1"/>
            </w14:solidFill>
          </w14:textFill>
        </w:rPr>
      </w:pPr>
      <w:r>
        <w:rPr>
          <w:rFonts w:hint="eastAsia" w:hAnsi="宋体"/>
          <w:color w:val="000000" w:themeColor="text1"/>
          <w:sz w:val="24"/>
          <w:szCs w:val="24"/>
          <w:lang w:val="zh-CN"/>
          <w14:textFill>
            <w14:solidFill>
              <w14:schemeClr w14:val="tx1"/>
            </w14:solidFill>
          </w14:textFill>
        </w:rPr>
        <w:t>修正后的报价经供应商确认后产生约束力，供应商不确认的，其响应文件作为无效处理。供应商确认采取书面且加盖单位公章或者供应商授权代表签字的方式。</w:t>
      </w:r>
    </w:p>
    <w:p>
      <w:pPr>
        <w:pStyle w:val="23"/>
        <w:snapToGrid w:val="0"/>
        <w:spacing w:line="360" w:lineRule="auto"/>
        <w:ind w:firstLine="480" w:firstLineChars="200"/>
        <w:rPr>
          <w:rFonts w:hAnsi="宋体"/>
          <w:color w:val="000000" w:themeColor="text1"/>
          <w:sz w:val="24"/>
          <w:szCs w:val="24"/>
          <w:lang w:val="zh-CN"/>
          <w14:textFill>
            <w14:solidFill>
              <w14:schemeClr w14:val="tx1"/>
            </w14:solidFill>
          </w14:textFill>
        </w:rPr>
      </w:pPr>
      <w:r>
        <w:rPr>
          <w:rFonts w:hint="eastAsia" w:hAnsi="宋体"/>
          <w:color w:val="000000" w:themeColor="text1"/>
          <w:sz w:val="24"/>
          <w:szCs w:val="24"/>
          <w:lang w:val="zh-CN"/>
          <w14:textFill>
            <w14:solidFill>
              <w14:schemeClr w14:val="tx1"/>
            </w14:solidFill>
          </w14:textFill>
        </w:rPr>
        <w:t>不得未经澄清、说明或者更正，直接将供应商响应文件作为无效处理。</w:t>
      </w:r>
    </w:p>
    <w:p>
      <w:pPr>
        <w:pStyle w:val="23"/>
        <w:snapToGrid w:val="0"/>
        <w:spacing w:line="360" w:lineRule="auto"/>
        <w:ind w:firstLine="480" w:firstLineChars="200"/>
        <w:rPr>
          <w:rFonts w:hAnsi="宋体"/>
          <w:color w:val="000000" w:themeColor="text1"/>
          <w:sz w:val="24"/>
          <w:szCs w:val="24"/>
          <w:lang w:val="zh-CN"/>
          <w14:textFill>
            <w14:solidFill>
              <w14:schemeClr w14:val="tx1"/>
            </w14:solidFill>
          </w14:textFill>
        </w:rPr>
      </w:pPr>
      <w:r>
        <w:rPr>
          <w:rFonts w:hint="eastAsia" w:hAnsi="宋体"/>
          <w:color w:val="000000" w:themeColor="text1"/>
          <w:sz w:val="24"/>
          <w:szCs w:val="24"/>
          <w:lang w:val="zh-CN"/>
          <w14:textFill>
            <w14:solidFill>
              <w14:schemeClr w14:val="tx1"/>
            </w14:solidFill>
          </w14:textFill>
        </w:rPr>
        <w:t>（3）磋商小组对供应商已标价工程量清单的项目单价进行评审，对明显不合理的单价（如明显偏高或偏低）项目,应在评审报告中记录，提醒采购人在签订合同时注意，并在合同履行过程中加强风险防范。</w:t>
      </w:r>
    </w:p>
    <w:p>
      <w:pPr>
        <w:spacing w:line="360" w:lineRule="auto"/>
        <w:ind w:firstLine="480" w:firstLineChars="200"/>
        <w:rPr>
          <w:rFonts w:hint="eastAsia"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2.3.2</w:t>
      </w:r>
      <w:r>
        <w:rPr>
          <w:rFonts w:hint="eastAsia" w:ascii="宋体" w:hAnsi="宋体" w:cs="宋体"/>
          <w:color w:val="000000" w:themeColor="text1"/>
          <w:sz w:val="24"/>
          <w:szCs w:val="24"/>
          <w:lang w:eastAsia="zh-CN"/>
          <w14:textFill>
            <w14:solidFill>
              <w14:schemeClr w14:val="tx1"/>
            </w14:solidFill>
          </w14:textFill>
        </w:rPr>
        <w:t>（</w:t>
      </w:r>
      <w:r>
        <w:rPr>
          <w:rFonts w:hint="eastAsia" w:ascii="宋体" w:hAnsi="宋体" w:cs="宋体"/>
          <w:color w:val="000000" w:themeColor="text1"/>
          <w:sz w:val="24"/>
          <w:szCs w:val="24"/>
          <w:lang w:val="en-US" w:eastAsia="zh-CN"/>
          <w14:textFill>
            <w14:solidFill>
              <w14:schemeClr w14:val="tx1"/>
            </w14:solidFill>
          </w14:textFill>
        </w:rPr>
        <w:t>1</w:t>
      </w:r>
      <w:r>
        <w:rPr>
          <w:rFonts w:hint="eastAsia" w:ascii="宋体" w:hAnsi="宋体" w:cs="宋体"/>
          <w:color w:val="000000" w:themeColor="text1"/>
          <w:sz w:val="24"/>
          <w:szCs w:val="24"/>
          <w:lang w:eastAsia="zh-CN"/>
          <w14:textFill>
            <w14:solidFill>
              <w14:schemeClr w14:val="tx1"/>
            </w14:solidFill>
          </w14:textFill>
        </w:rPr>
        <w:t>）</w:t>
      </w:r>
      <w:r>
        <w:rPr>
          <w:rFonts w:hint="eastAsia" w:ascii="宋体" w:hAnsi="宋体" w:cs="宋体"/>
          <w:color w:val="000000" w:themeColor="text1"/>
          <w:sz w:val="24"/>
          <w:szCs w:val="24"/>
          <w14:textFill>
            <w14:solidFill>
              <w14:schemeClr w14:val="tx1"/>
            </w14:solidFill>
          </w14:textFill>
        </w:rPr>
        <w:t>已标价工程量清单评审结束后，磋商小组应当要求所有实质性响应的供应商在规定时间内提交最后报价或者多轮报价后再最后报价，提交最后报价的供应商不得少于3家。两轮（首次响应文件中的报价为第一轮）以上报价的，供应商在未提高响应文件中承诺的产品及其服务质量的情况下，其最后报价不得高于对该项目之前的报价，否则，磋商小组应当对其响应文件按无效处理，不允许进入综合评分，并书面告知供应商，说明理由。磋商小组认为供应商最后报价明显低于成本价，在磋商小组发出质询函后供应商未能提供合理的成本分析和价格构成的或对质函询的解释未被磋商小组采信的，应按照无效响应文件处理。</w:t>
      </w:r>
    </w:p>
    <w:p>
      <w:pPr>
        <w:pStyle w:val="2"/>
        <w:ind w:firstLine="480" w:firstLineChars="200"/>
        <w:rPr>
          <w:rFonts w:hint="eastAsia" w:ascii="宋体" w:hAnsi="宋体" w:eastAsia="宋体" w:cs="宋体"/>
          <w:color w:val="FF0000"/>
          <w:kern w:val="2"/>
          <w:sz w:val="24"/>
          <w:szCs w:val="24"/>
          <w:lang w:val="en-US" w:eastAsia="zh-CN" w:bidi="ar-SA"/>
        </w:rPr>
      </w:pPr>
      <w:r>
        <w:rPr>
          <w:rFonts w:hint="eastAsia" w:ascii="宋体" w:hAnsi="宋体" w:eastAsia="宋体" w:cs="宋体"/>
          <w:color w:val="FF0000"/>
          <w:kern w:val="2"/>
          <w:sz w:val="24"/>
          <w:szCs w:val="24"/>
          <w:lang w:val="en-US" w:eastAsia="zh-CN" w:bidi="ar-SA"/>
        </w:rPr>
        <w:t>（2）磋商小组要求所有实质性响应的供应商在规定时间内提交最后报价或者多轮报价后再最后报价的，规定时间均为20分钟，未在规定时间内提交报价的，磋商小组将默认以上一轮的报价为其最终报价。</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2.3.3参与报价的供应商按磋商小组要求进行报价。最后报价超过竞争性磋商文件规定的政府采购预算（或最高限价）或者相关报价不符合采购文件其他的报价规定的，应按照无效响应文件处理。供应商现场报价大写金额和小写金额不一致的，以大写金额为准，但大写金额文字存在错误的，应当先对大写金额的文字错误进行澄清、说明或者更正，再行修正。修正后的报价经供应商确认后产生约束力，供应商不确认的，其响应文件作为无效处理。</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2.3.4供应商报价应当由法定代表人/主要负责人/本人或其授权代表签字确认（注：供应商为法人的，应当由其法定代表人或者授权代表签字确认；供应商为其他组织的，应当由其主要负责人或者授权代表签字确认；供应商为自然人的，应当由其本人或者授权代表签字确认）或加盖公章。报价是供应商响应文件的有效组成部分。</w:t>
      </w:r>
    </w:p>
    <w:p>
      <w:pPr>
        <w:spacing w:line="360" w:lineRule="auto"/>
        <w:ind w:firstLine="480" w:firstLineChars="200"/>
      </w:pPr>
      <w:r>
        <w:rPr>
          <w:rFonts w:hint="eastAsia" w:ascii="宋体" w:hAnsi="宋体" w:cs="宋体"/>
          <w:color w:val="000000" w:themeColor="text1"/>
          <w:sz w:val="24"/>
          <w:szCs w:val="24"/>
          <w14:textFill>
            <w14:solidFill>
              <w14:schemeClr w14:val="tx1"/>
            </w14:solidFill>
          </w14:textFill>
        </w:rPr>
        <w:t>2.3.5采购人在磋商文件中直接确定了采购项目采购价格的，供应商的报价应当按照磋商文件中确定了的采购项目采购价格进行报价，不得增加或者减少，否则其报价无效，其响应文件将作为无效处理。</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2.4比较与评价。由磋商小组采用综合评分法对提交最后报价的供应商的响应文件和最后报价进行综合评分，具体要求详见本章综合评分部分。</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2.5推荐成交候选供应商。磋商小组应当根据综合评分情况，按照评审得分由高到低顺序推荐3家以上成交候选供应商，并编写磋商报告。评审得分相同的，按照最后报价由低到高的顺序推荐。评审得分且最后报价相同的，按照技术指标优劣（得分高低）顺序推荐。评审得分且最后报价且技术指标得分均相同的，成交候选供应商并列，由采购人随机抽签确定成交供应商。</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2.6磋商小组复核。磋商小组评分汇总结束后，磋商小组应当进行评审复核，对拟推荐为成交候选供应商的、报价最低的、供应商资格审查未通过的、供应商响应文件作无效处理的重点复核。</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2.7采购组织单位现场复核评审结果。</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2.7.1评审结果汇总完成后，磋商小组拟出具磋商评审报告前，采购代理机构应当组织2名以上的本单位工作人员，在采购现场监督人员的监督之下，依据有关的法律制度和磋商文件对评审结果进行复核，出具复核报告，存在下列情形之一的，采购代理机构应当根据情况书面建议磋商小组现场修改评审结果：</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（1）分值汇总计算错误的；</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（2）分项评分超出评分标准范围的；</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（3）客观评分不一致的。</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存在本条上述情形的，由磋商小组自主决定是否采纳采购代理机构的书面建议，并承担独立评审责任。磋商小组采纳采购代理机构书面建议的，应当按照规定现场修改评审结果或者重新评审，并在磋商报告中详细记载有关事宜；不采纳采购代理机构书面建议的，应当书面说明理由。采购代理机构书面建议未被磋商小组采纳的，应当接照规定程序要求继续组织实施采购活动，不得擅自中止采购活动。采购代理机构认为磋商小组评审结果不合法的，应当书面报告采购项目同级财政部门。</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采购代理机构复核过程中，磋商小组成员不得离开评审现场。</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2.7.2有下列情形之一的，不得现场修改评审结果：</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（1）磋商小组已经出具磋商报告并且离开评审现场的；</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（2）采购代理机构现场复核时，复核工作人员数量不足的；</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（3）采购代理机构现场复核时，没有采购监督人员现场监督的；</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（4）采购代理机构现场复核内容超出规定范围的；</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（5）采购代理机构未提供书面建议的。</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2.8编写磋商报告。磋商小组推荐成交候选供应商后，应向采购代理机构出具磋商报告。磋商报告应当包括以下主要内容：</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（1）邀请供应商参加采购活动的具体方式和相关情况；</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（2）响应文件开启日期和地点；</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（3）获取磋商文件的供应商名单和磋商小组成员名单；</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（4）评审情况记录和说明，包括对供应商的资格审查情况、供应商响应文件审查情况、磋商情况、报价情况等；</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（5）提出的成交候选供应商的排序名单及理由。</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磋商报告应当由磋商小组全体人员签字认可。磋商小组成员对磋商报告有异议的，磋商小组按照少数服从多数的原则推荐成交候选供应商，采购程序继续进行。对磋商报告有异议的磋商小组成员，应当在报告上签署不同意见并说明理由，由磋商小组书面记录相关情况。磋商小组成员拒绝在报告上签字又不书面说明其不同意见和理由的，视为同意磋商报告。</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2.9磋商异议处理规则。在磋商过程中，磋商小组成员对响应文件是否符合磋商文件规定存在争议的，应当以少数服从多数的原则处理，但不违背磋商文件规定。有不同意见的磋商小组成员认为认定过程和结果不符合法律法规或者磋商文件规定的，应当在磋商报告中予以反映。</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2.10供应商澄清、说明</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2.10.1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2.10.2磋商小组要求供应商澄清、说明或者更正响应文件应当以书面形式作出。供应商的澄清、说明或者更正应当由法定代表人/主要负责人/本人或其授权代表签字（注：供应商为法人的，应当由其法定代表人或者授权代表签字确认；供应商为其他组织的，应当由其主要负责人或者授权代表签字确认；供应商为自然人的，应当由其本人或者授权代表签字确认）或者加盖公章。</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2.12终止磋商采购活动。</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出现下列情形之一的，采购人或者采购代理机构应当终止竞争性磋商采购活动，发布项目终止公告并说明原因，重新开展采购活动：</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（1）因情况变化，不再符合规定的竞争性磋商采购方式适用情形的；</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（2）出现影响采购公正的违法、违规行为的；</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（3）在采购过程中符合要求的供应商或者最后报价未超过采购预算的供应商不足3家的。</w:t>
      </w:r>
    </w:p>
    <w:p>
      <w:pPr>
        <w:spacing w:line="360" w:lineRule="auto"/>
        <w:ind w:firstLine="480" w:firstLineChars="200"/>
        <w:rPr>
          <w:rFonts w:ascii="仿宋" w:hAnsi="仿宋" w:eastAsia="仿宋"/>
          <w:sz w:val="24"/>
          <w:szCs w:val="24"/>
        </w:rPr>
      </w:pPr>
      <w:r>
        <w:rPr>
          <w:rFonts w:hint="eastAsia" w:ascii="宋体" w:hAnsi="宋体" w:cs="宋体"/>
          <w:color w:val="000000" w:themeColor="text1"/>
          <w:sz w:val="24"/>
          <w:szCs w:val="24"/>
          <w14:textFill>
            <w14:solidFill>
              <w14:schemeClr w14:val="tx1"/>
            </w14:solidFill>
          </w14:textFill>
        </w:rPr>
        <w:t>2.13磋商活动结束后，发现资格预审过程中资格性审查认定错误的，磋商结果无效，重新开展采购活动，由此给供应商造成损失的，由采购人、采购代理机构承担赔偿责任。但是，经过所有参加采购活动的供应商书面认可，同意重新实行资格性审查的，可以直接重新实行资格性审查，并重新按照规定要求进行磋商评审。</w:t>
      </w:r>
    </w:p>
    <w:p>
      <w:pPr>
        <w:spacing w:line="360" w:lineRule="auto"/>
        <w:ind w:firstLine="482" w:firstLineChars="200"/>
        <w:rPr>
          <w:rFonts w:ascii="仿宋" w:hAnsi="仿宋" w:eastAsia="仿宋"/>
          <w:b/>
          <w:bCs/>
          <w:sz w:val="24"/>
          <w:szCs w:val="24"/>
        </w:rPr>
      </w:pPr>
      <w:r>
        <w:rPr>
          <w:rFonts w:ascii="仿宋" w:hAnsi="仿宋" w:eastAsia="仿宋" w:cs="仿宋"/>
          <w:b/>
          <w:bCs/>
          <w:sz w:val="24"/>
          <w:szCs w:val="24"/>
        </w:rPr>
        <w:t>3.</w:t>
      </w:r>
      <w:r>
        <w:rPr>
          <w:rFonts w:hint="eastAsia" w:ascii="仿宋" w:hAnsi="仿宋" w:eastAsia="仿宋" w:cs="仿宋"/>
          <w:b/>
          <w:bCs/>
          <w:sz w:val="24"/>
          <w:szCs w:val="24"/>
        </w:rPr>
        <w:t>综合评分</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3.1 本次综合评分的因素详见综合评分明细表。</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3.2 除价格因素外，磋商小组成员应当根据自身专业情况独立对每个有效供应商的响应文件进行评价、打分。技术、与技术有关的服务及其他技术类评分因素由抽取的技术方面磋商小组成员独立评分。财务状况及其他经济类评分因素由抽取的经济方面磋商小组成员独立评分。政府采购政策功能、政府采购合同主要条款及其他政策合同类的评分因素由抽取的法律方面磋商小组成员独立评分。采购人代表原则上对技术、与技术有关的服务及其他技术类评分因素独立评分。价格及其他不能明确区分的评分因素由磋商小组成员共同评分。</w:t>
      </w:r>
    </w:p>
    <w:p>
      <w:pPr>
        <w:pStyle w:val="19"/>
        <w:tabs>
          <w:tab w:val="left" w:pos="600"/>
        </w:tabs>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3.3综合评分明细表</w:t>
      </w:r>
    </w:p>
    <w:p>
      <w:pPr>
        <w:pStyle w:val="19"/>
        <w:tabs>
          <w:tab w:val="left" w:pos="600"/>
        </w:tabs>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3.3.1综合评分明细表的制定以科学合理、降低评委会自由裁量权为原则。</w:t>
      </w:r>
    </w:p>
    <w:p>
      <w:pPr>
        <w:pStyle w:val="19"/>
        <w:tabs>
          <w:tab w:val="left" w:pos="600"/>
        </w:tabs>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3.3.2 综合评分明细表中的报价应先按供应商须知附表中的相关要求进行价格调整，再进行报价评分。</w:t>
      </w:r>
    </w:p>
    <w:p>
      <w:pPr>
        <w:pStyle w:val="5"/>
        <w:keepNext w:val="0"/>
        <w:keepLines w:val="0"/>
        <w:spacing w:before="0" w:after="0" w:line="360" w:lineRule="auto"/>
        <w:ind w:firstLine="470" w:firstLineChars="196"/>
        <w:rPr>
          <w:rFonts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3.3.3综合评分明细表</w:t>
      </w:r>
    </w:p>
    <w:p>
      <w:pPr>
        <w:rPr>
          <w:rFonts w:hint="eastAsia"/>
        </w:rPr>
      </w:pPr>
    </w:p>
    <w:tbl>
      <w:tblPr>
        <w:tblStyle w:val="42"/>
        <w:tblW w:w="1003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8" w:type="dxa"/>
          <w:left w:w="108" w:type="dxa"/>
          <w:bottom w:w="108" w:type="dxa"/>
          <w:right w:w="108" w:type="dxa"/>
        </w:tblCellMar>
      </w:tblPr>
      <w:tblGrid>
        <w:gridCol w:w="826"/>
        <w:gridCol w:w="1365"/>
        <w:gridCol w:w="840"/>
        <w:gridCol w:w="5594"/>
        <w:gridCol w:w="14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8" w:type="dxa"/>
            <w:left w:w="108" w:type="dxa"/>
            <w:bottom w:w="108" w:type="dxa"/>
            <w:right w:w="108" w:type="dxa"/>
          </w:tblCellMar>
        </w:tblPrEx>
        <w:trPr>
          <w:trHeight w:val="184" w:hRule="atLeast"/>
          <w:jc w:val="center"/>
        </w:trPr>
        <w:tc>
          <w:tcPr>
            <w:tcW w:w="826" w:type="dxa"/>
            <w:noWrap w:val="0"/>
            <w:vAlign w:val="center"/>
          </w:tcPr>
          <w:p>
            <w:pPr>
              <w:spacing w:line="260" w:lineRule="exact"/>
              <w:ind w:firstLine="28"/>
              <w:jc w:val="center"/>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t>序号</w:t>
            </w:r>
          </w:p>
        </w:tc>
        <w:tc>
          <w:tcPr>
            <w:tcW w:w="1365" w:type="dxa"/>
            <w:noWrap w:val="0"/>
            <w:vAlign w:val="center"/>
          </w:tcPr>
          <w:p>
            <w:pPr>
              <w:spacing w:line="260" w:lineRule="exact"/>
              <w:ind w:firstLine="28"/>
              <w:jc w:val="center"/>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t>评分因素</w:t>
            </w:r>
          </w:p>
          <w:p>
            <w:pPr>
              <w:spacing w:line="260" w:lineRule="exact"/>
              <w:ind w:firstLine="28"/>
              <w:jc w:val="center"/>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t>及权重</w:t>
            </w:r>
          </w:p>
        </w:tc>
        <w:tc>
          <w:tcPr>
            <w:tcW w:w="840" w:type="dxa"/>
            <w:noWrap w:val="0"/>
            <w:vAlign w:val="center"/>
          </w:tcPr>
          <w:p>
            <w:pPr>
              <w:spacing w:line="260" w:lineRule="exact"/>
              <w:ind w:firstLine="28"/>
              <w:jc w:val="center"/>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t>分值</w:t>
            </w:r>
          </w:p>
        </w:tc>
        <w:tc>
          <w:tcPr>
            <w:tcW w:w="5594" w:type="dxa"/>
            <w:noWrap w:val="0"/>
            <w:vAlign w:val="center"/>
          </w:tcPr>
          <w:p>
            <w:pPr>
              <w:spacing w:line="260" w:lineRule="exact"/>
              <w:ind w:firstLine="28"/>
              <w:jc w:val="center"/>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t>评分标准</w:t>
            </w:r>
          </w:p>
        </w:tc>
        <w:tc>
          <w:tcPr>
            <w:tcW w:w="1412" w:type="dxa"/>
            <w:noWrap w:val="0"/>
            <w:vAlign w:val="center"/>
          </w:tcPr>
          <w:p>
            <w:pPr>
              <w:spacing w:line="260" w:lineRule="exact"/>
              <w:jc w:val="center"/>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t>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8" w:type="dxa"/>
            <w:left w:w="108" w:type="dxa"/>
            <w:bottom w:w="108" w:type="dxa"/>
            <w:right w:w="108" w:type="dxa"/>
          </w:tblCellMar>
        </w:tblPrEx>
        <w:trPr>
          <w:trHeight w:val="1097" w:hRule="atLeast"/>
          <w:jc w:val="center"/>
        </w:trPr>
        <w:tc>
          <w:tcPr>
            <w:tcW w:w="826" w:type="dxa"/>
            <w:noWrap w:val="0"/>
            <w:vAlign w:val="center"/>
          </w:tcPr>
          <w:p>
            <w:pPr>
              <w:spacing w:line="260" w:lineRule="exact"/>
              <w:ind w:firstLine="28"/>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1</w:t>
            </w:r>
          </w:p>
        </w:tc>
        <w:tc>
          <w:tcPr>
            <w:tcW w:w="1365" w:type="dxa"/>
            <w:noWrap w:val="0"/>
            <w:vAlign w:val="center"/>
          </w:tcPr>
          <w:p>
            <w:pPr>
              <w:spacing w:line="260" w:lineRule="exact"/>
              <w:ind w:firstLine="28"/>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报价</w:t>
            </w:r>
            <w:r>
              <w:rPr>
                <w:rFonts w:hint="eastAsia" w:ascii="宋体" w:hAnsi="宋体" w:cs="宋体"/>
                <w:color w:val="auto"/>
                <w:sz w:val="24"/>
                <w:szCs w:val="24"/>
                <w:highlight w:val="none"/>
                <w:lang w:val="en-US" w:eastAsia="zh-CN"/>
              </w:rPr>
              <w:t>50</w:t>
            </w:r>
            <w:r>
              <w:rPr>
                <w:rFonts w:hint="eastAsia" w:ascii="宋体" w:hAnsi="宋体" w:eastAsia="宋体" w:cs="宋体"/>
                <w:color w:val="auto"/>
                <w:sz w:val="24"/>
                <w:szCs w:val="24"/>
                <w:highlight w:val="none"/>
              </w:rPr>
              <w:t>%</w:t>
            </w:r>
          </w:p>
        </w:tc>
        <w:tc>
          <w:tcPr>
            <w:tcW w:w="840" w:type="dxa"/>
            <w:noWrap w:val="0"/>
            <w:vAlign w:val="center"/>
          </w:tcPr>
          <w:p>
            <w:pPr>
              <w:spacing w:line="260" w:lineRule="exact"/>
              <w:ind w:firstLine="28"/>
              <w:jc w:val="center"/>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5</w:t>
            </w:r>
            <w:r>
              <w:rPr>
                <w:rFonts w:hint="eastAsia" w:ascii="宋体" w:hAnsi="宋体" w:eastAsia="宋体" w:cs="宋体"/>
                <w:color w:val="auto"/>
                <w:sz w:val="24"/>
                <w:szCs w:val="24"/>
                <w:highlight w:val="none"/>
                <w:lang w:val="en-US" w:eastAsia="zh-CN"/>
              </w:rPr>
              <w:t>0</w:t>
            </w:r>
            <w:r>
              <w:rPr>
                <w:rFonts w:hint="eastAsia" w:ascii="宋体" w:hAnsi="宋体" w:eastAsia="宋体" w:cs="宋体"/>
                <w:color w:val="auto"/>
                <w:sz w:val="24"/>
                <w:szCs w:val="24"/>
                <w:highlight w:val="none"/>
              </w:rPr>
              <w:t>分</w:t>
            </w:r>
          </w:p>
        </w:tc>
        <w:tc>
          <w:tcPr>
            <w:tcW w:w="5594" w:type="dxa"/>
            <w:noWrap w:val="0"/>
            <w:vAlign w:val="top"/>
          </w:tcPr>
          <w:p>
            <w:pPr>
              <w:bidi w:val="0"/>
              <w:rPr>
                <w:rFonts w:hint="eastAsia" w:ascii="宋体" w:hAnsi="宋体" w:eastAsia="宋体" w:cs="宋体"/>
                <w:i w:val="0"/>
                <w:caps w:val="0"/>
                <w:color w:val="auto"/>
                <w:spacing w:val="0"/>
                <w:sz w:val="24"/>
                <w:szCs w:val="24"/>
                <w:shd w:val="clear" w:fill="FFFFFF"/>
              </w:rPr>
            </w:pPr>
            <w:r>
              <w:rPr>
                <w:rFonts w:hint="eastAsia" w:ascii="宋体" w:hAnsi="宋体" w:eastAsia="宋体" w:cs="宋体"/>
                <w:i w:val="0"/>
                <w:caps w:val="0"/>
                <w:color w:val="auto"/>
                <w:spacing w:val="0"/>
                <w:sz w:val="24"/>
                <w:szCs w:val="24"/>
                <w:shd w:val="clear" w:fill="FFFFFF"/>
              </w:rPr>
              <w:t>满足磋商文件要求且最后报价最低的供应商的价格为磋商基准价，其价格分为满分。其他供应商的价格分统一按照下列公式计算：</w:t>
            </w:r>
          </w:p>
          <w:p>
            <w:pPr>
              <w:bidi w:val="0"/>
              <w:rPr>
                <w:rFonts w:hint="default" w:ascii="宋体" w:hAnsi="宋体" w:eastAsia="宋体" w:cs="宋体"/>
                <w:i w:val="0"/>
                <w:caps w:val="0"/>
                <w:color w:val="auto"/>
                <w:spacing w:val="0"/>
                <w:sz w:val="24"/>
                <w:szCs w:val="24"/>
                <w:shd w:val="clear" w:fill="FFFFFF"/>
                <w:lang w:val="en-US" w:eastAsia="zh-CN"/>
              </w:rPr>
            </w:pPr>
            <w:r>
              <w:rPr>
                <w:rFonts w:hint="eastAsia" w:ascii="宋体" w:hAnsi="宋体" w:eastAsia="宋体" w:cs="宋体"/>
                <w:i w:val="0"/>
                <w:caps w:val="0"/>
                <w:color w:val="auto"/>
                <w:spacing w:val="0"/>
                <w:sz w:val="24"/>
                <w:szCs w:val="24"/>
                <w:shd w:val="clear" w:fill="FFFFFF"/>
              </w:rPr>
              <w:t>磋商报价得分=（磋商基准价/最后磋商报价）×</w:t>
            </w:r>
            <w:r>
              <w:rPr>
                <w:rFonts w:hint="eastAsia" w:ascii="宋体" w:hAnsi="宋体" w:eastAsia="宋体" w:cs="宋体"/>
                <w:i w:val="0"/>
                <w:caps w:val="0"/>
                <w:color w:val="auto"/>
                <w:spacing w:val="0"/>
                <w:sz w:val="24"/>
                <w:szCs w:val="24"/>
                <w:shd w:val="clear" w:fill="FFFFFF"/>
                <w:lang w:val="en-US" w:eastAsia="zh-CN"/>
              </w:rPr>
              <w:t>50%</w:t>
            </w:r>
          </w:p>
          <w:p>
            <w:pPr>
              <w:bidi w:val="0"/>
              <w:rPr>
                <w:rFonts w:hint="eastAsia" w:ascii="宋体" w:hAnsi="宋体" w:eastAsia="宋体" w:cs="宋体"/>
                <w:color w:val="auto"/>
                <w:sz w:val="24"/>
                <w:szCs w:val="24"/>
                <w:highlight w:val="none"/>
              </w:rPr>
            </w:pPr>
            <w:r>
              <w:rPr>
                <w:rFonts w:hint="eastAsia" w:ascii="宋体" w:hAnsi="宋体" w:eastAsia="宋体" w:cs="宋体"/>
                <w:i w:val="0"/>
                <w:caps w:val="0"/>
                <w:color w:val="auto"/>
                <w:spacing w:val="0"/>
                <w:sz w:val="24"/>
                <w:szCs w:val="24"/>
                <w:shd w:val="clear" w:fill="FFFFFF"/>
              </w:rPr>
              <w:t>注：根据国家和四川省的有关规定，对小、微型、监狱企业或残疾人福利性单位承担工程的价格给予10%的价格扣除，用扣除后的价格参与评分；对失信行为供应商给予10%/次的报价累加加成，用加成后的价格参与评分，若加成后的报价超过采购预算/最高限价的，其响应文件按照无效处理。</w:t>
            </w:r>
          </w:p>
        </w:tc>
        <w:tc>
          <w:tcPr>
            <w:tcW w:w="1412" w:type="dxa"/>
            <w:noWrap w:val="0"/>
            <w:vAlign w:val="center"/>
          </w:tcPr>
          <w:p>
            <w:pPr>
              <w:spacing w:line="260" w:lineRule="exact"/>
              <w:ind w:left="-38"/>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共同评分</w:t>
            </w:r>
          </w:p>
          <w:p>
            <w:pPr>
              <w:spacing w:line="260" w:lineRule="exact"/>
              <w:ind w:left="-38"/>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8" w:type="dxa"/>
            <w:left w:w="108" w:type="dxa"/>
            <w:bottom w:w="108" w:type="dxa"/>
            <w:right w:w="108" w:type="dxa"/>
          </w:tblCellMar>
        </w:tblPrEx>
        <w:trPr>
          <w:trHeight w:val="3389" w:hRule="atLeast"/>
          <w:jc w:val="center"/>
        </w:trPr>
        <w:tc>
          <w:tcPr>
            <w:tcW w:w="826" w:type="dxa"/>
            <w:noWrap w:val="0"/>
            <w:vAlign w:val="center"/>
          </w:tcPr>
          <w:p>
            <w:pPr>
              <w:spacing w:line="26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p>
        </w:tc>
        <w:tc>
          <w:tcPr>
            <w:tcW w:w="1365" w:type="dxa"/>
            <w:noWrap w:val="0"/>
            <w:vAlign w:val="center"/>
          </w:tcPr>
          <w:p>
            <w:pPr>
              <w:spacing w:line="26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施工组织设计方案</w:t>
            </w:r>
            <w:r>
              <w:rPr>
                <w:rFonts w:hint="eastAsia" w:ascii="宋体" w:hAnsi="宋体" w:cs="宋体"/>
                <w:color w:val="auto"/>
                <w:sz w:val="24"/>
                <w:szCs w:val="24"/>
                <w:highlight w:val="none"/>
                <w:lang w:val="en-US" w:eastAsia="zh-CN"/>
              </w:rPr>
              <w:t>31.5</w:t>
            </w:r>
            <w:r>
              <w:rPr>
                <w:rFonts w:hint="eastAsia" w:ascii="宋体" w:hAnsi="宋体" w:eastAsia="宋体" w:cs="宋体"/>
                <w:color w:val="auto"/>
                <w:sz w:val="24"/>
                <w:szCs w:val="24"/>
                <w:highlight w:val="none"/>
              </w:rPr>
              <w:t>%</w:t>
            </w:r>
          </w:p>
        </w:tc>
        <w:tc>
          <w:tcPr>
            <w:tcW w:w="840" w:type="dxa"/>
            <w:noWrap w:val="0"/>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31.5</w:t>
            </w:r>
            <w:r>
              <w:rPr>
                <w:rFonts w:hint="eastAsia" w:ascii="宋体" w:hAnsi="宋体" w:eastAsia="宋体" w:cs="宋体"/>
                <w:color w:val="auto"/>
                <w:sz w:val="24"/>
                <w:szCs w:val="24"/>
                <w:highlight w:val="none"/>
                <w:lang w:val="en-US" w:eastAsia="zh-CN"/>
              </w:rPr>
              <w:t>分</w:t>
            </w:r>
          </w:p>
        </w:tc>
        <w:tc>
          <w:tcPr>
            <w:tcW w:w="5594" w:type="dxa"/>
            <w:noWrap w:val="0"/>
            <w:vAlign w:val="center"/>
          </w:tcPr>
          <w:p>
            <w:pPr>
              <w:bidi w:val="0"/>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i w:val="0"/>
                <w:caps w:val="0"/>
                <w:color w:val="auto"/>
                <w:spacing w:val="0"/>
                <w:sz w:val="24"/>
                <w:szCs w:val="24"/>
                <w:shd w:val="clear" w:fill="FFFFFF"/>
              </w:rPr>
              <w:t>供应商提供的施工组织设计方案包含进度计划、质量保证措施、安全保证措施、资源配置计划、环保文明措施、应急预案、施工工艺内容且响应磋商文件的得31.5分，每缺少一项内容或有一项内容错误（内容错误指：项目名称、实施地点、涉及的规范、标准与本项目要求不一致；进度计划超期）的，每缺少一项内容扣4.5分，每有一处错误扣0.9分，扣完为止。</w:t>
            </w:r>
          </w:p>
        </w:tc>
        <w:tc>
          <w:tcPr>
            <w:tcW w:w="1412" w:type="dxa"/>
            <w:noWrap w:val="0"/>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eastAsia="zh-CN"/>
              </w:rPr>
              <w:t>技术类</w:t>
            </w:r>
            <w:r>
              <w:rPr>
                <w:rFonts w:hint="eastAsia" w:ascii="宋体" w:hAnsi="宋体" w:eastAsia="宋体" w:cs="宋体"/>
                <w:color w:val="auto"/>
                <w:sz w:val="24"/>
                <w:szCs w:val="24"/>
                <w:highlight w:val="none"/>
              </w:rPr>
              <w:t>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8" w:type="dxa"/>
            <w:left w:w="108" w:type="dxa"/>
            <w:bottom w:w="108" w:type="dxa"/>
            <w:right w:w="108" w:type="dxa"/>
          </w:tblCellMar>
        </w:tblPrEx>
        <w:trPr>
          <w:trHeight w:val="827" w:hRule="atLeast"/>
          <w:jc w:val="center"/>
        </w:trPr>
        <w:tc>
          <w:tcPr>
            <w:tcW w:w="826" w:type="dxa"/>
            <w:noWrap w:val="0"/>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3</w:t>
            </w:r>
          </w:p>
        </w:tc>
        <w:tc>
          <w:tcPr>
            <w:tcW w:w="1365" w:type="dxa"/>
            <w:noWrap w:val="0"/>
            <w:vAlign w:val="center"/>
          </w:tcPr>
          <w:p>
            <w:pPr>
              <w:spacing w:line="360" w:lineRule="exact"/>
              <w:jc w:val="center"/>
              <w:rPr>
                <w:rFonts w:hint="eastAsia" w:ascii="宋体" w:hAnsi="宋体" w:cs="宋体"/>
                <w:color w:val="auto"/>
                <w:sz w:val="24"/>
              </w:rPr>
            </w:pPr>
            <w:r>
              <w:rPr>
                <w:rFonts w:hint="eastAsia" w:ascii="宋体" w:hAnsi="宋体" w:cs="宋体"/>
                <w:color w:val="auto"/>
                <w:sz w:val="24"/>
              </w:rPr>
              <w:t>业绩</w:t>
            </w:r>
          </w:p>
          <w:p>
            <w:pPr>
              <w:spacing w:line="360" w:lineRule="exact"/>
              <w:jc w:val="center"/>
              <w:rPr>
                <w:rFonts w:hint="default" w:ascii="宋体" w:hAnsi="宋体" w:cs="宋体"/>
                <w:color w:val="auto"/>
                <w:sz w:val="24"/>
                <w:lang w:val="en-US" w:eastAsia="zh-CN"/>
              </w:rPr>
            </w:pPr>
            <w:r>
              <w:rPr>
                <w:rFonts w:hint="eastAsia" w:ascii="宋体" w:hAnsi="宋体" w:cs="宋体"/>
                <w:color w:val="auto"/>
                <w:sz w:val="24"/>
                <w:lang w:val="en-US" w:eastAsia="zh-CN"/>
              </w:rPr>
              <w:t>10%</w:t>
            </w:r>
          </w:p>
        </w:tc>
        <w:tc>
          <w:tcPr>
            <w:tcW w:w="840" w:type="dxa"/>
            <w:noWrap w:val="0"/>
            <w:vAlign w:val="center"/>
          </w:tcPr>
          <w:p>
            <w:pPr>
              <w:spacing w:line="260" w:lineRule="exact"/>
              <w:jc w:val="center"/>
              <w:rPr>
                <w:rFonts w:hint="default"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10</w:t>
            </w:r>
            <w:r>
              <w:rPr>
                <w:rFonts w:hint="eastAsia" w:ascii="宋体" w:hAnsi="宋体" w:eastAsia="宋体" w:cs="宋体"/>
                <w:color w:val="auto"/>
                <w:sz w:val="24"/>
                <w:szCs w:val="24"/>
                <w:highlight w:val="none"/>
                <w:lang w:val="en-US" w:eastAsia="zh-CN"/>
              </w:rPr>
              <w:t>分</w:t>
            </w:r>
          </w:p>
        </w:tc>
        <w:tc>
          <w:tcPr>
            <w:tcW w:w="5594" w:type="dxa"/>
            <w:noWrap w:val="0"/>
            <w:vAlign w:val="center"/>
          </w:tcPr>
          <w:p>
            <w:pPr>
              <w:bidi w:val="0"/>
              <w:rPr>
                <w:rFonts w:hint="eastAsia"/>
                <w:color w:val="auto"/>
                <w:sz w:val="24"/>
                <w:szCs w:val="24"/>
                <w:lang w:val="en-US" w:eastAsia="zh-CN"/>
              </w:rPr>
            </w:pPr>
            <w:r>
              <w:rPr>
                <w:rFonts w:hint="eastAsia" w:ascii="宋体" w:hAnsi="宋体" w:eastAsia="宋体" w:cs="宋体"/>
                <w:i w:val="0"/>
                <w:caps w:val="0"/>
                <w:color w:val="auto"/>
                <w:spacing w:val="0"/>
                <w:sz w:val="24"/>
                <w:szCs w:val="24"/>
                <w:shd w:val="clear" w:fill="FFFFFF"/>
              </w:rPr>
              <w:t>供应商2018年1月1日（含1日）以来具有一个已完成类似项目业绩的得2分，在此基础上每增加1个加2分，最多得10分。（提供施工合同复印件和竣工验收报告复印件。）类似项目是指：地质灾害治理</w:t>
            </w:r>
            <w:r>
              <w:rPr>
                <w:rFonts w:hint="eastAsia" w:ascii="宋体" w:hAnsi="宋体" w:cs="宋体"/>
                <w:i w:val="0"/>
                <w:caps w:val="0"/>
                <w:color w:val="auto"/>
                <w:spacing w:val="0"/>
                <w:sz w:val="24"/>
                <w:szCs w:val="24"/>
                <w:shd w:val="clear" w:fill="FFFFFF"/>
                <w:lang w:val="en-US" w:eastAsia="zh-CN"/>
              </w:rPr>
              <w:t>类</w:t>
            </w:r>
            <w:r>
              <w:rPr>
                <w:rFonts w:hint="eastAsia" w:ascii="宋体" w:hAnsi="宋体" w:eastAsia="宋体" w:cs="宋体"/>
                <w:i w:val="0"/>
                <w:caps w:val="0"/>
                <w:color w:val="auto"/>
                <w:spacing w:val="0"/>
                <w:sz w:val="24"/>
                <w:szCs w:val="24"/>
                <w:shd w:val="clear" w:fill="FFFFFF"/>
              </w:rPr>
              <w:t>建设项目。</w:t>
            </w:r>
          </w:p>
        </w:tc>
        <w:tc>
          <w:tcPr>
            <w:tcW w:w="1412" w:type="dxa"/>
            <w:noWrap w:val="0"/>
            <w:vAlign w:val="center"/>
          </w:tcPr>
          <w:p>
            <w:pPr>
              <w:spacing w:line="260" w:lineRule="exact"/>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共同评分因素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8" w:type="dxa"/>
            <w:left w:w="108" w:type="dxa"/>
            <w:bottom w:w="108" w:type="dxa"/>
            <w:right w:w="108" w:type="dxa"/>
          </w:tblCellMar>
        </w:tblPrEx>
        <w:trPr>
          <w:trHeight w:val="2111" w:hRule="atLeast"/>
          <w:jc w:val="center"/>
        </w:trPr>
        <w:tc>
          <w:tcPr>
            <w:tcW w:w="826" w:type="dxa"/>
            <w:noWrap w:val="0"/>
            <w:vAlign w:val="center"/>
          </w:tcPr>
          <w:p>
            <w:pPr>
              <w:spacing w:line="260" w:lineRule="exact"/>
              <w:jc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rPr>
              <w:t>4</w:t>
            </w:r>
          </w:p>
        </w:tc>
        <w:tc>
          <w:tcPr>
            <w:tcW w:w="1365" w:type="dxa"/>
            <w:noWrap w:val="0"/>
            <w:vAlign w:val="center"/>
          </w:tcPr>
          <w:p>
            <w:pPr>
              <w:spacing w:line="360" w:lineRule="exact"/>
              <w:jc w:val="center"/>
              <w:rPr>
                <w:rFonts w:hint="eastAsia" w:ascii="宋体" w:hAnsi="宋体" w:cs="宋体"/>
                <w:color w:val="auto"/>
                <w:sz w:val="24"/>
              </w:rPr>
            </w:pPr>
            <w:r>
              <w:rPr>
                <w:rFonts w:hint="eastAsia" w:ascii="宋体" w:hAnsi="宋体" w:cs="宋体"/>
                <w:color w:val="auto"/>
                <w:sz w:val="24"/>
              </w:rPr>
              <w:t>优先采购节能、环境标志、无线局域网产品</w:t>
            </w:r>
          </w:p>
          <w:p>
            <w:pPr>
              <w:spacing w:line="360" w:lineRule="exact"/>
              <w:jc w:val="center"/>
              <w:rPr>
                <w:rFonts w:hint="default" w:ascii="宋体" w:hAnsi="宋体" w:cs="宋体"/>
                <w:color w:val="auto"/>
                <w:sz w:val="24"/>
                <w:lang w:val="en-US" w:eastAsia="zh-CN"/>
              </w:rPr>
            </w:pPr>
            <w:r>
              <w:rPr>
                <w:rFonts w:hint="eastAsia" w:ascii="宋体" w:hAnsi="宋体" w:cs="宋体"/>
                <w:color w:val="auto"/>
                <w:sz w:val="24"/>
                <w:lang w:val="en-US" w:eastAsia="zh-CN"/>
              </w:rPr>
              <w:t>6%</w:t>
            </w:r>
          </w:p>
        </w:tc>
        <w:tc>
          <w:tcPr>
            <w:tcW w:w="840" w:type="dxa"/>
            <w:noWrap w:val="0"/>
            <w:vAlign w:val="center"/>
          </w:tcPr>
          <w:p>
            <w:pPr>
              <w:spacing w:line="260" w:lineRule="exact"/>
              <w:jc w:val="center"/>
              <w:rPr>
                <w:rFonts w:hint="eastAsia" w:ascii="宋体" w:hAnsi="宋体" w:eastAsia="宋体" w:cs="宋体"/>
                <w:color w:val="auto"/>
                <w:kern w:val="2"/>
                <w:sz w:val="24"/>
                <w:szCs w:val="24"/>
                <w:highlight w:val="none"/>
                <w:lang w:val="en-US" w:eastAsia="zh-CN" w:bidi="ar-SA"/>
              </w:rPr>
            </w:pPr>
            <w:r>
              <w:rPr>
                <w:rFonts w:hint="eastAsia" w:ascii="宋体" w:hAnsi="宋体" w:cs="宋体"/>
                <w:color w:val="auto"/>
                <w:sz w:val="24"/>
                <w:szCs w:val="24"/>
                <w:highlight w:val="none"/>
                <w:lang w:val="en-US" w:eastAsia="zh-CN"/>
              </w:rPr>
              <w:t>6</w:t>
            </w:r>
            <w:r>
              <w:rPr>
                <w:rFonts w:hint="eastAsia" w:ascii="宋体" w:hAnsi="宋体" w:eastAsia="宋体" w:cs="宋体"/>
                <w:color w:val="auto"/>
                <w:sz w:val="24"/>
                <w:szCs w:val="24"/>
                <w:highlight w:val="none"/>
              </w:rPr>
              <w:t>分</w:t>
            </w:r>
          </w:p>
        </w:tc>
        <w:tc>
          <w:tcPr>
            <w:tcW w:w="5594" w:type="dxa"/>
            <w:noWrap w:val="0"/>
            <w:vAlign w:val="center"/>
          </w:tcPr>
          <w:p>
            <w:pPr>
              <w:spacing w:line="260" w:lineRule="exact"/>
              <w:jc w:val="both"/>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i w:val="0"/>
                <w:caps w:val="0"/>
                <w:color w:val="auto"/>
                <w:spacing w:val="0"/>
                <w:sz w:val="24"/>
                <w:szCs w:val="24"/>
                <w:shd w:val="clear" w:fill="FFFFFF"/>
              </w:rPr>
              <w:t>供应商所响应的产品中每有一项属于节能产品政府采购品目清单中优先采购范围的得1分；每有一项属于环境标志产品政府采购品目清单中优先采购范围的得1分；每有一项为无线局域网产品政府采购清单中的产品的得1分。本项共6分。 说明： 1、可重复计分； 2、本项目采购的产品中属于节能产品或环境标志产品政府采购品目清单中强制采购范围的，不属于本项评分范围。 3、供应商所响应的产品属于节能产品或环境标志产品政府采购品目清单中优先采购范围的，应当在响应文件中提供国家确定的认证机构的认证结果信息发布平台公布的该产品认证信息截图或者打印资料并加盖供应商公章（鲜章），否则不予给分。 4、供应商所投产品属于优先采购范围内的无线局域网产品的，需提供《中国政府采购网》公布的无线局域网产品政府采购清单封面及对应页且在有效期内并加盖供应商单位公章（鲜章）。 注：节能产品、环境标志产品优先采购范围以品目清单为准。财政部、发展改革委、生态环境部等部门根据产品节能环保性能、技术水平和市场成熟程度等因素，确定实施政府优先采购和强制采购的产品类别及所依据的相关标准规范，以品目清单的形式发布并适时调整。无线局域网产品优先采购范围以中国政府采购网公布的《无线局域网认证产品政府采购清单》且在有效期内的为准。</w:t>
            </w:r>
            <w:r>
              <w:rPr>
                <w:rFonts w:hint="eastAsia" w:ascii="宋体" w:hAnsi="宋体" w:eastAsia="宋体" w:cs="宋体"/>
                <w:color w:val="auto"/>
                <w:sz w:val="24"/>
                <w:szCs w:val="24"/>
                <w:highlight w:val="none"/>
              </w:rPr>
              <w:t>）</w:t>
            </w:r>
          </w:p>
        </w:tc>
        <w:tc>
          <w:tcPr>
            <w:tcW w:w="1412" w:type="dxa"/>
            <w:noWrap w:val="0"/>
            <w:vAlign w:val="center"/>
          </w:tcPr>
          <w:p>
            <w:pPr>
              <w:spacing w:line="260" w:lineRule="exact"/>
              <w:jc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rPr>
              <w:t>共同评分因素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8" w:type="dxa"/>
            <w:left w:w="108" w:type="dxa"/>
            <w:bottom w:w="108" w:type="dxa"/>
            <w:right w:w="108" w:type="dxa"/>
          </w:tblCellMar>
        </w:tblPrEx>
        <w:trPr>
          <w:trHeight w:val="1481" w:hRule="atLeast"/>
          <w:jc w:val="center"/>
        </w:trPr>
        <w:tc>
          <w:tcPr>
            <w:tcW w:w="826" w:type="dxa"/>
            <w:noWrap w:val="0"/>
            <w:vAlign w:val="center"/>
          </w:tcPr>
          <w:p>
            <w:pPr>
              <w:autoSpaceDN w:val="0"/>
              <w:spacing w:line="360" w:lineRule="exact"/>
              <w:jc w:val="center"/>
              <w:rPr>
                <w:rFonts w:hint="eastAsia" w:ascii="宋体" w:hAnsi="宋体" w:eastAsia="宋体" w:cs="宋体"/>
                <w:color w:val="auto"/>
                <w:kern w:val="2"/>
                <w:sz w:val="24"/>
                <w:szCs w:val="24"/>
                <w:lang w:val="en-US" w:eastAsia="zh-CN" w:bidi="ar-SA"/>
              </w:rPr>
            </w:pPr>
            <w:r>
              <w:rPr>
                <w:rFonts w:hint="eastAsia" w:ascii="宋体" w:hAnsi="宋体" w:cs="宋体"/>
                <w:color w:val="auto"/>
                <w:sz w:val="24"/>
                <w:lang w:val="en-US" w:eastAsia="zh-CN"/>
              </w:rPr>
              <w:t>5</w:t>
            </w:r>
          </w:p>
        </w:tc>
        <w:tc>
          <w:tcPr>
            <w:tcW w:w="1365" w:type="dxa"/>
            <w:noWrap w:val="0"/>
            <w:vAlign w:val="center"/>
          </w:tcPr>
          <w:p>
            <w:pPr>
              <w:spacing w:line="360" w:lineRule="exact"/>
              <w:jc w:val="center"/>
              <w:rPr>
                <w:rFonts w:hint="eastAsia" w:ascii="宋体" w:hAnsi="宋体" w:cs="宋体"/>
                <w:color w:val="auto"/>
                <w:kern w:val="2"/>
                <w:sz w:val="24"/>
                <w:szCs w:val="24"/>
                <w:lang w:val="en-US" w:eastAsia="zh-CN" w:bidi="ar-SA"/>
              </w:rPr>
            </w:pPr>
            <w:r>
              <w:rPr>
                <w:rFonts w:hint="eastAsia" w:ascii="宋体" w:hAnsi="宋体" w:cs="宋体"/>
                <w:color w:val="auto"/>
                <w:sz w:val="24"/>
              </w:rPr>
              <w:t>扶持少数民族和不发达地区</w:t>
            </w:r>
            <w:r>
              <w:rPr>
                <w:rFonts w:hint="eastAsia" w:ascii="宋体" w:hAnsi="宋体" w:cs="宋体"/>
                <w:color w:val="auto"/>
                <w:sz w:val="24"/>
                <w:lang w:val="en-US" w:eastAsia="zh-CN"/>
              </w:rPr>
              <w:t>1.5</w:t>
            </w:r>
            <w:r>
              <w:rPr>
                <w:rFonts w:hint="eastAsia" w:ascii="宋体" w:hAnsi="宋体" w:cs="宋体"/>
                <w:color w:val="auto"/>
                <w:sz w:val="24"/>
              </w:rPr>
              <w:t>%</w:t>
            </w:r>
          </w:p>
        </w:tc>
        <w:tc>
          <w:tcPr>
            <w:tcW w:w="840" w:type="dxa"/>
            <w:noWrap w:val="0"/>
            <w:vAlign w:val="center"/>
          </w:tcPr>
          <w:p>
            <w:pPr>
              <w:spacing w:line="360" w:lineRule="exact"/>
              <w:jc w:val="center"/>
              <w:rPr>
                <w:rFonts w:hint="eastAsia" w:ascii="宋体" w:hAnsi="宋体" w:cs="宋体"/>
                <w:color w:val="auto"/>
                <w:kern w:val="2"/>
                <w:sz w:val="24"/>
                <w:szCs w:val="24"/>
                <w:lang w:val="en-US" w:eastAsia="zh-CN" w:bidi="ar-SA"/>
              </w:rPr>
            </w:pPr>
            <w:r>
              <w:rPr>
                <w:rFonts w:hint="eastAsia" w:ascii="宋体" w:hAnsi="宋体" w:cs="宋体"/>
                <w:color w:val="auto"/>
                <w:sz w:val="24"/>
                <w:lang w:val="en-US" w:eastAsia="zh-CN"/>
              </w:rPr>
              <w:t>1.5</w:t>
            </w:r>
            <w:r>
              <w:rPr>
                <w:rFonts w:hint="eastAsia" w:ascii="宋体" w:hAnsi="宋体" w:cs="宋体"/>
                <w:color w:val="auto"/>
                <w:sz w:val="24"/>
              </w:rPr>
              <w:t>分</w:t>
            </w:r>
          </w:p>
        </w:tc>
        <w:tc>
          <w:tcPr>
            <w:tcW w:w="5594" w:type="dxa"/>
            <w:noWrap w:val="0"/>
            <w:vAlign w:val="center"/>
          </w:tcPr>
          <w:p>
            <w:pPr>
              <w:widowControl/>
              <w:adjustRightInd w:val="0"/>
              <w:snapToGrid w:val="0"/>
              <w:spacing w:line="360" w:lineRule="exact"/>
              <w:rPr>
                <w:rFonts w:hint="eastAsia" w:ascii="宋体" w:hAnsi="宋体" w:cs="宋体"/>
                <w:color w:val="auto"/>
                <w:sz w:val="24"/>
              </w:rPr>
            </w:pPr>
            <w:r>
              <w:rPr>
                <w:rFonts w:hint="eastAsia" w:ascii="宋体" w:hAnsi="宋体" w:cs="宋体"/>
                <w:color w:val="auto"/>
                <w:sz w:val="24"/>
              </w:rPr>
              <w:t>供应商为不发达地区或少数民族地区企业的得</w:t>
            </w:r>
            <w:r>
              <w:rPr>
                <w:rFonts w:hint="eastAsia" w:ascii="宋体" w:hAnsi="宋体" w:cs="宋体"/>
                <w:color w:val="auto"/>
                <w:sz w:val="24"/>
                <w:lang w:val="en-US" w:eastAsia="zh-CN"/>
              </w:rPr>
              <w:t>2</w:t>
            </w:r>
            <w:r>
              <w:rPr>
                <w:rFonts w:hint="eastAsia" w:ascii="宋体" w:hAnsi="宋体" w:cs="宋体"/>
                <w:color w:val="auto"/>
                <w:sz w:val="24"/>
              </w:rPr>
              <w:t>分。</w:t>
            </w:r>
          </w:p>
          <w:p>
            <w:pPr>
              <w:widowControl/>
              <w:adjustRightInd w:val="0"/>
              <w:snapToGrid w:val="0"/>
              <w:spacing w:line="360" w:lineRule="exact"/>
              <w:rPr>
                <w:rFonts w:hint="eastAsia" w:ascii="宋体" w:hAnsi="宋体" w:cs="宋体"/>
                <w:color w:val="auto"/>
                <w:kern w:val="2"/>
                <w:sz w:val="24"/>
                <w:szCs w:val="24"/>
                <w:lang w:val="en-US" w:eastAsia="zh-CN" w:bidi="ar-SA"/>
              </w:rPr>
            </w:pPr>
            <w:r>
              <w:rPr>
                <w:rFonts w:hint="eastAsia" w:ascii="宋体" w:hAnsi="宋体" w:cs="宋体"/>
                <w:color w:val="auto"/>
                <w:sz w:val="24"/>
              </w:rPr>
              <w:t>注：提供不发达地区企业的相关证明材料或注册地在少数民族地区的营业执照复印件并加盖公章。</w:t>
            </w:r>
          </w:p>
        </w:tc>
        <w:tc>
          <w:tcPr>
            <w:tcW w:w="1412" w:type="dxa"/>
            <w:noWrap w:val="0"/>
            <w:vAlign w:val="center"/>
          </w:tcPr>
          <w:p>
            <w:pPr>
              <w:spacing w:line="360" w:lineRule="exact"/>
              <w:jc w:val="center"/>
              <w:rPr>
                <w:rFonts w:hint="eastAsia" w:ascii="宋体" w:hAnsi="宋体" w:cs="宋体"/>
                <w:color w:val="auto"/>
                <w:kern w:val="2"/>
                <w:sz w:val="24"/>
                <w:szCs w:val="24"/>
                <w:lang w:val="en-US" w:eastAsia="zh-CN" w:bidi="ar-SA"/>
              </w:rPr>
            </w:pPr>
            <w:r>
              <w:rPr>
                <w:rFonts w:hint="eastAsia" w:ascii="宋体" w:hAnsi="宋体" w:cs="宋体"/>
                <w:color w:val="auto"/>
                <w:sz w:val="24"/>
              </w:rPr>
              <w:t>共同评分因素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8" w:type="dxa"/>
            <w:left w:w="108" w:type="dxa"/>
            <w:bottom w:w="108" w:type="dxa"/>
            <w:right w:w="108" w:type="dxa"/>
          </w:tblCellMar>
        </w:tblPrEx>
        <w:trPr>
          <w:trHeight w:val="1187" w:hRule="atLeast"/>
          <w:jc w:val="center"/>
        </w:trPr>
        <w:tc>
          <w:tcPr>
            <w:tcW w:w="826" w:type="dxa"/>
            <w:noWrap w:val="0"/>
            <w:vAlign w:val="center"/>
          </w:tcPr>
          <w:p>
            <w:pPr>
              <w:autoSpaceDN w:val="0"/>
              <w:spacing w:line="360" w:lineRule="exact"/>
              <w:jc w:val="center"/>
              <w:rPr>
                <w:rFonts w:hint="eastAsia" w:ascii="宋体" w:hAnsi="宋体" w:cs="宋体"/>
                <w:color w:val="auto"/>
                <w:sz w:val="24"/>
                <w:lang w:val="en-US" w:eastAsia="zh-CN"/>
              </w:rPr>
            </w:pPr>
          </w:p>
        </w:tc>
        <w:tc>
          <w:tcPr>
            <w:tcW w:w="1365" w:type="dxa"/>
            <w:noWrap w:val="0"/>
            <w:vAlign w:val="center"/>
          </w:tcPr>
          <w:p>
            <w:pPr>
              <w:spacing w:line="360" w:lineRule="exact"/>
              <w:jc w:val="center"/>
              <w:rPr>
                <w:rFonts w:hint="eastAsia" w:ascii="宋体" w:hAnsi="宋体" w:cs="宋体"/>
                <w:color w:val="auto"/>
                <w:sz w:val="24"/>
              </w:rPr>
            </w:pPr>
            <w:r>
              <w:rPr>
                <w:rFonts w:hint="eastAsia" w:ascii="宋体" w:hAnsi="宋体" w:cs="宋体"/>
                <w:color w:val="auto"/>
                <w:sz w:val="24"/>
              </w:rPr>
              <w:t>响应文件的规范性</w:t>
            </w:r>
          </w:p>
          <w:p>
            <w:pPr>
              <w:spacing w:line="360" w:lineRule="exact"/>
              <w:jc w:val="center"/>
              <w:rPr>
                <w:rFonts w:hint="eastAsia" w:ascii="宋体" w:hAnsi="宋体" w:eastAsia="宋体" w:cs="宋体"/>
                <w:color w:val="auto"/>
                <w:sz w:val="24"/>
                <w:lang w:val="en-US" w:eastAsia="zh-CN"/>
              </w:rPr>
            </w:pPr>
            <w:r>
              <w:rPr>
                <w:rFonts w:hint="eastAsia" w:ascii="宋体" w:hAnsi="宋体" w:cs="宋体"/>
                <w:color w:val="auto"/>
                <w:sz w:val="24"/>
              </w:rPr>
              <w:t>1</w:t>
            </w:r>
            <w:r>
              <w:rPr>
                <w:rFonts w:hint="eastAsia" w:ascii="宋体" w:hAnsi="宋体" w:cs="宋体"/>
                <w:color w:val="auto"/>
                <w:sz w:val="24"/>
                <w:lang w:val="en-US" w:eastAsia="zh-CN"/>
              </w:rPr>
              <w:t>%</w:t>
            </w:r>
          </w:p>
        </w:tc>
        <w:tc>
          <w:tcPr>
            <w:tcW w:w="840" w:type="dxa"/>
            <w:noWrap w:val="0"/>
            <w:vAlign w:val="center"/>
          </w:tcPr>
          <w:p>
            <w:pPr>
              <w:spacing w:line="360" w:lineRule="exact"/>
              <w:jc w:val="center"/>
              <w:rPr>
                <w:rFonts w:hint="default" w:ascii="宋体" w:hAnsi="宋体" w:cs="宋体"/>
                <w:color w:val="auto"/>
                <w:sz w:val="24"/>
                <w:lang w:val="en-US" w:eastAsia="zh-CN"/>
              </w:rPr>
            </w:pPr>
            <w:r>
              <w:rPr>
                <w:rFonts w:hint="eastAsia" w:ascii="宋体" w:hAnsi="宋体" w:cs="宋体"/>
                <w:color w:val="auto"/>
                <w:sz w:val="24"/>
                <w:lang w:val="en-US" w:eastAsia="zh-CN"/>
              </w:rPr>
              <w:t>1分</w:t>
            </w:r>
          </w:p>
        </w:tc>
        <w:tc>
          <w:tcPr>
            <w:tcW w:w="5594" w:type="dxa"/>
            <w:noWrap w:val="0"/>
            <w:vAlign w:val="center"/>
          </w:tcPr>
          <w:p>
            <w:pPr>
              <w:widowControl/>
              <w:adjustRightInd w:val="0"/>
              <w:snapToGrid w:val="0"/>
              <w:spacing w:line="360" w:lineRule="exact"/>
              <w:rPr>
                <w:rFonts w:hint="eastAsia" w:ascii="宋体" w:hAnsi="宋体" w:cs="宋体"/>
                <w:color w:val="auto"/>
                <w:sz w:val="24"/>
              </w:rPr>
            </w:pPr>
            <w:r>
              <w:rPr>
                <w:rFonts w:hint="eastAsia" w:ascii="宋体" w:hAnsi="宋体" w:eastAsia="宋体" w:cs="宋体"/>
                <w:i w:val="0"/>
                <w:caps w:val="0"/>
                <w:color w:val="auto"/>
                <w:spacing w:val="0"/>
                <w:sz w:val="24"/>
                <w:szCs w:val="24"/>
                <w:shd w:val="clear" w:fill="FFFFFF"/>
              </w:rPr>
              <w:t>没有细微偏差情形的得1分；有一项细微偏差扣0.1分，直至该分项值扣完为止。 注：本项评分因素适用于施工组织设计以外的评分项。细微偏差是指响应文件基本上符合磋商文件要求，但在个别地方存在漏项或者提供了不完整的技术信息和数据等情况，并且补正这些遗漏或者不完整不会对其他供应商造成不公平的结果。细微偏差不影响响应文件的有效性。</w:t>
            </w:r>
          </w:p>
        </w:tc>
        <w:tc>
          <w:tcPr>
            <w:tcW w:w="1412" w:type="dxa"/>
            <w:noWrap w:val="0"/>
            <w:vAlign w:val="center"/>
          </w:tcPr>
          <w:p>
            <w:pPr>
              <w:spacing w:line="360" w:lineRule="exact"/>
              <w:jc w:val="center"/>
              <w:rPr>
                <w:rFonts w:hint="eastAsia" w:ascii="宋体" w:hAnsi="宋体" w:cs="宋体"/>
                <w:color w:val="auto"/>
                <w:sz w:val="24"/>
              </w:rPr>
            </w:pPr>
            <w:r>
              <w:rPr>
                <w:rFonts w:hint="eastAsia" w:ascii="宋体" w:hAnsi="宋体" w:cs="宋体"/>
                <w:color w:val="auto"/>
                <w:sz w:val="24"/>
              </w:rPr>
              <w:t>共同评分因素</w:t>
            </w:r>
          </w:p>
        </w:tc>
      </w:tr>
    </w:tbl>
    <w:p>
      <w:pPr>
        <w:spacing w:line="360" w:lineRule="auto"/>
        <w:ind w:firstLine="630"/>
        <w:rPr>
          <w:rFonts w:ascii="宋体" w:hAnsi="宋体" w:cs="宋体"/>
          <w:color w:val="000000" w:themeColor="text1"/>
          <w14:textFill>
            <w14:solidFill>
              <w14:schemeClr w14:val="tx1"/>
            </w14:solidFill>
          </w14:textFill>
        </w:rPr>
      </w:pPr>
    </w:p>
    <w:p>
      <w:pPr>
        <w:spacing w:line="360" w:lineRule="auto"/>
        <w:ind w:firstLine="360" w:firstLineChars="15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注：评分的取值按四舍五入法，保留小数点后两位。</w:t>
      </w:r>
    </w:p>
    <w:p>
      <w:pPr>
        <w:pStyle w:val="2"/>
      </w:pPr>
    </w:p>
    <w:p>
      <w:pPr>
        <w:spacing w:line="360" w:lineRule="auto"/>
        <w:ind w:firstLine="360" w:firstLineChars="15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3.3.4评审得分＝（A1＋A2＋……＋An）/NA＋（B1＋B2＋……＋Bn）/ NB＋（C1＋C2＋……＋Cn）/ NC＋（D1＋D2＋……＋Dn）/ ND</w:t>
      </w:r>
    </w:p>
    <w:p>
      <w:pPr>
        <w:spacing w:line="360" w:lineRule="auto"/>
        <w:ind w:firstLine="360" w:firstLineChars="150"/>
        <w:rPr>
          <w:rFonts w:ascii="仿宋" w:hAnsi="仿宋" w:eastAsia="仿宋"/>
          <w:b/>
          <w:bCs/>
          <w:sz w:val="24"/>
          <w:szCs w:val="24"/>
        </w:rPr>
      </w:pPr>
      <w:r>
        <w:rPr>
          <w:rFonts w:hint="eastAsia" w:ascii="宋体" w:hAnsi="宋体" w:cs="宋体"/>
          <w:color w:val="000000" w:themeColor="text1"/>
          <w:sz w:val="24"/>
          <w:szCs w:val="24"/>
          <w14:textFill>
            <w14:solidFill>
              <w14:schemeClr w14:val="tx1"/>
            </w14:solidFill>
          </w14:textFill>
        </w:rPr>
        <w:t>A1、A2……An分别为每个经济类评委（经济类专家）的打分，NA为经济类评委（经济类专家）人数；B1、B2＋……Bn 分别为每个技术类评委（技术类专家和采购人代表）的打分，NB为技术类评委（技术类专家和采购人代表）人数；C1、C2……Cn 分别为每个政策合同类评委（法律类专家）的打分，NC为政策合同类评委（法律类专家）人数；D1、D2……Dn 分别为评审委员会每个成员的打分（共同评分类），ND为评审委员会人数。</w:t>
      </w:r>
      <w:bookmarkEnd w:id="96"/>
      <w:bookmarkEnd w:id="97"/>
      <w:bookmarkEnd w:id="98"/>
      <w:bookmarkEnd w:id="99"/>
    </w:p>
    <w:p>
      <w:pPr>
        <w:tabs>
          <w:tab w:val="left" w:pos="851"/>
        </w:tabs>
        <w:spacing w:line="360" w:lineRule="auto"/>
        <w:ind w:firstLine="482" w:firstLineChars="200"/>
        <w:rPr>
          <w:rFonts w:ascii="仿宋" w:hAnsi="仿宋" w:eastAsia="仿宋"/>
          <w:b/>
          <w:bCs/>
          <w:sz w:val="24"/>
          <w:szCs w:val="24"/>
        </w:rPr>
      </w:pPr>
      <w:r>
        <w:rPr>
          <w:rFonts w:ascii="仿宋" w:hAnsi="仿宋" w:eastAsia="仿宋" w:cs="仿宋"/>
          <w:b/>
          <w:bCs/>
          <w:sz w:val="24"/>
          <w:szCs w:val="24"/>
        </w:rPr>
        <w:t>4.</w:t>
      </w:r>
      <w:r>
        <w:rPr>
          <w:rFonts w:hint="eastAsia" w:ascii="仿宋" w:hAnsi="仿宋" w:eastAsia="仿宋" w:cs="仿宋"/>
          <w:b/>
          <w:bCs/>
          <w:sz w:val="24"/>
          <w:szCs w:val="24"/>
        </w:rPr>
        <w:t>磋商纪律及注意事项</w:t>
      </w:r>
    </w:p>
    <w:p>
      <w:pPr>
        <w:tabs>
          <w:tab w:val="left" w:pos="851"/>
        </w:tabs>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4.1磋商小组内部讨论的情况和意见必须保密，任何人不得以任何形式透露给供应商或与供应商有关的单位或个人。</w:t>
      </w:r>
    </w:p>
    <w:p>
      <w:pPr>
        <w:tabs>
          <w:tab w:val="left" w:pos="851"/>
        </w:tabs>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4.2在磋商过程中，供应商不得以任何形式对磋商小组成员进行旨在影响磋商结果的私下接触，否则将取消其参与磋商的资格。</w:t>
      </w:r>
    </w:p>
    <w:p>
      <w:pPr>
        <w:tabs>
          <w:tab w:val="left" w:pos="851"/>
        </w:tabs>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4.3对各供应商的商业秘密，磋商小组成员应予以保密，不得泄露给其他供应商。</w:t>
      </w:r>
    </w:p>
    <w:p>
      <w:pPr>
        <w:tabs>
          <w:tab w:val="left" w:pos="851"/>
        </w:tabs>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4.4 磋商小组独立评判，推荐成交候选人，并写出书面报告。</w:t>
      </w:r>
    </w:p>
    <w:p>
      <w:pPr>
        <w:tabs>
          <w:tab w:val="left" w:pos="851"/>
        </w:tabs>
        <w:spacing w:line="360" w:lineRule="auto"/>
        <w:ind w:firstLine="480" w:firstLineChars="200"/>
        <w:rPr>
          <w:rFonts w:ascii="仿宋" w:hAnsi="仿宋" w:eastAsia="仿宋"/>
          <w:sz w:val="24"/>
          <w:szCs w:val="24"/>
        </w:rPr>
      </w:pPr>
      <w:r>
        <w:rPr>
          <w:rFonts w:hint="eastAsia" w:ascii="宋体" w:hAnsi="宋体" w:cs="宋体"/>
          <w:color w:val="000000" w:themeColor="text1"/>
          <w:sz w:val="24"/>
          <w:szCs w:val="24"/>
          <w14:textFill>
            <w14:solidFill>
              <w14:schemeClr w14:val="tx1"/>
            </w14:solidFill>
          </w14:textFill>
        </w:rPr>
        <w:t>4.5 磋商小组可根据需要对供应商进行实地考察。</w:t>
      </w:r>
    </w:p>
    <w:p>
      <w:pPr>
        <w:tabs>
          <w:tab w:val="left" w:pos="7665"/>
        </w:tabs>
        <w:spacing w:line="360" w:lineRule="auto"/>
        <w:ind w:firstLine="480" w:firstLineChars="200"/>
        <w:rPr>
          <w:rFonts w:ascii="仿宋" w:hAnsi="仿宋" w:eastAsia="仿宋"/>
          <w:b/>
          <w:bCs/>
          <w:sz w:val="24"/>
          <w:szCs w:val="24"/>
        </w:rPr>
      </w:pPr>
      <w:r>
        <w:rPr>
          <w:rFonts w:ascii="仿宋" w:hAnsi="仿宋" w:eastAsia="仿宋" w:cs="仿宋"/>
          <w:sz w:val="24"/>
          <w:szCs w:val="24"/>
        </w:rPr>
        <w:t>5.</w:t>
      </w:r>
      <w:bookmarkEnd w:id="100"/>
      <w:r>
        <w:rPr>
          <w:rFonts w:hint="eastAsia" w:ascii="仿宋" w:hAnsi="仿宋" w:eastAsia="仿宋" w:cs="仿宋"/>
          <w:b/>
          <w:bCs/>
          <w:sz w:val="24"/>
          <w:szCs w:val="24"/>
        </w:rPr>
        <w:t>磋商小组在政府采购活动中承担以下义务：</w:t>
      </w:r>
    </w:p>
    <w:p>
      <w:pPr>
        <w:pStyle w:val="86"/>
        <w:numPr>
          <w:ilvl w:val="0"/>
          <w:numId w:val="3"/>
        </w:numPr>
        <w:tabs>
          <w:tab w:val="left" w:pos="7665"/>
        </w:tabs>
        <w:spacing w:line="360" w:lineRule="auto"/>
        <w:ind w:left="0" w:firstLine="567" w:firstLineChars="0"/>
        <w:rPr>
          <w:rFonts w:ascii="宋体" w:hAnsi="宋体" w:cs="宋体"/>
        </w:rPr>
      </w:pPr>
      <w:r>
        <w:rPr>
          <w:rFonts w:hint="eastAsia" w:ascii="宋体" w:hAnsi="宋体" w:cs="宋体"/>
        </w:rPr>
        <w:t>遵守评审工作纪律；</w:t>
      </w:r>
    </w:p>
    <w:p>
      <w:pPr>
        <w:pStyle w:val="86"/>
        <w:numPr>
          <w:ilvl w:val="0"/>
          <w:numId w:val="3"/>
        </w:numPr>
        <w:tabs>
          <w:tab w:val="left" w:pos="7665"/>
        </w:tabs>
        <w:spacing w:line="360" w:lineRule="auto"/>
        <w:ind w:left="0" w:firstLine="567" w:firstLineChars="0"/>
        <w:rPr>
          <w:rFonts w:ascii="宋体" w:hAnsi="宋体" w:cs="宋体"/>
        </w:rPr>
      </w:pPr>
      <w:r>
        <w:rPr>
          <w:rFonts w:hint="eastAsia" w:ascii="宋体" w:hAnsi="宋体" w:cs="宋体"/>
        </w:rPr>
        <w:t>按照客观、公正、审慎的原则，根据磋商文件规定的评审程序、评审方法和评审标准进行独立评审；</w:t>
      </w:r>
    </w:p>
    <w:p>
      <w:pPr>
        <w:pStyle w:val="86"/>
        <w:numPr>
          <w:ilvl w:val="0"/>
          <w:numId w:val="3"/>
        </w:numPr>
        <w:tabs>
          <w:tab w:val="left" w:pos="7665"/>
        </w:tabs>
        <w:spacing w:line="360" w:lineRule="auto"/>
        <w:ind w:left="0" w:firstLine="567" w:firstLineChars="0"/>
        <w:rPr>
          <w:rFonts w:ascii="宋体" w:hAnsi="宋体" w:cs="宋体"/>
        </w:rPr>
      </w:pPr>
      <w:r>
        <w:rPr>
          <w:rFonts w:hint="eastAsia" w:ascii="宋体" w:hAnsi="宋体" w:cs="宋体"/>
        </w:rPr>
        <w:t>不得泄露评审文件、评审情况和在评审过程中获悉的商业秘密；</w:t>
      </w:r>
    </w:p>
    <w:p>
      <w:pPr>
        <w:pStyle w:val="86"/>
        <w:numPr>
          <w:ilvl w:val="0"/>
          <w:numId w:val="3"/>
        </w:numPr>
        <w:tabs>
          <w:tab w:val="left" w:pos="7665"/>
        </w:tabs>
        <w:spacing w:line="360" w:lineRule="auto"/>
        <w:ind w:left="0" w:firstLine="567" w:firstLineChars="0"/>
        <w:rPr>
          <w:rFonts w:ascii="宋体" w:hAnsi="宋体" w:cs="宋体"/>
        </w:rPr>
      </w:pPr>
      <w:r>
        <w:rPr>
          <w:rFonts w:hint="eastAsia" w:ascii="宋体" w:hAnsi="宋体" w:cs="宋体"/>
        </w:rPr>
        <w:t>及时向财政部门报告评审过程中发现的采购人、采购代理机构向评审专家做倾向性、误导性的解释或者说明，以及供应商行贿、提供虚假材料或者串通等违法行为；</w:t>
      </w:r>
    </w:p>
    <w:p>
      <w:pPr>
        <w:pStyle w:val="86"/>
        <w:numPr>
          <w:ilvl w:val="0"/>
          <w:numId w:val="3"/>
        </w:numPr>
        <w:tabs>
          <w:tab w:val="left" w:pos="7665"/>
        </w:tabs>
        <w:spacing w:line="360" w:lineRule="auto"/>
        <w:ind w:left="0" w:firstLine="567" w:firstLineChars="0"/>
        <w:rPr>
          <w:rFonts w:ascii="宋体" w:hAnsi="宋体" w:cs="宋体"/>
        </w:rPr>
      </w:pPr>
      <w:r>
        <w:rPr>
          <w:rFonts w:hint="eastAsia" w:ascii="宋体" w:hAnsi="宋体" w:cs="宋体"/>
        </w:rPr>
        <w:t>发现磋商文件内容违反国家有关强制性规定或者磋商文件存在歧义、重大缺陷导致评审工作无法进行时，停止评审并向采购人或者采购代理机构书面说明情况；</w:t>
      </w:r>
    </w:p>
    <w:p>
      <w:pPr>
        <w:pStyle w:val="86"/>
        <w:numPr>
          <w:ilvl w:val="0"/>
          <w:numId w:val="3"/>
        </w:numPr>
        <w:tabs>
          <w:tab w:val="left" w:pos="7665"/>
        </w:tabs>
        <w:spacing w:line="360" w:lineRule="auto"/>
        <w:ind w:left="0" w:firstLine="567" w:firstLineChars="0"/>
        <w:rPr>
          <w:rFonts w:ascii="宋体" w:hAnsi="宋体" w:cs="宋体"/>
        </w:rPr>
      </w:pPr>
      <w:r>
        <w:rPr>
          <w:rFonts w:hint="eastAsia" w:ascii="宋体" w:hAnsi="宋体" w:cs="宋体"/>
        </w:rPr>
        <w:t>及时向财政、监察等部门举报在评审过程中受到非法干预的情况；</w:t>
      </w:r>
    </w:p>
    <w:p>
      <w:pPr>
        <w:pStyle w:val="86"/>
        <w:numPr>
          <w:ilvl w:val="0"/>
          <w:numId w:val="3"/>
        </w:numPr>
        <w:tabs>
          <w:tab w:val="left" w:pos="7665"/>
        </w:tabs>
        <w:spacing w:line="360" w:lineRule="auto"/>
        <w:ind w:left="0" w:firstLine="567" w:firstLineChars="0"/>
        <w:rPr>
          <w:rFonts w:ascii="宋体" w:hAnsi="宋体" w:cs="宋体"/>
        </w:rPr>
      </w:pPr>
      <w:r>
        <w:rPr>
          <w:rFonts w:hint="eastAsia" w:ascii="宋体" w:hAnsi="宋体" w:cs="宋体"/>
        </w:rPr>
        <w:t>配合答复处理供应商的询问、质疑和投诉等事项；</w:t>
      </w:r>
    </w:p>
    <w:p>
      <w:pPr>
        <w:pStyle w:val="86"/>
        <w:numPr>
          <w:ilvl w:val="0"/>
          <w:numId w:val="3"/>
        </w:numPr>
        <w:tabs>
          <w:tab w:val="left" w:pos="7665"/>
        </w:tabs>
        <w:spacing w:line="360" w:lineRule="auto"/>
        <w:ind w:left="0" w:firstLine="567" w:firstLineChars="0"/>
        <w:rPr>
          <w:rFonts w:ascii="仿宋" w:hAnsi="仿宋" w:eastAsia="仿宋"/>
        </w:rPr>
      </w:pPr>
      <w:r>
        <w:rPr>
          <w:rFonts w:hint="eastAsia" w:ascii="宋体" w:hAnsi="宋体" w:cs="宋体"/>
        </w:rPr>
        <w:t>法律、法规和规章规定的其他义务。</w:t>
      </w:r>
    </w:p>
    <w:p>
      <w:pPr>
        <w:tabs>
          <w:tab w:val="left" w:pos="7665"/>
        </w:tabs>
        <w:spacing w:line="360" w:lineRule="auto"/>
        <w:ind w:firstLine="482" w:firstLineChars="200"/>
        <w:rPr>
          <w:rFonts w:ascii="仿宋" w:hAnsi="仿宋" w:eastAsia="仿宋"/>
          <w:b/>
          <w:bCs/>
          <w:sz w:val="24"/>
          <w:szCs w:val="24"/>
        </w:rPr>
      </w:pPr>
      <w:r>
        <w:rPr>
          <w:rFonts w:ascii="仿宋" w:hAnsi="仿宋" w:eastAsia="仿宋" w:cs="仿宋"/>
          <w:b/>
          <w:bCs/>
          <w:sz w:val="24"/>
          <w:szCs w:val="24"/>
        </w:rPr>
        <w:t>6.</w:t>
      </w:r>
      <w:r>
        <w:rPr>
          <w:rFonts w:hint="eastAsia" w:ascii="仿宋" w:hAnsi="仿宋" w:eastAsia="仿宋" w:cs="仿宋"/>
          <w:b/>
          <w:bCs/>
          <w:sz w:val="24"/>
          <w:szCs w:val="24"/>
        </w:rPr>
        <w:t>评审专家在政府采购活动中应当遵守以下工作纪律：</w:t>
      </w:r>
    </w:p>
    <w:p>
      <w:pPr>
        <w:pStyle w:val="86"/>
        <w:numPr>
          <w:ilvl w:val="0"/>
          <w:numId w:val="4"/>
        </w:numPr>
        <w:tabs>
          <w:tab w:val="left" w:pos="7665"/>
        </w:tabs>
        <w:spacing w:line="360" w:lineRule="auto"/>
        <w:ind w:left="0" w:firstLine="567" w:firstLineChars="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不得参加与自己有《中华人民共和国政府采购法实施条例》第九条规定的利害关系的政府采购项目的评审活动。发现参加了与自己有利害关系的评审活动，须主动提出回避，退出评审；</w:t>
      </w:r>
    </w:p>
    <w:p>
      <w:pPr>
        <w:pStyle w:val="86"/>
        <w:numPr>
          <w:ilvl w:val="0"/>
          <w:numId w:val="4"/>
        </w:numPr>
        <w:tabs>
          <w:tab w:val="left" w:pos="7665"/>
        </w:tabs>
        <w:spacing w:line="360" w:lineRule="auto"/>
        <w:ind w:left="0" w:firstLine="567" w:firstLineChars="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评审前，应当将通讯工具或者相关电子设备交由采购代理机构统一保管；</w:t>
      </w:r>
    </w:p>
    <w:p>
      <w:pPr>
        <w:pStyle w:val="86"/>
        <w:numPr>
          <w:ilvl w:val="0"/>
          <w:numId w:val="4"/>
        </w:numPr>
        <w:tabs>
          <w:tab w:val="left" w:pos="7665"/>
        </w:tabs>
        <w:spacing w:line="360" w:lineRule="auto"/>
        <w:ind w:left="0" w:firstLine="567" w:firstLineChars="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评审过程中，不得与外界联系，因发生不可预见情况，确实需要与外界联系的，应当在监督人员监督之下办理；</w:t>
      </w:r>
    </w:p>
    <w:p>
      <w:pPr>
        <w:pStyle w:val="86"/>
        <w:numPr>
          <w:ilvl w:val="0"/>
          <w:numId w:val="4"/>
        </w:numPr>
        <w:tabs>
          <w:tab w:val="left" w:pos="7665"/>
        </w:tabs>
        <w:spacing w:line="360" w:lineRule="auto"/>
        <w:ind w:left="0" w:firstLine="567" w:firstLineChars="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评审过程中，不得发表影响评审公正的倾向性、歧视性言论，不得征询或者接受采购人的倾向性意见，不得明示或暗示供应商在澄清时表达与其响应文件原义不同的意见，不得以磋商文件没有规定的评审方法和标准作为评审的依据，不得修改或者细化评审程序、评审方法、评审因素和评审标准，不得违规撰写评审意见，不得拒绝对自己的评审意见签字确认；</w:t>
      </w:r>
    </w:p>
    <w:p>
      <w:pPr>
        <w:pStyle w:val="86"/>
        <w:numPr>
          <w:ilvl w:val="0"/>
          <w:numId w:val="4"/>
        </w:numPr>
        <w:tabs>
          <w:tab w:val="left" w:pos="7665"/>
        </w:tabs>
        <w:spacing w:line="360" w:lineRule="auto"/>
        <w:ind w:left="0" w:firstLine="567" w:firstLineChars="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在评审过程中和评审结束后，不得记录、复制或带走任何评审资料，不得向外界透露评审内容；</w:t>
      </w:r>
    </w:p>
    <w:p>
      <w:pPr>
        <w:pStyle w:val="86"/>
        <w:numPr>
          <w:ilvl w:val="0"/>
          <w:numId w:val="4"/>
        </w:numPr>
        <w:tabs>
          <w:tab w:val="left" w:pos="7665"/>
        </w:tabs>
        <w:spacing w:line="360" w:lineRule="auto"/>
        <w:ind w:left="0" w:firstLine="567" w:firstLineChars="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评审现场服从采购代理机构工作人员的管理，接受现场监督人员的合法监督；</w:t>
      </w:r>
    </w:p>
    <w:p>
      <w:pPr>
        <w:pStyle w:val="86"/>
        <w:numPr>
          <w:ilvl w:val="0"/>
          <w:numId w:val="4"/>
        </w:numPr>
        <w:tabs>
          <w:tab w:val="left" w:pos="7665"/>
        </w:tabs>
        <w:spacing w:line="360" w:lineRule="auto"/>
        <w:ind w:left="0" w:firstLine="567" w:firstLineChars="0"/>
        <w:rPr>
          <w:rFonts w:ascii="仿宋" w:hAnsi="仿宋" w:eastAsia="仿宋"/>
        </w:rPr>
      </w:pPr>
      <w:r>
        <w:rPr>
          <w:rFonts w:hint="eastAsia" w:ascii="宋体" w:hAnsi="宋体" w:cs="宋体"/>
          <w:color w:val="000000" w:themeColor="text1"/>
          <w14:textFill>
            <w14:solidFill>
              <w14:schemeClr w14:val="tx1"/>
            </w14:solidFill>
          </w14:textFill>
        </w:rPr>
        <w:t>遵守有关廉洁自律规定，不得私下接触供应商，不得收受供应商及有关业务单位和个人的财物或好处，不得接受采购代理机构的请托。</w:t>
      </w:r>
    </w:p>
    <w:p>
      <w:pPr>
        <w:spacing w:line="360" w:lineRule="auto"/>
        <w:rPr>
          <w:rFonts w:ascii="仿宋" w:hAnsi="仿宋" w:eastAsia="仿宋"/>
        </w:rPr>
      </w:pPr>
    </w:p>
    <w:p>
      <w:pPr>
        <w:pStyle w:val="39"/>
        <w:rPr>
          <w:rFonts w:ascii="仿宋" w:hAnsi="仿宋" w:eastAsia="仿宋" w:cs="Times New Roman"/>
        </w:rPr>
      </w:pPr>
      <w:r>
        <w:rPr>
          <w:rFonts w:ascii="仿宋" w:hAnsi="仿宋" w:eastAsia="仿宋" w:cs="Times New Roman"/>
        </w:rPr>
        <w:br w:type="page"/>
      </w:r>
      <w:bookmarkStart w:id="101" w:name="_Toc509579148"/>
      <w:bookmarkStart w:id="102" w:name="_Toc41037910"/>
      <w:r>
        <w:rPr>
          <w:rFonts w:hint="eastAsia" w:ascii="仿宋" w:hAnsi="仿宋" w:eastAsia="仿宋" w:cs="仿宋"/>
        </w:rPr>
        <w:t>第七章政府采购合同（草案）</w:t>
      </w:r>
      <w:bookmarkEnd w:id="101"/>
      <w:bookmarkEnd w:id="102"/>
    </w:p>
    <w:bookmarkEnd w:id="85"/>
    <w:bookmarkEnd w:id="86"/>
    <w:bookmarkEnd w:id="87"/>
    <w:p>
      <w:pPr>
        <w:spacing w:line="360" w:lineRule="auto"/>
        <w:rPr>
          <w:rFonts w:ascii="仿宋" w:hAnsi="仿宋" w:eastAsia="仿宋"/>
          <w:sz w:val="24"/>
          <w:szCs w:val="24"/>
        </w:rPr>
      </w:pPr>
    </w:p>
    <w:p>
      <w:pPr>
        <w:pStyle w:val="78"/>
        <w:spacing w:line="360" w:lineRule="auto"/>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根据《中华人民共和国政府采购法》、《中华人民共和国合同法》、《中华人民共和国建筑法》及XXX采购项目（项目编号：XXX）的磋商文件、乙方的响应文件及成交通知书，甲、乙双方同意签订本合同。详细技术说明及其他有关合同项目的特定信息由合同附件予以说明，合同附件及本项目的磋商文件、响应文件、评审报告、成交通知书等均为本合同不可分割的部分。双方同意共同遵守如下条款：</w:t>
      </w:r>
    </w:p>
    <w:p>
      <w:pPr>
        <w:pStyle w:val="78"/>
        <w:spacing w:line="360" w:lineRule="auto"/>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为强化采购人主体责任，避免或者减少采购项目竣工结算中的违法违规和权力寻租行为，本采购项目政府采购合同约定履行按照《中华人民共和国政府采购法》及其实施条例等有关规定执行。采购项目竣工后验收过程中，采购人作为项目竣工验收的责任主体，将严把工程质量关，可能引入其他第三方机构协助验收，但任何第三方机构不会对政府采购合同价格进行变更，不得审减、审增，对于验收合格的采购项目，采购人应当按照政府采购合同确定的金额在收到供应商发票后30内支付采购资金。验收所产生的任何费用应由采购人承担，不要求或者专家成交供应商负担。</w:t>
      </w:r>
    </w:p>
    <w:p>
      <w:pPr>
        <w:pStyle w:val="78"/>
        <w:spacing w:line="360" w:lineRule="auto"/>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本项目通用合同条款参照《建设工程施工合同(示范文本)》(GF-2017-0201)通用合同条款执行。如有最新版本，参照最新版本执行。</w:t>
      </w:r>
    </w:p>
    <w:p>
      <w:pPr>
        <w:pStyle w:val="78"/>
        <w:spacing w:line="360" w:lineRule="auto"/>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注：本采购合同中出现的措辞“发包人”与磋商文件中的“采购人”含义相同；</w:t>
      </w:r>
    </w:p>
    <w:p>
      <w:pPr>
        <w:pStyle w:val="78"/>
        <w:spacing w:line="360" w:lineRule="auto"/>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“投标人”与“供应商“含义相同；</w:t>
      </w:r>
    </w:p>
    <w:p>
      <w:pPr>
        <w:pStyle w:val="78"/>
        <w:spacing w:line="360" w:lineRule="auto"/>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“招标文件”与“采购文件”及“磋商文件”含义相同。</w:t>
      </w:r>
    </w:p>
    <w:p>
      <w:pPr>
        <w:widowControl/>
        <w:jc w:val="left"/>
        <w:rPr>
          <w:rFonts w:ascii="宋体" w:hAnsi="宋体" w:cs="宋体"/>
          <w:color w:val="000000" w:themeColor="text1"/>
          <w:sz w:val="32"/>
          <w:szCs w:val="32"/>
          <w14:textFill>
            <w14:solidFill>
              <w14:schemeClr w14:val="tx1"/>
            </w14:solidFill>
          </w14:textFill>
        </w:rPr>
        <w:sectPr>
          <w:headerReference r:id="rId3" w:type="default"/>
          <w:footerReference r:id="rId4" w:type="default"/>
          <w:pgSz w:w="11907" w:h="16840"/>
          <w:pgMar w:top="1440" w:right="1797" w:bottom="1440" w:left="1797" w:header="720" w:footer="720" w:gutter="0"/>
          <w:cols w:space="720" w:num="1"/>
        </w:sectPr>
      </w:pPr>
    </w:p>
    <w:p>
      <w:pPr>
        <w:keepNext/>
        <w:keepLines/>
        <w:spacing w:before="260" w:after="260" w:line="360" w:lineRule="auto"/>
        <w:jc w:val="center"/>
        <w:outlineLvl w:val="2"/>
        <w:rPr>
          <w:rFonts w:ascii="宋体" w:hAnsi="宋体" w:cs="宋体"/>
          <w:color w:val="000000" w:themeColor="text1"/>
          <w:sz w:val="32"/>
          <w:szCs w:val="32"/>
          <w14:textFill>
            <w14:solidFill>
              <w14:schemeClr w14:val="tx1"/>
            </w14:solidFill>
          </w14:textFill>
        </w:rPr>
      </w:pPr>
      <w:r>
        <w:rPr>
          <w:rFonts w:hint="eastAsia" w:ascii="宋体" w:hAnsi="宋体" w:cs="宋体"/>
          <w:color w:val="000000" w:themeColor="text1"/>
          <w:sz w:val="32"/>
          <w:szCs w:val="32"/>
          <w14:textFill>
            <w14:solidFill>
              <w14:schemeClr w14:val="tx1"/>
            </w14:solidFill>
          </w14:textFill>
        </w:rPr>
        <w:t>第一节合同协议书</w:t>
      </w:r>
    </w:p>
    <w:p>
      <w:pPr>
        <w:spacing w:line="360" w:lineRule="auto"/>
        <w:rPr>
          <w:rFonts w:ascii="仿宋" w:hAnsi="仿宋" w:eastAsia="仿宋"/>
          <w:b/>
          <w:bCs/>
          <w:sz w:val="24"/>
          <w:szCs w:val="24"/>
          <w:u w:val="single"/>
        </w:rPr>
      </w:pPr>
      <w:r>
        <w:rPr>
          <w:rFonts w:hint="eastAsia" w:ascii="仿宋" w:hAnsi="仿宋" w:eastAsia="仿宋" w:cs="仿宋"/>
          <w:b/>
          <w:bCs/>
          <w:sz w:val="24"/>
          <w:szCs w:val="24"/>
        </w:rPr>
        <w:t>发包人（全称）：（甲方）</w:t>
      </w:r>
    </w:p>
    <w:p>
      <w:pPr>
        <w:spacing w:line="360" w:lineRule="auto"/>
        <w:rPr>
          <w:rFonts w:ascii="仿宋" w:hAnsi="仿宋" w:eastAsia="仿宋"/>
          <w:sz w:val="24"/>
          <w:szCs w:val="24"/>
        </w:rPr>
      </w:pPr>
      <w:r>
        <w:rPr>
          <w:rFonts w:hint="eastAsia" w:ascii="仿宋" w:hAnsi="仿宋" w:eastAsia="仿宋" w:cs="仿宋"/>
          <w:b/>
          <w:bCs/>
          <w:sz w:val="24"/>
          <w:szCs w:val="24"/>
        </w:rPr>
        <w:t>承包人（全称）：（乙方）</w:t>
      </w:r>
    </w:p>
    <w:p>
      <w:pPr>
        <w:keepNext/>
        <w:keepLines/>
        <w:spacing w:before="120" w:after="120" w:line="360" w:lineRule="auto"/>
        <w:outlineLvl w:val="3"/>
        <w:rPr>
          <w:rFonts w:ascii="宋体" w:hAnsi="宋体" w:cs="宋体"/>
          <w:b/>
          <w:bCs/>
          <w:color w:val="000000" w:themeColor="text1"/>
          <w:sz w:val="24"/>
          <w:szCs w:val="24"/>
          <w14:textFill>
            <w14:solidFill>
              <w14:schemeClr w14:val="tx1"/>
            </w14:solidFill>
          </w14:textFill>
        </w:rPr>
      </w:pPr>
      <w:bookmarkStart w:id="103" w:name="_Toc351203481"/>
      <w:r>
        <w:rPr>
          <w:rFonts w:hint="eastAsia" w:ascii="宋体" w:hAnsi="宋体" w:cs="宋体"/>
          <w:color w:val="000000" w:themeColor="text1"/>
          <w:sz w:val="24"/>
          <w:szCs w:val="24"/>
          <w14:textFill>
            <w14:solidFill>
              <w14:schemeClr w14:val="tx1"/>
            </w14:solidFill>
          </w14:textFill>
        </w:rPr>
        <w:t>一、工程概况</w:t>
      </w:r>
      <w:bookmarkEnd w:id="103"/>
    </w:p>
    <w:p>
      <w:pPr>
        <w:spacing w:line="360" w:lineRule="auto"/>
        <w:ind w:firstLine="470" w:firstLineChars="196"/>
        <w:rPr>
          <w:rFonts w:ascii="宋体" w:hAnsi="宋体" w:cs="宋体"/>
          <w:color w:val="000000" w:themeColor="text1"/>
          <w:sz w:val="24"/>
          <w:szCs w:val="24"/>
          <w:u w:val="single"/>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1.工程名称：。</w:t>
      </w:r>
    </w:p>
    <w:p>
      <w:pPr>
        <w:spacing w:line="360" w:lineRule="auto"/>
        <w:ind w:firstLine="470" w:firstLineChars="196"/>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2.工程地点：。</w:t>
      </w:r>
    </w:p>
    <w:p>
      <w:pPr>
        <w:spacing w:line="360" w:lineRule="auto"/>
        <w:ind w:firstLine="470" w:firstLineChars="196"/>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3.项目编号：。</w:t>
      </w:r>
    </w:p>
    <w:p>
      <w:pPr>
        <w:spacing w:line="360" w:lineRule="auto"/>
        <w:ind w:firstLine="470" w:firstLineChars="196"/>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4.工程内容：。</w:t>
      </w:r>
    </w:p>
    <w:p>
      <w:pPr>
        <w:spacing w:line="360" w:lineRule="auto"/>
        <w:ind w:firstLine="470" w:firstLineChars="196"/>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5.工程承包范围：。</w:t>
      </w:r>
    </w:p>
    <w:p>
      <w:pPr>
        <w:keepNext/>
        <w:keepLines/>
        <w:spacing w:before="120" w:after="120" w:line="360" w:lineRule="auto"/>
        <w:outlineLvl w:val="3"/>
        <w:rPr>
          <w:rFonts w:ascii="宋体" w:hAnsi="宋体" w:cs="宋体"/>
          <w:color w:val="000000" w:themeColor="text1"/>
          <w:sz w:val="24"/>
          <w:szCs w:val="24"/>
          <w14:textFill>
            <w14:solidFill>
              <w14:schemeClr w14:val="tx1"/>
            </w14:solidFill>
          </w14:textFill>
        </w:rPr>
      </w:pPr>
      <w:bookmarkStart w:id="104" w:name="_Toc351203482"/>
      <w:r>
        <w:rPr>
          <w:rFonts w:hint="eastAsia" w:ascii="宋体" w:hAnsi="宋体" w:cs="宋体"/>
          <w:color w:val="000000" w:themeColor="text1"/>
          <w:sz w:val="24"/>
          <w:szCs w:val="24"/>
          <w14:textFill>
            <w14:solidFill>
              <w14:schemeClr w14:val="tx1"/>
            </w14:solidFill>
          </w14:textFill>
        </w:rPr>
        <w:t>二、合同工期</w:t>
      </w:r>
      <w:bookmarkEnd w:id="104"/>
    </w:p>
    <w:p>
      <w:pPr>
        <w:spacing w:line="360" w:lineRule="auto"/>
        <w:ind w:firstLine="459"/>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计划开工日期：年月日。</w:t>
      </w:r>
    </w:p>
    <w:p>
      <w:pPr>
        <w:spacing w:line="360" w:lineRule="auto"/>
        <w:ind w:firstLine="459"/>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计划竣工日期：年月日。</w:t>
      </w:r>
    </w:p>
    <w:p>
      <w:pPr>
        <w:spacing w:line="360" w:lineRule="auto"/>
        <w:ind w:firstLine="459"/>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工期总日历天数：天。工期总日历天数与根据前述计划开竣工日期计算的工期天数不一致的，以工期总日历天数为准。</w:t>
      </w:r>
    </w:p>
    <w:p>
      <w:pPr>
        <w:keepNext/>
        <w:keepLines/>
        <w:spacing w:before="120" w:after="120" w:line="360" w:lineRule="auto"/>
        <w:outlineLvl w:val="3"/>
        <w:rPr>
          <w:rFonts w:ascii="宋体" w:hAnsi="宋体" w:cs="宋体"/>
          <w:b/>
          <w:bCs/>
          <w:color w:val="000000" w:themeColor="text1"/>
          <w:sz w:val="24"/>
          <w:szCs w:val="24"/>
          <w14:textFill>
            <w14:solidFill>
              <w14:schemeClr w14:val="tx1"/>
            </w14:solidFill>
          </w14:textFill>
        </w:rPr>
      </w:pPr>
      <w:bookmarkStart w:id="105" w:name="_Toc351203483"/>
      <w:r>
        <w:rPr>
          <w:rFonts w:hint="eastAsia" w:ascii="宋体" w:hAnsi="宋体" w:cs="宋体"/>
          <w:color w:val="000000" w:themeColor="text1"/>
          <w:sz w:val="24"/>
          <w:szCs w:val="24"/>
          <w14:textFill>
            <w14:solidFill>
              <w14:schemeClr w14:val="tx1"/>
            </w14:solidFill>
          </w14:textFill>
        </w:rPr>
        <w:t>三、质量标准</w:t>
      </w:r>
      <w:bookmarkEnd w:id="105"/>
    </w:p>
    <w:p>
      <w:pPr>
        <w:spacing w:line="360" w:lineRule="auto"/>
        <w:ind w:firstLine="459"/>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工程质量符合标准。</w:t>
      </w:r>
    </w:p>
    <w:p>
      <w:pPr>
        <w:keepNext/>
        <w:keepLines/>
        <w:spacing w:before="120" w:after="120" w:line="360" w:lineRule="auto"/>
        <w:outlineLvl w:val="3"/>
        <w:rPr>
          <w:rFonts w:ascii="宋体" w:hAnsi="宋体" w:cs="宋体"/>
          <w:b/>
          <w:bCs/>
          <w:color w:val="000000" w:themeColor="text1"/>
          <w:sz w:val="24"/>
          <w:szCs w:val="24"/>
          <w14:textFill>
            <w14:solidFill>
              <w14:schemeClr w14:val="tx1"/>
            </w14:solidFill>
          </w14:textFill>
        </w:rPr>
      </w:pPr>
      <w:bookmarkStart w:id="106" w:name="_Toc351203484"/>
      <w:r>
        <w:rPr>
          <w:rFonts w:hint="eastAsia" w:ascii="宋体" w:hAnsi="宋体" w:cs="宋体"/>
          <w:color w:val="000000" w:themeColor="text1"/>
          <w:sz w:val="24"/>
          <w:szCs w:val="24"/>
          <w14:textFill>
            <w14:solidFill>
              <w14:schemeClr w14:val="tx1"/>
            </w14:solidFill>
          </w14:textFill>
        </w:rPr>
        <w:t>四、签约合同价与合同价格形式</w:t>
      </w:r>
      <w:bookmarkEnd w:id="106"/>
      <w:r>
        <w:rPr>
          <w:rFonts w:hint="eastAsia" w:ascii="宋体" w:hAnsi="宋体" w:cs="宋体"/>
          <w:color w:val="000000" w:themeColor="text1"/>
          <w:sz w:val="24"/>
          <w:szCs w:val="24"/>
          <w14:textFill>
            <w14:solidFill>
              <w14:schemeClr w14:val="tx1"/>
            </w14:solidFill>
          </w14:textFill>
        </w:rPr>
        <w:tab/>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1.签约合同价为：</w:t>
      </w:r>
    </w:p>
    <w:p>
      <w:pPr>
        <w:spacing w:line="360" w:lineRule="auto"/>
        <w:ind w:firstLine="600" w:firstLineChars="25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人民币（大写）(¥元)；</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其中：</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（1）安全文明施工费：</w:t>
      </w:r>
    </w:p>
    <w:p>
      <w:pPr>
        <w:spacing w:line="360" w:lineRule="auto"/>
        <w:ind w:firstLine="1080" w:firstLineChars="45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人民币（大写） (¥元)；</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（2）材料和工程设备暂估价金额：</w:t>
      </w:r>
    </w:p>
    <w:p>
      <w:pPr>
        <w:spacing w:line="360" w:lineRule="auto"/>
        <w:ind w:firstLine="1080" w:firstLineChars="45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人民币（大写） (¥元)；</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（3）专业工程暂估价金额：</w:t>
      </w:r>
    </w:p>
    <w:p>
      <w:pPr>
        <w:spacing w:line="360" w:lineRule="auto"/>
        <w:ind w:firstLine="1080" w:firstLineChars="45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人民币（大写） (¥元)；</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（4）暂列金额：</w:t>
      </w:r>
    </w:p>
    <w:p>
      <w:pPr>
        <w:spacing w:line="360" w:lineRule="auto"/>
        <w:ind w:firstLine="1080" w:firstLineChars="45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人民币（大写） (¥元)。</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2.合同价格形式：。</w:t>
      </w:r>
    </w:p>
    <w:p>
      <w:pPr>
        <w:keepNext/>
        <w:keepLines/>
        <w:spacing w:before="120" w:after="120" w:line="360" w:lineRule="auto"/>
        <w:outlineLvl w:val="3"/>
        <w:rPr>
          <w:rFonts w:ascii="宋体" w:hAnsi="宋体" w:cs="宋体"/>
          <w:color w:val="000000" w:themeColor="text1"/>
          <w:sz w:val="24"/>
          <w:szCs w:val="24"/>
          <w14:textFill>
            <w14:solidFill>
              <w14:schemeClr w14:val="tx1"/>
            </w14:solidFill>
          </w14:textFill>
        </w:rPr>
      </w:pPr>
      <w:bookmarkStart w:id="107" w:name="_Toc351203485"/>
      <w:r>
        <w:rPr>
          <w:rFonts w:hint="eastAsia" w:ascii="宋体" w:hAnsi="宋体" w:cs="宋体"/>
          <w:color w:val="000000" w:themeColor="text1"/>
          <w:sz w:val="24"/>
          <w:szCs w:val="24"/>
          <w14:textFill>
            <w14:solidFill>
              <w14:schemeClr w14:val="tx1"/>
            </w14:solidFill>
          </w14:textFill>
        </w:rPr>
        <w:t>五、</w:t>
      </w:r>
      <w:bookmarkEnd w:id="107"/>
      <w:r>
        <w:rPr>
          <w:rFonts w:hint="eastAsia" w:ascii="宋体" w:hAnsi="宋体" w:cs="宋体"/>
          <w:color w:val="000000" w:themeColor="text1"/>
          <w:sz w:val="24"/>
          <w:szCs w:val="24"/>
          <w14:textFill>
            <w14:solidFill>
              <w14:schemeClr w14:val="tx1"/>
            </w14:solidFill>
          </w14:textFill>
        </w:rPr>
        <w:t>项目经理</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承包人项目经理：。</w:t>
      </w:r>
    </w:p>
    <w:p>
      <w:pPr>
        <w:keepNext/>
        <w:keepLines/>
        <w:spacing w:before="120" w:after="120" w:line="360" w:lineRule="auto"/>
        <w:outlineLvl w:val="3"/>
        <w:rPr>
          <w:rFonts w:ascii="宋体" w:hAnsi="宋体" w:cs="宋体"/>
          <w:b/>
          <w:bCs/>
          <w:color w:val="000000" w:themeColor="text1"/>
          <w:sz w:val="24"/>
          <w:szCs w:val="24"/>
          <w14:textFill>
            <w14:solidFill>
              <w14:schemeClr w14:val="tx1"/>
            </w14:solidFill>
          </w14:textFill>
        </w:rPr>
      </w:pPr>
      <w:bookmarkStart w:id="108" w:name="_Toc351203486"/>
      <w:r>
        <w:rPr>
          <w:rFonts w:hint="eastAsia" w:ascii="宋体" w:hAnsi="宋体" w:cs="宋体"/>
          <w:color w:val="000000" w:themeColor="text1"/>
          <w:sz w:val="24"/>
          <w:szCs w:val="24"/>
          <w14:textFill>
            <w14:solidFill>
              <w14:schemeClr w14:val="tx1"/>
            </w14:solidFill>
          </w14:textFill>
        </w:rPr>
        <w:t>六、合同文件构成</w:t>
      </w:r>
      <w:bookmarkEnd w:id="108"/>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本协议书与下列文件一起构成合同文件：</w:t>
      </w:r>
    </w:p>
    <w:p>
      <w:pPr>
        <w:autoSpaceDE w:val="0"/>
        <w:autoSpaceDN w:val="0"/>
        <w:adjustRightInd w:val="0"/>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（1）成交通知书；</w:t>
      </w:r>
    </w:p>
    <w:p>
      <w:pPr>
        <w:autoSpaceDE w:val="0"/>
        <w:autoSpaceDN w:val="0"/>
        <w:adjustRightInd w:val="0"/>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（2）专用合同条款及其附件；</w:t>
      </w:r>
    </w:p>
    <w:p>
      <w:pPr>
        <w:autoSpaceDE w:val="0"/>
        <w:autoSpaceDN w:val="0"/>
        <w:adjustRightInd w:val="0"/>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（3）通用合同条款；</w:t>
      </w:r>
    </w:p>
    <w:p>
      <w:pPr>
        <w:autoSpaceDE w:val="0"/>
        <w:autoSpaceDN w:val="0"/>
        <w:adjustRightInd w:val="0"/>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（4）磋商文件；</w:t>
      </w:r>
    </w:p>
    <w:p>
      <w:pPr>
        <w:autoSpaceDE w:val="0"/>
        <w:autoSpaceDN w:val="0"/>
        <w:adjustRightInd w:val="0"/>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（5）响应文件：</w:t>
      </w:r>
    </w:p>
    <w:p>
      <w:pPr>
        <w:autoSpaceDE w:val="0"/>
        <w:autoSpaceDN w:val="0"/>
        <w:adjustRightInd w:val="0"/>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（6）评审报告；</w:t>
      </w:r>
    </w:p>
    <w:p>
      <w:pPr>
        <w:autoSpaceDE w:val="0"/>
        <w:autoSpaceDN w:val="0"/>
        <w:adjustRightInd w:val="0"/>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（7）技术标准和要求；</w:t>
      </w:r>
    </w:p>
    <w:p>
      <w:pPr>
        <w:autoSpaceDE w:val="0"/>
        <w:autoSpaceDN w:val="0"/>
        <w:adjustRightInd w:val="0"/>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（8）图纸；</w:t>
      </w:r>
    </w:p>
    <w:p>
      <w:pPr>
        <w:autoSpaceDE w:val="0"/>
        <w:autoSpaceDN w:val="0"/>
        <w:adjustRightInd w:val="0"/>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（9）已标价工程量清单或预算书；</w:t>
      </w:r>
    </w:p>
    <w:p>
      <w:pPr>
        <w:autoSpaceDE w:val="0"/>
        <w:autoSpaceDN w:val="0"/>
        <w:adjustRightInd w:val="0"/>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（10）其他合同文件。</w:t>
      </w:r>
    </w:p>
    <w:p>
      <w:pPr>
        <w:autoSpaceDE w:val="0"/>
        <w:autoSpaceDN w:val="0"/>
        <w:adjustRightInd w:val="0"/>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在合同订立及履行过程中形成的与合同有关的文件均构成合同文件组成部分。</w:t>
      </w:r>
    </w:p>
    <w:p>
      <w:pPr>
        <w:autoSpaceDE w:val="0"/>
        <w:autoSpaceDN w:val="0"/>
        <w:adjustRightInd w:val="0"/>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上述各项合同文件包括合同当事人就该项合同文件所作出的补充和修改，属于同一类内容的文件，应以最新签署的为准。专用合同条款及其附件须经合同当事人签字或盖章。</w:t>
      </w:r>
    </w:p>
    <w:p>
      <w:pPr>
        <w:keepNext/>
        <w:keepLines/>
        <w:spacing w:before="120" w:after="120" w:line="360" w:lineRule="auto"/>
        <w:outlineLvl w:val="3"/>
        <w:rPr>
          <w:rFonts w:ascii="宋体" w:hAnsi="宋体" w:cs="宋体"/>
          <w:color w:val="000000" w:themeColor="text1"/>
          <w:sz w:val="24"/>
          <w:szCs w:val="24"/>
          <w14:textFill>
            <w14:solidFill>
              <w14:schemeClr w14:val="tx1"/>
            </w14:solidFill>
          </w14:textFill>
        </w:rPr>
      </w:pPr>
      <w:bookmarkStart w:id="109" w:name="_Toc351203487"/>
      <w:r>
        <w:rPr>
          <w:rFonts w:hint="eastAsia" w:ascii="宋体" w:hAnsi="宋体" w:cs="宋体"/>
          <w:color w:val="000000" w:themeColor="text1"/>
          <w:sz w:val="24"/>
          <w:szCs w:val="24"/>
          <w14:textFill>
            <w14:solidFill>
              <w14:schemeClr w14:val="tx1"/>
            </w14:solidFill>
          </w14:textFill>
        </w:rPr>
        <w:t>七、承诺</w:t>
      </w:r>
      <w:bookmarkEnd w:id="109"/>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1.发包人承诺按照法律规定履行项目审批手续、筹集工程建设资金并按照合同约定的期限和方式支付合同价款。</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2.承包人承诺按照法律规定及合同约定组织完成工程施工，确保工程质量和安全，不进行转包及违法分包，并在缺陷责任期及保修期内承担相应的工程维修责任。</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3.发包人和承包人通过招投标形式签订合同的，双方理解并承诺不再就同一工程另行签订与合同实质性内容相背离的协议。</w:t>
      </w:r>
    </w:p>
    <w:p>
      <w:pPr>
        <w:spacing w:line="360" w:lineRule="auto"/>
        <w:rPr>
          <w:rFonts w:ascii="宋体" w:hAnsi="宋体" w:cs="宋体"/>
          <w:color w:val="000000" w:themeColor="text1"/>
          <w:sz w:val="24"/>
          <w:szCs w:val="24"/>
          <w14:textFill>
            <w14:solidFill>
              <w14:schemeClr w14:val="tx1"/>
            </w14:solidFill>
          </w14:textFill>
        </w:rPr>
      </w:pPr>
      <w:bookmarkStart w:id="110" w:name="_Toc351203488"/>
      <w:r>
        <w:rPr>
          <w:rFonts w:hint="eastAsia" w:ascii="宋体" w:hAnsi="宋体" w:cs="宋体"/>
          <w:b/>
          <w:bCs/>
          <w:color w:val="000000" w:themeColor="text1"/>
          <w:sz w:val="24"/>
          <w:szCs w:val="24"/>
          <w14:textFill>
            <w14:solidFill>
              <w14:schemeClr w14:val="tx1"/>
            </w14:solidFill>
          </w14:textFill>
        </w:rPr>
        <w:t>八、词语含义</w:t>
      </w:r>
      <w:bookmarkEnd w:id="110"/>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本协议书中词语含义与第二部分通用合同条款中赋予的含义相同。</w:t>
      </w:r>
    </w:p>
    <w:p>
      <w:pPr>
        <w:keepNext/>
        <w:keepLines/>
        <w:spacing w:before="120" w:after="120" w:line="360" w:lineRule="auto"/>
        <w:outlineLvl w:val="3"/>
        <w:rPr>
          <w:rFonts w:ascii="宋体" w:hAnsi="宋体" w:cs="宋体"/>
          <w:b/>
          <w:bCs/>
          <w:color w:val="000000" w:themeColor="text1"/>
          <w:sz w:val="24"/>
          <w:szCs w:val="24"/>
          <w14:textFill>
            <w14:solidFill>
              <w14:schemeClr w14:val="tx1"/>
            </w14:solidFill>
          </w14:textFill>
        </w:rPr>
      </w:pPr>
      <w:bookmarkStart w:id="111" w:name="_Toc351203489"/>
      <w:r>
        <w:rPr>
          <w:rFonts w:hint="eastAsia" w:ascii="宋体" w:hAnsi="宋体" w:cs="宋体"/>
          <w:color w:val="000000" w:themeColor="text1"/>
          <w:sz w:val="24"/>
          <w:szCs w:val="24"/>
          <w14:textFill>
            <w14:solidFill>
              <w14:schemeClr w14:val="tx1"/>
            </w14:solidFill>
          </w14:textFill>
        </w:rPr>
        <w:t>九、签订时间</w:t>
      </w:r>
      <w:bookmarkEnd w:id="111"/>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本合同于XX年XX月XX日签订。</w:t>
      </w:r>
    </w:p>
    <w:p>
      <w:pPr>
        <w:keepNext/>
        <w:keepLines/>
        <w:spacing w:before="120" w:after="120" w:line="360" w:lineRule="auto"/>
        <w:outlineLvl w:val="3"/>
        <w:rPr>
          <w:rFonts w:ascii="宋体" w:hAnsi="宋体" w:cs="宋体"/>
          <w:b/>
          <w:bCs/>
          <w:color w:val="000000" w:themeColor="text1"/>
          <w:sz w:val="24"/>
          <w:szCs w:val="24"/>
          <w14:textFill>
            <w14:solidFill>
              <w14:schemeClr w14:val="tx1"/>
            </w14:solidFill>
          </w14:textFill>
        </w:rPr>
      </w:pPr>
      <w:bookmarkStart w:id="112" w:name="_Toc351203490"/>
      <w:r>
        <w:rPr>
          <w:rFonts w:hint="eastAsia" w:ascii="宋体" w:hAnsi="宋体" w:cs="宋体"/>
          <w:color w:val="000000" w:themeColor="text1"/>
          <w:sz w:val="24"/>
          <w:szCs w:val="24"/>
          <w14:textFill>
            <w14:solidFill>
              <w14:schemeClr w14:val="tx1"/>
            </w14:solidFill>
          </w14:textFill>
        </w:rPr>
        <w:t>十、签订地点</w:t>
      </w:r>
      <w:bookmarkEnd w:id="112"/>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本合同在XXX签订。</w:t>
      </w:r>
    </w:p>
    <w:p>
      <w:pPr>
        <w:keepNext/>
        <w:keepLines/>
        <w:spacing w:before="120" w:after="120" w:line="360" w:lineRule="auto"/>
        <w:outlineLvl w:val="3"/>
        <w:rPr>
          <w:rFonts w:ascii="宋体" w:hAnsi="宋体" w:cs="宋体"/>
          <w:b/>
          <w:bCs/>
          <w:color w:val="000000" w:themeColor="text1"/>
          <w:sz w:val="24"/>
          <w:szCs w:val="24"/>
          <w14:textFill>
            <w14:solidFill>
              <w14:schemeClr w14:val="tx1"/>
            </w14:solidFill>
          </w14:textFill>
        </w:rPr>
      </w:pPr>
      <w:bookmarkStart w:id="113" w:name="_Toc351203491"/>
      <w:r>
        <w:rPr>
          <w:rFonts w:hint="eastAsia" w:ascii="宋体" w:hAnsi="宋体" w:cs="宋体"/>
          <w:color w:val="000000" w:themeColor="text1"/>
          <w:sz w:val="24"/>
          <w:szCs w:val="24"/>
          <w14:textFill>
            <w14:solidFill>
              <w14:schemeClr w14:val="tx1"/>
            </w14:solidFill>
          </w14:textFill>
        </w:rPr>
        <w:t>十一、补充协议</w:t>
      </w:r>
      <w:bookmarkEnd w:id="113"/>
    </w:p>
    <w:p>
      <w:pPr>
        <w:spacing w:line="360" w:lineRule="auto"/>
        <w:ind w:firstLine="480" w:firstLineChars="200"/>
        <w:rPr>
          <w:rFonts w:ascii="宋体" w:hAnsi="宋体" w:cs="宋体"/>
          <w:b/>
          <w:bCs/>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合同未尽事宜，合同当事人另行签订补充协议，补充协议是合同的组成部分。</w:t>
      </w:r>
    </w:p>
    <w:p>
      <w:pPr>
        <w:keepNext/>
        <w:keepLines/>
        <w:spacing w:before="120" w:after="120" w:line="360" w:lineRule="auto"/>
        <w:outlineLvl w:val="3"/>
        <w:rPr>
          <w:rFonts w:ascii="宋体" w:hAnsi="宋体" w:cs="宋体"/>
          <w:b/>
          <w:bCs/>
          <w:color w:val="000000" w:themeColor="text1"/>
          <w:sz w:val="24"/>
          <w:szCs w:val="24"/>
          <w14:textFill>
            <w14:solidFill>
              <w14:schemeClr w14:val="tx1"/>
            </w14:solidFill>
          </w14:textFill>
        </w:rPr>
      </w:pPr>
      <w:bookmarkStart w:id="114" w:name="_Toc351203492"/>
      <w:r>
        <w:rPr>
          <w:rFonts w:hint="eastAsia" w:ascii="宋体" w:hAnsi="宋体" w:cs="宋体"/>
          <w:color w:val="000000" w:themeColor="text1"/>
          <w:sz w:val="24"/>
          <w:szCs w:val="24"/>
          <w14:textFill>
            <w14:solidFill>
              <w14:schemeClr w14:val="tx1"/>
            </w14:solidFill>
          </w14:textFill>
        </w:rPr>
        <w:t>十二、合同生效</w:t>
      </w:r>
      <w:bookmarkEnd w:id="114"/>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本合同自生效。</w:t>
      </w:r>
    </w:p>
    <w:p>
      <w:pPr>
        <w:keepNext/>
        <w:keepLines/>
        <w:spacing w:before="120" w:after="120" w:line="360" w:lineRule="auto"/>
        <w:outlineLvl w:val="3"/>
        <w:rPr>
          <w:rFonts w:ascii="宋体" w:hAnsi="宋体" w:cs="宋体"/>
          <w:b/>
          <w:bCs/>
          <w:color w:val="000000" w:themeColor="text1"/>
          <w:sz w:val="24"/>
          <w:szCs w:val="24"/>
          <w14:textFill>
            <w14:solidFill>
              <w14:schemeClr w14:val="tx1"/>
            </w14:solidFill>
          </w14:textFill>
        </w:rPr>
      </w:pPr>
      <w:bookmarkStart w:id="115" w:name="_Toc351203493"/>
      <w:r>
        <w:rPr>
          <w:rFonts w:hint="eastAsia" w:ascii="宋体" w:hAnsi="宋体" w:cs="宋体"/>
          <w:color w:val="000000" w:themeColor="text1"/>
          <w:sz w:val="24"/>
          <w:szCs w:val="24"/>
          <w14:textFill>
            <w14:solidFill>
              <w14:schemeClr w14:val="tx1"/>
            </w14:solidFill>
          </w14:textFill>
        </w:rPr>
        <w:t>十三、合同份数</w:t>
      </w:r>
      <w:bookmarkEnd w:id="115"/>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本合同一式份，均具有同等法律效力，发包人执份，承包人执份。</w:t>
      </w:r>
    </w:p>
    <w:p>
      <w:pPr>
        <w:spacing w:line="360" w:lineRule="auto"/>
        <w:rPr>
          <w:rFonts w:ascii="宋体" w:hAnsi="宋体" w:cs="宋体"/>
          <w:color w:val="000000" w:themeColor="text1"/>
          <w:sz w:val="24"/>
          <w:szCs w:val="24"/>
          <w14:textFill>
            <w14:solidFill>
              <w14:schemeClr w14:val="tx1"/>
            </w14:solidFill>
          </w14:textFill>
        </w:rPr>
      </w:pPr>
    </w:p>
    <w:bookmarkEnd w:id="52"/>
    <w:p>
      <w:pPr>
        <w:spacing w:line="360" w:lineRule="auto"/>
        <w:rPr>
          <w:rFonts w:ascii="宋体" w:hAnsi="宋体" w:cs="宋体"/>
          <w:color w:val="000000" w:themeColor="text1"/>
          <w:sz w:val="24"/>
          <w:szCs w:val="24"/>
          <w14:textFill>
            <w14:solidFill>
              <w14:schemeClr w14:val="tx1"/>
            </w14:solidFill>
          </w14:textFill>
        </w:rPr>
      </w:pPr>
    </w:p>
    <w:p>
      <w:pPr>
        <w:spacing w:line="360" w:lineRule="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发包人：  (公章)                    承包人：  (公章)</w:t>
      </w:r>
    </w:p>
    <w:p>
      <w:pPr>
        <w:spacing w:line="360" w:lineRule="auto"/>
        <w:rPr>
          <w:rFonts w:ascii="宋体" w:hAnsi="宋体" w:cs="宋体"/>
          <w:color w:val="000000" w:themeColor="text1"/>
          <w:sz w:val="24"/>
          <w:szCs w:val="24"/>
          <w:u w:val="single"/>
          <w14:textFill>
            <w14:solidFill>
              <w14:schemeClr w14:val="tx1"/>
            </w14:solidFill>
          </w14:textFill>
        </w:rPr>
      </w:pPr>
    </w:p>
    <w:p>
      <w:pPr>
        <w:spacing w:line="360" w:lineRule="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法定代表人或其委托代理人：法定代表人或其委托代理人：</w:t>
      </w:r>
    </w:p>
    <w:p>
      <w:pPr>
        <w:spacing w:line="360" w:lineRule="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（签字）（签字）</w:t>
      </w:r>
    </w:p>
    <w:p>
      <w:pPr>
        <w:spacing w:line="360" w:lineRule="auto"/>
        <w:rPr>
          <w:rFonts w:ascii="宋体" w:hAnsi="宋体" w:cs="宋体"/>
          <w:color w:val="000000" w:themeColor="text1"/>
          <w:sz w:val="24"/>
          <w:szCs w:val="24"/>
          <w:u w:val="single"/>
          <w14:textFill>
            <w14:solidFill>
              <w14:schemeClr w14:val="tx1"/>
            </w14:solidFill>
          </w14:textFill>
        </w:rPr>
      </w:pPr>
    </w:p>
    <w:p>
      <w:pPr>
        <w:tabs>
          <w:tab w:val="left" w:pos="4410"/>
        </w:tabs>
        <w:spacing w:line="360" w:lineRule="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组织机构代码：组织机构代码：</w:t>
      </w:r>
    </w:p>
    <w:p>
      <w:pPr>
        <w:spacing w:line="360" w:lineRule="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地址：地址：</w:t>
      </w:r>
    </w:p>
    <w:p>
      <w:pPr>
        <w:spacing w:line="360" w:lineRule="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邮政编码：邮政编码：</w:t>
      </w:r>
    </w:p>
    <w:p>
      <w:pPr>
        <w:spacing w:line="360" w:lineRule="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法定代表人：法定代表人：</w:t>
      </w:r>
    </w:p>
    <w:p>
      <w:pPr>
        <w:spacing w:line="360" w:lineRule="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委托代理人：委托代理人：</w:t>
      </w:r>
    </w:p>
    <w:p>
      <w:pPr>
        <w:spacing w:line="360" w:lineRule="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电话：电话：</w:t>
      </w:r>
    </w:p>
    <w:p>
      <w:pPr>
        <w:spacing w:line="360" w:lineRule="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传真：传真：</w:t>
      </w:r>
    </w:p>
    <w:p>
      <w:pPr>
        <w:spacing w:line="360" w:lineRule="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电子信箱：电子信箱：</w:t>
      </w:r>
    </w:p>
    <w:p>
      <w:pPr>
        <w:spacing w:line="360" w:lineRule="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开户银行：开户银行：</w:t>
      </w:r>
    </w:p>
    <w:p>
      <w:pPr>
        <w:spacing w:line="360" w:lineRule="auto"/>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账号：账号：</w:t>
      </w:r>
    </w:p>
    <w:p>
      <w:pPr>
        <w:spacing w:line="360" w:lineRule="auto"/>
        <w:jc w:val="center"/>
        <w:rPr>
          <w:rFonts w:ascii="宋体" w:hAnsi="宋体" w:cs="宋体"/>
          <w:color w:val="000000" w:themeColor="text1"/>
          <w:sz w:val="24"/>
          <w:szCs w:val="24"/>
          <w14:textFill>
            <w14:solidFill>
              <w14:schemeClr w14:val="tx1"/>
            </w14:solidFill>
          </w14:textFill>
        </w:rPr>
      </w:pPr>
      <w:bookmarkStart w:id="116" w:name="_Toc351203494"/>
    </w:p>
    <w:p>
      <w:pPr>
        <w:spacing w:line="360" w:lineRule="auto"/>
        <w:jc w:val="center"/>
        <w:rPr>
          <w:rFonts w:ascii="宋体" w:hAnsi="宋体" w:cs="宋体"/>
          <w:color w:val="000000" w:themeColor="text1"/>
          <w:sz w:val="24"/>
          <w:szCs w:val="24"/>
          <w14:textFill>
            <w14:solidFill>
              <w14:schemeClr w14:val="tx1"/>
            </w14:solidFill>
          </w14:textFill>
        </w:rPr>
      </w:pPr>
    </w:p>
    <w:p>
      <w:pPr>
        <w:spacing w:line="360" w:lineRule="auto"/>
        <w:jc w:val="center"/>
        <w:rPr>
          <w:rFonts w:ascii="宋体" w:hAnsi="宋体" w:cs="宋体"/>
          <w:b/>
          <w:bCs/>
          <w:color w:val="000000" w:themeColor="text1"/>
          <w:sz w:val="32"/>
          <w:szCs w:val="32"/>
          <w14:textFill>
            <w14:solidFill>
              <w14:schemeClr w14:val="tx1"/>
            </w14:solidFill>
          </w14:textFill>
        </w:rPr>
      </w:pPr>
      <w:r>
        <w:rPr>
          <w:rFonts w:hint="eastAsia" w:ascii="宋体" w:hAnsi="宋体" w:cs="宋体"/>
          <w:color w:val="000000" w:themeColor="text1"/>
          <w:sz w:val="32"/>
          <w:szCs w:val="32"/>
          <w14:textFill>
            <w14:solidFill>
              <w14:schemeClr w14:val="tx1"/>
            </w14:solidFill>
          </w14:textFill>
        </w:rPr>
        <w:t>第二节通用合同条款</w:t>
      </w:r>
      <w:bookmarkEnd w:id="116"/>
      <w:bookmarkStart w:id="117" w:name="_Toc337558727"/>
    </w:p>
    <w:bookmarkEnd w:id="117"/>
    <w:p>
      <w:pPr>
        <w:keepNext/>
        <w:keepLines/>
        <w:spacing w:before="260" w:after="260" w:line="360" w:lineRule="auto"/>
        <w:jc w:val="left"/>
        <w:outlineLvl w:val="2"/>
        <w:rPr>
          <w:rFonts w:ascii="宋体" w:hAnsi="宋体" w:cs="宋体"/>
          <w:color w:val="000000" w:themeColor="text1"/>
          <w:sz w:val="24"/>
          <w:szCs w:val="24"/>
          <w14:textFill>
            <w14:solidFill>
              <w14:schemeClr w14:val="tx1"/>
            </w14:solidFill>
          </w14:textFill>
        </w:rPr>
      </w:pPr>
      <w:bookmarkStart w:id="118" w:name="_Toc351203632"/>
      <w:r>
        <w:rPr>
          <w:rFonts w:hint="eastAsia" w:ascii="宋体" w:hAnsi="宋体" w:cs="宋体"/>
          <w:color w:val="000000" w:themeColor="text1"/>
          <w:sz w:val="24"/>
          <w:szCs w:val="24"/>
          <w14:textFill>
            <w14:solidFill>
              <w14:schemeClr w14:val="tx1"/>
            </w14:solidFill>
          </w14:textFill>
        </w:rPr>
        <w:t>备注：</w:t>
      </w:r>
    </w:p>
    <w:p>
      <w:pPr>
        <w:keepNext/>
        <w:keepLines/>
        <w:spacing w:before="260" w:after="260" w:line="360" w:lineRule="auto"/>
        <w:ind w:firstLine="720" w:firstLineChars="300"/>
        <w:jc w:val="left"/>
        <w:outlineLvl w:val="2"/>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1、本项目通用合同条款参照《建设工程施工合同(示范文本)》(GF-2017-0201)通用合同条款执行。</w:t>
      </w:r>
    </w:p>
    <w:p>
      <w:pPr>
        <w:keepNext/>
        <w:keepLines/>
        <w:spacing w:before="260" w:after="260" w:line="360" w:lineRule="auto"/>
        <w:ind w:firstLine="720" w:firstLineChars="300"/>
        <w:jc w:val="left"/>
        <w:outlineLvl w:val="2"/>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2、如有最新版本，参照最新版本执行。</w:t>
      </w:r>
    </w:p>
    <w:p>
      <w:pPr>
        <w:keepNext/>
        <w:keepLines/>
        <w:spacing w:before="260" w:after="260" w:line="360" w:lineRule="auto"/>
        <w:jc w:val="center"/>
        <w:outlineLvl w:val="2"/>
        <w:rPr>
          <w:rFonts w:ascii="宋体" w:hAnsi="宋体" w:cs="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br w:type="page"/>
      </w:r>
      <w:bookmarkStart w:id="119" w:name="PO_默认文件内容_28"/>
      <w:r>
        <w:rPr>
          <w:rFonts w:hint="eastAsia" w:ascii="宋体" w:hAnsi="宋体" w:cs="宋体"/>
          <w:color w:val="000000" w:themeColor="text1"/>
          <w:sz w:val="32"/>
          <w:szCs w:val="32"/>
          <w14:textFill>
            <w14:solidFill>
              <w14:schemeClr w14:val="tx1"/>
            </w14:solidFill>
          </w14:textFill>
        </w:rPr>
        <w:t>第三节专用合同条款</w:t>
      </w:r>
      <w:bookmarkEnd w:id="118"/>
    </w:p>
    <w:p>
      <w:pPr>
        <w:keepNext/>
        <w:keepLines/>
        <w:spacing w:before="120" w:after="120" w:line="360" w:lineRule="auto"/>
        <w:outlineLvl w:val="3"/>
        <w:rPr>
          <w:rFonts w:ascii="宋体" w:hAnsi="宋体" w:cs="宋体"/>
          <w:color w:val="000000" w:themeColor="text1"/>
          <w:sz w:val="24"/>
          <w:szCs w:val="24"/>
          <w14:textFill>
            <w14:solidFill>
              <w14:schemeClr w14:val="tx1"/>
            </w14:solidFill>
          </w14:textFill>
        </w:rPr>
      </w:pPr>
      <w:bookmarkStart w:id="120" w:name="_Toc351203633"/>
      <w:r>
        <w:rPr>
          <w:rFonts w:hint="eastAsia" w:ascii="宋体" w:hAnsi="宋体" w:cs="宋体"/>
          <w:color w:val="000000" w:themeColor="text1"/>
          <w:sz w:val="24"/>
          <w:szCs w:val="24"/>
          <w14:textFill>
            <w14:solidFill>
              <w14:schemeClr w14:val="tx1"/>
            </w14:solidFill>
          </w14:textFill>
        </w:rPr>
        <w:t>1</w:t>
      </w:r>
      <w:bookmarkStart w:id="121" w:name="_Toc296347155"/>
      <w:bookmarkStart w:id="122" w:name="_Toc296890984"/>
      <w:bookmarkStart w:id="123" w:name="_Toc292559361"/>
      <w:bookmarkStart w:id="124" w:name="_Toc297120456"/>
      <w:bookmarkStart w:id="125" w:name="_Toc296503156"/>
      <w:bookmarkStart w:id="126" w:name="_Toc292559866"/>
      <w:bookmarkStart w:id="127" w:name="_Toc296944495"/>
      <w:bookmarkStart w:id="128" w:name="_Toc297048342"/>
      <w:bookmarkStart w:id="129" w:name="_Toc296891196"/>
      <w:bookmarkStart w:id="130" w:name="_Toc296346657"/>
      <w:r>
        <w:rPr>
          <w:rFonts w:hint="eastAsia" w:ascii="宋体" w:hAnsi="宋体" w:cs="宋体"/>
          <w:color w:val="000000" w:themeColor="text1"/>
          <w:sz w:val="24"/>
          <w:szCs w:val="24"/>
          <w14:textFill>
            <w14:solidFill>
              <w14:schemeClr w14:val="tx1"/>
            </w14:solidFill>
          </w14:textFill>
        </w:rPr>
        <w:t>. 一般约定</w:t>
      </w:r>
      <w:bookmarkEnd w:id="120"/>
    </w:p>
    <w:bookmarkEnd w:id="121"/>
    <w:bookmarkEnd w:id="122"/>
    <w:bookmarkEnd w:id="123"/>
    <w:bookmarkEnd w:id="124"/>
    <w:bookmarkEnd w:id="125"/>
    <w:bookmarkEnd w:id="126"/>
    <w:bookmarkEnd w:id="127"/>
    <w:bookmarkEnd w:id="128"/>
    <w:bookmarkEnd w:id="129"/>
    <w:bookmarkEnd w:id="130"/>
    <w:p>
      <w:pPr>
        <w:spacing w:after="120" w:line="360" w:lineRule="auto"/>
        <w:ind w:firstLine="480" w:firstLineChars="200"/>
        <w:outlineLvl w:val="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1.1 词语定义</w:t>
      </w:r>
    </w:p>
    <w:p>
      <w:pPr>
        <w:spacing w:line="360" w:lineRule="auto"/>
        <w:ind w:firstLine="480" w:firstLineChars="200"/>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1.1.1合同</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1.1.1.1其他合同文件包括：</w:t>
      </w:r>
      <w:r>
        <w:rPr>
          <w:rFonts w:hint="eastAsia" w:ascii="宋体" w:hAnsi="宋体" w:cs="宋体"/>
          <w:color w:val="000000" w:themeColor="text1"/>
          <w:sz w:val="24"/>
          <w:szCs w:val="24"/>
          <w14:textFill>
            <w14:solidFill>
              <w14:schemeClr w14:val="tx1"/>
            </w14:solidFill>
          </w14:textFill>
        </w:rPr>
        <w:t>。</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1.2 合同当事人及其他相关方</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1.2.1 监理人：</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名称：；</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资质类别和等级：；</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联系电话：；</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电子信箱：；</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通信地址：。</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1.2.2 设计人：</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名称：；</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资质类别和等级：；</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联系电话：；</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电子信箱：；</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通信地址：。</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1.3 工程和设备</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1.3.1 作为施工现场组成部分的其他场所包括：。</w:t>
      </w:r>
    </w:p>
    <w:p>
      <w:pPr>
        <w:spacing w:line="360" w:lineRule="auto"/>
        <w:ind w:firstLine="480" w:firstLineChars="200"/>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1.3.2 永久占地包括：。</w:t>
      </w:r>
    </w:p>
    <w:p>
      <w:pPr>
        <w:spacing w:line="360" w:lineRule="auto"/>
        <w:ind w:firstLine="480" w:firstLineChars="200"/>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1.3.3 临时占地包括：。</w:t>
      </w:r>
    </w:p>
    <w:p>
      <w:pPr>
        <w:spacing w:after="120"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1.4法律</w:t>
      </w:r>
    </w:p>
    <w:p>
      <w:pPr>
        <w:autoSpaceDE w:val="0"/>
        <w:autoSpaceDN w:val="0"/>
        <w:adjustRightInd w:val="0"/>
        <w:spacing w:line="360" w:lineRule="auto"/>
        <w:ind w:left="596" w:leftChars="284"/>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适用于合同的其他规范性文件：。</w:t>
      </w:r>
    </w:p>
    <w:p>
      <w:pPr>
        <w:spacing w:after="120"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1.5 标准和规范</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1.5.1适用于工程的标准规范包括：。</w:t>
      </w:r>
    </w:p>
    <w:p>
      <w:pPr>
        <w:spacing w:line="360" w:lineRule="auto"/>
        <w:ind w:firstLine="480" w:firstLineChars="200"/>
        <w:outlineLvl w:val="0"/>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1.5.2 发包人提供国外标准、规范的名称：；</w:t>
      </w:r>
    </w:p>
    <w:p>
      <w:pPr>
        <w:spacing w:line="360" w:lineRule="auto"/>
        <w:ind w:firstLine="1200" w:firstLineChars="500"/>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发包人提供国外标准、规范的份数：；</w:t>
      </w:r>
    </w:p>
    <w:p>
      <w:pPr>
        <w:spacing w:line="360" w:lineRule="auto"/>
        <w:ind w:firstLine="1200" w:firstLineChars="5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发包人提供国外标准、规范的名称：。</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1.5.3发包人对工程的技术标准和功能要求的特殊要求：。</w:t>
      </w:r>
    </w:p>
    <w:p>
      <w:pPr>
        <w:spacing w:after="120" w:line="360" w:lineRule="auto"/>
        <w:ind w:firstLine="480" w:firstLineChars="200"/>
        <w:outlineLvl w:val="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1.6 合同文件的优先顺序</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合同文件组成及优先顺序为：</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（1）合同协议书；</w:t>
      </w:r>
    </w:p>
    <w:p>
      <w:pPr>
        <w:autoSpaceDE w:val="0"/>
        <w:autoSpaceDN w:val="0"/>
        <w:adjustRightInd w:val="0"/>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（2）成交通知书；</w:t>
      </w:r>
    </w:p>
    <w:p>
      <w:pPr>
        <w:autoSpaceDE w:val="0"/>
        <w:autoSpaceDN w:val="0"/>
        <w:adjustRightInd w:val="0"/>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（3）专用合同条款及其附件；</w:t>
      </w:r>
    </w:p>
    <w:p>
      <w:pPr>
        <w:autoSpaceDE w:val="0"/>
        <w:autoSpaceDN w:val="0"/>
        <w:adjustRightInd w:val="0"/>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（4）通用合同条款；</w:t>
      </w:r>
    </w:p>
    <w:p>
      <w:pPr>
        <w:autoSpaceDE w:val="0"/>
        <w:autoSpaceDN w:val="0"/>
        <w:adjustRightInd w:val="0"/>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（5）磋商文件；</w:t>
      </w:r>
    </w:p>
    <w:p>
      <w:pPr>
        <w:autoSpaceDE w:val="0"/>
        <w:autoSpaceDN w:val="0"/>
        <w:adjustRightInd w:val="0"/>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（6）响应文件：</w:t>
      </w:r>
    </w:p>
    <w:p>
      <w:pPr>
        <w:autoSpaceDE w:val="0"/>
        <w:autoSpaceDN w:val="0"/>
        <w:adjustRightInd w:val="0"/>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（7）评审报告；</w:t>
      </w:r>
    </w:p>
    <w:p>
      <w:pPr>
        <w:autoSpaceDE w:val="0"/>
        <w:autoSpaceDN w:val="0"/>
        <w:adjustRightInd w:val="0"/>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（8）技术标准和要求；</w:t>
      </w:r>
    </w:p>
    <w:p>
      <w:pPr>
        <w:autoSpaceDE w:val="0"/>
        <w:autoSpaceDN w:val="0"/>
        <w:adjustRightInd w:val="0"/>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（9）图纸；</w:t>
      </w:r>
    </w:p>
    <w:p>
      <w:pPr>
        <w:autoSpaceDE w:val="0"/>
        <w:autoSpaceDN w:val="0"/>
        <w:adjustRightInd w:val="0"/>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（10）已标价工程量清单或预算书；</w:t>
      </w:r>
    </w:p>
    <w:p>
      <w:pPr>
        <w:autoSpaceDE w:val="0"/>
        <w:autoSpaceDN w:val="0"/>
        <w:adjustRightInd w:val="0"/>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（11）其他合同文件。</w:t>
      </w:r>
    </w:p>
    <w:p>
      <w:pPr>
        <w:spacing w:after="120" w:line="360" w:lineRule="auto"/>
        <w:ind w:firstLine="480" w:firstLineChars="200"/>
        <w:outlineLvl w:val="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1.7 图纸和承包人文件</w:t>
      </w:r>
      <w:r>
        <w:rPr>
          <w:rFonts w:hint="eastAsia" w:ascii="宋体" w:hAnsi="宋体" w:cs="宋体"/>
          <w:color w:val="000000" w:themeColor="text1"/>
          <w:sz w:val="24"/>
          <w:szCs w:val="24"/>
          <w14:textFill>
            <w14:solidFill>
              <w14:schemeClr w14:val="tx1"/>
            </w14:solidFill>
          </w14:textFill>
        </w:rPr>
        <w:tab/>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1.7.1 图纸的提供</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发包人向承包人提供图纸的期限：；</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发包人向承包人提供图纸的数量：；</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发包人向承包人提供图纸的内容：。</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1.7.2 承包人文件</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需要由承包人提供的文件，包括：；</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承包人提供的文件的期限为：；</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承包人提供的文件的数量为：；</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承包人提供的文件的形式为：；</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发包人审批承包人文件的期限：。</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1.7.3 现场图纸准备</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关于现场图纸准备的约定：。</w:t>
      </w:r>
    </w:p>
    <w:p>
      <w:pPr>
        <w:spacing w:after="120" w:line="360" w:lineRule="auto"/>
        <w:ind w:firstLine="480" w:firstLineChars="200"/>
        <w:outlineLvl w:val="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1.8 联络</w:t>
      </w:r>
    </w:p>
    <w:p>
      <w:pPr>
        <w:spacing w:line="360" w:lineRule="auto"/>
        <w:ind w:firstLine="480" w:firstLineChars="200"/>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1.8.1发包人和承包人应当在天内将与合同有关的通知、批准、证明、证书、指示、指令、要求、请求、同意、意见、确定和决定等书面函件送达对方当事人。</w:t>
      </w:r>
    </w:p>
    <w:p>
      <w:pPr>
        <w:spacing w:line="360" w:lineRule="auto"/>
        <w:ind w:firstLine="480" w:firstLineChars="200"/>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1.8.2 发包人接收文件的地点：；</w:t>
      </w:r>
    </w:p>
    <w:p>
      <w:pPr>
        <w:spacing w:line="360" w:lineRule="auto"/>
        <w:ind w:firstLine="480" w:firstLineChars="200"/>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发包人指定的接收人为：。</w:t>
      </w:r>
    </w:p>
    <w:p>
      <w:pPr>
        <w:spacing w:line="360" w:lineRule="auto"/>
        <w:ind w:firstLine="480" w:firstLineChars="200"/>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承包人接收文件的地点：；</w:t>
      </w:r>
    </w:p>
    <w:p>
      <w:pPr>
        <w:spacing w:line="360" w:lineRule="auto"/>
        <w:ind w:firstLine="480" w:firstLineChars="200"/>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承包人指定的接收人为：。</w:t>
      </w:r>
    </w:p>
    <w:p>
      <w:pPr>
        <w:spacing w:line="360" w:lineRule="auto"/>
        <w:ind w:firstLine="480" w:firstLineChars="200"/>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监理人接收文件的地点：；</w:t>
      </w:r>
    </w:p>
    <w:p>
      <w:pPr>
        <w:spacing w:line="360" w:lineRule="auto"/>
        <w:ind w:firstLine="480" w:firstLineChars="200"/>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监理人指定的接收人为：。</w:t>
      </w:r>
    </w:p>
    <w:p>
      <w:pPr>
        <w:spacing w:after="120" w:line="360" w:lineRule="auto"/>
        <w:ind w:firstLine="480" w:firstLineChars="200"/>
        <w:outlineLvl w:val="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1.9 交通运输</w:t>
      </w:r>
    </w:p>
    <w:p>
      <w:pPr>
        <w:spacing w:line="360" w:lineRule="auto"/>
        <w:ind w:firstLine="480" w:firstLineChars="200"/>
        <w:outlineLvl w:val="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w:t>
      </w:r>
      <w:bookmarkStart w:id="131" w:name="_Toc304295521"/>
      <w:bookmarkStart w:id="132" w:name="_Toc312677986"/>
      <w:bookmarkStart w:id="133" w:name="_Toc318581155"/>
      <w:bookmarkStart w:id="134" w:name="_Toc303539100"/>
      <w:bookmarkStart w:id="135" w:name="_Toc300934943"/>
      <w:r>
        <w:rPr>
          <w:rFonts w:hint="eastAsia" w:ascii="宋体" w:hAnsi="宋体" w:cs="宋体"/>
          <w:color w:val="000000" w:themeColor="text1"/>
          <w:sz w:val="24"/>
          <w:szCs w:val="24"/>
          <w14:textFill>
            <w14:solidFill>
              <w14:schemeClr w14:val="tx1"/>
            </w14:solidFill>
          </w14:textFill>
        </w:rPr>
        <w:t>.9.1 出入现场的权利</w:t>
      </w:r>
    </w:p>
    <w:p>
      <w:pPr>
        <w:spacing w:line="360" w:lineRule="auto"/>
        <w:ind w:left="596" w:leftChars="284"/>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关于出入现场的权利的约定：。</w:t>
      </w:r>
    </w:p>
    <w:bookmarkEnd w:id="131"/>
    <w:bookmarkEnd w:id="132"/>
    <w:bookmarkEnd w:id="133"/>
    <w:bookmarkEnd w:id="134"/>
    <w:bookmarkEnd w:id="135"/>
    <w:p>
      <w:pPr>
        <w:spacing w:line="360" w:lineRule="auto"/>
        <w:ind w:firstLine="480" w:firstLineChars="200"/>
        <w:jc w:val="left"/>
        <w:outlineLvl w:val="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w:t>
      </w:r>
      <w:bookmarkStart w:id="136" w:name="_Toc312677987"/>
      <w:bookmarkStart w:id="137" w:name="_Toc303539101"/>
      <w:bookmarkStart w:id="138" w:name="_Toc300934944"/>
      <w:bookmarkStart w:id="139" w:name="_Toc304295522"/>
      <w:bookmarkStart w:id="140" w:name="_Toc318581156"/>
      <w:r>
        <w:rPr>
          <w:rFonts w:hint="eastAsia" w:ascii="宋体" w:hAnsi="宋体" w:cs="宋体"/>
          <w:color w:val="000000" w:themeColor="text1"/>
          <w:sz w:val="24"/>
          <w:szCs w:val="24"/>
          <w14:textFill>
            <w14:solidFill>
              <w14:schemeClr w14:val="tx1"/>
            </w14:solidFill>
          </w14:textFill>
        </w:rPr>
        <w:t>.9.2 场内交通</w:t>
      </w:r>
    </w:p>
    <w:p>
      <w:pPr>
        <w:spacing w:line="360" w:lineRule="auto"/>
        <w:ind w:firstLine="480" w:firstLineChars="200"/>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关于场外交通和场内交通的边界的约定：</w:t>
      </w:r>
      <w:r>
        <w:rPr>
          <w:rFonts w:hint="eastAsia" w:ascii="宋体" w:hAnsi="宋体" w:cs="宋体"/>
          <w:color w:val="000000" w:themeColor="text1"/>
          <w:sz w:val="24"/>
          <w:szCs w:val="24"/>
          <w14:textFill>
            <w14:solidFill>
              <w14:schemeClr w14:val="tx1"/>
            </w14:solidFill>
          </w14:textFill>
        </w:rPr>
        <w:t>。</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关于发包人向承包人免费提供满足工程施工需要的场内道路和交通设施的约定：。</w:t>
      </w:r>
      <w:bookmarkEnd w:id="136"/>
      <w:bookmarkEnd w:id="137"/>
      <w:bookmarkEnd w:id="138"/>
      <w:bookmarkEnd w:id="139"/>
      <w:bookmarkEnd w:id="140"/>
      <w:bookmarkStart w:id="141" w:name="_Toc318581157"/>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1.9.3 超大件和超重件的运输</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运输超大件或超重件所需的道路和桥梁临时加固改造费用和其他有关费用由承担。</w:t>
      </w:r>
      <w:bookmarkEnd w:id="141"/>
    </w:p>
    <w:p>
      <w:pPr>
        <w:spacing w:after="120" w:line="360" w:lineRule="auto"/>
        <w:ind w:firstLine="480" w:firstLineChars="200"/>
        <w:outlineLvl w:val="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1.10 知识产权</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1.10.1关于发包人提供给承包人的图纸、发包人为实施工程自行编制或委托编制的技术规范以及反映发包人关于合同要求或其他类似性质的文件的著作权的归属：。</w:t>
      </w:r>
    </w:p>
    <w:p>
      <w:pPr>
        <w:spacing w:line="360" w:lineRule="auto"/>
        <w:ind w:left="596" w:leftChars="284"/>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关于发包人提供的上述文件的使用限制的要求：。</w:t>
      </w:r>
    </w:p>
    <w:p>
      <w:pPr>
        <w:spacing w:line="360" w:lineRule="auto"/>
        <w:ind w:firstLine="480" w:firstLineChars="200"/>
        <w:outlineLvl w:val="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1.10.2 关于承包人为实施工程所编制文件的著作权的归属：。</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关于承包人提供的上述文件的使用限制的要求：。</w:t>
      </w:r>
    </w:p>
    <w:p>
      <w:pPr>
        <w:spacing w:line="360" w:lineRule="auto"/>
        <w:ind w:firstLine="480" w:firstLineChars="200"/>
        <w:outlineLvl w:val="0"/>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1.10.3 承包人在施工过程中所采用的专利、专有技术、技术秘密的使用费的承担方式：</w:t>
      </w:r>
      <w:r>
        <w:rPr>
          <w:rFonts w:hint="eastAsia" w:ascii="宋体" w:hAnsi="宋体" w:cs="宋体"/>
          <w:color w:val="000000" w:themeColor="text1"/>
          <w:kern w:val="0"/>
          <w:sz w:val="24"/>
          <w:szCs w:val="24"/>
          <w14:textFill>
            <w14:solidFill>
              <w14:schemeClr w14:val="tx1"/>
            </w14:solidFill>
          </w14:textFill>
        </w:rPr>
        <w:t>。</w:t>
      </w:r>
    </w:p>
    <w:p>
      <w:pPr>
        <w:spacing w:after="120"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1.11工程量清单错误的修正</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出现工程量清单错误时，是否调整合同价格：</w:t>
      </w:r>
      <w:r>
        <w:rPr>
          <w:rFonts w:hint="eastAsia" w:ascii="宋体" w:hAnsi="宋体" w:cs="宋体"/>
          <w:color w:val="000000" w:themeColor="text1"/>
          <w:kern w:val="0"/>
          <w:sz w:val="24"/>
          <w:szCs w:val="24"/>
          <w14:textFill>
            <w14:solidFill>
              <w14:schemeClr w14:val="tx1"/>
            </w14:solidFill>
          </w14:textFill>
        </w:rPr>
        <w:t>。</w:t>
      </w:r>
    </w:p>
    <w:p>
      <w:pPr>
        <w:spacing w:line="360" w:lineRule="auto"/>
        <w:ind w:firstLine="480" w:firstLineChars="200"/>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允许调整合同价格的工程量偏差范围：</w:t>
      </w:r>
      <w:r>
        <w:rPr>
          <w:rFonts w:hint="eastAsia" w:ascii="宋体" w:hAnsi="宋体" w:cs="宋体"/>
          <w:color w:val="000000" w:themeColor="text1"/>
          <w:kern w:val="0"/>
          <w:sz w:val="24"/>
          <w:szCs w:val="24"/>
          <w14:textFill>
            <w14:solidFill>
              <w14:schemeClr w14:val="tx1"/>
            </w14:solidFill>
          </w14:textFill>
        </w:rPr>
        <w:t>。</w:t>
      </w:r>
    </w:p>
    <w:p>
      <w:pPr>
        <w:spacing w:line="360" w:lineRule="auto"/>
        <w:ind w:firstLine="480" w:firstLineChars="200"/>
        <w:rPr>
          <w:rFonts w:ascii="宋体" w:hAnsi="宋体" w:cs="宋体"/>
          <w:color w:val="000000" w:themeColor="text1"/>
          <w:kern w:val="0"/>
          <w:sz w:val="24"/>
          <w:szCs w:val="24"/>
          <w14:textFill>
            <w14:solidFill>
              <w14:schemeClr w14:val="tx1"/>
            </w14:solidFill>
          </w14:textFill>
        </w:rPr>
      </w:pPr>
    </w:p>
    <w:p>
      <w:pPr>
        <w:keepNext/>
        <w:keepLines/>
        <w:spacing w:before="120" w:after="120" w:line="360" w:lineRule="auto"/>
        <w:outlineLvl w:val="3"/>
        <w:rPr>
          <w:rFonts w:ascii="宋体" w:hAnsi="宋体" w:cs="宋体"/>
          <w:color w:val="000000" w:themeColor="text1"/>
          <w:sz w:val="24"/>
          <w:szCs w:val="24"/>
          <w14:textFill>
            <w14:solidFill>
              <w14:schemeClr w14:val="tx1"/>
            </w14:solidFill>
          </w14:textFill>
        </w:rPr>
      </w:pPr>
      <w:bookmarkStart w:id="142" w:name="_Toc351203634"/>
      <w:r>
        <w:rPr>
          <w:rFonts w:hint="eastAsia" w:ascii="宋体" w:hAnsi="宋体" w:cs="宋体"/>
          <w:color w:val="000000" w:themeColor="text1"/>
          <w:sz w:val="24"/>
          <w:szCs w:val="24"/>
          <w14:textFill>
            <w14:solidFill>
              <w14:schemeClr w14:val="tx1"/>
            </w14:solidFill>
          </w14:textFill>
        </w:rPr>
        <w:t>2</w:t>
      </w:r>
      <w:bookmarkStart w:id="143" w:name="_Toc297120457"/>
      <w:bookmarkStart w:id="144" w:name="_Toc296347156"/>
      <w:bookmarkStart w:id="145" w:name="_Toc296503157"/>
      <w:bookmarkStart w:id="146" w:name="_Toc297048343"/>
      <w:bookmarkStart w:id="147" w:name="_Toc296891197"/>
      <w:bookmarkStart w:id="148" w:name="_Toc296944496"/>
      <w:bookmarkStart w:id="149" w:name="_Toc296890985"/>
      <w:bookmarkStart w:id="150" w:name="_Toc296346658"/>
      <w:bookmarkStart w:id="151" w:name="_Toc292559362"/>
      <w:bookmarkStart w:id="152" w:name="_Toc292559867"/>
      <w:r>
        <w:rPr>
          <w:rFonts w:hint="eastAsia" w:ascii="宋体" w:hAnsi="宋体" w:cs="宋体"/>
          <w:color w:val="000000" w:themeColor="text1"/>
          <w:sz w:val="24"/>
          <w:szCs w:val="24"/>
          <w14:textFill>
            <w14:solidFill>
              <w14:schemeClr w14:val="tx1"/>
            </w14:solidFill>
          </w14:textFill>
        </w:rPr>
        <w:t>. 发包人</w:t>
      </w:r>
      <w:bookmarkEnd w:id="142"/>
    </w:p>
    <w:bookmarkEnd w:id="143"/>
    <w:bookmarkEnd w:id="144"/>
    <w:bookmarkEnd w:id="145"/>
    <w:bookmarkEnd w:id="146"/>
    <w:bookmarkEnd w:id="147"/>
    <w:bookmarkEnd w:id="148"/>
    <w:bookmarkEnd w:id="149"/>
    <w:bookmarkEnd w:id="150"/>
    <w:bookmarkEnd w:id="151"/>
    <w:bookmarkEnd w:id="152"/>
    <w:p>
      <w:pPr>
        <w:spacing w:after="120" w:line="360" w:lineRule="auto"/>
        <w:ind w:firstLine="480" w:firstLineChars="200"/>
        <w:outlineLvl w:val="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2.1 发包人代表</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发包人代表：</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姓名：；</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身份证号：；</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职务：；</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联系电话：；</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电子信箱：；</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通信地址：。</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发包人对发包人代表的授权范围如下：。</w:t>
      </w:r>
    </w:p>
    <w:p>
      <w:pPr>
        <w:spacing w:after="120" w:line="360" w:lineRule="auto"/>
        <w:ind w:firstLine="480" w:firstLineChars="200"/>
        <w:outlineLvl w:val="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2.2 施工现场、施工条件和基础资料的提供</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2.2.1 提供施工现场</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关于发包人移交施工现场的期限要求：。</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2.4.2 提供施工条件</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关于发包人应负责提供施工所需要的条件，包括：</w:t>
      </w:r>
    </w:p>
    <w:p>
      <w:pPr>
        <w:spacing w:after="120" w:line="360" w:lineRule="auto"/>
        <w:ind w:firstLine="480" w:firstLineChars="200"/>
        <w:outlineLvl w:val="0"/>
        <w:rPr>
          <w:rFonts w:ascii="宋体" w:hAnsi="宋体" w:cs="宋体"/>
          <w:color w:val="000000" w:themeColor="text1"/>
          <w:sz w:val="24"/>
          <w:szCs w:val="24"/>
          <w:u w:val="single"/>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（1）将施工所需的水、电、通讯线路接至施工场地的时间、地点和供应要求：。</w:t>
      </w:r>
    </w:p>
    <w:p>
      <w:pPr>
        <w:spacing w:after="120" w:line="360" w:lineRule="auto"/>
        <w:ind w:firstLine="480" w:firstLineChars="200"/>
        <w:outlineLvl w:val="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（2）施工场地与公共道路通道开通的时间和要求：。</w:t>
      </w:r>
    </w:p>
    <w:p>
      <w:pPr>
        <w:spacing w:after="120" w:line="360" w:lineRule="auto"/>
        <w:ind w:firstLine="480" w:firstLineChars="200"/>
        <w:outlineLvl w:val="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（3）工程地质和地下管线资料的提供时间：。</w:t>
      </w:r>
    </w:p>
    <w:p>
      <w:pPr>
        <w:spacing w:after="120" w:line="360" w:lineRule="auto"/>
        <w:ind w:firstLine="480" w:firstLineChars="200"/>
        <w:outlineLvl w:val="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（4）由发包人办理的施工所需所证、批件的名称和完成时间：。</w:t>
      </w:r>
    </w:p>
    <w:p>
      <w:pPr>
        <w:spacing w:after="120" w:line="360" w:lineRule="auto"/>
        <w:ind w:firstLine="480" w:firstLineChars="200"/>
        <w:outlineLvl w:val="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（5）水准点与座标控制制点交验要求：。</w:t>
      </w:r>
    </w:p>
    <w:p>
      <w:pPr>
        <w:spacing w:after="120" w:line="360" w:lineRule="auto"/>
        <w:ind w:firstLine="480" w:firstLineChars="200"/>
        <w:outlineLvl w:val="0"/>
        <w:rPr>
          <w:rFonts w:ascii="宋体" w:hAnsi="宋体" w:cs="宋体"/>
          <w:color w:val="000000" w:themeColor="text1"/>
          <w:sz w:val="24"/>
          <w:szCs w:val="24"/>
          <w:u w:val="single"/>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（6）图纸会审和设计交底时间：</w:t>
      </w:r>
    </w:p>
    <w:p>
      <w:pPr>
        <w:spacing w:after="120" w:line="360" w:lineRule="auto"/>
        <w:ind w:firstLine="480" w:firstLineChars="200"/>
        <w:outlineLvl w:val="0"/>
        <w:rPr>
          <w:rFonts w:ascii="宋体" w:hAnsi="宋体" w:cs="宋体"/>
          <w:color w:val="000000" w:themeColor="text1"/>
          <w:sz w:val="24"/>
          <w:szCs w:val="24"/>
          <w:u w:val="single"/>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（7）协调处理施工场地周围地下管线和邻近建筑物、构筑物（含文物保护建筑）、古树名木的保护工作：。</w:t>
      </w:r>
    </w:p>
    <w:p>
      <w:pPr>
        <w:spacing w:after="120" w:line="360" w:lineRule="auto"/>
        <w:ind w:firstLine="480" w:firstLineChars="200"/>
        <w:outlineLvl w:val="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（8）发包人应做的其他工作：。</w:t>
      </w:r>
    </w:p>
    <w:p>
      <w:pPr>
        <w:spacing w:after="120" w:line="360" w:lineRule="auto"/>
        <w:ind w:firstLine="480" w:firstLineChars="200"/>
        <w:outlineLvl w:val="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2.3 资金来源证明及支付担保</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发包人提供资金来源证明的期限要求：。</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发包人是否提供支付担保：。</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发包人提供支付担保的形式：。</w:t>
      </w:r>
    </w:p>
    <w:p>
      <w:pPr>
        <w:keepNext/>
        <w:keepLines/>
        <w:spacing w:before="120" w:after="120" w:line="360" w:lineRule="auto"/>
        <w:outlineLvl w:val="3"/>
        <w:rPr>
          <w:rFonts w:ascii="宋体" w:hAnsi="宋体" w:cs="宋体"/>
          <w:color w:val="000000" w:themeColor="text1"/>
          <w:sz w:val="24"/>
          <w:szCs w:val="24"/>
          <w14:textFill>
            <w14:solidFill>
              <w14:schemeClr w14:val="tx1"/>
            </w14:solidFill>
          </w14:textFill>
        </w:rPr>
      </w:pPr>
      <w:bookmarkStart w:id="153" w:name="_Toc351203635"/>
      <w:r>
        <w:rPr>
          <w:rFonts w:hint="eastAsia" w:ascii="宋体" w:hAnsi="宋体" w:cs="宋体"/>
          <w:color w:val="000000" w:themeColor="text1"/>
          <w:sz w:val="24"/>
          <w:szCs w:val="24"/>
          <w14:textFill>
            <w14:solidFill>
              <w14:schemeClr w14:val="tx1"/>
            </w14:solidFill>
          </w14:textFill>
        </w:rPr>
        <w:t>3</w:t>
      </w:r>
      <w:bookmarkStart w:id="154" w:name="_Toc292559363"/>
      <w:bookmarkStart w:id="155" w:name="_Toc296944497"/>
      <w:bookmarkStart w:id="156" w:name="_Toc292559868"/>
      <w:bookmarkStart w:id="157" w:name="_Toc296346659"/>
      <w:bookmarkStart w:id="158" w:name="_Toc297120458"/>
      <w:bookmarkStart w:id="159" w:name="_Toc297048344"/>
      <w:bookmarkStart w:id="160" w:name="_Toc296347157"/>
      <w:bookmarkStart w:id="161" w:name="_Toc296503158"/>
      <w:bookmarkStart w:id="162" w:name="_Toc296890986"/>
      <w:bookmarkStart w:id="163" w:name="_Toc296891198"/>
      <w:r>
        <w:rPr>
          <w:rFonts w:hint="eastAsia" w:ascii="宋体" w:hAnsi="宋体" w:cs="宋体"/>
          <w:color w:val="000000" w:themeColor="text1"/>
          <w:sz w:val="24"/>
          <w:szCs w:val="24"/>
          <w14:textFill>
            <w14:solidFill>
              <w14:schemeClr w14:val="tx1"/>
            </w14:solidFill>
          </w14:textFill>
        </w:rPr>
        <w:t>. 承包人</w:t>
      </w:r>
      <w:bookmarkEnd w:id="153"/>
    </w:p>
    <w:bookmarkEnd w:id="154"/>
    <w:bookmarkEnd w:id="155"/>
    <w:bookmarkEnd w:id="156"/>
    <w:bookmarkEnd w:id="157"/>
    <w:bookmarkEnd w:id="158"/>
    <w:bookmarkEnd w:id="159"/>
    <w:bookmarkEnd w:id="160"/>
    <w:bookmarkEnd w:id="161"/>
    <w:bookmarkEnd w:id="162"/>
    <w:bookmarkEnd w:id="163"/>
    <w:p>
      <w:pPr>
        <w:spacing w:after="120"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3.1 承包人的一般义务</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（1）</w:t>
      </w:r>
      <w:r>
        <w:rPr>
          <w:rFonts w:hint="eastAsia" w:ascii="宋体" w:hAnsi="宋体" w:cs="宋体"/>
          <w:color w:val="000000" w:themeColor="text1"/>
          <w:sz w:val="24"/>
          <w:szCs w:val="24"/>
          <w14:textFill>
            <w14:solidFill>
              <w14:schemeClr w14:val="tx1"/>
            </w14:solidFill>
          </w14:textFill>
        </w:rPr>
        <w:t>承包人提交的竣工资料的内容：。</w:t>
      </w:r>
    </w:p>
    <w:p>
      <w:pPr>
        <w:spacing w:line="360" w:lineRule="auto"/>
        <w:ind w:firstLine="720" w:firstLineChars="3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承包人需要提交的竣工资料套数：。</w:t>
      </w:r>
    </w:p>
    <w:p>
      <w:pPr>
        <w:spacing w:line="360" w:lineRule="auto"/>
        <w:ind w:left="638" w:leftChars="304"/>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承包人提交的竣工资料的费用承担：。</w:t>
      </w:r>
    </w:p>
    <w:p>
      <w:pPr>
        <w:spacing w:line="360" w:lineRule="auto"/>
        <w:ind w:left="638" w:leftChars="304"/>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承包人提交的竣工资料移交时间：。</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承包人提交的竣工资料形式要求：。</w:t>
      </w:r>
    </w:p>
    <w:p>
      <w:pPr>
        <w:spacing w:line="360" w:lineRule="auto"/>
        <w:ind w:firstLine="480" w:firstLineChars="200"/>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（2）承包人应履行的其他义务：</w:t>
      </w:r>
    </w:p>
    <w:p>
      <w:pPr>
        <w:pStyle w:val="86"/>
        <w:numPr>
          <w:ilvl w:val="2"/>
          <w:numId w:val="5"/>
        </w:numPr>
        <w:spacing w:line="360" w:lineRule="auto"/>
        <w:ind w:firstLineChars="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完成深化设计文件提交时间：。</w:t>
      </w:r>
    </w:p>
    <w:p>
      <w:pPr>
        <w:pStyle w:val="86"/>
        <w:numPr>
          <w:ilvl w:val="2"/>
          <w:numId w:val="5"/>
        </w:numPr>
        <w:spacing w:line="360" w:lineRule="auto"/>
        <w:ind w:firstLineChars="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应提供计划、报表的名称及完成时间：。</w:t>
      </w:r>
    </w:p>
    <w:p>
      <w:pPr>
        <w:pStyle w:val="86"/>
        <w:numPr>
          <w:ilvl w:val="2"/>
          <w:numId w:val="5"/>
        </w:numPr>
        <w:spacing w:line="360" w:lineRule="auto"/>
        <w:ind w:firstLineChars="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承担施工安全保卫工作及非夜间施工照明的责任和要求：。</w:t>
      </w:r>
    </w:p>
    <w:p>
      <w:pPr>
        <w:pStyle w:val="86"/>
        <w:numPr>
          <w:ilvl w:val="2"/>
          <w:numId w:val="5"/>
        </w:numPr>
        <w:spacing w:line="360" w:lineRule="auto"/>
        <w:ind w:firstLineChars="0"/>
        <w:rPr>
          <w:rFonts w:ascii="宋体" w:hAnsi="宋体" w:cs="宋体"/>
          <w:color w:val="000000" w:themeColor="text1"/>
          <w:u w:val="single"/>
          <w14:textFill>
            <w14:solidFill>
              <w14:schemeClr w14:val="tx1"/>
            </w14:solidFill>
          </w14:textFill>
        </w:rPr>
      </w:pPr>
      <w:r>
        <w:rPr>
          <w:rFonts w:hint="eastAsia" w:ascii="宋体" w:hAnsi="宋体" w:cs="宋体"/>
          <w:color w:val="000000" w:themeColor="text1"/>
          <w14:textFill>
            <w14:solidFill>
              <w14:schemeClr w14:val="tx1"/>
            </w14:solidFill>
          </w14:textFill>
        </w:rPr>
        <w:t>向发包人提供的办公和生活房屋及设施的要求：</w:t>
      </w:r>
      <w:r>
        <w:rPr>
          <w:rFonts w:hint="eastAsia" w:ascii="宋体" w:hAnsi="宋体" w:cs="宋体"/>
          <w:color w:val="000000" w:themeColor="text1"/>
          <w:u w:val="single"/>
          <w14:textFill>
            <w14:solidFill>
              <w14:schemeClr w14:val="tx1"/>
            </w14:solidFill>
          </w14:textFill>
        </w:rPr>
        <w:t>无</w:t>
      </w:r>
      <w:r>
        <w:rPr>
          <w:rFonts w:hint="eastAsia" w:ascii="宋体" w:hAnsi="宋体" w:cs="宋体"/>
          <w:color w:val="000000" w:themeColor="text1"/>
          <w14:textFill>
            <w14:solidFill>
              <w14:schemeClr w14:val="tx1"/>
            </w14:solidFill>
          </w14:textFill>
        </w:rPr>
        <w:t>。</w:t>
      </w:r>
    </w:p>
    <w:p>
      <w:pPr>
        <w:pStyle w:val="86"/>
        <w:numPr>
          <w:ilvl w:val="2"/>
          <w:numId w:val="5"/>
        </w:numPr>
        <w:spacing w:line="360" w:lineRule="auto"/>
        <w:ind w:firstLineChars="0"/>
        <w:rPr>
          <w:rFonts w:ascii="宋体" w:hAnsi="宋体" w:cs="宋体"/>
          <w:color w:val="000000" w:themeColor="text1"/>
          <w:u w:val="single"/>
          <w14:textFill>
            <w14:solidFill>
              <w14:schemeClr w14:val="tx1"/>
            </w14:solidFill>
          </w14:textFill>
        </w:rPr>
      </w:pPr>
      <w:r>
        <w:rPr>
          <w:rFonts w:hint="eastAsia" w:ascii="宋体" w:hAnsi="宋体" w:cs="宋体"/>
          <w:color w:val="000000" w:themeColor="text1"/>
          <w14:textFill>
            <w14:solidFill>
              <w14:schemeClr w14:val="tx1"/>
            </w14:solidFill>
          </w14:textFill>
        </w:rPr>
        <w:t>需承包人办理的有关施工场地交通、环卫和施工噪音管理手续：。</w:t>
      </w:r>
    </w:p>
    <w:p>
      <w:pPr>
        <w:pStyle w:val="86"/>
        <w:numPr>
          <w:ilvl w:val="2"/>
          <w:numId w:val="5"/>
        </w:numPr>
        <w:spacing w:line="360" w:lineRule="auto"/>
        <w:ind w:firstLineChars="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已完工程成品保护的特殊要求及费用承担：。</w:t>
      </w:r>
    </w:p>
    <w:p>
      <w:pPr>
        <w:pStyle w:val="86"/>
        <w:numPr>
          <w:ilvl w:val="2"/>
          <w:numId w:val="5"/>
        </w:numPr>
        <w:spacing w:line="360" w:lineRule="auto"/>
        <w:ind w:firstLineChars="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施工场地周围地下管线和邻近建筑物、构筑物（含文物保护建筑）、古树名木的保护要求及费用承担：。</w:t>
      </w:r>
    </w:p>
    <w:p>
      <w:pPr>
        <w:pStyle w:val="86"/>
        <w:numPr>
          <w:ilvl w:val="2"/>
          <w:numId w:val="5"/>
        </w:numPr>
        <w:spacing w:line="360" w:lineRule="auto"/>
        <w:ind w:firstLineChars="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施工场地清洁卫生的要求：。</w:t>
      </w:r>
    </w:p>
    <w:p>
      <w:pPr>
        <w:pStyle w:val="86"/>
        <w:numPr>
          <w:ilvl w:val="2"/>
          <w:numId w:val="5"/>
        </w:numPr>
        <w:spacing w:line="360" w:lineRule="auto"/>
        <w:ind w:firstLineChars="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消防相关工程、资料完善并确保通过消防验收。</w:t>
      </w:r>
    </w:p>
    <w:p>
      <w:pPr>
        <w:pStyle w:val="86"/>
        <w:numPr>
          <w:ilvl w:val="2"/>
          <w:numId w:val="5"/>
        </w:numPr>
        <w:spacing w:line="360" w:lineRule="auto"/>
        <w:ind w:firstLineChars="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按合同约定支付竣工结算效益审计费用。</w:t>
      </w:r>
    </w:p>
    <w:p>
      <w:pPr>
        <w:pStyle w:val="86"/>
        <w:numPr>
          <w:ilvl w:val="2"/>
          <w:numId w:val="5"/>
        </w:numPr>
        <w:spacing w:line="360" w:lineRule="auto"/>
        <w:ind w:firstLineChars="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承包人应按有关法律规定纳税，应缴纳的税金包括在合同价格内。</w:t>
      </w:r>
    </w:p>
    <w:p>
      <w:pPr>
        <w:pStyle w:val="86"/>
        <w:numPr>
          <w:ilvl w:val="2"/>
          <w:numId w:val="5"/>
        </w:numPr>
        <w:spacing w:line="360" w:lineRule="auto"/>
        <w:ind w:firstLineChars="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双方约定承包人应做的其他工作：。</w:t>
      </w:r>
    </w:p>
    <w:p>
      <w:pPr>
        <w:spacing w:after="120"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3.2 项目经理</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xml:space="preserve">3.2.1 </w:t>
      </w:r>
      <w:r>
        <w:rPr>
          <w:rFonts w:hint="eastAsia" w:ascii="宋体" w:hAnsi="宋体" w:cs="宋体"/>
          <w:color w:val="000000" w:themeColor="text1"/>
          <w:sz w:val="24"/>
          <w:szCs w:val="24"/>
          <w14:textFill>
            <w14:solidFill>
              <w14:schemeClr w14:val="tx1"/>
            </w14:solidFill>
          </w14:textFill>
        </w:rPr>
        <w:t>项目经理：</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姓名：；</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身份证号：；</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建造师执业资格等级：；</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建造师注册证书号：；</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建造师执业印章号：；</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安全生产考核合格证书号：；</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联系电话：；</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电子信箱：；</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通信地址：；</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承包人对项目经理的授权范围如下：。</w:t>
      </w:r>
    </w:p>
    <w:p>
      <w:pPr>
        <w:spacing w:line="360" w:lineRule="auto"/>
        <w:ind w:firstLine="480" w:firstLineChars="200"/>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关于项目经理每月在施工现场的时间要求：</w:t>
      </w:r>
      <w:r>
        <w:rPr>
          <w:rFonts w:hint="eastAsia" w:ascii="宋体" w:hAnsi="宋体" w:cs="宋体"/>
          <w:color w:val="000000" w:themeColor="text1"/>
          <w:sz w:val="24"/>
          <w:szCs w:val="24"/>
          <w14:textFill>
            <w14:solidFill>
              <w14:schemeClr w14:val="tx1"/>
            </w14:solidFill>
          </w14:textFill>
        </w:rPr>
        <w:t>。</w:t>
      </w:r>
    </w:p>
    <w:p>
      <w:pPr>
        <w:spacing w:line="360" w:lineRule="auto"/>
        <w:ind w:firstLine="480" w:firstLineChars="200"/>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承包人未提交劳动合同，以及没有为项目经理缴纳社会保险证明的违约责任：</w:t>
      </w:r>
      <w:r>
        <w:rPr>
          <w:rFonts w:hint="eastAsia" w:ascii="宋体" w:hAnsi="宋体" w:cs="宋体"/>
          <w:color w:val="000000" w:themeColor="text1"/>
          <w:sz w:val="24"/>
          <w:szCs w:val="24"/>
          <w14:textFill>
            <w14:solidFill>
              <w14:schemeClr w14:val="tx1"/>
            </w14:solidFill>
          </w14:textFill>
        </w:rPr>
        <w:t>。</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本项目实行项目经理、项目主要技术负责人压证施工制度。发包人须在承包人提供响应文件承诺的人员的执业资格证书原件后才能签订合同，至工程竣工验收合格后才能退还。承包人项目经理短期离开施工场地，应事先征得发包人同意，并委派代表代行其职责，项目经理未经批准，擅自离开施工现场的违约责任：</w:t>
      </w:r>
      <w:r>
        <w:rPr>
          <w:rFonts w:hint="eastAsia" w:ascii="宋体" w:hAnsi="宋体" w:cs="宋体"/>
          <w:color w:val="000000" w:themeColor="text1"/>
          <w:sz w:val="24"/>
          <w:szCs w:val="24"/>
          <w14:textFill>
            <w14:solidFill>
              <w14:schemeClr w14:val="tx1"/>
            </w14:solidFill>
          </w14:textFill>
        </w:rPr>
        <w:t>。</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3.2.2 承包人擅自更换项目经理或技术负责人的违约责任：。</w:t>
      </w:r>
    </w:p>
    <w:p>
      <w:pPr>
        <w:spacing w:line="360" w:lineRule="auto"/>
        <w:ind w:firstLine="480"/>
        <w:outlineLvl w:val="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3.2.3 承包人无正当理由拒绝更换项目经理的违约责任：。</w:t>
      </w:r>
    </w:p>
    <w:p>
      <w:pPr>
        <w:spacing w:after="120"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3.3 承包人人员</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3.3.1 承包人提交项目管理机构及施工现场管理人员安排报告的期限：。</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3.3.2 承包人无正当理由拒绝撤换主要施工管理人员的违约责任：。</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3.3.3 承包人主要施工管理人员离开施工现场的批准要求：。</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3.3.4 承包人擅自更换主要施工管理人员的违约责任：。</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3.3.5 承包人主要施工管理人员擅自离开施工现场的违约责任：。</w:t>
      </w:r>
    </w:p>
    <w:p>
      <w:pPr>
        <w:spacing w:after="120"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3</w:t>
      </w:r>
      <w:bookmarkStart w:id="164" w:name="_Toc297216151"/>
      <w:bookmarkStart w:id="165" w:name="_Toc312677988"/>
      <w:bookmarkStart w:id="166" w:name="_Toc297120459"/>
      <w:bookmarkStart w:id="167" w:name="_Toc296346660"/>
      <w:bookmarkStart w:id="168" w:name="_Toc303539102"/>
      <w:bookmarkStart w:id="169" w:name="_Toc296503159"/>
      <w:bookmarkStart w:id="170" w:name="_Toc297048345"/>
      <w:bookmarkStart w:id="171" w:name="_Toc296944498"/>
      <w:bookmarkStart w:id="172" w:name="_Toc296890987"/>
      <w:bookmarkStart w:id="173" w:name="_Toc296347158"/>
      <w:bookmarkStart w:id="174" w:name="_Toc292559869"/>
      <w:bookmarkStart w:id="175" w:name="_Toc304295523"/>
      <w:bookmarkStart w:id="176" w:name="_Toc297123492"/>
      <w:bookmarkStart w:id="177" w:name="_Toc292559364"/>
      <w:bookmarkStart w:id="178" w:name="_Toc300934945"/>
      <w:bookmarkStart w:id="179" w:name="_Toc296891199"/>
      <w:r>
        <w:rPr>
          <w:rFonts w:hint="eastAsia" w:ascii="宋体" w:hAnsi="宋体" w:cs="宋体"/>
          <w:color w:val="000000" w:themeColor="text1"/>
          <w:sz w:val="24"/>
          <w:szCs w:val="24"/>
          <w14:textFill>
            <w14:solidFill>
              <w14:schemeClr w14:val="tx1"/>
            </w14:solidFill>
          </w14:textFill>
        </w:rPr>
        <w:t>.4 分包</w:t>
      </w:r>
    </w:p>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3</w:t>
      </w:r>
      <w:bookmarkStart w:id="180" w:name="_Toc297120460"/>
      <w:bookmarkStart w:id="181" w:name="_Toc297216152"/>
      <w:bookmarkStart w:id="182" w:name="_Toc297123493"/>
      <w:bookmarkStart w:id="183" w:name="_Toc296944499"/>
      <w:bookmarkStart w:id="184" w:name="_Toc303539103"/>
      <w:bookmarkStart w:id="185" w:name="_Toc292559365"/>
      <w:bookmarkStart w:id="186" w:name="_Toc296346661"/>
      <w:bookmarkStart w:id="187" w:name="_Toc300934946"/>
      <w:bookmarkStart w:id="188" w:name="_Toc292559870"/>
      <w:bookmarkStart w:id="189" w:name="_Toc296347159"/>
      <w:bookmarkStart w:id="190" w:name="_Toc296891200"/>
      <w:bookmarkStart w:id="191" w:name="_Toc297048346"/>
      <w:bookmarkStart w:id="192" w:name="_Toc304295524"/>
      <w:bookmarkStart w:id="193" w:name="_Toc296890988"/>
      <w:bookmarkStart w:id="194" w:name="_Toc296503160"/>
      <w:bookmarkStart w:id="195" w:name="_Toc312677989"/>
      <w:bookmarkStart w:id="196" w:name="_Toc318581158"/>
      <w:r>
        <w:rPr>
          <w:rFonts w:hint="eastAsia" w:ascii="宋体" w:hAnsi="宋体" w:cs="宋体"/>
          <w:color w:val="000000" w:themeColor="text1"/>
          <w:sz w:val="24"/>
          <w:szCs w:val="24"/>
          <w14:textFill>
            <w14:solidFill>
              <w14:schemeClr w14:val="tx1"/>
            </w14:solidFill>
          </w14:textFill>
        </w:rPr>
        <w:t>.4.1 分包的一般约定</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禁止分包的工程包括：</w:t>
      </w:r>
      <w:r>
        <w:rPr>
          <w:rFonts w:hint="eastAsia" w:ascii="宋体" w:hAnsi="宋体" w:cs="宋体"/>
          <w:color w:val="000000" w:themeColor="text1"/>
          <w:sz w:val="24"/>
          <w:szCs w:val="24"/>
          <w:u w:val="single"/>
          <w14:textFill>
            <w14:solidFill>
              <w14:schemeClr w14:val="tx1"/>
            </w14:solidFill>
          </w14:textFill>
        </w:rPr>
        <w:t>本工程无分包</w:t>
      </w:r>
      <w:r>
        <w:rPr>
          <w:rFonts w:hint="eastAsia" w:ascii="宋体" w:hAnsi="宋体" w:cs="宋体"/>
          <w:color w:val="000000" w:themeColor="text1"/>
          <w:sz w:val="24"/>
          <w:szCs w:val="24"/>
          <w14:textFill>
            <w14:solidFill>
              <w14:schemeClr w14:val="tx1"/>
            </w14:solidFill>
          </w14:textFill>
        </w:rPr>
        <w:t>。</w:t>
      </w:r>
    </w:p>
    <w:p>
      <w:pPr>
        <w:spacing w:line="360" w:lineRule="auto"/>
        <w:ind w:firstLine="480" w:firstLineChars="200"/>
        <w:jc w:val="left"/>
        <w:rPr>
          <w:rFonts w:ascii="宋体" w:hAnsi="宋体" w:cs="宋体"/>
          <w:color w:val="000000" w:themeColor="text1"/>
          <w:sz w:val="24"/>
          <w:szCs w:val="24"/>
          <w:u w:val="single"/>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主体结构、关键性工作的范围：。</w:t>
      </w:r>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Start w:id="197" w:name="_Toc296503161"/>
      <w:bookmarkStart w:id="198" w:name="_Toc303539104"/>
      <w:bookmarkStart w:id="199" w:name="_Toc296890989"/>
      <w:bookmarkStart w:id="200" w:name="_Toc296346662"/>
      <w:bookmarkStart w:id="201" w:name="_Toc297216153"/>
      <w:bookmarkStart w:id="202" w:name="_Toc297123494"/>
      <w:bookmarkStart w:id="203" w:name="_Toc296347160"/>
      <w:bookmarkStart w:id="204" w:name="_Toc297120461"/>
      <w:bookmarkStart w:id="205" w:name="_Toc296891201"/>
      <w:bookmarkStart w:id="206" w:name="_Toc296944500"/>
      <w:bookmarkStart w:id="207" w:name="_Toc297048347"/>
      <w:bookmarkStart w:id="208" w:name="_Toc304295525"/>
      <w:bookmarkStart w:id="209" w:name="_Toc300934947"/>
    </w:p>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p>
      <w:pPr>
        <w:spacing w:line="360" w:lineRule="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xml:space="preserve">    3</w:t>
      </w:r>
      <w:bookmarkStart w:id="210" w:name="_Toc312677990"/>
      <w:bookmarkStart w:id="211" w:name="_Toc318581159"/>
      <w:r>
        <w:rPr>
          <w:rFonts w:hint="eastAsia" w:ascii="宋体" w:hAnsi="宋体" w:cs="宋体"/>
          <w:color w:val="000000" w:themeColor="text1"/>
          <w:sz w:val="24"/>
          <w:szCs w:val="24"/>
          <w14:textFill>
            <w14:solidFill>
              <w14:schemeClr w14:val="tx1"/>
            </w14:solidFill>
          </w14:textFill>
        </w:rPr>
        <w:t>.4.2分包的确定</w:t>
      </w:r>
    </w:p>
    <w:p>
      <w:pPr>
        <w:spacing w:line="360" w:lineRule="auto"/>
        <w:ind w:firstLine="480" w:firstLineChars="200"/>
        <w:rPr>
          <w:rFonts w:ascii="宋体" w:hAnsi="宋体" w:cs="宋体"/>
          <w:color w:val="000000" w:themeColor="text1"/>
          <w:sz w:val="24"/>
          <w:szCs w:val="24"/>
          <w:u w:val="single"/>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允许分包的专业工程包括：</w:t>
      </w:r>
      <w:r>
        <w:rPr>
          <w:rFonts w:hint="eastAsia" w:ascii="宋体" w:hAnsi="宋体" w:cs="宋体"/>
          <w:color w:val="000000" w:themeColor="text1"/>
          <w:sz w:val="24"/>
          <w:szCs w:val="24"/>
          <w:u w:val="single"/>
          <w14:textFill>
            <w14:solidFill>
              <w14:schemeClr w14:val="tx1"/>
            </w14:solidFill>
          </w14:textFill>
        </w:rPr>
        <w:t>无</w:t>
      </w:r>
      <w:r>
        <w:rPr>
          <w:rFonts w:hint="eastAsia" w:ascii="宋体" w:hAnsi="宋体" w:cs="宋体"/>
          <w:color w:val="000000" w:themeColor="text1"/>
          <w:sz w:val="24"/>
          <w:szCs w:val="24"/>
          <w14:textFill>
            <w14:solidFill>
              <w14:schemeClr w14:val="tx1"/>
            </w14:solidFill>
          </w14:textFill>
        </w:rPr>
        <w:t>。</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其他关于分包的约定：。</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3.4.3 分包合同价款</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关于分包合同价款支付的约定：。</w:t>
      </w:r>
    </w:p>
    <w:bookmarkEnd w:id="210"/>
    <w:bookmarkEnd w:id="211"/>
    <w:p>
      <w:pPr>
        <w:spacing w:after="120"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3.5 工程照管与成品、半成品保护</w:t>
      </w:r>
    </w:p>
    <w:p>
      <w:pPr>
        <w:spacing w:before="120" w:after="120" w:line="360" w:lineRule="auto"/>
        <w:ind w:firstLine="480" w:firstLineChars="200"/>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承包人负责照管工程及工程相关的材料、工程设备的起始时间：。</w:t>
      </w:r>
    </w:p>
    <w:p>
      <w:pPr>
        <w:spacing w:after="120"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3.6 履约担保</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承包人是否提供履约担保：。</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承包人提供履约担保的形式、金额及期限：。</w:t>
      </w:r>
    </w:p>
    <w:p>
      <w:pPr>
        <w:keepNext/>
        <w:keepLines/>
        <w:spacing w:before="120" w:after="120" w:line="360" w:lineRule="auto"/>
        <w:outlineLvl w:val="3"/>
        <w:rPr>
          <w:rFonts w:ascii="宋体" w:hAnsi="宋体" w:cs="宋体"/>
          <w:color w:val="000000" w:themeColor="text1"/>
          <w:sz w:val="24"/>
          <w:szCs w:val="24"/>
          <w14:textFill>
            <w14:solidFill>
              <w14:schemeClr w14:val="tx1"/>
            </w14:solidFill>
          </w14:textFill>
        </w:rPr>
      </w:pPr>
      <w:bookmarkStart w:id="212" w:name="_Toc351203636"/>
      <w:r>
        <w:rPr>
          <w:rFonts w:hint="eastAsia" w:ascii="宋体" w:hAnsi="宋体" w:cs="宋体"/>
          <w:color w:val="000000" w:themeColor="text1"/>
          <w:sz w:val="24"/>
          <w:szCs w:val="24"/>
          <w14:textFill>
            <w14:solidFill>
              <w14:schemeClr w14:val="tx1"/>
            </w14:solidFill>
          </w14:textFill>
        </w:rPr>
        <w:t>4</w:t>
      </w:r>
      <w:bookmarkStart w:id="213" w:name="_Toc297120462"/>
      <w:bookmarkStart w:id="214" w:name="_Toc267251413"/>
      <w:bookmarkStart w:id="215" w:name="_Toc296944501"/>
      <w:bookmarkStart w:id="216" w:name="_Toc297048348"/>
      <w:bookmarkStart w:id="217" w:name="_Toc296891202"/>
      <w:bookmarkStart w:id="218" w:name="_Toc296346663"/>
      <w:bookmarkStart w:id="219" w:name="_Toc296503162"/>
      <w:bookmarkStart w:id="220" w:name="_Toc292559366"/>
      <w:bookmarkStart w:id="221" w:name="_Toc296347161"/>
      <w:bookmarkStart w:id="222" w:name="_Toc292559871"/>
      <w:bookmarkStart w:id="223" w:name="_Toc296890990"/>
      <w:r>
        <w:rPr>
          <w:rFonts w:hint="eastAsia" w:ascii="宋体" w:hAnsi="宋体" w:cs="宋体"/>
          <w:color w:val="000000" w:themeColor="text1"/>
          <w:sz w:val="24"/>
          <w:szCs w:val="24"/>
          <w14:textFill>
            <w14:solidFill>
              <w14:schemeClr w14:val="tx1"/>
            </w14:solidFill>
          </w14:textFill>
        </w:rPr>
        <w:t>. 监</w:t>
      </w:r>
      <w:bookmarkEnd w:id="213"/>
      <w:bookmarkEnd w:id="214"/>
      <w:bookmarkEnd w:id="215"/>
      <w:bookmarkEnd w:id="216"/>
      <w:bookmarkEnd w:id="217"/>
      <w:bookmarkEnd w:id="218"/>
      <w:bookmarkEnd w:id="219"/>
      <w:bookmarkEnd w:id="220"/>
      <w:bookmarkEnd w:id="221"/>
      <w:bookmarkEnd w:id="222"/>
      <w:bookmarkEnd w:id="223"/>
      <w:r>
        <w:rPr>
          <w:rFonts w:hint="eastAsia" w:ascii="宋体" w:hAnsi="宋体" w:cs="宋体"/>
          <w:color w:val="000000" w:themeColor="text1"/>
          <w:sz w:val="24"/>
          <w:szCs w:val="24"/>
          <w14:textFill>
            <w14:solidFill>
              <w14:schemeClr w14:val="tx1"/>
            </w14:solidFill>
          </w14:textFill>
        </w:rPr>
        <w:t>理人</w:t>
      </w:r>
      <w:bookmarkEnd w:id="212"/>
    </w:p>
    <w:p>
      <w:pPr>
        <w:spacing w:after="120"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4.1监理人的一般规定</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关于监理人的监理内容：。</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关于监理人的监理权限：。</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关于监理人在施工现场的办公场所、生活场所的提供和费用承担的约定：。</w:t>
      </w:r>
    </w:p>
    <w:p>
      <w:pPr>
        <w:spacing w:after="120"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4.2 监理人员</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总监理工程师：</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姓名：；</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职务：；</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监理工程师执业资格证书号：；</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联系电话：；</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电子信箱：；</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通信地址：；</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关于监理人的其他约定：。</w:t>
      </w:r>
    </w:p>
    <w:p>
      <w:pPr>
        <w:spacing w:after="120"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4.3 商定或确定</w:t>
      </w:r>
    </w:p>
    <w:p>
      <w:pPr>
        <w:spacing w:line="360" w:lineRule="auto"/>
        <w:ind w:firstLine="480" w:firstLineChars="200"/>
        <w:rPr>
          <w:rFonts w:ascii="宋体" w:hAnsi="宋体" w:cs="宋体"/>
          <w:color w:val="000000" w:themeColor="text1"/>
          <w:sz w:val="24"/>
          <w:szCs w:val="24"/>
          <w14:textFill>
            <w14:solidFill>
              <w14:schemeClr w14:val="tx1"/>
            </w14:solidFill>
          </w14:textFill>
        </w:rPr>
      </w:pPr>
      <w:bookmarkStart w:id="224" w:name="_Toc267251418"/>
      <w:r>
        <w:rPr>
          <w:rFonts w:hint="eastAsia" w:ascii="宋体" w:hAnsi="宋体" w:cs="宋体"/>
          <w:color w:val="000000" w:themeColor="text1"/>
          <w:sz w:val="24"/>
          <w:szCs w:val="24"/>
          <w14:textFill>
            <w14:solidFill>
              <w14:schemeClr w14:val="tx1"/>
            </w14:solidFill>
          </w14:textFill>
        </w:rPr>
        <w:t>在发包人和承包人不能通过协商达成一致意见时，发包人授权监理人对以下事项进行确定：</w:t>
      </w:r>
    </w:p>
    <w:p>
      <w:pPr>
        <w:autoSpaceDE w:val="0"/>
        <w:autoSpaceDN w:val="0"/>
        <w:adjustRightInd w:val="0"/>
        <w:spacing w:line="360" w:lineRule="auto"/>
        <w:ind w:firstLine="480" w:firstLineChars="200"/>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（1）</w:t>
      </w:r>
      <w:r>
        <w:rPr>
          <w:rFonts w:hint="eastAsia" w:ascii="宋体" w:hAnsi="宋体" w:cs="宋体"/>
          <w:color w:val="000000" w:themeColor="text1"/>
          <w:sz w:val="24"/>
          <w:szCs w:val="24"/>
          <w14:textFill>
            <w14:solidFill>
              <w14:schemeClr w14:val="tx1"/>
            </w14:solidFill>
          </w14:textFill>
        </w:rPr>
        <w:t>；</w:t>
      </w:r>
    </w:p>
    <w:p>
      <w:pPr>
        <w:autoSpaceDE w:val="0"/>
        <w:autoSpaceDN w:val="0"/>
        <w:adjustRightInd w:val="0"/>
        <w:spacing w:line="360" w:lineRule="auto"/>
        <w:ind w:firstLine="480" w:firstLineChars="200"/>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（2）</w:t>
      </w:r>
      <w:r>
        <w:rPr>
          <w:rFonts w:hint="eastAsia" w:ascii="宋体" w:hAnsi="宋体" w:cs="宋体"/>
          <w:color w:val="000000" w:themeColor="text1"/>
          <w:sz w:val="24"/>
          <w:szCs w:val="24"/>
          <w14:textFill>
            <w14:solidFill>
              <w14:schemeClr w14:val="tx1"/>
            </w14:solidFill>
          </w14:textFill>
        </w:rPr>
        <w:t>；</w:t>
      </w:r>
    </w:p>
    <w:p>
      <w:pPr>
        <w:autoSpaceDE w:val="0"/>
        <w:autoSpaceDN w:val="0"/>
        <w:adjustRightInd w:val="0"/>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（3）</w:t>
      </w:r>
      <w:r>
        <w:rPr>
          <w:rFonts w:hint="eastAsia" w:ascii="宋体" w:hAnsi="宋体" w:cs="宋体"/>
          <w:color w:val="000000" w:themeColor="text1"/>
          <w:sz w:val="24"/>
          <w:szCs w:val="24"/>
          <w14:textFill>
            <w14:solidFill>
              <w14:schemeClr w14:val="tx1"/>
            </w14:solidFill>
          </w14:textFill>
        </w:rPr>
        <w:t>。</w:t>
      </w:r>
    </w:p>
    <w:p>
      <w:pPr>
        <w:keepNext/>
        <w:keepLines/>
        <w:spacing w:before="120" w:after="120" w:line="360" w:lineRule="auto"/>
        <w:outlineLvl w:val="3"/>
        <w:rPr>
          <w:rFonts w:ascii="宋体" w:hAnsi="宋体" w:cs="宋体"/>
          <w:color w:val="000000" w:themeColor="text1"/>
          <w:sz w:val="24"/>
          <w:szCs w:val="24"/>
          <w14:textFill>
            <w14:solidFill>
              <w14:schemeClr w14:val="tx1"/>
            </w14:solidFill>
          </w14:textFill>
        </w:rPr>
      </w:pPr>
      <w:bookmarkStart w:id="225" w:name="_Toc351203637"/>
      <w:r>
        <w:rPr>
          <w:rFonts w:hint="eastAsia" w:ascii="宋体" w:hAnsi="宋体" w:cs="宋体"/>
          <w:color w:val="000000" w:themeColor="text1"/>
          <w:sz w:val="24"/>
          <w:szCs w:val="24"/>
          <w14:textFill>
            <w14:solidFill>
              <w14:schemeClr w14:val="tx1"/>
            </w14:solidFill>
          </w14:textFill>
        </w:rPr>
        <w:t>5</w:t>
      </w:r>
      <w:bookmarkEnd w:id="224"/>
      <w:bookmarkStart w:id="226" w:name="_Toc296944502"/>
      <w:bookmarkStart w:id="227" w:name="_Toc296346664"/>
      <w:bookmarkStart w:id="228" w:name="_Toc292559367"/>
      <w:bookmarkStart w:id="229" w:name="_Toc297120463"/>
      <w:bookmarkStart w:id="230" w:name="_Toc296891203"/>
      <w:bookmarkStart w:id="231" w:name="_Toc292559872"/>
      <w:bookmarkStart w:id="232" w:name="_Toc297048349"/>
      <w:bookmarkStart w:id="233" w:name="_Toc296503163"/>
      <w:bookmarkStart w:id="234" w:name="_Toc296347162"/>
      <w:bookmarkStart w:id="235" w:name="_Toc296890991"/>
      <w:r>
        <w:rPr>
          <w:rFonts w:hint="eastAsia" w:ascii="宋体" w:hAnsi="宋体" w:cs="宋体"/>
          <w:color w:val="000000" w:themeColor="text1"/>
          <w:sz w:val="24"/>
          <w:szCs w:val="24"/>
          <w14:textFill>
            <w14:solidFill>
              <w14:schemeClr w14:val="tx1"/>
            </w14:solidFill>
          </w14:textFill>
        </w:rPr>
        <w:t>. 工程质量</w:t>
      </w:r>
      <w:bookmarkEnd w:id="225"/>
    </w:p>
    <w:p>
      <w:pPr>
        <w:spacing w:after="120" w:line="360" w:lineRule="auto"/>
        <w:ind w:firstLine="480" w:firstLineChars="200"/>
        <w:outlineLvl w:val="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5.1 质量要求</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5</w:t>
      </w:r>
      <w:bookmarkStart w:id="236" w:name="_Toc297216155"/>
      <w:bookmarkStart w:id="237" w:name="_Toc312677997"/>
      <w:bookmarkStart w:id="238" w:name="_Toc304295527"/>
      <w:bookmarkStart w:id="239" w:name="_Toc297123496"/>
      <w:bookmarkStart w:id="240" w:name="_Toc318581164"/>
      <w:bookmarkStart w:id="241" w:name="_Toc303539106"/>
      <w:bookmarkStart w:id="242" w:name="_Toc300934949"/>
      <w:r>
        <w:rPr>
          <w:rFonts w:hint="eastAsia" w:ascii="宋体" w:hAnsi="宋体" w:cs="宋体"/>
          <w:color w:val="000000" w:themeColor="text1"/>
          <w:sz w:val="24"/>
          <w:szCs w:val="24"/>
          <w14:textFill>
            <w14:solidFill>
              <w14:schemeClr w14:val="tx1"/>
            </w14:solidFill>
          </w14:textFill>
        </w:rPr>
        <w:t>.1.1 特殊质量标准和要求：。</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关于工程奖项的约定：。</w:t>
      </w:r>
    </w:p>
    <w:p>
      <w:pPr>
        <w:spacing w:after="120" w:line="360" w:lineRule="auto"/>
        <w:ind w:firstLine="480" w:firstLineChars="200"/>
        <w:outlineLvl w:val="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5.2 隐蔽工程检查</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5.2.1承包人提前通知监理人隐蔽工程检查的期限的约定：。</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监理人不能按时进行检查时，应提前X小时提交书面延期要求。</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关于延期最长不得超过：X小时。</w:t>
      </w:r>
    </w:p>
    <w:p>
      <w:pPr>
        <w:keepNext/>
        <w:keepLines/>
        <w:spacing w:before="120" w:after="120" w:line="360" w:lineRule="auto"/>
        <w:outlineLvl w:val="3"/>
        <w:rPr>
          <w:rFonts w:ascii="宋体" w:hAnsi="宋体" w:cs="宋体"/>
          <w:color w:val="000000" w:themeColor="text1"/>
          <w:sz w:val="24"/>
          <w:szCs w:val="24"/>
          <w14:textFill>
            <w14:solidFill>
              <w14:schemeClr w14:val="tx1"/>
            </w14:solidFill>
          </w14:textFill>
        </w:rPr>
      </w:pPr>
      <w:bookmarkStart w:id="243" w:name="_Toc351203638"/>
      <w:r>
        <w:rPr>
          <w:rFonts w:hint="eastAsia" w:ascii="宋体" w:hAnsi="宋体" w:cs="宋体"/>
          <w:color w:val="000000" w:themeColor="text1"/>
          <w:sz w:val="24"/>
          <w:szCs w:val="24"/>
          <w14:textFill>
            <w14:solidFill>
              <w14:schemeClr w14:val="tx1"/>
            </w14:solidFill>
          </w14:textFill>
        </w:rPr>
        <w:t>6. 安全文明施工与环境保护</w:t>
      </w:r>
      <w:bookmarkEnd w:id="243"/>
    </w:p>
    <w:p>
      <w:pPr>
        <w:spacing w:after="120"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6.1安全文明施工</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6.1.1 项目安全生产的达标目标及相应事项的约定：。</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6.1.2 关于治安保卫的特别约定：。</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关于编制施工场地治安管理计划的约定：。</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6.1.3 文明施工</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合同当事人对文明施工的要求：。</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6.1.4 关于安全文明施工费支付比例和支付期限的约定：。</w:t>
      </w:r>
    </w:p>
    <w:bookmarkEnd w:id="236"/>
    <w:bookmarkEnd w:id="237"/>
    <w:bookmarkEnd w:id="238"/>
    <w:bookmarkEnd w:id="239"/>
    <w:bookmarkEnd w:id="240"/>
    <w:bookmarkEnd w:id="241"/>
    <w:bookmarkEnd w:id="242"/>
    <w:p>
      <w:pPr>
        <w:keepNext/>
        <w:keepLines/>
        <w:spacing w:before="120" w:after="120" w:line="360" w:lineRule="auto"/>
        <w:outlineLvl w:val="3"/>
        <w:rPr>
          <w:rFonts w:ascii="宋体" w:hAnsi="宋体" w:cs="宋体"/>
          <w:color w:val="000000" w:themeColor="text1"/>
          <w:sz w:val="24"/>
          <w:szCs w:val="24"/>
          <w14:textFill>
            <w14:solidFill>
              <w14:schemeClr w14:val="tx1"/>
            </w14:solidFill>
          </w14:textFill>
        </w:rPr>
      </w:pPr>
      <w:bookmarkStart w:id="244" w:name="_Toc351203639"/>
      <w:r>
        <w:rPr>
          <w:rFonts w:hint="eastAsia" w:ascii="宋体" w:hAnsi="宋体" w:cs="宋体"/>
          <w:color w:val="000000" w:themeColor="text1"/>
          <w:sz w:val="24"/>
          <w:szCs w:val="24"/>
          <w14:textFill>
            <w14:solidFill>
              <w14:schemeClr w14:val="tx1"/>
            </w14:solidFill>
          </w14:textFill>
        </w:rPr>
        <w:t>7. 工期和进度</w:t>
      </w:r>
      <w:bookmarkEnd w:id="244"/>
    </w:p>
    <w:p>
      <w:pPr>
        <w:spacing w:after="120"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7.1 施工组织设计</w:t>
      </w:r>
    </w:p>
    <w:p>
      <w:pPr>
        <w:autoSpaceDE w:val="0"/>
        <w:autoSpaceDN w:val="0"/>
        <w:adjustRightInd w:val="0"/>
        <w:spacing w:line="360" w:lineRule="auto"/>
        <w:ind w:firstLine="480" w:firstLineChars="200"/>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7.1.1 合</w:t>
      </w:r>
      <w:r>
        <w:rPr>
          <w:rFonts w:hint="eastAsia" w:ascii="宋体" w:hAnsi="宋体" w:cs="宋体"/>
          <w:color w:val="000000" w:themeColor="text1"/>
          <w:kern w:val="0"/>
          <w:sz w:val="24"/>
          <w:szCs w:val="24"/>
          <w14:textFill>
            <w14:solidFill>
              <w14:schemeClr w14:val="tx1"/>
            </w14:solidFill>
          </w14:textFill>
        </w:rPr>
        <w:t>同当事人约定的施工组织设计应包括的其他内容：</w:t>
      </w:r>
      <w:r>
        <w:rPr>
          <w:rFonts w:hint="eastAsia" w:ascii="宋体" w:hAnsi="宋体" w:cs="宋体"/>
          <w:color w:val="000000" w:themeColor="text1"/>
          <w:sz w:val="24"/>
          <w:szCs w:val="24"/>
          <w14:textFill>
            <w14:solidFill>
              <w14:schemeClr w14:val="tx1"/>
            </w14:solidFill>
          </w14:textFill>
        </w:rPr>
        <w:t>。</w:t>
      </w:r>
    </w:p>
    <w:p>
      <w:pPr>
        <w:autoSpaceDE w:val="0"/>
        <w:autoSpaceDN w:val="0"/>
        <w:adjustRightInd w:val="0"/>
        <w:spacing w:line="360" w:lineRule="auto"/>
        <w:ind w:firstLine="480" w:firstLineChars="200"/>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xml:space="preserve">7.1.2 </w:t>
      </w:r>
      <w:r>
        <w:rPr>
          <w:rFonts w:hint="eastAsia" w:ascii="宋体" w:hAnsi="宋体" w:cs="宋体"/>
          <w:color w:val="000000" w:themeColor="text1"/>
          <w:kern w:val="0"/>
          <w:sz w:val="24"/>
          <w:szCs w:val="24"/>
          <w14:textFill>
            <w14:solidFill>
              <w14:schemeClr w14:val="tx1"/>
            </w14:solidFill>
          </w14:textFill>
        </w:rPr>
        <w:t>施工组织设计的提交和修改</w:t>
      </w:r>
    </w:p>
    <w:p>
      <w:pPr>
        <w:autoSpaceDE w:val="0"/>
        <w:autoSpaceDN w:val="0"/>
        <w:adjustRightInd w:val="0"/>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承包人提交详细施工组织设计的期限的约定：</w:t>
      </w:r>
      <w:r>
        <w:rPr>
          <w:rFonts w:hint="eastAsia" w:ascii="宋体" w:hAnsi="宋体" w:cs="宋体"/>
          <w:color w:val="000000" w:themeColor="text1"/>
          <w:sz w:val="24"/>
          <w:szCs w:val="24"/>
          <w14:textFill>
            <w14:solidFill>
              <w14:schemeClr w14:val="tx1"/>
            </w14:solidFill>
          </w14:textFill>
        </w:rPr>
        <w:t>。</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发包人和监理人在收到详细的施工组织设计后确认或提出修改意见的期限：。</w:t>
      </w:r>
    </w:p>
    <w:p>
      <w:pPr>
        <w:spacing w:after="120"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7</w:t>
      </w:r>
      <w:bookmarkStart w:id="245" w:name="_Toc304295541"/>
      <w:bookmarkStart w:id="246" w:name="_Toc303539123"/>
      <w:bookmarkStart w:id="247" w:name="_Toc312677479"/>
      <w:bookmarkStart w:id="248" w:name="_Toc312678005"/>
      <w:bookmarkStart w:id="249" w:name="_Toc297216173"/>
      <w:bookmarkStart w:id="250" w:name="_Toc300934966"/>
      <w:bookmarkStart w:id="251" w:name="_Toc297123514"/>
      <w:r>
        <w:rPr>
          <w:rFonts w:hint="eastAsia" w:ascii="宋体" w:hAnsi="宋体" w:cs="宋体"/>
          <w:color w:val="000000" w:themeColor="text1"/>
          <w:sz w:val="24"/>
          <w:szCs w:val="24"/>
          <w14:textFill>
            <w14:solidFill>
              <w14:schemeClr w14:val="tx1"/>
            </w14:solidFill>
          </w14:textFill>
        </w:rPr>
        <w:t>.2 施工进度计划</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7.2.1 施工进度计划的修订</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承包人提供施工组织设计（施工方案）和进度计划的时间：。</w:t>
      </w:r>
    </w:p>
    <w:p>
      <w:pPr>
        <w:spacing w:after="120"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7.3 开工</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7.3.1 开工准备</w:t>
      </w:r>
    </w:p>
    <w:p>
      <w:pPr>
        <w:spacing w:line="360" w:lineRule="auto"/>
        <w:ind w:firstLine="645"/>
        <w:jc w:val="left"/>
        <w:rPr>
          <w:rFonts w:ascii="宋体" w:hAnsi="宋体" w:cs="宋体"/>
          <w:color w:val="000000" w:themeColor="text1"/>
          <w:sz w:val="24"/>
          <w:szCs w:val="24"/>
          <w:u w:val="single"/>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关于承包人提交</w:t>
      </w:r>
      <w:r>
        <w:rPr>
          <w:rFonts w:hint="eastAsia" w:ascii="宋体" w:hAnsi="宋体" w:cs="宋体"/>
          <w:color w:val="000000" w:themeColor="text1"/>
          <w:kern w:val="0"/>
          <w:sz w:val="24"/>
          <w:szCs w:val="24"/>
          <w14:textFill>
            <w14:solidFill>
              <w14:schemeClr w14:val="tx1"/>
            </w14:solidFill>
          </w14:textFill>
        </w:rPr>
        <w:t>工程开工报审表的期限：</w:t>
      </w:r>
      <w:r>
        <w:rPr>
          <w:rFonts w:hint="eastAsia" w:ascii="宋体" w:hAnsi="宋体" w:cs="宋体"/>
          <w:color w:val="000000" w:themeColor="text1"/>
          <w:sz w:val="24"/>
          <w:szCs w:val="24"/>
          <w14:textFill>
            <w14:solidFill>
              <w14:schemeClr w14:val="tx1"/>
            </w14:solidFill>
          </w14:textFill>
        </w:rPr>
        <w:t>。</w:t>
      </w:r>
    </w:p>
    <w:p>
      <w:pPr>
        <w:spacing w:line="360" w:lineRule="auto"/>
        <w:ind w:firstLine="645"/>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关于发包人应完成的其他开工准备工作及期限：。</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关于承包人应完成的其他开工准备工作及期限：。</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7.3.2开工通知</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因发包人原因造成监理人未能在计划开工日期之日起X天内发出开工通知的，承包人有权提出价格调整要求，或者解除合同。</w:t>
      </w:r>
    </w:p>
    <w:bookmarkEnd w:id="245"/>
    <w:bookmarkEnd w:id="246"/>
    <w:bookmarkEnd w:id="247"/>
    <w:bookmarkEnd w:id="248"/>
    <w:bookmarkEnd w:id="249"/>
    <w:bookmarkEnd w:id="250"/>
    <w:bookmarkEnd w:id="251"/>
    <w:p>
      <w:pPr>
        <w:spacing w:after="120"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7.4 测量放线</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7.4.1发包人通过监理人向承包人提供测量基准点、基准线和水准点及其书面资料的期限：。</w:t>
      </w:r>
    </w:p>
    <w:p>
      <w:pPr>
        <w:spacing w:after="120"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7</w:t>
      </w:r>
      <w:bookmarkStart w:id="252" w:name="_Toc304295546"/>
      <w:bookmarkStart w:id="253" w:name="_Toc297216175"/>
      <w:bookmarkStart w:id="254" w:name="_Toc303539125"/>
      <w:bookmarkStart w:id="255" w:name="_Toc312678010"/>
      <w:bookmarkStart w:id="256" w:name="_Toc300934968"/>
      <w:bookmarkStart w:id="257" w:name="_Toc297123516"/>
      <w:bookmarkStart w:id="258" w:name="_Toc312677484"/>
      <w:r>
        <w:rPr>
          <w:rFonts w:hint="eastAsia" w:ascii="宋体" w:hAnsi="宋体" w:cs="宋体"/>
          <w:color w:val="000000" w:themeColor="text1"/>
          <w:sz w:val="24"/>
          <w:szCs w:val="24"/>
          <w14:textFill>
            <w14:solidFill>
              <w14:schemeClr w14:val="tx1"/>
            </w14:solidFill>
          </w14:textFill>
        </w:rPr>
        <w:t>.5 工期延误</w:t>
      </w:r>
    </w:p>
    <w:bookmarkEnd w:id="252"/>
    <w:bookmarkEnd w:id="253"/>
    <w:bookmarkEnd w:id="254"/>
    <w:bookmarkEnd w:id="255"/>
    <w:bookmarkEnd w:id="256"/>
    <w:bookmarkEnd w:id="257"/>
    <w:bookmarkEnd w:id="258"/>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7.5.1 因发包人原因导致工期延误</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因发包人原因导致工期延误的其他情形：</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7</w:t>
      </w:r>
      <w:bookmarkStart w:id="259" w:name="_Toc312678012"/>
      <w:bookmarkStart w:id="260" w:name="_Toc318581169"/>
      <w:bookmarkStart w:id="261" w:name="_Toc312677486"/>
      <w:bookmarkStart w:id="262" w:name="_Toc297123518"/>
      <w:bookmarkStart w:id="263" w:name="_Toc303539127"/>
      <w:bookmarkStart w:id="264" w:name="_Toc304295548"/>
      <w:bookmarkStart w:id="265" w:name="_Toc297216177"/>
      <w:bookmarkStart w:id="266" w:name="_Toc300934970"/>
      <w:r>
        <w:rPr>
          <w:rFonts w:hint="eastAsia" w:ascii="宋体" w:hAnsi="宋体" w:cs="宋体"/>
          <w:color w:val="000000" w:themeColor="text1"/>
          <w:sz w:val="24"/>
          <w:szCs w:val="24"/>
          <w14:textFill>
            <w14:solidFill>
              <w14:schemeClr w14:val="tx1"/>
            </w14:solidFill>
          </w14:textFill>
        </w:rPr>
        <w:t>.5.2 因承包人原因导致工期延误</w:t>
      </w:r>
    </w:p>
    <w:bookmarkEnd w:id="259"/>
    <w:bookmarkEnd w:id="260"/>
    <w:bookmarkEnd w:id="261"/>
    <w:p>
      <w:pPr>
        <w:spacing w:line="360" w:lineRule="auto"/>
        <w:ind w:firstLine="480" w:firstLineChars="200"/>
        <w:jc w:val="left"/>
        <w:rPr>
          <w:rFonts w:ascii="宋体" w:hAnsi="宋体" w:cs="宋体"/>
          <w:color w:val="000000" w:themeColor="text1"/>
          <w:sz w:val="24"/>
          <w:szCs w:val="24"/>
          <w:u w:val="single"/>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因</w:t>
      </w:r>
      <w:bookmarkStart w:id="267" w:name="_Toc312678013"/>
      <w:bookmarkStart w:id="268" w:name="_Toc318581170"/>
      <w:bookmarkStart w:id="269" w:name="_Toc312677487"/>
      <w:r>
        <w:rPr>
          <w:rFonts w:hint="eastAsia" w:ascii="宋体" w:hAnsi="宋体" w:cs="宋体"/>
          <w:color w:val="000000" w:themeColor="text1"/>
          <w:sz w:val="24"/>
          <w:szCs w:val="24"/>
          <w14:textFill>
            <w14:solidFill>
              <w14:schemeClr w14:val="tx1"/>
            </w14:solidFill>
          </w14:textFill>
        </w:rPr>
        <w:t>承包人原因造成工期延误，逾期竣工违约金的计算方法为：</w:t>
      </w:r>
    </w:p>
    <w:bookmarkEnd w:id="262"/>
    <w:bookmarkEnd w:id="263"/>
    <w:bookmarkEnd w:id="264"/>
    <w:bookmarkEnd w:id="265"/>
    <w:bookmarkEnd w:id="266"/>
    <w:bookmarkEnd w:id="267"/>
    <w:bookmarkEnd w:id="268"/>
    <w:bookmarkEnd w:id="269"/>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因承包人原因造成工期延误，逾</w:t>
      </w:r>
      <w:bookmarkStart w:id="270" w:name="_Toc312678014"/>
      <w:bookmarkStart w:id="271" w:name="_Toc318581171"/>
      <w:r>
        <w:rPr>
          <w:rFonts w:hint="eastAsia" w:ascii="宋体" w:hAnsi="宋体" w:cs="宋体"/>
          <w:color w:val="000000" w:themeColor="text1"/>
          <w:sz w:val="24"/>
          <w:szCs w:val="24"/>
          <w14:textFill>
            <w14:solidFill>
              <w14:schemeClr w14:val="tx1"/>
            </w14:solidFill>
          </w14:textFill>
        </w:rPr>
        <w:t>期竣工违约金的上限：</w:t>
      </w:r>
      <w:r>
        <w:rPr>
          <w:rFonts w:hint="eastAsia" w:ascii="宋体" w:hAnsi="宋体" w:cs="宋体"/>
          <w:color w:val="000000" w:themeColor="text1"/>
          <w:sz w:val="24"/>
          <w:szCs w:val="24"/>
          <w:u w:val="single"/>
          <w14:textFill>
            <w14:solidFill>
              <w14:schemeClr w14:val="tx1"/>
            </w14:solidFill>
          </w14:textFill>
        </w:rPr>
        <w:t>签约合同价款的10%</w:t>
      </w:r>
      <w:r>
        <w:rPr>
          <w:rFonts w:hint="eastAsia" w:ascii="宋体" w:hAnsi="宋体" w:cs="宋体"/>
          <w:color w:val="000000" w:themeColor="text1"/>
          <w:sz w:val="24"/>
          <w:szCs w:val="24"/>
          <w14:textFill>
            <w14:solidFill>
              <w14:schemeClr w14:val="tx1"/>
            </w14:solidFill>
          </w14:textFill>
        </w:rPr>
        <w:t>。</w:t>
      </w:r>
      <w:bookmarkEnd w:id="270"/>
      <w:bookmarkEnd w:id="271"/>
    </w:p>
    <w:p>
      <w:pPr>
        <w:spacing w:after="120"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7</w:t>
      </w:r>
      <w:bookmarkStart w:id="272" w:name="_Toc312678015"/>
      <w:bookmarkStart w:id="273" w:name="_Toc297123519"/>
      <w:bookmarkStart w:id="274" w:name="_Toc304295549"/>
      <w:bookmarkStart w:id="275" w:name="_Toc300934971"/>
      <w:bookmarkStart w:id="276" w:name="_Toc303539128"/>
      <w:bookmarkStart w:id="277" w:name="_Toc297216178"/>
      <w:r>
        <w:rPr>
          <w:rFonts w:hint="eastAsia" w:ascii="宋体" w:hAnsi="宋体" w:cs="宋体"/>
          <w:color w:val="000000" w:themeColor="text1"/>
          <w:sz w:val="24"/>
          <w:szCs w:val="24"/>
          <w14:textFill>
            <w14:solidFill>
              <w14:schemeClr w14:val="tx1"/>
            </w14:solidFill>
          </w14:textFill>
        </w:rPr>
        <w:t>.6 不</w:t>
      </w:r>
      <w:bookmarkEnd w:id="272"/>
      <w:bookmarkEnd w:id="273"/>
      <w:bookmarkEnd w:id="274"/>
      <w:bookmarkEnd w:id="275"/>
      <w:bookmarkEnd w:id="276"/>
      <w:bookmarkEnd w:id="277"/>
      <w:r>
        <w:rPr>
          <w:rFonts w:hint="eastAsia" w:ascii="宋体" w:hAnsi="宋体" w:cs="宋体"/>
          <w:color w:val="000000" w:themeColor="text1"/>
          <w:sz w:val="24"/>
          <w:szCs w:val="24"/>
          <w14:textFill>
            <w14:solidFill>
              <w14:schemeClr w14:val="tx1"/>
            </w14:solidFill>
          </w14:textFill>
        </w:rPr>
        <w:t>利物质条件</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bookmarkStart w:id="278" w:name="_Toc300934972"/>
      <w:bookmarkStart w:id="279" w:name="_Toc318581172"/>
      <w:bookmarkStart w:id="280" w:name="_Toc297216179"/>
      <w:bookmarkStart w:id="281" w:name="_Toc312678016"/>
      <w:bookmarkStart w:id="282" w:name="_Toc297123520"/>
      <w:bookmarkStart w:id="283" w:name="_Toc304295550"/>
      <w:bookmarkStart w:id="284" w:name="_Toc303539129"/>
      <w:r>
        <w:rPr>
          <w:rFonts w:hint="eastAsia" w:ascii="宋体" w:hAnsi="宋体" w:cs="宋体"/>
          <w:color w:val="000000" w:themeColor="text1"/>
          <w:sz w:val="24"/>
          <w:szCs w:val="24"/>
          <w14:textFill>
            <w14:solidFill>
              <w14:schemeClr w14:val="tx1"/>
            </w14:solidFill>
          </w14:textFill>
        </w:rPr>
        <w:t>不利物质条件的其他情形和有关约定：。</w:t>
      </w:r>
    </w:p>
    <w:bookmarkEnd w:id="278"/>
    <w:bookmarkEnd w:id="279"/>
    <w:bookmarkEnd w:id="280"/>
    <w:bookmarkEnd w:id="281"/>
    <w:bookmarkEnd w:id="282"/>
    <w:bookmarkEnd w:id="283"/>
    <w:bookmarkEnd w:id="284"/>
    <w:p>
      <w:pPr>
        <w:spacing w:after="120"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7</w:t>
      </w:r>
      <w:bookmarkStart w:id="285" w:name="_Toc303539130"/>
      <w:bookmarkStart w:id="286" w:name="_Toc312678017"/>
      <w:bookmarkStart w:id="287" w:name="_Toc297216180"/>
      <w:bookmarkStart w:id="288" w:name="_Toc297123521"/>
      <w:bookmarkStart w:id="289" w:name="_Toc304295551"/>
      <w:bookmarkStart w:id="290" w:name="_Toc300934973"/>
      <w:r>
        <w:rPr>
          <w:rFonts w:hint="eastAsia" w:ascii="宋体" w:hAnsi="宋体" w:cs="宋体"/>
          <w:color w:val="000000" w:themeColor="text1"/>
          <w:sz w:val="24"/>
          <w:szCs w:val="24"/>
          <w14:textFill>
            <w14:solidFill>
              <w14:schemeClr w14:val="tx1"/>
            </w14:solidFill>
          </w14:textFill>
        </w:rPr>
        <w:t>.7异常恶劣的气候条件</w:t>
      </w:r>
    </w:p>
    <w:bookmarkEnd w:id="285"/>
    <w:bookmarkEnd w:id="286"/>
    <w:bookmarkEnd w:id="287"/>
    <w:bookmarkEnd w:id="288"/>
    <w:bookmarkEnd w:id="289"/>
    <w:bookmarkEnd w:id="290"/>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发包人和承包人同意以下情形视为异常恶劣的气候条件：</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（3）。</w:t>
      </w:r>
    </w:p>
    <w:p>
      <w:pPr>
        <w:spacing w:after="120" w:line="360" w:lineRule="auto"/>
        <w:ind w:firstLine="480" w:firstLineChars="200"/>
        <w:outlineLvl w:val="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7.8 提前竣工的奖励</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7.8.1提前竣工的奖励：</w:t>
      </w:r>
      <w:r>
        <w:rPr>
          <w:rFonts w:hint="eastAsia" w:ascii="宋体" w:hAnsi="宋体" w:cs="宋体"/>
          <w:color w:val="000000" w:themeColor="text1"/>
          <w:sz w:val="24"/>
          <w:szCs w:val="24"/>
          <w:u w:val="single"/>
          <w14:textFill>
            <w14:solidFill>
              <w14:schemeClr w14:val="tx1"/>
            </w14:solidFill>
          </w14:textFill>
        </w:rPr>
        <w:t>无</w:t>
      </w:r>
      <w:r>
        <w:rPr>
          <w:rFonts w:hint="eastAsia" w:ascii="宋体" w:hAnsi="宋体" w:cs="宋体"/>
          <w:color w:val="000000" w:themeColor="text1"/>
          <w:sz w:val="24"/>
          <w:szCs w:val="24"/>
          <w14:textFill>
            <w14:solidFill>
              <w14:schemeClr w14:val="tx1"/>
            </w14:solidFill>
          </w14:textFill>
        </w:rPr>
        <w:t>。</w:t>
      </w:r>
    </w:p>
    <w:p>
      <w:pPr>
        <w:keepNext/>
        <w:keepLines/>
        <w:spacing w:before="120" w:after="120" w:line="360" w:lineRule="auto"/>
        <w:outlineLvl w:val="3"/>
        <w:rPr>
          <w:rFonts w:ascii="宋体" w:hAnsi="宋体" w:cs="宋体"/>
          <w:color w:val="000000" w:themeColor="text1"/>
          <w:sz w:val="24"/>
          <w:szCs w:val="24"/>
          <w14:textFill>
            <w14:solidFill>
              <w14:schemeClr w14:val="tx1"/>
            </w14:solidFill>
          </w14:textFill>
        </w:rPr>
      </w:pPr>
      <w:bookmarkStart w:id="291" w:name="_Toc351203640"/>
      <w:r>
        <w:rPr>
          <w:rFonts w:hint="eastAsia" w:ascii="宋体" w:hAnsi="宋体" w:cs="宋体"/>
          <w:color w:val="000000" w:themeColor="text1"/>
          <w:sz w:val="24"/>
          <w:szCs w:val="24"/>
          <w14:textFill>
            <w14:solidFill>
              <w14:schemeClr w14:val="tx1"/>
            </w14:solidFill>
          </w14:textFill>
        </w:rPr>
        <w:t>8. 材料与设备</w:t>
      </w:r>
      <w:bookmarkEnd w:id="291"/>
    </w:p>
    <w:p>
      <w:pPr>
        <w:spacing w:after="120"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8.1承包人采购材料与工程设备</w:t>
      </w:r>
    </w:p>
    <w:bookmarkEnd w:id="226"/>
    <w:bookmarkEnd w:id="227"/>
    <w:bookmarkEnd w:id="228"/>
    <w:bookmarkEnd w:id="229"/>
    <w:bookmarkEnd w:id="230"/>
    <w:bookmarkEnd w:id="231"/>
    <w:bookmarkEnd w:id="232"/>
    <w:bookmarkEnd w:id="233"/>
    <w:bookmarkEnd w:id="234"/>
    <w:bookmarkEnd w:id="235"/>
    <w:p>
      <w:pPr>
        <w:spacing w:after="120"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8</w:t>
      </w:r>
      <w:bookmarkStart w:id="292" w:name="_Toc292559877"/>
      <w:bookmarkStart w:id="293" w:name="_Toc312677493"/>
      <w:bookmarkStart w:id="294" w:name="_Toc296346668"/>
      <w:bookmarkStart w:id="295" w:name="_Toc297048353"/>
      <w:bookmarkStart w:id="296" w:name="_Toc304295556"/>
      <w:bookmarkStart w:id="297" w:name="_Toc297123527"/>
      <w:bookmarkStart w:id="298" w:name="_Toc300934979"/>
      <w:bookmarkStart w:id="299" w:name="_Toc296891207"/>
      <w:bookmarkStart w:id="300" w:name="_Toc296890995"/>
      <w:bookmarkStart w:id="301" w:name="_Toc292559372"/>
      <w:bookmarkStart w:id="302" w:name="_Toc312678019"/>
      <w:bookmarkStart w:id="303" w:name="_Toc297120467"/>
      <w:bookmarkStart w:id="304" w:name="_Toc280868654"/>
      <w:bookmarkStart w:id="305" w:name="_Toc303539136"/>
      <w:bookmarkStart w:id="306" w:name="_Toc296503167"/>
      <w:bookmarkStart w:id="307" w:name="_Toc297216186"/>
      <w:bookmarkStart w:id="308" w:name="_Toc296944506"/>
      <w:bookmarkStart w:id="309" w:name="_Toc296347166"/>
      <w:bookmarkStart w:id="310" w:name="_Toc267251424"/>
      <w:bookmarkStart w:id="311" w:name="_Toc280868655"/>
      <w:bookmarkStart w:id="312" w:name="_Toc280868656"/>
      <w:r>
        <w:rPr>
          <w:rFonts w:hint="eastAsia" w:ascii="宋体" w:hAnsi="宋体" w:cs="宋体"/>
          <w:color w:val="000000" w:themeColor="text1"/>
          <w:sz w:val="24"/>
          <w:szCs w:val="24"/>
          <w14:textFill>
            <w14:solidFill>
              <w14:schemeClr w14:val="tx1"/>
            </w14:solidFill>
          </w14:textFill>
        </w:rPr>
        <w:t>.2材料与工程设备的保管与使用</w:t>
      </w:r>
    </w:p>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8</w:t>
      </w:r>
      <w:bookmarkStart w:id="313" w:name="_Toc292559878"/>
      <w:bookmarkStart w:id="314" w:name="_Toc292559373"/>
      <w:bookmarkStart w:id="315" w:name="_Toc297123528"/>
      <w:bookmarkStart w:id="316" w:name="_Toc312677494"/>
      <w:bookmarkStart w:id="317" w:name="_Toc296346669"/>
      <w:bookmarkStart w:id="318" w:name="_Toc318581173"/>
      <w:bookmarkStart w:id="319" w:name="_Toc296944507"/>
      <w:bookmarkStart w:id="320" w:name="_Toc297216187"/>
      <w:bookmarkStart w:id="321" w:name="_Toc304295557"/>
      <w:bookmarkStart w:id="322" w:name="_Toc297120468"/>
      <w:bookmarkStart w:id="323" w:name="_Toc312678020"/>
      <w:bookmarkStart w:id="324" w:name="_Toc303539137"/>
      <w:bookmarkStart w:id="325" w:name="_Toc296347167"/>
      <w:bookmarkStart w:id="326" w:name="_Toc297048354"/>
      <w:bookmarkStart w:id="327" w:name="_Toc296890996"/>
      <w:bookmarkStart w:id="328" w:name="_Toc296503168"/>
      <w:bookmarkStart w:id="329" w:name="_Toc296891208"/>
      <w:bookmarkStart w:id="330" w:name="_Toc300934980"/>
      <w:r>
        <w:rPr>
          <w:rFonts w:hint="eastAsia" w:ascii="宋体" w:hAnsi="宋体" w:cs="宋体"/>
          <w:color w:val="000000" w:themeColor="text1"/>
          <w:sz w:val="24"/>
          <w:szCs w:val="24"/>
          <w14:textFill>
            <w14:solidFill>
              <w14:schemeClr w14:val="tx1"/>
            </w14:solidFill>
          </w14:textFill>
        </w:rPr>
        <w:t>.2.1发包人供应的材料设备的保管费用的承担：。</w:t>
      </w:r>
      <w:bookmarkEnd w:id="313"/>
      <w:bookmarkEnd w:id="314"/>
    </w:p>
    <w:p>
      <w:pPr>
        <w:spacing w:after="120" w:line="360" w:lineRule="auto"/>
        <w:ind w:firstLine="480" w:firstLineChars="200"/>
        <w:outlineLvl w:val="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8.3 样品</w:t>
      </w:r>
    </w:p>
    <w:p>
      <w:pPr>
        <w:autoSpaceDE w:val="0"/>
        <w:autoSpaceDN w:val="0"/>
        <w:adjustRightInd w:val="0"/>
        <w:spacing w:line="360" w:lineRule="auto"/>
        <w:ind w:firstLine="480" w:firstLineChars="200"/>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8.3.1</w:t>
      </w:r>
      <w:r>
        <w:rPr>
          <w:rFonts w:hint="eastAsia" w:ascii="宋体" w:hAnsi="宋体" w:cs="宋体"/>
          <w:color w:val="000000" w:themeColor="text1"/>
          <w:kern w:val="0"/>
          <w:sz w:val="24"/>
          <w:szCs w:val="24"/>
          <w14:textFill>
            <w14:solidFill>
              <w14:schemeClr w14:val="tx1"/>
            </w14:solidFill>
          </w14:textFill>
        </w:rPr>
        <w:tab/>
      </w:r>
      <w:r>
        <w:rPr>
          <w:rFonts w:hint="eastAsia" w:ascii="宋体" w:hAnsi="宋体" w:cs="宋体"/>
          <w:color w:val="000000" w:themeColor="text1"/>
          <w:kern w:val="0"/>
          <w:sz w:val="24"/>
          <w:szCs w:val="24"/>
          <w14:textFill>
            <w14:solidFill>
              <w14:schemeClr w14:val="tx1"/>
            </w14:solidFill>
          </w14:textFill>
        </w:rPr>
        <w:t>样品的报送与封存</w:t>
      </w:r>
    </w:p>
    <w:p>
      <w:pPr>
        <w:autoSpaceDE w:val="0"/>
        <w:autoSpaceDN w:val="0"/>
        <w:adjustRightInd w:val="0"/>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需要承包人报送样品的材料或工程设备，样品的种类、名称、规格、数量要求：</w:t>
      </w:r>
      <w:r>
        <w:rPr>
          <w:rFonts w:hint="eastAsia" w:ascii="宋体" w:hAnsi="宋体" w:cs="宋体"/>
          <w:color w:val="000000" w:themeColor="text1"/>
          <w:sz w:val="24"/>
          <w:szCs w:val="24"/>
          <w14:textFill>
            <w14:solidFill>
              <w14:schemeClr w14:val="tx1"/>
            </w14:solidFill>
          </w14:textFill>
        </w:rPr>
        <w:t>。</w:t>
      </w:r>
    </w:p>
    <w:p>
      <w:pPr>
        <w:spacing w:after="120" w:line="360" w:lineRule="auto"/>
        <w:ind w:firstLine="480" w:firstLineChars="200"/>
        <w:outlineLvl w:val="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8.4 施工设备和临时设施</w:t>
      </w:r>
    </w:p>
    <w:p>
      <w:pPr>
        <w:autoSpaceDE w:val="0"/>
        <w:autoSpaceDN w:val="0"/>
        <w:adjustRightInd w:val="0"/>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8.4.1 承包人提供的施工设备和临时设施</w:t>
      </w:r>
    </w:p>
    <w:p>
      <w:pPr>
        <w:autoSpaceDE w:val="0"/>
        <w:autoSpaceDN w:val="0"/>
        <w:adjustRightInd w:val="0"/>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8.4.2 关于修建临时设施费用承担的约定：。</w:t>
      </w:r>
    </w:p>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p>
      <w:pPr>
        <w:keepNext/>
        <w:keepLines/>
        <w:spacing w:before="120" w:after="120" w:line="360" w:lineRule="auto"/>
        <w:outlineLvl w:val="3"/>
        <w:rPr>
          <w:rFonts w:ascii="宋体" w:hAnsi="宋体" w:cs="宋体"/>
          <w:color w:val="000000" w:themeColor="text1"/>
          <w:sz w:val="24"/>
          <w:szCs w:val="24"/>
          <w14:textFill>
            <w14:solidFill>
              <w14:schemeClr w14:val="tx1"/>
            </w14:solidFill>
          </w14:textFill>
        </w:rPr>
      </w:pPr>
      <w:bookmarkStart w:id="331" w:name="_Toc351203641"/>
      <w:r>
        <w:rPr>
          <w:rFonts w:hint="eastAsia" w:ascii="宋体" w:hAnsi="宋体" w:cs="宋体"/>
          <w:color w:val="000000" w:themeColor="text1"/>
          <w:sz w:val="24"/>
          <w:szCs w:val="24"/>
          <w14:textFill>
            <w14:solidFill>
              <w14:schemeClr w14:val="tx1"/>
            </w14:solidFill>
          </w14:textFill>
        </w:rPr>
        <w:t>9</w:t>
      </w:r>
      <w:bookmarkEnd w:id="310"/>
      <w:bookmarkEnd w:id="311"/>
      <w:bookmarkEnd w:id="312"/>
      <w:bookmarkStart w:id="332" w:name="_Toc300934982"/>
      <w:bookmarkStart w:id="333" w:name="_Toc304295559"/>
      <w:bookmarkStart w:id="334" w:name="_Toc312677495"/>
      <w:bookmarkStart w:id="335" w:name="_Toc303539139"/>
      <w:bookmarkStart w:id="336" w:name="_Toc312678021"/>
      <w:bookmarkStart w:id="337" w:name="_Toc297216192"/>
      <w:bookmarkStart w:id="338" w:name="_Toc297123533"/>
      <w:bookmarkStart w:id="339" w:name="_Toc296944512"/>
      <w:bookmarkStart w:id="340" w:name="_Toc292559883"/>
      <w:bookmarkStart w:id="341" w:name="_Toc297048359"/>
      <w:bookmarkStart w:id="342" w:name="_Toc267251427"/>
      <w:bookmarkStart w:id="343" w:name="_Toc296346674"/>
      <w:bookmarkStart w:id="344" w:name="_Toc292559378"/>
      <w:bookmarkStart w:id="345" w:name="_Toc296347172"/>
      <w:bookmarkStart w:id="346" w:name="_Toc267251428"/>
      <w:bookmarkStart w:id="347" w:name="_Toc296891001"/>
      <w:bookmarkStart w:id="348" w:name="_Toc296503173"/>
      <w:bookmarkStart w:id="349" w:name="_Toc296891213"/>
      <w:bookmarkStart w:id="350" w:name="_Toc297120473"/>
      <w:r>
        <w:rPr>
          <w:rFonts w:hint="eastAsia" w:ascii="宋体" w:hAnsi="宋体" w:cs="宋体"/>
          <w:color w:val="000000" w:themeColor="text1"/>
          <w:sz w:val="24"/>
          <w:szCs w:val="24"/>
          <w14:textFill>
            <w14:solidFill>
              <w14:schemeClr w14:val="tx1"/>
            </w14:solidFill>
          </w14:textFill>
        </w:rPr>
        <w:t>. 试验与检验</w:t>
      </w:r>
      <w:bookmarkEnd w:id="331"/>
    </w:p>
    <w:bookmarkEnd w:id="332"/>
    <w:bookmarkEnd w:id="333"/>
    <w:bookmarkEnd w:id="334"/>
    <w:bookmarkEnd w:id="335"/>
    <w:bookmarkEnd w:id="336"/>
    <w:bookmarkEnd w:id="337"/>
    <w:bookmarkEnd w:id="338"/>
    <w:p>
      <w:pPr>
        <w:spacing w:after="120"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9</w:t>
      </w:r>
      <w:bookmarkStart w:id="351" w:name="_Toc297216193"/>
      <w:bookmarkStart w:id="352" w:name="_Toc312678022"/>
      <w:bookmarkStart w:id="353" w:name="_Toc303539140"/>
      <w:bookmarkStart w:id="354" w:name="_Toc300934983"/>
      <w:bookmarkStart w:id="355" w:name="_Toc312677496"/>
      <w:bookmarkStart w:id="356" w:name="_Toc297123534"/>
      <w:bookmarkStart w:id="357" w:name="_Toc304295560"/>
      <w:r>
        <w:rPr>
          <w:rFonts w:hint="eastAsia" w:ascii="宋体" w:hAnsi="宋体" w:cs="宋体"/>
          <w:color w:val="000000" w:themeColor="text1"/>
          <w:sz w:val="24"/>
          <w:szCs w:val="24"/>
          <w14:textFill>
            <w14:solidFill>
              <w14:schemeClr w14:val="tx1"/>
            </w14:solidFill>
          </w14:textFill>
        </w:rPr>
        <w:t>.1试验设备与试验人员</w:t>
      </w:r>
    </w:p>
    <w:bookmarkEnd w:id="351"/>
    <w:bookmarkEnd w:id="352"/>
    <w:bookmarkEnd w:id="353"/>
    <w:bookmarkEnd w:id="354"/>
    <w:bookmarkEnd w:id="355"/>
    <w:bookmarkEnd w:id="356"/>
    <w:bookmarkEnd w:id="357"/>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9</w:t>
      </w:r>
      <w:bookmarkStart w:id="358" w:name="_Toc312677497"/>
      <w:bookmarkStart w:id="359" w:name="_Toc300934984"/>
      <w:bookmarkStart w:id="360" w:name="_Toc312678023"/>
      <w:bookmarkStart w:id="361" w:name="_Toc297216194"/>
      <w:bookmarkStart w:id="362" w:name="_Toc303539141"/>
      <w:bookmarkStart w:id="363" w:name="_Toc297123535"/>
      <w:bookmarkStart w:id="364" w:name="_Toc304295561"/>
      <w:bookmarkStart w:id="365" w:name="_Toc318581174"/>
      <w:r>
        <w:rPr>
          <w:rFonts w:hint="eastAsia" w:ascii="宋体" w:hAnsi="宋体" w:cs="宋体"/>
          <w:color w:val="000000" w:themeColor="text1"/>
          <w:sz w:val="24"/>
          <w:szCs w:val="24"/>
          <w14:textFill>
            <w14:solidFill>
              <w14:schemeClr w14:val="tx1"/>
            </w14:solidFill>
          </w14:textFill>
        </w:rPr>
        <w:t>.1.1 试验设备</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施工现场需要配置的试验场所：</w:t>
      </w:r>
      <w:bookmarkEnd w:id="358"/>
      <w:bookmarkEnd w:id="359"/>
      <w:bookmarkEnd w:id="360"/>
      <w:bookmarkEnd w:id="361"/>
      <w:bookmarkEnd w:id="362"/>
      <w:bookmarkEnd w:id="363"/>
      <w:bookmarkEnd w:id="364"/>
      <w:bookmarkStart w:id="366" w:name="_Toc303539142"/>
      <w:bookmarkStart w:id="367" w:name="_Toc312677498"/>
      <w:bookmarkStart w:id="368" w:name="_Toc297123536"/>
      <w:bookmarkStart w:id="369" w:name="_Toc304295562"/>
      <w:bookmarkStart w:id="370" w:name="_Toc312678024"/>
      <w:bookmarkStart w:id="371" w:name="_Toc300934985"/>
      <w:bookmarkStart w:id="372" w:name="_Toc297216195"/>
      <w:r>
        <w:rPr>
          <w:rFonts w:hint="eastAsia" w:ascii="宋体" w:hAnsi="宋体" w:cs="宋体"/>
          <w:color w:val="000000" w:themeColor="text1"/>
          <w:sz w:val="24"/>
          <w:szCs w:val="24"/>
          <w14:textFill>
            <w14:solidFill>
              <w14:schemeClr w14:val="tx1"/>
            </w14:solidFill>
          </w14:textFill>
        </w:rPr>
        <w:t>。</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施工现场需要配备的试验设备：。</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施工现场需要具备的其他试验条件：。</w:t>
      </w:r>
    </w:p>
    <w:p>
      <w:pPr>
        <w:spacing w:after="120" w:line="360" w:lineRule="auto"/>
        <w:ind w:firstLine="480" w:firstLineChars="200"/>
        <w:outlineLvl w:val="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9.2 现场工艺试验</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现场工艺试验的有关约定：。</w:t>
      </w:r>
    </w:p>
    <w:bookmarkEnd w:id="365"/>
    <w:bookmarkEnd w:id="366"/>
    <w:bookmarkEnd w:id="367"/>
    <w:bookmarkEnd w:id="368"/>
    <w:bookmarkEnd w:id="369"/>
    <w:bookmarkEnd w:id="370"/>
    <w:bookmarkEnd w:id="371"/>
    <w:bookmarkEnd w:id="372"/>
    <w:p>
      <w:pPr>
        <w:keepNext/>
        <w:keepLines/>
        <w:spacing w:before="120" w:after="120" w:line="360" w:lineRule="auto"/>
        <w:outlineLvl w:val="3"/>
        <w:rPr>
          <w:rFonts w:ascii="宋体" w:hAnsi="宋体" w:cs="宋体"/>
          <w:color w:val="000000" w:themeColor="text1"/>
          <w:sz w:val="24"/>
          <w:szCs w:val="24"/>
          <w14:textFill>
            <w14:solidFill>
              <w14:schemeClr w14:val="tx1"/>
            </w14:solidFill>
          </w14:textFill>
        </w:rPr>
      </w:pPr>
      <w:bookmarkStart w:id="373" w:name="_Toc351203642"/>
      <w:r>
        <w:rPr>
          <w:rFonts w:hint="eastAsia" w:ascii="宋体" w:hAnsi="宋体" w:cs="宋体"/>
          <w:color w:val="000000" w:themeColor="text1"/>
          <w:sz w:val="24"/>
          <w:szCs w:val="24"/>
          <w14:textFill>
            <w14:solidFill>
              <w14:schemeClr w14:val="tx1"/>
            </w14:solidFill>
          </w14:textFill>
        </w:rPr>
        <w:t>1</w:t>
      </w:r>
      <w:bookmarkEnd w:id="339"/>
      <w:bookmarkEnd w:id="340"/>
      <w:bookmarkEnd w:id="341"/>
      <w:bookmarkEnd w:id="342"/>
      <w:bookmarkEnd w:id="343"/>
      <w:bookmarkEnd w:id="344"/>
      <w:bookmarkEnd w:id="345"/>
      <w:bookmarkEnd w:id="346"/>
      <w:bookmarkEnd w:id="347"/>
      <w:bookmarkEnd w:id="348"/>
      <w:bookmarkEnd w:id="349"/>
      <w:bookmarkEnd w:id="350"/>
      <w:bookmarkStart w:id="374" w:name="_Toc296503193"/>
      <w:bookmarkStart w:id="375" w:name="_Toc303539146"/>
      <w:bookmarkStart w:id="376" w:name="_Toc296891021"/>
      <w:bookmarkStart w:id="377" w:name="_Toc297048379"/>
      <w:bookmarkStart w:id="378" w:name="_Toc296346694"/>
      <w:bookmarkStart w:id="379" w:name="_Toc292559398"/>
      <w:bookmarkStart w:id="380" w:name="_Toc297123540"/>
      <w:bookmarkStart w:id="381" w:name="_Toc296891233"/>
      <w:bookmarkStart w:id="382" w:name="_Toc300934989"/>
      <w:bookmarkStart w:id="383" w:name="_Toc296347192"/>
      <w:bookmarkStart w:id="384" w:name="_Toc296944532"/>
      <w:bookmarkStart w:id="385" w:name="_Toc304295566"/>
      <w:bookmarkStart w:id="386" w:name="_Toc297216199"/>
      <w:bookmarkStart w:id="387" w:name="_Toc292559903"/>
      <w:bookmarkStart w:id="388" w:name="_Toc297120493"/>
      <w:bookmarkStart w:id="389" w:name="_Toc312678025"/>
      <w:bookmarkStart w:id="390" w:name="_Toc312677499"/>
      <w:bookmarkStart w:id="391" w:name="_Toc267251437"/>
      <w:bookmarkStart w:id="392" w:name="_Toc267251440"/>
      <w:bookmarkStart w:id="393" w:name="_Toc267251435"/>
      <w:bookmarkStart w:id="394" w:name="_Toc267251433"/>
      <w:bookmarkStart w:id="395" w:name="_Toc267251439"/>
      <w:bookmarkStart w:id="396" w:name="_Toc267251441"/>
      <w:bookmarkStart w:id="397" w:name="_Toc267251442"/>
      <w:r>
        <w:rPr>
          <w:rFonts w:hint="eastAsia" w:ascii="宋体" w:hAnsi="宋体" w:cs="宋体"/>
          <w:color w:val="000000" w:themeColor="text1"/>
          <w:sz w:val="24"/>
          <w:szCs w:val="24"/>
          <w14:textFill>
            <w14:solidFill>
              <w14:schemeClr w14:val="tx1"/>
            </w14:solidFill>
          </w14:textFill>
        </w:rPr>
        <w:t>0. 变更</w:t>
      </w:r>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p>
    <w:bookmarkEnd w:id="389"/>
    <w:bookmarkEnd w:id="390"/>
    <w:p>
      <w:pPr>
        <w:spacing w:after="120"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w:t>
      </w:r>
      <w:bookmarkStart w:id="398" w:name="_Toc297048380"/>
      <w:bookmarkStart w:id="399" w:name="_Toc297120494"/>
      <w:bookmarkStart w:id="400" w:name="_Toc292559399"/>
      <w:bookmarkStart w:id="401" w:name="_Toc292559904"/>
      <w:bookmarkStart w:id="402" w:name="_Toc297123541"/>
      <w:bookmarkStart w:id="403" w:name="_Toc296503194"/>
      <w:bookmarkStart w:id="404" w:name="_Toc312677500"/>
      <w:bookmarkStart w:id="405" w:name="_Toc296891234"/>
      <w:bookmarkStart w:id="406" w:name="_Toc296891022"/>
      <w:bookmarkStart w:id="407" w:name="_Toc297216200"/>
      <w:bookmarkStart w:id="408" w:name="_Toc304295567"/>
      <w:bookmarkStart w:id="409" w:name="_Toc300934990"/>
      <w:bookmarkStart w:id="410" w:name="_Toc303539147"/>
      <w:bookmarkStart w:id="411" w:name="_Toc312678026"/>
      <w:bookmarkStart w:id="412" w:name="_Toc296346695"/>
      <w:bookmarkStart w:id="413" w:name="_Toc296347193"/>
      <w:bookmarkStart w:id="414" w:name="_Toc296944533"/>
      <w:r>
        <w:rPr>
          <w:rFonts w:hint="eastAsia" w:ascii="宋体" w:hAnsi="宋体" w:cs="宋体"/>
          <w:color w:val="000000" w:themeColor="text1"/>
          <w:sz w:val="24"/>
          <w:szCs w:val="24"/>
          <w14:textFill>
            <w14:solidFill>
              <w14:schemeClr w14:val="tx1"/>
            </w14:solidFill>
          </w14:textFill>
        </w:rPr>
        <w:t>0.1 变更的范围</w:t>
      </w:r>
    </w:p>
    <w:p>
      <w:pPr>
        <w:spacing w:line="360" w:lineRule="auto"/>
        <w:ind w:firstLine="6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关于变更的范围的约定：。</w:t>
      </w:r>
    </w:p>
    <w:p>
      <w:pPr>
        <w:spacing w:after="120" w:line="360" w:lineRule="auto"/>
        <w:ind w:firstLine="480" w:firstLineChars="200"/>
        <w:outlineLvl w:val="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10.2 变更估价</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10.2.1 变更估价原则</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关于变更估价的约定: 。</w:t>
      </w:r>
    </w:p>
    <w:p>
      <w:pPr>
        <w:spacing w:after="120"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w:t>
      </w:r>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Start w:id="415" w:name="_Toc297120497"/>
      <w:bookmarkStart w:id="416" w:name="_Toc292559402"/>
      <w:bookmarkStart w:id="417" w:name="_Toc300934993"/>
      <w:bookmarkStart w:id="418" w:name="_Toc296346698"/>
      <w:bookmarkStart w:id="419" w:name="_Toc296347196"/>
      <w:bookmarkStart w:id="420" w:name="_Toc296891025"/>
      <w:bookmarkStart w:id="421" w:name="_Toc297216203"/>
      <w:bookmarkStart w:id="422" w:name="_Toc303539150"/>
      <w:bookmarkStart w:id="423" w:name="_Toc297048383"/>
      <w:bookmarkStart w:id="424" w:name="_Toc296944536"/>
      <w:bookmarkStart w:id="425" w:name="_Toc297123544"/>
      <w:bookmarkStart w:id="426" w:name="_Toc296503197"/>
      <w:bookmarkStart w:id="427" w:name="_Toc296891237"/>
      <w:bookmarkStart w:id="428" w:name="_Toc292559907"/>
      <w:bookmarkStart w:id="429" w:name="_Toc312678029"/>
      <w:bookmarkStart w:id="430" w:name="_Toc312677503"/>
      <w:bookmarkStart w:id="431" w:name="_Toc304295570"/>
      <w:r>
        <w:rPr>
          <w:rFonts w:hint="eastAsia" w:ascii="宋体" w:hAnsi="宋体" w:cs="宋体"/>
          <w:color w:val="000000" w:themeColor="text1"/>
          <w:sz w:val="24"/>
          <w:szCs w:val="24"/>
          <w14:textFill>
            <w14:solidFill>
              <w14:schemeClr w14:val="tx1"/>
            </w14:solidFill>
          </w14:textFill>
        </w:rPr>
        <w:t>0.3 承</w:t>
      </w:r>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Start w:id="432" w:name="_Toc297120503"/>
      <w:bookmarkStart w:id="433" w:name="_Toc297216204"/>
      <w:bookmarkStart w:id="434" w:name="_Toc296347202"/>
      <w:bookmarkStart w:id="435" w:name="_Toc297123545"/>
      <w:bookmarkStart w:id="436" w:name="_Toc296944542"/>
      <w:bookmarkStart w:id="437" w:name="_Toc296891243"/>
      <w:bookmarkStart w:id="438" w:name="_Toc297048389"/>
      <w:bookmarkStart w:id="439" w:name="_Toc303539151"/>
      <w:bookmarkStart w:id="440" w:name="_Toc296891031"/>
      <w:bookmarkStart w:id="441" w:name="_Toc292559913"/>
      <w:bookmarkStart w:id="442" w:name="_Toc300934994"/>
      <w:bookmarkStart w:id="443" w:name="_Toc292559408"/>
      <w:bookmarkStart w:id="444" w:name="_Toc296346704"/>
      <w:bookmarkStart w:id="445" w:name="_Toc296503203"/>
      <w:r>
        <w:rPr>
          <w:rFonts w:hint="eastAsia" w:ascii="宋体" w:hAnsi="宋体" w:cs="宋体"/>
          <w:color w:val="000000" w:themeColor="text1"/>
          <w:sz w:val="24"/>
          <w:szCs w:val="24"/>
          <w14:textFill>
            <w14:solidFill>
              <w14:schemeClr w14:val="tx1"/>
            </w14:solidFill>
          </w14:textFill>
        </w:rPr>
        <w:t>包人的合理化建议</w:t>
      </w:r>
    </w:p>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监理人审查承包人合理化建议的期限：。</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发包人审批承包人合理化建议的期限：。</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承</w:t>
      </w:r>
      <w:bookmarkStart w:id="446" w:name="_Toc296347203"/>
      <w:bookmarkStart w:id="447" w:name="_Toc304295571"/>
      <w:bookmarkStart w:id="448" w:name="_Toc296944543"/>
      <w:bookmarkStart w:id="449" w:name="_Toc297048390"/>
      <w:bookmarkStart w:id="450" w:name="_Toc303539152"/>
      <w:bookmarkStart w:id="451" w:name="_Toc296891244"/>
      <w:bookmarkStart w:id="452" w:name="_Toc312677504"/>
      <w:bookmarkStart w:id="453" w:name="_Toc292559914"/>
      <w:bookmarkStart w:id="454" w:name="_Toc297216205"/>
      <w:bookmarkStart w:id="455" w:name="_Toc296346705"/>
      <w:bookmarkStart w:id="456" w:name="_Toc296503204"/>
      <w:bookmarkStart w:id="457" w:name="_Toc318581175"/>
      <w:bookmarkStart w:id="458" w:name="_Toc297120504"/>
      <w:bookmarkStart w:id="459" w:name="_Toc297123546"/>
      <w:bookmarkStart w:id="460" w:name="_Toc296891032"/>
      <w:bookmarkStart w:id="461" w:name="_Toc300934995"/>
      <w:bookmarkStart w:id="462" w:name="_Toc292559409"/>
      <w:bookmarkStart w:id="463" w:name="_Toc312678030"/>
      <w:r>
        <w:rPr>
          <w:rFonts w:hint="eastAsia" w:ascii="宋体" w:hAnsi="宋体" w:cs="宋体"/>
          <w:color w:val="000000" w:themeColor="text1"/>
          <w:sz w:val="24"/>
          <w:szCs w:val="24"/>
          <w14:textFill>
            <w14:solidFill>
              <w14:schemeClr w14:val="tx1"/>
            </w14:solidFill>
          </w14:textFill>
        </w:rPr>
        <w:t>包人提出的合理化建议降低了合同价格或者提高了工程经济效益的奖励的方法和金额为：。</w:t>
      </w:r>
    </w:p>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p>
      <w:pPr>
        <w:spacing w:after="120" w:line="360" w:lineRule="auto"/>
        <w:ind w:firstLine="480" w:firstLineChars="200"/>
        <w:outlineLvl w:val="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w:t>
      </w:r>
      <w:bookmarkStart w:id="464" w:name="_Toc300934997"/>
      <w:bookmarkStart w:id="465" w:name="_Toc312677507"/>
      <w:bookmarkStart w:id="466" w:name="_Toc303539154"/>
      <w:bookmarkStart w:id="467" w:name="_Toc296503199"/>
      <w:bookmarkStart w:id="468" w:name="_Toc292559404"/>
      <w:bookmarkStart w:id="469" w:name="_Toc296891239"/>
      <w:bookmarkStart w:id="470" w:name="_Toc296891027"/>
      <w:bookmarkStart w:id="471" w:name="_Toc297048385"/>
      <w:bookmarkStart w:id="472" w:name="_Toc297216207"/>
      <w:bookmarkStart w:id="473" w:name="_Toc296944538"/>
      <w:bookmarkStart w:id="474" w:name="_Toc297120499"/>
      <w:bookmarkStart w:id="475" w:name="_Toc297123548"/>
      <w:bookmarkStart w:id="476" w:name="_Toc296346700"/>
      <w:bookmarkStart w:id="477" w:name="_Toc296347198"/>
      <w:bookmarkStart w:id="478" w:name="_Toc312678033"/>
      <w:bookmarkStart w:id="479" w:name="_Toc292559909"/>
      <w:bookmarkStart w:id="480" w:name="_Toc304295574"/>
      <w:r>
        <w:rPr>
          <w:rFonts w:hint="eastAsia" w:ascii="宋体" w:hAnsi="宋体" w:cs="宋体"/>
          <w:color w:val="000000" w:themeColor="text1"/>
          <w:sz w:val="24"/>
          <w:szCs w:val="24"/>
          <w14:textFill>
            <w14:solidFill>
              <w14:schemeClr w14:val="tx1"/>
            </w14:solidFill>
          </w14:textFill>
        </w:rPr>
        <w:t>0.4 暂估价</w:t>
      </w:r>
    </w:p>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w:t>
      </w:r>
      <w:bookmarkStart w:id="481" w:name="_Toc312677509"/>
      <w:bookmarkStart w:id="482" w:name="_Toc318581177"/>
      <w:bookmarkStart w:id="483" w:name="_Toc312678035"/>
      <w:r>
        <w:rPr>
          <w:rFonts w:hint="eastAsia" w:ascii="宋体" w:hAnsi="宋体" w:cs="宋体"/>
          <w:color w:val="000000" w:themeColor="text1"/>
          <w:sz w:val="24"/>
          <w:szCs w:val="24"/>
          <w14:textFill>
            <w14:solidFill>
              <w14:schemeClr w14:val="tx1"/>
            </w14:solidFill>
          </w14:textFill>
        </w:rPr>
        <w:t>0.4.1 依法必须招标的暂估价项目</w:t>
      </w:r>
    </w:p>
    <w:bookmarkEnd w:id="481"/>
    <w:bookmarkEnd w:id="482"/>
    <w:bookmarkEnd w:id="483"/>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对于依法必须招标的暂估价项目的确认和批准采取第种方式确定。</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10.4.2 不属于依法必须招标的暂估价项目</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对于不属于依法必须招标的暂估价项目的确认和批准采取第X种方式确定。</w:t>
      </w:r>
    </w:p>
    <w:p>
      <w:pPr>
        <w:spacing w:line="360" w:lineRule="auto"/>
        <w:ind w:firstLine="480" w:firstLineChars="200"/>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第3种方式：</w:t>
      </w:r>
      <w:r>
        <w:rPr>
          <w:rFonts w:hint="eastAsia" w:ascii="宋体" w:hAnsi="宋体" w:cs="宋体"/>
          <w:color w:val="000000" w:themeColor="text1"/>
          <w:kern w:val="0"/>
          <w:sz w:val="24"/>
          <w:szCs w:val="24"/>
          <w14:textFill>
            <w14:solidFill>
              <w14:schemeClr w14:val="tx1"/>
            </w14:solidFill>
          </w14:textFill>
        </w:rPr>
        <w:t>承包人直接实施的暂估价项目</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承包人直接实施的暂估价项目的约定：。</w:t>
      </w:r>
    </w:p>
    <w:p>
      <w:pPr>
        <w:spacing w:after="120"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10.5 暂列金额</w:t>
      </w:r>
    </w:p>
    <w:p>
      <w:pPr>
        <w:autoSpaceDE w:val="0"/>
        <w:autoSpaceDN w:val="0"/>
        <w:adjustRightInd w:val="0"/>
        <w:spacing w:line="360" w:lineRule="auto"/>
        <w:ind w:firstLine="480" w:firstLineChars="200"/>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合同当事人关于暂列金额使用的约定：。</w:t>
      </w:r>
    </w:p>
    <w:p>
      <w:pPr>
        <w:keepNext/>
        <w:keepLines/>
        <w:spacing w:before="120" w:after="120" w:line="360" w:lineRule="auto"/>
        <w:outlineLvl w:val="3"/>
        <w:rPr>
          <w:rFonts w:ascii="宋体" w:hAnsi="宋体" w:cs="宋体"/>
          <w:color w:val="000000" w:themeColor="text1"/>
          <w:sz w:val="24"/>
          <w:szCs w:val="24"/>
          <w14:textFill>
            <w14:solidFill>
              <w14:schemeClr w14:val="tx1"/>
            </w14:solidFill>
          </w14:textFill>
        </w:rPr>
      </w:pPr>
      <w:bookmarkStart w:id="484" w:name="_Toc351203643"/>
      <w:r>
        <w:rPr>
          <w:rFonts w:hint="eastAsia" w:ascii="宋体" w:hAnsi="宋体" w:cs="宋体"/>
          <w:color w:val="000000" w:themeColor="text1"/>
          <w:sz w:val="24"/>
          <w:szCs w:val="24"/>
          <w14:textFill>
            <w14:solidFill>
              <w14:schemeClr w14:val="tx1"/>
            </w14:solidFill>
          </w14:textFill>
        </w:rPr>
        <w:t>11. 价格调整</w:t>
      </w:r>
      <w:bookmarkEnd w:id="484"/>
    </w:p>
    <w:p>
      <w:pPr>
        <w:spacing w:after="120" w:line="360" w:lineRule="auto"/>
        <w:ind w:firstLine="480" w:firstLineChars="200"/>
        <w:rPr>
          <w:rFonts w:ascii="宋体" w:hAnsi="宋体" w:cs="宋体"/>
          <w:color w:val="000000" w:themeColor="text1"/>
          <w:sz w:val="24"/>
          <w:szCs w:val="24"/>
          <w14:textFill>
            <w14:solidFill>
              <w14:schemeClr w14:val="tx1"/>
            </w14:solidFill>
          </w14:textFill>
        </w:rPr>
      </w:pPr>
      <w:bookmarkStart w:id="485" w:name="_Toc297123550"/>
      <w:bookmarkStart w:id="486" w:name="_Toc292559911"/>
      <w:bookmarkStart w:id="487" w:name="_Toc296891029"/>
      <w:bookmarkStart w:id="488" w:name="_Toc312678039"/>
      <w:bookmarkStart w:id="489" w:name="_Toc304295577"/>
      <w:bookmarkStart w:id="490" w:name="_Toc297048387"/>
      <w:bookmarkStart w:id="491" w:name="_Toc303539157"/>
      <w:bookmarkStart w:id="492" w:name="_Toc296891241"/>
      <w:bookmarkStart w:id="493" w:name="_Toc300935000"/>
      <w:bookmarkStart w:id="494" w:name="_Toc297120501"/>
      <w:bookmarkStart w:id="495" w:name="_Toc297216209"/>
      <w:bookmarkStart w:id="496" w:name="_Toc296346702"/>
      <w:bookmarkStart w:id="497" w:name="_Toc296503201"/>
      <w:bookmarkStart w:id="498" w:name="_Toc292559406"/>
      <w:bookmarkStart w:id="499" w:name="_Toc296944540"/>
      <w:bookmarkStart w:id="500" w:name="_Toc296347200"/>
      <w:r>
        <w:rPr>
          <w:rFonts w:hint="eastAsia" w:ascii="宋体" w:hAnsi="宋体" w:cs="宋体"/>
          <w:color w:val="000000" w:themeColor="text1"/>
          <w:sz w:val="24"/>
          <w:szCs w:val="24"/>
          <w14:textFill>
            <w14:solidFill>
              <w14:schemeClr w14:val="tx1"/>
            </w14:solidFill>
          </w14:textFill>
        </w:rPr>
        <w:t>11.1 市场价格波动引起的调整</w:t>
      </w:r>
    </w:p>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市场价格波动是否调整合同价格的约定：</w:t>
      </w:r>
      <w:r>
        <w:rPr>
          <w:rFonts w:hint="eastAsia" w:ascii="宋体" w:hAnsi="宋体" w:cs="宋体"/>
          <w:color w:val="000000" w:themeColor="text1"/>
          <w:sz w:val="24"/>
          <w:szCs w:val="24"/>
          <w:u w:val="single"/>
          <w14:textFill>
            <w14:solidFill>
              <w14:schemeClr w14:val="tx1"/>
            </w14:solidFill>
          </w14:textFill>
        </w:rPr>
        <w:t>不调整</w:t>
      </w:r>
      <w:r>
        <w:rPr>
          <w:rFonts w:hint="eastAsia" w:ascii="宋体" w:hAnsi="宋体" w:cs="宋体"/>
          <w:color w:val="000000" w:themeColor="text1"/>
          <w:sz w:val="24"/>
          <w:szCs w:val="24"/>
          <w14:textFill>
            <w14:solidFill>
              <w14:schemeClr w14:val="tx1"/>
            </w14:solidFill>
          </w14:textFill>
        </w:rPr>
        <w:t>。</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因市场价格波动调整合同价格，采用以下第X种方式对合同价格进行调整：</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第1种方式：采用价格指数进行价格调整。</w:t>
      </w:r>
    </w:p>
    <w:p>
      <w:pPr>
        <w:spacing w:line="360" w:lineRule="auto"/>
        <w:ind w:firstLine="480" w:firstLineChars="200"/>
        <w:jc w:val="left"/>
        <w:rPr>
          <w:rFonts w:ascii="宋体" w:hAnsi="宋体" w:cs="宋体"/>
          <w:color w:val="000000" w:themeColor="text1"/>
          <w:sz w:val="24"/>
          <w:szCs w:val="24"/>
          <w:u w:val="single"/>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关于各可调因子、定值和变值权重，以及基本价格指数及其来源的约定：；</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第2种方式：采用造价信息进行价格调整。</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（2）关于基准价格的约定：。</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专用合同条款①承包人在已标价工程量清单或预算书中载明的材料单价低于基准价格的：专用合同条款合同履行期间材料单价涨幅以基准价格为基础超过%时，或材料单价跌幅以已标价工程量清单或预算书中载明材料单价为基础超过%时，其超过部分据实调整。</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②承包人在已标价工程量清单或预算书中载明的材料单价高于基准价格的：专用合同条款合同履行期间材料单价跌幅以基准价格为基础超过%时，材料单价涨幅以已标价工程量清单或预算书中载明材料单价为基础超过%时，其超过部分据实调整。</w:t>
      </w:r>
    </w:p>
    <w:p>
      <w:pPr>
        <w:spacing w:line="360" w:lineRule="auto"/>
        <w:ind w:firstLine="645"/>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③承包人在已标价工程量清单或预算书中载明的材料单价等于基准单价的：专用合同条款合同履行期间材料单价涨跌幅以基准单价为基础超过±%时，其超过部分据实调整。</w:t>
      </w:r>
    </w:p>
    <w:p>
      <w:pPr>
        <w:spacing w:line="360" w:lineRule="auto"/>
        <w:ind w:firstLine="645"/>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第3种方式：其他价格调整方式：。</w:t>
      </w:r>
    </w:p>
    <w:bookmarkEnd w:id="391"/>
    <w:bookmarkEnd w:id="392"/>
    <w:bookmarkEnd w:id="393"/>
    <w:bookmarkEnd w:id="394"/>
    <w:bookmarkEnd w:id="395"/>
    <w:bookmarkEnd w:id="396"/>
    <w:p>
      <w:pPr>
        <w:keepNext/>
        <w:keepLines/>
        <w:spacing w:before="120" w:after="120" w:line="360" w:lineRule="auto"/>
        <w:outlineLvl w:val="3"/>
        <w:rPr>
          <w:rFonts w:ascii="宋体" w:hAnsi="宋体" w:cs="宋体"/>
          <w:color w:val="000000" w:themeColor="text1"/>
          <w:sz w:val="24"/>
          <w:szCs w:val="24"/>
          <w14:textFill>
            <w14:solidFill>
              <w14:schemeClr w14:val="tx1"/>
            </w14:solidFill>
          </w14:textFill>
        </w:rPr>
      </w:pPr>
      <w:bookmarkStart w:id="501" w:name="_Toc297120505"/>
      <w:bookmarkStart w:id="502" w:name="_Toc296891033"/>
      <w:bookmarkStart w:id="503" w:name="_Toc296346706"/>
      <w:bookmarkStart w:id="504" w:name="_Toc296347204"/>
      <w:bookmarkStart w:id="505" w:name="_Toc297048391"/>
      <w:bookmarkStart w:id="506" w:name="_Toc296891245"/>
      <w:bookmarkStart w:id="507" w:name="_Toc296503205"/>
      <w:bookmarkStart w:id="508" w:name="_Toc292559915"/>
      <w:bookmarkStart w:id="509" w:name="_Toc292559410"/>
      <w:bookmarkStart w:id="510" w:name="_Toc296944544"/>
      <w:bookmarkStart w:id="511" w:name="_Toc351203644"/>
      <w:bookmarkStart w:id="512" w:name="_Toc304295579"/>
      <w:bookmarkStart w:id="513" w:name="_Toc300935002"/>
      <w:bookmarkStart w:id="514" w:name="_Toc297123552"/>
      <w:bookmarkStart w:id="515" w:name="_Toc297216211"/>
      <w:bookmarkStart w:id="516" w:name="_Toc303539159"/>
      <w:bookmarkStart w:id="517" w:name="_Toc312678040"/>
      <w:r>
        <w:rPr>
          <w:rFonts w:hint="eastAsia" w:ascii="宋体" w:hAnsi="宋体" w:cs="宋体"/>
          <w:color w:val="000000" w:themeColor="text1"/>
          <w:sz w:val="24"/>
          <w:szCs w:val="24"/>
          <w14:textFill>
            <w14:solidFill>
              <w14:schemeClr w14:val="tx1"/>
            </w14:solidFill>
          </w14:textFill>
        </w:rPr>
        <w:t xml:space="preserve">12. </w:t>
      </w:r>
      <w:bookmarkEnd w:id="501"/>
      <w:bookmarkEnd w:id="502"/>
      <w:bookmarkEnd w:id="503"/>
      <w:bookmarkEnd w:id="504"/>
      <w:bookmarkEnd w:id="505"/>
      <w:bookmarkEnd w:id="506"/>
      <w:bookmarkEnd w:id="507"/>
      <w:bookmarkEnd w:id="508"/>
      <w:bookmarkEnd w:id="509"/>
      <w:bookmarkEnd w:id="510"/>
      <w:r>
        <w:rPr>
          <w:rFonts w:hint="eastAsia" w:ascii="宋体" w:hAnsi="宋体" w:cs="宋体"/>
          <w:color w:val="000000" w:themeColor="text1"/>
          <w:sz w:val="24"/>
          <w:szCs w:val="24"/>
          <w14:textFill>
            <w14:solidFill>
              <w14:schemeClr w14:val="tx1"/>
            </w14:solidFill>
          </w14:textFill>
        </w:rPr>
        <w:t>合同价格、计量与支付</w:t>
      </w:r>
      <w:bookmarkEnd w:id="511"/>
    </w:p>
    <w:bookmarkEnd w:id="512"/>
    <w:bookmarkEnd w:id="513"/>
    <w:bookmarkEnd w:id="514"/>
    <w:bookmarkEnd w:id="515"/>
    <w:bookmarkEnd w:id="516"/>
    <w:bookmarkEnd w:id="517"/>
    <w:p>
      <w:pPr>
        <w:spacing w:after="120" w:line="360" w:lineRule="auto"/>
        <w:ind w:firstLine="480" w:firstLineChars="200"/>
        <w:rPr>
          <w:rFonts w:ascii="宋体" w:hAnsi="宋体" w:cs="宋体"/>
          <w:color w:val="000000" w:themeColor="text1"/>
          <w:sz w:val="24"/>
          <w:szCs w:val="24"/>
          <w14:textFill>
            <w14:solidFill>
              <w14:schemeClr w14:val="tx1"/>
            </w14:solidFill>
          </w14:textFill>
        </w:rPr>
      </w:pPr>
      <w:bookmarkStart w:id="518" w:name="_Toc267251461"/>
      <w:bookmarkStart w:id="519" w:name="_Toc292559411"/>
      <w:bookmarkStart w:id="520" w:name="_Toc292559916"/>
      <w:bookmarkStart w:id="521" w:name="_Toc297048392"/>
      <w:bookmarkStart w:id="522" w:name="_Toc297120506"/>
      <w:bookmarkStart w:id="523" w:name="_Toc296944545"/>
      <w:bookmarkStart w:id="524" w:name="_Toc296347205"/>
      <w:bookmarkStart w:id="525" w:name="_Toc296891246"/>
      <w:bookmarkStart w:id="526" w:name="_Toc296891034"/>
      <w:bookmarkStart w:id="527" w:name="_Toc296346707"/>
      <w:bookmarkStart w:id="528" w:name="_Toc296503206"/>
      <w:bookmarkStart w:id="529" w:name="_Toc300935003"/>
      <w:bookmarkStart w:id="530" w:name="_Toc297123553"/>
      <w:bookmarkStart w:id="531" w:name="_Toc303539160"/>
      <w:bookmarkStart w:id="532" w:name="_Toc312678041"/>
      <w:bookmarkStart w:id="533" w:name="_Toc297216212"/>
      <w:bookmarkStart w:id="534" w:name="_Toc304295580"/>
      <w:bookmarkStart w:id="535" w:name="_Toc304295581"/>
      <w:bookmarkStart w:id="536" w:name="_Toc300935004"/>
      <w:bookmarkStart w:id="537" w:name="_Toc303539161"/>
      <w:bookmarkStart w:id="538" w:name="_Toc297123554"/>
      <w:bookmarkStart w:id="539" w:name="_Toc312678042"/>
      <w:bookmarkStart w:id="540" w:name="_Toc297216213"/>
      <w:bookmarkStart w:id="541" w:name="_Toc297120507"/>
      <w:bookmarkStart w:id="542" w:name="_Toc296891247"/>
      <w:bookmarkStart w:id="543" w:name="_Toc296346708"/>
      <w:bookmarkStart w:id="544" w:name="_Toc296944546"/>
      <w:bookmarkStart w:id="545" w:name="_Toc292559917"/>
      <w:bookmarkStart w:id="546" w:name="_Toc292559412"/>
      <w:bookmarkStart w:id="547" w:name="_Toc297048393"/>
      <w:bookmarkStart w:id="548" w:name="_Toc296347206"/>
      <w:bookmarkStart w:id="549" w:name="_Toc296891035"/>
      <w:bookmarkStart w:id="550" w:name="_Toc296503207"/>
      <w:r>
        <w:rPr>
          <w:rFonts w:hint="eastAsia" w:ascii="宋体" w:hAnsi="宋体" w:cs="宋体"/>
          <w:color w:val="000000" w:themeColor="text1"/>
          <w:sz w:val="24"/>
          <w:szCs w:val="24"/>
          <w14:textFill>
            <w14:solidFill>
              <w14:schemeClr w14:val="tx1"/>
            </w14:solidFill>
          </w14:textFill>
        </w:rPr>
        <w:t>12.1 合</w:t>
      </w:r>
      <w:bookmarkEnd w:id="518"/>
      <w:bookmarkEnd w:id="519"/>
      <w:bookmarkEnd w:id="520"/>
      <w:r>
        <w:rPr>
          <w:rFonts w:hint="eastAsia" w:ascii="宋体" w:hAnsi="宋体" w:cs="宋体"/>
          <w:color w:val="000000" w:themeColor="text1"/>
          <w:sz w:val="24"/>
          <w:szCs w:val="24"/>
          <w14:textFill>
            <w14:solidFill>
              <w14:schemeClr w14:val="tx1"/>
            </w14:solidFill>
          </w14:textFill>
        </w:rPr>
        <w:t>同价</w:t>
      </w:r>
      <w:bookmarkEnd w:id="521"/>
      <w:bookmarkEnd w:id="522"/>
      <w:bookmarkEnd w:id="523"/>
      <w:bookmarkEnd w:id="524"/>
      <w:bookmarkEnd w:id="525"/>
      <w:bookmarkEnd w:id="526"/>
      <w:bookmarkEnd w:id="527"/>
      <w:bookmarkEnd w:id="528"/>
      <w:r>
        <w:rPr>
          <w:rFonts w:hint="eastAsia" w:ascii="宋体" w:hAnsi="宋体" w:cs="宋体"/>
          <w:color w:val="000000" w:themeColor="text1"/>
          <w:sz w:val="24"/>
          <w:szCs w:val="24"/>
          <w14:textFill>
            <w14:solidFill>
              <w14:schemeClr w14:val="tx1"/>
            </w14:solidFill>
          </w14:textFill>
        </w:rPr>
        <w:t>格形式</w:t>
      </w:r>
    </w:p>
    <w:bookmarkEnd w:id="529"/>
    <w:bookmarkEnd w:id="530"/>
    <w:bookmarkEnd w:id="531"/>
    <w:bookmarkEnd w:id="532"/>
    <w:bookmarkEnd w:id="533"/>
    <w:bookmarkEnd w:id="534"/>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12.1.1 单价合同。</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综合单价包含的风险范围：。</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风险费用的计算方法：</w:t>
      </w:r>
      <w:r>
        <w:rPr>
          <w:rFonts w:hint="eastAsia" w:ascii="宋体" w:hAnsi="宋体" w:cs="宋体"/>
          <w:color w:val="000000" w:themeColor="text1"/>
          <w:sz w:val="24"/>
          <w:szCs w:val="24"/>
          <w:u w:val="single"/>
          <w14:textFill>
            <w14:solidFill>
              <w14:schemeClr w14:val="tx1"/>
            </w14:solidFill>
          </w14:textFill>
        </w:rPr>
        <w:t xml:space="preserve">    /   </w:t>
      </w:r>
      <w:r>
        <w:rPr>
          <w:rFonts w:hint="eastAsia" w:ascii="宋体" w:hAnsi="宋体" w:cs="宋体"/>
          <w:color w:val="000000" w:themeColor="text1"/>
          <w:sz w:val="24"/>
          <w:szCs w:val="24"/>
          <w14:textFill>
            <w14:solidFill>
              <w14:schemeClr w14:val="tx1"/>
            </w14:solidFill>
          </w14:textFill>
        </w:rPr>
        <w:t>。</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风险范围以外合同价格的调整方法：。</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12.1.2 总价合同。</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总价包含的风险范围：。</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风险费用的计算方法：。</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风险范围以外合同价格的调整方法：。</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12.1.3 其他价格方式：。</w:t>
      </w:r>
    </w:p>
    <w:p>
      <w:pPr>
        <w:spacing w:after="120"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12.2 预付款</w:t>
      </w:r>
    </w:p>
    <w:bookmarkEnd w:id="535"/>
    <w:bookmarkEnd w:id="536"/>
    <w:bookmarkEnd w:id="537"/>
    <w:bookmarkEnd w:id="538"/>
    <w:bookmarkEnd w:id="539"/>
    <w:bookmarkEnd w:id="540"/>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12.2.1 预付款的支付</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预付款支付比例或金额（比例20%-40%）：。</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预付款支付期限：。</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预付款扣回的方式：。</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12.2.2 预付款担保</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承包人提交预付款担保的期限：。</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预付款担保的形式为：。</w:t>
      </w:r>
    </w:p>
    <w:bookmarkEnd w:id="541"/>
    <w:bookmarkEnd w:id="542"/>
    <w:bookmarkEnd w:id="543"/>
    <w:bookmarkEnd w:id="544"/>
    <w:bookmarkEnd w:id="545"/>
    <w:bookmarkEnd w:id="546"/>
    <w:bookmarkEnd w:id="547"/>
    <w:bookmarkEnd w:id="548"/>
    <w:bookmarkEnd w:id="549"/>
    <w:bookmarkEnd w:id="550"/>
    <w:p>
      <w:pPr>
        <w:spacing w:after="120"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12.3 计量</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12.3.1 计量原则</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工程量计算规则：。</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12.3.1.1总价措施项目的计量</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总价措施项目清单中的项目（除环境保护、安全施工、文明施工、临时设施等以费率计价的项目以外），包干计取，结算不作调整；进度支付时按发包人确认后的工程形象进度比例按月计量。</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安全文明施工费的计量、支付与结算按川建发〔2017〕5号执行。</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12.3.1.2规费的计量</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按建设行政主管部门核定的承包人规费费率计量和结算。</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12.3.1.3税金</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税金按国家或省级、行业建设主管部门的规定计取。</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12.3.2 计量周期</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关于计量周期的约定：。</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12.3.3 单价合同的计量</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关于单价合同计量的约定：。</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12.3.4 总价合同的计量</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关于总价合同计量的约定：。</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12.3.5总价合同采用支付分解表计量支付的，是否适用第</w:t>
      </w:r>
      <w:r>
        <w:rPr>
          <w:rFonts w:hint="eastAsia" w:ascii="宋体" w:hAnsi="宋体" w:cs="宋体"/>
          <w:color w:val="000000" w:themeColor="text1"/>
          <w:kern w:val="0"/>
          <w:sz w:val="24"/>
          <w:szCs w:val="24"/>
          <w14:textFill>
            <w14:solidFill>
              <w14:schemeClr w14:val="tx1"/>
            </w14:solidFill>
          </w14:textFill>
        </w:rPr>
        <w:t xml:space="preserve">12.3.4 </w:t>
      </w:r>
      <w:r>
        <w:rPr>
          <w:rFonts w:hint="eastAsia" w:ascii="宋体" w:hAnsi="宋体" w:cs="宋体"/>
          <w:color w:val="000000" w:themeColor="text1"/>
          <w:sz w:val="24"/>
          <w:szCs w:val="24"/>
          <w14:textFill>
            <w14:solidFill>
              <w14:schemeClr w14:val="tx1"/>
            </w14:solidFill>
          </w14:textFill>
        </w:rPr>
        <w:t>项</w:t>
      </w:r>
      <w:r>
        <w:rPr>
          <w:rFonts w:hint="eastAsia" w:ascii="宋体" w:hAnsi="宋体" w:cs="宋体"/>
          <w:color w:val="000000" w:themeColor="text1"/>
          <w:kern w:val="0"/>
          <w:sz w:val="24"/>
          <w:szCs w:val="24"/>
          <w14:textFill>
            <w14:solidFill>
              <w14:schemeClr w14:val="tx1"/>
            </w14:solidFill>
          </w14:textFill>
        </w:rPr>
        <w:t>〔总价合同的计量〕</w:t>
      </w:r>
      <w:r>
        <w:rPr>
          <w:rFonts w:hint="eastAsia" w:ascii="宋体" w:hAnsi="宋体" w:cs="宋体"/>
          <w:color w:val="000000" w:themeColor="text1"/>
          <w:sz w:val="24"/>
          <w:szCs w:val="24"/>
          <w14:textFill>
            <w14:solidFill>
              <w14:schemeClr w14:val="tx1"/>
            </w14:solidFill>
          </w14:textFill>
        </w:rPr>
        <w:t>约定进行计量：。</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12.3.6 其他价格形式合同的计量</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其他价格形式的计量方式和程序：。</w:t>
      </w:r>
    </w:p>
    <w:p>
      <w:pPr>
        <w:spacing w:after="120"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12.4 工程进度款支付</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bookmarkStart w:id="551" w:name="_Toc297123556"/>
      <w:bookmarkStart w:id="552" w:name="_Toc296944550"/>
      <w:bookmarkStart w:id="553" w:name="_Toc292559921"/>
      <w:bookmarkStart w:id="554" w:name="_Toc296346712"/>
      <w:bookmarkStart w:id="555" w:name="_Toc297216215"/>
      <w:bookmarkStart w:id="556" w:name="_Toc300935006"/>
      <w:bookmarkStart w:id="557" w:name="_Toc296503211"/>
      <w:bookmarkStart w:id="558" w:name="_Toc296347210"/>
      <w:bookmarkStart w:id="559" w:name="_Toc296891251"/>
      <w:bookmarkStart w:id="560" w:name="_Toc303539163"/>
      <w:bookmarkStart w:id="561" w:name="_Toc297120511"/>
      <w:bookmarkStart w:id="562" w:name="_Toc292559416"/>
      <w:bookmarkStart w:id="563" w:name="_Toc297048397"/>
      <w:bookmarkStart w:id="564" w:name="_Toc296891039"/>
      <w:r>
        <w:rPr>
          <w:rFonts w:hint="eastAsia" w:ascii="宋体" w:hAnsi="宋体" w:cs="宋体"/>
          <w:color w:val="000000" w:themeColor="text1"/>
          <w:sz w:val="24"/>
          <w:szCs w:val="24"/>
          <w14:textFill>
            <w14:solidFill>
              <w14:schemeClr w14:val="tx1"/>
            </w14:solidFill>
          </w14:textFill>
        </w:rPr>
        <w:t>12.4.1 付款周期</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关于付款周期的约定：</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12.4.2 进度付款申请单的编制</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关于进度付款申请单编制的约定：。</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w:t>
      </w:r>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r>
        <w:rPr>
          <w:rFonts w:hint="eastAsia" w:ascii="宋体" w:hAnsi="宋体" w:cs="宋体"/>
          <w:color w:val="000000" w:themeColor="text1"/>
          <w:sz w:val="24"/>
          <w:szCs w:val="24"/>
          <w14:textFill>
            <w14:solidFill>
              <w14:schemeClr w14:val="tx1"/>
            </w14:solidFill>
          </w14:textFill>
        </w:rPr>
        <w:t>2.4.3 进度付款申请单的提交</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（1）单价合同进度付款申请单提交的约定：。</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（2）总价合同进度付款申请单提交的约定：。</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（3）其他价格形式合同进度付款申请单提交的约定：。</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12.4.4 进度款审核和支付</w:t>
      </w:r>
    </w:p>
    <w:p>
      <w:pPr>
        <w:spacing w:line="360" w:lineRule="auto"/>
        <w:ind w:firstLine="480" w:firstLineChars="200"/>
        <w:jc w:val="left"/>
        <w:rPr>
          <w:rFonts w:ascii="宋体" w:hAnsi="宋体" w:cs="宋体"/>
          <w:color w:val="000000" w:themeColor="text1"/>
          <w:sz w:val="24"/>
          <w:szCs w:val="24"/>
          <w:u w:val="single"/>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（1）监理人审查并报送发包人的期限：。</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发包人完成审批并签发进度款支付证书的期限：。</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（2）发包人支付进度款的期限：。</w:t>
      </w:r>
    </w:p>
    <w:p>
      <w:pPr>
        <w:spacing w:line="360" w:lineRule="auto"/>
        <w:ind w:firstLine="600" w:firstLineChars="25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发包人逾期支付进度款的违约金的计算方式：。</w:t>
      </w:r>
    </w:p>
    <w:p>
      <w:pPr>
        <w:spacing w:line="360" w:lineRule="auto"/>
        <w:ind w:firstLine="600" w:firstLineChars="25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12.4.5 支付分解表的编制</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（1）总价合同支付分解表的编制与审批：。</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（2）单价合同的总价项目支付分解表的编制与审批：。</w:t>
      </w:r>
    </w:p>
    <w:bookmarkEnd w:id="397"/>
    <w:p>
      <w:pPr>
        <w:keepNext/>
        <w:keepLines/>
        <w:spacing w:before="120" w:after="120" w:line="360" w:lineRule="auto"/>
        <w:outlineLvl w:val="3"/>
        <w:rPr>
          <w:rFonts w:ascii="宋体" w:hAnsi="宋体" w:cs="宋体"/>
          <w:color w:val="000000" w:themeColor="text1"/>
          <w:sz w:val="24"/>
          <w:szCs w:val="24"/>
          <w14:textFill>
            <w14:solidFill>
              <w14:schemeClr w14:val="tx1"/>
            </w14:solidFill>
          </w14:textFill>
        </w:rPr>
      </w:pPr>
      <w:bookmarkStart w:id="565" w:name="_Toc351203645"/>
      <w:bookmarkStart w:id="566" w:name="_Toc297123564"/>
      <w:bookmarkStart w:id="567" w:name="_Toc292559424"/>
      <w:bookmarkStart w:id="568" w:name="_Toc297216223"/>
      <w:bookmarkStart w:id="569" w:name="_Toc300935015"/>
      <w:bookmarkStart w:id="570" w:name="_Toc304295593"/>
      <w:bookmarkStart w:id="571" w:name="_Toc296944558"/>
      <w:bookmarkStart w:id="572" w:name="_Toc312678053"/>
      <w:bookmarkStart w:id="573" w:name="_Toc292559929"/>
      <w:bookmarkStart w:id="574" w:name="_Toc296346720"/>
      <w:bookmarkStart w:id="575" w:name="_Toc297120519"/>
      <w:bookmarkStart w:id="576" w:name="_Toc296891047"/>
      <w:bookmarkStart w:id="577" w:name="_Toc296347218"/>
      <w:bookmarkStart w:id="578" w:name="_Toc303539172"/>
      <w:bookmarkStart w:id="579" w:name="_Toc296891259"/>
      <w:bookmarkStart w:id="580" w:name="_Toc297048405"/>
      <w:bookmarkStart w:id="581" w:name="_Toc296503219"/>
      <w:r>
        <w:rPr>
          <w:rFonts w:hint="eastAsia" w:ascii="宋体" w:hAnsi="宋体" w:cs="宋体"/>
          <w:color w:val="000000" w:themeColor="text1"/>
          <w:sz w:val="24"/>
          <w:szCs w:val="24"/>
          <w14:textFill>
            <w14:solidFill>
              <w14:schemeClr w14:val="tx1"/>
            </w14:solidFill>
          </w14:textFill>
        </w:rPr>
        <w:t>13.验收和工程试车</w:t>
      </w:r>
      <w:bookmarkEnd w:id="565"/>
    </w:p>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p>
      <w:pPr>
        <w:spacing w:after="120"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13.1 分部分项工程验收</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13.1.1监理人不能按时进行验收时，应提前X小时提交书面延期要求。</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关于延期最长不得超过：X小时。</w:t>
      </w:r>
    </w:p>
    <w:p>
      <w:pPr>
        <w:spacing w:after="120" w:line="360" w:lineRule="auto"/>
        <w:ind w:firstLine="480" w:firstLineChars="200"/>
        <w:rPr>
          <w:rFonts w:ascii="宋体" w:hAnsi="宋体" w:cs="宋体"/>
          <w:color w:val="000000" w:themeColor="text1"/>
          <w:sz w:val="24"/>
          <w:szCs w:val="24"/>
          <w14:textFill>
            <w14:solidFill>
              <w14:schemeClr w14:val="tx1"/>
            </w14:solidFill>
          </w14:textFill>
        </w:rPr>
      </w:pPr>
      <w:bookmarkStart w:id="582" w:name="_Toc312678056"/>
      <w:bookmarkStart w:id="583" w:name="_Toc296944562"/>
      <w:bookmarkStart w:id="584" w:name="_Toc296891263"/>
      <w:bookmarkStart w:id="585" w:name="_Toc300935016"/>
      <w:bookmarkStart w:id="586" w:name="_Toc292559428"/>
      <w:bookmarkStart w:id="587" w:name="_Toc296503223"/>
      <w:bookmarkStart w:id="588" w:name="_Toc297123565"/>
      <w:bookmarkStart w:id="589" w:name="_Toc296891051"/>
      <w:bookmarkStart w:id="590" w:name="_Toc297048409"/>
      <w:bookmarkStart w:id="591" w:name="_Toc304295596"/>
      <w:bookmarkStart w:id="592" w:name="_Toc292559933"/>
      <w:bookmarkStart w:id="593" w:name="_Toc297120523"/>
      <w:bookmarkStart w:id="594" w:name="_Toc296346724"/>
      <w:bookmarkStart w:id="595" w:name="_Toc303539173"/>
      <w:bookmarkStart w:id="596" w:name="_Toc296347222"/>
      <w:bookmarkStart w:id="597" w:name="_Toc297216224"/>
      <w:bookmarkStart w:id="598" w:name="_Toc267251476"/>
      <w:bookmarkStart w:id="599" w:name="_Toc267251475"/>
      <w:bookmarkStart w:id="600" w:name="_Toc267251470"/>
      <w:bookmarkStart w:id="601" w:name="_Toc267251473"/>
      <w:bookmarkStart w:id="602" w:name="_Toc267251472"/>
      <w:bookmarkStart w:id="603" w:name="_Toc267251471"/>
      <w:bookmarkStart w:id="604" w:name="_Toc267251474"/>
      <w:r>
        <w:rPr>
          <w:rFonts w:hint="eastAsia" w:ascii="宋体" w:hAnsi="宋体" w:cs="宋体"/>
          <w:color w:val="000000" w:themeColor="text1"/>
          <w:sz w:val="24"/>
          <w:szCs w:val="24"/>
          <w14:textFill>
            <w14:solidFill>
              <w14:schemeClr w14:val="tx1"/>
            </w14:solidFill>
          </w14:textFill>
        </w:rPr>
        <w:t>13.2 竣工验收</w:t>
      </w:r>
    </w:p>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bookmarkStart w:id="605" w:name="_Toc280868704"/>
      <w:bookmarkStart w:id="606" w:name="_Toc280868705"/>
      <w:bookmarkStart w:id="607" w:name="_Toc280868706"/>
      <w:bookmarkStart w:id="608" w:name="_Toc280868707"/>
      <w:bookmarkStart w:id="609" w:name="_Toc280868708"/>
      <w:bookmarkStart w:id="610" w:name="_Toc280868709"/>
      <w:r>
        <w:rPr>
          <w:rFonts w:hint="eastAsia" w:ascii="宋体" w:hAnsi="宋体" w:cs="宋体"/>
          <w:color w:val="000000" w:themeColor="text1"/>
          <w:sz w:val="24"/>
          <w:szCs w:val="24"/>
          <w14:textFill>
            <w14:solidFill>
              <w14:schemeClr w14:val="tx1"/>
            </w14:solidFill>
          </w14:textFill>
        </w:rPr>
        <w:t>13.2.1 竣工验收程序</w:t>
      </w:r>
    </w:p>
    <w:bookmarkEnd w:id="605"/>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关于竣工验收程序的约定：</w:t>
      </w:r>
      <w:r>
        <w:rPr>
          <w:rFonts w:hint="eastAsia" w:ascii="宋体" w:hAnsi="宋体" w:cs="宋体"/>
          <w:color w:val="000000" w:themeColor="text1"/>
          <w:sz w:val="24"/>
          <w:szCs w:val="24"/>
          <w14:textFill>
            <w14:solidFill>
              <w14:schemeClr w14:val="tx1"/>
            </w14:solidFill>
          </w14:textFill>
        </w:rPr>
        <w:t>。</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发包人不按照本项约定组织竣工验收、颁发工程接收证书的违约金的计算方法：</w:t>
      </w:r>
      <w:r>
        <w:rPr>
          <w:rFonts w:hint="eastAsia" w:ascii="宋体" w:hAnsi="宋体" w:cs="宋体"/>
          <w:color w:val="000000" w:themeColor="text1"/>
          <w:sz w:val="24"/>
          <w:szCs w:val="24"/>
          <w14:textFill>
            <w14:solidFill>
              <w14:schemeClr w14:val="tx1"/>
            </w14:solidFill>
          </w14:textFill>
        </w:rPr>
        <w:t>。</w:t>
      </w:r>
    </w:p>
    <w:bookmarkEnd w:id="606"/>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13.2.2 移交、接收全部与部分工程</w:t>
      </w:r>
    </w:p>
    <w:bookmarkEnd w:id="607"/>
    <w:p>
      <w:pPr>
        <w:spacing w:line="360" w:lineRule="auto"/>
        <w:ind w:firstLine="480" w:firstLineChars="200"/>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承包人向发包人移交工程的期限：</w:t>
      </w:r>
      <w:r>
        <w:rPr>
          <w:rFonts w:hint="eastAsia" w:ascii="宋体" w:hAnsi="宋体" w:cs="宋体"/>
          <w:color w:val="000000" w:themeColor="text1"/>
          <w:sz w:val="24"/>
          <w:szCs w:val="24"/>
          <w14:textFill>
            <w14:solidFill>
              <w14:schemeClr w14:val="tx1"/>
            </w14:solidFill>
          </w14:textFill>
        </w:rPr>
        <w:t>。</w:t>
      </w:r>
    </w:p>
    <w:p>
      <w:pPr>
        <w:spacing w:line="360" w:lineRule="auto"/>
        <w:ind w:firstLine="480" w:firstLineChars="200"/>
        <w:jc w:val="left"/>
        <w:rPr>
          <w:rFonts w:ascii="宋体" w:hAnsi="宋体" w:cs="宋体"/>
          <w:color w:val="000000" w:themeColor="text1"/>
          <w:sz w:val="24"/>
          <w:szCs w:val="24"/>
          <w:u w:val="single"/>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发包人未按本合同约定接收全部或部分工程的，违约金的计算方法为：</w:t>
      </w:r>
      <w:r>
        <w:rPr>
          <w:rFonts w:hint="eastAsia" w:ascii="宋体" w:hAnsi="宋体" w:cs="宋体"/>
          <w:color w:val="000000" w:themeColor="text1"/>
          <w:sz w:val="24"/>
          <w:szCs w:val="24"/>
          <w14:textFill>
            <w14:solidFill>
              <w14:schemeClr w14:val="tx1"/>
            </w14:solidFill>
          </w14:textFill>
        </w:rPr>
        <w:t>。</w:t>
      </w:r>
    </w:p>
    <w:bookmarkEnd w:id="608"/>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承包人未按时移交工程的，违约金的计算方法为：。</w:t>
      </w:r>
    </w:p>
    <w:p>
      <w:pPr>
        <w:spacing w:after="120"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13.3 工程试车</w:t>
      </w:r>
    </w:p>
    <w:bookmarkEnd w:id="609"/>
    <w:p>
      <w:pPr>
        <w:spacing w:line="360" w:lineRule="auto"/>
        <w:ind w:firstLine="480" w:firstLineChars="200"/>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13.3.1 试车程序</w:t>
      </w:r>
    </w:p>
    <w:p>
      <w:pPr>
        <w:spacing w:line="360" w:lineRule="auto"/>
        <w:ind w:firstLine="480" w:firstLineChars="200"/>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工程试车内容：</w:t>
      </w:r>
      <w:r>
        <w:rPr>
          <w:rFonts w:hint="eastAsia" w:ascii="宋体" w:hAnsi="宋体" w:cs="宋体"/>
          <w:color w:val="000000" w:themeColor="text1"/>
          <w:sz w:val="24"/>
          <w:szCs w:val="24"/>
          <w14:textFill>
            <w14:solidFill>
              <w14:schemeClr w14:val="tx1"/>
            </w14:solidFill>
          </w14:textFill>
        </w:rPr>
        <w:t>。</w:t>
      </w:r>
    </w:p>
    <w:p>
      <w:pPr>
        <w:spacing w:line="360" w:lineRule="auto"/>
        <w:ind w:firstLine="480" w:firstLineChars="200"/>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（1）单机无负荷试车费用由承担；</w:t>
      </w:r>
    </w:p>
    <w:p>
      <w:pPr>
        <w:spacing w:line="360" w:lineRule="auto"/>
        <w:ind w:firstLine="480" w:firstLineChars="200"/>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（2）无负荷联动试车费用由承担。</w:t>
      </w:r>
    </w:p>
    <w:p>
      <w:pPr>
        <w:spacing w:line="360" w:lineRule="auto"/>
        <w:ind w:firstLine="480" w:firstLineChars="200"/>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13.3.2 投料试车</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关于投料试车相关事项的约定：</w:t>
      </w:r>
      <w:r>
        <w:rPr>
          <w:rFonts w:hint="eastAsia" w:ascii="宋体" w:hAnsi="宋体" w:cs="宋体"/>
          <w:color w:val="000000" w:themeColor="text1"/>
          <w:sz w:val="24"/>
          <w:szCs w:val="24"/>
          <w14:textFill>
            <w14:solidFill>
              <w14:schemeClr w14:val="tx1"/>
            </w14:solidFill>
          </w14:textFill>
        </w:rPr>
        <w:t>。</w:t>
      </w:r>
    </w:p>
    <w:p>
      <w:pPr>
        <w:spacing w:after="120" w:line="360" w:lineRule="auto"/>
        <w:ind w:firstLine="480" w:firstLineChars="200"/>
        <w:outlineLvl w:val="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13.4 竣工退场</w:t>
      </w:r>
    </w:p>
    <w:p>
      <w:pPr>
        <w:spacing w:line="360" w:lineRule="auto"/>
        <w:ind w:firstLine="480" w:firstLineChars="200"/>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13.4.1 竣工退场</w:t>
      </w:r>
    </w:p>
    <w:p>
      <w:pPr>
        <w:spacing w:line="360" w:lineRule="auto"/>
        <w:ind w:firstLine="480" w:firstLineChars="200"/>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承包人完成竣工退场的期限：。</w:t>
      </w:r>
    </w:p>
    <w:p>
      <w:pPr>
        <w:keepNext/>
        <w:keepLines/>
        <w:spacing w:before="120" w:after="120" w:line="360" w:lineRule="auto"/>
        <w:outlineLvl w:val="3"/>
        <w:rPr>
          <w:rFonts w:ascii="宋体" w:hAnsi="宋体" w:cs="宋体"/>
          <w:color w:val="000000" w:themeColor="text1"/>
          <w:sz w:val="24"/>
          <w:szCs w:val="24"/>
          <w14:textFill>
            <w14:solidFill>
              <w14:schemeClr w14:val="tx1"/>
            </w14:solidFill>
          </w14:textFill>
        </w:rPr>
      </w:pPr>
      <w:bookmarkStart w:id="611" w:name="_Toc351203646"/>
      <w:r>
        <w:rPr>
          <w:rFonts w:hint="eastAsia" w:ascii="宋体" w:hAnsi="宋体" w:cs="宋体"/>
          <w:color w:val="000000" w:themeColor="text1"/>
          <w:sz w:val="24"/>
          <w:szCs w:val="24"/>
          <w14:textFill>
            <w14:solidFill>
              <w14:schemeClr w14:val="tx1"/>
            </w14:solidFill>
          </w14:textFill>
        </w:rPr>
        <w:t>14. 竣工结算</w:t>
      </w:r>
      <w:bookmarkEnd w:id="611"/>
    </w:p>
    <w:p>
      <w:pPr>
        <w:spacing w:after="120"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14.1 竣工结算申请</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承包人提交竣工结算申请单的期限：。</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竣工结算申请单应包括的内容：。</w:t>
      </w:r>
    </w:p>
    <w:p>
      <w:pPr>
        <w:spacing w:after="120" w:line="360" w:lineRule="auto"/>
        <w:ind w:firstLine="480" w:firstLineChars="200"/>
        <w:outlineLvl w:val="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14.2 竣工结算审核</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发包人审批竣工付款申请单的期限：。</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发包人完成竣工付款的期限：。</w:t>
      </w:r>
    </w:p>
    <w:p>
      <w:pPr>
        <w:tabs>
          <w:tab w:val="left" w:pos="7797"/>
        </w:tabs>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关于竣工付款证书异议部分复核的方式和程序：。</w:t>
      </w:r>
    </w:p>
    <w:p>
      <w:pPr>
        <w:spacing w:after="120"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14.3 最终结清</w:t>
      </w:r>
    </w:p>
    <w:p>
      <w:pPr>
        <w:spacing w:line="360" w:lineRule="auto"/>
        <w:ind w:firstLine="480" w:firstLineChars="200"/>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14.3.1 最终结清申请单</w:t>
      </w:r>
    </w:p>
    <w:p>
      <w:pPr>
        <w:spacing w:line="360" w:lineRule="auto"/>
        <w:ind w:firstLine="480" w:firstLineChars="200"/>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承包人提交最终结清申请单的份数：</w:t>
      </w:r>
      <w:r>
        <w:rPr>
          <w:rFonts w:hint="eastAsia" w:ascii="宋体" w:hAnsi="宋体" w:cs="宋体"/>
          <w:color w:val="000000" w:themeColor="text1"/>
          <w:sz w:val="24"/>
          <w:szCs w:val="24"/>
          <w14:textFill>
            <w14:solidFill>
              <w14:schemeClr w14:val="tx1"/>
            </w14:solidFill>
          </w14:textFill>
        </w:rPr>
        <w:t>。</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承包人提交最终结算申请单的期限：</w:t>
      </w:r>
      <w:r>
        <w:rPr>
          <w:rFonts w:hint="eastAsia" w:ascii="宋体" w:hAnsi="宋体" w:cs="宋体"/>
          <w:color w:val="000000" w:themeColor="text1"/>
          <w:sz w:val="24"/>
          <w:szCs w:val="24"/>
          <w14:textFill>
            <w14:solidFill>
              <w14:schemeClr w14:val="tx1"/>
            </w14:solidFill>
          </w14:textFill>
        </w:rPr>
        <w:t>。</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14.3.2 最终结清证书和支付</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（1）发包人完成最终结清申请单的审批并颁发最终结清证书的期限：。</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（2）发包人完成支付的期限：。</w:t>
      </w:r>
    </w:p>
    <w:bookmarkEnd w:id="598"/>
    <w:bookmarkEnd w:id="599"/>
    <w:bookmarkEnd w:id="600"/>
    <w:bookmarkEnd w:id="601"/>
    <w:bookmarkEnd w:id="602"/>
    <w:bookmarkEnd w:id="603"/>
    <w:bookmarkEnd w:id="604"/>
    <w:bookmarkEnd w:id="610"/>
    <w:p>
      <w:pPr>
        <w:keepNext/>
        <w:keepLines/>
        <w:spacing w:before="120" w:after="120" w:line="360" w:lineRule="auto"/>
        <w:outlineLvl w:val="3"/>
        <w:rPr>
          <w:rFonts w:ascii="宋体" w:hAnsi="宋体" w:cs="宋体"/>
          <w:color w:val="000000" w:themeColor="text1"/>
          <w:sz w:val="24"/>
          <w:szCs w:val="24"/>
          <w14:textFill>
            <w14:solidFill>
              <w14:schemeClr w14:val="tx1"/>
            </w14:solidFill>
          </w14:textFill>
        </w:rPr>
      </w:pPr>
      <w:bookmarkStart w:id="612" w:name="_Toc351203647"/>
      <w:bookmarkStart w:id="613" w:name="_Toc267251483"/>
      <w:bookmarkStart w:id="614" w:name="_Toc267251482"/>
      <w:bookmarkStart w:id="615" w:name="_Toc267251484"/>
      <w:bookmarkStart w:id="616" w:name="_Toc267251485"/>
      <w:bookmarkStart w:id="617" w:name="_Toc267251489"/>
      <w:bookmarkStart w:id="618" w:name="_Toc267251488"/>
      <w:bookmarkStart w:id="619" w:name="_Toc267251486"/>
      <w:bookmarkStart w:id="620" w:name="_Toc267251490"/>
      <w:bookmarkStart w:id="621" w:name="_Toc267251493"/>
      <w:bookmarkStart w:id="622" w:name="_Toc267251495"/>
      <w:bookmarkStart w:id="623" w:name="_Toc267251496"/>
      <w:bookmarkStart w:id="624" w:name="_Toc267251494"/>
      <w:bookmarkStart w:id="625" w:name="_Toc267251492"/>
      <w:bookmarkStart w:id="626" w:name="_Toc267251502"/>
      <w:bookmarkStart w:id="627" w:name="_Toc267251491"/>
      <w:bookmarkStart w:id="628" w:name="_Toc267251497"/>
      <w:bookmarkStart w:id="629" w:name="_Toc267251499"/>
      <w:bookmarkStart w:id="630" w:name="_Toc267251501"/>
      <w:bookmarkStart w:id="631" w:name="_Toc267251498"/>
      <w:bookmarkStart w:id="632" w:name="_Toc267251503"/>
      <w:bookmarkStart w:id="633" w:name="_Toc267251506"/>
      <w:bookmarkStart w:id="634" w:name="_Toc267251504"/>
      <w:bookmarkStart w:id="635" w:name="_Toc267251507"/>
      <w:bookmarkStart w:id="636" w:name="_Toc267251508"/>
      <w:bookmarkStart w:id="637" w:name="_Toc267251511"/>
      <w:bookmarkStart w:id="638" w:name="_Toc267251510"/>
      <w:bookmarkStart w:id="639" w:name="_Toc267251514"/>
      <w:bookmarkStart w:id="640" w:name="_Toc267251513"/>
      <w:bookmarkStart w:id="641" w:name="_Toc267251515"/>
      <w:bookmarkStart w:id="642" w:name="_Toc267251509"/>
      <w:r>
        <w:rPr>
          <w:rFonts w:hint="eastAsia" w:ascii="宋体" w:hAnsi="宋体" w:cs="宋体"/>
          <w:color w:val="000000" w:themeColor="text1"/>
          <w:sz w:val="24"/>
          <w:szCs w:val="24"/>
          <w14:textFill>
            <w14:solidFill>
              <w14:schemeClr w14:val="tx1"/>
            </w14:solidFill>
          </w14:textFill>
        </w:rPr>
        <w:t>15. 缺陷责任期与保修</w:t>
      </w:r>
      <w:bookmarkEnd w:id="612"/>
    </w:p>
    <w:p>
      <w:pPr>
        <w:spacing w:after="120"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15.1 缺陷责任期</w:t>
      </w:r>
      <w:bookmarkEnd w:id="613"/>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缺陷责任期的具体期限：。</w:t>
      </w:r>
    </w:p>
    <w:p>
      <w:pPr>
        <w:spacing w:after="120" w:line="360" w:lineRule="auto"/>
        <w:ind w:firstLine="480" w:firstLineChars="200"/>
        <w:outlineLvl w:val="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15.2 质量保证金</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关于是否扣留质量保证金的约定：。在工程项目竣工前，承包人按专用合同条款第3.7条提供履约担保的，发包人不得同时预留工程质量保证金。</w:t>
      </w:r>
    </w:p>
    <w:p>
      <w:pPr>
        <w:spacing w:line="360" w:lineRule="auto"/>
        <w:ind w:firstLine="480" w:firstLineChars="200"/>
        <w:jc w:val="left"/>
        <w:outlineLvl w:val="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15.2.1 承包人提供质量保证金的方式</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质量保证金采用以下第种方式：</w:t>
      </w:r>
    </w:p>
    <w:p>
      <w:pPr>
        <w:autoSpaceDE w:val="0"/>
        <w:autoSpaceDN w:val="0"/>
        <w:adjustRightInd w:val="0"/>
        <w:spacing w:line="360" w:lineRule="auto"/>
        <w:ind w:firstLine="480" w:firstLineChars="200"/>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（1）质量保证金保函，保证金额为：；</w:t>
      </w:r>
    </w:p>
    <w:p>
      <w:pPr>
        <w:autoSpaceDE w:val="0"/>
        <w:autoSpaceDN w:val="0"/>
        <w:adjustRightInd w:val="0"/>
        <w:spacing w:line="360" w:lineRule="auto"/>
        <w:ind w:firstLine="480" w:firstLineChars="200"/>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（2）%的工程款；</w:t>
      </w:r>
    </w:p>
    <w:p>
      <w:pPr>
        <w:autoSpaceDE w:val="0"/>
        <w:autoSpaceDN w:val="0"/>
        <w:adjustRightInd w:val="0"/>
        <w:spacing w:line="360" w:lineRule="auto"/>
        <w:ind w:firstLine="480" w:firstLineChars="200"/>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（3）其他方式:。</w:t>
      </w:r>
    </w:p>
    <w:p>
      <w:pPr>
        <w:spacing w:line="360" w:lineRule="auto"/>
        <w:ind w:firstLine="480" w:firstLineChars="200"/>
        <w:jc w:val="left"/>
        <w:outlineLvl w:val="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15.2.2 质量保证金的扣留</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质量保证金的扣留采取以下第</w:t>
      </w:r>
      <w:r>
        <w:rPr>
          <w:rFonts w:hint="eastAsia" w:ascii="宋体" w:hAnsi="宋体" w:cs="宋体"/>
          <w:color w:val="000000" w:themeColor="text1"/>
          <w:sz w:val="24"/>
          <w:szCs w:val="24"/>
          <w:u w:val="single"/>
          <w14:textFill>
            <w14:solidFill>
              <w14:schemeClr w14:val="tx1"/>
            </w14:solidFill>
          </w14:textFill>
        </w:rPr>
        <w:t>（2）</w:t>
      </w:r>
      <w:r>
        <w:rPr>
          <w:rFonts w:hint="eastAsia" w:ascii="宋体" w:hAnsi="宋体" w:cs="宋体"/>
          <w:color w:val="000000" w:themeColor="text1"/>
          <w:sz w:val="24"/>
          <w:szCs w:val="24"/>
          <w14:textFill>
            <w14:solidFill>
              <w14:schemeClr w14:val="tx1"/>
            </w14:solidFill>
          </w14:textFill>
        </w:rPr>
        <w:t>种方式：</w:t>
      </w:r>
    </w:p>
    <w:p>
      <w:pPr>
        <w:autoSpaceDE w:val="0"/>
        <w:autoSpaceDN w:val="0"/>
        <w:adjustRightInd w:val="0"/>
        <w:spacing w:line="360" w:lineRule="auto"/>
        <w:ind w:firstLine="480" w:firstLineChars="200"/>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（1）在支付工程进度款时逐次扣留，在此情形下，质量保证金的计算基数不包括预付款的支付、扣回以及价格调整的金额；</w:t>
      </w:r>
    </w:p>
    <w:p>
      <w:pPr>
        <w:autoSpaceDE w:val="0"/>
        <w:autoSpaceDN w:val="0"/>
        <w:adjustRightInd w:val="0"/>
        <w:spacing w:line="360" w:lineRule="auto"/>
        <w:ind w:firstLine="480" w:firstLineChars="200"/>
        <w:jc w:val="left"/>
        <w:outlineLvl w:val="0"/>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（2）工程竣工结算时一次性扣留质量保证金；</w:t>
      </w:r>
    </w:p>
    <w:p>
      <w:pPr>
        <w:autoSpaceDE w:val="0"/>
        <w:autoSpaceDN w:val="0"/>
        <w:adjustRightInd w:val="0"/>
        <w:spacing w:line="360" w:lineRule="auto"/>
        <w:ind w:firstLine="480" w:firstLineChars="200"/>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（3）其他扣留方式:。</w:t>
      </w:r>
    </w:p>
    <w:p>
      <w:pPr>
        <w:spacing w:line="360" w:lineRule="auto"/>
        <w:ind w:firstLine="480" w:firstLineChars="200"/>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关于质量保证金的补充约定：</w:t>
      </w:r>
      <w:r>
        <w:rPr>
          <w:rFonts w:hint="eastAsia" w:ascii="宋体" w:hAnsi="宋体" w:cs="宋体"/>
          <w:color w:val="000000" w:themeColor="text1"/>
          <w:kern w:val="0"/>
          <w:sz w:val="24"/>
          <w:szCs w:val="24"/>
          <w14:textFill>
            <w14:solidFill>
              <w14:schemeClr w14:val="tx1"/>
            </w14:solidFill>
          </w14:textFill>
        </w:rPr>
        <w:t>。</w:t>
      </w:r>
    </w:p>
    <w:bookmarkEnd w:id="614"/>
    <w:bookmarkEnd w:id="615"/>
    <w:p>
      <w:pPr>
        <w:spacing w:after="120"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15.3 保修</w:t>
      </w:r>
    </w:p>
    <w:bookmarkEnd w:id="616"/>
    <w:p>
      <w:pPr>
        <w:spacing w:line="360" w:lineRule="auto"/>
        <w:ind w:firstLine="468" w:firstLineChars="195"/>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15.3.1 保修责任</w:t>
      </w:r>
    </w:p>
    <w:p>
      <w:pPr>
        <w:spacing w:line="360" w:lineRule="auto"/>
        <w:ind w:firstLine="468" w:firstLineChars="195"/>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工程保修期为：</w:t>
      </w:r>
      <w:r>
        <w:rPr>
          <w:rFonts w:hint="eastAsia" w:ascii="宋体" w:hAnsi="宋体" w:cs="宋体"/>
          <w:color w:val="000000" w:themeColor="text1"/>
          <w:kern w:val="0"/>
          <w:sz w:val="24"/>
          <w:szCs w:val="24"/>
          <w14:textFill>
            <w14:solidFill>
              <w14:schemeClr w14:val="tx1"/>
            </w14:solidFill>
          </w14:textFill>
        </w:rPr>
        <w:t>。</w:t>
      </w:r>
    </w:p>
    <w:p>
      <w:pPr>
        <w:spacing w:line="360" w:lineRule="auto"/>
        <w:ind w:firstLine="468" w:firstLineChars="195"/>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15.3.2 修复通知</w:t>
      </w:r>
    </w:p>
    <w:p>
      <w:pPr>
        <w:spacing w:line="360" w:lineRule="auto"/>
        <w:ind w:firstLine="468" w:firstLineChars="195"/>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承包人收到保修通知并到达工程现场的合理时间：。</w:t>
      </w:r>
    </w:p>
    <w:bookmarkEnd w:id="617"/>
    <w:bookmarkEnd w:id="618"/>
    <w:bookmarkEnd w:id="619"/>
    <w:bookmarkEnd w:id="620"/>
    <w:p>
      <w:pPr>
        <w:keepNext/>
        <w:keepLines/>
        <w:spacing w:before="120" w:after="120" w:line="360" w:lineRule="auto"/>
        <w:outlineLvl w:val="3"/>
        <w:rPr>
          <w:rFonts w:ascii="宋体" w:hAnsi="宋体" w:cs="宋体"/>
          <w:color w:val="000000" w:themeColor="text1"/>
          <w:sz w:val="24"/>
          <w:szCs w:val="24"/>
          <w14:textFill>
            <w14:solidFill>
              <w14:schemeClr w14:val="tx1"/>
            </w14:solidFill>
          </w14:textFill>
        </w:rPr>
      </w:pPr>
      <w:bookmarkStart w:id="643" w:name="_Toc351203648"/>
      <w:bookmarkStart w:id="644" w:name="_Toc280868717"/>
      <w:bookmarkStart w:id="645" w:name="_Toc280868718"/>
      <w:r>
        <w:rPr>
          <w:rFonts w:hint="eastAsia" w:ascii="宋体" w:hAnsi="宋体" w:cs="宋体"/>
          <w:color w:val="000000" w:themeColor="text1"/>
          <w:sz w:val="24"/>
          <w:szCs w:val="24"/>
          <w14:textFill>
            <w14:solidFill>
              <w14:schemeClr w14:val="tx1"/>
            </w14:solidFill>
          </w14:textFill>
        </w:rPr>
        <w:t>16. 违约</w:t>
      </w:r>
      <w:bookmarkEnd w:id="643"/>
    </w:p>
    <w:p>
      <w:pPr>
        <w:spacing w:after="120" w:line="360" w:lineRule="auto"/>
        <w:ind w:firstLine="480" w:firstLineChars="200"/>
        <w:outlineLvl w:val="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16.1 发包人违约</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16.1.1发包人违约的情形</w:t>
      </w:r>
    </w:p>
    <w:p>
      <w:pPr>
        <w:spacing w:line="360" w:lineRule="auto"/>
        <w:ind w:firstLine="480" w:firstLineChars="200"/>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发包人违约的其他情形：。</w:t>
      </w:r>
    </w:p>
    <w:p>
      <w:pPr>
        <w:spacing w:line="360" w:lineRule="auto"/>
        <w:ind w:left="1200" w:hanging="1200" w:hangingChars="500"/>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xml:space="preserve">    16.1.2 发包人违约的责任</w:t>
      </w:r>
    </w:p>
    <w:p>
      <w:pPr>
        <w:spacing w:line="360" w:lineRule="auto"/>
        <w:ind w:firstLine="480" w:firstLineChars="200"/>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发包人违约责任的承担方式和计算方法：</w:t>
      </w:r>
    </w:p>
    <w:p>
      <w:pPr>
        <w:spacing w:line="360" w:lineRule="auto"/>
        <w:ind w:firstLine="480" w:firstLineChars="200"/>
        <w:jc w:val="left"/>
        <w:rPr>
          <w:rFonts w:ascii="宋体" w:hAnsi="宋体" w:cs="宋体"/>
          <w:color w:val="000000" w:themeColor="text1"/>
          <w:kern w:val="0"/>
          <w:sz w:val="24"/>
          <w:szCs w:val="24"/>
          <w:u w:val="single"/>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（1）因发包人原因未能在计划开工日期前7天内下达开工通知的违约责任：。</w:t>
      </w:r>
    </w:p>
    <w:p>
      <w:pPr>
        <w:spacing w:line="360" w:lineRule="auto"/>
        <w:ind w:firstLine="480" w:firstLineChars="200"/>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（2）因发包人原因未能按合同约定支付合同价款的违约责任：。</w:t>
      </w:r>
    </w:p>
    <w:p>
      <w:pPr>
        <w:spacing w:line="360" w:lineRule="auto"/>
        <w:ind w:firstLine="480" w:firstLineChars="200"/>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（3）发包人违反第10.1款〔变更的范围〕第（2）项约定，自行实施被取消的工作或转由他人实施的违约责任：。</w:t>
      </w:r>
    </w:p>
    <w:p>
      <w:pPr>
        <w:spacing w:line="360" w:lineRule="auto"/>
        <w:ind w:firstLine="480" w:firstLineChars="200"/>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（4）发包人提供的材料、工程设备的规格、数量或质量不符合合同约定，或因发包人原因导致交货日期延误或交货地点变更等情况的违约责任：。</w:t>
      </w:r>
    </w:p>
    <w:p>
      <w:pPr>
        <w:spacing w:line="360" w:lineRule="auto"/>
        <w:ind w:firstLine="480" w:firstLineChars="200"/>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（5）因发包人违反合同约定造成暂停施工的违约责任：。</w:t>
      </w:r>
    </w:p>
    <w:p>
      <w:pPr>
        <w:spacing w:line="360" w:lineRule="auto"/>
        <w:ind w:firstLine="480" w:firstLineChars="200"/>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（6）发包人无正当理由没有在约定期限内发出复工指示，导致承包人无法复工的违约责任：。</w:t>
      </w:r>
    </w:p>
    <w:p>
      <w:pPr>
        <w:spacing w:line="360" w:lineRule="auto"/>
        <w:ind w:firstLine="480" w:firstLineChars="200"/>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（7）其他：。</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16.1.3 因发包人违约解除合同</w:t>
      </w:r>
    </w:p>
    <w:p>
      <w:pPr>
        <w:autoSpaceDE w:val="0"/>
        <w:autoSpaceDN w:val="0"/>
        <w:adjustRightInd w:val="0"/>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承包人按16.1.1项〔发包人违约的情形〕约定暂停施工满天后发包人仍不纠正其违约行为并致使合同目的不能实现的，承包人有权解除合同。</w:t>
      </w:r>
    </w:p>
    <w:p>
      <w:pPr>
        <w:spacing w:after="120" w:line="360" w:lineRule="auto"/>
        <w:ind w:firstLine="480" w:firstLineChars="200"/>
        <w:outlineLvl w:val="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16.2 承包人违约</w:t>
      </w:r>
    </w:p>
    <w:p>
      <w:pPr>
        <w:spacing w:line="360" w:lineRule="auto"/>
        <w:ind w:firstLine="480" w:firstLineChars="200"/>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16.2.1 承包人违约的情形</w:t>
      </w:r>
    </w:p>
    <w:p>
      <w:pPr>
        <w:spacing w:line="360" w:lineRule="auto"/>
        <w:ind w:firstLine="480" w:firstLineChars="200"/>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承包人违约的其他情形：。</w:t>
      </w:r>
    </w:p>
    <w:p>
      <w:pPr>
        <w:spacing w:line="360" w:lineRule="auto"/>
        <w:ind w:firstLine="480" w:firstLineChars="200"/>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16.2.2承包人违约的责任</w:t>
      </w:r>
    </w:p>
    <w:p>
      <w:pPr>
        <w:spacing w:line="360" w:lineRule="auto"/>
        <w:ind w:firstLine="480" w:firstLineChars="200"/>
        <w:jc w:val="left"/>
        <w:rPr>
          <w:rFonts w:ascii="宋体" w:hAnsi="宋体" w:cs="宋体"/>
          <w:color w:val="000000" w:themeColor="text1"/>
          <w:kern w:val="0"/>
          <w:sz w:val="24"/>
          <w:szCs w:val="24"/>
          <w:u w:val="single"/>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承包人违约责任的承担方式和计算方法：。</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16.2.3 因承包人违约解除合同</w:t>
      </w:r>
    </w:p>
    <w:p>
      <w:pPr>
        <w:spacing w:before="120" w:after="120" w:line="360" w:lineRule="auto"/>
        <w:ind w:firstLine="480" w:firstLineChars="200"/>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关于承包人违约解除合同的特别约定：。</w:t>
      </w:r>
    </w:p>
    <w:p>
      <w:pPr>
        <w:spacing w:before="120" w:after="120" w:line="360" w:lineRule="auto"/>
        <w:ind w:firstLine="480" w:firstLineChars="200"/>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发包人继续使用承包人在施工现场的材料、设备、临时工程、承包人文件和由承包人或以其名义编制的其他文件的费用承担方式：。</w:t>
      </w:r>
    </w:p>
    <w:p>
      <w:pPr>
        <w:keepNext/>
        <w:keepLines/>
        <w:spacing w:before="120" w:after="120" w:line="360" w:lineRule="auto"/>
        <w:outlineLvl w:val="3"/>
        <w:rPr>
          <w:rFonts w:ascii="宋体" w:hAnsi="宋体" w:cs="宋体"/>
          <w:color w:val="000000" w:themeColor="text1"/>
          <w:sz w:val="24"/>
          <w:szCs w:val="24"/>
          <w14:textFill>
            <w14:solidFill>
              <w14:schemeClr w14:val="tx1"/>
            </w14:solidFill>
          </w14:textFill>
        </w:rPr>
      </w:pPr>
      <w:bookmarkStart w:id="646" w:name="_Toc351203649"/>
      <w:r>
        <w:rPr>
          <w:rFonts w:hint="eastAsia" w:ascii="宋体" w:hAnsi="宋体" w:cs="宋体"/>
          <w:color w:val="000000" w:themeColor="text1"/>
          <w:sz w:val="24"/>
          <w:szCs w:val="24"/>
          <w14:textFill>
            <w14:solidFill>
              <w14:schemeClr w14:val="tx1"/>
            </w14:solidFill>
          </w14:textFill>
        </w:rPr>
        <w:t>17. 不可抗力</w:t>
      </w:r>
      <w:bookmarkEnd w:id="644"/>
      <w:bookmarkEnd w:id="646"/>
    </w:p>
    <w:p>
      <w:pPr>
        <w:spacing w:after="120"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17.1 不可抗力的确认</w:t>
      </w:r>
    </w:p>
    <w:p>
      <w:pPr>
        <w:spacing w:line="360" w:lineRule="auto"/>
        <w:ind w:firstLine="480" w:firstLineChars="200"/>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除通用合同条款约定的不可抗力事件之外，视为不可抗力的其他情形：</w:t>
      </w:r>
      <w:r>
        <w:rPr>
          <w:rFonts w:hint="eastAsia" w:ascii="宋体" w:hAnsi="宋体" w:cs="宋体"/>
          <w:color w:val="000000" w:themeColor="text1"/>
          <w:kern w:val="0"/>
          <w:sz w:val="24"/>
          <w:szCs w:val="24"/>
          <w14:textFill>
            <w14:solidFill>
              <w14:schemeClr w14:val="tx1"/>
            </w14:solidFill>
          </w14:textFill>
        </w:rPr>
        <w:t>。</w:t>
      </w:r>
    </w:p>
    <w:p>
      <w:pPr>
        <w:spacing w:after="120" w:line="360" w:lineRule="auto"/>
        <w:ind w:firstLine="480" w:firstLineChars="200"/>
        <w:outlineLvl w:val="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17.2 因不可抗力解除合同</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合同解除后，发包人应在商定或确定发包人应支付款项后天内完成款项的支付。</w:t>
      </w:r>
    </w:p>
    <w:p>
      <w:pPr>
        <w:keepNext/>
        <w:keepLines/>
        <w:spacing w:before="120" w:after="120" w:line="360" w:lineRule="auto"/>
        <w:outlineLvl w:val="3"/>
        <w:rPr>
          <w:rFonts w:ascii="宋体" w:hAnsi="宋体" w:cs="宋体"/>
          <w:color w:val="000000" w:themeColor="text1"/>
          <w:sz w:val="24"/>
          <w:szCs w:val="24"/>
          <w14:textFill>
            <w14:solidFill>
              <w14:schemeClr w14:val="tx1"/>
            </w14:solidFill>
          </w14:textFill>
        </w:rPr>
      </w:pPr>
      <w:bookmarkStart w:id="647" w:name="_Toc351203650"/>
      <w:r>
        <w:rPr>
          <w:rFonts w:hint="eastAsia" w:ascii="宋体" w:hAnsi="宋体" w:cs="宋体"/>
          <w:color w:val="000000" w:themeColor="text1"/>
          <w:sz w:val="24"/>
          <w:szCs w:val="24"/>
          <w14:textFill>
            <w14:solidFill>
              <w14:schemeClr w14:val="tx1"/>
            </w14:solidFill>
          </w14:textFill>
        </w:rPr>
        <w:t>18. 保险</w:t>
      </w:r>
      <w:bookmarkEnd w:id="647"/>
    </w:p>
    <w:bookmarkEnd w:id="645"/>
    <w:p>
      <w:pPr>
        <w:spacing w:after="120"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18.1 工程保险</w:t>
      </w:r>
    </w:p>
    <w:p>
      <w:pPr>
        <w:spacing w:line="360" w:lineRule="auto"/>
        <w:ind w:firstLine="480" w:firstLineChars="200"/>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关于工程保险的特别约定：</w:t>
      </w:r>
      <w:r>
        <w:rPr>
          <w:rFonts w:hint="eastAsia" w:ascii="宋体" w:hAnsi="宋体" w:cs="宋体"/>
          <w:color w:val="000000" w:themeColor="text1"/>
          <w:kern w:val="0"/>
          <w:sz w:val="24"/>
          <w:szCs w:val="24"/>
          <w14:textFill>
            <w14:solidFill>
              <w14:schemeClr w14:val="tx1"/>
            </w14:solidFill>
          </w14:textFill>
        </w:rPr>
        <w:t>。</w:t>
      </w:r>
    </w:p>
    <w:p>
      <w:pPr>
        <w:spacing w:after="120" w:line="360" w:lineRule="auto"/>
        <w:ind w:firstLine="480" w:firstLineChars="200"/>
        <w:outlineLvl w:val="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18.2 其他保险</w:t>
      </w:r>
    </w:p>
    <w:p>
      <w:pPr>
        <w:spacing w:line="360" w:lineRule="auto"/>
        <w:ind w:firstLine="480" w:firstLineChars="200"/>
        <w:jc w:val="left"/>
        <w:rPr>
          <w:rFonts w:ascii="宋体" w:hAnsi="宋体" w:cs="宋体"/>
          <w:color w:val="000000" w:themeColor="text1"/>
          <w:kern w:val="0"/>
          <w:sz w:val="24"/>
          <w:szCs w:val="24"/>
          <w:u w:val="single"/>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关于其他保险的约定：</w:t>
      </w:r>
      <w:r>
        <w:rPr>
          <w:rFonts w:hint="eastAsia" w:ascii="宋体" w:hAnsi="宋体" w:cs="宋体"/>
          <w:color w:val="000000" w:themeColor="text1"/>
          <w:kern w:val="0"/>
          <w:sz w:val="24"/>
          <w:szCs w:val="24"/>
          <w14:textFill>
            <w14:solidFill>
              <w14:schemeClr w14:val="tx1"/>
            </w14:solidFill>
          </w14:textFill>
        </w:rPr>
        <w:t>。</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承包人是否应为其施工设备等办理财产保险：</w:t>
      </w:r>
      <w:r>
        <w:rPr>
          <w:rFonts w:hint="eastAsia" w:ascii="宋体" w:hAnsi="宋体" w:cs="宋体"/>
          <w:color w:val="000000" w:themeColor="text1"/>
          <w:sz w:val="24"/>
          <w:szCs w:val="24"/>
          <w:u w:val="single"/>
          <w14:textFill>
            <w14:solidFill>
              <w14:schemeClr w14:val="tx1"/>
            </w14:solidFill>
          </w14:textFill>
        </w:rPr>
        <w:t>应当</w:t>
      </w:r>
      <w:r>
        <w:rPr>
          <w:rFonts w:hint="eastAsia" w:ascii="宋体" w:hAnsi="宋体" w:cs="宋体"/>
          <w:color w:val="000000" w:themeColor="text1"/>
          <w:sz w:val="24"/>
          <w:szCs w:val="24"/>
          <w14:textFill>
            <w14:solidFill>
              <w14:schemeClr w14:val="tx1"/>
            </w14:solidFill>
          </w14:textFill>
        </w:rPr>
        <w:t>。</w:t>
      </w:r>
    </w:p>
    <w:p>
      <w:pPr>
        <w:spacing w:after="120"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18.3 通知义务</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关于变更保险合同时的通知义务的约定：</w:t>
      </w:r>
      <w:r>
        <w:rPr>
          <w:rFonts w:hint="eastAsia" w:ascii="宋体" w:hAnsi="宋体" w:cs="宋体"/>
          <w:color w:val="000000" w:themeColor="text1"/>
          <w:sz w:val="24"/>
          <w:szCs w:val="24"/>
          <w14:textFill>
            <w14:solidFill>
              <w14:schemeClr w14:val="tx1"/>
            </w14:solidFill>
          </w14:textFill>
        </w:rPr>
        <w:t>。</w:t>
      </w:r>
    </w:p>
    <w:bookmarkEnd w:id="621"/>
    <w:bookmarkEnd w:id="622"/>
    <w:bookmarkEnd w:id="623"/>
    <w:bookmarkEnd w:id="624"/>
    <w:bookmarkEnd w:id="625"/>
    <w:bookmarkEnd w:id="626"/>
    <w:bookmarkEnd w:id="627"/>
    <w:bookmarkEnd w:id="628"/>
    <w:bookmarkEnd w:id="629"/>
    <w:bookmarkEnd w:id="630"/>
    <w:bookmarkEnd w:id="631"/>
    <w:bookmarkEnd w:id="632"/>
    <w:p>
      <w:pPr>
        <w:keepNext/>
        <w:keepLines/>
        <w:spacing w:before="120" w:after="120" w:line="360" w:lineRule="auto"/>
        <w:outlineLvl w:val="3"/>
        <w:rPr>
          <w:rFonts w:ascii="宋体" w:hAnsi="宋体" w:cs="宋体"/>
          <w:color w:val="000000" w:themeColor="text1"/>
          <w:sz w:val="24"/>
          <w:szCs w:val="24"/>
          <w14:textFill>
            <w14:solidFill>
              <w14:schemeClr w14:val="tx1"/>
            </w14:solidFill>
          </w14:textFill>
        </w:rPr>
      </w:pPr>
      <w:bookmarkStart w:id="648" w:name="_Toc351203651"/>
      <w:r>
        <w:rPr>
          <w:rFonts w:hint="eastAsia" w:ascii="宋体" w:hAnsi="宋体" w:cs="宋体"/>
          <w:color w:val="000000" w:themeColor="text1"/>
          <w:sz w:val="24"/>
          <w:szCs w:val="24"/>
          <w14:textFill>
            <w14:solidFill>
              <w14:schemeClr w14:val="tx1"/>
            </w14:solidFill>
          </w14:textFill>
        </w:rPr>
        <w:t>19. 争议解决</w:t>
      </w:r>
      <w:bookmarkEnd w:id="648"/>
    </w:p>
    <w:bookmarkEnd w:id="633"/>
    <w:bookmarkEnd w:id="634"/>
    <w:p>
      <w:pPr>
        <w:spacing w:after="120" w:line="360" w:lineRule="auto"/>
        <w:ind w:firstLine="480" w:firstLineChars="200"/>
        <w:outlineLvl w:val="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19.1 争</w:t>
      </w:r>
      <w:bookmarkEnd w:id="635"/>
      <w:r>
        <w:rPr>
          <w:rFonts w:hint="eastAsia" w:ascii="宋体" w:hAnsi="宋体" w:cs="宋体"/>
          <w:color w:val="000000" w:themeColor="text1"/>
          <w:sz w:val="24"/>
          <w:szCs w:val="24"/>
          <w14:textFill>
            <w14:solidFill>
              <w14:schemeClr w14:val="tx1"/>
            </w14:solidFill>
          </w14:textFill>
        </w:rPr>
        <w:t>议评审</w:t>
      </w:r>
    </w:p>
    <w:p>
      <w:pPr>
        <w:spacing w:line="360" w:lineRule="auto"/>
        <w:ind w:left="149" w:leftChars="71" w:firstLine="360" w:firstLineChars="15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合同当事人是否同意将工程争议提交争议评审小组决定：。</w:t>
      </w:r>
    </w:p>
    <w:p>
      <w:pPr>
        <w:spacing w:line="360" w:lineRule="auto"/>
        <w:ind w:firstLine="480" w:firstLineChars="200"/>
        <w:jc w:val="left"/>
        <w:outlineLvl w:val="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19.1.1 争议评审小组的确定</w:t>
      </w:r>
    </w:p>
    <w:p>
      <w:pPr>
        <w:spacing w:line="360" w:lineRule="auto"/>
        <w:ind w:firstLine="480" w:firstLineChars="200"/>
        <w:jc w:val="left"/>
        <w:rPr>
          <w:rFonts w:ascii="宋体" w:hAnsi="宋体" w:cs="宋体"/>
          <w:color w:val="000000" w:themeColor="text1"/>
          <w:sz w:val="24"/>
          <w:szCs w:val="24"/>
          <w:u w:val="single"/>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争议评审小组成员的确定：。</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选定争议评审员的期限：。</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争议评审小组成员的报酬承担方式：。</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其他事项的约定：。</w:t>
      </w:r>
    </w:p>
    <w:p>
      <w:pPr>
        <w:autoSpaceDE w:val="0"/>
        <w:autoSpaceDN w:val="0"/>
        <w:adjustRightInd w:val="0"/>
        <w:spacing w:line="360" w:lineRule="auto"/>
        <w:ind w:firstLine="480" w:firstLineChars="200"/>
        <w:jc w:val="left"/>
        <w:outlineLvl w:val="0"/>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19.1.2 争议评审小组的决定</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合同当事人关于本项的约定：。</w:t>
      </w:r>
    </w:p>
    <w:p>
      <w:pPr>
        <w:spacing w:after="120" w:line="360" w:lineRule="auto"/>
        <w:ind w:firstLine="480" w:firstLineChars="200"/>
        <w:outlineLvl w:val="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19.2 仲裁或诉讼</w:t>
      </w:r>
      <w:bookmarkEnd w:id="636"/>
    </w:p>
    <w:p>
      <w:pPr>
        <w:spacing w:after="120"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因合同及合同有关事项发生的争议，按下列第种方式解决：</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（1）向仲裁委员会申请仲裁；</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（2）向人民法院起诉。</w:t>
      </w:r>
      <w:bookmarkEnd w:id="637"/>
      <w:bookmarkEnd w:id="638"/>
      <w:bookmarkEnd w:id="639"/>
      <w:bookmarkEnd w:id="640"/>
      <w:bookmarkEnd w:id="641"/>
      <w:bookmarkEnd w:id="642"/>
    </w:p>
    <w:p>
      <w:pPr>
        <w:widowControl/>
        <w:jc w:val="left"/>
        <w:rPr>
          <w:rFonts w:ascii="仿宋" w:hAnsi="仿宋" w:eastAsia="仿宋"/>
          <w:sz w:val="24"/>
          <w:szCs w:val="24"/>
        </w:rPr>
      </w:pPr>
    </w:p>
    <w:p>
      <w:pPr>
        <w:widowControl/>
        <w:jc w:val="left"/>
        <w:rPr>
          <w:rFonts w:ascii="仿宋" w:hAnsi="仿宋" w:eastAsia="仿宋"/>
          <w:sz w:val="24"/>
          <w:szCs w:val="24"/>
        </w:rPr>
      </w:pPr>
      <w:r>
        <w:rPr>
          <w:rFonts w:ascii="仿宋" w:hAnsi="仿宋" w:eastAsia="仿宋"/>
          <w:sz w:val="24"/>
          <w:szCs w:val="24"/>
        </w:rPr>
        <w:br w:type="page"/>
      </w:r>
    </w:p>
    <w:p>
      <w:pPr>
        <w:keepNext/>
        <w:keepLines/>
        <w:spacing w:before="260" w:after="260" w:line="413" w:lineRule="auto"/>
        <w:jc w:val="center"/>
        <w:outlineLvl w:val="2"/>
        <w:rPr>
          <w:rFonts w:ascii="宋体" w:hAnsi="宋体" w:cs="宋体"/>
          <w:color w:val="000000" w:themeColor="text1"/>
          <w:sz w:val="32"/>
          <w:szCs w:val="32"/>
          <w14:textFill>
            <w14:solidFill>
              <w14:schemeClr w14:val="tx1"/>
            </w14:solidFill>
          </w14:textFill>
        </w:rPr>
      </w:pPr>
      <w:r>
        <w:rPr>
          <w:rFonts w:hint="eastAsia" w:ascii="宋体" w:hAnsi="宋体" w:cs="宋体"/>
          <w:color w:val="000000" w:themeColor="text1"/>
          <w:sz w:val="32"/>
          <w:szCs w:val="32"/>
          <w14:textFill>
            <w14:solidFill>
              <w14:schemeClr w14:val="tx1"/>
            </w14:solidFill>
          </w14:textFill>
        </w:rPr>
        <w:t>第四节合同附件格式</w:t>
      </w:r>
    </w:p>
    <w:p>
      <w:pPr>
        <w:autoSpaceDE w:val="0"/>
        <w:autoSpaceDN w:val="0"/>
        <w:adjustRightInd w:val="0"/>
        <w:spacing w:line="360" w:lineRule="auto"/>
        <w:jc w:val="left"/>
        <w:rPr>
          <w:rFonts w:ascii="仿宋" w:hAnsi="仿宋" w:eastAsia="仿宋"/>
          <w:kern w:val="0"/>
          <w:sz w:val="24"/>
          <w:szCs w:val="24"/>
        </w:rPr>
      </w:pPr>
    </w:p>
    <w:p>
      <w:pPr>
        <w:spacing w:line="360" w:lineRule="auto"/>
        <w:rPr>
          <w:rFonts w:ascii="仿宋" w:hAnsi="仿宋" w:eastAsia="仿宋"/>
          <w:b/>
          <w:bCs/>
          <w:sz w:val="24"/>
          <w:szCs w:val="24"/>
        </w:rPr>
      </w:pPr>
      <w:r>
        <w:rPr>
          <w:rFonts w:hint="eastAsia" w:ascii="仿宋" w:hAnsi="仿宋" w:eastAsia="仿宋" w:cs="仿宋"/>
          <w:b/>
          <w:bCs/>
          <w:sz w:val="24"/>
          <w:szCs w:val="24"/>
        </w:rPr>
        <w:t>附件一：工程质量保修书</w:t>
      </w:r>
    </w:p>
    <w:p>
      <w:pPr>
        <w:spacing w:line="360" w:lineRule="auto"/>
        <w:ind w:firstLine="482" w:firstLineChars="200"/>
        <w:jc w:val="center"/>
        <w:rPr>
          <w:rFonts w:ascii="仿宋" w:hAnsi="仿宋" w:eastAsia="仿宋"/>
          <w:b/>
          <w:bCs/>
          <w:sz w:val="24"/>
          <w:szCs w:val="24"/>
        </w:rPr>
      </w:pPr>
    </w:p>
    <w:p>
      <w:pPr>
        <w:spacing w:line="360" w:lineRule="auto"/>
        <w:jc w:val="center"/>
        <w:rPr>
          <w:rFonts w:ascii="仿宋" w:hAnsi="仿宋" w:eastAsia="仿宋"/>
          <w:b/>
          <w:bCs/>
          <w:sz w:val="24"/>
          <w:szCs w:val="24"/>
        </w:rPr>
      </w:pPr>
    </w:p>
    <w:p>
      <w:pPr>
        <w:spacing w:line="360" w:lineRule="auto"/>
        <w:jc w:val="center"/>
        <w:rPr>
          <w:rFonts w:ascii="仿宋" w:hAnsi="仿宋" w:eastAsia="仿宋"/>
          <w:sz w:val="24"/>
          <w:szCs w:val="24"/>
        </w:rPr>
      </w:pPr>
      <w:r>
        <w:rPr>
          <w:rFonts w:hint="eastAsia" w:ascii="仿宋" w:hAnsi="仿宋" w:eastAsia="仿宋" w:cs="仿宋"/>
          <w:b/>
          <w:bCs/>
          <w:sz w:val="24"/>
          <w:szCs w:val="24"/>
        </w:rPr>
        <w:t>工程质量保修书</w:t>
      </w:r>
    </w:p>
    <w:p>
      <w:pPr>
        <w:spacing w:line="360" w:lineRule="auto"/>
        <w:rPr>
          <w:rFonts w:ascii="宋体" w:hAnsi="宋体" w:cs="宋体"/>
          <w:color w:val="000000" w:themeColor="text1"/>
          <w:sz w:val="24"/>
          <w:szCs w:val="24"/>
          <w:u w:val="single"/>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发包人（全称）：</w:t>
      </w:r>
    </w:p>
    <w:p>
      <w:pPr>
        <w:spacing w:line="360" w:lineRule="auto"/>
        <w:rPr>
          <w:rFonts w:ascii="宋体" w:hAnsi="宋体" w:cs="宋体"/>
          <w:color w:val="000000" w:themeColor="text1"/>
          <w:sz w:val="24"/>
          <w:szCs w:val="24"/>
          <w:u w:val="single"/>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承包人（全称）：</w:t>
      </w:r>
    </w:p>
    <w:p>
      <w:pPr>
        <w:spacing w:line="360" w:lineRule="auto"/>
        <w:ind w:firstLine="480" w:firstLineChars="200"/>
        <w:rPr>
          <w:rFonts w:ascii="宋体" w:hAnsi="宋体" w:cs="宋体"/>
          <w:color w:val="000000" w:themeColor="text1"/>
          <w:sz w:val="24"/>
          <w:szCs w:val="24"/>
          <w:u w:val="single"/>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发包人、承包人根据《中华人民共和国建筑法》、《建设工程质量管理条例》和《房屋建筑工程质量保修办法》，经协商一致，对签订工程质量保修书。</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1、工程质量保修范围和内容</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承包人在质量保修期内，按照有关法律、法规、规章规定和双方约定，承担本工程质量保修责任。</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质量保修范围包括地基基础工程、主体结构工程，屋面防水工程、有防水要求的卫生间、房间和外墙面的防渗漏，供热与供冷系统，电气管线、给排水管道、设备安装和装修工程，以及双方约定的其他项目。具体保修的内容，双方约定如下：质保期：</w:t>
      </w:r>
      <w:r>
        <w:rPr>
          <w:rFonts w:hint="eastAsia" w:ascii="宋体" w:hAnsi="宋体" w:cs="宋体"/>
          <w:color w:val="000000" w:themeColor="text1"/>
          <w:sz w:val="24"/>
          <w:szCs w:val="24"/>
          <w:u w:val="single"/>
          <w14:textFill>
            <w14:solidFill>
              <w14:schemeClr w14:val="tx1"/>
            </w14:solidFill>
          </w14:textFill>
        </w:rPr>
        <w:t>详见《建设工程质量管理条例》第六章第39—42条。</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2、质量保修期</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2.1双方根据《建设工程质量管理条例》及有关规定，约定本工程的质量保修期如下：</w:t>
      </w:r>
    </w:p>
    <w:p>
      <w:pPr>
        <w:spacing w:line="360" w:lineRule="auto"/>
        <w:ind w:firstLine="360" w:firstLineChars="15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（1）基础设施工程、房屋建筑的地基基础工程和主体结构工程为设计文件规定的该工程合理使用年限；</w:t>
      </w:r>
    </w:p>
    <w:p>
      <w:pPr>
        <w:spacing w:line="360" w:lineRule="auto"/>
        <w:ind w:firstLine="342" w:firstLineChars="150"/>
        <w:rPr>
          <w:rFonts w:ascii="宋体" w:hAnsi="宋体" w:cs="宋体"/>
          <w:color w:val="000000" w:themeColor="text1"/>
          <w:spacing w:val="-6"/>
          <w:sz w:val="24"/>
          <w:szCs w:val="24"/>
          <w14:textFill>
            <w14:solidFill>
              <w14:schemeClr w14:val="tx1"/>
            </w14:solidFill>
          </w14:textFill>
        </w:rPr>
      </w:pPr>
      <w:r>
        <w:rPr>
          <w:rFonts w:hint="eastAsia" w:ascii="宋体" w:hAnsi="宋体" w:cs="宋体"/>
          <w:color w:val="000000" w:themeColor="text1"/>
          <w:spacing w:val="-6"/>
          <w:sz w:val="24"/>
          <w:szCs w:val="24"/>
          <w14:textFill>
            <w14:solidFill>
              <w14:schemeClr w14:val="tx1"/>
            </w14:solidFill>
          </w14:textFill>
        </w:rPr>
        <w:t>（2）屋面防水工程、有防水要求的卫生间、房间和外墙面的防渗漏为</w:t>
      </w:r>
      <w:r>
        <w:rPr>
          <w:rFonts w:hint="eastAsia" w:ascii="宋体" w:hAnsi="宋体" w:cs="宋体"/>
          <w:color w:val="000000" w:themeColor="text1"/>
          <w:spacing w:val="-6"/>
          <w:sz w:val="24"/>
          <w:szCs w:val="24"/>
          <w:u w:val="single"/>
          <w14:textFill>
            <w14:solidFill>
              <w14:schemeClr w14:val="tx1"/>
            </w14:solidFill>
          </w14:textFill>
        </w:rPr>
        <w:t>5</w:t>
      </w:r>
      <w:r>
        <w:rPr>
          <w:rFonts w:hint="eastAsia" w:ascii="宋体" w:hAnsi="宋体" w:cs="宋体"/>
          <w:color w:val="000000" w:themeColor="text1"/>
          <w:spacing w:val="-6"/>
          <w:sz w:val="24"/>
          <w:szCs w:val="24"/>
          <w14:textFill>
            <w14:solidFill>
              <w14:schemeClr w14:val="tx1"/>
            </w14:solidFill>
          </w14:textFill>
        </w:rPr>
        <w:t>年；</w:t>
      </w:r>
    </w:p>
    <w:p>
      <w:pPr>
        <w:spacing w:line="360" w:lineRule="auto"/>
        <w:ind w:firstLine="360" w:firstLineChars="15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（3）装修工程为</w:t>
      </w:r>
      <w:r>
        <w:rPr>
          <w:rFonts w:hint="eastAsia" w:ascii="宋体" w:hAnsi="宋体" w:cs="宋体"/>
          <w:color w:val="000000" w:themeColor="text1"/>
          <w:sz w:val="24"/>
          <w:szCs w:val="24"/>
          <w:u w:val="single"/>
          <w14:textFill>
            <w14:solidFill>
              <w14:schemeClr w14:val="tx1"/>
            </w14:solidFill>
          </w14:textFill>
        </w:rPr>
        <w:t>2</w:t>
      </w:r>
      <w:r>
        <w:rPr>
          <w:rFonts w:hint="eastAsia" w:ascii="宋体" w:hAnsi="宋体" w:cs="宋体"/>
          <w:color w:val="000000" w:themeColor="text1"/>
          <w:sz w:val="24"/>
          <w:szCs w:val="24"/>
          <w14:textFill>
            <w14:solidFill>
              <w14:schemeClr w14:val="tx1"/>
            </w14:solidFill>
          </w14:textFill>
        </w:rPr>
        <w:t>年；</w:t>
      </w:r>
    </w:p>
    <w:p>
      <w:pPr>
        <w:spacing w:line="360" w:lineRule="auto"/>
        <w:ind w:firstLine="360" w:firstLineChars="15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（4）供热与供冷系统为</w:t>
      </w:r>
      <w:r>
        <w:rPr>
          <w:rFonts w:hint="eastAsia" w:ascii="宋体" w:hAnsi="宋体" w:cs="宋体"/>
          <w:color w:val="000000" w:themeColor="text1"/>
          <w:sz w:val="24"/>
          <w:szCs w:val="24"/>
          <w:u w:val="single"/>
          <w14:textFill>
            <w14:solidFill>
              <w14:schemeClr w14:val="tx1"/>
            </w14:solidFill>
          </w14:textFill>
        </w:rPr>
        <w:t>2</w:t>
      </w:r>
      <w:r>
        <w:rPr>
          <w:rFonts w:hint="eastAsia" w:ascii="宋体" w:hAnsi="宋体" w:cs="宋体"/>
          <w:color w:val="000000" w:themeColor="text1"/>
          <w:sz w:val="24"/>
          <w:szCs w:val="24"/>
          <w14:textFill>
            <w14:solidFill>
              <w14:schemeClr w14:val="tx1"/>
            </w14:solidFill>
          </w14:textFill>
        </w:rPr>
        <w:t>个采暖期、供冷期；</w:t>
      </w:r>
    </w:p>
    <w:p>
      <w:pPr>
        <w:spacing w:line="360" w:lineRule="auto"/>
        <w:ind w:firstLine="360" w:firstLineChars="15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（5）电气管线、给排水管道、设备安装工程为</w:t>
      </w:r>
      <w:r>
        <w:rPr>
          <w:rFonts w:hint="eastAsia" w:ascii="宋体" w:hAnsi="宋体" w:cs="宋体"/>
          <w:color w:val="000000" w:themeColor="text1"/>
          <w:sz w:val="24"/>
          <w:szCs w:val="24"/>
          <w:u w:val="single"/>
          <w14:textFill>
            <w14:solidFill>
              <w14:schemeClr w14:val="tx1"/>
            </w14:solidFill>
          </w14:textFill>
        </w:rPr>
        <w:t>2</w:t>
      </w:r>
      <w:r>
        <w:rPr>
          <w:rFonts w:hint="eastAsia" w:ascii="宋体" w:hAnsi="宋体" w:cs="宋体"/>
          <w:color w:val="000000" w:themeColor="text1"/>
          <w:sz w:val="24"/>
          <w:szCs w:val="24"/>
          <w14:textFill>
            <w14:solidFill>
              <w14:schemeClr w14:val="tx1"/>
            </w14:solidFill>
          </w14:textFill>
        </w:rPr>
        <w:t>年；</w:t>
      </w:r>
    </w:p>
    <w:p>
      <w:pPr>
        <w:pStyle w:val="23"/>
        <w:spacing w:line="360" w:lineRule="auto"/>
        <w:ind w:firstLine="357" w:firstLineChars="149"/>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（6）住宅小区内的给排水设施、道路等配套工程为</w:t>
      </w:r>
      <w:r>
        <w:rPr>
          <w:rFonts w:hint="eastAsia" w:hAnsi="宋体"/>
          <w:color w:val="000000" w:themeColor="text1"/>
          <w:sz w:val="24"/>
          <w:szCs w:val="24"/>
          <w:u w:val="single"/>
          <w14:textFill>
            <w14:solidFill>
              <w14:schemeClr w14:val="tx1"/>
            </w14:solidFill>
          </w14:textFill>
        </w:rPr>
        <w:t>2</w:t>
      </w:r>
      <w:r>
        <w:rPr>
          <w:rFonts w:hint="eastAsia" w:hAnsi="宋体"/>
          <w:color w:val="000000" w:themeColor="text1"/>
          <w:sz w:val="24"/>
          <w:szCs w:val="24"/>
          <w14:textFill>
            <w14:solidFill>
              <w14:schemeClr w14:val="tx1"/>
            </w14:solidFill>
          </w14:textFill>
        </w:rPr>
        <w:t>年；</w:t>
      </w:r>
    </w:p>
    <w:p>
      <w:pPr>
        <w:pStyle w:val="23"/>
        <w:spacing w:line="360" w:lineRule="auto"/>
        <w:ind w:firstLine="357" w:firstLineChars="149"/>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（7）其他项目的保修期限为</w:t>
      </w:r>
      <w:r>
        <w:rPr>
          <w:rFonts w:hint="eastAsia" w:hAnsi="宋体"/>
          <w:color w:val="000000" w:themeColor="text1"/>
          <w:sz w:val="24"/>
          <w:szCs w:val="24"/>
          <w:u w:val="single"/>
          <w14:textFill>
            <w14:solidFill>
              <w14:schemeClr w14:val="tx1"/>
            </w14:solidFill>
          </w14:textFill>
        </w:rPr>
        <w:t xml:space="preserve">  2  </w:t>
      </w:r>
      <w:r>
        <w:rPr>
          <w:rFonts w:hint="eastAsia" w:hAnsi="宋体"/>
          <w:color w:val="000000" w:themeColor="text1"/>
          <w:sz w:val="24"/>
          <w:szCs w:val="24"/>
          <w14:textFill>
            <w14:solidFill>
              <w14:schemeClr w14:val="tx1"/>
            </w14:solidFill>
          </w14:textFill>
        </w:rPr>
        <w:t>年。</w:t>
      </w:r>
    </w:p>
    <w:p>
      <w:pPr>
        <w:spacing w:line="360" w:lineRule="auto"/>
        <w:ind w:firstLine="48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2.2 质量保修期自工程竣工验收合格之日起计算。</w:t>
      </w:r>
    </w:p>
    <w:p>
      <w:pPr>
        <w:spacing w:line="360" w:lineRule="auto"/>
        <w:ind w:firstLine="48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3、质量保修责任</w:t>
      </w:r>
    </w:p>
    <w:p>
      <w:pPr>
        <w:spacing w:line="360" w:lineRule="auto"/>
        <w:ind w:firstLine="48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3.1 属于保修范围、内容的项目，承包人应当在接到保修通知之日起7天内派人保修。承包人不在约定期限内派人保修的，发包人可以委托他人修理。</w:t>
      </w:r>
    </w:p>
    <w:p>
      <w:pPr>
        <w:spacing w:line="360" w:lineRule="auto"/>
        <w:ind w:firstLine="48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3.2 发生紧急抢修事故的，承包人在接到事故通知后，应当立即到达事故现场抢修。</w:t>
      </w:r>
    </w:p>
    <w:p>
      <w:pPr>
        <w:spacing w:line="360" w:lineRule="auto"/>
        <w:ind w:firstLine="48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3.3 对于涉及结构安全的质量问题，应当按照《房屋建筑工程质量保修办法》的规定，立即向当地建设行政主管部门报告，采取安全防范措施；由原设计单位或者具有相应资质等级的设计单位提出保修方案，承包人实施保修。</w:t>
      </w:r>
    </w:p>
    <w:p>
      <w:pPr>
        <w:spacing w:line="360" w:lineRule="auto"/>
        <w:ind w:firstLine="48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3.4 质量保修完成后，由发包人组织验收。</w:t>
      </w:r>
    </w:p>
    <w:p>
      <w:pPr>
        <w:spacing w:line="360" w:lineRule="auto"/>
        <w:ind w:firstLine="48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4、保修费用</w:t>
      </w:r>
    </w:p>
    <w:p>
      <w:pPr>
        <w:spacing w:line="360" w:lineRule="auto"/>
        <w:ind w:firstLine="48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4.1保修费用由造成质量缺陷的责任方承担。</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5、其他</w:t>
      </w:r>
    </w:p>
    <w:p>
      <w:pPr>
        <w:spacing w:line="360" w:lineRule="auto"/>
        <w:ind w:firstLine="480" w:firstLineChars="200"/>
        <w:outlineLvl w:val="0"/>
        <w:rPr>
          <w:rFonts w:ascii="宋体" w:hAnsi="宋体" w:cs="宋体"/>
          <w:color w:val="000000" w:themeColor="text1"/>
          <w:sz w:val="24"/>
          <w:szCs w:val="24"/>
          <w14:textFill>
            <w14:solidFill>
              <w14:schemeClr w14:val="tx1"/>
            </w14:solidFill>
          </w14:textFill>
        </w:rPr>
      </w:pPr>
      <w:bookmarkStart w:id="649" w:name="_Toc211643904"/>
      <w:bookmarkStart w:id="650" w:name="_Toc247945911"/>
      <w:bookmarkStart w:id="651" w:name="_Toc435626179"/>
      <w:bookmarkStart w:id="652" w:name="_Toc199318336"/>
      <w:bookmarkStart w:id="653" w:name="_Toc207526821"/>
      <w:r>
        <w:rPr>
          <w:rFonts w:hint="eastAsia" w:ascii="宋体" w:hAnsi="宋体" w:cs="宋体"/>
          <w:color w:val="000000" w:themeColor="text1"/>
          <w:sz w:val="24"/>
          <w:szCs w:val="24"/>
          <w14:textFill>
            <w14:solidFill>
              <w14:schemeClr w14:val="tx1"/>
            </w14:solidFill>
          </w14:textFill>
        </w:rPr>
        <w:t>5.1 双方约定的其他工程质量保修事项:</w:t>
      </w:r>
      <w:bookmarkEnd w:id="649"/>
      <w:bookmarkEnd w:id="650"/>
      <w:bookmarkEnd w:id="651"/>
      <w:bookmarkEnd w:id="652"/>
      <w:bookmarkEnd w:id="653"/>
    </w:p>
    <w:p>
      <w:pPr>
        <w:spacing w:line="360" w:lineRule="auto"/>
        <w:ind w:firstLine="56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质量保证金按工程竣工结算价的3%计算，质量保证金的退还按合同约定，不计利息。承包方接到保修通知书后三天内必须到场保修，否则发包方可请人保修，所发生的费用在保修金中支付。</w:t>
      </w:r>
    </w:p>
    <w:p>
      <w:pPr>
        <w:spacing w:line="360" w:lineRule="auto"/>
        <w:ind w:firstLine="480" w:firstLineChars="200"/>
        <w:outlineLvl w:val="0"/>
        <w:rPr>
          <w:rFonts w:ascii="宋体" w:hAnsi="宋体" w:cs="宋体"/>
          <w:color w:val="000000" w:themeColor="text1"/>
          <w:sz w:val="24"/>
          <w:szCs w:val="24"/>
          <w14:textFill>
            <w14:solidFill>
              <w14:schemeClr w14:val="tx1"/>
            </w14:solidFill>
          </w14:textFill>
        </w:rPr>
      </w:pPr>
      <w:bookmarkStart w:id="654" w:name="_Toc211643905"/>
      <w:bookmarkStart w:id="655" w:name="_Toc199318337"/>
      <w:bookmarkStart w:id="656" w:name="_Toc435626180"/>
      <w:bookmarkStart w:id="657" w:name="_Toc207526822"/>
      <w:bookmarkStart w:id="658" w:name="_Toc247945912"/>
      <w:r>
        <w:rPr>
          <w:rFonts w:hint="eastAsia" w:ascii="宋体" w:hAnsi="宋体" w:cs="宋体"/>
          <w:color w:val="000000" w:themeColor="text1"/>
          <w:sz w:val="24"/>
          <w:szCs w:val="24"/>
          <w14:textFill>
            <w14:solidFill>
              <w14:schemeClr w14:val="tx1"/>
            </w14:solidFill>
          </w14:textFill>
        </w:rPr>
        <w:t>5.2 本工程质量保修书,由施工合同发包人、承包人双方在竣工验收前共同签署，作为施工合同附件，其有效期限至保修期满。</w:t>
      </w:r>
      <w:bookmarkEnd w:id="654"/>
      <w:bookmarkEnd w:id="655"/>
      <w:bookmarkEnd w:id="656"/>
      <w:bookmarkEnd w:id="657"/>
      <w:bookmarkEnd w:id="658"/>
    </w:p>
    <w:p>
      <w:pPr>
        <w:spacing w:line="360" w:lineRule="auto"/>
        <w:rPr>
          <w:rFonts w:ascii="宋体" w:hAnsi="宋体" w:cs="宋体"/>
          <w:color w:val="000000" w:themeColor="text1"/>
          <w:sz w:val="24"/>
          <w:szCs w:val="24"/>
          <w14:textFill>
            <w14:solidFill>
              <w14:schemeClr w14:val="tx1"/>
            </w14:solidFill>
          </w14:textFill>
        </w:rPr>
      </w:pPr>
    </w:p>
    <w:p>
      <w:pPr>
        <w:spacing w:line="360" w:lineRule="auto"/>
        <w:rPr>
          <w:rFonts w:ascii="宋体" w:hAnsi="宋体" w:cs="宋体"/>
          <w:color w:val="000000" w:themeColor="text1"/>
          <w:sz w:val="24"/>
          <w:szCs w:val="24"/>
          <w14:textFill>
            <w14:solidFill>
              <w14:schemeClr w14:val="tx1"/>
            </w14:solidFill>
          </w14:textFill>
        </w:rPr>
      </w:pPr>
    </w:p>
    <w:p>
      <w:pPr>
        <w:spacing w:line="360" w:lineRule="auto"/>
        <w:rPr>
          <w:rFonts w:ascii="宋体" w:hAnsi="宋体" w:cs="宋体"/>
          <w:color w:val="000000" w:themeColor="text1"/>
          <w:sz w:val="24"/>
          <w:szCs w:val="24"/>
          <w14:textFill>
            <w14:solidFill>
              <w14:schemeClr w14:val="tx1"/>
            </w14:solidFill>
          </w14:textFill>
        </w:rPr>
      </w:pPr>
    </w:p>
    <w:p>
      <w:pPr>
        <w:spacing w:line="360" w:lineRule="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发包人（公章）：承包人（公章）：</w:t>
      </w:r>
    </w:p>
    <w:p>
      <w:pPr>
        <w:spacing w:line="360" w:lineRule="auto"/>
        <w:rPr>
          <w:rFonts w:ascii="宋体" w:hAnsi="宋体" w:cs="宋体"/>
          <w:color w:val="000000" w:themeColor="text1"/>
          <w:sz w:val="24"/>
          <w:szCs w:val="24"/>
          <w14:textFill>
            <w14:solidFill>
              <w14:schemeClr w14:val="tx1"/>
            </w14:solidFill>
          </w14:textFill>
        </w:rPr>
      </w:pPr>
    </w:p>
    <w:p>
      <w:pPr>
        <w:spacing w:line="360" w:lineRule="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法定代表人（签字）：法定代表人（签字）：</w:t>
      </w:r>
    </w:p>
    <w:p>
      <w:pPr>
        <w:spacing w:line="360" w:lineRule="auto"/>
        <w:rPr>
          <w:rFonts w:ascii="宋体" w:hAnsi="宋体" w:cs="宋体"/>
          <w:color w:val="000000" w:themeColor="text1"/>
          <w:sz w:val="24"/>
          <w:szCs w:val="24"/>
          <w14:textFill>
            <w14:solidFill>
              <w14:schemeClr w14:val="tx1"/>
            </w14:solidFill>
          </w14:textFill>
        </w:rPr>
      </w:pPr>
    </w:p>
    <w:p>
      <w:pPr>
        <w:autoSpaceDE w:val="0"/>
        <w:autoSpaceDN w:val="0"/>
        <w:adjustRightInd w:val="0"/>
        <w:spacing w:line="360" w:lineRule="auto"/>
        <w:ind w:firstLine="960" w:firstLineChars="400"/>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年月日年月日</w:t>
      </w:r>
    </w:p>
    <w:p>
      <w:pPr>
        <w:jc w:val="center"/>
        <w:rPr>
          <w:rFonts w:ascii="仿宋" w:hAnsi="仿宋" w:eastAsia="仿宋"/>
          <w:b/>
          <w:bCs/>
          <w:sz w:val="24"/>
          <w:szCs w:val="24"/>
        </w:rPr>
      </w:pPr>
    </w:p>
    <w:p>
      <w:pPr>
        <w:jc w:val="center"/>
        <w:rPr>
          <w:rFonts w:ascii="仿宋" w:hAnsi="仿宋" w:eastAsia="仿宋"/>
          <w:b/>
          <w:bCs/>
          <w:sz w:val="24"/>
          <w:szCs w:val="24"/>
        </w:rPr>
      </w:pPr>
    </w:p>
    <w:p>
      <w:pPr>
        <w:jc w:val="center"/>
        <w:rPr>
          <w:rFonts w:ascii="仿宋" w:hAnsi="仿宋" w:eastAsia="仿宋"/>
          <w:b/>
          <w:bCs/>
          <w:sz w:val="24"/>
          <w:szCs w:val="24"/>
        </w:rPr>
      </w:pPr>
    </w:p>
    <w:p>
      <w:pPr>
        <w:jc w:val="center"/>
        <w:rPr>
          <w:rFonts w:ascii="仿宋" w:hAnsi="仿宋" w:eastAsia="仿宋"/>
          <w:b/>
          <w:bCs/>
          <w:sz w:val="24"/>
          <w:szCs w:val="24"/>
        </w:rPr>
      </w:pPr>
    </w:p>
    <w:p>
      <w:pPr>
        <w:jc w:val="center"/>
        <w:rPr>
          <w:rFonts w:ascii="仿宋" w:hAnsi="仿宋" w:eastAsia="仿宋"/>
          <w:b/>
          <w:bCs/>
          <w:sz w:val="24"/>
          <w:szCs w:val="24"/>
        </w:rPr>
      </w:pPr>
    </w:p>
    <w:p>
      <w:pPr>
        <w:jc w:val="center"/>
        <w:rPr>
          <w:rFonts w:ascii="仿宋" w:hAnsi="仿宋" w:eastAsia="仿宋"/>
          <w:b/>
          <w:bCs/>
          <w:sz w:val="24"/>
          <w:szCs w:val="24"/>
        </w:rPr>
      </w:pPr>
    </w:p>
    <w:bookmarkEnd w:id="119"/>
    <w:p>
      <w:pPr>
        <w:spacing w:line="400" w:lineRule="exact"/>
        <w:rPr>
          <w:rFonts w:ascii="宋体"/>
          <w:b/>
          <w:bCs/>
          <w:sz w:val="30"/>
          <w:szCs w:val="30"/>
        </w:rPr>
      </w:pPr>
    </w:p>
    <w:p>
      <w:pPr>
        <w:pStyle w:val="39"/>
        <w:rPr>
          <w:rFonts w:ascii="仿宋" w:hAnsi="仿宋" w:eastAsia="仿宋" w:cs="Times New Roman"/>
        </w:rPr>
      </w:pPr>
      <w:bookmarkStart w:id="659" w:name="_Toc41037911"/>
      <w:r>
        <w:rPr>
          <w:rFonts w:hint="eastAsia" w:ascii="仿宋" w:hAnsi="仿宋" w:eastAsia="仿宋" w:cs="仿宋"/>
        </w:rPr>
        <w:t>第八章工程量清单和图纸</w:t>
      </w:r>
      <w:bookmarkEnd w:id="659"/>
    </w:p>
    <w:p>
      <w:pPr>
        <w:spacing w:line="360" w:lineRule="auto"/>
        <w:ind w:firstLine="560"/>
        <w:rPr>
          <w:rFonts w:ascii="宋体" w:hAnsi="宋体" w:cs="宋体"/>
          <w:color w:val="000000" w:themeColor="text1"/>
          <w:sz w:val="24"/>
          <w:szCs w:val="24"/>
          <w14:textFill>
            <w14:solidFill>
              <w14:schemeClr w14:val="tx1"/>
            </w14:solidFill>
          </w14:textFill>
        </w:rPr>
      </w:pPr>
    </w:p>
    <w:p>
      <w:pPr>
        <w:spacing w:line="360" w:lineRule="auto"/>
        <w:ind w:firstLine="56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工程量清单和图纸：详见公告中的附件。</w:t>
      </w:r>
    </w:p>
    <w:p/>
    <w:p/>
    <w:sectPr>
      <w:footerReference r:id="rId5" w:type="default"/>
      <w:pgSz w:w="11907" w:h="16840"/>
      <w:pgMar w:top="1134" w:right="1418" w:bottom="1134" w:left="1418" w:header="851" w:footer="992" w:gutter="0"/>
      <w:pgNumType w:fmt="numberInDash"/>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EFF" w:usb1="C000785B" w:usb2="00000009" w:usb3="00000000" w:csb0="400001FF" w:csb1="FFFF0000"/>
  </w:font>
  <w:font w:name="宋体">
    <w:panose1 w:val="02010600030101010101"/>
    <w:charset w:val="8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Tms Rmn">
    <w:altName w:val="Segoe Print"/>
    <w:panose1 w:val="02020603040505020304"/>
    <w:charset w:val="00"/>
    <w:family w:val="roman"/>
    <w:pitch w:val="default"/>
    <w:sig w:usb0="00000000" w:usb1="00000000" w:usb2="00000000" w:usb3="00000000" w:csb0="00000001"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jc w:val="center"/>
    </w:pPr>
    <w:r>
      <w:fldChar w:fldCharType="begin"/>
    </w:r>
    <w:r>
      <w:instrText xml:space="preserve"> PAGE   \* MERGEFORMAT </w:instrText>
    </w:r>
    <w:r>
      <w:fldChar w:fldCharType="separate"/>
    </w:r>
    <w:r>
      <w:rPr>
        <w:lang w:val="zh-CN"/>
      </w:rPr>
      <w:t>52</w:t>
    </w:r>
    <w:r>
      <w:rPr>
        <w:lang w:val="zh-CN"/>
      </w:rPr>
      <w:fldChar w:fldCharType="end"/>
    </w:r>
  </w:p>
  <w:p>
    <w:pPr>
      <w:pStyle w:val="28"/>
      <w:tabs>
        <w:tab w:val="center" w:pos="4533"/>
        <w:tab w:val="clear" w:pos="4153"/>
        <w:tab w:val="clear" w:pos="8306"/>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jc w:val="center"/>
    </w:pPr>
    <w:r>
      <w:fldChar w:fldCharType="begin"/>
    </w:r>
    <w:r>
      <w:instrText xml:space="preserve"> PAGE   \* MERGEFORMAT </w:instrText>
    </w:r>
    <w:r>
      <w:fldChar w:fldCharType="separate"/>
    </w:r>
    <w:r>
      <w:rPr>
        <w:lang w:val="zh-CN"/>
      </w:rPr>
      <w:t>-</w:t>
    </w:r>
    <w:r>
      <w:t xml:space="preserve"> 75 -</w:t>
    </w:r>
    <w:r>
      <w:fldChar w:fldCharType="end"/>
    </w:r>
  </w:p>
  <w:p>
    <w:pPr>
      <w:pStyle w:val="28"/>
      <w:rPr>
        <w:rFonts w:ascii="宋体"/>
        <w:sz w:val="28"/>
        <w:szCs w:val="28"/>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09B713"/>
    <w:multiLevelType w:val="singleLevel"/>
    <w:tmpl w:val="1E09B713"/>
    <w:lvl w:ilvl="0" w:tentative="0">
      <w:start w:val="1"/>
      <w:numFmt w:val="decimal"/>
      <w:suff w:val="nothing"/>
      <w:lvlText w:val="%1、"/>
      <w:lvlJc w:val="left"/>
    </w:lvl>
  </w:abstractNum>
  <w:abstractNum w:abstractNumId="1">
    <w:nsid w:val="1F59586A"/>
    <w:multiLevelType w:val="multilevel"/>
    <w:tmpl w:val="1F59586A"/>
    <w:lvl w:ilvl="0" w:tentative="0">
      <w:start w:val="1"/>
      <w:numFmt w:val="lowerLetter"/>
      <w:lvlText w:val="%1."/>
      <w:lvlJc w:val="left"/>
      <w:pPr>
        <w:ind w:left="1440" w:hanging="420"/>
      </w:pPr>
      <w:rPr>
        <w:rFonts w:hint="eastAsia"/>
      </w:rPr>
    </w:lvl>
    <w:lvl w:ilvl="1" w:tentative="0">
      <w:start w:val="1"/>
      <w:numFmt w:val="lowerLetter"/>
      <w:lvlText w:val="%2)"/>
      <w:lvlJc w:val="left"/>
      <w:pPr>
        <w:ind w:left="840" w:hanging="420"/>
      </w:pPr>
    </w:lvl>
    <w:lvl w:ilvl="2" w:tentative="0">
      <w:start w:val="1"/>
      <w:numFmt w:val="lowerLetter"/>
      <w:lvlText w:val="%3."/>
      <w:lvlJc w:val="right"/>
      <w:pPr>
        <w:ind w:left="1260" w:hanging="420"/>
      </w:pPr>
      <w:rPr>
        <w:rFonts w:hint="eastAsia"/>
      </w:r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6C1D755D"/>
    <w:multiLevelType w:val="multilevel"/>
    <w:tmpl w:val="6C1D755D"/>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750E7C1E"/>
    <w:multiLevelType w:val="multilevel"/>
    <w:tmpl w:val="750E7C1E"/>
    <w:lvl w:ilvl="0" w:tentative="0">
      <w:start w:val="1"/>
      <w:numFmt w:val="decimal"/>
      <w:suff w:val="space"/>
      <w:lvlText w:val="5.%1"/>
      <w:lvlJc w:val="left"/>
      <w:pPr>
        <w:ind w:left="900" w:hanging="420"/>
      </w:pPr>
      <w:rPr>
        <w:rFonts w:hint="default"/>
        <w:b w:val="0"/>
        <w:bCs w:val="0"/>
        <w:color w:val="auto"/>
      </w:rPr>
    </w:lvl>
    <w:lvl w:ilvl="1" w:tentative="0">
      <w:start w:val="1"/>
      <w:numFmt w:val="japaneseCounting"/>
      <w:lvlText w:val="（%2）"/>
      <w:lvlJc w:val="left"/>
      <w:pPr>
        <w:ind w:left="1620" w:hanging="720"/>
      </w:pPr>
      <w:rPr>
        <w:rFonts w:hint="default"/>
      </w:r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4">
    <w:nsid w:val="7B7F0ECB"/>
    <w:multiLevelType w:val="multilevel"/>
    <w:tmpl w:val="7B7F0ECB"/>
    <w:lvl w:ilvl="0" w:tentative="0">
      <w:start w:val="1"/>
      <w:numFmt w:val="decimal"/>
      <w:suff w:val="space"/>
      <w:lvlText w:val="6.%1"/>
      <w:lvlJc w:val="left"/>
      <w:pPr>
        <w:ind w:left="900" w:hanging="420"/>
      </w:pPr>
      <w:rPr>
        <w:rFonts w:hint="default"/>
        <w:b w:val="0"/>
        <w:bCs w:val="0"/>
        <w:color w:val="auto"/>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2"/>
  </w:num>
  <w:num w:numId="2">
    <w:abstractNumId w:val="0"/>
  </w:num>
  <w:num w:numId="3">
    <w:abstractNumId w:val="3"/>
  </w:num>
  <w:num w:numId="4">
    <w:abstractNumId w:val="4"/>
  </w:num>
  <w:num w:numId="5">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ts">
    <w15:presenceInfo w15:providerId="None" w15:userId="t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oNotHyphenateCaps/>
  <w:drawingGridHorizontalSpacing w:val="105"/>
  <w:drawingGridVerticalSpacing w:val="156"/>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M3MzFlYjE1ZDdmMjFhOTNiYjFmMmI1Y2FjZjVjM2EifQ=="/>
  </w:docVars>
  <w:rsids>
    <w:rsidRoot w:val="004963CF"/>
    <w:rsid w:val="000002C9"/>
    <w:rsid w:val="00001BA6"/>
    <w:rsid w:val="0000280D"/>
    <w:rsid w:val="000045B2"/>
    <w:rsid w:val="00005366"/>
    <w:rsid w:val="00005ED2"/>
    <w:rsid w:val="00006B76"/>
    <w:rsid w:val="00007C75"/>
    <w:rsid w:val="000118D6"/>
    <w:rsid w:val="00011D5F"/>
    <w:rsid w:val="000142E9"/>
    <w:rsid w:val="0001445E"/>
    <w:rsid w:val="00020ADD"/>
    <w:rsid w:val="00025453"/>
    <w:rsid w:val="000262DC"/>
    <w:rsid w:val="00026573"/>
    <w:rsid w:val="00027650"/>
    <w:rsid w:val="000320FB"/>
    <w:rsid w:val="0003490D"/>
    <w:rsid w:val="000350DB"/>
    <w:rsid w:val="000352C0"/>
    <w:rsid w:val="000353EC"/>
    <w:rsid w:val="00036A7C"/>
    <w:rsid w:val="000438EF"/>
    <w:rsid w:val="00043BB1"/>
    <w:rsid w:val="00043DEF"/>
    <w:rsid w:val="000445CD"/>
    <w:rsid w:val="00044D30"/>
    <w:rsid w:val="00045F05"/>
    <w:rsid w:val="00047A99"/>
    <w:rsid w:val="00047C44"/>
    <w:rsid w:val="0005216E"/>
    <w:rsid w:val="00052ECD"/>
    <w:rsid w:val="00056AF4"/>
    <w:rsid w:val="0005711D"/>
    <w:rsid w:val="00057788"/>
    <w:rsid w:val="000618F1"/>
    <w:rsid w:val="00063229"/>
    <w:rsid w:val="00065A79"/>
    <w:rsid w:val="00065B86"/>
    <w:rsid w:val="0006697F"/>
    <w:rsid w:val="0007022A"/>
    <w:rsid w:val="000759DF"/>
    <w:rsid w:val="00075C45"/>
    <w:rsid w:val="00076B9A"/>
    <w:rsid w:val="000771C9"/>
    <w:rsid w:val="000805C3"/>
    <w:rsid w:val="00080D90"/>
    <w:rsid w:val="00080EF8"/>
    <w:rsid w:val="00084B9B"/>
    <w:rsid w:val="00085618"/>
    <w:rsid w:val="00085C54"/>
    <w:rsid w:val="00086114"/>
    <w:rsid w:val="00090C38"/>
    <w:rsid w:val="00090C4E"/>
    <w:rsid w:val="00093573"/>
    <w:rsid w:val="000944CC"/>
    <w:rsid w:val="000944EF"/>
    <w:rsid w:val="000951CE"/>
    <w:rsid w:val="00097269"/>
    <w:rsid w:val="00097C46"/>
    <w:rsid w:val="000A08BB"/>
    <w:rsid w:val="000A12BE"/>
    <w:rsid w:val="000A4C23"/>
    <w:rsid w:val="000B079C"/>
    <w:rsid w:val="000B3B5D"/>
    <w:rsid w:val="000B3C8C"/>
    <w:rsid w:val="000B6537"/>
    <w:rsid w:val="000B6A3F"/>
    <w:rsid w:val="000B718E"/>
    <w:rsid w:val="000B73A7"/>
    <w:rsid w:val="000B7A9E"/>
    <w:rsid w:val="000B7D6B"/>
    <w:rsid w:val="000C10A0"/>
    <w:rsid w:val="000C166E"/>
    <w:rsid w:val="000C1FF6"/>
    <w:rsid w:val="000C339F"/>
    <w:rsid w:val="000C4C4B"/>
    <w:rsid w:val="000C65F1"/>
    <w:rsid w:val="000C6E82"/>
    <w:rsid w:val="000C7291"/>
    <w:rsid w:val="000C7397"/>
    <w:rsid w:val="000D0B1C"/>
    <w:rsid w:val="000D3DE4"/>
    <w:rsid w:val="000D4792"/>
    <w:rsid w:val="000D5227"/>
    <w:rsid w:val="000E170E"/>
    <w:rsid w:val="000E1C7E"/>
    <w:rsid w:val="000E6E78"/>
    <w:rsid w:val="000E7ED3"/>
    <w:rsid w:val="000F5193"/>
    <w:rsid w:val="000F6146"/>
    <w:rsid w:val="000F6963"/>
    <w:rsid w:val="0010372F"/>
    <w:rsid w:val="00103EF3"/>
    <w:rsid w:val="00104100"/>
    <w:rsid w:val="0010456F"/>
    <w:rsid w:val="00110935"/>
    <w:rsid w:val="00114F40"/>
    <w:rsid w:val="0011501C"/>
    <w:rsid w:val="00117428"/>
    <w:rsid w:val="001205C1"/>
    <w:rsid w:val="00122204"/>
    <w:rsid w:val="00122ABF"/>
    <w:rsid w:val="00123C23"/>
    <w:rsid w:val="001258F3"/>
    <w:rsid w:val="00125BDF"/>
    <w:rsid w:val="00125C11"/>
    <w:rsid w:val="00134E24"/>
    <w:rsid w:val="00135774"/>
    <w:rsid w:val="001360CC"/>
    <w:rsid w:val="0013636F"/>
    <w:rsid w:val="0013646E"/>
    <w:rsid w:val="00136E45"/>
    <w:rsid w:val="00137AD4"/>
    <w:rsid w:val="00137DBE"/>
    <w:rsid w:val="001430BB"/>
    <w:rsid w:val="00143782"/>
    <w:rsid w:val="0014617C"/>
    <w:rsid w:val="001461D2"/>
    <w:rsid w:val="00146917"/>
    <w:rsid w:val="001471E1"/>
    <w:rsid w:val="001514E9"/>
    <w:rsid w:val="00154637"/>
    <w:rsid w:val="00155709"/>
    <w:rsid w:val="00161605"/>
    <w:rsid w:val="001619E0"/>
    <w:rsid w:val="00163A7A"/>
    <w:rsid w:val="00163CFF"/>
    <w:rsid w:val="00163DCD"/>
    <w:rsid w:val="00164D5B"/>
    <w:rsid w:val="001673A2"/>
    <w:rsid w:val="001674F6"/>
    <w:rsid w:val="00167967"/>
    <w:rsid w:val="00170D1A"/>
    <w:rsid w:val="00171519"/>
    <w:rsid w:val="00175CB7"/>
    <w:rsid w:val="00177983"/>
    <w:rsid w:val="00180C7B"/>
    <w:rsid w:val="0018155B"/>
    <w:rsid w:val="001830FA"/>
    <w:rsid w:val="0018628A"/>
    <w:rsid w:val="00186F46"/>
    <w:rsid w:val="001870EF"/>
    <w:rsid w:val="001903C6"/>
    <w:rsid w:val="001908E4"/>
    <w:rsid w:val="0019108A"/>
    <w:rsid w:val="001917C3"/>
    <w:rsid w:val="001921F2"/>
    <w:rsid w:val="001952D1"/>
    <w:rsid w:val="00195CCF"/>
    <w:rsid w:val="00197003"/>
    <w:rsid w:val="00197F6D"/>
    <w:rsid w:val="001A3E74"/>
    <w:rsid w:val="001A4537"/>
    <w:rsid w:val="001A5C81"/>
    <w:rsid w:val="001A60FF"/>
    <w:rsid w:val="001A644E"/>
    <w:rsid w:val="001B0DDC"/>
    <w:rsid w:val="001B148F"/>
    <w:rsid w:val="001B21E6"/>
    <w:rsid w:val="001B3A88"/>
    <w:rsid w:val="001B3CF4"/>
    <w:rsid w:val="001B5643"/>
    <w:rsid w:val="001B6FD7"/>
    <w:rsid w:val="001C00B8"/>
    <w:rsid w:val="001C25E2"/>
    <w:rsid w:val="001C585F"/>
    <w:rsid w:val="001C5CD0"/>
    <w:rsid w:val="001C765F"/>
    <w:rsid w:val="001C7906"/>
    <w:rsid w:val="001C7AFA"/>
    <w:rsid w:val="001D1EC9"/>
    <w:rsid w:val="001D21A7"/>
    <w:rsid w:val="001D3D83"/>
    <w:rsid w:val="001D494E"/>
    <w:rsid w:val="001D4AFE"/>
    <w:rsid w:val="001D6B0D"/>
    <w:rsid w:val="001D7434"/>
    <w:rsid w:val="001D7D77"/>
    <w:rsid w:val="001E10B6"/>
    <w:rsid w:val="001E3951"/>
    <w:rsid w:val="001E4F12"/>
    <w:rsid w:val="001E78D3"/>
    <w:rsid w:val="001F0A7E"/>
    <w:rsid w:val="001F0C43"/>
    <w:rsid w:val="001F4A11"/>
    <w:rsid w:val="001F4B4F"/>
    <w:rsid w:val="001F50A2"/>
    <w:rsid w:val="001F5C93"/>
    <w:rsid w:val="002006F5"/>
    <w:rsid w:val="002009C2"/>
    <w:rsid w:val="00201B60"/>
    <w:rsid w:val="002043D9"/>
    <w:rsid w:val="002045CB"/>
    <w:rsid w:val="00205DD0"/>
    <w:rsid w:val="00206470"/>
    <w:rsid w:val="002123CA"/>
    <w:rsid w:val="002128A0"/>
    <w:rsid w:val="00215A5B"/>
    <w:rsid w:val="002214AB"/>
    <w:rsid w:val="002308E0"/>
    <w:rsid w:val="00231731"/>
    <w:rsid w:val="002319FD"/>
    <w:rsid w:val="00232525"/>
    <w:rsid w:val="002341E5"/>
    <w:rsid w:val="00234840"/>
    <w:rsid w:val="002354BF"/>
    <w:rsid w:val="00236ADB"/>
    <w:rsid w:val="00240ACF"/>
    <w:rsid w:val="00241DD7"/>
    <w:rsid w:val="00241FB1"/>
    <w:rsid w:val="00243EFE"/>
    <w:rsid w:val="00245735"/>
    <w:rsid w:val="002501A9"/>
    <w:rsid w:val="00251126"/>
    <w:rsid w:val="0025237B"/>
    <w:rsid w:val="00254D85"/>
    <w:rsid w:val="00255520"/>
    <w:rsid w:val="0025607A"/>
    <w:rsid w:val="002635E1"/>
    <w:rsid w:val="00263E4A"/>
    <w:rsid w:val="00266A70"/>
    <w:rsid w:val="002671EC"/>
    <w:rsid w:val="0026792F"/>
    <w:rsid w:val="00270166"/>
    <w:rsid w:val="0027420B"/>
    <w:rsid w:val="0027469A"/>
    <w:rsid w:val="00277FC7"/>
    <w:rsid w:val="00281F04"/>
    <w:rsid w:val="002879B4"/>
    <w:rsid w:val="00287FEF"/>
    <w:rsid w:val="00292EB2"/>
    <w:rsid w:val="00293195"/>
    <w:rsid w:val="00294D41"/>
    <w:rsid w:val="002951C3"/>
    <w:rsid w:val="00297E22"/>
    <w:rsid w:val="002A1CE0"/>
    <w:rsid w:val="002A1E25"/>
    <w:rsid w:val="002A20DF"/>
    <w:rsid w:val="002A70BB"/>
    <w:rsid w:val="002B4916"/>
    <w:rsid w:val="002B5DA8"/>
    <w:rsid w:val="002B78F0"/>
    <w:rsid w:val="002C138B"/>
    <w:rsid w:val="002C2FC5"/>
    <w:rsid w:val="002C4B42"/>
    <w:rsid w:val="002C4E6D"/>
    <w:rsid w:val="002C593F"/>
    <w:rsid w:val="002C5C0C"/>
    <w:rsid w:val="002C6271"/>
    <w:rsid w:val="002C675C"/>
    <w:rsid w:val="002C7030"/>
    <w:rsid w:val="002D1422"/>
    <w:rsid w:val="002D2264"/>
    <w:rsid w:val="002D4948"/>
    <w:rsid w:val="002D60CA"/>
    <w:rsid w:val="002E08D9"/>
    <w:rsid w:val="002E47D1"/>
    <w:rsid w:val="002E77EE"/>
    <w:rsid w:val="002E7B61"/>
    <w:rsid w:val="002F59B1"/>
    <w:rsid w:val="002F7B50"/>
    <w:rsid w:val="0030072D"/>
    <w:rsid w:val="00303F64"/>
    <w:rsid w:val="00304BB6"/>
    <w:rsid w:val="00304F79"/>
    <w:rsid w:val="003106B2"/>
    <w:rsid w:val="00311633"/>
    <w:rsid w:val="00311C55"/>
    <w:rsid w:val="0031394A"/>
    <w:rsid w:val="00313A80"/>
    <w:rsid w:val="003153A8"/>
    <w:rsid w:val="00315D8B"/>
    <w:rsid w:val="003178CB"/>
    <w:rsid w:val="00317B78"/>
    <w:rsid w:val="00317D06"/>
    <w:rsid w:val="003225BA"/>
    <w:rsid w:val="0032672E"/>
    <w:rsid w:val="00327C0C"/>
    <w:rsid w:val="00327DBD"/>
    <w:rsid w:val="003303C0"/>
    <w:rsid w:val="0033168C"/>
    <w:rsid w:val="00332C92"/>
    <w:rsid w:val="00333FDD"/>
    <w:rsid w:val="00334212"/>
    <w:rsid w:val="00334DFC"/>
    <w:rsid w:val="003361D1"/>
    <w:rsid w:val="0033631C"/>
    <w:rsid w:val="0033766F"/>
    <w:rsid w:val="0034034E"/>
    <w:rsid w:val="003417F8"/>
    <w:rsid w:val="00342009"/>
    <w:rsid w:val="003426D7"/>
    <w:rsid w:val="00344A9F"/>
    <w:rsid w:val="0034546C"/>
    <w:rsid w:val="003454D7"/>
    <w:rsid w:val="0034663D"/>
    <w:rsid w:val="003469FF"/>
    <w:rsid w:val="00346BEF"/>
    <w:rsid w:val="00346C0D"/>
    <w:rsid w:val="00346C9C"/>
    <w:rsid w:val="00355F0C"/>
    <w:rsid w:val="003562B1"/>
    <w:rsid w:val="003579D0"/>
    <w:rsid w:val="00360133"/>
    <w:rsid w:val="00361AB0"/>
    <w:rsid w:val="00364CD9"/>
    <w:rsid w:val="00365A72"/>
    <w:rsid w:val="00366093"/>
    <w:rsid w:val="0037038E"/>
    <w:rsid w:val="00372D82"/>
    <w:rsid w:val="00374B12"/>
    <w:rsid w:val="0037562C"/>
    <w:rsid w:val="00375AFF"/>
    <w:rsid w:val="003803E0"/>
    <w:rsid w:val="00381A6A"/>
    <w:rsid w:val="00383128"/>
    <w:rsid w:val="0038424D"/>
    <w:rsid w:val="0038506C"/>
    <w:rsid w:val="00391056"/>
    <w:rsid w:val="00391C6E"/>
    <w:rsid w:val="003946BC"/>
    <w:rsid w:val="00394768"/>
    <w:rsid w:val="003964FD"/>
    <w:rsid w:val="003A1458"/>
    <w:rsid w:val="003A2B58"/>
    <w:rsid w:val="003A3EBE"/>
    <w:rsid w:val="003A3ED5"/>
    <w:rsid w:val="003A63F4"/>
    <w:rsid w:val="003A6752"/>
    <w:rsid w:val="003A6ED3"/>
    <w:rsid w:val="003B2363"/>
    <w:rsid w:val="003B2462"/>
    <w:rsid w:val="003B4EFE"/>
    <w:rsid w:val="003B5A53"/>
    <w:rsid w:val="003B6A54"/>
    <w:rsid w:val="003B7C15"/>
    <w:rsid w:val="003C0005"/>
    <w:rsid w:val="003C0916"/>
    <w:rsid w:val="003C179C"/>
    <w:rsid w:val="003C3544"/>
    <w:rsid w:val="003C46EC"/>
    <w:rsid w:val="003C4E7E"/>
    <w:rsid w:val="003D067B"/>
    <w:rsid w:val="003D07F1"/>
    <w:rsid w:val="003D111B"/>
    <w:rsid w:val="003D1341"/>
    <w:rsid w:val="003D18C4"/>
    <w:rsid w:val="003D224D"/>
    <w:rsid w:val="003D378F"/>
    <w:rsid w:val="003D5440"/>
    <w:rsid w:val="003D6413"/>
    <w:rsid w:val="003D698E"/>
    <w:rsid w:val="003D6A42"/>
    <w:rsid w:val="003E25E3"/>
    <w:rsid w:val="003F3B66"/>
    <w:rsid w:val="003F6E87"/>
    <w:rsid w:val="003F71D0"/>
    <w:rsid w:val="003F7D73"/>
    <w:rsid w:val="0040095C"/>
    <w:rsid w:val="00400ADA"/>
    <w:rsid w:val="00400F8B"/>
    <w:rsid w:val="004014E2"/>
    <w:rsid w:val="00401858"/>
    <w:rsid w:val="00402669"/>
    <w:rsid w:val="00402CD6"/>
    <w:rsid w:val="00403C05"/>
    <w:rsid w:val="00404536"/>
    <w:rsid w:val="00404A9C"/>
    <w:rsid w:val="00405D80"/>
    <w:rsid w:val="004061B6"/>
    <w:rsid w:val="00410A8D"/>
    <w:rsid w:val="00414634"/>
    <w:rsid w:val="00417AD7"/>
    <w:rsid w:val="004213B7"/>
    <w:rsid w:val="00423461"/>
    <w:rsid w:val="00425BFC"/>
    <w:rsid w:val="00426A9B"/>
    <w:rsid w:val="0042738C"/>
    <w:rsid w:val="00427F2B"/>
    <w:rsid w:val="00430C54"/>
    <w:rsid w:val="004323B1"/>
    <w:rsid w:val="00432917"/>
    <w:rsid w:val="00434105"/>
    <w:rsid w:val="00434700"/>
    <w:rsid w:val="004348E7"/>
    <w:rsid w:val="00435F12"/>
    <w:rsid w:val="004363C4"/>
    <w:rsid w:val="00437B16"/>
    <w:rsid w:val="00437E7E"/>
    <w:rsid w:val="00437F74"/>
    <w:rsid w:val="00442AA5"/>
    <w:rsid w:val="00442FCA"/>
    <w:rsid w:val="00443672"/>
    <w:rsid w:val="004456BC"/>
    <w:rsid w:val="004467A5"/>
    <w:rsid w:val="004467BC"/>
    <w:rsid w:val="00446D90"/>
    <w:rsid w:val="00454CC8"/>
    <w:rsid w:val="00456B96"/>
    <w:rsid w:val="00464AAC"/>
    <w:rsid w:val="00465791"/>
    <w:rsid w:val="00471382"/>
    <w:rsid w:val="00471CDE"/>
    <w:rsid w:val="00472E4C"/>
    <w:rsid w:val="004738F5"/>
    <w:rsid w:val="00474760"/>
    <w:rsid w:val="00474A4C"/>
    <w:rsid w:val="00475CA4"/>
    <w:rsid w:val="004761FA"/>
    <w:rsid w:val="004777C5"/>
    <w:rsid w:val="0047791E"/>
    <w:rsid w:val="00480376"/>
    <w:rsid w:val="004803C2"/>
    <w:rsid w:val="00481777"/>
    <w:rsid w:val="00481AF0"/>
    <w:rsid w:val="004824AC"/>
    <w:rsid w:val="00482521"/>
    <w:rsid w:val="00482650"/>
    <w:rsid w:val="00482974"/>
    <w:rsid w:val="00482F3A"/>
    <w:rsid w:val="00485ABB"/>
    <w:rsid w:val="0048681D"/>
    <w:rsid w:val="00486B78"/>
    <w:rsid w:val="00487AC1"/>
    <w:rsid w:val="0049059C"/>
    <w:rsid w:val="00490C59"/>
    <w:rsid w:val="00491ECD"/>
    <w:rsid w:val="00492D02"/>
    <w:rsid w:val="00493269"/>
    <w:rsid w:val="004948F7"/>
    <w:rsid w:val="004951B2"/>
    <w:rsid w:val="00495EAC"/>
    <w:rsid w:val="004963CF"/>
    <w:rsid w:val="00496D41"/>
    <w:rsid w:val="004A02C0"/>
    <w:rsid w:val="004A0763"/>
    <w:rsid w:val="004A14C7"/>
    <w:rsid w:val="004A1EFE"/>
    <w:rsid w:val="004A2209"/>
    <w:rsid w:val="004A2E20"/>
    <w:rsid w:val="004A6A55"/>
    <w:rsid w:val="004A6CFC"/>
    <w:rsid w:val="004B0B86"/>
    <w:rsid w:val="004B1667"/>
    <w:rsid w:val="004B2429"/>
    <w:rsid w:val="004B30A8"/>
    <w:rsid w:val="004B477A"/>
    <w:rsid w:val="004C121E"/>
    <w:rsid w:val="004C1809"/>
    <w:rsid w:val="004C25EE"/>
    <w:rsid w:val="004C267B"/>
    <w:rsid w:val="004C31F7"/>
    <w:rsid w:val="004C3EF8"/>
    <w:rsid w:val="004C41D4"/>
    <w:rsid w:val="004C5693"/>
    <w:rsid w:val="004C572D"/>
    <w:rsid w:val="004C626C"/>
    <w:rsid w:val="004C67A5"/>
    <w:rsid w:val="004D027A"/>
    <w:rsid w:val="004D21AB"/>
    <w:rsid w:val="004D3BD4"/>
    <w:rsid w:val="004D3E29"/>
    <w:rsid w:val="004D6377"/>
    <w:rsid w:val="004D785A"/>
    <w:rsid w:val="004D7A52"/>
    <w:rsid w:val="004E03AD"/>
    <w:rsid w:val="004E12DB"/>
    <w:rsid w:val="004E1559"/>
    <w:rsid w:val="004E2ED0"/>
    <w:rsid w:val="004E3F87"/>
    <w:rsid w:val="004E4275"/>
    <w:rsid w:val="004E4EBD"/>
    <w:rsid w:val="004E502D"/>
    <w:rsid w:val="004F012B"/>
    <w:rsid w:val="004F04C5"/>
    <w:rsid w:val="004F28B3"/>
    <w:rsid w:val="004F2C27"/>
    <w:rsid w:val="004F2D9F"/>
    <w:rsid w:val="004F7EC8"/>
    <w:rsid w:val="00500ADA"/>
    <w:rsid w:val="005011F1"/>
    <w:rsid w:val="0050422D"/>
    <w:rsid w:val="005045AA"/>
    <w:rsid w:val="0050632B"/>
    <w:rsid w:val="00506B36"/>
    <w:rsid w:val="00511247"/>
    <w:rsid w:val="0051476C"/>
    <w:rsid w:val="005170A5"/>
    <w:rsid w:val="00520145"/>
    <w:rsid w:val="005224ED"/>
    <w:rsid w:val="00522F23"/>
    <w:rsid w:val="00523BB1"/>
    <w:rsid w:val="00525235"/>
    <w:rsid w:val="005257E2"/>
    <w:rsid w:val="00525ABD"/>
    <w:rsid w:val="00526333"/>
    <w:rsid w:val="00526787"/>
    <w:rsid w:val="00526EC5"/>
    <w:rsid w:val="00527A5D"/>
    <w:rsid w:val="00527CEF"/>
    <w:rsid w:val="00530AC8"/>
    <w:rsid w:val="00535242"/>
    <w:rsid w:val="00535B4B"/>
    <w:rsid w:val="00541304"/>
    <w:rsid w:val="00541E0D"/>
    <w:rsid w:val="00542BDD"/>
    <w:rsid w:val="00543B42"/>
    <w:rsid w:val="00545AC0"/>
    <w:rsid w:val="00547C3B"/>
    <w:rsid w:val="00550B53"/>
    <w:rsid w:val="00550D84"/>
    <w:rsid w:val="00550F27"/>
    <w:rsid w:val="0055230B"/>
    <w:rsid w:val="00566338"/>
    <w:rsid w:val="00567B83"/>
    <w:rsid w:val="00570A02"/>
    <w:rsid w:val="00573ED4"/>
    <w:rsid w:val="005741A3"/>
    <w:rsid w:val="00575979"/>
    <w:rsid w:val="00575D04"/>
    <w:rsid w:val="005766C7"/>
    <w:rsid w:val="00577E28"/>
    <w:rsid w:val="0058229D"/>
    <w:rsid w:val="005830B0"/>
    <w:rsid w:val="00584823"/>
    <w:rsid w:val="00584E64"/>
    <w:rsid w:val="0058612A"/>
    <w:rsid w:val="005901DD"/>
    <w:rsid w:val="00591103"/>
    <w:rsid w:val="0059321F"/>
    <w:rsid w:val="00596438"/>
    <w:rsid w:val="00597604"/>
    <w:rsid w:val="00597A44"/>
    <w:rsid w:val="005A1C32"/>
    <w:rsid w:val="005A211F"/>
    <w:rsid w:val="005A2E43"/>
    <w:rsid w:val="005B0083"/>
    <w:rsid w:val="005B0238"/>
    <w:rsid w:val="005B0BF1"/>
    <w:rsid w:val="005B1151"/>
    <w:rsid w:val="005B1814"/>
    <w:rsid w:val="005B21E3"/>
    <w:rsid w:val="005B7553"/>
    <w:rsid w:val="005B75E3"/>
    <w:rsid w:val="005C0EBF"/>
    <w:rsid w:val="005C6DC1"/>
    <w:rsid w:val="005C7991"/>
    <w:rsid w:val="005C7994"/>
    <w:rsid w:val="005D0CC2"/>
    <w:rsid w:val="005D0E49"/>
    <w:rsid w:val="005D16BA"/>
    <w:rsid w:val="005D326A"/>
    <w:rsid w:val="005D5133"/>
    <w:rsid w:val="005D5A58"/>
    <w:rsid w:val="005D6829"/>
    <w:rsid w:val="005D74D1"/>
    <w:rsid w:val="005D76CF"/>
    <w:rsid w:val="005E1006"/>
    <w:rsid w:val="005E178A"/>
    <w:rsid w:val="005E3748"/>
    <w:rsid w:val="005E3FE6"/>
    <w:rsid w:val="005E58C3"/>
    <w:rsid w:val="005F072A"/>
    <w:rsid w:val="005F082D"/>
    <w:rsid w:val="005F0A6B"/>
    <w:rsid w:val="005F37DA"/>
    <w:rsid w:val="005F5360"/>
    <w:rsid w:val="005F6C91"/>
    <w:rsid w:val="005F6EE1"/>
    <w:rsid w:val="005F709A"/>
    <w:rsid w:val="00600009"/>
    <w:rsid w:val="006054B4"/>
    <w:rsid w:val="00610785"/>
    <w:rsid w:val="00611C56"/>
    <w:rsid w:val="0061264B"/>
    <w:rsid w:val="0061340F"/>
    <w:rsid w:val="006153BA"/>
    <w:rsid w:val="00616DD2"/>
    <w:rsid w:val="006172A2"/>
    <w:rsid w:val="00617F62"/>
    <w:rsid w:val="00620F31"/>
    <w:rsid w:val="006210B4"/>
    <w:rsid w:val="00621765"/>
    <w:rsid w:val="00622975"/>
    <w:rsid w:val="0062363E"/>
    <w:rsid w:val="006240F5"/>
    <w:rsid w:val="00626F0F"/>
    <w:rsid w:val="0063150C"/>
    <w:rsid w:val="0063163D"/>
    <w:rsid w:val="00631927"/>
    <w:rsid w:val="00631994"/>
    <w:rsid w:val="006319C9"/>
    <w:rsid w:val="00635642"/>
    <w:rsid w:val="00635B24"/>
    <w:rsid w:val="00635E44"/>
    <w:rsid w:val="006367F8"/>
    <w:rsid w:val="00641535"/>
    <w:rsid w:val="006419A1"/>
    <w:rsid w:val="0064259D"/>
    <w:rsid w:val="00644966"/>
    <w:rsid w:val="00645411"/>
    <w:rsid w:val="00646734"/>
    <w:rsid w:val="00647B85"/>
    <w:rsid w:val="00653449"/>
    <w:rsid w:val="006547D5"/>
    <w:rsid w:val="00654A6A"/>
    <w:rsid w:val="0066294C"/>
    <w:rsid w:val="006662C3"/>
    <w:rsid w:val="006662D9"/>
    <w:rsid w:val="00666814"/>
    <w:rsid w:val="00666DF3"/>
    <w:rsid w:val="006728B1"/>
    <w:rsid w:val="0067569A"/>
    <w:rsid w:val="00675FC0"/>
    <w:rsid w:val="00681B80"/>
    <w:rsid w:val="00684FDE"/>
    <w:rsid w:val="00685B07"/>
    <w:rsid w:val="006879C6"/>
    <w:rsid w:val="006908CB"/>
    <w:rsid w:val="00692BB8"/>
    <w:rsid w:val="00694B8F"/>
    <w:rsid w:val="00695FFE"/>
    <w:rsid w:val="006972E5"/>
    <w:rsid w:val="00697650"/>
    <w:rsid w:val="006A1494"/>
    <w:rsid w:val="006A1D9C"/>
    <w:rsid w:val="006A6924"/>
    <w:rsid w:val="006A697C"/>
    <w:rsid w:val="006A6BD0"/>
    <w:rsid w:val="006A6F9A"/>
    <w:rsid w:val="006A7684"/>
    <w:rsid w:val="006B1DEA"/>
    <w:rsid w:val="006B4996"/>
    <w:rsid w:val="006B565C"/>
    <w:rsid w:val="006B697F"/>
    <w:rsid w:val="006B74C2"/>
    <w:rsid w:val="006C091C"/>
    <w:rsid w:val="006C1DE7"/>
    <w:rsid w:val="006C28E3"/>
    <w:rsid w:val="006C2925"/>
    <w:rsid w:val="006C4848"/>
    <w:rsid w:val="006C4E28"/>
    <w:rsid w:val="006C5032"/>
    <w:rsid w:val="006C6D59"/>
    <w:rsid w:val="006D2031"/>
    <w:rsid w:val="006D45FF"/>
    <w:rsid w:val="006D4FB4"/>
    <w:rsid w:val="006D58EF"/>
    <w:rsid w:val="006D7D20"/>
    <w:rsid w:val="006E2F57"/>
    <w:rsid w:val="006E3152"/>
    <w:rsid w:val="006E3F97"/>
    <w:rsid w:val="006E40BE"/>
    <w:rsid w:val="006F1D74"/>
    <w:rsid w:val="006F25AD"/>
    <w:rsid w:val="006F2F68"/>
    <w:rsid w:val="006F3CBC"/>
    <w:rsid w:val="006F5240"/>
    <w:rsid w:val="006F6A85"/>
    <w:rsid w:val="006F7CB3"/>
    <w:rsid w:val="0070006D"/>
    <w:rsid w:val="00700ADB"/>
    <w:rsid w:val="007024C5"/>
    <w:rsid w:val="00704ACE"/>
    <w:rsid w:val="00705EFB"/>
    <w:rsid w:val="00706FD2"/>
    <w:rsid w:val="00707171"/>
    <w:rsid w:val="00707B57"/>
    <w:rsid w:val="00707CC8"/>
    <w:rsid w:val="00710B43"/>
    <w:rsid w:val="00712414"/>
    <w:rsid w:val="007127D1"/>
    <w:rsid w:val="00712C9C"/>
    <w:rsid w:val="0071483A"/>
    <w:rsid w:val="007179EC"/>
    <w:rsid w:val="00720397"/>
    <w:rsid w:val="007213C7"/>
    <w:rsid w:val="00721509"/>
    <w:rsid w:val="00727C02"/>
    <w:rsid w:val="00731D8B"/>
    <w:rsid w:val="00732BF6"/>
    <w:rsid w:val="0073305A"/>
    <w:rsid w:val="00733C18"/>
    <w:rsid w:val="00735E22"/>
    <w:rsid w:val="007365B6"/>
    <w:rsid w:val="00736664"/>
    <w:rsid w:val="00736BD5"/>
    <w:rsid w:val="0074213A"/>
    <w:rsid w:val="00743808"/>
    <w:rsid w:val="0074425B"/>
    <w:rsid w:val="00744571"/>
    <w:rsid w:val="00746CBE"/>
    <w:rsid w:val="007473CE"/>
    <w:rsid w:val="00750071"/>
    <w:rsid w:val="0075300D"/>
    <w:rsid w:val="007547FD"/>
    <w:rsid w:val="00754988"/>
    <w:rsid w:val="00754996"/>
    <w:rsid w:val="00754F74"/>
    <w:rsid w:val="00755173"/>
    <w:rsid w:val="007555E6"/>
    <w:rsid w:val="00755910"/>
    <w:rsid w:val="0075591A"/>
    <w:rsid w:val="00755D75"/>
    <w:rsid w:val="0075776A"/>
    <w:rsid w:val="00760B0E"/>
    <w:rsid w:val="007626B3"/>
    <w:rsid w:val="0076313E"/>
    <w:rsid w:val="00764985"/>
    <w:rsid w:val="00767158"/>
    <w:rsid w:val="00770501"/>
    <w:rsid w:val="007708D0"/>
    <w:rsid w:val="00771A68"/>
    <w:rsid w:val="00774F0B"/>
    <w:rsid w:val="00780942"/>
    <w:rsid w:val="007819CC"/>
    <w:rsid w:val="00781A16"/>
    <w:rsid w:val="00787623"/>
    <w:rsid w:val="00787836"/>
    <w:rsid w:val="00791FB7"/>
    <w:rsid w:val="00792255"/>
    <w:rsid w:val="00792C89"/>
    <w:rsid w:val="00797F2B"/>
    <w:rsid w:val="007A3BA9"/>
    <w:rsid w:val="007A7CC8"/>
    <w:rsid w:val="007B105F"/>
    <w:rsid w:val="007B2D1C"/>
    <w:rsid w:val="007B3F84"/>
    <w:rsid w:val="007B600E"/>
    <w:rsid w:val="007B63C3"/>
    <w:rsid w:val="007B7199"/>
    <w:rsid w:val="007C12F0"/>
    <w:rsid w:val="007C4898"/>
    <w:rsid w:val="007C7282"/>
    <w:rsid w:val="007D24F1"/>
    <w:rsid w:val="007D27E3"/>
    <w:rsid w:val="007D2E33"/>
    <w:rsid w:val="007D449D"/>
    <w:rsid w:val="007D5E44"/>
    <w:rsid w:val="007D606E"/>
    <w:rsid w:val="007D64CD"/>
    <w:rsid w:val="007E051E"/>
    <w:rsid w:val="007E1F7D"/>
    <w:rsid w:val="007E4753"/>
    <w:rsid w:val="007E4A49"/>
    <w:rsid w:val="007E4C5F"/>
    <w:rsid w:val="007E5DBE"/>
    <w:rsid w:val="007E72BD"/>
    <w:rsid w:val="007E7C4E"/>
    <w:rsid w:val="007F1480"/>
    <w:rsid w:val="007F2519"/>
    <w:rsid w:val="007F303D"/>
    <w:rsid w:val="007F7D23"/>
    <w:rsid w:val="00801CE6"/>
    <w:rsid w:val="00801DAA"/>
    <w:rsid w:val="008025CC"/>
    <w:rsid w:val="00802AE5"/>
    <w:rsid w:val="00810E2C"/>
    <w:rsid w:val="00811B2B"/>
    <w:rsid w:val="0081218F"/>
    <w:rsid w:val="0081447C"/>
    <w:rsid w:val="00817B72"/>
    <w:rsid w:val="00821456"/>
    <w:rsid w:val="0082186F"/>
    <w:rsid w:val="00822B4F"/>
    <w:rsid w:val="00823241"/>
    <w:rsid w:val="00825FAC"/>
    <w:rsid w:val="008300F6"/>
    <w:rsid w:val="008307DA"/>
    <w:rsid w:val="00833196"/>
    <w:rsid w:val="00834A00"/>
    <w:rsid w:val="00834B80"/>
    <w:rsid w:val="00834E93"/>
    <w:rsid w:val="00835FAA"/>
    <w:rsid w:val="008364B3"/>
    <w:rsid w:val="0084669E"/>
    <w:rsid w:val="008468BF"/>
    <w:rsid w:val="008473C6"/>
    <w:rsid w:val="0085332F"/>
    <w:rsid w:val="008534FD"/>
    <w:rsid w:val="00857D2B"/>
    <w:rsid w:val="008602DA"/>
    <w:rsid w:val="00861A09"/>
    <w:rsid w:val="00861B87"/>
    <w:rsid w:val="00861CCA"/>
    <w:rsid w:val="00862A03"/>
    <w:rsid w:val="00862B91"/>
    <w:rsid w:val="00867DBC"/>
    <w:rsid w:val="00867DBF"/>
    <w:rsid w:val="00871711"/>
    <w:rsid w:val="00872DAB"/>
    <w:rsid w:val="00872FAE"/>
    <w:rsid w:val="00873F7B"/>
    <w:rsid w:val="00874490"/>
    <w:rsid w:val="00876212"/>
    <w:rsid w:val="008767CF"/>
    <w:rsid w:val="00880FBC"/>
    <w:rsid w:val="00883451"/>
    <w:rsid w:val="00883718"/>
    <w:rsid w:val="0088456C"/>
    <w:rsid w:val="00887496"/>
    <w:rsid w:val="00890B3C"/>
    <w:rsid w:val="00891D4F"/>
    <w:rsid w:val="00892F38"/>
    <w:rsid w:val="00893370"/>
    <w:rsid w:val="008934AB"/>
    <w:rsid w:val="008A02D8"/>
    <w:rsid w:val="008A09DA"/>
    <w:rsid w:val="008A1654"/>
    <w:rsid w:val="008A572D"/>
    <w:rsid w:val="008A6AAE"/>
    <w:rsid w:val="008B17DE"/>
    <w:rsid w:val="008B235F"/>
    <w:rsid w:val="008B33EE"/>
    <w:rsid w:val="008B45FF"/>
    <w:rsid w:val="008B4D5C"/>
    <w:rsid w:val="008B53A7"/>
    <w:rsid w:val="008B6027"/>
    <w:rsid w:val="008C0F07"/>
    <w:rsid w:val="008C1C7C"/>
    <w:rsid w:val="008C2D28"/>
    <w:rsid w:val="008C35B7"/>
    <w:rsid w:val="008C3EC4"/>
    <w:rsid w:val="008C50FB"/>
    <w:rsid w:val="008D0544"/>
    <w:rsid w:val="008D20D2"/>
    <w:rsid w:val="008D30E0"/>
    <w:rsid w:val="008D66A4"/>
    <w:rsid w:val="008D6DE8"/>
    <w:rsid w:val="008E1560"/>
    <w:rsid w:val="008E4F81"/>
    <w:rsid w:val="008E5B79"/>
    <w:rsid w:val="008E76F9"/>
    <w:rsid w:val="008E7B06"/>
    <w:rsid w:val="008F3394"/>
    <w:rsid w:val="008F3C56"/>
    <w:rsid w:val="008F3EAE"/>
    <w:rsid w:val="009024CB"/>
    <w:rsid w:val="00902A91"/>
    <w:rsid w:val="00903C2D"/>
    <w:rsid w:val="00905BDE"/>
    <w:rsid w:val="00906F56"/>
    <w:rsid w:val="0091013D"/>
    <w:rsid w:val="009104E4"/>
    <w:rsid w:val="00910DBE"/>
    <w:rsid w:val="00913CF5"/>
    <w:rsid w:val="00916ABC"/>
    <w:rsid w:val="00917665"/>
    <w:rsid w:val="009203F9"/>
    <w:rsid w:val="00921887"/>
    <w:rsid w:val="00921CA4"/>
    <w:rsid w:val="0092677C"/>
    <w:rsid w:val="00927194"/>
    <w:rsid w:val="00931770"/>
    <w:rsid w:val="00932363"/>
    <w:rsid w:val="0094011F"/>
    <w:rsid w:val="009401D9"/>
    <w:rsid w:val="00942784"/>
    <w:rsid w:val="00943C4E"/>
    <w:rsid w:val="00943E92"/>
    <w:rsid w:val="00943FC8"/>
    <w:rsid w:val="009440C9"/>
    <w:rsid w:val="009453FA"/>
    <w:rsid w:val="00946A45"/>
    <w:rsid w:val="009474C6"/>
    <w:rsid w:val="009474E7"/>
    <w:rsid w:val="00947E30"/>
    <w:rsid w:val="00951825"/>
    <w:rsid w:val="00956184"/>
    <w:rsid w:val="00956A88"/>
    <w:rsid w:val="00957376"/>
    <w:rsid w:val="009576C4"/>
    <w:rsid w:val="009603F0"/>
    <w:rsid w:val="00965C41"/>
    <w:rsid w:val="00966CFD"/>
    <w:rsid w:val="009705E8"/>
    <w:rsid w:val="00971C36"/>
    <w:rsid w:val="009738A3"/>
    <w:rsid w:val="00975EA1"/>
    <w:rsid w:val="0097642A"/>
    <w:rsid w:val="00976D3F"/>
    <w:rsid w:val="00977185"/>
    <w:rsid w:val="00977A7F"/>
    <w:rsid w:val="0098092B"/>
    <w:rsid w:val="00981E9D"/>
    <w:rsid w:val="00982169"/>
    <w:rsid w:val="00982F22"/>
    <w:rsid w:val="009837B6"/>
    <w:rsid w:val="00983C8D"/>
    <w:rsid w:val="00987329"/>
    <w:rsid w:val="009902C2"/>
    <w:rsid w:val="00993C92"/>
    <w:rsid w:val="00995C35"/>
    <w:rsid w:val="009A4C77"/>
    <w:rsid w:val="009A525E"/>
    <w:rsid w:val="009B187A"/>
    <w:rsid w:val="009B2C44"/>
    <w:rsid w:val="009B6D34"/>
    <w:rsid w:val="009B73D0"/>
    <w:rsid w:val="009C2043"/>
    <w:rsid w:val="009C3725"/>
    <w:rsid w:val="009C3A75"/>
    <w:rsid w:val="009C3AB8"/>
    <w:rsid w:val="009C4562"/>
    <w:rsid w:val="009C4F72"/>
    <w:rsid w:val="009C5991"/>
    <w:rsid w:val="009C5AA8"/>
    <w:rsid w:val="009C5C44"/>
    <w:rsid w:val="009D000D"/>
    <w:rsid w:val="009D18F6"/>
    <w:rsid w:val="009D494D"/>
    <w:rsid w:val="009D7704"/>
    <w:rsid w:val="009D7ABD"/>
    <w:rsid w:val="009E0BDB"/>
    <w:rsid w:val="009E136E"/>
    <w:rsid w:val="009E28E0"/>
    <w:rsid w:val="009E2CCC"/>
    <w:rsid w:val="009E2E93"/>
    <w:rsid w:val="009E5CCC"/>
    <w:rsid w:val="009F18E5"/>
    <w:rsid w:val="009F1ADB"/>
    <w:rsid w:val="009F75FC"/>
    <w:rsid w:val="00A002FC"/>
    <w:rsid w:val="00A025A1"/>
    <w:rsid w:val="00A03E61"/>
    <w:rsid w:val="00A05154"/>
    <w:rsid w:val="00A12C0D"/>
    <w:rsid w:val="00A15330"/>
    <w:rsid w:val="00A15481"/>
    <w:rsid w:val="00A17B37"/>
    <w:rsid w:val="00A2276B"/>
    <w:rsid w:val="00A22FAF"/>
    <w:rsid w:val="00A23670"/>
    <w:rsid w:val="00A239CB"/>
    <w:rsid w:val="00A25F5D"/>
    <w:rsid w:val="00A2775B"/>
    <w:rsid w:val="00A309A7"/>
    <w:rsid w:val="00A40144"/>
    <w:rsid w:val="00A41D59"/>
    <w:rsid w:val="00A43059"/>
    <w:rsid w:val="00A4627B"/>
    <w:rsid w:val="00A47A6E"/>
    <w:rsid w:val="00A5027D"/>
    <w:rsid w:val="00A50495"/>
    <w:rsid w:val="00A51FC4"/>
    <w:rsid w:val="00A52B39"/>
    <w:rsid w:val="00A53D5A"/>
    <w:rsid w:val="00A546DC"/>
    <w:rsid w:val="00A55E23"/>
    <w:rsid w:val="00A571C4"/>
    <w:rsid w:val="00A574CF"/>
    <w:rsid w:val="00A5786D"/>
    <w:rsid w:val="00A60D54"/>
    <w:rsid w:val="00A630D2"/>
    <w:rsid w:val="00A63127"/>
    <w:rsid w:val="00A65878"/>
    <w:rsid w:val="00A66F38"/>
    <w:rsid w:val="00A7043C"/>
    <w:rsid w:val="00A70485"/>
    <w:rsid w:val="00A73908"/>
    <w:rsid w:val="00A76D01"/>
    <w:rsid w:val="00A772EB"/>
    <w:rsid w:val="00A77547"/>
    <w:rsid w:val="00A77660"/>
    <w:rsid w:val="00A80686"/>
    <w:rsid w:val="00A83F77"/>
    <w:rsid w:val="00A84003"/>
    <w:rsid w:val="00A857D2"/>
    <w:rsid w:val="00A86CCD"/>
    <w:rsid w:val="00A903D2"/>
    <w:rsid w:val="00A90654"/>
    <w:rsid w:val="00A962F5"/>
    <w:rsid w:val="00A9695B"/>
    <w:rsid w:val="00AA14C2"/>
    <w:rsid w:val="00AA55DC"/>
    <w:rsid w:val="00AB0590"/>
    <w:rsid w:val="00AB182D"/>
    <w:rsid w:val="00AB2538"/>
    <w:rsid w:val="00AB6A10"/>
    <w:rsid w:val="00AC11A4"/>
    <w:rsid w:val="00AC180A"/>
    <w:rsid w:val="00AC34BE"/>
    <w:rsid w:val="00AC4D8D"/>
    <w:rsid w:val="00AC524B"/>
    <w:rsid w:val="00AC6041"/>
    <w:rsid w:val="00AC61F4"/>
    <w:rsid w:val="00AC6A28"/>
    <w:rsid w:val="00AC6EF4"/>
    <w:rsid w:val="00AC700D"/>
    <w:rsid w:val="00AD0794"/>
    <w:rsid w:val="00AD2DAA"/>
    <w:rsid w:val="00AD3A82"/>
    <w:rsid w:val="00AD4502"/>
    <w:rsid w:val="00AD4C8E"/>
    <w:rsid w:val="00AD5082"/>
    <w:rsid w:val="00AD537C"/>
    <w:rsid w:val="00AD69FD"/>
    <w:rsid w:val="00AE06DA"/>
    <w:rsid w:val="00AE1D42"/>
    <w:rsid w:val="00AE1E2C"/>
    <w:rsid w:val="00AE2ECB"/>
    <w:rsid w:val="00AE3590"/>
    <w:rsid w:val="00AE3A68"/>
    <w:rsid w:val="00AE415B"/>
    <w:rsid w:val="00AE5FEB"/>
    <w:rsid w:val="00AF0008"/>
    <w:rsid w:val="00AF0981"/>
    <w:rsid w:val="00AF58B0"/>
    <w:rsid w:val="00AF5921"/>
    <w:rsid w:val="00AF62D3"/>
    <w:rsid w:val="00B004A7"/>
    <w:rsid w:val="00B00614"/>
    <w:rsid w:val="00B00BF5"/>
    <w:rsid w:val="00B01D5A"/>
    <w:rsid w:val="00B01F64"/>
    <w:rsid w:val="00B051BF"/>
    <w:rsid w:val="00B0665F"/>
    <w:rsid w:val="00B076D5"/>
    <w:rsid w:val="00B07D19"/>
    <w:rsid w:val="00B1082B"/>
    <w:rsid w:val="00B12650"/>
    <w:rsid w:val="00B12D97"/>
    <w:rsid w:val="00B135E0"/>
    <w:rsid w:val="00B15B19"/>
    <w:rsid w:val="00B17A9F"/>
    <w:rsid w:val="00B231E5"/>
    <w:rsid w:val="00B24FEC"/>
    <w:rsid w:val="00B254CC"/>
    <w:rsid w:val="00B2578C"/>
    <w:rsid w:val="00B25B01"/>
    <w:rsid w:val="00B25C05"/>
    <w:rsid w:val="00B2689D"/>
    <w:rsid w:val="00B30284"/>
    <w:rsid w:val="00B318C1"/>
    <w:rsid w:val="00B327FB"/>
    <w:rsid w:val="00B331B6"/>
    <w:rsid w:val="00B4387F"/>
    <w:rsid w:val="00B43B12"/>
    <w:rsid w:val="00B43CFC"/>
    <w:rsid w:val="00B4723E"/>
    <w:rsid w:val="00B50D61"/>
    <w:rsid w:val="00B55298"/>
    <w:rsid w:val="00B55F8F"/>
    <w:rsid w:val="00B56D29"/>
    <w:rsid w:val="00B6621A"/>
    <w:rsid w:val="00B667B7"/>
    <w:rsid w:val="00B71050"/>
    <w:rsid w:val="00B71B54"/>
    <w:rsid w:val="00B71E21"/>
    <w:rsid w:val="00B73BDF"/>
    <w:rsid w:val="00B73FAA"/>
    <w:rsid w:val="00B75582"/>
    <w:rsid w:val="00B7702A"/>
    <w:rsid w:val="00B803EC"/>
    <w:rsid w:val="00B81AF0"/>
    <w:rsid w:val="00B82BE7"/>
    <w:rsid w:val="00B8325B"/>
    <w:rsid w:val="00B832CC"/>
    <w:rsid w:val="00B86024"/>
    <w:rsid w:val="00B86570"/>
    <w:rsid w:val="00B865C7"/>
    <w:rsid w:val="00B8697A"/>
    <w:rsid w:val="00B91E16"/>
    <w:rsid w:val="00B92B3B"/>
    <w:rsid w:val="00B9376C"/>
    <w:rsid w:val="00B96371"/>
    <w:rsid w:val="00BA441B"/>
    <w:rsid w:val="00BA5AEA"/>
    <w:rsid w:val="00BA61C8"/>
    <w:rsid w:val="00BA6A00"/>
    <w:rsid w:val="00BA7368"/>
    <w:rsid w:val="00BA7774"/>
    <w:rsid w:val="00BA7B49"/>
    <w:rsid w:val="00BB14AA"/>
    <w:rsid w:val="00BB16A4"/>
    <w:rsid w:val="00BB4054"/>
    <w:rsid w:val="00BB405C"/>
    <w:rsid w:val="00BB46B5"/>
    <w:rsid w:val="00BB7CDA"/>
    <w:rsid w:val="00BB7DD0"/>
    <w:rsid w:val="00BC24E5"/>
    <w:rsid w:val="00BC3250"/>
    <w:rsid w:val="00BC489C"/>
    <w:rsid w:val="00BC5035"/>
    <w:rsid w:val="00BC611C"/>
    <w:rsid w:val="00BC7333"/>
    <w:rsid w:val="00BC7955"/>
    <w:rsid w:val="00BD096D"/>
    <w:rsid w:val="00BD385F"/>
    <w:rsid w:val="00BD7641"/>
    <w:rsid w:val="00BE09E0"/>
    <w:rsid w:val="00BE6519"/>
    <w:rsid w:val="00BE70C8"/>
    <w:rsid w:val="00BE7693"/>
    <w:rsid w:val="00BF0491"/>
    <w:rsid w:val="00BF1657"/>
    <w:rsid w:val="00BF3168"/>
    <w:rsid w:val="00BF36D1"/>
    <w:rsid w:val="00BF762C"/>
    <w:rsid w:val="00BF7963"/>
    <w:rsid w:val="00C0298C"/>
    <w:rsid w:val="00C044C0"/>
    <w:rsid w:val="00C06A67"/>
    <w:rsid w:val="00C07A57"/>
    <w:rsid w:val="00C10A88"/>
    <w:rsid w:val="00C138CA"/>
    <w:rsid w:val="00C15543"/>
    <w:rsid w:val="00C15785"/>
    <w:rsid w:val="00C16C57"/>
    <w:rsid w:val="00C1754E"/>
    <w:rsid w:val="00C17E14"/>
    <w:rsid w:val="00C20F31"/>
    <w:rsid w:val="00C25A91"/>
    <w:rsid w:val="00C25E70"/>
    <w:rsid w:val="00C30144"/>
    <w:rsid w:val="00C30867"/>
    <w:rsid w:val="00C33A40"/>
    <w:rsid w:val="00C33B6B"/>
    <w:rsid w:val="00C35CAE"/>
    <w:rsid w:val="00C368A3"/>
    <w:rsid w:val="00C3723C"/>
    <w:rsid w:val="00C4080F"/>
    <w:rsid w:val="00C50B1F"/>
    <w:rsid w:val="00C50BFC"/>
    <w:rsid w:val="00C51592"/>
    <w:rsid w:val="00C51F92"/>
    <w:rsid w:val="00C52358"/>
    <w:rsid w:val="00C525B8"/>
    <w:rsid w:val="00C534CB"/>
    <w:rsid w:val="00C53947"/>
    <w:rsid w:val="00C557AF"/>
    <w:rsid w:val="00C56461"/>
    <w:rsid w:val="00C57C5E"/>
    <w:rsid w:val="00C60132"/>
    <w:rsid w:val="00C628C1"/>
    <w:rsid w:val="00C629A7"/>
    <w:rsid w:val="00C62A58"/>
    <w:rsid w:val="00C633BA"/>
    <w:rsid w:val="00C6362A"/>
    <w:rsid w:val="00C6526C"/>
    <w:rsid w:val="00C658D1"/>
    <w:rsid w:val="00C6599F"/>
    <w:rsid w:val="00C6640E"/>
    <w:rsid w:val="00C67346"/>
    <w:rsid w:val="00C7578A"/>
    <w:rsid w:val="00C76600"/>
    <w:rsid w:val="00C80EF3"/>
    <w:rsid w:val="00C812A6"/>
    <w:rsid w:val="00C82C0F"/>
    <w:rsid w:val="00C835FF"/>
    <w:rsid w:val="00C83728"/>
    <w:rsid w:val="00C85AC4"/>
    <w:rsid w:val="00C873A5"/>
    <w:rsid w:val="00C87AC4"/>
    <w:rsid w:val="00C92CD3"/>
    <w:rsid w:val="00C9313D"/>
    <w:rsid w:val="00CA13F9"/>
    <w:rsid w:val="00CA3CC2"/>
    <w:rsid w:val="00CA6FF2"/>
    <w:rsid w:val="00CB10E1"/>
    <w:rsid w:val="00CB2246"/>
    <w:rsid w:val="00CB4FF8"/>
    <w:rsid w:val="00CB549B"/>
    <w:rsid w:val="00CC0153"/>
    <w:rsid w:val="00CC0833"/>
    <w:rsid w:val="00CC1C97"/>
    <w:rsid w:val="00CC251A"/>
    <w:rsid w:val="00CC2F37"/>
    <w:rsid w:val="00CD0722"/>
    <w:rsid w:val="00CD2799"/>
    <w:rsid w:val="00CD3A30"/>
    <w:rsid w:val="00CD431D"/>
    <w:rsid w:val="00CD43B4"/>
    <w:rsid w:val="00CD5805"/>
    <w:rsid w:val="00CD613A"/>
    <w:rsid w:val="00CD6A22"/>
    <w:rsid w:val="00CD7023"/>
    <w:rsid w:val="00CE33EC"/>
    <w:rsid w:val="00CE4D89"/>
    <w:rsid w:val="00CE750A"/>
    <w:rsid w:val="00CF0685"/>
    <w:rsid w:val="00CF1405"/>
    <w:rsid w:val="00D02EE6"/>
    <w:rsid w:val="00D04054"/>
    <w:rsid w:val="00D043E5"/>
    <w:rsid w:val="00D050F6"/>
    <w:rsid w:val="00D05CEA"/>
    <w:rsid w:val="00D06754"/>
    <w:rsid w:val="00D07170"/>
    <w:rsid w:val="00D075BD"/>
    <w:rsid w:val="00D078ED"/>
    <w:rsid w:val="00D11350"/>
    <w:rsid w:val="00D13D61"/>
    <w:rsid w:val="00D14CCE"/>
    <w:rsid w:val="00D23343"/>
    <w:rsid w:val="00D24495"/>
    <w:rsid w:val="00D24B29"/>
    <w:rsid w:val="00D25ABA"/>
    <w:rsid w:val="00D262EA"/>
    <w:rsid w:val="00D26901"/>
    <w:rsid w:val="00D27EE3"/>
    <w:rsid w:val="00D35DBE"/>
    <w:rsid w:val="00D37552"/>
    <w:rsid w:val="00D40D9B"/>
    <w:rsid w:val="00D41F1B"/>
    <w:rsid w:val="00D43929"/>
    <w:rsid w:val="00D43DDB"/>
    <w:rsid w:val="00D45C92"/>
    <w:rsid w:val="00D46931"/>
    <w:rsid w:val="00D46D54"/>
    <w:rsid w:val="00D51A0D"/>
    <w:rsid w:val="00D52443"/>
    <w:rsid w:val="00D527F5"/>
    <w:rsid w:val="00D53C31"/>
    <w:rsid w:val="00D54C51"/>
    <w:rsid w:val="00D55C2A"/>
    <w:rsid w:val="00D57607"/>
    <w:rsid w:val="00D611D0"/>
    <w:rsid w:val="00D6236E"/>
    <w:rsid w:val="00D631F3"/>
    <w:rsid w:val="00D63DBE"/>
    <w:rsid w:val="00D64C14"/>
    <w:rsid w:val="00D6617F"/>
    <w:rsid w:val="00D672C7"/>
    <w:rsid w:val="00D708B6"/>
    <w:rsid w:val="00D75594"/>
    <w:rsid w:val="00D764FC"/>
    <w:rsid w:val="00D7689F"/>
    <w:rsid w:val="00D77F36"/>
    <w:rsid w:val="00D80714"/>
    <w:rsid w:val="00D80B1F"/>
    <w:rsid w:val="00D86EB3"/>
    <w:rsid w:val="00D8707B"/>
    <w:rsid w:val="00D90211"/>
    <w:rsid w:val="00D921D3"/>
    <w:rsid w:val="00D93E99"/>
    <w:rsid w:val="00D95626"/>
    <w:rsid w:val="00D9612B"/>
    <w:rsid w:val="00D96D8E"/>
    <w:rsid w:val="00D97CEA"/>
    <w:rsid w:val="00DA035A"/>
    <w:rsid w:val="00DA1B5B"/>
    <w:rsid w:val="00DA1D3D"/>
    <w:rsid w:val="00DA5BF9"/>
    <w:rsid w:val="00DA5CF4"/>
    <w:rsid w:val="00DA7936"/>
    <w:rsid w:val="00DB29CF"/>
    <w:rsid w:val="00DB2B46"/>
    <w:rsid w:val="00DB61B3"/>
    <w:rsid w:val="00DB645E"/>
    <w:rsid w:val="00DB65B5"/>
    <w:rsid w:val="00DC471A"/>
    <w:rsid w:val="00DC5D97"/>
    <w:rsid w:val="00DC6ACC"/>
    <w:rsid w:val="00DC7825"/>
    <w:rsid w:val="00DD0E98"/>
    <w:rsid w:val="00DD1BF1"/>
    <w:rsid w:val="00DD1D69"/>
    <w:rsid w:val="00DD3B81"/>
    <w:rsid w:val="00DD5ABD"/>
    <w:rsid w:val="00DE1257"/>
    <w:rsid w:val="00DE2047"/>
    <w:rsid w:val="00DE226B"/>
    <w:rsid w:val="00DE5202"/>
    <w:rsid w:val="00DE624E"/>
    <w:rsid w:val="00DE6917"/>
    <w:rsid w:val="00DE748D"/>
    <w:rsid w:val="00DF045C"/>
    <w:rsid w:val="00DF37D5"/>
    <w:rsid w:val="00DF5879"/>
    <w:rsid w:val="00DF7115"/>
    <w:rsid w:val="00DF73ED"/>
    <w:rsid w:val="00E00A3C"/>
    <w:rsid w:val="00E01456"/>
    <w:rsid w:val="00E039CA"/>
    <w:rsid w:val="00E04B62"/>
    <w:rsid w:val="00E06AF3"/>
    <w:rsid w:val="00E10726"/>
    <w:rsid w:val="00E12820"/>
    <w:rsid w:val="00E13E96"/>
    <w:rsid w:val="00E16195"/>
    <w:rsid w:val="00E17605"/>
    <w:rsid w:val="00E202E8"/>
    <w:rsid w:val="00E21ECE"/>
    <w:rsid w:val="00E22F67"/>
    <w:rsid w:val="00E25C3A"/>
    <w:rsid w:val="00E279B4"/>
    <w:rsid w:val="00E301C7"/>
    <w:rsid w:val="00E30985"/>
    <w:rsid w:val="00E31CED"/>
    <w:rsid w:val="00E32969"/>
    <w:rsid w:val="00E346A3"/>
    <w:rsid w:val="00E346AD"/>
    <w:rsid w:val="00E3497A"/>
    <w:rsid w:val="00E34A87"/>
    <w:rsid w:val="00E34BE5"/>
    <w:rsid w:val="00E36393"/>
    <w:rsid w:val="00E36461"/>
    <w:rsid w:val="00E427F1"/>
    <w:rsid w:val="00E44EF9"/>
    <w:rsid w:val="00E45B0D"/>
    <w:rsid w:val="00E51901"/>
    <w:rsid w:val="00E522F2"/>
    <w:rsid w:val="00E52560"/>
    <w:rsid w:val="00E54AD1"/>
    <w:rsid w:val="00E550A3"/>
    <w:rsid w:val="00E55F03"/>
    <w:rsid w:val="00E56645"/>
    <w:rsid w:val="00E60426"/>
    <w:rsid w:val="00E618F6"/>
    <w:rsid w:val="00E61A3B"/>
    <w:rsid w:val="00E64518"/>
    <w:rsid w:val="00E656CD"/>
    <w:rsid w:val="00E65BD5"/>
    <w:rsid w:val="00E65F92"/>
    <w:rsid w:val="00E70206"/>
    <w:rsid w:val="00E70B8B"/>
    <w:rsid w:val="00E71EBF"/>
    <w:rsid w:val="00E73BBB"/>
    <w:rsid w:val="00E73F61"/>
    <w:rsid w:val="00E74B72"/>
    <w:rsid w:val="00E7522D"/>
    <w:rsid w:val="00E80B65"/>
    <w:rsid w:val="00E8220C"/>
    <w:rsid w:val="00E82461"/>
    <w:rsid w:val="00E83C9F"/>
    <w:rsid w:val="00E858E2"/>
    <w:rsid w:val="00E87419"/>
    <w:rsid w:val="00E91244"/>
    <w:rsid w:val="00E92E8E"/>
    <w:rsid w:val="00E94C79"/>
    <w:rsid w:val="00E95E36"/>
    <w:rsid w:val="00E9697B"/>
    <w:rsid w:val="00EA0479"/>
    <w:rsid w:val="00EA2C26"/>
    <w:rsid w:val="00EA61FD"/>
    <w:rsid w:val="00EB274C"/>
    <w:rsid w:val="00EB5E98"/>
    <w:rsid w:val="00EC0EEF"/>
    <w:rsid w:val="00EC3156"/>
    <w:rsid w:val="00EC47F0"/>
    <w:rsid w:val="00EC4F9A"/>
    <w:rsid w:val="00EC6D2A"/>
    <w:rsid w:val="00ED03BC"/>
    <w:rsid w:val="00ED2A39"/>
    <w:rsid w:val="00ED3329"/>
    <w:rsid w:val="00ED4598"/>
    <w:rsid w:val="00ED46CD"/>
    <w:rsid w:val="00ED5F29"/>
    <w:rsid w:val="00ED6409"/>
    <w:rsid w:val="00ED6829"/>
    <w:rsid w:val="00ED691A"/>
    <w:rsid w:val="00ED7B71"/>
    <w:rsid w:val="00EE0913"/>
    <w:rsid w:val="00EE0E5A"/>
    <w:rsid w:val="00EE22F0"/>
    <w:rsid w:val="00EE355B"/>
    <w:rsid w:val="00EE3CC2"/>
    <w:rsid w:val="00EE5E27"/>
    <w:rsid w:val="00EE658B"/>
    <w:rsid w:val="00EF1834"/>
    <w:rsid w:val="00EF3703"/>
    <w:rsid w:val="00EF7B88"/>
    <w:rsid w:val="00F04713"/>
    <w:rsid w:val="00F076FA"/>
    <w:rsid w:val="00F07925"/>
    <w:rsid w:val="00F104BE"/>
    <w:rsid w:val="00F114EC"/>
    <w:rsid w:val="00F1337C"/>
    <w:rsid w:val="00F159B0"/>
    <w:rsid w:val="00F17BB4"/>
    <w:rsid w:val="00F17C28"/>
    <w:rsid w:val="00F20460"/>
    <w:rsid w:val="00F204C3"/>
    <w:rsid w:val="00F22017"/>
    <w:rsid w:val="00F251EF"/>
    <w:rsid w:val="00F30B62"/>
    <w:rsid w:val="00F31E7D"/>
    <w:rsid w:val="00F33309"/>
    <w:rsid w:val="00F33FA4"/>
    <w:rsid w:val="00F34ABE"/>
    <w:rsid w:val="00F3559C"/>
    <w:rsid w:val="00F36317"/>
    <w:rsid w:val="00F4065F"/>
    <w:rsid w:val="00F42626"/>
    <w:rsid w:val="00F44F82"/>
    <w:rsid w:val="00F46233"/>
    <w:rsid w:val="00F50973"/>
    <w:rsid w:val="00F51D90"/>
    <w:rsid w:val="00F527C4"/>
    <w:rsid w:val="00F54065"/>
    <w:rsid w:val="00F55394"/>
    <w:rsid w:val="00F56E1B"/>
    <w:rsid w:val="00F5773B"/>
    <w:rsid w:val="00F600E9"/>
    <w:rsid w:val="00F60319"/>
    <w:rsid w:val="00F60CAD"/>
    <w:rsid w:val="00F62199"/>
    <w:rsid w:val="00F674BC"/>
    <w:rsid w:val="00F700F8"/>
    <w:rsid w:val="00F719AF"/>
    <w:rsid w:val="00F76EAF"/>
    <w:rsid w:val="00F81DFB"/>
    <w:rsid w:val="00F825AA"/>
    <w:rsid w:val="00F82EFE"/>
    <w:rsid w:val="00F8320B"/>
    <w:rsid w:val="00F952CD"/>
    <w:rsid w:val="00F95655"/>
    <w:rsid w:val="00F966CF"/>
    <w:rsid w:val="00FA2A60"/>
    <w:rsid w:val="00FA2AE4"/>
    <w:rsid w:val="00FA5AF9"/>
    <w:rsid w:val="00FA60AD"/>
    <w:rsid w:val="00FA6601"/>
    <w:rsid w:val="00FB18CB"/>
    <w:rsid w:val="00FB2577"/>
    <w:rsid w:val="00FB2B5D"/>
    <w:rsid w:val="00FB2B6F"/>
    <w:rsid w:val="00FB3FA4"/>
    <w:rsid w:val="00FB6723"/>
    <w:rsid w:val="00FB734A"/>
    <w:rsid w:val="00FB7783"/>
    <w:rsid w:val="00FC16CA"/>
    <w:rsid w:val="00FC3550"/>
    <w:rsid w:val="00FC5915"/>
    <w:rsid w:val="00FC661C"/>
    <w:rsid w:val="00FC68AE"/>
    <w:rsid w:val="00FC6C2D"/>
    <w:rsid w:val="00FC77E8"/>
    <w:rsid w:val="00FC7B11"/>
    <w:rsid w:val="00FD1E00"/>
    <w:rsid w:val="00FD1F36"/>
    <w:rsid w:val="00FD3702"/>
    <w:rsid w:val="00FD3ADD"/>
    <w:rsid w:val="00FD3CF3"/>
    <w:rsid w:val="00FD663E"/>
    <w:rsid w:val="00FD702B"/>
    <w:rsid w:val="00FD7694"/>
    <w:rsid w:val="00FE0FB5"/>
    <w:rsid w:val="00FE114D"/>
    <w:rsid w:val="00FE1E07"/>
    <w:rsid w:val="00FE2306"/>
    <w:rsid w:val="00FE525E"/>
    <w:rsid w:val="00FF09C8"/>
    <w:rsid w:val="00FF0AD7"/>
    <w:rsid w:val="00FF310E"/>
    <w:rsid w:val="00FF3BBB"/>
    <w:rsid w:val="00FF46B5"/>
    <w:rsid w:val="00FF732B"/>
    <w:rsid w:val="00FF7C1B"/>
    <w:rsid w:val="01041998"/>
    <w:rsid w:val="02752D8F"/>
    <w:rsid w:val="02D24C51"/>
    <w:rsid w:val="02D62778"/>
    <w:rsid w:val="03263E26"/>
    <w:rsid w:val="03505E82"/>
    <w:rsid w:val="03BE7F6F"/>
    <w:rsid w:val="03D87F9E"/>
    <w:rsid w:val="043E163C"/>
    <w:rsid w:val="05015D85"/>
    <w:rsid w:val="074A5E13"/>
    <w:rsid w:val="07530A0F"/>
    <w:rsid w:val="07AE58AE"/>
    <w:rsid w:val="07E61E64"/>
    <w:rsid w:val="09043B85"/>
    <w:rsid w:val="095837D1"/>
    <w:rsid w:val="0B270071"/>
    <w:rsid w:val="0BA64883"/>
    <w:rsid w:val="0C06083B"/>
    <w:rsid w:val="0C3B1F34"/>
    <w:rsid w:val="0D2A5629"/>
    <w:rsid w:val="0D8D171D"/>
    <w:rsid w:val="0E0F4C0E"/>
    <w:rsid w:val="0E296714"/>
    <w:rsid w:val="0E296A7B"/>
    <w:rsid w:val="0E4E4508"/>
    <w:rsid w:val="0E604559"/>
    <w:rsid w:val="0ECB7343"/>
    <w:rsid w:val="0EEB22F0"/>
    <w:rsid w:val="0F036D46"/>
    <w:rsid w:val="0F190CE7"/>
    <w:rsid w:val="0F7A21A6"/>
    <w:rsid w:val="11696B57"/>
    <w:rsid w:val="118B39C0"/>
    <w:rsid w:val="11D95A77"/>
    <w:rsid w:val="125A1972"/>
    <w:rsid w:val="128E7829"/>
    <w:rsid w:val="12A10948"/>
    <w:rsid w:val="12D9363B"/>
    <w:rsid w:val="14B539E9"/>
    <w:rsid w:val="15B9338D"/>
    <w:rsid w:val="16AD06A8"/>
    <w:rsid w:val="178324A6"/>
    <w:rsid w:val="18E5478C"/>
    <w:rsid w:val="191166C5"/>
    <w:rsid w:val="19A430E9"/>
    <w:rsid w:val="19F57C14"/>
    <w:rsid w:val="1A1F0699"/>
    <w:rsid w:val="1A4A6220"/>
    <w:rsid w:val="1BC05B5E"/>
    <w:rsid w:val="1C2E6119"/>
    <w:rsid w:val="1C8A51F3"/>
    <w:rsid w:val="1D065885"/>
    <w:rsid w:val="1EAA5956"/>
    <w:rsid w:val="1EAC1C4A"/>
    <w:rsid w:val="1EDA1173"/>
    <w:rsid w:val="1EFD2042"/>
    <w:rsid w:val="1F840596"/>
    <w:rsid w:val="21153713"/>
    <w:rsid w:val="218D0D2E"/>
    <w:rsid w:val="22286C0E"/>
    <w:rsid w:val="22F96DEE"/>
    <w:rsid w:val="238212B9"/>
    <w:rsid w:val="23E5206A"/>
    <w:rsid w:val="24E56C28"/>
    <w:rsid w:val="25AC3913"/>
    <w:rsid w:val="269F348C"/>
    <w:rsid w:val="279B57B2"/>
    <w:rsid w:val="27A71EED"/>
    <w:rsid w:val="28F10206"/>
    <w:rsid w:val="28F545FD"/>
    <w:rsid w:val="2AB95DEF"/>
    <w:rsid w:val="2B3640E0"/>
    <w:rsid w:val="2B845270"/>
    <w:rsid w:val="2C783060"/>
    <w:rsid w:val="2CFC26B9"/>
    <w:rsid w:val="2D6128FB"/>
    <w:rsid w:val="2FF84291"/>
    <w:rsid w:val="30191A55"/>
    <w:rsid w:val="3058325B"/>
    <w:rsid w:val="30814675"/>
    <w:rsid w:val="30BB7EFA"/>
    <w:rsid w:val="31495DB1"/>
    <w:rsid w:val="31544625"/>
    <w:rsid w:val="326444E3"/>
    <w:rsid w:val="326B2BBB"/>
    <w:rsid w:val="326C67DD"/>
    <w:rsid w:val="334E0780"/>
    <w:rsid w:val="340C6CB6"/>
    <w:rsid w:val="343648B4"/>
    <w:rsid w:val="343D5275"/>
    <w:rsid w:val="34C95B06"/>
    <w:rsid w:val="351C5811"/>
    <w:rsid w:val="36B47F5B"/>
    <w:rsid w:val="37704032"/>
    <w:rsid w:val="37A61891"/>
    <w:rsid w:val="382A31BA"/>
    <w:rsid w:val="38BE0B9C"/>
    <w:rsid w:val="3A110A42"/>
    <w:rsid w:val="3AD203ED"/>
    <w:rsid w:val="3BE7282B"/>
    <w:rsid w:val="3C8656F6"/>
    <w:rsid w:val="3CD2399D"/>
    <w:rsid w:val="3D026FA3"/>
    <w:rsid w:val="3D040516"/>
    <w:rsid w:val="3DB16AD5"/>
    <w:rsid w:val="3DE3143E"/>
    <w:rsid w:val="3E3C3D16"/>
    <w:rsid w:val="3EEB465F"/>
    <w:rsid w:val="3F1973DD"/>
    <w:rsid w:val="3F3666EC"/>
    <w:rsid w:val="3FAC3ACB"/>
    <w:rsid w:val="40943E78"/>
    <w:rsid w:val="437D70A7"/>
    <w:rsid w:val="43AB5B03"/>
    <w:rsid w:val="4422133E"/>
    <w:rsid w:val="44827585"/>
    <w:rsid w:val="44C0285C"/>
    <w:rsid w:val="4698539A"/>
    <w:rsid w:val="47567645"/>
    <w:rsid w:val="47AF752F"/>
    <w:rsid w:val="484C3B17"/>
    <w:rsid w:val="49326E20"/>
    <w:rsid w:val="49D05EFE"/>
    <w:rsid w:val="4A105800"/>
    <w:rsid w:val="4C93435E"/>
    <w:rsid w:val="4CEA797F"/>
    <w:rsid w:val="4DDB7414"/>
    <w:rsid w:val="4E6077C2"/>
    <w:rsid w:val="502D1A46"/>
    <w:rsid w:val="51601A5C"/>
    <w:rsid w:val="540A5BFA"/>
    <w:rsid w:val="5463295C"/>
    <w:rsid w:val="54D972E0"/>
    <w:rsid w:val="554E75F8"/>
    <w:rsid w:val="5599643C"/>
    <w:rsid w:val="55AE5C6D"/>
    <w:rsid w:val="56472449"/>
    <w:rsid w:val="56A7762F"/>
    <w:rsid w:val="57A0129F"/>
    <w:rsid w:val="58504B4C"/>
    <w:rsid w:val="58AD5C49"/>
    <w:rsid w:val="5A26446C"/>
    <w:rsid w:val="5D205B6B"/>
    <w:rsid w:val="5DC8220F"/>
    <w:rsid w:val="5E082F6B"/>
    <w:rsid w:val="5E432429"/>
    <w:rsid w:val="5E66405A"/>
    <w:rsid w:val="5ED0419C"/>
    <w:rsid w:val="5F2637DC"/>
    <w:rsid w:val="60AD5583"/>
    <w:rsid w:val="61C2148E"/>
    <w:rsid w:val="61E62B56"/>
    <w:rsid w:val="62686729"/>
    <w:rsid w:val="637A5E53"/>
    <w:rsid w:val="63A17B7D"/>
    <w:rsid w:val="63BB1863"/>
    <w:rsid w:val="64FF3127"/>
    <w:rsid w:val="65AA22DB"/>
    <w:rsid w:val="65C300A0"/>
    <w:rsid w:val="65D92135"/>
    <w:rsid w:val="67B61413"/>
    <w:rsid w:val="67C42FA9"/>
    <w:rsid w:val="681D48E0"/>
    <w:rsid w:val="69C51441"/>
    <w:rsid w:val="6A842FAD"/>
    <w:rsid w:val="6B4A27A4"/>
    <w:rsid w:val="6CD75451"/>
    <w:rsid w:val="6D3F72DB"/>
    <w:rsid w:val="6D804DFF"/>
    <w:rsid w:val="6E0A63B7"/>
    <w:rsid w:val="6F87409D"/>
    <w:rsid w:val="706D12CD"/>
    <w:rsid w:val="70D10AAD"/>
    <w:rsid w:val="70E82EE4"/>
    <w:rsid w:val="727617C5"/>
    <w:rsid w:val="72D80089"/>
    <w:rsid w:val="73C66750"/>
    <w:rsid w:val="73EB435C"/>
    <w:rsid w:val="76CF6155"/>
    <w:rsid w:val="77017FBB"/>
    <w:rsid w:val="7776601A"/>
    <w:rsid w:val="77B36986"/>
    <w:rsid w:val="77E52317"/>
    <w:rsid w:val="788F6ADB"/>
    <w:rsid w:val="78A67B04"/>
    <w:rsid w:val="79EC6EDD"/>
    <w:rsid w:val="7A114B63"/>
    <w:rsid w:val="7A567F6D"/>
    <w:rsid w:val="7A7D2198"/>
    <w:rsid w:val="7AF01F84"/>
    <w:rsid w:val="7B464952"/>
    <w:rsid w:val="7C5C7CC2"/>
    <w:rsid w:val="7CA5020A"/>
    <w:rsid w:val="7CEB544D"/>
    <w:rsid w:val="7CED7B56"/>
    <w:rsid w:val="7DD033BB"/>
    <w:rsid w:val="7DD95842"/>
    <w:rsid w:val="7DE84A7D"/>
    <w:rsid w:val="7E221827"/>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uiPriority="99" w:name="index 1" w:locked="1"/>
    <w:lsdException w:uiPriority="99" w:name="index 2" w:locked="1"/>
    <w:lsdException w:uiPriority="99" w:name="index 3" w:locked="1"/>
    <w:lsdException w:qFormat="1" w:unhideWhenUsed="0" w:uiPriority="99" w:name="index 4"/>
    <w:lsdException w:uiPriority="99" w:name="index 5" w:locked="1"/>
    <w:lsdException w:uiPriority="99" w:name="index 6" w:locked="1"/>
    <w:lsdException w:qFormat="1" w:unhideWhenUsed="0" w:uiPriority="99" w:name="index 7"/>
    <w:lsdException w:uiPriority="99" w:name="index 8" w:locked="1"/>
    <w:lsdException w:uiPriority="99" w:name="index 9" w:locked="1"/>
    <w:lsdException w:qFormat="1" w:unhideWhenUsed="0" w:uiPriority="99" w:name="toc 1"/>
    <w:lsdException w:qFormat="1" w:unhideWhenUsed="0" w:uiPriority="99" w:name="toc 2"/>
    <w:lsdException w:qFormat="1" w:unhideWhenUsed="0" w:uiPriority="99" w:name="toc 3"/>
    <w:lsdException w:qFormat="1" w:unhideWhenUsed="0" w:uiPriority="99" w:name="toc 4"/>
    <w:lsdException w:qFormat="1" w:unhideWhenUsed="0" w:uiPriority="99" w:name="toc 5"/>
    <w:lsdException w:qFormat="1" w:unhideWhenUsed="0" w:uiPriority="99" w:name="toc 6"/>
    <w:lsdException w:qFormat="1" w:unhideWhenUsed="0" w:uiPriority="99" w:name="toc 7"/>
    <w:lsdException w:qFormat="1" w:unhideWhenUsed="0" w:uiPriority="99" w:name="toc 8"/>
    <w:lsdException w:qFormat="1" w:unhideWhenUsed="0" w:uiPriority="99" w:name="toc 9"/>
    <w:lsdException w:qFormat="1" w:unhideWhenUsed="0" w:uiPriority="99" w:semiHidden="0" w:name="Normal Indent"/>
    <w:lsdException w:uiPriority="99" w:name="footnote text" w:locked="1"/>
    <w:lsdException w:qFormat="1" w:unhideWhenUsed="0" w:uiPriority="99" w:name="annotation text"/>
    <w:lsdException w:qFormat="1" w:unhideWhenUsed="0" w:uiPriority="99" w:semiHidden="0" w:name="header"/>
    <w:lsdException w:qFormat="1" w:unhideWhenUsed="0" w:uiPriority="99" w:semiHidden="0" w:name="footer"/>
    <w:lsdException w:uiPriority="99" w:name="index heading" w:locked="1"/>
    <w:lsdException w:qFormat="1" w:unhideWhenUsed="0" w:uiPriority="99" w:semiHidden="0" w:name="caption"/>
    <w:lsdException w:uiPriority="99" w:name="table of figures" w:locked="1"/>
    <w:lsdException w:uiPriority="99" w:name="envelope address" w:locked="1"/>
    <w:lsdException w:uiPriority="99" w:name="envelope return" w:locked="1"/>
    <w:lsdException w:uiPriority="99" w:name="footnote reference" w:locked="1"/>
    <w:lsdException w:qFormat="1" w:unhideWhenUsed="0" w:uiPriority="99" w:name="annotation reference"/>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qFormat="1" w:unhideWhenUsed="0" w:uiPriority="0" w:semiHidden="0"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99" w:semiHidden="0" w:name="Title"/>
    <w:lsdException w:uiPriority="99" w:name="Closing" w:locked="1"/>
    <w:lsdException w:uiPriority="99" w:name="Signature" w:locked="1"/>
    <w:lsdException w:qFormat="1" w:uiPriority="1" w:name="Default Paragraph Font"/>
    <w:lsdException w:qFormat="1" w:unhideWhenUsed="0" w:uiPriority="99" w:semiHidden="0" w:name="Body Text"/>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99" w:semiHidden="0" w:name="Subtitle"/>
    <w:lsdException w:uiPriority="99" w:name="Salutation" w:locked="1"/>
    <w:lsdException w:qFormat="1" w:unhideWhenUsed="0" w:uiPriority="99" w:semiHidden="0" w:name="Date"/>
    <w:lsdException w:qFormat="1" w:unhideWhenUsed="0" w:uiPriority="0" w:semiHidden="0"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qFormat="1" w:unhideWhenUsed="0" w:uiPriority="99" w:semiHidden="0" w:name="Body Text Indent 2"/>
    <w:lsdException w:qFormat="1" w:unhideWhenUsed="0" w:uiPriority="99" w:semiHidden="0" w:name="Body Text Indent 3"/>
    <w:lsdException w:uiPriority="99" w:name="Block Text" w:locked="1"/>
    <w:lsdException w:qFormat="1" w:unhideWhenUsed="0" w:uiPriority="99" w:semiHidden="0" w:name="Hyperlink"/>
    <w:lsdException w:uiPriority="99" w:name="FollowedHyperlink" w:locked="1"/>
    <w:lsdException w:qFormat="1" w:unhideWhenUsed="0" w:uiPriority="99" w:semiHidden="0" w:name="Strong"/>
    <w:lsdException w:qFormat="1" w:unhideWhenUsed="0" w:uiPriority="99" w:semiHidden="0" w:name="Emphasis"/>
    <w:lsdException w:qFormat="1" w:unhideWhenUsed="0" w:uiPriority="99" w:name="Document Map"/>
    <w:lsdException w:qFormat="1" w:unhideWhenUsed="0" w:uiPriority="99" w:semiHidden="0" w:name="Plain Text"/>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qFormat="1" w:unhideWhenUsed="0" w:uiPriority="99"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qFormat="1" w:unhideWhenUsed="0" w:uiPriority="99" w:semiHidden="0" w:name="Table Grid"/>
    <w:lsdException w:uiPriority="99" w:name="Table Theme" w:locked="1"/>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qFormat="1" w:unhideWhenUsed="0" w:uiPriority="99" w:semiHidden="0" w:name="Quote"/>
    <w:lsdException w:qFormat="1" w:unhideWhenUsed="0" w:uiPriority="99"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4">
    <w:name w:val="heading 1"/>
    <w:basedOn w:val="1"/>
    <w:next w:val="1"/>
    <w:link w:val="50"/>
    <w:qFormat/>
    <w:uiPriority w:val="99"/>
    <w:pPr>
      <w:keepNext/>
      <w:keepLines/>
      <w:spacing w:before="340" w:after="330" w:line="578" w:lineRule="auto"/>
      <w:outlineLvl w:val="0"/>
    </w:pPr>
    <w:rPr>
      <w:b/>
      <w:bCs/>
      <w:kern w:val="44"/>
      <w:sz w:val="44"/>
      <w:szCs w:val="44"/>
    </w:rPr>
  </w:style>
  <w:style w:type="paragraph" w:styleId="5">
    <w:name w:val="heading 2"/>
    <w:basedOn w:val="1"/>
    <w:next w:val="1"/>
    <w:link w:val="73"/>
    <w:qFormat/>
    <w:uiPriority w:val="99"/>
    <w:pPr>
      <w:keepNext/>
      <w:keepLines/>
      <w:spacing w:before="260" w:after="260" w:line="416" w:lineRule="auto"/>
      <w:outlineLvl w:val="1"/>
    </w:pPr>
    <w:rPr>
      <w:rFonts w:ascii="Arial" w:hAnsi="Arial" w:eastAsia="黑体" w:cs="Arial"/>
      <w:b/>
      <w:bCs/>
      <w:sz w:val="32"/>
      <w:szCs w:val="32"/>
    </w:rPr>
  </w:style>
  <w:style w:type="paragraph" w:styleId="6">
    <w:name w:val="heading 3"/>
    <w:basedOn w:val="1"/>
    <w:next w:val="1"/>
    <w:link w:val="52"/>
    <w:qFormat/>
    <w:uiPriority w:val="99"/>
    <w:pPr>
      <w:keepNext/>
      <w:keepLines/>
      <w:spacing w:before="260" w:after="260" w:line="416" w:lineRule="auto"/>
      <w:outlineLvl w:val="2"/>
    </w:pPr>
    <w:rPr>
      <w:b/>
      <w:bCs/>
      <w:sz w:val="32"/>
      <w:szCs w:val="32"/>
    </w:rPr>
  </w:style>
  <w:style w:type="paragraph" w:styleId="7">
    <w:name w:val="heading 4"/>
    <w:basedOn w:val="1"/>
    <w:next w:val="1"/>
    <w:link w:val="53"/>
    <w:qFormat/>
    <w:uiPriority w:val="99"/>
    <w:pPr>
      <w:keepNext/>
      <w:keepLines/>
      <w:spacing w:before="280" w:after="290" w:line="372" w:lineRule="auto"/>
      <w:outlineLvl w:val="3"/>
    </w:pPr>
    <w:rPr>
      <w:rFonts w:ascii="Arial" w:hAnsi="Arial" w:eastAsia="黑体" w:cs="Arial"/>
      <w:b/>
      <w:bCs/>
      <w:sz w:val="28"/>
      <w:szCs w:val="28"/>
    </w:rPr>
  </w:style>
  <w:style w:type="paragraph" w:styleId="8">
    <w:name w:val="heading 5"/>
    <w:basedOn w:val="1"/>
    <w:next w:val="1"/>
    <w:link w:val="54"/>
    <w:qFormat/>
    <w:uiPriority w:val="99"/>
    <w:pPr>
      <w:keepNext/>
      <w:keepLines/>
      <w:spacing w:before="280" w:after="290" w:line="372" w:lineRule="auto"/>
      <w:outlineLvl w:val="4"/>
    </w:pPr>
    <w:rPr>
      <w:b/>
      <w:bCs/>
      <w:sz w:val="28"/>
      <w:szCs w:val="28"/>
    </w:rPr>
  </w:style>
  <w:style w:type="paragraph" w:styleId="9">
    <w:name w:val="heading 6"/>
    <w:basedOn w:val="1"/>
    <w:next w:val="1"/>
    <w:link w:val="55"/>
    <w:qFormat/>
    <w:uiPriority w:val="99"/>
    <w:pPr>
      <w:keepNext/>
      <w:keepLines/>
      <w:spacing w:before="240" w:after="64" w:line="317" w:lineRule="auto"/>
      <w:outlineLvl w:val="5"/>
    </w:pPr>
    <w:rPr>
      <w:rFonts w:ascii="Cambria" w:hAnsi="Cambria" w:cs="Cambria"/>
      <w:b/>
      <w:bCs/>
      <w:sz w:val="24"/>
      <w:szCs w:val="24"/>
    </w:rPr>
  </w:style>
  <w:style w:type="paragraph" w:styleId="10">
    <w:name w:val="heading 7"/>
    <w:basedOn w:val="1"/>
    <w:next w:val="1"/>
    <w:link w:val="56"/>
    <w:qFormat/>
    <w:uiPriority w:val="99"/>
    <w:pPr>
      <w:keepNext/>
      <w:keepLines/>
      <w:spacing w:before="240" w:after="64" w:line="317" w:lineRule="auto"/>
      <w:outlineLvl w:val="6"/>
    </w:pPr>
    <w:rPr>
      <w:rFonts w:ascii="Calibri" w:hAnsi="Calibri" w:cs="Calibri"/>
      <w:b/>
      <w:bCs/>
      <w:sz w:val="24"/>
      <w:szCs w:val="24"/>
    </w:rPr>
  </w:style>
  <w:style w:type="paragraph" w:styleId="11">
    <w:name w:val="heading 8"/>
    <w:basedOn w:val="1"/>
    <w:next w:val="1"/>
    <w:link w:val="57"/>
    <w:qFormat/>
    <w:uiPriority w:val="99"/>
    <w:pPr>
      <w:keepNext/>
      <w:keepLines/>
      <w:spacing w:before="240" w:after="64" w:line="317" w:lineRule="auto"/>
      <w:outlineLvl w:val="7"/>
    </w:pPr>
    <w:rPr>
      <w:rFonts w:ascii="Cambria" w:hAnsi="Cambria" w:cs="Cambria"/>
      <w:sz w:val="24"/>
      <w:szCs w:val="24"/>
    </w:rPr>
  </w:style>
  <w:style w:type="paragraph" w:styleId="12">
    <w:name w:val="heading 9"/>
    <w:basedOn w:val="1"/>
    <w:next w:val="1"/>
    <w:link w:val="58"/>
    <w:qFormat/>
    <w:uiPriority w:val="99"/>
    <w:pPr>
      <w:keepNext/>
      <w:keepLines/>
      <w:spacing w:before="240" w:after="64" w:line="317" w:lineRule="auto"/>
      <w:outlineLvl w:val="8"/>
    </w:pPr>
    <w:rPr>
      <w:rFonts w:ascii="Cambria" w:hAnsi="Cambria" w:cs="Cambria"/>
    </w:rPr>
  </w:style>
  <w:style w:type="character" w:default="1" w:styleId="44">
    <w:name w:val="Default Paragraph Font"/>
    <w:semiHidden/>
    <w:unhideWhenUsed/>
    <w:qFormat/>
    <w:uiPriority w:val="1"/>
  </w:style>
  <w:style w:type="table" w:default="1" w:styleId="42">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next w:val="3"/>
    <w:link w:val="61"/>
    <w:qFormat/>
    <w:uiPriority w:val="99"/>
    <w:pPr>
      <w:spacing w:after="120"/>
    </w:pPr>
  </w:style>
  <w:style w:type="paragraph" w:customStyle="1" w:styleId="3">
    <w:name w:val="引用1"/>
    <w:next w:val="1"/>
    <w:qFormat/>
    <w:uiPriority w:val="0"/>
    <w:pPr>
      <w:wordWrap w:val="0"/>
      <w:spacing w:before="200" w:after="160"/>
      <w:ind w:left="864" w:right="864"/>
      <w:jc w:val="center"/>
    </w:pPr>
    <w:rPr>
      <w:rFonts w:ascii="Times New Roman" w:hAnsi="Times New Roman" w:eastAsia="宋体" w:cs="Times New Roman"/>
      <w:i/>
      <w:sz w:val="21"/>
      <w:lang w:val="en-US" w:eastAsia="zh-CN" w:bidi="ar-SA"/>
    </w:rPr>
  </w:style>
  <w:style w:type="paragraph" w:styleId="13">
    <w:name w:val="toc 7"/>
    <w:basedOn w:val="1"/>
    <w:next w:val="1"/>
    <w:semiHidden/>
    <w:qFormat/>
    <w:uiPriority w:val="99"/>
    <w:pPr>
      <w:ind w:left="2520" w:leftChars="1200"/>
    </w:pPr>
    <w:rPr>
      <w:rFonts w:ascii="Calibri" w:hAnsi="Calibri" w:cs="Calibri"/>
    </w:rPr>
  </w:style>
  <w:style w:type="paragraph" w:styleId="14">
    <w:name w:val="Normal Indent"/>
    <w:basedOn w:val="1"/>
    <w:link w:val="80"/>
    <w:qFormat/>
    <w:uiPriority w:val="99"/>
    <w:pPr>
      <w:ind w:firstLine="420" w:firstLineChars="200"/>
    </w:pPr>
    <w:rPr>
      <w:kern w:val="0"/>
      <w:sz w:val="24"/>
      <w:szCs w:val="24"/>
    </w:rPr>
  </w:style>
  <w:style w:type="paragraph" w:styleId="15">
    <w:name w:val="caption"/>
    <w:basedOn w:val="1"/>
    <w:next w:val="1"/>
    <w:qFormat/>
    <w:uiPriority w:val="99"/>
    <w:pPr>
      <w:ind w:firstLine="6290" w:firstLineChars="2282"/>
    </w:pPr>
    <w:rPr>
      <w:b/>
      <w:bCs/>
      <w:color w:val="000080"/>
      <w:sz w:val="28"/>
      <w:szCs w:val="28"/>
    </w:rPr>
  </w:style>
  <w:style w:type="paragraph" w:styleId="16">
    <w:name w:val="Document Map"/>
    <w:basedOn w:val="1"/>
    <w:link w:val="59"/>
    <w:semiHidden/>
    <w:qFormat/>
    <w:uiPriority w:val="99"/>
    <w:rPr>
      <w:rFonts w:ascii="宋体" w:cs="宋体"/>
      <w:sz w:val="18"/>
      <w:szCs w:val="18"/>
    </w:rPr>
  </w:style>
  <w:style w:type="paragraph" w:styleId="17">
    <w:name w:val="toa heading"/>
    <w:basedOn w:val="1"/>
    <w:next w:val="1"/>
    <w:qFormat/>
    <w:locked/>
    <w:uiPriority w:val="0"/>
    <w:pPr>
      <w:spacing w:before="120"/>
    </w:pPr>
    <w:rPr>
      <w:rFonts w:ascii="Arial" w:hAnsi="Arial" w:cs="Arial"/>
      <w:sz w:val="24"/>
    </w:rPr>
  </w:style>
  <w:style w:type="paragraph" w:styleId="18">
    <w:name w:val="annotation text"/>
    <w:basedOn w:val="1"/>
    <w:link w:val="60"/>
    <w:semiHidden/>
    <w:qFormat/>
    <w:uiPriority w:val="99"/>
    <w:pPr>
      <w:jc w:val="left"/>
    </w:pPr>
    <w:rPr>
      <w:rFonts w:ascii="Calibri" w:hAnsi="Calibri" w:cs="Calibri"/>
      <w:sz w:val="18"/>
      <w:szCs w:val="18"/>
    </w:rPr>
  </w:style>
  <w:style w:type="paragraph" w:styleId="19">
    <w:name w:val="Body Text Indent"/>
    <w:basedOn w:val="1"/>
    <w:link w:val="62"/>
    <w:qFormat/>
    <w:uiPriority w:val="99"/>
    <w:pPr>
      <w:ind w:firstLine="630"/>
    </w:pPr>
    <w:rPr>
      <w:sz w:val="32"/>
      <w:szCs w:val="32"/>
    </w:rPr>
  </w:style>
  <w:style w:type="paragraph" w:styleId="20">
    <w:name w:val="index 4"/>
    <w:basedOn w:val="1"/>
    <w:next w:val="1"/>
    <w:semiHidden/>
    <w:qFormat/>
    <w:uiPriority w:val="99"/>
    <w:pPr>
      <w:ind w:left="600" w:leftChars="600"/>
    </w:pPr>
  </w:style>
  <w:style w:type="paragraph" w:styleId="21">
    <w:name w:val="toc 5"/>
    <w:basedOn w:val="1"/>
    <w:next w:val="1"/>
    <w:semiHidden/>
    <w:qFormat/>
    <w:uiPriority w:val="99"/>
    <w:pPr>
      <w:tabs>
        <w:tab w:val="right" w:leader="dot" w:pos="8296"/>
      </w:tabs>
      <w:ind w:left="1050" w:leftChars="500"/>
    </w:pPr>
    <w:rPr>
      <w:rFonts w:ascii="Calibri" w:hAnsi="Calibri" w:cs="Calibri"/>
    </w:rPr>
  </w:style>
  <w:style w:type="paragraph" w:styleId="22">
    <w:name w:val="toc 3"/>
    <w:basedOn w:val="1"/>
    <w:next w:val="1"/>
    <w:semiHidden/>
    <w:qFormat/>
    <w:uiPriority w:val="99"/>
    <w:pPr>
      <w:ind w:left="840" w:leftChars="400"/>
    </w:pPr>
  </w:style>
  <w:style w:type="paragraph" w:styleId="23">
    <w:name w:val="Plain Text"/>
    <w:basedOn w:val="1"/>
    <w:link w:val="63"/>
    <w:qFormat/>
    <w:uiPriority w:val="99"/>
    <w:pPr>
      <w:autoSpaceDE w:val="0"/>
      <w:autoSpaceDN w:val="0"/>
      <w:adjustRightInd w:val="0"/>
    </w:pPr>
    <w:rPr>
      <w:rFonts w:ascii="宋体" w:hAnsi="Tms Rmn" w:cs="宋体"/>
    </w:rPr>
  </w:style>
  <w:style w:type="paragraph" w:styleId="24">
    <w:name w:val="toc 8"/>
    <w:basedOn w:val="1"/>
    <w:next w:val="1"/>
    <w:semiHidden/>
    <w:qFormat/>
    <w:uiPriority w:val="99"/>
    <w:pPr>
      <w:ind w:left="2940" w:leftChars="1400"/>
    </w:pPr>
    <w:rPr>
      <w:rFonts w:ascii="Calibri" w:hAnsi="Calibri" w:cs="Calibri"/>
    </w:rPr>
  </w:style>
  <w:style w:type="paragraph" w:styleId="25">
    <w:name w:val="Date"/>
    <w:basedOn w:val="1"/>
    <w:next w:val="1"/>
    <w:link w:val="64"/>
    <w:qFormat/>
    <w:uiPriority w:val="99"/>
  </w:style>
  <w:style w:type="paragraph" w:styleId="26">
    <w:name w:val="Body Text Indent 2"/>
    <w:basedOn w:val="1"/>
    <w:link w:val="65"/>
    <w:qFormat/>
    <w:uiPriority w:val="99"/>
    <w:pPr>
      <w:spacing w:after="120" w:line="480" w:lineRule="auto"/>
      <w:ind w:left="420" w:leftChars="200"/>
    </w:pPr>
  </w:style>
  <w:style w:type="paragraph" w:styleId="27">
    <w:name w:val="Balloon Text"/>
    <w:basedOn w:val="1"/>
    <w:link w:val="66"/>
    <w:semiHidden/>
    <w:qFormat/>
    <w:uiPriority w:val="99"/>
    <w:rPr>
      <w:sz w:val="18"/>
      <w:szCs w:val="18"/>
    </w:rPr>
  </w:style>
  <w:style w:type="paragraph" w:styleId="28">
    <w:name w:val="footer"/>
    <w:basedOn w:val="1"/>
    <w:link w:val="67"/>
    <w:qFormat/>
    <w:uiPriority w:val="99"/>
    <w:pPr>
      <w:tabs>
        <w:tab w:val="center" w:pos="4153"/>
        <w:tab w:val="right" w:pos="8306"/>
      </w:tabs>
      <w:snapToGrid w:val="0"/>
      <w:jc w:val="left"/>
    </w:pPr>
    <w:rPr>
      <w:sz w:val="18"/>
      <w:szCs w:val="18"/>
    </w:rPr>
  </w:style>
  <w:style w:type="paragraph" w:styleId="29">
    <w:name w:val="header"/>
    <w:basedOn w:val="1"/>
    <w:link w:val="68"/>
    <w:qFormat/>
    <w:uiPriority w:val="99"/>
    <w:pPr>
      <w:pBdr>
        <w:bottom w:val="single" w:color="auto" w:sz="6" w:space="1"/>
      </w:pBdr>
      <w:tabs>
        <w:tab w:val="center" w:pos="4153"/>
        <w:tab w:val="right" w:pos="8306"/>
      </w:tabs>
      <w:snapToGrid w:val="0"/>
      <w:jc w:val="center"/>
    </w:pPr>
    <w:rPr>
      <w:sz w:val="18"/>
      <w:szCs w:val="18"/>
    </w:rPr>
  </w:style>
  <w:style w:type="paragraph" w:styleId="30">
    <w:name w:val="toc 1"/>
    <w:basedOn w:val="1"/>
    <w:next w:val="1"/>
    <w:semiHidden/>
    <w:qFormat/>
    <w:uiPriority w:val="99"/>
    <w:pPr>
      <w:spacing w:line="480" w:lineRule="auto"/>
    </w:pPr>
    <w:rPr>
      <w:sz w:val="24"/>
      <w:szCs w:val="24"/>
    </w:rPr>
  </w:style>
  <w:style w:type="paragraph" w:styleId="31">
    <w:name w:val="toc 4"/>
    <w:basedOn w:val="1"/>
    <w:next w:val="1"/>
    <w:semiHidden/>
    <w:qFormat/>
    <w:uiPriority w:val="99"/>
    <w:pPr>
      <w:tabs>
        <w:tab w:val="left" w:pos="1890"/>
        <w:tab w:val="right" w:leader="dot" w:pos="8296"/>
      </w:tabs>
      <w:ind w:left="630" w:leftChars="300"/>
    </w:pPr>
    <w:rPr>
      <w:rFonts w:ascii="Calibri" w:hAnsi="Calibri" w:cs="Calibri"/>
    </w:rPr>
  </w:style>
  <w:style w:type="paragraph" w:styleId="32">
    <w:name w:val="Subtitle"/>
    <w:basedOn w:val="1"/>
    <w:next w:val="1"/>
    <w:link w:val="146"/>
    <w:qFormat/>
    <w:uiPriority w:val="99"/>
    <w:pPr>
      <w:spacing w:before="240" w:after="60" w:line="312" w:lineRule="auto"/>
      <w:jc w:val="center"/>
      <w:outlineLvl w:val="1"/>
    </w:pPr>
    <w:rPr>
      <w:rFonts w:ascii="Cambria" w:hAnsi="Cambria" w:cs="Cambria"/>
      <w:b/>
      <w:bCs/>
      <w:kern w:val="28"/>
      <w:sz w:val="32"/>
      <w:szCs w:val="32"/>
    </w:rPr>
  </w:style>
  <w:style w:type="paragraph" w:styleId="33">
    <w:name w:val="toc 6"/>
    <w:basedOn w:val="1"/>
    <w:next w:val="1"/>
    <w:semiHidden/>
    <w:qFormat/>
    <w:uiPriority w:val="99"/>
    <w:pPr>
      <w:ind w:left="2100" w:leftChars="1000"/>
    </w:pPr>
    <w:rPr>
      <w:rFonts w:ascii="Calibri" w:hAnsi="Calibri" w:cs="Calibri"/>
    </w:rPr>
  </w:style>
  <w:style w:type="paragraph" w:styleId="34">
    <w:name w:val="Body Text Indent 3"/>
    <w:basedOn w:val="1"/>
    <w:link w:val="70"/>
    <w:qFormat/>
    <w:uiPriority w:val="99"/>
    <w:pPr>
      <w:spacing w:after="120"/>
      <w:ind w:left="420" w:leftChars="200"/>
    </w:pPr>
    <w:rPr>
      <w:sz w:val="16"/>
      <w:szCs w:val="16"/>
    </w:rPr>
  </w:style>
  <w:style w:type="paragraph" w:styleId="35">
    <w:name w:val="index 7"/>
    <w:basedOn w:val="1"/>
    <w:next w:val="1"/>
    <w:semiHidden/>
    <w:qFormat/>
    <w:uiPriority w:val="99"/>
    <w:pPr>
      <w:ind w:left="1200" w:leftChars="1200"/>
    </w:pPr>
  </w:style>
  <w:style w:type="paragraph" w:styleId="36">
    <w:name w:val="toc 2"/>
    <w:basedOn w:val="1"/>
    <w:next w:val="1"/>
    <w:semiHidden/>
    <w:qFormat/>
    <w:uiPriority w:val="99"/>
    <w:pPr>
      <w:ind w:left="420" w:leftChars="200"/>
    </w:pPr>
  </w:style>
  <w:style w:type="paragraph" w:styleId="37">
    <w:name w:val="toc 9"/>
    <w:basedOn w:val="1"/>
    <w:next w:val="1"/>
    <w:semiHidden/>
    <w:qFormat/>
    <w:uiPriority w:val="99"/>
    <w:pPr>
      <w:ind w:left="3360" w:leftChars="1600"/>
    </w:pPr>
    <w:rPr>
      <w:rFonts w:ascii="Calibri" w:hAnsi="Calibri" w:cs="Calibri"/>
    </w:rPr>
  </w:style>
  <w:style w:type="paragraph" w:styleId="38">
    <w:name w:val="Normal (Web)"/>
    <w:basedOn w:val="1"/>
    <w:qFormat/>
    <w:uiPriority w:val="99"/>
    <w:pPr>
      <w:widowControl/>
      <w:spacing w:before="100" w:beforeAutospacing="1" w:after="100" w:afterAutospacing="1"/>
      <w:jc w:val="left"/>
    </w:pPr>
    <w:rPr>
      <w:rFonts w:ascii="宋体" w:hAnsi="宋体" w:cs="宋体"/>
      <w:kern w:val="0"/>
      <w:sz w:val="18"/>
      <w:szCs w:val="18"/>
    </w:rPr>
  </w:style>
  <w:style w:type="paragraph" w:styleId="39">
    <w:name w:val="Title"/>
    <w:basedOn w:val="1"/>
    <w:next w:val="1"/>
    <w:link w:val="102"/>
    <w:qFormat/>
    <w:uiPriority w:val="99"/>
    <w:pPr>
      <w:spacing w:before="240" w:after="60"/>
      <w:jc w:val="center"/>
      <w:outlineLvl w:val="0"/>
    </w:pPr>
    <w:rPr>
      <w:rFonts w:ascii="Cambria" w:hAnsi="Cambria" w:cs="Cambria"/>
      <w:b/>
      <w:bCs/>
      <w:sz w:val="32"/>
      <w:szCs w:val="32"/>
    </w:rPr>
  </w:style>
  <w:style w:type="paragraph" w:styleId="40">
    <w:name w:val="annotation subject"/>
    <w:basedOn w:val="18"/>
    <w:next w:val="18"/>
    <w:link w:val="72"/>
    <w:semiHidden/>
    <w:qFormat/>
    <w:uiPriority w:val="99"/>
    <w:rPr>
      <w:b/>
      <w:bCs/>
      <w:sz w:val="21"/>
      <w:szCs w:val="21"/>
    </w:rPr>
  </w:style>
  <w:style w:type="paragraph" w:styleId="41">
    <w:name w:val="Body Text First Indent"/>
    <w:basedOn w:val="2"/>
    <w:qFormat/>
    <w:locked/>
    <w:uiPriority w:val="0"/>
    <w:pPr>
      <w:spacing w:line="360" w:lineRule="auto"/>
      <w:ind w:firstLine="420"/>
    </w:pPr>
    <w:rPr>
      <w:kern w:val="44"/>
      <w:sz w:val="24"/>
    </w:rPr>
  </w:style>
  <w:style w:type="table" w:styleId="43">
    <w:name w:val="Table Grid"/>
    <w:basedOn w:val="42"/>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45">
    <w:name w:val="Strong"/>
    <w:basedOn w:val="44"/>
    <w:qFormat/>
    <w:uiPriority w:val="99"/>
    <w:rPr>
      <w:b/>
      <w:bCs/>
    </w:rPr>
  </w:style>
  <w:style w:type="character" w:styleId="46">
    <w:name w:val="page number"/>
    <w:basedOn w:val="44"/>
    <w:qFormat/>
    <w:uiPriority w:val="99"/>
  </w:style>
  <w:style w:type="character" w:styleId="47">
    <w:name w:val="Emphasis"/>
    <w:basedOn w:val="44"/>
    <w:qFormat/>
    <w:uiPriority w:val="99"/>
    <w:rPr>
      <w:i/>
      <w:iCs/>
    </w:rPr>
  </w:style>
  <w:style w:type="character" w:styleId="48">
    <w:name w:val="Hyperlink"/>
    <w:basedOn w:val="44"/>
    <w:qFormat/>
    <w:uiPriority w:val="99"/>
    <w:rPr>
      <w:color w:val="0000FF"/>
      <w:u w:val="single"/>
    </w:rPr>
  </w:style>
  <w:style w:type="character" w:styleId="49">
    <w:name w:val="annotation reference"/>
    <w:basedOn w:val="44"/>
    <w:semiHidden/>
    <w:qFormat/>
    <w:uiPriority w:val="99"/>
    <w:rPr>
      <w:sz w:val="21"/>
      <w:szCs w:val="21"/>
    </w:rPr>
  </w:style>
  <w:style w:type="character" w:customStyle="1" w:styleId="50">
    <w:name w:val="标题 1 字符"/>
    <w:basedOn w:val="44"/>
    <w:link w:val="4"/>
    <w:qFormat/>
    <w:locked/>
    <w:uiPriority w:val="99"/>
    <w:rPr>
      <w:rFonts w:ascii="Times New Roman" w:hAnsi="Times New Roman" w:eastAsia="宋体" w:cs="Times New Roman"/>
      <w:b/>
      <w:bCs/>
      <w:kern w:val="44"/>
      <w:sz w:val="44"/>
      <w:szCs w:val="44"/>
    </w:rPr>
  </w:style>
  <w:style w:type="character" w:customStyle="1" w:styleId="51">
    <w:name w:val="Heading 2 Char"/>
    <w:basedOn w:val="44"/>
    <w:semiHidden/>
    <w:qFormat/>
    <w:locked/>
    <w:uiPriority w:val="99"/>
    <w:rPr>
      <w:rFonts w:ascii="Cambria" w:hAnsi="Cambria" w:eastAsia="宋体" w:cs="Cambria"/>
      <w:b/>
      <w:bCs/>
      <w:sz w:val="32"/>
      <w:szCs w:val="32"/>
    </w:rPr>
  </w:style>
  <w:style w:type="character" w:customStyle="1" w:styleId="52">
    <w:name w:val="标题 3 字符"/>
    <w:basedOn w:val="44"/>
    <w:link w:val="6"/>
    <w:qFormat/>
    <w:locked/>
    <w:uiPriority w:val="99"/>
    <w:rPr>
      <w:rFonts w:ascii="Times New Roman" w:hAnsi="Times New Roman" w:eastAsia="宋体" w:cs="Times New Roman"/>
      <w:b/>
      <w:bCs/>
      <w:sz w:val="32"/>
      <w:szCs w:val="32"/>
    </w:rPr>
  </w:style>
  <w:style w:type="character" w:customStyle="1" w:styleId="53">
    <w:name w:val="标题 4 字符"/>
    <w:basedOn w:val="44"/>
    <w:link w:val="7"/>
    <w:qFormat/>
    <w:locked/>
    <w:uiPriority w:val="99"/>
    <w:rPr>
      <w:rFonts w:ascii="Arial" w:hAnsi="Arial" w:eastAsia="黑体" w:cs="Arial"/>
      <w:b/>
      <w:bCs/>
      <w:kern w:val="2"/>
      <w:sz w:val="28"/>
      <w:szCs w:val="28"/>
    </w:rPr>
  </w:style>
  <w:style w:type="character" w:customStyle="1" w:styleId="54">
    <w:name w:val="标题 5 字符"/>
    <w:basedOn w:val="44"/>
    <w:link w:val="8"/>
    <w:qFormat/>
    <w:locked/>
    <w:uiPriority w:val="99"/>
    <w:rPr>
      <w:rFonts w:ascii="Times New Roman" w:hAnsi="Times New Roman" w:eastAsia="宋体" w:cs="Times New Roman"/>
      <w:b/>
      <w:bCs/>
      <w:kern w:val="2"/>
      <w:sz w:val="28"/>
      <w:szCs w:val="28"/>
    </w:rPr>
  </w:style>
  <w:style w:type="character" w:customStyle="1" w:styleId="55">
    <w:name w:val="标题 6 字符"/>
    <w:basedOn w:val="44"/>
    <w:link w:val="9"/>
    <w:qFormat/>
    <w:locked/>
    <w:uiPriority w:val="99"/>
    <w:rPr>
      <w:rFonts w:ascii="Cambria" w:hAnsi="Cambria" w:eastAsia="宋体" w:cs="Cambria"/>
      <w:b/>
      <w:bCs/>
      <w:kern w:val="2"/>
      <w:sz w:val="24"/>
      <w:szCs w:val="24"/>
    </w:rPr>
  </w:style>
  <w:style w:type="character" w:customStyle="1" w:styleId="56">
    <w:name w:val="标题 7 字符"/>
    <w:basedOn w:val="44"/>
    <w:link w:val="10"/>
    <w:qFormat/>
    <w:locked/>
    <w:uiPriority w:val="99"/>
    <w:rPr>
      <w:rFonts w:ascii="Calibri" w:hAnsi="Calibri" w:eastAsia="宋体" w:cs="Calibri"/>
      <w:b/>
      <w:bCs/>
      <w:kern w:val="2"/>
      <w:sz w:val="24"/>
      <w:szCs w:val="24"/>
    </w:rPr>
  </w:style>
  <w:style w:type="character" w:customStyle="1" w:styleId="57">
    <w:name w:val="标题 8 字符"/>
    <w:basedOn w:val="44"/>
    <w:link w:val="11"/>
    <w:qFormat/>
    <w:locked/>
    <w:uiPriority w:val="99"/>
    <w:rPr>
      <w:rFonts w:ascii="Cambria" w:hAnsi="Cambria" w:eastAsia="宋体" w:cs="Cambria"/>
      <w:kern w:val="2"/>
      <w:sz w:val="24"/>
      <w:szCs w:val="24"/>
    </w:rPr>
  </w:style>
  <w:style w:type="character" w:customStyle="1" w:styleId="58">
    <w:name w:val="标题 9 字符"/>
    <w:basedOn w:val="44"/>
    <w:link w:val="12"/>
    <w:qFormat/>
    <w:locked/>
    <w:uiPriority w:val="99"/>
    <w:rPr>
      <w:rFonts w:ascii="Cambria" w:hAnsi="Cambria" w:eastAsia="宋体" w:cs="Cambria"/>
      <w:kern w:val="2"/>
      <w:sz w:val="21"/>
      <w:szCs w:val="21"/>
    </w:rPr>
  </w:style>
  <w:style w:type="character" w:customStyle="1" w:styleId="59">
    <w:name w:val="文档结构图 字符"/>
    <w:basedOn w:val="44"/>
    <w:link w:val="16"/>
    <w:qFormat/>
    <w:locked/>
    <w:uiPriority w:val="99"/>
    <w:rPr>
      <w:rFonts w:ascii="宋体" w:hAnsi="Times New Roman" w:eastAsia="宋体" w:cs="宋体"/>
      <w:sz w:val="18"/>
      <w:szCs w:val="18"/>
    </w:rPr>
  </w:style>
  <w:style w:type="character" w:customStyle="1" w:styleId="60">
    <w:name w:val="批注文字 字符"/>
    <w:basedOn w:val="44"/>
    <w:link w:val="18"/>
    <w:qFormat/>
    <w:locked/>
    <w:uiPriority w:val="99"/>
    <w:rPr>
      <w:rFonts w:ascii="Times New Roman" w:hAnsi="Times New Roman" w:eastAsia="宋体" w:cs="Times New Roman"/>
      <w:sz w:val="24"/>
      <w:szCs w:val="24"/>
    </w:rPr>
  </w:style>
  <w:style w:type="character" w:customStyle="1" w:styleId="61">
    <w:name w:val="正文文本 字符"/>
    <w:basedOn w:val="44"/>
    <w:link w:val="2"/>
    <w:qFormat/>
    <w:locked/>
    <w:uiPriority w:val="99"/>
    <w:rPr>
      <w:rFonts w:ascii="Times New Roman" w:hAnsi="Times New Roman" w:eastAsia="宋体" w:cs="Times New Roman"/>
      <w:sz w:val="24"/>
      <w:szCs w:val="24"/>
    </w:rPr>
  </w:style>
  <w:style w:type="character" w:customStyle="1" w:styleId="62">
    <w:name w:val="正文文本缩进 字符"/>
    <w:basedOn w:val="44"/>
    <w:link w:val="19"/>
    <w:qFormat/>
    <w:locked/>
    <w:uiPriority w:val="99"/>
    <w:rPr>
      <w:rFonts w:ascii="Times New Roman" w:hAnsi="Times New Roman" w:eastAsia="宋体" w:cs="Times New Roman"/>
      <w:sz w:val="20"/>
      <w:szCs w:val="20"/>
    </w:rPr>
  </w:style>
  <w:style w:type="character" w:customStyle="1" w:styleId="63">
    <w:name w:val="纯文本 字符"/>
    <w:basedOn w:val="44"/>
    <w:link w:val="23"/>
    <w:qFormat/>
    <w:locked/>
    <w:uiPriority w:val="99"/>
    <w:rPr>
      <w:rFonts w:ascii="宋体" w:hAnsi="Courier New" w:eastAsia="宋体" w:cs="宋体"/>
      <w:sz w:val="21"/>
      <w:szCs w:val="21"/>
    </w:rPr>
  </w:style>
  <w:style w:type="character" w:customStyle="1" w:styleId="64">
    <w:name w:val="日期 字符"/>
    <w:basedOn w:val="44"/>
    <w:link w:val="25"/>
    <w:qFormat/>
    <w:locked/>
    <w:uiPriority w:val="99"/>
    <w:rPr>
      <w:rFonts w:ascii="Times New Roman" w:hAnsi="Times New Roman" w:eastAsia="宋体" w:cs="Times New Roman"/>
      <w:kern w:val="2"/>
      <w:sz w:val="21"/>
      <w:szCs w:val="21"/>
    </w:rPr>
  </w:style>
  <w:style w:type="character" w:customStyle="1" w:styleId="65">
    <w:name w:val="正文文本缩进 2 字符"/>
    <w:basedOn w:val="44"/>
    <w:link w:val="26"/>
    <w:qFormat/>
    <w:locked/>
    <w:uiPriority w:val="99"/>
    <w:rPr>
      <w:rFonts w:ascii="Times New Roman" w:hAnsi="Times New Roman" w:eastAsia="宋体" w:cs="Times New Roman"/>
      <w:sz w:val="24"/>
      <w:szCs w:val="24"/>
    </w:rPr>
  </w:style>
  <w:style w:type="character" w:customStyle="1" w:styleId="66">
    <w:name w:val="批注框文本 字符"/>
    <w:basedOn w:val="44"/>
    <w:link w:val="27"/>
    <w:qFormat/>
    <w:locked/>
    <w:uiPriority w:val="99"/>
    <w:rPr>
      <w:rFonts w:ascii="Times New Roman" w:hAnsi="Times New Roman" w:eastAsia="宋体" w:cs="Times New Roman"/>
      <w:sz w:val="18"/>
      <w:szCs w:val="18"/>
    </w:rPr>
  </w:style>
  <w:style w:type="character" w:customStyle="1" w:styleId="67">
    <w:name w:val="页脚 字符"/>
    <w:basedOn w:val="44"/>
    <w:link w:val="28"/>
    <w:qFormat/>
    <w:locked/>
    <w:uiPriority w:val="99"/>
    <w:rPr>
      <w:sz w:val="18"/>
      <w:szCs w:val="18"/>
    </w:rPr>
  </w:style>
  <w:style w:type="character" w:customStyle="1" w:styleId="68">
    <w:name w:val="页眉 字符"/>
    <w:basedOn w:val="44"/>
    <w:link w:val="29"/>
    <w:qFormat/>
    <w:locked/>
    <w:uiPriority w:val="99"/>
    <w:rPr>
      <w:sz w:val="18"/>
      <w:szCs w:val="18"/>
    </w:rPr>
  </w:style>
  <w:style w:type="character" w:customStyle="1" w:styleId="69">
    <w:name w:val="Subtitle Char"/>
    <w:basedOn w:val="44"/>
    <w:qFormat/>
    <w:locked/>
    <w:uiPriority w:val="99"/>
    <w:rPr>
      <w:rFonts w:ascii="Cambria" w:hAnsi="Cambria" w:cs="Cambria"/>
      <w:b/>
      <w:bCs/>
      <w:kern w:val="28"/>
      <w:sz w:val="32"/>
      <w:szCs w:val="32"/>
    </w:rPr>
  </w:style>
  <w:style w:type="character" w:customStyle="1" w:styleId="70">
    <w:name w:val="正文文本缩进 3 字符"/>
    <w:basedOn w:val="44"/>
    <w:link w:val="34"/>
    <w:qFormat/>
    <w:locked/>
    <w:uiPriority w:val="99"/>
    <w:rPr>
      <w:rFonts w:ascii="Times New Roman" w:hAnsi="Times New Roman" w:eastAsia="宋体" w:cs="Times New Roman"/>
      <w:sz w:val="16"/>
      <w:szCs w:val="16"/>
    </w:rPr>
  </w:style>
  <w:style w:type="character" w:customStyle="1" w:styleId="71">
    <w:name w:val="Title Char"/>
    <w:basedOn w:val="44"/>
    <w:qFormat/>
    <w:locked/>
    <w:uiPriority w:val="99"/>
    <w:rPr>
      <w:rFonts w:ascii="Cambria" w:hAnsi="Cambria" w:cs="Cambria"/>
      <w:b/>
      <w:bCs/>
      <w:kern w:val="2"/>
      <w:sz w:val="32"/>
      <w:szCs w:val="32"/>
    </w:rPr>
  </w:style>
  <w:style w:type="character" w:customStyle="1" w:styleId="72">
    <w:name w:val="批注主题 字符"/>
    <w:basedOn w:val="60"/>
    <w:link w:val="40"/>
    <w:qFormat/>
    <w:locked/>
    <w:uiPriority w:val="99"/>
    <w:rPr>
      <w:rFonts w:ascii="Times New Roman" w:hAnsi="Times New Roman" w:eastAsia="宋体" w:cs="Times New Roman"/>
      <w:b/>
      <w:bCs/>
      <w:sz w:val="24"/>
      <w:szCs w:val="24"/>
    </w:rPr>
  </w:style>
  <w:style w:type="character" w:customStyle="1" w:styleId="73">
    <w:name w:val="标题 2 字符"/>
    <w:basedOn w:val="44"/>
    <w:link w:val="5"/>
    <w:qFormat/>
    <w:locked/>
    <w:uiPriority w:val="99"/>
    <w:rPr>
      <w:rFonts w:ascii="Arial" w:hAnsi="Arial" w:eastAsia="黑体" w:cs="Arial"/>
      <w:b/>
      <w:bCs/>
      <w:sz w:val="32"/>
      <w:szCs w:val="32"/>
    </w:rPr>
  </w:style>
  <w:style w:type="paragraph" w:customStyle="1" w:styleId="74">
    <w:name w:val="正文首行缩进两字符"/>
    <w:basedOn w:val="1"/>
    <w:qFormat/>
    <w:uiPriority w:val="99"/>
    <w:pPr>
      <w:spacing w:line="360" w:lineRule="auto"/>
      <w:ind w:firstLine="200" w:firstLineChars="200"/>
    </w:pPr>
  </w:style>
  <w:style w:type="paragraph" w:customStyle="1" w:styleId="75">
    <w:name w:val="正文1"/>
    <w:qFormat/>
    <w:uiPriority w:val="99"/>
    <w:pPr>
      <w:widowControl w:val="0"/>
      <w:adjustRightInd w:val="0"/>
      <w:spacing w:line="312" w:lineRule="atLeast"/>
      <w:jc w:val="both"/>
      <w:textAlignment w:val="baseline"/>
    </w:pPr>
    <w:rPr>
      <w:rFonts w:ascii="宋体" w:hAnsi="Times New Roman" w:eastAsia="宋体" w:cs="宋体"/>
      <w:sz w:val="34"/>
      <w:szCs w:val="34"/>
      <w:lang w:val="en-US" w:eastAsia="zh-CN" w:bidi="ar-SA"/>
    </w:rPr>
  </w:style>
  <w:style w:type="paragraph" w:customStyle="1" w:styleId="76">
    <w:name w:val="样式"/>
    <w:qFormat/>
    <w:uiPriority w:val="99"/>
    <w:pPr>
      <w:widowControl w:val="0"/>
      <w:autoSpaceDE w:val="0"/>
      <w:autoSpaceDN w:val="0"/>
      <w:adjustRightInd w:val="0"/>
    </w:pPr>
    <w:rPr>
      <w:rFonts w:ascii="宋体" w:hAnsi="宋体" w:eastAsia="宋体" w:cs="宋体"/>
      <w:sz w:val="24"/>
      <w:szCs w:val="24"/>
      <w:lang w:val="en-US" w:eastAsia="zh-CN" w:bidi="ar-SA"/>
    </w:rPr>
  </w:style>
  <w:style w:type="paragraph" w:customStyle="1" w:styleId="77">
    <w:name w:val="表格"/>
    <w:basedOn w:val="1"/>
    <w:qFormat/>
    <w:uiPriority w:val="99"/>
    <w:pPr>
      <w:spacing w:line="400" w:lineRule="exact"/>
    </w:pPr>
    <w:rPr>
      <w:sz w:val="24"/>
      <w:szCs w:val="24"/>
    </w:rPr>
  </w:style>
  <w:style w:type="paragraph" w:customStyle="1" w:styleId="78">
    <w:name w:val="样式 首行缩进:  2 字符"/>
    <w:basedOn w:val="1"/>
    <w:qFormat/>
    <w:uiPriority w:val="99"/>
    <w:pPr>
      <w:spacing w:line="400" w:lineRule="exact"/>
      <w:ind w:firstLine="200" w:firstLineChars="200"/>
    </w:pPr>
    <w:rPr>
      <w:sz w:val="24"/>
      <w:szCs w:val="24"/>
    </w:rPr>
  </w:style>
  <w:style w:type="character" w:customStyle="1" w:styleId="79">
    <w:name w:val="（符号）邀请函中一、"/>
    <w:basedOn w:val="44"/>
    <w:qFormat/>
    <w:uiPriority w:val="99"/>
    <w:rPr>
      <w:rFonts w:ascii="黑体" w:hAnsi="黑体" w:eastAsia="黑体" w:cs="黑体"/>
      <w:b/>
      <w:bCs/>
      <w:sz w:val="24"/>
      <w:szCs w:val="24"/>
    </w:rPr>
  </w:style>
  <w:style w:type="character" w:customStyle="1" w:styleId="80">
    <w:name w:val="正文缩进 字符"/>
    <w:link w:val="14"/>
    <w:qFormat/>
    <w:locked/>
    <w:uiPriority w:val="99"/>
    <w:rPr>
      <w:rFonts w:ascii="Times New Roman" w:hAnsi="Times New Roman" w:eastAsia="宋体" w:cs="Times New Roman"/>
      <w:sz w:val="24"/>
      <w:szCs w:val="24"/>
    </w:rPr>
  </w:style>
  <w:style w:type="character" w:customStyle="1" w:styleId="81">
    <w:name w:val="Char Char9"/>
    <w:qFormat/>
    <w:uiPriority w:val="99"/>
    <w:rPr>
      <w:kern w:val="2"/>
      <w:sz w:val="21"/>
      <w:szCs w:val="21"/>
    </w:rPr>
  </w:style>
  <w:style w:type="character" w:customStyle="1" w:styleId="82">
    <w:name w:val="批注文字 Char"/>
    <w:qFormat/>
    <w:uiPriority w:val="99"/>
    <w:rPr>
      <w:sz w:val="18"/>
      <w:szCs w:val="18"/>
    </w:rPr>
  </w:style>
  <w:style w:type="character" w:customStyle="1" w:styleId="83">
    <w:name w:val="纯文本 Char"/>
    <w:qFormat/>
    <w:uiPriority w:val="99"/>
    <w:rPr>
      <w:rFonts w:ascii="宋体" w:hAnsi="Tms Rmn" w:eastAsia="宋体" w:cs="宋体"/>
    </w:rPr>
  </w:style>
  <w:style w:type="paragraph" w:customStyle="1" w:styleId="84">
    <w:name w:val="GW-正文"/>
    <w:basedOn w:val="1"/>
    <w:link w:val="85"/>
    <w:qFormat/>
    <w:uiPriority w:val="99"/>
    <w:pPr>
      <w:spacing w:line="360" w:lineRule="auto"/>
      <w:ind w:firstLine="200" w:firstLineChars="200"/>
    </w:pPr>
    <w:rPr>
      <w:rFonts w:eastAsia="仿宋_GB2312"/>
      <w:kern w:val="0"/>
      <w:sz w:val="24"/>
      <w:szCs w:val="24"/>
    </w:rPr>
  </w:style>
  <w:style w:type="character" w:customStyle="1" w:styleId="85">
    <w:name w:val="GW-正文 Char"/>
    <w:link w:val="84"/>
    <w:qFormat/>
    <w:locked/>
    <w:uiPriority w:val="99"/>
    <w:rPr>
      <w:rFonts w:ascii="Times New Roman" w:hAnsi="Times New Roman" w:eastAsia="仿宋_GB2312" w:cs="Times New Roman"/>
      <w:sz w:val="24"/>
      <w:szCs w:val="24"/>
    </w:rPr>
  </w:style>
  <w:style w:type="paragraph" w:styleId="86">
    <w:name w:val="List Paragraph"/>
    <w:basedOn w:val="1"/>
    <w:link w:val="87"/>
    <w:qFormat/>
    <w:uiPriority w:val="99"/>
    <w:pPr>
      <w:ind w:firstLine="420" w:firstLineChars="200"/>
    </w:pPr>
    <w:rPr>
      <w:kern w:val="0"/>
      <w:sz w:val="24"/>
      <w:szCs w:val="24"/>
    </w:rPr>
  </w:style>
  <w:style w:type="character" w:customStyle="1" w:styleId="87">
    <w:name w:val="列表段落 字符"/>
    <w:link w:val="86"/>
    <w:qFormat/>
    <w:locked/>
    <w:uiPriority w:val="99"/>
    <w:rPr>
      <w:rFonts w:ascii="Times New Roman" w:hAnsi="Times New Roman" w:eastAsia="宋体" w:cs="Times New Roman"/>
      <w:sz w:val="24"/>
      <w:szCs w:val="24"/>
    </w:rPr>
  </w:style>
  <w:style w:type="paragraph" w:customStyle="1" w:styleId="88">
    <w:name w:val="Char Char Char Char Char Char Char Char Char Char Char Char Char Char1 Char Char Char Char"/>
    <w:basedOn w:val="1"/>
    <w:qFormat/>
    <w:uiPriority w:val="99"/>
  </w:style>
  <w:style w:type="paragraph" w:customStyle="1" w:styleId="89">
    <w:name w:val="修订1"/>
    <w:hidden/>
    <w:semiHidden/>
    <w:qFormat/>
    <w:uiPriority w:val="99"/>
    <w:rPr>
      <w:rFonts w:ascii="Times New Roman" w:hAnsi="Times New Roman" w:eastAsia="宋体" w:cs="Times New Roman"/>
      <w:kern w:val="2"/>
      <w:sz w:val="21"/>
      <w:szCs w:val="21"/>
      <w:lang w:val="en-US" w:eastAsia="zh-CN" w:bidi="ar-SA"/>
    </w:rPr>
  </w:style>
  <w:style w:type="character" w:customStyle="1" w:styleId="90">
    <w:name w:val="font31"/>
    <w:basedOn w:val="44"/>
    <w:qFormat/>
    <w:uiPriority w:val="99"/>
    <w:rPr>
      <w:rFonts w:ascii="宋体" w:hAnsi="宋体" w:eastAsia="宋体" w:cs="宋体"/>
      <w:color w:val="000000"/>
      <w:sz w:val="21"/>
      <w:szCs w:val="21"/>
      <w:u w:val="none"/>
    </w:rPr>
  </w:style>
  <w:style w:type="character" w:customStyle="1" w:styleId="91">
    <w:name w:val="正文缩进 Char1"/>
    <w:qFormat/>
    <w:locked/>
    <w:uiPriority w:val="99"/>
    <w:rPr>
      <w:rFonts w:eastAsia="宋体"/>
      <w:kern w:val="2"/>
      <w:sz w:val="24"/>
      <w:szCs w:val="24"/>
      <w:lang w:val="en-US" w:eastAsia="zh-CN"/>
    </w:rPr>
  </w:style>
  <w:style w:type="paragraph" w:customStyle="1" w:styleId="92">
    <w:name w:val="Plain Text1"/>
    <w:basedOn w:val="1"/>
    <w:qFormat/>
    <w:uiPriority w:val="99"/>
    <w:pPr>
      <w:adjustRightInd w:val="0"/>
      <w:jc w:val="left"/>
      <w:textAlignment w:val="baseline"/>
    </w:pPr>
    <w:rPr>
      <w:rFonts w:ascii="宋体" w:hAnsi="Courier New" w:cs="宋体"/>
      <w:sz w:val="24"/>
      <w:szCs w:val="24"/>
    </w:rPr>
  </w:style>
  <w:style w:type="character" w:customStyle="1" w:styleId="93">
    <w:name w:val="Char Char3"/>
    <w:qFormat/>
    <w:uiPriority w:val="99"/>
    <w:rPr>
      <w:rFonts w:ascii="Arial" w:hAnsi="Arial" w:eastAsia="黑体" w:cs="Arial"/>
      <w:b/>
      <w:bCs/>
      <w:kern w:val="2"/>
      <w:sz w:val="32"/>
      <w:szCs w:val="32"/>
      <w:lang w:val="en-US" w:eastAsia="zh-CN"/>
    </w:rPr>
  </w:style>
  <w:style w:type="character" w:customStyle="1" w:styleId="94">
    <w:name w:val="Char Char Char"/>
    <w:link w:val="95"/>
    <w:qFormat/>
    <w:locked/>
    <w:uiPriority w:val="99"/>
    <w:rPr>
      <w:rFonts w:ascii="Arial" w:hAnsi="Arial" w:eastAsia="黑体" w:cs="Arial"/>
      <w:b/>
      <w:bCs/>
      <w:kern w:val="2"/>
      <w:sz w:val="32"/>
      <w:szCs w:val="32"/>
    </w:rPr>
  </w:style>
  <w:style w:type="paragraph" w:customStyle="1" w:styleId="95">
    <w:name w:val="Char"/>
    <w:basedOn w:val="1"/>
    <w:link w:val="94"/>
    <w:qFormat/>
    <w:uiPriority w:val="99"/>
    <w:rPr>
      <w:rFonts w:ascii="Arial" w:hAnsi="Arial" w:eastAsia="黑体" w:cs="Arial"/>
      <w:b/>
      <w:bCs/>
      <w:sz w:val="32"/>
      <w:szCs w:val="32"/>
    </w:rPr>
  </w:style>
  <w:style w:type="character" w:customStyle="1" w:styleId="96">
    <w:name w:val="无间距字符"/>
    <w:link w:val="97"/>
    <w:qFormat/>
    <w:locked/>
    <w:uiPriority w:val="99"/>
    <w:rPr>
      <w:rFonts w:ascii="Calibri" w:hAnsi="Calibri" w:cs="Calibri"/>
      <w:sz w:val="22"/>
      <w:szCs w:val="22"/>
      <w:lang w:val="en-US" w:eastAsia="zh-CN"/>
    </w:rPr>
  </w:style>
  <w:style w:type="paragraph" w:customStyle="1" w:styleId="97">
    <w:name w:val="无间距"/>
    <w:link w:val="96"/>
    <w:qFormat/>
    <w:uiPriority w:val="99"/>
    <w:rPr>
      <w:rFonts w:ascii="Calibri" w:hAnsi="Calibri" w:eastAsia="宋体" w:cs="Calibri"/>
      <w:sz w:val="22"/>
      <w:szCs w:val="22"/>
      <w:lang w:val="en-US" w:eastAsia="zh-CN" w:bidi="ar-SA"/>
    </w:rPr>
  </w:style>
  <w:style w:type="character" w:customStyle="1" w:styleId="98">
    <w:name w:val="tdrownotice1"/>
    <w:qFormat/>
    <w:uiPriority w:val="99"/>
    <w:rPr>
      <w:sz w:val="22"/>
      <w:szCs w:val="22"/>
    </w:rPr>
  </w:style>
  <w:style w:type="character" w:customStyle="1" w:styleId="99">
    <w:name w:val="页眉 Char1"/>
    <w:basedOn w:val="44"/>
    <w:semiHidden/>
    <w:qFormat/>
    <w:uiPriority w:val="99"/>
    <w:rPr>
      <w:kern w:val="2"/>
      <w:sz w:val="18"/>
      <w:szCs w:val="18"/>
    </w:rPr>
  </w:style>
  <w:style w:type="character" w:customStyle="1" w:styleId="100">
    <w:name w:val="正文文本缩进 Char1"/>
    <w:basedOn w:val="44"/>
    <w:semiHidden/>
    <w:qFormat/>
    <w:uiPriority w:val="99"/>
    <w:rPr>
      <w:kern w:val="2"/>
      <w:sz w:val="21"/>
      <w:szCs w:val="21"/>
    </w:rPr>
  </w:style>
  <w:style w:type="character" w:customStyle="1" w:styleId="101">
    <w:name w:val="批注主题 Char1"/>
    <w:basedOn w:val="60"/>
    <w:qFormat/>
    <w:uiPriority w:val="99"/>
    <w:rPr>
      <w:rFonts w:ascii="Times New Roman" w:hAnsi="Times New Roman" w:eastAsia="宋体" w:cs="Times New Roman"/>
      <w:b/>
      <w:bCs/>
      <w:kern w:val="2"/>
      <w:sz w:val="24"/>
      <w:szCs w:val="24"/>
    </w:rPr>
  </w:style>
  <w:style w:type="character" w:customStyle="1" w:styleId="102">
    <w:name w:val="标题 字符"/>
    <w:basedOn w:val="44"/>
    <w:link w:val="39"/>
    <w:qFormat/>
    <w:locked/>
    <w:uiPriority w:val="99"/>
    <w:rPr>
      <w:rFonts w:ascii="Cambria" w:hAnsi="Cambria" w:cs="Cambria"/>
      <w:b/>
      <w:bCs/>
      <w:sz w:val="32"/>
      <w:szCs w:val="32"/>
    </w:rPr>
  </w:style>
  <w:style w:type="character" w:customStyle="1" w:styleId="103">
    <w:name w:val="标题 Char1"/>
    <w:basedOn w:val="44"/>
    <w:qFormat/>
    <w:uiPriority w:val="99"/>
    <w:rPr>
      <w:rFonts w:ascii="Cambria" w:hAnsi="Cambria" w:eastAsia="宋体" w:cs="Cambria"/>
      <w:b/>
      <w:bCs/>
      <w:kern w:val="2"/>
      <w:sz w:val="32"/>
      <w:szCs w:val="32"/>
    </w:rPr>
  </w:style>
  <w:style w:type="character" w:customStyle="1" w:styleId="104">
    <w:name w:val="页脚 Char1"/>
    <w:basedOn w:val="44"/>
    <w:semiHidden/>
    <w:qFormat/>
    <w:uiPriority w:val="99"/>
    <w:rPr>
      <w:kern w:val="2"/>
      <w:sz w:val="18"/>
      <w:szCs w:val="18"/>
    </w:rPr>
  </w:style>
  <w:style w:type="paragraph" w:customStyle="1" w:styleId="105">
    <w:name w:val="Char1"/>
    <w:basedOn w:val="1"/>
    <w:qFormat/>
    <w:uiPriority w:val="99"/>
  </w:style>
  <w:style w:type="paragraph" w:customStyle="1" w:styleId="106">
    <w:name w:val="样式 标题 2 + Times New Roman 四号 非加粗 段前: 5 磅 段后: 0 磅 行距: 固定值 20..."/>
    <w:basedOn w:val="5"/>
    <w:qFormat/>
    <w:uiPriority w:val="99"/>
    <w:pPr>
      <w:spacing w:before="100" w:after="0" w:line="400" w:lineRule="exact"/>
    </w:pPr>
    <w:rPr>
      <w:rFonts w:ascii="Times New Roman" w:hAnsi="Times New Roman" w:cs="Times New Roman"/>
      <w:b w:val="0"/>
      <w:bCs w:val="0"/>
      <w:sz w:val="28"/>
      <w:szCs w:val="28"/>
    </w:rPr>
  </w:style>
  <w:style w:type="paragraph" w:customStyle="1" w:styleId="107">
    <w:name w:val="样式 首行缩进:  2 字符1"/>
    <w:basedOn w:val="1"/>
    <w:qFormat/>
    <w:uiPriority w:val="99"/>
    <w:pPr>
      <w:spacing w:line="400" w:lineRule="exact"/>
      <w:ind w:firstLine="200" w:firstLineChars="200"/>
    </w:pPr>
    <w:rPr>
      <w:sz w:val="24"/>
      <w:szCs w:val="24"/>
    </w:rPr>
  </w:style>
  <w:style w:type="paragraph" w:customStyle="1" w:styleId="108">
    <w:name w:val="Char2"/>
    <w:basedOn w:val="1"/>
    <w:qFormat/>
    <w:uiPriority w:val="99"/>
  </w:style>
  <w:style w:type="paragraph" w:customStyle="1" w:styleId="109">
    <w:name w:val="Char Char Char Char Char Char Char"/>
    <w:basedOn w:val="1"/>
    <w:qFormat/>
    <w:uiPriority w:val="99"/>
  </w:style>
  <w:style w:type="paragraph" w:customStyle="1" w:styleId="110">
    <w:name w:val="bf.1"/>
    <w:basedOn w:val="14"/>
    <w:qFormat/>
    <w:uiPriority w:val="99"/>
    <w:pPr>
      <w:autoSpaceDE w:val="0"/>
      <w:autoSpaceDN w:val="0"/>
      <w:adjustRightInd w:val="0"/>
      <w:spacing w:before="50" w:after="100" w:line="500" w:lineRule="exact"/>
      <w:ind w:firstLine="0" w:firstLineChars="0"/>
    </w:pPr>
    <w:rPr>
      <w:rFonts w:ascii="仿宋_GB2312" w:hAnsi="宋体" w:eastAsia="仿宋_GB2312" w:cs="仿宋_GB2312"/>
      <w:color w:val="000000"/>
    </w:rPr>
  </w:style>
  <w:style w:type="paragraph" w:customStyle="1" w:styleId="111">
    <w:name w:val="第一章"/>
    <w:basedOn w:val="1"/>
    <w:next w:val="1"/>
    <w:qFormat/>
    <w:uiPriority w:val="99"/>
    <w:pPr>
      <w:tabs>
        <w:tab w:val="left" w:pos="0"/>
      </w:tabs>
      <w:spacing w:line="360" w:lineRule="auto"/>
      <w:ind w:hanging="500" w:hangingChars="500"/>
    </w:pPr>
    <w:rPr>
      <w:rFonts w:eastAsia="黑体"/>
      <w:sz w:val="44"/>
      <w:szCs w:val="44"/>
    </w:rPr>
  </w:style>
  <w:style w:type="paragraph" w:customStyle="1" w:styleId="112">
    <w:name w:val="blockquote"/>
    <w:basedOn w:val="1"/>
    <w:qFormat/>
    <w:uiPriority w:val="99"/>
    <w:pPr>
      <w:widowControl/>
      <w:spacing w:before="100" w:beforeAutospacing="1" w:after="100" w:afterAutospacing="1"/>
    </w:pPr>
    <w:rPr>
      <w:rFonts w:ascii="宋体" w:hAnsi="宋体" w:cs="宋体"/>
      <w:kern w:val="0"/>
      <w:sz w:val="24"/>
      <w:szCs w:val="24"/>
    </w:rPr>
  </w:style>
  <w:style w:type="paragraph" w:customStyle="1" w:styleId="113">
    <w:name w:val="样式1"/>
    <w:basedOn w:val="4"/>
    <w:qFormat/>
    <w:uiPriority w:val="99"/>
    <w:pPr>
      <w:spacing w:line="576" w:lineRule="auto"/>
    </w:pPr>
  </w:style>
  <w:style w:type="paragraph" w:customStyle="1" w:styleId="114">
    <w:name w:val="Char Char1 Char"/>
    <w:basedOn w:val="1"/>
    <w:qFormat/>
    <w:uiPriority w:val="99"/>
  </w:style>
  <w:style w:type="paragraph" w:customStyle="1" w:styleId="115">
    <w:name w:val="Char Char Char Char"/>
    <w:basedOn w:val="1"/>
    <w:qFormat/>
    <w:uiPriority w:val="99"/>
  </w:style>
  <w:style w:type="paragraph" w:customStyle="1" w:styleId="116">
    <w:name w:val="样式3"/>
    <w:basedOn w:val="4"/>
    <w:qFormat/>
    <w:uiPriority w:val="99"/>
    <w:pPr>
      <w:spacing w:line="576" w:lineRule="auto"/>
    </w:pPr>
  </w:style>
  <w:style w:type="paragraph" w:customStyle="1" w:styleId="117">
    <w:name w:val="p0"/>
    <w:basedOn w:val="1"/>
    <w:qFormat/>
    <w:uiPriority w:val="99"/>
    <w:pPr>
      <w:widowControl/>
    </w:pPr>
    <w:rPr>
      <w:kern w:val="0"/>
    </w:rPr>
  </w:style>
  <w:style w:type="paragraph" w:customStyle="1" w:styleId="118">
    <w:name w:val="Char Char Char Char Char Char Char Char Char Char Char Char Char"/>
    <w:basedOn w:val="1"/>
    <w:qFormat/>
    <w:uiPriority w:val="99"/>
    <w:pPr>
      <w:widowControl/>
      <w:spacing w:after="160" w:line="240" w:lineRule="exact"/>
      <w:jc w:val="left"/>
    </w:pPr>
  </w:style>
  <w:style w:type="paragraph" w:customStyle="1" w:styleId="119">
    <w:name w:val="样式2"/>
    <w:basedOn w:val="1"/>
    <w:qFormat/>
    <w:uiPriority w:val="99"/>
    <w:pPr>
      <w:ind w:firstLine="420" w:firstLineChars="150"/>
    </w:pPr>
    <w:rPr>
      <w:sz w:val="24"/>
      <w:szCs w:val="24"/>
      <w:lang w:val="en-GB"/>
    </w:rPr>
  </w:style>
  <w:style w:type="paragraph" w:customStyle="1" w:styleId="120">
    <w:name w:val="Blockquote"/>
    <w:basedOn w:val="1"/>
    <w:qFormat/>
    <w:uiPriority w:val="99"/>
    <w:pPr>
      <w:autoSpaceDE w:val="0"/>
      <w:autoSpaceDN w:val="0"/>
      <w:adjustRightInd w:val="0"/>
      <w:spacing w:before="100" w:after="100"/>
      <w:ind w:left="360"/>
    </w:pPr>
    <w:rPr>
      <w:kern w:val="0"/>
      <w:sz w:val="24"/>
      <w:szCs w:val="24"/>
    </w:rPr>
  </w:style>
  <w:style w:type="paragraph" w:customStyle="1" w:styleId="121">
    <w:name w:val="Char1 Char Char Char"/>
    <w:basedOn w:val="1"/>
    <w:qFormat/>
    <w:uiPriority w:val="99"/>
  </w:style>
  <w:style w:type="character" w:customStyle="1" w:styleId="122">
    <w:name w:val="正文文本 Char1"/>
    <w:qFormat/>
    <w:uiPriority w:val="99"/>
    <w:rPr>
      <w:kern w:val="2"/>
      <w:sz w:val="22"/>
      <w:szCs w:val="22"/>
    </w:rPr>
  </w:style>
  <w:style w:type="character" w:customStyle="1" w:styleId="123">
    <w:name w:val="Intense Quote Char"/>
    <w:qFormat/>
    <w:locked/>
    <w:uiPriority w:val="99"/>
    <w:rPr>
      <w:b/>
      <w:bCs/>
      <w:i/>
      <w:iCs/>
      <w:color w:val="4F81BD"/>
      <w:kern w:val="2"/>
      <w:sz w:val="22"/>
      <w:szCs w:val="22"/>
    </w:rPr>
  </w:style>
  <w:style w:type="character" w:customStyle="1" w:styleId="124">
    <w:name w:val="Subtle Emphasis1"/>
    <w:basedOn w:val="44"/>
    <w:qFormat/>
    <w:uiPriority w:val="99"/>
    <w:rPr>
      <w:i/>
      <w:iCs/>
      <w:color w:val="808080"/>
    </w:rPr>
  </w:style>
  <w:style w:type="character" w:customStyle="1" w:styleId="125">
    <w:name w:val="标题4 Char Char"/>
    <w:link w:val="126"/>
    <w:qFormat/>
    <w:locked/>
    <w:uiPriority w:val="99"/>
    <w:rPr>
      <w:rFonts w:ascii="Arial" w:hAnsi="Arial" w:cs="Arial"/>
      <w:b/>
      <w:bCs/>
      <w:sz w:val="32"/>
      <w:szCs w:val="32"/>
    </w:rPr>
  </w:style>
  <w:style w:type="paragraph" w:customStyle="1" w:styleId="126">
    <w:name w:val="标题4"/>
    <w:basedOn w:val="5"/>
    <w:next w:val="20"/>
    <w:link w:val="125"/>
    <w:qFormat/>
    <w:uiPriority w:val="99"/>
    <w:pPr>
      <w:spacing w:line="413" w:lineRule="auto"/>
    </w:pPr>
    <w:rPr>
      <w:rFonts w:eastAsia="宋体"/>
      <w:kern w:val="0"/>
    </w:rPr>
  </w:style>
  <w:style w:type="character" w:customStyle="1" w:styleId="127">
    <w:name w:val="标题5 Char Char"/>
    <w:link w:val="128"/>
    <w:qFormat/>
    <w:locked/>
    <w:uiPriority w:val="99"/>
    <w:rPr>
      <w:rFonts w:ascii="Arial" w:hAnsi="Arial" w:cs="Arial"/>
      <w:b/>
      <w:bCs/>
      <w:sz w:val="32"/>
      <w:szCs w:val="32"/>
    </w:rPr>
  </w:style>
  <w:style w:type="paragraph" w:customStyle="1" w:styleId="128">
    <w:name w:val="标题5"/>
    <w:basedOn w:val="6"/>
    <w:link w:val="127"/>
    <w:qFormat/>
    <w:uiPriority w:val="99"/>
    <w:pPr>
      <w:spacing w:line="413" w:lineRule="auto"/>
    </w:pPr>
    <w:rPr>
      <w:rFonts w:ascii="Arial" w:hAnsi="Arial" w:cs="Arial"/>
      <w:kern w:val="0"/>
    </w:rPr>
  </w:style>
  <w:style w:type="character" w:customStyle="1" w:styleId="129">
    <w:name w:val="Intense Reference1"/>
    <w:basedOn w:val="44"/>
    <w:qFormat/>
    <w:uiPriority w:val="99"/>
    <w:rPr>
      <w:b/>
      <w:bCs/>
      <w:smallCaps/>
      <w:color w:val="auto"/>
      <w:spacing w:val="5"/>
      <w:u w:val="single"/>
    </w:rPr>
  </w:style>
  <w:style w:type="character" w:customStyle="1" w:styleId="130">
    <w:name w:val="Book Title1"/>
    <w:basedOn w:val="44"/>
    <w:qFormat/>
    <w:uiPriority w:val="99"/>
    <w:rPr>
      <w:b/>
      <w:bCs/>
      <w:smallCaps/>
      <w:spacing w:val="5"/>
    </w:rPr>
  </w:style>
  <w:style w:type="character" w:customStyle="1" w:styleId="131">
    <w:name w:val="批注框文本 Char1"/>
    <w:qFormat/>
    <w:uiPriority w:val="99"/>
    <w:rPr>
      <w:kern w:val="2"/>
      <w:sz w:val="18"/>
      <w:szCs w:val="18"/>
    </w:rPr>
  </w:style>
  <w:style w:type="character" w:customStyle="1" w:styleId="132">
    <w:name w:val="Quote Char"/>
    <w:qFormat/>
    <w:locked/>
    <w:uiPriority w:val="99"/>
    <w:rPr>
      <w:i/>
      <w:iCs/>
      <w:color w:val="000000"/>
      <w:kern w:val="2"/>
      <w:sz w:val="22"/>
      <w:szCs w:val="22"/>
    </w:rPr>
  </w:style>
  <w:style w:type="character" w:customStyle="1" w:styleId="133">
    <w:name w:val="日期 Char1"/>
    <w:qFormat/>
    <w:uiPriority w:val="99"/>
    <w:rPr>
      <w:kern w:val="2"/>
      <w:sz w:val="22"/>
      <w:szCs w:val="22"/>
    </w:rPr>
  </w:style>
  <w:style w:type="character" w:customStyle="1" w:styleId="134">
    <w:name w:val="Intense Emphasis1"/>
    <w:basedOn w:val="44"/>
    <w:qFormat/>
    <w:uiPriority w:val="99"/>
    <w:rPr>
      <w:b/>
      <w:bCs/>
      <w:i/>
      <w:iCs/>
      <w:color w:val="4F81BD"/>
    </w:rPr>
  </w:style>
  <w:style w:type="character" w:customStyle="1" w:styleId="135">
    <w:name w:val="textcontents"/>
    <w:qFormat/>
    <w:uiPriority w:val="99"/>
  </w:style>
  <w:style w:type="character" w:customStyle="1" w:styleId="136">
    <w:name w:val="Subtle Reference1"/>
    <w:basedOn w:val="44"/>
    <w:qFormat/>
    <w:uiPriority w:val="99"/>
    <w:rPr>
      <w:smallCaps/>
      <w:color w:val="auto"/>
      <w:u w:val="single"/>
    </w:rPr>
  </w:style>
  <w:style w:type="character" w:customStyle="1" w:styleId="137">
    <w:name w:val="批注文字 Char Char"/>
    <w:qFormat/>
    <w:uiPriority w:val="99"/>
    <w:rPr>
      <w:rFonts w:ascii="宋体" w:hAnsi="Times New Roman" w:eastAsia="宋体" w:cs="宋体"/>
      <w:sz w:val="20"/>
      <w:szCs w:val="20"/>
    </w:rPr>
  </w:style>
  <w:style w:type="character" w:customStyle="1" w:styleId="138">
    <w:name w:val="文档结构图 Char1"/>
    <w:qFormat/>
    <w:uiPriority w:val="99"/>
    <w:rPr>
      <w:rFonts w:ascii="宋体" w:cs="宋体"/>
      <w:kern w:val="2"/>
      <w:sz w:val="18"/>
      <w:szCs w:val="18"/>
    </w:rPr>
  </w:style>
  <w:style w:type="paragraph" w:customStyle="1" w:styleId="139">
    <w:name w:val="Revision1"/>
    <w:qFormat/>
    <w:uiPriority w:val="99"/>
    <w:rPr>
      <w:rFonts w:ascii="Times New Roman" w:hAnsi="Times New Roman" w:eastAsia="宋体" w:cs="Times New Roman"/>
      <w:kern w:val="2"/>
      <w:sz w:val="21"/>
      <w:szCs w:val="21"/>
      <w:lang w:val="en-US" w:eastAsia="zh-CN" w:bidi="ar-SA"/>
    </w:rPr>
  </w:style>
  <w:style w:type="character" w:customStyle="1" w:styleId="140">
    <w:name w:val="批注框文本 Char2"/>
    <w:semiHidden/>
    <w:qFormat/>
    <w:uiPriority w:val="99"/>
    <w:rPr>
      <w:kern w:val="2"/>
      <w:sz w:val="18"/>
      <w:szCs w:val="18"/>
    </w:rPr>
  </w:style>
  <w:style w:type="character" w:customStyle="1" w:styleId="141">
    <w:name w:val="批注主题 Char2"/>
    <w:semiHidden/>
    <w:qFormat/>
    <w:uiPriority w:val="99"/>
    <w:rPr>
      <w:b/>
      <w:bCs/>
      <w:kern w:val="2"/>
      <w:sz w:val="22"/>
      <w:szCs w:val="22"/>
    </w:rPr>
  </w:style>
  <w:style w:type="character" w:customStyle="1" w:styleId="142">
    <w:name w:val="文档结构图 Char2"/>
    <w:semiHidden/>
    <w:qFormat/>
    <w:uiPriority w:val="99"/>
    <w:rPr>
      <w:rFonts w:ascii="宋体" w:cs="宋体"/>
      <w:kern w:val="2"/>
      <w:sz w:val="18"/>
      <w:szCs w:val="18"/>
    </w:rPr>
  </w:style>
  <w:style w:type="character" w:customStyle="1" w:styleId="143">
    <w:name w:val="日期 Char2"/>
    <w:semiHidden/>
    <w:qFormat/>
    <w:uiPriority w:val="99"/>
    <w:rPr>
      <w:kern w:val="2"/>
      <w:sz w:val="22"/>
      <w:szCs w:val="22"/>
    </w:rPr>
  </w:style>
  <w:style w:type="character" w:customStyle="1" w:styleId="144">
    <w:name w:val="正文文本 Char2"/>
    <w:basedOn w:val="44"/>
    <w:semiHidden/>
    <w:qFormat/>
    <w:uiPriority w:val="99"/>
    <w:rPr>
      <w:kern w:val="2"/>
      <w:sz w:val="21"/>
      <w:szCs w:val="21"/>
    </w:rPr>
  </w:style>
  <w:style w:type="paragraph" w:customStyle="1" w:styleId="145">
    <w:name w:val="TOC Heading1"/>
    <w:basedOn w:val="4"/>
    <w:next w:val="1"/>
    <w:qFormat/>
    <w:uiPriority w:val="99"/>
    <w:pPr>
      <w:spacing w:line="576" w:lineRule="auto"/>
      <w:outlineLvl w:val="9"/>
    </w:pPr>
    <w:rPr>
      <w:rFonts w:ascii="Calibri" w:hAnsi="Calibri" w:cs="Calibri"/>
    </w:rPr>
  </w:style>
  <w:style w:type="character" w:customStyle="1" w:styleId="146">
    <w:name w:val="副标题 字符"/>
    <w:basedOn w:val="44"/>
    <w:link w:val="32"/>
    <w:qFormat/>
    <w:locked/>
    <w:uiPriority w:val="99"/>
    <w:rPr>
      <w:rFonts w:ascii="Cambria" w:hAnsi="Cambria" w:cs="Cambria"/>
      <w:b/>
      <w:bCs/>
      <w:kern w:val="28"/>
      <w:sz w:val="32"/>
      <w:szCs w:val="32"/>
    </w:rPr>
  </w:style>
  <w:style w:type="character" w:customStyle="1" w:styleId="147">
    <w:name w:val="副标题 Char1"/>
    <w:basedOn w:val="44"/>
    <w:qFormat/>
    <w:uiPriority w:val="99"/>
    <w:rPr>
      <w:rFonts w:ascii="Cambria" w:hAnsi="Cambria" w:eastAsia="宋体" w:cs="Cambria"/>
      <w:b/>
      <w:bCs/>
      <w:kern w:val="28"/>
      <w:sz w:val="32"/>
      <w:szCs w:val="32"/>
    </w:rPr>
  </w:style>
  <w:style w:type="paragraph" w:styleId="148">
    <w:name w:val="Intense Quote"/>
    <w:basedOn w:val="1"/>
    <w:next w:val="1"/>
    <w:link w:val="149"/>
    <w:qFormat/>
    <w:uiPriority w:val="99"/>
    <w:pPr>
      <w:pBdr>
        <w:bottom w:val="single" w:color="4F81BD" w:sz="4" w:space="4"/>
      </w:pBdr>
      <w:spacing w:before="200" w:after="280"/>
      <w:ind w:left="936" w:right="936"/>
    </w:pPr>
    <w:rPr>
      <w:rFonts w:ascii="Calibri" w:hAnsi="Calibri" w:cs="Calibri"/>
      <w:b/>
      <w:bCs/>
      <w:i/>
      <w:iCs/>
      <w:color w:val="4F81BD"/>
      <w:sz w:val="22"/>
      <w:szCs w:val="22"/>
    </w:rPr>
  </w:style>
  <w:style w:type="character" w:customStyle="1" w:styleId="149">
    <w:name w:val="明显引用 字符"/>
    <w:basedOn w:val="44"/>
    <w:link w:val="148"/>
    <w:qFormat/>
    <w:locked/>
    <w:uiPriority w:val="99"/>
    <w:rPr>
      <w:rFonts w:ascii="Times New Roman" w:hAnsi="Times New Roman" w:cs="Times New Roman"/>
      <w:b/>
      <w:bCs/>
      <w:i/>
      <w:iCs/>
      <w:color w:val="4F81BD"/>
      <w:sz w:val="21"/>
      <w:szCs w:val="21"/>
    </w:rPr>
  </w:style>
  <w:style w:type="character" w:customStyle="1" w:styleId="150">
    <w:name w:val="明显引用 Char1"/>
    <w:basedOn w:val="44"/>
    <w:qFormat/>
    <w:uiPriority w:val="99"/>
    <w:rPr>
      <w:rFonts w:ascii="Times New Roman" w:hAnsi="Times New Roman" w:eastAsia="宋体" w:cs="Times New Roman"/>
      <w:b/>
      <w:bCs/>
      <w:i/>
      <w:iCs/>
      <w:color w:val="4F81BD"/>
      <w:kern w:val="2"/>
      <w:sz w:val="24"/>
      <w:szCs w:val="24"/>
    </w:rPr>
  </w:style>
  <w:style w:type="paragraph" w:customStyle="1" w:styleId="151">
    <w:name w:val="样式 标题 3 + (中文) 黑体 小四 非加粗 段前: 7.8 磅 段后: 0 磅 行距: 固定值 20 磅"/>
    <w:basedOn w:val="6"/>
    <w:qFormat/>
    <w:uiPriority w:val="99"/>
    <w:pPr>
      <w:spacing w:before="0" w:after="0" w:line="400" w:lineRule="exact"/>
    </w:pPr>
    <w:rPr>
      <w:rFonts w:eastAsia="黑体"/>
      <w:b w:val="0"/>
      <w:bCs w:val="0"/>
      <w:sz w:val="24"/>
      <w:szCs w:val="24"/>
    </w:rPr>
  </w:style>
  <w:style w:type="paragraph" w:customStyle="1" w:styleId="152">
    <w:name w:val="空半行"/>
    <w:basedOn w:val="1"/>
    <w:qFormat/>
    <w:uiPriority w:val="99"/>
    <w:pPr>
      <w:adjustRightInd w:val="0"/>
      <w:spacing w:line="120" w:lineRule="exact"/>
      <w:textAlignment w:val="baseline"/>
    </w:pPr>
    <w:rPr>
      <w:rFonts w:eastAsia="仿宋_GB2312"/>
      <w:color w:val="FFFFFF"/>
      <w:kern w:val="0"/>
      <w:sz w:val="30"/>
      <w:szCs w:val="30"/>
    </w:rPr>
  </w:style>
  <w:style w:type="paragraph" w:styleId="153">
    <w:name w:val="No Spacing"/>
    <w:qFormat/>
    <w:uiPriority w:val="99"/>
    <w:pPr>
      <w:widowControl w:val="0"/>
      <w:jc w:val="both"/>
    </w:pPr>
    <w:rPr>
      <w:rFonts w:ascii="Calibri" w:hAnsi="Calibri" w:eastAsia="宋体" w:cs="Calibri"/>
      <w:kern w:val="2"/>
      <w:sz w:val="21"/>
      <w:szCs w:val="21"/>
      <w:lang w:val="en-US" w:eastAsia="zh-CN" w:bidi="ar-SA"/>
    </w:rPr>
  </w:style>
  <w:style w:type="paragraph" w:styleId="154">
    <w:name w:val="Quote"/>
    <w:basedOn w:val="1"/>
    <w:next w:val="1"/>
    <w:link w:val="155"/>
    <w:qFormat/>
    <w:uiPriority w:val="99"/>
    <w:rPr>
      <w:rFonts w:ascii="Calibri" w:hAnsi="Calibri" w:cs="Calibri"/>
      <w:i/>
      <w:iCs/>
      <w:color w:val="000000"/>
      <w:sz w:val="22"/>
      <w:szCs w:val="22"/>
    </w:rPr>
  </w:style>
  <w:style w:type="character" w:customStyle="1" w:styleId="155">
    <w:name w:val="引用 字符"/>
    <w:basedOn w:val="44"/>
    <w:link w:val="154"/>
    <w:qFormat/>
    <w:locked/>
    <w:uiPriority w:val="99"/>
    <w:rPr>
      <w:rFonts w:ascii="Times New Roman" w:hAnsi="Times New Roman" w:cs="Times New Roman"/>
      <w:i/>
      <w:iCs/>
      <w:color w:val="000000"/>
      <w:sz w:val="21"/>
      <w:szCs w:val="21"/>
    </w:rPr>
  </w:style>
  <w:style w:type="character" w:customStyle="1" w:styleId="156">
    <w:name w:val="引用 Char1"/>
    <w:basedOn w:val="44"/>
    <w:qFormat/>
    <w:uiPriority w:val="99"/>
    <w:rPr>
      <w:rFonts w:ascii="Times New Roman" w:hAnsi="Times New Roman" w:eastAsia="宋体" w:cs="Times New Roman"/>
      <w:i/>
      <w:iCs/>
      <w:color w:val="000000"/>
      <w:kern w:val="2"/>
      <w:sz w:val="24"/>
      <w:szCs w:val="24"/>
    </w:rPr>
  </w:style>
  <w:style w:type="paragraph" w:customStyle="1" w:styleId="157">
    <w:name w:val="flNote"/>
    <w:basedOn w:val="1"/>
    <w:qFormat/>
    <w:uiPriority w:val="99"/>
    <w:pPr>
      <w:adjustRightInd w:val="0"/>
      <w:spacing w:before="320" w:after="160" w:line="360" w:lineRule="atLeast"/>
      <w:jc w:val="center"/>
      <w:textAlignment w:val="baseline"/>
    </w:pPr>
    <w:rPr>
      <w:rFonts w:ascii="Arial" w:eastAsia="黑体" w:cs="Arial"/>
      <w:kern w:val="0"/>
      <w:sz w:val="30"/>
      <w:szCs w:val="30"/>
    </w:rPr>
  </w:style>
  <w:style w:type="paragraph" w:customStyle="1" w:styleId="158">
    <w:name w:val="CD正文"/>
    <w:basedOn w:val="1"/>
    <w:qFormat/>
    <w:uiPriority w:val="99"/>
    <w:pPr>
      <w:spacing w:line="360" w:lineRule="auto"/>
      <w:ind w:firstLine="493"/>
    </w:pPr>
    <w:rPr>
      <w:sz w:val="30"/>
      <w:szCs w:val="30"/>
    </w:rPr>
  </w:style>
  <w:style w:type="character" w:customStyle="1" w:styleId="159">
    <w:name w:val="NormalCharacter"/>
    <w:qFormat/>
    <w:uiPriority w:val="0"/>
    <w:rPr>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microsoft.com/office/2011/relationships/people" Target="peop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80</Pages>
  <Words>38101</Words>
  <Characters>40020</Characters>
  <Lines>301</Lines>
  <Paragraphs>84</Paragraphs>
  <TotalTime>39</TotalTime>
  <ScaleCrop>false</ScaleCrop>
  <LinksUpToDate>false</LinksUpToDate>
  <CharactersWithSpaces>40492</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2021-06-17T09:52:00Z</dcterms:created>
  <dc:creator>刘春阳</dc:creator>
  <cp:lastModifiedBy>lenovo</cp:lastModifiedBy>
  <cp:lastPrinted>2020-06-22T07:24:00Z</cp:lastPrinted>
  <dcterms:modified xsi:type="dcterms:W3CDTF">2022-11-01T01:58:33Z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y fmtid="{D5CDD505-2E9C-101B-9397-08002B2CF9AE}" pid="3" name="ICV">
    <vt:lpwstr>0DF9887F066C4876B52B8D26A584A9D1</vt:lpwstr>
  </property>
</Properties>
</file>