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版本号：N511113202500007220250918001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乐山市金口河区和平彝族乡解放村2组人居环境提升项目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N5111132025000072</w:t>
      </w:r>
    </w:p>
    <w:p>
      <w:pPr>
        <w:pStyle w:val="null3"/>
        <w:jc w:val="left"/>
        <w:outlineLvl w:val="2"/>
      </w:pPr>
      <w:r>
        <w:rPr>
          <w:rFonts w:ascii="仿宋_GB2312" w:hAnsi="仿宋_GB2312" w:cs="仿宋_GB2312" w:eastAsia="仿宋_GB2312"/>
          <w:sz w:val="28"/>
          <w:b/>
        </w:rPr>
        <w:t>乐山市金口河区和平彝族乡人民政府</w:t>
      </w:r>
    </w:p>
    <w:p>
      <w:pPr>
        <w:pStyle w:val="null3"/>
        <w:jc w:val="center"/>
        <w:outlineLvl w:val="2"/>
      </w:pPr>
      <w:r>
        <w:rPr>
          <w:rFonts w:ascii="仿宋_GB2312" w:hAnsi="仿宋_GB2312" w:cs="仿宋_GB2312" w:eastAsia="仿宋_GB2312"/>
          <w:sz w:val="28"/>
          <w:b/>
        </w:rPr>
        <w:t>乐山市金口河区政府采购中心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乐山市金口河区政府采购中心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乐山市金口河区和平彝族乡人民政府</w:t>
      </w:r>
      <w:r>
        <w:rPr>
          <w:rFonts w:ascii="仿宋_GB2312" w:hAnsi="仿宋_GB2312" w:cs="仿宋_GB2312" w:eastAsia="仿宋_GB2312"/>
        </w:rPr>
        <w:t xml:space="preserve"> 委托，拟对 </w:t>
      </w:r>
      <w:r>
        <w:rPr>
          <w:rFonts w:ascii="仿宋_GB2312" w:hAnsi="仿宋_GB2312" w:cs="仿宋_GB2312" w:eastAsia="仿宋_GB2312"/>
        </w:rPr>
        <w:t>乐山市金口河区和平彝族乡解放村2组人居环境提升项目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乐山市金口河区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N5111132025000072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乐山市金口河区和平彝族乡解放村2组人居环境提升项目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解放村2组22户（游客接待中心下方）农户住房及周围环境整治。</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供应商取得本项目成交资格且注册地不在四川省行政区域内的，应当在政府采购合同签订前向采购人提交在有效期内的四川省住房和城乡建设厅官网已公开的入川信息网页截图。（描述：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乐山市金口河区和平彝族乡人民政府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和平彝族乡桠溪村2组</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曾祖鉴</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17711497143</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乐山市金口河区政府采购中心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四川省乐山市金口河区滨河路三段153号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0833-2713780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采购包1：2,611,946.68元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乐山市金口河区和平彝族乡人民政府</w:t>
      </w:r>
      <w:r>
        <w:rPr>
          <w:rFonts w:ascii="仿宋_GB2312" w:hAnsi="仿宋_GB2312" w:cs="仿宋_GB2312" w:eastAsia="仿宋_GB2312"/>
        </w:rPr>
        <w:t xml:space="preserve"> 和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乐山市金口河区和平彝族乡人民政府</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乐山市金口河区政府采购中心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满足国家及行业的现行相关标准、规范要求、符合相关法律、法规及业主要求的质量和技术深度要求。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提交施工成果和竣工成果文件的时间和地点（范围）、付款条件（进度和方式）、售后服务等</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按照《财政部关于进一步加强政府采购需求和履约验收管理的报导意见》（财库【2016】205 号）、《政府采购需求管理办法》（财库〔2021〕22号）和《关于沿用〈乐山市政府采购项目需求论证和履约验收管理实施细则〉的通知》（乐市财政采〔2021〕8号）的规定进行履约验收。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乐山市金口河区和平彝族乡人民政府</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联系人：曾祖鉴</w:t>
      </w:r>
    </w:p>
    <w:p>
      <w:pPr>
        <w:pStyle w:val="null3"/>
        <w:jc w:val="left"/>
      </w:pPr>
      <w:r>
        <w:rPr>
          <w:rFonts w:ascii="仿宋_GB2312" w:hAnsi="仿宋_GB2312" w:cs="仿宋_GB2312" w:eastAsia="仿宋_GB2312"/>
        </w:rPr>
        <w:t>联系电话：17711497143</w:t>
      </w:r>
    </w:p>
    <w:p>
      <w:pPr>
        <w:pStyle w:val="null3"/>
        <w:jc w:val="left"/>
      </w:pPr>
      <w:r>
        <w:rPr>
          <w:rFonts w:ascii="仿宋_GB2312" w:hAnsi="仿宋_GB2312" w:cs="仿宋_GB2312" w:eastAsia="仿宋_GB2312"/>
        </w:rPr>
        <w:t>地址：和平彝族乡桠溪村2组</w:t>
      </w:r>
    </w:p>
    <w:p>
      <w:pPr>
        <w:pStyle w:val="null3"/>
        <w:jc w:val="left"/>
      </w:pPr>
      <w:r>
        <w:rPr>
          <w:rFonts w:ascii="仿宋_GB2312" w:hAnsi="仿宋_GB2312" w:cs="仿宋_GB2312" w:eastAsia="仿宋_GB2312"/>
        </w:rPr>
        <w:t>邮编：614000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联系人：袁老师</w:t>
      </w:r>
    </w:p>
    <w:p>
      <w:pPr>
        <w:pStyle w:val="null3"/>
        <w:jc w:val="left"/>
      </w:pPr>
      <w:r>
        <w:rPr>
          <w:rFonts w:ascii="仿宋_GB2312" w:hAnsi="仿宋_GB2312" w:cs="仿宋_GB2312" w:eastAsia="仿宋_GB2312"/>
        </w:rPr>
        <w:t>联系电话：0833-2713780</w:t>
      </w:r>
    </w:p>
    <w:p>
      <w:pPr>
        <w:pStyle w:val="null3"/>
        <w:jc w:val="left"/>
      </w:pPr>
      <w:r>
        <w:rPr>
          <w:rFonts w:ascii="仿宋_GB2312" w:hAnsi="仿宋_GB2312" w:cs="仿宋_GB2312" w:eastAsia="仿宋_GB2312"/>
        </w:rPr>
        <w:t>地址：四川省乐山市金口河区滨河路三段153号</w:t>
      </w:r>
    </w:p>
    <w:p>
      <w:pPr>
        <w:pStyle w:val="null3"/>
        <w:jc w:val="left"/>
      </w:pPr>
      <w:r>
        <w:rPr>
          <w:rFonts w:ascii="仿宋_GB2312" w:hAnsi="仿宋_GB2312" w:cs="仿宋_GB2312" w:eastAsia="仿宋_GB2312"/>
        </w:rPr>
        <w:t>邮编：614700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2,611,946.68</w:t>
      </w:r>
    </w:p>
    <w:p>
      <w:pPr>
        <w:pStyle w:val="null3"/>
        <w:jc w:val="left"/>
      </w:pPr>
      <w:r>
        <w:rPr>
          <w:rFonts w:ascii="仿宋_GB2312" w:hAnsi="仿宋_GB2312" w:cs="仿宋_GB2312" w:eastAsia="仿宋_GB2312"/>
        </w:rPr>
        <w:t>采购包最高限价（元）: 2,611,946.68</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B08010000 房屋修缮</w:t>
            </w:r>
          </w:p>
        </w:tc>
        <w:tc>
          <w:tcPr>
            <w:tcW w:type="dxa" w:w="821"/>
          </w:tcPr>
          <w:p>
            <w:pPr>
              <w:pStyle w:val="null3"/>
              <w:jc w:val="left"/>
            </w:pPr>
            <w:r>
              <w:rPr>
                <w:rFonts w:ascii="仿宋_GB2312" w:hAnsi="仿宋_GB2312" w:cs="仿宋_GB2312" w:eastAsia="仿宋_GB2312"/>
              </w:rPr>
              <w:t>乐山市金口河区和平彝族乡解放村2组人居环境提升项目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2,611,946.68</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乐山市金口河区和平彝族乡解放村2组人居环境提升项目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2,611,946.68</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B08010000 房屋修缮</w:t>
            </w:r>
          </w:p>
        </w:tc>
        <w:tc>
          <w:tcPr>
            <w:tcW w:type="dxa" w:w="2492"/>
          </w:tcPr>
          <w:p>
            <w:pPr>
              <w:pStyle w:val="null3"/>
              <w:jc w:val="left"/>
            </w:pPr>
            <w:r>
              <w:rPr>
                <w:rFonts w:ascii="仿宋_GB2312" w:hAnsi="仿宋_GB2312" w:cs="仿宋_GB2312" w:eastAsia="仿宋_GB2312"/>
              </w:rPr>
              <w:t>乐山市金口河区和平彝族乡解放村2组人居环境提升项目</w:t>
            </w:r>
          </w:p>
        </w:tc>
        <w:tc>
          <w:tcPr>
            <w:tcW w:type="dxa" w:w="2492"/>
          </w:tcPr>
          <w:p>
            <w:pPr>
              <w:pStyle w:val="null3"/>
              <w:jc w:val="left"/>
            </w:pPr>
            <w:r>
              <w:rPr>
                <w:rFonts w:ascii="仿宋_GB2312" w:hAnsi="仿宋_GB2312" w:cs="仿宋_GB2312" w:eastAsia="仿宋_GB2312"/>
              </w:rPr>
              <w:t>真石漆、抗碱封闭底漆、1.5厚聚合物水泥防水涂料（Ⅱ型）、胶合板 20mm、白水泥、罩面漆、成品腻子膏 耐水性 (Y)、无机盐铝防水剂、界面剂、双面胶纸带、水泥 32.5</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标的名称：乐山市金口河区和平彝族乡解放村2组人居环境提升项目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材料要求</w:t>
            </w:r>
          </w:p>
        </w:tc>
        <w:tc>
          <w:tcPr>
            <w:tcW w:type="dxa" w:w="5814"/>
          </w:tcPr>
          <w:p>
            <w:pPr>
              <w:pStyle w:val="null3"/>
              <w:jc w:val="left"/>
            </w:pPr>
            <w:r>
              <w:rPr>
                <w:rFonts w:ascii="仿宋_GB2312" w:hAnsi="仿宋_GB2312" w:cs="仿宋_GB2312" w:eastAsia="仿宋_GB2312"/>
              </w:rPr>
              <w:t>材料、设备选用要满足设计和国家现行相关质量标准的要求。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施工要求</w:t>
            </w:r>
          </w:p>
        </w:tc>
        <w:tc>
          <w:tcPr>
            <w:tcW w:type="dxa" w:w="5814"/>
          </w:tcPr>
          <w:p>
            <w:pPr>
              <w:pStyle w:val="null3"/>
              <w:jc w:val="left"/>
            </w:pPr>
            <w:r>
              <w:rPr>
                <w:rFonts w:ascii="仿宋_GB2312" w:hAnsi="仿宋_GB2312" w:cs="仿宋_GB2312" w:eastAsia="仿宋_GB2312"/>
              </w:rPr>
              <w:t>1、满足安全文明施工相关要求的规定。工程施工必须按经批准的施工组织设计实施，并要符合施工规范及验收标准的相关要求，施工单位除按工程图纸及说明施工外，还必须严格满足国家颁布的现 行安装及施工工程验收规范和工程质量检验评定标准。</w:t>
            </w:r>
          </w:p>
          <w:p>
            <w:pPr>
              <w:pStyle w:val="null3"/>
              <w:jc w:val="left"/>
            </w:pPr>
            <w:r>
              <w:rPr>
                <w:rFonts w:ascii="仿宋_GB2312" w:hAnsi="仿宋_GB2312" w:cs="仿宋_GB2312" w:eastAsia="仿宋_GB2312"/>
              </w:rPr>
              <w:t>2、本项目施工 实施过程中，供应商须严格按照项目施工方案及规范施工并做好安全防护措施，在施工过程中，对施工范围周边区域原有设施 设备采取适当措施进行保护，如因供应商原因造成施工场地周边原有设备设施损坏的，供应商有责任无偿进行恢复。在施工过 程中所发生的所有安全事故和生产事故，劳动纠纷（含农民工工资）均由成交供应商承担。如遇上述情况，采购人有权将未支 付的货款用于支付上述事宜，成交供应商不得有异议。</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资料要求</w:t>
            </w:r>
          </w:p>
        </w:tc>
        <w:tc>
          <w:tcPr>
            <w:tcW w:type="dxa" w:w="5814"/>
          </w:tcPr>
          <w:p>
            <w:pPr>
              <w:pStyle w:val="null3"/>
              <w:jc w:val="left"/>
            </w:pPr>
            <w:r>
              <w:rPr>
                <w:rFonts w:ascii="仿宋_GB2312" w:hAnsi="仿宋_GB2312" w:cs="仿宋_GB2312" w:eastAsia="仿宋_GB2312"/>
              </w:rPr>
              <w:t>验收合格后提供完整的《竣工验收资料》给监理单位且完成备案工作, 若有图纸资料还须提供纸质及电子版。</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rPr>
              <w:t>在本工程施工期间所有的安全问题及安全责任（含事故）均由成交供应商承担。成交供应商在进场后须严格按照国家（行业）相关规范要求进行施工，并完全接受采购人的合理化建议及相关部门的监督、检查；成交供应商必须使用本单位的施工队伍进行施工，不得以任何形式转包给其他单位。</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环境要求</w:t>
            </w:r>
          </w:p>
        </w:tc>
        <w:tc>
          <w:tcPr>
            <w:tcW w:type="dxa" w:w="5814"/>
          </w:tcPr>
          <w:p>
            <w:pPr>
              <w:pStyle w:val="null3"/>
              <w:jc w:val="left"/>
            </w:pPr>
            <w:r>
              <w:rPr>
                <w:rFonts w:ascii="仿宋_GB2312" w:hAnsi="仿宋_GB2312" w:cs="仿宋_GB2312" w:eastAsia="仿宋_GB2312"/>
              </w:rPr>
              <w:t>成交供应商应采取合理措施保护施工现场环境。对施工作业过程中可能引起的大气、水、噪音以及固体废物污染采取具体可行的防范措施。成交供应商应当承担因其原因引起的环境污染侵权损害赔偿责任，因上述环境污染引起纠纷而导致暂停施工的，由此增加的费用和（或）延误的工期由成交供应商承担。</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技术负责人</w:t>
            </w:r>
          </w:p>
        </w:tc>
        <w:tc>
          <w:tcPr>
            <w:tcW w:type="dxa" w:w="5814"/>
          </w:tcPr>
          <w:p>
            <w:pPr>
              <w:pStyle w:val="null3"/>
              <w:jc w:val="left"/>
            </w:pPr>
            <w:r>
              <w:rPr>
                <w:rFonts w:ascii="仿宋_GB2312" w:hAnsi="仿宋_GB2312" w:cs="仿宋_GB2312" w:eastAsia="仿宋_GB2312"/>
              </w:rPr>
              <w:t>具备建筑工程类专业中级及以上职称。提供：1、人员证书复印件；2、提供其为本单位人员的证明材料。（均加盖单位鲜章）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缺陷责任期</w:t>
            </w:r>
          </w:p>
        </w:tc>
        <w:tc>
          <w:tcPr>
            <w:tcW w:type="dxa" w:w="5814"/>
          </w:tcPr>
          <w:p>
            <w:pPr>
              <w:pStyle w:val="null3"/>
              <w:jc w:val="left"/>
            </w:pPr>
            <w:r>
              <w:rPr>
                <w:rFonts w:ascii="仿宋_GB2312" w:hAnsi="仿宋_GB2312" w:cs="仿宋_GB2312" w:eastAsia="仿宋_GB2312"/>
              </w:rPr>
              <w:t>12个月，自工程竣工验收合格之日起算。</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工程质量保证金</w:t>
            </w:r>
          </w:p>
        </w:tc>
        <w:tc>
          <w:tcPr>
            <w:tcW w:type="dxa" w:w="5814"/>
          </w:tcPr>
          <w:p>
            <w:pPr>
              <w:pStyle w:val="null3"/>
              <w:jc w:val="left"/>
            </w:pPr>
            <w:r>
              <w:rPr>
                <w:rFonts w:ascii="仿宋_GB2312" w:hAnsi="仿宋_GB2312" w:cs="仿宋_GB2312" w:eastAsia="仿宋_GB2312"/>
              </w:rPr>
              <w:t>本项目收取工程价款结算总额的3.0%作为工程质量保证金。质保期满一年后如无工程质量问题，全额无息退还。若工程存在质量问题，应将工程质量保证金转作维修费，并按项目实施责任书或工程承包合同的有关条款进行处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保修期</w:t>
            </w:r>
          </w:p>
        </w:tc>
        <w:tc>
          <w:tcPr>
            <w:tcW w:type="dxa" w:w="5814"/>
          </w:tcPr>
          <w:p>
            <w:pPr>
              <w:pStyle w:val="null3"/>
              <w:jc w:val="left"/>
            </w:pPr>
            <w:r>
              <w:rPr>
                <w:rFonts w:ascii="仿宋_GB2312" w:hAnsi="仿宋_GB2312" w:cs="仿宋_GB2312" w:eastAsia="仿宋_GB2312"/>
              </w:rPr>
              <w:t>参照《建设工程质量管理条例》执行。</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民工工资要求</w:t>
            </w:r>
          </w:p>
        </w:tc>
        <w:tc>
          <w:tcPr>
            <w:tcW w:type="dxa" w:w="5814"/>
          </w:tcPr>
          <w:p>
            <w:pPr>
              <w:pStyle w:val="null3"/>
              <w:jc w:val="left"/>
            </w:pPr>
            <w:r>
              <w:rPr>
                <w:rFonts w:ascii="仿宋_GB2312" w:hAnsi="仿宋_GB2312" w:cs="仿宋_GB2312" w:eastAsia="仿宋_GB2312"/>
              </w:rPr>
              <w:t>承包人应按照《中华人民共和国劳动合同法》规定，与民工建立劳动关系，订立书面劳动合同；按照《保障农民工工资支付条例》第三十二条之规定向人社部门缴纳农民工工资保证金；按照《工程建设领域农民工工资专用账户管理暂行办法》第六条之规定在工程施工合同签订之日起30日内开立专用账户，并与建设单位、开户银行签订资金管理三方协议。在专用账户开立后的30日内报人社局。未开设农民工工资专用账户的依据《保障农民工工资支付条例》第五十五条之规定予以处罚(5-10万元)。承包人申请拨付进度款金额达到合同价的79%时，农民工工资专用账户金额应达到能够足额支付民工工资的金额，每月提交有公司印章的民工工资拨付凭证。</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180天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1、预付款，工程预付款，项目合同签订并开工后，达到付款条件起15日内，据实情况说明为支付合同总金额的30.00%</w:t>
            </w:r>
          </w:p>
          <w:p>
            <w:pPr>
              <w:pStyle w:val="null3"/>
              <w:jc w:val="left"/>
            </w:pPr>
            <w:r>
              <w:rPr>
                <w:rFonts w:ascii="仿宋_GB2312" w:hAnsi="仿宋_GB2312" w:cs="仿宋_GB2312" w:eastAsia="仿宋_GB2312"/>
              </w:rPr>
              <w:t>2、进度款，工程进度款，项目工程量完成80%，达到付款条件起15日内，据实情况说明为支付合同总金额的49.00%</w:t>
            </w:r>
          </w:p>
          <w:p>
            <w:pPr>
              <w:pStyle w:val="null3"/>
              <w:jc w:val="left"/>
            </w:pPr>
            <w:r>
              <w:rPr>
                <w:rFonts w:ascii="仿宋_GB2312" w:hAnsi="仿宋_GB2312" w:cs="仿宋_GB2312" w:eastAsia="仿宋_GB2312"/>
              </w:rPr>
              <w:t>3、尾款，工程尾款，根据工程竣工结算审计结果进行支付，达到付款条件起15日内，据实情况说明为支付合同总金额的18.00%</w:t>
            </w:r>
          </w:p>
          <w:p>
            <w:pPr>
              <w:pStyle w:val="null3"/>
              <w:jc w:val="left"/>
            </w:pPr>
            <w:r>
              <w:rPr>
                <w:rFonts w:ascii="仿宋_GB2312" w:hAnsi="仿宋_GB2312" w:cs="仿宋_GB2312" w:eastAsia="仿宋_GB2312"/>
              </w:rPr>
              <w:t>4、缺陷责任期，缺责任期满一年后，达到付款条件后，达到付款条件起15日内，据实情况说明为支付合同总金额的3.00%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（1）严格按照采购文件、投标文件的相关要求，合同条款要求及相关法律法规或行业规定等进行验收。 （2）采购人将按照《财政部关于进一步加强政府采购需求和履约验收管理的报导意见》（财库【2016】205号）、《政府采购需求管理办法》（财库〔2021〕22 号）和《关于沿用〈乐山市政府采购项目需求论证和履约验收管理实施细则〉的通知》（乐市财政采〔2021〕8号）的规定进行履约验收。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合同约定执行。本项目施工实施过程中，供应商须严格按照项目施工方案及规范施工并做好安全防护措施，在施工过程中，对施工范围周边区域原有设施设备采取适当措施进行保护，如因供应商原因造成施工场地周边原有设备设施损坏的，供应商有责任无偿进行恢复。在施工过程中所发生的所有安全事故和生产事故，劳动纠纷（含农民工工资）均由成交供应商承担。如遇上述情况，采购人有权将未支付的货款用于支付上述事宜，成交供应商不得有异议。</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施工过程中，发现招标工程量清单存在漏项工程的，该漏项工程作为本项目本章采购需求的组成部分，采购人和供应商可以按照《中华人民共和国政府采购法》的规定签订不超过成交金额百 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完整的全套财务报表（应当包括资产负债表、利润表、现金流量表、所有者权益变动表、附注）或者银行出具的资信证明。供应商注册时间截至响应文件提交截止之日前不足一年的，也可提供在相关主管部门备案的公司章程等证明材料。供应商需在交易系统中按要求上传相应证明文件到《具有健全的财务会计制度证明材料》中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建筑工程二级注册建造师及以上建造师注册证书原件扫描件；供应商应当提供项目负责人的行业主管部门颁发的且在有效期内的房屋建筑和市政基础设施工程安全生产考核合格证书（B 证）原件扫描件；供应商需在使用投标（响应）客户端编制响应文件时，按要求上传相应证明材料，填写《投标（响应）函》完成承诺，并进行电子签章。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rFonts w:ascii="仿宋_GB2312" w:hAnsi="仿宋_GB2312" w:cs="仿宋_GB2312" w:eastAsia="仿宋_GB2312"/>
              </w:rPr>
              <w:t>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建筑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投标（响应）函,企业资质信息表</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rFonts w:ascii="仿宋_GB2312" w:hAnsi="仿宋_GB2312" w:cs="仿宋_GB2312" w:eastAsia="仿宋_GB2312"/>
              </w:rPr>
              <w:t>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tc>
        <w:tc>
          <w:tcPr>
            <w:tcW w:type="dxa" w:w="1910"/>
          </w:tcPr>
          <w:p>
            <w:pPr>
              <w:pStyle w:val="null3"/>
              <w:jc w:val="left"/>
            </w:pPr>
            <w:r>
              <w:rPr>
                <w:rFonts w:ascii="仿宋_GB2312" w:hAnsi="仿宋_GB2312" w:cs="仿宋_GB2312" w:eastAsia="仿宋_GB2312"/>
              </w:rPr>
              <w:t>供应商应提交的相关证明材料,入川承诺函.docx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1.超过本采购包采购预算或者最高限价的，供应商响应文件作为无效响应处理。 2.在评审过程中，谈判小组认为供应商响应报价明显低于其他通过符合性审查供应商的响应报价，有可能影响产品质量或者不能诚信履约的，谈判小组应当要求其在合理的时间内通过交易系统进行书面说明并加盖电子签章，必要时提交相关证明材料。在谈判小组要求的时间内通过交易系统进行提交，否则视为不能证明其响应报价合理性。供应商不能证明其响应报价合理性的，谈判小组应当将其响应文件作为无效响应处理。（注：供应商报价低于最高限价85%或者低于其他有效供应商报价算术平均价90%的，谈判小组可以认为该供应商“报价明显低于其他通过符合性审查供应商的供应商报价”。）3.供应商通过项目电子化交易系统在谈判小组要求的合理时间内提交说明，否则无效。</w:t>
            </w:r>
          </w:p>
        </w:tc>
        <w:tc>
          <w:tcPr>
            <w:tcW w:type="dxa" w:w="1910"/>
          </w:tcPr>
          <w:p>
            <w:pPr>
              <w:pStyle w:val="null3"/>
              <w:jc w:val="left"/>
            </w:pPr>
            <w:r>
              <w:rPr>
                <w:rFonts w:ascii="仿宋_GB2312" w:hAnsi="仿宋_GB2312" w:cs="仿宋_GB2312" w:eastAsia="仿宋_GB2312"/>
              </w:rPr>
              <w:t>已标价工程量清单,报价明细表,报价表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技术服务要求应答</w:t>
            </w:r>
          </w:p>
        </w:tc>
        <w:tc>
          <w:tcPr>
            <w:tcW w:type="dxa" w:w="3322"/>
          </w:tcPr>
          <w:p>
            <w:pPr>
              <w:pStyle w:val="null3"/>
              <w:jc w:val="left"/>
            </w:pPr>
            <w:r>
              <w:rPr>
                <w:rFonts w:ascii="仿宋_GB2312" w:hAnsi="仿宋_GB2312" w:cs="仿宋_GB2312" w:eastAsia="仿宋_GB2312"/>
              </w:rPr>
              <w:t>1、供应商必须把谈判文件第3章“3.2 技术要求”、“3.3服务要求”的全部要求在本表中进行逐条响应，供应商若无法列入此表的，由供应商自拟格式响应，并加盖供应商电子印章。 2、标注有“★”的内容为本项目实质性要求，谈判前必须满足，不满足或有负偏离的，响应文件作无效处理。 3、谈判文件要求提供证明材料的，可作为应答表附件附后，并加盖供应商电子印章。</w:t>
            </w:r>
          </w:p>
        </w:tc>
        <w:tc>
          <w:tcPr>
            <w:tcW w:type="dxa" w:w="1910"/>
          </w:tcPr>
          <w:p>
            <w:pPr>
              <w:pStyle w:val="null3"/>
              <w:jc w:val="left"/>
            </w:pPr>
            <w:r>
              <w:rPr>
                <w:rFonts w:ascii="仿宋_GB2312" w:hAnsi="仿宋_GB2312" w:cs="仿宋_GB2312" w:eastAsia="仿宋_GB2312"/>
              </w:rPr>
              <w:t>技术服务要求应答表.docx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谈判小组认为供应商响应报价明显低于其他通过符合性审查供应商的响应报价，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注：供应商报价低于最高限价85%或者低于其他有效供应商报价算术平均价90%的，谈判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已标价工程量清单,报价明细表,报价表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一、评审结束后，代理机构在评审结束后2个工作日内将谈判报告及有关资料送交采购人确定成交供应商。</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详见附件：入川承诺函.docx</w:t>
      </w:r>
    </w:p>
    <w:p>
      <w:pPr>
        <w:pStyle w:val="null3"/>
        <w:ind w:firstLine="960"/>
        <w:jc w:val="left"/>
      </w:pPr>
      <w:r>
        <w:rPr>
          <w:rFonts w:ascii="仿宋_GB2312" w:hAnsi="仿宋_GB2312" w:cs="仿宋_GB2312" w:eastAsia="仿宋_GB2312"/>
        </w:rPr>
        <w:t>详见附件：技术服务要求应答表.docx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详见附件：项目施工合同（模板）.docx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