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b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color w:val="000000"/>
          <w:sz w:val="44"/>
          <w:szCs w:val="44"/>
        </w:rPr>
        <w:t>关于202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</w:rPr>
        <w:t>月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</w:rPr>
        <w:t>日拟对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eastAsia="zh-CN"/>
        </w:rPr>
        <w:t>四川省乐山市金口河区蓝莓果干生产线项目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en-US" w:eastAsia="zh-CN"/>
        </w:rPr>
        <w:t>环境影响报告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</w:rPr>
        <w:t>文件作出审批意见的公示</w:t>
      </w:r>
    </w:p>
    <w:p>
      <w:pPr>
        <w:pStyle w:val="9"/>
        <w:spacing w:beforeAutospacing="0" w:afterAutospacing="0" w:line="500" w:lineRule="exact"/>
        <w:ind w:firstLine="640" w:firstLineChars="200"/>
        <w:rPr>
          <w:rFonts w:hint="eastAsia"/>
          <w:color w:val="00000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根据建设项目环境影响评价审批程序的有关规定，经审议，我局拟对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四川省乐山市金口河区蓝莓果干生产线项目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作出批复决定。为保证此次审议工作的严肃性和公正性，现将建设项目环境影响报告表的基本情况予以公示。公示期为20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日（共5个工作日）。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联系电话：0833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2715922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传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真：0833-2715922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       址：乐山市金口河区滨河路四段133号9楼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金口河生态环境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审批股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听证告知：依据《中华人民共和国行政许可法》，自公示起五日内申请人、利害关系人可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对以下拟作出的建设项目环境影响评价文件批复决定要求听证。</w:t>
      </w:r>
    </w:p>
    <w:p>
      <w:pPr>
        <w:wordWrap w:val="0"/>
        <w:snapToGrid w:val="0"/>
        <w:spacing w:before="100" w:after="100" w:line="500" w:lineRule="exact"/>
        <w:rPr>
          <w:rFonts w:hint="eastAsia" w:ascii="宋体" w:eastAsia="宋体"/>
          <w:bCs/>
          <w:color w:val="000000"/>
          <w:sz w:val="32"/>
          <w:szCs w:val="32"/>
          <w:lang w:eastAsia="zh-CN"/>
        </w:rPr>
      </w:pPr>
      <w:r>
        <w:rPr>
          <w:rFonts w:hint="eastAsia" w:ascii="宋体"/>
          <w:bCs/>
          <w:color w:val="000000"/>
          <w:sz w:val="32"/>
          <w:szCs w:val="32"/>
        </w:rPr>
        <w:t>拟批准的建设项目</w:t>
      </w:r>
      <w:r>
        <w:rPr>
          <w:rFonts w:hint="eastAsia" w:ascii="宋体"/>
          <w:bCs/>
          <w:color w:val="000000"/>
          <w:sz w:val="32"/>
          <w:szCs w:val="32"/>
          <w:lang w:eastAsia="zh-CN"/>
        </w:rPr>
        <w:t>：</w:t>
      </w:r>
    </w:p>
    <w:p>
      <w:pPr>
        <w:pStyle w:val="8"/>
      </w:pPr>
    </w:p>
    <w:tbl>
      <w:tblPr>
        <w:tblStyle w:val="10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793"/>
        <w:gridCol w:w="1286"/>
        <w:gridCol w:w="1083"/>
        <w:gridCol w:w="1407"/>
        <w:gridCol w:w="4608"/>
        <w:gridCol w:w="3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8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3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5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8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环境影响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评价机构</w:t>
            </w:r>
          </w:p>
        </w:tc>
        <w:tc>
          <w:tcPr>
            <w:tcW w:w="163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项目概况</w:t>
            </w:r>
          </w:p>
        </w:tc>
        <w:tc>
          <w:tcPr>
            <w:tcW w:w="119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主要环境影响及预防或者减轻不良环境影响的对策和措施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四川省乐山市金口河区蓝莓果干生产线项目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sz w:val="24"/>
              </w:rPr>
              <w:t>乐山市金口河区共安彝族乡新河村1组（生态食品加工园二期2号厂房）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乐山蓝美生物技术有限公司 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乐山市四维环保科技有限责任公司</w:t>
            </w:r>
          </w:p>
        </w:tc>
        <w:tc>
          <w:tcPr>
            <w:tcW w:w="1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firstLine="240" w:firstLineChars="100"/>
            </w:pPr>
            <w:r>
              <w:rPr>
                <w:rFonts w:hint="eastAsia" w:hAnsi="宋体"/>
                <w:sz w:val="24"/>
              </w:rPr>
              <w:t>本项目主要建设内容为：</w:t>
            </w:r>
            <w:r>
              <w:rPr>
                <w:rFonts w:hint="eastAsia"/>
                <w:sz w:val="24"/>
              </w:rPr>
              <w:t>新建生产线、仓库、检验室、空压机房、设备购置安装及其他附属工程，占地面积3094.44m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，利用蓝莓、白砂糖等加工生产蓝莓果干，年产量1000吨。</w:t>
            </w:r>
          </w:p>
        </w:tc>
        <w:tc>
          <w:tcPr>
            <w:tcW w:w="1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详见附</w:t>
            </w:r>
            <w:r>
              <w:rPr>
                <w:rFonts w:hint="eastAsia" w:cs="Times New Roman"/>
                <w:lang w:val="en-US" w:eastAsia="zh-CN"/>
              </w:rPr>
              <w:t>表</w:t>
            </w:r>
          </w:p>
        </w:tc>
      </w:tr>
    </w:tbl>
    <w:p>
      <w:pPr>
        <w:sectPr>
          <w:pgSz w:w="16840" w:h="11907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pStyle w:val="12"/>
        <w:rPr>
          <w:rFonts w:hint="eastAsia" w:ascii="黑体" w:hAnsi="黑体" w:cs="黑体"/>
          <w:bCs/>
          <w:sz w:val="30"/>
          <w:szCs w:val="30"/>
        </w:rPr>
      </w:pPr>
    </w:p>
    <w:p>
      <w:pPr>
        <w:pStyle w:val="12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黑体" w:hAnsi="黑体" w:cs="黑体"/>
          <w:bCs/>
          <w:sz w:val="30"/>
          <w:szCs w:val="30"/>
          <w:lang w:val="en-US" w:eastAsia="zh-CN"/>
        </w:rPr>
        <w:t xml:space="preserve">附表  </w:t>
      </w:r>
      <w:r>
        <w:rPr>
          <w:rFonts w:hint="eastAsia" w:ascii="黑体" w:hAnsi="黑体" w:cs="黑体"/>
          <w:bCs/>
          <w:sz w:val="30"/>
          <w:szCs w:val="30"/>
        </w:rPr>
        <w:t>建设项目</w:t>
      </w:r>
      <w:r>
        <w:rPr>
          <w:rFonts w:hint="eastAsia" w:ascii="黑体" w:hAnsi="黑体" w:cs="黑体"/>
          <w:bCs/>
          <w:sz w:val="30"/>
          <w:szCs w:val="30"/>
          <w:lang w:val="en-US" w:eastAsia="zh-CN"/>
        </w:rPr>
        <w:t>环境影响及</w:t>
      </w:r>
      <w:r>
        <w:rPr>
          <w:rFonts w:hint="eastAsia" w:ascii="黑体" w:hAnsi="黑体" w:cs="黑体"/>
          <w:bCs/>
          <w:sz w:val="30"/>
          <w:szCs w:val="30"/>
        </w:rPr>
        <w:t>拟采取防治措施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740"/>
        <w:gridCol w:w="1095"/>
        <w:gridCol w:w="2475"/>
        <w:gridCol w:w="2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内容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要素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排放口(编号、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名称)/污染源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污染物项目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环境保护措施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执行标准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地表水环境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生活污水</w:t>
            </w:r>
            <w:r>
              <w:rPr>
                <w:rFonts w:hint="eastAsia"/>
                <w:sz w:val="24"/>
              </w:rPr>
              <w:t>、浸渍液浓缩蒸馏水、浸渍蓝莓清洗废水、设备冲洗废水、地面清洁废水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ind w:firstLine="33" w:firstLineChars="14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COD、BOD</w:t>
            </w:r>
            <w:r>
              <w:rPr>
                <w:kern w:val="0"/>
                <w:sz w:val="24"/>
                <w:vertAlign w:val="subscript"/>
              </w:rPr>
              <w:t>5</w:t>
            </w:r>
            <w:r>
              <w:rPr>
                <w:kern w:val="0"/>
                <w:sz w:val="24"/>
              </w:rPr>
              <w:t>、SS、NH</w:t>
            </w:r>
            <w:r>
              <w:rPr>
                <w:kern w:val="0"/>
                <w:sz w:val="24"/>
                <w:vertAlign w:val="subscript"/>
              </w:rPr>
              <w:t>3</w:t>
            </w:r>
            <w:r>
              <w:rPr>
                <w:kern w:val="0"/>
                <w:sz w:val="24"/>
              </w:rPr>
              <w:t>-N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经预处理后</w:t>
            </w:r>
            <w:r>
              <w:rPr>
                <w:rFonts w:hint="eastAsia"/>
                <w:sz w:val="24"/>
              </w:rPr>
              <w:t>排入园区污水处理厂处理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生产废水预处理设施排放标准执行《污水综合排放标准》（</w:t>
            </w:r>
            <w:r>
              <w:rPr>
                <w:rFonts w:hint="eastAsia"/>
                <w:sz w:val="24"/>
                <w:lang w:val="en-US" w:eastAsia="zh-CN"/>
              </w:rPr>
              <w:t>GD8978-1996</w:t>
            </w:r>
            <w:r>
              <w:rPr>
                <w:rFonts w:hint="eastAsia"/>
                <w:sz w:val="24"/>
                <w:lang w:eastAsia="zh-CN"/>
              </w:rPr>
              <w:t>）三级标准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声环境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设备噪声、运输车辆噪声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噪声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使用低噪设备、减振隔声；</w:t>
            </w:r>
            <w:r>
              <w:rPr>
                <w:rFonts w:hint="eastAsia"/>
                <w:kern w:val="0"/>
                <w:sz w:val="24"/>
              </w:rPr>
              <w:t>封闭式厂房，合理布置设备位置</w:t>
            </w:r>
            <w:r>
              <w:rPr>
                <w:rFonts w:hint="eastAsia"/>
                <w:sz w:val="24"/>
              </w:rPr>
              <w:t>；合理规划运输线路，合理安排运输时间；限速，通过居民区时禁止鸣笛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《工业企业厂界环境噪声排放标准》（</w:t>
            </w:r>
            <w:r>
              <w:rPr>
                <w:sz w:val="24"/>
              </w:rPr>
              <w:t>GB12348-2008</w:t>
            </w:r>
            <w:r>
              <w:rPr>
                <w:rFonts w:hint="eastAsia"/>
                <w:sz w:val="24"/>
              </w:rPr>
              <w:t>）2类标准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固体废物</w:t>
            </w:r>
          </w:p>
        </w:tc>
        <w:tc>
          <w:tcPr>
            <w:tcW w:w="75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废果和生活垃圾一起收集后交由环卫部门统一处理；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废包材和金属废弃物</w:t>
            </w:r>
            <w:r>
              <w:rPr>
                <w:rFonts w:hint="eastAsia"/>
                <w:bCs/>
                <w:sz w:val="24"/>
              </w:rPr>
              <w:t>收集后外售废品</w:t>
            </w:r>
            <w:r>
              <w:rPr>
                <w:rFonts w:hint="eastAsia"/>
                <w:sz w:val="24"/>
              </w:rPr>
              <w:t>回收站；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废机油桶装收集后暂存于危废暂存间，定期交有资质单位处置；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生态保护措施</w:t>
            </w:r>
          </w:p>
        </w:tc>
        <w:tc>
          <w:tcPr>
            <w:tcW w:w="75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项目位于生态食品加工园区内，不新增占地，无需采取生态保护措施</w:t>
            </w:r>
            <w:r>
              <w:rPr>
                <w:sz w:val="24"/>
              </w:rPr>
              <w:t>。</w:t>
            </w:r>
          </w:p>
        </w:tc>
      </w:tr>
    </w:tbl>
    <w:p>
      <w:pPr>
        <w:pStyle w:val="2"/>
      </w:pPr>
    </w:p>
    <w:p/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NDhmZTVmYmJlNDk0M2Y1Yzg1MWVkYjgyOGZjMjkifQ=="/>
  </w:docVars>
  <w:rsids>
    <w:rsidRoot w:val="00000000"/>
    <w:rsid w:val="06E56783"/>
    <w:rsid w:val="0DF13FBE"/>
    <w:rsid w:val="1A10294D"/>
    <w:rsid w:val="21FB4915"/>
    <w:rsid w:val="40E03CED"/>
    <w:rsid w:val="60CB20F0"/>
    <w:rsid w:val="67C21099"/>
    <w:rsid w:val="68D66188"/>
    <w:rsid w:val="6F737045"/>
    <w:rsid w:val="75C37A55"/>
    <w:rsid w:val="7B58618C"/>
    <w:rsid w:val="7F0F2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3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Times New Roman" w:hAnsi="Times New Roman" w:eastAsia="宋体" w:cs="Times New Roman"/>
      <w:b/>
      <w:kern w:val="36"/>
      <w:sz w:val="48"/>
      <w:szCs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 w:val="0"/>
      <w:spacing w:line="360" w:lineRule="auto"/>
    </w:pPr>
    <w:rPr>
      <w:kern w:val="2"/>
      <w:sz w:val="28"/>
      <w:szCs w:val="24"/>
    </w:rPr>
  </w:style>
  <w:style w:type="paragraph" w:styleId="4">
    <w:name w:val="Body Text Indent"/>
    <w:basedOn w:val="1"/>
    <w:next w:val="1"/>
    <w:qFormat/>
    <w:uiPriority w:val="0"/>
    <w:pPr>
      <w:widowControl w:val="0"/>
      <w:spacing w:after="120"/>
      <w:ind w:left="420" w:leftChars="200"/>
    </w:pPr>
    <w:rPr>
      <w:kern w:val="2"/>
      <w:szCs w:val="24"/>
    </w:rPr>
  </w:style>
  <w:style w:type="paragraph" w:styleId="5">
    <w:name w:val="Plain Text"/>
    <w:basedOn w:val="1"/>
    <w:next w:val="6"/>
    <w:uiPriority w:val="0"/>
    <w:pPr>
      <w:autoSpaceDE w:val="0"/>
      <w:autoSpaceDN w:val="0"/>
      <w:adjustRightInd w:val="0"/>
      <w:spacing w:line="440" w:lineRule="atLeast"/>
      <w:ind w:firstLine="425"/>
    </w:pPr>
    <w:rPr>
      <w:rFonts w:ascii="宋体" w:hAnsi="Tms Rmn"/>
      <w:kern w:val="0"/>
      <w:sz w:val="28"/>
      <w:szCs w:val="20"/>
    </w:rPr>
  </w:style>
  <w:style w:type="paragraph" w:customStyle="1" w:styleId="6">
    <w:name w:val="正本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kern w:val="2"/>
      <w:sz w:val="24"/>
      <w:szCs w:val="24"/>
      <w:lang w:val="en-US" w:bidi="ar-SA"/>
    </w:rPr>
  </w:style>
  <w:style w:type="paragraph" w:styleId="7">
    <w:name w:val="Body Text Indent 2"/>
    <w:basedOn w:val="1"/>
    <w:unhideWhenUsed/>
    <w:uiPriority w:val="99"/>
    <w:pPr>
      <w:spacing w:after="120" w:line="480" w:lineRule="auto"/>
      <w:ind w:left="420" w:leftChars="200"/>
    </w:pPr>
  </w:style>
  <w:style w:type="paragraph" w:styleId="8">
    <w:name w:val="table of figures"/>
    <w:basedOn w:val="1"/>
    <w:next w:val="1"/>
    <w:qFormat/>
    <w:uiPriority w:val="0"/>
    <w:pPr>
      <w:ind w:leftChars="200" w:hanging="200" w:hangingChars="200"/>
    </w:pPr>
    <w:rPr>
      <w:szCs w:val="20"/>
    </w:rPr>
  </w:style>
  <w:style w:type="paragraph" w:styleId="9">
    <w:name w:val="Normal (Web)"/>
    <w:basedOn w:val="1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customStyle="1" w:styleId="12">
    <w:name w:val="1级标题"/>
    <w:qFormat/>
    <w:uiPriority w:val="0"/>
    <w:pPr>
      <w:spacing w:line="360" w:lineRule="auto"/>
      <w:jc w:val="both"/>
      <w:outlineLvl w:val="0"/>
    </w:pPr>
    <w:rPr>
      <w:rFonts w:ascii="Times New Roman" w:hAnsi="Times New Roman" w:eastAsia="黑体" w:cs="Times New Roman"/>
      <w:sz w:val="36"/>
      <w:szCs w:val="36"/>
      <w:lang w:val="en-US" w:eastAsia="zh-CN" w:bidi="ar-SA"/>
    </w:rPr>
  </w:style>
  <w:style w:type="paragraph" w:customStyle="1" w:styleId="13">
    <w:name w:val="aa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4"/>
    </w:rPr>
  </w:style>
  <w:style w:type="paragraph" w:customStyle="1" w:styleId="14">
    <w:name w:val="正文文本缩进 2 + 五号"/>
    <w:basedOn w:val="7"/>
    <w:qFormat/>
    <w:uiPriority w:val="0"/>
    <w:pPr>
      <w:spacing w:line="240" w:lineRule="auto"/>
      <w:ind w:left="0" w:leftChars="0" w:firstLine="0" w:firstLineChars="0"/>
    </w:pPr>
    <w:rPr>
      <w:sz w:val="21"/>
      <w:szCs w:val="21"/>
    </w:rPr>
  </w:style>
  <w:style w:type="character" w:customStyle="1" w:styleId="15">
    <w:name w:val="我的正文 字符"/>
    <w:link w:val="16"/>
    <w:qFormat/>
    <w:uiPriority w:val="0"/>
    <w:rPr>
      <w:sz w:val="24"/>
    </w:rPr>
  </w:style>
  <w:style w:type="paragraph" w:customStyle="1" w:styleId="16">
    <w:name w:val="我的正文"/>
    <w:basedOn w:val="1"/>
    <w:link w:val="15"/>
    <w:qFormat/>
    <w:uiPriority w:val="0"/>
    <w:pPr>
      <w:widowControl/>
      <w:autoSpaceDE w:val="0"/>
      <w:autoSpaceDN w:val="0"/>
      <w:spacing w:line="360" w:lineRule="auto"/>
      <w:ind w:firstLine="200" w:firstLineChars="200"/>
    </w:pPr>
    <w:rPr>
      <w:sz w:val="24"/>
    </w:rPr>
  </w:style>
  <w:style w:type="paragraph" w:customStyle="1" w:styleId="17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 w:val="20"/>
      <w:szCs w:val="21"/>
    </w:rPr>
  </w:style>
  <w:style w:type="paragraph" w:customStyle="1" w:styleId="18">
    <w:name w:val="糖正文"/>
    <w:basedOn w:val="1"/>
    <w:qFormat/>
    <w:uiPriority w:val="0"/>
    <w:pPr>
      <w:widowControl/>
      <w:autoSpaceDE w:val="0"/>
      <w:autoSpaceDN w:val="0"/>
      <w:spacing w:line="360" w:lineRule="auto"/>
      <w:ind w:firstLine="200" w:firstLineChars="200"/>
    </w:pPr>
    <w:rPr>
      <w:sz w:val="24"/>
    </w:rPr>
  </w:style>
  <w:style w:type="paragraph" w:customStyle="1" w:styleId="19">
    <w:name w:val="表格字体"/>
    <w:qFormat/>
    <w:uiPriority w:val="0"/>
    <w:pPr>
      <w:snapToGrid w:val="0"/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13"/>
    <w:basedOn w:val="1"/>
    <w:qFormat/>
    <w:uiPriority w:val="0"/>
    <w:pPr>
      <w:wordWrap w:val="0"/>
      <w:autoSpaceDE w:val="0"/>
      <w:autoSpaceDN w:val="0"/>
      <w:adjustRightInd w:val="0"/>
      <w:jc w:val="center"/>
    </w:pPr>
    <w:rPr>
      <w:rFonts w:ascii="Calibri" w:hAnsi="Calibri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935</Characters>
  <Lines>0</Lines>
  <Paragraphs>0</Paragraphs>
  <TotalTime>0</TotalTime>
  <ScaleCrop>false</ScaleCrop>
  <LinksUpToDate>false</LinksUpToDate>
  <CharactersWithSpaces>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2021-04-13T02:58:53Z</dcterms:created>
  <dc:creator>Lenovo</dc:creator>
  <cp:lastModifiedBy>WPS_1521294504</cp:lastModifiedBy>
  <dcterms:modified xsi:type="dcterms:W3CDTF">2023-08-21T06:26:42Z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9CB1135FB01944E9A79103276EA87D62_13</vt:lpwstr>
  </property>
</Properties>
</file>