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80" w:lineRule="atLeast"/>
        <w:ind w:left="0" w:right="0" w:firstLine="0"/>
        <w:jc w:val="center"/>
        <w:rPr>
          <w:rFonts w:hint="eastAsia" w:ascii="微软雅黑" w:hAnsi="微软雅黑" w:eastAsia="微软雅黑" w:cs="微软雅黑"/>
          <w:i w:val="0"/>
          <w:iCs w:val="0"/>
          <w:caps w:val="0"/>
          <w:color w:val="auto"/>
          <w:spacing w:val="0"/>
          <w:sz w:val="54"/>
          <w:szCs w:val="54"/>
        </w:rPr>
      </w:pPr>
      <w:r>
        <w:rPr>
          <w:rFonts w:hint="eastAsia" w:ascii="微软雅黑" w:hAnsi="微软雅黑" w:eastAsia="微软雅黑" w:cs="微软雅黑"/>
          <w:i w:val="0"/>
          <w:iCs w:val="0"/>
          <w:caps w:val="0"/>
          <w:color w:val="auto"/>
          <w:spacing w:val="0"/>
          <w:sz w:val="54"/>
          <w:szCs w:val="54"/>
          <w:lang w:eastAsia="zh-CN"/>
        </w:rPr>
        <w:t>金口河区发改局</w:t>
      </w:r>
      <w:r>
        <w:rPr>
          <w:rFonts w:hint="eastAsia" w:ascii="微软雅黑" w:hAnsi="微软雅黑" w:eastAsia="微软雅黑" w:cs="微软雅黑"/>
          <w:i w:val="0"/>
          <w:iCs w:val="0"/>
          <w:caps w:val="0"/>
          <w:color w:val="auto"/>
          <w:spacing w:val="0"/>
          <w:sz w:val="54"/>
          <w:szCs w:val="54"/>
        </w:rPr>
        <w:t>单位综合性涉企收费目录清单</w:t>
      </w:r>
    </w:p>
    <w:p>
      <w:pPr>
        <w:keepNext w:val="0"/>
        <w:keepLines w:val="0"/>
        <w:widowControl/>
        <w:suppressLineNumbers w:val="0"/>
        <w:pBdr>
          <w:top w:val="none" w:color="auto" w:sz="0" w:space="0"/>
          <w:left w:val="none" w:color="auto" w:sz="0" w:space="0"/>
          <w:bottom w:val="single" w:color="CCCCCC" w:sz="2" w:space="0"/>
          <w:right w:val="none" w:color="auto" w:sz="0" w:space="0"/>
        </w:pBdr>
        <w:spacing w:before="0" w:beforeAutospacing="0" w:after="0" w:afterAutospacing="0" w:line="600" w:lineRule="atLeast"/>
        <w:ind w:left="450" w:right="450" w:firstLine="0"/>
        <w:jc w:val="center"/>
        <w:rPr>
          <w:rFonts w:hint="eastAsia" w:ascii="微软雅黑" w:hAnsi="微软雅黑" w:eastAsia="微软雅黑" w:cs="微软雅黑"/>
          <w:i w:val="0"/>
          <w:iCs w:val="0"/>
          <w:caps w:val="0"/>
          <w:color w:val="auto"/>
          <w:spacing w:val="0"/>
          <w:sz w:val="24"/>
          <w:szCs w:val="24"/>
        </w:rPr>
      </w:pPr>
    </w:p>
    <w:tbl>
      <w:tblPr>
        <w:tblStyle w:val="15"/>
        <w:tblW w:w="135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5"/>
        <w:gridCol w:w="1105"/>
        <w:gridCol w:w="735"/>
        <w:gridCol w:w="1290"/>
        <w:gridCol w:w="900"/>
        <w:gridCol w:w="1500"/>
        <w:gridCol w:w="3465"/>
        <w:gridCol w:w="1514"/>
        <w:gridCol w:w="1976"/>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5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Calibri" w:hAnsi="Calibri" w:cs="Calibri"/>
                <w:sz w:val="21"/>
                <w:szCs w:val="21"/>
              </w:rPr>
            </w:pPr>
            <w:r>
              <w:rPr>
                <w:rFonts w:ascii="黑体" w:hAnsi="宋体" w:eastAsia="黑体" w:cs="黑体"/>
                <w:color w:val="000000"/>
                <w:sz w:val="24"/>
                <w:szCs w:val="24"/>
              </w:rPr>
              <w:t>序号</w:t>
            </w:r>
          </w:p>
        </w:tc>
        <w:tc>
          <w:tcPr>
            <w:tcW w:w="1105"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收费单位名称</w:t>
            </w:r>
          </w:p>
        </w:tc>
        <w:tc>
          <w:tcPr>
            <w:tcW w:w="735"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单位性质</w:t>
            </w:r>
          </w:p>
        </w:tc>
        <w:tc>
          <w:tcPr>
            <w:tcW w:w="129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收费项目</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收费性质</w:t>
            </w:r>
          </w:p>
        </w:tc>
        <w:tc>
          <w:tcPr>
            <w:tcW w:w="150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服务内容</w:t>
            </w:r>
            <w:r>
              <w:rPr>
                <w:rFonts w:hint="eastAsia" w:ascii="黑体" w:hAnsi="宋体" w:eastAsia="黑体" w:cs="黑体"/>
                <w:color w:val="000000"/>
                <w:sz w:val="24"/>
                <w:szCs w:val="24"/>
              </w:rPr>
              <w:br w:type="textWrapping"/>
            </w:r>
            <w:r>
              <w:rPr>
                <w:rFonts w:hint="eastAsia" w:ascii="黑体" w:hAnsi="宋体" w:eastAsia="黑体" w:cs="黑体"/>
                <w:color w:val="000000"/>
                <w:sz w:val="24"/>
                <w:szCs w:val="24"/>
              </w:rPr>
              <w:t>或涉及事项</w:t>
            </w:r>
          </w:p>
        </w:tc>
        <w:tc>
          <w:tcPr>
            <w:tcW w:w="3465"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收费标准</w:t>
            </w:r>
          </w:p>
        </w:tc>
        <w:tc>
          <w:tcPr>
            <w:tcW w:w="1514"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标准制定</w:t>
            </w:r>
            <w:r>
              <w:rPr>
                <w:rFonts w:hint="eastAsia" w:ascii="黑体" w:hAnsi="宋体" w:eastAsia="黑体" w:cs="黑体"/>
                <w:color w:val="000000"/>
                <w:sz w:val="24"/>
                <w:szCs w:val="24"/>
              </w:rPr>
              <w:br w:type="textWrapping"/>
            </w:r>
            <w:r>
              <w:rPr>
                <w:rFonts w:hint="eastAsia" w:ascii="黑体" w:hAnsi="宋体" w:eastAsia="黑体" w:cs="黑体"/>
                <w:color w:val="000000"/>
                <w:sz w:val="24"/>
                <w:szCs w:val="24"/>
              </w:rPr>
              <w:t>方式及部门</w:t>
            </w:r>
          </w:p>
        </w:tc>
        <w:tc>
          <w:tcPr>
            <w:tcW w:w="1976"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政策依据</w:t>
            </w:r>
          </w:p>
        </w:tc>
        <w:tc>
          <w:tcPr>
            <w:tcW w:w="576"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21"/>
                <w:szCs w:val="21"/>
              </w:rPr>
            </w:pPr>
            <w:r>
              <w:rPr>
                <w:rFonts w:hint="eastAsia" w:ascii="黑体" w:hAnsi="宋体" w:eastAsia="黑体" w:cs="黑体"/>
                <w:color w:val="00000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4" w:hRule="atLeast"/>
        </w:trPr>
        <w:tc>
          <w:tcPr>
            <w:tcW w:w="51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w:t>
            </w:r>
          </w:p>
        </w:tc>
        <w:tc>
          <w:tcPr>
            <w:tcW w:w="11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lang w:eastAsia="zh-CN"/>
              </w:rPr>
            </w:pPr>
            <w:bookmarkStart w:id="0" w:name="OLE_LINK1"/>
            <w:r>
              <w:rPr>
                <w:rFonts w:hint="eastAsia" w:ascii="仿宋_GB2312" w:hAnsi="仿宋_GB2312" w:eastAsia="仿宋_GB2312" w:cs="仿宋_GB2312"/>
                <w:color w:val="000000"/>
                <w:sz w:val="24"/>
                <w:szCs w:val="24"/>
                <w:lang w:eastAsia="zh-CN"/>
              </w:rPr>
              <w:t>乐山市金口河区发展和改革局</w:t>
            </w:r>
            <w:bookmarkEnd w:id="0"/>
          </w:p>
        </w:tc>
        <w:tc>
          <w:tcPr>
            <w:tcW w:w="73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政府部门</w:t>
            </w:r>
          </w:p>
        </w:tc>
        <w:tc>
          <w:tcPr>
            <w:tcW w:w="129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政府信息公开信息处理费</w:t>
            </w:r>
          </w:p>
        </w:tc>
        <w:tc>
          <w:tcPr>
            <w:tcW w:w="9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行政事业性收费</w:t>
            </w:r>
          </w:p>
        </w:tc>
        <w:tc>
          <w:tcPr>
            <w:tcW w:w="15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处理申请人超出一定数量或者频次范围的政府信息公开申请</w:t>
            </w:r>
          </w:p>
        </w:tc>
        <w:tc>
          <w:tcPr>
            <w:tcW w:w="346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按件计收：同一申请人一个自然月内累计申请10件以下（含10件）的，不收费；同一申请人一个自然月内累计申请11-30件（含30件）的部分：100元/件；同一申请人一个自然月内累计申请31件以上的部分：以10件为一档，每增加一档，收费标准提高100元/件。</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2.按量计收：30页以下（含30页）的，不收费；31-100页（含100页）的部分：10元/页；101-200页（含200页）的部分：20元/页；201页以上的部分：40元/页</w:t>
            </w:r>
          </w:p>
        </w:tc>
        <w:tc>
          <w:tcPr>
            <w:tcW w:w="151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政府制定，国务院办公厅</w:t>
            </w:r>
          </w:p>
        </w:tc>
        <w:tc>
          <w:tcPr>
            <w:tcW w:w="197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《政府信息公开条例》《国务院办公厅关于印发&lt;</w:t>
            </w:r>
            <w:bookmarkStart w:id="1" w:name="OLE_LINK2"/>
            <w:r>
              <w:rPr>
                <w:rFonts w:hint="eastAsia" w:ascii="仿宋_GB2312" w:hAnsi="仿宋_GB2312" w:eastAsia="仿宋_GB2312" w:cs="仿宋_GB2312"/>
                <w:color w:val="000000"/>
                <w:sz w:val="24"/>
                <w:szCs w:val="24"/>
              </w:rPr>
              <w:t>政府信息公开信息处理费管理办法&gt;的通知</w:t>
            </w:r>
            <w:bookmarkEnd w:id="1"/>
            <w:r>
              <w:rPr>
                <w:rFonts w:hint="eastAsia" w:ascii="仿宋_GB2312" w:hAnsi="仿宋_GB2312" w:eastAsia="仿宋_GB2312" w:cs="仿宋_GB2312"/>
                <w:color w:val="000000"/>
                <w:sz w:val="24"/>
                <w:szCs w:val="24"/>
              </w:rPr>
              <w:t>》（国办函〔2020〕109号）</w:t>
            </w:r>
          </w:p>
        </w:tc>
        <w:tc>
          <w:tcPr>
            <w:tcW w:w="57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51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w:t>
            </w:r>
          </w:p>
        </w:tc>
        <w:tc>
          <w:tcPr>
            <w:tcW w:w="11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乐山市金口河区发展和改革局</w:t>
            </w:r>
          </w:p>
        </w:tc>
        <w:tc>
          <w:tcPr>
            <w:tcW w:w="73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政府部门</w:t>
            </w:r>
          </w:p>
        </w:tc>
        <w:tc>
          <w:tcPr>
            <w:tcW w:w="129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政府采购履约保证金</w:t>
            </w:r>
          </w:p>
        </w:tc>
        <w:tc>
          <w:tcPr>
            <w:tcW w:w="9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涉企保证金</w:t>
            </w:r>
          </w:p>
        </w:tc>
        <w:tc>
          <w:tcPr>
            <w:tcW w:w="15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政府采购履约保证金</w:t>
            </w:r>
          </w:p>
        </w:tc>
        <w:tc>
          <w:tcPr>
            <w:tcW w:w="346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履约保证金不超过政府采购合同金额的10%</w:t>
            </w:r>
          </w:p>
        </w:tc>
        <w:tc>
          <w:tcPr>
            <w:tcW w:w="151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政府制定，财政部</w:t>
            </w:r>
          </w:p>
        </w:tc>
        <w:tc>
          <w:tcPr>
            <w:tcW w:w="197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bookmarkStart w:id="2" w:name="OLE_LINK3"/>
            <w:r>
              <w:rPr>
                <w:rFonts w:hint="eastAsia" w:ascii="仿宋_GB2312" w:hAnsi="仿宋_GB2312" w:eastAsia="仿宋_GB2312" w:cs="仿宋_GB2312"/>
                <w:color w:val="000000"/>
                <w:sz w:val="24"/>
                <w:szCs w:val="24"/>
              </w:rPr>
              <w:t>中华人民共和国政府采购法实施条例</w:t>
            </w:r>
            <w:bookmarkEnd w:id="2"/>
            <w:r>
              <w:rPr>
                <w:rFonts w:hint="eastAsia" w:ascii="仿宋_GB2312" w:hAnsi="仿宋_GB2312" w:eastAsia="仿宋_GB2312" w:cs="仿宋_GB2312"/>
                <w:color w:val="000000"/>
                <w:sz w:val="24"/>
                <w:szCs w:val="24"/>
              </w:rPr>
              <w:t>》</w:t>
            </w:r>
          </w:p>
        </w:tc>
        <w:tc>
          <w:tcPr>
            <w:tcW w:w="57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trPr>
        <w:tc>
          <w:tcPr>
            <w:tcW w:w="5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w:t>
            </w:r>
          </w:p>
        </w:tc>
        <w:tc>
          <w:tcPr>
            <w:tcW w:w="11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乐山市金口河区发展和改革局</w:t>
            </w:r>
          </w:p>
        </w:tc>
        <w:tc>
          <w:tcPr>
            <w:tcW w:w="7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政府部门</w:t>
            </w:r>
          </w:p>
        </w:tc>
        <w:tc>
          <w:tcPr>
            <w:tcW w:w="12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履约保证金</w:t>
            </w:r>
          </w:p>
        </w:tc>
        <w:tc>
          <w:tcPr>
            <w:tcW w:w="9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涉企保证金</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bookmarkStart w:id="3" w:name="OLE_LINK4"/>
            <w:r>
              <w:rPr>
                <w:rFonts w:hint="eastAsia" w:ascii="仿宋_GB2312" w:hAnsi="仿宋_GB2312" w:eastAsia="仿宋_GB2312" w:cs="仿宋_GB2312"/>
                <w:color w:val="000000"/>
                <w:sz w:val="24"/>
                <w:szCs w:val="24"/>
              </w:rPr>
              <w:t>履约保证金</w:t>
            </w:r>
            <w:bookmarkEnd w:id="3"/>
          </w:p>
        </w:tc>
        <w:tc>
          <w:tcPr>
            <w:tcW w:w="34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履约保证金不超过中标合同金额的10%</w:t>
            </w:r>
          </w:p>
        </w:tc>
        <w:tc>
          <w:tcPr>
            <w:tcW w:w="15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政府制定，国家发展改革委</w:t>
            </w:r>
          </w:p>
        </w:tc>
        <w:tc>
          <w:tcPr>
            <w:tcW w:w="197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bookmarkStart w:id="4" w:name="OLE_LINK5"/>
            <w:r>
              <w:rPr>
                <w:rFonts w:hint="eastAsia" w:ascii="仿宋_GB2312" w:hAnsi="仿宋_GB2312" w:eastAsia="仿宋_GB2312" w:cs="仿宋_GB2312"/>
                <w:color w:val="000000"/>
                <w:sz w:val="24"/>
                <w:szCs w:val="24"/>
              </w:rPr>
              <w:t>中华人民共和国招标投标法</w:t>
            </w:r>
            <w:bookmarkEnd w:id="4"/>
            <w:r>
              <w:rPr>
                <w:rFonts w:hint="eastAsia" w:ascii="仿宋_GB2312" w:hAnsi="仿宋_GB2312" w:eastAsia="仿宋_GB2312" w:cs="仿宋_GB2312"/>
                <w:color w:val="000000"/>
                <w:sz w:val="24"/>
                <w:szCs w:val="24"/>
              </w:rPr>
              <w:t>》《</w:t>
            </w:r>
            <w:bookmarkStart w:id="5" w:name="OLE_LINK6"/>
            <w:r>
              <w:rPr>
                <w:rFonts w:hint="eastAsia" w:ascii="仿宋_GB2312" w:hAnsi="仿宋_GB2312" w:eastAsia="仿宋_GB2312" w:cs="仿宋_GB2312"/>
                <w:color w:val="000000"/>
                <w:sz w:val="24"/>
                <w:szCs w:val="24"/>
              </w:rPr>
              <w:t>中华人民共和国招标投标法实施条例</w:t>
            </w:r>
            <w:bookmarkEnd w:id="5"/>
            <w:r>
              <w:rPr>
                <w:rFonts w:hint="eastAsia" w:ascii="仿宋_GB2312" w:hAnsi="仿宋_GB2312" w:eastAsia="仿宋_GB2312" w:cs="仿宋_GB2312"/>
                <w:color w:val="000000"/>
                <w:sz w:val="24"/>
                <w:szCs w:val="24"/>
              </w:rPr>
              <w:t>》</w:t>
            </w:r>
          </w:p>
        </w:tc>
        <w:tc>
          <w:tcPr>
            <w:tcW w:w="57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4" w:hRule="atLeast"/>
        </w:trPr>
        <w:tc>
          <w:tcPr>
            <w:tcW w:w="5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w:t>
            </w:r>
          </w:p>
        </w:tc>
        <w:tc>
          <w:tcPr>
            <w:tcW w:w="1105"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乐山市金口河区发展和改革局</w:t>
            </w:r>
          </w:p>
        </w:tc>
        <w:tc>
          <w:tcPr>
            <w:tcW w:w="735"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政府部门</w:t>
            </w:r>
          </w:p>
        </w:tc>
        <w:tc>
          <w:tcPr>
            <w:tcW w:w="129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投标保证金</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涉企保证金</w:t>
            </w:r>
          </w:p>
        </w:tc>
        <w:tc>
          <w:tcPr>
            <w:tcW w:w="1500"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投标保证金</w:t>
            </w:r>
          </w:p>
        </w:tc>
        <w:tc>
          <w:tcPr>
            <w:tcW w:w="3465"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bookmarkStart w:id="6" w:name="OLE_LINK7"/>
            <w:r>
              <w:rPr>
                <w:rFonts w:hint="eastAsia" w:ascii="仿宋_GB2312" w:hAnsi="仿宋_GB2312" w:eastAsia="仿宋_GB2312" w:cs="仿宋_GB2312"/>
                <w:color w:val="000000"/>
                <w:sz w:val="24"/>
                <w:szCs w:val="24"/>
              </w:rPr>
              <w:t>投标保证金不超过招</w:t>
            </w:r>
            <w:bookmarkStart w:id="9" w:name="_GoBack"/>
            <w:bookmarkEnd w:id="9"/>
            <w:r>
              <w:rPr>
                <w:rFonts w:hint="eastAsia" w:ascii="仿宋_GB2312" w:hAnsi="仿宋_GB2312" w:eastAsia="仿宋_GB2312" w:cs="仿宋_GB2312"/>
                <w:color w:val="000000"/>
                <w:sz w:val="24"/>
                <w:szCs w:val="24"/>
              </w:rPr>
              <w:t>标项目估算价的1%</w:t>
            </w:r>
            <w:bookmarkEnd w:id="6"/>
          </w:p>
        </w:tc>
        <w:tc>
          <w:tcPr>
            <w:tcW w:w="1514"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政府制定，国家发展改革委，四川省人民政府办公厅</w:t>
            </w:r>
          </w:p>
        </w:tc>
        <w:tc>
          <w:tcPr>
            <w:tcW w:w="1976"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《中华人民共和国招标投标法》《中华人民共和国招标投标法实施条例》《</w:t>
            </w:r>
            <w:bookmarkStart w:id="7" w:name="OLE_LINK8"/>
            <w:r>
              <w:rPr>
                <w:rFonts w:hint="eastAsia" w:ascii="仿宋_GB2312" w:hAnsi="仿宋_GB2312" w:eastAsia="仿宋_GB2312" w:cs="仿宋_GB2312"/>
                <w:color w:val="000000"/>
                <w:sz w:val="24"/>
                <w:szCs w:val="24"/>
              </w:rPr>
              <w:t>四川省人民政府办公厅关于印发支持建筑业企业发展十条措施的通知</w:t>
            </w:r>
            <w:bookmarkEnd w:id="7"/>
            <w:r>
              <w:rPr>
                <w:rFonts w:hint="eastAsia" w:ascii="仿宋_GB2312" w:hAnsi="仿宋_GB2312" w:eastAsia="仿宋_GB2312" w:cs="仿宋_GB2312"/>
                <w:color w:val="000000"/>
                <w:sz w:val="24"/>
                <w:szCs w:val="24"/>
              </w:rPr>
              <w:t>》（川办规〔2022〕5号）</w:t>
            </w:r>
          </w:p>
        </w:tc>
        <w:tc>
          <w:tcPr>
            <w:tcW w:w="576" w:type="dxa"/>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4" w:hRule="atLeast"/>
        </w:trPr>
        <w:tc>
          <w:tcPr>
            <w:tcW w:w="515"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w:t>
            </w:r>
          </w:p>
        </w:tc>
        <w:tc>
          <w:tcPr>
            <w:tcW w:w="11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eastAsia="zh-CN"/>
              </w:rPr>
              <w:t>乐山市金口河区发展和改革局</w:t>
            </w:r>
          </w:p>
        </w:tc>
        <w:tc>
          <w:tcPr>
            <w:tcW w:w="73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政府部门</w:t>
            </w:r>
          </w:p>
        </w:tc>
        <w:tc>
          <w:tcPr>
            <w:tcW w:w="129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工程质量保证金</w:t>
            </w:r>
          </w:p>
        </w:tc>
        <w:tc>
          <w:tcPr>
            <w:tcW w:w="9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涉企保证金</w:t>
            </w:r>
          </w:p>
        </w:tc>
        <w:tc>
          <w:tcPr>
            <w:tcW w:w="150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工程质量保证金</w:t>
            </w:r>
          </w:p>
        </w:tc>
        <w:tc>
          <w:tcPr>
            <w:tcW w:w="346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保证金预留比例由发承包双方自行约定，但不超过工程价款结算总额的3%</w:t>
            </w:r>
          </w:p>
        </w:tc>
        <w:tc>
          <w:tcPr>
            <w:tcW w:w="1514"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政府制定，住房城乡建设部、财政部</w:t>
            </w:r>
          </w:p>
        </w:tc>
        <w:tc>
          <w:tcPr>
            <w:tcW w:w="197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《国务院办公厅关于清理规范工程建设领域保证金的通知》（国办发〔2016〕49号）住房城乡建设部、财政部《</w:t>
            </w:r>
            <w:bookmarkStart w:id="8" w:name="OLE_LINK9"/>
            <w:r>
              <w:rPr>
                <w:rFonts w:hint="eastAsia" w:ascii="仿宋_GB2312" w:hAnsi="仿宋_GB2312" w:eastAsia="仿宋_GB2312" w:cs="仿宋_GB2312"/>
                <w:color w:val="000000"/>
                <w:sz w:val="24"/>
                <w:szCs w:val="24"/>
              </w:rPr>
              <w:t>关于印发建设工程质量保证金管理办法的通知》</w:t>
            </w:r>
            <w:bookmarkEnd w:id="8"/>
            <w:r>
              <w:rPr>
                <w:rFonts w:hint="eastAsia" w:ascii="仿宋_GB2312" w:hAnsi="仿宋_GB2312" w:eastAsia="仿宋_GB2312" w:cs="仿宋_GB2312"/>
                <w:color w:val="000000"/>
                <w:sz w:val="24"/>
                <w:szCs w:val="24"/>
              </w:rPr>
              <w:t>（建质〔2017〕138号）</w:t>
            </w:r>
          </w:p>
        </w:tc>
        <w:tc>
          <w:tcPr>
            <w:tcW w:w="57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bl>
    <w:p>
      <w:pPr>
        <w:pStyle w:val="23"/>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6838" w:h="11906" w:orient="landscape"/>
      <w:pgMar w:top="1247" w:right="1701" w:bottom="794" w:left="1587" w:header="1587" w:footer="1474"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nothing"/>
      <w:lvlText w:val="（%1）"/>
      <w:lvlJc w:val="left"/>
    </w:lvl>
    <w:lvl w:ilvl="1" w:tentative="0">
      <w:start w:val="1"/>
      <w:numFmt w:val="decimal"/>
      <w:isLgl/>
      <w:lvlText w:val="%1.%2"/>
      <w:lvlJc w:val="left"/>
      <w:pPr>
        <w:tabs>
          <w:tab w:val="left" w:pos="510"/>
        </w:tabs>
        <w:ind w:left="510" w:hanging="510"/>
      </w:pPr>
      <w:rPr>
        <w:rFonts w:hint="eastAsia" w:ascii="Times New Roman" w:hAnsi="Times New Roman" w:cs="Times New Roman"/>
        <w:b w:val="0"/>
        <w:bCs w:val="0"/>
        <w:i w:val="0"/>
        <w:iCs w:val="0"/>
        <w:caps w:val="0"/>
        <w:smallCaps w:val="0"/>
        <w:snapToGrid w:val="0"/>
        <w:vanish w:val="0"/>
        <w:color w:val="000000"/>
        <w:spacing w:val="0"/>
        <w:w w:val="0"/>
        <w:kern w:val="0"/>
        <w:position w:val="0"/>
        <w:szCs w:val="0"/>
        <w:u w:val="none"/>
        <w:vertAlign w:val="baseline"/>
      </w:rPr>
    </w:lvl>
    <w:lvl w:ilvl="2" w:tentative="0">
      <w:start w:val="1"/>
      <w:numFmt w:val="decimal"/>
      <w:pStyle w:val="24"/>
      <w:isLgl/>
      <w:lvlText w:val="%1.%2.%3"/>
      <w:lvlJc w:val="left"/>
      <w:pPr>
        <w:tabs>
          <w:tab w:val="left" w:pos="1674"/>
        </w:tabs>
        <w:ind w:left="1674" w:hanging="681"/>
      </w:pPr>
      <w:rPr>
        <w:rFonts w:hint="default" w:ascii="Times New Roman" w:hAnsi="Times New Roman" w:eastAsia="宋体" w:cs="Times New Roman"/>
        <w:b w:val="0"/>
        <w:i w:val="0"/>
        <w:sz w:val="21"/>
        <w:szCs w:val="21"/>
      </w:rPr>
    </w:lvl>
    <w:lvl w:ilvl="3" w:tentative="0">
      <w:start w:val="1"/>
      <w:numFmt w:val="decimal"/>
      <w:lvlText w:val="（%4）"/>
      <w:lvlJc w:val="left"/>
      <w:pPr>
        <w:tabs>
          <w:tab w:val="left" w:pos="2723"/>
        </w:tabs>
        <w:ind w:left="2723" w:hanging="1163"/>
      </w:pPr>
      <w:rPr>
        <w:rFonts w:hint="default" w:ascii="Times New Roman" w:hAnsi="Times New Roman" w:cs="Times New Roman"/>
        <w:b w:val="0"/>
        <w:i w:val="0"/>
        <w:sz w:val="24"/>
        <w:szCs w:val="24"/>
        <w:lang w:val="en-US"/>
      </w:rPr>
    </w:lvl>
    <w:lvl w:ilvl="4" w:tentative="0">
      <w:start w:val="1"/>
      <w:numFmt w:val="lowerLetter"/>
      <w:lvlText w:val="(%5)"/>
      <w:lvlJc w:val="left"/>
      <w:pPr>
        <w:tabs>
          <w:tab w:val="left" w:pos="2608"/>
        </w:tabs>
        <w:ind w:left="2608" w:hanging="567"/>
      </w:pPr>
      <w:rPr>
        <w:rFonts w:hint="default" w:ascii="Times New Roman" w:hAnsi="Times New Roman" w:cs="Times New Roman"/>
        <w:sz w:val="24"/>
        <w:szCs w:val="24"/>
      </w:rPr>
    </w:lvl>
    <w:lvl w:ilvl="5" w:tentative="0">
      <w:start w:val="1"/>
      <w:numFmt w:val="upperRoman"/>
      <w:lvlText w:val="(%6)"/>
      <w:lvlJc w:val="left"/>
      <w:pPr>
        <w:tabs>
          <w:tab w:val="left" w:pos="3289"/>
        </w:tabs>
        <w:ind w:left="3289" w:hanging="681"/>
      </w:pPr>
      <w:rPr>
        <w:rFonts w:hint="eastAsia" w:cs="Times New Roman"/>
        <w:sz w:val="21"/>
        <w:szCs w:val="21"/>
      </w:rPr>
    </w:lvl>
    <w:lvl w:ilvl="6" w:tentative="0">
      <w:start w:val="1"/>
      <w:numFmt w:val="none"/>
      <w:lvlText w:val=""/>
      <w:lvlJc w:val="left"/>
      <w:pPr>
        <w:tabs>
          <w:tab w:val="left" w:pos="3240"/>
        </w:tabs>
        <w:ind w:left="3240" w:hanging="1080"/>
      </w:pPr>
      <w:rPr>
        <w:rFonts w:hint="eastAsia" w:cs="Times New Roman"/>
      </w:rPr>
    </w:lvl>
    <w:lvl w:ilvl="7" w:tentative="0">
      <w:start w:val="1"/>
      <w:numFmt w:val="none"/>
      <w:lvlText w:val=""/>
      <w:lvlJc w:val="left"/>
      <w:pPr>
        <w:tabs>
          <w:tab w:val="left" w:pos="3744"/>
        </w:tabs>
        <w:ind w:left="3744" w:hanging="1224"/>
      </w:pPr>
      <w:rPr>
        <w:rFonts w:hint="eastAsia" w:cs="Times New Roman"/>
      </w:rPr>
    </w:lvl>
    <w:lvl w:ilvl="8" w:tentative="0">
      <w:start w:val="1"/>
      <w:numFmt w:val="none"/>
      <w:lvlText w:val=""/>
      <w:lvlJc w:val="left"/>
      <w:pPr>
        <w:tabs>
          <w:tab w:val="left" w:pos="4320"/>
        </w:tabs>
        <w:ind w:left="4320" w:hanging="144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DAyNWE5MWFlZjk2Y2VjN2VkMWUxMDZkOTUwNmEifQ=="/>
  </w:docVars>
  <w:rsids>
    <w:rsidRoot w:val="00000000"/>
    <w:rsid w:val="064A4FC6"/>
    <w:rsid w:val="09D754CA"/>
    <w:rsid w:val="10E602B0"/>
    <w:rsid w:val="11951E4E"/>
    <w:rsid w:val="1BCD6274"/>
    <w:rsid w:val="1BE313DC"/>
    <w:rsid w:val="1CCA4F9D"/>
    <w:rsid w:val="287D4C36"/>
    <w:rsid w:val="2C3614CB"/>
    <w:rsid w:val="2D959939"/>
    <w:rsid w:val="2FDE1719"/>
    <w:rsid w:val="314C5026"/>
    <w:rsid w:val="31DF8D9A"/>
    <w:rsid w:val="33945F97"/>
    <w:rsid w:val="356EF667"/>
    <w:rsid w:val="3591758F"/>
    <w:rsid w:val="36652E4C"/>
    <w:rsid w:val="36FFEFA7"/>
    <w:rsid w:val="3EFF6A83"/>
    <w:rsid w:val="3F467BD0"/>
    <w:rsid w:val="3F7B55DB"/>
    <w:rsid w:val="3FFFE1E8"/>
    <w:rsid w:val="40930BD2"/>
    <w:rsid w:val="46B3B8EC"/>
    <w:rsid w:val="49240FE1"/>
    <w:rsid w:val="4AEF1D30"/>
    <w:rsid w:val="4DD61851"/>
    <w:rsid w:val="4EFF4E0B"/>
    <w:rsid w:val="52236DB8"/>
    <w:rsid w:val="599E8F01"/>
    <w:rsid w:val="5B9C1ACB"/>
    <w:rsid w:val="5CD3F404"/>
    <w:rsid w:val="5D950196"/>
    <w:rsid w:val="5F678EA0"/>
    <w:rsid w:val="6A4D4982"/>
    <w:rsid w:val="6CFD6D43"/>
    <w:rsid w:val="6CFFB5D1"/>
    <w:rsid w:val="73301669"/>
    <w:rsid w:val="75303A14"/>
    <w:rsid w:val="758A22C7"/>
    <w:rsid w:val="76F6AB8D"/>
    <w:rsid w:val="7795482D"/>
    <w:rsid w:val="77F72330"/>
    <w:rsid w:val="7B7DFF41"/>
    <w:rsid w:val="7BF7E86F"/>
    <w:rsid w:val="7ED74F2B"/>
    <w:rsid w:val="7F7F681F"/>
    <w:rsid w:val="7FBD94DB"/>
    <w:rsid w:val="7FEFFCFD"/>
    <w:rsid w:val="8F3B0C0B"/>
    <w:rsid w:val="A7FB1533"/>
    <w:rsid w:val="A7FE8827"/>
    <w:rsid w:val="BBBE7527"/>
    <w:rsid w:val="BD97090C"/>
    <w:rsid w:val="BFBF761D"/>
    <w:rsid w:val="D9FF625B"/>
    <w:rsid w:val="DCFF44C8"/>
    <w:rsid w:val="DDF91B24"/>
    <w:rsid w:val="DE322810"/>
    <w:rsid w:val="DFB4998C"/>
    <w:rsid w:val="E3DE8975"/>
    <w:rsid w:val="E672A4AB"/>
    <w:rsid w:val="E6FF0ABC"/>
    <w:rsid w:val="EF7C4F2C"/>
    <w:rsid w:val="EFF3FBB1"/>
    <w:rsid w:val="F7EF4FC2"/>
    <w:rsid w:val="F7EFCF61"/>
    <w:rsid w:val="F87EF07A"/>
    <w:rsid w:val="FCDF2DBA"/>
    <w:rsid w:val="FD593C59"/>
    <w:rsid w:val="FFBC3BD9"/>
    <w:rsid w:val="FFFDA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7">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next w:val="1"/>
    <w:qFormat/>
    <w:uiPriority w:val="0"/>
    <w:pPr>
      <w:ind w:firstLine="420" w:firstLineChars="200"/>
    </w:pPr>
    <w:rPr>
      <w:rFonts w:hint="eastAsia" w:ascii="Times New Roman" w:hAnsi="Times New Roman"/>
    </w:rPr>
  </w:style>
  <w:style w:type="paragraph" w:styleId="6">
    <w:name w:val="Body Text"/>
    <w:basedOn w:val="1"/>
    <w:next w:val="1"/>
    <w:qFormat/>
    <w:uiPriority w:val="0"/>
    <w:pPr>
      <w:spacing w:after="120"/>
    </w:pPr>
    <w:rPr>
      <w:rFonts w:ascii="Times New Roman" w:hAnsi="Times New Roman" w:eastAsia="楷体"/>
    </w:rPr>
  </w:style>
  <w:style w:type="paragraph" w:styleId="7">
    <w:name w:val="Plain Text"/>
    <w:basedOn w:val="1"/>
    <w:qFormat/>
    <w:uiPriority w:val="0"/>
    <w:rPr>
      <w:rFonts w:ascii="宋体" w:hAnsi="Courier New"/>
      <w:szCs w:val="21"/>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semiHidden/>
    <w:qFormat/>
    <w:uiPriority w:val="0"/>
    <w:rPr>
      <w:rFonts w:ascii="Times New Roman" w:hAnsi="Times New Roman" w:eastAsia="宋体" w:cs="Times New Roman"/>
      <w:szCs w:val="20"/>
    </w:rPr>
  </w:style>
  <w:style w:type="paragraph" w:styleId="12">
    <w:name w:val="toc 2"/>
    <w:basedOn w:val="1"/>
    <w:next w:val="1"/>
    <w:qFormat/>
    <w:uiPriority w:val="0"/>
    <w:pPr>
      <w:ind w:left="240"/>
      <w:jc w:val="left"/>
    </w:pPr>
    <w:rPr>
      <w:smallCaps/>
      <w:sz w:val="20"/>
      <w:szCs w:val="20"/>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basedOn w:val="17"/>
    <w:qFormat/>
    <w:uiPriority w:val="0"/>
    <w:rPr>
      <w:color w:val="800080"/>
      <w:u w:val="single"/>
    </w:rPr>
  </w:style>
  <w:style w:type="character" w:styleId="21">
    <w:name w:val="Hyperlink"/>
    <w:basedOn w:val="17"/>
    <w:qFormat/>
    <w:uiPriority w:val="0"/>
    <w:rPr>
      <w:color w:val="0000FF"/>
      <w:u w:val="single"/>
    </w:rPr>
  </w:style>
  <w:style w:type="paragraph" w:customStyle="1" w:styleId="22">
    <w:name w:val="NormalIndent"/>
    <w:basedOn w:val="1"/>
    <w:next w:val="1"/>
    <w:qFormat/>
    <w:uiPriority w:val="0"/>
    <w:pPr>
      <w:ind w:firstLine="420" w:firstLineChars="200"/>
    </w:pPr>
  </w:style>
  <w:style w:type="paragraph" w:styleId="23">
    <w:name w:val="List Paragraph"/>
    <w:basedOn w:val="1"/>
    <w:qFormat/>
    <w:uiPriority w:val="99"/>
    <w:pPr>
      <w:ind w:firstLine="420" w:firstLineChars="200"/>
    </w:pPr>
  </w:style>
  <w:style w:type="paragraph" w:customStyle="1" w:styleId="24">
    <w:name w:val="Level 3"/>
    <w:basedOn w:val="1"/>
    <w:qFormat/>
    <w:uiPriority w:val="0"/>
    <w:pPr>
      <w:numPr>
        <w:ilvl w:val="2"/>
        <w:numId w:val="1"/>
      </w:numPr>
    </w:pPr>
  </w:style>
  <w:style w:type="paragraph" w:customStyle="1" w:styleId="25">
    <w:name w:val="List Paragraph_1f5b9b7a-0654-484c-97e9-cb44e0fce4ae"/>
    <w:basedOn w:val="1"/>
    <w:qFormat/>
    <w:uiPriority w:val="34"/>
    <w:pPr>
      <w:ind w:firstLine="420" w:firstLineChars="200"/>
    </w:pPr>
    <w:rPr>
      <w:rFonts w:cs="宋体"/>
    </w:rPr>
  </w:style>
  <w:style w:type="paragraph" w:customStyle="1" w:styleId="26">
    <w:name w:val="List Paragraph_6176063e-8bbf-40c0-ba02-4ac2f4a3a082"/>
    <w:basedOn w:val="1"/>
    <w:qFormat/>
    <w:uiPriority w:val="34"/>
    <w:pPr>
      <w:ind w:firstLine="420" w:firstLineChars="200"/>
    </w:pPr>
  </w:style>
  <w:style w:type="paragraph" w:customStyle="1" w:styleId="27">
    <w:name w:val="List Paragraph_74acce9f-136b-4bca-bf20-c7bfb9effb3a"/>
    <w:basedOn w:val="1"/>
    <w:qFormat/>
    <w:uiPriority w:val="34"/>
    <w:pPr>
      <w:ind w:firstLine="420" w:firstLineChars="200"/>
    </w:pPr>
  </w:style>
  <w:style w:type="paragraph" w:customStyle="1" w:styleId="28">
    <w:name w:val="Default"/>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customStyle="1" w:styleId="29">
    <w:name w:val="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30">
    <w:name w:val="HtmlNormal"/>
    <w:basedOn w:val="1"/>
    <w:qFormat/>
    <w:uiPriority w:val="0"/>
    <w:pPr>
      <w:widowControl/>
      <w:suppressAutoHyphens/>
      <w:spacing w:before="100" w:beforeAutospacing="1" w:after="100" w:afterAutospacing="1"/>
      <w:jc w:val="left"/>
      <w:textAlignment w:val="baseline"/>
    </w:pPr>
    <w:rPr>
      <w:rFonts w:ascii="Calibri" w:hAnsi="Calibri" w:eastAsia="宋体"/>
      <w:color w:val="000000"/>
      <w:kern w:val="0"/>
      <w:sz w:val="24"/>
      <w:szCs w:val="24"/>
    </w:rPr>
  </w:style>
  <w:style w:type="character" w:customStyle="1" w:styleId="31">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2714</Words>
  <Characters>2813</Characters>
  <Paragraphs>275</Paragraphs>
  <TotalTime>79</TotalTime>
  <ScaleCrop>false</ScaleCrop>
  <LinksUpToDate>false</LinksUpToDate>
  <CharactersWithSpaces>2830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2023-02-08T00:39:00Z</dcterms:created>
  <dc:creator>小豆豆</dc:creator>
  <cp:lastModifiedBy>admin</cp:lastModifiedBy>
  <cp:lastPrinted>2023-01-25T18:54:00Z</cp:lastPrinted>
  <dcterms:modified xsi:type="dcterms:W3CDTF">2025-12-23T06:16:47Z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7156091D0CDD5DF836A79968E0572395_43</vt:lpwstr>
  </property>
</Properties>
</file>