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beforeAutospacing="0" w:afterAutospacing="0" w:line="820" w:lineRule="exact"/>
        <w:ind w:leftChars="-44" w:right="-480" w:rightChars="-150" w:hanging="141" w:hangingChars="32"/>
        <w:jc w:val="center"/>
        <w:outlineLvl w:val="0"/>
        <w:rPr>
          <w:rFonts w:eastAsia="微软雅黑"/>
          <w:b/>
          <w:bCs/>
          <w:sz w:val="44"/>
          <w:szCs w:val="44"/>
        </w:rPr>
      </w:pPr>
      <w:bookmarkStart w:id="0" w:name="_Toc26439"/>
      <w:bookmarkStart w:id="1" w:name="_Toc9453"/>
      <w:bookmarkStart w:id="2" w:name="_Toc11980"/>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3" w:name="_Toc15773"/>
      <w:r>
        <w:rPr>
          <w:rFonts w:hint="eastAsia" w:ascii="方正小标宋简体" w:hAnsi="方正小标宋简体" w:eastAsia="方正小标宋简体" w:cs="方正小标宋简体"/>
          <w:b w:val="0"/>
          <w:bCs w:val="0"/>
          <w:sz w:val="44"/>
          <w:szCs w:val="44"/>
        </w:rPr>
        <w:t>乐山市金口河区延风中学</w:t>
      </w:r>
      <w:r>
        <w:rPr>
          <w:rFonts w:hint="eastAsia" w:ascii="方正小标宋简体" w:hAnsi="方正小标宋简体" w:eastAsia="方正小标宋简体" w:cs="方正小标宋简体"/>
          <w:b w:val="0"/>
          <w:bCs w:val="0"/>
          <w:sz w:val="44"/>
          <w:szCs w:val="44"/>
        </w:rPr>
        <w:br w:type="textWrapping"/>
      </w:r>
      <w:bookmarkEnd w:id="0"/>
      <w:bookmarkEnd w:id="1"/>
      <w:r>
        <w:rPr>
          <w:rFonts w:hint="eastAsia" w:ascii="方正小标宋简体" w:hAnsi="方正小标宋简体" w:eastAsia="方正小标宋简体" w:cs="方正小标宋简体"/>
          <w:b w:val="0"/>
          <w:bCs w:val="0"/>
          <w:sz w:val="44"/>
          <w:szCs w:val="44"/>
        </w:rPr>
        <w:t>男生宿舍学生用床、柜子采购项目</w:t>
      </w:r>
      <w:bookmarkEnd w:id="2"/>
      <w:bookmarkEnd w:id="3"/>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4" w:name="_Toc22706"/>
      <w:r>
        <w:rPr>
          <w:rFonts w:hint="eastAsia" w:ascii="方正小标宋简体" w:hAnsi="方正小标宋简体" w:eastAsia="方正小标宋简体" w:cs="方正小标宋简体"/>
          <w:b w:val="0"/>
          <w:bCs w:val="0"/>
          <w:sz w:val="44"/>
          <w:szCs w:val="44"/>
        </w:rPr>
        <w:t>项</w:t>
      </w:r>
      <w:bookmarkEnd w:id="4"/>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5" w:name="_Toc17383"/>
      <w:r>
        <w:rPr>
          <w:rFonts w:hint="eastAsia" w:ascii="方正小标宋简体" w:hAnsi="方正小标宋简体" w:eastAsia="方正小标宋简体" w:cs="方正小标宋简体"/>
          <w:b w:val="0"/>
          <w:bCs w:val="0"/>
          <w:sz w:val="44"/>
          <w:szCs w:val="44"/>
        </w:rPr>
        <w:t>目</w:t>
      </w:r>
      <w:bookmarkEnd w:id="5"/>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6" w:name="_Toc26838"/>
      <w:r>
        <w:rPr>
          <w:rFonts w:hint="eastAsia" w:ascii="方正小标宋简体" w:hAnsi="方正小标宋简体" w:eastAsia="方正小标宋简体" w:cs="方正小标宋简体"/>
          <w:b w:val="0"/>
          <w:bCs w:val="0"/>
          <w:sz w:val="44"/>
          <w:szCs w:val="44"/>
        </w:rPr>
        <w:t>支</w:t>
      </w:r>
      <w:bookmarkEnd w:id="6"/>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7" w:name="_Toc12945"/>
      <w:r>
        <w:rPr>
          <w:rFonts w:hint="eastAsia" w:ascii="方正小标宋简体" w:hAnsi="方正小标宋简体" w:eastAsia="方正小标宋简体" w:cs="方正小标宋简体"/>
          <w:b w:val="0"/>
          <w:bCs w:val="0"/>
          <w:sz w:val="44"/>
          <w:szCs w:val="44"/>
        </w:rPr>
        <w:t>出</w:t>
      </w:r>
      <w:bookmarkEnd w:id="7"/>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8" w:name="_Toc10039"/>
      <w:r>
        <w:rPr>
          <w:rFonts w:hint="eastAsia" w:ascii="方正小标宋简体" w:hAnsi="方正小标宋简体" w:eastAsia="方正小标宋简体" w:cs="方正小标宋简体"/>
          <w:b w:val="0"/>
          <w:bCs w:val="0"/>
          <w:sz w:val="44"/>
          <w:szCs w:val="44"/>
        </w:rPr>
        <w:t>绩</w:t>
      </w:r>
      <w:bookmarkEnd w:id="8"/>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9" w:name="_Toc8559"/>
      <w:r>
        <w:rPr>
          <w:rFonts w:hint="eastAsia" w:ascii="方正小标宋简体" w:hAnsi="方正小标宋简体" w:eastAsia="方正小标宋简体" w:cs="方正小标宋简体"/>
          <w:b w:val="0"/>
          <w:bCs w:val="0"/>
          <w:sz w:val="44"/>
          <w:szCs w:val="44"/>
        </w:rPr>
        <w:t>效</w:t>
      </w:r>
      <w:bookmarkEnd w:id="9"/>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10" w:name="_Toc316"/>
      <w:r>
        <w:rPr>
          <w:rFonts w:hint="eastAsia" w:ascii="方正小标宋简体" w:hAnsi="方正小标宋简体" w:eastAsia="方正小标宋简体" w:cs="方正小标宋简体"/>
          <w:b w:val="0"/>
          <w:bCs w:val="0"/>
          <w:sz w:val="44"/>
          <w:szCs w:val="44"/>
        </w:rPr>
        <w:t>评</w:t>
      </w:r>
      <w:bookmarkEnd w:id="10"/>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11" w:name="_Toc12711"/>
      <w:r>
        <w:rPr>
          <w:rFonts w:hint="eastAsia" w:ascii="方正小标宋简体" w:hAnsi="方正小标宋简体" w:eastAsia="方正小标宋简体" w:cs="方正小标宋简体"/>
          <w:b w:val="0"/>
          <w:bCs w:val="0"/>
          <w:sz w:val="44"/>
          <w:szCs w:val="44"/>
        </w:rPr>
        <w:t>价</w:t>
      </w:r>
      <w:bookmarkEnd w:id="11"/>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12" w:name="_Toc16227"/>
      <w:r>
        <w:rPr>
          <w:rFonts w:hint="eastAsia" w:ascii="方正小标宋简体" w:hAnsi="方正小标宋简体" w:eastAsia="方正小标宋简体" w:cs="方正小标宋简体"/>
          <w:b w:val="0"/>
          <w:bCs w:val="0"/>
          <w:sz w:val="44"/>
          <w:szCs w:val="44"/>
        </w:rPr>
        <w:t>报</w:t>
      </w:r>
      <w:bookmarkEnd w:id="12"/>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13" w:name="_Toc19941"/>
      <w:r>
        <w:rPr>
          <w:rFonts w:hint="eastAsia" w:ascii="方正小标宋简体" w:hAnsi="方正小标宋简体" w:eastAsia="方正小标宋简体" w:cs="方正小标宋简体"/>
          <w:b w:val="0"/>
          <w:bCs w:val="0"/>
          <w:sz w:val="44"/>
          <w:szCs w:val="44"/>
        </w:rPr>
        <w:t>告</w:t>
      </w:r>
      <w:bookmarkEnd w:id="13"/>
    </w:p>
    <w:p>
      <w:pPr>
        <w:snapToGrid w:val="0"/>
        <w:spacing w:line="600" w:lineRule="exact"/>
        <w:rPr>
          <w:rStyle w:val="66"/>
          <w:rFonts w:hint="eastAsia" w:eastAsia="仿宋_GB2312"/>
          <w:bCs/>
          <w:sz w:val="28"/>
          <w:szCs w:val="28"/>
          <w:lang w:eastAsia="zh-CN"/>
        </w:rPr>
      </w:pPr>
    </w:p>
    <w:p>
      <w:pPr>
        <w:snapToGrid w:val="0"/>
        <w:spacing w:line="600" w:lineRule="exact"/>
        <w:rPr>
          <w:rStyle w:val="66"/>
          <w:rFonts w:hint="eastAsia" w:eastAsia="仿宋_GB2312"/>
          <w:bCs/>
          <w:sz w:val="28"/>
          <w:szCs w:val="28"/>
          <w:lang w:eastAsia="zh-CN"/>
        </w:rPr>
      </w:pPr>
      <w:r>
        <w:rPr>
          <w:rStyle w:val="66"/>
          <w:rFonts w:eastAsia="仿宋_GB2312"/>
          <w:bCs/>
          <w:sz w:val="28"/>
          <w:szCs w:val="28"/>
          <w:lang w:eastAsia="zh-CN"/>
        </w:rPr>
        <w:t>项目编号：金财绩评（202</w:t>
      </w:r>
      <w:r>
        <w:rPr>
          <w:rStyle w:val="66"/>
          <w:rFonts w:hint="eastAsia" w:eastAsia="仿宋_GB2312"/>
          <w:bCs/>
          <w:sz w:val="28"/>
          <w:szCs w:val="28"/>
          <w:lang w:eastAsia="zh-CN"/>
        </w:rPr>
        <w:t>5</w:t>
      </w:r>
      <w:r>
        <w:rPr>
          <w:rStyle w:val="66"/>
          <w:rFonts w:eastAsia="仿宋_GB2312"/>
          <w:bCs/>
          <w:sz w:val="28"/>
          <w:szCs w:val="28"/>
          <w:lang w:eastAsia="zh-CN"/>
        </w:rPr>
        <w:t>）</w:t>
      </w:r>
      <w:r>
        <w:rPr>
          <w:rStyle w:val="66"/>
          <w:rFonts w:hint="eastAsia" w:eastAsia="仿宋_GB2312"/>
          <w:bCs/>
          <w:sz w:val="28"/>
          <w:szCs w:val="28"/>
          <w:lang w:eastAsia="zh-CN"/>
        </w:rPr>
        <w:t>08</w:t>
      </w:r>
      <w:r>
        <w:rPr>
          <w:rStyle w:val="66"/>
          <w:rFonts w:eastAsia="仿宋_GB2312"/>
          <w:bCs/>
          <w:sz w:val="28"/>
          <w:szCs w:val="28"/>
          <w:lang w:eastAsia="zh-CN"/>
        </w:rPr>
        <w:t>号</w:t>
      </w:r>
    </w:p>
    <w:p>
      <w:pPr>
        <w:spacing w:line="360" w:lineRule="auto"/>
        <w:rPr>
          <w:rStyle w:val="66"/>
          <w:rFonts w:hint="eastAsia" w:eastAsia="仿宋_GB2312"/>
          <w:bCs/>
          <w:sz w:val="28"/>
          <w:szCs w:val="28"/>
          <w:lang w:eastAsia="zh-CN"/>
        </w:rPr>
      </w:pPr>
      <w:r>
        <w:rPr>
          <w:rStyle w:val="66"/>
          <w:rFonts w:eastAsia="仿宋_GB2312"/>
          <w:bCs/>
          <w:sz w:val="28"/>
          <w:szCs w:val="28"/>
          <w:lang w:eastAsia="zh-CN"/>
        </w:rPr>
        <w:t>主管部门：</w:t>
      </w:r>
      <w:r>
        <w:rPr>
          <w:rStyle w:val="66"/>
          <w:rFonts w:hint="eastAsia" w:eastAsia="仿宋_GB2312"/>
          <w:bCs/>
          <w:sz w:val="28"/>
          <w:szCs w:val="28"/>
          <w:lang w:eastAsia="zh-CN"/>
        </w:rPr>
        <w:t>乐山市金口河区延风中学</w:t>
      </w:r>
    </w:p>
    <w:p>
      <w:pPr>
        <w:spacing w:line="360" w:lineRule="auto"/>
        <w:rPr>
          <w:rStyle w:val="66"/>
          <w:rFonts w:hint="eastAsia" w:eastAsia="仿宋_GB2312"/>
          <w:bCs/>
          <w:sz w:val="28"/>
          <w:szCs w:val="28"/>
          <w:lang w:eastAsia="zh-CN"/>
        </w:rPr>
      </w:pPr>
      <w:r>
        <w:rPr>
          <w:rStyle w:val="66"/>
          <w:rFonts w:eastAsia="仿宋_GB2312"/>
          <w:bCs/>
          <w:sz w:val="28"/>
          <w:szCs w:val="28"/>
          <w:lang w:eastAsia="zh-CN"/>
        </w:rPr>
        <w:t>实施单位：</w:t>
      </w:r>
      <w:r>
        <w:rPr>
          <w:rStyle w:val="66"/>
          <w:rFonts w:hint="eastAsia" w:eastAsia="仿宋_GB2312"/>
          <w:bCs/>
          <w:sz w:val="28"/>
          <w:szCs w:val="28"/>
          <w:lang w:eastAsia="zh-CN"/>
        </w:rPr>
        <w:t>乐山市金口河区延风中学</w:t>
      </w:r>
    </w:p>
    <w:p>
      <w:pPr>
        <w:jc w:val="left"/>
        <w:rPr>
          <w:rStyle w:val="66"/>
          <w:rFonts w:hint="eastAsia" w:eastAsia="仿宋_GB2312"/>
          <w:bCs/>
          <w:sz w:val="28"/>
          <w:szCs w:val="28"/>
          <w:lang w:eastAsia="zh-CN"/>
        </w:rPr>
      </w:pPr>
      <w:r>
        <w:rPr>
          <w:rStyle w:val="66"/>
          <w:rFonts w:eastAsia="仿宋_GB2312"/>
          <w:bCs/>
          <w:sz w:val="28"/>
          <w:szCs w:val="28"/>
          <w:lang w:eastAsia="zh-CN"/>
        </w:rPr>
        <w:t>评价单位：乐山市金口河区财政投资评价审核中心</w:t>
      </w:r>
    </w:p>
    <w:p>
      <w:pPr>
        <w:jc w:val="left"/>
        <w:rPr>
          <w:rStyle w:val="66"/>
          <w:rFonts w:hint="eastAsia" w:eastAsia="仿宋_GB2312"/>
          <w:bCs/>
          <w:sz w:val="28"/>
          <w:szCs w:val="28"/>
          <w:lang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p>
    <w:p>
      <w:pPr>
        <w:tabs>
          <w:tab w:val="left" w:pos="1336"/>
        </w:tabs>
        <w:spacing w:line="760" w:lineRule="exact"/>
        <w:ind w:right="-906" w:rightChars="-283" w:firstLine="0" w:firstLineChars="0"/>
        <w:jc w:val="center"/>
        <w:outlineLvl w:val="0"/>
        <w:rPr>
          <w:rFonts w:hint="eastAsia" w:ascii="方正小标宋简体" w:hAnsi="方正小标宋简体" w:eastAsia="方正小标宋简体" w:cs="方正小标宋简体"/>
          <w:b w:val="0"/>
          <w:bCs/>
          <w:kern w:val="44"/>
          <w:sz w:val="44"/>
          <w:szCs w:val="44"/>
          <w:lang w:eastAsia="zh-CN"/>
        </w:rPr>
      </w:pPr>
      <w:bookmarkStart w:id="14" w:name="_Toc32041"/>
      <w:bookmarkStart w:id="15" w:name="_Toc28644"/>
      <w:bookmarkStart w:id="16" w:name="_Toc30342"/>
      <w:bookmarkStart w:id="17" w:name="_Toc15556"/>
    </w:p>
    <w:p>
      <w:pPr>
        <w:tabs>
          <w:tab w:val="left" w:pos="1336"/>
        </w:tabs>
        <w:spacing w:line="760" w:lineRule="exact"/>
        <w:ind w:right="-906" w:rightChars="-283" w:firstLine="0" w:firstLineChars="0"/>
        <w:jc w:val="center"/>
        <w:outlineLvl w:val="0"/>
        <w:rPr>
          <w:rFonts w:hint="eastAsia" w:ascii="方正小标宋简体" w:hAnsi="方正小标宋简体" w:eastAsia="方正小标宋简体" w:cs="方正小标宋简体"/>
          <w:b w:val="0"/>
          <w:bCs/>
          <w:kern w:val="44"/>
          <w:sz w:val="44"/>
          <w:szCs w:val="44"/>
          <w:lang w:eastAsia="zh-CN"/>
        </w:rPr>
      </w:pPr>
      <w:r>
        <w:rPr>
          <w:rFonts w:hint="eastAsia" w:ascii="方正小标宋简体" w:hAnsi="方正小标宋简体" w:eastAsia="方正小标宋简体" w:cs="方正小标宋简体"/>
          <w:b w:val="0"/>
          <w:bCs/>
          <w:kern w:val="44"/>
          <w:sz w:val="44"/>
          <w:szCs w:val="44"/>
          <w:lang w:eastAsia="zh-CN"/>
        </w:rPr>
        <w:t>乐山市金口河区延风中学</w:t>
      </w:r>
      <w:bookmarkEnd w:id="14"/>
    </w:p>
    <w:p>
      <w:pPr>
        <w:tabs>
          <w:tab w:val="left" w:pos="1336"/>
        </w:tabs>
        <w:spacing w:line="760" w:lineRule="exact"/>
        <w:ind w:left="54" w:leftChars="-177" w:right="-906" w:rightChars="-283" w:hanging="620" w:hangingChars="141"/>
        <w:jc w:val="center"/>
        <w:outlineLvl w:val="0"/>
        <w:rPr>
          <w:rFonts w:hint="eastAsia" w:ascii="方正小标宋简体" w:hAnsi="方正小标宋简体" w:eastAsia="方正小标宋简体" w:cs="方正小标宋简体"/>
          <w:b w:val="0"/>
          <w:bCs/>
          <w:kern w:val="44"/>
          <w:sz w:val="44"/>
          <w:szCs w:val="44"/>
          <w:lang w:eastAsia="zh-CN"/>
        </w:rPr>
      </w:pPr>
      <w:bookmarkStart w:id="18" w:name="_Toc6451"/>
      <w:r>
        <w:rPr>
          <w:rFonts w:hint="eastAsia" w:ascii="方正小标宋简体" w:hAnsi="方正小标宋简体" w:eastAsia="方正小标宋简体" w:cs="方正小标宋简体"/>
          <w:b w:val="0"/>
          <w:bCs/>
          <w:kern w:val="44"/>
          <w:sz w:val="44"/>
          <w:szCs w:val="44"/>
          <w:lang w:eastAsia="zh-CN"/>
        </w:rPr>
        <w:t>男生宿舍学生用床、柜子采购项目</w:t>
      </w:r>
      <w:r>
        <w:rPr>
          <w:rFonts w:hint="eastAsia" w:ascii="方正小标宋简体" w:hAnsi="方正小标宋简体" w:eastAsia="方正小标宋简体" w:cs="方正小标宋简体"/>
          <w:b w:val="0"/>
          <w:bCs/>
          <w:kern w:val="44"/>
          <w:sz w:val="44"/>
          <w:szCs w:val="44"/>
          <w:lang w:eastAsia="zh-CN"/>
        </w:rPr>
        <w:br w:type="textWrapping"/>
      </w:r>
      <w:r>
        <w:rPr>
          <w:rFonts w:hint="eastAsia" w:ascii="方正小标宋简体" w:hAnsi="方正小标宋简体" w:eastAsia="方正小标宋简体" w:cs="方正小标宋简体"/>
          <w:b w:val="0"/>
          <w:bCs/>
          <w:kern w:val="44"/>
          <w:sz w:val="44"/>
          <w:szCs w:val="44"/>
          <w:lang w:eastAsia="zh-CN"/>
        </w:rPr>
        <w:t>支出绩效评价结论</w:t>
      </w:r>
      <w:bookmarkEnd w:id="15"/>
      <w:bookmarkEnd w:id="16"/>
      <w:bookmarkEnd w:id="17"/>
      <w:bookmarkEnd w:id="18"/>
    </w:p>
    <w:p>
      <w:pPr>
        <w:spacing w:before="312" w:beforeLines="100"/>
        <w:ind w:firstLine="640"/>
        <w:rPr>
          <w:rFonts w:hint="eastAsia" w:ascii="仿宋" w:hAnsi="仿宋" w:eastAsia="仿宋" w:cs="仿宋"/>
          <w:color w:val="auto"/>
          <w:szCs w:val="32"/>
          <w:lang w:eastAsia="zh-CN"/>
        </w:rPr>
      </w:pPr>
      <w:r>
        <w:rPr>
          <w:rFonts w:hint="eastAsia" w:ascii="仿宋" w:hAnsi="仿宋" w:eastAsia="仿宋" w:cs="仿宋"/>
          <w:color w:val="auto"/>
          <w:szCs w:val="32"/>
          <w:lang w:eastAsia="zh-CN"/>
        </w:rPr>
        <w:t>我中心对延风中学男生宿舍学生用床、柜子采购项目绩效评价综合得分为</w:t>
      </w:r>
      <w:r>
        <w:rPr>
          <w:rFonts w:hint="eastAsia" w:ascii="仿宋" w:hAnsi="仿宋" w:eastAsia="仿宋" w:cs="仿宋"/>
          <w:color w:val="auto"/>
          <w:szCs w:val="32"/>
          <w:lang w:val="en-US" w:eastAsia="zh-CN"/>
        </w:rPr>
        <w:t>92.38</w:t>
      </w:r>
      <w:r>
        <w:rPr>
          <w:rFonts w:hint="eastAsia" w:ascii="仿宋" w:hAnsi="仿宋" w:eastAsia="仿宋" w:cs="仿宋"/>
          <w:color w:val="auto"/>
          <w:szCs w:val="32"/>
          <w:lang w:eastAsia="zh-CN"/>
        </w:rPr>
        <w:t>分，其中，项目决策</w:t>
      </w:r>
      <w:r>
        <w:rPr>
          <w:rFonts w:hint="eastAsia" w:ascii="仿宋" w:hAnsi="仿宋" w:eastAsia="仿宋" w:cs="仿宋"/>
          <w:color w:val="auto"/>
          <w:szCs w:val="32"/>
          <w:lang w:val="en-US" w:eastAsia="zh-CN"/>
        </w:rPr>
        <w:t>18.50</w:t>
      </w:r>
      <w:r>
        <w:rPr>
          <w:rFonts w:hint="eastAsia" w:ascii="仿宋" w:hAnsi="仿宋" w:eastAsia="仿宋" w:cs="仿宋"/>
          <w:color w:val="auto"/>
          <w:szCs w:val="32"/>
          <w:lang w:eastAsia="zh-CN"/>
        </w:rPr>
        <w:t>分，项目过程</w:t>
      </w:r>
      <w:r>
        <w:rPr>
          <w:rFonts w:hint="eastAsia" w:ascii="仿宋" w:hAnsi="仿宋" w:eastAsia="仿宋" w:cs="仿宋"/>
          <w:color w:val="auto"/>
          <w:szCs w:val="32"/>
          <w:lang w:val="en-US" w:eastAsia="zh-CN"/>
        </w:rPr>
        <w:t>19.88</w:t>
      </w:r>
      <w:r>
        <w:rPr>
          <w:rFonts w:hint="eastAsia" w:ascii="仿宋" w:hAnsi="仿宋" w:eastAsia="仿宋" w:cs="仿宋"/>
          <w:color w:val="auto"/>
          <w:szCs w:val="32"/>
          <w:lang w:eastAsia="zh-CN"/>
        </w:rPr>
        <w:t>分，项目产出</w:t>
      </w:r>
      <w:r>
        <w:rPr>
          <w:rFonts w:hint="eastAsia" w:ascii="仿宋" w:hAnsi="仿宋" w:eastAsia="仿宋" w:cs="仿宋"/>
          <w:color w:val="auto"/>
          <w:szCs w:val="32"/>
          <w:lang w:val="en-US" w:eastAsia="zh-CN"/>
        </w:rPr>
        <w:t>24</w:t>
      </w:r>
      <w:r>
        <w:rPr>
          <w:rFonts w:hint="eastAsia" w:ascii="仿宋" w:hAnsi="仿宋" w:eastAsia="仿宋" w:cs="仿宋"/>
          <w:color w:val="auto"/>
          <w:szCs w:val="32"/>
          <w:lang w:eastAsia="zh-CN"/>
        </w:rPr>
        <w:t>.00分，项目效益</w:t>
      </w:r>
      <w:r>
        <w:rPr>
          <w:rFonts w:hint="eastAsia" w:ascii="仿宋" w:hAnsi="仿宋" w:eastAsia="仿宋" w:cs="仿宋"/>
          <w:color w:val="auto"/>
          <w:szCs w:val="32"/>
          <w:lang w:val="en-US" w:eastAsia="zh-CN"/>
        </w:rPr>
        <w:t>30</w:t>
      </w:r>
      <w:r>
        <w:rPr>
          <w:rFonts w:hint="eastAsia" w:ascii="仿宋" w:hAnsi="仿宋" w:eastAsia="仿宋" w:cs="仿宋"/>
          <w:color w:val="auto"/>
          <w:szCs w:val="32"/>
          <w:lang w:eastAsia="zh-CN"/>
        </w:rPr>
        <w:t>.00分，绩效评价评定级别为“</w:t>
      </w:r>
      <w:r>
        <w:rPr>
          <w:rFonts w:hint="eastAsia" w:ascii="仿宋" w:hAnsi="仿宋" w:eastAsia="仿宋" w:cs="仿宋"/>
          <w:color w:val="auto"/>
          <w:szCs w:val="32"/>
          <w:lang w:val="en-US" w:eastAsia="zh-CN"/>
        </w:rPr>
        <w:t>优</w:t>
      </w:r>
      <w:r>
        <w:rPr>
          <w:rFonts w:hint="eastAsia" w:ascii="仿宋" w:hAnsi="仿宋" w:eastAsia="仿宋" w:cs="仿宋"/>
          <w:color w:val="auto"/>
          <w:szCs w:val="32"/>
          <w:lang w:eastAsia="zh-CN"/>
        </w:rPr>
        <w:t>”。（具体评分情况见附件1.绩效评价指标体系及综合评分表）</w:t>
      </w:r>
    </w:p>
    <w:p>
      <w:pPr>
        <w:tabs>
          <w:tab w:val="left" w:pos="1336"/>
        </w:tabs>
        <w:ind w:firstLine="0" w:firstLineChars="0"/>
        <w:jc w:val="center"/>
        <w:rPr>
          <w:rFonts w:hint="eastAsia" w:ascii="仿宋" w:hAnsi="仿宋" w:eastAsia="仿宋" w:cs="仿宋"/>
          <w:szCs w:val="32"/>
          <w:lang w:eastAsia="zh-CN"/>
        </w:rPr>
      </w:pPr>
      <w:r>
        <w:rPr>
          <w:rFonts w:hint="eastAsia" w:ascii="仿宋" w:hAnsi="仿宋" w:eastAsia="仿宋" w:cs="仿宋"/>
          <w:szCs w:val="32"/>
          <w:lang w:eastAsia="zh-CN"/>
        </w:rPr>
        <w:t>延风中学男生宿舍学生用床、柜子采购项目</w:t>
      </w:r>
    </w:p>
    <w:p>
      <w:pPr>
        <w:tabs>
          <w:tab w:val="left" w:pos="1336"/>
        </w:tabs>
        <w:ind w:firstLine="0" w:firstLineChars="0"/>
        <w:jc w:val="center"/>
        <w:rPr>
          <w:rFonts w:hint="eastAsia" w:ascii="仿宋" w:hAnsi="仿宋" w:eastAsia="仿宋" w:cs="仿宋"/>
          <w:szCs w:val="32"/>
          <w:lang w:eastAsia="zh-CN"/>
        </w:rPr>
      </w:pPr>
      <w:bookmarkStart w:id="19" w:name="_Toc2593"/>
      <w:bookmarkStart w:id="20" w:name="_Toc5194"/>
      <w:bookmarkStart w:id="21" w:name="_Toc11716"/>
      <w:r>
        <w:rPr>
          <w:rFonts w:hint="eastAsia" w:ascii="仿宋" w:hAnsi="仿宋" w:eastAsia="仿宋" w:cs="仿宋"/>
          <w:szCs w:val="32"/>
          <w:lang w:eastAsia="zh-CN"/>
        </w:rPr>
        <w:t>财政支出绩效评价结论一览表</w:t>
      </w:r>
      <w:bookmarkEnd w:id="19"/>
      <w:bookmarkEnd w:id="20"/>
      <w:bookmarkEnd w:id="21"/>
    </w:p>
    <w:tbl>
      <w:tblPr>
        <w:tblStyle w:val="22"/>
        <w:tblW w:w="8519" w:type="dxa"/>
        <w:tblInd w:w="0" w:type="dxa"/>
        <w:tblLayout w:type="fixed"/>
        <w:tblCellMar>
          <w:top w:w="0" w:type="dxa"/>
          <w:left w:w="108" w:type="dxa"/>
          <w:bottom w:w="0" w:type="dxa"/>
          <w:right w:w="108" w:type="dxa"/>
        </w:tblCellMar>
      </w:tblPr>
      <w:tblGrid>
        <w:gridCol w:w="3011"/>
        <w:gridCol w:w="1822"/>
        <w:gridCol w:w="1844"/>
        <w:gridCol w:w="1842"/>
      </w:tblGrid>
      <w:tr>
        <w:tblPrEx>
          <w:tblCellMar>
            <w:top w:w="0" w:type="dxa"/>
            <w:left w:w="108" w:type="dxa"/>
            <w:bottom w:w="0" w:type="dxa"/>
            <w:right w:w="108" w:type="dxa"/>
          </w:tblCellMar>
        </w:tblPrEx>
        <w:trPr>
          <w:trHeight w:val="907" w:hRule="exact"/>
        </w:trPr>
        <w:tc>
          <w:tcPr>
            <w:tcW w:w="3011"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评价内容</w:t>
            </w:r>
          </w:p>
        </w:tc>
        <w:tc>
          <w:tcPr>
            <w:tcW w:w="1822" w:type="dxa"/>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分值</w:t>
            </w:r>
          </w:p>
        </w:tc>
        <w:tc>
          <w:tcPr>
            <w:tcW w:w="1844" w:type="dxa"/>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评价得分</w:t>
            </w:r>
          </w:p>
        </w:tc>
        <w:tc>
          <w:tcPr>
            <w:tcW w:w="1842" w:type="dxa"/>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szCs w:val="32"/>
                <w:lang w:eastAsia="zh-CN"/>
              </w:rPr>
            </w:pPr>
            <w:r>
              <w:rPr>
                <w:rFonts w:hint="eastAsia" w:ascii="仿宋" w:hAnsi="仿宋" w:eastAsia="仿宋" w:cs="仿宋"/>
                <w:szCs w:val="32"/>
                <w:lang w:eastAsia="zh-CN" w:bidi="ar"/>
              </w:rPr>
              <w:t>得分率</w:t>
            </w:r>
          </w:p>
        </w:tc>
      </w:tr>
      <w:tr>
        <w:tblPrEx>
          <w:tblCellMar>
            <w:top w:w="0" w:type="dxa"/>
            <w:left w:w="108" w:type="dxa"/>
            <w:bottom w:w="0" w:type="dxa"/>
            <w:right w:w="108" w:type="dxa"/>
          </w:tblCellMar>
        </w:tblPrEx>
        <w:trPr>
          <w:trHeight w:val="907" w:hRule="exact"/>
        </w:trPr>
        <w:tc>
          <w:tcPr>
            <w:tcW w:w="3011" w:type="dxa"/>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项目决策</w:t>
            </w:r>
          </w:p>
        </w:tc>
        <w:tc>
          <w:tcPr>
            <w:tcW w:w="18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color w:val="auto"/>
                <w:szCs w:val="32"/>
              </w:rPr>
            </w:pPr>
            <w:r>
              <w:rPr>
                <w:rFonts w:hint="eastAsia" w:ascii="仿宋" w:hAnsi="仿宋" w:eastAsia="仿宋" w:cs="仿宋"/>
                <w:i w:val="0"/>
                <w:iCs w:val="0"/>
                <w:color w:val="000000"/>
                <w:kern w:val="0"/>
                <w:sz w:val="32"/>
                <w:szCs w:val="32"/>
                <w:u w:val="none"/>
                <w:lang w:val="en-US" w:eastAsia="zh-CN" w:bidi="ar"/>
              </w:rPr>
              <w:t>20</w:t>
            </w:r>
          </w:p>
        </w:tc>
        <w:tc>
          <w:tcPr>
            <w:tcW w:w="18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color w:val="auto"/>
                <w:szCs w:val="32"/>
                <w:lang w:val="en-US" w:eastAsia="zh-CN"/>
              </w:rPr>
            </w:pPr>
            <w:r>
              <w:rPr>
                <w:rFonts w:hint="eastAsia" w:ascii="仿宋" w:hAnsi="仿宋" w:eastAsia="仿宋" w:cs="仿宋"/>
                <w:i w:val="0"/>
                <w:iCs w:val="0"/>
                <w:color w:val="000000"/>
                <w:kern w:val="0"/>
                <w:sz w:val="32"/>
                <w:szCs w:val="32"/>
                <w:u w:val="none"/>
                <w:lang w:val="en-US" w:eastAsia="zh-CN" w:bidi="ar"/>
              </w:rPr>
              <w:t>18.5</w:t>
            </w:r>
          </w:p>
        </w:tc>
        <w:tc>
          <w:tcPr>
            <w:tcW w:w="18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color w:val="auto"/>
                <w:szCs w:val="32"/>
                <w:lang w:eastAsia="zh-CN"/>
              </w:rPr>
            </w:pPr>
            <w:r>
              <w:rPr>
                <w:rFonts w:hint="eastAsia" w:ascii="仿宋" w:hAnsi="仿宋" w:eastAsia="仿宋" w:cs="仿宋"/>
                <w:i w:val="0"/>
                <w:iCs w:val="0"/>
                <w:color w:val="000000"/>
                <w:kern w:val="0"/>
                <w:sz w:val="32"/>
                <w:szCs w:val="32"/>
                <w:u w:val="none"/>
                <w:lang w:val="en-US" w:eastAsia="zh-CN" w:bidi="ar"/>
              </w:rPr>
              <w:t>92.50%</w:t>
            </w:r>
          </w:p>
        </w:tc>
      </w:tr>
      <w:tr>
        <w:tblPrEx>
          <w:tblCellMar>
            <w:top w:w="0" w:type="dxa"/>
            <w:left w:w="108" w:type="dxa"/>
            <w:bottom w:w="0" w:type="dxa"/>
            <w:right w:w="108" w:type="dxa"/>
          </w:tblCellMar>
        </w:tblPrEx>
        <w:trPr>
          <w:trHeight w:val="907" w:hRule="exact"/>
        </w:trPr>
        <w:tc>
          <w:tcPr>
            <w:tcW w:w="3011" w:type="dxa"/>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项目过程</w:t>
            </w:r>
          </w:p>
        </w:tc>
        <w:tc>
          <w:tcPr>
            <w:tcW w:w="18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color w:val="auto"/>
                <w:szCs w:val="32"/>
              </w:rPr>
            </w:pPr>
            <w:r>
              <w:rPr>
                <w:rFonts w:hint="eastAsia" w:ascii="仿宋" w:hAnsi="仿宋" w:eastAsia="仿宋" w:cs="仿宋"/>
                <w:i w:val="0"/>
                <w:iCs w:val="0"/>
                <w:color w:val="000000"/>
                <w:kern w:val="0"/>
                <w:sz w:val="32"/>
                <w:szCs w:val="32"/>
                <w:u w:val="none"/>
                <w:lang w:val="en-US" w:eastAsia="zh-CN" w:bidi="ar"/>
              </w:rPr>
              <w:t>20</w:t>
            </w:r>
          </w:p>
        </w:tc>
        <w:tc>
          <w:tcPr>
            <w:tcW w:w="18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color w:val="auto"/>
                <w:szCs w:val="32"/>
                <w:lang w:eastAsia="zh-CN"/>
              </w:rPr>
            </w:pPr>
            <w:r>
              <w:rPr>
                <w:rFonts w:hint="eastAsia" w:ascii="仿宋" w:hAnsi="仿宋" w:eastAsia="仿宋" w:cs="仿宋"/>
                <w:i w:val="0"/>
                <w:iCs w:val="0"/>
                <w:color w:val="000000"/>
                <w:kern w:val="0"/>
                <w:sz w:val="32"/>
                <w:szCs w:val="32"/>
                <w:u w:val="none"/>
                <w:lang w:val="en-US" w:eastAsia="zh-CN" w:bidi="ar"/>
              </w:rPr>
              <w:t>19.88</w:t>
            </w:r>
          </w:p>
        </w:tc>
        <w:tc>
          <w:tcPr>
            <w:tcW w:w="18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color w:val="auto"/>
                <w:szCs w:val="32"/>
                <w:lang w:eastAsia="zh-CN"/>
              </w:rPr>
            </w:pPr>
            <w:r>
              <w:rPr>
                <w:rFonts w:hint="eastAsia" w:ascii="仿宋" w:hAnsi="仿宋" w:eastAsia="仿宋" w:cs="仿宋"/>
                <w:i w:val="0"/>
                <w:iCs w:val="0"/>
                <w:color w:val="000000"/>
                <w:kern w:val="0"/>
                <w:sz w:val="32"/>
                <w:szCs w:val="32"/>
                <w:u w:val="none"/>
                <w:lang w:val="en-US" w:eastAsia="zh-CN" w:bidi="ar"/>
              </w:rPr>
              <w:t>99.40%</w:t>
            </w:r>
          </w:p>
        </w:tc>
      </w:tr>
      <w:tr>
        <w:tblPrEx>
          <w:tblCellMar>
            <w:top w:w="0" w:type="dxa"/>
            <w:left w:w="108" w:type="dxa"/>
            <w:bottom w:w="0" w:type="dxa"/>
            <w:right w:w="108" w:type="dxa"/>
          </w:tblCellMar>
        </w:tblPrEx>
        <w:trPr>
          <w:trHeight w:val="907" w:hRule="exact"/>
        </w:trPr>
        <w:tc>
          <w:tcPr>
            <w:tcW w:w="3011" w:type="dxa"/>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项目产出</w:t>
            </w:r>
          </w:p>
        </w:tc>
        <w:tc>
          <w:tcPr>
            <w:tcW w:w="18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color w:val="auto"/>
                <w:szCs w:val="32"/>
                <w:lang w:val="en-US" w:eastAsia="zh-CN"/>
              </w:rPr>
            </w:pPr>
            <w:r>
              <w:rPr>
                <w:rFonts w:hint="eastAsia" w:ascii="仿宋" w:hAnsi="仿宋" w:eastAsia="仿宋" w:cs="仿宋"/>
                <w:i w:val="0"/>
                <w:iCs w:val="0"/>
                <w:color w:val="000000"/>
                <w:kern w:val="0"/>
                <w:sz w:val="32"/>
                <w:szCs w:val="32"/>
                <w:u w:val="none"/>
                <w:lang w:val="en-US" w:eastAsia="zh-CN" w:bidi="ar"/>
              </w:rPr>
              <w:t>28</w:t>
            </w:r>
          </w:p>
        </w:tc>
        <w:tc>
          <w:tcPr>
            <w:tcW w:w="18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color w:val="auto"/>
                <w:szCs w:val="32"/>
                <w:lang w:val="en-US" w:eastAsia="zh-CN"/>
              </w:rPr>
            </w:pPr>
            <w:r>
              <w:rPr>
                <w:rFonts w:hint="eastAsia" w:ascii="仿宋" w:hAnsi="仿宋" w:eastAsia="仿宋" w:cs="仿宋"/>
                <w:i w:val="0"/>
                <w:iCs w:val="0"/>
                <w:color w:val="000000"/>
                <w:kern w:val="0"/>
                <w:sz w:val="32"/>
                <w:szCs w:val="32"/>
                <w:u w:val="none"/>
                <w:lang w:val="en-US" w:eastAsia="zh-CN" w:bidi="ar"/>
              </w:rPr>
              <w:t>24</w:t>
            </w:r>
          </w:p>
        </w:tc>
        <w:tc>
          <w:tcPr>
            <w:tcW w:w="18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color w:val="auto"/>
                <w:szCs w:val="32"/>
                <w:lang w:eastAsia="zh-CN"/>
              </w:rPr>
            </w:pPr>
            <w:r>
              <w:rPr>
                <w:rFonts w:hint="eastAsia" w:ascii="仿宋" w:hAnsi="仿宋" w:eastAsia="仿宋" w:cs="仿宋"/>
                <w:i w:val="0"/>
                <w:iCs w:val="0"/>
                <w:color w:val="000000"/>
                <w:kern w:val="0"/>
                <w:sz w:val="32"/>
                <w:szCs w:val="32"/>
                <w:u w:val="none"/>
                <w:lang w:val="en-US" w:eastAsia="zh-CN" w:bidi="ar"/>
              </w:rPr>
              <w:t>85.71%</w:t>
            </w:r>
          </w:p>
        </w:tc>
      </w:tr>
      <w:tr>
        <w:tblPrEx>
          <w:tblCellMar>
            <w:top w:w="0" w:type="dxa"/>
            <w:left w:w="108" w:type="dxa"/>
            <w:bottom w:w="0" w:type="dxa"/>
            <w:right w:w="108" w:type="dxa"/>
          </w:tblCellMar>
        </w:tblPrEx>
        <w:trPr>
          <w:trHeight w:val="907" w:hRule="exact"/>
        </w:trPr>
        <w:tc>
          <w:tcPr>
            <w:tcW w:w="3011" w:type="dxa"/>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项目效益</w:t>
            </w:r>
          </w:p>
        </w:tc>
        <w:tc>
          <w:tcPr>
            <w:tcW w:w="18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color w:val="auto"/>
                <w:szCs w:val="32"/>
                <w:lang w:val="en-US"/>
              </w:rPr>
            </w:pPr>
            <w:r>
              <w:rPr>
                <w:rFonts w:hint="eastAsia" w:ascii="仿宋" w:hAnsi="仿宋" w:eastAsia="仿宋" w:cs="仿宋"/>
                <w:i w:val="0"/>
                <w:iCs w:val="0"/>
                <w:color w:val="000000"/>
                <w:kern w:val="0"/>
                <w:sz w:val="32"/>
                <w:szCs w:val="32"/>
                <w:u w:val="none"/>
                <w:lang w:val="en-US" w:eastAsia="zh-CN" w:bidi="ar"/>
              </w:rPr>
              <w:t>32</w:t>
            </w:r>
          </w:p>
        </w:tc>
        <w:tc>
          <w:tcPr>
            <w:tcW w:w="18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color w:val="auto"/>
                <w:szCs w:val="32"/>
                <w:lang w:val="en-US" w:eastAsia="zh-CN"/>
              </w:rPr>
            </w:pPr>
            <w:r>
              <w:rPr>
                <w:rFonts w:hint="eastAsia" w:ascii="仿宋" w:hAnsi="仿宋" w:eastAsia="仿宋" w:cs="仿宋"/>
                <w:i w:val="0"/>
                <w:iCs w:val="0"/>
                <w:color w:val="000000"/>
                <w:kern w:val="0"/>
                <w:sz w:val="32"/>
                <w:szCs w:val="32"/>
                <w:u w:val="none"/>
                <w:lang w:val="en-US" w:eastAsia="zh-CN" w:bidi="ar"/>
              </w:rPr>
              <w:t>30</w:t>
            </w:r>
          </w:p>
        </w:tc>
        <w:tc>
          <w:tcPr>
            <w:tcW w:w="18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color w:val="auto"/>
                <w:szCs w:val="32"/>
                <w:lang w:eastAsia="zh-CN"/>
              </w:rPr>
            </w:pPr>
            <w:r>
              <w:rPr>
                <w:rFonts w:hint="eastAsia" w:ascii="仿宋" w:hAnsi="仿宋" w:eastAsia="仿宋" w:cs="仿宋"/>
                <w:i w:val="0"/>
                <w:iCs w:val="0"/>
                <w:color w:val="000000"/>
                <w:kern w:val="0"/>
                <w:sz w:val="32"/>
                <w:szCs w:val="32"/>
                <w:u w:val="none"/>
                <w:lang w:val="en-US" w:eastAsia="zh-CN" w:bidi="ar"/>
              </w:rPr>
              <w:t>93.75%</w:t>
            </w:r>
          </w:p>
        </w:tc>
      </w:tr>
      <w:tr>
        <w:tblPrEx>
          <w:tblCellMar>
            <w:top w:w="0" w:type="dxa"/>
            <w:left w:w="108" w:type="dxa"/>
            <w:bottom w:w="0" w:type="dxa"/>
            <w:right w:w="108" w:type="dxa"/>
          </w:tblCellMar>
        </w:tblPrEx>
        <w:trPr>
          <w:trHeight w:val="907" w:hRule="exact"/>
        </w:trPr>
        <w:tc>
          <w:tcPr>
            <w:tcW w:w="3011" w:type="dxa"/>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综合得分</w:t>
            </w:r>
          </w:p>
        </w:tc>
        <w:tc>
          <w:tcPr>
            <w:tcW w:w="18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color w:val="auto"/>
                <w:szCs w:val="32"/>
              </w:rPr>
            </w:pPr>
            <w:r>
              <w:rPr>
                <w:rFonts w:hint="eastAsia" w:ascii="仿宋" w:hAnsi="仿宋" w:eastAsia="仿宋" w:cs="仿宋"/>
                <w:i w:val="0"/>
                <w:iCs w:val="0"/>
                <w:color w:val="000000"/>
                <w:kern w:val="0"/>
                <w:sz w:val="32"/>
                <w:szCs w:val="32"/>
                <w:u w:val="none"/>
                <w:lang w:val="en-US" w:eastAsia="zh-CN" w:bidi="ar"/>
              </w:rPr>
              <w:t>100</w:t>
            </w:r>
          </w:p>
        </w:tc>
        <w:tc>
          <w:tcPr>
            <w:tcW w:w="18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color w:val="auto"/>
                <w:szCs w:val="32"/>
                <w:lang w:eastAsia="zh-CN"/>
              </w:rPr>
            </w:pPr>
            <w:r>
              <w:rPr>
                <w:rFonts w:hint="eastAsia" w:ascii="仿宋" w:hAnsi="仿宋" w:eastAsia="仿宋" w:cs="仿宋"/>
                <w:i w:val="0"/>
                <w:iCs w:val="0"/>
                <w:color w:val="000000"/>
                <w:kern w:val="0"/>
                <w:sz w:val="32"/>
                <w:szCs w:val="32"/>
                <w:u w:val="none"/>
                <w:lang w:val="en-US" w:eastAsia="zh-CN" w:bidi="ar"/>
              </w:rPr>
              <w:t>92.38</w:t>
            </w:r>
          </w:p>
        </w:tc>
        <w:tc>
          <w:tcPr>
            <w:tcW w:w="18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color w:val="auto"/>
                <w:szCs w:val="32"/>
                <w:lang w:eastAsia="zh-CN"/>
              </w:rPr>
            </w:pPr>
            <w:r>
              <w:rPr>
                <w:rFonts w:hint="eastAsia" w:ascii="仿宋" w:hAnsi="仿宋" w:eastAsia="仿宋" w:cs="仿宋"/>
                <w:i w:val="0"/>
                <w:iCs w:val="0"/>
                <w:color w:val="000000"/>
                <w:kern w:val="0"/>
                <w:sz w:val="32"/>
                <w:szCs w:val="32"/>
                <w:u w:val="none"/>
                <w:lang w:val="en-US" w:eastAsia="zh-CN" w:bidi="ar"/>
              </w:rPr>
              <w:t>92.38%</w:t>
            </w:r>
          </w:p>
        </w:tc>
      </w:tr>
      <w:tr>
        <w:tblPrEx>
          <w:tblCellMar>
            <w:top w:w="0" w:type="dxa"/>
            <w:left w:w="108" w:type="dxa"/>
            <w:bottom w:w="0" w:type="dxa"/>
            <w:right w:w="108" w:type="dxa"/>
          </w:tblCellMar>
        </w:tblPrEx>
        <w:trPr>
          <w:trHeight w:val="907" w:hRule="exact"/>
        </w:trPr>
        <w:tc>
          <w:tcPr>
            <w:tcW w:w="3011" w:type="dxa"/>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绩效评定级别</w:t>
            </w:r>
          </w:p>
        </w:tc>
        <w:tc>
          <w:tcPr>
            <w:tcW w:w="5508" w:type="dxa"/>
            <w:gridSpan w:val="3"/>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szCs w:val="32"/>
                <w:lang w:val="en-US" w:eastAsia="zh-CN"/>
              </w:rPr>
            </w:pPr>
            <w:r>
              <w:rPr>
                <w:rFonts w:hint="eastAsia" w:ascii="仿宋" w:hAnsi="仿宋" w:eastAsia="仿宋" w:cs="仿宋"/>
                <w:szCs w:val="32"/>
                <w:lang w:val="en-US" w:eastAsia="zh-CN"/>
              </w:rPr>
              <w:t>优</w:t>
            </w:r>
          </w:p>
        </w:tc>
      </w:tr>
    </w:tbl>
    <w:p>
      <w:pPr>
        <w:ind w:firstLine="0" w:firstLineChars="0"/>
        <w:jc w:val="center"/>
        <w:rPr>
          <w:rFonts w:eastAsia="宋体"/>
          <w:b/>
          <w:bCs/>
          <w:sz w:val="28"/>
          <w:szCs w:val="28"/>
        </w:rPr>
      </w:pPr>
      <w:r>
        <w:br w:type="page"/>
      </w:r>
      <w:r>
        <w:rPr>
          <w:rFonts w:eastAsia="宋体"/>
          <w:b/>
          <w:bCs/>
          <w:sz w:val="28"/>
          <w:szCs w:val="28"/>
        </w:rPr>
        <w:t>目录</w:t>
      </w:r>
    </w:p>
    <w:sdt>
      <w:sdtPr>
        <w:rPr>
          <w:rFonts w:ascii="宋体" w:hAnsi="宋体" w:eastAsia="宋体" w:cs="Times New Roman"/>
          <w:color w:val="000000"/>
          <w:sz w:val="21"/>
          <w:szCs w:val="24"/>
          <w:lang w:val="en-US" w:eastAsia="en-US" w:bidi="en-US"/>
        </w:rPr>
        <w:id w:val="147481716"/>
        <w15:color w:val="DBDBDB"/>
        <w:docPartObj>
          <w:docPartGallery w:val="Table of Contents"/>
          <w:docPartUnique/>
        </w:docPartObj>
      </w:sdtPr>
      <w:sdtEndPr>
        <w:rPr>
          <w:rFonts w:ascii="宋体" w:hAnsi="宋体" w:eastAsia="宋体" w:cs="Times New Roman"/>
          <w:color w:val="000000"/>
          <w:sz w:val="21"/>
          <w:szCs w:val="24"/>
          <w:lang w:val="en-US" w:eastAsia="en-US" w:bidi="en-US"/>
        </w:rPr>
      </w:sdtEndPr>
      <w:sdtContent>
        <w:p>
          <w:pPr>
            <w:spacing w:before="0" w:beforeLines="0" w:after="0" w:afterLines="0" w:line="240" w:lineRule="auto"/>
            <w:ind w:left="0" w:leftChars="0" w:right="0" w:rightChars="0" w:firstLine="0" w:firstLineChars="0"/>
            <w:jc w:val="center"/>
          </w:pPr>
          <w:bookmarkStart w:id="22" w:name="_Hlk199081877"/>
          <w:bookmarkStart w:id="23" w:name="_Toc132480957"/>
          <w:bookmarkStart w:id="24" w:name="_Toc1902724683"/>
          <w:bookmarkStart w:id="25" w:name="_Toc29416"/>
          <w:bookmarkStart w:id="26" w:name="_Toc6723"/>
          <w:bookmarkStart w:id="27" w:name="_Toc400713784"/>
          <w:bookmarkStart w:id="28" w:name="_Toc130033874"/>
          <w:bookmarkStart w:id="29" w:name="_Toc562319121"/>
          <w:bookmarkStart w:id="30" w:name="_Toc132480512"/>
          <w:bookmarkStart w:id="31" w:name="_Toc792595118"/>
          <w:bookmarkStart w:id="32" w:name="_Toc1675062758"/>
          <w:bookmarkStart w:id="33" w:name="_Toc179658314"/>
          <w:bookmarkStart w:id="34" w:name="_Toc1042875910_WPSOffice_Level1"/>
          <w:bookmarkStart w:id="35" w:name="_Toc24206"/>
        </w:p>
        <w:p>
          <w:pPr>
            <w:pStyle w:val="18"/>
            <w:tabs>
              <w:tab w:val="right" w:leader="dot" w:pos="8306"/>
            </w:tabs>
            <w:ind w:left="0" w:leftChars="0" w:firstLine="400" w:firstLineChars="200"/>
            <w:jc w:val="both"/>
            <w:rPr>
              <w:rFonts w:hint="eastAsia" w:ascii="仿宋" w:hAnsi="仿宋" w:eastAsia="仿宋" w:cs="仿宋"/>
              <w:sz w:val="24"/>
              <w:szCs w:val="24"/>
            </w:rPr>
          </w:pPr>
          <w:r>
            <w:fldChar w:fldCharType="begin"/>
          </w:r>
          <w:r>
            <w:instrText xml:space="preserve">TOC \o "1-2" \h \u </w:instrText>
          </w:r>
          <w: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_Toc26995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一、基本情况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_Toc26995 \h </w:instrText>
          </w:r>
          <w:r>
            <w:rPr>
              <w:rFonts w:hint="eastAsia" w:ascii="仿宋" w:hAnsi="仿宋" w:eastAsia="仿宋" w:cs="仿宋"/>
              <w:sz w:val="24"/>
              <w:szCs w:val="24"/>
            </w:rPr>
            <w:fldChar w:fldCharType="separate"/>
          </w:r>
          <w:r>
            <w:rPr>
              <w:rFonts w:hint="eastAsia" w:ascii="仿宋" w:hAnsi="仿宋" w:eastAsia="仿宋" w:cs="仿宋"/>
              <w:sz w:val="24"/>
              <w:szCs w:val="24"/>
            </w:rPr>
            <w:t>- 1 -</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ind w:left="0" w:leftChars="0" w:firstLine="960" w:firstLineChars="400"/>
            <w:jc w:val="both"/>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_Toc25967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(一)项目概况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_Toc25967 \h </w:instrText>
          </w:r>
          <w:r>
            <w:rPr>
              <w:rFonts w:hint="eastAsia" w:ascii="仿宋" w:hAnsi="仿宋" w:eastAsia="仿宋" w:cs="仿宋"/>
              <w:sz w:val="24"/>
              <w:szCs w:val="24"/>
            </w:rPr>
            <w:fldChar w:fldCharType="separate"/>
          </w:r>
          <w:r>
            <w:rPr>
              <w:rFonts w:hint="eastAsia" w:ascii="仿宋" w:hAnsi="仿宋" w:eastAsia="仿宋" w:cs="仿宋"/>
              <w:sz w:val="24"/>
              <w:szCs w:val="24"/>
            </w:rPr>
            <w:t>- 1 -</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ind w:left="0" w:leftChars="0" w:firstLine="960" w:firstLineChars="400"/>
            <w:jc w:val="both"/>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_Toc21201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(二)项目绩效目标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_Toc21201 \h </w:instrText>
          </w:r>
          <w:r>
            <w:rPr>
              <w:rFonts w:hint="eastAsia" w:ascii="仿宋" w:hAnsi="仿宋" w:eastAsia="仿宋" w:cs="仿宋"/>
              <w:sz w:val="24"/>
              <w:szCs w:val="24"/>
            </w:rPr>
            <w:fldChar w:fldCharType="separate"/>
          </w:r>
          <w:r>
            <w:rPr>
              <w:rFonts w:hint="eastAsia" w:ascii="仿宋" w:hAnsi="仿宋" w:eastAsia="仿宋" w:cs="仿宋"/>
              <w:sz w:val="24"/>
              <w:szCs w:val="24"/>
            </w:rPr>
            <w:t>- 5 -</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5"/>
            <w:tabs>
              <w:tab w:val="right" w:leader="dot" w:pos="8306"/>
            </w:tabs>
            <w:ind w:left="0" w:leftChars="0" w:firstLine="482" w:firstLineChars="200"/>
            <w:jc w:val="both"/>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_Toc27417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二、绩效评价工作开展情况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_Toc27417 \h </w:instrText>
          </w:r>
          <w:r>
            <w:rPr>
              <w:rFonts w:hint="eastAsia" w:ascii="仿宋" w:hAnsi="仿宋" w:eastAsia="仿宋" w:cs="仿宋"/>
              <w:sz w:val="24"/>
              <w:szCs w:val="24"/>
            </w:rPr>
            <w:fldChar w:fldCharType="separate"/>
          </w:r>
          <w:r>
            <w:rPr>
              <w:rFonts w:hint="eastAsia" w:ascii="仿宋" w:hAnsi="仿宋" w:eastAsia="仿宋" w:cs="仿宋"/>
              <w:sz w:val="24"/>
              <w:szCs w:val="24"/>
            </w:rPr>
            <w:t>- 6 -</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ind w:left="0" w:leftChars="0" w:firstLine="960" w:firstLineChars="400"/>
            <w:jc w:val="both"/>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_Toc13225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(一)绩效评价目的、对象和范围</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_Toc13225 \h </w:instrText>
          </w:r>
          <w:r>
            <w:rPr>
              <w:rFonts w:hint="eastAsia" w:ascii="仿宋" w:hAnsi="仿宋" w:eastAsia="仿宋" w:cs="仿宋"/>
              <w:sz w:val="24"/>
              <w:szCs w:val="24"/>
            </w:rPr>
            <w:fldChar w:fldCharType="separate"/>
          </w:r>
          <w:r>
            <w:rPr>
              <w:rFonts w:hint="eastAsia" w:ascii="仿宋" w:hAnsi="仿宋" w:eastAsia="仿宋" w:cs="仿宋"/>
              <w:sz w:val="24"/>
              <w:szCs w:val="24"/>
            </w:rPr>
            <w:t>- 6 -</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ind w:left="0" w:leftChars="0" w:firstLine="960" w:firstLineChars="400"/>
            <w:jc w:val="both"/>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_Toc19886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(二)绩效评价原则、评价指标体系、评价方法、评价标准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_Toc19886 \h </w:instrText>
          </w:r>
          <w:r>
            <w:rPr>
              <w:rFonts w:hint="eastAsia" w:ascii="仿宋" w:hAnsi="仿宋" w:eastAsia="仿宋" w:cs="仿宋"/>
              <w:sz w:val="24"/>
              <w:szCs w:val="24"/>
            </w:rPr>
            <w:fldChar w:fldCharType="separate"/>
          </w:r>
          <w:r>
            <w:rPr>
              <w:rFonts w:hint="eastAsia" w:ascii="仿宋" w:hAnsi="仿宋" w:eastAsia="仿宋" w:cs="仿宋"/>
              <w:sz w:val="24"/>
              <w:szCs w:val="24"/>
            </w:rPr>
            <w:t>- 7 -</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ind w:left="0" w:leftChars="0" w:firstLine="960" w:firstLineChars="400"/>
            <w:jc w:val="both"/>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_Toc12250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(三)绩效评价工作过程</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_Toc12250 \h </w:instrText>
          </w:r>
          <w:r>
            <w:rPr>
              <w:rFonts w:hint="eastAsia" w:ascii="仿宋" w:hAnsi="仿宋" w:eastAsia="仿宋" w:cs="仿宋"/>
              <w:sz w:val="24"/>
              <w:szCs w:val="24"/>
            </w:rPr>
            <w:fldChar w:fldCharType="separate"/>
          </w:r>
          <w:r>
            <w:rPr>
              <w:rFonts w:hint="eastAsia" w:ascii="仿宋" w:hAnsi="仿宋" w:eastAsia="仿宋" w:cs="仿宋"/>
              <w:sz w:val="24"/>
              <w:szCs w:val="24"/>
            </w:rPr>
            <w:t>- 10 -</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5"/>
            <w:tabs>
              <w:tab w:val="right" w:leader="dot" w:pos="8306"/>
            </w:tabs>
            <w:ind w:left="0" w:leftChars="0" w:firstLine="482" w:firstLineChars="200"/>
            <w:jc w:val="both"/>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_Toc6261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三、综合评价情况及评价结论（附相关评分表）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_Toc6261 \h </w:instrText>
          </w:r>
          <w:r>
            <w:rPr>
              <w:rFonts w:hint="eastAsia" w:ascii="仿宋" w:hAnsi="仿宋" w:eastAsia="仿宋" w:cs="仿宋"/>
              <w:sz w:val="24"/>
              <w:szCs w:val="24"/>
            </w:rPr>
            <w:fldChar w:fldCharType="separate"/>
          </w:r>
          <w:r>
            <w:rPr>
              <w:rFonts w:hint="eastAsia" w:ascii="仿宋" w:hAnsi="仿宋" w:eastAsia="仿宋" w:cs="仿宋"/>
              <w:sz w:val="24"/>
              <w:szCs w:val="24"/>
            </w:rPr>
            <w:t>- 13 -</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5"/>
            <w:tabs>
              <w:tab w:val="right" w:leader="dot" w:pos="8306"/>
            </w:tabs>
            <w:ind w:left="0" w:leftChars="0" w:firstLine="482" w:firstLineChars="200"/>
            <w:jc w:val="both"/>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_Toc23865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四、绩效评价指标分析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_Toc23865 \h </w:instrText>
          </w:r>
          <w:r>
            <w:rPr>
              <w:rFonts w:hint="eastAsia" w:ascii="仿宋" w:hAnsi="仿宋" w:eastAsia="仿宋" w:cs="仿宋"/>
              <w:sz w:val="24"/>
              <w:szCs w:val="24"/>
            </w:rPr>
            <w:fldChar w:fldCharType="separate"/>
          </w:r>
          <w:r>
            <w:rPr>
              <w:rFonts w:hint="eastAsia" w:ascii="仿宋" w:hAnsi="仿宋" w:eastAsia="仿宋" w:cs="仿宋"/>
              <w:sz w:val="24"/>
              <w:szCs w:val="24"/>
            </w:rPr>
            <w:t>- 13 -</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ind w:left="0" w:leftChars="0" w:firstLine="960" w:firstLineChars="400"/>
            <w:jc w:val="both"/>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_Toc10744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(一)项目决策情况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_Toc10744 \h </w:instrText>
          </w:r>
          <w:r>
            <w:rPr>
              <w:rFonts w:hint="eastAsia" w:ascii="仿宋" w:hAnsi="仿宋" w:eastAsia="仿宋" w:cs="仿宋"/>
              <w:sz w:val="24"/>
              <w:szCs w:val="24"/>
            </w:rPr>
            <w:fldChar w:fldCharType="separate"/>
          </w:r>
          <w:r>
            <w:rPr>
              <w:rFonts w:hint="eastAsia" w:ascii="仿宋" w:hAnsi="仿宋" w:eastAsia="仿宋" w:cs="仿宋"/>
              <w:sz w:val="24"/>
              <w:szCs w:val="24"/>
            </w:rPr>
            <w:t>- 13 -</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ind w:left="0" w:leftChars="0" w:firstLine="960" w:firstLineChars="400"/>
            <w:jc w:val="both"/>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_Toc839 </w:instrText>
          </w:r>
          <w:r>
            <w:rPr>
              <w:rFonts w:hint="eastAsia" w:ascii="仿宋" w:hAnsi="仿宋" w:eastAsia="仿宋" w:cs="仿宋"/>
              <w:sz w:val="24"/>
              <w:szCs w:val="24"/>
            </w:rPr>
            <w:fldChar w:fldCharType="separate"/>
          </w:r>
          <w:r>
            <w:rPr>
              <w:rFonts w:hint="eastAsia" w:ascii="仿宋" w:hAnsi="仿宋" w:eastAsia="仿宋" w:cs="仿宋"/>
              <w:bCs/>
              <w:sz w:val="24"/>
              <w:szCs w:val="24"/>
            </w:rPr>
            <w:t>(二)项目过程情况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_Toc839 \h </w:instrText>
          </w:r>
          <w:r>
            <w:rPr>
              <w:rFonts w:hint="eastAsia" w:ascii="仿宋" w:hAnsi="仿宋" w:eastAsia="仿宋" w:cs="仿宋"/>
              <w:sz w:val="24"/>
              <w:szCs w:val="24"/>
            </w:rPr>
            <w:fldChar w:fldCharType="separate"/>
          </w:r>
          <w:r>
            <w:rPr>
              <w:rFonts w:hint="eastAsia" w:ascii="仿宋" w:hAnsi="仿宋" w:eastAsia="仿宋" w:cs="仿宋"/>
              <w:sz w:val="24"/>
              <w:szCs w:val="24"/>
            </w:rPr>
            <w:t>- 16 -</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ind w:left="0" w:leftChars="0" w:firstLine="960" w:firstLineChars="400"/>
            <w:jc w:val="both"/>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_Toc18089 </w:instrText>
          </w:r>
          <w:r>
            <w:rPr>
              <w:rFonts w:hint="eastAsia" w:ascii="仿宋" w:hAnsi="仿宋" w:eastAsia="仿宋" w:cs="仿宋"/>
              <w:sz w:val="24"/>
              <w:szCs w:val="24"/>
            </w:rPr>
            <w:fldChar w:fldCharType="separate"/>
          </w:r>
          <w:r>
            <w:rPr>
              <w:rFonts w:hint="eastAsia" w:ascii="仿宋" w:hAnsi="仿宋" w:eastAsia="仿宋" w:cs="仿宋"/>
              <w:bCs/>
              <w:sz w:val="24"/>
              <w:szCs w:val="24"/>
            </w:rPr>
            <w:t>(三)项目产出情况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_Toc18089 \h </w:instrText>
          </w:r>
          <w:r>
            <w:rPr>
              <w:rFonts w:hint="eastAsia" w:ascii="仿宋" w:hAnsi="仿宋" w:eastAsia="仿宋" w:cs="仿宋"/>
              <w:sz w:val="24"/>
              <w:szCs w:val="24"/>
            </w:rPr>
            <w:fldChar w:fldCharType="separate"/>
          </w:r>
          <w:r>
            <w:rPr>
              <w:rFonts w:hint="eastAsia" w:ascii="仿宋" w:hAnsi="仿宋" w:eastAsia="仿宋" w:cs="仿宋"/>
              <w:sz w:val="24"/>
              <w:szCs w:val="24"/>
            </w:rPr>
            <w:t>- 17 -</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ind w:left="0" w:leftChars="0" w:firstLine="960" w:firstLineChars="400"/>
            <w:jc w:val="both"/>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_Toc9410 </w:instrText>
          </w:r>
          <w:r>
            <w:rPr>
              <w:rFonts w:hint="eastAsia" w:ascii="仿宋" w:hAnsi="仿宋" w:eastAsia="仿宋" w:cs="仿宋"/>
              <w:sz w:val="24"/>
              <w:szCs w:val="24"/>
            </w:rPr>
            <w:fldChar w:fldCharType="separate"/>
          </w:r>
          <w:r>
            <w:rPr>
              <w:rFonts w:hint="eastAsia" w:ascii="仿宋" w:hAnsi="仿宋" w:eastAsia="仿宋" w:cs="仿宋"/>
              <w:bCs/>
              <w:sz w:val="24"/>
              <w:szCs w:val="24"/>
            </w:rPr>
            <w:t>(四)项目效益情况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_Toc9410 \h </w:instrText>
          </w:r>
          <w:r>
            <w:rPr>
              <w:rFonts w:hint="eastAsia" w:ascii="仿宋" w:hAnsi="仿宋" w:eastAsia="仿宋" w:cs="仿宋"/>
              <w:sz w:val="24"/>
              <w:szCs w:val="24"/>
            </w:rPr>
            <w:fldChar w:fldCharType="separate"/>
          </w:r>
          <w:r>
            <w:rPr>
              <w:rFonts w:hint="eastAsia" w:ascii="仿宋" w:hAnsi="仿宋" w:eastAsia="仿宋" w:cs="仿宋"/>
              <w:sz w:val="24"/>
              <w:szCs w:val="24"/>
            </w:rPr>
            <w:t>- 19 -</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5"/>
            <w:tabs>
              <w:tab w:val="right" w:leader="dot" w:pos="8306"/>
            </w:tabs>
            <w:ind w:left="0" w:leftChars="0" w:firstLine="482" w:firstLineChars="200"/>
            <w:jc w:val="both"/>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_Toc3877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五、存在的问题及建议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_Toc3877 \h </w:instrText>
          </w:r>
          <w:r>
            <w:rPr>
              <w:rFonts w:hint="eastAsia" w:ascii="仿宋" w:hAnsi="仿宋" w:eastAsia="仿宋" w:cs="仿宋"/>
              <w:sz w:val="24"/>
              <w:szCs w:val="24"/>
            </w:rPr>
            <w:fldChar w:fldCharType="separate"/>
          </w:r>
          <w:r>
            <w:rPr>
              <w:rFonts w:hint="eastAsia" w:ascii="仿宋" w:hAnsi="仿宋" w:eastAsia="仿宋" w:cs="仿宋"/>
              <w:sz w:val="24"/>
              <w:szCs w:val="24"/>
            </w:rPr>
            <w:t>- 22 -</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5"/>
            <w:tabs>
              <w:tab w:val="right" w:leader="dot" w:pos="8306"/>
            </w:tabs>
            <w:ind w:left="0" w:leftChars="0" w:firstLine="482" w:firstLineChars="200"/>
            <w:jc w:val="both"/>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_Toc2466 </w:instrText>
          </w:r>
          <w:r>
            <w:rPr>
              <w:rFonts w:hint="eastAsia" w:ascii="仿宋" w:hAnsi="仿宋" w:eastAsia="仿宋" w:cs="仿宋"/>
              <w:sz w:val="24"/>
              <w:szCs w:val="24"/>
            </w:rPr>
            <w:fldChar w:fldCharType="separate"/>
          </w:r>
          <w:r>
            <w:rPr>
              <w:rFonts w:hint="eastAsia" w:ascii="仿宋" w:hAnsi="仿宋" w:eastAsia="仿宋" w:cs="仿宋"/>
              <w:bCs/>
              <w:sz w:val="24"/>
              <w:szCs w:val="24"/>
            </w:rPr>
            <w:t>六、附件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_Toc2466 \h </w:instrText>
          </w:r>
          <w:r>
            <w:rPr>
              <w:rFonts w:hint="eastAsia" w:ascii="仿宋" w:hAnsi="仿宋" w:eastAsia="仿宋" w:cs="仿宋"/>
              <w:sz w:val="24"/>
              <w:szCs w:val="24"/>
            </w:rPr>
            <w:fldChar w:fldCharType="separate"/>
          </w:r>
          <w:r>
            <w:rPr>
              <w:rFonts w:hint="eastAsia" w:ascii="仿宋" w:hAnsi="仿宋" w:eastAsia="仿宋" w:cs="仿宋"/>
              <w:sz w:val="24"/>
              <w:szCs w:val="24"/>
            </w:rPr>
            <w:t>- 22 -</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ind w:left="0" w:leftChars="0" w:firstLine="400" w:firstLineChars="200"/>
            <w:jc w:val="both"/>
          </w:pPr>
        </w:p>
        <w:p>
          <w:r>
            <w:fldChar w:fldCharType="end"/>
          </w:r>
        </w:p>
      </w:sdtContent>
    </w:sdt>
    <w:p/>
    <w:p>
      <w:pPr>
        <w:pStyle w:val="21"/>
        <w:spacing w:before="0" w:beforeLines="0" w:after="0" w:afterLines="0" w:line="780" w:lineRule="exact"/>
        <w:ind w:left="-426" w:leftChars="-221" w:right="-624" w:rightChars="-195" w:hanging="281" w:hangingChars="64"/>
        <w:outlineLvl w:val="1"/>
        <w:rPr>
          <w:rFonts w:hint="eastAsia" w:ascii="仿宋" w:hAnsi="仿宋" w:eastAsia="仿宋" w:cs="仿宋"/>
          <w:b w:val="0"/>
          <w:bCs w:val="0"/>
          <w:lang w:eastAsia="zh-CN"/>
        </w:rPr>
        <w:sectPr>
          <w:headerReference r:id="rId11" w:type="default"/>
          <w:footerReference r:id="rId12" w:type="default"/>
          <w:pgSz w:w="11906" w:h="16838"/>
          <w:pgMar w:top="1440" w:right="1800" w:bottom="1440" w:left="1800" w:header="851" w:footer="1191" w:gutter="0"/>
          <w:pgBorders>
            <w:top w:val="none" w:sz="0" w:space="0"/>
            <w:left w:val="none" w:sz="0" w:space="0"/>
            <w:bottom w:val="none" w:sz="0" w:space="0"/>
            <w:right w:val="none" w:sz="0" w:space="0"/>
          </w:pgBorders>
          <w:pgNumType w:fmt="numberInDash" w:start="1"/>
          <w:cols w:space="425" w:num="1"/>
          <w:docGrid w:type="lines" w:linePitch="312" w:charSpace="0"/>
        </w:sectPr>
      </w:pPr>
      <w:bookmarkStart w:id="36" w:name="_Toc22788"/>
    </w:p>
    <w:p>
      <w:pPr>
        <w:pStyle w:val="21"/>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lang w:eastAsia="zh-CN"/>
        </w:rPr>
      </w:pPr>
      <w:r>
        <w:rPr>
          <w:rFonts w:hint="eastAsia" w:ascii="方正小标宋简体" w:hAnsi="方正小标宋简体" w:eastAsia="方正小标宋简体" w:cs="方正小标宋简体"/>
          <w:b w:val="0"/>
          <w:bCs w:val="0"/>
          <w:lang w:eastAsia="zh-CN"/>
        </w:rPr>
        <w:t>乐山市金口河区延风中学</w:t>
      </w:r>
      <w:bookmarkEnd w:id="22"/>
      <w:r>
        <w:rPr>
          <w:rFonts w:hint="eastAsia" w:ascii="方正小标宋简体" w:hAnsi="方正小标宋简体" w:eastAsia="方正小标宋简体" w:cs="方正小标宋简体"/>
          <w:b w:val="0"/>
          <w:bCs w:val="0"/>
          <w:lang w:eastAsia="zh-CN"/>
        </w:rPr>
        <w:br w:type="textWrapping"/>
      </w:r>
      <w:r>
        <w:rPr>
          <w:rFonts w:hint="eastAsia" w:ascii="方正小标宋简体" w:hAnsi="方正小标宋简体" w:eastAsia="方正小标宋简体" w:cs="方正小标宋简体"/>
          <w:b w:val="0"/>
          <w:bCs w:val="0"/>
          <w:lang w:eastAsia="zh-CN"/>
        </w:rPr>
        <w:t>男生宿舍学生用床、柜子采购项目</w:t>
      </w:r>
      <w:r>
        <w:rPr>
          <w:rFonts w:hint="eastAsia" w:ascii="方正小标宋简体" w:hAnsi="方正小标宋简体" w:eastAsia="方正小标宋简体" w:cs="方正小标宋简体"/>
          <w:b w:val="0"/>
          <w:bCs w:val="0"/>
          <w:lang w:eastAsia="zh-CN"/>
        </w:rPr>
        <w:br w:type="textWrapping"/>
      </w:r>
      <w:r>
        <w:rPr>
          <w:rFonts w:hint="eastAsia" w:ascii="方正小标宋简体" w:hAnsi="方正小标宋简体" w:eastAsia="方正小标宋简体" w:cs="方正小标宋简体"/>
          <w:b w:val="0"/>
          <w:bCs w:val="0"/>
          <w:lang w:eastAsia="zh-CN"/>
        </w:rPr>
        <w:t>支出绩效评价报告</w:t>
      </w:r>
      <w:bookmarkEnd w:id="23"/>
      <w:bookmarkEnd w:id="24"/>
      <w:bookmarkEnd w:id="25"/>
      <w:bookmarkEnd w:id="26"/>
      <w:bookmarkEnd w:id="27"/>
      <w:bookmarkEnd w:id="28"/>
      <w:bookmarkEnd w:id="29"/>
      <w:bookmarkEnd w:id="30"/>
      <w:bookmarkEnd w:id="31"/>
      <w:bookmarkEnd w:id="32"/>
      <w:bookmarkEnd w:id="33"/>
      <w:bookmarkEnd w:id="34"/>
      <w:bookmarkEnd w:id="35"/>
      <w:bookmarkEnd w:id="36"/>
    </w:p>
    <w:p>
      <w:pPr>
        <w:pStyle w:val="2"/>
        <w:numPr>
          <w:numId w:val="0"/>
        </w:numPr>
        <w:spacing w:before="0" w:beforeLines="0" w:after="0" w:afterLines="0"/>
        <w:ind w:leftChars="0"/>
        <w:rPr>
          <w:rFonts w:hint="eastAsia" w:ascii="仿宋" w:hAnsi="仿宋" w:eastAsia="仿宋" w:cs="仿宋"/>
          <w:b w:val="0"/>
          <w:bCs/>
          <w:lang w:eastAsia="zh-CN"/>
        </w:rPr>
      </w:pPr>
      <w:bookmarkStart w:id="37" w:name="_Toc1416645183"/>
      <w:bookmarkStart w:id="38" w:name="_Toc305085885"/>
      <w:bookmarkStart w:id="39" w:name="_Toc179658315"/>
      <w:bookmarkStart w:id="40" w:name="_Toc2225"/>
      <w:bookmarkStart w:id="41" w:name="_Toc2001376203_WPSOffice_Level1"/>
      <w:bookmarkStart w:id="42" w:name="_Toc26995"/>
      <w:bookmarkStart w:id="43" w:name="_Toc287850696"/>
      <w:bookmarkStart w:id="44" w:name="_Toc1969419847"/>
      <w:bookmarkStart w:id="45" w:name="_Toc132480958"/>
    </w:p>
    <w:p>
      <w:pPr>
        <w:pStyle w:val="2"/>
        <w:numPr>
          <w:numId w:val="0"/>
        </w:numPr>
        <w:spacing w:before="0" w:beforeLines="0" w:after="0" w:afterLines="0"/>
        <w:ind w:leftChars="0" w:firstLine="640" w:firstLineChars="200"/>
        <w:rPr>
          <w:rFonts w:hint="eastAsia" w:ascii="黑体" w:hAnsi="黑体" w:eastAsia="黑体" w:cs="黑体"/>
          <w:b w:val="0"/>
          <w:bCs/>
          <w:lang w:eastAsia="zh-CN"/>
        </w:rPr>
      </w:pPr>
      <w:r>
        <w:rPr>
          <w:rFonts w:hint="eastAsia" w:ascii="黑体" w:hAnsi="黑体" w:eastAsia="黑体" w:cs="黑体"/>
          <w:b w:val="0"/>
          <w:bCs/>
          <w:lang w:eastAsia="zh-CN"/>
        </w:rPr>
        <w:t>一、基本情况</w:t>
      </w:r>
      <w:bookmarkEnd w:id="37"/>
      <w:bookmarkEnd w:id="38"/>
      <w:bookmarkEnd w:id="39"/>
      <w:bookmarkEnd w:id="40"/>
      <w:bookmarkEnd w:id="41"/>
      <w:bookmarkEnd w:id="42"/>
      <w:bookmarkEnd w:id="43"/>
      <w:bookmarkEnd w:id="44"/>
      <w:bookmarkEnd w:id="45"/>
    </w:p>
    <w:p>
      <w:pPr>
        <w:pStyle w:val="3"/>
        <w:numPr>
          <w:ilvl w:val="0"/>
          <w:numId w:val="1"/>
        </w:numPr>
        <w:spacing w:before="0" w:beforeLines="0" w:after="0" w:afterLines="0"/>
        <w:ind w:firstLineChars="0"/>
        <w:rPr>
          <w:rFonts w:hint="eastAsia" w:ascii="楷体" w:hAnsi="楷体" w:eastAsia="楷体" w:cs="楷体"/>
          <w:b w:val="0"/>
          <w:bCs/>
          <w:lang w:eastAsia="zh-CN"/>
        </w:rPr>
      </w:pPr>
      <w:bookmarkStart w:id="46" w:name="_Toc27921"/>
      <w:bookmarkStart w:id="47" w:name="_Toc873917318"/>
      <w:bookmarkStart w:id="48" w:name="_Toc1535003806"/>
      <w:bookmarkStart w:id="49" w:name="_Toc179658316"/>
      <w:bookmarkStart w:id="50" w:name="_Toc132480959"/>
      <w:bookmarkStart w:id="51" w:name="_Toc404396392"/>
      <w:bookmarkStart w:id="52" w:name="_Toc1042875910_WPSOffice_Level2"/>
      <w:bookmarkStart w:id="53" w:name="_Toc1773474628"/>
      <w:bookmarkStart w:id="54" w:name="_Toc25967"/>
      <w:r>
        <w:rPr>
          <w:rFonts w:hint="eastAsia" w:ascii="楷体" w:hAnsi="楷体" w:eastAsia="楷体" w:cs="楷体"/>
          <w:b w:val="0"/>
          <w:bCs/>
          <w:lang w:eastAsia="zh-CN"/>
        </w:rPr>
        <w:t>项目概况</w:t>
      </w:r>
      <w:bookmarkEnd w:id="46"/>
      <w:bookmarkEnd w:id="47"/>
      <w:bookmarkEnd w:id="48"/>
      <w:bookmarkEnd w:id="49"/>
      <w:bookmarkEnd w:id="50"/>
      <w:bookmarkEnd w:id="51"/>
      <w:bookmarkEnd w:id="52"/>
      <w:bookmarkEnd w:id="53"/>
      <w:bookmarkEnd w:id="54"/>
    </w:p>
    <w:p>
      <w:pPr>
        <w:pStyle w:val="4"/>
        <w:numPr>
          <w:ilvl w:val="0"/>
          <w:numId w:val="2"/>
        </w:numPr>
        <w:ind w:firstLineChars="0"/>
        <w:rPr>
          <w:rFonts w:hint="eastAsia" w:ascii="仿宋" w:hAnsi="仿宋" w:eastAsia="仿宋" w:cs="仿宋"/>
          <w:b w:val="0"/>
          <w:bCs/>
          <w:lang w:eastAsia="zh-CN"/>
        </w:rPr>
      </w:pPr>
      <w:bookmarkStart w:id="55" w:name="_Toc9331"/>
      <w:bookmarkStart w:id="56" w:name="_Toc9639"/>
      <w:bookmarkStart w:id="57" w:name="_Toc1087916031"/>
      <w:bookmarkStart w:id="58" w:name="_Toc130033877"/>
      <w:bookmarkStart w:id="59" w:name="_Toc1287701793"/>
      <w:bookmarkStart w:id="60" w:name="_Toc1862536083"/>
      <w:bookmarkStart w:id="61" w:name="_Toc2051901236"/>
      <w:bookmarkStart w:id="62" w:name="_Toc1042875910_WPSOffice_Level3"/>
      <w:r>
        <w:rPr>
          <w:rFonts w:hint="eastAsia" w:ascii="仿宋" w:hAnsi="仿宋" w:eastAsia="仿宋" w:cs="仿宋"/>
          <w:b w:val="0"/>
          <w:bCs/>
          <w:lang w:eastAsia="zh-CN"/>
        </w:rPr>
        <w:t>项目背景</w:t>
      </w:r>
      <w:bookmarkEnd w:id="55"/>
      <w:r>
        <w:rPr>
          <w:rFonts w:hint="eastAsia" w:ascii="仿宋" w:hAnsi="仿宋" w:eastAsia="仿宋" w:cs="仿宋"/>
          <w:b w:val="0"/>
          <w:bCs/>
          <w:lang w:eastAsia="zh-CN"/>
        </w:rPr>
        <w:t>及基本情况</w:t>
      </w:r>
    </w:p>
    <w:p>
      <w:pPr>
        <w:ind w:firstLine="640"/>
        <w:rPr>
          <w:rFonts w:ascii="仿宋" w:hAnsi="仿宋" w:eastAsia="仿宋" w:cs="仿宋"/>
          <w:bCs/>
          <w:color w:val="auto"/>
          <w:szCs w:val="32"/>
          <w:lang w:eastAsia="zh-CN"/>
        </w:rPr>
      </w:pPr>
      <w:r>
        <w:rPr>
          <w:rFonts w:hint="eastAsia" w:ascii="仿宋" w:hAnsi="仿宋" w:eastAsia="仿宋" w:cs="仿宋"/>
          <w:bCs/>
          <w:color w:val="auto"/>
          <w:szCs w:val="32"/>
          <w:lang w:eastAsia="zh-CN"/>
        </w:rPr>
        <w:t>2015年四川省发布《中小学学生宿舍(公寓)管理服务规定》，该规定要求公寓床宽度至少为90CM，防跌落杆高度不低于33CM。</w:t>
      </w:r>
      <w:r>
        <w:rPr>
          <w:rFonts w:hint="eastAsia" w:ascii="仿宋" w:hAnsi="仿宋" w:eastAsia="仿宋" w:cs="仿宋"/>
          <w:lang w:eastAsia="zh-CN"/>
        </w:rPr>
        <w:t>乐山市金口河区</w:t>
      </w:r>
      <w:r>
        <w:rPr>
          <w:rFonts w:hint="eastAsia" w:ascii="仿宋" w:hAnsi="仿宋" w:eastAsia="仿宋" w:cs="仿宋"/>
          <w:bCs/>
          <w:color w:val="auto"/>
          <w:szCs w:val="32"/>
          <w:lang w:eastAsia="zh-CN"/>
        </w:rPr>
        <w:t>延风中学</w:t>
      </w:r>
      <w:r>
        <w:rPr>
          <w:rFonts w:hint="eastAsia" w:ascii="仿宋" w:hAnsi="仿宋" w:eastAsia="仿宋" w:cs="仿宋"/>
          <w:lang w:eastAsia="zh-CN"/>
        </w:rPr>
        <w:t>（以下简称延风中学）</w:t>
      </w:r>
      <w:r>
        <w:rPr>
          <w:rFonts w:hint="eastAsia" w:ascii="仿宋" w:hAnsi="仿宋" w:eastAsia="仿宋" w:cs="仿宋"/>
          <w:bCs/>
          <w:color w:val="auto"/>
          <w:szCs w:val="32"/>
          <w:lang w:eastAsia="zh-CN"/>
        </w:rPr>
        <w:t>男生寝室公寓床系13年前购置，床宽度为80CM，防跌落杆高度为24CM。同时学生公寓男生寝室内铁皮柜因使用年限较长，损坏较为严重且存在安全隐患。在2023年春季接受四川省教育厅教育装备检查中发现该问题，四川省教育厅要求延风中学进行整改。</w:t>
      </w:r>
    </w:p>
    <w:p>
      <w:pPr>
        <w:ind w:firstLine="640"/>
        <w:rPr>
          <w:rFonts w:hint="eastAsia" w:ascii="仿宋" w:hAnsi="仿宋" w:eastAsia="仿宋" w:cs="仿宋"/>
          <w:bCs/>
          <w:color w:val="auto"/>
          <w:szCs w:val="32"/>
          <w:lang w:eastAsia="zh-CN"/>
        </w:rPr>
      </w:pPr>
      <w:r>
        <w:rPr>
          <w:rFonts w:hint="eastAsia" w:ascii="仿宋" w:hAnsi="仿宋" w:eastAsia="仿宋" w:cs="仿宋"/>
          <w:lang w:eastAsia="zh-CN"/>
        </w:rPr>
        <w:t>延风中学</w:t>
      </w:r>
      <w:r>
        <w:rPr>
          <w:rFonts w:hint="eastAsia" w:ascii="仿宋" w:hAnsi="仿宋" w:eastAsia="仿宋" w:cs="仿宋"/>
          <w:bCs/>
          <w:color w:val="auto"/>
          <w:szCs w:val="32"/>
          <w:lang w:eastAsia="zh-CN"/>
        </w:rPr>
        <w:t>本着为学生安全考虑，同时符合《中小学学生宿舍(公寓)管理服务规定》相关规定，拟采购300个床位的公寓床，及100个3门储物柜。</w:t>
      </w:r>
    </w:p>
    <w:bookmarkEnd w:id="56"/>
    <w:bookmarkEnd w:id="57"/>
    <w:bookmarkEnd w:id="58"/>
    <w:bookmarkEnd w:id="59"/>
    <w:bookmarkEnd w:id="60"/>
    <w:bookmarkEnd w:id="61"/>
    <w:bookmarkEnd w:id="62"/>
    <w:p>
      <w:pPr>
        <w:pStyle w:val="4"/>
        <w:numPr>
          <w:ilvl w:val="0"/>
          <w:numId w:val="2"/>
        </w:numPr>
        <w:ind w:firstLineChars="0"/>
        <w:rPr>
          <w:rFonts w:hint="eastAsia" w:ascii="仿宋" w:hAnsi="仿宋" w:eastAsia="仿宋" w:cs="仿宋"/>
          <w:b w:val="0"/>
          <w:bCs/>
          <w:szCs w:val="32"/>
          <w:lang w:eastAsia="zh-CN"/>
        </w:rPr>
      </w:pPr>
      <w:bookmarkStart w:id="63" w:name="_Toc1372691542"/>
      <w:bookmarkStart w:id="64" w:name="_Toc1093480860_WPSOffice_Level3"/>
      <w:bookmarkStart w:id="65" w:name="_Toc865934723"/>
      <w:bookmarkStart w:id="66" w:name="_Toc12920"/>
      <w:bookmarkStart w:id="67" w:name="_Toc17740"/>
      <w:bookmarkStart w:id="68" w:name="_Toc153907914"/>
      <w:bookmarkStart w:id="69" w:name="_Toc130033880"/>
      <w:bookmarkStart w:id="70" w:name="_Toc1491763895"/>
      <w:r>
        <w:rPr>
          <w:rFonts w:hint="eastAsia" w:ascii="仿宋" w:hAnsi="仿宋" w:eastAsia="仿宋" w:cs="仿宋"/>
          <w:b w:val="0"/>
          <w:bCs/>
          <w:lang w:eastAsia="zh-CN"/>
        </w:rPr>
        <w:t>立项</w:t>
      </w:r>
      <w:r>
        <w:rPr>
          <w:rFonts w:hint="eastAsia" w:ascii="仿宋" w:hAnsi="仿宋" w:eastAsia="仿宋" w:cs="仿宋"/>
          <w:b w:val="0"/>
          <w:bCs/>
          <w:szCs w:val="32"/>
          <w:lang w:eastAsia="zh-CN"/>
        </w:rPr>
        <w:t>依据</w:t>
      </w:r>
    </w:p>
    <w:p>
      <w:pPr>
        <w:ind w:firstLine="672"/>
        <w:rPr>
          <w:rFonts w:hint="eastAsia" w:ascii="仿宋" w:hAnsi="仿宋" w:eastAsia="仿宋" w:cs="仿宋"/>
          <w:bCs/>
          <w:szCs w:val="32"/>
          <w:lang w:eastAsia="zh-CN"/>
        </w:rPr>
      </w:pPr>
      <w:r>
        <w:rPr>
          <w:rFonts w:hint="eastAsia" w:ascii="仿宋" w:hAnsi="仿宋" w:eastAsia="仿宋" w:cs="仿宋"/>
          <w:bCs/>
          <w:spacing w:val="8"/>
          <w:szCs w:val="32"/>
          <w:lang w:eastAsia="zh-CN"/>
        </w:rPr>
        <w:t>(1)</w:t>
      </w:r>
      <w:r>
        <w:rPr>
          <w:rFonts w:hint="eastAsia" w:ascii="仿宋" w:hAnsi="仿宋" w:eastAsia="仿宋" w:cs="仿宋"/>
          <w:bCs/>
          <w:szCs w:val="32"/>
          <w:lang w:val="zh-CN" w:eastAsia="zh-CN"/>
        </w:rPr>
        <w:t>《</w:t>
      </w:r>
      <w:r>
        <w:rPr>
          <w:rFonts w:hint="eastAsia" w:ascii="仿宋" w:hAnsi="仿宋" w:eastAsia="仿宋" w:cs="仿宋"/>
          <w:bCs/>
          <w:szCs w:val="32"/>
          <w:lang w:eastAsia="zh-CN"/>
        </w:rPr>
        <w:t>中共中央国务院关于全面实施预算绩效管理的意见》（中发〔2018〕34号）</w:t>
      </w:r>
    </w:p>
    <w:p>
      <w:pPr>
        <w:ind w:firstLine="672"/>
        <w:rPr>
          <w:rFonts w:hint="eastAsia" w:ascii="仿宋" w:hAnsi="仿宋" w:eastAsia="仿宋" w:cs="仿宋"/>
          <w:bCs/>
          <w:szCs w:val="32"/>
          <w:lang w:eastAsia="zh-CN"/>
        </w:rPr>
      </w:pPr>
      <w:r>
        <w:rPr>
          <w:rFonts w:hint="eastAsia" w:ascii="仿宋" w:hAnsi="仿宋" w:eastAsia="仿宋" w:cs="仿宋"/>
          <w:bCs/>
          <w:spacing w:val="8"/>
          <w:szCs w:val="32"/>
          <w:lang w:eastAsia="zh-CN"/>
        </w:rPr>
        <w:t>(</w:t>
      </w:r>
      <w:r>
        <w:rPr>
          <w:rFonts w:hint="eastAsia" w:ascii="仿宋" w:hAnsi="仿宋" w:eastAsia="仿宋" w:cs="仿宋"/>
          <w:bCs/>
          <w:spacing w:val="8"/>
          <w:szCs w:val="32"/>
          <w:lang w:val="en-US" w:eastAsia="zh-CN"/>
        </w:rPr>
        <w:t>2</w:t>
      </w:r>
      <w:r>
        <w:rPr>
          <w:rFonts w:hint="eastAsia" w:ascii="仿宋" w:hAnsi="仿宋" w:eastAsia="仿宋" w:cs="仿宋"/>
          <w:bCs/>
          <w:spacing w:val="8"/>
          <w:szCs w:val="32"/>
          <w:lang w:eastAsia="zh-CN"/>
        </w:rPr>
        <w:t>)《财</w:t>
      </w:r>
      <w:r>
        <w:rPr>
          <w:rFonts w:hint="eastAsia" w:ascii="仿宋" w:hAnsi="仿宋" w:eastAsia="仿宋" w:cs="仿宋"/>
          <w:bCs/>
          <w:szCs w:val="32"/>
          <w:lang w:eastAsia="zh-CN"/>
        </w:rPr>
        <w:t>政部关于印发〈政府采购需求管理办法〉的通知》（财库〔2021〕22号）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w:t>
      </w:r>
      <w:r>
        <w:rPr>
          <w:rFonts w:hint="eastAsia" w:ascii="仿宋" w:hAnsi="仿宋" w:eastAsia="仿宋" w:cs="仿宋"/>
          <w:bCs/>
          <w:szCs w:val="32"/>
          <w:lang w:val="en-US" w:eastAsia="zh-CN"/>
        </w:rPr>
        <w:t>3</w:t>
      </w:r>
      <w:r>
        <w:rPr>
          <w:rFonts w:hint="eastAsia" w:ascii="仿宋" w:hAnsi="仿宋" w:eastAsia="仿宋" w:cs="仿宋"/>
          <w:bCs/>
          <w:szCs w:val="32"/>
          <w:lang w:eastAsia="zh-CN"/>
        </w:rPr>
        <w:t>)《中共四川省委四川省人民政府关于全面实施预算绩效管理的实施意见》（川委发〔2019〕8号）</w:t>
      </w:r>
    </w:p>
    <w:p>
      <w:pPr>
        <w:ind w:firstLine="640"/>
        <w:rPr>
          <w:rFonts w:hint="eastAsia" w:ascii="仿宋" w:hAnsi="仿宋" w:eastAsia="仿宋" w:cs="仿宋"/>
          <w:bCs/>
          <w:spacing w:val="8"/>
          <w:szCs w:val="32"/>
          <w:lang w:eastAsia="zh-CN"/>
        </w:rPr>
      </w:pPr>
      <w:r>
        <w:rPr>
          <w:rFonts w:hint="eastAsia" w:ascii="仿宋" w:hAnsi="仿宋" w:eastAsia="仿宋" w:cs="仿宋"/>
          <w:bCs/>
          <w:szCs w:val="32"/>
          <w:lang w:eastAsia="zh-CN"/>
        </w:rPr>
        <w:t>(</w:t>
      </w:r>
      <w:r>
        <w:rPr>
          <w:rFonts w:hint="eastAsia" w:ascii="仿宋" w:hAnsi="仿宋" w:eastAsia="仿宋" w:cs="仿宋"/>
          <w:bCs/>
          <w:szCs w:val="32"/>
          <w:lang w:val="en-US" w:eastAsia="zh-CN"/>
        </w:rPr>
        <w:t>4</w:t>
      </w:r>
      <w:r>
        <w:rPr>
          <w:rFonts w:hint="eastAsia" w:ascii="仿宋" w:hAnsi="仿宋" w:eastAsia="仿宋" w:cs="仿宋"/>
          <w:bCs/>
          <w:szCs w:val="32"/>
          <w:lang w:eastAsia="zh-CN"/>
        </w:rPr>
        <w:t>)《中共乐山市委办公室乐山市人民政府办公室关于印发全面实施预算绩效管理实施方案的通知》（乐委办发〔2020〕12号）</w:t>
      </w:r>
    </w:p>
    <w:p>
      <w:pPr>
        <w:ind w:firstLine="640"/>
        <w:rPr>
          <w:rFonts w:ascii="仿宋" w:hAnsi="仿宋" w:eastAsia="仿宋" w:cs="仿宋"/>
          <w:bCs/>
          <w:szCs w:val="32"/>
          <w:lang w:eastAsia="zh-CN"/>
        </w:rPr>
      </w:pPr>
      <w:r>
        <w:rPr>
          <w:rFonts w:hint="eastAsia" w:ascii="仿宋" w:hAnsi="仿宋" w:eastAsia="仿宋" w:cs="仿宋"/>
          <w:bCs/>
          <w:szCs w:val="32"/>
          <w:lang w:eastAsia="zh-CN"/>
        </w:rPr>
        <w:t>(</w:t>
      </w:r>
      <w:r>
        <w:rPr>
          <w:rFonts w:hint="eastAsia" w:ascii="仿宋" w:hAnsi="仿宋" w:eastAsia="仿宋" w:cs="仿宋"/>
          <w:bCs/>
          <w:szCs w:val="32"/>
          <w:lang w:val="en-US" w:eastAsia="zh-CN"/>
        </w:rPr>
        <w:t>5</w:t>
      </w:r>
      <w:r>
        <w:rPr>
          <w:rFonts w:hint="eastAsia" w:ascii="仿宋" w:hAnsi="仿宋" w:eastAsia="仿宋" w:cs="仿宋"/>
          <w:bCs/>
          <w:szCs w:val="32"/>
          <w:lang w:eastAsia="zh-CN"/>
        </w:rPr>
        <w:t>)</w:t>
      </w:r>
      <w:bookmarkStart w:id="71" w:name="OLE_LINK2"/>
      <w:r>
        <w:rPr>
          <w:rFonts w:hint="eastAsia" w:ascii="仿宋" w:hAnsi="仿宋" w:eastAsia="仿宋" w:cs="仿宋"/>
          <w:bCs/>
          <w:szCs w:val="32"/>
          <w:lang w:eastAsia="zh-CN"/>
        </w:rPr>
        <w:t>《乐山市金口河区延风中学关于解决男生宿舍学生公寓床采购经费的请示》（金延中〔2023〕81号）</w:t>
      </w:r>
      <w:bookmarkEnd w:id="71"/>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w:t>
      </w:r>
      <w:r>
        <w:rPr>
          <w:rFonts w:hint="eastAsia" w:ascii="仿宋" w:hAnsi="仿宋" w:eastAsia="仿宋" w:cs="仿宋"/>
          <w:bCs/>
          <w:szCs w:val="32"/>
          <w:lang w:val="en-US" w:eastAsia="zh-CN"/>
        </w:rPr>
        <w:t>6</w:t>
      </w:r>
      <w:r>
        <w:rPr>
          <w:rFonts w:hint="eastAsia" w:ascii="仿宋" w:hAnsi="仿宋" w:eastAsia="仿宋" w:cs="仿宋"/>
          <w:bCs/>
          <w:szCs w:val="32"/>
          <w:lang w:eastAsia="zh-CN"/>
        </w:rPr>
        <w:t>)《乐山市金口河区财政局关于对延风中学男生宿舍学生用床、柜子采购项目询价建议的函》（金财询函〔2024〕2号）</w:t>
      </w:r>
    </w:p>
    <w:p>
      <w:pPr>
        <w:pStyle w:val="4"/>
        <w:numPr>
          <w:ilvl w:val="0"/>
          <w:numId w:val="2"/>
        </w:numPr>
        <w:ind w:firstLineChars="0"/>
        <w:rPr>
          <w:rFonts w:hint="eastAsia" w:ascii="仿宋" w:hAnsi="仿宋" w:eastAsia="仿宋" w:cs="仿宋"/>
          <w:b w:val="0"/>
          <w:bCs/>
          <w:szCs w:val="32"/>
          <w:lang w:eastAsia="zh-CN"/>
        </w:rPr>
      </w:pPr>
      <w:r>
        <w:rPr>
          <w:rFonts w:hint="eastAsia" w:ascii="仿宋" w:hAnsi="仿宋" w:eastAsia="仿宋" w:cs="仿宋"/>
          <w:b w:val="0"/>
          <w:bCs/>
          <w:szCs w:val="32"/>
          <w:lang w:eastAsia="zh-CN"/>
        </w:rPr>
        <w:t>项目主要内容</w:t>
      </w:r>
      <w:bookmarkEnd w:id="63"/>
      <w:bookmarkEnd w:id="64"/>
      <w:bookmarkEnd w:id="65"/>
      <w:bookmarkEnd w:id="66"/>
      <w:bookmarkEnd w:id="67"/>
      <w:bookmarkEnd w:id="68"/>
      <w:bookmarkEnd w:id="69"/>
      <w:bookmarkEnd w:id="70"/>
    </w:p>
    <w:p>
      <w:pPr>
        <w:ind w:firstLine="640"/>
        <w:rPr>
          <w:rFonts w:hint="eastAsia" w:ascii="仿宋" w:hAnsi="仿宋" w:eastAsia="仿宋" w:cs="仿宋"/>
          <w:lang w:eastAsia="zh-CN"/>
        </w:rPr>
      </w:pPr>
      <w:r>
        <w:rPr>
          <w:rFonts w:hint="eastAsia" w:ascii="仿宋" w:hAnsi="仿宋" w:eastAsia="仿宋" w:cs="仿宋"/>
          <w:lang w:eastAsia="zh-CN"/>
        </w:rPr>
        <w:t>由延风中学负责实施的延风中学男生宿舍学生用床、柜子采购项目，采购清单如下：</w:t>
      </w:r>
    </w:p>
    <w:tbl>
      <w:tblPr>
        <w:tblStyle w:val="56"/>
        <w:tblW w:w="8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1"/>
        <w:gridCol w:w="1560"/>
        <w:gridCol w:w="1842"/>
        <w:gridCol w:w="993"/>
        <w:gridCol w:w="850"/>
        <w:gridCol w:w="1276"/>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41" w:type="dxa"/>
            <w:shd w:val="clear" w:color="auto" w:fill="BEBEBE" w:themeFill="background1" w:themeFillShade="BF"/>
            <w:vAlign w:val="top"/>
          </w:tcPr>
          <w:p>
            <w:pPr>
              <w:pStyle w:val="68"/>
              <w:spacing w:before="322" w:line="219" w:lineRule="auto"/>
              <w:ind w:left="-40"/>
              <w:jc w:val="center"/>
              <w:rPr>
                <w:rFonts w:hint="eastAsia"/>
                <w:b/>
                <w:bCs/>
                <w:spacing w:val="5"/>
                <w:sz w:val="21"/>
                <w:szCs w:val="21"/>
              </w:rPr>
            </w:pPr>
            <w:r>
              <w:rPr>
                <w:rFonts w:hint="eastAsia"/>
                <w:b/>
                <w:bCs/>
                <w:spacing w:val="5"/>
                <w:sz w:val="21"/>
                <w:szCs w:val="21"/>
                <w:lang w:eastAsia="zh-CN"/>
              </w:rPr>
              <w:t>序号</w:t>
            </w:r>
          </w:p>
        </w:tc>
        <w:tc>
          <w:tcPr>
            <w:tcW w:w="1560" w:type="dxa"/>
            <w:shd w:val="clear" w:color="auto" w:fill="BEBEBE" w:themeFill="background1" w:themeFillShade="BF"/>
            <w:vAlign w:val="top"/>
          </w:tcPr>
          <w:p>
            <w:pPr>
              <w:pStyle w:val="68"/>
              <w:spacing w:before="322" w:line="219" w:lineRule="auto"/>
              <w:ind w:left="-40"/>
              <w:jc w:val="center"/>
              <w:rPr>
                <w:rFonts w:hint="eastAsia"/>
                <w:sz w:val="21"/>
                <w:szCs w:val="21"/>
              </w:rPr>
            </w:pPr>
            <w:r>
              <w:rPr>
                <w:b/>
                <w:bCs/>
                <w:spacing w:val="5"/>
                <w:sz w:val="21"/>
                <w:szCs w:val="21"/>
              </w:rPr>
              <w:t>货物品名</w:t>
            </w:r>
          </w:p>
        </w:tc>
        <w:tc>
          <w:tcPr>
            <w:tcW w:w="1842" w:type="dxa"/>
            <w:shd w:val="clear" w:color="auto" w:fill="BEBEBE" w:themeFill="background1" w:themeFillShade="BF"/>
            <w:vAlign w:val="top"/>
          </w:tcPr>
          <w:p>
            <w:pPr>
              <w:pStyle w:val="68"/>
              <w:spacing w:before="325" w:line="219" w:lineRule="auto"/>
              <w:ind w:left="-40"/>
              <w:jc w:val="center"/>
              <w:rPr>
                <w:rFonts w:hint="eastAsia"/>
                <w:sz w:val="21"/>
                <w:szCs w:val="21"/>
              </w:rPr>
            </w:pPr>
            <w:r>
              <w:rPr>
                <w:b/>
                <w:bCs/>
                <w:spacing w:val="-1"/>
                <w:sz w:val="21"/>
                <w:szCs w:val="21"/>
              </w:rPr>
              <w:t>规格型号</w:t>
            </w:r>
          </w:p>
        </w:tc>
        <w:tc>
          <w:tcPr>
            <w:tcW w:w="993" w:type="dxa"/>
            <w:shd w:val="clear" w:color="auto" w:fill="BEBEBE" w:themeFill="background1" w:themeFillShade="BF"/>
            <w:vAlign w:val="top"/>
          </w:tcPr>
          <w:p>
            <w:pPr>
              <w:pStyle w:val="68"/>
              <w:spacing w:before="326" w:line="220" w:lineRule="auto"/>
              <w:ind w:left="-40"/>
              <w:jc w:val="center"/>
              <w:rPr>
                <w:rFonts w:hint="eastAsia"/>
                <w:sz w:val="21"/>
                <w:szCs w:val="21"/>
              </w:rPr>
            </w:pPr>
            <w:r>
              <w:rPr>
                <w:b/>
                <w:bCs/>
                <w:spacing w:val="-3"/>
                <w:sz w:val="21"/>
                <w:szCs w:val="21"/>
              </w:rPr>
              <w:t>单位</w:t>
            </w:r>
          </w:p>
        </w:tc>
        <w:tc>
          <w:tcPr>
            <w:tcW w:w="850" w:type="dxa"/>
            <w:shd w:val="clear" w:color="auto" w:fill="BEBEBE" w:themeFill="background1" w:themeFillShade="BF"/>
            <w:vAlign w:val="top"/>
          </w:tcPr>
          <w:p>
            <w:pPr>
              <w:pStyle w:val="68"/>
              <w:spacing w:before="325" w:line="219" w:lineRule="auto"/>
              <w:ind w:left="-40"/>
              <w:jc w:val="center"/>
              <w:rPr>
                <w:rFonts w:hint="eastAsia"/>
                <w:sz w:val="21"/>
                <w:szCs w:val="21"/>
              </w:rPr>
            </w:pPr>
            <w:r>
              <w:rPr>
                <w:b/>
                <w:bCs/>
                <w:spacing w:val="-3"/>
                <w:sz w:val="21"/>
                <w:szCs w:val="21"/>
              </w:rPr>
              <w:t>数量</w:t>
            </w:r>
          </w:p>
        </w:tc>
        <w:tc>
          <w:tcPr>
            <w:tcW w:w="1276" w:type="dxa"/>
            <w:shd w:val="clear" w:color="auto" w:fill="BEBEBE" w:themeFill="background1" w:themeFillShade="BF"/>
            <w:vAlign w:val="top"/>
          </w:tcPr>
          <w:p>
            <w:pPr>
              <w:pStyle w:val="68"/>
              <w:spacing w:before="32" w:line="232" w:lineRule="auto"/>
              <w:ind w:right="214" w:hanging="35"/>
              <w:jc w:val="center"/>
              <w:rPr>
                <w:rFonts w:hint="eastAsia"/>
                <w:b/>
                <w:bCs/>
                <w:spacing w:val="-3"/>
                <w:sz w:val="21"/>
                <w:szCs w:val="21"/>
                <w:lang w:eastAsia="zh-CN"/>
              </w:rPr>
            </w:pPr>
            <w:r>
              <w:rPr>
                <w:b/>
                <w:bCs/>
                <w:spacing w:val="-3"/>
                <w:sz w:val="21"/>
                <w:szCs w:val="21"/>
              </w:rPr>
              <w:t>单价</w:t>
            </w:r>
          </w:p>
          <w:p>
            <w:pPr>
              <w:pStyle w:val="68"/>
              <w:spacing w:before="32" w:line="232" w:lineRule="auto"/>
              <w:ind w:right="214" w:hanging="35"/>
              <w:jc w:val="center"/>
              <w:rPr>
                <w:rFonts w:hint="eastAsia"/>
                <w:sz w:val="21"/>
                <w:szCs w:val="21"/>
              </w:rPr>
            </w:pPr>
            <w:r>
              <w:rPr>
                <w:b/>
                <w:bCs/>
                <w:spacing w:val="-3"/>
                <w:sz w:val="21"/>
                <w:szCs w:val="21"/>
              </w:rPr>
              <w:t>(万</w:t>
            </w:r>
            <w:r>
              <w:rPr>
                <w:b/>
                <w:bCs/>
                <w:spacing w:val="30"/>
                <w:sz w:val="21"/>
                <w:szCs w:val="21"/>
              </w:rPr>
              <w:t>元)</w:t>
            </w:r>
          </w:p>
        </w:tc>
        <w:tc>
          <w:tcPr>
            <w:tcW w:w="1276" w:type="dxa"/>
            <w:shd w:val="clear" w:color="auto" w:fill="BEBEBE" w:themeFill="background1" w:themeFillShade="BF"/>
            <w:vAlign w:val="top"/>
          </w:tcPr>
          <w:p>
            <w:pPr>
              <w:pStyle w:val="68"/>
              <w:spacing w:before="53" w:line="227" w:lineRule="auto"/>
              <w:ind w:left="641" w:right="233" w:hanging="389"/>
              <w:jc w:val="center"/>
              <w:rPr>
                <w:rFonts w:hint="eastAsia"/>
                <w:b/>
                <w:bCs/>
                <w:spacing w:val="-3"/>
                <w:sz w:val="21"/>
                <w:szCs w:val="21"/>
                <w:lang w:eastAsia="zh-CN"/>
              </w:rPr>
            </w:pPr>
            <w:r>
              <w:rPr>
                <w:b/>
                <w:bCs/>
                <w:spacing w:val="-3"/>
                <w:sz w:val="21"/>
                <w:szCs w:val="21"/>
              </w:rPr>
              <w:t>总价</w:t>
            </w:r>
          </w:p>
          <w:p>
            <w:pPr>
              <w:pStyle w:val="68"/>
              <w:spacing w:before="53" w:line="227" w:lineRule="auto"/>
              <w:ind w:left="641" w:right="233" w:hanging="389"/>
              <w:jc w:val="center"/>
              <w:rPr>
                <w:rFonts w:hint="eastAsia"/>
                <w:sz w:val="21"/>
                <w:szCs w:val="21"/>
              </w:rPr>
            </w:pPr>
            <w:r>
              <w:rPr>
                <w:b/>
                <w:bCs/>
                <w:spacing w:val="-3"/>
                <w:sz w:val="21"/>
                <w:szCs w:val="21"/>
              </w:rPr>
              <w:t>(万</w:t>
            </w:r>
            <w:r>
              <w:rPr>
                <w:b/>
                <w:bCs/>
                <w:spacing w:val="30"/>
                <w:sz w:val="21"/>
                <w:szCs w:val="21"/>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41" w:type="dxa"/>
            <w:vAlign w:val="top"/>
          </w:tcPr>
          <w:p>
            <w:pPr>
              <w:pStyle w:val="68"/>
              <w:spacing w:before="319" w:line="220" w:lineRule="auto"/>
              <w:ind w:left="-40"/>
              <w:jc w:val="center"/>
              <w:rPr>
                <w:rFonts w:hint="eastAsia"/>
                <w:spacing w:val="5"/>
                <w:sz w:val="21"/>
                <w:szCs w:val="21"/>
              </w:rPr>
            </w:pPr>
            <w:r>
              <w:rPr>
                <w:rFonts w:hint="eastAsia"/>
                <w:spacing w:val="5"/>
                <w:sz w:val="21"/>
                <w:szCs w:val="21"/>
              </w:rPr>
              <w:t>1</w:t>
            </w:r>
          </w:p>
        </w:tc>
        <w:tc>
          <w:tcPr>
            <w:tcW w:w="1560" w:type="dxa"/>
            <w:vAlign w:val="top"/>
          </w:tcPr>
          <w:p>
            <w:pPr>
              <w:pStyle w:val="68"/>
              <w:spacing w:before="319" w:line="220" w:lineRule="auto"/>
              <w:ind w:left="-40"/>
              <w:jc w:val="center"/>
              <w:rPr>
                <w:rFonts w:hint="eastAsia"/>
                <w:spacing w:val="5"/>
                <w:sz w:val="21"/>
                <w:szCs w:val="21"/>
              </w:rPr>
            </w:pPr>
            <w:r>
              <w:rPr>
                <w:spacing w:val="5"/>
                <w:sz w:val="21"/>
                <w:szCs w:val="21"/>
              </w:rPr>
              <w:t>三人位公寓床</w:t>
            </w:r>
          </w:p>
        </w:tc>
        <w:tc>
          <w:tcPr>
            <w:tcW w:w="1842" w:type="dxa"/>
            <w:vAlign w:val="top"/>
          </w:tcPr>
          <w:p>
            <w:pPr>
              <w:pStyle w:val="68"/>
              <w:spacing w:before="319" w:line="220" w:lineRule="auto"/>
              <w:ind w:left="-40"/>
              <w:jc w:val="center"/>
              <w:rPr>
                <w:rFonts w:hint="eastAsia"/>
                <w:sz w:val="21"/>
                <w:szCs w:val="21"/>
              </w:rPr>
            </w:pPr>
            <w:r>
              <w:rPr>
                <w:spacing w:val="5"/>
                <w:sz w:val="21"/>
                <w:szCs w:val="21"/>
              </w:rPr>
              <w:t>睿百福、定制</w:t>
            </w:r>
          </w:p>
        </w:tc>
        <w:tc>
          <w:tcPr>
            <w:tcW w:w="993" w:type="dxa"/>
            <w:vAlign w:val="top"/>
          </w:tcPr>
          <w:p>
            <w:pPr>
              <w:pStyle w:val="68"/>
              <w:spacing w:before="319" w:line="220" w:lineRule="auto"/>
              <w:ind w:left="-40"/>
              <w:jc w:val="center"/>
              <w:rPr>
                <w:rFonts w:hint="eastAsia"/>
                <w:sz w:val="21"/>
                <w:szCs w:val="21"/>
              </w:rPr>
            </w:pPr>
            <w:r>
              <w:rPr>
                <w:sz w:val="21"/>
                <w:szCs w:val="21"/>
              </w:rPr>
              <w:t>套</w:t>
            </w:r>
          </w:p>
        </w:tc>
        <w:tc>
          <w:tcPr>
            <w:tcW w:w="850" w:type="dxa"/>
            <w:vAlign w:val="top"/>
          </w:tcPr>
          <w:p>
            <w:pPr>
              <w:pStyle w:val="68"/>
              <w:spacing w:before="356"/>
              <w:ind w:left="-40"/>
              <w:jc w:val="center"/>
              <w:rPr>
                <w:rFonts w:hint="eastAsia"/>
                <w:sz w:val="21"/>
                <w:szCs w:val="21"/>
              </w:rPr>
            </w:pPr>
            <w:r>
              <w:rPr>
                <w:spacing w:val="-5"/>
                <w:sz w:val="21"/>
                <w:szCs w:val="21"/>
              </w:rPr>
              <w:t>96</w:t>
            </w:r>
          </w:p>
        </w:tc>
        <w:tc>
          <w:tcPr>
            <w:tcW w:w="1276" w:type="dxa"/>
            <w:vAlign w:val="top"/>
          </w:tcPr>
          <w:p>
            <w:pPr>
              <w:pStyle w:val="68"/>
              <w:spacing w:before="356" w:line="239" w:lineRule="auto"/>
              <w:ind w:left="-40"/>
              <w:jc w:val="center"/>
              <w:rPr>
                <w:rFonts w:hint="eastAsia"/>
                <w:sz w:val="21"/>
                <w:szCs w:val="21"/>
              </w:rPr>
            </w:pPr>
            <w:r>
              <w:rPr>
                <w:spacing w:val="-4"/>
                <w:sz w:val="21"/>
                <w:szCs w:val="21"/>
              </w:rPr>
              <w:t>0.38</w:t>
            </w:r>
          </w:p>
        </w:tc>
        <w:tc>
          <w:tcPr>
            <w:tcW w:w="1276" w:type="dxa"/>
            <w:vAlign w:val="top"/>
          </w:tcPr>
          <w:p>
            <w:pPr>
              <w:pStyle w:val="68"/>
              <w:spacing w:before="356" w:line="239" w:lineRule="auto"/>
              <w:ind w:left="437"/>
              <w:jc w:val="center"/>
              <w:rPr>
                <w:rFonts w:hint="eastAsia"/>
                <w:sz w:val="21"/>
                <w:szCs w:val="21"/>
              </w:rPr>
            </w:pPr>
            <w:r>
              <w:rPr>
                <w:spacing w:val="-4"/>
                <w:sz w:val="21"/>
                <w:szCs w:val="21"/>
              </w:rPr>
              <w:t>36.48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41" w:type="dxa"/>
            <w:vAlign w:val="top"/>
          </w:tcPr>
          <w:p>
            <w:pPr>
              <w:pStyle w:val="68"/>
              <w:spacing w:before="316" w:line="219" w:lineRule="auto"/>
              <w:ind w:left="-40"/>
              <w:jc w:val="center"/>
              <w:rPr>
                <w:rFonts w:hint="eastAsia"/>
                <w:spacing w:val="9"/>
                <w:sz w:val="21"/>
                <w:szCs w:val="21"/>
                <w:lang w:eastAsia="zh-CN"/>
              </w:rPr>
            </w:pPr>
            <w:r>
              <w:rPr>
                <w:rFonts w:hint="eastAsia"/>
                <w:spacing w:val="9"/>
                <w:sz w:val="21"/>
                <w:szCs w:val="21"/>
                <w:lang w:eastAsia="zh-CN"/>
              </w:rPr>
              <w:t>2</w:t>
            </w:r>
          </w:p>
        </w:tc>
        <w:tc>
          <w:tcPr>
            <w:tcW w:w="1560" w:type="dxa"/>
            <w:vAlign w:val="top"/>
          </w:tcPr>
          <w:p>
            <w:pPr>
              <w:pStyle w:val="68"/>
              <w:spacing w:before="316" w:line="219" w:lineRule="auto"/>
              <w:ind w:left="-40"/>
              <w:jc w:val="center"/>
              <w:rPr>
                <w:rFonts w:hint="eastAsia"/>
                <w:sz w:val="21"/>
                <w:szCs w:val="21"/>
              </w:rPr>
            </w:pPr>
            <w:r>
              <w:rPr>
                <w:spacing w:val="9"/>
                <w:sz w:val="21"/>
                <w:szCs w:val="21"/>
              </w:rPr>
              <w:t>床板</w:t>
            </w:r>
          </w:p>
        </w:tc>
        <w:tc>
          <w:tcPr>
            <w:tcW w:w="1842" w:type="dxa"/>
            <w:vAlign w:val="top"/>
          </w:tcPr>
          <w:p>
            <w:pPr>
              <w:pStyle w:val="68"/>
              <w:spacing w:before="320" w:line="220" w:lineRule="auto"/>
              <w:ind w:left="-40"/>
              <w:jc w:val="center"/>
              <w:rPr>
                <w:rFonts w:hint="eastAsia"/>
                <w:sz w:val="21"/>
                <w:szCs w:val="21"/>
              </w:rPr>
            </w:pPr>
            <w:r>
              <w:rPr>
                <w:spacing w:val="5"/>
                <w:sz w:val="21"/>
                <w:szCs w:val="21"/>
              </w:rPr>
              <w:t>睿百福、定制</w:t>
            </w:r>
          </w:p>
        </w:tc>
        <w:tc>
          <w:tcPr>
            <w:tcW w:w="993" w:type="dxa"/>
            <w:vAlign w:val="top"/>
          </w:tcPr>
          <w:p>
            <w:pPr>
              <w:pStyle w:val="68"/>
              <w:spacing w:before="324" w:line="221" w:lineRule="auto"/>
              <w:ind w:left="-40"/>
              <w:jc w:val="center"/>
              <w:rPr>
                <w:rFonts w:hint="eastAsia"/>
                <w:sz w:val="21"/>
                <w:szCs w:val="21"/>
              </w:rPr>
            </w:pPr>
            <w:r>
              <w:rPr>
                <w:sz w:val="21"/>
                <w:szCs w:val="21"/>
              </w:rPr>
              <w:t>张</w:t>
            </w:r>
          </w:p>
        </w:tc>
        <w:tc>
          <w:tcPr>
            <w:tcW w:w="850" w:type="dxa"/>
            <w:vAlign w:val="top"/>
          </w:tcPr>
          <w:p>
            <w:pPr>
              <w:pStyle w:val="68"/>
              <w:spacing w:before="356"/>
              <w:ind w:left="-40"/>
              <w:jc w:val="center"/>
              <w:rPr>
                <w:rFonts w:hint="eastAsia"/>
                <w:sz w:val="21"/>
                <w:szCs w:val="21"/>
              </w:rPr>
            </w:pPr>
            <w:r>
              <w:rPr>
                <w:spacing w:val="-5"/>
                <w:sz w:val="21"/>
                <w:szCs w:val="21"/>
              </w:rPr>
              <w:t>288</w:t>
            </w:r>
          </w:p>
        </w:tc>
        <w:tc>
          <w:tcPr>
            <w:tcW w:w="1276" w:type="dxa"/>
            <w:vAlign w:val="top"/>
          </w:tcPr>
          <w:p>
            <w:pPr>
              <w:pStyle w:val="68"/>
              <w:spacing w:before="357" w:line="239" w:lineRule="auto"/>
              <w:ind w:left="-40"/>
              <w:jc w:val="center"/>
              <w:rPr>
                <w:rFonts w:hint="eastAsia"/>
                <w:sz w:val="21"/>
                <w:szCs w:val="21"/>
              </w:rPr>
            </w:pPr>
            <w:r>
              <w:rPr>
                <w:spacing w:val="-3"/>
                <w:sz w:val="21"/>
                <w:szCs w:val="21"/>
              </w:rPr>
              <w:t>0.0305</w:t>
            </w:r>
          </w:p>
        </w:tc>
        <w:tc>
          <w:tcPr>
            <w:tcW w:w="1276" w:type="dxa"/>
            <w:vAlign w:val="top"/>
          </w:tcPr>
          <w:p>
            <w:pPr>
              <w:pStyle w:val="68"/>
              <w:spacing w:before="357" w:line="239" w:lineRule="auto"/>
              <w:ind w:left="437"/>
              <w:jc w:val="center"/>
              <w:rPr>
                <w:rFonts w:hint="eastAsia"/>
                <w:sz w:val="21"/>
                <w:szCs w:val="21"/>
              </w:rPr>
            </w:pPr>
            <w:r>
              <w:rPr>
                <w:spacing w:val="-3"/>
                <w:sz w:val="21"/>
                <w:szCs w:val="21"/>
              </w:rPr>
              <w:t>8.784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41" w:type="dxa"/>
            <w:vAlign w:val="top"/>
          </w:tcPr>
          <w:p>
            <w:pPr>
              <w:pStyle w:val="68"/>
              <w:spacing w:before="331" w:line="219" w:lineRule="auto"/>
              <w:ind w:left="-40"/>
              <w:jc w:val="center"/>
              <w:rPr>
                <w:rFonts w:hint="eastAsia"/>
                <w:spacing w:val="6"/>
                <w:sz w:val="21"/>
                <w:szCs w:val="21"/>
                <w:lang w:eastAsia="zh-CN"/>
              </w:rPr>
            </w:pPr>
            <w:r>
              <w:rPr>
                <w:rFonts w:hint="eastAsia"/>
                <w:spacing w:val="6"/>
                <w:sz w:val="21"/>
                <w:szCs w:val="21"/>
                <w:lang w:eastAsia="zh-CN"/>
              </w:rPr>
              <w:t>3</w:t>
            </w:r>
          </w:p>
        </w:tc>
        <w:tc>
          <w:tcPr>
            <w:tcW w:w="1560" w:type="dxa"/>
            <w:vAlign w:val="top"/>
          </w:tcPr>
          <w:p>
            <w:pPr>
              <w:pStyle w:val="68"/>
              <w:spacing w:before="331" w:line="219" w:lineRule="auto"/>
              <w:ind w:left="-40"/>
              <w:jc w:val="center"/>
              <w:rPr>
                <w:rFonts w:hint="eastAsia"/>
                <w:sz w:val="21"/>
                <w:szCs w:val="21"/>
              </w:rPr>
            </w:pPr>
            <w:r>
              <w:rPr>
                <w:spacing w:val="6"/>
                <w:sz w:val="21"/>
                <w:szCs w:val="21"/>
              </w:rPr>
              <w:t>棕榈垫</w:t>
            </w:r>
          </w:p>
        </w:tc>
        <w:tc>
          <w:tcPr>
            <w:tcW w:w="1842" w:type="dxa"/>
            <w:vAlign w:val="top"/>
          </w:tcPr>
          <w:p>
            <w:pPr>
              <w:pStyle w:val="68"/>
              <w:spacing w:before="332" w:line="220" w:lineRule="auto"/>
              <w:ind w:left="-40"/>
              <w:jc w:val="center"/>
              <w:rPr>
                <w:rFonts w:hint="eastAsia"/>
                <w:sz w:val="21"/>
                <w:szCs w:val="21"/>
              </w:rPr>
            </w:pPr>
            <w:r>
              <w:rPr>
                <w:spacing w:val="5"/>
                <w:sz w:val="21"/>
                <w:szCs w:val="21"/>
              </w:rPr>
              <w:t>睿百福、定制</w:t>
            </w:r>
          </w:p>
        </w:tc>
        <w:tc>
          <w:tcPr>
            <w:tcW w:w="993" w:type="dxa"/>
            <w:vAlign w:val="top"/>
          </w:tcPr>
          <w:p>
            <w:pPr>
              <w:pStyle w:val="68"/>
              <w:spacing w:before="336" w:line="221" w:lineRule="auto"/>
              <w:ind w:left="-40"/>
              <w:jc w:val="center"/>
              <w:rPr>
                <w:rFonts w:hint="eastAsia"/>
                <w:sz w:val="21"/>
                <w:szCs w:val="21"/>
              </w:rPr>
            </w:pPr>
            <w:r>
              <w:rPr>
                <w:sz w:val="21"/>
                <w:szCs w:val="21"/>
              </w:rPr>
              <w:t>张</w:t>
            </w:r>
          </w:p>
        </w:tc>
        <w:tc>
          <w:tcPr>
            <w:tcW w:w="850" w:type="dxa"/>
            <w:vAlign w:val="top"/>
          </w:tcPr>
          <w:p>
            <w:pPr>
              <w:pStyle w:val="68"/>
              <w:spacing w:before="127"/>
              <w:ind w:left="-40"/>
              <w:jc w:val="center"/>
              <w:rPr>
                <w:rFonts w:hint="eastAsia"/>
                <w:sz w:val="21"/>
                <w:szCs w:val="21"/>
              </w:rPr>
            </w:pPr>
            <w:r>
              <w:rPr>
                <w:spacing w:val="-5"/>
                <w:sz w:val="21"/>
                <w:szCs w:val="21"/>
              </w:rPr>
              <w:t>288</w:t>
            </w:r>
          </w:p>
        </w:tc>
        <w:tc>
          <w:tcPr>
            <w:tcW w:w="1276" w:type="dxa"/>
            <w:vAlign w:val="top"/>
          </w:tcPr>
          <w:p>
            <w:pPr>
              <w:pStyle w:val="68"/>
              <w:spacing w:before="127" w:line="239" w:lineRule="auto"/>
              <w:ind w:left="-40"/>
              <w:jc w:val="center"/>
              <w:rPr>
                <w:rFonts w:hint="eastAsia"/>
                <w:sz w:val="21"/>
                <w:szCs w:val="21"/>
              </w:rPr>
            </w:pPr>
            <w:r>
              <w:rPr>
                <w:spacing w:val="-3"/>
                <w:sz w:val="21"/>
                <w:szCs w:val="21"/>
              </w:rPr>
              <w:t>0.035</w:t>
            </w:r>
          </w:p>
        </w:tc>
        <w:tc>
          <w:tcPr>
            <w:tcW w:w="1276" w:type="dxa"/>
            <w:vAlign w:val="top"/>
          </w:tcPr>
          <w:p>
            <w:pPr>
              <w:pStyle w:val="68"/>
              <w:spacing w:before="127" w:line="239" w:lineRule="auto"/>
              <w:ind w:left="437"/>
              <w:jc w:val="center"/>
              <w:rPr>
                <w:rFonts w:hint="eastAsia"/>
                <w:sz w:val="21"/>
                <w:szCs w:val="21"/>
              </w:rPr>
            </w:pPr>
            <w:r>
              <w:rPr>
                <w:spacing w:val="-8"/>
                <w:sz w:val="21"/>
                <w:szCs w:val="21"/>
              </w:rPr>
              <w:t>10.08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41" w:type="dxa"/>
            <w:vAlign w:val="top"/>
          </w:tcPr>
          <w:p>
            <w:pPr>
              <w:pStyle w:val="68"/>
              <w:spacing w:before="333" w:line="220" w:lineRule="auto"/>
              <w:ind w:left="-40"/>
              <w:jc w:val="center"/>
              <w:rPr>
                <w:rFonts w:hint="eastAsia"/>
                <w:spacing w:val="6"/>
                <w:sz w:val="21"/>
                <w:szCs w:val="21"/>
                <w:lang w:eastAsia="zh-CN"/>
              </w:rPr>
            </w:pPr>
            <w:r>
              <w:rPr>
                <w:rFonts w:hint="eastAsia"/>
                <w:spacing w:val="6"/>
                <w:sz w:val="21"/>
                <w:szCs w:val="21"/>
                <w:lang w:eastAsia="zh-CN"/>
              </w:rPr>
              <w:t>4</w:t>
            </w:r>
          </w:p>
        </w:tc>
        <w:tc>
          <w:tcPr>
            <w:tcW w:w="1560" w:type="dxa"/>
            <w:vAlign w:val="top"/>
          </w:tcPr>
          <w:p>
            <w:pPr>
              <w:pStyle w:val="68"/>
              <w:spacing w:before="333" w:line="220" w:lineRule="auto"/>
              <w:ind w:left="-40"/>
              <w:jc w:val="center"/>
              <w:rPr>
                <w:rFonts w:hint="eastAsia"/>
                <w:sz w:val="21"/>
                <w:szCs w:val="21"/>
              </w:rPr>
            </w:pPr>
            <w:r>
              <w:rPr>
                <w:spacing w:val="6"/>
                <w:sz w:val="21"/>
                <w:szCs w:val="21"/>
              </w:rPr>
              <w:t>更衣柜</w:t>
            </w:r>
          </w:p>
        </w:tc>
        <w:tc>
          <w:tcPr>
            <w:tcW w:w="1842" w:type="dxa"/>
            <w:vAlign w:val="top"/>
          </w:tcPr>
          <w:p>
            <w:pPr>
              <w:pStyle w:val="68"/>
              <w:spacing w:before="333" w:line="220" w:lineRule="auto"/>
              <w:ind w:left="-40"/>
              <w:jc w:val="center"/>
              <w:rPr>
                <w:rFonts w:hint="eastAsia"/>
                <w:sz w:val="21"/>
                <w:szCs w:val="21"/>
              </w:rPr>
            </w:pPr>
            <w:r>
              <w:rPr>
                <w:spacing w:val="5"/>
                <w:sz w:val="21"/>
                <w:szCs w:val="21"/>
              </w:rPr>
              <w:t>睿百福、定制</w:t>
            </w:r>
          </w:p>
        </w:tc>
        <w:tc>
          <w:tcPr>
            <w:tcW w:w="993" w:type="dxa"/>
            <w:vAlign w:val="top"/>
          </w:tcPr>
          <w:p>
            <w:pPr>
              <w:pStyle w:val="68"/>
              <w:spacing w:before="354" w:line="230" w:lineRule="auto"/>
              <w:ind w:left="-40"/>
              <w:jc w:val="center"/>
              <w:rPr>
                <w:rFonts w:hint="eastAsia"/>
                <w:sz w:val="21"/>
                <w:szCs w:val="21"/>
              </w:rPr>
            </w:pPr>
            <w:r>
              <w:rPr>
                <w:sz w:val="21"/>
                <w:szCs w:val="21"/>
              </w:rPr>
              <w:t>组</w:t>
            </w:r>
          </w:p>
        </w:tc>
        <w:tc>
          <w:tcPr>
            <w:tcW w:w="850" w:type="dxa"/>
            <w:vAlign w:val="top"/>
          </w:tcPr>
          <w:p>
            <w:pPr>
              <w:pStyle w:val="68"/>
              <w:spacing w:before="127"/>
              <w:ind w:left="-40"/>
              <w:jc w:val="center"/>
              <w:rPr>
                <w:rFonts w:hint="eastAsia"/>
                <w:sz w:val="21"/>
                <w:szCs w:val="21"/>
              </w:rPr>
            </w:pPr>
            <w:r>
              <w:rPr>
                <w:spacing w:val="-5"/>
                <w:sz w:val="21"/>
                <w:szCs w:val="21"/>
              </w:rPr>
              <w:t>96</w:t>
            </w:r>
          </w:p>
        </w:tc>
        <w:tc>
          <w:tcPr>
            <w:tcW w:w="1276" w:type="dxa"/>
            <w:vAlign w:val="top"/>
          </w:tcPr>
          <w:p>
            <w:pPr>
              <w:pStyle w:val="68"/>
              <w:spacing w:before="127" w:line="239" w:lineRule="auto"/>
              <w:ind w:left="-40"/>
              <w:jc w:val="center"/>
              <w:rPr>
                <w:rFonts w:hint="eastAsia"/>
                <w:sz w:val="21"/>
                <w:szCs w:val="21"/>
              </w:rPr>
            </w:pPr>
            <w:r>
              <w:rPr>
                <w:spacing w:val="-3"/>
                <w:sz w:val="21"/>
                <w:szCs w:val="21"/>
              </w:rPr>
              <w:t>0.099</w:t>
            </w:r>
          </w:p>
        </w:tc>
        <w:tc>
          <w:tcPr>
            <w:tcW w:w="1276" w:type="dxa"/>
            <w:vAlign w:val="top"/>
          </w:tcPr>
          <w:p>
            <w:pPr>
              <w:pStyle w:val="68"/>
              <w:spacing w:before="127" w:line="239" w:lineRule="auto"/>
              <w:ind w:left="437"/>
              <w:jc w:val="center"/>
              <w:rPr>
                <w:rFonts w:hint="eastAsia"/>
                <w:sz w:val="21"/>
                <w:szCs w:val="21"/>
              </w:rPr>
            </w:pPr>
            <w:r>
              <w:rPr>
                <w:spacing w:val="-3"/>
                <w:sz w:val="21"/>
                <w:szCs w:val="21"/>
              </w:rPr>
              <w:t>9.504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41" w:type="dxa"/>
            <w:vAlign w:val="top"/>
          </w:tcPr>
          <w:p>
            <w:pPr>
              <w:pStyle w:val="68"/>
              <w:spacing w:before="344" w:line="219" w:lineRule="auto"/>
              <w:ind w:left="-40"/>
              <w:jc w:val="center"/>
              <w:rPr>
                <w:rFonts w:hint="eastAsia"/>
                <w:spacing w:val="9"/>
                <w:sz w:val="21"/>
                <w:szCs w:val="21"/>
                <w:lang w:eastAsia="zh-CN"/>
              </w:rPr>
            </w:pPr>
            <w:r>
              <w:rPr>
                <w:rFonts w:hint="eastAsia"/>
                <w:spacing w:val="9"/>
                <w:sz w:val="21"/>
                <w:szCs w:val="21"/>
                <w:lang w:eastAsia="zh-CN"/>
              </w:rPr>
              <w:t>5</w:t>
            </w:r>
          </w:p>
        </w:tc>
        <w:tc>
          <w:tcPr>
            <w:tcW w:w="1560" w:type="dxa"/>
            <w:vAlign w:val="top"/>
          </w:tcPr>
          <w:p>
            <w:pPr>
              <w:pStyle w:val="68"/>
              <w:spacing w:before="344" w:line="219" w:lineRule="auto"/>
              <w:ind w:left="-40"/>
              <w:jc w:val="center"/>
              <w:rPr>
                <w:rFonts w:hint="eastAsia"/>
                <w:sz w:val="21"/>
                <w:szCs w:val="21"/>
              </w:rPr>
            </w:pPr>
            <w:r>
              <w:rPr>
                <w:spacing w:val="9"/>
                <w:sz w:val="21"/>
                <w:szCs w:val="21"/>
              </w:rPr>
              <w:t>凳子</w:t>
            </w:r>
          </w:p>
        </w:tc>
        <w:tc>
          <w:tcPr>
            <w:tcW w:w="1842" w:type="dxa"/>
            <w:vAlign w:val="top"/>
          </w:tcPr>
          <w:p>
            <w:pPr>
              <w:pStyle w:val="68"/>
              <w:spacing w:before="345" w:line="220" w:lineRule="auto"/>
              <w:ind w:left="-40"/>
              <w:jc w:val="center"/>
              <w:rPr>
                <w:rFonts w:hint="eastAsia"/>
                <w:sz w:val="21"/>
                <w:szCs w:val="21"/>
              </w:rPr>
            </w:pPr>
            <w:r>
              <w:rPr>
                <w:spacing w:val="5"/>
                <w:sz w:val="21"/>
                <w:szCs w:val="21"/>
              </w:rPr>
              <w:t>睿百福、定制</w:t>
            </w:r>
          </w:p>
        </w:tc>
        <w:tc>
          <w:tcPr>
            <w:tcW w:w="993" w:type="dxa"/>
            <w:vAlign w:val="top"/>
          </w:tcPr>
          <w:p>
            <w:pPr>
              <w:pStyle w:val="68"/>
              <w:spacing w:before="344" w:line="219" w:lineRule="auto"/>
              <w:ind w:left="-40"/>
              <w:jc w:val="center"/>
              <w:rPr>
                <w:rFonts w:hint="eastAsia"/>
                <w:sz w:val="21"/>
                <w:szCs w:val="21"/>
              </w:rPr>
            </w:pPr>
            <w:r>
              <w:rPr>
                <w:sz w:val="21"/>
                <w:szCs w:val="21"/>
              </w:rPr>
              <w:t>个</w:t>
            </w:r>
          </w:p>
        </w:tc>
        <w:tc>
          <w:tcPr>
            <w:tcW w:w="850" w:type="dxa"/>
            <w:vAlign w:val="top"/>
          </w:tcPr>
          <w:p>
            <w:pPr>
              <w:pStyle w:val="68"/>
              <w:spacing w:before="127"/>
              <w:ind w:left="-40"/>
              <w:jc w:val="center"/>
              <w:rPr>
                <w:rFonts w:hint="eastAsia"/>
                <w:sz w:val="21"/>
                <w:szCs w:val="21"/>
              </w:rPr>
            </w:pPr>
            <w:r>
              <w:rPr>
                <w:spacing w:val="-5"/>
                <w:sz w:val="21"/>
                <w:szCs w:val="21"/>
              </w:rPr>
              <w:t>288</w:t>
            </w:r>
          </w:p>
        </w:tc>
        <w:tc>
          <w:tcPr>
            <w:tcW w:w="1276" w:type="dxa"/>
            <w:vAlign w:val="top"/>
          </w:tcPr>
          <w:p>
            <w:pPr>
              <w:pStyle w:val="68"/>
              <w:spacing w:before="127" w:line="239" w:lineRule="auto"/>
              <w:ind w:left="-40"/>
              <w:jc w:val="center"/>
              <w:rPr>
                <w:rFonts w:hint="eastAsia"/>
                <w:sz w:val="21"/>
                <w:szCs w:val="21"/>
              </w:rPr>
            </w:pPr>
            <w:r>
              <w:rPr>
                <w:spacing w:val="-3"/>
                <w:sz w:val="21"/>
                <w:szCs w:val="21"/>
              </w:rPr>
              <w:t>0.0105</w:t>
            </w:r>
          </w:p>
        </w:tc>
        <w:tc>
          <w:tcPr>
            <w:tcW w:w="1276" w:type="dxa"/>
            <w:vAlign w:val="top"/>
          </w:tcPr>
          <w:p>
            <w:pPr>
              <w:pStyle w:val="68"/>
              <w:spacing w:before="127" w:line="239" w:lineRule="auto"/>
              <w:ind w:left="437"/>
              <w:jc w:val="center"/>
              <w:rPr>
                <w:rFonts w:hint="eastAsia"/>
                <w:sz w:val="21"/>
                <w:szCs w:val="21"/>
              </w:rPr>
            </w:pPr>
            <w:r>
              <w:rPr>
                <w:spacing w:val="-4"/>
                <w:sz w:val="21"/>
                <w:szCs w:val="21"/>
              </w:rPr>
              <w:t>3.024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243" w:type="dxa"/>
            <w:gridSpan w:val="3"/>
            <w:vAlign w:val="top"/>
          </w:tcPr>
          <w:p>
            <w:pPr>
              <w:pStyle w:val="68"/>
              <w:spacing w:before="161" w:line="221" w:lineRule="auto"/>
              <w:ind w:left="-40"/>
              <w:jc w:val="center"/>
              <w:rPr>
                <w:rFonts w:hint="eastAsia"/>
                <w:sz w:val="21"/>
                <w:szCs w:val="21"/>
              </w:rPr>
            </w:pPr>
            <w:r>
              <w:rPr>
                <w:b/>
                <w:bCs/>
                <w:spacing w:val="-2"/>
                <w:sz w:val="21"/>
                <w:szCs w:val="21"/>
              </w:rPr>
              <w:t>合计</w:t>
            </w:r>
          </w:p>
        </w:tc>
        <w:tc>
          <w:tcPr>
            <w:tcW w:w="993" w:type="dxa"/>
            <w:vAlign w:val="top"/>
          </w:tcPr>
          <w:p>
            <w:pPr>
              <w:ind w:left="-40" w:firstLine="420"/>
              <w:jc w:val="center"/>
              <w:rPr>
                <w:rFonts w:ascii="Arial" w:hAnsi="Arial" w:cs="Arial"/>
                <w:snapToGrid w:val="0"/>
                <w:sz w:val="21"/>
                <w:szCs w:val="21"/>
              </w:rPr>
            </w:pPr>
          </w:p>
        </w:tc>
        <w:tc>
          <w:tcPr>
            <w:tcW w:w="850" w:type="dxa"/>
            <w:vAlign w:val="top"/>
          </w:tcPr>
          <w:p>
            <w:pPr>
              <w:ind w:left="-40" w:firstLine="420"/>
              <w:jc w:val="center"/>
              <w:rPr>
                <w:rFonts w:ascii="Arial" w:hAnsi="Arial" w:cs="Arial"/>
                <w:snapToGrid w:val="0"/>
                <w:sz w:val="21"/>
                <w:szCs w:val="21"/>
              </w:rPr>
            </w:pPr>
          </w:p>
        </w:tc>
        <w:tc>
          <w:tcPr>
            <w:tcW w:w="1276" w:type="dxa"/>
            <w:vAlign w:val="top"/>
          </w:tcPr>
          <w:p>
            <w:pPr>
              <w:ind w:left="-40" w:firstLine="420"/>
              <w:jc w:val="center"/>
              <w:rPr>
                <w:rFonts w:ascii="Arial" w:hAnsi="Arial" w:cs="Arial"/>
                <w:snapToGrid w:val="0"/>
                <w:sz w:val="21"/>
                <w:szCs w:val="21"/>
              </w:rPr>
            </w:pPr>
          </w:p>
        </w:tc>
        <w:tc>
          <w:tcPr>
            <w:tcW w:w="1276" w:type="dxa"/>
            <w:vAlign w:val="top"/>
          </w:tcPr>
          <w:p>
            <w:pPr>
              <w:pStyle w:val="68"/>
              <w:spacing w:before="200" w:line="222" w:lineRule="auto"/>
              <w:ind w:left="352"/>
              <w:jc w:val="center"/>
              <w:rPr>
                <w:rFonts w:hint="eastAsia"/>
                <w:sz w:val="21"/>
                <w:szCs w:val="21"/>
              </w:rPr>
            </w:pPr>
            <w:r>
              <w:rPr>
                <w:b/>
                <w:bCs/>
                <w:spacing w:val="-7"/>
                <w:sz w:val="21"/>
                <w:szCs w:val="21"/>
              </w:rPr>
              <w:t>67.872</w:t>
            </w:r>
          </w:p>
        </w:tc>
      </w:tr>
    </w:tbl>
    <w:p>
      <w:pPr>
        <w:pStyle w:val="4"/>
        <w:numPr>
          <w:ilvl w:val="0"/>
          <w:numId w:val="2"/>
        </w:numPr>
        <w:ind w:firstLineChars="0"/>
        <w:rPr>
          <w:rFonts w:hint="eastAsia" w:ascii="仿宋" w:hAnsi="仿宋" w:eastAsia="仿宋" w:cs="仿宋"/>
          <w:b w:val="0"/>
          <w:bCs/>
          <w:szCs w:val="32"/>
          <w:lang w:eastAsia="zh-CN"/>
        </w:rPr>
      </w:pPr>
      <w:r>
        <w:rPr>
          <w:rFonts w:hint="eastAsia" w:ascii="仿宋" w:hAnsi="仿宋" w:eastAsia="仿宋" w:cs="仿宋"/>
          <w:b w:val="0"/>
          <w:bCs/>
          <w:szCs w:val="32"/>
          <w:lang w:eastAsia="zh-CN"/>
        </w:rPr>
        <w:t>项目实施情况</w:t>
      </w:r>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延风中学分别于2013年10月18日、</w:t>
      </w:r>
      <w:r>
        <w:rPr>
          <w:rFonts w:hint="eastAsia" w:ascii="仿宋" w:hAnsi="仿宋" w:eastAsia="仿宋" w:cs="仿宋"/>
          <w:bCs/>
          <w:szCs w:val="32"/>
          <w:lang w:eastAsia="zh-CN"/>
        </w:rPr>
        <w:t>2013年12月6日向金口河区教育局</w:t>
      </w:r>
      <w:r>
        <w:rPr>
          <w:rFonts w:hint="eastAsia" w:ascii="仿宋" w:hAnsi="仿宋" w:eastAsia="仿宋" w:cs="仿宋"/>
          <w:bCs/>
          <w:color w:val="auto"/>
          <w:spacing w:val="-8"/>
          <w:szCs w:val="32"/>
          <w:lang w:eastAsia="zh-CN"/>
        </w:rPr>
        <w:t>提交</w:t>
      </w:r>
      <w:r>
        <w:rPr>
          <w:rFonts w:hint="eastAsia" w:ascii="仿宋" w:hAnsi="仿宋" w:eastAsia="仿宋" w:cs="仿宋"/>
          <w:bCs/>
          <w:szCs w:val="32"/>
          <w:lang w:eastAsia="zh-CN"/>
        </w:rPr>
        <w:t>《乐山市金口河区延风中学关于解决男生宿舍学生公寓床采购经费的请示》（金延中〔2023〕81号）、《乐山市金口河区延风中学关于延风中学男生宿舍学生用床、柜子采购项目实施方案的报告》（金延中〔2023〕96号）文件</w:t>
      </w:r>
      <w:r>
        <w:rPr>
          <w:rFonts w:hint="eastAsia" w:ascii="仿宋" w:hAnsi="仿宋" w:eastAsia="仿宋" w:cs="仿宋"/>
          <w:bCs/>
          <w:color w:val="auto"/>
          <w:spacing w:val="-8"/>
          <w:szCs w:val="32"/>
          <w:lang w:eastAsia="zh-CN"/>
        </w:rPr>
        <w:t>。</w:t>
      </w:r>
    </w:p>
    <w:p>
      <w:pPr>
        <w:ind w:firstLine="608"/>
        <w:rPr>
          <w:rFonts w:hint="eastAsia" w:ascii="仿宋" w:hAnsi="仿宋" w:eastAsia="仿宋" w:cs="仿宋"/>
          <w:bCs/>
          <w:color w:val="auto"/>
          <w:spacing w:val="-8"/>
          <w:szCs w:val="32"/>
          <w:highlight w:val="none"/>
          <w:lang w:eastAsia="zh-CN"/>
        </w:rPr>
      </w:pPr>
      <w:r>
        <w:rPr>
          <w:rFonts w:hint="eastAsia" w:ascii="仿宋" w:hAnsi="仿宋" w:eastAsia="仿宋" w:cs="仿宋"/>
          <w:bCs/>
          <w:color w:val="auto"/>
          <w:spacing w:val="-8"/>
          <w:szCs w:val="32"/>
          <w:lang w:eastAsia="zh-CN"/>
        </w:rPr>
        <w:t>202</w:t>
      </w:r>
      <w:r>
        <w:rPr>
          <w:rFonts w:hint="eastAsia" w:ascii="仿宋" w:hAnsi="仿宋" w:eastAsia="仿宋" w:cs="仿宋"/>
          <w:bCs/>
          <w:color w:val="auto"/>
          <w:spacing w:val="-8"/>
          <w:szCs w:val="32"/>
          <w:highlight w:val="none"/>
          <w:lang w:eastAsia="zh-CN"/>
        </w:rPr>
        <w:t>4年1月4日经</w:t>
      </w:r>
      <w:r>
        <w:rPr>
          <w:rFonts w:hint="eastAsia" w:ascii="仿宋" w:hAnsi="仿宋" w:eastAsia="仿宋" w:cs="仿宋"/>
          <w:bCs/>
          <w:szCs w:val="32"/>
          <w:highlight w:val="none"/>
          <w:lang w:eastAsia="zh-CN"/>
        </w:rPr>
        <w:t>《金口河区延风中学校长办公会会议纪要》（第1期）确定，中天顺韵建设管理有限公司为</w:t>
      </w:r>
      <w:r>
        <w:rPr>
          <w:rFonts w:hint="eastAsia" w:ascii="仿宋" w:hAnsi="仿宋" w:eastAsia="仿宋" w:cs="仿宋"/>
          <w:highlight w:val="none"/>
          <w:lang w:eastAsia="zh-CN"/>
        </w:rPr>
        <w:t>延风中学男生宿舍学生用床、柜子采购项目的招标代理公司。</w:t>
      </w:r>
    </w:p>
    <w:p>
      <w:pPr>
        <w:ind w:firstLine="608"/>
        <w:rPr>
          <w:rFonts w:hint="eastAsia" w:ascii="仿宋" w:hAnsi="仿宋" w:eastAsia="仿宋" w:cs="仿宋"/>
          <w:lang w:eastAsia="zh-CN"/>
        </w:rPr>
      </w:pPr>
      <w:r>
        <w:rPr>
          <w:rFonts w:hint="eastAsia" w:ascii="仿宋" w:hAnsi="仿宋" w:eastAsia="仿宋" w:cs="仿宋"/>
          <w:bCs/>
          <w:color w:val="auto"/>
          <w:spacing w:val="-8"/>
          <w:szCs w:val="32"/>
          <w:highlight w:val="none"/>
          <w:lang w:eastAsia="zh-CN"/>
        </w:rPr>
        <w:t>2024年1月9日</w:t>
      </w:r>
      <w:r>
        <w:rPr>
          <w:rFonts w:hint="eastAsia" w:ascii="仿宋" w:hAnsi="仿宋" w:eastAsia="仿宋" w:cs="仿宋"/>
          <w:bCs/>
          <w:szCs w:val="32"/>
          <w:highlight w:val="none"/>
          <w:lang w:eastAsia="zh-CN"/>
        </w:rPr>
        <w:t>《乐山</w:t>
      </w:r>
      <w:r>
        <w:rPr>
          <w:rFonts w:hint="eastAsia" w:ascii="仿宋" w:hAnsi="仿宋" w:eastAsia="仿宋" w:cs="仿宋"/>
          <w:bCs/>
          <w:szCs w:val="32"/>
          <w:lang w:eastAsia="zh-CN"/>
        </w:rPr>
        <w:t>市金口河区财政局关于对延风中学男生宿舍学生用床、柜子采购项目询价建议的函》（金财询函〔2024〕2号）文件，经区财评中心评审，</w:t>
      </w:r>
      <w:r>
        <w:rPr>
          <w:rFonts w:hint="eastAsia" w:ascii="仿宋" w:hAnsi="仿宋" w:eastAsia="仿宋" w:cs="仿宋"/>
          <w:lang w:eastAsia="zh-CN"/>
        </w:rPr>
        <w:t>延风中学男生宿舍学生用床、柜子采购项目按680,640.00元(含税13%)作为最高限价进行招投标。</w:t>
      </w:r>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2024年1月9日延风中学提交《乐山市金口河区财政采购项目申请表》，采购项目名称：</w:t>
      </w:r>
      <w:r>
        <w:rPr>
          <w:rFonts w:hint="eastAsia" w:ascii="仿宋" w:hAnsi="仿宋" w:eastAsia="仿宋" w:cs="仿宋"/>
          <w:lang w:eastAsia="zh-CN"/>
        </w:rPr>
        <w:t>延风中学男生宿舍学生用床、柜子采购项目，采购资金预算68.064万，采购资金来源为教育附加。2024年1月10日经乐山市金口河区财政局批复同意，按照《乐山市市级单位通用办公设备和家具配置标准》执行，项目资金来源为区级财政资金。</w:t>
      </w:r>
    </w:p>
    <w:p>
      <w:pPr>
        <w:ind w:firstLine="640"/>
        <w:rPr>
          <w:rFonts w:hint="eastAsia" w:ascii="仿宋" w:hAnsi="仿宋" w:eastAsia="仿宋" w:cs="仿宋"/>
          <w:lang w:eastAsia="zh-CN"/>
        </w:rPr>
      </w:pPr>
      <w:r>
        <w:rPr>
          <w:rFonts w:hint="eastAsia" w:ascii="仿宋" w:hAnsi="仿宋" w:eastAsia="仿宋" w:cs="仿宋"/>
          <w:lang w:eastAsia="zh-CN"/>
        </w:rPr>
        <w:t>2024年1月15日延风中学发布《乐山市金口河区延风中学2024年度政府采购意向公告（第3批）》，采购项目名称：延风中学男生宿舍学生用床、柜子采购项目，预算金额：68.064万元，预计采购时间：2024年2月。</w:t>
      </w:r>
    </w:p>
    <w:p>
      <w:pPr>
        <w:ind w:firstLine="640"/>
        <w:rPr>
          <w:rFonts w:hint="eastAsia" w:ascii="仿宋" w:hAnsi="仿宋" w:eastAsia="仿宋" w:cs="仿宋"/>
          <w:lang w:eastAsia="zh-CN"/>
        </w:rPr>
      </w:pPr>
      <w:r>
        <w:rPr>
          <w:rFonts w:hint="eastAsia" w:ascii="仿宋" w:hAnsi="仿宋" w:eastAsia="仿宋" w:cs="仿宋"/>
          <w:bCs/>
          <w:szCs w:val="32"/>
          <w:lang w:eastAsia="zh-CN"/>
        </w:rPr>
        <w:t>2024年1月29日中天顺韵建设管理有限公司通过</w:t>
      </w:r>
      <w:r>
        <w:rPr>
          <w:rFonts w:hint="eastAsia" w:ascii="仿宋" w:hAnsi="仿宋" w:eastAsia="仿宋" w:cs="仿宋"/>
          <w:lang w:eastAsia="zh-CN"/>
        </w:rPr>
        <w:t>竞争性谈判，确定江苏瑞庆成教学装备有限公司为</w:t>
      </w:r>
      <w:bookmarkStart w:id="72" w:name="OLE_LINK1"/>
      <w:r>
        <w:rPr>
          <w:rFonts w:hint="eastAsia" w:ascii="仿宋" w:hAnsi="仿宋" w:eastAsia="仿宋" w:cs="仿宋"/>
          <w:lang w:eastAsia="zh-CN"/>
        </w:rPr>
        <w:t>延风中学男生宿舍学生用床、柜子采购项目</w:t>
      </w:r>
      <w:bookmarkEnd w:id="72"/>
      <w:r>
        <w:rPr>
          <w:rFonts w:hint="eastAsia" w:ascii="仿宋" w:hAnsi="仿宋" w:eastAsia="仿宋" w:cs="仿宋"/>
          <w:lang w:eastAsia="zh-CN"/>
        </w:rPr>
        <w:t>中标供应商，中标价673,720.00元。</w:t>
      </w:r>
    </w:p>
    <w:p>
      <w:pPr>
        <w:ind w:firstLine="640"/>
        <w:rPr>
          <w:rFonts w:hint="eastAsia" w:ascii="仿宋" w:hAnsi="仿宋" w:eastAsia="仿宋" w:cs="仿宋"/>
          <w:lang w:eastAsia="zh-CN"/>
        </w:rPr>
      </w:pPr>
      <w:r>
        <w:rPr>
          <w:rFonts w:hint="eastAsia" w:ascii="仿宋" w:hAnsi="仿宋" w:eastAsia="仿宋" w:cs="仿宋"/>
          <w:lang w:eastAsia="zh-CN"/>
        </w:rPr>
        <w:t>2024年2月19日延风中学与江苏瑞庆成教学装备有限公司签订《政府采购合同》，</w:t>
      </w:r>
      <w:bookmarkStart w:id="73" w:name="OLE_LINK3"/>
      <w:r>
        <w:rPr>
          <w:rFonts w:hint="eastAsia" w:ascii="仿宋" w:hAnsi="仿宋" w:eastAsia="仿宋" w:cs="仿宋"/>
          <w:lang w:eastAsia="zh-CN"/>
        </w:rPr>
        <w:t>合同金额673,720.00元</w:t>
      </w:r>
      <w:bookmarkEnd w:id="73"/>
      <w:r>
        <w:rPr>
          <w:rFonts w:hint="eastAsia" w:ascii="仿宋" w:hAnsi="仿宋" w:eastAsia="仿宋" w:cs="仿宋"/>
          <w:lang w:eastAsia="zh-CN"/>
        </w:rPr>
        <w:t>，交货期为自合同签订之日起20日内。</w:t>
      </w:r>
    </w:p>
    <w:p>
      <w:pPr>
        <w:ind w:firstLine="640"/>
        <w:rPr>
          <w:rFonts w:hint="eastAsia" w:ascii="仿宋" w:hAnsi="仿宋" w:eastAsia="仿宋" w:cs="仿宋"/>
          <w:lang w:eastAsia="zh-CN"/>
        </w:rPr>
      </w:pPr>
      <w:r>
        <w:rPr>
          <w:rFonts w:hint="eastAsia" w:ascii="仿宋" w:hAnsi="仿宋" w:eastAsia="仿宋" w:cs="仿宋"/>
          <w:lang w:eastAsia="zh-CN"/>
        </w:rPr>
        <w:t>2024年3月4日延风中学男生宿舍学生用床、柜子采购项目采购的床、柜子通过延风中学验收。</w:t>
      </w:r>
    </w:p>
    <w:p>
      <w:pPr>
        <w:ind w:firstLine="640"/>
        <w:rPr>
          <w:rFonts w:hint="eastAsia" w:ascii="仿宋" w:hAnsi="仿宋" w:eastAsia="仿宋" w:cs="仿宋"/>
          <w:bCs/>
          <w:color w:val="auto"/>
          <w:spacing w:val="-8"/>
          <w:szCs w:val="32"/>
          <w:lang w:eastAsia="zh-CN"/>
        </w:rPr>
      </w:pPr>
      <w:r>
        <w:rPr>
          <w:rFonts w:hint="eastAsia" w:ascii="仿宋" w:hAnsi="仿宋" w:eastAsia="仿宋" w:cs="仿宋"/>
          <w:lang w:eastAsia="zh-CN"/>
        </w:rPr>
        <w:t>2024年3月5日江苏瑞庆成教学装备有限公司开具电子发票（普通发票）673,720.00元，</w:t>
      </w:r>
      <w:r>
        <w:rPr>
          <w:rFonts w:hint="eastAsia" w:ascii="仿宋" w:hAnsi="仿宋" w:eastAsia="仿宋" w:cs="仿宋"/>
          <w:bCs/>
          <w:szCs w:val="32"/>
          <w:lang w:eastAsia="zh-CN"/>
        </w:rPr>
        <w:t>2024年5月21日由国库集中支付</w:t>
      </w:r>
      <w:r>
        <w:rPr>
          <w:rFonts w:hint="eastAsia" w:ascii="仿宋" w:hAnsi="仿宋" w:eastAsia="仿宋" w:cs="仿宋"/>
          <w:lang w:eastAsia="zh-CN"/>
        </w:rPr>
        <w:t>江苏瑞庆成教学装备有限公司</w:t>
      </w:r>
      <w:r>
        <w:rPr>
          <w:rFonts w:hint="eastAsia" w:ascii="仿宋" w:hAnsi="仿宋" w:eastAsia="仿宋" w:cs="仿宋"/>
          <w:bCs/>
          <w:szCs w:val="32"/>
          <w:lang w:eastAsia="zh-CN"/>
        </w:rPr>
        <w:t>男生宿舍学生用床、柜子费658,358.00元。2024年7月10日</w:t>
      </w:r>
      <w:r>
        <w:rPr>
          <w:rFonts w:hint="eastAsia" w:ascii="仿宋" w:hAnsi="仿宋" w:eastAsia="仿宋" w:cs="仿宋"/>
          <w:lang w:eastAsia="zh-CN"/>
        </w:rPr>
        <w:t>江苏瑞庆成教学装备有限公司</w:t>
      </w:r>
      <w:r>
        <w:rPr>
          <w:rFonts w:hint="eastAsia" w:ascii="仿宋" w:hAnsi="仿宋" w:eastAsia="仿宋" w:cs="仿宋"/>
          <w:bCs/>
          <w:szCs w:val="32"/>
          <w:lang w:eastAsia="zh-CN"/>
        </w:rPr>
        <w:t>退回</w:t>
      </w:r>
      <w:r>
        <w:rPr>
          <w:rFonts w:hint="eastAsia" w:ascii="仿宋" w:hAnsi="仿宋" w:eastAsia="仿宋" w:cs="仿宋"/>
          <w:bCs/>
          <w:color w:val="auto"/>
          <w:spacing w:val="-8"/>
          <w:szCs w:val="32"/>
          <w:lang w:eastAsia="zh-CN"/>
        </w:rPr>
        <w:t>质保金</w:t>
      </w:r>
      <w:r>
        <w:rPr>
          <w:rFonts w:hint="eastAsia" w:ascii="仿宋" w:hAnsi="仿宋" w:eastAsia="仿宋" w:cs="仿宋"/>
          <w:bCs/>
          <w:szCs w:val="32"/>
          <w:lang w:eastAsia="zh-CN"/>
        </w:rPr>
        <w:t>4,850.00元。</w:t>
      </w:r>
    </w:p>
    <w:p>
      <w:pPr>
        <w:pStyle w:val="4"/>
        <w:numPr>
          <w:ilvl w:val="0"/>
          <w:numId w:val="2"/>
        </w:numPr>
        <w:ind w:firstLineChars="0"/>
        <w:rPr>
          <w:rFonts w:hint="eastAsia" w:ascii="仿宋" w:hAnsi="仿宋" w:eastAsia="仿宋" w:cs="仿宋"/>
          <w:b w:val="0"/>
          <w:bCs/>
          <w:szCs w:val="32"/>
        </w:rPr>
      </w:pPr>
      <w:bookmarkStart w:id="74" w:name="_Toc204204540"/>
      <w:bookmarkStart w:id="75" w:name="_Toc2115246641_WPSOffice_Level3"/>
      <w:bookmarkStart w:id="76" w:name="_Toc1781"/>
      <w:bookmarkStart w:id="77" w:name="_Toc130033881"/>
      <w:bookmarkStart w:id="78" w:name="_Toc1159999610"/>
      <w:bookmarkStart w:id="79" w:name="_Toc268213742"/>
      <w:bookmarkStart w:id="80" w:name="_Toc409926673"/>
      <w:bookmarkStart w:id="81" w:name="_Toc18226"/>
      <w:r>
        <w:rPr>
          <w:rFonts w:hint="eastAsia" w:ascii="仿宋" w:hAnsi="仿宋" w:eastAsia="仿宋" w:cs="仿宋"/>
          <w:b w:val="0"/>
          <w:bCs/>
          <w:szCs w:val="32"/>
        </w:rPr>
        <w:t>资金</w:t>
      </w:r>
      <w:r>
        <w:rPr>
          <w:rFonts w:hint="eastAsia" w:ascii="仿宋" w:hAnsi="仿宋" w:eastAsia="仿宋" w:cs="仿宋"/>
          <w:b w:val="0"/>
          <w:bCs/>
          <w:szCs w:val="32"/>
          <w:lang w:eastAsia="zh-CN"/>
        </w:rPr>
        <w:t>批复</w:t>
      </w:r>
      <w:r>
        <w:rPr>
          <w:rFonts w:hint="eastAsia" w:ascii="仿宋" w:hAnsi="仿宋" w:eastAsia="仿宋" w:cs="仿宋"/>
          <w:b w:val="0"/>
          <w:bCs/>
          <w:szCs w:val="32"/>
        </w:rPr>
        <w:t>和使用情况</w:t>
      </w:r>
      <w:bookmarkEnd w:id="74"/>
      <w:bookmarkEnd w:id="75"/>
      <w:bookmarkEnd w:id="76"/>
      <w:bookmarkEnd w:id="77"/>
      <w:bookmarkEnd w:id="78"/>
      <w:bookmarkEnd w:id="79"/>
      <w:bookmarkEnd w:id="80"/>
      <w:bookmarkEnd w:id="81"/>
    </w:p>
    <w:p>
      <w:pPr>
        <w:pStyle w:val="5"/>
        <w:numPr>
          <w:ilvl w:val="0"/>
          <w:numId w:val="3"/>
        </w:numPr>
        <w:tabs>
          <w:tab w:val="left" w:pos="1418"/>
        </w:tabs>
        <w:ind w:left="0" w:firstLine="640"/>
        <w:rPr>
          <w:rFonts w:hint="eastAsia" w:ascii="仿宋" w:hAnsi="仿宋" w:eastAsia="仿宋" w:cs="仿宋"/>
          <w:b w:val="0"/>
          <w:bCs/>
          <w:szCs w:val="32"/>
        </w:rPr>
      </w:pPr>
      <w:bookmarkStart w:id="82" w:name="_Toc5769"/>
      <w:r>
        <w:rPr>
          <w:rFonts w:hint="eastAsia" w:ascii="仿宋" w:hAnsi="仿宋" w:eastAsia="仿宋" w:cs="仿宋"/>
          <w:b w:val="0"/>
          <w:bCs/>
          <w:szCs w:val="32"/>
        </w:rPr>
        <w:t>资金</w:t>
      </w:r>
      <w:r>
        <w:rPr>
          <w:rFonts w:hint="eastAsia" w:ascii="仿宋" w:hAnsi="仿宋" w:eastAsia="仿宋" w:cs="仿宋"/>
          <w:b w:val="0"/>
          <w:bCs/>
          <w:szCs w:val="32"/>
          <w:lang w:eastAsia="zh-CN"/>
        </w:rPr>
        <w:t>批复</w:t>
      </w:r>
      <w:r>
        <w:rPr>
          <w:rFonts w:hint="eastAsia" w:ascii="仿宋" w:hAnsi="仿宋" w:eastAsia="仿宋" w:cs="仿宋"/>
          <w:b w:val="0"/>
          <w:bCs/>
          <w:szCs w:val="32"/>
        </w:rPr>
        <w:t>情况</w:t>
      </w:r>
      <w:bookmarkEnd w:id="82"/>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2024年1月9日延风中学提交《乐山市金口河区财政采购项目申请表》，采购项目名称：</w:t>
      </w:r>
      <w:r>
        <w:rPr>
          <w:rFonts w:hint="eastAsia" w:ascii="仿宋" w:hAnsi="仿宋" w:eastAsia="仿宋" w:cs="仿宋"/>
          <w:lang w:eastAsia="zh-CN"/>
        </w:rPr>
        <w:t>延风中学男生宿舍学生用床、柜子采购项目，采购资金预算68.064万元，采购资金来源为教育附加。2024年1月10日经乐山市金口河区财政局批复同意，按照《乐山市市级单位通用办公设备和家具配置标准》执行，项目资金来源为区级财政资金</w:t>
      </w:r>
      <w:r>
        <w:rPr>
          <w:rFonts w:hint="eastAsia" w:ascii="仿宋" w:hAnsi="仿宋" w:eastAsia="仿宋" w:cs="仿宋"/>
          <w:bCs/>
          <w:color w:val="auto"/>
          <w:spacing w:val="-8"/>
          <w:szCs w:val="32"/>
          <w:lang w:eastAsia="zh-CN"/>
        </w:rPr>
        <w:t>。</w:t>
      </w:r>
      <w:r>
        <w:rPr>
          <w:rFonts w:hint="eastAsia" w:ascii="仿宋" w:hAnsi="仿宋" w:eastAsia="仿宋" w:cs="仿宋"/>
          <w:bCs/>
          <w:color w:val="auto"/>
          <w:spacing w:val="-8"/>
          <w:szCs w:val="32"/>
          <w:lang w:val="en-US" w:eastAsia="zh-CN"/>
        </w:rPr>
        <w:t>该项目通过招投</w:t>
      </w:r>
      <w:r>
        <w:rPr>
          <w:rFonts w:hint="eastAsia" w:ascii="仿宋" w:hAnsi="仿宋" w:eastAsia="仿宋" w:cs="仿宋"/>
          <w:bCs/>
          <w:color w:val="auto"/>
          <w:spacing w:val="-8"/>
          <w:szCs w:val="32"/>
          <w:lang w:eastAsia="zh-CN"/>
        </w:rPr>
        <w:t>标确</w:t>
      </w:r>
      <w:r>
        <w:rPr>
          <w:rFonts w:hint="eastAsia" w:ascii="仿宋" w:hAnsi="仿宋" w:eastAsia="仿宋" w:cs="仿宋"/>
          <w:bCs/>
          <w:color w:val="auto"/>
          <w:spacing w:val="-8"/>
          <w:szCs w:val="32"/>
          <w:lang w:val="en-US" w:eastAsia="zh-CN"/>
        </w:rPr>
        <w:t>定中标</w:t>
      </w:r>
      <w:r>
        <w:rPr>
          <w:rFonts w:hint="eastAsia" w:ascii="仿宋" w:hAnsi="仿宋" w:eastAsia="仿宋" w:cs="仿宋"/>
          <w:lang w:eastAsia="zh-CN"/>
        </w:rPr>
        <w:t>金额673,720.00元。</w:t>
      </w:r>
    </w:p>
    <w:p>
      <w:pPr>
        <w:pStyle w:val="5"/>
        <w:numPr>
          <w:ilvl w:val="0"/>
          <w:numId w:val="3"/>
        </w:numPr>
        <w:tabs>
          <w:tab w:val="left" w:pos="1418"/>
        </w:tabs>
        <w:ind w:left="0" w:firstLine="640"/>
        <w:rPr>
          <w:rFonts w:hint="eastAsia" w:ascii="仿宋" w:hAnsi="仿宋" w:eastAsia="仿宋" w:cs="仿宋"/>
          <w:b w:val="0"/>
          <w:bCs/>
          <w:szCs w:val="32"/>
        </w:rPr>
      </w:pPr>
      <w:bookmarkStart w:id="83" w:name="_Toc30946"/>
      <w:r>
        <w:rPr>
          <w:rFonts w:hint="eastAsia" w:ascii="仿宋" w:hAnsi="仿宋" w:eastAsia="仿宋" w:cs="仿宋"/>
          <w:b w:val="0"/>
          <w:bCs/>
          <w:szCs w:val="32"/>
        </w:rPr>
        <w:t>资金使用情况</w:t>
      </w:r>
      <w:bookmarkEnd w:id="83"/>
    </w:p>
    <w:p>
      <w:pPr>
        <w:ind w:firstLine="640"/>
        <w:rPr>
          <w:rFonts w:hint="eastAsia" w:ascii="仿宋" w:hAnsi="仿宋" w:eastAsia="仿宋" w:cs="仿宋"/>
          <w:bCs/>
          <w:color w:val="auto"/>
          <w:spacing w:val="-8"/>
          <w:szCs w:val="32"/>
          <w:lang w:eastAsia="zh-CN"/>
        </w:rPr>
      </w:pPr>
      <w:r>
        <w:rPr>
          <w:rFonts w:hint="eastAsia" w:ascii="仿宋" w:hAnsi="仿宋" w:eastAsia="仿宋" w:cs="仿宋"/>
          <w:bCs/>
          <w:szCs w:val="32"/>
          <w:lang w:eastAsia="zh-CN"/>
        </w:rPr>
        <w:t>2024年5月13日延风中学报销</w:t>
      </w:r>
      <w:r>
        <w:rPr>
          <w:rFonts w:hint="eastAsia" w:ascii="仿宋" w:hAnsi="仿宋" w:eastAsia="仿宋" w:cs="仿宋"/>
          <w:lang w:eastAsia="zh-CN"/>
        </w:rPr>
        <w:t>延风中学男生宿舍学生用床、柜子采购项目采购费653,508.00元，</w:t>
      </w:r>
      <w:r>
        <w:rPr>
          <w:rFonts w:hint="eastAsia" w:ascii="仿宋" w:hAnsi="仿宋" w:eastAsia="仿宋" w:cs="仿宋"/>
          <w:bCs/>
          <w:szCs w:val="32"/>
          <w:lang w:eastAsia="zh-CN"/>
        </w:rPr>
        <w:t>2024年5月21日由国库集中支付</w:t>
      </w:r>
      <w:r>
        <w:rPr>
          <w:rFonts w:hint="eastAsia" w:ascii="仿宋" w:hAnsi="仿宋" w:eastAsia="仿宋" w:cs="仿宋"/>
          <w:lang w:eastAsia="zh-CN"/>
        </w:rPr>
        <w:t>江苏瑞庆成教学装备有限公司</w:t>
      </w:r>
      <w:r>
        <w:rPr>
          <w:rFonts w:hint="eastAsia" w:ascii="仿宋" w:hAnsi="仿宋" w:eastAsia="仿宋" w:cs="仿宋"/>
          <w:bCs/>
          <w:szCs w:val="32"/>
          <w:lang w:eastAsia="zh-CN"/>
        </w:rPr>
        <w:t>男生宿舍学生用床、柜子费658,358.00元</w:t>
      </w:r>
      <w:r>
        <w:rPr>
          <w:rFonts w:hint="eastAsia" w:ascii="仿宋" w:hAnsi="仿宋" w:eastAsia="仿宋" w:cs="仿宋"/>
          <w:bCs/>
          <w:color w:val="auto"/>
          <w:spacing w:val="-8"/>
          <w:szCs w:val="32"/>
          <w:lang w:eastAsia="zh-CN"/>
        </w:rPr>
        <w:t>。2024年7月10日</w:t>
      </w:r>
      <w:r>
        <w:rPr>
          <w:rFonts w:hint="eastAsia" w:ascii="仿宋" w:hAnsi="仿宋" w:eastAsia="仿宋" w:cs="仿宋"/>
          <w:lang w:eastAsia="zh-CN"/>
        </w:rPr>
        <w:t>江苏瑞庆成教学装备有限公司</w:t>
      </w:r>
      <w:r>
        <w:rPr>
          <w:rFonts w:hint="eastAsia" w:ascii="仿宋" w:hAnsi="仿宋" w:eastAsia="仿宋" w:cs="仿宋"/>
          <w:bCs/>
          <w:color w:val="auto"/>
          <w:spacing w:val="-8"/>
          <w:szCs w:val="32"/>
          <w:lang w:eastAsia="zh-CN"/>
        </w:rPr>
        <w:t>分两次退回质保金4,850.00元，</w:t>
      </w:r>
      <w:r>
        <w:rPr>
          <w:rFonts w:hint="eastAsia" w:ascii="仿宋" w:hAnsi="仿宋" w:eastAsia="仿宋" w:cs="仿宋"/>
          <w:bCs/>
          <w:color w:val="auto"/>
          <w:spacing w:val="-8"/>
          <w:szCs w:val="32"/>
          <w:lang w:val="en-US" w:eastAsia="zh-CN"/>
        </w:rPr>
        <w:t>实际支出</w:t>
      </w:r>
      <w:r>
        <w:rPr>
          <w:rFonts w:hint="eastAsia" w:ascii="仿宋" w:hAnsi="仿宋" w:eastAsia="仿宋" w:cs="仿宋"/>
          <w:lang w:eastAsia="zh-CN"/>
        </w:rPr>
        <w:t>653,508.00</w:t>
      </w:r>
      <w:r>
        <w:rPr>
          <w:rFonts w:hint="eastAsia" w:ascii="仿宋" w:hAnsi="仿宋" w:eastAsia="仿宋" w:cs="仿宋"/>
          <w:bCs/>
          <w:color w:val="auto"/>
          <w:spacing w:val="-8"/>
          <w:szCs w:val="32"/>
          <w:lang w:eastAsia="zh-CN"/>
        </w:rPr>
        <w:t>元。</w:t>
      </w:r>
    </w:p>
    <w:p>
      <w:pPr>
        <w:pStyle w:val="5"/>
        <w:numPr>
          <w:ilvl w:val="0"/>
          <w:numId w:val="3"/>
        </w:numPr>
        <w:tabs>
          <w:tab w:val="left" w:pos="1418"/>
        </w:tabs>
        <w:ind w:left="0" w:firstLine="608"/>
        <w:rPr>
          <w:rFonts w:hint="eastAsia" w:ascii="仿宋" w:hAnsi="仿宋" w:eastAsia="仿宋" w:cs="仿宋"/>
          <w:b w:val="0"/>
          <w:bCs/>
          <w:color w:val="auto"/>
          <w:spacing w:val="-8"/>
          <w:szCs w:val="32"/>
          <w:lang w:eastAsia="zh-CN"/>
        </w:rPr>
      </w:pPr>
      <w:r>
        <w:rPr>
          <w:rFonts w:hint="eastAsia" w:ascii="仿宋" w:hAnsi="仿宋" w:eastAsia="仿宋" w:cs="仿宋"/>
          <w:b w:val="0"/>
          <w:bCs/>
          <w:color w:val="auto"/>
          <w:spacing w:val="-8"/>
          <w:szCs w:val="32"/>
          <w:lang w:eastAsia="zh-CN"/>
        </w:rPr>
        <w:t>资金结余情况</w:t>
      </w:r>
    </w:p>
    <w:p>
      <w:pPr>
        <w:ind w:firstLine="640"/>
        <w:rPr>
          <w:rFonts w:hint="eastAsia" w:ascii="仿宋" w:hAnsi="仿宋" w:eastAsia="仿宋" w:cs="仿宋"/>
          <w:bCs/>
          <w:szCs w:val="32"/>
          <w:lang w:eastAsia="zh-CN"/>
        </w:rPr>
      </w:pPr>
      <w:r>
        <w:rPr>
          <w:rFonts w:hint="eastAsia" w:ascii="仿宋" w:hAnsi="仿宋" w:eastAsia="仿宋" w:cs="仿宋"/>
          <w:lang w:eastAsia="zh-CN"/>
        </w:rPr>
        <w:t>延风中学男生宿舍学生用床、柜子采购项目预算资金68.064万</w:t>
      </w:r>
      <w:r>
        <w:rPr>
          <w:rFonts w:hint="eastAsia" w:ascii="仿宋" w:hAnsi="仿宋" w:eastAsia="仿宋" w:cs="仿宋"/>
          <w:lang w:val="en-US" w:eastAsia="zh-CN"/>
        </w:rPr>
        <w:t>元，</w:t>
      </w:r>
      <w:r>
        <w:rPr>
          <w:rFonts w:hint="eastAsia" w:ascii="仿宋" w:hAnsi="仿宋" w:eastAsia="仿宋" w:cs="仿宋"/>
          <w:bCs/>
          <w:color w:val="auto"/>
          <w:spacing w:val="-8"/>
          <w:szCs w:val="32"/>
          <w:lang w:eastAsia="zh-CN"/>
        </w:rPr>
        <w:t>投标确认</w:t>
      </w:r>
      <w:r>
        <w:rPr>
          <w:rFonts w:hint="eastAsia" w:ascii="仿宋" w:hAnsi="仿宋" w:eastAsia="仿宋" w:cs="仿宋"/>
          <w:lang w:eastAsia="zh-CN"/>
        </w:rPr>
        <w:t>合同金额673,720.00元，</w:t>
      </w:r>
      <w:r>
        <w:rPr>
          <w:rFonts w:hint="eastAsia" w:ascii="仿宋" w:hAnsi="仿宋" w:eastAsia="仿宋" w:cs="仿宋"/>
          <w:bCs/>
          <w:color w:val="auto"/>
          <w:spacing w:val="-8"/>
          <w:szCs w:val="32"/>
          <w:lang w:eastAsia="zh-CN"/>
        </w:rPr>
        <w:t>实际支出</w:t>
      </w:r>
      <w:r>
        <w:rPr>
          <w:rFonts w:hint="eastAsia" w:ascii="仿宋" w:hAnsi="仿宋" w:eastAsia="仿宋" w:cs="仿宋"/>
          <w:lang w:eastAsia="zh-CN"/>
        </w:rPr>
        <w:t>653,508.00</w:t>
      </w:r>
      <w:r>
        <w:rPr>
          <w:rFonts w:hint="eastAsia" w:ascii="仿宋" w:hAnsi="仿宋" w:eastAsia="仿宋" w:cs="仿宋"/>
          <w:bCs/>
          <w:color w:val="auto"/>
          <w:spacing w:val="-8"/>
          <w:szCs w:val="32"/>
          <w:lang w:eastAsia="zh-CN"/>
        </w:rPr>
        <w:t>元，结余</w:t>
      </w:r>
      <w:r>
        <w:rPr>
          <w:rFonts w:hint="eastAsia" w:ascii="仿宋" w:hAnsi="仿宋" w:eastAsia="仿宋" w:cs="仿宋"/>
          <w:bCs/>
          <w:color w:val="auto"/>
          <w:spacing w:val="-8"/>
          <w:szCs w:val="32"/>
          <w:lang w:val="en-US" w:eastAsia="zh-CN"/>
        </w:rPr>
        <w:t>27,132.00元(其中</w:t>
      </w:r>
      <w:r>
        <w:rPr>
          <w:rFonts w:hint="eastAsia" w:ascii="仿宋" w:hAnsi="仿宋" w:eastAsia="仿宋" w:cs="仿宋"/>
          <w:bCs/>
          <w:color w:val="auto"/>
          <w:spacing w:val="-8"/>
          <w:szCs w:val="32"/>
          <w:lang w:eastAsia="zh-CN"/>
        </w:rPr>
        <w:t>20,212.00元</w:t>
      </w:r>
      <w:r>
        <w:rPr>
          <w:rFonts w:hint="eastAsia" w:ascii="仿宋" w:hAnsi="仿宋" w:eastAsia="仿宋" w:cs="仿宋"/>
          <w:bCs/>
          <w:color w:val="auto"/>
          <w:spacing w:val="-8"/>
          <w:szCs w:val="32"/>
          <w:lang w:val="en-US" w:eastAsia="zh-CN"/>
        </w:rPr>
        <w:t>为质保金)</w:t>
      </w:r>
      <w:r>
        <w:rPr>
          <w:rFonts w:hint="eastAsia" w:ascii="仿宋" w:hAnsi="仿宋" w:eastAsia="仿宋" w:cs="仿宋"/>
          <w:bCs/>
          <w:color w:val="auto"/>
          <w:spacing w:val="-8"/>
          <w:szCs w:val="32"/>
          <w:lang w:eastAsia="zh-CN"/>
        </w:rPr>
        <w:t>。</w:t>
      </w:r>
    </w:p>
    <w:p>
      <w:pPr>
        <w:pStyle w:val="3"/>
        <w:numPr>
          <w:ilvl w:val="0"/>
          <w:numId w:val="1"/>
        </w:numPr>
        <w:spacing w:before="0" w:beforeLines="0" w:after="0" w:afterLines="0"/>
        <w:ind w:firstLineChars="0"/>
        <w:rPr>
          <w:rFonts w:hint="eastAsia" w:ascii="楷体" w:hAnsi="楷体" w:eastAsia="楷体" w:cs="楷体"/>
          <w:b w:val="0"/>
          <w:bCs/>
          <w:szCs w:val="32"/>
          <w:lang w:eastAsia="zh-CN"/>
        </w:rPr>
      </w:pPr>
      <w:bookmarkStart w:id="84" w:name="_Toc300186741"/>
      <w:bookmarkStart w:id="85" w:name="_Toc179658317"/>
      <w:bookmarkStart w:id="86" w:name="_Toc1256897804"/>
      <w:bookmarkStart w:id="87" w:name="_Toc386835874"/>
      <w:bookmarkStart w:id="88" w:name="_Toc132480960"/>
      <w:bookmarkStart w:id="89" w:name="_Toc8112"/>
      <w:bookmarkStart w:id="90" w:name="_Toc2001376203_WPSOffice_Level2"/>
      <w:bookmarkStart w:id="91" w:name="_Toc21201"/>
      <w:bookmarkStart w:id="92" w:name="_Toc510053535"/>
      <w:r>
        <w:rPr>
          <w:rFonts w:hint="eastAsia" w:ascii="楷体" w:hAnsi="楷体" w:eastAsia="楷体" w:cs="楷体"/>
          <w:b w:val="0"/>
          <w:bCs/>
          <w:szCs w:val="32"/>
          <w:lang w:eastAsia="zh-CN"/>
        </w:rPr>
        <w:t>项目绩效目标</w:t>
      </w:r>
      <w:bookmarkEnd w:id="84"/>
      <w:bookmarkEnd w:id="85"/>
      <w:bookmarkEnd w:id="86"/>
      <w:bookmarkEnd w:id="87"/>
      <w:bookmarkEnd w:id="88"/>
      <w:bookmarkEnd w:id="89"/>
      <w:bookmarkEnd w:id="90"/>
      <w:bookmarkEnd w:id="91"/>
      <w:bookmarkEnd w:id="92"/>
    </w:p>
    <w:p>
      <w:pPr>
        <w:pStyle w:val="4"/>
        <w:numPr>
          <w:ilvl w:val="0"/>
          <w:numId w:val="4"/>
        </w:numPr>
        <w:ind w:firstLineChars="0"/>
        <w:rPr>
          <w:rFonts w:hint="eastAsia" w:ascii="仿宋" w:hAnsi="仿宋" w:eastAsia="仿宋" w:cs="仿宋"/>
          <w:b w:val="0"/>
          <w:bCs/>
          <w:szCs w:val="32"/>
          <w:lang w:eastAsia="zh-CN"/>
        </w:rPr>
      </w:pPr>
      <w:bookmarkStart w:id="93" w:name="_Toc30674"/>
      <w:bookmarkStart w:id="94" w:name="_Toc1117534849"/>
      <w:bookmarkStart w:id="95" w:name="_Toc1862527568"/>
      <w:bookmarkStart w:id="96" w:name="_Toc799469184"/>
      <w:bookmarkStart w:id="97" w:name="_Toc130033883"/>
      <w:bookmarkStart w:id="98" w:name="_Toc1506002849_WPSOffice_Level3"/>
      <w:bookmarkStart w:id="99" w:name="_Toc2032239936"/>
      <w:bookmarkStart w:id="100" w:name="_Toc18431"/>
      <w:bookmarkStart w:id="101" w:name="_Toc1093480860_WPSOffice_Level1"/>
      <w:bookmarkStart w:id="102" w:name="_Toc451760287"/>
      <w:bookmarkStart w:id="103" w:name="_Toc338550202"/>
      <w:bookmarkStart w:id="104" w:name="_Toc132480961"/>
      <w:bookmarkStart w:id="105" w:name="_Toc326378840"/>
      <w:bookmarkStart w:id="106" w:name="_Toc9538"/>
      <w:bookmarkStart w:id="107" w:name="_Toc1396703300"/>
      <w:r>
        <w:rPr>
          <w:rFonts w:hint="eastAsia" w:ascii="仿宋" w:hAnsi="仿宋" w:eastAsia="仿宋" w:cs="仿宋"/>
          <w:b w:val="0"/>
          <w:bCs/>
          <w:szCs w:val="32"/>
          <w:lang w:eastAsia="zh-CN"/>
        </w:rPr>
        <w:t>总体目标</w:t>
      </w:r>
      <w:bookmarkEnd w:id="93"/>
      <w:bookmarkEnd w:id="94"/>
      <w:bookmarkEnd w:id="95"/>
      <w:bookmarkEnd w:id="96"/>
      <w:bookmarkEnd w:id="97"/>
      <w:bookmarkEnd w:id="98"/>
      <w:bookmarkEnd w:id="99"/>
      <w:bookmarkEnd w:id="100"/>
    </w:p>
    <w:p>
      <w:pPr>
        <w:ind w:firstLine="640"/>
        <w:rPr>
          <w:rFonts w:hint="eastAsia" w:ascii="仿宋" w:hAnsi="仿宋" w:eastAsia="仿宋" w:cs="仿宋"/>
          <w:bCs/>
          <w:color w:val="auto"/>
          <w:szCs w:val="32"/>
          <w:lang w:eastAsia="zh-CN"/>
        </w:rPr>
      </w:pPr>
      <w:r>
        <w:rPr>
          <w:rFonts w:hint="eastAsia" w:ascii="仿宋" w:hAnsi="仿宋" w:eastAsia="仿宋" w:cs="仿宋"/>
          <w:bCs/>
          <w:color w:val="auto"/>
          <w:szCs w:val="32"/>
          <w:lang w:eastAsia="zh-CN"/>
        </w:rPr>
        <w:t>为学生提供更好的住宿条件，满足学生的住宿需求，符合《中小学学生宿舍(公寓)管理服务规定》相关规定，购置</w:t>
      </w:r>
      <w:bookmarkStart w:id="108" w:name="OLE_LINK4"/>
      <w:r>
        <w:rPr>
          <w:rFonts w:hint="eastAsia" w:ascii="仿宋" w:hAnsi="仿宋" w:eastAsia="仿宋" w:cs="仿宋"/>
          <w:bCs/>
          <w:color w:val="auto"/>
          <w:szCs w:val="32"/>
          <w:lang w:eastAsia="zh-CN"/>
        </w:rPr>
        <w:t>300个床位的公寓床及</w:t>
      </w:r>
      <w:bookmarkEnd w:id="108"/>
      <w:r>
        <w:rPr>
          <w:rFonts w:hint="eastAsia" w:ascii="仿宋" w:hAnsi="仿宋" w:eastAsia="仿宋" w:cs="仿宋"/>
          <w:bCs/>
          <w:color w:val="auto"/>
          <w:szCs w:val="32"/>
          <w:lang w:eastAsia="zh-CN"/>
        </w:rPr>
        <w:t>100个3门储物柜，以完善延风中学男生宿舍设施。</w:t>
      </w:r>
    </w:p>
    <w:p>
      <w:pPr>
        <w:pStyle w:val="4"/>
        <w:numPr>
          <w:ilvl w:val="0"/>
          <w:numId w:val="4"/>
        </w:numPr>
        <w:ind w:firstLineChars="0"/>
        <w:rPr>
          <w:rFonts w:hint="eastAsia" w:ascii="仿宋" w:hAnsi="仿宋" w:eastAsia="仿宋" w:cs="仿宋"/>
          <w:b w:val="0"/>
          <w:bCs/>
          <w:szCs w:val="32"/>
        </w:rPr>
      </w:pPr>
      <w:bookmarkStart w:id="109" w:name="_Toc1147619601_WPSOffice_Level3"/>
      <w:bookmarkStart w:id="110" w:name="_Toc5641"/>
      <w:bookmarkStart w:id="111" w:name="_Toc2020879856"/>
      <w:bookmarkStart w:id="112" w:name="_Toc130033884"/>
      <w:bookmarkStart w:id="113" w:name="_Toc129198817"/>
      <w:bookmarkStart w:id="114" w:name="_Toc2665"/>
      <w:bookmarkStart w:id="115" w:name="_Toc516230481"/>
      <w:bookmarkStart w:id="116" w:name="_Toc1779196704"/>
      <w:r>
        <w:rPr>
          <w:rFonts w:hint="eastAsia" w:ascii="仿宋" w:hAnsi="仿宋" w:eastAsia="仿宋" w:cs="仿宋"/>
          <w:b w:val="0"/>
          <w:bCs/>
          <w:szCs w:val="32"/>
        </w:rPr>
        <w:t>项目绩效目标</w:t>
      </w:r>
      <w:bookmarkEnd w:id="109"/>
      <w:bookmarkEnd w:id="110"/>
      <w:bookmarkEnd w:id="111"/>
      <w:bookmarkEnd w:id="112"/>
      <w:bookmarkEnd w:id="113"/>
      <w:bookmarkEnd w:id="114"/>
      <w:bookmarkEnd w:id="115"/>
      <w:bookmarkEnd w:id="116"/>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项目决策：立项规范、依据充分、项目绩效目标设定合理、绩效指标清晰可衡量。</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项目管理：预算准确、执行及时、项目内部管理制度健全，考核达标，财务管理制度健全、项目档案管理良好。</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项目产出：</w:t>
      </w:r>
      <w:r>
        <w:rPr>
          <w:rFonts w:hint="eastAsia" w:ascii="仿宋" w:hAnsi="仿宋" w:eastAsia="仿宋" w:cs="仿宋"/>
          <w:bCs/>
          <w:color w:val="auto"/>
          <w:szCs w:val="32"/>
          <w:lang w:eastAsia="zh-CN"/>
        </w:rPr>
        <w:t>300个床位及100个3门储物柜</w:t>
      </w:r>
      <w:r>
        <w:rPr>
          <w:rFonts w:hint="eastAsia" w:ascii="仿宋" w:hAnsi="仿宋" w:eastAsia="仿宋" w:cs="仿宋"/>
          <w:bCs/>
          <w:szCs w:val="32"/>
          <w:lang w:eastAsia="zh-CN"/>
        </w:rPr>
        <w:t>，采购成本≤68.064万元，预算执行率100%。</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项目效益：为了</w:t>
      </w:r>
      <w:r>
        <w:rPr>
          <w:rFonts w:hint="eastAsia" w:ascii="仿宋" w:hAnsi="仿宋" w:eastAsia="仿宋" w:cs="仿宋"/>
          <w:bCs/>
          <w:color w:val="auto"/>
          <w:szCs w:val="32"/>
          <w:lang w:eastAsia="zh-CN"/>
        </w:rPr>
        <w:t>符合《中小学学生宿舍(公寓)管理服务规定》相关规定</w:t>
      </w:r>
      <w:r>
        <w:rPr>
          <w:rFonts w:hint="eastAsia" w:ascii="仿宋" w:hAnsi="仿宋" w:eastAsia="仿宋" w:cs="仿宋"/>
          <w:bCs/>
          <w:szCs w:val="32"/>
          <w:lang w:eastAsia="zh-CN"/>
        </w:rPr>
        <w:t>和学生的住宿体验，学校希望通过采购新的学生用床和柜子，改善宿舍的居住条件，打造更加舒适、温馨的宿舍环境，让学生在学校能有更好的生活状态，从而更好地投入到学习中。</w:t>
      </w:r>
    </w:p>
    <w:p>
      <w:pPr>
        <w:pStyle w:val="2"/>
        <w:numPr>
          <w:numId w:val="0"/>
        </w:numPr>
        <w:spacing w:before="0" w:beforeLines="0" w:after="0" w:afterLines="0"/>
        <w:ind w:leftChars="0" w:firstLine="640" w:firstLineChars="200"/>
        <w:rPr>
          <w:rFonts w:hint="eastAsia" w:ascii="黑体" w:hAnsi="黑体" w:eastAsia="黑体" w:cs="黑体"/>
          <w:b w:val="0"/>
          <w:bCs/>
          <w:szCs w:val="32"/>
          <w:lang w:eastAsia="zh-CN"/>
        </w:rPr>
      </w:pPr>
      <w:bookmarkStart w:id="117" w:name="_Toc27417"/>
      <w:bookmarkStart w:id="118" w:name="_Toc179658318"/>
      <w:r>
        <w:rPr>
          <w:rFonts w:hint="eastAsia" w:ascii="黑体" w:hAnsi="黑体" w:eastAsia="黑体" w:cs="黑体"/>
          <w:b w:val="0"/>
          <w:bCs/>
          <w:szCs w:val="32"/>
          <w:lang w:eastAsia="zh-CN"/>
        </w:rPr>
        <w:t>二、绩效评价工作开展情况</w:t>
      </w:r>
      <w:bookmarkEnd w:id="101"/>
      <w:bookmarkEnd w:id="102"/>
      <w:bookmarkEnd w:id="103"/>
      <w:bookmarkEnd w:id="104"/>
      <w:bookmarkEnd w:id="105"/>
      <w:bookmarkEnd w:id="106"/>
      <w:bookmarkEnd w:id="107"/>
      <w:bookmarkEnd w:id="117"/>
      <w:bookmarkEnd w:id="118"/>
    </w:p>
    <w:p>
      <w:pPr>
        <w:pStyle w:val="3"/>
        <w:numPr>
          <w:ilvl w:val="0"/>
          <w:numId w:val="5"/>
        </w:numPr>
        <w:spacing w:before="0" w:beforeLines="0" w:after="0" w:afterLines="0"/>
        <w:ind w:firstLineChars="0"/>
        <w:rPr>
          <w:rFonts w:hint="eastAsia" w:ascii="楷体" w:hAnsi="楷体" w:eastAsia="楷体" w:cs="楷体"/>
          <w:b w:val="0"/>
          <w:bCs/>
          <w:szCs w:val="32"/>
          <w:lang w:eastAsia="zh-CN"/>
        </w:rPr>
      </w:pPr>
      <w:bookmarkStart w:id="119" w:name="_Toc248617743"/>
      <w:bookmarkStart w:id="120" w:name="_Toc775929442"/>
      <w:bookmarkStart w:id="121" w:name="_Toc132480962"/>
      <w:bookmarkStart w:id="122" w:name="_Toc179658319"/>
      <w:bookmarkStart w:id="123" w:name="_Toc1380451464"/>
      <w:bookmarkStart w:id="124" w:name="_Toc13225"/>
      <w:bookmarkStart w:id="125" w:name="_Toc24814"/>
      <w:bookmarkStart w:id="126" w:name="_Toc1329064111"/>
      <w:r>
        <w:rPr>
          <w:rFonts w:hint="eastAsia" w:ascii="楷体" w:hAnsi="楷体" w:eastAsia="楷体" w:cs="楷体"/>
          <w:b w:val="0"/>
          <w:bCs/>
          <w:szCs w:val="32"/>
          <w:lang w:eastAsia="zh-CN"/>
        </w:rPr>
        <w:t>绩效评价目的、对象和范围</w:t>
      </w:r>
      <w:bookmarkEnd w:id="119"/>
      <w:bookmarkEnd w:id="120"/>
      <w:bookmarkEnd w:id="121"/>
      <w:bookmarkEnd w:id="122"/>
      <w:bookmarkEnd w:id="123"/>
      <w:bookmarkEnd w:id="124"/>
      <w:bookmarkEnd w:id="125"/>
      <w:bookmarkEnd w:id="126"/>
    </w:p>
    <w:p>
      <w:pPr>
        <w:pStyle w:val="4"/>
        <w:numPr>
          <w:ilvl w:val="2"/>
          <w:numId w:val="6"/>
        </w:numPr>
        <w:tabs>
          <w:tab w:val="left" w:pos="1134"/>
        </w:tabs>
        <w:ind w:left="0" w:firstLine="709" w:firstLineChars="0"/>
        <w:rPr>
          <w:rFonts w:hint="eastAsia" w:ascii="仿宋" w:hAnsi="仿宋" w:eastAsia="仿宋" w:cs="仿宋"/>
          <w:b w:val="0"/>
          <w:bCs/>
          <w:szCs w:val="32"/>
          <w:lang w:eastAsia="zh-CN"/>
        </w:rPr>
      </w:pPr>
      <w:bookmarkStart w:id="127" w:name="_Toc31144"/>
      <w:bookmarkStart w:id="128" w:name="_Toc130033887"/>
      <w:bookmarkStart w:id="129" w:name="_Toc1981916907"/>
      <w:bookmarkStart w:id="130" w:name="_Toc1093480860_WPSOffice_Level2"/>
      <w:bookmarkStart w:id="131" w:name="_Toc15630"/>
      <w:bookmarkStart w:id="132" w:name="_Toc1603101130"/>
      <w:bookmarkStart w:id="133" w:name="_Toc1525427110"/>
      <w:bookmarkStart w:id="134" w:name="_Toc1662713186"/>
      <w:r>
        <w:rPr>
          <w:rFonts w:hint="eastAsia" w:ascii="仿宋" w:hAnsi="仿宋" w:eastAsia="仿宋" w:cs="仿宋"/>
          <w:b w:val="0"/>
          <w:bCs/>
          <w:szCs w:val="32"/>
          <w:lang w:eastAsia="zh-CN"/>
        </w:rPr>
        <w:t>绩效评价的目的</w:t>
      </w:r>
      <w:bookmarkEnd w:id="127"/>
      <w:bookmarkEnd w:id="128"/>
      <w:bookmarkEnd w:id="129"/>
      <w:bookmarkEnd w:id="130"/>
      <w:bookmarkEnd w:id="131"/>
      <w:bookmarkEnd w:id="132"/>
      <w:bookmarkEnd w:id="133"/>
      <w:bookmarkEnd w:id="134"/>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绩效评价是全过程预算绩效管理的重要环节，预算绩效管理主体根据设定的绩效目标，运用科学、合理的绩效评价指标、评价标准和评价方法，依据设定的绩效目标，对项目支出的经济性、效率性、效益性和公平性进行客观、公正的测量、分析和评判，从而提高财政资源配置效率和使用效益。本次通过对延风中学男生宿舍学生用床、柜子采购项目的绩效评价，达到以下评价目的：</w:t>
      </w:r>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（1）考察延风中学男生宿舍学生用床、柜子采购项目实际完成情况，评估是否达到预期目标，如未达到预期目标，则对未完成原因进行分析，并提出针对性建议；</w:t>
      </w:r>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（2）考察项目的实施过程是否合法、合规，财务管理和业务流程是否规范，执行是否有效，档案是否齐全；</w:t>
      </w:r>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（3）考察项目的效益和效率，项目是否达到了预期目标，项目预算单位、</w:t>
      </w:r>
      <w:r>
        <w:rPr>
          <w:rFonts w:hint="eastAsia" w:ascii="仿宋" w:hAnsi="仿宋" w:eastAsia="仿宋" w:cs="仿宋"/>
          <w:bCs/>
          <w:color w:val="auto"/>
          <w:spacing w:val="-8"/>
          <w:szCs w:val="32"/>
          <w:lang w:val="en-US" w:eastAsia="zh-CN"/>
        </w:rPr>
        <w:t>学生</w:t>
      </w:r>
      <w:r>
        <w:rPr>
          <w:rFonts w:hint="eastAsia" w:ascii="仿宋" w:hAnsi="仿宋" w:eastAsia="仿宋" w:cs="仿宋"/>
          <w:bCs/>
          <w:color w:val="auto"/>
          <w:spacing w:val="-8"/>
          <w:szCs w:val="32"/>
          <w:lang w:eastAsia="zh-CN"/>
        </w:rPr>
        <w:t>是否满意，提高财政预算管理和提升财政资金绩效作用是否显著。</w:t>
      </w:r>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财政支出绩效评价是建设效能、责任和廉洁政府的重要手段。为客观评价延风中学男生宿舍学生用床、柜子采购项目的绩效，结合项目特点，我中心运用科学、规范的评价方法，制定了延风中学男生宿舍学生用床、柜子采购项目绩效评价指标体系，客观地对项目进行综合性评价，剖析延风中学男生宿舍学生用床、柜子采购项目在预算、管理及项目实施过程中存在的问题，探究其可能的原因，最后提出相应的解决对策。通过绩效评价，在项目资金管理中引入绩效管理理念，规范管理方式，总结项目管理经验，同时加强项目资金管理，优化财政支出结构，进一步提升财政资金使用效益和政府公共服务水平，为科学决策提供确实有力的依据。</w:t>
      </w:r>
    </w:p>
    <w:p>
      <w:pPr>
        <w:pStyle w:val="4"/>
        <w:numPr>
          <w:ilvl w:val="0"/>
          <w:numId w:val="6"/>
        </w:numPr>
        <w:ind w:firstLineChars="0"/>
        <w:rPr>
          <w:rFonts w:hint="eastAsia" w:ascii="仿宋" w:hAnsi="仿宋" w:eastAsia="仿宋" w:cs="仿宋"/>
          <w:b w:val="0"/>
          <w:bCs/>
          <w:szCs w:val="32"/>
        </w:rPr>
      </w:pPr>
      <w:bookmarkStart w:id="135" w:name="_Toc130033888"/>
      <w:bookmarkStart w:id="136" w:name="_Toc15818691"/>
      <w:bookmarkStart w:id="137" w:name="_Toc2115246641_WPSOffice_Level2"/>
      <w:bookmarkStart w:id="138" w:name="_Toc458607332"/>
      <w:bookmarkStart w:id="139" w:name="_Toc1193659884"/>
      <w:bookmarkStart w:id="140" w:name="_Toc22961"/>
      <w:bookmarkStart w:id="141" w:name="_Toc28636"/>
      <w:bookmarkStart w:id="142" w:name="_Toc990856648"/>
      <w:r>
        <w:rPr>
          <w:rFonts w:hint="eastAsia" w:ascii="仿宋" w:hAnsi="仿宋" w:eastAsia="仿宋" w:cs="仿宋"/>
          <w:b w:val="0"/>
          <w:bCs/>
          <w:szCs w:val="32"/>
        </w:rPr>
        <w:t>绩效评价的对象</w:t>
      </w:r>
      <w:bookmarkEnd w:id="135"/>
      <w:bookmarkEnd w:id="136"/>
      <w:bookmarkEnd w:id="137"/>
      <w:bookmarkEnd w:id="138"/>
      <w:bookmarkEnd w:id="139"/>
      <w:bookmarkEnd w:id="140"/>
      <w:bookmarkEnd w:id="141"/>
      <w:bookmarkEnd w:id="142"/>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本次绩效评价的对象为乐山市金口河区延风中学男生宿舍学生用床、柜子采购项目。</w:t>
      </w:r>
    </w:p>
    <w:p>
      <w:pPr>
        <w:pStyle w:val="4"/>
        <w:numPr>
          <w:ilvl w:val="0"/>
          <w:numId w:val="6"/>
        </w:numPr>
        <w:ind w:firstLineChars="0"/>
        <w:rPr>
          <w:rFonts w:hint="eastAsia" w:ascii="仿宋" w:hAnsi="仿宋" w:eastAsia="仿宋" w:cs="仿宋"/>
          <w:b w:val="0"/>
          <w:bCs/>
          <w:szCs w:val="32"/>
          <w:lang w:eastAsia="zh-CN"/>
        </w:rPr>
      </w:pPr>
      <w:bookmarkStart w:id="143" w:name="_Toc1724251056"/>
      <w:bookmarkStart w:id="144" w:name="_Toc4899"/>
      <w:bookmarkStart w:id="145" w:name="_Toc5493"/>
      <w:bookmarkStart w:id="146" w:name="_Toc494619841"/>
      <w:bookmarkStart w:id="147" w:name="_Toc49440114"/>
      <w:bookmarkStart w:id="148" w:name="_Toc1506002849_WPSOffice_Level2"/>
      <w:bookmarkStart w:id="149" w:name="_Toc1739484098"/>
      <w:bookmarkStart w:id="150" w:name="_Toc130033889"/>
      <w:r>
        <w:rPr>
          <w:rFonts w:hint="eastAsia" w:ascii="仿宋" w:hAnsi="仿宋" w:eastAsia="仿宋" w:cs="仿宋"/>
          <w:b w:val="0"/>
          <w:bCs/>
          <w:szCs w:val="32"/>
          <w:lang w:eastAsia="zh-CN"/>
        </w:rPr>
        <w:t>绩效评价的范围</w:t>
      </w:r>
      <w:bookmarkEnd w:id="143"/>
      <w:bookmarkEnd w:id="144"/>
      <w:bookmarkEnd w:id="145"/>
      <w:bookmarkEnd w:id="146"/>
      <w:bookmarkEnd w:id="147"/>
      <w:bookmarkEnd w:id="148"/>
      <w:bookmarkEnd w:id="149"/>
      <w:bookmarkEnd w:id="150"/>
    </w:p>
    <w:p>
      <w:pPr>
        <w:ind w:firstLine="608"/>
        <w:rPr>
          <w:rFonts w:hint="eastAsia" w:ascii="仿宋" w:hAnsi="仿宋" w:eastAsia="仿宋" w:cs="仿宋"/>
          <w:bCs/>
          <w:color w:val="auto"/>
          <w:spacing w:val="-8"/>
          <w:szCs w:val="32"/>
          <w:highlight w:val="none"/>
          <w:lang w:eastAsia="zh-CN"/>
        </w:rPr>
      </w:pPr>
      <w:r>
        <w:rPr>
          <w:rFonts w:hint="eastAsia" w:ascii="仿宋" w:hAnsi="仿宋" w:eastAsia="仿宋" w:cs="仿宋"/>
          <w:bCs/>
          <w:color w:val="auto"/>
          <w:spacing w:val="-8"/>
          <w:szCs w:val="32"/>
          <w:lang w:eastAsia="zh-CN"/>
        </w:rPr>
        <w:t>本次绩效评价的范围为延风中学男生宿舍学生用床、柜子采购项目总体绩效目标、各项绩效指标完成情况以及预算执行情况。主要包</w:t>
      </w:r>
      <w:r>
        <w:rPr>
          <w:rFonts w:hint="eastAsia" w:ascii="仿宋" w:hAnsi="仿宋" w:eastAsia="仿宋" w:cs="仿宋"/>
          <w:bCs/>
          <w:color w:val="auto"/>
          <w:spacing w:val="-8"/>
          <w:szCs w:val="32"/>
          <w:highlight w:val="none"/>
          <w:lang w:eastAsia="zh-CN"/>
        </w:rPr>
        <w:t>括：决策情况；资金管理和使用情况；</w:t>
      </w:r>
      <w:r>
        <w:rPr>
          <w:rFonts w:hint="eastAsia" w:ascii="仿宋" w:hAnsi="仿宋" w:eastAsia="仿宋" w:cs="仿宋"/>
          <w:bCs/>
          <w:color w:val="auto"/>
          <w:spacing w:val="-8"/>
          <w:szCs w:val="32"/>
          <w:highlight w:val="none"/>
          <w:lang w:val="en-US" w:eastAsia="zh-CN"/>
        </w:rPr>
        <w:t>预算编制科学性及资金分配合理性</w:t>
      </w:r>
      <w:r>
        <w:rPr>
          <w:rFonts w:hint="eastAsia" w:ascii="仿宋" w:hAnsi="仿宋" w:eastAsia="仿宋" w:cs="仿宋"/>
          <w:bCs/>
          <w:color w:val="auto"/>
          <w:spacing w:val="-8"/>
          <w:szCs w:val="32"/>
          <w:highlight w:val="none"/>
          <w:lang w:eastAsia="zh-CN"/>
        </w:rPr>
        <w:t>；实现的产出情况；取得的效益情况以及其他相关内容。</w:t>
      </w:r>
    </w:p>
    <w:p>
      <w:pPr>
        <w:pStyle w:val="3"/>
        <w:numPr>
          <w:ilvl w:val="0"/>
          <w:numId w:val="5"/>
        </w:numPr>
        <w:spacing w:before="0" w:beforeLines="0" w:after="0" w:afterLines="0"/>
        <w:ind w:left="0" w:firstLine="640" w:firstLineChars="0"/>
        <w:rPr>
          <w:rFonts w:hint="eastAsia" w:ascii="楷体" w:hAnsi="楷体" w:eastAsia="楷体" w:cs="楷体"/>
          <w:b w:val="0"/>
          <w:bCs/>
          <w:szCs w:val="32"/>
          <w:lang w:eastAsia="zh-CN"/>
        </w:rPr>
      </w:pPr>
      <w:bookmarkStart w:id="151" w:name="_Toc1814348475"/>
      <w:bookmarkStart w:id="152" w:name="_Toc132480963"/>
      <w:bookmarkStart w:id="153" w:name="_Toc2011308256"/>
      <w:bookmarkStart w:id="154" w:name="_Toc179658320"/>
      <w:bookmarkStart w:id="155" w:name="_Toc166470150"/>
      <w:bookmarkStart w:id="156" w:name="_Toc32534"/>
      <w:bookmarkStart w:id="157" w:name="_Toc19886"/>
      <w:bookmarkStart w:id="158" w:name="_Toc1343165574"/>
      <w:r>
        <w:rPr>
          <w:rFonts w:hint="eastAsia" w:ascii="楷体" w:hAnsi="楷体" w:eastAsia="楷体" w:cs="楷体"/>
          <w:b w:val="0"/>
          <w:bCs/>
          <w:szCs w:val="32"/>
          <w:lang w:eastAsia="zh-CN"/>
        </w:rPr>
        <w:t>绩效评价原则、评价指标体系、评价方法、评价标准</w:t>
      </w:r>
      <w:bookmarkEnd w:id="151"/>
      <w:bookmarkEnd w:id="152"/>
      <w:bookmarkEnd w:id="153"/>
      <w:bookmarkEnd w:id="154"/>
      <w:bookmarkEnd w:id="155"/>
      <w:bookmarkEnd w:id="156"/>
      <w:bookmarkEnd w:id="157"/>
      <w:bookmarkEnd w:id="158"/>
    </w:p>
    <w:p>
      <w:pPr>
        <w:pStyle w:val="4"/>
        <w:numPr>
          <w:ilvl w:val="0"/>
          <w:numId w:val="7"/>
        </w:numPr>
        <w:ind w:firstLineChars="0"/>
        <w:rPr>
          <w:rFonts w:hint="eastAsia" w:ascii="仿宋" w:hAnsi="仿宋" w:eastAsia="仿宋" w:cs="仿宋"/>
          <w:b w:val="0"/>
          <w:bCs/>
          <w:szCs w:val="32"/>
        </w:rPr>
      </w:pPr>
      <w:bookmarkStart w:id="159" w:name="_Toc235704954"/>
      <w:bookmarkStart w:id="160" w:name="_Toc13724"/>
      <w:bookmarkStart w:id="161" w:name="_Toc1492000300_WPSOffice_Level3"/>
      <w:bookmarkStart w:id="162" w:name="_Toc1840102656"/>
      <w:bookmarkStart w:id="163" w:name="_Toc130033891"/>
      <w:bookmarkStart w:id="164" w:name="_Toc517771165"/>
      <w:bookmarkStart w:id="165" w:name="_Toc29575"/>
      <w:bookmarkStart w:id="166" w:name="_Toc1634515572"/>
      <w:r>
        <w:rPr>
          <w:rFonts w:hint="eastAsia" w:ascii="仿宋" w:hAnsi="仿宋" w:eastAsia="仿宋" w:cs="仿宋"/>
          <w:b w:val="0"/>
          <w:bCs/>
          <w:szCs w:val="32"/>
        </w:rPr>
        <w:t>绩效评价的原则</w:t>
      </w:r>
      <w:bookmarkEnd w:id="159"/>
      <w:bookmarkEnd w:id="160"/>
      <w:bookmarkEnd w:id="161"/>
      <w:bookmarkEnd w:id="162"/>
      <w:bookmarkEnd w:id="163"/>
      <w:bookmarkEnd w:id="164"/>
      <w:bookmarkEnd w:id="165"/>
      <w:bookmarkEnd w:id="166"/>
    </w:p>
    <w:p>
      <w:pPr>
        <w:pStyle w:val="55"/>
        <w:numPr>
          <w:ilvl w:val="0"/>
          <w:numId w:val="8"/>
        </w:numPr>
        <w:tabs>
          <w:tab w:val="left" w:pos="0"/>
          <w:tab w:val="left" w:pos="1418"/>
        </w:tabs>
        <w:ind w:left="0" w:firstLine="566" w:firstLineChars="177"/>
        <w:rPr>
          <w:rFonts w:hint="eastAsia" w:ascii="仿宋" w:hAnsi="仿宋" w:eastAsia="仿宋" w:cs="仿宋"/>
          <w:bCs/>
          <w:szCs w:val="32"/>
          <w:lang w:eastAsia="zh-CN"/>
        </w:rPr>
      </w:pPr>
      <w:r>
        <w:rPr>
          <w:rFonts w:hint="eastAsia" w:ascii="仿宋" w:hAnsi="仿宋" w:eastAsia="仿宋" w:cs="仿宋"/>
          <w:bCs/>
          <w:szCs w:val="32"/>
          <w:lang w:eastAsia="zh-CN"/>
        </w:rPr>
        <w:t>科学规范原则。绩效评价应当严格执行规定的程序，</w:t>
      </w:r>
      <w:bookmarkStart w:id="167" w:name="_bookmark12"/>
      <w:bookmarkEnd w:id="167"/>
      <w:bookmarkStart w:id="168" w:name="_bookmark11"/>
      <w:bookmarkEnd w:id="168"/>
      <w:r>
        <w:rPr>
          <w:rFonts w:hint="eastAsia" w:ascii="仿宋" w:hAnsi="仿宋" w:eastAsia="仿宋" w:cs="仿宋"/>
          <w:bCs/>
          <w:spacing w:val="1"/>
          <w:szCs w:val="32"/>
          <w:lang w:eastAsia="zh-CN"/>
        </w:rPr>
        <w:t>按科学可行的要求，采用定量</w:t>
      </w:r>
      <w:r>
        <w:rPr>
          <w:rFonts w:hint="eastAsia" w:ascii="仿宋" w:hAnsi="仿宋" w:eastAsia="仿宋" w:cs="仿宋"/>
          <w:bCs/>
          <w:szCs w:val="32"/>
          <w:lang w:eastAsia="zh-CN"/>
        </w:rPr>
        <w:t>与定性分析相结合的方法。</w:t>
      </w:r>
    </w:p>
    <w:p>
      <w:pPr>
        <w:pStyle w:val="55"/>
        <w:numPr>
          <w:ilvl w:val="0"/>
          <w:numId w:val="8"/>
        </w:numPr>
        <w:tabs>
          <w:tab w:val="left" w:pos="0"/>
          <w:tab w:val="left" w:pos="1418"/>
        </w:tabs>
        <w:ind w:left="0" w:firstLine="566" w:firstLineChars="177"/>
        <w:rPr>
          <w:rFonts w:hint="eastAsia" w:ascii="仿宋" w:hAnsi="仿宋" w:eastAsia="仿宋" w:cs="仿宋"/>
          <w:bCs/>
          <w:szCs w:val="32"/>
          <w:lang w:eastAsia="zh-CN"/>
        </w:rPr>
      </w:pPr>
      <w:r>
        <w:rPr>
          <w:rFonts w:hint="eastAsia" w:ascii="仿宋" w:hAnsi="仿宋" w:eastAsia="仿宋" w:cs="仿宋"/>
          <w:bCs/>
          <w:szCs w:val="32"/>
          <w:lang w:eastAsia="zh-CN"/>
        </w:rPr>
        <w:t>公正公开原则。绩效评价应当符合真实、客观、公正</w:t>
      </w:r>
      <w:r>
        <w:rPr>
          <w:rFonts w:hint="eastAsia" w:ascii="仿宋" w:hAnsi="仿宋" w:eastAsia="仿宋" w:cs="仿宋"/>
          <w:bCs/>
          <w:spacing w:val="-2"/>
          <w:szCs w:val="32"/>
          <w:lang w:eastAsia="zh-CN"/>
        </w:rPr>
        <w:t>的要求，依法公开并接</w:t>
      </w:r>
      <w:r>
        <w:rPr>
          <w:rFonts w:hint="eastAsia" w:ascii="仿宋" w:hAnsi="仿宋" w:eastAsia="仿宋" w:cs="仿宋"/>
          <w:bCs/>
          <w:spacing w:val="-1"/>
          <w:szCs w:val="32"/>
          <w:lang w:eastAsia="zh-CN"/>
        </w:rPr>
        <w:t>受监督。</w:t>
      </w:r>
    </w:p>
    <w:p>
      <w:pPr>
        <w:pStyle w:val="55"/>
        <w:numPr>
          <w:ilvl w:val="0"/>
          <w:numId w:val="8"/>
        </w:numPr>
        <w:tabs>
          <w:tab w:val="left" w:pos="0"/>
          <w:tab w:val="left" w:pos="1418"/>
        </w:tabs>
        <w:ind w:left="0" w:firstLine="566" w:firstLineChars="177"/>
        <w:rPr>
          <w:rFonts w:hint="eastAsia" w:ascii="仿宋" w:hAnsi="仿宋" w:eastAsia="仿宋" w:cs="仿宋"/>
          <w:bCs/>
          <w:szCs w:val="32"/>
          <w:lang w:eastAsia="zh-CN"/>
        </w:rPr>
      </w:pPr>
      <w:r>
        <w:rPr>
          <w:rFonts w:hint="eastAsia" w:ascii="仿宋" w:hAnsi="仿宋" w:eastAsia="仿宋" w:cs="仿宋"/>
          <w:bCs/>
          <w:szCs w:val="32"/>
          <w:lang w:eastAsia="zh-CN"/>
        </w:rPr>
        <w:t>分级分类原则。绩效评价</w:t>
      </w:r>
      <w:r>
        <w:rPr>
          <w:rFonts w:hint="eastAsia" w:ascii="仿宋" w:hAnsi="仿宋" w:eastAsia="仿宋" w:cs="仿宋"/>
          <w:bCs/>
          <w:spacing w:val="8"/>
          <w:szCs w:val="32"/>
          <w:lang w:eastAsia="zh-CN"/>
        </w:rPr>
        <w:t>根据评价对象的特点分类组织实</w:t>
      </w:r>
      <w:r>
        <w:rPr>
          <w:rFonts w:hint="eastAsia" w:ascii="仿宋" w:hAnsi="仿宋" w:eastAsia="仿宋" w:cs="仿宋"/>
          <w:bCs/>
          <w:spacing w:val="5"/>
          <w:szCs w:val="32"/>
          <w:lang w:eastAsia="zh-CN"/>
        </w:rPr>
        <w:t>施。</w:t>
      </w:r>
    </w:p>
    <w:p>
      <w:pPr>
        <w:pStyle w:val="55"/>
        <w:numPr>
          <w:ilvl w:val="0"/>
          <w:numId w:val="8"/>
        </w:numPr>
        <w:tabs>
          <w:tab w:val="left" w:pos="0"/>
          <w:tab w:val="left" w:pos="1418"/>
        </w:tabs>
        <w:ind w:left="0" w:firstLine="566" w:firstLineChars="177"/>
        <w:rPr>
          <w:rFonts w:hint="eastAsia" w:ascii="仿宋" w:hAnsi="仿宋" w:eastAsia="仿宋" w:cs="仿宋"/>
          <w:bCs/>
          <w:szCs w:val="32"/>
          <w:lang w:eastAsia="zh-CN"/>
        </w:rPr>
      </w:pPr>
      <w:r>
        <w:rPr>
          <w:rFonts w:hint="eastAsia" w:ascii="仿宋" w:hAnsi="仿宋" w:eastAsia="仿宋" w:cs="仿宋"/>
          <w:bCs/>
          <w:szCs w:val="32"/>
          <w:lang w:eastAsia="zh-CN"/>
        </w:rPr>
        <w:t>绩效相关原则。绩效评价应当针对具体支出及其产出</w:t>
      </w:r>
      <w:r>
        <w:rPr>
          <w:rFonts w:hint="eastAsia" w:ascii="仿宋" w:hAnsi="仿宋" w:eastAsia="仿宋" w:cs="仿宋"/>
          <w:bCs/>
          <w:spacing w:val="-6"/>
          <w:szCs w:val="32"/>
          <w:lang w:eastAsia="zh-CN"/>
        </w:rPr>
        <w:t>绩效进行，评</w:t>
      </w:r>
      <w:r>
        <w:rPr>
          <w:rFonts w:hint="eastAsia" w:ascii="仿宋" w:hAnsi="仿宋" w:eastAsia="仿宋" w:cs="仿宋"/>
          <w:bCs/>
          <w:spacing w:val="-5"/>
          <w:szCs w:val="32"/>
          <w:lang w:eastAsia="zh-CN"/>
        </w:rPr>
        <w:t>价</w:t>
      </w:r>
      <w:r>
        <w:rPr>
          <w:rFonts w:hint="eastAsia" w:ascii="仿宋" w:hAnsi="仿宋" w:eastAsia="仿宋" w:cs="仿宋"/>
          <w:bCs/>
          <w:spacing w:val="-3"/>
          <w:szCs w:val="32"/>
          <w:lang w:eastAsia="zh-CN"/>
        </w:rPr>
        <w:t>结果应当清晰反映支出和产出绩效之间的紧密对</w:t>
      </w:r>
      <w:r>
        <w:rPr>
          <w:rFonts w:hint="eastAsia" w:ascii="仿宋" w:hAnsi="仿宋" w:eastAsia="仿宋" w:cs="仿宋"/>
          <w:bCs/>
          <w:spacing w:val="-7"/>
          <w:szCs w:val="32"/>
          <w:lang w:eastAsia="zh-CN"/>
        </w:rPr>
        <w:t>应</w:t>
      </w:r>
      <w:r>
        <w:rPr>
          <w:rFonts w:hint="eastAsia" w:ascii="仿宋" w:hAnsi="仿宋" w:eastAsia="仿宋" w:cs="仿宋"/>
          <w:bCs/>
          <w:spacing w:val="-5"/>
          <w:szCs w:val="32"/>
          <w:lang w:eastAsia="zh-CN"/>
        </w:rPr>
        <w:t>关系。</w:t>
      </w:r>
    </w:p>
    <w:p>
      <w:pPr>
        <w:pStyle w:val="4"/>
        <w:numPr>
          <w:ilvl w:val="0"/>
          <w:numId w:val="7"/>
        </w:numPr>
        <w:ind w:firstLineChars="0"/>
        <w:rPr>
          <w:rFonts w:hint="eastAsia" w:ascii="仿宋" w:hAnsi="仿宋" w:eastAsia="仿宋" w:cs="仿宋"/>
          <w:b w:val="0"/>
          <w:bCs/>
          <w:szCs w:val="32"/>
          <w:lang w:eastAsia="zh-CN"/>
        </w:rPr>
      </w:pPr>
      <w:bookmarkStart w:id="169" w:name="_Toc130033892"/>
      <w:bookmarkStart w:id="170" w:name="_Toc11329"/>
      <w:bookmarkStart w:id="171" w:name="_Toc693338945"/>
      <w:bookmarkStart w:id="172" w:name="_Toc1533316810"/>
      <w:bookmarkStart w:id="173" w:name="_Toc6461"/>
      <w:bookmarkStart w:id="174" w:name="_Toc692406180"/>
      <w:bookmarkStart w:id="175" w:name="_Toc2029979728_WPSOffice_Level3"/>
      <w:bookmarkStart w:id="176" w:name="_Toc576232511"/>
      <w:r>
        <w:rPr>
          <w:rFonts w:hint="eastAsia" w:ascii="仿宋" w:hAnsi="仿宋" w:eastAsia="仿宋" w:cs="仿宋"/>
          <w:b w:val="0"/>
          <w:bCs/>
          <w:szCs w:val="32"/>
          <w:lang w:eastAsia="zh-CN"/>
        </w:rPr>
        <w:t>评价依据</w:t>
      </w:r>
      <w:bookmarkEnd w:id="169"/>
      <w:bookmarkEnd w:id="170"/>
    </w:p>
    <w:p>
      <w:pPr>
        <w:pStyle w:val="55"/>
        <w:numPr>
          <w:ilvl w:val="0"/>
          <w:numId w:val="9"/>
        </w:numPr>
        <w:tabs>
          <w:tab w:val="left" w:pos="0"/>
        </w:tabs>
        <w:ind w:left="0" w:firstLine="566" w:firstLineChars="177"/>
        <w:rPr>
          <w:rFonts w:hint="eastAsia" w:ascii="仿宋" w:hAnsi="仿宋" w:eastAsia="仿宋" w:cs="仿宋"/>
          <w:bCs/>
          <w:spacing w:val="8"/>
          <w:szCs w:val="32"/>
          <w:lang w:eastAsia="zh-CN"/>
        </w:rPr>
      </w:pPr>
      <w:bookmarkStart w:id="177" w:name="_Hlk179743314"/>
      <w:r>
        <w:rPr>
          <w:rFonts w:hint="eastAsia" w:ascii="仿宋" w:hAnsi="仿宋" w:eastAsia="仿宋" w:cs="仿宋"/>
          <w:bCs/>
          <w:szCs w:val="32"/>
          <w:lang w:val="zh-CN" w:eastAsia="zh-CN"/>
        </w:rPr>
        <w:t>《</w:t>
      </w:r>
      <w:r>
        <w:rPr>
          <w:rFonts w:hint="eastAsia" w:ascii="仿宋" w:hAnsi="仿宋" w:eastAsia="仿宋" w:cs="仿宋"/>
          <w:bCs/>
          <w:spacing w:val="8"/>
          <w:szCs w:val="32"/>
          <w:lang w:eastAsia="zh-CN"/>
        </w:rPr>
        <w:t>中共中央国务院关于全面实施预算绩效管理的意见》（中发〔2018〕34号）</w:t>
      </w:r>
    </w:p>
    <w:bookmarkEnd w:id="177"/>
    <w:p>
      <w:pPr>
        <w:pStyle w:val="55"/>
        <w:numPr>
          <w:ilvl w:val="0"/>
          <w:numId w:val="9"/>
        </w:numPr>
        <w:tabs>
          <w:tab w:val="left" w:pos="0"/>
        </w:tabs>
        <w:ind w:left="0" w:firstLine="594" w:firstLineChars="177"/>
        <w:rPr>
          <w:rFonts w:hint="eastAsia" w:ascii="仿宋" w:hAnsi="仿宋" w:eastAsia="仿宋" w:cs="仿宋"/>
          <w:bCs/>
          <w:spacing w:val="8"/>
          <w:szCs w:val="32"/>
          <w:lang w:eastAsia="zh-CN"/>
        </w:rPr>
      </w:pPr>
      <w:r>
        <w:rPr>
          <w:rFonts w:hint="eastAsia" w:ascii="仿宋" w:hAnsi="仿宋" w:eastAsia="仿宋" w:cs="仿宋"/>
          <w:bCs/>
          <w:spacing w:val="8"/>
          <w:szCs w:val="32"/>
          <w:lang w:eastAsia="zh-CN"/>
        </w:rPr>
        <w:t>《财政部关于印发政府采购需求管理办法的通知》（财库〔2021〕22号）</w:t>
      </w:r>
    </w:p>
    <w:p>
      <w:pPr>
        <w:pStyle w:val="55"/>
        <w:numPr>
          <w:ilvl w:val="0"/>
          <w:numId w:val="9"/>
        </w:numPr>
        <w:tabs>
          <w:tab w:val="left" w:pos="0"/>
        </w:tabs>
        <w:ind w:left="0" w:firstLine="594" w:firstLineChars="177"/>
        <w:rPr>
          <w:rFonts w:hint="eastAsia" w:ascii="仿宋" w:hAnsi="仿宋" w:eastAsia="仿宋" w:cs="仿宋"/>
          <w:bCs/>
          <w:spacing w:val="8"/>
          <w:szCs w:val="32"/>
          <w:lang w:eastAsia="zh-CN"/>
        </w:rPr>
      </w:pPr>
      <w:bookmarkStart w:id="178" w:name="_Hlk179743366"/>
      <w:r>
        <w:rPr>
          <w:rFonts w:hint="eastAsia" w:ascii="仿宋" w:hAnsi="仿宋" w:eastAsia="仿宋" w:cs="仿宋"/>
          <w:bCs/>
          <w:spacing w:val="8"/>
          <w:szCs w:val="32"/>
          <w:lang w:eastAsia="zh-CN"/>
        </w:rPr>
        <w:t>《中共四川省委四川省人民政府关于全面实施预算绩效管理的实施意见》（川委发〔2019〕8号）</w:t>
      </w:r>
    </w:p>
    <w:bookmarkEnd w:id="178"/>
    <w:p>
      <w:pPr>
        <w:pStyle w:val="55"/>
        <w:numPr>
          <w:ilvl w:val="0"/>
          <w:numId w:val="9"/>
        </w:numPr>
        <w:tabs>
          <w:tab w:val="left" w:pos="0"/>
        </w:tabs>
        <w:ind w:left="0" w:firstLine="594" w:firstLineChars="177"/>
        <w:rPr>
          <w:rFonts w:hint="eastAsia" w:ascii="仿宋" w:hAnsi="仿宋" w:eastAsia="仿宋" w:cs="仿宋"/>
          <w:bCs/>
          <w:spacing w:val="8"/>
          <w:szCs w:val="32"/>
          <w:lang w:eastAsia="zh-CN"/>
        </w:rPr>
      </w:pPr>
      <w:bookmarkStart w:id="179" w:name="_Hlk179743400"/>
      <w:r>
        <w:rPr>
          <w:rFonts w:hint="eastAsia" w:ascii="仿宋" w:hAnsi="仿宋" w:eastAsia="仿宋" w:cs="仿宋"/>
          <w:bCs/>
          <w:spacing w:val="8"/>
          <w:szCs w:val="32"/>
          <w:lang w:eastAsia="zh-CN"/>
        </w:rPr>
        <w:t>《中共乐山市委办公室乐山市人民政府办公室&lt;关于印发全面实施预算绩效管理实施方案&gt;的通知》（乐委办发〔2020〕12号）</w:t>
      </w:r>
    </w:p>
    <w:bookmarkEnd w:id="179"/>
    <w:p>
      <w:pPr>
        <w:pStyle w:val="55"/>
        <w:numPr>
          <w:ilvl w:val="0"/>
          <w:numId w:val="9"/>
        </w:numPr>
        <w:tabs>
          <w:tab w:val="left" w:pos="0"/>
        </w:tabs>
        <w:ind w:left="0" w:firstLine="594" w:firstLineChars="177"/>
        <w:rPr>
          <w:rFonts w:ascii="仿宋" w:hAnsi="仿宋" w:eastAsia="仿宋" w:cs="仿宋"/>
          <w:bCs/>
          <w:spacing w:val="8"/>
          <w:szCs w:val="32"/>
          <w:lang w:eastAsia="zh-CN"/>
        </w:rPr>
      </w:pPr>
      <w:bookmarkStart w:id="180" w:name="_Toc17206"/>
      <w:r>
        <w:rPr>
          <w:rFonts w:hint="eastAsia" w:ascii="仿宋" w:hAnsi="仿宋" w:eastAsia="仿宋" w:cs="仿宋"/>
          <w:bCs/>
          <w:spacing w:val="8"/>
          <w:szCs w:val="32"/>
          <w:lang w:eastAsia="zh-CN"/>
        </w:rPr>
        <w:t>《乐山市金口河区延风中学关于解决男生宿舍学生公寓床采购经费的请示》（金延中〔2023〕81号）</w:t>
      </w:r>
    </w:p>
    <w:p>
      <w:pPr>
        <w:pStyle w:val="55"/>
        <w:numPr>
          <w:ilvl w:val="0"/>
          <w:numId w:val="9"/>
        </w:numPr>
        <w:tabs>
          <w:tab w:val="left" w:pos="0"/>
        </w:tabs>
        <w:ind w:left="0" w:firstLine="594" w:firstLineChars="177"/>
        <w:rPr>
          <w:rFonts w:hint="eastAsia" w:ascii="仿宋" w:hAnsi="仿宋" w:eastAsia="仿宋" w:cs="仿宋"/>
          <w:bCs/>
          <w:spacing w:val="8"/>
          <w:szCs w:val="32"/>
          <w:lang w:eastAsia="zh-CN"/>
        </w:rPr>
      </w:pPr>
      <w:r>
        <w:rPr>
          <w:rFonts w:hint="eastAsia" w:ascii="仿宋" w:hAnsi="仿宋" w:eastAsia="仿宋" w:cs="仿宋"/>
          <w:bCs/>
          <w:spacing w:val="8"/>
          <w:szCs w:val="32"/>
          <w:lang w:eastAsia="zh-CN"/>
        </w:rPr>
        <w:t>《乐山市金口河区财政局关于对延风中学男生宿舍学生用床、柜子采购项目询价建议的函》（金财询函〔2024〕2号）</w:t>
      </w:r>
    </w:p>
    <w:p>
      <w:pPr>
        <w:pStyle w:val="55"/>
        <w:numPr>
          <w:ilvl w:val="0"/>
          <w:numId w:val="9"/>
        </w:numPr>
        <w:tabs>
          <w:tab w:val="left" w:pos="0"/>
        </w:tabs>
        <w:ind w:left="0" w:firstLine="594" w:firstLineChars="177"/>
        <w:rPr>
          <w:rFonts w:hint="eastAsia" w:ascii="仿宋" w:hAnsi="仿宋" w:eastAsia="仿宋" w:cs="仿宋"/>
          <w:bCs/>
          <w:spacing w:val="8"/>
          <w:szCs w:val="32"/>
          <w:lang w:eastAsia="zh-CN"/>
        </w:rPr>
      </w:pPr>
      <w:r>
        <w:rPr>
          <w:rFonts w:hint="eastAsia" w:ascii="仿宋" w:hAnsi="仿宋" w:eastAsia="仿宋" w:cs="仿宋"/>
          <w:bCs/>
          <w:spacing w:val="8"/>
          <w:szCs w:val="32"/>
          <w:lang w:eastAsia="zh-CN"/>
        </w:rPr>
        <w:t>《金口河区延风中学校长办公会会议纪要》（2024年第1期）</w:t>
      </w:r>
    </w:p>
    <w:p>
      <w:pPr>
        <w:pStyle w:val="55"/>
        <w:numPr>
          <w:ilvl w:val="0"/>
          <w:numId w:val="9"/>
        </w:numPr>
        <w:tabs>
          <w:tab w:val="left" w:pos="0"/>
        </w:tabs>
        <w:ind w:left="0" w:firstLine="594" w:firstLineChars="177"/>
        <w:rPr>
          <w:rFonts w:hint="eastAsia" w:ascii="仿宋" w:hAnsi="仿宋" w:eastAsia="仿宋" w:cs="仿宋"/>
          <w:bCs/>
          <w:spacing w:val="8"/>
          <w:szCs w:val="32"/>
          <w:lang w:eastAsia="zh-CN"/>
        </w:rPr>
      </w:pPr>
      <w:r>
        <w:rPr>
          <w:rFonts w:hint="eastAsia" w:ascii="仿宋" w:hAnsi="仿宋" w:eastAsia="仿宋" w:cs="仿宋"/>
          <w:bCs/>
          <w:spacing w:val="8"/>
          <w:szCs w:val="32"/>
          <w:lang w:eastAsia="zh-CN"/>
        </w:rPr>
        <w:t>其他与本次评价相关的制度、文件等资料。</w:t>
      </w:r>
      <w:bookmarkEnd w:id="180"/>
    </w:p>
    <w:p>
      <w:pPr>
        <w:pStyle w:val="4"/>
        <w:numPr>
          <w:ilvl w:val="0"/>
          <w:numId w:val="7"/>
        </w:numPr>
        <w:ind w:firstLineChars="0"/>
        <w:rPr>
          <w:rFonts w:hint="eastAsia" w:ascii="仿宋" w:hAnsi="仿宋" w:eastAsia="仿宋" w:cs="仿宋"/>
          <w:b w:val="0"/>
          <w:bCs/>
          <w:szCs w:val="32"/>
        </w:rPr>
      </w:pPr>
      <w:bookmarkStart w:id="181" w:name="_Toc130033893"/>
      <w:bookmarkStart w:id="182" w:name="_Toc28512"/>
      <w:r>
        <w:rPr>
          <w:rFonts w:hint="eastAsia" w:ascii="仿宋" w:hAnsi="仿宋" w:eastAsia="仿宋" w:cs="仿宋"/>
          <w:b w:val="0"/>
          <w:bCs/>
          <w:szCs w:val="32"/>
        </w:rPr>
        <w:t>评价指标体系</w:t>
      </w:r>
      <w:bookmarkEnd w:id="171"/>
      <w:bookmarkEnd w:id="172"/>
      <w:bookmarkEnd w:id="173"/>
      <w:bookmarkEnd w:id="174"/>
      <w:bookmarkEnd w:id="175"/>
      <w:bookmarkEnd w:id="176"/>
      <w:bookmarkEnd w:id="181"/>
      <w:bookmarkEnd w:id="182"/>
    </w:p>
    <w:p>
      <w:pPr>
        <w:ind w:firstLine="640"/>
        <w:rPr>
          <w:rFonts w:hint="eastAsia" w:ascii="仿宋" w:hAnsi="仿宋" w:eastAsia="仿宋" w:cs="仿宋"/>
          <w:bCs/>
          <w:szCs w:val="32"/>
          <w:lang w:eastAsia="zh-CN"/>
        </w:rPr>
      </w:pPr>
      <w:bookmarkStart w:id="183" w:name="_Toc796588607_WPSOffice_Level3"/>
      <w:bookmarkStart w:id="184" w:name="_Toc130033894"/>
      <w:bookmarkStart w:id="185" w:name="_Toc56784167"/>
      <w:bookmarkStart w:id="186" w:name="_Toc29808"/>
      <w:bookmarkStart w:id="187" w:name="_Toc1736048054"/>
      <w:bookmarkStart w:id="188" w:name="_Toc701379993"/>
      <w:bookmarkStart w:id="189" w:name="_Toc14967"/>
      <w:bookmarkStart w:id="190" w:name="_Toc651861670"/>
      <w:r>
        <w:rPr>
          <w:rFonts w:hint="eastAsia" w:ascii="仿宋" w:hAnsi="仿宋" w:eastAsia="仿宋" w:cs="仿宋"/>
          <w:bCs/>
          <w:szCs w:val="32"/>
          <w:lang w:eastAsia="zh-CN"/>
        </w:rPr>
        <w:t>指标评价指</w:t>
      </w:r>
      <w:r>
        <w:rPr>
          <w:rFonts w:hint="eastAsia" w:ascii="仿宋" w:hAnsi="仿宋" w:eastAsia="仿宋" w:cs="仿宋"/>
          <w:bCs/>
          <w:szCs w:val="32"/>
          <w:highlight w:val="none"/>
          <w:lang w:eastAsia="zh-CN"/>
        </w:rPr>
        <w:t>标体系框架由4项一级指标、1</w:t>
      </w:r>
      <w:r>
        <w:rPr>
          <w:rFonts w:hint="eastAsia" w:ascii="仿宋" w:hAnsi="仿宋" w:eastAsia="仿宋" w:cs="仿宋"/>
          <w:bCs/>
          <w:szCs w:val="32"/>
          <w:highlight w:val="none"/>
          <w:lang w:val="en-US" w:eastAsia="zh-CN"/>
        </w:rPr>
        <w:t>4</w:t>
      </w:r>
      <w:r>
        <w:rPr>
          <w:rFonts w:hint="eastAsia" w:ascii="仿宋" w:hAnsi="仿宋" w:eastAsia="仿宋" w:cs="仿宋"/>
          <w:bCs/>
          <w:szCs w:val="32"/>
          <w:highlight w:val="none"/>
          <w:lang w:eastAsia="zh-CN"/>
        </w:rPr>
        <w:t>项二级指标、2</w:t>
      </w:r>
      <w:r>
        <w:rPr>
          <w:rFonts w:hint="eastAsia" w:ascii="仿宋" w:hAnsi="仿宋" w:eastAsia="仿宋" w:cs="仿宋"/>
          <w:bCs/>
          <w:szCs w:val="32"/>
          <w:highlight w:val="none"/>
          <w:lang w:val="en-US" w:eastAsia="zh-CN"/>
        </w:rPr>
        <w:t>4</w:t>
      </w:r>
      <w:r>
        <w:rPr>
          <w:rFonts w:hint="eastAsia" w:ascii="仿宋" w:hAnsi="仿宋" w:eastAsia="仿宋" w:cs="仿宋"/>
          <w:bCs/>
          <w:szCs w:val="32"/>
          <w:highlight w:val="none"/>
          <w:lang w:eastAsia="zh-CN"/>
        </w:rPr>
        <w:t>项三级指标构成，总分100分。指</w:t>
      </w:r>
      <w:r>
        <w:rPr>
          <w:rFonts w:hint="eastAsia" w:ascii="仿宋" w:hAnsi="仿宋" w:eastAsia="仿宋" w:cs="仿宋"/>
          <w:bCs/>
          <w:szCs w:val="32"/>
          <w:lang w:eastAsia="zh-CN"/>
        </w:rPr>
        <w:t>标设计严格遵循问题导向的设计思路，优先选取最具代表性、最能直接反映产出和效益的核心指标，指标内涵明确、具体、可衡量；指标数据主要来源于政策文件、基础数据表、账务、问卷调查、访谈等。</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1）决策指标：20分。用于考察项目部门职能与发展的匹配程度、项目在立项过程中流程的规范性、绩效目标设定合理性以及资金到位等各项情况。指标设计从项目立项、绩效目标、资金投入三个方面进行考察评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（2）过程指标：20分。用于考察项目资金使用的合规性和各项制度的健全性、执行的有效性。指标设计从资金管理和组织实施两个方面进行考察评价。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（3）产出指标：</w:t>
      </w:r>
      <w:r>
        <w:rPr>
          <w:rFonts w:hint="eastAsia" w:ascii="仿宋" w:hAnsi="仿宋" w:eastAsia="仿宋" w:cs="仿宋"/>
          <w:bCs/>
          <w:szCs w:val="32"/>
          <w:lang w:val="en-US" w:eastAsia="zh-CN"/>
        </w:rPr>
        <w:t>28</w:t>
      </w:r>
      <w:r>
        <w:rPr>
          <w:rFonts w:hint="eastAsia" w:ascii="仿宋" w:hAnsi="仿宋" w:eastAsia="仿宋" w:cs="仿宋"/>
          <w:bCs/>
          <w:szCs w:val="32"/>
          <w:lang w:eastAsia="zh-CN"/>
        </w:rPr>
        <w:t>分。用于考察项目实际完成效果。指标设计从数量、质量、时效、成本四个维度进行考察评价。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（4）效益指标：3</w:t>
      </w:r>
      <w:r>
        <w:rPr>
          <w:rFonts w:hint="eastAsia" w:ascii="仿宋" w:hAnsi="仿宋" w:eastAsia="仿宋" w:cs="仿宋"/>
          <w:bCs/>
          <w:szCs w:val="32"/>
          <w:lang w:val="en-US" w:eastAsia="zh-CN"/>
        </w:rPr>
        <w:t>2</w:t>
      </w:r>
      <w:r>
        <w:rPr>
          <w:rFonts w:hint="eastAsia" w:ascii="仿宋" w:hAnsi="仿宋" w:eastAsia="仿宋" w:cs="仿宋"/>
          <w:bCs/>
          <w:szCs w:val="32"/>
          <w:lang w:eastAsia="zh-CN"/>
        </w:rPr>
        <w:t>分。用于综合考察项目资金投入后的效益实现程度，指标设计从社会效益、经济效益、</w:t>
      </w:r>
      <w:r>
        <w:rPr>
          <w:rFonts w:hint="eastAsia" w:ascii="仿宋" w:hAnsi="仿宋" w:eastAsia="仿宋" w:cs="仿宋"/>
          <w:bCs/>
          <w:szCs w:val="32"/>
          <w:lang w:val="en-US" w:eastAsia="zh-CN"/>
        </w:rPr>
        <w:t>教育</w:t>
      </w:r>
      <w:r>
        <w:rPr>
          <w:rFonts w:hint="eastAsia" w:ascii="仿宋" w:hAnsi="仿宋" w:eastAsia="仿宋" w:cs="仿宋"/>
          <w:bCs/>
          <w:szCs w:val="32"/>
          <w:lang w:eastAsia="zh-CN"/>
        </w:rPr>
        <w:t>效益、</w:t>
      </w:r>
      <w:r>
        <w:rPr>
          <w:rFonts w:hint="eastAsia" w:ascii="仿宋" w:hAnsi="仿宋" w:eastAsia="仿宋" w:cs="仿宋"/>
          <w:bCs/>
          <w:szCs w:val="32"/>
          <w:lang w:val="en-US" w:eastAsia="zh-CN"/>
        </w:rPr>
        <w:t>可持续效益、满意度五</w:t>
      </w:r>
      <w:r>
        <w:rPr>
          <w:rFonts w:hint="eastAsia" w:ascii="仿宋" w:hAnsi="仿宋" w:eastAsia="仿宋" w:cs="仿宋"/>
          <w:bCs/>
          <w:szCs w:val="32"/>
          <w:lang w:eastAsia="zh-CN"/>
        </w:rPr>
        <w:t>个维度进行考察评价。</w:t>
      </w:r>
    </w:p>
    <w:p>
      <w:pPr>
        <w:pStyle w:val="4"/>
        <w:numPr>
          <w:ilvl w:val="0"/>
          <w:numId w:val="7"/>
        </w:numPr>
        <w:ind w:firstLineChars="0"/>
        <w:rPr>
          <w:rFonts w:hint="eastAsia" w:ascii="仿宋" w:hAnsi="仿宋" w:eastAsia="仿宋" w:cs="仿宋"/>
          <w:b w:val="0"/>
          <w:bCs/>
          <w:szCs w:val="32"/>
        </w:rPr>
      </w:pPr>
      <w:r>
        <w:rPr>
          <w:rFonts w:hint="eastAsia" w:ascii="仿宋" w:hAnsi="仿宋" w:eastAsia="仿宋" w:cs="仿宋"/>
          <w:b w:val="0"/>
          <w:bCs/>
          <w:szCs w:val="32"/>
        </w:rPr>
        <w:t>评价方法</w:t>
      </w:r>
      <w:bookmarkEnd w:id="183"/>
      <w:bookmarkEnd w:id="184"/>
      <w:bookmarkEnd w:id="185"/>
      <w:bookmarkEnd w:id="186"/>
      <w:bookmarkEnd w:id="187"/>
      <w:bookmarkEnd w:id="188"/>
      <w:bookmarkEnd w:id="189"/>
      <w:bookmarkEnd w:id="190"/>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评价组依据绩效评价原则确定了指标体系后，综合运用了以下评价方法：</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（1）比较法。是指通过对绩效目标与实施效果的比较，综合分析绩效目标的实现程度；</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（2）成本效益分析法。是指将投入与产出、效益进行关联性分析的方法；</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（3）因素分析法。是指通过综合分析影响绩效目标实现、实施效果的内外因素，评价绩效目标实现程度；</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（4）最低成本法。是指对效益不易计量的多个同类对象的实施成本进行比较，评价绩效目标实现程度；</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（5）公众评判法。是指通过专家评估、公众问卷及抽样调查等对预算支出效果进行评判，评价绩效目标实现程度；</w:t>
      </w:r>
    </w:p>
    <w:p>
      <w:pPr>
        <w:ind w:firstLine="640"/>
        <w:outlineLvl w:val="1"/>
        <w:rPr>
          <w:rFonts w:hint="eastAsia" w:ascii="仿宋" w:hAnsi="仿宋" w:eastAsia="仿宋" w:cs="仿宋"/>
          <w:bCs/>
          <w:szCs w:val="32"/>
          <w:lang w:eastAsia="zh-CN"/>
        </w:rPr>
      </w:pPr>
      <w:bookmarkStart w:id="191" w:name="_Toc179658321"/>
      <w:bookmarkStart w:id="192" w:name="_Toc22285"/>
      <w:bookmarkStart w:id="193" w:name="_Toc16994"/>
      <w:bookmarkStart w:id="194" w:name="_Toc27827"/>
      <w:r>
        <w:rPr>
          <w:rFonts w:hint="eastAsia" w:ascii="仿宋" w:hAnsi="仿宋" w:eastAsia="仿宋" w:cs="仿宋"/>
          <w:bCs/>
          <w:szCs w:val="32"/>
          <w:lang w:eastAsia="zh-CN"/>
        </w:rPr>
        <w:t>（6）其他评价方法。</w:t>
      </w:r>
      <w:bookmarkEnd w:id="191"/>
      <w:bookmarkEnd w:id="192"/>
      <w:bookmarkEnd w:id="193"/>
      <w:bookmarkEnd w:id="194"/>
    </w:p>
    <w:p>
      <w:pPr>
        <w:ind w:firstLine="632"/>
        <w:rPr>
          <w:rFonts w:hint="eastAsia" w:ascii="仿宋" w:hAnsi="仿宋" w:eastAsia="仿宋" w:cs="仿宋"/>
          <w:bCs/>
          <w:spacing w:val="-1"/>
          <w:szCs w:val="32"/>
          <w:lang w:eastAsia="zh-CN"/>
        </w:rPr>
      </w:pPr>
      <w:r>
        <w:rPr>
          <w:rFonts w:hint="eastAsia" w:ascii="仿宋" w:hAnsi="仿宋" w:eastAsia="仿宋" w:cs="仿宋"/>
          <w:bCs/>
          <w:spacing w:val="-2"/>
          <w:szCs w:val="32"/>
          <w:lang w:eastAsia="zh-CN"/>
        </w:rPr>
        <w:t>结合本项目特点，采用比</w:t>
      </w:r>
      <w:r>
        <w:rPr>
          <w:rFonts w:hint="eastAsia" w:ascii="仿宋" w:hAnsi="仿宋" w:eastAsia="仿宋" w:cs="仿宋"/>
          <w:bCs/>
          <w:spacing w:val="-1"/>
          <w:szCs w:val="32"/>
          <w:lang w:eastAsia="zh-CN"/>
        </w:rPr>
        <w:t>较法、因素分析法、公众评判法。</w:t>
      </w:r>
    </w:p>
    <w:p>
      <w:pPr>
        <w:pStyle w:val="4"/>
        <w:keepLines w:val="0"/>
        <w:numPr>
          <w:ilvl w:val="0"/>
          <w:numId w:val="7"/>
        </w:numPr>
        <w:ind w:firstLineChars="0"/>
        <w:rPr>
          <w:rFonts w:hint="eastAsia" w:ascii="仿宋" w:hAnsi="仿宋" w:eastAsia="仿宋" w:cs="仿宋"/>
          <w:b w:val="0"/>
          <w:bCs/>
          <w:szCs w:val="32"/>
          <w:lang w:eastAsia="zh-CN"/>
        </w:rPr>
      </w:pPr>
      <w:bookmarkStart w:id="195" w:name="_Toc1525004343"/>
      <w:bookmarkStart w:id="196" w:name="_Toc130033895"/>
      <w:bookmarkStart w:id="197" w:name="_Toc2046815436"/>
      <w:bookmarkStart w:id="198" w:name="_Toc10048"/>
      <w:bookmarkStart w:id="199" w:name="_Toc15748"/>
      <w:bookmarkStart w:id="200" w:name="_Toc888755501"/>
      <w:bookmarkStart w:id="201" w:name="_Toc555803968"/>
      <w:bookmarkStart w:id="202" w:name="_Toc851662451_WPSOffice_Level3"/>
      <w:r>
        <w:rPr>
          <w:rFonts w:hint="eastAsia" w:ascii="仿宋" w:hAnsi="仿宋" w:eastAsia="仿宋" w:cs="仿宋"/>
          <w:b w:val="0"/>
          <w:bCs/>
          <w:szCs w:val="32"/>
          <w:lang w:eastAsia="zh-CN"/>
        </w:rPr>
        <w:t>评价标准</w:t>
      </w:r>
      <w:bookmarkEnd w:id="195"/>
      <w:bookmarkEnd w:id="196"/>
      <w:bookmarkEnd w:id="197"/>
      <w:bookmarkEnd w:id="198"/>
      <w:bookmarkEnd w:id="199"/>
      <w:bookmarkEnd w:id="200"/>
      <w:bookmarkEnd w:id="201"/>
      <w:bookmarkEnd w:id="202"/>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评价标准按照定性与定量评价相结合的方法，在定量时，尽可能地做到详细和精确。</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绩效评价结果采取评分和评级相结合的方式，具体分值和等级可根据不同评价内容设定。总分一般设置为100分，等级一般划分为四档：90（含）-100分为优、80（含）-90分为良、60（含）-80分为中、60分以下为差。</w:t>
      </w:r>
    </w:p>
    <w:p>
      <w:pPr>
        <w:pStyle w:val="3"/>
        <w:numPr>
          <w:ilvl w:val="0"/>
          <w:numId w:val="5"/>
        </w:numPr>
        <w:spacing w:before="0" w:beforeLines="0" w:after="0" w:afterLines="0"/>
        <w:ind w:left="0" w:firstLine="640" w:firstLineChars="0"/>
        <w:rPr>
          <w:rFonts w:hint="eastAsia" w:ascii="楷体" w:hAnsi="楷体" w:eastAsia="楷体" w:cs="楷体"/>
          <w:b w:val="0"/>
          <w:bCs/>
          <w:szCs w:val="32"/>
          <w:lang w:eastAsia="zh-CN"/>
        </w:rPr>
      </w:pPr>
      <w:bookmarkStart w:id="203" w:name="_Toc179658322"/>
      <w:bookmarkStart w:id="204" w:name="_Toc530665856"/>
      <w:bookmarkStart w:id="205" w:name="_Toc286491559"/>
      <w:bookmarkStart w:id="206" w:name="_Toc1564940422"/>
      <w:bookmarkStart w:id="207" w:name="_Toc1990909373"/>
      <w:bookmarkStart w:id="208" w:name="_Toc132480964"/>
      <w:bookmarkStart w:id="209" w:name="_Toc12250"/>
      <w:bookmarkStart w:id="210" w:name="_Toc19314"/>
      <w:r>
        <w:rPr>
          <w:rFonts w:hint="eastAsia" w:ascii="楷体" w:hAnsi="楷体" w:eastAsia="楷体" w:cs="楷体"/>
          <w:b w:val="0"/>
          <w:bCs/>
          <w:szCs w:val="32"/>
          <w:lang w:eastAsia="zh-CN"/>
        </w:rPr>
        <w:t>绩效评价工作过程</w:t>
      </w:r>
      <w:bookmarkEnd w:id="203"/>
      <w:bookmarkEnd w:id="204"/>
      <w:bookmarkEnd w:id="205"/>
      <w:bookmarkEnd w:id="206"/>
      <w:bookmarkEnd w:id="207"/>
      <w:bookmarkEnd w:id="208"/>
      <w:bookmarkEnd w:id="209"/>
      <w:bookmarkEnd w:id="210"/>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按照统一安排，延风中学男生宿舍学生用床、柜子采购项目绩效评价工作由金口河区财政局委托我中心完成。为保障本次工作的顺利开展，本次项目评价工作开展包括前期准备、制定工作方案，现场核查及座谈交流，撰写评价报告等3个阶段，具体实施流程及内容如下：</w:t>
      </w:r>
    </w:p>
    <w:p>
      <w:pPr>
        <w:pStyle w:val="4"/>
        <w:ind w:firstLine="628"/>
        <w:rPr>
          <w:rFonts w:hint="eastAsia" w:ascii="仿宋" w:hAnsi="仿宋" w:eastAsia="仿宋" w:cs="仿宋"/>
          <w:b w:val="0"/>
          <w:bCs/>
          <w:szCs w:val="32"/>
          <w:lang w:eastAsia="zh-CN"/>
        </w:rPr>
      </w:pPr>
      <w:bookmarkStart w:id="211" w:name="_Toc130033897"/>
      <w:bookmarkStart w:id="212" w:name="_Toc22087"/>
      <w:r>
        <w:rPr>
          <w:rFonts w:hint="eastAsia" w:ascii="仿宋" w:hAnsi="仿宋" w:eastAsia="仿宋" w:cs="仿宋"/>
          <w:b w:val="0"/>
          <w:bCs/>
          <w:spacing w:val="-3"/>
          <w:szCs w:val="32"/>
          <w:lang w:eastAsia="zh-CN"/>
        </w:rPr>
        <w:t>1</w:t>
      </w:r>
      <w:r>
        <w:rPr>
          <w:rFonts w:hint="eastAsia" w:ascii="仿宋" w:hAnsi="仿宋" w:eastAsia="仿宋" w:cs="仿宋"/>
          <w:b w:val="0"/>
          <w:bCs/>
          <w:szCs w:val="32"/>
          <w:lang w:eastAsia="zh-CN"/>
        </w:rPr>
        <w:t>.项目启动阶段</w:t>
      </w:r>
      <w:bookmarkEnd w:id="211"/>
      <w:bookmarkEnd w:id="212"/>
    </w:p>
    <w:p>
      <w:pPr>
        <w:ind w:firstLine="600"/>
        <w:rPr>
          <w:rFonts w:hint="eastAsia" w:ascii="仿宋" w:hAnsi="仿宋" w:eastAsia="仿宋" w:cs="仿宋"/>
          <w:bCs/>
          <w:szCs w:val="32"/>
          <w:lang w:eastAsia="zh-CN"/>
        </w:rPr>
      </w:pPr>
      <w:r>
        <w:rPr>
          <w:rFonts w:hint="eastAsia" w:ascii="仿宋" w:hAnsi="仿宋" w:eastAsia="仿宋" w:cs="仿宋"/>
          <w:bCs/>
          <w:spacing w:val="-10"/>
          <w:szCs w:val="32"/>
          <w:lang w:eastAsia="zh-CN"/>
        </w:rPr>
        <w:t>由金口河区财政局</w:t>
      </w:r>
      <w:r>
        <w:rPr>
          <w:rFonts w:hint="eastAsia" w:ascii="仿宋" w:hAnsi="仿宋" w:eastAsia="仿宋" w:cs="仿宋"/>
          <w:bCs/>
          <w:szCs w:val="32"/>
          <w:lang w:eastAsia="zh-CN"/>
        </w:rPr>
        <w:t>召开会议布置绩效评价相关工作；协调组织</w:t>
      </w:r>
      <w:r>
        <w:rPr>
          <w:rFonts w:hint="eastAsia" w:ascii="仿宋" w:hAnsi="仿宋" w:eastAsia="仿宋" w:cs="仿宋"/>
          <w:bCs/>
          <w:spacing w:val="-1"/>
          <w:szCs w:val="32"/>
          <w:lang w:eastAsia="zh-CN"/>
        </w:rPr>
        <w:t>本次绩效</w:t>
      </w:r>
      <w:r>
        <w:rPr>
          <w:rFonts w:hint="eastAsia" w:ascii="仿宋" w:hAnsi="仿宋" w:eastAsia="仿宋" w:cs="仿宋"/>
          <w:bCs/>
          <w:szCs w:val="32"/>
          <w:lang w:eastAsia="zh-CN"/>
        </w:rPr>
        <w:t>评价的相关部门及人员。</w:t>
      </w:r>
    </w:p>
    <w:p>
      <w:pPr>
        <w:pStyle w:val="4"/>
        <w:ind w:firstLine="640"/>
        <w:rPr>
          <w:rFonts w:hint="eastAsia" w:ascii="仿宋" w:hAnsi="仿宋" w:eastAsia="仿宋" w:cs="仿宋"/>
          <w:b w:val="0"/>
          <w:bCs/>
          <w:szCs w:val="32"/>
          <w:lang w:eastAsia="zh-CN"/>
        </w:rPr>
      </w:pPr>
      <w:bookmarkStart w:id="213" w:name="_Toc13860"/>
      <w:bookmarkStart w:id="214" w:name="_Toc130033898"/>
      <w:r>
        <w:rPr>
          <w:rFonts w:hint="eastAsia" w:ascii="仿宋" w:hAnsi="仿宋" w:eastAsia="仿宋" w:cs="仿宋"/>
          <w:b w:val="0"/>
          <w:bCs/>
          <w:szCs w:val="32"/>
          <w:lang w:eastAsia="zh-CN"/>
        </w:rPr>
        <w:t>2.下达绩效评价通知</w:t>
      </w:r>
      <w:bookmarkEnd w:id="213"/>
      <w:bookmarkEnd w:id="214"/>
    </w:p>
    <w:p>
      <w:pPr>
        <w:ind w:firstLine="644"/>
        <w:rPr>
          <w:rFonts w:hint="eastAsia" w:ascii="仿宋" w:hAnsi="仿宋" w:eastAsia="仿宋" w:cs="仿宋"/>
          <w:bCs/>
          <w:szCs w:val="32"/>
          <w:lang w:eastAsia="zh-CN"/>
        </w:rPr>
      </w:pPr>
      <w:r>
        <w:rPr>
          <w:rFonts w:hint="eastAsia" w:ascii="仿宋" w:hAnsi="仿宋" w:eastAsia="仿宋" w:cs="仿宋"/>
          <w:bCs/>
          <w:spacing w:val="1"/>
          <w:szCs w:val="32"/>
          <w:lang w:eastAsia="zh-CN"/>
        </w:rPr>
        <w:t>实施评价前，</w:t>
      </w:r>
      <w:r>
        <w:rPr>
          <w:rFonts w:hint="eastAsia" w:ascii="仿宋" w:hAnsi="仿宋" w:eastAsia="仿宋" w:cs="仿宋"/>
          <w:bCs/>
          <w:szCs w:val="32"/>
          <w:lang w:eastAsia="zh-CN"/>
        </w:rPr>
        <w:t>金口河区财政局向被评价单位下达评价通知。</w:t>
      </w:r>
    </w:p>
    <w:p>
      <w:pPr>
        <w:pStyle w:val="4"/>
        <w:ind w:firstLine="640"/>
        <w:rPr>
          <w:rFonts w:hint="eastAsia" w:ascii="仿宋" w:hAnsi="仿宋" w:eastAsia="仿宋" w:cs="仿宋"/>
          <w:b w:val="0"/>
          <w:bCs/>
          <w:szCs w:val="32"/>
          <w:lang w:eastAsia="zh-CN"/>
        </w:rPr>
      </w:pPr>
      <w:bookmarkStart w:id="215" w:name="_Toc130033900"/>
      <w:bookmarkStart w:id="216" w:name="_Toc10313"/>
      <w:r>
        <w:rPr>
          <w:rFonts w:hint="eastAsia" w:ascii="仿宋" w:hAnsi="仿宋" w:eastAsia="仿宋" w:cs="仿宋"/>
          <w:b w:val="0"/>
          <w:bCs/>
          <w:szCs w:val="32"/>
          <w:lang w:eastAsia="zh-CN"/>
        </w:rPr>
        <w:t>3.开展前期调研并制定完善工作方</w:t>
      </w:r>
      <w:r>
        <w:rPr>
          <w:rFonts w:hint="eastAsia" w:ascii="仿宋" w:hAnsi="仿宋" w:eastAsia="仿宋" w:cs="仿宋"/>
          <w:b w:val="0"/>
          <w:bCs/>
          <w:spacing w:val="1"/>
          <w:szCs w:val="32"/>
          <w:lang w:eastAsia="zh-CN"/>
        </w:rPr>
        <w:t>案</w:t>
      </w:r>
      <w:bookmarkEnd w:id="215"/>
      <w:bookmarkEnd w:id="216"/>
    </w:p>
    <w:p>
      <w:pPr>
        <w:ind w:firstLine="608"/>
        <w:rPr>
          <w:rFonts w:hint="eastAsia" w:ascii="仿宋" w:hAnsi="仿宋" w:eastAsia="仿宋" w:cs="仿宋"/>
          <w:bCs/>
          <w:szCs w:val="32"/>
          <w:lang w:eastAsia="zh-CN"/>
        </w:rPr>
      </w:pPr>
      <w:r>
        <w:rPr>
          <w:rFonts w:hint="eastAsia" w:ascii="仿宋" w:hAnsi="仿宋" w:eastAsia="仿宋" w:cs="仿宋"/>
          <w:bCs/>
          <w:spacing w:val="-8"/>
          <w:szCs w:val="32"/>
          <w:lang w:eastAsia="zh-CN"/>
        </w:rPr>
        <w:t>评</w:t>
      </w:r>
      <w:r>
        <w:rPr>
          <w:rFonts w:hint="eastAsia" w:ascii="仿宋" w:hAnsi="仿宋" w:eastAsia="仿宋" w:cs="仿宋"/>
          <w:bCs/>
          <w:spacing w:val="-5"/>
          <w:szCs w:val="32"/>
          <w:lang w:eastAsia="zh-CN"/>
        </w:rPr>
        <w:t>价</w:t>
      </w:r>
      <w:r>
        <w:rPr>
          <w:rFonts w:hint="eastAsia" w:ascii="仿宋" w:hAnsi="仿宋" w:eastAsia="仿宋" w:cs="仿宋"/>
          <w:bCs/>
          <w:spacing w:val="-4"/>
          <w:szCs w:val="32"/>
          <w:lang w:eastAsia="zh-CN"/>
        </w:rPr>
        <w:t>组首先与金口河区财政局沟通，收集财政部门对</w:t>
      </w:r>
      <w:r>
        <w:rPr>
          <w:rFonts w:hint="eastAsia" w:ascii="仿宋" w:hAnsi="仿宋" w:eastAsia="仿宋" w:cs="仿宋"/>
          <w:bCs/>
          <w:spacing w:val="-6"/>
          <w:szCs w:val="32"/>
          <w:lang w:eastAsia="zh-CN"/>
        </w:rPr>
        <w:t>本次评价的</w:t>
      </w:r>
      <w:r>
        <w:rPr>
          <w:rFonts w:hint="eastAsia" w:ascii="仿宋" w:hAnsi="仿宋" w:eastAsia="仿宋" w:cs="仿宋"/>
          <w:bCs/>
          <w:spacing w:val="-4"/>
          <w:szCs w:val="32"/>
          <w:lang w:eastAsia="zh-CN"/>
        </w:rPr>
        <w:t>关</w:t>
      </w:r>
      <w:r>
        <w:rPr>
          <w:rFonts w:hint="eastAsia" w:ascii="仿宋" w:hAnsi="仿宋" w:eastAsia="仿宋" w:cs="仿宋"/>
          <w:bCs/>
          <w:spacing w:val="-3"/>
          <w:szCs w:val="32"/>
          <w:lang w:eastAsia="zh-CN"/>
        </w:rPr>
        <w:t>注重点和要求；其次与相关部门充分沟</w:t>
      </w:r>
      <w:r>
        <w:rPr>
          <w:rFonts w:hint="eastAsia" w:ascii="仿宋" w:hAnsi="仿宋" w:eastAsia="仿宋" w:cs="仿宋"/>
          <w:bCs/>
          <w:spacing w:val="-6"/>
          <w:szCs w:val="32"/>
          <w:lang w:eastAsia="zh-CN"/>
        </w:rPr>
        <w:t>通，了解项</w:t>
      </w:r>
      <w:r>
        <w:rPr>
          <w:rFonts w:hint="eastAsia" w:ascii="仿宋" w:hAnsi="仿宋" w:eastAsia="仿宋" w:cs="仿宋"/>
          <w:bCs/>
          <w:spacing w:val="-4"/>
          <w:szCs w:val="32"/>
          <w:lang w:eastAsia="zh-CN"/>
        </w:rPr>
        <w:t>目</w:t>
      </w:r>
      <w:r>
        <w:rPr>
          <w:rFonts w:hint="eastAsia" w:ascii="仿宋" w:hAnsi="仿宋" w:eastAsia="仿宋" w:cs="仿宋"/>
          <w:bCs/>
          <w:spacing w:val="-3"/>
          <w:szCs w:val="32"/>
          <w:lang w:eastAsia="zh-CN"/>
        </w:rPr>
        <w:t>的实施背景、实施内容、绩效目标和组织管理等信</w:t>
      </w:r>
      <w:r>
        <w:rPr>
          <w:rFonts w:hint="eastAsia" w:ascii="仿宋" w:hAnsi="仿宋" w:eastAsia="仿宋" w:cs="仿宋"/>
          <w:bCs/>
          <w:spacing w:val="-1"/>
          <w:szCs w:val="32"/>
          <w:lang w:eastAsia="zh-CN"/>
        </w:rPr>
        <w:t>息，并收集资金使用、管理制度等</w:t>
      </w:r>
      <w:r>
        <w:rPr>
          <w:rFonts w:hint="eastAsia" w:ascii="仿宋" w:hAnsi="仿宋" w:eastAsia="仿宋" w:cs="仿宋"/>
          <w:bCs/>
          <w:szCs w:val="32"/>
          <w:lang w:eastAsia="zh-CN"/>
        </w:rPr>
        <w:t>资料。</w:t>
      </w:r>
      <w:r>
        <w:rPr>
          <w:rFonts w:hint="eastAsia" w:ascii="仿宋" w:hAnsi="仿宋" w:eastAsia="仿宋" w:cs="仿宋"/>
          <w:bCs/>
          <w:spacing w:val="-6"/>
          <w:szCs w:val="32"/>
          <w:lang w:eastAsia="zh-CN"/>
        </w:rPr>
        <w:t>根据区财政局</w:t>
      </w:r>
      <w:r>
        <w:rPr>
          <w:rFonts w:hint="eastAsia" w:ascii="仿宋" w:hAnsi="仿宋" w:eastAsia="仿宋" w:cs="仿宋"/>
          <w:bCs/>
          <w:spacing w:val="-3"/>
          <w:szCs w:val="32"/>
          <w:lang w:eastAsia="zh-CN"/>
        </w:rPr>
        <w:t>的要求，结合项目的特点，形成项目评价的总体思</w:t>
      </w:r>
      <w:r>
        <w:rPr>
          <w:rFonts w:hint="eastAsia" w:ascii="仿宋" w:hAnsi="仿宋" w:eastAsia="仿宋" w:cs="仿宋"/>
          <w:bCs/>
          <w:spacing w:val="-6"/>
          <w:szCs w:val="32"/>
          <w:lang w:eastAsia="zh-CN"/>
        </w:rPr>
        <w:t>路，撰写项目</w:t>
      </w:r>
      <w:r>
        <w:rPr>
          <w:rFonts w:hint="eastAsia" w:ascii="仿宋" w:hAnsi="仿宋" w:eastAsia="仿宋" w:cs="仿宋"/>
          <w:bCs/>
          <w:spacing w:val="-3"/>
          <w:szCs w:val="32"/>
          <w:lang w:eastAsia="zh-CN"/>
        </w:rPr>
        <w:t>绩效评价工作方案，并就工作方案内容、指标体系</w:t>
      </w:r>
      <w:r>
        <w:rPr>
          <w:rFonts w:hint="eastAsia" w:ascii="仿宋" w:hAnsi="仿宋" w:eastAsia="仿宋" w:cs="仿宋"/>
          <w:bCs/>
          <w:spacing w:val="-6"/>
          <w:szCs w:val="32"/>
          <w:lang w:eastAsia="zh-CN"/>
        </w:rPr>
        <w:t>等</w:t>
      </w:r>
      <w:r>
        <w:rPr>
          <w:rFonts w:hint="eastAsia" w:ascii="仿宋" w:hAnsi="仿宋" w:eastAsia="仿宋" w:cs="仿宋"/>
          <w:bCs/>
          <w:spacing w:val="-3"/>
          <w:szCs w:val="32"/>
          <w:lang w:eastAsia="zh-CN"/>
        </w:rPr>
        <w:t>与评价组进行沟通，广泛听取意见、进行完善，提交金口河区财政局</w:t>
      </w:r>
      <w:r>
        <w:rPr>
          <w:rFonts w:hint="eastAsia" w:ascii="仿宋" w:hAnsi="仿宋" w:eastAsia="仿宋" w:cs="仿宋"/>
          <w:bCs/>
          <w:szCs w:val="32"/>
          <w:lang w:eastAsia="zh-CN"/>
        </w:rPr>
        <w:t>审核。</w:t>
      </w:r>
    </w:p>
    <w:p>
      <w:pPr>
        <w:pStyle w:val="4"/>
        <w:ind w:firstLine="640"/>
        <w:rPr>
          <w:rFonts w:hint="eastAsia" w:ascii="仿宋" w:hAnsi="仿宋" w:eastAsia="仿宋" w:cs="仿宋"/>
          <w:b w:val="0"/>
          <w:bCs/>
          <w:szCs w:val="32"/>
          <w:lang w:eastAsia="zh-CN"/>
        </w:rPr>
      </w:pPr>
      <w:bookmarkStart w:id="217" w:name="_Toc130033901"/>
      <w:bookmarkStart w:id="218" w:name="_Toc14740"/>
      <w:r>
        <w:rPr>
          <w:rFonts w:hint="eastAsia" w:ascii="仿宋" w:hAnsi="仿宋" w:eastAsia="仿宋" w:cs="仿宋"/>
          <w:b w:val="0"/>
          <w:bCs/>
          <w:szCs w:val="32"/>
          <w:lang w:eastAsia="zh-CN"/>
        </w:rPr>
        <w:t>4.数据收集</w:t>
      </w:r>
      <w:bookmarkEnd w:id="217"/>
      <w:bookmarkEnd w:id="218"/>
    </w:p>
    <w:p>
      <w:pPr>
        <w:ind w:firstLine="612"/>
        <w:rPr>
          <w:rFonts w:hint="eastAsia" w:ascii="仿宋" w:hAnsi="仿宋" w:eastAsia="仿宋" w:cs="仿宋"/>
          <w:bCs/>
          <w:szCs w:val="32"/>
          <w:lang w:eastAsia="zh-CN"/>
        </w:rPr>
      </w:pPr>
      <w:r>
        <w:rPr>
          <w:rFonts w:hint="eastAsia" w:ascii="仿宋" w:hAnsi="仿宋" w:eastAsia="仿宋" w:cs="仿宋"/>
          <w:bCs/>
          <w:spacing w:val="-7"/>
          <w:szCs w:val="32"/>
          <w:lang w:eastAsia="zh-CN"/>
        </w:rPr>
        <w:t>根</w:t>
      </w:r>
      <w:r>
        <w:rPr>
          <w:rFonts w:hint="eastAsia" w:ascii="仿宋" w:hAnsi="仿宋" w:eastAsia="仿宋" w:cs="仿宋"/>
          <w:bCs/>
          <w:szCs w:val="32"/>
          <w:lang w:eastAsia="zh-CN"/>
        </w:rPr>
        <w:t>据定稿后的工作方案，我中心与相关部门进行沟通，核查</w:t>
      </w:r>
      <w:r>
        <w:rPr>
          <w:rFonts w:hint="eastAsia" w:ascii="仿宋" w:hAnsi="仿宋" w:eastAsia="仿宋" w:cs="仿宋"/>
          <w:bCs/>
          <w:spacing w:val="-6"/>
          <w:szCs w:val="32"/>
          <w:lang w:eastAsia="zh-CN"/>
        </w:rPr>
        <w:t>项目实施过</w:t>
      </w:r>
      <w:r>
        <w:rPr>
          <w:rFonts w:hint="eastAsia" w:ascii="仿宋" w:hAnsi="仿宋" w:eastAsia="仿宋" w:cs="仿宋"/>
          <w:bCs/>
          <w:spacing w:val="-5"/>
          <w:szCs w:val="32"/>
          <w:lang w:eastAsia="zh-CN"/>
        </w:rPr>
        <w:t>程</w:t>
      </w:r>
      <w:r>
        <w:rPr>
          <w:rFonts w:hint="eastAsia" w:ascii="仿宋" w:hAnsi="仿宋" w:eastAsia="仿宋" w:cs="仿宋"/>
          <w:bCs/>
          <w:spacing w:val="-3"/>
          <w:szCs w:val="32"/>
          <w:lang w:eastAsia="zh-CN"/>
        </w:rPr>
        <w:t>性材料，我中心收</w:t>
      </w:r>
      <w:r>
        <w:rPr>
          <w:rFonts w:hint="eastAsia" w:ascii="仿宋" w:hAnsi="仿宋" w:eastAsia="仿宋" w:cs="仿宋"/>
          <w:bCs/>
          <w:spacing w:val="1"/>
          <w:szCs w:val="32"/>
          <w:lang w:eastAsia="zh-CN"/>
        </w:rPr>
        <w:t>集相关业务</w:t>
      </w:r>
      <w:r>
        <w:rPr>
          <w:rFonts w:hint="eastAsia" w:ascii="仿宋" w:hAnsi="仿宋" w:eastAsia="仿宋" w:cs="仿宋"/>
          <w:bCs/>
          <w:szCs w:val="32"/>
          <w:lang w:eastAsia="zh-CN"/>
        </w:rPr>
        <w:t>数据，对收集的资料和数据进行汇总。</w:t>
      </w:r>
    </w:p>
    <w:p>
      <w:pPr>
        <w:pStyle w:val="4"/>
        <w:ind w:firstLine="640"/>
        <w:rPr>
          <w:rFonts w:hint="eastAsia" w:ascii="仿宋" w:hAnsi="仿宋" w:eastAsia="仿宋" w:cs="仿宋"/>
          <w:b w:val="0"/>
          <w:bCs/>
          <w:szCs w:val="32"/>
          <w:lang w:eastAsia="zh-CN"/>
        </w:rPr>
      </w:pPr>
      <w:bookmarkStart w:id="219" w:name="_Toc130033902"/>
      <w:bookmarkStart w:id="220" w:name="_Toc21504"/>
      <w:r>
        <w:rPr>
          <w:rFonts w:hint="eastAsia" w:ascii="仿宋" w:hAnsi="仿宋" w:eastAsia="仿宋" w:cs="仿宋"/>
          <w:b w:val="0"/>
          <w:bCs/>
          <w:szCs w:val="32"/>
          <w:lang w:eastAsia="zh-CN"/>
        </w:rPr>
        <w:t>5.现场核查</w:t>
      </w:r>
      <w:bookmarkEnd w:id="219"/>
      <w:bookmarkEnd w:id="220"/>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我中心根据收集到的资料和数据对项目进行现场核查，通过检查、观察、访谈、重新计算、重新执行等方式核查，对现场发现的问题、疑问等与金口河区财政局沟通，并向金口河区财政局汇报问题及沟通处理结果。</w:t>
      </w:r>
    </w:p>
    <w:p>
      <w:pPr>
        <w:pStyle w:val="4"/>
        <w:ind w:firstLine="640"/>
        <w:rPr>
          <w:rFonts w:hint="eastAsia" w:ascii="仿宋" w:hAnsi="仿宋" w:eastAsia="仿宋" w:cs="仿宋"/>
          <w:b w:val="0"/>
          <w:bCs/>
          <w:szCs w:val="32"/>
          <w:lang w:eastAsia="zh-CN"/>
        </w:rPr>
      </w:pPr>
      <w:bookmarkStart w:id="221" w:name="_Toc8201"/>
      <w:bookmarkStart w:id="222" w:name="_Toc130033903"/>
      <w:r>
        <w:rPr>
          <w:rFonts w:hint="eastAsia" w:ascii="仿宋" w:hAnsi="仿宋" w:eastAsia="仿宋" w:cs="仿宋"/>
          <w:b w:val="0"/>
          <w:bCs/>
          <w:szCs w:val="32"/>
          <w:lang w:eastAsia="zh-CN"/>
        </w:rPr>
        <w:t>6.数据分析</w:t>
      </w:r>
      <w:bookmarkEnd w:id="221"/>
      <w:bookmarkEnd w:id="222"/>
    </w:p>
    <w:p>
      <w:pPr>
        <w:spacing w:line="360" w:lineRule="auto"/>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我中心根据收集到的资料和数据重点对项目管理的规范性、绩效目标完成情况等方面进行分析，将分析结果同乐山市金口河区延风中学沟通确定，并向</w:t>
      </w:r>
      <w:bookmarkStart w:id="223" w:name="_Hlk179723733"/>
      <w:r>
        <w:rPr>
          <w:rFonts w:hint="eastAsia" w:ascii="仿宋" w:hAnsi="仿宋" w:eastAsia="仿宋" w:cs="仿宋"/>
          <w:bCs/>
          <w:spacing w:val="-7"/>
          <w:szCs w:val="32"/>
          <w:lang w:eastAsia="zh-CN"/>
        </w:rPr>
        <w:t>金口河区财政局</w:t>
      </w:r>
      <w:bookmarkEnd w:id="223"/>
      <w:r>
        <w:rPr>
          <w:rFonts w:hint="eastAsia" w:ascii="仿宋" w:hAnsi="仿宋" w:eastAsia="仿宋" w:cs="仿宋"/>
          <w:bCs/>
          <w:spacing w:val="-7"/>
          <w:szCs w:val="32"/>
          <w:lang w:eastAsia="zh-CN"/>
        </w:rPr>
        <w:t>汇报分析结果。</w:t>
      </w:r>
    </w:p>
    <w:p>
      <w:pPr>
        <w:pStyle w:val="4"/>
        <w:ind w:firstLine="640"/>
        <w:rPr>
          <w:rFonts w:hint="eastAsia" w:ascii="仿宋" w:hAnsi="仿宋" w:eastAsia="仿宋" w:cs="仿宋"/>
          <w:b w:val="0"/>
          <w:bCs/>
          <w:szCs w:val="32"/>
          <w:lang w:eastAsia="zh-CN"/>
        </w:rPr>
      </w:pPr>
      <w:bookmarkStart w:id="224" w:name="_Toc6007"/>
      <w:bookmarkStart w:id="225" w:name="_Toc130033904"/>
      <w:r>
        <w:rPr>
          <w:rFonts w:hint="eastAsia" w:ascii="仿宋" w:hAnsi="仿宋" w:eastAsia="仿宋" w:cs="仿宋"/>
          <w:b w:val="0"/>
          <w:bCs/>
          <w:szCs w:val="32"/>
          <w:lang w:eastAsia="zh-CN"/>
        </w:rPr>
        <w:t>7.撰写及完善</w:t>
      </w:r>
      <w:r>
        <w:rPr>
          <w:rFonts w:hint="eastAsia" w:ascii="仿宋" w:hAnsi="仿宋" w:eastAsia="仿宋" w:cs="仿宋"/>
          <w:b w:val="0"/>
          <w:bCs/>
          <w:spacing w:val="1"/>
          <w:szCs w:val="32"/>
          <w:lang w:eastAsia="zh-CN"/>
        </w:rPr>
        <w:t>绩效评价报告</w:t>
      </w:r>
      <w:bookmarkEnd w:id="224"/>
      <w:bookmarkEnd w:id="225"/>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对收集到的基础数据、现场核查结果、访谈记录、满意度分析结果等各项数据进行全面复核，查找项目实施中存在的主要问题、取得的主要经验等，并拟定评价报告初稿。向财政局提交绩效评价报告，并交换意见，修改完善后定稿。</w:t>
      </w:r>
    </w:p>
    <w:p>
      <w:pPr>
        <w:pStyle w:val="4"/>
        <w:ind w:firstLine="644"/>
        <w:rPr>
          <w:rFonts w:hint="eastAsia" w:ascii="仿宋" w:hAnsi="仿宋" w:eastAsia="仿宋" w:cs="仿宋"/>
          <w:b w:val="0"/>
          <w:bCs/>
          <w:szCs w:val="32"/>
          <w:lang w:eastAsia="zh-CN"/>
        </w:rPr>
      </w:pPr>
      <w:bookmarkStart w:id="226" w:name="_Toc130033905"/>
      <w:bookmarkStart w:id="227" w:name="_Toc22077"/>
      <w:r>
        <w:rPr>
          <w:rFonts w:hint="eastAsia" w:ascii="仿宋" w:hAnsi="仿宋" w:eastAsia="仿宋" w:cs="仿宋"/>
          <w:b w:val="0"/>
          <w:bCs/>
          <w:spacing w:val="1"/>
          <w:szCs w:val="32"/>
          <w:lang w:eastAsia="zh-CN"/>
        </w:rPr>
        <w:t>8.</w:t>
      </w:r>
      <w:r>
        <w:rPr>
          <w:rFonts w:hint="eastAsia" w:ascii="仿宋" w:hAnsi="仿宋" w:eastAsia="仿宋" w:cs="仿宋"/>
          <w:b w:val="0"/>
          <w:bCs/>
          <w:szCs w:val="32"/>
          <w:lang w:eastAsia="zh-CN"/>
        </w:rPr>
        <w:t>资料归档</w:t>
      </w:r>
      <w:bookmarkEnd w:id="226"/>
      <w:bookmarkEnd w:id="227"/>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对评价过程资料进行整理、归档。评价工作组就绩效评价报告初稿中所反映的问题与被评价单位进行沟通，在被评价单位反馈意见的基础上，对报告内容进行完善，形成绩效评价报告提交财政部门。</w:t>
      </w:r>
    </w:p>
    <w:p>
      <w:pPr>
        <w:spacing w:line="300" w:lineRule="exact"/>
        <w:ind w:firstLine="684"/>
        <w:jc w:val="center"/>
        <w:outlineLvl w:val="1"/>
        <w:rPr>
          <w:rFonts w:hint="eastAsia" w:ascii="仿宋" w:hAnsi="仿宋" w:eastAsia="仿宋" w:cs="仿宋"/>
          <w:bCs/>
          <w:spacing w:val="11"/>
          <w:szCs w:val="32"/>
          <w:lang w:eastAsia="zh-CN"/>
        </w:rPr>
      </w:pPr>
      <w:bookmarkStart w:id="228" w:name="_Toc179658323"/>
      <w:bookmarkStart w:id="229" w:name="_Toc17320"/>
      <w:bookmarkStart w:id="230" w:name="_Toc3954"/>
      <w:bookmarkStart w:id="231" w:name="_Toc32343"/>
    </w:p>
    <w:p>
      <w:pPr>
        <w:spacing w:line="300" w:lineRule="exact"/>
        <w:ind w:firstLine="684"/>
        <w:jc w:val="center"/>
        <w:outlineLvl w:val="1"/>
        <w:rPr>
          <w:rFonts w:hint="eastAsia" w:ascii="仿宋" w:hAnsi="仿宋" w:eastAsia="仿宋" w:cs="仿宋"/>
          <w:bCs/>
          <w:szCs w:val="32"/>
          <w:lang w:eastAsia="zh-CN"/>
        </w:rPr>
      </w:pPr>
      <w:r>
        <w:rPr>
          <w:rFonts w:hint="eastAsia" w:ascii="仿宋" w:hAnsi="仿宋" w:eastAsia="仿宋" w:cs="仿宋"/>
          <w:bCs/>
          <w:spacing w:val="11"/>
          <w:szCs w:val="32"/>
          <w:lang w:eastAsia="zh-CN"/>
        </w:rPr>
        <w:t>财</w:t>
      </w:r>
      <w:r>
        <w:rPr>
          <w:rFonts w:hint="eastAsia" w:ascii="仿宋" w:hAnsi="仿宋" w:eastAsia="仿宋" w:cs="仿宋"/>
          <w:bCs/>
          <w:spacing w:val="9"/>
          <w:szCs w:val="32"/>
          <w:lang w:eastAsia="zh-CN"/>
        </w:rPr>
        <w:t>政支出绩效评价工作流程图</w:t>
      </w:r>
      <w:bookmarkEnd w:id="228"/>
      <w:bookmarkEnd w:id="229"/>
      <w:bookmarkEnd w:id="230"/>
      <w:bookmarkEnd w:id="231"/>
    </w:p>
    <w:p>
      <w:pPr>
        <w:spacing w:before="247" w:line="228" w:lineRule="auto"/>
        <w:ind w:left="0" w:leftChars="0" w:firstLine="0" w:firstLineChars="0"/>
        <w:rPr>
          <w:rFonts w:eastAsia="宋体"/>
          <w:sz w:val="23"/>
          <w:szCs w:val="23"/>
          <w:lang w:eastAsia="zh-CN"/>
        </w:rPr>
      </w:pPr>
      <w:r>
        <w:drawing>
          <wp:inline distT="0" distB="0" distL="0" distR="0">
            <wp:extent cx="5506085" cy="2841625"/>
            <wp:effectExtent l="0" t="0" r="18415"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5506085" cy="2841625"/>
                    </a:xfrm>
                    <a:prstGeom prst="rect">
                      <a:avLst/>
                    </a:prstGeom>
                  </pic:spPr>
                </pic:pic>
              </a:graphicData>
            </a:graphic>
          </wp:inline>
        </w:drawing>
      </w:r>
    </w:p>
    <w:p>
      <w:pPr>
        <w:pStyle w:val="2"/>
        <w:numPr>
          <w:numId w:val="0"/>
        </w:numPr>
        <w:spacing w:before="0" w:beforeLines="0" w:after="0" w:afterLines="0"/>
        <w:ind w:leftChars="0" w:firstLine="640" w:firstLineChars="200"/>
        <w:rPr>
          <w:rFonts w:hint="eastAsia" w:ascii="黑体" w:hAnsi="黑体" w:eastAsia="黑体" w:cs="黑体"/>
          <w:b w:val="0"/>
          <w:bCs/>
          <w:szCs w:val="32"/>
          <w:lang w:eastAsia="zh-CN"/>
        </w:rPr>
      </w:pPr>
      <w:bookmarkStart w:id="232" w:name="_Toc132480965"/>
      <w:bookmarkStart w:id="233" w:name="_Toc6261"/>
      <w:bookmarkStart w:id="234" w:name="_Toc27103"/>
      <w:bookmarkStart w:id="235" w:name="_Toc179658324"/>
      <w:bookmarkStart w:id="236" w:name="_Toc1850422540"/>
      <w:bookmarkStart w:id="237" w:name="_Toc1232831072"/>
      <w:bookmarkStart w:id="238" w:name="_Toc2115246641_WPSOffice_Level1"/>
      <w:bookmarkStart w:id="239" w:name="_Toc709323845"/>
      <w:bookmarkStart w:id="240" w:name="_Toc5665919"/>
      <w:r>
        <w:rPr>
          <w:rFonts w:hint="eastAsia" w:ascii="黑体" w:hAnsi="黑体" w:eastAsia="黑体" w:cs="黑体"/>
          <w:b w:val="0"/>
          <w:bCs/>
          <w:szCs w:val="32"/>
          <w:lang w:eastAsia="zh-CN"/>
        </w:rPr>
        <w:t>三、综合评价情况及评价结论（附相关评分表）</w:t>
      </w:r>
      <w:bookmarkEnd w:id="232"/>
      <w:bookmarkEnd w:id="233"/>
      <w:bookmarkEnd w:id="234"/>
      <w:bookmarkEnd w:id="235"/>
      <w:bookmarkEnd w:id="236"/>
      <w:bookmarkEnd w:id="237"/>
      <w:bookmarkEnd w:id="238"/>
      <w:bookmarkEnd w:id="239"/>
      <w:bookmarkEnd w:id="240"/>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评价工作组根据相关文件制定了《乐山市金口河区延风中学男生宿舍学生用床、柜子采购项目绩效评价指标体系及综合评分表》，绩效评价满分为100分，经评议，项目绩效评价得分为</w:t>
      </w:r>
      <w:r>
        <w:rPr>
          <w:rFonts w:hint="eastAsia" w:ascii="仿宋" w:hAnsi="仿宋" w:eastAsia="仿宋" w:cs="仿宋"/>
          <w:bCs/>
          <w:spacing w:val="-7"/>
          <w:szCs w:val="32"/>
          <w:lang w:val="en-US" w:eastAsia="zh-CN"/>
        </w:rPr>
        <w:t>92.38</w:t>
      </w:r>
      <w:r>
        <w:rPr>
          <w:rFonts w:hint="eastAsia" w:ascii="仿宋" w:hAnsi="仿宋" w:eastAsia="仿宋" w:cs="仿宋"/>
          <w:bCs/>
          <w:spacing w:val="-7"/>
          <w:szCs w:val="32"/>
          <w:lang w:eastAsia="zh-CN"/>
        </w:rPr>
        <w:t>分，其中，项目决策</w:t>
      </w:r>
      <w:r>
        <w:rPr>
          <w:rFonts w:hint="eastAsia" w:ascii="仿宋" w:hAnsi="仿宋" w:eastAsia="仿宋" w:cs="仿宋"/>
          <w:bCs/>
          <w:spacing w:val="-7"/>
          <w:szCs w:val="32"/>
          <w:lang w:val="en-US" w:eastAsia="zh-CN"/>
        </w:rPr>
        <w:t>18.50</w:t>
      </w:r>
      <w:r>
        <w:rPr>
          <w:rFonts w:hint="eastAsia" w:ascii="仿宋" w:hAnsi="仿宋" w:eastAsia="仿宋" w:cs="仿宋"/>
          <w:bCs/>
          <w:spacing w:val="-7"/>
          <w:szCs w:val="32"/>
          <w:lang w:eastAsia="zh-CN"/>
        </w:rPr>
        <w:t>分，项目过程</w:t>
      </w:r>
      <w:r>
        <w:rPr>
          <w:rFonts w:hint="eastAsia" w:ascii="仿宋" w:hAnsi="仿宋" w:eastAsia="仿宋" w:cs="仿宋"/>
          <w:bCs/>
          <w:spacing w:val="-7"/>
          <w:szCs w:val="32"/>
          <w:lang w:val="en-US" w:eastAsia="zh-CN"/>
        </w:rPr>
        <w:t>19.88</w:t>
      </w:r>
      <w:r>
        <w:rPr>
          <w:rFonts w:hint="eastAsia" w:ascii="仿宋" w:hAnsi="仿宋" w:eastAsia="仿宋" w:cs="仿宋"/>
          <w:bCs/>
          <w:spacing w:val="-7"/>
          <w:szCs w:val="32"/>
          <w:lang w:eastAsia="zh-CN"/>
        </w:rPr>
        <w:t>分，项目产出</w:t>
      </w:r>
      <w:r>
        <w:rPr>
          <w:rFonts w:hint="eastAsia" w:ascii="仿宋" w:hAnsi="仿宋" w:eastAsia="仿宋" w:cs="仿宋"/>
          <w:bCs/>
          <w:spacing w:val="-7"/>
          <w:szCs w:val="32"/>
          <w:lang w:val="en-US" w:eastAsia="zh-CN"/>
        </w:rPr>
        <w:t>24</w:t>
      </w:r>
      <w:r>
        <w:rPr>
          <w:rFonts w:hint="eastAsia" w:ascii="仿宋" w:hAnsi="仿宋" w:eastAsia="仿宋" w:cs="仿宋"/>
          <w:bCs/>
          <w:spacing w:val="-7"/>
          <w:szCs w:val="32"/>
          <w:lang w:eastAsia="zh-CN"/>
        </w:rPr>
        <w:t>.00分，项目效益</w:t>
      </w:r>
      <w:r>
        <w:rPr>
          <w:rFonts w:hint="eastAsia" w:ascii="仿宋" w:hAnsi="仿宋" w:eastAsia="仿宋" w:cs="仿宋"/>
          <w:bCs/>
          <w:spacing w:val="-7"/>
          <w:szCs w:val="32"/>
          <w:lang w:val="en-US" w:eastAsia="zh-CN"/>
        </w:rPr>
        <w:t>30</w:t>
      </w:r>
      <w:r>
        <w:rPr>
          <w:rFonts w:hint="eastAsia" w:ascii="仿宋" w:hAnsi="仿宋" w:eastAsia="仿宋" w:cs="仿宋"/>
          <w:bCs/>
          <w:spacing w:val="-7"/>
          <w:szCs w:val="32"/>
          <w:lang w:eastAsia="zh-CN"/>
        </w:rPr>
        <w:t>.00分。评价绩效级别评定为“</w:t>
      </w:r>
      <w:r>
        <w:rPr>
          <w:rFonts w:hint="eastAsia" w:ascii="仿宋" w:hAnsi="仿宋" w:eastAsia="仿宋" w:cs="仿宋"/>
          <w:bCs/>
          <w:spacing w:val="-7"/>
          <w:szCs w:val="32"/>
          <w:lang w:val="en-US" w:eastAsia="zh-CN"/>
        </w:rPr>
        <w:t>优</w:t>
      </w:r>
      <w:r>
        <w:rPr>
          <w:rFonts w:hint="eastAsia" w:ascii="仿宋" w:hAnsi="仿宋" w:eastAsia="仿宋" w:cs="仿宋"/>
          <w:bCs/>
          <w:spacing w:val="-7"/>
          <w:szCs w:val="32"/>
          <w:lang w:eastAsia="zh-CN"/>
        </w:rPr>
        <w:t>”。</w:t>
      </w:r>
    </w:p>
    <w:p>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乐山市金口河区延风中学</w:t>
      </w:r>
    </w:p>
    <w:p>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延风中学男生宿舍学生用床、柜子采购项目</w:t>
      </w:r>
      <w:r>
        <w:rPr>
          <w:rFonts w:hint="eastAsia" w:ascii="仿宋" w:hAnsi="仿宋" w:eastAsia="仿宋" w:cs="仿宋"/>
          <w:bCs/>
          <w:szCs w:val="32"/>
          <w:lang w:eastAsia="zh-CN"/>
        </w:rPr>
        <w:br w:type="textWrapping"/>
      </w:r>
      <w:r>
        <w:rPr>
          <w:rFonts w:hint="eastAsia" w:ascii="仿宋" w:hAnsi="仿宋" w:eastAsia="仿宋" w:cs="仿宋"/>
          <w:bCs/>
          <w:szCs w:val="32"/>
          <w:lang w:eastAsia="zh-CN"/>
        </w:rPr>
        <w:t>财政支出绩效评价结论一览表</w:t>
      </w:r>
    </w:p>
    <w:tbl>
      <w:tblPr>
        <w:tblStyle w:val="22"/>
        <w:tblW w:w="5000" w:type="pct"/>
        <w:tblInd w:w="0" w:type="dxa"/>
        <w:tblLayout w:type="autofit"/>
        <w:tblCellMar>
          <w:top w:w="15" w:type="dxa"/>
          <w:left w:w="15" w:type="dxa"/>
          <w:bottom w:w="15" w:type="dxa"/>
          <w:right w:w="15" w:type="dxa"/>
        </w:tblCellMar>
      </w:tblPr>
      <w:tblGrid>
        <w:gridCol w:w="2296"/>
        <w:gridCol w:w="2057"/>
        <w:gridCol w:w="1991"/>
        <w:gridCol w:w="1992"/>
      </w:tblGrid>
      <w:tr>
        <w:tblPrEx>
          <w:tblCellMar>
            <w:top w:w="15" w:type="dxa"/>
            <w:left w:w="15" w:type="dxa"/>
            <w:bottom w:w="15" w:type="dxa"/>
            <w:right w:w="15" w:type="dxa"/>
          </w:tblCellMar>
        </w:tblPrEx>
        <w:trPr>
          <w:trHeight w:val="255" w:hRule="atLeast"/>
          <w:tblHeader/>
        </w:trPr>
        <w:tc>
          <w:tcPr>
            <w:tcW w:w="1377"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widowControl/>
              <w:spacing w:line="48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eastAsia="zh-CN"/>
              </w:rPr>
              <w:t>评价内容</w:t>
            </w:r>
          </w:p>
        </w:tc>
        <w:tc>
          <w:tcPr>
            <w:tcW w:w="123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widowControl/>
              <w:spacing w:line="48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eastAsia="zh-CN"/>
              </w:rPr>
              <w:t>分值</w:t>
            </w:r>
          </w:p>
        </w:tc>
        <w:tc>
          <w:tcPr>
            <w:tcW w:w="119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widowControl/>
              <w:spacing w:line="48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eastAsia="zh-CN"/>
              </w:rPr>
              <w:t>评价得分</w:t>
            </w:r>
          </w:p>
        </w:tc>
        <w:tc>
          <w:tcPr>
            <w:tcW w:w="119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widowControl/>
              <w:spacing w:line="480" w:lineRule="auto"/>
              <w:ind w:firstLine="0" w:firstLineChars="0"/>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得分率</w:t>
            </w:r>
          </w:p>
        </w:tc>
      </w:tr>
      <w:tr>
        <w:tblPrEx>
          <w:tblCellMar>
            <w:top w:w="15" w:type="dxa"/>
            <w:left w:w="15" w:type="dxa"/>
            <w:bottom w:w="15" w:type="dxa"/>
            <w:right w:w="15" w:type="dxa"/>
          </w:tblCellMar>
        </w:tblPrEx>
        <w:trPr>
          <w:trHeight w:val="255" w:hRule="atLeast"/>
        </w:trPr>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ind w:firstLine="480"/>
              <w:textAlignment w:val="center"/>
              <w:rPr>
                <w:rFonts w:hint="eastAsia" w:ascii="仿宋" w:hAnsi="仿宋" w:eastAsia="仿宋" w:cs="仿宋"/>
                <w:sz w:val="24"/>
              </w:rPr>
            </w:pPr>
            <w:r>
              <w:rPr>
                <w:rFonts w:hint="eastAsia" w:ascii="仿宋" w:hAnsi="仿宋" w:eastAsia="仿宋" w:cs="仿宋"/>
                <w:sz w:val="24"/>
                <w:lang w:eastAsia="zh-CN"/>
              </w:rPr>
              <w:t>项目决策</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20</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18.5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92.50%</w:t>
            </w:r>
          </w:p>
        </w:tc>
      </w:tr>
      <w:tr>
        <w:tblPrEx>
          <w:tblCellMar>
            <w:top w:w="15" w:type="dxa"/>
            <w:left w:w="15" w:type="dxa"/>
            <w:bottom w:w="15" w:type="dxa"/>
            <w:right w:w="15" w:type="dxa"/>
          </w:tblCellMar>
        </w:tblPrEx>
        <w:trPr>
          <w:trHeight w:val="255" w:hRule="atLeast"/>
        </w:trPr>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ind w:firstLine="480"/>
              <w:textAlignment w:val="center"/>
              <w:rPr>
                <w:rFonts w:hint="eastAsia" w:ascii="仿宋" w:hAnsi="仿宋" w:eastAsia="仿宋" w:cs="仿宋"/>
                <w:sz w:val="24"/>
              </w:rPr>
            </w:pPr>
            <w:r>
              <w:rPr>
                <w:rFonts w:hint="eastAsia" w:ascii="仿宋" w:hAnsi="仿宋" w:eastAsia="仿宋" w:cs="仿宋"/>
                <w:sz w:val="24"/>
                <w:lang w:eastAsia="zh-CN"/>
              </w:rPr>
              <w:t>项目过程</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20</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19.88</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99.40%</w:t>
            </w:r>
          </w:p>
        </w:tc>
      </w:tr>
      <w:tr>
        <w:tblPrEx>
          <w:tblCellMar>
            <w:top w:w="15" w:type="dxa"/>
            <w:left w:w="15" w:type="dxa"/>
            <w:bottom w:w="15" w:type="dxa"/>
            <w:right w:w="15" w:type="dxa"/>
          </w:tblCellMar>
        </w:tblPrEx>
        <w:trPr>
          <w:trHeight w:val="90" w:hRule="atLeast"/>
        </w:trPr>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ind w:firstLine="480"/>
              <w:textAlignment w:val="center"/>
              <w:rPr>
                <w:rFonts w:hint="eastAsia" w:ascii="仿宋" w:hAnsi="仿宋" w:eastAsia="仿宋" w:cs="仿宋"/>
                <w:sz w:val="24"/>
              </w:rPr>
            </w:pPr>
            <w:r>
              <w:rPr>
                <w:rFonts w:hint="eastAsia" w:ascii="仿宋" w:hAnsi="仿宋" w:eastAsia="仿宋" w:cs="仿宋"/>
                <w:sz w:val="24"/>
                <w:lang w:eastAsia="zh-CN"/>
              </w:rPr>
              <w:t>项目产出</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28</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24</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85.71%</w:t>
            </w:r>
          </w:p>
        </w:tc>
      </w:tr>
      <w:tr>
        <w:tblPrEx>
          <w:tblCellMar>
            <w:top w:w="15" w:type="dxa"/>
            <w:left w:w="15" w:type="dxa"/>
            <w:bottom w:w="15" w:type="dxa"/>
            <w:right w:w="15" w:type="dxa"/>
          </w:tblCellMar>
        </w:tblPrEx>
        <w:trPr>
          <w:trHeight w:val="563" w:hRule="atLeast"/>
        </w:trPr>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ind w:firstLine="480"/>
              <w:textAlignment w:val="center"/>
              <w:rPr>
                <w:rFonts w:hint="eastAsia" w:ascii="仿宋" w:hAnsi="仿宋" w:eastAsia="仿宋" w:cs="仿宋"/>
                <w:sz w:val="24"/>
              </w:rPr>
            </w:pPr>
            <w:r>
              <w:rPr>
                <w:rFonts w:hint="eastAsia" w:ascii="仿宋" w:hAnsi="仿宋" w:eastAsia="仿宋" w:cs="仿宋"/>
                <w:sz w:val="24"/>
                <w:lang w:eastAsia="zh-CN"/>
              </w:rPr>
              <w:t>项目效益</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32</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30</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93.75%</w:t>
            </w:r>
          </w:p>
        </w:tc>
      </w:tr>
      <w:tr>
        <w:tblPrEx>
          <w:tblCellMar>
            <w:top w:w="15" w:type="dxa"/>
            <w:left w:w="15" w:type="dxa"/>
            <w:bottom w:w="15" w:type="dxa"/>
            <w:right w:w="15" w:type="dxa"/>
          </w:tblCellMar>
        </w:tblPrEx>
        <w:trPr>
          <w:trHeight w:val="255" w:hRule="atLeast"/>
        </w:trPr>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ind w:firstLine="480"/>
              <w:textAlignment w:val="center"/>
              <w:rPr>
                <w:rFonts w:hint="eastAsia" w:ascii="仿宋" w:hAnsi="仿宋" w:eastAsia="仿宋" w:cs="仿宋"/>
                <w:sz w:val="24"/>
              </w:rPr>
            </w:pPr>
            <w:r>
              <w:rPr>
                <w:rFonts w:hint="eastAsia" w:ascii="仿宋" w:hAnsi="仿宋" w:eastAsia="仿宋" w:cs="仿宋"/>
                <w:sz w:val="24"/>
                <w:lang w:eastAsia="zh-CN"/>
              </w:rPr>
              <w:t>综合得分</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100</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92.38</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92.38%</w:t>
            </w:r>
          </w:p>
        </w:tc>
      </w:tr>
      <w:tr>
        <w:tblPrEx>
          <w:tblCellMar>
            <w:top w:w="15" w:type="dxa"/>
            <w:left w:w="15" w:type="dxa"/>
            <w:bottom w:w="15" w:type="dxa"/>
            <w:right w:w="15" w:type="dxa"/>
          </w:tblCellMar>
        </w:tblPrEx>
        <w:trPr>
          <w:trHeight w:val="255" w:hRule="atLeast"/>
        </w:trPr>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ind w:firstLine="480"/>
              <w:textAlignment w:val="center"/>
              <w:rPr>
                <w:rFonts w:hint="eastAsia" w:ascii="仿宋" w:hAnsi="仿宋" w:eastAsia="仿宋" w:cs="仿宋"/>
                <w:sz w:val="24"/>
              </w:rPr>
            </w:pPr>
            <w:r>
              <w:rPr>
                <w:rFonts w:hint="eastAsia" w:ascii="仿宋" w:hAnsi="仿宋" w:eastAsia="仿宋" w:cs="仿宋"/>
                <w:sz w:val="24"/>
                <w:lang w:eastAsia="zh-CN"/>
              </w:rPr>
              <w:t>绩效评定级别</w:t>
            </w:r>
          </w:p>
        </w:tc>
        <w:tc>
          <w:tcPr>
            <w:tcW w:w="36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ind w:firstLine="0" w:firstLineChars="0"/>
              <w:jc w:val="center"/>
              <w:rPr>
                <w:rFonts w:hint="default" w:ascii="仿宋" w:hAnsi="仿宋" w:eastAsia="仿宋" w:cs="仿宋"/>
                <w:sz w:val="24"/>
                <w:lang w:val="en-US" w:eastAsia="zh-CN"/>
              </w:rPr>
            </w:pPr>
            <w:r>
              <w:rPr>
                <w:rFonts w:hint="eastAsia" w:ascii="仿宋" w:hAnsi="仿宋" w:eastAsia="仿宋" w:cs="仿宋"/>
                <w:sz w:val="24"/>
                <w:lang w:val="en-US" w:eastAsia="zh-CN"/>
              </w:rPr>
              <w:t>优</w:t>
            </w:r>
          </w:p>
        </w:tc>
      </w:tr>
    </w:tbl>
    <w:p>
      <w:pPr>
        <w:ind w:firstLine="612"/>
        <w:rPr>
          <w:rFonts w:hint="eastAsia" w:ascii="仿宋" w:hAnsi="仿宋" w:eastAsia="仿宋" w:cs="仿宋"/>
          <w:spacing w:val="-7"/>
          <w:szCs w:val="32"/>
          <w:lang w:eastAsia="zh-CN"/>
        </w:rPr>
      </w:pPr>
      <w:r>
        <w:rPr>
          <w:rFonts w:hint="eastAsia" w:ascii="仿宋" w:hAnsi="仿宋" w:eastAsia="仿宋" w:cs="仿宋"/>
          <w:spacing w:val="-7"/>
          <w:szCs w:val="32"/>
          <w:lang w:eastAsia="zh-CN"/>
        </w:rPr>
        <w:t>附：延风中学男生宿舍学生用床、柜子采购项目绩效评价指标体系及综合评分表（详见本报告“附件”）</w:t>
      </w:r>
    </w:p>
    <w:p>
      <w:pPr>
        <w:pStyle w:val="2"/>
        <w:numPr>
          <w:numId w:val="0"/>
        </w:numPr>
        <w:spacing w:before="0" w:beforeLines="0" w:after="0" w:afterLines="0"/>
        <w:ind w:leftChars="0" w:firstLine="640" w:firstLineChars="200"/>
        <w:rPr>
          <w:rFonts w:hint="eastAsia" w:ascii="黑体" w:hAnsi="黑体" w:eastAsia="黑体" w:cs="黑体"/>
          <w:b w:val="0"/>
          <w:szCs w:val="32"/>
          <w:lang w:eastAsia="zh-CN"/>
        </w:rPr>
      </w:pPr>
      <w:bookmarkStart w:id="241" w:name="_Toc924138418"/>
      <w:bookmarkStart w:id="242" w:name="_Toc20649"/>
      <w:bookmarkStart w:id="243" w:name="_Toc1506002849_WPSOffice_Level1"/>
      <w:bookmarkStart w:id="244" w:name="_Toc132480966"/>
      <w:bookmarkStart w:id="245" w:name="_Toc179658325"/>
      <w:bookmarkStart w:id="246" w:name="_Toc1269600848"/>
      <w:bookmarkStart w:id="247" w:name="_Toc737820165"/>
      <w:bookmarkStart w:id="248" w:name="_Toc193453926"/>
      <w:bookmarkStart w:id="249" w:name="_Toc23865"/>
      <w:r>
        <w:rPr>
          <w:rFonts w:hint="eastAsia" w:ascii="黑体" w:hAnsi="黑体" w:eastAsia="黑体" w:cs="黑体"/>
          <w:b w:val="0"/>
          <w:szCs w:val="32"/>
          <w:lang w:eastAsia="zh-CN"/>
        </w:rPr>
        <w:t>四、绩效评价指标分析</w:t>
      </w:r>
      <w:bookmarkEnd w:id="241"/>
      <w:bookmarkEnd w:id="242"/>
      <w:bookmarkEnd w:id="243"/>
      <w:bookmarkEnd w:id="244"/>
      <w:bookmarkEnd w:id="245"/>
      <w:bookmarkEnd w:id="246"/>
      <w:bookmarkEnd w:id="247"/>
      <w:bookmarkEnd w:id="248"/>
      <w:bookmarkEnd w:id="249"/>
    </w:p>
    <w:p>
      <w:pPr>
        <w:pStyle w:val="3"/>
        <w:numPr>
          <w:ilvl w:val="0"/>
          <w:numId w:val="10"/>
        </w:numPr>
        <w:spacing w:before="0" w:beforeLines="0" w:after="0" w:afterLines="0"/>
        <w:ind w:firstLineChars="0"/>
        <w:rPr>
          <w:rFonts w:hint="eastAsia" w:ascii="楷体" w:hAnsi="楷体" w:eastAsia="楷体" w:cs="楷体"/>
          <w:b w:val="0"/>
          <w:szCs w:val="32"/>
          <w:lang w:eastAsia="zh-CN"/>
        </w:rPr>
      </w:pPr>
      <w:bookmarkStart w:id="250" w:name="_Toc179658326"/>
      <w:bookmarkStart w:id="251" w:name="_Toc972935377"/>
      <w:bookmarkStart w:id="252" w:name="_Toc1392656222"/>
      <w:bookmarkStart w:id="253" w:name="_Toc10744"/>
      <w:bookmarkStart w:id="254" w:name="_Toc89892724"/>
      <w:bookmarkStart w:id="255" w:name="_Toc1147619601_WPSOffice_Level2"/>
      <w:bookmarkStart w:id="256" w:name="_Toc132480967"/>
      <w:bookmarkStart w:id="257" w:name="_Toc783935744"/>
      <w:bookmarkStart w:id="258" w:name="_Toc28684"/>
      <w:bookmarkStart w:id="259" w:name="_Toc128438084"/>
      <w:bookmarkStart w:id="260" w:name="_Toc491633314"/>
      <w:bookmarkStart w:id="261" w:name="_Toc1373387760"/>
      <w:bookmarkStart w:id="262" w:name="_Toc2114965086"/>
      <w:bookmarkStart w:id="263" w:name="_Toc28880"/>
      <w:bookmarkStart w:id="264" w:name="_Toc325523293_WPSOffice_Level3"/>
      <w:bookmarkStart w:id="265" w:name="_Toc130033913"/>
      <w:bookmarkStart w:id="266" w:name="_Toc6784"/>
      <w:r>
        <w:rPr>
          <w:rFonts w:hint="eastAsia" w:ascii="楷体" w:hAnsi="楷体" w:eastAsia="楷体" w:cs="楷体"/>
          <w:b w:val="0"/>
          <w:szCs w:val="32"/>
          <w:lang w:eastAsia="zh-CN"/>
        </w:rPr>
        <w:t>项目决策情况</w:t>
      </w:r>
      <w:bookmarkEnd w:id="250"/>
      <w:bookmarkEnd w:id="251"/>
      <w:bookmarkEnd w:id="252"/>
      <w:bookmarkEnd w:id="253"/>
      <w:bookmarkEnd w:id="254"/>
      <w:bookmarkEnd w:id="255"/>
      <w:bookmarkEnd w:id="256"/>
      <w:bookmarkEnd w:id="257"/>
      <w:bookmarkEnd w:id="258"/>
    </w:p>
    <w:p>
      <w:pPr>
        <w:ind w:firstLine="612"/>
        <w:rPr>
          <w:rFonts w:hint="eastAsia" w:ascii="仿宋" w:hAnsi="仿宋" w:eastAsia="仿宋" w:cs="仿宋"/>
          <w:spacing w:val="-7"/>
          <w:szCs w:val="32"/>
          <w:lang w:eastAsia="zh-CN"/>
        </w:rPr>
      </w:pPr>
      <w:r>
        <w:rPr>
          <w:rFonts w:hint="eastAsia" w:ascii="仿宋" w:hAnsi="仿宋" w:eastAsia="仿宋" w:cs="仿宋"/>
          <w:spacing w:val="-7"/>
          <w:szCs w:val="32"/>
          <w:lang w:eastAsia="zh-CN"/>
        </w:rPr>
        <w:t>项目决策是项目立项的前提和方向，本次评价从项目立项、绩效目标以及资金投入三个方面来评价项目决策的优劣。项目决策权重20.00分，本项目得分</w:t>
      </w:r>
      <w:r>
        <w:rPr>
          <w:rFonts w:hint="eastAsia" w:ascii="仿宋" w:hAnsi="仿宋" w:eastAsia="仿宋" w:cs="仿宋"/>
          <w:spacing w:val="-7"/>
          <w:szCs w:val="32"/>
          <w:lang w:val="en-US" w:eastAsia="zh-CN"/>
        </w:rPr>
        <w:t>18.50</w:t>
      </w:r>
      <w:r>
        <w:rPr>
          <w:rFonts w:hint="eastAsia" w:ascii="仿宋" w:hAnsi="仿宋" w:eastAsia="仿宋" w:cs="仿宋"/>
          <w:spacing w:val="-7"/>
          <w:szCs w:val="32"/>
          <w:lang w:eastAsia="zh-CN"/>
        </w:rPr>
        <w:t>分，得分率</w:t>
      </w:r>
      <w:r>
        <w:rPr>
          <w:rFonts w:hint="eastAsia" w:ascii="仿宋" w:hAnsi="仿宋" w:eastAsia="仿宋" w:cs="仿宋"/>
          <w:spacing w:val="-7"/>
          <w:szCs w:val="32"/>
          <w:lang w:val="en-US" w:eastAsia="zh-CN"/>
        </w:rPr>
        <w:t>92.50</w:t>
      </w:r>
      <w:r>
        <w:rPr>
          <w:rFonts w:hint="eastAsia" w:ascii="仿宋" w:hAnsi="仿宋" w:eastAsia="仿宋" w:cs="仿宋"/>
          <w:spacing w:val="-7"/>
          <w:szCs w:val="32"/>
          <w:lang w:eastAsia="zh-CN"/>
        </w:rPr>
        <w:t>%。扣分原因</w:t>
      </w:r>
      <w:r>
        <w:rPr>
          <w:rFonts w:hint="eastAsia" w:ascii="仿宋" w:hAnsi="仿宋" w:eastAsia="仿宋" w:cs="仿宋"/>
          <w:spacing w:val="-7"/>
          <w:szCs w:val="32"/>
          <w:lang w:val="en-US" w:eastAsia="zh-CN"/>
        </w:rPr>
        <w:t>是</w:t>
      </w:r>
      <w:r>
        <w:rPr>
          <w:rFonts w:hint="eastAsia" w:ascii="仿宋" w:hAnsi="仿宋" w:eastAsia="仿宋" w:cs="仿宋"/>
          <w:spacing w:val="-7"/>
          <w:szCs w:val="32"/>
          <w:lang w:eastAsia="zh-CN"/>
        </w:rPr>
        <w:t>设定的绩效指标中产出指标不够精确。具体得分情况见下表4-1：</w:t>
      </w:r>
    </w:p>
    <w:p>
      <w:pPr>
        <w:ind w:firstLine="0" w:firstLineChars="0"/>
        <w:jc w:val="center"/>
        <w:rPr>
          <w:rFonts w:hint="eastAsia" w:ascii="仿宋" w:hAnsi="仿宋" w:eastAsia="仿宋" w:cs="仿宋"/>
          <w:szCs w:val="32"/>
        </w:rPr>
      </w:pPr>
      <w:r>
        <w:rPr>
          <w:rFonts w:hint="eastAsia" w:ascii="仿宋" w:hAnsi="仿宋" w:eastAsia="仿宋" w:cs="仿宋"/>
          <w:szCs w:val="32"/>
        </w:rPr>
        <w:t>表4-1项目决策指标得分</w:t>
      </w:r>
    </w:p>
    <w:tbl>
      <w:tblPr>
        <w:tblStyle w:val="22"/>
        <w:tblW w:w="5000" w:type="pct"/>
        <w:tblInd w:w="0" w:type="dxa"/>
        <w:tblLayout w:type="autofit"/>
        <w:tblCellMar>
          <w:top w:w="0" w:type="dxa"/>
          <w:left w:w="108" w:type="dxa"/>
          <w:bottom w:w="0" w:type="dxa"/>
          <w:right w:w="108" w:type="dxa"/>
        </w:tblCellMar>
      </w:tblPr>
      <w:tblGrid>
        <w:gridCol w:w="2130"/>
        <w:gridCol w:w="2130"/>
        <w:gridCol w:w="2131"/>
        <w:gridCol w:w="2131"/>
      </w:tblGrid>
      <w:tr>
        <w:tblPrEx>
          <w:tblCellMar>
            <w:top w:w="0" w:type="dxa"/>
            <w:left w:w="108" w:type="dxa"/>
            <w:bottom w:w="0" w:type="dxa"/>
            <w:right w:w="108" w:type="dxa"/>
          </w:tblCellMar>
        </w:tblPrEx>
        <w:trPr>
          <w:trHeight w:val="567" w:hRule="atLeast"/>
          <w:tblHeader/>
        </w:trPr>
        <w:tc>
          <w:tcPr>
            <w:tcW w:w="1250"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二级指标</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分数</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w:t>
            </w:r>
          </w:p>
        </w:tc>
        <w:tc>
          <w:tcPr>
            <w:tcW w:w="1250"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得分率</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项目立项</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6" w:hanging="19" w:hangingChars="8"/>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8</w:t>
            </w:r>
          </w:p>
        </w:tc>
        <w:tc>
          <w:tcPr>
            <w:tcW w:w="21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left="0" w:leftChars="-6" w:hanging="19" w:hangingChars="8"/>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8</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left="0" w:leftChars="-6" w:hanging="19" w:hangingChars="8"/>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100.00%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绩效目标</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6" w:hanging="19" w:hangingChars="8"/>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6</w:t>
            </w:r>
          </w:p>
        </w:tc>
        <w:tc>
          <w:tcPr>
            <w:tcW w:w="21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left="0" w:leftChars="-6" w:hanging="19" w:hangingChars="8"/>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4.5</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left="0" w:leftChars="-6" w:hanging="19" w:hangingChars="8"/>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75.00%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资金投入</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6" w:hanging="19" w:hangingChars="8"/>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6</w:t>
            </w:r>
          </w:p>
        </w:tc>
        <w:tc>
          <w:tcPr>
            <w:tcW w:w="21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left="0" w:leftChars="-6" w:hanging="19" w:hangingChars="8"/>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6</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left="0" w:leftChars="-6" w:hanging="19" w:hangingChars="8"/>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100.00%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合计</w:t>
            </w:r>
          </w:p>
        </w:tc>
        <w:tc>
          <w:tcPr>
            <w:tcW w:w="2130"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ind w:left="0" w:leftChars="-6" w:hanging="19" w:hangingChars="8"/>
              <w:jc w:val="center"/>
              <w:textAlignment w:val="bottom"/>
              <w:rPr>
                <w:rFonts w:hint="eastAsia" w:ascii="仿宋" w:hAnsi="仿宋" w:eastAsia="仿宋" w:cs="仿宋"/>
                <w:bCs/>
                <w:sz w:val="24"/>
                <w:lang w:eastAsia="zh-CN"/>
              </w:rPr>
            </w:pPr>
            <w:r>
              <w:rPr>
                <w:rFonts w:hint="eastAsia" w:ascii="仿宋" w:hAnsi="仿宋" w:eastAsia="仿宋" w:cs="仿宋"/>
                <w:i w:val="0"/>
                <w:iCs w:val="0"/>
                <w:color w:val="000000"/>
                <w:kern w:val="0"/>
                <w:sz w:val="24"/>
                <w:szCs w:val="24"/>
                <w:u w:val="none"/>
                <w:lang w:val="en-US" w:eastAsia="zh-CN" w:bidi="ar"/>
              </w:rPr>
              <w:t>20</w:t>
            </w:r>
          </w:p>
        </w:tc>
        <w:tc>
          <w:tcPr>
            <w:tcW w:w="2131" w:type="dxa"/>
            <w:tcBorders>
              <w:top w:val="single" w:color="auto" w:sz="4" w:space="0"/>
              <w:left w:val="nil"/>
              <w:bottom w:val="single" w:color="auto" w:sz="4" w:space="0"/>
              <w:right w:val="single" w:color="auto" w:sz="4" w:space="0"/>
            </w:tcBorders>
            <w:vAlign w:val="bottom"/>
          </w:tcPr>
          <w:p>
            <w:pPr>
              <w:keepNext w:val="0"/>
              <w:keepLines w:val="0"/>
              <w:widowControl/>
              <w:suppressLineNumbers w:val="0"/>
              <w:ind w:left="0" w:leftChars="-6" w:hanging="19" w:hangingChars="8"/>
              <w:jc w:val="center"/>
              <w:textAlignment w:val="bottom"/>
              <w:rPr>
                <w:rFonts w:hint="eastAsia" w:ascii="仿宋" w:hAnsi="仿宋" w:eastAsia="仿宋" w:cs="仿宋"/>
                <w:bCs/>
                <w:sz w:val="24"/>
                <w:lang w:eastAsia="zh-CN"/>
              </w:rPr>
            </w:pPr>
            <w:r>
              <w:rPr>
                <w:rFonts w:hint="eastAsia" w:ascii="仿宋" w:hAnsi="仿宋" w:eastAsia="仿宋" w:cs="仿宋"/>
                <w:i w:val="0"/>
                <w:iCs w:val="0"/>
                <w:color w:val="000000"/>
                <w:kern w:val="0"/>
                <w:sz w:val="24"/>
                <w:szCs w:val="24"/>
                <w:u w:val="none"/>
                <w:lang w:val="en-US" w:eastAsia="zh-CN" w:bidi="ar"/>
              </w:rPr>
              <w:t>18.5</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left="0" w:leftChars="-6" w:hanging="19" w:hangingChars="8"/>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92.50%</w:t>
            </w:r>
          </w:p>
        </w:tc>
      </w:tr>
    </w:tbl>
    <w:p>
      <w:pPr>
        <w:pStyle w:val="4"/>
        <w:numPr>
          <w:ilvl w:val="2"/>
          <w:numId w:val="11"/>
        </w:numPr>
        <w:ind w:firstLineChars="0"/>
        <w:rPr>
          <w:rFonts w:hint="eastAsia" w:ascii="仿宋" w:hAnsi="仿宋" w:eastAsia="仿宋" w:cs="仿宋"/>
          <w:b w:val="0"/>
          <w:bCs/>
          <w:szCs w:val="32"/>
        </w:rPr>
      </w:pPr>
      <w:bookmarkStart w:id="267" w:name="_Toc795875063"/>
      <w:bookmarkStart w:id="268" w:name="_Toc11758"/>
      <w:bookmarkStart w:id="269" w:name="_Toc948854501"/>
      <w:bookmarkStart w:id="270" w:name="_Toc1146008427"/>
      <w:bookmarkStart w:id="271" w:name="_Toc2450"/>
      <w:bookmarkStart w:id="272" w:name="_Toc1085334293_WPSOffice_Level3"/>
      <w:bookmarkStart w:id="273" w:name="_Toc130033909"/>
      <w:bookmarkStart w:id="274" w:name="_Toc1184392981"/>
      <w:r>
        <w:rPr>
          <w:rFonts w:hint="eastAsia" w:ascii="仿宋" w:hAnsi="仿宋" w:eastAsia="仿宋" w:cs="仿宋"/>
          <w:b w:val="0"/>
          <w:bCs/>
          <w:szCs w:val="32"/>
        </w:rPr>
        <w:t>项目立项</w:t>
      </w:r>
      <w:bookmarkEnd w:id="267"/>
      <w:bookmarkEnd w:id="268"/>
      <w:bookmarkEnd w:id="269"/>
      <w:bookmarkEnd w:id="270"/>
      <w:bookmarkEnd w:id="271"/>
      <w:bookmarkEnd w:id="272"/>
      <w:bookmarkEnd w:id="273"/>
      <w:bookmarkEnd w:id="274"/>
    </w:p>
    <w:p>
      <w:pPr>
        <w:pStyle w:val="5"/>
        <w:numPr>
          <w:ilvl w:val="1"/>
          <w:numId w:val="12"/>
        </w:numPr>
        <w:tabs>
          <w:tab w:val="left" w:pos="1418"/>
        </w:tabs>
        <w:ind w:left="0" w:firstLine="567" w:firstLineChars="0"/>
        <w:rPr>
          <w:rFonts w:hint="eastAsia" w:ascii="仿宋" w:hAnsi="仿宋" w:eastAsia="仿宋" w:cs="仿宋"/>
          <w:b w:val="0"/>
          <w:bCs/>
          <w:szCs w:val="32"/>
          <w:lang w:eastAsia="zh-CN"/>
        </w:rPr>
      </w:pPr>
      <w:bookmarkStart w:id="275" w:name="_Toc28242"/>
      <w:r>
        <w:rPr>
          <w:rFonts w:hint="eastAsia" w:ascii="仿宋" w:hAnsi="仿宋" w:eastAsia="仿宋" w:cs="仿宋"/>
          <w:b w:val="0"/>
          <w:bCs/>
          <w:szCs w:val="32"/>
          <w:lang w:eastAsia="zh-CN"/>
        </w:rPr>
        <w:t>立项依据充分性分析</w:t>
      </w:r>
      <w:bookmarkEnd w:id="275"/>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该项目根据《乐山市金口河区财政局关于对延风中学男生宿舍学生用床、柜子采购项目询价建议的函》（金财询函〔2024〕2号）文件立项，</w:t>
      </w:r>
      <w:r>
        <w:rPr>
          <w:rFonts w:hint="eastAsia" w:ascii="仿宋" w:hAnsi="仿宋" w:eastAsia="仿宋" w:cs="仿宋"/>
          <w:bCs/>
          <w:szCs w:val="32"/>
          <w:lang w:eastAsia="zh-CN"/>
        </w:rPr>
        <w:t>经区财评中心评审，</w:t>
      </w:r>
      <w:r>
        <w:rPr>
          <w:rFonts w:hint="eastAsia" w:ascii="仿宋" w:hAnsi="仿宋" w:eastAsia="仿宋" w:cs="仿宋"/>
          <w:lang w:eastAsia="zh-CN"/>
        </w:rPr>
        <w:t>延风中学男生宿舍学生用床、柜子采购项目按680,640.00元(含税13%)作为最高限价进行招投标。</w:t>
      </w:r>
      <w:r>
        <w:rPr>
          <w:rFonts w:hint="eastAsia" w:ascii="仿宋" w:hAnsi="仿宋" w:eastAsia="仿宋" w:cs="仿宋"/>
          <w:bCs/>
          <w:spacing w:val="-7"/>
          <w:szCs w:val="32"/>
          <w:lang w:eastAsia="zh-CN"/>
        </w:rPr>
        <w:t>本项目立项符合国家法律法规、行业发展规划和政策要求。项目立项依据充分。依据评分方法，该指标得满分4.00分。</w:t>
      </w:r>
    </w:p>
    <w:p>
      <w:pPr>
        <w:pStyle w:val="5"/>
        <w:numPr>
          <w:ilvl w:val="0"/>
          <w:numId w:val="12"/>
        </w:numPr>
        <w:tabs>
          <w:tab w:val="left" w:pos="1418"/>
        </w:tabs>
        <w:ind w:left="0" w:firstLine="567" w:firstLineChars="0"/>
        <w:rPr>
          <w:rFonts w:hint="eastAsia" w:ascii="仿宋" w:hAnsi="仿宋" w:eastAsia="仿宋" w:cs="仿宋"/>
          <w:b w:val="0"/>
          <w:bCs/>
          <w:szCs w:val="32"/>
          <w:lang w:eastAsia="zh-CN"/>
        </w:rPr>
      </w:pPr>
      <w:bookmarkStart w:id="276" w:name="_Toc22744"/>
      <w:r>
        <w:rPr>
          <w:rFonts w:hint="eastAsia" w:ascii="仿宋" w:hAnsi="仿宋" w:eastAsia="仿宋" w:cs="仿宋"/>
          <w:b w:val="0"/>
          <w:bCs/>
          <w:szCs w:val="32"/>
          <w:lang w:eastAsia="zh-CN"/>
        </w:rPr>
        <w:t>立项程序规范性分析</w:t>
      </w:r>
      <w:bookmarkEnd w:id="276"/>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根据《乐山市金口河区财政局关于对延风中学男生宿舍学生用床、柜子采购项目询价建议的函》（金财询函〔2024〕2号）文件，乐山市金口河区财政局建议该项目按680,640.00元含税(13%)作为最高限价开展工作。2024年1月9日延风中学提交《乐山市金口河区财政采购项目申请表》，采购项目名称：延风中学男生宿舍学生用床、柜子采购项目，采购资金预算680,640.00元，采购资金来源为教育附加。2024年1月10日经乐山市金口河区财政局批复同意，按照《乐山市市级单位通用办公设备和家具配置标准》执行，项目资金来源为区级财政资金。项目立项程序规范，审批文件和材料合规完整。依据评分方法，该指标得满分4.00分。</w:t>
      </w:r>
    </w:p>
    <w:p>
      <w:pPr>
        <w:pStyle w:val="4"/>
        <w:numPr>
          <w:ilvl w:val="0"/>
          <w:numId w:val="11"/>
        </w:numPr>
        <w:ind w:firstLineChars="0"/>
        <w:rPr>
          <w:rFonts w:hint="eastAsia" w:ascii="仿宋" w:hAnsi="仿宋" w:eastAsia="仿宋" w:cs="仿宋"/>
          <w:b w:val="0"/>
          <w:bCs/>
          <w:szCs w:val="32"/>
        </w:rPr>
      </w:pPr>
      <w:bookmarkStart w:id="277" w:name="_Toc184035685"/>
      <w:bookmarkStart w:id="278" w:name="_Toc15647"/>
      <w:bookmarkStart w:id="279" w:name="_Toc1066907624"/>
      <w:bookmarkStart w:id="280" w:name="_Toc19426"/>
      <w:bookmarkStart w:id="281" w:name="_Toc487364833_WPSOffice_Level3"/>
      <w:bookmarkStart w:id="282" w:name="_Toc130033910"/>
      <w:bookmarkStart w:id="283" w:name="_Toc182802646"/>
      <w:bookmarkStart w:id="284" w:name="_Toc1744030325"/>
      <w:r>
        <w:rPr>
          <w:rFonts w:hint="eastAsia" w:ascii="仿宋" w:hAnsi="仿宋" w:eastAsia="仿宋" w:cs="仿宋"/>
          <w:b w:val="0"/>
          <w:bCs/>
          <w:szCs w:val="32"/>
        </w:rPr>
        <w:t>绩效目标</w:t>
      </w:r>
      <w:bookmarkEnd w:id="277"/>
      <w:bookmarkEnd w:id="278"/>
      <w:bookmarkEnd w:id="279"/>
      <w:bookmarkEnd w:id="280"/>
      <w:bookmarkEnd w:id="281"/>
      <w:bookmarkEnd w:id="282"/>
      <w:bookmarkEnd w:id="283"/>
      <w:bookmarkEnd w:id="284"/>
    </w:p>
    <w:p>
      <w:pPr>
        <w:pStyle w:val="5"/>
        <w:numPr>
          <w:ilvl w:val="1"/>
          <w:numId w:val="13"/>
        </w:numPr>
        <w:tabs>
          <w:tab w:val="left" w:pos="0"/>
        </w:tabs>
        <w:ind w:left="0" w:firstLine="567" w:firstLineChars="0"/>
        <w:rPr>
          <w:rFonts w:hint="eastAsia" w:ascii="仿宋" w:hAnsi="仿宋" w:eastAsia="仿宋" w:cs="仿宋"/>
          <w:b w:val="0"/>
          <w:bCs/>
          <w:szCs w:val="32"/>
          <w:lang w:eastAsia="zh-CN"/>
        </w:rPr>
      </w:pPr>
      <w:bookmarkStart w:id="285" w:name="_Toc31202"/>
      <w:r>
        <w:rPr>
          <w:rFonts w:hint="eastAsia" w:ascii="仿宋" w:hAnsi="仿宋" w:eastAsia="仿宋" w:cs="仿宋"/>
          <w:b w:val="0"/>
          <w:bCs/>
          <w:szCs w:val="32"/>
          <w:lang w:eastAsia="zh-CN"/>
        </w:rPr>
        <w:t>绩效目标合理性分析</w:t>
      </w:r>
      <w:bookmarkEnd w:id="285"/>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项目设置绩效目标符合《项目支出绩效评价管理办法》，制定了项目产出、效益、满意度指标；项目绩效目标明确合理，与项目实施的宗旨关联度较高，预期产出效益和效果符合正常的业绩水平；绩效目标与预算确定的资金量相匹配。根据评分标准，该指标得满分3.00分。</w:t>
      </w:r>
    </w:p>
    <w:p>
      <w:pPr>
        <w:pStyle w:val="5"/>
        <w:numPr>
          <w:ilvl w:val="0"/>
          <w:numId w:val="13"/>
        </w:numPr>
        <w:tabs>
          <w:tab w:val="left" w:pos="0"/>
        </w:tabs>
        <w:ind w:left="0" w:firstLine="567" w:firstLineChars="0"/>
        <w:rPr>
          <w:rFonts w:hint="eastAsia" w:ascii="仿宋" w:hAnsi="仿宋" w:eastAsia="仿宋" w:cs="仿宋"/>
          <w:b w:val="0"/>
          <w:bCs/>
          <w:szCs w:val="32"/>
          <w:lang w:eastAsia="zh-CN"/>
        </w:rPr>
      </w:pPr>
      <w:bookmarkStart w:id="286" w:name="_Toc15797"/>
      <w:r>
        <w:rPr>
          <w:rFonts w:hint="eastAsia" w:ascii="仿宋" w:hAnsi="仿宋" w:eastAsia="仿宋" w:cs="仿宋"/>
          <w:b w:val="0"/>
          <w:bCs/>
          <w:szCs w:val="32"/>
          <w:lang w:eastAsia="zh-CN"/>
        </w:rPr>
        <w:t>绩效指标明确性分析</w:t>
      </w:r>
      <w:bookmarkEnd w:id="286"/>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项目所设定的绩效指标基本符合《项目支出绩效评价管理办法》，依据产出、效益、满意度三项绩效目标细化分解为具体的绩效指标，设定的绩效指标中产出指标不够精确。根据评分标准，该指标满分3.00分，扣1.50分，得分1.50分。</w:t>
      </w:r>
    </w:p>
    <w:p>
      <w:pPr>
        <w:pStyle w:val="4"/>
        <w:numPr>
          <w:ilvl w:val="0"/>
          <w:numId w:val="11"/>
        </w:numPr>
        <w:ind w:firstLineChars="0"/>
        <w:rPr>
          <w:rFonts w:hint="eastAsia" w:ascii="仿宋" w:hAnsi="仿宋" w:eastAsia="仿宋" w:cs="仿宋"/>
          <w:b w:val="0"/>
          <w:bCs/>
          <w:szCs w:val="32"/>
          <w:lang w:eastAsia="zh-CN"/>
        </w:rPr>
      </w:pPr>
      <w:bookmarkStart w:id="287" w:name="_Toc913374372"/>
      <w:bookmarkStart w:id="288" w:name="_Toc638118573_WPSOffice_Level3"/>
      <w:bookmarkStart w:id="289" w:name="_Toc7990"/>
      <w:bookmarkStart w:id="290" w:name="_Toc130033911"/>
      <w:bookmarkStart w:id="291" w:name="_Toc711306115"/>
      <w:bookmarkStart w:id="292" w:name="_Toc11402"/>
      <w:bookmarkStart w:id="293" w:name="_Toc1462456112"/>
      <w:bookmarkStart w:id="294" w:name="_Toc27984118"/>
      <w:r>
        <w:rPr>
          <w:rFonts w:hint="eastAsia" w:ascii="仿宋" w:hAnsi="仿宋" w:eastAsia="仿宋" w:cs="仿宋"/>
          <w:b w:val="0"/>
          <w:bCs/>
          <w:szCs w:val="32"/>
          <w:lang w:eastAsia="zh-CN"/>
        </w:rPr>
        <w:t>资金投入</w:t>
      </w:r>
      <w:bookmarkEnd w:id="287"/>
      <w:bookmarkEnd w:id="288"/>
      <w:bookmarkEnd w:id="289"/>
      <w:bookmarkEnd w:id="290"/>
      <w:bookmarkEnd w:id="291"/>
      <w:bookmarkEnd w:id="292"/>
      <w:bookmarkEnd w:id="293"/>
      <w:bookmarkEnd w:id="294"/>
    </w:p>
    <w:p>
      <w:pPr>
        <w:pStyle w:val="5"/>
        <w:numPr>
          <w:ilvl w:val="1"/>
          <w:numId w:val="14"/>
        </w:numPr>
        <w:tabs>
          <w:tab w:val="left" w:pos="1418"/>
        </w:tabs>
        <w:ind w:left="0" w:firstLine="643" w:firstLineChars="0"/>
        <w:rPr>
          <w:rFonts w:hint="eastAsia" w:ascii="仿宋" w:hAnsi="仿宋" w:eastAsia="仿宋" w:cs="仿宋"/>
          <w:b w:val="0"/>
          <w:bCs/>
          <w:szCs w:val="32"/>
          <w:lang w:eastAsia="zh-CN"/>
        </w:rPr>
      </w:pPr>
      <w:bookmarkStart w:id="295" w:name="_Toc28796"/>
      <w:r>
        <w:rPr>
          <w:rFonts w:hint="eastAsia" w:ascii="仿宋" w:hAnsi="仿宋" w:eastAsia="仿宋" w:cs="仿宋"/>
          <w:b w:val="0"/>
          <w:bCs/>
          <w:szCs w:val="32"/>
          <w:lang w:eastAsia="zh-CN"/>
        </w:rPr>
        <w:t>预算编制的科学性分析</w:t>
      </w:r>
      <w:bookmarkEnd w:id="295"/>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计划采购量：床96套(每套3人位)、柜子96组、床板288张、棕榈垫288张、凳子288个。预算内容与项目内容匹配，预算额度依据充分，考虑了实际情况。根据评分标准，该指标</w:t>
      </w:r>
      <w:r>
        <w:rPr>
          <w:rFonts w:hint="eastAsia" w:ascii="仿宋" w:hAnsi="仿宋" w:eastAsia="仿宋" w:cs="仿宋"/>
          <w:bCs/>
          <w:spacing w:val="-7"/>
          <w:szCs w:val="32"/>
          <w:lang w:val="en-US" w:eastAsia="zh-CN"/>
        </w:rPr>
        <w:t>得</w:t>
      </w:r>
      <w:r>
        <w:rPr>
          <w:rFonts w:hint="eastAsia" w:ascii="仿宋" w:hAnsi="仿宋" w:eastAsia="仿宋" w:cs="仿宋"/>
          <w:bCs/>
          <w:spacing w:val="-7"/>
          <w:szCs w:val="32"/>
          <w:lang w:eastAsia="zh-CN"/>
        </w:rPr>
        <w:t>满分</w:t>
      </w:r>
      <w:r>
        <w:rPr>
          <w:rFonts w:hint="eastAsia" w:ascii="仿宋" w:hAnsi="仿宋" w:eastAsia="仿宋" w:cs="仿宋"/>
          <w:bCs/>
          <w:spacing w:val="-7"/>
          <w:szCs w:val="32"/>
          <w:lang w:val="en-US" w:eastAsia="zh-CN"/>
        </w:rPr>
        <w:t>3.00</w:t>
      </w:r>
      <w:r>
        <w:rPr>
          <w:rFonts w:hint="eastAsia" w:ascii="仿宋" w:hAnsi="仿宋" w:eastAsia="仿宋" w:cs="仿宋"/>
          <w:bCs/>
          <w:spacing w:val="-7"/>
          <w:szCs w:val="32"/>
          <w:lang w:eastAsia="zh-CN"/>
        </w:rPr>
        <w:t>分。</w:t>
      </w:r>
    </w:p>
    <w:p>
      <w:pPr>
        <w:pStyle w:val="5"/>
        <w:numPr>
          <w:ilvl w:val="0"/>
          <w:numId w:val="14"/>
        </w:numPr>
        <w:tabs>
          <w:tab w:val="left" w:pos="1418"/>
        </w:tabs>
        <w:ind w:left="0" w:firstLine="643" w:firstLineChars="0"/>
        <w:rPr>
          <w:rFonts w:hint="eastAsia" w:ascii="仿宋" w:hAnsi="仿宋" w:eastAsia="仿宋" w:cs="仿宋"/>
          <w:b w:val="0"/>
          <w:bCs/>
          <w:szCs w:val="32"/>
          <w:lang w:eastAsia="zh-CN"/>
        </w:rPr>
      </w:pPr>
      <w:bookmarkStart w:id="296" w:name="_Toc25915"/>
      <w:r>
        <w:rPr>
          <w:rFonts w:hint="eastAsia" w:ascii="仿宋" w:hAnsi="仿宋" w:eastAsia="仿宋" w:cs="仿宋"/>
          <w:b w:val="0"/>
          <w:bCs/>
          <w:szCs w:val="32"/>
          <w:lang w:eastAsia="zh-CN"/>
        </w:rPr>
        <w:t>资金分配合理性分析</w:t>
      </w:r>
      <w:bookmarkEnd w:id="296"/>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延风中学2023年10月有住校男生182人，考虑以后住校生人数增加，拟增加公寓床共300个床位、储物柜100个(3门)。结合床、柜子市场价格，申请资金837,600.00元，经《乐山市金口河区财政局关于对延风中学男生宿舍学生用床、柜子采购项目询价建议的函》（金财询函〔2024〕2号）文件审核，确认最高限价680,640.00元。预算资金分配依据合理、资金分析额度合理。根据评分标准，该指标得满分3.00分。</w:t>
      </w:r>
    </w:p>
    <w:p>
      <w:pPr>
        <w:pStyle w:val="3"/>
        <w:numPr>
          <w:ilvl w:val="0"/>
          <w:numId w:val="10"/>
        </w:numPr>
        <w:spacing w:before="0" w:beforeLines="0" w:after="0" w:afterLines="0"/>
        <w:ind w:firstLineChars="0"/>
        <w:rPr>
          <w:rFonts w:hint="eastAsia" w:ascii="楷体" w:hAnsi="楷体" w:eastAsia="楷体" w:cs="楷体"/>
          <w:b w:val="0"/>
          <w:bCs/>
          <w:szCs w:val="32"/>
        </w:rPr>
      </w:pPr>
      <w:bookmarkStart w:id="297" w:name="_Toc179658327"/>
      <w:bookmarkStart w:id="298" w:name="_Toc839"/>
      <w:bookmarkStart w:id="299" w:name="_Toc2027895603"/>
      <w:bookmarkStart w:id="300" w:name="_Toc132480968"/>
      <w:bookmarkStart w:id="301" w:name="_Toc1492000300_WPSOffice_Level2"/>
      <w:bookmarkStart w:id="302" w:name="_Toc869961448"/>
      <w:bookmarkStart w:id="303" w:name="_Toc24776"/>
      <w:bookmarkStart w:id="304" w:name="_Toc1549534469"/>
      <w:bookmarkStart w:id="305" w:name="_Toc30152533"/>
      <w:r>
        <w:rPr>
          <w:rFonts w:hint="eastAsia" w:ascii="楷体" w:hAnsi="楷体" w:eastAsia="楷体" w:cs="楷体"/>
          <w:b w:val="0"/>
          <w:bCs/>
          <w:szCs w:val="32"/>
        </w:rPr>
        <w:t>项目过程情况</w:t>
      </w:r>
      <w:bookmarkEnd w:id="297"/>
      <w:bookmarkEnd w:id="298"/>
      <w:bookmarkEnd w:id="299"/>
      <w:bookmarkEnd w:id="300"/>
      <w:bookmarkEnd w:id="301"/>
      <w:bookmarkEnd w:id="302"/>
      <w:bookmarkEnd w:id="303"/>
      <w:bookmarkEnd w:id="304"/>
      <w:bookmarkEnd w:id="305"/>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项目管理过程是保证项目获得效果的重要基础和前提，本次评价从资金管理和组织实施两个方面来评价项目管理的优劣。项目管理权重20.00分，本项目得分</w:t>
      </w:r>
      <w:r>
        <w:rPr>
          <w:rFonts w:hint="eastAsia" w:ascii="仿宋" w:hAnsi="仿宋" w:eastAsia="仿宋" w:cs="仿宋"/>
          <w:bCs/>
          <w:spacing w:val="-7"/>
          <w:szCs w:val="32"/>
          <w:lang w:val="en-US" w:eastAsia="zh-CN"/>
        </w:rPr>
        <w:t>19.88</w:t>
      </w:r>
      <w:r>
        <w:rPr>
          <w:rFonts w:hint="eastAsia" w:ascii="仿宋" w:hAnsi="仿宋" w:eastAsia="仿宋" w:cs="仿宋"/>
          <w:bCs/>
          <w:spacing w:val="-7"/>
          <w:szCs w:val="32"/>
          <w:lang w:eastAsia="zh-CN"/>
        </w:rPr>
        <w:t>分，得分率</w:t>
      </w:r>
      <w:r>
        <w:rPr>
          <w:rFonts w:hint="eastAsia" w:ascii="仿宋" w:hAnsi="仿宋" w:eastAsia="仿宋" w:cs="仿宋"/>
          <w:bCs/>
          <w:spacing w:val="-7"/>
          <w:szCs w:val="32"/>
          <w:lang w:val="en-US" w:eastAsia="zh-CN"/>
        </w:rPr>
        <w:t>99.40</w:t>
      </w:r>
      <w:r>
        <w:rPr>
          <w:rFonts w:hint="eastAsia" w:ascii="仿宋" w:hAnsi="仿宋" w:eastAsia="仿宋" w:cs="仿宋"/>
          <w:bCs/>
          <w:spacing w:val="-7"/>
          <w:szCs w:val="32"/>
          <w:lang w:eastAsia="zh-CN"/>
        </w:rPr>
        <w:t>%。项目过程总体而言情况较好，资金到位率、资金使用合规性指标得满分。具体得分情况见下表4-2：</w:t>
      </w:r>
    </w:p>
    <w:p>
      <w:pPr>
        <w:ind w:firstLine="0" w:firstLineChars="0"/>
        <w:jc w:val="center"/>
        <w:rPr>
          <w:rFonts w:hint="eastAsia" w:ascii="仿宋" w:hAnsi="仿宋" w:eastAsia="仿宋" w:cs="仿宋"/>
          <w:bCs/>
          <w:szCs w:val="32"/>
        </w:rPr>
      </w:pPr>
      <w:r>
        <w:rPr>
          <w:rFonts w:hint="eastAsia" w:ascii="仿宋" w:hAnsi="仿宋" w:eastAsia="仿宋" w:cs="仿宋"/>
          <w:bCs/>
          <w:szCs w:val="32"/>
        </w:rPr>
        <w:t>表4-2项目过程指标得分</w:t>
      </w:r>
    </w:p>
    <w:tbl>
      <w:tblPr>
        <w:tblStyle w:val="22"/>
        <w:tblW w:w="5000" w:type="pct"/>
        <w:tblInd w:w="0" w:type="dxa"/>
        <w:tblLayout w:type="autofit"/>
        <w:tblCellMar>
          <w:top w:w="0" w:type="dxa"/>
          <w:left w:w="108" w:type="dxa"/>
          <w:bottom w:w="0" w:type="dxa"/>
          <w:right w:w="108" w:type="dxa"/>
        </w:tblCellMar>
      </w:tblPr>
      <w:tblGrid>
        <w:gridCol w:w="2130"/>
        <w:gridCol w:w="2130"/>
        <w:gridCol w:w="2131"/>
        <w:gridCol w:w="2131"/>
      </w:tblGrid>
      <w:tr>
        <w:tblPrEx>
          <w:tblCellMar>
            <w:top w:w="0" w:type="dxa"/>
            <w:left w:w="108" w:type="dxa"/>
            <w:bottom w:w="0" w:type="dxa"/>
            <w:right w:w="108" w:type="dxa"/>
          </w:tblCellMar>
        </w:tblPrEx>
        <w:trPr>
          <w:trHeight w:val="567" w:hRule="atLeast"/>
          <w:tblHeader/>
        </w:trPr>
        <w:tc>
          <w:tcPr>
            <w:tcW w:w="1250"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二级指标</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分数</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w:t>
            </w:r>
          </w:p>
        </w:tc>
        <w:tc>
          <w:tcPr>
            <w:tcW w:w="1250"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得分率</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资金管理</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2" w:leftChars="-18" w:hanging="60" w:hangingChars="25"/>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10</w:t>
            </w:r>
          </w:p>
        </w:tc>
        <w:tc>
          <w:tcPr>
            <w:tcW w:w="21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left="2" w:leftChars="-18" w:hanging="60" w:hangingChars="25"/>
              <w:jc w:val="center"/>
              <w:textAlignment w:val="center"/>
              <w:rPr>
                <w:rFonts w:hint="eastAsia" w:ascii="仿宋" w:hAnsi="仿宋" w:eastAsia="仿宋" w:cs="仿宋"/>
                <w:bCs/>
                <w:sz w:val="24"/>
              </w:rPr>
            </w:pPr>
            <w:r>
              <w:rPr>
                <w:rFonts w:hint="eastAsia" w:ascii="仿宋" w:hAnsi="仿宋" w:eastAsia="仿宋" w:cs="仿宋"/>
                <w:bCs/>
                <w:sz w:val="24"/>
                <w:lang w:val="en-US" w:eastAsia="zh-CN"/>
              </w:rPr>
              <w:t>9.88</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left="2" w:leftChars="-18" w:hanging="60" w:hangingChars="25"/>
              <w:jc w:val="center"/>
              <w:textAlignment w:val="center"/>
              <w:rPr>
                <w:rFonts w:hint="eastAsia" w:ascii="仿宋" w:hAnsi="仿宋" w:eastAsia="仿宋" w:cs="仿宋"/>
                <w:bCs/>
                <w:sz w:val="24"/>
              </w:rPr>
            </w:pPr>
            <w:r>
              <w:rPr>
                <w:rFonts w:hint="eastAsia" w:ascii="仿宋" w:hAnsi="仿宋" w:eastAsia="仿宋" w:cs="仿宋"/>
                <w:bCs/>
                <w:sz w:val="24"/>
                <w:lang w:val="en-US" w:eastAsia="zh-CN"/>
              </w:rPr>
              <w:t>98.80%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组织实施</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2" w:leftChars="-18" w:hanging="60" w:hangingChars="25"/>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10</w:t>
            </w:r>
          </w:p>
        </w:tc>
        <w:tc>
          <w:tcPr>
            <w:tcW w:w="21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left="2" w:leftChars="-18" w:hanging="60" w:hangingChars="25"/>
              <w:jc w:val="center"/>
              <w:textAlignment w:val="center"/>
              <w:rPr>
                <w:rFonts w:hint="eastAsia" w:ascii="仿宋" w:hAnsi="仿宋" w:eastAsia="仿宋" w:cs="仿宋"/>
                <w:bCs/>
                <w:sz w:val="24"/>
              </w:rPr>
            </w:pPr>
            <w:r>
              <w:rPr>
                <w:rFonts w:hint="eastAsia" w:ascii="仿宋" w:hAnsi="仿宋" w:eastAsia="仿宋" w:cs="仿宋"/>
                <w:bCs/>
                <w:sz w:val="24"/>
                <w:lang w:val="en-US" w:eastAsia="zh-CN"/>
              </w:rPr>
              <w:t>10</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left="2" w:leftChars="-18" w:hanging="60" w:hangingChars="25"/>
              <w:jc w:val="center"/>
              <w:textAlignment w:val="center"/>
              <w:rPr>
                <w:rFonts w:hint="eastAsia" w:ascii="仿宋" w:hAnsi="仿宋" w:eastAsia="仿宋" w:cs="仿宋"/>
                <w:bCs/>
                <w:sz w:val="24"/>
              </w:rPr>
            </w:pPr>
            <w:r>
              <w:rPr>
                <w:rFonts w:hint="eastAsia" w:ascii="仿宋" w:hAnsi="仿宋" w:eastAsia="仿宋" w:cs="仿宋"/>
                <w:bCs/>
                <w:sz w:val="24"/>
                <w:lang w:val="en-US" w:eastAsia="zh-CN"/>
              </w:rPr>
              <w:t>100.00%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合计</w:t>
            </w:r>
          </w:p>
        </w:tc>
        <w:tc>
          <w:tcPr>
            <w:tcW w:w="2130"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ind w:left="2" w:leftChars="-18" w:hanging="60" w:hangingChars="25"/>
              <w:jc w:val="center"/>
              <w:textAlignment w:val="bottom"/>
              <w:rPr>
                <w:rFonts w:hint="eastAsia" w:ascii="仿宋" w:hAnsi="仿宋" w:eastAsia="仿宋" w:cs="仿宋"/>
                <w:bCs/>
                <w:sz w:val="24"/>
                <w:lang w:eastAsia="zh-CN"/>
              </w:rPr>
            </w:pPr>
            <w:r>
              <w:rPr>
                <w:rFonts w:hint="eastAsia" w:ascii="仿宋" w:hAnsi="仿宋" w:eastAsia="仿宋" w:cs="仿宋"/>
                <w:i w:val="0"/>
                <w:iCs w:val="0"/>
                <w:color w:val="000000"/>
                <w:kern w:val="0"/>
                <w:sz w:val="24"/>
                <w:szCs w:val="24"/>
                <w:u w:val="none"/>
                <w:lang w:val="en-US" w:eastAsia="zh-CN" w:bidi="ar"/>
              </w:rPr>
              <w:t>20</w:t>
            </w:r>
          </w:p>
        </w:tc>
        <w:tc>
          <w:tcPr>
            <w:tcW w:w="2131" w:type="dxa"/>
            <w:tcBorders>
              <w:top w:val="single" w:color="auto" w:sz="4" w:space="0"/>
              <w:left w:val="nil"/>
              <w:bottom w:val="single" w:color="auto" w:sz="4" w:space="0"/>
              <w:right w:val="single" w:color="auto" w:sz="4" w:space="0"/>
            </w:tcBorders>
            <w:vAlign w:val="bottom"/>
          </w:tcPr>
          <w:p>
            <w:pPr>
              <w:keepNext w:val="0"/>
              <w:keepLines w:val="0"/>
              <w:widowControl/>
              <w:suppressLineNumbers w:val="0"/>
              <w:ind w:left="2" w:leftChars="-18" w:hanging="60" w:hangingChars="25"/>
              <w:jc w:val="center"/>
              <w:textAlignment w:val="center"/>
              <w:rPr>
                <w:rFonts w:hint="eastAsia" w:ascii="仿宋" w:hAnsi="仿宋" w:eastAsia="仿宋" w:cs="仿宋"/>
                <w:bCs/>
                <w:sz w:val="24"/>
                <w:lang w:eastAsia="zh-CN"/>
              </w:rPr>
            </w:pPr>
            <w:r>
              <w:rPr>
                <w:rFonts w:hint="eastAsia" w:ascii="仿宋" w:hAnsi="仿宋" w:eastAsia="仿宋" w:cs="仿宋"/>
                <w:bCs/>
                <w:sz w:val="24"/>
                <w:lang w:val="en-US" w:eastAsia="zh-CN"/>
              </w:rPr>
              <w:t>19.88</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left="2" w:leftChars="-18" w:hanging="60" w:hangingChars="25"/>
              <w:jc w:val="center"/>
              <w:textAlignment w:val="center"/>
              <w:rPr>
                <w:rFonts w:hint="eastAsia" w:ascii="仿宋" w:hAnsi="仿宋" w:eastAsia="仿宋" w:cs="仿宋"/>
                <w:bCs/>
                <w:sz w:val="24"/>
              </w:rPr>
            </w:pPr>
            <w:r>
              <w:rPr>
                <w:rFonts w:hint="eastAsia" w:ascii="仿宋" w:hAnsi="仿宋" w:eastAsia="仿宋" w:cs="仿宋"/>
                <w:bCs/>
                <w:sz w:val="24"/>
                <w:lang w:val="en-US" w:eastAsia="zh-CN"/>
              </w:rPr>
              <w:t>99.40%</w:t>
            </w:r>
          </w:p>
        </w:tc>
      </w:tr>
    </w:tbl>
    <w:p>
      <w:pPr>
        <w:pStyle w:val="4"/>
        <w:numPr>
          <w:ilvl w:val="0"/>
          <w:numId w:val="15"/>
        </w:numPr>
        <w:ind w:firstLineChars="0"/>
        <w:rPr>
          <w:rFonts w:hint="eastAsia" w:ascii="仿宋" w:hAnsi="仿宋" w:eastAsia="仿宋" w:cs="仿宋"/>
          <w:b w:val="0"/>
          <w:bCs/>
          <w:szCs w:val="32"/>
        </w:rPr>
      </w:pPr>
      <w:r>
        <w:rPr>
          <w:rFonts w:hint="eastAsia" w:ascii="仿宋" w:hAnsi="仿宋" w:eastAsia="仿宋" w:cs="仿宋"/>
          <w:b w:val="0"/>
          <w:bCs/>
          <w:szCs w:val="32"/>
        </w:rPr>
        <w:t>资金管理</w:t>
      </w:r>
      <w:bookmarkEnd w:id="259"/>
      <w:bookmarkEnd w:id="260"/>
      <w:bookmarkEnd w:id="261"/>
      <w:bookmarkEnd w:id="262"/>
      <w:bookmarkEnd w:id="263"/>
      <w:bookmarkEnd w:id="264"/>
      <w:bookmarkEnd w:id="265"/>
      <w:bookmarkEnd w:id="266"/>
    </w:p>
    <w:p>
      <w:pPr>
        <w:pStyle w:val="5"/>
        <w:numPr>
          <w:ilvl w:val="0"/>
          <w:numId w:val="16"/>
        </w:numPr>
        <w:tabs>
          <w:tab w:val="left" w:pos="0"/>
        </w:tabs>
        <w:ind w:left="0" w:firstLine="692" w:firstLineChars="0"/>
        <w:rPr>
          <w:rFonts w:hint="eastAsia" w:ascii="仿宋" w:hAnsi="仿宋" w:eastAsia="仿宋" w:cs="仿宋"/>
          <w:b w:val="0"/>
          <w:bCs/>
          <w:szCs w:val="32"/>
        </w:rPr>
      </w:pPr>
      <w:bookmarkStart w:id="306" w:name="_Toc16469"/>
      <w:r>
        <w:rPr>
          <w:rFonts w:hint="eastAsia" w:ascii="仿宋" w:hAnsi="仿宋" w:eastAsia="仿宋" w:cs="仿宋"/>
          <w:b w:val="0"/>
          <w:bCs/>
          <w:szCs w:val="32"/>
        </w:rPr>
        <w:t>资金到位</w:t>
      </w:r>
      <w:r>
        <w:rPr>
          <w:rFonts w:hint="eastAsia" w:ascii="仿宋" w:hAnsi="仿宋" w:eastAsia="仿宋" w:cs="仿宋"/>
          <w:b w:val="0"/>
          <w:bCs/>
          <w:szCs w:val="32"/>
          <w:lang w:val="en-US" w:eastAsia="zh-CN"/>
        </w:rPr>
        <w:t>率</w:t>
      </w:r>
      <w:r>
        <w:rPr>
          <w:rFonts w:hint="eastAsia" w:ascii="仿宋" w:hAnsi="仿宋" w:eastAsia="仿宋" w:cs="仿宋"/>
          <w:b w:val="0"/>
          <w:bCs/>
          <w:szCs w:val="32"/>
        </w:rPr>
        <w:t>分析</w:t>
      </w:r>
      <w:bookmarkEnd w:id="306"/>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延风中学男生宿舍学生用床、柜子采购项目预算资金680,640.00元，实际到位680,640.00元，资金到位率100%。依据评分方法，该指标满分</w:t>
      </w:r>
      <w:r>
        <w:rPr>
          <w:rFonts w:hint="eastAsia" w:ascii="仿宋" w:hAnsi="仿宋" w:eastAsia="仿宋" w:cs="仿宋"/>
          <w:bCs/>
          <w:spacing w:val="-7"/>
          <w:szCs w:val="32"/>
          <w:lang w:val="en-US" w:eastAsia="zh-CN"/>
        </w:rPr>
        <w:t>3.00</w:t>
      </w:r>
      <w:r>
        <w:rPr>
          <w:rFonts w:hint="eastAsia" w:ascii="仿宋" w:hAnsi="仿宋" w:eastAsia="仿宋" w:cs="仿宋"/>
          <w:bCs/>
          <w:spacing w:val="-7"/>
          <w:szCs w:val="32"/>
          <w:lang w:eastAsia="zh-CN"/>
        </w:rPr>
        <w:t>分。</w:t>
      </w:r>
    </w:p>
    <w:p>
      <w:pPr>
        <w:pStyle w:val="5"/>
        <w:numPr>
          <w:ilvl w:val="0"/>
          <w:numId w:val="16"/>
        </w:numPr>
        <w:tabs>
          <w:tab w:val="left" w:pos="0"/>
        </w:tabs>
        <w:ind w:left="0" w:firstLine="692" w:firstLineChars="0"/>
        <w:rPr>
          <w:rFonts w:hint="eastAsia" w:ascii="仿宋" w:hAnsi="仿宋" w:eastAsia="仿宋" w:cs="仿宋"/>
          <w:b w:val="0"/>
          <w:bCs/>
          <w:szCs w:val="32"/>
          <w:lang w:eastAsia="zh-CN"/>
        </w:rPr>
      </w:pPr>
      <w:bookmarkStart w:id="307" w:name="_Toc31737"/>
      <w:r>
        <w:rPr>
          <w:rFonts w:hint="eastAsia" w:ascii="仿宋" w:hAnsi="仿宋" w:eastAsia="仿宋" w:cs="仿宋"/>
          <w:b w:val="0"/>
          <w:bCs/>
          <w:szCs w:val="32"/>
          <w:lang w:eastAsia="zh-CN"/>
        </w:rPr>
        <w:t>预算执行率分析</w:t>
      </w:r>
      <w:bookmarkEnd w:id="307"/>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延风中学男生宿舍学生用床、柜子采购项目预算资金为680,640.00元，实际到位680,640.00元，截止2024年年末，已支出653,508.00元，</w:t>
      </w:r>
      <w:r>
        <w:rPr>
          <w:rFonts w:hint="eastAsia" w:ascii="仿宋" w:hAnsi="仿宋" w:eastAsia="仿宋" w:cs="仿宋"/>
          <w:bCs/>
          <w:spacing w:val="-7"/>
          <w:szCs w:val="32"/>
          <w:lang w:val="en-US" w:eastAsia="zh-CN"/>
        </w:rPr>
        <w:t>剩余27,132.00元(其中：</w:t>
      </w:r>
      <w:r>
        <w:rPr>
          <w:rFonts w:hint="eastAsia" w:ascii="仿宋" w:hAnsi="仿宋" w:eastAsia="仿宋" w:cs="仿宋"/>
          <w:bCs/>
          <w:spacing w:val="-7"/>
          <w:szCs w:val="32"/>
          <w:lang w:eastAsia="zh-CN"/>
        </w:rPr>
        <w:t>20,212.00元</w:t>
      </w:r>
      <w:r>
        <w:rPr>
          <w:rFonts w:hint="eastAsia" w:ascii="仿宋" w:hAnsi="仿宋" w:eastAsia="仿宋" w:cs="仿宋"/>
          <w:bCs/>
          <w:spacing w:val="-7"/>
          <w:szCs w:val="32"/>
          <w:lang w:val="en-US" w:eastAsia="zh-CN"/>
        </w:rPr>
        <w:t>系为</w:t>
      </w:r>
      <w:r>
        <w:rPr>
          <w:rFonts w:hint="eastAsia" w:ascii="仿宋" w:hAnsi="仿宋" w:eastAsia="仿宋" w:cs="仿宋"/>
          <w:bCs/>
          <w:spacing w:val="-7"/>
          <w:szCs w:val="32"/>
          <w:lang w:eastAsia="zh-CN"/>
        </w:rPr>
        <w:t>满足支付条件尚未支付</w:t>
      </w:r>
      <w:r>
        <w:rPr>
          <w:rFonts w:hint="eastAsia" w:ascii="仿宋" w:hAnsi="仿宋" w:eastAsia="仿宋" w:cs="仿宋"/>
          <w:bCs/>
          <w:spacing w:val="-7"/>
          <w:szCs w:val="32"/>
          <w:lang w:val="en-US" w:eastAsia="zh-CN"/>
        </w:rPr>
        <w:t>的</w:t>
      </w:r>
      <w:r>
        <w:rPr>
          <w:rFonts w:hint="eastAsia" w:ascii="仿宋" w:hAnsi="仿宋" w:eastAsia="仿宋" w:cs="仿宋"/>
          <w:bCs/>
          <w:spacing w:val="-7"/>
          <w:szCs w:val="32"/>
          <w:highlight w:val="none"/>
          <w:lang w:eastAsia="zh-CN"/>
        </w:rPr>
        <w:t>质保金</w:t>
      </w:r>
      <w:r>
        <w:rPr>
          <w:rFonts w:hint="eastAsia" w:ascii="仿宋" w:hAnsi="仿宋" w:eastAsia="仿宋" w:cs="仿宋"/>
          <w:bCs/>
          <w:spacing w:val="-7"/>
          <w:szCs w:val="32"/>
          <w:lang w:val="en-US" w:eastAsia="zh-CN"/>
        </w:rPr>
        <w:t>)，</w:t>
      </w:r>
      <w:r>
        <w:rPr>
          <w:rFonts w:hint="eastAsia" w:ascii="仿宋" w:hAnsi="仿宋" w:eastAsia="仿宋" w:cs="仿宋"/>
          <w:bCs/>
          <w:spacing w:val="-7"/>
          <w:szCs w:val="32"/>
          <w:lang w:eastAsia="zh-CN"/>
        </w:rPr>
        <w:t>预算执行率为9</w:t>
      </w:r>
      <w:r>
        <w:rPr>
          <w:rFonts w:hint="eastAsia" w:ascii="仿宋" w:hAnsi="仿宋" w:eastAsia="仿宋" w:cs="仿宋"/>
          <w:bCs/>
          <w:spacing w:val="-7"/>
          <w:szCs w:val="32"/>
          <w:lang w:val="en-US" w:eastAsia="zh-CN"/>
        </w:rPr>
        <w:t>6</w:t>
      </w:r>
      <w:r>
        <w:rPr>
          <w:rFonts w:hint="eastAsia" w:ascii="仿宋" w:hAnsi="仿宋" w:eastAsia="仿宋" w:cs="仿宋"/>
          <w:bCs/>
          <w:spacing w:val="-7"/>
          <w:szCs w:val="32"/>
          <w:lang w:eastAsia="zh-CN"/>
        </w:rPr>
        <w:t>.0</w:t>
      </w:r>
      <w:r>
        <w:rPr>
          <w:rFonts w:hint="eastAsia" w:ascii="仿宋" w:hAnsi="仿宋" w:eastAsia="仿宋" w:cs="仿宋"/>
          <w:bCs/>
          <w:spacing w:val="-7"/>
          <w:szCs w:val="32"/>
          <w:lang w:val="en-US" w:eastAsia="zh-CN"/>
        </w:rPr>
        <w:t>1</w:t>
      </w:r>
      <w:r>
        <w:rPr>
          <w:rFonts w:hint="eastAsia" w:ascii="仿宋" w:hAnsi="仿宋" w:eastAsia="仿宋" w:cs="仿宋"/>
          <w:bCs/>
          <w:spacing w:val="-7"/>
          <w:szCs w:val="32"/>
          <w:lang w:eastAsia="zh-CN"/>
        </w:rPr>
        <w:t>%。根据评分标准，</w:t>
      </w:r>
      <w:r>
        <w:rPr>
          <w:rFonts w:hint="eastAsia" w:ascii="仿宋" w:hAnsi="仿宋" w:eastAsia="仿宋" w:cs="仿宋"/>
          <w:bCs/>
          <w:spacing w:val="-7"/>
          <w:szCs w:val="32"/>
          <w:lang w:val="en-US" w:eastAsia="zh-CN"/>
        </w:rPr>
        <w:t>该指标</w:t>
      </w:r>
      <w:r>
        <w:rPr>
          <w:rFonts w:hint="eastAsia" w:ascii="仿宋" w:hAnsi="仿宋" w:eastAsia="仿宋" w:cs="仿宋"/>
          <w:bCs/>
          <w:spacing w:val="-7"/>
          <w:szCs w:val="32"/>
          <w:lang w:eastAsia="zh-CN"/>
        </w:rPr>
        <w:t>实际得分2.</w:t>
      </w:r>
      <w:r>
        <w:rPr>
          <w:rFonts w:hint="eastAsia" w:ascii="仿宋" w:hAnsi="仿宋" w:eastAsia="仿宋" w:cs="仿宋"/>
          <w:bCs/>
          <w:spacing w:val="-7"/>
          <w:szCs w:val="32"/>
          <w:lang w:val="en-US" w:eastAsia="zh-CN"/>
        </w:rPr>
        <w:t>88</w:t>
      </w:r>
      <w:r>
        <w:rPr>
          <w:rFonts w:hint="eastAsia" w:ascii="仿宋" w:hAnsi="仿宋" w:eastAsia="仿宋" w:cs="仿宋"/>
          <w:bCs/>
          <w:spacing w:val="-7"/>
          <w:szCs w:val="32"/>
          <w:lang w:eastAsia="zh-CN"/>
        </w:rPr>
        <w:t>分。</w:t>
      </w:r>
    </w:p>
    <w:p>
      <w:pPr>
        <w:pStyle w:val="5"/>
        <w:numPr>
          <w:ilvl w:val="0"/>
          <w:numId w:val="16"/>
        </w:numPr>
        <w:tabs>
          <w:tab w:val="left" w:pos="0"/>
        </w:tabs>
        <w:ind w:left="0" w:firstLine="692" w:firstLineChars="0"/>
        <w:rPr>
          <w:rFonts w:hint="eastAsia" w:ascii="仿宋" w:hAnsi="仿宋" w:eastAsia="仿宋" w:cs="仿宋"/>
          <w:b w:val="0"/>
          <w:bCs/>
          <w:szCs w:val="32"/>
          <w:lang w:eastAsia="zh-CN"/>
        </w:rPr>
      </w:pPr>
      <w:bookmarkStart w:id="308" w:name="_Toc23462"/>
      <w:r>
        <w:rPr>
          <w:rFonts w:hint="eastAsia" w:ascii="仿宋" w:hAnsi="仿宋" w:eastAsia="仿宋" w:cs="仿宋"/>
          <w:b w:val="0"/>
          <w:bCs/>
          <w:szCs w:val="32"/>
          <w:lang w:eastAsia="zh-CN"/>
        </w:rPr>
        <w:t>资金使用合规性分析</w:t>
      </w:r>
      <w:bookmarkEnd w:id="308"/>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项目资金使用符合相关财务管理制度；资金的拨付有项目支款凭证、国库集中支付凭证、发票等项目审批手续。符合项目预算批复或合同规定的用途。未发现有截留、挤占、挪用、虚列支出等情况。依据评分方法，该指标得满分</w:t>
      </w:r>
      <w:r>
        <w:rPr>
          <w:rFonts w:hint="eastAsia" w:ascii="仿宋" w:hAnsi="仿宋" w:eastAsia="仿宋" w:cs="仿宋"/>
          <w:bCs/>
          <w:spacing w:val="-7"/>
          <w:szCs w:val="32"/>
          <w:lang w:val="en-US" w:eastAsia="zh-CN"/>
        </w:rPr>
        <w:t>4.00</w:t>
      </w:r>
      <w:r>
        <w:rPr>
          <w:rFonts w:hint="eastAsia" w:ascii="仿宋" w:hAnsi="仿宋" w:eastAsia="仿宋" w:cs="仿宋"/>
          <w:bCs/>
          <w:spacing w:val="-7"/>
          <w:szCs w:val="32"/>
          <w:lang w:eastAsia="zh-CN"/>
        </w:rPr>
        <w:t>分。</w:t>
      </w:r>
    </w:p>
    <w:p>
      <w:pPr>
        <w:pStyle w:val="4"/>
        <w:numPr>
          <w:ilvl w:val="0"/>
          <w:numId w:val="15"/>
        </w:numPr>
        <w:ind w:firstLineChars="0"/>
        <w:rPr>
          <w:rFonts w:hint="eastAsia" w:ascii="仿宋" w:hAnsi="仿宋" w:eastAsia="仿宋" w:cs="仿宋"/>
          <w:b w:val="0"/>
          <w:bCs/>
          <w:szCs w:val="32"/>
          <w:lang w:eastAsia="zh-CN"/>
        </w:rPr>
      </w:pPr>
      <w:bookmarkStart w:id="309" w:name="_Toc130033914"/>
      <w:bookmarkStart w:id="310" w:name="_Toc4421"/>
      <w:bookmarkStart w:id="311" w:name="_Toc1373844364"/>
      <w:bookmarkStart w:id="312" w:name="_Toc1511518389"/>
      <w:bookmarkStart w:id="313" w:name="_Toc1068875258"/>
      <w:bookmarkStart w:id="314" w:name="_Toc437812553"/>
      <w:bookmarkStart w:id="315" w:name="_Toc1429136542_WPSOffice_Level3"/>
      <w:bookmarkStart w:id="316" w:name="_Toc4141"/>
      <w:r>
        <w:rPr>
          <w:rFonts w:hint="eastAsia" w:ascii="仿宋" w:hAnsi="仿宋" w:eastAsia="仿宋" w:cs="仿宋"/>
          <w:b w:val="0"/>
          <w:bCs/>
          <w:szCs w:val="32"/>
          <w:lang w:eastAsia="zh-CN"/>
        </w:rPr>
        <w:t>组织实施</w:t>
      </w:r>
      <w:bookmarkEnd w:id="309"/>
      <w:bookmarkEnd w:id="310"/>
      <w:bookmarkEnd w:id="311"/>
      <w:bookmarkEnd w:id="312"/>
      <w:bookmarkEnd w:id="313"/>
      <w:bookmarkEnd w:id="314"/>
      <w:bookmarkEnd w:id="315"/>
      <w:bookmarkEnd w:id="316"/>
    </w:p>
    <w:p>
      <w:pPr>
        <w:pStyle w:val="5"/>
        <w:numPr>
          <w:ilvl w:val="0"/>
          <w:numId w:val="17"/>
        </w:numPr>
        <w:tabs>
          <w:tab w:val="left" w:pos="1418"/>
        </w:tabs>
        <w:ind w:left="0" w:firstLine="643" w:firstLineChars="0"/>
        <w:rPr>
          <w:rFonts w:hint="eastAsia" w:ascii="仿宋" w:hAnsi="仿宋" w:eastAsia="仿宋" w:cs="仿宋"/>
          <w:b w:val="0"/>
          <w:bCs/>
          <w:szCs w:val="32"/>
          <w:lang w:eastAsia="zh-CN"/>
        </w:rPr>
      </w:pPr>
      <w:bookmarkStart w:id="317" w:name="_Toc13128"/>
      <w:r>
        <w:rPr>
          <w:rFonts w:hint="eastAsia" w:ascii="仿宋" w:hAnsi="仿宋" w:eastAsia="仿宋" w:cs="仿宋"/>
          <w:b w:val="0"/>
          <w:bCs/>
          <w:szCs w:val="32"/>
          <w:lang w:eastAsia="zh-CN"/>
        </w:rPr>
        <w:t>项目采购合规性分析</w:t>
      </w:r>
      <w:bookmarkEnd w:id="317"/>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该项目在四川政府采购网上发布竞争性谈判，项目单位与具有相应资质且报价合理的供应商签订了《政府采购合同》。合同中约定了主要工作内容、基本职责等。根据评分标准，该指标得满分5.00分。</w:t>
      </w:r>
    </w:p>
    <w:p>
      <w:pPr>
        <w:pStyle w:val="5"/>
        <w:numPr>
          <w:ilvl w:val="0"/>
          <w:numId w:val="17"/>
        </w:numPr>
        <w:tabs>
          <w:tab w:val="left" w:pos="1418"/>
        </w:tabs>
        <w:ind w:left="0" w:firstLine="643" w:firstLineChars="0"/>
        <w:rPr>
          <w:rFonts w:hint="eastAsia" w:ascii="仿宋" w:hAnsi="仿宋" w:eastAsia="仿宋" w:cs="仿宋"/>
          <w:b w:val="0"/>
          <w:bCs/>
          <w:szCs w:val="32"/>
          <w:lang w:eastAsia="zh-CN"/>
        </w:rPr>
      </w:pPr>
      <w:bookmarkStart w:id="318" w:name="_Toc25551"/>
      <w:r>
        <w:rPr>
          <w:rFonts w:hint="eastAsia" w:ascii="仿宋" w:hAnsi="仿宋" w:eastAsia="仿宋" w:cs="仿宋"/>
          <w:b w:val="0"/>
          <w:bCs/>
          <w:szCs w:val="32"/>
          <w:lang w:eastAsia="zh-CN"/>
        </w:rPr>
        <w:t>合同管理和执行规范性分析</w:t>
      </w:r>
      <w:bookmarkEnd w:id="318"/>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通过查阅相关资料，项目单位在业务开展过程中的相关合同、档案资料及相关的重大决策会议纪要及附件齐全。根据评分标准，该指标得满分5.00分。</w:t>
      </w:r>
    </w:p>
    <w:p>
      <w:pPr>
        <w:pStyle w:val="3"/>
        <w:numPr>
          <w:ilvl w:val="0"/>
          <w:numId w:val="10"/>
        </w:numPr>
        <w:spacing w:before="0" w:beforeLines="0" w:after="0" w:afterLines="0"/>
        <w:ind w:firstLineChars="0"/>
        <w:rPr>
          <w:rFonts w:hint="eastAsia" w:ascii="楷体" w:hAnsi="楷体" w:eastAsia="楷体" w:cs="楷体"/>
          <w:b w:val="0"/>
          <w:bCs/>
          <w:szCs w:val="32"/>
        </w:rPr>
      </w:pPr>
      <w:bookmarkStart w:id="319" w:name="_Toc458053204"/>
      <w:bookmarkStart w:id="320" w:name="_Toc1036603649"/>
      <w:bookmarkStart w:id="321" w:name="_Toc179658328"/>
      <w:bookmarkStart w:id="322" w:name="_Toc885754051"/>
      <w:bookmarkStart w:id="323" w:name="_Toc2029979728_WPSOffice_Level2"/>
      <w:bookmarkStart w:id="324" w:name="_Toc18089"/>
      <w:bookmarkStart w:id="325" w:name="_Toc1505503560"/>
      <w:bookmarkStart w:id="326" w:name="_Toc132480969"/>
      <w:bookmarkStart w:id="327" w:name="_Toc5146"/>
      <w:r>
        <w:rPr>
          <w:rFonts w:hint="eastAsia" w:ascii="楷体" w:hAnsi="楷体" w:eastAsia="楷体" w:cs="楷体"/>
          <w:b w:val="0"/>
          <w:bCs/>
          <w:szCs w:val="32"/>
        </w:rPr>
        <w:t>项目产出情况</w:t>
      </w:r>
      <w:bookmarkEnd w:id="319"/>
      <w:bookmarkEnd w:id="320"/>
      <w:bookmarkEnd w:id="321"/>
      <w:bookmarkEnd w:id="322"/>
      <w:bookmarkEnd w:id="323"/>
      <w:bookmarkEnd w:id="324"/>
      <w:bookmarkEnd w:id="325"/>
      <w:bookmarkEnd w:id="326"/>
      <w:bookmarkEnd w:id="327"/>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项目产出是证明项目取得效果的重要依据，本次评价从产出数量、质量、时效和成本四个方面来评价项目。项目产出权重</w:t>
      </w:r>
      <w:r>
        <w:rPr>
          <w:rFonts w:hint="eastAsia" w:ascii="仿宋" w:hAnsi="仿宋" w:eastAsia="仿宋" w:cs="仿宋"/>
          <w:bCs/>
          <w:spacing w:val="-7"/>
          <w:szCs w:val="32"/>
          <w:lang w:val="en-US" w:eastAsia="zh-CN"/>
        </w:rPr>
        <w:t>28</w:t>
      </w:r>
      <w:r>
        <w:rPr>
          <w:rFonts w:hint="eastAsia" w:ascii="仿宋" w:hAnsi="仿宋" w:eastAsia="仿宋" w:cs="仿宋"/>
          <w:bCs/>
          <w:spacing w:val="-7"/>
          <w:szCs w:val="32"/>
          <w:lang w:eastAsia="zh-CN"/>
        </w:rPr>
        <w:t>.00分，本项目得分</w:t>
      </w:r>
      <w:r>
        <w:rPr>
          <w:rFonts w:hint="eastAsia" w:ascii="仿宋" w:hAnsi="仿宋" w:eastAsia="仿宋" w:cs="仿宋"/>
          <w:bCs/>
          <w:spacing w:val="-7"/>
          <w:szCs w:val="32"/>
          <w:lang w:val="en-US" w:eastAsia="zh-CN"/>
        </w:rPr>
        <w:t>24</w:t>
      </w:r>
      <w:r>
        <w:rPr>
          <w:rFonts w:hint="eastAsia" w:ascii="仿宋" w:hAnsi="仿宋" w:eastAsia="仿宋" w:cs="仿宋"/>
          <w:bCs/>
          <w:spacing w:val="-7"/>
          <w:szCs w:val="32"/>
          <w:lang w:eastAsia="zh-CN"/>
        </w:rPr>
        <w:t>.00分，得分率为</w:t>
      </w:r>
      <w:r>
        <w:rPr>
          <w:rFonts w:hint="eastAsia" w:ascii="仿宋" w:hAnsi="仿宋" w:eastAsia="仿宋" w:cs="仿宋"/>
          <w:bCs/>
          <w:spacing w:val="-7"/>
          <w:szCs w:val="32"/>
          <w:lang w:val="en-US" w:eastAsia="zh-CN"/>
        </w:rPr>
        <w:t>85.71</w:t>
      </w:r>
      <w:r>
        <w:rPr>
          <w:rFonts w:hint="eastAsia" w:ascii="仿宋" w:hAnsi="仿宋" w:eastAsia="仿宋" w:cs="仿宋"/>
          <w:bCs/>
          <w:spacing w:val="-7"/>
          <w:szCs w:val="32"/>
          <w:lang w:eastAsia="zh-CN"/>
        </w:rPr>
        <w:t>%。</w:t>
      </w:r>
      <w:r>
        <w:rPr>
          <w:rFonts w:hint="eastAsia" w:ascii="仿宋" w:hAnsi="仿宋" w:eastAsia="仿宋" w:cs="仿宋"/>
          <w:bCs/>
          <w:spacing w:val="-7"/>
          <w:szCs w:val="32"/>
          <w:lang w:val="en-US" w:eastAsia="zh-CN"/>
        </w:rPr>
        <w:t>扣分原因为</w:t>
      </w:r>
      <w:r>
        <w:rPr>
          <w:rFonts w:hint="eastAsia" w:ascii="仿宋" w:hAnsi="仿宋" w:eastAsia="仿宋" w:cs="仿宋"/>
          <w:bCs/>
          <w:spacing w:val="-7"/>
          <w:szCs w:val="32"/>
          <w:lang w:eastAsia="zh-CN"/>
        </w:rPr>
        <w:t>完成时间超出</w:t>
      </w:r>
      <w:r>
        <w:rPr>
          <w:rFonts w:hint="eastAsia" w:ascii="仿宋" w:hAnsi="仿宋" w:eastAsia="仿宋" w:cs="仿宋"/>
          <w:bCs/>
          <w:spacing w:val="-7"/>
          <w:szCs w:val="32"/>
          <w:lang w:val="en-US" w:eastAsia="zh-CN"/>
        </w:rPr>
        <w:t>审批</w:t>
      </w:r>
      <w:r>
        <w:rPr>
          <w:rFonts w:hint="eastAsia" w:ascii="仿宋" w:hAnsi="仿宋" w:eastAsia="仿宋" w:cs="仿宋"/>
          <w:bCs/>
          <w:spacing w:val="-7"/>
          <w:szCs w:val="32"/>
          <w:lang w:eastAsia="zh-CN"/>
        </w:rPr>
        <w:t>规定的时限。具体得分情况见下表4-3：</w:t>
      </w:r>
    </w:p>
    <w:p>
      <w:pPr>
        <w:ind w:firstLine="0" w:firstLineChars="0"/>
        <w:jc w:val="center"/>
        <w:rPr>
          <w:rFonts w:hint="eastAsia" w:ascii="仿宋" w:hAnsi="仿宋" w:eastAsia="仿宋" w:cs="仿宋"/>
          <w:bCs/>
          <w:szCs w:val="32"/>
        </w:rPr>
      </w:pPr>
      <w:r>
        <w:rPr>
          <w:rFonts w:hint="eastAsia" w:ascii="仿宋" w:hAnsi="仿宋" w:eastAsia="仿宋" w:cs="仿宋"/>
          <w:bCs/>
          <w:szCs w:val="32"/>
        </w:rPr>
        <w:t>表4-3项目产出指标得分</w:t>
      </w:r>
    </w:p>
    <w:tbl>
      <w:tblPr>
        <w:tblStyle w:val="22"/>
        <w:tblW w:w="5000" w:type="pct"/>
        <w:tblInd w:w="0" w:type="dxa"/>
        <w:tblLayout w:type="autofit"/>
        <w:tblCellMar>
          <w:top w:w="0" w:type="dxa"/>
          <w:left w:w="108" w:type="dxa"/>
          <w:bottom w:w="0" w:type="dxa"/>
          <w:right w:w="108" w:type="dxa"/>
        </w:tblCellMar>
      </w:tblPr>
      <w:tblGrid>
        <w:gridCol w:w="2130"/>
        <w:gridCol w:w="2130"/>
        <w:gridCol w:w="2131"/>
        <w:gridCol w:w="2131"/>
      </w:tblGrid>
      <w:tr>
        <w:tblPrEx>
          <w:tblCellMar>
            <w:top w:w="0" w:type="dxa"/>
            <w:left w:w="108" w:type="dxa"/>
            <w:bottom w:w="0" w:type="dxa"/>
            <w:right w:w="108" w:type="dxa"/>
          </w:tblCellMar>
        </w:tblPrEx>
        <w:trPr>
          <w:trHeight w:val="567" w:hRule="atLeast"/>
          <w:tblHeader/>
        </w:trPr>
        <w:tc>
          <w:tcPr>
            <w:tcW w:w="1250"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二级指标</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分数</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得分率</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产出数量</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8</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8</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100.00%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产出质量</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8</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8</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100.00%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产出时效</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4</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0</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产出成本</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8</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8</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100.00%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合计</w:t>
            </w:r>
          </w:p>
        </w:tc>
        <w:tc>
          <w:tcPr>
            <w:tcW w:w="2130"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bCs/>
                <w:sz w:val="24"/>
                <w:lang w:eastAsia="zh-CN"/>
              </w:rPr>
            </w:pPr>
            <w:r>
              <w:rPr>
                <w:rFonts w:hint="eastAsia" w:ascii="仿宋" w:hAnsi="仿宋" w:eastAsia="仿宋" w:cs="仿宋"/>
                <w:i w:val="0"/>
                <w:iCs w:val="0"/>
                <w:color w:val="000000"/>
                <w:kern w:val="0"/>
                <w:sz w:val="24"/>
                <w:szCs w:val="24"/>
                <w:u w:val="none"/>
                <w:lang w:val="en-US" w:eastAsia="zh-CN" w:bidi="ar"/>
              </w:rPr>
              <w:t>28</w:t>
            </w:r>
          </w:p>
        </w:tc>
        <w:tc>
          <w:tcPr>
            <w:tcW w:w="213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bCs/>
                <w:sz w:val="24"/>
                <w:lang w:eastAsia="zh-CN"/>
              </w:rPr>
            </w:pPr>
            <w:r>
              <w:rPr>
                <w:rFonts w:hint="eastAsia" w:ascii="仿宋" w:hAnsi="仿宋" w:eastAsia="仿宋" w:cs="仿宋"/>
                <w:i w:val="0"/>
                <w:iCs w:val="0"/>
                <w:color w:val="000000"/>
                <w:kern w:val="0"/>
                <w:sz w:val="24"/>
                <w:szCs w:val="24"/>
                <w:u w:val="none"/>
                <w:lang w:val="en-US" w:eastAsia="zh-CN" w:bidi="ar"/>
              </w:rPr>
              <w:t>24</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85.71%</w:t>
            </w:r>
          </w:p>
        </w:tc>
      </w:tr>
    </w:tbl>
    <w:p>
      <w:pPr>
        <w:pStyle w:val="4"/>
        <w:numPr>
          <w:ilvl w:val="0"/>
          <w:numId w:val="18"/>
        </w:numPr>
        <w:ind w:firstLineChars="0"/>
        <w:rPr>
          <w:rFonts w:hint="eastAsia" w:ascii="仿宋" w:hAnsi="仿宋" w:eastAsia="仿宋" w:cs="仿宋"/>
          <w:b w:val="0"/>
          <w:bCs/>
          <w:szCs w:val="32"/>
        </w:rPr>
      </w:pPr>
      <w:bookmarkStart w:id="328" w:name="_Toc10095"/>
      <w:bookmarkStart w:id="329" w:name="_Toc1918808780"/>
      <w:bookmarkStart w:id="330" w:name="_Toc1346003966"/>
      <w:bookmarkStart w:id="331" w:name="_Toc130033916"/>
      <w:bookmarkStart w:id="332" w:name="_Toc1810184279"/>
      <w:bookmarkStart w:id="333" w:name="_Toc511694153"/>
      <w:bookmarkStart w:id="334" w:name="_Toc2040753346_WPSOffice_Level3"/>
      <w:bookmarkStart w:id="335" w:name="_Toc12588"/>
      <w:r>
        <w:rPr>
          <w:rFonts w:hint="eastAsia" w:ascii="仿宋" w:hAnsi="仿宋" w:eastAsia="仿宋" w:cs="仿宋"/>
          <w:b w:val="0"/>
          <w:bCs/>
          <w:szCs w:val="32"/>
          <w:lang w:eastAsia="zh-CN"/>
        </w:rPr>
        <w:t>产出数量</w:t>
      </w:r>
      <w:bookmarkEnd w:id="328"/>
    </w:p>
    <w:bookmarkEnd w:id="329"/>
    <w:bookmarkEnd w:id="330"/>
    <w:bookmarkEnd w:id="331"/>
    <w:bookmarkEnd w:id="332"/>
    <w:bookmarkEnd w:id="333"/>
    <w:bookmarkEnd w:id="334"/>
    <w:bookmarkEnd w:id="335"/>
    <w:p>
      <w:pPr>
        <w:pStyle w:val="5"/>
        <w:numPr>
          <w:numId w:val="0"/>
        </w:numPr>
        <w:ind w:left="643" w:leftChars="0"/>
        <w:rPr>
          <w:rFonts w:hint="eastAsia" w:ascii="仿宋" w:hAnsi="仿宋" w:eastAsia="仿宋" w:cs="仿宋"/>
          <w:b w:val="0"/>
          <w:bCs/>
          <w:szCs w:val="32"/>
          <w:lang w:eastAsia="zh-CN"/>
        </w:rPr>
      </w:pPr>
      <w:r>
        <w:rPr>
          <w:rFonts w:hint="eastAsia" w:ascii="仿宋" w:hAnsi="仿宋" w:eastAsia="仿宋" w:cs="仿宋"/>
          <w:b w:val="0"/>
          <w:bCs/>
          <w:szCs w:val="32"/>
          <w:lang w:eastAsia="zh-CN"/>
        </w:rPr>
        <w:t>新购床、柜子数量</w:t>
      </w:r>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我们抽取了延风中学男生宿舍学生用床、柜子的采购凭证、合同、验收资料等，确认此次购置的三人位床、更衣柜各96(个)，与床配套的床板、棕榈垫、凳子各288张(个)，与预算申请、批复数量相符。评价认为，该指标得满分8.00分。</w:t>
      </w:r>
    </w:p>
    <w:p>
      <w:pPr>
        <w:pStyle w:val="4"/>
        <w:numPr>
          <w:ilvl w:val="0"/>
          <w:numId w:val="18"/>
        </w:numPr>
        <w:ind w:firstLineChars="0"/>
        <w:rPr>
          <w:rFonts w:hint="eastAsia" w:ascii="仿宋" w:hAnsi="仿宋" w:eastAsia="仿宋" w:cs="仿宋"/>
          <w:b w:val="0"/>
          <w:bCs/>
          <w:szCs w:val="32"/>
        </w:rPr>
      </w:pPr>
      <w:bookmarkStart w:id="336" w:name="_Toc13631"/>
      <w:bookmarkStart w:id="337" w:name="_Toc130033918"/>
      <w:bookmarkStart w:id="338" w:name="_Toc410581979"/>
      <w:bookmarkStart w:id="339" w:name="_Toc1698417506"/>
      <w:bookmarkStart w:id="340" w:name="_Toc598301047_WPSOffice_Level3"/>
      <w:bookmarkStart w:id="341" w:name="_Toc196303398"/>
      <w:bookmarkStart w:id="342" w:name="_Toc15576"/>
      <w:bookmarkStart w:id="343" w:name="_Toc1115767086"/>
      <w:r>
        <w:rPr>
          <w:rFonts w:hint="eastAsia" w:ascii="仿宋" w:hAnsi="仿宋" w:eastAsia="仿宋" w:cs="仿宋"/>
          <w:b w:val="0"/>
          <w:bCs/>
          <w:szCs w:val="32"/>
          <w:lang w:eastAsia="zh-CN"/>
        </w:rPr>
        <w:t>产出质量</w:t>
      </w:r>
      <w:bookmarkEnd w:id="336"/>
    </w:p>
    <w:bookmarkEnd w:id="337"/>
    <w:p>
      <w:pPr>
        <w:pStyle w:val="5"/>
        <w:numPr>
          <w:numId w:val="0"/>
        </w:numPr>
        <w:ind w:left="643" w:leftChars="0"/>
        <w:rPr>
          <w:rFonts w:hint="eastAsia" w:ascii="仿宋" w:hAnsi="仿宋" w:eastAsia="仿宋" w:cs="仿宋"/>
          <w:b w:val="0"/>
          <w:bCs/>
          <w:szCs w:val="32"/>
          <w:lang w:eastAsia="zh-CN"/>
        </w:rPr>
      </w:pPr>
      <w:r>
        <w:rPr>
          <w:rFonts w:hint="eastAsia" w:ascii="仿宋" w:hAnsi="仿宋" w:eastAsia="仿宋" w:cs="仿宋"/>
          <w:b w:val="0"/>
          <w:bCs/>
          <w:szCs w:val="32"/>
          <w:lang w:eastAsia="zh-CN"/>
        </w:rPr>
        <w:t>质量合格率</w:t>
      </w:r>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2024年3月4日延风中学对供应商提供的学生用床、柜子进行了验收。采购的床、柜子均符合国家GB/T3324-2017《木家具通用技术条件》，验收合格率达100%。床架采用优质钢材/实木材质，柜体板材符合E1级环保标准，无甲醛超标问题。床体承重≥200KG，柜子铰链开合测试≥5万次无损坏，符合合同约定要求。根据评分标准，该指标得满分8.00分。</w:t>
      </w:r>
    </w:p>
    <w:bookmarkEnd w:id="338"/>
    <w:bookmarkEnd w:id="339"/>
    <w:bookmarkEnd w:id="340"/>
    <w:bookmarkEnd w:id="341"/>
    <w:bookmarkEnd w:id="342"/>
    <w:bookmarkEnd w:id="343"/>
    <w:p>
      <w:pPr>
        <w:pStyle w:val="4"/>
        <w:numPr>
          <w:ilvl w:val="0"/>
          <w:numId w:val="18"/>
        </w:numPr>
        <w:ind w:firstLineChars="0"/>
        <w:rPr>
          <w:rFonts w:hint="eastAsia" w:ascii="仿宋" w:hAnsi="仿宋" w:eastAsia="仿宋" w:cs="仿宋"/>
          <w:b w:val="0"/>
          <w:bCs/>
          <w:szCs w:val="32"/>
        </w:rPr>
      </w:pPr>
      <w:bookmarkStart w:id="344" w:name="_Toc14778"/>
      <w:bookmarkStart w:id="345" w:name="_Toc130033920"/>
      <w:bookmarkStart w:id="346" w:name="_Toc786363242"/>
      <w:bookmarkStart w:id="347" w:name="_Toc16826"/>
      <w:bookmarkStart w:id="348" w:name="_Toc950387418"/>
      <w:bookmarkStart w:id="349" w:name="_Toc736328394"/>
      <w:bookmarkStart w:id="350" w:name="_Toc870208798"/>
      <w:bookmarkStart w:id="351" w:name="_Toc1127261675_WPSOffice_Level3"/>
      <w:bookmarkStart w:id="352" w:name="_Toc1235631916"/>
      <w:bookmarkStart w:id="353" w:name="_Toc792644656"/>
      <w:bookmarkStart w:id="354" w:name="_Toc177967940"/>
      <w:bookmarkStart w:id="355" w:name="_Toc6821"/>
      <w:bookmarkStart w:id="356" w:name="_Toc796588607_WPSOffice_Level2"/>
      <w:bookmarkStart w:id="357" w:name="_Toc1670543944"/>
      <w:r>
        <w:rPr>
          <w:rFonts w:hint="eastAsia" w:ascii="仿宋" w:hAnsi="仿宋" w:eastAsia="仿宋" w:cs="仿宋"/>
          <w:b w:val="0"/>
          <w:bCs/>
          <w:szCs w:val="32"/>
          <w:lang w:eastAsia="zh-CN"/>
        </w:rPr>
        <w:t>产出时效</w:t>
      </w:r>
      <w:bookmarkEnd w:id="344"/>
    </w:p>
    <w:bookmarkEnd w:id="345"/>
    <w:p>
      <w:pPr>
        <w:pStyle w:val="5"/>
        <w:numPr>
          <w:numId w:val="0"/>
        </w:numPr>
        <w:ind w:left="643" w:leftChars="0"/>
        <w:rPr>
          <w:rFonts w:hint="eastAsia" w:ascii="仿宋" w:hAnsi="仿宋" w:eastAsia="仿宋" w:cs="仿宋"/>
          <w:b w:val="0"/>
          <w:bCs/>
          <w:szCs w:val="32"/>
          <w:lang w:eastAsia="zh-CN"/>
        </w:rPr>
      </w:pPr>
      <w:r>
        <w:rPr>
          <w:rFonts w:hint="eastAsia" w:ascii="仿宋" w:hAnsi="仿宋" w:eastAsia="仿宋" w:cs="仿宋"/>
          <w:b w:val="0"/>
          <w:bCs/>
          <w:szCs w:val="32"/>
          <w:lang w:eastAsia="zh-CN"/>
        </w:rPr>
        <w:t>采购完成时间</w:t>
      </w:r>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2024年3月4日延风中学对供应商提供的学生用床、柜子进行验收后，完成时间超出《乐山市金口河区政府采购项目申请表》中规定的采购时限2024年1月10日至2024年2月30日。根据评分标准，该指标不得分。</w:t>
      </w:r>
    </w:p>
    <w:p>
      <w:pPr>
        <w:pStyle w:val="4"/>
        <w:numPr>
          <w:ilvl w:val="0"/>
          <w:numId w:val="18"/>
        </w:numPr>
        <w:ind w:firstLineChars="0"/>
        <w:rPr>
          <w:rFonts w:hint="eastAsia" w:ascii="仿宋" w:hAnsi="仿宋" w:eastAsia="仿宋" w:cs="仿宋"/>
          <w:b w:val="0"/>
          <w:bCs/>
          <w:szCs w:val="32"/>
        </w:rPr>
      </w:pPr>
      <w:r>
        <w:rPr>
          <w:rFonts w:hint="eastAsia" w:ascii="仿宋" w:hAnsi="仿宋" w:eastAsia="仿宋" w:cs="仿宋"/>
          <w:b w:val="0"/>
          <w:bCs/>
          <w:szCs w:val="32"/>
          <w:lang w:eastAsia="zh-CN"/>
        </w:rPr>
        <w:t>产出成本</w:t>
      </w:r>
    </w:p>
    <w:p>
      <w:pPr>
        <w:pStyle w:val="5"/>
        <w:numPr>
          <w:numId w:val="0"/>
        </w:numPr>
        <w:ind w:left="643" w:leftChars="0"/>
        <w:rPr>
          <w:rFonts w:hint="eastAsia" w:ascii="仿宋" w:hAnsi="仿宋" w:eastAsia="仿宋" w:cs="仿宋"/>
          <w:b w:val="0"/>
          <w:bCs/>
          <w:szCs w:val="32"/>
          <w:lang w:eastAsia="zh-CN"/>
        </w:rPr>
      </w:pPr>
      <w:r>
        <w:rPr>
          <w:rFonts w:hint="eastAsia" w:ascii="仿宋" w:hAnsi="仿宋" w:eastAsia="仿宋" w:cs="仿宋"/>
          <w:b w:val="0"/>
          <w:bCs/>
          <w:szCs w:val="32"/>
          <w:lang w:eastAsia="zh-CN"/>
        </w:rPr>
        <w:t>成本节约率</w:t>
      </w:r>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延风中学男生宿舍学生用床、柜子采购项目预算资金为680,640.00元，因年末20,212.00元质保金未支付，实际</w:t>
      </w:r>
      <w:r>
        <w:rPr>
          <w:rFonts w:hint="eastAsia" w:ascii="仿宋" w:hAnsi="仿宋" w:eastAsia="仿宋" w:cs="仿宋"/>
          <w:bCs/>
          <w:spacing w:val="-7"/>
          <w:szCs w:val="32"/>
          <w:lang w:val="en-US" w:eastAsia="zh-CN"/>
        </w:rPr>
        <w:t>支出</w:t>
      </w:r>
      <w:r>
        <w:rPr>
          <w:rFonts w:hint="eastAsia" w:ascii="仿宋" w:hAnsi="仿宋" w:eastAsia="仿宋" w:cs="仿宋"/>
          <w:bCs/>
          <w:spacing w:val="-7"/>
          <w:szCs w:val="32"/>
          <w:lang w:eastAsia="zh-CN"/>
        </w:rPr>
        <w:t>653,508.00元，节约成本27,132.00元，成本节约率3.99%。质保金按合同约定在后续质保期结束后支付，此次成本节约中的20,212.00元为质保金的支付时间安排所致，并非项目实施过程中的成本控制成果。根据评分标准，该指标得满分8.00分。</w:t>
      </w:r>
    </w:p>
    <w:bookmarkEnd w:id="346"/>
    <w:bookmarkEnd w:id="347"/>
    <w:bookmarkEnd w:id="348"/>
    <w:bookmarkEnd w:id="349"/>
    <w:bookmarkEnd w:id="350"/>
    <w:bookmarkEnd w:id="351"/>
    <w:p>
      <w:pPr>
        <w:pStyle w:val="3"/>
        <w:numPr>
          <w:ilvl w:val="0"/>
          <w:numId w:val="10"/>
        </w:numPr>
        <w:spacing w:before="0" w:beforeLines="0" w:after="0" w:afterLines="0"/>
        <w:ind w:firstLineChars="0"/>
        <w:rPr>
          <w:rFonts w:hint="eastAsia" w:ascii="楷体" w:hAnsi="楷体" w:eastAsia="楷体" w:cs="楷体"/>
          <w:b w:val="0"/>
          <w:bCs/>
          <w:szCs w:val="32"/>
        </w:rPr>
      </w:pPr>
      <w:bookmarkStart w:id="358" w:name="_Toc9410"/>
      <w:bookmarkStart w:id="359" w:name="_Toc179658329"/>
      <w:bookmarkStart w:id="360" w:name="_Toc132480970"/>
      <w:r>
        <w:rPr>
          <w:rFonts w:hint="eastAsia" w:ascii="楷体" w:hAnsi="楷体" w:eastAsia="楷体" w:cs="楷体"/>
          <w:b w:val="0"/>
          <w:bCs/>
          <w:szCs w:val="32"/>
        </w:rPr>
        <w:t>项目效益情况</w:t>
      </w:r>
      <w:bookmarkEnd w:id="352"/>
      <w:bookmarkEnd w:id="353"/>
      <w:bookmarkEnd w:id="354"/>
      <w:bookmarkEnd w:id="355"/>
      <w:bookmarkEnd w:id="356"/>
      <w:bookmarkEnd w:id="357"/>
      <w:bookmarkEnd w:id="358"/>
      <w:bookmarkEnd w:id="359"/>
      <w:bookmarkEnd w:id="360"/>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项目效益是财政资金绩效评价的核心内容，本次评价从社会效益、经济效益、</w:t>
      </w:r>
      <w:r>
        <w:rPr>
          <w:rFonts w:hint="eastAsia" w:ascii="仿宋" w:hAnsi="仿宋" w:eastAsia="仿宋" w:cs="仿宋"/>
          <w:bCs/>
          <w:spacing w:val="-7"/>
          <w:szCs w:val="32"/>
          <w:lang w:val="en-US" w:eastAsia="zh-CN"/>
        </w:rPr>
        <w:t>教育效益、</w:t>
      </w:r>
      <w:r>
        <w:rPr>
          <w:rFonts w:hint="eastAsia" w:ascii="仿宋" w:hAnsi="仿宋" w:eastAsia="仿宋" w:cs="仿宋"/>
          <w:bCs/>
          <w:spacing w:val="-7"/>
          <w:szCs w:val="32"/>
          <w:lang w:eastAsia="zh-CN"/>
        </w:rPr>
        <w:t>可持续</w:t>
      </w:r>
      <w:r>
        <w:rPr>
          <w:rFonts w:hint="eastAsia" w:ascii="仿宋" w:hAnsi="仿宋" w:eastAsia="仿宋" w:cs="仿宋"/>
          <w:bCs/>
          <w:spacing w:val="-7"/>
          <w:szCs w:val="32"/>
          <w:lang w:val="en-US" w:eastAsia="zh-CN"/>
        </w:rPr>
        <w:t>效益、满意度五</w:t>
      </w:r>
      <w:r>
        <w:rPr>
          <w:rFonts w:hint="eastAsia" w:ascii="仿宋" w:hAnsi="仿宋" w:eastAsia="仿宋" w:cs="仿宋"/>
          <w:bCs/>
          <w:spacing w:val="-7"/>
          <w:szCs w:val="32"/>
          <w:lang w:eastAsia="zh-CN"/>
        </w:rPr>
        <w:t>个方面来评价项目。项目效益权重3</w:t>
      </w:r>
      <w:r>
        <w:rPr>
          <w:rFonts w:hint="eastAsia" w:ascii="仿宋" w:hAnsi="仿宋" w:eastAsia="仿宋" w:cs="仿宋"/>
          <w:bCs/>
          <w:spacing w:val="-7"/>
          <w:szCs w:val="32"/>
          <w:lang w:val="en-US" w:eastAsia="zh-CN"/>
        </w:rPr>
        <w:t>2</w:t>
      </w:r>
      <w:r>
        <w:rPr>
          <w:rFonts w:hint="eastAsia" w:ascii="仿宋" w:hAnsi="仿宋" w:eastAsia="仿宋" w:cs="仿宋"/>
          <w:bCs/>
          <w:spacing w:val="-7"/>
          <w:szCs w:val="32"/>
          <w:lang w:eastAsia="zh-CN"/>
        </w:rPr>
        <w:t>.00分，本项目得分</w:t>
      </w:r>
      <w:r>
        <w:rPr>
          <w:rFonts w:hint="eastAsia" w:ascii="仿宋" w:hAnsi="仿宋" w:eastAsia="仿宋" w:cs="仿宋"/>
          <w:bCs/>
          <w:spacing w:val="-7"/>
          <w:szCs w:val="32"/>
          <w:lang w:val="en-US" w:eastAsia="zh-CN"/>
        </w:rPr>
        <w:t>30</w:t>
      </w:r>
      <w:r>
        <w:rPr>
          <w:rFonts w:hint="eastAsia" w:ascii="仿宋" w:hAnsi="仿宋" w:eastAsia="仿宋" w:cs="仿宋"/>
          <w:bCs/>
          <w:spacing w:val="-7"/>
          <w:szCs w:val="32"/>
          <w:lang w:eastAsia="zh-CN"/>
        </w:rPr>
        <w:t>.00分，得分率为</w:t>
      </w:r>
      <w:r>
        <w:rPr>
          <w:rFonts w:hint="eastAsia" w:ascii="仿宋" w:hAnsi="仿宋" w:eastAsia="仿宋" w:cs="仿宋"/>
          <w:bCs/>
          <w:spacing w:val="-7"/>
          <w:szCs w:val="32"/>
          <w:lang w:val="en-US" w:eastAsia="zh-CN"/>
        </w:rPr>
        <w:t>9</w:t>
      </w:r>
      <w:r>
        <w:rPr>
          <w:rFonts w:hint="eastAsia" w:ascii="仿宋" w:hAnsi="仿宋" w:eastAsia="仿宋" w:cs="仿宋"/>
          <w:bCs/>
          <w:spacing w:val="-7"/>
          <w:szCs w:val="32"/>
          <w:lang w:eastAsia="zh-CN"/>
        </w:rPr>
        <w:t>3.</w:t>
      </w:r>
      <w:r>
        <w:rPr>
          <w:rFonts w:hint="eastAsia" w:ascii="仿宋" w:hAnsi="仿宋" w:eastAsia="仿宋" w:cs="仿宋"/>
          <w:bCs/>
          <w:spacing w:val="-7"/>
          <w:szCs w:val="32"/>
          <w:lang w:val="en-US" w:eastAsia="zh-CN"/>
        </w:rPr>
        <w:t>75</w:t>
      </w:r>
      <w:r>
        <w:rPr>
          <w:rFonts w:hint="eastAsia" w:ascii="仿宋" w:hAnsi="仿宋" w:eastAsia="仿宋" w:cs="仿宋"/>
          <w:bCs/>
          <w:spacing w:val="-7"/>
          <w:szCs w:val="32"/>
          <w:lang w:eastAsia="zh-CN"/>
        </w:rPr>
        <w:t>%。崭新、统一的宿舍家具提升校园整体形象，为学生营造整洁、舒适的生活环境，获得家长与社会认可，提升学校声誉与地区教育口碑。具体得分情况见下表4-4：</w:t>
      </w:r>
    </w:p>
    <w:p>
      <w:pPr>
        <w:ind w:firstLine="0" w:firstLineChars="0"/>
        <w:jc w:val="center"/>
        <w:rPr>
          <w:rFonts w:hint="eastAsia" w:ascii="仿宋" w:hAnsi="仿宋" w:eastAsia="仿宋" w:cs="仿宋"/>
          <w:bCs/>
          <w:szCs w:val="32"/>
        </w:rPr>
      </w:pPr>
      <w:r>
        <w:rPr>
          <w:rFonts w:hint="eastAsia" w:ascii="仿宋" w:hAnsi="仿宋" w:eastAsia="仿宋" w:cs="仿宋"/>
          <w:bCs/>
          <w:szCs w:val="32"/>
        </w:rPr>
        <w:t>表4-4项目效益指标得分</w:t>
      </w:r>
    </w:p>
    <w:tbl>
      <w:tblPr>
        <w:tblStyle w:val="22"/>
        <w:tblW w:w="5000" w:type="pct"/>
        <w:tblInd w:w="0" w:type="dxa"/>
        <w:tblLayout w:type="autofit"/>
        <w:tblCellMar>
          <w:top w:w="0" w:type="dxa"/>
          <w:left w:w="108" w:type="dxa"/>
          <w:bottom w:w="0" w:type="dxa"/>
          <w:right w:w="108" w:type="dxa"/>
        </w:tblCellMar>
      </w:tblPr>
      <w:tblGrid>
        <w:gridCol w:w="2130"/>
        <w:gridCol w:w="2130"/>
        <w:gridCol w:w="2131"/>
        <w:gridCol w:w="2131"/>
      </w:tblGrid>
      <w:tr>
        <w:tblPrEx>
          <w:tblCellMar>
            <w:top w:w="0" w:type="dxa"/>
            <w:left w:w="108" w:type="dxa"/>
            <w:bottom w:w="0" w:type="dxa"/>
            <w:right w:w="108" w:type="dxa"/>
          </w:tblCellMar>
        </w:tblPrEx>
        <w:trPr>
          <w:trHeight w:val="567" w:hRule="atLeast"/>
          <w:tblHeader/>
        </w:trPr>
        <w:tc>
          <w:tcPr>
            <w:tcW w:w="1250"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二级指标</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分数</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得分率</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lang w:eastAsia="zh-CN"/>
              </w:rPr>
              <w:t>社会</w:t>
            </w:r>
            <w:r>
              <w:rPr>
                <w:rFonts w:hint="eastAsia" w:ascii="仿宋" w:hAnsi="仿宋" w:eastAsia="仿宋" w:cs="仿宋"/>
                <w:bCs/>
                <w:sz w:val="24"/>
              </w:rPr>
              <w:t>效益</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8</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lang w:val="en-US" w:eastAsia="zh-CN"/>
              </w:rPr>
            </w:pPr>
            <w:r>
              <w:rPr>
                <w:rFonts w:hint="eastAsia" w:ascii="仿宋" w:hAnsi="仿宋" w:eastAsia="仿宋" w:cs="仿宋"/>
                <w:i w:val="0"/>
                <w:iCs w:val="0"/>
                <w:color w:val="000000"/>
                <w:kern w:val="0"/>
                <w:sz w:val="24"/>
                <w:szCs w:val="24"/>
                <w:u w:val="none"/>
                <w:lang w:val="en-US" w:eastAsia="zh-CN" w:bidi="ar"/>
              </w:rPr>
              <w:t>8</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100.00%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经济效益</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lang w:val="en-US" w:eastAsia="zh-CN"/>
              </w:rPr>
            </w:pPr>
            <w:r>
              <w:rPr>
                <w:rFonts w:hint="eastAsia" w:ascii="仿宋" w:hAnsi="仿宋" w:eastAsia="仿宋" w:cs="仿宋"/>
                <w:i w:val="0"/>
                <w:iCs w:val="0"/>
                <w:color w:val="000000"/>
                <w:kern w:val="0"/>
                <w:sz w:val="24"/>
                <w:szCs w:val="24"/>
                <w:u w:val="none"/>
                <w:lang w:val="en-US" w:eastAsia="zh-CN" w:bidi="ar"/>
              </w:rPr>
              <w:t>8</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lang w:val="en-US" w:eastAsia="zh-CN"/>
              </w:rPr>
            </w:pPr>
            <w:r>
              <w:rPr>
                <w:rFonts w:hint="eastAsia" w:ascii="仿宋" w:hAnsi="仿宋" w:eastAsia="仿宋" w:cs="仿宋"/>
                <w:i w:val="0"/>
                <w:iCs w:val="0"/>
                <w:color w:val="000000"/>
                <w:kern w:val="0"/>
                <w:sz w:val="24"/>
                <w:szCs w:val="24"/>
                <w:u w:val="none"/>
                <w:lang w:val="en-US" w:eastAsia="zh-CN" w:bidi="ar"/>
              </w:rPr>
              <w:t>8</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100.00%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default" w:ascii="仿宋" w:hAnsi="仿宋" w:eastAsia="仿宋" w:cs="仿宋"/>
                <w:bCs/>
                <w:sz w:val="24"/>
                <w:lang w:val="en-US" w:eastAsia="zh-CN"/>
              </w:rPr>
            </w:pPr>
            <w:r>
              <w:rPr>
                <w:rFonts w:hint="eastAsia" w:ascii="仿宋" w:hAnsi="仿宋" w:eastAsia="仿宋" w:cs="仿宋"/>
                <w:bCs/>
                <w:sz w:val="24"/>
                <w:lang w:val="en-US" w:eastAsia="zh-CN"/>
              </w:rPr>
              <w:t>教育效益</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lang w:val="en-US" w:eastAsia="zh-CN"/>
              </w:rPr>
            </w:pPr>
            <w:r>
              <w:rPr>
                <w:rFonts w:hint="eastAsia" w:ascii="仿宋" w:hAnsi="仿宋" w:eastAsia="仿宋" w:cs="仿宋"/>
                <w:i w:val="0"/>
                <w:iCs w:val="0"/>
                <w:color w:val="000000"/>
                <w:kern w:val="0"/>
                <w:sz w:val="24"/>
                <w:szCs w:val="24"/>
                <w:u w:val="none"/>
                <w:lang w:val="en-US" w:eastAsia="zh-CN" w:bidi="ar"/>
              </w:rPr>
              <w:t>8</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lang w:val="en-US" w:eastAsia="zh-CN"/>
              </w:rPr>
            </w:pPr>
            <w:r>
              <w:rPr>
                <w:rFonts w:hint="eastAsia" w:ascii="仿宋" w:hAnsi="仿宋" w:eastAsia="仿宋" w:cs="仿宋"/>
                <w:i w:val="0"/>
                <w:iCs w:val="0"/>
                <w:color w:val="000000"/>
                <w:kern w:val="0"/>
                <w:sz w:val="24"/>
                <w:szCs w:val="24"/>
                <w:u w:val="none"/>
                <w:lang w:val="en-US" w:eastAsia="zh-CN" w:bidi="ar"/>
              </w:rPr>
              <w:t>7</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lang w:val="en-US" w:eastAsia="zh-CN" w:bidi="ar"/>
              </w:rPr>
            </w:pPr>
            <w:r>
              <w:rPr>
                <w:rFonts w:hint="eastAsia" w:ascii="仿宋" w:hAnsi="仿宋" w:eastAsia="仿宋" w:cs="仿宋"/>
                <w:i w:val="0"/>
                <w:iCs w:val="0"/>
                <w:color w:val="000000"/>
                <w:kern w:val="0"/>
                <w:sz w:val="24"/>
                <w:szCs w:val="24"/>
                <w:u w:val="none"/>
                <w:lang w:val="en-US" w:eastAsia="zh-CN" w:bidi="ar"/>
              </w:rPr>
              <w:t>87.50%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default" w:ascii="仿宋" w:hAnsi="仿宋" w:eastAsia="仿宋" w:cs="仿宋"/>
                <w:bCs/>
                <w:sz w:val="24"/>
                <w:lang w:val="en-US" w:eastAsia="zh-CN"/>
              </w:rPr>
            </w:pPr>
            <w:r>
              <w:rPr>
                <w:rFonts w:hint="eastAsia" w:ascii="仿宋" w:hAnsi="仿宋" w:eastAsia="仿宋" w:cs="仿宋"/>
                <w:bCs/>
                <w:sz w:val="24"/>
                <w:lang w:val="en-US" w:eastAsia="zh-CN"/>
              </w:rPr>
              <w:t>可持续效益</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lang w:val="en-US" w:eastAsia="zh-CN"/>
              </w:rPr>
            </w:pPr>
            <w:r>
              <w:rPr>
                <w:rFonts w:hint="eastAsia" w:ascii="仿宋" w:hAnsi="仿宋" w:eastAsia="仿宋" w:cs="仿宋"/>
                <w:i w:val="0"/>
                <w:iCs w:val="0"/>
                <w:color w:val="000000"/>
                <w:kern w:val="0"/>
                <w:sz w:val="24"/>
                <w:szCs w:val="24"/>
                <w:u w:val="none"/>
                <w:lang w:val="en-US" w:eastAsia="zh-CN" w:bidi="ar"/>
              </w:rPr>
              <w:t>6</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5</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lang w:val="en-US" w:eastAsia="zh-CN" w:bidi="ar"/>
              </w:rPr>
            </w:pPr>
            <w:r>
              <w:rPr>
                <w:rFonts w:hint="eastAsia" w:ascii="仿宋" w:hAnsi="仿宋" w:eastAsia="仿宋" w:cs="仿宋"/>
                <w:i w:val="0"/>
                <w:iCs w:val="0"/>
                <w:color w:val="000000"/>
                <w:kern w:val="0"/>
                <w:sz w:val="24"/>
                <w:szCs w:val="24"/>
                <w:u w:val="none"/>
                <w:lang w:val="en-US" w:eastAsia="zh-CN" w:bidi="ar"/>
              </w:rPr>
              <w:t>83.33%</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default" w:ascii="仿宋" w:hAnsi="仿宋" w:eastAsia="仿宋" w:cs="仿宋"/>
                <w:bCs/>
                <w:sz w:val="24"/>
                <w:lang w:val="en-US" w:eastAsia="zh-CN"/>
              </w:rPr>
            </w:pPr>
            <w:r>
              <w:rPr>
                <w:rFonts w:hint="eastAsia" w:ascii="仿宋" w:hAnsi="仿宋" w:eastAsia="仿宋" w:cs="仿宋"/>
                <w:bCs/>
                <w:sz w:val="24"/>
                <w:lang w:val="en-US" w:eastAsia="zh-CN"/>
              </w:rPr>
              <w:t>满意度</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lang w:eastAsia="zh-CN" w:bidi="ar"/>
              </w:rPr>
            </w:pPr>
            <w:r>
              <w:rPr>
                <w:rFonts w:hint="eastAsia" w:ascii="仿宋" w:hAnsi="仿宋" w:eastAsia="仿宋" w:cs="仿宋"/>
                <w:i w:val="0"/>
                <w:iCs w:val="0"/>
                <w:color w:val="000000"/>
                <w:kern w:val="0"/>
                <w:sz w:val="24"/>
                <w:szCs w:val="24"/>
                <w:u w:val="none"/>
                <w:lang w:val="en-US" w:eastAsia="zh-CN" w:bidi="ar"/>
              </w:rPr>
              <w:t>2</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sz w:val="24"/>
                <w:lang w:val="en-US" w:eastAsia="zh-CN" w:bidi="ar"/>
              </w:rPr>
            </w:pPr>
            <w:r>
              <w:rPr>
                <w:rFonts w:hint="eastAsia" w:ascii="仿宋" w:hAnsi="仿宋" w:eastAsia="仿宋" w:cs="仿宋"/>
                <w:i w:val="0"/>
                <w:iCs w:val="0"/>
                <w:color w:val="000000"/>
                <w:kern w:val="0"/>
                <w:sz w:val="24"/>
                <w:szCs w:val="24"/>
                <w:u w:val="none"/>
                <w:lang w:val="en-US" w:eastAsia="zh-CN" w:bidi="ar"/>
              </w:rPr>
              <w:t>100.00%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合计</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lang w:eastAsia="zh-CN"/>
              </w:rPr>
            </w:pPr>
            <w:r>
              <w:rPr>
                <w:rFonts w:hint="eastAsia" w:ascii="仿宋" w:hAnsi="仿宋" w:eastAsia="仿宋" w:cs="仿宋"/>
                <w:i w:val="0"/>
                <w:iCs w:val="0"/>
                <w:color w:val="000000"/>
                <w:kern w:val="0"/>
                <w:sz w:val="24"/>
                <w:szCs w:val="24"/>
                <w:u w:val="none"/>
                <w:lang w:val="en-US" w:eastAsia="zh-CN" w:bidi="ar"/>
              </w:rPr>
              <w:t>32</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sz w:val="24"/>
                <w:lang w:val="en-US" w:eastAsia="zh-CN"/>
              </w:rPr>
            </w:pPr>
            <w:r>
              <w:rPr>
                <w:rFonts w:hint="eastAsia" w:ascii="仿宋" w:hAnsi="仿宋" w:eastAsia="仿宋" w:cs="仿宋"/>
                <w:i w:val="0"/>
                <w:iCs w:val="0"/>
                <w:color w:val="000000"/>
                <w:kern w:val="0"/>
                <w:sz w:val="24"/>
                <w:szCs w:val="24"/>
                <w:u w:val="none"/>
                <w:lang w:val="en-US" w:eastAsia="zh-CN" w:bidi="ar"/>
              </w:rPr>
              <w:t>30</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lang w:val="en-US" w:eastAsia="zh-CN" w:bidi="ar"/>
              </w:rPr>
            </w:pPr>
            <w:r>
              <w:rPr>
                <w:rFonts w:hint="eastAsia" w:ascii="仿宋" w:hAnsi="仿宋" w:eastAsia="仿宋" w:cs="仿宋"/>
                <w:i w:val="0"/>
                <w:iCs w:val="0"/>
                <w:color w:val="000000"/>
                <w:kern w:val="0"/>
                <w:sz w:val="24"/>
                <w:szCs w:val="24"/>
                <w:u w:val="none"/>
                <w:lang w:val="en-US" w:eastAsia="zh-CN" w:bidi="ar"/>
              </w:rPr>
              <w:t>93.75%</w:t>
            </w:r>
          </w:p>
        </w:tc>
      </w:tr>
    </w:tbl>
    <w:p>
      <w:pPr>
        <w:pStyle w:val="4"/>
        <w:numPr>
          <w:ilvl w:val="2"/>
          <w:numId w:val="19"/>
        </w:numPr>
        <w:ind w:firstLineChars="0"/>
        <w:rPr>
          <w:rFonts w:hint="eastAsia" w:ascii="仿宋" w:hAnsi="仿宋" w:eastAsia="仿宋" w:cs="仿宋"/>
          <w:b w:val="0"/>
          <w:bCs/>
        </w:rPr>
      </w:pPr>
      <w:bookmarkStart w:id="361" w:name="_Toc786237891_WPSOffice_Level3"/>
      <w:bookmarkStart w:id="362" w:name="_Toc29127"/>
      <w:bookmarkStart w:id="363" w:name="_Toc1809930956"/>
      <w:bookmarkStart w:id="364" w:name="_Toc1137671051"/>
      <w:bookmarkStart w:id="365" w:name="_Toc1098745722"/>
      <w:bookmarkStart w:id="366" w:name="_Toc23843"/>
      <w:bookmarkStart w:id="367" w:name="_Toc130033924"/>
      <w:bookmarkStart w:id="368" w:name="_Toc630865930"/>
      <w:r>
        <w:rPr>
          <w:rFonts w:hint="eastAsia" w:ascii="仿宋" w:hAnsi="仿宋" w:eastAsia="仿宋" w:cs="仿宋"/>
          <w:b w:val="0"/>
          <w:bCs/>
          <w:lang w:eastAsia="zh-CN"/>
        </w:rPr>
        <w:t>社会</w:t>
      </w:r>
      <w:r>
        <w:rPr>
          <w:rFonts w:hint="eastAsia" w:ascii="仿宋" w:hAnsi="仿宋" w:eastAsia="仿宋" w:cs="仿宋"/>
          <w:b w:val="0"/>
          <w:bCs/>
        </w:rPr>
        <w:t>效益分析</w:t>
      </w:r>
      <w:bookmarkEnd w:id="361"/>
      <w:bookmarkEnd w:id="362"/>
      <w:bookmarkEnd w:id="363"/>
      <w:bookmarkEnd w:id="364"/>
      <w:bookmarkEnd w:id="365"/>
      <w:bookmarkEnd w:id="366"/>
      <w:bookmarkEnd w:id="367"/>
      <w:bookmarkEnd w:id="368"/>
    </w:p>
    <w:p>
      <w:pPr>
        <w:pStyle w:val="5"/>
        <w:numPr>
          <w:ilvl w:val="0"/>
          <w:numId w:val="20"/>
        </w:numPr>
        <w:ind w:firstLineChars="0"/>
        <w:rPr>
          <w:rFonts w:hint="eastAsia" w:ascii="仿宋" w:hAnsi="仿宋" w:eastAsia="仿宋" w:cs="仿宋"/>
          <w:b w:val="0"/>
          <w:bCs/>
          <w:lang w:eastAsia="zh-CN"/>
        </w:rPr>
      </w:pPr>
      <w:r>
        <w:rPr>
          <w:rFonts w:hint="eastAsia" w:ascii="仿宋" w:hAnsi="仿宋" w:eastAsia="仿宋" w:cs="仿宋"/>
          <w:b w:val="0"/>
          <w:bCs/>
          <w:lang w:eastAsia="zh-CN"/>
        </w:rPr>
        <w:t>改善校园环境分析</w:t>
      </w:r>
    </w:p>
    <w:p>
      <w:pPr>
        <w:ind w:firstLine="612"/>
        <w:rPr>
          <w:rFonts w:hint="eastAsia" w:ascii="仿宋" w:hAnsi="仿宋" w:eastAsia="仿宋" w:cs="仿宋"/>
          <w:bCs/>
          <w:spacing w:val="-7"/>
          <w:lang w:eastAsia="zh-CN"/>
        </w:rPr>
      </w:pPr>
      <w:r>
        <w:rPr>
          <w:rFonts w:hint="eastAsia" w:ascii="仿宋" w:hAnsi="仿宋" w:eastAsia="仿宋" w:cs="仿宋"/>
          <w:bCs/>
          <w:spacing w:val="-7"/>
          <w:lang w:eastAsia="zh-CN"/>
        </w:rPr>
        <w:t>崭新、统一的宿舍家具提升校园整体形象，为学生营造整洁、舒适的生活环境，获得家长与社会认可，提升学校声誉与地区教育口碑。根据评分标准，该指标评定为</w:t>
      </w:r>
      <w:r>
        <w:rPr>
          <w:rFonts w:hint="eastAsia" w:ascii="仿宋" w:hAnsi="仿宋" w:eastAsia="仿宋" w:cs="仿宋"/>
          <w:bCs/>
          <w:spacing w:val="-7"/>
          <w:lang w:val="en-US" w:eastAsia="zh-CN"/>
        </w:rPr>
        <w:t>优</w:t>
      </w:r>
      <w:r>
        <w:rPr>
          <w:rFonts w:hint="eastAsia" w:ascii="仿宋" w:hAnsi="仿宋" w:eastAsia="仿宋" w:cs="仿宋"/>
          <w:bCs/>
          <w:spacing w:val="-7"/>
          <w:lang w:eastAsia="zh-CN"/>
        </w:rPr>
        <w:t>，得</w:t>
      </w:r>
      <w:r>
        <w:rPr>
          <w:rFonts w:hint="eastAsia" w:ascii="仿宋" w:hAnsi="仿宋" w:eastAsia="仿宋" w:cs="仿宋"/>
          <w:bCs/>
          <w:spacing w:val="-7"/>
          <w:lang w:val="en-US" w:eastAsia="zh-CN"/>
        </w:rPr>
        <w:t>4</w:t>
      </w:r>
      <w:r>
        <w:rPr>
          <w:rFonts w:hint="eastAsia" w:ascii="仿宋" w:hAnsi="仿宋" w:eastAsia="仿宋" w:cs="仿宋"/>
          <w:bCs/>
          <w:spacing w:val="-7"/>
          <w:lang w:eastAsia="zh-CN"/>
        </w:rPr>
        <w:t>.00分。</w:t>
      </w:r>
    </w:p>
    <w:p>
      <w:pPr>
        <w:pStyle w:val="5"/>
        <w:numPr>
          <w:ilvl w:val="0"/>
          <w:numId w:val="20"/>
        </w:numPr>
        <w:ind w:firstLineChars="0"/>
        <w:rPr>
          <w:rFonts w:hint="eastAsia" w:ascii="仿宋" w:hAnsi="仿宋" w:eastAsia="仿宋" w:cs="仿宋"/>
          <w:b w:val="0"/>
          <w:bCs/>
          <w:lang w:eastAsia="zh-CN"/>
        </w:rPr>
      </w:pPr>
      <w:r>
        <w:rPr>
          <w:rFonts w:hint="eastAsia" w:ascii="仿宋" w:hAnsi="仿宋" w:eastAsia="仿宋" w:cs="仿宋"/>
          <w:b w:val="0"/>
          <w:bCs/>
          <w:lang w:eastAsia="zh-CN"/>
        </w:rPr>
        <w:t>促进教育公平分析</w:t>
      </w:r>
    </w:p>
    <w:p>
      <w:pPr>
        <w:ind w:firstLine="612"/>
        <w:rPr>
          <w:rFonts w:hint="eastAsia" w:ascii="仿宋" w:hAnsi="仿宋" w:eastAsia="仿宋" w:cs="仿宋"/>
          <w:bCs/>
          <w:spacing w:val="-7"/>
          <w:lang w:eastAsia="zh-CN"/>
        </w:rPr>
      </w:pPr>
      <w:r>
        <w:rPr>
          <w:rFonts w:hint="eastAsia" w:ascii="仿宋" w:hAnsi="仿宋" w:eastAsia="仿宋" w:cs="仿宋"/>
          <w:bCs/>
          <w:spacing w:val="-7"/>
          <w:lang w:eastAsia="zh-CN"/>
        </w:rPr>
        <w:t>为学生提供标准化生活设施，确保每位学生享有平等住宿条件，助力区域教育均衡发展，体现教育资源公平分配。根据评分标准，该指标评定为</w:t>
      </w:r>
      <w:r>
        <w:rPr>
          <w:rFonts w:hint="eastAsia" w:ascii="仿宋" w:hAnsi="仿宋" w:eastAsia="仿宋" w:cs="仿宋"/>
          <w:bCs/>
          <w:spacing w:val="-7"/>
          <w:lang w:val="en-US" w:eastAsia="zh-CN"/>
        </w:rPr>
        <w:t>优</w:t>
      </w:r>
      <w:r>
        <w:rPr>
          <w:rFonts w:hint="eastAsia" w:ascii="仿宋" w:hAnsi="仿宋" w:eastAsia="仿宋" w:cs="仿宋"/>
          <w:bCs/>
          <w:spacing w:val="-7"/>
          <w:lang w:eastAsia="zh-CN"/>
        </w:rPr>
        <w:t>，得</w:t>
      </w:r>
      <w:r>
        <w:rPr>
          <w:rFonts w:hint="eastAsia" w:ascii="仿宋" w:hAnsi="仿宋" w:eastAsia="仿宋" w:cs="仿宋"/>
          <w:bCs/>
          <w:spacing w:val="-7"/>
          <w:lang w:val="en-US" w:eastAsia="zh-CN"/>
        </w:rPr>
        <w:t>4</w:t>
      </w:r>
      <w:r>
        <w:rPr>
          <w:rFonts w:hint="eastAsia" w:ascii="仿宋" w:hAnsi="仿宋" w:eastAsia="仿宋" w:cs="仿宋"/>
          <w:bCs/>
          <w:spacing w:val="-7"/>
          <w:lang w:eastAsia="zh-CN"/>
        </w:rPr>
        <w:t>.00分。</w:t>
      </w:r>
    </w:p>
    <w:p>
      <w:pPr>
        <w:pStyle w:val="4"/>
        <w:numPr>
          <w:ilvl w:val="2"/>
          <w:numId w:val="19"/>
        </w:numPr>
        <w:ind w:firstLineChars="0"/>
        <w:rPr>
          <w:rFonts w:hint="eastAsia" w:ascii="仿宋" w:hAnsi="仿宋" w:eastAsia="仿宋" w:cs="仿宋"/>
          <w:b w:val="0"/>
          <w:bCs/>
          <w:lang w:eastAsia="zh-CN"/>
        </w:rPr>
      </w:pPr>
      <w:bookmarkStart w:id="369" w:name="_Toc130033925"/>
      <w:bookmarkStart w:id="370" w:name="_Toc1790444916"/>
      <w:bookmarkStart w:id="371" w:name="_Toc25113"/>
      <w:bookmarkStart w:id="372" w:name="_Toc403717737"/>
      <w:bookmarkStart w:id="373" w:name="_Toc407469101"/>
      <w:bookmarkStart w:id="374" w:name="_Toc833354046_WPSOffice_Level3"/>
      <w:bookmarkStart w:id="375" w:name="_Toc836920271"/>
      <w:bookmarkStart w:id="376" w:name="_Toc30657"/>
      <w:r>
        <w:rPr>
          <w:rFonts w:hint="eastAsia" w:ascii="仿宋" w:hAnsi="仿宋" w:eastAsia="仿宋" w:cs="仿宋"/>
          <w:b w:val="0"/>
          <w:bCs/>
          <w:lang w:eastAsia="zh-CN"/>
        </w:rPr>
        <w:t>经济效益</w:t>
      </w:r>
    </w:p>
    <w:p>
      <w:pPr>
        <w:pStyle w:val="5"/>
        <w:numPr>
          <w:ilvl w:val="0"/>
          <w:numId w:val="21"/>
        </w:numPr>
        <w:ind w:firstLineChars="0"/>
        <w:rPr>
          <w:rFonts w:hint="eastAsia" w:ascii="仿宋" w:hAnsi="仿宋" w:eastAsia="仿宋" w:cs="仿宋"/>
          <w:b w:val="0"/>
          <w:bCs/>
          <w:lang w:eastAsia="zh-CN"/>
        </w:rPr>
      </w:pPr>
      <w:r>
        <w:rPr>
          <w:rFonts w:hint="eastAsia" w:ascii="仿宋" w:hAnsi="仿宋" w:eastAsia="仿宋" w:cs="仿宋"/>
          <w:b w:val="0"/>
          <w:bCs/>
          <w:lang w:eastAsia="zh-CN"/>
        </w:rPr>
        <w:t>成本控制分析</w:t>
      </w:r>
    </w:p>
    <w:p>
      <w:pPr>
        <w:ind w:firstLine="640"/>
        <w:rPr>
          <w:rFonts w:hint="eastAsia" w:ascii="仿宋" w:hAnsi="仿宋" w:eastAsia="仿宋" w:cs="仿宋"/>
          <w:bCs/>
          <w:lang w:eastAsia="zh-CN"/>
        </w:rPr>
      </w:pPr>
      <w:r>
        <w:rPr>
          <w:rFonts w:hint="eastAsia" w:ascii="仿宋" w:hAnsi="仿宋" w:eastAsia="仿宋" w:cs="仿宋"/>
          <w:bCs/>
          <w:lang w:eastAsia="zh-CN"/>
        </w:rPr>
        <w:t>通过规范采购流程，在保证质量前提下控制采购成本，避免资金浪费，实现财政资金高效利用，体现预算执行率与成本节约率的良好表现。根据评分标准，该指标评定为优，得4.00分。</w:t>
      </w:r>
    </w:p>
    <w:p>
      <w:pPr>
        <w:pStyle w:val="5"/>
        <w:numPr>
          <w:ilvl w:val="0"/>
          <w:numId w:val="21"/>
        </w:numPr>
        <w:ind w:firstLineChars="0"/>
        <w:rPr>
          <w:rFonts w:hint="eastAsia" w:ascii="仿宋" w:hAnsi="仿宋" w:eastAsia="仿宋" w:cs="仿宋"/>
          <w:b w:val="0"/>
          <w:bCs/>
          <w:lang w:val="en-US" w:eastAsia="zh-CN"/>
        </w:rPr>
      </w:pPr>
      <w:r>
        <w:rPr>
          <w:rFonts w:hint="eastAsia" w:ascii="仿宋" w:hAnsi="仿宋" w:eastAsia="仿宋" w:cs="仿宋"/>
          <w:b w:val="0"/>
          <w:bCs/>
          <w:lang w:eastAsia="zh-CN"/>
        </w:rPr>
        <w:t>长期使用价值</w:t>
      </w:r>
    </w:p>
    <w:p>
      <w:pPr>
        <w:ind w:firstLine="640"/>
        <w:rPr>
          <w:rFonts w:hint="default" w:ascii="仿宋" w:hAnsi="仿宋" w:eastAsia="仿宋" w:cs="仿宋"/>
          <w:bCs/>
          <w:lang w:val="en-US" w:eastAsia="zh-CN"/>
        </w:rPr>
      </w:pPr>
      <w:r>
        <w:rPr>
          <w:rFonts w:hint="eastAsia" w:ascii="仿宋" w:hAnsi="仿宋" w:eastAsia="仿宋" w:cs="仿宋"/>
          <w:bCs/>
          <w:lang w:eastAsia="zh-CN"/>
        </w:rPr>
        <w:t>优质的学生用床、柜子使用寿命长，减少短期内重复采购需求，降低学校后续硬件投入成本。根据评分标准，该指标评定为优，得4.00分。</w:t>
      </w:r>
    </w:p>
    <w:bookmarkEnd w:id="369"/>
    <w:bookmarkEnd w:id="370"/>
    <w:bookmarkEnd w:id="371"/>
    <w:bookmarkEnd w:id="372"/>
    <w:bookmarkEnd w:id="373"/>
    <w:bookmarkEnd w:id="374"/>
    <w:bookmarkEnd w:id="375"/>
    <w:bookmarkEnd w:id="376"/>
    <w:p>
      <w:pPr>
        <w:pStyle w:val="4"/>
        <w:numPr>
          <w:ilvl w:val="2"/>
          <w:numId w:val="19"/>
        </w:numPr>
        <w:ind w:firstLineChars="0"/>
        <w:rPr>
          <w:rFonts w:hint="eastAsia" w:ascii="仿宋" w:hAnsi="仿宋" w:eastAsia="仿宋" w:cs="仿宋"/>
          <w:b w:val="0"/>
          <w:bCs/>
          <w:lang w:eastAsia="zh-CN"/>
        </w:rPr>
      </w:pPr>
      <w:r>
        <w:rPr>
          <w:rFonts w:hint="eastAsia" w:ascii="仿宋" w:hAnsi="仿宋" w:eastAsia="仿宋" w:cs="仿宋"/>
          <w:b w:val="0"/>
          <w:bCs/>
          <w:lang w:val="en-US" w:eastAsia="zh-CN"/>
        </w:rPr>
        <w:t>教育</w:t>
      </w:r>
      <w:r>
        <w:rPr>
          <w:rFonts w:hint="eastAsia" w:ascii="仿宋" w:hAnsi="仿宋" w:eastAsia="仿宋" w:cs="仿宋"/>
          <w:b w:val="0"/>
          <w:bCs/>
          <w:lang w:eastAsia="zh-CN"/>
        </w:rPr>
        <w:t>效益</w:t>
      </w:r>
    </w:p>
    <w:p>
      <w:pPr>
        <w:pStyle w:val="5"/>
        <w:numPr>
          <w:ilvl w:val="0"/>
          <w:numId w:val="22"/>
        </w:numPr>
        <w:ind w:firstLineChars="0"/>
        <w:rPr>
          <w:rFonts w:hint="eastAsia" w:ascii="仿宋" w:hAnsi="仿宋" w:eastAsia="仿宋" w:cs="仿宋"/>
          <w:b w:val="0"/>
          <w:bCs/>
          <w:lang w:eastAsia="zh-CN"/>
        </w:rPr>
      </w:pPr>
      <w:r>
        <w:rPr>
          <w:rFonts w:hint="eastAsia" w:ascii="仿宋" w:hAnsi="仿宋" w:eastAsia="仿宋" w:cs="仿宋"/>
          <w:b w:val="0"/>
          <w:bCs/>
          <w:lang w:eastAsia="zh-CN"/>
        </w:rPr>
        <w:t>提升生活质量分析</w:t>
      </w:r>
    </w:p>
    <w:p>
      <w:pPr>
        <w:ind w:firstLine="612"/>
        <w:rPr>
          <w:rFonts w:hint="eastAsia" w:ascii="仿宋" w:hAnsi="仿宋" w:eastAsia="仿宋" w:cs="仿宋"/>
          <w:bCs/>
          <w:spacing w:val="-7"/>
          <w:lang w:eastAsia="zh-CN"/>
        </w:rPr>
      </w:pPr>
      <w:r>
        <w:rPr>
          <w:rFonts w:hint="eastAsia" w:ascii="仿宋" w:hAnsi="仿宋" w:eastAsia="仿宋" w:cs="仿宋"/>
          <w:bCs/>
          <w:spacing w:val="-7"/>
          <w:lang w:eastAsia="zh-CN"/>
        </w:rPr>
        <w:t>舒适、实用的床铺与储物空间，满足学生日常休息、物品收纳需求，改善住宿体验，缓解学习压力，间接提升学习效率。根据评分标准，该指标评定为</w:t>
      </w:r>
      <w:r>
        <w:rPr>
          <w:rFonts w:hint="eastAsia" w:ascii="仿宋" w:hAnsi="仿宋" w:eastAsia="仿宋" w:cs="仿宋"/>
          <w:bCs/>
          <w:spacing w:val="-7"/>
          <w:lang w:val="en-US" w:eastAsia="zh-CN"/>
        </w:rPr>
        <w:t>良</w:t>
      </w:r>
      <w:r>
        <w:rPr>
          <w:rFonts w:hint="eastAsia" w:ascii="仿宋" w:hAnsi="仿宋" w:eastAsia="仿宋" w:cs="仿宋"/>
          <w:bCs/>
          <w:spacing w:val="-7"/>
          <w:lang w:eastAsia="zh-CN"/>
        </w:rPr>
        <w:t>，得</w:t>
      </w:r>
      <w:r>
        <w:rPr>
          <w:rFonts w:hint="eastAsia" w:ascii="仿宋" w:hAnsi="仿宋" w:eastAsia="仿宋" w:cs="仿宋"/>
          <w:bCs/>
          <w:spacing w:val="-7"/>
          <w:lang w:val="en-US" w:eastAsia="zh-CN"/>
        </w:rPr>
        <w:t>3</w:t>
      </w:r>
      <w:r>
        <w:rPr>
          <w:rFonts w:hint="eastAsia" w:ascii="仿宋" w:hAnsi="仿宋" w:eastAsia="仿宋" w:cs="仿宋"/>
          <w:bCs/>
          <w:spacing w:val="-7"/>
          <w:lang w:eastAsia="zh-CN"/>
        </w:rPr>
        <w:t>.00</w:t>
      </w:r>
      <w:r>
        <w:rPr>
          <w:rFonts w:hint="eastAsia" w:ascii="仿宋" w:hAnsi="仿宋" w:eastAsia="仿宋" w:cs="仿宋"/>
          <w:bCs/>
          <w:spacing w:val="-7"/>
          <w:lang w:val="en-US" w:eastAsia="zh-CN"/>
        </w:rPr>
        <w:t>分</w:t>
      </w:r>
      <w:r>
        <w:rPr>
          <w:rFonts w:hint="eastAsia" w:ascii="仿宋" w:hAnsi="仿宋" w:eastAsia="仿宋" w:cs="仿宋"/>
          <w:bCs/>
          <w:spacing w:val="-7"/>
          <w:lang w:eastAsia="zh-CN"/>
        </w:rPr>
        <w:t>。</w:t>
      </w:r>
    </w:p>
    <w:p>
      <w:pPr>
        <w:pStyle w:val="5"/>
        <w:numPr>
          <w:ilvl w:val="0"/>
          <w:numId w:val="22"/>
        </w:numPr>
        <w:ind w:firstLineChars="0"/>
        <w:rPr>
          <w:rFonts w:hint="eastAsia" w:ascii="仿宋" w:hAnsi="仿宋" w:eastAsia="仿宋" w:cs="仿宋"/>
          <w:b w:val="0"/>
          <w:bCs/>
          <w:lang w:eastAsia="zh-CN"/>
        </w:rPr>
      </w:pPr>
      <w:r>
        <w:rPr>
          <w:rFonts w:hint="eastAsia" w:ascii="仿宋" w:hAnsi="仿宋" w:eastAsia="仿宋" w:cs="仿宋"/>
          <w:b w:val="0"/>
          <w:bCs/>
          <w:lang w:eastAsia="zh-CN"/>
        </w:rPr>
        <w:t>保障学生安全</w:t>
      </w:r>
      <w:r>
        <w:rPr>
          <w:rFonts w:hint="eastAsia" w:ascii="仿宋" w:hAnsi="仿宋" w:eastAsia="仿宋" w:cs="仿宋"/>
          <w:b w:val="0"/>
          <w:bCs/>
          <w:lang w:val="en-US" w:eastAsia="zh-CN"/>
        </w:rPr>
        <w:t>分析</w:t>
      </w:r>
    </w:p>
    <w:p>
      <w:pPr>
        <w:ind w:firstLine="612"/>
        <w:rPr>
          <w:rFonts w:hint="eastAsia" w:ascii="仿宋" w:hAnsi="仿宋" w:eastAsia="仿宋" w:cs="仿宋"/>
          <w:bCs/>
          <w:spacing w:val="-7"/>
          <w:lang w:eastAsia="zh-CN"/>
        </w:rPr>
      </w:pPr>
      <w:r>
        <w:rPr>
          <w:rFonts w:hint="eastAsia" w:ascii="仿宋" w:hAnsi="仿宋" w:eastAsia="仿宋" w:cs="仿宋"/>
          <w:bCs/>
          <w:spacing w:val="-7"/>
          <w:lang w:eastAsia="zh-CN"/>
        </w:rPr>
        <w:t>符合安全标准的家具，避免因劣质材料、不稳定结构带来的安全隐患（如床体坍塌、甲醛超标），为学生人身安全保驾护航。根据评分标准，该指标评定为</w:t>
      </w:r>
      <w:r>
        <w:rPr>
          <w:rFonts w:hint="eastAsia" w:ascii="仿宋" w:hAnsi="仿宋" w:eastAsia="仿宋" w:cs="仿宋"/>
          <w:bCs/>
          <w:spacing w:val="-7"/>
          <w:lang w:val="en-US" w:eastAsia="zh-CN"/>
        </w:rPr>
        <w:t>优</w:t>
      </w:r>
      <w:r>
        <w:rPr>
          <w:rFonts w:hint="eastAsia" w:ascii="仿宋" w:hAnsi="仿宋" w:eastAsia="仿宋" w:cs="仿宋"/>
          <w:bCs/>
          <w:spacing w:val="-7"/>
          <w:lang w:eastAsia="zh-CN"/>
        </w:rPr>
        <w:t>，得</w:t>
      </w:r>
      <w:r>
        <w:rPr>
          <w:rFonts w:hint="eastAsia" w:ascii="仿宋" w:hAnsi="仿宋" w:eastAsia="仿宋" w:cs="仿宋"/>
          <w:bCs/>
          <w:spacing w:val="-7"/>
          <w:lang w:val="en-US" w:eastAsia="zh-CN"/>
        </w:rPr>
        <w:t>4</w:t>
      </w:r>
      <w:r>
        <w:rPr>
          <w:rFonts w:hint="eastAsia" w:ascii="仿宋" w:hAnsi="仿宋" w:eastAsia="仿宋" w:cs="仿宋"/>
          <w:bCs/>
          <w:spacing w:val="-7"/>
          <w:lang w:eastAsia="zh-CN"/>
        </w:rPr>
        <w:t>.00分。</w:t>
      </w:r>
    </w:p>
    <w:p>
      <w:pPr>
        <w:pStyle w:val="4"/>
        <w:numPr>
          <w:ilvl w:val="2"/>
          <w:numId w:val="19"/>
        </w:numPr>
        <w:ind w:firstLineChars="0"/>
        <w:rPr>
          <w:rFonts w:hint="eastAsia" w:ascii="仿宋" w:hAnsi="仿宋" w:eastAsia="仿宋" w:cs="仿宋"/>
          <w:b w:val="0"/>
          <w:bCs/>
          <w:lang w:val="en-US" w:eastAsia="zh-CN"/>
        </w:rPr>
      </w:pPr>
      <w:bookmarkStart w:id="377" w:name="_Toc1466841448"/>
      <w:bookmarkStart w:id="378" w:name="_Toc101106847"/>
      <w:bookmarkStart w:id="379" w:name="_Toc4434"/>
      <w:bookmarkStart w:id="380" w:name="_Toc293105388_WPSOffice_Level3"/>
      <w:bookmarkStart w:id="381" w:name="_Toc1383164886"/>
      <w:bookmarkStart w:id="382" w:name="_Toc7830224"/>
      <w:r>
        <w:rPr>
          <w:rFonts w:hint="eastAsia" w:ascii="仿宋" w:hAnsi="仿宋" w:eastAsia="仿宋" w:cs="仿宋"/>
          <w:b w:val="0"/>
          <w:bCs/>
          <w:lang w:val="en-US" w:eastAsia="zh-CN"/>
        </w:rPr>
        <w:t>可持续效益</w:t>
      </w:r>
    </w:p>
    <w:p>
      <w:pPr>
        <w:pStyle w:val="5"/>
        <w:numPr>
          <w:ilvl w:val="0"/>
          <w:numId w:val="23"/>
        </w:numPr>
        <w:ind w:firstLineChars="0"/>
        <w:rPr>
          <w:rFonts w:hint="eastAsia" w:ascii="仿宋" w:hAnsi="仿宋" w:eastAsia="仿宋" w:cs="仿宋"/>
          <w:b w:val="0"/>
          <w:bCs/>
          <w:spacing w:val="-7"/>
          <w:lang w:eastAsia="zh-CN"/>
        </w:rPr>
      </w:pPr>
      <w:r>
        <w:rPr>
          <w:rFonts w:hint="eastAsia" w:ascii="仿宋" w:hAnsi="仿宋" w:eastAsia="仿宋" w:cs="仿宋"/>
          <w:b w:val="0"/>
          <w:bCs/>
          <w:spacing w:val="-7"/>
          <w:lang w:eastAsia="zh-CN"/>
        </w:rPr>
        <w:t>环保与资源利用</w:t>
      </w:r>
      <w:r>
        <w:rPr>
          <w:rFonts w:hint="eastAsia" w:ascii="仿宋" w:hAnsi="仿宋" w:eastAsia="仿宋" w:cs="仿宋"/>
          <w:b w:val="0"/>
          <w:bCs/>
          <w:spacing w:val="-7"/>
          <w:lang w:val="en-US" w:eastAsia="zh-CN"/>
        </w:rPr>
        <w:t>分析</w:t>
      </w:r>
    </w:p>
    <w:p>
      <w:pPr>
        <w:ind w:firstLine="640"/>
        <w:rPr>
          <w:rFonts w:hint="eastAsia" w:ascii="仿宋" w:hAnsi="仿宋" w:eastAsia="仿宋" w:cs="仿宋"/>
          <w:bCs/>
          <w:lang w:eastAsia="zh-CN"/>
        </w:rPr>
      </w:pPr>
      <w:r>
        <w:rPr>
          <w:rFonts w:hint="eastAsia" w:ascii="仿宋" w:hAnsi="仿宋" w:eastAsia="仿宋" w:cs="仿宋"/>
          <w:bCs/>
          <w:lang w:eastAsia="zh-CN"/>
        </w:rPr>
        <w:t>采购的床、柜子均符合国家GB/T3324-2017《木家具通用技术条件》，床架采用优质钢材/实木材质，柜体板材符合E1级环保标准，无甲醛超标问题。选择环保材料制作的家具，减少有害物质排放；合理规划尺寸与功能，延长使用周期，践行绿色环保理念。根据评分标准，该指标评定</w:t>
      </w:r>
      <w:r>
        <w:rPr>
          <w:rFonts w:hint="eastAsia" w:ascii="仿宋" w:hAnsi="仿宋" w:eastAsia="仿宋" w:cs="仿宋"/>
          <w:bCs/>
          <w:lang w:val="en-US" w:eastAsia="zh-CN"/>
        </w:rPr>
        <w:t>优</w:t>
      </w:r>
      <w:r>
        <w:rPr>
          <w:rFonts w:hint="eastAsia" w:ascii="仿宋" w:hAnsi="仿宋" w:eastAsia="仿宋" w:cs="仿宋"/>
          <w:bCs/>
          <w:lang w:eastAsia="zh-CN"/>
        </w:rPr>
        <w:t>，得</w:t>
      </w:r>
      <w:r>
        <w:rPr>
          <w:rFonts w:hint="eastAsia" w:ascii="仿宋" w:hAnsi="仿宋" w:eastAsia="仿宋" w:cs="仿宋"/>
          <w:bCs/>
          <w:lang w:val="en-US" w:eastAsia="zh-CN"/>
        </w:rPr>
        <w:t>3</w:t>
      </w:r>
      <w:r>
        <w:rPr>
          <w:rFonts w:hint="eastAsia" w:ascii="仿宋" w:hAnsi="仿宋" w:eastAsia="仿宋" w:cs="仿宋"/>
          <w:bCs/>
          <w:lang w:eastAsia="zh-CN"/>
        </w:rPr>
        <w:t>.00分。</w:t>
      </w:r>
    </w:p>
    <w:p>
      <w:pPr>
        <w:pStyle w:val="5"/>
        <w:numPr>
          <w:ilvl w:val="0"/>
          <w:numId w:val="23"/>
        </w:numPr>
        <w:ind w:firstLineChars="0"/>
        <w:rPr>
          <w:rFonts w:hint="eastAsia" w:ascii="仿宋" w:hAnsi="仿宋" w:eastAsia="仿宋" w:cs="仿宋"/>
          <w:b w:val="0"/>
          <w:bCs/>
          <w:spacing w:val="-7"/>
          <w:lang w:eastAsia="zh-CN"/>
        </w:rPr>
      </w:pPr>
      <w:r>
        <w:rPr>
          <w:rFonts w:hint="eastAsia" w:ascii="仿宋" w:hAnsi="仿宋" w:eastAsia="仿宋" w:cs="仿宋"/>
          <w:b w:val="0"/>
          <w:bCs/>
          <w:spacing w:val="-7"/>
          <w:lang w:eastAsia="zh-CN"/>
        </w:rPr>
        <w:t>适应未来需求</w:t>
      </w:r>
      <w:r>
        <w:rPr>
          <w:rFonts w:hint="eastAsia" w:ascii="仿宋" w:hAnsi="仿宋" w:eastAsia="仿宋" w:cs="仿宋"/>
          <w:b w:val="0"/>
          <w:bCs/>
          <w:spacing w:val="-7"/>
          <w:lang w:val="en-US" w:eastAsia="zh-CN"/>
        </w:rPr>
        <w:t>分析</w:t>
      </w:r>
    </w:p>
    <w:p>
      <w:pPr>
        <w:ind w:firstLine="640"/>
        <w:rPr>
          <w:rFonts w:hint="eastAsia" w:ascii="仿宋" w:hAnsi="仿宋" w:eastAsia="仿宋" w:cs="仿宋"/>
          <w:bCs/>
          <w:lang w:eastAsia="zh-CN"/>
        </w:rPr>
      </w:pPr>
      <w:r>
        <w:rPr>
          <w:rFonts w:hint="eastAsia" w:ascii="仿宋" w:hAnsi="仿宋" w:eastAsia="仿宋" w:cs="仿宋"/>
          <w:bCs/>
          <w:lang w:eastAsia="zh-CN"/>
        </w:rPr>
        <w:t>采购时充分考虑学生数量增长、住宿需求变化，预留功能拓展空间，使家具能灵活适应未来宿舍调整需求。根据评分标准，该指标评定为</w:t>
      </w:r>
      <w:r>
        <w:rPr>
          <w:rFonts w:hint="eastAsia" w:ascii="仿宋" w:hAnsi="仿宋" w:eastAsia="仿宋" w:cs="仿宋"/>
          <w:bCs/>
          <w:lang w:val="en-US" w:eastAsia="zh-CN"/>
        </w:rPr>
        <w:t>良</w:t>
      </w:r>
      <w:r>
        <w:rPr>
          <w:rFonts w:hint="eastAsia" w:ascii="仿宋" w:hAnsi="仿宋" w:eastAsia="仿宋" w:cs="仿宋"/>
          <w:bCs/>
          <w:lang w:eastAsia="zh-CN"/>
        </w:rPr>
        <w:t>，得</w:t>
      </w:r>
      <w:r>
        <w:rPr>
          <w:rFonts w:hint="eastAsia" w:ascii="仿宋" w:hAnsi="仿宋" w:eastAsia="仿宋" w:cs="仿宋"/>
          <w:bCs/>
          <w:lang w:val="en-US" w:eastAsia="zh-CN"/>
        </w:rPr>
        <w:t>2</w:t>
      </w:r>
      <w:r>
        <w:rPr>
          <w:rFonts w:hint="eastAsia" w:ascii="仿宋" w:hAnsi="仿宋" w:eastAsia="仿宋" w:cs="仿宋"/>
          <w:bCs/>
          <w:lang w:eastAsia="zh-CN"/>
        </w:rPr>
        <w:t>.00分。</w:t>
      </w:r>
    </w:p>
    <w:p>
      <w:pPr>
        <w:pStyle w:val="4"/>
        <w:numPr>
          <w:ilvl w:val="2"/>
          <w:numId w:val="19"/>
        </w:numPr>
        <w:ind w:firstLineChars="0"/>
        <w:rPr>
          <w:rFonts w:hint="eastAsia" w:ascii="仿宋" w:hAnsi="仿宋" w:eastAsia="仿宋" w:cs="仿宋"/>
          <w:b w:val="0"/>
          <w:bCs w:val="0"/>
          <w:lang w:eastAsia="zh-CN"/>
        </w:rPr>
      </w:pPr>
      <w:r>
        <w:rPr>
          <w:rFonts w:hint="eastAsia" w:ascii="仿宋" w:hAnsi="仿宋" w:eastAsia="仿宋" w:cs="仿宋"/>
          <w:b w:val="0"/>
          <w:bCs w:val="0"/>
          <w:lang w:val="en-US" w:eastAsia="zh-CN"/>
        </w:rPr>
        <w:t>满意度</w:t>
      </w:r>
    </w:p>
    <w:p>
      <w:pPr>
        <w:ind w:firstLine="640"/>
        <w:rPr>
          <w:rFonts w:hint="eastAsia" w:ascii="仿宋" w:hAnsi="仿宋" w:eastAsia="仿宋" w:cs="仿宋"/>
          <w:bCs/>
          <w:lang w:val="en-US" w:eastAsia="zh-CN"/>
        </w:rPr>
      </w:pPr>
      <w:r>
        <w:rPr>
          <w:rFonts w:hint="eastAsia" w:ascii="仿宋" w:hAnsi="仿宋" w:eastAsia="仿宋" w:cs="仿宋"/>
          <w:bCs/>
          <w:lang w:val="en-US" w:eastAsia="zh-CN"/>
        </w:rPr>
        <w:t>(1)学生满意度</w:t>
      </w:r>
    </w:p>
    <w:p>
      <w:pPr>
        <w:ind w:firstLine="640"/>
        <w:rPr>
          <w:rFonts w:hint="default" w:ascii="仿宋" w:hAnsi="仿宋" w:eastAsia="仿宋" w:cs="仿宋"/>
          <w:bCs/>
          <w:lang w:val="en-US" w:eastAsia="zh-CN"/>
        </w:rPr>
      </w:pPr>
      <w:r>
        <w:rPr>
          <w:rFonts w:hint="eastAsia" w:ascii="仿宋" w:hAnsi="仿宋" w:eastAsia="仿宋" w:cs="仿宋"/>
          <w:bCs/>
          <w:lang w:val="en-US" w:eastAsia="zh-CN"/>
        </w:rPr>
        <w:t>2</w:t>
      </w:r>
      <w:r>
        <w:rPr>
          <w:rFonts w:hint="eastAsia" w:ascii="仿宋" w:hAnsi="仿宋" w:eastAsia="仿宋" w:cs="仿宋"/>
          <w:bCs/>
          <w:lang w:eastAsia="zh-CN"/>
        </w:rPr>
        <w:t>024年11月16日</w:t>
      </w:r>
      <w:r>
        <w:rPr>
          <w:rFonts w:hint="eastAsia" w:ascii="仿宋" w:hAnsi="仿宋" w:eastAsia="仿宋" w:cs="仿宋"/>
          <w:bCs/>
          <w:lang w:val="en-US" w:eastAsia="zh-CN"/>
        </w:rPr>
        <w:t>延风中学</w:t>
      </w:r>
      <w:r>
        <w:rPr>
          <w:rFonts w:hint="eastAsia" w:ascii="仿宋" w:hAnsi="仿宋" w:eastAsia="仿宋" w:cs="仿宋"/>
          <w:bCs/>
          <w:lang w:eastAsia="zh-CN"/>
        </w:rPr>
        <w:t>分年级向住校男生发放调查问卷26份，</w:t>
      </w:r>
      <w:r>
        <w:rPr>
          <w:rFonts w:hint="eastAsia" w:ascii="仿宋" w:hAnsi="仿宋" w:eastAsia="仿宋" w:cs="仿宋"/>
          <w:bCs/>
          <w:lang w:val="en-US" w:eastAsia="zh-CN"/>
        </w:rPr>
        <w:t>根据学生使用情况，问卷设置了13个评价项目。学校</w:t>
      </w:r>
      <w:r>
        <w:rPr>
          <w:rFonts w:hint="eastAsia" w:ascii="仿宋" w:hAnsi="仿宋" w:eastAsia="仿宋" w:cs="仿宋"/>
          <w:bCs/>
          <w:lang w:eastAsia="zh-CN"/>
        </w:rPr>
        <w:t>收</w:t>
      </w:r>
      <w:r>
        <w:rPr>
          <w:rFonts w:hint="eastAsia" w:ascii="仿宋" w:hAnsi="仿宋" w:eastAsia="仿宋" w:cs="仿宋"/>
          <w:bCs/>
          <w:lang w:val="en-US" w:eastAsia="zh-CN"/>
        </w:rPr>
        <w:t>回</w:t>
      </w:r>
      <w:r>
        <w:rPr>
          <w:rFonts w:hint="eastAsia" w:ascii="仿宋" w:hAnsi="仿宋" w:eastAsia="仿宋" w:cs="仿宋"/>
          <w:bCs/>
          <w:lang w:eastAsia="zh-CN"/>
        </w:rPr>
        <w:t>问卷26份，</w:t>
      </w:r>
      <w:r>
        <w:rPr>
          <w:rFonts w:hint="eastAsia" w:ascii="仿宋" w:hAnsi="仿宋" w:eastAsia="仿宋" w:cs="仿宋"/>
          <w:bCs/>
          <w:lang w:val="en-US" w:eastAsia="zh-CN"/>
        </w:rPr>
        <w:t>满意度96.15%。根据评分标准，该指标得满分2.00分。</w:t>
      </w:r>
    </w:p>
    <w:bookmarkEnd w:id="377"/>
    <w:bookmarkEnd w:id="378"/>
    <w:bookmarkEnd w:id="379"/>
    <w:bookmarkEnd w:id="380"/>
    <w:bookmarkEnd w:id="381"/>
    <w:bookmarkEnd w:id="382"/>
    <w:p>
      <w:pPr>
        <w:pStyle w:val="2"/>
        <w:numPr>
          <w:numId w:val="0"/>
        </w:numPr>
        <w:spacing w:before="0" w:beforeLines="0" w:after="0" w:afterLines="0"/>
        <w:ind w:leftChars="0" w:firstLine="640" w:firstLineChars="200"/>
        <w:rPr>
          <w:rFonts w:hint="eastAsia" w:ascii="黑体" w:hAnsi="黑体" w:eastAsia="黑体" w:cs="黑体"/>
          <w:b w:val="0"/>
          <w:bCs/>
          <w:lang w:eastAsia="zh-CN"/>
        </w:rPr>
      </w:pPr>
      <w:bookmarkStart w:id="383" w:name="_Toc643212752"/>
      <w:bookmarkStart w:id="384" w:name="_Toc606072301"/>
      <w:bookmarkStart w:id="385" w:name="_Toc91948976"/>
      <w:bookmarkStart w:id="386" w:name="_Toc1147619601_WPSOffice_Level1"/>
      <w:bookmarkStart w:id="387" w:name="_Toc7946"/>
      <w:bookmarkStart w:id="388" w:name="_Toc132480971"/>
      <w:bookmarkStart w:id="389" w:name="_Toc341760227"/>
      <w:bookmarkStart w:id="390" w:name="_Toc179658330"/>
      <w:bookmarkStart w:id="391" w:name="_Toc3877"/>
      <w:r>
        <w:rPr>
          <w:rFonts w:hint="eastAsia" w:ascii="黑体" w:hAnsi="黑体" w:eastAsia="黑体" w:cs="黑体"/>
          <w:b w:val="0"/>
          <w:bCs/>
          <w:lang w:eastAsia="zh-CN"/>
        </w:rPr>
        <w:t>五、存在的问题及</w:t>
      </w:r>
      <w:bookmarkEnd w:id="383"/>
      <w:bookmarkEnd w:id="384"/>
      <w:bookmarkEnd w:id="385"/>
      <w:bookmarkEnd w:id="386"/>
      <w:bookmarkEnd w:id="387"/>
      <w:bookmarkEnd w:id="388"/>
      <w:bookmarkEnd w:id="389"/>
      <w:r>
        <w:rPr>
          <w:rFonts w:hint="eastAsia" w:ascii="黑体" w:hAnsi="黑体" w:eastAsia="黑体" w:cs="黑体"/>
          <w:b w:val="0"/>
          <w:bCs/>
          <w:lang w:eastAsia="zh-CN"/>
        </w:rPr>
        <w:t>建议</w:t>
      </w:r>
      <w:bookmarkEnd w:id="390"/>
      <w:bookmarkEnd w:id="391"/>
    </w:p>
    <w:p>
      <w:pPr>
        <w:pStyle w:val="4"/>
        <w:ind w:firstLine="640"/>
        <w:rPr>
          <w:rFonts w:hint="eastAsia" w:ascii="楷体" w:hAnsi="楷体" w:eastAsia="楷体" w:cs="楷体"/>
          <w:b w:val="0"/>
          <w:bCs/>
          <w:lang w:val="en-US" w:eastAsia="zh-CN"/>
        </w:rPr>
      </w:pPr>
      <w:bookmarkStart w:id="392" w:name="_Toc2042253545_WPSOffice_Level3"/>
      <w:bookmarkStart w:id="393" w:name="_Toc32406"/>
      <w:bookmarkStart w:id="394" w:name="_Toc1535266130"/>
      <w:bookmarkStart w:id="395" w:name="_Toc22958"/>
      <w:bookmarkStart w:id="396" w:name="_Toc1365763903"/>
      <w:bookmarkStart w:id="397" w:name="_Toc935836209"/>
      <w:bookmarkStart w:id="398" w:name="_Toc581087941"/>
      <w:r>
        <w:rPr>
          <w:rFonts w:hint="eastAsia" w:ascii="楷体" w:hAnsi="楷体" w:eastAsia="楷体" w:cs="楷体"/>
          <w:b w:val="0"/>
          <w:bCs/>
          <w:lang w:eastAsia="zh-CN"/>
        </w:rPr>
        <w:t>设定的产出指标不够精确，</w:t>
      </w:r>
      <w:r>
        <w:rPr>
          <w:rFonts w:hint="eastAsia" w:ascii="楷体" w:hAnsi="楷体" w:eastAsia="楷体" w:cs="楷体"/>
          <w:b w:val="0"/>
          <w:bCs/>
          <w:lang w:val="en-US" w:eastAsia="zh-CN"/>
        </w:rPr>
        <w:t>应提高绩效目标编制水平</w:t>
      </w:r>
    </w:p>
    <w:p>
      <w:pPr>
        <w:ind w:firstLine="612"/>
        <w:rPr>
          <w:rFonts w:hint="eastAsia" w:ascii="仿宋" w:hAnsi="仿宋" w:eastAsia="仿宋" w:cs="仿宋"/>
          <w:bCs/>
          <w:spacing w:val="-7"/>
          <w:lang w:eastAsia="zh-CN"/>
        </w:rPr>
      </w:pPr>
      <w:r>
        <w:rPr>
          <w:rFonts w:hint="eastAsia" w:ascii="仿宋" w:hAnsi="仿宋" w:eastAsia="仿宋" w:cs="仿宋"/>
          <w:bCs/>
          <w:spacing w:val="-7"/>
          <w:lang w:eastAsia="zh-CN"/>
        </w:rPr>
        <w:t>问题：</w:t>
      </w:r>
      <w:r>
        <w:rPr>
          <w:rFonts w:hint="eastAsia" w:ascii="仿宋" w:hAnsi="仿宋" w:eastAsia="仿宋" w:cs="仿宋"/>
          <w:bCs/>
          <w:spacing w:val="-7"/>
          <w:lang w:val="en-US" w:eastAsia="zh-CN"/>
        </w:rPr>
        <w:t>项目单位提供的《绩效目标表》中，编制了产出、效益、满意度三项绩效目标，其中产出指标数量与预算数据不符</w:t>
      </w:r>
      <w:r>
        <w:rPr>
          <w:rFonts w:hint="eastAsia" w:ascii="仿宋" w:hAnsi="仿宋" w:eastAsia="仿宋" w:cs="仿宋"/>
          <w:bCs/>
          <w:spacing w:val="-7"/>
          <w:lang w:eastAsia="zh-CN"/>
        </w:rPr>
        <w:t>。</w:t>
      </w:r>
    </w:p>
    <w:p>
      <w:pPr>
        <w:ind w:firstLine="612"/>
        <w:rPr>
          <w:rFonts w:hint="eastAsia" w:ascii="仿宋" w:hAnsi="仿宋" w:eastAsia="仿宋" w:cs="仿宋"/>
          <w:bCs/>
          <w:lang w:eastAsia="zh-CN"/>
        </w:rPr>
      </w:pPr>
      <w:r>
        <w:rPr>
          <w:rFonts w:hint="eastAsia" w:ascii="仿宋" w:hAnsi="仿宋" w:eastAsia="仿宋" w:cs="仿宋"/>
          <w:bCs/>
          <w:spacing w:val="-7"/>
          <w:lang w:eastAsia="zh-CN"/>
        </w:rPr>
        <w:t>建议：</w:t>
      </w:r>
      <w:r>
        <w:rPr>
          <w:rFonts w:hint="eastAsia" w:ascii="仿宋" w:hAnsi="仿宋" w:eastAsia="仿宋" w:cs="仿宋"/>
          <w:bCs/>
          <w:spacing w:val="-7"/>
          <w:lang w:val="en-US" w:eastAsia="zh-CN"/>
        </w:rPr>
        <w:t>《绩效目标表》应指定专人进行编制，</w:t>
      </w:r>
      <w:r>
        <w:rPr>
          <w:rFonts w:hint="eastAsia" w:ascii="仿宋" w:hAnsi="仿宋" w:eastAsia="仿宋" w:cs="仿宋"/>
          <w:bCs/>
          <w:spacing w:val="-7"/>
          <w:lang w:eastAsia="zh-CN"/>
        </w:rPr>
        <w:t>将指标进一步分解为更具体的子指标，并尽量用具体的数据、比例、时间等量化标准来描述，使指标可衡量。产出指标</w:t>
      </w:r>
      <w:r>
        <w:rPr>
          <w:rFonts w:hint="eastAsia" w:ascii="仿宋" w:hAnsi="仿宋" w:eastAsia="仿宋" w:cs="仿宋"/>
          <w:bCs/>
          <w:spacing w:val="-7"/>
          <w:lang w:val="en-US" w:eastAsia="zh-CN"/>
        </w:rPr>
        <w:t>应</w:t>
      </w:r>
      <w:r>
        <w:rPr>
          <w:rFonts w:hint="eastAsia" w:ascii="仿宋" w:hAnsi="仿宋" w:eastAsia="仿宋" w:cs="仿宋"/>
          <w:bCs/>
          <w:spacing w:val="-7"/>
          <w:lang w:eastAsia="zh-CN"/>
        </w:rPr>
        <w:t>能够准确反映实际工作的成果和效益，避免脱离实际。</w:t>
      </w:r>
      <w:r>
        <w:rPr>
          <w:rFonts w:hint="eastAsia" w:ascii="仿宋" w:hAnsi="仿宋" w:eastAsia="仿宋" w:cs="仿宋"/>
          <w:bCs/>
          <w:spacing w:val="-7"/>
          <w:lang w:val="en-US" w:eastAsia="zh-CN"/>
        </w:rPr>
        <w:t>同时</w:t>
      </w:r>
      <w:r>
        <w:rPr>
          <w:rFonts w:hint="eastAsia" w:ascii="仿宋" w:hAnsi="仿宋" w:eastAsia="仿宋" w:cs="仿宋"/>
          <w:bCs/>
          <w:spacing w:val="-7"/>
          <w:lang w:eastAsia="zh-CN"/>
        </w:rPr>
        <w:t>建立严格的指标审核流程，在指标设定后，组织相关专家、业务人员等进行审核评估，及时发现并纠正不精确的地方。</w:t>
      </w:r>
    </w:p>
    <w:bookmarkEnd w:id="392"/>
    <w:bookmarkEnd w:id="393"/>
    <w:bookmarkEnd w:id="394"/>
    <w:bookmarkEnd w:id="395"/>
    <w:bookmarkEnd w:id="396"/>
    <w:bookmarkEnd w:id="397"/>
    <w:bookmarkEnd w:id="398"/>
    <w:p>
      <w:pPr>
        <w:ind w:firstLine="640"/>
        <w:rPr>
          <w:rFonts w:hint="eastAsia" w:ascii="仿宋" w:hAnsi="仿宋" w:eastAsia="仿宋" w:cs="仿宋"/>
          <w:bCs/>
          <w:lang w:eastAsia="zh-CN"/>
        </w:rPr>
      </w:pPr>
      <w:bookmarkStart w:id="399" w:name="_Toc20030"/>
      <w:bookmarkStart w:id="400" w:name="_Toc14379"/>
      <w:bookmarkStart w:id="401" w:name="_Toc124352101"/>
      <w:bookmarkStart w:id="402" w:name="_Toc685187359"/>
      <w:bookmarkStart w:id="403" w:name="_Toc1417274258"/>
      <w:bookmarkStart w:id="404" w:name="_Toc1165137498"/>
      <w:bookmarkStart w:id="405" w:name="_Toc487364833_WPSOffice_Level2"/>
      <w:bookmarkStart w:id="406" w:name="_Toc132480978"/>
    </w:p>
    <w:p>
      <w:pPr>
        <w:ind w:left="1600" w:leftChars="200" w:hanging="960" w:hangingChars="300"/>
        <w:rPr>
          <w:rFonts w:hint="eastAsia" w:ascii="仿宋" w:hAnsi="仿宋" w:eastAsia="仿宋" w:cs="仿宋"/>
          <w:bCs/>
          <w:lang w:eastAsia="zh-CN"/>
        </w:rPr>
      </w:pPr>
      <w:r>
        <w:rPr>
          <w:rFonts w:hint="eastAsia" w:ascii="仿宋" w:hAnsi="仿宋" w:eastAsia="仿宋" w:cs="仿宋"/>
          <w:bCs/>
          <w:lang w:eastAsia="zh-CN"/>
        </w:rPr>
        <w:t>附件</w:t>
      </w:r>
      <w:bookmarkEnd w:id="399"/>
      <w:bookmarkEnd w:id="400"/>
      <w:bookmarkEnd w:id="401"/>
      <w:bookmarkEnd w:id="402"/>
      <w:bookmarkEnd w:id="403"/>
      <w:bookmarkEnd w:id="404"/>
      <w:bookmarkEnd w:id="405"/>
      <w:r>
        <w:rPr>
          <w:rFonts w:hint="eastAsia" w:ascii="仿宋" w:hAnsi="仿宋" w:eastAsia="仿宋" w:cs="仿宋"/>
          <w:bCs/>
          <w:lang w:eastAsia="zh-CN"/>
        </w:rPr>
        <w:t>：延风中学男生宿舍学生用床、柜子采购项目绩效评价指标体系及综合评分表</w:t>
      </w:r>
      <w:bookmarkEnd w:id="406"/>
    </w:p>
    <w:p>
      <w:pPr>
        <w:wordWrap w:val="0"/>
        <w:ind w:firstLine="643"/>
        <w:jc w:val="right"/>
        <w:rPr>
          <w:rFonts w:hint="eastAsia" w:ascii="仿宋" w:hAnsi="仿宋" w:eastAsia="仿宋" w:cs="仿宋"/>
          <w:bCs/>
          <w:lang w:eastAsia="zh-CN"/>
        </w:rPr>
      </w:pPr>
    </w:p>
    <w:p>
      <w:pPr>
        <w:ind w:firstLine="640"/>
        <w:rPr>
          <w:rFonts w:hint="eastAsia" w:ascii="仿宋" w:hAnsi="仿宋" w:eastAsia="仿宋" w:cs="仿宋"/>
          <w:bCs/>
          <w:lang w:eastAsia="zh-CN"/>
        </w:rPr>
        <w:sectPr>
          <w:footerReference r:id="rId13" w:type="default"/>
          <w:pgSz w:w="11906" w:h="16838"/>
          <w:pgMar w:top="1440" w:right="1800" w:bottom="1440" w:left="1800" w:header="851" w:footer="1191" w:gutter="0"/>
          <w:pgBorders>
            <w:top w:val="none" w:sz="0" w:space="0"/>
            <w:left w:val="none" w:sz="0" w:space="0"/>
            <w:bottom w:val="none" w:sz="0" w:space="0"/>
            <w:right w:val="none" w:sz="0" w:space="0"/>
          </w:pgBorders>
          <w:pgNumType w:fmt="numberInDash" w:start="1"/>
          <w:cols w:space="425" w:num="1"/>
          <w:docGrid w:type="lines" w:linePitch="312" w:charSpace="0"/>
        </w:sectPr>
      </w:pPr>
    </w:p>
    <w:p>
      <w:pPr>
        <w:pStyle w:val="3"/>
        <w:spacing w:before="0" w:beforeLines="0" w:after="0" w:afterLines="0"/>
        <w:ind w:firstLine="0" w:firstLineChars="0"/>
        <w:rPr>
          <w:rFonts w:hint="eastAsia" w:ascii="黑体" w:hAnsi="黑体" w:eastAsia="黑体" w:cs="黑体"/>
          <w:b w:val="0"/>
          <w:bCs/>
          <w:sz w:val="32"/>
          <w:szCs w:val="32"/>
          <w:lang w:eastAsia="zh-CN"/>
        </w:rPr>
      </w:pPr>
      <w:bookmarkStart w:id="407" w:name="_Toc22059"/>
      <w:bookmarkStart w:id="408" w:name="_Toc179658332"/>
      <w:bookmarkStart w:id="412" w:name="_GoBack"/>
      <w:r>
        <w:rPr>
          <w:rFonts w:hint="eastAsia" w:ascii="黑体" w:hAnsi="黑体" w:eastAsia="黑体" w:cs="黑体"/>
          <w:b w:val="0"/>
          <w:bCs/>
          <w:sz w:val="32"/>
          <w:szCs w:val="32"/>
          <w:lang w:eastAsia="zh-CN"/>
        </w:rPr>
        <w:t>附件</w:t>
      </w:r>
      <w:bookmarkEnd w:id="407"/>
      <w:bookmarkEnd w:id="408"/>
    </w:p>
    <w:bookmarkEnd w:id="412"/>
    <w:p>
      <w:pPr>
        <w:pStyle w:val="3"/>
        <w:spacing w:before="0" w:beforeLines="0" w:after="0" w:afterLines="0"/>
        <w:ind w:firstLine="562"/>
        <w:jc w:val="center"/>
        <w:rPr>
          <w:rFonts w:hint="eastAsia"/>
          <w:sz w:val="28"/>
          <w:szCs w:val="28"/>
          <w:lang w:eastAsia="zh-CN"/>
        </w:rPr>
      </w:pPr>
      <w:bookmarkStart w:id="409" w:name="_Toc179658333"/>
      <w:bookmarkStart w:id="410" w:name="_Toc16835"/>
      <w:r>
        <w:rPr>
          <w:rFonts w:hint="eastAsia" w:ascii="Times New Roman" w:hAnsi="Times New Roman" w:eastAsia="宋体"/>
          <w:sz w:val="28"/>
          <w:szCs w:val="28"/>
          <w:lang w:eastAsia="zh-CN"/>
        </w:rPr>
        <w:t>延风中学男生宿舍学生用床、柜子采购项目</w:t>
      </w:r>
      <w:r>
        <w:rPr>
          <w:rFonts w:ascii="Times New Roman" w:hAnsi="Times New Roman" w:eastAsia="宋体"/>
          <w:sz w:val="28"/>
          <w:szCs w:val="28"/>
          <w:lang w:eastAsia="zh-CN"/>
        </w:rPr>
        <w:t>绩效评价指标体系及综合评分表</w:t>
      </w:r>
      <w:bookmarkEnd w:id="409"/>
      <w:bookmarkEnd w:id="410"/>
    </w:p>
    <w:tbl>
      <w:tblPr>
        <w:tblStyle w:val="22"/>
        <w:tblW w:w="50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891"/>
        <w:gridCol w:w="895"/>
        <w:gridCol w:w="744"/>
        <w:gridCol w:w="3054"/>
        <w:gridCol w:w="2249"/>
        <w:gridCol w:w="3881"/>
        <w:gridCol w:w="818"/>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06" w:type="dxa"/>
            <w:shd w:val="clear" w:color="auto" w:fill="BEBEBE" w:themeFill="background1" w:themeFillShade="BF"/>
            <w:vAlign w:val="center"/>
          </w:tcPr>
          <w:p>
            <w:pPr>
              <w:widowControl/>
              <w:spacing w:line="360" w:lineRule="exact"/>
              <w:ind w:firstLine="0" w:firstLineChars="0"/>
              <w:jc w:val="center"/>
              <w:textAlignment w:val="center"/>
              <w:rPr>
                <w:rFonts w:eastAsia="宋体"/>
                <w:b/>
                <w:bCs/>
                <w:sz w:val="24"/>
                <w:lang w:eastAsia="zh-CN" w:bidi="ar-SA"/>
              </w:rPr>
            </w:pPr>
            <w:bookmarkStart w:id="411" w:name="_Hlk179648500"/>
            <w:r>
              <w:rPr>
                <w:rFonts w:eastAsia="宋体"/>
                <w:b/>
                <w:bCs/>
                <w:sz w:val="24"/>
                <w:lang w:eastAsia="zh-CN" w:bidi="ar"/>
              </w:rPr>
              <w:t>一级指标</w:t>
            </w:r>
          </w:p>
        </w:tc>
        <w:tc>
          <w:tcPr>
            <w:tcW w:w="891" w:type="dxa"/>
            <w:shd w:val="clear" w:color="auto" w:fill="BEBEBE" w:themeFill="background1" w:themeFillShade="BF"/>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二级指标</w:t>
            </w:r>
          </w:p>
        </w:tc>
        <w:tc>
          <w:tcPr>
            <w:tcW w:w="895" w:type="dxa"/>
            <w:shd w:val="clear" w:color="auto" w:fill="BEBEBE" w:themeFill="background1" w:themeFillShade="BF"/>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三级指标</w:t>
            </w:r>
          </w:p>
        </w:tc>
        <w:tc>
          <w:tcPr>
            <w:tcW w:w="744" w:type="dxa"/>
            <w:shd w:val="clear" w:color="auto" w:fill="BEBEBE" w:themeFill="background1" w:themeFillShade="BF"/>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分值</w:t>
            </w:r>
          </w:p>
        </w:tc>
        <w:tc>
          <w:tcPr>
            <w:tcW w:w="3054" w:type="dxa"/>
            <w:shd w:val="clear" w:color="auto" w:fill="BEBEBE" w:themeFill="background1" w:themeFillShade="BF"/>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指标说明</w:t>
            </w:r>
          </w:p>
        </w:tc>
        <w:tc>
          <w:tcPr>
            <w:tcW w:w="2249" w:type="dxa"/>
            <w:shd w:val="clear" w:color="auto" w:fill="BEBEBE" w:themeFill="background1" w:themeFillShade="BF"/>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评分标准</w:t>
            </w:r>
          </w:p>
        </w:tc>
        <w:tc>
          <w:tcPr>
            <w:tcW w:w="3881" w:type="dxa"/>
            <w:shd w:val="clear" w:color="auto" w:fill="BEBEBE" w:themeFill="background1" w:themeFillShade="BF"/>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评分过程</w:t>
            </w:r>
          </w:p>
        </w:tc>
        <w:tc>
          <w:tcPr>
            <w:tcW w:w="818" w:type="dxa"/>
            <w:shd w:val="clear" w:color="auto" w:fill="BEBEBE" w:themeFill="background1" w:themeFillShade="BF"/>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最终得分</w:t>
            </w:r>
          </w:p>
        </w:tc>
        <w:tc>
          <w:tcPr>
            <w:tcW w:w="1106" w:type="dxa"/>
            <w:shd w:val="clear" w:color="auto" w:fill="BEBEBE" w:themeFill="background1" w:themeFillShade="BF"/>
            <w:vAlign w:val="center"/>
          </w:tcPr>
          <w:p>
            <w:pPr>
              <w:widowControl/>
              <w:spacing w:line="360" w:lineRule="exact"/>
              <w:ind w:firstLine="0" w:firstLineChars="0"/>
              <w:jc w:val="center"/>
              <w:textAlignment w:val="center"/>
              <w:rPr>
                <w:rFonts w:eastAsia="宋体"/>
                <w:b/>
                <w:bCs/>
                <w:color w:val="auto"/>
                <w:sz w:val="24"/>
                <w:lang w:eastAsia="zh-CN" w:bidi="ar-SA"/>
              </w:rPr>
            </w:pPr>
            <w:r>
              <w:rPr>
                <w:rFonts w:eastAsia="宋体"/>
                <w:b/>
                <w:bCs/>
                <w:sz w:val="24"/>
                <w:lang w:eastAsia="zh-CN" w:bidi="ar"/>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Merge w:val="restart"/>
            <w:shd w:val="clear" w:color="auto" w:fill="auto"/>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A决策（20分）　</w:t>
            </w:r>
          </w:p>
        </w:tc>
        <w:tc>
          <w:tcPr>
            <w:tcW w:w="891" w:type="dxa"/>
            <w:vMerge w:val="restart"/>
            <w:shd w:val="clear" w:color="auto" w:fill="auto"/>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A1项目立项（8分）　</w:t>
            </w:r>
          </w:p>
        </w:tc>
        <w:tc>
          <w:tcPr>
            <w:tcW w:w="895" w:type="dxa"/>
            <w:shd w:val="clear" w:color="auto" w:fill="auto"/>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A11立项依据充分性</w:t>
            </w:r>
          </w:p>
        </w:tc>
        <w:tc>
          <w:tcPr>
            <w:tcW w:w="744"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4</w:t>
            </w:r>
          </w:p>
        </w:tc>
        <w:tc>
          <w:tcPr>
            <w:tcW w:w="3054" w:type="dxa"/>
            <w:shd w:val="clear" w:color="auto" w:fill="auto"/>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1.项目立项是否符合国家法律法规、国民经济发展规划和相关政策，政策依据充分；</w:t>
            </w:r>
            <w:r>
              <w:rPr>
                <w:rFonts w:eastAsia="宋体"/>
                <w:sz w:val="24"/>
                <w:lang w:eastAsia="zh-CN" w:bidi="ar"/>
              </w:rPr>
              <w:br w:type="textWrapping"/>
            </w:r>
            <w:r>
              <w:rPr>
                <w:rFonts w:hint="eastAsia" w:eastAsia="宋体"/>
                <w:sz w:val="24"/>
                <w:lang w:eastAsia="zh-CN" w:bidi="ar"/>
              </w:rPr>
              <w:t>2</w:t>
            </w:r>
            <w:r>
              <w:rPr>
                <w:rFonts w:eastAsia="宋体"/>
                <w:sz w:val="24"/>
                <w:lang w:eastAsia="zh-CN" w:bidi="ar"/>
              </w:rPr>
              <w:t>.项目立项是否与部门职责范围相符，属于部门履职所需；</w:t>
            </w:r>
            <w:r>
              <w:rPr>
                <w:rFonts w:eastAsia="宋体"/>
                <w:sz w:val="24"/>
                <w:lang w:eastAsia="zh-CN" w:bidi="ar"/>
              </w:rPr>
              <w:br w:type="textWrapping"/>
            </w:r>
          </w:p>
        </w:tc>
        <w:tc>
          <w:tcPr>
            <w:tcW w:w="2249" w:type="dxa"/>
            <w:shd w:val="clear" w:color="auto" w:fill="auto"/>
            <w:vAlign w:val="center"/>
          </w:tcPr>
          <w:p>
            <w:pPr>
              <w:widowControl/>
              <w:spacing w:line="360" w:lineRule="exact"/>
              <w:ind w:firstLine="0" w:firstLineChars="0"/>
              <w:jc w:val="left"/>
              <w:textAlignment w:val="center"/>
              <w:rPr>
                <w:rFonts w:eastAsia="宋体"/>
                <w:color w:val="auto"/>
                <w:sz w:val="24"/>
                <w:lang w:eastAsia="zh-CN" w:bidi="ar-SA"/>
              </w:rPr>
            </w:pPr>
            <w:r>
              <w:rPr>
                <w:rFonts w:eastAsia="宋体"/>
                <w:sz w:val="24"/>
                <w:lang w:eastAsia="zh-CN" w:bidi="ar"/>
              </w:rPr>
              <w:t>具备一个得分要素，得权重分的</w:t>
            </w:r>
            <w:r>
              <w:rPr>
                <w:rFonts w:hint="eastAsia" w:eastAsia="宋体"/>
                <w:sz w:val="24"/>
                <w:lang w:eastAsia="zh-CN" w:bidi="ar"/>
              </w:rPr>
              <w:t>50</w:t>
            </w:r>
            <w:r>
              <w:rPr>
                <w:rFonts w:eastAsia="宋体"/>
                <w:sz w:val="24"/>
                <w:lang w:eastAsia="zh-CN" w:bidi="ar"/>
              </w:rPr>
              <w:t>%</w:t>
            </w:r>
          </w:p>
        </w:tc>
        <w:tc>
          <w:tcPr>
            <w:tcW w:w="3881" w:type="dxa"/>
            <w:shd w:val="clear" w:color="auto" w:fill="auto"/>
            <w:vAlign w:val="center"/>
          </w:tcPr>
          <w:p>
            <w:pPr>
              <w:widowControl/>
              <w:spacing w:line="360" w:lineRule="exact"/>
              <w:ind w:firstLine="0" w:firstLineChars="0"/>
              <w:jc w:val="left"/>
              <w:textAlignment w:val="center"/>
              <w:rPr>
                <w:rFonts w:eastAsia="宋体"/>
                <w:sz w:val="24"/>
                <w:lang w:eastAsia="zh-CN" w:bidi="ar"/>
              </w:rPr>
            </w:pPr>
            <w:r>
              <w:rPr>
                <w:rFonts w:hint="eastAsia" w:eastAsia="宋体"/>
                <w:sz w:val="24"/>
                <w:lang w:eastAsia="zh-CN" w:bidi="ar"/>
              </w:rPr>
              <w:t>该项目根据《乐山市金口河区财政局关于对延风中学男生宿舍学生用床、柜子采购项目询价建议的函》（金财询函〔2024〕2号）文件立项，经区财评中心评审，延风中学男生宿舍学生用床、柜子采购项目按680,640.00元(含税13%)作为最高限价进行招投标。本项目立项符合国家法律法规、行</w:t>
            </w:r>
            <w:r>
              <w:rPr>
                <w:rFonts w:eastAsia="宋体"/>
                <w:sz w:val="24"/>
                <w:lang w:eastAsia="zh-CN" w:bidi="ar"/>
              </w:rPr>
              <w:t>业发展规划和政策要求。项目立项依据充分</w:t>
            </w:r>
            <w:r>
              <w:rPr>
                <w:rFonts w:hint="eastAsia" w:eastAsia="宋体"/>
                <w:sz w:val="24"/>
                <w:lang w:eastAsia="zh-CN" w:bidi="ar"/>
              </w:rPr>
              <w:t>。</w:t>
            </w:r>
            <w:r>
              <w:rPr>
                <w:rFonts w:eastAsia="宋体"/>
                <w:sz w:val="24"/>
                <w:lang w:eastAsia="zh-CN" w:bidi="ar"/>
              </w:rPr>
              <w:t>依据评分方法，该指标</w:t>
            </w:r>
            <w:r>
              <w:rPr>
                <w:rFonts w:hint="eastAsia" w:eastAsia="宋体"/>
                <w:sz w:val="24"/>
                <w:lang w:eastAsia="zh-CN" w:bidi="ar"/>
              </w:rPr>
              <w:t>得</w:t>
            </w:r>
            <w:r>
              <w:rPr>
                <w:rFonts w:eastAsia="宋体"/>
                <w:sz w:val="24"/>
                <w:lang w:eastAsia="zh-CN" w:bidi="ar"/>
              </w:rPr>
              <w:t>满分</w:t>
            </w:r>
            <w:r>
              <w:rPr>
                <w:rFonts w:hint="eastAsia" w:eastAsia="宋体"/>
                <w:sz w:val="24"/>
                <w:lang w:eastAsia="zh-CN" w:bidi="ar"/>
              </w:rPr>
              <w:t>4.00分</w:t>
            </w:r>
            <w:r>
              <w:rPr>
                <w:rFonts w:eastAsia="宋体"/>
                <w:sz w:val="24"/>
                <w:lang w:eastAsia="zh-CN" w:bidi="ar"/>
              </w:rPr>
              <w:t>。</w:t>
            </w:r>
          </w:p>
        </w:tc>
        <w:tc>
          <w:tcPr>
            <w:tcW w:w="818"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4</w:t>
            </w:r>
          </w:p>
        </w:tc>
        <w:tc>
          <w:tcPr>
            <w:tcW w:w="1106"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Merge w:val="continue"/>
            <w:vAlign w:val="center"/>
          </w:tcPr>
          <w:p>
            <w:pPr>
              <w:widowControl/>
              <w:spacing w:line="360" w:lineRule="exact"/>
              <w:ind w:firstLine="0" w:firstLineChars="0"/>
              <w:jc w:val="center"/>
              <w:rPr>
                <w:rFonts w:eastAsia="宋体"/>
                <w:sz w:val="24"/>
                <w:lang w:eastAsia="zh-CN" w:bidi="ar-SA"/>
              </w:rPr>
            </w:pPr>
          </w:p>
        </w:tc>
        <w:tc>
          <w:tcPr>
            <w:tcW w:w="891" w:type="dxa"/>
            <w:vMerge w:val="continue"/>
            <w:vAlign w:val="center"/>
          </w:tcPr>
          <w:p>
            <w:pPr>
              <w:widowControl/>
              <w:spacing w:line="360" w:lineRule="exact"/>
              <w:ind w:firstLine="0" w:firstLineChars="0"/>
              <w:jc w:val="center"/>
              <w:rPr>
                <w:rFonts w:eastAsia="宋体"/>
                <w:sz w:val="24"/>
                <w:lang w:eastAsia="zh-CN" w:bidi="ar-SA"/>
              </w:rPr>
            </w:pPr>
          </w:p>
        </w:tc>
        <w:tc>
          <w:tcPr>
            <w:tcW w:w="895" w:type="dxa"/>
            <w:shd w:val="clear" w:color="000000" w:fill="FFFFFF"/>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A12立项程序规范性</w:t>
            </w:r>
          </w:p>
        </w:tc>
        <w:tc>
          <w:tcPr>
            <w:tcW w:w="744"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4</w:t>
            </w:r>
          </w:p>
        </w:tc>
        <w:tc>
          <w:tcPr>
            <w:tcW w:w="3054" w:type="dxa"/>
            <w:shd w:val="clear" w:color="000000" w:fill="FFFFFF"/>
            <w:vAlign w:val="center"/>
          </w:tcPr>
          <w:p>
            <w:pPr>
              <w:widowControl/>
              <w:spacing w:line="360" w:lineRule="exact"/>
              <w:ind w:firstLine="0" w:firstLineChars="0"/>
              <w:jc w:val="left"/>
              <w:textAlignment w:val="center"/>
              <w:rPr>
                <w:rFonts w:eastAsia="宋体"/>
                <w:color w:val="auto"/>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1.项目是否按照规定的程序申请设立；</w:t>
            </w:r>
            <w:r>
              <w:rPr>
                <w:rFonts w:eastAsia="宋体"/>
                <w:sz w:val="24"/>
                <w:lang w:eastAsia="zh-CN" w:bidi="ar"/>
              </w:rPr>
              <w:br w:type="textWrapping"/>
            </w:r>
            <w:r>
              <w:rPr>
                <w:rFonts w:eastAsia="宋体"/>
                <w:sz w:val="24"/>
                <w:lang w:eastAsia="zh-CN" w:bidi="ar"/>
              </w:rPr>
              <w:t>2.审批文件、材料是否符合相关要求；</w:t>
            </w:r>
            <w:r>
              <w:rPr>
                <w:rFonts w:eastAsia="宋体"/>
                <w:sz w:val="24"/>
                <w:lang w:eastAsia="zh-CN" w:bidi="ar"/>
              </w:rPr>
              <w:br w:type="textWrapping"/>
            </w:r>
            <w:r>
              <w:rPr>
                <w:rFonts w:hint="eastAsia" w:eastAsia="宋体"/>
                <w:color w:val="auto"/>
                <w:sz w:val="24"/>
                <w:lang w:eastAsia="zh-CN" w:bidi="ar-SA"/>
              </w:rPr>
              <w:t>3、立项、申请、审批、执行程序的及时性。</w:t>
            </w:r>
          </w:p>
        </w:tc>
        <w:tc>
          <w:tcPr>
            <w:tcW w:w="2249" w:type="dxa"/>
            <w:shd w:val="clear" w:color="000000" w:fill="FFFFFF"/>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具备一个得分要素，得权重分的</w:t>
            </w:r>
            <w:r>
              <w:rPr>
                <w:rFonts w:hint="eastAsia" w:eastAsia="宋体"/>
                <w:sz w:val="24"/>
                <w:lang w:eastAsia="zh-CN" w:bidi="ar"/>
              </w:rPr>
              <w:t>33.33</w:t>
            </w:r>
            <w:r>
              <w:rPr>
                <w:rFonts w:eastAsia="宋体"/>
                <w:sz w:val="24"/>
                <w:lang w:eastAsia="zh-CN" w:bidi="ar"/>
              </w:rPr>
              <w:t>%</w:t>
            </w:r>
          </w:p>
        </w:tc>
        <w:tc>
          <w:tcPr>
            <w:tcW w:w="3881" w:type="dxa"/>
            <w:shd w:val="clear" w:color="000000" w:fill="FFFFFF"/>
            <w:vAlign w:val="center"/>
          </w:tcPr>
          <w:p>
            <w:pPr>
              <w:widowControl/>
              <w:spacing w:line="360" w:lineRule="exact"/>
              <w:ind w:firstLine="0" w:firstLineChars="0"/>
              <w:jc w:val="left"/>
              <w:textAlignment w:val="center"/>
              <w:rPr>
                <w:rFonts w:eastAsia="宋体"/>
                <w:sz w:val="24"/>
                <w:lang w:eastAsia="zh-CN" w:bidi="ar"/>
              </w:rPr>
            </w:pPr>
            <w:r>
              <w:rPr>
                <w:rFonts w:eastAsia="宋体"/>
                <w:sz w:val="24"/>
                <w:lang w:eastAsia="zh-CN" w:bidi="ar"/>
              </w:rPr>
              <w:t>根</w:t>
            </w:r>
            <w:r>
              <w:rPr>
                <w:rFonts w:eastAsia="宋体"/>
                <w:color w:val="000000" w:themeColor="text1"/>
                <w:sz w:val="24"/>
                <w:shd w:val="clear" w:color="auto" w:fill="FFFFFF" w:themeFill="background1"/>
                <w:lang w:eastAsia="zh-CN" w:bidi="ar"/>
                <w14:textFill>
                  <w14:solidFill>
                    <w14:schemeClr w14:val="tx1"/>
                  </w14:solidFill>
                </w14:textFill>
              </w:rPr>
              <w:t>据</w:t>
            </w:r>
            <w:r>
              <w:rPr>
                <w:rFonts w:hint="eastAsia" w:eastAsia="宋体"/>
                <w:color w:val="000000" w:themeColor="text1"/>
                <w:sz w:val="24"/>
                <w:shd w:val="clear" w:color="auto" w:fill="FFFFFF" w:themeFill="background1"/>
                <w:lang w:eastAsia="zh-CN" w:bidi="ar"/>
                <w14:textFill>
                  <w14:solidFill>
                    <w14:schemeClr w14:val="tx1"/>
                  </w14:solidFill>
                </w14:textFill>
              </w:rPr>
              <w:t>《乐山市金口河区财政局关于对延风中学男生宿舍学生用床、柜子采购项目询价建议的函》（金财询函〔2024〕2号）文件</w:t>
            </w:r>
            <w:r>
              <w:rPr>
                <w:rFonts w:eastAsia="宋体"/>
                <w:color w:val="000000" w:themeColor="text1"/>
                <w:sz w:val="24"/>
                <w:shd w:val="clear" w:color="auto" w:fill="FFFFFF" w:themeFill="background1"/>
                <w:lang w:eastAsia="zh-CN" w:bidi="ar"/>
                <w14:textFill>
                  <w14:solidFill>
                    <w14:schemeClr w14:val="tx1"/>
                  </w14:solidFill>
                </w14:textFill>
              </w:rPr>
              <w:t>，</w:t>
            </w:r>
            <w:r>
              <w:rPr>
                <w:rFonts w:hint="eastAsia" w:eastAsia="宋体"/>
                <w:color w:val="000000" w:themeColor="text1"/>
                <w:sz w:val="24"/>
                <w:shd w:val="clear" w:color="auto" w:fill="FFFFFF" w:themeFill="background1"/>
                <w:lang w:eastAsia="zh-CN" w:bidi="ar"/>
                <w14:textFill>
                  <w14:solidFill>
                    <w14:schemeClr w14:val="tx1"/>
                  </w14:solidFill>
                </w14:textFill>
              </w:rPr>
              <w:t>乐山市金口河区财政局建议该项目按680,640.00元含税(13%)作为最高限价开展工作。2024年1月9日延风中学提交《乐山市金口河区财政采购项目申请表》，采购项目名称：延风中学男生宿舍学生用床、柜子采购项目，采购资金预算680,640.00元，采购资金来源为教育附加。2024年1月10日经乐山市金口河区财政局批复同意，按照《乐山市市级单位通用办公设备和家具配置标准》执行，项目资金来源为区级财政资金。</w:t>
            </w:r>
            <w:r>
              <w:rPr>
                <w:rFonts w:eastAsia="宋体"/>
                <w:color w:val="000000" w:themeColor="text1"/>
                <w:sz w:val="24"/>
                <w:shd w:val="clear" w:color="auto" w:fill="FFFFFF" w:themeFill="background1"/>
                <w:lang w:eastAsia="zh-CN" w:bidi="ar"/>
                <w14:textFill>
                  <w14:solidFill>
                    <w14:schemeClr w14:val="tx1"/>
                  </w14:solidFill>
                </w14:textFill>
              </w:rPr>
              <w:t>项目立项程序规范，审批文件和材料合规完整。依据评分方法，该指标</w:t>
            </w:r>
            <w:r>
              <w:rPr>
                <w:rFonts w:hint="eastAsia" w:eastAsia="宋体"/>
                <w:color w:val="000000" w:themeColor="text1"/>
                <w:sz w:val="24"/>
                <w:shd w:val="clear" w:color="auto" w:fill="FFFFFF" w:themeFill="background1"/>
                <w:lang w:eastAsia="zh-CN" w:bidi="ar"/>
                <w14:textFill>
                  <w14:solidFill>
                    <w14:schemeClr w14:val="tx1"/>
                  </w14:solidFill>
                </w14:textFill>
              </w:rPr>
              <w:t>得满分4.00分</w:t>
            </w:r>
            <w:r>
              <w:rPr>
                <w:rFonts w:eastAsia="宋体"/>
                <w:color w:val="000000" w:themeColor="text1"/>
                <w:sz w:val="24"/>
                <w:shd w:val="clear" w:color="auto" w:fill="FFFFFF" w:themeFill="background1"/>
                <w:lang w:eastAsia="zh-CN" w:bidi="ar"/>
                <w14:textFill>
                  <w14:solidFill>
                    <w14:schemeClr w14:val="tx1"/>
                  </w14:solidFill>
                </w14:textFill>
              </w:rPr>
              <w:t>。</w:t>
            </w:r>
          </w:p>
        </w:tc>
        <w:tc>
          <w:tcPr>
            <w:tcW w:w="818"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4</w:t>
            </w:r>
          </w:p>
        </w:tc>
        <w:tc>
          <w:tcPr>
            <w:tcW w:w="1106"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100.00</w:t>
            </w:r>
            <w:r>
              <w:rPr>
                <w:rFonts w:eastAsia="宋体"/>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Merge w:val="continue"/>
            <w:vAlign w:val="center"/>
          </w:tcPr>
          <w:p>
            <w:pPr>
              <w:widowControl/>
              <w:spacing w:line="360" w:lineRule="exact"/>
              <w:ind w:firstLine="0" w:firstLineChars="0"/>
              <w:jc w:val="center"/>
              <w:rPr>
                <w:rFonts w:eastAsia="宋体"/>
                <w:sz w:val="24"/>
                <w:lang w:eastAsia="zh-CN" w:bidi="ar-SA"/>
              </w:rPr>
            </w:pPr>
          </w:p>
        </w:tc>
        <w:tc>
          <w:tcPr>
            <w:tcW w:w="891" w:type="dxa"/>
            <w:vMerge w:val="restart"/>
            <w:shd w:val="clear" w:color="auto" w:fill="auto"/>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A2绩效目标（6分）　</w:t>
            </w:r>
          </w:p>
        </w:tc>
        <w:tc>
          <w:tcPr>
            <w:tcW w:w="895" w:type="dxa"/>
            <w:shd w:val="clear" w:color="000000" w:fill="FFFFFF"/>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A21绩效目标合理性</w:t>
            </w:r>
          </w:p>
        </w:tc>
        <w:tc>
          <w:tcPr>
            <w:tcW w:w="744"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3</w:t>
            </w:r>
          </w:p>
        </w:tc>
        <w:tc>
          <w:tcPr>
            <w:tcW w:w="3054" w:type="dxa"/>
            <w:shd w:val="clear" w:color="000000" w:fill="FFFFFF"/>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1.项目是否有绩效目标；</w:t>
            </w:r>
            <w:r>
              <w:rPr>
                <w:rFonts w:eastAsia="宋体"/>
                <w:sz w:val="24"/>
                <w:lang w:eastAsia="zh-CN" w:bidi="ar"/>
              </w:rPr>
              <w:br w:type="textWrapping"/>
            </w:r>
            <w:r>
              <w:rPr>
                <w:rFonts w:eastAsia="宋体"/>
                <w:sz w:val="24"/>
                <w:lang w:eastAsia="zh-CN" w:bidi="ar"/>
              </w:rPr>
              <w:t>2.项目绩效目标与实际工作内容是否具有相关性；</w:t>
            </w:r>
            <w:r>
              <w:rPr>
                <w:rFonts w:eastAsia="宋体"/>
                <w:sz w:val="24"/>
                <w:lang w:eastAsia="zh-CN" w:bidi="ar"/>
              </w:rPr>
              <w:br w:type="textWrapping"/>
            </w:r>
            <w:r>
              <w:rPr>
                <w:rFonts w:eastAsia="宋体"/>
                <w:sz w:val="24"/>
                <w:lang w:eastAsia="zh-CN" w:bidi="ar"/>
              </w:rPr>
              <w:t>3.项目预期产出效益和效果是否符合正常的业绩水平；</w:t>
            </w:r>
            <w:r>
              <w:rPr>
                <w:rFonts w:eastAsia="宋体"/>
                <w:sz w:val="24"/>
                <w:lang w:eastAsia="zh-CN" w:bidi="ar"/>
              </w:rPr>
              <w:br w:type="textWrapping"/>
            </w:r>
            <w:r>
              <w:rPr>
                <w:rFonts w:eastAsia="宋体"/>
                <w:sz w:val="24"/>
                <w:lang w:eastAsia="zh-CN" w:bidi="ar"/>
              </w:rPr>
              <w:t>4.是否与预算确定的项目投资额或资金量相匹配。</w:t>
            </w:r>
          </w:p>
        </w:tc>
        <w:tc>
          <w:tcPr>
            <w:tcW w:w="2249" w:type="dxa"/>
            <w:shd w:val="clear" w:color="000000" w:fill="FFFFFF"/>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具备一个得分要素，得权重分的25.00%</w:t>
            </w:r>
          </w:p>
        </w:tc>
        <w:tc>
          <w:tcPr>
            <w:tcW w:w="3881" w:type="dxa"/>
            <w:shd w:val="clear" w:color="000000" w:fill="FFFFFF"/>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项目设置绩效目标符合《项目支出绩效评价管理办法》，制定了项目产出、效益、满意度指标；项目绩效目标明确合理，与项目实施的宗旨关联度较高，预期产出效益和效果符合正常的业绩水平；绩效目标与预算确定的资金量相匹配。根据评分标准，该指标</w:t>
            </w:r>
            <w:r>
              <w:rPr>
                <w:rFonts w:hint="eastAsia" w:eastAsia="宋体"/>
                <w:sz w:val="24"/>
                <w:lang w:eastAsia="zh-CN" w:bidi="ar"/>
              </w:rPr>
              <w:t>得满分3.00分</w:t>
            </w:r>
            <w:r>
              <w:rPr>
                <w:rFonts w:eastAsia="宋体"/>
                <w:sz w:val="24"/>
                <w:lang w:eastAsia="zh-CN" w:bidi="ar"/>
              </w:rPr>
              <w:t>。</w:t>
            </w:r>
          </w:p>
        </w:tc>
        <w:tc>
          <w:tcPr>
            <w:tcW w:w="818"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3</w:t>
            </w:r>
          </w:p>
        </w:tc>
        <w:tc>
          <w:tcPr>
            <w:tcW w:w="1106"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Merge w:val="continue"/>
            <w:vAlign w:val="center"/>
          </w:tcPr>
          <w:p>
            <w:pPr>
              <w:widowControl/>
              <w:spacing w:line="360" w:lineRule="exact"/>
              <w:ind w:firstLine="0" w:firstLineChars="0"/>
              <w:jc w:val="center"/>
              <w:rPr>
                <w:rFonts w:eastAsia="宋体"/>
                <w:sz w:val="24"/>
                <w:lang w:eastAsia="zh-CN" w:bidi="ar-SA"/>
              </w:rPr>
            </w:pPr>
          </w:p>
        </w:tc>
        <w:tc>
          <w:tcPr>
            <w:tcW w:w="891" w:type="dxa"/>
            <w:vMerge w:val="continue"/>
            <w:vAlign w:val="center"/>
          </w:tcPr>
          <w:p>
            <w:pPr>
              <w:widowControl/>
              <w:spacing w:line="360" w:lineRule="exact"/>
              <w:ind w:firstLine="0" w:firstLineChars="0"/>
              <w:jc w:val="center"/>
              <w:rPr>
                <w:rFonts w:eastAsia="宋体"/>
                <w:sz w:val="24"/>
                <w:lang w:eastAsia="zh-CN" w:bidi="ar-SA"/>
              </w:rPr>
            </w:pPr>
          </w:p>
        </w:tc>
        <w:tc>
          <w:tcPr>
            <w:tcW w:w="895"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A22绩效指标明确性</w:t>
            </w:r>
          </w:p>
        </w:tc>
        <w:tc>
          <w:tcPr>
            <w:tcW w:w="744"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3</w:t>
            </w:r>
          </w:p>
        </w:tc>
        <w:tc>
          <w:tcPr>
            <w:tcW w:w="3054" w:type="dxa"/>
            <w:shd w:val="clear" w:color="auto" w:fill="auto"/>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1.是否将项目绩效目标细化分解为具体的绩效指标；</w:t>
            </w:r>
            <w:r>
              <w:rPr>
                <w:rFonts w:eastAsia="宋体"/>
                <w:sz w:val="24"/>
                <w:lang w:eastAsia="zh-CN" w:bidi="ar"/>
              </w:rPr>
              <w:br w:type="textWrapping"/>
            </w:r>
            <w:r>
              <w:rPr>
                <w:rFonts w:eastAsia="宋体"/>
                <w:sz w:val="24"/>
                <w:lang w:eastAsia="zh-CN" w:bidi="ar"/>
              </w:rPr>
              <w:t>2.是否通过清晰、可衡量的指标值予以体现。</w:t>
            </w:r>
          </w:p>
        </w:tc>
        <w:tc>
          <w:tcPr>
            <w:tcW w:w="2249" w:type="dxa"/>
            <w:shd w:val="clear" w:color="auto" w:fill="auto"/>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具备一个得分要素，得权重分的50.00%</w:t>
            </w:r>
          </w:p>
        </w:tc>
        <w:tc>
          <w:tcPr>
            <w:tcW w:w="3881" w:type="dxa"/>
            <w:shd w:val="clear" w:color="auto" w:fill="auto"/>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项目所设定的绩效指标</w:t>
            </w:r>
            <w:r>
              <w:rPr>
                <w:rFonts w:hint="eastAsia" w:eastAsia="宋体"/>
                <w:sz w:val="24"/>
                <w:lang w:eastAsia="zh-CN" w:bidi="ar"/>
              </w:rPr>
              <w:t>基本</w:t>
            </w:r>
            <w:r>
              <w:rPr>
                <w:rFonts w:eastAsia="宋体"/>
                <w:sz w:val="24"/>
                <w:lang w:eastAsia="zh-CN" w:bidi="ar"/>
              </w:rPr>
              <w:t>符合《项目支出绩效评价管理办法》，依据产出、效益、满意度三项绩效目标细化分解为具体的绩效指标，设定的绩效指标</w:t>
            </w:r>
            <w:r>
              <w:rPr>
                <w:rFonts w:hint="eastAsia" w:eastAsia="宋体"/>
                <w:sz w:val="24"/>
                <w:lang w:eastAsia="zh-CN" w:bidi="ar"/>
              </w:rPr>
              <w:t>中产出指标不够精确</w:t>
            </w:r>
            <w:r>
              <w:rPr>
                <w:rFonts w:eastAsia="宋体"/>
                <w:sz w:val="24"/>
                <w:lang w:eastAsia="zh-CN" w:bidi="ar"/>
              </w:rPr>
              <w:t>。</w:t>
            </w:r>
            <w:r>
              <w:rPr>
                <w:rFonts w:hint="eastAsia" w:eastAsia="宋体"/>
                <w:sz w:val="24"/>
                <w:lang w:eastAsia="zh-CN" w:bidi="ar"/>
              </w:rPr>
              <w:t>根据评分标准，该指标满分3.00分，扣1.50分，得分1.50分。</w:t>
            </w:r>
          </w:p>
        </w:tc>
        <w:tc>
          <w:tcPr>
            <w:tcW w:w="818"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1.5</w:t>
            </w:r>
          </w:p>
        </w:tc>
        <w:tc>
          <w:tcPr>
            <w:tcW w:w="1106"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50</w:t>
            </w:r>
            <w:r>
              <w:rPr>
                <w:rFonts w:eastAsia="宋体"/>
                <w:sz w:val="24"/>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Merge w:val="continue"/>
            <w:vAlign w:val="center"/>
          </w:tcPr>
          <w:p>
            <w:pPr>
              <w:widowControl/>
              <w:spacing w:line="360" w:lineRule="exact"/>
              <w:ind w:firstLine="0" w:firstLineChars="0"/>
              <w:jc w:val="center"/>
              <w:rPr>
                <w:rFonts w:eastAsia="宋体"/>
                <w:sz w:val="24"/>
                <w:lang w:eastAsia="zh-CN" w:bidi="ar-SA"/>
              </w:rPr>
            </w:pPr>
          </w:p>
        </w:tc>
        <w:tc>
          <w:tcPr>
            <w:tcW w:w="891" w:type="dxa"/>
            <w:vMerge w:val="restart"/>
            <w:shd w:val="clear" w:color="auto" w:fill="auto"/>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A3资金投入（6分）</w:t>
            </w:r>
          </w:p>
        </w:tc>
        <w:tc>
          <w:tcPr>
            <w:tcW w:w="895"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A31预算编制科学性</w:t>
            </w:r>
          </w:p>
        </w:tc>
        <w:tc>
          <w:tcPr>
            <w:tcW w:w="744"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3</w:t>
            </w:r>
          </w:p>
        </w:tc>
        <w:tc>
          <w:tcPr>
            <w:tcW w:w="3054" w:type="dxa"/>
            <w:shd w:val="clear" w:color="auto" w:fill="auto"/>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1.预算编制是否经过科学论证；</w:t>
            </w:r>
            <w:r>
              <w:rPr>
                <w:rFonts w:eastAsia="宋体"/>
                <w:sz w:val="24"/>
                <w:lang w:eastAsia="zh-CN" w:bidi="ar"/>
              </w:rPr>
              <w:br w:type="textWrapping"/>
            </w:r>
            <w:r>
              <w:rPr>
                <w:rFonts w:eastAsia="宋体"/>
                <w:sz w:val="24"/>
                <w:lang w:eastAsia="zh-CN" w:bidi="ar"/>
              </w:rPr>
              <w:t>2.预算内容与项目内容是否匹配；</w:t>
            </w:r>
            <w:r>
              <w:rPr>
                <w:rFonts w:eastAsia="宋体"/>
                <w:sz w:val="24"/>
                <w:lang w:eastAsia="zh-CN" w:bidi="ar"/>
              </w:rPr>
              <w:br w:type="textWrapping"/>
            </w:r>
            <w:r>
              <w:rPr>
                <w:rFonts w:eastAsia="宋体"/>
                <w:sz w:val="24"/>
                <w:lang w:eastAsia="zh-CN" w:bidi="ar"/>
              </w:rPr>
              <w:t>3.预算额度测算依据是否充分，是否按照标准编制，是否考虑了实际情况。</w:t>
            </w:r>
          </w:p>
        </w:tc>
        <w:tc>
          <w:tcPr>
            <w:tcW w:w="2249" w:type="dxa"/>
            <w:shd w:val="clear" w:color="auto" w:fill="auto"/>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具备一个得分要素，得权重分的33.33%</w:t>
            </w:r>
          </w:p>
        </w:tc>
        <w:tc>
          <w:tcPr>
            <w:tcW w:w="3881" w:type="dxa"/>
            <w:shd w:val="clear" w:color="auto" w:fill="auto"/>
            <w:vAlign w:val="center"/>
          </w:tcPr>
          <w:p>
            <w:pPr>
              <w:widowControl/>
              <w:spacing w:line="360" w:lineRule="exact"/>
              <w:ind w:firstLine="0" w:firstLineChars="0"/>
              <w:jc w:val="left"/>
              <w:textAlignment w:val="center"/>
              <w:rPr>
                <w:rFonts w:eastAsia="宋体"/>
                <w:sz w:val="24"/>
                <w:lang w:eastAsia="zh-CN" w:bidi="ar"/>
              </w:rPr>
            </w:pPr>
            <w:r>
              <w:rPr>
                <w:rFonts w:hint="eastAsia" w:eastAsia="宋体"/>
                <w:sz w:val="24"/>
                <w:lang w:eastAsia="zh-CN" w:bidi="ar"/>
              </w:rPr>
              <w:t>计划采购量：床96套(每套3人位)、柜子96组、床板288张、棕榈垫288张、凳子288个。</w:t>
            </w:r>
            <w:r>
              <w:rPr>
                <w:rFonts w:eastAsia="宋体"/>
                <w:sz w:val="24"/>
                <w:lang w:eastAsia="zh-CN" w:bidi="ar"/>
              </w:rPr>
              <w:t>预算内容与项目内容匹配</w:t>
            </w:r>
            <w:r>
              <w:rPr>
                <w:rFonts w:hint="eastAsia" w:eastAsia="宋体"/>
                <w:sz w:val="24"/>
                <w:lang w:eastAsia="zh-CN" w:bidi="ar"/>
              </w:rPr>
              <w:t>，预算额度依据充分，考虑了实际情况</w:t>
            </w:r>
            <w:r>
              <w:rPr>
                <w:rFonts w:eastAsia="宋体"/>
                <w:sz w:val="24"/>
                <w:lang w:eastAsia="zh-CN" w:bidi="ar"/>
              </w:rPr>
              <w:t>。根据评分标准，该指标</w:t>
            </w:r>
            <w:r>
              <w:rPr>
                <w:rFonts w:hint="eastAsia" w:eastAsia="宋体"/>
                <w:sz w:val="24"/>
                <w:lang w:val="en-US" w:eastAsia="zh-CN" w:bidi="ar"/>
              </w:rPr>
              <w:t>得</w:t>
            </w:r>
            <w:r>
              <w:rPr>
                <w:rFonts w:eastAsia="宋体"/>
                <w:sz w:val="24"/>
                <w:lang w:eastAsia="zh-CN" w:bidi="ar"/>
              </w:rPr>
              <w:t>满分</w:t>
            </w:r>
            <w:r>
              <w:rPr>
                <w:rFonts w:hint="eastAsia" w:eastAsia="宋体"/>
                <w:sz w:val="24"/>
                <w:lang w:val="en-US" w:eastAsia="zh-CN" w:bidi="ar"/>
              </w:rPr>
              <w:t>3.00分</w:t>
            </w:r>
            <w:r>
              <w:rPr>
                <w:rFonts w:eastAsia="宋体"/>
                <w:sz w:val="24"/>
                <w:lang w:eastAsia="zh-CN" w:bidi="ar"/>
              </w:rPr>
              <w:t>。</w:t>
            </w:r>
          </w:p>
        </w:tc>
        <w:tc>
          <w:tcPr>
            <w:tcW w:w="818"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3</w:t>
            </w:r>
          </w:p>
        </w:tc>
        <w:tc>
          <w:tcPr>
            <w:tcW w:w="1106"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100.00</w:t>
            </w:r>
            <w:r>
              <w:rPr>
                <w:rFonts w:eastAsia="宋体"/>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Merge w:val="continue"/>
            <w:vAlign w:val="center"/>
          </w:tcPr>
          <w:p>
            <w:pPr>
              <w:widowControl/>
              <w:spacing w:line="360" w:lineRule="exact"/>
              <w:ind w:firstLine="0" w:firstLineChars="0"/>
              <w:jc w:val="center"/>
              <w:rPr>
                <w:rFonts w:eastAsia="宋体"/>
                <w:sz w:val="24"/>
                <w:lang w:eastAsia="zh-CN" w:bidi="ar-SA"/>
              </w:rPr>
            </w:pPr>
          </w:p>
        </w:tc>
        <w:tc>
          <w:tcPr>
            <w:tcW w:w="891" w:type="dxa"/>
            <w:vMerge w:val="continue"/>
            <w:vAlign w:val="center"/>
          </w:tcPr>
          <w:p>
            <w:pPr>
              <w:widowControl/>
              <w:spacing w:line="360" w:lineRule="exact"/>
              <w:ind w:firstLine="0" w:firstLineChars="0"/>
              <w:jc w:val="center"/>
              <w:rPr>
                <w:rFonts w:eastAsia="宋体"/>
                <w:sz w:val="24"/>
                <w:lang w:eastAsia="zh-CN" w:bidi="ar-SA"/>
              </w:rPr>
            </w:pPr>
          </w:p>
        </w:tc>
        <w:tc>
          <w:tcPr>
            <w:tcW w:w="895" w:type="dxa"/>
            <w:shd w:val="clear" w:color="000000" w:fill="FFFFFF"/>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A32资金分配合理性</w:t>
            </w:r>
          </w:p>
        </w:tc>
        <w:tc>
          <w:tcPr>
            <w:tcW w:w="744"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3</w:t>
            </w:r>
          </w:p>
        </w:tc>
        <w:tc>
          <w:tcPr>
            <w:tcW w:w="3054" w:type="dxa"/>
            <w:shd w:val="clear" w:color="000000" w:fill="FFFFFF"/>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1.预算资金分配依据是否充分；</w:t>
            </w:r>
            <w:r>
              <w:rPr>
                <w:rFonts w:eastAsia="宋体"/>
                <w:sz w:val="24"/>
                <w:lang w:eastAsia="zh-CN" w:bidi="ar"/>
              </w:rPr>
              <w:br w:type="textWrapping"/>
            </w:r>
            <w:r>
              <w:rPr>
                <w:rFonts w:eastAsia="宋体"/>
                <w:sz w:val="24"/>
                <w:lang w:eastAsia="zh-CN" w:bidi="ar"/>
              </w:rPr>
              <w:t>2.资金分配额度是否合理，与项目单位或地方实际是否相适应。</w:t>
            </w:r>
          </w:p>
        </w:tc>
        <w:tc>
          <w:tcPr>
            <w:tcW w:w="2249" w:type="dxa"/>
            <w:shd w:val="clear" w:color="000000" w:fill="FFFFFF"/>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具备一个得分要素，得权重分的50%</w:t>
            </w:r>
          </w:p>
        </w:tc>
        <w:tc>
          <w:tcPr>
            <w:tcW w:w="3881" w:type="dxa"/>
            <w:shd w:val="clear" w:color="auto" w:fill="auto"/>
            <w:vAlign w:val="center"/>
          </w:tcPr>
          <w:p>
            <w:pPr>
              <w:widowControl/>
              <w:spacing w:line="360" w:lineRule="exact"/>
              <w:ind w:firstLine="0" w:firstLineChars="0"/>
              <w:jc w:val="left"/>
              <w:textAlignment w:val="center"/>
              <w:rPr>
                <w:rFonts w:eastAsia="宋体"/>
                <w:sz w:val="24"/>
                <w:lang w:eastAsia="zh-CN" w:bidi="ar-SA"/>
              </w:rPr>
            </w:pPr>
            <w:r>
              <w:rPr>
                <w:rFonts w:hint="eastAsia" w:eastAsia="宋体"/>
                <w:sz w:val="24"/>
                <w:lang w:eastAsia="zh-CN" w:bidi="ar"/>
              </w:rPr>
              <w:t>延风中学2023年10月有住校男生182人，考虑以后住校生人数增加，拟增加公寓床共300个床位、储物柜100个(3门)。结合床、柜子市场价格，申请资金837,600.00元，经</w:t>
            </w:r>
            <w:r>
              <w:rPr>
                <w:rFonts w:hint="eastAsia" w:eastAsia="宋体"/>
                <w:color w:val="000000" w:themeColor="text1"/>
                <w:sz w:val="24"/>
                <w:shd w:val="clear" w:color="auto" w:fill="FFFFFF" w:themeFill="background1"/>
                <w:lang w:eastAsia="zh-CN" w:bidi="ar"/>
                <w14:textFill>
                  <w14:solidFill>
                    <w14:schemeClr w14:val="tx1"/>
                  </w14:solidFill>
                </w14:textFill>
              </w:rPr>
              <w:t>《乐山市金口河区财政局关于对延风中学男生宿舍学生用床、柜子采购项目询价建议的函》（金财询函〔2024〕2号）文件审核，确认最高限价680,640.00元</w:t>
            </w:r>
            <w:r>
              <w:rPr>
                <w:rFonts w:hint="eastAsia" w:eastAsia="宋体"/>
                <w:sz w:val="24"/>
                <w:lang w:eastAsia="zh-CN" w:bidi="ar"/>
              </w:rPr>
              <w:t>。</w:t>
            </w:r>
            <w:r>
              <w:rPr>
                <w:rFonts w:eastAsia="宋体"/>
                <w:sz w:val="24"/>
                <w:lang w:eastAsia="zh-CN" w:bidi="ar"/>
              </w:rPr>
              <w:t>预算资金</w:t>
            </w:r>
            <w:r>
              <w:rPr>
                <w:rFonts w:hint="eastAsia" w:eastAsia="宋体"/>
                <w:sz w:val="24"/>
                <w:lang w:eastAsia="zh-CN" w:bidi="ar"/>
              </w:rPr>
              <w:t>分配依据合理、资金分析</w:t>
            </w:r>
            <w:r>
              <w:rPr>
                <w:rFonts w:eastAsia="宋体"/>
                <w:sz w:val="24"/>
                <w:lang w:eastAsia="zh-CN" w:bidi="ar"/>
              </w:rPr>
              <w:t>额度合理。根据评分标准，该指标</w:t>
            </w:r>
            <w:r>
              <w:rPr>
                <w:rFonts w:hint="eastAsia" w:eastAsia="宋体"/>
                <w:sz w:val="24"/>
                <w:lang w:eastAsia="zh-CN" w:bidi="ar"/>
              </w:rPr>
              <w:t>得</w:t>
            </w:r>
            <w:r>
              <w:rPr>
                <w:rFonts w:eastAsia="宋体"/>
                <w:sz w:val="24"/>
                <w:lang w:eastAsia="zh-CN" w:bidi="ar"/>
              </w:rPr>
              <w:t>满分</w:t>
            </w:r>
            <w:r>
              <w:rPr>
                <w:rFonts w:hint="eastAsia" w:eastAsia="宋体"/>
                <w:sz w:val="24"/>
                <w:lang w:eastAsia="zh-CN" w:bidi="ar"/>
              </w:rPr>
              <w:t>3.00分</w:t>
            </w:r>
            <w:r>
              <w:rPr>
                <w:rFonts w:eastAsia="宋体"/>
                <w:sz w:val="24"/>
                <w:lang w:eastAsia="zh-CN" w:bidi="ar"/>
              </w:rPr>
              <w:t>。</w:t>
            </w:r>
          </w:p>
        </w:tc>
        <w:tc>
          <w:tcPr>
            <w:tcW w:w="818"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3</w:t>
            </w:r>
          </w:p>
        </w:tc>
        <w:tc>
          <w:tcPr>
            <w:tcW w:w="1106"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10</w:t>
            </w:r>
            <w:r>
              <w:rPr>
                <w:rFonts w:eastAsia="宋体"/>
                <w:sz w:val="24"/>
                <w:lang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Merge w:val="restart"/>
            <w:shd w:val="clear" w:color="auto" w:fill="auto"/>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B过程（20分）</w:t>
            </w:r>
          </w:p>
        </w:tc>
        <w:tc>
          <w:tcPr>
            <w:tcW w:w="891" w:type="dxa"/>
            <w:vMerge w:val="restart"/>
            <w:shd w:val="clear" w:color="auto" w:fill="auto"/>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B1资金管理（</w:t>
            </w:r>
            <w:r>
              <w:rPr>
                <w:rFonts w:hint="eastAsia" w:eastAsia="宋体"/>
                <w:sz w:val="24"/>
                <w:lang w:eastAsia="zh-CN" w:bidi="ar"/>
              </w:rPr>
              <w:t>10</w:t>
            </w:r>
            <w:r>
              <w:rPr>
                <w:rFonts w:eastAsia="宋体"/>
                <w:sz w:val="24"/>
                <w:lang w:eastAsia="zh-CN" w:bidi="ar"/>
              </w:rPr>
              <w:t>分）</w:t>
            </w:r>
          </w:p>
        </w:tc>
        <w:tc>
          <w:tcPr>
            <w:tcW w:w="895" w:type="dxa"/>
            <w:shd w:val="clear" w:color="auto" w:fill="auto"/>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B11资金到位率</w:t>
            </w:r>
          </w:p>
        </w:tc>
        <w:tc>
          <w:tcPr>
            <w:tcW w:w="744"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3</w:t>
            </w:r>
          </w:p>
        </w:tc>
        <w:tc>
          <w:tcPr>
            <w:tcW w:w="3054" w:type="dxa"/>
            <w:shd w:val="clear" w:color="auto" w:fill="auto"/>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资金到位率=（实际到位资金/预算资金）×100%。</w:t>
            </w:r>
            <w:r>
              <w:rPr>
                <w:rFonts w:eastAsia="宋体"/>
                <w:sz w:val="24"/>
                <w:lang w:eastAsia="zh-CN" w:bidi="ar"/>
              </w:rPr>
              <w:br w:type="textWrapping"/>
            </w:r>
            <w:r>
              <w:rPr>
                <w:rFonts w:eastAsia="宋体"/>
                <w:sz w:val="24"/>
                <w:lang w:eastAsia="zh-CN" w:bidi="ar"/>
              </w:rPr>
              <w:t>实际到位资金：一定时期（本年度或项目期）内落实到具体项目的资金。</w:t>
            </w:r>
            <w:r>
              <w:rPr>
                <w:rFonts w:eastAsia="宋体"/>
                <w:sz w:val="24"/>
                <w:lang w:eastAsia="zh-CN" w:bidi="ar"/>
              </w:rPr>
              <w:br w:type="textWrapping"/>
            </w:r>
            <w:r>
              <w:rPr>
                <w:rFonts w:eastAsia="宋体"/>
                <w:sz w:val="24"/>
                <w:lang w:eastAsia="zh-CN" w:bidi="ar"/>
              </w:rPr>
              <w:t>预算资金：一定时期（本年度或项目期）内预算安排到具体项目的资金。</w:t>
            </w:r>
          </w:p>
        </w:tc>
        <w:tc>
          <w:tcPr>
            <w:tcW w:w="2249" w:type="dxa"/>
            <w:shd w:val="clear" w:color="auto" w:fill="auto"/>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资金到位及时率&lt;100%，且未对项目开展造成不良影响，得分等于指标业绩值*资金到位率；资金到位及时率&lt;100%，且对项目开展造成不良影响，得分等于0。</w:t>
            </w:r>
          </w:p>
        </w:tc>
        <w:tc>
          <w:tcPr>
            <w:tcW w:w="3881" w:type="dxa"/>
            <w:shd w:val="clear" w:color="auto" w:fill="auto"/>
            <w:vAlign w:val="center"/>
          </w:tcPr>
          <w:p>
            <w:pPr>
              <w:widowControl/>
              <w:spacing w:line="360" w:lineRule="exact"/>
              <w:ind w:firstLine="0" w:firstLineChars="0"/>
              <w:jc w:val="left"/>
              <w:textAlignment w:val="center"/>
              <w:rPr>
                <w:rFonts w:eastAsia="宋体"/>
                <w:sz w:val="24"/>
                <w:lang w:eastAsia="zh-CN" w:bidi="ar-SA"/>
              </w:rPr>
            </w:pPr>
            <w:r>
              <w:rPr>
                <w:rFonts w:hint="eastAsia" w:eastAsia="宋体"/>
                <w:sz w:val="24"/>
                <w:lang w:eastAsia="zh-CN" w:bidi="ar"/>
              </w:rPr>
              <w:t>延风中学男生宿舍学生用床、柜子采购项目预算资金680,640.00元，实际到位680,640.00元，</w:t>
            </w:r>
            <w:r>
              <w:rPr>
                <w:rFonts w:eastAsia="宋体"/>
                <w:sz w:val="24"/>
                <w:lang w:eastAsia="zh-CN" w:bidi="ar"/>
              </w:rPr>
              <w:t>资金到位率100%。依据评分方法，该指标满分</w:t>
            </w:r>
            <w:r>
              <w:rPr>
                <w:rFonts w:hint="eastAsia" w:eastAsia="宋体"/>
                <w:sz w:val="24"/>
                <w:lang w:val="en-US" w:eastAsia="zh-CN" w:bidi="ar"/>
              </w:rPr>
              <w:t>3.00分</w:t>
            </w:r>
            <w:r>
              <w:rPr>
                <w:rFonts w:eastAsia="宋体"/>
                <w:sz w:val="24"/>
                <w:lang w:eastAsia="zh-CN" w:bidi="ar"/>
              </w:rPr>
              <w:t>。</w:t>
            </w:r>
          </w:p>
        </w:tc>
        <w:tc>
          <w:tcPr>
            <w:tcW w:w="818"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3</w:t>
            </w:r>
          </w:p>
        </w:tc>
        <w:tc>
          <w:tcPr>
            <w:tcW w:w="1106"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Merge w:val="continue"/>
            <w:vAlign w:val="center"/>
          </w:tcPr>
          <w:p>
            <w:pPr>
              <w:widowControl/>
              <w:spacing w:line="360" w:lineRule="exact"/>
              <w:ind w:firstLine="0" w:firstLineChars="0"/>
              <w:jc w:val="center"/>
              <w:rPr>
                <w:rFonts w:eastAsia="宋体"/>
                <w:sz w:val="24"/>
                <w:lang w:eastAsia="zh-CN" w:bidi="ar-SA"/>
              </w:rPr>
            </w:pPr>
          </w:p>
        </w:tc>
        <w:tc>
          <w:tcPr>
            <w:tcW w:w="891" w:type="dxa"/>
            <w:vMerge w:val="continue"/>
            <w:vAlign w:val="center"/>
          </w:tcPr>
          <w:p>
            <w:pPr>
              <w:widowControl/>
              <w:spacing w:line="360" w:lineRule="exact"/>
              <w:ind w:firstLine="0" w:firstLineChars="0"/>
              <w:jc w:val="center"/>
              <w:rPr>
                <w:rFonts w:eastAsia="宋体"/>
                <w:sz w:val="24"/>
                <w:lang w:eastAsia="zh-CN" w:bidi="ar-SA"/>
              </w:rPr>
            </w:pPr>
          </w:p>
        </w:tc>
        <w:tc>
          <w:tcPr>
            <w:tcW w:w="895" w:type="dxa"/>
            <w:shd w:val="clear" w:color="auto" w:fill="auto"/>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B12预算执行率</w:t>
            </w:r>
          </w:p>
        </w:tc>
        <w:tc>
          <w:tcPr>
            <w:tcW w:w="744"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3</w:t>
            </w:r>
          </w:p>
        </w:tc>
        <w:tc>
          <w:tcPr>
            <w:tcW w:w="3054" w:type="dxa"/>
            <w:shd w:val="clear" w:color="auto" w:fill="auto"/>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预算执行率=（实际支出资金/实际到位资金）×100%。</w:t>
            </w:r>
            <w:r>
              <w:rPr>
                <w:rFonts w:eastAsia="宋体"/>
                <w:sz w:val="24"/>
                <w:lang w:eastAsia="zh-CN" w:bidi="ar"/>
              </w:rPr>
              <w:br w:type="textWrapping"/>
            </w:r>
            <w:r>
              <w:rPr>
                <w:rFonts w:eastAsia="宋体"/>
                <w:sz w:val="24"/>
                <w:lang w:eastAsia="zh-CN" w:bidi="ar"/>
              </w:rPr>
              <w:t>实际支出资金：一定时期（本年度或项目期）内项目实际拨付的资金。</w:t>
            </w:r>
          </w:p>
        </w:tc>
        <w:tc>
          <w:tcPr>
            <w:tcW w:w="2249" w:type="dxa"/>
            <w:shd w:val="clear" w:color="auto" w:fill="auto"/>
            <w:vAlign w:val="center"/>
          </w:tcPr>
          <w:p>
            <w:pPr>
              <w:widowControl/>
              <w:spacing w:line="360" w:lineRule="exact"/>
              <w:ind w:firstLine="0" w:firstLineChars="0"/>
              <w:jc w:val="left"/>
              <w:textAlignment w:val="center"/>
              <w:rPr>
                <w:rFonts w:eastAsia="宋体"/>
                <w:color w:val="auto"/>
                <w:sz w:val="24"/>
                <w:lang w:eastAsia="zh-CN" w:bidi="ar-SA"/>
              </w:rPr>
            </w:pPr>
            <w:r>
              <w:rPr>
                <w:rFonts w:eastAsia="宋体"/>
                <w:sz w:val="24"/>
                <w:lang w:eastAsia="zh-CN" w:bidi="ar"/>
              </w:rPr>
              <w:t>实际得分=预算执行率*3</w:t>
            </w:r>
          </w:p>
        </w:tc>
        <w:tc>
          <w:tcPr>
            <w:tcW w:w="3881" w:type="dxa"/>
            <w:shd w:val="clear" w:color="auto" w:fill="auto"/>
            <w:vAlign w:val="center"/>
          </w:tcPr>
          <w:p>
            <w:pPr>
              <w:widowControl/>
              <w:spacing w:line="360" w:lineRule="exact"/>
              <w:ind w:firstLine="0" w:firstLineChars="0"/>
              <w:jc w:val="left"/>
              <w:textAlignment w:val="center"/>
              <w:rPr>
                <w:rFonts w:eastAsia="宋体"/>
                <w:sz w:val="24"/>
                <w:lang w:eastAsia="zh-CN" w:bidi="ar"/>
              </w:rPr>
            </w:pPr>
            <w:r>
              <w:rPr>
                <w:rFonts w:hint="eastAsia" w:eastAsia="宋体"/>
                <w:sz w:val="24"/>
                <w:lang w:eastAsia="zh-CN" w:bidi="ar"/>
              </w:rPr>
              <w:t>延风中学男生宿舍学生用床、柜子采购项目预算资金为680,640.00元，实际到位680,640.00元，截止2024年年末，已支出653,508.00元，</w:t>
            </w:r>
            <w:r>
              <w:rPr>
                <w:rFonts w:hint="eastAsia" w:eastAsia="宋体"/>
                <w:sz w:val="24"/>
                <w:lang w:val="en-US" w:eastAsia="zh-CN" w:bidi="ar"/>
              </w:rPr>
              <w:t>剩余27,132.00元(其中：</w:t>
            </w:r>
            <w:r>
              <w:rPr>
                <w:rFonts w:hint="eastAsia" w:eastAsia="宋体"/>
                <w:sz w:val="24"/>
                <w:lang w:eastAsia="zh-CN" w:bidi="ar"/>
              </w:rPr>
              <w:t>20,212.00元</w:t>
            </w:r>
            <w:r>
              <w:rPr>
                <w:rFonts w:hint="eastAsia" w:eastAsia="宋体"/>
                <w:sz w:val="24"/>
                <w:lang w:val="en-US" w:eastAsia="zh-CN" w:bidi="ar"/>
              </w:rPr>
              <w:t>系</w:t>
            </w:r>
            <w:r>
              <w:rPr>
                <w:rFonts w:hint="eastAsia" w:eastAsia="宋体"/>
                <w:sz w:val="24"/>
                <w:lang w:eastAsia="zh-CN" w:bidi="ar"/>
              </w:rPr>
              <w:t>为满足支付条件尚未支付</w:t>
            </w:r>
            <w:r>
              <w:rPr>
                <w:rFonts w:hint="eastAsia" w:eastAsia="宋体"/>
                <w:sz w:val="24"/>
                <w:lang w:val="en-US" w:eastAsia="zh-CN" w:bidi="ar"/>
              </w:rPr>
              <w:t>的</w:t>
            </w:r>
            <w:r>
              <w:rPr>
                <w:rFonts w:hint="eastAsia" w:eastAsia="宋体"/>
                <w:sz w:val="24"/>
                <w:lang w:eastAsia="zh-CN" w:bidi="ar"/>
              </w:rPr>
              <w:t>质保金</w:t>
            </w:r>
            <w:r>
              <w:rPr>
                <w:rFonts w:hint="eastAsia" w:eastAsia="宋体"/>
                <w:sz w:val="24"/>
                <w:lang w:val="en-US" w:eastAsia="zh-CN" w:bidi="ar"/>
              </w:rPr>
              <w:t>)，</w:t>
            </w:r>
            <w:r>
              <w:rPr>
                <w:rFonts w:hint="eastAsia" w:eastAsia="宋体"/>
                <w:sz w:val="24"/>
                <w:lang w:eastAsia="zh-CN" w:bidi="ar"/>
              </w:rPr>
              <w:t>预算执行率为9</w:t>
            </w:r>
            <w:r>
              <w:rPr>
                <w:rFonts w:hint="eastAsia" w:eastAsia="宋体"/>
                <w:sz w:val="24"/>
                <w:lang w:val="en-US" w:eastAsia="zh-CN" w:bidi="ar"/>
              </w:rPr>
              <w:t>6</w:t>
            </w:r>
            <w:r>
              <w:rPr>
                <w:rFonts w:hint="eastAsia" w:eastAsia="宋体"/>
                <w:sz w:val="24"/>
                <w:lang w:eastAsia="zh-CN" w:bidi="ar"/>
              </w:rPr>
              <w:t>.0</w:t>
            </w:r>
            <w:r>
              <w:rPr>
                <w:rFonts w:hint="eastAsia" w:eastAsia="宋体"/>
                <w:sz w:val="24"/>
                <w:lang w:val="en-US" w:eastAsia="zh-CN" w:bidi="ar"/>
              </w:rPr>
              <w:t>1</w:t>
            </w:r>
            <w:r>
              <w:rPr>
                <w:rFonts w:hint="eastAsia" w:eastAsia="宋体"/>
                <w:sz w:val="24"/>
                <w:lang w:eastAsia="zh-CN" w:bidi="ar"/>
              </w:rPr>
              <w:t>%。根据评分标准，</w:t>
            </w:r>
            <w:r>
              <w:rPr>
                <w:rFonts w:hint="eastAsia" w:eastAsia="宋体"/>
                <w:sz w:val="24"/>
                <w:lang w:val="en-US" w:eastAsia="zh-CN" w:bidi="ar"/>
              </w:rPr>
              <w:t>该指标</w:t>
            </w:r>
            <w:r>
              <w:rPr>
                <w:rFonts w:hint="eastAsia" w:eastAsia="宋体"/>
                <w:sz w:val="24"/>
                <w:lang w:eastAsia="zh-CN" w:bidi="ar"/>
              </w:rPr>
              <w:t>实际得分2.</w:t>
            </w:r>
            <w:r>
              <w:rPr>
                <w:rFonts w:hint="eastAsia" w:eastAsia="宋体"/>
                <w:sz w:val="24"/>
                <w:lang w:val="en-US" w:eastAsia="zh-CN" w:bidi="ar"/>
              </w:rPr>
              <w:t>88</w:t>
            </w:r>
            <w:r>
              <w:rPr>
                <w:rFonts w:hint="eastAsia" w:eastAsia="宋体"/>
                <w:sz w:val="24"/>
                <w:lang w:eastAsia="zh-CN" w:bidi="ar"/>
              </w:rPr>
              <w:t>分</w:t>
            </w:r>
            <w:r>
              <w:rPr>
                <w:rFonts w:eastAsia="宋体"/>
                <w:sz w:val="24"/>
                <w:lang w:eastAsia="zh-CN" w:bidi="ar"/>
              </w:rPr>
              <w:t>。</w:t>
            </w:r>
          </w:p>
        </w:tc>
        <w:tc>
          <w:tcPr>
            <w:tcW w:w="818" w:type="dxa"/>
            <w:shd w:val="clear" w:color="auto" w:fill="auto"/>
            <w:vAlign w:val="center"/>
          </w:tcPr>
          <w:p>
            <w:pPr>
              <w:widowControl/>
              <w:spacing w:line="360" w:lineRule="exact"/>
              <w:ind w:firstLine="0" w:firstLineChars="0"/>
              <w:jc w:val="center"/>
              <w:textAlignment w:val="center"/>
              <w:rPr>
                <w:rFonts w:hint="default" w:eastAsia="宋体"/>
                <w:color w:val="auto"/>
                <w:sz w:val="24"/>
                <w:lang w:val="en-US" w:eastAsia="zh-CN" w:bidi="ar-SA"/>
              </w:rPr>
            </w:pPr>
            <w:r>
              <w:rPr>
                <w:rFonts w:hint="eastAsia" w:eastAsia="宋体"/>
                <w:sz w:val="24"/>
                <w:lang w:eastAsia="zh-CN" w:bidi="ar"/>
              </w:rPr>
              <w:t>2.</w:t>
            </w:r>
            <w:r>
              <w:rPr>
                <w:rFonts w:hint="eastAsia" w:eastAsia="宋体"/>
                <w:sz w:val="24"/>
                <w:lang w:val="en-US" w:eastAsia="zh-CN" w:bidi="ar"/>
              </w:rPr>
              <w:t>88</w:t>
            </w:r>
          </w:p>
        </w:tc>
        <w:tc>
          <w:tcPr>
            <w:tcW w:w="1106"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9</w:t>
            </w:r>
            <w:r>
              <w:rPr>
                <w:rFonts w:hint="eastAsia" w:eastAsia="宋体"/>
                <w:sz w:val="24"/>
                <w:lang w:val="en-US" w:eastAsia="zh-CN" w:bidi="ar"/>
              </w:rPr>
              <w:t>6.01</w:t>
            </w:r>
            <w:r>
              <w:rPr>
                <w:rFonts w:eastAsia="宋体"/>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Merge w:val="continue"/>
            <w:vAlign w:val="center"/>
          </w:tcPr>
          <w:p>
            <w:pPr>
              <w:widowControl/>
              <w:spacing w:line="360" w:lineRule="exact"/>
              <w:ind w:firstLine="0" w:firstLineChars="0"/>
              <w:jc w:val="center"/>
              <w:rPr>
                <w:rFonts w:eastAsia="宋体"/>
                <w:sz w:val="24"/>
                <w:lang w:eastAsia="zh-CN" w:bidi="ar-SA"/>
              </w:rPr>
            </w:pPr>
          </w:p>
        </w:tc>
        <w:tc>
          <w:tcPr>
            <w:tcW w:w="891" w:type="dxa"/>
            <w:vMerge w:val="continue"/>
            <w:vAlign w:val="center"/>
          </w:tcPr>
          <w:p>
            <w:pPr>
              <w:widowControl/>
              <w:spacing w:line="360" w:lineRule="exact"/>
              <w:ind w:firstLine="0" w:firstLineChars="0"/>
              <w:jc w:val="center"/>
              <w:rPr>
                <w:rFonts w:eastAsia="宋体"/>
                <w:sz w:val="24"/>
                <w:lang w:eastAsia="zh-CN" w:bidi="ar-SA"/>
              </w:rPr>
            </w:pPr>
          </w:p>
        </w:tc>
        <w:tc>
          <w:tcPr>
            <w:tcW w:w="895" w:type="dxa"/>
            <w:shd w:val="clear" w:color="auto" w:fill="auto"/>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B13资金使用合规性</w:t>
            </w:r>
          </w:p>
        </w:tc>
        <w:tc>
          <w:tcPr>
            <w:tcW w:w="744"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4</w:t>
            </w:r>
          </w:p>
        </w:tc>
        <w:tc>
          <w:tcPr>
            <w:tcW w:w="3054" w:type="dxa"/>
            <w:shd w:val="clear" w:color="auto" w:fill="auto"/>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1.是否符合国家财经法规和财务管理制度；</w:t>
            </w:r>
            <w:r>
              <w:rPr>
                <w:rFonts w:eastAsia="宋体"/>
                <w:sz w:val="24"/>
                <w:lang w:eastAsia="zh-CN" w:bidi="ar"/>
              </w:rPr>
              <w:br w:type="textWrapping"/>
            </w:r>
            <w:r>
              <w:rPr>
                <w:rFonts w:eastAsia="宋体"/>
                <w:sz w:val="24"/>
                <w:lang w:eastAsia="zh-CN" w:bidi="ar"/>
              </w:rPr>
              <w:t>2.资金的拨付是否有完整的审批程序和手续；</w:t>
            </w:r>
            <w:r>
              <w:rPr>
                <w:rFonts w:eastAsia="宋体"/>
                <w:sz w:val="24"/>
                <w:lang w:eastAsia="zh-CN" w:bidi="ar"/>
              </w:rPr>
              <w:br w:type="textWrapping"/>
            </w:r>
            <w:r>
              <w:rPr>
                <w:rFonts w:eastAsia="宋体"/>
                <w:sz w:val="24"/>
                <w:lang w:eastAsia="zh-CN" w:bidi="ar"/>
              </w:rPr>
              <w:t>3.是否符合项目预算批复或合同规定的用途；</w:t>
            </w:r>
            <w:r>
              <w:rPr>
                <w:rFonts w:eastAsia="宋体"/>
                <w:sz w:val="24"/>
                <w:lang w:eastAsia="zh-CN" w:bidi="ar"/>
              </w:rPr>
              <w:br w:type="textWrapping"/>
            </w:r>
            <w:r>
              <w:rPr>
                <w:rFonts w:eastAsia="宋体"/>
                <w:sz w:val="24"/>
                <w:lang w:eastAsia="zh-CN" w:bidi="ar"/>
              </w:rPr>
              <w:t>4.是否存在截留、挤占、挪用、虚列支出等情况。</w:t>
            </w:r>
          </w:p>
        </w:tc>
        <w:tc>
          <w:tcPr>
            <w:tcW w:w="2249" w:type="dxa"/>
            <w:shd w:val="clear" w:color="auto" w:fill="auto"/>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具备一个得分要素，得权重分的25%</w:t>
            </w:r>
          </w:p>
        </w:tc>
        <w:tc>
          <w:tcPr>
            <w:tcW w:w="3881" w:type="dxa"/>
            <w:shd w:val="clear" w:color="auto" w:fill="auto"/>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项目资金使用符合相关财务管理制度；资金的拨付有项目支款凭证、国库集中支付凭证、发票等项目审批手续。符合项目预算批复或合同规定的用途。未发现有截留、挤占、挪用、虚列支出等情况。依据评分方法，该指标得满分</w:t>
            </w:r>
            <w:r>
              <w:rPr>
                <w:rFonts w:hint="eastAsia" w:eastAsia="宋体"/>
                <w:sz w:val="24"/>
                <w:lang w:val="en-US" w:eastAsia="zh-CN" w:bidi="ar"/>
              </w:rPr>
              <w:t>4.00分</w:t>
            </w:r>
            <w:r>
              <w:rPr>
                <w:rFonts w:eastAsia="宋体"/>
                <w:sz w:val="24"/>
                <w:lang w:eastAsia="zh-CN" w:bidi="ar"/>
              </w:rPr>
              <w:t>。</w:t>
            </w:r>
          </w:p>
        </w:tc>
        <w:tc>
          <w:tcPr>
            <w:tcW w:w="818"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4</w:t>
            </w:r>
          </w:p>
        </w:tc>
        <w:tc>
          <w:tcPr>
            <w:tcW w:w="1106"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Merge w:val="continue"/>
            <w:vAlign w:val="center"/>
          </w:tcPr>
          <w:p>
            <w:pPr>
              <w:widowControl/>
              <w:spacing w:line="360" w:lineRule="exact"/>
              <w:ind w:firstLine="0" w:firstLineChars="0"/>
              <w:jc w:val="center"/>
              <w:rPr>
                <w:rFonts w:eastAsia="宋体"/>
                <w:sz w:val="24"/>
                <w:lang w:eastAsia="zh-CN" w:bidi="ar-SA"/>
              </w:rPr>
            </w:pPr>
          </w:p>
        </w:tc>
        <w:tc>
          <w:tcPr>
            <w:tcW w:w="891" w:type="dxa"/>
            <w:vMerge w:val="restart"/>
            <w:shd w:val="clear" w:color="auto" w:fill="auto"/>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B2组织实施（</w:t>
            </w:r>
            <w:r>
              <w:rPr>
                <w:rFonts w:hint="eastAsia" w:eastAsia="宋体"/>
                <w:sz w:val="24"/>
                <w:lang w:eastAsia="zh-CN" w:bidi="ar"/>
              </w:rPr>
              <w:t>10</w:t>
            </w:r>
            <w:r>
              <w:rPr>
                <w:rFonts w:eastAsia="宋体"/>
                <w:sz w:val="24"/>
                <w:lang w:eastAsia="zh-CN" w:bidi="ar"/>
              </w:rPr>
              <w:t>分）</w:t>
            </w:r>
          </w:p>
        </w:tc>
        <w:tc>
          <w:tcPr>
            <w:tcW w:w="895" w:type="dxa"/>
            <w:shd w:val="clear" w:color="auto" w:fill="auto"/>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B2</w:t>
            </w:r>
            <w:r>
              <w:rPr>
                <w:rFonts w:hint="eastAsia" w:eastAsia="宋体"/>
                <w:sz w:val="24"/>
                <w:lang w:eastAsia="zh-CN" w:bidi="ar"/>
              </w:rPr>
              <w:t>1</w:t>
            </w:r>
            <w:r>
              <w:rPr>
                <w:rFonts w:eastAsia="宋体"/>
                <w:sz w:val="24"/>
                <w:lang w:eastAsia="zh-CN" w:bidi="ar"/>
              </w:rPr>
              <w:t>项目采购</w:t>
            </w:r>
            <w:r>
              <w:rPr>
                <w:rFonts w:hint="eastAsia" w:eastAsia="宋体"/>
                <w:sz w:val="24"/>
                <w:lang w:val="en-US" w:eastAsia="zh-CN" w:bidi="ar"/>
              </w:rPr>
              <w:t>流程</w:t>
            </w:r>
            <w:r>
              <w:rPr>
                <w:rFonts w:eastAsia="宋体"/>
                <w:sz w:val="24"/>
                <w:lang w:eastAsia="zh-CN" w:bidi="ar"/>
              </w:rPr>
              <w:t>合规性</w:t>
            </w:r>
          </w:p>
        </w:tc>
        <w:tc>
          <w:tcPr>
            <w:tcW w:w="744"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5</w:t>
            </w:r>
          </w:p>
        </w:tc>
        <w:tc>
          <w:tcPr>
            <w:tcW w:w="3054" w:type="dxa"/>
            <w:shd w:val="clear" w:color="auto" w:fill="auto"/>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项目单位是否通过购买服务流程，与具有相应资质、报价合理的供应商签订合同或协议，合同或协议中约定其主要工作内容、基本职责。</w:t>
            </w:r>
          </w:p>
        </w:tc>
        <w:tc>
          <w:tcPr>
            <w:tcW w:w="2249" w:type="dxa"/>
            <w:shd w:val="clear" w:color="auto" w:fill="auto"/>
            <w:vAlign w:val="center"/>
          </w:tcPr>
          <w:p>
            <w:pPr>
              <w:widowControl/>
              <w:spacing w:line="360" w:lineRule="exact"/>
              <w:ind w:firstLine="0" w:firstLineChars="0"/>
              <w:jc w:val="left"/>
              <w:textAlignment w:val="center"/>
              <w:rPr>
                <w:rFonts w:eastAsia="宋体"/>
                <w:color w:val="auto"/>
                <w:sz w:val="24"/>
                <w:lang w:eastAsia="zh-CN" w:bidi="ar-SA"/>
              </w:rPr>
            </w:pPr>
            <w:r>
              <w:rPr>
                <w:rFonts w:hint="eastAsia" w:eastAsia="宋体"/>
                <w:sz w:val="24"/>
                <w:lang w:eastAsia="zh-CN" w:bidi="ar"/>
              </w:rPr>
              <w:t>未通过购买服务流程扣全</w:t>
            </w:r>
            <w:r>
              <w:rPr>
                <w:rFonts w:eastAsia="宋体"/>
                <w:sz w:val="24"/>
                <w:lang w:eastAsia="zh-CN" w:bidi="ar"/>
              </w:rPr>
              <w:t>分。</w:t>
            </w:r>
          </w:p>
        </w:tc>
        <w:tc>
          <w:tcPr>
            <w:tcW w:w="3881" w:type="dxa"/>
            <w:shd w:val="clear" w:color="000000" w:fill="FFFFFF"/>
            <w:vAlign w:val="center"/>
          </w:tcPr>
          <w:p>
            <w:pPr>
              <w:widowControl/>
              <w:spacing w:line="360" w:lineRule="exact"/>
              <w:ind w:firstLine="0" w:firstLineChars="0"/>
              <w:jc w:val="left"/>
              <w:textAlignment w:val="center"/>
              <w:rPr>
                <w:rFonts w:eastAsia="宋体"/>
                <w:sz w:val="24"/>
                <w:lang w:eastAsia="zh-CN" w:bidi="ar-SA"/>
              </w:rPr>
            </w:pPr>
            <w:r>
              <w:rPr>
                <w:rFonts w:hint="eastAsia" w:eastAsia="宋体"/>
                <w:sz w:val="24"/>
                <w:lang w:eastAsia="zh-CN" w:bidi="ar"/>
              </w:rPr>
              <w:t>该</w:t>
            </w:r>
            <w:r>
              <w:rPr>
                <w:rFonts w:eastAsia="宋体"/>
                <w:sz w:val="24"/>
                <w:lang w:eastAsia="zh-CN" w:bidi="ar"/>
              </w:rPr>
              <w:t>项目</w:t>
            </w:r>
            <w:r>
              <w:rPr>
                <w:rFonts w:hint="eastAsia" w:eastAsia="宋体"/>
                <w:sz w:val="24"/>
                <w:lang w:eastAsia="zh-CN" w:bidi="ar"/>
              </w:rPr>
              <w:t>在四川政府采购网上发布竞争性谈判，项目单位与具有相应资质且报价合理的供应商签订了《政府采购合同》。合同中约定了主要工作内容、基本职责等。根据评分标准</w:t>
            </w:r>
            <w:r>
              <w:rPr>
                <w:rFonts w:eastAsia="宋体"/>
                <w:sz w:val="24"/>
                <w:lang w:eastAsia="zh-CN" w:bidi="ar"/>
              </w:rPr>
              <w:t>，该指标得</w:t>
            </w:r>
            <w:r>
              <w:rPr>
                <w:rFonts w:hint="eastAsia" w:eastAsia="宋体"/>
                <w:sz w:val="24"/>
                <w:lang w:eastAsia="zh-CN" w:bidi="ar"/>
              </w:rPr>
              <w:t>满分5</w:t>
            </w:r>
            <w:r>
              <w:rPr>
                <w:rFonts w:eastAsia="宋体"/>
                <w:sz w:val="24"/>
                <w:lang w:eastAsia="zh-CN" w:bidi="ar"/>
              </w:rPr>
              <w:t>.00分。</w:t>
            </w:r>
          </w:p>
        </w:tc>
        <w:tc>
          <w:tcPr>
            <w:tcW w:w="818"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5</w:t>
            </w:r>
          </w:p>
        </w:tc>
        <w:tc>
          <w:tcPr>
            <w:tcW w:w="1106"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Merge w:val="continue"/>
            <w:vAlign w:val="center"/>
          </w:tcPr>
          <w:p>
            <w:pPr>
              <w:widowControl/>
              <w:spacing w:line="360" w:lineRule="exact"/>
              <w:ind w:firstLine="0" w:firstLineChars="0"/>
              <w:jc w:val="center"/>
              <w:rPr>
                <w:rFonts w:eastAsia="宋体"/>
                <w:sz w:val="24"/>
                <w:lang w:eastAsia="zh-CN" w:bidi="ar-SA"/>
              </w:rPr>
            </w:pPr>
          </w:p>
        </w:tc>
        <w:tc>
          <w:tcPr>
            <w:tcW w:w="891" w:type="dxa"/>
            <w:vMerge w:val="continue"/>
            <w:vAlign w:val="center"/>
          </w:tcPr>
          <w:p>
            <w:pPr>
              <w:widowControl/>
              <w:spacing w:line="360" w:lineRule="exact"/>
              <w:ind w:firstLine="0" w:firstLineChars="0"/>
              <w:jc w:val="center"/>
              <w:rPr>
                <w:rFonts w:eastAsia="宋体"/>
                <w:sz w:val="24"/>
                <w:lang w:eastAsia="zh-CN" w:bidi="ar-SA"/>
              </w:rPr>
            </w:pPr>
          </w:p>
        </w:tc>
        <w:tc>
          <w:tcPr>
            <w:tcW w:w="895" w:type="dxa"/>
            <w:shd w:val="clear" w:color="000000" w:fill="FFFFFF"/>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B2</w:t>
            </w:r>
            <w:r>
              <w:rPr>
                <w:rFonts w:hint="eastAsia" w:eastAsia="宋体"/>
                <w:sz w:val="24"/>
                <w:lang w:eastAsia="zh-CN" w:bidi="ar"/>
              </w:rPr>
              <w:t>2</w:t>
            </w:r>
            <w:r>
              <w:rPr>
                <w:rFonts w:eastAsia="宋体"/>
                <w:sz w:val="24"/>
                <w:lang w:eastAsia="zh-CN" w:bidi="ar"/>
              </w:rPr>
              <w:t>合同管理和执行规范性</w:t>
            </w:r>
          </w:p>
        </w:tc>
        <w:tc>
          <w:tcPr>
            <w:tcW w:w="744"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5</w:t>
            </w:r>
          </w:p>
        </w:tc>
        <w:tc>
          <w:tcPr>
            <w:tcW w:w="3054" w:type="dxa"/>
            <w:shd w:val="clear" w:color="000000" w:fill="FFFFFF"/>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合同中明确、细化双方的权利和义务，合同执行规范有效。</w:t>
            </w:r>
          </w:p>
        </w:tc>
        <w:tc>
          <w:tcPr>
            <w:tcW w:w="2249" w:type="dxa"/>
            <w:shd w:val="clear" w:color="000000" w:fill="FFFFFF"/>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合同中明确双方的权利和义务，明确和细化购买的需求和资金的使用要求，合同执行规范有效得满分，缺失一项扣1分。</w:t>
            </w:r>
          </w:p>
        </w:tc>
        <w:tc>
          <w:tcPr>
            <w:tcW w:w="3881" w:type="dxa"/>
            <w:shd w:val="clear" w:color="000000" w:fill="FFFFFF"/>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通过查阅</w:t>
            </w:r>
            <w:r>
              <w:rPr>
                <w:rFonts w:hint="eastAsia" w:eastAsia="宋体"/>
                <w:sz w:val="24"/>
                <w:lang w:eastAsia="zh-CN" w:bidi="ar"/>
              </w:rPr>
              <w:t>相关资料</w:t>
            </w:r>
            <w:r>
              <w:rPr>
                <w:rFonts w:eastAsia="宋体"/>
                <w:sz w:val="24"/>
                <w:lang w:eastAsia="zh-CN" w:bidi="ar"/>
              </w:rPr>
              <w:t>，项目单位在业务开展过程中的相关合同、档案资料及相关的重</w:t>
            </w:r>
            <w:r>
              <w:rPr>
                <w:rFonts w:hint="eastAsia" w:eastAsia="宋体"/>
                <w:sz w:val="24"/>
                <w:lang w:eastAsia="zh-CN" w:bidi="ar"/>
              </w:rPr>
              <w:t>大</w:t>
            </w:r>
            <w:r>
              <w:rPr>
                <w:rFonts w:eastAsia="宋体"/>
                <w:sz w:val="24"/>
                <w:lang w:eastAsia="zh-CN" w:bidi="ar"/>
              </w:rPr>
              <w:t>决策会议纪要及附件齐全。根据评分标准，该指标</w:t>
            </w:r>
            <w:r>
              <w:rPr>
                <w:rFonts w:hint="eastAsia" w:eastAsia="宋体"/>
                <w:sz w:val="24"/>
                <w:lang w:eastAsia="zh-CN" w:bidi="ar"/>
              </w:rPr>
              <w:t>得满分</w:t>
            </w:r>
            <w:r>
              <w:rPr>
                <w:rFonts w:eastAsia="宋体"/>
                <w:sz w:val="24"/>
                <w:lang w:eastAsia="zh-CN" w:bidi="ar"/>
              </w:rPr>
              <w:t>5.00分。</w:t>
            </w:r>
          </w:p>
        </w:tc>
        <w:tc>
          <w:tcPr>
            <w:tcW w:w="818"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5</w:t>
            </w:r>
          </w:p>
        </w:tc>
        <w:tc>
          <w:tcPr>
            <w:tcW w:w="1106"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Merge w:val="restart"/>
            <w:shd w:val="clear" w:color="auto" w:fill="auto"/>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C产出（</w:t>
            </w:r>
            <w:r>
              <w:rPr>
                <w:rFonts w:hint="eastAsia" w:eastAsia="宋体"/>
                <w:sz w:val="24"/>
                <w:lang w:val="en-US" w:eastAsia="zh-CN" w:bidi="ar"/>
              </w:rPr>
              <w:t>28</w:t>
            </w:r>
            <w:r>
              <w:rPr>
                <w:rFonts w:eastAsia="宋体"/>
                <w:sz w:val="24"/>
                <w:lang w:eastAsia="zh-CN" w:bidi="ar"/>
              </w:rPr>
              <w:t>分）</w:t>
            </w:r>
          </w:p>
        </w:tc>
        <w:tc>
          <w:tcPr>
            <w:tcW w:w="891" w:type="dxa"/>
            <w:shd w:val="clear" w:color="auto" w:fill="auto"/>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C1产出数量（</w:t>
            </w:r>
            <w:r>
              <w:rPr>
                <w:rFonts w:hint="eastAsia" w:eastAsia="宋体"/>
                <w:sz w:val="24"/>
                <w:lang w:val="en-US" w:eastAsia="zh-CN" w:bidi="ar"/>
              </w:rPr>
              <w:t>8</w:t>
            </w:r>
            <w:r>
              <w:rPr>
                <w:rFonts w:eastAsia="宋体"/>
                <w:sz w:val="24"/>
                <w:lang w:eastAsia="zh-CN" w:bidi="ar"/>
              </w:rPr>
              <w:t>分）</w:t>
            </w:r>
          </w:p>
        </w:tc>
        <w:tc>
          <w:tcPr>
            <w:tcW w:w="895"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C11</w:t>
            </w:r>
            <w:r>
              <w:rPr>
                <w:rFonts w:hint="eastAsia" w:eastAsia="宋体"/>
                <w:sz w:val="24"/>
                <w:lang w:eastAsia="zh-CN" w:bidi="ar"/>
              </w:rPr>
              <w:t>新购床、柜子数量</w:t>
            </w:r>
          </w:p>
        </w:tc>
        <w:tc>
          <w:tcPr>
            <w:tcW w:w="744" w:type="dxa"/>
            <w:shd w:val="clear" w:color="000000" w:fill="FFFFFF"/>
            <w:vAlign w:val="center"/>
          </w:tcPr>
          <w:p>
            <w:pPr>
              <w:widowControl/>
              <w:spacing w:line="360" w:lineRule="exact"/>
              <w:ind w:firstLine="0" w:firstLineChars="0"/>
              <w:jc w:val="center"/>
              <w:textAlignment w:val="center"/>
              <w:rPr>
                <w:rFonts w:hint="eastAsia" w:eastAsia="宋体"/>
                <w:color w:val="auto"/>
                <w:sz w:val="24"/>
                <w:lang w:eastAsia="zh-CN" w:bidi="ar-SA"/>
              </w:rPr>
            </w:pPr>
            <w:r>
              <w:rPr>
                <w:rFonts w:hint="eastAsia" w:eastAsia="宋体"/>
                <w:sz w:val="24"/>
                <w:lang w:val="en-US" w:eastAsia="zh-CN" w:bidi="ar"/>
              </w:rPr>
              <w:t>8</w:t>
            </w:r>
          </w:p>
        </w:tc>
        <w:tc>
          <w:tcPr>
            <w:tcW w:w="3054" w:type="dxa"/>
            <w:shd w:val="clear" w:color="000000" w:fill="FFFFFF"/>
            <w:vAlign w:val="center"/>
          </w:tcPr>
          <w:p>
            <w:pPr>
              <w:widowControl/>
              <w:spacing w:line="360" w:lineRule="exact"/>
              <w:ind w:firstLine="0" w:firstLineChars="0"/>
              <w:jc w:val="left"/>
              <w:textAlignment w:val="center"/>
              <w:rPr>
                <w:rFonts w:eastAsia="宋体"/>
                <w:sz w:val="24"/>
                <w:lang w:eastAsia="zh-CN" w:bidi="ar"/>
              </w:rPr>
            </w:pPr>
            <w:r>
              <w:rPr>
                <w:rFonts w:eastAsia="宋体"/>
                <w:sz w:val="24"/>
                <w:lang w:eastAsia="zh-CN" w:bidi="ar"/>
              </w:rPr>
              <w:t>评价要点：</w:t>
            </w:r>
          </w:p>
          <w:p>
            <w:pPr>
              <w:widowControl/>
              <w:spacing w:line="360" w:lineRule="exact"/>
              <w:ind w:firstLine="0" w:firstLineChars="0"/>
              <w:jc w:val="left"/>
              <w:textAlignment w:val="center"/>
              <w:rPr>
                <w:rFonts w:eastAsia="宋体"/>
                <w:sz w:val="24"/>
                <w:lang w:eastAsia="zh-CN" w:bidi="ar"/>
              </w:rPr>
            </w:pPr>
            <w:r>
              <w:rPr>
                <w:rFonts w:hint="eastAsia" w:eastAsia="宋体"/>
                <w:sz w:val="24"/>
                <w:lang w:eastAsia="zh-CN" w:bidi="ar"/>
              </w:rPr>
              <w:t>新购置学生用床、柜子实际数量，用以反映和考核项目产出数据的准确性</w:t>
            </w:r>
            <w:r>
              <w:rPr>
                <w:rFonts w:eastAsia="宋体"/>
                <w:sz w:val="24"/>
                <w:lang w:eastAsia="zh-CN" w:bidi="ar"/>
              </w:rPr>
              <w:t>。</w:t>
            </w:r>
          </w:p>
        </w:tc>
        <w:tc>
          <w:tcPr>
            <w:tcW w:w="2249" w:type="dxa"/>
            <w:shd w:val="clear" w:color="000000" w:fill="FFFFFF"/>
            <w:vAlign w:val="center"/>
          </w:tcPr>
          <w:p>
            <w:pPr>
              <w:widowControl/>
              <w:spacing w:line="360" w:lineRule="exact"/>
              <w:ind w:firstLine="0" w:firstLineChars="0"/>
              <w:textAlignment w:val="center"/>
              <w:rPr>
                <w:rFonts w:eastAsia="宋体"/>
                <w:color w:val="auto"/>
                <w:sz w:val="24"/>
                <w:lang w:eastAsia="zh-CN" w:bidi="ar-SA"/>
              </w:rPr>
            </w:pPr>
            <w:r>
              <w:rPr>
                <w:rFonts w:hint="eastAsia" w:eastAsia="宋体"/>
                <w:sz w:val="24"/>
                <w:lang w:eastAsia="zh-CN" w:bidi="ar"/>
              </w:rPr>
              <w:t>与申请、批复数量相符得满分，否则不得分。</w:t>
            </w:r>
          </w:p>
        </w:tc>
        <w:tc>
          <w:tcPr>
            <w:tcW w:w="3881" w:type="dxa"/>
            <w:shd w:val="clear" w:color="auto" w:fill="auto"/>
            <w:vAlign w:val="center"/>
          </w:tcPr>
          <w:p>
            <w:pPr>
              <w:widowControl/>
              <w:spacing w:line="360" w:lineRule="exact"/>
              <w:ind w:firstLine="0" w:firstLineChars="0"/>
              <w:jc w:val="left"/>
              <w:textAlignment w:val="center"/>
              <w:rPr>
                <w:rFonts w:eastAsia="宋体"/>
                <w:sz w:val="24"/>
                <w:lang w:eastAsia="zh-CN" w:bidi="ar-SA"/>
              </w:rPr>
            </w:pPr>
            <w:r>
              <w:rPr>
                <w:rFonts w:hint="eastAsia" w:eastAsia="宋体"/>
                <w:sz w:val="24"/>
                <w:lang w:eastAsia="zh-CN" w:bidi="ar"/>
              </w:rPr>
              <w:t>我们抽取了延风中学男生宿舍学生用床、柜子的采购凭证、合同、验收资料等，确认此次购置的三人位床、更衣柜各96(个)，与床配套的床板、棕榈垫、凳子各288张(个)，与预算申请、批复数量相符。</w:t>
            </w:r>
            <w:r>
              <w:rPr>
                <w:rFonts w:eastAsia="宋体"/>
                <w:sz w:val="24"/>
                <w:lang w:eastAsia="zh-CN" w:bidi="ar"/>
              </w:rPr>
              <w:t>评价认为，该指标得</w:t>
            </w:r>
            <w:r>
              <w:rPr>
                <w:rFonts w:hint="eastAsia" w:eastAsia="宋体"/>
                <w:sz w:val="24"/>
                <w:lang w:eastAsia="zh-CN" w:bidi="ar"/>
              </w:rPr>
              <w:t>满分</w:t>
            </w:r>
            <w:r>
              <w:rPr>
                <w:rFonts w:hint="eastAsia" w:eastAsia="宋体"/>
                <w:sz w:val="24"/>
                <w:lang w:val="en-US" w:eastAsia="zh-CN" w:bidi="ar"/>
              </w:rPr>
              <w:t>8</w:t>
            </w:r>
            <w:r>
              <w:rPr>
                <w:rFonts w:eastAsia="宋体"/>
                <w:sz w:val="24"/>
                <w:lang w:eastAsia="zh-CN" w:bidi="ar"/>
              </w:rPr>
              <w:t>.00分。</w:t>
            </w:r>
          </w:p>
        </w:tc>
        <w:tc>
          <w:tcPr>
            <w:tcW w:w="818" w:type="dxa"/>
            <w:shd w:val="clear" w:color="000000" w:fill="FFFFFF"/>
            <w:vAlign w:val="center"/>
          </w:tcPr>
          <w:p>
            <w:pPr>
              <w:widowControl/>
              <w:spacing w:line="360" w:lineRule="exact"/>
              <w:ind w:firstLine="0" w:firstLineChars="0"/>
              <w:jc w:val="center"/>
              <w:textAlignment w:val="center"/>
              <w:rPr>
                <w:rFonts w:hint="eastAsia" w:eastAsia="宋体"/>
                <w:color w:val="auto"/>
                <w:sz w:val="24"/>
                <w:lang w:eastAsia="zh-CN" w:bidi="ar-SA"/>
              </w:rPr>
            </w:pPr>
            <w:r>
              <w:rPr>
                <w:rFonts w:hint="eastAsia" w:eastAsia="宋体"/>
                <w:sz w:val="24"/>
                <w:lang w:val="en-US" w:eastAsia="zh-CN" w:bidi="ar"/>
              </w:rPr>
              <w:t>8</w:t>
            </w:r>
          </w:p>
        </w:tc>
        <w:tc>
          <w:tcPr>
            <w:tcW w:w="1106"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Merge w:val="continue"/>
            <w:vAlign w:val="center"/>
          </w:tcPr>
          <w:p>
            <w:pPr>
              <w:widowControl/>
              <w:spacing w:line="360" w:lineRule="exact"/>
              <w:ind w:firstLine="0" w:firstLineChars="0"/>
              <w:jc w:val="center"/>
              <w:rPr>
                <w:rFonts w:eastAsia="宋体"/>
                <w:sz w:val="24"/>
                <w:lang w:eastAsia="zh-CN" w:bidi="ar-SA"/>
              </w:rPr>
            </w:pPr>
          </w:p>
        </w:tc>
        <w:tc>
          <w:tcPr>
            <w:tcW w:w="891" w:type="dxa"/>
            <w:shd w:val="clear" w:color="auto" w:fill="auto"/>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C2产出质量（8分）</w:t>
            </w:r>
          </w:p>
        </w:tc>
        <w:tc>
          <w:tcPr>
            <w:tcW w:w="895"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C21</w:t>
            </w:r>
            <w:r>
              <w:rPr>
                <w:rFonts w:hint="eastAsia" w:eastAsia="宋体"/>
                <w:sz w:val="24"/>
                <w:lang w:eastAsia="zh-CN" w:bidi="ar"/>
              </w:rPr>
              <w:t>质量合格率</w:t>
            </w:r>
          </w:p>
        </w:tc>
        <w:tc>
          <w:tcPr>
            <w:tcW w:w="744"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8</w:t>
            </w:r>
          </w:p>
        </w:tc>
        <w:tc>
          <w:tcPr>
            <w:tcW w:w="3054" w:type="dxa"/>
            <w:shd w:val="clear" w:color="auto" w:fill="auto"/>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hint="eastAsia" w:eastAsia="宋体"/>
                <w:sz w:val="24"/>
                <w:lang w:eastAsia="zh-CN" w:bidi="ar"/>
              </w:rPr>
              <w:t>新购置的学生用床、柜子情况</w:t>
            </w:r>
            <w:r>
              <w:rPr>
                <w:rFonts w:eastAsia="宋体"/>
                <w:sz w:val="24"/>
                <w:lang w:eastAsia="zh-CN" w:bidi="ar"/>
              </w:rPr>
              <w:t>，用以反映和考核项目产出质量目标的实现程度。</w:t>
            </w:r>
          </w:p>
        </w:tc>
        <w:tc>
          <w:tcPr>
            <w:tcW w:w="2249" w:type="dxa"/>
            <w:shd w:val="clear" w:color="auto" w:fill="auto"/>
            <w:vAlign w:val="center"/>
          </w:tcPr>
          <w:p>
            <w:pPr>
              <w:widowControl/>
              <w:spacing w:line="360" w:lineRule="exact"/>
              <w:ind w:firstLine="0" w:firstLineChars="0"/>
              <w:textAlignment w:val="center"/>
              <w:rPr>
                <w:rFonts w:eastAsia="宋体"/>
                <w:color w:val="auto"/>
                <w:sz w:val="24"/>
                <w:lang w:eastAsia="zh-CN" w:bidi="ar-SA"/>
              </w:rPr>
            </w:pPr>
            <w:r>
              <w:rPr>
                <w:rFonts w:hint="eastAsia" w:eastAsia="宋体"/>
                <w:color w:val="auto"/>
                <w:sz w:val="24"/>
                <w:lang w:eastAsia="zh-CN" w:bidi="ar-SA"/>
              </w:rPr>
              <w:t>是否通过正规渠道购置，是否有完善的手续及检验报告。</w:t>
            </w:r>
          </w:p>
        </w:tc>
        <w:tc>
          <w:tcPr>
            <w:tcW w:w="3881" w:type="dxa"/>
            <w:shd w:val="clear" w:color="auto" w:fill="auto"/>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202</w:t>
            </w:r>
            <w:r>
              <w:rPr>
                <w:rFonts w:hint="eastAsia" w:eastAsia="宋体"/>
                <w:sz w:val="24"/>
                <w:lang w:eastAsia="zh-CN" w:bidi="ar"/>
              </w:rPr>
              <w:t>4年3月4日延风中学对供应商提供的学生用床、柜子进行了验收</w:t>
            </w:r>
            <w:r>
              <w:rPr>
                <w:rFonts w:eastAsia="宋体"/>
                <w:sz w:val="24"/>
                <w:lang w:eastAsia="zh-CN" w:bidi="ar"/>
              </w:rPr>
              <w:t>。</w:t>
            </w:r>
            <w:r>
              <w:rPr>
                <w:rFonts w:hint="eastAsia" w:eastAsia="宋体"/>
                <w:sz w:val="24"/>
                <w:lang w:eastAsia="zh-CN" w:bidi="ar"/>
              </w:rPr>
              <w:t>采购的床、柜子均符合国家GB/T3324-2017《木家具通用技术条件》，验收合格率达100%。床架采用优质钢材/实木材质，柜体板材符合E1级环保标准，无甲醛超标问题。床体承重</w:t>
            </w:r>
            <w:r>
              <w:rPr>
                <w:rFonts w:hint="eastAsia" w:ascii="宋体" w:hAnsi="宋体" w:eastAsia="宋体"/>
                <w:sz w:val="24"/>
                <w:lang w:eastAsia="zh-CN" w:bidi="ar"/>
              </w:rPr>
              <w:t>≥</w:t>
            </w:r>
            <w:r>
              <w:rPr>
                <w:rFonts w:hint="eastAsia" w:eastAsia="宋体"/>
                <w:sz w:val="24"/>
                <w:lang w:eastAsia="zh-CN" w:bidi="ar"/>
              </w:rPr>
              <w:t>200KG，柜子铰链开合测试</w:t>
            </w:r>
            <w:r>
              <w:rPr>
                <w:rFonts w:hint="eastAsia" w:ascii="宋体" w:hAnsi="宋体" w:eastAsia="宋体"/>
                <w:sz w:val="24"/>
                <w:lang w:eastAsia="zh-CN" w:bidi="ar"/>
              </w:rPr>
              <w:t>≥5万次无损坏，符合合同约定要求。</w:t>
            </w:r>
            <w:r>
              <w:rPr>
                <w:rFonts w:eastAsia="宋体"/>
                <w:sz w:val="24"/>
                <w:lang w:eastAsia="zh-CN" w:bidi="ar"/>
              </w:rPr>
              <w:t>根据评分标准，该指标</w:t>
            </w:r>
            <w:r>
              <w:rPr>
                <w:rFonts w:hint="eastAsia" w:eastAsia="宋体"/>
                <w:sz w:val="24"/>
                <w:lang w:eastAsia="zh-CN" w:bidi="ar"/>
              </w:rPr>
              <w:t>得满分8.00分</w:t>
            </w:r>
            <w:r>
              <w:rPr>
                <w:rFonts w:eastAsia="宋体"/>
                <w:sz w:val="24"/>
                <w:lang w:eastAsia="zh-CN" w:bidi="ar"/>
              </w:rPr>
              <w:t>。</w:t>
            </w:r>
          </w:p>
        </w:tc>
        <w:tc>
          <w:tcPr>
            <w:tcW w:w="818"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8</w:t>
            </w:r>
          </w:p>
        </w:tc>
        <w:tc>
          <w:tcPr>
            <w:tcW w:w="1106"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100.00</w:t>
            </w:r>
            <w:r>
              <w:rPr>
                <w:rFonts w:eastAsia="宋体"/>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Merge w:val="continue"/>
            <w:vAlign w:val="center"/>
          </w:tcPr>
          <w:p>
            <w:pPr>
              <w:widowControl/>
              <w:spacing w:line="360" w:lineRule="exact"/>
              <w:ind w:firstLine="0" w:firstLineChars="0"/>
              <w:jc w:val="center"/>
              <w:rPr>
                <w:rFonts w:eastAsia="宋体"/>
                <w:sz w:val="24"/>
                <w:lang w:eastAsia="zh-CN" w:bidi="ar-SA"/>
              </w:rPr>
            </w:pPr>
          </w:p>
        </w:tc>
        <w:tc>
          <w:tcPr>
            <w:tcW w:w="891" w:type="dxa"/>
            <w:shd w:val="clear" w:color="auto" w:fill="auto"/>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C3产出时效（</w:t>
            </w:r>
            <w:r>
              <w:rPr>
                <w:rFonts w:hint="eastAsia" w:eastAsia="宋体"/>
                <w:sz w:val="24"/>
                <w:lang w:eastAsia="zh-CN" w:bidi="ar"/>
              </w:rPr>
              <w:t>4</w:t>
            </w:r>
            <w:r>
              <w:rPr>
                <w:rFonts w:eastAsia="宋体"/>
                <w:sz w:val="24"/>
                <w:lang w:eastAsia="zh-CN" w:bidi="ar"/>
              </w:rPr>
              <w:t>分）</w:t>
            </w:r>
          </w:p>
        </w:tc>
        <w:tc>
          <w:tcPr>
            <w:tcW w:w="895" w:type="dxa"/>
            <w:shd w:val="clear" w:color="000000" w:fill="FFFFFF"/>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C31</w:t>
            </w:r>
            <w:r>
              <w:rPr>
                <w:rFonts w:hint="eastAsia" w:eastAsia="宋体"/>
                <w:sz w:val="24"/>
                <w:lang w:eastAsia="zh-CN" w:bidi="ar"/>
              </w:rPr>
              <w:t>采购完成时间</w:t>
            </w:r>
          </w:p>
        </w:tc>
        <w:tc>
          <w:tcPr>
            <w:tcW w:w="744"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color w:val="auto"/>
                <w:sz w:val="24"/>
                <w:lang w:eastAsia="zh-CN" w:bidi="ar-SA"/>
              </w:rPr>
              <w:t>4</w:t>
            </w:r>
          </w:p>
        </w:tc>
        <w:tc>
          <w:tcPr>
            <w:tcW w:w="3054" w:type="dxa"/>
            <w:shd w:val="clear" w:color="000000" w:fill="FFFFFF"/>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hint="eastAsia" w:eastAsia="宋体"/>
                <w:sz w:val="24"/>
                <w:lang w:eastAsia="zh-CN" w:bidi="ar"/>
              </w:rPr>
              <w:t>是否在批复时间内完成采购</w:t>
            </w:r>
            <w:r>
              <w:rPr>
                <w:rFonts w:eastAsia="宋体"/>
                <w:sz w:val="24"/>
                <w:lang w:eastAsia="zh-CN" w:bidi="ar"/>
              </w:rPr>
              <w:t>，用以反映和考核项目产出</w:t>
            </w:r>
            <w:r>
              <w:rPr>
                <w:rFonts w:hint="eastAsia" w:eastAsia="宋体"/>
                <w:sz w:val="24"/>
                <w:lang w:eastAsia="zh-CN" w:bidi="ar"/>
              </w:rPr>
              <w:t>有</w:t>
            </w:r>
            <w:r>
              <w:rPr>
                <w:rFonts w:eastAsia="宋体"/>
                <w:sz w:val="24"/>
                <w:lang w:eastAsia="zh-CN" w:bidi="ar"/>
              </w:rPr>
              <w:t>效目标的实现程度。</w:t>
            </w:r>
          </w:p>
        </w:tc>
        <w:tc>
          <w:tcPr>
            <w:tcW w:w="2249" w:type="dxa"/>
            <w:shd w:val="clear" w:color="000000" w:fill="FFFFFF"/>
            <w:vAlign w:val="center"/>
          </w:tcPr>
          <w:p>
            <w:pPr>
              <w:widowControl/>
              <w:spacing w:line="360" w:lineRule="exact"/>
              <w:ind w:firstLine="0" w:firstLineChars="0"/>
              <w:textAlignment w:val="center"/>
              <w:rPr>
                <w:rFonts w:eastAsia="宋体"/>
                <w:color w:val="auto"/>
                <w:sz w:val="24"/>
                <w:lang w:eastAsia="zh-CN" w:bidi="ar-SA"/>
              </w:rPr>
            </w:pPr>
            <w:r>
              <w:rPr>
                <w:rFonts w:hint="eastAsia" w:eastAsia="宋体"/>
                <w:sz w:val="24"/>
                <w:lang w:eastAsia="zh-CN" w:bidi="ar"/>
              </w:rPr>
              <w:t>在批复时间内完成得满分，否则不得分</w:t>
            </w:r>
            <w:r>
              <w:rPr>
                <w:rFonts w:eastAsia="宋体"/>
                <w:sz w:val="24"/>
                <w:lang w:eastAsia="zh-CN" w:bidi="ar"/>
              </w:rPr>
              <w:t>。</w:t>
            </w:r>
          </w:p>
        </w:tc>
        <w:tc>
          <w:tcPr>
            <w:tcW w:w="3881" w:type="dxa"/>
            <w:shd w:val="clear" w:color="000000" w:fill="FFFFFF"/>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202</w:t>
            </w:r>
            <w:r>
              <w:rPr>
                <w:rFonts w:hint="eastAsia" w:eastAsia="宋体"/>
                <w:sz w:val="24"/>
                <w:lang w:eastAsia="zh-CN" w:bidi="ar"/>
              </w:rPr>
              <w:t>4年3月4日延风中学对供应商提供的学生用床、柜子进行验收后，完成时间超出《乐山市金口河区政府采购项目申请表》中规定的采购时限2024年1月10日至2024年2月30日。根据评分标准，该指标不得分</w:t>
            </w:r>
            <w:r>
              <w:rPr>
                <w:rFonts w:eastAsia="宋体"/>
                <w:sz w:val="24"/>
                <w:lang w:eastAsia="zh-CN" w:bidi="ar"/>
              </w:rPr>
              <w:t>。</w:t>
            </w:r>
          </w:p>
        </w:tc>
        <w:tc>
          <w:tcPr>
            <w:tcW w:w="818"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0</w:t>
            </w:r>
          </w:p>
        </w:tc>
        <w:tc>
          <w:tcPr>
            <w:tcW w:w="1106"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0</w:t>
            </w:r>
            <w:r>
              <w:rPr>
                <w:rFonts w:eastAsia="宋体"/>
                <w:sz w:val="24"/>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Merge w:val="continue"/>
            <w:vAlign w:val="center"/>
          </w:tcPr>
          <w:p>
            <w:pPr>
              <w:widowControl/>
              <w:spacing w:line="360" w:lineRule="exact"/>
              <w:ind w:firstLine="0" w:firstLineChars="0"/>
              <w:jc w:val="center"/>
              <w:rPr>
                <w:rFonts w:eastAsia="宋体"/>
                <w:sz w:val="24"/>
                <w:lang w:eastAsia="zh-CN" w:bidi="ar-SA"/>
              </w:rPr>
            </w:pPr>
          </w:p>
        </w:tc>
        <w:tc>
          <w:tcPr>
            <w:tcW w:w="891" w:type="dxa"/>
            <w:shd w:val="clear" w:color="auto" w:fill="auto"/>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C4产出成本（8分）</w:t>
            </w:r>
          </w:p>
        </w:tc>
        <w:tc>
          <w:tcPr>
            <w:tcW w:w="895" w:type="dxa"/>
            <w:shd w:val="clear" w:color="auto" w:fill="auto"/>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C41成本节约率</w:t>
            </w:r>
          </w:p>
        </w:tc>
        <w:tc>
          <w:tcPr>
            <w:tcW w:w="744"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8</w:t>
            </w:r>
          </w:p>
        </w:tc>
        <w:tc>
          <w:tcPr>
            <w:tcW w:w="3054" w:type="dxa"/>
            <w:shd w:val="clear" w:color="000000" w:fill="FFFFFF"/>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完成项目计划工作目标的实际节约成本与计划成本的比率，用以反映和考核项目的成本节约程度。成本节约率=[（计划成本-实际成本）/计划成本]×100%。</w:t>
            </w:r>
          </w:p>
        </w:tc>
        <w:tc>
          <w:tcPr>
            <w:tcW w:w="2249" w:type="dxa"/>
            <w:shd w:val="clear" w:color="000000" w:fill="FFFFFF"/>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成本节约率大于0%且低于15%，则得满分，每高于一个15%，扣除10%权重分，扣完为止，低于0%，不得分。</w:t>
            </w:r>
          </w:p>
        </w:tc>
        <w:tc>
          <w:tcPr>
            <w:tcW w:w="3881" w:type="dxa"/>
            <w:shd w:val="clear" w:color="000000" w:fill="FFFFFF"/>
            <w:vAlign w:val="center"/>
          </w:tcPr>
          <w:p>
            <w:pPr>
              <w:widowControl/>
              <w:spacing w:line="360" w:lineRule="exact"/>
              <w:ind w:firstLine="0" w:firstLineChars="0"/>
              <w:jc w:val="left"/>
              <w:textAlignment w:val="center"/>
              <w:rPr>
                <w:rFonts w:eastAsia="宋体"/>
                <w:sz w:val="24"/>
                <w:lang w:eastAsia="zh-CN" w:bidi="ar-SA"/>
              </w:rPr>
            </w:pPr>
            <w:r>
              <w:rPr>
                <w:rFonts w:hint="eastAsia" w:eastAsia="宋体"/>
                <w:sz w:val="24"/>
                <w:lang w:eastAsia="zh-CN" w:bidi="ar"/>
              </w:rPr>
              <w:t>延风中学男生宿舍学生用床、柜子采购项目</w:t>
            </w:r>
            <w:r>
              <w:rPr>
                <w:rFonts w:eastAsia="宋体"/>
                <w:sz w:val="24"/>
                <w:lang w:eastAsia="zh-CN" w:bidi="ar"/>
              </w:rPr>
              <w:t>预算资金为</w:t>
            </w:r>
            <w:r>
              <w:rPr>
                <w:rFonts w:hint="eastAsia" w:eastAsia="宋体"/>
                <w:sz w:val="24"/>
                <w:lang w:eastAsia="zh-CN" w:bidi="ar"/>
              </w:rPr>
              <w:t>680,640.00元，因年末20,212.00元质保金未支付，实际成本为653,508.00</w:t>
            </w:r>
            <w:r>
              <w:rPr>
                <w:rFonts w:eastAsia="宋体"/>
                <w:sz w:val="24"/>
                <w:lang w:eastAsia="zh-CN" w:bidi="ar"/>
              </w:rPr>
              <w:t>元</w:t>
            </w:r>
            <w:r>
              <w:rPr>
                <w:rFonts w:hint="eastAsia" w:eastAsia="宋体"/>
                <w:sz w:val="24"/>
                <w:lang w:eastAsia="zh-CN" w:bidi="ar"/>
              </w:rPr>
              <w:t>，节约成本27,132.00元，</w:t>
            </w:r>
            <w:r>
              <w:rPr>
                <w:rFonts w:eastAsia="宋体"/>
                <w:sz w:val="24"/>
                <w:lang w:eastAsia="zh-CN" w:bidi="ar"/>
              </w:rPr>
              <w:t>成本节约率</w:t>
            </w:r>
            <w:r>
              <w:rPr>
                <w:rFonts w:hint="eastAsia" w:eastAsia="宋体"/>
                <w:sz w:val="24"/>
                <w:lang w:eastAsia="zh-CN" w:bidi="ar"/>
              </w:rPr>
              <w:t>3.99%。质保金按合同约定在后续质保期结束后支付，此次成本节约中的20,212.00元为质保金的支付时间安排所致，并非项目实施过程中的成本控制成果。</w:t>
            </w:r>
            <w:r>
              <w:rPr>
                <w:rFonts w:eastAsia="宋体"/>
                <w:sz w:val="24"/>
                <w:lang w:eastAsia="zh-CN" w:bidi="ar"/>
              </w:rPr>
              <w:t>根据评分标准，该指标得</w:t>
            </w:r>
            <w:r>
              <w:rPr>
                <w:rFonts w:hint="eastAsia" w:eastAsia="宋体"/>
                <w:sz w:val="24"/>
                <w:lang w:eastAsia="zh-CN" w:bidi="ar"/>
              </w:rPr>
              <w:t>满分8.00</w:t>
            </w:r>
            <w:r>
              <w:rPr>
                <w:rFonts w:eastAsia="宋体"/>
                <w:sz w:val="24"/>
                <w:lang w:eastAsia="zh-CN" w:bidi="ar"/>
              </w:rPr>
              <w:t>分。</w:t>
            </w:r>
          </w:p>
        </w:tc>
        <w:tc>
          <w:tcPr>
            <w:tcW w:w="818"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8</w:t>
            </w:r>
          </w:p>
        </w:tc>
        <w:tc>
          <w:tcPr>
            <w:tcW w:w="1106"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10</w:t>
            </w:r>
            <w:r>
              <w:rPr>
                <w:rFonts w:eastAsia="宋体"/>
                <w:sz w:val="24"/>
                <w:lang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Merge w:val="restart"/>
            <w:shd w:val="clear" w:color="000000" w:fill="FFFFFF"/>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D效益（3</w:t>
            </w:r>
            <w:r>
              <w:rPr>
                <w:rFonts w:hint="eastAsia" w:eastAsia="宋体"/>
                <w:sz w:val="24"/>
                <w:lang w:val="en-US" w:eastAsia="zh-CN" w:bidi="ar"/>
              </w:rPr>
              <w:t>2</w:t>
            </w:r>
            <w:r>
              <w:rPr>
                <w:rFonts w:eastAsia="宋体"/>
                <w:sz w:val="24"/>
                <w:lang w:eastAsia="zh-CN" w:bidi="ar"/>
              </w:rPr>
              <w:t>分）　</w:t>
            </w:r>
          </w:p>
        </w:tc>
        <w:tc>
          <w:tcPr>
            <w:tcW w:w="891" w:type="dxa"/>
            <w:vMerge w:val="restart"/>
            <w:shd w:val="clear" w:color="000000" w:fill="FFFFFF"/>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D1社会效益（8分）</w:t>
            </w:r>
          </w:p>
        </w:tc>
        <w:tc>
          <w:tcPr>
            <w:tcW w:w="895"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D11</w:t>
            </w:r>
            <w:r>
              <w:rPr>
                <w:rFonts w:hint="eastAsia" w:eastAsia="宋体"/>
                <w:sz w:val="24"/>
                <w:lang w:eastAsia="zh-CN" w:bidi="ar"/>
              </w:rPr>
              <w:t>改善校园环境</w:t>
            </w:r>
          </w:p>
        </w:tc>
        <w:tc>
          <w:tcPr>
            <w:tcW w:w="744"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4</w:t>
            </w:r>
          </w:p>
        </w:tc>
        <w:tc>
          <w:tcPr>
            <w:tcW w:w="3054" w:type="dxa"/>
            <w:shd w:val="clear" w:color="000000" w:fill="FFFFFF"/>
            <w:vAlign w:val="center"/>
          </w:tcPr>
          <w:p>
            <w:pPr>
              <w:widowControl/>
              <w:spacing w:line="360" w:lineRule="exact"/>
              <w:ind w:firstLine="0" w:firstLineChars="0"/>
              <w:textAlignment w:val="center"/>
              <w:rPr>
                <w:rFonts w:eastAsia="宋体"/>
                <w:sz w:val="24"/>
                <w:highlight w:val="yellow"/>
                <w:lang w:eastAsia="zh-CN" w:bidi="ar-SA"/>
              </w:rPr>
            </w:pPr>
            <w:r>
              <w:rPr>
                <w:rFonts w:eastAsia="宋体"/>
                <w:sz w:val="24"/>
                <w:lang w:eastAsia="zh-CN" w:bidi="ar"/>
              </w:rPr>
              <w:t>评价要点：</w:t>
            </w:r>
            <w:r>
              <w:rPr>
                <w:rFonts w:eastAsia="宋体"/>
                <w:sz w:val="24"/>
                <w:lang w:eastAsia="zh-CN" w:bidi="ar"/>
              </w:rPr>
              <w:br w:type="textWrapping"/>
            </w:r>
            <w:r>
              <w:rPr>
                <w:rFonts w:hint="eastAsia" w:eastAsia="宋体"/>
                <w:sz w:val="24"/>
                <w:lang w:eastAsia="zh-CN" w:bidi="ar-SA"/>
              </w:rPr>
              <w:t>是否长提升校园形象、学校声誉等。</w:t>
            </w:r>
          </w:p>
        </w:tc>
        <w:tc>
          <w:tcPr>
            <w:tcW w:w="2249" w:type="dxa"/>
            <w:shd w:val="clear" w:color="000000" w:fill="FFFFFF"/>
            <w:vAlign w:val="center"/>
          </w:tcPr>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t>综合评判，</w:t>
            </w:r>
            <w:r>
              <w:rPr>
                <w:rFonts w:hint="eastAsia" w:eastAsia="宋体"/>
                <w:color w:val="auto"/>
                <w:sz w:val="24"/>
                <w:lang w:eastAsia="zh-CN" w:bidi="ar-SA"/>
              </w:rPr>
              <w:t>改善校园环境</w:t>
            </w:r>
            <w:r>
              <w:rPr>
                <w:rFonts w:eastAsia="宋体"/>
                <w:color w:val="auto"/>
                <w:sz w:val="24"/>
                <w:lang w:eastAsia="zh-CN" w:bidi="ar-SA"/>
              </w:rPr>
              <w:t>评价结论：</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1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①</w:t>
            </w:r>
            <w:r>
              <w:rPr>
                <w:rFonts w:eastAsia="宋体"/>
                <w:color w:val="auto"/>
                <w:sz w:val="24"/>
                <w:lang w:eastAsia="zh-CN" w:bidi="ar-SA"/>
              </w:rPr>
              <w:fldChar w:fldCharType="end"/>
            </w:r>
            <w:r>
              <w:rPr>
                <w:rFonts w:eastAsia="宋体"/>
                <w:color w:val="auto"/>
                <w:sz w:val="24"/>
                <w:lang w:eastAsia="zh-CN" w:bidi="ar-SA"/>
              </w:rPr>
              <w:t>优得</w:t>
            </w:r>
            <w:r>
              <w:rPr>
                <w:rFonts w:hint="eastAsia" w:eastAsia="宋体"/>
                <w:color w:val="auto"/>
                <w:sz w:val="24"/>
                <w:lang w:eastAsia="zh-CN" w:bidi="ar-SA"/>
              </w:rPr>
              <w:t>4</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2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②</w:t>
            </w:r>
            <w:r>
              <w:rPr>
                <w:rFonts w:eastAsia="宋体"/>
                <w:color w:val="auto"/>
                <w:sz w:val="24"/>
                <w:lang w:eastAsia="zh-CN" w:bidi="ar-SA"/>
              </w:rPr>
              <w:fldChar w:fldCharType="end"/>
            </w:r>
            <w:r>
              <w:rPr>
                <w:rFonts w:eastAsia="宋体"/>
                <w:color w:val="auto"/>
                <w:sz w:val="24"/>
                <w:lang w:eastAsia="zh-CN" w:bidi="ar-SA"/>
              </w:rPr>
              <w:t>良得</w:t>
            </w:r>
            <w:r>
              <w:rPr>
                <w:rFonts w:hint="eastAsia" w:eastAsia="宋体"/>
                <w:color w:val="auto"/>
                <w:sz w:val="24"/>
                <w:lang w:eastAsia="zh-CN" w:bidi="ar-SA"/>
              </w:rPr>
              <w:t>3</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3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③</w:t>
            </w:r>
            <w:r>
              <w:rPr>
                <w:rFonts w:eastAsia="宋体"/>
                <w:color w:val="auto"/>
                <w:sz w:val="24"/>
                <w:lang w:eastAsia="zh-CN" w:bidi="ar-SA"/>
              </w:rPr>
              <w:fldChar w:fldCharType="end"/>
            </w:r>
            <w:r>
              <w:rPr>
                <w:rFonts w:eastAsia="宋体"/>
                <w:color w:val="auto"/>
                <w:sz w:val="24"/>
                <w:lang w:eastAsia="zh-CN" w:bidi="ar-SA"/>
              </w:rPr>
              <w:t>中得</w:t>
            </w:r>
            <w:r>
              <w:rPr>
                <w:rFonts w:hint="eastAsia" w:eastAsia="宋体"/>
                <w:color w:val="auto"/>
                <w:sz w:val="24"/>
                <w:lang w:eastAsia="zh-CN" w:bidi="ar-SA"/>
              </w:rPr>
              <w:t>2</w:t>
            </w:r>
            <w:r>
              <w:rPr>
                <w:rFonts w:eastAsia="宋体"/>
                <w:color w:val="auto"/>
                <w:sz w:val="24"/>
                <w:lang w:eastAsia="zh-CN" w:bidi="ar-SA"/>
              </w:rPr>
              <w:t>分</w:t>
            </w:r>
          </w:p>
          <w:p>
            <w:pPr>
              <w:widowControl/>
              <w:spacing w:line="360" w:lineRule="exact"/>
              <w:ind w:firstLine="0" w:firstLineChars="0"/>
              <w:jc w:val="left"/>
              <w:textAlignment w:val="center"/>
              <w:rPr>
                <w:rFonts w:eastAsia="宋体"/>
                <w:sz w:val="24"/>
                <w:lang w:eastAsia="zh-CN" w:bidi="ar"/>
              </w:rPr>
            </w:pPr>
            <w:r>
              <w:rPr>
                <w:rFonts w:eastAsia="宋体"/>
                <w:color w:val="auto"/>
                <w:sz w:val="24"/>
                <w:lang w:eastAsia="zh-CN" w:bidi="ar-SA"/>
              </w:rPr>
              <w:fldChar w:fldCharType="begin"/>
            </w:r>
            <w:r>
              <w:rPr>
                <w:rFonts w:eastAsia="宋体"/>
                <w:color w:val="auto"/>
                <w:sz w:val="24"/>
                <w:lang w:eastAsia="zh-CN" w:bidi="ar-SA"/>
              </w:rPr>
              <w:instrText xml:space="preserve"> = 4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④</w:t>
            </w:r>
            <w:r>
              <w:rPr>
                <w:rFonts w:eastAsia="宋体"/>
                <w:color w:val="auto"/>
                <w:sz w:val="24"/>
                <w:lang w:eastAsia="zh-CN" w:bidi="ar-SA"/>
              </w:rPr>
              <w:fldChar w:fldCharType="end"/>
            </w:r>
            <w:r>
              <w:rPr>
                <w:rFonts w:eastAsia="宋体"/>
                <w:color w:val="auto"/>
                <w:sz w:val="24"/>
                <w:lang w:eastAsia="zh-CN" w:bidi="ar-SA"/>
              </w:rPr>
              <w:t>差不得分</w:t>
            </w:r>
          </w:p>
        </w:tc>
        <w:tc>
          <w:tcPr>
            <w:tcW w:w="3881" w:type="dxa"/>
            <w:shd w:val="clear" w:color="000000" w:fill="FFFFFF"/>
            <w:vAlign w:val="center"/>
          </w:tcPr>
          <w:p>
            <w:pPr>
              <w:widowControl/>
              <w:spacing w:line="360" w:lineRule="exact"/>
              <w:ind w:firstLine="0" w:firstLineChars="0"/>
              <w:jc w:val="left"/>
              <w:textAlignment w:val="center"/>
              <w:rPr>
                <w:rFonts w:eastAsia="宋体"/>
                <w:sz w:val="24"/>
                <w:lang w:eastAsia="zh-CN" w:bidi="ar"/>
              </w:rPr>
            </w:pPr>
            <w:r>
              <w:rPr>
                <w:rFonts w:hint="eastAsia" w:eastAsia="宋体"/>
                <w:sz w:val="24"/>
                <w:lang w:eastAsia="zh-CN" w:bidi="ar-SA"/>
              </w:rPr>
              <w:t>崭新、统一的宿舍家具提升校园整体形象，为学生营造整洁、舒适的生活环境，获得家长与社会认可，提升学校声誉与地区教育口碑</w:t>
            </w:r>
            <w:r>
              <w:rPr>
                <w:rFonts w:hint="eastAsia" w:eastAsia="宋体"/>
                <w:sz w:val="24"/>
                <w:lang w:eastAsia="zh-CN" w:bidi="ar"/>
              </w:rPr>
              <w:t>。</w:t>
            </w:r>
            <w:r>
              <w:rPr>
                <w:rFonts w:eastAsia="宋体"/>
                <w:sz w:val="24"/>
                <w:lang w:eastAsia="zh-CN" w:bidi="ar"/>
              </w:rPr>
              <w:t>根据评分标准，该指标</w:t>
            </w:r>
            <w:r>
              <w:rPr>
                <w:rFonts w:hint="eastAsia" w:eastAsia="宋体"/>
                <w:sz w:val="24"/>
                <w:lang w:eastAsia="zh-CN" w:bidi="ar"/>
              </w:rPr>
              <w:t>评定为</w:t>
            </w:r>
            <w:r>
              <w:rPr>
                <w:rFonts w:hint="eastAsia" w:eastAsia="宋体"/>
                <w:sz w:val="24"/>
                <w:lang w:val="en-US" w:eastAsia="zh-CN" w:bidi="ar"/>
              </w:rPr>
              <w:t>优</w:t>
            </w:r>
            <w:r>
              <w:rPr>
                <w:rFonts w:hint="eastAsia" w:eastAsia="宋体"/>
                <w:sz w:val="24"/>
                <w:lang w:eastAsia="zh-CN" w:bidi="ar"/>
              </w:rPr>
              <w:t>，得</w:t>
            </w:r>
            <w:r>
              <w:rPr>
                <w:rFonts w:hint="eastAsia" w:eastAsia="宋体"/>
                <w:sz w:val="24"/>
                <w:lang w:val="en-US" w:eastAsia="zh-CN" w:bidi="ar"/>
              </w:rPr>
              <w:t>4</w:t>
            </w:r>
            <w:r>
              <w:rPr>
                <w:rFonts w:hint="eastAsia" w:eastAsia="宋体"/>
                <w:sz w:val="24"/>
                <w:lang w:eastAsia="zh-CN" w:bidi="ar"/>
              </w:rPr>
              <w:t>.00</w:t>
            </w:r>
            <w:r>
              <w:rPr>
                <w:rFonts w:eastAsia="宋体"/>
                <w:sz w:val="24"/>
                <w:lang w:eastAsia="zh-CN" w:bidi="ar"/>
              </w:rPr>
              <w:t>分。</w:t>
            </w:r>
          </w:p>
        </w:tc>
        <w:tc>
          <w:tcPr>
            <w:tcW w:w="818"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color w:val="auto"/>
                <w:sz w:val="24"/>
                <w:lang w:val="en-US" w:eastAsia="zh-CN" w:bidi="ar-SA"/>
              </w:rPr>
              <w:t>4</w:t>
            </w:r>
          </w:p>
        </w:tc>
        <w:tc>
          <w:tcPr>
            <w:tcW w:w="1106"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100</w:t>
            </w:r>
            <w:r>
              <w:rPr>
                <w:rFonts w:eastAsia="宋体"/>
                <w:sz w:val="24"/>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Merge w:val="continue"/>
            <w:vAlign w:val="center"/>
          </w:tcPr>
          <w:p>
            <w:pPr>
              <w:widowControl/>
              <w:spacing w:line="360" w:lineRule="exact"/>
              <w:ind w:firstLine="0" w:firstLineChars="0"/>
              <w:jc w:val="center"/>
              <w:rPr>
                <w:rFonts w:eastAsia="宋体"/>
                <w:sz w:val="24"/>
                <w:lang w:eastAsia="zh-CN" w:bidi="ar-SA"/>
              </w:rPr>
            </w:pPr>
          </w:p>
        </w:tc>
        <w:tc>
          <w:tcPr>
            <w:tcW w:w="891" w:type="dxa"/>
            <w:vMerge w:val="continue"/>
            <w:vAlign w:val="center"/>
          </w:tcPr>
          <w:p>
            <w:pPr>
              <w:widowControl/>
              <w:spacing w:line="360" w:lineRule="exact"/>
              <w:ind w:firstLine="0" w:firstLineChars="0"/>
              <w:jc w:val="center"/>
              <w:rPr>
                <w:rFonts w:eastAsia="宋体"/>
                <w:sz w:val="24"/>
                <w:lang w:eastAsia="zh-CN" w:bidi="ar-SA"/>
              </w:rPr>
            </w:pPr>
          </w:p>
        </w:tc>
        <w:tc>
          <w:tcPr>
            <w:tcW w:w="895"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C12</w:t>
            </w:r>
            <w:r>
              <w:rPr>
                <w:rFonts w:hint="eastAsia" w:eastAsia="宋体"/>
                <w:sz w:val="24"/>
                <w:lang w:eastAsia="zh-CN" w:bidi="ar"/>
              </w:rPr>
              <w:t>促进教育公平</w:t>
            </w:r>
          </w:p>
        </w:tc>
        <w:tc>
          <w:tcPr>
            <w:tcW w:w="744"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4</w:t>
            </w:r>
          </w:p>
        </w:tc>
        <w:tc>
          <w:tcPr>
            <w:tcW w:w="3054" w:type="dxa"/>
            <w:shd w:val="clear" w:color="000000" w:fill="FFFFFF"/>
            <w:vAlign w:val="center"/>
          </w:tcPr>
          <w:p>
            <w:pPr>
              <w:widowControl/>
              <w:spacing w:line="360" w:lineRule="exact"/>
              <w:ind w:firstLine="0" w:firstLineChars="0"/>
              <w:textAlignment w:val="center"/>
              <w:rPr>
                <w:rFonts w:eastAsia="宋体"/>
                <w:sz w:val="24"/>
                <w:highlight w:val="yellow"/>
                <w:lang w:eastAsia="zh-CN" w:bidi="ar-SA"/>
              </w:rPr>
            </w:pPr>
            <w:r>
              <w:rPr>
                <w:rFonts w:eastAsia="宋体"/>
                <w:sz w:val="24"/>
                <w:lang w:eastAsia="zh-CN" w:bidi="ar"/>
              </w:rPr>
              <w:t>评价要点：</w:t>
            </w:r>
            <w:r>
              <w:rPr>
                <w:rFonts w:eastAsia="宋体"/>
                <w:sz w:val="24"/>
                <w:lang w:eastAsia="zh-CN" w:bidi="ar"/>
              </w:rPr>
              <w:br w:type="textWrapping"/>
            </w:r>
            <w:r>
              <w:rPr>
                <w:rFonts w:hint="eastAsia" w:eastAsia="宋体"/>
                <w:sz w:val="24"/>
                <w:lang w:eastAsia="zh-CN" w:bidi="ar-SA"/>
              </w:rPr>
              <w:t>是否有利于学生享有平等住宿条件，助力教育均衡发展。</w:t>
            </w:r>
          </w:p>
        </w:tc>
        <w:tc>
          <w:tcPr>
            <w:tcW w:w="2249" w:type="dxa"/>
            <w:shd w:val="clear" w:color="000000" w:fill="FFFFFF"/>
            <w:vAlign w:val="center"/>
          </w:tcPr>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t>综合评判，</w:t>
            </w:r>
            <w:r>
              <w:rPr>
                <w:rFonts w:hint="eastAsia" w:eastAsia="宋体"/>
                <w:sz w:val="24"/>
                <w:lang w:eastAsia="zh-CN" w:bidi="ar"/>
              </w:rPr>
              <w:t>促进教育公平</w:t>
            </w:r>
            <w:r>
              <w:rPr>
                <w:rFonts w:eastAsia="宋体"/>
                <w:color w:val="auto"/>
                <w:sz w:val="24"/>
                <w:lang w:eastAsia="zh-CN" w:bidi="ar-SA"/>
              </w:rPr>
              <w:t>评价结论：</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1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①</w:t>
            </w:r>
            <w:r>
              <w:rPr>
                <w:rFonts w:eastAsia="宋体"/>
                <w:color w:val="auto"/>
                <w:sz w:val="24"/>
                <w:lang w:eastAsia="zh-CN" w:bidi="ar-SA"/>
              </w:rPr>
              <w:fldChar w:fldCharType="end"/>
            </w:r>
            <w:r>
              <w:rPr>
                <w:rFonts w:eastAsia="宋体"/>
                <w:color w:val="auto"/>
                <w:sz w:val="24"/>
                <w:lang w:eastAsia="zh-CN" w:bidi="ar-SA"/>
              </w:rPr>
              <w:t>优得</w:t>
            </w:r>
            <w:r>
              <w:rPr>
                <w:rFonts w:hint="eastAsia" w:eastAsia="宋体"/>
                <w:color w:val="auto"/>
                <w:sz w:val="24"/>
                <w:lang w:eastAsia="zh-CN" w:bidi="ar-SA"/>
              </w:rPr>
              <w:t>4</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2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②</w:t>
            </w:r>
            <w:r>
              <w:rPr>
                <w:rFonts w:eastAsia="宋体"/>
                <w:color w:val="auto"/>
                <w:sz w:val="24"/>
                <w:lang w:eastAsia="zh-CN" w:bidi="ar-SA"/>
              </w:rPr>
              <w:fldChar w:fldCharType="end"/>
            </w:r>
            <w:r>
              <w:rPr>
                <w:rFonts w:eastAsia="宋体"/>
                <w:color w:val="auto"/>
                <w:sz w:val="24"/>
                <w:lang w:eastAsia="zh-CN" w:bidi="ar-SA"/>
              </w:rPr>
              <w:t>良得</w:t>
            </w:r>
            <w:r>
              <w:rPr>
                <w:rFonts w:hint="eastAsia" w:eastAsia="宋体"/>
                <w:color w:val="auto"/>
                <w:sz w:val="24"/>
                <w:lang w:eastAsia="zh-CN" w:bidi="ar-SA"/>
              </w:rPr>
              <w:t>3</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3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③</w:t>
            </w:r>
            <w:r>
              <w:rPr>
                <w:rFonts w:eastAsia="宋体"/>
                <w:color w:val="auto"/>
                <w:sz w:val="24"/>
                <w:lang w:eastAsia="zh-CN" w:bidi="ar-SA"/>
              </w:rPr>
              <w:fldChar w:fldCharType="end"/>
            </w:r>
            <w:r>
              <w:rPr>
                <w:rFonts w:eastAsia="宋体"/>
                <w:color w:val="auto"/>
                <w:sz w:val="24"/>
                <w:lang w:eastAsia="zh-CN" w:bidi="ar-SA"/>
              </w:rPr>
              <w:t>中得</w:t>
            </w:r>
            <w:r>
              <w:rPr>
                <w:rFonts w:hint="eastAsia" w:eastAsia="宋体"/>
                <w:color w:val="auto"/>
                <w:sz w:val="24"/>
                <w:lang w:eastAsia="zh-CN" w:bidi="ar-SA"/>
              </w:rPr>
              <w:t>2</w:t>
            </w:r>
            <w:r>
              <w:rPr>
                <w:rFonts w:eastAsia="宋体"/>
                <w:color w:val="auto"/>
                <w:sz w:val="24"/>
                <w:lang w:eastAsia="zh-CN" w:bidi="ar-SA"/>
              </w:rPr>
              <w:t>分</w:t>
            </w:r>
          </w:p>
          <w:p>
            <w:pPr>
              <w:widowControl/>
              <w:spacing w:line="360" w:lineRule="exact"/>
              <w:ind w:firstLine="0" w:firstLineChars="0"/>
              <w:textAlignment w:val="center"/>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4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④</w:t>
            </w:r>
            <w:r>
              <w:rPr>
                <w:rFonts w:eastAsia="宋体"/>
                <w:color w:val="auto"/>
                <w:sz w:val="24"/>
                <w:lang w:eastAsia="zh-CN" w:bidi="ar-SA"/>
              </w:rPr>
              <w:fldChar w:fldCharType="end"/>
            </w:r>
            <w:r>
              <w:rPr>
                <w:rFonts w:eastAsia="宋体"/>
                <w:color w:val="auto"/>
                <w:sz w:val="24"/>
                <w:lang w:eastAsia="zh-CN" w:bidi="ar-SA"/>
              </w:rPr>
              <w:t>差不得分</w:t>
            </w:r>
          </w:p>
        </w:tc>
        <w:tc>
          <w:tcPr>
            <w:tcW w:w="3881" w:type="dxa"/>
            <w:shd w:val="clear" w:color="auto" w:fill="auto"/>
            <w:vAlign w:val="center"/>
          </w:tcPr>
          <w:p>
            <w:pPr>
              <w:widowControl/>
              <w:spacing w:line="360" w:lineRule="exact"/>
              <w:ind w:firstLine="0" w:firstLineChars="0"/>
              <w:jc w:val="left"/>
              <w:textAlignment w:val="center"/>
              <w:rPr>
                <w:rFonts w:eastAsia="宋体"/>
                <w:sz w:val="24"/>
                <w:lang w:eastAsia="zh-CN" w:bidi="ar-SA"/>
              </w:rPr>
            </w:pPr>
            <w:r>
              <w:rPr>
                <w:rFonts w:hint="eastAsia" w:eastAsia="宋体"/>
                <w:sz w:val="24"/>
                <w:lang w:eastAsia="zh-CN" w:bidi="ar-SA"/>
              </w:rPr>
              <w:t>为学生提供标准化生活设施，确保每位学生享有平等住宿条件，助力区域教育均衡发展，体现教育资源公平分配</w:t>
            </w:r>
            <w:r>
              <w:rPr>
                <w:rFonts w:hint="eastAsia" w:eastAsia="宋体"/>
                <w:sz w:val="24"/>
                <w:lang w:eastAsia="zh-CN" w:bidi="ar"/>
              </w:rPr>
              <w:t>。</w:t>
            </w:r>
            <w:r>
              <w:rPr>
                <w:rFonts w:eastAsia="宋体"/>
                <w:sz w:val="24"/>
                <w:lang w:eastAsia="zh-CN" w:bidi="ar"/>
              </w:rPr>
              <w:t>根据评分标准，该指标</w:t>
            </w:r>
            <w:r>
              <w:rPr>
                <w:rFonts w:hint="eastAsia" w:eastAsia="宋体"/>
                <w:sz w:val="24"/>
                <w:lang w:eastAsia="zh-CN" w:bidi="ar"/>
              </w:rPr>
              <w:t>评定为</w:t>
            </w:r>
            <w:r>
              <w:rPr>
                <w:rFonts w:hint="eastAsia" w:eastAsia="宋体"/>
                <w:sz w:val="24"/>
                <w:lang w:val="en-US" w:eastAsia="zh-CN" w:bidi="ar"/>
              </w:rPr>
              <w:t>优</w:t>
            </w:r>
            <w:r>
              <w:rPr>
                <w:rFonts w:hint="eastAsia" w:eastAsia="宋体"/>
                <w:sz w:val="24"/>
                <w:lang w:eastAsia="zh-CN" w:bidi="ar"/>
              </w:rPr>
              <w:t>，得</w:t>
            </w:r>
            <w:r>
              <w:rPr>
                <w:rFonts w:hint="eastAsia" w:eastAsia="宋体"/>
                <w:sz w:val="24"/>
                <w:lang w:val="en-US" w:eastAsia="zh-CN" w:bidi="ar"/>
              </w:rPr>
              <w:t>4</w:t>
            </w:r>
            <w:r>
              <w:rPr>
                <w:rFonts w:hint="eastAsia" w:eastAsia="宋体"/>
                <w:sz w:val="24"/>
                <w:lang w:eastAsia="zh-CN" w:bidi="ar"/>
              </w:rPr>
              <w:t>.00</w:t>
            </w:r>
            <w:r>
              <w:rPr>
                <w:rFonts w:eastAsia="宋体"/>
                <w:sz w:val="24"/>
                <w:lang w:eastAsia="zh-CN" w:bidi="ar"/>
              </w:rPr>
              <w:t>分。</w:t>
            </w:r>
          </w:p>
        </w:tc>
        <w:tc>
          <w:tcPr>
            <w:tcW w:w="818"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color w:val="auto"/>
                <w:sz w:val="24"/>
                <w:lang w:val="en-US" w:eastAsia="zh-CN" w:bidi="ar-SA"/>
              </w:rPr>
              <w:t>4</w:t>
            </w:r>
          </w:p>
        </w:tc>
        <w:tc>
          <w:tcPr>
            <w:tcW w:w="1106"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100</w:t>
            </w:r>
            <w:r>
              <w:rPr>
                <w:rFonts w:eastAsia="宋体"/>
                <w:sz w:val="24"/>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Merge w:val="continue"/>
            <w:vAlign w:val="center"/>
          </w:tcPr>
          <w:p>
            <w:pPr>
              <w:widowControl/>
              <w:spacing w:line="360" w:lineRule="exact"/>
              <w:ind w:firstLine="0" w:firstLineChars="0"/>
              <w:jc w:val="center"/>
              <w:rPr>
                <w:rFonts w:eastAsia="宋体"/>
                <w:sz w:val="24"/>
                <w:lang w:eastAsia="zh-CN" w:bidi="ar-SA"/>
              </w:rPr>
            </w:pPr>
          </w:p>
        </w:tc>
        <w:tc>
          <w:tcPr>
            <w:tcW w:w="891" w:type="dxa"/>
            <w:vMerge w:val="restart"/>
            <w:shd w:val="clear" w:color="auto" w:fill="auto"/>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D2经济效益（</w:t>
            </w:r>
            <w:r>
              <w:rPr>
                <w:rFonts w:hint="eastAsia" w:eastAsia="宋体"/>
                <w:sz w:val="24"/>
                <w:lang w:eastAsia="zh-CN" w:bidi="ar"/>
              </w:rPr>
              <w:t>8</w:t>
            </w:r>
            <w:r>
              <w:rPr>
                <w:rFonts w:eastAsia="宋体"/>
                <w:sz w:val="24"/>
                <w:lang w:eastAsia="zh-CN" w:bidi="ar"/>
              </w:rPr>
              <w:t>分）</w:t>
            </w:r>
          </w:p>
        </w:tc>
        <w:tc>
          <w:tcPr>
            <w:tcW w:w="895" w:type="dxa"/>
            <w:shd w:val="clear" w:color="000000" w:fill="FFFFFF"/>
            <w:vAlign w:val="center"/>
          </w:tcPr>
          <w:p>
            <w:pPr>
              <w:widowControl/>
              <w:spacing w:line="360" w:lineRule="exact"/>
              <w:ind w:firstLine="0" w:firstLineChars="0"/>
              <w:jc w:val="center"/>
              <w:textAlignment w:val="center"/>
              <w:rPr>
                <w:rFonts w:eastAsia="宋体"/>
                <w:sz w:val="24"/>
                <w:lang w:eastAsia="zh-CN" w:bidi="ar"/>
              </w:rPr>
            </w:pPr>
            <w:r>
              <w:rPr>
                <w:rFonts w:hint="eastAsia" w:eastAsia="宋体"/>
                <w:sz w:val="24"/>
                <w:lang w:eastAsia="zh-CN" w:bidi="ar"/>
              </w:rPr>
              <w:t>D</w:t>
            </w:r>
            <w:r>
              <w:rPr>
                <w:rFonts w:eastAsia="宋体"/>
                <w:sz w:val="24"/>
                <w:lang w:eastAsia="zh-CN" w:bidi="ar"/>
              </w:rPr>
              <w:t>21</w:t>
            </w:r>
            <w:r>
              <w:rPr>
                <w:rFonts w:hint="eastAsia" w:eastAsia="宋体"/>
                <w:sz w:val="24"/>
                <w:lang w:eastAsia="zh-CN" w:bidi="ar"/>
              </w:rPr>
              <w:t>成本控制</w:t>
            </w:r>
          </w:p>
        </w:tc>
        <w:tc>
          <w:tcPr>
            <w:tcW w:w="744"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4</w:t>
            </w:r>
          </w:p>
        </w:tc>
        <w:tc>
          <w:tcPr>
            <w:tcW w:w="3054" w:type="dxa"/>
            <w:shd w:val="clear" w:color="000000" w:fill="FFFFFF"/>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hint="eastAsia" w:eastAsia="宋体"/>
                <w:sz w:val="24"/>
                <w:lang w:eastAsia="zh-CN" w:bidi="ar"/>
              </w:rPr>
              <w:t>是否有利于成本控制，避免浪费，提高财政资金利用效率。</w:t>
            </w:r>
          </w:p>
        </w:tc>
        <w:tc>
          <w:tcPr>
            <w:tcW w:w="2249" w:type="dxa"/>
            <w:shd w:val="clear" w:color="000000" w:fill="FFFFFF"/>
            <w:vAlign w:val="center"/>
          </w:tcPr>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t>综合评判，</w:t>
            </w:r>
            <w:r>
              <w:rPr>
                <w:rFonts w:hint="eastAsia" w:eastAsia="宋体"/>
                <w:sz w:val="24"/>
                <w:lang w:eastAsia="zh-CN" w:bidi="ar"/>
              </w:rPr>
              <w:t>成本控制</w:t>
            </w:r>
            <w:r>
              <w:rPr>
                <w:rFonts w:eastAsia="宋体"/>
                <w:color w:val="auto"/>
                <w:sz w:val="24"/>
                <w:lang w:eastAsia="zh-CN" w:bidi="ar-SA"/>
              </w:rPr>
              <w:t>评价结论：</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1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①</w:t>
            </w:r>
            <w:r>
              <w:rPr>
                <w:rFonts w:eastAsia="宋体"/>
                <w:color w:val="auto"/>
                <w:sz w:val="24"/>
                <w:lang w:eastAsia="zh-CN" w:bidi="ar-SA"/>
              </w:rPr>
              <w:fldChar w:fldCharType="end"/>
            </w:r>
            <w:r>
              <w:rPr>
                <w:rFonts w:eastAsia="宋体"/>
                <w:color w:val="auto"/>
                <w:sz w:val="24"/>
                <w:lang w:eastAsia="zh-CN" w:bidi="ar-SA"/>
              </w:rPr>
              <w:t>优得</w:t>
            </w:r>
            <w:r>
              <w:rPr>
                <w:rFonts w:hint="eastAsia" w:eastAsia="宋体"/>
                <w:color w:val="auto"/>
                <w:sz w:val="24"/>
                <w:lang w:eastAsia="zh-CN" w:bidi="ar-SA"/>
              </w:rPr>
              <w:t>4</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2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②</w:t>
            </w:r>
            <w:r>
              <w:rPr>
                <w:rFonts w:eastAsia="宋体"/>
                <w:color w:val="auto"/>
                <w:sz w:val="24"/>
                <w:lang w:eastAsia="zh-CN" w:bidi="ar-SA"/>
              </w:rPr>
              <w:fldChar w:fldCharType="end"/>
            </w:r>
            <w:r>
              <w:rPr>
                <w:rFonts w:eastAsia="宋体"/>
                <w:color w:val="auto"/>
                <w:sz w:val="24"/>
                <w:lang w:eastAsia="zh-CN" w:bidi="ar-SA"/>
              </w:rPr>
              <w:t>良得</w:t>
            </w:r>
            <w:r>
              <w:rPr>
                <w:rFonts w:hint="eastAsia" w:eastAsia="宋体"/>
                <w:color w:val="auto"/>
                <w:sz w:val="24"/>
                <w:lang w:eastAsia="zh-CN" w:bidi="ar-SA"/>
              </w:rPr>
              <w:t>3</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3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③</w:t>
            </w:r>
            <w:r>
              <w:rPr>
                <w:rFonts w:eastAsia="宋体"/>
                <w:color w:val="auto"/>
                <w:sz w:val="24"/>
                <w:lang w:eastAsia="zh-CN" w:bidi="ar-SA"/>
              </w:rPr>
              <w:fldChar w:fldCharType="end"/>
            </w:r>
            <w:r>
              <w:rPr>
                <w:rFonts w:eastAsia="宋体"/>
                <w:color w:val="auto"/>
                <w:sz w:val="24"/>
                <w:lang w:eastAsia="zh-CN" w:bidi="ar-SA"/>
              </w:rPr>
              <w:t>中得</w:t>
            </w:r>
            <w:r>
              <w:rPr>
                <w:rFonts w:hint="eastAsia" w:eastAsia="宋体"/>
                <w:color w:val="auto"/>
                <w:sz w:val="24"/>
                <w:lang w:eastAsia="zh-CN" w:bidi="ar-SA"/>
              </w:rPr>
              <w:t>2</w:t>
            </w:r>
            <w:r>
              <w:rPr>
                <w:rFonts w:eastAsia="宋体"/>
                <w:color w:val="auto"/>
                <w:sz w:val="24"/>
                <w:lang w:eastAsia="zh-CN" w:bidi="ar-SA"/>
              </w:rPr>
              <w:t>分</w:t>
            </w:r>
          </w:p>
          <w:p>
            <w:pPr>
              <w:widowControl/>
              <w:spacing w:line="360" w:lineRule="exact"/>
              <w:ind w:firstLine="0" w:firstLineChars="0"/>
              <w:textAlignment w:val="center"/>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4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④</w:t>
            </w:r>
            <w:r>
              <w:rPr>
                <w:rFonts w:eastAsia="宋体"/>
                <w:color w:val="auto"/>
                <w:sz w:val="24"/>
                <w:lang w:eastAsia="zh-CN" w:bidi="ar-SA"/>
              </w:rPr>
              <w:fldChar w:fldCharType="end"/>
            </w:r>
            <w:r>
              <w:rPr>
                <w:rFonts w:eastAsia="宋体"/>
                <w:color w:val="auto"/>
                <w:sz w:val="24"/>
                <w:lang w:eastAsia="zh-CN" w:bidi="ar-SA"/>
              </w:rPr>
              <w:t>差不得分</w:t>
            </w:r>
          </w:p>
        </w:tc>
        <w:tc>
          <w:tcPr>
            <w:tcW w:w="3881" w:type="dxa"/>
            <w:shd w:val="clear" w:color="auto" w:fill="auto"/>
            <w:vAlign w:val="center"/>
          </w:tcPr>
          <w:p>
            <w:pPr>
              <w:widowControl/>
              <w:spacing w:line="360" w:lineRule="exact"/>
              <w:ind w:firstLine="0" w:firstLineChars="0"/>
              <w:jc w:val="left"/>
              <w:textAlignment w:val="center"/>
              <w:rPr>
                <w:rFonts w:eastAsia="宋体"/>
                <w:sz w:val="24"/>
                <w:lang w:eastAsia="zh-CN" w:bidi="ar-SA"/>
              </w:rPr>
            </w:pPr>
            <w:r>
              <w:rPr>
                <w:rFonts w:hint="eastAsia" w:eastAsia="宋体"/>
                <w:sz w:val="24"/>
                <w:lang w:eastAsia="zh-CN" w:bidi="ar-SA"/>
              </w:rPr>
              <w:t>通过规范采购流程，在保证质量前提下控制采购成本，避免资金浪费，实现财政资金高效利用，体现预算执行率与成本节约率的良好表现</w:t>
            </w:r>
            <w:r>
              <w:rPr>
                <w:rFonts w:hint="eastAsia" w:eastAsia="宋体"/>
                <w:sz w:val="24"/>
                <w:lang w:eastAsia="zh-CN" w:bidi="ar"/>
              </w:rPr>
              <w:t>。</w:t>
            </w:r>
            <w:r>
              <w:rPr>
                <w:rFonts w:eastAsia="宋体"/>
                <w:sz w:val="24"/>
                <w:lang w:eastAsia="zh-CN" w:bidi="ar"/>
              </w:rPr>
              <w:t>根据评分标准，该指标</w:t>
            </w:r>
            <w:r>
              <w:rPr>
                <w:rFonts w:hint="eastAsia" w:eastAsia="宋体"/>
                <w:sz w:val="24"/>
                <w:lang w:eastAsia="zh-CN" w:bidi="ar"/>
              </w:rPr>
              <w:t>评定为优，得4.00</w:t>
            </w:r>
            <w:r>
              <w:rPr>
                <w:rFonts w:eastAsia="宋体"/>
                <w:sz w:val="24"/>
                <w:lang w:eastAsia="zh-CN" w:bidi="ar"/>
              </w:rPr>
              <w:t>分。</w:t>
            </w:r>
          </w:p>
        </w:tc>
        <w:tc>
          <w:tcPr>
            <w:tcW w:w="818"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color w:val="auto"/>
                <w:sz w:val="24"/>
                <w:lang w:eastAsia="zh-CN" w:bidi="ar-SA"/>
              </w:rPr>
              <w:t>4</w:t>
            </w:r>
          </w:p>
        </w:tc>
        <w:tc>
          <w:tcPr>
            <w:tcW w:w="1106"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100</w:t>
            </w:r>
            <w:r>
              <w:rPr>
                <w:rFonts w:eastAsia="宋体"/>
                <w:sz w:val="24"/>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806" w:type="dxa"/>
            <w:vMerge w:val="continue"/>
            <w:vAlign w:val="center"/>
          </w:tcPr>
          <w:p>
            <w:pPr>
              <w:widowControl/>
              <w:spacing w:line="360" w:lineRule="exact"/>
              <w:ind w:firstLine="0" w:firstLineChars="0"/>
              <w:jc w:val="center"/>
              <w:rPr>
                <w:rFonts w:eastAsia="宋体"/>
                <w:sz w:val="24"/>
                <w:lang w:eastAsia="zh-CN" w:bidi="ar-SA"/>
              </w:rPr>
            </w:pPr>
          </w:p>
        </w:tc>
        <w:tc>
          <w:tcPr>
            <w:tcW w:w="891" w:type="dxa"/>
            <w:vMerge w:val="continue"/>
            <w:shd w:val="clear" w:color="auto" w:fill="auto"/>
            <w:vAlign w:val="center"/>
          </w:tcPr>
          <w:p>
            <w:pPr>
              <w:widowControl/>
              <w:spacing w:line="360" w:lineRule="exact"/>
              <w:ind w:firstLine="0" w:firstLineChars="0"/>
              <w:jc w:val="left"/>
              <w:textAlignment w:val="center"/>
              <w:rPr>
                <w:rFonts w:eastAsia="宋体"/>
                <w:sz w:val="24"/>
                <w:lang w:eastAsia="zh-CN" w:bidi="ar"/>
              </w:rPr>
            </w:pPr>
          </w:p>
        </w:tc>
        <w:tc>
          <w:tcPr>
            <w:tcW w:w="895" w:type="dxa"/>
            <w:shd w:val="clear" w:color="000000" w:fill="FFFFFF"/>
            <w:vAlign w:val="center"/>
          </w:tcPr>
          <w:p>
            <w:pPr>
              <w:widowControl/>
              <w:spacing w:line="360" w:lineRule="exact"/>
              <w:ind w:firstLine="0" w:firstLineChars="0"/>
              <w:jc w:val="center"/>
              <w:textAlignment w:val="center"/>
              <w:rPr>
                <w:rFonts w:eastAsia="宋体"/>
                <w:sz w:val="24"/>
                <w:lang w:eastAsia="zh-CN" w:bidi="ar"/>
              </w:rPr>
            </w:pPr>
            <w:r>
              <w:rPr>
                <w:rFonts w:hint="eastAsia" w:eastAsia="宋体"/>
                <w:sz w:val="24"/>
                <w:lang w:eastAsia="zh-CN" w:bidi="ar"/>
              </w:rPr>
              <w:t>D22长期使用价值</w:t>
            </w:r>
          </w:p>
        </w:tc>
        <w:tc>
          <w:tcPr>
            <w:tcW w:w="744" w:type="dxa"/>
            <w:shd w:val="clear" w:color="000000" w:fill="FFFFFF"/>
            <w:vAlign w:val="center"/>
          </w:tcPr>
          <w:p>
            <w:pPr>
              <w:widowControl/>
              <w:spacing w:line="360" w:lineRule="exact"/>
              <w:ind w:firstLine="0" w:firstLineChars="0"/>
              <w:jc w:val="center"/>
              <w:textAlignment w:val="center"/>
              <w:rPr>
                <w:rFonts w:eastAsia="宋体"/>
                <w:sz w:val="24"/>
                <w:lang w:eastAsia="zh-CN" w:bidi="ar"/>
              </w:rPr>
            </w:pPr>
            <w:r>
              <w:rPr>
                <w:rFonts w:hint="eastAsia" w:eastAsia="宋体"/>
                <w:sz w:val="24"/>
                <w:lang w:eastAsia="zh-CN" w:bidi="ar"/>
              </w:rPr>
              <w:t>4</w:t>
            </w:r>
          </w:p>
        </w:tc>
        <w:tc>
          <w:tcPr>
            <w:tcW w:w="3054" w:type="dxa"/>
            <w:shd w:val="clear" w:color="000000" w:fill="FFFFFF"/>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hint="eastAsia" w:eastAsia="宋体"/>
                <w:sz w:val="24"/>
                <w:lang w:eastAsia="zh-CN" w:bidi="ar"/>
              </w:rPr>
              <w:t>能否长期使用，降低学校投入成本。</w:t>
            </w:r>
          </w:p>
        </w:tc>
        <w:tc>
          <w:tcPr>
            <w:tcW w:w="2249" w:type="dxa"/>
            <w:shd w:val="clear" w:color="000000" w:fill="FFFFFF"/>
            <w:vAlign w:val="center"/>
          </w:tcPr>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t>综合评判，</w:t>
            </w:r>
            <w:r>
              <w:rPr>
                <w:rFonts w:hint="eastAsia" w:eastAsia="宋体"/>
                <w:sz w:val="24"/>
                <w:lang w:eastAsia="zh-CN" w:bidi="ar"/>
              </w:rPr>
              <w:t>长期使用价值</w:t>
            </w:r>
            <w:r>
              <w:rPr>
                <w:rFonts w:eastAsia="宋体"/>
                <w:color w:val="auto"/>
                <w:sz w:val="24"/>
                <w:lang w:eastAsia="zh-CN" w:bidi="ar-SA"/>
              </w:rPr>
              <w:t>评价结论：</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1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①</w:t>
            </w:r>
            <w:r>
              <w:rPr>
                <w:rFonts w:eastAsia="宋体"/>
                <w:color w:val="auto"/>
                <w:sz w:val="24"/>
                <w:lang w:eastAsia="zh-CN" w:bidi="ar-SA"/>
              </w:rPr>
              <w:fldChar w:fldCharType="end"/>
            </w:r>
            <w:r>
              <w:rPr>
                <w:rFonts w:eastAsia="宋体"/>
                <w:color w:val="auto"/>
                <w:sz w:val="24"/>
                <w:lang w:eastAsia="zh-CN" w:bidi="ar-SA"/>
              </w:rPr>
              <w:t>优得</w:t>
            </w:r>
            <w:r>
              <w:rPr>
                <w:rFonts w:hint="eastAsia" w:eastAsia="宋体"/>
                <w:color w:val="auto"/>
                <w:sz w:val="24"/>
                <w:lang w:eastAsia="zh-CN" w:bidi="ar-SA"/>
              </w:rPr>
              <w:t>4</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2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②</w:t>
            </w:r>
            <w:r>
              <w:rPr>
                <w:rFonts w:eastAsia="宋体"/>
                <w:color w:val="auto"/>
                <w:sz w:val="24"/>
                <w:lang w:eastAsia="zh-CN" w:bidi="ar-SA"/>
              </w:rPr>
              <w:fldChar w:fldCharType="end"/>
            </w:r>
            <w:r>
              <w:rPr>
                <w:rFonts w:eastAsia="宋体"/>
                <w:color w:val="auto"/>
                <w:sz w:val="24"/>
                <w:lang w:eastAsia="zh-CN" w:bidi="ar-SA"/>
              </w:rPr>
              <w:t>良得</w:t>
            </w:r>
            <w:r>
              <w:rPr>
                <w:rFonts w:hint="eastAsia" w:eastAsia="宋体"/>
                <w:color w:val="auto"/>
                <w:sz w:val="24"/>
                <w:lang w:eastAsia="zh-CN" w:bidi="ar-SA"/>
              </w:rPr>
              <w:t>3</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3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③</w:t>
            </w:r>
            <w:r>
              <w:rPr>
                <w:rFonts w:eastAsia="宋体"/>
                <w:color w:val="auto"/>
                <w:sz w:val="24"/>
                <w:lang w:eastAsia="zh-CN" w:bidi="ar-SA"/>
              </w:rPr>
              <w:fldChar w:fldCharType="end"/>
            </w:r>
            <w:r>
              <w:rPr>
                <w:rFonts w:eastAsia="宋体"/>
                <w:color w:val="auto"/>
                <w:sz w:val="24"/>
                <w:lang w:eastAsia="zh-CN" w:bidi="ar-SA"/>
              </w:rPr>
              <w:t>中得</w:t>
            </w:r>
            <w:r>
              <w:rPr>
                <w:rFonts w:hint="eastAsia" w:eastAsia="宋体"/>
                <w:color w:val="auto"/>
                <w:sz w:val="24"/>
                <w:lang w:eastAsia="zh-CN" w:bidi="ar-SA"/>
              </w:rPr>
              <w:t>2</w:t>
            </w:r>
            <w:r>
              <w:rPr>
                <w:rFonts w:eastAsia="宋体"/>
                <w:color w:val="auto"/>
                <w:sz w:val="24"/>
                <w:lang w:eastAsia="zh-CN" w:bidi="ar-SA"/>
              </w:rPr>
              <w:t>分</w:t>
            </w:r>
          </w:p>
          <w:p>
            <w:pPr>
              <w:widowControl/>
              <w:spacing w:line="360" w:lineRule="exact"/>
              <w:ind w:firstLine="0" w:firstLineChars="0"/>
              <w:textAlignment w:val="center"/>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4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④</w:t>
            </w:r>
            <w:r>
              <w:rPr>
                <w:rFonts w:eastAsia="宋体"/>
                <w:color w:val="auto"/>
                <w:sz w:val="24"/>
                <w:lang w:eastAsia="zh-CN" w:bidi="ar-SA"/>
              </w:rPr>
              <w:fldChar w:fldCharType="end"/>
            </w:r>
            <w:r>
              <w:rPr>
                <w:rFonts w:eastAsia="宋体"/>
                <w:color w:val="auto"/>
                <w:sz w:val="24"/>
                <w:lang w:eastAsia="zh-CN" w:bidi="ar-SA"/>
              </w:rPr>
              <w:t>差不得分</w:t>
            </w:r>
          </w:p>
        </w:tc>
        <w:tc>
          <w:tcPr>
            <w:tcW w:w="3881" w:type="dxa"/>
            <w:shd w:val="clear" w:color="auto" w:fill="auto"/>
            <w:vAlign w:val="center"/>
          </w:tcPr>
          <w:p>
            <w:pPr>
              <w:widowControl/>
              <w:spacing w:line="360" w:lineRule="exact"/>
              <w:ind w:firstLine="0" w:firstLineChars="0"/>
              <w:jc w:val="left"/>
              <w:textAlignment w:val="center"/>
              <w:rPr>
                <w:rFonts w:eastAsia="宋体"/>
                <w:sz w:val="24"/>
                <w:lang w:eastAsia="zh-CN" w:bidi="ar"/>
              </w:rPr>
            </w:pPr>
            <w:r>
              <w:rPr>
                <w:rFonts w:hint="eastAsia" w:eastAsia="宋体"/>
                <w:sz w:val="24"/>
                <w:lang w:eastAsia="zh-CN" w:bidi="ar-SA"/>
              </w:rPr>
              <w:t>优质的学生用床、柜子使用寿命长，减少短期内重复采购需求，降低学校后续硬件投入成本</w:t>
            </w:r>
            <w:r>
              <w:rPr>
                <w:rFonts w:hint="eastAsia" w:eastAsia="宋体"/>
                <w:sz w:val="24"/>
                <w:lang w:eastAsia="zh-CN" w:bidi="ar"/>
              </w:rPr>
              <w:t>。</w:t>
            </w:r>
            <w:r>
              <w:rPr>
                <w:rFonts w:eastAsia="宋体"/>
                <w:sz w:val="24"/>
                <w:lang w:eastAsia="zh-CN" w:bidi="ar"/>
              </w:rPr>
              <w:t>根据评分标准，该指标</w:t>
            </w:r>
            <w:r>
              <w:rPr>
                <w:rFonts w:hint="eastAsia" w:eastAsia="宋体"/>
                <w:sz w:val="24"/>
                <w:lang w:eastAsia="zh-CN" w:bidi="ar"/>
              </w:rPr>
              <w:t>评定为优，得4.00</w:t>
            </w:r>
            <w:r>
              <w:rPr>
                <w:rFonts w:eastAsia="宋体"/>
                <w:sz w:val="24"/>
                <w:lang w:eastAsia="zh-CN" w:bidi="ar"/>
              </w:rPr>
              <w:t>分。</w:t>
            </w:r>
          </w:p>
        </w:tc>
        <w:tc>
          <w:tcPr>
            <w:tcW w:w="818"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color w:val="auto"/>
                <w:sz w:val="24"/>
                <w:lang w:eastAsia="zh-CN" w:bidi="ar-SA"/>
              </w:rPr>
              <w:t>4</w:t>
            </w:r>
          </w:p>
        </w:tc>
        <w:tc>
          <w:tcPr>
            <w:tcW w:w="1106" w:type="dxa"/>
            <w:shd w:val="clear" w:color="000000" w:fill="FFFFFF"/>
            <w:vAlign w:val="center"/>
          </w:tcPr>
          <w:p>
            <w:pPr>
              <w:widowControl/>
              <w:spacing w:line="360" w:lineRule="exact"/>
              <w:ind w:firstLine="0" w:firstLineChars="0"/>
              <w:jc w:val="center"/>
              <w:textAlignment w:val="center"/>
              <w:rPr>
                <w:rFonts w:eastAsia="宋体"/>
                <w:sz w:val="24"/>
                <w:lang w:eastAsia="zh-CN" w:bidi="ar"/>
              </w:rPr>
            </w:pPr>
            <w:r>
              <w:rPr>
                <w:rFonts w:hint="eastAsia" w:eastAsia="宋体"/>
                <w:sz w:val="24"/>
                <w:lang w:eastAsia="zh-CN" w:bidi="ar"/>
              </w:rPr>
              <w:t>100</w:t>
            </w:r>
            <w:r>
              <w:rPr>
                <w:rFonts w:eastAsia="宋体"/>
                <w:sz w:val="24"/>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Merge w:val="continue"/>
            <w:vAlign w:val="center"/>
          </w:tcPr>
          <w:p>
            <w:pPr>
              <w:widowControl/>
              <w:spacing w:line="360" w:lineRule="exact"/>
              <w:ind w:firstLine="0" w:firstLineChars="0"/>
              <w:jc w:val="center"/>
              <w:rPr>
                <w:rFonts w:eastAsia="宋体"/>
                <w:sz w:val="24"/>
                <w:lang w:eastAsia="zh-CN" w:bidi="ar-SA"/>
              </w:rPr>
            </w:pPr>
          </w:p>
        </w:tc>
        <w:tc>
          <w:tcPr>
            <w:tcW w:w="891" w:type="dxa"/>
            <w:vMerge w:val="restart"/>
            <w:shd w:val="clear" w:color="auto" w:fill="auto"/>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D3</w:t>
            </w:r>
            <w:r>
              <w:rPr>
                <w:rFonts w:hint="eastAsia" w:eastAsia="宋体"/>
                <w:sz w:val="24"/>
                <w:lang w:eastAsia="zh-CN" w:bidi="ar"/>
              </w:rPr>
              <w:t>教育效益</w:t>
            </w:r>
            <w:r>
              <w:rPr>
                <w:rFonts w:eastAsia="宋体"/>
                <w:sz w:val="24"/>
                <w:lang w:eastAsia="zh-CN" w:bidi="ar"/>
              </w:rPr>
              <w:t>（</w:t>
            </w:r>
            <w:r>
              <w:rPr>
                <w:rFonts w:hint="eastAsia" w:eastAsia="宋体"/>
                <w:sz w:val="24"/>
                <w:lang w:eastAsia="zh-CN" w:bidi="ar"/>
              </w:rPr>
              <w:t>8</w:t>
            </w:r>
            <w:r>
              <w:rPr>
                <w:rFonts w:eastAsia="宋体"/>
                <w:sz w:val="24"/>
                <w:lang w:eastAsia="zh-CN" w:bidi="ar"/>
              </w:rPr>
              <w:t>分）</w:t>
            </w:r>
          </w:p>
        </w:tc>
        <w:tc>
          <w:tcPr>
            <w:tcW w:w="895"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D31</w:t>
            </w:r>
            <w:r>
              <w:rPr>
                <w:rFonts w:hint="eastAsia" w:eastAsia="宋体"/>
                <w:sz w:val="24"/>
                <w:lang w:eastAsia="zh-CN" w:bidi="ar-SA"/>
              </w:rPr>
              <w:t>提升生活质量</w:t>
            </w:r>
          </w:p>
        </w:tc>
        <w:tc>
          <w:tcPr>
            <w:tcW w:w="744"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4</w:t>
            </w:r>
          </w:p>
        </w:tc>
        <w:tc>
          <w:tcPr>
            <w:tcW w:w="3054" w:type="dxa"/>
            <w:shd w:val="clear" w:color="000000" w:fill="FFFFFF"/>
            <w:vAlign w:val="center"/>
          </w:tcPr>
          <w:p>
            <w:pPr>
              <w:widowControl/>
              <w:spacing w:line="360" w:lineRule="exact"/>
              <w:ind w:firstLine="0" w:firstLineChars="0"/>
              <w:textAlignment w:val="center"/>
              <w:rPr>
                <w:rFonts w:eastAsia="宋体"/>
                <w:sz w:val="24"/>
                <w:lang w:eastAsia="zh-CN" w:bidi="ar"/>
              </w:rPr>
            </w:pPr>
            <w:r>
              <w:rPr>
                <w:rFonts w:eastAsia="宋体"/>
                <w:sz w:val="24"/>
                <w:lang w:eastAsia="zh-CN" w:bidi="ar"/>
              </w:rPr>
              <w:t>评价要点：</w:t>
            </w:r>
          </w:p>
          <w:p>
            <w:pPr>
              <w:widowControl/>
              <w:spacing w:line="360" w:lineRule="exact"/>
              <w:ind w:firstLine="0" w:firstLineChars="0"/>
              <w:textAlignment w:val="center"/>
              <w:rPr>
                <w:rFonts w:eastAsia="宋体"/>
                <w:sz w:val="24"/>
                <w:highlight w:val="yellow"/>
                <w:lang w:eastAsia="zh-CN" w:bidi="ar-SA"/>
              </w:rPr>
            </w:pPr>
            <w:r>
              <w:rPr>
                <w:rFonts w:hint="eastAsia" w:eastAsia="宋体"/>
                <w:sz w:val="24"/>
                <w:lang w:eastAsia="zh-CN" w:bidi="ar"/>
              </w:rPr>
              <w:t>是否有利于改善学生住宿体验，提升学生学习效率</w:t>
            </w:r>
            <w:r>
              <w:rPr>
                <w:rFonts w:eastAsia="宋体"/>
                <w:sz w:val="24"/>
                <w:lang w:eastAsia="zh-CN" w:bidi="ar"/>
              </w:rPr>
              <w:t>。</w:t>
            </w:r>
          </w:p>
        </w:tc>
        <w:tc>
          <w:tcPr>
            <w:tcW w:w="2249" w:type="dxa"/>
            <w:shd w:val="clear" w:color="000000" w:fill="FFFFFF"/>
            <w:vAlign w:val="center"/>
          </w:tcPr>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t>综合评判，</w:t>
            </w:r>
            <w:r>
              <w:rPr>
                <w:rFonts w:hint="eastAsia" w:eastAsia="宋体"/>
                <w:sz w:val="24"/>
                <w:lang w:eastAsia="zh-CN" w:bidi="ar-SA"/>
              </w:rPr>
              <w:t>提升生活质量</w:t>
            </w:r>
            <w:r>
              <w:rPr>
                <w:rFonts w:eastAsia="宋体"/>
                <w:color w:val="auto"/>
                <w:sz w:val="24"/>
                <w:lang w:eastAsia="zh-CN" w:bidi="ar-SA"/>
              </w:rPr>
              <w:t>评价结论：</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1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①</w:t>
            </w:r>
            <w:r>
              <w:rPr>
                <w:rFonts w:eastAsia="宋体"/>
                <w:color w:val="auto"/>
                <w:sz w:val="24"/>
                <w:lang w:eastAsia="zh-CN" w:bidi="ar-SA"/>
              </w:rPr>
              <w:fldChar w:fldCharType="end"/>
            </w:r>
            <w:r>
              <w:rPr>
                <w:rFonts w:eastAsia="宋体"/>
                <w:color w:val="auto"/>
                <w:sz w:val="24"/>
                <w:lang w:eastAsia="zh-CN" w:bidi="ar-SA"/>
              </w:rPr>
              <w:t>优得</w:t>
            </w:r>
            <w:r>
              <w:rPr>
                <w:rFonts w:hint="eastAsia" w:eastAsia="宋体"/>
                <w:color w:val="auto"/>
                <w:sz w:val="24"/>
                <w:lang w:eastAsia="zh-CN" w:bidi="ar-SA"/>
              </w:rPr>
              <w:t>4</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2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②</w:t>
            </w:r>
            <w:r>
              <w:rPr>
                <w:rFonts w:eastAsia="宋体"/>
                <w:color w:val="auto"/>
                <w:sz w:val="24"/>
                <w:lang w:eastAsia="zh-CN" w:bidi="ar-SA"/>
              </w:rPr>
              <w:fldChar w:fldCharType="end"/>
            </w:r>
            <w:r>
              <w:rPr>
                <w:rFonts w:eastAsia="宋体"/>
                <w:color w:val="auto"/>
                <w:sz w:val="24"/>
                <w:lang w:eastAsia="zh-CN" w:bidi="ar-SA"/>
              </w:rPr>
              <w:t>良得</w:t>
            </w:r>
            <w:r>
              <w:rPr>
                <w:rFonts w:hint="eastAsia" w:eastAsia="宋体"/>
                <w:color w:val="auto"/>
                <w:sz w:val="24"/>
                <w:lang w:eastAsia="zh-CN" w:bidi="ar-SA"/>
              </w:rPr>
              <w:t>3</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3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③</w:t>
            </w:r>
            <w:r>
              <w:rPr>
                <w:rFonts w:eastAsia="宋体"/>
                <w:color w:val="auto"/>
                <w:sz w:val="24"/>
                <w:lang w:eastAsia="zh-CN" w:bidi="ar-SA"/>
              </w:rPr>
              <w:fldChar w:fldCharType="end"/>
            </w:r>
            <w:r>
              <w:rPr>
                <w:rFonts w:eastAsia="宋体"/>
                <w:color w:val="auto"/>
                <w:sz w:val="24"/>
                <w:lang w:eastAsia="zh-CN" w:bidi="ar-SA"/>
              </w:rPr>
              <w:t>中得</w:t>
            </w:r>
            <w:r>
              <w:rPr>
                <w:rFonts w:hint="eastAsia" w:eastAsia="宋体"/>
                <w:color w:val="auto"/>
                <w:sz w:val="24"/>
                <w:lang w:eastAsia="zh-CN" w:bidi="ar-SA"/>
              </w:rPr>
              <w:t>2</w:t>
            </w:r>
            <w:r>
              <w:rPr>
                <w:rFonts w:eastAsia="宋体"/>
                <w:color w:val="auto"/>
                <w:sz w:val="24"/>
                <w:lang w:eastAsia="zh-CN" w:bidi="ar-SA"/>
              </w:rPr>
              <w:t>分</w:t>
            </w:r>
          </w:p>
          <w:p>
            <w:pPr>
              <w:widowControl/>
              <w:spacing w:line="360" w:lineRule="exact"/>
              <w:ind w:firstLine="0" w:firstLineChars="0"/>
              <w:textAlignment w:val="center"/>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4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④</w:t>
            </w:r>
            <w:r>
              <w:rPr>
                <w:rFonts w:eastAsia="宋体"/>
                <w:color w:val="auto"/>
                <w:sz w:val="24"/>
                <w:lang w:eastAsia="zh-CN" w:bidi="ar-SA"/>
              </w:rPr>
              <w:fldChar w:fldCharType="end"/>
            </w:r>
            <w:r>
              <w:rPr>
                <w:rFonts w:eastAsia="宋体"/>
                <w:color w:val="auto"/>
                <w:sz w:val="24"/>
                <w:lang w:eastAsia="zh-CN" w:bidi="ar-SA"/>
              </w:rPr>
              <w:t>差不得分</w:t>
            </w:r>
          </w:p>
        </w:tc>
        <w:tc>
          <w:tcPr>
            <w:tcW w:w="3881" w:type="dxa"/>
            <w:shd w:val="clear" w:color="000000" w:fill="FFFFFF"/>
            <w:vAlign w:val="center"/>
          </w:tcPr>
          <w:p>
            <w:pPr>
              <w:widowControl/>
              <w:spacing w:line="360" w:lineRule="exact"/>
              <w:ind w:firstLine="0" w:firstLineChars="0"/>
              <w:textAlignment w:val="center"/>
              <w:rPr>
                <w:rFonts w:eastAsia="宋体"/>
                <w:sz w:val="24"/>
                <w:lang w:eastAsia="zh-CN" w:bidi="ar"/>
              </w:rPr>
            </w:pPr>
            <w:r>
              <w:rPr>
                <w:rFonts w:hint="eastAsia" w:eastAsia="宋体"/>
                <w:sz w:val="24"/>
                <w:lang w:eastAsia="zh-CN" w:bidi="ar-SA"/>
              </w:rPr>
              <w:t>舒适、实用的床铺与储物空间，满足学生日常休息、物品收纳需求，改善住宿体验，缓解学习压力，间接提升学习效率。</w:t>
            </w:r>
            <w:r>
              <w:rPr>
                <w:rFonts w:eastAsia="宋体"/>
                <w:sz w:val="24"/>
                <w:lang w:eastAsia="zh-CN" w:bidi="ar"/>
              </w:rPr>
              <w:t>根据评分标准，该指标</w:t>
            </w:r>
            <w:r>
              <w:rPr>
                <w:rFonts w:hint="eastAsia" w:eastAsia="宋体"/>
                <w:sz w:val="24"/>
                <w:lang w:eastAsia="zh-CN" w:bidi="ar"/>
              </w:rPr>
              <w:t>评定为</w:t>
            </w:r>
            <w:r>
              <w:rPr>
                <w:rFonts w:hint="eastAsia" w:eastAsia="宋体"/>
                <w:sz w:val="24"/>
                <w:lang w:val="en-US" w:eastAsia="zh-CN" w:bidi="ar"/>
              </w:rPr>
              <w:t>良</w:t>
            </w:r>
            <w:r>
              <w:rPr>
                <w:rFonts w:hint="eastAsia" w:eastAsia="宋体"/>
                <w:sz w:val="24"/>
                <w:lang w:eastAsia="zh-CN" w:bidi="ar"/>
              </w:rPr>
              <w:t>，得</w:t>
            </w:r>
            <w:r>
              <w:rPr>
                <w:rFonts w:hint="eastAsia" w:eastAsia="宋体"/>
                <w:sz w:val="24"/>
                <w:lang w:val="en-US" w:eastAsia="zh-CN" w:bidi="ar"/>
              </w:rPr>
              <w:t>3</w:t>
            </w:r>
            <w:r>
              <w:rPr>
                <w:rFonts w:hint="eastAsia" w:eastAsia="宋体"/>
                <w:sz w:val="24"/>
                <w:lang w:eastAsia="zh-CN" w:bidi="ar"/>
              </w:rPr>
              <w:t>.00</w:t>
            </w:r>
            <w:r>
              <w:rPr>
                <w:rFonts w:eastAsia="宋体"/>
                <w:sz w:val="24"/>
                <w:lang w:eastAsia="zh-CN" w:bidi="ar"/>
              </w:rPr>
              <w:t>分。</w:t>
            </w:r>
          </w:p>
        </w:tc>
        <w:tc>
          <w:tcPr>
            <w:tcW w:w="818"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color w:val="auto"/>
                <w:sz w:val="24"/>
                <w:lang w:val="en-US" w:eastAsia="zh-CN" w:bidi="ar-SA"/>
              </w:rPr>
              <w:t>3</w:t>
            </w:r>
          </w:p>
        </w:tc>
        <w:tc>
          <w:tcPr>
            <w:tcW w:w="1106" w:type="dxa"/>
            <w:shd w:val="clear" w:color="000000" w:fill="FFFFFF"/>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75</w:t>
            </w:r>
            <w:r>
              <w:rPr>
                <w:rFonts w:eastAsia="宋体"/>
                <w:sz w:val="24"/>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Merge w:val="continue"/>
            <w:vAlign w:val="center"/>
          </w:tcPr>
          <w:p>
            <w:pPr>
              <w:widowControl/>
              <w:spacing w:line="360" w:lineRule="exact"/>
              <w:ind w:firstLine="0" w:firstLineChars="0"/>
              <w:jc w:val="center"/>
              <w:rPr>
                <w:rFonts w:eastAsia="宋体"/>
                <w:sz w:val="24"/>
                <w:lang w:eastAsia="zh-CN" w:bidi="ar-SA"/>
              </w:rPr>
            </w:pPr>
          </w:p>
        </w:tc>
        <w:tc>
          <w:tcPr>
            <w:tcW w:w="891" w:type="dxa"/>
            <w:vMerge w:val="continue"/>
            <w:shd w:val="clear" w:color="auto" w:fill="auto"/>
            <w:vAlign w:val="center"/>
          </w:tcPr>
          <w:p>
            <w:pPr>
              <w:widowControl/>
              <w:spacing w:line="360" w:lineRule="exact"/>
              <w:ind w:firstLine="0" w:firstLineChars="0"/>
              <w:jc w:val="center"/>
              <w:textAlignment w:val="center"/>
              <w:rPr>
                <w:rFonts w:eastAsia="宋体"/>
                <w:sz w:val="24"/>
                <w:lang w:eastAsia="zh-CN" w:bidi="ar"/>
              </w:rPr>
            </w:pPr>
          </w:p>
        </w:tc>
        <w:tc>
          <w:tcPr>
            <w:tcW w:w="895" w:type="dxa"/>
            <w:shd w:val="clear" w:color="000000" w:fill="FFFFFF"/>
            <w:vAlign w:val="center"/>
          </w:tcPr>
          <w:p>
            <w:pPr>
              <w:widowControl/>
              <w:spacing w:line="360" w:lineRule="exact"/>
              <w:ind w:firstLine="0" w:firstLineChars="0"/>
              <w:jc w:val="center"/>
              <w:textAlignment w:val="center"/>
              <w:rPr>
                <w:rFonts w:eastAsia="宋体"/>
                <w:sz w:val="24"/>
                <w:lang w:eastAsia="zh-CN" w:bidi="ar"/>
              </w:rPr>
            </w:pPr>
            <w:r>
              <w:rPr>
                <w:rFonts w:hint="eastAsia" w:eastAsia="宋体"/>
                <w:sz w:val="24"/>
                <w:lang w:eastAsia="zh-CN" w:bidi="ar"/>
              </w:rPr>
              <w:t>D32</w:t>
            </w:r>
            <w:r>
              <w:rPr>
                <w:rFonts w:hint="eastAsia" w:eastAsia="宋体"/>
                <w:sz w:val="24"/>
                <w:lang w:eastAsia="zh-CN" w:bidi="ar-SA"/>
              </w:rPr>
              <w:t>保障学生安全</w:t>
            </w:r>
          </w:p>
        </w:tc>
        <w:tc>
          <w:tcPr>
            <w:tcW w:w="744" w:type="dxa"/>
            <w:shd w:val="clear" w:color="000000" w:fill="FFFFFF"/>
            <w:vAlign w:val="center"/>
          </w:tcPr>
          <w:p>
            <w:pPr>
              <w:widowControl/>
              <w:spacing w:line="360" w:lineRule="exact"/>
              <w:ind w:firstLine="0" w:firstLineChars="0"/>
              <w:jc w:val="center"/>
              <w:textAlignment w:val="center"/>
              <w:rPr>
                <w:rFonts w:eastAsia="宋体"/>
                <w:sz w:val="24"/>
                <w:lang w:eastAsia="zh-CN" w:bidi="ar"/>
              </w:rPr>
            </w:pPr>
            <w:r>
              <w:rPr>
                <w:rFonts w:hint="eastAsia" w:eastAsia="宋体"/>
                <w:sz w:val="24"/>
                <w:lang w:eastAsia="zh-CN" w:bidi="ar"/>
              </w:rPr>
              <w:t>4</w:t>
            </w:r>
          </w:p>
        </w:tc>
        <w:tc>
          <w:tcPr>
            <w:tcW w:w="3054" w:type="dxa"/>
            <w:shd w:val="clear" w:color="000000" w:fill="FFFFFF"/>
            <w:vAlign w:val="center"/>
          </w:tcPr>
          <w:p>
            <w:pPr>
              <w:widowControl/>
              <w:spacing w:line="360" w:lineRule="exact"/>
              <w:ind w:firstLine="0" w:firstLineChars="0"/>
              <w:textAlignment w:val="center"/>
              <w:rPr>
                <w:rFonts w:eastAsia="宋体"/>
                <w:sz w:val="24"/>
                <w:lang w:eastAsia="zh-CN" w:bidi="ar"/>
              </w:rPr>
            </w:pPr>
            <w:r>
              <w:rPr>
                <w:rFonts w:eastAsia="宋体"/>
                <w:sz w:val="24"/>
                <w:lang w:eastAsia="zh-CN" w:bidi="ar"/>
              </w:rPr>
              <w:t>评价要点：</w:t>
            </w:r>
          </w:p>
          <w:p>
            <w:pPr>
              <w:widowControl/>
              <w:spacing w:line="360" w:lineRule="exact"/>
              <w:ind w:firstLine="0" w:firstLineChars="0"/>
              <w:textAlignment w:val="center"/>
              <w:rPr>
                <w:rFonts w:eastAsia="宋体"/>
                <w:sz w:val="24"/>
                <w:lang w:eastAsia="zh-CN" w:bidi="ar"/>
              </w:rPr>
            </w:pPr>
            <w:r>
              <w:rPr>
                <w:rFonts w:hint="eastAsia" w:eastAsia="宋体"/>
                <w:sz w:val="24"/>
                <w:lang w:eastAsia="zh-CN" w:bidi="ar"/>
              </w:rPr>
              <w:t>购置的宿舍家具是否符合安全标准，避免给学生带来安全隐患</w:t>
            </w:r>
            <w:r>
              <w:rPr>
                <w:rFonts w:eastAsia="宋体"/>
                <w:sz w:val="24"/>
                <w:lang w:eastAsia="zh-CN" w:bidi="ar"/>
              </w:rPr>
              <w:t>。</w:t>
            </w:r>
          </w:p>
        </w:tc>
        <w:tc>
          <w:tcPr>
            <w:tcW w:w="2249" w:type="dxa"/>
            <w:shd w:val="clear" w:color="000000" w:fill="FFFFFF"/>
            <w:vAlign w:val="center"/>
          </w:tcPr>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t>综合评判，</w:t>
            </w:r>
            <w:r>
              <w:rPr>
                <w:rFonts w:hint="eastAsia" w:eastAsia="宋体"/>
                <w:sz w:val="24"/>
                <w:lang w:eastAsia="zh-CN" w:bidi="ar-SA"/>
              </w:rPr>
              <w:t>保障学生安全</w:t>
            </w:r>
            <w:r>
              <w:rPr>
                <w:rFonts w:eastAsia="宋体"/>
                <w:color w:val="auto"/>
                <w:sz w:val="24"/>
                <w:lang w:eastAsia="zh-CN" w:bidi="ar-SA"/>
              </w:rPr>
              <w:t>评价结论：</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1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①</w:t>
            </w:r>
            <w:r>
              <w:rPr>
                <w:rFonts w:eastAsia="宋体"/>
                <w:color w:val="auto"/>
                <w:sz w:val="24"/>
                <w:lang w:eastAsia="zh-CN" w:bidi="ar-SA"/>
              </w:rPr>
              <w:fldChar w:fldCharType="end"/>
            </w:r>
            <w:r>
              <w:rPr>
                <w:rFonts w:eastAsia="宋体"/>
                <w:color w:val="auto"/>
                <w:sz w:val="24"/>
                <w:lang w:eastAsia="zh-CN" w:bidi="ar-SA"/>
              </w:rPr>
              <w:t>优得</w:t>
            </w:r>
            <w:r>
              <w:rPr>
                <w:rFonts w:hint="eastAsia" w:eastAsia="宋体"/>
                <w:color w:val="auto"/>
                <w:sz w:val="24"/>
                <w:lang w:eastAsia="zh-CN" w:bidi="ar-SA"/>
              </w:rPr>
              <w:t>4</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2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②</w:t>
            </w:r>
            <w:r>
              <w:rPr>
                <w:rFonts w:eastAsia="宋体"/>
                <w:color w:val="auto"/>
                <w:sz w:val="24"/>
                <w:lang w:eastAsia="zh-CN" w:bidi="ar-SA"/>
              </w:rPr>
              <w:fldChar w:fldCharType="end"/>
            </w:r>
            <w:r>
              <w:rPr>
                <w:rFonts w:eastAsia="宋体"/>
                <w:color w:val="auto"/>
                <w:sz w:val="24"/>
                <w:lang w:eastAsia="zh-CN" w:bidi="ar-SA"/>
              </w:rPr>
              <w:t>良得</w:t>
            </w:r>
            <w:r>
              <w:rPr>
                <w:rFonts w:hint="eastAsia" w:eastAsia="宋体"/>
                <w:color w:val="auto"/>
                <w:sz w:val="24"/>
                <w:lang w:eastAsia="zh-CN" w:bidi="ar-SA"/>
              </w:rPr>
              <w:t>3</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3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③</w:t>
            </w:r>
            <w:r>
              <w:rPr>
                <w:rFonts w:eastAsia="宋体"/>
                <w:color w:val="auto"/>
                <w:sz w:val="24"/>
                <w:lang w:eastAsia="zh-CN" w:bidi="ar-SA"/>
              </w:rPr>
              <w:fldChar w:fldCharType="end"/>
            </w:r>
            <w:r>
              <w:rPr>
                <w:rFonts w:eastAsia="宋体"/>
                <w:color w:val="auto"/>
                <w:sz w:val="24"/>
                <w:lang w:eastAsia="zh-CN" w:bidi="ar-SA"/>
              </w:rPr>
              <w:t>中得</w:t>
            </w:r>
            <w:r>
              <w:rPr>
                <w:rFonts w:hint="eastAsia" w:eastAsia="宋体"/>
                <w:color w:val="auto"/>
                <w:sz w:val="24"/>
                <w:lang w:eastAsia="zh-CN" w:bidi="ar-SA"/>
              </w:rPr>
              <w:t>2</w:t>
            </w:r>
            <w:r>
              <w:rPr>
                <w:rFonts w:eastAsia="宋体"/>
                <w:color w:val="auto"/>
                <w:sz w:val="24"/>
                <w:lang w:eastAsia="zh-CN" w:bidi="ar-SA"/>
              </w:rPr>
              <w:t>分</w:t>
            </w:r>
          </w:p>
          <w:p>
            <w:pPr>
              <w:widowControl/>
              <w:spacing w:line="360" w:lineRule="exact"/>
              <w:ind w:firstLine="0" w:firstLineChars="0"/>
              <w:textAlignment w:val="center"/>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4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④</w:t>
            </w:r>
            <w:r>
              <w:rPr>
                <w:rFonts w:eastAsia="宋体"/>
                <w:color w:val="auto"/>
                <w:sz w:val="24"/>
                <w:lang w:eastAsia="zh-CN" w:bidi="ar-SA"/>
              </w:rPr>
              <w:fldChar w:fldCharType="end"/>
            </w:r>
            <w:r>
              <w:rPr>
                <w:rFonts w:eastAsia="宋体"/>
                <w:color w:val="auto"/>
                <w:sz w:val="24"/>
                <w:lang w:eastAsia="zh-CN" w:bidi="ar-SA"/>
              </w:rPr>
              <w:t>差不得分</w:t>
            </w:r>
          </w:p>
        </w:tc>
        <w:tc>
          <w:tcPr>
            <w:tcW w:w="3881" w:type="dxa"/>
            <w:shd w:val="clear" w:color="000000" w:fill="FFFFFF"/>
            <w:vAlign w:val="center"/>
          </w:tcPr>
          <w:p>
            <w:pPr>
              <w:widowControl/>
              <w:spacing w:line="360" w:lineRule="exact"/>
              <w:ind w:firstLine="0" w:firstLineChars="0"/>
              <w:jc w:val="left"/>
              <w:textAlignment w:val="center"/>
              <w:rPr>
                <w:rFonts w:eastAsia="宋体"/>
                <w:sz w:val="24"/>
                <w:lang w:eastAsia="zh-CN" w:bidi="ar"/>
              </w:rPr>
            </w:pPr>
            <w:r>
              <w:rPr>
                <w:rFonts w:hint="eastAsia" w:eastAsia="宋体"/>
                <w:sz w:val="24"/>
                <w:lang w:eastAsia="zh-CN" w:bidi="ar-SA"/>
              </w:rPr>
              <w:t>符合安全标准的家具，避免因劣质材料、不稳定结构带来的安全隐患（如床体坍塌、甲醛超标），为学生人身安全保驾护航。</w:t>
            </w:r>
            <w:r>
              <w:rPr>
                <w:rFonts w:eastAsia="宋体"/>
                <w:sz w:val="24"/>
                <w:lang w:eastAsia="zh-CN" w:bidi="ar"/>
              </w:rPr>
              <w:t>根据评分标准，该指标</w:t>
            </w:r>
            <w:r>
              <w:rPr>
                <w:rFonts w:hint="eastAsia" w:eastAsia="宋体"/>
                <w:sz w:val="24"/>
                <w:lang w:eastAsia="zh-CN" w:bidi="ar"/>
              </w:rPr>
              <w:t>评定为</w:t>
            </w:r>
            <w:r>
              <w:rPr>
                <w:rFonts w:hint="eastAsia" w:eastAsia="宋体"/>
                <w:sz w:val="24"/>
                <w:lang w:val="en-US" w:eastAsia="zh-CN" w:bidi="ar"/>
              </w:rPr>
              <w:t>优</w:t>
            </w:r>
            <w:r>
              <w:rPr>
                <w:rFonts w:hint="eastAsia" w:eastAsia="宋体"/>
                <w:sz w:val="24"/>
                <w:lang w:eastAsia="zh-CN" w:bidi="ar"/>
              </w:rPr>
              <w:t>，得</w:t>
            </w:r>
            <w:r>
              <w:rPr>
                <w:rFonts w:hint="eastAsia" w:eastAsia="宋体"/>
                <w:sz w:val="24"/>
                <w:lang w:val="en-US" w:eastAsia="zh-CN" w:bidi="ar"/>
              </w:rPr>
              <w:t>4</w:t>
            </w:r>
            <w:r>
              <w:rPr>
                <w:rFonts w:hint="eastAsia" w:eastAsia="宋体"/>
                <w:sz w:val="24"/>
                <w:lang w:eastAsia="zh-CN" w:bidi="ar"/>
              </w:rPr>
              <w:t>.00</w:t>
            </w:r>
            <w:r>
              <w:rPr>
                <w:rFonts w:eastAsia="宋体"/>
                <w:sz w:val="24"/>
                <w:lang w:eastAsia="zh-CN" w:bidi="ar"/>
              </w:rPr>
              <w:t>分。</w:t>
            </w:r>
          </w:p>
        </w:tc>
        <w:tc>
          <w:tcPr>
            <w:tcW w:w="818" w:type="dxa"/>
            <w:shd w:val="clear" w:color="000000" w:fill="FFFFFF"/>
            <w:vAlign w:val="center"/>
          </w:tcPr>
          <w:p>
            <w:pPr>
              <w:widowControl/>
              <w:spacing w:line="360" w:lineRule="exact"/>
              <w:ind w:firstLine="0" w:firstLineChars="0"/>
              <w:jc w:val="center"/>
              <w:textAlignment w:val="center"/>
              <w:rPr>
                <w:rFonts w:eastAsia="宋体"/>
                <w:sz w:val="24"/>
                <w:lang w:eastAsia="zh-CN" w:bidi="ar"/>
              </w:rPr>
            </w:pPr>
            <w:r>
              <w:rPr>
                <w:rFonts w:hint="eastAsia" w:eastAsia="宋体"/>
                <w:color w:val="auto"/>
                <w:sz w:val="24"/>
                <w:lang w:val="en-US" w:eastAsia="zh-CN" w:bidi="ar-SA"/>
              </w:rPr>
              <w:t>4</w:t>
            </w:r>
          </w:p>
        </w:tc>
        <w:tc>
          <w:tcPr>
            <w:tcW w:w="1106" w:type="dxa"/>
            <w:shd w:val="clear" w:color="000000" w:fill="FFFFFF"/>
            <w:vAlign w:val="center"/>
          </w:tcPr>
          <w:p>
            <w:pPr>
              <w:widowControl/>
              <w:spacing w:line="360" w:lineRule="exact"/>
              <w:ind w:firstLine="0" w:firstLineChars="0"/>
              <w:jc w:val="center"/>
              <w:textAlignment w:val="center"/>
              <w:rPr>
                <w:rFonts w:eastAsia="宋体"/>
                <w:sz w:val="24"/>
                <w:lang w:eastAsia="zh-CN" w:bidi="ar"/>
              </w:rPr>
            </w:pPr>
            <w:r>
              <w:rPr>
                <w:rFonts w:hint="eastAsia" w:eastAsia="宋体"/>
                <w:sz w:val="24"/>
                <w:lang w:val="en-US" w:eastAsia="zh-CN" w:bidi="ar"/>
              </w:rPr>
              <w:t>100</w:t>
            </w:r>
            <w:r>
              <w:rPr>
                <w:rFonts w:eastAsia="宋体"/>
                <w:sz w:val="24"/>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Merge w:val="continue"/>
            <w:vAlign w:val="center"/>
          </w:tcPr>
          <w:p>
            <w:pPr>
              <w:widowControl/>
              <w:spacing w:line="360" w:lineRule="exact"/>
              <w:ind w:firstLine="0" w:firstLineChars="0"/>
              <w:jc w:val="center"/>
              <w:rPr>
                <w:rFonts w:eastAsia="宋体"/>
                <w:sz w:val="24"/>
                <w:lang w:eastAsia="zh-CN" w:bidi="ar-SA"/>
              </w:rPr>
            </w:pPr>
          </w:p>
        </w:tc>
        <w:tc>
          <w:tcPr>
            <w:tcW w:w="891" w:type="dxa"/>
            <w:vMerge w:val="restart"/>
            <w:shd w:val="clear" w:color="auto" w:fill="auto"/>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D4</w:t>
            </w:r>
            <w:r>
              <w:rPr>
                <w:rFonts w:hint="eastAsia" w:eastAsia="宋体"/>
                <w:sz w:val="24"/>
                <w:lang w:eastAsia="zh-CN" w:bidi="ar"/>
              </w:rPr>
              <w:t>可持续效益</w:t>
            </w:r>
            <w:r>
              <w:rPr>
                <w:rFonts w:eastAsia="宋体"/>
                <w:sz w:val="24"/>
                <w:lang w:eastAsia="zh-CN" w:bidi="ar"/>
              </w:rPr>
              <w:t>（</w:t>
            </w:r>
            <w:r>
              <w:rPr>
                <w:rFonts w:hint="eastAsia" w:eastAsia="宋体"/>
                <w:sz w:val="24"/>
                <w:lang w:eastAsia="zh-CN" w:bidi="ar"/>
              </w:rPr>
              <w:t>6</w:t>
            </w:r>
            <w:r>
              <w:rPr>
                <w:rFonts w:eastAsia="宋体"/>
                <w:sz w:val="24"/>
                <w:lang w:eastAsia="zh-CN" w:bidi="ar"/>
              </w:rPr>
              <w:t>分）</w:t>
            </w:r>
          </w:p>
        </w:tc>
        <w:tc>
          <w:tcPr>
            <w:tcW w:w="895"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D41</w:t>
            </w:r>
            <w:r>
              <w:rPr>
                <w:rFonts w:hint="eastAsia" w:eastAsia="宋体"/>
                <w:sz w:val="24"/>
                <w:lang w:eastAsia="zh-CN" w:bidi="ar-SA"/>
              </w:rPr>
              <w:t>环保与资源利用</w:t>
            </w:r>
          </w:p>
        </w:tc>
        <w:tc>
          <w:tcPr>
            <w:tcW w:w="744"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color w:val="auto"/>
                <w:sz w:val="24"/>
                <w:lang w:eastAsia="zh-CN" w:bidi="ar-SA"/>
              </w:rPr>
              <w:t>3</w:t>
            </w:r>
          </w:p>
        </w:tc>
        <w:tc>
          <w:tcPr>
            <w:tcW w:w="3054" w:type="dxa"/>
            <w:shd w:val="clear" w:color="auto" w:fill="auto"/>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hint="eastAsia" w:eastAsia="宋体"/>
                <w:sz w:val="24"/>
                <w:lang w:eastAsia="zh-CN" w:bidi="ar"/>
              </w:rPr>
              <w:t>购置的宿舍家具是否为环保材料，是否践行绿色环保理念</w:t>
            </w:r>
            <w:r>
              <w:rPr>
                <w:rFonts w:eastAsia="宋体"/>
                <w:sz w:val="24"/>
                <w:lang w:eastAsia="zh-CN" w:bidi="ar"/>
              </w:rPr>
              <w:t>。</w:t>
            </w:r>
          </w:p>
        </w:tc>
        <w:tc>
          <w:tcPr>
            <w:tcW w:w="2249" w:type="dxa"/>
            <w:shd w:val="clear" w:color="auto" w:fill="auto"/>
            <w:vAlign w:val="center"/>
          </w:tcPr>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t>综合评判，</w:t>
            </w:r>
            <w:r>
              <w:rPr>
                <w:rFonts w:hint="eastAsia" w:eastAsia="宋体"/>
                <w:sz w:val="24"/>
                <w:lang w:eastAsia="zh-CN" w:bidi="ar-SA"/>
              </w:rPr>
              <w:t>环保与资源利用</w:t>
            </w:r>
            <w:r>
              <w:rPr>
                <w:rFonts w:eastAsia="宋体"/>
                <w:color w:val="auto"/>
                <w:sz w:val="24"/>
                <w:lang w:eastAsia="zh-CN" w:bidi="ar-SA"/>
              </w:rPr>
              <w:t>评价结论：</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1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①</w:t>
            </w:r>
            <w:r>
              <w:rPr>
                <w:rFonts w:eastAsia="宋体"/>
                <w:color w:val="auto"/>
                <w:sz w:val="24"/>
                <w:lang w:eastAsia="zh-CN" w:bidi="ar-SA"/>
              </w:rPr>
              <w:fldChar w:fldCharType="end"/>
            </w:r>
            <w:r>
              <w:rPr>
                <w:rFonts w:eastAsia="宋体"/>
                <w:color w:val="auto"/>
                <w:sz w:val="24"/>
                <w:lang w:eastAsia="zh-CN" w:bidi="ar-SA"/>
              </w:rPr>
              <w:t>优得</w:t>
            </w:r>
            <w:r>
              <w:rPr>
                <w:rFonts w:hint="eastAsia" w:eastAsia="宋体"/>
                <w:color w:val="auto"/>
                <w:sz w:val="24"/>
                <w:lang w:eastAsia="zh-CN" w:bidi="ar-SA"/>
              </w:rPr>
              <w:t>3</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2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②</w:t>
            </w:r>
            <w:r>
              <w:rPr>
                <w:rFonts w:eastAsia="宋体"/>
                <w:color w:val="auto"/>
                <w:sz w:val="24"/>
                <w:lang w:eastAsia="zh-CN" w:bidi="ar-SA"/>
              </w:rPr>
              <w:fldChar w:fldCharType="end"/>
            </w:r>
            <w:r>
              <w:rPr>
                <w:rFonts w:eastAsia="宋体"/>
                <w:color w:val="auto"/>
                <w:sz w:val="24"/>
                <w:lang w:eastAsia="zh-CN" w:bidi="ar-SA"/>
              </w:rPr>
              <w:t>良得</w:t>
            </w:r>
            <w:r>
              <w:rPr>
                <w:rFonts w:hint="eastAsia" w:eastAsia="宋体"/>
                <w:color w:val="auto"/>
                <w:sz w:val="24"/>
                <w:lang w:eastAsia="zh-CN" w:bidi="ar-SA"/>
              </w:rPr>
              <w:t>2</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3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③</w:t>
            </w:r>
            <w:r>
              <w:rPr>
                <w:rFonts w:eastAsia="宋体"/>
                <w:color w:val="auto"/>
                <w:sz w:val="24"/>
                <w:lang w:eastAsia="zh-CN" w:bidi="ar-SA"/>
              </w:rPr>
              <w:fldChar w:fldCharType="end"/>
            </w:r>
            <w:r>
              <w:rPr>
                <w:rFonts w:eastAsia="宋体"/>
                <w:color w:val="auto"/>
                <w:sz w:val="24"/>
                <w:lang w:eastAsia="zh-CN" w:bidi="ar-SA"/>
              </w:rPr>
              <w:t>中得</w:t>
            </w:r>
            <w:r>
              <w:rPr>
                <w:rFonts w:hint="eastAsia" w:eastAsia="宋体"/>
                <w:color w:val="auto"/>
                <w:sz w:val="24"/>
                <w:lang w:eastAsia="zh-CN" w:bidi="ar-SA"/>
              </w:rPr>
              <w:t>1</w:t>
            </w:r>
            <w:r>
              <w:rPr>
                <w:rFonts w:eastAsia="宋体"/>
                <w:color w:val="auto"/>
                <w:sz w:val="24"/>
                <w:lang w:eastAsia="zh-CN" w:bidi="ar-SA"/>
              </w:rPr>
              <w:t>分</w:t>
            </w:r>
          </w:p>
          <w:p>
            <w:pPr>
              <w:widowControl/>
              <w:spacing w:line="360" w:lineRule="exact"/>
              <w:ind w:firstLine="0" w:firstLineChars="0"/>
              <w:jc w:val="left"/>
              <w:textAlignment w:val="center"/>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4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④</w:t>
            </w:r>
            <w:r>
              <w:rPr>
                <w:rFonts w:eastAsia="宋体"/>
                <w:color w:val="auto"/>
                <w:sz w:val="24"/>
                <w:lang w:eastAsia="zh-CN" w:bidi="ar-SA"/>
              </w:rPr>
              <w:fldChar w:fldCharType="end"/>
            </w:r>
            <w:r>
              <w:rPr>
                <w:rFonts w:eastAsia="宋体"/>
                <w:color w:val="auto"/>
                <w:sz w:val="24"/>
                <w:lang w:eastAsia="zh-CN" w:bidi="ar-SA"/>
              </w:rPr>
              <w:t>差不得分</w:t>
            </w:r>
          </w:p>
        </w:tc>
        <w:tc>
          <w:tcPr>
            <w:tcW w:w="3881" w:type="dxa"/>
            <w:shd w:val="clear" w:color="auto" w:fill="auto"/>
            <w:vAlign w:val="center"/>
          </w:tcPr>
          <w:p>
            <w:pPr>
              <w:widowControl/>
              <w:spacing w:line="360" w:lineRule="exact"/>
              <w:ind w:firstLine="0" w:firstLineChars="0"/>
              <w:jc w:val="left"/>
              <w:textAlignment w:val="center"/>
              <w:rPr>
                <w:rFonts w:eastAsia="宋体"/>
                <w:sz w:val="24"/>
                <w:lang w:eastAsia="zh-CN" w:bidi="ar-SA"/>
              </w:rPr>
            </w:pPr>
            <w:r>
              <w:rPr>
                <w:rFonts w:hint="eastAsia" w:eastAsia="宋体"/>
                <w:sz w:val="24"/>
                <w:lang w:eastAsia="zh-CN" w:bidi="ar"/>
              </w:rPr>
              <w:t>采购的床、柜子均符合国家GB/T3324-2017《木家具通用技术条件》，床架采用优质钢材/实木材质，柜体板材符合E1级环保标准，无甲醛超标问题。</w:t>
            </w:r>
            <w:r>
              <w:rPr>
                <w:rFonts w:hint="eastAsia" w:eastAsia="宋体"/>
                <w:sz w:val="24"/>
                <w:lang w:eastAsia="zh-CN" w:bidi="ar-SA"/>
              </w:rPr>
              <w:t>选择环保材料制作的家具，减少有害物质排放；合理规划尺寸与功能，延长使用周期，践行绿色环保理念。</w:t>
            </w:r>
            <w:r>
              <w:rPr>
                <w:rFonts w:eastAsia="宋体"/>
                <w:sz w:val="24"/>
                <w:lang w:eastAsia="zh-CN" w:bidi="ar"/>
              </w:rPr>
              <w:t>根据评分标准，该指标</w:t>
            </w:r>
            <w:r>
              <w:rPr>
                <w:rFonts w:hint="eastAsia" w:eastAsia="宋体"/>
                <w:sz w:val="24"/>
                <w:lang w:eastAsia="zh-CN" w:bidi="ar"/>
              </w:rPr>
              <w:t>评定</w:t>
            </w:r>
            <w:r>
              <w:rPr>
                <w:rFonts w:hint="eastAsia" w:eastAsia="宋体"/>
                <w:sz w:val="24"/>
                <w:lang w:val="en-US" w:eastAsia="zh-CN" w:bidi="ar"/>
              </w:rPr>
              <w:t>优</w:t>
            </w:r>
            <w:r>
              <w:rPr>
                <w:rFonts w:hint="eastAsia" w:eastAsia="宋体"/>
                <w:sz w:val="24"/>
                <w:lang w:eastAsia="zh-CN" w:bidi="ar"/>
              </w:rPr>
              <w:t>，得</w:t>
            </w:r>
            <w:r>
              <w:rPr>
                <w:rFonts w:hint="eastAsia" w:eastAsia="宋体"/>
                <w:sz w:val="24"/>
                <w:lang w:val="en-US" w:eastAsia="zh-CN" w:bidi="ar"/>
              </w:rPr>
              <w:t>3</w:t>
            </w:r>
            <w:r>
              <w:rPr>
                <w:rFonts w:hint="eastAsia" w:eastAsia="宋体"/>
                <w:sz w:val="24"/>
                <w:lang w:eastAsia="zh-CN" w:bidi="ar"/>
              </w:rPr>
              <w:t>.00</w:t>
            </w:r>
            <w:r>
              <w:rPr>
                <w:rFonts w:eastAsia="宋体"/>
                <w:sz w:val="24"/>
                <w:lang w:eastAsia="zh-CN" w:bidi="ar"/>
              </w:rPr>
              <w:t>分。</w:t>
            </w:r>
          </w:p>
        </w:tc>
        <w:tc>
          <w:tcPr>
            <w:tcW w:w="818" w:type="dxa"/>
            <w:shd w:val="clear" w:color="auto" w:fill="auto"/>
            <w:vAlign w:val="center"/>
          </w:tcPr>
          <w:p>
            <w:pPr>
              <w:widowControl/>
              <w:spacing w:line="360" w:lineRule="exact"/>
              <w:ind w:firstLine="0" w:firstLineChars="0"/>
              <w:jc w:val="center"/>
              <w:textAlignment w:val="center"/>
              <w:rPr>
                <w:rFonts w:hint="default" w:eastAsia="宋体"/>
                <w:color w:val="auto"/>
                <w:sz w:val="24"/>
                <w:lang w:val="en-US" w:eastAsia="zh-CN" w:bidi="ar-SA"/>
              </w:rPr>
            </w:pPr>
            <w:r>
              <w:rPr>
                <w:rFonts w:hint="eastAsia" w:eastAsia="宋体"/>
                <w:color w:val="auto"/>
                <w:sz w:val="24"/>
                <w:lang w:val="en-US" w:eastAsia="zh-CN" w:bidi="ar-SA"/>
              </w:rPr>
              <w:t>3</w:t>
            </w:r>
          </w:p>
        </w:tc>
        <w:tc>
          <w:tcPr>
            <w:tcW w:w="1106" w:type="dxa"/>
            <w:shd w:val="clear" w:color="auto" w:fill="auto"/>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100</w:t>
            </w:r>
            <w:r>
              <w:rPr>
                <w:rFonts w:eastAsia="宋体"/>
                <w:sz w:val="24"/>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Merge w:val="continue"/>
            <w:vAlign w:val="center"/>
          </w:tcPr>
          <w:p>
            <w:pPr>
              <w:widowControl/>
              <w:spacing w:line="360" w:lineRule="exact"/>
              <w:ind w:firstLine="0" w:firstLineChars="0"/>
              <w:jc w:val="center"/>
              <w:rPr>
                <w:rFonts w:eastAsia="宋体"/>
                <w:sz w:val="24"/>
                <w:lang w:eastAsia="zh-CN" w:bidi="ar-SA"/>
              </w:rPr>
            </w:pPr>
          </w:p>
        </w:tc>
        <w:tc>
          <w:tcPr>
            <w:tcW w:w="891" w:type="dxa"/>
            <w:vMerge w:val="continue"/>
            <w:shd w:val="clear" w:color="auto" w:fill="auto"/>
            <w:vAlign w:val="center"/>
          </w:tcPr>
          <w:p>
            <w:pPr>
              <w:widowControl/>
              <w:spacing w:line="360" w:lineRule="exact"/>
              <w:ind w:firstLine="0" w:firstLineChars="0"/>
              <w:jc w:val="center"/>
              <w:textAlignment w:val="center"/>
              <w:rPr>
                <w:rFonts w:eastAsia="宋体"/>
                <w:sz w:val="24"/>
                <w:lang w:eastAsia="zh-CN" w:bidi="ar"/>
              </w:rPr>
            </w:pPr>
          </w:p>
        </w:tc>
        <w:tc>
          <w:tcPr>
            <w:tcW w:w="895" w:type="dxa"/>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sz w:val="24"/>
                <w:szCs w:val="24"/>
                <w:lang w:val="en-US" w:eastAsia="zh-CN" w:bidi="ar-SA"/>
              </w:rPr>
            </w:pPr>
            <w:r>
              <w:rPr>
                <w:rFonts w:eastAsia="宋体"/>
                <w:sz w:val="24"/>
                <w:lang w:eastAsia="zh-CN" w:bidi="ar"/>
              </w:rPr>
              <w:t>D42</w:t>
            </w:r>
            <w:r>
              <w:rPr>
                <w:rFonts w:hint="eastAsia" w:eastAsia="宋体"/>
                <w:sz w:val="24"/>
                <w:lang w:eastAsia="zh-CN" w:bidi="ar-SA"/>
              </w:rPr>
              <w:t>适应未来需求</w:t>
            </w:r>
          </w:p>
        </w:tc>
        <w:tc>
          <w:tcPr>
            <w:tcW w:w="744" w:type="dxa"/>
            <w:shd w:val="clear" w:color="auto" w:fill="auto"/>
            <w:vAlign w:val="center"/>
          </w:tcPr>
          <w:p>
            <w:pPr>
              <w:widowControl/>
              <w:spacing w:line="360" w:lineRule="exact"/>
              <w:ind w:firstLine="0" w:firstLineChars="0"/>
              <w:jc w:val="center"/>
              <w:textAlignment w:val="center"/>
              <w:rPr>
                <w:rFonts w:hint="eastAsia" w:ascii="Times New Roman" w:hAnsi="Times New Roman" w:eastAsia="宋体" w:cs="Times New Roman"/>
                <w:color w:val="auto"/>
                <w:sz w:val="24"/>
                <w:szCs w:val="24"/>
                <w:lang w:val="en-US" w:eastAsia="zh-CN" w:bidi="ar-SA"/>
              </w:rPr>
            </w:pPr>
            <w:r>
              <w:rPr>
                <w:rFonts w:hint="eastAsia" w:eastAsia="宋体"/>
                <w:color w:val="auto"/>
                <w:sz w:val="24"/>
                <w:lang w:eastAsia="zh-CN" w:bidi="ar-SA"/>
              </w:rPr>
              <w:t>3</w:t>
            </w:r>
          </w:p>
        </w:tc>
        <w:tc>
          <w:tcPr>
            <w:tcW w:w="3054" w:type="dxa"/>
            <w:shd w:val="clear" w:color="auto" w:fill="auto"/>
            <w:vAlign w:val="center"/>
          </w:tcPr>
          <w:p>
            <w:pPr>
              <w:widowControl/>
              <w:spacing w:line="360" w:lineRule="exact"/>
              <w:ind w:firstLine="0" w:firstLineChars="0"/>
              <w:textAlignment w:val="center"/>
              <w:rPr>
                <w:rFonts w:ascii="Times New Roman" w:hAnsi="Times New Roman" w:eastAsia="宋体" w:cs="Times New Roman"/>
                <w:color w:val="000000"/>
                <w:sz w:val="24"/>
                <w:szCs w:val="24"/>
                <w:lang w:val="en-US" w:eastAsia="zh-CN" w:bidi="ar-SA"/>
              </w:rPr>
            </w:pPr>
            <w:r>
              <w:rPr>
                <w:rFonts w:eastAsia="宋体"/>
                <w:sz w:val="24"/>
                <w:lang w:eastAsia="zh-CN" w:bidi="ar"/>
              </w:rPr>
              <w:t>评价要点：</w:t>
            </w:r>
            <w:r>
              <w:rPr>
                <w:rFonts w:eastAsia="宋体"/>
                <w:sz w:val="24"/>
                <w:lang w:eastAsia="zh-CN" w:bidi="ar"/>
              </w:rPr>
              <w:br w:type="textWrapping"/>
            </w:r>
            <w:r>
              <w:rPr>
                <w:rFonts w:hint="eastAsia" w:eastAsia="宋体"/>
                <w:sz w:val="24"/>
                <w:lang w:eastAsia="zh-CN" w:bidi="ar"/>
              </w:rPr>
              <w:t>是否考虑学校学生数量增长，宿舍家具是否灵活适应</w:t>
            </w:r>
            <w:r>
              <w:rPr>
                <w:rFonts w:eastAsia="宋体"/>
                <w:sz w:val="24"/>
                <w:lang w:eastAsia="zh-CN" w:bidi="ar"/>
              </w:rPr>
              <w:t>。</w:t>
            </w:r>
          </w:p>
        </w:tc>
        <w:tc>
          <w:tcPr>
            <w:tcW w:w="2249" w:type="dxa"/>
            <w:shd w:val="clear" w:color="auto" w:fill="auto"/>
            <w:vAlign w:val="center"/>
          </w:tcPr>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t>综合评判，</w:t>
            </w:r>
            <w:r>
              <w:rPr>
                <w:rFonts w:hint="eastAsia" w:eastAsia="宋体"/>
                <w:sz w:val="24"/>
                <w:lang w:eastAsia="zh-CN" w:bidi="ar-SA"/>
              </w:rPr>
              <w:t>适应未来需求</w:t>
            </w:r>
            <w:r>
              <w:rPr>
                <w:rFonts w:eastAsia="宋体"/>
                <w:color w:val="auto"/>
                <w:sz w:val="24"/>
                <w:lang w:eastAsia="zh-CN" w:bidi="ar-SA"/>
              </w:rPr>
              <w:t>评价结论：</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1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①</w:t>
            </w:r>
            <w:r>
              <w:rPr>
                <w:rFonts w:eastAsia="宋体"/>
                <w:color w:val="auto"/>
                <w:sz w:val="24"/>
                <w:lang w:eastAsia="zh-CN" w:bidi="ar-SA"/>
              </w:rPr>
              <w:fldChar w:fldCharType="end"/>
            </w:r>
            <w:r>
              <w:rPr>
                <w:rFonts w:eastAsia="宋体"/>
                <w:color w:val="auto"/>
                <w:sz w:val="24"/>
                <w:lang w:eastAsia="zh-CN" w:bidi="ar-SA"/>
              </w:rPr>
              <w:t>优得</w:t>
            </w:r>
            <w:r>
              <w:rPr>
                <w:rFonts w:hint="eastAsia" w:eastAsia="宋体"/>
                <w:color w:val="auto"/>
                <w:sz w:val="24"/>
                <w:lang w:eastAsia="zh-CN" w:bidi="ar-SA"/>
              </w:rPr>
              <w:t>3</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2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②</w:t>
            </w:r>
            <w:r>
              <w:rPr>
                <w:rFonts w:eastAsia="宋体"/>
                <w:color w:val="auto"/>
                <w:sz w:val="24"/>
                <w:lang w:eastAsia="zh-CN" w:bidi="ar-SA"/>
              </w:rPr>
              <w:fldChar w:fldCharType="end"/>
            </w:r>
            <w:r>
              <w:rPr>
                <w:rFonts w:eastAsia="宋体"/>
                <w:color w:val="auto"/>
                <w:sz w:val="24"/>
                <w:lang w:eastAsia="zh-CN" w:bidi="ar-SA"/>
              </w:rPr>
              <w:t>良得</w:t>
            </w:r>
            <w:r>
              <w:rPr>
                <w:rFonts w:hint="eastAsia" w:eastAsia="宋体"/>
                <w:color w:val="auto"/>
                <w:sz w:val="24"/>
                <w:lang w:eastAsia="zh-CN" w:bidi="ar-SA"/>
              </w:rPr>
              <w:t>2</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3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③</w:t>
            </w:r>
            <w:r>
              <w:rPr>
                <w:rFonts w:eastAsia="宋体"/>
                <w:color w:val="auto"/>
                <w:sz w:val="24"/>
                <w:lang w:eastAsia="zh-CN" w:bidi="ar-SA"/>
              </w:rPr>
              <w:fldChar w:fldCharType="end"/>
            </w:r>
            <w:r>
              <w:rPr>
                <w:rFonts w:eastAsia="宋体"/>
                <w:color w:val="auto"/>
                <w:sz w:val="24"/>
                <w:lang w:eastAsia="zh-CN" w:bidi="ar-SA"/>
              </w:rPr>
              <w:t>中得</w:t>
            </w:r>
            <w:r>
              <w:rPr>
                <w:rFonts w:hint="eastAsia" w:eastAsia="宋体"/>
                <w:color w:val="auto"/>
                <w:sz w:val="24"/>
                <w:lang w:eastAsia="zh-CN" w:bidi="ar-SA"/>
              </w:rPr>
              <w:t>1</w:t>
            </w:r>
            <w:r>
              <w:rPr>
                <w:rFonts w:eastAsia="宋体"/>
                <w:color w:val="auto"/>
                <w:sz w:val="24"/>
                <w:lang w:eastAsia="zh-CN" w:bidi="ar-SA"/>
              </w:rPr>
              <w:t>分</w:t>
            </w:r>
          </w:p>
          <w:p>
            <w:pPr>
              <w:widowControl/>
              <w:spacing w:line="360" w:lineRule="exact"/>
              <w:ind w:firstLine="0" w:firstLineChars="0"/>
              <w:jc w:val="left"/>
              <w:textAlignment w:val="center"/>
              <w:rPr>
                <w:rFonts w:ascii="Times New Roman" w:hAnsi="Times New Roman" w:eastAsia="宋体" w:cs="Times New Roman"/>
                <w:color w:val="auto"/>
                <w:sz w:val="24"/>
                <w:szCs w:val="24"/>
                <w:lang w:val="en-US"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4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④</w:t>
            </w:r>
            <w:r>
              <w:rPr>
                <w:rFonts w:eastAsia="宋体"/>
                <w:color w:val="auto"/>
                <w:sz w:val="24"/>
                <w:lang w:eastAsia="zh-CN" w:bidi="ar-SA"/>
              </w:rPr>
              <w:fldChar w:fldCharType="end"/>
            </w:r>
            <w:r>
              <w:rPr>
                <w:rFonts w:eastAsia="宋体"/>
                <w:color w:val="auto"/>
                <w:sz w:val="24"/>
                <w:lang w:eastAsia="zh-CN" w:bidi="ar-SA"/>
              </w:rPr>
              <w:t>差不得分</w:t>
            </w:r>
          </w:p>
        </w:tc>
        <w:tc>
          <w:tcPr>
            <w:tcW w:w="3881" w:type="dxa"/>
            <w:shd w:val="clear" w:color="auto" w:fill="auto"/>
            <w:vAlign w:val="center"/>
          </w:tcPr>
          <w:p>
            <w:pPr>
              <w:widowControl/>
              <w:spacing w:line="360" w:lineRule="exact"/>
              <w:ind w:firstLine="0" w:firstLineChars="0"/>
              <w:jc w:val="left"/>
              <w:textAlignment w:val="center"/>
              <w:rPr>
                <w:rFonts w:hint="eastAsia" w:ascii="Times New Roman" w:hAnsi="Times New Roman" w:eastAsia="宋体" w:cs="Times New Roman"/>
                <w:color w:val="000000"/>
                <w:sz w:val="24"/>
                <w:szCs w:val="24"/>
                <w:lang w:val="en-US" w:eastAsia="zh-CN" w:bidi="ar-SA"/>
              </w:rPr>
            </w:pPr>
            <w:r>
              <w:rPr>
                <w:rFonts w:hint="eastAsia" w:eastAsia="宋体"/>
                <w:sz w:val="24"/>
                <w:lang w:eastAsia="zh-CN" w:bidi="ar-SA"/>
              </w:rPr>
              <w:t>采购时充分考虑学生数量增长、住宿需求变化，预留功能拓展空间，使家具能灵活适应未来宿舍调整需求</w:t>
            </w:r>
            <w:r>
              <w:rPr>
                <w:rFonts w:hint="eastAsia" w:eastAsia="宋体"/>
                <w:sz w:val="24"/>
                <w:lang w:eastAsia="zh-CN" w:bidi="ar"/>
              </w:rPr>
              <w:t>。</w:t>
            </w:r>
            <w:r>
              <w:rPr>
                <w:rFonts w:eastAsia="宋体"/>
                <w:sz w:val="24"/>
                <w:lang w:eastAsia="zh-CN" w:bidi="ar"/>
              </w:rPr>
              <w:t>根据评分标准，该指标</w:t>
            </w:r>
            <w:r>
              <w:rPr>
                <w:rFonts w:hint="eastAsia" w:eastAsia="宋体"/>
                <w:sz w:val="24"/>
                <w:lang w:eastAsia="zh-CN" w:bidi="ar"/>
              </w:rPr>
              <w:t>评定为</w:t>
            </w:r>
            <w:r>
              <w:rPr>
                <w:rFonts w:hint="eastAsia" w:eastAsia="宋体"/>
                <w:sz w:val="24"/>
                <w:lang w:val="en-US" w:eastAsia="zh-CN" w:bidi="ar"/>
              </w:rPr>
              <w:t>良</w:t>
            </w:r>
            <w:r>
              <w:rPr>
                <w:rFonts w:hint="eastAsia" w:eastAsia="宋体"/>
                <w:sz w:val="24"/>
                <w:lang w:eastAsia="zh-CN" w:bidi="ar"/>
              </w:rPr>
              <w:t>，得</w:t>
            </w:r>
            <w:r>
              <w:rPr>
                <w:rFonts w:hint="eastAsia" w:eastAsia="宋体"/>
                <w:sz w:val="24"/>
                <w:lang w:val="en-US" w:eastAsia="zh-CN" w:bidi="ar"/>
              </w:rPr>
              <w:t>2</w:t>
            </w:r>
            <w:r>
              <w:rPr>
                <w:rFonts w:hint="eastAsia" w:eastAsia="宋体"/>
                <w:sz w:val="24"/>
                <w:lang w:eastAsia="zh-CN" w:bidi="ar"/>
              </w:rPr>
              <w:t>.00</w:t>
            </w:r>
            <w:r>
              <w:rPr>
                <w:rFonts w:eastAsia="宋体"/>
                <w:sz w:val="24"/>
                <w:lang w:eastAsia="zh-CN" w:bidi="ar"/>
              </w:rPr>
              <w:t>分。</w:t>
            </w:r>
          </w:p>
        </w:tc>
        <w:tc>
          <w:tcPr>
            <w:tcW w:w="818" w:type="dxa"/>
            <w:shd w:val="clear" w:color="auto" w:fill="auto"/>
            <w:vAlign w:val="center"/>
          </w:tcPr>
          <w:p>
            <w:pPr>
              <w:widowControl/>
              <w:spacing w:line="360" w:lineRule="exact"/>
              <w:ind w:firstLine="0" w:firstLineChars="0"/>
              <w:jc w:val="center"/>
              <w:textAlignment w:val="center"/>
              <w:rPr>
                <w:rFonts w:hint="eastAsia" w:ascii="Times New Roman" w:hAnsi="Times New Roman" w:eastAsia="宋体" w:cs="Times New Roman"/>
                <w:color w:val="auto"/>
                <w:sz w:val="24"/>
                <w:szCs w:val="24"/>
                <w:lang w:val="en-US" w:eastAsia="zh-CN" w:bidi="ar-SA"/>
              </w:rPr>
            </w:pPr>
            <w:r>
              <w:rPr>
                <w:rFonts w:hint="eastAsia" w:eastAsia="宋体"/>
                <w:color w:val="auto"/>
                <w:sz w:val="24"/>
                <w:lang w:val="en-US" w:eastAsia="zh-CN" w:bidi="ar-SA"/>
              </w:rPr>
              <w:t>2</w:t>
            </w:r>
          </w:p>
        </w:tc>
        <w:tc>
          <w:tcPr>
            <w:tcW w:w="1106" w:type="dxa"/>
            <w:shd w:val="clear" w:color="auto" w:fill="auto"/>
            <w:vAlign w:val="center"/>
          </w:tcPr>
          <w:p>
            <w:pPr>
              <w:widowControl/>
              <w:spacing w:line="360" w:lineRule="exact"/>
              <w:ind w:firstLine="0" w:firstLineChars="0"/>
              <w:jc w:val="center"/>
              <w:textAlignment w:val="center"/>
              <w:rPr>
                <w:rFonts w:hint="eastAsia" w:ascii="Times New Roman" w:hAnsi="Times New Roman" w:eastAsia="宋体" w:cs="Times New Roman"/>
                <w:color w:val="auto"/>
                <w:sz w:val="24"/>
                <w:szCs w:val="24"/>
                <w:lang w:val="en-US" w:eastAsia="zh-CN" w:bidi="ar-SA"/>
              </w:rPr>
            </w:pPr>
            <w:r>
              <w:rPr>
                <w:rFonts w:hint="eastAsia" w:eastAsia="宋体"/>
                <w:sz w:val="24"/>
                <w:lang w:val="en-US" w:eastAsia="zh-CN" w:bidi="ar"/>
              </w:rPr>
              <w:t>66.67</w:t>
            </w:r>
            <w:r>
              <w:rPr>
                <w:rFonts w:eastAsia="宋体"/>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Merge w:val="continue"/>
            <w:vAlign w:val="center"/>
          </w:tcPr>
          <w:p>
            <w:pPr>
              <w:widowControl/>
              <w:spacing w:line="360" w:lineRule="exact"/>
              <w:ind w:firstLine="0" w:firstLineChars="0"/>
              <w:jc w:val="center"/>
              <w:rPr>
                <w:rFonts w:eastAsia="宋体"/>
                <w:sz w:val="24"/>
                <w:lang w:eastAsia="zh-CN" w:bidi="ar-SA"/>
              </w:rPr>
            </w:pPr>
          </w:p>
        </w:tc>
        <w:tc>
          <w:tcPr>
            <w:tcW w:w="891" w:type="dxa"/>
            <w:vAlign w:val="center"/>
          </w:tcPr>
          <w:p>
            <w:pPr>
              <w:widowControl/>
              <w:spacing w:line="360" w:lineRule="exact"/>
              <w:ind w:firstLine="0" w:firstLineChars="0"/>
              <w:jc w:val="center"/>
              <w:rPr>
                <w:rFonts w:hint="default" w:eastAsia="宋体"/>
                <w:sz w:val="24"/>
                <w:lang w:val="en-US" w:eastAsia="zh-CN" w:bidi="ar-SA"/>
              </w:rPr>
            </w:pPr>
            <w:r>
              <w:rPr>
                <w:rFonts w:hint="eastAsia" w:eastAsia="宋体"/>
                <w:sz w:val="24"/>
                <w:lang w:val="en-US" w:eastAsia="zh-CN" w:bidi="ar-SA"/>
              </w:rPr>
              <w:t>D5满意度</w:t>
            </w:r>
            <w:r>
              <w:rPr>
                <w:rFonts w:eastAsia="宋体"/>
                <w:sz w:val="24"/>
                <w:lang w:eastAsia="zh-CN" w:bidi="ar"/>
              </w:rPr>
              <w:t>（</w:t>
            </w:r>
            <w:r>
              <w:rPr>
                <w:rFonts w:hint="eastAsia" w:eastAsia="宋体"/>
                <w:sz w:val="24"/>
                <w:lang w:val="en-US" w:eastAsia="zh-CN" w:bidi="ar"/>
              </w:rPr>
              <w:t>2</w:t>
            </w:r>
            <w:r>
              <w:rPr>
                <w:rFonts w:eastAsia="宋体"/>
                <w:sz w:val="24"/>
                <w:lang w:eastAsia="zh-CN" w:bidi="ar"/>
              </w:rPr>
              <w:t>分）</w:t>
            </w:r>
          </w:p>
        </w:tc>
        <w:tc>
          <w:tcPr>
            <w:tcW w:w="895" w:type="dxa"/>
            <w:shd w:val="clear" w:color="auto" w:fill="auto"/>
            <w:vAlign w:val="center"/>
          </w:tcPr>
          <w:p>
            <w:pPr>
              <w:widowControl/>
              <w:spacing w:line="360" w:lineRule="exact"/>
              <w:ind w:firstLine="0" w:firstLineChars="0"/>
              <w:jc w:val="center"/>
              <w:textAlignment w:val="center"/>
              <w:rPr>
                <w:rFonts w:hint="default" w:eastAsia="宋体"/>
                <w:color w:val="auto"/>
                <w:sz w:val="24"/>
                <w:lang w:val="en-US" w:eastAsia="zh-CN" w:bidi="ar-SA"/>
              </w:rPr>
            </w:pPr>
            <w:r>
              <w:rPr>
                <w:rFonts w:hint="eastAsia" w:eastAsia="宋体"/>
                <w:color w:val="auto"/>
                <w:sz w:val="24"/>
                <w:lang w:val="en-US" w:eastAsia="zh-CN" w:bidi="ar-SA"/>
              </w:rPr>
              <w:t>D51学生满意度</w:t>
            </w:r>
          </w:p>
        </w:tc>
        <w:tc>
          <w:tcPr>
            <w:tcW w:w="744" w:type="dxa"/>
            <w:shd w:val="clear" w:color="auto" w:fill="auto"/>
            <w:vAlign w:val="center"/>
          </w:tcPr>
          <w:p>
            <w:pPr>
              <w:widowControl/>
              <w:spacing w:line="360" w:lineRule="exact"/>
              <w:ind w:firstLine="0" w:firstLineChars="0"/>
              <w:jc w:val="center"/>
              <w:textAlignment w:val="center"/>
              <w:rPr>
                <w:rFonts w:hint="default" w:eastAsia="宋体"/>
                <w:color w:val="auto"/>
                <w:sz w:val="24"/>
                <w:lang w:val="en-US" w:eastAsia="zh-CN" w:bidi="ar-SA"/>
              </w:rPr>
            </w:pPr>
            <w:r>
              <w:rPr>
                <w:rFonts w:hint="eastAsia" w:eastAsia="宋体"/>
                <w:color w:val="auto"/>
                <w:sz w:val="24"/>
                <w:lang w:val="en-US" w:eastAsia="zh-CN" w:bidi="ar-SA"/>
              </w:rPr>
              <w:t>2</w:t>
            </w:r>
          </w:p>
        </w:tc>
        <w:tc>
          <w:tcPr>
            <w:tcW w:w="3054" w:type="dxa"/>
            <w:shd w:val="clear" w:color="auto" w:fill="auto"/>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hint="eastAsia" w:eastAsia="宋体"/>
                <w:sz w:val="24"/>
                <w:lang w:val="en-US" w:eastAsia="zh-CN" w:bidi="ar"/>
              </w:rPr>
              <w:t>学生对使用</w:t>
            </w:r>
            <w:r>
              <w:rPr>
                <w:rFonts w:hint="eastAsia" w:eastAsia="宋体"/>
                <w:sz w:val="24"/>
                <w:lang w:eastAsia="zh-CN" w:bidi="ar"/>
              </w:rPr>
              <w:t>宿舍家具</w:t>
            </w:r>
            <w:r>
              <w:rPr>
                <w:rFonts w:hint="eastAsia" w:eastAsia="宋体"/>
                <w:sz w:val="24"/>
                <w:lang w:val="en-US" w:eastAsia="zh-CN" w:bidi="ar"/>
              </w:rPr>
              <w:t>的满意程度。</w:t>
            </w:r>
          </w:p>
        </w:tc>
        <w:tc>
          <w:tcPr>
            <w:tcW w:w="2249" w:type="dxa"/>
            <w:shd w:val="clear" w:color="auto" w:fill="auto"/>
            <w:vAlign w:val="center"/>
          </w:tcPr>
          <w:p>
            <w:pPr>
              <w:widowControl/>
              <w:spacing w:line="360" w:lineRule="exact"/>
              <w:ind w:firstLine="0" w:firstLineChars="0"/>
              <w:jc w:val="left"/>
              <w:textAlignment w:val="center"/>
              <w:rPr>
                <w:rFonts w:eastAsia="宋体"/>
                <w:color w:val="auto"/>
                <w:sz w:val="24"/>
                <w:lang w:eastAsia="zh-CN" w:bidi="ar-SA"/>
              </w:rPr>
            </w:pPr>
            <w:r>
              <w:rPr>
                <w:rFonts w:hint="eastAsia" w:eastAsia="宋体"/>
                <w:color w:val="auto"/>
                <w:sz w:val="24"/>
                <w:lang w:eastAsia="zh-CN" w:bidi="ar-SA"/>
              </w:rPr>
              <w:t>未提供满意度问卷不得分；满意度≥95%不扣分，满意度每低5%，扣0.5分，</w:t>
            </w:r>
          </w:p>
        </w:tc>
        <w:tc>
          <w:tcPr>
            <w:tcW w:w="3881" w:type="dxa"/>
            <w:shd w:val="clear" w:color="auto" w:fill="auto"/>
            <w:vAlign w:val="center"/>
          </w:tcPr>
          <w:p>
            <w:pPr>
              <w:widowControl/>
              <w:spacing w:line="360" w:lineRule="exact"/>
              <w:ind w:firstLine="0" w:firstLineChars="0"/>
              <w:jc w:val="left"/>
              <w:textAlignment w:val="center"/>
              <w:rPr>
                <w:rFonts w:hint="default" w:eastAsia="宋体"/>
                <w:sz w:val="24"/>
                <w:lang w:val="en-US" w:eastAsia="zh-CN" w:bidi="ar-SA"/>
              </w:rPr>
            </w:pPr>
            <w:r>
              <w:rPr>
                <w:rFonts w:hint="eastAsia" w:eastAsia="宋体"/>
                <w:sz w:val="24"/>
                <w:lang w:val="en-US" w:eastAsia="zh-CN" w:bidi="ar-SA"/>
              </w:rPr>
              <w:t>2</w:t>
            </w:r>
            <w:r>
              <w:rPr>
                <w:rFonts w:hint="eastAsia" w:eastAsia="宋体"/>
                <w:sz w:val="24"/>
                <w:lang w:eastAsia="zh-CN" w:bidi="ar-SA"/>
              </w:rPr>
              <w:t>024年11月16日</w:t>
            </w:r>
            <w:r>
              <w:rPr>
                <w:rFonts w:hint="eastAsia" w:eastAsia="宋体"/>
                <w:sz w:val="24"/>
                <w:lang w:val="en-US" w:eastAsia="zh-CN" w:bidi="ar-SA"/>
              </w:rPr>
              <w:t>延风中学</w:t>
            </w:r>
            <w:r>
              <w:rPr>
                <w:rFonts w:hint="eastAsia" w:eastAsia="宋体"/>
                <w:sz w:val="24"/>
                <w:lang w:eastAsia="zh-CN" w:bidi="ar-SA"/>
              </w:rPr>
              <w:t>分年级向住校男生发放调查问卷26份，</w:t>
            </w:r>
            <w:r>
              <w:rPr>
                <w:rFonts w:hint="eastAsia" w:eastAsia="宋体"/>
                <w:sz w:val="24"/>
                <w:lang w:val="en-US" w:eastAsia="zh-CN" w:bidi="ar-SA"/>
              </w:rPr>
              <w:t>根据学生使用情况，问卷设置了13个评价项目。学校</w:t>
            </w:r>
            <w:r>
              <w:rPr>
                <w:rFonts w:hint="eastAsia" w:eastAsia="宋体"/>
                <w:sz w:val="24"/>
                <w:lang w:eastAsia="zh-CN" w:bidi="ar-SA"/>
              </w:rPr>
              <w:t>收</w:t>
            </w:r>
            <w:r>
              <w:rPr>
                <w:rFonts w:hint="eastAsia" w:eastAsia="宋体"/>
                <w:sz w:val="24"/>
                <w:lang w:val="en-US" w:eastAsia="zh-CN" w:bidi="ar-SA"/>
              </w:rPr>
              <w:t>回</w:t>
            </w:r>
            <w:r>
              <w:rPr>
                <w:rFonts w:hint="eastAsia" w:eastAsia="宋体"/>
                <w:sz w:val="24"/>
                <w:lang w:eastAsia="zh-CN" w:bidi="ar-SA"/>
              </w:rPr>
              <w:t>问卷26份，</w:t>
            </w:r>
            <w:r>
              <w:rPr>
                <w:rFonts w:hint="eastAsia" w:eastAsia="宋体"/>
                <w:sz w:val="24"/>
                <w:lang w:val="en-US" w:eastAsia="zh-CN" w:bidi="ar-SA"/>
              </w:rPr>
              <w:t>满意度96.15%。根据评分标准，该指标得满分2.00分。</w:t>
            </w:r>
          </w:p>
        </w:tc>
        <w:tc>
          <w:tcPr>
            <w:tcW w:w="818" w:type="dxa"/>
            <w:shd w:val="clear" w:color="auto" w:fill="auto"/>
            <w:vAlign w:val="center"/>
          </w:tcPr>
          <w:p>
            <w:pPr>
              <w:widowControl/>
              <w:spacing w:line="360" w:lineRule="exact"/>
              <w:ind w:firstLine="0" w:firstLineChars="0"/>
              <w:jc w:val="center"/>
              <w:textAlignment w:val="center"/>
              <w:rPr>
                <w:rFonts w:hint="default" w:eastAsia="宋体"/>
                <w:color w:val="auto"/>
                <w:sz w:val="24"/>
                <w:lang w:val="en-US" w:eastAsia="zh-CN" w:bidi="ar-SA"/>
              </w:rPr>
            </w:pPr>
            <w:r>
              <w:rPr>
                <w:rFonts w:hint="eastAsia" w:eastAsia="宋体"/>
                <w:color w:val="auto"/>
                <w:sz w:val="24"/>
                <w:lang w:val="en-US" w:eastAsia="zh-CN" w:bidi="ar-SA"/>
              </w:rPr>
              <w:t>2</w:t>
            </w:r>
          </w:p>
        </w:tc>
        <w:tc>
          <w:tcPr>
            <w:tcW w:w="1106" w:type="dxa"/>
            <w:shd w:val="clear" w:color="auto" w:fill="auto"/>
            <w:vAlign w:val="center"/>
          </w:tcPr>
          <w:p>
            <w:pPr>
              <w:widowControl/>
              <w:spacing w:line="360" w:lineRule="exact"/>
              <w:ind w:firstLine="0" w:firstLineChars="0"/>
              <w:jc w:val="center"/>
              <w:textAlignment w:val="center"/>
              <w:rPr>
                <w:rFonts w:hint="default" w:eastAsia="宋体"/>
                <w:color w:val="auto"/>
                <w:sz w:val="24"/>
                <w:lang w:val="en-US" w:eastAsia="zh-CN" w:bidi="ar-SA"/>
              </w:rPr>
            </w:pPr>
            <w:r>
              <w:rPr>
                <w:rFonts w:hint="eastAsia" w:eastAsia="宋体"/>
                <w:color w:val="auto"/>
                <w:sz w:val="24"/>
                <w:lang w:val="en-US" w:eastAsia="zh-CN" w:bidi="ar-SA"/>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92" w:type="dxa"/>
            <w:gridSpan w:val="3"/>
            <w:shd w:val="clear" w:color="auto" w:fill="auto"/>
            <w:vAlign w:val="center"/>
          </w:tcPr>
          <w:p>
            <w:pPr>
              <w:widowControl/>
              <w:spacing w:line="360" w:lineRule="exact"/>
              <w:ind w:firstLine="0" w:firstLineChars="0"/>
              <w:jc w:val="center"/>
              <w:textAlignment w:val="center"/>
              <w:rPr>
                <w:rFonts w:eastAsia="宋体"/>
                <w:b/>
                <w:bCs/>
                <w:color w:val="auto"/>
                <w:sz w:val="24"/>
                <w:lang w:eastAsia="zh-CN" w:bidi="ar-SA"/>
              </w:rPr>
            </w:pPr>
            <w:r>
              <w:rPr>
                <w:rFonts w:eastAsia="宋体"/>
                <w:b/>
                <w:bCs/>
                <w:sz w:val="24"/>
                <w:lang w:eastAsia="zh-CN" w:bidi="ar"/>
              </w:rPr>
              <w:t>合计</w:t>
            </w:r>
          </w:p>
        </w:tc>
        <w:tc>
          <w:tcPr>
            <w:tcW w:w="744" w:type="dxa"/>
            <w:shd w:val="clear" w:color="auto" w:fill="auto"/>
            <w:vAlign w:val="center"/>
          </w:tcPr>
          <w:p>
            <w:pPr>
              <w:widowControl/>
              <w:spacing w:line="360" w:lineRule="exact"/>
              <w:ind w:firstLine="0" w:firstLineChars="0"/>
              <w:rPr>
                <w:rFonts w:ascii="Times New Roman" w:hAnsi="Times New Roman" w:eastAsia="宋体" w:cs="Times New Roman"/>
                <w:b/>
                <w:bCs/>
                <w:color w:val="auto"/>
                <w:sz w:val="24"/>
                <w:szCs w:val="24"/>
                <w:lang w:val="en-US" w:eastAsia="zh-CN" w:bidi="ar-SA"/>
              </w:rPr>
            </w:pPr>
            <w:r>
              <w:rPr>
                <w:rFonts w:eastAsia="宋体"/>
                <w:b/>
                <w:bCs/>
                <w:color w:val="auto"/>
                <w:sz w:val="24"/>
                <w:lang w:eastAsia="zh-CN" w:bidi="ar-SA"/>
              </w:rPr>
              <w:fldChar w:fldCharType="begin"/>
            </w:r>
            <w:r>
              <w:rPr>
                <w:rFonts w:eastAsia="宋体"/>
                <w:b/>
                <w:bCs/>
                <w:color w:val="auto"/>
                <w:sz w:val="24"/>
                <w:lang w:eastAsia="zh-CN" w:bidi="ar-SA"/>
              </w:rPr>
              <w:instrText xml:space="preserve"> = sum(D2:D24) \* MERGEFORMAT </w:instrText>
            </w:r>
            <w:r>
              <w:rPr>
                <w:rFonts w:eastAsia="宋体"/>
                <w:b/>
                <w:bCs/>
                <w:color w:val="auto"/>
                <w:sz w:val="24"/>
                <w:lang w:eastAsia="zh-CN" w:bidi="ar-SA"/>
              </w:rPr>
              <w:fldChar w:fldCharType="separate"/>
            </w:r>
            <w:r>
              <w:rPr>
                <w:rFonts w:eastAsia="宋体"/>
                <w:b/>
                <w:bCs/>
                <w:color w:val="auto"/>
                <w:sz w:val="24"/>
                <w:lang w:eastAsia="zh-CN" w:bidi="ar-SA"/>
              </w:rPr>
              <w:t>100</w:t>
            </w:r>
            <w:r>
              <w:rPr>
                <w:rFonts w:eastAsia="宋体"/>
                <w:b/>
                <w:bCs/>
                <w:color w:val="auto"/>
                <w:sz w:val="24"/>
                <w:lang w:eastAsia="zh-CN" w:bidi="ar-SA"/>
              </w:rPr>
              <w:fldChar w:fldCharType="end"/>
            </w:r>
          </w:p>
        </w:tc>
        <w:tc>
          <w:tcPr>
            <w:tcW w:w="3054" w:type="dxa"/>
            <w:shd w:val="clear" w:color="auto" w:fill="auto"/>
            <w:vAlign w:val="center"/>
          </w:tcPr>
          <w:p>
            <w:pPr>
              <w:widowControl/>
              <w:spacing w:line="360" w:lineRule="exact"/>
              <w:ind w:firstLine="0" w:firstLineChars="0"/>
              <w:rPr>
                <w:rFonts w:eastAsia="宋体"/>
                <w:b/>
                <w:bCs/>
                <w:color w:val="auto"/>
                <w:sz w:val="24"/>
                <w:lang w:eastAsia="zh-CN" w:bidi="ar-SA"/>
              </w:rPr>
            </w:pPr>
          </w:p>
        </w:tc>
        <w:tc>
          <w:tcPr>
            <w:tcW w:w="2249" w:type="dxa"/>
            <w:shd w:val="clear" w:color="auto" w:fill="auto"/>
            <w:vAlign w:val="center"/>
          </w:tcPr>
          <w:p>
            <w:pPr>
              <w:widowControl/>
              <w:spacing w:line="360" w:lineRule="exact"/>
              <w:ind w:firstLine="0" w:firstLineChars="0"/>
              <w:rPr>
                <w:rFonts w:eastAsia="宋体"/>
                <w:b/>
                <w:bCs/>
                <w:color w:val="auto"/>
                <w:sz w:val="24"/>
                <w:lang w:eastAsia="zh-CN" w:bidi="ar-SA"/>
              </w:rPr>
            </w:pPr>
          </w:p>
        </w:tc>
        <w:tc>
          <w:tcPr>
            <w:tcW w:w="3881" w:type="dxa"/>
            <w:shd w:val="clear" w:color="auto" w:fill="auto"/>
            <w:vAlign w:val="center"/>
          </w:tcPr>
          <w:p>
            <w:pPr>
              <w:widowControl/>
              <w:spacing w:line="360" w:lineRule="exact"/>
              <w:ind w:firstLine="0" w:firstLineChars="0"/>
              <w:jc w:val="left"/>
              <w:rPr>
                <w:rFonts w:eastAsia="宋体"/>
                <w:b/>
                <w:bCs/>
                <w:color w:val="auto"/>
                <w:sz w:val="24"/>
                <w:lang w:eastAsia="zh-CN" w:bidi="ar-SA"/>
              </w:rPr>
            </w:pPr>
          </w:p>
        </w:tc>
        <w:tc>
          <w:tcPr>
            <w:tcW w:w="818" w:type="dxa"/>
            <w:shd w:val="clear" w:color="auto" w:fill="auto"/>
            <w:vAlign w:val="center"/>
          </w:tcPr>
          <w:p>
            <w:pPr>
              <w:widowControl/>
              <w:spacing w:line="360" w:lineRule="exact"/>
              <w:ind w:firstLine="0" w:firstLineChars="0"/>
              <w:jc w:val="center"/>
              <w:textAlignment w:val="center"/>
              <w:rPr>
                <w:rFonts w:hint="eastAsia" w:ascii="Times New Roman" w:hAnsi="Times New Roman" w:eastAsia="宋体" w:cs="Times New Roman"/>
                <w:color w:val="auto"/>
                <w:sz w:val="24"/>
                <w:szCs w:val="24"/>
                <w:lang w:val="en-US" w:eastAsia="zh-CN" w:bidi="ar-SA"/>
              </w:rPr>
            </w:pPr>
            <w:r>
              <w:rPr>
                <w:rFonts w:eastAsia="宋体"/>
                <w:b/>
                <w:bCs/>
                <w:color w:val="auto"/>
                <w:sz w:val="24"/>
                <w:lang w:eastAsia="zh-CN" w:bidi="ar-SA"/>
              </w:rPr>
              <w:fldChar w:fldCharType="begin"/>
            </w:r>
            <w:r>
              <w:rPr>
                <w:rFonts w:eastAsia="宋体"/>
                <w:b/>
                <w:bCs/>
                <w:color w:val="auto"/>
                <w:sz w:val="24"/>
                <w:lang w:eastAsia="zh-CN" w:bidi="ar-SA"/>
              </w:rPr>
              <w:instrText xml:space="preserve"> = sum(H2:H24) \* MERGEFORMAT </w:instrText>
            </w:r>
            <w:r>
              <w:rPr>
                <w:rFonts w:eastAsia="宋体"/>
                <w:b/>
                <w:bCs/>
                <w:color w:val="auto"/>
                <w:sz w:val="24"/>
                <w:lang w:eastAsia="zh-CN" w:bidi="ar-SA"/>
              </w:rPr>
              <w:fldChar w:fldCharType="separate"/>
            </w:r>
            <w:r>
              <w:rPr>
                <w:rFonts w:eastAsia="宋体"/>
                <w:b/>
                <w:bCs/>
                <w:color w:val="auto"/>
                <w:sz w:val="24"/>
                <w:lang w:eastAsia="zh-CN" w:bidi="ar-SA"/>
              </w:rPr>
              <w:t>92.</w:t>
            </w:r>
            <w:r>
              <w:rPr>
                <w:rFonts w:eastAsia="宋体"/>
                <w:b/>
                <w:bCs/>
                <w:color w:val="auto"/>
                <w:sz w:val="24"/>
                <w:lang w:eastAsia="zh-CN" w:bidi="ar-SA"/>
              </w:rPr>
              <w:fldChar w:fldCharType="end"/>
            </w:r>
            <w:r>
              <w:rPr>
                <w:rFonts w:hint="eastAsia" w:eastAsia="宋体"/>
                <w:b/>
                <w:bCs/>
                <w:color w:val="auto"/>
                <w:sz w:val="24"/>
                <w:lang w:val="en-US" w:eastAsia="zh-CN" w:bidi="ar-SA"/>
              </w:rPr>
              <w:t>38</w:t>
            </w:r>
            <w:r>
              <w:rPr>
                <w:rFonts w:hint="eastAsia" w:eastAsia="宋体"/>
                <w:color w:val="auto"/>
                <w:sz w:val="24"/>
                <w:lang w:val="en-US" w:eastAsia="zh-CN" w:bidi="ar-SA"/>
              </w:rPr>
              <w:fldChar w:fldCharType="begin"/>
            </w:r>
            <w:r>
              <w:rPr>
                <w:rFonts w:hint="eastAsia" w:eastAsia="宋体"/>
                <w:color w:val="auto"/>
                <w:sz w:val="24"/>
                <w:lang w:val="en-US" w:eastAsia="zh-CN" w:bidi="ar-SA"/>
              </w:rPr>
              <w:instrText xml:space="preserve"> = sum(H2:H24) \* MERGEFORMAT </w:instrText>
            </w:r>
            <w:r>
              <w:rPr>
                <w:rFonts w:hint="eastAsia" w:eastAsia="宋体"/>
                <w:color w:val="auto"/>
                <w:sz w:val="24"/>
                <w:lang w:val="en-US" w:eastAsia="zh-CN" w:bidi="ar-SA"/>
              </w:rPr>
              <w:fldChar w:fldCharType="separate"/>
            </w:r>
            <w:r>
              <w:rPr>
                <w:rFonts w:hint="eastAsia" w:eastAsia="宋体"/>
                <w:color w:val="auto"/>
                <w:sz w:val="24"/>
                <w:lang w:val="en-US" w:eastAsia="zh-CN" w:bidi="ar-SA"/>
              </w:rPr>
              <w:fldChar w:fldCharType="end"/>
            </w:r>
          </w:p>
        </w:tc>
        <w:tc>
          <w:tcPr>
            <w:tcW w:w="1106" w:type="dxa"/>
            <w:shd w:val="clear" w:color="auto" w:fill="auto"/>
            <w:vAlign w:val="center"/>
          </w:tcPr>
          <w:p>
            <w:pPr>
              <w:widowControl/>
              <w:spacing w:line="360" w:lineRule="exact"/>
              <w:ind w:firstLine="0" w:firstLineChars="0"/>
              <w:jc w:val="center"/>
              <w:textAlignment w:val="center"/>
              <w:rPr>
                <w:rFonts w:hint="default" w:eastAsia="宋体"/>
                <w:b/>
                <w:bCs/>
                <w:color w:val="auto"/>
                <w:sz w:val="24"/>
                <w:lang w:val="en-US" w:eastAsia="zh-CN" w:bidi="ar-SA"/>
              </w:rPr>
            </w:pPr>
            <w:r>
              <w:rPr>
                <w:rFonts w:hint="eastAsia" w:eastAsia="宋体"/>
                <w:b/>
                <w:bCs/>
                <w:color w:val="auto"/>
                <w:sz w:val="24"/>
                <w:lang w:val="en-US" w:eastAsia="zh-CN" w:bidi="ar-SA"/>
              </w:rPr>
              <w:t>92.38%</w:t>
            </w:r>
          </w:p>
        </w:tc>
      </w:tr>
      <w:bookmarkEnd w:id="411"/>
    </w:tbl>
    <w:p>
      <w:pPr>
        <w:ind w:firstLine="0" w:firstLineChars="0"/>
        <w:jc w:val="left"/>
        <w:outlineLvl w:val="0"/>
        <w:rPr>
          <w:rFonts w:eastAsia="宋体"/>
          <w:b/>
          <w:sz w:val="24"/>
          <w:lang w:eastAsia="zh-CN"/>
        </w:rPr>
      </w:pPr>
    </w:p>
    <w:p>
      <w:pPr>
        <w:tabs>
          <w:tab w:val="left" w:pos="4318"/>
        </w:tabs>
        <w:ind w:firstLine="0" w:firstLineChars="0"/>
        <w:rPr>
          <w:lang w:eastAsia="zh-CN"/>
        </w:rPr>
        <w:sectPr>
          <w:headerReference r:id="rId14" w:type="default"/>
          <w:footerReference r:id="rId15"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widowControl/>
        <w:spacing w:line="360" w:lineRule="exact"/>
        <w:ind w:firstLine="0" w:firstLineChars="0"/>
        <w:textAlignment w:val="center"/>
        <w:rPr>
          <w:rFonts w:hint="eastAsia" w:eastAsia="宋体"/>
          <w:kern w:val="0"/>
          <w:sz w:val="24"/>
          <w:lang w:eastAsia="zh-CN" w:bidi="ar-SA"/>
        </w:rPr>
      </w:pPr>
    </w:p>
    <w:sectPr>
      <w:headerReference r:id="rId16" w:type="default"/>
      <w:footerReference r:id="rId17" w:type="default"/>
      <w:pgSz w:w="11906" w:h="16838"/>
      <w:pgMar w:top="1421" w:right="1686" w:bottom="837" w:left="1687" w:header="0" w:footer="559" w:gutter="0"/>
      <w:pgBorders>
        <w:top w:val="none" w:sz="0" w:space="0"/>
        <w:left w:val="none" w:sz="0" w:space="0"/>
        <w:bottom w:val="none" w:sz="0" w:space="0"/>
        <w:right w:val="none" w:sz="0" w:space="0"/>
      </w:pgBorders>
      <w:pgNumType w:fmt="numberInDash"/>
      <w:cols w:equalWidth="0" w:num="1">
        <w:col w:w="8533"/>
      </w:cols>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7E13014-F41C-47F0-BDFF-9B5E8CF3462A}"/>
  </w:font>
  <w:font w:name="黑体">
    <w:panose1 w:val="02010609060101010101"/>
    <w:charset w:val="86"/>
    <w:family w:val="auto"/>
    <w:pitch w:val="default"/>
    <w:sig w:usb0="800002BF" w:usb1="38CF7CFA" w:usb2="00000016" w:usb3="00000000" w:csb0="00040001" w:csb1="00000000"/>
    <w:embedRegular r:id="rId2" w:fontKey="{8F59C633-E222-471D-96EC-F7A4E7F627C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79EAAB81-D6D7-48B9-ABAA-54DD911C32F3}"/>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embedRegular r:id="rId4" w:fontKey="{902A43C8-43FF-4DA1-BCA1-E5CB7884DE54}"/>
  </w:font>
  <w:font w:name="DejaVu Sans">
    <w:altName w:val="Courier New"/>
    <w:panose1 w:val="00000000000000000000"/>
    <w:charset w:val="00"/>
    <w:family w:val="roman"/>
    <w:pitch w:val="default"/>
    <w:sig w:usb0="00000000" w:usb1="00000000" w:usb2="00000008" w:usb3="00000000" w:csb0="000001FF" w:csb1="00000000"/>
  </w:font>
  <w:font w:name="方正小标宋">
    <w:altName w:val="宋体"/>
    <w:panose1 w:val="00000000000000000000"/>
    <w:charset w:val="86"/>
    <w:family w:val="roman"/>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font-weight : 400">
    <w:altName w:val="Courier New"/>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微软雅黑">
    <w:panose1 w:val="020B0503020204020204"/>
    <w:charset w:val="86"/>
    <w:family w:val="swiss"/>
    <w:pitch w:val="default"/>
    <w:sig w:usb0="80000287" w:usb1="280F3C52" w:usb2="00000016" w:usb3="00000000" w:csb0="0004001F" w:csb1="00000000"/>
    <w:embedRegular r:id="rId5" w:fontKey="{24BD0AED-99EA-448A-B2BC-6BE8B8EDFFF0}"/>
  </w:font>
  <w:font w:name="仿宋">
    <w:panose1 w:val="02010609060101010101"/>
    <w:charset w:val="86"/>
    <w:family w:val="modern"/>
    <w:pitch w:val="default"/>
    <w:sig w:usb0="800002BF" w:usb1="38CF7CFA" w:usb2="00000016" w:usb3="00000000" w:csb0="00040001" w:csb1="00000000"/>
    <w:embedRegular r:id="rId6" w:fontKey="{E93E9B73-E2B5-4609-AFA2-A56C2C0C819B}"/>
  </w:font>
  <w:font w:name="方正小标宋简体">
    <w:panose1 w:val="02000000000000000000"/>
    <w:charset w:val="86"/>
    <w:family w:val="auto"/>
    <w:pitch w:val="default"/>
    <w:sig w:usb0="A00002BF" w:usb1="184F6CFA" w:usb2="00000012" w:usb3="00000000" w:csb0="00040001" w:csb1="00000000"/>
    <w:embedRegular r:id="rId7" w:fontKey="{B95509F9-30D0-4947-A38D-C35709F5122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0" w:line="14" w:lineRule="auto"/>
      <w:ind w:left="0" w:firstLine="400"/>
      <w:rPr>
        <w:rFonts w:hint="eastAsia"/>
        <w:sz w:val="20"/>
      </w:rPr>
    </w:pPr>
    <w:r>
      <w:rPr>
        <w:sz w:val="20"/>
      </w:rPr>
      <mc:AlternateContent>
        <mc:Choice Requires="wps">
          <w:drawing>
            <wp:anchor distT="0" distB="0" distL="114300" distR="114300" simplePos="0" relativeHeight="251660288" behindDoc="0" locked="0" layoutInCell="1" allowOverlap="1">
              <wp:simplePos x="0" y="0"/>
              <wp:positionH relativeFrom="margin">
                <wp:posOffset>2424430</wp:posOffset>
              </wp:positionH>
              <wp:positionV relativeFrom="paragraph">
                <wp:posOffset>-338455</wp:posOffset>
              </wp:positionV>
              <wp:extent cx="1828800" cy="7004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700405"/>
                      </a:xfrm>
                      <a:prstGeom prst="rect">
                        <a:avLst/>
                      </a:prstGeom>
                      <a:noFill/>
                      <a:ln w="6350">
                        <a:noFill/>
                      </a:ln>
                      <a:effectLst/>
                    </wps:spPr>
                    <wps:txbx>
                      <w:txbxContent>
                        <w:p>
                          <w:pPr>
                            <w:snapToGrid w:val="0"/>
                            <w:ind w:firstLine="360"/>
                            <w:rPr>
                              <w:rFonts w:hint="eastAsia" w:ascii="宋体" w:hAnsi="宋体" w:eastAsia="宋体" w:cs="宋体"/>
                              <w:sz w:val="18"/>
                            </w:rPr>
                          </w:pP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0.9pt;margin-top:-26.65pt;height:55.15pt;width:144pt;mso-position-horizontal-relative:margin;mso-wrap-style:none;z-index:251660288;mso-width-relative:page;mso-height-relative:page;" filled="f" stroked="f" coordsize="21600,21600" o:gfxdata="UEsDBAoAAAAAAIdO4kAAAAAAAAAAAAAAAAAEAAAAZHJzL1BLAwQUAAAACACHTuJAUvYjY9oAAAAK&#10;AQAADwAAAGRycy9kb3ducmV2LnhtbE2PzU7DMBCE70i8g7VI3Fo7hKQlZFMhJHrh1ACVuG1jN4nw&#10;TxS7TeDpMady3NnRzDflZjaandXoe2cRkqUApmzjZG9bhPe3l8UamA9kJWlnFcK38rCprq9KKqSb&#10;7E6d69CyGGJ9QQhdCEPBuW86Zcgv3aBs/B3daCjEc2y5HGmK4UbzOyFybqi3saGjQT13qvmqTwZh&#10;O//s71/Hz6Br2jXZh3lqj9sJ8fYmEY/AgprDxQx/+BEdqsh0cCcrPdMI6TqJ6AFhkaUpsOjI84eo&#10;HBCylQBelfz/hOoXUEsDBBQAAAAIAIdO4kCViJN8NQIAAGIEAAAOAAAAZHJzL2Uyb0RvYy54bWyt&#10;VMGO0zAQvSPxD5bvNGnLLlXVdFW2KkJasSsVxNl1nMaS7bFst0n5APgDTly48139DsZO0kULhz1w&#10;Scee8Zt5b2a6uGm1IkfhvART0PEop0QYDqU0+4J++rh5NaPEB2ZKpsCIgp6EpzfLly8WjZ2LCdSg&#10;SuEIghg/b2xB6xDsPMs8r4VmfgRWGHRW4DQLeHT7rHSsQXStskmeX2cNuNI64MJ7vF13TtojuucA&#10;QlVJLtbAD1qY0KE6oVhASr6W1tNlqraqBA/3VeVFIKqgyDSkLyZBexe/2XLB5nvHbC15XwJ7TglP&#10;OGkmDSa9QK1ZYOTg5F9QWnIHHqow4qCzjkhSBFmM8yfabGtmReKCUnt7Ed3/P1j+4fjgiCwLOqXE&#10;MI0NP3//dv7x6/zzK5lGeRrr5xi1tRgX2rfQ4tAM9x4vI+u2cjr+Ih+CfhT3dBFXtIHw+Gg2mc1y&#10;dHH0vcnz1/lVhMkeX1vnwzsBmkSjoA6blzRlxzsfutAhJCYzsJFKpQYqQ5qCXk+v8vTg4kFwZWKs&#10;SKPQw0RGXeXRCu2u7WnuoDwhSwfdmHjLNxJLuWM+PDCHc4HV4+aEe/xUCjAl9BYlNbgv/7qP8dgu&#10;9FLS4JwV1OBaUaLeG2wjAobBcIOxGwxz0LeAgzvGjbQ8mfjABTWYlQP9GddpFXOgixmOmQoaBvM2&#10;dLOO68jFapWCcPAsC3dma3mE7qRcHQJUMqkcRemUwO7EA45e6lO/JnG2/zynqMe/hu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UvYjY9oAAAAKAQAADwAAAAAAAAABACAAAAAiAAAAZHJzL2Rvd25y&#10;ZXYueG1sUEsBAhQAFAAAAAgAh07iQJWIk3w1AgAAYgQAAA4AAAAAAAAAAQAgAAAAKQEAAGRycy9l&#10;Mm9Eb2MueG1sUEsFBgAAAAAGAAYAWQEAANAFAAAAAA==&#10;">
              <v:fill on="f" focussize="0,0"/>
              <v:stroke on="f" weight="0.5pt"/>
              <v:imagedata o:title=""/>
              <o:lock v:ext="edit" aspectratio="f"/>
              <v:textbox inset="0mm,0mm,0mm,0mm">
                <w:txbxContent>
                  <w:p>
                    <w:pPr>
                      <w:snapToGrid w:val="0"/>
                      <w:ind w:firstLine="360"/>
                      <w:rPr>
                        <w:rFonts w:hint="eastAsia" w:ascii="宋体" w:hAnsi="宋体" w:eastAsia="宋体" w:cs="宋体"/>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0" w:line="14" w:lineRule="auto"/>
      <w:ind w:left="0" w:firstLine="400"/>
      <w:rPr>
        <w:rFonts w:hint="eastAsia"/>
        <w:sz w:val="20"/>
      </w:rPr>
    </w:pPr>
    <w:r>
      <w:rPr>
        <w:sz w:val="20"/>
      </w:rPr>
      <mc:AlternateContent>
        <mc:Choice Requires="wps">
          <w:drawing>
            <wp:anchor distT="0" distB="0" distL="114300" distR="114300" simplePos="0" relativeHeight="251661312" behindDoc="0" locked="0" layoutInCell="1" allowOverlap="1">
              <wp:simplePos x="0" y="0"/>
              <wp:positionH relativeFrom="margin">
                <wp:posOffset>2424430</wp:posOffset>
              </wp:positionH>
              <wp:positionV relativeFrom="paragraph">
                <wp:posOffset>-338455</wp:posOffset>
              </wp:positionV>
              <wp:extent cx="1828800" cy="7004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700405"/>
                      </a:xfrm>
                      <a:prstGeom prst="rect">
                        <a:avLst/>
                      </a:prstGeom>
                      <a:noFill/>
                      <a:ln w="6350">
                        <a:noFill/>
                      </a:ln>
                      <a:effectLst/>
                    </wps:spPr>
                    <wps:txbx>
                      <w:txbxContent>
                        <w:p>
                          <w:pPr>
                            <w:snapToGrid w:val="0"/>
                            <w:ind w:firstLine="360"/>
                            <w:rPr>
                              <w:rFonts w:hint="eastAsia" w:ascii="宋体" w:hAnsi="宋体" w:eastAsia="宋体" w:cs="宋体"/>
                              <w:sz w:val="18"/>
                            </w:rPr>
                          </w:pPr>
                          <w:r>
                            <w:rPr>
                              <w:rFonts w:hint="eastAsia" w:ascii="宋体" w:hAnsi="宋体" w:eastAsia="宋体" w:cs="宋体"/>
                              <w:sz w:val="18"/>
                            </w:rPr>
                            <w:fldChar w:fldCharType="begin"/>
                          </w:r>
                          <w:r>
                            <w:rPr>
                              <w:rFonts w:hint="eastAsia" w:ascii="宋体" w:hAnsi="宋体" w:eastAsia="宋体" w:cs="宋体"/>
                              <w:sz w:val="18"/>
                            </w:rPr>
                            <w:instrText xml:space="preserve"> PAGE  \* MERGEFORMAT </w:instrText>
                          </w:r>
                          <w:r>
                            <w:rPr>
                              <w:rFonts w:hint="eastAsia" w:ascii="宋体" w:hAnsi="宋体" w:eastAsia="宋体" w:cs="宋体"/>
                              <w:sz w:val="18"/>
                            </w:rPr>
                            <w:fldChar w:fldCharType="separate"/>
                          </w:r>
                          <w:r>
                            <w:rPr>
                              <w:rFonts w:hint="eastAsia" w:ascii="宋体" w:hAnsi="宋体" w:eastAsia="宋体" w:cs="宋体"/>
                              <w:sz w:val="18"/>
                            </w:rPr>
                            <w:t>- 29 -</w:t>
                          </w:r>
                          <w:r>
                            <w:rPr>
                              <w:rFonts w:hint="eastAsia" w:ascii="宋体" w:hAnsi="宋体" w:eastAsia="宋体" w:cs="宋体"/>
                              <w:sz w:val="18"/>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0.9pt;margin-top:-26.65pt;height:55.15pt;width:144pt;mso-position-horizontal-relative:margin;mso-wrap-style:none;z-index:251661312;mso-width-relative:page;mso-height-relative:page;" filled="f" stroked="f" coordsize="21600,21600" o:gfxdata="UEsDBAoAAAAAAIdO4kAAAAAAAAAAAAAAAAAEAAAAZHJzL1BLAwQUAAAACACHTuJAUvYjY9oAAAAK&#10;AQAADwAAAGRycy9kb3ducmV2LnhtbE2PzU7DMBCE70i8g7VI3Fo7hKQlZFMhJHrh1ACVuG1jN4nw&#10;TxS7TeDpMady3NnRzDflZjaandXoe2cRkqUApmzjZG9bhPe3l8UamA9kJWlnFcK38rCprq9KKqSb&#10;7E6d69CyGGJ9QQhdCEPBuW86Zcgv3aBs/B3daCjEc2y5HGmK4UbzOyFybqi3saGjQT13qvmqTwZh&#10;O//s71/Hz6Br2jXZh3lqj9sJ8fYmEY/AgprDxQx/+BEdqsh0cCcrPdMI6TqJ6AFhkaUpsOjI84eo&#10;HBCylQBelfz/hOoXUEsDBBQAAAAIAIdO4kDl64+ANQIAAGIEAAAOAAAAZHJzL2Uyb0RvYy54bWyt&#10;VMGO0zAQvSPxD5bvNGnpLlXVdFW2KkJasSsVxNl1nMaS7bFst0n5APgDTly48139DsZO0kULhz1w&#10;Scee8Zt5b2a6uGm1IkfhvART0PEop0QYDqU0+4J++rh5NaPEB2ZKpsCIgp6EpzfLly8WjZ2LCdSg&#10;SuEIghg/b2xB6xDsPMs8r4VmfgRWGHRW4DQLeHT7rHSsQXStskmeX2cNuNI64MJ7vF13TtojuucA&#10;QlVJLtbAD1qY0KE6oVhASr6W1tNlqraqBA/3VeVFIKqgyDSkLyZBexe/2XLB5nvHbC15XwJ7TglP&#10;OGkmDSa9QK1ZYOTg5F9QWnIHHqow4qCzjkhSBFmM8yfabGtmReKCUnt7Ed3/P1j+4fjgiCwLOqXE&#10;MI0NP3//dv7x6/zzK5lGeRrr5xi1tRgX2rfQ4tAM9x4vI+u2cjr+Ih+CfhT3dBFXtIHw+Gg2mc1y&#10;dHH0vcnzaX4VYbLH19b58E6AJtEoqMPmJU3Z8c6HLnQIickMbKRSqYHKkKag16+v8vTg4kFwZWKs&#10;SKPQw0RGXeXRCu2u7WnuoDwhSwfdmHjLNxJLuWM+PDCHc4HV4+aEe/xUCjAl9BYlNbgv/7qP8dgu&#10;9FLS4JwV1OBaUaLeG2wjAobBcIOxGwxz0LeAgzvGjbQ8mfjABTWYlQP9GddpFXOgixmOmQoaBvM2&#10;dLOO68jFapWCcPAsC3dma3mE7qRcHQJUMqkcRemUwO7EA45e6lO/JnG2/zynqMe/hu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UvYjY9oAAAAKAQAADwAAAAAAAAABACAAAAAiAAAAZHJzL2Rvd25y&#10;ZXYueG1sUEsBAhQAFAAAAAgAh07iQOXrj4A1AgAAYgQAAA4AAAAAAAAAAQAgAAAAKQEAAGRycy9l&#10;Mm9Eb2MueG1sUEsFBgAAAAAGAAYAWQEAANAFAAAAAA==&#10;">
              <v:fill on="f" focussize="0,0"/>
              <v:stroke on="f" weight="0.5pt"/>
              <v:imagedata o:title=""/>
              <o:lock v:ext="edit" aspectratio="f"/>
              <v:textbox inset="0mm,0mm,0mm,0mm">
                <w:txbxContent>
                  <w:p>
                    <w:pPr>
                      <w:snapToGrid w:val="0"/>
                      <w:ind w:firstLine="360"/>
                      <w:rPr>
                        <w:rFonts w:hint="eastAsia" w:ascii="宋体" w:hAnsi="宋体" w:eastAsia="宋体" w:cs="宋体"/>
                        <w:sz w:val="18"/>
                      </w:rPr>
                    </w:pPr>
                    <w:r>
                      <w:rPr>
                        <w:rFonts w:hint="eastAsia" w:ascii="宋体" w:hAnsi="宋体" w:eastAsia="宋体" w:cs="宋体"/>
                        <w:sz w:val="18"/>
                      </w:rPr>
                      <w:fldChar w:fldCharType="begin"/>
                    </w:r>
                    <w:r>
                      <w:rPr>
                        <w:rFonts w:hint="eastAsia" w:ascii="宋体" w:hAnsi="宋体" w:eastAsia="宋体" w:cs="宋体"/>
                        <w:sz w:val="18"/>
                      </w:rPr>
                      <w:instrText xml:space="preserve"> PAGE  \* MERGEFORMAT </w:instrText>
                    </w:r>
                    <w:r>
                      <w:rPr>
                        <w:rFonts w:hint="eastAsia" w:ascii="宋体" w:hAnsi="宋体" w:eastAsia="宋体" w:cs="宋体"/>
                        <w:sz w:val="18"/>
                      </w:rPr>
                      <w:fldChar w:fldCharType="separate"/>
                    </w:r>
                    <w:r>
                      <w:rPr>
                        <w:rFonts w:hint="eastAsia" w:ascii="宋体" w:hAnsi="宋体" w:eastAsia="宋体" w:cs="宋体"/>
                        <w:sz w:val="18"/>
                      </w:rPr>
                      <w:t>- 29 -</w:t>
                    </w:r>
                    <w:r>
                      <w:rPr>
                        <w:rFonts w:hint="eastAsia" w:ascii="宋体" w:hAnsi="宋体" w:eastAsia="宋体" w:cs="宋体"/>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0" w:line="14" w:lineRule="auto"/>
      <w:ind w:left="0" w:firstLine="400"/>
      <w:rPr>
        <w:rFonts w:hint="eastAsia"/>
        <w:sz w:val="20"/>
      </w:rPr>
    </w:pPr>
    <w:r>
      <w:rPr>
        <w:sz w:val="20"/>
      </w:rPr>
      <mc:AlternateContent>
        <mc:Choice Requires="wps">
          <w:drawing>
            <wp:anchor distT="0" distB="0" distL="114300" distR="114300" simplePos="0" relativeHeight="251659264" behindDoc="0" locked="0" layoutInCell="1" allowOverlap="1">
              <wp:simplePos x="0" y="0"/>
              <wp:positionH relativeFrom="margin">
                <wp:posOffset>4218940</wp:posOffset>
              </wp:positionH>
              <wp:positionV relativeFrom="paragraph">
                <wp:posOffset>-582930</wp:posOffset>
              </wp:positionV>
              <wp:extent cx="1828800" cy="5886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588645"/>
                      </a:xfrm>
                      <a:prstGeom prst="rect">
                        <a:avLst/>
                      </a:prstGeom>
                      <a:noFill/>
                      <a:ln w="6350">
                        <a:noFill/>
                      </a:ln>
                      <a:effectLst/>
                    </wps:spPr>
                    <wps:txbx>
                      <w:txbxContent>
                        <w:p>
                          <w:pPr>
                            <w:snapToGrid w:val="0"/>
                            <w:ind w:firstLine="360"/>
                            <w:rPr>
                              <w:rFonts w:hint="eastAsia" w:ascii="宋体" w:hAnsi="宋体" w:eastAsia="宋体" w:cs="宋体"/>
                              <w:sz w:val="18"/>
                            </w:rPr>
                          </w:pPr>
                          <w:r>
                            <w:rPr>
                              <w:rFonts w:hint="eastAsia" w:ascii="宋体" w:hAnsi="宋体" w:eastAsia="宋体" w:cs="宋体"/>
                              <w:sz w:val="18"/>
                            </w:rPr>
                            <w:fldChar w:fldCharType="begin"/>
                          </w:r>
                          <w:r>
                            <w:rPr>
                              <w:rFonts w:hint="eastAsia" w:ascii="宋体" w:hAnsi="宋体" w:eastAsia="宋体" w:cs="宋体"/>
                              <w:sz w:val="18"/>
                            </w:rPr>
                            <w:instrText xml:space="preserve"> PAGE  \* MERGEFORMAT </w:instrText>
                          </w:r>
                          <w:r>
                            <w:rPr>
                              <w:rFonts w:hint="eastAsia" w:ascii="宋体" w:hAnsi="宋体" w:eastAsia="宋体" w:cs="宋体"/>
                              <w:sz w:val="18"/>
                            </w:rPr>
                            <w:fldChar w:fldCharType="separate"/>
                          </w:r>
                          <w:r>
                            <w:rPr>
                              <w:rFonts w:hint="eastAsia" w:ascii="宋体" w:hAnsi="宋体" w:eastAsia="宋体" w:cs="宋体"/>
                              <w:sz w:val="18"/>
                            </w:rPr>
                            <w:t>- 38 -</w:t>
                          </w:r>
                          <w:r>
                            <w:rPr>
                              <w:rFonts w:hint="eastAsia" w:ascii="宋体" w:hAnsi="宋体" w:eastAsia="宋体" w:cs="宋体"/>
                              <w:sz w:val="18"/>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32.2pt;margin-top:-45.9pt;height:46.35pt;width:144pt;mso-position-horizontal-relative:margin;mso-wrap-style:none;z-index:251659264;mso-width-relative:page;mso-height-relative:page;" filled="f" stroked="f" coordsize="21600,21600" o:gfxdata="UEsDBAoAAAAAAIdO4kAAAAAAAAAAAAAAAAAEAAAAZHJzL1BLAwQUAAAACACHTuJA3cPcbdgAAAAI&#10;AQAADwAAAGRycy9kb3ducmV2LnhtbE2PzU7DMBCE70i8g7WVuLVOqjSiIU6FkOiFU8OPxG0bb5Oo&#10;sR3ZbhN4epYT3HZ3RrPflLvZDOJKPvTOKkhXCQiyjdO9bRW8vT4v70GEiFbj4Cwp+KIAu+r2psRC&#10;u8ke6FrHVnCIDQUq6GIcCylD05HBsHIjWdZOzhuMvPpWao8Th5tBrpMklwZ7yx86HOmpo+ZcX4yC&#10;/fz9kb34zzjUeGg27+axPe0npe4WafIAItIc/8zwi8/oUDHT0V2sDmJQkOdZxlYFy23KHdix3az5&#10;cuQBZFXK/wWqH1BLAwQUAAAACACHTuJAXliqUjUCAABiBAAADgAAAGRycy9lMm9Eb2MueG1srVTB&#10;jtMwEL0j8Q+W7zRpoVVVNV2VrYqQKnalBXF2HaexZHss221SPgD+gBMX7nxXv4Oxk3TRwmEPXNKx&#10;Z/xm3puZLm9archJOC/BFHQ8yikRhkMpzaGgnz5uX80p8YGZkikwoqBn4enN6uWLZWMXYgI1qFI4&#10;giDGLxpb0DoEu8gyz2uhmR+BFQadFTjNAh7dISsdaxBdq2yS57OsAVdaB1x4j7ebzkl7RPccQKgq&#10;ycUG+FELEzpUJxQLSMnX0nq6StVWleDhrqq8CEQVFJmG9MUkaO/jN1st2eLgmK0l70tgzynhCSfN&#10;pMGkV6gNC4wcnfwLSkvuwEMVRhx01hFJiiCLcf5Em4eaWZG4oNTeXkX3/w+WfzjdOyLLgk4oMUxj&#10;wy/fv11+/Lr8/EomUZ7G+gVGPViMC+1baHFohnuPl5F1Wzkdf5EPQT+Ke76KK9pAeHw0n8znObo4&#10;+qbz+ezNNMJkj6+t8+GdAE2iUVCHzUuastPOhy50CInJDGylUqmBypCmoLPX0zw9uHoQXJkYK9Io&#10;9DCRUVd5tEK7b3uaeyjPyNJBNybe8q3EUnbMh3vmcC6wetyccIefSgGmhN6ipAb35V/3MR7bhV5K&#10;GpyzghpcK0rUe4NtRMAwGG4w9oNhjvoWcHDHuJGWJxMfuKAGs3KgP+M6rWMOdDHDMVNBw2Dehm7W&#10;cR25WK9TEA6eZWFnHiyP0J2U62OASiaVoyidEtideMDRS33q1yTO9p/nFPX417D6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3D3G3YAAAACAEAAA8AAAAAAAAAAQAgAAAAIgAAAGRycy9kb3ducmV2&#10;LnhtbFBLAQIUABQAAAAIAIdO4kBeWKpSNQIAAGIEAAAOAAAAAAAAAAEAIAAAACcBAABkcnMvZTJv&#10;RG9jLnhtbFBLBQYAAAAABgAGAFkBAADOBQAAAAA=&#10;">
              <v:fill on="f" focussize="0,0"/>
              <v:stroke on="f" weight="0.5pt"/>
              <v:imagedata o:title=""/>
              <o:lock v:ext="edit" aspectratio="f"/>
              <v:textbox inset="0mm,0mm,0mm,0mm">
                <w:txbxContent>
                  <w:p>
                    <w:pPr>
                      <w:snapToGrid w:val="0"/>
                      <w:ind w:firstLine="360"/>
                      <w:rPr>
                        <w:rFonts w:hint="eastAsia" w:ascii="宋体" w:hAnsi="宋体" w:eastAsia="宋体" w:cs="宋体"/>
                        <w:sz w:val="18"/>
                      </w:rPr>
                    </w:pPr>
                    <w:r>
                      <w:rPr>
                        <w:rFonts w:hint="eastAsia" w:ascii="宋体" w:hAnsi="宋体" w:eastAsia="宋体" w:cs="宋体"/>
                        <w:sz w:val="18"/>
                      </w:rPr>
                      <w:fldChar w:fldCharType="begin"/>
                    </w:r>
                    <w:r>
                      <w:rPr>
                        <w:rFonts w:hint="eastAsia" w:ascii="宋体" w:hAnsi="宋体" w:eastAsia="宋体" w:cs="宋体"/>
                        <w:sz w:val="18"/>
                      </w:rPr>
                      <w:instrText xml:space="preserve"> PAGE  \* MERGEFORMAT </w:instrText>
                    </w:r>
                    <w:r>
                      <w:rPr>
                        <w:rFonts w:hint="eastAsia" w:ascii="宋体" w:hAnsi="宋体" w:eastAsia="宋体" w:cs="宋体"/>
                        <w:sz w:val="18"/>
                      </w:rPr>
                      <w:fldChar w:fldCharType="separate"/>
                    </w:r>
                    <w:r>
                      <w:rPr>
                        <w:rFonts w:hint="eastAsia" w:ascii="宋体" w:hAnsi="宋体" w:eastAsia="宋体" w:cs="宋体"/>
                        <w:sz w:val="18"/>
                      </w:rPr>
                      <w:t>- 38 -</w:t>
                    </w:r>
                    <w:r>
                      <w:rPr>
                        <w:rFonts w:hint="eastAsia" w:ascii="宋体" w:hAnsi="宋体" w:eastAsia="宋体" w:cs="宋体"/>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ind w:firstLine="0" w:firstLineChars="0"/>
      <w:jc w:val="left"/>
      <w:rPr>
        <w:rFonts w:ascii="Times New Roman" w:hAnsi="Times New Roman"/>
        <w:lang w:eastAsia="zh-CN"/>
      </w:rPr>
    </w:pPr>
    <w:r>
      <w:rPr>
        <w:rFonts w:hint="eastAsia" w:ascii="Times New Roman" w:hAnsi="Times New Roman"/>
        <w:lang w:eastAsia="zh-CN"/>
      </w:rPr>
      <w:t>延风中学男生宿舍学生用床、柜子采购项目</w:t>
    </w:r>
    <w:r>
      <w:rPr>
        <w:rFonts w:ascii="Times New Roman" w:hAnsi="Times New Roman"/>
        <w:lang w:eastAsia="zh-CN"/>
      </w:rPr>
      <w:t>绩效评价报告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0" w:firstLineChars="0"/>
      <w:rPr>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0" w:firstLineChars="0"/>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97E30"/>
    <w:multiLevelType w:val="multilevel"/>
    <w:tmpl w:val="AFE97E30"/>
    <w:lvl w:ilvl="0" w:tentative="0">
      <w:start w:val="1"/>
      <w:numFmt w:val="decimal"/>
      <w:lvlText w:val="（%1）"/>
      <w:lvlJc w:val="left"/>
      <w:pPr>
        <w:ind w:left="1083" w:hanging="440"/>
      </w:pPr>
      <w:rPr>
        <w:rFonts w:hint="default" w:ascii="Times New Roman" w:hAnsi="Times New Roman" w:eastAsia="宋体"/>
        <w:b w:val="0"/>
        <w:i w:val="0"/>
        <w:sz w:val="30"/>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
    <w:nsid w:val="12823613"/>
    <w:multiLevelType w:val="multilevel"/>
    <w:tmpl w:val="12823613"/>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decimal"/>
      <w:lvlText w:val="%3."/>
      <w:lvlJc w:val="left"/>
      <w:pPr>
        <w:ind w:left="1083" w:hanging="440"/>
      </w:pPr>
      <w:rPr>
        <w:rFonts w:hint="eastAsia"/>
      </w:r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3A304B4"/>
    <w:multiLevelType w:val="multilevel"/>
    <w:tmpl w:val="13A304B4"/>
    <w:lvl w:ilvl="0" w:tentative="0">
      <w:start w:val="1"/>
      <w:numFmt w:val="decimal"/>
      <w:lvlText w:val="%1."/>
      <w:lvlJc w:val="left"/>
      <w:pPr>
        <w:ind w:left="1083" w:hanging="440"/>
      </w:pPr>
      <w:rPr>
        <w:rFonts w:hint="eastAsia"/>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3">
    <w:nsid w:val="15922F86"/>
    <w:multiLevelType w:val="multilevel"/>
    <w:tmpl w:val="15922F86"/>
    <w:lvl w:ilvl="0" w:tentative="0">
      <w:start w:val="1"/>
      <w:numFmt w:val="decimal"/>
      <w:lvlText w:val="（%1）"/>
      <w:lvlJc w:val="left"/>
      <w:pPr>
        <w:ind w:left="1083" w:hanging="440"/>
      </w:pPr>
      <w:rPr>
        <w:rFonts w:hint="default" w:ascii="Times New Roman" w:hAnsi="Times New Roman" w:eastAsia="宋体"/>
        <w:b w:val="0"/>
        <w:i w:val="0"/>
        <w:sz w:val="30"/>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4">
    <w:nsid w:val="15AF195D"/>
    <w:multiLevelType w:val="multilevel"/>
    <w:tmpl w:val="15AF195D"/>
    <w:lvl w:ilvl="0" w:tentative="0">
      <w:start w:val="1"/>
      <w:numFmt w:val="chineseCountingThousand"/>
      <w:lvlText w:val="(%1)"/>
      <w:lvlJc w:val="left"/>
      <w:pPr>
        <w:ind w:left="1083" w:hanging="440"/>
      </w:p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5">
    <w:nsid w:val="1621278D"/>
    <w:multiLevelType w:val="multilevel"/>
    <w:tmpl w:val="1621278D"/>
    <w:lvl w:ilvl="0" w:tentative="0">
      <w:start w:val="1"/>
      <w:numFmt w:val="chineseCountingThousand"/>
      <w:lvlText w:val="(%1)"/>
      <w:lvlJc w:val="left"/>
      <w:pPr>
        <w:ind w:left="1083" w:hanging="440"/>
      </w:p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6">
    <w:nsid w:val="18F2303F"/>
    <w:multiLevelType w:val="multilevel"/>
    <w:tmpl w:val="18F2303F"/>
    <w:lvl w:ilvl="0" w:tentative="0">
      <w:start w:val="1"/>
      <w:numFmt w:val="decimal"/>
      <w:lvlText w:val="%1."/>
      <w:lvlJc w:val="left"/>
      <w:pPr>
        <w:ind w:left="1083" w:hanging="440"/>
      </w:pPr>
      <w:rPr>
        <w:rFonts w:hint="eastAsia"/>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7">
    <w:nsid w:val="1A7B45DD"/>
    <w:multiLevelType w:val="multilevel"/>
    <w:tmpl w:val="1A7B45DD"/>
    <w:lvl w:ilvl="0" w:tentative="0">
      <w:start w:val="1"/>
      <w:numFmt w:val="decimal"/>
      <w:lvlText w:val="（%1）"/>
      <w:lvlJc w:val="left"/>
      <w:pPr>
        <w:ind w:left="1008" w:hanging="440"/>
      </w:pPr>
      <w:rPr>
        <w:rFonts w:hint="default" w:ascii="Times New Roman" w:hAnsi="Times New Roman" w:eastAsia="宋体"/>
        <w:b w:val="0"/>
        <w:i w:val="0"/>
        <w:sz w:val="30"/>
      </w:rPr>
    </w:lvl>
    <w:lvl w:ilvl="1" w:tentative="0">
      <w:start w:val="1"/>
      <w:numFmt w:val="lowerLetter"/>
      <w:lvlText w:val="%2)"/>
      <w:lvlJc w:val="left"/>
      <w:pPr>
        <w:ind w:left="1448" w:hanging="440"/>
      </w:pPr>
    </w:lvl>
    <w:lvl w:ilvl="2" w:tentative="0">
      <w:start w:val="1"/>
      <w:numFmt w:val="lowerRoman"/>
      <w:lvlText w:val="%3."/>
      <w:lvlJc w:val="right"/>
      <w:pPr>
        <w:ind w:left="1888" w:hanging="440"/>
      </w:pPr>
    </w:lvl>
    <w:lvl w:ilvl="3" w:tentative="0">
      <w:start w:val="1"/>
      <w:numFmt w:val="decimal"/>
      <w:lvlText w:val="%4."/>
      <w:lvlJc w:val="left"/>
      <w:pPr>
        <w:ind w:left="2328" w:hanging="440"/>
      </w:pPr>
    </w:lvl>
    <w:lvl w:ilvl="4" w:tentative="0">
      <w:start w:val="1"/>
      <w:numFmt w:val="lowerLetter"/>
      <w:lvlText w:val="%5)"/>
      <w:lvlJc w:val="left"/>
      <w:pPr>
        <w:ind w:left="2768" w:hanging="440"/>
      </w:pPr>
    </w:lvl>
    <w:lvl w:ilvl="5" w:tentative="0">
      <w:start w:val="1"/>
      <w:numFmt w:val="lowerRoman"/>
      <w:lvlText w:val="%6."/>
      <w:lvlJc w:val="right"/>
      <w:pPr>
        <w:ind w:left="3208" w:hanging="440"/>
      </w:pPr>
    </w:lvl>
    <w:lvl w:ilvl="6" w:tentative="0">
      <w:start w:val="1"/>
      <w:numFmt w:val="decimal"/>
      <w:lvlText w:val="%7."/>
      <w:lvlJc w:val="left"/>
      <w:pPr>
        <w:ind w:left="3648" w:hanging="440"/>
      </w:pPr>
    </w:lvl>
    <w:lvl w:ilvl="7" w:tentative="0">
      <w:start w:val="1"/>
      <w:numFmt w:val="lowerLetter"/>
      <w:lvlText w:val="%8)"/>
      <w:lvlJc w:val="left"/>
      <w:pPr>
        <w:ind w:left="4088" w:hanging="440"/>
      </w:pPr>
    </w:lvl>
    <w:lvl w:ilvl="8" w:tentative="0">
      <w:start w:val="1"/>
      <w:numFmt w:val="lowerRoman"/>
      <w:lvlText w:val="%9."/>
      <w:lvlJc w:val="right"/>
      <w:pPr>
        <w:ind w:left="4528" w:hanging="440"/>
      </w:pPr>
    </w:lvl>
  </w:abstractNum>
  <w:abstractNum w:abstractNumId="8">
    <w:nsid w:val="2F13461A"/>
    <w:multiLevelType w:val="multilevel"/>
    <w:tmpl w:val="2F13461A"/>
    <w:lvl w:ilvl="0" w:tentative="0">
      <w:start w:val="1"/>
      <w:numFmt w:val="decimal"/>
      <w:lvlText w:val="（%1）"/>
      <w:lvlJc w:val="left"/>
      <w:pPr>
        <w:ind w:left="1083" w:hanging="440"/>
      </w:pPr>
      <w:rPr>
        <w:rFonts w:hint="default" w:ascii="Times New Roman" w:hAnsi="Times New Roman" w:eastAsia="宋体"/>
        <w:b w:val="0"/>
        <w:i w:val="0"/>
        <w:sz w:val="30"/>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9">
    <w:nsid w:val="2FE04E6D"/>
    <w:multiLevelType w:val="multilevel"/>
    <w:tmpl w:val="2FE04E6D"/>
    <w:lvl w:ilvl="0" w:tentative="0">
      <w:start w:val="1"/>
      <w:numFmt w:val="decimal"/>
      <w:lvlText w:val="%1."/>
      <w:lvlJc w:val="left"/>
      <w:pPr>
        <w:ind w:left="1083" w:hanging="440"/>
      </w:pPr>
    </w:lvl>
    <w:lvl w:ilvl="1" w:tentative="0">
      <w:start w:val="1"/>
      <w:numFmt w:val="lowerLetter"/>
      <w:lvlText w:val="%2)"/>
      <w:lvlJc w:val="left"/>
      <w:pPr>
        <w:ind w:left="1523" w:hanging="440"/>
      </w:pPr>
    </w:lvl>
    <w:lvl w:ilvl="2" w:tentative="0">
      <w:start w:val="1"/>
      <w:numFmt w:val="decimal"/>
      <w:lvlText w:val="%3."/>
      <w:lvlJc w:val="left"/>
      <w:pPr>
        <w:ind w:left="1083" w:hanging="440"/>
      </w:pPr>
      <w:rPr>
        <w:rFonts w:hint="eastAsia"/>
      </w:r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0">
    <w:nsid w:val="30EA7D43"/>
    <w:multiLevelType w:val="multilevel"/>
    <w:tmpl w:val="30EA7D43"/>
    <w:lvl w:ilvl="0" w:tentative="0">
      <w:start w:val="1"/>
      <w:numFmt w:val="chineseCountingThousand"/>
      <w:lvlText w:val="(%1)"/>
      <w:lvlJc w:val="left"/>
      <w:pPr>
        <w:ind w:left="1083" w:hanging="440"/>
      </w:p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1">
    <w:nsid w:val="39536E40"/>
    <w:multiLevelType w:val="multilevel"/>
    <w:tmpl w:val="39536E40"/>
    <w:lvl w:ilvl="0" w:tentative="0">
      <w:start w:val="1"/>
      <w:numFmt w:val="decimal"/>
      <w:lvlText w:val="（%1）"/>
      <w:lvlJc w:val="left"/>
      <w:pPr>
        <w:ind w:left="1136" w:hanging="440"/>
      </w:pPr>
      <w:rPr>
        <w:rFonts w:hint="default" w:ascii="Times New Roman" w:hAnsi="Times New Roman" w:eastAsia="宋体"/>
        <w:b w:val="0"/>
        <w:i w:val="0"/>
        <w:sz w:val="30"/>
      </w:rPr>
    </w:lvl>
    <w:lvl w:ilvl="1" w:tentative="0">
      <w:start w:val="1"/>
      <w:numFmt w:val="lowerLetter"/>
      <w:lvlText w:val="%2)"/>
      <w:lvlJc w:val="left"/>
      <w:pPr>
        <w:ind w:left="1576" w:hanging="440"/>
      </w:pPr>
    </w:lvl>
    <w:lvl w:ilvl="2" w:tentative="0">
      <w:start w:val="1"/>
      <w:numFmt w:val="lowerRoman"/>
      <w:lvlText w:val="%3."/>
      <w:lvlJc w:val="right"/>
      <w:pPr>
        <w:ind w:left="2016" w:hanging="440"/>
      </w:pPr>
    </w:lvl>
    <w:lvl w:ilvl="3" w:tentative="0">
      <w:start w:val="1"/>
      <w:numFmt w:val="decimal"/>
      <w:lvlText w:val="%4."/>
      <w:lvlJc w:val="left"/>
      <w:pPr>
        <w:ind w:left="2456" w:hanging="440"/>
      </w:pPr>
    </w:lvl>
    <w:lvl w:ilvl="4" w:tentative="0">
      <w:start w:val="1"/>
      <w:numFmt w:val="lowerLetter"/>
      <w:lvlText w:val="%5)"/>
      <w:lvlJc w:val="left"/>
      <w:pPr>
        <w:ind w:left="2896" w:hanging="440"/>
      </w:pPr>
    </w:lvl>
    <w:lvl w:ilvl="5" w:tentative="0">
      <w:start w:val="1"/>
      <w:numFmt w:val="lowerRoman"/>
      <w:lvlText w:val="%6."/>
      <w:lvlJc w:val="right"/>
      <w:pPr>
        <w:ind w:left="3336" w:hanging="440"/>
      </w:pPr>
    </w:lvl>
    <w:lvl w:ilvl="6" w:tentative="0">
      <w:start w:val="1"/>
      <w:numFmt w:val="decimal"/>
      <w:lvlText w:val="%7."/>
      <w:lvlJc w:val="left"/>
      <w:pPr>
        <w:ind w:left="3776" w:hanging="440"/>
      </w:pPr>
    </w:lvl>
    <w:lvl w:ilvl="7" w:tentative="0">
      <w:start w:val="1"/>
      <w:numFmt w:val="lowerLetter"/>
      <w:lvlText w:val="%8)"/>
      <w:lvlJc w:val="left"/>
      <w:pPr>
        <w:ind w:left="4216" w:hanging="440"/>
      </w:pPr>
    </w:lvl>
    <w:lvl w:ilvl="8" w:tentative="0">
      <w:start w:val="1"/>
      <w:numFmt w:val="lowerRoman"/>
      <w:lvlText w:val="%9."/>
      <w:lvlJc w:val="right"/>
      <w:pPr>
        <w:ind w:left="4656" w:hanging="440"/>
      </w:pPr>
    </w:lvl>
  </w:abstractNum>
  <w:abstractNum w:abstractNumId="12">
    <w:nsid w:val="47058C5C"/>
    <w:multiLevelType w:val="multilevel"/>
    <w:tmpl w:val="47058C5C"/>
    <w:lvl w:ilvl="0" w:tentative="0">
      <w:start w:val="1"/>
      <w:numFmt w:val="decimal"/>
      <w:lvlText w:val="（%1）"/>
      <w:lvlJc w:val="left"/>
      <w:pPr>
        <w:ind w:left="1083" w:hanging="440"/>
      </w:pPr>
      <w:rPr>
        <w:rFonts w:hint="default" w:ascii="Times New Roman" w:hAnsi="Times New Roman" w:eastAsia="宋体"/>
        <w:b w:val="0"/>
        <w:i w:val="0"/>
        <w:sz w:val="30"/>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3">
    <w:nsid w:val="49D70DBC"/>
    <w:multiLevelType w:val="multilevel"/>
    <w:tmpl w:val="49D70DBC"/>
    <w:lvl w:ilvl="0" w:tentative="0">
      <w:start w:val="1"/>
      <w:numFmt w:val="decimal"/>
      <w:lvlText w:val="（%1）"/>
      <w:lvlJc w:val="left"/>
      <w:pPr>
        <w:ind w:left="1083" w:hanging="440"/>
      </w:pPr>
      <w:rPr>
        <w:rFonts w:hint="eastAsia" w:eastAsia="宋体"/>
        <w:b w:val="0"/>
        <w:i w:val="0"/>
        <w:sz w:val="30"/>
      </w:rPr>
    </w:lvl>
    <w:lvl w:ilvl="1" w:tentative="0">
      <w:start w:val="1"/>
      <w:numFmt w:val="decimal"/>
      <w:lvlText w:val="（%2）"/>
      <w:lvlJc w:val="left"/>
      <w:pPr>
        <w:ind w:left="880" w:hanging="440"/>
      </w:pPr>
      <w:rPr>
        <w:rFonts w:hint="eastAsia" w:eastAsia="宋体"/>
        <w:b w:val="0"/>
        <w:i w:val="0"/>
        <w:sz w:val="30"/>
      </w:r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4">
    <w:nsid w:val="4C312E63"/>
    <w:multiLevelType w:val="multilevel"/>
    <w:tmpl w:val="4C312E63"/>
    <w:lvl w:ilvl="0" w:tentative="0">
      <w:start w:val="1"/>
      <w:numFmt w:val="decimal"/>
      <w:lvlText w:val="%1."/>
      <w:lvlJc w:val="left"/>
      <w:pPr>
        <w:ind w:left="1083" w:hanging="440"/>
      </w:pPr>
      <w:rPr>
        <w:rFonts w:hint="eastAsia"/>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5">
    <w:nsid w:val="52BB074E"/>
    <w:multiLevelType w:val="multilevel"/>
    <w:tmpl w:val="52BB074E"/>
    <w:lvl w:ilvl="0" w:tentative="0">
      <w:start w:val="1"/>
      <w:numFmt w:val="decimal"/>
      <w:lvlText w:val="（%1）"/>
      <w:lvlJc w:val="left"/>
      <w:pPr>
        <w:ind w:left="1083" w:hanging="440"/>
      </w:pPr>
      <w:rPr>
        <w:rFonts w:hint="eastAsia" w:eastAsia="宋体"/>
        <w:b w:val="0"/>
        <w:i w:val="0"/>
        <w:sz w:val="30"/>
      </w:rPr>
    </w:lvl>
    <w:lvl w:ilvl="1" w:tentative="0">
      <w:start w:val="1"/>
      <w:numFmt w:val="decimal"/>
      <w:lvlText w:val="（%2）"/>
      <w:lvlJc w:val="left"/>
      <w:pPr>
        <w:ind w:left="1083" w:hanging="440"/>
      </w:pPr>
      <w:rPr>
        <w:rFonts w:hint="default" w:ascii="Times New Roman" w:hAnsi="Times New Roman" w:eastAsia="宋体"/>
        <w:b w:val="0"/>
        <w:i w:val="0"/>
        <w:sz w:val="30"/>
      </w:r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6">
    <w:nsid w:val="5F5CF3AF"/>
    <w:multiLevelType w:val="singleLevel"/>
    <w:tmpl w:val="5F5CF3AF"/>
    <w:lvl w:ilvl="0" w:tentative="0">
      <w:start w:val="1"/>
      <w:numFmt w:val="decimal"/>
      <w:lvlText w:val="（%1）"/>
      <w:lvlJc w:val="left"/>
      <w:pPr>
        <w:ind w:left="1083" w:hanging="440"/>
      </w:pPr>
      <w:rPr>
        <w:rFonts w:hint="default" w:ascii="Times New Roman" w:hAnsi="Times New Roman" w:eastAsia="宋体"/>
        <w:b w:val="0"/>
        <w:i w:val="0"/>
        <w:sz w:val="30"/>
      </w:rPr>
    </w:lvl>
  </w:abstractNum>
  <w:abstractNum w:abstractNumId="17">
    <w:nsid w:val="698573F1"/>
    <w:multiLevelType w:val="multilevel"/>
    <w:tmpl w:val="698573F1"/>
    <w:lvl w:ilvl="0" w:tentative="0">
      <w:start w:val="1"/>
      <w:numFmt w:val="decimal"/>
      <w:lvlText w:val="%1."/>
      <w:lvlJc w:val="left"/>
      <w:pPr>
        <w:ind w:left="1083" w:hanging="440"/>
      </w:p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8">
    <w:nsid w:val="6A970181"/>
    <w:multiLevelType w:val="multilevel"/>
    <w:tmpl w:val="6A970181"/>
    <w:lvl w:ilvl="0" w:tentative="0">
      <w:start w:val="1"/>
      <w:numFmt w:val="decimal"/>
      <w:lvlText w:val="%1."/>
      <w:lvlJc w:val="left"/>
      <w:pPr>
        <w:ind w:left="1083" w:hanging="440"/>
      </w:pPr>
      <w:rPr>
        <w:rFonts w:hint="eastAsia"/>
      </w:rPr>
    </w:lvl>
    <w:lvl w:ilvl="1" w:tentative="0">
      <w:start w:val="1"/>
      <w:numFmt w:val="lowerLetter"/>
      <w:lvlText w:val="%2)"/>
      <w:lvlJc w:val="left"/>
      <w:pPr>
        <w:ind w:left="1523" w:hanging="440"/>
      </w:pPr>
    </w:lvl>
    <w:lvl w:ilvl="2" w:tentative="0">
      <w:start w:val="1"/>
      <w:numFmt w:val="decimal"/>
      <w:lvlText w:val="%3."/>
      <w:lvlJc w:val="left"/>
      <w:pPr>
        <w:ind w:left="1963" w:hanging="440"/>
      </w:pPr>
      <w:rPr>
        <w:rFonts w:hint="eastAsia"/>
      </w:r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9">
    <w:nsid w:val="6DA936AD"/>
    <w:multiLevelType w:val="multilevel"/>
    <w:tmpl w:val="6DA936AD"/>
    <w:lvl w:ilvl="0" w:tentative="0">
      <w:start w:val="1"/>
      <w:numFmt w:val="decimal"/>
      <w:lvlText w:val="（%1）"/>
      <w:lvlJc w:val="left"/>
      <w:pPr>
        <w:ind w:left="1083" w:hanging="440"/>
      </w:pPr>
      <w:rPr>
        <w:rFonts w:hint="default" w:ascii="Times New Roman" w:hAnsi="Times New Roman" w:eastAsia="宋体"/>
        <w:b w:val="0"/>
        <w:i w:val="0"/>
        <w:sz w:val="30"/>
      </w:rPr>
    </w:lvl>
    <w:lvl w:ilvl="1" w:tentative="0">
      <w:start w:val="1"/>
      <w:numFmt w:val="decimal"/>
      <w:lvlText w:val="（%2）"/>
      <w:lvlJc w:val="left"/>
      <w:pPr>
        <w:ind w:left="440" w:hanging="440"/>
      </w:pPr>
      <w:rPr>
        <w:rFonts w:hint="default" w:ascii="Times New Roman" w:hAnsi="Times New Roman" w:eastAsia="宋体"/>
        <w:b w:val="0"/>
        <w:i w:val="0"/>
        <w:sz w:val="30"/>
      </w:r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20">
    <w:nsid w:val="6E3D6207"/>
    <w:multiLevelType w:val="multilevel"/>
    <w:tmpl w:val="6E3D6207"/>
    <w:lvl w:ilvl="0" w:tentative="0">
      <w:start w:val="1"/>
      <w:numFmt w:val="decimal"/>
      <w:lvlText w:val="（%1）"/>
      <w:lvlJc w:val="left"/>
      <w:pPr>
        <w:ind w:left="1083" w:hanging="440"/>
      </w:pPr>
      <w:rPr>
        <w:rFonts w:hint="eastAsia" w:eastAsia="宋体"/>
        <w:b w:val="0"/>
        <w:i w:val="0"/>
        <w:sz w:val="30"/>
      </w:rPr>
    </w:lvl>
    <w:lvl w:ilvl="1" w:tentative="0">
      <w:start w:val="1"/>
      <w:numFmt w:val="decimal"/>
      <w:lvlText w:val="（%2）"/>
      <w:lvlJc w:val="left"/>
      <w:pPr>
        <w:ind w:left="1083" w:hanging="440"/>
      </w:pPr>
      <w:rPr>
        <w:rFonts w:hint="default" w:ascii="Times New Roman" w:hAnsi="Times New Roman" w:eastAsia="宋体"/>
        <w:b w:val="0"/>
        <w:i w:val="0"/>
        <w:sz w:val="30"/>
      </w:r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21">
    <w:nsid w:val="742C1AAA"/>
    <w:multiLevelType w:val="multilevel"/>
    <w:tmpl w:val="742C1AAA"/>
    <w:lvl w:ilvl="0" w:tentative="0">
      <w:start w:val="1"/>
      <w:numFmt w:val="decimal"/>
      <w:lvlText w:val="（%1）"/>
      <w:lvlJc w:val="left"/>
      <w:pPr>
        <w:ind w:left="1083" w:hanging="440"/>
      </w:pPr>
      <w:rPr>
        <w:rFonts w:hint="default" w:ascii="Times New Roman" w:hAnsi="Times New Roman" w:eastAsia="宋体"/>
        <w:b w:val="0"/>
        <w:i w:val="0"/>
        <w:sz w:val="30"/>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22">
    <w:nsid w:val="74D14C6F"/>
    <w:multiLevelType w:val="multilevel"/>
    <w:tmpl w:val="74D14C6F"/>
    <w:lvl w:ilvl="0" w:tentative="0">
      <w:start w:val="1"/>
      <w:numFmt w:val="decimal"/>
      <w:lvlText w:val="%1."/>
      <w:lvlJc w:val="left"/>
      <w:pPr>
        <w:ind w:left="1083" w:hanging="440"/>
      </w:pPr>
    </w:lvl>
    <w:lvl w:ilvl="1" w:tentative="0">
      <w:start w:val="1"/>
      <w:numFmt w:val="decimal"/>
      <w:lvlText w:val="（%2）"/>
      <w:lvlJc w:val="left"/>
      <w:pPr>
        <w:ind w:left="2163" w:hanging="1080"/>
      </w:pPr>
      <w:rPr>
        <w:rFonts w:hint="default"/>
      </w:r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num w:numId="1">
    <w:abstractNumId w:val="5"/>
  </w:num>
  <w:num w:numId="2">
    <w:abstractNumId w:val="22"/>
  </w:num>
  <w:num w:numId="3">
    <w:abstractNumId w:val="16"/>
  </w:num>
  <w:num w:numId="4">
    <w:abstractNumId w:val="17"/>
  </w:num>
  <w:num w:numId="5">
    <w:abstractNumId w:val="10"/>
  </w:num>
  <w:num w:numId="6">
    <w:abstractNumId w:val="18"/>
  </w:num>
  <w:num w:numId="7">
    <w:abstractNumId w:val="14"/>
  </w:num>
  <w:num w:numId="8">
    <w:abstractNumId w:val="11"/>
  </w:num>
  <w:num w:numId="9">
    <w:abstractNumId w:val="7"/>
  </w:num>
  <w:num w:numId="10">
    <w:abstractNumId w:val="4"/>
  </w:num>
  <w:num w:numId="11">
    <w:abstractNumId w:val="9"/>
  </w:num>
  <w:num w:numId="12">
    <w:abstractNumId w:val="19"/>
  </w:num>
  <w:num w:numId="13">
    <w:abstractNumId w:val="13"/>
  </w:num>
  <w:num w:numId="14">
    <w:abstractNumId w:val="15"/>
  </w:num>
  <w:num w:numId="15">
    <w:abstractNumId w:val="6"/>
  </w:num>
  <w:num w:numId="16">
    <w:abstractNumId w:val="21"/>
  </w:num>
  <w:num w:numId="17">
    <w:abstractNumId w:val="20"/>
  </w:num>
  <w:num w:numId="18">
    <w:abstractNumId w:val="2"/>
  </w:num>
  <w:num w:numId="19">
    <w:abstractNumId w:val="1"/>
  </w:num>
  <w:num w:numId="20">
    <w:abstractNumId w:val="3"/>
  </w:num>
  <w:num w:numId="21">
    <w:abstractNumId w:val="8"/>
  </w:num>
  <w:num w:numId="22">
    <w:abstractNumId w:val="1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nforcement="0"/>
  <w:defaultTabStop w:val="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iODQzM2I1NzU0ZGVlMjE0M2FlOGJkZGNlZDg2ZjQifQ=="/>
  </w:docVars>
  <w:rsids>
    <w:rsidRoot w:val="4F7A8AD3"/>
    <w:rsid w:val="00002F43"/>
    <w:rsid w:val="0000756A"/>
    <w:rsid w:val="000107C4"/>
    <w:rsid w:val="00012E9F"/>
    <w:rsid w:val="0001313D"/>
    <w:rsid w:val="000164AE"/>
    <w:rsid w:val="000179D5"/>
    <w:rsid w:val="00021AFF"/>
    <w:rsid w:val="00034FE8"/>
    <w:rsid w:val="000505D7"/>
    <w:rsid w:val="00057BF8"/>
    <w:rsid w:val="00062E23"/>
    <w:rsid w:val="00063830"/>
    <w:rsid w:val="00073A2B"/>
    <w:rsid w:val="00076A1E"/>
    <w:rsid w:val="00083F6C"/>
    <w:rsid w:val="00084071"/>
    <w:rsid w:val="00085D34"/>
    <w:rsid w:val="00087DFC"/>
    <w:rsid w:val="00093DCE"/>
    <w:rsid w:val="00095303"/>
    <w:rsid w:val="000958B3"/>
    <w:rsid w:val="00096240"/>
    <w:rsid w:val="000A3653"/>
    <w:rsid w:val="000C0153"/>
    <w:rsid w:val="000C473B"/>
    <w:rsid w:val="000C57FC"/>
    <w:rsid w:val="000D55E1"/>
    <w:rsid w:val="000D5EC8"/>
    <w:rsid w:val="000E783D"/>
    <w:rsid w:val="001010D1"/>
    <w:rsid w:val="001041AF"/>
    <w:rsid w:val="0010788A"/>
    <w:rsid w:val="00110355"/>
    <w:rsid w:val="001203E9"/>
    <w:rsid w:val="001232D4"/>
    <w:rsid w:val="00134BCC"/>
    <w:rsid w:val="00135F5F"/>
    <w:rsid w:val="001375EF"/>
    <w:rsid w:val="00146839"/>
    <w:rsid w:val="00150C9D"/>
    <w:rsid w:val="00151587"/>
    <w:rsid w:val="00153D21"/>
    <w:rsid w:val="00164A0B"/>
    <w:rsid w:val="00166B9F"/>
    <w:rsid w:val="00171CA9"/>
    <w:rsid w:val="00173F6A"/>
    <w:rsid w:val="001857A5"/>
    <w:rsid w:val="00190240"/>
    <w:rsid w:val="00195636"/>
    <w:rsid w:val="00196271"/>
    <w:rsid w:val="001A1092"/>
    <w:rsid w:val="001A2C2F"/>
    <w:rsid w:val="001A550D"/>
    <w:rsid w:val="001A57DF"/>
    <w:rsid w:val="001C2996"/>
    <w:rsid w:val="001C3CDD"/>
    <w:rsid w:val="001C6994"/>
    <w:rsid w:val="001D4786"/>
    <w:rsid w:val="001D4787"/>
    <w:rsid w:val="001D4E83"/>
    <w:rsid w:val="001D5160"/>
    <w:rsid w:val="001D6C0F"/>
    <w:rsid w:val="001D7093"/>
    <w:rsid w:val="0020442B"/>
    <w:rsid w:val="002133D0"/>
    <w:rsid w:val="00240867"/>
    <w:rsid w:val="002478BE"/>
    <w:rsid w:val="00247CE2"/>
    <w:rsid w:val="00255318"/>
    <w:rsid w:val="00256286"/>
    <w:rsid w:val="00263E0E"/>
    <w:rsid w:val="002751AB"/>
    <w:rsid w:val="00275CD1"/>
    <w:rsid w:val="002A3BDD"/>
    <w:rsid w:val="002B6FB5"/>
    <w:rsid w:val="002C14AD"/>
    <w:rsid w:val="002C5EFF"/>
    <w:rsid w:val="002D3711"/>
    <w:rsid w:val="002D4F9E"/>
    <w:rsid w:val="002E795B"/>
    <w:rsid w:val="002F4D66"/>
    <w:rsid w:val="003145E7"/>
    <w:rsid w:val="0032225C"/>
    <w:rsid w:val="00325404"/>
    <w:rsid w:val="00326F73"/>
    <w:rsid w:val="003325AD"/>
    <w:rsid w:val="0033593D"/>
    <w:rsid w:val="00340524"/>
    <w:rsid w:val="00341AC7"/>
    <w:rsid w:val="00342A2D"/>
    <w:rsid w:val="00344CF0"/>
    <w:rsid w:val="003459D1"/>
    <w:rsid w:val="00347F9C"/>
    <w:rsid w:val="00350221"/>
    <w:rsid w:val="003533C3"/>
    <w:rsid w:val="003716B9"/>
    <w:rsid w:val="0037460A"/>
    <w:rsid w:val="003757C7"/>
    <w:rsid w:val="0037607E"/>
    <w:rsid w:val="00387BD7"/>
    <w:rsid w:val="003A3046"/>
    <w:rsid w:val="003A5EBC"/>
    <w:rsid w:val="003B5493"/>
    <w:rsid w:val="003C72DF"/>
    <w:rsid w:val="003E74AB"/>
    <w:rsid w:val="003F00D9"/>
    <w:rsid w:val="003F5A52"/>
    <w:rsid w:val="00402EE2"/>
    <w:rsid w:val="004036F8"/>
    <w:rsid w:val="00404D59"/>
    <w:rsid w:val="00411453"/>
    <w:rsid w:val="004127C1"/>
    <w:rsid w:val="00420EE4"/>
    <w:rsid w:val="00424572"/>
    <w:rsid w:val="00425AA2"/>
    <w:rsid w:val="00426C1D"/>
    <w:rsid w:val="00442036"/>
    <w:rsid w:val="00444A2D"/>
    <w:rsid w:val="00446C79"/>
    <w:rsid w:val="00456BAF"/>
    <w:rsid w:val="0045765A"/>
    <w:rsid w:val="00460E18"/>
    <w:rsid w:val="00461328"/>
    <w:rsid w:val="0046415F"/>
    <w:rsid w:val="00470228"/>
    <w:rsid w:val="00470A91"/>
    <w:rsid w:val="00475575"/>
    <w:rsid w:val="00483ED2"/>
    <w:rsid w:val="00485063"/>
    <w:rsid w:val="00485A8E"/>
    <w:rsid w:val="004C1F78"/>
    <w:rsid w:val="004D1A6F"/>
    <w:rsid w:val="004D3208"/>
    <w:rsid w:val="004D5770"/>
    <w:rsid w:val="004D6F41"/>
    <w:rsid w:val="004D72EC"/>
    <w:rsid w:val="004E09C9"/>
    <w:rsid w:val="004E5660"/>
    <w:rsid w:val="004F1182"/>
    <w:rsid w:val="004F70C3"/>
    <w:rsid w:val="00504DBE"/>
    <w:rsid w:val="00505188"/>
    <w:rsid w:val="005071ED"/>
    <w:rsid w:val="00507D16"/>
    <w:rsid w:val="00515168"/>
    <w:rsid w:val="005234A4"/>
    <w:rsid w:val="0052667A"/>
    <w:rsid w:val="00531809"/>
    <w:rsid w:val="0054287F"/>
    <w:rsid w:val="0056059D"/>
    <w:rsid w:val="005721D5"/>
    <w:rsid w:val="00575A52"/>
    <w:rsid w:val="00581297"/>
    <w:rsid w:val="005838EF"/>
    <w:rsid w:val="00584E01"/>
    <w:rsid w:val="00596E4B"/>
    <w:rsid w:val="005A316C"/>
    <w:rsid w:val="005D4E52"/>
    <w:rsid w:val="005D7DFA"/>
    <w:rsid w:val="005F0879"/>
    <w:rsid w:val="005F0A6C"/>
    <w:rsid w:val="005F175C"/>
    <w:rsid w:val="005F2438"/>
    <w:rsid w:val="005F2469"/>
    <w:rsid w:val="005F3A2E"/>
    <w:rsid w:val="005F3E21"/>
    <w:rsid w:val="005F574A"/>
    <w:rsid w:val="005F5DC4"/>
    <w:rsid w:val="005F6AFF"/>
    <w:rsid w:val="006120CC"/>
    <w:rsid w:val="00615320"/>
    <w:rsid w:val="006176FF"/>
    <w:rsid w:val="00622DD4"/>
    <w:rsid w:val="00630995"/>
    <w:rsid w:val="006334FD"/>
    <w:rsid w:val="00633B49"/>
    <w:rsid w:val="00635D11"/>
    <w:rsid w:val="00641113"/>
    <w:rsid w:val="00644555"/>
    <w:rsid w:val="006502B1"/>
    <w:rsid w:val="00652071"/>
    <w:rsid w:val="00655989"/>
    <w:rsid w:val="00661897"/>
    <w:rsid w:val="006646D3"/>
    <w:rsid w:val="00674F98"/>
    <w:rsid w:val="00683371"/>
    <w:rsid w:val="00685C8B"/>
    <w:rsid w:val="00690C57"/>
    <w:rsid w:val="006A145F"/>
    <w:rsid w:val="006A4213"/>
    <w:rsid w:val="006B42E5"/>
    <w:rsid w:val="006C3437"/>
    <w:rsid w:val="006C781F"/>
    <w:rsid w:val="006D07D2"/>
    <w:rsid w:val="006E4893"/>
    <w:rsid w:val="006E7C21"/>
    <w:rsid w:val="006E7D6F"/>
    <w:rsid w:val="006F4D8E"/>
    <w:rsid w:val="006F51DE"/>
    <w:rsid w:val="007007A1"/>
    <w:rsid w:val="00702086"/>
    <w:rsid w:val="00712171"/>
    <w:rsid w:val="00717083"/>
    <w:rsid w:val="00721F20"/>
    <w:rsid w:val="0072324F"/>
    <w:rsid w:val="00734C2A"/>
    <w:rsid w:val="007420A1"/>
    <w:rsid w:val="007471CA"/>
    <w:rsid w:val="00753430"/>
    <w:rsid w:val="0076196C"/>
    <w:rsid w:val="00761FBD"/>
    <w:rsid w:val="00783B80"/>
    <w:rsid w:val="00784593"/>
    <w:rsid w:val="00785C4B"/>
    <w:rsid w:val="00793381"/>
    <w:rsid w:val="00793429"/>
    <w:rsid w:val="00794BA7"/>
    <w:rsid w:val="007C2905"/>
    <w:rsid w:val="007C3752"/>
    <w:rsid w:val="007C43E4"/>
    <w:rsid w:val="007C5302"/>
    <w:rsid w:val="007C6DAD"/>
    <w:rsid w:val="007D479D"/>
    <w:rsid w:val="007E7A2D"/>
    <w:rsid w:val="007F6143"/>
    <w:rsid w:val="007F7452"/>
    <w:rsid w:val="00813D7A"/>
    <w:rsid w:val="00815148"/>
    <w:rsid w:val="0082345E"/>
    <w:rsid w:val="00823628"/>
    <w:rsid w:val="00846766"/>
    <w:rsid w:val="00861702"/>
    <w:rsid w:val="00873085"/>
    <w:rsid w:val="0087318D"/>
    <w:rsid w:val="0087750F"/>
    <w:rsid w:val="008927EC"/>
    <w:rsid w:val="00893251"/>
    <w:rsid w:val="008C14F2"/>
    <w:rsid w:val="008C22C6"/>
    <w:rsid w:val="008C2964"/>
    <w:rsid w:val="008D08A7"/>
    <w:rsid w:val="008E521D"/>
    <w:rsid w:val="008F366B"/>
    <w:rsid w:val="008F395F"/>
    <w:rsid w:val="008F4459"/>
    <w:rsid w:val="008F714F"/>
    <w:rsid w:val="00902C3A"/>
    <w:rsid w:val="00906238"/>
    <w:rsid w:val="00926C30"/>
    <w:rsid w:val="00932B2E"/>
    <w:rsid w:val="009351F8"/>
    <w:rsid w:val="00937EF4"/>
    <w:rsid w:val="00941AF8"/>
    <w:rsid w:val="0095131C"/>
    <w:rsid w:val="009552D7"/>
    <w:rsid w:val="009675C1"/>
    <w:rsid w:val="00983A95"/>
    <w:rsid w:val="0099308A"/>
    <w:rsid w:val="00994E19"/>
    <w:rsid w:val="009A2A85"/>
    <w:rsid w:val="009A5640"/>
    <w:rsid w:val="009B0AAE"/>
    <w:rsid w:val="009C09FE"/>
    <w:rsid w:val="009C170A"/>
    <w:rsid w:val="009C43F0"/>
    <w:rsid w:val="009C4F09"/>
    <w:rsid w:val="009C5740"/>
    <w:rsid w:val="009C58C9"/>
    <w:rsid w:val="009C5B69"/>
    <w:rsid w:val="009D437F"/>
    <w:rsid w:val="009E3863"/>
    <w:rsid w:val="009E4B25"/>
    <w:rsid w:val="009E6234"/>
    <w:rsid w:val="009F07B4"/>
    <w:rsid w:val="009F5D01"/>
    <w:rsid w:val="00A153B3"/>
    <w:rsid w:val="00A170E7"/>
    <w:rsid w:val="00A1796C"/>
    <w:rsid w:val="00A20676"/>
    <w:rsid w:val="00A24497"/>
    <w:rsid w:val="00A3140D"/>
    <w:rsid w:val="00A35124"/>
    <w:rsid w:val="00A3572F"/>
    <w:rsid w:val="00A369F0"/>
    <w:rsid w:val="00A427FC"/>
    <w:rsid w:val="00A42946"/>
    <w:rsid w:val="00A433F7"/>
    <w:rsid w:val="00A56585"/>
    <w:rsid w:val="00A57094"/>
    <w:rsid w:val="00A57C3E"/>
    <w:rsid w:val="00A644C7"/>
    <w:rsid w:val="00A70EE0"/>
    <w:rsid w:val="00A73A2A"/>
    <w:rsid w:val="00A748BB"/>
    <w:rsid w:val="00A77814"/>
    <w:rsid w:val="00A972BF"/>
    <w:rsid w:val="00AA12B6"/>
    <w:rsid w:val="00AA47C4"/>
    <w:rsid w:val="00AB023D"/>
    <w:rsid w:val="00AB2072"/>
    <w:rsid w:val="00AC01DF"/>
    <w:rsid w:val="00AC0A90"/>
    <w:rsid w:val="00AC49F5"/>
    <w:rsid w:val="00AC6EC1"/>
    <w:rsid w:val="00AD7C9D"/>
    <w:rsid w:val="00AE0E69"/>
    <w:rsid w:val="00AF123B"/>
    <w:rsid w:val="00AF42B4"/>
    <w:rsid w:val="00B1012B"/>
    <w:rsid w:val="00B14C98"/>
    <w:rsid w:val="00B17C4C"/>
    <w:rsid w:val="00B22640"/>
    <w:rsid w:val="00B41E1F"/>
    <w:rsid w:val="00B42992"/>
    <w:rsid w:val="00B474B0"/>
    <w:rsid w:val="00B520E3"/>
    <w:rsid w:val="00B5361D"/>
    <w:rsid w:val="00B55A72"/>
    <w:rsid w:val="00B56F27"/>
    <w:rsid w:val="00B72471"/>
    <w:rsid w:val="00B72AB0"/>
    <w:rsid w:val="00B826C9"/>
    <w:rsid w:val="00B82C97"/>
    <w:rsid w:val="00B87755"/>
    <w:rsid w:val="00BB2B30"/>
    <w:rsid w:val="00BB30FE"/>
    <w:rsid w:val="00BB602C"/>
    <w:rsid w:val="00BB7066"/>
    <w:rsid w:val="00BD5F12"/>
    <w:rsid w:val="00BE2F84"/>
    <w:rsid w:val="00BF13FA"/>
    <w:rsid w:val="00BF3406"/>
    <w:rsid w:val="00C07223"/>
    <w:rsid w:val="00C1471C"/>
    <w:rsid w:val="00C20B4B"/>
    <w:rsid w:val="00C21C0D"/>
    <w:rsid w:val="00C22E6A"/>
    <w:rsid w:val="00C26858"/>
    <w:rsid w:val="00C40C1F"/>
    <w:rsid w:val="00C473C3"/>
    <w:rsid w:val="00C51F46"/>
    <w:rsid w:val="00C53BF9"/>
    <w:rsid w:val="00C56A00"/>
    <w:rsid w:val="00C7136B"/>
    <w:rsid w:val="00C71524"/>
    <w:rsid w:val="00C80039"/>
    <w:rsid w:val="00C83D2B"/>
    <w:rsid w:val="00C910C3"/>
    <w:rsid w:val="00C96341"/>
    <w:rsid w:val="00C96BDD"/>
    <w:rsid w:val="00CA534D"/>
    <w:rsid w:val="00CA7C9E"/>
    <w:rsid w:val="00CB0669"/>
    <w:rsid w:val="00CB4046"/>
    <w:rsid w:val="00CB6FFC"/>
    <w:rsid w:val="00CB7679"/>
    <w:rsid w:val="00CB7CD5"/>
    <w:rsid w:val="00CC161B"/>
    <w:rsid w:val="00CD0DBD"/>
    <w:rsid w:val="00CD5883"/>
    <w:rsid w:val="00CD6026"/>
    <w:rsid w:val="00CD7BA1"/>
    <w:rsid w:val="00CE6ED6"/>
    <w:rsid w:val="00CF4B83"/>
    <w:rsid w:val="00D02678"/>
    <w:rsid w:val="00D0603A"/>
    <w:rsid w:val="00D10CEA"/>
    <w:rsid w:val="00D21BD1"/>
    <w:rsid w:val="00D26CDD"/>
    <w:rsid w:val="00D34698"/>
    <w:rsid w:val="00D47AD7"/>
    <w:rsid w:val="00D503E5"/>
    <w:rsid w:val="00D60049"/>
    <w:rsid w:val="00D64060"/>
    <w:rsid w:val="00D6747B"/>
    <w:rsid w:val="00D71220"/>
    <w:rsid w:val="00D72F36"/>
    <w:rsid w:val="00D86CE4"/>
    <w:rsid w:val="00D90220"/>
    <w:rsid w:val="00D91026"/>
    <w:rsid w:val="00D9191B"/>
    <w:rsid w:val="00D965A3"/>
    <w:rsid w:val="00DC066B"/>
    <w:rsid w:val="00DC1C91"/>
    <w:rsid w:val="00DC492F"/>
    <w:rsid w:val="00DC513A"/>
    <w:rsid w:val="00DC518C"/>
    <w:rsid w:val="00DC5AA3"/>
    <w:rsid w:val="00DC6228"/>
    <w:rsid w:val="00DE1836"/>
    <w:rsid w:val="00DF196E"/>
    <w:rsid w:val="00DF62A7"/>
    <w:rsid w:val="00E06C34"/>
    <w:rsid w:val="00E072FA"/>
    <w:rsid w:val="00E12F0E"/>
    <w:rsid w:val="00E1337B"/>
    <w:rsid w:val="00E13E17"/>
    <w:rsid w:val="00E200F2"/>
    <w:rsid w:val="00E226C0"/>
    <w:rsid w:val="00E32685"/>
    <w:rsid w:val="00E33445"/>
    <w:rsid w:val="00E37B72"/>
    <w:rsid w:val="00E438D2"/>
    <w:rsid w:val="00E5269E"/>
    <w:rsid w:val="00E554C7"/>
    <w:rsid w:val="00E56AA0"/>
    <w:rsid w:val="00E63AE7"/>
    <w:rsid w:val="00E843CD"/>
    <w:rsid w:val="00E863C6"/>
    <w:rsid w:val="00EA09C3"/>
    <w:rsid w:val="00EA68ED"/>
    <w:rsid w:val="00EB18C1"/>
    <w:rsid w:val="00EC0080"/>
    <w:rsid w:val="00EC0BDD"/>
    <w:rsid w:val="00EC313B"/>
    <w:rsid w:val="00EC4ECB"/>
    <w:rsid w:val="00ED32E9"/>
    <w:rsid w:val="00ED4FE8"/>
    <w:rsid w:val="00ED54C7"/>
    <w:rsid w:val="00EE436F"/>
    <w:rsid w:val="00EE5712"/>
    <w:rsid w:val="00EF139A"/>
    <w:rsid w:val="00F00013"/>
    <w:rsid w:val="00F00303"/>
    <w:rsid w:val="00F03024"/>
    <w:rsid w:val="00F03AB2"/>
    <w:rsid w:val="00F05FCC"/>
    <w:rsid w:val="00F16884"/>
    <w:rsid w:val="00F17B08"/>
    <w:rsid w:val="00F17EB0"/>
    <w:rsid w:val="00F20713"/>
    <w:rsid w:val="00F23161"/>
    <w:rsid w:val="00F36748"/>
    <w:rsid w:val="00F40AC0"/>
    <w:rsid w:val="00F453A5"/>
    <w:rsid w:val="00F50504"/>
    <w:rsid w:val="00F615E1"/>
    <w:rsid w:val="00F67125"/>
    <w:rsid w:val="00F715AB"/>
    <w:rsid w:val="00F728D0"/>
    <w:rsid w:val="00F7344E"/>
    <w:rsid w:val="00F7344F"/>
    <w:rsid w:val="00F77C12"/>
    <w:rsid w:val="00F90D69"/>
    <w:rsid w:val="00F930AE"/>
    <w:rsid w:val="00F9691B"/>
    <w:rsid w:val="00FA36D3"/>
    <w:rsid w:val="00FA542C"/>
    <w:rsid w:val="00FA665B"/>
    <w:rsid w:val="00FA6D36"/>
    <w:rsid w:val="00FB13E1"/>
    <w:rsid w:val="00FB2157"/>
    <w:rsid w:val="00FB565A"/>
    <w:rsid w:val="00FE16B1"/>
    <w:rsid w:val="00FE5CA2"/>
    <w:rsid w:val="00FE64D4"/>
    <w:rsid w:val="00FE6F85"/>
    <w:rsid w:val="010D7F30"/>
    <w:rsid w:val="01117D6F"/>
    <w:rsid w:val="031A1D53"/>
    <w:rsid w:val="047C7B07"/>
    <w:rsid w:val="04940D57"/>
    <w:rsid w:val="05185B62"/>
    <w:rsid w:val="055957B0"/>
    <w:rsid w:val="059D5B4A"/>
    <w:rsid w:val="05CE7E25"/>
    <w:rsid w:val="060D4527"/>
    <w:rsid w:val="062F578F"/>
    <w:rsid w:val="06B22274"/>
    <w:rsid w:val="070A234B"/>
    <w:rsid w:val="07364783"/>
    <w:rsid w:val="07DB3825"/>
    <w:rsid w:val="07F523BE"/>
    <w:rsid w:val="084E08CF"/>
    <w:rsid w:val="08747CBA"/>
    <w:rsid w:val="0932556D"/>
    <w:rsid w:val="0A6174F1"/>
    <w:rsid w:val="0A9052A5"/>
    <w:rsid w:val="0ACE1EFF"/>
    <w:rsid w:val="0B602456"/>
    <w:rsid w:val="0B964365"/>
    <w:rsid w:val="0C961EA1"/>
    <w:rsid w:val="0CA1440F"/>
    <w:rsid w:val="0CC6368C"/>
    <w:rsid w:val="0CDF57F4"/>
    <w:rsid w:val="0D874AFD"/>
    <w:rsid w:val="0DD37EFF"/>
    <w:rsid w:val="0DED49CC"/>
    <w:rsid w:val="0E483F00"/>
    <w:rsid w:val="0F95754D"/>
    <w:rsid w:val="0FB50233"/>
    <w:rsid w:val="0FB64EB2"/>
    <w:rsid w:val="0FE52047"/>
    <w:rsid w:val="103C2EC5"/>
    <w:rsid w:val="10CD4389"/>
    <w:rsid w:val="11326EB7"/>
    <w:rsid w:val="12911695"/>
    <w:rsid w:val="129D460C"/>
    <w:rsid w:val="12C53952"/>
    <w:rsid w:val="1309727C"/>
    <w:rsid w:val="13C82A71"/>
    <w:rsid w:val="144A13CC"/>
    <w:rsid w:val="15E25369"/>
    <w:rsid w:val="15FD4C47"/>
    <w:rsid w:val="16574ED9"/>
    <w:rsid w:val="16FA78CA"/>
    <w:rsid w:val="172C0C94"/>
    <w:rsid w:val="178158FD"/>
    <w:rsid w:val="17E94CF1"/>
    <w:rsid w:val="19166917"/>
    <w:rsid w:val="19F566BA"/>
    <w:rsid w:val="1A807E56"/>
    <w:rsid w:val="1AA80D1D"/>
    <w:rsid w:val="1AE16358"/>
    <w:rsid w:val="1B5F2753"/>
    <w:rsid w:val="1BB04A8B"/>
    <w:rsid w:val="1BD15AF4"/>
    <w:rsid w:val="1BD92985"/>
    <w:rsid w:val="1DBD8960"/>
    <w:rsid w:val="1E5410D3"/>
    <w:rsid w:val="1E5F3976"/>
    <w:rsid w:val="1E776B18"/>
    <w:rsid w:val="1EC12CF5"/>
    <w:rsid w:val="1EE2328C"/>
    <w:rsid w:val="1FAA5120"/>
    <w:rsid w:val="1FB42712"/>
    <w:rsid w:val="1FBF3DD5"/>
    <w:rsid w:val="1FEA5825"/>
    <w:rsid w:val="1FF73375"/>
    <w:rsid w:val="22A7A1EE"/>
    <w:rsid w:val="23815F46"/>
    <w:rsid w:val="23B80D70"/>
    <w:rsid w:val="23D46DC8"/>
    <w:rsid w:val="24526CBD"/>
    <w:rsid w:val="2699450E"/>
    <w:rsid w:val="26E7E34E"/>
    <w:rsid w:val="27DF7465"/>
    <w:rsid w:val="27FA547A"/>
    <w:rsid w:val="27FB2575"/>
    <w:rsid w:val="289E713B"/>
    <w:rsid w:val="28FF0C21"/>
    <w:rsid w:val="296F084C"/>
    <w:rsid w:val="2987051D"/>
    <w:rsid w:val="29FE4B95"/>
    <w:rsid w:val="2A455781"/>
    <w:rsid w:val="2A7A3965"/>
    <w:rsid w:val="2A80787C"/>
    <w:rsid w:val="2A871445"/>
    <w:rsid w:val="2A8F3EC9"/>
    <w:rsid w:val="2A93505E"/>
    <w:rsid w:val="2B7FCBC1"/>
    <w:rsid w:val="2C002159"/>
    <w:rsid w:val="2DD75DC8"/>
    <w:rsid w:val="2DE73540"/>
    <w:rsid w:val="2DEF151A"/>
    <w:rsid w:val="2DF769DC"/>
    <w:rsid w:val="2DFDCA5F"/>
    <w:rsid w:val="2DFDEF9D"/>
    <w:rsid w:val="2DFE9ED2"/>
    <w:rsid w:val="2E0C5BD9"/>
    <w:rsid w:val="2E827B56"/>
    <w:rsid w:val="2EA92E66"/>
    <w:rsid w:val="2ECA0CB3"/>
    <w:rsid w:val="2ED50269"/>
    <w:rsid w:val="2EED128A"/>
    <w:rsid w:val="2F33419E"/>
    <w:rsid w:val="2F453EFD"/>
    <w:rsid w:val="2F786696"/>
    <w:rsid w:val="2F7A4177"/>
    <w:rsid w:val="2FBB8AD3"/>
    <w:rsid w:val="2FCB5855"/>
    <w:rsid w:val="2FF9E8AA"/>
    <w:rsid w:val="2FFF36BE"/>
    <w:rsid w:val="3115529C"/>
    <w:rsid w:val="31BE50FE"/>
    <w:rsid w:val="31C76D42"/>
    <w:rsid w:val="31D67385"/>
    <w:rsid w:val="320B1AE3"/>
    <w:rsid w:val="32165B50"/>
    <w:rsid w:val="333D4B69"/>
    <w:rsid w:val="34151D3E"/>
    <w:rsid w:val="34727F6D"/>
    <w:rsid w:val="34967B08"/>
    <w:rsid w:val="34BF705E"/>
    <w:rsid w:val="35745447"/>
    <w:rsid w:val="357F21C9"/>
    <w:rsid w:val="35950425"/>
    <w:rsid w:val="36836962"/>
    <w:rsid w:val="370F669F"/>
    <w:rsid w:val="377F486E"/>
    <w:rsid w:val="378B2B5D"/>
    <w:rsid w:val="37F9916F"/>
    <w:rsid w:val="381B47D2"/>
    <w:rsid w:val="386FACB3"/>
    <w:rsid w:val="38B30373"/>
    <w:rsid w:val="391D56C6"/>
    <w:rsid w:val="39A77F9D"/>
    <w:rsid w:val="39BFDD17"/>
    <w:rsid w:val="3A333EB2"/>
    <w:rsid w:val="3A4A6576"/>
    <w:rsid w:val="3A648840"/>
    <w:rsid w:val="3A723551"/>
    <w:rsid w:val="3A974416"/>
    <w:rsid w:val="3AC07947"/>
    <w:rsid w:val="3AEF411A"/>
    <w:rsid w:val="3AFF01EF"/>
    <w:rsid w:val="3B21383D"/>
    <w:rsid w:val="3B2D5FC6"/>
    <w:rsid w:val="3B3C4042"/>
    <w:rsid w:val="3B3DC2A9"/>
    <w:rsid w:val="3B777999"/>
    <w:rsid w:val="3BB165B1"/>
    <w:rsid w:val="3BD78CFD"/>
    <w:rsid w:val="3BEFD7D2"/>
    <w:rsid w:val="3BFDE29B"/>
    <w:rsid w:val="3C3C3F77"/>
    <w:rsid w:val="3C3D7602"/>
    <w:rsid w:val="3D5B219F"/>
    <w:rsid w:val="3D6BF3A2"/>
    <w:rsid w:val="3DFFC46E"/>
    <w:rsid w:val="3E520203"/>
    <w:rsid w:val="3E545062"/>
    <w:rsid w:val="3E6EBE7D"/>
    <w:rsid w:val="3EA606BD"/>
    <w:rsid w:val="3EB76EA9"/>
    <w:rsid w:val="3EBC1B98"/>
    <w:rsid w:val="3EEF565A"/>
    <w:rsid w:val="3EF7E3D7"/>
    <w:rsid w:val="3F6CBBE6"/>
    <w:rsid w:val="3F7D186B"/>
    <w:rsid w:val="3FCF0EA0"/>
    <w:rsid w:val="3FDDF602"/>
    <w:rsid w:val="3FE55186"/>
    <w:rsid w:val="3FE9ABA6"/>
    <w:rsid w:val="3FED9C1C"/>
    <w:rsid w:val="3FF6647C"/>
    <w:rsid w:val="3FF7E6AC"/>
    <w:rsid w:val="3FFDF530"/>
    <w:rsid w:val="3FFF5B84"/>
    <w:rsid w:val="3FFF8AEA"/>
    <w:rsid w:val="3FFF953A"/>
    <w:rsid w:val="401B5E64"/>
    <w:rsid w:val="40D500DF"/>
    <w:rsid w:val="40E774C7"/>
    <w:rsid w:val="42294DF3"/>
    <w:rsid w:val="42FA07E7"/>
    <w:rsid w:val="436810AE"/>
    <w:rsid w:val="437F7043"/>
    <w:rsid w:val="44EF1B00"/>
    <w:rsid w:val="457D256D"/>
    <w:rsid w:val="45CF4E46"/>
    <w:rsid w:val="46515BFC"/>
    <w:rsid w:val="46C45511"/>
    <w:rsid w:val="46F570F1"/>
    <w:rsid w:val="4778447E"/>
    <w:rsid w:val="47B16CDB"/>
    <w:rsid w:val="47CC73F7"/>
    <w:rsid w:val="47FBC172"/>
    <w:rsid w:val="487B71DD"/>
    <w:rsid w:val="48897BFC"/>
    <w:rsid w:val="492E4DD9"/>
    <w:rsid w:val="49DF7A74"/>
    <w:rsid w:val="49EFDA04"/>
    <w:rsid w:val="49FA2929"/>
    <w:rsid w:val="4A1E73E6"/>
    <w:rsid w:val="4A635F53"/>
    <w:rsid w:val="4AF773D7"/>
    <w:rsid w:val="4B3B3F0F"/>
    <w:rsid w:val="4B6E54BA"/>
    <w:rsid w:val="4BA90D67"/>
    <w:rsid w:val="4BFD0804"/>
    <w:rsid w:val="4BFFF00D"/>
    <w:rsid w:val="4CB90AB7"/>
    <w:rsid w:val="4CE65A8E"/>
    <w:rsid w:val="4D7565F4"/>
    <w:rsid w:val="4DBF65EB"/>
    <w:rsid w:val="4DC31401"/>
    <w:rsid w:val="4DFC2D90"/>
    <w:rsid w:val="4E050DB4"/>
    <w:rsid w:val="4E25488F"/>
    <w:rsid w:val="4E7B1F42"/>
    <w:rsid w:val="4F0C25F5"/>
    <w:rsid w:val="4F3877D4"/>
    <w:rsid w:val="4F7A8AD3"/>
    <w:rsid w:val="4F7FF4D7"/>
    <w:rsid w:val="4F8A1DA6"/>
    <w:rsid w:val="4FDF282B"/>
    <w:rsid w:val="4FEB9FB4"/>
    <w:rsid w:val="5066789F"/>
    <w:rsid w:val="50817551"/>
    <w:rsid w:val="50885837"/>
    <w:rsid w:val="50AB1B35"/>
    <w:rsid w:val="51E1787A"/>
    <w:rsid w:val="51F80DD4"/>
    <w:rsid w:val="52351B68"/>
    <w:rsid w:val="523E68B0"/>
    <w:rsid w:val="52B867E8"/>
    <w:rsid w:val="52D4EA7B"/>
    <w:rsid w:val="53205C12"/>
    <w:rsid w:val="538958EC"/>
    <w:rsid w:val="53CA0723"/>
    <w:rsid w:val="544E1A65"/>
    <w:rsid w:val="55357E89"/>
    <w:rsid w:val="55830218"/>
    <w:rsid w:val="558980E0"/>
    <w:rsid w:val="55E705A4"/>
    <w:rsid w:val="56203A0C"/>
    <w:rsid w:val="56383DB0"/>
    <w:rsid w:val="56530FA2"/>
    <w:rsid w:val="56AD6CAF"/>
    <w:rsid w:val="56D93B58"/>
    <w:rsid w:val="56E53ADB"/>
    <w:rsid w:val="575F1FD6"/>
    <w:rsid w:val="577C8E54"/>
    <w:rsid w:val="57ECB103"/>
    <w:rsid w:val="57EF0FD8"/>
    <w:rsid w:val="57F7833A"/>
    <w:rsid w:val="57F7A4BC"/>
    <w:rsid w:val="57FB75FC"/>
    <w:rsid w:val="57FD7CF3"/>
    <w:rsid w:val="585A70CD"/>
    <w:rsid w:val="58E262A4"/>
    <w:rsid w:val="58F5D9DD"/>
    <w:rsid w:val="5948147C"/>
    <w:rsid w:val="59741D62"/>
    <w:rsid w:val="5AB756DD"/>
    <w:rsid w:val="5AFCBC6B"/>
    <w:rsid w:val="5B669575"/>
    <w:rsid w:val="5BDB3721"/>
    <w:rsid w:val="5C18763C"/>
    <w:rsid w:val="5C3E3948"/>
    <w:rsid w:val="5C7E18E6"/>
    <w:rsid w:val="5C7F7B4E"/>
    <w:rsid w:val="5CDA0FE8"/>
    <w:rsid w:val="5CE7B0FA"/>
    <w:rsid w:val="5D242C88"/>
    <w:rsid w:val="5D25514E"/>
    <w:rsid w:val="5D6B5466"/>
    <w:rsid w:val="5DAD7E49"/>
    <w:rsid w:val="5DEFCEC9"/>
    <w:rsid w:val="5DFB97BE"/>
    <w:rsid w:val="5DFE3F84"/>
    <w:rsid w:val="5DFFA384"/>
    <w:rsid w:val="5E2A669F"/>
    <w:rsid w:val="5E7A9A9A"/>
    <w:rsid w:val="5E7FBC5C"/>
    <w:rsid w:val="5E7FDF2E"/>
    <w:rsid w:val="5EDD6377"/>
    <w:rsid w:val="5EEBD77D"/>
    <w:rsid w:val="5EED101E"/>
    <w:rsid w:val="5EF76024"/>
    <w:rsid w:val="5EFF59D6"/>
    <w:rsid w:val="5EFF974D"/>
    <w:rsid w:val="5F374DB3"/>
    <w:rsid w:val="5F6F9EA4"/>
    <w:rsid w:val="5F8A68FB"/>
    <w:rsid w:val="5F9431B2"/>
    <w:rsid w:val="5FB6F504"/>
    <w:rsid w:val="5FC3061C"/>
    <w:rsid w:val="5FE1BD42"/>
    <w:rsid w:val="5FEA0B84"/>
    <w:rsid w:val="5FEE76E6"/>
    <w:rsid w:val="5FF6065B"/>
    <w:rsid w:val="5FF68925"/>
    <w:rsid w:val="5FF9FE18"/>
    <w:rsid w:val="5FFE7695"/>
    <w:rsid w:val="5FFF5101"/>
    <w:rsid w:val="5FFFBFA9"/>
    <w:rsid w:val="604734C2"/>
    <w:rsid w:val="609B78A2"/>
    <w:rsid w:val="61178030"/>
    <w:rsid w:val="618C1E68"/>
    <w:rsid w:val="621C3AE7"/>
    <w:rsid w:val="621F4188"/>
    <w:rsid w:val="62A16A3A"/>
    <w:rsid w:val="633E48F9"/>
    <w:rsid w:val="635380E9"/>
    <w:rsid w:val="63BEF433"/>
    <w:rsid w:val="63E76A66"/>
    <w:rsid w:val="642B56B0"/>
    <w:rsid w:val="6494144B"/>
    <w:rsid w:val="649B339C"/>
    <w:rsid w:val="64EFA138"/>
    <w:rsid w:val="651A0D18"/>
    <w:rsid w:val="65800A91"/>
    <w:rsid w:val="65CF4325"/>
    <w:rsid w:val="65ED1F71"/>
    <w:rsid w:val="65FDAEE0"/>
    <w:rsid w:val="65FFC3A4"/>
    <w:rsid w:val="65FFEC08"/>
    <w:rsid w:val="66AD4262"/>
    <w:rsid w:val="66BD7716"/>
    <w:rsid w:val="66CB19B2"/>
    <w:rsid w:val="66FECB51"/>
    <w:rsid w:val="671058F5"/>
    <w:rsid w:val="675B5A36"/>
    <w:rsid w:val="6763D5B0"/>
    <w:rsid w:val="67DFDD99"/>
    <w:rsid w:val="68232986"/>
    <w:rsid w:val="687B3CF3"/>
    <w:rsid w:val="69795225"/>
    <w:rsid w:val="69AF5125"/>
    <w:rsid w:val="69BC2895"/>
    <w:rsid w:val="69E414DD"/>
    <w:rsid w:val="69FBDDC7"/>
    <w:rsid w:val="6A64077F"/>
    <w:rsid w:val="6A660B83"/>
    <w:rsid w:val="6A7F6D13"/>
    <w:rsid w:val="6A831CE6"/>
    <w:rsid w:val="6AB867A9"/>
    <w:rsid w:val="6AE0106A"/>
    <w:rsid w:val="6AFAC7B1"/>
    <w:rsid w:val="6B1530B5"/>
    <w:rsid w:val="6B1F2D84"/>
    <w:rsid w:val="6B675079"/>
    <w:rsid w:val="6B7DE963"/>
    <w:rsid w:val="6B9F922F"/>
    <w:rsid w:val="6BCD297E"/>
    <w:rsid w:val="6BCFABFB"/>
    <w:rsid w:val="6BE173F2"/>
    <w:rsid w:val="6BEDDD7D"/>
    <w:rsid w:val="6C3C2BA4"/>
    <w:rsid w:val="6CEB0DBC"/>
    <w:rsid w:val="6D7FBAFD"/>
    <w:rsid w:val="6D7FD33D"/>
    <w:rsid w:val="6D99C997"/>
    <w:rsid w:val="6DA56305"/>
    <w:rsid w:val="6DA809BC"/>
    <w:rsid w:val="6DBB907A"/>
    <w:rsid w:val="6DFEA535"/>
    <w:rsid w:val="6DFFA9F6"/>
    <w:rsid w:val="6E159DA2"/>
    <w:rsid w:val="6E5DDBDC"/>
    <w:rsid w:val="6E6901BA"/>
    <w:rsid w:val="6E9A79C6"/>
    <w:rsid w:val="6E9E9F2D"/>
    <w:rsid w:val="6EBD7952"/>
    <w:rsid w:val="6EC60388"/>
    <w:rsid w:val="6F5B3129"/>
    <w:rsid w:val="6F705A5C"/>
    <w:rsid w:val="6FD3808E"/>
    <w:rsid w:val="6FD9D43E"/>
    <w:rsid w:val="6FDE616D"/>
    <w:rsid w:val="6FDFD0C5"/>
    <w:rsid w:val="6FED74AE"/>
    <w:rsid w:val="6FFCE334"/>
    <w:rsid w:val="6FFE7508"/>
    <w:rsid w:val="6FFFF4AF"/>
    <w:rsid w:val="70924B9B"/>
    <w:rsid w:val="70CE575C"/>
    <w:rsid w:val="70E78717"/>
    <w:rsid w:val="71DF0AF3"/>
    <w:rsid w:val="71E82352"/>
    <w:rsid w:val="71FB2FE3"/>
    <w:rsid w:val="72211E04"/>
    <w:rsid w:val="722B3E46"/>
    <w:rsid w:val="733F4938"/>
    <w:rsid w:val="73AE4630"/>
    <w:rsid w:val="73EF23B4"/>
    <w:rsid w:val="73EF394F"/>
    <w:rsid w:val="73FF29DC"/>
    <w:rsid w:val="745A7491"/>
    <w:rsid w:val="748FE1E7"/>
    <w:rsid w:val="74DC1816"/>
    <w:rsid w:val="74F76B22"/>
    <w:rsid w:val="75A438C2"/>
    <w:rsid w:val="75FB9FF3"/>
    <w:rsid w:val="75FE5A48"/>
    <w:rsid w:val="75FF56C0"/>
    <w:rsid w:val="765F4657"/>
    <w:rsid w:val="76CC687B"/>
    <w:rsid w:val="76FB0E00"/>
    <w:rsid w:val="76FEB484"/>
    <w:rsid w:val="775A16EB"/>
    <w:rsid w:val="775DCAF6"/>
    <w:rsid w:val="777FFB87"/>
    <w:rsid w:val="77B72734"/>
    <w:rsid w:val="77BA91FC"/>
    <w:rsid w:val="77CD59C0"/>
    <w:rsid w:val="77DF124C"/>
    <w:rsid w:val="77EDFFAF"/>
    <w:rsid w:val="77FD9252"/>
    <w:rsid w:val="77FE32EC"/>
    <w:rsid w:val="77FE8B6E"/>
    <w:rsid w:val="782720B4"/>
    <w:rsid w:val="78964C01"/>
    <w:rsid w:val="79401B2B"/>
    <w:rsid w:val="797F8114"/>
    <w:rsid w:val="79FB5FAF"/>
    <w:rsid w:val="7A2FB116"/>
    <w:rsid w:val="7A376519"/>
    <w:rsid w:val="7A3F6EB8"/>
    <w:rsid w:val="7A67D8E4"/>
    <w:rsid w:val="7AA41EB8"/>
    <w:rsid w:val="7AF1EB58"/>
    <w:rsid w:val="7AF71059"/>
    <w:rsid w:val="7AFCBFBD"/>
    <w:rsid w:val="7B2F27DC"/>
    <w:rsid w:val="7B5D6E41"/>
    <w:rsid w:val="7B6E6DF3"/>
    <w:rsid w:val="7B7E918F"/>
    <w:rsid w:val="7B7F2C31"/>
    <w:rsid w:val="7BB66289"/>
    <w:rsid w:val="7BCCCAA1"/>
    <w:rsid w:val="7BD9CB31"/>
    <w:rsid w:val="7BE3C6C4"/>
    <w:rsid w:val="7BE70D0A"/>
    <w:rsid w:val="7BED67F5"/>
    <w:rsid w:val="7BF9018F"/>
    <w:rsid w:val="7BFDA313"/>
    <w:rsid w:val="7BFF3E46"/>
    <w:rsid w:val="7C137A81"/>
    <w:rsid w:val="7C423ACB"/>
    <w:rsid w:val="7C774249"/>
    <w:rsid w:val="7C9E5EE6"/>
    <w:rsid w:val="7CBBCED2"/>
    <w:rsid w:val="7CBD0039"/>
    <w:rsid w:val="7CCE6F60"/>
    <w:rsid w:val="7CCF4580"/>
    <w:rsid w:val="7CDF64C7"/>
    <w:rsid w:val="7D3D21BD"/>
    <w:rsid w:val="7D79DF34"/>
    <w:rsid w:val="7D7EABE1"/>
    <w:rsid w:val="7D7F419E"/>
    <w:rsid w:val="7D7FB7BE"/>
    <w:rsid w:val="7DAB4387"/>
    <w:rsid w:val="7DBD12BF"/>
    <w:rsid w:val="7DBD8EB2"/>
    <w:rsid w:val="7DBF075B"/>
    <w:rsid w:val="7DD97AA7"/>
    <w:rsid w:val="7DDB05A4"/>
    <w:rsid w:val="7DDD2722"/>
    <w:rsid w:val="7DDFA753"/>
    <w:rsid w:val="7DEAA60B"/>
    <w:rsid w:val="7DEB5413"/>
    <w:rsid w:val="7DEE0B18"/>
    <w:rsid w:val="7DEE768A"/>
    <w:rsid w:val="7DF514E7"/>
    <w:rsid w:val="7DF9577A"/>
    <w:rsid w:val="7DF98B02"/>
    <w:rsid w:val="7DFF5D72"/>
    <w:rsid w:val="7DFF6D6E"/>
    <w:rsid w:val="7DFF74AD"/>
    <w:rsid w:val="7DFFE1BD"/>
    <w:rsid w:val="7E3B3277"/>
    <w:rsid w:val="7E5F1FD6"/>
    <w:rsid w:val="7E7D8ABF"/>
    <w:rsid w:val="7E9B1278"/>
    <w:rsid w:val="7EB1EA29"/>
    <w:rsid w:val="7EBDE22E"/>
    <w:rsid w:val="7EBF4E53"/>
    <w:rsid w:val="7EBF6762"/>
    <w:rsid w:val="7EBF841F"/>
    <w:rsid w:val="7EF1BD9C"/>
    <w:rsid w:val="7EFB3B17"/>
    <w:rsid w:val="7EFCFAD4"/>
    <w:rsid w:val="7EFD0516"/>
    <w:rsid w:val="7EFF3B41"/>
    <w:rsid w:val="7EFF6CE0"/>
    <w:rsid w:val="7F2F4F0B"/>
    <w:rsid w:val="7F434F43"/>
    <w:rsid w:val="7F6F325F"/>
    <w:rsid w:val="7F75E46A"/>
    <w:rsid w:val="7F7D4D66"/>
    <w:rsid w:val="7F923854"/>
    <w:rsid w:val="7F9D2CC6"/>
    <w:rsid w:val="7FAA92EA"/>
    <w:rsid w:val="7FAB964F"/>
    <w:rsid w:val="7FADC894"/>
    <w:rsid w:val="7FADCEB7"/>
    <w:rsid w:val="7FAF8E99"/>
    <w:rsid w:val="7FAF9BEF"/>
    <w:rsid w:val="7FAFECCB"/>
    <w:rsid w:val="7FB5AD8E"/>
    <w:rsid w:val="7FB70309"/>
    <w:rsid w:val="7FBEA4D8"/>
    <w:rsid w:val="7FC71DFA"/>
    <w:rsid w:val="7FCE9B4A"/>
    <w:rsid w:val="7FD74590"/>
    <w:rsid w:val="7FDED9E5"/>
    <w:rsid w:val="7FE37818"/>
    <w:rsid w:val="7FEAA9AB"/>
    <w:rsid w:val="7FFD73C0"/>
    <w:rsid w:val="7FFDE014"/>
    <w:rsid w:val="7FFEC443"/>
    <w:rsid w:val="7FFF351D"/>
    <w:rsid w:val="7FFF8137"/>
    <w:rsid w:val="7FFFD4F9"/>
    <w:rsid w:val="87EFB873"/>
    <w:rsid w:val="8BBD71C6"/>
    <w:rsid w:val="8BDB5640"/>
    <w:rsid w:val="8BF73B00"/>
    <w:rsid w:val="8CFAC852"/>
    <w:rsid w:val="8DD50D56"/>
    <w:rsid w:val="939FA03F"/>
    <w:rsid w:val="96BFCB2F"/>
    <w:rsid w:val="973F25DC"/>
    <w:rsid w:val="97EF25B5"/>
    <w:rsid w:val="992FC3A9"/>
    <w:rsid w:val="99FDBB83"/>
    <w:rsid w:val="9B77CB3B"/>
    <w:rsid w:val="9B8B32CE"/>
    <w:rsid w:val="9BDBED88"/>
    <w:rsid w:val="9BF5DD3C"/>
    <w:rsid w:val="9D7A5340"/>
    <w:rsid w:val="9DEE0AF2"/>
    <w:rsid w:val="9F1BAF19"/>
    <w:rsid w:val="9F6FCCBD"/>
    <w:rsid w:val="9F7B353E"/>
    <w:rsid w:val="9F97ABBB"/>
    <w:rsid w:val="9FB59D1C"/>
    <w:rsid w:val="9FCD91C3"/>
    <w:rsid w:val="9FE392F3"/>
    <w:rsid w:val="9FEFA79E"/>
    <w:rsid w:val="A6CD27B8"/>
    <w:rsid w:val="A6FB25A1"/>
    <w:rsid w:val="A77FBB3D"/>
    <w:rsid w:val="A7DE9939"/>
    <w:rsid w:val="ABEBF671"/>
    <w:rsid w:val="ACD7FBCE"/>
    <w:rsid w:val="AD5FC3D8"/>
    <w:rsid w:val="ADFCDA63"/>
    <w:rsid w:val="AEFE2613"/>
    <w:rsid w:val="AF6D42D8"/>
    <w:rsid w:val="AF7B5CBD"/>
    <w:rsid w:val="AFF2AFD8"/>
    <w:rsid w:val="B0DD6782"/>
    <w:rsid w:val="B1BC1CFE"/>
    <w:rsid w:val="B3F789F3"/>
    <w:rsid w:val="B5E6287B"/>
    <w:rsid w:val="B5FFA584"/>
    <w:rsid w:val="B67F43DA"/>
    <w:rsid w:val="B7AAC7AB"/>
    <w:rsid w:val="B7BA8507"/>
    <w:rsid w:val="B7BD6C08"/>
    <w:rsid w:val="B7BF2100"/>
    <w:rsid w:val="B7BF928E"/>
    <w:rsid w:val="B7DB7E02"/>
    <w:rsid w:val="B7EFE48C"/>
    <w:rsid w:val="B7FB4104"/>
    <w:rsid w:val="B8F1D304"/>
    <w:rsid w:val="B9DFF72D"/>
    <w:rsid w:val="B9FE2322"/>
    <w:rsid w:val="BA9D2B5C"/>
    <w:rsid w:val="BB2DFF0C"/>
    <w:rsid w:val="BBB73ED3"/>
    <w:rsid w:val="BBDDE668"/>
    <w:rsid w:val="BBF976E4"/>
    <w:rsid w:val="BCFD65E9"/>
    <w:rsid w:val="BD1FFFD0"/>
    <w:rsid w:val="BD574E1A"/>
    <w:rsid w:val="BDD35FA2"/>
    <w:rsid w:val="BDFED098"/>
    <w:rsid w:val="BEFF32EE"/>
    <w:rsid w:val="BF3DD8EC"/>
    <w:rsid w:val="BF66D87B"/>
    <w:rsid w:val="BF7FA6A8"/>
    <w:rsid w:val="BF86A395"/>
    <w:rsid w:val="BF8B3571"/>
    <w:rsid w:val="BFAFE011"/>
    <w:rsid w:val="BFBED802"/>
    <w:rsid w:val="BFD7166A"/>
    <w:rsid w:val="BFE91E89"/>
    <w:rsid w:val="BFFDEDCF"/>
    <w:rsid w:val="BFFE8C2C"/>
    <w:rsid w:val="BFFFD4F7"/>
    <w:rsid w:val="C76F1B9F"/>
    <w:rsid w:val="CB7716C7"/>
    <w:rsid w:val="CBA5DAA6"/>
    <w:rsid w:val="CC6DE0F8"/>
    <w:rsid w:val="CCDD67D1"/>
    <w:rsid w:val="CD7F210F"/>
    <w:rsid w:val="D2BFFCB1"/>
    <w:rsid w:val="D3DF06DD"/>
    <w:rsid w:val="D3FDADCA"/>
    <w:rsid w:val="D5BF67B5"/>
    <w:rsid w:val="D5FFDDD5"/>
    <w:rsid w:val="D6EF683A"/>
    <w:rsid w:val="D74F8C7A"/>
    <w:rsid w:val="D8F1B670"/>
    <w:rsid w:val="D9BD4245"/>
    <w:rsid w:val="D9BF9829"/>
    <w:rsid w:val="DB5C880C"/>
    <w:rsid w:val="DB9D06EC"/>
    <w:rsid w:val="DBFA615B"/>
    <w:rsid w:val="DC676154"/>
    <w:rsid w:val="DCED8BC2"/>
    <w:rsid w:val="DD750548"/>
    <w:rsid w:val="DDEF21EF"/>
    <w:rsid w:val="DDFE3EC8"/>
    <w:rsid w:val="DDFEE100"/>
    <w:rsid w:val="DDFF03F5"/>
    <w:rsid w:val="DE3A4BE9"/>
    <w:rsid w:val="DE7B74E6"/>
    <w:rsid w:val="DEB67C06"/>
    <w:rsid w:val="DEB75CB5"/>
    <w:rsid w:val="DEB8D6C0"/>
    <w:rsid w:val="DEC755C4"/>
    <w:rsid w:val="DEE5F43D"/>
    <w:rsid w:val="DF5E709F"/>
    <w:rsid w:val="DFB7B065"/>
    <w:rsid w:val="DFE722C8"/>
    <w:rsid w:val="DFEADEEC"/>
    <w:rsid w:val="DFED96F5"/>
    <w:rsid w:val="DFF5BE25"/>
    <w:rsid w:val="DFFDF294"/>
    <w:rsid w:val="DFFE36F4"/>
    <w:rsid w:val="DFFF83D7"/>
    <w:rsid w:val="E1AE537B"/>
    <w:rsid w:val="E377CAD3"/>
    <w:rsid w:val="E5D7312E"/>
    <w:rsid w:val="E6EFE6B2"/>
    <w:rsid w:val="E75F346D"/>
    <w:rsid w:val="E77B90FD"/>
    <w:rsid w:val="E77EE8BD"/>
    <w:rsid w:val="E7FDD106"/>
    <w:rsid w:val="E7FF509E"/>
    <w:rsid w:val="E9EC7ED8"/>
    <w:rsid w:val="E9FD7CB3"/>
    <w:rsid w:val="EABE1C3F"/>
    <w:rsid w:val="EAFB901F"/>
    <w:rsid w:val="EB1ED3A4"/>
    <w:rsid w:val="EB76BA0A"/>
    <w:rsid w:val="EBA3F109"/>
    <w:rsid w:val="EBBE8894"/>
    <w:rsid w:val="EBDB85E2"/>
    <w:rsid w:val="EBDFAC8B"/>
    <w:rsid w:val="EBF58581"/>
    <w:rsid w:val="EBFAD5A7"/>
    <w:rsid w:val="ECFD547B"/>
    <w:rsid w:val="EDBB1478"/>
    <w:rsid w:val="EDDE5DAF"/>
    <w:rsid w:val="EDE12409"/>
    <w:rsid w:val="EDFB5EF7"/>
    <w:rsid w:val="EE7F1E85"/>
    <w:rsid w:val="EE8FF47B"/>
    <w:rsid w:val="EEFE3F12"/>
    <w:rsid w:val="EF36B7FB"/>
    <w:rsid w:val="EF3E4456"/>
    <w:rsid w:val="EF6AC498"/>
    <w:rsid w:val="EF6F0BE8"/>
    <w:rsid w:val="EF7DDF33"/>
    <w:rsid w:val="EF7E72E2"/>
    <w:rsid w:val="EFAF4FD4"/>
    <w:rsid w:val="EFE7B20E"/>
    <w:rsid w:val="EFEFB4B1"/>
    <w:rsid w:val="EFF5C566"/>
    <w:rsid w:val="EFFB1BAC"/>
    <w:rsid w:val="EFFD145D"/>
    <w:rsid w:val="EFFD8CFF"/>
    <w:rsid w:val="F1F5D3C4"/>
    <w:rsid w:val="F275DA76"/>
    <w:rsid w:val="F2DF2013"/>
    <w:rsid w:val="F32FB4EF"/>
    <w:rsid w:val="F3B33006"/>
    <w:rsid w:val="F3D90753"/>
    <w:rsid w:val="F3FFE6B5"/>
    <w:rsid w:val="F4FA30E7"/>
    <w:rsid w:val="F53FC911"/>
    <w:rsid w:val="F5750987"/>
    <w:rsid w:val="F5E75DD7"/>
    <w:rsid w:val="F5F30E22"/>
    <w:rsid w:val="F5FF5345"/>
    <w:rsid w:val="F64BCF72"/>
    <w:rsid w:val="F65D0F29"/>
    <w:rsid w:val="F66F9C62"/>
    <w:rsid w:val="F6B7E99E"/>
    <w:rsid w:val="F6B93B3E"/>
    <w:rsid w:val="F6DA814B"/>
    <w:rsid w:val="F6FCA072"/>
    <w:rsid w:val="F6FE3890"/>
    <w:rsid w:val="F6FE4781"/>
    <w:rsid w:val="F767787F"/>
    <w:rsid w:val="F7779F5E"/>
    <w:rsid w:val="F77B79BE"/>
    <w:rsid w:val="F77FFFC8"/>
    <w:rsid w:val="F7AD5629"/>
    <w:rsid w:val="F7AF4754"/>
    <w:rsid w:val="F7AF6DC5"/>
    <w:rsid w:val="F7BF4DCB"/>
    <w:rsid w:val="F7CB1098"/>
    <w:rsid w:val="F7D35C9B"/>
    <w:rsid w:val="F7D62FCE"/>
    <w:rsid w:val="F7DEBAE4"/>
    <w:rsid w:val="F7FEBCDB"/>
    <w:rsid w:val="F7FF8ABD"/>
    <w:rsid w:val="F7FFB081"/>
    <w:rsid w:val="F87F1A3D"/>
    <w:rsid w:val="F9BB8E09"/>
    <w:rsid w:val="F9BF68F8"/>
    <w:rsid w:val="F9CC6249"/>
    <w:rsid w:val="F9DE41CD"/>
    <w:rsid w:val="F9E751BA"/>
    <w:rsid w:val="FA3DCC22"/>
    <w:rsid w:val="FA6EA470"/>
    <w:rsid w:val="FAD6E1AF"/>
    <w:rsid w:val="FAEF69FA"/>
    <w:rsid w:val="FAFD2248"/>
    <w:rsid w:val="FAFDF4F8"/>
    <w:rsid w:val="FBAF6E9B"/>
    <w:rsid w:val="FBBF6130"/>
    <w:rsid w:val="FBEB7BF2"/>
    <w:rsid w:val="FBEBB3ED"/>
    <w:rsid w:val="FBFB0CD5"/>
    <w:rsid w:val="FBFC2E41"/>
    <w:rsid w:val="FBFD30AE"/>
    <w:rsid w:val="FBFEC197"/>
    <w:rsid w:val="FBFF6FD8"/>
    <w:rsid w:val="FBFFEA55"/>
    <w:rsid w:val="FC5E3D7D"/>
    <w:rsid w:val="FCFD6AF8"/>
    <w:rsid w:val="FCFFE151"/>
    <w:rsid w:val="FD679674"/>
    <w:rsid w:val="FD77CD95"/>
    <w:rsid w:val="FD7EE6D9"/>
    <w:rsid w:val="FD7F22E7"/>
    <w:rsid w:val="FDAD20B2"/>
    <w:rsid w:val="FDBD51EA"/>
    <w:rsid w:val="FDFB85B4"/>
    <w:rsid w:val="FDFF4920"/>
    <w:rsid w:val="FDFF96AE"/>
    <w:rsid w:val="FDFFF909"/>
    <w:rsid w:val="FE3F8F48"/>
    <w:rsid w:val="FE4FC563"/>
    <w:rsid w:val="FE539E0F"/>
    <w:rsid w:val="FE62886C"/>
    <w:rsid w:val="FEBF1833"/>
    <w:rsid w:val="FED61A61"/>
    <w:rsid w:val="FEDF65FC"/>
    <w:rsid w:val="FEE92AFA"/>
    <w:rsid w:val="FEEBB54D"/>
    <w:rsid w:val="FEEDE71C"/>
    <w:rsid w:val="FEF57FE0"/>
    <w:rsid w:val="FEF74162"/>
    <w:rsid w:val="FEF8F85A"/>
    <w:rsid w:val="FEFF5102"/>
    <w:rsid w:val="FF54E895"/>
    <w:rsid w:val="FF679C78"/>
    <w:rsid w:val="FF7780DB"/>
    <w:rsid w:val="FF7E1B76"/>
    <w:rsid w:val="FF7F1B75"/>
    <w:rsid w:val="FF7F442F"/>
    <w:rsid w:val="FF7F9012"/>
    <w:rsid w:val="FF7FBE0A"/>
    <w:rsid w:val="FFACB62B"/>
    <w:rsid w:val="FFBAE316"/>
    <w:rsid w:val="FFBB3092"/>
    <w:rsid w:val="FFBBC91E"/>
    <w:rsid w:val="FFBD2A63"/>
    <w:rsid w:val="FFBE8556"/>
    <w:rsid w:val="FFBEFFA5"/>
    <w:rsid w:val="FFBF6667"/>
    <w:rsid w:val="FFBFA54E"/>
    <w:rsid w:val="FFCBAC21"/>
    <w:rsid w:val="FFD2F072"/>
    <w:rsid w:val="FFD79819"/>
    <w:rsid w:val="FFD7D42B"/>
    <w:rsid w:val="FFDA555F"/>
    <w:rsid w:val="FFDF70C2"/>
    <w:rsid w:val="FFE703E8"/>
    <w:rsid w:val="FFEF3CED"/>
    <w:rsid w:val="FFF50D13"/>
    <w:rsid w:val="FFF77383"/>
    <w:rsid w:val="FFF93375"/>
    <w:rsid w:val="FFFAFFCB"/>
    <w:rsid w:val="FFFC772F"/>
    <w:rsid w:val="FFFDE791"/>
    <w:rsid w:val="FFFE2390"/>
    <w:rsid w:val="FFFF02D3"/>
    <w:rsid w:val="FFFF0B70"/>
    <w:rsid w:val="FFFF22AA"/>
    <w:rsid w:val="FFFF754C"/>
    <w:rsid w:val="FFFF9E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560" w:firstLineChars="200"/>
      <w:jc w:val="both"/>
    </w:pPr>
    <w:rPr>
      <w:rFonts w:ascii="Times New Roman" w:hAnsi="Times New Roman" w:eastAsia="仿宋_GB2312" w:cs="Times New Roman"/>
      <w:color w:val="000000"/>
      <w:sz w:val="32"/>
      <w:szCs w:val="24"/>
      <w:lang w:val="en-US" w:eastAsia="en-US" w:bidi="en-US"/>
    </w:rPr>
  </w:style>
  <w:style w:type="paragraph" w:styleId="2">
    <w:name w:val="heading 1"/>
    <w:basedOn w:val="1"/>
    <w:next w:val="1"/>
    <w:link w:val="65"/>
    <w:qFormat/>
    <w:uiPriority w:val="0"/>
    <w:pPr>
      <w:keepNext/>
      <w:keepLines/>
      <w:spacing w:before="50" w:beforeLines="50" w:after="50" w:afterLines="50"/>
      <w:ind w:firstLine="0" w:firstLineChars="0"/>
      <w:outlineLvl w:val="0"/>
    </w:pPr>
    <w:rPr>
      <w:rFonts w:eastAsia="黑体"/>
      <w:b/>
      <w:kern w:val="44"/>
    </w:rPr>
  </w:style>
  <w:style w:type="paragraph" w:styleId="3">
    <w:name w:val="heading 2"/>
    <w:basedOn w:val="1"/>
    <w:next w:val="1"/>
    <w:link w:val="27"/>
    <w:unhideWhenUsed/>
    <w:qFormat/>
    <w:uiPriority w:val="0"/>
    <w:pPr>
      <w:keepNext/>
      <w:keepLines/>
      <w:spacing w:before="50" w:beforeLines="50" w:after="50" w:afterLines="50"/>
      <w:outlineLvl w:val="1"/>
    </w:pPr>
    <w:rPr>
      <w:rFonts w:ascii="华文楷体" w:hAnsi="华文楷体" w:eastAsia="楷体"/>
      <w:b/>
    </w:rPr>
  </w:style>
  <w:style w:type="paragraph" w:styleId="4">
    <w:name w:val="heading 3"/>
    <w:basedOn w:val="1"/>
    <w:next w:val="1"/>
    <w:link w:val="26"/>
    <w:unhideWhenUsed/>
    <w:qFormat/>
    <w:uiPriority w:val="0"/>
    <w:pPr>
      <w:keepNext/>
      <w:keepLines/>
      <w:ind w:firstLine="200"/>
      <w:outlineLvl w:val="2"/>
    </w:pPr>
    <w:rPr>
      <w:b/>
    </w:rPr>
  </w:style>
  <w:style w:type="paragraph" w:styleId="5">
    <w:name w:val="heading 4"/>
    <w:basedOn w:val="1"/>
    <w:next w:val="1"/>
    <w:unhideWhenUsed/>
    <w:qFormat/>
    <w:uiPriority w:val="0"/>
    <w:pPr>
      <w:keepNext/>
      <w:keepLines/>
      <w:outlineLvl w:val="3"/>
    </w:pPr>
    <w:rPr>
      <w:b/>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920"/>
      <w:jc w:val="left"/>
    </w:pPr>
    <w:rPr>
      <w:rFonts w:asciiTheme="minorHAnsi" w:hAnsiTheme="minorHAnsi" w:cstheme="minorHAnsi"/>
      <w:sz w:val="18"/>
      <w:szCs w:val="18"/>
    </w:rPr>
  </w:style>
  <w:style w:type="paragraph" w:styleId="7">
    <w:name w:val="Body Text"/>
    <w:basedOn w:val="1"/>
    <w:link w:val="53"/>
    <w:qFormat/>
    <w:uiPriority w:val="0"/>
    <w:pPr>
      <w:spacing w:before="240"/>
      <w:ind w:left="1160"/>
    </w:pPr>
    <w:rPr>
      <w:rFonts w:ascii="仿宋_GB2312" w:hAnsi="仿宋_GB2312" w:cs="仿宋_GB2312"/>
      <w:sz w:val="30"/>
      <w:szCs w:val="30"/>
      <w:lang w:val="zh-CN" w:eastAsia="zh-CN" w:bidi="zh-CN"/>
    </w:rPr>
  </w:style>
  <w:style w:type="paragraph" w:styleId="8">
    <w:name w:val="toc 5"/>
    <w:basedOn w:val="1"/>
    <w:next w:val="1"/>
    <w:qFormat/>
    <w:uiPriority w:val="0"/>
    <w:pPr>
      <w:ind w:left="1280"/>
      <w:jc w:val="left"/>
    </w:pPr>
    <w:rPr>
      <w:rFonts w:asciiTheme="minorHAnsi" w:hAnsiTheme="minorHAnsi" w:cstheme="minorHAnsi"/>
      <w:sz w:val="18"/>
      <w:szCs w:val="18"/>
    </w:rPr>
  </w:style>
  <w:style w:type="paragraph" w:styleId="9">
    <w:name w:val="toc 3"/>
    <w:basedOn w:val="1"/>
    <w:next w:val="1"/>
    <w:qFormat/>
    <w:uiPriority w:val="0"/>
    <w:pPr>
      <w:ind w:left="640"/>
      <w:jc w:val="left"/>
    </w:pPr>
    <w:rPr>
      <w:rFonts w:asciiTheme="minorHAnsi" w:hAnsiTheme="minorHAnsi" w:cstheme="minorHAnsi"/>
      <w:i/>
      <w:iCs/>
      <w:sz w:val="20"/>
      <w:szCs w:val="20"/>
    </w:rPr>
  </w:style>
  <w:style w:type="paragraph" w:styleId="10">
    <w:name w:val="toc 8"/>
    <w:basedOn w:val="1"/>
    <w:next w:val="1"/>
    <w:qFormat/>
    <w:uiPriority w:val="0"/>
    <w:pPr>
      <w:ind w:left="2240"/>
      <w:jc w:val="left"/>
    </w:pPr>
    <w:rPr>
      <w:rFonts w:asciiTheme="minorHAnsi" w:hAnsiTheme="minorHAnsi" w:cstheme="minorHAnsi"/>
      <w:sz w:val="18"/>
      <w:szCs w:val="18"/>
    </w:rPr>
  </w:style>
  <w:style w:type="paragraph" w:styleId="11">
    <w:name w:val="Date"/>
    <w:basedOn w:val="1"/>
    <w:next w:val="1"/>
    <w:link w:val="67"/>
    <w:qFormat/>
    <w:uiPriority w:val="0"/>
    <w:pPr>
      <w:ind w:left="100" w:leftChars="2500"/>
    </w:pPr>
  </w:style>
  <w:style w:type="paragraph" w:styleId="12">
    <w:name w:val="Balloon Text"/>
    <w:basedOn w:val="1"/>
    <w:link w:val="52"/>
    <w:qFormat/>
    <w:uiPriority w:val="0"/>
    <w:pPr>
      <w:spacing w:line="240" w:lineRule="auto"/>
    </w:pPr>
    <w:rPr>
      <w:sz w:val="18"/>
      <w:szCs w:val="18"/>
    </w:rPr>
  </w:style>
  <w:style w:type="paragraph" w:styleId="13">
    <w:name w:val="footer"/>
    <w:basedOn w:val="1"/>
    <w:link w:val="54"/>
    <w:qFormat/>
    <w:uiPriority w:val="99"/>
    <w:pPr>
      <w:tabs>
        <w:tab w:val="center" w:pos="4153"/>
        <w:tab w:val="right" w:pos="8306"/>
      </w:tabs>
      <w:snapToGrid w:val="0"/>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rFonts w:ascii="DejaVu Sans" w:hAnsi="DejaVu Sans"/>
      <w:sz w:val="18"/>
    </w:rPr>
  </w:style>
  <w:style w:type="paragraph" w:styleId="15">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16">
    <w:name w:val="toc 4"/>
    <w:basedOn w:val="1"/>
    <w:next w:val="1"/>
    <w:qFormat/>
    <w:uiPriority w:val="0"/>
    <w:pPr>
      <w:ind w:left="960"/>
      <w:jc w:val="left"/>
    </w:pPr>
    <w:rPr>
      <w:rFonts w:asciiTheme="minorHAnsi" w:hAnsiTheme="minorHAnsi" w:cstheme="minorHAnsi"/>
      <w:sz w:val="18"/>
      <w:szCs w:val="18"/>
    </w:rPr>
  </w:style>
  <w:style w:type="paragraph" w:styleId="17">
    <w:name w:val="toc 6"/>
    <w:basedOn w:val="1"/>
    <w:next w:val="1"/>
    <w:qFormat/>
    <w:uiPriority w:val="0"/>
    <w:pPr>
      <w:ind w:left="1600"/>
      <w:jc w:val="left"/>
    </w:pPr>
    <w:rPr>
      <w:rFonts w:asciiTheme="minorHAnsi" w:hAnsiTheme="minorHAnsi" w:cstheme="minorHAnsi"/>
      <w:sz w:val="18"/>
      <w:szCs w:val="18"/>
    </w:rPr>
  </w:style>
  <w:style w:type="paragraph" w:styleId="18">
    <w:name w:val="toc 2"/>
    <w:basedOn w:val="1"/>
    <w:next w:val="1"/>
    <w:qFormat/>
    <w:uiPriority w:val="39"/>
    <w:pPr>
      <w:ind w:left="320"/>
      <w:jc w:val="left"/>
    </w:pPr>
    <w:rPr>
      <w:rFonts w:asciiTheme="minorHAnsi" w:hAnsiTheme="minorHAnsi" w:cstheme="minorHAnsi"/>
      <w:smallCaps/>
      <w:sz w:val="20"/>
      <w:szCs w:val="20"/>
    </w:rPr>
  </w:style>
  <w:style w:type="paragraph" w:styleId="19">
    <w:name w:val="toc 9"/>
    <w:basedOn w:val="1"/>
    <w:next w:val="1"/>
    <w:qFormat/>
    <w:uiPriority w:val="0"/>
    <w:pPr>
      <w:ind w:left="2560"/>
      <w:jc w:val="left"/>
    </w:pPr>
    <w:rPr>
      <w:rFonts w:asciiTheme="minorHAnsi" w:hAnsiTheme="minorHAnsi" w:cstheme="minorHAnsi"/>
      <w:sz w:val="18"/>
      <w:szCs w:val="18"/>
    </w:rPr>
  </w:style>
  <w:style w:type="paragraph" w:styleId="20">
    <w:name w:val="Normal (Web)"/>
    <w:basedOn w:val="1"/>
    <w:qFormat/>
    <w:uiPriority w:val="99"/>
    <w:pPr>
      <w:spacing w:beforeAutospacing="1" w:afterAutospacing="1"/>
    </w:pPr>
    <w:rPr>
      <w:sz w:val="24"/>
      <w:lang w:eastAsia="zh-CN" w:bidi="ar-SA"/>
    </w:rPr>
  </w:style>
  <w:style w:type="paragraph" w:styleId="21">
    <w:name w:val="Title"/>
    <w:basedOn w:val="1"/>
    <w:next w:val="1"/>
    <w:link w:val="57"/>
    <w:qFormat/>
    <w:uiPriority w:val="0"/>
    <w:pPr>
      <w:spacing w:before="100" w:beforeLines="100" w:after="100" w:afterLines="100" w:line="360" w:lineRule="auto"/>
      <w:ind w:firstLine="0" w:firstLineChars="0"/>
      <w:jc w:val="center"/>
      <w:outlineLvl w:val="0"/>
    </w:pPr>
    <w:rPr>
      <w:rFonts w:eastAsia="方正小标宋" w:cstheme="majorBidi"/>
      <w:b/>
      <w:bCs/>
      <w:sz w:val="44"/>
      <w:szCs w:val="32"/>
    </w:rPr>
  </w:style>
  <w:style w:type="character" w:styleId="24">
    <w:name w:val="Strong"/>
    <w:basedOn w:val="23"/>
    <w:qFormat/>
    <w:uiPriority w:val="0"/>
    <w:rPr>
      <w:b/>
    </w:rPr>
  </w:style>
  <w:style w:type="character" w:styleId="25">
    <w:name w:val="Hyperlink"/>
    <w:basedOn w:val="23"/>
    <w:qFormat/>
    <w:uiPriority w:val="99"/>
    <w:rPr>
      <w:color w:val="0000FF"/>
      <w:u w:val="single"/>
    </w:rPr>
  </w:style>
  <w:style w:type="character" w:customStyle="1" w:styleId="26">
    <w:name w:val="标题 3 字符"/>
    <w:link w:val="4"/>
    <w:qFormat/>
    <w:uiPriority w:val="0"/>
    <w:rPr>
      <w:rFonts w:eastAsia="仿宋_GB2312"/>
      <w:b/>
      <w:color w:val="000000"/>
      <w:sz w:val="32"/>
      <w:szCs w:val="24"/>
      <w:lang w:eastAsia="en-US" w:bidi="en-US"/>
    </w:rPr>
  </w:style>
  <w:style w:type="character" w:customStyle="1" w:styleId="27">
    <w:name w:val="标题 2 字符"/>
    <w:link w:val="3"/>
    <w:qFormat/>
    <w:uiPriority w:val="0"/>
    <w:rPr>
      <w:rFonts w:ascii="华文楷体" w:hAnsi="华文楷体" w:eastAsia="楷体"/>
      <w:b/>
    </w:rPr>
  </w:style>
  <w:style w:type="paragraph" w:customStyle="1" w:styleId="28">
    <w:name w:val="Body text|2"/>
    <w:basedOn w:val="1"/>
    <w:qFormat/>
    <w:uiPriority w:val="0"/>
    <w:pPr>
      <w:spacing w:line="322" w:lineRule="exact"/>
      <w:ind w:firstLine="400"/>
    </w:pPr>
    <w:rPr>
      <w:rFonts w:ascii="宋体" w:hAnsi="宋体" w:eastAsia="宋体" w:cs="宋体"/>
      <w:sz w:val="19"/>
      <w:szCs w:val="19"/>
      <w:lang w:val="zh-TW" w:eastAsia="zh-TW" w:bidi="zh-TW"/>
    </w:rPr>
  </w:style>
  <w:style w:type="paragraph" w:customStyle="1" w:styleId="29">
    <w:name w:val="Header or footer|1"/>
    <w:basedOn w:val="1"/>
    <w:qFormat/>
    <w:uiPriority w:val="0"/>
    <w:rPr>
      <w:lang w:val="zh-TW" w:eastAsia="zh-TW" w:bidi="zh-TW"/>
    </w:rPr>
  </w:style>
  <w:style w:type="paragraph" w:customStyle="1" w:styleId="30">
    <w:name w:val="标题4"/>
    <w:basedOn w:val="28"/>
    <w:qFormat/>
    <w:uiPriority w:val="0"/>
    <w:pPr>
      <w:spacing w:line="360" w:lineRule="auto"/>
      <w:ind w:firstLine="881"/>
    </w:pPr>
    <w:rPr>
      <w:rFonts w:eastAsia="华文仿宋"/>
      <w:b/>
      <w:sz w:val="32"/>
    </w:rPr>
  </w:style>
  <w:style w:type="paragraph" w:customStyle="1" w:styleId="31">
    <w:name w:val="Body text|1"/>
    <w:basedOn w:val="1"/>
    <w:qFormat/>
    <w:uiPriority w:val="0"/>
    <w:pPr>
      <w:spacing w:line="360" w:lineRule="auto"/>
      <w:ind w:firstLine="400"/>
    </w:pPr>
    <w:rPr>
      <w:rFonts w:ascii="宋体" w:hAnsi="宋体" w:eastAsia="宋体" w:cs="宋体"/>
      <w:lang w:val="zh-TW" w:eastAsia="zh-TW" w:bidi="zh-TW"/>
    </w:rPr>
  </w:style>
  <w:style w:type="character" w:customStyle="1" w:styleId="32">
    <w:name w:val="font01"/>
    <w:basedOn w:val="23"/>
    <w:qFormat/>
    <w:uiPriority w:val="0"/>
    <w:rPr>
      <w:rFonts w:ascii="Arial" w:hAnsi="Arial" w:cs="Arial"/>
      <w:color w:val="000000"/>
      <w:sz w:val="22"/>
      <w:szCs w:val="22"/>
      <w:u w:val="none"/>
    </w:rPr>
  </w:style>
  <w:style w:type="character" w:customStyle="1" w:styleId="33">
    <w:name w:val="font11"/>
    <w:basedOn w:val="23"/>
    <w:qFormat/>
    <w:uiPriority w:val="0"/>
    <w:rPr>
      <w:rFonts w:ascii="font-weight : 400" w:hAnsi="font-weight : 400" w:eastAsia="font-weight : 400" w:cs="font-weight : 400"/>
      <w:color w:val="000000"/>
      <w:sz w:val="22"/>
      <w:szCs w:val="22"/>
      <w:u w:val="none"/>
    </w:rPr>
  </w:style>
  <w:style w:type="character" w:customStyle="1" w:styleId="34">
    <w:name w:val="font51"/>
    <w:basedOn w:val="23"/>
    <w:qFormat/>
    <w:uiPriority w:val="0"/>
    <w:rPr>
      <w:rFonts w:hint="eastAsia" w:ascii="宋体" w:hAnsi="宋体" w:eastAsia="宋体" w:cs="宋体"/>
      <w:color w:val="000000"/>
      <w:sz w:val="22"/>
      <w:szCs w:val="22"/>
      <w:u w:val="none"/>
    </w:rPr>
  </w:style>
  <w:style w:type="character" w:customStyle="1" w:styleId="35">
    <w:name w:val="正文 + Arial Char"/>
    <w:link w:val="36"/>
    <w:qFormat/>
    <w:locked/>
    <w:uiPriority w:val="0"/>
    <w:rPr>
      <w:rFonts w:ascii="Arial"/>
      <w:kern w:val="0"/>
      <w:sz w:val="24"/>
    </w:rPr>
  </w:style>
  <w:style w:type="paragraph" w:customStyle="1" w:styleId="36">
    <w:name w:val="正文 + Arial"/>
    <w:basedOn w:val="1"/>
    <w:link w:val="35"/>
    <w:qFormat/>
    <w:uiPriority w:val="0"/>
    <w:pPr>
      <w:spacing w:afterLines="50" w:line="360" w:lineRule="auto"/>
      <w:ind w:firstLine="420"/>
    </w:pPr>
    <w:rPr>
      <w:rFonts w:ascii="Arial"/>
      <w:sz w:val="24"/>
    </w:rPr>
  </w:style>
  <w:style w:type="paragraph" w:customStyle="1" w:styleId="37">
    <w:name w:val="列出段落1"/>
    <w:basedOn w:val="1"/>
    <w:qFormat/>
    <w:uiPriority w:val="1"/>
    <w:pPr>
      <w:spacing w:before="3"/>
      <w:ind w:left="2332" w:hanging="753"/>
    </w:pPr>
    <w:rPr>
      <w:rFonts w:ascii="仿宋_GB2312" w:hAnsi="仿宋_GB2312" w:cs="仿宋_GB2312"/>
      <w:lang w:val="zh-CN" w:eastAsia="zh-CN" w:bidi="zh-CN"/>
    </w:rPr>
  </w:style>
  <w:style w:type="paragraph" w:customStyle="1" w:styleId="38">
    <w:name w:val="分类号"/>
    <w:basedOn w:val="1"/>
    <w:qFormat/>
    <w:uiPriority w:val="0"/>
    <w:pPr>
      <w:spacing w:line="240" w:lineRule="auto"/>
      <w:ind w:firstLine="0" w:firstLineChars="0"/>
    </w:pPr>
    <w:rPr>
      <w:rFonts w:ascii="仿宋_GB2312"/>
      <w:kern w:val="2"/>
      <w:sz w:val="28"/>
      <w:szCs w:val="28"/>
      <w:lang w:eastAsia="zh-CN" w:bidi="ar-SA"/>
    </w:rPr>
  </w:style>
  <w:style w:type="paragraph" w:customStyle="1" w:styleId="39">
    <w:name w:val="硕士学位论文"/>
    <w:basedOn w:val="1"/>
    <w:qFormat/>
    <w:uiPriority w:val="0"/>
    <w:pPr>
      <w:spacing w:before="240" w:line="240" w:lineRule="auto"/>
      <w:ind w:firstLine="0" w:firstLineChars="0"/>
      <w:jc w:val="center"/>
    </w:pPr>
    <w:rPr>
      <w:rFonts w:eastAsia="宋体"/>
      <w:kern w:val="2"/>
      <w:sz w:val="44"/>
      <w:szCs w:val="44"/>
      <w:lang w:eastAsia="zh-CN" w:bidi="ar-SA"/>
    </w:rPr>
  </w:style>
  <w:style w:type="paragraph" w:customStyle="1" w:styleId="40">
    <w:name w:val="论文标题"/>
    <w:basedOn w:val="1"/>
    <w:qFormat/>
    <w:uiPriority w:val="0"/>
    <w:pPr>
      <w:spacing w:line="240" w:lineRule="auto"/>
      <w:ind w:firstLine="0" w:firstLineChars="0"/>
      <w:jc w:val="center"/>
    </w:pPr>
    <w:rPr>
      <w:rFonts w:eastAsia="楷体_GB2312"/>
      <w:b/>
      <w:kern w:val="36"/>
      <w:sz w:val="52"/>
      <w:szCs w:val="52"/>
      <w:lang w:eastAsia="zh-CN" w:bidi="ar-SA"/>
    </w:rPr>
  </w:style>
  <w:style w:type="paragraph" w:customStyle="1" w:styleId="41">
    <w:name w:val="研究生姓名"/>
    <w:basedOn w:val="1"/>
    <w:qFormat/>
    <w:uiPriority w:val="0"/>
    <w:pPr>
      <w:spacing w:line="240" w:lineRule="auto"/>
      <w:ind w:firstLine="700" w:firstLineChars="700"/>
    </w:pPr>
    <w:rPr>
      <w:rFonts w:eastAsia="宋体"/>
      <w:kern w:val="2"/>
      <w:sz w:val="28"/>
      <w:szCs w:val="28"/>
      <w:lang w:eastAsia="zh-CN" w:bidi="ar-SA"/>
    </w:rPr>
  </w:style>
  <w:style w:type="paragraph" w:customStyle="1" w:styleId="42">
    <w:name w:val="封面日期"/>
    <w:basedOn w:val="1"/>
    <w:qFormat/>
    <w:uiPriority w:val="0"/>
    <w:pPr>
      <w:spacing w:line="240" w:lineRule="auto"/>
      <w:ind w:firstLine="0" w:firstLineChars="0"/>
      <w:jc w:val="center"/>
    </w:pPr>
    <w:rPr>
      <w:rFonts w:ascii="黑体" w:eastAsia="黑体"/>
      <w:kern w:val="2"/>
      <w:szCs w:val="32"/>
      <w:lang w:eastAsia="zh-CN" w:bidi="ar-SA"/>
    </w:r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5">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6">
    <w:name w:val="font21"/>
    <w:basedOn w:val="23"/>
    <w:qFormat/>
    <w:uiPriority w:val="0"/>
    <w:rPr>
      <w:rFonts w:ascii="宋体" w:hAnsi="宋体" w:eastAsia="宋体" w:cs="宋体"/>
      <w:color w:val="000000"/>
      <w:sz w:val="22"/>
      <w:szCs w:val="22"/>
      <w:u w:val="none"/>
    </w:rPr>
  </w:style>
  <w:style w:type="character" w:customStyle="1" w:styleId="47">
    <w:name w:val="font81"/>
    <w:basedOn w:val="23"/>
    <w:qFormat/>
    <w:uiPriority w:val="0"/>
    <w:rPr>
      <w:rFonts w:hint="eastAsia" w:ascii="宋体" w:hAnsi="宋体" w:eastAsia="宋体" w:cs="宋体"/>
      <w:color w:val="000000"/>
      <w:sz w:val="22"/>
      <w:szCs w:val="22"/>
      <w:u w:val="none"/>
    </w:rPr>
  </w:style>
  <w:style w:type="character" w:customStyle="1" w:styleId="48">
    <w:name w:val="font31"/>
    <w:basedOn w:val="23"/>
    <w:qFormat/>
    <w:uiPriority w:val="0"/>
    <w:rPr>
      <w:rFonts w:hint="eastAsia" w:ascii="宋体" w:hAnsi="宋体" w:eastAsia="宋体" w:cs="宋体"/>
      <w:color w:val="000000"/>
      <w:sz w:val="22"/>
      <w:szCs w:val="22"/>
      <w:u w:val="none"/>
    </w:rPr>
  </w:style>
  <w:style w:type="character" w:customStyle="1" w:styleId="49">
    <w:name w:val="font61"/>
    <w:basedOn w:val="23"/>
    <w:qFormat/>
    <w:uiPriority w:val="0"/>
    <w:rPr>
      <w:rFonts w:ascii="宋体" w:hAnsi="宋体" w:eastAsia="宋体" w:cs="宋体"/>
      <w:color w:val="000000"/>
      <w:sz w:val="22"/>
      <w:szCs w:val="22"/>
      <w:u w:val="none"/>
    </w:rPr>
  </w:style>
  <w:style w:type="character" w:customStyle="1" w:styleId="50">
    <w:name w:val="font71"/>
    <w:basedOn w:val="23"/>
    <w:qFormat/>
    <w:uiPriority w:val="0"/>
    <w:rPr>
      <w:rFonts w:hint="eastAsia" w:ascii="宋体" w:hAnsi="宋体" w:eastAsia="宋体" w:cs="宋体"/>
      <w:color w:val="FF0000"/>
      <w:sz w:val="24"/>
      <w:szCs w:val="24"/>
      <w:u w:val="none"/>
    </w:rPr>
  </w:style>
  <w:style w:type="character" w:customStyle="1" w:styleId="51">
    <w:name w:val="font41"/>
    <w:basedOn w:val="23"/>
    <w:qFormat/>
    <w:uiPriority w:val="0"/>
    <w:rPr>
      <w:rFonts w:hint="eastAsia" w:ascii="宋体" w:hAnsi="宋体" w:eastAsia="宋体" w:cs="宋体"/>
      <w:color w:val="000000"/>
      <w:sz w:val="24"/>
      <w:szCs w:val="24"/>
      <w:u w:val="none"/>
    </w:rPr>
  </w:style>
  <w:style w:type="character" w:customStyle="1" w:styleId="52">
    <w:name w:val="批注框文本 字符"/>
    <w:basedOn w:val="23"/>
    <w:link w:val="12"/>
    <w:qFormat/>
    <w:uiPriority w:val="0"/>
    <w:rPr>
      <w:rFonts w:eastAsia="华文仿宋"/>
      <w:color w:val="000000"/>
      <w:sz w:val="18"/>
      <w:szCs w:val="18"/>
      <w:lang w:eastAsia="en-US" w:bidi="en-US"/>
    </w:rPr>
  </w:style>
  <w:style w:type="character" w:customStyle="1" w:styleId="53">
    <w:name w:val="正文文本 字符"/>
    <w:basedOn w:val="23"/>
    <w:link w:val="7"/>
    <w:qFormat/>
    <w:uiPriority w:val="0"/>
    <w:rPr>
      <w:rFonts w:ascii="仿宋_GB2312" w:hAnsi="仿宋_GB2312" w:eastAsia="仿宋_GB2312" w:cs="仿宋_GB2312"/>
      <w:color w:val="000000"/>
      <w:sz w:val="30"/>
      <w:szCs w:val="30"/>
      <w:lang w:val="zh-CN" w:bidi="zh-CN"/>
    </w:rPr>
  </w:style>
  <w:style w:type="character" w:customStyle="1" w:styleId="54">
    <w:name w:val="页脚 字符"/>
    <w:basedOn w:val="23"/>
    <w:link w:val="13"/>
    <w:qFormat/>
    <w:uiPriority w:val="99"/>
    <w:rPr>
      <w:rFonts w:eastAsia="仿宋_GB2312"/>
      <w:color w:val="000000"/>
      <w:sz w:val="18"/>
      <w:szCs w:val="24"/>
      <w:lang w:eastAsia="en-US" w:bidi="en-US"/>
    </w:rPr>
  </w:style>
  <w:style w:type="paragraph" w:styleId="55">
    <w:name w:val="List Paragraph"/>
    <w:basedOn w:val="1"/>
    <w:qFormat/>
    <w:uiPriority w:val="99"/>
    <w:pPr>
      <w:ind w:firstLine="420"/>
    </w:pPr>
  </w:style>
  <w:style w:type="table" w:customStyle="1" w:styleId="56">
    <w:name w:val="Table Normal"/>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character" w:customStyle="1" w:styleId="57">
    <w:name w:val="标题 字符"/>
    <w:basedOn w:val="23"/>
    <w:link w:val="21"/>
    <w:qFormat/>
    <w:uiPriority w:val="0"/>
    <w:rPr>
      <w:rFonts w:eastAsia="方正小标宋" w:cstheme="majorBidi"/>
      <w:b/>
      <w:bCs/>
      <w:color w:val="000000"/>
      <w:sz w:val="44"/>
      <w:szCs w:val="32"/>
      <w:lang w:eastAsia="en-US" w:bidi="en-US"/>
    </w:rPr>
  </w:style>
  <w:style w:type="character" w:customStyle="1" w:styleId="58">
    <w:name w:val="font91"/>
    <w:basedOn w:val="23"/>
    <w:qFormat/>
    <w:uiPriority w:val="0"/>
    <w:rPr>
      <w:rFonts w:hint="eastAsia" w:ascii="宋体" w:hAnsi="宋体" w:eastAsia="宋体" w:cs="宋体"/>
      <w:b/>
      <w:bCs/>
      <w:color w:val="000000"/>
      <w:sz w:val="24"/>
      <w:szCs w:val="24"/>
      <w:u w:val="none"/>
    </w:rPr>
  </w:style>
  <w:style w:type="character" w:customStyle="1" w:styleId="59">
    <w:name w:val="font101"/>
    <w:basedOn w:val="23"/>
    <w:qFormat/>
    <w:uiPriority w:val="0"/>
    <w:rPr>
      <w:rFonts w:ascii="方正书宋_GBK" w:hAnsi="方正书宋_GBK" w:eastAsia="方正书宋_GBK" w:cs="方正书宋_GBK"/>
      <w:b/>
      <w:bCs/>
      <w:color w:val="000000"/>
      <w:sz w:val="24"/>
      <w:szCs w:val="24"/>
      <w:u w:val="none"/>
    </w:rPr>
  </w:style>
  <w:style w:type="character" w:customStyle="1" w:styleId="60">
    <w:name w:val="font112"/>
    <w:basedOn w:val="23"/>
    <w:qFormat/>
    <w:uiPriority w:val="0"/>
    <w:rPr>
      <w:rFonts w:hint="eastAsia" w:ascii="宋体" w:hAnsi="宋体" w:eastAsia="宋体" w:cs="宋体"/>
      <w:b/>
      <w:bCs/>
      <w:color w:val="000000"/>
      <w:sz w:val="24"/>
      <w:szCs w:val="24"/>
      <w:u w:val="none"/>
    </w:rPr>
  </w:style>
  <w:style w:type="character" w:customStyle="1" w:styleId="61">
    <w:name w:val="font121"/>
    <w:basedOn w:val="23"/>
    <w:qFormat/>
    <w:uiPriority w:val="0"/>
    <w:rPr>
      <w:rFonts w:hint="eastAsia" w:ascii="宋体" w:hAnsi="宋体" w:eastAsia="宋体" w:cs="宋体"/>
      <w:color w:val="000000"/>
      <w:sz w:val="24"/>
      <w:szCs w:val="24"/>
      <w:u w:val="none"/>
    </w:rPr>
  </w:style>
  <w:style w:type="character" w:customStyle="1" w:styleId="62">
    <w:name w:val="font131"/>
    <w:basedOn w:val="23"/>
    <w:qFormat/>
    <w:uiPriority w:val="0"/>
    <w:rPr>
      <w:rFonts w:hint="default" w:ascii="Times New Roman" w:hAnsi="Times New Roman" w:cs="Times New Roman"/>
      <w:color w:val="000000"/>
      <w:sz w:val="24"/>
      <w:szCs w:val="24"/>
      <w:u w:val="none"/>
    </w:rPr>
  </w:style>
  <w:style w:type="character" w:customStyle="1" w:styleId="63">
    <w:name w:val="font141"/>
    <w:basedOn w:val="23"/>
    <w:qFormat/>
    <w:uiPriority w:val="0"/>
    <w:rPr>
      <w:rFonts w:hint="eastAsia" w:ascii="宋体" w:hAnsi="宋体" w:eastAsia="宋体" w:cs="宋体"/>
      <w:color w:val="000000"/>
      <w:sz w:val="24"/>
      <w:szCs w:val="24"/>
      <w:u w:val="none"/>
    </w:rPr>
  </w:style>
  <w:style w:type="character" w:customStyle="1" w:styleId="64">
    <w:name w:val="font151"/>
    <w:basedOn w:val="23"/>
    <w:qFormat/>
    <w:uiPriority w:val="0"/>
    <w:rPr>
      <w:rFonts w:hint="default" w:ascii="Times New Roman" w:hAnsi="Times New Roman" w:cs="Times New Roman"/>
      <w:color w:val="000000"/>
      <w:sz w:val="24"/>
      <w:szCs w:val="24"/>
      <w:u w:val="none"/>
    </w:rPr>
  </w:style>
  <w:style w:type="character" w:customStyle="1" w:styleId="65">
    <w:name w:val="标题 1 字符"/>
    <w:link w:val="2"/>
    <w:qFormat/>
    <w:uiPriority w:val="0"/>
    <w:rPr>
      <w:rFonts w:eastAsia="黑体"/>
      <w:b/>
      <w:kern w:val="44"/>
    </w:rPr>
  </w:style>
  <w:style w:type="character" w:customStyle="1" w:styleId="66">
    <w:name w:val="CharAttribute37"/>
    <w:qFormat/>
    <w:uiPriority w:val="99"/>
    <w:rPr>
      <w:rFonts w:ascii="宋体" w:hAnsi="宋体" w:eastAsia="Times New Roman"/>
      <w:sz w:val="24"/>
    </w:rPr>
  </w:style>
  <w:style w:type="character" w:customStyle="1" w:styleId="67">
    <w:name w:val="日期 字符"/>
    <w:basedOn w:val="23"/>
    <w:link w:val="11"/>
    <w:qFormat/>
    <w:uiPriority w:val="0"/>
    <w:rPr>
      <w:rFonts w:eastAsia="仿宋_GB2312"/>
      <w:color w:val="000000"/>
      <w:sz w:val="32"/>
      <w:szCs w:val="24"/>
      <w:lang w:eastAsia="en-US" w:bidi="en-US"/>
    </w:rPr>
  </w:style>
  <w:style w:type="paragraph" w:customStyle="1" w:styleId="68">
    <w:name w:val="Table Text"/>
    <w:basedOn w:val="1"/>
    <w:semiHidden/>
    <w:qFormat/>
    <w:uiPriority w:val="0"/>
    <w:pPr>
      <w:widowControl/>
      <w:kinsoku w:val="0"/>
      <w:autoSpaceDE w:val="0"/>
      <w:autoSpaceDN w:val="0"/>
      <w:adjustRightInd w:val="0"/>
      <w:snapToGrid w:val="0"/>
      <w:spacing w:after="160" w:line="240" w:lineRule="auto"/>
      <w:ind w:firstLine="0" w:firstLineChars="0"/>
      <w:jc w:val="left"/>
      <w:textAlignment w:val="baseline"/>
    </w:pPr>
    <w:rPr>
      <w:rFonts w:ascii="宋体" w:hAnsi="宋体" w:eastAsia="宋体" w:cs="宋体"/>
      <w:snapToGrid w:val="0"/>
      <w:sz w:val="39"/>
      <w:szCs w:val="39"/>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40382E-0462-43B4-8C70-2C3774C061E1}">
  <ds:schemaRefs/>
</ds:datastoreItem>
</file>

<file path=docProps/app.xml><?xml version="1.0" encoding="utf-8"?>
<Properties xmlns="http://schemas.openxmlformats.org/officeDocument/2006/extended-properties" xmlns:vt="http://schemas.openxmlformats.org/officeDocument/2006/docPropsVTypes">
  <Template>Normal.dotm</Template>
  <Company>iTianKong.com</Company>
  <Pages>37</Pages>
  <Words>342</Words>
  <Characters>411</Characters>
  <Lines>514</Lines>
  <Paragraphs>417</Paragraphs>
  <TotalTime>3</TotalTime>
  <ScaleCrop>false</ScaleCrop>
  <LinksUpToDate>false</LinksUpToDate>
  <CharactersWithSpaces>411</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2024-10-11T12:17:00Z</dcterms:created>
  <dc:creator>cll</dc:creator>
  <cp:lastModifiedBy>薄荷与橙</cp:lastModifiedBy>
  <cp:lastPrinted>2025-07-09T00:57:00Z</cp:lastPrinted>
  <dcterms:modified xsi:type="dcterms:W3CDTF">2025-12-30T03:38:25Z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58CB3AE3722C4C8CA167D2F3944BF467_13</vt:lpwstr>
  </property>
  <property fmtid="{D5CDD505-2E9C-101B-9397-08002B2CF9AE}" pid="4" name="KSOTemplateDocerSaveRecord">
    <vt:lpwstr>eyJoZGlkIjoiNTZlOTk1YjIxZjg2YTQ5NjZjM2E1OTljNGIzZDlkYzgiLCJ1c2VySWQiOiIxNTU2NzM1NzYwIn0=</vt:lpwstr>
  </property>
</Properties>
</file>