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spacing w:beforeAutospacing="0" w:afterAutospacing="0" w:line="820" w:lineRule="exact"/>
        <w:ind w:firstLine="0" w:firstLineChars="0"/>
        <w:jc w:val="center"/>
        <w:outlineLvl w:val="0"/>
        <w:rPr>
          <w:rFonts w:hint="eastAsia" w:ascii="方正小标宋简体" w:hAnsi="方正小标宋简体" w:eastAsia="方正小标宋简体" w:cs="方正小标宋简体"/>
          <w:b w:val="0"/>
          <w:bCs w:val="0"/>
          <w:sz w:val="44"/>
          <w:szCs w:val="44"/>
        </w:rPr>
      </w:pPr>
      <w:bookmarkStart w:id="0" w:name="_Toc21168"/>
      <w:bookmarkStart w:id="1" w:name="_Toc16439"/>
      <w:bookmarkStart w:id="2" w:name="_Toc4482"/>
      <w:bookmarkStart w:id="3" w:name="_Toc27923"/>
      <w:r>
        <w:rPr>
          <w:rFonts w:hint="eastAsia" w:ascii="方正小标宋简体" w:hAnsi="方正小标宋简体" w:eastAsia="方正小标宋简体" w:cs="方正小标宋简体"/>
          <w:b w:val="0"/>
          <w:bCs w:val="0"/>
          <w:sz w:val="44"/>
          <w:szCs w:val="44"/>
          <w:lang w:val="en-US" w:eastAsia="zh-CN"/>
        </w:rPr>
        <w:t xml:space="preserve">  </w:t>
      </w:r>
      <w:r>
        <w:rPr>
          <w:rFonts w:hint="eastAsia" w:ascii="方正小标宋简体" w:hAnsi="方正小标宋简体" w:eastAsia="方正小标宋简体" w:cs="方正小标宋简体"/>
          <w:b w:val="0"/>
          <w:bCs w:val="0"/>
          <w:sz w:val="44"/>
          <w:szCs w:val="44"/>
        </w:rPr>
        <w:t>乐山市金口河区自然资源局</w:t>
      </w:r>
      <w:bookmarkEnd w:id="0"/>
    </w:p>
    <w:p>
      <w:pPr>
        <w:pStyle w:val="19"/>
        <w:spacing w:beforeAutospacing="0" w:afterAutospacing="0" w:line="820" w:lineRule="exact"/>
        <w:ind w:leftChars="-44" w:right="-480" w:rightChars="-150" w:hanging="140" w:hangingChars="32"/>
        <w:jc w:val="center"/>
        <w:outlineLvl w:val="0"/>
        <w:rPr>
          <w:rFonts w:hint="eastAsia" w:ascii="方正小标宋简体" w:hAnsi="方正小标宋简体" w:eastAsia="方正小标宋简体" w:cs="方正小标宋简体"/>
          <w:b w:val="0"/>
          <w:bCs w:val="0"/>
          <w:sz w:val="44"/>
          <w:szCs w:val="44"/>
        </w:rPr>
      </w:pPr>
      <w:bookmarkStart w:id="4" w:name="_Toc530"/>
      <w:r>
        <w:rPr>
          <w:rFonts w:hint="eastAsia" w:ascii="方正小标宋简体" w:hAnsi="方正小标宋简体" w:eastAsia="方正小标宋简体" w:cs="方正小标宋简体"/>
          <w:b w:val="0"/>
          <w:bCs w:val="0"/>
          <w:sz w:val="44"/>
          <w:szCs w:val="44"/>
        </w:rPr>
        <w:t>森林火灾风险普查专项经费</w:t>
      </w:r>
      <w:bookmarkEnd w:id="4"/>
    </w:p>
    <w:bookmarkEnd w:id="1"/>
    <w:bookmarkEnd w:id="2"/>
    <w:bookmarkEnd w:id="3"/>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5" w:name="_Toc24858"/>
      <w:r>
        <w:rPr>
          <w:rFonts w:hint="eastAsia" w:ascii="方正小标宋简体" w:hAnsi="方正小标宋简体" w:eastAsia="方正小标宋简体" w:cs="方正小标宋简体"/>
          <w:b w:val="0"/>
          <w:bCs w:val="0"/>
          <w:sz w:val="44"/>
          <w:szCs w:val="44"/>
        </w:rPr>
        <w:t>事</w:t>
      </w:r>
      <w:bookmarkEnd w:id="5"/>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6" w:name="_Toc19435"/>
      <w:r>
        <w:rPr>
          <w:rFonts w:hint="eastAsia" w:ascii="方正小标宋简体" w:hAnsi="方正小标宋简体" w:eastAsia="方正小标宋简体" w:cs="方正小标宋简体"/>
          <w:b w:val="0"/>
          <w:bCs w:val="0"/>
          <w:sz w:val="44"/>
          <w:szCs w:val="44"/>
        </w:rPr>
        <w:t>前</w:t>
      </w:r>
      <w:bookmarkEnd w:id="6"/>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7" w:name="_Toc17772"/>
      <w:r>
        <w:rPr>
          <w:rFonts w:hint="eastAsia" w:ascii="方正小标宋简体" w:hAnsi="方正小标宋简体" w:eastAsia="方正小标宋简体" w:cs="方正小标宋简体"/>
          <w:b w:val="0"/>
          <w:bCs w:val="0"/>
          <w:sz w:val="44"/>
          <w:szCs w:val="44"/>
        </w:rPr>
        <w:t>绩</w:t>
      </w:r>
      <w:bookmarkEnd w:id="7"/>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8" w:name="_Toc30199"/>
      <w:r>
        <w:rPr>
          <w:rFonts w:hint="eastAsia" w:ascii="方正小标宋简体" w:hAnsi="方正小标宋简体" w:eastAsia="方正小标宋简体" w:cs="方正小标宋简体"/>
          <w:b w:val="0"/>
          <w:bCs w:val="0"/>
          <w:sz w:val="44"/>
          <w:szCs w:val="44"/>
        </w:rPr>
        <w:t>效</w:t>
      </w:r>
      <w:bookmarkEnd w:id="8"/>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9" w:name="_Toc27740"/>
      <w:r>
        <w:rPr>
          <w:rFonts w:hint="eastAsia" w:ascii="方正小标宋简体" w:hAnsi="方正小标宋简体" w:eastAsia="方正小标宋简体" w:cs="方正小标宋简体"/>
          <w:b w:val="0"/>
          <w:bCs w:val="0"/>
          <w:sz w:val="44"/>
          <w:szCs w:val="44"/>
        </w:rPr>
        <w:t>评</w:t>
      </w:r>
      <w:bookmarkEnd w:id="9"/>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0" w:name="_Toc5005"/>
      <w:r>
        <w:rPr>
          <w:rFonts w:hint="eastAsia" w:ascii="方正小标宋简体" w:hAnsi="方正小标宋简体" w:eastAsia="方正小标宋简体" w:cs="方正小标宋简体"/>
          <w:b w:val="0"/>
          <w:bCs w:val="0"/>
          <w:sz w:val="44"/>
          <w:szCs w:val="44"/>
        </w:rPr>
        <w:t>价</w:t>
      </w:r>
      <w:bookmarkEnd w:id="10"/>
    </w:p>
    <w:p>
      <w:pPr>
        <w:pStyle w:val="19"/>
        <w:spacing w:beforeAutospacing="0" w:afterAutospacing="0" w:line="820" w:lineRule="exact"/>
        <w:ind w:right="83" w:rightChars="26" w:firstLine="0" w:firstLineChars="0"/>
        <w:jc w:val="center"/>
        <w:outlineLvl w:val="0"/>
        <w:rPr>
          <w:rFonts w:hint="eastAsia" w:ascii="方正小标宋简体" w:hAnsi="方正小标宋简体" w:eastAsia="方正小标宋简体" w:cs="方正小标宋简体"/>
          <w:b w:val="0"/>
          <w:bCs w:val="0"/>
          <w:sz w:val="44"/>
          <w:szCs w:val="44"/>
        </w:rPr>
      </w:pPr>
      <w:bookmarkStart w:id="11" w:name="_Toc22413"/>
      <w:r>
        <w:rPr>
          <w:rFonts w:hint="eastAsia" w:ascii="方正小标宋简体" w:hAnsi="方正小标宋简体" w:eastAsia="方正小标宋简体" w:cs="方正小标宋简体"/>
          <w:b w:val="0"/>
          <w:bCs w:val="0"/>
          <w:sz w:val="44"/>
          <w:szCs w:val="44"/>
        </w:rPr>
        <w:t>报</w:t>
      </w:r>
      <w:bookmarkEnd w:id="11"/>
    </w:p>
    <w:p>
      <w:pPr>
        <w:pStyle w:val="19"/>
        <w:spacing w:beforeAutospacing="0" w:afterAutospacing="0" w:line="820" w:lineRule="exact"/>
        <w:ind w:right="83" w:rightChars="26" w:firstLine="0" w:firstLineChars="0"/>
        <w:jc w:val="center"/>
        <w:outlineLvl w:val="0"/>
        <w:rPr>
          <w:rFonts w:eastAsia="微软雅黑"/>
          <w:b/>
          <w:bCs/>
          <w:sz w:val="44"/>
          <w:szCs w:val="44"/>
        </w:rPr>
      </w:pPr>
      <w:bookmarkStart w:id="12" w:name="_Toc5311"/>
      <w:r>
        <w:rPr>
          <w:rFonts w:hint="eastAsia" w:ascii="方正小标宋简体" w:hAnsi="方正小标宋简体" w:eastAsia="方正小标宋简体" w:cs="方正小标宋简体"/>
          <w:b w:val="0"/>
          <w:bCs w:val="0"/>
          <w:sz w:val="44"/>
          <w:szCs w:val="44"/>
        </w:rPr>
        <w:t>告</w:t>
      </w:r>
      <w:bookmarkEnd w:id="12"/>
    </w:p>
    <w:p>
      <w:pPr>
        <w:snapToGrid w:val="0"/>
        <w:spacing w:line="600" w:lineRule="exact"/>
        <w:rPr>
          <w:rStyle w:val="66"/>
          <w:rFonts w:hint="eastAsia" w:eastAsia="仿宋_GB2312"/>
          <w:bCs/>
          <w:sz w:val="28"/>
          <w:szCs w:val="28"/>
          <w:lang w:eastAsia="zh-CN"/>
        </w:rPr>
      </w:pPr>
    </w:p>
    <w:p>
      <w:pPr>
        <w:snapToGrid w:val="0"/>
        <w:spacing w:line="600" w:lineRule="exact"/>
        <w:rPr>
          <w:rStyle w:val="66"/>
          <w:rFonts w:hint="eastAsia" w:eastAsia="仿宋_GB2312"/>
          <w:bCs/>
          <w:sz w:val="28"/>
          <w:szCs w:val="28"/>
          <w:lang w:eastAsia="zh-CN"/>
        </w:rPr>
      </w:pPr>
      <w:r>
        <w:rPr>
          <w:rStyle w:val="66"/>
          <w:rFonts w:eastAsia="仿宋_GB2312"/>
          <w:bCs/>
          <w:sz w:val="28"/>
          <w:szCs w:val="28"/>
          <w:lang w:eastAsia="zh-CN"/>
        </w:rPr>
        <w:t>项目编号：</w:t>
      </w:r>
      <w:r>
        <w:rPr>
          <w:rStyle w:val="66"/>
          <w:rFonts w:eastAsia="仿宋_GB2312"/>
          <w:bCs/>
          <w:sz w:val="28"/>
          <w:szCs w:val="28"/>
          <w:highlight w:val="none"/>
          <w:lang w:eastAsia="zh-CN"/>
        </w:rPr>
        <w:t>金财绩评（202</w:t>
      </w:r>
      <w:r>
        <w:rPr>
          <w:rStyle w:val="66"/>
          <w:rFonts w:hint="eastAsia" w:eastAsia="仿宋_GB2312"/>
          <w:bCs/>
          <w:sz w:val="28"/>
          <w:szCs w:val="28"/>
          <w:highlight w:val="none"/>
          <w:lang w:eastAsia="zh-CN"/>
        </w:rPr>
        <w:t>5</w:t>
      </w:r>
      <w:r>
        <w:rPr>
          <w:rStyle w:val="66"/>
          <w:rFonts w:eastAsia="仿宋_GB2312"/>
          <w:bCs/>
          <w:sz w:val="28"/>
          <w:szCs w:val="28"/>
          <w:highlight w:val="none"/>
          <w:lang w:eastAsia="zh-CN"/>
        </w:rPr>
        <w:t>）0</w:t>
      </w:r>
      <w:r>
        <w:rPr>
          <w:rStyle w:val="66"/>
          <w:rFonts w:hint="eastAsia" w:eastAsia="仿宋_GB2312"/>
          <w:bCs/>
          <w:sz w:val="28"/>
          <w:szCs w:val="28"/>
          <w:highlight w:val="none"/>
          <w:lang w:eastAsia="zh-CN"/>
        </w:rPr>
        <w:t>3</w:t>
      </w:r>
      <w:r>
        <w:rPr>
          <w:rStyle w:val="66"/>
          <w:rFonts w:eastAsia="仿宋_GB2312"/>
          <w:bCs/>
          <w:sz w:val="28"/>
          <w:szCs w:val="28"/>
          <w:highlight w:val="none"/>
          <w:lang w:eastAsia="zh-CN"/>
        </w:rPr>
        <w:t>号</w:t>
      </w:r>
    </w:p>
    <w:p>
      <w:pPr>
        <w:snapToGrid w:val="0"/>
        <w:spacing w:line="600" w:lineRule="exact"/>
        <w:rPr>
          <w:rStyle w:val="66"/>
          <w:rFonts w:hint="eastAsia" w:eastAsia="仿宋_GB2312"/>
          <w:bCs/>
          <w:sz w:val="28"/>
          <w:szCs w:val="28"/>
          <w:lang w:eastAsia="zh-CN"/>
        </w:rPr>
      </w:pPr>
      <w:r>
        <w:rPr>
          <w:rStyle w:val="66"/>
          <w:rFonts w:eastAsia="仿宋_GB2312"/>
          <w:bCs/>
          <w:sz w:val="28"/>
          <w:szCs w:val="28"/>
          <w:lang w:eastAsia="zh-CN"/>
        </w:rPr>
        <w:t>主管部门：</w:t>
      </w:r>
      <w:r>
        <w:rPr>
          <w:rStyle w:val="66"/>
          <w:rFonts w:hint="eastAsia" w:eastAsia="仿宋_GB2312"/>
          <w:bCs/>
          <w:sz w:val="28"/>
          <w:szCs w:val="28"/>
          <w:lang w:eastAsia="zh-CN"/>
        </w:rPr>
        <w:t>乐山市金口河区自然资源局</w:t>
      </w:r>
    </w:p>
    <w:p>
      <w:pPr>
        <w:snapToGrid w:val="0"/>
        <w:spacing w:line="600" w:lineRule="exact"/>
        <w:rPr>
          <w:rStyle w:val="66"/>
          <w:rFonts w:hint="eastAsia" w:eastAsia="仿宋_GB2312"/>
          <w:bCs/>
          <w:sz w:val="28"/>
          <w:szCs w:val="28"/>
          <w:lang w:eastAsia="zh-CN"/>
        </w:rPr>
      </w:pPr>
      <w:r>
        <w:rPr>
          <w:rStyle w:val="66"/>
          <w:rFonts w:eastAsia="仿宋_GB2312"/>
          <w:bCs/>
          <w:sz w:val="28"/>
          <w:szCs w:val="28"/>
          <w:lang w:eastAsia="zh-CN"/>
        </w:rPr>
        <w:t>实施单位：</w:t>
      </w:r>
      <w:r>
        <w:rPr>
          <w:rStyle w:val="66"/>
          <w:rFonts w:hint="eastAsia" w:eastAsia="仿宋_GB2312"/>
          <w:bCs/>
          <w:sz w:val="28"/>
          <w:szCs w:val="28"/>
          <w:lang w:eastAsia="zh-CN"/>
        </w:rPr>
        <w:t>乐山市金口河区自然资源局</w:t>
      </w:r>
    </w:p>
    <w:p>
      <w:pPr>
        <w:rPr>
          <w:rFonts w:eastAsia="微软雅黑"/>
          <w:b/>
          <w:szCs w:val="32"/>
          <w:lang w:eastAsia="zh-CN"/>
        </w:rPr>
      </w:pPr>
      <w:r>
        <w:rPr>
          <w:rStyle w:val="66"/>
          <w:rFonts w:eastAsia="仿宋_GB2312"/>
          <w:bCs/>
          <w:sz w:val="28"/>
          <w:szCs w:val="28"/>
          <w:lang w:eastAsia="zh-CN"/>
        </w:rPr>
        <w:t>评价单位：乐山市金口河区财政投资评价审核中心</w:t>
      </w:r>
    </w:p>
    <w:p>
      <w:pPr>
        <w:pStyle w:val="19"/>
        <w:widowControl/>
        <w:ind w:firstLine="880"/>
        <w:jc w:val="center"/>
        <w:rPr>
          <w:rFonts w:eastAsia="微软雅黑"/>
          <w:b/>
          <w:sz w:val="44"/>
          <w:szCs w:val="4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fmt="numberInDash" w:start="1"/>
          <w:cols w:space="720" w:num="1"/>
          <w:docGrid w:type="lines" w:linePitch="312" w:charSpace="0"/>
        </w:sectPr>
      </w:pP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bookmarkStart w:id="13" w:name="_Toc24517"/>
      <w:r>
        <w:rPr>
          <w:rFonts w:hint="eastAsia" w:ascii="方正小标宋简体" w:hAnsi="方正小标宋简体" w:eastAsia="方正小标宋简体" w:cs="方正小标宋简体"/>
          <w:b w:val="0"/>
          <w:bCs w:val="0"/>
          <w:sz w:val="44"/>
          <w:szCs w:val="44"/>
          <w:lang w:eastAsia="zh-CN"/>
        </w:rPr>
        <w:t>乐山市金口河区自然资源局</w:t>
      </w:r>
      <w:bookmarkEnd w:id="13"/>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bookmarkStart w:id="14" w:name="_Toc23634"/>
      <w:r>
        <w:rPr>
          <w:rFonts w:hint="eastAsia" w:ascii="方正小标宋简体" w:hAnsi="方正小标宋简体" w:eastAsia="方正小标宋简体" w:cs="方正小标宋简体"/>
          <w:b w:val="0"/>
          <w:bCs w:val="0"/>
          <w:sz w:val="44"/>
          <w:szCs w:val="44"/>
          <w:lang w:eastAsia="zh-CN"/>
        </w:rPr>
        <w:t>森林火灾风险普查专项经费</w:t>
      </w:r>
      <w:bookmarkEnd w:id="14"/>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sz w:val="44"/>
          <w:szCs w:val="44"/>
          <w:lang w:eastAsia="zh-CN"/>
        </w:rPr>
      </w:pPr>
      <w:bookmarkStart w:id="15" w:name="_Toc23933"/>
      <w:r>
        <w:rPr>
          <w:rFonts w:hint="eastAsia" w:ascii="方正小标宋简体" w:hAnsi="方正小标宋简体" w:eastAsia="方正小标宋简体" w:cs="方正小标宋简体"/>
          <w:b w:val="0"/>
          <w:bCs w:val="0"/>
          <w:sz w:val="44"/>
          <w:szCs w:val="44"/>
          <w:lang w:eastAsia="zh-CN"/>
        </w:rPr>
        <w:t>事前绩效评价结论</w:t>
      </w:r>
      <w:bookmarkEnd w:id="15"/>
    </w:p>
    <w:p>
      <w:pPr>
        <w:pStyle w:val="2"/>
        <w:numPr>
          <w:ilvl w:val="0"/>
          <w:numId w:val="0"/>
        </w:numPr>
        <w:spacing w:before="0" w:beforeLines="0" w:after="0" w:afterLines="0"/>
        <w:ind w:leftChars="0"/>
        <w:rPr>
          <w:rFonts w:hint="eastAsia" w:ascii="仿宋" w:hAnsi="仿宋" w:eastAsia="仿宋" w:cs="仿宋"/>
          <w:b w:val="0"/>
          <w:bCs w:val="0"/>
          <w:color w:val="auto"/>
          <w:lang w:eastAsia="zh-CN"/>
        </w:rPr>
      </w:pPr>
    </w:p>
    <w:p>
      <w:pPr>
        <w:bidi w:val="0"/>
        <w:rPr>
          <w:rFonts w:hint="default" w:ascii="仿宋" w:hAnsi="仿宋" w:eastAsia="仿宋" w:cs="仿宋"/>
          <w:b w:val="0"/>
          <w:bCs w:val="0"/>
          <w:color w:val="auto"/>
          <w:lang w:val="en-US" w:eastAsia="zh-CN"/>
        </w:rPr>
      </w:pPr>
      <w:r>
        <w:rPr>
          <w:rFonts w:hint="eastAsia" w:ascii="仿宋" w:hAnsi="仿宋" w:eastAsia="仿宋" w:cs="仿宋"/>
          <w:b w:val="0"/>
          <w:bCs w:val="0"/>
          <w:color w:val="auto"/>
          <w:lang w:eastAsia="zh-CN"/>
        </w:rPr>
        <w:t>我中心对森林火灾风险普查专项经费</w:t>
      </w:r>
      <w:r>
        <w:rPr>
          <w:rFonts w:hint="eastAsia" w:ascii="仿宋" w:hAnsi="仿宋" w:eastAsia="仿宋" w:cs="仿宋"/>
          <w:b w:val="0"/>
          <w:bCs w:val="0"/>
          <w:color w:val="auto"/>
          <w:lang w:val="en-US" w:eastAsia="zh-CN"/>
        </w:rPr>
        <w:t>事前</w:t>
      </w:r>
      <w:r>
        <w:rPr>
          <w:rFonts w:hint="eastAsia" w:ascii="仿宋" w:hAnsi="仿宋" w:eastAsia="仿宋" w:cs="仿宋"/>
          <w:b w:val="0"/>
          <w:bCs w:val="0"/>
          <w:color w:val="auto"/>
          <w:lang w:eastAsia="zh-CN"/>
        </w:rPr>
        <w:t>绩效评价综合得分为</w:t>
      </w:r>
      <w:r>
        <w:rPr>
          <w:rFonts w:hint="eastAsia" w:ascii="仿宋" w:hAnsi="仿宋" w:eastAsia="仿宋" w:cs="仿宋"/>
          <w:b w:val="0"/>
          <w:bCs w:val="0"/>
          <w:color w:val="auto"/>
          <w:lang w:val="en-US" w:eastAsia="zh-CN"/>
        </w:rPr>
        <w:t>92</w:t>
      </w:r>
      <w:r>
        <w:rPr>
          <w:rFonts w:hint="eastAsia" w:ascii="仿宋" w:hAnsi="仿宋" w:eastAsia="仿宋" w:cs="仿宋"/>
          <w:b w:val="0"/>
          <w:bCs w:val="0"/>
          <w:color w:val="auto"/>
          <w:lang w:eastAsia="zh-CN"/>
        </w:rPr>
        <w:t>分</w:t>
      </w:r>
      <w:r>
        <w:rPr>
          <w:rFonts w:hint="eastAsia" w:ascii="仿宋" w:hAnsi="仿宋" w:eastAsia="仿宋" w:cs="仿宋"/>
          <w:szCs w:val="32"/>
          <w:lang w:eastAsia="zh-CN"/>
        </w:rPr>
        <w:t>，</w:t>
      </w:r>
      <w:r>
        <w:rPr>
          <w:rFonts w:ascii="仿宋" w:hAnsi="仿宋" w:eastAsia="仿宋" w:cs="仿宋"/>
          <w:szCs w:val="32"/>
          <w:lang w:eastAsia="zh-CN"/>
        </w:rPr>
        <w:t>综合绩效评估结论为“</w:t>
      </w:r>
      <w:r>
        <w:rPr>
          <w:rFonts w:hint="eastAsia" w:ascii="仿宋" w:hAnsi="仿宋" w:eastAsia="仿宋" w:cs="仿宋"/>
          <w:b/>
          <w:bCs/>
          <w:szCs w:val="32"/>
          <w:lang w:eastAsia="zh-CN"/>
        </w:rPr>
        <w:t>建议</w:t>
      </w:r>
      <w:r>
        <w:rPr>
          <w:rFonts w:ascii="仿宋" w:hAnsi="仿宋" w:eastAsia="仿宋" w:cs="仿宋"/>
          <w:b/>
          <w:bCs/>
          <w:szCs w:val="32"/>
          <w:lang w:eastAsia="zh-CN"/>
        </w:rPr>
        <w:t>实施</w:t>
      </w:r>
      <w:r>
        <w:rPr>
          <w:rFonts w:ascii="仿宋" w:hAnsi="仿宋" w:eastAsia="仿宋" w:cs="仿宋"/>
          <w:szCs w:val="32"/>
          <w:lang w:eastAsia="zh-CN"/>
        </w:rPr>
        <w:t>”</w:t>
      </w:r>
      <w:r>
        <w:rPr>
          <w:rFonts w:hint="eastAsia" w:ascii="仿宋" w:hAnsi="仿宋" w:eastAsia="仿宋" w:cs="仿宋"/>
          <w:szCs w:val="32"/>
          <w:lang w:eastAsia="zh-CN"/>
        </w:rPr>
        <w:t>。</w:t>
      </w:r>
      <w:r>
        <w:rPr>
          <w:rFonts w:hint="eastAsia" w:ascii="仿宋" w:hAnsi="仿宋" w:eastAsia="仿宋" w:cs="仿宋"/>
          <w:b w:val="0"/>
          <w:bCs w:val="0"/>
          <w:color w:val="auto"/>
          <w:lang w:eastAsia="zh-CN"/>
        </w:rPr>
        <w:t>（具体评分情况见</w:t>
      </w:r>
      <w:r>
        <w:rPr>
          <w:rFonts w:hint="eastAsia" w:ascii="仿宋" w:hAnsi="仿宋" w:eastAsia="仿宋" w:cs="仿宋"/>
          <w:b w:val="0"/>
          <w:bCs w:val="0"/>
          <w:color w:val="auto"/>
          <w:lang w:val="en-US" w:eastAsia="zh-CN"/>
        </w:rPr>
        <w:t>三、</w:t>
      </w:r>
      <w:r>
        <w:rPr>
          <w:rFonts w:hint="eastAsia" w:ascii="仿宋" w:hAnsi="仿宋" w:eastAsia="仿宋" w:cs="仿宋"/>
          <w:b w:val="0"/>
          <w:bCs/>
          <w:szCs w:val="32"/>
          <w:lang w:eastAsia="zh-CN"/>
        </w:rPr>
        <w:t>事前绩效评估指标体系及得分情况</w:t>
      </w:r>
      <w:r>
        <w:rPr>
          <w:rFonts w:hint="eastAsia" w:ascii="仿宋" w:hAnsi="仿宋" w:eastAsia="仿宋" w:cs="仿宋"/>
          <w:b w:val="0"/>
          <w:bCs w:val="0"/>
          <w:color w:val="auto"/>
          <w:lang w:eastAsia="zh-CN"/>
        </w:rPr>
        <w:t>）</w:t>
      </w:r>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16" w:name="_Toc1661"/>
      <w:r>
        <w:rPr>
          <w:rFonts w:hint="eastAsia" w:ascii="仿宋" w:hAnsi="仿宋" w:eastAsia="仿宋" w:cs="仿宋"/>
          <w:b w:val="0"/>
          <w:bCs w:val="0"/>
          <w:color w:val="auto"/>
          <w:lang w:eastAsia="zh-CN"/>
        </w:rPr>
        <w:t>森林火灾风险普查专项经费</w:t>
      </w:r>
      <w:bookmarkEnd w:id="16"/>
    </w:p>
    <w:p>
      <w:pPr>
        <w:tabs>
          <w:tab w:val="left" w:pos="1336"/>
        </w:tabs>
        <w:spacing w:line="480" w:lineRule="exact"/>
        <w:ind w:left="0" w:leftChars="0" w:firstLine="0" w:firstLineChars="0"/>
        <w:jc w:val="center"/>
        <w:outlineLvl w:val="0"/>
        <w:rPr>
          <w:rFonts w:hint="eastAsia" w:ascii="仿宋" w:hAnsi="仿宋" w:eastAsia="仿宋" w:cs="仿宋"/>
          <w:b w:val="0"/>
          <w:bCs w:val="0"/>
          <w:szCs w:val="32"/>
          <w:lang w:eastAsia="zh-CN"/>
        </w:rPr>
      </w:pPr>
      <w:bookmarkStart w:id="17" w:name="_Toc4904"/>
      <w:bookmarkStart w:id="18" w:name="_Toc29428"/>
      <w:bookmarkStart w:id="19" w:name="_Toc25829"/>
      <w:bookmarkStart w:id="20" w:name="_Toc13519"/>
      <w:r>
        <w:rPr>
          <w:rFonts w:hint="eastAsia" w:ascii="仿宋" w:hAnsi="仿宋" w:eastAsia="仿宋" w:cs="仿宋"/>
          <w:b w:val="0"/>
          <w:bCs w:val="0"/>
          <w:color w:val="auto"/>
          <w:lang w:eastAsia="zh-CN"/>
        </w:rPr>
        <w:t>事前绩效评价结论一览</w:t>
      </w:r>
      <w:r>
        <w:rPr>
          <w:rFonts w:hint="eastAsia" w:ascii="仿宋" w:hAnsi="仿宋" w:eastAsia="仿宋" w:cs="仿宋"/>
          <w:b w:val="0"/>
          <w:bCs w:val="0"/>
          <w:szCs w:val="32"/>
          <w:lang w:eastAsia="zh-CN"/>
        </w:rPr>
        <w:t>表</w:t>
      </w:r>
      <w:bookmarkEnd w:id="17"/>
      <w:bookmarkEnd w:id="18"/>
      <w:bookmarkEnd w:id="19"/>
      <w:bookmarkEnd w:id="20"/>
    </w:p>
    <w:tbl>
      <w:tblPr>
        <w:tblStyle w:val="21"/>
        <w:tblW w:w="4923" w:type="pct"/>
        <w:tblInd w:w="0" w:type="dxa"/>
        <w:tblLayout w:type="fixed"/>
        <w:tblCellMar>
          <w:top w:w="0" w:type="dxa"/>
          <w:left w:w="108" w:type="dxa"/>
          <w:bottom w:w="0" w:type="dxa"/>
          <w:right w:w="108" w:type="dxa"/>
        </w:tblCellMar>
      </w:tblPr>
      <w:tblGrid>
        <w:gridCol w:w="4860"/>
        <w:gridCol w:w="1836"/>
        <w:gridCol w:w="1695"/>
      </w:tblGrid>
      <w:tr>
        <w:tblPrEx>
          <w:tblCellMar>
            <w:top w:w="0" w:type="dxa"/>
            <w:left w:w="108" w:type="dxa"/>
            <w:bottom w:w="0" w:type="dxa"/>
            <w:right w:w="108" w:type="dxa"/>
          </w:tblCellMar>
        </w:tblPrEx>
        <w:trPr>
          <w:trHeight w:val="624" w:hRule="exact"/>
        </w:trPr>
        <w:tc>
          <w:tcPr>
            <w:tcW w:w="2895" w:type="pct"/>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评价内容</w:t>
            </w:r>
          </w:p>
        </w:tc>
        <w:tc>
          <w:tcPr>
            <w:tcW w:w="1094"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分值</w:t>
            </w:r>
          </w:p>
        </w:tc>
        <w:tc>
          <w:tcPr>
            <w:tcW w:w="1010" w:type="pct"/>
            <w:tcBorders>
              <w:top w:val="single" w:color="auto" w:sz="4" w:space="0"/>
              <w:left w:val="nil"/>
              <w:bottom w:val="single" w:color="auto" w:sz="4" w:space="0"/>
              <w:right w:val="single" w:color="auto" w:sz="4" w:space="0"/>
            </w:tcBorders>
            <w:shd w:val="clear" w:color="auto" w:fill="BEBEBE" w:themeFill="background1" w:themeFillShade="BF"/>
            <w:noWrap/>
            <w:vAlign w:val="center"/>
          </w:tcPr>
          <w:p>
            <w:pPr>
              <w:widowControl/>
              <w:ind w:firstLine="0" w:firstLineChars="0"/>
              <w:jc w:val="center"/>
              <w:textAlignment w:val="bottom"/>
              <w:rPr>
                <w:rFonts w:hint="eastAsia" w:ascii="仿宋" w:hAnsi="仿宋" w:eastAsia="仿宋" w:cs="仿宋"/>
                <w:b/>
                <w:sz w:val="28"/>
                <w:szCs w:val="28"/>
              </w:rPr>
            </w:pPr>
            <w:r>
              <w:rPr>
                <w:rFonts w:hint="eastAsia" w:ascii="仿宋" w:hAnsi="仿宋" w:eastAsia="仿宋" w:cs="仿宋"/>
                <w:b/>
                <w:bCs/>
                <w:sz w:val="28"/>
                <w:szCs w:val="28"/>
                <w:lang w:eastAsia="zh-CN" w:bidi="ar"/>
              </w:rPr>
              <w:t>评价得分</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项目实施的必要性、公益性、收益性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16</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项目实施合规性与项目成熟度</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18</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eastAsia="zh-CN"/>
              </w:rPr>
              <w:t>项目资金来源和到位可行性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rPr>
            </w:pPr>
            <w:r>
              <w:rPr>
                <w:rFonts w:hint="eastAsia" w:ascii="仿宋" w:hAnsi="仿宋" w:eastAsia="仿宋" w:cs="仿宋"/>
                <w:bCs/>
                <w:snapToGrid w:val="0"/>
                <w:sz w:val="28"/>
                <w:szCs w:val="28"/>
                <w:lang w:val="en-US" w:eastAsia="zh-CN"/>
              </w:rPr>
              <w:t>资金使用</w:t>
            </w:r>
            <w:r>
              <w:rPr>
                <w:rFonts w:hint="eastAsia" w:ascii="仿宋" w:hAnsi="仿宋" w:eastAsia="仿宋" w:cs="仿宋"/>
                <w:bCs/>
                <w:snapToGrid w:val="0"/>
                <w:sz w:val="28"/>
                <w:szCs w:val="28"/>
                <w:lang w:eastAsia="zh-CN"/>
              </w:rPr>
              <w:t>计划合理性、资金到位及时性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项目绩效目标明确性、合理性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13</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13</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项目实施方案的有效性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8</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8</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lang w:eastAsia="zh-CN"/>
              </w:rPr>
              <w:t>项目实施成果合格性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9</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4</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sz w:val="28"/>
                <w:szCs w:val="28"/>
                <w:lang w:eastAsia="zh-CN" w:bidi="ar"/>
              </w:rPr>
            </w:pPr>
            <w:r>
              <w:rPr>
                <w:rFonts w:hint="eastAsia" w:ascii="仿宋" w:hAnsi="仿宋" w:eastAsia="仿宋" w:cs="仿宋"/>
                <w:bCs/>
                <w:snapToGrid w:val="0"/>
                <w:sz w:val="28"/>
                <w:szCs w:val="28"/>
              </w:rPr>
              <w:t>项目实施的可持续性</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12</w:t>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auto"/>
                <w:kern w:val="0"/>
                <w:sz w:val="28"/>
                <w:szCs w:val="28"/>
                <w:u w:val="none"/>
                <w:lang w:val="en-US" w:eastAsia="zh-CN" w:bidi="ar"/>
              </w:rPr>
            </w:pPr>
            <w:r>
              <w:rPr>
                <w:rFonts w:hint="eastAsia" w:ascii="仿宋" w:hAnsi="仿宋" w:eastAsia="仿宋" w:cs="仿宋"/>
                <w:i w:val="0"/>
                <w:iCs w:val="0"/>
                <w:color w:val="auto"/>
                <w:kern w:val="0"/>
                <w:sz w:val="28"/>
                <w:szCs w:val="28"/>
                <w:u w:val="none"/>
                <w:lang w:val="en-US" w:eastAsia="zh-CN" w:bidi="ar"/>
              </w:rPr>
              <w:t>12</w:t>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bidi="ar"/>
              </w:rPr>
              <w:t>综合得分</w:t>
            </w:r>
          </w:p>
        </w:tc>
        <w:tc>
          <w:tcPr>
            <w:tcW w:w="1094" w:type="pct"/>
            <w:tcBorders>
              <w:top w:val="nil"/>
              <w:left w:val="nil"/>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default" w:ascii="仿宋" w:hAnsi="仿宋" w:eastAsia="仿宋" w:cs="仿宋"/>
                <w:b/>
                <w:bCs/>
                <w:color w:val="auto"/>
                <w:sz w:val="28"/>
                <w:szCs w:val="28"/>
                <w:highlight w:val="none"/>
              </w:rPr>
            </w:pPr>
            <w:r>
              <w:rPr>
                <w:rFonts w:hint="default" w:ascii="仿宋" w:hAnsi="仿宋" w:eastAsia="仿宋" w:cs="仿宋"/>
                <w:b/>
                <w:bCs/>
                <w:color w:val="auto"/>
                <w:sz w:val="28"/>
                <w:szCs w:val="28"/>
                <w:highlight w:val="none"/>
              </w:rPr>
              <w:fldChar w:fldCharType="begin"/>
            </w:r>
            <w:r>
              <w:rPr>
                <w:rFonts w:hint="default" w:ascii="仿宋" w:hAnsi="仿宋" w:eastAsia="仿宋" w:cs="仿宋"/>
                <w:b/>
                <w:bCs/>
                <w:color w:val="auto"/>
                <w:sz w:val="28"/>
                <w:szCs w:val="28"/>
                <w:highlight w:val="none"/>
              </w:rPr>
              <w:instrText xml:space="preserve"> =SUM(ABOVE) \* MERGEFORMAT </w:instrText>
            </w:r>
            <w:r>
              <w:rPr>
                <w:rFonts w:hint="default" w:ascii="仿宋" w:hAnsi="仿宋" w:eastAsia="仿宋" w:cs="仿宋"/>
                <w:b/>
                <w:bCs/>
                <w:color w:val="auto"/>
                <w:sz w:val="28"/>
                <w:szCs w:val="28"/>
                <w:highlight w:val="none"/>
              </w:rPr>
              <w:fldChar w:fldCharType="separate"/>
            </w:r>
            <w:r>
              <w:rPr>
                <w:rFonts w:hint="default" w:ascii="仿宋" w:hAnsi="仿宋" w:eastAsia="仿宋" w:cs="仿宋"/>
                <w:b/>
                <w:bCs/>
                <w:color w:val="auto"/>
                <w:sz w:val="28"/>
                <w:szCs w:val="28"/>
                <w:highlight w:val="none"/>
              </w:rPr>
              <w:t>100</w:t>
            </w:r>
            <w:r>
              <w:rPr>
                <w:rFonts w:hint="default" w:ascii="仿宋" w:hAnsi="仿宋" w:eastAsia="仿宋" w:cs="仿宋"/>
                <w:b/>
                <w:bCs/>
                <w:color w:val="auto"/>
                <w:sz w:val="28"/>
                <w:szCs w:val="28"/>
                <w:highlight w:val="none"/>
              </w:rPr>
              <w:fldChar w:fldCharType="end"/>
            </w:r>
          </w:p>
        </w:tc>
        <w:tc>
          <w:tcPr>
            <w:tcW w:w="1010" w:type="pct"/>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default" w:ascii="仿宋" w:hAnsi="仿宋" w:eastAsia="仿宋" w:cs="仿宋"/>
                <w:b/>
                <w:bCs/>
                <w:color w:val="auto"/>
                <w:sz w:val="28"/>
                <w:szCs w:val="28"/>
                <w:highlight w:val="none"/>
                <w:lang w:eastAsia="zh-CN"/>
              </w:rPr>
            </w:pPr>
            <w:r>
              <w:rPr>
                <w:rFonts w:hint="default" w:ascii="仿宋" w:hAnsi="仿宋" w:eastAsia="仿宋" w:cs="仿宋"/>
                <w:b/>
                <w:bCs/>
                <w:color w:val="auto"/>
                <w:sz w:val="28"/>
                <w:szCs w:val="28"/>
                <w:highlight w:val="none"/>
                <w:lang w:eastAsia="zh-CN"/>
              </w:rPr>
              <w:fldChar w:fldCharType="begin"/>
            </w:r>
            <w:r>
              <w:rPr>
                <w:rFonts w:hint="default" w:ascii="仿宋" w:hAnsi="仿宋" w:eastAsia="仿宋" w:cs="仿宋"/>
                <w:b/>
                <w:bCs/>
                <w:color w:val="auto"/>
                <w:sz w:val="28"/>
                <w:szCs w:val="28"/>
                <w:highlight w:val="none"/>
                <w:lang w:eastAsia="zh-CN"/>
              </w:rPr>
              <w:instrText xml:space="preserve"> =SUM(ABOVE) \* MERGEFORMAT </w:instrText>
            </w:r>
            <w:r>
              <w:rPr>
                <w:rFonts w:hint="default" w:ascii="仿宋" w:hAnsi="仿宋" w:eastAsia="仿宋" w:cs="仿宋"/>
                <w:b/>
                <w:bCs/>
                <w:color w:val="auto"/>
                <w:sz w:val="28"/>
                <w:szCs w:val="28"/>
                <w:highlight w:val="none"/>
                <w:lang w:eastAsia="zh-CN"/>
              </w:rPr>
              <w:fldChar w:fldCharType="separate"/>
            </w:r>
            <w:r>
              <w:rPr>
                <w:rFonts w:hint="default" w:ascii="仿宋" w:hAnsi="仿宋" w:eastAsia="仿宋" w:cs="仿宋"/>
                <w:b/>
                <w:bCs/>
                <w:color w:val="auto"/>
                <w:sz w:val="28"/>
                <w:szCs w:val="28"/>
                <w:highlight w:val="none"/>
                <w:lang w:eastAsia="zh-CN"/>
              </w:rPr>
              <w:t>92</w:t>
            </w:r>
            <w:r>
              <w:rPr>
                <w:rFonts w:hint="default" w:ascii="仿宋" w:hAnsi="仿宋" w:eastAsia="仿宋" w:cs="仿宋"/>
                <w:b/>
                <w:bCs/>
                <w:color w:val="auto"/>
                <w:sz w:val="28"/>
                <w:szCs w:val="28"/>
                <w:highlight w:val="none"/>
                <w:lang w:eastAsia="zh-CN"/>
              </w:rPr>
              <w:fldChar w:fldCharType="end"/>
            </w:r>
          </w:p>
        </w:tc>
      </w:tr>
      <w:tr>
        <w:tblPrEx>
          <w:tblCellMar>
            <w:top w:w="0" w:type="dxa"/>
            <w:left w:w="108" w:type="dxa"/>
            <w:bottom w:w="0" w:type="dxa"/>
            <w:right w:w="108" w:type="dxa"/>
          </w:tblCellMar>
        </w:tblPrEx>
        <w:trPr>
          <w:trHeight w:val="624" w:hRule="exact"/>
        </w:trPr>
        <w:tc>
          <w:tcPr>
            <w:tcW w:w="2895" w:type="pct"/>
            <w:tcBorders>
              <w:top w:val="nil"/>
              <w:left w:val="single" w:color="auto" w:sz="4" w:space="0"/>
              <w:bottom w:val="single" w:color="auto" w:sz="4" w:space="0"/>
              <w:right w:val="single" w:color="auto" w:sz="4" w:space="0"/>
            </w:tcBorders>
            <w:shd w:val="clear" w:color="auto" w:fill="auto"/>
            <w:noWrap/>
            <w:vAlign w:val="center"/>
          </w:tcPr>
          <w:p>
            <w:pPr>
              <w:widowControl/>
              <w:ind w:firstLine="0" w:firstLineChars="0"/>
              <w:jc w:val="center"/>
              <w:textAlignment w:val="bottom"/>
              <w:rPr>
                <w:rFonts w:hint="eastAsia" w:ascii="仿宋" w:hAnsi="仿宋" w:eastAsia="仿宋" w:cs="仿宋"/>
                <w:b w:val="0"/>
                <w:bCs w:val="0"/>
                <w:sz w:val="28"/>
                <w:szCs w:val="28"/>
                <w:lang w:eastAsia="zh-CN" w:bidi="ar"/>
              </w:rPr>
            </w:pPr>
            <w:r>
              <w:rPr>
                <w:rFonts w:hint="eastAsia" w:ascii="仿宋" w:hAnsi="仿宋" w:eastAsia="仿宋" w:cs="仿宋"/>
                <w:sz w:val="28"/>
                <w:szCs w:val="28"/>
                <w:lang w:eastAsia="zh-CN"/>
              </w:rPr>
              <w:t>综合绩效评估结论</w:t>
            </w:r>
          </w:p>
        </w:tc>
        <w:tc>
          <w:tcPr>
            <w:tcW w:w="2104" w:type="pct"/>
            <w:gridSpan w:val="2"/>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ind w:left="0" w:leftChars="0" w:firstLine="0" w:firstLineChars="0"/>
              <w:jc w:val="center"/>
              <w:textAlignment w:val="center"/>
              <w:rPr>
                <w:rFonts w:hint="eastAsia" w:ascii="仿宋" w:hAnsi="仿宋" w:eastAsia="仿宋" w:cs="仿宋"/>
                <w:b/>
                <w:bCs/>
                <w:i w:val="0"/>
                <w:iCs w:val="0"/>
                <w:color w:val="000000"/>
                <w:kern w:val="0"/>
                <w:sz w:val="28"/>
                <w:szCs w:val="28"/>
                <w:u w:val="none"/>
                <w:lang w:val="en-US" w:eastAsia="zh-CN" w:bidi="ar"/>
              </w:rPr>
            </w:pPr>
            <w:r>
              <w:rPr>
                <w:rFonts w:hint="eastAsia" w:ascii="仿宋" w:hAnsi="仿宋" w:eastAsia="仿宋" w:cs="仿宋"/>
                <w:b/>
                <w:bCs/>
                <w:szCs w:val="32"/>
                <w:lang w:eastAsia="zh-CN"/>
              </w:rPr>
              <w:t>建议</w:t>
            </w:r>
            <w:r>
              <w:rPr>
                <w:rFonts w:ascii="仿宋" w:hAnsi="仿宋" w:eastAsia="仿宋" w:cs="仿宋"/>
                <w:b/>
                <w:bCs/>
                <w:szCs w:val="32"/>
                <w:lang w:eastAsia="zh-CN"/>
              </w:rPr>
              <w:t>实施</w:t>
            </w:r>
          </w:p>
        </w:tc>
      </w:tr>
    </w:tbl>
    <w:p>
      <w:pPr>
        <w:rPr>
          <w:rFonts w:hint="eastAsia" w:ascii="宋体" w:hAnsi="宋体" w:eastAsia="宋体" w:cs="宋体"/>
          <w:b w:val="0"/>
          <w:bCs w:val="0"/>
          <w:lang w:eastAsia="zh-CN"/>
        </w:rPr>
      </w:pPr>
    </w:p>
    <w:p>
      <w:pPr>
        <w:rPr>
          <w:rFonts w:eastAsia="宋体"/>
          <w:szCs w:val="32"/>
          <w:lang w:eastAsia="zh-CN"/>
        </w:rPr>
      </w:pPr>
      <w:r>
        <w:rPr>
          <w:rFonts w:eastAsia="宋体"/>
          <w:szCs w:val="32"/>
          <w:lang w:eastAsia="zh-CN"/>
        </w:rPr>
        <w:br w:type="page"/>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ind w:firstLine="562"/>
        <w:jc w:val="center"/>
        <w:textAlignment w:val="auto"/>
        <w:rPr>
          <w:rFonts w:hint="eastAsia" w:ascii="仿宋" w:hAnsi="仿宋" w:eastAsia="仿宋" w:cs="仿宋"/>
          <w:b/>
          <w:bCs/>
          <w:caps/>
          <w:color w:val="000000"/>
          <w:sz w:val="24"/>
          <w:szCs w:val="24"/>
          <w:lang w:val="en-US" w:eastAsia="en-US" w:bidi="en-US"/>
        </w:rPr>
      </w:pPr>
      <w:r>
        <w:rPr>
          <w:rFonts w:hint="eastAsia" w:ascii="仿宋" w:hAnsi="仿宋" w:eastAsia="仿宋" w:cs="仿宋"/>
          <w:sz w:val="44"/>
          <w:szCs w:val="44"/>
          <w:lang w:eastAsia="zh-CN"/>
        </w:rPr>
        <w:t>目录</w:t>
      </w:r>
      <w:r>
        <w:rPr>
          <w:rFonts w:hint="eastAsia" w:ascii="仿宋" w:hAnsi="仿宋" w:eastAsia="仿宋" w:cs="仿宋"/>
          <w:sz w:val="24"/>
          <w:szCs w:val="24"/>
        </w:rPr>
        <w:fldChar w:fldCharType="begin"/>
      </w:r>
      <w:r>
        <w:rPr>
          <w:rFonts w:hint="eastAsia" w:ascii="仿宋" w:hAnsi="仿宋" w:eastAsia="仿宋" w:cs="仿宋"/>
          <w:sz w:val="24"/>
          <w:szCs w:val="24"/>
          <w:lang w:eastAsia="zh-CN"/>
        </w:rPr>
        <w:instrText xml:space="preserve"> TOC \o "1-2" \h \u </w:instrText>
      </w:r>
      <w:r>
        <w:rPr>
          <w:rFonts w:hint="eastAsia" w:ascii="仿宋" w:hAnsi="仿宋" w:eastAsia="仿宋" w:cs="仿宋"/>
          <w:sz w:val="24"/>
          <w:szCs w:val="24"/>
        </w:rPr>
        <w:fldChar w:fldCharType="separate"/>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_Toc9247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一、项目基本情况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_Toc9247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_Toc12884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（一）项目建设背景</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_Toc12884 \h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_Toc28877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（二）项目主要内容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_Toc28877 \h </w:instrText>
      </w:r>
      <w:r>
        <w:rPr>
          <w:rFonts w:hint="eastAsia" w:ascii="仿宋" w:hAnsi="仿宋" w:eastAsia="仿宋" w:cs="仿宋"/>
          <w:sz w:val="24"/>
          <w:szCs w:val="24"/>
        </w:rPr>
        <w:fldChar w:fldCharType="separate"/>
      </w:r>
      <w:r>
        <w:rPr>
          <w:rFonts w:hint="eastAsia" w:ascii="仿宋" w:hAnsi="仿宋" w:eastAsia="仿宋" w:cs="仿宋"/>
          <w:sz w:val="24"/>
          <w:szCs w:val="24"/>
        </w:rPr>
        <w:t>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_Toc4357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二、绩效评价工作开展情况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_Toc4357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_Toc6302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(一)绩效评价目的</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_Toc6302 \h </w:instrText>
      </w:r>
      <w:r>
        <w:rPr>
          <w:rFonts w:hint="eastAsia" w:ascii="仿宋" w:hAnsi="仿宋" w:eastAsia="仿宋" w:cs="仿宋"/>
          <w:sz w:val="24"/>
          <w:szCs w:val="24"/>
        </w:rPr>
        <w:fldChar w:fldCharType="separate"/>
      </w:r>
      <w:r>
        <w:rPr>
          <w:rFonts w:hint="eastAsia" w:ascii="仿宋" w:hAnsi="仿宋" w:eastAsia="仿宋" w:cs="仿宋"/>
          <w:sz w:val="24"/>
          <w:szCs w:val="24"/>
        </w:rPr>
        <w:t>5</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_Toc6017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(二)绩效评价指标</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_Toc6017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_Toc11904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w:t>
      </w:r>
      <w:r>
        <w:rPr>
          <w:rFonts w:hint="eastAsia" w:ascii="仿宋" w:hAnsi="仿宋" w:eastAsia="仿宋" w:cs="仿宋"/>
          <w:bCs/>
          <w:sz w:val="24"/>
          <w:szCs w:val="24"/>
        </w:rPr>
        <w:t>评价依据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_Toc11904 \h </w:instrText>
      </w:r>
      <w:r>
        <w:rPr>
          <w:rFonts w:hint="eastAsia" w:ascii="仿宋" w:hAnsi="仿宋" w:eastAsia="仿宋" w:cs="仿宋"/>
          <w:sz w:val="24"/>
          <w:szCs w:val="24"/>
        </w:rPr>
        <w:fldChar w:fldCharType="separate"/>
      </w:r>
      <w:r>
        <w:rPr>
          <w:rFonts w:hint="eastAsia" w:ascii="仿宋" w:hAnsi="仿宋" w:eastAsia="仿宋" w:cs="仿宋"/>
          <w:sz w:val="24"/>
          <w:szCs w:val="24"/>
        </w:rPr>
        <w:t>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_Toc28796 </w:instrText>
      </w:r>
      <w:r>
        <w:rPr>
          <w:rFonts w:hint="eastAsia" w:ascii="仿宋" w:hAnsi="仿宋" w:eastAsia="仿宋" w:cs="仿宋"/>
          <w:sz w:val="24"/>
          <w:szCs w:val="24"/>
        </w:rPr>
        <w:fldChar w:fldCharType="separate"/>
      </w:r>
      <w:r>
        <w:rPr>
          <w:rFonts w:hint="eastAsia" w:ascii="仿宋" w:hAnsi="仿宋" w:eastAsia="仿宋" w:cs="仿宋"/>
          <w:bCs/>
          <w:sz w:val="24"/>
          <w:szCs w:val="24"/>
        </w:rPr>
        <w:t>(四)绩效评价原则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_Toc28796 \h </w:instrText>
      </w:r>
      <w:r>
        <w:rPr>
          <w:rFonts w:hint="eastAsia" w:ascii="仿宋" w:hAnsi="仿宋" w:eastAsia="仿宋" w:cs="仿宋"/>
          <w:sz w:val="24"/>
          <w:szCs w:val="24"/>
        </w:rPr>
        <w:fldChar w:fldCharType="separate"/>
      </w:r>
      <w:r>
        <w:rPr>
          <w:rFonts w:hint="eastAsia" w:ascii="仿宋" w:hAnsi="仿宋" w:eastAsia="仿宋" w:cs="仿宋"/>
          <w:sz w:val="24"/>
          <w:szCs w:val="24"/>
        </w:rPr>
        <w:t>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_Toc4046 </w:instrText>
      </w:r>
      <w:r>
        <w:rPr>
          <w:rFonts w:hint="eastAsia" w:ascii="仿宋" w:hAnsi="仿宋" w:eastAsia="仿宋" w:cs="仿宋"/>
          <w:sz w:val="24"/>
          <w:szCs w:val="24"/>
        </w:rPr>
        <w:fldChar w:fldCharType="separate"/>
      </w:r>
      <w:r>
        <w:rPr>
          <w:rFonts w:hint="eastAsia" w:ascii="仿宋" w:hAnsi="仿宋" w:eastAsia="仿宋" w:cs="仿宋"/>
          <w:bCs/>
          <w:sz w:val="24"/>
          <w:szCs w:val="24"/>
        </w:rPr>
        <w:t>(五)评价</w:t>
      </w:r>
      <w:r>
        <w:rPr>
          <w:rFonts w:hint="eastAsia" w:ascii="仿宋" w:hAnsi="仿宋" w:eastAsia="仿宋" w:cs="仿宋"/>
          <w:bCs/>
          <w:sz w:val="24"/>
          <w:szCs w:val="24"/>
          <w:lang w:eastAsia="zh-CN"/>
        </w:rPr>
        <w:t>方法和等级设定</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_Toc4046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_Toc21368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(六)评价程序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_Toc21368 \h </w:instrText>
      </w:r>
      <w:r>
        <w:rPr>
          <w:rFonts w:hint="eastAsia" w:ascii="仿宋" w:hAnsi="仿宋" w:eastAsia="仿宋" w:cs="仿宋"/>
          <w:sz w:val="24"/>
          <w:szCs w:val="24"/>
        </w:rPr>
        <w:fldChar w:fldCharType="separate"/>
      </w:r>
      <w:r>
        <w:rPr>
          <w:rFonts w:hint="eastAsia" w:ascii="仿宋" w:hAnsi="仿宋" w:eastAsia="仿宋" w:cs="仿宋"/>
          <w:sz w:val="24"/>
          <w:szCs w:val="24"/>
        </w:rPr>
        <w:t>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_Toc28492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(七)论证思路及方法</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_Toc28492 \h </w:instrText>
      </w:r>
      <w:r>
        <w:rPr>
          <w:rFonts w:hint="eastAsia" w:ascii="仿宋" w:hAnsi="仿宋" w:eastAsia="仿宋" w:cs="仿宋"/>
          <w:sz w:val="24"/>
          <w:szCs w:val="24"/>
        </w:rPr>
        <w:fldChar w:fldCharType="separate"/>
      </w:r>
      <w:r>
        <w:rPr>
          <w:rFonts w:hint="eastAsia" w:ascii="仿宋" w:hAnsi="仿宋" w:eastAsia="仿宋" w:cs="仿宋"/>
          <w:sz w:val="24"/>
          <w:szCs w:val="24"/>
        </w:rPr>
        <w:t>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_Toc17481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(八)评估方式</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_Toc17481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_Toc29976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三、事前绩效评估指标体系及得分情况</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_Toc29976 \h </w:instrText>
      </w:r>
      <w:r>
        <w:rPr>
          <w:rFonts w:hint="eastAsia" w:ascii="仿宋" w:hAnsi="仿宋" w:eastAsia="仿宋" w:cs="仿宋"/>
          <w:sz w:val="24"/>
          <w:szCs w:val="24"/>
        </w:rPr>
        <w:fldChar w:fldCharType="separate"/>
      </w:r>
      <w:r>
        <w:rPr>
          <w:rFonts w:hint="eastAsia" w:ascii="仿宋" w:hAnsi="仿宋" w:eastAsia="仿宋" w:cs="仿宋"/>
          <w:sz w:val="24"/>
          <w:szCs w:val="24"/>
        </w:rPr>
        <w:t>10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_Toc6088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四、绩效评价内容与结论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_Toc6088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_Toc785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(一)</w:t>
      </w:r>
      <w:r>
        <w:rPr>
          <w:rFonts w:hint="eastAsia" w:ascii="仿宋" w:hAnsi="仿宋" w:eastAsia="仿宋" w:cs="仿宋"/>
          <w:kern w:val="44"/>
          <w:sz w:val="24"/>
          <w:szCs w:val="24"/>
          <w:lang w:eastAsia="zh-CN"/>
        </w:rPr>
        <w:t>项目实施的必要性、公益性、收益性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_Toc785 \h </w:instrText>
      </w:r>
      <w:r>
        <w:rPr>
          <w:rFonts w:hint="eastAsia" w:ascii="仿宋" w:hAnsi="仿宋" w:eastAsia="仿宋" w:cs="仿宋"/>
          <w:sz w:val="24"/>
          <w:szCs w:val="24"/>
        </w:rPr>
        <w:fldChar w:fldCharType="separate"/>
      </w:r>
      <w:r>
        <w:rPr>
          <w:rFonts w:hint="eastAsia" w:ascii="仿宋" w:hAnsi="仿宋" w:eastAsia="仿宋" w:cs="仿宋"/>
          <w:sz w:val="24"/>
          <w:szCs w:val="24"/>
        </w:rPr>
        <w:t>12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_Toc12059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(二)</w:t>
      </w:r>
      <w:r>
        <w:rPr>
          <w:rFonts w:hint="eastAsia" w:ascii="仿宋" w:hAnsi="仿宋" w:eastAsia="仿宋" w:cs="仿宋"/>
          <w:kern w:val="44"/>
          <w:sz w:val="24"/>
          <w:szCs w:val="24"/>
          <w:lang w:eastAsia="zh-CN"/>
        </w:rPr>
        <w:t>项目实施合规性与成熟度</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_Toc12059 \h </w:instrText>
      </w:r>
      <w:r>
        <w:rPr>
          <w:rFonts w:hint="eastAsia" w:ascii="仿宋" w:hAnsi="仿宋" w:eastAsia="仿宋" w:cs="仿宋"/>
          <w:sz w:val="24"/>
          <w:szCs w:val="24"/>
        </w:rPr>
        <w:fldChar w:fldCharType="separate"/>
      </w:r>
      <w:r>
        <w:rPr>
          <w:rFonts w:hint="eastAsia" w:ascii="仿宋" w:hAnsi="仿宋" w:eastAsia="仿宋" w:cs="仿宋"/>
          <w:sz w:val="24"/>
          <w:szCs w:val="24"/>
        </w:rPr>
        <w:t>14</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_Toc27007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(三)项目资金来源、资金到位可行性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_Toc27007 \h </w:instrText>
      </w:r>
      <w:r>
        <w:rPr>
          <w:rFonts w:hint="eastAsia" w:ascii="仿宋" w:hAnsi="仿宋" w:eastAsia="仿宋" w:cs="仿宋"/>
          <w:sz w:val="24"/>
          <w:szCs w:val="24"/>
        </w:rPr>
        <w:fldChar w:fldCharType="separate"/>
      </w:r>
      <w:r>
        <w:rPr>
          <w:rFonts w:hint="eastAsia" w:ascii="仿宋" w:hAnsi="仿宋" w:eastAsia="仿宋" w:cs="仿宋"/>
          <w:sz w:val="24"/>
          <w:szCs w:val="24"/>
        </w:rPr>
        <w:t>16</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_Toc9784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(四)资金使用计划合理性、资金到位及时性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_Toc9784 \h </w:instrText>
      </w:r>
      <w:r>
        <w:rPr>
          <w:rFonts w:hint="eastAsia" w:ascii="仿宋" w:hAnsi="仿宋" w:eastAsia="仿宋" w:cs="仿宋"/>
          <w:sz w:val="24"/>
          <w:szCs w:val="24"/>
        </w:rPr>
        <w:fldChar w:fldCharType="separate"/>
      </w:r>
      <w:r>
        <w:rPr>
          <w:rFonts w:hint="eastAsia" w:ascii="仿宋" w:hAnsi="仿宋" w:eastAsia="仿宋" w:cs="仿宋"/>
          <w:sz w:val="24"/>
          <w:szCs w:val="24"/>
        </w:rPr>
        <w:t>17</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_Toc30218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w:t>
      </w:r>
      <w:r>
        <w:rPr>
          <w:rFonts w:hint="eastAsia" w:ascii="仿宋" w:hAnsi="仿宋" w:eastAsia="仿宋" w:cs="仿宋"/>
          <w:kern w:val="44"/>
          <w:sz w:val="24"/>
          <w:szCs w:val="24"/>
          <w:lang w:eastAsia="zh-CN"/>
        </w:rPr>
        <w:t>项目绩效目标明确性、合理性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_Toc30218 \h </w:instrText>
      </w:r>
      <w:r>
        <w:rPr>
          <w:rFonts w:hint="eastAsia" w:ascii="仿宋" w:hAnsi="仿宋" w:eastAsia="仿宋" w:cs="仿宋"/>
          <w:sz w:val="24"/>
          <w:szCs w:val="24"/>
        </w:rPr>
        <w:fldChar w:fldCharType="separate"/>
      </w:r>
      <w:r>
        <w:rPr>
          <w:rFonts w:hint="eastAsia" w:ascii="仿宋" w:hAnsi="仿宋" w:eastAsia="仿宋" w:cs="仿宋"/>
          <w:sz w:val="24"/>
          <w:szCs w:val="24"/>
        </w:rPr>
        <w:t>18</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_Toc22418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(六)项目实施方案的有效性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_Toc22418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_Toc22324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(七)项目实施成果合格性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_Toc22324 \h </w:instrText>
      </w:r>
      <w:r>
        <w:rPr>
          <w:rFonts w:hint="eastAsia" w:ascii="仿宋" w:hAnsi="仿宋" w:eastAsia="仿宋" w:cs="仿宋"/>
          <w:sz w:val="24"/>
          <w:szCs w:val="24"/>
        </w:rPr>
        <w:fldChar w:fldCharType="separate"/>
      </w:r>
      <w:r>
        <w:rPr>
          <w:rFonts w:hint="eastAsia" w:ascii="仿宋" w:hAnsi="仿宋" w:eastAsia="仿宋" w:cs="仿宋"/>
          <w:sz w:val="24"/>
          <w:szCs w:val="24"/>
        </w:rPr>
        <w:t>19</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_Toc26124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(八)项目实施的可持续性</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_Toc26124 \h </w:instrText>
      </w:r>
      <w:r>
        <w:rPr>
          <w:rFonts w:hint="eastAsia" w:ascii="仿宋" w:hAnsi="仿宋" w:eastAsia="仿宋" w:cs="仿宋"/>
          <w:sz w:val="24"/>
          <w:szCs w:val="24"/>
        </w:rPr>
        <w:fldChar w:fldCharType="separate"/>
      </w:r>
      <w:r>
        <w:rPr>
          <w:rFonts w:hint="eastAsia" w:ascii="仿宋" w:hAnsi="仿宋" w:eastAsia="仿宋" w:cs="仿宋"/>
          <w:sz w:val="24"/>
          <w:szCs w:val="24"/>
        </w:rPr>
        <w:t>20</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_Toc24831 </w:instrText>
      </w:r>
      <w:r>
        <w:rPr>
          <w:rFonts w:hint="eastAsia" w:ascii="仿宋" w:hAnsi="仿宋" w:eastAsia="仿宋" w:cs="仿宋"/>
          <w:sz w:val="24"/>
          <w:szCs w:val="24"/>
        </w:rPr>
        <w:fldChar w:fldCharType="separate"/>
      </w:r>
      <w:r>
        <w:rPr>
          <w:rFonts w:hint="eastAsia" w:ascii="仿宋" w:hAnsi="仿宋" w:eastAsia="仿宋" w:cs="仿宋"/>
          <w:kern w:val="44"/>
          <w:sz w:val="24"/>
          <w:szCs w:val="24"/>
          <w:lang w:eastAsia="zh-CN"/>
        </w:rPr>
        <w:t>(九)总体结论</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_Toc24831 \h </w:instrText>
      </w:r>
      <w:r>
        <w:rPr>
          <w:rFonts w:hint="eastAsia" w:ascii="仿宋" w:hAnsi="仿宋" w:eastAsia="仿宋" w:cs="仿宋"/>
          <w:sz w:val="24"/>
          <w:szCs w:val="24"/>
        </w:rPr>
        <w:fldChar w:fldCharType="separate"/>
      </w:r>
      <w:r>
        <w:rPr>
          <w:rFonts w:hint="eastAsia" w:ascii="仿宋" w:hAnsi="仿宋" w:eastAsia="仿宋" w:cs="仿宋"/>
          <w:sz w:val="24"/>
          <w:szCs w:val="24"/>
        </w:rPr>
        <w:t>21</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_Toc18341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五、相关建议</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_Toc18341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_Toc25444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(一)</w:t>
      </w:r>
      <w:r>
        <w:rPr>
          <w:rFonts w:hint="eastAsia" w:ascii="仿宋" w:hAnsi="仿宋" w:eastAsia="仿宋" w:cs="仿宋"/>
          <w:bCs/>
          <w:sz w:val="24"/>
          <w:szCs w:val="24"/>
          <w:lang w:val="en-US" w:eastAsia="zh-CN"/>
        </w:rPr>
        <w:t>未</w:t>
      </w:r>
      <w:r>
        <w:rPr>
          <w:rFonts w:hint="eastAsia" w:ascii="仿宋" w:hAnsi="仿宋" w:eastAsia="仿宋" w:cs="仿宋"/>
          <w:bCs/>
          <w:sz w:val="24"/>
          <w:szCs w:val="24"/>
          <w:lang w:eastAsia="zh-CN"/>
        </w:rPr>
        <w:t>按照</w:t>
      </w:r>
      <w:r>
        <w:rPr>
          <w:rFonts w:hint="eastAsia" w:ascii="仿宋" w:hAnsi="仿宋" w:eastAsia="仿宋" w:cs="仿宋"/>
          <w:bCs/>
          <w:sz w:val="24"/>
          <w:szCs w:val="24"/>
          <w:lang w:val="en-US" w:eastAsia="zh-CN"/>
        </w:rPr>
        <w:t>合同约定</w:t>
      </w:r>
      <w:r>
        <w:rPr>
          <w:rFonts w:hint="eastAsia" w:ascii="仿宋" w:hAnsi="仿宋" w:eastAsia="仿宋" w:cs="仿宋"/>
          <w:bCs/>
          <w:sz w:val="24"/>
          <w:szCs w:val="24"/>
          <w:lang w:eastAsia="zh-CN"/>
        </w:rPr>
        <w:t>完成工作进度</w:t>
      </w:r>
      <w:r>
        <w:rPr>
          <w:rFonts w:hint="eastAsia" w:ascii="仿宋" w:hAnsi="仿宋" w:eastAsia="仿宋" w:cs="仿宋"/>
          <w:bCs/>
          <w:sz w:val="24"/>
          <w:szCs w:val="24"/>
          <w:lang w:val="en-US" w:eastAsia="zh-CN"/>
        </w:rPr>
        <w:t>及支付经费</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_Toc25444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7"/>
        <w:keepNext w:val="0"/>
        <w:keepLines w:val="0"/>
        <w:pageBreakBefore w:val="0"/>
        <w:widowControl w:val="0"/>
        <w:tabs>
          <w:tab w:val="right" w:leader="dot" w:pos="8306"/>
        </w:tabs>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_Toc24195 </w:instrText>
      </w:r>
      <w:r>
        <w:rPr>
          <w:rFonts w:hint="eastAsia" w:ascii="仿宋" w:hAnsi="仿宋" w:eastAsia="仿宋" w:cs="仿宋"/>
          <w:sz w:val="24"/>
          <w:szCs w:val="24"/>
        </w:rPr>
        <w:fldChar w:fldCharType="separate"/>
      </w:r>
      <w:r>
        <w:rPr>
          <w:rFonts w:hint="eastAsia" w:ascii="仿宋" w:hAnsi="仿宋" w:eastAsia="仿宋" w:cs="仿宋"/>
          <w:bCs/>
          <w:sz w:val="24"/>
          <w:szCs w:val="24"/>
          <w:lang w:eastAsia="zh-CN"/>
        </w:rPr>
        <w:t>(二)</w:t>
      </w:r>
      <w:r>
        <w:rPr>
          <w:rFonts w:hint="eastAsia" w:ascii="仿宋" w:hAnsi="仿宋" w:eastAsia="仿宋" w:cs="仿宋"/>
          <w:bCs/>
          <w:sz w:val="24"/>
          <w:szCs w:val="24"/>
          <w:lang w:val="en-US" w:eastAsia="zh-CN"/>
        </w:rPr>
        <w:t>未提供</w:t>
      </w:r>
      <w:r>
        <w:rPr>
          <w:rFonts w:hint="eastAsia" w:ascii="仿宋" w:hAnsi="仿宋" w:eastAsia="仿宋" w:cs="仿宋"/>
          <w:bCs/>
          <w:sz w:val="24"/>
          <w:szCs w:val="24"/>
          <w:lang w:eastAsia="zh-CN"/>
        </w:rPr>
        <w:t>完善建议</w:t>
      </w:r>
      <w:r>
        <w:rPr>
          <w:rFonts w:hint="eastAsia" w:ascii="仿宋" w:hAnsi="仿宋" w:eastAsia="仿宋" w:cs="仿宋"/>
          <w:bCs/>
          <w:sz w:val="24"/>
          <w:szCs w:val="24"/>
          <w:lang w:val="en-US" w:eastAsia="zh-CN"/>
        </w:rPr>
        <w:t>内容</w:t>
      </w:r>
      <w:r>
        <w:rPr>
          <w:rFonts w:hint="eastAsia" w:ascii="仿宋" w:hAnsi="仿宋" w:eastAsia="仿宋" w:cs="仿宋"/>
          <w:bCs/>
          <w:sz w:val="24"/>
          <w:szCs w:val="24"/>
          <w:lang w:eastAsia="zh-CN"/>
        </w:rPr>
        <w:t>的</w:t>
      </w:r>
      <w:r>
        <w:rPr>
          <w:rFonts w:hint="eastAsia" w:ascii="仿宋" w:hAnsi="仿宋" w:eastAsia="仿宋" w:cs="仿宋"/>
          <w:bCs/>
          <w:sz w:val="24"/>
          <w:szCs w:val="24"/>
          <w:lang w:val="en-US" w:eastAsia="zh-CN"/>
        </w:rPr>
        <w:t>后续档案</w:t>
      </w:r>
      <w:r>
        <w:rPr>
          <w:rFonts w:hint="eastAsia" w:ascii="仿宋" w:hAnsi="仿宋" w:eastAsia="仿宋" w:cs="仿宋"/>
          <w:bCs/>
          <w:sz w:val="24"/>
          <w:szCs w:val="24"/>
          <w:lang w:eastAsia="zh-CN"/>
        </w:rPr>
        <w:t>资料</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_Toc24195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HYPERLINK \l _Toc2492 </w:instrText>
      </w:r>
      <w:r>
        <w:rPr>
          <w:rFonts w:hint="eastAsia" w:ascii="仿宋" w:hAnsi="仿宋" w:eastAsia="仿宋" w:cs="仿宋"/>
          <w:sz w:val="24"/>
          <w:szCs w:val="24"/>
        </w:rPr>
        <w:fldChar w:fldCharType="separate"/>
      </w:r>
      <w:r>
        <w:rPr>
          <w:rFonts w:hint="eastAsia" w:ascii="仿宋" w:hAnsi="仿宋" w:eastAsia="仿宋" w:cs="仿宋"/>
          <w:sz w:val="24"/>
          <w:szCs w:val="24"/>
          <w:lang w:eastAsia="zh-CN"/>
        </w:rPr>
        <w:t>六、其他需要说明的问题</w:t>
      </w:r>
      <w:r>
        <w:rPr>
          <w:rFonts w:hint="eastAsia" w:ascii="仿宋" w:hAnsi="仿宋" w:eastAsia="仿宋" w:cs="仿宋"/>
          <w:sz w:val="24"/>
          <w:szCs w:val="24"/>
        </w:rPr>
        <w:tab/>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PAGEREF _Toc2492 \h </w:instrText>
      </w:r>
      <w:r>
        <w:rPr>
          <w:rFonts w:hint="eastAsia" w:ascii="仿宋" w:hAnsi="仿宋" w:eastAsia="仿宋" w:cs="仿宋"/>
          <w:sz w:val="24"/>
          <w:szCs w:val="24"/>
        </w:rPr>
        <w:fldChar w:fldCharType="separate"/>
      </w:r>
      <w:r>
        <w:rPr>
          <w:rFonts w:hint="eastAsia" w:ascii="仿宋" w:hAnsi="仿宋" w:eastAsia="仿宋" w:cs="仿宋"/>
          <w:sz w:val="24"/>
          <w:szCs w:val="24"/>
        </w:rPr>
        <w:t>22</w:t>
      </w:r>
      <w:r>
        <w:rPr>
          <w:rFonts w:hint="eastAsia" w:ascii="仿宋" w:hAnsi="仿宋" w:eastAsia="仿宋" w:cs="仿宋"/>
          <w:sz w:val="24"/>
          <w:szCs w:val="24"/>
        </w:rPr>
        <w:fldChar w:fldCharType="end"/>
      </w:r>
      <w:r>
        <w:rPr>
          <w:rFonts w:hint="eastAsia" w:ascii="仿宋" w:hAnsi="仿宋" w:eastAsia="仿宋" w:cs="仿宋"/>
          <w:sz w:val="24"/>
          <w:szCs w:val="24"/>
        </w:rPr>
        <w:fldChar w:fldCharType="end"/>
      </w:r>
    </w:p>
    <w:p>
      <w:pPr>
        <w:pStyle w:val="14"/>
        <w:keepNext w:val="0"/>
        <w:keepLines w:val="0"/>
        <w:pageBreakBefore w:val="0"/>
        <w:widowControl w:val="0"/>
        <w:tabs>
          <w:tab w:val="right" w:leader="dot" w:pos="8306"/>
        </w:tabs>
        <w:kinsoku/>
        <w:wordWrap/>
        <w:overflowPunct/>
        <w:topLinePunct w:val="0"/>
        <w:autoSpaceDE/>
        <w:autoSpaceDN/>
        <w:bidi w:val="0"/>
        <w:adjustRightInd/>
        <w:snapToGrid/>
        <w:spacing w:before="0" w:after="0" w:line="500" w:lineRule="exact"/>
        <w:textAlignment w:val="auto"/>
        <w:rPr>
          <w:rFonts w:hint="eastAsia" w:ascii="仿宋" w:hAnsi="仿宋" w:eastAsia="仿宋" w:cs="仿宋"/>
          <w:sz w:val="24"/>
          <w:szCs w:val="24"/>
        </w:rPr>
      </w:pPr>
    </w:p>
    <w:p>
      <w:pPr>
        <w:keepNext w:val="0"/>
        <w:keepLines w:val="0"/>
        <w:pageBreakBefore w:val="0"/>
        <w:widowControl w:val="0"/>
        <w:tabs>
          <w:tab w:val="right" w:leader="dot" w:pos="8306"/>
        </w:tabs>
        <w:kinsoku/>
        <w:wordWrap/>
        <w:overflowPunct/>
        <w:topLinePunct w:val="0"/>
        <w:autoSpaceDE/>
        <w:autoSpaceDN/>
        <w:bidi w:val="0"/>
        <w:adjustRightInd/>
        <w:snapToGrid/>
        <w:spacing w:line="500" w:lineRule="exact"/>
        <w:ind w:firstLine="640"/>
        <w:jc w:val="center"/>
        <w:textAlignment w:val="auto"/>
        <w:rPr>
          <w:rFonts w:eastAsia="宋体"/>
          <w:sz w:val="28"/>
          <w:szCs w:val="28"/>
          <w:lang w:eastAsia="zh-CN"/>
        </w:rPr>
      </w:pPr>
      <w:r>
        <w:rPr>
          <w:rFonts w:hint="eastAsia" w:ascii="仿宋" w:hAnsi="仿宋" w:eastAsia="仿宋" w:cs="仿宋"/>
          <w:sz w:val="24"/>
          <w:szCs w:val="24"/>
        </w:rPr>
        <w:fldChar w:fldCharType="end"/>
      </w:r>
    </w:p>
    <w:p>
      <w:pPr>
        <w:pStyle w:val="14"/>
        <w:tabs>
          <w:tab w:val="right" w:leader="dot" w:pos="8306"/>
        </w:tabs>
        <w:ind w:firstLine="562"/>
        <w:rPr>
          <w:rFonts w:ascii="Times New Roman" w:hAnsi="Times New Roman" w:eastAsia="宋体" w:cs="Times New Roman"/>
          <w:sz w:val="28"/>
          <w:szCs w:val="28"/>
          <w:lang w:eastAsia="zh-CN"/>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1" w:footer="992" w:gutter="0"/>
          <w:pgNumType w:fmt="numberInDash" w:start="1"/>
          <w:cols w:space="425" w:num="1"/>
          <w:docGrid w:type="lines" w:linePitch="312" w:charSpace="0"/>
        </w:sectPr>
      </w:pPr>
      <w:r>
        <w:rPr>
          <w:rFonts w:ascii="Times New Roman" w:hAnsi="Times New Roman" w:eastAsia="宋体" w:cs="Times New Roman"/>
          <w:sz w:val="28"/>
          <w:szCs w:val="28"/>
          <w:lang w:eastAsia="zh-CN"/>
        </w:rPr>
        <w:br w:type="page"/>
      </w:r>
    </w:p>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21" w:name="_Toc28307"/>
      <w:bookmarkStart w:id="22" w:name="_Toc11127"/>
      <w:bookmarkStart w:id="23" w:name="_Toc18501"/>
      <w:bookmarkStart w:id="24" w:name="_Toc28591"/>
      <w:bookmarkStart w:id="25" w:name="_Toc133498022"/>
      <w:bookmarkStart w:id="26" w:name="_Toc13216"/>
      <w:bookmarkStart w:id="27" w:name="_Toc792595118"/>
      <w:bookmarkStart w:id="28" w:name="_Toc562319121"/>
      <w:bookmarkStart w:id="29" w:name="_Toc22608"/>
      <w:bookmarkStart w:id="30" w:name="_Toc1042875910_WPSOffice_Level1"/>
      <w:bookmarkStart w:id="31" w:name="_Toc130033874"/>
      <w:bookmarkStart w:id="32" w:name="_Toc132480957"/>
      <w:bookmarkStart w:id="33" w:name="_Toc17291"/>
      <w:bookmarkStart w:id="34" w:name="_Toc132480512"/>
      <w:bookmarkStart w:id="35" w:name="_Toc1902724683"/>
      <w:bookmarkStart w:id="36" w:name="_Toc400713784"/>
      <w:bookmarkStart w:id="37" w:name="_Toc1675062758"/>
      <w:r>
        <w:rPr>
          <w:rFonts w:hint="eastAsia" w:ascii="方正小标宋简体" w:hAnsi="方正小标宋简体" w:eastAsia="方正小标宋简体" w:cs="方正小标宋简体"/>
          <w:b w:val="0"/>
          <w:bCs w:val="0"/>
          <w:lang w:eastAsia="zh-CN"/>
        </w:rPr>
        <w:t>乐山市金口河区自然资源局</w:t>
      </w:r>
      <w:bookmarkEnd w:id="21"/>
    </w:p>
    <w:bookmarkEnd w:id="22"/>
    <w:bookmarkEnd w:id="23"/>
    <w:bookmarkEnd w:id="24"/>
    <w:p>
      <w:pPr>
        <w:pStyle w:val="20"/>
        <w:spacing w:before="0" w:beforeLines="0" w:after="0" w:afterLines="0" w:line="780" w:lineRule="exact"/>
        <w:ind w:left="-426" w:leftChars="-221" w:right="-624" w:rightChars="-195" w:hanging="281" w:hangingChars="64"/>
        <w:outlineLvl w:val="1"/>
        <w:rPr>
          <w:rFonts w:hint="eastAsia" w:ascii="方正小标宋简体" w:hAnsi="方正小标宋简体" w:eastAsia="方正小标宋简体" w:cs="方正小标宋简体"/>
          <w:b w:val="0"/>
          <w:bCs w:val="0"/>
          <w:lang w:eastAsia="zh-CN"/>
        </w:rPr>
      </w:pPr>
      <w:bookmarkStart w:id="38" w:name="_Toc20154"/>
      <w:bookmarkStart w:id="39" w:name="_Toc32549"/>
      <w:bookmarkStart w:id="40" w:name="_Toc18917"/>
      <w:bookmarkStart w:id="41" w:name="_Toc25169"/>
      <w:r>
        <w:rPr>
          <w:rFonts w:hint="eastAsia" w:ascii="方正小标宋简体" w:hAnsi="方正小标宋简体" w:eastAsia="方正小标宋简体" w:cs="方正小标宋简体"/>
          <w:b w:val="0"/>
          <w:bCs w:val="0"/>
          <w:lang w:eastAsia="zh-CN"/>
        </w:rPr>
        <w:t>森林火灾风险普查专项经费</w:t>
      </w:r>
      <w:bookmarkEnd w:id="38"/>
    </w:p>
    <w:p>
      <w:pPr>
        <w:pStyle w:val="20"/>
        <w:spacing w:before="0" w:beforeLines="0" w:after="0" w:afterLines="0" w:line="780" w:lineRule="exact"/>
        <w:ind w:left="-426" w:leftChars="-221" w:right="-624" w:rightChars="-195" w:hanging="281" w:hangingChars="64"/>
        <w:outlineLvl w:val="1"/>
        <w:rPr>
          <w:rFonts w:hint="eastAsia" w:ascii="宋体" w:hAnsi="宋体" w:eastAsia="宋体" w:cs="宋体"/>
          <w:b w:val="0"/>
          <w:bCs w:val="0"/>
          <w:lang w:eastAsia="zh-CN"/>
        </w:rPr>
      </w:pPr>
      <w:bookmarkStart w:id="42" w:name="_Toc13059"/>
      <w:r>
        <w:rPr>
          <w:rFonts w:hint="eastAsia" w:ascii="方正小标宋简体" w:hAnsi="方正小标宋简体" w:eastAsia="方正小标宋简体" w:cs="方正小标宋简体"/>
          <w:b w:val="0"/>
          <w:bCs w:val="0"/>
          <w:lang w:eastAsia="zh-CN"/>
        </w:rPr>
        <w:t>事前绩效评价报告</w:t>
      </w:r>
      <w:bookmarkEnd w:id="25"/>
      <w:bookmarkEnd w:id="26"/>
      <w:bookmarkEnd w:id="27"/>
      <w:bookmarkEnd w:id="28"/>
      <w:bookmarkEnd w:id="29"/>
      <w:bookmarkEnd w:id="30"/>
      <w:bookmarkEnd w:id="31"/>
      <w:bookmarkEnd w:id="32"/>
      <w:bookmarkEnd w:id="33"/>
      <w:bookmarkEnd w:id="34"/>
      <w:bookmarkEnd w:id="35"/>
      <w:bookmarkEnd w:id="36"/>
      <w:bookmarkEnd w:id="37"/>
      <w:bookmarkEnd w:id="39"/>
      <w:bookmarkEnd w:id="40"/>
      <w:bookmarkEnd w:id="41"/>
      <w:bookmarkEnd w:id="42"/>
    </w:p>
    <w:p>
      <w:pPr>
        <w:ind w:firstLine="640"/>
        <w:rPr>
          <w:lang w:eastAsia="zh-CN"/>
        </w:rPr>
      </w:pP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43" w:name="_Toc1969419847"/>
      <w:bookmarkStart w:id="44" w:name="_Toc1416645183"/>
      <w:bookmarkStart w:id="45" w:name="_Toc2001376203_WPSOffice_Level1"/>
      <w:bookmarkStart w:id="46" w:name="_Toc9247"/>
      <w:bookmarkStart w:id="47" w:name="_Toc4405"/>
      <w:bookmarkStart w:id="48" w:name="_Toc287850696"/>
      <w:bookmarkStart w:id="49" w:name="_Toc2225"/>
      <w:bookmarkStart w:id="50" w:name="_Toc132480958"/>
      <w:bookmarkStart w:id="51" w:name="_Toc305085885"/>
      <w:bookmarkStart w:id="52" w:name="_Toc7797"/>
      <w:r>
        <w:rPr>
          <w:rFonts w:hint="eastAsia" w:ascii="黑体" w:hAnsi="黑体" w:eastAsia="黑体" w:cs="黑体"/>
          <w:b w:val="0"/>
          <w:bCs/>
          <w:szCs w:val="32"/>
          <w:lang w:eastAsia="zh-CN"/>
        </w:rPr>
        <w:t>一、项目基本情况</w:t>
      </w:r>
      <w:bookmarkEnd w:id="43"/>
      <w:bookmarkEnd w:id="44"/>
      <w:bookmarkEnd w:id="45"/>
      <w:bookmarkEnd w:id="46"/>
      <w:bookmarkEnd w:id="47"/>
      <w:bookmarkEnd w:id="48"/>
      <w:bookmarkEnd w:id="49"/>
      <w:bookmarkEnd w:id="50"/>
      <w:bookmarkEnd w:id="51"/>
      <w:bookmarkEnd w:id="52"/>
    </w:p>
    <w:p>
      <w:pPr>
        <w:pStyle w:val="3"/>
        <w:pageBreakBefore w:val="0"/>
        <w:kinsoku/>
        <w:wordWrap/>
        <w:overflowPunct/>
        <w:topLinePunct w:val="0"/>
        <w:autoSpaceDE/>
        <w:autoSpaceDN/>
        <w:bidi w:val="0"/>
        <w:adjustRightInd/>
        <w:snapToGrid/>
        <w:spacing w:before="0" w:beforeLines="0" w:after="0" w:afterLines="0" w:line="580" w:lineRule="exact"/>
        <w:ind w:firstLineChars="0"/>
        <w:textAlignment w:val="auto"/>
        <w:rPr>
          <w:rFonts w:hint="eastAsia" w:ascii="楷体" w:hAnsi="楷体" w:eastAsia="楷体" w:cs="楷体"/>
          <w:b w:val="0"/>
          <w:bCs/>
          <w:szCs w:val="32"/>
          <w:lang w:eastAsia="zh-CN"/>
        </w:rPr>
      </w:pPr>
      <w:bookmarkStart w:id="53" w:name="_Toc19438"/>
      <w:bookmarkStart w:id="54" w:name="_Toc1535003806"/>
      <w:bookmarkStart w:id="55" w:name="_Toc873917318"/>
      <w:bookmarkStart w:id="56" w:name="_Toc14550"/>
      <w:bookmarkStart w:id="57" w:name="_Toc1773474628"/>
      <w:bookmarkStart w:id="58" w:name="_Toc1042875910_WPSOffice_Level2"/>
      <w:bookmarkStart w:id="59" w:name="_Toc27921"/>
      <w:bookmarkStart w:id="60" w:name="_Toc132480959"/>
      <w:bookmarkStart w:id="61" w:name="_Toc404396392"/>
      <w:bookmarkStart w:id="62" w:name="_Toc12884"/>
      <w:r>
        <w:rPr>
          <w:rFonts w:hint="eastAsia" w:ascii="楷体" w:hAnsi="楷体" w:eastAsia="楷体" w:cs="楷体"/>
          <w:b w:val="0"/>
          <w:bCs/>
          <w:szCs w:val="32"/>
          <w:lang w:eastAsia="zh-CN"/>
        </w:rPr>
        <w:t>（一）项目建设</w:t>
      </w:r>
      <w:bookmarkEnd w:id="53"/>
      <w:bookmarkEnd w:id="54"/>
      <w:bookmarkEnd w:id="55"/>
      <w:bookmarkEnd w:id="56"/>
      <w:bookmarkEnd w:id="57"/>
      <w:bookmarkEnd w:id="58"/>
      <w:bookmarkEnd w:id="59"/>
      <w:bookmarkEnd w:id="60"/>
      <w:bookmarkEnd w:id="61"/>
      <w:bookmarkStart w:id="63" w:name="_Toc18961"/>
      <w:bookmarkStart w:id="64" w:name="_Toc23032"/>
      <w:bookmarkStart w:id="65" w:name="_Toc12111"/>
      <w:bookmarkStart w:id="66" w:name="_Toc20062"/>
      <w:bookmarkStart w:id="67" w:name="_Toc27403"/>
      <w:bookmarkStart w:id="68" w:name="_Toc133498025"/>
      <w:bookmarkStart w:id="69" w:name="_Toc9639"/>
      <w:bookmarkStart w:id="70" w:name="_Toc130033877"/>
      <w:bookmarkStart w:id="71" w:name="_Toc1087916031"/>
      <w:bookmarkStart w:id="72" w:name="_Toc1862536083"/>
      <w:bookmarkStart w:id="73" w:name="_Toc2051901236"/>
      <w:bookmarkStart w:id="74" w:name="_Toc1042875910_WPSOffice_Level3"/>
      <w:bookmarkStart w:id="75" w:name="_Toc1287701793"/>
      <w:r>
        <w:rPr>
          <w:rFonts w:hint="eastAsia" w:ascii="楷体" w:hAnsi="楷体" w:eastAsia="楷体" w:cs="楷体"/>
          <w:b w:val="0"/>
          <w:bCs/>
          <w:szCs w:val="32"/>
          <w:lang w:eastAsia="zh-CN"/>
        </w:rPr>
        <w:t>背景</w:t>
      </w:r>
      <w:bookmarkEnd w:id="62"/>
      <w:bookmarkEnd w:id="63"/>
      <w:bookmarkEnd w:id="64"/>
      <w:bookmarkEnd w:id="65"/>
      <w:bookmarkEnd w:id="66"/>
      <w:bookmarkEnd w:id="67"/>
      <w:bookmarkEnd w:id="68"/>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我国是世界上自然灾害最为严重的国家之一，灾害种类多,分布地域广,发生频率高，造成</w:t>
      </w:r>
      <w:r>
        <w:rPr>
          <w:rFonts w:hint="eastAsia" w:ascii="仿宋" w:hAnsi="仿宋" w:eastAsia="仿宋" w:cs="仿宋"/>
          <w:bCs/>
          <w:kern w:val="2"/>
          <w:szCs w:val="32"/>
          <w:lang w:val="en-US" w:eastAsia="zh-CN" w:bidi="ar-SA"/>
        </w:rPr>
        <w:t>严</w:t>
      </w:r>
      <w:r>
        <w:rPr>
          <w:rFonts w:hint="eastAsia" w:ascii="仿宋" w:hAnsi="仿宋" w:eastAsia="仿宋" w:cs="仿宋"/>
          <w:bCs/>
          <w:kern w:val="2"/>
          <w:szCs w:val="32"/>
          <w:lang w:eastAsia="zh-CN" w:bidi="ar-SA"/>
        </w:rPr>
        <w:t>重损失。2018年10月，习近平总书记主持召开中央财经委员会第三次会议，专题研究我国自然灾害防治能力建设问题。会议将实施“自然灾害综合风险普查”列为提高自然灾害防治能力9项重点工程的第一项重点工程。2020年5月，国务院组建了第一次全国自然灾害综合风险普查工作领导小组。2020年6月，国务院办公厅印发《国务院办公厅关于开展第一次全国自然灾害综合风险普查的通知》，全面部署第一次全国自然灾害综合风险普查工作，普查时间为2020年至2022年。</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pacing w:val="8"/>
          <w:szCs w:val="32"/>
          <w:lang w:eastAsia="zh-CN"/>
        </w:rPr>
      </w:pPr>
      <w:r>
        <w:rPr>
          <w:rFonts w:hint="eastAsia" w:ascii="仿宋" w:hAnsi="仿宋" w:eastAsia="仿宋" w:cs="仿宋"/>
          <w:bCs/>
          <w:kern w:val="2"/>
          <w:szCs w:val="32"/>
          <w:lang w:eastAsia="zh-CN" w:bidi="ar-SA"/>
        </w:rPr>
        <w:t>金口河区属于森林火灾中</w:t>
      </w:r>
      <w:r>
        <w:rPr>
          <w:rFonts w:hint="eastAsia" w:ascii="仿宋" w:hAnsi="仿宋" w:eastAsia="仿宋" w:cs="仿宋"/>
          <w:bCs/>
          <w:kern w:val="2"/>
          <w:szCs w:val="32"/>
          <w:lang w:val="en-US" w:eastAsia="zh-CN" w:bidi="ar-SA"/>
        </w:rPr>
        <w:t>的</w:t>
      </w:r>
      <w:r>
        <w:rPr>
          <w:rFonts w:hint="eastAsia" w:ascii="仿宋" w:hAnsi="仿宋" w:eastAsia="仿宋" w:cs="仿宋"/>
          <w:bCs/>
          <w:kern w:val="2"/>
          <w:szCs w:val="32"/>
          <w:lang w:eastAsia="zh-CN" w:bidi="ar-SA"/>
        </w:rPr>
        <w:t>火险区，位于四川西南部峨眉山南麓，小凉山脉腹地，地处乐山市、雅安市、眉山市和凉山彝族自治州四市州交界处，东与峨眉山市接壤，东南与峨边彝族自治区相邻，西与凉山彝族自治州甘洛县、雅安市汉源县交界，北接眉山市洪雅县，幅员面积59863公顷，林地面积47831公顷，森林面积39064公顷，森林覆盖率达65.25%。</w:t>
      </w:r>
      <w:bookmarkStart w:id="76" w:name="OLE_LINK2"/>
      <w:r>
        <w:rPr>
          <w:rFonts w:hint="eastAsia" w:ascii="仿宋" w:hAnsi="仿宋" w:eastAsia="仿宋" w:cs="仿宋"/>
          <w:bCs/>
          <w:kern w:val="2"/>
          <w:szCs w:val="32"/>
          <w:lang w:eastAsia="zh-CN" w:bidi="ar-SA"/>
        </w:rPr>
        <w:t>金口河区人民政府按照</w:t>
      </w:r>
      <w:bookmarkStart w:id="77" w:name="OLE_LINK4"/>
      <w:r>
        <w:rPr>
          <w:rFonts w:hint="eastAsia" w:ascii="仿宋" w:hAnsi="仿宋" w:eastAsia="仿宋" w:cs="仿宋"/>
          <w:bCs/>
          <w:kern w:val="2"/>
          <w:szCs w:val="32"/>
          <w:lang w:eastAsia="zh-CN" w:bidi="ar-SA"/>
        </w:rPr>
        <w:t>《国务院办公厅关于开展第一次全国自然灾害综合风险普查的通知》(国办发(2020)12号)、《四川省人民政府办公厅关于开展四川省第一次全国自然灾害综合风险普查的通知》(川办发(2020)58号)、《四川省林业和草原局关于开展四川省第一次森林和草原火灾风险普查工作的通知》(川林发(2020)46号)和《乐山市林业和园林局关于开展乐山市第一次森林火灾风险普查工作的通知》(乐市林发(2021)70号)</w:t>
      </w:r>
      <w:bookmarkEnd w:id="77"/>
      <w:r>
        <w:rPr>
          <w:rFonts w:hint="eastAsia" w:ascii="仿宋" w:hAnsi="仿宋" w:eastAsia="仿宋" w:cs="仿宋"/>
          <w:bCs/>
          <w:kern w:val="2"/>
          <w:szCs w:val="32"/>
          <w:lang w:eastAsia="zh-CN" w:bidi="ar-SA"/>
        </w:rPr>
        <w:t>文件要求，为全区有效开展火灾防治和应急管理、切实保障经济社会高质量发展提供权威的风险信息和科学决策依据，按照上级的安排和部署，决定启动金口河区第一次森林火灾(以下简称“火灾”)风险普查工作</w:t>
      </w:r>
      <w:bookmarkEnd w:id="76"/>
      <w:r>
        <w:rPr>
          <w:rFonts w:hint="eastAsia" w:ascii="仿宋" w:hAnsi="仿宋" w:eastAsia="仿宋" w:cs="仿宋"/>
          <w:bCs/>
          <w:kern w:val="2"/>
          <w:szCs w:val="32"/>
          <w:lang w:eastAsia="zh-CN" w:bidi="ar-SA"/>
        </w:rPr>
        <w:t>。</w:t>
      </w:r>
    </w:p>
    <w:bookmarkEnd w:id="69"/>
    <w:bookmarkEnd w:id="70"/>
    <w:bookmarkEnd w:id="71"/>
    <w:bookmarkEnd w:id="72"/>
    <w:bookmarkEnd w:id="73"/>
    <w:bookmarkEnd w:id="74"/>
    <w:bookmarkEnd w:id="75"/>
    <w:p>
      <w:pPr>
        <w:pStyle w:val="3"/>
        <w:pageBreakBefore w:val="0"/>
        <w:kinsoku/>
        <w:wordWrap/>
        <w:overflowPunct/>
        <w:topLinePunct w:val="0"/>
        <w:autoSpaceDE/>
        <w:autoSpaceDN/>
        <w:bidi w:val="0"/>
        <w:adjustRightInd/>
        <w:snapToGrid/>
        <w:spacing w:before="0" w:beforeLines="0" w:after="0" w:afterLines="0" w:line="580" w:lineRule="exact"/>
        <w:ind w:firstLineChars="0"/>
        <w:textAlignment w:val="auto"/>
        <w:rPr>
          <w:rFonts w:hint="eastAsia" w:ascii="楷体" w:hAnsi="楷体" w:eastAsia="楷体" w:cs="楷体"/>
          <w:b w:val="0"/>
          <w:bCs/>
          <w:szCs w:val="32"/>
          <w:lang w:eastAsia="zh-CN"/>
        </w:rPr>
      </w:pPr>
      <w:bookmarkStart w:id="78" w:name="_Toc133498028"/>
      <w:bookmarkStart w:id="79" w:name="_Toc24844"/>
      <w:bookmarkStart w:id="80" w:name="_Toc28877"/>
      <w:bookmarkStart w:id="81" w:name="_Toc12980"/>
      <w:bookmarkStart w:id="82" w:name="_Toc1372691542"/>
      <w:bookmarkStart w:id="83" w:name="_Toc1491763895"/>
      <w:bookmarkStart w:id="84" w:name="_Toc130033880"/>
      <w:bookmarkStart w:id="85" w:name="_Toc15651"/>
      <w:bookmarkStart w:id="86" w:name="_Toc15203"/>
      <w:bookmarkStart w:id="87" w:name="_Toc865934723"/>
      <w:bookmarkStart w:id="88" w:name="_Toc153907914"/>
      <w:bookmarkStart w:id="89" w:name="_Toc1093480860_WPSOffice_Level3"/>
      <w:bookmarkStart w:id="90" w:name="_Toc17270"/>
      <w:bookmarkStart w:id="91" w:name="_Toc17740"/>
      <w:r>
        <w:rPr>
          <w:rFonts w:hint="eastAsia" w:ascii="楷体" w:hAnsi="楷体" w:eastAsia="楷体" w:cs="楷体"/>
          <w:b w:val="0"/>
          <w:bCs/>
          <w:szCs w:val="32"/>
          <w:lang w:eastAsia="zh-CN"/>
        </w:rPr>
        <w:t>（二）项目主要内容</w:t>
      </w:r>
      <w:bookmarkEnd w:id="78"/>
      <w:bookmarkEnd w:id="79"/>
      <w:bookmarkEnd w:id="80"/>
      <w:bookmarkEnd w:id="81"/>
      <w:bookmarkEnd w:id="82"/>
      <w:bookmarkEnd w:id="83"/>
      <w:bookmarkEnd w:id="84"/>
      <w:bookmarkEnd w:id="85"/>
      <w:bookmarkEnd w:id="86"/>
      <w:bookmarkEnd w:id="87"/>
      <w:bookmarkEnd w:id="88"/>
      <w:bookmarkEnd w:id="89"/>
      <w:bookmarkEnd w:id="90"/>
      <w:bookmarkEnd w:id="91"/>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1.项目基本情况：</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项目名称：森林火灾风险普查专项经费</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szCs w:val="32"/>
          <w:lang w:val="zh-CN" w:eastAsia="zh-CN"/>
        </w:rPr>
      </w:pPr>
      <w:r>
        <w:rPr>
          <w:rFonts w:hint="eastAsia" w:ascii="仿宋" w:hAnsi="仿宋" w:eastAsia="仿宋" w:cs="仿宋"/>
          <w:bCs/>
          <w:szCs w:val="32"/>
          <w:lang w:val="zh-CN" w:eastAsia="zh-CN"/>
        </w:rPr>
        <w:t>项目单位：</w:t>
      </w:r>
      <w:r>
        <w:rPr>
          <w:rFonts w:hint="eastAsia" w:ascii="仿宋" w:hAnsi="仿宋" w:eastAsia="仿宋" w:cs="仿宋"/>
          <w:szCs w:val="32"/>
          <w:lang w:val="zh-CN" w:eastAsia="zh-CN"/>
        </w:rPr>
        <w:t>乐山市金口河区自然资源局</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szCs w:val="32"/>
          <w:lang w:val="zh-CN" w:eastAsia="zh-CN"/>
        </w:rPr>
      </w:pPr>
      <w:r>
        <w:rPr>
          <w:rFonts w:hint="eastAsia" w:ascii="仿宋_GB2312"/>
          <w:szCs w:val="32"/>
          <w:lang w:eastAsia="zh-CN"/>
        </w:rPr>
        <w:t>主管部门：乐山市金口河区自然资源局</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val="zh-CN" w:eastAsia="zh-CN"/>
        </w:rPr>
        <w:t>项目属性（新增/延续）：延续</w:t>
      </w:r>
      <w:r>
        <w:rPr>
          <w:rFonts w:hint="eastAsia" w:ascii="仿宋" w:hAnsi="仿宋" w:eastAsia="仿宋" w:cs="仿宋"/>
          <w:bCs/>
          <w:szCs w:val="32"/>
          <w:lang w:eastAsia="zh-CN"/>
        </w:rPr>
        <w:t>性项目</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2.项目绩效目标：</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通过开展森林火灾风险普查，全面获取金口河区森林火灾可燃物、野外火源、气象条件等致灾信息，森林资源、生态环境、林区产业、林区居民人口及房屋建筑、基础设施等重要承灾体信息，历史森林火灾信息，掌握重点隐患情况，分析评估区域森林火灾预防、扑救、保障、应急等综合能力。以调查为基础、评估为支撑，客观认识当前金口河区森林火灾致灾风险水平、承灾体脆弱性水平、防灾减灾救灾能力，科学预判今后一段时期灾害风险变化趋势和特点。</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3.项目概况：</w:t>
      </w:r>
    </w:p>
    <w:p>
      <w:pPr>
        <w:pageBreakBefore w:val="0"/>
        <w:widowControl/>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val="zh-CN" w:eastAsia="zh-CN"/>
        </w:rPr>
      </w:pPr>
      <w:r>
        <w:rPr>
          <w:rFonts w:hint="eastAsia" w:ascii="仿宋" w:hAnsi="仿宋" w:eastAsia="仿宋" w:cs="仿宋"/>
          <w:bCs/>
          <w:szCs w:val="32"/>
          <w:lang w:val="zh-CN" w:eastAsia="zh-CN"/>
        </w:rPr>
        <w:t>(1)普查范围</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333333"/>
          <w:szCs w:val="32"/>
          <w:shd w:val="clear" w:color="auto" w:fill="FFFFFF"/>
          <w:lang w:val="zh-CN" w:eastAsia="zh-CN"/>
        </w:rPr>
      </w:pPr>
      <w:bookmarkStart w:id="92" w:name="_Toc20677"/>
      <w:bookmarkStart w:id="93" w:name="_Toc132480960"/>
      <w:bookmarkStart w:id="94" w:name="_Toc510053535"/>
      <w:bookmarkStart w:id="95" w:name="_Toc2001376203_WPSOffice_Level2"/>
      <w:bookmarkStart w:id="96" w:name="_Toc386835874"/>
      <w:bookmarkStart w:id="97" w:name="_Toc1256897804"/>
      <w:bookmarkStart w:id="98" w:name="_Toc8112"/>
      <w:bookmarkStart w:id="99" w:name="_Toc300186741"/>
      <w:bookmarkStart w:id="100" w:name="_Toc16114"/>
      <w:r>
        <w:rPr>
          <w:rFonts w:hint="eastAsia" w:ascii="仿宋" w:hAnsi="仿宋" w:eastAsia="仿宋" w:cs="仿宋"/>
          <w:color w:val="333333"/>
          <w:szCs w:val="32"/>
          <w:shd w:val="clear" w:color="auto" w:fill="FFFFFF"/>
          <w:lang w:val="zh-CN" w:eastAsia="zh-CN"/>
        </w:rPr>
        <w:t>火灾风险普查对象包括森林资源，林区人员及设施，以及与火灾密切相关的其他自然和人文地理要素，</w:t>
      </w:r>
      <w:r>
        <w:rPr>
          <w:rFonts w:hint="eastAsia" w:ascii="仿宋" w:hAnsi="仿宋" w:eastAsia="仿宋" w:cs="仿宋"/>
          <w:color w:val="333333"/>
          <w:szCs w:val="32"/>
          <w:shd w:val="clear" w:color="auto" w:fill="FFFFFF"/>
          <w:lang w:val="en-US" w:eastAsia="zh-CN"/>
        </w:rPr>
        <w:t>区</w:t>
      </w:r>
      <w:r>
        <w:rPr>
          <w:rFonts w:hint="eastAsia" w:ascii="仿宋" w:hAnsi="仿宋" w:eastAsia="仿宋" w:cs="仿宋"/>
          <w:color w:val="333333"/>
          <w:szCs w:val="32"/>
          <w:shd w:val="clear" w:color="auto" w:fill="FFFFFF"/>
          <w:lang w:val="zh-CN" w:eastAsia="zh-CN"/>
        </w:rPr>
        <w:t>级人民政府及有关部门，乡镇人民政府和街道办事处，村民委员会和居民委员会，重点企事业单位和社会组织，林业经营单位,部分居民等。普查地域覆盖全区5个乡镇和国有林区。</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color w:val="333333"/>
          <w:szCs w:val="32"/>
          <w:shd w:val="clear" w:color="auto" w:fill="FFFFFF"/>
          <w:lang w:val="zh-CN" w:eastAsia="zh-CN"/>
        </w:rPr>
      </w:pPr>
      <w:r>
        <w:rPr>
          <w:rFonts w:hint="eastAsia" w:ascii="仿宋" w:hAnsi="仿宋" w:eastAsia="仿宋" w:cs="仿宋"/>
          <w:color w:val="333333"/>
          <w:szCs w:val="32"/>
          <w:shd w:val="clear" w:color="auto" w:fill="FFFFFF"/>
          <w:lang w:eastAsia="zh-CN"/>
        </w:rPr>
        <w:t>(2)</w:t>
      </w:r>
      <w:r>
        <w:rPr>
          <w:rFonts w:hint="eastAsia" w:ascii="仿宋" w:hAnsi="仿宋" w:eastAsia="仿宋" w:cs="仿宋"/>
          <w:color w:val="333333"/>
          <w:szCs w:val="32"/>
          <w:shd w:val="clear" w:color="auto" w:fill="FFFFFF"/>
          <w:lang w:val="zh-CN" w:eastAsia="zh-CN"/>
        </w:rPr>
        <w:t>普查内容</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一是火灾危险性调查与评估，主要完成可燃物类型及载量调查、可燃物样品实验室测定，获取野外火源分布情况、收集与分析气象资料等。二是火灾承灾体调查。三是火灾历史灾害调查。四是火灾综合减灾能力调查。五是火灾重点隐患调查与评估。六是火灾风险评估与区划。</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(3)普查时间安排</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本次火灾风险普查标准时点为2020年12月31日。2020年为普查前期准备阶段，主要完成普查工作方案、实施细则编制，经费预算，落实普查人员和队伍、机构，开展普查宣传和培训等工作。2021-2022年为全面调查、评估与区划阶段，其中2021年12月31日前应完成外业调查，通过质检验收;2022年8月31日前应完成风险评估与区划并通过验收;12月31日前完成全省火灾普查成果汇总、编制和上报。</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4.项目实施过程</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ascii="仿宋" w:hAnsi="仿宋" w:eastAsia="仿宋" w:cs="仿宋"/>
          <w:bCs/>
          <w:szCs w:val="32"/>
          <w:lang w:eastAsia="zh-CN"/>
        </w:rPr>
        <w:t>2021年10月15日乐山市金口河区自然资源局</w:t>
      </w:r>
      <w:r>
        <w:rPr>
          <w:rFonts w:hint="eastAsia" w:ascii="仿宋" w:hAnsi="仿宋" w:eastAsia="仿宋" w:cs="仿宋"/>
          <w:bCs/>
          <w:szCs w:val="32"/>
          <w:lang w:eastAsia="zh-CN"/>
        </w:rPr>
        <w:t>委托四川宜林招标代理有限公司对</w:t>
      </w:r>
      <w:r>
        <w:rPr>
          <w:rFonts w:ascii="仿宋" w:hAnsi="仿宋" w:eastAsia="仿宋" w:cs="仿宋"/>
          <w:bCs/>
          <w:szCs w:val="32"/>
          <w:lang w:eastAsia="zh-CN"/>
        </w:rPr>
        <w:t>“金口河区第一次森林火灾风险普查(采购编号:511113202100001)”采用竞争性磋商的方式开标评审，</w:t>
      </w:r>
      <w:r>
        <w:rPr>
          <w:rFonts w:hint="eastAsia" w:ascii="仿宋" w:hAnsi="仿宋" w:eastAsia="仿宋" w:cs="仿宋"/>
          <w:bCs/>
          <w:szCs w:val="32"/>
          <w:lang w:eastAsia="zh-CN"/>
        </w:rPr>
        <w:t>确定</w:t>
      </w:r>
      <w:r>
        <w:rPr>
          <w:rFonts w:ascii="仿宋" w:hAnsi="仿宋" w:eastAsia="仿宋" w:cs="仿宋"/>
          <w:bCs/>
          <w:szCs w:val="32"/>
          <w:lang w:eastAsia="zh-CN"/>
        </w:rPr>
        <w:t>四川吉星林业规划设计有限公司</w:t>
      </w:r>
      <w:r>
        <w:rPr>
          <w:rFonts w:hint="eastAsia" w:ascii="仿宋" w:hAnsi="仿宋" w:eastAsia="仿宋" w:cs="仿宋"/>
          <w:bCs/>
          <w:szCs w:val="32"/>
          <w:lang w:eastAsia="zh-CN"/>
        </w:rPr>
        <w:t>为成交供应商，成交金额</w:t>
      </w:r>
      <w:r>
        <w:rPr>
          <w:rFonts w:ascii="仿宋" w:hAnsi="仿宋" w:eastAsia="仿宋" w:cs="仿宋"/>
          <w:bCs/>
          <w:szCs w:val="32"/>
          <w:lang w:eastAsia="zh-CN"/>
        </w:rPr>
        <w:t>98万元(大写:玖拾捌万元整)</w:t>
      </w:r>
      <w:r>
        <w:rPr>
          <w:rFonts w:hint="eastAsia" w:ascii="仿宋" w:hAnsi="仿宋" w:eastAsia="仿宋" w:cs="仿宋"/>
          <w:bCs/>
          <w:szCs w:val="32"/>
          <w:lang w:eastAsia="zh-CN"/>
        </w:rPr>
        <w:t>。</w:t>
      </w:r>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2021年10月26日</w:t>
      </w:r>
      <w:r>
        <w:rPr>
          <w:rFonts w:ascii="仿宋" w:hAnsi="仿宋" w:eastAsia="仿宋" w:cs="仿宋"/>
          <w:bCs/>
          <w:szCs w:val="32"/>
          <w:lang w:eastAsia="zh-CN"/>
        </w:rPr>
        <w:t>乐山市金口河区自然资源局</w:t>
      </w:r>
      <w:r>
        <w:rPr>
          <w:rFonts w:hint="eastAsia" w:ascii="仿宋" w:hAnsi="仿宋" w:eastAsia="仿宋" w:cs="仿宋"/>
          <w:bCs/>
          <w:szCs w:val="32"/>
          <w:lang w:eastAsia="zh-CN"/>
        </w:rPr>
        <w:t>与</w:t>
      </w:r>
      <w:r>
        <w:rPr>
          <w:rFonts w:ascii="仿宋" w:hAnsi="仿宋" w:eastAsia="仿宋" w:cs="仿宋"/>
          <w:bCs/>
          <w:szCs w:val="32"/>
          <w:lang w:eastAsia="zh-CN"/>
        </w:rPr>
        <w:t>四川吉星林业规划设计有限公司</w:t>
      </w:r>
      <w:r>
        <w:rPr>
          <w:rFonts w:hint="eastAsia" w:ascii="仿宋" w:hAnsi="仿宋" w:eastAsia="仿宋" w:cs="仿宋"/>
          <w:bCs/>
          <w:szCs w:val="32"/>
          <w:lang w:eastAsia="zh-CN"/>
        </w:rPr>
        <w:t>签订《</w:t>
      </w:r>
      <w:r>
        <w:rPr>
          <w:rFonts w:ascii="仿宋" w:hAnsi="仿宋" w:eastAsia="仿宋" w:cs="仿宋"/>
          <w:bCs/>
          <w:szCs w:val="32"/>
          <w:lang w:eastAsia="zh-CN"/>
        </w:rPr>
        <w:t>金口河区第一次森林火灾风险普查</w:t>
      </w:r>
      <w:r>
        <w:rPr>
          <w:rFonts w:hint="eastAsia" w:ascii="仿宋" w:hAnsi="仿宋" w:eastAsia="仿宋" w:cs="仿宋"/>
          <w:bCs/>
          <w:szCs w:val="32"/>
          <w:lang w:eastAsia="zh-CN"/>
        </w:rPr>
        <w:t>政府采购合同》</w:t>
      </w:r>
      <w:r>
        <w:rPr>
          <w:rFonts w:ascii="仿宋" w:hAnsi="仿宋" w:eastAsia="仿宋" w:cs="仿宋"/>
          <w:bCs/>
          <w:szCs w:val="32"/>
          <w:lang w:eastAsia="zh-CN"/>
        </w:rPr>
        <w:t>(采购编号:511113202100001)</w:t>
      </w:r>
      <w:r>
        <w:rPr>
          <w:rFonts w:hint="eastAsia" w:ascii="仿宋" w:hAnsi="仿宋" w:eastAsia="仿宋" w:cs="仿宋"/>
          <w:bCs/>
          <w:szCs w:val="32"/>
          <w:lang w:eastAsia="zh-CN"/>
        </w:rPr>
        <w:t>。合同约定项目服务费用：98万元。服务期限：2021年12月31日前完成外业调查，通过质检验收；2022年6月31日前完成全区评估与区划，提交各项普查成果资料，并通过验收。2022年12月10日前完成全区火灾普查成果汇总、编制和上报。</w:t>
      </w:r>
    </w:p>
    <w:p>
      <w:pPr>
        <w:pStyle w:val="3"/>
        <w:pageBreakBefore w:val="0"/>
        <w:kinsoku/>
        <w:wordWrap/>
        <w:overflowPunct/>
        <w:topLinePunct w:val="0"/>
        <w:autoSpaceDE/>
        <w:autoSpaceDN/>
        <w:bidi w:val="0"/>
        <w:adjustRightInd/>
        <w:snapToGrid/>
        <w:spacing w:before="0" w:beforeLines="0" w:after="0" w:afterLines="0" w:line="580" w:lineRule="exact"/>
        <w:ind w:firstLineChars="0"/>
        <w:textAlignment w:val="auto"/>
        <w:rPr>
          <w:rFonts w:hint="eastAsia" w:ascii="楷体" w:hAnsi="楷体" w:eastAsia="楷体" w:cs="楷体"/>
          <w:b w:val="0"/>
          <w:bCs/>
          <w:szCs w:val="32"/>
          <w:lang w:eastAsia="zh-CN"/>
        </w:rPr>
      </w:pPr>
      <w:r>
        <w:rPr>
          <w:rFonts w:hint="eastAsia" w:ascii="楷体" w:hAnsi="楷体" w:eastAsia="楷体" w:cs="楷体"/>
          <w:b w:val="0"/>
          <w:bCs/>
          <w:szCs w:val="32"/>
          <w:lang w:eastAsia="zh-CN"/>
        </w:rPr>
        <w:t>（三）项目预算构成</w:t>
      </w:r>
      <w:bookmarkEnd w:id="92"/>
      <w:bookmarkEnd w:id="93"/>
      <w:bookmarkEnd w:id="94"/>
      <w:bookmarkEnd w:id="95"/>
      <w:bookmarkEnd w:id="96"/>
      <w:bookmarkEnd w:id="97"/>
      <w:bookmarkEnd w:id="98"/>
      <w:bookmarkEnd w:id="99"/>
      <w:bookmarkEnd w:id="100"/>
    </w:p>
    <w:p>
      <w:pPr>
        <w:pageBreakBefore w:val="0"/>
        <w:kinsoku/>
        <w:wordWrap/>
        <w:overflowPunct/>
        <w:topLinePunct w:val="0"/>
        <w:autoSpaceDE/>
        <w:autoSpaceDN/>
        <w:bidi w:val="0"/>
        <w:adjustRightInd/>
        <w:snapToGrid/>
        <w:spacing w:line="600" w:lineRule="exact"/>
        <w:ind w:firstLine="640"/>
        <w:textAlignment w:val="auto"/>
        <w:rPr>
          <w:rFonts w:hint="eastAsia" w:ascii="仿宋" w:hAnsi="仿宋" w:eastAsia="仿宋" w:cs="仿宋"/>
          <w:bCs/>
          <w:szCs w:val="32"/>
          <w:lang w:eastAsia="zh-CN"/>
        </w:rPr>
      </w:pPr>
      <w:r>
        <w:rPr>
          <w:rFonts w:hint="eastAsia" w:ascii="仿宋" w:hAnsi="仿宋" w:eastAsia="仿宋" w:cs="仿宋"/>
          <w:bCs/>
          <w:szCs w:val="32"/>
          <w:lang w:eastAsia="zh-CN"/>
        </w:rPr>
        <w:t>经《乐山市金口河区人民政府关于&lt;关于解决金口河区第一次森林火灾风险普查资金缺口的请示&gt;的批复》(金府复〔2021〕148号)文件，金口河区人民政府批复本项目资金控制在100万元以内实施，经竞争性磋商确认项目资金98万元，全部为财政资金。2025年项目预算资金为24.5万元。</w:t>
      </w:r>
    </w:p>
    <w:p>
      <w:pPr>
        <w:pageBreakBefore w:val="0"/>
        <w:kinsoku/>
        <w:wordWrap/>
        <w:overflowPunct/>
        <w:topLinePunct w:val="0"/>
        <w:autoSpaceDE/>
        <w:autoSpaceDN/>
        <w:bidi w:val="0"/>
        <w:adjustRightInd/>
        <w:snapToGrid/>
        <w:spacing w:line="580" w:lineRule="exact"/>
        <w:ind w:left="0" w:leftChars="0" w:firstLine="0" w:firstLineChars="0"/>
        <w:jc w:val="center"/>
        <w:textAlignment w:val="auto"/>
        <w:rPr>
          <w:rFonts w:hint="eastAsia" w:ascii="仿宋" w:hAnsi="仿宋" w:eastAsia="仿宋" w:cs="仿宋"/>
          <w:bCs/>
          <w:szCs w:val="32"/>
          <w:lang w:eastAsia="zh-CN"/>
        </w:rPr>
      </w:pPr>
      <w:r>
        <w:rPr>
          <w:rFonts w:hint="eastAsia" w:ascii="仿宋" w:hAnsi="仿宋" w:eastAsia="仿宋" w:cs="仿宋"/>
          <w:bCs/>
          <w:szCs w:val="32"/>
          <w:lang w:eastAsia="zh-CN"/>
        </w:rPr>
        <w:t>项目资金支出计划表</w:t>
      </w:r>
    </w:p>
    <w:tbl>
      <w:tblPr>
        <w:tblStyle w:val="21"/>
        <w:tblpPr w:leftFromText="180" w:rightFromText="180" w:vertAnchor="text" w:horzAnchor="page" w:tblpX="1765" w:tblpY="222"/>
        <w:tblOverlap w:val="never"/>
        <w:tblW w:w="8842" w:type="dxa"/>
        <w:tblInd w:w="0" w:type="dxa"/>
        <w:tblLayout w:type="fixed"/>
        <w:tblCellMar>
          <w:top w:w="0" w:type="dxa"/>
          <w:left w:w="108" w:type="dxa"/>
          <w:bottom w:w="0" w:type="dxa"/>
          <w:right w:w="108" w:type="dxa"/>
        </w:tblCellMar>
      </w:tblPr>
      <w:tblGrid>
        <w:gridCol w:w="562"/>
        <w:gridCol w:w="1843"/>
        <w:gridCol w:w="1459"/>
        <w:gridCol w:w="6"/>
        <w:gridCol w:w="3515"/>
        <w:gridCol w:w="12"/>
        <w:gridCol w:w="1445"/>
      </w:tblGrid>
      <w:tr>
        <w:tblPrEx>
          <w:tblCellMar>
            <w:top w:w="0" w:type="dxa"/>
            <w:left w:w="108" w:type="dxa"/>
            <w:bottom w:w="0" w:type="dxa"/>
            <w:right w:w="108" w:type="dxa"/>
          </w:tblCellMar>
        </w:tblPrEx>
        <w:trPr>
          <w:trHeight w:val="698" w:hRule="atLeast"/>
          <w:tblHeader/>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序号</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项目内容</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应支付金额（万元）</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合同约定应支付时间</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发票开具</w:t>
            </w:r>
          </w:p>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时间</w:t>
            </w:r>
          </w:p>
        </w:tc>
      </w:tr>
      <w:tr>
        <w:tblPrEx>
          <w:tblCellMar>
            <w:top w:w="0" w:type="dxa"/>
            <w:left w:w="108" w:type="dxa"/>
            <w:bottom w:w="0" w:type="dxa"/>
            <w:right w:w="108" w:type="dxa"/>
          </w:tblCellMar>
        </w:tblPrEx>
        <w:trPr>
          <w:trHeight w:val="129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1</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金口河区第一次森林火灾风险普查服务费（第1笔）</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4.9</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合同签订后乙方提供合法有效的支付凭证后，甲方在15个工作日内支付合同总额的5％。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2021.12.17</w:t>
            </w:r>
          </w:p>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(支付时间，未见发票)</w:t>
            </w:r>
          </w:p>
        </w:tc>
      </w:tr>
      <w:tr>
        <w:tblPrEx>
          <w:tblCellMar>
            <w:top w:w="0" w:type="dxa"/>
            <w:left w:w="108" w:type="dxa"/>
            <w:bottom w:w="0" w:type="dxa"/>
            <w:right w:w="108" w:type="dxa"/>
          </w:tblCellMar>
        </w:tblPrEx>
        <w:trPr>
          <w:trHeight w:val="980" w:hRule="atLeast"/>
        </w:trPr>
        <w:tc>
          <w:tcPr>
            <w:tcW w:w="5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w:t>
            </w:r>
          </w:p>
        </w:tc>
        <w:tc>
          <w:tcPr>
            <w:tcW w:w="18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金口河区第一次森林火灾风险普查服务费（第2笔）</w:t>
            </w:r>
          </w:p>
        </w:tc>
        <w:tc>
          <w:tcPr>
            <w:tcW w:w="14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39.2</w:t>
            </w:r>
          </w:p>
        </w:tc>
        <w:tc>
          <w:tcPr>
            <w:tcW w:w="35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外业调查完成后并通过质检验收合格，乙方提供合法有效的支付凭证后，甲方在15个工作日内支付合同总额的40％。</w:t>
            </w:r>
          </w:p>
        </w:tc>
        <w:tc>
          <w:tcPr>
            <w:tcW w:w="1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2022.7.11</w:t>
            </w:r>
          </w:p>
        </w:tc>
      </w:tr>
      <w:tr>
        <w:tblPrEx>
          <w:tblCellMar>
            <w:top w:w="0" w:type="dxa"/>
            <w:left w:w="108" w:type="dxa"/>
            <w:bottom w:w="0" w:type="dxa"/>
            <w:right w:w="108" w:type="dxa"/>
          </w:tblCellMar>
        </w:tblPrEx>
        <w:trPr>
          <w:trHeight w:val="240" w:hRule="atLeast"/>
        </w:trPr>
        <w:tc>
          <w:tcPr>
            <w:tcW w:w="5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p>
        </w:tc>
        <w:tc>
          <w:tcPr>
            <w:tcW w:w="18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p>
        </w:tc>
        <w:tc>
          <w:tcPr>
            <w:tcW w:w="14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p>
        </w:tc>
        <w:tc>
          <w:tcPr>
            <w:tcW w:w="35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p>
        </w:tc>
        <w:tc>
          <w:tcPr>
            <w:tcW w:w="1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r>
      <w:tr>
        <w:tblPrEx>
          <w:tblCellMar>
            <w:top w:w="0" w:type="dxa"/>
            <w:left w:w="108" w:type="dxa"/>
            <w:bottom w:w="0" w:type="dxa"/>
            <w:right w:w="108" w:type="dxa"/>
          </w:tblCellMar>
        </w:tblPrEx>
        <w:trPr>
          <w:trHeight w:val="18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3</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金口河区第一次森林火灾风险普查服务费（第3笔）</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29.4</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完成全区评估与区划，提交各项普查成果资料，并通过验收，乙方提供合法有效的支付凭证后，甲方在15个工作日内支付合同总额的30％。</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2022.10.24</w:t>
            </w:r>
          </w:p>
        </w:tc>
      </w:tr>
      <w:tr>
        <w:tblPrEx>
          <w:tblCellMar>
            <w:top w:w="0" w:type="dxa"/>
            <w:left w:w="108" w:type="dxa"/>
            <w:bottom w:w="0" w:type="dxa"/>
            <w:right w:w="108" w:type="dxa"/>
          </w:tblCellMar>
        </w:tblPrEx>
        <w:trPr>
          <w:trHeight w:val="2200" w:hRule="atLeast"/>
        </w:trPr>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4</w:t>
            </w:r>
          </w:p>
        </w:tc>
        <w:tc>
          <w:tcPr>
            <w:tcW w:w="184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金口河区第一次森林火灾风险普查服务费（第4笔）</w:t>
            </w:r>
          </w:p>
        </w:tc>
        <w:tc>
          <w:tcPr>
            <w:tcW w:w="14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24.5</w:t>
            </w:r>
          </w:p>
        </w:tc>
        <w:tc>
          <w:tcPr>
            <w:tcW w:w="35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普查项目完成后，提交纸质材料和数据库等电子材料通过四川省森林和草原火灾风险普查办公室验收合格，乙方提供合法有效的支付凭证后，甲方在15个工作日内支付合同总额的25％。</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2023.7.24</w:t>
            </w:r>
          </w:p>
        </w:tc>
      </w:tr>
      <w:tr>
        <w:tblPrEx>
          <w:tblCellMar>
            <w:top w:w="0" w:type="dxa"/>
            <w:left w:w="108" w:type="dxa"/>
            <w:bottom w:w="0" w:type="dxa"/>
            <w:right w:w="108" w:type="dxa"/>
          </w:tblCellMar>
        </w:tblPrEx>
        <w:trPr>
          <w:trHeight w:val="520" w:hRule="atLeast"/>
        </w:trPr>
        <w:tc>
          <w:tcPr>
            <w:tcW w:w="2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合计</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98</w:t>
            </w:r>
          </w:p>
        </w:tc>
        <w:tc>
          <w:tcPr>
            <w:tcW w:w="35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p>
        </w:tc>
        <w:tc>
          <w:tcPr>
            <w:tcW w:w="14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r>
    </w:tbl>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01" w:name="_Toc338550202"/>
      <w:bookmarkStart w:id="102" w:name="_Toc9538"/>
      <w:bookmarkStart w:id="103" w:name="_Toc1093480860_WPSOffice_Level1"/>
      <w:bookmarkStart w:id="104" w:name="_Toc1396703300"/>
      <w:bookmarkStart w:id="105" w:name="_Toc23154"/>
      <w:bookmarkStart w:id="106" w:name="_Toc4357"/>
      <w:bookmarkStart w:id="107" w:name="_Toc132480961"/>
      <w:bookmarkStart w:id="108" w:name="_Toc326378840"/>
      <w:bookmarkStart w:id="109" w:name="_Toc451760287"/>
      <w:bookmarkStart w:id="110" w:name="_Toc1939"/>
      <w:r>
        <w:rPr>
          <w:rFonts w:hint="eastAsia" w:ascii="黑体" w:hAnsi="黑体" w:eastAsia="黑体" w:cs="黑体"/>
          <w:b w:val="0"/>
          <w:bCs/>
          <w:szCs w:val="32"/>
          <w:lang w:eastAsia="zh-CN"/>
        </w:rPr>
        <w:t>二、绩效评价工作开展情况</w:t>
      </w:r>
      <w:bookmarkEnd w:id="101"/>
      <w:bookmarkEnd w:id="102"/>
      <w:bookmarkEnd w:id="103"/>
      <w:bookmarkEnd w:id="104"/>
      <w:bookmarkEnd w:id="105"/>
      <w:bookmarkEnd w:id="106"/>
      <w:bookmarkEnd w:id="107"/>
      <w:bookmarkEnd w:id="108"/>
      <w:bookmarkEnd w:id="109"/>
      <w:bookmarkEnd w:id="110"/>
    </w:p>
    <w:p>
      <w:pPr>
        <w:pStyle w:val="3"/>
        <w:numPr>
          <w:numId w:val="0"/>
        </w:numPr>
        <w:spacing w:before="0" w:beforeLines="0" w:after="0" w:afterLines="0"/>
        <w:ind w:left="709" w:leftChars="0"/>
        <w:rPr>
          <w:rFonts w:hint="eastAsia" w:ascii="楷体" w:hAnsi="楷体" w:eastAsia="楷体" w:cs="楷体"/>
          <w:b w:val="0"/>
          <w:bCs/>
          <w:szCs w:val="32"/>
          <w:lang w:eastAsia="zh-CN"/>
        </w:rPr>
      </w:pPr>
      <w:bookmarkStart w:id="111" w:name="_Toc29934"/>
      <w:bookmarkStart w:id="112" w:name="_Toc248617743"/>
      <w:bookmarkStart w:id="113" w:name="_Toc775929442"/>
      <w:bookmarkStart w:id="114" w:name="_Toc6302"/>
      <w:bookmarkStart w:id="115" w:name="_Toc1329064111"/>
      <w:bookmarkStart w:id="116" w:name="_Toc24814"/>
      <w:bookmarkStart w:id="117" w:name="_Toc20456"/>
      <w:bookmarkStart w:id="118" w:name="_Toc132480962"/>
      <w:bookmarkStart w:id="119" w:name="_Toc1380451464"/>
      <w:r>
        <w:rPr>
          <w:rFonts w:hint="eastAsia" w:ascii="楷体" w:hAnsi="楷体" w:eastAsia="楷体" w:cs="楷体"/>
          <w:b w:val="0"/>
          <w:bCs/>
          <w:szCs w:val="32"/>
          <w:lang w:eastAsia="zh-CN"/>
        </w:rPr>
        <w:t>（一）绩效评价目的</w:t>
      </w:r>
      <w:bookmarkEnd w:id="111"/>
      <w:bookmarkEnd w:id="112"/>
      <w:bookmarkEnd w:id="113"/>
      <w:bookmarkEnd w:id="114"/>
      <w:bookmarkEnd w:id="115"/>
      <w:bookmarkEnd w:id="116"/>
      <w:bookmarkEnd w:id="117"/>
      <w:bookmarkEnd w:id="118"/>
      <w:bookmarkEnd w:id="119"/>
    </w:p>
    <w:p>
      <w:pPr>
        <w:ind w:firstLine="640"/>
        <w:rPr>
          <w:rFonts w:hint="eastAsia" w:ascii="仿宋" w:hAnsi="仿宋" w:eastAsia="仿宋" w:cs="仿宋"/>
          <w:bCs/>
          <w:szCs w:val="32"/>
          <w:lang w:eastAsia="zh-CN"/>
        </w:rPr>
      </w:pPr>
      <w:r>
        <w:rPr>
          <w:rFonts w:ascii="仿宋" w:hAnsi="仿宋" w:eastAsia="仿宋" w:cs="仿宋"/>
          <w:bCs/>
          <w:szCs w:val="32"/>
          <w:lang w:eastAsia="zh-CN"/>
        </w:rPr>
        <w:t>根据《</w:t>
      </w:r>
      <w:r>
        <w:rPr>
          <w:rFonts w:hint="eastAsia"/>
          <w:lang w:val="en-US" w:eastAsia="zh-CN"/>
        </w:rPr>
        <w:t>乐山市金口河区财政局关于委托金口河区财政投资评价审核中心开展2025年事前绩效评估工作的函</w:t>
      </w:r>
      <w:r>
        <w:rPr>
          <w:rFonts w:ascii="仿宋" w:hAnsi="仿宋" w:eastAsia="仿宋" w:cs="仿宋"/>
          <w:bCs/>
          <w:szCs w:val="32"/>
          <w:lang w:eastAsia="zh-CN"/>
        </w:rPr>
        <w:t>》，</w:t>
      </w:r>
      <w:r>
        <w:rPr>
          <w:rFonts w:hint="eastAsia" w:ascii="仿宋" w:hAnsi="仿宋" w:eastAsia="仿宋" w:cs="仿宋"/>
          <w:bCs/>
          <w:szCs w:val="32"/>
          <w:lang w:val="en-US" w:eastAsia="zh-CN"/>
        </w:rPr>
        <w:t>金口河区财政局在各预算单位对2025年年初预算资金进行事前自评的基础上，按照“资金量较大、代表性较强、社会关注度较高、资金分配覆盖广且连续实施”的原则，委托我中心对森林火灾风险普查项目进行评估。</w:t>
      </w:r>
      <w:r>
        <w:rPr>
          <w:rFonts w:ascii="仿宋" w:hAnsi="仿宋" w:eastAsia="仿宋" w:cs="仿宋"/>
          <w:bCs/>
          <w:szCs w:val="32"/>
          <w:lang w:eastAsia="zh-CN"/>
        </w:rPr>
        <w:t>本项目的绩效评估主要判断项目申请资金支持的必要性和可行性，重点论证项目实施</w:t>
      </w:r>
      <w:r>
        <w:rPr>
          <w:rFonts w:ascii="仿宋" w:hAnsi="仿宋" w:eastAsia="仿宋" w:cs="仿宋"/>
          <w:bCs/>
          <w:szCs w:val="32"/>
          <w:highlight w:val="none"/>
          <w:lang w:eastAsia="zh-CN"/>
        </w:rPr>
        <w:t>的必要性、公益性、收益性；</w:t>
      </w:r>
      <w:r>
        <w:rPr>
          <w:rFonts w:ascii="仿宋" w:hAnsi="仿宋" w:eastAsia="仿宋" w:cs="仿宋"/>
          <w:bCs/>
          <w:szCs w:val="32"/>
          <w:lang w:eastAsia="zh-CN"/>
        </w:rPr>
        <w:t>项目建设投资合规性与项目成熟度；项目资金来源和到位可行性；项目绩效目标合理性、事前绩效评估论证结果。</w:t>
      </w:r>
    </w:p>
    <w:p>
      <w:pPr>
        <w:pStyle w:val="3"/>
        <w:numPr>
          <w:ilvl w:val="0"/>
          <w:numId w:val="0"/>
        </w:numPr>
        <w:spacing w:before="0" w:beforeLines="0" w:after="0" w:afterLines="0"/>
        <w:ind w:left="709" w:leftChars="0"/>
        <w:rPr>
          <w:rFonts w:hint="eastAsia" w:ascii="楷体" w:hAnsi="楷体" w:eastAsia="楷体" w:cs="楷体"/>
          <w:b w:val="0"/>
          <w:bCs/>
          <w:szCs w:val="32"/>
          <w:lang w:eastAsia="zh-CN"/>
        </w:rPr>
      </w:pPr>
      <w:bookmarkStart w:id="120" w:name="_Toc2011308256"/>
      <w:bookmarkStart w:id="121" w:name="_Toc1343165574"/>
      <w:bookmarkStart w:id="122" w:name="_Toc15142"/>
      <w:bookmarkStart w:id="123" w:name="_Toc8572"/>
      <w:bookmarkStart w:id="124" w:name="_Toc1814348475"/>
      <w:bookmarkStart w:id="125" w:name="_Toc132480963"/>
      <w:bookmarkStart w:id="126" w:name="_Toc166470150"/>
      <w:bookmarkStart w:id="127" w:name="_Toc32534"/>
      <w:bookmarkStart w:id="128" w:name="_Toc6017"/>
      <w:r>
        <w:rPr>
          <w:rFonts w:hint="eastAsia" w:ascii="楷体" w:hAnsi="楷体" w:cs="楷体"/>
          <w:b w:val="0"/>
          <w:bCs/>
          <w:szCs w:val="32"/>
          <w:lang w:eastAsia="zh-CN"/>
        </w:rPr>
        <w:t>（二）</w:t>
      </w:r>
      <w:r>
        <w:rPr>
          <w:rFonts w:hint="eastAsia" w:ascii="楷体" w:hAnsi="楷体" w:eastAsia="楷体" w:cs="楷体"/>
          <w:b w:val="0"/>
          <w:bCs/>
          <w:szCs w:val="32"/>
          <w:lang w:eastAsia="zh-CN"/>
        </w:rPr>
        <w:t>绩效评价</w:t>
      </w:r>
      <w:bookmarkEnd w:id="120"/>
      <w:bookmarkEnd w:id="121"/>
      <w:bookmarkEnd w:id="122"/>
      <w:bookmarkEnd w:id="123"/>
      <w:bookmarkEnd w:id="124"/>
      <w:bookmarkEnd w:id="125"/>
      <w:bookmarkEnd w:id="126"/>
      <w:bookmarkEnd w:id="127"/>
      <w:r>
        <w:rPr>
          <w:rFonts w:hint="eastAsia" w:ascii="楷体" w:hAnsi="楷体" w:eastAsia="楷体" w:cs="楷体"/>
          <w:b w:val="0"/>
          <w:bCs/>
          <w:szCs w:val="32"/>
          <w:lang w:eastAsia="zh-CN"/>
        </w:rPr>
        <w:t>指标</w:t>
      </w:r>
      <w:bookmarkEnd w:id="128"/>
    </w:p>
    <w:p>
      <w:pPr>
        <w:ind w:firstLine="640"/>
        <w:rPr>
          <w:rFonts w:ascii="仿宋" w:hAnsi="仿宋" w:eastAsia="仿宋" w:cs="仿宋"/>
          <w:bCs/>
          <w:szCs w:val="32"/>
          <w:highlight w:val="none"/>
          <w:lang w:eastAsia="zh-CN"/>
        </w:rPr>
      </w:pPr>
      <w:r>
        <w:rPr>
          <w:rFonts w:hint="eastAsia" w:ascii="仿宋" w:hAnsi="仿宋" w:eastAsia="仿宋" w:cs="仿宋"/>
          <w:bCs/>
          <w:szCs w:val="32"/>
          <w:lang w:eastAsia="zh-CN"/>
        </w:rPr>
        <w:t>森林火灾风险普查专项经费</w:t>
      </w:r>
      <w:r>
        <w:rPr>
          <w:rFonts w:ascii="仿宋" w:hAnsi="仿宋" w:eastAsia="仿宋" w:cs="仿宋"/>
          <w:bCs/>
          <w:szCs w:val="32"/>
          <w:lang w:eastAsia="zh-CN"/>
        </w:rPr>
        <w:t>事前绩效评估指标直接影响绩效评估结果的有效性，设计和选择评估指标时，评估工作小组遵循“相关性、经济性、可比性、重要性”的原则，通过对</w:t>
      </w:r>
      <w:r>
        <w:rPr>
          <w:rFonts w:hint="eastAsia" w:ascii="仿宋" w:hAnsi="仿宋" w:eastAsia="仿宋" w:cs="仿宋"/>
          <w:bCs/>
          <w:szCs w:val="32"/>
          <w:lang w:eastAsia="zh-CN"/>
        </w:rPr>
        <w:t>森林火灾风险普查专项经费</w:t>
      </w:r>
      <w:r>
        <w:rPr>
          <w:rFonts w:ascii="仿宋" w:hAnsi="仿宋" w:eastAsia="仿宋" w:cs="仿宋"/>
          <w:bCs/>
          <w:szCs w:val="32"/>
          <w:lang w:eastAsia="zh-CN"/>
        </w:rPr>
        <w:t>相关文件的学习理解、对项目特点的深入研究以及对项目资料的整理分析的基础上，设计形成事前绩效评估</w:t>
      </w:r>
      <w:r>
        <w:rPr>
          <w:rFonts w:ascii="仿宋" w:hAnsi="仿宋" w:eastAsia="仿宋" w:cs="仿宋"/>
          <w:bCs/>
          <w:szCs w:val="32"/>
          <w:highlight w:val="none"/>
          <w:lang w:eastAsia="zh-CN"/>
        </w:rPr>
        <w:t>体系。绩效评估总分100分，共设置一级指标</w:t>
      </w:r>
      <w:r>
        <w:rPr>
          <w:rFonts w:hint="eastAsia" w:ascii="仿宋" w:hAnsi="仿宋" w:eastAsia="仿宋" w:cs="仿宋"/>
          <w:bCs/>
          <w:szCs w:val="32"/>
          <w:highlight w:val="none"/>
          <w:lang w:val="en-US" w:eastAsia="zh-CN"/>
        </w:rPr>
        <w:t>8</w:t>
      </w:r>
      <w:r>
        <w:rPr>
          <w:rFonts w:ascii="仿宋" w:hAnsi="仿宋" w:eastAsia="仿宋" w:cs="仿宋"/>
          <w:bCs/>
          <w:szCs w:val="32"/>
          <w:highlight w:val="none"/>
          <w:lang w:eastAsia="zh-CN"/>
        </w:rPr>
        <w:t>个，分值分别为1</w:t>
      </w:r>
      <w:r>
        <w:rPr>
          <w:rFonts w:hint="eastAsia" w:ascii="仿宋" w:hAnsi="仿宋" w:eastAsia="仿宋" w:cs="仿宋"/>
          <w:bCs/>
          <w:szCs w:val="32"/>
          <w:highlight w:val="none"/>
          <w:lang w:val="en-US" w:eastAsia="zh-CN"/>
        </w:rPr>
        <w:t>6</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8</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2</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2</w:t>
      </w:r>
      <w:r>
        <w:rPr>
          <w:rFonts w:ascii="仿宋" w:hAnsi="仿宋" w:eastAsia="仿宋" w:cs="仿宋"/>
          <w:bCs/>
          <w:szCs w:val="32"/>
          <w:highlight w:val="none"/>
          <w:lang w:eastAsia="zh-CN"/>
        </w:rPr>
        <w:t>分、1</w:t>
      </w:r>
      <w:r>
        <w:rPr>
          <w:rFonts w:hint="eastAsia" w:ascii="仿宋" w:hAnsi="仿宋" w:eastAsia="仿宋" w:cs="仿宋"/>
          <w:bCs/>
          <w:szCs w:val="32"/>
          <w:highlight w:val="none"/>
          <w:lang w:val="en-US" w:eastAsia="zh-CN"/>
        </w:rPr>
        <w:t>3</w:t>
      </w:r>
      <w:r>
        <w:rPr>
          <w:rFonts w:ascii="仿宋" w:hAnsi="仿宋" w:eastAsia="仿宋" w:cs="仿宋"/>
          <w:bCs/>
          <w:szCs w:val="32"/>
          <w:highlight w:val="none"/>
          <w:lang w:eastAsia="zh-CN"/>
        </w:rPr>
        <w:t>分、</w:t>
      </w:r>
      <w:r>
        <w:rPr>
          <w:rFonts w:hint="eastAsia" w:ascii="仿宋" w:hAnsi="仿宋" w:eastAsia="仿宋" w:cs="仿宋"/>
          <w:bCs/>
          <w:szCs w:val="32"/>
          <w:highlight w:val="none"/>
          <w:lang w:val="en-US" w:eastAsia="zh-CN"/>
        </w:rPr>
        <w:t>8</w:t>
      </w:r>
      <w:r>
        <w:rPr>
          <w:rFonts w:ascii="仿宋" w:hAnsi="仿宋" w:eastAsia="仿宋" w:cs="仿宋"/>
          <w:bCs/>
          <w:szCs w:val="32"/>
          <w:highlight w:val="none"/>
          <w:lang w:eastAsia="zh-CN"/>
        </w:rPr>
        <w:t>分</w:t>
      </w:r>
      <w:r>
        <w:rPr>
          <w:rFonts w:hint="eastAsia" w:ascii="仿宋" w:hAnsi="仿宋" w:eastAsia="仿宋" w:cs="仿宋"/>
          <w:bCs/>
          <w:szCs w:val="32"/>
          <w:highlight w:val="none"/>
          <w:lang w:eastAsia="zh-CN"/>
        </w:rPr>
        <w:t>、</w:t>
      </w:r>
      <w:r>
        <w:rPr>
          <w:rFonts w:hint="eastAsia" w:ascii="仿宋" w:hAnsi="仿宋" w:eastAsia="仿宋" w:cs="仿宋"/>
          <w:bCs/>
          <w:szCs w:val="32"/>
          <w:highlight w:val="none"/>
          <w:lang w:val="en-US" w:eastAsia="zh-CN"/>
        </w:rPr>
        <w:t>9分</w:t>
      </w:r>
      <w:r>
        <w:rPr>
          <w:rFonts w:ascii="仿宋" w:hAnsi="仿宋" w:eastAsia="仿宋" w:cs="仿宋"/>
          <w:bCs/>
          <w:szCs w:val="32"/>
          <w:highlight w:val="none"/>
          <w:lang w:eastAsia="zh-CN"/>
        </w:rPr>
        <w:t>和12分，设置二级指标15个，重点论证立项必要性、绩效目标合理性、实施方案可行性、</w:t>
      </w:r>
      <w:r>
        <w:rPr>
          <w:rFonts w:hint="eastAsia" w:ascii="仿宋" w:hAnsi="仿宋" w:eastAsia="仿宋" w:cs="仿宋"/>
          <w:bCs/>
          <w:szCs w:val="32"/>
          <w:highlight w:val="none"/>
          <w:lang w:val="en-US" w:eastAsia="zh-CN"/>
        </w:rPr>
        <w:t>实施成果</w:t>
      </w:r>
      <w:r>
        <w:rPr>
          <w:rFonts w:ascii="仿宋" w:hAnsi="仿宋" w:eastAsia="仿宋" w:cs="仿宋"/>
          <w:bCs/>
          <w:szCs w:val="32"/>
          <w:highlight w:val="none"/>
          <w:lang w:eastAsia="zh-CN"/>
        </w:rPr>
        <w:t>合规性等方面，全面评估该项目的的预期绩效情况。</w:t>
      </w:r>
    </w:p>
    <w:p>
      <w:pPr>
        <w:pStyle w:val="3"/>
        <w:numPr>
          <w:ilvl w:val="0"/>
          <w:numId w:val="0"/>
        </w:numPr>
        <w:spacing w:before="0" w:beforeLines="0" w:after="0" w:afterLines="0"/>
        <w:ind w:left="709" w:leftChars="0"/>
        <w:rPr>
          <w:rFonts w:hint="eastAsia" w:ascii="楷体" w:hAnsi="楷体" w:cs="楷体"/>
          <w:b w:val="0"/>
          <w:bCs/>
          <w:szCs w:val="32"/>
          <w:lang w:eastAsia="zh-CN"/>
        </w:rPr>
      </w:pPr>
      <w:bookmarkStart w:id="129" w:name="_Toc9410"/>
      <w:bookmarkStart w:id="130" w:name="_Toc130033892"/>
      <w:bookmarkStart w:id="131" w:name="_Toc11904"/>
      <w:bookmarkStart w:id="132" w:name="_Toc27238"/>
      <w:bookmarkStart w:id="133" w:name="_Toc22272"/>
      <w:bookmarkStart w:id="134" w:name="_Toc133498040"/>
      <w:bookmarkStart w:id="135" w:name="_Toc9540"/>
      <w:r>
        <w:rPr>
          <w:rFonts w:hint="eastAsia" w:ascii="楷体" w:hAnsi="楷体" w:cs="楷体"/>
          <w:b w:val="0"/>
          <w:bCs/>
          <w:szCs w:val="32"/>
          <w:lang w:eastAsia="zh-CN"/>
        </w:rPr>
        <w:t>（三）评价依据</w:t>
      </w:r>
      <w:bookmarkEnd w:id="129"/>
      <w:bookmarkEnd w:id="130"/>
      <w:bookmarkEnd w:id="131"/>
      <w:bookmarkEnd w:id="132"/>
      <w:bookmarkEnd w:id="133"/>
      <w:bookmarkEnd w:id="134"/>
      <w:bookmarkEnd w:id="135"/>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1.</w:t>
      </w:r>
      <w:r>
        <w:rPr>
          <w:rFonts w:hint="eastAsia" w:ascii="仿宋" w:hAnsi="仿宋" w:eastAsia="仿宋" w:cs="仿宋"/>
          <w:bCs/>
          <w:szCs w:val="32"/>
          <w:lang w:eastAsia="zh-CN"/>
        </w:rPr>
        <w:t>乐山市</w:t>
      </w:r>
      <w:r>
        <w:rPr>
          <w:rFonts w:hint="eastAsia" w:ascii="仿宋" w:hAnsi="仿宋" w:eastAsia="仿宋" w:cs="仿宋"/>
          <w:bCs/>
          <w:szCs w:val="32"/>
          <w:highlight w:val="none"/>
          <w:lang w:eastAsia="zh-CN"/>
        </w:rPr>
        <w:t>金口河区</w:t>
      </w:r>
      <w:r>
        <w:rPr>
          <w:rFonts w:hint="eastAsia" w:ascii="仿宋" w:hAnsi="仿宋" w:eastAsia="仿宋" w:cs="仿宋"/>
          <w:bCs/>
          <w:szCs w:val="32"/>
          <w:lang w:eastAsia="zh-CN"/>
        </w:rPr>
        <w:t>第一次森林火灾风险普查工作方案；</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2.</w:t>
      </w:r>
      <w:r>
        <w:rPr>
          <w:rFonts w:hint="eastAsia" w:ascii="仿宋" w:hAnsi="仿宋" w:eastAsia="仿宋" w:cs="仿宋"/>
          <w:bCs/>
          <w:szCs w:val="32"/>
          <w:lang w:eastAsia="zh-CN"/>
        </w:rPr>
        <w:t>项目单位提供的相关资料；</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Cs/>
          <w:szCs w:val="32"/>
          <w:lang w:eastAsia="zh-CN"/>
        </w:rPr>
        <w:t>《中共中央国务院关于全面实施预算绩效管理的意见》（中发〔2018〕34号）；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4.</w:t>
      </w:r>
      <w:r>
        <w:rPr>
          <w:rFonts w:hint="eastAsia" w:ascii="仿宋" w:hAnsi="仿宋" w:eastAsia="仿宋" w:cs="仿宋"/>
          <w:bCs/>
          <w:szCs w:val="32"/>
          <w:lang w:eastAsia="zh-CN"/>
        </w:rPr>
        <w:t>《国务院办公厅关于开展第一次全国自然灾害综合风险普查的通知》（国办发〔2020〕12号）；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5.</w:t>
      </w:r>
      <w:r>
        <w:rPr>
          <w:rFonts w:hint="eastAsia" w:ascii="仿宋" w:hAnsi="仿宋" w:eastAsia="仿宋" w:cs="仿宋"/>
          <w:bCs/>
          <w:szCs w:val="32"/>
          <w:lang w:eastAsia="zh-CN"/>
        </w:rPr>
        <w:t>《中共四川省委四川省人民政府关于全面实施预算绩效管理的实施意见》（川委发〔2019〕8号）；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6.</w:t>
      </w:r>
      <w:r>
        <w:rPr>
          <w:rFonts w:hint="eastAsia" w:ascii="仿宋" w:hAnsi="仿宋" w:eastAsia="仿宋" w:cs="仿宋"/>
          <w:bCs/>
          <w:szCs w:val="32"/>
          <w:lang w:eastAsia="zh-CN"/>
        </w:rPr>
        <w:t>《四川省人民政府办公厅关于开展四川省第一次全国自然灾害综合风险普查的通知》(川办发〔2020〕58号)；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7.</w:t>
      </w:r>
      <w:r>
        <w:rPr>
          <w:rFonts w:hint="eastAsia" w:ascii="仿宋" w:hAnsi="仿宋" w:eastAsia="仿宋" w:cs="仿宋"/>
          <w:bCs/>
          <w:szCs w:val="32"/>
          <w:lang w:eastAsia="zh-CN"/>
        </w:rPr>
        <w:t>《四川省林业和草原局关于开展第一次森林草原火灾风险普查工作的通知》</w:t>
      </w:r>
      <w:bookmarkStart w:id="136" w:name="OLE_LINK1"/>
      <w:r>
        <w:rPr>
          <w:rFonts w:hint="eastAsia" w:ascii="仿宋" w:hAnsi="仿宋" w:eastAsia="仿宋" w:cs="仿宋"/>
          <w:bCs/>
          <w:szCs w:val="32"/>
          <w:lang w:eastAsia="zh-CN"/>
        </w:rPr>
        <w:t>（川林发〔2020〕46号）</w:t>
      </w:r>
      <w:bookmarkEnd w:id="136"/>
      <w:r>
        <w:rPr>
          <w:rFonts w:hint="eastAsia" w:ascii="仿宋" w:hAnsi="仿宋" w:eastAsia="仿宋" w:cs="仿宋"/>
          <w:bCs/>
          <w:szCs w:val="32"/>
          <w:lang w:eastAsia="zh-CN"/>
        </w:rPr>
        <w:t>；</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8.</w:t>
      </w:r>
      <w:r>
        <w:rPr>
          <w:rFonts w:hint="eastAsia" w:ascii="仿宋" w:hAnsi="仿宋" w:eastAsia="仿宋" w:cs="仿宋"/>
          <w:bCs/>
          <w:szCs w:val="32"/>
          <w:lang w:eastAsia="zh-CN"/>
        </w:rPr>
        <w:t>《四川省第一次森林和草原火灾风险普查工作领导小组办公室关于&lt;山市金口河区第一次森林火灾风险普查工作方案&gt;的批复》（川火普办审〔2021〕146号）；</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9.</w:t>
      </w:r>
      <w:r>
        <w:rPr>
          <w:rFonts w:hint="eastAsia" w:ascii="仿宋" w:hAnsi="仿宋" w:eastAsia="仿宋" w:cs="仿宋"/>
          <w:bCs/>
          <w:szCs w:val="32"/>
          <w:lang w:eastAsia="zh-CN"/>
        </w:rPr>
        <w:t>《中共乐山市委办公室乐山市人民政府办公室&lt;关于印发全面实施预算绩效管理实施方案&gt;的通知》（乐委办发〔2020〕12号）；</w:t>
      </w:r>
    </w:p>
    <w:p>
      <w:pPr>
        <w:ind w:firstLine="640"/>
        <w:rPr>
          <w:rFonts w:hint="eastAsia" w:ascii="仿宋" w:hAnsi="仿宋" w:eastAsia="仿宋" w:cs="仿宋"/>
          <w:bCs/>
          <w:szCs w:val="32"/>
          <w:lang w:eastAsia="zh-CN"/>
        </w:rPr>
      </w:pPr>
      <w:bookmarkStart w:id="137" w:name="_Toc8759"/>
      <w:bookmarkStart w:id="138" w:name="_Toc4268"/>
      <w:bookmarkStart w:id="139" w:name="_Toc13032"/>
      <w:r>
        <w:rPr>
          <w:rFonts w:hint="eastAsia" w:ascii="仿宋" w:hAnsi="仿宋" w:eastAsia="仿宋" w:cs="仿宋"/>
          <w:bCs/>
          <w:szCs w:val="32"/>
          <w:lang w:val="en-US" w:eastAsia="zh-CN"/>
        </w:rPr>
        <w:t>10.</w:t>
      </w:r>
      <w:r>
        <w:rPr>
          <w:rFonts w:hint="eastAsia" w:ascii="仿宋" w:hAnsi="仿宋" w:eastAsia="仿宋" w:cs="仿宋"/>
          <w:bCs/>
          <w:szCs w:val="32"/>
          <w:lang w:eastAsia="zh-CN"/>
        </w:rPr>
        <w:t>《金口河区区级预算事前绩效评估管理暂行办法》；</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11.</w:t>
      </w:r>
      <w:r>
        <w:rPr>
          <w:rFonts w:hint="eastAsia" w:ascii="仿宋" w:hAnsi="仿宋" w:eastAsia="仿宋" w:cs="仿宋"/>
          <w:bCs/>
          <w:szCs w:val="32"/>
          <w:lang w:eastAsia="zh-CN"/>
        </w:rPr>
        <w:t>其他与本次评价相关的制度、文件等资料。</w:t>
      </w:r>
      <w:bookmarkEnd w:id="137"/>
      <w:bookmarkEnd w:id="138"/>
      <w:bookmarkEnd w:id="139"/>
    </w:p>
    <w:p>
      <w:pPr>
        <w:pStyle w:val="3"/>
        <w:numPr>
          <w:ilvl w:val="0"/>
          <w:numId w:val="0"/>
        </w:numPr>
        <w:spacing w:before="0" w:beforeLines="0" w:after="0" w:afterLines="0"/>
        <w:ind w:left="709" w:leftChars="0"/>
        <w:rPr>
          <w:rFonts w:hint="eastAsia" w:ascii="楷体" w:hAnsi="楷体" w:cs="楷体"/>
          <w:b w:val="0"/>
          <w:bCs/>
          <w:szCs w:val="32"/>
          <w:lang w:eastAsia="zh-CN"/>
        </w:rPr>
      </w:pPr>
      <w:bookmarkStart w:id="140" w:name="_Toc5444"/>
      <w:bookmarkStart w:id="141" w:name="_Toc133498039"/>
      <w:bookmarkStart w:id="142" w:name="_Toc1840102656"/>
      <w:bookmarkStart w:id="143" w:name="_Toc2097"/>
      <w:bookmarkStart w:id="144" w:name="_Toc130033891"/>
      <w:bookmarkStart w:id="145" w:name="_Toc1492000300_WPSOffice_Level3"/>
      <w:bookmarkStart w:id="146" w:name="_Toc28796"/>
      <w:bookmarkStart w:id="147" w:name="_Toc1634515572"/>
      <w:bookmarkStart w:id="148" w:name="_Toc235704954"/>
      <w:bookmarkStart w:id="149" w:name="_Toc24196"/>
      <w:bookmarkStart w:id="150" w:name="_Toc13724"/>
      <w:bookmarkStart w:id="151" w:name="_Toc15390"/>
      <w:bookmarkStart w:id="152" w:name="_Toc517771165"/>
      <w:bookmarkStart w:id="153" w:name="_Toc6461"/>
      <w:bookmarkStart w:id="154" w:name="_Toc130033893"/>
      <w:bookmarkStart w:id="155" w:name="_Toc15014"/>
      <w:bookmarkStart w:id="156" w:name="_Toc576232511"/>
      <w:bookmarkStart w:id="157" w:name="_Toc2029979728_WPSOffice_Level3"/>
      <w:bookmarkStart w:id="158" w:name="_Toc693338945"/>
      <w:bookmarkStart w:id="159" w:name="_Toc9201"/>
      <w:bookmarkStart w:id="160" w:name="_Toc24488"/>
      <w:bookmarkStart w:id="161" w:name="_Toc1533316810"/>
      <w:bookmarkStart w:id="162" w:name="_Toc692406180"/>
      <w:bookmarkStart w:id="163" w:name="_Toc30726"/>
      <w:bookmarkStart w:id="164" w:name="_Toc133498041"/>
      <w:r>
        <w:rPr>
          <w:rFonts w:hint="eastAsia" w:ascii="楷体" w:hAnsi="楷体" w:cs="楷体"/>
          <w:b w:val="0"/>
          <w:bCs/>
          <w:szCs w:val="32"/>
          <w:lang w:eastAsia="zh-CN"/>
        </w:rPr>
        <w:t>（四）绩效评价原则</w:t>
      </w:r>
      <w:bookmarkEnd w:id="140"/>
      <w:bookmarkEnd w:id="141"/>
      <w:bookmarkEnd w:id="142"/>
      <w:bookmarkEnd w:id="143"/>
      <w:bookmarkEnd w:id="144"/>
      <w:bookmarkEnd w:id="145"/>
      <w:bookmarkEnd w:id="146"/>
      <w:bookmarkEnd w:id="147"/>
      <w:bookmarkEnd w:id="148"/>
      <w:bookmarkEnd w:id="149"/>
      <w:bookmarkEnd w:id="150"/>
      <w:bookmarkEnd w:id="151"/>
      <w:bookmarkEnd w:id="152"/>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1.</w:t>
      </w:r>
      <w:r>
        <w:rPr>
          <w:rFonts w:hint="eastAsia" w:ascii="仿宋" w:hAnsi="仿宋" w:eastAsia="仿宋" w:cs="仿宋"/>
          <w:bCs/>
          <w:szCs w:val="32"/>
          <w:lang w:eastAsia="zh-CN"/>
        </w:rPr>
        <w:t>科学规范原则。绩效评价应当严格执行规定的程序，</w:t>
      </w:r>
      <w:r>
        <w:rPr>
          <w:rFonts w:hint="eastAsia" w:ascii="仿宋" w:hAnsi="仿宋" w:eastAsia="仿宋" w:cs="仿宋"/>
          <w:bCs/>
          <w:spacing w:val="1"/>
          <w:szCs w:val="32"/>
          <w:lang w:eastAsia="zh-CN"/>
        </w:rPr>
        <w:t>按科学可行的要求，</w:t>
      </w:r>
      <w:r>
        <w:rPr>
          <w:rFonts w:hint="eastAsia" w:ascii="仿宋" w:hAnsi="仿宋" w:eastAsia="仿宋" w:cs="仿宋"/>
          <w:bCs/>
          <w:szCs w:val="32"/>
          <w:lang w:eastAsia="zh-CN"/>
        </w:rPr>
        <w:t>采用定量与定性分析相结合、理论与实践相结合的方法设计合理的评估指标体系。</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2.</w:t>
      </w:r>
      <w:r>
        <w:rPr>
          <w:rFonts w:hint="eastAsia" w:ascii="仿宋" w:hAnsi="仿宋" w:eastAsia="仿宋" w:cs="仿宋"/>
          <w:bCs/>
          <w:szCs w:val="32"/>
          <w:lang w:eastAsia="zh-CN"/>
        </w:rPr>
        <w:t>公正公开原则。绩效评价应当符合真实、客观、公正</w:t>
      </w:r>
      <w:r>
        <w:rPr>
          <w:rFonts w:hint="eastAsia" w:ascii="仿宋" w:hAnsi="仿宋" w:eastAsia="仿宋" w:cs="仿宋"/>
          <w:bCs/>
          <w:spacing w:val="-2"/>
          <w:szCs w:val="32"/>
          <w:lang w:eastAsia="zh-CN"/>
        </w:rPr>
        <w:t>的要求，依法公开并接</w:t>
      </w:r>
      <w:r>
        <w:rPr>
          <w:rFonts w:hint="eastAsia" w:ascii="仿宋" w:hAnsi="仿宋" w:eastAsia="仿宋" w:cs="仿宋"/>
          <w:bCs/>
          <w:spacing w:val="-1"/>
          <w:szCs w:val="32"/>
          <w:lang w:eastAsia="zh-CN"/>
        </w:rPr>
        <w:t>受监督。</w:t>
      </w:r>
    </w:p>
    <w:p>
      <w:pPr>
        <w:ind w:firstLine="640"/>
        <w:rPr>
          <w:rFonts w:hint="eastAsia" w:ascii="仿宋" w:hAnsi="仿宋" w:eastAsia="仿宋" w:cs="仿宋"/>
          <w:bCs/>
          <w:szCs w:val="32"/>
          <w:lang w:eastAsia="zh-CN"/>
        </w:rPr>
      </w:pPr>
      <w:r>
        <w:rPr>
          <w:rFonts w:hint="eastAsia" w:ascii="仿宋" w:hAnsi="仿宋" w:eastAsia="仿宋" w:cs="仿宋"/>
          <w:bCs/>
          <w:szCs w:val="32"/>
          <w:lang w:val="en-US" w:eastAsia="zh-CN"/>
        </w:rPr>
        <w:t>3.</w:t>
      </w:r>
      <w:r>
        <w:rPr>
          <w:rFonts w:hint="eastAsia" w:ascii="仿宋" w:hAnsi="仿宋" w:eastAsia="仿宋" w:cs="仿宋"/>
          <w:bCs/>
          <w:szCs w:val="32"/>
          <w:lang w:eastAsia="zh-CN"/>
        </w:rPr>
        <w:t>利害关系回避原则。绩效评价工作由</w:t>
      </w:r>
      <w:r>
        <w:rPr>
          <w:rFonts w:ascii="仿宋" w:hAnsi="仿宋" w:eastAsia="仿宋" w:cs="仿宋"/>
          <w:szCs w:val="32"/>
          <w:lang w:eastAsia="zh-CN"/>
        </w:rPr>
        <w:t>乐山市金口河区财政投资评价审核中心</w:t>
      </w:r>
      <w:r>
        <w:rPr>
          <w:rFonts w:hint="eastAsia" w:ascii="仿宋" w:hAnsi="仿宋" w:eastAsia="仿宋" w:cs="仿宋"/>
          <w:bCs/>
          <w:szCs w:val="32"/>
          <w:lang w:eastAsia="zh-CN"/>
        </w:rPr>
        <w:t>进行实施。</w:t>
      </w:r>
    </w:p>
    <w:p>
      <w:pPr>
        <w:ind w:firstLine="640"/>
        <w:rPr>
          <w:rFonts w:hint="eastAsia" w:ascii="仿宋" w:hAnsi="仿宋" w:eastAsia="仿宋" w:cs="仿宋"/>
          <w:bCs/>
          <w:spacing w:val="-5"/>
          <w:szCs w:val="32"/>
          <w:lang w:eastAsia="zh-CN"/>
        </w:rPr>
      </w:pPr>
      <w:r>
        <w:rPr>
          <w:rFonts w:hint="eastAsia" w:ascii="仿宋" w:hAnsi="仿宋" w:eastAsia="仿宋" w:cs="仿宋"/>
          <w:bCs/>
          <w:szCs w:val="32"/>
          <w:lang w:val="en-US" w:eastAsia="zh-CN"/>
        </w:rPr>
        <w:t>4.</w:t>
      </w:r>
      <w:r>
        <w:rPr>
          <w:rFonts w:hint="eastAsia" w:ascii="仿宋" w:hAnsi="仿宋" w:eastAsia="仿宋" w:cs="仿宋"/>
          <w:bCs/>
          <w:szCs w:val="32"/>
          <w:lang w:eastAsia="zh-CN"/>
        </w:rPr>
        <w:t>绩效相关原则。本次事前绩效评估针对森林火灾风险普查专项经费预算金额及其预期绩效进行，评价结果清晰地反映两者之间的紧密对应关系。</w:t>
      </w:r>
    </w:p>
    <w:p>
      <w:pPr>
        <w:pStyle w:val="3"/>
        <w:numPr>
          <w:ilvl w:val="0"/>
          <w:numId w:val="0"/>
        </w:numPr>
        <w:spacing w:before="0" w:beforeLines="0" w:after="0" w:afterLines="0"/>
        <w:ind w:left="709" w:leftChars="0"/>
        <w:rPr>
          <w:rFonts w:hint="eastAsia" w:ascii="楷体" w:hAnsi="楷体" w:cs="楷体"/>
          <w:b w:val="0"/>
          <w:bCs/>
          <w:szCs w:val="32"/>
          <w:lang w:eastAsia="zh-CN"/>
        </w:rPr>
      </w:pPr>
      <w:bookmarkStart w:id="165" w:name="_Toc4046"/>
      <w:r>
        <w:rPr>
          <w:rFonts w:hint="eastAsia" w:ascii="楷体" w:hAnsi="楷体" w:cs="楷体"/>
          <w:b w:val="0"/>
          <w:bCs/>
          <w:szCs w:val="32"/>
          <w:lang w:eastAsia="zh-CN"/>
        </w:rPr>
        <w:t>（五）评价方法和等级设定</w:t>
      </w:r>
      <w:bookmarkEnd w:id="153"/>
      <w:bookmarkEnd w:id="154"/>
      <w:bookmarkEnd w:id="155"/>
      <w:bookmarkEnd w:id="156"/>
      <w:bookmarkEnd w:id="157"/>
      <w:bookmarkEnd w:id="158"/>
      <w:bookmarkEnd w:id="159"/>
      <w:bookmarkEnd w:id="160"/>
      <w:bookmarkEnd w:id="161"/>
      <w:bookmarkEnd w:id="162"/>
      <w:bookmarkEnd w:id="163"/>
      <w:bookmarkEnd w:id="164"/>
      <w:bookmarkEnd w:id="165"/>
    </w:p>
    <w:p>
      <w:pPr>
        <w:ind w:firstLine="640"/>
        <w:rPr>
          <w:rFonts w:ascii="仿宋" w:hAnsi="仿宋" w:eastAsia="仿宋" w:cs="仿宋"/>
          <w:bCs/>
          <w:szCs w:val="32"/>
          <w:lang w:eastAsia="zh-CN"/>
        </w:rPr>
      </w:pPr>
      <w:r>
        <w:rPr>
          <w:rFonts w:hint="eastAsia" w:ascii="仿宋" w:hAnsi="仿宋" w:eastAsia="仿宋" w:cs="仿宋"/>
          <w:bCs/>
          <w:szCs w:val="32"/>
          <w:lang w:eastAsia="zh-CN"/>
        </w:rPr>
        <w:t>本次绩效评估通过实施单位的数据填报,辅以评价工作小组实地调查、查阅问卷、听取汇报、查看项目管理及财务管理资料等方式收集信息，对拟使用资金项目的必要性、</w:t>
      </w:r>
      <w:r>
        <w:rPr>
          <w:rFonts w:hint="eastAsia" w:ascii="仿宋" w:hAnsi="仿宋" w:eastAsia="仿宋" w:cs="仿宋"/>
          <w:bCs/>
          <w:szCs w:val="32"/>
          <w:lang w:val="en-US" w:eastAsia="zh-CN"/>
        </w:rPr>
        <w:t>项目建设投资合规性、</w:t>
      </w:r>
      <w:r>
        <w:rPr>
          <w:rFonts w:hint="eastAsia" w:ascii="仿宋" w:hAnsi="仿宋" w:eastAsia="仿宋" w:cs="仿宋"/>
          <w:bCs/>
          <w:szCs w:val="32"/>
          <w:lang w:eastAsia="zh-CN"/>
        </w:rPr>
        <w:t>绩效目标的合理性、实施方案的</w:t>
      </w:r>
      <w:r>
        <w:rPr>
          <w:rFonts w:hint="eastAsia" w:ascii="仿宋" w:hAnsi="仿宋" w:eastAsia="仿宋" w:cs="仿宋"/>
          <w:bCs/>
          <w:szCs w:val="32"/>
          <w:lang w:val="en-US" w:eastAsia="zh-CN"/>
        </w:rPr>
        <w:t>有效</w:t>
      </w:r>
      <w:r>
        <w:rPr>
          <w:rFonts w:hint="eastAsia" w:ascii="仿宋" w:hAnsi="仿宋" w:eastAsia="仿宋" w:cs="仿宋"/>
          <w:bCs/>
          <w:szCs w:val="32"/>
          <w:lang w:eastAsia="zh-CN"/>
        </w:rPr>
        <w:t>性等方面进行评判、论证和审查。以定量考核与定性分析相结合，汇总形成评估综合得分。评估结论分为建议实施、建议调整后实施、建议不予实施三个等级，根据各项指标得分合计分数，确定综合评估结论。具体如下:</w:t>
      </w:r>
    </w:p>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事前绩效评估结论等级表</w:t>
      </w:r>
    </w:p>
    <w:tbl>
      <w:tblPr>
        <w:tblStyle w:val="22"/>
        <w:tblW w:w="87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1854"/>
        <w:gridCol w:w="2490"/>
        <w:gridCol w:w="2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评估结论</w:t>
            </w:r>
          </w:p>
        </w:tc>
        <w:tc>
          <w:tcPr>
            <w:tcW w:w="1854"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建议实施</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建议调整后实施</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建议不予实施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参考分值S</w:t>
            </w:r>
          </w:p>
        </w:tc>
        <w:tc>
          <w:tcPr>
            <w:tcW w:w="1854" w:type="dxa"/>
          </w:tcPr>
          <w:p>
            <w:pPr>
              <w:ind w:firstLine="0" w:firstLineChars="0"/>
              <w:jc w:val="center"/>
              <w:rPr>
                <w:rFonts w:hint="default" w:ascii="仿宋" w:hAnsi="仿宋" w:eastAsia="仿宋" w:cs="仿宋"/>
                <w:b w:val="0"/>
                <w:bCs/>
                <w:szCs w:val="32"/>
                <w:lang w:val="en-US" w:eastAsia="zh-CN"/>
              </w:rPr>
            </w:pPr>
            <w:r>
              <w:rPr>
                <w:rFonts w:hint="eastAsia" w:ascii="仿宋" w:hAnsi="仿宋" w:eastAsia="仿宋" w:cs="仿宋"/>
                <w:b w:val="0"/>
                <w:bCs/>
                <w:szCs w:val="32"/>
                <w:lang w:eastAsia="zh-CN"/>
              </w:rPr>
              <w:t>S≥9</w:t>
            </w:r>
            <w:r>
              <w:rPr>
                <w:rFonts w:hint="eastAsia" w:ascii="仿宋" w:hAnsi="仿宋" w:eastAsia="仿宋" w:cs="仿宋"/>
                <w:b w:val="0"/>
                <w:bCs/>
                <w:szCs w:val="32"/>
                <w:lang w:val="en-US" w:eastAsia="zh-CN"/>
              </w:rPr>
              <w:t>0</w:t>
            </w:r>
          </w:p>
        </w:tc>
        <w:tc>
          <w:tcPr>
            <w:tcW w:w="2490"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90&gt;S&gt;75</w:t>
            </w:r>
          </w:p>
        </w:tc>
        <w:tc>
          <w:tcPr>
            <w:tcW w:w="2191" w:type="dxa"/>
          </w:tcPr>
          <w:p>
            <w:pPr>
              <w:ind w:firstLine="0" w:firstLineChars="0"/>
              <w:jc w:val="center"/>
              <w:rPr>
                <w:rFonts w:hint="eastAsia" w:ascii="仿宋" w:hAnsi="仿宋" w:eastAsia="仿宋" w:cs="仿宋"/>
                <w:b w:val="0"/>
                <w:bCs/>
                <w:szCs w:val="32"/>
                <w:lang w:eastAsia="zh-CN"/>
              </w:rPr>
            </w:pPr>
            <w:r>
              <w:rPr>
                <w:rFonts w:hint="eastAsia" w:ascii="仿宋" w:hAnsi="仿宋" w:eastAsia="仿宋" w:cs="仿宋"/>
                <w:b w:val="0"/>
                <w:bCs/>
                <w:szCs w:val="32"/>
                <w:lang w:eastAsia="zh-CN"/>
              </w:rPr>
              <w:t>S&lt;75</w:t>
            </w:r>
          </w:p>
        </w:tc>
      </w:tr>
    </w:tbl>
    <w:p>
      <w:pPr>
        <w:pStyle w:val="3"/>
        <w:numPr>
          <w:ilvl w:val="0"/>
          <w:numId w:val="0"/>
        </w:numPr>
        <w:spacing w:before="0" w:beforeLines="0" w:after="0" w:afterLines="0"/>
        <w:ind w:left="709" w:leftChars="0"/>
        <w:rPr>
          <w:rFonts w:hint="eastAsia" w:ascii="楷体" w:hAnsi="楷体" w:cs="楷体"/>
          <w:b w:val="0"/>
          <w:bCs/>
          <w:szCs w:val="32"/>
          <w:lang w:eastAsia="zh-CN"/>
        </w:rPr>
      </w:pPr>
      <w:bookmarkStart w:id="166" w:name="_Toc21368"/>
      <w:r>
        <w:rPr>
          <w:rFonts w:hint="eastAsia" w:ascii="楷体" w:hAnsi="楷体" w:cs="楷体"/>
          <w:b w:val="0"/>
          <w:bCs/>
          <w:szCs w:val="32"/>
          <w:lang w:eastAsia="zh-CN"/>
        </w:rPr>
        <w:t>（六）评价程序</w:t>
      </w:r>
      <w:bookmarkEnd w:id="166"/>
    </w:p>
    <w:p>
      <w:pPr>
        <w:ind w:firstLine="640"/>
        <w:rPr>
          <w:rFonts w:hint="eastAsia" w:ascii="仿宋" w:hAnsi="仿宋" w:eastAsia="仿宋" w:cs="仿宋"/>
          <w:bCs/>
          <w:szCs w:val="32"/>
          <w:lang w:eastAsia="zh-CN"/>
        </w:rPr>
      </w:pPr>
      <w:r>
        <w:rPr>
          <w:rFonts w:hint="eastAsia" w:ascii="仿宋" w:hAnsi="仿宋" w:eastAsia="仿宋" w:cs="仿宋"/>
          <w:bCs/>
          <w:szCs w:val="32"/>
          <w:highlight w:val="none"/>
          <w:lang w:eastAsia="zh-CN"/>
        </w:rPr>
        <w:t>1.下达评估入户通</w:t>
      </w:r>
      <w:r>
        <w:rPr>
          <w:rFonts w:hint="eastAsia" w:ascii="仿宋" w:hAnsi="仿宋" w:eastAsia="仿宋" w:cs="仿宋"/>
          <w:bCs/>
          <w:szCs w:val="32"/>
          <w:lang w:eastAsia="zh-CN"/>
        </w:rPr>
        <w:t>知。绩效考评中心以入户通知书的形式通知项目单位，并明确评估的依据、内容、目的、任务、时间、要求等事项。</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2.拟定工作方案。评估工作组结合事前绩效评估工作要求，拟定《事前绩效评估工作方案》，包括评估对象、内容、方法、专家、时间安排等。</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3.组成评估小组。评估工作组遴选相关人员组成评估专家组，并适时开展业务培训。</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4.入户调研。评估工作组入户与被评估单位沟通，进一步熟悉项目内容;向项目单位出示《项目支出事前绩效评估资料准备清单》，指导项目单位填报《事前绩效评估项目申报书》、《项目支出绩效目标申报表》。</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5.现场调研。评估工作组在收集审核项目资料基础上进入现场进行调研。通过查阅资料、实地勘察、核实、了解项目具体内容、申报理由和项目实施的具体做法、依据等,将现场情况与上报资料进行对比,对项目疑点问题进行询问，听取并记录项目单位对有关问题的解释和答复。</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6.组织实施评估。绩效考评组召开评估会议，了解项目基本情况，听取项目单位情况介绍，进行现场评议。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(1)采取多种方式，多方获取信息。通过咨询专家、查阅资料、问卷调查、电话采访、集中座谈等方式，全面了解并收集项目信息。</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(2)评估人员出具个人意见，评估工作组形成初步意见。开评估成员会，项目单位汇报项目计划内容和实施方案情况，由评估工作组组织评估人员进行充分论证，出具评估人员个人意见，填写《项目支出事前绩效评估意见》。评估工作组综合调查分析结果，形成工作组初步意见。</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(3)确认工作组意见，得出评估结论。评估工作组将评估个人初步意见报送评估工作组征求意见，评估工作组综合完善意见后，得出最终评估结论，填写《项目支出事前绩效评估工作组汇总意见》。</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7.汇报绩效评估结论。完成最终评价报告，提出评估结论意见。</w:t>
      </w:r>
    </w:p>
    <w:p>
      <w:pPr>
        <w:pStyle w:val="3"/>
        <w:numPr>
          <w:ilvl w:val="0"/>
          <w:numId w:val="0"/>
        </w:numPr>
        <w:spacing w:before="0" w:beforeLines="0" w:after="0" w:afterLines="0"/>
        <w:ind w:left="709" w:leftChars="0"/>
        <w:rPr>
          <w:rFonts w:hint="eastAsia" w:ascii="楷体" w:hAnsi="楷体" w:cs="楷体"/>
          <w:b w:val="0"/>
          <w:bCs/>
          <w:szCs w:val="32"/>
          <w:lang w:eastAsia="zh-CN"/>
        </w:rPr>
      </w:pPr>
      <w:bookmarkStart w:id="167" w:name="_Toc28492"/>
      <w:r>
        <w:rPr>
          <w:rFonts w:hint="eastAsia" w:ascii="楷体" w:hAnsi="楷体" w:cs="楷体"/>
          <w:b w:val="0"/>
          <w:bCs/>
          <w:szCs w:val="32"/>
          <w:lang w:eastAsia="zh-CN"/>
        </w:rPr>
        <w:t>（七）论证思路及方法</w:t>
      </w:r>
      <w:bookmarkEnd w:id="167"/>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本次事前绩效评估主要针对项目</w:t>
      </w:r>
      <w:r>
        <w:rPr>
          <w:rFonts w:hint="eastAsia" w:ascii="仿宋" w:hAnsi="仿宋" w:eastAsia="仿宋" w:cs="仿宋"/>
          <w:bCs/>
          <w:szCs w:val="32"/>
          <w:lang w:val="en-US" w:eastAsia="zh-CN"/>
        </w:rPr>
        <w:t>实施的必要</w:t>
      </w:r>
      <w:r>
        <w:rPr>
          <w:rFonts w:hint="eastAsia" w:ascii="仿宋" w:hAnsi="仿宋" w:eastAsia="仿宋" w:cs="仿宋"/>
          <w:bCs/>
          <w:szCs w:val="32"/>
          <w:lang w:eastAsia="zh-CN"/>
        </w:rPr>
        <w:t>性、项目</w:t>
      </w:r>
      <w:r>
        <w:rPr>
          <w:rFonts w:hint="eastAsia" w:ascii="仿宋" w:hAnsi="仿宋" w:eastAsia="仿宋" w:cs="仿宋"/>
          <w:bCs/>
          <w:szCs w:val="32"/>
          <w:lang w:val="en-US" w:eastAsia="zh-CN"/>
        </w:rPr>
        <w:t>实施的合规性、</w:t>
      </w:r>
      <w:r>
        <w:rPr>
          <w:rFonts w:hint="eastAsia" w:ascii="仿宋" w:hAnsi="仿宋" w:eastAsia="仿宋" w:cs="仿宋"/>
          <w:bCs/>
          <w:szCs w:val="32"/>
          <w:lang w:eastAsia="zh-CN"/>
        </w:rPr>
        <w:t>项目实施方案的有效性、</w:t>
      </w:r>
      <w:r>
        <w:rPr>
          <w:rFonts w:hint="eastAsia" w:ascii="仿宋" w:hAnsi="仿宋" w:eastAsia="仿宋" w:cs="仿宋"/>
          <w:bCs/>
          <w:szCs w:val="32"/>
          <w:lang w:val="en-US" w:eastAsia="zh-CN"/>
        </w:rPr>
        <w:t>项目实施成果合格性、</w:t>
      </w:r>
      <w:r>
        <w:rPr>
          <w:rFonts w:hint="eastAsia" w:ascii="仿宋" w:hAnsi="仿宋" w:eastAsia="仿宋" w:cs="仿宋"/>
          <w:bCs/>
          <w:szCs w:val="32"/>
          <w:lang w:eastAsia="zh-CN"/>
        </w:rPr>
        <w:t>项目</w:t>
      </w:r>
      <w:r>
        <w:rPr>
          <w:rFonts w:hint="eastAsia" w:ascii="仿宋" w:hAnsi="仿宋" w:eastAsia="仿宋" w:cs="仿宋"/>
          <w:bCs/>
          <w:szCs w:val="32"/>
          <w:lang w:val="en-US" w:eastAsia="zh-CN"/>
        </w:rPr>
        <w:t>实施的</w:t>
      </w:r>
      <w:r>
        <w:rPr>
          <w:rFonts w:hint="eastAsia" w:ascii="仿宋" w:hAnsi="仿宋" w:eastAsia="仿宋" w:cs="仿宋"/>
          <w:bCs/>
          <w:szCs w:val="32"/>
          <w:lang w:eastAsia="zh-CN"/>
        </w:rPr>
        <w:t>可持续性等五方面进行综合评估、分析与论证，并提出相关建议。</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本次事前绩效评估主要采用效益分析、比较分析、因素分析、历史分析等方法进行论证。</w:t>
      </w:r>
    </w:p>
    <w:p>
      <w:pPr>
        <w:pStyle w:val="3"/>
        <w:numPr>
          <w:ilvl w:val="0"/>
          <w:numId w:val="0"/>
        </w:numPr>
        <w:spacing w:before="0" w:beforeLines="0" w:after="0" w:afterLines="0"/>
        <w:ind w:left="709" w:leftChars="0"/>
        <w:rPr>
          <w:rFonts w:hint="eastAsia" w:ascii="楷体" w:hAnsi="楷体" w:cs="楷体"/>
          <w:b w:val="0"/>
          <w:bCs/>
          <w:szCs w:val="32"/>
          <w:lang w:eastAsia="zh-CN"/>
        </w:rPr>
      </w:pPr>
      <w:bookmarkStart w:id="168" w:name="_Toc17481"/>
      <w:r>
        <w:rPr>
          <w:rFonts w:hint="eastAsia" w:ascii="楷体" w:hAnsi="楷体" w:cs="楷体"/>
          <w:b w:val="0"/>
          <w:bCs/>
          <w:szCs w:val="32"/>
          <w:lang w:eastAsia="zh-CN"/>
        </w:rPr>
        <w:t>（八）评估方式</w:t>
      </w:r>
      <w:bookmarkEnd w:id="168"/>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本次事前绩效评估遵循全面考虑、重点突出的原则，主要采用比较分析的方式，同时辅之以资料分析、集中座谈、网络查询、电话采访、抽样调查等评估方式或手段，对项目的相关性、可行性、持续性等方面进行全面评估。</w:t>
      </w:r>
    </w:p>
    <w:p>
      <w:pPr>
        <w:pStyle w:val="2"/>
        <w:numPr>
          <w:numId w:val="0"/>
        </w:numPr>
        <w:spacing w:before="0" w:beforeLines="0" w:after="0" w:afterLines="0"/>
        <w:ind w:leftChars="0" w:firstLine="640" w:firstLineChars="200"/>
        <w:rPr>
          <w:rFonts w:hint="eastAsia" w:ascii="黑体" w:hAnsi="黑体" w:eastAsia="黑体" w:cs="黑体"/>
          <w:b w:val="0"/>
          <w:bCs/>
          <w:szCs w:val="32"/>
          <w:lang w:eastAsia="zh-CN"/>
        </w:rPr>
      </w:pPr>
      <w:bookmarkStart w:id="169" w:name="_Toc27103"/>
      <w:bookmarkStart w:id="170" w:name="_Toc132480965"/>
      <w:bookmarkStart w:id="171" w:name="_Toc5665919"/>
      <w:bookmarkStart w:id="172" w:name="_Toc1850422540"/>
      <w:bookmarkStart w:id="173" w:name="_Toc2115246641_WPSOffice_Level1"/>
      <w:bookmarkStart w:id="174" w:name="_Toc2810"/>
      <w:bookmarkStart w:id="175" w:name="_Toc29976"/>
      <w:bookmarkStart w:id="176" w:name="_Toc5234"/>
      <w:bookmarkStart w:id="177" w:name="_Toc709323845"/>
      <w:bookmarkStart w:id="178" w:name="_Toc1232831072"/>
      <w:r>
        <w:rPr>
          <w:rFonts w:hint="eastAsia" w:ascii="黑体" w:hAnsi="黑体" w:eastAsia="黑体" w:cs="黑体"/>
          <w:b w:val="0"/>
          <w:bCs/>
          <w:szCs w:val="32"/>
          <w:lang w:eastAsia="zh-CN"/>
        </w:rPr>
        <w:t>三、事前绩效评估指标体系及得分情况</w:t>
      </w:r>
      <w:bookmarkEnd w:id="169"/>
      <w:bookmarkEnd w:id="170"/>
      <w:bookmarkEnd w:id="171"/>
      <w:bookmarkEnd w:id="172"/>
      <w:bookmarkEnd w:id="173"/>
      <w:bookmarkEnd w:id="174"/>
      <w:bookmarkEnd w:id="175"/>
      <w:bookmarkEnd w:id="176"/>
      <w:bookmarkEnd w:id="177"/>
      <w:bookmarkEnd w:id="178"/>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评估工作小组按照相关性、经济性、可行性、重要性、可比性、系统性及合理性原则，设置项目事前绩效评估指标体系，其中共包含</w:t>
      </w:r>
      <w:r>
        <w:rPr>
          <w:rFonts w:hint="eastAsia" w:ascii="仿宋" w:hAnsi="仿宋" w:eastAsia="仿宋" w:cs="仿宋"/>
          <w:szCs w:val="32"/>
          <w:lang w:eastAsia="zh-CN"/>
        </w:rPr>
        <w:t>8</w:t>
      </w:r>
      <w:r>
        <w:rPr>
          <w:rFonts w:ascii="仿宋" w:hAnsi="仿宋" w:eastAsia="仿宋" w:cs="仿宋"/>
          <w:szCs w:val="32"/>
          <w:lang w:eastAsia="zh-CN"/>
        </w:rPr>
        <w:t>个一级指标、15个二级指标以及</w:t>
      </w:r>
      <w:r>
        <w:rPr>
          <w:rFonts w:hint="eastAsia" w:ascii="仿宋" w:hAnsi="仿宋" w:eastAsia="仿宋" w:cs="仿宋"/>
          <w:szCs w:val="32"/>
          <w:lang w:val="en-US" w:eastAsia="zh-CN"/>
        </w:rPr>
        <w:t>30个</w:t>
      </w:r>
      <w:r>
        <w:rPr>
          <w:rFonts w:hint="eastAsia" w:ascii="仿宋" w:hAnsi="仿宋" w:eastAsia="仿宋" w:cs="仿宋"/>
          <w:bCs/>
          <w:szCs w:val="32"/>
          <w:lang w:eastAsia="zh-CN"/>
        </w:rPr>
        <w:t>三级指标，各项指标内容及得分情况详见下表：</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森林火灾风险普查专项经费</w:t>
      </w:r>
    </w:p>
    <w:p>
      <w:pPr>
        <w:ind w:firstLine="0" w:firstLineChars="0"/>
        <w:jc w:val="center"/>
        <w:rPr>
          <w:rFonts w:ascii="仿宋" w:hAnsi="仿宋" w:eastAsia="仿宋" w:cs="仿宋"/>
          <w:bCs/>
          <w:szCs w:val="32"/>
          <w:lang w:eastAsia="zh-CN"/>
        </w:rPr>
      </w:pPr>
      <w:r>
        <w:rPr>
          <w:rFonts w:hint="eastAsia" w:ascii="仿宋" w:hAnsi="仿宋" w:eastAsia="仿宋" w:cs="仿宋"/>
          <w:bCs/>
          <w:szCs w:val="32"/>
          <w:lang w:eastAsia="zh-CN"/>
        </w:rPr>
        <w:t>事前绩效评估指标体系</w:t>
      </w:r>
    </w:p>
    <w:tbl>
      <w:tblPr>
        <w:tblStyle w:val="56"/>
        <w:tblW w:w="8863" w:type="dxa"/>
        <w:tblInd w:w="1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7"/>
        <w:gridCol w:w="1296"/>
        <w:gridCol w:w="5276"/>
        <w:gridCol w:w="377"/>
        <w:gridCol w:w="541"/>
        <w:gridCol w:w="4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blHeader/>
        </w:trPr>
        <w:tc>
          <w:tcPr>
            <w:tcW w:w="877" w:type="dxa"/>
            <w:vAlign w:val="center"/>
          </w:tcPr>
          <w:p>
            <w:pPr>
              <w:pStyle w:val="67"/>
              <w:ind w:firstLine="0" w:firstLineChars="0"/>
              <w:jc w:val="center"/>
              <w:rPr>
                <w:rFonts w:ascii="Arial" w:hAnsi="Arial" w:cs="Arial"/>
                <w:b/>
                <w:snapToGrid w:val="0"/>
                <w:sz w:val="21"/>
              </w:rPr>
            </w:pPr>
            <w:r>
              <w:rPr>
                <w:rFonts w:ascii="Arial" w:hAnsi="Arial" w:cs="Arial"/>
                <w:b/>
                <w:snapToGrid w:val="0"/>
                <w:sz w:val="21"/>
              </w:rPr>
              <w:t>一级指标</w:t>
            </w:r>
          </w:p>
        </w:tc>
        <w:tc>
          <w:tcPr>
            <w:tcW w:w="1296" w:type="dxa"/>
            <w:vAlign w:val="center"/>
          </w:tcPr>
          <w:p>
            <w:pPr>
              <w:pStyle w:val="67"/>
              <w:ind w:right="6" w:firstLine="0" w:firstLineChars="0"/>
              <w:jc w:val="center"/>
              <w:rPr>
                <w:rFonts w:ascii="Arial" w:hAnsi="Arial" w:cs="Arial"/>
                <w:b/>
                <w:snapToGrid w:val="0"/>
                <w:sz w:val="21"/>
              </w:rPr>
            </w:pPr>
            <w:r>
              <w:rPr>
                <w:rFonts w:ascii="Arial" w:hAnsi="Arial" w:cs="Arial"/>
                <w:b/>
                <w:snapToGrid w:val="0"/>
                <w:sz w:val="21"/>
              </w:rPr>
              <w:t>二级指标</w:t>
            </w:r>
          </w:p>
        </w:tc>
        <w:tc>
          <w:tcPr>
            <w:tcW w:w="5276" w:type="dxa"/>
            <w:vAlign w:val="center"/>
          </w:tcPr>
          <w:p>
            <w:pPr>
              <w:pStyle w:val="67"/>
              <w:ind w:right="2325" w:firstLine="0" w:firstLineChars="0"/>
              <w:jc w:val="center"/>
              <w:rPr>
                <w:rFonts w:ascii="Arial" w:hAnsi="Arial" w:cs="Arial"/>
                <w:b/>
                <w:snapToGrid w:val="0"/>
                <w:sz w:val="21"/>
              </w:rPr>
            </w:pPr>
            <w:r>
              <w:rPr>
                <w:rFonts w:ascii="Arial" w:hAnsi="Arial" w:cs="Arial"/>
                <w:b/>
                <w:snapToGrid w:val="0"/>
                <w:sz w:val="21"/>
              </w:rPr>
              <w:t>评估要点</w:t>
            </w:r>
          </w:p>
        </w:tc>
        <w:tc>
          <w:tcPr>
            <w:tcW w:w="918" w:type="dxa"/>
            <w:gridSpan w:val="2"/>
            <w:vAlign w:val="center"/>
          </w:tcPr>
          <w:p>
            <w:pPr>
              <w:pStyle w:val="67"/>
              <w:ind w:firstLine="0" w:firstLineChars="0"/>
              <w:jc w:val="center"/>
              <w:rPr>
                <w:rFonts w:hint="eastAsia" w:ascii="Arial" w:hAnsi="Arial" w:cs="Arial"/>
                <w:b/>
                <w:snapToGrid w:val="0"/>
                <w:sz w:val="21"/>
                <w:lang w:eastAsia="zh-CN"/>
              </w:rPr>
            </w:pPr>
            <w:r>
              <w:rPr>
                <w:rFonts w:hint="eastAsia" w:ascii="Arial" w:hAnsi="Arial" w:cs="Arial"/>
                <w:b/>
                <w:snapToGrid w:val="0"/>
                <w:sz w:val="21"/>
                <w:lang w:eastAsia="zh-CN"/>
              </w:rPr>
              <w:t>分值</w:t>
            </w:r>
          </w:p>
        </w:tc>
        <w:tc>
          <w:tcPr>
            <w:tcW w:w="496" w:type="dxa"/>
          </w:tcPr>
          <w:p>
            <w:pPr>
              <w:pStyle w:val="67"/>
              <w:ind w:right="9" w:firstLine="0" w:firstLineChars="0"/>
              <w:jc w:val="center"/>
              <w:rPr>
                <w:rFonts w:ascii="Arial" w:hAnsi="Arial" w:cs="Arial"/>
                <w:b/>
                <w:snapToGrid w:val="0"/>
                <w:sz w:val="21"/>
              </w:rPr>
            </w:pPr>
            <w:r>
              <w:rPr>
                <w:rFonts w:ascii="Arial" w:hAnsi="Arial" w:cs="Arial"/>
                <w:b/>
                <w:snapToGrid w:val="0"/>
                <w:sz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6" w:hRule="atLeast"/>
        </w:trPr>
        <w:tc>
          <w:tcPr>
            <w:tcW w:w="877" w:type="dxa"/>
            <w:vMerge w:val="restart"/>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项目实施的必要性、公益性、收益性</w:t>
            </w: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必要性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①项目是否属于符合国情需要，是否在国家统一部署下开展。</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6</w:t>
            </w: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公益性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②项目是否具有公益性。</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效益性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①项目是否具有保障经济稳定增长的能力；</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②项目是否具有保护资源，促进产业发展的能力。</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jc w:val="left"/>
              <w:rPr>
                <w:rFonts w:ascii="Arial" w:hAnsi="Arial" w:cs="Arial"/>
                <w:bCs/>
                <w:snapToGrid w:val="0"/>
                <w:sz w:val="20"/>
                <w:lang w:eastAsia="zh-CN"/>
              </w:rPr>
            </w:pPr>
            <w:r>
              <w:rPr>
                <w:rFonts w:hint="eastAsia" w:ascii="Arial" w:hAnsi="Arial" w:cs="Arial"/>
                <w:bCs/>
                <w:snapToGrid w:val="0"/>
                <w:sz w:val="20"/>
                <w:lang w:eastAsia="zh-CN"/>
              </w:rPr>
              <w:t>项目实施合规性与项目成熟度</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投资合规性和可行性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①项目立项过程是否合规；</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8</w:t>
            </w: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②项目立项依据是否充分；</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1"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③项目是否符合国家确定的发展项目。</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项目成熟度</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①项目审批手续</w:t>
            </w:r>
            <w:r>
              <w:rPr>
                <w:rFonts w:hint="eastAsia" w:ascii="Arial" w:hAnsi="Arial" w:cs="Arial"/>
                <w:bCs/>
                <w:snapToGrid w:val="0"/>
                <w:sz w:val="20"/>
                <w:lang w:val="en-US" w:eastAsia="zh-CN"/>
              </w:rPr>
              <w:t>是</w:t>
            </w:r>
            <w:r>
              <w:rPr>
                <w:rFonts w:hint="eastAsia" w:ascii="Arial" w:hAnsi="Arial" w:cs="Arial"/>
                <w:bCs/>
                <w:snapToGrid w:val="0"/>
                <w:sz w:val="20"/>
                <w:lang w:eastAsia="zh-CN"/>
              </w:rPr>
              <w:t>否完备齐全；</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vAlign w:val="center"/>
          </w:tcPr>
          <w:p>
            <w:pPr>
              <w:pStyle w:val="67"/>
              <w:ind w:firstLine="0" w:firstLineChars="0"/>
              <w:jc w:val="center"/>
              <w:rPr>
                <w:rFonts w:hint="eastAsia" w:ascii="Arial" w:hAnsi="Arial" w:cs="Arial"/>
                <w:bCs/>
                <w:snapToGrid w:val="0"/>
                <w:sz w:val="20"/>
                <w:lang w:eastAsia="zh-CN"/>
              </w:rPr>
            </w:pPr>
          </w:p>
        </w:tc>
        <w:tc>
          <w:tcPr>
            <w:tcW w:w="496" w:type="dxa"/>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②项目属于新增/延续项目；</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8"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③是否具备成熟的技术体系、健全的标准规范。</w:t>
            </w:r>
          </w:p>
        </w:tc>
        <w:tc>
          <w:tcPr>
            <w:tcW w:w="377"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项目资金来源和到位可行性</w:t>
            </w:r>
          </w:p>
        </w:tc>
        <w:tc>
          <w:tcPr>
            <w:tcW w:w="12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资金来源可行性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①资金来源渠道是否符合相关规定；</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1"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资金到位可行性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w:t>
            </w:r>
            <w:r>
              <w:rPr>
                <w:rFonts w:hint="eastAsia" w:ascii="Arial" w:hAnsi="Arial" w:cs="Arial"/>
                <w:bCs/>
                <w:snapToGrid w:val="0"/>
                <w:sz w:val="20"/>
                <w:lang w:val="en-US" w:eastAsia="zh-CN"/>
              </w:rPr>
              <w:t>支付</w:t>
            </w:r>
            <w:r>
              <w:rPr>
                <w:rFonts w:hint="eastAsia" w:ascii="Arial" w:hAnsi="Arial" w:cs="Arial"/>
                <w:bCs/>
                <w:snapToGrid w:val="0"/>
                <w:sz w:val="20"/>
                <w:lang w:eastAsia="zh-CN"/>
              </w:rPr>
              <w:t>是否已完成相关手续；</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②是否有明确的到位时间；</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③项目是否已具备资金拨付相关条件。</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5" w:hRule="atLeast"/>
        </w:trPr>
        <w:tc>
          <w:tcPr>
            <w:tcW w:w="877"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资金使用计划合理性、资金到位及时性</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资金使用计划合理性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①资金使用计划是否经相关单位确认；</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2</w:t>
            </w: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tcBorders>
              <w:top w:val="nil"/>
            </w:tcBorders>
            <w:vAlign w:val="center"/>
          </w:tcPr>
          <w:p>
            <w:pPr>
              <w:pStyle w:val="67"/>
              <w:ind w:firstLine="0" w:firstLineChars="0"/>
              <w:jc w:val="center"/>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②资金使用是否按计划安排。</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tcBorders>
              <w:top w:val="nil"/>
            </w:tcBorders>
            <w:vAlign w:val="center"/>
          </w:tcPr>
          <w:p>
            <w:pPr>
              <w:pStyle w:val="67"/>
              <w:ind w:firstLine="0" w:firstLineChars="0"/>
              <w:jc w:val="center"/>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资金到位及时性</w:t>
            </w:r>
          </w:p>
        </w:tc>
        <w:tc>
          <w:tcPr>
            <w:tcW w:w="5276" w:type="dxa"/>
            <w:vAlign w:val="center"/>
          </w:tcPr>
          <w:p>
            <w:pPr>
              <w:pStyle w:val="67"/>
              <w:ind w:firstLine="0" w:firstLineChars="0"/>
              <w:rPr>
                <w:rFonts w:ascii="Arial" w:hAnsi="Arial" w:cs="Arial"/>
                <w:bCs/>
                <w:snapToGrid w:val="0"/>
                <w:sz w:val="20"/>
              </w:rPr>
            </w:pPr>
            <w:r>
              <w:rPr>
                <w:rFonts w:hint="eastAsia" w:ascii="Arial" w:hAnsi="Arial" w:cs="Arial"/>
                <w:bCs/>
                <w:snapToGrid w:val="0"/>
                <w:sz w:val="20"/>
              </w:rPr>
              <w:t>①</w:t>
            </w:r>
            <w:r>
              <w:rPr>
                <w:rFonts w:hint="eastAsia" w:ascii="Arial" w:hAnsi="Arial" w:cs="Arial"/>
                <w:bCs/>
                <w:snapToGrid w:val="0"/>
                <w:sz w:val="20"/>
                <w:lang w:eastAsia="zh-CN"/>
              </w:rPr>
              <w:t>资金是否到位；</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2"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②资金到位的及时性。</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项目绩效目标明确性、合理性</w:t>
            </w:r>
          </w:p>
        </w:tc>
        <w:tc>
          <w:tcPr>
            <w:tcW w:w="1296"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目标明确性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的设</w:t>
            </w:r>
            <w:r>
              <w:rPr>
                <w:rFonts w:hint="eastAsia" w:ascii="Arial" w:hAnsi="Arial" w:cs="Arial"/>
                <w:bCs/>
                <w:snapToGrid w:val="0"/>
                <w:sz w:val="20"/>
                <w:lang w:val="en-US" w:eastAsia="zh-CN"/>
              </w:rPr>
              <w:t>定</w:t>
            </w:r>
            <w:r>
              <w:rPr>
                <w:rFonts w:hint="eastAsia" w:ascii="Arial" w:hAnsi="Arial" w:cs="Arial"/>
                <w:bCs/>
                <w:snapToGrid w:val="0"/>
                <w:sz w:val="20"/>
                <w:lang w:eastAsia="zh-CN"/>
              </w:rPr>
              <w:t>是否符合相关规定；</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rPr>
              <w:t>1</w:t>
            </w:r>
            <w:r>
              <w:rPr>
                <w:rFonts w:hint="eastAsia" w:ascii="Arial" w:hAnsi="Arial" w:cs="Arial"/>
                <w:bCs/>
                <w:snapToGrid w:val="0"/>
                <w:sz w:val="20"/>
                <w:lang w:eastAsia="zh-CN"/>
              </w:rPr>
              <w:t>3</w:t>
            </w: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3"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②绩效目标设定是否明确，是否与年度工作目标一致；</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目标合理性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是否完整；</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②设定的绩效目</w:t>
            </w:r>
            <w:r>
              <w:rPr>
                <w:rFonts w:hint="eastAsia" w:ascii="Arial" w:hAnsi="Arial" w:cs="Arial"/>
                <w:bCs/>
                <w:snapToGrid w:val="0"/>
                <w:sz w:val="20"/>
                <w:lang w:val="en-US" w:eastAsia="zh-CN"/>
              </w:rPr>
              <w:t>标</w:t>
            </w:r>
            <w:r>
              <w:rPr>
                <w:rFonts w:hint="eastAsia" w:ascii="Arial" w:hAnsi="Arial" w:cs="Arial"/>
                <w:bCs/>
                <w:snapToGrid w:val="0"/>
                <w:sz w:val="20"/>
                <w:lang w:eastAsia="zh-CN"/>
              </w:rPr>
              <w:t>是否合理。</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目实施方案的有效性</w:t>
            </w:r>
          </w:p>
        </w:tc>
        <w:tc>
          <w:tcPr>
            <w:tcW w:w="1296" w:type="dxa"/>
            <w:vMerge w:val="restart"/>
            <w:tcBorders>
              <w:top w:val="nil"/>
            </w:tcBorders>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项</w:t>
            </w:r>
            <w:r>
              <w:rPr>
                <w:rFonts w:ascii="Arial" w:hAnsi="Arial" w:cs="Arial"/>
                <w:bCs/>
                <w:snapToGrid w:val="0"/>
                <w:sz w:val="20"/>
                <w:lang w:eastAsia="zh-CN"/>
              </w:rPr>
              <w:t>目实施方案的有效性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①项目实施方案是否经过</w:t>
            </w:r>
            <w:r>
              <w:rPr>
                <w:rFonts w:hint="eastAsia" w:ascii="Arial" w:hAnsi="Arial" w:cs="Arial"/>
                <w:bCs/>
                <w:snapToGrid w:val="0"/>
                <w:sz w:val="20"/>
                <w:lang w:val="en-US" w:eastAsia="zh-CN"/>
              </w:rPr>
              <w:t>领导</w:t>
            </w:r>
            <w:r>
              <w:rPr>
                <w:rFonts w:hint="eastAsia" w:ascii="Arial" w:hAnsi="Arial" w:cs="Arial"/>
                <w:bCs/>
                <w:snapToGrid w:val="0"/>
                <w:sz w:val="20"/>
                <w:lang w:eastAsia="zh-CN"/>
              </w:rPr>
              <w:t>批复；</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tcBorders>
              <w:top w:val="nil"/>
            </w:tcBorders>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8</w:t>
            </w:r>
          </w:p>
        </w:tc>
        <w:tc>
          <w:tcPr>
            <w:tcW w:w="496" w:type="dxa"/>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2" w:hRule="atLeast"/>
        </w:trPr>
        <w:tc>
          <w:tcPr>
            <w:tcW w:w="877" w:type="dxa"/>
            <w:vMerge w:val="continue"/>
            <w:vAlign w:val="center"/>
          </w:tcPr>
          <w:p>
            <w:pPr>
              <w:pStyle w:val="67"/>
              <w:ind w:firstLine="0" w:firstLineChars="0"/>
              <w:rPr>
                <w:rFonts w:ascii="Arial" w:hAnsi="Arial" w:cs="Arial"/>
                <w:bCs/>
                <w:snapToGrid w:val="0"/>
                <w:sz w:val="20"/>
                <w:lang w:eastAsia="zh-CN"/>
              </w:rPr>
            </w:pPr>
          </w:p>
        </w:tc>
        <w:tc>
          <w:tcPr>
            <w:tcW w:w="1296" w:type="dxa"/>
            <w:vMerge w:val="continue"/>
            <w:vAlign w:val="center"/>
          </w:tcPr>
          <w:p>
            <w:pPr>
              <w:pStyle w:val="67"/>
              <w:ind w:firstLine="0" w:firstLineChars="0"/>
              <w:jc w:val="center"/>
              <w:rPr>
                <w:rFonts w:ascii="Arial" w:hAnsi="Arial" w:cs="Arial"/>
                <w:bCs/>
                <w:snapToGrid w:val="0"/>
                <w:sz w:val="20"/>
                <w:lang w:eastAsia="zh-CN"/>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②项目实施过程中是否按经批复的方案进行。</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vAlign w:val="center"/>
          </w:tcPr>
          <w:p>
            <w:pPr>
              <w:pStyle w:val="67"/>
              <w:ind w:firstLine="0" w:firstLineChars="0"/>
              <w:jc w:val="center"/>
              <w:rPr>
                <w:rFonts w:ascii="Arial" w:hAnsi="Arial" w:cs="Arial"/>
                <w:bCs/>
                <w:snapToGrid w:val="0"/>
                <w:sz w:val="20"/>
                <w:lang w:eastAsia="zh-CN"/>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0" w:hRule="atLeast"/>
        </w:trPr>
        <w:tc>
          <w:tcPr>
            <w:tcW w:w="877" w:type="dxa"/>
            <w:vMerge w:val="restart"/>
            <w:vAlign w:val="center"/>
          </w:tcPr>
          <w:p>
            <w:pPr>
              <w:pStyle w:val="67"/>
              <w:ind w:firstLine="0" w:firstLineChars="0"/>
              <w:rPr>
                <w:rFonts w:ascii="Arial" w:hAnsi="Arial" w:cs="Arial"/>
                <w:bCs/>
                <w:snapToGrid w:val="0"/>
                <w:sz w:val="20"/>
                <w:lang w:eastAsia="zh-CN"/>
              </w:rPr>
            </w:pPr>
            <w:r>
              <w:rPr>
                <w:rFonts w:ascii="Arial" w:hAnsi="Arial" w:cs="Arial"/>
                <w:bCs/>
                <w:snapToGrid w:val="0"/>
                <w:sz w:val="20"/>
                <w:lang w:eastAsia="zh-CN"/>
              </w:rPr>
              <w:t>项目</w:t>
            </w:r>
            <w:r>
              <w:rPr>
                <w:rFonts w:hint="eastAsia" w:ascii="Arial" w:hAnsi="Arial" w:cs="Arial"/>
                <w:bCs/>
                <w:snapToGrid w:val="0"/>
                <w:sz w:val="20"/>
                <w:lang w:eastAsia="zh-CN"/>
              </w:rPr>
              <w:t>实施成果合格性</w:t>
            </w:r>
          </w:p>
        </w:tc>
        <w:tc>
          <w:tcPr>
            <w:tcW w:w="12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期限合格性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①项目实施期限是否与约定期限一致。</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restart"/>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9</w:t>
            </w:r>
          </w:p>
        </w:tc>
        <w:tc>
          <w:tcPr>
            <w:tcW w:w="496"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continue"/>
            <w:tcBorders>
              <w:top w:val="nil"/>
            </w:tcBorders>
            <w:vAlign w:val="center"/>
          </w:tcPr>
          <w:p>
            <w:pPr>
              <w:pStyle w:val="67"/>
              <w:ind w:firstLine="0" w:firstLineChars="0"/>
              <w:rPr>
                <w:rFonts w:ascii="Arial" w:hAnsi="Arial" w:cs="Arial"/>
                <w:bCs/>
                <w:snapToGrid w:val="0"/>
                <w:sz w:val="20"/>
                <w:lang w:eastAsia="zh-CN"/>
              </w:rPr>
            </w:pPr>
          </w:p>
        </w:tc>
        <w:tc>
          <w:tcPr>
            <w:tcW w:w="1296" w:type="dxa"/>
            <w:vMerge w:val="restart"/>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质量合格性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①各实施单位对项目存在的风险是否清楚了解，项目实施质量是否经过评审；</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②项目是否按评审意见进行修改。</w:t>
            </w:r>
          </w:p>
        </w:tc>
        <w:tc>
          <w:tcPr>
            <w:tcW w:w="377" w:type="dxa"/>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3</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vAlign w:val="center"/>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877"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项目实施的可持续性</w:t>
            </w:r>
          </w:p>
        </w:tc>
        <w:tc>
          <w:tcPr>
            <w:tcW w:w="1296"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可持续性</w:t>
            </w: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①国家或地方对该项目的重视程度；</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restart"/>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12</w:t>
            </w: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②项目的实施对预防措施的制定意义；</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8" w:hRule="atLeast"/>
        </w:trPr>
        <w:tc>
          <w:tcPr>
            <w:tcW w:w="877" w:type="dxa"/>
            <w:vMerge w:val="continue"/>
            <w:tcBorders>
              <w:top w:val="nil"/>
            </w:tcBorders>
            <w:vAlign w:val="center"/>
          </w:tcPr>
          <w:p>
            <w:pPr>
              <w:pStyle w:val="67"/>
              <w:ind w:firstLine="0" w:firstLineChars="0"/>
              <w:rPr>
                <w:rFonts w:ascii="Arial" w:hAnsi="Arial" w:cs="Arial"/>
                <w:bCs/>
                <w:snapToGrid w:val="0"/>
                <w:sz w:val="20"/>
              </w:rPr>
            </w:pPr>
          </w:p>
        </w:tc>
        <w:tc>
          <w:tcPr>
            <w:tcW w:w="1296" w:type="dxa"/>
            <w:vMerge w:val="continue"/>
            <w:tcBorders>
              <w:top w:val="nil"/>
            </w:tcBorders>
            <w:vAlign w:val="center"/>
          </w:tcPr>
          <w:p>
            <w:pPr>
              <w:pStyle w:val="67"/>
              <w:ind w:firstLine="0" w:firstLineChars="0"/>
              <w:jc w:val="center"/>
              <w:rPr>
                <w:rFonts w:ascii="Arial" w:hAnsi="Arial" w:cs="Arial"/>
                <w:bCs/>
                <w:snapToGrid w:val="0"/>
                <w:sz w:val="20"/>
              </w:rPr>
            </w:pPr>
          </w:p>
        </w:tc>
        <w:tc>
          <w:tcPr>
            <w:tcW w:w="5276" w:type="dxa"/>
            <w:vAlign w:val="center"/>
          </w:tcPr>
          <w:p>
            <w:pPr>
              <w:pStyle w:val="67"/>
              <w:ind w:firstLine="0" w:firstLineChars="0"/>
              <w:rPr>
                <w:rFonts w:ascii="Arial" w:hAnsi="Arial" w:cs="Arial"/>
                <w:bCs/>
                <w:snapToGrid w:val="0"/>
                <w:sz w:val="20"/>
                <w:lang w:eastAsia="zh-CN"/>
              </w:rPr>
            </w:pPr>
            <w:r>
              <w:rPr>
                <w:rFonts w:hint="eastAsia" w:ascii="Arial" w:hAnsi="Arial" w:cs="Arial"/>
                <w:bCs/>
                <w:snapToGrid w:val="0"/>
                <w:sz w:val="20"/>
                <w:lang w:eastAsia="zh-CN"/>
              </w:rPr>
              <w:t>③通过项目的实施民众对环境保护意识的提高。</w:t>
            </w:r>
          </w:p>
        </w:tc>
        <w:tc>
          <w:tcPr>
            <w:tcW w:w="377" w:type="dxa"/>
            <w:vAlign w:val="center"/>
          </w:tcPr>
          <w:p>
            <w:pPr>
              <w:pStyle w:val="67"/>
              <w:ind w:firstLine="0" w:firstLineChars="0"/>
              <w:jc w:val="center"/>
              <w:rPr>
                <w:rFonts w:hint="eastAsia" w:ascii="Arial" w:hAnsi="Arial" w:cs="Arial"/>
                <w:bCs/>
                <w:snapToGrid w:val="0"/>
                <w:sz w:val="20"/>
                <w:lang w:eastAsia="zh-CN"/>
              </w:rPr>
            </w:pPr>
            <w:r>
              <w:rPr>
                <w:rFonts w:hint="eastAsia" w:ascii="Arial" w:hAnsi="Arial" w:cs="Arial"/>
                <w:bCs/>
                <w:snapToGrid w:val="0"/>
                <w:sz w:val="20"/>
                <w:lang w:eastAsia="zh-CN"/>
              </w:rPr>
              <w:t>4</w:t>
            </w:r>
          </w:p>
        </w:tc>
        <w:tc>
          <w:tcPr>
            <w:tcW w:w="541" w:type="dxa"/>
            <w:vMerge w:val="continue"/>
            <w:tcBorders>
              <w:top w:val="nil"/>
            </w:tcBorders>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lang w:eastAsia="zh-CN"/>
              </w:rPr>
            </w:pPr>
            <w:r>
              <w:rPr>
                <w:rFonts w:hint="eastAsia" w:ascii="Arial" w:hAnsi="Arial" w:cs="Arial"/>
                <w:bCs/>
                <w:snapToGrid w:val="0"/>
                <w:sz w:val="20"/>
                <w:lang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7449" w:type="dxa"/>
            <w:gridSpan w:val="3"/>
            <w:vAlign w:val="center"/>
          </w:tcPr>
          <w:p>
            <w:pPr>
              <w:pStyle w:val="67"/>
              <w:ind w:firstLine="0" w:firstLineChars="0"/>
              <w:jc w:val="center"/>
              <w:rPr>
                <w:rFonts w:ascii="Arial" w:hAnsi="Arial" w:cs="Arial"/>
                <w:bCs/>
                <w:snapToGrid w:val="0"/>
                <w:sz w:val="20"/>
              </w:rPr>
            </w:pPr>
            <w:r>
              <w:rPr>
                <w:rFonts w:hint="eastAsia" w:ascii="Arial" w:hAnsi="Arial" w:cs="Arial"/>
                <w:bCs/>
                <w:snapToGrid w:val="0"/>
                <w:sz w:val="20"/>
              </w:rPr>
              <w:t>合计</w:t>
            </w:r>
          </w:p>
        </w:tc>
        <w:tc>
          <w:tcPr>
            <w:tcW w:w="377" w:type="dxa"/>
            <w:vAlign w:val="center"/>
          </w:tcPr>
          <w:p>
            <w:pPr>
              <w:pStyle w:val="67"/>
              <w:ind w:firstLine="0" w:firstLineChars="0"/>
              <w:jc w:val="center"/>
              <w:rPr>
                <w:rFonts w:ascii="Arial" w:hAnsi="Arial" w:cs="Arial"/>
                <w:bCs/>
                <w:snapToGrid w:val="0"/>
                <w:sz w:val="20"/>
              </w:rPr>
            </w:pPr>
            <w:r>
              <w:rPr>
                <w:rFonts w:ascii="Arial" w:hAnsi="Arial" w:cs="Arial"/>
                <w:bCs/>
                <w:snapToGrid w:val="0"/>
                <w:sz w:val="20"/>
              </w:rPr>
              <w:fldChar w:fldCharType="begin"/>
            </w:r>
            <w:r>
              <w:rPr>
                <w:rFonts w:ascii="Arial" w:hAnsi="Arial" w:cs="Arial"/>
                <w:bCs/>
                <w:snapToGrid w:val="0"/>
                <w:sz w:val="20"/>
              </w:rPr>
              <w:instrText xml:space="preserve"> =SUM(ABOVE) </w:instrText>
            </w:r>
            <w:r>
              <w:rPr>
                <w:rFonts w:ascii="Arial" w:hAnsi="Arial" w:cs="Arial"/>
                <w:bCs/>
                <w:snapToGrid w:val="0"/>
                <w:sz w:val="20"/>
              </w:rPr>
              <w:fldChar w:fldCharType="separate"/>
            </w:r>
            <w:r>
              <w:rPr>
                <w:rFonts w:ascii="Arial" w:hAnsi="Arial" w:cs="Arial"/>
                <w:bCs/>
                <w:snapToGrid w:val="0"/>
                <w:sz w:val="20"/>
              </w:rPr>
              <w:t>100</w:t>
            </w:r>
            <w:r>
              <w:rPr>
                <w:rFonts w:ascii="Arial" w:hAnsi="Arial" w:cs="Arial"/>
                <w:bCs/>
                <w:snapToGrid w:val="0"/>
                <w:sz w:val="20"/>
              </w:rPr>
              <w:fldChar w:fldCharType="end"/>
            </w:r>
          </w:p>
        </w:tc>
        <w:tc>
          <w:tcPr>
            <w:tcW w:w="541" w:type="dxa"/>
            <w:vAlign w:val="center"/>
          </w:tcPr>
          <w:p>
            <w:pPr>
              <w:pStyle w:val="67"/>
              <w:ind w:firstLine="0" w:firstLineChars="0"/>
              <w:jc w:val="center"/>
              <w:rPr>
                <w:rFonts w:ascii="Arial" w:hAnsi="Arial" w:cs="Arial"/>
                <w:bCs/>
                <w:snapToGrid w:val="0"/>
                <w:sz w:val="20"/>
              </w:rPr>
            </w:pPr>
          </w:p>
        </w:tc>
        <w:tc>
          <w:tcPr>
            <w:tcW w:w="496" w:type="dxa"/>
          </w:tcPr>
          <w:p>
            <w:pPr>
              <w:pStyle w:val="67"/>
              <w:ind w:firstLine="0" w:firstLineChars="0"/>
              <w:jc w:val="center"/>
              <w:rPr>
                <w:rFonts w:ascii="Arial" w:hAnsi="Arial" w:cs="Arial"/>
                <w:bCs/>
                <w:snapToGrid w:val="0"/>
                <w:sz w:val="20"/>
              </w:rPr>
            </w:pPr>
            <w:r>
              <w:rPr>
                <w:rFonts w:ascii="Arial" w:hAnsi="Arial" w:cs="Arial"/>
                <w:bCs/>
                <w:snapToGrid w:val="0"/>
                <w:sz w:val="20"/>
              </w:rPr>
              <w:fldChar w:fldCharType="begin"/>
            </w:r>
            <w:r>
              <w:rPr>
                <w:rFonts w:ascii="Arial" w:hAnsi="Arial" w:cs="Arial"/>
                <w:bCs/>
                <w:snapToGrid w:val="0"/>
                <w:sz w:val="20"/>
              </w:rPr>
              <w:instrText xml:space="preserve"> =SUM(ABOVE) </w:instrText>
            </w:r>
            <w:r>
              <w:rPr>
                <w:rFonts w:ascii="Arial" w:hAnsi="Arial" w:cs="Arial"/>
                <w:bCs/>
                <w:snapToGrid w:val="0"/>
                <w:sz w:val="20"/>
              </w:rPr>
              <w:fldChar w:fldCharType="separate"/>
            </w:r>
            <w:r>
              <w:rPr>
                <w:rFonts w:ascii="Arial" w:hAnsi="Arial" w:cs="Arial"/>
                <w:bCs/>
                <w:snapToGrid w:val="0"/>
                <w:sz w:val="20"/>
              </w:rPr>
              <w:t>92</w:t>
            </w:r>
            <w:r>
              <w:rPr>
                <w:rFonts w:ascii="Arial" w:hAnsi="Arial" w:cs="Arial"/>
                <w:bCs/>
                <w:snapToGrid w:val="0"/>
                <w:sz w:val="20"/>
              </w:rPr>
              <w:fldChar w:fldCharType="end"/>
            </w:r>
          </w:p>
        </w:tc>
      </w:tr>
    </w:tbl>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179" w:name="_Toc737820165"/>
      <w:bookmarkStart w:id="180" w:name="_Toc7074"/>
      <w:bookmarkStart w:id="181" w:name="_Toc193453926"/>
      <w:bookmarkStart w:id="182" w:name="_Toc1506002849_WPSOffice_Level1"/>
      <w:bookmarkStart w:id="183" w:name="_Toc924138418"/>
      <w:bookmarkStart w:id="184" w:name="_Toc20649"/>
      <w:bookmarkStart w:id="185" w:name="_Toc132480966"/>
      <w:bookmarkStart w:id="186" w:name="_Toc1269600848"/>
      <w:bookmarkStart w:id="187" w:name="_Toc10752"/>
      <w:bookmarkStart w:id="188" w:name="_Toc6088"/>
      <w:r>
        <w:rPr>
          <w:rFonts w:hint="eastAsia" w:ascii="黑体" w:hAnsi="黑体" w:eastAsia="黑体" w:cs="黑体"/>
          <w:b w:val="0"/>
          <w:szCs w:val="32"/>
          <w:lang w:eastAsia="zh-CN"/>
        </w:rPr>
        <w:t>四、绩效评价</w:t>
      </w:r>
      <w:bookmarkEnd w:id="179"/>
      <w:bookmarkEnd w:id="180"/>
      <w:bookmarkEnd w:id="181"/>
      <w:bookmarkEnd w:id="182"/>
      <w:bookmarkEnd w:id="183"/>
      <w:bookmarkEnd w:id="184"/>
      <w:bookmarkEnd w:id="185"/>
      <w:bookmarkEnd w:id="186"/>
      <w:bookmarkEnd w:id="187"/>
      <w:r>
        <w:rPr>
          <w:rFonts w:hint="eastAsia" w:ascii="黑体" w:hAnsi="黑体" w:eastAsia="黑体" w:cs="黑体"/>
          <w:b w:val="0"/>
          <w:szCs w:val="32"/>
          <w:lang w:eastAsia="zh-CN"/>
        </w:rPr>
        <w:t>内容与结论</w:t>
      </w:r>
      <w:bookmarkEnd w:id="188"/>
    </w:p>
    <w:p>
      <w:pPr>
        <w:pStyle w:val="3"/>
        <w:numPr>
          <w:numId w:val="0"/>
        </w:numPr>
        <w:spacing w:before="0" w:beforeLines="0" w:after="0" w:afterLines="0"/>
        <w:ind w:left="643" w:leftChars="0"/>
        <w:rPr>
          <w:rFonts w:hint="eastAsia" w:ascii="楷体" w:hAnsi="楷体" w:eastAsia="楷体" w:cs="楷体"/>
          <w:b w:val="0"/>
          <w:szCs w:val="32"/>
          <w:lang w:eastAsia="zh-CN"/>
        </w:rPr>
      </w:pPr>
      <w:bookmarkStart w:id="189" w:name="_Toc785"/>
      <w:r>
        <w:rPr>
          <w:rFonts w:hint="eastAsia" w:ascii="楷体" w:hAnsi="楷体" w:cs="楷体"/>
          <w:b w:val="0"/>
          <w:kern w:val="44"/>
          <w:szCs w:val="32"/>
          <w:lang w:eastAsia="zh-CN"/>
        </w:rPr>
        <w:t>（一）</w:t>
      </w:r>
      <w:r>
        <w:rPr>
          <w:rFonts w:hint="eastAsia" w:ascii="楷体" w:hAnsi="楷体" w:eastAsia="楷体" w:cs="楷体"/>
          <w:b w:val="0"/>
          <w:kern w:val="44"/>
          <w:szCs w:val="32"/>
          <w:lang w:eastAsia="zh-CN"/>
        </w:rPr>
        <w:t>项目实施的必要性、公益性、收益性</w:t>
      </w:r>
      <w:bookmarkEnd w:id="189"/>
    </w:p>
    <w:p>
      <w:pPr>
        <w:ind w:firstLine="640"/>
        <w:rPr>
          <w:rFonts w:hint="eastAsia" w:ascii="仿宋" w:hAnsi="仿宋" w:eastAsia="仿宋" w:cs="仿宋"/>
          <w:szCs w:val="32"/>
          <w:lang w:eastAsia="zh-CN"/>
        </w:rPr>
      </w:pPr>
      <w:r>
        <w:rPr>
          <w:rFonts w:hint="eastAsia" w:ascii="仿宋" w:hAnsi="仿宋" w:eastAsia="仿宋" w:cs="仿宋"/>
          <w:szCs w:val="32"/>
          <w:lang w:eastAsia="zh-CN"/>
        </w:rPr>
        <w:t>项目实施的必要性、公益性、收益性方面，指标总分16分，评估得分16分。具体如下：</w:t>
      </w:r>
    </w:p>
    <w:p>
      <w:pPr>
        <w:ind w:firstLine="640" w:firstLineChars="0"/>
        <w:rPr>
          <w:rFonts w:hint="eastAsia" w:ascii="仿宋" w:hAnsi="仿宋" w:eastAsia="仿宋" w:cs="仿宋"/>
          <w:szCs w:val="32"/>
          <w:lang w:eastAsia="zh-CN"/>
        </w:rPr>
      </w:pPr>
      <w:r>
        <w:rPr>
          <w:rFonts w:hint="eastAsia" w:ascii="仿宋" w:hAnsi="仿宋" w:eastAsia="仿宋" w:cs="仿宋"/>
          <w:szCs w:val="32"/>
          <w:lang w:eastAsia="zh-CN"/>
        </w:rPr>
        <w:t>1.项</w:t>
      </w:r>
      <w:bookmarkStart w:id="190" w:name="OLE_LINK3"/>
      <w:r>
        <w:rPr>
          <w:rFonts w:hint="eastAsia" w:ascii="仿宋" w:hAnsi="仿宋" w:eastAsia="仿宋" w:cs="仿宋"/>
          <w:szCs w:val="32"/>
          <w:lang w:eastAsia="zh-CN"/>
        </w:rPr>
        <w:t>目实施的必要性</w:t>
      </w:r>
      <w:bookmarkEnd w:id="190"/>
    </w:p>
    <w:p>
      <w:pPr>
        <w:ind w:firstLine="640"/>
        <w:rPr>
          <w:rFonts w:hint="eastAsia" w:ascii="仿宋" w:hAnsi="仿宋" w:eastAsia="仿宋" w:cs="仿宋"/>
          <w:szCs w:val="32"/>
          <w:lang w:eastAsia="zh-CN"/>
        </w:rPr>
      </w:pPr>
      <w:r>
        <w:rPr>
          <w:rFonts w:hint="eastAsia" w:ascii="仿宋" w:hAnsi="仿宋" w:eastAsia="仿宋" w:cs="仿宋"/>
          <w:szCs w:val="32"/>
          <w:lang w:eastAsia="zh-CN"/>
        </w:rPr>
        <w:t>我国是世界上自然灾害最为严重的国家之一，灾害种类多,分布地域广,发生频率高，造成损失重。2018年10月，习近平总书记主持召开的中央财经委员会第三次会议，将实施“自然灾害综合风险普查”列为提高自然灾害防治能力9项重点工程的第一项重点工程。2020年6月，国务院办公厅印发《国务院办公厅关于开展第一次全国自然灾害综合风险普查的通知》(国办发(2020)12号)，全面部署第一次全国自然灾害综合风险普查工作。</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通过普查，能够准确掌握森林中可燃物的分布、类型、载量等情况，也能了解气象条件、地形地貌对火灾发生的影响。同时提升应急救援能力，保护森林资源和生态环境，完善灾害管理体系，增强公众安全意识等。</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本项目的实施符合国情需要，在国家统一部署下开展自然灾害综合风险普查,全面获取主要灾害致灾信息、承灾体信息、历史灾害信息,摸清灾害风险隐患底数,查明重点区域抗灾能力,建立分类型、分区域的国家自然灾害综合风险与减灾能力省级数据库。根据评分标准，总分4分，得4分。</w:t>
      </w:r>
    </w:p>
    <w:p>
      <w:pPr>
        <w:ind w:firstLineChars="0"/>
        <w:rPr>
          <w:rFonts w:hint="eastAsia" w:ascii="仿宋" w:hAnsi="仿宋" w:eastAsia="仿宋" w:cs="仿宋"/>
          <w:bCs/>
          <w:kern w:val="2"/>
          <w:szCs w:val="32"/>
          <w:lang w:eastAsia="zh-CN" w:bidi="ar-SA"/>
        </w:rPr>
      </w:pPr>
      <w:r>
        <w:rPr>
          <w:rFonts w:hint="eastAsia" w:ascii="仿宋" w:hAnsi="仿宋" w:eastAsia="仿宋" w:cs="仿宋"/>
          <w:bCs/>
          <w:kern w:val="2"/>
          <w:szCs w:val="32"/>
          <w:lang w:eastAsia="zh-CN" w:bidi="ar-SA"/>
        </w:rPr>
        <w:t>2.项</w:t>
      </w:r>
      <w:r>
        <w:rPr>
          <w:rFonts w:hint="eastAsia" w:ascii="仿宋" w:hAnsi="仿宋" w:eastAsia="仿宋" w:cs="仿宋"/>
          <w:szCs w:val="32"/>
          <w:lang w:eastAsia="zh-CN"/>
        </w:rPr>
        <w:t>目实施的公益性</w:t>
      </w:r>
    </w:p>
    <w:p>
      <w:pPr>
        <w:ind w:firstLineChars="0"/>
        <w:rPr>
          <w:rFonts w:hint="eastAsia" w:ascii="仿宋" w:hAnsi="仿宋" w:eastAsia="仿宋" w:cs="仿宋"/>
          <w:szCs w:val="32"/>
          <w:lang w:eastAsia="zh-CN"/>
        </w:rPr>
      </w:pPr>
      <w:r>
        <w:rPr>
          <w:rFonts w:hint="eastAsia" w:ascii="仿宋" w:hAnsi="仿宋" w:eastAsia="仿宋" w:cs="仿宋"/>
          <w:szCs w:val="32"/>
          <w:lang w:eastAsia="zh-CN"/>
        </w:rPr>
        <w:t>通过普查，能够保障生命财产安全，降低火灾发生概率，减少火灾对林区居民生命和财产的威胁；优化应急救援布局，在火灾发生时实现快速响应和有效扑救，减少人员伤亡和财产损失；保护生态环境、森林资源，避免因火灾导致大面积森林被毁，维护生物多样性和生态平衡；减少生态破坏，降低水土流失、空气污染等次生生态问题的发生风险。</w:t>
      </w:r>
    </w:p>
    <w:p>
      <w:pPr>
        <w:ind w:firstLineChars="0"/>
        <w:rPr>
          <w:rFonts w:hint="eastAsia" w:ascii="仿宋" w:hAnsi="仿宋" w:eastAsia="仿宋" w:cs="仿宋"/>
          <w:szCs w:val="32"/>
          <w:lang w:eastAsia="zh-CN"/>
        </w:rPr>
      </w:pPr>
      <w:r>
        <w:rPr>
          <w:rFonts w:hint="eastAsia" w:ascii="仿宋" w:hAnsi="仿宋" w:eastAsia="仿宋" w:cs="仿宋"/>
          <w:szCs w:val="32"/>
          <w:lang w:eastAsia="zh-CN"/>
        </w:rPr>
        <w:t>本项目的实施为有效开展自然灾害防治和应急管理、切实保障经济社会高质量发展提供权威的灾害风险信息和科学决策依据。根据评分标准，总分4分，得4分。</w:t>
      </w:r>
    </w:p>
    <w:p>
      <w:pPr>
        <w:ind w:firstLineChars="0"/>
        <w:rPr>
          <w:rFonts w:hint="eastAsia" w:ascii="仿宋" w:hAnsi="仿宋" w:eastAsia="仿宋" w:cs="仿宋"/>
          <w:szCs w:val="32"/>
          <w:lang w:eastAsia="zh-CN"/>
        </w:rPr>
      </w:pPr>
      <w:r>
        <w:rPr>
          <w:rFonts w:hint="eastAsia" w:ascii="仿宋" w:hAnsi="仿宋" w:eastAsia="仿宋" w:cs="仿宋"/>
          <w:szCs w:val="32"/>
          <w:lang w:eastAsia="zh-CN"/>
        </w:rPr>
        <w:t>3.项目实施的收益性</w:t>
      </w:r>
    </w:p>
    <w:p>
      <w:pPr>
        <w:ind w:firstLineChars="0"/>
        <w:rPr>
          <w:rFonts w:hint="eastAsia" w:ascii="仿宋" w:hAnsi="仿宋" w:eastAsia="仿宋" w:cs="仿宋"/>
          <w:szCs w:val="32"/>
          <w:lang w:eastAsia="zh-CN"/>
        </w:rPr>
      </w:pPr>
      <w:r>
        <w:rPr>
          <w:rFonts w:hint="eastAsia" w:ascii="仿宋" w:hAnsi="仿宋" w:eastAsia="仿宋" w:cs="仿宋"/>
          <w:szCs w:val="32"/>
          <w:lang w:eastAsia="zh-CN"/>
        </w:rPr>
        <w:t>普查工作的开展，有利于经济社会可持续发展。一是保障林业产业发展，为林业部门开展森林经营、采伐等活动提供风险信息，使其能科学规划，合理安排生产，降低火灾对林业产业的影响，保障林业经济的稳定增长。二是促进旅游业发展，许多森林区域是重要的旅游景点，减少森林火灾风险，可保护旅游资源，为游客提供安全的旅游环境，促进森林旅游等相关产业的健康发展。三是提供科学决策依据，建立森林火灾风险普查数据库，形成风险评估与区划等成果，为政府部门制定森林火灾防治政策、规划等提供权威的科学依据，提高公共决策的科学性和合理性。</w:t>
      </w:r>
    </w:p>
    <w:p>
      <w:pPr>
        <w:ind w:firstLineChars="0"/>
        <w:rPr>
          <w:rFonts w:hint="eastAsia" w:ascii="仿宋" w:hAnsi="仿宋" w:eastAsia="仿宋" w:cs="仿宋"/>
          <w:szCs w:val="32"/>
          <w:lang w:eastAsia="zh-CN"/>
        </w:rPr>
      </w:pPr>
      <w:r>
        <w:rPr>
          <w:rFonts w:hint="eastAsia" w:ascii="仿宋" w:hAnsi="仿宋" w:eastAsia="仿宋" w:cs="仿宋"/>
          <w:szCs w:val="32"/>
          <w:lang w:eastAsia="zh-CN"/>
        </w:rPr>
        <w:t>在普查过程中，宣传森林火灾风险知识，提高公众对森林火灾危害的认识和防火意识，促进全社会形成共同参与森林火灾防控的良好氛围。根据评分标准，总分8分，得8分。</w:t>
      </w:r>
    </w:p>
    <w:p>
      <w:pPr>
        <w:pStyle w:val="3"/>
        <w:numPr>
          <w:ilvl w:val="0"/>
          <w:numId w:val="0"/>
        </w:numPr>
        <w:spacing w:before="0" w:beforeLines="0" w:after="0" w:afterLines="0"/>
        <w:ind w:left="643" w:leftChars="0"/>
        <w:rPr>
          <w:rFonts w:hint="eastAsia" w:ascii="楷体" w:hAnsi="楷体" w:cs="楷体"/>
          <w:b w:val="0"/>
          <w:kern w:val="44"/>
          <w:szCs w:val="32"/>
          <w:lang w:eastAsia="zh-CN"/>
        </w:rPr>
      </w:pPr>
      <w:bookmarkStart w:id="191" w:name="_Toc12059"/>
      <w:r>
        <w:rPr>
          <w:rFonts w:hint="eastAsia" w:ascii="楷体" w:hAnsi="楷体" w:cs="楷体"/>
          <w:b w:val="0"/>
          <w:kern w:val="44"/>
          <w:szCs w:val="32"/>
          <w:lang w:eastAsia="zh-CN"/>
        </w:rPr>
        <w:t>（二）项目实施合规性与</w:t>
      </w:r>
      <w:r>
        <w:rPr>
          <w:rFonts w:hint="eastAsia" w:ascii="楷体" w:hAnsi="楷体" w:cs="楷体"/>
          <w:b w:val="0"/>
          <w:kern w:val="44"/>
          <w:szCs w:val="32"/>
          <w:lang w:val="en-US" w:eastAsia="zh-CN"/>
        </w:rPr>
        <w:t>项目</w:t>
      </w:r>
      <w:r>
        <w:rPr>
          <w:rFonts w:hint="eastAsia" w:ascii="楷体" w:hAnsi="楷体" w:cs="楷体"/>
          <w:b w:val="0"/>
          <w:kern w:val="44"/>
          <w:szCs w:val="32"/>
          <w:lang w:eastAsia="zh-CN"/>
        </w:rPr>
        <w:t>成熟度</w:t>
      </w:r>
      <w:bookmarkEnd w:id="191"/>
    </w:p>
    <w:p>
      <w:pPr>
        <w:ind w:firstLine="640"/>
        <w:rPr>
          <w:rFonts w:hint="eastAsia" w:ascii="仿宋" w:hAnsi="仿宋" w:eastAsia="仿宋" w:cs="仿宋"/>
          <w:szCs w:val="32"/>
          <w:lang w:eastAsia="zh-CN"/>
        </w:rPr>
      </w:pPr>
      <w:r>
        <w:rPr>
          <w:rFonts w:hint="eastAsia" w:ascii="仿宋" w:hAnsi="仿宋" w:eastAsia="仿宋" w:cs="仿宋"/>
          <w:szCs w:val="32"/>
          <w:lang w:eastAsia="zh-CN"/>
        </w:rPr>
        <w:t>项目实施合规性与项目成熟度方面，指标总分18分，评估得分18分。具体如下：</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1.实施合规性</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项目为延续性项目，于2022年实施完毕。</w:t>
      </w:r>
      <w:r>
        <w:rPr>
          <w:rFonts w:hint="eastAsia" w:ascii="仿宋" w:hAnsi="仿宋" w:eastAsia="仿宋" w:cs="仿宋"/>
          <w:szCs w:val="32"/>
          <w:lang w:val="en-US" w:eastAsia="zh-CN"/>
        </w:rPr>
        <w:t>截止2024年底</w:t>
      </w:r>
      <w:r>
        <w:rPr>
          <w:rFonts w:hint="eastAsia" w:ascii="仿宋" w:hAnsi="仿宋" w:eastAsia="仿宋" w:cs="仿宋"/>
          <w:szCs w:val="32"/>
          <w:lang w:eastAsia="zh-CN"/>
        </w:rPr>
        <w:t>项目已支付73.5万元，2025年需支付尾款24.5万元。</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项目经《四川省第一次森林和草原火灾风险普查工作领导小组办公室关于&lt;山市金口河区第一次森林火灾风险普查工作方案&gt;的批复》（川火普办审〔2021〕146号）文件批复实施。</w:t>
      </w:r>
    </w:p>
    <w:p>
      <w:pPr>
        <w:ind w:firstLine="640"/>
        <w:rPr>
          <w:rFonts w:hint="eastAsia" w:ascii="仿宋" w:hAnsi="仿宋" w:eastAsia="仿宋" w:cs="仿宋"/>
          <w:bCs/>
          <w:szCs w:val="32"/>
          <w:lang w:eastAsia="zh-CN"/>
        </w:rPr>
      </w:pPr>
      <w:r>
        <w:rPr>
          <w:rFonts w:hint="eastAsia" w:ascii="仿宋" w:hAnsi="仿宋" w:eastAsia="仿宋" w:cs="仿宋"/>
          <w:bCs/>
          <w:szCs w:val="32"/>
          <w:lang w:eastAsia="zh-CN"/>
        </w:rPr>
        <w:t>经《乐山市金口河区自然资源局关于解决金口河区第一次森林火灾风险普查资金缺口的请示》（金自然资〔2021〕128号）文件批复预算资金100万元，</w:t>
      </w:r>
      <w:r>
        <w:rPr>
          <w:rFonts w:hint="eastAsia" w:ascii="仿宋" w:hAnsi="仿宋" w:eastAsia="仿宋" w:cs="仿宋"/>
          <w:bCs/>
          <w:szCs w:val="32"/>
          <w:lang w:val="en-US" w:eastAsia="zh-CN"/>
        </w:rPr>
        <w:t>经</w:t>
      </w:r>
      <w:r>
        <w:rPr>
          <w:rFonts w:ascii="仿宋" w:hAnsi="仿宋" w:eastAsia="仿宋" w:cs="仿宋"/>
          <w:bCs/>
          <w:szCs w:val="32"/>
          <w:lang w:eastAsia="zh-CN"/>
        </w:rPr>
        <w:t>竞争性磋商</w:t>
      </w:r>
      <w:r>
        <w:rPr>
          <w:rFonts w:hint="eastAsia" w:ascii="仿宋" w:hAnsi="仿宋" w:eastAsia="仿宋" w:cs="仿宋"/>
          <w:bCs/>
          <w:szCs w:val="32"/>
          <w:lang w:val="en-US" w:eastAsia="zh-CN"/>
        </w:rPr>
        <w:t>确定成交价98万元，</w:t>
      </w:r>
      <w:r>
        <w:rPr>
          <w:rFonts w:hint="eastAsia" w:ascii="仿宋" w:hAnsi="仿宋" w:eastAsia="仿宋" w:cs="仿宋"/>
          <w:bCs/>
          <w:szCs w:val="32"/>
          <w:lang w:eastAsia="zh-CN"/>
        </w:rPr>
        <w:t>资金来源为财政资金。具体资金筹措情况如下：</w:t>
      </w:r>
    </w:p>
    <w:p>
      <w:pPr>
        <w:ind w:firstLine="0" w:firstLineChars="0"/>
        <w:jc w:val="center"/>
        <w:rPr>
          <w:rFonts w:hint="eastAsia" w:ascii="仿宋" w:hAnsi="仿宋" w:eastAsia="仿宋" w:cs="仿宋"/>
          <w:bCs/>
          <w:szCs w:val="32"/>
          <w:lang w:eastAsia="zh-CN"/>
        </w:rPr>
      </w:pPr>
      <w:r>
        <w:rPr>
          <w:rFonts w:hint="eastAsia" w:ascii="仿宋" w:hAnsi="仿宋" w:eastAsia="仿宋" w:cs="仿宋"/>
          <w:bCs/>
          <w:szCs w:val="32"/>
          <w:lang w:eastAsia="zh-CN"/>
        </w:rPr>
        <w:t>资金筹措表</w:t>
      </w:r>
    </w:p>
    <w:tbl>
      <w:tblPr>
        <w:tblStyle w:val="21"/>
        <w:tblpPr w:leftFromText="180" w:rightFromText="180" w:vertAnchor="text" w:horzAnchor="page" w:tblpX="2051" w:tblpY="222"/>
        <w:tblOverlap w:val="never"/>
        <w:tblW w:w="8217" w:type="dxa"/>
        <w:tblInd w:w="0" w:type="dxa"/>
        <w:tblLayout w:type="fixed"/>
        <w:tblCellMar>
          <w:top w:w="0" w:type="dxa"/>
          <w:left w:w="108" w:type="dxa"/>
          <w:bottom w:w="0" w:type="dxa"/>
          <w:right w:w="108" w:type="dxa"/>
        </w:tblCellMar>
      </w:tblPr>
      <w:tblGrid>
        <w:gridCol w:w="704"/>
        <w:gridCol w:w="3118"/>
        <w:gridCol w:w="2176"/>
        <w:gridCol w:w="2219"/>
      </w:tblGrid>
      <w:tr>
        <w:tblPrEx>
          <w:tblCellMar>
            <w:top w:w="0" w:type="dxa"/>
            <w:left w:w="108" w:type="dxa"/>
            <w:bottom w:w="0" w:type="dxa"/>
            <w:right w:w="108" w:type="dxa"/>
          </w:tblCellMar>
        </w:tblPrEx>
        <w:trPr>
          <w:trHeight w:val="567" w:hRule="atLeast"/>
          <w:tblHead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序号</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项目内容</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支付金额（万元）</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实际支付时间</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1</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金口河区第一次森林火灾风险普查服务费（第1笔）</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4.9</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2021.12.17</w:t>
            </w:r>
          </w:p>
        </w:tc>
      </w:tr>
      <w:tr>
        <w:tblPrEx>
          <w:tblCellMar>
            <w:top w:w="0" w:type="dxa"/>
            <w:left w:w="108" w:type="dxa"/>
            <w:bottom w:w="0" w:type="dxa"/>
            <w:right w:w="108" w:type="dxa"/>
          </w:tblCellMar>
        </w:tblPrEx>
        <w:trPr>
          <w:trHeight w:val="570" w:hRule="atLeast"/>
        </w:trPr>
        <w:tc>
          <w:tcPr>
            <w:tcW w:w="704"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w:t>
            </w:r>
          </w:p>
        </w:tc>
        <w:tc>
          <w:tcPr>
            <w:tcW w:w="3119"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金口河区第一次森林火灾风险普查服务费（第2笔）</w:t>
            </w:r>
          </w:p>
        </w:tc>
        <w:tc>
          <w:tcPr>
            <w:tcW w:w="2174" w:type="dxa"/>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2023.1.19</w:t>
            </w:r>
          </w:p>
        </w:tc>
      </w:tr>
      <w:tr>
        <w:tblPrEx>
          <w:tblCellMar>
            <w:top w:w="0" w:type="dxa"/>
            <w:left w:w="108" w:type="dxa"/>
            <w:bottom w:w="0" w:type="dxa"/>
            <w:right w:w="108" w:type="dxa"/>
          </w:tblCellMar>
        </w:tblPrEx>
        <w:trPr>
          <w:trHeight w:val="570" w:hRule="atLeast"/>
        </w:trPr>
        <w:tc>
          <w:tcPr>
            <w:tcW w:w="704"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p>
        </w:tc>
        <w:tc>
          <w:tcPr>
            <w:tcW w:w="3119"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p>
        </w:tc>
        <w:tc>
          <w:tcPr>
            <w:tcW w:w="2174" w:type="dxa"/>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19.2</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2024.2.8</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3</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金口河区第一次森林火灾风险普查服务费（第3笔）</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29.4</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2024.2.8</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4</w:t>
            </w:r>
          </w:p>
        </w:tc>
        <w:tc>
          <w:tcPr>
            <w:tcW w:w="311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金口河区第一次森林火灾风险普查服务费（第4笔）</w:t>
            </w:r>
          </w:p>
        </w:tc>
        <w:tc>
          <w:tcPr>
            <w:tcW w:w="217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24.5</w:t>
            </w:r>
          </w:p>
        </w:tc>
        <w:tc>
          <w:tcPr>
            <w:tcW w:w="2220"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2025.1.24</w:t>
            </w:r>
          </w:p>
        </w:tc>
      </w:tr>
      <w:tr>
        <w:tblPrEx>
          <w:tblCellMar>
            <w:top w:w="0" w:type="dxa"/>
            <w:left w:w="108" w:type="dxa"/>
            <w:bottom w:w="0" w:type="dxa"/>
            <w:right w:w="108" w:type="dxa"/>
          </w:tblCellMar>
        </w:tblPrEx>
        <w:trPr>
          <w:trHeight w:val="567" w:hRule="atLeast"/>
        </w:trPr>
        <w:tc>
          <w:tcPr>
            <w:tcW w:w="38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合计</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98</w:t>
            </w:r>
          </w:p>
        </w:tc>
        <w:tc>
          <w:tcPr>
            <w:tcW w:w="221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r>
    </w:tbl>
    <w:p>
      <w:pPr>
        <w:ind w:firstLine="640"/>
        <w:rPr>
          <w:rFonts w:hint="eastAsia" w:ascii="仿宋" w:hAnsi="仿宋" w:eastAsia="仿宋" w:cs="仿宋"/>
          <w:szCs w:val="32"/>
          <w:lang w:eastAsia="zh-CN"/>
        </w:rPr>
      </w:pPr>
      <w:r>
        <w:rPr>
          <w:rFonts w:hint="eastAsia" w:ascii="仿宋" w:hAnsi="仿宋" w:eastAsia="仿宋" w:cs="仿宋"/>
          <w:szCs w:val="32"/>
          <w:lang w:eastAsia="zh-CN"/>
        </w:rPr>
        <w:t>综上，该项目立项过程合规、立项依据充分，项目资金来源渠道符合相关规定，资金筹措程序科学规范。根据评分标准，总分9分，得9分。</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2.项目成熟度</w:t>
      </w:r>
    </w:p>
    <w:p>
      <w:pPr>
        <w:ind w:firstLine="640"/>
        <w:rPr>
          <w:rFonts w:hint="eastAsia" w:ascii="仿宋" w:hAnsi="仿宋" w:eastAsia="仿宋" w:cs="仿宋"/>
          <w:szCs w:val="32"/>
          <w:lang w:eastAsia="zh-CN"/>
        </w:rPr>
      </w:pPr>
      <w:r>
        <w:rPr>
          <w:rFonts w:hint="eastAsia" w:ascii="仿宋" w:hAnsi="仿宋" w:eastAsia="仿宋" w:cs="仿宋"/>
          <w:bCs/>
          <w:kern w:val="2"/>
          <w:szCs w:val="32"/>
          <w:lang w:eastAsia="zh-CN" w:bidi="ar-SA"/>
        </w:rPr>
        <w:t>项目经(国办发</w:t>
      </w:r>
      <w:r>
        <w:rPr>
          <w:rFonts w:hint="eastAsia" w:ascii="仿宋" w:hAnsi="仿宋" w:eastAsia="仿宋" w:cs="仿宋"/>
          <w:bCs/>
          <w:szCs w:val="32"/>
          <w:lang w:eastAsia="zh-CN"/>
        </w:rPr>
        <w:t>〔2020〕</w:t>
      </w:r>
      <w:r>
        <w:rPr>
          <w:rFonts w:hint="eastAsia" w:ascii="仿宋" w:hAnsi="仿宋" w:eastAsia="仿宋" w:cs="仿宋"/>
          <w:bCs/>
          <w:kern w:val="2"/>
          <w:szCs w:val="32"/>
          <w:lang w:eastAsia="zh-CN" w:bidi="ar-SA"/>
        </w:rPr>
        <w:t>12号)、（川办发</w:t>
      </w:r>
      <w:r>
        <w:rPr>
          <w:rFonts w:hint="eastAsia" w:ascii="仿宋" w:hAnsi="仿宋" w:eastAsia="仿宋" w:cs="仿宋"/>
          <w:bCs/>
          <w:szCs w:val="32"/>
          <w:lang w:eastAsia="zh-CN"/>
        </w:rPr>
        <w:t>〔2020〕</w:t>
      </w:r>
      <w:r>
        <w:rPr>
          <w:rFonts w:hint="eastAsia" w:ascii="仿宋" w:hAnsi="仿宋" w:eastAsia="仿宋" w:cs="仿宋"/>
          <w:bCs/>
          <w:kern w:val="2"/>
          <w:szCs w:val="32"/>
          <w:lang w:eastAsia="zh-CN" w:bidi="ar-SA"/>
        </w:rPr>
        <w:t>58号）、（川林发</w:t>
      </w:r>
      <w:r>
        <w:rPr>
          <w:rFonts w:hint="eastAsia" w:ascii="仿宋" w:hAnsi="仿宋" w:eastAsia="仿宋" w:cs="仿宋"/>
          <w:bCs/>
          <w:szCs w:val="32"/>
          <w:lang w:eastAsia="zh-CN"/>
        </w:rPr>
        <w:t>〔2020〕</w:t>
      </w:r>
      <w:r>
        <w:rPr>
          <w:rFonts w:hint="eastAsia" w:ascii="仿宋" w:hAnsi="仿宋" w:eastAsia="仿宋" w:cs="仿宋"/>
          <w:bCs/>
          <w:kern w:val="2"/>
          <w:szCs w:val="32"/>
          <w:lang w:eastAsia="zh-CN" w:bidi="ar-SA"/>
        </w:rPr>
        <w:t>46号）和（乐市林发</w:t>
      </w:r>
      <w:r>
        <w:rPr>
          <w:rFonts w:hint="eastAsia" w:ascii="仿宋" w:hAnsi="仿宋" w:eastAsia="仿宋" w:cs="仿宋"/>
          <w:bCs/>
          <w:szCs w:val="32"/>
          <w:lang w:eastAsia="zh-CN"/>
        </w:rPr>
        <w:t>〔2021〕</w:t>
      </w:r>
      <w:r>
        <w:rPr>
          <w:rFonts w:hint="eastAsia" w:ascii="仿宋" w:hAnsi="仿宋" w:eastAsia="仿宋" w:cs="仿宋"/>
          <w:bCs/>
          <w:kern w:val="2"/>
          <w:szCs w:val="32"/>
          <w:lang w:eastAsia="zh-CN" w:bidi="ar-SA"/>
        </w:rPr>
        <w:t>70号）批准实施，并于2022年实施完毕。</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该项目在实施过程中，具有成熟的技术体系、火灾风险评估模型和算法，能够科学评估森林火灾发生的可能性和危害程度；具有健全的标准规范，从数据采集的内容、方法、精度要求，到数据处理、分析、存储和共享等各个环节，都有明确的标准可依；在全国范围内开展森林火灾风险普查，积累了丰富的组织实施经验。各级政府和相关部门建立了有效的组织协调机制，明确了职责分工，形成了高效的工作流程。</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综上，该项目审批手续完善，项目成熟度高。根据评分标准，总分9分，得9分。</w:t>
      </w:r>
    </w:p>
    <w:p>
      <w:pPr>
        <w:pStyle w:val="3"/>
        <w:numPr>
          <w:ilvl w:val="0"/>
          <w:numId w:val="0"/>
        </w:numPr>
        <w:spacing w:before="0" w:beforeLines="0" w:after="0" w:afterLines="0"/>
        <w:ind w:left="643" w:leftChars="0"/>
        <w:rPr>
          <w:rFonts w:hint="eastAsia" w:ascii="楷体" w:hAnsi="楷体" w:cs="楷体"/>
          <w:b w:val="0"/>
          <w:kern w:val="44"/>
          <w:szCs w:val="32"/>
          <w:lang w:val="en-US" w:eastAsia="zh-CN"/>
        </w:rPr>
      </w:pPr>
      <w:bookmarkStart w:id="192" w:name="_Toc27007"/>
      <w:r>
        <w:rPr>
          <w:rFonts w:hint="eastAsia" w:ascii="楷体" w:hAnsi="楷体" w:cs="楷体"/>
          <w:b w:val="0"/>
          <w:kern w:val="44"/>
          <w:szCs w:val="32"/>
          <w:lang w:val="en-US" w:eastAsia="zh-CN"/>
        </w:rPr>
        <w:t>（三）项目资金来源、资金到位可行性</w:t>
      </w:r>
      <w:bookmarkEnd w:id="192"/>
    </w:p>
    <w:p>
      <w:pPr>
        <w:ind w:firstLine="640"/>
        <w:rPr>
          <w:rFonts w:hint="eastAsia" w:ascii="仿宋" w:hAnsi="仿宋" w:eastAsia="仿宋" w:cs="仿宋"/>
          <w:szCs w:val="32"/>
          <w:lang w:eastAsia="zh-CN"/>
        </w:rPr>
      </w:pPr>
      <w:r>
        <w:rPr>
          <w:rFonts w:ascii="仿宋" w:hAnsi="仿宋" w:eastAsia="仿宋" w:cs="仿宋"/>
          <w:szCs w:val="32"/>
          <w:lang w:eastAsia="zh-CN"/>
        </w:rPr>
        <w:t>项目资金来源和资金到位可行性方面，指标总分</w:t>
      </w:r>
      <w:r>
        <w:rPr>
          <w:rFonts w:hint="eastAsia" w:ascii="仿宋" w:hAnsi="仿宋" w:eastAsia="仿宋" w:cs="仿宋"/>
          <w:szCs w:val="32"/>
          <w:lang w:eastAsia="zh-CN"/>
        </w:rPr>
        <w:t>12</w:t>
      </w:r>
      <w:r>
        <w:rPr>
          <w:rFonts w:ascii="仿宋" w:hAnsi="仿宋" w:eastAsia="仿宋" w:cs="仿宋"/>
          <w:szCs w:val="32"/>
          <w:lang w:eastAsia="zh-CN"/>
        </w:rPr>
        <w:t>分，评估得分</w:t>
      </w:r>
      <w:r>
        <w:rPr>
          <w:rFonts w:hint="eastAsia" w:ascii="仿宋" w:hAnsi="仿宋" w:eastAsia="仿宋" w:cs="仿宋"/>
          <w:szCs w:val="32"/>
          <w:lang w:eastAsia="zh-CN"/>
        </w:rPr>
        <w:t>12</w:t>
      </w:r>
      <w:r>
        <w:rPr>
          <w:rFonts w:ascii="仿宋" w:hAnsi="仿宋" w:eastAsia="仿宋" w:cs="仿宋"/>
          <w:szCs w:val="32"/>
          <w:lang w:eastAsia="zh-CN"/>
        </w:rPr>
        <w:t>分。具体如下：</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1.资金来源可行性</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森林火灾风险普查专项经费资金经</w:t>
      </w:r>
      <w:r>
        <w:rPr>
          <w:rFonts w:hint="eastAsia" w:ascii="仿宋" w:hAnsi="仿宋" w:eastAsia="仿宋" w:cs="仿宋"/>
          <w:bCs/>
          <w:szCs w:val="32"/>
          <w:lang w:eastAsia="zh-CN"/>
        </w:rPr>
        <w:t>《乐山市金口河区人民政府关于</w:t>
      </w:r>
      <w:r>
        <w:rPr>
          <w:rFonts w:hint="eastAsia" w:ascii="仿宋" w:hAnsi="仿宋" w:eastAsia="仿宋" w:cs="仿宋"/>
          <w:b/>
          <w:bCs/>
          <w:szCs w:val="32"/>
          <w:lang w:eastAsia="zh-CN"/>
        </w:rPr>
        <w:t>&lt;</w:t>
      </w:r>
      <w:r>
        <w:rPr>
          <w:rFonts w:hint="eastAsia" w:ascii="仿宋" w:hAnsi="仿宋" w:eastAsia="仿宋" w:cs="仿宋"/>
          <w:bCs/>
          <w:szCs w:val="32"/>
          <w:lang w:eastAsia="zh-CN"/>
        </w:rPr>
        <w:t>关于解决金口河区第一次森林火灾风险普查资金缺口的请示</w:t>
      </w:r>
      <w:r>
        <w:rPr>
          <w:rFonts w:hint="eastAsia" w:ascii="仿宋" w:hAnsi="仿宋" w:eastAsia="仿宋" w:cs="仿宋"/>
          <w:b/>
          <w:bCs/>
          <w:szCs w:val="32"/>
          <w:lang w:eastAsia="zh-CN"/>
        </w:rPr>
        <w:t>&gt;</w:t>
      </w:r>
      <w:r>
        <w:rPr>
          <w:rFonts w:hint="eastAsia" w:ascii="仿宋" w:hAnsi="仿宋" w:eastAsia="仿宋" w:cs="仿宋"/>
          <w:bCs/>
          <w:szCs w:val="32"/>
          <w:lang w:eastAsia="zh-CN"/>
        </w:rPr>
        <w:t>的批复》（金府复〔2021〕148号）同意，资金</w:t>
      </w:r>
      <w:r>
        <w:rPr>
          <w:rFonts w:hint="eastAsia" w:ascii="仿宋" w:hAnsi="仿宋" w:eastAsia="仿宋" w:cs="仿宋"/>
          <w:szCs w:val="32"/>
          <w:lang w:eastAsia="zh-CN"/>
        </w:rPr>
        <w:t>来源为财政资金，资金来源渠道符合相关规定，得3分。资金筹措程序符合科学规范，资金申请额度经过科学测算，得3分。根据评分标准，总分3分，得3分。</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2.资金到位可行性</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本项目资金来源为政府资金，经</w:t>
      </w:r>
      <w:r>
        <w:rPr>
          <w:rFonts w:hint="eastAsia" w:ascii="仿宋" w:hAnsi="仿宋" w:eastAsia="仿宋" w:cs="仿宋"/>
          <w:bCs/>
          <w:szCs w:val="32"/>
          <w:lang w:eastAsia="zh-CN"/>
        </w:rPr>
        <w:t>《乐山市金口河区人民政府关于</w:t>
      </w:r>
      <w:r>
        <w:rPr>
          <w:rFonts w:hint="eastAsia" w:ascii="仿宋" w:hAnsi="仿宋" w:eastAsia="仿宋" w:cs="仿宋"/>
          <w:b/>
          <w:bCs/>
          <w:szCs w:val="32"/>
          <w:lang w:eastAsia="zh-CN"/>
        </w:rPr>
        <w:t>&lt;</w:t>
      </w:r>
      <w:r>
        <w:rPr>
          <w:rFonts w:hint="eastAsia" w:ascii="仿宋" w:hAnsi="仿宋" w:eastAsia="仿宋" w:cs="仿宋"/>
          <w:bCs/>
          <w:szCs w:val="32"/>
          <w:lang w:eastAsia="zh-CN"/>
        </w:rPr>
        <w:t>关于解决金口河区第一次森林火灾风险普查资金缺口的请示</w:t>
      </w:r>
      <w:r>
        <w:rPr>
          <w:rFonts w:hint="eastAsia" w:ascii="仿宋" w:hAnsi="仿宋" w:eastAsia="仿宋" w:cs="仿宋"/>
          <w:b/>
          <w:bCs/>
          <w:szCs w:val="32"/>
          <w:lang w:eastAsia="zh-CN"/>
        </w:rPr>
        <w:t>&gt;</w:t>
      </w:r>
      <w:r>
        <w:rPr>
          <w:rFonts w:hint="eastAsia" w:ascii="仿宋" w:hAnsi="仿宋" w:eastAsia="仿宋" w:cs="仿宋"/>
          <w:bCs/>
          <w:szCs w:val="32"/>
          <w:lang w:eastAsia="zh-CN"/>
        </w:rPr>
        <w:t>的批复》（金府复〔2021〕148号）</w:t>
      </w:r>
      <w:r>
        <w:rPr>
          <w:rFonts w:hint="eastAsia" w:ascii="仿宋" w:hAnsi="仿宋" w:eastAsia="仿宋" w:cs="仿宋"/>
          <w:bCs/>
          <w:szCs w:val="32"/>
          <w:lang w:val="en-US" w:eastAsia="zh-CN"/>
        </w:rPr>
        <w:t>同意</w:t>
      </w:r>
      <w:r>
        <w:rPr>
          <w:rFonts w:hint="eastAsia" w:ascii="仿宋" w:hAnsi="仿宋" w:eastAsia="仿宋" w:cs="仿宋"/>
          <w:bCs/>
          <w:szCs w:val="32"/>
          <w:lang w:eastAsia="zh-CN"/>
        </w:rPr>
        <w:t>，</w:t>
      </w:r>
      <w:r>
        <w:rPr>
          <w:rFonts w:hint="eastAsia" w:ascii="仿宋" w:hAnsi="仿宋" w:eastAsia="仿宋" w:cs="仿宋"/>
          <w:szCs w:val="32"/>
          <w:lang w:eastAsia="zh-CN"/>
        </w:rPr>
        <w:t>总投资98万元。截止绩效评价前项目资金已全部到位，有明确的到位时间。通过财政资金支付凭证，经相关人员签字确定后通过国库集中支付，具备资金拨付相关条件。根据评分标准，总分9分，得9分。</w:t>
      </w:r>
    </w:p>
    <w:p>
      <w:pPr>
        <w:pStyle w:val="3"/>
        <w:numPr>
          <w:numId w:val="0"/>
        </w:numPr>
        <w:spacing w:before="0" w:beforeLines="0" w:after="0" w:afterLines="0"/>
        <w:ind w:left="658" w:leftChars="0"/>
        <w:rPr>
          <w:rFonts w:hint="eastAsia" w:ascii="楷体" w:hAnsi="楷体" w:eastAsia="楷体" w:cs="楷体"/>
          <w:b w:val="0"/>
          <w:kern w:val="44"/>
          <w:szCs w:val="32"/>
          <w:lang w:eastAsia="zh-CN"/>
        </w:rPr>
      </w:pPr>
      <w:bookmarkStart w:id="193" w:name="OLE_LINK5"/>
      <w:bookmarkStart w:id="194" w:name="_Toc9784"/>
      <w:r>
        <w:rPr>
          <w:rFonts w:hint="eastAsia" w:ascii="楷体" w:hAnsi="楷体" w:cs="楷体"/>
          <w:b w:val="0"/>
          <w:kern w:val="44"/>
          <w:szCs w:val="32"/>
          <w:lang w:eastAsia="zh-CN"/>
        </w:rPr>
        <w:t>（四）</w:t>
      </w:r>
      <w:r>
        <w:rPr>
          <w:rFonts w:hint="eastAsia" w:ascii="楷体" w:hAnsi="楷体" w:eastAsia="楷体" w:cs="楷体"/>
          <w:b w:val="0"/>
          <w:kern w:val="44"/>
          <w:szCs w:val="32"/>
          <w:lang w:eastAsia="zh-CN"/>
        </w:rPr>
        <w:t>资金使用计划合理性</w:t>
      </w:r>
      <w:bookmarkEnd w:id="193"/>
      <w:r>
        <w:rPr>
          <w:rFonts w:hint="eastAsia" w:ascii="楷体" w:hAnsi="楷体" w:eastAsia="楷体" w:cs="楷体"/>
          <w:b w:val="0"/>
          <w:kern w:val="44"/>
          <w:szCs w:val="32"/>
          <w:lang w:eastAsia="zh-CN"/>
        </w:rPr>
        <w:t>、资金到位及时性</w:t>
      </w:r>
      <w:bookmarkEnd w:id="194"/>
    </w:p>
    <w:p>
      <w:pPr>
        <w:ind w:firstLine="640"/>
        <w:rPr>
          <w:rFonts w:hint="eastAsia" w:ascii="仿宋" w:hAnsi="仿宋" w:eastAsia="仿宋" w:cs="仿宋"/>
          <w:szCs w:val="32"/>
          <w:lang w:eastAsia="zh-CN"/>
        </w:rPr>
      </w:pPr>
      <w:r>
        <w:rPr>
          <w:rFonts w:hint="eastAsia" w:ascii="仿宋" w:hAnsi="仿宋" w:eastAsia="仿宋" w:cs="仿宋"/>
          <w:szCs w:val="32"/>
          <w:lang w:eastAsia="zh-CN"/>
        </w:rPr>
        <w:t>资金使用计划合理性、资金到位及时性方面，</w:t>
      </w:r>
      <w:r>
        <w:rPr>
          <w:rFonts w:ascii="仿宋" w:hAnsi="仿宋" w:eastAsia="仿宋" w:cs="仿宋"/>
          <w:szCs w:val="32"/>
          <w:lang w:eastAsia="zh-CN"/>
        </w:rPr>
        <w:t>指标总分</w:t>
      </w:r>
      <w:r>
        <w:rPr>
          <w:rFonts w:hint="eastAsia" w:ascii="仿宋" w:hAnsi="仿宋" w:eastAsia="仿宋" w:cs="仿宋"/>
          <w:szCs w:val="32"/>
          <w:lang w:eastAsia="zh-CN"/>
        </w:rPr>
        <w:t>12</w:t>
      </w:r>
      <w:r>
        <w:rPr>
          <w:rFonts w:ascii="仿宋" w:hAnsi="仿宋" w:eastAsia="仿宋" w:cs="仿宋"/>
          <w:szCs w:val="32"/>
          <w:lang w:eastAsia="zh-CN"/>
        </w:rPr>
        <w:t>分，评估得分</w:t>
      </w:r>
      <w:r>
        <w:rPr>
          <w:rFonts w:hint="eastAsia" w:ascii="仿宋" w:hAnsi="仿宋" w:eastAsia="仿宋" w:cs="仿宋"/>
          <w:szCs w:val="32"/>
          <w:lang w:eastAsia="zh-CN"/>
        </w:rPr>
        <w:t>9</w:t>
      </w:r>
      <w:r>
        <w:rPr>
          <w:rFonts w:ascii="仿宋" w:hAnsi="仿宋" w:eastAsia="仿宋" w:cs="仿宋"/>
          <w:szCs w:val="32"/>
          <w:lang w:eastAsia="zh-CN"/>
        </w:rPr>
        <w:t>分。具体如下：</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1.资金使用计划合理性</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本项目资金使用计划在乐山市金口河区自然资源局与四川吉星林业规划设计有限公司双方商定的《政府采购合同》中约定，按项目完成进度安排使用资金，使用计划合理。根据</w:t>
      </w:r>
      <w:r>
        <w:rPr>
          <w:rFonts w:hint="eastAsia" w:ascii="仿宋" w:hAnsi="仿宋" w:eastAsia="仿宋" w:cs="仿宋"/>
          <w:szCs w:val="32"/>
          <w:highlight w:val="none"/>
          <w:lang w:eastAsia="zh-CN"/>
        </w:rPr>
        <w:t>评</w:t>
      </w:r>
      <w:r>
        <w:rPr>
          <w:rFonts w:hint="eastAsia" w:ascii="仿宋" w:hAnsi="仿宋" w:eastAsia="仿宋" w:cs="仿宋"/>
          <w:szCs w:val="32"/>
          <w:lang w:eastAsia="zh-CN"/>
        </w:rPr>
        <w:t>分标准，总分6分，得6分。</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2.资金到位及时性</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项目资金全部为政府资金，总投资98万元。截止绩效评价前项目资金已全部到位。具体到位时间如下：</w:t>
      </w:r>
    </w:p>
    <w:p>
      <w:pPr>
        <w:ind w:firstLine="0" w:firstLineChars="0"/>
        <w:jc w:val="center"/>
        <w:rPr>
          <w:rFonts w:hint="eastAsia" w:ascii="仿宋" w:hAnsi="仿宋" w:eastAsia="仿宋" w:cs="仿宋"/>
          <w:szCs w:val="32"/>
          <w:lang w:eastAsia="zh-CN"/>
        </w:rPr>
      </w:pPr>
      <w:r>
        <w:rPr>
          <w:rFonts w:hint="eastAsia" w:ascii="仿宋" w:hAnsi="仿宋" w:eastAsia="仿宋" w:cs="仿宋"/>
          <w:szCs w:val="32"/>
          <w:lang w:eastAsia="zh-CN"/>
        </w:rPr>
        <w:t>资金到位时间表</w:t>
      </w:r>
    </w:p>
    <w:tbl>
      <w:tblPr>
        <w:tblStyle w:val="21"/>
        <w:tblpPr w:leftFromText="180" w:rightFromText="180" w:vertAnchor="text" w:horzAnchor="page" w:tblpX="1838" w:tblpY="222"/>
        <w:tblOverlap w:val="never"/>
        <w:tblW w:w="8642" w:type="dxa"/>
        <w:tblInd w:w="0" w:type="dxa"/>
        <w:tblLayout w:type="fixed"/>
        <w:tblCellMar>
          <w:top w:w="0" w:type="dxa"/>
          <w:left w:w="108" w:type="dxa"/>
          <w:bottom w:w="0" w:type="dxa"/>
          <w:right w:w="108" w:type="dxa"/>
        </w:tblCellMar>
      </w:tblPr>
      <w:tblGrid>
        <w:gridCol w:w="704"/>
        <w:gridCol w:w="2126"/>
        <w:gridCol w:w="1134"/>
        <w:gridCol w:w="1559"/>
        <w:gridCol w:w="1843"/>
        <w:gridCol w:w="1276"/>
      </w:tblGrid>
      <w:tr>
        <w:tblPrEx>
          <w:tblCellMar>
            <w:top w:w="0" w:type="dxa"/>
            <w:left w:w="108" w:type="dxa"/>
            <w:bottom w:w="0" w:type="dxa"/>
            <w:right w:w="108" w:type="dxa"/>
          </w:tblCellMar>
        </w:tblPrEx>
        <w:trPr>
          <w:trHeight w:val="567" w:hRule="atLeast"/>
          <w:tblHeader/>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序号</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项目内容</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right="-83" w:rightChars="-26"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支付金额</w:t>
            </w:r>
          </w:p>
          <w:p>
            <w:pPr>
              <w:spacing w:line="240" w:lineRule="exact"/>
              <w:ind w:left="-83" w:leftChars="-26" w:right="-83" w:rightChars="-26"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（万元）</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发票开</w:t>
            </w:r>
          </w:p>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具时间</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合同约定最晚</w:t>
            </w:r>
          </w:p>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支付时间</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实际支付时间</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1</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金口河区第一次森林火灾风险普查服务费（第1笔）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4.9</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未提供发票</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2021.12.17</w:t>
            </w:r>
          </w:p>
        </w:tc>
      </w:tr>
      <w:tr>
        <w:tblPrEx>
          <w:tblCellMar>
            <w:top w:w="0" w:type="dxa"/>
            <w:left w:w="108" w:type="dxa"/>
            <w:bottom w:w="0" w:type="dxa"/>
            <w:right w:w="108" w:type="dxa"/>
          </w:tblCellMar>
        </w:tblPrEx>
        <w:trPr>
          <w:trHeight w:val="570" w:hRule="atLeast"/>
        </w:trPr>
        <w:tc>
          <w:tcPr>
            <w:tcW w:w="704"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w:t>
            </w:r>
          </w:p>
        </w:tc>
        <w:tc>
          <w:tcPr>
            <w:tcW w:w="2126" w:type="dxa"/>
            <w:vMerge w:val="restart"/>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金口河区第一次森林火灾风险普查服务费（第2笔）</w:t>
            </w:r>
          </w:p>
        </w:tc>
        <w:tc>
          <w:tcPr>
            <w:tcW w:w="1134" w:type="dxa"/>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w:t>
            </w:r>
          </w:p>
        </w:tc>
        <w:tc>
          <w:tcPr>
            <w:tcW w:w="1559" w:type="dxa"/>
            <w:vMerge w:val="restart"/>
            <w:tcBorders>
              <w:top w:val="single" w:color="000000" w:sz="4" w:space="0"/>
              <w:left w:val="single" w:color="000000" w:sz="4" w:space="0"/>
              <w:right w:val="single" w:color="000000" w:sz="4" w:space="0"/>
            </w:tcBorders>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2022.7.11</w:t>
            </w:r>
          </w:p>
        </w:tc>
        <w:tc>
          <w:tcPr>
            <w:tcW w:w="1843" w:type="dxa"/>
            <w:vMerge w:val="restart"/>
            <w:tcBorders>
              <w:top w:val="single" w:color="000000" w:sz="4" w:space="0"/>
              <w:left w:val="single" w:color="000000" w:sz="4" w:space="0"/>
              <w:right w:val="single" w:color="000000" w:sz="4" w:space="0"/>
            </w:tcBorders>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ascii="仿宋" w:hAnsi="仿宋" w:eastAsia="仿宋" w:cs="仿宋"/>
                <w:bCs/>
                <w:sz w:val="24"/>
                <w:lang w:eastAsia="zh-CN"/>
              </w:rPr>
              <w:t>2022.7.29</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2023.1.19</w:t>
            </w:r>
          </w:p>
        </w:tc>
      </w:tr>
      <w:tr>
        <w:tblPrEx>
          <w:tblCellMar>
            <w:top w:w="0" w:type="dxa"/>
            <w:left w:w="108" w:type="dxa"/>
            <w:bottom w:w="0" w:type="dxa"/>
            <w:right w:w="108" w:type="dxa"/>
          </w:tblCellMar>
        </w:tblPrEx>
        <w:trPr>
          <w:trHeight w:val="570" w:hRule="atLeast"/>
        </w:trPr>
        <w:tc>
          <w:tcPr>
            <w:tcW w:w="704"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p>
        </w:tc>
        <w:tc>
          <w:tcPr>
            <w:tcW w:w="2126" w:type="dxa"/>
            <w:vMerge w:val="continue"/>
            <w:tcBorders>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p>
        </w:tc>
        <w:tc>
          <w:tcPr>
            <w:tcW w:w="1134" w:type="dxa"/>
            <w:tcBorders>
              <w:top w:val="single" w:color="000000" w:sz="4" w:space="0"/>
              <w:left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19.2</w:t>
            </w:r>
          </w:p>
        </w:tc>
        <w:tc>
          <w:tcPr>
            <w:tcW w:w="1559" w:type="dxa"/>
            <w:vMerge w:val="continue"/>
            <w:tcBorders>
              <w:left w:val="single" w:color="000000" w:sz="4" w:space="0"/>
              <w:right w:val="single" w:color="000000" w:sz="4" w:space="0"/>
            </w:tcBorders>
            <w:vAlign w:val="center"/>
          </w:tcPr>
          <w:p>
            <w:pPr>
              <w:spacing w:line="240" w:lineRule="exact"/>
              <w:ind w:firstLine="0" w:firstLineChars="0"/>
              <w:jc w:val="center"/>
              <w:rPr>
                <w:rFonts w:hint="eastAsia" w:ascii="仿宋" w:hAnsi="仿宋" w:eastAsia="仿宋" w:cs="仿宋"/>
                <w:bCs/>
                <w:sz w:val="24"/>
                <w:lang w:eastAsia="zh-CN"/>
              </w:rPr>
            </w:pPr>
          </w:p>
        </w:tc>
        <w:tc>
          <w:tcPr>
            <w:tcW w:w="1843" w:type="dxa"/>
            <w:vMerge w:val="continue"/>
            <w:tcBorders>
              <w:left w:val="single" w:color="000000" w:sz="4" w:space="0"/>
              <w:right w:val="single" w:color="000000" w:sz="4" w:space="0"/>
            </w:tcBorders>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2024.2.8</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3</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金口河区第一次森林火灾风险普查服务费（第3笔）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29.4</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2022.10.24</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2022.11.4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2024.2.8</w:t>
            </w:r>
          </w:p>
        </w:tc>
      </w:tr>
      <w:tr>
        <w:tblPrEx>
          <w:tblCellMar>
            <w:top w:w="0" w:type="dxa"/>
            <w:left w:w="108" w:type="dxa"/>
            <w:bottom w:w="0" w:type="dxa"/>
            <w:right w:w="108" w:type="dxa"/>
          </w:tblCellMar>
        </w:tblPrEx>
        <w:trPr>
          <w:trHeight w:val="567"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4</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rPr>
                <w:rFonts w:hint="eastAsia" w:ascii="仿宋" w:hAnsi="仿宋" w:eastAsia="仿宋" w:cs="仿宋"/>
                <w:bCs/>
                <w:sz w:val="24"/>
                <w:lang w:eastAsia="zh-CN"/>
              </w:rPr>
            </w:pPr>
            <w:r>
              <w:rPr>
                <w:rFonts w:hint="eastAsia" w:ascii="仿宋" w:hAnsi="仿宋" w:eastAsia="仿宋" w:cs="仿宋"/>
                <w:bCs/>
                <w:sz w:val="24"/>
                <w:lang w:eastAsia="zh-CN"/>
              </w:rPr>
              <w:t>金口河区第一次森林火灾风险普查服务费（第4笔）</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24.5</w:t>
            </w:r>
          </w:p>
        </w:tc>
        <w:tc>
          <w:tcPr>
            <w:tcW w:w="1559"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2023.7.24</w:t>
            </w:r>
          </w:p>
        </w:tc>
        <w:tc>
          <w:tcPr>
            <w:tcW w:w="1843" w:type="dxa"/>
            <w:tcBorders>
              <w:top w:val="single" w:color="000000" w:sz="4" w:space="0"/>
              <w:left w:val="single" w:color="000000" w:sz="4" w:space="0"/>
              <w:bottom w:val="single" w:color="000000" w:sz="4" w:space="0"/>
              <w:right w:val="single" w:color="000000" w:sz="4" w:space="0"/>
            </w:tcBorders>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2023.8.4</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2025.1.24</w:t>
            </w:r>
          </w:p>
        </w:tc>
      </w:tr>
      <w:tr>
        <w:tblPrEx>
          <w:tblCellMar>
            <w:top w:w="0" w:type="dxa"/>
            <w:left w:w="108" w:type="dxa"/>
            <w:bottom w:w="0" w:type="dxa"/>
            <w:right w:w="108" w:type="dxa"/>
          </w:tblCellMar>
        </w:tblPrEx>
        <w:trPr>
          <w:trHeight w:val="567" w:hRule="atLeast"/>
        </w:trPr>
        <w:tc>
          <w:tcPr>
            <w:tcW w:w="28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r>
              <w:rPr>
                <w:rFonts w:hint="eastAsia" w:ascii="仿宋" w:hAnsi="仿宋" w:eastAsia="仿宋" w:cs="仿宋"/>
                <w:bCs/>
                <w:sz w:val="24"/>
                <w:lang w:eastAsia="zh-CN"/>
              </w:rPr>
              <w:t>98</w:t>
            </w:r>
          </w:p>
        </w:tc>
        <w:tc>
          <w:tcPr>
            <w:tcW w:w="1559" w:type="dxa"/>
            <w:tcBorders>
              <w:top w:val="single" w:color="000000" w:sz="4" w:space="0"/>
              <w:left w:val="single" w:color="000000" w:sz="4" w:space="0"/>
              <w:bottom w:val="single" w:color="000000" w:sz="4" w:space="0"/>
              <w:right w:val="single" w:color="000000" w:sz="4" w:space="0"/>
            </w:tcBorders>
          </w:tcPr>
          <w:p>
            <w:pPr>
              <w:spacing w:line="240" w:lineRule="exact"/>
              <w:ind w:firstLine="0" w:firstLineChars="0"/>
              <w:jc w:val="center"/>
              <w:rPr>
                <w:rFonts w:hint="eastAsia" w:ascii="仿宋" w:hAnsi="仿宋" w:eastAsia="仿宋" w:cs="仿宋"/>
                <w:bCs/>
                <w:sz w:val="24"/>
                <w:lang w:eastAsia="zh-CN"/>
              </w:rPr>
            </w:pPr>
          </w:p>
        </w:tc>
        <w:tc>
          <w:tcPr>
            <w:tcW w:w="1843" w:type="dxa"/>
            <w:tcBorders>
              <w:top w:val="single" w:color="000000" w:sz="4" w:space="0"/>
              <w:left w:val="single" w:color="000000" w:sz="4" w:space="0"/>
              <w:bottom w:val="single" w:color="000000" w:sz="4" w:space="0"/>
              <w:right w:val="single" w:color="000000" w:sz="4" w:space="0"/>
            </w:tcBorders>
          </w:tcPr>
          <w:p>
            <w:pPr>
              <w:spacing w:line="240" w:lineRule="exact"/>
              <w:ind w:left="-118" w:leftChars="-37" w:right="-128" w:rightChars="-40" w:firstLine="0" w:firstLineChars="0"/>
              <w:jc w:val="center"/>
              <w:rPr>
                <w:rFonts w:hint="eastAsia" w:ascii="仿宋" w:hAnsi="仿宋" w:eastAsia="仿宋" w:cs="仿宋"/>
                <w:bCs/>
                <w:sz w:val="24"/>
                <w:lang w:eastAsia="zh-CN"/>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exact"/>
              <w:ind w:left="-118" w:leftChars="-37" w:right="-128" w:rightChars="-40" w:firstLine="0" w:firstLineChars="0"/>
              <w:jc w:val="center"/>
              <w:rPr>
                <w:rFonts w:hint="eastAsia" w:ascii="仿宋" w:hAnsi="仿宋" w:eastAsia="仿宋" w:cs="仿宋"/>
                <w:bCs/>
                <w:sz w:val="24"/>
                <w:lang w:eastAsia="zh-CN"/>
              </w:rPr>
            </w:pPr>
          </w:p>
        </w:tc>
      </w:tr>
    </w:tbl>
    <w:p>
      <w:pPr>
        <w:ind w:firstLine="640"/>
        <w:rPr>
          <w:rFonts w:hint="eastAsia" w:ascii="仿宋" w:hAnsi="仿宋" w:eastAsia="仿宋" w:cs="仿宋"/>
          <w:szCs w:val="32"/>
          <w:lang w:eastAsia="zh-CN"/>
        </w:rPr>
      </w:pPr>
      <w:r>
        <w:rPr>
          <w:rFonts w:hint="eastAsia" w:ascii="仿宋" w:hAnsi="仿宋" w:eastAsia="仿宋" w:cs="仿宋"/>
          <w:szCs w:val="32"/>
          <w:lang w:eastAsia="zh-CN"/>
        </w:rPr>
        <w:t>根据《政府采购合同》约定，资金支付以合同签订或完成任务后由四川吉星林业规划设计有限公司提供合法有效的支付凭证后15个工作日内支付进度款。由上表可知，除第一笔资金因项目单位未提供发票外，其余三笔均未按合同约定时间付款。根据评分标准，总分6分，得3分。</w:t>
      </w:r>
    </w:p>
    <w:p>
      <w:pPr>
        <w:pStyle w:val="3"/>
        <w:numPr>
          <w:ilvl w:val="0"/>
          <w:numId w:val="0"/>
        </w:numPr>
        <w:spacing w:before="0" w:beforeLines="0" w:after="0" w:afterLines="0"/>
        <w:ind w:left="658" w:leftChars="0"/>
        <w:rPr>
          <w:rFonts w:hint="eastAsia" w:ascii="楷体" w:hAnsi="楷体" w:eastAsia="楷体" w:cs="楷体"/>
          <w:b w:val="0"/>
          <w:kern w:val="44"/>
          <w:szCs w:val="32"/>
          <w:lang w:eastAsia="zh-CN"/>
        </w:rPr>
      </w:pPr>
      <w:bookmarkStart w:id="195" w:name="_Toc30218"/>
      <w:r>
        <w:rPr>
          <w:rFonts w:hint="eastAsia" w:ascii="楷体" w:hAnsi="楷体" w:cs="楷体"/>
          <w:b w:val="0"/>
          <w:kern w:val="44"/>
          <w:szCs w:val="32"/>
          <w:lang w:eastAsia="zh-CN"/>
        </w:rPr>
        <w:t>（五）</w:t>
      </w:r>
      <w:r>
        <w:rPr>
          <w:rFonts w:hint="eastAsia" w:ascii="楷体" w:hAnsi="楷体" w:eastAsia="楷体" w:cs="楷体"/>
          <w:b w:val="0"/>
          <w:kern w:val="44"/>
          <w:szCs w:val="32"/>
          <w:lang w:eastAsia="zh-CN"/>
        </w:rPr>
        <w:t>项目绩效目标明确性、合理性</w:t>
      </w:r>
      <w:bookmarkEnd w:id="195"/>
    </w:p>
    <w:p>
      <w:pPr>
        <w:ind w:firstLine="640"/>
        <w:rPr>
          <w:rFonts w:hint="eastAsia" w:ascii="仿宋" w:hAnsi="仿宋" w:eastAsia="仿宋" w:cs="仿宋"/>
          <w:szCs w:val="32"/>
          <w:lang w:eastAsia="zh-CN"/>
        </w:rPr>
      </w:pPr>
      <w:r>
        <w:rPr>
          <w:rFonts w:hint="eastAsia" w:ascii="仿宋" w:hAnsi="仿宋" w:eastAsia="仿宋" w:cs="仿宋"/>
          <w:szCs w:val="32"/>
          <w:lang w:val="en-US" w:eastAsia="zh-CN"/>
        </w:rPr>
        <w:t>项目</w:t>
      </w:r>
      <w:r>
        <w:rPr>
          <w:rFonts w:hint="eastAsia" w:ascii="仿宋" w:hAnsi="仿宋" w:eastAsia="仿宋" w:cs="仿宋"/>
          <w:szCs w:val="32"/>
          <w:lang w:eastAsia="zh-CN"/>
        </w:rPr>
        <w:t>绩效目标</w:t>
      </w:r>
      <w:r>
        <w:rPr>
          <w:rFonts w:hint="eastAsia" w:ascii="仿宋" w:hAnsi="仿宋" w:eastAsia="仿宋" w:cs="仿宋"/>
          <w:szCs w:val="32"/>
          <w:lang w:val="en-US" w:eastAsia="zh-CN"/>
        </w:rPr>
        <w:t>明确性、</w:t>
      </w:r>
      <w:r>
        <w:rPr>
          <w:rFonts w:hint="eastAsia" w:ascii="仿宋" w:hAnsi="仿宋" w:eastAsia="仿宋" w:cs="仿宋"/>
          <w:szCs w:val="32"/>
          <w:lang w:eastAsia="zh-CN"/>
        </w:rPr>
        <w:t>合理性</w:t>
      </w:r>
      <w:bookmarkStart w:id="196" w:name="OLE_LINK6"/>
      <w:r>
        <w:rPr>
          <w:rFonts w:hint="eastAsia" w:ascii="仿宋" w:hAnsi="仿宋" w:eastAsia="仿宋" w:cs="仿宋"/>
          <w:szCs w:val="32"/>
          <w:lang w:eastAsia="zh-CN"/>
        </w:rPr>
        <w:t>方面，指标总分13分，评估得分13分。具体如下：</w:t>
      </w:r>
      <w:bookmarkEnd w:id="196"/>
    </w:p>
    <w:p>
      <w:pPr>
        <w:ind w:firstLine="640"/>
        <w:rPr>
          <w:rFonts w:hint="eastAsia" w:ascii="仿宋" w:hAnsi="仿宋" w:eastAsia="仿宋" w:cs="仿宋"/>
          <w:szCs w:val="32"/>
          <w:lang w:eastAsia="zh-CN"/>
        </w:rPr>
      </w:pPr>
      <w:r>
        <w:rPr>
          <w:rFonts w:hint="eastAsia" w:ascii="仿宋" w:hAnsi="仿宋" w:eastAsia="仿宋" w:cs="仿宋"/>
          <w:szCs w:val="32"/>
          <w:lang w:eastAsia="zh-CN"/>
        </w:rPr>
        <w:t>1.绩效目标明确性</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本次事前绩效评估根据《</w:t>
      </w:r>
      <w:r>
        <w:fldChar w:fldCharType="begin"/>
      </w:r>
      <w:r>
        <w:instrText xml:space="preserve"> HYPERLINK "https://www.chinawestagr.com/UpFile/ckeditor/tjcwc/2018/11/files/%E5%9B%9B%E5%B7%9D%E7%9C%81%E7%9C%81%E7%BA%A7%E9%A2%84%E7%AE%97%E4%BA%8B%E5%89%8D%E7%BB%A9%E6%95%88%E8%AF%84%E4%BC%B0%E7%AE%A1%E7%90%86%E6%9A%82%E8%A1%8C%E5%8A%9E%E6%B3%95.pdf" </w:instrText>
      </w:r>
      <w:r>
        <w:fldChar w:fldCharType="separate"/>
      </w:r>
      <w:r>
        <w:rPr>
          <w:rFonts w:hint="eastAsia" w:ascii="仿宋" w:hAnsi="仿宋" w:eastAsia="仿宋" w:cs="仿宋"/>
          <w:szCs w:val="32"/>
          <w:lang w:eastAsia="zh-CN"/>
        </w:rPr>
        <w:t>四川省财政厅关于印发&lt;四川省预算评审管理实施细则（试行）&gt;的通知》（川财预〔2024〕38号）</w:t>
      </w:r>
      <w:r>
        <w:rPr>
          <w:rFonts w:hint="eastAsia" w:ascii="仿宋" w:hAnsi="仿宋" w:eastAsia="仿宋" w:cs="仿宋"/>
          <w:szCs w:val="32"/>
          <w:lang w:eastAsia="zh-CN"/>
        </w:rPr>
        <w:fldChar w:fldCharType="end"/>
      </w:r>
      <w:r>
        <w:rPr>
          <w:rFonts w:hint="eastAsia" w:ascii="仿宋" w:hAnsi="仿宋" w:eastAsia="仿宋" w:cs="仿宋"/>
          <w:szCs w:val="32"/>
          <w:lang w:eastAsia="zh-CN"/>
        </w:rPr>
        <w:t>进行，按照事前评估应当遵守的基本内容设计本项目个性评价指标，确保绩效目标可评、可量、可用于指导项目实施阶段绩效评价。</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该项目绩效目标设定明确，与年度工作目标一致，并且绩效目标的编制内容符合《项目支出绩效评价管理办法》（财预〔2020〕1</w:t>
      </w:r>
      <w:r>
        <w:rPr>
          <w:rFonts w:hint="eastAsia" w:ascii="仿宋" w:hAnsi="仿宋" w:eastAsia="仿宋" w:cs="仿宋"/>
          <w:szCs w:val="32"/>
          <w:highlight w:val="none"/>
          <w:lang w:eastAsia="zh-CN"/>
        </w:rPr>
        <w:t>0号）</w:t>
      </w:r>
      <w:r>
        <w:rPr>
          <w:rFonts w:hint="eastAsia" w:ascii="仿宋" w:hAnsi="仿宋" w:eastAsia="仿宋" w:cs="仿宋"/>
          <w:szCs w:val="32"/>
          <w:lang w:eastAsia="zh-CN"/>
        </w:rPr>
        <w:t>政策规定，与项目内容高度相关。根据评分标准，总分7分，得7分。</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2.目标合理性</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根据《</w:t>
      </w:r>
      <w:r>
        <w:fldChar w:fldCharType="begin"/>
      </w:r>
      <w:r>
        <w:instrText xml:space="preserve"> HYPERLINK "https://www.chinawestagr.com/UpFile/ckeditor/tjcwc/2018/11/files/%E5%9B%9B%E5%B7%9D%E7%9C%81%E7%9C%81%E7%BA%A7%E9%A2%84%E7%AE%97%E4%BA%8B%E5%89%8D%E7%BB%A9%E6%95%88%E8%AF%84%E4%BC%B0%E7%AE%A1%E7%90%86%E6%9A%82%E8%A1%8C%E5%8A%9E%E6%B3%95.pdf" </w:instrText>
      </w:r>
      <w:r>
        <w:fldChar w:fldCharType="separate"/>
      </w:r>
      <w:r>
        <w:rPr>
          <w:rFonts w:hint="eastAsia" w:ascii="仿宋" w:hAnsi="仿宋" w:eastAsia="仿宋" w:cs="仿宋"/>
          <w:szCs w:val="32"/>
          <w:lang w:eastAsia="zh-CN"/>
        </w:rPr>
        <w:t>四川省财政厅关于印发&lt;四川省预算评审管理实施细则（试行）&gt;的通知》（川财预〔2024〕38号）</w:t>
      </w:r>
      <w:r>
        <w:rPr>
          <w:rFonts w:hint="eastAsia" w:ascii="仿宋" w:hAnsi="仿宋" w:eastAsia="仿宋" w:cs="仿宋"/>
          <w:szCs w:val="32"/>
          <w:lang w:eastAsia="zh-CN"/>
        </w:rPr>
        <w:fldChar w:fldCharType="end"/>
      </w:r>
      <w:r>
        <w:rPr>
          <w:rFonts w:hint="eastAsia" w:ascii="仿宋" w:hAnsi="仿宋" w:eastAsia="仿宋" w:cs="仿宋"/>
          <w:szCs w:val="32"/>
          <w:lang w:eastAsia="zh-CN"/>
        </w:rPr>
        <w:t>，本项目绩效目标重点反映了森林火灾风险普查专项经费的产出数量、质量、时效、成本，还包括社会效益、可持续影响、满意度等绩效指标。</w:t>
      </w:r>
    </w:p>
    <w:p>
      <w:pPr>
        <w:ind w:firstLineChars="0"/>
        <w:rPr>
          <w:rFonts w:hint="eastAsia" w:ascii="仿宋" w:hAnsi="仿宋" w:eastAsia="仿宋" w:cs="仿宋"/>
          <w:szCs w:val="32"/>
          <w:lang w:eastAsia="zh-CN"/>
        </w:rPr>
      </w:pPr>
      <w:r>
        <w:rPr>
          <w:rFonts w:hint="eastAsia" w:ascii="仿宋" w:hAnsi="仿宋" w:eastAsia="仿宋" w:cs="仿宋"/>
          <w:szCs w:val="32"/>
          <w:lang w:eastAsia="zh-CN"/>
        </w:rPr>
        <w:t>通过项目的实施，有利于降低火灾对林业产业的影响，保障林业经济的稳定增长。减少森林火灾风险，可保护旅游资源，为游客提供安全的旅游环境，促进森林旅游等相关产业的健康发展。建立森林火灾风险普查数据库，形成风险评估与区划等成果。通过宣传森林火灾风险知识，提高公众对森林火灾危害的认识和防火意识，促进全社会形成共同参与森林火灾防控的良好氛围。</w:t>
      </w:r>
    </w:p>
    <w:p>
      <w:pPr>
        <w:ind w:firstLineChars="0"/>
        <w:rPr>
          <w:rFonts w:hint="eastAsia" w:ascii="仿宋" w:hAnsi="仿宋" w:eastAsia="仿宋" w:cs="仿宋"/>
          <w:szCs w:val="32"/>
          <w:lang w:eastAsia="zh-CN"/>
        </w:rPr>
      </w:pPr>
      <w:r>
        <w:rPr>
          <w:rFonts w:hint="eastAsia" w:ascii="仿宋" w:hAnsi="仿宋" w:eastAsia="仿宋" w:cs="仿宋"/>
          <w:szCs w:val="32"/>
          <w:lang w:eastAsia="zh-CN"/>
        </w:rPr>
        <w:t>因此，本项目的绩效目标合理，指标细化、量化、合理可考核且与申报预算的资金量相匹配。根据评分标准，总分6分，得6分。</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197" w:name="_Toc22418"/>
      <w:r>
        <w:rPr>
          <w:rFonts w:hint="eastAsia" w:ascii="楷体" w:hAnsi="楷体" w:cs="楷体"/>
          <w:b w:val="0"/>
          <w:kern w:val="44"/>
          <w:szCs w:val="32"/>
          <w:lang w:eastAsia="zh-CN"/>
        </w:rPr>
        <w:t>（六）</w:t>
      </w:r>
      <w:r>
        <w:rPr>
          <w:rFonts w:hint="eastAsia" w:ascii="楷体" w:hAnsi="楷体" w:eastAsia="楷体" w:cs="楷体"/>
          <w:b w:val="0"/>
          <w:kern w:val="44"/>
          <w:szCs w:val="32"/>
          <w:lang w:eastAsia="zh-CN"/>
        </w:rPr>
        <w:t>项</w:t>
      </w:r>
      <w:r>
        <w:rPr>
          <w:rFonts w:hint="eastAsia" w:ascii="楷体" w:hAnsi="楷体" w:eastAsia="楷体" w:cs="楷体"/>
          <w:b w:val="0"/>
          <w:kern w:val="44"/>
          <w:szCs w:val="32"/>
          <w:lang w:eastAsia="zh-CN"/>
        </w:rPr>
        <w:t>目实施方案的有效性</w:t>
      </w:r>
      <w:bookmarkEnd w:id="197"/>
    </w:p>
    <w:p>
      <w:pPr>
        <w:ind w:firstLine="640"/>
        <w:rPr>
          <w:rFonts w:hint="eastAsia" w:ascii="仿宋" w:hAnsi="仿宋" w:eastAsia="仿宋" w:cs="仿宋"/>
          <w:szCs w:val="32"/>
          <w:lang w:eastAsia="zh-CN"/>
        </w:rPr>
      </w:pPr>
      <w:r>
        <w:rPr>
          <w:rFonts w:ascii="仿宋" w:hAnsi="仿宋" w:eastAsia="仿宋" w:cs="仿宋"/>
          <w:szCs w:val="32"/>
          <w:lang w:eastAsia="zh-CN"/>
        </w:rPr>
        <w:t>项目实施方案的有效性</w:t>
      </w:r>
      <w:r>
        <w:rPr>
          <w:rFonts w:hint="eastAsia" w:ascii="仿宋" w:hAnsi="仿宋" w:eastAsia="仿宋" w:cs="仿宋"/>
          <w:szCs w:val="32"/>
          <w:lang w:eastAsia="zh-CN"/>
        </w:rPr>
        <w:t>方面，指标总分8分，评估得分8分。具体如下：</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2021年12月2日金口河区自然资源局向四川省第一次森林和草原火灾风险普查工作领导小组办公室提交《乐山市金口河区自然资源局关于审定&lt;乐山市金口河区第一次森林火灾风险普查实施方案&gt;的请示》(金自然资〔2021〕196号)，2021年12月6日省林草局火灾普查办给予通过批复。</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在项目实施过程中，金口河区自然资源局严格按照实施方案对四川吉星林业规划设计有限公司的工作开展监督检查，以保障工作按时完成。根据评分标准，总分8分，得8分。</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198" w:name="_Toc22324"/>
      <w:r>
        <w:rPr>
          <w:rFonts w:hint="eastAsia" w:ascii="楷体" w:hAnsi="楷体" w:cs="楷体"/>
          <w:b w:val="0"/>
          <w:kern w:val="44"/>
          <w:szCs w:val="32"/>
          <w:lang w:eastAsia="zh-CN"/>
        </w:rPr>
        <w:t>（七）</w:t>
      </w:r>
      <w:r>
        <w:rPr>
          <w:rFonts w:hint="eastAsia" w:ascii="楷体" w:hAnsi="楷体" w:eastAsia="楷体" w:cs="楷体"/>
          <w:b w:val="0"/>
          <w:kern w:val="44"/>
          <w:szCs w:val="32"/>
          <w:lang w:eastAsia="zh-CN"/>
        </w:rPr>
        <w:t>项目实施成果合格性</w:t>
      </w:r>
      <w:bookmarkEnd w:id="198"/>
    </w:p>
    <w:p>
      <w:pPr>
        <w:ind w:firstLine="640"/>
        <w:rPr>
          <w:rFonts w:hint="eastAsia" w:ascii="仿宋" w:hAnsi="仿宋" w:eastAsia="仿宋" w:cs="仿宋"/>
          <w:szCs w:val="32"/>
          <w:lang w:eastAsia="zh-CN"/>
        </w:rPr>
      </w:pPr>
      <w:r>
        <w:rPr>
          <w:rFonts w:ascii="仿宋" w:hAnsi="仿宋" w:eastAsia="仿宋" w:cs="仿宋"/>
          <w:szCs w:val="32"/>
          <w:lang w:eastAsia="zh-CN"/>
        </w:rPr>
        <w:t>项目</w:t>
      </w:r>
      <w:r>
        <w:rPr>
          <w:rFonts w:hint="eastAsia" w:ascii="仿宋" w:hAnsi="仿宋" w:eastAsia="仿宋" w:cs="仿宋"/>
          <w:szCs w:val="32"/>
          <w:lang w:eastAsia="zh-CN"/>
        </w:rPr>
        <w:t>实施成果合格</w:t>
      </w:r>
      <w:r>
        <w:rPr>
          <w:rFonts w:hint="eastAsia" w:ascii="仿宋" w:hAnsi="仿宋" w:eastAsia="仿宋" w:cs="仿宋"/>
          <w:szCs w:val="32"/>
          <w:lang w:val="en-US" w:eastAsia="zh-CN"/>
        </w:rPr>
        <w:t>性</w:t>
      </w:r>
      <w:r>
        <w:rPr>
          <w:rFonts w:hint="eastAsia" w:ascii="仿宋" w:hAnsi="仿宋" w:eastAsia="仿宋" w:cs="仿宋"/>
          <w:szCs w:val="32"/>
          <w:lang w:eastAsia="zh-CN"/>
        </w:rPr>
        <w:t>方面，指标总分9分，评估得分4分。具体如下：</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1.服务期限合格性</w:t>
      </w:r>
    </w:p>
    <w:p>
      <w:pPr>
        <w:ind w:firstLine="640"/>
        <w:rPr>
          <w:rFonts w:hint="eastAsia" w:ascii="仿宋" w:hAnsi="仿宋" w:eastAsia="仿宋" w:cs="仿宋"/>
          <w:szCs w:val="32"/>
          <w:lang w:eastAsia="zh-CN"/>
        </w:rPr>
      </w:pPr>
      <w:r>
        <w:rPr>
          <w:rFonts w:hint="eastAsia" w:ascii="仿宋" w:hAnsi="仿宋" w:eastAsia="仿宋" w:cs="仿宋"/>
          <w:bCs/>
          <w:szCs w:val="32"/>
          <w:lang w:eastAsia="zh-CN"/>
        </w:rPr>
        <w:t>《政府采购合同》约定的服务期限为：2021年12月31日前完成外业调查，通过质检验收；2022年6月31日前完成全区评估与区划，提交各项普查成果资料，并通过验收。2022年12月10日前完成全区火灾普查成果汇总、编制和上报。</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实际完成限期为：</w:t>
      </w:r>
      <w:bookmarkStart w:id="199" w:name="OLE_LINK7"/>
      <w:r>
        <w:rPr>
          <w:rFonts w:hint="eastAsia" w:ascii="仿宋" w:hAnsi="仿宋" w:eastAsia="仿宋" w:cs="仿宋"/>
          <w:szCs w:val="32"/>
          <w:lang w:eastAsia="zh-CN"/>
        </w:rPr>
        <w:t>2022年3月15日前，完成外业调查；2022年3月17日通过省级质量检查。2022年9月27日评估与区划成果数据通过省级评审。2022年11月30日通过四川省第一次森林和草原火灾风险普查工作领导小组办公室质量审核，普查工作全面完成。</w:t>
      </w:r>
      <w:bookmarkEnd w:id="199"/>
    </w:p>
    <w:p>
      <w:pPr>
        <w:ind w:firstLine="640"/>
        <w:rPr>
          <w:rFonts w:hint="eastAsia" w:ascii="仿宋" w:hAnsi="仿宋" w:eastAsia="仿宋" w:cs="仿宋"/>
          <w:szCs w:val="32"/>
          <w:lang w:eastAsia="zh-CN"/>
        </w:rPr>
      </w:pPr>
      <w:r>
        <w:rPr>
          <w:rFonts w:hint="eastAsia" w:ascii="仿宋" w:hAnsi="仿宋" w:eastAsia="仿宋" w:cs="仿宋"/>
          <w:szCs w:val="32"/>
          <w:lang w:eastAsia="zh-CN"/>
        </w:rPr>
        <w:t>综上，外业调查、评估与区划成果两项工作未在合同规定期限内完成。</w:t>
      </w:r>
      <w:bookmarkStart w:id="200" w:name="OLE_LINK8"/>
      <w:r>
        <w:rPr>
          <w:rFonts w:hint="eastAsia" w:ascii="仿宋" w:hAnsi="仿宋" w:eastAsia="仿宋" w:cs="仿宋"/>
          <w:szCs w:val="32"/>
          <w:lang w:eastAsia="zh-CN"/>
        </w:rPr>
        <w:t>根据评分标准，总分3分，得1分。</w:t>
      </w:r>
      <w:bookmarkEnd w:id="200"/>
    </w:p>
    <w:p>
      <w:pPr>
        <w:ind w:firstLine="640"/>
        <w:rPr>
          <w:rFonts w:hint="eastAsia" w:ascii="仿宋" w:hAnsi="仿宋" w:eastAsia="仿宋" w:cs="仿宋"/>
          <w:szCs w:val="32"/>
          <w:lang w:eastAsia="zh-CN"/>
        </w:rPr>
      </w:pPr>
      <w:r>
        <w:rPr>
          <w:rFonts w:hint="eastAsia" w:ascii="仿宋" w:hAnsi="仿宋" w:eastAsia="仿宋" w:cs="仿宋"/>
          <w:szCs w:val="32"/>
          <w:lang w:eastAsia="zh-CN"/>
        </w:rPr>
        <w:t>2.服务质量合格性</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2022年3月17日外业调查通过省级质量检查；2022年9月27日评估与区划成果数据通过省级评审。2022年11月30日通过四川省第一次森林和草原火灾风险普查工作领导小组办公室质量审核，普查工作全面完成。</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外业调查、评估与区划成果审核报告评定均为“良”。其中评估与区划成果的审查意见中，提出了待完善建议。在项目单位提供的资料中，未</w:t>
      </w:r>
      <w:r>
        <w:rPr>
          <w:rFonts w:hint="eastAsia" w:ascii="仿宋" w:hAnsi="仿宋" w:eastAsia="仿宋" w:cs="仿宋"/>
          <w:szCs w:val="32"/>
          <w:lang w:val="en-US" w:eastAsia="zh-CN"/>
        </w:rPr>
        <w:t>提供</w:t>
      </w:r>
      <w:r>
        <w:rPr>
          <w:rFonts w:hint="eastAsia" w:ascii="仿宋" w:hAnsi="仿宋" w:eastAsia="仿宋" w:cs="仿宋"/>
          <w:szCs w:val="32"/>
          <w:lang w:eastAsia="zh-CN"/>
        </w:rPr>
        <w:t>完善建议</w:t>
      </w:r>
      <w:r>
        <w:rPr>
          <w:rFonts w:hint="eastAsia" w:ascii="仿宋" w:hAnsi="仿宋" w:eastAsia="仿宋" w:cs="仿宋"/>
          <w:szCs w:val="32"/>
          <w:lang w:val="en-US" w:eastAsia="zh-CN"/>
        </w:rPr>
        <w:t>内容</w:t>
      </w:r>
      <w:r>
        <w:rPr>
          <w:rFonts w:hint="eastAsia" w:ascii="仿宋" w:hAnsi="仿宋" w:eastAsia="仿宋" w:cs="仿宋"/>
          <w:szCs w:val="32"/>
          <w:lang w:eastAsia="zh-CN"/>
        </w:rPr>
        <w:t>的</w:t>
      </w:r>
      <w:r>
        <w:rPr>
          <w:rFonts w:hint="eastAsia" w:ascii="仿宋" w:hAnsi="仿宋" w:eastAsia="仿宋" w:cs="仿宋"/>
          <w:szCs w:val="32"/>
          <w:lang w:val="en-US" w:eastAsia="zh-CN"/>
        </w:rPr>
        <w:t>后续档案</w:t>
      </w:r>
      <w:r>
        <w:rPr>
          <w:rFonts w:hint="eastAsia" w:ascii="仿宋" w:hAnsi="仿宋" w:eastAsia="仿宋" w:cs="仿宋"/>
          <w:szCs w:val="32"/>
          <w:lang w:eastAsia="zh-CN"/>
        </w:rPr>
        <w:t>资料。根据评分标准，总分6分，得3分。</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01" w:name="_Toc26124"/>
      <w:r>
        <w:rPr>
          <w:rFonts w:hint="eastAsia" w:ascii="楷体" w:hAnsi="楷体" w:cs="楷体"/>
          <w:b w:val="0"/>
          <w:kern w:val="44"/>
          <w:szCs w:val="32"/>
          <w:lang w:eastAsia="zh-CN"/>
        </w:rPr>
        <w:t>（八）</w:t>
      </w:r>
      <w:r>
        <w:rPr>
          <w:rFonts w:hint="eastAsia" w:ascii="楷体" w:hAnsi="楷体" w:eastAsia="楷体" w:cs="楷体"/>
          <w:b w:val="0"/>
          <w:kern w:val="44"/>
          <w:szCs w:val="32"/>
          <w:lang w:eastAsia="zh-CN"/>
        </w:rPr>
        <w:t>项目实施的可持续性</w:t>
      </w:r>
      <w:bookmarkEnd w:id="201"/>
    </w:p>
    <w:p>
      <w:pPr>
        <w:ind w:firstLine="640"/>
        <w:rPr>
          <w:lang w:eastAsia="zh-CN"/>
        </w:rPr>
      </w:pPr>
      <w:r>
        <w:rPr>
          <w:rFonts w:hint="eastAsia" w:ascii="仿宋" w:hAnsi="仿宋" w:eastAsia="仿宋" w:cs="仿宋"/>
          <w:szCs w:val="32"/>
          <w:lang w:eastAsia="zh-CN"/>
        </w:rPr>
        <w:t>项目实施的可持续性方面，指标总分12分，评估得分12分。具体如下：</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从国家到地方，各级政府都高度重视森林防火工作，出台了一系列政策法规，要求定期开展森林火灾风险普查。森林火灾风险普查所获取的数据，对于森林防火规划、预防措施制定等意义重大。随着森林资源动态变化、气候变化等因素影响，数据需要不断更新以保证其时效性和准确性，这就促使普查项目持续开展。随着科技的不断发展，无人机、卫星遥感、物联网等先进技术在森林火灾风险普查中得到广泛应用。随着人们对生态环境的重视和森林资源保护意识的提高，社会对森林火灾预防和应急管理的需求也日益增强。</w:t>
      </w:r>
    </w:p>
    <w:p>
      <w:pPr>
        <w:ind w:firstLine="640"/>
        <w:rPr>
          <w:rFonts w:hint="eastAsia" w:ascii="仿宋" w:hAnsi="仿宋" w:eastAsia="仿宋" w:cs="仿宋"/>
          <w:szCs w:val="32"/>
          <w:lang w:eastAsia="zh-CN"/>
        </w:rPr>
      </w:pPr>
      <w:r>
        <w:rPr>
          <w:rFonts w:hint="eastAsia" w:ascii="仿宋" w:hAnsi="仿宋" w:eastAsia="仿宋" w:cs="仿宋"/>
          <w:szCs w:val="32"/>
          <w:lang w:eastAsia="zh-CN"/>
        </w:rPr>
        <w:t>森林火灾风险普查作为森林防火工作的重要基础，其成果能够为社会提供科学的决策依据，保障人民生命财产安全和生态环境稳定，因此项目的实施具有持续的社会需求。根据评分标准，总分12分，得12分。</w:t>
      </w:r>
    </w:p>
    <w:p>
      <w:pPr>
        <w:pStyle w:val="3"/>
        <w:numPr>
          <w:numId w:val="0"/>
        </w:numPr>
        <w:spacing w:before="0" w:beforeLines="0" w:after="0" w:afterLines="0"/>
        <w:ind w:left="643" w:leftChars="0"/>
        <w:rPr>
          <w:rFonts w:hint="eastAsia" w:ascii="楷体" w:hAnsi="楷体" w:eastAsia="楷体" w:cs="楷体"/>
          <w:b w:val="0"/>
          <w:kern w:val="44"/>
          <w:szCs w:val="32"/>
          <w:lang w:eastAsia="zh-CN"/>
        </w:rPr>
      </w:pPr>
      <w:bookmarkStart w:id="202" w:name="_Toc24831"/>
      <w:r>
        <w:rPr>
          <w:rFonts w:hint="eastAsia" w:ascii="楷体" w:hAnsi="楷体" w:cs="楷体"/>
          <w:b w:val="0"/>
          <w:kern w:val="44"/>
          <w:szCs w:val="32"/>
          <w:lang w:eastAsia="zh-CN"/>
        </w:rPr>
        <w:t>（九）</w:t>
      </w:r>
      <w:r>
        <w:rPr>
          <w:rFonts w:hint="eastAsia" w:ascii="楷体" w:hAnsi="楷体" w:eastAsia="楷体" w:cs="楷体"/>
          <w:b w:val="0"/>
          <w:kern w:val="44"/>
          <w:szCs w:val="32"/>
          <w:lang w:eastAsia="zh-CN"/>
        </w:rPr>
        <w:t>总体结论</w:t>
      </w:r>
      <w:bookmarkEnd w:id="202"/>
    </w:p>
    <w:p>
      <w:pPr>
        <w:ind w:firstLine="640"/>
        <w:rPr>
          <w:rFonts w:hint="eastAsia" w:ascii="仿宋" w:hAnsi="仿宋" w:eastAsia="仿宋" w:cs="仿宋"/>
          <w:szCs w:val="32"/>
          <w:lang w:eastAsia="zh-CN"/>
        </w:rPr>
      </w:pPr>
      <w:r>
        <w:rPr>
          <w:rFonts w:ascii="仿宋" w:hAnsi="仿宋" w:eastAsia="仿宋" w:cs="仿宋"/>
          <w:szCs w:val="32"/>
          <w:lang w:eastAsia="zh-CN"/>
        </w:rPr>
        <w:t>评估小组通过对前述</w:t>
      </w:r>
      <w:r>
        <w:rPr>
          <w:rFonts w:hint="eastAsia" w:ascii="仿宋" w:hAnsi="仿宋" w:eastAsia="仿宋" w:cs="仿宋"/>
          <w:szCs w:val="32"/>
          <w:lang w:eastAsia="zh-CN"/>
        </w:rPr>
        <w:t>8</w:t>
      </w:r>
      <w:r>
        <w:rPr>
          <w:rFonts w:ascii="仿宋" w:hAnsi="仿宋" w:eastAsia="仿宋" w:cs="仿宋"/>
          <w:szCs w:val="32"/>
          <w:lang w:eastAsia="zh-CN"/>
        </w:rPr>
        <w:t>个一级指标、15个二级指标以及3</w:t>
      </w:r>
      <w:r>
        <w:rPr>
          <w:rFonts w:hint="eastAsia" w:ascii="仿宋" w:hAnsi="仿宋" w:eastAsia="仿宋" w:cs="仿宋"/>
          <w:szCs w:val="32"/>
          <w:lang w:eastAsia="zh-CN"/>
        </w:rPr>
        <w:t>0</w:t>
      </w:r>
      <w:r>
        <w:rPr>
          <w:rFonts w:ascii="仿宋" w:hAnsi="仿宋" w:eastAsia="仿宋" w:cs="仿宋"/>
          <w:szCs w:val="32"/>
          <w:lang w:eastAsia="zh-CN"/>
        </w:rPr>
        <w:t>个三级指标评分的分析评估，全面评估该项目的预期绩效情况，评估总分</w:t>
      </w:r>
      <w:r>
        <w:rPr>
          <w:rFonts w:hint="eastAsia" w:ascii="仿宋" w:hAnsi="仿宋" w:eastAsia="仿宋" w:cs="仿宋"/>
          <w:szCs w:val="32"/>
          <w:lang w:eastAsia="zh-CN"/>
        </w:rPr>
        <w:t>92</w:t>
      </w:r>
      <w:r>
        <w:rPr>
          <w:rFonts w:ascii="仿宋" w:hAnsi="仿宋" w:eastAsia="仿宋" w:cs="仿宋"/>
          <w:szCs w:val="32"/>
          <w:lang w:eastAsia="zh-CN"/>
        </w:rPr>
        <w:t>分。</w:t>
      </w:r>
      <w:r>
        <w:rPr>
          <w:rFonts w:hint="eastAsia" w:ascii="仿宋" w:hAnsi="仿宋" w:eastAsia="仿宋" w:cs="仿宋"/>
          <w:szCs w:val="32"/>
          <w:lang w:eastAsia="zh-CN"/>
        </w:rPr>
        <w:t>全国自然灾害综合风险普查是一项重大的国情国力调查，是提升自然灾害防治能力的基础性工作。通过开展普查，摸清全国自然灾害风险隐患底数，查明重点地区抗灾能力，客观认识全国和各地区自然灾害综合风险水平，为中央和地方各级人民政府有效开展自然灾害防治工作、切实保障经济社会可持续发展提供权威的灾害风险信息和科学决策依据。</w:t>
      </w:r>
      <w:r>
        <w:rPr>
          <w:rFonts w:ascii="仿宋" w:hAnsi="仿宋" w:eastAsia="仿宋" w:cs="仿宋"/>
          <w:szCs w:val="32"/>
          <w:lang w:eastAsia="zh-CN"/>
        </w:rPr>
        <w:t>本项目通过社会调查、效益分析、对比分析等方法评估，综合考虑项目绩效目标和项目实际情况，预期绩效可实现性强，满足</w:t>
      </w:r>
      <w:r>
        <w:rPr>
          <w:rFonts w:hint="eastAsia" w:ascii="仿宋" w:hAnsi="仿宋" w:eastAsia="仿宋" w:cs="仿宋"/>
          <w:szCs w:val="32"/>
          <w:lang w:eastAsia="zh-CN"/>
        </w:rPr>
        <w:t>《</w:t>
      </w:r>
      <w:r>
        <w:fldChar w:fldCharType="begin"/>
      </w:r>
      <w:r>
        <w:instrText xml:space="preserve"> HYPERLINK "https://www.chinawestagr.com/UpFile/ckeditor/tjcwc/2018/11/files/%E5%9B%9B%E5%B7%9D%E7%9C%81%E7%9C%81%E7%BA%A7%E9%A2%84%E7%AE%97%E4%BA%8B%E5%89%8D%E7%BB%A9%E6%95%88%E8%AF%84%E4%BC%B0%E7%AE%A1%E7%90%86%E6%9A%82%E8%A1%8C%E5%8A%9E%E6%B3%95.pdf" </w:instrText>
      </w:r>
      <w:r>
        <w:fldChar w:fldCharType="separate"/>
      </w:r>
      <w:r>
        <w:rPr>
          <w:rFonts w:hint="eastAsia" w:ascii="仿宋" w:hAnsi="仿宋" w:eastAsia="仿宋" w:cs="仿宋"/>
          <w:szCs w:val="32"/>
          <w:lang w:eastAsia="zh-CN"/>
        </w:rPr>
        <w:t>四川省财政厅关于印发&lt;四川省预算评审管理实施细则（试行）&gt;的通知》（川财预〔2024〕38号）</w:t>
      </w:r>
      <w:r>
        <w:rPr>
          <w:rFonts w:hint="eastAsia" w:ascii="仿宋" w:hAnsi="仿宋" w:eastAsia="仿宋" w:cs="仿宋"/>
          <w:szCs w:val="32"/>
          <w:lang w:eastAsia="zh-CN"/>
        </w:rPr>
        <w:fldChar w:fldCharType="end"/>
      </w:r>
      <w:r>
        <w:rPr>
          <w:rFonts w:ascii="仿宋" w:hAnsi="仿宋" w:eastAsia="仿宋" w:cs="仿宋"/>
          <w:szCs w:val="32"/>
          <w:lang w:eastAsia="zh-CN"/>
        </w:rPr>
        <w:t>要求</w:t>
      </w:r>
      <w:r>
        <w:rPr>
          <w:rFonts w:hint="eastAsia" w:ascii="仿宋" w:hAnsi="仿宋" w:eastAsia="仿宋" w:cs="仿宋"/>
          <w:szCs w:val="32"/>
          <w:lang w:eastAsia="zh-CN"/>
        </w:rPr>
        <w:t>，</w:t>
      </w:r>
      <w:r>
        <w:rPr>
          <w:rFonts w:ascii="仿宋" w:hAnsi="仿宋" w:eastAsia="仿宋" w:cs="仿宋"/>
          <w:szCs w:val="32"/>
          <w:lang w:eastAsia="zh-CN"/>
        </w:rPr>
        <w:t>综合绩效评估结论为“</w:t>
      </w:r>
      <w:r>
        <w:rPr>
          <w:rFonts w:hint="eastAsia" w:ascii="仿宋" w:hAnsi="仿宋" w:eastAsia="仿宋" w:cs="仿宋"/>
          <w:szCs w:val="32"/>
          <w:lang w:eastAsia="zh-CN"/>
        </w:rPr>
        <w:t>建议</w:t>
      </w:r>
      <w:r>
        <w:rPr>
          <w:rFonts w:ascii="仿宋" w:hAnsi="仿宋" w:eastAsia="仿宋" w:cs="仿宋"/>
          <w:szCs w:val="32"/>
          <w:lang w:eastAsia="zh-CN"/>
        </w:rPr>
        <w:t>实施”。</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03" w:name="_Toc18341"/>
      <w:r>
        <w:rPr>
          <w:rFonts w:hint="eastAsia" w:ascii="黑体" w:hAnsi="黑体" w:eastAsia="黑体" w:cs="黑体"/>
          <w:b w:val="0"/>
          <w:szCs w:val="32"/>
          <w:lang w:eastAsia="zh-CN"/>
        </w:rPr>
        <w:t>五、相关建议</w:t>
      </w:r>
      <w:bookmarkEnd w:id="203"/>
    </w:p>
    <w:p>
      <w:pPr>
        <w:pStyle w:val="3"/>
        <w:bidi w:val="0"/>
        <w:rPr>
          <w:rFonts w:hint="default"/>
          <w:b w:val="0"/>
          <w:bCs/>
          <w:lang w:val="en-US" w:eastAsia="zh-CN"/>
        </w:rPr>
      </w:pPr>
      <w:bookmarkStart w:id="204" w:name="_Toc25444"/>
      <w:r>
        <w:rPr>
          <w:b w:val="0"/>
          <w:bCs/>
          <w:lang w:eastAsia="zh-CN"/>
        </w:rPr>
        <w:t>(一)</w:t>
      </w:r>
      <w:r>
        <w:rPr>
          <w:rFonts w:hint="eastAsia"/>
          <w:b w:val="0"/>
          <w:bCs/>
          <w:lang w:val="en-US" w:eastAsia="zh-CN"/>
        </w:rPr>
        <w:t>未</w:t>
      </w:r>
      <w:r>
        <w:rPr>
          <w:rFonts w:hint="eastAsia"/>
          <w:b w:val="0"/>
          <w:bCs/>
          <w:lang w:eastAsia="zh-CN"/>
        </w:rPr>
        <w:t>按照</w:t>
      </w:r>
      <w:r>
        <w:rPr>
          <w:rFonts w:hint="eastAsia"/>
          <w:b w:val="0"/>
          <w:bCs/>
          <w:lang w:val="en-US" w:eastAsia="zh-CN"/>
        </w:rPr>
        <w:t>合同约定</w:t>
      </w:r>
      <w:r>
        <w:rPr>
          <w:rFonts w:hint="eastAsia"/>
          <w:b w:val="0"/>
          <w:bCs/>
          <w:lang w:eastAsia="zh-CN"/>
        </w:rPr>
        <w:t>完成工作进度</w:t>
      </w:r>
      <w:r>
        <w:rPr>
          <w:rFonts w:hint="eastAsia"/>
          <w:b w:val="0"/>
          <w:bCs/>
          <w:lang w:val="en-US" w:eastAsia="zh-CN"/>
        </w:rPr>
        <w:t>及支付经费</w:t>
      </w:r>
      <w:bookmarkEnd w:id="204"/>
    </w:p>
    <w:p>
      <w:pPr>
        <w:ind w:firstLine="640"/>
        <w:rPr>
          <w:rFonts w:hint="eastAsia" w:ascii="仿宋" w:hAnsi="仿宋" w:eastAsia="仿宋" w:cs="仿宋"/>
          <w:szCs w:val="32"/>
          <w:highlight w:val="none"/>
          <w:lang w:eastAsia="zh-CN"/>
        </w:rPr>
      </w:pPr>
      <w:r>
        <w:rPr>
          <w:rFonts w:hint="eastAsia" w:ascii="仿宋" w:hAnsi="仿宋" w:eastAsia="仿宋" w:cs="仿宋"/>
          <w:szCs w:val="32"/>
          <w:lang w:eastAsia="zh-CN"/>
        </w:rPr>
        <w:t>对照合同条款，结合实际情况，确定双方各自应承担的责任比例，分析是一方还是双方的原因导致进度延误。</w:t>
      </w:r>
      <w:r>
        <w:rPr>
          <w:rFonts w:hint="eastAsia" w:ascii="仿宋" w:hAnsi="仿宋" w:eastAsia="仿宋" w:cs="仿宋"/>
          <w:szCs w:val="32"/>
          <w:lang w:val="en-US" w:eastAsia="zh-CN"/>
        </w:rPr>
        <w:t>合同双方应充分沟通，</w:t>
      </w:r>
      <w:r>
        <w:rPr>
          <w:rFonts w:hint="eastAsia" w:ascii="仿宋" w:hAnsi="仿宋" w:eastAsia="仿宋" w:cs="仿宋"/>
          <w:szCs w:val="32"/>
          <w:lang w:eastAsia="zh-CN"/>
        </w:rPr>
        <w:t>梳理</w:t>
      </w:r>
      <w:r>
        <w:rPr>
          <w:rFonts w:hint="eastAsia" w:ascii="仿宋" w:hAnsi="仿宋" w:eastAsia="仿宋" w:cs="仿宋"/>
          <w:szCs w:val="32"/>
          <w:lang w:val="en-US" w:eastAsia="zh-CN"/>
        </w:rPr>
        <w:t>及时</w:t>
      </w:r>
      <w:r>
        <w:rPr>
          <w:rFonts w:hint="eastAsia" w:ascii="仿宋" w:hAnsi="仿宋" w:eastAsia="仿宋" w:cs="仿宋"/>
          <w:szCs w:val="32"/>
          <w:lang w:eastAsia="zh-CN"/>
        </w:rPr>
        <w:t>未完成进度的具体工作、原因及责任人，明确自身存在的问题和可改进的方向。可调整工作分配或重新制定工作步骤，将调整后的计划以补充协议的形式固定下来，明确双方的权利和义务，确保具有法律效力。双方共同建立监督小组或指定专人负责，定期检查工作进度，及时发现问题并督促整改。完善文档管理工作，对工作成果、沟通记录、变更事项等进行详细记录和归档，为后续的评估和纠纷处理提供依据</w:t>
      </w:r>
      <w:r>
        <w:rPr>
          <w:rFonts w:hint="eastAsia" w:ascii="仿宋" w:hAnsi="仿宋" w:eastAsia="仿宋" w:cs="仿宋"/>
          <w:szCs w:val="32"/>
          <w:highlight w:val="none"/>
          <w:lang w:eastAsia="zh-CN"/>
        </w:rPr>
        <w:t>。</w:t>
      </w:r>
    </w:p>
    <w:p>
      <w:pPr>
        <w:ind w:firstLine="640"/>
        <w:rPr>
          <w:rFonts w:hint="eastAsia" w:ascii="仿宋" w:hAnsi="仿宋" w:eastAsia="仿宋" w:cs="仿宋"/>
          <w:szCs w:val="32"/>
          <w:highlight w:val="none"/>
          <w:lang w:eastAsia="zh-CN"/>
        </w:rPr>
      </w:pPr>
      <w:r>
        <w:rPr>
          <w:rFonts w:hint="eastAsia" w:ascii="仿宋" w:hAnsi="仿宋" w:eastAsia="仿宋" w:cs="仿宋"/>
          <w:szCs w:val="32"/>
          <w:highlight w:val="none"/>
          <w:lang w:eastAsia="zh-CN"/>
        </w:rPr>
        <w:t>加</w:t>
      </w:r>
      <w:r>
        <w:rPr>
          <w:rFonts w:hint="eastAsia" w:ascii="仿宋" w:hAnsi="仿宋" w:eastAsia="仿宋" w:cs="仿宋"/>
          <w:szCs w:val="32"/>
          <w:lang w:eastAsia="zh-CN"/>
        </w:rPr>
        <w:t>强预算管理，协助财政部门做好项目预算编制和管理工作，确保项目经费预算合理、足额，并与财政资金安排相衔接。推动建立健全财政资金支付的监督机制，加强对财政资金使用和支付情况的监督检查，及时发现和解决问题</w:t>
      </w:r>
      <w:r>
        <w:rPr>
          <w:rFonts w:hint="eastAsia" w:ascii="仿宋" w:hAnsi="仿宋" w:eastAsia="仿宋" w:cs="仿宋"/>
          <w:szCs w:val="32"/>
          <w:highlight w:val="none"/>
          <w:lang w:eastAsia="zh-CN"/>
        </w:rPr>
        <w:t>。</w:t>
      </w:r>
    </w:p>
    <w:p>
      <w:pPr>
        <w:pStyle w:val="3"/>
        <w:bidi w:val="0"/>
        <w:rPr>
          <w:rFonts w:hint="eastAsia"/>
          <w:b w:val="0"/>
          <w:bCs/>
          <w:lang w:eastAsia="zh-CN"/>
        </w:rPr>
      </w:pPr>
      <w:bookmarkStart w:id="205" w:name="_Toc24195"/>
      <w:r>
        <w:rPr>
          <w:b w:val="0"/>
          <w:bCs/>
          <w:lang w:eastAsia="zh-CN"/>
        </w:rPr>
        <w:t>(二)</w:t>
      </w:r>
      <w:r>
        <w:rPr>
          <w:rFonts w:hint="eastAsia"/>
          <w:b w:val="0"/>
          <w:bCs/>
          <w:lang w:val="en-US" w:eastAsia="zh-CN"/>
        </w:rPr>
        <w:t>未提供</w:t>
      </w:r>
      <w:r>
        <w:rPr>
          <w:rFonts w:hint="eastAsia"/>
          <w:b w:val="0"/>
          <w:bCs/>
          <w:lang w:eastAsia="zh-CN"/>
        </w:rPr>
        <w:t>完善建议</w:t>
      </w:r>
      <w:r>
        <w:rPr>
          <w:rFonts w:hint="eastAsia"/>
          <w:b w:val="0"/>
          <w:bCs/>
          <w:lang w:val="en-US" w:eastAsia="zh-CN"/>
        </w:rPr>
        <w:t>内容</w:t>
      </w:r>
      <w:r>
        <w:rPr>
          <w:rFonts w:hint="eastAsia"/>
          <w:b w:val="0"/>
          <w:bCs/>
          <w:lang w:eastAsia="zh-CN"/>
        </w:rPr>
        <w:t>的</w:t>
      </w:r>
      <w:r>
        <w:rPr>
          <w:rFonts w:hint="eastAsia"/>
          <w:b w:val="0"/>
          <w:bCs/>
          <w:lang w:val="en-US" w:eastAsia="zh-CN"/>
        </w:rPr>
        <w:t>后续档案</w:t>
      </w:r>
      <w:r>
        <w:rPr>
          <w:rFonts w:hint="eastAsia"/>
          <w:b w:val="0"/>
          <w:bCs/>
          <w:lang w:eastAsia="zh-CN"/>
        </w:rPr>
        <w:t>资料</w:t>
      </w:r>
      <w:bookmarkEnd w:id="205"/>
    </w:p>
    <w:p>
      <w:pPr>
        <w:ind w:firstLine="640"/>
        <w:rPr>
          <w:rFonts w:hint="eastAsia" w:ascii="仿宋" w:hAnsi="仿宋" w:eastAsia="仿宋" w:cs="仿宋"/>
          <w:szCs w:val="32"/>
          <w:lang w:val="en-US" w:eastAsia="zh-CN"/>
        </w:rPr>
      </w:pPr>
      <w:r>
        <w:rPr>
          <w:rFonts w:hint="eastAsia" w:ascii="仿宋" w:hAnsi="仿宋" w:eastAsia="仿宋" w:cs="仿宋"/>
          <w:szCs w:val="32"/>
          <w:lang w:val="en-US" w:eastAsia="zh-CN"/>
        </w:rPr>
        <w:t>应根据</w:t>
      </w:r>
      <w:r>
        <w:rPr>
          <w:rFonts w:hint="eastAsia" w:ascii="仿宋" w:hAnsi="仿宋" w:eastAsia="仿宋" w:cs="仿宋"/>
          <w:szCs w:val="32"/>
          <w:lang w:eastAsia="zh-CN"/>
        </w:rPr>
        <w:t>评估与区划成果的审查意见提出</w:t>
      </w:r>
      <w:r>
        <w:rPr>
          <w:rFonts w:hint="eastAsia" w:ascii="仿宋" w:hAnsi="仿宋" w:eastAsia="仿宋" w:cs="仿宋"/>
          <w:szCs w:val="32"/>
          <w:lang w:val="en-US" w:eastAsia="zh-CN"/>
        </w:rPr>
        <w:t>的</w:t>
      </w:r>
      <w:r>
        <w:rPr>
          <w:rFonts w:hint="eastAsia" w:ascii="仿宋" w:hAnsi="仿宋" w:eastAsia="仿宋" w:cs="仿宋"/>
          <w:szCs w:val="32"/>
          <w:lang w:eastAsia="zh-CN"/>
        </w:rPr>
        <w:t>待完善建议</w:t>
      </w:r>
      <w:r>
        <w:rPr>
          <w:rFonts w:hint="eastAsia" w:ascii="仿宋" w:hAnsi="仿宋" w:eastAsia="仿宋" w:cs="仿宋"/>
          <w:szCs w:val="32"/>
          <w:lang w:val="en-US" w:eastAsia="zh-CN"/>
        </w:rPr>
        <w:t>内容，双方充分沟通，</w:t>
      </w:r>
      <w:r>
        <w:rPr>
          <w:rFonts w:hint="eastAsia" w:ascii="仿宋" w:hAnsi="仿宋" w:eastAsia="仿宋" w:cs="仿宋"/>
          <w:szCs w:val="32"/>
          <w:lang w:eastAsia="zh-CN"/>
        </w:rPr>
        <w:t>弄清楚档案资料需要达到什么样的完善程度，明确各个环节的责任人和时间节点，</w:t>
      </w:r>
      <w:r>
        <w:rPr>
          <w:rFonts w:hint="eastAsia" w:ascii="仿宋" w:hAnsi="仿宋" w:eastAsia="仿宋" w:cs="仿宋"/>
          <w:szCs w:val="32"/>
          <w:lang w:val="en-US" w:eastAsia="zh-CN"/>
        </w:rPr>
        <w:t>对沟通记录、完善事项、责任人等进行详细记录和归档。</w:t>
      </w:r>
    </w:p>
    <w:p>
      <w:pPr>
        <w:pStyle w:val="2"/>
        <w:numPr>
          <w:numId w:val="0"/>
        </w:numPr>
        <w:spacing w:before="0" w:beforeLines="0" w:after="0" w:afterLines="0"/>
        <w:ind w:leftChars="0" w:firstLine="640" w:firstLineChars="200"/>
        <w:rPr>
          <w:rFonts w:hint="eastAsia" w:ascii="黑体" w:hAnsi="黑体" w:eastAsia="黑体" w:cs="黑体"/>
          <w:b w:val="0"/>
          <w:szCs w:val="32"/>
          <w:lang w:eastAsia="zh-CN"/>
        </w:rPr>
      </w:pPr>
      <w:bookmarkStart w:id="206" w:name="_Toc2492"/>
      <w:bookmarkStart w:id="207" w:name="_GoBack"/>
      <w:r>
        <w:rPr>
          <w:rFonts w:hint="eastAsia" w:ascii="黑体" w:hAnsi="黑体" w:eastAsia="黑体" w:cs="黑体"/>
          <w:b w:val="0"/>
          <w:szCs w:val="32"/>
          <w:lang w:eastAsia="zh-CN"/>
        </w:rPr>
        <w:t>六、其他需要说明的问题</w:t>
      </w:r>
      <w:bookmarkEnd w:id="206"/>
    </w:p>
    <w:bookmarkEnd w:id="207"/>
    <w:p>
      <w:pPr>
        <w:ind w:firstLine="640"/>
        <w:rPr>
          <w:rFonts w:hint="eastAsia" w:ascii="仿宋" w:hAnsi="仿宋" w:eastAsia="仿宋" w:cs="仿宋"/>
          <w:szCs w:val="32"/>
          <w:lang w:eastAsia="zh-CN"/>
        </w:rPr>
      </w:pPr>
      <w:r>
        <w:rPr>
          <w:rFonts w:ascii="仿宋" w:hAnsi="仿宋" w:eastAsia="仿宋" w:cs="仿宋"/>
          <w:szCs w:val="32"/>
          <w:lang w:eastAsia="zh-CN"/>
        </w:rPr>
        <w:t>本报告是评价机构根据对项目主管单位所提供的材料进行全面分析与评估，结合现场考察情况，在</w:t>
      </w:r>
      <w:r>
        <w:rPr>
          <w:rFonts w:hint="eastAsia" w:ascii="仿宋" w:hAnsi="仿宋" w:eastAsia="仿宋" w:cs="仿宋"/>
          <w:szCs w:val="32"/>
          <w:lang w:val="en-US" w:eastAsia="zh-CN"/>
        </w:rPr>
        <w:t>评价人员</w:t>
      </w:r>
      <w:r>
        <w:rPr>
          <w:rFonts w:ascii="仿宋" w:hAnsi="仿宋" w:eastAsia="仿宋" w:cs="仿宋"/>
          <w:szCs w:val="32"/>
          <w:lang w:eastAsia="zh-CN"/>
        </w:rPr>
        <w:t>评价意见的基础上综合形成</w:t>
      </w:r>
      <w:r>
        <w:rPr>
          <w:rFonts w:hint="eastAsia" w:ascii="仿宋" w:hAnsi="仿宋" w:eastAsia="仿宋" w:cs="仿宋"/>
          <w:szCs w:val="32"/>
          <w:lang w:val="en-US" w:eastAsia="zh-CN"/>
        </w:rPr>
        <w:t>的</w:t>
      </w:r>
      <w:r>
        <w:rPr>
          <w:rFonts w:ascii="仿宋" w:hAnsi="仿宋" w:eastAsia="仿宋" w:cs="仿宋"/>
          <w:szCs w:val="32"/>
          <w:lang w:eastAsia="zh-CN"/>
        </w:rPr>
        <w:t>。报告重点针对项目20</w:t>
      </w:r>
      <w:r>
        <w:rPr>
          <w:rFonts w:hint="eastAsia" w:ascii="仿宋" w:hAnsi="仿宋" w:eastAsia="仿宋" w:cs="仿宋"/>
          <w:szCs w:val="32"/>
          <w:lang w:eastAsia="zh-CN"/>
        </w:rPr>
        <w:t>25</w:t>
      </w:r>
      <w:r>
        <w:rPr>
          <w:rFonts w:ascii="仿宋" w:hAnsi="仿宋" w:eastAsia="仿宋" w:cs="仿宋"/>
          <w:szCs w:val="32"/>
          <w:lang w:eastAsia="zh-CN"/>
        </w:rPr>
        <w:t>年的预算申报进行评估。本报告的结论与意见是参考性的，仅供财政部门批复预算时使用，不做其他用途。</w:t>
      </w:r>
    </w:p>
    <w:p>
      <w:pPr>
        <w:ind w:firstLine="640"/>
        <w:rPr>
          <w:rFonts w:hint="eastAsia" w:ascii="仿宋" w:hAnsi="仿宋" w:eastAsia="仿宋" w:cs="仿宋"/>
          <w:szCs w:val="32"/>
          <w:lang w:eastAsia="zh-CN"/>
        </w:rPr>
      </w:pPr>
    </w:p>
    <w:p>
      <w:pPr>
        <w:spacing w:before="65" w:line="226" w:lineRule="auto"/>
        <w:ind w:firstLine="0" w:firstLineChars="0"/>
        <w:rPr>
          <w:rFonts w:eastAsia="仿宋"/>
          <w:sz w:val="28"/>
          <w:szCs w:val="28"/>
          <w:lang w:eastAsia="zh-CN"/>
        </w:rPr>
      </w:pPr>
    </w:p>
    <w:sectPr>
      <w:headerReference r:id="rId17" w:type="default"/>
      <w:footerReference r:id="rId18" w:type="default"/>
      <w:pgSz w:w="11906" w:h="16838"/>
      <w:pgMar w:top="837" w:right="1687" w:bottom="1421" w:left="1686" w:header="0" w:footer="559" w:gutter="0"/>
      <w:pgNumType w:fmt="decimal" w:start="1"/>
      <w:cols w:equalWidth="0" w:num="1">
        <w:col w:w="8533"/>
      </w:cols>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48E0694-9BF7-47D7-B3F3-651613DEA299}"/>
  </w:font>
  <w:font w:name="黑体">
    <w:panose1 w:val="02010609060101010101"/>
    <w:charset w:val="86"/>
    <w:family w:val="auto"/>
    <w:pitch w:val="default"/>
    <w:sig w:usb0="800002BF" w:usb1="38CF7CFA" w:usb2="00000016" w:usb3="00000000" w:csb0="00040001" w:csb1="00000000"/>
    <w:embedRegular r:id="rId2" w:fontKey="{FD3E6A7C-EAE6-48A2-9DF7-E11DD904500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3" w:fontKey="{CDDEE0DE-231E-4E9A-871F-E96AFD2FA131}"/>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embedRegular r:id="rId4" w:fontKey="{A2DC5AC0-84CB-4EB9-B70C-92FFFBD8D7DD}"/>
  </w:font>
  <w:font w:name="DejaVu Sans">
    <w:altName w:val="Courier New"/>
    <w:panose1 w:val="00000000000000000000"/>
    <w:charset w:val="00"/>
    <w:family w:val="roman"/>
    <w:pitch w:val="default"/>
    <w:sig w:usb0="00000000" w:usb1="00000000" w:usb2="00000008" w:usb3="00000000" w:csb0="000001FF" w:csb1="00000000"/>
  </w:font>
  <w:font w:name="方正小标宋">
    <w:altName w:val="宋体"/>
    <w:panose1 w:val="00000000000000000000"/>
    <w:charset w:val="86"/>
    <w:family w:val="roman"/>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font-weight : 400">
    <w:altName w:val="Courier New"/>
    <w:panose1 w:val="00000000000000000000"/>
    <w:charset w:val="00"/>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embedRegular r:id="rId5" w:fontKey="{E8F9F1AF-FE64-4AF0-9006-C54D53B6A5D3}"/>
  </w:font>
  <w:font w:name="仿宋">
    <w:panose1 w:val="02010609060101010101"/>
    <w:charset w:val="86"/>
    <w:family w:val="modern"/>
    <w:pitch w:val="default"/>
    <w:sig w:usb0="800002BF" w:usb1="38CF7CFA" w:usb2="00000016" w:usb3="00000000" w:csb0="00040001" w:csb1="00000000"/>
    <w:embedRegular r:id="rId6" w:fontKey="{0258FDAD-EE30-4384-BF1A-D5F77B53DC3A}"/>
  </w:font>
  <w:font w:name="方正小标宋简体">
    <w:panose1 w:val="02000000000000000000"/>
    <w:charset w:val="86"/>
    <w:family w:val="auto"/>
    <w:pitch w:val="default"/>
    <w:sig w:usb0="A00002BF" w:usb1="184F6CFA" w:usb2="00000012" w:usb3="00000000" w:csb0="00040001" w:csb1="00000000"/>
    <w:embedRegular r:id="rId7" w:fontKey="{A0E3B6F9-3B2A-4D33-B100-145DB6DB87E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before="0" w:line="14" w:lineRule="auto"/>
      <w:ind w:left="0" w:firstLine="400"/>
      <w:rPr>
        <w:rFonts w:hint="eastAsia"/>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after="120"/>
      <w:ind w:firstLine="360"/>
      <w:jc w:val="center"/>
      <w:rPr>
        <w:rFonts w:hint="eastAsia" w:ascii="宋体" w:hAnsi="宋体" w:eastAsia="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sdt>
                    <w:sdtPr>
                      <w:id w:val="147480247"/>
                      <w:docPartObj>
                        <w:docPartGallery w:val="autotext"/>
                      </w:docPartObj>
                    </w:sdtPr>
                    <w:sdtEndPr>
                      <w:rPr>
                        <w:rFonts w:ascii="宋体" w:hAnsi="宋体" w:eastAsia="宋体"/>
                      </w:rPr>
                    </w:sdtEndPr>
                    <w:sdtContent>
                      <w:p>
                        <w:pPr>
                          <w:pStyle w:val="12"/>
                          <w:spacing w:after="120"/>
                          <w:ind w:firstLine="360"/>
                          <w:jc w:val="center"/>
                          <w:rPr>
                            <w:rFonts w:ascii="宋体" w:hAnsi="宋体" w:eastAsia="宋体"/>
                          </w:rPr>
                        </w:pPr>
                        <w:r>
                          <w:rPr>
                            <w:rFonts w:ascii="宋体" w:hAnsi="宋体" w:eastAsia="宋体"/>
                          </w:rPr>
                          <w:fldChar w:fldCharType="begin"/>
                        </w:r>
                        <w:r>
                          <w:rPr>
                            <w:rFonts w:ascii="宋体" w:hAnsi="宋体" w:eastAsia="宋体"/>
                          </w:rPr>
                          <w:instrText xml:space="preserve">PAGE   \* MERGEFORMAT</w:instrText>
                        </w:r>
                        <w:r>
                          <w:rPr>
                            <w:rFonts w:ascii="宋体" w:hAnsi="宋体" w:eastAsia="宋体"/>
                          </w:rPr>
                          <w:fldChar w:fldCharType="separate"/>
                        </w:r>
                        <w:r>
                          <w:rPr>
                            <w:rFonts w:ascii="宋体" w:hAnsi="宋体" w:eastAsia="宋体"/>
                            <w:lang w:val="zh-CN" w:eastAsia="zh-CN"/>
                          </w:rPr>
                          <w:t>2</w:t>
                        </w:r>
                        <w:r>
                          <w:rPr>
                            <w:rFonts w:ascii="宋体" w:hAnsi="宋体" w:eastAsia="宋体"/>
                          </w:rPr>
                          <w:fldChar w:fldCharType="end"/>
                        </w:r>
                      </w:p>
                    </w:sdtContent>
                  </w:sdt>
                  <w:p>
                    <w:pPr>
                      <w:rPr>
                        <w:rFonts w:ascii="宋体" w:hAnsi="宋体" w:eastAsia="宋体"/>
                      </w:rPr>
                    </w:pPr>
                  </w:p>
                </w:txbxContent>
              </v:textbox>
            </v:shape>
          </w:pict>
        </mc:Fallback>
      </mc:AlternateContent>
    </w:r>
  </w:p>
  <w:p>
    <w:pPr>
      <w:pStyle w:val="12"/>
      <w:ind w:firstLine="360"/>
    </w:pPr>
  </w:p>
  <w:p>
    <w:pPr>
      <w:ind w:firstLine="64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pStyle w:val="13"/>
      <w:ind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rPr>
        <w:lang w:eastAsia="zh-CN"/>
      </w:rPr>
    </w:pPr>
  </w:p>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documentProtection w:enforcement="0"/>
  <w:defaultTabStop w:val="420"/>
  <w:drawingGridHorizontalSpacing w:val="160"/>
  <w:drawingGridVerticalSpacing w:val="435"/>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FiODQzM2I1NzU0ZGVlMjE0M2FlOGJkZGNlZDg2ZjQifQ=="/>
  </w:docVars>
  <w:rsids>
    <w:rsidRoot w:val="4F7A8AD3"/>
    <w:rsid w:val="00007DFF"/>
    <w:rsid w:val="000107C4"/>
    <w:rsid w:val="00012E9F"/>
    <w:rsid w:val="0001313D"/>
    <w:rsid w:val="00020499"/>
    <w:rsid w:val="000312C5"/>
    <w:rsid w:val="00052F16"/>
    <w:rsid w:val="00057533"/>
    <w:rsid w:val="00063830"/>
    <w:rsid w:val="000668C0"/>
    <w:rsid w:val="00073A2B"/>
    <w:rsid w:val="00076A1E"/>
    <w:rsid w:val="00083F6C"/>
    <w:rsid w:val="0009180B"/>
    <w:rsid w:val="0009558B"/>
    <w:rsid w:val="000A3242"/>
    <w:rsid w:val="000A3653"/>
    <w:rsid w:val="000B7188"/>
    <w:rsid w:val="000C0153"/>
    <w:rsid w:val="000C3325"/>
    <w:rsid w:val="000C52C3"/>
    <w:rsid w:val="000C57FC"/>
    <w:rsid w:val="000D3A16"/>
    <w:rsid w:val="000D55E1"/>
    <w:rsid w:val="000D5EC8"/>
    <w:rsid w:val="000E57B2"/>
    <w:rsid w:val="000F6A24"/>
    <w:rsid w:val="001010D1"/>
    <w:rsid w:val="00103D39"/>
    <w:rsid w:val="001041AF"/>
    <w:rsid w:val="00106871"/>
    <w:rsid w:val="0010788A"/>
    <w:rsid w:val="001126B2"/>
    <w:rsid w:val="001136E1"/>
    <w:rsid w:val="001203E9"/>
    <w:rsid w:val="001220D3"/>
    <w:rsid w:val="001232D4"/>
    <w:rsid w:val="00132AF2"/>
    <w:rsid w:val="00141341"/>
    <w:rsid w:val="0015093C"/>
    <w:rsid w:val="00150C9D"/>
    <w:rsid w:val="00151587"/>
    <w:rsid w:val="00152B89"/>
    <w:rsid w:val="00167A83"/>
    <w:rsid w:val="001701A0"/>
    <w:rsid w:val="00170314"/>
    <w:rsid w:val="0017238A"/>
    <w:rsid w:val="00173F6A"/>
    <w:rsid w:val="00176CA0"/>
    <w:rsid w:val="00195636"/>
    <w:rsid w:val="00196271"/>
    <w:rsid w:val="001A1092"/>
    <w:rsid w:val="001A2041"/>
    <w:rsid w:val="001A43B3"/>
    <w:rsid w:val="001A550D"/>
    <w:rsid w:val="001B2B74"/>
    <w:rsid w:val="001C6994"/>
    <w:rsid w:val="001D4786"/>
    <w:rsid w:val="001D4787"/>
    <w:rsid w:val="001D5160"/>
    <w:rsid w:val="001D7093"/>
    <w:rsid w:val="001E3428"/>
    <w:rsid w:val="00202F15"/>
    <w:rsid w:val="002133D0"/>
    <w:rsid w:val="002135B2"/>
    <w:rsid w:val="00214FA9"/>
    <w:rsid w:val="00244786"/>
    <w:rsid w:val="00245809"/>
    <w:rsid w:val="00247CE2"/>
    <w:rsid w:val="002544DA"/>
    <w:rsid w:val="00256286"/>
    <w:rsid w:val="002751AB"/>
    <w:rsid w:val="00293F28"/>
    <w:rsid w:val="002C14AD"/>
    <w:rsid w:val="002D0937"/>
    <w:rsid w:val="002E795B"/>
    <w:rsid w:val="002F140C"/>
    <w:rsid w:val="002F2675"/>
    <w:rsid w:val="00314544"/>
    <w:rsid w:val="00321992"/>
    <w:rsid w:val="0032225C"/>
    <w:rsid w:val="00326F73"/>
    <w:rsid w:val="00341AC7"/>
    <w:rsid w:val="003423E2"/>
    <w:rsid w:val="00347A06"/>
    <w:rsid w:val="00347BEB"/>
    <w:rsid w:val="00350221"/>
    <w:rsid w:val="0035212A"/>
    <w:rsid w:val="00355358"/>
    <w:rsid w:val="00355F1B"/>
    <w:rsid w:val="00363A2E"/>
    <w:rsid w:val="00364643"/>
    <w:rsid w:val="00367660"/>
    <w:rsid w:val="003677CB"/>
    <w:rsid w:val="00371A0A"/>
    <w:rsid w:val="0037460A"/>
    <w:rsid w:val="003757C7"/>
    <w:rsid w:val="0037607E"/>
    <w:rsid w:val="00377310"/>
    <w:rsid w:val="00391E0A"/>
    <w:rsid w:val="003949FD"/>
    <w:rsid w:val="003C6D05"/>
    <w:rsid w:val="003C72DF"/>
    <w:rsid w:val="003E74AB"/>
    <w:rsid w:val="003F0644"/>
    <w:rsid w:val="003F5A52"/>
    <w:rsid w:val="004014DE"/>
    <w:rsid w:val="0041363A"/>
    <w:rsid w:val="004136A6"/>
    <w:rsid w:val="00420D23"/>
    <w:rsid w:val="00421DDA"/>
    <w:rsid w:val="00426FAD"/>
    <w:rsid w:val="004272C9"/>
    <w:rsid w:val="00427E7E"/>
    <w:rsid w:val="00436A9C"/>
    <w:rsid w:val="00452E8E"/>
    <w:rsid w:val="00460E18"/>
    <w:rsid w:val="00466D5D"/>
    <w:rsid w:val="004707FC"/>
    <w:rsid w:val="00470A91"/>
    <w:rsid w:val="00475575"/>
    <w:rsid w:val="004A0673"/>
    <w:rsid w:val="004D1A6F"/>
    <w:rsid w:val="004D3208"/>
    <w:rsid w:val="004D6F41"/>
    <w:rsid w:val="004D72EC"/>
    <w:rsid w:val="004E1959"/>
    <w:rsid w:val="004E5660"/>
    <w:rsid w:val="004E7C5F"/>
    <w:rsid w:val="004F2C0E"/>
    <w:rsid w:val="004F70C3"/>
    <w:rsid w:val="004F7B5F"/>
    <w:rsid w:val="00505188"/>
    <w:rsid w:val="005071ED"/>
    <w:rsid w:val="00512270"/>
    <w:rsid w:val="005234A4"/>
    <w:rsid w:val="00531809"/>
    <w:rsid w:val="00534E15"/>
    <w:rsid w:val="00542744"/>
    <w:rsid w:val="0054287F"/>
    <w:rsid w:val="00561720"/>
    <w:rsid w:val="00564F44"/>
    <w:rsid w:val="00565333"/>
    <w:rsid w:val="00581297"/>
    <w:rsid w:val="00584E01"/>
    <w:rsid w:val="00585E14"/>
    <w:rsid w:val="005943B7"/>
    <w:rsid w:val="00596E4B"/>
    <w:rsid w:val="005B33BF"/>
    <w:rsid w:val="005B61F9"/>
    <w:rsid w:val="005D4E52"/>
    <w:rsid w:val="005D5B2D"/>
    <w:rsid w:val="005F2438"/>
    <w:rsid w:val="005F2469"/>
    <w:rsid w:val="005F3A2E"/>
    <w:rsid w:val="005F3E21"/>
    <w:rsid w:val="005F4EF0"/>
    <w:rsid w:val="005F5F8C"/>
    <w:rsid w:val="006026DD"/>
    <w:rsid w:val="00611013"/>
    <w:rsid w:val="006120CC"/>
    <w:rsid w:val="006334FD"/>
    <w:rsid w:val="00633B49"/>
    <w:rsid w:val="00640EE8"/>
    <w:rsid w:val="00642C97"/>
    <w:rsid w:val="00644555"/>
    <w:rsid w:val="006502B1"/>
    <w:rsid w:val="00655989"/>
    <w:rsid w:val="00661510"/>
    <w:rsid w:val="00670A27"/>
    <w:rsid w:val="00670ACD"/>
    <w:rsid w:val="00672DE2"/>
    <w:rsid w:val="00681686"/>
    <w:rsid w:val="00683371"/>
    <w:rsid w:val="00685C8B"/>
    <w:rsid w:val="00691377"/>
    <w:rsid w:val="00696C5A"/>
    <w:rsid w:val="00697FDE"/>
    <w:rsid w:val="006A145F"/>
    <w:rsid w:val="006B4C2E"/>
    <w:rsid w:val="006B6F56"/>
    <w:rsid w:val="006C034F"/>
    <w:rsid w:val="006C57E3"/>
    <w:rsid w:val="006C781F"/>
    <w:rsid w:val="006D07D2"/>
    <w:rsid w:val="006D22EE"/>
    <w:rsid w:val="006D5A88"/>
    <w:rsid w:val="006E0036"/>
    <w:rsid w:val="006E2DAF"/>
    <w:rsid w:val="006E7D6F"/>
    <w:rsid w:val="00702086"/>
    <w:rsid w:val="00712171"/>
    <w:rsid w:val="00717083"/>
    <w:rsid w:val="00721F20"/>
    <w:rsid w:val="0074220B"/>
    <w:rsid w:val="007435C8"/>
    <w:rsid w:val="00750F13"/>
    <w:rsid w:val="007523D9"/>
    <w:rsid w:val="0075322B"/>
    <w:rsid w:val="00762CDA"/>
    <w:rsid w:val="007748E4"/>
    <w:rsid w:val="007762C2"/>
    <w:rsid w:val="007771FB"/>
    <w:rsid w:val="0078204B"/>
    <w:rsid w:val="00782C16"/>
    <w:rsid w:val="00783B80"/>
    <w:rsid w:val="00784593"/>
    <w:rsid w:val="0079415A"/>
    <w:rsid w:val="007B6431"/>
    <w:rsid w:val="007C2905"/>
    <w:rsid w:val="007C43E4"/>
    <w:rsid w:val="007C5302"/>
    <w:rsid w:val="007C6DAD"/>
    <w:rsid w:val="007D1081"/>
    <w:rsid w:val="007D673A"/>
    <w:rsid w:val="007E3140"/>
    <w:rsid w:val="007E7A2D"/>
    <w:rsid w:val="007F6143"/>
    <w:rsid w:val="00804579"/>
    <w:rsid w:val="00804C84"/>
    <w:rsid w:val="0081088F"/>
    <w:rsid w:val="00815148"/>
    <w:rsid w:val="00822580"/>
    <w:rsid w:val="00824BBC"/>
    <w:rsid w:val="0082560C"/>
    <w:rsid w:val="00866DCA"/>
    <w:rsid w:val="00867A58"/>
    <w:rsid w:val="0087318D"/>
    <w:rsid w:val="0087750F"/>
    <w:rsid w:val="00882EE7"/>
    <w:rsid w:val="00883FF8"/>
    <w:rsid w:val="00884DE4"/>
    <w:rsid w:val="00886BA4"/>
    <w:rsid w:val="008955B2"/>
    <w:rsid w:val="008A5B82"/>
    <w:rsid w:val="008C09A9"/>
    <w:rsid w:val="008C22C6"/>
    <w:rsid w:val="008D08A7"/>
    <w:rsid w:val="008D3757"/>
    <w:rsid w:val="008E4453"/>
    <w:rsid w:val="008E4841"/>
    <w:rsid w:val="008E521D"/>
    <w:rsid w:val="00902C3A"/>
    <w:rsid w:val="00910D0D"/>
    <w:rsid w:val="009478AA"/>
    <w:rsid w:val="0095131C"/>
    <w:rsid w:val="009536E1"/>
    <w:rsid w:val="009540EF"/>
    <w:rsid w:val="009552D7"/>
    <w:rsid w:val="00955DC5"/>
    <w:rsid w:val="009566FB"/>
    <w:rsid w:val="009675C1"/>
    <w:rsid w:val="00971D21"/>
    <w:rsid w:val="00974403"/>
    <w:rsid w:val="00976C76"/>
    <w:rsid w:val="009819BC"/>
    <w:rsid w:val="00983A95"/>
    <w:rsid w:val="0098592B"/>
    <w:rsid w:val="00986911"/>
    <w:rsid w:val="00994E19"/>
    <w:rsid w:val="009A0B4B"/>
    <w:rsid w:val="009A5640"/>
    <w:rsid w:val="009A7F42"/>
    <w:rsid w:val="009B4C64"/>
    <w:rsid w:val="009B5A96"/>
    <w:rsid w:val="009B5F8C"/>
    <w:rsid w:val="009B680D"/>
    <w:rsid w:val="009C170A"/>
    <w:rsid w:val="009C5740"/>
    <w:rsid w:val="009C58C9"/>
    <w:rsid w:val="009C5B69"/>
    <w:rsid w:val="009D437F"/>
    <w:rsid w:val="009D6D66"/>
    <w:rsid w:val="009E1F1E"/>
    <w:rsid w:val="009E35D6"/>
    <w:rsid w:val="009E3863"/>
    <w:rsid w:val="009E4B25"/>
    <w:rsid w:val="009F07B4"/>
    <w:rsid w:val="009F5799"/>
    <w:rsid w:val="009F5D01"/>
    <w:rsid w:val="009F5F16"/>
    <w:rsid w:val="00A05220"/>
    <w:rsid w:val="00A12D33"/>
    <w:rsid w:val="00A170E7"/>
    <w:rsid w:val="00A20676"/>
    <w:rsid w:val="00A3140D"/>
    <w:rsid w:val="00A3572F"/>
    <w:rsid w:val="00A369F0"/>
    <w:rsid w:val="00A400DB"/>
    <w:rsid w:val="00A42946"/>
    <w:rsid w:val="00A554A1"/>
    <w:rsid w:val="00A6361D"/>
    <w:rsid w:val="00A644C7"/>
    <w:rsid w:val="00A71B61"/>
    <w:rsid w:val="00A73A2A"/>
    <w:rsid w:val="00A771AE"/>
    <w:rsid w:val="00AA1B98"/>
    <w:rsid w:val="00AB2B00"/>
    <w:rsid w:val="00AC01DF"/>
    <w:rsid w:val="00AC2452"/>
    <w:rsid w:val="00AC51B2"/>
    <w:rsid w:val="00AD2849"/>
    <w:rsid w:val="00AE0E69"/>
    <w:rsid w:val="00AE5E6B"/>
    <w:rsid w:val="00AE7253"/>
    <w:rsid w:val="00AF42B4"/>
    <w:rsid w:val="00B00467"/>
    <w:rsid w:val="00B00F10"/>
    <w:rsid w:val="00B03E44"/>
    <w:rsid w:val="00B042EC"/>
    <w:rsid w:val="00B0588D"/>
    <w:rsid w:val="00B14C98"/>
    <w:rsid w:val="00B17C4C"/>
    <w:rsid w:val="00B2239F"/>
    <w:rsid w:val="00B24D5B"/>
    <w:rsid w:val="00B42992"/>
    <w:rsid w:val="00B520E3"/>
    <w:rsid w:val="00B526D3"/>
    <w:rsid w:val="00B55A72"/>
    <w:rsid w:val="00B56F27"/>
    <w:rsid w:val="00B647E1"/>
    <w:rsid w:val="00B70772"/>
    <w:rsid w:val="00B72471"/>
    <w:rsid w:val="00B757C6"/>
    <w:rsid w:val="00B82C97"/>
    <w:rsid w:val="00B82EA7"/>
    <w:rsid w:val="00B83BE2"/>
    <w:rsid w:val="00B9431F"/>
    <w:rsid w:val="00BB07A4"/>
    <w:rsid w:val="00BB0E1D"/>
    <w:rsid w:val="00BB30FE"/>
    <w:rsid w:val="00BB6B9F"/>
    <w:rsid w:val="00C0248E"/>
    <w:rsid w:val="00C06AFC"/>
    <w:rsid w:val="00C07264"/>
    <w:rsid w:val="00C12E6F"/>
    <w:rsid w:val="00C21C0D"/>
    <w:rsid w:val="00C21DB7"/>
    <w:rsid w:val="00C26858"/>
    <w:rsid w:val="00C30660"/>
    <w:rsid w:val="00C40C1F"/>
    <w:rsid w:val="00C4300A"/>
    <w:rsid w:val="00C440BC"/>
    <w:rsid w:val="00C53DE5"/>
    <w:rsid w:val="00C558D9"/>
    <w:rsid w:val="00C56A00"/>
    <w:rsid w:val="00C6266B"/>
    <w:rsid w:val="00C7136B"/>
    <w:rsid w:val="00C75092"/>
    <w:rsid w:val="00C75A80"/>
    <w:rsid w:val="00C8301B"/>
    <w:rsid w:val="00C83D2B"/>
    <w:rsid w:val="00C87E01"/>
    <w:rsid w:val="00C910C3"/>
    <w:rsid w:val="00C91569"/>
    <w:rsid w:val="00CA74BF"/>
    <w:rsid w:val="00CB6FFC"/>
    <w:rsid w:val="00CB7679"/>
    <w:rsid w:val="00CB7CD5"/>
    <w:rsid w:val="00CC161B"/>
    <w:rsid w:val="00CD0DBD"/>
    <w:rsid w:val="00CD19EC"/>
    <w:rsid w:val="00CD5883"/>
    <w:rsid w:val="00CD6026"/>
    <w:rsid w:val="00CD7EDB"/>
    <w:rsid w:val="00CE2157"/>
    <w:rsid w:val="00CE6ED6"/>
    <w:rsid w:val="00CF3350"/>
    <w:rsid w:val="00CF53A5"/>
    <w:rsid w:val="00D02678"/>
    <w:rsid w:val="00D0603A"/>
    <w:rsid w:val="00D14209"/>
    <w:rsid w:val="00D15D0E"/>
    <w:rsid w:val="00D26CDD"/>
    <w:rsid w:val="00D30272"/>
    <w:rsid w:val="00D319E1"/>
    <w:rsid w:val="00D47AD7"/>
    <w:rsid w:val="00D503E5"/>
    <w:rsid w:val="00D546E0"/>
    <w:rsid w:val="00D60049"/>
    <w:rsid w:val="00D64060"/>
    <w:rsid w:val="00D64367"/>
    <w:rsid w:val="00D6747B"/>
    <w:rsid w:val="00D869EB"/>
    <w:rsid w:val="00D86CE4"/>
    <w:rsid w:val="00D9501C"/>
    <w:rsid w:val="00D965A3"/>
    <w:rsid w:val="00DA3EAC"/>
    <w:rsid w:val="00DB3489"/>
    <w:rsid w:val="00DC513A"/>
    <w:rsid w:val="00DC518C"/>
    <w:rsid w:val="00DD3165"/>
    <w:rsid w:val="00DE4CCA"/>
    <w:rsid w:val="00DF196E"/>
    <w:rsid w:val="00DF62A7"/>
    <w:rsid w:val="00E012B6"/>
    <w:rsid w:val="00E03433"/>
    <w:rsid w:val="00E072FA"/>
    <w:rsid w:val="00E12F0E"/>
    <w:rsid w:val="00E1337B"/>
    <w:rsid w:val="00E14DAD"/>
    <w:rsid w:val="00E1775E"/>
    <w:rsid w:val="00E17C01"/>
    <w:rsid w:val="00E200F2"/>
    <w:rsid w:val="00E207E5"/>
    <w:rsid w:val="00E2525D"/>
    <w:rsid w:val="00E33445"/>
    <w:rsid w:val="00E45310"/>
    <w:rsid w:val="00E476B3"/>
    <w:rsid w:val="00E5269E"/>
    <w:rsid w:val="00E73530"/>
    <w:rsid w:val="00E779D6"/>
    <w:rsid w:val="00E84623"/>
    <w:rsid w:val="00E873C0"/>
    <w:rsid w:val="00E93860"/>
    <w:rsid w:val="00EA09C3"/>
    <w:rsid w:val="00EA76C4"/>
    <w:rsid w:val="00EB10D3"/>
    <w:rsid w:val="00EB1FD7"/>
    <w:rsid w:val="00EB4F17"/>
    <w:rsid w:val="00EB7BC8"/>
    <w:rsid w:val="00EC0BDD"/>
    <w:rsid w:val="00EC542D"/>
    <w:rsid w:val="00ED54C7"/>
    <w:rsid w:val="00EE667E"/>
    <w:rsid w:val="00F00013"/>
    <w:rsid w:val="00F03024"/>
    <w:rsid w:val="00F05FCC"/>
    <w:rsid w:val="00F0623C"/>
    <w:rsid w:val="00F10340"/>
    <w:rsid w:val="00F14A5D"/>
    <w:rsid w:val="00F160BA"/>
    <w:rsid w:val="00F17B08"/>
    <w:rsid w:val="00F17EB0"/>
    <w:rsid w:val="00F20713"/>
    <w:rsid w:val="00F20A3E"/>
    <w:rsid w:val="00F256BF"/>
    <w:rsid w:val="00F36748"/>
    <w:rsid w:val="00F36D63"/>
    <w:rsid w:val="00F40E0B"/>
    <w:rsid w:val="00F4232F"/>
    <w:rsid w:val="00F50504"/>
    <w:rsid w:val="00F5404D"/>
    <w:rsid w:val="00F609E9"/>
    <w:rsid w:val="00F7197F"/>
    <w:rsid w:val="00F7251B"/>
    <w:rsid w:val="00F72ABA"/>
    <w:rsid w:val="00F7344E"/>
    <w:rsid w:val="00F7344F"/>
    <w:rsid w:val="00F77C12"/>
    <w:rsid w:val="00F90D69"/>
    <w:rsid w:val="00F9691B"/>
    <w:rsid w:val="00FA36D3"/>
    <w:rsid w:val="00FA542C"/>
    <w:rsid w:val="00FA6D36"/>
    <w:rsid w:val="00FB13E1"/>
    <w:rsid w:val="00FB593D"/>
    <w:rsid w:val="00FC7DDA"/>
    <w:rsid w:val="00FD49A6"/>
    <w:rsid w:val="00FD6538"/>
    <w:rsid w:val="00FE6F85"/>
    <w:rsid w:val="00FF70D4"/>
    <w:rsid w:val="00FF7FEC"/>
    <w:rsid w:val="010D7F30"/>
    <w:rsid w:val="01117D6F"/>
    <w:rsid w:val="014F4774"/>
    <w:rsid w:val="01B41827"/>
    <w:rsid w:val="01FE6FC6"/>
    <w:rsid w:val="025E7212"/>
    <w:rsid w:val="026C0CB3"/>
    <w:rsid w:val="02DA2B5C"/>
    <w:rsid w:val="031A1D53"/>
    <w:rsid w:val="034F46D6"/>
    <w:rsid w:val="047C7B07"/>
    <w:rsid w:val="05441F79"/>
    <w:rsid w:val="059D5B4A"/>
    <w:rsid w:val="05C5173A"/>
    <w:rsid w:val="060D4527"/>
    <w:rsid w:val="062F578F"/>
    <w:rsid w:val="070A234B"/>
    <w:rsid w:val="07364783"/>
    <w:rsid w:val="07587466"/>
    <w:rsid w:val="07A80859"/>
    <w:rsid w:val="07DB3825"/>
    <w:rsid w:val="084E08CF"/>
    <w:rsid w:val="08747CBA"/>
    <w:rsid w:val="08815D8B"/>
    <w:rsid w:val="0932556D"/>
    <w:rsid w:val="095A32C1"/>
    <w:rsid w:val="096C6DF1"/>
    <w:rsid w:val="0994152E"/>
    <w:rsid w:val="09CA4A49"/>
    <w:rsid w:val="0A263634"/>
    <w:rsid w:val="0A6174F1"/>
    <w:rsid w:val="0A786C09"/>
    <w:rsid w:val="0A9052A5"/>
    <w:rsid w:val="0B964365"/>
    <w:rsid w:val="0BC41224"/>
    <w:rsid w:val="0BDF4B42"/>
    <w:rsid w:val="0C871385"/>
    <w:rsid w:val="0C961EA1"/>
    <w:rsid w:val="0CDF57F4"/>
    <w:rsid w:val="0D874AFD"/>
    <w:rsid w:val="0E460DCC"/>
    <w:rsid w:val="0E483F00"/>
    <w:rsid w:val="0E511842"/>
    <w:rsid w:val="0FB50233"/>
    <w:rsid w:val="0FB608BC"/>
    <w:rsid w:val="1050467E"/>
    <w:rsid w:val="10CD4389"/>
    <w:rsid w:val="11195595"/>
    <w:rsid w:val="11270A41"/>
    <w:rsid w:val="11326EB7"/>
    <w:rsid w:val="11EE00D5"/>
    <w:rsid w:val="12902BD1"/>
    <w:rsid w:val="12911695"/>
    <w:rsid w:val="129D460C"/>
    <w:rsid w:val="12C53952"/>
    <w:rsid w:val="13397BCE"/>
    <w:rsid w:val="13640E5B"/>
    <w:rsid w:val="13A726E2"/>
    <w:rsid w:val="144A13CC"/>
    <w:rsid w:val="14B86A5E"/>
    <w:rsid w:val="16574ED9"/>
    <w:rsid w:val="168E25CD"/>
    <w:rsid w:val="16F75866"/>
    <w:rsid w:val="16FA78CA"/>
    <w:rsid w:val="17397720"/>
    <w:rsid w:val="17F71489"/>
    <w:rsid w:val="183C78CE"/>
    <w:rsid w:val="18B52DD6"/>
    <w:rsid w:val="191537C8"/>
    <w:rsid w:val="19166917"/>
    <w:rsid w:val="1A807E46"/>
    <w:rsid w:val="1A807E56"/>
    <w:rsid w:val="1AA80D1D"/>
    <w:rsid w:val="1AE16358"/>
    <w:rsid w:val="1B063A1F"/>
    <w:rsid w:val="1B5F2753"/>
    <w:rsid w:val="1BD15AF4"/>
    <w:rsid w:val="1BD92985"/>
    <w:rsid w:val="1CD3289A"/>
    <w:rsid w:val="1D615742"/>
    <w:rsid w:val="1D7019C1"/>
    <w:rsid w:val="1D971EF3"/>
    <w:rsid w:val="1DBD8960"/>
    <w:rsid w:val="1E5410D3"/>
    <w:rsid w:val="1E776B18"/>
    <w:rsid w:val="1EAC0D7B"/>
    <w:rsid w:val="1EC12CF5"/>
    <w:rsid w:val="1F500934"/>
    <w:rsid w:val="1F5B4370"/>
    <w:rsid w:val="1FAA5120"/>
    <w:rsid w:val="1FB42712"/>
    <w:rsid w:val="1FBF3DD5"/>
    <w:rsid w:val="1FD941DA"/>
    <w:rsid w:val="1FEA5825"/>
    <w:rsid w:val="1FF73375"/>
    <w:rsid w:val="20665273"/>
    <w:rsid w:val="20DB35F6"/>
    <w:rsid w:val="216319C4"/>
    <w:rsid w:val="2173382E"/>
    <w:rsid w:val="220E3E9E"/>
    <w:rsid w:val="22696E4A"/>
    <w:rsid w:val="228A52D3"/>
    <w:rsid w:val="22A7A1EE"/>
    <w:rsid w:val="23815F46"/>
    <w:rsid w:val="23A00FD0"/>
    <w:rsid w:val="23A368F7"/>
    <w:rsid w:val="23D46DC8"/>
    <w:rsid w:val="23F5677C"/>
    <w:rsid w:val="24526CBD"/>
    <w:rsid w:val="245D6F1C"/>
    <w:rsid w:val="24A227D3"/>
    <w:rsid w:val="250C005C"/>
    <w:rsid w:val="255D282B"/>
    <w:rsid w:val="257C4A65"/>
    <w:rsid w:val="25D9458E"/>
    <w:rsid w:val="25EE29B2"/>
    <w:rsid w:val="260A429C"/>
    <w:rsid w:val="260C1F4B"/>
    <w:rsid w:val="2699450E"/>
    <w:rsid w:val="26B33C0B"/>
    <w:rsid w:val="26E7E34E"/>
    <w:rsid w:val="26F539E8"/>
    <w:rsid w:val="275B2D9A"/>
    <w:rsid w:val="27E47234"/>
    <w:rsid w:val="27FA547A"/>
    <w:rsid w:val="27FB2575"/>
    <w:rsid w:val="289E713B"/>
    <w:rsid w:val="28DD1D90"/>
    <w:rsid w:val="296F084C"/>
    <w:rsid w:val="297B6A7D"/>
    <w:rsid w:val="29FE4B95"/>
    <w:rsid w:val="2A455781"/>
    <w:rsid w:val="2A7A3965"/>
    <w:rsid w:val="2A80787C"/>
    <w:rsid w:val="2A8F3EC9"/>
    <w:rsid w:val="2A93505E"/>
    <w:rsid w:val="2B7FCBC1"/>
    <w:rsid w:val="2B9777BC"/>
    <w:rsid w:val="2C002159"/>
    <w:rsid w:val="2DD75DC8"/>
    <w:rsid w:val="2DE73540"/>
    <w:rsid w:val="2DEF151A"/>
    <w:rsid w:val="2DF769DC"/>
    <w:rsid w:val="2DFDCA5F"/>
    <w:rsid w:val="2DFDEF9D"/>
    <w:rsid w:val="2DFE9ED2"/>
    <w:rsid w:val="2E570E39"/>
    <w:rsid w:val="2EA92E66"/>
    <w:rsid w:val="2ECA0CB3"/>
    <w:rsid w:val="2ED50269"/>
    <w:rsid w:val="2EEA0EAE"/>
    <w:rsid w:val="2EED128A"/>
    <w:rsid w:val="2F33419E"/>
    <w:rsid w:val="2F453EFD"/>
    <w:rsid w:val="2F7A4177"/>
    <w:rsid w:val="2FBB8AD3"/>
    <w:rsid w:val="2FF9E8AA"/>
    <w:rsid w:val="2FFF36BE"/>
    <w:rsid w:val="3115529C"/>
    <w:rsid w:val="31B76384"/>
    <w:rsid w:val="320B1AE3"/>
    <w:rsid w:val="32165B50"/>
    <w:rsid w:val="326B0E40"/>
    <w:rsid w:val="32B03984"/>
    <w:rsid w:val="33BA3B16"/>
    <w:rsid w:val="33C67647"/>
    <w:rsid w:val="33D04B10"/>
    <w:rsid w:val="34151D3E"/>
    <w:rsid w:val="34727F6D"/>
    <w:rsid w:val="35745447"/>
    <w:rsid w:val="35950425"/>
    <w:rsid w:val="36533F02"/>
    <w:rsid w:val="377F486E"/>
    <w:rsid w:val="37813EA9"/>
    <w:rsid w:val="378B2B5D"/>
    <w:rsid w:val="37F9916F"/>
    <w:rsid w:val="381B47D2"/>
    <w:rsid w:val="386FACB3"/>
    <w:rsid w:val="38AE7080"/>
    <w:rsid w:val="38FB2CC8"/>
    <w:rsid w:val="390262E6"/>
    <w:rsid w:val="391D56C6"/>
    <w:rsid w:val="39240A2E"/>
    <w:rsid w:val="39A77F9D"/>
    <w:rsid w:val="39BFDD17"/>
    <w:rsid w:val="3A4A6576"/>
    <w:rsid w:val="3A648840"/>
    <w:rsid w:val="3A723551"/>
    <w:rsid w:val="3AC07947"/>
    <w:rsid w:val="3AEC1CA2"/>
    <w:rsid w:val="3AEF411A"/>
    <w:rsid w:val="3AFF01EF"/>
    <w:rsid w:val="3B2D5FC6"/>
    <w:rsid w:val="3B3DC2A9"/>
    <w:rsid w:val="3B777999"/>
    <w:rsid w:val="3BB165B1"/>
    <w:rsid w:val="3BD78CFD"/>
    <w:rsid w:val="3BEFD7D2"/>
    <w:rsid w:val="3BFDE29B"/>
    <w:rsid w:val="3D6BF3A2"/>
    <w:rsid w:val="3DB521D7"/>
    <w:rsid w:val="3DFFC46E"/>
    <w:rsid w:val="3E363529"/>
    <w:rsid w:val="3E520203"/>
    <w:rsid w:val="3E6EBE7D"/>
    <w:rsid w:val="3EA606BD"/>
    <w:rsid w:val="3EB76EA9"/>
    <w:rsid w:val="3EBC1B98"/>
    <w:rsid w:val="3EEF565A"/>
    <w:rsid w:val="3EF7E3D7"/>
    <w:rsid w:val="3F4C367C"/>
    <w:rsid w:val="3F6CBBE6"/>
    <w:rsid w:val="3F7D186B"/>
    <w:rsid w:val="3FB86B84"/>
    <w:rsid w:val="3FCF0EA0"/>
    <w:rsid w:val="3FDDF602"/>
    <w:rsid w:val="3FE9ABA6"/>
    <w:rsid w:val="3FED9C1C"/>
    <w:rsid w:val="3FF03EED"/>
    <w:rsid w:val="3FF6647C"/>
    <w:rsid w:val="3FF7E6AC"/>
    <w:rsid w:val="3FFDF530"/>
    <w:rsid w:val="3FFF5B84"/>
    <w:rsid w:val="3FFF8AEA"/>
    <w:rsid w:val="3FFF953A"/>
    <w:rsid w:val="401B5E64"/>
    <w:rsid w:val="40C4166B"/>
    <w:rsid w:val="40D500DF"/>
    <w:rsid w:val="40E774C7"/>
    <w:rsid w:val="426C502D"/>
    <w:rsid w:val="42FA07E7"/>
    <w:rsid w:val="436810AE"/>
    <w:rsid w:val="437F7043"/>
    <w:rsid w:val="44EF1B00"/>
    <w:rsid w:val="45207D90"/>
    <w:rsid w:val="45CF4E46"/>
    <w:rsid w:val="46515BFC"/>
    <w:rsid w:val="46C45511"/>
    <w:rsid w:val="46EB2E89"/>
    <w:rsid w:val="46F570F1"/>
    <w:rsid w:val="4778447E"/>
    <w:rsid w:val="47CC73F7"/>
    <w:rsid w:val="47FBC172"/>
    <w:rsid w:val="48391F39"/>
    <w:rsid w:val="487B71DD"/>
    <w:rsid w:val="48867AAB"/>
    <w:rsid w:val="48E24C72"/>
    <w:rsid w:val="492E4DD9"/>
    <w:rsid w:val="498A77E3"/>
    <w:rsid w:val="49BF4FB3"/>
    <w:rsid w:val="49DF7A74"/>
    <w:rsid w:val="49EFDA04"/>
    <w:rsid w:val="49FA2929"/>
    <w:rsid w:val="4A1E73E6"/>
    <w:rsid w:val="4A635F53"/>
    <w:rsid w:val="4AF773D7"/>
    <w:rsid w:val="4B3B3F0F"/>
    <w:rsid w:val="4B974077"/>
    <w:rsid w:val="4BA90D67"/>
    <w:rsid w:val="4BFD0804"/>
    <w:rsid w:val="4BFFF00D"/>
    <w:rsid w:val="4C35155C"/>
    <w:rsid w:val="4CB90AB7"/>
    <w:rsid w:val="4CB92AAE"/>
    <w:rsid w:val="4D5325E2"/>
    <w:rsid w:val="4D9329DF"/>
    <w:rsid w:val="4DBF65EB"/>
    <w:rsid w:val="4DFC2D90"/>
    <w:rsid w:val="4E050DB4"/>
    <w:rsid w:val="4E25488F"/>
    <w:rsid w:val="4E7B1F42"/>
    <w:rsid w:val="4F1B0E49"/>
    <w:rsid w:val="4F3877D4"/>
    <w:rsid w:val="4F786B55"/>
    <w:rsid w:val="4F7A8AD3"/>
    <w:rsid w:val="4F7FF4D7"/>
    <w:rsid w:val="4F8A1DA6"/>
    <w:rsid w:val="4FD940E8"/>
    <w:rsid w:val="4FDF282B"/>
    <w:rsid w:val="4FEB9FB4"/>
    <w:rsid w:val="50885837"/>
    <w:rsid w:val="50A1286C"/>
    <w:rsid w:val="50AB1B35"/>
    <w:rsid w:val="51BA2E70"/>
    <w:rsid w:val="51E1787A"/>
    <w:rsid w:val="51F80DD4"/>
    <w:rsid w:val="523E68B0"/>
    <w:rsid w:val="52AD5656"/>
    <w:rsid w:val="52D4EA7B"/>
    <w:rsid w:val="52DC22B4"/>
    <w:rsid w:val="53205C12"/>
    <w:rsid w:val="533D5BE8"/>
    <w:rsid w:val="538958EC"/>
    <w:rsid w:val="53CA0723"/>
    <w:rsid w:val="542D7105"/>
    <w:rsid w:val="55830218"/>
    <w:rsid w:val="558980E0"/>
    <w:rsid w:val="55E705A4"/>
    <w:rsid w:val="56203A0C"/>
    <w:rsid w:val="56383DB0"/>
    <w:rsid w:val="56530FA2"/>
    <w:rsid w:val="56AD6CAF"/>
    <w:rsid w:val="56E53ADB"/>
    <w:rsid w:val="571B7CCD"/>
    <w:rsid w:val="575F1FD6"/>
    <w:rsid w:val="577C8E54"/>
    <w:rsid w:val="57B34FD7"/>
    <w:rsid w:val="57ECB103"/>
    <w:rsid w:val="57EF0FD8"/>
    <w:rsid w:val="57F7833A"/>
    <w:rsid w:val="57F7A4BC"/>
    <w:rsid w:val="57FB75FC"/>
    <w:rsid w:val="57FD7CF3"/>
    <w:rsid w:val="583F79EB"/>
    <w:rsid w:val="585A70CD"/>
    <w:rsid w:val="58E262A4"/>
    <w:rsid w:val="58F5D9DD"/>
    <w:rsid w:val="5948147C"/>
    <w:rsid w:val="59573EF3"/>
    <w:rsid w:val="5A894C16"/>
    <w:rsid w:val="5AB756DD"/>
    <w:rsid w:val="5AFCBC6B"/>
    <w:rsid w:val="5B669575"/>
    <w:rsid w:val="5B8C4784"/>
    <w:rsid w:val="5BDB3721"/>
    <w:rsid w:val="5C18763C"/>
    <w:rsid w:val="5C3E3948"/>
    <w:rsid w:val="5C4F6BDD"/>
    <w:rsid w:val="5C7E18E6"/>
    <w:rsid w:val="5C7F7B4E"/>
    <w:rsid w:val="5CD834DE"/>
    <w:rsid w:val="5CDA0FE8"/>
    <w:rsid w:val="5CE7B0FA"/>
    <w:rsid w:val="5D242C88"/>
    <w:rsid w:val="5D6B5466"/>
    <w:rsid w:val="5D7921C9"/>
    <w:rsid w:val="5DAD7E49"/>
    <w:rsid w:val="5DEFCEC9"/>
    <w:rsid w:val="5DFB97BE"/>
    <w:rsid w:val="5DFE3F84"/>
    <w:rsid w:val="5DFFA384"/>
    <w:rsid w:val="5E7A9A9A"/>
    <w:rsid w:val="5E7FBC5C"/>
    <w:rsid w:val="5E7FDF2E"/>
    <w:rsid w:val="5EDD6377"/>
    <w:rsid w:val="5EEBD77D"/>
    <w:rsid w:val="5EED101E"/>
    <w:rsid w:val="5EF76024"/>
    <w:rsid w:val="5EFF59D6"/>
    <w:rsid w:val="5EFF974D"/>
    <w:rsid w:val="5F374DB3"/>
    <w:rsid w:val="5F6F9EA4"/>
    <w:rsid w:val="5F8A68FB"/>
    <w:rsid w:val="5FA911F0"/>
    <w:rsid w:val="5FB6F504"/>
    <w:rsid w:val="5FC3061C"/>
    <w:rsid w:val="5FE1BD42"/>
    <w:rsid w:val="5FEE76E6"/>
    <w:rsid w:val="5FF6065B"/>
    <w:rsid w:val="5FF68925"/>
    <w:rsid w:val="5FF9FE18"/>
    <w:rsid w:val="5FFE7695"/>
    <w:rsid w:val="5FFF5101"/>
    <w:rsid w:val="5FFFBFA9"/>
    <w:rsid w:val="604734C2"/>
    <w:rsid w:val="60800E50"/>
    <w:rsid w:val="609B78A2"/>
    <w:rsid w:val="61178030"/>
    <w:rsid w:val="621C3AE7"/>
    <w:rsid w:val="622A5268"/>
    <w:rsid w:val="62A16A3A"/>
    <w:rsid w:val="635380E9"/>
    <w:rsid w:val="63A72136"/>
    <w:rsid w:val="63BEF433"/>
    <w:rsid w:val="63E76A66"/>
    <w:rsid w:val="642B56B0"/>
    <w:rsid w:val="647B5B72"/>
    <w:rsid w:val="649B339C"/>
    <w:rsid w:val="64EFA138"/>
    <w:rsid w:val="65CF4325"/>
    <w:rsid w:val="65D33E68"/>
    <w:rsid w:val="65ED1F71"/>
    <w:rsid w:val="65FDAEE0"/>
    <w:rsid w:val="65FFC3A4"/>
    <w:rsid w:val="65FFEC08"/>
    <w:rsid w:val="664E14AB"/>
    <w:rsid w:val="66573B66"/>
    <w:rsid w:val="66AD4262"/>
    <w:rsid w:val="66B71094"/>
    <w:rsid w:val="66CB19B2"/>
    <w:rsid w:val="66FECB51"/>
    <w:rsid w:val="673D2491"/>
    <w:rsid w:val="675B5A36"/>
    <w:rsid w:val="6763D5B0"/>
    <w:rsid w:val="67871415"/>
    <w:rsid w:val="67DFDD99"/>
    <w:rsid w:val="685E3EBD"/>
    <w:rsid w:val="687B3CF3"/>
    <w:rsid w:val="69A521C6"/>
    <w:rsid w:val="69AF24F6"/>
    <w:rsid w:val="69AF5125"/>
    <w:rsid w:val="69BC2895"/>
    <w:rsid w:val="69E414DD"/>
    <w:rsid w:val="69FBDDC7"/>
    <w:rsid w:val="6A660B83"/>
    <w:rsid w:val="6A7F6D13"/>
    <w:rsid w:val="6AB867A9"/>
    <w:rsid w:val="6AE0106A"/>
    <w:rsid w:val="6AFAC7B1"/>
    <w:rsid w:val="6B1F2D84"/>
    <w:rsid w:val="6B675079"/>
    <w:rsid w:val="6B7DE963"/>
    <w:rsid w:val="6B9F922F"/>
    <w:rsid w:val="6BCC579C"/>
    <w:rsid w:val="6BCFABFB"/>
    <w:rsid w:val="6BE173F2"/>
    <w:rsid w:val="6BEDDD7D"/>
    <w:rsid w:val="6C5B06F6"/>
    <w:rsid w:val="6C8E09D2"/>
    <w:rsid w:val="6CEB0DBC"/>
    <w:rsid w:val="6D410C09"/>
    <w:rsid w:val="6D7FBAFD"/>
    <w:rsid w:val="6D7FD33D"/>
    <w:rsid w:val="6D8707CD"/>
    <w:rsid w:val="6D99C997"/>
    <w:rsid w:val="6DA809BC"/>
    <w:rsid w:val="6DBB907A"/>
    <w:rsid w:val="6DFEA535"/>
    <w:rsid w:val="6DFFA9F6"/>
    <w:rsid w:val="6E159DA2"/>
    <w:rsid w:val="6E5DDBDC"/>
    <w:rsid w:val="6E6901BA"/>
    <w:rsid w:val="6E9E9F2D"/>
    <w:rsid w:val="6EBD7952"/>
    <w:rsid w:val="6EC60388"/>
    <w:rsid w:val="6F014DEF"/>
    <w:rsid w:val="6F705A5C"/>
    <w:rsid w:val="6F880F97"/>
    <w:rsid w:val="6FA369DD"/>
    <w:rsid w:val="6FD3808E"/>
    <w:rsid w:val="6FD9D43E"/>
    <w:rsid w:val="6FDE616D"/>
    <w:rsid w:val="6FDFD0C5"/>
    <w:rsid w:val="6FED74AE"/>
    <w:rsid w:val="6FF3179A"/>
    <w:rsid w:val="6FFCE334"/>
    <w:rsid w:val="6FFE7508"/>
    <w:rsid w:val="6FFFF4AF"/>
    <w:rsid w:val="70E78717"/>
    <w:rsid w:val="718015BD"/>
    <w:rsid w:val="71DF0AF3"/>
    <w:rsid w:val="71E82352"/>
    <w:rsid w:val="71FB2FE3"/>
    <w:rsid w:val="72211E04"/>
    <w:rsid w:val="722B3E46"/>
    <w:rsid w:val="724759C2"/>
    <w:rsid w:val="733F4938"/>
    <w:rsid w:val="73AE4630"/>
    <w:rsid w:val="73EF23B4"/>
    <w:rsid w:val="73EF394F"/>
    <w:rsid w:val="73FF29DC"/>
    <w:rsid w:val="748FE1E7"/>
    <w:rsid w:val="74DC1816"/>
    <w:rsid w:val="755961C5"/>
    <w:rsid w:val="75CB4C31"/>
    <w:rsid w:val="75F820E8"/>
    <w:rsid w:val="75FB9FF3"/>
    <w:rsid w:val="75FE5A48"/>
    <w:rsid w:val="75FF56C0"/>
    <w:rsid w:val="765F4657"/>
    <w:rsid w:val="76F25A9D"/>
    <w:rsid w:val="76FB0E00"/>
    <w:rsid w:val="76FEB484"/>
    <w:rsid w:val="77304047"/>
    <w:rsid w:val="775A16EB"/>
    <w:rsid w:val="775DCAF6"/>
    <w:rsid w:val="777FFB87"/>
    <w:rsid w:val="77AB2709"/>
    <w:rsid w:val="77B72734"/>
    <w:rsid w:val="77BA91FC"/>
    <w:rsid w:val="77CD59C0"/>
    <w:rsid w:val="77DF124C"/>
    <w:rsid w:val="77EDFFAF"/>
    <w:rsid w:val="77FD9252"/>
    <w:rsid w:val="77FE32EC"/>
    <w:rsid w:val="77FE8B6E"/>
    <w:rsid w:val="791743F7"/>
    <w:rsid w:val="797F8114"/>
    <w:rsid w:val="798031CF"/>
    <w:rsid w:val="79FB5FAF"/>
    <w:rsid w:val="7A2FB116"/>
    <w:rsid w:val="7A376519"/>
    <w:rsid w:val="7A3F6EB8"/>
    <w:rsid w:val="7A67D8E4"/>
    <w:rsid w:val="7AA41EB8"/>
    <w:rsid w:val="7AF1EB58"/>
    <w:rsid w:val="7AF71059"/>
    <w:rsid w:val="7AFCBFBD"/>
    <w:rsid w:val="7B2F27DC"/>
    <w:rsid w:val="7B5D6E41"/>
    <w:rsid w:val="7B6E6DF3"/>
    <w:rsid w:val="7B7E918F"/>
    <w:rsid w:val="7B7F2C31"/>
    <w:rsid w:val="7BB66289"/>
    <w:rsid w:val="7BCCCAA1"/>
    <w:rsid w:val="7BD9CB31"/>
    <w:rsid w:val="7BE3C6C4"/>
    <w:rsid w:val="7BE62C07"/>
    <w:rsid w:val="7BE70D0A"/>
    <w:rsid w:val="7BED67F5"/>
    <w:rsid w:val="7BF9018F"/>
    <w:rsid w:val="7BFDA313"/>
    <w:rsid w:val="7BFF3E46"/>
    <w:rsid w:val="7C137A81"/>
    <w:rsid w:val="7C292323"/>
    <w:rsid w:val="7C423ACB"/>
    <w:rsid w:val="7C774249"/>
    <w:rsid w:val="7C9E5EE6"/>
    <w:rsid w:val="7CBBCED2"/>
    <w:rsid w:val="7CBD0039"/>
    <w:rsid w:val="7CCE6F60"/>
    <w:rsid w:val="7CCF4580"/>
    <w:rsid w:val="7CDF64C7"/>
    <w:rsid w:val="7D79DF34"/>
    <w:rsid w:val="7D7EABE1"/>
    <w:rsid w:val="7D7F419E"/>
    <w:rsid w:val="7D7FB7BE"/>
    <w:rsid w:val="7DAB4387"/>
    <w:rsid w:val="7DBD8EB2"/>
    <w:rsid w:val="7DBF075B"/>
    <w:rsid w:val="7DD97AA7"/>
    <w:rsid w:val="7DDB05A4"/>
    <w:rsid w:val="7DDD2722"/>
    <w:rsid w:val="7DDFA753"/>
    <w:rsid w:val="7DEAA60B"/>
    <w:rsid w:val="7DEB5413"/>
    <w:rsid w:val="7DEE0B18"/>
    <w:rsid w:val="7DEE768A"/>
    <w:rsid w:val="7DF514E7"/>
    <w:rsid w:val="7DF9577A"/>
    <w:rsid w:val="7DF98B02"/>
    <w:rsid w:val="7DFF5D72"/>
    <w:rsid w:val="7DFF6D6E"/>
    <w:rsid w:val="7DFF74AD"/>
    <w:rsid w:val="7DFFE1BD"/>
    <w:rsid w:val="7E3B3277"/>
    <w:rsid w:val="7E5F1FD6"/>
    <w:rsid w:val="7E7D8ABF"/>
    <w:rsid w:val="7E9B1278"/>
    <w:rsid w:val="7EB1EA29"/>
    <w:rsid w:val="7EBDE22E"/>
    <w:rsid w:val="7EBF4E53"/>
    <w:rsid w:val="7EBF6762"/>
    <w:rsid w:val="7EBF841F"/>
    <w:rsid w:val="7EF1BD9C"/>
    <w:rsid w:val="7EFB3B17"/>
    <w:rsid w:val="7EFCFAD4"/>
    <w:rsid w:val="7EFD0516"/>
    <w:rsid w:val="7EFF3B41"/>
    <w:rsid w:val="7EFF6CE0"/>
    <w:rsid w:val="7F3217A8"/>
    <w:rsid w:val="7F434F43"/>
    <w:rsid w:val="7F6F325F"/>
    <w:rsid w:val="7F75E46A"/>
    <w:rsid w:val="7F7D4D66"/>
    <w:rsid w:val="7F8D69DE"/>
    <w:rsid w:val="7F923854"/>
    <w:rsid w:val="7F9D2CC6"/>
    <w:rsid w:val="7FAA92EA"/>
    <w:rsid w:val="7FAB964F"/>
    <w:rsid w:val="7FADC894"/>
    <w:rsid w:val="7FADCEB7"/>
    <w:rsid w:val="7FAF8E99"/>
    <w:rsid w:val="7FAF9BEF"/>
    <w:rsid w:val="7FAFECCB"/>
    <w:rsid w:val="7FB5AD8E"/>
    <w:rsid w:val="7FB70309"/>
    <w:rsid w:val="7FBEA4D8"/>
    <w:rsid w:val="7FC71DFA"/>
    <w:rsid w:val="7FCE9B4A"/>
    <w:rsid w:val="7FD74590"/>
    <w:rsid w:val="7FDED9E5"/>
    <w:rsid w:val="7FE37818"/>
    <w:rsid w:val="7FEAA9AB"/>
    <w:rsid w:val="7FFD73C0"/>
    <w:rsid w:val="7FFDE014"/>
    <w:rsid w:val="7FFEC443"/>
    <w:rsid w:val="7FFF351D"/>
    <w:rsid w:val="7FFF8137"/>
    <w:rsid w:val="7FFFD4F9"/>
    <w:rsid w:val="87EFB873"/>
    <w:rsid w:val="8BBD71C6"/>
    <w:rsid w:val="8BDB5640"/>
    <w:rsid w:val="8BF73B00"/>
    <w:rsid w:val="8CFAC852"/>
    <w:rsid w:val="8DD50D56"/>
    <w:rsid w:val="939FA03F"/>
    <w:rsid w:val="96BFCB2F"/>
    <w:rsid w:val="973F25DC"/>
    <w:rsid w:val="97EF25B5"/>
    <w:rsid w:val="992FC3A9"/>
    <w:rsid w:val="99FDBB83"/>
    <w:rsid w:val="9B77CB3B"/>
    <w:rsid w:val="9B8B32CE"/>
    <w:rsid w:val="9BDBED88"/>
    <w:rsid w:val="9BF5DD3C"/>
    <w:rsid w:val="9D7A5340"/>
    <w:rsid w:val="9DEE0AF2"/>
    <w:rsid w:val="9F1BAF19"/>
    <w:rsid w:val="9F6FCCBD"/>
    <w:rsid w:val="9F7B353E"/>
    <w:rsid w:val="9F97ABBB"/>
    <w:rsid w:val="9FB59D1C"/>
    <w:rsid w:val="9FCD91C3"/>
    <w:rsid w:val="9FE392F3"/>
    <w:rsid w:val="9FEFA79E"/>
    <w:rsid w:val="A6CD27B8"/>
    <w:rsid w:val="A6FB25A1"/>
    <w:rsid w:val="A77FBB3D"/>
    <w:rsid w:val="A7DE9939"/>
    <w:rsid w:val="ABEBF671"/>
    <w:rsid w:val="ACD7FBCE"/>
    <w:rsid w:val="AD5FC3D8"/>
    <w:rsid w:val="ADFCDA63"/>
    <w:rsid w:val="AEFE2613"/>
    <w:rsid w:val="AF6D42D8"/>
    <w:rsid w:val="AF7B5CBD"/>
    <w:rsid w:val="AFF2AFD8"/>
    <w:rsid w:val="B0DD6782"/>
    <w:rsid w:val="B1BC1CFE"/>
    <w:rsid w:val="B3F789F3"/>
    <w:rsid w:val="B5E6287B"/>
    <w:rsid w:val="B5FFA584"/>
    <w:rsid w:val="B67F43DA"/>
    <w:rsid w:val="B7AAC7AB"/>
    <w:rsid w:val="B7BA8507"/>
    <w:rsid w:val="B7BD6C08"/>
    <w:rsid w:val="B7BF2100"/>
    <w:rsid w:val="B7BF928E"/>
    <w:rsid w:val="B7DB7E02"/>
    <w:rsid w:val="B7EFE48C"/>
    <w:rsid w:val="B7FB4104"/>
    <w:rsid w:val="B8F1D304"/>
    <w:rsid w:val="B9DFF72D"/>
    <w:rsid w:val="B9FE2322"/>
    <w:rsid w:val="BA9D2B5C"/>
    <w:rsid w:val="BB2DFF0C"/>
    <w:rsid w:val="BBB73ED3"/>
    <w:rsid w:val="BBDDE668"/>
    <w:rsid w:val="BBF976E4"/>
    <w:rsid w:val="BCFD65E9"/>
    <w:rsid w:val="BD1FFFD0"/>
    <w:rsid w:val="BD574E1A"/>
    <w:rsid w:val="BDD35FA2"/>
    <w:rsid w:val="BDFED098"/>
    <w:rsid w:val="BEFF32EE"/>
    <w:rsid w:val="BF3DD8EC"/>
    <w:rsid w:val="BF66D87B"/>
    <w:rsid w:val="BF7FA6A8"/>
    <w:rsid w:val="BF86A395"/>
    <w:rsid w:val="BF8B3571"/>
    <w:rsid w:val="BFAFE011"/>
    <w:rsid w:val="BFBED802"/>
    <w:rsid w:val="BFD7166A"/>
    <w:rsid w:val="BFE91E89"/>
    <w:rsid w:val="BFFDEDCF"/>
    <w:rsid w:val="BFFE8C2C"/>
    <w:rsid w:val="BFFFD4F7"/>
    <w:rsid w:val="C76F1B9F"/>
    <w:rsid w:val="CB7716C7"/>
    <w:rsid w:val="CBA5DAA6"/>
    <w:rsid w:val="CC6DE0F8"/>
    <w:rsid w:val="CCDD67D1"/>
    <w:rsid w:val="CD7F210F"/>
    <w:rsid w:val="D2BFFCB1"/>
    <w:rsid w:val="D3DF06DD"/>
    <w:rsid w:val="D3FDADCA"/>
    <w:rsid w:val="D5BF67B5"/>
    <w:rsid w:val="D5FFDDD5"/>
    <w:rsid w:val="D6EF683A"/>
    <w:rsid w:val="D74F8C7A"/>
    <w:rsid w:val="D8F1B670"/>
    <w:rsid w:val="D9BD4245"/>
    <w:rsid w:val="D9BF9829"/>
    <w:rsid w:val="DB5C880C"/>
    <w:rsid w:val="DB9D06EC"/>
    <w:rsid w:val="DBFA615B"/>
    <w:rsid w:val="DC676154"/>
    <w:rsid w:val="DCED8BC2"/>
    <w:rsid w:val="DD750548"/>
    <w:rsid w:val="DDEF21EF"/>
    <w:rsid w:val="DDFE3EC8"/>
    <w:rsid w:val="DDFEE100"/>
    <w:rsid w:val="DDFF03F5"/>
    <w:rsid w:val="DE3A4BE9"/>
    <w:rsid w:val="DE7B74E6"/>
    <w:rsid w:val="DEB67C06"/>
    <w:rsid w:val="DEB75CB5"/>
    <w:rsid w:val="DEB8D6C0"/>
    <w:rsid w:val="DEC755C4"/>
    <w:rsid w:val="DEE5F43D"/>
    <w:rsid w:val="DF5E709F"/>
    <w:rsid w:val="DFB7B065"/>
    <w:rsid w:val="DFE722C8"/>
    <w:rsid w:val="DFEADEEC"/>
    <w:rsid w:val="DFED96F5"/>
    <w:rsid w:val="DFF5BE25"/>
    <w:rsid w:val="DFFDF294"/>
    <w:rsid w:val="DFFE36F4"/>
    <w:rsid w:val="DFFF83D7"/>
    <w:rsid w:val="E1AE537B"/>
    <w:rsid w:val="E377CAD3"/>
    <w:rsid w:val="E5D7312E"/>
    <w:rsid w:val="E6EFE6B2"/>
    <w:rsid w:val="E75F346D"/>
    <w:rsid w:val="E77B90FD"/>
    <w:rsid w:val="E77EE8BD"/>
    <w:rsid w:val="E7FDD106"/>
    <w:rsid w:val="E7FF509E"/>
    <w:rsid w:val="E9EC7ED8"/>
    <w:rsid w:val="E9FD7CB3"/>
    <w:rsid w:val="EABE1C3F"/>
    <w:rsid w:val="EAFB901F"/>
    <w:rsid w:val="EB1ED3A4"/>
    <w:rsid w:val="EB76BA0A"/>
    <w:rsid w:val="EBA3F109"/>
    <w:rsid w:val="EBBE8894"/>
    <w:rsid w:val="EBDB85E2"/>
    <w:rsid w:val="EBDFAC8B"/>
    <w:rsid w:val="EBF58581"/>
    <w:rsid w:val="EBFAD5A7"/>
    <w:rsid w:val="ECFD547B"/>
    <w:rsid w:val="EDBB1478"/>
    <w:rsid w:val="EDDE5DAF"/>
    <w:rsid w:val="EDE12409"/>
    <w:rsid w:val="EDFB5EF7"/>
    <w:rsid w:val="EE7F1E85"/>
    <w:rsid w:val="EE8FF47B"/>
    <w:rsid w:val="EEFE3F12"/>
    <w:rsid w:val="EF36B7FB"/>
    <w:rsid w:val="EF3E4456"/>
    <w:rsid w:val="EF6AC498"/>
    <w:rsid w:val="EF6F0BE8"/>
    <w:rsid w:val="EF7DDF33"/>
    <w:rsid w:val="EF7E72E2"/>
    <w:rsid w:val="EFAF4FD4"/>
    <w:rsid w:val="EFE7B20E"/>
    <w:rsid w:val="EFEFB4B1"/>
    <w:rsid w:val="EFF5C566"/>
    <w:rsid w:val="EFFB1BAC"/>
    <w:rsid w:val="EFFD145D"/>
    <w:rsid w:val="EFFD8CFF"/>
    <w:rsid w:val="F1F5D3C4"/>
    <w:rsid w:val="F275DA76"/>
    <w:rsid w:val="F2DF2013"/>
    <w:rsid w:val="F32FB4EF"/>
    <w:rsid w:val="F3B33006"/>
    <w:rsid w:val="F3D90753"/>
    <w:rsid w:val="F3FFE6B5"/>
    <w:rsid w:val="F4FA30E7"/>
    <w:rsid w:val="F53FC911"/>
    <w:rsid w:val="F5750987"/>
    <w:rsid w:val="F5E75DD7"/>
    <w:rsid w:val="F5F30E22"/>
    <w:rsid w:val="F5FF5345"/>
    <w:rsid w:val="F64BCF72"/>
    <w:rsid w:val="F65D0F29"/>
    <w:rsid w:val="F66F9C62"/>
    <w:rsid w:val="F6B7E99E"/>
    <w:rsid w:val="F6B93B3E"/>
    <w:rsid w:val="F6DA814B"/>
    <w:rsid w:val="F6FCA072"/>
    <w:rsid w:val="F6FE3890"/>
    <w:rsid w:val="F6FE4781"/>
    <w:rsid w:val="F767787F"/>
    <w:rsid w:val="F7779F5E"/>
    <w:rsid w:val="F77B79BE"/>
    <w:rsid w:val="F77FFFC8"/>
    <w:rsid w:val="F7AD5629"/>
    <w:rsid w:val="F7AF4754"/>
    <w:rsid w:val="F7AF6DC5"/>
    <w:rsid w:val="F7BF4DCB"/>
    <w:rsid w:val="F7CB1098"/>
    <w:rsid w:val="F7D35C9B"/>
    <w:rsid w:val="F7D62FCE"/>
    <w:rsid w:val="F7DEBAE4"/>
    <w:rsid w:val="F7FEBCDB"/>
    <w:rsid w:val="F7FF8ABD"/>
    <w:rsid w:val="F7FFB081"/>
    <w:rsid w:val="F87F1A3D"/>
    <w:rsid w:val="F9BB8E09"/>
    <w:rsid w:val="F9BF68F8"/>
    <w:rsid w:val="F9CC6249"/>
    <w:rsid w:val="F9DE41CD"/>
    <w:rsid w:val="F9E751BA"/>
    <w:rsid w:val="FA3DCC22"/>
    <w:rsid w:val="FA6EA470"/>
    <w:rsid w:val="FAD6E1AF"/>
    <w:rsid w:val="FAEF69FA"/>
    <w:rsid w:val="FAFD2248"/>
    <w:rsid w:val="FAFDF4F8"/>
    <w:rsid w:val="FBAF6E9B"/>
    <w:rsid w:val="FBBF6130"/>
    <w:rsid w:val="FBEB7BF2"/>
    <w:rsid w:val="FBEBB3ED"/>
    <w:rsid w:val="FBFB0CD5"/>
    <w:rsid w:val="FBFC2E41"/>
    <w:rsid w:val="FBFD30AE"/>
    <w:rsid w:val="FBFEC197"/>
    <w:rsid w:val="FBFF6FD8"/>
    <w:rsid w:val="FBFFEA55"/>
    <w:rsid w:val="FC5E3D7D"/>
    <w:rsid w:val="FCFD6AF8"/>
    <w:rsid w:val="FCFFE151"/>
    <w:rsid w:val="FD679674"/>
    <w:rsid w:val="FD77CD95"/>
    <w:rsid w:val="FD7EE6D9"/>
    <w:rsid w:val="FD7F22E7"/>
    <w:rsid w:val="FDAD20B2"/>
    <w:rsid w:val="FDBD51EA"/>
    <w:rsid w:val="FDFB85B4"/>
    <w:rsid w:val="FDFF4920"/>
    <w:rsid w:val="FDFF96AE"/>
    <w:rsid w:val="FDFFF909"/>
    <w:rsid w:val="FE3F8F48"/>
    <w:rsid w:val="FE4FC563"/>
    <w:rsid w:val="FE539E0F"/>
    <w:rsid w:val="FE62886C"/>
    <w:rsid w:val="FEBF1833"/>
    <w:rsid w:val="FED61A61"/>
    <w:rsid w:val="FEDF65FC"/>
    <w:rsid w:val="FEE92AFA"/>
    <w:rsid w:val="FEEBB54D"/>
    <w:rsid w:val="FEEDE71C"/>
    <w:rsid w:val="FEF57FE0"/>
    <w:rsid w:val="FEF74162"/>
    <w:rsid w:val="FEF8F85A"/>
    <w:rsid w:val="FEFF5102"/>
    <w:rsid w:val="FF54E895"/>
    <w:rsid w:val="FF679C78"/>
    <w:rsid w:val="FF7780DB"/>
    <w:rsid w:val="FF7E1B76"/>
    <w:rsid w:val="FF7F1B75"/>
    <w:rsid w:val="FF7F442F"/>
    <w:rsid w:val="FF7F9012"/>
    <w:rsid w:val="FF7FBE0A"/>
    <w:rsid w:val="FFACB62B"/>
    <w:rsid w:val="FFBAE316"/>
    <w:rsid w:val="FFBB3092"/>
    <w:rsid w:val="FFBBC91E"/>
    <w:rsid w:val="FFBD2A63"/>
    <w:rsid w:val="FFBE8556"/>
    <w:rsid w:val="FFBEFFA5"/>
    <w:rsid w:val="FFBF6667"/>
    <w:rsid w:val="FFBFA54E"/>
    <w:rsid w:val="FFCBAC21"/>
    <w:rsid w:val="FFD2F072"/>
    <w:rsid w:val="FFD79819"/>
    <w:rsid w:val="FFD7D42B"/>
    <w:rsid w:val="FFDA555F"/>
    <w:rsid w:val="FFDF70C2"/>
    <w:rsid w:val="FFE703E8"/>
    <w:rsid w:val="FFEF3CED"/>
    <w:rsid w:val="FFF50D13"/>
    <w:rsid w:val="FFF77383"/>
    <w:rsid w:val="FFF93375"/>
    <w:rsid w:val="FFFAFFCB"/>
    <w:rsid w:val="FFFC772F"/>
    <w:rsid w:val="FFFDE791"/>
    <w:rsid w:val="FFFE2390"/>
    <w:rsid w:val="FFFF02D3"/>
    <w:rsid w:val="FFFF0B70"/>
    <w:rsid w:val="FFFF22AA"/>
    <w:rsid w:val="FFFF754C"/>
    <w:rsid w:val="FFFF9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560" w:firstLineChars="200"/>
      <w:jc w:val="both"/>
    </w:pPr>
    <w:rPr>
      <w:rFonts w:ascii="Times New Roman" w:hAnsi="Times New Roman" w:eastAsia="仿宋_GB2312" w:cs="Times New Roman"/>
      <w:color w:val="000000"/>
      <w:sz w:val="32"/>
      <w:szCs w:val="24"/>
      <w:lang w:val="en-US" w:eastAsia="en-US" w:bidi="en-US"/>
    </w:rPr>
  </w:style>
  <w:style w:type="paragraph" w:styleId="2">
    <w:name w:val="heading 1"/>
    <w:basedOn w:val="1"/>
    <w:next w:val="1"/>
    <w:qFormat/>
    <w:uiPriority w:val="0"/>
    <w:pPr>
      <w:keepNext/>
      <w:keepLines/>
      <w:spacing w:before="50" w:beforeLines="50" w:after="50" w:afterLines="50"/>
      <w:ind w:firstLine="0" w:firstLineChars="0"/>
      <w:outlineLvl w:val="0"/>
    </w:pPr>
    <w:rPr>
      <w:rFonts w:eastAsia="黑体"/>
      <w:b/>
      <w:kern w:val="44"/>
    </w:rPr>
  </w:style>
  <w:style w:type="paragraph" w:styleId="3">
    <w:name w:val="heading 2"/>
    <w:basedOn w:val="1"/>
    <w:next w:val="1"/>
    <w:link w:val="26"/>
    <w:unhideWhenUsed/>
    <w:qFormat/>
    <w:uiPriority w:val="0"/>
    <w:pPr>
      <w:keepNext/>
      <w:keepLines/>
      <w:spacing w:before="50" w:beforeLines="50" w:after="50" w:afterLines="50"/>
      <w:outlineLvl w:val="1"/>
    </w:pPr>
    <w:rPr>
      <w:rFonts w:ascii="华文楷体" w:hAnsi="华文楷体" w:eastAsia="楷体"/>
      <w:b/>
    </w:rPr>
  </w:style>
  <w:style w:type="paragraph" w:styleId="4">
    <w:name w:val="heading 3"/>
    <w:basedOn w:val="1"/>
    <w:next w:val="1"/>
    <w:link w:val="27"/>
    <w:unhideWhenUsed/>
    <w:qFormat/>
    <w:uiPriority w:val="0"/>
    <w:pPr>
      <w:keepNext/>
      <w:keepLines/>
      <w:ind w:firstLine="200"/>
      <w:outlineLvl w:val="2"/>
    </w:pPr>
    <w:rPr>
      <w:b/>
    </w:rPr>
  </w:style>
  <w:style w:type="paragraph" w:styleId="5">
    <w:name w:val="heading 4"/>
    <w:basedOn w:val="1"/>
    <w:next w:val="1"/>
    <w:unhideWhenUsed/>
    <w:qFormat/>
    <w:uiPriority w:val="0"/>
    <w:pPr>
      <w:keepNext/>
      <w:keepLines/>
      <w:outlineLvl w:val="3"/>
    </w:pPr>
    <w:rPr>
      <w:b/>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920"/>
      <w:jc w:val="left"/>
    </w:pPr>
    <w:rPr>
      <w:rFonts w:asciiTheme="minorHAnsi" w:hAnsiTheme="minorHAnsi" w:cstheme="minorHAnsi"/>
      <w:sz w:val="18"/>
      <w:szCs w:val="18"/>
    </w:rPr>
  </w:style>
  <w:style w:type="paragraph" w:styleId="7">
    <w:name w:val="Body Text"/>
    <w:basedOn w:val="1"/>
    <w:link w:val="53"/>
    <w:qFormat/>
    <w:uiPriority w:val="0"/>
    <w:pPr>
      <w:spacing w:before="240"/>
      <w:ind w:left="1160"/>
    </w:pPr>
    <w:rPr>
      <w:rFonts w:ascii="仿宋_GB2312" w:hAnsi="仿宋_GB2312" w:cs="仿宋_GB2312"/>
      <w:sz w:val="30"/>
      <w:szCs w:val="30"/>
      <w:lang w:val="zh-CN" w:eastAsia="zh-CN" w:bidi="zh-CN"/>
    </w:rPr>
  </w:style>
  <w:style w:type="paragraph" w:styleId="8">
    <w:name w:val="toc 5"/>
    <w:basedOn w:val="1"/>
    <w:next w:val="1"/>
    <w:qFormat/>
    <w:uiPriority w:val="0"/>
    <w:pPr>
      <w:ind w:left="1280"/>
      <w:jc w:val="left"/>
    </w:pPr>
    <w:rPr>
      <w:rFonts w:asciiTheme="minorHAnsi" w:hAnsiTheme="minorHAnsi" w:cstheme="minorHAnsi"/>
      <w:sz w:val="18"/>
      <w:szCs w:val="18"/>
    </w:rPr>
  </w:style>
  <w:style w:type="paragraph" w:styleId="9">
    <w:name w:val="toc 3"/>
    <w:basedOn w:val="1"/>
    <w:next w:val="1"/>
    <w:qFormat/>
    <w:uiPriority w:val="39"/>
    <w:pPr>
      <w:ind w:left="640"/>
      <w:jc w:val="left"/>
    </w:pPr>
    <w:rPr>
      <w:rFonts w:asciiTheme="minorHAnsi" w:hAnsiTheme="minorHAnsi" w:cstheme="minorHAnsi"/>
      <w:i/>
      <w:iCs/>
      <w:sz w:val="20"/>
      <w:szCs w:val="20"/>
    </w:rPr>
  </w:style>
  <w:style w:type="paragraph" w:styleId="10">
    <w:name w:val="toc 8"/>
    <w:basedOn w:val="1"/>
    <w:next w:val="1"/>
    <w:qFormat/>
    <w:uiPriority w:val="0"/>
    <w:pPr>
      <w:ind w:left="2240"/>
      <w:jc w:val="left"/>
    </w:pPr>
    <w:rPr>
      <w:rFonts w:asciiTheme="minorHAnsi" w:hAnsiTheme="minorHAnsi" w:cstheme="minorHAnsi"/>
      <w:sz w:val="18"/>
      <w:szCs w:val="18"/>
    </w:rPr>
  </w:style>
  <w:style w:type="paragraph" w:styleId="11">
    <w:name w:val="Balloon Text"/>
    <w:basedOn w:val="1"/>
    <w:link w:val="52"/>
    <w:qFormat/>
    <w:uiPriority w:val="0"/>
    <w:pPr>
      <w:spacing w:line="240" w:lineRule="auto"/>
    </w:pPr>
    <w:rPr>
      <w:sz w:val="18"/>
      <w:szCs w:val="18"/>
    </w:rPr>
  </w:style>
  <w:style w:type="paragraph" w:styleId="12">
    <w:name w:val="footer"/>
    <w:basedOn w:val="1"/>
    <w:link w:val="54"/>
    <w:qFormat/>
    <w:uiPriority w:val="99"/>
    <w:pPr>
      <w:tabs>
        <w:tab w:val="center" w:pos="4153"/>
        <w:tab w:val="right" w:pos="8306"/>
      </w:tabs>
      <w:snapToGrid w:val="0"/>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rFonts w:ascii="DejaVu Sans" w:hAnsi="DejaVu Sans"/>
      <w:sz w:val="18"/>
    </w:rPr>
  </w:style>
  <w:style w:type="paragraph" w:styleId="14">
    <w:name w:val="toc 1"/>
    <w:basedOn w:val="1"/>
    <w:next w:val="1"/>
    <w:qFormat/>
    <w:uiPriority w:val="39"/>
    <w:pPr>
      <w:spacing w:before="120" w:after="120"/>
      <w:jc w:val="left"/>
    </w:pPr>
    <w:rPr>
      <w:rFonts w:asciiTheme="minorHAnsi" w:hAnsiTheme="minorHAnsi" w:cstheme="minorHAnsi"/>
      <w:b/>
      <w:bCs/>
      <w:caps/>
      <w:sz w:val="20"/>
      <w:szCs w:val="20"/>
    </w:rPr>
  </w:style>
  <w:style w:type="paragraph" w:styleId="15">
    <w:name w:val="toc 4"/>
    <w:basedOn w:val="1"/>
    <w:next w:val="1"/>
    <w:qFormat/>
    <w:uiPriority w:val="0"/>
    <w:pPr>
      <w:ind w:left="960"/>
      <w:jc w:val="left"/>
    </w:pPr>
    <w:rPr>
      <w:rFonts w:asciiTheme="minorHAnsi" w:hAnsiTheme="minorHAnsi" w:cstheme="minorHAnsi"/>
      <w:sz w:val="18"/>
      <w:szCs w:val="18"/>
    </w:rPr>
  </w:style>
  <w:style w:type="paragraph" w:styleId="16">
    <w:name w:val="toc 6"/>
    <w:basedOn w:val="1"/>
    <w:next w:val="1"/>
    <w:qFormat/>
    <w:uiPriority w:val="0"/>
    <w:pPr>
      <w:ind w:left="1600"/>
      <w:jc w:val="left"/>
    </w:pPr>
    <w:rPr>
      <w:rFonts w:asciiTheme="minorHAnsi" w:hAnsiTheme="minorHAnsi" w:cstheme="minorHAnsi"/>
      <w:sz w:val="18"/>
      <w:szCs w:val="18"/>
    </w:rPr>
  </w:style>
  <w:style w:type="paragraph" w:styleId="17">
    <w:name w:val="toc 2"/>
    <w:basedOn w:val="1"/>
    <w:next w:val="1"/>
    <w:qFormat/>
    <w:uiPriority w:val="39"/>
    <w:pPr>
      <w:ind w:left="320"/>
      <w:jc w:val="left"/>
    </w:pPr>
    <w:rPr>
      <w:rFonts w:asciiTheme="minorHAnsi" w:hAnsiTheme="minorHAnsi" w:cstheme="minorHAnsi"/>
      <w:smallCaps/>
      <w:sz w:val="20"/>
      <w:szCs w:val="20"/>
    </w:rPr>
  </w:style>
  <w:style w:type="paragraph" w:styleId="18">
    <w:name w:val="toc 9"/>
    <w:basedOn w:val="1"/>
    <w:next w:val="1"/>
    <w:qFormat/>
    <w:uiPriority w:val="0"/>
    <w:pPr>
      <w:ind w:left="2560"/>
      <w:jc w:val="left"/>
    </w:pPr>
    <w:rPr>
      <w:rFonts w:asciiTheme="minorHAnsi" w:hAnsiTheme="minorHAnsi" w:cstheme="minorHAnsi"/>
      <w:sz w:val="18"/>
      <w:szCs w:val="18"/>
    </w:rPr>
  </w:style>
  <w:style w:type="paragraph" w:styleId="19">
    <w:name w:val="Normal (Web)"/>
    <w:basedOn w:val="1"/>
    <w:qFormat/>
    <w:uiPriority w:val="0"/>
    <w:pPr>
      <w:spacing w:beforeAutospacing="1" w:afterAutospacing="1"/>
    </w:pPr>
    <w:rPr>
      <w:sz w:val="24"/>
      <w:lang w:eastAsia="zh-CN" w:bidi="ar-SA"/>
    </w:rPr>
  </w:style>
  <w:style w:type="paragraph" w:styleId="20">
    <w:name w:val="Title"/>
    <w:basedOn w:val="1"/>
    <w:next w:val="1"/>
    <w:link w:val="57"/>
    <w:qFormat/>
    <w:uiPriority w:val="0"/>
    <w:pPr>
      <w:spacing w:before="100" w:beforeLines="100" w:after="100" w:afterLines="100" w:line="360" w:lineRule="auto"/>
      <w:ind w:firstLine="0" w:firstLineChars="0"/>
      <w:jc w:val="center"/>
      <w:outlineLvl w:val="0"/>
    </w:pPr>
    <w:rPr>
      <w:rFonts w:eastAsia="方正小标宋" w:cstheme="majorBidi"/>
      <w:b/>
      <w:bCs/>
      <w:sz w:val="44"/>
      <w:szCs w:val="32"/>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styleId="25">
    <w:name w:val="Hyperlink"/>
    <w:basedOn w:val="23"/>
    <w:qFormat/>
    <w:uiPriority w:val="99"/>
    <w:rPr>
      <w:color w:val="0000FF"/>
      <w:u w:val="single"/>
    </w:rPr>
  </w:style>
  <w:style w:type="character" w:customStyle="1" w:styleId="26">
    <w:name w:val="标题 2 字符"/>
    <w:link w:val="3"/>
    <w:qFormat/>
    <w:uiPriority w:val="0"/>
    <w:rPr>
      <w:rFonts w:ascii="华文楷体" w:hAnsi="华文楷体" w:eastAsia="楷体"/>
      <w:b/>
    </w:rPr>
  </w:style>
  <w:style w:type="character" w:customStyle="1" w:styleId="27">
    <w:name w:val="标题 3 字符"/>
    <w:link w:val="4"/>
    <w:qFormat/>
    <w:uiPriority w:val="0"/>
    <w:rPr>
      <w:rFonts w:eastAsia="仿宋_GB2312"/>
      <w:b/>
      <w:color w:val="000000"/>
      <w:sz w:val="32"/>
      <w:szCs w:val="24"/>
      <w:lang w:eastAsia="en-US" w:bidi="en-US"/>
    </w:rPr>
  </w:style>
  <w:style w:type="paragraph" w:customStyle="1" w:styleId="28">
    <w:name w:val="Body text|2"/>
    <w:basedOn w:val="1"/>
    <w:qFormat/>
    <w:uiPriority w:val="0"/>
    <w:pPr>
      <w:spacing w:line="322" w:lineRule="exact"/>
      <w:ind w:firstLine="400"/>
    </w:pPr>
    <w:rPr>
      <w:rFonts w:ascii="宋体" w:hAnsi="宋体" w:eastAsia="宋体" w:cs="宋体"/>
      <w:sz w:val="19"/>
      <w:szCs w:val="19"/>
      <w:lang w:val="zh-TW" w:eastAsia="zh-TW" w:bidi="zh-TW"/>
    </w:rPr>
  </w:style>
  <w:style w:type="paragraph" w:customStyle="1" w:styleId="29">
    <w:name w:val="Header or footer|1"/>
    <w:basedOn w:val="1"/>
    <w:qFormat/>
    <w:uiPriority w:val="0"/>
    <w:rPr>
      <w:lang w:val="zh-TW" w:eastAsia="zh-TW" w:bidi="zh-TW"/>
    </w:rPr>
  </w:style>
  <w:style w:type="paragraph" w:customStyle="1" w:styleId="30">
    <w:name w:val="标题4"/>
    <w:basedOn w:val="28"/>
    <w:qFormat/>
    <w:uiPriority w:val="0"/>
    <w:pPr>
      <w:spacing w:line="360" w:lineRule="auto"/>
      <w:ind w:firstLine="881"/>
    </w:pPr>
    <w:rPr>
      <w:rFonts w:eastAsia="华文仿宋"/>
      <w:b/>
      <w:sz w:val="32"/>
    </w:rPr>
  </w:style>
  <w:style w:type="paragraph" w:customStyle="1" w:styleId="31">
    <w:name w:val="Body text|1"/>
    <w:basedOn w:val="1"/>
    <w:qFormat/>
    <w:uiPriority w:val="0"/>
    <w:pPr>
      <w:spacing w:line="360" w:lineRule="auto"/>
      <w:ind w:firstLine="400"/>
    </w:pPr>
    <w:rPr>
      <w:rFonts w:ascii="宋体" w:hAnsi="宋体" w:eastAsia="宋体" w:cs="宋体"/>
      <w:lang w:val="zh-TW" w:eastAsia="zh-TW" w:bidi="zh-TW"/>
    </w:rPr>
  </w:style>
  <w:style w:type="character" w:customStyle="1" w:styleId="32">
    <w:name w:val="font01"/>
    <w:basedOn w:val="23"/>
    <w:qFormat/>
    <w:uiPriority w:val="0"/>
    <w:rPr>
      <w:rFonts w:ascii="Arial" w:hAnsi="Arial" w:cs="Arial"/>
      <w:color w:val="000000"/>
      <w:sz w:val="22"/>
      <w:szCs w:val="22"/>
      <w:u w:val="none"/>
    </w:rPr>
  </w:style>
  <w:style w:type="character" w:customStyle="1" w:styleId="33">
    <w:name w:val="font11"/>
    <w:basedOn w:val="23"/>
    <w:qFormat/>
    <w:uiPriority w:val="0"/>
    <w:rPr>
      <w:rFonts w:ascii="font-weight : 400" w:hAnsi="font-weight : 400" w:eastAsia="font-weight : 400" w:cs="font-weight : 400"/>
      <w:color w:val="000000"/>
      <w:sz w:val="22"/>
      <w:szCs w:val="22"/>
      <w:u w:val="none"/>
    </w:rPr>
  </w:style>
  <w:style w:type="character" w:customStyle="1" w:styleId="34">
    <w:name w:val="font51"/>
    <w:basedOn w:val="23"/>
    <w:qFormat/>
    <w:uiPriority w:val="0"/>
    <w:rPr>
      <w:rFonts w:hint="eastAsia" w:ascii="宋体" w:hAnsi="宋体" w:eastAsia="宋体" w:cs="宋体"/>
      <w:color w:val="000000"/>
      <w:sz w:val="22"/>
      <w:szCs w:val="22"/>
      <w:u w:val="none"/>
    </w:rPr>
  </w:style>
  <w:style w:type="character" w:customStyle="1" w:styleId="35">
    <w:name w:val="正文 + Arial Char"/>
    <w:link w:val="36"/>
    <w:qFormat/>
    <w:locked/>
    <w:uiPriority w:val="0"/>
    <w:rPr>
      <w:rFonts w:ascii="Arial"/>
      <w:kern w:val="0"/>
      <w:sz w:val="24"/>
    </w:rPr>
  </w:style>
  <w:style w:type="paragraph" w:customStyle="1" w:styleId="36">
    <w:name w:val="正文 + Arial"/>
    <w:basedOn w:val="1"/>
    <w:link w:val="35"/>
    <w:qFormat/>
    <w:uiPriority w:val="0"/>
    <w:pPr>
      <w:spacing w:afterLines="50" w:line="360" w:lineRule="auto"/>
      <w:ind w:firstLine="420"/>
    </w:pPr>
    <w:rPr>
      <w:rFonts w:ascii="Arial"/>
      <w:sz w:val="24"/>
    </w:rPr>
  </w:style>
  <w:style w:type="paragraph" w:customStyle="1" w:styleId="37">
    <w:name w:val="列出段落1"/>
    <w:basedOn w:val="1"/>
    <w:qFormat/>
    <w:uiPriority w:val="1"/>
    <w:pPr>
      <w:spacing w:before="3"/>
      <w:ind w:left="2332" w:hanging="753"/>
    </w:pPr>
    <w:rPr>
      <w:rFonts w:ascii="仿宋_GB2312" w:hAnsi="仿宋_GB2312" w:cs="仿宋_GB2312"/>
      <w:lang w:val="zh-CN" w:eastAsia="zh-CN" w:bidi="zh-CN"/>
    </w:rPr>
  </w:style>
  <w:style w:type="paragraph" w:customStyle="1" w:styleId="38">
    <w:name w:val="分类号"/>
    <w:basedOn w:val="1"/>
    <w:qFormat/>
    <w:uiPriority w:val="0"/>
    <w:pPr>
      <w:spacing w:line="240" w:lineRule="auto"/>
      <w:ind w:firstLine="0" w:firstLineChars="0"/>
    </w:pPr>
    <w:rPr>
      <w:rFonts w:ascii="仿宋_GB2312"/>
      <w:kern w:val="2"/>
      <w:sz w:val="28"/>
      <w:szCs w:val="28"/>
      <w:lang w:eastAsia="zh-CN" w:bidi="ar-SA"/>
    </w:rPr>
  </w:style>
  <w:style w:type="paragraph" w:customStyle="1" w:styleId="39">
    <w:name w:val="硕士学位论文"/>
    <w:basedOn w:val="1"/>
    <w:qFormat/>
    <w:uiPriority w:val="0"/>
    <w:pPr>
      <w:spacing w:before="240" w:line="240" w:lineRule="auto"/>
      <w:ind w:firstLine="0" w:firstLineChars="0"/>
      <w:jc w:val="center"/>
    </w:pPr>
    <w:rPr>
      <w:rFonts w:eastAsia="宋体"/>
      <w:kern w:val="2"/>
      <w:sz w:val="44"/>
      <w:szCs w:val="44"/>
      <w:lang w:eastAsia="zh-CN" w:bidi="ar-SA"/>
    </w:rPr>
  </w:style>
  <w:style w:type="paragraph" w:customStyle="1" w:styleId="40">
    <w:name w:val="论文标题"/>
    <w:basedOn w:val="1"/>
    <w:qFormat/>
    <w:uiPriority w:val="0"/>
    <w:pPr>
      <w:spacing w:line="240" w:lineRule="auto"/>
      <w:ind w:firstLine="0" w:firstLineChars="0"/>
      <w:jc w:val="center"/>
    </w:pPr>
    <w:rPr>
      <w:rFonts w:eastAsia="楷体_GB2312"/>
      <w:b/>
      <w:kern w:val="36"/>
      <w:sz w:val="52"/>
      <w:szCs w:val="52"/>
      <w:lang w:eastAsia="zh-CN" w:bidi="ar-SA"/>
    </w:rPr>
  </w:style>
  <w:style w:type="paragraph" w:customStyle="1" w:styleId="41">
    <w:name w:val="研究生姓名"/>
    <w:basedOn w:val="1"/>
    <w:qFormat/>
    <w:uiPriority w:val="0"/>
    <w:pPr>
      <w:spacing w:line="240" w:lineRule="auto"/>
      <w:ind w:firstLine="700" w:firstLineChars="700"/>
    </w:pPr>
    <w:rPr>
      <w:rFonts w:eastAsia="宋体"/>
      <w:kern w:val="2"/>
      <w:sz w:val="28"/>
      <w:szCs w:val="28"/>
      <w:lang w:eastAsia="zh-CN" w:bidi="ar-SA"/>
    </w:rPr>
  </w:style>
  <w:style w:type="paragraph" w:customStyle="1" w:styleId="42">
    <w:name w:val="封面日期"/>
    <w:basedOn w:val="1"/>
    <w:qFormat/>
    <w:uiPriority w:val="0"/>
    <w:pPr>
      <w:spacing w:line="240" w:lineRule="auto"/>
      <w:ind w:firstLine="0" w:firstLineChars="0"/>
      <w:jc w:val="center"/>
    </w:pPr>
    <w:rPr>
      <w:rFonts w:ascii="黑体" w:eastAsia="黑体"/>
      <w:kern w:val="2"/>
      <w:szCs w:val="32"/>
      <w:lang w:eastAsia="zh-CN" w:bidi="ar-SA"/>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6">
    <w:name w:val="font21"/>
    <w:basedOn w:val="23"/>
    <w:qFormat/>
    <w:uiPriority w:val="0"/>
    <w:rPr>
      <w:rFonts w:ascii="宋体" w:hAnsi="宋体" w:eastAsia="宋体" w:cs="宋体"/>
      <w:color w:val="000000"/>
      <w:sz w:val="22"/>
      <w:szCs w:val="22"/>
      <w:u w:val="none"/>
    </w:rPr>
  </w:style>
  <w:style w:type="character" w:customStyle="1" w:styleId="47">
    <w:name w:val="font81"/>
    <w:basedOn w:val="23"/>
    <w:qFormat/>
    <w:uiPriority w:val="0"/>
    <w:rPr>
      <w:rFonts w:hint="eastAsia" w:ascii="宋体" w:hAnsi="宋体" w:eastAsia="宋体" w:cs="宋体"/>
      <w:color w:val="000000"/>
      <w:sz w:val="22"/>
      <w:szCs w:val="22"/>
      <w:u w:val="none"/>
    </w:rPr>
  </w:style>
  <w:style w:type="character" w:customStyle="1" w:styleId="48">
    <w:name w:val="font31"/>
    <w:basedOn w:val="23"/>
    <w:qFormat/>
    <w:uiPriority w:val="0"/>
    <w:rPr>
      <w:rFonts w:hint="eastAsia" w:ascii="宋体" w:hAnsi="宋体" w:eastAsia="宋体" w:cs="宋体"/>
      <w:color w:val="000000"/>
      <w:sz w:val="22"/>
      <w:szCs w:val="22"/>
      <w:u w:val="none"/>
    </w:rPr>
  </w:style>
  <w:style w:type="character" w:customStyle="1" w:styleId="49">
    <w:name w:val="font61"/>
    <w:basedOn w:val="23"/>
    <w:qFormat/>
    <w:uiPriority w:val="0"/>
    <w:rPr>
      <w:rFonts w:ascii="宋体" w:hAnsi="宋体" w:eastAsia="宋体" w:cs="宋体"/>
      <w:color w:val="000000"/>
      <w:sz w:val="22"/>
      <w:szCs w:val="22"/>
      <w:u w:val="none"/>
    </w:rPr>
  </w:style>
  <w:style w:type="character" w:customStyle="1" w:styleId="50">
    <w:name w:val="font71"/>
    <w:basedOn w:val="23"/>
    <w:qFormat/>
    <w:uiPriority w:val="0"/>
    <w:rPr>
      <w:rFonts w:hint="eastAsia" w:ascii="宋体" w:hAnsi="宋体" w:eastAsia="宋体" w:cs="宋体"/>
      <w:color w:val="FF0000"/>
      <w:sz w:val="24"/>
      <w:szCs w:val="24"/>
      <w:u w:val="none"/>
    </w:rPr>
  </w:style>
  <w:style w:type="character" w:customStyle="1" w:styleId="51">
    <w:name w:val="font41"/>
    <w:basedOn w:val="23"/>
    <w:qFormat/>
    <w:uiPriority w:val="0"/>
    <w:rPr>
      <w:rFonts w:hint="eastAsia" w:ascii="宋体" w:hAnsi="宋体" w:eastAsia="宋体" w:cs="宋体"/>
      <w:color w:val="000000"/>
      <w:sz w:val="24"/>
      <w:szCs w:val="24"/>
      <w:u w:val="none"/>
    </w:rPr>
  </w:style>
  <w:style w:type="character" w:customStyle="1" w:styleId="52">
    <w:name w:val="批注框文本 字符"/>
    <w:basedOn w:val="23"/>
    <w:link w:val="11"/>
    <w:qFormat/>
    <w:uiPriority w:val="0"/>
    <w:rPr>
      <w:rFonts w:eastAsia="华文仿宋"/>
      <w:color w:val="000000"/>
      <w:sz w:val="18"/>
      <w:szCs w:val="18"/>
      <w:lang w:eastAsia="en-US" w:bidi="en-US"/>
    </w:rPr>
  </w:style>
  <w:style w:type="character" w:customStyle="1" w:styleId="53">
    <w:name w:val="正文文本 字符"/>
    <w:basedOn w:val="23"/>
    <w:link w:val="7"/>
    <w:qFormat/>
    <w:uiPriority w:val="0"/>
    <w:rPr>
      <w:rFonts w:ascii="仿宋_GB2312" w:hAnsi="仿宋_GB2312" w:eastAsia="仿宋_GB2312" w:cs="仿宋_GB2312"/>
      <w:color w:val="000000"/>
      <w:sz w:val="30"/>
      <w:szCs w:val="30"/>
      <w:lang w:val="zh-CN" w:bidi="zh-CN"/>
    </w:rPr>
  </w:style>
  <w:style w:type="character" w:customStyle="1" w:styleId="54">
    <w:name w:val="页脚 字符"/>
    <w:basedOn w:val="23"/>
    <w:link w:val="12"/>
    <w:qFormat/>
    <w:uiPriority w:val="99"/>
    <w:rPr>
      <w:rFonts w:eastAsia="仿宋_GB2312"/>
      <w:color w:val="000000"/>
      <w:sz w:val="18"/>
      <w:szCs w:val="24"/>
      <w:lang w:eastAsia="en-US" w:bidi="en-US"/>
    </w:rPr>
  </w:style>
  <w:style w:type="paragraph" w:styleId="55">
    <w:name w:val="List Paragraph"/>
    <w:basedOn w:val="1"/>
    <w:qFormat/>
    <w:uiPriority w:val="1"/>
    <w:pPr>
      <w:ind w:firstLine="420"/>
    </w:pPr>
  </w:style>
  <w:style w:type="table" w:customStyle="1" w:styleId="56">
    <w:name w:val="Table Normal"/>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character" w:customStyle="1" w:styleId="57">
    <w:name w:val="标题 字符"/>
    <w:basedOn w:val="23"/>
    <w:link w:val="20"/>
    <w:qFormat/>
    <w:uiPriority w:val="0"/>
    <w:rPr>
      <w:rFonts w:eastAsia="方正小标宋" w:cstheme="majorBidi"/>
      <w:b/>
      <w:bCs/>
      <w:color w:val="000000"/>
      <w:sz w:val="44"/>
      <w:szCs w:val="32"/>
      <w:lang w:eastAsia="en-US" w:bidi="en-US"/>
    </w:rPr>
  </w:style>
  <w:style w:type="character" w:customStyle="1" w:styleId="58">
    <w:name w:val="font91"/>
    <w:basedOn w:val="23"/>
    <w:qFormat/>
    <w:uiPriority w:val="0"/>
    <w:rPr>
      <w:rFonts w:hint="eastAsia" w:ascii="宋体" w:hAnsi="宋体" w:eastAsia="宋体" w:cs="宋体"/>
      <w:b/>
      <w:bCs/>
      <w:color w:val="000000"/>
      <w:sz w:val="24"/>
      <w:szCs w:val="24"/>
      <w:u w:val="none"/>
    </w:rPr>
  </w:style>
  <w:style w:type="character" w:customStyle="1" w:styleId="59">
    <w:name w:val="font101"/>
    <w:basedOn w:val="23"/>
    <w:qFormat/>
    <w:uiPriority w:val="0"/>
    <w:rPr>
      <w:rFonts w:ascii="方正书宋_GBK" w:hAnsi="方正书宋_GBK" w:eastAsia="方正书宋_GBK" w:cs="方正书宋_GBK"/>
      <w:b/>
      <w:bCs/>
      <w:color w:val="000000"/>
      <w:sz w:val="24"/>
      <w:szCs w:val="24"/>
      <w:u w:val="none"/>
    </w:rPr>
  </w:style>
  <w:style w:type="character" w:customStyle="1" w:styleId="60">
    <w:name w:val="font112"/>
    <w:basedOn w:val="23"/>
    <w:qFormat/>
    <w:uiPriority w:val="0"/>
    <w:rPr>
      <w:rFonts w:hint="eastAsia" w:ascii="宋体" w:hAnsi="宋体" w:eastAsia="宋体" w:cs="宋体"/>
      <w:b/>
      <w:bCs/>
      <w:color w:val="000000"/>
      <w:sz w:val="24"/>
      <w:szCs w:val="24"/>
      <w:u w:val="none"/>
    </w:rPr>
  </w:style>
  <w:style w:type="character" w:customStyle="1" w:styleId="61">
    <w:name w:val="font121"/>
    <w:basedOn w:val="23"/>
    <w:qFormat/>
    <w:uiPriority w:val="0"/>
    <w:rPr>
      <w:rFonts w:hint="eastAsia" w:ascii="宋体" w:hAnsi="宋体" w:eastAsia="宋体" w:cs="宋体"/>
      <w:color w:val="000000"/>
      <w:sz w:val="24"/>
      <w:szCs w:val="24"/>
      <w:u w:val="none"/>
    </w:rPr>
  </w:style>
  <w:style w:type="character" w:customStyle="1" w:styleId="62">
    <w:name w:val="font131"/>
    <w:basedOn w:val="23"/>
    <w:qFormat/>
    <w:uiPriority w:val="0"/>
    <w:rPr>
      <w:rFonts w:hint="default" w:ascii="Times New Roman" w:hAnsi="Times New Roman" w:cs="Times New Roman"/>
      <w:color w:val="000000"/>
      <w:sz w:val="24"/>
      <w:szCs w:val="24"/>
      <w:u w:val="none"/>
    </w:rPr>
  </w:style>
  <w:style w:type="character" w:customStyle="1" w:styleId="63">
    <w:name w:val="font141"/>
    <w:basedOn w:val="23"/>
    <w:qFormat/>
    <w:uiPriority w:val="0"/>
    <w:rPr>
      <w:rFonts w:hint="eastAsia" w:ascii="宋体" w:hAnsi="宋体" w:eastAsia="宋体" w:cs="宋体"/>
      <w:color w:val="000000"/>
      <w:sz w:val="24"/>
      <w:szCs w:val="24"/>
      <w:u w:val="none"/>
    </w:rPr>
  </w:style>
  <w:style w:type="character" w:customStyle="1" w:styleId="64">
    <w:name w:val="font151"/>
    <w:basedOn w:val="23"/>
    <w:qFormat/>
    <w:uiPriority w:val="0"/>
    <w:rPr>
      <w:rFonts w:hint="default" w:ascii="Times New Roman" w:hAnsi="Times New Roman" w:cs="Times New Roman"/>
      <w:color w:val="000000"/>
      <w:sz w:val="24"/>
      <w:szCs w:val="24"/>
      <w:u w:val="none"/>
    </w:rPr>
  </w:style>
  <w:style w:type="paragraph" w:customStyle="1" w:styleId="65">
    <w:name w:val="TOC 标题1"/>
    <w:basedOn w:val="2"/>
    <w:next w:val="1"/>
    <w:unhideWhenUsed/>
    <w:qFormat/>
    <w:uiPriority w:val="39"/>
    <w:pPr>
      <w:widowControl/>
      <w:spacing w:before="240" w:beforeLines="0" w:after="0" w:afterLines="0" w:line="259" w:lineRule="auto"/>
      <w:jc w:val="left"/>
      <w:outlineLvl w:val="9"/>
    </w:pPr>
    <w:rPr>
      <w:rFonts w:asciiTheme="majorHAnsi" w:hAnsiTheme="majorHAnsi" w:eastAsiaTheme="majorEastAsia" w:cstheme="majorBidi"/>
      <w:b w:val="0"/>
      <w:color w:val="2E75B6" w:themeColor="accent1" w:themeShade="BF"/>
      <w:kern w:val="0"/>
      <w:szCs w:val="32"/>
      <w:lang w:eastAsia="zh-CN" w:bidi="ar-SA"/>
    </w:rPr>
  </w:style>
  <w:style w:type="character" w:customStyle="1" w:styleId="66">
    <w:name w:val="CharAttribute37"/>
    <w:qFormat/>
    <w:uiPriority w:val="99"/>
    <w:rPr>
      <w:rFonts w:ascii="宋体" w:hAnsi="宋体" w:eastAsia="Times New Roman"/>
      <w:sz w:val="24"/>
    </w:rPr>
  </w:style>
  <w:style w:type="paragraph" w:customStyle="1" w:styleId="67">
    <w:name w:val="Table Paragraph"/>
    <w:basedOn w:val="1"/>
    <w:qFormat/>
    <w:uiPriority w:val="1"/>
  </w:style>
  <w:style w:type="character" w:customStyle="1" w:styleId="68">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iTianKong.com</Company>
  <Pages>27</Pages>
  <Words>11593</Words>
  <Characters>12281</Characters>
  <Lines>89</Lines>
  <Paragraphs>25</Paragraphs>
  <TotalTime>14</TotalTime>
  <ScaleCrop>false</ScaleCrop>
  <LinksUpToDate>false</LinksUpToDate>
  <CharactersWithSpaces>12309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2023-03-18T02:57:00Z</dcterms:created>
  <dc:creator>cll</dc:creator>
  <cp:lastModifiedBy>薄荷与橙</cp:lastModifiedBy>
  <cp:lastPrinted>2025-04-01T08:17:00Z</cp:lastPrinted>
  <dcterms:modified xsi:type="dcterms:W3CDTF">2025-12-30T08:05:03Z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58CB3AE3722C4C8CA167D2F3944BF467_13</vt:lpwstr>
  </property>
  <property fmtid="{D5CDD505-2E9C-101B-9397-08002B2CF9AE}" pid="4" name="KSOTemplateDocerSaveRecord">
    <vt:lpwstr>eyJoZGlkIjoiMDdkYmU2ZmQ1YmVlNmFhZjk2NzRhYTcxODZkZDY3YTAifQ==</vt:lpwstr>
  </property>
</Properties>
</file>