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beforeAutospacing="0" w:afterAutospacing="0" w:line="820" w:lineRule="exact"/>
        <w:ind w:leftChars="-44" w:right="-480" w:rightChars="-150" w:hanging="141" w:hangingChars="32"/>
        <w:jc w:val="center"/>
        <w:outlineLvl w:val="0"/>
        <w:rPr>
          <w:rFonts w:eastAsia="微软雅黑"/>
          <w:b/>
          <w:bCs/>
          <w:sz w:val="44"/>
          <w:szCs w:val="44"/>
        </w:rPr>
      </w:pPr>
      <w:bookmarkStart w:id="0" w:name="_Toc26439"/>
      <w:bookmarkStart w:id="1" w:name="_Toc11980"/>
      <w:bookmarkStart w:id="2" w:name="_Toc9453"/>
    </w:p>
    <w:p>
      <w:pPr>
        <w:pStyle w:val="20"/>
        <w:spacing w:beforeAutospacing="0" w:afterAutospacing="0" w:line="820" w:lineRule="exact"/>
        <w:ind w:leftChars="-44" w:right="-730" w:rightChars="-228" w:hanging="140" w:hangingChars="32"/>
        <w:jc w:val="center"/>
        <w:outlineLvl w:val="0"/>
        <w:rPr>
          <w:rFonts w:hint="eastAsia" w:ascii="方正小标宋简体" w:hAnsi="方正小标宋简体" w:eastAsia="方正小标宋简体" w:cs="方正小标宋简体"/>
          <w:b w:val="0"/>
          <w:bCs w:val="0"/>
          <w:sz w:val="44"/>
          <w:szCs w:val="44"/>
        </w:rPr>
      </w:pPr>
      <w:bookmarkStart w:id="3" w:name="_Toc19147"/>
      <w:r>
        <w:rPr>
          <w:rFonts w:hint="eastAsia" w:ascii="方正小标宋简体" w:hAnsi="方正小标宋简体" w:eastAsia="方正小标宋简体" w:cs="方正小标宋简体"/>
          <w:b w:val="0"/>
          <w:bCs w:val="0"/>
          <w:sz w:val="44"/>
          <w:szCs w:val="44"/>
        </w:rPr>
        <w:t>乐山市金口河区金河镇人民政府</w:t>
      </w:r>
      <w:r>
        <w:rPr>
          <w:rFonts w:hint="eastAsia" w:ascii="方正小标宋简体" w:hAnsi="方正小标宋简体" w:eastAsia="方正小标宋简体" w:cs="方正小标宋简体"/>
          <w:b w:val="0"/>
          <w:bCs w:val="0"/>
          <w:sz w:val="44"/>
          <w:szCs w:val="44"/>
        </w:rPr>
        <w:br w:type="textWrapping"/>
      </w:r>
      <w:bookmarkEnd w:id="0"/>
      <w:bookmarkEnd w:id="1"/>
      <w:bookmarkEnd w:id="2"/>
      <w:bookmarkEnd w:id="3"/>
      <w:r>
        <w:rPr>
          <w:rFonts w:hint="eastAsia" w:ascii="方正小标宋简体" w:hAnsi="方正小标宋简体" w:eastAsia="方正小标宋简体" w:cs="方正小标宋简体"/>
          <w:b w:val="0"/>
          <w:bCs w:val="0"/>
          <w:sz w:val="44"/>
          <w:szCs w:val="44"/>
        </w:rPr>
        <w:t>乐山市金口河区金河镇新坪村村道水毁治理工程</w:t>
      </w:r>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4" w:name="_Toc4883"/>
      <w:r>
        <w:rPr>
          <w:rFonts w:hint="eastAsia" w:ascii="方正小标宋简体" w:hAnsi="方正小标宋简体" w:eastAsia="方正小标宋简体" w:cs="方正小标宋简体"/>
          <w:b w:val="0"/>
          <w:bCs w:val="0"/>
          <w:sz w:val="44"/>
          <w:szCs w:val="44"/>
        </w:rPr>
        <w:t>项</w:t>
      </w:r>
      <w:bookmarkEnd w:id="4"/>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5" w:name="_Toc22629"/>
      <w:r>
        <w:rPr>
          <w:rFonts w:hint="eastAsia" w:ascii="方正小标宋简体" w:hAnsi="方正小标宋简体" w:eastAsia="方正小标宋简体" w:cs="方正小标宋简体"/>
          <w:b w:val="0"/>
          <w:bCs w:val="0"/>
          <w:sz w:val="44"/>
          <w:szCs w:val="44"/>
        </w:rPr>
        <w:t>目</w:t>
      </w:r>
      <w:bookmarkEnd w:id="5"/>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6" w:name="_Toc9312"/>
      <w:r>
        <w:rPr>
          <w:rFonts w:hint="eastAsia" w:ascii="方正小标宋简体" w:hAnsi="方正小标宋简体" w:eastAsia="方正小标宋简体" w:cs="方正小标宋简体"/>
          <w:b w:val="0"/>
          <w:bCs w:val="0"/>
          <w:sz w:val="44"/>
          <w:szCs w:val="44"/>
        </w:rPr>
        <w:t>支</w:t>
      </w:r>
      <w:bookmarkEnd w:id="6"/>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7" w:name="_Toc18768"/>
      <w:r>
        <w:rPr>
          <w:rFonts w:hint="eastAsia" w:ascii="方正小标宋简体" w:hAnsi="方正小标宋简体" w:eastAsia="方正小标宋简体" w:cs="方正小标宋简体"/>
          <w:b w:val="0"/>
          <w:bCs w:val="0"/>
          <w:sz w:val="44"/>
          <w:szCs w:val="44"/>
        </w:rPr>
        <w:t>出</w:t>
      </w:r>
      <w:bookmarkEnd w:id="7"/>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8" w:name="_Toc27081"/>
      <w:r>
        <w:rPr>
          <w:rFonts w:hint="eastAsia" w:ascii="方正小标宋简体" w:hAnsi="方正小标宋简体" w:eastAsia="方正小标宋简体" w:cs="方正小标宋简体"/>
          <w:b w:val="0"/>
          <w:bCs w:val="0"/>
          <w:sz w:val="44"/>
          <w:szCs w:val="44"/>
        </w:rPr>
        <w:t>绩</w:t>
      </w:r>
      <w:bookmarkEnd w:id="8"/>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9" w:name="_Toc7344"/>
      <w:r>
        <w:rPr>
          <w:rFonts w:hint="eastAsia" w:ascii="方正小标宋简体" w:hAnsi="方正小标宋简体" w:eastAsia="方正小标宋简体" w:cs="方正小标宋简体"/>
          <w:b w:val="0"/>
          <w:bCs w:val="0"/>
          <w:sz w:val="44"/>
          <w:szCs w:val="44"/>
        </w:rPr>
        <w:t>效</w:t>
      </w:r>
      <w:bookmarkEnd w:id="9"/>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0" w:name="_Toc16508"/>
      <w:r>
        <w:rPr>
          <w:rFonts w:hint="eastAsia" w:ascii="方正小标宋简体" w:hAnsi="方正小标宋简体" w:eastAsia="方正小标宋简体" w:cs="方正小标宋简体"/>
          <w:b w:val="0"/>
          <w:bCs w:val="0"/>
          <w:sz w:val="44"/>
          <w:szCs w:val="44"/>
        </w:rPr>
        <w:t>评</w:t>
      </w:r>
      <w:bookmarkEnd w:id="10"/>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1" w:name="_Toc29508"/>
      <w:r>
        <w:rPr>
          <w:rFonts w:hint="eastAsia" w:ascii="方正小标宋简体" w:hAnsi="方正小标宋简体" w:eastAsia="方正小标宋简体" w:cs="方正小标宋简体"/>
          <w:b w:val="0"/>
          <w:bCs w:val="0"/>
          <w:sz w:val="44"/>
          <w:szCs w:val="44"/>
        </w:rPr>
        <w:t>价</w:t>
      </w:r>
      <w:bookmarkEnd w:id="11"/>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2" w:name="_Toc17751"/>
      <w:r>
        <w:rPr>
          <w:rFonts w:hint="eastAsia" w:ascii="方正小标宋简体" w:hAnsi="方正小标宋简体" w:eastAsia="方正小标宋简体" w:cs="方正小标宋简体"/>
          <w:b w:val="0"/>
          <w:bCs w:val="0"/>
          <w:sz w:val="44"/>
          <w:szCs w:val="44"/>
        </w:rPr>
        <w:t>报</w:t>
      </w:r>
      <w:bookmarkEnd w:id="12"/>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3" w:name="_Toc269"/>
      <w:r>
        <w:rPr>
          <w:rFonts w:hint="eastAsia" w:ascii="方正小标宋简体" w:hAnsi="方正小标宋简体" w:eastAsia="方正小标宋简体" w:cs="方正小标宋简体"/>
          <w:b w:val="0"/>
          <w:bCs w:val="0"/>
          <w:sz w:val="44"/>
          <w:szCs w:val="44"/>
        </w:rPr>
        <w:t>告</w:t>
      </w:r>
      <w:bookmarkEnd w:id="13"/>
    </w:p>
    <w:p>
      <w:pPr>
        <w:snapToGrid w:val="0"/>
        <w:spacing w:line="600" w:lineRule="exact"/>
        <w:rPr>
          <w:rStyle w:val="66"/>
          <w:rFonts w:hint="eastAsia" w:eastAsia="仿宋_GB2312"/>
          <w:bCs/>
          <w:sz w:val="28"/>
          <w:szCs w:val="28"/>
          <w:lang w:eastAsia="zh-CN"/>
        </w:rPr>
      </w:pPr>
    </w:p>
    <w:p>
      <w:pPr>
        <w:snapToGrid w:val="0"/>
        <w:spacing w:line="600" w:lineRule="exact"/>
        <w:rPr>
          <w:rStyle w:val="66"/>
          <w:rFonts w:hint="eastAsia" w:eastAsia="仿宋_GB2312"/>
          <w:bCs/>
          <w:sz w:val="28"/>
          <w:szCs w:val="28"/>
          <w:lang w:eastAsia="zh-CN"/>
        </w:rPr>
      </w:pPr>
      <w:r>
        <w:rPr>
          <w:rStyle w:val="66"/>
          <w:rFonts w:eastAsia="仿宋_GB2312"/>
          <w:bCs/>
          <w:sz w:val="28"/>
          <w:szCs w:val="28"/>
          <w:lang w:eastAsia="zh-CN"/>
        </w:rPr>
        <w:t>项目编号：金财绩评（202</w:t>
      </w:r>
      <w:r>
        <w:rPr>
          <w:rStyle w:val="66"/>
          <w:rFonts w:hint="eastAsia" w:eastAsia="仿宋_GB2312"/>
          <w:bCs/>
          <w:sz w:val="28"/>
          <w:szCs w:val="28"/>
          <w:lang w:eastAsia="zh-CN"/>
        </w:rPr>
        <w:t>5</w:t>
      </w:r>
      <w:r>
        <w:rPr>
          <w:rStyle w:val="66"/>
          <w:rFonts w:eastAsia="仿宋_GB2312"/>
          <w:bCs/>
          <w:sz w:val="28"/>
          <w:szCs w:val="28"/>
          <w:lang w:eastAsia="zh-CN"/>
        </w:rPr>
        <w:t>）</w:t>
      </w:r>
      <w:r>
        <w:rPr>
          <w:rStyle w:val="66"/>
          <w:rFonts w:hint="eastAsia" w:eastAsia="仿宋_GB2312"/>
          <w:bCs/>
          <w:sz w:val="28"/>
          <w:szCs w:val="28"/>
          <w:lang w:eastAsia="zh-CN"/>
        </w:rPr>
        <w:t>05</w:t>
      </w:r>
      <w:r>
        <w:rPr>
          <w:rStyle w:val="66"/>
          <w:rFonts w:eastAsia="仿宋_GB2312"/>
          <w:bCs/>
          <w:sz w:val="28"/>
          <w:szCs w:val="28"/>
          <w:lang w:eastAsia="zh-CN"/>
        </w:rPr>
        <w:t>号</w:t>
      </w:r>
    </w:p>
    <w:p>
      <w:pPr>
        <w:spacing w:line="360" w:lineRule="auto"/>
        <w:rPr>
          <w:rStyle w:val="66"/>
          <w:rFonts w:hint="eastAsia" w:eastAsia="仿宋_GB2312"/>
          <w:bCs/>
          <w:sz w:val="28"/>
          <w:szCs w:val="28"/>
          <w:lang w:eastAsia="zh-CN"/>
        </w:rPr>
      </w:pPr>
      <w:r>
        <w:rPr>
          <w:rStyle w:val="66"/>
          <w:rFonts w:eastAsia="仿宋_GB2312"/>
          <w:bCs/>
          <w:sz w:val="28"/>
          <w:szCs w:val="28"/>
          <w:lang w:eastAsia="zh-CN"/>
        </w:rPr>
        <w:t>主管部门：</w:t>
      </w:r>
      <w:r>
        <w:rPr>
          <w:rStyle w:val="66"/>
          <w:rFonts w:hint="eastAsia" w:eastAsia="仿宋_GB2312"/>
          <w:bCs/>
          <w:sz w:val="28"/>
          <w:szCs w:val="28"/>
          <w:lang w:eastAsia="zh-CN"/>
        </w:rPr>
        <w:t>乐山市金口河区金河镇人民政府</w:t>
      </w:r>
    </w:p>
    <w:p>
      <w:pPr>
        <w:spacing w:line="360" w:lineRule="auto"/>
        <w:rPr>
          <w:rStyle w:val="66"/>
          <w:rFonts w:hint="eastAsia" w:eastAsia="仿宋_GB2312"/>
          <w:bCs/>
          <w:sz w:val="28"/>
          <w:szCs w:val="28"/>
          <w:lang w:eastAsia="zh-CN"/>
        </w:rPr>
      </w:pPr>
      <w:r>
        <w:rPr>
          <w:rStyle w:val="66"/>
          <w:rFonts w:eastAsia="仿宋_GB2312"/>
          <w:bCs/>
          <w:sz w:val="28"/>
          <w:szCs w:val="28"/>
          <w:lang w:eastAsia="zh-CN"/>
        </w:rPr>
        <w:t>实施单位：</w:t>
      </w:r>
      <w:r>
        <w:rPr>
          <w:rStyle w:val="66"/>
          <w:rFonts w:hint="eastAsia" w:eastAsia="仿宋_GB2312"/>
          <w:bCs/>
          <w:sz w:val="28"/>
          <w:szCs w:val="28"/>
          <w:lang w:eastAsia="zh-CN"/>
        </w:rPr>
        <w:t>乐山市金口河区金河镇人民政府</w:t>
      </w:r>
    </w:p>
    <w:p>
      <w:pPr>
        <w:jc w:val="left"/>
        <w:rPr>
          <w:rStyle w:val="66"/>
          <w:rFonts w:hint="eastAsia" w:eastAsia="仿宋_GB2312"/>
          <w:bCs/>
          <w:sz w:val="28"/>
          <w:szCs w:val="28"/>
          <w:lang w:eastAsia="zh-CN"/>
        </w:rPr>
      </w:pPr>
      <w:r>
        <w:rPr>
          <w:rStyle w:val="66"/>
          <w:rFonts w:eastAsia="仿宋_GB2312"/>
          <w:bCs/>
          <w:sz w:val="28"/>
          <w:szCs w:val="28"/>
          <w:lang w:eastAsia="zh-CN"/>
        </w:rPr>
        <w:t>评价单位：乐山市金口河区财政投资评价审核中心</w:t>
      </w:r>
    </w:p>
    <w:p>
      <w:pPr>
        <w:jc w:val="left"/>
        <w:rPr>
          <w:rStyle w:val="66"/>
          <w:rFonts w:hint="eastAsia" w:eastAsia="仿宋_GB2312"/>
          <w:bCs/>
          <w:sz w:val="28"/>
          <w:szCs w:val="28"/>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480" w:header="851" w:footer="992" w:gutter="0"/>
          <w:pgNumType w:fmt="upperRoman" w:start="1"/>
          <w:cols w:space="720" w:num="1"/>
          <w:docGrid w:type="lines" w:linePitch="312" w:charSpace="0"/>
        </w:sectPr>
      </w:pPr>
    </w:p>
    <w:p>
      <w:pPr>
        <w:keepNext w:val="0"/>
        <w:keepLines w:val="0"/>
        <w:pageBreakBefore w:val="0"/>
        <w:widowControl w:val="0"/>
        <w:tabs>
          <w:tab w:val="left" w:pos="1336"/>
        </w:tabs>
        <w:kinsoku/>
        <w:wordWrap/>
        <w:overflowPunct/>
        <w:topLinePunct w:val="0"/>
        <w:autoSpaceDE/>
        <w:autoSpaceDN/>
        <w:bidi w:val="0"/>
        <w:adjustRightInd w:val="0"/>
        <w:snapToGrid w:val="0"/>
        <w:spacing w:line="68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Cs/>
          <w:kern w:val="44"/>
          <w:sz w:val="44"/>
          <w:szCs w:val="44"/>
          <w:lang w:eastAsia="zh-CN"/>
        </w:rPr>
      </w:pPr>
      <w:bookmarkStart w:id="14" w:name="_Toc30342"/>
      <w:bookmarkStart w:id="15" w:name="_Toc15556"/>
      <w:bookmarkStart w:id="16" w:name="_Toc28644"/>
      <w:r>
        <w:rPr>
          <w:rFonts w:hint="eastAsia" w:ascii="方正小标宋简体" w:hAnsi="方正小标宋简体" w:eastAsia="方正小标宋简体" w:cs="方正小标宋简体"/>
          <w:bCs/>
          <w:kern w:val="44"/>
          <w:sz w:val="44"/>
          <w:szCs w:val="44"/>
          <w:lang w:eastAsia="zh-CN"/>
        </w:rPr>
        <w:t>乐山市金口河区金河镇人民政府</w:t>
      </w:r>
    </w:p>
    <w:p>
      <w:pPr>
        <w:keepNext w:val="0"/>
        <w:keepLines w:val="0"/>
        <w:pageBreakBefore w:val="0"/>
        <w:widowControl w:val="0"/>
        <w:tabs>
          <w:tab w:val="left" w:pos="1336"/>
        </w:tabs>
        <w:kinsoku/>
        <w:wordWrap/>
        <w:overflowPunct/>
        <w:topLinePunct w:val="0"/>
        <w:autoSpaceDE/>
        <w:autoSpaceDN/>
        <w:bidi w:val="0"/>
        <w:adjustRightInd w:val="0"/>
        <w:snapToGrid w:val="0"/>
        <w:spacing w:line="680" w:lineRule="exact"/>
        <w:ind w:left="620" w:leftChars="0" w:right="0" w:rightChars="0" w:hanging="620" w:hangingChars="141"/>
        <w:jc w:val="center"/>
        <w:textAlignment w:val="auto"/>
        <w:outlineLvl w:val="0"/>
        <w:rPr>
          <w:rFonts w:hint="eastAsia" w:ascii="方正小标宋简体" w:hAnsi="方正小标宋简体" w:eastAsia="方正小标宋简体" w:cs="方正小标宋简体"/>
          <w:bCs/>
          <w:kern w:val="44"/>
          <w:sz w:val="44"/>
          <w:szCs w:val="44"/>
          <w:lang w:eastAsia="zh-CN"/>
        </w:rPr>
      </w:pPr>
      <w:bookmarkStart w:id="17" w:name="_Toc12514"/>
      <w:r>
        <w:rPr>
          <w:rFonts w:hint="eastAsia" w:ascii="方正小标宋简体" w:hAnsi="方正小标宋简体" w:eastAsia="方正小标宋简体" w:cs="方正小标宋简体"/>
          <w:bCs/>
          <w:kern w:val="44"/>
          <w:sz w:val="44"/>
          <w:szCs w:val="44"/>
          <w:lang w:eastAsia="zh-CN"/>
        </w:rPr>
        <w:t>乐山市金口河区金河镇新坪村村道水毁</w:t>
      </w:r>
    </w:p>
    <w:p>
      <w:pPr>
        <w:keepNext w:val="0"/>
        <w:keepLines w:val="0"/>
        <w:pageBreakBefore w:val="0"/>
        <w:widowControl w:val="0"/>
        <w:tabs>
          <w:tab w:val="left" w:pos="1336"/>
        </w:tabs>
        <w:kinsoku/>
        <w:wordWrap/>
        <w:overflowPunct/>
        <w:topLinePunct w:val="0"/>
        <w:autoSpaceDE/>
        <w:autoSpaceDN/>
        <w:bidi w:val="0"/>
        <w:adjustRightInd w:val="0"/>
        <w:snapToGrid w:val="0"/>
        <w:spacing w:line="680" w:lineRule="exact"/>
        <w:ind w:left="620" w:leftChars="0" w:right="0" w:rightChars="0" w:hanging="620" w:hangingChars="141"/>
        <w:jc w:val="center"/>
        <w:textAlignment w:val="auto"/>
        <w:outlineLvl w:val="0"/>
        <w:rPr>
          <w:rFonts w:hint="eastAsia" w:ascii="宋体" w:hAnsi="宋体" w:eastAsia="宋体" w:cs="宋体"/>
          <w:bCs/>
          <w:kern w:val="44"/>
          <w:sz w:val="44"/>
          <w:szCs w:val="44"/>
          <w:lang w:eastAsia="zh-CN"/>
        </w:rPr>
      </w:pPr>
      <w:r>
        <w:rPr>
          <w:rFonts w:hint="eastAsia" w:ascii="方正小标宋简体" w:hAnsi="方正小标宋简体" w:eastAsia="方正小标宋简体" w:cs="方正小标宋简体"/>
          <w:bCs/>
          <w:kern w:val="44"/>
          <w:sz w:val="44"/>
          <w:szCs w:val="44"/>
          <w:lang w:eastAsia="zh-CN"/>
        </w:rPr>
        <w:t>治理工程项目支出绩效评价结论</w:t>
      </w:r>
      <w:bookmarkEnd w:id="14"/>
      <w:bookmarkEnd w:id="15"/>
      <w:bookmarkEnd w:id="16"/>
      <w:bookmarkEnd w:id="17"/>
    </w:p>
    <w:p>
      <w:pPr>
        <w:spacing w:before="312" w:beforeLines="100"/>
        <w:ind w:firstLine="640"/>
        <w:rPr>
          <w:rFonts w:hint="eastAsia" w:ascii="仿宋" w:hAnsi="仿宋" w:eastAsia="仿宋" w:cs="仿宋"/>
          <w:color w:val="auto"/>
          <w:szCs w:val="32"/>
          <w:lang w:eastAsia="zh-CN"/>
        </w:rPr>
      </w:pPr>
      <w:r>
        <w:rPr>
          <w:rFonts w:hint="eastAsia" w:ascii="仿宋" w:hAnsi="仿宋" w:eastAsia="仿宋" w:cs="仿宋"/>
          <w:color w:val="auto"/>
          <w:szCs w:val="32"/>
          <w:lang w:eastAsia="zh-CN"/>
        </w:rPr>
        <w:t>我中心对乐山市金口河区金河镇新坪村村道水毁治理工程绩效评价综合得分为8</w:t>
      </w:r>
      <w:r>
        <w:rPr>
          <w:rFonts w:hint="eastAsia" w:ascii="仿宋" w:hAnsi="仿宋" w:eastAsia="仿宋" w:cs="仿宋"/>
          <w:color w:val="auto"/>
          <w:szCs w:val="32"/>
          <w:lang w:val="en-US" w:eastAsia="zh-CN"/>
        </w:rPr>
        <w:t>9.31</w:t>
      </w:r>
      <w:r>
        <w:rPr>
          <w:rFonts w:hint="eastAsia" w:ascii="仿宋" w:hAnsi="仿宋" w:eastAsia="仿宋" w:cs="仿宋"/>
          <w:color w:val="auto"/>
          <w:szCs w:val="32"/>
          <w:lang w:eastAsia="zh-CN"/>
        </w:rPr>
        <w:t>分，其中，项目决策20分，项目过程1</w:t>
      </w:r>
      <w:r>
        <w:rPr>
          <w:rFonts w:hint="eastAsia" w:ascii="仿宋" w:hAnsi="仿宋" w:eastAsia="仿宋" w:cs="仿宋"/>
          <w:color w:val="auto"/>
          <w:szCs w:val="32"/>
          <w:lang w:val="en-US" w:eastAsia="zh-CN"/>
        </w:rPr>
        <w:t>6.31</w:t>
      </w:r>
      <w:r>
        <w:rPr>
          <w:rFonts w:hint="eastAsia" w:ascii="仿宋" w:hAnsi="仿宋" w:eastAsia="仿宋" w:cs="仿宋"/>
          <w:color w:val="auto"/>
          <w:szCs w:val="32"/>
          <w:lang w:eastAsia="zh-CN"/>
        </w:rPr>
        <w:t>分，项目产出</w:t>
      </w:r>
      <w:r>
        <w:rPr>
          <w:rFonts w:hint="eastAsia" w:ascii="仿宋" w:hAnsi="仿宋" w:eastAsia="仿宋" w:cs="仿宋"/>
          <w:color w:val="auto"/>
          <w:szCs w:val="32"/>
          <w:lang w:val="en-US" w:eastAsia="zh-CN"/>
        </w:rPr>
        <w:t>30.00</w:t>
      </w:r>
      <w:r>
        <w:rPr>
          <w:rFonts w:hint="eastAsia" w:ascii="仿宋" w:hAnsi="仿宋" w:eastAsia="仿宋" w:cs="仿宋"/>
          <w:color w:val="auto"/>
          <w:szCs w:val="32"/>
          <w:lang w:eastAsia="zh-CN"/>
        </w:rPr>
        <w:t>分，项目效益2</w:t>
      </w:r>
      <w:r>
        <w:rPr>
          <w:rFonts w:hint="eastAsia" w:ascii="仿宋" w:hAnsi="仿宋" w:eastAsia="仿宋" w:cs="仿宋"/>
          <w:color w:val="auto"/>
          <w:szCs w:val="32"/>
          <w:lang w:val="en-US" w:eastAsia="zh-CN"/>
        </w:rPr>
        <w:t>3</w:t>
      </w:r>
      <w:r>
        <w:rPr>
          <w:rFonts w:hint="eastAsia" w:ascii="仿宋" w:hAnsi="仿宋" w:eastAsia="仿宋" w:cs="仿宋"/>
          <w:color w:val="auto"/>
          <w:szCs w:val="32"/>
          <w:lang w:eastAsia="zh-CN"/>
        </w:rPr>
        <w:t>.00分，绩效评价评定级别为“良”。（具体评分情况见附件1.绩效评价指标体系及综合评分表）</w:t>
      </w:r>
    </w:p>
    <w:p>
      <w:pPr>
        <w:tabs>
          <w:tab w:val="left" w:pos="1336"/>
        </w:tabs>
        <w:ind w:firstLine="0" w:firstLineChars="0"/>
        <w:jc w:val="center"/>
        <w:rPr>
          <w:rFonts w:hint="eastAsia" w:ascii="仿宋" w:hAnsi="仿宋" w:eastAsia="仿宋" w:cs="仿宋"/>
          <w:szCs w:val="32"/>
          <w:lang w:eastAsia="zh-CN"/>
        </w:rPr>
      </w:pPr>
      <w:r>
        <w:rPr>
          <w:rFonts w:hint="eastAsia" w:ascii="仿宋" w:hAnsi="仿宋" w:eastAsia="仿宋" w:cs="仿宋"/>
          <w:szCs w:val="32"/>
          <w:lang w:eastAsia="zh-CN"/>
        </w:rPr>
        <w:t>乐山市金口河区金河镇新坪村村道水毁治理工程</w:t>
      </w:r>
    </w:p>
    <w:p>
      <w:pPr>
        <w:tabs>
          <w:tab w:val="left" w:pos="1336"/>
        </w:tabs>
        <w:ind w:firstLine="0" w:firstLineChars="0"/>
        <w:jc w:val="center"/>
        <w:rPr>
          <w:rFonts w:hint="eastAsia" w:ascii="仿宋" w:hAnsi="仿宋" w:eastAsia="仿宋" w:cs="仿宋"/>
          <w:szCs w:val="32"/>
          <w:lang w:eastAsia="zh-CN"/>
        </w:rPr>
      </w:pPr>
      <w:bookmarkStart w:id="18" w:name="_Toc5194"/>
      <w:bookmarkStart w:id="19" w:name="_Toc11716"/>
      <w:bookmarkStart w:id="20" w:name="_Toc2593"/>
      <w:r>
        <w:rPr>
          <w:rFonts w:hint="eastAsia" w:ascii="仿宋" w:hAnsi="仿宋" w:eastAsia="仿宋" w:cs="仿宋"/>
          <w:szCs w:val="32"/>
          <w:lang w:eastAsia="zh-CN"/>
        </w:rPr>
        <w:t>财政支出绩效评价结论一览表</w:t>
      </w:r>
      <w:bookmarkEnd w:id="18"/>
      <w:bookmarkEnd w:id="19"/>
      <w:bookmarkEnd w:id="20"/>
    </w:p>
    <w:tbl>
      <w:tblPr>
        <w:tblStyle w:val="22"/>
        <w:tblW w:w="8519" w:type="dxa"/>
        <w:tblInd w:w="0" w:type="dxa"/>
        <w:tblLayout w:type="fixed"/>
        <w:tblCellMar>
          <w:top w:w="0" w:type="dxa"/>
          <w:left w:w="108" w:type="dxa"/>
          <w:bottom w:w="0" w:type="dxa"/>
          <w:right w:w="108" w:type="dxa"/>
        </w:tblCellMar>
      </w:tblPr>
      <w:tblGrid>
        <w:gridCol w:w="3011"/>
        <w:gridCol w:w="1822"/>
        <w:gridCol w:w="1844"/>
        <w:gridCol w:w="1842"/>
      </w:tblGrid>
      <w:tr>
        <w:tblPrEx>
          <w:tblCellMar>
            <w:top w:w="0" w:type="dxa"/>
            <w:left w:w="108" w:type="dxa"/>
            <w:bottom w:w="0" w:type="dxa"/>
            <w:right w:w="108" w:type="dxa"/>
          </w:tblCellMar>
        </w:tblPrEx>
        <w:trPr>
          <w:trHeight w:val="907" w:hRule="exact"/>
        </w:trPr>
        <w:tc>
          <w:tcPr>
            <w:tcW w:w="3011"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评价内容</w:t>
            </w:r>
          </w:p>
        </w:tc>
        <w:tc>
          <w:tcPr>
            <w:tcW w:w="1822"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分值</w:t>
            </w:r>
          </w:p>
        </w:tc>
        <w:tc>
          <w:tcPr>
            <w:tcW w:w="1844"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评价得分</w:t>
            </w:r>
          </w:p>
        </w:tc>
        <w:tc>
          <w:tcPr>
            <w:tcW w:w="1842"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lang w:eastAsia="zh-CN"/>
              </w:rPr>
            </w:pPr>
            <w:r>
              <w:rPr>
                <w:rFonts w:hint="eastAsia" w:ascii="仿宋" w:hAnsi="仿宋" w:eastAsia="仿宋" w:cs="仿宋"/>
                <w:szCs w:val="32"/>
                <w:lang w:eastAsia="zh-CN" w:bidi="ar"/>
              </w:rPr>
              <w:t>得分率</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项目决策</w:t>
            </w:r>
          </w:p>
        </w:tc>
        <w:tc>
          <w:tcPr>
            <w:tcW w:w="1822"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FF0000"/>
                <w:szCs w:val="32"/>
              </w:rPr>
            </w:pPr>
            <w:r>
              <w:rPr>
                <w:rFonts w:hint="eastAsia" w:ascii="仿宋" w:hAnsi="仿宋" w:eastAsia="仿宋" w:cs="仿宋"/>
                <w:i w:val="0"/>
                <w:iCs w:val="0"/>
                <w:color w:val="000000"/>
                <w:kern w:val="0"/>
                <w:sz w:val="32"/>
                <w:szCs w:val="32"/>
                <w:u w:val="none"/>
                <w:lang w:val="en-US" w:eastAsia="zh-CN" w:bidi="ar"/>
              </w:rPr>
              <w:t>20</w:t>
            </w:r>
          </w:p>
        </w:tc>
        <w:tc>
          <w:tcPr>
            <w:tcW w:w="1844"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20</w:t>
            </w:r>
          </w:p>
        </w:tc>
        <w:tc>
          <w:tcPr>
            <w:tcW w:w="1842"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100.00%</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项目过程</w:t>
            </w:r>
          </w:p>
        </w:tc>
        <w:tc>
          <w:tcPr>
            <w:tcW w:w="1822"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FF0000"/>
                <w:szCs w:val="32"/>
              </w:rPr>
            </w:pPr>
            <w:r>
              <w:rPr>
                <w:rFonts w:hint="eastAsia" w:ascii="仿宋" w:hAnsi="仿宋" w:eastAsia="仿宋" w:cs="仿宋"/>
                <w:i w:val="0"/>
                <w:iCs w:val="0"/>
                <w:color w:val="000000"/>
                <w:kern w:val="0"/>
                <w:sz w:val="32"/>
                <w:szCs w:val="32"/>
                <w:u w:val="none"/>
                <w:lang w:val="en-US" w:eastAsia="zh-CN" w:bidi="ar"/>
              </w:rPr>
              <w:t>20</w:t>
            </w:r>
          </w:p>
        </w:tc>
        <w:tc>
          <w:tcPr>
            <w:tcW w:w="1844"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16.31</w:t>
            </w:r>
          </w:p>
        </w:tc>
        <w:tc>
          <w:tcPr>
            <w:tcW w:w="1842"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81.55%</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项目产出</w:t>
            </w:r>
          </w:p>
        </w:tc>
        <w:tc>
          <w:tcPr>
            <w:tcW w:w="1822"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FF0000"/>
                <w:szCs w:val="32"/>
              </w:rPr>
            </w:pPr>
            <w:r>
              <w:rPr>
                <w:rFonts w:hint="eastAsia" w:ascii="仿宋" w:hAnsi="仿宋" w:eastAsia="仿宋" w:cs="仿宋"/>
                <w:i w:val="0"/>
                <w:iCs w:val="0"/>
                <w:color w:val="000000"/>
                <w:kern w:val="0"/>
                <w:sz w:val="32"/>
                <w:szCs w:val="32"/>
                <w:u w:val="none"/>
                <w:lang w:val="en-US" w:eastAsia="zh-CN" w:bidi="ar"/>
              </w:rPr>
              <w:t>30</w:t>
            </w:r>
          </w:p>
        </w:tc>
        <w:tc>
          <w:tcPr>
            <w:tcW w:w="1844"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30</w:t>
            </w:r>
          </w:p>
        </w:tc>
        <w:tc>
          <w:tcPr>
            <w:tcW w:w="1842"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100.00%</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项目效益</w:t>
            </w:r>
          </w:p>
        </w:tc>
        <w:tc>
          <w:tcPr>
            <w:tcW w:w="1822"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FF0000"/>
                <w:szCs w:val="32"/>
              </w:rPr>
            </w:pPr>
            <w:r>
              <w:rPr>
                <w:rFonts w:hint="eastAsia" w:ascii="仿宋" w:hAnsi="仿宋" w:eastAsia="仿宋" w:cs="仿宋"/>
                <w:i w:val="0"/>
                <w:iCs w:val="0"/>
                <w:color w:val="000000"/>
                <w:kern w:val="0"/>
                <w:sz w:val="32"/>
                <w:szCs w:val="32"/>
                <w:u w:val="none"/>
                <w:lang w:val="en-US" w:eastAsia="zh-CN" w:bidi="ar"/>
              </w:rPr>
              <w:t>30</w:t>
            </w:r>
          </w:p>
        </w:tc>
        <w:tc>
          <w:tcPr>
            <w:tcW w:w="1844"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23</w:t>
            </w:r>
          </w:p>
        </w:tc>
        <w:tc>
          <w:tcPr>
            <w:tcW w:w="1842"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76.67%</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综合得分</w:t>
            </w:r>
          </w:p>
        </w:tc>
        <w:tc>
          <w:tcPr>
            <w:tcW w:w="1822"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FF0000"/>
                <w:szCs w:val="32"/>
              </w:rPr>
            </w:pPr>
            <w:r>
              <w:rPr>
                <w:rFonts w:hint="eastAsia" w:ascii="仿宋" w:hAnsi="仿宋" w:eastAsia="仿宋" w:cs="仿宋"/>
                <w:i w:val="0"/>
                <w:iCs w:val="0"/>
                <w:color w:val="000000"/>
                <w:kern w:val="0"/>
                <w:sz w:val="32"/>
                <w:szCs w:val="32"/>
                <w:u w:val="none"/>
                <w:lang w:val="en-US" w:eastAsia="zh-CN" w:bidi="ar"/>
              </w:rPr>
              <w:t>100</w:t>
            </w:r>
          </w:p>
        </w:tc>
        <w:tc>
          <w:tcPr>
            <w:tcW w:w="1844"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89.31</w:t>
            </w:r>
          </w:p>
        </w:tc>
        <w:tc>
          <w:tcPr>
            <w:tcW w:w="1842"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89.31%</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绩效评定级别</w:t>
            </w:r>
          </w:p>
        </w:tc>
        <w:tc>
          <w:tcPr>
            <w:tcW w:w="5508" w:type="dxa"/>
            <w:gridSpan w:val="3"/>
            <w:tcBorders>
              <w:top w:val="nil"/>
              <w:left w:val="nil"/>
              <w:bottom w:val="single" w:color="auto" w:sz="4" w:space="0"/>
              <w:right w:val="single" w:color="auto" w:sz="4" w:space="0"/>
            </w:tcBorders>
            <w:noWrap/>
            <w:vAlign w:val="center"/>
          </w:tcPr>
          <w:p>
            <w:pPr>
              <w:widowControl/>
              <w:ind w:firstLine="0" w:firstLineChars="0"/>
              <w:jc w:val="center"/>
              <w:textAlignment w:val="bottom"/>
              <w:rPr>
                <w:rFonts w:hint="eastAsia" w:ascii="仿宋" w:hAnsi="仿宋" w:eastAsia="仿宋" w:cs="仿宋"/>
                <w:szCs w:val="32"/>
                <w:lang w:eastAsia="zh-CN"/>
              </w:rPr>
            </w:pPr>
            <w:r>
              <w:rPr>
                <w:rFonts w:hint="eastAsia" w:ascii="仿宋" w:hAnsi="仿宋" w:eastAsia="仿宋" w:cs="仿宋"/>
                <w:szCs w:val="32"/>
                <w:lang w:eastAsia="zh-CN"/>
              </w:rPr>
              <w:t>良</w:t>
            </w:r>
          </w:p>
        </w:tc>
      </w:tr>
    </w:tbl>
    <w:p>
      <w:pPr>
        <w:ind w:firstLine="0" w:firstLineChars="0"/>
        <w:jc w:val="center"/>
        <w:rPr>
          <w:rFonts w:eastAsia="宋体"/>
          <w:b/>
          <w:bCs/>
          <w:sz w:val="28"/>
          <w:szCs w:val="28"/>
        </w:rPr>
      </w:pPr>
      <w:r>
        <w:br w:type="page"/>
      </w:r>
      <w:r>
        <w:rPr>
          <w:rFonts w:eastAsia="宋体"/>
          <w:b/>
          <w:bCs/>
          <w:sz w:val="28"/>
          <w:szCs w:val="28"/>
        </w:rPr>
        <w:t>目录</w:t>
      </w:r>
    </w:p>
    <w:sdt>
      <w:sdtPr>
        <w:rPr>
          <w:rFonts w:ascii="宋体" w:hAnsi="宋体" w:eastAsia="宋体"/>
          <w:sz w:val="21"/>
        </w:rPr>
        <w:id w:val="147469887"/>
        <w15:color w:val="DBDBDB"/>
        <w:docPartObj>
          <w:docPartGallery w:val="Table of Contents"/>
          <w:docPartUnique/>
        </w:docPartObj>
      </w:sdtPr>
      <w:sdtEndPr>
        <w:rPr>
          <w:rFonts w:ascii="宋体" w:hAnsi="宋体" w:eastAsia="宋体"/>
          <w:sz w:val="21"/>
        </w:rPr>
      </w:sdtEndPr>
      <w:sdtContent>
        <w:p>
          <w:pPr>
            <w:spacing w:line="240" w:lineRule="auto"/>
            <w:ind w:firstLine="0" w:firstLineChars="0"/>
            <w:jc w:val="center"/>
          </w:pPr>
          <w:bookmarkStart w:id="21" w:name="_Toc29416"/>
          <w:bookmarkStart w:id="22" w:name="_Toc1675062758"/>
          <w:bookmarkStart w:id="23" w:name="_Toc130033874"/>
          <w:bookmarkStart w:id="24" w:name="_Toc1902724683"/>
          <w:bookmarkStart w:id="25" w:name="_Toc132480957"/>
          <w:bookmarkStart w:id="26" w:name="_Toc132480512"/>
          <w:bookmarkStart w:id="27" w:name="_Toc792595118"/>
          <w:bookmarkStart w:id="28" w:name="_Toc1042875910_WPSOffice_Level1"/>
          <w:bookmarkStart w:id="29" w:name="_Toc400713784"/>
          <w:bookmarkStart w:id="30" w:name="_Toc562319121"/>
          <w:bookmarkStart w:id="31" w:name="_Toc179658314"/>
          <w:bookmarkStart w:id="32" w:name="_Toc24206"/>
          <w:bookmarkStart w:id="33" w:name="_Toc6723"/>
        </w:p>
        <w:p>
          <w:pPr>
            <w:pStyle w:val="18"/>
            <w:tabs>
              <w:tab w:val="right" w:leader="dot" w:pos="8306"/>
            </w:tabs>
            <w:ind w:left="0" w:firstLine="0" w:firstLineChars="0"/>
            <w:jc w:val="both"/>
            <w:rPr>
              <w:rFonts w:hint="eastAsia" w:ascii="新宋体" w:hAnsi="新宋体" w:eastAsia="新宋体" w:cs="新宋体"/>
              <w:sz w:val="24"/>
              <w:szCs w:val="24"/>
            </w:rPr>
          </w:pPr>
          <w:r>
            <w:fldChar w:fldCharType="begin"/>
          </w:r>
          <w:r>
            <w:instrText xml:space="preserve">TOC \o "1-2" \h \u </w:instrText>
          </w:r>
          <w:r>
            <w:fldChar w:fldCharType="separate"/>
          </w:r>
          <w:r>
            <w:rPr>
              <w:rFonts w:hint="eastAsia" w:ascii="新宋体" w:hAnsi="新宋体" w:eastAsia="新宋体" w:cs="新宋体"/>
              <w:b/>
              <w:bCs/>
              <w:caps/>
              <w:smallCaps w:val="0"/>
              <w:color w:val="000000"/>
              <w:sz w:val="24"/>
              <w:szCs w:val="24"/>
              <w:lang w:val="en-US" w:eastAsia="zh-CN" w:bidi="en-US"/>
            </w:rPr>
            <w:fldChar w:fldCharType="begin"/>
          </w:r>
          <w:r>
            <w:rPr>
              <w:rFonts w:hint="eastAsia" w:ascii="新宋体" w:hAnsi="新宋体" w:eastAsia="新宋体" w:cs="新宋体"/>
              <w:b/>
              <w:bCs/>
              <w:caps/>
              <w:smallCaps w:val="0"/>
              <w:color w:val="000000"/>
              <w:sz w:val="24"/>
              <w:szCs w:val="24"/>
              <w:lang w:val="en-US" w:eastAsia="zh-CN" w:bidi="en-US"/>
            </w:rPr>
            <w:instrText xml:space="preserve"> HYPERLINK \l "_Toc12748" </w:instrText>
          </w:r>
          <w:r>
            <w:rPr>
              <w:rFonts w:hint="eastAsia" w:ascii="新宋体" w:hAnsi="新宋体" w:eastAsia="新宋体" w:cs="新宋体"/>
              <w:b/>
              <w:bCs/>
              <w:caps/>
              <w:smallCaps w:val="0"/>
              <w:color w:val="000000"/>
              <w:sz w:val="24"/>
              <w:szCs w:val="24"/>
              <w:lang w:val="en-US" w:eastAsia="zh-CN" w:bidi="en-US"/>
            </w:rPr>
            <w:fldChar w:fldCharType="separate"/>
          </w:r>
          <w:r>
            <w:rPr>
              <w:rFonts w:hint="eastAsia" w:ascii="新宋体" w:hAnsi="新宋体" w:eastAsia="新宋体" w:cs="新宋体"/>
              <w:b/>
              <w:bCs/>
              <w:caps/>
              <w:smallCaps w:val="0"/>
              <w:color w:val="000000"/>
              <w:sz w:val="24"/>
              <w:szCs w:val="24"/>
              <w:lang w:val="en-US" w:eastAsia="zh-CN" w:bidi="en-US"/>
            </w:rPr>
            <w:t>一、基本情况</w:t>
          </w:r>
          <w:r>
            <w:rPr>
              <w:rFonts w:hint="eastAsia" w:ascii="新宋体" w:hAnsi="新宋体" w:eastAsia="新宋体" w:cs="新宋体"/>
              <w:b/>
              <w:bCs/>
              <w:caps/>
              <w:smallCaps w:val="0"/>
              <w:color w:val="000000"/>
              <w:sz w:val="24"/>
              <w:szCs w:val="24"/>
              <w:lang w:val="en-US" w:eastAsia="zh-CN" w:bidi="en-US"/>
            </w:rPr>
            <w:tab/>
          </w:r>
          <w:r>
            <w:rPr>
              <w:rFonts w:hint="eastAsia" w:ascii="新宋体" w:hAnsi="新宋体" w:eastAsia="新宋体" w:cs="新宋体"/>
              <w:b/>
              <w:bCs/>
              <w:caps/>
              <w:smallCaps w:val="0"/>
              <w:color w:val="000000"/>
              <w:sz w:val="24"/>
              <w:szCs w:val="24"/>
              <w:lang w:val="en-US" w:eastAsia="zh-CN" w:bidi="en-US"/>
            </w:rPr>
            <w:fldChar w:fldCharType="begin"/>
          </w:r>
          <w:r>
            <w:rPr>
              <w:rFonts w:hint="eastAsia" w:ascii="新宋体" w:hAnsi="新宋体" w:eastAsia="新宋体" w:cs="新宋体"/>
              <w:b/>
              <w:bCs/>
              <w:caps/>
              <w:smallCaps w:val="0"/>
              <w:color w:val="000000"/>
              <w:sz w:val="24"/>
              <w:szCs w:val="24"/>
              <w:lang w:val="en-US" w:eastAsia="zh-CN" w:bidi="en-US"/>
            </w:rPr>
            <w:instrText xml:space="preserve"> PAGEREF _Toc12748 \h </w:instrText>
          </w:r>
          <w:r>
            <w:rPr>
              <w:rFonts w:hint="eastAsia" w:ascii="新宋体" w:hAnsi="新宋体" w:eastAsia="新宋体" w:cs="新宋体"/>
              <w:b/>
              <w:bCs/>
              <w:caps/>
              <w:smallCaps w:val="0"/>
              <w:color w:val="000000"/>
              <w:sz w:val="24"/>
              <w:szCs w:val="24"/>
              <w:lang w:val="en-US" w:eastAsia="zh-CN" w:bidi="en-US"/>
            </w:rPr>
            <w:fldChar w:fldCharType="separate"/>
          </w:r>
          <w:r>
            <w:rPr>
              <w:rFonts w:hint="eastAsia" w:ascii="新宋体" w:hAnsi="新宋体" w:eastAsia="新宋体" w:cs="新宋体"/>
              <w:b/>
              <w:bCs/>
              <w:caps/>
              <w:smallCaps w:val="0"/>
              <w:color w:val="000000"/>
              <w:sz w:val="24"/>
              <w:szCs w:val="24"/>
              <w:lang w:val="en-US" w:eastAsia="zh-CN" w:bidi="en-US"/>
            </w:rPr>
            <w:t>- 1 -</w:t>
          </w:r>
          <w:r>
            <w:rPr>
              <w:rFonts w:hint="eastAsia" w:ascii="新宋体" w:hAnsi="新宋体" w:eastAsia="新宋体" w:cs="新宋体"/>
              <w:b/>
              <w:bCs/>
              <w:caps/>
              <w:smallCaps w:val="0"/>
              <w:color w:val="000000"/>
              <w:sz w:val="24"/>
              <w:szCs w:val="24"/>
              <w:lang w:val="en-US" w:eastAsia="zh-CN" w:bidi="en-US"/>
            </w:rPr>
            <w:fldChar w:fldCharType="end"/>
          </w:r>
          <w:r>
            <w:rPr>
              <w:rFonts w:hint="eastAsia" w:ascii="新宋体" w:hAnsi="新宋体" w:eastAsia="新宋体" w:cs="新宋体"/>
              <w:b/>
              <w:bCs/>
              <w:caps/>
              <w:smallCaps w:val="0"/>
              <w:color w:val="000000"/>
              <w:sz w:val="24"/>
              <w:szCs w:val="24"/>
              <w:lang w:val="en-US" w:eastAsia="zh-CN" w:bidi="en-US"/>
            </w:rPr>
            <w:fldChar w:fldCharType="end"/>
          </w:r>
        </w:p>
        <w:p>
          <w:pPr>
            <w:pStyle w:val="18"/>
            <w:tabs>
              <w:tab w:val="right" w:leader="dot" w:pos="8306"/>
            </w:tabs>
            <w:ind w:left="0" w:firstLine="400"/>
            <w:jc w:val="both"/>
            <w:rPr>
              <w:rFonts w:hint="eastAsia" w:ascii="新宋体" w:hAnsi="新宋体" w:eastAsia="新宋体" w:cs="新宋体"/>
              <w:sz w:val="24"/>
              <w:szCs w:val="24"/>
            </w:rPr>
          </w:pPr>
          <w:r>
            <w:fldChar w:fldCharType="begin"/>
          </w:r>
          <w:r>
            <w:instrText xml:space="preserve"> HYPERLINK \l "_Toc10347" </w:instrText>
          </w:r>
          <w:r>
            <w:fldChar w:fldCharType="separate"/>
          </w:r>
          <w:r>
            <w:rPr>
              <w:rFonts w:hint="eastAsia" w:ascii="新宋体" w:hAnsi="新宋体" w:eastAsia="新宋体" w:cs="新宋体"/>
              <w:bCs/>
              <w:sz w:val="24"/>
              <w:szCs w:val="24"/>
              <w:lang w:eastAsia="zh-CN"/>
            </w:rPr>
            <w:t>(一)项目概况</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_Toc10347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- 1 -</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8"/>
            <w:tabs>
              <w:tab w:val="right" w:leader="dot" w:pos="8306"/>
            </w:tabs>
            <w:ind w:left="0" w:firstLine="400"/>
            <w:jc w:val="both"/>
            <w:rPr>
              <w:rFonts w:hint="eastAsia" w:ascii="新宋体" w:hAnsi="新宋体" w:eastAsia="新宋体" w:cs="新宋体"/>
              <w:sz w:val="24"/>
              <w:szCs w:val="24"/>
            </w:rPr>
          </w:pPr>
          <w:r>
            <w:fldChar w:fldCharType="begin"/>
          </w:r>
          <w:r>
            <w:instrText xml:space="preserve"> HYPERLINK \l "_Toc9253" </w:instrText>
          </w:r>
          <w:r>
            <w:fldChar w:fldCharType="separate"/>
          </w:r>
          <w:r>
            <w:rPr>
              <w:rFonts w:hint="eastAsia" w:ascii="新宋体" w:hAnsi="新宋体" w:eastAsia="新宋体" w:cs="新宋体"/>
              <w:bCs/>
              <w:sz w:val="24"/>
              <w:szCs w:val="24"/>
              <w:lang w:eastAsia="zh-CN"/>
            </w:rPr>
            <w:t>(二)项目绩效目标</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_Toc9253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- 6 -</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5"/>
            <w:tabs>
              <w:tab w:val="right" w:leader="dot" w:pos="8306"/>
            </w:tabs>
            <w:ind w:firstLine="0" w:firstLineChars="0"/>
            <w:jc w:val="both"/>
            <w:rPr>
              <w:rFonts w:hint="eastAsia" w:ascii="新宋体" w:hAnsi="新宋体" w:eastAsia="新宋体" w:cs="新宋体"/>
              <w:sz w:val="24"/>
              <w:szCs w:val="24"/>
            </w:rPr>
          </w:pPr>
          <w:r>
            <w:fldChar w:fldCharType="begin"/>
          </w:r>
          <w:r>
            <w:instrText xml:space="preserve"> HYPERLINK \l "_Toc23845" </w:instrText>
          </w:r>
          <w:r>
            <w:fldChar w:fldCharType="separate"/>
          </w:r>
          <w:r>
            <w:rPr>
              <w:rFonts w:hint="eastAsia" w:ascii="新宋体" w:hAnsi="新宋体" w:eastAsia="新宋体" w:cs="新宋体"/>
              <w:sz w:val="24"/>
              <w:szCs w:val="24"/>
              <w:lang w:eastAsia="zh-CN"/>
            </w:rPr>
            <w:t>二、绩效评价工作开展情况</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_Toc23845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- 6 -</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8"/>
            <w:tabs>
              <w:tab w:val="right" w:leader="dot" w:pos="8306"/>
            </w:tabs>
            <w:ind w:left="0" w:firstLine="400"/>
            <w:jc w:val="both"/>
            <w:rPr>
              <w:rFonts w:hint="eastAsia" w:ascii="新宋体" w:hAnsi="新宋体" w:eastAsia="新宋体" w:cs="新宋体"/>
              <w:bCs/>
              <w:sz w:val="24"/>
              <w:szCs w:val="24"/>
              <w:lang w:eastAsia="zh-CN"/>
            </w:rPr>
          </w:pPr>
          <w:r>
            <w:fldChar w:fldCharType="begin"/>
          </w:r>
          <w:r>
            <w:instrText xml:space="preserve"> HYPERLINK \l "_Toc3276" </w:instrText>
          </w:r>
          <w:r>
            <w:fldChar w:fldCharType="separate"/>
          </w:r>
          <w:r>
            <w:rPr>
              <w:rFonts w:hint="eastAsia" w:ascii="新宋体" w:hAnsi="新宋体" w:eastAsia="新宋体" w:cs="新宋体"/>
              <w:bCs/>
              <w:sz w:val="24"/>
              <w:szCs w:val="24"/>
              <w:lang w:eastAsia="zh-CN"/>
            </w:rPr>
            <w:t>(一)绩效评价目的、对象和范围</w:t>
          </w:r>
          <w:r>
            <w:rPr>
              <w:rFonts w:hint="eastAsia" w:ascii="新宋体" w:hAnsi="新宋体" w:eastAsia="新宋体" w:cs="新宋体"/>
              <w:bCs/>
              <w:sz w:val="24"/>
              <w:szCs w:val="24"/>
              <w:lang w:eastAsia="zh-CN"/>
            </w:rPr>
            <w:tab/>
          </w:r>
          <w:r>
            <w:rPr>
              <w:rFonts w:hint="eastAsia" w:ascii="新宋体" w:hAnsi="新宋体" w:eastAsia="新宋体" w:cs="新宋体"/>
              <w:bCs/>
              <w:sz w:val="24"/>
              <w:szCs w:val="24"/>
              <w:lang w:eastAsia="zh-CN"/>
            </w:rPr>
            <w:fldChar w:fldCharType="begin"/>
          </w:r>
          <w:r>
            <w:rPr>
              <w:rFonts w:hint="eastAsia" w:ascii="新宋体" w:hAnsi="新宋体" w:eastAsia="新宋体" w:cs="新宋体"/>
              <w:bCs/>
              <w:sz w:val="24"/>
              <w:szCs w:val="24"/>
              <w:lang w:eastAsia="zh-CN"/>
            </w:rPr>
            <w:instrText xml:space="preserve"> PAGEREF _Toc3276 \h </w:instrText>
          </w:r>
          <w:r>
            <w:rPr>
              <w:rFonts w:hint="eastAsia" w:ascii="新宋体" w:hAnsi="新宋体" w:eastAsia="新宋体" w:cs="新宋体"/>
              <w:bCs/>
              <w:sz w:val="24"/>
              <w:szCs w:val="24"/>
              <w:lang w:eastAsia="zh-CN"/>
            </w:rPr>
            <w:fldChar w:fldCharType="separate"/>
          </w:r>
          <w:r>
            <w:rPr>
              <w:rFonts w:hint="eastAsia" w:ascii="新宋体" w:hAnsi="新宋体" w:eastAsia="新宋体" w:cs="新宋体"/>
              <w:bCs/>
              <w:sz w:val="24"/>
              <w:szCs w:val="24"/>
              <w:lang w:eastAsia="zh-CN"/>
            </w:rPr>
            <w:t>- 6 -</w:t>
          </w:r>
          <w:r>
            <w:rPr>
              <w:rFonts w:hint="eastAsia" w:ascii="新宋体" w:hAnsi="新宋体" w:eastAsia="新宋体" w:cs="新宋体"/>
              <w:bCs/>
              <w:sz w:val="24"/>
              <w:szCs w:val="24"/>
              <w:lang w:eastAsia="zh-CN"/>
            </w:rPr>
            <w:fldChar w:fldCharType="end"/>
          </w:r>
          <w:r>
            <w:rPr>
              <w:rFonts w:hint="eastAsia" w:ascii="新宋体" w:hAnsi="新宋体" w:eastAsia="新宋体" w:cs="新宋体"/>
              <w:bCs/>
              <w:sz w:val="24"/>
              <w:szCs w:val="24"/>
              <w:lang w:eastAsia="zh-CN"/>
            </w:rPr>
            <w:fldChar w:fldCharType="end"/>
          </w:r>
        </w:p>
        <w:p>
          <w:pPr>
            <w:pStyle w:val="18"/>
            <w:tabs>
              <w:tab w:val="right" w:leader="dot" w:pos="8306"/>
            </w:tabs>
            <w:ind w:left="0" w:firstLine="400"/>
            <w:jc w:val="both"/>
            <w:rPr>
              <w:rFonts w:hint="eastAsia" w:ascii="新宋体" w:hAnsi="新宋体" w:eastAsia="新宋体" w:cs="新宋体"/>
              <w:bCs/>
              <w:sz w:val="24"/>
              <w:szCs w:val="24"/>
              <w:lang w:eastAsia="zh-CN"/>
            </w:rPr>
          </w:pPr>
          <w:r>
            <w:fldChar w:fldCharType="begin"/>
          </w:r>
          <w:r>
            <w:instrText xml:space="preserve"> HYPERLINK \l "_Toc4179" </w:instrText>
          </w:r>
          <w:r>
            <w:fldChar w:fldCharType="separate"/>
          </w:r>
          <w:r>
            <w:rPr>
              <w:rFonts w:hint="eastAsia" w:ascii="新宋体" w:hAnsi="新宋体" w:eastAsia="新宋体" w:cs="新宋体"/>
              <w:bCs/>
              <w:sz w:val="24"/>
              <w:szCs w:val="24"/>
              <w:lang w:eastAsia="zh-CN"/>
            </w:rPr>
            <w:t>(二)绩效评价原则、评价指标体系、评价方法、评价标准</w:t>
          </w:r>
          <w:r>
            <w:rPr>
              <w:rFonts w:hint="eastAsia" w:ascii="新宋体" w:hAnsi="新宋体" w:eastAsia="新宋体" w:cs="新宋体"/>
              <w:bCs/>
              <w:sz w:val="24"/>
              <w:szCs w:val="24"/>
              <w:lang w:eastAsia="zh-CN"/>
            </w:rPr>
            <w:tab/>
          </w:r>
          <w:r>
            <w:rPr>
              <w:rFonts w:hint="eastAsia" w:ascii="新宋体" w:hAnsi="新宋体" w:eastAsia="新宋体" w:cs="新宋体"/>
              <w:bCs/>
              <w:sz w:val="24"/>
              <w:szCs w:val="24"/>
              <w:lang w:eastAsia="zh-CN"/>
            </w:rPr>
            <w:fldChar w:fldCharType="begin"/>
          </w:r>
          <w:r>
            <w:rPr>
              <w:rFonts w:hint="eastAsia" w:ascii="新宋体" w:hAnsi="新宋体" w:eastAsia="新宋体" w:cs="新宋体"/>
              <w:bCs/>
              <w:sz w:val="24"/>
              <w:szCs w:val="24"/>
              <w:lang w:eastAsia="zh-CN"/>
            </w:rPr>
            <w:instrText xml:space="preserve"> PAGEREF _Toc4179 \h </w:instrText>
          </w:r>
          <w:r>
            <w:rPr>
              <w:rFonts w:hint="eastAsia" w:ascii="新宋体" w:hAnsi="新宋体" w:eastAsia="新宋体" w:cs="新宋体"/>
              <w:bCs/>
              <w:sz w:val="24"/>
              <w:szCs w:val="24"/>
              <w:lang w:eastAsia="zh-CN"/>
            </w:rPr>
            <w:fldChar w:fldCharType="separate"/>
          </w:r>
          <w:r>
            <w:rPr>
              <w:rFonts w:hint="eastAsia" w:ascii="新宋体" w:hAnsi="新宋体" w:eastAsia="新宋体" w:cs="新宋体"/>
              <w:bCs/>
              <w:sz w:val="24"/>
              <w:szCs w:val="24"/>
              <w:lang w:eastAsia="zh-CN"/>
            </w:rPr>
            <w:t>- 8 -</w:t>
          </w:r>
          <w:r>
            <w:rPr>
              <w:rFonts w:hint="eastAsia" w:ascii="新宋体" w:hAnsi="新宋体" w:eastAsia="新宋体" w:cs="新宋体"/>
              <w:bCs/>
              <w:sz w:val="24"/>
              <w:szCs w:val="24"/>
              <w:lang w:eastAsia="zh-CN"/>
            </w:rPr>
            <w:fldChar w:fldCharType="end"/>
          </w:r>
          <w:r>
            <w:rPr>
              <w:rFonts w:hint="eastAsia" w:ascii="新宋体" w:hAnsi="新宋体" w:eastAsia="新宋体" w:cs="新宋体"/>
              <w:bCs/>
              <w:sz w:val="24"/>
              <w:szCs w:val="24"/>
              <w:lang w:eastAsia="zh-CN"/>
            </w:rPr>
            <w:fldChar w:fldCharType="end"/>
          </w:r>
        </w:p>
        <w:p>
          <w:pPr>
            <w:pStyle w:val="18"/>
            <w:tabs>
              <w:tab w:val="right" w:leader="dot" w:pos="8306"/>
            </w:tabs>
            <w:ind w:left="0" w:firstLine="400"/>
            <w:jc w:val="both"/>
            <w:rPr>
              <w:rFonts w:hint="eastAsia" w:ascii="新宋体" w:hAnsi="新宋体" w:eastAsia="新宋体" w:cs="新宋体"/>
              <w:sz w:val="24"/>
              <w:szCs w:val="24"/>
            </w:rPr>
          </w:pPr>
          <w:r>
            <w:fldChar w:fldCharType="begin"/>
          </w:r>
          <w:r>
            <w:instrText xml:space="preserve"> HYPERLINK \l "_Toc13669" </w:instrText>
          </w:r>
          <w:r>
            <w:fldChar w:fldCharType="separate"/>
          </w:r>
          <w:r>
            <w:rPr>
              <w:rFonts w:hint="eastAsia" w:ascii="新宋体" w:hAnsi="新宋体" w:eastAsia="新宋体" w:cs="新宋体"/>
              <w:bCs/>
              <w:sz w:val="24"/>
              <w:szCs w:val="24"/>
              <w:lang w:eastAsia="zh-CN"/>
            </w:rPr>
            <w:t>(三)绩效评价工作过程</w:t>
          </w:r>
          <w:r>
            <w:rPr>
              <w:rFonts w:hint="eastAsia" w:ascii="新宋体" w:hAnsi="新宋体" w:eastAsia="新宋体" w:cs="新宋体"/>
              <w:bCs/>
              <w:sz w:val="24"/>
              <w:szCs w:val="24"/>
              <w:lang w:eastAsia="zh-CN"/>
            </w:rPr>
            <w:tab/>
          </w:r>
          <w:r>
            <w:rPr>
              <w:rFonts w:hint="eastAsia" w:ascii="新宋体" w:hAnsi="新宋体" w:eastAsia="新宋体" w:cs="新宋体"/>
              <w:bCs/>
              <w:sz w:val="24"/>
              <w:szCs w:val="24"/>
              <w:lang w:eastAsia="zh-CN"/>
            </w:rPr>
            <w:fldChar w:fldCharType="begin"/>
          </w:r>
          <w:r>
            <w:rPr>
              <w:rFonts w:hint="eastAsia" w:ascii="新宋体" w:hAnsi="新宋体" w:eastAsia="新宋体" w:cs="新宋体"/>
              <w:bCs/>
              <w:sz w:val="24"/>
              <w:szCs w:val="24"/>
              <w:lang w:eastAsia="zh-CN"/>
            </w:rPr>
            <w:instrText xml:space="preserve"> PAGEREF _Toc13669 \h </w:instrText>
          </w:r>
          <w:r>
            <w:rPr>
              <w:rFonts w:hint="eastAsia" w:ascii="新宋体" w:hAnsi="新宋体" w:eastAsia="新宋体" w:cs="新宋体"/>
              <w:bCs/>
              <w:sz w:val="24"/>
              <w:szCs w:val="24"/>
              <w:lang w:eastAsia="zh-CN"/>
            </w:rPr>
            <w:fldChar w:fldCharType="separate"/>
          </w:r>
          <w:r>
            <w:rPr>
              <w:rFonts w:hint="eastAsia" w:ascii="新宋体" w:hAnsi="新宋体" w:eastAsia="新宋体" w:cs="新宋体"/>
              <w:bCs/>
              <w:sz w:val="24"/>
              <w:szCs w:val="24"/>
              <w:lang w:eastAsia="zh-CN"/>
            </w:rPr>
            <w:t>- 11 -</w:t>
          </w:r>
          <w:r>
            <w:rPr>
              <w:rFonts w:hint="eastAsia" w:ascii="新宋体" w:hAnsi="新宋体" w:eastAsia="新宋体" w:cs="新宋体"/>
              <w:bCs/>
              <w:sz w:val="24"/>
              <w:szCs w:val="24"/>
              <w:lang w:eastAsia="zh-CN"/>
            </w:rPr>
            <w:fldChar w:fldCharType="end"/>
          </w:r>
          <w:r>
            <w:rPr>
              <w:rFonts w:hint="eastAsia" w:ascii="新宋体" w:hAnsi="新宋体" w:eastAsia="新宋体" w:cs="新宋体"/>
              <w:bCs/>
              <w:sz w:val="24"/>
              <w:szCs w:val="24"/>
              <w:lang w:eastAsia="zh-CN"/>
            </w:rPr>
            <w:fldChar w:fldCharType="end"/>
          </w:r>
        </w:p>
        <w:p>
          <w:pPr>
            <w:pStyle w:val="15"/>
            <w:tabs>
              <w:tab w:val="right" w:leader="dot" w:pos="8306"/>
            </w:tabs>
            <w:ind w:firstLine="0" w:firstLineChars="0"/>
            <w:jc w:val="both"/>
            <w:rPr>
              <w:rFonts w:hint="eastAsia" w:ascii="新宋体" w:hAnsi="新宋体" w:eastAsia="新宋体" w:cs="新宋体"/>
              <w:sz w:val="24"/>
              <w:szCs w:val="24"/>
            </w:rPr>
          </w:pPr>
          <w:r>
            <w:fldChar w:fldCharType="begin"/>
          </w:r>
          <w:r>
            <w:instrText xml:space="preserve"> HYPERLINK \l "_Toc11612" </w:instrText>
          </w:r>
          <w:r>
            <w:fldChar w:fldCharType="separate"/>
          </w:r>
          <w:r>
            <w:rPr>
              <w:rFonts w:hint="eastAsia" w:ascii="新宋体" w:hAnsi="新宋体" w:eastAsia="新宋体" w:cs="新宋体"/>
              <w:sz w:val="24"/>
              <w:szCs w:val="24"/>
              <w:lang w:eastAsia="zh-CN"/>
            </w:rPr>
            <w:t>三、综合评价情况及评价结论（附相关评分表）</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_Toc11612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- 14 -</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5"/>
            <w:tabs>
              <w:tab w:val="right" w:leader="dot" w:pos="8306"/>
            </w:tabs>
            <w:ind w:firstLine="0" w:firstLineChars="0"/>
            <w:jc w:val="both"/>
            <w:rPr>
              <w:rFonts w:hint="eastAsia" w:ascii="新宋体" w:hAnsi="新宋体" w:eastAsia="新宋体" w:cs="新宋体"/>
              <w:sz w:val="24"/>
              <w:szCs w:val="24"/>
            </w:rPr>
          </w:pPr>
          <w:r>
            <w:fldChar w:fldCharType="begin"/>
          </w:r>
          <w:r>
            <w:instrText xml:space="preserve"> HYPERLINK \l "_Toc31125" </w:instrText>
          </w:r>
          <w:r>
            <w:fldChar w:fldCharType="separate"/>
          </w:r>
          <w:r>
            <w:rPr>
              <w:rFonts w:hint="eastAsia" w:ascii="新宋体" w:hAnsi="新宋体" w:eastAsia="新宋体" w:cs="新宋体"/>
              <w:bCs w:val="0"/>
              <w:sz w:val="24"/>
              <w:szCs w:val="24"/>
              <w:lang w:eastAsia="zh-CN"/>
            </w:rPr>
            <w:t>四、绩效评价指标分析</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_Toc31125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- 14 -</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8"/>
            <w:tabs>
              <w:tab w:val="right" w:leader="dot" w:pos="8306"/>
            </w:tabs>
            <w:ind w:left="0" w:firstLine="400"/>
            <w:jc w:val="both"/>
            <w:rPr>
              <w:rFonts w:hint="eastAsia" w:ascii="新宋体" w:hAnsi="新宋体" w:eastAsia="新宋体" w:cs="新宋体"/>
              <w:bCs/>
              <w:sz w:val="24"/>
              <w:szCs w:val="24"/>
              <w:lang w:eastAsia="zh-CN"/>
            </w:rPr>
          </w:pPr>
          <w:r>
            <w:fldChar w:fldCharType="begin"/>
          </w:r>
          <w:r>
            <w:instrText xml:space="preserve"> HYPERLINK \l "_Toc25739" </w:instrText>
          </w:r>
          <w:r>
            <w:fldChar w:fldCharType="separate"/>
          </w:r>
          <w:r>
            <w:rPr>
              <w:rFonts w:hint="eastAsia" w:ascii="新宋体" w:hAnsi="新宋体" w:eastAsia="新宋体" w:cs="新宋体"/>
              <w:bCs/>
              <w:sz w:val="24"/>
              <w:szCs w:val="24"/>
              <w:lang w:eastAsia="zh-CN"/>
            </w:rPr>
            <w:t>(一)项目决策情况</w:t>
          </w:r>
          <w:r>
            <w:rPr>
              <w:rFonts w:hint="eastAsia" w:ascii="新宋体" w:hAnsi="新宋体" w:eastAsia="新宋体" w:cs="新宋体"/>
              <w:bCs/>
              <w:sz w:val="24"/>
              <w:szCs w:val="24"/>
              <w:lang w:eastAsia="zh-CN"/>
            </w:rPr>
            <w:tab/>
          </w:r>
          <w:r>
            <w:rPr>
              <w:rFonts w:hint="eastAsia" w:ascii="新宋体" w:hAnsi="新宋体" w:eastAsia="新宋体" w:cs="新宋体"/>
              <w:bCs/>
              <w:sz w:val="24"/>
              <w:szCs w:val="24"/>
              <w:lang w:eastAsia="zh-CN"/>
            </w:rPr>
            <w:fldChar w:fldCharType="begin"/>
          </w:r>
          <w:r>
            <w:rPr>
              <w:rFonts w:hint="eastAsia" w:ascii="新宋体" w:hAnsi="新宋体" w:eastAsia="新宋体" w:cs="新宋体"/>
              <w:bCs/>
              <w:sz w:val="24"/>
              <w:szCs w:val="24"/>
              <w:lang w:eastAsia="zh-CN"/>
            </w:rPr>
            <w:instrText xml:space="preserve"> PAGEREF _Toc25739 \h </w:instrText>
          </w:r>
          <w:r>
            <w:rPr>
              <w:rFonts w:hint="eastAsia" w:ascii="新宋体" w:hAnsi="新宋体" w:eastAsia="新宋体" w:cs="新宋体"/>
              <w:bCs/>
              <w:sz w:val="24"/>
              <w:szCs w:val="24"/>
              <w:lang w:eastAsia="zh-CN"/>
            </w:rPr>
            <w:fldChar w:fldCharType="separate"/>
          </w:r>
          <w:r>
            <w:rPr>
              <w:rFonts w:hint="eastAsia" w:ascii="新宋体" w:hAnsi="新宋体" w:eastAsia="新宋体" w:cs="新宋体"/>
              <w:bCs/>
              <w:sz w:val="24"/>
              <w:szCs w:val="24"/>
              <w:lang w:eastAsia="zh-CN"/>
            </w:rPr>
            <w:t>- 14 -</w:t>
          </w:r>
          <w:r>
            <w:rPr>
              <w:rFonts w:hint="eastAsia" w:ascii="新宋体" w:hAnsi="新宋体" w:eastAsia="新宋体" w:cs="新宋体"/>
              <w:bCs/>
              <w:sz w:val="24"/>
              <w:szCs w:val="24"/>
              <w:lang w:eastAsia="zh-CN"/>
            </w:rPr>
            <w:fldChar w:fldCharType="end"/>
          </w:r>
          <w:r>
            <w:rPr>
              <w:rFonts w:hint="eastAsia" w:ascii="新宋体" w:hAnsi="新宋体" w:eastAsia="新宋体" w:cs="新宋体"/>
              <w:bCs/>
              <w:sz w:val="24"/>
              <w:szCs w:val="24"/>
              <w:lang w:eastAsia="zh-CN"/>
            </w:rPr>
            <w:fldChar w:fldCharType="end"/>
          </w:r>
        </w:p>
        <w:p>
          <w:pPr>
            <w:pStyle w:val="18"/>
            <w:tabs>
              <w:tab w:val="right" w:leader="dot" w:pos="8306"/>
            </w:tabs>
            <w:ind w:left="0" w:firstLine="400"/>
            <w:jc w:val="both"/>
            <w:rPr>
              <w:rFonts w:hint="eastAsia" w:ascii="新宋体" w:hAnsi="新宋体" w:eastAsia="新宋体" w:cs="新宋体"/>
              <w:bCs/>
              <w:sz w:val="24"/>
              <w:szCs w:val="24"/>
              <w:lang w:eastAsia="zh-CN"/>
            </w:rPr>
          </w:pPr>
          <w:r>
            <w:fldChar w:fldCharType="begin"/>
          </w:r>
          <w:r>
            <w:instrText xml:space="preserve"> HYPERLINK \l "_Toc16887" </w:instrText>
          </w:r>
          <w:r>
            <w:fldChar w:fldCharType="separate"/>
          </w:r>
          <w:r>
            <w:rPr>
              <w:rFonts w:hint="eastAsia" w:ascii="新宋体" w:hAnsi="新宋体" w:eastAsia="新宋体" w:cs="新宋体"/>
              <w:bCs/>
              <w:sz w:val="24"/>
              <w:szCs w:val="24"/>
              <w:lang w:eastAsia="zh-CN"/>
            </w:rPr>
            <w:t>(二)项目过程情况</w:t>
          </w:r>
          <w:r>
            <w:rPr>
              <w:rFonts w:hint="eastAsia" w:ascii="新宋体" w:hAnsi="新宋体" w:eastAsia="新宋体" w:cs="新宋体"/>
              <w:bCs/>
              <w:sz w:val="24"/>
              <w:szCs w:val="24"/>
              <w:lang w:eastAsia="zh-CN"/>
            </w:rPr>
            <w:tab/>
          </w:r>
          <w:r>
            <w:rPr>
              <w:rFonts w:hint="eastAsia" w:ascii="新宋体" w:hAnsi="新宋体" w:eastAsia="新宋体" w:cs="新宋体"/>
              <w:bCs/>
              <w:sz w:val="24"/>
              <w:szCs w:val="24"/>
              <w:lang w:eastAsia="zh-CN"/>
            </w:rPr>
            <w:fldChar w:fldCharType="begin"/>
          </w:r>
          <w:r>
            <w:rPr>
              <w:rFonts w:hint="eastAsia" w:ascii="新宋体" w:hAnsi="新宋体" w:eastAsia="新宋体" w:cs="新宋体"/>
              <w:bCs/>
              <w:sz w:val="24"/>
              <w:szCs w:val="24"/>
              <w:lang w:eastAsia="zh-CN"/>
            </w:rPr>
            <w:instrText xml:space="preserve"> PAGEREF _Toc16887 \h </w:instrText>
          </w:r>
          <w:r>
            <w:rPr>
              <w:rFonts w:hint="eastAsia" w:ascii="新宋体" w:hAnsi="新宋体" w:eastAsia="新宋体" w:cs="新宋体"/>
              <w:bCs/>
              <w:sz w:val="24"/>
              <w:szCs w:val="24"/>
              <w:lang w:eastAsia="zh-CN"/>
            </w:rPr>
            <w:fldChar w:fldCharType="separate"/>
          </w:r>
          <w:r>
            <w:rPr>
              <w:rFonts w:hint="eastAsia" w:ascii="新宋体" w:hAnsi="新宋体" w:eastAsia="新宋体" w:cs="新宋体"/>
              <w:bCs/>
              <w:sz w:val="24"/>
              <w:szCs w:val="24"/>
              <w:lang w:eastAsia="zh-CN"/>
            </w:rPr>
            <w:t>- 17 -</w:t>
          </w:r>
          <w:r>
            <w:rPr>
              <w:rFonts w:hint="eastAsia" w:ascii="新宋体" w:hAnsi="新宋体" w:eastAsia="新宋体" w:cs="新宋体"/>
              <w:bCs/>
              <w:sz w:val="24"/>
              <w:szCs w:val="24"/>
              <w:lang w:eastAsia="zh-CN"/>
            </w:rPr>
            <w:fldChar w:fldCharType="end"/>
          </w:r>
          <w:r>
            <w:rPr>
              <w:rFonts w:hint="eastAsia" w:ascii="新宋体" w:hAnsi="新宋体" w:eastAsia="新宋体" w:cs="新宋体"/>
              <w:bCs/>
              <w:sz w:val="24"/>
              <w:szCs w:val="24"/>
              <w:lang w:eastAsia="zh-CN"/>
            </w:rPr>
            <w:fldChar w:fldCharType="end"/>
          </w:r>
        </w:p>
        <w:p>
          <w:pPr>
            <w:pStyle w:val="18"/>
            <w:tabs>
              <w:tab w:val="right" w:leader="dot" w:pos="8306"/>
            </w:tabs>
            <w:ind w:left="0" w:firstLine="400"/>
            <w:jc w:val="both"/>
            <w:rPr>
              <w:rFonts w:hint="eastAsia" w:ascii="新宋体" w:hAnsi="新宋体" w:eastAsia="新宋体" w:cs="新宋体"/>
              <w:bCs/>
              <w:sz w:val="24"/>
              <w:szCs w:val="24"/>
              <w:lang w:eastAsia="zh-CN"/>
            </w:rPr>
          </w:pPr>
          <w:r>
            <w:fldChar w:fldCharType="begin"/>
          </w:r>
          <w:r>
            <w:instrText xml:space="preserve"> HYPERLINK \l "_Toc26432" </w:instrText>
          </w:r>
          <w:r>
            <w:fldChar w:fldCharType="separate"/>
          </w:r>
          <w:r>
            <w:rPr>
              <w:rFonts w:hint="eastAsia" w:ascii="新宋体" w:hAnsi="新宋体" w:eastAsia="新宋体" w:cs="新宋体"/>
              <w:bCs/>
              <w:sz w:val="24"/>
              <w:szCs w:val="24"/>
              <w:lang w:eastAsia="zh-CN"/>
            </w:rPr>
            <w:t>(三)项目产出情况</w:t>
          </w:r>
          <w:r>
            <w:rPr>
              <w:rFonts w:hint="eastAsia" w:ascii="新宋体" w:hAnsi="新宋体" w:eastAsia="新宋体" w:cs="新宋体"/>
              <w:bCs/>
              <w:sz w:val="24"/>
              <w:szCs w:val="24"/>
              <w:lang w:eastAsia="zh-CN"/>
            </w:rPr>
            <w:tab/>
          </w:r>
          <w:r>
            <w:rPr>
              <w:rFonts w:hint="eastAsia" w:ascii="新宋体" w:hAnsi="新宋体" w:eastAsia="新宋体" w:cs="新宋体"/>
              <w:bCs/>
              <w:sz w:val="24"/>
              <w:szCs w:val="24"/>
              <w:lang w:eastAsia="zh-CN"/>
            </w:rPr>
            <w:fldChar w:fldCharType="begin"/>
          </w:r>
          <w:r>
            <w:rPr>
              <w:rFonts w:hint="eastAsia" w:ascii="新宋体" w:hAnsi="新宋体" w:eastAsia="新宋体" w:cs="新宋体"/>
              <w:bCs/>
              <w:sz w:val="24"/>
              <w:szCs w:val="24"/>
              <w:lang w:eastAsia="zh-CN"/>
            </w:rPr>
            <w:instrText xml:space="preserve"> PAGEREF _Toc26432 \h </w:instrText>
          </w:r>
          <w:r>
            <w:rPr>
              <w:rFonts w:hint="eastAsia" w:ascii="新宋体" w:hAnsi="新宋体" w:eastAsia="新宋体" w:cs="新宋体"/>
              <w:bCs/>
              <w:sz w:val="24"/>
              <w:szCs w:val="24"/>
              <w:lang w:eastAsia="zh-CN"/>
            </w:rPr>
            <w:fldChar w:fldCharType="separate"/>
          </w:r>
          <w:r>
            <w:rPr>
              <w:rFonts w:hint="eastAsia" w:ascii="新宋体" w:hAnsi="新宋体" w:eastAsia="新宋体" w:cs="新宋体"/>
              <w:bCs/>
              <w:sz w:val="24"/>
              <w:szCs w:val="24"/>
              <w:lang w:eastAsia="zh-CN"/>
            </w:rPr>
            <w:t>- 19 -</w:t>
          </w:r>
          <w:r>
            <w:rPr>
              <w:rFonts w:hint="eastAsia" w:ascii="新宋体" w:hAnsi="新宋体" w:eastAsia="新宋体" w:cs="新宋体"/>
              <w:bCs/>
              <w:sz w:val="24"/>
              <w:szCs w:val="24"/>
              <w:lang w:eastAsia="zh-CN"/>
            </w:rPr>
            <w:fldChar w:fldCharType="end"/>
          </w:r>
          <w:r>
            <w:rPr>
              <w:rFonts w:hint="eastAsia" w:ascii="新宋体" w:hAnsi="新宋体" w:eastAsia="新宋体" w:cs="新宋体"/>
              <w:bCs/>
              <w:sz w:val="24"/>
              <w:szCs w:val="24"/>
              <w:lang w:eastAsia="zh-CN"/>
            </w:rPr>
            <w:fldChar w:fldCharType="end"/>
          </w:r>
        </w:p>
        <w:p>
          <w:pPr>
            <w:pStyle w:val="18"/>
            <w:tabs>
              <w:tab w:val="right" w:leader="dot" w:pos="8306"/>
            </w:tabs>
            <w:ind w:left="0" w:firstLine="400"/>
            <w:jc w:val="both"/>
            <w:rPr>
              <w:rFonts w:hint="eastAsia" w:ascii="新宋体" w:hAnsi="新宋体" w:eastAsia="新宋体" w:cs="新宋体"/>
              <w:sz w:val="24"/>
              <w:szCs w:val="24"/>
            </w:rPr>
          </w:pPr>
          <w:r>
            <w:fldChar w:fldCharType="begin"/>
          </w:r>
          <w:r>
            <w:instrText xml:space="preserve"> HYPERLINK \l "_Toc13675" </w:instrText>
          </w:r>
          <w:r>
            <w:fldChar w:fldCharType="separate"/>
          </w:r>
          <w:r>
            <w:rPr>
              <w:rFonts w:hint="eastAsia" w:ascii="新宋体" w:hAnsi="新宋体" w:eastAsia="新宋体" w:cs="新宋体"/>
              <w:bCs/>
              <w:sz w:val="24"/>
              <w:szCs w:val="24"/>
              <w:lang w:eastAsia="zh-CN"/>
            </w:rPr>
            <w:t>(四)项目效益情况</w:t>
          </w:r>
          <w:r>
            <w:rPr>
              <w:rFonts w:hint="eastAsia" w:ascii="新宋体" w:hAnsi="新宋体" w:eastAsia="新宋体" w:cs="新宋体"/>
              <w:bCs/>
              <w:sz w:val="24"/>
              <w:szCs w:val="24"/>
              <w:lang w:eastAsia="zh-CN"/>
            </w:rPr>
            <w:tab/>
          </w:r>
          <w:r>
            <w:rPr>
              <w:rFonts w:hint="eastAsia" w:ascii="新宋体" w:hAnsi="新宋体" w:eastAsia="新宋体" w:cs="新宋体"/>
              <w:bCs/>
              <w:sz w:val="24"/>
              <w:szCs w:val="24"/>
              <w:lang w:eastAsia="zh-CN"/>
            </w:rPr>
            <w:fldChar w:fldCharType="begin"/>
          </w:r>
          <w:r>
            <w:rPr>
              <w:rFonts w:hint="eastAsia" w:ascii="新宋体" w:hAnsi="新宋体" w:eastAsia="新宋体" w:cs="新宋体"/>
              <w:bCs/>
              <w:sz w:val="24"/>
              <w:szCs w:val="24"/>
              <w:lang w:eastAsia="zh-CN"/>
            </w:rPr>
            <w:instrText xml:space="preserve"> PAGEREF _Toc13675 \h </w:instrText>
          </w:r>
          <w:r>
            <w:rPr>
              <w:rFonts w:hint="eastAsia" w:ascii="新宋体" w:hAnsi="新宋体" w:eastAsia="新宋体" w:cs="新宋体"/>
              <w:bCs/>
              <w:sz w:val="24"/>
              <w:szCs w:val="24"/>
              <w:lang w:eastAsia="zh-CN"/>
            </w:rPr>
            <w:fldChar w:fldCharType="separate"/>
          </w:r>
          <w:r>
            <w:rPr>
              <w:rFonts w:hint="eastAsia" w:ascii="新宋体" w:hAnsi="新宋体" w:eastAsia="新宋体" w:cs="新宋体"/>
              <w:bCs/>
              <w:sz w:val="24"/>
              <w:szCs w:val="24"/>
              <w:lang w:eastAsia="zh-CN"/>
            </w:rPr>
            <w:t>- 20 -</w:t>
          </w:r>
          <w:r>
            <w:rPr>
              <w:rFonts w:hint="eastAsia" w:ascii="新宋体" w:hAnsi="新宋体" w:eastAsia="新宋体" w:cs="新宋体"/>
              <w:bCs/>
              <w:sz w:val="24"/>
              <w:szCs w:val="24"/>
              <w:lang w:eastAsia="zh-CN"/>
            </w:rPr>
            <w:fldChar w:fldCharType="end"/>
          </w:r>
          <w:r>
            <w:rPr>
              <w:rFonts w:hint="eastAsia" w:ascii="新宋体" w:hAnsi="新宋体" w:eastAsia="新宋体" w:cs="新宋体"/>
              <w:bCs/>
              <w:sz w:val="24"/>
              <w:szCs w:val="24"/>
              <w:lang w:eastAsia="zh-CN"/>
            </w:rPr>
            <w:fldChar w:fldCharType="end"/>
          </w:r>
        </w:p>
        <w:p>
          <w:pPr>
            <w:pStyle w:val="15"/>
            <w:tabs>
              <w:tab w:val="right" w:leader="dot" w:pos="8306"/>
            </w:tabs>
            <w:ind w:firstLine="0" w:firstLineChars="0"/>
            <w:jc w:val="both"/>
            <w:rPr>
              <w:rFonts w:hint="eastAsia" w:ascii="新宋体" w:hAnsi="新宋体" w:eastAsia="新宋体" w:cs="新宋体"/>
              <w:sz w:val="24"/>
              <w:szCs w:val="24"/>
            </w:rPr>
          </w:pPr>
          <w:r>
            <w:fldChar w:fldCharType="begin"/>
          </w:r>
          <w:r>
            <w:instrText xml:space="preserve"> HYPERLINK \l "_Toc27846" </w:instrText>
          </w:r>
          <w:r>
            <w:fldChar w:fldCharType="separate"/>
          </w:r>
          <w:r>
            <w:rPr>
              <w:rFonts w:hint="eastAsia" w:ascii="新宋体" w:hAnsi="新宋体" w:eastAsia="新宋体" w:cs="新宋体"/>
              <w:sz w:val="24"/>
              <w:szCs w:val="24"/>
              <w:lang w:eastAsia="zh-CN"/>
            </w:rPr>
            <w:t>五、存在的问题及建议</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_Toc27846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- 23 -</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5"/>
            <w:tabs>
              <w:tab w:val="right" w:leader="dot" w:pos="8306"/>
            </w:tabs>
            <w:ind w:firstLine="0" w:firstLineChars="0"/>
            <w:jc w:val="both"/>
            <w:rPr>
              <w:rFonts w:hint="eastAsia" w:ascii="新宋体" w:hAnsi="新宋体" w:eastAsia="新宋体" w:cs="新宋体"/>
              <w:sz w:val="24"/>
              <w:szCs w:val="24"/>
            </w:rPr>
          </w:pPr>
          <w:r>
            <w:fldChar w:fldCharType="begin"/>
          </w:r>
          <w:r>
            <w:instrText xml:space="preserve"> HYPERLINK \l "_Toc3405" </w:instrText>
          </w:r>
          <w:r>
            <w:fldChar w:fldCharType="separate"/>
          </w:r>
          <w:r>
            <w:rPr>
              <w:rFonts w:hint="eastAsia" w:ascii="新宋体" w:hAnsi="新宋体" w:eastAsia="新宋体" w:cs="新宋体"/>
              <w:sz w:val="24"/>
              <w:szCs w:val="24"/>
            </w:rPr>
            <w:t>六、附件</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_Toc3405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- 23 -</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8"/>
            <w:tabs>
              <w:tab w:val="right" w:leader="dot" w:pos="8306"/>
            </w:tabs>
            <w:ind w:left="0" w:firstLine="0" w:firstLineChars="0"/>
            <w:jc w:val="both"/>
          </w:pPr>
        </w:p>
        <w:p>
          <w:pPr>
            <w:ind w:firstLine="640"/>
          </w:pPr>
          <w:r>
            <w:fldChar w:fldCharType="end"/>
          </w:r>
        </w:p>
      </w:sdtContent>
    </w:sdt>
    <w:p>
      <w:pPr>
        <w:ind w:firstLine="640"/>
      </w:pPr>
    </w:p>
    <w:p>
      <w:pPr>
        <w:pStyle w:val="21"/>
        <w:spacing w:before="0" w:beforeLines="0" w:after="0" w:afterLines="0" w:line="780" w:lineRule="exact"/>
        <w:ind w:left="-426" w:leftChars="-221" w:right="-624" w:rightChars="-195" w:hanging="281" w:hangingChars="64"/>
        <w:outlineLvl w:val="1"/>
        <w:rPr>
          <w:rFonts w:hint="eastAsia" w:ascii="仿宋" w:hAnsi="仿宋" w:eastAsia="仿宋" w:cs="仿宋"/>
          <w:b w:val="0"/>
          <w:bCs w:val="0"/>
          <w:lang w:eastAsia="zh-CN"/>
        </w:rPr>
        <w:sectPr>
          <w:headerReference r:id="rId11" w:type="default"/>
          <w:footerReference r:id="rId12" w:type="default"/>
          <w:pgSz w:w="11906" w:h="16838"/>
          <w:pgMar w:top="1440" w:right="1800" w:bottom="1440" w:left="1800" w:header="851" w:footer="1191" w:gutter="0"/>
          <w:pgNumType w:fmt="numberInDash" w:start="1"/>
          <w:cols w:space="425" w:num="1"/>
          <w:docGrid w:type="lines" w:linePitch="312" w:charSpace="0"/>
        </w:sectPr>
      </w:pPr>
      <w:bookmarkStart w:id="34" w:name="_Toc30548"/>
    </w:p>
    <w:p>
      <w:pPr>
        <w:pStyle w:val="21"/>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乐山市金口河区金河镇人民政府</w:t>
      </w:r>
      <w:r>
        <w:rPr>
          <w:rFonts w:hint="eastAsia" w:ascii="方正小标宋简体" w:hAnsi="方正小标宋简体" w:eastAsia="方正小标宋简体" w:cs="方正小标宋简体"/>
          <w:b w:val="0"/>
          <w:bCs w:val="0"/>
          <w:sz w:val="44"/>
          <w:szCs w:val="44"/>
          <w:lang w:eastAsia="zh-CN"/>
        </w:rPr>
        <w:br w:type="textWrapping"/>
      </w:r>
      <w:r>
        <w:rPr>
          <w:rFonts w:hint="eastAsia" w:ascii="方正小标宋简体" w:hAnsi="方正小标宋简体" w:eastAsia="方正小标宋简体" w:cs="方正小标宋简体"/>
          <w:b w:val="0"/>
          <w:bCs w:val="0"/>
          <w:sz w:val="44"/>
          <w:szCs w:val="44"/>
          <w:lang w:eastAsia="zh-CN"/>
        </w:rPr>
        <w:t>乐山市金口河区金河镇新坪村村道水毁治理工程</w:t>
      </w:r>
      <w:r>
        <w:rPr>
          <w:rFonts w:hint="eastAsia" w:ascii="方正小标宋简体" w:hAnsi="方正小标宋简体" w:eastAsia="方正小标宋简体" w:cs="方正小标宋简体"/>
          <w:b w:val="0"/>
          <w:bCs w:val="0"/>
          <w:sz w:val="44"/>
          <w:szCs w:val="44"/>
          <w:lang w:eastAsia="zh-CN"/>
        </w:rPr>
        <w:br w:type="textWrapping"/>
      </w:r>
      <w:r>
        <w:rPr>
          <w:rFonts w:hint="eastAsia" w:ascii="方正小标宋简体" w:hAnsi="方正小标宋简体" w:eastAsia="方正小标宋简体" w:cs="方正小标宋简体"/>
          <w:b w:val="0"/>
          <w:bCs w:val="0"/>
          <w:sz w:val="44"/>
          <w:szCs w:val="44"/>
          <w:lang w:eastAsia="zh-CN"/>
        </w:rPr>
        <w:t>支出绩效评价报告</w:t>
      </w:r>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Style w:val="2"/>
        <w:numPr>
          <w:numId w:val="0"/>
        </w:numPr>
        <w:spacing w:before="0" w:beforeLines="0" w:after="0" w:afterLines="0"/>
        <w:ind w:leftChars="0" w:firstLine="640" w:firstLineChars="200"/>
        <w:rPr>
          <w:rFonts w:hint="eastAsia" w:ascii="仿宋" w:hAnsi="仿宋" w:eastAsia="仿宋" w:cs="仿宋"/>
          <w:b w:val="0"/>
          <w:bCs/>
          <w:lang w:eastAsia="zh-CN"/>
        </w:rPr>
      </w:pPr>
      <w:bookmarkStart w:id="35" w:name="_Toc305085885"/>
      <w:bookmarkStart w:id="36" w:name="_Toc179658315"/>
      <w:bookmarkStart w:id="37" w:name="_Toc132480958"/>
      <w:bookmarkStart w:id="38" w:name="_Toc1969419847"/>
      <w:bookmarkStart w:id="39" w:name="_Toc12748"/>
      <w:bookmarkStart w:id="40" w:name="_Toc2225"/>
      <w:bookmarkStart w:id="41" w:name="_Toc1416645183"/>
      <w:bookmarkStart w:id="42" w:name="_Toc287850696"/>
      <w:bookmarkStart w:id="43" w:name="_Toc2001376203_WPSOffice_Level1"/>
    </w:p>
    <w:p>
      <w:pPr>
        <w:pStyle w:val="2"/>
        <w:numPr>
          <w:numId w:val="0"/>
        </w:numPr>
        <w:spacing w:before="0" w:beforeLines="0" w:after="0" w:afterLines="0"/>
        <w:ind w:leftChars="0" w:firstLine="640" w:firstLineChars="200"/>
        <w:rPr>
          <w:rFonts w:hint="eastAsia" w:ascii="黑体" w:hAnsi="黑体" w:eastAsia="黑体" w:cs="黑体"/>
          <w:b w:val="0"/>
          <w:bCs/>
          <w:lang w:eastAsia="zh-CN"/>
        </w:rPr>
      </w:pPr>
      <w:r>
        <w:rPr>
          <w:rFonts w:hint="eastAsia" w:ascii="黑体" w:hAnsi="黑体" w:eastAsia="黑体" w:cs="黑体"/>
          <w:b w:val="0"/>
          <w:bCs/>
          <w:lang w:eastAsia="zh-CN"/>
        </w:rPr>
        <w:t>一、基本情况</w:t>
      </w:r>
      <w:bookmarkEnd w:id="35"/>
      <w:bookmarkEnd w:id="36"/>
      <w:bookmarkEnd w:id="37"/>
      <w:bookmarkEnd w:id="38"/>
      <w:bookmarkEnd w:id="39"/>
      <w:bookmarkEnd w:id="40"/>
      <w:bookmarkEnd w:id="41"/>
      <w:bookmarkEnd w:id="42"/>
      <w:bookmarkEnd w:id="43"/>
    </w:p>
    <w:p>
      <w:pPr>
        <w:pStyle w:val="3"/>
        <w:numPr>
          <w:ilvl w:val="0"/>
          <w:numId w:val="1"/>
        </w:numPr>
        <w:spacing w:before="0" w:beforeLines="0" w:after="0" w:afterLines="0"/>
        <w:ind w:firstLineChars="0"/>
        <w:rPr>
          <w:rFonts w:hint="eastAsia" w:ascii="楷体" w:hAnsi="楷体" w:eastAsia="楷体" w:cs="楷体"/>
          <w:b w:val="0"/>
          <w:bCs/>
          <w:lang w:eastAsia="zh-CN"/>
        </w:rPr>
      </w:pPr>
      <w:bookmarkStart w:id="44" w:name="_Toc404396392"/>
      <w:bookmarkStart w:id="45" w:name="_Toc27921"/>
      <w:bookmarkStart w:id="46" w:name="_Toc10347"/>
      <w:bookmarkStart w:id="47" w:name="_Toc1535003806"/>
      <w:bookmarkStart w:id="48" w:name="_Toc179658316"/>
      <w:bookmarkStart w:id="49" w:name="_Toc1042875910_WPSOffice_Level2"/>
      <w:bookmarkStart w:id="50" w:name="_Toc873917318"/>
      <w:bookmarkStart w:id="51" w:name="_Toc132480959"/>
      <w:bookmarkStart w:id="52" w:name="_Toc1773474628"/>
      <w:r>
        <w:rPr>
          <w:rFonts w:hint="eastAsia" w:ascii="楷体" w:hAnsi="楷体" w:eastAsia="楷体" w:cs="楷体"/>
          <w:b w:val="0"/>
          <w:bCs/>
          <w:lang w:eastAsia="zh-CN"/>
        </w:rPr>
        <w:t>项目概况</w:t>
      </w:r>
      <w:bookmarkEnd w:id="44"/>
      <w:bookmarkEnd w:id="45"/>
      <w:bookmarkEnd w:id="46"/>
      <w:bookmarkEnd w:id="47"/>
      <w:bookmarkEnd w:id="48"/>
      <w:bookmarkEnd w:id="49"/>
      <w:bookmarkEnd w:id="50"/>
      <w:bookmarkEnd w:id="51"/>
      <w:bookmarkEnd w:id="52"/>
    </w:p>
    <w:p>
      <w:pPr>
        <w:pStyle w:val="4"/>
        <w:numPr>
          <w:ilvl w:val="0"/>
          <w:numId w:val="2"/>
        </w:numPr>
        <w:ind w:firstLineChars="0"/>
        <w:rPr>
          <w:rFonts w:hint="eastAsia" w:ascii="仿宋" w:hAnsi="仿宋" w:eastAsia="仿宋" w:cs="仿宋"/>
          <w:b w:val="0"/>
          <w:bCs/>
          <w:lang w:eastAsia="zh-CN"/>
        </w:rPr>
      </w:pPr>
      <w:bookmarkStart w:id="53" w:name="_Toc9331"/>
      <w:bookmarkStart w:id="54" w:name="_Toc1862536083"/>
      <w:bookmarkStart w:id="55" w:name="_Toc1042875910_WPSOffice_Level3"/>
      <w:bookmarkStart w:id="56" w:name="_Toc2051901236"/>
      <w:bookmarkStart w:id="57" w:name="_Toc1287701793"/>
      <w:bookmarkStart w:id="58" w:name="_Toc130033877"/>
      <w:bookmarkStart w:id="59" w:name="_Toc1087916031"/>
      <w:bookmarkStart w:id="60" w:name="_Toc9639"/>
      <w:r>
        <w:rPr>
          <w:rFonts w:hint="eastAsia" w:ascii="仿宋" w:hAnsi="仿宋" w:eastAsia="仿宋" w:cs="仿宋"/>
          <w:b w:val="0"/>
          <w:bCs/>
          <w:lang w:eastAsia="zh-CN"/>
        </w:rPr>
        <w:t>项目背景</w:t>
      </w:r>
      <w:bookmarkEnd w:id="53"/>
    </w:p>
    <w:p>
      <w:pPr>
        <w:ind w:firstLine="640"/>
        <w:rPr>
          <w:rFonts w:hint="eastAsia" w:ascii="仿宋" w:hAnsi="仿宋" w:eastAsia="仿宋" w:cs="仿宋"/>
          <w:bCs/>
          <w:color w:val="auto"/>
          <w:szCs w:val="32"/>
          <w:lang w:eastAsia="zh-CN"/>
        </w:rPr>
      </w:pPr>
      <w:r>
        <w:rPr>
          <w:rFonts w:hint="eastAsia" w:ascii="仿宋" w:hAnsi="仿宋" w:eastAsia="仿宋" w:cs="仿宋"/>
          <w:bCs/>
          <w:color w:val="auto"/>
          <w:szCs w:val="32"/>
          <w:lang w:eastAsia="zh-CN"/>
        </w:rPr>
        <w:t>2023年新坪村道路受强降雨影响，路基垮塌，严重影响当地百姓出行安全。金河镇人民政府拟对新坪村村内两处水毁道路实施修复，计划新修混凝土挡土墙约250立方米，更换、安装波形钢护栏约52米。项目建成后将切实解决新坪村村民道路出行安全问题，有效保障村民生命财产安全，提升人民群众满意度。</w:t>
      </w:r>
    </w:p>
    <w:bookmarkEnd w:id="54"/>
    <w:bookmarkEnd w:id="55"/>
    <w:bookmarkEnd w:id="56"/>
    <w:bookmarkEnd w:id="57"/>
    <w:bookmarkEnd w:id="58"/>
    <w:bookmarkEnd w:id="59"/>
    <w:bookmarkEnd w:id="60"/>
    <w:p>
      <w:pPr>
        <w:pStyle w:val="4"/>
        <w:numPr>
          <w:ilvl w:val="0"/>
          <w:numId w:val="2"/>
        </w:numPr>
        <w:ind w:firstLineChars="0"/>
        <w:rPr>
          <w:rFonts w:hint="eastAsia" w:ascii="仿宋" w:hAnsi="仿宋" w:eastAsia="仿宋" w:cs="仿宋"/>
          <w:b w:val="0"/>
          <w:bCs/>
          <w:szCs w:val="32"/>
          <w:lang w:eastAsia="zh-CN"/>
        </w:rPr>
      </w:pPr>
      <w:bookmarkStart w:id="61" w:name="_Toc153907914"/>
      <w:bookmarkStart w:id="62" w:name="_Toc12920"/>
      <w:bookmarkStart w:id="63" w:name="_Toc130033880"/>
      <w:bookmarkStart w:id="64" w:name="_Toc1372691542"/>
      <w:bookmarkStart w:id="65" w:name="_Toc865934723"/>
      <w:bookmarkStart w:id="66" w:name="_Toc1491763895"/>
      <w:bookmarkStart w:id="67" w:name="_Toc1093480860_WPSOffice_Level3"/>
      <w:bookmarkStart w:id="68" w:name="_Toc17740"/>
      <w:r>
        <w:rPr>
          <w:rFonts w:hint="eastAsia" w:ascii="仿宋" w:hAnsi="仿宋" w:eastAsia="仿宋" w:cs="仿宋"/>
          <w:b w:val="0"/>
          <w:bCs/>
          <w:lang w:eastAsia="zh-CN"/>
        </w:rPr>
        <w:t>立项</w:t>
      </w:r>
      <w:r>
        <w:rPr>
          <w:rFonts w:hint="eastAsia" w:ascii="仿宋" w:hAnsi="仿宋" w:eastAsia="仿宋" w:cs="仿宋"/>
          <w:b w:val="0"/>
          <w:bCs/>
          <w:szCs w:val="32"/>
          <w:lang w:eastAsia="zh-CN"/>
        </w:rPr>
        <w:t>依据</w:t>
      </w:r>
    </w:p>
    <w:p>
      <w:pPr>
        <w:ind w:firstLine="672"/>
        <w:rPr>
          <w:rFonts w:hint="eastAsia" w:ascii="仿宋" w:hAnsi="仿宋" w:eastAsia="仿宋" w:cs="仿宋"/>
          <w:bCs/>
          <w:szCs w:val="32"/>
          <w:lang w:eastAsia="zh-CN"/>
        </w:rPr>
      </w:pPr>
      <w:r>
        <w:rPr>
          <w:rFonts w:hint="eastAsia" w:ascii="仿宋" w:hAnsi="仿宋" w:eastAsia="仿宋" w:cs="仿宋"/>
          <w:bCs/>
          <w:spacing w:val="8"/>
          <w:szCs w:val="32"/>
          <w:lang w:eastAsia="zh-CN"/>
        </w:rPr>
        <w:t>(1)</w:t>
      </w:r>
      <w:r>
        <w:rPr>
          <w:rFonts w:hint="eastAsia" w:ascii="仿宋" w:hAnsi="仿宋" w:eastAsia="仿宋" w:cs="仿宋"/>
          <w:bCs/>
          <w:szCs w:val="32"/>
          <w:lang w:val="zh-CN" w:eastAsia="zh-CN"/>
        </w:rPr>
        <w:t>《</w:t>
      </w:r>
      <w:r>
        <w:rPr>
          <w:rFonts w:hint="eastAsia" w:ascii="仿宋" w:hAnsi="仿宋" w:eastAsia="仿宋" w:cs="仿宋"/>
          <w:bCs/>
          <w:szCs w:val="32"/>
          <w:lang w:eastAsia="zh-CN"/>
        </w:rPr>
        <w:t>中共中央国务院关于全面实施预算绩效管理的意见》（中发〔2018〕34号）；</w:t>
      </w:r>
    </w:p>
    <w:p>
      <w:pPr>
        <w:ind w:firstLine="672"/>
        <w:rPr>
          <w:rFonts w:hint="eastAsia" w:ascii="仿宋" w:hAnsi="仿宋" w:eastAsia="仿宋" w:cs="仿宋"/>
          <w:bCs/>
          <w:szCs w:val="32"/>
          <w:lang w:eastAsia="zh-CN"/>
        </w:rPr>
      </w:pPr>
      <w:r>
        <w:rPr>
          <w:rFonts w:hint="eastAsia" w:ascii="仿宋" w:hAnsi="仿宋" w:eastAsia="仿宋" w:cs="仿宋"/>
          <w:bCs/>
          <w:spacing w:val="8"/>
          <w:szCs w:val="32"/>
          <w:lang w:eastAsia="zh-CN"/>
        </w:rPr>
        <w:t>(</w:t>
      </w:r>
      <w:r>
        <w:rPr>
          <w:rFonts w:hint="eastAsia" w:ascii="仿宋" w:hAnsi="仿宋" w:eastAsia="仿宋" w:cs="仿宋"/>
          <w:bCs/>
          <w:spacing w:val="8"/>
          <w:szCs w:val="32"/>
          <w:lang w:val="en-US" w:eastAsia="zh-CN"/>
        </w:rPr>
        <w:t>2</w:t>
      </w:r>
      <w:r>
        <w:rPr>
          <w:rFonts w:hint="eastAsia" w:ascii="仿宋" w:hAnsi="仿宋" w:eastAsia="仿宋" w:cs="仿宋"/>
          <w:bCs/>
          <w:spacing w:val="8"/>
          <w:szCs w:val="32"/>
          <w:lang w:eastAsia="zh-CN"/>
        </w:rPr>
        <w:t>)</w:t>
      </w:r>
      <w:r>
        <w:rPr>
          <w:rFonts w:hint="eastAsia" w:ascii="仿宋" w:hAnsi="仿宋" w:eastAsia="仿宋" w:cs="仿宋"/>
          <w:bCs/>
          <w:szCs w:val="32"/>
          <w:lang w:eastAsia="zh-CN"/>
        </w:rPr>
        <w:t>《中共四川省委四川省人民政府关于全面实施预算绩效管理的实施意见》（川委发〔2019〕8号）；</w:t>
      </w:r>
    </w:p>
    <w:p>
      <w:pPr>
        <w:ind w:firstLine="640"/>
        <w:rPr>
          <w:rFonts w:hint="eastAsia" w:ascii="仿宋" w:hAnsi="仿宋" w:eastAsia="仿宋" w:cs="仿宋"/>
          <w:bCs/>
          <w:spacing w:val="8"/>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3</w:t>
      </w:r>
      <w:r>
        <w:rPr>
          <w:rFonts w:hint="eastAsia" w:ascii="仿宋" w:hAnsi="仿宋" w:eastAsia="仿宋" w:cs="仿宋"/>
          <w:bCs/>
          <w:szCs w:val="32"/>
          <w:lang w:eastAsia="zh-CN"/>
        </w:rPr>
        <w:t>)《中共乐山市委办公室乐山市人民政府办公室关于印发全面实施预算绩效管理实施方案的通知》（乐委办发〔2020〕12号）；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4</w:t>
      </w:r>
      <w:r>
        <w:rPr>
          <w:rFonts w:hint="eastAsia" w:ascii="仿宋" w:hAnsi="仿宋" w:eastAsia="仿宋" w:cs="仿宋"/>
          <w:bCs/>
          <w:szCs w:val="32"/>
          <w:lang w:eastAsia="zh-CN"/>
        </w:rPr>
        <w:t>)乐山市沙湾区财政局、乐山市金口河区财政局《关于印发&lt;乐山市沙湾区先发带后发结对帮扶资金共同管理办法&gt;的通知》(乐沙财政〔2023〕6号)；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5</w:t>
      </w:r>
      <w:r>
        <w:rPr>
          <w:rFonts w:hint="eastAsia" w:ascii="仿宋" w:hAnsi="仿宋" w:eastAsia="仿宋" w:cs="仿宋"/>
          <w:bCs/>
          <w:szCs w:val="32"/>
          <w:lang w:eastAsia="zh-CN"/>
        </w:rPr>
        <w:t>)乐山市沙湾区乡村振兴局、乐山市金口河区乡村振兴局《关于印发&lt;乐山沙湾区先发带后发结对帮扶金口河区项目管理办法&gt;的通知》(乐沙乡振〔2023〕17号)；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6</w:t>
      </w:r>
      <w:r>
        <w:rPr>
          <w:rFonts w:hint="eastAsia" w:ascii="仿宋" w:hAnsi="仿宋" w:eastAsia="仿宋" w:cs="仿宋"/>
          <w:bCs/>
          <w:szCs w:val="32"/>
          <w:lang w:eastAsia="zh-CN"/>
        </w:rPr>
        <w:t>)《乐山市金口河区金河镇人民政府关于申报2024年沙湾区先发带后发结对帮扶金口河区项目的请示》（金镇府〔2024〕9号）；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7</w:t>
      </w:r>
      <w:r>
        <w:rPr>
          <w:rFonts w:hint="eastAsia" w:ascii="仿宋" w:hAnsi="仿宋" w:eastAsia="仿宋" w:cs="仿宋"/>
          <w:bCs/>
          <w:szCs w:val="32"/>
          <w:lang w:eastAsia="zh-CN"/>
        </w:rPr>
        <w:t>)《乐山市沙湾区先发带后发结对帮扶金口河区工作队关于&lt;关于申报2024年沙湾区结对帮扶金口河区发展项目的请示&gt;的批复》（乐沙扶复〔2024〕2号）；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8</w:t>
      </w:r>
      <w:r>
        <w:rPr>
          <w:rFonts w:hint="eastAsia" w:ascii="仿宋" w:hAnsi="仿宋" w:eastAsia="仿宋" w:cs="仿宋"/>
          <w:bCs/>
          <w:szCs w:val="32"/>
          <w:lang w:eastAsia="zh-CN"/>
        </w:rPr>
        <w:t>)《乐山市金口河区发展和改革局关于乐山市金口河区金河镇新坪村村道水毁治理工程项目建议书批复》（金发改投资〔2024〕34号）；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9</w:t>
      </w:r>
      <w:r>
        <w:rPr>
          <w:rFonts w:hint="eastAsia" w:ascii="仿宋" w:hAnsi="仿宋" w:eastAsia="仿宋" w:cs="仿宋"/>
          <w:bCs/>
          <w:szCs w:val="32"/>
          <w:lang w:eastAsia="zh-CN"/>
        </w:rPr>
        <w:t>)《乐山市金口河区财政局关于对乐山市金口河区金河镇新坪村村道水毁治理工程预算财政评审结果确认函》（金财确函〔2024〕41号）</w:t>
      </w:r>
      <w:r>
        <w:rPr>
          <w:rFonts w:hint="eastAsia" w:ascii="仿宋" w:hAnsi="仿宋" w:eastAsia="仿宋" w:cs="仿宋"/>
          <w:bCs/>
          <w:szCs w:val="32"/>
          <w:highlight w:val="none"/>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pacing w:val="8"/>
          <w:szCs w:val="32"/>
          <w:highlight w:val="none"/>
          <w:lang w:eastAsia="zh-CN"/>
        </w:rPr>
        <w:t>(1</w:t>
      </w:r>
      <w:r>
        <w:rPr>
          <w:rFonts w:hint="eastAsia" w:ascii="仿宋" w:hAnsi="仿宋" w:eastAsia="仿宋" w:cs="仿宋"/>
          <w:bCs/>
          <w:spacing w:val="8"/>
          <w:szCs w:val="32"/>
          <w:highlight w:val="none"/>
          <w:lang w:val="en-US" w:eastAsia="zh-CN"/>
        </w:rPr>
        <w:t>0</w:t>
      </w:r>
      <w:r>
        <w:rPr>
          <w:rFonts w:hint="eastAsia" w:ascii="仿宋" w:hAnsi="仿宋" w:eastAsia="仿宋" w:cs="仿宋"/>
          <w:bCs/>
          <w:spacing w:val="8"/>
          <w:szCs w:val="32"/>
          <w:highlight w:val="none"/>
          <w:lang w:eastAsia="zh-CN"/>
        </w:rPr>
        <w:t>)</w:t>
      </w:r>
      <w:r>
        <w:rPr>
          <w:rFonts w:hint="eastAsia" w:ascii="仿宋" w:hAnsi="仿宋" w:eastAsia="仿宋" w:cs="仿宋"/>
          <w:bCs/>
          <w:szCs w:val="32"/>
          <w:highlight w:val="none"/>
          <w:lang w:eastAsia="zh-CN"/>
        </w:rPr>
        <w:t>《乐山市金口河区财政局关于乐山市金口河区金河镇新坪村村道水毁治理工程的结算财政评审结果确认函》（金财结函〔2024〕74号）</w:t>
      </w:r>
      <w:r>
        <w:rPr>
          <w:rFonts w:hint="eastAsia" w:ascii="仿宋" w:hAnsi="仿宋" w:eastAsia="仿宋" w:cs="仿宋"/>
          <w:bCs/>
          <w:szCs w:val="32"/>
          <w:lang w:eastAsia="zh-CN"/>
        </w:rPr>
        <w:t>。</w:t>
      </w:r>
    </w:p>
    <w:p>
      <w:pPr>
        <w:pStyle w:val="4"/>
        <w:numPr>
          <w:ilvl w:val="0"/>
          <w:numId w:val="2"/>
        </w:numPr>
        <w:ind w:firstLineChars="0"/>
        <w:rPr>
          <w:rFonts w:hint="eastAsia" w:ascii="仿宋" w:hAnsi="仿宋" w:eastAsia="仿宋" w:cs="仿宋"/>
          <w:b w:val="0"/>
          <w:bCs/>
          <w:szCs w:val="32"/>
          <w:lang w:eastAsia="zh-CN"/>
        </w:rPr>
      </w:pPr>
      <w:r>
        <w:rPr>
          <w:rFonts w:hint="eastAsia" w:ascii="仿宋" w:hAnsi="仿宋" w:eastAsia="仿宋" w:cs="仿宋"/>
          <w:b w:val="0"/>
          <w:bCs/>
          <w:szCs w:val="32"/>
          <w:lang w:eastAsia="zh-CN"/>
        </w:rPr>
        <w:t>项目</w:t>
      </w:r>
      <w:bookmarkEnd w:id="61"/>
      <w:bookmarkEnd w:id="62"/>
      <w:bookmarkEnd w:id="63"/>
      <w:bookmarkEnd w:id="64"/>
      <w:bookmarkEnd w:id="65"/>
      <w:bookmarkEnd w:id="66"/>
      <w:bookmarkEnd w:id="67"/>
      <w:bookmarkEnd w:id="68"/>
      <w:r>
        <w:rPr>
          <w:rFonts w:hint="eastAsia" w:ascii="仿宋" w:hAnsi="仿宋" w:eastAsia="仿宋" w:cs="仿宋"/>
          <w:b w:val="0"/>
          <w:bCs/>
          <w:szCs w:val="32"/>
          <w:lang w:eastAsia="zh-CN"/>
        </w:rPr>
        <w:t>基本情况</w:t>
      </w:r>
    </w:p>
    <w:p>
      <w:pPr>
        <w:ind w:firstLine="640"/>
        <w:rPr>
          <w:rFonts w:hint="eastAsia" w:ascii="仿宋" w:hAnsi="仿宋" w:eastAsia="仿宋" w:cs="仿宋"/>
          <w:lang w:eastAsia="zh-CN"/>
        </w:rPr>
      </w:pPr>
      <w:r>
        <w:rPr>
          <w:rFonts w:hint="eastAsia" w:ascii="仿宋" w:hAnsi="仿宋" w:eastAsia="仿宋" w:cs="仿宋"/>
          <w:lang w:eastAsia="zh-CN"/>
        </w:rPr>
        <w:t>项目名称:乐山市金口河区金河镇新坪村村道水毁治理工程</w:t>
      </w:r>
    </w:p>
    <w:p>
      <w:pPr>
        <w:ind w:firstLine="640"/>
        <w:rPr>
          <w:rFonts w:hint="eastAsia" w:ascii="仿宋" w:hAnsi="仿宋" w:eastAsia="仿宋" w:cs="仿宋"/>
          <w:lang w:eastAsia="zh-CN"/>
        </w:rPr>
      </w:pPr>
      <w:r>
        <w:rPr>
          <w:rFonts w:hint="eastAsia" w:ascii="仿宋" w:hAnsi="仿宋" w:eastAsia="仿宋" w:cs="仿宋"/>
          <w:lang w:eastAsia="zh-CN"/>
        </w:rPr>
        <w:t>建设地点：金口河区金河镇新坪村3组</w:t>
      </w:r>
    </w:p>
    <w:p>
      <w:pPr>
        <w:ind w:firstLine="640"/>
        <w:rPr>
          <w:rFonts w:hint="default" w:ascii="仿宋" w:hAnsi="仿宋" w:eastAsia="仿宋" w:cs="仿宋"/>
          <w:lang w:val="en-US" w:eastAsia="zh-CN"/>
        </w:rPr>
      </w:pPr>
      <w:r>
        <w:rPr>
          <w:rFonts w:hint="eastAsia" w:ascii="仿宋" w:hAnsi="仿宋" w:eastAsia="仿宋" w:cs="仿宋"/>
          <w:lang w:val="en-US" w:eastAsia="zh-CN"/>
        </w:rPr>
        <w:t>项目业主：</w:t>
      </w:r>
      <w:r>
        <w:rPr>
          <w:rFonts w:hint="eastAsia" w:ascii="仿宋" w:hAnsi="仿宋" w:eastAsia="仿宋" w:cs="仿宋"/>
          <w:lang w:eastAsia="zh-CN"/>
        </w:rPr>
        <w:t>乐山市金口河区金河镇人民政府</w:t>
      </w:r>
      <w:r>
        <w:rPr>
          <w:rFonts w:hint="eastAsia" w:ascii="仿宋" w:hAnsi="仿宋" w:eastAsia="仿宋" w:cs="仿宋"/>
          <w:lang w:val="en-US" w:eastAsia="zh-CN"/>
        </w:rPr>
        <w:t>(以下简称金河镇政府)</w:t>
      </w:r>
    </w:p>
    <w:p>
      <w:pPr>
        <w:ind w:firstLine="640"/>
        <w:rPr>
          <w:rFonts w:hint="eastAsia" w:ascii="仿宋" w:hAnsi="仿宋" w:eastAsia="仿宋" w:cs="仿宋"/>
          <w:lang w:eastAsia="zh-CN"/>
        </w:rPr>
      </w:pPr>
      <w:r>
        <w:rPr>
          <w:rFonts w:hint="eastAsia" w:ascii="仿宋" w:hAnsi="仿宋" w:eastAsia="仿宋" w:cs="仿宋"/>
          <w:lang w:eastAsia="zh-CN"/>
        </w:rPr>
        <w:t>建设内容：对金河镇新坪村村内两处水毁道路实施修复，计划新修混凝土挡土墙约250立方米，更换、安装波形钢护栏约52米。</w:t>
      </w:r>
    </w:p>
    <w:p>
      <w:pPr>
        <w:ind w:firstLine="640"/>
        <w:rPr>
          <w:rFonts w:hint="eastAsia" w:ascii="仿宋" w:hAnsi="仿宋" w:eastAsia="仿宋" w:cs="仿宋"/>
          <w:lang w:eastAsia="zh-CN"/>
        </w:rPr>
      </w:pPr>
      <w:r>
        <w:rPr>
          <w:rFonts w:hint="eastAsia" w:ascii="仿宋" w:hAnsi="仿宋" w:eastAsia="仿宋" w:cs="仿宋"/>
          <w:lang w:eastAsia="zh-CN"/>
        </w:rPr>
        <w:t>项目总投资：项目计划投资21万元</w:t>
      </w:r>
    </w:p>
    <w:p>
      <w:pPr>
        <w:ind w:firstLine="640"/>
        <w:rPr>
          <w:rFonts w:hint="eastAsia" w:ascii="仿宋" w:hAnsi="仿宋" w:eastAsia="仿宋" w:cs="仿宋"/>
          <w:lang w:eastAsia="zh-CN"/>
        </w:rPr>
      </w:pPr>
      <w:r>
        <w:rPr>
          <w:rFonts w:hint="eastAsia" w:ascii="仿宋" w:hAnsi="仿宋" w:eastAsia="仿宋" w:cs="仿宋"/>
          <w:lang w:eastAsia="zh-CN"/>
        </w:rPr>
        <w:t>计划工期:2个月</w:t>
      </w:r>
    </w:p>
    <w:p>
      <w:pPr>
        <w:pStyle w:val="4"/>
        <w:numPr>
          <w:ilvl w:val="0"/>
          <w:numId w:val="2"/>
        </w:numPr>
        <w:ind w:firstLineChars="0"/>
        <w:rPr>
          <w:rFonts w:hint="eastAsia" w:ascii="仿宋" w:hAnsi="仿宋" w:eastAsia="仿宋" w:cs="仿宋"/>
          <w:b w:val="0"/>
          <w:bCs/>
          <w:szCs w:val="32"/>
          <w:lang w:eastAsia="zh-CN"/>
        </w:rPr>
      </w:pPr>
      <w:r>
        <w:rPr>
          <w:rFonts w:hint="eastAsia" w:ascii="仿宋" w:hAnsi="仿宋" w:eastAsia="仿宋" w:cs="仿宋"/>
          <w:b w:val="0"/>
          <w:bCs/>
          <w:szCs w:val="32"/>
          <w:lang w:eastAsia="zh-CN"/>
        </w:rPr>
        <w:t>项目实施情况</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2024年2月4日《乐山市金口河区金河镇人民政府关于申报2024年沙湾区先发带后发结对帮扶金口河区项目的请示》（金镇府〔2024〕9号）文件，金河镇人民政府申报1个乡村基础设施建设类项目,计划投资19万元</w:t>
      </w:r>
      <w:r>
        <w:rPr>
          <w:rFonts w:hint="eastAsia" w:ascii="仿宋" w:hAnsi="仿宋" w:eastAsia="仿宋" w:cs="仿宋"/>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2024年3月30日《乐山市沙湾区先发带后发结对帮扶金口河区工作队关于&lt;关于申报2024年沙湾区结对帮扶金口河区发展项目的请示&gt;的批复》（乐沙扶复〔2024〕2号）文件，由金口河区十一届人民政府第71次常务会议审议通过，乐山市沙湾区先发带后发结对帮扶金口河区工作队原则同意该项目的实施，沙湾结对帮扶资金控制在19万元以内。</w:t>
      </w:r>
    </w:p>
    <w:p>
      <w:pPr>
        <w:ind w:firstLine="640"/>
        <w:rPr>
          <w:rFonts w:hint="eastAsia" w:ascii="仿宋" w:hAnsi="仿宋" w:eastAsia="仿宋" w:cs="仿宋"/>
          <w:bCs/>
          <w:szCs w:val="32"/>
          <w:lang w:eastAsia="zh-CN"/>
        </w:rPr>
      </w:pPr>
      <w:bookmarkStart w:id="69" w:name="OLE_LINK3"/>
      <w:r>
        <w:rPr>
          <w:rFonts w:hint="eastAsia" w:ascii="仿宋" w:hAnsi="仿宋" w:eastAsia="仿宋" w:cs="仿宋"/>
          <w:bCs/>
          <w:szCs w:val="32"/>
          <w:lang w:eastAsia="zh-CN"/>
        </w:rPr>
        <w:t>2025年5月27日《乐山市金口河区发展和改革局关于乐山市金口河区金河镇新坪村村道水毁治理工程项目建议书批复》（金发改投资〔2024〕34号）文件，</w:t>
      </w:r>
      <w:bookmarkStart w:id="70" w:name="OLE_LINK4"/>
      <w:r>
        <w:rPr>
          <w:rFonts w:hint="eastAsia" w:ascii="仿宋" w:hAnsi="仿宋" w:eastAsia="仿宋" w:cs="仿宋"/>
          <w:bCs/>
          <w:szCs w:val="32"/>
          <w:lang w:eastAsia="zh-CN"/>
        </w:rPr>
        <w:t>乐山市金口河区发展和改革局原则同意该项目的项目建议书</w:t>
      </w:r>
      <w:bookmarkEnd w:id="70"/>
      <w:r>
        <w:rPr>
          <w:rFonts w:hint="eastAsia" w:ascii="仿宋" w:hAnsi="仿宋" w:eastAsia="仿宋" w:cs="仿宋"/>
          <w:bCs/>
          <w:szCs w:val="32"/>
          <w:lang w:eastAsia="zh-CN"/>
        </w:rPr>
        <w:t>，项目计划总投资:21万元，资金来源为:2024年沙湾对口帮扶19万元，金河镇乡道公路养护资金2万元。</w:t>
      </w:r>
      <w:bookmarkEnd w:id="69"/>
    </w:p>
    <w:p>
      <w:pPr>
        <w:ind w:firstLine="640"/>
        <w:rPr>
          <w:rFonts w:hint="eastAsia" w:ascii="仿宋" w:hAnsi="仿宋" w:eastAsia="仿宋" w:cs="仿宋"/>
          <w:lang w:eastAsia="zh-CN"/>
        </w:rPr>
      </w:pPr>
      <w:r>
        <w:rPr>
          <w:rFonts w:hint="eastAsia" w:ascii="仿宋" w:hAnsi="仿宋" w:eastAsia="仿宋" w:cs="仿宋"/>
          <w:bCs/>
          <w:szCs w:val="32"/>
          <w:lang w:eastAsia="zh-CN"/>
        </w:rPr>
        <w:t>2024年7月16日经《乐山市金口河区财政局关于对乐山市金口河区金河镇新坪村村道水毁治理工程预算财政评审结果确认函》（金财确函〔2024〕41号）文件，确认</w:t>
      </w:r>
      <w:r>
        <w:rPr>
          <w:rFonts w:hint="eastAsia" w:ascii="仿宋" w:hAnsi="仿宋" w:eastAsia="仿宋" w:cs="仿宋"/>
          <w:lang w:eastAsia="zh-CN"/>
        </w:rPr>
        <w:t>乐山市金口河区金河镇新坪村村道水毁治理工程的预算审定金额为212,516.87元(其中:建安工程费212,516.87元)。</w:t>
      </w:r>
    </w:p>
    <w:p>
      <w:pPr>
        <w:ind w:firstLine="608"/>
        <w:rPr>
          <w:rFonts w:hint="eastAsia" w:ascii="仿宋" w:hAnsi="仿宋" w:eastAsia="仿宋" w:cs="仿宋"/>
          <w:bCs/>
          <w:color w:val="auto"/>
          <w:spacing w:val="-8"/>
          <w:szCs w:val="32"/>
          <w:lang w:eastAsia="zh-CN"/>
        </w:rPr>
      </w:pPr>
      <w:r>
        <w:rPr>
          <w:rFonts w:hint="eastAsia" w:ascii="仿宋" w:hAnsi="仿宋" w:eastAsia="仿宋" w:cs="仿宋"/>
          <w:lang w:eastAsia="zh-CN"/>
        </w:rPr>
        <w:t>2024年8月2日招标代理机构四川恒鑫工程管理咨询有限公司采用竞争性磋商开标、评标后发布成交通知书，确认四川省世通盛德建设工程有限公司为乐山市金口河区金河镇新坪村村道水毁治理工程的中标人，中标价：208,266.53元。</w:t>
      </w:r>
    </w:p>
    <w:p>
      <w:pPr>
        <w:ind w:firstLine="608"/>
        <w:rPr>
          <w:rFonts w:hint="eastAsia" w:ascii="仿宋" w:hAnsi="仿宋" w:eastAsia="仿宋" w:cs="仿宋"/>
          <w:bCs/>
          <w:color w:val="auto"/>
          <w:spacing w:val="-8"/>
          <w:szCs w:val="32"/>
          <w:lang w:eastAsia="zh-CN"/>
        </w:rPr>
      </w:pPr>
      <w:r>
        <w:rPr>
          <w:rFonts w:hint="eastAsia" w:ascii="仿宋" w:hAnsi="仿宋" w:eastAsia="仿宋" w:cs="仿宋"/>
          <w:lang w:eastAsia="zh-CN"/>
        </w:rPr>
        <w:t>2024年8月12日金和镇政府与四川省世通盛德建设工程有限公司签订《乐山市金口河区金河镇新坪村村道水毁治理工程施工合同》，计划开工日期2024年8月，计划完工日期2024年9月，工期总日历天数30天，合同价208,266.53元</w:t>
      </w:r>
      <w:r>
        <w:rPr>
          <w:rFonts w:hint="eastAsia" w:ascii="仿宋" w:hAnsi="仿宋" w:eastAsia="仿宋" w:cs="仿宋"/>
          <w:bCs/>
          <w:color w:val="auto"/>
          <w:spacing w:val="-8"/>
          <w:szCs w:val="32"/>
          <w:lang w:eastAsia="zh-CN"/>
        </w:rPr>
        <w:t>。</w:t>
      </w:r>
    </w:p>
    <w:p>
      <w:pPr>
        <w:ind w:firstLine="608"/>
        <w:rPr>
          <w:rFonts w:hint="eastAsia" w:ascii="仿宋" w:hAnsi="仿宋" w:eastAsia="仿宋" w:cs="仿宋"/>
          <w:bCs/>
          <w:szCs w:val="32"/>
          <w:lang w:eastAsia="zh-CN"/>
        </w:rPr>
      </w:pPr>
      <w:r>
        <w:rPr>
          <w:rFonts w:hint="eastAsia" w:ascii="仿宋" w:hAnsi="仿宋" w:eastAsia="仿宋" w:cs="仿宋"/>
          <w:lang w:eastAsia="zh-CN"/>
        </w:rPr>
        <w:t>2024年8月9日进场施工，2024年9月18日经施工、监理、建设、设计单位签字盖章确认后出具《乐山市金口河区金河镇新坪村村道水毁治理工程交工验收报告》，该工程完工验收为合格</w:t>
      </w:r>
      <w:r>
        <w:rPr>
          <w:rFonts w:hint="eastAsia" w:ascii="仿宋" w:hAnsi="仿宋" w:eastAsia="仿宋" w:cs="仿宋"/>
          <w:bCs/>
          <w:color w:val="auto"/>
          <w:spacing w:val="-8"/>
          <w:szCs w:val="32"/>
          <w:lang w:eastAsia="zh-CN"/>
        </w:rPr>
        <w:t>。</w:t>
      </w:r>
    </w:p>
    <w:p>
      <w:pPr>
        <w:ind w:firstLine="640"/>
        <w:rPr>
          <w:rFonts w:hint="default" w:ascii="仿宋" w:hAnsi="仿宋" w:eastAsia="仿宋" w:cs="仿宋"/>
          <w:bCs/>
          <w:szCs w:val="32"/>
          <w:lang w:val="en-US" w:eastAsia="zh-CN"/>
        </w:rPr>
      </w:pPr>
      <w:r>
        <w:rPr>
          <w:rFonts w:hint="eastAsia" w:ascii="仿宋" w:hAnsi="仿宋" w:eastAsia="仿宋" w:cs="仿宋"/>
          <w:lang w:eastAsia="zh-CN"/>
        </w:rPr>
        <w:t>2024年12月17日经《乐山市金口河区财政局关于乐山市金口河区金河镇新坪村村道水毁治理工程的结算财政评审结果确认函》（金财结函〔2024〕74号）文件，该项目结算审定金额196,607.97元</w:t>
      </w:r>
      <w:r>
        <w:rPr>
          <w:rFonts w:hint="eastAsia" w:ascii="仿宋" w:hAnsi="仿宋" w:eastAsia="仿宋" w:cs="仿宋"/>
          <w:bCs/>
          <w:szCs w:val="32"/>
          <w:lang w:eastAsia="zh-CN"/>
        </w:rPr>
        <w:t>。</w:t>
      </w:r>
    </w:p>
    <w:p>
      <w:pPr>
        <w:pStyle w:val="4"/>
        <w:numPr>
          <w:ilvl w:val="0"/>
          <w:numId w:val="2"/>
        </w:numPr>
        <w:ind w:firstLineChars="0"/>
        <w:rPr>
          <w:rFonts w:hint="eastAsia" w:ascii="仿宋" w:hAnsi="仿宋" w:eastAsia="仿宋" w:cs="仿宋"/>
          <w:b w:val="0"/>
          <w:bCs/>
          <w:szCs w:val="32"/>
        </w:rPr>
      </w:pPr>
      <w:bookmarkStart w:id="71" w:name="_Toc204204540"/>
      <w:bookmarkStart w:id="72" w:name="_Toc1159999610"/>
      <w:bookmarkStart w:id="73" w:name="_Toc130033881"/>
      <w:bookmarkStart w:id="74" w:name="_Toc1781"/>
      <w:bookmarkStart w:id="75" w:name="_Toc2115246641_WPSOffice_Level3"/>
      <w:bookmarkStart w:id="76" w:name="_Toc18226"/>
      <w:bookmarkStart w:id="77" w:name="_Toc268213742"/>
      <w:bookmarkStart w:id="78" w:name="_Toc409926673"/>
      <w:r>
        <w:rPr>
          <w:rFonts w:hint="eastAsia" w:ascii="仿宋" w:hAnsi="仿宋" w:eastAsia="仿宋" w:cs="仿宋"/>
          <w:b w:val="0"/>
          <w:bCs/>
          <w:szCs w:val="32"/>
        </w:rPr>
        <w:t>资金</w:t>
      </w:r>
      <w:r>
        <w:rPr>
          <w:rFonts w:hint="eastAsia" w:ascii="仿宋" w:hAnsi="仿宋" w:eastAsia="仿宋" w:cs="仿宋"/>
          <w:b w:val="0"/>
          <w:bCs/>
          <w:szCs w:val="32"/>
          <w:lang w:eastAsia="zh-CN"/>
        </w:rPr>
        <w:t>批复</w:t>
      </w:r>
      <w:r>
        <w:rPr>
          <w:rFonts w:hint="eastAsia" w:ascii="仿宋" w:hAnsi="仿宋" w:eastAsia="仿宋" w:cs="仿宋"/>
          <w:b w:val="0"/>
          <w:bCs/>
          <w:szCs w:val="32"/>
        </w:rPr>
        <w:t>和使用情况</w:t>
      </w:r>
      <w:bookmarkEnd w:id="71"/>
      <w:bookmarkEnd w:id="72"/>
      <w:bookmarkEnd w:id="73"/>
      <w:bookmarkEnd w:id="74"/>
      <w:bookmarkEnd w:id="75"/>
      <w:bookmarkEnd w:id="76"/>
      <w:bookmarkEnd w:id="77"/>
      <w:bookmarkEnd w:id="78"/>
    </w:p>
    <w:p>
      <w:pPr>
        <w:pStyle w:val="5"/>
        <w:numPr>
          <w:ilvl w:val="0"/>
          <w:numId w:val="3"/>
        </w:numPr>
        <w:tabs>
          <w:tab w:val="left" w:pos="1418"/>
        </w:tabs>
        <w:ind w:left="0" w:firstLine="640"/>
        <w:rPr>
          <w:rFonts w:hint="eastAsia" w:ascii="仿宋" w:hAnsi="仿宋" w:eastAsia="仿宋" w:cs="仿宋"/>
          <w:b w:val="0"/>
          <w:bCs/>
          <w:szCs w:val="32"/>
        </w:rPr>
      </w:pPr>
      <w:bookmarkStart w:id="79" w:name="_Toc5769"/>
      <w:r>
        <w:rPr>
          <w:rFonts w:hint="eastAsia" w:ascii="仿宋" w:hAnsi="仿宋" w:eastAsia="仿宋" w:cs="仿宋"/>
          <w:b w:val="0"/>
          <w:bCs/>
          <w:szCs w:val="32"/>
        </w:rPr>
        <w:t>资金</w:t>
      </w:r>
      <w:r>
        <w:rPr>
          <w:rFonts w:hint="eastAsia" w:ascii="仿宋" w:hAnsi="仿宋" w:eastAsia="仿宋" w:cs="仿宋"/>
          <w:b w:val="0"/>
          <w:bCs/>
          <w:szCs w:val="32"/>
          <w:lang w:eastAsia="zh-CN"/>
        </w:rPr>
        <w:t>批复</w:t>
      </w:r>
      <w:r>
        <w:rPr>
          <w:rFonts w:hint="eastAsia" w:ascii="仿宋" w:hAnsi="仿宋" w:eastAsia="仿宋" w:cs="仿宋"/>
          <w:b w:val="0"/>
          <w:bCs/>
          <w:szCs w:val="32"/>
        </w:rPr>
        <w:t>情况</w:t>
      </w:r>
      <w:bookmarkEnd w:id="79"/>
    </w:p>
    <w:p>
      <w:pPr>
        <w:ind w:firstLine="608"/>
        <w:rPr>
          <w:rFonts w:hint="eastAsia" w:ascii="仿宋" w:hAnsi="仿宋" w:eastAsia="仿宋" w:cs="仿宋"/>
          <w:bCs/>
          <w:szCs w:val="32"/>
          <w:lang w:eastAsia="zh-CN"/>
        </w:rPr>
      </w:pPr>
      <w:r>
        <w:rPr>
          <w:rFonts w:hint="eastAsia" w:ascii="仿宋" w:hAnsi="仿宋" w:eastAsia="仿宋" w:cs="仿宋"/>
          <w:bCs/>
          <w:color w:val="auto"/>
          <w:spacing w:val="-8"/>
          <w:szCs w:val="32"/>
          <w:lang w:eastAsia="zh-CN"/>
        </w:rPr>
        <w:t>根据</w:t>
      </w:r>
      <w:r>
        <w:rPr>
          <w:rFonts w:hint="eastAsia" w:ascii="仿宋" w:hAnsi="仿宋" w:eastAsia="仿宋" w:cs="仿宋"/>
          <w:bCs/>
          <w:szCs w:val="32"/>
          <w:lang w:eastAsia="zh-CN"/>
        </w:rPr>
        <w:t>2025年5月27日《乐山市金口河区发展和改革局关于乐山市金口河区金河镇新坪村村道水毁治理工程项目建议书批复》（金发改投资〔2024〕34号）文件，乐山市金口河区发展和改革局原则同意该项目的项目建议书，项目计划总投资:21万元，资金来源为:2024年沙湾对口帮扶19万元，金河镇乡道公路养护资金2万元。</w:t>
      </w:r>
    </w:p>
    <w:p>
      <w:pPr>
        <w:pStyle w:val="5"/>
        <w:numPr>
          <w:ilvl w:val="0"/>
          <w:numId w:val="3"/>
        </w:numPr>
        <w:tabs>
          <w:tab w:val="left" w:pos="1418"/>
        </w:tabs>
        <w:ind w:left="0" w:firstLine="640"/>
        <w:rPr>
          <w:rFonts w:hint="eastAsia" w:ascii="仿宋" w:hAnsi="仿宋" w:eastAsia="仿宋" w:cs="仿宋"/>
          <w:b w:val="0"/>
          <w:bCs/>
          <w:szCs w:val="32"/>
        </w:rPr>
      </w:pPr>
      <w:bookmarkStart w:id="80" w:name="_Toc30946"/>
      <w:r>
        <w:rPr>
          <w:rFonts w:hint="eastAsia" w:ascii="仿宋" w:hAnsi="仿宋" w:eastAsia="仿宋" w:cs="仿宋"/>
          <w:b w:val="0"/>
          <w:bCs/>
          <w:szCs w:val="32"/>
        </w:rPr>
        <w:t>资金使用情况</w:t>
      </w:r>
      <w:bookmarkEnd w:id="80"/>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2024年12月17日经金发改投资〔2024〕34号文件，确认该项目结算审定金额196,607.97元。截止绩效评价日，乐山市金口河区金河镇新坪村村道水毁治理工程共计支付196,607.43元，另有</w:t>
      </w:r>
      <w:r>
        <w:rPr>
          <w:rFonts w:hint="eastAsia" w:ascii="仿宋" w:hAnsi="仿宋" w:eastAsia="仿宋" w:cs="仿宋"/>
          <w:bCs/>
          <w:szCs w:val="32"/>
          <w:lang w:val="en-US" w:eastAsia="zh-CN"/>
        </w:rPr>
        <w:t>业主单位确认</w:t>
      </w:r>
      <w:r>
        <w:rPr>
          <w:rFonts w:hint="eastAsia" w:ascii="仿宋" w:hAnsi="仿宋" w:eastAsia="仿宋" w:cs="仿宋"/>
          <w:bCs/>
          <w:szCs w:val="32"/>
          <w:lang w:eastAsia="zh-CN"/>
        </w:rPr>
        <w:t>不</w:t>
      </w:r>
      <w:r>
        <w:rPr>
          <w:rFonts w:hint="eastAsia" w:ascii="仿宋" w:hAnsi="仿宋" w:eastAsia="仿宋" w:cs="仿宋"/>
          <w:bCs/>
          <w:szCs w:val="32"/>
          <w:lang w:val="en-US" w:eastAsia="zh-CN"/>
        </w:rPr>
        <w:t>需</w:t>
      </w:r>
      <w:r>
        <w:rPr>
          <w:rFonts w:hint="eastAsia" w:ascii="仿宋" w:hAnsi="仿宋" w:eastAsia="仿宋" w:cs="仿宋"/>
          <w:bCs/>
          <w:szCs w:val="32"/>
          <w:lang w:eastAsia="zh-CN"/>
        </w:rPr>
        <w:t>支付的</w:t>
      </w:r>
      <w:r>
        <w:rPr>
          <w:rFonts w:hint="eastAsia" w:ascii="仿宋" w:hAnsi="仿宋" w:eastAsia="仿宋" w:cs="仿宋"/>
          <w:bCs/>
          <w:szCs w:val="32"/>
          <w:lang w:val="en-US" w:eastAsia="zh-CN"/>
        </w:rPr>
        <w:t>工程款</w:t>
      </w:r>
      <w:r>
        <w:rPr>
          <w:rFonts w:hint="eastAsia" w:ascii="仿宋" w:hAnsi="仿宋" w:eastAsia="仿宋" w:cs="仿宋"/>
          <w:bCs/>
          <w:szCs w:val="32"/>
          <w:lang w:eastAsia="zh-CN"/>
        </w:rPr>
        <w:t>0.54元系施工单位开票时少开金额，即支付款项占工程价款的100%，资金支付明细如下：</w:t>
      </w:r>
    </w:p>
    <w:tbl>
      <w:tblPr>
        <w:tblStyle w:val="22"/>
        <w:tblW w:w="8353" w:type="dxa"/>
        <w:tblInd w:w="0" w:type="dxa"/>
        <w:tblLayout w:type="fixed"/>
        <w:tblCellMar>
          <w:top w:w="0" w:type="dxa"/>
          <w:left w:w="108" w:type="dxa"/>
          <w:bottom w:w="0" w:type="dxa"/>
          <w:right w:w="108" w:type="dxa"/>
        </w:tblCellMar>
      </w:tblPr>
      <w:tblGrid>
        <w:gridCol w:w="1974"/>
        <w:gridCol w:w="2190"/>
        <w:gridCol w:w="1860"/>
        <w:gridCol w:w="2329"/>
      </w:tblGrid>
      <w:tr>
        <w:tblPrEx>
          <w:tblCellMar>
            <w:top w:w="0" w:type="dxa"/>
            <w:left w:w="108" w:type="dxa"/>
            <w:bottom w:w="0" w:type="dxa"/>
            <w:right w:w="108" w:type="dxa"/>
          </w:tblCellMar>
        </w:tblPrEx>
        <w:trPr>
          <w:trHeight w:val="562" w:hRule="atLeast"/>
          <w:tblHeader/>
        </w:trPr>
        <w:tc>
          <w:tcPr>
            <w:tcW w:w="1974"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spacing w:line="480" w:lineRule="auto"/>
              <w:ind w:firstLine="0" w:firstLineChars="0"/>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实际支付时间</w:t>
            </w:r>
          </w:p>
        </w:tc>
        <w:tc>
          <w:tcPr>
            <w:tcW w:w="2190"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widowControl/>
              <w:spacing w:line="480" w:lineRule="auto"/>
              <w:ind w:firstLine="0" w:firstLineChars="0"/>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已支付工程款（元）</w:t>
            </w:r>
          </w:p>
        </w:tc>
        <w:tc>
          <w:tcPr>
            <w:tcW w:w="1860"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widowControl/>
              <w:spacing w:line="480" w:lineRule="auto"/>
              <w:ind w:firstLine="0" w:firstLineChars="0"/>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支付比例</w:t>
            </w:r>
          </w:p>
        </w:tc>
        <w:tc>
          <w:tcPr>
            <w:tcW w:w="2329"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spacing w:line="480" w:lineRule="auto"/>
              <w:ind w:firstLine="0" w:firstLineChars="0"/>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未支付工程款（元）</w:t>
            </w:r>
          </w:p>
        </w:tc>
      </w:tr>
      <w:tr>
        <w:tblPrEx>
          <w:tblCellMar>
            <w:top w:w="0" w:type="dxa"/>
            <w:left w:w="108" w:type="dxa"/>
            <w:bottom w:w="0" w:type="dxa"/>
            <w:right w:w="108" w:type="dxa"/>
          </w:tblCellMar>
        </w:tblPrEx>
        <w:trPr>
          <w:trHeight w:val="600" w:hRule="atLeast"/>
        </w:trPr>
        <w:tc>
          <w:tcPr>
            <w:tcW w:w="1974" w:type="dxa"/>
            <w:tcBorders>
              <w:top w:val="nil"/>
              <w:left w:val="single" w:color="auto" w:sz="4" w:space="0"/>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color w:val="auto"/>
                <w:sz w:val="24"/>
                <w:lang w:eastAsia="zh-CN" w:bidi="ar-SA"/>
              </w:rPr>
            </w:pPr>
            <w:r>
              <w:rPr>
                <w:rFonts w:hint="eastAsia" w:ascii="仿宋" w:hAnsi="仿宋" w:eastAsia="仿宋" w:cs="仿宋"/>
                <w:sz w:val="24"/>
                <w:lang w:eastAsia="zh-CN" w:bidi="ar"/>
              </w:rPr>
              <w:t>2024.11.6</w:t>
            </w:r>
          </w:p>
        </w:tc>
        <w:tc>
          <w:tcPr>
            <w:tcW w:w="2190" w:type="dxa"/>
            <w:tcBorders>
              <w:top w:val="nil"/>
              <w:left w:val="nil"/>
              <w:bottom w:val="single" w:color="auto" w:sz="4" w:space="0"/>
              <w:right w:val="single" w:color="auto" w:sz="4" w:space="0"/>
            </w:tcBorders>
            <w:noWrap/>
            <w:vAlign w:val="center"/>
          </w:tcPr>
          <w:p>
            <w:pPr>
              <w:widowControl/>
              <w:ind w:right="314" w:rightChars="98" w:firstLine="0" w:firstLineChars="0"/>
              <w:jc w:val="right"/>
              <w:textAlignment w:val="center"/>
              <w:rPr>
                <w:rFonts w:hint="eastAsia" w:ascii="仿宋" w:hAnsi="仿宋" w:eastAsia="仿宋" w:cs="仿宋"/>
                <w:color w:val="auto"/>
                <w:sz w:val="24"/>
                <w:lang w:eastAsia="zh-CN" w:bidi="ar-SA"/>
              </w:rPr>
            </w:pPr>
            <w:r>
              <w:rPr>
                <w:rFonts w:hint="eastAsia" w:ascii="仿宋" w:hAnsi="仿宋" w:eastAsia="仿宋" w:cs="仿宋"/>
                <w:sz w:val="24"/>
                <w:lang w:eastAsia="zh-CN" w:bidi="ar"/>
              </w:rPr>
              <w:t>62,479.96</w:t>
            </w:r>
          </w:p>
        </w:tc>
        <w:tc>
          <w:tcPr>
            <w:tcW w:w="1860" w:type="dxa"/>
            <w:tcBorders>
              <w:top w:val="single" w:color="auto" w:sz="4" w:space="0"/>
              <w:left w:val="nil"/>
              <w:bottom w:val="single" w:color="auto" w:sz="4" w:space="0"/>
              <w:right w:val="single" w:color="auto" w:sz="4" w:space="0"/>
            </w:tcBorders>
            <w:vAlign w:val="center"/>
          </w:tcPr>
          <w:p>
            <w:pPr>
              <w:widowControl/>
              <w:ind w:firstLine="0" w:firstLineChars="0"/>
              <w:jc w:val="center"/>
              <w:textAlignment w:val="center"/>
              <w:rPr>
                <w:rFonts w:hint="eastAsia" w:ascii="仿宋" w:hAnsi="仿宋" w:eastAsia="仿宋" w:cs="仿宋"/>
                <w:color w:val="auto"/>
                <w:sz w:val="24"/>
                <w:lang w:eastAsia="zh-CN" w:bidi="ar-SA"/>
              </w:rPr>
            </w:pPr>
            <w:r>
              <w:rPr>
                <w:rFonts w:hint="eastAsia" w:ascii="仿宋" w:hAnsi="仿宋" w:eastAsia="仿宋" w:cs="仿宋"/>
                <w:sz w:val="24"/>
                <w:lang w:eastAsia="zh-CN" w:bidi="ar"/>
              </w:rPr>
              <w:t>30.00%</w:t>
            </w:r>
          </w:p>
        </w:tc>
        <w:tc>
          <w:tcPr>
            <w:tcW w:w="2329" w:type="dxa"/>
            <w:tcBorders>
              <w:top w:val="single" w:color="auto" w:sz="4" w:space="0"/>
              <w:left w:val="single" w:color="auto" w:sz="4" w:space="0"/>
              <w:bottom w:val="single" w:color="auto" w:sz="4" w:space="0"/>
              <w:right w:val="single" w:color="auto" w:sz="4" w:space="0"/>
            </w:tcBorders>
            <w:noWrap/>
            <w:vAlign w:val="center"/>
          </w:tcPr>
          <w:p>
            <w:pPr>
              <w:widowControl/>
              <w:ind w:right="314" w:rightChars="98" w:firstLine="0" w:firstLineChars="0"/>
              <w:jc w:val="right"/>
              <w:textAlignment w:val="center"/>
              <w:rPr>
                <w:rFonts w:hint="eastAsia" w:ascii="仿宋" w:hAnsi="仿宋" w:eastAsia="仿宋" w:cs="仿宋"/>
                <w:sz w:val="24"/>
                <w:lang w:eastAsia="zh-CN" w:bidi="ar"/>
              </w:rPr>
            </w:pPr>
            <w:r>
              <w:rPr>
                <w:rFonts w:hint="eastAsia" w:ascii="仿宋" w:hAnsi="仿宋" w:eastAsia="仿宋" w:cs="仿宋"/>
                <w:sz w:val="24"/>
                <w:lang w:eastAsia="zh-CN" w:bidi="ar"/>
              </w:rPr>
              <w:t>134,128.01</w:t>
            </w:r>
          </w:p>
        </w:tc>
      </w:tr>
      <w:tr>
        <w:tblPrEx>
          <w:tblCellMar>
            <w:top w:w="0" w:type="dxa"/>
            <w:left w:w="108" w:type="dxa"/>
            <w:bottom w:w="0" w:type="dxa"/>
            <w:right w:w="108" w:type="dxa"/>
          </w:tblCellMar>
        </w:tblPrEx>
        <w:trPr>
          <w:trHeight w:val="600" w:hRule="atLeast"/>
        </w:trPr>
        <w:tc>
          <w:tcPr>
            <w:tcW w:w="1974" w:type="dxa"/>
            <w:tcBorders>
              <w:top w:val="nil"/>
              <w:left w:val="single" w:color="auto" w:sz="4" w:space="0"/>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color w:val="auto"/>
                <w:sz w:val="24"/>
                <w:lang w:eastAsia="zh-CN" w:bidi="ar-SA"/>
              </w:rPr>
            </w:pPr>
            <w:r>
              <w:rPr>
                <w:rFonts w:hint="eastAsia" w:ascii="仿宋" w:hAnsi="仿宋" w:eastAsia="仿宋" w:cs="仿宋"/>
                <w:sz w:val="24"/>
                <w:lang w:eastAsia="zh-CN" w:bidi="ar"/>
              </w:rPr>
              <w:t>2024.11.28</w:t>
            </w:r>
          </w:p>
        </w:tc>
        <w:tc>
          <w:tcPr>
            <w:tcW w:w="2190" w:type="dxa"/>
            <w:tcBorders>
              <w:top w:val="nil"/>
              <w:left w:val="nil"/>
              <w:bottom w:val="single" w:color="auto" w:sz="4" w:space="0"/>
              <w:right w:val="single" w:color="auto" w:sz="4" w:space="0"/>
            </w:tcBorders>
            <w:noWrap/>
            <w:vAlign w:val="center"/>
          </w:tcPr>
          <w:p>
            <w:pPr>
              <w:widowControl/>
              <w:ind w:right="314" w:rightChars="98" w:firstLine="0" w:firstLineChars="0"/>
              <w:jc w:val="right"/>
              <w:textAlignment w:val="center"/>
              <w:rPr>
                <w:rFonts w:hint="eastAsia" w:ascii="仿宋" w:hAnsi="仿宋" w:eastAsia="仿宋" w:cs="仿宋"/>
                <w:color w:val="auto"/>
                <w:sz w:val="24"/>
                <w:lang w:eastAsia="zh-CN" w:bidi="ar-SA"/>
              </w:rPr>
            </w:pPr>
            <w:r>
              <w:rPr>
                <w:rFonts w:hint="eastAsia" w:ascii="仿宋" w:hAnsi="仿宋" w:eastAsia="仿宋" w:cs="仿宋"/>
                <w:sz w:val="24"/>
                <w:lang w:eastAsia="zh-CN" w:bidi="ar"/>
              </w:rPr>
              <w:t>102,050.06</w:t>
            </w:r>
          </w:p>
        </w:tc>
        <w:tc>
          <w:tcPr>
            <w:tcW w:w="1860" w:type="dxa"/>
            <w:tcBorders>
              <w:top w:val="single" w:color="auto" w:sz="4" w:space="0"/>
              <w:left w:val="nil"/>
              <w:bottom w:val="single" w:color="auto" w:sz="4" w:space="0"/>
              <w:right w:val="single" w:color="auto" w:sz="4" w:space="0"/>
            </w:tcBorders>
            <w:vAlign w:val="center"/>
          </w:tcPr>
          <w:p>
            <w:pPr>
              <w:widowControl/>
              <w:ind w:firstLine="0" w:firstLineChars="0"/>
              <w:jc w:val="center"/>
              <w:textAlignment w:val="center"/>
              <w:rPr>
                <w:rFonts w:hint="eastAsia" w:ascii="仿宋" w:hAnsi="仿宋" w:eastAsia="仿宋" w:cs="仿宋"/>
                <w:color w:val="auto"/>
                <w:sz w:val="24"/>
                <w:lang w:eastAsia="zh-CN" w:bidi="ar-SA"/>
              </w:rPr>
            </w:pPr>
            <w:r>
              <w:rPr>
                <w:rFonts w:hint="eastAsia" w:ascii="仿宋" w:hAnsi="仿宋" w:eastAsia="仿宋" w:cs="仿宋"/>
                <w:sz w:val="24"/>
                <w:lang w:eastAsia="zh-CN" w:bidi="ar"/>
              </w:rPr>
              <w:t>50.00%</w:t>
            </w:r>
          </w:p>
        </w:tc>
        <w:tc>
          <w:tcPr>
            <w:tcW w:w="2329" w:type="dxa"/>
            <w:tcBorders>
              <w:top w:val="single" w:color="auto" w:sz="4" w:space="0"/>
              <w:left w:val="single" w:color="auto" w:sz="4" w:space="0"/>
              <w:bottom w:val="single" w:color="auto" w:sz="4" w:space="0"/>
              <w:right w:val="single" w:color="auto" w:sz="4" w:space="0"/>
            </w:tcBorders>
            <w:noWrap/>
            <w:vAlign w:val="center"/>
          </w:tcPr>
          <w:p>
            <w:pPr>
              <w:widowControl/>
              <w:ind w:right="314" w:rightChars="98" w:firstLine="0" w:firstLineChars="0"/>
              <w:jc w:val="right"/>
              <w:textAlignment w:val="center"/>
              <w:rPr>
                <w:rFonts w:hint="eastAsia" w:ascii="仿宋" w:hAnsi="仿宋" w:eastAsia="仿宋" w:cs="仿宋"/>
                <w:sz w:val="24"/>
                <w:lang w:eastAsia="zh-CN" w:bidi="ar"/>
              </w:rPr>
            </w:pPr>
            <w:r>
              <w:rPr>
                <w:rFonts w:hint="eastAsia" w:ascii="仿宋" w:hAnsi="仿宋" w:eastAsia="仿宋" w:cs="仿宋"/>
                <w:sz w:val="24"/>
                <w:lang w:eastAsia="zh-CN" w:bidi="ar"/>
              </w:rPr>
              <w:t>32,077.95</w:t>
            </w:r>
          </w:p>
        </w:tc>
      </w:tr>
      <w:tr>
        <w:tblPrEx>
          <w:tblCellMar>
            <w:top w:w="0" w:type="dxa"/>
            <w:left w:w="108" w:type="dxa"/>
            <w:bottom w:w="0" w:type="dxa"/>
            <w:right w:w="108" w:type="dxa"/>
          </w:tblCellMar>
        </w:tblPrEx>
        <w:trPr>
          <w:trHeight w:val="600" w:hRule="atLeast"/>
        </w:trPr>
        <w:tc>
          <w:tcPr>
            <w:tcW w:w="1974" w:type="dxa"/>
            <w:tcBorders>
              <w:top w:val="nil"/>
              <w:left w:val="single" w:color="auto" w:sz="4" w:space="0"/>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color w:val="auto"/>
                <w:sz w:val="24"/>
                <w:lang w:eastAsia="zh-CN" w:bidi="ar-SA"/>
              </w:rPr>
            </w:pPr>
            <w:r>
              <w:rPr>
                <w:rFonts w:hint="eastAsia" w:ascii="仿宋" w:hAnsi="仿宋" w:eastAsia="仿宋" w:cs="仿宋"/>
                <w:sz w:val="24"/>
                <w:lang w:eastAsia="zh-CN" w:bidi="ar"/>
              </w:rPr>
              <w:t>2025.5.20</w:t>
            </w:r>
          </w:p>
        </w:tc>
        <w:tc>
          <w:tcPr>
            <w:tcW w:w="2190" w:type="dxa"/>
            <w:tcBorders>
              <w:top w:val="nil"/>
              <w:left w:val="nil"/>
              <w:bottom w:val="single" w:color="auto" w:sz="4" w:space="0"/>
              <w:right w:val="single" w:color="auto" w:sz="4" w:space="0"/>
            </w:tcBorders>
            <w:noWrap/>
            <w:vAlign w:val="center"/>
          </w:tcPr>
          <w:p>
            <w:pPr>
              <w:widowControl/>
              <w:ind w:right="314" w:rightChars="98" w:firstLine="0" w:firstLineChars="0"/>
              <w:jc w:val="right"/>
              <w:textAlignment w:val="center"/>
              <w:rPr>
                <w:rFonts w:hint="eastAsia" w:ascii="仿宋" w:hAnsi="仿宋" w:eastAsia="仿宋" w:cs="仿宋"/>
                <w:color w:val="auto"/>
                <w:sz w:val="24"/>
                <w:lang w:eastAsia="zh-CN" w:bidi="ar-SA"/>
              </w:rPr>
            </w:pPr>
            <w:r>
              <w:rPr>
                <w:rFonts w:hint="eastAsia" w:ascii="仿宋" w:hAnsi="仿宋" w:eastAsia="仿宋" w:cs="仿宋"/>
                <w:sz w:val="24"/>
                <w:lang w:eastAsia="zh-CN" w:bidi="ar"/>
              </w:rPr>
              <w:t>32,077.41</w:t>
            </w:r>
          </w:p>
        </w:tc>
        <w:tc>
          <w:tcPr>
            <w:tcW w:w="1860" w:type="dxa"/>
            <w:tcBorders>
              <w:top w:val="single" w:color="auto" w:sz="4" w:space="0"/>
              <w:left w:val="nil"/>
              <w:bottom w:val="single" w:color="auto" w:sz="4" w:space="0"/>
              <w:right w:val="single" w:color="auto" w:sz="4" w:space="0"/>
            </w:tcBorders>
            <w:vAlign w:val="center"/>
          </w:tcPr>
          <w:p>
            <w:pPr>
              <w:widowControl/>
              <w:ind w:firstLine="0" w:firstLineChars="0"/>
              <w:jc w:val="center"/>
              <w:textAlignment w:val="center"/>
              <w:rPr>
                <w:rFonts w:hint="eastAsia" w:ascii="仿宋" w:hAnsi="仿宋" w:eastAsia="仿宋" w:cs="仿宋"/>
                <w:color w:val="auto"/>
                <w:sz w:val="24"/>
                <w:lang w:eastAsia="zh-CN" w:bidi="ar-SA"/>
              </w:rPr>
            </w:pPr>
            <w:r>
              <w:rPr>
                <w:rFonts w:hint="eastAsia" w:ascii="仿宋" w:hAnsi="仿宋" w:eastAsia="仿宋" w:cs="仿宋"/>
                <w:sz w:val="24"/>
                <w:lang w:eastAsia="zh-CN" w:bidi="ar"/>
              </w:rPr>
              <w:t>20.00%</w:t>
            </w:r>
          </w:p>
        </w:tc>
        <w:tc>
          <w:tcPr>
            <w:tcW w:w="2329" w:type="dxa"/>
            <w:tcBorders>
              <w:top w:val="single" w:color="auto" w:sz="4" w:space="0"/>
              <w:left w:val="single" w:color="auto" w:sz="4" w:space="0"/>
              <w:bottom w:val="single" w:color="auto" w:sz="4" w:space="0"/>
              <w:right w:val="single" w:color="auto" w:sz="4" w:space="0"/>
            </w:tcBorders>
            <w:noWrap/>
            <w:vAlign w:val="center"/>
          </w:tcPr>
          <w:p>
            <w:pPr>
              <w:widowControl/>
              <w:ind w:right="314" w:rightChars="98" w:firstLine="0" w:firstLineChars="0"/>
              <w:jc w:val="right"/>
              <w:textAlignment w:val="center"/>
              <w:rPr>
                <w:rFonts w:hint="eastAsia" w:ascii="仿宋" w:hAnsi="仿宋" w:eastAsia="仿宋" w:cs="仿宋"/>
                <w:sz w:val="24"/>
                <w:lang w:eastAsia="zh-CN" w:bidi="ar"/>
              </w:rPr>
            </w:pPr>
            <w:r>
              <w:rPr>
                <w:rFonts w:hint="eastAsia" w:ascii="仿宋" w:hAnsi="仿宋" w:eastAsia="仿宋" w:cs="仿宋"/>
                <w:sz w:val="24"/>
                <w:lang w:eastAsia="zh-CN" w:bidi="ar"/>
              </w:rPr>
              <w:t>0.54</w:t>
            </w:r>
          </w:p>
        </w:tc>
      </w:tr>
      <w:tr>
        <w:tblPrEx>
          <w:tblCellMar>
            <w:top w:w="0" w:type="dxa"/>
            <w:left w:w="108" w:type="dxa"/>
            <w:bottom w:w="0" w:type="dxa"/>
            <w:right w:w="108" w:type="dxa"/>
          </w:tblCellMar>
        </w:tblPrEx>
        <w:trPr>
          <w:trHeight w:val="600" w:hRule="atLeast"/>
        </w:trPr>
        <w:tc>
          <w:tcPr>
            <w:tcW w:w="1974" w:type="dxa"/>
            <w:tcBorders>
              <w:top w:val="nil"/>
              <w:left w:val="single" w:color="auto" w:sz="4" w:space="0"/>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color w:val="auto"/>
                <w:sz w:val="24"/>
                <w:lang w:eastAsia="zh-CN" w:bidi="ar-SA"/>
              </w:rPr>
            </w:pPr>
            <w:r>
              <w:rPr>
                <w:rFonts w:hint="eastAsia" w:ascii="仿宋" w:hAnsi="仿宋" w:eastAsia="仿宋" w:cs="仿宋"/>
                <w:sz w:val="24"/>
                <w:lang w:eastAsia="zh-CN" w:bidi="ar"/>
              </w:rPr>
              <w:t>合计</w:t>
            </w:r>
          </w:p>
        </w:tc>
        <w:tc>
          <w:tcPr>
            <w:tcW w:w="2190" w:type="dxa"/>
            <w:tcBorders>
              <w:top w:val="nil"/>
              <w:left w:val="nil"/>
              <w:bottom w:val="single" w:color="auto" w:sz="4" w:space="0"/>
              <w:right w:val="single" w:color="auto" w:sz="4" w:space="0"/>
            </w:tcBorders>
            <w:noWrap/>
            <w:vAlign w:val="center"/>
          </w:tcPr>
          <w:p>
            <w:pPr>
              <w:widowControl/>
              <w:ind w:right="314" w:rightChars="98" w:firstLine="0" w:firstLineChars="0"/>
              <w:jc w:val="right"/>
              <w:textAlignment w:val="center"/>
              <w:rPr>
                <w:rFonts w:hint="eastAsia" w:ascii="仿宋" w:hAnsi="仿宋" w:eastAsia="仿宋" w:cs="仿宋"/>
                <w:color w:val="auto"/>
                <w:sz w:val="24"/>
                <w:lang w:eastAsia="zh-CN" w:bidi="ar-SA"/>
              </w:rPr>
            </w:pPr>
            <w:r>
              <w:rPr>
                <w:rFonts w:hint="eastAsia" w:ascii="仿宋" w:hAnsi="仿宋" w:eastAsia="仿宋" w:cs="仿宋"/>
                <w:sz w:val="24"/>
                <w:lang w:eastAsia="zh-CN" w:bidi="ar"/>
              </w:rPr>
              <w:t>196,607.43</w:t>
            </w:r>
          </w:p>
        </w:tc>
        <w:tc>
          <w:tcPr>
            <w:tcW w:w="1860" w:type="dxa"/>
            <w:tcBorders>
              <w:top w:val="single" w:color="auto" w:sz="4" w:space="0"/>
              <w:left w:val="nil"/>
              <w:bottom w:val="single" w:color="auto" w:sz="4" w:space="0"/>
              <w:right w:val="single" w:color="auto" w:sz="4" w:space="0"/>
            </w:tcBorders>
            <w:vAlign w:val="center"/>
          </w:tcPr>
          <w:p>
            <w:pPr>
              <w:widowControl/>
              <w:ind w:firstLine="0" w:firstLineChars="0"/>
              <w:jc w:val="center"/>
              <w:textAlignment w:val="center"/>
              <w:rPr>
                <w:rFonts w:hint="eastAsia" w:ascii="仿宋" w:hAnsi="仿宋" w:eastAsia="仿宋" w:cs="仿宋"/>
                <w:color w:val="auto"/>
                <w:sz w:val="24"/>
                <w:lang w:eastAsia="zh-CN" w:bidi="ar-SA"/>
              </w:rPr>
            </w:pPr>
            <w:r>
              <w:rPr>
                <w:rFonts w:hint="eastAsia" w:ascii="仿宋" w:hAnsi="仿宋" w:eastAsia="仿宋" w:cs="仿宋"/>
                <w:sz w:val="24"/>
                <w:lang w:eastAsia="zh-CN" w:bidi="ar"/>
              </w:rPr>
              <w:t>100.00%</w:t>
            </w:r>
          </w:p>
        </w:tc>
        <w:tc>
          <w:tcPr>
            <w:tcW w:w="2329" w:type="dxa"/>
            <w:tcBorders>
              <w:top w:val="single" w:color="auto" w:sz="4" w:space="0"/>
              <w:left w:val="single" w:color="auto" w:sz="4" w:space="0"/>
              <w:bottom w:val="single" w:color="auto" w:sz="4" w:space="0"/>
              <w:right w:val="single" w:color="auto" w:sz="4" w:space="0"/>
            </w:tcBorders>
            <w:noWrap/>
            <w:vAlign w:val="center"/>
          </w:tcPr>
          <w:p>
            <w:pPr>
              <w:ind w:firstLine="0" w:firstLineChars="0"/>
              <w:rPr>
                <w:rFonts w:hint="eastAsia" w:ascii="仿宋" w:hAnsi="仿宋" w:eastAsia="仿宋" w:cs="仿宋"/>
                <w:color w:val="auto"/>
                <w:sz w:val="24"/>
                <w:lang w:eastAsia="zh-CN" w:bidi="ar-SA"/>
              </w:rPr>
            </w:pPr>
          </w:p>
        </w:tc>
      </w:tr>
    </w:tbl>
    <w:p>
      <w:pPr>
        <w:pStyle w:val="5"/>
        <w:numPr>
          <w:ilvl w:val="0"/>
          <w:numId w:val="3"/>
        </w:numPr>
        <w:tabs>
          <w:tab w:val="left" w:pos="1418"/>
        </w:tabs>
        <w:ind w:left="0" w:firstLine="608"/>
        <w:rPr>
          <w:rFonts w:hint="eastAsia" w:ascii="仿宋" w:hAnsi="仿宋" w:eastAsia="仿宋" w:cs="仿宋"/>
          <w:b w:val="0"/>
          <w:bCs/>
          <w:color w:val="auto"/>
          <w:spacing w:val="-8"/>
          <w:szCs w:val="32"/>
          <w:lang w:eastAsia="zh-CN"/>
        </w:rPr>
      </w:pPr>
      <w:r>
        <w:rPr>
          <w:rFonts w:hint="eastAsia" w:ascii="仿宋" w:hAnsi="仿宋" w:eastAsia="仿宋" w:cs="仿宋"/>
          <w:b w:val="0"/>
          <w:bCs/>
          <w:color w:val="auto"/>
          <w:spacing w:val="-8"/>
          <w:szCs w:val="32"/>
          <w:lang w:eastAsia="zh-CN"/>
        </w:rPr>
        <w:t>资金结余情况</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乐山市金口河区金河镇新坪村村道水毁治理工程经《乐山市金口河区发展和改革局关于乐山市金口河区金河镇新坪村村道水毁治理工程项目建议书批复》（金发改投资〔2024〕34号）</w:t>
      </w:r>
      <w:r>
        <w:rPr>
          <w:rFonts w:hint="eastAsia" w:ascii="仿宋" w:hAnsi="仿宋" w:eastAsia="仿宋" w:cs="仿宋"/>
          <w:bCs/>
          <w:szCs w:val="32"/>
          <w:lang w:val="en-US" w:eastAsia="zh-CN"/>
        </w:rPr>
        <w:t>文件批复</w:t>
      </w:r>
      <w:r>
        <w:rPr>
          <w:rFonts w:hint="eastAsia" w:ascii="仿宋" w:hAnsi="仿宋" w:eastAsia="仿宋" w:cs="仿宋"/>
          <w:bCs/>
          <w:szCs w:val="32"/>
          <w:lang w:eastAsia="zh-CN"/>
        </w:rPr>
        <w:t>，该项目计划总投资21万元。截止绩效评价日，该项目实际支出196,607.43元，资金结余13,392.57元。</w:t>
      </w:r>
    </w:p>
    <w:p>
      <w:pPr>
        <w:pStyle w:val="3"/>
        <w:numPr>
          <w:ilvl w:val="0"/>
          <w:numId w:val="1"/>
        </w:numPr>
        <w:spacing w:before="0" w:beforeLines="0" w:after="0" w:afterLines="0"/>
        <w:ind w:firstLineChars="0"/>
        <w:rPr>
          <w:rFonts w:hint="eastAsia" w:ascii="楷体" w:hAnsi="楷体" w:eastAsia="楷体" w:cs="楷体"/>
          <w:b w:val="0"/>
          <w:bCs/>
          <w:szCs w:val="32"/>
          <w:lang w:eastAsia="zh-CN"/>
        </w:rPr>
      </w:pPr>
      <w:bookmarkStart w:id="81" w:name="_Toc8112"/>
      <w:bookmarkStart w:id="82" w:name="_Toc300186741"/>
      <w:bookmarkStart w:id="83" w:name="_Toc2001376203_WPSOffice_Level2"/>
      <w:bookmarkStart w:id="84" w:name="_Toc179658317"/>
      <w:bookmarkStart w:id="85" w:name="_Toc386835874"/>
      <w:bookmarkStart w:id="86" w:name="_Toc132480960"/>
      <w:bookmarkStart w:id="87" w:name="_Toc1256897804"/>
      <w:bookmarkStart w:id="88" w:name="_Toc9253"/>
      <w:bookmarkStart w:id="89" w:name="_Toc510053535"/>
      <w:r>
        <w:rPr>
          <w:rFonts w:hint="eastAsia" w:ascii="楷体" w:hAnsi="楷体" w:eastAsia="楷体" w:cs="楷体"/>
          <w:b w:val="0"/>
          <w:bCs/>
          <w:szCs w:val="32"/>
          <w:lang w:eastAsia="zh-CN"/>
        </w:rPr>
        <w:t>项目绩效目标</w:t>
      </w:r>
      <w:bookmarkEnd w:id="81"/>
      <w:bookmarkEnd w:id="82"/>
      <w:bookmarkEnd w:id="83"/>
      <w:bookmarkEnd w:id="84"/>
      <w:bookmarkEnd w:id="85"/>
      <w:bookmarkEnd w:id="86"/>
      <w:bookmarkEnd w:id="87"/>
      <w:bookmarkEnd w:id="88"/>
      <w:bookmarkEnd w:id="89"/>
    </w:p>
    <w:p>
      <w:pPr>
        <w:pStyle w:val="4"/>
        <w:numPr>
          <w:ilvl w:val="0"/>
          <w:numId w:val="4"/>
        </w:numPr>
        <w:ind w:firstLineChars="0"/>
        <w:rPr>
          <w:rFonts w:hint="eastAsia" w:ascii="仿宋" w:hAnsi="仿宋" w:eastAsia="仿宋" w:cs="仿宋"/>
          <w:b w:val="0"/>
          <w:bCs/>
          <w:szCs w:val="32"/>
          <w:lang w:eastAsia="zh-CN"/>
        </w:rPr>
      </w:pPr>
      <w:bookmarkStart w:id="90" w:name="_Toc1117534849"/>
      <w:bookmarkStart w:id="91" w:name="_Toc1862527568"/>
      <w:bookmarkStart w:id="92" w:name="_Toc2032239936"/>
      <w:bookmarkStart w:id="93" w:name="_Toc130033883"/>
      <w:bookmarkStart w:id="94" w:name="_Toc18431"/>
      <w:bookmarkStart w:id="95" w:name="_Toc799469184"/>
      <w:bookmarkStart w:id="96" w:name="_Toc30674"/>
      <w:bookmarkStart w:id="97" w:name="_Toc1506002849_WPSOffice_Level3"/>
      <w:bookmarkStart w:id="98" w:name="_Toc1093480860_WPSOffice_Level1"/>
      <w:bookmarkStart w:id="99" w:name="_Toc132480961"/>
      <w:bookmarkStart w:id="100" w:name="_Toc1396703300"/>
      <w:bookmarkStart w:id="101" w:name="_Toc338550202"/>
      <w:bookmarkStart w:id="102" w:name="_Toc326378840"/>
      <w:bookmarkStart w:id="103" w:name="_Toc451760287"/>
      <w:bookmarkStart w:id="104" w:name="_Toc9538"/>
      <w:r>
        <w:rPr>
          <w:rFonts w:hint="eastAsia" w:ascii="仿宋" w:hAnsi="仿宋" w:eastAsia="仿宋" w:cs="仿宋"/>
          <w:b w:val="0"/>
          <w:bCs/>
          <w:szCs w:val="32"/>
          <w:lang w:eastAsia="zh-CN"/>
        </w:rPr>
        <w:t>总体目标</w:t>
      </w:r>
      <w:bookmarkEnd w:id="90"/>
      <w:bookmarkEnd w:id="91"/>
      <w:bookmarkEnd w:id="92"/>
      <w:bookmarkEnd w:id="93"/>
      <w:bookmarkEnd w:id="94"/>
      <w:bookmarkEnd w:id="95"/>
      <w:bookmarkEnd w:id="96"/>
      <w:bookmarkEnd w:id="97"/>
    </w:p>
    <w:p>
      <w:pPr>
        <w:ind w:firstLine="640"/>
        <w:rPr>
          <w:rFonts w:hint="eastAsia" w:ascii="仿宋" w:hAnsi="仿宋" w:eastAsia="仿宋" w:cs="仿宋"/>
          <w:bCs/>
          <w:szCs w:val="32"/>
          <w:lang w:eastAsia="zh-CN"/>
        </w:rPr>
      </w:pPr>
      <w:r>
        <w:rPr>
          <w:rFonts w:hint="eastAsia" w:ascii="仿宋" w:hAnsi="仿宋" w:eastAsia="仿宋" w:cs="仿宋"/>
          <w:lang w:eastAsia="zh-CN"/>
        </w:rPr>
        <w:t>修复金河镇新坪村村内两处水毁道路，新修混凝土挡土墙约250立方米，更换、安装波形钢护栏约52米</w:t>
      </w:r>
      <w:r>
        <w:rPr>
          <w:rFonts w:hint="eastAsia" w:ascii="仿宋" w:hAnsi="仿宋" w:eastAsia="仿宋" w:cs="仿宋"/>
          <w:bCs/>
          <w:szCs w:val="32"/>
          <w:lang w:eastAsia="zh-CN"/>
        </w:rPr>
        <w:t>。</w:t>
      </w:r>
      <w:r>
        <w:rPr>
          <w:rFonts w:hint="eastAsia" w:ascii="仿宋" w:hAnsi="仿宋" w:eastAsia="仿宋" w:cs="仿宋"/>
          <w:lang w:eastAsia="zh-CN"/>
        </w:rPr>
        <w:t>项目建成后将切实解决新坪村村民道路出行安全问题，有效保障村民生命财产安全，提升人民群众满意度。</w:t>
      </w:r>
    </w:p>
    <w:p>
      <w:pPr>
        <w:pStyle w:val="4"/>
        <w:numPr>
          <w:ilvl w:val="0"/>
          <w:numId w:val="4"/>
        </w:numPr>
        <w:ind w:firstLineChars="0"/>
        <w:rPr>
          <w:rFonts w:hint="eastAsia" w:ascii="仿宋" w:hAnsi="仿宋" w:eastAsia="仿宋" w:cs="仿宋"/>
          <w:b w:val="0"/>
          <w:bCs/>
          <w:szCs w:val="32"/>
        </w:rPr>
      </w:pPr>
      <w:bookmarkStart w:id="105" w:name="_Toc2665"/>
      <w:bookmarkStart w:id="106" w:name="_Toc130033884"/>
      <w:bookmarkStart w:id="107" w:name="_Toc1147619601_WPSOffice_Level3"/>
      <w:bookmarkStart w:id="108" w:name="_Toc5641"/>
      <w:bookmarkStart w:id="109" w:name="_Toc2020879856"/>
      <w:bookmarkStart w:id="110" w:name="_Toc516230481"/>
      <w:bookmarkStart w:id="111" w:name="_Toc129198817"/>
      <w:bookmarkStart w:id="112" w:name="_Toc1779196704"/>
      <w:r>
        <w:rPr>
          <w:rFonts w:hint="eastAsia" w:ascii="仿宋" w:hAnsi="仿宋" w:eastAsia="仿宋" w:cs="仿宋"/>
          <w:b w:val="0"/>
          <w:bCs/>
          <w:szCs w:val="32"/>
        </w:rPr>
        <w:t>项目绩效目标</w:t>
      </w:r>
      <w:bookmarkEnd w:id="105"/>
      <w:bookmarkEnd w:id="106"/>
      <w:bookmarkEnd w:id="107"/>
      <w:bookmarkEnd w:id="108"/>
      <w:bookmarkEnd w:id="109"/>
      <w:bookmarkEnd w:id="110"/>
      <w:bookmarkEnd w:id="111"/>
      <w:bookmarkEnd w:id="112"/>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项目决策：立项规范、依据充分、项目绩效目标设定合理、绩效指标清晰可衡量。</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项目管理：预算准确、执行及时、项目内部管理制度健全，考核达标，财务管理制度健全、项目档案管理良好。</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项目产出：</w:t>
      </w:r>
      <w:r>
        <w:rPr>
          <w:rFonts w:hint="eastAsia" w:ascii="仿宋" w:hAnsi="仿宋" w:eastAsia="仿宋" w:cs="仿宋"/>
          <w:lang w:eastAsia="zh-CN"/>
        </w:rPr>
        <w:t>新修混凝土挡土墙约250立方米，更换、安装波形钢护栏约52米</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项目效益：</w:t>
      </w:r>
      <w:r>
        <w:rPr>
          <w:rFonts w:hint="eastAsia" w:ascii="仿宋" w:hAnsi="仿宋" w:eastAsia="仿宋" w:cs="仿宋"/>
          <w:lang w:eastAsia="zh-CN"/>
        </w:rPr>
        <w:t>项目建成后将切实解决新坪村村民道路出行安全问题，有效保障村民生命财产安全，提升人民群众满意度。</w:t>
      </w:r>
    </w:p>
    <w:p>
      <w:pPr>
        <w:pStyle w:val="2"/>
        <w:numPr>
          <w:numId w:val="0"/>
        </w:numPr>
        <w:spacing w:before="0" w:beforeLines="0" w:after="0" w:afterLines="0"/>
        <w:ind w:leftChars="0" w:firstLine="640" w:firstLineChars="200"/>
        <w:rPr>
          <w:rFonts w:hint="eastAsia" w:ascii="黑体" w:hAnsi="黑体" w:eastAsia="黑体" w:cs="黑体"/>
          <w:b w:val="0"/>
          <w:bCs/>
          <w:szCs w:val="32"/>
          <w:lang w:eastAsia="zh-CN"/>
        </w:rPr>
      </w:pPr>
      <w:bookmarkStart w:id="113" w:name="_Toc23845"/>
      <w:bookmarkStart w:id="114" w:name="_Toc179658318"/>
      <w:r>
        <w:rPr>
          <w:rFonts w:hint="eastAsia" w:ascii="黑体" w:hAnsi="黑体" w:eastAsia="黑体" w:cs="黑体"/>
          <w:b w:val="0"/>
          <w:bCs/>
          <w:szCs w:val="32"/>
          <w:lang w:eastAsia="zh-CN"/>
        </w:rPr>
        <w:t>二、绩效评价工作开展情况</w:t>
      </w:r>
      <w:bookmarkEnd w:id="98"/>
      <w:bookmarkEnd w:id="99"/>
      <w:bookmarkEnd w:id="100"/>
      <w:bookmarkEnd w:id="101"/>
      <w:bookmarkEnd w:id="102"/>
      <w:bookmarkEnd w:id="103"/>
      <w:bookmarkEnd w:id="104"/>
      <w:bookmarkEnd w:id="113"/>
      <w:bookmarkEnd w:id="114"/>
    </w:p>
    <w:p>
      <w:pPr>
        <w:pStyle w:val="3"/>
        <w:numPr>
          <w:ilvl w:val="0"/>
          <w:numId w:val="5"/>
        </w:numPr>
        <w:spacing w:before="0" w:beforeLines="0" w:after="0" w:afterLines="0"/>
        <w:ind w:firstLineChars="0"/>
        <w:rPr>
          <w:rFonts w:hint="eastAsia" w:ascii="楷体" w:hAnsi="楷体" w:eastAsia="楷体" w:cs="楷体"/>
          <w:b w:val="0"/>
          <w:bCs/>
          <w:szCs w:val="32"/>
          <w:lang w:eastAsia="zh-CN"/>
        </w:rPr>
      </w:pPr>
      <w:bookmarkStart w:id="115" w:name="_Toc1380451464"/>
      <w:bookmarkStart w:id="116" w:name="_Toc1329064111"/>
      <w:bookmarkStart w:id="117" w:name="_Toc775929442"/>
      <w:bookmarkStart w:id="118" w:name="_Toc24814"/>
      <w:bookmarkStart w:id="119" w:name="_Toc132480962"/>
      <w:bookmarkStart w:id="120" w:name="_Toc179658319"/>
      <w:bookmarkStart w:id="121" w:name="_Toc248617743"/>
      <w:bookmarkStart w:id="122" w:name="_Toc3276"/>
      <w:r>
        <w:rPr>
          <w:rFonts w:hint="eastAsia" w:ascii="楷体" w:hAnsi="楷体" w:eastAsia="楷体" w:cs="楷体"/>
          <w:b w:val="0"/>
          <w:bCs/>
          <w:szCs w:val="32"/>
          <w:lang w:eastAsia="zh-CN"/>
        </w:rPr>
        <w:t>绩效评价目的、对象和范围</w:t>
      </w:r>
      <w:bookmarkEnd w:id="115"/>
      <w:bookmarkEnd w:id="116"/>
      <w:bookmarkEnd w:id="117"/>
      <w:bookmarkEnd w:id="118"/>
      <w:bookmarkEnd w:id="119"/>
      <w:bookmarkEnd w:id="120"/>
      <w:bookmarkEnd w:id="121"/>
      <w:bookmarkEnd w:id="122"/>
    </w:p>
    <w:p>
      <w:pPr>
        <w:pStyle w:val="4"/>
        <w:numPr>
          <w:ilvl w:val="2"/>
          <w:numId w:val="6"/>
        </w:numPr>
        <w:tabs>
          <w:tab w:val="left" w:pos="1134"/>
        </w:tabs>
        <w:ind w:left="0" w:firstLine="709" w:firstLineChars="0"/>
        <w:rPr>
          <w:rFonts w:hint="eastAsia" w:ascii="仿宋" w:hAnsi="仿宋" w:eastAsia="仿宋" w:cs="仿宋"/>
          <w:b w:val="0"/>
          <w:bCs/>
          <w:szCs w:val="32"/>
          <w:lang w:eastAsia="zh-CN"/>
        </w:rPr>
      </w:pPr>
      <w:bookmarkStart w:id="123" w:name="_Toc1981916907"/>
      <w:bookmarkStart w:id="124" w:name="_Toc1093480860_WPSOffice_Level2"/>
      <w:bookmarkStart w:id="125" w:name="_Toc1662713186"/>
      <w:bookmarkStart w:id="126" w:name="_Toc1603101130"/>
      <w:bookmarkStart w:id="127" w:name="_Toc15630"/>
      <w:bookmarkStart w:id="128" w:name="_Toc130033887"/>
      <w:bookmarkStart w:id="129" w:name="_Toc1525427110"/>
      <w:bookmarkStart w:id="130" w:name="_Toc31144"/>
      <w:r>
        <w:rPr>
          <w:rFonts w:hint="eastAsia" w:ascii="仿宋" w:hAnsi="仿宋" w:eastAsia="仿宋" w:cs="仿宋"/>
          <w:b w:val="0"/>
          <w:bCs/>
          <w:szCs w:val="32"/>
          <w:lang w:eastAsia="zh-CN"/>
        </w:rPr>
        <w:t>绩效评价的目的</w:t>
      </w:r>
      <w:bookmarkEnd w:id="123"/>
      <w:bookmarkEnd w:id="124"/>
      <w:bookmarkEnd w:id="125"/>
      <w:bookmarkEnd w:id="126"/>
      <w:bookmarkEnd w:id="127"/>
      <w:bookmarkEnd w:id="128"/>
      <w:bookmarkEnd w:id="129"/>
      <w:bookmarkEnd w:id="130"/>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绩效评价是全过程预算绩效管理的重要环节，预算绩效管理主体根据设定的绩效目标，运用科学、合理的绩效评价指标、评价标准和评价方法，依据设定的绩效目标，对项目支出的经济性、效率性、效益性和公平性进行客观、公正的测量、分析和评判，从而提高财政资源配置效率和使用效益。本次通过对乐山市金口河区金河镇新坪村村道水毁治理工程的绩效评价，达到以下评价目的：</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（1）考察乐山市金口河区金河镇新坪村村道水毁治理工程实际完成情况，评估是否达到预期目标，如未达到预期目标，则对未完成原因进行分析，并提出针对性建议；</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（2）考察项目的实施过程是否合法、合规，财务管理和业务流程是否规范，执行是否有效，档案是否齐全；</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（3）考察项目的效益和效率，项目是否达到了预期目标，项目预算单位、市民是否满意，提高财政预算管理和提升财政资金绩效作用是否显著。</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财政支出绩效评价是建设效能、责任和廉洁政府的重要手段。为客观评价乐山市金口河区金河镇新坪村村道水毁治理工程的绩效，结合项目特点，我中心运用科学、规范的评价方法，制定了乐山市金口河区金河镇新坪村村道水毁治理工程绩效评价指标体系，客观地对项目进行综合性评价，剖析乐山市金口河区金河镇新坪村村道水毁治理工程支出在预算、管理及项目实施过程中存在的问题，探究其可能的原因，最后提出相应的解决对策。通过绩效评价，在项目资金管理中引入绩效管理理念，规范管理方式，总结项目管理经验，同时加强项目资金管理，优化财政支出结构，进一步提升财政资金使用效益和政府公共服务水平，为科学决策提供确实有力的依据。</w:t>
      </w:r>
    </w:p>
    <w:p>
      <w:pPr>
        <w:pStyle w:val="4"/>
        <w:numPr>
          <w:ilvl w:val="0"/>
          <w:numId w:val="6"/>
        </w:numPr>
        <w:ind w:firstLineChars="0"/>
        <w:rPr>
          <w:rFonts w:hint="eastAsia" w:ascii="仿宋" w:hAnsi="仿宋" w:eastAsia="仿宋" w:cs="仿宋"/>
          <w:b w:val="0"/>
          <w:bCs/>
          <w:szCs w:val="32"/>
        </w:rPr>
      </w:pPr>
      <w:bookmarkStart w:id="131" w:name="_Toc15818691"/>
      <w:bookmarkStart w:id="132" w:name="_Toc1193659884"/>
      <w:bookmarkStart w:id="133" w:name="_Toc130033888"/>
      <w:bookmarkStart w:id="134" w:name="_Toc22961"/>
      <w:bookmarkStart w:id="135" w:name="_Toc458607332"/>
      <w:bookmarkStart w:id="136" w:name="_Toc2115246641_WPSOffice_Level2"/>
      <w:bookmarkStart w:id="137" w:name="_Toc28636"/>
      <w:bookmarkStart w:id="138" w:name="_Toc990856648"/>
      <w:r>
        <w:rPr>
          <w:rFonts w:hint="eastAsia" w:ascii="仿宋" w:hAnsi="仿宋" w:eastAsia="仿宋" w:cs="仿宋"/>
          <w:b w:val="0"/>
          <w:bCs/>
          <w:szCs w:val="32"/>
        </w:rPr>
        <w:t>绩效评价的对象</w:t>
      </w:r>
      <w:bookmarkEnd w:id="131"/>
      <w:bookmarkEnd w:id="132"/>
      <w:bookmarkEnd w:id="133"/>
      <w:bookmarkEnd w:id="134"/>
      <w:bookmarkEnd w:id="135"/>
      <w:bookmarkEnd w:id="136"/>
      <w:bookmarkEnd w:id="137"/>
      <w:bookmarkEnd w:id="138"/>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本次绩效评价的对象为乐山市金口河区金河镇人民政府乐山市金口河区金河镇新坪村村道水毁治理工程。</w:t>
      </w:r>
    </w:p>
    <w:p>
      <w:pPr>
        <w:pStyle w:val="4"/>
        <w:numPr>
          <w:ilvl w:val="0"/>
          <w:numId w:val="6"/>
        </w:numPr>
        <w:ind w:firstLineChars="0"/>
        <w:rPr>
          <w:rFonts w:hint="eastAsia" w:ascii="仿宋" w:hAnsi="仿宋" w:eastAsia="仿宋" w:cs="仿宋"/>
          <w:b w:val="0"/>
          <w:bCs/>
          <w:szCs w:val="32"/>
          <w:lang w:eastAsia="zh-CN"/>
        </w:rPr>
      </w:pPr>
      <w:bookmarkStart w:id="139" w:name="_Toc1724251056"/>
      <w:bookmarkStart w:id="140" w:name="_Toc1739484098"/>
      <w:bookmarkStart w:id="141" w:name="_Toc494619841"/>
      <w:bookmarkStart w:id="142" w:name="_Toc130033889"/>
      <w:bookmarkStart w:id="143" w:name="_Toc5493"/>
      <w:bookmarkStart w:id="144" w:name="_Toc4899"/>
      <w:bookmarkStart w:id="145" w:name="_Toc1506002849_WPSOffice_Level2"/>
      <w:bookmarkStart w:id="146" w:name="_Toc49440114"/>
      <w:r>
        <w:rPr>
          <w:rFonts w:hint="eastAsia" w:ascii="仿宋" w:hAnsi="仿宋" w:eastAsia="仿宋" w:cs="仿宋"/>
          <w:b w:val="0"/>
          <w:bCs/>
          <w:szCs w:val="32"/>
          <w:lang w:eastAsia="zh-CN"/>
        </w:rPr>
        <w:t>绩效评价的范围</w:t>
      </w:r>
      <w:bookmarkEnd w:id="139"/>
      <w:bookmarkEnd w:id="140"/>
      <w:bookmarkEnd w:id="141"/>
      <w:bookmarkEnd w:id="142"/>
      <w:bookmarkEnd w:id="143"/>
      <w:bookmarkEnd w:id="144"/>
      <w:bookmarkEnd w:id="145"/>
      <w:bookmarkEnd w:id="146"/>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本次绩效评价的范围为乐山市金口河区金河镇新坪村村道水毁治理工程总体绩效目标、各项绩效指标完成情况以及预算执行情况。主要包括：决策情况；资金管理和使用情况；项目实施流程及采购合规性；实现的产出情况；取得的效益情况以及其他相关内容。</w:t>
      </w:r>
    </w:p>
    <w:p>
      <w:pPr>
        <w:pStyle w:val="3"/>
        <w:numPr>
          <w:ilvl w:val="0"/>
          <w:numId w:val="5"/>
        </w:numPr>
        <w:spacing w:before="0" w:beforeLines="0" w:after="0" w:afterLines="0"/>
        <w:ind w:left="0" w:firstLine="640" w:firstLineChars="0"/>
        <w:rPr>
          <w:rFonts w:hint="eastAsia" w:ascii="楷体" w:hAnsi="楷体" w:eastAsia="楷体" w:cs="楷体"/>
          <w:b w:val="0"/>
          <w:bCs/>
          <w:szCs w:val="32"/>
          <w:lang w:eastAsia="zh-CN"/>
        </w:rPr>
      </w:pPr>
      <w:bookmarkStart w:id="147" w:name="_Toc32534"/>
      <w:bookmarkStart w:id="148" w:name="_Toc4179"/>
      <w:bookmarkStart w:id="149" w:name="_Toc2011308256"/>
      <w:bookmarkStart w:id="150" w:name="_Toc1343165574"/>
      <w:bookmarkStart w:id="151" w:name="_Toc1814348475"/>
      <w:bookmarkStart w:id="152" w:name="_Toc179658320"/>
      <w:bookmarkStart w:id="153" w:name="_Toc132480963"/>
      <w:bookmarkStart w:id="154" w:name="_Toc166470150"/>
      <w:r>
        <w:rPr>
          <w:rFonts w:hint="eastAsia" w:ascii="楷体" w:hAnsi="楷体" w:eastAsia="楷体" w:cs="楷体"/>
          <w:b w:val="0"/>
          <w:bCs/>
          <w:szCs w:val="32"/>
          <w:lang w:eastAsia="zh-CN"/>
        </w:rPr>
        <w:t>绩效评价原则、评价指标体系、评价方法、评价标准</w:t>
      </w:r>
      <w:bookmarkEnd w:id="147"/>
      <w:bookmarkEnd w:id="148"/>
      <w:bookmarkEnd w:id="149"/>
      <w:bookmarkEnd w:id="150"/>
      <w:bookmarkEnd w:id="151"/>
      <w:bookmarkEnd w:id="152"/>
      <w:bookmarkEnd w:id="153"/>
      <w:bookmarkEnd w:id="154"/>
    </w:p>
    <w:p>
      <w:pPr>
        <w:pStyle w:val="4"/>
        <w:numPr>
          <w:ilvl w:val="0"/>
          <w:numId w:val="7"/>
        </w:numPr>
        <w:ind w:firstLineChars="0"/>
        <w:rPr>
          <w:rFonts w:hint="eastAsia" w:ascii="仿宋" w:hAnsi="仿宋" w:eastAsia="仿宋" w:cs="仿宋"/>
          <w:b w:val="0"/>
          <w:bCs/>
          <w:szCs w:val="32"/>
        </w:rPr>
      </w:pPr>
      <w:bookmarkStart w:id="155" w:name="_Toc1634515572"/>
      <w:bookmarkStart w:id="156" w:name="_Toc1492000300_WPSOffice_Level3"/>
      <w:bookmarkStart w:id="157" w:name="_Toc13724"/>
      <w:bookmarkStart w:id="158" w:name="_Toc517771165"/>
      <w:bookmarkStart w:id="159" w:name="_Toc235704954"/>
      <w:bookmarkStart w:id="160" w:name="_Toc1840102656"/>
      <w:bookmarkStart w:id="161" w:name="_Toc29575"/>
      <w:bookmarkStart w:id="162" w:name="_Toc130033891"/>
      <w:r>
        <w:rPr>
          <w:rFonts w:hint="eastAsia" w:ascii="仿宋" w:hAnsi="仿宋" w:eastAsia="仿宋" w:cs="仿宋"/>
          <w:b w:val="0"/>
          <w:bCs/>
          <w:szCs w:val="32"/>
        </w:rPr>
        <w:t>绩效评价的原则</w:t>
      </w:r>
      <w:bookmarkEnd w:id="155"/>
      <w:bookmarkEnd w:id="156"/>
      <w:bookmarkEnd w:id="157"/>
      <w:bookmarkEnd w:id="158"/>
      <w:bookmarkEnd w:id="159"/>
      <w:bookmarkEnd w:id="160"/>
      <w:bookmarkEnd w:id="161"/>
      <w:bookmarkEnd w:id="162"/>
    </w:p>
    <w:p>
      <w:pPr>
        <w:pStyle w:val="55"/>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科学规范原则。绩效评价应当严格执行规定的程序，</w:t>
      </w:r>
      <w:bookmarkStart w:id="163" w:name="_bookmark11"/>
      <w:bookmarkEnd w:id="163"/>
      <w:bookmarkStart w:id="164" w:name="_bookmark12"/>
      <w:bookmarkEnd w:id="164"/>
      <w:r>
        <w:rPr>
          <w:rFonts w:hint="eastAsia" w:ascii="仿宋" w:hAnsi="仿宋" w:eastAsia="仿宋" w:cs="仿宋"/>
          <w:bCs/>
          <w:spacing w:val="1"/>
          <w:szCs w:val="32"/>
          <w:lang w:eastAsia="zh-CN"/>
        </w:rPr>
        <w:t>按科学可行的要求，采用定量</w:t>
      </w:r>
      <w:r>
        <w:rPr>
          <w:rFonts w:hint="eastAsia" w:ascii="仿宋" w:hAnsi="仿宋" w:eastAsia="仿宋" w:cs="仿宋"/>
          <w:bCs/>
          <w:szCs w:val="32"/>
          <w:lang w:eastAsia="zh-CN"/>
        </w:rPr>
        <w:t>与定性分析相结合的方法。</w:t>
      </w:r>
    </w:p>
    <w:p>
      <w:pPr>
        <w:pStyle w:val="55"/>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公正公开原则。绩效评价应当符合真实、客观、公正</w:t>
      </w:r>
      <w:r>
        <w:rPr>
          <w:rFonts w:hint="eastAsia" w:ascii="仿宋" w:hAnsi="仿宋" w:eastAsia="仿宋" w:cs="仿宋"/>
          <w:bCs/>
          <w:spacing w:val="-2"/>
          <w:szCs w:val="32"/>
          <w:lang w:eastAsia="zh-CN"/>
        </w:rPr>
        <w:t>的要求，依法公开并接</w:t>
      </w:r>
      <w:r>
        <w:rPr>
          <w:rFonts w:hint="eastAsia" w:ascii="仿宋" w:hAnsi="仿宋" w:eastAsia="仿宋" w:cs="仿宋"/>
          <w:bCs/>
          <w:spacing w:val="-1"/>
          <w:szCs w:val="32"/>
          <w:lang w:eastAsia="zh-CN"/>
        </w:rPr>
        <w:t>受监督。</w:t>
      </w:r>
    </w:p>
    <w:p>
      <w:pPr>
        <w:pStyle w:val="55"/>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分级分类原则。绩效评价</w:t>
      </w:r>
      <w:r>
        <w:rPr>
          <w:rFonts w:hint="eastAsia" w:ascii="仿宋" w:hAnsi="仿宋" w:eastAsia="仿宋" w:cs="仿宋"/>
          <w:bCs/>
          <w:spacing w:val="8"/>
          <w:szCs w:val="32"/>
          <w:lang w:eastAsia="zh-CN"/>
        </w:rPr>
        <w:t>根据评价对象的特点分类组织实</w:t>
      </w:r>
      <w:r>
        <w:rPr>
          <w:rFonts w:hint="eastAsia" w:ascii="仿宋" w:hAnsi="仿宋" w:eastAsia="仿宋" w:cs="仿宋"/>
          <w:bCs/>
          <w:spacing w:val="5"/>
          <w:szCs w:val="32"/>
          <w:lang w:eastAsia="zh-CN"/>
        </w:rPr>
        <w:t>施。</w:t>
      </w:r>
    </w:p>
    <w:p>
      <w:pPr>
        <w:pStyle w:val="55"/>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绩效相关原则。绩效评价应当针对具体支出及其产出</w:t>
      </w:r>
      <w:r>
        <w:rPr>
          <w:rFonts w:hint="eastAsia" w:ascii="仿宋" w:hAnsi="仿宋" w:eastAsia="仿宋" w:cs="仿宋"/>
          <w:bCs/>
          <w:spacing w:val="-6"/>
          <w:szCs w:val="32"/>
          <w:lang w:eastAsia="zh-CN"/>
        </w:rPr>
        <w:t>绩效进行，评</w:t>
      </w:r>
      <w:r>
        <w:rPr>
          <w:rFonts w:hint="eastAsia" w:ascii="仿宋" w:hAnsi="仿宋" w:eastAsia="仿宋" w:cs="仿宋"/>
          <w:bCs/>
          <w:spacing w:val="-5"/>
          <w:szCs w:val="32"/>
          <w:lang w:eastAsia="zh-CN"/>
        </w:rPr>
        <w:t>价</w:t>
      </w:r>
      <w:r>
        <w:rPr>
          <w:rFonts w:hint="eastAsia" w:ascii="仿宋" w:hAnsi="仿宋" w:eastAsia="仿宋" w:cs="仿宋"/>
          <w:bCs/>
          <w:spacing w:val="-3"/>
          <w:szCs w:val="32"/>
          <w:lang w:eastAsia="zh-CN"/>
        </w:rPr>
        <w:t>结果应当清晰反映支出和产出绩效之间的紧密对</w:t>
      </w:r>
      <w:r>
        <w:rPr>
          <w:rFonts w:hint="eastAsia" w:ascii="仿宋" w:hAnsi="仿宋" w:eastAsia="仿宋" w:cs="仿宋"/>
          <w:bCs/>
          <w:spacing w:val="-7"/>
          <w:szCs w:val="32"/>
          <w:lang w:eastAsia="zh-CN"/>
        </w:rPr>
        <w:t>应</w:t>
      </w:r>
      <w:r>
        <w:rPr>
          <w:rFonts w:hint="eastAsia" w:ascii="仿宋" w:hAnsi="仿宋" w:eastAsia="仿宋" w:cs="仿宋"/>
          <w:bCs/>
          <w:spacing w:val="-5"/>
          <w:szCs w:val="32"/>
          <w:lang w:eastAsia="zh-CN"/>
        </w:rPr>
        <w:t>关系。</w:t>
      </w:r>
    </w:p>
    <w:p>
      <w:pPr>
        <w:pStyle w:val="4"/>
        <w:numPr>
          <w:ilvl w:val="0"/>
          <w:numId w:val="7"/>
        </w:numPr>
        <w:ind w:firstLineChars="0"/>
        <w:rPr>
          <w:rFonts w:hint="eastAsia" w:ascii="仿宋" w:hAnsi="仿宋" w:eastAsia="仿宋" w:cs="仿宋"/>
          <w:b w:val="0"/>
          <w:bCs/>
          <w:szCs w:val="32"/>
          <w:lang w:eastAsia="zh-CN"/>
        </w:rPr>
      </w:pPr>
      <w:bookmarkStart w:id="165" w:name="_Toc11329"/>
      <w:bookmarkStart w:id="166" w:name="_Toc130033892"/>
      <w:bookmarkStart w:id="167" w:name="_Toc6461"/>
      <w:bookmarkStart w:id="168" w:name="_Toc693338945"/>
      <w:bookmarkStart w:id="169" w:name="_Toc2029979728_WPSOffice_Level3"/>
      <w:bookmarkStart w:id="170" w:name="_Toc576232511"/>
      <w:bookmarkStart w:id="171" w:name="_Toc1533316810"/>
      <w:bookmarkStart w:id="172" w:name="_Toc692406180"/>
      <w:r>
        <w:rPr>
          <w:rFonts w:hint="eastAsia" w:ascii="仿宋" w:hAnsi="仿宋" w:eastAsia="仿宋" w:cs="仿宋"/>
          <w:b w:val="0"/>
          <w:bCs/>
          <w:szCs w:val="32"/>
          <w:lang w:eastAsia="zh-CN"/>
        </w:rPr>
        <w:t>评价依据</w:t>
      </w:r>
      <w:bookmarkEnd w:id="165"/>
      <w:bookmarkEnd w:id="166"/>
    </w:p>
    <w:p>
      <w:pPr>
        <w:ind w:firstLine="672"/>
        <w:rPr>
          <w:rFonts w:hint="eastAsia" w:ascii="仿宋" w:hAnsi="仿宋" w:eastAsia="仿宋" w:cs="仿宋"/>
          <w:bCs/>
          <w:szCs w:val="32"/>
          <w:lang w:eastAsia="zh-CN"/>
        </w:rPr>
      </w:pPr>
      <w:bookmarkStart w:id="173" w:name="_Toc17206"/>
      <w:r>
        <w:rPr>
          <w:rFonts w:hint="eastAsia" w:ascii="仿宋" w:hAnsi="仿宋" w:eastAsia="仿宋" w:cs="仿宋"/>
          <w:bCs/>
          <w:spacing w:val="8"/>
          <w:szCs w:val="32"/>
          <w:lang w:eastAsia="zh-CN"/>
        </w:rPr>
        <w:t>(1)</w:t>
      </w:r>
      <w:r>
        <w:rPr>
          <w:rFonts w:hint="eastAsia" w:ascii="仿宋" w:hAnsi="仿宋" w:eastAsia="仿宋" w:cs="仿宋"/>
          <w:bCs/>
          <w:szCs w:val="32"/>
          <w:lang w:val="zh-CN" w:eastAsia="zh-CN"/>
        </w:rPr>
        <w:t>《</w:t>
      </w:r>
      <w:r>
        <w:rPr>
          <w:rFonts w:hint="eastAsia" w:ascii="仿宋" w:hAnsi="仿宋" w:eastAsia="仿宋" w:cs="仿宋"/>
          <w:bCs/>
          <w:szCs w:val="32"/>
          <w:lang w:eastAsia="zh-CN"/>
        </w:rPr>
        <w:t>中共中央国务院关于全面实施预算绩效管理的意见》（中发〔2018〕34号）；</w:t>
      </w:r>
    </w:p>
    <w:p>
      <w:pPr>
        <w:ind w:firstLine="672"/>
        <w:rPr>
          <w:rFonts w:hint="eastAsia" w:ascii="仿宋" w:hAnsi="仿宋" w:eastAsia="仿宋" w:cs="仿宋"/>
          <w:bCs/>
          <w:szCs w:val="32"/>
          <w:lang w:eastAsia="zh-CN"/>
        </w:rPr>
      </w:pPr>
      <w:r>
        <w:rPr>
          <w:rFonts w:hint="eastAsia" w:ascii="仿宋" w:hAnsi="仿宋" w:eastAsia="仿宋" w:cs="仿宋"/>
          <w:bCs/>
          <w:spacing w:val="8"/>
          <w:szCs w:val="32"/>
          <w:lang w:eastAsia="zh-CN"/>
        </w:rPr>
        <w:t>(2)</w:t>
      </w:r>
      <w:r>
        <w:rPr>
          <w:rFonts w:hint="eastAsia" w:ascii="仿宋" w:hAnsi="仿宋" w:eastAsia="仿宋" w:cs="仿宋"/>
          <w:bCs/>
          <w:szCs w:val="32"/>
          <w:lang w:eastAsia="zh-CN"/>
        </w:rPr>
        <w:t>《中共四川省委四川省人民政府关于全面实施预算绩效管理的实施意见》（川委发〔2019〕8号）；</w:t>
      </w:r>
    </w:p>
    <w:p>
      <w:pPr>
        <w:ind w:firstLine="640"/>
        <w:rPr>
          <w:rFonts w:hint="eastAsia" w:ascii="仿宋" w:hAnsi="仿宋" w:eastAsia="仿宋" w:cs="仿宋"/>
          <w:bCs/>
          <w:spacing w:val="8"/>
          <w:szCs w:val="32"/>
          <w:lang w:eastAsia="zh-CN"/>
        </w:rPr>
      </w:pPr>
      <w:r>
        <w:rPr>
          <w:rFonts w:hint="eastAsia" w:ascii="仿宋" w:hAnsi="仿宋" w:eastAsia="仿宋" w:cs="仿宋"/>
          <w:bCs/>
          <w:szCs w:val="32"/>
          <w:lang w:eastAsia="zh-CN"/>
        </w:rPr>
        <w:t>(3)《中共乐山市委办公室乐山市人民政府办公室关于印发全面实施预算绩效管理实施方案的通知》（乐委办发〔2020〕12号）；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(4)乐山市沙湾区财政局、乐山市金口河区财政局《关于印发&lt;乐山市沙湾区先发带后发结对帮扶资金共同管理办法&gt;的通知》(乐沙财政〔2023〕6号)；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(5)乐山市沙湾区乡村振兴局、乐山市金口河区乡村振兴局《关于印发&lt;乐山沙湾区先发带后发结对帮扶金口河区项目管理办法&gt;的通知》(乐沙乡振〔2023〕17号)；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(6)《乐山市金口河区金河镇人民政府关于申报2024年沙湾区先发带后发结对帮扶金口河区项目的请示》（金镇府〔2024〕9号）；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(7)《乐山市沙湾区先发带后发结对帮扶金口河区工作队关于&lt;关于申报2024年沙湾区结对帮扶金口河区发展项目的请示&gt;的批复》（乐沙扶复〔2024〕2号）；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(8)《乐山市金口河区发展和改革局关于乐山市金口河区金河镇新坪村村道水毁治理工程项目建议书批复》（金发改投资〔2024〕34号）；</w:t>
      </w:r>
    </w:p>
    <w:p>
      <w:pPr>
        <w:ind w:firstLine="640"/>
        <w:rPr>
          <w:rFonts w:hint="eastAsia" w:ascii="仿宋" w:hAnsi="仿宋" w:eastAsia="仿宋" w:cs="仿宋"/>
          <w:bCs/>
          <w:szCs w:val="32"/>
          <w:highlight w:val="none"/>
          <w:lang w:eastAsia="zh-CN"/>
        </w:rPr>
      </w:pPr>
      <w:r>
        <w:rPr>
          <w:rFonts w:hint="eastAsia" w:ascii="仿宋" w:hAnsi="仿宋" w:eastAsia="仿宋" w:cs="仿宋"/>
          <w:bCs/>
          <w:szCs w:val="32"/>
          <w:highlight w:val="none"/>
          <w:lang w:eastAsia="zh-CN"/>
        </w:rPr>
        <w:t>(9)《乐山市金口河区财政局关于对乐山市金口河区金河镇新坪村村道水毁治理工程预算财政评审结果确认函》（金财确函〔2024〕41号）；</w:t>
      </w:r>
    </w:p>
    <w:p>
      <w:pPr>
        <w:ind w:firstLine="640"/>
        <w:rPr>
          <w:rFonts w:hint="eastAsia" w:ascii="仿宋" w:hAnsi="仿宋" w:eastAsia="仿宋" w:cs="仿宋"/>
          <w:bCs/>
          <w:szCs w:val="32"/>
          <w:highlight w:val="none"/>
          <w:lang w:eastAsia="zh-CN"/>
        </w:rPr>
      </w:pPr>
      <w:r>
        <w:rPr>
          <w:rFonts w:hint="eastAsia" w:ascii="仿宋" w:hAnsi="仿宋" w:eastAsia="仿宋" w:cs="仿宋"/>
          <w:bCs/>
          <w:spacing w:val="8"/>
          <w:szCs w:val="32"/>
          <w:highlight w:val="none"/>
          <w:lang w:eastAsia="zh-CN"/>
        </w:rPr>
        <w:t>(10)</w:t>
      </w:r>
      <w:r>
        <w:rPr>
          <w:rFonts w:hint="eastAsia" w:ascii="仿宋" w:hAnsi="仿宋" w:eastAsia="仿宋" w:cs="仿宋"/>
          <w:bCs/>
          <w:szCs w:val="32"/>
          <w:highlight w:val="none"/>
          <w:lang w:eastAsia="zh-CN"/>
        </w:rPr>
        <w:t>《乐山市金口河区财政局关于乐山市金口河区金河镇新坪村村道水毁治理工程的结算财政评审结果确认函》（金财结函〔2024〕74号）；</w:t>
      </w:r>
    </w:p>
    <w:p>
      <w:pPr>
        <w:pStyle w:val="55"/>
        <w:tabs>
          <w:tab w:val="left" w:pos="0"/>
        </w:tabs>
        <w:ind w:left="566" w:leftChars="177" w:firstLine="0" w:firstLineChars="0"/>
        <w:rPr>
          <w:rFonts w:hint="eastAsia" w:ascii="仿宋" w:hAnsi="仿宋" w:eastAsia="仿宋" w:cs="仿宋"/>
          <w:bCs/>
          <w:spacing w:val="8"/>
          <w:szCs w:val="32"/>
          <w:lang w:eastAsia="zh-CN"/>
        </w:rPr>
      </w:pPr>
      <w:r>
        <w:rPr>
          <w:rFonts w:hint="eastAsia" w:ascii="仿宋" w:hAnsi="仿宋" w:eastAsia="仿宋" w:cs="仿宋"/>
          <w:bCs/>
          <w:spacing w:val="8"/>
          <w:szCs w:val="32"/>
          <w:lang w:eastAsia="zh-CN"/>
        </w:rPr>
        <w:t>(1</w:t>
      </w:r>
      <w:r>
        <w:rPr>
          <w:rFonts w:hint="eastAsia" w:ascii="仿宋" w:hAnsi="仿宋" w:eastAsia="仿宋" w:cs="仿宋"/>
          <w:bCs/>
          <w:spacing w:val="8"/>
          <w:szCs w:val="32"/>
          <w:lang w:val="en-US" w:eastAsia="zh-CN"/>
        </w:rPr>
        <w:t>1</w:t>
      </w:r>
      <w:r>
        <w:rPr>
          <w:rFonts w:hint="eastAsia" w:ascii="仿宋" w:hAnsi="仿宋" w:eastAsia="仿宋" w:cs="仿宋"/>
          <w:bCs/>
          <w:spacing w:val="8"/>
          <w:szCs w:val="32"/>
          <w:lang w:eastAsia="zh-CN"/>
        </w:rPr>
        <w:t>)其他与本次评价相关的制度、文件等资料。</w:t>
      </w:r>
      <w:bookmarkEnd w:id="173"/>
    </w:p>
    <w:p>
      <w:pPr>
        <w:pStyle w:val="4"/>
        <w:numPr>
          <w:ilvl w:val="0"/>
          <w:numId w:val="7"/>
        </w:numPr>
        <w:ind w:firstLineChars="0"/>
        <w:rPr>
          <w:rFonts w:hint="eastAsia" w:ascii="仿宋" w:hAnsi="仿宋" w:eastAsia="仿宋" w:cs="仿宋"/>
          <w:b w:val="0"/>
          <w:bCs/>
          <w:szCs w:val="32"/>
        </w:rPr>
      </w:pPr>
      <w:bookmarkStart w:id="174" w:name="_Toc28512"/>
      <w:bookmarkStart w:id="175" w:name="_Toc130033893"/>
      <w:r>
        <w:rPr>
          <w:rFonts w:hint="eastAsia" w:ascii="仿宋" w:hAnsi="仿宋" w:eastAsia="仿宋" w:cs="仿宋"/>
          <w:b w:val="0"/>
          <w:bCs/>
          <w:szCs w:val="32"/>
        </w:rPr>
        <w:t>评价指标体系</w:t>
      </w:r>
      <w:bookmarkEnd w:id="167"/>
      <w:bookmarkEnd w:id="168"/>
      <w:bookmarkEnd w:id="169"/>
      <w:bookmarkEnd w:id="170"/>
      <w:bookmarkEnd w:id="171"/>
      <w:bookmarkEnd w:id="172"/>
      <w:bookmarkEnd w:id="174"/>
      <w:bookmarkEnd w:id="175"/>
    </w:p>
    <w:p>
      <w:pPr>
        <w:ind w:firstLine="640"/>
        <w:rPr>
          <w:rFonts w:hint="eastAsia" w:ascii="仿宋" w:hAnsi="仿宋" w:eastAsia="仿宋" w:cs="仿宋"/>
          <w:bCs/>
          <w:szCs w:val="32"/>
          <w:lang w:eastAsia="zh-CN"/>
        </w:rPr>
      </w:pPr>
      <w:bookmarkStart w:id="176" w:name="_Toc14967"/>
      <w:bookmarkStart w:id="177" w:name="_Toc651861670"/>
      <w:bookmarkStart w:id="178" w:name="_Toc130033894"/>
      <w:bookmarkStart w:id="179" w:name="_Toc56784167"/>
      <w:bookmarkStart w:id="180" w:name="_Toc796588607_WPSOffice_Level3"/>
      <w:bookmarkStart w:id="181" w:name="_Toc1736048054"/>
      <w:bookmarkStart w:id="182" w:name="_Toc701379993"/>
      <w:bookmarkStart w:id="183" w:name="_Toc29808"/>
      <w:r>
        <w:rPr>
          <w:rFonts w:hint="eastAsia" w:ascii="仿宋" w:hAnsi="仿宋" w:eastAsia="仿宋" w:cs="仿宋"/>
          <w:bCs/>
          <w:szCs w:val="32"/>
          <w:lang w:eastAsia="zh-CN"/>
        </w:rPr>
        <w:t>指标评价指标体系</w:t>
      </w:r>
      <w:r>
        <w:rPr>
          <w:rFonts w:hint="eastAsia" w:ascii="仿宋" w:hAnsi="仿宋" w:eastAsia="仿宋" w:cs="仿宋"/>
          <w:bCs/>
          <w:szCs w:val="32"/>
          <w:highlight w:val="none"/>
          <w:lang w:eastAsia="zh-CN"/>
        </w:rPr>
        <w:t>框架由4项一级指标、13项二级指标、22项三级指标构成，总分10</w:t>
      </w:r>
      <w:r>
        <w:rPr>
          <w:rFonts w:hint="eastAsia" w:ascii="仿宋" w:hAnsi="仿宋" w:eastAsia="仿宋" w:cs="仿宋"/>
          <w:bCs/>
          <w:szCs w:val="32"/>
          <w:lang w:eastAsia="zh-CN"/>
        </w:rPr>
        <w:t>0分。指标设计严格遵循问题导向的设计思路，优先选取最具代表性、最能直接反映产出和效益的核心指标，指标内涵明确、具体、可衡量；指标数据主要来源于政策文件、基础数据表、账务、问卷调查、访谈等。</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决策指标：20分。用于考察项目部门职能与发展的匹配程度、项目在立项过程中流程的规范性、绩效目标设定合理性以及资金到位等各项情况。指标设计从项目立项、绩效目标、资金投入三个方面进行考察评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（2）过程指标：20分。用于考察项目资金使用的合规性、执行的有效性。指标设计从资金管理和组织实施两个方面进行考察评价。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（3）产出指标：30分。用于考察项目实际完成效果。指标设计从数量、质量、时效、成本四个维度进行考察评价。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（4）效益指标：30分。用于综合考察项目资金投入后的效益实现程度</w:t>
      </w:r>
      <w:r>
        <w:rPr>
          <w:rFonts w:hint="eastAsia" w:ascii="仿宋" w:hAnsi="仿宋" w:eastAsia="仿宋" w:cs="仿宋"/>
          <w:bCs/>
          <w:szCs w:val="32"/>
          <w:highlight w:val="none"/>
          <w:lang w:eastAsia="zh-CN"/>
        </w:rPr>
        <w:t>，指标设计从社会效益、经济效益、环境效益、满意度四个维度进</w:t>
      </w:r>
      <w:r>
        <w:rPr>
          <w:rFonts w:hint="eastAsia" w:ascii="仿宋" w:hAnsi="仿宋" w:eastAsia="仿宋" w:cs="仿宋"/>
          <w:bCs/>
          <w:szCs w:val="32"/>
          <w:lang w:eastAsia="zh-CN"/>
        </w:rPr>
        <w:t>行考察评价。</w:t>
      </w:r>
    </w:p>
    <w:p>
      <w:pPr>
        <w:pStyle w:val="4"/>
        <w:numPr>
          <w:ilvl w:val="0"/>
          <w:numId w:val="7"/>
        </w:numPr>
        <w:ind w:firstLineChars="0"/>
        <w:rPr>
          <w:rFonts w:hint="eastAsia" w:ascii="仿宋" w:hAnsi="仿宋" w:eastAsia="仿宋" w:cs="仿宋"/>
          <w:b w:val="0"/>
          <w:bCs/>
          <w:szCs w:val="32"/>
        </w:rPr>
      </w:pPr>
      <w:r>
        <w:rPr>
          <w:rFonts w:hint="eastAsia" w:ascii="仿宋" w:hAnsi="仿宋" w:eastAsia="仿宋" w:cs="仿宋"/>
          <w:b w:val="0"/>
          <w:bCs/>
          <w:szCs w:val="32"/>
        </w:rPr>
        <w:t>评价方法</w:t>
      </w:r>
      <w:bookmarkEnd w:id="176"/>
      <w:bookmarkEnd w:id="177"/>
      <w:bookmarkEnd w:id="178"/>
      <w:bookmarkEnd w:id="179"/>
      <w:bookmarkEnd w:id="180"/>
      <w:bookmarkEnd w:id="181"/>
      <w:bookmarkEnd w:id="182"/>
      <w:bookmarkEnd w:id="183"/>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评价组依据绩效评价原则确定了指标体系后，综合运用了以下评价方法：</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（1）比较法。是指通过对绩效目标与实施效果的比较，综合分析绩效目标的实现程度；</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（2）成本效益分析法。是指将投入与产出、效益进行关联性分析的方法；</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（3）因素分析法。是指通过综合分析影响绩效目标实现、实施效果的内外因素，评价绩效目标实现程度；</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（4）最低成本法。是指对效益不易计量的多个同类对象的实施成本进行比较，评价绩效目标实现程度；</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（5）公众评判法。是指通过专家评估、公众问卷及抽样调查等对预算支出效果进行评判，评价绩效目标实现程度；</w:t>
      </w:r>
    </w:p>
    <w:p>
      <w:pPr>
        <w:ind w:firstLine="640"/>
        <w:outlineLvl w:val="1"/>
        <w:rPr>
          <w:rFonts w:hint="eastAsia" w:ascii="仿宋" w:hAnsi="仿宋" w:eastAsia="仿宋" w:cs="仿宋"/>
          <w:bCs/>
          <w:szCs w:val="32"/>
          <w:lang w:eastAsia="zh-CN"/>
        </w:rPr>
      </w:pPr>
      <w:bookmarkStart w:id="184" w:name="_Toc9971"/>
      <w:bookmarkStart w:id="185" w:name="_Toc16994"/>
      <w:bookmarkStart w:id="186" w:name="_Toc179658321"/>
      <w:bookmarkStart w:id="187" w:name="_Toc22285"/>
      <w:r>
        <w:rPr>
          <w:rFonts w:hint="eastAsia" w:ascii="仿宋" w:hAnsi="仿宋" w:eastAsia="仿宋" w:cs="仿宋"/>
          <w:bCs/>
          <w:szCs w:val="32"/>
          <w:lang w:eastAsia="zh-CN"/>
        </w:rPr>
        <w:t>（6）其他评价方法。</w:t>
      </w:r>
      <w:bookmarkEnd w:id="184"/>
      <w:bookmarkEnd w:id="185"/>
      <w:bookmarkEnd w:id="186"/>
      <w:bookmarkEnd w:id="187"/>
    </w:p>
    <w:p>
      <w:pPr>
        <w:ind w:firstLine="632"/>
        <w:rPr>
          <w:rFonts w:hint="eastAsia" w:ascii="仿宋" w:hAnsi="仿宋" w:eastAsia="仿宋" w:cs="仿宋"/>
          <w:bCs/>
          <w:spacing w:val="-1"/>
          <w:szCs w:val="32"/>
          <w:lang w:eastAsia="zh-CN"/>
        </w:rPr>
      </w:pPr>
      <w:r>
        <w:rPr>
          <w:rFonts w:hint="eastAsia" w:ascii="仿宋" w:hAnsi="仿宋" w:eastAsia="仿宋" w:cs="仿宋"/>
          <w:bCs/>
          <w:spacing w:val="-2"/>
          <w:szCs w:val="32"/>
          <w:lang w:eastAsia="zh-CN"/>
        </w:rPr>
        <w:t>结合本项目特点，采用比</w:t>
      </w:r>
      <w:r>
        <w:rPr>
          <w:rFonts w:hint="eastAsia" w:ascii="仿宋" w:hAnsi="仿宋" w:eastAsia="仿宋" w:cs="仿宋"/>
          <w:bCs/>
          <w:spacing w:val="-1"/>
          <w:szCs w:val="32"/>
          <w:lang w:eastAsia="zh-CN"/>
        </w:rPr>
        <w:t>较法、因素分析法、公众评判法。</w:t>
      </w:r>
    </w:p>
    <w:p>
      <w:pPr>
        <w:pStyle w:val="4"/>
        <w:keepLines w:val="0"/>
        <w:numPr>
          <w:ilvl w:val="0"/>
          <w:numId w:val="7"/>
        </w:numPr>
        <w:ind w:firstLineChars="0"/>
        <w:rPr>
          <w:rFonts w:hint="eastAsia" w:ascii="仿宋" w:hAnsi="仿宋" w:eastAsia="仿宋" w:cs="仿宋"/>
          <w:b w:val="0"/>
          <w:bCs/>
          <w:szCs w:val="32"/>
          <w:lang w:eastAsia="zh-CN"/>
        </w:rPr>
      </w:pPr>
      <w:bookmarkStart w:id="188" w:name="_Toc10048"/>
      <w:bookmarkStart w:id="189" w:name="_Toc15748"/>
      <w:bookmarkStart w:id="190" w:name="_Toc1525004343"/>
      <w:bookmarkStart w:id="191" w:name="_Toc130033895"/>
      <w:bookmarkStart w:id="192" w:name="_Toc851662451_WPSOffice_Level3"/>
      <w:bookmarkStart w:id="193" w:name="_Toc555803968"/>
      <w:bookmarkStart w:id="194" w:name="_Toc2046815436"/>
      <w:bookmarkStart w:id="195" w:name="_Toc888755501"/>
      <w:r>
        <w:rPr>
          <w:rFonts w:hint="eastAsia" w:ascii="仿宋" w:hAnsi="仿宋" w:eastAsia="仿宋" w:cs="仿宋"/>
          <w:b w:val="0"/>
          <w:bCs/>
          <w:szCs w:val="32"/>
          <w:lang w:eastAsia="zh-CN"/>
        </w:rPr>
        <w:t>评价标准</w:t>
      </w:r>
      <w:bookmarkEnd w:id="188"/>
      <w:bookmarkEnd w:id="189"/>
      <w:bookmarkEnd w:id="190"/>
      <w:bookmarkEnd w:id="191"/>
      <w:bookmarkEnd w:id="192"/>
      <w:bookmarkEnd w:id="193"/>
      <w:bookmarkEnd w:id="194"/>
      <w:bookmarkEnd w:id="195"/>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评价标准按照定性与定量评价相结合的方法，在定量时，尽可能地做到详细和精确。</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绩效评价结果采取评分和评级相结合的方式，具体分值和等级可根据不同评价内容设定。总分一般设置为100分，等级一般划分为四档：90（含）-100分为优、80（含）-90分为良、60（含）-80分为中、60分以下为差。</w:t>
      </w:r>
    </w:p>
    <w:p>
      <w:pPr>
        <w:pStyle w:val="3"/>
        <w:numPr>
          <w:ilvl w:val="0"/>
          <w:numId w:val="5"/>
        </w:numPr>
        <w:spacing w:before="0" w:beforeLines="0" w:after="0" w:afterLines="0"/>
        <w:ind w:left="0" w:firstLine="640" w:firstLineChars="0"/>
        <w:rPr>
          <w:rFonts w:hint="eastAsia" w:ascii="楷体" w:hAnsi="楷体" w:eastAsia="楷体" w:cs="楷体"/>
          <w:b w:val="0"/>
          <w:bCs/>
          <w:szCs w:val="32"/>
          <w:lang w:eastAsia="zh-CN"/>
        </w:rPr>
      </w:pPr>
      <w:bookmarkStart w:id="196" w:name="_Toc13669"/>
      <w:bookmarkStart w:id="197" w:name="_Toc1990909373"/>
      <w:bookmarkStart w:id="198" w:name="_Toc286491559"/>
      <w:bookmarkStart w:id="199" w:name="_Toc19314"/>
      <w:bookmarkStart w:id="200" w:name="_Toc1564940422"/>
      <w:bookmarkStart w:id="201" w:name="_Toc179658322"/>
      <w:bookmarkStart w:id="202" w:name="_Toc530665856"/>
      <w:bookmarkStart w:id="203" w:name="_Toc132480964"/>
      <w:r>
        <w:rPr>
          <w:rFonts w:hint="eastAsia" w:ascii="楷体" w:hAnsi="楷体" w:eastAsia="楷体" w:cs="楷体"/>
          <w:b w:val="0"/>
          <w:bCs/>
          <w:szCs w:val="32"/>
          <w:lang w:eastAsia="zh-CN"/>
        </w:rPr>
        <w:t>绩效评价工作过程</w:t>
      </w:r>
      <w:bookmarkEnd w:id="196"/>
      <w:bookmarkEnd w:id="197"/>
      <w:bookmarkEnd w:id="198"/>
      <w:bookmarkEnd w:id="199"/>
      <w:bookmarkEnd w:id="200"/>
      <w:bookmarkEnd w:id="201"/>
      <w:bookmarkEnd w:id="202"/>
      <w:bookmarkEnd w:id="203"/>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按照统一安排，乐山市金口河区金河镇新坪村村道水毁治理工程绩效评价工作由金口河区财政局委托我中心完成。为保障本次工作的顺利开展，本次项目评价工作开展包括前期准备、制定工作方案，现场核查及座谈交流，撰写评价报告等3个阶段，具体实施流程及内容如下：</w:t>
      </w:r>
    </w:p>
    <w:p>
      <w:pPr>
        <w:pStyle w:val="4"/>
        <w:ind w:firstLine="628"/>
        <w:rPr>
          <w:rFonts w:hint="eastAsia" w:ascii="仿宋" w:hAnsi="仿宋" w:eastAsia="仿宋" w:cs="仿宋"/>
          <w:b w:val="0"/>
          <w:bCs/>
          <w:szCs w:val="32"/>
          <w:lang w:eastAsia="zh-CN"/>
        </w:rPr>
      </w:pPr>
      <w:bookmarkStart w:id="204" w:name="_Toc130033897"/>
      <w:bookmarkStart w:id="205" w:name="_Toc22087"/>
      <w:r>
        <w:rPr>
          <w:rFonts w:hint="eastAsia" w:ascii="仿宋" w:hAnsi="仿宋" w:eastAsia="仿宋" w:cs="仿宋"/>
          <w:b w:val="0"/>
          <w:bCs/>
          <w:spacing w:val="-3"/>
          <w:szCs w:val="32"/>
          <w:lang w:eastAsia="zh-CN"/>
        </w:rPr>
        <w:t>1</w:t>
      </w:r>
      <w:r>
        <w:rPr>
          <w:rFonts w:hint="eastAsia" w:ascii="仿宋" w:hAnsi="仿宋" w:eastAsia="仿宋" w:cs="仿宋"/>
          <w:b w:val="0"/>
          <w:bCs/>
          <w:szCs w:val="32"/>
          <w:lang w:eastAsia="zh-CN"/>
        </w:rPr>
        <w:t>.项目启动阶段</w:t>
      </w:r>
      <w:bookmarkEnd w:id="204"/>
      <w:bookmarkEnd w:id="205"/>
    </w:p>
    <w:p>
      <w:pPr>
        <w:ind w:firstLine="600"/>
        <w:rPr>
          <w:rFonts w:hint="eastAsia" w:ascii="仿宋" w:hAnsi="仿宋" w:eastAsia="仿宋" w:cs="仿宋"/>
          <w:bCs/>
          <w:szCs w:val="32"/>
          <w:lang w:eastAsia="zh-CN"/>
        </w:rPr>
      </w:pPr>
      <w:r>
        <w:rPr>
          <w:rFonts w:hint="eastAsia" w:ascii="仿宋" w:hAnsi="仿宋" w:eastAsia="仿宋" w:cs="仿宋"/>
          <w:bCs/>
          <w:spacing w:val="-10"/>
          <w:szCs w:val="32"/>
          <w:lang w:eastAsia="zh-CN"/>
        </w:rPr>
        <w:t>由金口河区财政局</w:t>
      </w:r>
      <w:r>
        <w:rPr>
          <w:rFonts w:hint="eastAsia" w:ascii="仿宋" w:hAnsi="仿宋" w:eastAsia="仿宋" w:cs="仿宋"/>
          <w:bCs/>
          <w:szCs w:val="32"/>
          <w:lang w:eastAsia="zh-CN"/>
        </w:rPr>
        <w:t>召开会议布置绩效评价相关工作；协调组织</w:t>
      </w:r>
      <w:r>
        <w:rPr>
          <w:rFonts w:hint="eastAsia" w:ascii="仿宋" w:hAnsi="仿宋" w:eastAsia="仿宋" w:cs="仿宋"/>
          <w:bCs/>
          <w:spacing w:val="-1"/>
          <w:szCs w:val="32"/>
          <w:lang w:eastAsia="zh-CN"/>
        </w:rPr>
        <w:t>本次绩效</w:t>
      </w:r>
      <w:r>
        <w:rPr>
          <w:rFonts w:hint="eastAsia" w:ascii="仿宋" w:hAnsi="仿宋" w:eastAsia="仿宋" w:cs="仿宋"/>
          <w:bCs/>
          <w:szCs w:val="32"/>
          <w:lang w:eastAsia="zh-CN"/>
        </w:rPr>
        <w:t>评价的相关部门及人员。</w:t>
      </w:r>
    </w:p>
    <w:p>
      <w:pPr>
        <w:pStyle w:val="4"/>
        <w:ind w:firstLine="640"/>
        <w:rPr>
          <w:rFonts w:hint="eastAsia" w:ascii="仿宋" w:hAnsi="仿宋" w:eastAsia="仿宋" w:cs="仿宋"/>
          <w:b w:val="0"/>
          <w:bCs/>
          <w:szCs w:val="32"/>
          <w:lang w:eastAsia="zh-CN"/>
        </w:rPr>
      </w:pPr>
      <w:bookmarkStart w:id="206" w:name="_Toc130033898"/>
      <w:bookmarkStart w:id="207" w:name="_Toc13860"/>
      <w:r>
        <w:rPr>
          <w:rFonts w:hint="eastAsia" w:ascii="仿宋" w:hAnsi="仿宋" w:eastAsia="仿宋" w:cs="仿宋"/>
          <w:b w:val="0"/>
          <w:bCs/>
          <w:szCs w:val="32"/>
          <w:lang w:eastAsia="zh-CN"/>
        </w:rPr>
        <w:t>2.下达绩效评价通知</w:t>
      </w:r>
      <w:bookmarkEnd w:id="206"/>
      <w:bookmarkEnd w:id="207"/>
    </w:p>
    <w:p>
      <w:pPr>
        <w:ind w:firstLine="644"/>
        <w:rPr>
          <w:rFonts w:hint="eastAsia" w:ascii="仿宋" w:hAnsi="仿宋" w:eastAsia="仿宋" w:cs="仿宋"/>
          <w:bCs/>
          <w:szCs w:val="32"/>
          <w:lang w:eastAsia="zh-CN"/>
        </w:rPr>
      </w:pPr>
      <w:r>
        <w:rPr>
          <w:rFonts w:hint="eastAsia" w:ascii="仿宋" w:hAnsi="仿宋" w:eastAsia="仿宋" w:cs="仿宋"/>
          <w:bCs/>
          <w:spacing w:val="1"/>
          <w:szCs w:val="32"/>
          <w:lang w:eastAsia="zh-CN"/>
        </w:rPr>
        <w:t>实施评价前，</w:t>
      </w:r>
      <w:r>
        <w:rPr>
          <w:rFonts w:hint="eastAsia" w:ascii="仿宋" w:hAnsi="仿宋" w:eastAsia="仿宋" w:cs="仿宋"/>
          <w:bCs/>
          <w:szCs w:val="32"/>
          <w:lang w:eastAsia="zh-CN"/>
        </w:rPr>
        <w:t>金口河区财政局向被评价单位下达评价通知。</w:t>
      </w:r>
    </w:p>
    <w:p>
      <w:pPr>
        <w:pStyle w:val="4"/>
        <w:ind w:firstLine="640"/>
        <w:rPr>
          <w:rFonts w:hint="eastAsia" w:ascii="仿宋" w:hAnsi="仿宋" w:eastAsia="仿宋" w:cs="仿宋"/>
          <w:b w:val="0"/>
          <w:bCs/>
          <w:szCs w:val="32"/>
          <w:lang w:eastAsia="zh-CN"/>
        </w:rPr>
      </w:pPr>
      <w:bookmarkStart w:id="208" w:name="_Toc130033900"/>
      <w:bookmarkStart w:id="209" w:name="_Toc10313"/>
      <w:r>
        <w:rPr>
          <w:rFonts w:hint="eastAsia" w:ascii="仿宋" w:hAnsi="仿宋" w:eastAsia="仿宋" w:cs="仿宋"/>
          <w:b w:val="0"/>
          <w:bCs/>
          <w:szCs w:val="32"/>
          <w:lang w:eastAsia="zh-CN"/>
        </w:rPr>
        <w:t>3.开展前期调研并制定完善工作方</w:t>
      </w:r>
      <w:r>
        <w:rPr>
          <w:rFonts w:hint="eastAsia" w:ascii="仿宋" w:hAnsi="仿宋" w:eastAsia="仿宋" w:cs="仿宋"/>
          <w:b w:val="0"/>
          <w:bCs/>
          <w:spacing w:val="1"/>
          <w:szCs w:val="32"/>
          <w:lang w:eastAsia="zh-CN"/>
        </w:rPr>
        <w:t>案</w:t>
      </w:r>
      <w:bookmarkEnd w:id="208"/>
      <w:bookmarkEnd w:id="209"/>
    </w:p>
    <w:p>
      <w:pPr>
        <w:ind w:firstLine="608"/>
        <w:rPr>
          <w:rFonts w:hint="eastAsia" w:ascii="仿宋" w:hAnsi="仿宋" w:eastAsia="仿宋" w:cs="仿宋"/>
          <w:bCs/>
          <w:szCs w:val="32"/>
          <w:lang w:eastAsia="zh-CN"/>
        </w:rPr>
      </w:pPr>
      <w:r>
        <w:rPr>
          <w:rFonts w:hint="eastAsia" w:ascii="仿宋" w:hAnsi="仿宋" w:eastAsia="仿宋" w:cs="仿宋"/>
          <w:bCs/>
          <w:spacing w:val="-8"/>
          <w:szCs w:val="32"/>
          <w:lang w:eastAsia="zh-CN"/>
        </w:rPr>
        <w:t>评</w:t>
      </w:r>
      <w:r>
        <w:rPr>
          <w:rFonts w:hint="eastAsia" w:ascii="仿宋" w:hAnsi="仿宋" w:eastAsia="仿宋" w:cs="仿宋"/>
          <w:bCs/>
          <w:spacing w:val="-5"/>
          <w:szCs w:val="32"/>
          <w:lang w:eastAsia="zh-CN"/>
        </w:rPr>
        <w:t>价</w:t>
      </w:r>
      <w:r>
        <w:rPr>
          <w:rFonts w:hint="eastAsia" w:ascii="仿宋" w:hAnsi="仿宋" w:eastAsia="仿宋" w:cs="仿宋"/>
          <w:bCs/>
          <w:spacing w:val="-4"/>
          <w:szCs w:val="32"/>
          <w:lang w:eastAsia="zh-CN"/>
        </w:rPr>
        <w:t>组首先与金口河区财政局沟通，收集财政部门对</w:t>
      </w:r>
      <w:r>
        <w:rPr>
          <w:rFonts w:hint="eastAsia" w:ascii="仿宋" w:hAnsi="仿宋" w:eastAsia="仿宋" w:cs="仿宋"/>
          <w:bCs/>
          <w:spacing w:val="-6"/>
          <w:szCs w:val="32"/>
          <w:lang w:eastAsia="zh-CN"/>
        </w:rPr>
        <w:t>本次评价的</w:t>
      </w:r>
      <w:r>
        <w:rPr>
          <w:rFonts w:hint="eastAsia" w:ascii="仿宋" w:hAnsi="仿宋" w:eastAsia="仿宋" w:cs="仿宋"/>
          <w:bCs/>
          <w:spacing w:val="-4"/>
          <w:szCs w:val="32"/>
          <w:lang w:eastAsia="zh-CN"/>
        </w:rPr>
        <w:t>关</w:t>
      </w:r>
      <w:r>
        <w:rPr>
          <w:rFonts w:hint="eastAsia" w:ascii="仿宋" w:hAnsi="仿宋" w:eastAsia="仿宋" w:cs="仿宋"/>
          <w:bCs/>
          <w:spacing w:val="-3"/>
          <w:szCs w:val="32"/>
          <w:lang w:eastAsia="zh-CN"/>
        </w:rPr>
        <w:t>注重点和要求；其次与相关部门充分沟</w:t>
      </w:r>
      <w:r>
        <w:rPr>
          <w:rFonts w:hint="eastAsia" w:ascii="仿宋" w:hAnsi="仿宋" w:eastAsia="仿宋" w:cs="仿宋"/>
          <w:bCs/>
          <w:spacing w:val="-6"/>
          <w:szCs w:val="32"/>
          <w:lang w:eastAsia="zh-CN"/>
        </w:rPr>
        <w:t>通，了解项</w:t>
      </w:r>
      <w:r>
        <w:rPr>
          <w:rFonts w:hint="eastAsia" w:ascii="仿宋" w:hAnsi="仿宋" w:eastAsia="仿宋" w:cs="仿宋"/>
          <w:bCs/>
          <w:spacing w:val="-4"/>
          <w:szCs w:val="32"/>
          <w:lang w:eastAsia="zh-CN"/>
        </w:rPr>
        <w:t>目</w:t>
      </w:r>
      <w:r>
        <w:rPr>
          <w:rFonts w:hint="eastAsia" w:ascii="仿宋" w:hAnsi="仿宋" w:eastAsia="仿宋" w:cs="仿宋"/>
          <w:bCs/>
          <w:spacing w:val="-3"/>
          <w:szCs w:val="32"/>
          <w:lang w:eastAsia="zh-CN"/>
        </w:rPr>
        <w:t>的实施背景、实施内容、绩效目标和组织管理等信</w:t>
      </w:r>
      <w:r>
        <w:rPr>
          <w:rFonts w:hint="eastAsia" w:ascii="仿宋" w:hAnsi="仿宋" w:eastAsia="仿宋" w:cs="仿宋"/>
          <w:bCs/>
          <w:spacing w:val="-1"/>
          <w:szCs w:val="32"/>
          <w:lang w:eastAsia="zh-CN"/>
        </w:rPr>
        <w:t>息，并收集资金使用、管理制度等</w:t>
      </w:r>
      <w:r>
        <w:rPr>
          <w:rFonts w:hint="eastAsia" w:ascii="仿宋" w:hAnsi="仿宋" w:eastAsia="仿宋" w:cs="仿宋"/>
          <w:bCs/>
          <w:szCs w:val="32"/>
          <w:lang w:eastAsia="zh-CN"/>
        </w:rPr>
        <w:t>资料。</w:t>
      </w:r>
      <w:r>
        <w:rPr>
          <w:rFonts w:hint="eastAsia" w:ascii="仿宋" w:hAnsi="仿宋" w:eastAsia="仿宋" w:cs="仿宋"/>
          <w:bCs/>
          <w:spacing w:val="-6"/>
          <w:szCs w:val="32"/>
          <w:lang w:eastAsia="zh-CN"/>
        </w:rPr>
        <w:t>根据区财政局</w:t>
      </w:r>
      <w:r>
        <w:rPr>
          <w:rFonts w:hint="eastAsia" w:ascii="仿宋" w:hAnsi="仿宋" w:eastAsia="仿宋" w:cs="仿宋"/>
          <w:bCs/>
          <w:spacing w:val="-3"/>
          <w:szCs w:val="32"/>
          <w:lang w:eastAsia="zh-CN"/>
        </w:rPr>
        <w:t>的要求，结合项目的特点，形成项目评价的总体思</w:t>
      </w:r>
      <w:r>
        <w:rPr>
          <w:rFonts w:hint="eastAsia" w:ascii="仿宋" w:hAnsi="仿宋" w:eastAsia="仿宋" w:cs="仿宋"/>
          <w:bCs/>
          <w:spacing w:val="-6"/>
          <w:szCs w:val="32"/>
          <w:lang w:eastAsia="zh-CN"/>
        </w:rPr>
        <w:t>路，撰写项目</w:t>
      </w:r>
      <w:r>
        <w:rPr>
          <w:rFonts w:hint="eastAsia" w:ascii="仿宋" w:hAnsi="仿宋" w:eastAsia="仿宋" w:cs="仿宋"/>
          <w:bCs/>
          <w:spacing w:val="-3"/>
          <w:szCs w:val="32"/>
          <w:lang w:eastAsia="zh-CN"/>
        </w:rPr>
        <w:t>绩效评价工作方案，并就工作方案内容、指标体系</w:t>
      </w:r>
      <w:r>
        <w:rPr>
          <w:rFonts w:hint="eastAsia" w:ascii="仿宋" w:hAnsi="仿宋" w:eastAsia="仿宋" w:cs="仿宋"/>
          <w:bCs/>
          <w:spacing w:val="-6"/>
          <w:szCs w:val="32"/>
          <w:lang w:eastAsia="zh-CN"/>
        </w:rPr>
        <w:t>等与评价组进</w:t>
      </w:r>
      <w:r>
        <w:rPr>
          <w:rFonts w:hint="eastAsia" w:ascii="仿宋" w:hAnsi="仿宋" w:eastAsia="仿宋" w:cs="仿宋"/>
          <w:bCs/>
          <w:spacing w:val="-3"/>
          <w:szCs w:val="32"/>
          <w:lang w:eastAsia="zh-CN"/>
        </w:rPr>
        <w:t>行沟通，广泛听取意见、进行完善，提交金口河区财政局</w:t>
      </w:r>
      <w:r>
        <w:rPr>
          <w:rFonts w:hint="eastAsia" w:ascii="仿宋" w:hAnsi="仿宋" w:eastAsia="仿宋" w:cs="仿宋"/>
          <w:bCs/>
          <w:szCs w:val="32"/>
          <w:lang w:eastAsia="zh-CN"/>
        </w:rPr>
        <w:t>审核。</w:t>
      </w:r>
    </w:p>
    <w:p>
      <w:pPr>
        <w:pStyle w:val="4"/>
        <w:ind w:firstLine="640"/>
        <w:rPr>
          <w:rFonts w:hint="eastAsia" w:ascii="仿宋" w:hAnsi="仿宋" w:eastAsia="仿宋" w:cs="仿宋"/>
          <w:b w:val="0"/>
          <w:bCs/>
          <w:szCs w:val="32"/>
          <w:lang w:eastAsia="zh-CN"/>
        </w:rPr>
      </w:pPr>
      <w:bookmarkStart w:id="210" w:name="_Toc130033901"/>
      <w:bookmarkStart w:id="211" w:name="_Toc14740"/>
      <w:r>
        <w:rPr>
          <w:rFonts w:hint="eastAsia" w:ascii="仿宋" w:hAnsi="仿宋" w:eastAsia="仿宋" w:cs="仿宋"/>
          <w:b w:val="0"/>
          <w:bCs/>
          <w:szCs w:val="32"/>
          <w:lang w:eastAsia="zh-CN"/>
        </w:rPr>
        <w:t>4.数据收集</w:t>
      </w:r>
      <w:bookmarkEnd w:id="210"/>
      <w:bookmarkEnd w:id="211"/>
    </w:p>
    <w:p>
      <w:pPr>
        <w:ind w:firstLine="612"/>
        <w:rPr>
          <w:rFonts w:hint="eastAsia" w:ascii="仿宋" w:hAnsi="仿宋" w:eastAsia="仿宋" w:cs="仿宋"/>
          <w:bCs/>
          <w:szCs w:val="32"/>
          <w:lang w:eastAsia="zh-CN"/>
        </w:rPr>
      </w:pPr>
      <w:r>
        <w:rPr>
          <w:rFonts w:hint="eastAsia" w:ascii="仿宋" w:hAnsi="仿宋" w:eastAsia="仿宋" w:cs="仿宋"/>
          <w:bCs/>
          <w:spacing w:val="-7"/>
          <w:szCs w:val="32"/>
          <w:lang w:eastAsia="zh-CN"/>
        </w:rPr>
        <w:t>根</w:t>
      </w:r>
      <w:r>
        <w:rPr>
          <w:rFonts w:hint="eastAsia" w:ascii="仿宋" w:hAnsi="仿宋" w:eastAsia="仿宋" w:cs="仿宋"/>
          <w:bCs/>
          <w:szCs w:val="32"/>
          <w:lang w:eastAsia="zh-CN"/>
        </w:rPr>
        <w:t>据定稿后的工作方案，我中心与相关部门进行沟通，核查</w:t>
      </w:r>
      <w:r>
        <w:rPr>
          <w:rFonts w:hint="eastAsia" w:ascii="仿宋" w:hAnsi="仿宋" w:eastAsia="仿宋" w:cs="仿宋"/>
          <w:bCs/>
          <w:spacing w:val="-6"/>
          <w:szCs w:val="32"/>
          <w:lang w:eastAsia="zh-CN"/>
        </w:rPr>
        <w:t>项目实施过</w:t>
      </w:r>
      <w:r>
        <w:rPr>
          <w:rFonts w:hint="eastAsia" w:ascii="仿宋" w:hAnsi="仿宋" w:eastAsia="仿宋" w:cs="仿宋"/>
          <w:bCs/>
          <w:spacing w:val="-5"/>
          <w:szCs w:val="32"/>
          <w:lang w:eastAsia="zh-CN"/>
        </w:rPr>
        <w:t>程</w:t>
      </w:r>
      <w:r>
        <w:rPr>
          <w:rFonts w:hint="eastAsia" w:ascii="仿宋" w:hAnsi="仿宋" w:eastAsia="仿宋" w:cs="仿宋"/>
          <w:bCs/>
          <w:spacing w:val="-3"/>
          <w:szCs w:val="32"/>
          <w:lang w:eastAsia="zh-CN"/>
        </w:rPr>
        <w:t>性材料，我中心收</w:t>
      </w:r>
      <w:r>
        <w:rPr>
          <w:rFonts w:hint="eastAsia" w:ascii="仿宋" w:hAnsi="仿宋" w:eastAsia="仿宋" w:cs="仿宋"/>
          <w:bCs/>
          <w:spacing w:val="1"/>
          <w:szCs w:val="32"/>
          <w:lang w:eastAsia="zh-CN"/>
        </w:rPr>
        <w:t>集相关业务</w:t>
      </w:r>
      <w:r>
        <w:rPr>
          <w:rFonts w:hint="eastAsia" w:ascii="仿宋" w:hAnsi="仿宋" w:eastAsia="仿宋" w:cs="仿宋"/>
          <w:bCs/>
          <w:szCs w:val="32"/>
          <w:lang w:eastAsia="zh-CN"/>
        </w:rPr>
        <w:t>数据，对收集的资料和数据进行汇总。</w:t>
      </w:r>
    </w:p>
    <w:p>
      <w:pPr>
        <w:pStyle w:val="4"/>
        <w:ind w:firstLine="640"/>
        <w:rPr>
          <w:rFonts w:hint="eastAsia" w:ascii="仿宋" w:hAnsi="仿宋" w:eastAsia="仿宋" w:cs="仿宋"/>
          <w:b w:val="0"/>
          <w:bCs/>
          <w:szCs w:val="32"/>
          <w:lang w:eastAsia="zh-CN"/>
        </w:rPr>
      </w:pPr>
      <w:bookmarkStart w:id="212" w:name="_Toc21504"/>
      <w:bookmarkStart w:id="213" w:name="_Toc130033902"/>
      <w:r>
        <w:rPr>
          <w:rFonts w:hint="eastAsia" w:ascii="仿宋" w:hAnsi="仿宋" w:eastAsia="仿宋" w:cs="仿宋"/>
          <w:b w:val="0"/>
          <w:bCs/>
          <w:szCs w:val="32"/>
          <w:lang w:eastAsia="zh-CN"/>
        </w:rPr>
        <w:t>5.现场核查</w:t>
      </w:r>
      <w:bookmarkEnd w:id="212"/>
      <w:bookmarkEnd w:id="213"/>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我中心根据收集到的资料和数据对项目进行现场核查，通过检查、观察、访谈、重新计算、重新执行等方式核查，对现场发现的问题、疑问等与金口河区财政局沟通，并向金口河区财政局汇报问题及沟通处理结果。</w:t>
      </w:r>
    </w:p>
    <w:p>
      <w:pPr>
        <w:pStyle w:val="4"/>
        <w:ind w:firstLine="640"/>
        <w:rPr>
          <w:rFonts w:hint="eastAsia" w:ascii="仿宋" w:hAnsi="仿宋" w:eastAsia="仿宋" w:cs="仿宋"/>
          <w:b w:val="0"/>
          <w:bCs/>
          <w:szCs w:val="32"/>
          <w:lang w:eastAsia="zh-CN"/>
        </w:rPr>
      </w:pPr>
      <w:bookmarkStart w:id="214" w:name="_Toc130033903"/>
      <w:bookmarkStart w:id="215" w:name="_Toc8201"/>
      <w:r>
        <w:rPr>
          <w:rFonts w:hint="eastAsia" w:ascii="仿宋" w:hAnsi="仿宋" w:eastAsia="仿宋" w:cs="仿宋"/>
          <w:b w:val="0"/>
          <w:bCs/>
          <w:szCs w:val="32"/>
          <w:lang w:eastAsia="zh-CN"/>
        </w:rPr>
        <w:t>6.数据分析</w:t>
      </w:r>
      <w:bookmarkEnd w:id="214"/>
      <w:bookmarkEnd w:id="215"/>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我中心根据收集到的资料和数据重点对项目管理的规范性、绩效目标完成情况等方面进行分析，将分析结果同金河镇人民政府沟通确定，并向</w:t>
      </w:r>
      <w:bookmarkStart w:id="216" w:name="_Hlk179723733"/>
      <w:r>
        <w:rPr>
          <w:rFonts w:hint="eastAsia" w:ascii="仿宋" w:hAnsi="仿宋" w:eastAsia="仿宋" w:cs="仿宋"/>
          <w:bCs/>
          <w:spacing w:val="-7"/>
          <w:szCs w:val="32"/>
          <w:lang w:eastAsia="zh-CN"/>
        </w:rPr>
        <w:t>金口河区财政局</w:t>
      </w:r>
      <w:bookmarkEnd w:id="216"/>
      <w:r>
        <w:rPr>
          <w:rFonts w:hint="eastAsia" w:ascii="仿宋" w:hAnsi="仿宋" w:eastAsia="仿宋" w:cs="仿宋"/>
          <w:bCs/>
          <w:spacing w:val="-7"/>
          <w:szCs w:val="32"/>
          <w:lang w:eastAsia="zh-CN"/>
        </w:rPr>
        <w:t>汇报分析结果。</w:t>
      </w:r>
    </w:p>
    <w:p>
      <w:pPr>
        <w:pStyle w:val="4"/>
        <w:ind w:firstLine="640"/>
        <w:rPr>
          <w:rFonts w:hint="eastAsia" w:ascii="仿宋" w:hAnsi="仿宋" w:eastAsia="仿宋" w:cs="仿宋"/>
          <w:b w:val="0"/>
          <w:bCs/>
          <w:szCs w:val="32"/>
          <w:lang w:eastAsia="zh-CN"/>
        </w:rPr>
      </w:pPr>
      <w:bookmarkStart w:id="217" w:name="_Toc6007"/>
      <w:bookmarkStart w:id="218" w:name="_Toc130033904"/>
      <w:r>
        <w:rPr>
          <w:rFonts w:hint="eastAsia" w:ascii="仿宋" w:hAnsi="仿宋" w:eastAsia="仿宋" w:cs="仿宋"/>
          <w:b w:val="0"/>
          <w:bCs/>
          <w:szCs w:val="32"/>
          <w:lang w:eastAsia="zh-CN"/>
        </w:rPr>
        <w:t>7.撰写及完善</w:t>
      </w:r>
      <w:r>
        <w:rPr>
          <w:rFonts w:hint="eastAsia" w:ascii="仿宋" w:hAnsi="仿宋" w:eastAsia="仿宋" w:cs="仿宋"/>
          <w:b w:val="0"/>
          <w:bCs/>
          <w:spacing w:val="1"/>
          <w:szCs w:val="32"/>
          <w:lang w:eastAsia="zh-CN"/>
        </w:rPr>
        <w:t>绩效评价报告</w:t>
      </w:r>
      <w:bookmarkEnd w:id="217"/>
      <w:bookmarkEnd w:id="218"/>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对收集到的基础数据、现场核查结果、访谈记录、满意度分析结果等各项数据进行全面复核，查找项目实施中存在的主要问题、取得的主要经验等，并拟定评价报告初稿。向财政局提交绩效评价报告，并交换意见，修改完善后定稿。</w:t>
      </w:r>
    </w:p>
    <w:p>
      <w:pPr>
        <w:pStyle w:val="4"/>
        <w:ind w:firstLine="644"/>
        <w:rPr>
          <w:rFonts w:hint="eastAsia" w:ascii="仿宋" w:hAnsi="仿宋" w:eastAsia="仿宋" w:cs="仿宋"/>
          <w:b w:val="0"/>
          <w:bCs/>
          <w:szCs w:val="32"/>
          <w:lang w:eastAsia="zh-CN"/>
        </w:rPr>
      </w:pPr>
      <w:bookmarkStart w:id="219" w:name="_Toc22077"/>
      <w:bookmarkStart w:id="220" w:name="_Toc130033905"/>
      <w:r>
        <w:rPr>
          <w:rFonts w:hint="eastAsia" w:ascii="仿宋" w:hAnsi="仿宋" w:eastAsia="仿宋" w:cs="仿宋"/>
          <w:b w:val="0"/>
          <w:bCs/>
          <w:spacing w:val="1"/>
          <w:szCs w:val="32"/>
          <w:lang w:eastAsia="zh-CN"/>
        </w:rPr>
        <w:t>8.</w:t>
      </w:r>
      <w:r>
        <w:rPr>
          <w:rFonts w:hint="eastAsia" w:ascii="仿宋" w:hAnsi="仿宋" w:eastAsia="仿宋" w:cs="仿宋"/>
          <w:b w:val="0"/>
          <w:bCs/>
          <w:szCs w:val="32"/>
          <w:lang w:eastAsia="zh-CN"/>
        </w:rPr>
        <w:t>资料归档</w:t>
      </w:r>
      <w:bookmarkEnd w:id="219"/>
      <w:bookmarkEnd w:id="220"/>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对评价过程资料进行整理、归档。评价工作组就绩效评价报告初稿中所反映的问题与被评价单位进行沟通，在被评价单位反馈意见的基础上，对报告内容进行完善，形成绩效评价报告提交财政部门。</w:t>
      </w:r>
    </w:p>
    <w:p>
      <w:pPr>
        <w:spacing w:line="300" w:lineRule="exact"/>
        <w:ind w:firstLine="684"/>
        <w:jc w:val="center"/>
        <w:outlineLvl w:val="1"/>
        <w:rPr>
          <w:rFonts w:hint="eastAsia" w:ascii="仿宋" w:hAnsi="仿宋" w:eastAsia="仿宋" w:cs="仿宋"/>
          <w:bCs/>
          <w:spacing w:val="11"/>
          <w:szCs w:val="32"/>
          <w:lang w:eastAsia="zh-CN"/>
        </w:rPr>
      </w:pPr>
      <w:bookmarkStart w:id="221" w:name="_Toc32343"/>
      <w:bookmarkStart w:id="222" w:name="_Toc17320"/>
      <w:bookmarkStart w:id="223" w:name="_Toc179658323"/>
    </w:p>
    <w:p>
      <w:pPr>
        <w:spacing w:line="300" w:lineRule="exact"/>
        <w:ind w:firstLine="684"/>
        <w:jc w:val="center"/>
        <w:outlineLvl w:val="1"/>
        <w:rPr>
          <w:rFonts w:hint="eastAsia" w:ascii="仿宋" w:hAnsi="仿宋" w:eastAsia="仿宋" w:cs="仿宋"/>
          <w:bCs/>
          <w:szCs w:val="32"/>
          <w:lang w:eastAsia="zh-CN"/>
        </w:rPr>
      </w:pPr>
      <w:bookmarkStart w:id="224" w:name="_Toc12618"/>
      <w:r>
        <w:rPr>
          <w:rFonts w:hint="eastAsia" w:ascii="仿宋" w:hAnsi="仿宋" w:eastAsia="仿宋" w:cs="仿宋"/>
          <w:bCs/>
          <w:spacing w:val="11"/>
          <w:szCs w:val="32"/>
          <w:lang w:eastAsia="zh-CN"/>
        </w:rPr>
        <w:t>财</w:t>
      </w:r>
      <w:r>
        <w:rPr>
          <w:rFonts w:hint="eastAsia" w:ascii="仿宋" w:hAnsi="仿宋" w:eastAsia="仿宋" w:cs="仿宋"/>
          <w:bCs/>
          <w:spacing w:val="9"/>
          <w:szCs w:val="32"/>
          <w:lang w:eastAsia="zh-CN"/>
        </w:rPr>
        <w:t>政支出绩效评价工作流程图</w:t>
      </w:r>
      <w:bookmarkEnd w:id="221"/>
      <w:bookmarkEnd w:id="222"/>
      <w:bookmarkEnd w:id="223"/>
      <w:bookmarkEnd w:id="224"/>
    </w:p>
    <w:p>
      <w:pPr>
        <w:spacing w:before="247" w:line="228" w:lineRule="auto"/>
        <w:ind w:firstLine="0" w:firstLineChars="0"/>
        <w:rPr>
          <w:rFonts w:eastAsia="宋体"/>
          <w:sz w:val="23"/>
          <w:szCs w:val="23"/>
          <w:lang w:eastAsia="zh-CN"/>
        </w:rPr>
      </w:pPr>
      <w:r>
        <w:drawing>
          <wp:inline distT="0" distB="0" distL="0" distR="0">
            <wp:extent cx="5274310" cy="2321560"/>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5274310" cy="2321560"/>
                    </a:xfrm>
                    <a:prstGeom prst="rect">
                      <a:avLst/>
                    </a:prstGeom>
                  </pic:spPr>
                </pic:pic>
              </a:graphicData>
            </a:graphic>
          </wp:inline>
        </w:drawing>
      </w:r>
    </w:p>
    <w:p>
      <w:pPr>
        <w:pStyle w:val="2"/>
        <w:numPr>
          <w:numId w:val="0"/>
        </w:numPr>
        <w:spacing w:before="0" w:beforeLines="0" w:after="0" w:afterLines="0"/>
        <w:ind w:leftChars="0" w:firstLine="640" w:firstLineChars="200"/>
        <w:rPr>
          <w:rFonts w:hint="eastAsia" w:ascii="仿宋" w:hAnsi="仿宋" w:eastAsia="仿宋" w:cs="仿宋"/>
          <w:b w:val="0"/>
          <w:bCs/>
          <w:szCs w:val="32"/>
          <w:lang w:eastAsia="zh-CN"/>
        </w:rPr>
      </w:pPr>
      <w:bookmarkStart w:id="225" w:name="_Toc27103"/>
      <w:bookmarkStart w:id="226" w:name="_Toc709323845"/>
      <w:bookmarkStart w:id="227" w:name="_Toc1232831072"/>
      <w:bookmarkStart w:id="228" w:name="_Toc132480965"/>
      <w:bookmarkStart w:id="229" w:name="_Toc1850422540"/>
      <w:bookmarkStart w:id="230" w:name="_Toc2115246641_WPSOffice_Level1"/>
      <w:bookmarkStart w:id="231" w:name="_Toc5665919"/>
      <w:bookmarkStart w:id="232" w:name="_Toc179658324"/>
      <w:bookmarkStart w:id="233" w:name="_Toc11612"/>
      <w:r>
        <w:rPr>
          <w:rFonts w:hint="eastAsia" w:ascii="黑体" w:hAnsi="黑体" w:eastAsia="黑体" w:cs="黑体"/>
          <w:b w:val="0"/>
          <w:bCs/>
          <w:szCs w:val="32"/>
          <w:lang w:eastAsia="zh-CN"/>
        </w:rPr>
        <w:t>三、综合评价情况及评价结论（附相关评分表）</w:t>
      </w:r>
      <w:bookmarkEnd w:id="225"/>
      <w:bookmarkEnd w:id="226"/>
      <w:bookmarkEnd w:id="227"/>
      <w:bookmarkEnd w:id="228"/>
      <w:bookmarkEnd w:id="229"/>
      <w:bookmarkEnd w:id="230"/>
      <w:bookmarkEnd w:id="231"/>
      <w:bookmarkEnd w:id="232"/>
      <w:bookmarkEnd w:id="233"/>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评价工作组根据相关文件制定了《乐山市金口河区金河镇人民政府乐山市金口河区金河镇新坪村村道水毁治理工程绩效评价指标体系及综合评分表》，绩效评价满分为100分，经评议，项目绩效评价得分为8</w:t>
      </w:r>
      <w:r>
        <w:rPr>
          <w:rFonts w:hint="eastAsia" w:ascii="仿宋" w:hAnsi="仿宋" w:eastAsia="仿宋" w:cs="仿宋"/>
          <w:bCs/>
          <w:spacing w:val="-7"/>
          <w:szCs w:val="32"/>
          <w:lang w:val="en-US" w:eastAsia="zh-CN"/>
        </w:rPr>
        <w:t>9.31</w:t>
      </w:r>
      <w:r>
        <w:rPr>
          <w:rFonts w:hint="eastAsia" w:ascii="仿宋" w:hAnsi="仿宋" w:eastAsia="仿宋" w:cs="仿宋"/>
          <w:bCs/>
          <w:spacing w:val="-7"/>
          <w:szCs w:val="32"/>
          <w:lang w:eastAsia="zh-CN"/>
        </w:rPr>
        <w:t>分，其中，项目决策20分，项目过程1</w:t>
      </w:r>
      <w:r>
        <w:rPr>
          <w:rFonts w:hint="eastAsia" w:ascii="仿宋" w:hAnsi="仿宋" w:eastAsia="仿宋" w:cs="仿宋"/>
          <w:bCs/>
          <w:spacing w:val="-7"/>
          <w:szCs w:val="32"/>
          <w:lang w:val="en-US" w:eastAsia="zh-CN"/>
        </w:rPr>
        <w:t>6.31</w:t>
      </w:r>
      <w:r>
        <w:rPr>
          <w:rFonts w:hint="eastAsia" w:ascii="仿宋" w:hAnsi="仿宋" w:eastAsia="仿宋" w:cs="仿宋"/>
          <w:bCs/>
          <w:spacing w:val="-7"/>
          <w:szCs w:val="32"/>
          <w:lang w:eastAsia="zh-CN"/>
        </w:rPr>
        <w:t>分，项目产出</w:t>
      </w:r>
      <w:r>
        <w:rPr>
          <w:rFonts w:hint="eastAsia" w:ascii="仿宋" w:hAnsi="仿宋" w:eastAsia="仿宋" w:cs="仿宋"/>
          <w:bCs/>
          <w:spacing w:val="-7"/>
          <w:szCs w:val="32"/>
          <w:lang w:val="en-US" w:eastAsia="zh-CN"/>
        </w:rPr>
        <w:t>30.00</w:t>
      </w:r>
      <w:r>
        <w:rPr>
          <w:rFonts w:hint="eastAsia" w:ascii="仿宋" w:hAnsi="仿宋" w:eastAsia="仿宋" w:cs="仿宋"/>
          <w:bCs/>
          <w:spacing w:val="-7"/>
          <w:szCs w:val="32"/>
          <w:lang w:eastAsia="zh-CN"/>
        </w:rPr>
        <w:t>分，项目效益2</w:t>
      </w:r>
      <w:r>
        <w:rPr>
          <w:rFonts w:hint="eastAsia" w:ascii="仿宋" w:hAnsi="仿宋" w:eastAsia="仿宋" w:cs="仿宋"/>
          <w:bCs/>
          <w:spacing w:val="-7"/>
          <w:szCs w:val="32"/>
          <w:lang w:val="en-US" w:eastAsia="zh-CN"/>
        </w:rPr>
        <w:t>3</w:t>
      </w:r>
      <w:r>
        <w:rPr>
          <w:rFonts w:hint="eastAsia" w:ascii="仿宋" w:hAnsi="仿宋" w:eastAsia="仿宋" w:cs="仿宋"/>
          <w:bCs/>
          <w:spacing w:val="-7"/>
          <w:szCs w:val="32"/>
          <w:lang w:eastAsia="zh-CN"/>
        </w:rPr>
        <w:t>.00分。评价绩效级别评定为“良”。</w:t>
      </w: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乐山市金口河区金河镇人民政府</w:t>
      </w: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乐山市金口河区金河镇新坪村村道水毁治理工程</w:t>
      </w:r>
      <w:r>
        <w:rPr>
          <w:rFonts w:hint="eastAsia" w:ascii="仿宋" w:hAnsi="仿宋" w:eastAsia="仿宋" w:cs="仿宋"/>
          <w:bCs/>
          <w:szCs w:val="32"/>
          <w:lang w:eastAsia="zh-CN"/>
        </w:rPr>
        <w:br w:type="textWrapping"/>
      </w:r>
      <w:r>
        <w:rPr>
          <w:rFonts w:hint="eastAsia" w:ascii="仿宋" w:hAnsi="仿宋" w:eastAsia="仿宋" w:cs="仿宋"/>
          <w:bCs/>
          <w:szCs w:val="32"/>
          <w:lang w:eastAsia="zh-CN"/>
        </w:rPr>
        <w:t>财政支出绩效评价结论一览表</w:t>
      </w:r>
    </w:p>
    <w:tbl>
      <w:tblPr>
        <w:tblStyle w:val="22"/>
        <w:tblW w:w="5000" w:type="pct"/>
        <w:tblInd w:w="0" w:type="dxa"/>
        <w:tblLayout w:type="autofit"/>
        <w:tblCellMar>
          <w:top w:w="15" w:type="dxa"/>
          <w:left w:w="15" w:type="dxa"/>
          <w:bottom w:w="15" w:type="dxa"/>
          <w:right w:w="15" w:type="dxa"/>
        </w:tblCellMar>
      </w:tblPr>
      <w:tblGrid>
        <w:gridCol w:w="2296"/>
        <w:gridCol w:w="2057"/>
        <w:gridCol w:w="1991"/>
        <w:gridCol w:w="1992"/>
      </w:tblGrid>
      <w:tr>
        <w:tblPrEx>
          <w:tblCellMar>
            <w:top w:w="15" w:type="dxa"/>
            <w:left w:w="15" w:type="dxa"/>
            <w:bottom w:w="15" w:type="dxa"/>
            <w:right w:w="15" w:type="dxa"/>
          </w:tblCellMar>
        </w:tblPrEx>
        <w:trPr>
          <w:trHeight w:val="680" w:hRule="exact"/>
          <w:tblHeader/>
        </w:trPr>
        <w:tc>
          <w:tcPr>
            <w:tcW w:w="1377"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eastAsia="zh-CN"/>
              </w:rPr>
              <w:t>评价内容</w:t>
            </w:r>
          </w:p>
        </w:tc>
        <w:tc>
          <w:tcPr>
            <w:tcW w:w="123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eastAsia="zh-CN"/>
              </w:rPr>
              <w:t>分值</w:t>
            </w:r>
          </w:p>
        </w:tc>
        <w:tc>
          <w:tcPr>
            <w:tcW w:w="119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eastAsia="zh-CN"/>
              </w:rPr>
              <w:t>评价得分</w:t>
            </w:r>
          </w:p>
        </w:tc>
        <w:tc>
          <w:tcPr>
            <w:tcW w:w="119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得分率</w:t>
            </w:r>
          </w:p>
        </w:tc>
      </w:tr>
      <w:tr>
        <w:tblPrEx>
          <w:tblCellMar>
            <w:top w:w="15" w:type="dxa"/>
            <w:left w:w="15" w:type="dxa"/>
            <w:bottom w:w="15" w:type="dxa"/>
            <w:right w:w="15" w:type="dxa"/>
          </w:tblCellMar>
        </w:tblPrEx>
        <w:trPr>
          <w:trHeight w:val="680" w:hRule="exact"/>
        </w:trPr>
        <w:tc>
          <w:tcPr>
            <w:tcW w:w="1377" w:type="pct"/>
            <w:tcBorders>
              <w:top w:val="single" w:color="000000" w:sz="4" w:space="0"/>
              <w:left w:val="single" w:color="000000" w:sz="4" w:space="0"/>
              <w:bottom w:val="single" w:color="000000" w:sz="4" w:space="0"/>
              <w:right w:val="single" w:color="000000" w:sz="4" w:space="0"/>
            </w:tcBorders>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项目决策</w:t>
            </w:r>
          </w:p>
        </w:tc>
        <w:tc>
          <w:tcPr>
            <w:tcW w:w="2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1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1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15" w:type="dxa"/>
            <w:left w:w="15" w:type="dxa"/>
            <w:bottom w:w="15" w:type="dxa"/>
            <w:right w:w="15" w:type="dxa"/>
          </w:tblCellMar>
        </w:tblPrEx>
        <w:trPr>
          <w:trHeight w:val="680" w:hRule="exact"/>
        </w:trPr>
        <w:tc>
          <w:tcPr>
            <w:tcW w:w="1377" w:type="pct"/>
            <w:tcBorders>
              <w:top w:val="single" w:color="000000" w:sz="4" w:space="0"/>
              <w:left w:val="single" w:color="000000" w:sz="4" w:space="0"/>
              <w:bottom w:val="single" w:color="000000" w:sz="4" w:space="0"/>
              <w:right w:val="single" w:color="000000" w:sz="4" w:space="0"/>
            </w:tcBorders>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项目过程</w:t>
            </w:r>
          </w:p>
        </w:tc>
        <w:tc>
          <w:tcPr>
            <w:tcW w:w="2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1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16.31</w:t>
            </w:r>
          </w:p>
        </w:tc>
        <w:tc>
          <w:tcPr>
            <w:tcW w:w="1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81.55%</w:t>
            </w:r>
          </w:p>
        </w:tc>
      </w:tr>
      <w:tr>
        <w:tblPrEx>
          <w:tblCellMar>
            <w:top w:w="15" w:type="dxa"/>
            <w:left w:w="15" w:type="dxa"/>
            <w:bottom w:w="15" w:type="dxa"/>
            <w:right w:w="15" w:type="dxa"/>
          </w:tblCellMar>
        </w:tblPrEx>
        <w:trPr>
          <w:trHeight w:val="680" w:hRule="exact"/>
        </w:trPr>
        <w:tc>
          <w:tcPr>
            <w:tcW w:w="1377" w:type="pct"/>
            <w:tcBorders>
              <w:top w:val="single" w:color="000000" w:sz="4" w:space="0"/>
              <w:left w:val="single" w:color="000000" w:sz="4" w:space="0"/>
              <w:bottom w:val="single" w:color="000000" w:sz="4" w:space="0"/>
              <w:right w:val="single" w:color="000000" w:sz="4" w:space="0"/>
            </w:tcBorders>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项目产出</w:t>
            </w:r>
          </w:p>
        </w:tc>
        <w:tc>
          <w:tcPr>
            <w:tcW w:w="2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30</w:t>
            </w:r>
          </w:p>
        </w:tc>
        <w:tc>
          <w:tcPr>
            <w:tcW w:w="1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30</w:t>
            </w:r>
          </w:p>
        </w:tc>
        <w:tc>
          <w:tcPr>
            <w:tcW w:w="1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15" w:type="dxa"/>
            <w:left w:w="15" w:type="dxa"/>
            <w:bottom w:w="15" w:type="dxa"/>
            <w:right w:w="15" w:type="dxa"/>
          </w:tblCellMar>
        </w:tblPrEx>
        <w:trPr>
          <w:trHeight w:val="680" w:hRule="exact"/>
        </w:trPr>
        <w:tc>
          <w:tcPr>
            <w:tcW w:w="1377" w:type="pct"/>
            <w:tcBorders>
              <w:top w:val="single" w:color="000000" w:sz="4" w:space="0"/>
              <w:left w:val="single" w:color="000000" w:sz="4" w:space="0"/>
              <w:bottom w:val="single" w:color="000000" w:sz="4" w:space="0"/>
              <w:right w:val="single" w:color="000000" w:sz="4" w:space="0"/>
            </w:tcBorders>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项目效益</w:t>
            </w:r>
          </w:p>
        </w:tc>
        <w:tc>
          <w:tcPr>
            <w:tcW w:w="2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30</w:t>
            </w:r>
          </w:p>
        </w:tc>
        <w:tc>
          <w:tcPr>
            <w:tcW w:w="1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23</w:t>
            </w:r>
          </w:p>
        </w:tc>
        <w:tc>
          <w:tcPr>
            <w:tcW w:w="1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76.67%</w:t>
            </w:r>
          </w:p>
        </w:tc>
      </w:tr>
      <w:tr>
        <w:tblPrEx>
          <w:tblCellMar>
            <w:top w:w="15" w:type="dxa"/>
            <w:left w:w="15" w:type="dxa"/>
            <w:bottom w:w="15" w:type="dxa"/>
            <w:right w:w="15" w:type="dxa"/>
          </w:tblCellMar>
        </w:tblPrEx>
        <w:trPr>
          <w:trHeight w:val="680" w:hRule="exact"/>
        </w:trPr>
        <w:tc>
          <w:tcPr>
            <w:tcW w:w="1377" w:type="pct"/>
            <w:tcBorders>
              <w:top w:val="single" w:color="000000" w:sz="4" w:space="0"/>
              <w:left w:val="single" w:color="000000" w:sz="4" w:space="0"/>
              <w:bottom w:val="single" w:color="000000" w:sz="4" w:space="0"/>
              <w:right w:val="single" w:color="000000" w:sz="4" w:space="0"/>
            </w:tcBorders>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综合得分</w:t>
            </w:r>
          </w:p>
        </w:tc>
        <w:tc>
          <w:tcPr>
            <w:tcW w:w="20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w:t>
            </w:r>
          </w:p>
        </w:tc>
        <w:tc>
          <w:tcPr>
            <w:tcW w:w="1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89.31</w:t>
            </w:r>
          </w:p>
        </w:tc>
        <w:tc>
          <w:tcPr>
            <w:tcW w:w="1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89.31%</w:t>
            </w:r>
          </w:p>
        </w:tc>
      </w:tr>
      <w:tr>
        <w:tblPrEx>
          <w:tblCellMar>
            <w:top w:w="15" w:type="dxa"/>
            <w:left w:w="15" w:type="dxa"/>
            <w:bottom w:w="15" w:type="dxa"/>
            <w:right w:w="15" w:type="dxa"/>
          </w:tblCellMar>
        </w:tblPrEx>
        <w:trPr>
          <w:trHeight w:val="680" w:hRule="exact"/>
        </w:trPr>
        <w:tc>
          <w:tcPr>
            <w:tcW w:w="1377" w:type="pct"/>
            <w:tcBorders>
              <w:top w:val="single" w:color="000000" w:sz="4" w:space="0"/>
              <w:left w:val="single" w:color="000000" w:sz="4" w:space="0"/>
              <w:bottom w:val="single" w:color="000000" w:sz="4" w:space="0"/>
              <w:right w:val="single" w:color="000000" w:sz="4" w:space="0"/>
            </w:tcBorders>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绩效评定级别</w:t>
            </w:r>
          </w:p>
        </w:tc>
        <w:tc>
          <w:tcPr>
            <w:tcW w:w="362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480" w:lineRule="auto"/>
              <w:ind w:firstLine="0" w:firstLineChars="0"/>
              <w:jc w:val="center"/>
              <w:rPr>
                <w:rFonts w:hint="eastAsia" w:ascii="仿宋" w:hAnsi="仿宋" w:eastAsia="仿宋" w:cs="仿宋"/>
                <w:sz w:val="24"/>
                <w:lang w:eastAsia="zh-CN"/>
              </w:rPr>
            </w:pPr>
            <w:r>
              <w:rPr>
                <w:rFonts w:hint="eastAsia" w:ascii="仿宋" w:hAnsi="仿宋" w:eastAsia="仿宋" w:cs="仿宋"/>
                <w:sz w:val="24"/>
                <w:lang w:eastAsia="zh-CN"/>
              </w:rPr>
              <w:t>良</w:t>
            </w:r>
          </w:p>
        </w:tc>
      </w:tr>
    </w:tbl>
    <w:p>
      <w:pPr>
        <w:ind w:firstLine="612"/>
        <w:rPr>
          <w:rFonts w:hint="eastAsia" w:ascii="仿宋" w:hAnsi="仿宋" w:eastAsia="仿宋" w:cs="仿宋"/>
          <w:spacing w:val="-7"/>
          <w:szCs w:val="32"/>
          <w:lang w:eastAsia="zh-CN"/>
        </w:rPr>
      </w:pPr>
      <w:r>
        <w:rPr>
          <w:rFonts w:hint="eastAsia" w:ascii="仿宋" w:hAnsi="仿宋" w:eastAsia="仿宋" w:cs="仿宋"/>
          <w:spacing w:val="-7"/>
          <w:szCs w:val="32"/>
          <w:lang w:eastAsia="zh-CN"/>
        </w:rPr>
        <w:t>附：乐山市金口河区金河镇新坪村村道水毁治理工程绩效评价指标体系及综合评分表（详见本报告“附件”）</w:t>
      </w:r>
    </w:p>
    <w:p>
      <w:pPr>
        <w:pStyle w:val="2"/>
        <w:numPr>
          <w:numId w:val="0"/>
        </w:numPr>
        <w:spacing w:before="0" w:beforeLines="0" w:after="0" w:afterLines="0"/>
        <w:ind w:leftChars="0" w:firstLine="640" w:firstLineChars="200"/>
        <w:rPr>
          <w:rFonts w:hint="eastAsia" w:ascii="黑体" w:hAnsi="黑体" w:eastAsia="黑体" w:cs="黑体"/>
          <w:b w:val="0"/>
          <w:szCs w:val="32"/>
          <w:lang w:eastAsia="zh-CN"/>
        </w:rPr>
      </w:pPr>
      <w:bookmarkStart w:id="234" w:name="_Toc20649"/>
      <w:bookmarkStart w:id="235" w:name="_Toc737820165"/>
      <w:bookmarkStart w:id="236" w:name="_Toc132480966"/>
      <w:bookmarkStart w:id="237" w:name="_Toc31125"/>
      <w:bookmarkStart w:id="238" w:name="_Toc924138418"/>
      <w:bookmarkStart w:id="239" w:name="_Toc1506002849_WPSOffice_Level1"/>
      <w:bookmarkStart w:id="240" w:name="_Toc193453926"/>
      <w:bookmarkStart w:id="241" w:name="_Toc179658325"/>
      <w:bookmarkStart w:id="242" w:name="_Toc1269600848"/>
      <w:r>
        <w:rPr>
          <w:rFonts w:hint="eastAsia" w:ascii="黑体" w:hAnsi="黑体" w:eastAsia="黑体" w:cs="黑体"/>
          <w:b w:val="0"/>
          <w:szCs w:val="32"/>
          <w:lang w:eastAsia="zh-CN"/>
        </w:rPr>
        <w:t>四、绩效评价指标分析</w:t>
      </w:r>
      <w:bookmarkEnd w:id="234"/>
      <w:bookmarkEnd w:id="235"/>
      <w:bookmarkEnd w:id="236"/>
      <w:bookmarkEnd w:id="237"/>
      <w:bookmarkEnd w:id="238"/>
      <w:bookmarkEnd w:id="239"/>
      <w:bookmarkEnd w:id="240"/>
      <w:bookmarkEnd w:id="241"/>
      <w:bookmarkEnd w:id="242"/>
    </w:p>
    <w:p>
      <w:pPr>
        <w:pStyle w:val="3"/>
        <w:numPr>
          <w:ilvl w:val="0"/>
          <w:numId w:val="9"/>
        </w:numPr>
        <w:spacing w:before="0" w:beforeLines="0" w:after="0" w:afterLines="0"/>
        <w:ind w:firstLineChars="0"/>
        <w:rPr>
          <w:rFonts w:hint="eastAsia" w:ascii="楷体" w:hAnsi="楷体" w:eastAsia="楷体" w:cs="楷体"/>
          <w:b w:val="0"/>
          <w:szCs w:val="32"/>
          <w:lang w:eastAsia="zh-CN"/>
        </w:rPr>
      </w:pPr>
      <w:bookmarkStart w:id="243" w:name="_Toc132480967"/>
      <w:bookmarkStart w:id="244" w:name="_Toc972935377"/>
      <w:bookmarkStart w:id="245" w:name="_Toc89892724"/>
      <w:bookmarkStart w:id="246" w:name="_Toc783935744"/>
      <w:bookmarkStart w:id="247" w:name="_Toc1392656222"/>
      <w:bookmarkStart w:id="248" w:name="_Toc28684"/>
      <w:bookmarkStart w:id="249" w:name="_Toc25739"/>
      <w:bookmarkStart w:id="250" w:name="_Toc1147619601_WPSOffice_Level2"/>
      <w:bookmarkStart w:id="251" w:name="_Toc179658326"/>
      <w:bookmarkStart w:id="252" w:name="_Toc28880"/>
      <w:bookmarkStart w:id="253" w:name="_Toc491633314"/>
      <w:bookmarkStart w:id="254" w:name="_Toc130033913"/>
      <w:bookmarkStart w:id="255" w:name="_Toc1373387760"/>
      <w:bookmarkStart w:id="256" w:name="_Toc128438084"/>
      <w:bookmarkStart w:id="257" w:name="_Toc6784"/>
      <w:bookmarkStart w:id="258" w:name="_Toc325523293_WPSOffice_Level3"/>
      <w:bookmarkStart w:id="259" w:name="_Toc2114965086"/>
      <w:r>
        <w:rPr>
          <w:rFonts w:hint="eastAsia" w:ascii="楷体" w:hAnsi="楷体" w:eastAsia="楷体" w:cs="楷体"/>
          <w:b w:val="0"/>
          <w:szCs w:val="32"/>
          <w:lang w:eastAsia="zh-CN"/>
        </w:rPr>
        <w:t>项目决策情况</w:t>
      </w:r>
      <w:bookmarkEnd w:id="243"/>
      <w:bookmarkEnd w:id="244"/>
      <w:bookmarkEnd w:id="245"/>
      <w:bookmarkEnd w:id="246"/>
      <w:bookmarkEnd w:id="247"/>
      <w:bookmarkEnd w:id="248"/>
      <w:bookmarkEnd w:id="249"/>
      <w:bookmarkEnd w:id="250"/>
      <w:bookmarkEnd w:id="251"/>
    </w:p>
    <w:p>
      <w:pPr>
        <w:ind w:firstLine="612"/>
        <w:rPr>
          <w:rFonts w:hint="eastAsia" w:ascii="仿宋" w:hAnsi="仿宋" w:eastAsia="仿宋" w:cs="仿宋"/>
          <w:spacing w:val="-7"/>
          <w:szCs w:val="32"/>
          <w:lang w:eastAsia="zh-CN"/>
        </w:rPr>
      </w:pPr>
      <w:r>
        <w:rPr>
          <w:rFonts w:hint="eastAsia" w:ascii="仿宋" w:hAnsi="仿宋" w:eastAsia="仿宋" w:cs="仿宋"/>
          <w:spacing w:val="-7"/>
          <w:szCs w:val="32"/>
          <w:lang w:eastAsia="zh-CN"/>
        </w:rPr>
        <w:t>项目决策是项目立项的前提和方向，本次评价从项目立项、绩效目标以及资金投入三个方面来评价项目决策的优劣。项目决策权重20.00分，本项目得分20.00分，得分率100.00%。具体得分情况见下表4-1：</w:t>
      </w:r>
    </w:p>
    <w:p>
      <w:pPr>
        <w:ind w:firstLine="0" w:firstLineChars="0"/>
        <w:jc w:val="center"/>
        <w:rPr>
          <w:rFonts w:hint="eastAsia" w:ascii="仿宋" w:hAnsi="仿宋" w:eastAsia="仿宋" w:cs="仿宋"/>
          <w:szCs w:val="32"/>
        </w:rPr>
      </w:pPr>
      <w:r>
        <w:rPr>
          <w:rFonts w:hint="eastAsia" w:ascii="仿宋" w:hAnsi="仿宋" w:eastAsia="仿宋" w:cs="仿宋"/>
          <w:szCs w:val="32"/>
        </w:rPr>
        <w:t>表4-1项目决策指标得分</w:t>
      </w:r>
    </w:p>
    <w:tbl>
      <w:tblPr>
        <w:tblStyle w:val="22"/>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blHeader/>
        </w:trPr>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项目立项</w:t>
            </w:r>
          </w:p>
        </w:tc>
        <w:tc>
          <w:tcPr>
            <w:tcW w:w="1250" w:type="pct"/>
            <w:tcBorders>
              <w:top w:val="nil"/>
              <w:left w:val="nil"/>
              <w:bottom w:val="single" w:color="auto" w:sz="4" w:space="0"/>
              <w:right w:val="single" w:color="auto" w:sz="4" w:space="0"/>
            </w:tcBorders>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仿宋"/>
                <w:bCs/>
                <w:sz w:val="24"/>
              </w:rPr>
              <w:t>8</w:t>
            </w:r>
          </w:p>
        </w:tc>
        <w:tc>
          <w:tcPr>
            <w:tcW w:w="1250" w:type="pct"/>
            <w:tcBorders>
              <w:top w:val="single" w:color="auto" w:sz="4" w:space="0"/>
              <w:left w:val="nil"/>
              <w:bottom w:val="single" w:color="auto" w:sz="4" w:space="0"/>
              <w:right w:val="single" w:color="auto" w:sz="4" w:space="0"/>
            </w:tcBorders>
            <w:vAlign w:val="center"/>
          </w:tcPr>
          <w:p>
            <w:pPr>
              <w:widowControl/>
              <w:spacing w:line="480" w:lineRule="auto"/>
              <w:ind w:firstLine="0" w:firstLineChars="0"/>
              <w:jc w:val="center"/>
              <w:textAlignment w:val="center"/>
              <w:rPr>
                <w:rFonts w:hint="eastAsia" w:ascii="仿宋" w:hAnsi="仿宋" w:eastAsia="仿宋" w:cs="仿宋"/>
                <w:bCs/>
                <w:sz w:val="24"/>
                <w:lang w:eastAsia="zh-CN"/>
              </w:rPr>
            </w:pPr>
            <w:r>
              <w:rPr>
                <w:rFonts w:hint="eastAsia" w:ascii="仿宋" w:hAnsi="仿宋" w:eastAsia="仿宋" w:cs="仿宋"/>
                <w:bCs/>
                <w:sz w:val="24"/>
                <w:lang w:eastAsia="zh-CN"/>
              </w:rPr>
              <w:t>8</w:t>
            </w:r>
          </w:p>
        </w:tc>
        <w:tc>
          <w:tcPr>
            <w:tcW w:w="1250" w:type="pct"/>
            <w:tcBorders>
              <w:top w:val="single" w:color="auto" w:sz="4" w:space="0"/>
              <w:left w:val="single" w:color="auto" w:sz="4" w:space="0"/>
              <w:bottom w:val="single" w:color="auto" w:sz="4" w:space="0"/>
              <w:right w:val="single" w:color="auto" w:sz="4" w:space="0"/>
            </w:tcBorders>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仿宋"/>
                <w:bCs/>
                <w:sz w:val="24"/>
                <w:lang w:eastAsia="zh-CN"/>
              </w:rPr>
              <w:t>100.00</w:t>
            </w:r>
            <w:r>
              <w:rPr>
                <w:rFonts w:hint="eastAsia" w:ascii="仿宋" w:hAnsi="仿宋" w:eastAsia="仿宋" w:cs="仿宋"/>
                <w:bCs/>
                <w:sz w:val="24"/>
              </w:rPr>
              <w:t>%</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绩效目标</w:t>
            </w:r>
          </w:p>
        </w:tc>
        <w:tc>
          <w:tcPr>
            <w:tcW w:w="1250" w:type="pct"/>
            <w:tcBorders>
              <w:top w:val="nil"/>
              <w:left w:val="nil"/>
              <w:bottom w:val="single" w:color="auto" w:sz="4" w:space="0"/>
              <w:right w:val="single" w:color="auto" w:sz="4" w:space="0"/>
            </w:tcBorders>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仿宋"/>
                <w:bCs/>
                <w:sz w:val="24"/>
              </w:rPr>
              <w:t>6</w:t>
            </w:r>
          </w:p>
        </w:tc>
        <w:tc>
          <w:tcPr>
            <w:tcW w:w="1250" w:type="pct"/>
            <w:tcBorders>
              <w:top w:val="single" w:color="auto" w:sz="4" w:space="0"/>
              <w:left w:val="nil"/>
              <w:bottom w:val="single" w:color="auto" w:sz="4" w:space="0"/>
              <w:right w:val="single" w:color="auto" w:sz="4" w:space="0"/>
            </w:tcBorders>
            <w:vAlign w:val="center"/>
          </w:tcPr>
          <w:p>
            <w:pPr>
              <w:widowControl/>
              <w:spacing w:line="480" w:lineRule="auto"/>
              <w:ind w:firstLine="0" w:firstLineChars="0"/>
              <w:jc w:val="center"/>
              <w:textAlignment w:val="center"/>
              <w:rPr>
                <w:rFonts w:hint="eastAsia" w:ascii="仿宋" w:hAnsi="仿宋" w:eastAsia="仿宋" w:cs="仿宋"/>
                <w:bCs/>
                <w:sz w:val="24"/>
                <w:lang w:eastAsia="zh-CN"/>
              </w:rPr>
            </w:pPr>
            <w:r>
              <w:rPr>
                <w:rFonts w:hint="eastAsia" w:ascii="仿宋" w:hAnsi="仿宋" w:eastAsia="仿宋" w:cs="仿宋"/>
                <w:bCs/>
                <w:sz w:val="24"/>
                <w:lang w:eastAsia="zh-CN"/>
              </w:rPr>
              <w:t>6</w:t>
            </w:r>
          </w:p>
        </w:tc>
        <w:tc>
          <w:tcPr>
            <w:tcW w:w="1250" w:type="pct"/>
            <w:tcBorders>
              <w:top w:val="single" w:color="auto" w:sz="4" w:space="0"/>
              <w:left w:val="single" w:color="auto" w:sz="4" w:space="0"/>
              <w:bottom w:val="single" w:color="auto" w:sz="4" w:space="0"/>
              <w:right w:val="single" w:color="auto" w:sz="4" w:space="0"/>
            </w:tcBorders>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仿宋"/>
                <w:bCs/>
                <w:sz w:val="24"/>
                <w:lang w:eastAsia="zh-CN"/>
              </w:rPr>
              <w:t>100</w:t>
            </w:r>
            <w:r>
              <w:rPr>
                <w:rFonts w:hint="eastAsia" w:ascii="仿宋" w:hAnsi="仿宋" w:eastAsia="仿宋" w:cs="仿宋"/>
                <w:bCs/>
                <w:sz w:val="24"/>
              </w:rPr>
              <w:t>.00%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资金投入</w:t>
            </w:r>
          </w:p>
        </w:tc>
        <w:tc>
          <w:tcPr>
            <w:tcW w:w="1250" w:type="pct"/>
            <w:tcBorders>
              <w:top w:val="nil"/>
              <w:left w:val="nil"/>
              <w:bottom w:val="single" w:color="auto" w:sz="4" w:space="0"/>
              <w:right w:val="single" w:color="auto" w:sz="4" w:space="0"/>
            </w:tcBorders>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仿宋"/>
                <w:bCs/>
                <w:sz w:val="24"/>
              </w:rPr>
              <w:t>6</w:t>
            </w:r>
          </w:p>
        </w:tc>
        <w:tc>
          <w:tcPr>
            <w:tcW w:w="1250" w:type="pct"/>
            <w:tcBorders>
              <w:top w:val="single" w:color="auto" w:sz="4" w:space="0"/>
              <w:left w:val="nil"/>
              <w:bottom w:val="single" w:color="auto" w:sz="4" w:space="0"/>
              <w:right w:val="single" w:color="auto" w:sz="4" w:space="0"/>
            </w:tcBorders>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仿宋"/>
                <w:bCs/>
                <w:sz w:val="24"/>
              </w:rPr>
              <w:t>6</w:t>
            </w:r>
          </w:p>
        </w:tc>
        <w:tc>
          <w:tcPr>
            <w:tcW w:w="1250" w:type="pct"/>
            <w:tcBorders>
              <w:top w:val="single" w:color="auto" w:sz="4" w:space="0"/>
              <w:left w:val="single" w:color="auto" w:sz="4" w:space="0"/>
              <w:bottom w:val="single" w:color="auto" w:sz="4" w:space="0"/>
              <w:right w:val="single" w:color="auto" w:sz="4" w:space="0"/>
            </w:tcBorders>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仿宋"/>
                <w:bCs/>
                <w:sz w:val="24"/>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合计</w:t>
            </w:r>
          </w:p>
        </w:tc>
        <w:tc>
          <w:tcPr>
            <w:tcW w:w="1250" w:type="pct"/>
            <w:tcBorders>
              <w:top w:val="nil"/>
              <w:left w:val="nil"/>
              <w:bottom w:val="single" w:color="auto" w:sz="4" w:space="0"/>
              <w:right w:val="single" w:color="auto" w:sz="4" w:space="0"/>
            </w:tcBorders>
            <w:noWrap/>
            <w:vAlign w:val="center"/>
          </w:tcPr>
          <w:p>
            <w:pPr>
              <w:widowControl/>
              <w:spacing w:line="480" w:lineRule="auto"/>
              <w:ind w:firstLine="0" w:firstLineChars="0"/>
              <w:jc w:val="center"/>
              <w:rPr>
                <w:rFonts w:hint="eastAsia" w:ascii="仿宋" w:hAnsi="仿宋" w:eastAsia="仿宋" w:cs="仿宋"/>
                <w:bCs/>
                <w:sz w:val="24"/>
                <w:lang w:eastAsia="zh-CN"/>
              </w:rPr>
            </w:pPr>
            <w:r>
              <w:rPr>
                <w:rFonts w:hint="eastAsia" w:ascii="仿宋" w:hAnsi="仿宋" w:eastAsia="仿宋" w:cs="仿宋"/>
                <w:bCs/>
                <w:sz w:val="24"/>
              </w:rPr>
              <w:t>20</w:t>
            </w:r>
          </w:p>
        </w:tc>
        <w:tc>
          <w:tcPr>
            <w:tcW w:w="1250" w:type="pct"/>
            <w:tcBorders>
              <w:top w:val="single" w:color="auto" w:sz="4" w:space="0"/>
              <w:left w:val="nil"/>
              <w:bottom w:val="single" w:color="auto" w:sz="4" w:space="0"/>
              <w:right w:val="single" w:color="auto" w:sz="4" w:space="0"/>
            </w:tcBorders>
            <w:vAlign w:val="center"/>
          </w:tcPr>
          <w:p>
            <w:pPr>
              <w:widowControl/>
              <w:spacing w:line="480" w:lineRule="auto"/>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w:t>
            </w:r>
          </w:p>
        </w:tc>
        <w:tc>
          <w:tcPr>
            <w:tcW w:w="1250" w:type="pct"/>
            <w:tcBorders>
              <w:top w:val="single" w:color="auto" w:sz="4" w:space="0"/>
              <w:left w:val="single" w:color="auto" w:sz="4" w:space="0"/>
              <w:bottom w:val="single" w:color="auto" w:sz="4" w:space="0"/>
              <w:right w:val="single" w:color="auto" w:sz="4" w:space="0"/>
            </w:tcBorders>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lang w:eastAsia="zh-CN"/>
              </w:rPr>
              <w:t>100.00</w:t>
            </w:r>
            <w:r>
              <w:rPr>
                <w:rFonts w:hint="eastAsia" w:ascii="仿宋" w:hAnsi="仿宋" w:eastAsia="仿宋" w:cs="仿宋"/>
                <w:bCs/>
                <w:sz w:val="24"/>
              </w:rPr>
              <w:t>%</w:t>
            </w:r>
          </w:p>
        </w:tc>
      </w:tr>
    </w:tbl>
    <w:p>
      <w:pPr>
        <w:pStyle w:val="4"/>
        <w:numPr>
          <w:ilvl w:val="2"/>
          <w:numId w:val="10"/>
        </w:numPr>
        <w:ind w:firstLineChars="0"/>
        <w:rPr>
          <w:rFonts w:hint="eastAsia" w:ascii="仿宋" w:hAnsi="仿宋" w:eastAsia="仿宋" w:cs="仿宋"/>
          <w:b w:val="0"/>
          <w:bCs/>
          <w:szCs w:val="32"/>
        </w:rPr>
      </w:pPr>
      <w:bookmarkStart w:id="260" w:name="_Toc1184392981"/>
      <w:bookmarkStart w:id="261" w:name="_Toc1085334293_WPSOffice_Level3"/>
      <w:bookmarkStart w:id="262" w:name="_Toc1146008427"/>
      <w:bookmarkStart w:id="263" w:name="_Toc948854501"/>
      <w:bookmarkStart w:id="264" w:name="_Toc11758"/>
      <w:bookmarkStart w:id="265" w:name="_Toc130033909"/>
      <w:bookmarkStart w:id="266" w:name="_Toc795875063"/>
      <w:bookmarkStart w:id="267" w:name="_Toc2450"/>
      <w:r>
        <w:rPr>
          <w:rFonts w:hint="eastAsia" w:ascii="仿宋" w:hAnsi="仿宋" w:eastAsia="仿宋" w:cs="仿宋"/>
          <w:b w:val="0"/>
          <w:bCs/>
          <w:szCs w:val="32"/>
        </w:rPr>
        <w:t>项目立项</w:t>
      </w:r>
      <w:bookmarkEnd w:id="260"/>
      <w:bookmarkEnd w:id="261"/>
      <w:bookmarkEnd w:id="262"/>
      <w:bookmarkEnd w:id="263"/>
      <w:bookmarkEnd w:id="264"/>
      <w:bookmarkEnd w:id="265"/>
      <w:bookmarkEnd w:id="266"/>
      <w:bookmarkEnd w:id="267"/>
    </w:p>
    <w:p>
      <w:pPr>
        <w:pStyle w:val="5"/>
        <w:numPr>
          <w:ilvl w:val="1"/>
          <w:numId w:val="11"/>
        </w:numPr>
        <w:tabs>
          <w:tab w:val="left" w:pos="1418"/>
        </w:tabs>
        <w:ind w:left="0" w:firstLine="567" w:firstLineChars="0"/>
        <w:rPr>
          <w:rFonts w:hint="eastAsia" w:ascii="仿宋" w:hAnsi="仿宋" w:eastAsia="仿宋" w:cs="仿宋"/>
          <w:b w:val="0"/>
          <w:bCs/>
          <w:szCs w:val="32"/>
          <w:lang w:eastAsia="zh-CN"/>
        </w:rPr>
      </w:pPr>
      <w:bookmarkStart w:id="268" w:name="_Toc28242"/>
      <w:r>
        <w:rPr>
          <w:rFonts w:hint="eastAsia" w:ascii="仿宋" w:hAnsi="仿宋" w:eastAsia="仿宋" w:cs="仿宋"/>
          <w:b w:val="0"/>
          <w:bCs/>
          <w:szCs w:val="32"/>
          <w:lang w:eastAsia="zh-CN"/>
        </w:rPr>
        <w:t>立项依据充分性分析</w:t>
      </w:r>
      <w:bookmarkEnd w:id="268"/>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该项目根据《乐山市金口河区发展和改革局关于乐山市金口河区金河镇新坪村村道水毁治理工程项目建议书批复》（金发改投资〔2024〕34号）文件，乐山市金口河区发展和改革局原则同意该项目的项目建议书，项目计划总投资21万元，资金来源为2024年沙湾对口帮扶19万元，金河镇乡道公路养护资金2万元。本项目立项符合国家法律法规、行业发展规划和政策要求。项目立项依据充分，依据评分方法，该指标满分4.00分。</w:t>
      </w:r>
    </w:p>
    <w:p>
      <w:pPr>
        <w:pStyle w:val="5"/>
        <w:numPr>
          <w:ilvl w:val="0"/>
          <w:numId w:val="11"/>
        </w:numPr>
        <w:tabs>
          <w:tab w:val="left" w:pos="1418"/>
        </w:tabs>
        <w:ind w:left="0" w:firstLine="567" w:firstLineChars="0"/>
        <w:rPr>
          <w:rFonts w:hint="eastAsia" w:ascii="仿宋" w:hAnsi="仿宋" w:eastAsia="仿宋" w:cs="仿宋"/>
          <w:b w:val="0"/>
          <w:bCs/>
          <w:szCs w:val="32"/>
          <w:lang w:eastAsia="zh-CN"/>
        </w:rPr>
      </w:pPr>
      <w:bookmarkStart w:id="269" w:name="_Toc22744"/>
      <w:r>
        <w:rPr>
          <w:rFonts w:hint="eastAsia" w:ascii="仿宋" w:hAnsi="仿宋" w:eastAsia="仿宋" w:cs="仿宋"/>
          <w:b w:val="0"/>
          <w:bCs/>
          <w:szCs w:val="32"/>
          <w:lang w:eastAsia="zh-CN"/>
        </w:rPr>
        <w:t>立项程序规范性分析</w:t>
      </w:r>
      <w:bookmarkEnd w:id="269"/>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项目经金河镇政府金镇府〔2024〕9号</w:t>
      </w:r>
      <w:r>
        <w:rPr>
          <w:rFonts w:hint="eastAsia" w:ascii="仿宋" w:hAnsi="仿宋" w:eastAsia="仿宋" w:cs="仿宋"/>
          <w:bCs/>
          <w:spacing w:val="-7"/>
          <w:szCs w:val="32"/>
          <w:lang w:val="en-US" w:eastAsia="zh-CN"/>
        </w:rPr>
        <w:t>文</w:t>
      </w:r>
      <w:r>
        <w:rPr>
          <w:rFonts w:hint="eastAsia" w:ascii="仿宋" w:hAnsi="仿宋" w:eastAsia="仿宋" w:cs="仿宋"/>
          <w:bCs/>
          <w:spacing w:val="-7"/>
          <w:szCs w:val="32"/>
          <w:lang w:eastAsia="zh-CN"/>
        </w:rPr>
        <w:t>申报，经金口河区十一届人民政府第71次常务会议审议通过，先发带后发工作队原则同意该项目的实施。同时根据《《乐山市金口河区发展和改革局关于乐山市金口河区金河镇新坪村村道水毁治理工程项目建议书批复》（金发改投资〔2024〕34号）文件，乐山市金口河区发展和改革局原则同意该项目的项目建议书。项目立项程序规范，审批文件和材料合规完整。依据评分方法，该指标满分4.00分。</w:t>
      </w:r>
    </w:p>
    <w:p>
      <w:pPr>
        <w:pStyle w:val="4"/>
        <w:numPr>
          <w:ilvl w:val="0"/>
          <w:numId w:val="10"/>
        </w:numPr>
        <w:ind w:firstLineChars="0"/>
        <w:rPr>
          <w:rFonts w:hint="eastAsia" w:ascii="仿宋" w:hAnsi="仿宋" w:eastAsia="仿宋" w:cs="仿宋"/>
          <w:b w:val="0"/>
          <w:bCs/>
          <w:szCs w:val="32"/>
        </w:rPr>
      </w:pPr>
      <w:bookmarkStart w:id="270" w:name="_Toc19426"/>
      <w:bookmarkStart w:id="271" w:name="_Toc130033910"/>
      <w:bookmarkStart w:id="272" w:name="_Toc15647"/>
      <w:bookmarkStart w:id="273" w:name="_Toc487364833_WPSOffice_Level3"/>
      <w:bookmarkStart w:id="274" w:name="_Toc182802646"/>
      <w:bookmarkStart w:id="275" w:name="_Toc1744030325"/>
      <w:bookmarkStart w:id="276" w:name="_Toc1066907624"/>
      <w:bookmarkStart w:id="277" w:name="_Toc184035685"/>
      <w:r>
        <w:rPr>
          <w:rFonts w:hint="eastAsia" w:ascii="仿宋" w:hAnsi="仿宋" w:eastAsia="仿宋" w:cs="仿宋"/>
          <w:b w:val="0"/>
          <w:bCs/>
          <w:szCs w:val="32"/>
        </w:rPr>
        <w:t>绩效目标</w:t>
      </w:r>
      <w:bookmarkEnd w:id="270"/>
      <w:bookmarkEnd w:id="271"/>
      <w:bookmarkEnd w:id="272"/>
      <w:bookmarkEnd w:id="273"/>
      <w:bookmarkEnd w:id="274"/>
      <w:bookmarkEnd w:id="275"/>
      <w:bookmarkEnd w:id="276"/>
      <w:bookmarkEnd w:id="277"/>
    </w:p>
    <w:p>
      <w:pPr>
        <w:pStyle w:val="5"/>
        <w:numPr>
          <w:ilvl w:val="1"/>
          <w:numId w:val="12"/>
        </w:numPr>
        <w:tabs>
          <w:tab w:val="left" w:pos="0"/>
        </w:tabs>
        <w:ind w:left="0" w:firstLine="567" w:firstLineChars="0"/>
        <w:rPr>
          <w:rFonts w:hint="eastAsia" w:ascii="仿宋" w:hAnsi="仿宋" w:eastAsia="仿宋" w:cs="仿宋"/>
          <w:b w:val="0"/>
          <w:bCs/>
          <w:szCs w:val="32"/>
          <w:lang w:eastAsia="zh-CN"/>
        </w:rPr>
      </w:pPr>
      <w:bookmarkStart w:id="278" w:name="_Toc31202"/>
      <w:r>
        <w:rPr>
          <w:rFonts w:hint="eastAsia" w:ascii="仿宋" w:hAnsi="仿宋" w:eastAsia="仿宋" w:cs="仿宋"/>
          <w:b w:val="0"/>
          <w:bCs/>
          <w:szCs w:val="32"/>
          <w:lang w:eastAsia="zh-CN"/>
        </w:rPr>
        <w:t>绩效目标合理性分析</w:t>
      </w:r>
      <w:bookmarkEnd w:id="278"/>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设置绩效目标符合《项目支出绩效评价管理办法》，制定了项目产出、效益、满意度指标；项目绩效目标明确合理，与项目实施的宗旨关联度较高，预期产出效益和效果符合正常的业绩水平；绩效目标与预算确定的资金量相匹配。根据评分标准，该指标得满分3.00分。</w:t>
      </w:r>
    </w:p>
    <w:p>
      <w:pPr>
        <w:pStyle w:val="5"/>
        <w:numPr>
          <w:ilvl w:val="0"/>
          <w:numId w:val="12"/>
        </w:numPr>
        <w:tabs>
          <w:tab w:val="left" w:pos="0"/>
        </w:tabs>
        <w:ind w:left="0" w:firstLine="567" w:firstLineChars="0"/>
        <w:rPr>
          <w:rFonts w:hint="eastAsia" w:ascii="仿宋" w:hAnsi="仿宋" w:eastAsia="仿宋" w:cs="仿宋"/>
          <w:b w:val="0"/>
          <w:bCs/>
          <w:szCs w:val="32"/>
          <w:lang w:eastAsia="zh-CN"/>
        </w:rPr>
      </w:pPr>
      <w:bookmarkStart w:id="279" w:name="_Toc15797"/>
      <w:r>
        <w:rPr>
          <w:rFonts w:hint="eastAsia" w:ascii="仿宋" w:hAnsi="仿宋" w:eastAsia="仿宋" w:cs="仿宋"/>
          <w:b w:val="0"/>
          <w:bCs/>
          <w:szCs w:val="32"/>
          <w:lang w:eastAsia="zh-CN"/>
        </w:rPr>
        <w:t>绩效指标明确性分析</w:t>
      </w:r>
      <w:bookmarkEnd w:id="279"/>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项目所设定的绩效指标基本符合《项目支出绩效评价管理办法》，依据产出、效益、满意度三项绩效目标细化分解为具体的绩效指标，设定的绩效指标清晰、可衡量度高。根据评分标准，该指标满分3.00分。</w:t>
      </w:r>
    </w:p>
    <w:p>
      <w:pPr>
        <w:pStyle w:val="4"/>
        <w:numPr>
          <w:ilvl w:val="0"/>
          <w:numId w:val="10"/>
        </w:numPr>
        <w:ind w:firstLineChars="0"/>
        <w:rPr>
          <w:rFonts w:hint="eastAsia" w:ascii="仿宋" w:hAnsi="仿宋" w:eastAsia="仿宋" w:cs="仿宋"/>
          <w:b w:val="0"/>
          <w:bCs/>
          <w:szCs w:val="32"/>
          <w:lang w:eastAsia="zh-CN"/>
        </w:rPr>
      </w:pPr>
      <w:bookmarkStart w:id="280" w:name="_Toc638118573_WPSOffice_Level3"/>
      <w:bookmarkStart w:id="281" w:name="_Toc130033911"/>
      <w:bookmarkStart w:id="282" w:name="_Toc711306115"/>
      <w:bookmarkStart w:id="283" w:name="_Toc11402"/>
      <w:bookmarkStart w:id="284" w:name="_Toc27984118"/>
      <w:bookmarkStart w:id="285" w:name="_Toc1462456112"/>
      <w:bookmarkStart w:id="286" w:name="_Toc913374372"/>
      <w:bookmarkStart w:id="287" w:name="_Toc7990"/>
      <w:r>
        <w:rPr>
          <w:rFonts w:hint="eastAsia" w:ascii="仿宋" w:hAnsi="仿宋" w:eastAsia="仿宋" w:cs="仿宋"/>
          <w:b w:val="0"/>
          <w:bCs/>
          <w:szCs w:val="32"/>
          <w:lang w:eastAsia="zh-CN"/>
        </w:rPr>
        <w:t>资金投入</w:t>
      </w:r>
      <w:bookmarkEnd w:id="280"/>
      <w:bookmarkEnd w:id="281"/>
      <w:bookmarkEnd w:id="282"/>
      <w:bookmarkEnd w:id="283"/>
      <w:bookmarkEnd w:id="284"/>
      <w:bookmarkEnd w:id="285"/>
      <w:bookmarkEnd w:id="286"/>
      <w:bookmarkEnd w:id="287"/>
    </w:p>
    <w:p>
      <w:pPr>
        <w:pStyle w:val="5"/>
        <w:numPr>
          <w:ilvl w:val="1"/>
          <w:numId w:val="13"/>
        </w:numPr>
        <w:tabs>
          <w:tab w:val="left" w:pos="1418"/>
        </w:tabs>
        <w:ind w:left="0" w:firstLine="643" w:firstLineChars="0"/>
        <w:rPr>
          <w:rFonts w:hint="eastAsia" w:ascii="仿宋" w:hAnsi="仿宋" w:eastAsia="仿宋" w:cs="仿宋"/>
          <w:b w:val="0"/>
          <w:bCs/>
          <w:szCs w:val="32"/>
          <w:lang w:eastAsia="zh-CN"/>
        </w:rPr>
      </w:pPr>
      <w:bookmarkStart w:id="288" w:name="_Toc28796"/>
      <w:r>
        <w:rPr>
          <w:rFonts w:hint="eastAsia" w:ascii="仿宋" w:hAnsi="仿宋" w:eastAsia="仿宋" w:cs="仿宋"/>
          <w:b w:val="0"/>
          <w:bCs/>
          <w:szCs w:val="32"/>
          <w:lang w:eastAsia="zh-CN"/>
        </w:rPr>
        <w:t>预算编制的科学性分析</w:t>
      </w:r>
      <w:bookmarkEnd w:id="288"/>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根据《乐山市金口河区财政局关于对乐山市金口河区金河镇新坪村村道水毁治理工程预算财政评审结果确认函》（金财确函〔2024〕41号）文件，确认该项目的预算审定金额为212,516.87元(其中:建安工程费212,516.87元)。预算内容与项目内容匹配，预算额度依据充分，考虑了实际情况。根据评分标准，该指标满分3.00分。</w:t>
      </w:r>
    </w:p>
    <w:p>
      <w:pPr>
        <w:pStyle w:val="5"/>
        <w:numPr>
          <w:ilvl w:val="0"/>
          <w:numId w:val="13"/>
        </w:numPr>
        <w:tabs>
          <w:tab w:val="left" w:pos="1418"/>
        </w:tabs>
        <w:ind w:left="0" w:firstLine="643" w:firstLineChars="0"/>
        <w:rPr>
          <w:rFonts w:hint="eastAsia" w:ascii="仿宋" w:hAnsi="仿宋" w:eastAsia="仿宋" w:cs="仿宋"/>
          <w:b w:val="0"/>
          <w:bCs/>
          <w:szCs w:val="32"/>
          <w:lang w:eastAsia="zh-CN"/>
        </w:rPr>
      </w:pPr>
      <w:bookmarkStart w:id="289" w:name="_Toc25915"/>
      <w:r>
        <w:rPr>
          <w:rFonts w:hint="eastAsia" w:ascii="仿宋" w:hAnsi="仿宋" w:eastAsia="仿宋" w:cs="仿宋"/>
          <w:b w:val="0"/>
          <w:bCs/>
          <w:szCs w:val="32"/>
          <w:lang w:eastAsia="zh-CN"/>
        </w:rPr>
        <w:t>资金分配合理性分析</w:t>
      </w:r>
      <w:bookmarkEnd w:id="289"/>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2024年8月2日招标代理机构四川恒鑫工程管理咨询有限公司采用竞争性磋商开标、评标后发布成交通知书，确认四川省世通盛德建设工程有限公司为乐山市金口河区金河镇新坪村村道水毁治理工程的中标人，中标价：208,266.53元。预算资金分配依据充分、分配额度合理。根据评分标准，该指标满分3.00分。</w:t>
      </w:r>
    </w:p>
    <w:p>
      <w:pPr>
        <w:pStyle w:val="3"/>
        <w:numPr>
          <w:ilvl w:val="0"/>
          <w:numId w:val="9"/>
        </w:numPr>
        <w:spacing w:before="0" w:beforeLines="0" w:after="0" w:afterLines="0"/>
        <w:ind w:firstLineChars="0"/>
        <w:rPr>
          <w:rFonts w:hint="eastAsia" w:ascii="楷体" w:hAnsi="楷体" w:eastAsia="楷体" w:cs="楷体"/>
          <w:b w:val="0"/>
          <w:bCs/>
          <w:szCs w:val="32"/>
        </w:rPr>
      </w:pPr>
      <w:bookmarkStart w:id="290" w:name="_Toc1549534469"/>
      <w:bookmarkStart w:id="291" w:name="_Toc16887"/>
      <w:bookmarkStart w:id="292" w:name="_Toc1492000300_WPSOffice_Level2"/>
      <w:bookmarkStart w:id="293" w:name="_Toc2027895603"/>
      <w:bookmarkStart w:id="294" w:name="_Toc179658327"/>
      <w:bookmarkStart w:id="295" w:name="_Toc24776"/>
      <w:bookmarkStart w:id="296" w:name="_Toc132480968"/>
      <w:bookmarkStart w:id="297" w:name="_Toc869961448"/>
      <w:bookmarkStart w:id="298" w:name="_Toc30152533"/>
      <w:r>
        <w:rPr>
          <w:rFonts w:hint="eastAsia" w:ascii="楷体" w:hAnsi="楷体" w:eastAsia="楷体" w:cs="楷体"/>
          <w:b w:val="0"/>
          <w:bCs/>
          <w:szCs w:val="32"/>
        </w:rPr>
        <w:t>项目过程情况</w:t>
      </w:r>
      <w:bookmarkEnd w:id="290"/>
      <w:bookmarkEnd w:id="291"/>
      <w:bookmarkEnd w:id="292"/>
      <w:bookmarkEnd w:id="293"/>
      <w:bookmarkEnd w:id="294"/>
      <w:bookmarkEnd w:id="295"/>
      <w:bookmarkEnd w:id="296"/>
      <w:bookmarkEnd w:id="297"/>
      <w:bookmarkEnd w:id="298"/>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项目管理过程是保证项目获得效果的重要基础和前提，本次评价从资金管理和组织实施两个方面来评价项目管理的优劣。项目管理权重20.00分，本项目得分</w:t>
      </w:r>
      <w:r>
        <w:rPr>
          <w:rFonts w:hint="eastAsia" w:ascii="仿宋" w:hAnsi="仿宋" w:eastAsia="仿宋" w:cs="仿宋"/>
          <w:bCs/>
          <w:spacing w:val="-7"/>
          <w:szCs w:val="32"/>
          <w:lang w:val="en-US" w:eastAsia="zh-CN"/>
        </w:rPr>
        <w:t>16.31</w:t>
      </w:r>
      <w:r>
        <w:rPr>
          <w:rFonts w:hint="eastAsia" w:ascii="仿宋" w:hAnsi="仿宋" w:eastAsia="仿宋" w:cs="仿宋"/>
          <w:bCs/>
          <w:spacing w:val="-7"/>
          <w:szCs w:val="32"/>
          <w:lang w:eastAsia="zh-CN"/>
        </w:rPr>
        <w:t>分，得分率</w:t>
      </w:r>
      <w:r>
        <w:rPr>
          <w:rFonts w:hint="eastAsia" w:ascii="仿宋" w:hAnsi="仿宋" w:eastAsia="仿宋" w:cs="仿宋"/>
          <w:bCs/>
          <w:spacing w:val="-7"/>
          <w:szCs w:val="32"/>
          <w:lang w:val="en-US" w:eastAsia="zh-CN"/>
        </w:rPr>
        <w:t>81.55</w:t>
      </w:r>
      <w:r>
        <w:rPr>
          <w:rFonts w:hint="eastAsia" w:ascii="仿宋" w:hAnsi="仿宋" w:eastAsia="仿宋" w:cs="仿宋"/>
          <w:bCs/>
          <w:spacing w:val="-7"/>
          <w:szCs w:val="32"/>
          <w:lang w:eastAsia="zh-CN"/>
        </w:rPr>
        <w:t>%。项目过程</w:t>
      </w:r>
      <w:r>
        <w:rPr>
          <w:rFonts w:hint="eastAsia" w:ascii="仿宋" w:hAnsi="仿宋" w:eastAsia="仿宋" w:cs="仿宋"/>
          <w:bCs/>
          <w:spacing w:val="-7"/>
          <w:szCs w:val="32"/>
          <w:lang w:val="en-US" w:eastAsia="zh-CN"/>
        </w:rPr>
        <w:t>扣分原因系</w:t>
      </w:r>
      <w:r>
        <w:rPr>
          <w:rFonts w:hint="eastAsia" w:ascii="仿宋" w:hAnsi="仿宋" w:eastAsia="仿宋" w:cs="仿宋"/>
          <w:bCs/>
          <w:spacing w:val="-7"/>
          <w:szCs w:val="32"/>
          <w:lang w:eastAsia="zh-CN"/>
        </w:rPr>
        <w:t>预算执行率</w:t>
      </w:r>
      <w:r>
        <w:rPr>
          <w:rFonts w:hint="eastAsia" w:ascii="仿宋" w:hAnsi="仿宋" w:eastAsia="仿宋" w:cs="仿宋"/>
          <w:bCs/>
          <w:spacing w:val="-7"/>
          <w:szCs w:val="32"/>
          <w:lang w:val="en-US" w:eastAsia="zh-CN"/>
        </w:rPr>
        <w:t>为</w:t>
      </w:r>
      <w:r>
        <w:rPr>
          <w:rFonts w:hint="eastAsia" w:ascii="仿宋" w:hAnsi="仿宋" w:eastAsia="仿宋" w:cs="仿宋"/>
          <w:bCs/>
          <w:spacing w:val="-7"/>
          <w:szCs w:val="32"/>
          <w:lang w:eastAsia="zh-CN"/>
        </w:rPr>
        <w:t>93.62%，资金使用合规性、合同签订及管理和执行规范性</w:t>
      </w:r>
      <w:r>
        <w:rPr>
          <w:rFonts w:hint="eastAsia" w:ascii="仿宋" w:hAnsi="仿宋" w:eastAsia="仿宋" w:cs="仿宋"/>
          <w:bCs/>
          <w:spacing w:val="-7"/>
          <w:szCs w:val="32"/>
          <w:lang w:val="en-US" w:eastAsia="zh-CN"/>
        </w:rPr>
        <w:t>指标均存在不足</w:t>
      </w:r>
      <w:r>
        <w:rPr>
          <w:rFonts w:hint="eastAsia" w:ascii="仿宋" w:hAnsi="仿宋" w:eastAsia="仿宋" w:cs="仿宋"/>
          <w:bCs/>
          <w:spacing w:val="-7"/>
          <w:szCs w:val="32"/>
          <w:lang w:eastAsia="zh-CN"/>
        </w:rPr>
        <w:t>。具体得分情况见下表4-2：</w:t>
      </w:r>
    </w:p>
    <w:p>
      <w:pPr>
        <w:ind w:firstLine="0" w:firstLineChars="0"/>
        <w:jc w:val="center"/>
        <w:rPr>
          <w:rFonts w:hint="eastAsia" w:ascii="仿宋" w:hAnsi="仿宋" w:eastAsia="仿宋" w:cs="仿宋"/>
          <w:bCs/>
          <w:szCs w:val="32"/>
        </w:rPr>
      </w:pPr>
      <w:r>
        <w:rPr>
          <w:rFonts w:hint="eastAsia" w:ascii="仿宋" w:hAnsi="仿宋" w:eastAsia="仿宋" w:cs="仿宋"/>
          <w:bCs/>
          <w:szCs w:val="32"/>
        </w:rPr>
        <w:t>表4-2项目过程指标得分</w:t>
      </w:r>
    </w:p>
    <w:tbl>
      <w:tblPr>
        <w:tblStyle w:val="22"/>
        <w:tblW w:w="5000" w:type="pct"/>
        <w:tblInd w:w="0" w:type="dxa"/>
        <w:tblLayout w:type="autofit"/>
        <w:tblCellMar>
          <w:top w:w="0" w:type="dxa"/>
          <w:left w:w="108" w:type="dxa"/>
          <w:bottom w:w="0" w:type="dxa"/>
          <w:right w:w="108" w:type="dxa"/>
        </w:tblCellMar>
      </w:tblPr>
      <w:tblGrid>
        <w:gridCol w:w="2130"/>
        <w:gridCol w:w="2130"/>
        <w:gridCol w:w="2131"/>
        <w:gridCol w:w="2131"/>
      </w:tblGrid>
      <w:tr>
        <w:trPr>
          <w:trHeight w:val="567" w:hRule="atLeast"/>
          <w:tblHeader/>
        </w:trPr>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资金管理</w:t>
            </w:r>
          </w:p>
        </w:tc>
        <w:tc>
          <w:tcPr>
            <w:tcW w:w="2130"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w:t>
            </w:r>
          </w:p>
        </w:tc>
        <w:tc>
          <w:tcPr>
            <w:tcW w:w="21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8.81</w:t>
            </w:r>
          </w:p>
        </w:tc>
        <w:tc>
          <w:tcPr>
            <w:tcW w:w="21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88.10%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组织实施</w:t>
            </w:r>
          </w:p>
        </w:tc>
        <w:tc>
          <w:tcPr>
            <w:tcW w:w="2130"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w:t>
            </w:r>
          </w:p>
        </w:tc>
        <w:tc>
          <w:tcPr>
            <w:tcW w:w="21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7.5</w:t>
            </w:r>
          </w:p>
        </w:tc>
        <w:tc>
          <w:tcPr>
            <w:tcW w:w="21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75.00%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合计</w:t>
            </w:r>
          </w:p>
        </w:tc>
        <w:tc>
          <w:tcPr>
            <w:tcW w:w="2130" w:type="dxa"/>
            <w:tcBorders>
              <w:top w:val="nil"/>
              <w:left w:val="nil"/>
              <w:bottom w:val="single" w:color="auto" w:sz="4" w:space="0"/>
              <w:right w:val="single" w:color="auto" w:sz="4" w:space="0"/>
            </w:tcBorders>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bCs/>
                <w:sz w:val="24"/>
                <w:lang w:eastAsia="zh-CN"/>
              </w:rPr>
            </w:pPr>
            <w:r>
              <w:rPr>
                <w:rFonts w:hint="eastAsia" w:ascii="仿宋" w:hAnsi="仿宋" w:eastAsia="仿宋" w:cs="仿宋"/>
                <w:i w:val="0"/>
                <w:iCs w:val="0"/>
                <w:color w:val="000000"/>
                <w:kern w:val="0"/>
                <w:sz w:val="24"/>
                <w:szCs w:val="24"/>
                <w:u w:val="none"/>
                <w:lang w:val="en-US" w:eastAsia="zh-CN" w:bidi="ar"/>
              </w:rPr>
              <w:t>20</w:t>
            </w:r>
          </w:p>
        </w:tc>
        <w:tc>
          <w:tcPr>
            <w:tcW w:w="2131" w:type="dxa"/>
            <w:tcBorders>
              <w:top w:val="single" w:color="auto" w:sz="4" w:space="0"/>
              <w:left w:val="nil"/>
              <w:bottom w:val="single" w:color="auto" w:sz="4" w:space="0"/>
              <w:right w:val="single" w:color="auto" w:sz="4" w:space="0"/>
            </w:tcBorders>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bCs/>
                <w:sz w:val="24"/>
                <w:lang w:eastAsia="zh-CN"/>
              </w:rPr>
            </w:pPr>
            <w:r>
              <w:rPr>
                <w:rFonts w:hint="eastAsia" w:ascii="仿宋" w:hAnsi="仿宋" w:eastAsia="仿宋" w:cs="仿宋"/>
                <w:i w:val="0"/>
                <w:iCs w:val="0"/>
                <w:color w:val="000000"/>
                <w:kern w:val="0"/>
                <w:sz w:val="24"/>
                <w:szCs w:val="24"/>
                <w:u w:val="none"/>
                <w:lang w:val="en-US" w:eastAsia="zh-CN" w:bidi="ar"/>
              </w:rPr>
              <w:t>16.31</w:t>
            </w:r>
          </w:p>
        </w:tc>
        <w:tc>
          <w:tcPr>
            <w:tcW w:w="21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81.55%</w:t>
            </w:r>
          </w:p>
        </w:tc>
      </w:tr>
    </w:tbl>
    <w:p>
      <w:pPr>
        <w:pStyle w:val="4"/>
        <w:numPr>
          <w:ilvl w:val="0"/>
          <w:numId w:val="14"/>
        </w:numPr>
        <w:ind w:firstLineChars="0"/>
        <w:rPr>
          <w:rFonts w:hint="eastAsia" w:ascii="仿宋" w:hAnsi="仿宋" w:eastAsia="仿宋" w:cs="仿宋"/>
          <w:b w:val="0"/>
          <w:bCs/>
          <w:szCs w:val="32"/>
        </w:rPr>
      </w:pPr>
      <w:r>
        <w:rPr>
          <w:rFonts w:hint="eastAsia" w:ascii="仿宋" w:hAnsi="仿宋" w:eastAsia="仿宋" w:cs="仿宋"/>
          <w:b w:val="0"/>
          <w:bCs/>
          <w:szCs w:val="32"/>
        </w:rPr>
        <w:t>资金管理</w:t>
      </w:r>
      <w:bookmarkEnd w:id="252"/>
      <w:bookmarkEnd w:id="253"/>
      <w:bookmarkEnd w:id="254"/>
      <w:bookmarkEnd w:id="255"/>
      <w:bookmarkEnd w:id="256"/>
      <w:bookmarkEnd w:id="257"/>
      <w:bookmarkEnd w:id="258"/>
      <w:bookmarkEnd w:id="259"/>
    </w:p>
    <w:p>
      <w:pPr>
        <w:pStyle w:val="5"/>
        <w:pageBreakBefore w:val="0"/>
        <w:widowControl w:val="0"/>
        <w:numPr>
          <w:ilvl w:val="0"/>
          <w:numId w:val="15"/>
        </w:numPr>
        <w:tabs>
          <w:tab w:val="left" w:pos="0"/>
        </w:tabs>
        <w:kinsoku/>
        <w:wordWrap/>
        <w:overflowPunct/>
        <w:topLinePunct w:val="0"/>
        <w:autoSpaceDE/>
        <w:autoSpaceDN/>
        <w:bidi w:val="0"/>
        <w:adjustRightInd/>
        <w:snapToGrid/>
        <w:spacing w:line="540" w:lineRule="exact"/>
        <w:ind w:left="0" w:firstLine="692" w:firstLineChars="0"/>
        <w:textAlignment w:val="auto"/>
        <w:rPr>
          <w:rFonts w:hint="eastAsia" w:ascii="仿宋" w:hAnsi="仿宋" w:eastAsia="仿宋" w:cs="仿宋"/>
          <w:b w:val="0"/>
          <w:bCs/>
          <w:szCs w:val="32"/>
        </w:rPr>
      </w:pPr>
      <w:bookmarkStart w:id="299" w:name="_Toc16469"/>
      <w:r>
        <w:rPr>
          <w:rFonts w:hint="eastAsia" w:ascii="仿宋" w:hAnsi="仿宋" w:eastAsia="仿宋" w:cs="仿宋"/>
          <w:b w:val="0"/>
          <w:bCs/>
          <w:szCs w:val="32"/>
        </w:rPr>
        <w:t>资金到位</w:t>
      </w:r>
      <w:r>
        <w:rPr>
          <w:rFonts w:hint="eastAsia" w:ascii="仿宋" w:hAnsi="仿宋" w:eastAsia="仿宋" w:cs="仿宋"/>
          <w:b w:val="0"/>
          <w:bCs/>
          <w:szCs w:val="32"/>
          <w:lang w:eastAsia="zh-CN"/>
        </w:rPr>
        <w:t>率</w:t>
      </w:r>
      <w:r>
        <w:rPr>
          <w:rFonts w:hint="eastAsia" w:ascii="仿宋" w:hAnsi="仿宋" w:eastAsia="仿宋" w:cs="仿宋"/>
          <w:b w:val="0"/>
          <w:bCs/>
          <w:szCs w:val="32"/>
        </w:rPr>
        <w:t>分析</w:t>
      </w:r>
      <w:bookmarkEnd w:id="299"/>
    </w:p>
    <w:p>
      <w:pPr>
        <w:pageBreakBefore w:val="0"/>
        <w:widowControl w:val="0"/>
        <w:kinsoku/>
        <w:wordWrap/>
        <w:overflowPunct/>
        <w:topLinePunct w:val="0"/>
        <w:autoSpaceDE/>
        <w:autoSpaceDN/>
        <w:bidi w:val="0"/>
        <w:adjustRightInd/>
        <w:snapToGrid/>
        <w:spacing w:line="540" w:lineRule="exact"/>
        <w:ind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乐山市金口河区金河镇新坪村村道水毁治理工程预算资金21万元，实际到位21万元，资金到位率100%。依据评分方法，该指标满分3.00分。</w:t>
      </w:r>
    </w:p>
    <w:p>
      <w:pPr>
        <w:pStyle w:val="5"/>
        <w:pageBreakBefore w:val="0"/>
        <w:widowControl w:val="0"/>
        <w:numPr>
          <w:ilvl w:val="0"/>
          <w:numId w:val="15"/>
        </w:numPr>
        <w:tabs>
          <w:tab w:val="left" w:pos="0"/>
        </w:tabs>
        <w:kinsoku/>
        <w:wordWrap/>
        <w:overflowPunct/>
        <w:topLinePunct w:val="0"/>
        <w:autoSpaceDE/>
        <w:autoSpaceDN/>
        <w:bidi w:val="0"/>
        <w:adjustRightInd/>
        <w:snapToGrid/>
        <w:spacing w:line="540" w:lineRule="exact"/>
        <w:ind w:left="0" w:firstLine="692" w:firstLineChars="0"/>
        <w:textAlignment w:val="auto"/>
        <w:rPr>
          <w:rFonts w:hint="eastAsia" w:ascii="仿宋" w:hAnsi="仿宋" w:eastAsia="仿宋" w:cs="仿宋"/>
          <w:b w:val="0"/>
          <w:bCs/>
          <w:szCs w:val="32"/>
          <w:lang w:eastAsia="zh-CN"/>
        </w:rPr>
      </w:pPr>
      <w:bookmarkStart w:id="300" w:name="_Toc31737"/>
      <w:r>
        <w:rPr>
          <w:rFonts w:hint="eastAsia" w:ascii="仿宋" w:hAnsi="仿宋" w:eastAsia="仿宋" w:cs="仿宋"/>
          <w:b w:val="0"/>
          <w:bCs/>
          <w:szCs w:val="32"/>
          <w:lang w:eastAsia="zh-CN"/>
        </w:rPr>
        <w:t>预算执行率分析</w:t>
      </w:r>
      <w:bookmarkEnd w:id="300"/>
    </w:p>
    <w:p>
      <w:pPr>
        <w:pageBreakBefore w:val="0"/>
        <w:widowControl w:val="0"/>
        <w:kinsoku/>
        <w:wordWrap/>
        <w:overflowPunct/>
        <w:topLinePunct w:val="0"/>
        <w:autoSpaceDE/>
        <w:autoSpaceDN/>
        <w:bidi w:val="0"/>
        <w:adjustRightInd/>
        <w:snapToGrid/>
        <w:spacing w:line="540" w:lineRule="exact"/>
        <w:ind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乐山市金口河区金河镇新坪村村道水毁治理工程预算资金为21万元，实际到位21万元，截止绩效评价日，实际支出196,607.43元。预算执行率为93.62%。根据评分标准，该指标得93.62%*3.00=2.81分。</w:t>
      </w:r>
    </w:p>
    <w:p>
      <w:pPr>
        <w:pStyle w:val="5"/>
        <w:pageBreakBefore w:val="0"/>
        <w:widowControl w:val="0"/>
        <w:numPr>
          <w:ilvl w:val="0"/>
          <w:numId w:val="15"/>
        </w:numPr>
        <w:tabs>
          <w:tab w:val="left" w:pos="0"/>
        </w:tabs>
        <w:kinsoku/>
        <w:wordWrap/>
        <w:overflowPunct/>
        <w:topLinePunct w:val="0"/>
        <w:autoSpaceDE/>
        <w:autoSpaceDN/>
        <w:bidi w:val="0"/>
        <w:adjustRightInd/>
        <w:snapToGrid/>
        <w:spacing w:line="540" w:lineRule="exact"/>
        <w:ind w:left="0" w:firstLine="692" w:firstLineChars="0"/>
        <w:textAlignment w:val="auto"/>
        <w:rPr>
          <w:rFonts w:hint="eastAsia" w:ascii="仿宋" w:hAnsi="仿宋" w:eastAsia="仿宋" w:cs="仿宋"/>
          <w:b w:val="0"/>
          <w:bCs/>
          <w:szCs w:val="32"/>
          <w:lang w:eastAsia="zh-CN"/>
        </w:rPr>
      </w:pPr>
      <w:bookmarkStart w:id="301" w:name="_Toc23462"/>
      <w:r>
        <w:rPr>
          <w:rFonts w:hint="eastAsia" w:ascii="仿宋" w:hAnsi="仿宋" w:eastAsia="仿宋" w:cs="仿宋"/>
          <w:b w:val="0"/>
          <w:bCs/>
          <w:szCs w:val="32"/>
          <w:lang w:eastAsia="zh-CN"/>
        </w:rPr>
        <w:t>资金使用合规性分析</w:t>
      </w:r>
      <w:bookmarkEnd w:id="301"/>
    </w:p>
    <w:p>
      <w:pPr>
        <w:pageBreakBefore w:val="0"/>
        <w:widowControl w:val="0"/>
        <w:kinsoku/>
        <w:wordWrap/>
        <w:overflowPunct/>
        <w:topLinePunct w:val="0"/>
        <w:autoSpaceDE/>
        <w:autoSpaceDN/>
        <w:bidi w:val="0"/>
        <w:adjustRightInd/>
        <w:snapToGrid/>
        <w:spacing w:line="540" w:lineRule="exact"/>
        <w:ind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项目资金使用符合相关财务管理制度；资金的拨付有经签字确认的金口镇人民政府费用报销单、单位资金支付凭证、发票、进度款申请报告等项目审批手续。</w:t>
      </w:r>
      <w:r>
        <w:rPr>
          <w:rFonts w:hint="eastAsia" w:ascii="仿宋" w:hAnsi="仿宋" w:eastAsia="仿宋" w:cs="仿宋"/>
          <w:bCs/>
          <w:szCs w:val="32"/>
          <w:lang w:val="en-US" w:eastAsia="zh-CN"/>
        </w:rPr>
        <w:t>但未按</w:t>
      </w:r>
      <w:r>
        <w:rPr>
          <w:rFonts w:hint="eastAsia" w:ascii="仿宋" w:hAnsi="仿宋" w:eastAsia="仿宋" w:cs="仿宋"/>
          <w:bCs/>
          <w:szCs w:val="32"/>
          <w:lang w:eastAsia="zh-CN"/>
        </w:rPr>
        <w:t>《乐山市金口河区金河镇新坪村村道水毁治理工程施工合同》</w:t>
      </w:r>
      <w:r>
        <w:rPr>
          <w:rFonts w:hint="eastAsia" w:ascii="仿宋" w:hAnsi="仿宋" w:eastAsia="仿宋" w:cs="仿宋"/>
          <w:bCs/>
          <w:szCs w:val="32"/>
          <w:lang w:val="en-US" w:eastAsia="zh-CN"/>
        </w:rPr>
        <w:t>约定在质保期内留存质保金，合同执行规范性存在不足。除此外，我们</w:t>
      </w:r>
      <w:r>
        <w:rPr>
          <w:rFonts w:hint="eastAsia" w:ascii="仿宋" w:hAnsi="仿宋" w:eastAsia="仿宋" w:cs="仿宋"/>
          <w:bCs/>
          <w:szCs w:val="32"/>
          <w:lang w:eastAsia="zh-CN"/>
        </w:rPr>
        <w:t>未发现有截留、挤占、挪用、虚列支出等情况。依据评分方法，该指标得满分4.00分，</w:t>
      </w:r>
      <w:r>
        <w:rPr>
          <w:rFonts w:hint="eastAsia" w:ascii="仿宋" w:hAnsi="仿宋" w:eastAsia="仿宋" w:cs="仿宋"/>
          <w:bCs/>
          <w:szCs w:val="32"/>
          <w:lang w:val="en-US" w:eastAsia="zh-CN"/>
        </w:rPr>
        <w:t>扣1.00分，得3.00</w:t>
      </w:r>
      <w:r>
        <w:rPr>
          <w:rFonts w:hint="eastAsia" w:ascii="仿宋" w:hAnsi="仿宋" w:eastAsia="仿宋" w:cs="仿宋"/>
          <w:bCs/>
          <w:szCs w:val="32"/>
          <w:lang w:eastAsia="zh-CN"/>
        </w:rPr>
        <w:t>分。</w:t>
      </w:r>
    </w:p>
    <w:p>
      <w:pPr>
        <w:pStyle w:val="4"/>
        <w:pageBreakBefore w:val="0"/>
        <w:widowControl w:val="0"/>
        <w:numPr>
          <w:ilvl w:val="0"/>
          <w:numId w:val="14"/>
        </w:numPr>
        <w:kinsoku/>
        <w:wordWrap/>
        <w:overflowPunct/>
        <w:topLinePunct w:val="0"/>
        <w:autoSpaceDE/>
        <w:autoSpaceDN/>
        <w:bidi w:val="0"/>
        <w:adjustRightInd/>
        <w:snapToGrid/>
        <w:spacing w:line="540" w:lineRule="exact"/>
        <w:ind w:firstLineChars="0"/>
        <w:textAlignment w:val="auto"/>
        <w:rPr>
          <w:rFonts w:hint="eastAsia" w:ascii="仿宋" w:hAnsi="仿宋" w:eastAsia="仿宋" w:cs="仿宋"/>
          <w:b w:val="0"/>
          <w:bCs/>
          <w:szCs w:val="32"/>
          <w:lang w:eastAsia="zh-CN"/>
        </w:rPr>
      </w:pPr>
      <w:bookmarkStart w:id="302" w:name="_Toc4141"/>
      <w:bookmarkStart w:id="303" w:name="_Toc1429136542_WPSOffice_Level3"/>
      <w:bookmarkStart w:id="304" w:name="_Toc1068875258"/>
      <w:bookmarkStart w:id="305" w:name="_Toc1373844364"/>
      <w:bookmarkStart w:id="306" w:name="_Toc4421"/>
      <w:bookmarkStart w:id="307" w:name="_Toc130033914"/>
      <w:bookmarkStart w:id="308" w:name="_Toc437812553"/>
      <w:bookmarkStart w:id="309" w:name="_Toc1511518389"/>
      <w:r>
        <w:rPr>
          <w:rFonts w:hint="eastAsia" w:ascii="仿宋" w:hAnsi="仿宋" w:eastAsia="仿宋" w:cs="仿宋"/>
          <w:b w:val="0"/>
          <w:bCs/>
          <w:szCs w:val="32"/>
          <w:lang w:eastAsia="zh-CN"/>
        </w:rPr>
        <w:t>组织实施</w:t>
      </w:r>
      <w:bookmarkEnd w:id="302"/>
      <w:bookmarkEnd w:id="303"/>
      <w:bookmarkEnd w:id="304"/>
      <w:bookmarkEnd w:id="305"/>
      <w:bookmarkEnd w:id="306"/>
      <w:bookmarkEnd w:id="307"/>
      <w:bookmarkEnd w:id="308"/>
      <w:bookmarkEnd w:id="309"/>
    </w:p>
    <w:p>
      <w:pPr>
        <w:pStyle w:val="5"/>
        <w:pageBreakBefore w:val="0"/>
        <w:widowControl w:val="0"/>
        <w:numPr>
          <w:ilvl w:val="0"/>
          <w:numId w:val="16"/>
        </w:numPr>
        <w:tabs>
          <w:tab w:val="left" w:pos="1418"/>
        </w:tabs>
        <w:kinsoku/>
        <w:wordWrap/>
        <w:overflowPunct/>
        <w:topLinePunct w:val="0"/>
        <w:autoSpaceDE/>
        <w:autoSpaceDN/>
        <w:bidi w:val="0"/>
        <w:adjustRightInd/>
        <w:snapToGrid/>
        <w:spacing w:line="540" w:lineRule="exact"/>
        <w:ind w:left="0" w:firstLine="643" w:firstLineChars="0"/>
        <w:textAlignment w:val="auto"/>
        <w:rPr>
          <w:rFonts w:hint="eastAsia" w:ascii="仿宋" w:hAnsi="仿宋" w:eastAsia="仿宋" w:cs="仿宋"/>
          <w:b w:val="0"/>
          <w:bCs/>
          <w:szCs w:val="32"/>
          <w:lang w:eastAsia="zh-CN"/>
        </w:rPr>
      </w:pPr>
      <w:bookmarkStart w:id="310" w:name="_Toc13128"/>
      <w:r>
        <w:rPr>
          <w:rFonts w:hint="eastAsia" w:ascii="仿宋" w:hAnsi="仿宋" w:eastAsia="仿宋" w:cs="仿宋"/>
          <w:b w:val="0"/>
          <w:bCs/>
          <w:szCs w:val="32"/>
          <w:lang w:eastAsia="zh-CN"/>
        </w:rPr>
        <w:t>项目实施流程及采购合规性分析</w:t>
      </w:r>
      <w:bookmarkEnd w:id="310"/>
    </w:p>
    <w:p>
      <w:pPr>
        <w:pageBreakBefore w:val="0"/>
        <w:widowControl w:val="0"/>
        <w:kinsoku/>
        <w:wordWrap/>
        <w:overflowPunct/>
        <w:topLinePunct w:val="0"/>
        <w:autoSpaceDE/>
        <w:autoSpaceDN/>
        <w:bidi w:val="0"/>
        <w:adjustRightInd/>
        <w:snapToGrid/>
        <w:spacing w:line="540" w:lineRule="exact"/>
        <w:ind w:firstLine="612"/>
        <w:textAlignment w:val="auto"/>
        <w:rPr>
          <w:rFonts w:hint="eastAsia" w:ascii="仿宋" w:hAnsi="仿宋" w:eastAsia="仿宋" w:cs="仿宋"/>
          <w:bCs/>
          <w:spacing w:val="-7"/>
          <w:szCs w:val="32"/>
          <w:highlight w:val="none"/>
          <w:lang w:eastAsia="zh-CN"/>
        </w:rPr>
      </w:pPr>
      <w:r>
        <w:rPr>
          <w:rFonts w:hint="eastAsia" w:ascii="仿宋" w:hAnsi="仿宋" w:eastAsia="仿宋" w:cs="仿宋"/>
          <w:bCs/>
          <w:spacing w:val="-7"/>
          <w:szCs w:val="32"/>
          <w:highlight w:val="none"/>
          <w:lang w:eastAsia="zh-CN"/>
        </w:rPr>
        <w:t>2024年8月2日招标代理机构四川恒鑫工程管理咨询有限公司采用竞争性磋商开标、评标后发布成交通知书，确认四川省世通盛德建设工程有限公司为乐山市金口河区金河镇新坪村村道水毁治理工程的中标人，中标价：208,266.53元。2024年8月12日金和镇政府与</w:t>
      </w:r>
      <w:r>
        <w:rPr>
          <w:rFonts w:hint="eastAsia" w:ascii="仿宋" w:hAnsi="仿宋" w:eastAsia="仿宋" w:cs="仿宋"/>
          <w:bCs/>
          <w:spacing w:val="-7"/>
          <w:szCs w:val="32"/>
          <w:highlight w:val="none"/>
          <w:lang w:val="en-US" w:eastAsia="zh-CN"/>
        </w:rPr>
        <w:t>中标人</w:t>
      </w:r>
      <w:r>
        <w:rPr>
          <w:rFonts w:hint="eastAsia" w:ascii="仿宋" w:hAnsi="仿宋" w:eastAsia="仿宋" w:cs="仿宋"/>
          <w:bCs/>
          <w:spacing w:val="-7"/>
          <w:szCs w:val="32"/>
          <w:highlight w:val="none"/>
          <w:lang w:eastAsia="zh-CN"/>
        </w:rPr>
        <w:t>签订《乐山市金口河区金河镇新坪村村道水毁治理工程施工合同》。项目单位在业务开展过程中，咨询公司采用竞争性磋商确认供应商，符合项目采购的相关规定。依据评分方法，该指标得满分5.00分。</w:t>
      </w:r>
    </w:p>
    <w:p>
      <w:pPr>
        <w:pStyle w:val="5"/>
        <w:pageBreakBefore w:val="0"/>
        <w:widowControl w:val="0"/>
        <w:numPr>
          <w:ilvl w:val="0"/>
          <w:numId w:val="16"/>
        </w:numPr>
        <w:tabs>
          <w:tab w:val="left" w:pos="1418"/>
        </w:tabs>
        <w:kinsoku/>
        <w:wordWrap/>
        <w:overflowPunct/>
        <w:topLinePunct w:val="0"/>
        <w:autoSpaceDE/>
        <w:autoSpaceDN/>
        <w:bidi w:val="0"/>
        <w:adjustRightInd/>
        <w:snapToGrid/>
        <w:spacing w:line="540" w:lineRule="exact"/>
        <w:ind w:left="0" w:firstLine="643" w:firstLineChars="0"/>
        <w:textAlignment w:val="auto"/>
        <w:rPr>
          <w:rFonts w:hint="eastAsia" w:ascii="仿宋" w:hAnsi="仿宋" w:eastAsia="仿宋" w:cs="仿宋"/>
          <w:b w:val="0"/>
          <w:bCs/>
          <w:szCs w:val="32"/>
          <w:highlight w:val="none"/>
          <w:lang w:eastAsia="zh-CN"/>
        </w:rPr>
      </w:pPr>
      <w:bookmarkStart w:id="311" w:name="_Toc25551"/>
      <w:r>
        <w:rPr>
          <w:rFonts w:hint="eastAsia" w:ascii="仿宋" w:hAnsi="仿宋" w:eastAsia="仿宋" w:cs="仿宋"/>
          <w:b w:val="0"/>
          <w:bCs/>
          <w:szCs w:val="32"/>
          <w:highlight w:val="none"/>
          <w:lang w:eastAsia="zh-CN"/>
        </w:rPr>
        <w:t>合同签订及管理和执行规范性分析</w:t>
      </w:r>
      <w:bookmarkEnd w:id="311"/>
    </w:p>
    <w:p>
      <w:pPr>
        <w:pageBreakBefore w:val="0"/>
        <w:widowControl w:val="0"/>
        <w:kinsoku/>
        <w:wordWrap/>
        <w:overflowPunct/>
        <w:topLinePunct w:val="0"/>
        <w:autoSpaceDE/>
        <w:autoSpaceDN/>
        <w:bidi w:val="0"/>
        <w:adjustRightInd/>
        <w:snapToGrid/>
        <w:spacing w:line="540" w:lineRule="exact"/>
        <w:ind w:firstLine="612"/>
        <w:textAlignment w:val="auto"/>
        <w:rPr>
          <w:rFonts w:hint="eastAsia" w:ascii="仿宋" w:hAnsi="仿宋" w:eastAsia="仿宋" w:cs="仿宋"/>
          <w:bCs/>
          <w:spacing w:val="-7"/>
          <w:szCs w:val="32"/>
          <w:lang w:eastAsia="zh-CN"/>
        </w:rPr>
      </w:pPr>
      <w:r>
        <w:rPr>
          <w:rFonts w:hint="eastAsia" w:ascii="仿宋" w:hAnsi="仿宋" w:eastAsia="仿宋" w:cs="仿宋"/>
          <w:bCs/>
          <w:spacing w:val="-7"/>
          <w:szCs w:val="32"/>
          <w:highlight w:val="none"/>
          <w:lang w:eastAsia="zh-CN"/>
        </w:rPr>
        <w:t>通过查阅金和镇政府与四川省世通盛德建设工程有限公司签订的《乐山市金口河区金河镇新坪村村道水毁治理工程施工合同》，合同内容包括工程概况、合同工期、质量标准、合同价款等主要工作内容、基本职责，明确双</w:t>
      </w:r>
      <w:r>
        <w:rPr>
          <w:rFonts w:hint="eastAsia" w:ascii="仿宋" w:hAnsi="仿宋" w:eastAsia="仿宋" w:cs="仿宋"/>
          <w:bCs/>
          <w:spacing w:val="-7"/>
          <w:szCs w:val="32"/>
          <w:lang w:eastAsia="zh-CN"/>
        </w:rPr>
        <w:t>方的权利和义务。项目单位在业务开展过程中的相关合同、档案资料及相关的重决策会议纪要及附件齐全。</w:t>
      </w:r>
      <w:r>
        <w:rPr>
          <w:rFonts w:hint="eastAsia" w:ascii="仿宋" w:hAnsi="仿宋" w:eastAsia="仿宋" w:cs="仿宋"/>
          <w:bCs/>
          <w:spacing w:val="-7"/>
          <w:szCs w:val="32"/>
          <w:lang w:val="en-US" w:eastAsia="zh-CN"/>
        </w:rPr>
        <w:t>但未按</w:t>
      </w:r>
      <w:r>
        <w:rPr>
          <w:rFonts w:hint="eastAsia" w:ascii="仿宋" w:hAnsi="仿宋" w:eastAsia="仿宋" w:cs="仿宋"/>
          <w:bCs/>
          <w:spacing w:val="-7"/>
          <w:szCs w:val="32"/>
          <w:lang w:eastAsia="zh-CN"/>
        </w:rPr>
        <w:t>《乐山市金口河区金河镇新坪村村道水毁治理工程施工合同》</w:t>
      </w:r>
      <w:r>
        <w:rPr>
          <w:rFonts w:hint="eastAsia" w:ascii="仿宋" w:hAnsi="仿宋" w:eastAsia="仿宋" w:cs="仿宋"/>
          <w:bCs/>
          <w:spacing w:val="-7"/>
          <w:szCs w:val="32"/>
          <w:lang w:val="en-US" w:eastAsia="zh-CN"/>
        </w:rPr>
        <w:t>约定在质保期内留存质保金，合同执行规范性存在不足。</w:t>
      </w:r>
      <w:r>
        <w:rPr>
          <w:rFonts w:hint="eastAsia" w:ascii="仿宋" w:hAnsi="仿宋" w:eastAsia="仿宋" w:cs="仿宋"/>
          <w:bCs/>
          <w:spacing w:val="-7"/>
          <w:szCs w:val="32"/>
          <w:lang w:eastAsia="zh-CN"/>
        </w:rPr>
        <w:t>根据评分标准，该指标</w:t>
      </w:r>
      <w:r>
        <w:rPr>
          <w:rFonts w:hint="eastAsia" w:ascii="仿宋" w:hAnsi="仿宋" w:eastAsia="仿宋" w:cs="仿宋"/>
          <w:bCs/>
          <w:spacing w:val="-7"/>
          <w:szCs w:val="32"/>
          <w:lang w:val="en-US" w:eastAsia="zh-CN"/>
        </w:rPr>
        <w:t>得</w:t>
      </w:r>
      <w:r>
        <w:rPr>
          <w:rFonts w:hint="eastAsia" w:ascii="仿宋" w:hAnsi="仿宋" w:eastAsia="仿宋" w:cs="仿宋"/>
          <w:bCs/>
          <w:spacing w:val="-7"/>
          <w:szCs w:val="32"/>
          <w:lang w:eastAsia="zh-CN"/>
        </w:rPr>
        <w:t>满分5.00分，</w:t>
      </w:r>
      <w:r>
        <w:rPr>
          <w:rFonts w:hint="eastAsia" w:ascii="仿宋" w:hAnsi="仿宋" w:eastAsia="仿宋" w:cs="仿宋"/>
          <w:bCs/>
          <w:spacing w:val="-7"/>
          <w:szCs w:val="32"/>
          <w:lang w:val="en-US" w:eastAsia="zh-CN"/>
        </w:rPr>
        <w:t>扣2.50分，得2.50分</w:t>
      </w:r>
      <w:r>
        <w:rPr>
          <w:rFonts w:hint="eastAsia" w:ascii="仿宋" w:hAnsi="仿宋" w:eastAsia="仿宋" w:cs="仿宋"/>
          <w:bCs/>
          <w:spacing w:val="-7"/>
          <w:szCs w:val="32"/>
          <w:lang w:eastAsia="zh-CN"/>
        </w:rPr>
        <w:t>。</w:t>
      </w:r>
    </w:p>
    <w:p>
      <w:pPr>
        <w:pStyle w:val="3"/>
        <w:pageBreakBefore w:val="0"/>
        <w:widowControl w:val="0"/>
        <w:numPr>
          <w:ilvl w:val="0"/>
          <w:numId w:val="9"/>
        </w:numPr>
        <w:kinsoku/>
        <w:wordWrap/>
        <w:overflowPunct/>
        <w:topLinePunct w:val="0"/>
        <w:autoSpaceDE/>
        <w:autoSpaceDN/>
        <w:bidi w:val="0"/>
        <w:adjustRightInd/>
        <w:snapToGrid/>
        <w:spacing w:before="0" w:beforeLines="0" w:after="0" w:afterLines="0" w:line="540" w:lineRule="exact"/>
        <w:ind w:firstLineChars="0"/>
        <w:textAlignment w:val="auto"/>
        <w:rPr>
          <w:rFonts w:hint="eastAsia" w:ascii="楷体" w:hAnsi="楷体" w:eastAsia="楷体" w:cs="楷体"/>
          <w:b w:val="0"/>
          <w:bCs/>
          <w:szCs w:val="32"/>
        </w:rPr>
      </w:pPr>
      <w:bookmarkStart w:id="312" w:name="_Toc5146"/>
      <w:bookmarkStart w:id="313" w:name="_Toc458053204"/>
      <w:bookmarkStart w:id="314" w:name="_Toc1036603649"/>
      <w:bookmarkStart w:id="315" w:name="_Toc1505503560"/>
      <w:bookmarkStart w:id="316" w:name="_Toc2029979728_WPSOffice_Level2"/>
      <w:bookmarkStart w:id="317" w:name="_Toc179658328"/>
      <w:bookmarkStart w:id="318" w:name="_Toc26432"/>
      <w:bookmarkStart w:id="319" w:name="_Toc885754051"/>
      <w:bookmarkStart w:id="320" w:name="_Toc132480969"/>
      <w:r>
        <w:rPr>
          <w:rFonts w:hint="eastAsia" w:ascii="楷体" w:hAnsi="楷体" w:eastAsia="楷体" w:cs="楷体"/>
          <w:b w:val="0"/>
          <w:bCs/>
          <w:szCs w:val="32"/>
        </w:rPr>
        <w:t>项目产出情况</w:t>
      </w:r>
      <w:bookmarkEnd w:id="312"/>
      <w:bookmarkEnd w:id="313"/>
      <w:bookmarkEnd w:id="314"/>
      <w:bookmarkEnd w:id="315"/>
      <w:bookmarkEnd w:id="316"/>
      <w:bookmarkEnd w:id="317"/>
      <w:bookmarkEnd w:id="318"/>
      <w:bookmarkEnd w:id="319"/>
      <w:bookmarkEnd w:id="320"/>
    </w:p>
    <w:p>
      <w:pPr>
        <w:pageBreakBefore w:val="0"/>
        <w:widowControl w:val="0"/>
        <w:kinsoku/>
        <w:wordWrap/>
        <w:overflowPunct/>
        <w:topLinePunct w:val="0"/>
        <w:autoSpaceDE/>
        <w:autoSpaceDN/>
        <w:bidi w:val="0"/>
        <w:adjustRightInd/>
        <w:snapToGrid/>
        <w:spacing w:line="540" w:lineRule="exact"/>
        <w:ind w:firstLine="612"/>
        <w:textAlignment w:val="auto"/>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项目产出是证明项目取得效果的重要依据，本次评价从产出数量、质量、时效和成本四个方面来评价项目。项目产出权重30.00分，本项目得分</w:t>
      </w:r>
      <w:r>
        <w:rPr>
          <w:rFonts w:hint="eastAsia" w:ascii="仿宋" w:hAnsi="仿宋" w:eastAsia="仿宋" w:cs="仿宋"/>
          <w:bCs/>
          <w:spacing w:val="-7"/>
          <w:szCs w:val="32"/>
          <w:lang w:val="en-US" w:eastAsia="zh-CN"/>
        </w:rPr>
        <w:t>30.00</w:t>
      </w:r>
      <w:r>
        <w:rPr>
          <w:rFonts w:hint="eastAsia" w:ascii="仿宋" w:hAnsi="仿宋" w:eastAsia="仿宋" w:cs="仿宋"/>
          <w:bCs/>
          <w:spacing w:val="-7"/>
          <w:szCs w:val="32"/>
          <w:lang w:eastAsia="zh-CN"/>
        </w:rPr>
        <w:t>分，得分率为</w:t>
      </w:r>
      <w:r>
        <w:rPr>
          <w:rFonts w:hint="eastAsia" w:ascii="仿宋" w:hAnsi="仿宋" w:eastAsia="仿宋" w:cs="仿宋"/>
          <w:bCs/>
          <w:spacing w:val="-7"/>
          <w:szCs w:val="32"/>
          <w:lang w:val="en-US" w:eastAsia="zh-CN"/>
        </w:rPr>
        <w:t>100.00</w:t>
      </w:r>
      <w:r>
        <w:rPr>
          <w:rFonts w:hint="eastAsia" w:ascii="仿宋" w:hAnsi="仿宋" w:eastAsia="仿宋" w:cs="仿宋"/>
          <w:bCs/>
          <w:spacing w:val="-7"/>
          <w:szCs w:val="32"/>
          <w:lang w:eastAsia="zh-CN"/>
        </w:rPr>
        <w:t>%。</w:t>
      </w:r>
      <w:r>
        <w:rPr>
          <w:rFonts w:hint="eastAsia" w:ascii="仿宋" w:hAnsi="仿宋" w:eastAsia="仿宋" w:cs="仿宋"/>
          <w:bCs/>
          <w:spacing w:val="-7"/>
          <w:szCs w:val="32"/>
          <w:lang w:val="en-US" w:eastAsia="zh-CN"/>
        </w:rPr>
        <w:t>项目执行情况较好，产出</w:t>
      </w:r>
      <w:r>
        <w:rPr>
          <w:rFonts w:hint="eastAsia" w:ascii="仿宋" w:hAnsi="仿宋" w:eastAsia="仿宋" w:cs="仿宋"/>
          <w:bCs/>
          <w:spacing w:val="-7"/>
          <w:szCs w:val="32"/>
          <w:lang w:eastAsia="zh-CN"/>
        </w:rPr>
        <w:t>数量、质量、时效和成本</w:t>
      </w:r>
      <w:r>
        <w:rPr>
          <w:rFonts w:hint="eastAsia" w:ascii="仿宋" w:hAnsi="仿宋" w:eastAsia="仿宋" w:cs="仿宋"/>
          <w:bCs/>
          <w:spacing w:val="-7"/>
          <w:szCs w:val="32"/>
          <w:lang w:val="en-US" w:eastAsia="zh-CN"/>
        </w:rPr>
        <w:t>指标均为满分</w:t>
      </w:r>
      <w:r>
        <w:rPr>
          <w:rFonts w:hint="eastAsia" w:ascii="仿宋" w:hAnsi="仿宋" w:eastAsia="仿宋" w:cs="仿宋"/>
          <w:bCs/>
          <w:spacing w:val="-7"/>
          <w:szCs w:val="32"/>
          <w:lang w:eastAsia="zh-CN"/>
        </w:rPr>
        <w:t>。具体得分情况见下表4-3：</w:t>
      </w:r>
    </w:p>
    <w:p>
      <w:pPr>
        <w:ind w:firstLine="0" w:firstLineChars="0"/>
        <w:jc w:val="center"/>
        <w:rPr>
          <w:rFonts w:hint="eastAsia" w:ascii="仿宋" w:hAnsi="仿宋" w:eastAsia="仿宋" w:cs="仿宋"/>
          <w:bCs/>
          <w:szCs w:val="32"/>
        </w:rPr>
      </w:pPr>
      <w:r>
        <w:rPr>
          <w:rFonts w:hint="eastAsia" w:ascii="仿宋" w:hAnsi="仿宋" w:eastAsia="仿宋" w:cs="仿宋"/>
          <w:bCs/>
          <w:szCs w:val="32"/>
        </w:rPr>
        <w:t>表4-3项目产出指标得分</w:t>
      </w:r>
    </w:p>
    <w:tbl>
      <w:tblPr>
        <w:tblStyle w:val="22"/>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blHeader/>
        </w:trPr>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产出数量</w:t>
            </w:r>
          </w:p>
        </w:tc>
        <w:tc>
          <w:tcPr>
            <w:tcW w:w="2130"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cs="仿宋"/>
                <w:sz w:val="24"/>
                <w:lang w:eastAsia="zh-CN" w:bidi="ar"/>
              </w:rPr>
              <w:t>6</w:t>
            </w:r>
          </w:p>
        </w:tc>
        <w:tc>
          <w:tcPr>
            <w:tcW w:w="2131"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cs="仿宋"/>
                <w:sz w:val="24"/>
                <w:lang w:eastAsia="zh-CN" w:bidi="ar"/>
              </w:rPr>
              <w:t>6</w:t>
            </w:r>
          </w:p>
        </w:tc>
        <w:tc>
          <w:tcPr>
            <w:tcW w:w="2131"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cs="仿宋"/>
                <w:sz w:val="24"/>
                <w:lang w:eastAsia="zh-CN" w:bidi="ar"/>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产出质量</w:t>
            </w:r>
          </w:p>
        </w:tc>
        <w:tc>
          <w:tcPr>
            <w:tcW w:w="2130"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cs="仿宋"/>
                <w:sz w:val="24"/>
                <w:lang w:eastAsia="zh-CN" w:bidi="ar"/>
              </w:rPr>
              <w:t>8</w:t>
            </w:r>
          </w:p>
        </w:tc>
        <w:tc>
          <w:tcPr>
            <w:tcW w:w="2131"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cs="仿宋"/>
                <w:sz w:val="24"/>
                <w:lang w:eastAsia="zh-CN" w:bidi="ar"/>
              </w:rPr>
              <w:t>8</w:t>
            </w:r>
          </w:p>
        </w:tc>
        <w:tc>
          <w:tcPr>
            <w:tcW w:w="2131"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cs="仿宋"/>
                <w:sz w:val="24"/>
                <w:lang w:eastAsia="zh-CN" w:bidi="ar"/>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产出时效</w:t>
            </w:r>
          </w:p>
        </w:tc>
        <w:tc>
          <w:tcPr>
            <w:tcW w:w="2130"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cs="仿宋"/>
                <w:sz w:val="24"/>
                <w:lang w:eastAsia="zh-CN" w:bidi="ar"/>
              </w:rPr>
              <w:t>8</w:t>
            </w:r>
          </w:p>
        </w:tc>
        <w:tc>
          <w:tcPr>
            <w:tcW w:w="2131"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cs="仿宋"/>
                <w:sz w:val="24"/>
                <w:lang w:val="en-US" w:eastAsia="zh-CN" w:bidi="ar"/>
              </w:rPr>
              <w:t>8</w:t>
            </w:r>
          </w:p>
        </w:tc>
        <w:tc>
          <w:tcPr>
            <w:tcW w:w="2131"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cs="仿宋"/>
                <w:sz w:val="24"/>
                <w:lang w:eastAsia="zh-CN" w:bidi="ar"/>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产出成本</w:t>
            </w:r>
          </w:p>
        </w:tc>
        <w:tc>
          <w:tcPr>
            <w:tcW w:w="2130"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cs="仿宋"/>
                <w:sz w:val="24"/>
                <w:lang w:eastAsia="zh-CN" w:bidi="ar"/>
              </w:rPr>
              <w:t>8</w:t>
            </w:r>
          </w:p>
        </w:tc>
        <w:tc>
          <w:tcPr>
            <w:tcW w:w="2131"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cs="仿宋"/>
                <w:sz w:val="24"/>
                <w:lang w:val="en-US" w:eastAsia="zh-CN" w:bidi="ar"/>
              </w:rPr>
              <w:t>8</w:t>
            </w:r>
          </w:p>
        </w:tc>
        <w:tc>
          <w:tcPr>
            <w:tcW w:w="2131"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cs="仿宋"/>
                <w:sz w:val="24"/>
                <w:lang w:eastAsia="zh-CN" w:bidi="ar"/>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合计</w:t>
            </w:r>
          </w:p>
        </w:tc>
        <w:tc>
          <w:tcPr>
            <w:tcW w:w="2130" w:type="dxa"/>
            <w:tcBorders>
              <w:top w:val="nil"/>
              <w:left w:val="nil"/>
              <w:bottom w:val="single" w:color="auto" w:sz="4" w:space="0"/>
              <w:right w:val="single" w:color="auto" w:sz="4" w:space="0"/>
            </w:tcBorders>
            <w:noWrap/>
            <w:vAlign w:val="bottom"/>
          </w:tcPr>
          <w:p>
            <w:pPr>
              <w:widowControl/>
              <w:ind w:firstLine="0" w:firstLineChars="0"/>
              <w:jc w:val="center"/>
              <w:textAlignment w:val="bottom"/>
              <w:rPr>
                <w:rFonts w:hint="eastAsia" w:ascii="仿宋" w:hAnsi="仿宋" w:eastAsia="仿宋" w:cs="仿宋"/>
                <w:bCs/>
                <w:sz w:val="24"/>
                <w:lang w:eastAsia="zh-CN"/>
              </w:rPr>
            </w:pPr>
            <w:r>
              <w:rPr>
                <w:rFonts w:hint="eastAsia" w:ascii="仿宋" w:hAnsi="仿宋" w:eastAsia="仿宋" w:cs="仿宋"/>
                <w:sz w:val="24"/>
                <w:lang w:eastAsia="zh-CN" w:bidi="ar"/>
              </w:rPr>
              <w:t>30</w:t>
            </w:r>
          </w:p>
        </w:tc>
        <w:tc>
          <w:tcPr>
            <w:tcW w:w="2131" w:type="dxa"/>
            <w:tcBorders>
              <w:top w:val="nil"/>
              <w:left w:val="nil"/>
              <w:bottom w:val="single" w:color="auto" w:sz="4" w:space="0"/>
              <w:right w:val="single" w:color="auto" w:sz="4" w:space="0"/>
            </w:tcBorders>
            <w:noWrap/>
            <w:vAlign w:val="bottom"/>
          </w:tcPr>
          <w:p>
            <w:pPr>
              <w:widowControl/>
              <w:ind w:firstLine="0" w:firstLineChars="0"/>
              <w:jc w:val="center"/>
              <w:textAlignment w:val="bottom"/>
              <w:rPr>
                <w:rFonts w:hint="default" w:ascii="仿宋" w:hAnsi="仿宋" w:eastAsia="仿宋" w:cs="仿宋"/>
                <w:bCs/>
                <w:sz w:val="24"/>
                <w:lang w:val="en-US" w:eastAsia="zh-CN"/>
              </w:rPr>
            </w:pPr>
            <w:r>
              <w:rPr>
                <w:rFonts w:hint="eastAsia" w:ascii="仿宋" w:hAnsi="仿宋" w:eastAsia="仿宋" w:cs="仿宋"/>
                <w:sz w:val="24"/>
                <w:lang w:val="en-US" w:eastAsia="zh-CN" w:bidi="ar"/>
              </w:rPr>
              <w:t>30</w:t>
            </w:r>
          </w:p>
        </w:tc>
        <w:tc>
          <w:tcPr>
            <w:tcW w:w="2131"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cs="仿宋"/>
                <w:sz w:val="24"/>
                <w:lang w:eastAsia="zh-CN" w:bidi="ar"/>
              </w:rPr>
              <w:t>100.00%</w:t>
            </w:r>
          </w:p>
        </w:tc>
      </w:tr>
    </w:tbl>
    <w:p>
      <w:pPr>
        <w:pStyle w:val="4"/>
        <w:numPr>
          <w:ilvl w:val="0"/>
          <w:numId w:val="17"/>
        </w:numPr>
        <w:ind w:firstLineChars="0"/>
        <w:rPr>
          <w:rFonts w:hint="eastAsia" w:ascii="仿宋" w:hAnsi="仿宋" w:eastAsia="仿宋" w:cs="仿宋"/>
          <w:b w:val="0"/>
          <w:bCs/>
          <w:szCs w:val="32"/>
        </w:rPr>
      </w:pPr>
      <w:bookmarkStart w:id="321" w:name="_Toc10095"/>
      <w:bookmarkStart w:id="322" w:name="_Toc130033916"/>
      <w:bookmarkStart w:id="323" w:name="_Toc2040753346_WPSOffice_Level3"/>
      <w:bookmarkStart w:id="324" w:name="_Toc511694153"/>
      <w:bookmarkStart w:id="325" w:name="_Toc1810184279"/>
      <w:bookmarkStart w:id="326" w:name="_Toc1346003966"/>
      <w:bookmarkStart w:id="327" w:name="_Toc1918808780"/>
      <w:bookmarkStart w:id="328" w:name="_Toc12588"/>
      <w:r>
        <w:rPr>
          <w:rFonts w:hint="eastAsia" w:ascii="仿宋" w:hAnsi="仿宋" w:eastAsia="仿宋" w:cs="仿宋"/>
          <w:b w:val="0"/>
          <w:bCs/>
          <w:szCs w:val="32"/>
          <w:lang w:eastAsia="zh-CN"/>
        </w:rPr>
        <w:t>产出数量</w:t>
      </w:r>
      <w:bookmarkEnd w:id="321"/>
    </w:p>
    <w:bookmarkEnd w:id="322"/>
    <w:bookmarkEnd w:id="323"/>
    <w:bookmarkEnd w:id="324"/>
    <w:bookmarkEnd w:id="325"/>
    <w:bookmarkEnd w:id="326"/>
    <w:bookmarkEnd w:id="327"/>
    <w:bookmarkEnd w:id="328"/>
    <w:p>
      <w:pPr>
        <w:pStyle w:val="5"/>
        <w:pageBreakBefore w:val="0"/>
        <w:widowControl w:val="0"/>
        <w:numPr>
          <w:ilvl w:val="0"/>
          <w:numId w:val="18"/>
        </w:numPr>
        <w:kinsoku/>
        <w:wordWrap/>
        <w:overflowPunct/>
        <w:topLinePunct w:val="0"/>
        <w:autoSpaceDE/>
        <w:autoSpaceDN/>
        <w:bidi w:val="0"/>
        <w:adjustRightInd/>
        <w:snapToGrid/>
        <w:spacing w:line="540" w:lineRule="exact"/>
        <w:ind w:firstLineChars="0"/>
        <w:textAlignment w:val="auto"/>
        <w:rPr>
          <w:rFonts w:hint="eastAsia" w:ascii="仿宋" w:hAnsi="仿宋" w:eastAsia="仿宋" w:cs="仿宋"/>
          <w:b w:val="0"/>
          <w:bCs/>
          <w:szCs w:val="32"/>
          <w:lang w:eastAsia="zh-CN"/>
        </w:rPr>
      </w:pPr>
      <w:r>
        <w:rPr>
          <w:rFonts w:hint="eastAsia" w:ascii="仿宋" w:hAnsi="仿宋" w:eastAsia="仿宋" w:cs="仿宋"/>
          <w:b w:val="0"/>
          <w:bCs/>
          <w:szCs w:val="32"/>
          <w:lang w:eastAsia="zh-CN"/>
        </w:rPr>
        <w:t>新修混凝土挡土墙、波形钢护栏数量</w:t>
      </w:r>
    </w:p>
    <w:p>
      <w:pPr>
        <w:pageBreakBefore w:val="0"/>
        <w:widowControl w:val="0"/>
        <w:kinsoku/>
        <w:wordWrap/>
        <w:overflowPunct/>
        <w:topLinePunct w:val="0"/>
        <w:autoSpaceDE/>
        <w:autoSpaceDN/>
        <w:bidi w:val="0"/>
        <w:adjustRightInd/>
        <w:snapToGrid/>
        <w:spacing w:line="540" w:lineRule="exact"/>
        <w:ind w:firstLine="612"/>
        <w:textAlignment w:val="auto"/>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本项</w:t>
      </w:r>
      <w:r>
        <w:rPr>
          <w:rFonts w:hint="eastAsia" w:ascii="仿宋" w:hAnsi="仿宋" w:eastAsia="仿宋" w:cs="仿宋"/>
          <w:bCs/>
          <w:spacing w:val="-7"/>
          <w:szCs w:val="32"/>
          <w:lang w:val="en-US" w:eastAsia="zh-CN"/>
        </w:rPr>
        <w:t>目</w:t>
      </w:r>
      <w:r>
        <w:rPr>
          <w:rFonts w:hint="eastAsia" w:ascii="仿宋" w:hAnsi="仿宋" w:eastAsia="仿宋" w:cs="仿宋"/>
          <w:bCs/>
          <w:spacing w:val="-7"/>
          <w:szCs w:val="32"/>
          <w:lang w:eastAsia="zh-CN"/>
        </w:rPr>
        <w:t>对金河镇新坪村村内两处水毁道路实施修复，新修混凝土挡土墙约250立方米，更换、安装波形钢护栏约52米。与申请、批复数量相符。</w:t>
      </w:r>
      <w:r>
        <w:rPr>
          <w:rFonts w:hint="eastAsia" w:ascii="仿宋" w:hAnsi="仿宋" w:eastAsia="仿宋" w:cs="仿宋"/>
          <w:bCs/>
          <w:spacing w:val="-7"/>
          <w:szCs w:val="32"/>
          <w:lang w:val="en-US" w:eastAsia="zh-CN"/>
        </w:rPr>
        <w:t>根据评分标准，</w:t>
      </w:r>
      <w:r>
        <w:rPr>
          <w:rFonts w:hint="eastAsia" w:ascii="仿宋" w:hAnsi="仿宋" w:eastAsia="仿宋" w:cs="仿宋"/>
          <w:bCs/>
          <w:spacing w:val="-7"/>
          <w:szCs w:val="32"/>
          <w:lang w:eastAsia="zh-CN"/>
        </w:rPr>
        <w:t>该指标得满分6.00分。</w:t>
      </w:r>
    </w:p>
    <w:p>
      <w:pPr>
        <w:pStyle w:val="4"/>
        <w:pageBreakBefore w:val="0"/>
        <w:widowControl w:val="0"/>
        <w:numPr>
          <w:ilvl w:val="0"/>
          <w:numId w:val="17"/>
        </w:numPr>
        <w:kinsoku/>
        <w:wordWrap/>
        <w:overflowPunct/>
        <w:topLinePunct w:val="0"/>
        <w:autoSpaceDE/>
        <w:autoSpaceDN/>
        <w:bidi w:val="0"/>
        <w:adjustRightInd/>
        <w:snapToGrid/>
        <w:spacing w:line="540" w:lineRule="exact"/>
        <w:ind w:firstLineChars="0"/>
        <w:textAlignment w:val="auto"/>
        <w:rPr>
          <w:rFonts w:hint="eastAsia" w:ascii="仿宋" w:hAnsi="仿宋" w:eastAsia="仿宋" w:cs="仿宋"/>
          <w:b w:val="0"/>
          <w:bCs/>
          <w:szCs w:val="32"/>
        </w:rPr>
      </w:pPr>
      <w:bookmarkStart w:id="329" w:name="_Toc13631"/>
      <w:bookmarkStart w:id="330" w:name="_Toc130033918"/>
      <w:bookmarkStart w:id="331" w:name="_Toc1115767086"/>
      <w:bookmarkStart w:id="332" w:name="_Toc598301047_WPSOffice_Level3"/>
      <w:bookmarkStart w:id="333" w:name="_Toc196303398"/>
      <w:bookmarkStart w:id="334" w:name="_Toc410581979"/>
      <w:bookmarkStart w:id="335" w:name="_Toc15576"/>
      <w:bookmarkStart w:id="336" w:name="_Toc1698417506"/>
      <w:r>
        <w:rPr>
          <w:rFonts w:hint="eastAsia" w:ascii="仿宋" w:hAnsi="仿宋" w:eastAsia="仿宋" w:cs="仿宋"/>
          <w:b w:val="0"/>
          <w:bCs/>
          <w:szCs w:val="32"/>
          <w:lang w:eastAsia="zh-CN"/>
        </w:rPr>
        <w:t>产出质量</w:t>
      </w:r>
      <w:bookmarkEnd w:id="329"/>
    </w:p>
    <w:bookmarkEnd w:id="330"/>
    <w:p>
      <w:pPr>
        <w:pStyle w:val="5"/>
        <w:pageBreakBefore w:val="0"/>
        <w:widowControl w:val="0"/>
        <w:numPr>
          <w:ilvl w:val="0"/>
          <w:numId w:val="19"/>
        </w:numPr>
        <w:kinsoku/>
        <w:wordWrap/>
        <w:overflowPunct/>
        <w:topLinePunct w:val="0"/>
        <w:autoSpaceDE/>
        <w:autoSpaceDN/>
        <w:bidi w:val="0"/>
        <w:adjustRightInd/>
        <w:snapToGrid/>
        <w:spacing w:line="540" w:lineRule="exact"/>
        <w:ind w:firstLineChars="0"/>
        <w:textAlignment w:val="auto"/>
        <w:rPr>
          <w:rFonts w:hint="eastAsia" w:ascii="仿宋" w:hAnsi="仿宋" w:eastAsia="仿宋" w:cs="仿宋"/>
          <w:b w:val="0"/>
          <w:bCs/>
          <w:szCs w:val="32"/>
          <w:lang w:eastAsia="zh-CN"/>
        </w:rPr>
      </w:pPr>
      <w:r>
        <w:rPr>
          <w:rFonts w:hint="eastAsia" w:ascii="仿宋" w:hAnsi="仿宋" w:eastAsia="仿宋" w:cs="仿宋"/>
          <w:b w:val="0"/>
          <w:bCs/>
          <w:szCs w:val="32"/>
          <w:lang w:eastAsia="zh-CN"/>
        </w:rPr>
        <w:t>质量合格率</w:t>
      </w:r>
    </w:p>
    <w:p>
      <w:pPr>
        <w:pageBreakBefore w:val="0"/>
        <w:widowControl w:val="0"/>
        <w:kinsoku/>
        <w:wordWrap/>
        <w:overflowPunct/>
        <w:topLinePunct w:val="0"/>
        <w:autoSpaceDE/>
        <w:autoSpaceDN/>
        <w:bidi w:val="0"/>
        <w:adjustRightInd/>
        <w:snapToGrid/>
        <w:spacing w:line="540" w:lineRule="exact"/>
        <w:ind w:firstLine="612"/>
        <w:textAlignment w:val="auto"/>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2024年8月9日进场施工，2024年9月18日经施工、监理、建设、设计单位签字盖章确认后出具《乐山市金口河区金河镇新坪村村道水毁治理工程交工验收报告》，该工程完工验收为合格。根据评分标准，该指标得满分8.00分。</w:t>
      </w:r>
    </w:p>
    <w:bookmarkEnd w:id="331"/>
    <w:bookmarkEnd w:id="332"/>
    <w:bookmarkEnd w:id="333"/>
    <w:bookmarkEnd w:id="334"/>
    <w:bookmarkEnd w:id="335"/>
    <w:bookmarkEnd w:id="336"/>
    <w:p>
      <w:pPr>
        <w:pStyle w:val="4"/>
        <w:pageBreakBefore w:val="0"/>
        <w:widowControl w:val="0"/>
        <w:numPr>
          <w:ilvl w:val="0"/>
          <w:numId w:val="17"/>
        </w:numPr>
        <w:kinsoku/>
        <w:wordWrap/>
        <w:overflowPunct/>
        <w:topLinePunct w:val="0"/>
        <w:autoSpaceDE/>
        <w:autoSpaceDN/>
        <w:bidi w:val="0"/>
        <w:adjustRightInd/>
        <w:snapToGrid/>
        <w:spacing w:line="540" w:lineRule="exact"/>
        <w:ind w:firstLineChars="0"/>
        <w:textAlignment w:val="auto"/>
        <w:rPr>
          <w:rFonts w:hint="eastAsia" w:ascii="仿宋" w:hAnsi="仿宋" w:eastAsia="仿宋" w:cs="仿宋"/>
          <w:b w:val="0"/>
          <w:bCs/>
          <w:szCs w:val="32"/>
        </w:rPr>
      </w:pPr>
      <w:bookmarkStart w:id="337" w:name="_Toc14778"/>
      <w:bookmarkStart w:id="338" w:name="_Toc130033920"/>
      <w:bookmarkStart w:id="339" w:name="_Toc736328394"/>
      <w:bookmarkStart w:id="340" w:name="_Toc1127261675_WPSOffice_Level3"/>
      <w:bookmarkStart w:id="341" w:name="_Toc786363242"/>
      <w:bookmarkStart w:id="342" w:name="_Toc870208798"/>
      <w:bookmarkStart w:id="343" w:name="_Toc16826"/>
      <w:bookmarkStart w:id="344" w:name="_Toc950387418"/>
      <w:bookmarkStart w:id="345" w:name="_Toc1235631916"/>
      <w:bookmarkStart w:id="346" w:name="_Toc6821"/>
      <w:bookmarkStart w:id="347" w:name="_Toc796588607_WPSOffice_Level2"/>
      <w:bookmarkStart w:id="348" w:name="_Toc1670543944"/>
      <w:bookmarkStart w:id="349" w:name="_Toc177967940"/>
      <w:bookmarkStart w:id="350" w:name="_Toc792644656"/>
      <w:r>
        <w:rPr>
          <w:rFonts w:hint="eastAsia" w:ascii="仿宋" w:hAnsi="仿宋" w:eastAsia="仿宋" w:cs="仿宋"/>
          <w:b w:val="0"/>
          <w:bCs/>
          <w:szCs w:val="32"/>
          <w:lang w:eastAsia="zh-CN"/>
        </w:rPr>
        <w:t>产出时效</w:t>
      </w:r>
      <w:bookmarkEnd w:id="337"/>
    </w:p>
    <w:bookmarkEnd w:id="338"/>
    <w:p>
      <w:pPr>
        <w:pStyle w:val="5"/>
        <w:pageBreakBefore w:val="0"/>
        <w:widowControl w:val="0"/>
        <w:numPr>
          <w:ilvl w:val="0"/>
          <w:numId w:val="20"/>
        </w:numPr>
        <w:kinsoku/>
        <w:wordWrap/>
        <w:overflowPunct/>
        <w:topLinePunct w:val="0"/>
        <w:autoSpaceDE/>
        <w:autoSpaceDN/>
        <w:bidi w:val="0"/>
        <w:adjustRightInd/>
        <w:snapToGrid/>
        <w:spacing w:line="540" w:lineRule="exact"/>
        <w:ind w:firstLineChars="0"/>
        <w:textAlignment w:val="auto"/>
        <w:rPr>
          <w:rFonts w:hint="eastAsia" w:ascii="仿宋" w:hAnsi="仿宋" w:eastAsia="仿宋" w:cs="仿宋"/>
          <w:b w:val="0"/>
          <w:bCs/>
          <w:szCs w:val="32"/>
          <w:lang w:eastAsia="zh-CN"/>
        </w:rPr>
      </w:pPr>
      <w:r>
        <w:rPr>
          <w:rFonts w:hint="eastAsia" w:ascii="仿宋" w:hAnsi="仿宋" w:eastAsia="仿宋" w:cs="仿宋"/>
          <w:b w:val="0"/>
          <w:bCs/>
          <w:szCs w:val="32"/>
          <w:lang w:eastAsia="zh-CN"/>
        </w:rPr>
        <w:t>建</w:t>
      </w:r>
      <w:r>
        <w:rPr>
          <w:rFonts w:hint="eastAsia" w:ascii="仿宋" w:hAnsi="仿宋" w:eastAsia="仿宋" w:cs="仿宋"/>
          <w:b w:val="0"/>
          <w:bCs/>
          <w:szCs w:val="32"/>
          <w:lang w:val="en-US" w:eastAsia="zh-CN"/>
        </w:rPr>
        <w:t>设</w:t>
      </w:r>
      <w:r>
        <w:rPr>
          <w:rFonts w:hint="eastAsia" w:ascii="仿宋" w:hAnsi="仿宋" w:eastAsia="仿宋" w:cs="仿宋"/>
          <w:b w:val="0"/>
          <w:bCs/>
          <w:szCs w:val="32"/>
          <w:lang w:eastAsia="zh-CN"/>
        </w:rPr>
        <w:t>完成时间</w:t>
      </w:r>
    </w:p>
    <w:p>
      <w:pPr>
        <w:pageBreakBefore w:val="0"/>
        <w:widowControl w:val="0"/>
        <w:kinsoku/>
        <w:wordWrap/>
        <w:overflowPunct/>
        <w:topLinePunct w:val="0"/>
        <w:autoSpaceDE/>
        <w:autoSpaceDN/>
        <w:bidi w:val="0"/>
        <w:adjustRightInd/>
        <w:snapToGrid/>
        <w:spacing w:line="540" w:lineRule="exact"/>
        <w:ind w:firstLine="612"/>
        <w:textAlignment w:val="auto"/>
        <w:rPr>
          <w:rFonts w:hint="eastAsia" w:ascii="仿宋" w:hAnsi="仿宋" w:eastAsia="仿宋" w:cs="仿宋"/>
          <w:bCs/>
          <w:spacing w:val="-7"/>
          <w:szCs w:val="32"/>
          <w:lang w:eastAsia="zh-CN"/>
        </w:rPr>
      </w:pPr>
      <w:r>
        <w:rPr>
          <w:rFonts w:hint="eastAsia" w:ascii="仿宋" w:hAnsi="仿宋" w:eastAsia="仿宋" w:cs="仿宋"/>
          <w:bCs/>
          <w:spacing w:val="-7"/>
          <w:szCs w:val="32"/>
          <w:lang w:val="en-US" w:eastAsia="zh-CN"/>
        </w:rPr>
        <w:t>开工令显示项目于2024年8月19日开工，</w:t>
      </w:r>
      <w:r>
        <w:rPr>
          <w:rFonts w:hint="eastAsia" w:ascii="仿宋" w:hAnsi="仿宋" w:eastAsia="仿宋" w:cs="仿宋"/>
          <w:bCs/>
          <w:spacing w:val="-7"/>
          <w:szCs w:val="32"/>
          <w:lang w:eastAsia="zh-CN"/>
        </w:rPr>
        <w:t>2024年9月18日经施工、监理、建设、设计单位签字盖章确认后出具《乐山市金口河区金河镇新坪村村道水毁治理工程交工验收报告》。</w:t>
      </w:r>
      <w:r>
        <w:rPr>
          <w:rFonts w:hint="eastAsia" w:ascii="仿宋" w:hAnsi="仿宋" w:eastAsia="仿宋" w:cs="仿宋"/>
          <w:bCs/>
          <w:spacing w:val="-7"/>
          <w:szCs w:val="32"/>
          <w:highlight w:val="none"/>
          <w:lang w:val="en-US" w:eastAsia="zh-CN"/>
        </w:rPr>
        <w:t>根据</w:t>
      </w:r>
      <w:r>
        <w:rPr>
          <w:rFonts w:hint="eastAsia" w:ascii="仿宋" w:hAnsi="仿宋" w:eastAsia="仿宋" w:cs="仿宋"/>
          <w:bCs/>
          <w:spacing w:val="-7"/>
          <w:szCs w:val="32"/>
          <w:highlight w:val="none"/>
          <w:lang w:eastAsia="zh-CN"/>
        </w:rPr>
        <w:t>金和镇政府与</w:t>
      </w:r>
      <w:r>
        <w:rPr>
          <w:rFonts w:hint="eastAsia" w:ascii="仿宋" w:hAnsi="仿宋" w:eastAsia="仿宋" w:cs="仿宋"/>
          <w:bCs/>
          <w:spacing w:val="-7"/>
          <w:szCs w:val="32"/>
          <w:highlight w:val="none"/>
          <w:lang w:val="en-US" w:eastAsia="zh-CN"/>
        </w:rPr>
        <w:t>中标单位</w:t>
      </w:r>
      <w:r>
        <w:rPr>
          <w:rFonts w:hint="eastAsia" w:ascii="仿宋" w:hAnsi="仿宋" w:eastAsia="仿宋" w:cs="仿宋"/>
          <w:bCs/>
          <w:spacing w:val="-7"/>
          <w:szCs w:val="32"/>
          <w:highlight w:val="none"/>
          <w:lang w:eastAsia="zh-CN"/>
        </w:rPr>
        <w:t>四川省世通盛德建设工程有限公司签订的</w:t>
      </w:r>
      <w:r>
        <w:rPr>
          <w:rFonts w:hint="eastAsia" w:ascii="仿宋" w:hAnsi="仿宋" w:eastAsia="仿宋" w:cs="仿宋"/>
          <w:bCs/>
          <w:spacing w:val="-7"/>
          <w:szCs w:val="32"/>
          <w:lang w:eastAsia="zh-CN"/>
        </w:rPr>
        <w:t>《乐山市金口河区金河镇新坪村村道水毁治理工程施工合同》，</w:t>
      </w:r>
      <w:r>
        <w:rPr>
          <w:rFonts w:hint="eastAsia" w:ascii="仿宋" w:hAnsi="仿宋" w:eastAsia="仿宋" w:cs="仿宋"/>
          <w:bCs/>
          <w:spacing w:val="-7"/>
          <w:szCs w:val="32"/>
          <w:lang w:val="en-US" w:eastAsia="zh-CN"/>
        </w:rPr>
        <w:t>合同工期为30个日历天，由此可见，该项目在规定时间内完成</w:t>
      </w:r>
      <w:r>
        <w:rPr>
          <w:rFonts w:hint="eastAsia" w:ascii="仿宋" w:hAnsi="仿宋" w:eastAsia="仿宋" w:cs="仿宋"/>
          <w:bCs/>
          <w:spacing w:val="-7"/>
          <w:szCs w:val="32"/>
          <w:lang w:eastAsia="zh-CN"/>
        </w:rPr>
        <w:t>。根据评分标准，该指标</w:t>
      </w:r>
      <w:r>
        <w:rPr>
          <w:rFonts w:hint="eastAsia" w:ascii="仿宋" w:hAnsi="仿宋" w:eastAsia="仿宋" w:cs="仿宋"/>
          <w:bCs/>
          <w:spacing w:val="-7"/>
          <w:szCs w:val="32"/>
          <w:lang w:val="en-US" w:eastAsia="zh-CN"/>
        </w:rPr>
        <w:t>得满分8.00</w:t>
      </w:r>
      <w:r>
        <w:rPr>
          <w:rFonts w:hint="eastAsia" w:ascii="仿宋" w:hAnsi="仿宋" w:eastAsia="仿宋" w:cs="仿宋"/>
          <w:bCs/>
          <w:spacing w:val="-7"/>
          <w:szCs w:val="32"/>
          <w:lang w:eastAsia="zh-CN"/>
        </w:rPr>
        <w:t>分。</w:t>
      </w:r>
    </w:p>
    <w:p>
      <w:pPr>
        <w:pStyle w:val="4"/>
        <w:pageBreakBefore w:val="0"/>
        <w:widowControl w:val="0"/>
        <w:numPr>
          <w:ilvl w:val="0"/>
          <w:numId w:val="17"/>
        </w:numPr>
        <w:kinsoku/>
        <w:wordWrap/>
        <w:overflowPunct/>
        <w:topLinePunct w:val="0"/>
        <w:autoSpaceDE/>
        <w:autoSpaceDN/>
        <w:bidi w:val="0"/>
        <w:adjustRightInd/>
        <w:snapToGrid/>
        <w:spacing w:line="540" w:lineRule="exact"/>
        <w:ind w:firstLineChars="0"/>
        <w:textAlignment w:val="auto"/>
        <w:rPr>
          <w:rFonts w:hint="eastAsia" w:ascii="仿宋" w:hAnsi="仿宋" w:eastAsia="仿宋" w:cs="仿宋"/>
          <w:b w:val="0"/>
          <w:bCs/>
          <w:szCs w:val="32"/>
        </w:rPr>
      </w:pPr>
      <w:r>
        <w:rPr>
          <w:rFonts w:hint="eastAsia" w:ascii="仿宋" w:hAnsi="仿宋" w:eastAsia="仿宋" w:cs="仿宋"/>
          <w:b w:val="0"/>
          <w:bCs/>
          <w:szCs w:val="32"/>
          <w:lang w:eastAsia="zh-CN"/>
        </w:rPr>
        <w:t>产出成本</w:t>
      </w:r>
    </w:p>
    <w:p>
      <w:pPr>
        <w:pStyle w:val="5"/>
        <w:pageBreakBefore w:val="0"/>
        <w:widowControl w:val="0"/>
        <w:numPr>
          <w:ilvl w:val="0"/>
          <w:numId w:val="21"/>
        </w:numPr>
        <w:kinsoku/>
        <w:wordWrap/>
        <w:overflowPunct/>
        <w:topLinePunct w:val="0"/>
        <w:autoSpaceDE/>
        <w:autoSpaceDN/>
        <w:bidi w:val="0"/>
        <w:adjustRightInd/>
        <w:snapToGrid/>
        <w:spacing w:line="540" w:lineRule="exact"/>
        <w:ind w:firstLineChars="0"/>
        <w:textAlignment w:val="auto"/>
        <w:rPr>
          <w:rFonts w:hint="eastAsia" w:ascii="仿宋" w:hAnsi="仿宋" w:eastAsia="仿宋" w:cs="仿宋"/>
          <w:b w:val="0"/>
          <w:bCs/>
          <w:szCs w:val="32"/>
          <w:lang w:eastAsia="zh-CN"/>
        </w:rPr>
      </w:pPr>
      <w:r>
        <w:rPr>
          <w:rFonts w:hint="eastAsia" w:ascii="仿宋" w:hAnsi="仿宋" w:eastAsia="仿宋" w:cs="仿宋"/>
          <w:b w:val="0"/>
          <w:bCs/>
          <w:szCs w:val="32"/>
          <w:lang w:eastAsia="zh-CN"/>
        </w:rPr>
        <w:t>成本节约率</w:t>
      </w:r>
    </w:p>
    <w:p>
      <w:pPr>
        <w:pageBreakBefore w:val="0"/>
        <w:widowControl w:val="0"/>
        <w:kinsoku/>
        <w:wordWrap/>
        <w:overflowPunct/>
        <w:topLinePunct w:val="0"/>
        <w:autoSpaceDE/>
        <w:autoSpaceDN/>
        <w:bidi w:val="0"/>
        <w:adjustRightInd/>
        <w:snapToGrid/>
        <w:spacing w:line="540" w:lineRule="exact"/>
        <w:ind w:firstLine="612"/>
        <w:textAlignment w:val="auto"/>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乐山市金口河区金河镇新坪村村道水毁治理工程预算资金为21万元，实际到位21万元，截止绩效评价日实际支出196,607.43元，节约成本13,392.57元，成本节约率6.38</w:t>
      </w:r>
      <w:r>
        <w:rPr>
          <w:rFonts w:hint="eastAsia" w:ascii="仿宋" w:hAnsi="仿宋" w:eastAsia="仿宋" w:cs="仿宋"/>
          <w:bCs/>
          <w:spacing w:val="-7"/>
          <w:szCs w:val="32"/>
          <w:lang w:val="en-US" w:eastAsia="zh-CN"/>
        </w:rPr>
        <w:t>%</w:t>
      </w:r>
      <w:r>
        <w:rPr>
          <w:rFonts w:hint="eastAsia" w:ascii="仿宋" w:hAnsi="仿宋" w:eastAsia="仿宋" w:cs="仿宋"/>
          <w:bCs/>
          <w:spacing w:val="-7"/>
          <w:szCs w:val="32"/>
          <w:lang w:eastAsia="zh-CN"/>
        </w:rPr>
        <w:t>。根据评分标准，该指标得</w:t>
      </w:r>
      <w:r>
        <w:rPr>
          <w:rFonts w:hint="eastAsia" w:ascii="仿宋" w:hAnsi="仿宋" w:eastAsia="仿宋" w:cs="仿宋"/>
          <w:bCs/>
          <w:spacing w:val="-7"/>
          <w:szCs w:val="32"/>
          <w:lang w:val="en-US" w:eastAsia="zh-CN"/>
        </w:rPr>
        <w:t>满分8.00</w:t>
      </w:r>
      <w:r>
        <w:rPr>
          <w:rFonts w:hint="eastAsia" w:ascii="仿宋" w:hAnsi="仿宋" w:eastAsia="仿宋" w:cs="仿宋"/>
          <w:bCs/>
          <w:spacing w:val="-7"/>
          <w:szCs w:val="32"/>
          <w:lang w:eastAsia="zh-CN"/>
        </w:rPr>
        <w:t>分。</w:t>
      </w:r>
    </w:p>
    <w:bookmarkEnd w:id="339"/>
    <w:bookmarkEnd w:id="340"/>
    <w:bookmarkEnd w:id="341"/>
    <w:bookmarkEnd w:id="342"/>
    <w:bookmarkEnd w:id="343"/>
    <w:bookmarkEnd w:id="344"/>
    <w:p>
      <w:pPr>
        <w:pStyle w:val="3"/>
        <w:pageBreakBefore w:val="0"/>
        <w:widowControl w:val="0"/>
        <w:numPr>
          <w:ilvl w:val="0"/>
          <w:numId w:val="9"/>
        </w:numPr>
        <w:kinsoku/>
        <w:wordWrap/>
        <w:overflowPunct/>
        <w:topLinePunct w:val="0"/>
        <w:autoSpaceDE/>
        <w:autoSpaceDN/>
        <w:bidi w:val="0"/>
        <w:adjustRightInd/>
        <w:snapToGrid/>
        <w:spacing w:before="0" w:beforeLines="0" w:after="0" w:afterLines="0" w:line="540" w:lineRule="exact"/>
        <w:ind w:firstLineChars="0"/>
        <w:textAlignment w:val="auto"/>
        <w:rPr>
          <w:rFonts w:hint="eastAsia" w:ascii="楷体" w:hAnsi="楷体" w:eastAsia="楷体" w:cs="楷体"/>
          <w:b w:val="0"/>
          <w:bCs/>
          <w:szCs w:val="32"/>
        </w:rPr>
      </w:pPr>
      <w:bookmarkStart w:id="351" w:name="_Toc132480970"/>
      <w:bookmarkStart w:id="352" w:name="_Toc13675"/>
      <w:bookmarkStart w:id="353" w:name="_Toc179658329"/>
      <w:r>
        <w:rPr>
          <w:rFonts w:hint="eastAsia" w:ascii="楷体" w:hAnsi="楷体" w:eastAsia="楷体" w:cs="楷体"/>
          <w:b w:val="0"/>
          <w:bCs/>
          <w:szCs w:val="32"/>
        </w:rPr>
        <w:t>项目效益情况</w:t>
      </w:r>
      <w:bookmarkEnd w:id="345"/>
      <w:bookmarkEnd w:id="346"/>
      <w:bookmarkEnd w:id="347"/>
      <w:bookmarkEnd w:id="348"/>
      <w:bookmarkEnd w:id="349"/>
      <w:bookmarkEnd w:id="350"/>
      <w:bookmarkEnd w:id="351"/>
      <w:bookmarkEnd w:id="352"/>
      <w:bookmarkEnd w:id="353"/>
    </w:p>
    <w:p>
      <w:pPr>
        <w:pageBreakBefore w:val="0"/>
        <w:widowControl w:val="0"/>
        <w:kinsoku/>
        <w:wordWrap/>
        <w:overflowPunct/>
        <w:topLinePunct w:val="0"/>
        <w:autoSpaceDE/>
        <w:autoSpaceDN/>
        <w:bidi w:val="0"/>
        <w:adjustRightInd/>
        <w:snapToGrid/>
        <w:spacing w:line="540" w:lineRule="exact"/>
        <w:ind w:firstLine="612"/>
        <w:textAlignment w:val="auto"/>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项目效益是财政资金绩效评价的核心内容，本次评价从社会效益、经济效益、环境效益</w:t>
      </w:r>
      <w:r>
        <w:rPr>
          <w:rFonts w:hint="eastAsia" w:ascii="仿宋" w:hAnsi="仿宋" w:eastAsia="仿宋" w:cs="仿宋"/>
          <w:bCs/>
          <w:spacing w:val="-7"/>
          <w:szCs w:val="32"/>
          <w:lang w:val="en-US" w:eastAsia="zh-CN"/>
        </w:rPr>
        <w:t>及</w:t>
      </w:r>
      <w:r>
        <w:rPr>
          <w:rFonts w:hint="eastAsia" w:ascii="仿宋" w:hAnsi="仿宋" w:eastAsia="仿宋" w:cs="仿宋"/>
          <w:bCs/>
          <w:spacing w:val="-7"/>
          <w:szCs w:val="32"/>
          <w:lang w:eastAsia="zh-CN"/>
        </w:rPr>
        <w:t>满意度四个方面来评价项目。项目效益权重30.00分，本项目得分2</w:t>
      </w:r>
      <w:r>
        <w:rPr>
          <w:rFonts w:hint="eastAsia" w:ascii="仿宋" w:hAnsi="仿宋" w:eastAsia="仿宋" w:cs="仿宋"/>
          <w:bCs/>
          <w:spacing w:val="-7"/>
          <w:szCs w:val="32"/>
          <w:lang w:val="en-US" w:eastAsia="zh-CN"/>
        </w:rPr>
        <w:t>3</w:t>
      </w:r>
      <w:r>
        <w:rPr>
          <w:rFonts w:hint="eastAsia" w:ascii="仿宋" w:hAnsi="仿宋" w:eastAsia="仿宋" w:cs="仿宋"/>
          <w:bCs/>
          <w:spacing w:val="-7"/>
          <w:szCs w:val="32"/>
          <w:lang w:eastAsia="zh-CN"/>
        </w:rPr>
        <w:t>.00分，得分率为</w:t>
      </w:r>
      <w:r>
        <w:rPr>
          <w:rFonts w:hint="eastAsia" w:ascii="仿宋" w:hAnsi="仿宋" w:eastAsia="仿宋" w:cs="仿宋"/>
          <w:bCs/>
          <w:spacing w:val="-7"/>
          <w:szCs w:val="32"/>
          <w:lang w:val="en-US" w:eastAsia="zh-CN"/>
        </w:rPr>
        <w:t>76.67</w:t>
      </w:r>
      <w:r>
        <w:rPr>
          <w:rFonts w:hint="eastAsia" w:ascii="仿宋" w:hAnsi="仿宋" w:eastAsia="仿宋" w:cs="仿宋"/>
          <w:bCs/>
          <w:spacing w:val="-7"/>
          <w:szCs w:val="32"/>
          <w:lang w:eastAsia="zh-CN"/>
        </w:rPr>
        <w:t>%。</w:t>
      </w:r>
      <w:r>
        <w:rPr>
          <w:rFonts w:hint="eastAsia" w:ascii="仿宋" w:hAnsi="仿宋" w:eastAsia="仿宋" w:cs="仿宋"/>
          <w:lang w:eastAsia="zh-CN"/>
        </w:rPr>
        <w:t>项目建成后将切实解决新坪村村民道路出行安全问题，有效保障村民生命财产安全，提升人民群众满意度</w:t>
      </w:r>
      <w:r>
        <w:rPr>
          <w:rFonts w:hint="eastAsia" w:ascii="仿宋" w:hAnsi="仿宋" w:eastAsia="仿宋" w:cs="仿宋"/>
          <w:bCs/>
          <w:spacing w:val="-7"/>
          <w:szCs w:val="32"/>
          <w:lang w:eastAsia="zh-CN"/>
        </w:rPr>
        <w:t>。具体得分情况见下表4-4：</w:t>
      </w:r>
    </w:p>
    <w:p>
      <w:pPr>
        <w:ind w:firstLine="0" w:firstLineChars="0"/>
        <w:jc w:val="center"/>
        <w:rPr>
          <w:rFonts w:hint="eastAsia" w:ascii="仿宋" w:hAnsi="仿宋" w:eastAsia="仿宋" w:cs="仿宋"/>
          <w:bCs/>
          <w:szCs w:val="32"/>
        </w:rPr>
      </w:pPr>
      <w:r>
        <w:rPr>
          <w:rFonts w:hint="eastAsia" w:ascii="仿宋" w:hAnsi="仿宋" w:eastAsia="仿宋" w:cs="仿宋"/>
          <w:bCs/>
          <w:szCs w:val="32"/>
        </w:rPr>
        <w:t>表4-4项目效益指标得分</w:t>
      </w:r>
    </w:p>
    <w:tbl>
      <w:tblPr>
        <w:tblStyle w:val="22"/>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blHeader/>
        </w:trPr>
        <w:tc>
          <w:tcPr>
            <w:tcW w:w="124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49"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trPr>
        <w:tc>
          <w:tcPr>
            <w:tcW w:w="1249" w:type="pct"/>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lang w:eastAsia="zh-CN"/>
              </w:rPr>
              <w:t>社会</w:t>
            </w:r>
            <w:r>
              <w:rPr>
                <w:rFonts w:hint="eastAsia" w:ascii="仿宋" w:hAnsi="仿宋" w:eastAsia="仿宋" w:cs="仿宋"/>
                <w:bCs/>
                <w:sz w:val="24"/>
              </w:rPr>
              <w:t>效益</w:t>
            </w:r>
          </w:p>
        </w:tc>
        <w:tc>
          <w:tcPr>
            <w:tcW w:w="2130"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5</w:t>
            </w:r>
          </w:p>
        </w:tc>
        <w:tc>
          <w:tcPr>
            <w:tcW w:w="2131"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62.50%</w:t>
            </w:r>
          </w:p>
        </w:tc>
      </w:tr>
      <w:tr>
        <w:tblPrEx>
          <w:tblCellMar>
            <w:top w:w="0" w:type="dxa"/>
            <w:left w:w="108" w:type="dxa"/>
            <w:bottom w:w="0" w:type="dxa"/>
            <w:right w:w="108" w:type="dxa"/>
          </w:tblCellMar>
        </w:tblPrEx>
        <w:trPr>
          <w:trHeight w:val="567" w:hRule="atLeast"/>
        </w:trPr>
        <w:tc>
          <w:tcPr>
            <w:tcW w:w="1249" w:type="pct"/>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经济效益</w:t>
            </w:r>
          </w:p>
        </w:tc>
        <w:tc>
          <w:tcPr>
            <w:tcW w:w="2130"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75.00%</w:t>
            </w:r>
          </w:p>
        </w:tc>
      </w:tr>
      <w:tr>
        <w:tblPrEx>
          <w:tblCellMar>
            <w:top w:w="0" w:type="dxa"/>
            <w:left w:w="108" w:type="dxa"/>
            <w:bottom w:w="0" w:type="dxa"/>
            <w:right w:w="108" w:type="dxa"/>
          </w:tblCellMar>
        </w:tblPrEx>
        <w:trPr>
          <w:trHeight w:val="567" w:hRule="atLeast"/>
        </w:trPr>
        <w:tc>
          <w:tcPr>
            <w:tcW w:w="1249" w:type="pct"/>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环境效益</w:t>
            </w:r>
          </w:p>
        </w:tc>
        <w:tc>
          <w:tcPr>
            <w:tcW w:w="2130" w:type="dxa"/>
            <w:tcBorders>
              <w:top w:val="nil"/>
              <w:left w:val="nil"/>
              <w:bottom w:val="single" w:color="auto" w:sz="4" w:space="0"/>
              <w:right w:val="single" w:color="auto" w:sz="4" w:space="0"/>
            </w:tcBorders>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sz w:val="24"/>
                <w:lang w:eastAsia="zh-CN" w:bidi="ar"/>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nil"/>
              <w:left w:val="nil"/>
              <w:bottom w:val="single" w:color="auto" w:sz="4" w:space="0"/>
              <w:right w:val="single" w:color="auto" w:sz="4" w:space="0"/>
            </w:tcBorders>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sz w:val="24"/>
                <w:lang w:eastAsia="zh-CN" w:bidi="ar"/>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lang w:eastAsia="zh-CN" w:bidi="ar"/>
              </w:rPr>
            </w:pPr>
            <w:r>
              <w:rPr>
                <w:rFonts w:hint="eastAsia" w:ascii="仿宋" w:hAnsi="仿宋" w:eastAsia="仿宋" w:cs="仿宋"/>
                <w:i w:val="0"/>
                <w:iCs w:val="0"/>
                <w:color w:val="000000"/>
                <w:kern w:val="0"/>
                <w:sz w:val="24"/>
                <w:szCs w:val="24"/>
                <w:u w:val="none"/>
                <w:lang w:val="en-US" w:eastAsia="zh-CN" w:bidi="ar"/>
              </w:rPr>
              <w:t>75.00%</w:t>
            </w:r>
          </w:p>
        </w:tc>
      </w:tr>
      <w:tr>
        <w:tblPrEx>
          <w:tblCellMar>
            <w:top w:w="0" w:type="dxa"/>
            <w:left w:w="108" w:type="dxa"/>
            <w:bottom w:w="0" w:type="dxa"/>
            <w:right w:w="108" w:type="dxa"/>
          </w:tblCellMar>
        </w:tblPrEx>
        <w:trPr>
          <w:trHeight w:val="567" w:hRule="atLeast"/>
        </w:trPr>
        <w:tc>
          <w:tcPr>
            <w:tcW w:w="1249" w:type="pct"/>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满意度</w:t>
            </w:r>
          </w:p>
        </w:tc>
        <w:tc>
          <w:tcPr>
            <w:tcW w:w="2130" w:type="dxa"/>
            <w:tcBorders>
              <w:top w:val="nil"/>
              <w:left w:val="nil"/>
              <w:bottom w:val="single" w:color="auto" w:sz="4" w:space="0"/>
              <w:right w:val="single" w:color="auto" w:sz="4" w:space="0"/>
            </w:tcBorders>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nil"/>
              <w:left w:val="nil"/>
              <w:bottom w:val="single" w:color="auto" w:sz="4" w:space="0"/>
              <w:right w:val="single" w:color="auto" w:sz="4" w:space="0"/>
            </w:tcBorders>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249" w:type="pct"/>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合计</w:t>
            </w:r>
          </w:p>
        </w:tc>
        <w:tc>
          <w:tcPr>
            <w:tcW w:w="2130"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lang w:eastAsia="zh-CN"/>
              </w:rPr>
            </w:pPr>
            <w:r>
              <w:rPr>
                <w:rFonts w:hint="eastAsia" w:ascii="仿宋" w:hAnsi="仿宋" w:eastAsia="仿宋" w:cs="仿宋"/>
                <w:i w:val="0"/>
                <w:iCs w:val="0"/>
                <w:color w:val="000000"/>
                <w:kern w:val="0"/>
                <w:sz w:val="24"/>
                <w:szCs w:val="24"/>
                <w:u w:val="none"/>
                <w:lang w:val="en-US" w:eastAsia="zh-CN" w:bidi="ar"/>
              </w:rPr>
              <w:t>30</w:t>
            </w:r>
          </w:p>
        </w:tc>
        <w:tc>
          <w:tcPr>
            <w:tcW w:w="2131"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lang w:eastAsia="zh-CN"/>
              </w:rPr>
            </w:pPr>
            <w:r>
              <w:rPr>
                <w:rFonts w:hint="eastAsia" w:ascii="仿宋" w:hAnsi="仿宋" w:eastAsia="仿宋" w:cs="仿宋"/>
                <w:i w:val="0"/>
                <w:iCs w:val="0"/>
                <w:color w:val="000000"/>
                <w:kern w:val="0"/>
                <w:sz w:val="24"/>
                <w:szCs w:val="24"/>
                <w:u w:val="none"/>
                <w:lang w:val="en-US" w:eastAsia="zh-CN" w:bidi="ar"/>
              </w:rPr>
              <w:t>23</w:t>
            </w:r>
          </w:p>
        </w:tc>
        <w:tc>
          <w:tcPr>
            <w:tcW w:w="2131"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76.67%</w:t>
            </w:r>
          </w:p>
        </w:tc>
      </w:tr>
    </w:tbl>
    <w:p>
      <w:pPr>
        <w:pStyle w:val="4"/>
        <w:numPr>
          <w:ilvl w:val="2"/>
          <w:numId w:val="22"/>
        </w:numPr>
        <w:ind w:firstLineChars="0"/>
        <w:rPr>
          <w:rFonts w:hint="eastAsia" w:ascii="仿宋" w:hAnsi="仿宋" w:eastAsia="仿宋" w:cs="仿宋"/>
          <w:b w:val="0"/>
          <w:bCs/>
        </w:rPr>
      </w:pPr>
      <w:bookmarkStart w:id="354" w:name="_Toc786237891_WPSOffice_Level3"/>
      <w:bookmarkStart w:id="355" w:name="_Toc1137671051"/>
      <w:bookmarkStart w:id="356" w:name="_Toc130033924"/>
      <w:bookmarkStart w:id="357" w:name="_Toc29127"/>
      <w:bookmarkStart w:id="358" w:name="_Toc1098745722"/>
      <w:bookmarkStart w:id="359" w:name="_Toc23843"/>
      <w:bookmarkStart w:id="360" w:name="_Toc1809930956"/>
      <w:bookmarkStart w:id="361" w:name="_Toc630865930"/>
      <w:r>
        <w:rPr>
          <w:rFonts w:hint="eastAsia" w:ascii="仿宋" w:hAnsi="仿宋" w:eastAsia="仿宋" w:cs="仿宋"/>
          <w:b w:val="0"/>
          <w:bCs/>
          <w:lang w:eastAsia="zh-CN"/>
        </w:rPr>
        <w:t>社会</w:t>
      </w:r>
      <w:r>
        <w:rPr>
          <w:rFonts w:hint="eastAsia" w:ascii="仿宋" w:hAnsi="仿宋" w:eastAsia="仿宋" w:cs="仿宋"/>
          <w:b w:val="0"/>
          <w:bCs/>
        </w:rPr>
        <w:t>效益分析</w:t>
      </w:r>
      <w:bookmarkEnd w:id="354"/>
      <w:bookmarkEnd w:id="355"/>
      <w:bookmarkEnd w:id="356"/>
      <w:bookmarkEnd w:id="357"/>
      <w:bookmarkEnd w:id="358"/>
      <w:bookmarkEnd w:id="359"/>
      <w:bookmarkEnd w:id="360"/>
      <w:bookmarkEnd w:id="361"/>
    </w:p>
    <w:p>
      <w:pPr>
        <w:pStyle w:val="5"/>
        <w:pageBreakBefore w:val="0"/>
        <w:widowControl w:val="0"/>
        <w:numPr>
          <w:ilvl w:val="0"/>
          <w:numId w:val="23"/>
        </w:numPr>
        <w:kinsoku/>
        <w:wordWrap/>
        <w:overflowPunct/>
        <w:topLinePunct w:val="0"/>
        <w:autoSpaceDE/>
        <w:autoSpaceDN/>
        <w:bidi w:val="0"/>
        <w:adjustRightInd/>
        <w:snapToGrid/>
        <w:spacing w:line="560" w:lineRule="exact"/>
        <w:ind w:firstLineChars="0"/>
        <w:textAlignment w:val="auto"/>
        <w:rPr>
          <w:rFonts w:hint="eastAsia" w:ascii="仿宋" w:hAnsi="仿宋" w:eastAsia="仿宋" w:cs="仿宋"/>
          <w:b w:val="0"/>
          <w:bCs/>
          <w:lang w:eastAsia="zh-CN"/>
        </w:rPr>
      </w:pPr>
      <w:r>
        <w:rPr>
          <w:rFonts w:hint="eastAsia" w:ascii="仿宋" w:hAnsi="仿宋" w:eastAsia="仿宋" w:cs="仿宋"/>
          <w:b w:val="0"/>
          <w:bCs/>
          <w:lang w:eastAsia="zh-CN"/>
        </w:rPr>
        <w:t>提升村民生活安全感与幸福感分析</w:t>
      </w:r>
    </w:p>
    <w:p>
      <w:pPr>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bCs/>
          <w:lang w:eastAsia="zh-CN"/>
        </w:rPr>
      </w:pPr>
      <w:r>
        <w:rPr>
          <w:rFonts w:hint="eastAsia" w:ascii="仿宋" w:hAnsi="仿宋" w:eastAsia="仿宋" w:cs="仿宋"/>
          <w:bCs/>
          <w:lang w:eastAsia="zh-CN"/>
        </w:rPr>
        <w:t>修复后的村道消除了因水毁导致的路面塌陷、泥泞难行等安全隐患，保障村民日常出行（尤其是老人、儿童）和紧急情况下（如就医、避险）的通行安全，减少意外事故发生，让村民生活更安心。通行条件改善后，村民购物、探亲、参与公共活动更便捷，间接提升生活满意度和幸福感。根据评分标准，该指标评定为良，得3.00分。</w:t>
      </w:r>
    </w:p>
    <w:p>
      <w:pPr>
        <w:pStyle w:val="5"/>
        <w:pageBreakBefore w:val="0"/>
        <w:widowControl w:val="0"/>
        <w:numPr>
          <w:ilvl w:val="0"/>
          <w:numId w:val="23"/>
        </w:numPr>
        <w:kinsoku/>
        <w:wordWrap/>
        <w:overflowPunct/>
        <w:topLinePunct w:val="0"/>
        <w:autoSpaceDE/>
        <w:autoSpaceDN/>
        <w:bidi w:val="0"/>
        <w:adjustRightInd/>
        <w:snapToGrid/>
        <w:spacing w:line="560" w:lineRule="exact"/>
        <w:ind w:firstLineChars="0"/>
        <w:textAlignment w:val="auto"/>
        <w:rPr>
          <w:rFonts w:hint="eastAsia" w:ascii="仿宋" w:hAnsi="仿宋" w:eastAsia="仿宋" w:cs="仿宋"/>
          <w:b w:val="0"/>
          <w:bCs/>
          <w:lang w:eastAsia="zh-CN"/>
        </w:rPr>
      </w:pPr>
      <w:r>
        <w:rPr>
          <w:rFonts w:hint="eastAsia" w:ascii="仿宋" w:hAnsi="仿宋" w:eastAsia="仿宋" w:cs="仿宋"/>
          <w:b w:val="0"/>
          <w:bCs/>
          <w:lang w:eastAsia="zh-CN"/>
        </w:rPr>
        <w:t>增强乡村社会凝聚力分析</w:t>
      </w:r>
    </w:p>
    <w:p>
      <w:pPr>
        <w:pageBreakBefore w:val="0"/>
        <w:widowControl w:val="0"/>
        <w:kinsoku/>
        <w:wordWrap/>
        <w:overflowPunct/>
        <w:topLinePunct w:val="0"/>
        <w:autoSpaceDE/>
        <w:autoSpaceDN/>
        <w:bidi w:val="0"/>
        <w:adjustRightInd/>
        <w:snapToGrid/>
        <w:spacing w:line="560" w:lineRule="exact"/>
        <w:ind w:firstLine="612"/>
        <w:textAlignment w:val="auto"/>
        <w:rPr>
          <w:rFonts w:hint="eastAsia" w:ascii="仿宋" w:hAnsi="仿宋" w:eastAsia="仿宋" w:cs="仿宋"/>
          <w:bCs/>
          <w:spacing w:val="-7"/>
          <w:lang w:eastAsia="zh-CN"/>
        </w:rPr>
      </w:pPr>
      <w:r>
        <w:rPr>
          <w:rFonts w:hint="eastAsia" w:ascii="仿宋" w:hAnsi="仿宋" w:eastAsia="仿宋" w:cs="仿宋"/>
          <w:bCs/>
          <w:spacing w:val="-7"/>
          <w:lang w:eastAsia="zh-CN"/>
        </w:rPr>
        <w:t>道路修复过程中，涉及村民配合、集体协调等，有助于增强村民对集体事务的参与感和归属感。畅通的交通便于村民间的互动交流，促进邻里关系和谐，强化乡村社会联系。根据评分标准，该指标评定为</w:t>
      </w:r>
      <w:r>
        <w:rPr>
          <w:rFonts w:hint="eastAsia" w:ascii="仿宋" w:hAnsi="仿宋" w:eastAsia="仿宋" w:cs="仿宋"/>
          <w:bCs/>
          <w:spacing w:val="-7"/>
          <w:lang w:val="en-US" w:eastAsia="zh-CN"/>
        </w:rPr>
        <w:t>中</w:t>
      </w:r>
      <w:r>
        <w:rPr>
          <w:rFonts w:hint="eastAsia" w:ascii="仿宋" w:hAnsi="仿宋" w:eastAsia="仿宋" w:cs="仿宋"/>
          <w:bCs/>
          <w:spacing w:val="-7"/>
          <w:lang w:eastAsia="zh-CN"/>
        </w:rPr>
        <w:t>，得</w:t>
      </w:r>
      <w:r>
        <w:rPr>
          <w:rFonts w:hint="eastAsia" w:ascii="仿宋" w:hAnsi="仿宋" w:eastAsia="仿宋" w:cs="仿宋"/>
          <w:bCs/>
          <w:spacing w:val="-7"/>
          <w:lang w:val="en-US" w:eastAsia="zh-CN"/>
        </w:rPr>
        <w:t>2</w:t>
      </w:r>
      <w:r>
        <w:rPr>
          <w:rFonts w:hint="eastAsia" w:ascii="仿宋" w:hAnsi="仿宋" w:eastAsia="仿宋" w:cs="仿宋"/>
          <w:bCs/>
          <w:spacing w:val="-7"/>
          <w:lang w:eastAsia="zh-CN"/>
        </w:rPr>
        <w:t>.00分。</w:t>
      </w:r>
    </w:p>
    <w:p>
      <w:pPr>
        <w:pStyle w:val="4"/>
        <w:pageBreakBefore w:val="0"/>
        <w:widowControl w:val="0"/>
        <w:numPr>
          <w:ilvl w:val="2"/>
          <w:numId w:val="22"/>
        </w:numPr>
        <w:kinsoku/>
        <w:wordWrap/>
        <w:overflowPunct/>
        <w:topLinePunct w:val="0"/>
        <w:autoSpaceDE/>
        <w:autoSpaceDN/>
        <w:bidi w:val="0"/>
        <w:adjustRightInd/>
        <w:snapToGrid/>
        <w:spacing w:line="560" w:lineRule="exact"/>
        <w:ind w:firstLineChars="0"/>
        <w:textAlignment w:val="auto"/>
        <w:rPr>
          <w:rFonts w:hint="eastAsia" w:ascii="仿宋" w:hAnsi="仿宋" w:eastAsia="仿宋" w:cs="仿宋"/>
          <w:b w:val="0"/>
          <w:bCs/>
          <w:lang w:eastAsia="zh-CN"/>
        </w:rPr>
      </w:pPr>
      <w:bookmarkStart w:id="362" w:name="_Toc30657"/>
      <w:bookmarkStart w:id="363" w:name="_Toc25113"/>
      <w:bookmarkStart w:id="364" w:name="_Toc836920271"/>
      <w:bookmarkStart w:id="365" w:name="_Toc407469101"/>
      <w:bookmarkStart w:id="366" w:name="_Toc403717737"/>
      <w:bookmarkStart w:id="367" w:name="_Toc1790444916"/>
      <w:bookmarkStart w:id="368" w:name="_Toc130033925"/>
      <w:bookmarkStart w:id="369" w:name="_Toc833354046_WPSOffice_Level3"/>
      <w:r>
        <w:rPr>
          <w:rFonts w:hint="eastAsia" w:ascii="仿宋" w:hAnsi="仿宋" w:eastAsia="仿宋" w:cs="仿宋"/>
          <w:b w:val="0"/>
          <w:bCs/>
          <w:lang w:eastAsia="zh-CN"/>
        </w:rPr>
        <w:t>经济效益</w:t>
      </w:r>
    </w:p>
    <w:p>
      <w:pPr>
        <w:pStyle w:val="5"/>
        <w:pageBreakBefore w:val="0"/>
        <w:widowControl w:val="0"/>
        <w:numPr>
          <w:ilvl w:val="0"/>
          <w:numId w:val="24"/>
        </w:numPr>
        <w:kinsoku/>
        <w:wordWrap/>
        <w:overflowPunct/>
        <w:topLinePunct w:val="0"/>
        <w:autoSpaceDE/>
        <w:autoSpaceDN/>
        <w:bidi w:val="0"/>
        <w:adjustRightInd/>
        <w:snapToGrid/>
        <w:spacing w:line="560" w:lineRule="exact"/>
        <w:ind w:firstLineChars="0"/>
        <w:textAlignment w:val="auto"/>
        <w:rPr>
          <w:rFonts w:hint="eastAsia" w:ascii="仿宋" w:hAnsi="仿宋" w:eastAsia="仿宋" w:cs="仿宋"/>
          <w:b w:val="0"/>
          <w:bCs/>
          <w:lang w:eastAsia="zh-CN"/>
        </w:rPr>
      </w:pPr>
      <w:r>
        <w:rPr>
          <w:rFonts w:hint="eastAsia" w:ascii="仿宋" w:hAnsi="仿宋" w:eastAsia="仿宋" w:cs="仿宋"/>
          <w:b w:val="0"/>
          <w:bCs/>
          <w:lang w:val="en-US" w:eastAsia="zh-CN"/>
        </w:rPr>
        <w:t>降低生产生活成本</w:t>
      </w:r>
      <w:r>
        <w:rPr>
          <w:rFonts w:hint="eastAsia" w:ascii="仿宋" w:hAnsi="仿宋" w:eastAsia="仿宋" w:cs="仿宋"/>
          <w:b w:val="0"/>
          <w:bCs/>
          <w:lang w:eastAsia="zh-CN"/>
        </w:rPr>
        <w:t>分析</w:t>
      </w:r>
    </w:p>
    <w:p>
      <w:pPr>
        <w:pageBreakBefore w:val="0"/>
        <w:widowControl w:val="0"/>
        <w:kinsoku/>
        <w:wordWrap/>
        <w:overflowPunct/>
        <w:topLinePunct w:val="0"/>
        <w:autoSpaceDE/>
        <w:autoSpaceDN/>
        <w:bidi w:val="0"/>
        <w:adjustRightInd/>
        <w:snapToGrid/>
        <w:spacing w:line="560" w:lineRule="exact"/>
        <w:ind w:firstLine="612"/>
        <w:textAlignment w:val="auto"/>
        <w:rPr>
          <w:rFonts w:hint="eastAsia" w:ascii="仿宋" w:hAnsi="仿宋" w:eastAsia="仿宋" w:cs="仿宋"/>
          <w:bCs/>
          <w:spacing w:val="-7"/>
          <w:lang w:eastAsia="zh-CN"/>
        </w:rPr>
      </w:pPr>
      <w:r>
        <w:rPr>
          <w:rFonts w:hint="eastAsia" w:ascii="仿宋" w:hAnsi="仿宋" w:eastAsia="仿宋" w:cs="仿宋"/>
          <w:bCs/>
          <w:spacing w:val="-7"/>
          <w:lang w:eastAsia="zh-CN"/>
        </w:rPr>
        <w:t>修复后的村道便于农资（化肥、种子等）运输进村，降低运输成本；同时，农产品（如蔬果、畜禽）能更快捷地运出销售，减少因道路不畅导致的损耗（如变质、延误上市），提升农产品流通效率和收益。村民出行、车辆通行不再受水毁路段阻碍，减少车辆维修（如因颠簸、泥泞造成的损耗）和时间成本，间接降低生活开支。根据评分标准，该指标评定为良，得3.00分。</w:t>
      </w:r>
    </w:p>
    <w:p>
      <w:pPr>
        <w:pStyle w:val="5"/>
        <w:pageBreakBefore w:val="0"/>
        <w:widowControl w:val="0"/>
        <w:numPr>
          <w:ilvl w:val="0"/>
          <w:numId w:val="24"/>
        </w:numPr>
        <w:kinsoku/>
        <w:wordWrap/>
        <w:overflowPunct/>
        <w:topLinePunct w:val="0"/>
        <w:autoSpaceDE/>
        <w:autoSpaceDN/>
        <w:bidi w:val="0"/>
        <w:adjustRightInd/>
        <w:snapToGrid/>
        <w:spacing w:line="560" w:lineRule="exact"/>
        <w:ind w:firstLineChars="0"/>
        <w:textAlignment w:val="auto"/>
        <w:rPr>
          <w:rFonts w:hint="eastAsia" w:ascii="仿宋" w:hAnsi="仿宋" w:eastAsia="仿宋" w:cs="仿宋"/>
          <w:b w:val="0"/>
          <w:bCs/>
          <w:lang w:val="en-US" w:eastAsia="zh-CN"/>
        </w:rPr>
      </w:pPr>
      <w:r>
        <w:rPr>
          <w:rFonts w:hint="eastAsia" w:ascii="仿宋" w:hAnsi="仿宋" w:eastAsia="仿宋" w:cs="仿宋"/>
          <w:b w:val="0"/>
          <w:bCs/>
          <w:lang w:val="en-US" w:eastAsia="zh-CN"/>
        </w:rPr>
        <w:t>激活乡村产业发展潜力分析</w:t>
      </w:r>
    </w:p>
    <w:p>
      <w:pPr>
        <w:pageBreakBefore w:val="0"/>
        <w:widowControl w:val="0"/>
        <w:kinsoku/>
        <w:wordWrap/>
        <w:overflowPunct/>
        <w:topLinePunct w:val="0"/>
        <w:autoSpaceDE/>
        <w:autoSpaceDN/>
        <w:bidi w:val="0"/>
        <w:adjustRightInd/>
        <w:snapToGrid/>
        <w:spacing w:line="560" w:lineRule="exact"/>
        <w:ind w:firstLine="612"/>
        <w:textAlignment w:val="auto"/>
        <w:rPr>
          <w:rFonts w:hint="eastAsia" w:ascii="仿宋" w:hAnsi="仿宋" w:eastAsia="仿宋" w:cs="仿宋"/>
          <w:bCs/>
          <w:spacing w:val="-7"/>
          <w:lang w:eastAsia="zh-CN"/>
        </w:rPr>
      </w:pPr>
      <w:r>
        <w:rPr>
          <w:rFonts w:hint="eastAsia" w:ascii="仿宋" w:hAnsi="仿宋" w:eastAsia="仿宋" w:cs="仿宋"/>
          <w:bCs/>
          <w:spacing w:val="-7"/>
          <w:lang w:eastAsia="zh-CN"/>
        </w:rPr>
        <w:t>畅通的道路为乡村种植、养殖、手工艺等特色产业提供基础交通保障，便于扩大生产规模，吸引外来订单、引入合作企业，形成规模化效益。改善交通条件</w:t>
      </w:r>
      <w:r>
        <w:rPr>
          <w:rFonts w:hint="eastAsia" w:ascii="仿宋" w:hAnsi="仿宋" w:eastAsia="仿宋" w:cs="仿宋"/>
          <w:bCs/>
          <w:spacing w:val="-7"/>
          <w:lang w:val="en-US" w:eastAsia="zh-CN"/>
        </w:rPr>
        <w:t>后</w:t>
      </w:r>
      <w:r>
        <w:rPr>
          <w:rFonts w:hint="eastAsia" w:ascii="仿宋" w:hAnsi="仿宋" w:eastAsia="仿宋" w:cs="仿宋"/>
          <w:bCs/>
          <w:spacing w:val="-7"/>
          <w:lang w:eastAsia="zh-CN"/>
        </w:rPr>
        <w:t>吸引更多游客，带动餐饮、住宿、农产品零售等关联产业发展，增加村民多元收入。根据评分标准，该指标评定为良，得</w:t>
      </w:r>
      <w:r>
        <w:rPr>
          <w:rFonts w:hint="eastAsia" w:ascii="仿宋" w:hAnsi="仿宋" w:eastAsia="仿宋" w:cs="仿宋"/>
          <w:bCs/>
          <w:spacing w:val="-7"/>
          <w:lang w:val="en-US" w:eastAsia="zh-CN"/>
        </w:rPr>
        <w:t>3</w:t>
      </w:r>
      <w:r>
        <w:rPr>
          <w:rFonts w:hint="eastAsia" w:ascii="仿宋" w:hAnsi="仿宋" w:eastAsia="仿宋" w:cs="仿宋"/>
          <w:bCs/>
          <w:spacing w:val="-7"/>
          <w:lang w:eastAsia="zh-CN"/>
        </w:rPr>
        <w:t>.00分。</w:t>
      </w:r>
    </w:p>
    <w:bookmarkEnd w:id="362"/>
    <w:bookmarkEnd w:id="363"/>
    <w:bookmarkEnd w:id="364"/>
    <w:bookmarkEnd w:id="365"/>
    <w:bookmarkEnd w:id="366"/>
    <w:bookmarkEnd w:id="367"/>
    <w:bookmarkEnd w:id="368"/>
    <w:bookmarkEnd w:id="369"/>
    <w:p>
      <w:pPr>
        <w:pStyle w:val="4"/>
        <w:pageBreakBefore w:val="0"/>
        <w:widowControl w:val="0"/>
        <w:numPr>
          <w:ilvl w:val="2"/>
          <w:numId w:val="22"/>
        </w:numPr>
        <w:kinsoku/>
        <w:wordWrap/>
        <w:overflowPunct/>
        <w:topLinePunct w:val="0"/>
        <w:autoSpaceDE/>
        <w:autoSpaceDN/>
        <w:bidi w:val="0"/>
        <w:adjustRightInd/>
        <w:snapToGrid/>
        <w:spacing w:line="560" w:lineRule="exact"/>
        <w:ind w:firstLineChars="0"/>
        <w:textAlignment w:val="auto"/>
        <w:rPr>
          <w:rFonts w:hint="eastAsia" w:ascii="仿宋" w:hAnsi="仿宋" w:eastAsia="仿宋" w:cs="仿宋"/>
          <w:b w:val="0"/>
          <w:bCs/>
          <w:lang w:eastAsia="zh-CN"/>
        </w:rPr>
      </w:pPr>
      <w:bookmarkStart w:id="370" w:name="_Toc293105388_WPSOffice_Level3"/>
      <w:bookmarkStart w:id="371" w:name="_Toc101106847"/>
      <w:bookmarkStart w:id="372" w:name="_Toc1466841448"/>
      <w:bookmarkStart w:id="373" w:name="_Toc7830224"/>
      <w:bookmarkStart w:id="374" w:name="_Toc1383164886"/>
      <w:bookmarkStart w:id="375" w:name="_Toc4434"/>
      <w:r>
        <w:rPr>
          <w:rFonts w:hint="eastAsia" w:ascii="仿宋" w:hAnsi="仿宋" w:eastAsia="仿宋" w:cs="仿宋"/>
          <w:b w:val="0"/>
          <w:bCs/>
          <w:lang w:eastAsia="zh-CN"/>
        </w:rPr>
        <w:t>环境效益</w:t>
      </w:r>
    </w:p>
    <w:p>
      <w:pPr>
        <w:pStyle w:val="5"/>
        <w:pageBreakBefore w:val="0"/>
        <w:widowControl w:val="0"/>
        <w:numPr>
          <w:ilvl w:val="0"/>
          <w:numId w:val="25"/>
        </w:numPr>
        <w:kinsoku/>
        <w:wordWrap/>
        <w:overflowPunct/>
        <w:topLinePunct w:val="0"/>
        <w:autoSpaceDE/>
        <w:autoSpaceDN/>
        <w:bidi w:val="0"/>
        <w:adjustRightInd/>
        <w:snapToGrid/>
        <w:spacing w:line="560" w:lineRule="exact"/>
        <w:ind w:firstLineChars="0"/>
        <w:textAlignment w:val="auto"/>
        <w:rPr>
          <w:rFonts w:hint="eastAsia" w:ascii="仿宋" w:hAnsi="仿宋" w:eastAsia="仿宋" w:cs="仿宋"/>
          <w:b w:val="0"/>
          <w:bCs/>
          <w:spacing w:val="-7"/>
          <w:lang w:eastAsia="zh-CN"/>
        </w:rPr>
      </w:pPr>
      <w:r>
        <w:rPr>
          <w:rFonts w:hint="eastAsia" w:ascii="仿宋" w:hAnsi="仿宋" w:eastAsia="仿宋" w:cs="仿宋"/>
          <w:b w:val="0"/>
          <w:bCs/>
          <w:spacing w:val="-7"/>
          <w:lang w:eastAsia="zh-CN"/>
        </w:rPr>
        <w:t>减少水土流失与生态破坏分析</w:t>
      </w:r>
    </w:p>
    <w:p>
      <w:pPr>
        <w:pageBreakBefore w:val="0"/>
        <w:widowControl w:val="0"/>
        <w:kinsoku/>
        <w:wordWrap/>
        <w:overflowPunct/>
        <w:topLinePunct w:val="0"/>
        <w:autoSpaceDE/>
        <w:autoSpaceDN/>
        <w:bidi w:val="0"/>
        <w:adjustRightInd/>
        <w:snapToGrid/>
        <w:spacing w:line="560" w:lineRule="exact"/>
        <w:ind w:firstLine="612"/>
        <w:textAlignment w:val="auto"/>
        <w:rPr>
          <w:rFonts w:hint="eastAsia" w:ascii="仿宋" w:hAnsi="仿宋" w:eastAsia="仿宋" w:cs="仿宋"/>
          <w:bCs/>
          <w:spacing w:val="-7"/>
          <w:lang w:eastAsia="zh-CN"/>
        </w:rPr>
      </w:pPr>
      <w:r>
        <w:rPr>
          <w:rFonts w:hint="eastAsia" w:ascii="仿宋" w:hAnsi="仿宋" w:eastAsia="仿宋" w:cs="仿宋"/>
          <w:bCs/>
          <w:spacing w:val="-7"/>
          <w:lang w:eastAsia="zh-CN"/>
        </w:rPr>
        <w:t>工程新修混凝土挡土墙250立方米，更换、安装波形钢护栏约52米，</w:t>
      </w:r>
      <w:r>
        <w:rPr>
          <w:rFonts w:hint="eastAsia" w:ascii="仿宋" w:hAnsi="仿宋" w:eastAsia="仿宋" w:cs="仿宋"/>
          <w:bCs/>
          <w:spacing w:val="-7"/>
          <w:lang w:val="en-US" w:eastAsia="zh-CN"/>
        </w:rPr>
        <w:t>以及</w:t>
      </w:r>
      <w:r>
        <w:rPr>
          <w:rFonts w:hint="eastAsia" w:ascii="仿宋" w:hAnsi="仿宋" w:eastAsia="仿宋" w:cs="仿宋"/>
          <w:bCs/>
          <w:spacing w:val="-7"/>
          <w:lang w:eastAsia="zh-CN"/>
        </w:rPr>
        <w:t>对金河镇新坪村村内两处水毁道路实施修复等措施，有效遏制雨水对道路及周边土地的冲刷，减少水土流失，保护地表植被和土壤结构。根据评分标准，该指标评定为良，得</w:t>
      </w:r>
      <w:r>
        <w:rPr>
          <w:rFonts w:hint="eastAsia" w:ascii="仿宋" w:hAnsi="仿宋" w:eastAsia="仿宋" w:cs="仿宋"/>
          <w:bCs/>
          <w:spacing w:val="-7"/>
          <w:lang w:val="en-US" w:eastAsia="zh-CN"/>
        </w:rPr>
        <w:t>3</w:t>
      </w:r>
      <w:r>
        <w:rPr>
          <w:rFonts w:hint="eastAsia" w:ascii="仿宋" w:hAnsi="仿宋" w:eastAsia="仿宋" w:cs="仿宋"/>
          <w:bCs/>
          <w:spacing w:val="-7"/>
          <w:lang w:eastAsia="zh-CN"/>
        </w:rPr>
        <w:t>.00分。</w:t>
      </w:r>
    </w:p>
    <w:p>
      <w:pPr>
        <w:pStyle w:val="5"/>
        <w:pageBreakBefore w:val="0"/>
        <w:widowControl w:val="0"/>
        <w:numPr>
          <w:ilvl w:val="0"/>
          <w:numId w:val="25"/>
        </w:numPr>
        <w:kinsoku/>
        <w:wordWrap/>
        <w:overflowPunct/>
        <w:topLinePunct w:val="0"/>
        <w:autoSpaceDE/>
        <w:autoSpaceDN/>
        <w:bidi w:val="0"/>
        <w:adjustRightInd/>
        <w:snapToGrid/>
        <w:spacing w:line="560" w:lineRule="exact"/>
        <w:ind w:firstLineChars="0"/>
        <w:textAlignment w:val="auto"/>
        <w:rPr>
          <w:rFonts w:hint="eastAsia" w:ascii="仿宋" w:hAnsi="仿宋" w:eastAsia="仿宋" w:cs="仿宋"/>
          <w:b w:val="0"/>
          <w:bCs/>
          <w:spacing w:val="-7"/>
          <w:lang w:eastAsia="zh-CN"/>
        </w:rPr>
      </w:pPr>
      <w:r>
        <w:rPr>
          <w:rFonts w:hint="eastAsia" w:ascii="仿宋" w:hAnsi="仿宋" w:eastAsia="仿宋" w:cs="仿宋"/>
          <w:b w:val="0"/>
          <w:bCs/>
          <w:spacing w:val="-7"/>
          <w:lang w:val="en-US" w:eastAsia="zh-CN"/>
        </w:rPr>
        <w:t>降低面源污染风险</w:t>
      </w:r>
      <w:r>
        <w:rPr>
          <w:rFonts w:hint="eastAsia" w:ascii="仿宋" w:hAnsi="仿宋" w:eastAsia="仿宋" w:cs="仿宋"/>
          <w:b w:val="0"/>
          <w:bCs/>
          <w:spacing w:val="-7"/>
          <w:lang w:eastAsia="zh-CN"/>
        </w:rPr>
        <w:t>分析</w:t>
      </w:r>
    </w:p>
    <w:p>
      <w:pPr>
        <w:pageBreakBefore w:val="0"/>
        <w:widowControl w:val="0"/>
        <w:kinsoku/>
        <w:wordWrap/>
        <w:overflowPunct/>
        <w:topLinePunct w:val="0"/>
        <w:autoSpaceDE/>
        <w:autoSpaceDN/>
        <w:bidi w:val="0"/>
        <w:adjustRightInd/>
        <w:snapToGrid/>
        <w:spacing w:line="560" w:lineRule="exact"/>
        <w:ind w:firstLine="612"/>
        <w:textAlignment w:val="auto"/>
        <w:rPr>
          <w:rFonts w:hint="eastAsia" w:ascii="仿宋" w:hAnsi="仿宋" w:eastAsia="仿宋" w:cs="仿宋"/>
          <w:bCs/>
          <w:spacing w:val="-7"/>
          <w:lang w:eastAsia="zh-CN"/>
        </w:rPr>
      </w:pPr>
      <w:r>
        <w:rPr>
          <w:rFonts w:hint="eastAsia" w:ascii="仿宋" w:hAnsi="仿宋" w:eastAsia="仿宋" w:cs="仿宋"/>
          <w:bCs/>
          <w:spacing w:val="-7"/>
          <w:lang w:eastAsia="zh-CN"/>
        </w:rPr>
        <w:t>完善的排水系统能规范雨水径流方向，避免路面雨水携带泥沙、杂物随意流入农田、河流，减少对水体和土壤的污染，保护周边水源和农业生态环境。根据评分标准，该指标评定为良，得</w:t>
      </w:r>
      <w:r>
        <w:rPr>
          <w:rFonts w:hint="eastAsia" w:ascii="仿宋" w:hAnsi="仿宋" w:eastAsia="仿宋" w:cs="仿宋"/>
          <w:bCs/>
          <w:spacing w:val="-7"/>
          <w:lang w:val="en-US" w:eastAsia="zh-CN"/>
        </w:rPr>
        <w:t>3</w:t>
      </w:r>
      <w:r>
        <w:rPr>
          <w:rFonts w:hint="eastAsia" w:ascii="仿宋" w:hAnsi="仿宋" w:eastAsia="仿宋" w:cs="仿宋"/>
          <w:bCs/>
          <w:spacing w:val="-7"/>
          <w:lang w:eastAsia="zh-CN"/>
        </w:rPr>
        <w:t>.00分。</w:t>
      </w:r>
    </w:p>
    <w:p>
      <w:pPr>
        <w:pStyle w:val="4"/>
        <w:pageBreakBefore w:val="0"/>
        <w:widowControl w:val="0"/>
        <w:numPr>
          <w:ilvl w:val="2"/>
          <w:numId w:val="22"/>
        </w:numPr>
        <w:kinsoku/>
        <w:wordWrap/>
        <w:overflowPunct/>
        <w:topLinePunct w:val="0"/>
        <w:autoSpaceDE/>
        <w:autoSpaceDN/>
        <w:bidi w:val="0"/>
        <w:adjustRightInd/>
        <w:snapToGrid/>
        <w:spacing w:line="560" w:lineRule="exact"/>
        <w:ind w:firstLineChars="0"/>
        <w:textAlignment w:val="auto"/>
        <w:rPr>
          <w:rFonts w:hint="eastAsia" w:ascii="仿宋" w:hAnsi="仿宋" w:eastAsia="仿宋" w:cs="仿宋"/>
          <w:b w:val="0"/>
          <w:bCs/>
          <w:lang w:eastAsia="zh-CN"/>
        </w:rPr>
      </w:pPr>
      <w:r>
        <w:rPr>
          <w:rFonts w:hint="eastAsia" w:ascii="仿宋" w:hAnsi="仿宋" w:eastAsia="仿宋" w:cs="仿宋"/>
          <w:b w:val="0"/>
          <w:bCs/>
          <w:lang w:eastAsia="zh-CN"/>
        </w:rPr>
        <w:t>满意度分析</w:t>
      </w:r>
    </w:p>
    <w:p>
      <w:pPr>
        <w:pStyle w:val="5"/>
        <w:pageBreakBefore w:val="0"/>
        <w:widowControl w:val="0"/>
        <w:numPr>
          <w:numId w:val="0"/>
        </w:numPr>
        <w:kinsoku/>
        <w:wordWrap/>
        <w:overflowPunct/>
        <w:topLinePunct w:val="0"/>
        <w:autoSpaceDE/>
        <w:autoSpaceDN/>
        <w:bidi w:val="0"/>
        <w:adjustRightInd/>
        <w:snapToGrid/>
        <w:spacing w:line="560" w:lineRule="exact"/>
        <w:ind w:left="643" w:leftChars="0"/>
        <w:textAlignment w:val="auto"/>
        <w:rPr>
          <w:rFonts w:hint="eastAsia" w:ascii="仿宋" w:hAnsi="仿宋" w:eastAsia="仿宋" w:cs="仿宋"/>
          <w:b w:val="0"/>
          <w:bCs/>
          <w:color w:val="000000"/>
          <w:spacing w:val="-7"/>
          <w:sz w:val="32"/>
          <w:szCs w:val="24"/>
          <w:lang w:val="en-US" w:eastAsia="zh-CN" w:bidi="en-US"/>
        </w:rPr>
      </w:pPr>
      <w:r>
        <w:rPr>
          <w:rFonts w:hint="eastAsia" w:ascii="仿宋" w:hAnsi="仿宋" w:eastAsia="仿宋" w:cs="仿宋"/>
          <w:b w:val="0"/>
          <w:bCs/>
          <w:color w:val="000000"/>
          <w:spacing w:val="-7"/>
          <w:sz w:val="32"/>
          <w:szCs w:val="24"/>
          <w:lang w:val="en-US" w:eastAsia="zh-CN" w:bidi="en-US"/>
        </w:rPr>
        <w:t>满意度调查问卷</w:t>
      </w:r>
    </w:p>
    <w:p>
      <w:pPr>
        <w:pageBreakBefore w:val="0"/>
        <w:widowControl w:val="0"/>
        <w:kinsoku/>
        <w:wordWrap/>
        <w:overflowPunct/>
        <w:topLinePunct w:val="0"/>
        <w:autoSpaceDE/>
        <w:autoSpaceDN/>
        <w:bidi w:val="0"/>
        <w:adjustRightInd/>
        <w:snapToGrid/>
        <w:spacing w:line="560" w:lineRule="exact"/>
        <w:ind w:firstLine="612"/>
        <w:textAlignment w:val="auto"/>
        <w:rPr>
          <w:rFonts w:hint="eastAsia" w:ascii="仿宋" w:hAnsi="仿宋" w:eastAsia="仿宋" w:cs="仿宋"/>
          <w:bCs/>
          <w:spacing w:val="-7"/>
          <w:lang w:eastAsia="zh-CN"/>
        </w:rPr>
      </w:pPr>
      <w:r>
        <w:rPr>
          <w:rFonts w:hint="eastAsia" w:ascii="仿宋" w:hAnsi="仿宋" w:eastAsia="仿宋" w:cs="仿宋"/>
          <w:bCs/>
          <w:spacing w:val="-7"/>
          <w:lang w:val="en-US" w:eastAsia="zh-CN"/>
        </w:rPr>
        <w:t>本次绩效评价我们取得21份满意度调查问卷，满意度评分为99.43%。根据评分标准，该指标得满分6.00</w:t>
      </w:r>
      <w:r>
        <w:rPr>
          <w:rFonts w:hint="eastAsia" w:ascii="仿宋" w:hAnsi="仿宋" w:eastAsia="仿宋" w:cs="仿宋"/>
          <w:bCs/>
          <w:spacing w:val="-7"/>
          <w:lang w:eastAsia="zh-CN"/>
        </w:rPr>
        <w:t>分。</w:t>
      </w:r>
    </w:p>
    <w:bookmarkEnd w:id="370"/>
    <w:bookmarkEnd w:id="371"/>
    <w:bookmarkEnd w:id="372"/>
    <w:bookmarkEnd w:id="373"/>
    <w:bookmarkEnd w:id="374"/>
    <w:bookmarkEnd w:id="375"/>
    <w:p>
      <w:pPr>
        <w:pStyle w:val="2"/>
        <w:pageBreakBefore w:val="0"/>
        <w:widowControl w:val="0"/>
        <w:numPr>
          <w:numId w:val="0"/>
        </w:numPr>
        <w:kinsoku/>
        <w:wordWrap/>
        <w:overflowPunct/>
        <w:topLinePunct w:val="0"/>
        <w:autoSpaceDE/>
        <w:autoSpaceDN/>
        <w:bidi w:val="0"/>
        <w:adjustRightInd/>
        <w:snapToGrid/>
        <w:spacing w:before="0" w:beforeLines="0" w:after="0" w:afterLines="0" w:line="560" w:lineRule="exact"/>
        <w:ind w:leftChars="0" w:firstLine="640" w:firstLineChars="200"/>
        <w:textAlignment w:val="auto"/>
        <w:rPr>
          <w:rFonts w:hint="eastAsia" w:ascii="黑体" w:hAnsi="黑体" w:eastAsia="黑体" w:cs="黑体"/>
          <w:b w:val="0"/>
          <w:bCs/>
          <w:lang w:eastAsia="zh-CN"/>
        </w:rPr>
      </w:pPr>
      <w:bookmarkStart w:id="376" w:name="_Toc606072301"/>
      <w:bookmarkStart w:id="377" w:name="_Toc643212752"/>
      <w:bookmarkStart w:id="378" w:name="_Toc7946"/>
      <w:bookmarkStart w:id="379" w:name="_Toc132480971"/>
      <w:bookmarkStart w:id="380" w:name="_Toc1147619601_WPSOffice_Level1"/>
      <w:bookmarkStart w:id="381" w:name="_Toc341760227"/>
      <w:bookmarkStart w:id="382" w:name="_Toc91948976"/>
      <w:bookmarkStart w:id="383" w:name="_Toc27846"/>
      <w:bookmarkStart w:id="384" w:name="_Toc179658330"/>
      <w:r>
        <w:rPr>
          <w:rFonts w:hint="eastAsia" w:ascii="黑体" w:hAnsi="黑体" w:eastAsia="黑体" w:cs="黑体"/>
          <w:b w:val="0"/>
          <w:bCs/>
          <w:lang w:eastAsia="zh-CN"/>
        </w:rPr>
        <w:t>五、存在的问题及</w:t>
      </w:r>
      <w:bookmarkEnd w:id="376"/>
      <w:bookmarkEnd w:id="377"/>
      <w:bookmarkEnd w:id="378"/>
      <w:bookmarkEnd w:id="379"/>
      <w:bookmarkEnd w:id="380"/>
      <w:bookmarkEnd w:id="381"/>
      <w:bookmarkEnd w:id="382"/>
      <w:r>
        <w:rPr>
          <w:rFonts w:hint="eastAsia" w:ascii="黑体" w:hAnsi="黑体" w:eastAsia="黑体" w:cs="黑体"/>
          <w:b w:val="0"/>
          <w:bCs/>
          <w:lang w:eastAsia="zh-CN"/>
        </w:rPr>
        <w:t>建议</w:t>
      </w:r>
      <w:bookmarkEnd w:id="383"/>
      <w:bookmarkEnd w:id="384"/>
    </w:p>
    <w:p>
      <w:pPr>
        <w:pStyle w:val="4"/>
        <w:pageBreakBefore w:val="0"/>
        <w:widowControl w:val="0"/>
        <w:kinsoku/>
        <w:wordWrap/>
        <w:overflowPunct/>
        <w:topLinePunct w:val="0"/>
        <w:autoSpaceDE/>
        <w:autoSpaceDN/>
        <w:bidi w:val="0"/>
        <w:adjustRightInd/>
        <w:snapToGrid/>
        <w:spacing w:line="560" w:lineRule="exact"/>
        <w:ind w:firstLine="612"/>
        <w:textAlignment w:val="auto"/>
        <w:rPr>
          <w:rFonts w:hint="eastAsia" w:ascii="楷体" w:hAnsi="楷体" w:eastAsia="楷体" w:cs="楷体"/>
          <w:b w:val="0"/>
          <w:bCs/>
          <w:spacing w:val="-7"/>
          <w:lang w:val="en-US" w:eastAsia="zh-CN"/>
        </w:rPr>
      </w:pPr>
      <w:bookmarkStart w:id="385" w:name="_Toc935836209"/>
      <w:bookmarkStart w:id="386" w:name="_Toc1535266130"/>
      <w:bookmarkStart w:id="387" w:name="_Toc581087941"/>
      <w:bookmarkStart w:id="388" w:name="_Toc1365763903"/>
      <w:bookmarkStart w:id="389" w:name="_Toc22958"/>
      <w:bookmarkStart w:id="390" w:name="_Toc2042253545_WPSOffice_Level3"/>
      <w:bookmarkStart w:id="391" w:name="_Toc32406"/>
      <w:r>
        <w:rPr>
          <w:rFonts w:hint="eastAsia" w:ascii="楷体" w:hAnsi="楷体" w:eastAsia="楷体" w:cs="楷体"/>
          <w:b w:val="0"/>
          <w:bCs/>
          <w:color w:val="000000"/>
          <w:spacing w:val="-7"/>
          <w:sz w:val="32"/>
          <w:szCs w:val="24"/>
          <w:lang w:val="en-US" w:eastAsia="zh-CN" w:bidi="en-US"/>
        </w:rPr>
        <w:t>未按合同约定留存质保金，合同执行规范性有待加</w:t>
      </w:r>
      <w:r>
        <w:rPr>
          <w:rFonts w:hint="eastAsia" w:ascii="楷体" w:hAnsi="楷体" w:eastAsia="楷体" w:cs="楷体"/>
          <w:b w:val="0"/>
          <w:bCs/>
          <w:spacing w:val="-7"/>
          <w:lang w:val="en-US" w:eastAsia="zh-CN"/>
        </w:rPr>
        <w:t>强</w:t>
      </w:r>
    </w:p>
    <w:p>
      <w:pPr>
        <w:pageBreakBefore w:val="0"/>
        <w:widowControl w:val="0"/>
        <w:kinsoku/>
        <w:wordWrap/>
        <w:overflowPunct/>
        <w:topLinePunct w:val="0"/>
        <w:autoSpaceDE/>
        <w:autoSpaceDN/>
        <w:bidi w:val="0"/>
        <w:adjustRightInd/>
        <w:snapToGrid/>
        <w:spacing w:line="560" w:lineRule="exact"/>
        <w:ind w:firstLine="612"/>
        <w:textAlignment w:val="auto"/>
        <w:rPr>
          <w:rFonts w:hint="eastAsia" w:ascii="仿宋" w:hAnsi="仿宋" w:eastAsia="仿宋" w:cs="仿宋"/>
          <w:bCs/>
          <w:szCs w:val="32"/>
          <w:lang w:eastAsia="zh-CN"/>
        </w:rPr>
      </w:pPr>
      <w:r>
        <w:rPr>
          <w:rFonts w:hint="eastAsia" w:ascii="仿宋" w:hAnsi="仿宋" w:eastAsia="仿宋" w:cs="仿宋"/>
          <w:bCs/>
          <w:spacing w:val="-7"/>
          <w:lang w:eastAsia="zh-CN"/>
        </w:rPr>
        <w:t>问题：</w:t>
      </w:r>
      <w:r>
        <w:rPr>
          <w:rFonts w:hint="eastAsia" w:ascii="仿宋" w:hAnsi="仿宋" w:eastAsia="仿宋" w:cs="仿宋"/>
          <w:bCs/>
          <w:spacing w:val="-7"/>
          <w:lang w:val="en-US" w:eastAsia="zh-CN"/>
        </w:rPr>
        <w:t>业主单位未按</w:t>
      </w:r>
      <w:r>
        <w:rPr>
          <w:rFonts w:hint="eastAsia" w:ascii="仿宋" w:hAnsi="仿宋" w:eastAsia="仿宋" w:cs="仿宋"/>
          <w:bCs/>
          <w:szCs w:val="32"/>
          <w:lang w:eastAsia="zh-CN"/>
        </w:rPr>
        <w:t>《乐山市金口河区金河镇新坪村村道水毁治理工程施工合同》</w:t>
      </w:r>
      <w:r>
        <w:rPr>
          <w:rFonts w:hint="eastAsia" w:ascii="仿宋" w:hAnsi="仿宋" w:eastAsia="仿宋" w:cs="仿宋"/>
          <w:bCs/>
          <w:spacing w:val="-7"/>
          <w:lang w:val="en-US" w:eastAsia="zh-CN"/>
        </w:rPr>
        <w:t>约定留存质保金。截止绩效评价日，该项目已全额支付工程款</w:t>
      </w:r>
      <w:r>
        <w:rPr>
          <w:rFonts w:hint="eastAsia" w:ascii="仿宋" w:hAnsi="仿宋" w:eastAsia="仿宋" w:cs="仿宋"/>
          <w:bCs/>
          <w:szCs w:val="32"/>
          <w:lang w:val="en-US" w:eastAsia="zh-CN"/>
        </w:rPr>
        <w:t>，而</w:t>
      </w:r>
      <w:r>
        <w:rPr>
          <w:rFonts w:hint="eastAsia" w:ascii="仿宋" w:hAnsi="仿宋" w:eastAsia="仿宋" w:cs="仿宋"/>
          <w:bCs/>
          <w:szCs w:val="32"/>
          <w:lang w:eastAsia="zh-CN"/>
        </w:rPr>
        <w:t>施工合</w:t>
      </w:r>
      <w:r>
        <w:rPr>
          <w:rFonts w:hint="eastAsia" w:ascii="仿宋" w:hAnsi="仿宋" w:eastAsia="仿宋" w:cs="仿宋"/>
          <w:bCs/>
          <w:szCs w:val="32"/>
          <w:lang w:val="en-US" w:eastAsia="zh-CN"/>
        </w:rPr>
        <w:t>同12.4.1付款周期中约定，应留存3%为质保金，待质保期满后支付。该项目于</w:t>
      </w:r>
      <w:r>
        <w:rPr>
          <w:rFonts w:hint="eastAsia" w:ascii="仿宋" w:hAnsi="仿宋" w:eastAsia="仿宋" w:cs="仿宋"/>
          <w:bCs/>
          <w:szCs w:val="32"/>
          <w:lang w:eastAsia="zh-CN"/>
        </w:rPr>
        <w:t>2024年9月18日</w:t>
      </w:r>
      <w:r>
        <w:rPr>
          <w:rFonts w:hint="eastAsia" w:ascii="仿宋" w:hAnsi="仿宋" w:eastAsia="仿宋" w:cs="仿宋"/>
          <w:bCs/>
          <w:szCs w:val="32"/>
          <w:lang w:val="en-US" w:eastAsia="zh-CN"/>
        </w:rPr>
        <w:t>通过验收，合同约定质保期为12个月</w:t>
      </w:r>
      <w:r>
        <w:rPr>
          <w:rFonts w:hint="eastAsia" w:ascii="仿宋" w:hAnsi="仿宋" w:eastAsia="仿宋" w:cs="仿宋"/>
          <w:bCs/>
          <w:szCs w:val="32"/>
          <w:lang w:eastAsia="zh-CN"/>
        </w:rPr>
        <w:t>。</w:t>
      </w:r>
    </w:p>
    <w:p>
      <w:pPr>
        <w:pageBreakBefore w:val="0"/>
        <w:widowControl w:val="0"/>
        <w:kinsoku/>
        <w:wordWrap/>
        <w:overflowPunct/>
        <w:topLinePunct w:val="0"/>
        <w:autoSpaceDE/>
        <w:autoSpaceDN/>
        <w:bidi w:val="0"/>
        <w:adjustRightInd/>
        <w:snapToGrid/>
        <w:spacing w:line="560" w:lineRule="exact"/>
        <w:ind w:firstLine="612"/>
        <w:textAlignment w:val="auto"/>
        <w:rPr>
          <w:rFonts w:hint="default" w:ascii="仿宋" w:hAnsi="仿宋" w:eastAsia="仿宋" w:cs="仿宋"/>
          <w:bCs/>
          <w:spacing w:val="-7"/>
          <w:lang w:val="en-US" w:eastAsia="zh-CN"/>
        </w:rPr>
      </w:pPr>
      <w:r>
        <w:rPr>
          <w:rFonts w:hint="eastAsia" w:ascii="仿宋" w:hAnsi="仿宋" w:eastAsia="仿宋" w:cs="仿宋"/>
          <w:bCs/>
          <w:spacing w:val="-7"/>
          <w:lang w:eastAsia="zh-CN"/>
        </w:rPr>
        <w:t>建议：</w:t>
      </w:r>
      <w:r>
        <w:rPr>
          <w:rFonts w:hint="eastAsia" w:ascii="仿宋" w:hAnsi="仿宋" w:eastAsia="仿宋" w:cs="仿宋"/>
          <w:bCs/>
          <w:szCs w:val="32"/>
          <w:lang w:val="en-US" w:eastAsia="zh-CN"/>
        </w:rPr>
        <w:t>项目未到质保期提前支付质保金，可能存在质量风险和资金管理漏洞。业主单位应修订质保金支付制度，明确“未到质保期不得支付”的基本原则，特殊情况需经更高层级审批并附加风险防控条件。加强财务与工程部门的协同，支付前由工程部门确认质保期状态及工程质量，避免财务部门单独操作导致提前支付。该项目已支付质保金，应加大质保期内的巡检力度，及时发现并要求施工方整改质量问题</w:t>
      </w:r>
      <w:r>
        <w:rPr>
          <w:rFonts w:hint="eastAsia" w:ascii="仿宋" w:hAnsi="仿宋" w:eastAsia="仿宋" w:cs="仿宋"/>
          <w:bCs/>
          <w:spacing w:val="-7"/>
          <w:lang w:eastAsia="zh-CN"/>
        </w:rPr>
        <w:t>。</w:t>
      </w:r>
    </w:p>
    <w:bookmarkEnd w:id="385"/>
    <w:bookmarkEnd w:id="386"/>
    <w:bookmarkEnd w:id="387"/>
    <w:bookmarkEnd w:id="388"/>
    <w:bookmarkEnd w:id="389"/>
    <w:bookmarkEnd w:id="390"/>
    <w:bookmarkEnd w:id="391"/>
    <w:p>
      <w:pPr>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Cs/>
          <w:lang w:eastAsia="zh-CN"/>
        </w:rPr>
      </w:pPr>
      <w:bookmarkStart w:id="392" w:name="_Toc20030"/>
      <w:bookmarkStart w:id="393" w:name="_Toc685187359"/>
      <w:bookmarkStart w:id="394" w:name="_Toc124352101"/>
      <w:bookmarkStart w:id="395" w:name="_Toc1165137498"/>
      <w:bookmarkStart w:id="396" w:name="_Toc14379"/>
      <w:bookmarkStart w:id="397" w:name="_Toc487364833_WPSOffice_Level2"/>
      <w:bookmarkStart w:id="398" w:name="_Toc1417274258"/>
      <w:bookmarkStart w:id="399" w:name="_Toc132480978"/>
    </w:p>
    <w:p>
      <w:pPr>
        <w:pageBreakBefore w:val="0"/>
        <w:widowControl w:val="0"/>
        <w:kinsoku/>
        <w:wordWrap/>
        <w:overflowPunct/>
        <w:topLinePunct w:val="0"/>
        <w:autoSpaceDE/>
        <w:autoSpaceDN/>
        <w:bidi w:val="0"/>
        <w:adjustRightInd/>
        <w:snapToGrid/>
        <w:spacing w:line="560" w:lineRule="exact"/>
        <w:ind w:left="1600" w:leftChars="200" w:hanging="960" w:hangingChars="300"/>
        <w:textAlignment w:val="auto"/>
        <w:rPr>
          <w:rFonts w:hint="eastAsia" w:ascii="仿宋" w:hAnsi="仿宋" w:eastAsia="仿宋" w:cs="仿宋"/>
          <w:bCs/>
          <w:lang w:eastAsia="zh-CN"/>
        </w:rPr>
        <w:sectPr>
          <w:footerReference r:id="rId13" w:type="default"/>
          <w:pgSz w:w="11906" w:h="16838"/>
          <w:pgMar w:top="1440" w:right="1800" w:bottom="1440" w:left="1800" w:header="851" w:footer="1191" w:gutter="0"/>
          <w:pgNumType w:fmt="numberInDash" w:start="1"/>
          <w:cols w:space="425" w:num="1"/>
          <w:docGrid w:type="lines" w:linePitch="312" w:charSpace="0"/>
        </w:sectPr>
      </w:pPr>
      <w:r>
        <w:rPr>
          <w:rFonts w:hint="eastAsia" w:ascii="仿宋" w:hAnsi="仿宋" w:eastAsia="仿宋" w:cs="仿宋"/>
          <w:bCs/>
          <w:lang w:eastAsia="zh-CN"/>
        </w:rPr>
        <w:t>附件</w:t>
      </w:r>
      <w:bookmarkEnd w:id="392"/>
      <w:bookmarkEnd w:id="393"/>
      <w:bookmarkEnd w:id="394"/>
      <w:bookmarkEnd w:id="395"/>
      <w:bookmarkEnd w:id="396"/>
      <w:bookmarkEnd w:id="397"/>
      <w:bookmarkEnd w:id="398"/>
      <w:r>
        <w:rPr>
          <w:rFonts w:hint="eastAsia" w:ascii="仿宋" w:hAnsi="仿宋" w:eastAsia="仿宋" w:cs="仿宋"/>
          <w:bCs/>
          <w:lang w:eastAsia="zh-CN"/>
        </w:rPr>
        <w:t>：乐山市金口河区金河镇新坪村村道水毁治理工程绩效评价指标体系及综合评分表</w:t>
      </w:r>
      <w:bookmarkEnd w:id="399"/>
    </w:p>
    <w:p>
      <w:pPr>
        <w:pStyle w:val="3"/>
        <w:spacing w:before="0" w:beforeLines="0" w:after="0" w:afterLines="0"/>
        <w:ind w:firstLine="0" w:firstLineChars="0"/>
        <w:rPr>
          <w:rFonts w:hint="eastAsia" w:ascii="黑体" w:hAnsi="黑体" w:eastAsia="黑体" w:cs="黑体"/>
          <w:b w:val="0"/>
          <w:bCs/>
          <w:sz w:val="32"/>
          <w:szCs w:val="32"/>
          <w:lang w:eastAsia="zh-CN"/>
        </w:rPr>
      </w:pPr>
      <w:bookmarkStart w:id="400" w:name="_Toc4961"/>
      <w:bookmarkStart w:id="401" w:name="_Toc179658332"/>
      <w:r>
        <w:rPr>
          <w:rFonts w:hint="eastAsia" w:ascii="黑体" w:hAnsi="黑体" w:eastAsia="黑体" w:cs="黑体"/>
          <w:b w:val="0"/>
          <w:bCs/>
          <w:sz w:val="32"/>
          <w:szCs w:val="32"/>
          <w:lang w:eastAsia="zh-CN"/>
        </w:rPr>
        <w:t>附件</w:t>
      </w:r>
      <w:bookmarkEnd w:id="400"/>
      <w:bookmarkEnd w:id="401"/>
    </w:p>
    <w:p>
      <w:pPr>
        <w:pStyle w:val="3"/>
        <w:spacing w:before="0" w:beforeLines="0" w:after="0" w:afterLines="0"/>
        <w:ind w:firstLine="562"/>
        <w:jc w:val="center"/>
        <w:rPr>
          <w:rFonts w:hint="eastAsia"/>
          <w:sz w:val="28"/>
          <w:szCs w:val="28"/>
          <w:lang w:eastAsia="zh-CN"/>
        </w:rPr>
      </w:pPr>
      <w:bookmarkStart w:id="402" w:name="_Toc179658333"/>
      <w:bookmarkStart w:id="403" w:name="_Toc22494"/>
      <w:r>
        <w:rPr>
          <w:rFonts w:hint="eastAsia" w:ascii="Times New Roman" w:hAnsi="Times New Roman" w:eastAsia="宋体"/>
          <w:sz w:val="28"/>
          <w:szCs w:val="28"/>
          <w:lang w:eastAsia="zh-CN"/>
        </w:rPr>
        <w:t>乐山市金口河区金河镇新坪村村道水毁治理工程</w:t>
      </w:r>
      <w:r>
        <w:rPr>
          <w:rFonts w:ascii="Times New Roman" w:hAnsi="Times New Roman" w:eastAsia="宋体"/>
          <w:sz w:val="28"/>
          <w:szCs w:val="28"/>
          <w:lang w:eastAsia="zh-CN"/>
        </w:rPr>
        <w:t>绩效评价指标体系及综合评分表</w:t>
      </w:r>
      <w:bookmarkEnd w:id="402"/>
      <w:bookmarkEnd w:id="403"/>
    </w:p>
    <w:tbl>
      <w:tblPr>
        <w:tblStyle w:val="22"/>
        <w:tblW w:w="50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895"/>
        <w:gridCol w:w="899"/>
        <w:gridCol w:w="749"/>
        <w:gridCol w:w="3043"/>
        <w:gridCol w:w="2245"/>
        <w:gridCol w:w="3863"/>
        <w:gridCol w:w="823"/>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13" w:type="dxa"/>
            <w:shd w:val="clear" w:color="auto" w:fill="BEBEBE"/>
            <w:vAlign w:val="center"/>
          </w:tcPr>
          <w:p>
            <w:pPr>
              <w:widowControl/>
              <w:spacing w:line="360" w:lineRule="exact"/>
              <w:ind w:firstLine="0" w:firstLineChars="0"/>
              <w:jc w:val="center"/>
              <w:textAlignment w:val="center"/>
              <w:rPr>
                <w:rFonts w:eastAsia="宋体"/>
                <w:b/>
                <w:bCs/>
                <w:sz w:val="24"/>
                <w:lang w:eastAsia="zh-CN" w:bidi="ar-SA"/>
              </w:rPr>
            </w:pPr>
            <w:bookmarkStart w:id="404" w:name="_Hlk179648500"/>
            <w:r>
              <w:rPr>
                <w:rFonts w:eastAsia="宋体"/>
                <w:b/>
                <w:bCs/>
                <w:sz w:val="24"/>
                <w:lang w:eastAsia="zh-CN" w:bidi="ar"/>
              </w:rPr>
              <w:t>一级指标</w:t>
            </w:r>
          </w:p>
        </w:tc>
        <w:tc>
          <w:tcPr>
            <w:tcW w:w="895" w:type="dxa"/>
            <w:shd w:val="clear" w:color="auto" w:fill="BEBEBE"/>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二级指标</w:t>
            </w:r>
          </w:p>
        </w:tc>
        <w:tc>
          <w:tcPr>
            <w:tcW w:w="899" w:type="dxa"/>
            <w:shd w:val="clear" w:color="auto" w:fill="BEBEBE"/>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三级指标</w:t>
            </w:r>
          </w:p>
        </w:tc>
        <w:tc>
          <w:tcPr>
            <w:tcW w:w="749" w:type="dxa"/>
            <w:shd w:val="clear" w:color="auto" w:fill="BEBEBE"/>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分值</w:t>
            </w:r>
          </w:p>
        </w:tc>
        <w:tc>
          <w:tcPr>
            <w:tcW w:w="3043" w:type="dxa"/>
            <w:shd w:val="clear" w:color="auto" w:fill="BEBEBE"/>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指标说明</w:t>
            </w:r>
          </w:p>
        </w:tc>
        <w:tc>
          <w:tcPr>
            <w:tcW w:w="2245" w:type="dxa"/>
            <w:shd w:val="clear" w:color="auto" w:fill="BEBEBE"/>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评分标准</w:t>
            </w:r>
          </w:p>
        </w:tc>
        <w:tc>
          <w:tcPr>
            <w:tcW w:w="3863" w:type="dxa"/>
            <w:shd w:val="clear" w:color="auto" w:fill="BEBEBE"/>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评分过程</w:t>
            </w:r>
          </w:p>
        </w:tc>
        <w:tc>
          <w:tcPr>
            <w:tcW w:w="823" w:type="dxa"/>
            <w:shd w:val="clear" w:color="auto" w:fill="BEBEBE"/>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最终得分</w:t>
            </w:r>
          </w:p>
        </w:tc>
        <w:tc>
          <w:tcPr>
            <w:tcW w:w="1109" w:type="dxa"/>
            <w:shd w:val="clear" w:color="auto" w:fill="BEBEBE"/>
            <w:vAlign w:val="center"/>
          </w:tcPr>
          <w:p>
            <w:pPr>
              <w:widowControl/>
              <w:spacing w:line="360" w:lineRule="exact"/>
              <w:ind w:firstLine="0" w:firstLineChars="0"/>
              <w:jc w:val="center"/>
              <w:textAlignment w:val="center"/>
              <w:rPr>
                <w:rFonts w:eastAsia="宋体"/>
                <w:b/>
                <w:bCs/>
                <w:color w:val="auto"/>
                <w:sz w:val="24"/>
                <w:lang w:eastAsia="zh-CN" w:bidi="ar-SA"/>
              </w:rPr>
            </w:pPr>
            <w:r>
              <w:rPr>
                <w:rFonts w:eastAsia="宋体"/>
                <w:b/>
                <w:bCs/>
                <w:sz w:val="24"/>
                <w:lang w:eastAsia="zh-CN" w:bidi="ar"/>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3" w:type="dxa"/>
            <w:vMerge w:val="restart"/>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A决策（20分）　</w:t>
            </w:r>
          </w:p>
        </w:tc>
        <w:tc>
          <w:tcPr>
            <w:tcW w:w="895" w:type="dxa"/>
            <w:vMerge w:val="restart"/>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A1项目立项（8分）　</w:t>
            </w:r>
          </w:p>
        </w:tc>
        <w:tc>
          <w:tcPr>
            <w:tcW w:w="899" w:type="dxa"/>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A11立项依据充分性</w:t>
            </w:r>
          </w:p>
        </w:tc>
        <w:tc>
          <w:tcPr>
            <w:tcW w:w="749" w:type="dxa"/>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3043" w:type="dxa"/>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1.项目立项是否符合国家法律法规、国民经济发展规划和相关政策，政策依据充分；</w:t>
            </w:r>
            <w:r>
              <w:rPr>
                <w:rFonts w:eastAsia="宋体"/>
                <w:sz w:val="24"/>
                <w:lang w:eastAsia="zh-CN" w:bidi="ar"/>
              </w:rPr>
              <w:br w:type="textWrapping"/>
            </w:r>
            <w:r>
              <w:rPr>
                <w:rFonts w:hint="eastAsia" w:eastAsia="宋体"/>
                <w:sz w:val="24"/>
                <w:lang w:eastAsia="zh-CN" w:bidi="ar"/>
              </w:rPr>
              <w:t>2</w:t>
            </w:r>
            <w:r>
              <w:rPr>
                <w:rFonts w:eastAsia="宋体"/>
                <w:sz w:val="24"/>
                <w:lang w:eastAsia="zh-CN" w:bidi="ar"/>
              </w:rPr>
              <w:t>.项目立项是否与部门职责范围相符，属于部门履职所需；</w:t>
            </w:r>
            <w:r>
              <w:rPr>
                <w:rFonts w:eastAsia="宋体"/>
                <w:sz w:val="24"/>
                <w:lang w:eastAsia="zh-CN" w:bidi="ar"/>
              </w:rPr>
              <w:br w:type="textWrapping"/>
            </w:r>
          </w:p>
        </w:tc>
        <w:tc>
          <w:tcPr>
            <w:tcW w:w="2245" w:type="dxa"/>
            <w:vAlign w:val="center"/>
          </w:tcPr>
          <w:p>
            <w:pPr>
              <w:widowControl/>
              <w:spacing w:line="360" w:lineRule="exact"/>
              <w:ind w:firstLine="0" w:firstLineChars="0"/>
              <w:jc w:val="left"/>
              <w:textAlignment w:val="center"/>
              <w:rPr>
                <w:rFonts w:eastAsia="宋体"/>
                <w:color w:val="auto"/>
                <w:sz w:val="24"/>
                <w:lang w:eastAsia="zh-CN" w:bidi="ar-SA"/>
              </w:rPr>
            </w:pPr>
            <w:r>
              <w:rPr>
                <w:rFonts w:eastAsia="宋体"/>
                <w:sz w:val="24"/>
                <w:lang w:eastAsia="zh-CN" w:bidi="ar"/>
              </w:rPr>
              <w:t>具备一个得分要素，得权重分的</w:t>
            </w:r>
            <w:r>
              <w:rPr>
                <w:rFonts w:hint="eastAsia" w:eastAsia="宋体"/>
                <w:sz w:val="24"/>
                <w:lang w:eastAsia="zh-CN" w:bidi="ar"/>
              </w:rPr>
              <w:t>50</w:t>
            </w:r>
            <w:r>
              <w:rPr>
                <w:rFonts w:eastAsia="宋体"/>
                <w:sz w:val="24"/>
                <w:lang w:eastAsia="zh-CN" w:bidi="ar"/>
              </w:rPr>
              <w:t>%</w:t>
            </w:r>
          </w:p>
        </w:tc>
        <w:tc>
          <w:tcPr>
            <w:tcW w:w="3863" w:type="dxa"/>
            <w:vAlign w:val="center"/>
          </w:tcPr>
          <w:p>
            <w:pPr>
              <w:widowControl/>
              <w:spacing w:line="360" w:lineRule="exact"/>
              <w:ind w:firstLine="0" w:firstLineChars="0"/>
              <w:jc w:val="left"/>
              <w:textAlignment w:val="center"/>
              <w:rPr>
                <w:rFonts w:eastAsia="宋体"/>
                <w:sz w:val="24"/>
                <w:lang w:eastAsia="zh-CN" w:bidi="ar"/>
              </w:rPr>
            </w:pPr>
            <w:r>
              <w:rPr>
                <w:rFonts w:hint="eastAsia" w:eastAsia="宋体"/>
                <w:sz w:val="24"/>
                <w:lang w:eastAsia="zh-CN" w:bidi="ar"/>
              </w:rPr>
              <w:t>该项目根据《乐山市金口河区发展和改革局关于乐山市金口河区金河镇新坪村村道水毁治理工程项目建议书批复》（金发改投资〔2024〕34号）文件，乐山市金口河区发展和改革局原则同意该项目的项目建议书，项目计划总投资21万元，资金来源为2024年沙湾对口帮扶19万元，金河镇乡道公路养护资金2万元。</w:t>
            </w:r>
            <w:r>
              <w:rPr>
                <w:rFonts w:eastAsia="宋体"/>
                <w:sz w:val="24"/>
                <w:lang w:eastAsia="zh-CN" w:bidi="ar"/>
              </w:rPr>
              <w:t>本项目立项符合国家法律法规、行业发展规划和政策要求。项目立项依据充分，依据评分方法，该指标满分</w:t>
            </w:r>
            <w:r>
              <w:rPr>
                <w:rFonts w:hint="eastAsia" w:eastAsia="宋体"/>
                <w:sz w:val="24"/>
                <w:lang w:eastAsia="zh-CN" w:bidi="ar"/>
              </w:rPr>
              <w:t>4.00分</w:t>
            </w:r>
            <w:r>
              <w:rPr>
                <w:rFonts w:eastAsia="宋体"/>
                <w:sz w:val="24"/>
                <w:lang w:eastAsia="zh-CN" w:bidi="ar"/>
              </w:rPr>
              <w:t>。</w:t>
            </w:r>
          </w:p>
        </w:tc>
        <w:tc>
          <w:tcPr>
            <w:tcW w:w="823" w:type="dxa"/>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1109" w:type="dxa"/>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3" w:type="dxa"/>
            <w:vMerge w:val="continue"/>
            <w:vAlign w:val="center"/>
          </w:tcPr>
          <w:p>
            <w:pPr>
              <w:widowControl/>
              <w:spacing w:line="360" w:lineRule="exact"/>
              <w:ind w:firstLine="0" w:firstLineChars="0"/>
              <w:jc w:val="center"/>
              <w:rPr>
                <w:rFonts w:eastAsia="宋体"/>
                <w:sz w:val="24"/>
                <w:lang w:eastAsia="zh-CN" w:bidi="ar-SA"/>
              </w:rPr>
            </w:pPr>
          </w:p>
        </w:tc>
        <w:tc>
          <w:tcPr>
            <w:tcW w:w="895" w:type="dxa"/>
            <w:vMerge w:val="continue"/>
            <w:vAlign w:val="center"/>
          </w:tcPr>
          <w:p>
            <w:pPr>
              <w:widowControl/>
              <w:spacing w:line="360" w:lineRule="exact"/>
              <w:ind w:firstLine="0" w:firstLineChars="0"/>
              <w:jc w:val="center"/>
              <w:rPr>
                <w:rFonts w:eastAsia="宋体"/>
                <w:sz w:val="24"/>
                <w:lang w:eastAsia="zh-CN" w:bidi="ar-SA"/>
              </w:rPr>
            </w:pPr>
          </w:p>
        </w:tc>
        <w:tc>
          <w:tcPr>
            <w:tcW w:w="899" w:type="dxa"/>
            <w:shd w:val="clear" w:color="000000" w:fill="FFFFFF"/>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A12立项程序规范性</w:t>
            </w:r>
          </w:p>
        </w:tc>
        <w:tc>
          <w:tcPr>
            <w:tcW w:w="749"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3043" w:type="dxa"/>
            <w:shd w:val="clear" w:color="000000" w:fill="FFFFFF"/>
            <w:vAlign w:val="center"/>
          </w:tcPr>
          <w:p>
            <w:pPr>
              <w:widowControl/>
              <w:spacing w:line="360" w:lineRule="exact"/>
              <w:ind w:firstLine="0" w:firstLineChars="0"/>
              <w:jc w:val="left"/>
              <w:textAlignment w:val="center"/>
              <w:rPr>
                <w:rFonts w:eastAsia="宋体"/>
                <w:color w:val="auto"/>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1.项目是否按照规定的程序申请设立；</w:t>
            </w:r>
            <w:r>
              <w:rPr>
                <w:rFonts w:eastAsia="宋体"/>
                <w:sz w:val="24"/>
                <w:lang w:eastAsia="zh-CN" w:bidi="ar"/>
              </w:rPr>
              <w:br w:type="textWrapping"/>
            </w:r>
            <w:r>
              <w:rPr>
                <w:rFonts w:eastAsia="宋体"/>
                <w:sz w:val="24"/>
                <w:lang w:eastAsia="zh-CN" w:bidi="ar"/>
              </w:rPr>
              <w:t>2.审批文件、材料是否符合相关要求；</w:t>
            </w:r>
            <w:r>
              <w:rPr>
                <w:rFonts w:eastAsia="宋体"/>
                <w:sz w:val="24"/>
                <w:lang w:eastAsia="zh-CN" w:bidi="ar"/>
              </w:rPr>
              <w:br w:type="textWrapping"/>
            </w:r>
            <w:r>
              <w:rPr>
                <w:rFonts w:hint="eastAsia" w:eastAsia="宋体"/>
                <w:color w:val="auto"/>
                <w:sz w:val="24"/>
                <w:lang w:eastAsia="zh-CN" w:bidi="ar-SA"/>
              </w:rPr>
              <w:t>3、立项、申请、审批、执行程序的及时性。</w:t>
            </w:r>
          </w:p>
        </w:tc>
        <w:tc>
          <w:tcPr>
            <w:tcW w:w="2245" w:type="dxa"/>
            <w:shd w:val="clear" w:color="000000" w:fill="FFFFFF"/>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w:t>
            </w:r>
            <w:r>
              <w:rPr>
                <w:rFonts w:hint="eastAsia" w:eastAsia="宋体"/>
                <w:sz w:val="24"/>
                <w:lang w:eastAsia="zh-CN" w:bidi="ar"/>
              </w:rPr>
              <w:t>33.33</w:t>
            </w:r>
            <w:r>
              <w:rPr>
                <w:rFonts w:eastAsia="宋体"/>
                <w:sz w:val="24"/>
                <w:lang w:eastAsia="zh-CN" w:bidi="ar"/>
              </w:rPr>
              <w:t>%</w:t>
            </w:r>
          </w:p>
        </w:tc>
        <w:tc>
          <w:tcPr>
            <w:tcW w:w="3863" w:type="dxa"/>
            <w:shd w:val="clear" w:color="000000" w:fill="FFFFFF"/>
            <w:vAlign w:val="center"/>
          </w:tcPr>
          <w:p>
            <w:pPr>
              <w:widowControl/>
              <w:spacing w:line="360" w:lineRule="exact"/>
              <w:ind w:firstLine="0" w:firstLineChars="0"/>
              <w:textAlignment w:val="center"/>
              <w:rPr>
                <w:rFonts w:eastAsia="宋体"/>
                <w:sz w:val="24"/>
                <w:lang w:eastAsia="zh-CN" w:bidi="ar"/>
              </w:rPr>
            </w:pPr>
            <w:r>
              <w:rPr>
                <w:rFonts w:hint="eastAsia" w:eastAsia="宋体"/>
                <w:sz w:val="24"/>
                <w:lang w:eastAsia="zh-CN" w:bidi="ar"/>
              </w:rPr>
              <w:t>项目经金河镇人民政府金镇府〔2024〕9号</w:t>
            </w:r>
            <w:r>
              <w:rPr>
                <w:rFonts w:hint="eastAsia" w:eastAsia="宋体"/>
                <w:sz w:val="24"/>
                <w:lang w:val="en-US" w:eastAsia="zh-CN" w:bidi="ar"/>
              </w:rPr>
              <w:t>文</w:t>
            </w:r>
            <w:r>
              <w:rPr>
                <w:rFonts w:hint="eastAsia" w:eastAsia="宋体"/>
                <w:sz w:val="24"/>
                <w:lang w:eastAsia="zh-CN" w:bidi="ar"/>
              </w:rPr>
              <w:t>申报，经金口河区十一届人民政府第71次常务会议审议通过，先发带后发工作队原则同意该项目的实施。同时根据《《乐山市金口河区发展和改革局关于乐山市金口河区金河镇新坪村村道水毁治理工程项目建议书批复》（金发改投资〔2024〕34号）文件，乐山市金口河区发展和改革局原则同意该项目的项目建议书。</w:t>
            </w:r>
            <w:r>
              <w:rPr>
                <w:rFonts w:eastAsia="宋体"/>
                <w:sz w:val="24"/>
                <w:lang w:eastAsia="zh-CN" w:bidi="ar"/>
              </w:rPr>
              <w:t>项目立项程序规范，审批文件和材料合规完整。依据评分方法，该指标满分</w:t>
            </w:r>
            <w:r>
              <w:rPr>
                <w:rFonts w:hint="eastAsia" w:eastAsia="宋体"/>
                <w:sz w:val="24"/>
                <w:lang w:eastAsia="zh-CN" w:bidi="ar"/>
              </w:rPr>
              <w:t>4.00分</w:t>
            </w:r>
            <w:r>
              <w:rPr>
                <w:rFonts w:eastAsia="宋体"/>
                <w:sz w:val="24"/>
                <w:lang w:eastAsia="zh-CN" w:bidi="ar"/>
              </w:rPr>
              <w:t>。</w:t>
            </w:r>
          </w:p>
        </w:tc>
        <w:tc>
          <w:tcPr>
            <w:tcW w:w="823" w:type="dxa"/>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4</w:t>
            </w:r>
          </w:p>
        </w:tc>
        <w:tc>
          <w:tcPr>
            <w:tcW w:w="1109" w:type="dxa"/>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100.00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3" w:type="dxa"/>
            <w:vMerge w:val="continue"/>
            <w:vAlign w:val="center"/>
          </w:tcPr>
          <w:p>
            <w:pPr>
              <w:widowControl/>
              <w:spacing w:line="360" w:lineRule="exact"/>
              <w:ind w:firstLine="0" w:firstLineChars="0"/>
              <w:jc w:val="center"/>
              <w:rPr>
                <w:rFonts w:eastAsia="宋体"/>
                <w:sz w:val="24"/>
                <w:lang w:eastAsia="zh-CN" w:bidi="ar-SA"/>
              </w:rPr>
            </w:pPr>
          </w:p>
        </w:tc>
        <w:tc>
          <w:tcPr>
            <w:tcW w:w="895" w:type="dxa"/>
            <w:vMerge w:val="restart"/>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A2绩效目标（6分）　</w:t>
            </w:r>
          </w:p>
        </w:tc>
        <w:tc>
          <w:tcPr>
            <w:tcW w:w="899" w:type="dxa"/>
            <w:shd w:val="clear" w:color="000000" w:fill="FFFFFF"/>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A21绩效目标合理性</w:t>
            </w:r>
          </w:p>
        </w:tc>
        <w:tc>
          <w:tcPr>
            <w:tcW w:w="749"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3043" w:type="dxa"/>
            <w:shd w:val="clear" w:color="000000" w:fill="FFFFFF"/>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1.项目是否有绩效目标；</w:t>
            </w:r>
            <w:r>
              <w:rPr>
                <w:rFonts w:eastAsia="宋体"/>
                <w:sz w:val="24"/>
                <w:lang w:eastAsia="zh-CN" w:bidi="ar"/>
              </w:rPr>
              <w:br w:type="textWrapping"/>
            </w:r>
            <w:r>
              <w:rPr>
                <w:rFonts w:eastAsia="宋体"/>
                <w:sz w:val="24"/>
                <w:lang w:eastAsia="zh-CN" w:bidi="ar"/>
              </w:rPr>
              <w:t>2.项目绩效目标与实际工作内容是否具有相关性；</w:t>
            </w:r>
            <w:r>
              <w:rPr>
                <w:rFonts w:eastAsia="宋体"/>
                <w:sz w:val="24"/>
                <w:lang w:eastAsia="zh-CN" w:bidi="ar"/>
              </w:rPr>
              <w:br w:type="textWrapping"/>
            </w:r>
            <w:r>
              <w:rPr>
                <w:rFonts w:eastAsia="宋体"/>
                <w:sz w:val="24"/>
                <w:lang w:eastAsia="zh-CN" w:bidi="ar"/>
              </w:rPr>
              <w:t>3.项目预期产出效益和效果是否符合正常的业绩水平；</w:t>
            </w:r>
            <w:r>
              <w:rPr>
                <w:rFonts w:eastAsia="宋体"/>
                <w:sz w:val="24"/>
                <w:lang w:eastAsia="zh-CN" w:bidi="ar"/>
              </w:rPr>
              <w:br w:type="textWrapping"/>
            </w:r>
            <w:r>
              <w:rPr>
                <w:rFonts w:eastAsia="宋体"/>
                <w:sz w:val="24"/>
                <w:lang w:eastAsia="zh-CN" w:bidi="ar"/>
              </w:rPr>
              <w:t>4.是否与预算确定的项目投资额或资金量相匹配。</w:t>
            </w:r>
          </w:p>
        </w:tc>
        <w:tc>
          <w:tcPr>
            <w:tcW w:w="2245" w:type="dxa"/>
            <w:shd w:val="clear" w:color="000000" w:fill="FFFFFF"/>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具备一个得分要素，得权重分的25.00%</w:t>
            </w:r>
          </w:p>
        </w:tc>
        <w:tc>
          <w:tcPr>
            <w:tcW w:w="3863" w:type="dxa"/>
            <w:shd w:val="clear" w:color="000000" w:fill="FFFFFF"/>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项目设置绩效目标符合《项目支出绩效评价管理办法》，制定了项目产出、效益、满意度指标；项目绩效目标明确合理，与项目实施的宗旨关联度较高，预期产出效益和效果符合正常的业绩水平；绩效目标与预算确定的资金量相匹配。根据评分标准，该指标</w:t>
            </w:r>
            <w:r>
              <w:rPr>
                <w:rFonts w:hint="eastAsia" w:eastAsia="宋体"/>
                <w:sz w:val="24"/>
                <w:lang w:eastAsia="zh-CN" w:bidi="ar"/>
              </w:rPr>
              <w:t>得满分3.00分</w:t>
            </w:r>
            <w:r>
              <w:rPr>
                <w:rFonts w:eastAsia="宋体"/>
                <w:sz w:val="24"/>
                <w:lang w:eastAsia="zh-CN" w:bidi="ar"/>
              </w:rPr>
              <w:t>。</w:t>
            </w:r>
          </w:p>
        </w:tc>
        <w:tc>
          <w:tcPr>
            <w:tcW w:w="823" w:type="dxa"/>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1109" w:type="dxa"/>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3" w:type="dxa"/>
            <w:vMerge w:val="continue"/>
            <w:vAlign w:val="center"/>
          </w:tcPr>
          <w:p>
            <w:pPr>
              <w:widowControl/>
              <w:spacing w:line="360" w:lineRule="exact"/>
              <w:ind w:firstLine="0" w:firstLineChars="0"/>
              <w:jc w:val="center"/>
              <w:rPr>
                <w:rFonts w:eastAsia="宋体"/>
                <w:sz w:val="24"/>
                <w:lang w:eastAsia="zh-CN" w:bidi="ar-SA"/>
              </w:rPr>
            </w:pPr>
          </w:p>
        </w:tc>
        <w:tc>
          <w:tcPr>
            <w:tcW w:w="895" w:type="dxa"/>
            <w:vMerge w:val="continue"/>
            <w:vAlign w:val="center"/>
          </w:tcPr>
          <w:p>
            <w:pPr>
              <w:widowControl/>
              <w:spacing w:line="360" w:lineRule="exact"/>
              <w:ind w:firstLine="0" w:firstLineChars="0"/>
              <w:jc w:val="center"/>
              <w:rPr>
                <w:rFonts w:eastAsia="宋体"/>
                <w:sz w:val="24"/>
                <w:lang w:eastAsia="zh-CN" w:bidi="ar-SA"/>
              </w:rPr>
            </w:pPr>
          </w:p>
        </w:tc>
        <w:tc>
          <w:tcPr>
            <w:tcW w:w="899" w:type="dxa"/>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A22绩效指标明确性</w:t>
            </w:r>
          </w:p>
        </w:tc>
        <w:tc>
          <w:tcPr>
            <w:tcW w:w="749"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3043" w:type="dxa"/>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1.是否将项目绩效目标细化分解为具体的绩效指标；</w:t>
            </w:r>
            <w:r>
              <w:rPr>
                <w:rFonts w:eastAsia="宋体"/>
                <w:sz w:val="24"/>
                <w:lang w:eastAsia="zh-CN" w:bidi="ar"/>
              </w:rPr>
              <w:br w:type="textWrapping"/>
            </w:r>
            <w:r>
              <w:rPr>
                <w:rFonts w:eastAsia="宋体"/>
                <w:sz w:val="24"/>
                <w:lang w:eastAsia="zh-CN" w:bidi="ar"/>
              </w:rPr>
              <w:t>2.是否通过清晰、可衡量的指标值予以体现。</w:t>
            </w:r>
          </w:p>
        </w:tc>
        <w:tc>
          <w:tcPr>
            <w:tcW w:w="2245" w:type="dxa"/>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具备一个得分要素，得权重分的50.00%</w:t>
            </w:r>
          </w:p>
        </w:tc>
        <w:tc>
          <w:tcPr>
            <w:tcW w:w="3863" w:type="dxa"/>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项目所设定的绩效指标</w:t>
            </w:r>
            <w:r>
              <w:rPr>
                <w:rFonts w:hint="eastAsia" w:eastAsia="宋体"/>
                <w:sz w:val="24"/>
                <w:lang w:eastAsia="zh-CN" w:bidi="ar"/>
              </w:rPr>
              <w:t>基本</w:t>
            </w:r>
            <w:r>
              <w:rPr>
                <w:rFonts w:eastAsia="宋体"/>
                <w:sz w:val="24"/>
                <w:lang w:eastAsia="zh-CN" w:bidi="ar"/>
              </w:rPr>
              <w:t>符合《项目支出绩效评价管理办法》，依据产出、效益、满意度三项绩效目标细化分解为具体的绩效指标，设定的绩效指标清晰、可衡量</w:t>
            </w:r>
            <w:r>
              <w:rPr>
                <w:rFonts w:hint="eastAsia" w:eastAsia="宋体"/>
                <w:sz w:val="24"/>
                <w:lang w:eastAsia="zh-CN" w:bidi="ar"/>
              </w:rPr>
              <w:t>度高</w:t>
            </w:r>
            <w:r>
              <w:rPr>
                <w:rFonts w:eastAsia="宋体"/>
                <w:sz w:val="24"/>
                <w:lang w:eastAsia="zh-CN" w:bidi="ar"/>
              </w:rPr>
              <w:t>。根据评分标准，该指标满分</w:t>
            </w:r>
            <w:r>
              <w:rPr>
                <w:rFonts w:hint="eastAsia" w:eastAsia="宋体"/>
                <w:sz w:val="24"/>
                <w:lang w:eastAsia="zh-CN" w:bidi="ar"/>
              </w:rPr>
              <w:t>3.00分</w:t>
            </w:r>
            <w:r>
              <w:rPr>
                <w:rFonts w:eastAsia="宋体"/>
                <w:sz w:val="24"/>
                <w:lang w:eastAsia="zh-CN" w:bidi="ar"/>
              </w:rPr>
              <w:t>。</w:t>
            </w:r>
          </w:p>
        </w:tc>
        <w:tc>
          <w:tcPr>
            <w:tcW w:w="823" w:type="dxa"/>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3</w:t>
            </w:r>
          </w:p>
        </w:tc>
        <w:tc>
          <w:tcPr>
            <w:tcW w:w="1109" w:type="dxa"/>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3" w:type="dxa"/>
            <w:vMerge w:val="continue"/>
            <w:vAlign w:val="center"/>
          </w:tcPr>
          <w:p>
            <w:pPr>
              <w:widowControl/>
              <w:spacing w:line="360" w:lineRule="exact"/>
              <w:ind w:firstLine="0" w:firstLineChars="0"/>
              <w:jc w:val="center"/>
              <w:rPr>
                <w:rFonts w:eastAsia="宋体"/>
                <w:sz w:val="24"/>
                <w:lang w:eastAsia="zh-CN" w:bidi="ar-SA"/>
              </w:rPr>
            </w:pPr>
          </w:p>
        </w:tc>
        <w:tc>
          <w:tcPr>
            <w:tcW w:w="895" w:type="dxa"/>
            <w:vMerge w:val="restart"/>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A3资金投入（6分）</w:t>
            </w:r>
          </w:p>
        </w:tc>
        <w:tc>
          <w:tcPr>
            <w:tcW w:w="899" w:type="dxa"/>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A31预算编制科学性</w:t>
            </w:r>
          </w:p>
        </w:tc>
        <w:tc>
          <w:tcPr>
            <w:tcW w:w="749" w:type="dxa"/>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3043" w:type="dxa"/>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1.预算编制是否经过科学论证；</w:t>
            </w:r>
            <w:r>
              <w:rPr>
                <w:rFonts w:eastAsia="宋体"/>
                <w:sz w:val="24"/>
                <w:lang w:eastAsia="zh-CN" w:bidi="ar"/>
              </w:rPr>
              <w:br w:type="textWrapping"/>
            </w:r>
            <w:r>
              <w:rPr>
                <w:rFonts w:eastAsia="宋体"/>
                <w:sz w:val="24"/>
                <w:lang w:eastAsia="zh-CN" w:bidi="ar"/>
              </w:rPr>
              <w:t>2.预算内容与项目内容是否匹配；</w:t>
            </w:r>
            <w:r>
              <w:rPr>
                <w:rFonts w:eastAsia="宋体"/>
                <w:sz w:val="24"/>
                <w:lang w:eastAsia="zh-CN" w:bidi="ar"/>
              </w:rPr>
              <w:br w:type="textWrapping"/>
            </w:r>
            <w:r>
              <w:rPr>
                <w:rFonts w:eastAsia="宋体"/>
                <w:sz w:val="24"/>
                <w:lang w:eastAsia="zh-CN" w:bidi="ar"/>
              </w:rPr>
              <w:t>3.预算额度测算依据是否充分，是否按照标准编制，是否考虑了实际情况。</w:t>
            </w:r>
          </w:p>
        </w:tc>
        <w:tc>
          <w:tcPr>
            <w:tcW w:w="2245" w:type="dxa"/>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具备一个得分要素，得权重分的33.33%</w:t>
            </w:r>
          </w:p>
        </w:tc>
        <w:tc>
          <w:tcPr>
            <w:tcW w:w="3863" w:type="dxa"/>
            <w:vAlign w:val="center"/>
          </w:tcPr>
          <w:p>
            <w:pPr>
              <w:widowControl/>
              <w:spacing w:line="360" w:lineRule="exact"/>
              <w:ind w:firstLine="0" w:firstLineChars="0"/>
              <w:textAlignment w:val="center"/>
              <w:rPr>
                <w:rFonts w:eastAsia="宋体"/>
                <w:sz w:val="24"/>
                <w:lang w:eastAsia="zh-CN" w:bidi="ar"/>
              </w:rPr>
            </w:pPr>
            <w:r>
              <w:rPr>
                <w:rFonts w:hint="eastAsia" w:eastAsia="宋体"/>
                <w:sz w:val="24"/>
                <w:lang w:eastAsia="zh-CN" w:bidi="ar"/>
              </w:rPr>
              <w:t>根据《乐山市金口河区财政局关于对乐山市金口河区金河镇新坪村村道水毁治理工程预算财政评审结果确认函》（金财确函〔2024〕41号）文件，确认该项目的预算审定金额为212,516.87元(其中:建安工程费212,516.87元)。预算内容与项目内容匹配，预算额度依据充分，考虑了实际情况。根据评分标准，该指标满分3.00分。</w:t>
            </w:r>
          </w:p>
        </w:tc>
        <w:tc>
          <w:tcPr>
            <w:tcW w:w="823" w:type="dxa"/>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3</w:t>
            </w:r>
          </w:p>
        </w:tc>
        <w:tc>
          <w:tcPr>
            <w:tcW w:w="1109" w:type="dxa"/>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100.00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3" w:type="dxa"/>
            <w:vMerge w:val="continue"/>
            <w:vAlign w:val="center"/>
          </w:tcPr>
          <w:p>
            <w:pPr>
              <w:widowControl/>
              <w:spacing w:line="360" w:lineRule="exact"/>
              <w:ind w:firstLine="0" w:firstLineChars="0"/>
              <w:jc w:val="center"/>
              <w:rPr>
                <w:rFonts w:eastAsia="宋体"/>
                <w:sz w:val="24"/>
                <w:lang w:eastAsia="zh-CN" w:bidi="ar-SA"/>
              </w:rPr>
            </w:pPr>
          </w:p>
        </w:tc>
        <w:tc>
          <w:tcPr>
            <w:tcW w:w="895" w:type="dxa"/>
            <w:vMerge w:val="continue"/>
            <w:vAlign w:val="center"/>
          </w:tcPr>
          <w:p>
            <w:pPr>
              <w:widowControl/>
              <w:spacing w:line="360" w:lineRule="exact"/>
              <w:ind w:firstLine="0" w:firstLineChars="0"/>
              <w:jc w:val="center"/>
              <w:rPr>
                <w:rFonts w:eastAsia="宋体"/>
                <w:sz w:val="24"/>
                <w:lang w:eastAsia="zh-CN" w:bidi="ar-SA"/>
              </w:rPr>
            </w:pPr>
          </w:p>
        </w:tc>
        <w:tc>
          <w:tcPr>
            <w:tcW w:w="899" w:type="dxa"/>
            <w:shd w:val="clear" w:color="000000" w:fill="FFFFFF"/>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A32资金分配合理性</w:t>
            </w:r>
          </w:p>
        </w:tc>
        <w:tc>
          <w:tcPr>
            <w:tcW w:w="749"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3043" w:type="dxa"/>
            <w:shd w:val="clear" w:color="000000" w:fill="FFFFFF"/>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1.预算资金分配依据是否充分；</w:t>
            </w:r>
            <w:r>
              <w:rPr>
                <w:rFonts w:eastAsia="宋体"/>
                <w:sz w:val="24"/>
                <w:lang w:eastAsia="zh-CN" w:bidi="ar"/>
              </w:rPr>
              <w:br w:type="textWrapping"/>
            </w:r>
            <w:r>
              <w:rPr>
                <w:rFonts w:eastAsia="宋体"/>
                <w:sz w:val="24"/>
                <w:lang w:eastAsia="zh-CN" w:bidi="ar"/>
              </w:rPr>
              <w:t>2.资金分配额度是否合理，与项目单位或地方实际是否相适应。</w:t>
            </w:r>
          </w:p>
        </w:tc>
        <w:tc>
          <w:tcPr>
            <w:tcW w:w="2245" w:type="dxa"/>
            <w:shd w:val="clear" w:color="000000" w:fill="FFFFFF"/>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具备一个得分要素，得权重分的50%</w:t>
            </w:r>
          </w:p>
        </w:tc>
        <w:tc>
          <w:tcPr>
            <w:tcW w:w="3863" w:type="dxa"/>
            <w:vAlign w:val="center"/>
          </w:tcPr>
          <w:p>
            <w:pPr>
              <w:widowControl/>
              <w:spacing w:line="360" w:lineRule="exact"/>
              <w:ind w:firstLine="0" w:firstLineChars="0"/>
              <w:textAlignment w:val="center"/>
              <w:rPr>
                <w:rFonts w:eastAsia="宋体"/>
                <w:sz w:val="24"/>
                <w:lang w:eastAsia="zh-CN" w:bidi="ar"/>
              </w:rPr>
            </w:pPr>
            <w:r>
              <w:rPr>
                <w:rFonts w:hint="eastAsia" w:eastAsia="宋体"/>
                <w:sz w:val="24"/>
                <w:lang w:eastAsia="zh-CN" w:bidi="ar"/>
              </w:rPr>
              <w:t>2024年8月2日招标代理机构四川恒鑫工程管理咨询有限公司采用竞争性磋商开标、评标后发布成交通知书，确认四川省世通盛德建设工程有限公司为乐山市金口河区金河镇新坪村村道水毁治理工程的中标人，中标价：208,266.53元。</w:t>
            </w:r>
            <w:r>
              <w:rPr>
                <w:rFonts w:eastAsia="宋体"/>
                <w:sz w:val="24"/>
                <w:lang w:eastAsia="zh-CN" w:bidi="ar"/>
              </w:rPr>
              <w:t>预算资金</w:t>
            </w:r>
            <w:r>
              <w:rPr>
                <w:rFonts w:hint="eastAsia" w:eastAsia="宋体"/>
                <w:sz w:val="24"/>
                <w:lang w:eastAsia="zh-CN" w:bidi="ar"/>
              </w:rPr>
              <w:t>分配依据充分、</w:t>
            </w:r>
            <w:r>
              <w:rPr>
                <w:rFonts w:eastAsia="宋体"/>
                <w:sz w:val="24"/>
                <w:lang w:eastAsia="zh-CN" w:bidi="ar"/>
              </w:rPr>
              <w:t>分配</w:t>
            </w:r>
            <w:r>
              <w:rPr>
                <w:rFonts w:hint="eastAsia" w:eastAsia="宋体"/>
                <w:sz w:val="24"/>
                <w:lang w:eastAsia="zh-CN" w:bidi="ar"/>
              </w:rPr>
              <w:t>额度</w:t>
            </w:r>
            <w:r>
              <w:rPr>
                <w:rFonts w:eastAsia="宋体"/>
                <w:sz w:val="24"/>
                <w:lang w:eastAsia="zh-CN" w:bidi="ar"/>
              </w:rPr>
              <w:t>合理。根据评分标准，该指标满分</w:t>
            </w:r>
            <w:r>
              <w:rPr>
                <w:rFonts w:hint="eastAsia" w:eastAsia="宋体"/>
                <w:sz w:val="24"/>
                <w:lang w:eastAsia="zh-CN" w:bidi="ar"/>
              </w:rPr>
              <w:t>3.00分</w:t>
            </w:r>
            <w:r>
              <w:rPr>
                <w:rFonts w:eastAsia="宋体"/>
                <w:sz w:val="24"/>
                <w:lang w:eastAsia="zh-CN" w:bidi="ar"/>
              </w:rPr>
              <w:t>。</w:t>
            </w:r>
          </w:p>
        </w:tc>
        <w:tc>
          <w:tcPr>
            <w:tcW w:w="823" w:type="dxa"/>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3</w:t>
            </w:r>
          </w:p>
        </w:tc>
        <w:tc>
          <w:tcPr>
            <w:tcW w:w="1109" w:type="dxa"/>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w:t>
            </w:r>
            <w:r>
              <w:rPr>
                <w:rFonts w:eastAsia="宋体"/>
                <w:sz w:val="24"/>
                <w:lang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3" w:type="dxa"/>
            <w:vMerge w:val="restart"/>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B过程（20分）</w:t>
            </w:r>
          </w:p>
        </w:tc>
        <w:tc>
          <w:tcPr>
            <w:tcW w:w="895" w:type="dxa"/>
            <w:vMerge w:val="restart"/>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B1资金管理（</w:t>
            </w:r>
            <w:r>
              <w:rPr>
                <w:rFonts w:hint="eastAsia" w:eastAsia="宋体"/>
                <w:sz w:val="24"/>
                <w:lang w:eastAsia="zh-CN" w:bidi="ar"/>
              </w:rPr>
              <w:t>10</w:t>
            </w:r>
            <w:r>
              <w:rPr>
                <w:rFonts w:eastAsia="宋体"/>
                <w:sz w:val="24"/>
                <w:lang w:eastAsia="zh-CN" w:bidi="ar"/>
              </w:rPr>
              <w:t>分）</w:t>
            </w:r>
          </w:p>
        </w:tc>
        <w:tc>
          <w:tcPr>
            <w:tcW w:w="899" w:type="dxa"/>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B11资金到位率</w:t>
            </w:r>
          </w:p>
        </w:tc>
        <w:tc>
          <w:tcPr>
            <w:tcW w:w="749" w:type="dxa"/>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3</w:t>
            </w:r>
          </w:p>
        </w:tc>
        <w:tc>
          <w:tcPr>
            <w:tcW w:w="3043" w:type="dxa"/>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资金到位率=（实际到位资金/预算资金）×100%。</w:t>
            </w:r>
            <w:r>
              <w:rPr>
                <w:rFonts w:eastAsia="宋体"/>
                <w:sz w:val="24"/>
                <w:lang w:eastAsia="zh-CN" w:bidi="ar"/>
              </w:rPr>
              <w:br w:type="textWrapping"/>
            </w:r>
            <w:r>
              <w:rPr>
                <w:rFonts w:eastAsia="宋体"/>
                <w:sz w:val="24"/>
                <w:lang w:eastAsia="zh-CN" w:bidi="ar"/>
              </w:rPr>
              <w:t>实际到位资金：一定时期（本年度或项目期）内落实到具体项目的资金。</w:t>
            </w:r>
            <w:r>
              <w:rPr>
                <w:rFonts w:eastAsia="宋体"/>
                <w:sz w:val="24"/>
                <w:lang w:eastAsia="zh-CN" w:bidi="ar"/>
              </w:rPr>
              <w:br w:type="textWrapping"/>
            </w:r>
            <w:r>
              <w:rPr>
                <w:rFonts w:eastAsia="宋体"/>
                <w:sz w:val="24"/>
                <w:lang w:eastAsia="zh-CN" w:bidi="ar"/>
              </w:rPr>
              <w:t>预算资金：一定时期（本年度或项目期）内预算安排到具体项目的资金。</w:t>
            </w:r>
          </w:p>
        </w:tc>
        <w:tc>
          <w:tcPr>
            <w:tcW w:w="2245" w:type="dxa"/>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资金到位及时率&lt;100%，且未对项目开展造成不良影响，得分等于指标业绩值*资金到位率；资金到位及时率&lt;100%，且对项目开展造成不良影响，得分等于0。</w:t>
            </w:r>
          </w:p>
        </w:tc>
        <w:tc>
          <w:tcPr>
            <w:tcW w:w="3863" w:type="dxa"/>
            <w:vAlign w:val="center"/>
          </w:tcPr>
          <w:p>
            <w:pPr>
              <w:widowControl/>
              <w:spacing w:line="360" w:lineRule="exact"/>
              <w:ind w:firstLine="0" w:firstLineChars="0"/>
              <w:textAlignment w:val="center"/>
              <w:rPr>
                <w:rFonts w:eastAsia="宋体"/>
                <w:sz w:val="24"/>
                <w:lang w:eastAsia="zh-CN" w:bidi="ar-SA"/>
              </w:rPr>
            </w:pPr>
            <w:r>
              <w:rPr>
                <w:rFonts w:hint="eastAsia" w:eastAsia="宋体"/>
                <w:sz w:val="24"/>
                <w:lang w:eastAsia="zh-CN" w:bidi="ar"/>
              </w:rPr>
              <w:t>乐山市金口河区金河镇新坪村村道水毁治理工程预算资金21万元，实际到位21万元，资金到位率100%。依据评分方法</w:t>
            </w:r>
            <w:r>
              <w:rPr>
                <w:rFonts w:eastAsia="宋体"/>
                <w:sz w:val="24"/>
                <w:lang w:eastAsia="zh-CN" w:bidi="ar"/>
              </w:rPr>
              <w:t>，该指标满分</w:t>
            </w:r>
            <w:r>
              <w:rPr>
                <w:rFonts w:hint="eastAsia" w:eastAsia="宋体"/>
                <w:sz w:val="24"/>
                <w:lang w:eastAsia="zh-CN" w:bidi="ar"/>
              </w:rPr>
              <w:t>3.00分</w:t>
            </w:r>
            <w:r>
              <w:rPr>
                <w:rFonts w:eastAsia="宋体"/>
                <w:sz w:val="24"/>
                <w:lang w:eastAsia="zh-CN" w:bidi="ar"/>
              </w:rPr>
              <w:t>。</w:t>
            </w:r>
          </w:p>
        </w:tc>
        <w:tc>
          <w:tcPr>
            <w:tcW w:w="823" w:type="dxa"/>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3</w:t>
            </w:r>
          </w:p>
        </w:tc>
        <w:tc>
          <w:tcPr>
            <w:tcW w:w="1109" w:type="dxa"/>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3" w:type="dxa"/>
            <w:vMerge w:val="continue"/>
            <w:vAlign w:val="center"/>
          </w:tcPr>
          <w:p>
            <w:pPr>
              <w:widowControl/>
              <w:spacing w:line="360" w:lineRule="exact"/>
              <w:ind w:firstLine="0" w:firstLineChars="0"/>
              <w:jc w:val="center"/>
              <w:rPr>
                <w:rFonts w:eastAsia="宋体"/>
                <w:sz w:val="24"/>
                <w:lang w:eastAsia="zh-CN" w:bidi="ar-SA"/>
              </w:rPr>
            </w:pPr>
          </w:p>
        </w:tc>
        <w:tc>
          <w:tcPr>
            <w:tcW w:w="895" w:type="dxa"/>
            <w:vMerge w:val="continue"/>
            <w:vAlign w:val="center"/>
          </w:tcPr>
          <w:p>
            <w:pPr>
              <w:widowControl/>
              <w:spacing w:line="360" w:lineRule="exact"/>
              <w:ind w:firstLine="0" w:firstLineChars="0"/>
              <w:jc w:val="center"/>
              <w:rPr>
                <w:rFonts w:eastAsia="宋体"/>
                <w:sz w:val="24"/>
                <w:lang w:eastAsia="zh-CN" w:bidi="ar-SA"/>
              </w:rPr>
            </w:pPr>
          </w:p>
        </w:tc>
        <w:tc>
          <w:tcPr>
            <w:tcW w:w="899" w:type="dxa"/>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B12预算执行率</w:t>
            </w:r>
          </w:p>
        </w:tc>
        <w:tc>
          <w:tcPr>
            <w:tcW w:w="749" w:type="dxa"/>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3043" w:type="dxa"/>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预算执行率=（实际支出资金/实际到位资金）×100%。</w:t>
            </w:r>
            <w:r>
              <w:rPr>
                <w:rFonts w:eastAsia="宋体"/>
                <w:sz w:val="24"/>
                <w:lang w:eastAsia="zh-CN" w:bidi="ar"/>
              </w:rPr>
              <w:br w:type="textWrapping"/>
            </w:r>
            <w:r>
              <w:rPr>
                <w:rFonts w:eastAsia="宋体"/>
                <w:sz w:val="24"/>
                <w:lang w:eastAsia="zh-CN" w:bidi="ar"/>
              </w:rPr>
              <w:t>实际支出资金：一定时期（本年度或项目期）内项目实际拨付的资金。</w:t>
            </w:r>
          </w:p>
        </w:tc>
        <w:tc>
          <w:tcPr>
            <w:tcW w:w="2245" w:type="dxa"/>
            <w:vAlign w:val="center"/>
          </w:tcPr>
          <w:p>
            <w:pPr>
              <w:widowControl/>
              <w:spacing w:line="360" w:lineRule="exact"/>
              <w:ind w:firstLine="0" w:firstLineChars="0"/>
              <w:jc w:val="left"/>
              <w:textAlignment w:val="center"/>
              <w:rPr>
                <w:rFonts w:eastAsia="宋体"/>
                <w:color w:val="auto"/>
                <w:sz w:val="24"/>
                <w:lang w:eastAsia="zh-CN" w:bidi="ar-SA"/>
              </w:rPr>
            </w:pPr>
            <w:r>
              <w:rPr>
                <w:rFonts w:eastAsia="宋体"/>
                <w:sz w:val="24"/>
                <w:lang w:eastAsia="zh-CN" w:bidi="ar"/>
              </w:rPr>
              <w:t>预算执行率=预算实际使用金额/预算资金计划投入金额，实际得分=预算执行率*3</w:t>
            </w:r>
          </w:p>
        </w:tc>
        <w:tc>
          <w:tcPr>
            <w:tcW w:w="3863" w:type="dxa"/>
            <w:vAlign w:val="center"/>
          </w:tcPr>
          <w:p>
            <w:pPr>
              <w:widowControl/>
              <w:spacing w:line="360" w:lineRule="exact"/>
              <w:ind w:firstLine="0" w:firstLineChars="0"/>
              <w:textAlignment w:val="center"/>
              <w:rPr>
                <w:rFonts w:eastAsia="宋体"/>
                <w:sz w:val="24"/>
                <w:lang w:eastAsia="zh-CN" w:bidi="ar"/>
              </w:rPr>
            </w:pPr>
            <w:r>
              <w:rPr>
                <w:rFonts w:hint="eastAsia" w:eastAsia="宋体"/>
                <w:sz w:val="24"/>
                <w:lang w:eastAsia="zh-CN" w:bidi="ar"/>
              </w:rPr>
              <w:t>乐山市金口河区金河镇新坪村村道水毁治理工程预算资金为21万元，实际到位21万元，截止绩效评价日，实际支出196,607.43元。预算执行率为93.62%。根据评分标准，该指标得93.62%*3.00=2.81分。</w:t>
            </w:r>
          </w:p>
        </w:tc>
        <w:tc>
          <w:tcPr>
            <w:tcW w:w="823" w:type="dxa"/>
            <w:vAlign w:val="center"/>
          </w:tcPr>
          <w:p>
            <w:pPr>
              <w:widowControl/>
              <w:spacing w:line="360" w:lineRule="exact"/>
              <w:ind w:firstLine="0" w:firstLineChars="0"/>
              <w:jc w:val="center"/>
              <w:textAlignment w:val="center"/>
              <w:rPr>
                <w:rFonts w:hint="eastAsia" w:eastAsia="宋体"/>
                <w:color w:val="auto"/>
                <w:sz w:val="24"/>
                <w:lang w:eastAsia="zh-CN" w:bidi="ar-SA"/>
              </w:rPr>
            </w:pPr>
            <w:r>
              <w:rPr>
                <w:rFonts w:hint="eastAsia" w:eastAsia="宋体"/>
                <w:sz w:val="24"/>
                <w:lang w:eastAsia="zh-CN" w:bidi="ar"/>
              </w:rPr>
              <w:t>2.81</w:t>
            </w:r>
          </w:p>
        </w:tc>
        <w:tc>
          <w:tcPr>
            <w:tcW w:w="1109" w:type="dxa"/>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93.62</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3" w:type="dxa"/>
            <w:vMerge w:val="continue"/>
            <w:vAlign w:val="center"/>
          </w:tcPr>
          <w:p>
            <w:pPr>
              <w:widowControl/>
              <w:spacing w:line="360" w:lineRule="exact"/>
              <w:ind w:firstLine="0" w:firstLineChars="0"/>
              <w:jc w:val="center"/>
              <w:rPr>
                <w:rFonts w:eastAsia="宋体"/>
                <w:sz w:val="24"/>
                <w:lang w:eastAsia="zh-CN" w:bidi="ar-SA"/>
              </w:rPr>
            </w:pPr>
          </w:p>
        </w:tc>
        <w:tc>
          <w:tcPr>
            <w:tcW w:w="895" w:type="dxa"/>
            <w:vMerge w:val="continue"/>
            <w:vAlign w:val="center"/>
          </w:tcPr>
          <w:p>
            <w:pPr>
              <w:widowControl/>
              <w:spacing w:line="360" w:lineRule="exact"/>
              <w:ind w:firstLine="0" w:firstLineChars="0"/>
              <w:jc w:val="center"/>
              <w:rPr>
                <w:rFonts w:eastAsia="宋体"/>
                <w:sz w:val="24"/>
                <w:lang w:eastAsia="zh-CN" w:bidi="ar-SA"/>
              </w:rPr>
            </w:pPr>
          </w:p>
        </w:tc>
        <w:tc>
          <w:tcPr>
            <w:tcW w:w="899" w:type="dxa"/>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B13资金使用合规性</w:t>
            </w:r>
          </w:p>
        </w:tc>
        <w:tc>
          <w:tcPr>
            <w:tcW w:w="749" w:type="dxa"/>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4</w:t>
            </w:r>
          </w:p>
        </w:tc>
        <w:tc>
          <w:tcPr>
            <w:tcW w:w="3043" w:type="dxa"/>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1.是否符合国家财经法规和财务管理制度；</w:t>
            </w:r>
            <w:r>
              <w:rPr>
                <w:rFonts w:eastAsia="宋体"/>
                <w:sz w:val="24"/>
                <w:lang w:eastAsia="zh-CN" w:bidi="ar"/>
              </w:rPr>
              <w:br w:type="textWrapping"/>
            </w:r>
            <w:r>
              <w:rPr>
                <w:rFonts w:eastAsia="宋体"/>
                <w:sz w:val="24"/>
                <w:lang w:eastAsia="zh-CN" w:bidi="ar"/>
              </w:rPr>
              <w:t>2.资金的拨付是否有完整的审批程序和手续；</w:t>
            </w:r>
            <w:r>
              <w:rPr>
                <w:rFonts w:eastAsia="宋体"/>
                <w:sz w:val="24"/>
                <w:lang w:eastAsia="zh-CN" w:bidi="ar"/>
              </w:rPr>
              <w:br w:type="textWrapping"/>
            </w:r>
            <w:r>
              <w:rPr>
                <w:rFonts w:eastAsia="宋体"/>
                <w:sz w:val="24"/>
                <w:lang w:eastAsia="zh-CN" w:bidi="ar"/>
              </w:rPr>
              <w:t>3.是否符合项目预算批复或合同规定的用途；</w:t>
            </w:r>
            <w:r>
              <w:rPr>
                <w:rFonts w:eastAsia="宋体"/>
                <w:sz w:val="24"/>
                <w:lang w:eastAsia="zh-CN" w:bidi="ar"/>
              </w:rPr>
              <w:br w:type="textWrapping"/>
            </w:r>
            <w:r>
              <w:rPr>
                <w:rFonts w:eastAsia="宋体"/>
                <w:sz w:val="24"/>
                <w:lang w:eastAsia="zh-CN" w:bidi="ar"/>
              </w:rPr>
              <w:t>4.是否存在截留、挤占、挪用、虚列支出等情况。</w:t>
            </w:r>
          </w:p>
        </w:tc>
        <w:tc>
          <w:tcPr>
            <w:tcW w:w="2245" w:type="dxa"/>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具备一个得分要素，得权重分的25%</w:t>
            </w:r>
          </w:p>
        </w:tc>
        <w:tc>
          <w:tcPr>
            <w:tcW w:w="3863" w:type="dxa"/>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项目资金使用符合相关财务管理制度；资金的拨付有</w:t>
            </w:r>
            <w:r>
              <w:rPr>
                <w:rFonts w:hint="eastAsia" w:eastAsia="宋体"/>
                <w:sz w:val="24"/>
                <w:lang w:eastAsia="zh-CN" w:bidi="ar"/>
              </w:rPr>
              <w:t>经签字确认的金口镇人民政府费用报销单、单位资金</w:t>
            </w:r>
            <w:r>
              <w:rPr>
                <w:rFonts w:eastAsia="宋体"/>
                <w:sz w:val="24"/>
                <w:lang w:eastAsia="zh-CN" w:bidi="ar"/>
              </w:rPr>
              <w:t>支付凭证、发票</w:t>
            </w:r>
            <w:r>
              <w:rPr>
                <w:rFonts w:hint="eastAsia" w:eastAsia="宋体"/>
                <w:sz w:val="24"/>
                <w:lang w:eastAsia="zh-CN" w:bidi="ar"/>
              </w:rPr>
              <w:t>、进度款申请报告</w:t>
            </w:r>
            <w:r>
              <w:rPr>
                <w:rFonts w:eastAsia="宋体"/>
                <w:sz w:val="24"/>
                <w:lang w:eastAsia="zh-CN" w:bidi="ar"/>
              </w:rPr>
              <w:t>等项目审批手续。</w:t>
            </w:r>
            <w:r>
              <w:rPr>
                <w:rFonts w:hint="eastAsia" w:eastAsia="宋体"/>
                <w:sz w:val="24"/>
                <w:lang w:val="en-US" w:eastAsia="zh-CN" w:bidi="ar"/>
              </w:rPr>
              <w:t>但未按</w:t>
            </w:r>
            <w:r>
              <w:rPr>
                <w:rFonts w:hint="eastAsia" w:ascii="Times New Roman" w:hAnsi="Times New Roman" w:eastAsia="宋体" w:cs="Times New Roman"/>
                <w:sz w:val="24"/>
                <w:lang w:eastAsia="zh-CN" w:bidi="ar"/>
              </w:rPr>
              <w:t>《乐山市金口河区金河镇新坪村村道水毁治理工程施工合同》</w:t>
            </w:r>
            <w:r>
              <w:rPr>
                <w:rFonts w:hint="eastAsia" w:eastAsia="宋体" w:cs="Times New Roman"/>
                <w:sz w:val="24"/>
                <w:lang w:val="en-US" w:eastAsia="zh-CN" w:bidi="ar"/>
              </w:rPr>
              <w:t>约定在质保期内</w:t>
            </w:r>
            <w:r>
              <w:rPr>
                <w:rFonts w:hint="eastAsia" w:ascii="Times New Roman" w:hAnsi="Times New Roman" w:eastAsia="宋体" w:cs="Times New Roman"/>
                <w:sz w:val="24"/>
                <w:lang w:val="en-US" w:eastAsia="zh-CN" w:bidi="ar"/>
              </w:rPr>
              <w:t>留存质保金，合同执行规范性存在不足</w:t>
            </w:r>
            <w:r>
              <w:rPr>
                <w:rFonts w:eastAsia="宋体"/>
                <w:sz w:val="24"/>
                <w:lang w:eastAsia="zh-CN" w:bidi="ar"/>
              </w:rPr>
              <w:t>。</w:t>
            </w:r>
            <w:r>
              <w:rPr>
                <w:rFonts w:hint="eastAsia" w:eastAsia="宋体"/>
                <w:sz w:val="24"/>
                <w:lang w:val="en-US" w:eastAsia="zh-CN" w:bidi="ar"/>
              </w:rPr>
              <w:t>除此外，我们</w:t>
            </w:r>
            <w:r>
              <w:rPr>
                <w:rFonts w:eastAsia="宋体"/>
                <w:sz w:val="24"/>
                <w:lang w:eastAsia="zh-CN" w:bidi="ar"/>
              </w:rPr>
              <w:t>未发现有截留、挤占、挪用、虚列支出等情况。依据评分方法，该指标得满分</w:t>
            </w:r>
            <w:r>
              <w:rPr>
                <w:rFonts w:hint="eastAsia" w:eastAsia="宋体"/>
                <w:sz w:val="24"/>
                <w:lang w:eastAsia="zh-CN" w:bidi="ar"/>
              </w:rPr>
              <w:t>4.00分，</w:t>
            </w:r>
            <w:r>
              <w:rPr>
                <w:rFonts w:hint="eastAsia" w:eastAsia="宋体"/>
                <w:sz w:val="24"/>
                <w:lang w:val="en-US" w:eastAsia="zh-CN" w:bidi="ar"/>
              </w:rPr>
              <w:t>扣1.00分，得3.00分</w:t>
            </w:r>
            <w:r>
              <w:rPr>
                <w:rFonts w:eastAsia="宋体"/>
                <w:sz w:val="24"/>
                <w:lang w:eastAsia="zh-CN" w:bidi="ar"/>
              </w:rPr>
              <w:t>。</w:t>
            </w:r>
          </w:p>
        </w:tc>
        <w:tc>
          <w:tcPr>
            <w:tcW w:w="823" w:type="dxa"/>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3</w:t>
            </w:r>
          </w:p>
        </w:tc>
        <w:tc>
          <w:tcPr>
            <w:tcW w:w="1109" w:type="dxa"/>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75</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3" w:type="dxa"/>
            <w:vMerge w:val="continue"/>
            <w:vAlign w:val="center"/>
          </w:tcPr>
          <w:p>
            <w:pPr>
              <w:widowControl/>
              <w:spacing w:line="360" w:lineRule="exact"/>
              <w:ind w:firstLine="0" w:firstLineChars="0"/>
              <w:jc w:val="center"/>
              <w:rPr>
                <w:rFonts w:eastAsia="宋体"/>
                <w:sz w:val="24"/>
                <w:lang w:eastAsia="zh-CN" w:bidi="ar-SA"/>
              </w:rPr>
            </w:pPr>
          </w:p>
        </w:tc>
        <w:tc>
          <w:tcPr>
            <w:tcW w:w="895" w:type="dxa"/>
            <w:vMerge w:val="restart"/>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B2组织实施（</w:t>
            </w:r>
            <w:r>
              <w:rPr>
                <w:rFonts w:hint="eastAsia" w:eastAsia="宋体"/>
                <w:sz w:val="24"/>
                <w:lang w:eastAsia="zh-CN" w:bidi="ar"/>
              </w:rPr>
              <w:t>10</w:t>
            </w:r>
            <w:r>
              <w:rPr>
                <w:rFonts w:eastAsia="宋体"/>
                <w:sz w:val="24"/>
                <w:lang w:eastAsia="zh-CN" w:bidi="ar"/>
              </w:rPr>
              <w:t>分）</w:t>
            </w:r>
          </w:p>
        </w:tc>
        <w:tc>
          <w:tcPr>
            <w:tcW w:w="899" w:type="dxa"/>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B2</w:t>
            </w:r>
            <w:r>
              <w:rPr>
                <w:rFonts w:hint="eastAsia" w:eastAsia="宋体"/>
                <w:sz w:val="24"/>
                <w:lang w:eastAsia="zh-CN" w:bidi="ar"/>
              </w:rPr>
              <w:t>1</w:t>
            </w:r>
            <w:r>
              <w:rPr>
                <w:rFonts w:eastAsia="宋体"/>
                <w:sz w:val="24"/>
                <w:lang w:eastAsia="zh-CN" w:bidi="ar"/>
              </w:rPr>
              <w:t>项目</w:t>
            </w:r>
            <w:r>
              <w:rPr>
                <w:rFonts w:hint="eastAsia" w:eastAsia="宋体"/>
                <w:sz w:val="24"/>
                <w:lang w:eastAsia="zh-CN" w:bidi="ar"/>
              </w:rPr>
              <w:t>实施流程及</w:t>
            </w:r>
            <w:r>
              <w:rPr>
                <w:rFonts w:eastAsia="宋体"/>
                <w:sz w:val="24"/>
                <w:lang w:eastAsia="zh-CN" w:bidi="ar"/>
              </w:rPr>
              <w:t>采购合规性</w:t>
            </w:r>
          </w:p>
        </w:tc>
        <w:tc>
          <w:tcPr>
            <w:tcW w:w="749" w:type="dxa"/>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5</w:t>
            </w:r>
          </w:p>
        </w:tc>
        <w:tc>
          <w:tcPr>
            <w:tcW w:w="3043" w:type="dxa"/>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项目单位</w:t>
            </w:r>
            <w:r>
              <w:rPr>
                <w:rFonts w:hint="eastAsia" w:eastAsia="宋体"/>
                <w:sz w:val="24"/>
                <w:lang w:eastAsia="zh-CN" w:bidi="ar"/>
              </w:rPr>
              <w:t>实施流程是否规范，</w:t>
            </w:r>
            <w:r>
              <w:rPr>
                <w:rFonts w:eastAsia="宋体"/>
                <w:sz w:val="24"/>
                <w:lang w:eastAsia="zh-CN" w:bidi="ar"/>
              </w:rPr>
              <w:t>是否通过购买服务与具有相应资质、报价合理的供应商签订合同或协议。</w:t>
            </w:r>
          </w:p>
        </w:tc>
        <w:tc>
          <w:tcPr>
            <w:tcW w:w="2245" w:type="dxa"/>
            <w:vAlign w:val="center"/>
          </w:tcPr>
          <w:p>
            <w:pPr>
              <w:widowControl/>
              <w:spacing w:line="360" w:lineRule="exact"/>
              <w:ind w:firstLine="0" w:firstLineChars="0"/>
              <w:textAlignment w:val="center"/>
              <w:rPr>
                <w:rFonts w:eastAsia="宋体"/>
                <w:color w:val="auto"/>
                <w:sz w:val="24"/>
                <w:lang w:eastAsia="zh-CN" w:bidi="ar-SA"/>
              </w:rPr>
            </w:pPr>
            <w:r>
              <w:rPr>
                <w:rFonts w:hint="eastAsia" w:eastAsia="宋体"/>
                <w:sz w:val="24"/>
                <w:lang w:eastAsia="zh-CN" w:bidi="ar"/>
              </w:rPr>
              <w:t>项目单位实施流程有一项不合规的扣权重分的50%；项目未通过购买服务流程扣权重分的50%</w:t>
            </w:r>
            <w:r>
              <w:rPr>
                <w:rFonts w:eastAsia="宋体"/>
                <w:sz w:val="24"/>
                <w:lang w:eastAsia="zh-CN" w:bidi="ar"/>
              </w:rPr>
              <w:t>。</w:t>
            </w:r>
          </w:p>
        </w:tc>
        <w:tc>
          <w:tcPr>
            <w:tcW w:w="3863" w:type="dxa"/>
            <w:shd w:val="clear" w:color="000000" w:fill="FFFFFF"/>
            <w:vAlign w:val="center"/>
          </w:tcPr>
          <w:p>
            <w:pPr>
              <w:widowControl/>
              <w:spacing w:line="360" w:lineRule="exact"/>
              <w:ind w:firstLine="0" w:firstLineChars="0"/>
              <w:jc w:val="both"/>
              <w:textAlignment w:val="center"/>
              <w:rPr>
                <w:rFonts w:hint="eastAsia" w:ascii="Times New Roman" w:hAnsi="Times New Roman" w:eastAsia="宋体" w:cs="Times New Roman"/>
                <w:sz w:val="24"/>
                <w:lang w:eastAsia="zh-CN" w:bidi="ar"/>
              </w:rPr>
            </w:pPr>
            <w:r>
              <w:rPr>
                <w:rFonts w:hint="eastAsia" w:ascii="Times New Roman" w:hAnsi="Times New Roman" w:eastAsia="宋体" w:cs="Times New Roman"/>
                <w:sz w:val="24"/>
                <w:lang w:eastAsia="zh-CN" w:bidi="ar"/>
              </w:rPr>
              <w:t>2024年8月2日</w:t>
            </w:r>
            <w:r>
              <w:rPr>
                <w:rFonts w:hint="eastAsia" w:eastAsia="宋体" w:cs="Times New Roman"/>
                <w:sz w:val="24"/>
                <w:lang w:eastAsia="zh-CN" w:bidi="ar"/>
              </w:rPr>
              <w:t>招标代理机构四川恒鑫工程管理咨询有限公司</w:t>
            </w:r>
            <w:r>
              <w:rPr>
                <w:rFonts w:hint="eastAsia" w:ascii="Times New Roman" w:hAnsi="Times New Roman" w:eastAsia="宋体" w:cs="Times New Roman"/>
                <w:sz w:val="24"/>
                <w:lang w:eastAsia="zh-CN" w:bidi="ar"/>
              </w:rPr>
              <w:t>采用竞争性</w:t>
            </w:r>
            <w:bookmarkStart w:id="405" w:name="_GoBack"/>
            <w:r>
              <w:rPr>
                <w:rFonts w:hint="eastAsia" w:eastAsia="宋体"/>
                <w:sz w:val="24"/>
                <w:lang w:val="en-US" w:eastAsia="zh-CN" w:bidi="ar"/>
              </w:rPr>
              <w:t>磋商开标、评标后发布成交通知书，确认四川省世通盛德建设工程有限公司为乐</w:t>
            </w:r>
            <w:bookmarkEnd w:id="405"/>
            <w:r>
              <w:rPr>
                <w:rFonts w:hint="eastAsia" w:ascii="Times New Roman" w:hAnsi="Times New Roman" w:eastAsia="宋体" w:cs="Times New Roman"/>
                <w:sz w:val="24"/>
                <w:lang w:eastAsia="zh-CN" w:bidi="ar"/>
              </w:rPr>
              <w:t>山市金口河区金河镇新坪村村道水毁治理工程的中标人，中标价：208,266.53元。2024年8月12日金和镇政府与</w:t>
            </w:r>
            <w:r>
              <w:rPr>
                <w:rFonts w:hint="eastAsia" w:ascii="Times New Roman" w:hAnsi="Times New Roman" w:eastAsia="宋体" w:cs="Times New Roman"/>
                <w:sz w:val="24"/>
                <w:lang w:val="en-US" w:eastAsia="zh-CN" w:bidi="ar"/>
              </w:rPr>
              <w:t>中标人</w:t>
            </w:r>
            <w:r>
              <w:rPr>
                <w:rFonts w:hint="eastAsia" w:ascii="Times New Roman" w:hAnsi="Times New Roman" w:eastAsia="宋体" w:cs="Times New Roman"/>
                <w:sz w:val="24"/>
                <w:lang w:eastAsia="zh-CN" w:bidi="ar"/>
              </w:rPr>
              <w:t>签订《乐山市金口河区金河镇新坪村村道水毁治理工程施工合同》。项目单位在业务开展过程中，咨询公司采用竞争性磋商确认供应商，符合项目采购的相关规定。依据评分方法，该指标得满分5.00分。</w:t>
            </w:r>
          </w:p>
        </w:tc>
        <w:tc>
          <w:tcPr>
            <w:tcW w:w="823" w:type="dxa"/>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5</w:t>
            </w:r>
          </w:p>
        </w:tc>
        <w:tc>
          <w:tcPr>
            <w:tcW w:w="1109" w:type="dxa"/>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3" w:type="dxa"/>
            <w:vMerge w:val="continue"/>
            <w:vAlign w:val="center"/>
          </w:tcPr>
          <w:p>
            <w:pPr>
              <w:widowControl/>
              <w:spacing w:line="360" w:lineRule="exact"/>
              <w:ind w:firstLine="0" w:firstLineChars="0"/>
              <w:jc w:val="center"/>
              <w:rPr>
                <w:rFonts w:eastAsia="宋体"/>
                <w:sz w:val="24"/>
                <w:lang w:eastAsia="zh-CN" w:bidi="ar-SA"/>
              </w:rPr>
            </w:pPr>
          </w:p>
        </w:tc>
        <w:tc>
          <w:tcPr>
            <w:tcW w:w="895" w:type="dxa"/>
            <w:vMerge w:val="continue"/>
            <w:vAlign w:val="center"/>
          </w:tcPr>
          <w:p>
            <w:pPr>
              <w:widowControl/>
              <w:spacing w:line="360" w:lineRule="exact"/>
              <w:ind w:firstLine="0" w:firstLineChars="0"/>
              <w:jc w:val="center"/>
              <w:rPr>
                <w:rFonts w:eastAsia="宋体"/>
                <w:sz w:val="24"/>
                <w:lang w:eastAsia="zh-CN" w:bidi="ar-SA"/>
              </w:rPr>
            </w:pPr>
          </w:p>
        </w:tc>
        <w:tc>
          <w:tcPr>
            <w:tcW w:w="899" w:type="dxa"/>
            <w:shd w:val="clear" w:color="000000" w:fill="FFFFFF"/>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B2</w:t>
            </w:r>
            <w:r>
              <w:rPr>
                <w:rFonts w:hint="eastAsia" w:eastAsia="宋体"/>
                <w:sz w:val="24"/>
                <w:lang w:eastAsia="zh-CN" w:bidi="ar"/>
              </w:rPr>
              <w:t>2</w:t>
            </w:r>
            <w:r>
              <w:rPr>
                <w:rFonts w:eastAsia="宋体"/>
                <w:sz w:val="24"/>
                <w:lang w:eastAsia="zh-CN" w:bidi="ar"/>
              </w:rPr>
              <w:t>合同</w:t>
            </w:r>
            <w:r>
              <w:rPr>
                <w:rFonts w:hint="eastAsia" w:eastAsia="宋体"/>
                <w:sz w:val="24"/>
                <w:lang w:eastAsia="zh-CN" w:bidi="ar"/>
              </w:rPr>
              <w:t>签订及</w:t>
            </w:r>
            <w:r>
              <w:rPr>
                <w:rFonts w:eastAsia="宋体"/>
                <w:sz w:val="24"/>
                <w:lang w:eastAsia="zh-CN" w:bidi="ar"/>
              </w:rPr>
              <w:t>管理和执行规范性</w:t>
            </w:r>
          </w:p>
        </w:tc>
        <w:tc>
          <w:tcPr>
            <w:tcW w:w="749"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5</w:t>
            </w:r>
          </w:p>
        </w:tc>
        <w:tc>
          <w:tcPr>
            <w:tcW w:w="3043" w:type="dxa"/>
            <w:shd w:val="clear" w:color="000000" w:fill="FFFFFF"/>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合同</w:t>
            </w:r>
            <w:r>
              <w:rPr>
                <w:rFonts w:hint="eastAsia" w:eastAsia="宋体"/>
                <w:sz w:val="24"/>
                <w:lang w:eastAsia="zh-CN" w:bidi="ar"/>
              </w:rPr>
              <w:t>或协议</w:t>
            </w:r>
            <w:r>
              <w:rPr>
                <w:rFonts w:eastAsia="宋体"/>
                <w:sz w:val="24"/>
                <w:lang w:eastAsia="zh-CN" w:bidi="ar"/>
              </w:rPr>
              <w:t>中约定其主要工作内容、基本职责</w:t>
            </w:r>
            <w:r>
              <w:rPr>
                <w:rFonts w:hint="eastAsia" w:eastAsia="宋体"/>
                <w:sz w:val="24"/>
                <w:lang w:eastAsia="zh-CN" w:bidi="ar"/>
              </w:rPr>
              <w:t>，</w:t>
            </w:r>
            <w:r>
              <w:rPr>
                <w:rFonts w:eastAsia="宋体"/>
                <w:sz w:val="24"/>
                <w:lang w:eastAsia="zh-CN" w:bidi="ar"/>
              </w:rPr>
              <w:t>明确、细化双方的权利和义务，合同执行规范有效。</w:t>
            </w:r>
            <w:r>
              <w:rPr>
                <w:rFonts w:hint="eastAsia" w:eastAsia="宋体"/>
                <w:sz w:val="24"/>
                <w:lang w:eastAsia="zh-CN" w:bidi="ar"/>
              </w:rPr>
              <w:t>档案资料及附件管理规范及齐全性。</w:t>
            </w:r>
          </w:p>
        </w:tc>
        <w:tc>
          <w:tcPr>
            <w:tcW w:w="2245" w:type="dxa"/>
            <w:shd w:val="clear" w:color="000000" w:fill="FFFFFF"/>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合同中明确双方的权利和义务，明确和细化购买的需求和资金的使用要求，合同执行规范有效得满分，</w:t>
            </w:r>
            <w:r>
              <w:rPr>
                <w:rFonts w:hint="eastAsia" w:eastAsia="宋体"/>
                <w:sz w:val="24"/>
                <w:lang w:val="en-US" w:eastAsia="zh-CN" w:bidi="ar"/>
              </w:rPr>
              <w:t>有一项不符合规定</w:t>
            </w:r>
            <w:r>
              <w:rPr>
                <w:rFonts w:eastAsia="宋体"/>
                <w:sz w:val="24"/>
                <w:lang w:eastAsia="zh-CN" w:bidi="ar"/>
              </w:rPr>
              <w:t>扣</w:t>
            </w:r>
            <w:r>
              <w:rPr>
                <w:rFonts w:hint="eastAsia" w:eastAsia="宋体"/>
                <w:sz w:val="24"/>
                <w:lang w:val="en-US" w:eastAsia="zh-CN" w:bidi="ar"/>
              </w:rPr>
              <w:t>2.50</w:t>
            </w:r>
            <w:r>
              <w:rPr>
                <w:rFonts w:eastAsia="宋体"/>
                <w:sz w:val="24"/>
                <w:lang w:eastAsia="zh-CN" w:bidi="ar"/>
              </w:rPr>
              <w:t>分。</w:t>
            </w:r>
          </w:p>
        </w:tc>
        <w:tc>
          <w:tcPr>
            <w:tcW w:w="3863" w:type="dxa"/>
            <w:shd w:val="clear" w:color="000000" w:fill="FFFFFF"/>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eastAsia="zh-CN" w:bidi="ar"/>
              </w:rPr>
              <w:t>通过查阅金和镇政府与四川省世通盛德建设工程有限公司签订的《乐山市金口河区金河镇新坪村村道水毁治理工程施工合同》，合同内容包括工程概况、合同工期、质量标准、合同价款等主要工作内容、基本职责，明确双方的权利和义务。</w:t>
            </w:r>
            <w:r>
              <w:rPr>
                <w:rFonts w:eastAsia="宋体"/>
                <w:sz w:val="24"/>
                <w:lang w:eastAsia="zh-CN" w:bidi="ar"/>
              </w:rPr>
              <w:t>项目单位在业务开展过程中的相关合同、档案资料及相关的重决策会议纪要及附件齐全</w:t>
            </w:r>
            <w:r>
              <w:rPr>
                <w:rFonts w:hint="eastAsia" w:eastAsia="宋体"/>
                <w:sz w:val="24"/>
                <w:lang w:eastAsia="zh-CN" w:bidi="ar"/>
              </w:rPr>
              <w:t>。</w:t>
            </w:r>
            <w:r>
              <w:rPr>
                <w:rFonts w:hint="eastAsia" w:eastAsia="宋体"/>
                <w:sz w:val="24"/>
                <w:lang w:val="en-US" w:eastAsia="zh-CN" w:bidi="ar"/>
              </w:rPr>
              <w:t>但未按</w:t>
            </w:r>
            <w:r>
              <w:rPr>
                <w:rFonts w:hint="eastAsia" w:ascii="Times New Roman" w:hAnsi="Times New Roman" w:eastAsia="宋体" w:cs="Times New Roman"/>
                <w:sz w:val="24"/>
                <w:lang w:eastAsia="zh-CN" w:bidi="ar"/>
              </w:rPr>
              <w:t>《乐山市金口河区金河镇新坪村村道水毁治理工程施工合同》</w:t>
            </w:r>
            <w:r>
              <w:rPr>
                <w:rFonts w:hint="eastAsia" w:eastAsia="宋体" w:cs="Times New Roman"/>
                <w:sz w:val="24"/>
                <w:lang w:val="en-US" w:eastAsia="zh-CN" w:bidi="ar"/>
              </w:rPr>
              <w:t>约定在质保期内</w:t>
            </w:r>
            <w:r>
              <w:rPr>
                <w:rFonts w:hint="eastAsia" w:ascii="Times New Roman" w:hAnsi="Times New Roman" w:eastAsia="宋体" w:cs="Times New Roman"/>
                <w:sz w:val="24"/>
                <w:lang w:val="en-US" w:eastAsia="zh-CN" w:bidi="ar"/>
              </w:rPr>
              <w:t>留存质保金，合同执行规范性存在不足。</w:t>
            </w:r>
            <w:r>
              <w:rPr>
                <w:rFonts w:eastAsia="宋体"/>
                <w:sz w:val="24"/>
                <w:lang w:eastAsia="zh-CN" w:bidi="ar"/>
              </w:rPr>
              <w:t>根据评分标准，该指标</w:t>
            </w:r>
            <w:r>
              <w:rPr>
                <w:rFonts w:hint="eastAsia" w:eastAsia="宋体"/>
                <w:sz w:val="24"/>
                <w:lang w:val="en-US" w:eastAsia="zh-CN" w:bidi="ar"/>
              </w:rPr>
              <w:t>得</w:t>
            </w:r>
            <w:r>
              <w:rPr>
                <w:rFonts w:hint="eastAsia" w:eastAsia="宋体"/>
                <w:sz w:val="24"/>
                <w:lang w:eastAsia="zh-CN" w:bidi="ar"/>
              </w:rPr>
              <w:t>满分5</w:t>
            </w:r>
            <w:r>
              <w:rPr>
                <w:rFonts w:eastAsia="宋体"/>
                <w:sz w:val="24"/>
                <w:lang w:eastAsia="zh-CN" w:bidi="ar"/>
              </w:rPr>
              <w:t>.00分</w:t>
            </w:r>
            <w:r>
              <w:rPr>
                <w:rFonts w:hint="eastAsia" w:eastAsia="宋体"/>
                <w:sz w:val="24"/>
                <w:lang w:eastAsia="zh-CN" w:bidi="ar"/>
              </w:rPr>
              <w:t>，</w:t>
            </w:r>
            <w:r>
              <w:rPr>
                <w:rFonts w:hint="eastAsia" w:eastAsia="宋体"/>
                <w:sz w:val="24"/>
                <w:lang w:val="en-US" w:eastAsia="zh-CN" w:bidi="ar"/>
              </w:rPr>
              <w:t>扣2.50分，得2.50分</w:t>
            </w:r>
            <w:r>
              <w:rPr>
                <w:rFonts w:eastAsia="宋体"/>
                <w:sz w:val="24"/>
                <w:lang w:eastAsia="zh-CN" w:bidi="ar"/>
              </w:rPr>
              <w:t>。</w:t>
            </w:r>
          </w:p>
        </w:tc>
        <w:tc>
          <w:tcPr>
            <w:tcW w:w="823" w:type="dxa"/>
            <w:shd w:val="clear" w:color="000000" w:fill="FFFFFF"/>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2.50</w:t>
            </w:r>
          </w:p>
        </w:tc>
        <w:tc>
          <w:tcPr>
            <w:tcW w:w="1109"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5</w:t>
            </w:r>
            <w:r>
              <w:rPr>
                <w:rFonts w:eastAsia="宋体"/>
                <w:sz w:val="24"/>
                <w:lang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3" w:type="dxa"/>
            <w:vMerge w:val="restart"/>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C产出（30分）</w:t>
            </w:r>
          </w:p>
        </w:tc>
        <w:tc>
          <w:tcPr>
            <w:tcW w:w="895" w:type="dxa"/>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C1产出数量（6分）</w:t>
            </w:r>
          </w:p>
        </w:tc>
        <w:tc>
          <w:tcPr>
            <w:tcW w:w="899"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ascii="Times New Roman" w:hAnsi="Times New Roman" w:eastAsia="宋体" w:cs="Times New Roman"/>
                <w:sz w:val="24"/>
                <w:lang w:val="en-US" w:eastAsia="zh-CN" w:bidi="ar"/>
              </w:rPr>
              <w:t>C11</w:t>
            </w:r>
            <w:r>
              <w:rPr>
                <w:rFonts w:hint="eastAsia" w:ascii="Times New Roman" w:hAnsi="Times New Roman" w:eastAsia="宋体" w:cs="Times New Roman"/>
                <w:sz w:val="24"/>
                <w:lang w:eastAsia="zh-CN" w:bidi="ar"/>
              </w:rPr>
              <w:t>新修混凝土挡土墙</w:t>
            </w:r>
            <w:r>
              <w:rPr>
                <w:rFonts w:hint="eastAsia" w:eastAsia="宋体"/>
                <w:sz w:val="24"/>
                <w:lang w:eastAsia="zh-CN" w:bidi="ar"/>
              </w:rPr>
              <w:t>、</w:t>
            </w:r>
            <w:r>
              <w:rPr>
                <w:rFonts w:hint="eastAsia" w:ascii="Times New Roman" w:hAnsi="Times New Roman" w:eastAsia="宋体" w:cs="Times New Roman"/>
                <w:sz w:val="24"/>
                <w:lang w:eastAsia="zh-CN" w:bidi="ar"/>
              </w:rPr>
              <w:t>波形钢护栏</w:t>
            </w:r>
            <w:r>
              <w:rPr>
                <w:rFonts w:hint="eastAsia" w:eastAsia="宋体"/>
                <w:sz w:val="24"/>
                <w:lang w:eastAsia="zh-CN" w:bidi="ar"/>
              </w:rPr>
              <w:t>数量</w:t>
            </w:r>
          </w:p>
        </w:tc>
        <w:tc>
          <w:tcPr>
            <w:tcW w:w="749"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6</w:t>
            </w:r>
          </w:p>
        </w:tc>
        <w:tc>
          <w:tcPr>
            <w:tcW w:w="3043" w:type="dxa"/>
            <w:shd w:val="clear" w:color="000000" w:fill="FFFFFF"/>
            <w:vAlign w:val="center"/>
          </w:tcPr>
          <w:p>
            <w:pPr>
              <w:widowControl/>
              <w:spacing w:line="360" w:lineRule="exact"/>
              <w:ind w:firstLine="0" w:firstLineChars="0"/>
              <w:jc w:val="left"/>
              <w:textAlignment w:val="center"/>
              <w:rPr>
                <w:rFonts w:eastAsia="宋体"/>
                <w:sz w:val="24"/>
                <w:lang w:eastAsia="zh-CN" w:bidi="ar"/>
              </w:rPr>
            </w:pPr>
            <w:r>
              <w:rPr>
                <w:rFonts w:eastAsia="宋体"/>
                <w:sz w:val="24"/>
                <w:lang w:eastAsia="zh-CN" w:bidi="ar"/>
              </w:rPr>
              <w:t>评价要点：</w:t>
            </w:r>
          </w:p>
          <w:p>
            <w:pPr>
              <w:widowControl/>
              <w:spacing w:line="360" w:lineRule="exact"/>
              <w:ind w:firstLine="0" w:firstLineChars="0"/>
              <w:jc w:val="left"/>
              <w:textAlignment w:val="center"/>
              <w:rPr>
                <w:rFonts w:eastAsia="宋体"/>
                <w:sz w:val="24"/>
                <w:lang w:eastAsia="zh-CN" w:bidi="ar"/>
              </w:rPr>
            </w:pPr>
            <w:r>
              <w:rPr>
                <w:rFonts w:hint="eastAsia" w:ascii="Times New Roman" w:hAnsi="Times New Roman" w:eastAsia="宋体" w:cs="Times New Roman"/>
                <w:sz w:val="24"/>
                <w:lang w:eastAsia="zh-CN" w:bidi="ar"/>
              </w:rPr>
              <w:t>新修混凝土挡土墙</w:t>
            </w:r>
            <w:r>
              <w:rPr>
                <w:rFonts w:hint="eastAsia" w:eastAsia="宋体"/>
                <w:sz w:val="24"/>
                <w:lang w:eastAsia="zh-CN" w:bidi="ar"/>
              </w:rPr>
              <w:t>、</w:t>
            </w:r>
            <w:r>
              <w:rPr>
                <w:rFonts w:hint="eastAsia" w:ascii="Times New Roman" w:hAnsi="Times New Roman" w:eastAsia="宋体" w:cs="Times New Roman"/>
                <w:sz w:val="24"/>
                <w:lang w:eastAsia="zh-CN" w:bidi="ar"/>
              </w:rPr>
              <w:t>波形钢护栏</w:t>
            </w:r>
            <w:r>
              <w:rPr>
                <w:rFonts w:hint="eastAsia" w:eastAsia="宋体"/>
                <w:sz w:val="24"/>
                <w:lang w:eastAsia="zh-CN" w:bidi="ar"/>
              </w:rPr>
              <w:t>数量与总体目标是否一致，用以</w:t>
            </w:r>
            <w:r>
              <w:rPr>
                <w:rFonts w:eastAsia="宋体"/>
                <w:sz w:val="24"/>
                <w:lang w:eastAsia="zh-CN" w:bidi="ar"/>
              </w:rPr>
              <w:t>反映和考核项目产出</w:t>
            </w:r>
            <w:r>
              <w:rPr>
                <w:rFonts w:hint="eastAsia" w:eastAsia="宋体"/>
                <w:sz w:val="24"/>
                <w:lang w:eastAsia="zh-CN" w:bidi="ar"/>
              </w:rPr>
              <w:t>数量</w:t>
            </w:r>
            <w:r>
              <w:rPr>
                <w:rFonts w:eastAsia="宋体"/>
                <w:sz w:val="24"/>
                <w:lang w:eastAsia="zh-CN" w:bidi="ar"/>
              </w:rPr>
              <w:t>目标的实现程度。</w:t>
            </w:r>
          </w:p>
        </w:tc>
        <w:tc>
          <w:tcPr>
            <w:tcW w:w="2245" w:type="dxa"/>
            <w:shd w:val="clear" w:color="000000" w:fill="FFFFFF"/>
            <w:vAlign w:val="center"/>
          </w:tcPr>
          <w:p>
            <w:pPr>
              <w:widowControl/>
              <w:spacing w:line="360" w:lineRule="exact"/>
              <w:ind w:firstLine="0" w:firstLineChars="0"/>
              <w:textAlignment w:val="center"/>
              <w:rPr>
                <w:rFonts w:eastAsia="宋体"/>
                <w:color w:val="auto"/>
                <w:sz w:val="24"/>
                <w:lang w:eastAsia="zh-CN" w:bidi="ar-SA"/>
              </w:rPr>
            </w:pPr>
            <w:r>
              <w:rPr>
                <w:rFonts w:hint="eastAsia" w:eastAsia="宋体"/>
                <w:sz w:val="24"/>
                <w:lang w:eastAsia="zh-CN" w:bidi="ar"/>
              </w:rPr>
              <w:t>与申请、批复数量相符得满分，否则不得分。</w:t>
            </w:r>
            <w:r>
              <w:rPr>
                <w:rFonts w:hint="eastAsia" w:ascii="Times New Roman" w:hAnsi="Times New Roman" w:eastAsia="宋体" w:cs="Times New Roman"/>
                <w:sz w:val="24"/>
                <w:lang w:eastAsia="zh-CN" w:bidi="ar"/>
              </w:rPr>
              <w:t>波形钢护栏</w:t>
            </w:r>
          </w:p>
        </w:tc>
        <w:tc>
          <w:tcPr>
            <w:tcW w:w="3863" w:type="dxa"/>
            <w:vAlign w:val="center"/>
          </w:tcPr>
          <w:p>
            <w:pPr>
              <w:widowControl/>
              <w:spacing w:line="360" w:lineRule="exact"/>
              <w:ind w:firstLine="0" w:firstLineChars="0"/>
              <w:jc w:val="left"/>
              <w:textAlignment w:val="center"/>
              <w:rPr>
                <w:rFonts w:eastAsia="宋体"/>
                <w:sz w:val="24"/>
                <w:highlight w:val="yellow"/>
                <w:lang w:eastAsia="zh-CN" w:bidi="ar-SA"/>
              </w:rPr>
            </w:pPr>
            <w:r>
              <w:rPr>
                <w:rFonts w:hint="eastAsia" w:eastAsia="宋体"/>
                <w:sz w:val="24"/>
                <w:lang w:eastAsia="zh-CN" w:bidi="ar"/>
              </w:rPr>
              <w:t>本项</w:t>
            </w:r>
            <w:r>
              <w:rPr>
                <w:rFonts w:hint="eastAsia" w:ascii="Times New Roman" w:hAnsi="Times New Roman" w:eastAsia="宋体" w:cs="Times New Roman"/>
                <w:sz w:val="24"/>
                <w:lang w:val="en-US" w:eastAsia="zh-CN" w:bidi="ar"/>
              </w:rPr>
              <w:t>目</w:t>
            </w:r>
            <w:r>
              <w:rPr>
                <w:rFonts w:hint="eastAsia" w:ascii="Times New Roman" w:hAnsi="Times New Roman" w:eastAsia="宋体" w:cs="Times New Roman"/>
                <w:sz w:val="24"/>
                <w:lang w:eastAsia="zh-CN" w:bidi="ar"/>
              </w:rPr>
              <w:t>对金河镇新坪村村内两处水毁道路实施修复，新修混凝土挡土墙约250立方米，更换、安装波形钢护栏约52米。与申请、批复数量相符。</w:t>
            </w:r>
            <w:r>
              <w:rPr>
                <w:rFonts w:hint="eastAsia" w:eastAsia="宋体" w:cs="Times New Roman"/>
                <w:sz w:val="24"/>
                <w:lang w:val="en-US" w:eastAsia="zh-CN" w:bidi="ar"/>
              </w:rPr>
              <w:t>根据评分标准，</w:t>
            </w:r>
            <w:r>
              <w:rPr>
                <w:rFonts w:ascii="Times New Roman" w:hAnsi="Times New Roman" w:eastAsia="宋体" w:cs="Times New Roman"/>
                <w:sz w:val="24"/>
                <w:lang w:eastAsia="zh-CN" w:bidi="ar"/>
              </w:rPr>
              <w:t>该指标得</w:t>
            </w:r>
            <w:r>
              <w:rPr>
                <w:rFonts w:hint="eastAsia" w:ascii="Times New Roman" w:hAnsi="Times New Roman" w:eastAsia="宋体" w:cs="Times New Roman"/>
                <w:sz w:val="24"/>
                <w:lang w:eastAsia="zh-CN" w:bidi="ar"/>
              </w:rPr>
              <w:t>满分6</w:t>
            </w:r>
            <w:r>
              <w:rPr>
                <w:rFonts w:ascii="Times New Roman" w:hAnsi="Times New Roman" w:eastAsia="宋体" w:cs="Times New Roman"/>
                <w:sz w:val="24"/>
                <w:lang w:eastAsia="zh-CN" w:bidi="ar"/>
              </w:rPr>
              <w:t>.00分。</w:t>
            </w:r>
          </w:p>
        </w:tc>
        <w:tc>
          <w:tcPr>
            <w:tcW w:w="823"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6</w:t>
            </w:r>
          </w:p>
        </w:tc>
        <w:tc>
          <w:tcPr>
            <w:tcW w:w="1109"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3" w:type="dxa"/>
            <w:vMerge w:val="continue"/>
            <w:vAlign w:val="center"/>
          </w:tcPr>
          <w:p>
            <w:pPr>
              <w:widowControl/>
              <w:spacing w:line="360" w:lineRule="exact"/>
              <w:ind w:firstLine="0" w:firstLineChars="0"/>
              <w:jc w:val="center"/>
              <w:rPr>
                <w:rFonts w:eastAsia="宋体"/>
                <w:sz w:val="24"/>
                <w:lang w:eastAsia="zh-CN" w:bidi="ar-SA"/>
              </w:rPr>
            </w:pPr>
          </w:p>
        </w:tc>
        <w:tc>
          <w:tcPr>
            <w:tcW w:w="895" w:type="dxa"/>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C2产出质量（8分）</w:t>
            </w:r>
          </w:p>
        </w:tc>
        <w:tc>
          <w:tcPr>
            <w:tcW w:w="899"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C21</w:t>
            </w:r>
            <w:r>
              <w:rPr>
                <w:rFonts w:hint="eastAsia" w:eastAsia="宋体"/>
                <w:sz w:val="24"/>
                <w:lang w:eastAsia="zh-CN" w:bidi="ar"/>
              </w:rPr>
              <w:t>质量合格率</w:t>
            </w:r>
          </w:p>
        </w:tc>
        <w:tc>
          <w:tcPr>
            <w:tcW w:w="749" w:type="dxa"/>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8</w:t>
            </w:r>
          </w:p>
        </w:tc>
        <w:tc>
          <w:tcPr>
            <w:tcW w:w="3043" w:type="dxa"/>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ascii="Times New Roman" w:hAnsi="Times New Roman" w:eastAsia="宋体" w:cs="Times New Roman"/>
                <w:sz w:val="24"/>
                <w:lang w:eastAsia="zh-CN" w:bidi="ar"/>
              </w:rPr>
              <w:t>新修混凝土挡土墙</w:t>
            </w:r>
            <w:r>
              <w:rPr>
                <w:rFonts w:hint="eastAsia" w:eastAsia="宋体"/>
                <w:sz w:val="24"/>
                <w:lang w:eastAsia="zh-CN" w:bidi="ar"/>
              </w:rPr>
              <w:t>、</w:t>
            </w:r>
            <w:r>
              <w:rPr>
                <w:rFonts w:hint="eastAsia" w:ascii="Times New Roman" w:hAnsi="Times New Roman" w:eastAsia="宋体" w:cs="Times New Roman"/>
                <w:sz w:val="24"/>
                <w:lang w:eastAsia="zh-CN" w:bidi="ar"/>
              </w:rPr>
              <w:t>波形钢护栏</w:t>
            </w:r>
            <w:r>
              <w:rPr>
                <w:rFonts w:hint="eastAsia" w:eastAsia="宋体"/>
                <w:sz w:val="24"/>
                <w:lang w:eastAsia="zh-CN" w:bidi="ar"/>
              </w:rPr>
              <w:t>质量情况</w:t>
            </w:r>
            <w:r>
              <w:rPr>
                <w:rFonts w:eastAsia="宋体"/>
                <w:sz w:val="24"/>
                <w:lang w:eastAsia="zh-CN" w:bidi="ar"/>
              </w:rPr>
              <w:t>，用以反映和考核项目产出质量目标的实现程度。</w:t>
            </w:r>
          </w:p>
        </w:tc>
        <w:tc>
          <w:tcPr>
            <w:tcW w:w="2245" w:type="dxa"/>
            <w:vAlign w:val="center"/>
          </w:tcPr>
          <w:p>
            <w:pPr>
              <w:widowControl/>
              <w:spacing w:line="360" w:lineRule="exact"/>
              <w:ind w:firstLine="0" w:firstLineChars="0"/>
              <w:textAlignment w:val="center"/>
              <w:rPr>
                <w:rFonts w:eastAsia="宋体"/>
                <w:color w:val="auto"/>
                <w:sz w:val="24"/>
                <w:lang w:eastAsia="zh-CN" w:bidi="ar-SA"/>
              </w:rPr>
            </w:pPr>
            <w:r>
              <w:rPr>
                <w:rFonts w:hint="eastAsia" w:eastAsia="宋体"/>
                <w:color w:val="auto"/>
                <w:sz w:val="24"/>
                <w:lang w:eastAsia="zh-CN" w:bidi="ar-SA"/>
              </w:rPr>
              <w:t>是否经过业主方、施工方、监理方等相关单位的验收，验收是否合格。</w:t>
            </w:r>
          </w:p>
        </w:tc>
        <w:tc>
          <w:tcPr>
            <w:tcW w:w="3863" w:type="dxa"/>
            <w:vAlign w:val="center"/>
          </w:tcPr>
          <w:p>
            <w:pPr>
              <w:widowControl/>
              <w:spacing w:line="360" w:lineRule="exact"/>
              <w:ind w:firstLine="0" w:firstLineChars="0"/>
              <w:jc w:val="left"/>
              <w:textAlignment w:val="center"/>
              <w:rPr>
                <w:rFonts w:hint="eastAsia" w:ascii="Times New Roman" w:hAnsi="Times New Roman" w:eastAsia="宋体" w:cs="Times New Roman"/>
                <w:sz w:val="24"/>
                <w:lang w:eastAsia="zh-CN" w:bidi="ar"/>
              </w:rPr>
            </w:pPr>
            <w:r>
              <w:rPr>
                <w:rFonts w:hint="eastAsia" w:ascii="Times New Roman" w:hAnsi="Times New Roman" w:eastAsia="宋体" w:cs="Times New Roman"/>
                <w:sz w:val="24"/>
                <w:lang w:eastAsia="zh-CN" w:bidi="ar"/>
              </w:rPr>
              <w:t>2024年8月9日进场施工，2024年9月18日经施工、监理、建设、设计单位签字盖章确认后出具《乐山市金口河区金河镇新坪村村道水毁治理工程交工验收报告》，该工程完工验收为合格。根据评分标准，该指标得满分8.00分。</w:t>
            </w:r>
          </w:p>
        </w:tc>
        <w:tc>
          <w:tcPr>
            <w:tcW w:w="823" w:type="dxa"/>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8</w:t>
            </w:r>
          </w:p>
        </w:tc>
        <w:tc>
          <w:tcPr>
            <w:tcW w:w="1109" w:type="dxa"/>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100.00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3" w:type="dxa"/>
            <w:vMerge w:val="continue"/>
            <w:vAlign w:val="center"/>
          </w:tcPr>
          <w:p>
            <w:pPr>
              <w:widowControl/>
              <w:spacing w:line="360" w:lineRule="exact"/>
              <w:ind w:firstLine="0" w:firstLineChars="0"/>
              <w:jc w:val="center"/>
              <w:rPr>
                <w:rFonts w:eastAsia="宋体"/>
                <w:sz w:val="24"/>
                <w:lang w:eastAsia="zh-CN" w:bidi="ar-SA"/>
              </w:rPr>
            </w:pPr>
          </w:p>
        </w:tc>
        <w:tc>
          <w:tcPr>
            <w:tcW w:w="895" w:type="dxa"/>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C3产出时效（8分）</w:t>
            </w:r>
          </w:p>
        </w:tc>
        <w:tc>
          <w:tcPr>
            <w:tcW w:w="899" w:type="dxa"/>
            <w:shd w:val="clear" w:color="000000" w:fill="FFFFFF"/>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C31</w:t>
            </w:r>
            <w:r>
              <w:rPr>
                <w:rFonts w:hint="eastAsia" w:eastAsia="宋体"/>
                <w:sz w:val="24"/>
                <w:lang w:eastAsia="zh-CN" w:bidi="ar"/>
              </w:rPr>
              <w:t>建</w:t>
            </w:r>
            <w:r>
              <w:rPr>
                <w:rFonts w:hint="eastAsia" w:eastAsia="宋体"/>
                <w:sz w:val="24"/>
                <w:lang w:val="en-US" w:eastAsia="zh-CN" w:bidi="ar"/>
              </w:rPr>
              <w:t>设</w:t>
            </w:r>
            <w:r>
              <w:rPr>
                <w:rFonts w:hint="eastAsia" w:eastAsia="宋体"/>
                <w:sz w:val="24"/>
                <w:lang w:eastAsia="zh-CN" w:bidi="ar"/>
              </w:rPr>
              <w:t>完成时间</w:t>
            </w:r>
          </w:p>
        </w:tc>
        <w:tc>
          <w:tcPr>
            <w:tcW w:w="749"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eastAsia="zh-CN" w:bidi="ar-SA"/>
              </w:rPr>
              <w:t>8</w:t>
            </w:r>
          </w:p>
        </w:tc>
        <w:tc>
          <w:tcPr>
            <w:tcW w:w="3043" w:type="dxa"/>
            <w:shd w:val="clear" w:color="000000" w:fill="FFFFFF"/>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
              </w:rPr>
              <w:t>是否在批复时间内完成</w:t>
            </w:r>
            <w:r>
              <w:rPr>
                <w:rFonts w:hint="eastAsia" w:eastAsia="宋体"/>
                <w:sz w:val="24"/>
                <w:lang w:val="en-US" w:eastAsia="zh-CN" w:bidi="ar"/>
              </w:rPr>
              <w:t>建设</w:t>
            </w:r>
            <w:r>
              <w:rPr>
                <w:rFonts w:hint="eastAsia" w:eastAsia="宋体"/>
                <w:sz w:val="24"/>
                <w:lang w:eastAsia="zh-CN" w:bidi="ar"/>
              </w:rPr>
              <w:t>工程量</w:t>
            </w:r>
            <w:r>
              <w:rPr>
                <w:rFonts w:eastAsia="宋体"/>
                <w:sz w:val="24"/>
                <w:lang w:eastAsia="zh-CN" w:bidi="ar"/>
              </w:rPr>
              <w:t>，用以反映和考核项目产出</w:t>
            </w:r>
            <w:r>
              <w:rPr>
                <w:rFonts w:hint="eastAsia" w:eastAsia="宋体"/>
                <w:sz w:val="24"/>
                <w:lang w:eastAsia="zh-CN" w:bidi="ar"/>
              </w:rPr>
              <w:t>有</w:t>
            </w:r>
            <w:r>
              <w:rPr>
                <w:rFonts w:eastAsia="宋体"/>
                <w:sz w:val="24"/>
                <w:lang w:eastAsia="zh-CN" w:bidi="ar"/>
              </w:rPr>
              <w:t>效目标的实现程度。</w:t>
            </w:r>
          </w:p>
        </w:tc>
        <w:tc>
          <w:tcPr>
            <w:tcW w:w="2245" w:type="dxa"/>
            <w:shd w:val="clear" w:color="000000" w:fill="FFFFFF"/>
            <w:vAlign w:val="center"/>
          </w:tcPr>
          <w:p>
            <w:pPr>
              <w:widowControl/>
              <w:spacing w:line="360" w:lineRule="exact"/>
              <w:ind w:firstLine="0" w:firstLineChars="0"/>
              <w:textAlignment w:val="center"/>
              <w:rPr>
                <w:rFonts w:eastAsia="宋体"/>
                <w:color w:val="auto"/>
                <w:sz w:val="24"/>
                <w:lang w:eastAsia="zh-CN" w:bidi="ar-SA"/>
              </w:rPr>
            </w:pPr>
            <w:r>
              <w:rPr>
                <w:rFonts w:hint="eastAsia" w:eastAsia="宋体"/>
                <w:sz w:val="24"/>
                <w:lang w:eastAsia="zh-CN" w:bidi="ar"/>
              </w:rPr>
              <w:t>在批复时间内完成得满分，否则不得分</w:t>
            </w:r>
            <w:r>
              <w:rPr>
                <w:rFonts w:eastAsia="宋体"/>
                <w:sz w:val="24"/>
                <w:lang w:eastAsia="zh-CN" w:bidi="ar"/>
              </w:rPr>
              <w:t>。</w:t>
            </w:r>
          </w:p>
        </w:tc>
        <w:tc>
          <w:tcPr>
            <w:tcW w:w="3863" w:type="dxa"/>
            <w:shd w:val="clear" w:color="000000" w:fill="FFFFFF"/>
            <w:vAlign w:val="center"/>
          </w:tcPr>
          <w:p>
            <w:pPr>
              <w:widowControl/>
              <w:spacing w:line="360" w:lineRule="exact"/>
              <w:ind w:firstLine="0" w:firstLineChars="0"/>
              <w:jc w:val="left"/>
              <w:textAlignment w:val="center"/>
              <w:rPr>
                <w:rFonts w:eastAsia="宋体"/>
                <w:sz w:val="24"/>
                <w:highlight w:val="yellow"/>
                <w:lang w:eastAsia="zh-CN" w:bidi="ar-SA"/>
              </w:rPr>
            </w:pPr>
            <w:r>
              <w:rPr>
                <w:rFonts w:hint="eastAsia" w:eastAsia="宋体"/>
                <w:sz w:val="24"/>
                <w:lang w:val="en-US" w:eastAsia="zh-CN" w:bidi="ar"/>
              </w:rPr>
              <w:t>开工令显示项目于2024年8月19日开工，</w:t>
            </w:r>
            <w:r>
              <w:rPr>
                <w:rFonts w:hint="eastAsia" w:ascii="Times New Roman" w:hAnsi="Times New Roman" w:eastAsia="宋体" w:cs="Times New Roman"/>
                <w:sz w:val="24"/>
                <w:lang w:eastAsia="zh-CN" w:bidi="ar"/>
              </w:rPr>
              <w:t>2024年9月18日经施工、监理、建设、设计单位签字盖章确认后出具《乐山市金口河区金河镇新坪村村道水毁治理工程交工验收报告》。</w:t>
            </w:r>
            <w:r>
              <w:rPr>
                <w:rFonts w:hint="eastAsia" w:ascii="Times New Roman" w:hAnsi="Times New Roman" w:eastAsia="宋体" w:cs="Times New Roman"/>
                <w:sz w:val="24"/>
                <w:lang w:val="en-US" w:eastAsia="zh-CN" w:bidi="ar"/>
              </w:rPr>
              <w:t>根据</w:t>
            </w:r>
            <w:r>
              <w:rPr>
                <w:rFonts w:hint="eastAsia" w:ascii="Times New Roman" w:hAnsi="Times New Roman" w:eastAsia="宋体" w:cs="Times New Roman"/>
                <w:sz w:val="24"/>
                <w:lang w:eastAsia="zh-CN" w:bidi="ar"/>
              </w:rPr>
              <w:t>金和镇政府与招标代理机构四川恒鑫工程管理咨询有限公司</w:t>
            </w:r>
            <w:r>
              <w:rPr>
                <w:rFonts w:hint="eastAsia" w:ascii="Times New Roman" w:hAnsi="Times New Roman" w:eastAsia="宋体" w:cs="Times New Roman"/>
                <w:sz w:val="24"/>
                <w:lang w:eastAsia="zh-CN" w:bidi="ar"/>
              </w:rPr>
              <w:t>签订</w:t>
            </w:r>
            <w:r>
              <w:rPr>
                <w:rFonts w:hint="eastAsia" w:ascii="Times New Roman" w:hAnsi="Times New Roman" w:eastAsia="宋体" w:cs="Times New Roman"/>
                <w:sz w:val="24"/>
                <w:lang w:val="en-US" w:eastAsia="zh-CN" w:bidi="ar"/>
              </w:rPr>
              <w:t>的</w:t>
            </w:r>
            <w:r>
              <w:rPr>
                <w:rFonts w:hint="eastAsia" w:ascii="Times New Roman" w:hAnsi="Times New Roman" w:eastAsia="宋体" w:cs="Times New Roman"/>
                <w:sz w:val="24"/>
                <w:lang w:eastAsia="zh-CN" w:bidi="ar"/>
              </w:rPr>
              <w:t>《乐山市金口河区金河镇新坪村村道水毁治理工程施工合同》，</w:t>
            </w:r>
            <w:r>
              <w:rPr>
                <w:rFonts w:hint="eastAsia" w:ascii="Times New Roman" w:hAnsi="Times New Roman" w:eastAsia="宋体" w:cs="Times New Roman"/>
                <w:sz w:val="24"/>
                <w:lang w:val="en-US" w:eastAsia="zh-CN" w:bidi="ar"/>
              </w:rPr>
              <w:t>合同工期为30个日历天，由此可见，该</w:t>
            </w:r>
            <w:r>
              <w:rPr>
                <w:rFonts w:hint="eastAsia" w:eastAsia="宋体"/>
                <w:sz w:val="24"/>
                <w:lang w:val="en-US" w:eastAsia="zh-CN" w:bidi="ar"/>
              </w:rPr>
              <w:t>项目在规定时间内完成</w:t>
            </w:r>
            <w:r>
              <w:rPr>
                <w:rFonts w:hint="eastAsia" w:eastAsia="宋体"/>
                <w:sz w:val="24"/>
                <w:lang w:eastAsia="zh-CN" w:bidi="ar"/>
              </w:rPr>
              <w:t>。根据评分标准，该指标</w:t>
            </w:r>
            <w:r>
              <w:rPr>
                <w:rFonts w:hint="eastAsia" w:eastAsia="宋体"/>
                <w:sz w:val="24"/>
                <w:lang w:val="en-US" w:eastAsia="zh-CN" w:bidi="ar"/>
              </w:rPr>
              <w:t>得满分8.00</w:t>
            </w:r>
            <w:r>
              <w:rPr>
                <w:rFonts w:hint="eastAsia" w:eastAsia="宋体"/>
                <w:sz w:val="24"/>
                <w:lang w:eastAsia="zh-CN" w:bidi="ar"/>
              </w:rPr>
              <w:t>分</w:t>
            </w:r>
            <w:r>
              <w:rPr>
                <w:rFonts w:eastAsia="宋体"/>
                <w:sz w:val="24"/>
                <w:lang w:eastAsia="zh-CN" w:bidi="ar"/>
              </w:rPr>
              <w:t>。</w:t>
            </w:r>
          </w:p>
        </w:tc>
        <w:tc>
          <w:tcPr>
            <w:tcW w:w="823" w:type="dxa"/>
            <w:shd w:val="clear" w:color="000000" w:fill="FFFFFF"/>
            <w:vAlign w:val="center"/>
          </w:tcPr>
          <w:p>
            <w:pPr>
              <w:widowControl/>
              <w:spacing w:line="360" w:lineRule="exact"/>
              <w:ind w:firstLine="0" w:firstLineChars="0"/>
              <w:jc w:val="center"/>
              <w:textAlignment w:val="center"/>
              <w:rPr>
                <w:rFonts w:hint="default" w:eastAsia="宋体"/>
                <w:color w:val="auto"/>
                <w:sz w:val="24"/>
                <w:highlight w:val="yellow"/>
                <w:lang w:val="en-US" w:eastAsia="zh-CN" w:bidi="ar-SA"/>
              </w:rPr>
            </w:pPr>
            <w:r>
              <w:rPr>
                <w:rFonts w:hint="eastAsia" w:eastAsia="宋体"/>
                <w:color w:val="auto"/>
                <w:sz w:val="24"/>
                <w:highlight w:val="none"/>
                <w:lang w:val="en-US" w:eastAsia="zh-CN" w:bidi="ar-SA"/>
              </w:rPr>
              <w:t>8</w:t>
            </w:r>
          </w:p>
        </w:tc>
        <w:tc>
          <w:tcPr>
            <w:tcW w:w="1109" w:type="dxa"/>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10</w:t>
            </w:r>
            <w:r>
              <w:rPr>
                <w:rFonts w:eastAsia="宋体"/>
                <w:sz w:val="24"/>
                <w:lang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3" w:type="dxa"/>
            <w:vMerge w:val="continue"/>
            <w:vAlign w:val="center"/>
          </w:tcPr>
          <w:p>
            <w:pPr>
              <w:widowControl/>
              <w:spacing w:line="360" w:lineRule="exact"/>
              <w:ind w:firstLine="0" w:firstLineChars="0"/>
              <w:jc w:val="center"/>
              <w:rPr>
                <w:rFonts w:eastAsia="宋体"/>
                <w:sz w:val="24"/>
                <w:lang w:eastAsia="zh-CN" w:bidi="ar-SA"/>
              </w:rPr>
            </w:pPr>
          </w:p>
        </w:tc>
        <w:tc>
          <w:tcPr>
            <w:tcW w:w="895" w:type="dxa"/>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C4产出成本（8分）</w:t>
            </w:r>
          </w:p>
        </w:tc>
        <w:tc>
          <w:tcPr>
            <w:tcW w:w="899" w:type="dxa"/>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C41成本节约率</w:t>
            </w:r>
          </w:p>
        </w:tc>
        <w:tc>
          <w:tcPr>
            <w:tcW w:w="749"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8</w:t>
            </w:r>
          </w:p>
        </w:tc>
        <w:tc>
          <w:tcPr>
            <w:tcW w:w="3043" w:type="dxa"/>
            <w:shd w:val="clear" w:color="000000" w:fill="FFFFFF"/>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完成项目计划工作目标的实际节约成本与计划成本的比率，用以反映和考核项目的成本节约程度。成本节约率=[（计划成本-实际成本）/计划成本]×100%。</w:t>
            </w:r>
          </w:p>
        </w:tc>
        <w:tc>
          <w:tcPr>
            <w:tcW w:w="2245" w:type="dxa"/>
            <w:shd w:val="clear" w:color="000000" w:fill="FFFFFF"/>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成本节约率大于0%且低于1</w:t>
            </w:r>
            <w:r>
              <w:rPr>
                <w:rFonts w:hint="eastAsia" w:eastAsia="宋体"/>
                <w:sz w:val="24"/>
                <w:lang w:eastAsia="zh-CN" w:bidi="ar"/>
              </w:rPr>
              <w:t>0</w:t>
            </w:r>
            <w:r>
              <w:rPr>
                <w:rFonts w:eastAsia="宋体"/>
                <w:sz w:val="24"/>
                <w:lang w:eastAsia="zh-CN" w:bidi="ar"/>
              </w:rPr>
              <w:t>%，则得满分，每高于一个1</w:t>
            </w:r>
            <w:r>
              <w:rPr>
                <w:rFonts w:hint="eastAsia" w:eastAsia="宋体"/>
                <w:sz w:val="24"/>
                <w:lang w:eastAsia="zh-CN" w:bidi="ar"/>
              </w:rPr>
              <w:t>0</w:t>
            </w:r>
            <w:r>
              <w:rPr>
                <w:rFonts w:eastAsia="宋体"/>
                <w:sz w:val="24"/>
                <w:lang w:eastAsia="zh-CN" w:bidi="ar"/>
              </w:rPr>
              <w:t>%，扣除10%权重分，扣完为止，低于0%，不得分。</w:t>
            </w:r>
          </w:p>
        </w:tc>
        <w:tc>
          <w:tcPr>
            <w:tcW w:w="3863" w:type="dxa"/>
            <w:shd w:val="clear" w:color="000000" w:fill="FFFFFF"/>
            <w:vAlign w:val="center"/>
          </w:tcPr>
          <w:p>
            <w:pPr>
              <w:widowControl/>
              <w:spacing w:line="360" w:lineRule="exact"/>
              <w:ind w:firstLine="0" w:firstLineChars="0"/>
              <w:textAlignment w:val="center"/>
              <w:rPr>
                <w:rFonts w:eastAsia="宋体"/>
                <w:sz w:val="24"/>
                <w:lang w:eastAsia="zh-CN" w:bidi="ar-SA"/>
              </w:rPr>
            </w:pPr>
            <w:r>
              <w:rPr>
                <w:rFonts w:hint="eastAsia" w:eastAsia="宋体"/>
                <w:sz w:val="24"/>
                <w:lang w:eastAsia="zh-CN" w:bidi="ar"/>
              </w:rPr>
              <w:t>乐山市金口河区金</w:t>
            </w:r>
            <w:r>
              <w:rPr>
                <w:rFonts w:hint="eastAsia" w:eastAsia="宋体"/>
                <w:sz w:val="24"/>
                <w:highlight w:val="none"/>
                <w:lang w:eastAsia="zh-CN" w:bidi="ar"/>
              </w:rPr>
              <w:t>河镇新坪村村道水毁治理工程预算资金为21万元，实际到位21万元，截止绩效评价日实际支出196,607.43元，节约成本13,392.57元，成本节约率6.3</w:t>
            </w:r>
            <w:r>
              <w:rPr>
                <w:rFonts w:hint="eastAsia" w:eastAsia="宋体"/>
                <w:sz w:val="24"/>
                <w:lang w:eastAsia="zh-CN" w:bidi="ar"/>
              </w:rPr>
              <w:t>8</w:t>
            </w:r>
            <w:r>
              <w:rPr>
                <w:rFonts w:hint="eastAsia" w:eastAsia="宋体"/>
                <w:sz w:val="24"/>
                <w:lang w:val="en-US" w:eastAsia="zh-CN" w:bidi="ar"/>
              </w:rPr>
              <w:t>%</w:t>
            </w:r>
            <w:r>
              <w:rPr>
                <w:rFonts w:hint="eastAsia" w:eastAsia="宋体"/>
                <w:sz w:val="24"/>
                <w:lang w:eastAsia="zh-CN" w:bidi="ar"/>
              </w:rPr>
              <w:t>。根据评分标准，该指标得</w:t>
            </w:r>
            <w:r>
              <w:rPr>
                <w:rFonts w:hint="eastAsia" w:eastAsia="宋体"/>
                <w:sz w:val="24"/>
                <w:lang w:val="en-US" w:eastAsia="zh-CN" w:bidi="ar"/>
              </w:rPr>
              <w:t>满分8.00</w:t>
            </w:r>
            <w:r>
              <w:rPr>
                <w:rFonts w:hint="eastAsia" w:eastAsia="宋体"/>
                <w:sz w:val="24"/>
                <w:lang w:eastAsia="zh-CN" w:bidi="ar"/>
              </w:rPr>
              <w:t>分。</w:t>
            </w:r>
          </w:p>
        </w:tc>
        <w:tc>
          <w:tcPr>
            <w:tcW w:w="823"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8</w:t>
            </w:r>
          </w:p>
        </w:tc>
        <w:tc>
          <w:tcPr>
            <w:tcW w:w="1109" w:type="dxa"/>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w:t>
            </w:r>
            <w:r>
              <w:rPr>
                <w:rFonts w:eastAsia="宋体"/>
                <w:sz w:val="24"/>
                <w:lang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3" w:type="dxa"/>
            <w:vMerge w:val="restart"/>
            <w:shd w:val="clear" w:color="000000" w:fill="FFFFFF"/>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D效益（30分）　</w:t>
            </w:r>
          </w:p>
        </w:tc>
        <w:tc>
          <w:tcPr>
            <w:tcW w:w="895" w:type="dxa"/>
            <w:vMerge w:val="restart"/>
            <w:shd w:val="clear" w:color="000000" w:fill="FFFFFF"/>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D1社会效益（</w:t>
            </w:r>
            <w:r>
              <w:rPr>
                <w:rFonts w:hint="eastAsia" w:eastAsia="宋体"/>
                <w:sz w:val="24"/>
                <w:lang w:eastAsia="zh-CN" w:bidi="ar"/>
              </w:rPr>
              <w:t>8</w:t>
            </w:r>
            <w:r>
              <w:rPr>
                <w:rFonts w:eastAsia="宋体"/>
                <w:sz w:val="24"/>
                <w:lang w:eastAsia="zh-CN" w:bidi="ar"/>
              </w:rPr>
              <w:t>分）</w:t>
            </w:r>
          </w:p>
        </w:tc>
        <w:tc>
          <w:tcPr>
            <w:tcW w:w="899"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D11</w:t>
            </w:r>
            <w:r>
              <w:rPr>
                <w:rFonts w:hint="eastAsia" w:eastAsia="宋体"/>
                <w:sz w:val="24"/>
                <w:lang w:eastAsia="zh-CN" w:bidi="ar"/>
              </w:rPr>
              <w:t>提升村民生活安全感与幸福感</w:t>
            </w:r>
          </w:p>
        </w:tc>
        <w:tc>
          <w:tcPr>
            <w:tcW w:w="749"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3043" w:type="dxa"/>
            <w:shd w:val="clear" w:color="000000" w:fill="FFFFFF"/>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SA"/>
              </w:rPr>
              <w:t>是否有助于</w:t>
            </w:r>
            <w:r>
              <w:rPr>
                <w:rFonts w:hint="eastAsia" w:eastAsia="宋体"/>
                <w:sz w:val="24"/>
                <w:lang w:val="en-US" w:eastAsia="zh-CN" w:bidi="ar-SA"/>
              </w:rPr>
              <w:t>减少意外事故发生，提升村民生活幸福感</w:t>
            </w:r>
            <w:r>
              <w:rPr>
                <w:rFonts w:hint="eastAsia" w:eastAsia="宋体"/>
                <w:sz w:val="24"/>
                <w:lang w:eastAsia="zh-CN" w:bidi="ar-SA"/>
              </w:rPr>
              <w:t>。</w:t>
            </w:r>
          </w:p>
        </w:tc>
        <w:tc>
          <w:tcPr>
            <w:tcW w:w="2245" w:type="dxa"/>
            <w:shd w:val="clear" w:color="000000" w:fill="FFFFFF"/>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eastAsia="zh-CN" w:bidi="ar"/>
              </w:rPr>
              <w:t>提升村民生活安全感与幸福感</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eastAsia="zh-CN" w:bidi="ar-SA"/>
              </w:rPr>
              <w:t>2</w:t>
            </w:r>
            <w:r>
              <w:rPr>
                <w:rFonts w:eastAsia="宋体"/>
                <w:color w:val="auto"/>
                <w:sz w:val="24"/>
                <w:lang w:eastAsia="zh-CN" w:bidi="ar-SA"/>
              </w:rPr>
              <w:t>分</w:t>
            </w:r>
          </w:p>
          <w:p>
            <w:pPr>
              <w:widowControl/>
              <w:spacing w:line="360" w:lineRule="exact"/>
              <w:ind w:firstLine="0" w:firstLineChars="0"/>
              <w:jc w:val="left"/>
              <w:textAlignment w:val="center"/>
              <w:rPr>
                <w:rFonts w:eastAsia="宋体"/>
                <w:sz w:val="24"/>
                <w:lang w:eastAsia="zh-CN" w:bidi="ar"/>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63" w:type="dxa"/>
            <w:shd w:val="clear" w:color="000000" w:fill="FFFFFF"/>
            <w:vAlign w:val="center"/>
          </w:tcPr>
          <w:p>
            <w:pPr>
              <w:widowControl/>
              <w:spacing w:line="360" w:lineRule="exact"/>
              <w:ind w:firstLine="0" w:firstLineChars="0"/>
              <w:jc w:val="both"/>
              <w:textAlignment w:val="center"/>
              <w:rPr>
                <w:rFonts w:eastAsia="宋体"/>
                <w:sz w:val="24"/>
                <w:lang w:eastAsia="zh-CN" w:bidi="ar"/>
              </w:rPr>
            </w:pPr>
            <w:r>
              <w:rPr>
                <w:rFonts w:hint="eastAsia" w:eastAsia="宋体"/>
                <w:sz w:val="24"/>
                <w:lang w:eastAsia="zh-CN" w:bidi="ar"/>
              </w:rPr>
              <w:t>修复后的村道消除了因水毁导致的路面塌陷、泥泞难行等安全隐患，保障村民日常出行（尤其是老人、儿童）和紧急情况下（如就医、避险）的通行安全，减少意外事故发生，让村民生活更安心。通行条件改善后，村民购物、探亲、参与公共活动更便捷，间接提升生活满意度和幸福感。根据评分标准，该指标评定为良，得3.00分。</w:t>
            </w:r>
          </w:p>
        </w:tc>
        <w:tc>
          <w:tcPr>
            <w:tcW w:w="823"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eastAsia="zh-CN" w:bidi="ar-SA"/>
              </w:rPr>
              <w:t>3</w:t>
            </w:r>
          </w:p>
        </w:tc>
        <w:tc>
          <w:tcPr>
            <w:tcW w:w="1109"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75</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3" w:type="dxa"/>
            <w:vMerge w:val="continue"/>
            <w:shd w:val="clear" w:color="000000" w:fill="FFFFFF"/>
            <w:vAlign w:val="center"/>
          </w:tcPr>
          <w:p>
            <w:pPr>
              <w:widowControl/>
              <w:spacing w:line="360" w:lineRule="exact"/>
              <w:ind w:firstLine="0" w:firstLineChars="0"/>
              <w:jc w:val="center"/>
              <w:textAlignment w:val="center"/>
              <w:rPr>
                <w:rFonts w:eastAsia="宋体"/>
                <w:sz w:val="24"/>
                <w:lang w:eastAsia="zh-CN" w:bidi="ar"/>
              </w:rPr>
            </w:pPr>
          </w:p>
        </w:tc>
        <w:tc>
          <w:tcPr>
            <w:tcW w:w="895" w:type="dxa"/>
            <w:vMerge w:val="continue"/>
            <w:shd w:val="clear" w:color="000000" w:fill="FFFFFF"/>
            <w:vAlign w:val="center"/>
          </w:tcPr>
          <w:p>
            <w:pPr>
              <w:widowControl/>
              <w:spacing w:line="360" w:lineRule="exact"/>
              <w:ind w:firstLine="0" w:firstLineChars="0"/>
              <w:jc w:val="center"/>
              <w:textAlignment w:val="center"/>
              <w:rPr>
                <w:rFonts w:eastAsia="宋体"/>
                <w:sz w:val="24"/>
                <w:lang w:eastAsia="zh-CN" w:bidi="ar"/>
              </w:rPr>
            </w:pPr>
          </w:p>
        </w:tc>
        <w:tc>
          <w:tcPr>
            <w:tcW w:w="899" w:type="dxa"/>
            <w:shd w:val="clear" w:color="000000" w:fill="FFFFFF"/>
            <w:vAlign w:val="center"/>
          </w:tcPr>
          <w:p>
            <w:pPr>
              <w:widowControl/>
              <w:spacing w:line="360" w:lineRule="exact"/>
              <w:ind w:firstLine="0" w:firstLineChars="0"/>
              <w:jc w:val="center"/>
              <w:textAlignment w:val="center"/>
              <w:rPr>
                <w:rFonts w:eastAsia="宋体"/>
                <w:sz w:val="24"/>
                <w:lang w:eastAsia="zh-CN" w:bidi="ar"/>
              </w:rPr>
            </w:pPr>
            <w:r>
              <w:rPr>
                <w:rFonts w:hint="eastAsia" w:eastAsia="宋体"/>
                <w:sz w:val="24"/>
                <w:lang w:eastAsia="zh-CN" w:bidi="ar"/>
              </w:rPr>
              <w:t>D12增强乡村社会凝聚力</w:t>
            </w:r>
          </w:p>
        </w:tc>
        <w:tc>
          <w:tcPr>
            <w:tcW w:w="749" w:type="dxa"/>
            <w:shd w:val="clear" w:color="000000" w:fill="FFFFFF"/>
            <w:vAlign w:val="center"/>
          </w:tcPr>
          <w:p>
            <w:pPr>
              <w:widowControl/>
              <w:spacing w:line="360" w:lineRule="exact"/>
              <w:ind w:firstLine="0" w:firstLineChars="0"/>
              <w:jc w:val="center"/>
              <w:textAlignment w:val="center"/>
              <w:rPr>
                <w:rFonts w:eastAsia="宋体"/>
                <w:sz w:val="24"/>
                <w:lang w:eastAsia="zh-CN" w:bidi="ar"/>
              </w:rPr>
            </w:pPr>
            <w:r>
              <w:rPr>
                <w:rFonts w:hint="eastAsia" w:eastAsia="宋体"/>
                <w:sz w:val="24"/>
                <w:lang w:eastAsia="zh-CN" w:bidi="ar"/>
              </w:rPr>
              <w:t>4</w:t>
            </w:r>
          </w:p>
        </w:tc>
        <w:tc>
          <w:tcPr>
            <w:tcW w:w="3043" w:type="dxa"/>
            <w:shd w:val="clear" w:color="000000" w:fill="FFFFFF"/>
            <w:vAlign w:val="center"/>
          </w:tcPr>
          <w:p>
            <w:pPr>
              <w:widowControl/>
              <w:spacing w:line="360" w:lineRule="exact"/>
              <w:ind w:firstLine="0" w:firstLineChars="0"/>
              <w:textAlignment w:val="center"/>
              <w:rPr>
                <w:rFonts w:eastAsia="宋体"/>
                <w:sz w:val="24"/>
                <w:lang w:eastAsia="zh-CN" w:bidi="ar"/>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SA"/>
              </w:rPr>
              <w:t>是否有助于</w:t>
            </w:r>
            <w:r>
              <w:rPr>
                <w:rFonts w:hint="eastAsia" w:eastAsia="宋体"/>
                <w:sz w:val="24"/>
                <w:lang w:eastAsia="zh-CN" w:bidi="ar"/>
              </w:rPr>
              <w:t>有助于增强村民对集体事务的参与感和归属感，强化乡村社会联系</w:t>
            </w:r>
            <w:r>
              <w:rPr>
                <w:rFonts w:hint="eastAsia" w:eastAsia="宋体"/>
                <w:sz w:val="24"/>
                <w:lang w:eastAsia="zh-CN" w:bidi="ar-SA"/>
              </w:rPr>
              <w:t>。</w:t>
            </w:r>
          </w:p>
        </w:tc>
        <w:tc>
          <w:tcPr>
            <w:tcW w:w="2245" w:type="dxa"/>
            <w:shd w:val="clear" w:color="000000" w:fill="FFFFFF"/>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eastAsia="zh-CN" w:bidi="ar"/>
              </w:rPr>
              <w:t>增强乡村社会凝聚力</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eastAsia="zh-CN" w:bidi="ar-SA"/>
              </w:rPr>
              <w:t>2</w:t>
            </w:r>
            <w:r>
              <w:rPr>
                <w:rFonts w:eastAsia="宋体"/>
                <w:color w:val="auto"/>
                <w:sz w:val="24"/>
                <w:lang w:eastAsia="zh-CN" w:bidi="ar-SA"/>
              </w:rPr>
              <w:t>分</w:t>
            </w:r>
          </w:p>
          <w:p>
            <w:pPr>
              <w:widowControl/>
              <w:spacing w:line="360" w:lineRule="exact"/>
              <w:ind w:firstLine="0" w:firstLineChars="0"/>
              <w:jc w:val="left"/>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63" w:type="dxa"/>
            <w:shd w:val="clear" w:color="000000" w:fill="FFFFFF"/>
            <w:vAlign w:val="center"/>
          </w:tcPr>
          <w:p>
            <w:pPr>
              <w:widowControl/>
              <w:spacing w:line="360" w:lineRule="exact"/>
              <w:ind w:firstLine="0" w:firstLineChars="0"/>
              <w:jc w:val="left"/>
              <w:textAlignment w:val="center"/>
              <w:rPr>
                <w:rFonts w:eastAsia="宋体"/>
                <w:sz w:val="24"/>
                <w:lang w:eastAsia="zh-CN" w:bidi="ar"/>
              </w:rPr>
            </w:pPr>
            <w:r>
              <w:rPr>
                <w:rFonts w:hint="eastAsia" w:eastAsia="宋体"/>
                <w:sz w:val="24"/>
                <w:lang w:eastAsia="zh-CN" w:bidi="ar"/>
              </w:rPr>
              <w:t>道路修复过程中，涉及村民配合、集体协调等，有助于增强村民对集体事务的参与感和归属感。畅通的交通便于村民间的互动交流，促进邻里关系和谐，强化乡村社会联系。根据评分标准，该指标评定为</w:t>
            </w:r>
            <w:r>
              <w:rPr>
                <w:rFonts w:hint="eastAsia" w:eastAsia="宋体"/>
                <w:sz w:val="24"/>
                <w:lang w:val="en-US" w:eastAsia="zh-CN" w:bidi="ar"/>
              </w:rPr>
              <w:t>中</w:t>
            </w:r>
            <w:r>
              <w:rPr>
                <w:rFonts w:hint="eastAsia" w:eastAsia="宋体"/>
                <w:sz w:val="24"/>
                <w:lang w:eastAsia="zh-CN" w:bidi="ar"/>
              </w:rPr>
              <w:t>，得</w:t>
            </w:r>
            <w:r>
              <w:rPr>
                <w:rFonts w:hint="eastAsia" w:eastAsia="宋体"/>
                <w:sz w:val="24"/>
                <w:lang w:val="en-US" w:eastAsia="zh-CN" w:bidi="ar"/>
              </w:rPr>
              <w:t>2</w:t>
            </w:r>
            <w:r>
              <w:rPr>
                <w:rFonts w:hint="eastAsia" w:eastAsia="宋体"/>
                <w:sz w:val="24"/>
                <w:lang w:eastAsia="zh-CN" w:bidi="ar"/>
              </w:rPr>
              <w:t>.00分。</w:t>
            </w:r>
          </w:p>
        </w:tc>
        <w:tc>
          <w:tcPr>
            <w:tcW w:w="823"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val="en-US" w:eastAsia="zh-CN" w:bidi="ar-SA"/>
              </w:rPr>
              <w:t>2</w:t>
            </w:r>
          </w:p>
        </w:tc>
        <w:tc>
          <w:tcPr>
            <w:tcW w:w="1109" w:type="dxa"/>
            <w:shd w:val="clear" w:color="000000" w:fill="FFFFFF"/>
            <w:vAlign w:val="center"/>
          </w:tcPr>
          <w:p>
            <w:pPr>
              <w:widowControl/>
              <w:spacing w:line="360" w:lineRule="exact"/>
              <w:ind w:firstLine="0" w:firstLineChars="0"/>
              <w:jc w:val="center"/>
              <w:textAlignment w:val="center"/>
              <w:rPr>
                <w:rFonts w:eastAsia="宋体"/>
                <w:sz w:val="24"/>
                <w:lang w:eastAsia="zh-CN" w:bidi="ar"/>
              </w:rPr>
            </w:pPr>
            <w:r>
              <w:rPr>
                <w:rFonts w:hint="eastAsia" w:eastAsia="宋体"/>
                <w:sz w:val="24"/>
                <w:lang w:eastAsia="zh-CN" w:bidi="ar"/>
              </w:rPr>
              <w:t>5</w:t>
            </w:r>
            <w:r>
              <w:rPr>
                <w:rFonts w:hint="eastAsia" w:eastAsia="宋体"/>
                <w:sz w:val="24"/>
                <w:lang w:val="en-US" w:eastAsia="zh-CN" w:bidi="ar"/>
              </w:rPr>
              <w:t>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3" w:type="dxa"/>
            <w:vMerge w:val="continue"/>
            <w:shd w:val="clear" w:color="000000" w:fill="FFFFFF"/>
            <w:vAlign w:val="center"/>
          </w:tcPr>
          <w:p>
            <w:pPr>
              <w:widowControl/>
              <w:spacing w:line="360" w:lineRule="exact"/>
              <w:ind w:firstLine="0" w:firstLineChars="0"/>
              <w:jc w:val="center"/>
              <w:textAlignment w:val="center"/>
              <w:rPr>
                <w:rFonts w:eastAsia="宋体"/>
                <w:sz w:val="24"/>
                <w:lang w:eastAsia="zh-CN" w:bidi="ar"/>
              </w:rPr>
            </w:pPr>
          </w:p>
        </w:tc>
        <w:tc>
          <w:tcPr>
            <w:tcW w:w="895" w:type="dxa"/>
            <w:vMerge w:val="restart"/>
            <w:shd w:val="clear" w:color="000000" w:fill="FFFFFF"/>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D2经济效益（</w:t>
            </w:r>
            <w:r>
              <w:rPr>
                <w:rFonts w:hint="eastAsia" w:eastAsia="宋体"/>
                <w:sz w:val="24"/>
                <w:lang w:val="en-US" w:eastAsia="zh-CN" w:bidi="ar"/>
              </w:rPr>
              <w:t>8</w:t>
            </w:r>
            <w:r>
              <w:rPr>
                <w:rFonts w:eastAsia="宋体"/>
                <w:sz w:val="24"/>
                <w:lang w:eastAsia="zh-CN" w:bidi="ar"/>
              </w:rPr>
              <w:t>分）</w:t>
            </w:r>
          </w:p>
        </w:tc>
        <w:tc>
          <w:tcPr>
            <w:tcW w:w="899" w:type="dxa"/>
            <w:shd w:val="clear" w:color="000000" w:fill="FFFFFF"/>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D21降低生产生活成本</w:t>
            </w:r>
          </w:p>
        </w:tc>
        <w:tc>
          <w:tcPr>
            <w:tcW w:w="749" w:type="dxa"/>
            <w:shd w:val="clear" w:color="000000" w:fill="FFFFFF"/>
            <w:vAlign w:val="center"/>
          </w:tcPr>
          <w:p>
            <w:pPr>
              <w:widowControl/>
              <w:spacing w:line="360" w:lineRule="exact"/>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eastAsia="宋体"/>
                <w:sz w:val="24"/>
                <w:lang w:eastAsia="zh-CN" w:bidi="ar"/>
              </w:rPr>
              <w:t>4</w:t>
            </w:r>
          </w:p>
        </w:tc>
        <w:tc>
          <w:tcPr>
            <w:tcW w:w="3043" w:type="dxa"/>
            <w:shd w:val="clear" w:color="000000" w:fill="FFFFFF"/>
            <w:vAlign w:val="center"/>
          </w:tcPr>
          <w:p>
            <w:pPr>
              <w:widowControl/>
              <w:spacing w:line="360" w:lineRule="exact"/>
              <w:ind w:firstLine="0" w:firstLineChars="0"/>
              <w:textAlignment w:val="center"/>
              <w:rPr>
                <w:rFonts w:ascii="Times New Roman" w:hAnsi="Times New Roman" w:eastAsia="宋体" w:cs="Times New Roman"/>
                <w:color w:val="000000"/>
                <w:kern w:val="0"/>
                <w:sz w:val="24"/>
                <w:szCs w:val="24"/>
                <w:lang w:val="en-US" w:eastAsia="zh-CN" w:bidi="ar"/>
              </w:rPr>
            </w:pPr>
            <w:r>
              <w:rPr>
                <w:rFonts w:eastAsia="宋体"/>
                <w:sz w:val="24"/>
                <w:lang w:eastAsia="zh-CN" w:bidi="ar"/>
              </w:rPr>
              <w:t>评价要点：</w:t>
            </w:r>
            <w:r>
              <w:rPr>
                <w:rFonts w:eastAsia="宋体"/>
                <w:sz w:val="24"/>
                <w:lang w:eastAsia="zh-CN" w:bidi="ar"/>
              </w:rPr>
              <w:br w:type="textWrapping"/>
            </w:r>
            <w:r>
              <w:rPr>
                <w:rFonts w:hint="eastAsia" w:eastAsia="宋体"/>
                <w:sz w:val="24"/>
                <w:lang w:val="en-US" w:eastAsia="zh-CN" w:bidi="ar"/>
              </w:rPr>
              <w:t>是否有利有农业生产增收、减少村民日常支出</w:t>
            </w:r>
            <w:r>
              <w:rPr>
                <w:rFonts w:hint="eastAsia" w:eastAsia="宋体"/>
                <w:sz w:val="24"/>
                <w:lang w:eastAsia="zh-CN" w:bidi="ar-SA"/>
              </w:rPr>
              <w:t>。</w:t>
            </w:r>
          </w:p>
        </w:tc>
        <w:tc>
          <w:tcPr>
            <w:tcW w:w="2245" w:type="dxa"/>
            <w:shd w:val="clear" w:color="000000" w:fill="FFFFFF"/>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val="en-US" w:eastAsia="zh-CN" w:bidi="ar"/>
              </w:rPr>
              <w:t>降低生产生活成本</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eastAsia="zh-CN" w:bidi="ar-SA"/>
              </w:rPr>
              <w:t>2</w:t>
            </w:r>
            <w:r>
              <w:rPr>
                <w:rFonts w:eastAsia="宋体"/>
                <w:color w:val="auto"/>
                <w:sz w:val="24"/>
                <w:lang w:eastAsia="zh-CN" w:bidi="ar-SA"/>
              </w:rPr>
              <w:t>分</w:t>
            </w:r>
          </w:p>
          <w:p>
            <w:pPr>
              <w:widowControl/>
              <w:spacing w:line="360" w:lineRule="exact"/>
              <w:ind w:firstLine="0" w:firstLineChars="0"/>
              <w:jc w:val="left"/>
              <w:textAlignment w:val="center"/>
              <w:rPr>
                <w:rFonts w:ascii="Times New Roman" w:hAnsi="Times New Roman" w:eastAsia="宋体" w:cs="Times New Roman"/>
                <w:color w:val="auto"/>
                <w:kern w:val="0"/>
                <w:sz w:val="24"/>
                <w:szCs w:val="24"/>
                <w:lang w:val="en-US"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63" w:type="dxa"/>
            <w:shd w:val="clear" w:color="000000" w:fill="FFFFFF"/>
            <w:vAlign w:val="center"/>
          </w:tcPr>
          <w:p>
            <w:pPr>
              <w:widowControl/>
              <w:spacing w:line="360" w:lineRule="exact"/>
              <w:ind w:firstLine="0" w:firstLineChars="0"/>
              <w:jc w:val="left"/>
              <w:textAlignment w:val="center"/>
              <w:rPr>
                <w:rFonts w:hint="default" w:eastAsia="宋体"/>
                <w:sz w:val="24"/>
                <w:lang w:val="en-US" w:eastAsia="zh-CN" w:bidi="ar"/>
              </w:rPr>
            </w:pPr>
            <w:r>
              <w:rPr>
                <w:rFonts w:hint="eastAsia" w:eastAsia="宋体"/>
                <w:sz w:val="24"/>
                <w:lang w:eastAsia="zh-CN" w:bidi="ar"/>
              </w:rPr>
              <w:t>修复后的村道便于农资（化肥、种子等）运输进村，降低运输成本；同时，农产品（如蔬果、畜禽）能更快捷地运出销售，减少因道路不畅导致的损耗（如变质、延误上市），提升农产品流通效率和收益。村民出行、车辆通行不再受水毁路段阻碍，减少车辆维修（如因颠簸、泥泞造成的损耗）和时间成本，间接降低生活开支。</w:t>
            </w:r>
            <w:r>
              <w:rPr>
                <w:rFonts w:eastAsia="宋体"/>
                <w:sz w:val="24"/>
                <w:lang w:eastAsia="zh-CN" w:bidi="ar"/>
              </w:rPr>
              <w:t>根据评分标准，</w:t>
            </w:r>
            <w:r>
              <w:rPr>
                <w:rFonts w:hint="eastAsia" w:eastAsia="宋体"/>
                <w:sz w:val="24"/>
                <w:lang w:eastAsia="zh-CN" w:bidi="ar"/>
              </w:rPr>
              <w:t>该指标评定为良，得3.00分。</w:t>
            </w:r>
          </w:p>
        </w:tc>
        <w:tc>
          <w:tcPr>
            <w:tcW w:w="823" w:type="dxa"/>
            <w:shd w:val="clear" w:color="000000" w:fill="FFFFFF"/>
            <w:vAlign w:val="center"/>
          </w:tcPr>
          <w:p>
            <w:pPr>
              <w:widowControl/>
              <w:spacing w:line="360" w:lineRule="exact"/>
              <w:ind w:firstLine="0" w:firstLineChars="0"/>
              <w:jc w:val="center"/>
              <w:textAlignment w:val="center"/>
              <w:rPr>
                <w:rFonts w:hint="eastAsia" w:ascii="Times New Roman" w:hAnsi="Times New Roman" w:eastAsia="宋体" w:cs="Times New Roman"/>
                <w:color w:val="auto"/>
                <w:kern w:val="0"/>
                <w:sz w:val="24"/>
                <w:szCs w:val="24"/>
                <w:lang w:val="en-US" w:eastAsia="zh-CN" w:bidi="ar-SA"/>
              </w:rPr>
            </w:pPr>
            <w:r>
              <w:rPr>
                <w:rFonts w:hint="eastAsia" w:eastAsia="宋体"/>
                <w:color w:val="auto"/>
                <w:sz w:val="24"/>
                <w:lang w:eastAsia="zh-CN" w:bidi="ar-SA"/>
              </w:rPr>
              <w:t>3</w:t>
            </w:r>
          </w:p>
        </w:tc>
        <w:tc>
          <w:tcPr>
            <w:tcW w:w="1109" w:type="dxa"/>
            <w:shd w:val="clear" w:color="000000" w:fill="FFFFFF"/>
            <w:vAlign w:val="center"/>
          </w:tcPr>
          <w:p>
            <w:pPr>
              <w:widowControl/>
              <w:spacing w:line="360" w:lineRule="exact"/>
              <w:ind w:firstLine="0" w:firstLineChars="0"/>
              <w:jc w:val="center"/>
              <w:textAlignment w:val="center"/>
              <w:rPr>
                <w:rFonts w:hint="eastAsia" w:ascii="Times New Roman" w:hAnsi="Times New Roman" w:eastAsia="宋体" w:cs="Times New Roman"/>
                <w:color w:val="auto"/>
                <w:kern w:val="0"/>
                <w:sz w:val="24"/>
                <w:szCs w:val="24"/>
                <w:lang w:val="en-US" w:eastAsia="zh-CN" w:bidi="ar-SA"/>
              </w:rPr>
            </w:pPr>
            <w:r>
              <w:rPr>
                <w:rFonts w:hint="eastAsia" w:eastAsia="宋体"/>
                <w:sz w:val="24"/>
                <w:lang w:eastAsia="zh-CN" w:bidi="ar"/>
              </w:rPr>
              <w:t>75.00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3" w:type="dxa"/>
            <w:vMerge w:val="continue"/>
            <w:vAlign w:val="center"/>
          </w:tcPr>
          <w:p>
            <w:pPr>
              <w:widowControl/>
              <w:spacing w:line="360" w:lineRule="exact"/>
              <w:ind w:firstLine="0" w:firstLineChars="0"/>
              <w:jc w:val="center"/>
              <w:rPr>
                <w:rFonts w:eastAsia="宋体"/>
                <w:sz w:val="24"/>
                <w:lang w:eastAsia="zh-CN" w:bidi="ar-SA"/>
              </w:rPr>
            </w:pPr>
          </w:p>
        </w:tc>
        <w:tc>
          <w:tcPr>
            <w:tcW w:w="895" w:type="dxa"/>
            <w:vMerge w:val="continue"/>
            <w:vAlign w:val="center"/>
          </w:tcPr>
          <w:p>
            <w:pPr>
              <w:widowControl/>
              <w:spacing w:line="360" w:lineRule="exact"/>
              <w:ind w:firstLine="0" w:firstLineChars="0"/>
              <w:jc w:val="left"/>
              <w:textAlignment w:val="center"/>
              <w:rPr>
                <w:rFonts w:eastAsia="宋体"/>
                <w:sz w:val="24"/>
                <w:lang w:eastAsia="zh-CN" w:bidi="ar-SA"/>
              </w:rPr>
            </w:pPr>
          </w:p>
        </w:tc>
        <w:tc>
          <w:tcPr>
            <w:tcW w:w="899" w:type="dxa"/>
            <w:shd w:val="clear" w:color="000000" w:fill="FFFFFF"/>
            <w:vAlign w:val="center"/>
          </w:tcPr>
          <w:p>
            <w:pPr>
              <w:widowControl/>
              <w:spacing w:line="360" w:lineRule="exact"/>
              <w:ind w:firstLine="0" w:firstLineChars="0"/>
              <w:jc w:val="center"/>
              <w:textAlignment w:val="center"/>
              <w:rPr>
                <w:rFonts w:eastAsia="宋体"/>
                <w:sz w:val="24"/>
                <w:lang w:eastAsia="zh-CN" w:bidi="ar"/>
              </w:rPr>
            </w:pPr>
            <w:r>
              <w:rPr>
                <w:rFonts w:hint="eastAsia" w:eastAsia="宋体"/>
                <w:sz w:val="24"/>
                <w:lang w:eastAsia="zh-CN" w:bidi="ar"/>
              </w:rPr>
              <w:t>D</w:t>
            </w:r>
            <w:r>
              <w:rPr>
                <w:rFonts w:eastAsia="宋体"/>
                <w:sz w:val="24"/>
                <w:lang w:eastAsia="zh-CN" w:bidi="ar"/>
              </w:rPr>
              <w:t>2</w:t>
            </w:r>
            <w:r>
              <w:rPr>
                <w:rFonts w:hint="eastAsia" w:eastAsia="宋体"/>
                <w:sz w:val="24"/>
                <w:lang w:val="en-US" w:eastAsia="zh-CN" w:bidi="ar"/>
              </w:rPr>
              <w:t>2</w:t>
            </w:r>
            <w:r>
              <w:rPr>
                <w:rFonts w:hint="eastAsia" w:eastAsia="宋体"/>
                <w:sz w:val="24"/>
                <w:lang w:eastAsia="zh-CN" w:bidi="ar"/>
              </w:rPr>
              <w:t>激活乡村产业发展潜力</w:t>
            </w:r>
          </w:p>
        </w:tc>
        <w:tc>
          <w:tcPr>
            <w:tcW w:w="749"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eastAsia="zh-CN" w:bidi="ar-SA"/>
              </w:rPr>
              <w:t>4</w:t>
            </w:r>
          </w:p>
        </w:tc>
        <w:tc>
          <w:tcPr>
            <w:tcW w:w="3043" w:type="dxa"/>
            <w:shd w:val="clear" w:color="000000" w:fill="FFFFFF"/>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SA"/>
              </w:rPr>
              <w:t>是否有利于促进</w:t>
            </w:r>
            <w:r>
              <w:rPr>
                <w:rFonts w:hint="eastAsia" w:eastAsia="宋体"/>
                <w:sz w:val="24"/>
                <w:lang w:val="en-US" w:eastAsia="zh-CN" w:bidi="ar-SA"/>
              </w:rPr>
              <w:t>壮大</w:t>
            </w:r>
            <w:r>
              <w:rPr>
                <w:rFonts w:hint="eastAsia" w:eastAsia="宋体"/>
                <w:sz w:val="24"/>
                <w:lang w:eastAsia="zh-CN" w:bidi="ar-SA"/>
              </w:rPr>
              <w:t>特色产业，带动乡村旅游新业态。</w:t>
            </w:r>
          </w:p>
        </w:tc>
        <w:tc>
          <w:tcPr>
            <w:tcW w:w="2245" w:type="dxa"/>
            <w:shd w:val="clear" w:color="000000" w:fill="FFFFFF"/>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eastAsia="zh-CN" w:bidi="ar"/>
              </w:rPr>
              <w:t>激活乡村产业发展潜力</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eastAsia="zh-CN" w:bidi="ar-SA"/>
              </w:rPr>
              <w:t>2</w:t>
            </w:r>
            <w:r>
              <w:rPr>
                <w:rFonts w:eastAsia="宋体"/>
                <w:color w:val="auto"/>
                <w:sz w:val="24"/>
                <w:lang w:eastAsia="zh-CN" w:bidi="ar-SA"/>
              </w:rPr>
              <w:t>分</w:t>
            </w:r>
          </w:p>
          <w:p>
            <w:pPr>
              <w:widowControl/>
              <w:spacing w:line="360" w:lineRule="exact"/>
              <w:ind w:firstLine="0" w:firstLineChars="0"/>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63" w:type="dxa"/>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eastAsia="zh-CN" w:bidi="ar"/>
              </w:rPr>
              <w:t>畅通的道路为乡村种植、养殖、手工艺等特色产业提供基础交通保障，便于扩大生产规模，吸引外来订单、引入合作企业，形成规模化效益。改善交通条件</w:t>
            </w:r>
            <w:r>
              <w:rPr>
                <w:rFonts w:hint="eastAsia" w:eastAsia="宋体"/>
                <w:sz w:val="24"/>
                <w:lang w:val="en-US" w:eastAsia="zh-CN" w:bidi="ar"/>
              </w:rPr>
              <w:t>后</w:t>
            </w:r>
            <w:r>
              <w:rPr>
                <w:rFonts w:hint="eastAsia" w:eastAsia="宋体"/>
                <w:sz w:val="24"/>
                <w:lang w:eastAsia="zh-CN" w:bidi="ar"/>
              </w:rPr>
              <w:t>吸引更多游客，带动餐饮、住宿、农产品零售等关联产业发展，增加村民多元收入。</w:t>
            </w:r>
            <w:r>
              <w:rPr>
                <w:rFonts w:eastAsia="宋体"/>
                <w:sz w:val="24"/>
                <w:lang w:eastAsia="zh-CN" w:bidi="ar"/>
              </w:rPr>
              <w:t>根据评分标准，该指标</w:t>
            </w:r>
            <w:r>
              <w:rPr>
                <w:rFonts w:hint="eastAsia" w:eastAsia="宋体"/>
                <w:sz w:val="24"/>
                <w:lang w:eastAsia="zh-CN" w:bidi="ar"/>
              </w:rPr>
              <w:t>评定为良，得</w:t>
            </w:r>
            <w:r>
              <w:rPr>
                <w:rFonts w:hint="eastAsia" w:eastAsia="宋体"/>
                <w:sz w:val="24"/>
                <w:lang w:val="en-US" w:eastAsia="zh-CN" w:bidi="ar"/>
              </w:rPr>
              <w:t>3</w:t>
            </w:r>
            <w:r>
              <w:rPr>
                <w:rFonts w:hint="eastAsia" w:eastAsia="宋体"/>
                <w:sz w:val="24"/>
                <w:lang w:eastAsia="zh-CN" w:bidi="ar"/>
              </w:rPr>
              <w:t>.00</w:t>
            </w:r>
            <w:r>
              <w:rPr>
                <w:rFonts w:eastAsia="宋体"/>
                <w:sz w:val="24"/>
                <w:lang w:eastAsia="zh-CN" w:bidi="ar"/>
              </w:rPr>
              <w:t>分。</w:t>
            </w:r>
          </w:p>
        </w:tc>
        <w:tc>
          <w:tcPr>
            <w:tcW w:w="823"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eastAsia="zh-CN" w:bidi="ar-SA"/>
              </w:rPr>
              <w:t>3</w:t>
            </w:r>
          </w:p>
        </w:tc>
        <w:tc>
          <w:tcPr>
            <w:tcW w:w="1109"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75.00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13" w:type="dxa"/>
            <w:vMerge w:val="continue"/>
            <w:vAlign w:val="center"/>
          </w:tcPr>
          <w:p>
            <w:pPr>
              <w:widowControl/>
              <w:spacing w:line="360" w:lineRule="exact"/>
              <w:ind w:firstLine="0" w:firstLineChars="0"/>
              <w:jc w:val="center"/>
              <w:rPr>
                <w:rFonts w:eastAsia="宋体"/>
                <w:sz w:val="24"/>
                <w:lang w:eastAsia="zh-CN" w:bidi="ar-SA"/>
              </w:rPr>
            </w:pPr>
          </w:p>
        </w:tc>
        <w:tc>
          <w:tcPr>
            <w:tcW w:w="895" w:type="dxa"/>
            <w:vMerge w:val="restart"/>
            <w:vAlign w:val="center"/>
          </w:tcPr>
          <w:p>
            <w:pPr>
              <w:widowControl/>
              <w:spacing w:line="360" w:lineRule="exact"/>
              <w:ind w:firstLine="0" w:firstLineChars="0"/>
              <w:jc w:val="left"/>
              <w:textAlignment w:val="center"/>
              <w:rPr>
                <w:rFonts w:eastAsia="宋体"/>
                <w:sz w:val="24"/>
                <w:lang w:eastAsia="zh-CN" w:bidi="ar"/>
              </w:rPr>
            </w:pPr>
            <w:r>
              <w:rPr>
                <w:rFonts w:hint="eastAsia" w:eastAsia="宋体"/>
                <w:sz w:val="24"/>
                <w:lang w:eastAsia="zh-CN" w:bidi="ar"/>
              </w:rPr>
              <w:t>D3环境效益</w:t>
            </w:r>
            <w:r>
              <w:rPr>
                <w:rFonts w:eastAsia="宋体"/>
                <w:sz w:val="24"/>
                <w:lang w:eastAsia="zh-CN" w:bidi="ar"/>
              </w:rPr>
              <w:t>（</w:t>
            </w:r>
            <w:r>
              <w:rPr>
                <w:rFonts w:hint="eastAsia" w:eastAsia="宋体"/>
                <w:sz w:val="24"/>
                <w:lang w:val="en-US" w:eastAsia="zh-CN" w:bidi="ar"/>
              </w:rPr>
              <w:t>8</w:t>
            </w:r>
            <w:r>
              <w:rPr>
                <w:rFonts w:eastAsia="宋体"/>
                <w:sz w:val="24"/>
                <w:lang w:eastAsia="zh-CN" w:bidi="ar"/>
              </w:rPr>
              <w:t>分）</w:t>
            </w:r>
          </w:p>
        </w:tc>
        <w:tc>
          <w:tcPr>
            <w:tcW w:w="899" w:type="dxa"/>
            <w:shd w:val="clear" w:color="000000" w:fill="FFFFFF"/>
            <w:vAlign w:val="center"/>
          </w:tcPr>
          <w:p>
            <w:pPr>
              <w:widowControl/>
              <w:spacing w:line="360" w:lineRule="exact"/>
              <w:ind w:firstLine="0" w:firstLineChars="0"/>
              <w:jc w:val="center"/>
              <w:textAlignment w:val="center"/>
              <w:rPr>
                <w:rFonts w:eastAsia="宋体"/>
                <w:sz w:val="24"/>
                <w:lang w:eastAsia="zh-CN" w:bidi="ar"/>
              </w:rPr>
            </w:pPr>
            <w:r>
              <w:rPr>
                <w:rFonts w:hint="eastAsia" w:eastAsia="宋体"/>
                <w:sz w:val="24"/>
                <w:lang w:eastAsia="zh-CN" w:bidi="ar"/>
              </w:rPr>
              <w:t>D31减少水土流失与生态破坏</w:t>
            </w:r>
          </w:p>
        </w:tc>
        <w:tc>
          <w:tcPr>
            <w:tcW w:w="749" w:type="dxa"/>
            <w:shd w:val="clear" w:color="000000" w:fill="FFFFFF"/>
            <w:vAlign w:val="center"/>
          </w:tcPr>
          <w:p>
            <w:pPr>
              <w:widowControl/>
              <w:spacing w:line="360" w:lineRule="exact"/>
              <w:ind w:firstLine="0" w:firstLineChars="0"/>
              <w:jc w:val="center"/>
              <w:textAlignment w:val="center"/>
              <w:rPr>
                <w:rFonts w:eastAsia="宋体"/>
                <w:sz w:val="24"/>
                <w:lang w:eastAsia="zh-CN" w:bidi="ar"/>
              </w:rPr>
            </w:pPr>
            <w:r>
              <w:rPr>
                <w:rFonts w:hint="eastAsia" w:eastAsia="宋体"/>
                <w:sz w:val="24"/>
                <w:lang w:eastAsia="zh-CN" w:bidi="ar"/>
              </w:rPr>
              <w:t>4</w:t>
            </w:r>
          </w:p>
        </w:tc>
        <w:tc>
          <w:tcPr>
            <w:tcW w:w="3043" w:type="dxa"/>
            <w:shd w:val="clear" w:color="000000" w:fill="FFFFFF"/>
            <w:vAlign w:val="center"/>
          </w:tcPr>
          <w:p>
            <w:pPr>
              <w:widowControl/>
              <w:spacing w:line="360" w:lineRule="exact"/>
              <w:ind w:firstLine="0" w:firstLineChars="0"/>
              <w:textAlignment w:val="center"/>
              <w:rPr>
                <w:rFonts w:eastAsia="宋体"/>
                <w:sz w:val="24"/>
                <w:lang w:eastAsia="zh-CN" w:bidi="ar"/>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SA"/>
              </w:rPr>
              <w:t>是否有利于提减少水土流失与生态破坏，保护地表植被和土壤结构。</w:t>
            </w:r>
          </w:p>
        </w:tc>
        <w:tc>
          <w:tcPr>
            <w:tcW w:w="2245" w:type="dxa"/>
            <w:shd w:val="clear" w:color="000000" w:fill="FFFFFF"/>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eastAsia="zh-CN" w:bidi="ar"/>
              </w:rPr>
              <w:t>减少水土流失与生态破坏</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eastAsia="zh-CN" w:bidi="ar-SA"/>
              </w:rPr>
              <w:t>2</w:t>
            </w:r>
            <w:r>
              <w:rPr>
                <w:rFonts w:eastAsia="宋体"/>
                <w:color w:val="auto"/>
                <w:sz w:val="24"/>
                <w:lang w:eastAsia="zh-CN" w:bidi="ar-SA"/>
              </w:rPr>
              <w:t>分</w:t>
            </w:r>
          </w:p>
          <w:p>
            <w:pPr>
              <w:widowControl/>
              <w:spacing w:line="360" w:lineRule="exact"/>
              <w:ind w:firstLine="0" w:firstLineChars="0"/>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63" w:type="dxa"/>
            <w:vAlign w:val="center"/>
          </w:tcPr>
          <w:p>
            <w:pPr>
              <w:widowControl/>
              <w:spacing w:line="360" w:lineRule="exact"/>
              <w:ind w:firstLine="0" w:firstLineChars="0"/>
              <w:jc w:val="both"/>
              <w:textAlignment w:val="center"/>
              <w:rPr>
                <w:rFonts w:eastAsia="宋体"/>
                <w:sz w:val="24"/>
                <w:lang w:eastAsia="zh-CN" w:bidi="ar"/>
              </w:rPr>
            </w:pPr>
            <w:r>
              <w:rPr>
                <w:rFonts w:hint="eastAsia" w:eastAsia="宋体"/>
                <w:sz w:val="24"/>
                <w:lang w:eastAsia="zh-CN" w:bidi="ar"/>
              </w:rPr>
              <w:t>工</w:t>
            </w:r>
            <w:r>
              <w:rPr>
                <w:rFonts w:hint="eastAsia" w:ascii="Times New Roman" w:hAnsi="Times New Roman" w:eastAsia="宋体" w:cs="Times New Roman"/>
                <w:sz w:val="24"/>
                <w:lang w:eastAsia="zh-CN" w:bidi="ar"/>
              </w:rPr>
              <w:t>程新修混凝土挡土墙250立方米，更换、安装波形钢护栏约52米，</w:t>
            </w:r>
            <w:r>
              <w:rPr>
                <w:rFonts w:hint="eastAsia" w:ascii="Times New Roman" w:hAnsi="Times New Roman" w:eastAsia="宋体" w:cs="Times New Roman"/>
                <w:sz w:val="24"/>
                <w:lang w:val="en-US" w:eastAsia="zh-CN" w:bidi="ar"/>
              </w:rPr>
              <w:t>以及</w:t>
            </w:r>
            <w:r>
              <w:rPr>
                <w:rFonts w:hint="eastAsia" w:ascii="Times New Roman" w:hAnsi="Times New Roman" w:eastAsia="宋体" w:cs="Times New Roman"/>
                <w:sz w:val="24"/>
                <w:lang w:eastAsia="zh-CN" w:bidi="ar"/>
              </w:rPr>
              <w:t>对金河镇新坪村村内两处水毁道路实施修复等措施，有效遏</w:t>
            </w:r>
            <w:r>
              <w:rPr>
                <w:rFonts w:hint="eastAsia" w:eastAsia="宋体"/>
                <w:sz w:val="24"/>
                <w:lang w:eastAsia="zh-CN" w:bidi="ar"/>
              </w:rPr>
              <w:t>制雨水对道路及周边土地的冲刷，减少水土流失，保护地表植被和土壤结构。</w:t>
            </w:r>
            <w:r>
              <w:rPr>
                <w:rFonts w:eastAsia="宋体"/>
                <w:sz w:val="24"/>
                <w:lang w:eastAsia="zh-CN" w:bidi="ar"/>
              </w:rPr>
              <w:t>根据评分标准，该指标</w:t>
            </w:r>
            <w:r>
              <w:rPr>
                <w:rFonts w:hint="eastAsia" w:eastAsia="宋体"/>
                <w:sz w:val="24"/>
                <w:lang w:eastAsia="zh-CN" w:bidi="ar"/>
              </w:rPr>
              <w:t>评定为良，得</w:t>
            </w:r>
            <w:r>
              <w:rPr>
                <w:rFonts w:hint="eastAsia" w:eastAsia="宋体"/>
                <w:sz w:val="24"/>
                <w:lang w:val="en-US" w:eastAsia="zh-CN" w:bidi="ar"/>
              </w:rPr>
              <w:t>3</w:t>
            </w:r>
            <w:r>
              <w:rPr>
                <w:rFonts w:hint="eastAsia" w:eastAsia="宋体"/>
                <w:sz w:val="24"/>
                <w:lang w:eastAsia="zh-CN" w:bidi="ar"/>
              </w:rPr>
              <w:t>.00</w:t>
            </w:r>
            <w:r>
              <w:rPr>
                <w:rFonts w:eastAsia="宋体"/>
                <w:sz w:val="24"/>
                <w:lang w:eastAsia="zh-CN" w:bidi="ar"/>
              </w:rPr>
              <w:t>分。</w:t>
            </w:r>
          </w:p>
        </w:tc>
        <w:tc>
          <w:tcPr>
            <w:tcW w:w="823"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eastAsia="zh-CN" w:bidi="ar-SA"/>
              </w:rPr>
              <w:t>3</w:t>
            </w:r>
          </w:p>
        </w:tc>
        <w:tc>
          <w:tcPr>
            <w:tcW w:w="1109"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75.00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3" w:type="dxa"/>
            <w:vMerge w:val="continue"/>
            <w:vAlign w:val="center"/>
          </w:tcPr>
          <w:p>
            <w:pPr>
              <w:widowControl/>
              <w:spacing w:line="360" w:lineRule="exact"/>
              <w:ind w:firstLine="0" w:firstLineChars="0"/>
              <w:jc w:val="center"/>
              <w:rPr>
                <w:rFonts w:eastAsia="宋体"/>
                <w:sz w:val="24"/>
                <w:lang w:eastAsia="zh-CN" w:bidi="ar-SA"/>
              </w:rPr>
            </w:pPr>
          </w:p>
        </w:tc>
        <w:tc>
          <w:tcPr>
            <w:tcW w:w="895" w:type="dxa"/>
            <w:vMerge w:val="continue"/>
            <w:vAlign w:val="center"/>
          </w:tcPr>
          <w:p>
            <w:pPr>
              <w:widowControl/>
              <w:spacing w:line="360" w:lineRule="exact"/>
              <w:ind w:firstLine="0" w:firstLineChars="0"/>
              <w:jc w:val="left"/>
              <w:textAlignment w:val="center"/>
              <w:rPr>
                <w:rFonts w:hint="eastAsia" w:eastAsia="宋体"/>
                <w:sz w:val="24"/>
                <w:lang w:eastAsia="zh-CN" w:bidi="ar"/>
              </w:rPr>
            </w:pPr>
          </w:p>
        </w:tc>
        <w:tc>
          <w:tcPr>
            <w:tcW w:w="899" w:type="dxa"/>
            <w:shd w:val="clear" w:color="000000" w:fill="FFFFFF"/>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D32降低面源污染风险</w:t>
            </w:r>
          </w:p>
        </w:tc>
        <w:tc>
          <w:tcPr>
            <w:tcW w:w="749" w:type="dxa"/>
            <w:shd w:val="clear" w:color="000000" w:fill="FFFFFF"/>
            <w:vAlign w:val="center"/>
          </w:tcPr>
          <w:p>
            <w:pPr>
              <w:widowControl/>
              <w:spacing w:line="360" w:lineRule="exact"/>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eastAsia="宋体"/>
                <w:sz w:val="24"/>
                <w:lang w:eastAsia="zh-CN" w:bidi="ar"/>
              </w:rPr>
              <w:t>4</w:t>
            </w:r>
          </w:p>
        </w:tc>
        <w:tc>
          <w:tcPr>
            <w:tcW w:w="3043" w:type="dxa"/>
            <w:shd w:val="clear" w:color="000000" w:fill="FFFFFF"/>
            <w:vAlign w:val="center"/>
          </w:tcPr>
          <w:p>
            <w:pPr>
              <w:widowControl/>
              <w:spacing w:line="360" w:lineRule="exact"/>
              <w:ind w:firstLine="0" w:firstLineChars="0"/>
              <w:textAlignment w:val="center"/>
              <w:rPr>
                <w:rFonts w:ascii="Times New Roman" w:hAnsi="Times New Roman" w:eastAsia="宋体" w:cs="Times New Roman"/>
                <w:color w:val="000000"/>
                <w:kern w:val="0"/>
                <w:sz w:val="24"/>
                <w:szCs w:val="24"/>
                <w:lang w:val="en-US" w:eastAsia="zh-CN" w:bidi="ar"/>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SA"/>
              </w:rPr>
              <w:t>是否有利于完善排水系统，保护周边水源和农业生态环境。</w:t>
            </w:r>
          </w:p>
        </w:tc>
        <w:tc>
          <w:tcPr>
            <w:tcW w:w="2245" w:type="dxa"/>
            <w:shd w:val="clear" w:color="000000" w:fill="FFFFFF"/>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eastAsia="zh-CN" w:bidi="ar"/>
              </w:rPr>
              <w:t>减少水土流失与生态破坏</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eastAsia="zh-CN" w:bidi="ar-SA"/>
              </w:rPr>
              <w:t>2</w:t>
            </w:r>
            <w:r>
              <w:rPr>
                <w:rFonts w:eastAsia="宋体"/>
                <w:color w:val="auto"/>
                <w:sz w:val="24"/>
                <w:lang w:eastAsia="zh-CN" w:bidi="ar-SA"/>
              </w:rPr>
              <w:t>分</w:t>
            </w:r>
          </w:p>
          <w:p>
            <w:pPr>
              <w:widowControl/>
              <w:spacing w:line="360" w:lineRule="exact"/>
              <w:ind w:firstLine="0" w:firstLineChars="0"/>
              <w:textAlignment w:val="center"/>
              <w:rPr>
                <w:rFonts w:ascii="Times New Roman" w:hAnsi="Times New Roman" w:eastAsia="宋体" w:cs="Times New Roman"/>
                <w:color w:val="auto"/>
                <w:kern w:val="0"/>
                <w:sz w:val="24"/>
                <w:szCs w:val="24"/>
                <w:lang w:val="en-US"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63" w:type="dxa"/>
            <w:vAlign w:val="center"/>
          </w:tcPr>
          <w:p>
            <w:pPr>
              <w:widowControl/>
              <w:spacing w:line="360" w:lineRule="exact"/>
              <w:ind w:firstLine="0" w:firstLineChars="0"/>
              <w:jc w:val="both"/>
              <w:textAlignment w:val="center"/>
              <w:rPr>
                <w:rFonts w:hint="default" w:eastAsia="宋体"/>
                <w:sz w:val="24"/>
                <w:lang w:val="en-US" w:eastAsia="zh-CN" w:bidi="ar"/>
              </w:rPr>
            </w:pPr>
            <w:r>
              <w:rPr>
                <w:rFonts w:hint="eastAsia" w:eastAsia="宋体"/>
                <w:sz w:val="24"/>
                <w:lang w:eastAsia="zh-CN" w:bidi="ar"/>
              </w:rPr>
              <w:t>完善的排水系统能规范雨水径流方向，避免路面雨水携带泥沙、杂物随意流入农田、河流，减少对水体和土壤的污染，保护周边水源和农业生态环境。</w:t>
            </w:r>
            <w:r>
              <w:rPr>
                <w:rFonts w:eastAsia="宋体"/>
                <w:sz w:val="24"/>
                <w:lang w:eastAsia="zh-CN" w:bidi="ar"/>
              </w:rPr>
              <w:t>根据评分标准，该指标</w:t>
            </w:r>
            <w:r>
              <w:rPr>
                <w:rFonts w:hint="eastAsia" w:eastAsia="宋体"/>
                <w:sz w:val="24"/>
                <w:lang w:eastAsia="zh-CN" w:bidi="ar"/>
              </w:rPr>
              <w:t>评定为良，得</w:t>
            </w:r>
            <w:r>
              <w:rPr>
                <w:rFonts w:hint="eastAsia" w:eastAsia="宋体"/>
                <w:sz w:val="24"/>
                <w:lang w:val="en-US" w:eastAsia="zh-CN" w:bidi="ar"/>
              </w:rPr>
              <w:t>3</w:t>
            </w:r>
            <w:r>
              <w:rPr>
                <w:rFonts w:hint="eastAsia" w:eastAsia="宋体"/>
                <w:sz w:val="24"/>
                <w:lang w:eastAsia="zh-CN" w:bidi="ar"/>
              </w:rPr>
              <w:t>.00</w:t>
            </w:r>
            <w:r>
              <w:rPr>
                <w:rFonts w:eastAsia="宋体"/>
                <w:sz w:val="24"/>
                <w:lang w:eastAsia="zh-CN" w:bidi="ar"/>
              </w:rPr>
              <w:t>分</w:t>
            </w:r>
            <w:r>
              <w:rPr>
                <w:rFonts w:hint="eastAsia" w:eastAsia="宋体"/>
                <w:sz w:val="24"/>
                <w:lang w:eastAsia="zh-CN" w:bidi="ar"/>
              </w:rPr>
              <w:t>。</w:t>
            </w:r>
          </w:p>
        </w:tc>
        <w:tc>
          <w:tcPr>
            <w:tcW w:w="823" w:type="dxa"/>
            <w:shd w:val="clear" w:color="000000" w:fill="FFFFFF"/>
            <w:vAlign w:val="center"/>
          </w:tcPr>
          <w:p>
            <w:pPr>
              <w:widowControl/>
              <w:spacing w:line="360" w:lineRule="exact"/>
              <w:ind w:firstLine="0" w:firstLineChars="0"/>
              <w:jc w:val="center"/>
              <w:textAlignment w:val="center"/>
              <w:rPr>
                <w:rFonts w:hint="eastAsia" w:eastAsia="宋体"/>
                <w:color w:val="auto"/>
                <w:sz w:val="24"/>
                <w:lang w:eastAsia="zh-CN" w:bidi="ar-SA"/>
              </w:rPr>
            </w:pPr>
            <w:r>
              <w:rPr>
                <w:rFonts w:hint="eastAsia" w:eastAsia="宋体"/>
                <w:color w:val="auto"/>
                <w:sz w:val="24"/>
                <w:lang w:eastAsia="zh-CN" w:bidi="ar-SA"/>
              </w:rPr>
              <w:t>3</w:t>
            </w:r>
          </w:p>
        </w:tc>
        <w:tc>
          <w:tcPr>
            <w:tcW w:w="1109" w:type="dxa"/>
            <w:shd w:val="clear" w:color="000000" w:fill="FFFFFF"/>
            <w:vAlign w:val="center"/>
          </w:tcPr>
          <w:p>
            <w:pPr>
              <w:widowControl/>
              <w:spacing w:line="360" w:lineRule="exact"/>
              <w:ind w:firstLine="0" w:firstLineChars="0"/>
              <w:jc w:val="center"/>
              <w:textAlignment w:val="center"/>
              <w:rPr>
                <w:rFonts w:hint="eastAsia" w:eastAsia="宋体"/>
                <w:sz w:val="24"/>
                <w:lang w:eastAsia="zh-CN" w:bidi="ar"/>
              </w:rPr>
            </w:pPr>
            <w:r>
              <w:rPr>
                <w:rFonts w:hint="eastAsia" w:eastAsia="宋体"/>
                <w:sz w:val="24"/>
                <w:lang w:eastAsia="zh-CN" w:bidi="ar"/>
              </w:rPr>
              <w:t>75.00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3" w:type="dxa"/>
            <w:vMerge w:val="continue"/>
            <w:vAlign w:val="center"/>
          </w:tcPr>
          <w:p>
            <w:pPr>
              <w:widowControl/>
              <w:spacing w:line="360" w:lineRule="exact"/>
              <w:ind w:firstLine="0" w:firstLineChars="0"/>
              <w:jc w:val="center"/>
              <w:rPr>
                <w:rFonts w:eastAsia="宋体"/>
                <w:sz w:val="24"/>
                <w:lang w:eastAsia="zh-CN" w:bidi="ar-SA"/>
              </w:rPr>
            </w:pPr>
          </w:p>
        </w:tc>
        <w:tc>
          <w:tcPr>
            <w:tcW w:w="895" w:type="dxa"/>
            <w:vAlign w:val="center"/>
          </w:tcPr>
          <w:p>
            <w:pPr>
              <w:widowControl/>
              <w:spacing w:line="360" w:lineRule="exact"/>
              <w:ind w:firstLine="0" w:firstLineChars="0"/>
              <w:jc w:val="left"/>
              <w:textAlignment w:val="center"/>
              <w:rPr>
                <w:rFonts w:eastAsia="宋体"/>
                <w:sz w:val="24"/>
                <w:lang w:eastAsia="zh-CN" w:bidi="ar"/>
              </w:rPr>
            </w:pPr>
            <w:r>
              <w:rPr>
                <w:rFonts w:hint="eastAsia" w:eastAsia="宋体"/>
                <w:sz w:val="24"/>
                <w:lang w:eastAsia="zh-CN" w:bidi="ar"/>
              </w:rPr>
              <w:t>D4满意度</w:t>
            </w:r>
            <w:r>
              <w:rPr>
                <w:rFonts w:eastAsia="宋体"/>
                <w:sz w:val="24"/>
                <w:lang w:eastAsia="zh-CN" w:bidi="ar"/>
              </w:rPr>
              <w:t>（</w:t>
            </w:r>
            <w:r>
              <w:rPr>
                <w:rFonts w:hint="eastAsia" w:eastAsia="宋体"/>
                <w:sz w:val="24"/>
                <w:lang w:val="en-US" w:eastAsia="zh-CN" w:bidi="ar"/>
              </w:rPr>
              <w:t>6</w:t>
            </w:r>
            <w:r>
              <w:rPr>
                <w:rFonts w:eastAsia="宋体"/>
                <w:sz w:val="24"/>
                <w:lang w:eastAsia="zh-CN" w:bidi="ar"/>
              </w:rPr>
              <w:t>分）</w:t>
            </w:r>
          </w:p>
        </w:tc>
        <w:tc>
          <w:tcPr>
            <w:tcW w:w="899" w:type="dxa"/>
            <w:shd w:val="clear" w:color="000000" w:fill="FFFFFF"/>
            <w:vAlign w:val="center"/>
          </w:tcPr>
          <w:p>
            <w:pPr>
              <w:widowControl/>
              <w:spacing w:line="360" w:lineRule="exact"/>
              <w:ind w:firstLine="0" w:firstLineChars="0"/>
              <w:jc w:val="center"/>
              <w:textAlignment w:val="center"/>
              <w:rPr>
                <w:rFonts w:eastAsia="宋体"/>
                <w:sz w:val="24"/>
                <w:lang w:eastAsia="zh-CN" w:bidi="ar"/>
              </w:rPr>
            </w:pPr>
            <w:r>
              <w:rPr>
                <w:rFonts w:hint="eastAsia" w:eastAsia="宋体"/>
                <w:sz w:val="24"/>
                <w:lang w:eastAsia="zh-CN" w:bidi="ar"/>
              </w:rPr>
              <w:t>D41满意度调查问卷</w:t>
            </w:r>
          </w:p>
        </w:tc>
        <w:tc>
          <w:tcPr>
            <w:tcW w:w="749" w:type="dxa"/>
            <w:shd w:val="clear" w:color="000000" w:fill="FFFFFF"/>
            <w:vAlign w:val="center"/>
          </w:tcPr>
          <w:p>
            <w:pPr>
              <w:widowControl/>
              <w:spacing w:line="360" w:lineRule="exact"/>
              <w:ind w:firstLine="0" w:firstLineChars="0"/>
              <w:jc w:val="center"/>
              <w:textAlignment w:val="center"/>
              <w:rPr>
                <w:rFonts w:eastAsia="宋体"/>
                <w:sz w:val="24"/>
                <w:highlight w:val="yellow"/>
                <w:lang w:eastAsia="zh-CN" w:bidi="ar"/>
              </w:rPr>
            </w:pPr>
            <w:r>
              <w:rPr>
                <w:rFonts w:hint="eastAsia" w:eastAsia="宋体"/>
                <w:sz w:val="24"/>
                <w:lang w:val="en-US" w:eastAsia="zh-CN" w:bidi="ar"/>
              </w:rPr>
              <w:t>6</w:t>
            </w:r>
          </w:p>
        </w:tc>
        <w:tc>
          <w:tcPr>
            <w:tcW w:w="3043" w:type="dxa"/>
            <w:shd w:val="clear" w:color="000000" w:fill="FFFFFF"/>
            <w:vAlign w:val="center"/>
          </w:tcPr>
          <w:p>
            <w:pPr>
              <w:widowControl/>
              <w:spacing w:line="360" w:lineRule="exact"/>
              <w:ind w:firstLine="0" w:firstLineChars="0"/>
              <w:textAlignment w:val="center"/>
              <w:rPr>
                <w:rFonts w:eastAsia="宋体"/>
                <w:sz w:val="24"/>
                <w:lang w:eastAsia="zh-CN" w:bidi="ar"/>
              </w:rPr>
            </w:pPr>
            <w:r>
              <w:rPr>
                <w:rFonts w:eastAsia="宋体"/>
                <w:sz w:val="24"/>
                <w:lang w:eastAsia="zh-CN" w:bidi="ar"/>
              </w:rPr>
              <w:t>评价要点：</w:t>
            </w:r>
            <w:r>
              <w:rPr>
                <w:rFonts w:eastAsia="宋体"/>
                <w:sz w:val="24"/>
                <w:lang w:eastAsia="zh-CN" w:bidi="ar"/>
              </w:rPr>
              <w:br w:type="textWrapping"/>
            </w:r>
            <w:r>
              <w:rPr>
                <w:rFonts w:hint="eastAsia" w:eastAsia="宋体"/>
                <w:sz w:val="24"/>
                <w:lang w:val="en-US" w:eastAsia="zh-CN" w:bidi="ar"/>
              </w:rPr>
              <w:t>新坪村村民对</w:t>
            </w:r>
            <w:r>
              <w:rPr>
                <w:rFonts w:hint="eastAsia" w:ascii="Times New Roman" w:hAnsi="Times New Roman" w:eastAsia="宋体" w:cs="Times New Roman"/>
                <w:sz w:val="24"/>
                <w:lang w:eastAsia="zh-CN" w:bidi="ar"/>
              </w:rPr>
              <w:t>新修混凝土挡土墙</w:t>
            </w:r>
            <w:r>
              <w:rPr>
                <w:rFonts w:hint="eastAsia" w:eastAsia="宋体"/>
                <w:sz w:val="24"/>
                <w:lang w:eastAsia="zh-CN" w:bidi="ar"/>
              </w:rPr>
              <w:t>、</w:t>
            </w:r>
            <w:r>
              <w:rPr>
                <w:rFonts w:hint="eastAsia" w:ascii="Times New Roman" w:hAnsi="Times New Roman" w:eastAsia="宋体" w:cs="Times New Roman"/>
                <w:sz w:val="24"/>
                <w:lang w:eastAsia="zh-CN" w:bidi="ar"/>
              </w:rPr>
              <w:t>波形钢护栏</w:t>
            </w:r>
            <w:r>
              <w:rPr>
                <w:rFonts w:hint="eastAsia" w:eastAsia="宋体"/>
                <w:sz w:val="24"/>
                <w:lang w:eastAsia="zh-CN" w:bidi="ar"/>
              </w:rPr>
              <w:t>满意程度</w:t>
            </w:r>
            <w:r>
              <w:rPr>
                <w:rFonts w:eastAsia="宋体"/>
                <w:sz w:val="24"/>
                <w:lang w:eastAsia="zh-CN" w:bidi="ar"/>
              </w:rPr>
              <w:t>。</w:t>
            </w:r>
          </w:p>
        </w:tc>
        <w:tc>
          <w:tcPr>
            <w:tcW w:w="2245" w:type="dxa"/>
            <w:shd w:val="clear" w:color="000000" w:fill="FFFFFF"/>
            <w:vAlign w:val="center"/>
          </w:tcPr>
          <w:p>
            <w:pPr>
              <w:widowControl/>
              <w:spacing w:line="360" w:lineRule="exact"/>
              <w:ind w:firstLine="0" w:firstLineChars="0"/>
              <w:textAlignment w:val="center"/>
              <w:rPr>
                <w:rFonts w:eastAsia="宋体"/>
                <w:color w:val="auto"/>
                <w:sz w:val="24"/>
                <w:lang w:eastAsia="zh-CN" w:bidi="ar-SA"/>
              </w:rPr>
            </w:pPr>
            <w:r>
              <w:rPr>
                <w:rFonts w:hint="eastAsia" w:eastAsia="宋体"/>
                <w:sz w:val="24"/>
                <w:lang w:eastAsia="zh-CN" w:bidi="ar"/>
              </w:rPr>
              <w:t>未提供满意度问卷不得分；满意度问卷设置缺少一个主体成员扣0.5分，扣完为止</w:t>
            </w:r>
            <w:r>
              <w:rPr>
                <w:rFonts w:eastAsia="宋体"/>
                <w:sz w:val="24"/>
                <w:lang w:eastAsia="zh-CN" w:bidi="ar"/>
              </w:rPr>
              <w:t>。</w:t>
            </w:r>
            <w:r>
              <w:rPr>
                <w:rFonts w:hint="eastAsia" w:eastAsia="宋体"/>
                <w:sz w:val="24"/>
                <w:lang w:eastAsia="zh-CN" w:bidi="ar"/>
              </w:rPr>
              <w:t>满意度</w:t>
            </w:r>
            <w:r>
              <w:rPr>
                <w:rFonts w:hint="eastAsia" w:ascii="宋体" w:hAnsi="宋体" w:eastAsia="宋体"/>
                <w:sz w:val="24"/>
                <w:lang w:eastAsia="zh-CN" w:bidi="ar"/>
              </w:rPr>
              <w:t>≥95%不扣分，满意度每低5%，扣0.5分，</w:t>
            </w:r>
          </w:p>
        </w:tc>
        <w:tc>
          <w:tcPr>
            <w:tcW w:w="3863" w:type="dxa"/>
            <w:shd w:val="clear" w:color="000000" w:fill="FFFFFF"/>
            <w:vAlign w:val="center"/>
          </w:tcPr>
          <w:p>
            <w:pPr>
              <w:widowControl/>
              <w:spacing w:line="360" w:lineRule="exact"/>
              <w:ind w:firstLine="0" w:firstLineChars="0"/>
              <w:jc w:val="both"/>
              <w:textAlignment w:val="center"/>
              <w:rPr>
                <w:rFonts w:eastAsia="宋体"/>
                <w:sz w:val="24"/>
                <w:lang w:eastAsia="zh-CN" w:bidi="ar"/>
              </w:rPr>
            </w:pPr>
            <w:r>
              <w:rPr>
                <w:rFonts w:eastAsia="宋体"/>
                <w:sz w:val="24"/>
                <w:lang w:eastAsia="zh-CN" w:bidi="ar"/>
              </w:rPr>
              <w:t>本次绩效评价</w:t>
            </w:r>
            <w:r>
              <w:rPr>
                <w:rFonts w:hint="eastAsia" w:eastAsia="宋体"/>
                <w:sz w:val="24"/>
                <w:lang w:eastAsia="zh-CN" w:bidi="ar"/>
              </w:rPr>
              <w:t>我们取得2</w:t>
            </w:r>
            <w:r>
              <w:rPr>
                <w:rFonts w:hint="eastAsia" w:eastAsia="宋体"/>
                <w:sz w:val="24"/>
                <w:lang w:val="en-US" w:eastAsia="zh-CN" w:bidi="ar"/>
              </w:rPr>
              <w:t>1</w:t>
            </w:r>
            <w:r>
              <w:rPr>
                <w:rFonts w:hint="eastAsia" w:eastAsia="宋体"/>
                <w:sz w:val="24"/>
                <w:lang w:eastAsia="zh-CN" w:bidi="ar"/>
              </w:rPr>
              <w:t>份满意度调查问卷，满意度评分为9</w:t>
            </w:r>
            <w:r>
              <w:rPr>
                <w:rFonts w:hint="eastAsia" w:eastAsia="宋体"/>
                <w:sz w:val="24"/>
                <w:lang w:val="en-US" w:eastAsia="zh-CN" w:bidi="ar"/>
              </w:rPr>
              <w:t>9.43</w:t>
            </w:r>
            <w:r>
              <w:rPr>
                <w:rFonts w:hint="eastAsia" w:eastAsia="宋体"/>
                <w:sz w:val="24"/>
                <w:lang w:eastAsia="zh-CN" w:bidi="ar"/>
              </w:rPr>
              <w:t>%。根据评分标准，该指标得满分</w:t>
            </w:r>
            <w:r>
              <w:rPr>
                <w:rFonts w:hint="eastAsia" w:eastAsia="宋体"/>
                <w:sz w:val="24"/>
                <w:lang w:val="en-US" w:eastAsia="zh-CN" w:bidi="ar"/>
              </w:rPr>
              <w:t>6</w:t>
            </w:r>
            <w:r>
              <w:rPr>
                <w:rFonts w:hint="eastAsia" w:eastAsia="宋体"/>
                <w:sz w:val="24"/>
                <w:lang w:eastAsia="zh-CN" w:bidi="ar"/>
              </w:rPr>
              <w:t>.00分。</w:t>
            </w:r>
          </w:p>
        </w:tc>
        <w:tc>
          <w:tcPr>
            <w:tcW w:w="823"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val="en-US" w:eastAsia="zh-CN" w:bidi="ar-SA"/>
              </w:rPr>
              <w:t>6</w:t>
            </w:r>
          </w:p>
        </w:tc>
        <w:tc>
          <w:tcPr>
            <w:tcW w:w="1109"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eastAsia="zh-CN" w:bidi="ar-SA"/>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607" w:type="dxa"/>
            <w:gridSpan w:val="3"/>
            <w:vAlign w:val="center"/>
          </w:tcPr>
          <w:p>
            <w:pPr>
              <w:widowControl/>
              <w:spacing w:line="360" w:lineRule="exact"/>
              <w:ind w:firstLine="0" w:firstLineChars="0"/>
              <w:jc w:val="center"/>
              <w:textAlignment w:val="center"/>
              <w:rPr>
                <w:rFonts w:eastAsia="宋体"/>
                <w:b/>
                <w:bCs/>
                <w:color w:val="auto"/>
                <w:sz w:val="24"/>
                <w:lang w:eastAsia="zh-CN" w:bidi="ar-SA"/>
              </w:rPr>
            </w:pPr>
            <w:r>
              <w:rPr>
                <w:rFonts w:eastAsia="宋体"/>
                <w:b/>
                <w:bCs/>
                <w:sz w:val="24"/>
                <w:lang w:eastAsia="zh-CN" w:bidi="ar"/>
              </w:rPr>
              <w:t>合计</w:t>
            </w:r>
          </w:p>
        </w:tc>
        <w:tc>
          <w:tcPr>
            <w:tcW w:w="749" w:type="dxa"/>
            <w:vAlign w:val="center"/>
          </w:tcPr>
          <w:p>
            <w:pPr>
              <w:widowControl/>
              <w:spacing w:line="360" w:lineRule="exact"/>
              <w:ind w:firstLine="0" w:firstLineChars="0"/>
              <w:rPr>
                <w:rFonts w:eastAsia="宋体"/>
                <w:b/>
                <w:bCs/>
                <w:color w:val="auto"/>
                <w:sz w:val="24"/>
                <w:lang w:eastAsia="zh-CN" w:bidi="ar-SA"/>
              </w:rPr>
            </w:pPr>
            <w:r>
              <w:rPr>
                <w:rFonts w:hint="eastAsia" w:eastAsia="宋体"/>
                <w:b/>
                <w:bCs/>
                <w:color w:val="auto"/>
                <w:sz w:val="24"/>
                <w:lang w:eastAsia="zh-CN" w:bidi="ar-SA"/>
              </w:rPr>
              <w:t>100</w:t>
            </w:r>
          </w:p>
        </w:tc>
        <w:tc>
          <w:tcPr>
            <w:tcW w:w="3043" w:type="dxa"/>
            <w:vAlign w:val="center"/>
          </w:tcPr>
          <w:p>
            <w:pPr>
              <w:widowControl/>
              <w:spacing w:line="360" w:lineRule="exact"/>
              <w:ind w:firstLine="0" w:firstLineChars="0"/>
              <w:rPr>
                <w:rFonts w:eastAsia="宋体"/>
                <w:b/>
                <w:bCs/>
                <w:color w:val="auto"/>
                <w:sz w:val="24"/>
                <w:lang w:eastAsia="zh-CN" w:bidi="ar-SA"/>
              </w:rPr>
            </w:pPr>
          </w:p>
        </w:tc>
        <w:tc>
          <w:tcPr>
            <w:tcW w:w="2245" w:type="dxa"/>
            <w:vAlign w:val="center"/>
          </w:tcPr>
          <w:p>
            <w:pPr>
              <w:widowControl/>
              <w:spacing w:line="360" w:lineRule="exact"/>
              <w:ind w:firstLine="0" w:firstLineChars="0"/>
              <w:rPr>
                <w:rFonts w:eastAsia="宋体"/>
                <w:b/>
                <w:bCs/>
                <w:color w:val="auto"/>
                <w:sz w:val="24"/>
                <w:lang w:eastAsia="zh-CN" w:bidi="ar-SA"/>
              </w:rPr>
            </w:pPr>
          </w:p>
        </w:tc>
        <w:tc>
          <w:tcPr>
            <w:tcW w:w="3863" w:type="dxa"/>
            <w:vAlign w:val="center"/>
          </w:tcPr>
          <w:p>
            <w:pPr>
              <w:widowControl/>
              <w:spacing w:line="360" w:lineRule="exact"/>
              <w:ind w:firstLine="0" w:firstLineChars="0"/>
              <w:jc w:val="left"/>
              <w:rPr>
                <w:rFonts w:eastAsia="宋体"/>
                <w:b/>
                <w:bCs/>
                <w:color w:val="auto"/>
                <w:sz w:val="24"/>
                <w:lang w:eastAsia="zh-CN" w:bidi="ar-SA"/>
              </w:rPr>
            </w:pPr>
          </w:p>
        </w:tc>
        <w:tc>
          <w:tcPr>
            <w:tcW w:w="823" w:type="dxa"/>
            <w:vAlign w:val="center"/>
          </w:tcPr>
          <w:p>
            <w:pPr>
              <w:widowControl/>
              <w:spacing w:line="360" w:lineRule="exact"/>
              <w:ind w:firstLine="0" w:firstLineChars="0"/>
              <w:jc w:val="center"/>
              <w:textAlignment w:val="center"/>
              <w:rPr>
                <w:rFonts w:hint="default" w:eastAsia="宋体"/>
                <w:b/>
                <w:bCs/>
                <w:color w:val="auto"/>
                <w:sz w:val="24"/>
                <w:lang w:val="en-US" w:eastAsia="zh-CN" w:bidi="ar-SA"/>
              </w:rPr>
            </w:pPr>
            <w:r>
              <w:rPr>
                <w:rFonts w:hint="eastAsia" w:eastAsia="宋体"/>
                <w:b/>
                <w:bCs/>
                <w:color w:val="auto"/>
                <w:sz w:val="24"/>
                <w:lang w:val="en-US" w:eastAsia="zh-CN" w:bidi="ar-SA"/>
              </w:rPr>
              <w:t>89.31</w:t>
            </w:r>
          </w:p>
        </w:tc>
        <w:tc>
          <w:tcPr>
            <w:tcW w:w="1109" w:type="dxa"/>
            <w:vAlign w:val="center"/>
          </w:tcPr>
          <w:p>
            <w:pPr>
              <w:widowControl/>
              <w:spacing w:line="360" w:lineRule="exact"/>
              <w:ind w:firstLine="0" w:firstLineChars="0"/>
              <w:jc w:val="center"/>
              <w:textAlignment w:val="center"/>
              <w:rPr>
                <w:rFonts w:eastAsia="宋体"/>
                <w:b/>
                <w:bCs/>
                <w:color w:val="auto"/>
                <w:sz w:val="24"/>
                <w:lang w:eastAsia="zh-CN" w:bidi="ar-SA"/>
              </w:rPr>
            </w:pPr>
            <w:r>
              <w:rPr>
                <w:rFonts w:hint="eastAsia" w:eastAsia="宋体"/>
                <w:b/>
                <w:bCs/>
                <w:sz w:val="24"/>
                <w:lang w:val="en-US" w:eastAsia="zh-CN" w:bidi="ar"/>
              </w:rPr>
              <w:t>89.31</w:t>
            </w:r>
            <w:r>
              <w:rPr>
                <w:rFonts w:eastAsia="宋体"/>
                <w:b/>
                <w:bCs/>
                <w:sz w:val="24"/>
                <w:lang w:eastAsia="zh-CN" w:bidi="ar"/>
              </w:rPr>
              <w:t>%</w:t>
            </w:r>
          </w:p>
        </w:tc>
      </w:tr>
      <w:bookmarkEnd w:id="404"/>
    </w:tbl>
    <w:p>
      <w:pPr>
        <w:tabs>
          <w:tab w:val="left" w:pos="4318"/>
        </w:tabs>
        <w:ind w:firstLine="0" w:firstLineChars="0"/>
        <w:rPr>
          <w:lang w:eastAsia="zh-CN"/>
        </w:rPr>
        <w:sectPr>
          <w:headerReference r:id="rId14" w:type="default"/>
          <w:footerReference r:id="rId15" w:type="default"/>
          <w:pgSz w:w="16838" w:h="11906" w:orient="landscape"/>
          <w:pgMar w:top="1803" w:right="1440" w:bottom="1803" w:left="1440" w:header="850" w:footer="1191" w:gutter="0"/>
          <w:paperSrc/>
          <w:pgNumType w:fmt="numberInDash"/>
          <w:cols w:space="0" w:num="1"/>
          <w:rtlGutter w:val="0"/>
          <w:docGrid w:type="lines" w:linePitch="436" w:charSpace="0"/>
        </w:sectPr>
      </w:pPr>
    </w:p>
    <w:p>
      <w:pPr>
        <w:spacing w:before="65" w:line="226" w:lineRule="auto"/>
        <w:ind w:firstLine="0" w:firstLineChars="0"/>
        <w:rPr>
          <w:rFonts w:eastAsia="仿宋"/>
          <w:sz w:val="28"/>
          <w:szCs w:val="28"/>
          <w:lang w:eastAsia="zh-CN"/>
        </w:rPr>
      </w:pPr>
    </w:p>
    <w:sectPr>
      <w:headerReference r:id="rId16" w:type="default"/>
      <w:footerReference r:id="rId17" w:type="default"/>
      <w:pgSz w:w="16838" w:h="11906" w:orient="landscape"/>
      <w:pgMar w:top="1803" w:right="1440" w:bottom="1803" w:left="1440" w:header="850" w:footer="1191" w:gutter="0"/>
      <w:paperSrc/>
      <w:pgNumType w:fmt="numberInDash"/>
      <w:cols w:space="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C03333-F361-46EF-83BD-FD27EB85EE8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CA6BE39-B266-4B62-88BC-32317D4FC467}"/>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embedRegular r:id="rId3" w:fontKey="{46155BE2-B9A1-4DA6-86F3-7F0AC71F7887}"/>
  </w:font>
  <w:font w:name="DejaVu Sans">
    <w:altName w:val="Courier New"/>
    <w:panose1 w:val="00000000000000000000"/>
    <w:charset w:val="00"/>
    <w:family w:val="roman"/>
    <w:pitch w:val="default"/>
    <w:sig w:usb0="00000000" w:usb1="00000000" w:usb2="00000008" w:usb3="00000000" w:csb0="000001FF" w:csb1="00000000"/>
  </w:font>
  <w:font w:name="方正小标宋">
    <w:altName w:val="宋体"/>
    <w:panose1 w:val="00000000000000000000"/>
    <w:charset w:val="86"/>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font-weight : 400">
    <w:altName w:val="Courier New"/>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微软雅黑">
    <w:panose1 w:val="020B0503020204020204"/>
    <w:charset w:val="86"/>
    <w:family w:val="swiss"/>
    <w:pitch w:val="default"/>
    <w:sig w:usb0="80000287" w:usb1="280F3C52" w:usb2="00000016" w:usb3="00000000" w:csb0="0004001F" w:csb1="00000000"/>
    <w:embedRegular r:id="rId4" w:fontKey="{FF649272-DD19-4C04-BB2B-ED28221B365D}"/>
  </w:font>
  <w:font w:name="仿宋">
    <w:panose1 w:val="02010609060101010101"/>
    <w:charset w:val="86"/>
    <w:family w:val="modern"/>
    <w:pitch w:val="default"/>
    <w:sig w:usb0="800002BF" w:usb1="38CF7CFA" w:usb2="00000016" w:usb3="00000000" w:csb0="00040001" w:csb1="00000000"/>
    <w:embedRegular r:id="rId5" w:fontKey="{33981511-73C3-4FEB-841C-ED06AD4587A5}"/>
  </w:font>
  <w:font w:name="新宋体">
    <w:panose1 w:val="02010609030101010101"/>
    <w:charset w:val="86"/>
    <w:family w:val="modern"/>
    <w:pitch w:val="default"/>
    <w:sig w:usb0="00000003" w:usb1="288F0000" w:usb2="00000006" w:usb3="00000000" w:csb0="00040001" w:csb1="00000000"/>
    <w:embedRegular r:id="rId6" w:fontKey="{71361AF1-7845-40B8-B7B2-B397519E6CD6}"/>
  </w:font>
  <w:font w:name="方正小标宋简体">
    <w:panose1 w:val="02000000000000000000"/>
    <w:charset w:val="86"/>
    <w:family w:val="auto"/>
    <w:pitch w:val="default"/>
    <w:sig w:usb0="A00002BF" w:usb1="184F6CFA" w:usb2="00000012" w:usb3="00000000" w:csb0="00040001" w:csb1="00000000"/>
    <w:embedRegular r:id="rId7" w:fontKey="{877026E7-31B4-4CA7-B794-11315F93FC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firstLine="400"/>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posOffset>2424430</wp:posOffset>
              </wp:positionH>
              <wp:positionV relativeFrom="paragraph">
                <wp:posOffset>-338455</wp:posOffset>
              </wp:positionV>
              <wp:extent cx="1828800" cy="7004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700405"/>
                      </a:xfrm>
                      <a:prstGeom prst="rect">
                        <a:avLst/>
                      </a:prstGeom>
                      <a:noFill/>
                      <a:ln w="6350">
                        <a:noFill/>
                      </a:ln>
                      <a:effectLst/>
                    </wps:spPr>
                    <wps:txbx>
                      <w:txbxContent>
                        <w:p>
                          <w:pPr>
                            <w:snapToGrid w:val="0"/>
                            <w:ind w:firstLine="360"/>
                            <w:rPr>
                              <w:sz w:val="18"/>
                            </w:rPr>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0.9pt;margin-top:-26.65pt;height:55.15pt;width:144pt;mso-position-horizontal-relative:margin;mso-wrap-style:none;z-index:251660288;mso-width-relative:page;mso-height-relative:page;" filled="f" stroked="f" coordsize="21600,21600" o:gfxdata="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vYjY9oAAAAKAQAADwAAAAAAAAABACAAAAAiAAAAZHJzL2Rvd25y&#10;ZXYueG1sUEsBAhQAFAAAAAgAh07iQJWIk3w1AgAAYgQAAA4AAAAAAAAAAQAgAAAAKQEAAGRycy9l&#10;Mm9Eb2MueG1sUEsFBgAAAAAGAAYAWQEAANAFAAAAAA==&#10;">
              <v:fill on="f" focussize="0,0"/>
              <v:stroke on="f" weight="0.5pt"/>
              <v:imagedata o:title=""/>
              <o:lock v:ext="edit" aspectratio="f"/>
              <v:textbox inset="0mm,0mm,0mm,0mm">
                <w:txbxContent>
                  <w:p>
                    <w:pPr>
                      <w:snapToGrid w:val="0"/>
                      <w:ind w:firstLine="360"/>
                      <w:rPr>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firstLine="400"/>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posOffset>2424430</wp:posOffset>
              </wp:positionH>
              <wp:positionV relativeFrom="paragraph">
                <wp:posOffset>-338455</wp:posOffset>
              </wp:positionV>
              <wp:extent cx="1828800" cy="7004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700405"/>
                      </a:xfrm>
                      <a:prstGeom prst="rect">
                        <a:avLst/>
                      </a:prstGeom>
                      <a:noFill/>
                      <a:ln w="6350">
                        <a:noFill/>
                      </a:ln>
                      <a:effectLst/>
                    </wps:spPr>
                    <wps:txbx>
                      <w:txbxContent>
                        <w:p>
                          <w:pPr>
                            <w:snapToGrid w:val="0"/>
                            <w:ind w:firstLine="360"/>
                            <w:rPr>
                              <w:sz w:val="18"/>
                            </w:rPr>
                          </w:pPr>
                          <w:r>
                            <w:rPr>
                              <w:rFonts w:hint="eastAsia" w:ascii="宋体" w:hAnsi="宋体" w:eastAsia="宋体" w:cs="宋体"/>
                              <w:sz w:val="18"/>
                            </w:rPr>
                            <w:fldChar w:fldCharType="begin"/>
                          </w:r>
                          <w:r>
                            <w:rPr>
                              <w:rFonts w:hint="eastAsia" w:ascii="宋体" w:hAnsi="宋体" w:eastAsia="宋体" w:cs="宋体"/>
                              <w:sz w:val="18"/>
                            </w:rPr>
                            <w:instrText xml:space="preserve"> PAGE  \* MERGEFORMAT </w:instrText>
                          </w:r>
                          <w:r>
                            <w:rPr>
                              <w:rFonts w:hint="eastAsia" w:ascii="宋体" w:hAnsi="宋体" w:eastAsia="宋体" w:cs="宋体"/>
                              <w:sz w:val="18"/>
                            </w:rPr>
                            <w:fldChar w:fldCharType="separate"/>
                          </w:r>
                          <w:r>
                            <w:rPr>
                              <w:rFonts w:hint="eastAsia" w:ascii="宋体" w:hAnsi="宋体" w:eastAsia="宋体" w:cs="宋体"/>
                              <w:sz w:val="18"/>
                            </w:rPr>
                            <w:t>- 29 -</w:t>
                          </w:r>
                          <w:r>
                            <w:rPr>
                              <w:rFonts w:hint="eastAsia" w:ascii="宋体" w:hAnsi="宋体" w:eastAsia="宋体" w:cs="宋体"/>
                              <w:sz w:val="1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0.9pt;margin-top:-26.65pt;height:55.15pt;width:144pt;mso-position-horizontal-relative:margin;mso-wrap-style:none;z-index:251661312;mso-width-relative:page;mso-height-relative:page;" filled="f" stroked="f" coordsize="21600,21600" o:gfxdata="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vYjY9oAAAAKAQAADwAAAAAAAAABACAAAAAiAAAAZHJzL2Rvd25y&#10;ZXYueG1sUEsBAhQAFAAAAAgAh07iQOXrj4A1AgAAYgQAAA4AAAAAAAAAAQAgAAAAKQEAAGRycy9l&#10;Mm9Eb2MueG1sUEsFBgAAAAAGAAYAWQEAANAFAAAAAA==&#10;">
              <v:fill on="f" focussize="0,0"/>
              <v:stroke on="f" weight="0.5pt"/>
              <v:imagedata o:title=""/>
              <o:lock v:ext="edit" aspectratio="f"/>
              <v:textbox inset="0mm,0mm,0mm,0mm">
                <w:txbxContent>
                  <w:p>
                    <w:pPr>
                      <w:snapToGrid w:val="0"/>
                      <w:ind w:firstLine="360"/>
                      <w:rPr>
                        <w:sz w:val="18"/>
                      </w:rPr>
                    </w:pPr>
                    <w:r>
                      <w:rPr>
                        <w:rFonts w:hint="eastAsia" w:ascii="宋体" w:hAnsi="宋体" w:eastAsia="宋体" w:cs="宋体"/>
                        <w:sz w:val="18"/>
                      </w:rPr>
                      <w:fldChar w:fldCharType="begin"/>
                    </w:r>
                    <w:r>
                      <w:rPr>
                        <w:rFonts w:hint="eastAsia" w:ascii="宋体" w:hAnsi="宋体" w:eastAsia="宋体" w:cs="宋体"/>
                        <w:sz w:val="18"/>
                      </w:rPr>
                      <w:instrText xml:space="preserve"> PAGE  \* MERGEFORMAT </w:instrText>
                    </w:r>
                    <w:r>
                      <w:rPr>
                        <w:rFonts w:hint="eastAsia" w:ascii="宋体" w:hAnsi="宋体" w:eastAsia="宋体" w:cs="宋体"/>
                        <w:sz w:val="18"/>
                      </w:rPr>
                      <w:fldChar w:fldCharType="separate"/>
                    </w:r>
                    <w:r>
                      <w:rPr>
                        <w:rFonts w:hint="eastAsia" w:ascii="宋体" w:hAnsi="宋体" w:eastAsia="宋体" w:cs="宋体"/>
                        <w:sz w:val="18"/>
                      </w:rPr>
                      <w:t>- 29 -</w:t>
                    </w:r>
                    <w:r>
                      <w:rPr>
                        <w:rFonts w:hint="eastAsia" w:ascii="宋体" w:hAnsi="宋体" w:eastAsia="宋体" w:cs="宋体"/>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firstLine="400"/>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4218940</wp:posOffset>
              </wp:positionH>
              <wp:positionV relativeFrom="paragraph">
                <wp:posOffset>-582930</wp:posOffset>
              </wp:positionV>
              <wp:extent cx="1828800" cy="5886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588645"/>
                      </a:xfrm>
                      <a:prstGeom prst="rect">
                        <a:avLst/>
                      </a:prstGeom>
                      <a:noFill/>
                      <a:ln w="6350">
                        <a:noFill/>
                      </a:ln>
                      <a:effectLst/>
                    </wps:spPr>
                    <wps:txbx>
                      <w:txbxContent>
                        <w:p>
                          <w:pPr>
                            <w:snapToGrid w:val="0"/>
                            <w:ind w:firstLine="360"/>
                            <w:rPr>
                              <w:sz w:val="18"/>
                            </w:rPr>
                          </w:pPr>
                          <w:r>
                            <w:rPr>
                              <w:sz w:val="18"/>
                            </w:rPr>
                            <w:fldChar w:fldCharType="begin"/>
                          </w:r>
                          <w:r>
                            <w:rPr>
                              <w:sz w:val="18"/>
                            </w:rPr>
                            <w:instrText xml:space="preserve"> PAGE  \* MERGEFORMAT </w:instrText>
                          </w:r>
                          <w:r>
                            <w:rPr>
                              <w:sz w:val="18"/>
                            </w:rPr>
                            <w:fldChar w:fldCharType="separate"/>
                          </w:r>
                          <w:r>
                            <w:rPr>
                              <w:sz w:val="18"/>
                            </w:rPr>
                            <w:t>- 38 -</w:t>
                          </w:r>
                          <w:r>
                            <w:rPr>
                              <w:sz w:val="1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2.2pt;margin-top:-45.9pt;height:46.35pt;width:144pt;mso-position-horizontal-relative:margin;mso-wrap-style:none;z-index:251659264;mso-width-relative:page;mso-height-relative:page;" filled="f" stroked="f" coordsize="21600,21600" o:gfxdata="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3D3G3YAAAACAEAAA8AAAAAAAAAAQAgAAAAIgAAAGRycy9kb3ducmV2&#10;LnhtbFBLAQIUABQAAAAIAIdO4kBeWKpSNQIAAGIEAAAOAAAAAAAAAAEAIAAAACcBAABkcnMvZTJv&#10;RG9jLnhtbFBLBQYAAAAABgAGAFkBAADOBQAAAAA=&#10;">
              <v:fill on="f" focussize="0,0"/>
              <v:stroke on="f" weight="0.5pt"/>
              <v:imagedata o:title=""/>
              <o:lock v:ext="edit" aspectratio="f"/>
              <v:textbox inset="0mm,0mm,0mm,0mm">
                <w:txbxContent>
                  <w:p>
                    <w:pPr>
                      <w:snapToGrid w:val="0"/>
                      <w:ind w:firstLine="360"/>
                      <w:rPr>
                        <w:sz w:val="18"/>
                      </w:rPr>
                    </w:pPr>
                    <w:r>
                      <w:rPr>
                        <w:sz w:val="18"/>
                      </w:rPr>
                      <w:fldChar w:fldCharType="begin"/>
                    </w:r>
                    <w:r>
                      <w:rPr>
                        <w:sz w:val="18"/>
                      </w:rPr>
                      <w:instrText xml:space="preserve"> PAGE  \* MERGEFORMAT </w:instrText>
                    </w:r>
                    <w:r>
                      <w:rPr>
                        <w:sz w:val="18"/>
                      </w:rPr>
                      <w:fldChar w:fldCharType="separate"/>
                    </w:r>
                    <w:r>
                      <w:rPr>
                        <w:sz w:val="18"/>
                      </w:rPr>
                      <w:t>- 38 -</w:t>
                    </w:r>
                    <w:r>
                      <w:rPr>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ind w:firstLine="0" w:firstLineChars="0"/>
      <w:jc w:val="left"/>
      <w:rPr>
        <w:rFonts w:ascii="Times New Roman" w:hAnsi="Times New Roman"/>
        <w:lang w:eastAsia="zh-CN"/>
      </w:rPr>
    </w:pPr>
    <w:r>
      <w:rPr>
        <w:rFonts w:hint="eastAsia" w:ascii="Times New Roman" w:hAnsi="Times New Roman"/>
        <w:lang w:eastAsia="zh-CN"/>
      </w:rPr>
      <w:t>乐山市金口河区金河镇新坪村村道水毁治理工程</w:t>
    </w:r>
    <w:r>
      <w:rPr>
        <w:rFonts w:ascii="Times New Roman" w:hAnsi="Times New Roman"/>
        <w:lang w:eastAsia="zh-CN"/>
      </w:rPr>
      <w:t>绩效评价报告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rPr>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F366B"/>
    <w:multiLevelType w:val="multilevel"/>
    <w:tmpl w:val="8ECF366B"/>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AFE97E30"/>
    <w:multiLevelType w:val="multilevel"/>
    <w:tmpl w:val="AFE97E30"/>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2">
    <w:nsid w:val="C1768D78"/>
    <w:multiLevelType w:val="multilevel"/>
    <w:tmpl w:val="C1768D78"/>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3">
    <w:nsid w:val="05182151"/>
    <w:multiLevelType w:val="multilevel"/>
    <w:tmpl w:val="05182151"/>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4">
    <w:nsid w:val="12823613"/>
    <w:multiLevelType w:val="multilevel"/>
    <w:tmpl w:val="12823613"/>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decimal"/>
      <w:lvlText w:val="%3."/>
      <w:lvlJc w:val="left"/>
      <w:pPr>
        <w:ind w:left="1083" w:hanging="440"/>
      </w:pPr>
      <w:rPr>
        <w:rFonts w:hint="eastAsia"/>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13A304B4"/>
    <w:multiLevelType w:val="multilevel"/>
    <w:tmpl w:val="13A304B4"/>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6">
    <w:nsid w:val="15922F86"/>
    <w:multiLevelType w:val="multilevel"/>
    <w:tmpl w:val="15922F86"/>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7">
    <w:nsid w:val="15AF195D"/>
    <w:multiLevelType w:val="multilevel"/>
    <w:tmpl w:val="15AF195D"/>
    <w:lvl w:ilvl="0" w:tentative="0">
      <w:start w:val="1"/>
      <w:numFmt w:val="chineseCountingThousand"/>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8">
    <w:nsid w:val="1621278D"/>
    <w:multiLevelType w:val="multilevel"/>
    <w:tmpl w:val="1621278D"/>
    <w:lvl w:ilvl="0" w:tentative="0">
      <w:start w:val="1"/>
      <w:numFmt w:val="chineseCountingThousand"/>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9">
    <w:nsid w:val="18F2303F"/>
    <w:multiLevelType w:val="multilevel"/>
    <w:tmpl w:val="18F2303F"/>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0">
    <w:nsid w:val="2F13461A"/>
    <w:multiLevelType w:val="multilevel"/>
    <w:tmpl w:val="2F13461A"/>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1">
    <w:nsid w:val="2FE04E6D"/>
    <w:multiLevelType w:val="multilevel"/>
    <w:tmpl w:val="2FE04E6D"/>
    <w:lvl w:ilvl="0" w:tentative="0">
      <w:start w:val="1"/>
      <w:numFmt w:val="decimal"/>
      <w:lvlText w:val="%1."/>
      <w:lvlJc w:val="left"/>
      <w:pPr>
        <w:ind w:left="1083" w:hanging="440"/>
      </w:pPr>
    </w:lvl>
    <w:lvl w:ilvl="1" w:tentative="0">
      <w:start w:val="1"/>
      <w:numFmt w:val="lowerLetter"/>
      <w:lvlText w:val="%2)"/>
      <w:lvlJc w:val="left"/>
      <w:pPr>
        <w:ind w:left="1523" w:hanging="440"/>
      </w:pPr>
    </w:lvl>
    <w:lvl w:ilvl="2" w:tentative="0">
      <w:start w:val="1"/>
      <w:numFmt w:val="decimal"/>
      <w:lvlText w:val="%3."/>
      <w:lvlJc w:val="left"/>
      <w:pPr>
        <w:ind w:left="1083" w:hanging="440"/>
      </w:pPr>
      <w:rPr>
        <w:rFonts w:hint="eastAsia"/>
      </w:r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2">
    <w:nsid w:val="30EA7D43"/>
    <w:multiLevelType w:val="multilevel"/>
    <w:tmpl w:val="30EA7D43"/>
    <w:lvl w:ilvl="0" w:tentative="0">
      <w:start w:val="1"/>
      <w:numFmt w:val="chineseCountingThousand"/>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3">
    <w:nsid w:val="33AC6BA3"/>
    <w:multiLevelType w:val="multilevel"/>
    <w:tmpl w:val="33AC6BA3"/>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4">
    <w:nsid w:val="39536E40"/>
    <w:multiLevelType w:val="multilevel"/>
    <w:tmpl w:val="39536E40"/>
    <w:lvl w:ilvl="0" w:tentative="0">
      <w:start w:val="1"/>
      <w:numFmt w:val="decimal"/>
      <w:lvlText w:val="（%1）"/>
      <w:lvlJc w:val="left"/>
      <w:pPr>
        <w:ind w:left="1136" w:hanging="440"/>
      </w:pPr>
      <w:rPr>
        <w:rFonts w:hint="default" w:ascii="Times New Roman" w:hAnsi="Times New Roman" w:eastAsia="宋体"/>
        <w:b w:val="0"/>
        <w:i w:val="0"/>
        <w:sz w:val="30"/>
      </w:rPr>
    </w:lvl>
    <w:lvl w:ilvl="1" w:tentative="0">
      <w:start w:val="1"/>
      <w:numFmt w:val="lowerLetter"/>
      <w:lvlText w:val="%2)"/>
      <w:lvlJc w:val="left"/>
      <w:pPr>
        <w:ind w:left="1576" w:hanging="440"/>
      </w:pPr>
    </w:lvl>
    <w:lvl w:ilvl="2" w:tentative="0">
      <w:start w:val="1"/>
      <w:numFmt w:val="lowerRoman"/>
      <w:lvlText w:val="%3."/>
      <w:lvlJc w:val="right"/>
      <w:pPr>
        <w:ind w:left="2016" w:hanging="440"/>
      </w:pPr>
    </w:lvl>
    <w:lvl w:ilvl="3" w:tentative="0">
      <w:start w:val="1"/>
      <w:numFmt w:val="decimal"/>
      <w:lvlText w:val="%4."/>
      <w:lvlJc w:val="left"/>
      <w:pPr>
        <w:ind w:left="2456" w:hanging="440"/>
      </w:pPr>
    </w:lvl>
    <w:lvl w:ilvl="4" w:tentative="0">
      <w:start w:val="1"/>
      <w:numFmt w:val="lowerLetter"/>
      <w:lvlText w:val="%5)"/>
      <w:lvlJc w:val="left"/>
      <w:pPr>
        <w:ind w:left="2896" w:hanging="440"/>
      </w:pPr>
    </w:lvl>
    <w:lvl w:ilvl="5" w:tentative="0">
      <w:start w:val="1"/>
      <w:numFmt w:val="lowerRoman"/>
      <w:lvlText w:val="%6."/>
      <w:lvlJc w:val="right"/>
      <w:pPr>
        <w:ind w:left="3336" w:hanging="440"/>
      </w:pPr>
    </w:lvl>
    <w:lvl w:ilvl="6" w:tentative="0">
      <w:start w:val="1"/>
      <w:numFmt w:val="decimal"/>
      <w:lvlText w:val="%7."/>
      <w:lvlJc w:val="left"/>
      <w:pPr>
        <w:ind w:left="3776" w:hanging="440"/>
      </w:pPr>
    </w:lvl>
    <w:lvl w:ilvl="7" w:tentative="0">
      <w:start w:val="1"/>
      <w:numFmt w:val="lowerLetter"/>
      <w:lvlText w:val="%8)"/>
      <w:lvlJc w:val="left"/>
      <w:pPr>
        <w:ind w:left="4216" w:hanging="440"/>
      </w:pPr>
    </w:lvl>
    <w:lvl w:ilvl="8" w:tentative="0">
      <w:start w:val="1"/>
      <w:numFmt w:val="lowerRoman"/>
      <w:lvlText w:val="%9."/>
      <w:lvlJc w:val="right"/>
      <w:pPr>
        <w:ind w:left="4656" w:hanging="440"/>
      </w:pPr>
    </w:lvl>
  </w:abstractNum>
  <w:abstractNum w:abstractNumId="15">
    <w:nsid w:val="49D70DBC"/>
    <w:multiLevelType w:val="multilevel"/>
    <w:tmpl w:val="49D70DBC"/>
    <w:lvl w:ilvl="0" w:tentative="0">
      <w:start w:val="1"/>
      <w:numFmt w:val="decimal"/>
      <w:lvlText w:val="（%1）"/>
      <w:lvlJc w:val="left"/>
      <w:pPr>
        <w:ind w:left="1083" w:hanging="440"/>
      </w:pPr>
      <w:rPr>
        <w:rFonts w:hint="eastAsia" w:eastAsia="宋体"/>
        <w:b w:val="0"/>
        <w:i w:val="0"/>
        <w:sz w:val="30"/>
      </w:rPr>
    </w:lvl>
    <w:lvl w:ilvl="1" w:tentative="0">
      <w:start w:val="1"/>
      <w:numFmt w:val="decimal"/>
      <w:lvlText w:val="（%2）"/>
      <w:lvlJc w:val="left"/>
      <w:pPr>
        <w:ind w:left="880" w:hanging="440"/>
      </w:pPr>
      <w:rPr>
        <w:rFonts w:hint="eastAsia"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6">
    <w:nsid w:val="4C312E63"/>
    <w:multiLevelType w:val="multilevel"/>
    <w:tmpl w:val="4C312E63"/>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7">
    <w:nsid w:val="52BB074E"/>
    <w:multiLevelType w:val="multilevel"/>
    <w:tmpl w:val="52BB074E"/>
    <w:lvl w:ilvl="0" w:tentative="0">
      <w:start w:val="1"/>
      <w:numFmt w:val="decimal"/>
      <w:lvlText w:val="（%1）"/>
      <w:lvlJc w:val="left"/>
      <w:pPr>
        <w:ind w:left="1083" w:hanging="440"/>
      </w:pPr>
      <w:rPr>
        <w:rFonts w:hint="eastAsia" w:eastAsia="宋体"/>
        <w:b w:val="0"/>
        <w:i w:val="0"/>
        <w:sz w:val="30"/>
      </w:rPr>
    </w:lvl>
    <w:lvl w:ilvl="1" w:tentative="0">
      <w:start w:val="1"/>
      <w:numFmt w:val="decimal"/>
      <w:lvlText w:val="（%2）"/>
      <w:lvlJc w:val="left"/>
      <w:pPr>
        <w:ind w:left="1083" w:hanging="440"/>
      </w:pPr>
      <w:rPr>
        <w:rFonts w:hint="default" w:ascii="Times New Roman" w:hAnsi="Times New Roman"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8">
    <w:nsid w:val="5F5CF3AF"/>
    <w:multiLevelType w:val="singleLevel"/>
    <w:tmpl w:val="5F5CF3AF"/>
    <w:lvl w:ilvl="0" w:tentative="0">
      <w:start w:val="1"/>
      <w:numFmt w:val="decimal"/>
      <w:lvlText w:val="（%1）"/>
      <w:lvlJc w:val="left"/>
      <w:pPr>
        <w:ind w:left="1083" w:hanging="440"/>
      </w:pPr>
      <w:rPr>
        <w:rFonts w:hint="default" w:ascii="Times New Roman" w:hAnsi="Times New Roman" w:eastAsia="宋体"/>
        <w:b w:val="0"/>
        <w:i w:val="0"/>
        <w:sz w:val="30"/>
      </w:rPr>
    </w:lvl>
  </w:abstractNum>
  <w:abstractNum w:abstractNumId="19">
    <w:nsid w:val="698573F1"/>
    <w:multiLevelType w:val="multilevel"/>
    <w:tmpl w:val="698573F1"/>
    <w:lvl w:ilvl="0" w:tentative="0">
      <w:start w:val="1"/>
      <w:numFmt w:val="decimal"/>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20">
    <w:nsid w:val="6A970181"/>
    <w:multiLevelType w:val="multilevel"/>
    <w:tmpl w:val="6A970181"/>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decimal"/>
      <w:lvlText w:val="%3."/>
      <w:lvlJc w:val="left"/>
      <w:pPr>
        <w:ind w:left="1963" w:hanging="440"/>
      </w:pPr>
      <w:rPr>
        <w:rFonts w:hint="eastAsia"/>
      </w:r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21">
    <w:nsid w:val="6DA936AD"/>
    <w:multiLevelType w:val="multilevel"/>
    <w:tmpl w:val="6DA936AD"/>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decimal"/>
      <w:lvlText w:val="（%2）"/>
      <w:lvlJc w:val="left"/>
      <w:pPr>
        <w:ind w:left="440" w:hanging="440"/>
      </w:pPr>
      <w:rPr>
        <w:rFonts w:hint="default" w:ascii="Times New Roman" w:hAnsi="Times New Roman"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22">
    <w:nsid w:val="6E3D6207"/>
    <w:multiLevelType w:val="multilevel"/>
    <w:tmpl w:val="6E3D6207"/>
    <w:lvl w:ilvl="0" w:tentative="0">
      <w:start w:val="1"/>
      <w:numFmt w:val="decimal"/>
      <w:lvlText w:val="（%1）"/>
      <w:lvlJc w:val="left"/>
      <w:pPr>
        <w:ind w:left="1083" w:hanging="440"/>
      </w:pPr>
      <w:rPr>
        <w:rFonts w:hint="eastAsia" w:eastAsia="宋体"/>
        <w:b w:val="0"/>
        <w:i w:val="0"/>
        <w:sz w:val="30"/>
      </w:rPr>
    </w:lvl>
    <w:lvl w:ilvl="1" w:tentative="0">
      <w:start w:val="1"/>
      <w:numFmt w:val="decimal"/>
      <w:lvlText w:val="（%2）"/>
      <w:lvlJc w:val="left"/>
      <w:pPr>
        <w:ind w:left="1083" w:hanging="440"/>
      </w:pPr>
      <w:rPr>
        <w:rFonts w:hint="default" w:ascii="Times New Roman" w:hAnsi="Times New Roman"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23">
    <w:nsid w:val="742C1AAA"/>
    <w:multiLevelType w:val="multilevel"/>
    <w:tmpl w:val="742C1AAA"/>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24">
    <w:nsid w:val="74D14C6F"/>
    <w:multiLevelType w:val="multilevel"/>
    <w:tmpl w:val="74D14C6F"/>
    <w:lvl w:ilvl="0" w:tentative="0">
      <w:start w:val="1"/>
      <w:numFmt w:val="decimal"/>
      <w:lvlText w:val="%1."/>
      <w:lvlJc w:val="left"/>
      <w:pPr>
        <w:ind w:left="1083" w:hanging="440"/>
      </w:pPr>
    </w:lvl>
    <w:lvl w:ilvl="1" w:tentative="0">
      <w:start w:val="1"/>
      <w:numFmt w:val="decimal"/>
      <w:lvlText w:val="（%2）"/>
      <w:lvlJc w:val="left"/>
      <w:pPr>
        <w:ind w:left="2163" w:hanging="1080"/>
      </w:pPr>
      <w:rPr>
        <w:rFonts w:hint="default"/>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num w:numId="1">
    <w:abstractNumId w:val="8"/>
  </w:num>
  <w:num w:numId="2">
    <w:abstractNumId w:val="24"/>
  </w:num>
  <w:num w:numId="3">
    <w:abstractNumId w:val="18"/>
  </w:num>
  <w:num w:numId="4">
    <w:abstractNumId w:val="19"/>
  </w:num>
  <w:num w:numId="5">
    <w:abstractNumId w:val="12"/>
  </w:num>
  <w:num w:numId="6">
    <w:abstractNumId w:val="20"/>
  </w:num>
  <w:num w:numId="7">
    <w:abstractNumId w:val="16"/>
  </w:num>
  <w:num w:numId="8">
    <w:abstractNumId w:val="14"/>
  </w:num>
  <w:num w:numId="9">
    <w:abstractNumId w:val="7"/>
  </w:num>
  <w:num w:numId="10">
    <w:abstractNumId w:val="11"/>
  </w:num>
  <w:num w:numId="11">
    <w:abstractNumId w:val="21"/>
  </w:num>
  <w:num w:numId="12">
    <w:abstractNumId w:val="15"/>
  </w:num>
  <w:num w:numId="13">
    <w:abstractNumId w:val="17"/>
  </w:num>
  <w:num w:numId="14">
    <w:abstractNumId w:val="9"/>
  </w:num>
  <w:num w:numId="15">
    <w:abstractNumId w:val="23"/>
  </w:num>
  <w:num w:numId="16">
    <w:abstractNumId w:val="22"/>
  </w:num>
  <w:num w:numId="17">
    <w:abstractNumId w:val="5"/>
  </w:num>
  <w:num w:numId="18">
    <w:abstractNumId w:val="3"/>
  </w:num>
  <w:num w:numId="19">
    <w:abstractNumId w:val="0"/>
  </w:num>
  <w:num w:numId="20">
    <w:abstractNumId w:val="13"/>
  </w:num>
  <w:num w:numId="21">
    <w:abstractNumId w:val="2"/>
  </w:num>
  <w:num w:numId="22">
    <w:abstractNumId w:val="4"/>
  </w:num>
  <w:num w:numId="23">
    <w:abstractNumId w:val="6"/>
  </w:num>
  <w:num w:numId="24">
    <w:abstractNumId w:val="1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nforcement="0"/>
  <w:defaultTabStop w:val="0"/>
  <w:drawingGridHorizontalSpacing w:val="320"/>
  <w:drawingGridVerticalSpacing w:val="218"/>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iODQzM2I1NzU0ZGVlMjE0M2FlOGJkZGNlZDg2ZjQifQ=="/>
  </w:docVars>
  <w:rsids>
    <w:rsidRoot w:val="4F7A8AD3"/>
    <w:rsid w:val="00002F43"/>
    <w:rsid w:val="0000756A"/>
    <w:rsid w:val="000107C4"/>
    <w:rsid w:val="00012E9F"/>
    <w:rsid w:val="0001313D"/>
    <w:rsid w:val="000164AE"/>
    <w:rsid w:val="000179D5"/>
    <w:rsid w:val="00021AFF"/>
    <w:rsid w:val="00034FE8"/>
    <w:rsid w:val="000505D7"/>
    <w:rsid w:val="00057BF8"/>
    <w:rsid w:val="00062E23"/>
    <w:rsid w:val="00063830"/>
    <w:rsid w:val="00073A2B"/>
    <w:rsid w:val="00076246"/>
    <w:rsid w:val="00076A1E"/>
    <w:rsid w:val="00083F6C"/>
    <w:rsid w:val="00085D34"/>
    <w:rsid w:val="00087DFC"/>
    <w:rsid w:val="00093DCE"/>
    <w:rsid w:val="00095303"/>
    <w:rsid w:val="000958B3"/>
    <w:rsid w:val="00096240"/>
    <w:rsid w:val="000A3653"/>
    <w:rsid w:val="000C0153"/>
    <w:rsid w:val="000C473B"/>
    <w:rsid w:val="000C57FC"/>
    <w:rsid w:val="000D55E1"/>
    <w:rsid w:val="000D5EC8"/>
    <w:rsid w:val="000E783D"/>
    <w:rsid w:val="001010D1"/>
    <w:rsid w:val="001041AF"/>
    <w:rsid w:val="0010788A"/>
    <w:rsid w:val="00110355"/>
    <w:rsid w:val="001203E9"/>
    <w:rsid w:val="001232D4"/>
    <w:rsid w:val="00134BCC"/>
    <w:rsid w:val="00135F5F"/>
    <w:rsid w:val="001375EF"/>
    <w:rsid w:val="00146839"/>
    <w:rsid w:val="00150C9D"/>
    <w:rsid w:val="00151587"/>
    <w:rsid w:val="00153D21"/>
    <w:rsid w:val="00164A0B"/>
    <w:rsid w:val="00166B9F"/>
    <w:rsid w:val="00171CA9"/>
    <w:rsid w:val="00173F6A"/>
    <w:rsid w:val="001857A5"/>
    <w:rsid w:val="00190240"/>
    <w:rsid w:val="00195636"/>
    <w:rsid w:val="00196271"/>
    <w:rsid w:val="001A1092"/>
    <w:rsid w:val="001A2C2F"/>
    <w:rsid w:val="001A550D"/>
    <w:rsid w:val="001C2996"/>
    <w:rsid w:val="001C6994"/>
    <w:rsid w:val="001D4786"/>
    <w:rsid w:val="001D4787"/>
    <w:rsid w:val="001D4E83"/>
    <w:rsid w:val="001D5160"/>
    <w:rsid w:val="001D6C0F"/>
    <w:rsid w:val="001D7093"/>
    <w:rsid w:val="0020442B"/>
    <w:rsid w:val="002133D0"/>
    <w:rsid w:val="00240867"/>
    <w:rsid w:val="002478BE"/>
    <w:rsid w:val="00247CE2"/>
    <w:rsid w:val="00255318"/>
    <w:rsid w:val="00256286"/>
    <w:rsid w:val="00263E0E"/>
    <w:rsid w:val="002751AB"/>
    <w:rsid w:val="00275CD1"/>
    <w:rsid w:val="002B6FB5"/>
    <w:rsid w:val="002C14AD"/>
    <w:rsid w:val="002C5EFF"/>
    <w:rsid w:val="002D3711"/>
    <w:rsid w:val="002D4F9E"/>
    <w:rsid w:val="002D7E20"/>
    <w:rsid w:val="002E795B"/>
    <w:rsid w:val="002F4D66"/>
    <w:rsid w:val="00307935"/>
    <w:rsid w:val="003145E7"/>
    <w:rsid w:val="0032225C"/>
    <w:rsid w:val="00325404"/>
    <w:rsid w:val="00326F73"/>
    <w:rsid w:val="003325AD"/>
    <w:rsid w:val="0033593D"/>
    <w:rsid w:val="00340524"/>
    <w:rsid w:val="00341AC7"/>
    <w:rsid w:val="00342A2D"/>
    <w:rsid w:val="00344CF0"/>
    <w:rsid w:val="00347F9C"/>
    <w:rsid w:val="00350221"/>
    <w:rsid w:val="003533C3"/>
    <w:rsid w:val="003716B9"/>
    <w:rsid w:val="0037460A"/>
    <w:rsid w:val="003757C7"/>
    <w:rsid w:val="0037607E"/>
    <w:rsid w:val="003A3046"/>
    <w:rsid w:val="003A5EBC"/>
    <w:rsid w:val="003B5493"/>
    <w:rsid w:val="003C72DF"/>
    <w:rsid w:val="003E74AB"/>
    <w:rsid w:val="003F00D9"/>
    <w:rsid w:val="003F5A52"/>
    <w:rsid w:val="00402EE2"/>
    <w:rsid w:val="004036F8"/>
    <w:rsid w:val="00404D59"/>
    <w:rsid w:val="00411453"/>
    <w:rsid w:val="004127C1"/>
    <w:rsid w:val="00420EE4"/>
    <w:rsid w:val="00424572"/>
    <w:rsid w:val="00425AA2"/>
    <w:rsid w:val="00426C1D"/>
    <w:rsid w:val="00442036"/>
    <w:rsid w:val="00444A2D"/>
    <w:rsid w:val="00446C79"/>
    <w:rsid w:val="00456BAF"/>
    <w:rsid w:val="0045765A"/>
    <w:rsid w:val="00460E18"/>
    <w:rsid w:val="00461328"/>
    <w:rsid w:val="00470228"/>
    <w:rsid w:val="00470A91"/>
    <w:rsid w:val="00475575"/>
    <w:rsid w:val="00483ED2"/>
    <w:rsid w:val="00485063"/>
    <w:rsid w:val="004B4323"/>
    <w:rsid w:val="004C1F78"/>
    <w:rsid w:val="004D1A6F"/>
    <w:rsid w:val="004D3208"/>
    <w:rsid w:val="004D5770"/>
    <w:rsid w:val="004D6F41"/>
    <w:rsid w:val="004D72EC"/>
    <w:rsid w:val="004E5660"/>
    <w:rsid w:val="004F1182"/>
    <w:rsid w:val="004F70C3"/>
    <w:rsid w:val="00501B5D"/>
    <w:rsid w:val="00504DBE"/>
    <w:rsid w:val="00505188"/>
    <w:rsid w:val="005071ED"/>
    <w:rsid w:val="00507D16"/>
    <w:rsid w:val="005234A4"/>
    <w:rsid w:val="00524A69"/>
    <w:rsid w:val="0052667A"/>
    <w:rsid w:val="00531809"/>
    <w:rsid w:val="0054287F"/>
    <w:rsid w:val="0056059D"/>
    <w:rsid w:val="005721D5"/>
    <w:rsid w:val="00575A52"/>
    <w:rsid w:val="00581297"/>
    <w:rsid w:val="005819FA"/>
    <w:rsid w:val="005838EF"/>
    <w:rsid w:val="00584E01"/>
    <w:rsid w:val="00596E4B"/>
    <w:rsid w:val="005A316C"/>
    <w:rsid w:val="005D4E52"/>
    <w:rsid w:val="005F0879"/>
    <w:rsid w:val="005F0A6C"/>
    <w:rsid w:val="005F175C"/>
    <w:rsid w:val="005F2438"/>
    <w:rsid w:val="005F2469"/>
    <w:rsid w:val="005F3A2E"/>
    <w:rsid w:val="005F3E21"/>
    <w:rsid w:val="005F574A"/>
    <w:rsid w:val="005F5DC4"/>
    <w:rsid w:val="005F6AFF"/>
    <w:rsid w:val="006120CC"/>
    <w:rsid w:val="00615320"/>
    <w:rsid w:val="006176FF"/>
    <w:rsid w:val="00622DD4"/>
    <w:rsid w:val="006334FD"/>
    <w:rsid w:val="00633B49"/>
    <w:rsid w:val="00635D11"/>
    <w:rsid w:val="00641113"/>
    <w:rsid w:val="00644555"/>
    <w:rsid w:val="006502B1"/>
    <w:rsid w:val="00652071"/>
    <w:rsid w:val="00655989"/>
    <w:rsid w:val="00661897"/>
    <w:rsid w:val="006646D3"/>
    <w:rsid w:val="00674F98"/>
    <w:rsid w:val="00683371"/>
    <w:rsid w:val="00685C8B"/>
    <w:rsid w:val="00686A44"/>
    <w:rsid w:val="00690C57"/>
    <w:rsid w:val="006A145F"/>
    <w:rsid w:val="006A4213"/>
    <w:rsid w:val="006B42E5"/>
    <w:rsid w:val="006C3437"/>
    <w:rsid w:val="006C781F"/>
    <w:rsid w:val="006D07D2"/>
    <w:rsid w:val="006E4893"/>
    <w:rsid w:val="006E7D6F"/>
    <w:rsid w:val="006F4D8E"/>
    <w:rsid w:val="006F51DE"/>
    <w:rsid w:val="007007A1"/>
    <w:rsid w:val="00702086"/>
    <w:rsid w:val="00712171"/>
    <w:rsid w:val="00717083"/>
    <w:rsid w:val="00721F20"/>
    <w:rsid w:val="0072324F"/>
    <w:rsid w:val="007326DB"/>
    <w:rsid w:val="00734C2A"/>
    <w:rsid w:val="007420A1"/>
    <w:rsid w:val="007471CA"/>
    <w:rsid w:val="00753430"/>
    <w:rsid w:val="0076196C"/>
    <w:rsid w:val="00761FBD"/>
    <w:rsid w:val="00783AD6"/>
    <w:rsid w:val="00783B80"/>
    <w:rsid w:val="00784593"/>
    <w:rsid w:val="00785C4B"/>
    <w:rsid w:val="00793381"/>
    <w:rsid w:val="00793429"/>
    <w:rsid w:val="00794BA7"/>
    <w:rsid w:val="007C258E"/>
    <w:rsid w:val="007C2905"/>
    <w:rsid w:val="007C43E4"/>
    <w:rsid w:val="007C5302"/>
    <w:rsid w:val="007C6DAD"/>
    <w:rsid w:val="007D479D"/>
    <w:rsid w:val="007E7A2D"/>
    <w:rsid w:val="007F6143"/>
    <w:rsid w:val="007F7452"/>
    <w:rsid w:val="00813D7A"/>
    <w:rsid w:val="00815148"/>
    <w:rsid w:val="0082345E"/>
    <w:rsid w:val="00823628"/>
    <w:rsid w:val="00830AB9"/>
    <w:rsid w:val="00846766"/>
    <w:rsid w:val="00861702"/>
    <w:rsid w:val="00873085"/>
    <w:rsid w:val="0087318D"/>
    <w:rsid w:val="0087750F"/>
    <w:rsid w:val="008927EC"/>
    <w:rsid w:val="00893251"/>
    <w:rsid w:val="008C14F2"/>
    <w:rsid w:val="008C22C6"/>
    <w:rsid w:val="008C2964"/>
    <w:rsid w:val="008D08A7"/>
    <w:rsid w:val="008E521D"/>
    <w:rsid w:val="008F366B"/>
    <w:rsid w:val="008F395F"/>
    <w:rsid w:val="008F4459"/>
    <w:rsid w:val="008F714F"/>
    <w:rsid w:val="00902C3A"/>
    <w:rsid w:val="00906238"/>
    <w:rsid w:val="00926C30"/>
    <w:rsid w:val="00932B2E"/>
    <w:rsid w:val="0095131C"/>
    <w:rsid w:val="009552D7"/>
    <w:rsid w:val="00955E43"/>
    <w:rsid w:val="009675C1"/>
    <w:rsid w:val="00983A95"/>
    <w:rsid w:val="0099308A"/>
    <w:rsid w:val="00994E19"/>
    <w:rsid w:val="009A2A85"/>
    <w:rsid w:val="009A5640"/>
    <w:rsid w:val="009B0AAE"/>
    <w:rsid w:val="009C09FE"/>
    <w:rsid w:val="009C170A"/>
    <w:rsid w:val="009C43F0"/>
    <w:rsid w:val="009C4F09"/>
    <w:rsid w:val="009C5740"/>
    <w:rsid w:val="009C58C9"/>
    <w:rsid w:val="009C5B69"/>
    <w:rsid w:val="009D437F"/>
    <w:rsid w:val="009E3863"/>
    <w:rsid w:val="009E4770"/>
    <w:rsid w:val="009E4B25"/>
    <w:rsid w:val="009E6234"/>
    <w:rsid w:val="009F07B4"/>
    <w:rsid w:val="009F5D01"/>
    <w:rsid w:val="00A153B3"/>
    <w:rsid w:val="00A170E7"/>
    <w:rsid w:val="00A1796C"/>
    <w:rsid w:val="00A20676"/>
    <w:rsid w:val="00A24497"/>
    <w:rsid w:val="00A3140D"/>
    <w:rsid w:val="00A35124"/>
    <w:rsid w:val="00A3572F"/>
    <w:rsid w:val="00A369F0"/>
    <w:rsid w:val="00A427FC"/>
    <w:rsid w:val="00A42946"/>
    <w:rsid w:val="00A433F7"/>
    <w:rsid w:val="00A57094"/>
    <w:rsid w:val="00A57C3E"/>
    <w:rsid w:val="00A644C7"/>
    <w:rsid w:val="00A70EE0"/>
    <w:rsid w:val="00A73A2A"/>
    <w:rsid w:val="00A748BB"/>
    <w:rsid w:val="00A77814"/>
    <w:rsid w:val="00A972BF"/>
    <w:rsid w:val="00AA12B6"/>
    <w:rsid w:val="00AA47C4"/>
    <w:rsid w:val="00AB023D"/>
    <w:rsid w:val="00AB2072"/>
    <w:rsid w:val="00AC01DF"/>
    <w:rsid w:val="00AC0A90"/>
    <w:rsid w:val="00AC49F5"/>
    <w:rsid w:val="00AC6EC1"/>
    <w:rsid w:val="00AE0E69"/>
    <w:rsid w:val="00AF123B"/>
    <w:rsid w:val="00AF42B4"/>
    <w:rsid w:val="00B1012B"/>
    <w:rsid w:val="00B14C98"/>
    <w:rsid w:val="00B17C4C"/>
    <w:rsid w:val="00B22640"/>
    <w:rsid w:val="00B42992"/>
    <w:rsid w:val="00B474B0"/>
    <w:rsid w:val="00B520E3"/>
    <w:rsid w:val="00B55A72"/>
    <w:rsid w:val="00B56F27"/>
    <w:rsid w:val="00B60B60"/>
    <w:rsid w:val="00B72471"/>
    <w:rsid w:val="00B72AB0"/>
    <w:rsid w:val="00B826C9"/>
    <w:rsid w:val="00B82C97"/>
    <w:rsid w:val="00B87755"/>
    <w:rsid w:val="00BB2B30"/>
    <w:rsid w:val="00BB30FE"/>
    <w:rsid w:val="00BB602C"/>
    <w:rsid w:val="00BB7066"/>
    <w:rsid w:val="00BD5F12"/>
    <w:rsid w:val="00BE2F84"/>
    <w:rsid w:val="00BE6048"/>
    <w:rsid w:val="00BF13FA"/>
    <w:rsid w:val="00BF3406"/>
    <w:rsid w:val="00C07223"/>
    <w:rsid w:val="00C1471C"/>
    <w:rsid w:val="00C20B4B"/>
    <w:rsid w:val="00C21C0D"/>
    <w:rsid w:val="00C22E6A"/>
    <w:rsid w:val="00C26858"/>
    <w:rsid w:val="00C40C1F"/>
    <w:rsid w:val="00C473C3"/>
    <w:rsid w:val="00C51F46"/>
    <w:rsid w:val="00C53BF9"/>
    <w:rsid w:val="00C56A00"/>
    <w:rsid w:val="00C7136B"/>
    <w:rsid w:val="00C71524"/>
    <w:rsid w:val="00C80039"/>
    <w:rsid w:val="00C83D2B"/>
    <w:rsid w:val="00C910C3"/>
    <w:rsid w:val="00C96341"/>
    <w:rsid w:val="00C96BDD"/>
    <w:rsid w:val="00CA534D"/>
    <w:rsid w:val="00CA7C9E"/>
    <w:rsid w:val="00CB0669"/>
    <w:rsid w:val="00CB4046"/>
    <w:rsid w:val="00CB6FFC"/>
    <w:rsid w:val="00CB7679"/>
    <w:rsid w:val="00CB7CD5"/>
    <w:rsid w:val="00CC161B"/>
    <w:rsid w:val="00CD0094"/>
    <w:rsid w:val="00CD0DBD"/>
    <w:rsid w:val="00CD5883"/>
    <w:rsid w:val="00CD6026"/>
    <w:rsid w:val="00CD7BA1"/>
    <w:rsid w:val="00CE6ED6"/>
    <w:rsid w:val="00D02678"/>
    <w:rsid w:val="00D0603A"/>
    <w:rsid w:val="00D10CEA"/>
    <w:rsid w:val="00D26CDD"/>
    <w:rsid w:val="00D34698"/>
    <w:rsid w:val="00D47AD7"/>
    <w:rsid w:val="00D503E5"/>
    <w:rsid w:val="00D60049"/>
    <w:rsid w:val="00D64060"/>
    <w:rsid w:val="00D6747B"/>
    <w:rsid w:val="00D71220"/>
    <w:rsid w:val="00D72F36"/>
    <w:rsid w:val="00D86CE4"/>
    <w:rsid w:val="00D90220"/>
    <w:rsid w:val="00D91026"/>
    <w:rsid w:val="00D9191B"/>
    <w:rsid w:val="00D965A3"/>
    <w:rsid w:val="00DC066B"/>
    <w:rsid w:val="00DC492F"/>
    <w:rsid w:val="00DC513A"/>
    <w:rsid w:val="00DC518C"/>
    <w:rsid w:val="00DC5AA3"/>
    <w:rsid w:val="00DC6228"/>
    <w:rsid w:val="00DE1836"/>
    <w:rsid w:val="00DF196E"/>
    <w:rsid w:val="00DF62A7"/>
    <w:rsid w:val="00E06C34"/>
    <w:rsid w:val="00E072FA"/>
    <w:rsid w:val="00E12F0E"/>
    <w:rsid w:val="00E1337B"/>
    <w:rsid w:val="00E13E17"/>
    <w:rsid w:val="00E200F2"/>
    <w:rsid w:val="00E226C0"/>
    <w:rsid w:val="00E32685"/>
    <w:rsid w:val="00E33445"/>
    <w:rsid w:val="00E37B72"/>
    <w:rsid w:val="00E438D2"/>
    <w:rsid w:val="00E5269E"/>
    <w:rsid w:val="00E554C7"/>
    <w:rsid w:val="00E56AA0"/>
    <w:rsid w:val="00E63AE7"/>
    <w:rsid w:val="00E843CD"/>
    <w:rsid w:val="00E863C6"/>
    <w:rsid w:val="00EA09C3"/>
    <w:rsid w:val="00EA68ED"/>
    <w:rsid w:val="00EB18C1"/>
    <w:rsid w:val="00EC0080"/>
    <w:rsid w:val="00EC0BDD"/>
    <w:rsid w:val="00EC313B"/>
    <w:rsid w:val="00EC4ECB"/>
    <w:rsid w:val="00ED32E9"/>
    <w:rsid w:val="00ED4FE8"/>
    <w:rsid w:val="00ED54C7"/>
    <w:rsid w:val="00EE436F"/>
    <w:rsid w:val="00EE5712"/>
    <w:rsid w:val="00EF139A"/>
    <w:rsid w:val="00F00013"/>
    <w:rsid w:val="00F00303"/>
    <w:rsid w:val="00F03024"/>
    <w:rsid w:val="00F05FCC"/>
    <w:rsid w:val="00F16884"/>
    <w:rsid w:val="00F17B08"/>
    <w:rsid w:val="00F17EB0"/>
    <w:rsid w:val="00F20713"/>
    <w:rsid w:val="00F23161"/>
    <w:rsid w:val="00F36748"/>
    <w:rsid w:val="00F40AC0"/>
    <w:rsid w:val="00F453A5"/>
    <w:rsid w:val="00F50504"/>
    <w:rsid w:val="00F615E1"/>
    <w:rsid w:val="00F715AB"/>
    <w:rsid w:val="00F728D0"/>
    <w:rsid w:val="00F7344E"/>
    <w:rsid w:val="00F7344F"/>
    <w:rsid w:val="00F77C12"/>
    <w:rsid w:val="00F90D69"/>
    <w:rsid w:val="00F930AE"/>
    <w:rsid w:val="00F9691B"/>
    <w:rsid w:val="00FA36D3"/>
    <w:rsid w:val="00FA542C"/>
    <w:rsid w:val="00FA665B"/>
    <w:rsid w:val="00FA6D36"/>
    <w:rsid w:val="00FB13E1"/>
    <w:rsid w:val="00FB2157"/>
    <w:rsid w:val="00FB565A"/>
    <w:rsid w:val="00FE16B1"/>
    <w:rsid w:val="00FE5CA2"/>
    <w:rsid w:val="00FE6F85"/>
    <w:rsid w:val="010D7F30"/>
    <w:rsid w:val="01117D6F"/>
    <w:rsid w:val="014431CE"/>
    <w:rsid w:val="017429E7"/>
    <w:rsid w:val="018D5CEF"/>
    <w:rsid w:val="02751025"/>
    <w:rsid w:val="031A1D53"/>
    <w:rsid w:val="04141952"/>
    <w:rsid w:val="047C7B07"/>
    <w:rsid w:val="04940D57"/>
    <w:rsid w:val="05185B62"/>
    <w:rsid w:val="055957B0"/>
    <w:rsid w:val="059D5B4A"/>
    <w:rsid w:val="05CE7E25"/>
    <w:rsid w:val="0605089E"/>
    <w:rsid w:val="060D4527"/>
    <w:rsid w:val="062F578F"/>
    <w:rsid w:val="06B22274"/>
    <w:rsid w:val="070A234B"/>
    <w:rsid w:val="07364783"/>
    <w:rsid w:val="07DB3825"/>
    <w:rsid w:val="07F523BE"/>
    <w:rsid w:val="084E08CF"/>
    <w:rsid w:val="08747CBA"/>
    <w:rsid w:val="08E700E4"/>
    <w:rsid w:val="0932556D"/>
    <w:rsid w:val="09C1086F"/>
    <w:rsid w:val="0A6174F1"/>
    <w:rsid w:val="0A9052A5"/>
    <w:rsid w:val="0AA11362"/>
    <w:rsid w:val="0AA9774E"/>
    <w:rsid w:val="0ACE1EFF"/>
    <w:rsid w:val="0B602456"/>
    <w:rsid w:val="0B754A2E"/>
    <w:rsid w:val="0B964365"/>
    <w:rsid w:val="0C3E1634"/>
    <w:rsid w:val="0C961EA1"/>
    <w:rsid w:val="0CA1440F"/>
    <w:rsid w:val="0CC6368C"/>
    <w:rsid w:val="0CDF57F4"/>
    <w:rsid w:val="0D586737"/>
    <w:rsid w:val="0D874AFD"/>
    <w:rsid w:val="0DD37EFF"/>
    <w:rsid w:val="0DE8365F"/>
    <w:rsid w:val="0E483F00"/>
    <w:rsid w:val="0E5534A8"/>
    <w:rsid w:val="0EA56944"/>
    <w:rsid w:val="0F305352"/>
    <w:rsid w:val="0F8F5F37"/>
    <w:rsid w:val="0F95754D"/>
    <w:rsid w:val="0FB50233"/>
    <w:rsid w:val="0FB64EB2"/>
    <w:rsid w:val="10027626"/>
    <w:rsid w:val="100824F0"/>
    <w:rsid w:val="103C2EC5"/>
    <w:rsid w:val="10CD4389"/>
    <w:rsid w:val="11326EB7"/>
    <w:rsid w:val="11844B5F"/>
    <w:rsid w:val="11AE7C91"/>
    <w:rsid w:val="12911695"/>
    <w:rsid w:val="129D460C"/>
    <w:rsid w:val="12C53952"/>
    <w:rsid w:val="1309727C"/>
    <w:rsid w:val="13B14536"/>
    <w:rsid w:val="144A13CC"/>
    <w:rsid w:val="15D16546"/>
    <w:rsid w:val="15E25369"/>
    <w:rsid w:val="15FD4C47"/>
    <w:rsid w:val="16574ED9"/>
    <w:rsid w:val="16FA78CA"/>
    <w:rsid w:val="172C0C94"/>
    <w:rsid w:val="178158FD"/>
    <w:rsid w:val="19166917"/>
    <w:rsid w:val="19F566BA"/>
    <w:rsid w:val="1A807E56"/>
    <w:rsid w:val="1AA80D1D"/>
    <w:rsid w:val="1AE16358"/>
    <w:rsid w:val="1B5F2753"/>
    <w:rsid w:val="1BB04A8B"/>
    <w:rsid w:val="1BD15AF4"/>
    <w:rsid w:val="1BD92985"/>
    <w:rsid w:val="1C493328"/>
    <w:rsid w:val="1CB61DB0"/>
    <w:rsid w:val="1DBA2C3C"/>
    <w:rsid w:val="1DBD8960"/>
    <w:rsid w:val="1E5410D3"/>
    <w:rsid w:val="1E776B18"/>
    <w:rsid w:val="1EC12CF5"/>
    <w:rsid w:val="1EE2328C"/>
    <w:rsid w:val="1FAA5120"/>
    <w:rsid w:val="1FB42712"/>
    <w:rsid w:val="1FBF3DD5"/>
    <w:rsid w:val="1FEA5825"/>
    <w:rsid w:val="1FF73375"/>
    <w:rsid w:val="21533B1C"/>
    <w:rsid w:val="22664AB8"/>
    <w:rsid w:val="22A7A1EE"/>
    <w:rsid w:val="23815F46"/>
    <w:rsid w:val="23B80D70"/>
    <w:rsid w:val="23D46DC8"/>
    <w:rsid w:val="24526CBD"/>
    <w:rsid w:val="2699450E"/>
    <w:rsid w:val="26E7E34E"/>
    <w:rsid w:val="27DF7465"/>
    <w:rsid w:val="27FA547A"/>
    <w:rsid w:val="27FB2575"/>
    <w:rsid w:val="28693591"/>
    <w:rsid w:val="289E713B"/>
    <w:rsid w:val="28FF0C21"/>
    <w:rsid w:val="29365167"/>
    <w:rsid w:val="296F084C"/>
    <w:rsid w:val="2987051D"/>
    <w:rsid w:val="29FE4B95"/>
    <w:rsid w:val="2A455781"/>
    <w:rsid w:val="2A7A3965"/>
    <w:rsid w:val="2A80787C"/>
    <w:rsid w:val="2A871445"/>
    <w:rsid w:val="2A8F3EC9"/>
    <w:rsid w:val="2A93505E"/>
    <w:rsid w:val="2B6A1718"/>
    <w:rsid w:val="2B7FCBC1"/>
    <w:rsid w:val="2B8024D8"/>
    <w:rsid w:val="2C002159"/>
    <w:rsid w:val="2DD75DC8"/>
    <w:rsid w:val="2DDC2557"/>
    <w:rsid w:val="2DE73540"/>
    <w:rsid w:val="2DEF151A"/>
    <w:rsid w:val="2DF769DC"/>
    <w:rsid w:val="2DFDCA5F"/>
    <w:rsid w:val="2DFDEF9D"/>
    <w:rsid w:val="2DFE9ED2"/>
    <w:rsid w:val="2EA92E66"/>
    <w:rsid w:val="2ECA0CB3"/>
    <w:rsid w:val="2ED50269"/>
    <w:rsid w:val="2EED128A"/>
    <w:rsid w:val="2F33419E"/>
    <w:rsid w:val="2F453EFD"/>
    <w:rsid w:val="2F7A4177"/>
    <w:rsid w:val="2F8467B9"/>
    <w:rsid w:val="2FBB8AD3"/>
    <w:rsid w:val="2FCB5855"/>
    <w:rsid w:val="2FF9E8AA"/>
    <w:rsid w:val="2FFF36BE"/>
    <w:rsid w:val="308A0E47"/>
    <w:rsid w:val="3115529C"/>
    <w:rsid w:val="31BE50FE"/>
    <w:rsid w:val="31D67385"/>
    <w:rsid w:val="31E47EE8"/>
    <w:rsid w:val="320B1AE3"/>
    <w:rsid w:val="32165B50"/>
    <w:rsid w:val="324D32EC"/>
    <w:rsid w:val="32701794"/>
    <w:rsid w:val="333D4B69"/>
    <w:rsid w:val="34151D3E"/>
    <w:rsid w:val="34727F6D"/>
    <w:rsid w:val="34967B08"/>
    <w:rsid w:val="34BF705E"/>
    <w:rsid w:val="35745447"/>
    <w:rsid w:val="35950425"/>
    <w:rsid w:val="370F669F"/>
    <w:rsid w:val="3756637E"/>
    <w:rsid w:val="377F486E"/>
    <w:rsid w:val="378B2B5D"/>
    <w:rsid w:val="37F9916F"/>
    <w:rsid w:val="381B47D2"/>
    <w:rsid w:val="386FACB3"/>
    <w:rsid w:val="38B30373"/>
    <w:rsid w:val="391D56C6"/>
    <w:rsid w:val="39A77F9D"/>
    <w:rsid w:val="39BFDD17"/>
    <w:rsid w:val="39DB6E99"/>
    <w:rsid w:val="39E9142E"/>
    <w:rsid w:val="3A080087"/>
    <w:rsid w:val="3A333EB2"/>
    <w:rsid w:val="3A4A6576"/>
    <w:rsid w:val="3A648840"/>
    <w:rsid w:val="3A723551"/>
    <w:rsid w:val="3A974416"/>
    <w:rsid w:val="3AC07947"/>
    <w:rsid w:val="3AEF411A"/>
    <w:rsid w:val="3AFF01EF"/>
    <w:rsid w:val="3B21383D"/>
    <w:rsid w:val="3B2D5FC6"/>
    <w:rsid w:val="3B3C4042"/>
    <w:rsid w:val="3B3DC2A9"/>
    <w:rsid w:val="3B777999"/>
    <w:rsid w:val="3BB165B1"/>
    <w:rsid w:val="3BB47A50"/>
    <w:rsid w:val="3BD78CFD"/>
    <w:rsid w:val="3BEFD7D2"/>
    <w:rsid w:val="3BFDE29B"/>
    <w:rsid w:val="3C3D7602"/>
    <w:rsid w:val="3CF4774B"/>
    <w:rsid w:val="3D31661F"/>
    <w:rsid w:val="3D5B219F"/>
    <w:rsid w:val="3D6BF3A2"/>
    <w:rsid w:val="3DFFC46E"/>
    <w:rsid w:val="3E0D277A"/>
    <w:rsid w:val="3E520203"/>
    <w:rsid w:val="3E6EBE7D"/>
    <w:rsid w:val="3EA606BD"/>
    <w:rsid w:val="3EB76EA9"/>
    <w:rsid w:val="3EBC1B98"/>
    <w:rsid w:val="3EEF565A"/>
    <w:rsid w:val="3EF7E3D7"/>
    <w:rsid w:val="3F6CBBE6"/>
    <w:rsid w:val="3F74406C"/>
    <w:rsid w:val="3F7D186B"/>
    <w:rsid w:val="3FC669A4"/>
    <w:rsid w:val="3FCF0EA0"/>
    <w:rsid w:val="3FDDF602"/>
    <w:rsid w:val="3FE55186"/>
    <w:rsid w:val="3FE9ABA6"/>
    <w:rsid w:val="3FED9C1C"/>
    <w:rsid w:val="3FF6647C"/>
    <w:rsid w:val="3FF7E6AC"/>
    <w:rsid w:val="3FFDF530"/>
    <w:rsid w:val="3FFF5B84"/>
    <w:rsid w:val="3FFF8AEA"/>
    <w:rsid w:val="3FFF953A"/>
    <w:rsid w:val="401B5E64"/>
    <w:rsid w:val="40D500DF"/>
    <w:rsid w:val="40E774C7"/>
    <w:rsid w:val="42294DF3"/>
    <w:rsid w:val="424700C4"/>
    <w:rsid w:val="42FA07E7"/>
    <w:rsid w:val="43513FEC"/>
    <w:rsid w:val="436810AE"/>
    <w:rsid w:val="437F7043"/>
    <w:rsid w:val="441B2C89"/>
    <w:rsid w:val="44EF1B00"/>
    <w:rsid w:val="457D256D"/>
    <w:rsid w:val="45CF4E46"/>
    <w:rsid w:val="463B3B02"/>
    <w:rsid w:val="46515BFC"/>
    <w:rsid w:val="46C45511"/>
    <w:rsid w:val="46F570F1"/>
    <w:rsid w:val="4778447E"/>
    <w:rsid w:val="47CC73F7"/>
    <w:rsid w:val="47FBC172"/>
    <w:rsid w:val="487B71DD"/>
    <w:rsid w:val="48897BFC"/>
    <w:rsid w:val="492E4DD9"/>
    <w:rsid w:val="49DF7A74"/>
    <w:rsid w:val="49EFDA04"/>
    <w:rsid w:val="49FA2929"/>
    <w:rsid w:val="4A1E73E6"/>
    <w:rsid w:val="4A635F53"/>
    <w:rsid w:val="4A734DAC"/>
    <w:rsid w:val="4AF773D7"/>
    <w:rsid w:val="4B3B3F0F"/>
    <w:rsid w:val="4B6E54BA"/>
    <w:rsid w:val="4B9412FA"/>
    <w:rsid w:val="4BA90D67"/>
    <w:rsid w:val="4BFD0804"/>
    <w:rsid w:val="4BFFF00D"/>
    <w:rsid w:val="4CB90AB7"/>
    <w:rsid w:val="4CE65A8E"/>
    <w:rsid w:val="4D7565F4"/>
    <w:rsid w:val="4DBF65EB"/>
    <w:rsid w:val="4DC31401"/>
    <w:rsid w:val="4DFC2D90"/>
    <w:rsid w:val="4E050DB4"/>
    <w:rsid w:val="4E0C284F"/>
    <w:rsid w:val="4E25488F"/>
    <w:rsid w:val="4E7B1F42"/>
    <w:rsid w:val="4F3877D4"/>
    <w:rsid w:val="4F7A8AD3"/>
    <w:rsid w:val="4F7FF4D7"/>
    <w:rsid w:val="4F8A1DA6"/>
    <w:rsid w:val="4FDF282B"/>
    <w:rsid w:val="4FEB9FB4"/>
    <w:rsid w:val="504A40EE"/>
    <w:rsid w:val="5066789F"/>
    <w:rsid w:val="50817551"/>
    <w:rsid w:val="50885837"/>
    <w:rsid w:val="50AB1B35"/>
    <w:rsid w:val="50C454CA"/>
    <w:rsid w:val="51E1787A"/>
    <w:rsid w:val="51F80DD4"/>
    <w:rsid w:val="52351B68"/>
    <w:rsid w:val="523E68B0"/>
    <w:rsid w:val="52D4EA7B"/>
    <w:rsid w:val="53205C12"/>
    <w:rsid w:val="538958EC"/>
    <w:rsid w:val="53CA0723"/>
    <w:rsid w:val="544E1A65"/>
    <w:rsid w:val="55357E89"/>
    <w:rsid w:val="55830218"/>
    <w:rsid w:val="558980E0"/>
    <w:rsid w:val="55E705A4"/>
    <w:rsid w:val="56203A0C"/>
    <w:rsid w:val="56383DB0"/>
    <w:rsid w:val="56530FA2"/>
    <w:rsid w:val="56AD6CAF"/>
    <w:rsid w:val="56D93B58"/>
    <w:rsid w:val="56E53ADB"/>
    <w:rsid w:val="575F1FD6"/>
    <w:rsid w:val="577C8E54"/>
    <w:rsid w:val="57ECB103"/>
    <w:rsid w:val="57EF0FD8"/>
    <w:rsid w:val="57F7833A"/>
    <w:rsid w:val="57F7A4BC"/>
    <w:rsid w:val="57FB75FC"/>
    <w:rsid w:val="57FD7CF3"/>
    <w:rsid w:val="585A70CD"/>
    <w:rsid w:val="58E262A4"/>
    <w:rsid w:val="58F5D9DD"/>
    <w:rsid w:val="5948147C"/>
    <w:rsid w:val="59514EC3"/>
    <w:rsid w:val="59741D62"/>
    <w:rsid w:val="59A44484"/>
    <w:rsid w:val="5AB756DD"/>
    <w:rsid w:val="5AFCBC6B"/>
    <w:rsid w:val="5B5D1852"/>
    <w:rsid w:val="5B669575"/>
    <w:rsid w:val="5BDB3721"/>
    <w:rsid w:val="5BF2361E"/>
    <w:rsid w:val="5C18763C"/>
    <w:rsid w:val="5C3E3948"/>
    <w:rsid w:val="5C7E18E6"/>
    <w:rsid w:val="5C7F7B4E"/>
    <w:rsid w:val="5CC676A5"/>
    <w:rsid w:val="5CDA0FE8"/>
    <w:rsid w:val="5CE7B0FA"/>
    <w:rsid w:val="5D242C88"/>
    <w:rsid w:val="5D25514E"/>
    <w:rsid w:val="5D340EF8"/>
    <w:rsid w:val="5D6B5466"/>
    <w:rsid w:val="5DAD7E49"/>
    <w:rsid w:val="5DEFCEC9"/>
    <w:rsid w:val="5DFB97BE"/>
    <w:rsid w:val="5DFE3F84"/>
    <w:rsid w:val="5DFFA384"/>
    <w:rsid w:val="5E2A669F"/>
    <w:rsid w:val="5E7A9A9A"/>
    <w:rsid w:val="5E7FBC5C"/>
    <w:rsid w:val="5E7FDF2E"/>
    <w:rsid w:val="5EDD6377"/>
    <w:rsid w:val="5EEBD77D"/>
    <w:rsid w:val="5EED101E"/>
    <w:rsid w:val="5EF76024"/>
    <w:rsid w:val="5EFF59D6"/>
    <w:rsid w:val="5EFF974D"/>
    <w:rsid w:val="5F374DB3"/>
    <w:rsid w:val="5F6F9EA4"/>
    <w:rsid w:val="5F8A68FB"/>
    <w:rsid w:val="5F9431B2"/>
    <w:rsid w:val="5FB6F504"/>
    <w:rsid w:val="5FC3061C"/>
    <w:rsid w:val="5FE1BD42"/>
    <w:rsid w:val="5FEA0B84"/>
    <w:rsid w:val="5FEE76E6"/>
    <w:rsid w:val="5FF6065B"/>
    <w:rsid w:val="5FF68925"/>
    <w:rsid w:val="5FF9FE18"/>
    <w:rsid w:val="5FFE7695"/>
    <w:rsid w:val="5FFF5101"/>
    <w:rsid w:val="5FFFBFA9"/>
    <w:rsid w:val="604734C2"/>
    <w:rsid w:val="609B78A2"/>
    <w:rsid w:val="60EB13D7"/>
    <w:rsid w:val="61178030"/>
    <w:rsid w:val="618C1E68"/>
    <w:rsid w:val="621C3AE7"/>
    <w:rsid w:val="621F4188"/>
    <w:rsid w:val="62A16A3A"/>
    <w:rsid w:val="633E48F9"/>
    <w:rsid w:val="635380E9"/>
    <w:rsid w:val="63BEF433"/>
    <w:rsid w:val="63E76A66"/>
    <w:rsid w:val="642B56B0"/>
    <w:rsid w:val="649B339C"/>
    <w:rsid w:val="64EFA138"/>
    <w:rsid w:val="651A0D18"/>
    <w:rsid w:val="65800A91"/>
    <w:rsid w:val="659F2DA5"/>
    <w:rsid w:val="65CF4325"/>
    <w:rsid w:val="65ED1F71"/>
    <w:rsid w:val="65FDAEE0"/>
    <w:rsid w:val="65FFC3A4"/>
    <w:rsid w:val="65FFEC08"/>
    <w:rsid w:val="66027B08"/>
    <w:rsid w:val="66AD4262"/>
    <w:rsid w:val="66CB19B2"/>
    <w:rsid w:val="66FECB51"/>
    <w:rsid w:val="671058F5"/>
    <w:rsid w:val="675B5A36"/>
    <w:rsid w:val="6763D5B0"/>
    <w:rsid w:val="67DFDD99"/>
    <w:rsid w:val="687B3CF3"/>
    <w:rsid w:val="69AF5125"/>
    <w:rsid w:val="69BC2895"/>
    <w:rsid w:val="69E414DD"/>
    <w:rsid w:val="69FBDDC7"/>
    <w:rsid w:val="6A64077F"/>
    <w:rsid w:val="6A660B83"/>
    <w:rsid w:val="6A7F6D13"/>
    <w:rsid w:val="6A831CE6"/>
    <w:rsid w:val="6AB867A9"/>
    <w:rsid w:val="6AE0106A"/>
    <w:rsid w:val="6AFAC7B1"/>
    <w:rsid w:val="6B1530B5"/>
    <w:rsid w:val="6B1F2D84"/>
    <w:rsid w:val="6B675079"/>
    <w:rsid w:val="6B7DE963"/>
    <w:rsid w:val="6B9F922F"/>
    <w:rsid w:val="6BCD297E"/>
    <w:rsid w:val="6BCFABFB"/>
    <w:rsid w:val="6BE173F2"/>
    <w:rsid w:val="6BEDDD7D"/>
    <w:rsid w:val="6C3C2BA4"/>
    <w:rsid w:val="6CE348FB"/>
    <w:rsid w:val="6CEB0DBC"/>
    <w:rsid w:val="6D2802F4"/>
    <w:rsid w:val="6D7FBAFD"/>
    <w:rsid w:val="6D7FD33D"/>
    <w:rsid w:val="6D99C997"/>
    <w:rsid w:val="6DA809BC"/>
    <w:rsid w:val="6DAA3BC5"/>
    <w:rsid w:val="6DBB907A"/>
    <w:rsid w:val="6DFEA535"/>
    <w:rsid w:val="6DFFA9F6"/>
    <w:rsid w:val="6E0262E1"/>
    <w:rsid w:val="6E159DA2"/>
    <w:rsid w:val="6E5DDBDC"/>
    <w:rsid w:val="6E6901BA"/>
    <w:rsid w:val="6E9A79C6"/>
    <w:rsid w:val="6E9E9F2D"/>
    <w:rsid w:val="6EBD7952"/>
    <w:rsid w:val="6EC60388"/>
    <w:rsid w:val="6F5B3129"/>
    <w:rsid w:val="6F705A5C"/>
    <w:rsid w:val="6FD3808E"/>
    <w:rsid w:val="6FD9D43E"/>
    <w:rsid w:val="6FDE616D"/>
    <w:rsid w:val="6FDFD0C5"/>
    <w:rsid w:val="6FED74AE"/>
    <w:rsid w:val="6FFCE334"/>
    <w:rsid w:val="6FFE7508"/>
    <w:rsid w:val="6FFFF4AF"/>
    <w:rsid w:val="70924B9B"/>
    <w:rsid w:val="70E78717"/>
    <w:rsid w:val="71DF0AF3"/>
    <w:rsid w:val="71E82352"/>
    <w:rsid w:val="71FB2FE3"/>
    <w:rsid w:val="72211E04"/>
    <w:rsid w:val="722B3E46"/>
    <w:rsid w:val="733F4938"/>
    <w:rsid w:val="73AE4630"/>
    <w:rsid w:val="73EF23B4"/>
    <w:rsid w:val="73EF394F"/>
    <w:rsid w:val="73FF29DC"/>
    <w:rsid w:val="74536FCD"/>
    <w:rsid w:val="745A7491"/>
    <w:rsid w:val="748FE1E7"/>
    <w:rsid w:val="74DC1816"/>
    <w:rsid w:val="7541173A"/>
    <w:rsid w:val="75A438C2"/>
    <w:rsid w:val="75FB9FF3"/>
    <w:rsid w:val="75FE5A48"/>
    <w:rsid w:val="75FF56C0"/>
    <w:rsid w:val="765F4657"/>
    <w:rsid w:val="76CC687B"/>
    <w:rsid w:val="76FB0E00"/>
    <w:rsid w:val="76FEB484"/>
    <w:rsid w:val="775A16EB"/>
    <w:rsid w:val="775DCAF6"/>
    <w:rsid w:val="777F172E"/>
    <w:rsid w:val="777FFB87"/>
    <w:rsid w:val="77B72734"/>
    <w:rsid w:val="77BA91FC"/>
    <w:rsid w:val="77C003C3"/>
    <w:rsid w:val="77CD59C0"/>
    <w:rsid w:val="77DF124C"/>
    <w:rsid w:val="77EDFFAF"/>
    <w:rsid w:val="77FD9252"/>
    <w:rsid w:val="77FE32EC"/>
    <w:rsid w:val="77FE8B6E"/>
    <w:rsid w:val="7900129B"/>
    <w:rsid w:val="79401B2B"/>
    <w:rsid w:val="79407E4A"/>
    <w:rsid w:val="797F8114"/>
    <w:rsid w:val="79FB5FAF"/>
    <w:rsid w:val="7A2FB116"/>
    <w:rsid w:val="7A376519"/>
    <w:rsid w:val="7A3F6EB8"/>
    <w:rsid w:val="7A67D8E4"/>
    <w:rsid w:val="7AA41EB8"/>
    <w:rsid w:val="7AF1EB58"/>
    <w:rsid w:val="7AF71059"/>
    <w:rsid w:val="7AFCBFBD"/>
    <w:rsid w:val="7B2F27DC"/>
    <w:rsid w:val="7B5D6E41"/>
    <w:rsid w:val="7B6E6DF3"/>
    <w:rsid w:val="7B7E918F"/>
    <w:rsid w:val="7B7F2C31"/>
    <w:rsid w:val="7BB66289"/>
    <w:rsid w:val="7BCCCAA1"/>
    <w:rsid w:val="7BCE0F02"/>
    <w:rsid w:val="7BD9CB31"/>
    <w:rsid w:val="7BE3C6C4"/>
    <w:rsid w:val="7BE70D0A"/>
    <w:rsid w:val="7BED67F5"/>
    <w:rsid w:val="7BF9018F"/>
    <w:rsid w:val="7BFDA313"/>
    <w:rsid w:val="7BFF3E46"/>
    <w:rsid w:val="7C137A81"/>
    <w:rsid w:val="7C423ACB"/>
    <w:rsid w:val="7C774249"/>
    <w:rsid w:val="7C9E5EE6"/>
    <w:rsid w:val="7CBBCED2"/>
    <w:rsid w:val="7CBD0039"/>
    <w:rsid w:val="7CCE6F60"/>
    <w:rsid w:val="7CCF4580"/>
    <w:rsid w:val="7CDF64C7"/>
    <w:rsid w:val="7D3D21BD"/>
    <w:rsid w:val="7D79DF34"/>
    <w:rsid w:val="7D7EABE1"/>
    <w:rsid w:val="7D7F419E"/>
    <w:rsid w:val="7D7FB7BE"/>
    <w:rsid w:val="7DAB4387"/>
    <w:rsid w:val="7DBD8EB2"/>
    <w:rsid w:val="7DBF075B"/>
    <w:rsid w:val="7DD97AA7"/>
    <w:rsid w:val="7DDB05A4"/>
    <w:rsid w:val="7DDD2722"/>
    <w:rsid w:val="7DDFA753"/>
    <w:rsid w:val="7DEAA60B"/>
    <w:rsid w:val="7DEB5413"/>
    <w:rsid w:val="7DEE0B18"/>
    <w:rsid w:val="7DEE768A"/>
    <w:rsid w:val="7DF514E7"/>
    <w:rsid w:val="7DF9577A"/>
    <w:rsid w:val="7DF98B02"/>
    <w:rsid w:val="7DFF5D72"/>
    <w:rsid w:val="7DFF6D6E"/>
    <w:rsid w:val="7DFF74AD"/>
    <w:rsid w:val="7DFFE1BD"/>
    <w:rsid w:val="7E3B3277"/>
    <w:rsid w:val="7E5F1FD6"/>
    <w:rsid w:val="7E7D8ABF"/>
    <w:rsid w:val="7E9B1278"/>
    <w:rsid w:val="7EB1EA29"/>
    <w:rsid w:val="7EBDE22E"/>
    <w:rsid w:val="7EBF4E53"/>
    <w:rsid w:val="7EBF6762"/>
    <w:rsid w:val="7EBF841F"/>
    <w:rsid w:val="7EF1BD9C"/>
    <w:rsid w:val="7EFB3B17"/>
    <w:rsid w:val="7EFCFAD4"/>
    <w:rsid w:val="7EFD0516"/>
    <w:rsid w:val="7EFF3B41"/>
    <w:rsid w:val="7EFF6CE0"/>
    <w:rsid w:val="7F2F4F0B"/>
    <w:rsid w:val="7F434F43"/>
    <w:rsid w:val="7F6F325F"/>
    <w:rsid w:val="7F75E46A"/>
    <w:rsid w:val="7F7D4D66"/>
    <w:rsid w:val="7F923854"/>
    <w:rsid w:val="7F9D2CC6"/>
    <w:rsid w:val="7FAA4E50"/>
    <w:rsid w:val="7FAA92EA"/>
    <w:rsid w:val="7FAB964F"/>
    <w:rsid w:val="7FADC894"/>
    <w:rsid w:val="7FADCEB7"/>
    <w:rsid w:val="7FAF8E99"/>
    <w:rsid w:val="7FAF9BEF"/>
    <w:rsid w:val="7FAFECCB"/>
    <w:rsid w:val="7FB5AD8E"/>
    <w:rsid w:val="7FB70309"/>
    <w:rsid w:val="7FBEA4D8"/>
    <w:rsid w:val="7FC71DFA"/>
    <w:rsid w:val="7FCE9B4A"/>
    <w:rsid w:val="7FD74590"/>
    <w:rsid w:val="7FDED9E5"/>
    <w:rsid w:val="7FE37818"/>
    <w:rsid w:val="7FEAA9AB"/>
    <w:rsid w:val="7FFD73C0"/>
    <w:rsid w:val="7FFDE014"/>
    <w:rsid w:val="7FFEC443"/>
    <w:rsid w:val="7FFF351D"/>
    <w:rsid w:val="7FFF8137"/>
    <w:rsid w:val="7FFFD4F9"/>
    <w:rsid w:val="87EFB873"/>
    <w:rsid w:val="8BBD71C6"/>
    <w:rsid w:val="8BDB5640"/>
    <w:rsid w:val="8BF73B00"/>
    <w:rsid w:val="8CFAC852"/>
    <w:rsid w:val="8DD50D56"/>
    <w:rsid w:val="939FA03F"/>
    <w:rsid w:val="96BFCB2F"/>
    <w:rsid w:val="973F25DC"/>
    <w:rsid w:val="97EF25B5"/>
    <w:rsid w:val="992FC3A9"/>
    <w:rsid w:val="99FDBB83"/>
    <w:rsid w:val="9B77CB3B"/>
    <w:rsid w:val="9B8B32CE"/>
    <w:rsid w:val="9BDBED88"/>
    <w:rsid w:val="9BF5DD3C"/>
    <w:rsid w:val="9D7A5340"/>
    <w:rsid w:val="9DEE0AF2"/>
    <w:rsid w:val="9F1BAF19"/>
    <w:rsid w:val="9F6FCCBD"/>
    <w:rsid w:val="9F7B353E"/>
    <w:rsid w:val="9F97ABBB"/>
    <w:rsid w:val="9FB59D1C"/>
    <w:rsid w:val="9FCD91C3"/>
    <w:rsid w:val="9FE392F3"/>
    <w:rsid w:val="9FEFA79E"/>
    <w:rsid w:val="A6CD27B8"/>
    <w:rsid w:val="A6FB25A1"/>
    <w:rsid w:val="A77FBB3D"/>
    <w:rsid w:val="A7DE9939"/>
    <w:rsid w:val="ABEBF671"/>
    <w:rsid w:val="ACD7FBCE"/>
    <w:rsid w:val="AD5FC3D8"/>
    <w:rsid w:val="ADFCDA63"/>
    <w:rsid w:val="AEFE2613"/>
    <w:rsid w:val="AF6D42D8"/>
    <w:rsid w:val="AF7B5CBD"/>
    <w:rsid w:val="AFF2AFD8"/>
    <w:rsid w:val="B0DD6782"/>
    <w:rsid w:val="B1BC1CFE"/>
    <w:rsid w:val="B3F789F3"/>
    <w:rsid w:val="B5E6287B"/>
    <w:rsid w:val="B5FFA584"/>
    <w:rsid w:val="B67F43DA"/>
    <w:rsid w:val="B7AAC7AB"/>
    <w:rsid w:val="B7BA8507"/>
    <w:rsid w:val="B7BD6C08"/>
    <w:rsid w:val="B7BF2100"/>
    <w:rsid w:val="B7BF928E"/>
    <w:rsid w:val="B7DB7E02"/>
    <w:rsid w:val="B7EFE48C"/>
    <w:rsid w:val="B7FB4104"/>
    <w:rsid w:val="B8F1D304"/>
    <w:rsid w:val="B9DFF72D"/>
    <w:rsid w:val="B9FE2322"/>
    <w:rsid w:val="BA9D2B5C"/>
    <w:rsid w:val="BB2DFF0C"/>
    <w:rsid w:val="BBB73ED3"/>
    <w:rsid w:val="BBDDE668"/>
    <w:rsid w:val="BBF976E4"/>
    <w:rsid w:val="BCFD65E9"/>
    <w:rsid w:val="BD1FFFD0"/>
    <w:rsid w:val="BD574E1A"/>
    <w:rsid w:val="BDD35FA2"/>
    <w:rsid w:val="BDFED098"/>
    <w:rsid w:val="BEFF32EE"/>
    <w:rsid w:val="BF3DD8EC"/>
    <w:rsid w:val="BF66D87B"/>
    <w:rsid w:val="BF7FA6A8"/>
    <w:rsid w:val="BF86A395"/>
    <w:rsid w:val="BF8B3571"/>
    <w:rsid w:val="BFAFE011"/>
    <w:rsid w:val="BFBED802"/>
    <w:rsid w:val="BFD7166A"/>
    <w:rsid w:val="BFE91E89"/>
    <w:rsid w:val="BFFDEDCF"/>
    <w:rsid w:val="BFFE8C2C"/>
    <w:rsid w:val="BFFFD4F7"/>
    <w:rsid w:val="C76F1B9F"/>
    <w:rsid w:val="CB7716C7"/>
    <w:rsid w:val="CBA5DAA6"/>
    <w:rsid w:val="CC6DE0F8"/>
    <w:rsid w:val="CCDD67D1"/>
    <w:rsid w:val="CD7F210F"/>
    <w:rsid w:val="D2BFFCB1"/>
    <w:rsid w:val="D3DF06DD"/>
    <w:rsid w:val="D3FDADCA"/>
    <w:rsid w:val="D5BF67B5"/>
    <w:rsid w:val="D5FFDDD5"/>
    <w:rsid w:val="D6EF683A"/>
    <w:rsid w:val="D74F8C7A"/>
    <w:rsid w:val="D8F1B670"/>
    <w:rsid w:val="D9BD4245"/>
    <w:rsid w:val="D9BF9829"/>
    <w:rsid w:val="DB5C880C"/>
    <w:rsid w:val="DB9D06EC"/>
    <w:rsid w:val="DBFA615B"/>
    <w:rsid w:val="DC676154"/>
    <w:rsid w:val="DCED8BC2"/>
    <w:rsid w:val="DD750548"/>
    <w:rsid w:val="DDEF21EF"/>
    <w:rsid w:val="DDFE3EC8"/>
    <w:rsid w:val="DDFEE100"/>
    <w:rsid w:val="DDFF03F5"/>
    <w:rsid w:val="DE3A4BE9"/>
    <w:rsid w:val="DE7B74E6"/>
    <w:rsid w:val="DEB67C06"/>
    <w:rsid w:val="DEB75CB5"/>
    <w:rsid w:val="DEB8D6C0"/>
    <w:rsid w:val="DEC755C4"/>
    <w:rsid w:val="DEE5F43D"/>
    <w:rsid w:val="DF5E709F"/>
    <w:rsid w:val="DFB7B065"/>
    <w:rsid w:val="DFE722C8"/>
    <w:rsid w:val="DFEADEEC"/>
    <w:rsid w:val="DFED96F5"/>
    <w:rsid w:val="DFF5BE25"/>
    <w:rsid w:val="DFFDF294"/>
    <w:rsid w:val="DFFE36F4"/>
    <w:rsid w:val="DFFF83D7"/>
    <w:rsid w:val="E1AE537B"/>
    <w:rsid w:val="E377CAD3"/>
    <w:rsid w:val="E5D7312E"/>
    <w:rsid w:val="E6EFE6B2"/>
    <w:rsid w:val="E75F346D"/>
    <w:rsid w:val="E77B90FD"/>
    <w:rsid w:val="E77EE8BD"/>
    <w:rsid w:val="E7FDD106"/>
    <w:rsid w:val="E7FF509E"/>
    <w:rsid w:val="E9EC7ED8"/>
    <w:rsid w:val="E9FD7CB3"/>
    <w:rsid w:val="EABE1C3F"/>
    <w:rsid w:val="EAFB901F"/>
    <w:rsid w:val="EB1ED3A4"/>
    <w:rsid w:val="EB76BA0A"/>
    <w:rsid w:val="EBA3F109"/>
    <w:rsid w:val="EBBE8894"/>
    <w:rsid w:val="EBDB85E2"/>
    <w:rsid w:val="EBDFAC8B"/>
    <w:rsid w:val="EBF58581"/>
    <w:rsid w:val="EBFAD5A7"/>
    <w:rsid w:val="ECFD547B"/>
    <w:rsid w:val="EDBB1478"/>
    <w:rsid w:val="EDDE5DAF"/>
    <w:rsid w:val="EDE12409"/>
    <w:rsid w:val="EDFB5EF7"/>
    <w:rsid w:val="EE7F1E85"/>
    <w:rsid w:val="EE8FF47B"/>
    <w:rsid w:val="EEFE3F12"/>
    <w:rsid w:val="EF36B7FB"/>
    <w:rsid w:val="EF3E4456"/>
    <w:rsid w:val="EF6AC498"/>
    <w:rsid w:val="EF6F0BE8"/>
    <w:rsid w:val="EF7DDF33"/>
    <w:rsid w:val="EF7E72E2"/>
    <w:rsid w:val="EFAF4FD4"/>
    <w:rsid w:val="EFE7B20E"/>
    <w:rsid w:val="EFEFB4B1"/>
    <w:rsid w:val="EFF5C566"/>
    <w:rsid w:val="EFFB1BAC"/>
    <w:rsid w:val="EFFD145D"/>
    <w:rsid w:val="EFFD8CFF"/>
    <w:rsid w:val="F1F5D3C4"/>
    <w:rsid w:val="F275DA76"/>
    <w:rsid w:val="F2DF2013"/>
    <w:rsid w:val="F32FB4EF"/>
    <w:rsid w:val="F3B33006"/>
    <w:rsid w:val="F3D90753"/>
    <w:rsid w:val="F3FFE6B5"/>
    <w:rsid w:val="F4FA30E7"/>
    <w:rsid w:val="F53FC911"/>
    <w:rsid w:val="F5750987"/>
    <w:rsid w:val="F5E75DD7"/>
    <w:rsid w:val="F5F30E22"/>
    <w:rsid w:val="F5FF5345"/>
    <w:rsid w:val="F64BCF72"/>
    <w:rsid w:val="F65D0F29"/>
    <w:rsid w:val="F66F9C62"/>
    <w:rsid w:val="F6B7E99E"/>
    <w:rsid w:val="F6B93B3E"/>
    <w:rsid w:val="F6DA814B"/>
    <w:rsid w:val="F6FCA072"/>
    <w:rsid w:val="F6FE3890"/>
    <w:rsid w:val="F6FE4781"/>
    <w:rsid w:val="F767787F"/>
    <w:rsid w:val="F7779F5E"/>
    <w:rsid w:val="F77B79BE"/>
    <w:rsid w:val="F77FFFC8"/>
    <w:rsid w:val="F7AD5629"/>
    <w:rsid w:val="F7AF4754"/>
    <w:rsid w:val="F7AF6DC5"/>
    <w:rsid w:val="F7BF4DCB"/>
    <w:rsid w:val="F7CB1098"/>
    <w:rsid w:val="F7D35C9B"/>
    <w:rsid w:val="F7D62FCE"/>
    <w:rsid w:val="F7DEBAE4"/>
    <w:rsid w:val="F7FEBCDB"/>
    <w:rsid w:val="F7FF8ABD"/>
    <w:rsid w:val="F7FFB081"/>
    <w:rsid w:val="F87F1A3D"/>
    <w:rsid w:val="F9BB8E09"/>
    <w:rsid w:val="F9BF68F8"/>
    <w:rsid w:val="F9CC6249"/>
    <w:rsid w:val="F9DE41CD"/>
    <w:rsid w:val="F9E751BA"/>
    <w:rsid w:val="FA3DCC22"/>
    <w:rsid w:val="FA6EA470"/>
    <w:rsid w:val="FAD6E1AF"/>
    <w:rsid w:val="FAEF69FA"/>
    <w:rsid w:val="FAFD2248"/>
    <w:rsid w:val="FAFDF4F8"/>
    <w:rsid w:val="FBAF6E9B"/>
    <w:rsid w:val="FBBF6130"/>
    <w:rsid w:val="FBEB7BF2"/>
    <w:rsid w:val="FBEBB3ED"/>
    <w:rsid w:val="FBFB0CD5"/>
    <w:rsid w:val="FBFC2E41"/>
    <w:rsid w:val="FBFD30AE"/>
    <w:rsid w:val="FBFEC197"/>
    <w:rsid w:val="FBFF6FD8"/>
    <w:rsid w:val="FBFFEA55"/>
    <w:rsid w:val="FC5E3D7D"/>
    <w:rsid w:val="FCFD6AF8"/>
    <w:rsid w:val="FCFFE151"/>
    <w:rsid w:val="FD679674"/>
    <w:rsid w:val="FD77CD95"/>
    <w:rsid w:val="FD7EE6D9"/>
    <w:rsid w:val="FD7F22E7"/>
    <w:rsid w:val="FDAD20B2"/>
    <w:rsid w:val="FDBD51EA"/>
    <w:rsid w:val="FDFB85B4"/>
    <w:rsid w:val="FDFF4920"/>
    <w:rsid w:val="FDFF96AE"/>
    <w:rsid w:val="FDFFF909"/>
    <w:rsid w:val="FE3F8F48"/>
    <w:rsid w:val="FE4FC563"/>
    <w:rsid w:val="FE539E0F"/>
    <w:rsid w:val="FE62886C"/>
    <w:rsid w:val="FEBF1833"/>
    <w:rsid w:val="FED61A61"/>
    <w:rsid w:val="FEDF65FC"/>
    <w:rsid w:val="FEE92AFA"/>
    <w:rsid w:val="FEEBB54D"/>
    <w:rsid w:val="FEEDE71C"/>
    <w:rsid w:val="FEF57FE0"/>
    <w:rsid w:val="FEF74162"/>
    <w:rsid w:val="FEF8F85A"/>
    <w:rsid w:val="FEFF5102"/>
    <w:rsid w:val="FF54E895"/>
    <w:rsid w:val="FF679C78"/>
    <w:rsid w:val="FF7780DB"/>
    <w:rsid w:val="FF7E1B76"/>
    <w:rsid w:val="FF7F1B75"/>
    <w:rsid w:val="FF7F442F"/>
    <w:rsid w:val="FF7F9012"/>
    <w:rsid w:val="FF7FBE0A"/>
    <w:rsid w:val="FFACB62B"/>
    <w:rsid w:val="FFBAE316"/>
    <w:rsid w:val="FFBB3092"/>
    <w:rsid w:val="FFBBC91E"/>
    <w:rsid w:val="FFBD2A63"/>
    <w:rsid w:val="FFBE8556"/>
    <w:rsid w:val="FFBEFFA5"/>
    <w:rsid w:val="FFBF6667"/>
    <w:rsid w:val="FFBFA54E"/>
    <w:rsid w:val="FFCBAC21"/>
    <w:rsid w:val="FFD2F072"/>
    <w:rsid w:val="FFD79819"/>
    <w:rsid w:val="FFD7D42B"/>
    <w:rsid w:val="FFDA555F"/>
    <w:rsid w:val="FFDF70C2"/>
    <w:rsid w:val="FFE703E8"/>
    <w:rsid w:val="FFEF3CED"/>
    <w:rsid w:val="FFF50D13"/>
    <w:rsid w:val="FFF77383"/>
    <w:rsid w:val="FFF93375"/>
    <w:rsid w:val="FFFAFFCB"/>
    <w:rsid w:val="FFFC772F"/>
    <w:rsid w:val="FFFDE791"/>
    <w:rsid w:val="FFFE2390"/>
    <w:rsid w:val="FFFF02D3"/>
    <w:rsid w:val="FFFF0B70"/>
    <w:rsid w:val="FFFF22AA"/>
    <w:rsid w:val="FFFF754C"/>
    <w:rsid w:val="FFFF9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60" w:firstLineChars="200"/>
      <w:jc w:val="both"/>
    </w:pPr>
    <w:rPr>
      <w:rFonts w:ascii="Times New Roman" w:hAnsi="Times New Roman" w:eastAsia="仿宋_GB2312" w:cs="Times New Roman"/>
      <w:color w:val="000000"/>
      <w:sz w:val="32"/>
      <w:szCs w:val="24"/>
      <w:lang w:val="en-US" w:eastAsia="en-US" w:bidi="en-US"/>
    </w:rPr>
  </w:style>
  <w:style w:type="paragraph" w:styleId="2">
    <w:name w:val="heading 1"/>
    <w:basedOn w:val="1"/>
    <w:next w:val="1"/>
    <w:link w:val="65"/>
    <w:qFormat/>
    <w:uiPriority w:val="0"/>
    <w:pPr>
      <w:keepNext/>
      <w:keepLines/>
      <w:spacing w:before="50" w:beforeLines="50" w:after="50" w:afterLines="50"/>
      <w:ind w:firstLine="0" w:firstLineChars="0"/>
      <w:outlineLvl w:val="0"/>
    </w:pPr>
    <w:rPr>
      <w:rFonts w:eastAsia="黑体"/>
      <w:b/>
      <w:kern w:val="44"/>
    </w:rPr>
  </w:style>
  <w:style w:type="paragraph" w:styleId="3">
    <w:name w:val="heading 2"/>
    <w:basedOn w:val="1"/>
    <w:next w:val="1"/>
    <w:link w:val="27"/>
    <w:unhideWhenUsed/>
    <w:qFormat/>
    <w:uiPriority w:val="0"/>
    <w:pPr>
      <w:keepNext/>
      <w:keepLines/>
      <w:spacing w:before="50" w:beforeLines="50" w:after="50" w:afterLines="50"/>
      <w:outlineLvl w:val="1"/>
    </w:pPr>
    <w:rPr>
      <w:rFonts w:ascii="华文楷体" w:hAnsi="华文楷体" w:eastAsia="楷体"/>
      <w:b/>
    </w:rPr>
  </w:style>
  <w:style w:type="paragraph" w:styleId="4">
    <w:name w:val="heading 3"/>
    <w:basedOn w:val="1"/>
    <w:next w:val="1"/>
    <w:link w:val="26"/>
    <w:unhideWhenUsed/>
    <w:qFormat/>
    <w:uiPriority w:val="0"/>
    <w:pPr>
      <w:keepNext/>
      <w:keepLines/>
      <w:ind w:firstLine="200"/>
      <w:outlineLvl w:val="2"/>
    </w:pPr>
    <w:rPr>
      <w:b/>
    </w:rPr>
  </w:style>
  <w:style w:type="paragraph" w:styleId="5">
    <w:name w:val="heading 4"/>
    <w:basedOn w:val="1"/>
    <w:next w:val="1"/>
    <w:unhideWhenUsed/>
    <w:qFormat/>
    <w:uiPriority w:val="0"/>
    <w:pPr>
      <w:keepNext/>
      <w:keepLines/>
      <w:outlineLvl w:val="3"/>
    </w:pPr>
    <w:rPr>
      <w:b/>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920"/>
      <w:jc w:val="left"/>
    </w:pPr>
    <w:rPr>
      <w:rFonts w:asciiTheme="minorHAnsi" w:hAnsiTheme="minorHAnsi" w:cstheme="minorHAnsi"/>
      <w:sz w:val="18"/>
      <w:szCs w:val="18"/>
    </w:rPr>
  </w:style>
  <w:style w:type="paragraph" w:styleId="7">
    <w:name w:val="Body Text"/>
    <w:basedOn w:val="1"/>
    <w:link w:val="53"/>
    <w:qFormat/>
    <w:uiPriority w:val="0"/>
    <w:pPr>
      <w:spacing w:before="240"/>
      <w:ind w:left="1160"/>
    </w:pPr>
    <w:rPr>
      <w:rFonts w:ascii="仿宋_GB2312" w:hAnsi="仿宋_GB2312" w:cs="仿宋_GB2312"/>
      <w:sz w:val="30"/>
      <w:szCs w:val="30"/>
      <w:lang w:val="zh-CN" w:eastAsia="zh-CN" w:bidi="zh-CN"/>
    </w:rPr>
  </w:style>
  <w:style w:type="paragraph" w:styleId="8">
    <w:name w:val="toc 5"/>
    <w:basedOn w:val="1"/>
    <w:next w:val="1"/>
    <w:qFormat/>
    <w:uiPriority w:val="0"/>
    <w:pPr>
      <w:ind w:left="1280"/>
      <w:jc w:val="left"/>
    </w:pPr>
    <w:rPr>
      <w:rFonts w:asciiTheme="minorHAnsi" w:hAnsiTheme="minorHAnsi" w:cstheme="minorHAnsi"/>
      <w:sz w:val="18"/>
      <w:szCs w:val="18"/>
    </w:rPr>
  </w:style>
  <w:style w:type="paragraph" w:styleId="9">
    <w:name w:val="toc 3"/>
    <w:basedOn w:val="1"/>
    <w:next w:val="1"/>
    <w:qFormat/>
    <w:uiPriority w:val="0"/>
    <w:pPr>
      <w:ind w:left="640"/>
      <w:jc w:val="left"/>
    </w:pPr>
    <w:rPr>
      <w:rFonts w:asciiTheme="minorHAnsi" w:hAnsiTheme="minorHAnsi" w:cstheme="minorHAnsi"/>
      <w:i/>
      <w:iCs/>
      <w:sz w:val="20"/>
      <w:szCs w:val="20"/>
    </w:rPr>
  </w:style>
  <w:style w:type="paragraph" w:styleId="10">
    <w:name w:val="toc 8"/>
    <w:basedOn w:val="1"/>
    <w:next w:val="1"/>
    <w:qFormat/>
    <w:uiPriority w:val="0"/>
    <w:pPr>
      <w:ind w:left="2240"/>
      <w:jc w:val="left"/>
    </w:pPr>
    <w:rPr>
      <w:rFonts w:asciiTheme="minorHAnsi" w:hAnsiTheme="minorHAnsi" w:cstheme="minorHAnsi"/>
      <w:sz w:val="18"/>
      <w:szCs w:val="18"/>
    </w:rPr>
  </w:style>
  <w:style w:type="paragraph" w:styleId="11">
    <w:name w:val="Date"/>
    <w:basedOn w:val="1"/>
    <w:next w:val="1"/>
    <w:link w:val="67"/>
    <w:qFormat/>
    <w:uiPriority w:val="0"/>
    <w:pPr>
      <w:ind w:left="100" w:leftChars="2500"/>
    </w:pPr>
  </w:style>
  <w:style w:type="paragraph" w:styleId="12">
    <w:name w:val="Balloon Text"/>
    <w:basedOn w:val="1"/>
    <w:link w:val="52"/>
    <w:qFormat/>
    <w:uiPriority w:val="0"/>
    <w:pPr>
      <w:spacing w:line="240" w:lineRule="auto"/>
    </w:pPr>
    <w:rPr>
      <w:sz w:val="18"/>
      <w:szCs w:val="18"/>
    </w:rPr>
  </w:style>
  <w:style w:type="paragraph" w:styleId="13">
    <w:name w:val="footer"/>
    <w:basedOn w:val="1"/>
    <w:link w:val="54"/>
    <w:qFormat/>
    <w:uiPriority w:val="99"/>
    <w:pPr>
      <w:tabs>
        <w:tab w:val="center" w:pos="4153"/>
        <w:tab w:val="right" w:pos="8306"/>
      </w:tabs>
      <w:snapToGrid w:val="0"/>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DejaVu Sans" w:hAnsi="DejaVu Sans"/>
      <w:sz w:val="18"/>
    </w:rPr>
  </w:style>
  <w:style w:type="paragraph" w:styleId="15">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16">
    <w:name w:val="toc 4"/>
    <w:basedOn w:val="1"/>
    <w:next w:val="1"/>
    <w:qFormat/>
    <w:uiPriority w:val="0"/>
    <w:pPr>
      <w:ind w:left="960"/>
      <w:jc w:val="left"/>
    </w:pPr>
    <w:rPr>
      <w:rFonts w:asciiTheme="minorHAnsi" w:hAnsiTheme="minorHAnsi" w:cstheme="minorHAnsi"/>
      <w:sz w:val="18"/>
      <w:szCs w:val="18"/>
    </w:rPr>
  </w:style>
  <w:style w:type="paragraph" w:styleId="17">
    <w:name w:val="toc 6"/>
    <w:basedOn w:val="1"/>
    <w:next w:val="1"/>
    <w:qFormat/>
    <w:uiPriority w:val="0"/>
    <w:pPr>
      <w:ind w:left="1600"/>
      <w:jc w:val="left"/>
    </w:pPr>
    <w:rPr>
      <w:rFonts w:asciiTheme="minorHAnsi" w:hAnsiTheme="minorHAnsi" w:cstheme="minorHAnsi"/>
      <w:sz w:val="18"/>
      <w:szCs w:val="18"/>
    </w:rPr>
  </w:style>
  <w:style w:type="paragraph" w:styleId="18">
    <w:name w:val="toc 2"/>
    <w:basedOn w:val="1"/>
    <w:next w:val="1"/>
    <w:qFormat/>
    <w:uiPriority w:val="39"/>
    <w:pPr>
      <w:ind w:left="320"/>
      <w:jc w:val="left"/>
    </w:pPr>
    <w:rPr>
      <w:rFonts w:asciiTheme="minorHAnsi" w:hAnsiTheme="minorHAnsi" w:cstheme="minorHAnsi"/>
      <w:smallCaps/>
      <w:sz w:val="20"/>
      <w:szCs w:val="20"/>
    </w:rPr>
  </w:style>
  <w:style w:type="paragraph" w:styleId="19">
    <w:name w:val="toc 9"/>
    <w:basedOn w:val="1"/>
    <w:next w:val="1"/>
    <w:qFormat/>
    <w:uiPriority w:val="0"/>
    <w:pPr>
      <w:ind w:left="2560"/>
      <w:jc w:val="left"/>
    </w:pPr>
    <w:rPr>
      <w:rFonts w:asciiTheme="minorHAnsi" w:hAnsiTheme="minorHAnsi" w:cstheme="minorHAnsi"/>
      <w:sz w:val="18"/>
      <w:szCs w:val="18"/>
    </w:rPr>
  </w:style>
  <w:style w:type="paragraph" w:styleId="20">
    <w:name w:val="Normal (Web)"/>
    <w:basedOn w:val="1"/>
    <w:qFormat/>
    <w:uiPriority w:val="99"/>
    <w:pPr>
      <w:spacing w:beforeAutospacing="1" w:afterAutospacing="1"/>
    </w:pPr>
    <w:rPr>
      <w:sz w:val="24"/>
      <w:lang w:eastAsia="zh-CN" w:bidi="ar-SA"/>
    </w:rPr>
  </w:style>
  <w:style w:type="paragraph" w:styleId="21">
    <w:name w:val="Title"/>
    <w:basedOn w:val="1"/>
    <w:next w:val="1"/>
    <w:link w:val="57"/>
    <w:qFormat/>
    <w:uiPriority w:val="0"/>
    <w:pPr>
      <w:spacing w:before="100" w:beforeLines="100" w:after="100" w:afterLines="100" w:line="360" w:lineRule="auto"/>
      <w:ind w:firstLine="0" w:firstLineChars="0"/>
      <w:jc w:val="center"/>
      <w:outlineLvl w:val="0"/>
    </w:pPr>
    <w:rPr>
      <w:rFonts w:eastAsia="方正小标宋" w:cstheme="majorBidi"/>
      <w:b/>
      <w:bCs/>
      <w:sz w:val="44"/>
      <w:szCs w:val="32"/>
    </w:rPr>
  </w:style>
  <w:style w:type="character" w:styleId="24">
    <w:name w:val="Strong"/>
    <w:basedOn w:val="23"/>
    <w:qFormat/>
    <w:uiPriority w:val="0"/>
    <w:rPr>
      <w:b/>
    </w:rPr>
  </w:style>
  <w:style w:type="character" w:styleId="25">
    <w:name w:val="Hyperlink"/>
    <w:basedOn w:val="23"/>
    <w:qFormat/>
    <w:uiPriority w:val="99"/>
    <w:rPr>
      <w:color w:val="0000FF"/>
      <w:u w:val="single"/>
    </w:rPr>
  </w:style>
  <w:style w:type="character" w:customStyle="1" w:styleId="26">
    <w:name w:val="标题 3 字符"/>
    <w:link w:val="4"/>
    <w:qFormat/>
    <w:uiPriority w:val="0"/>
    <w:rPr>
      <w:rFonts w:eastAsia="仿宋_GB2312"/>
      <w:b/>
      <w:color w:val="000000"/>
      <w:sz w:val="32"/>
      <w:szCs w:val="24"/>
      <w:lang w:eastAsia="en-US" w:bidi="en-US"/>
    </w:rPr>
  </w:style>
  <w:style w:type="character" w:customStyle="1" w:styleId="27">
    <w:name w:val="标题 2 字符"/>
    <w:link w:val="3"/>
    <w:qFormat/>
    <w:uiPriority w:val="0"/>
    <w:rPr>
      <w:rFonts w:ascii="华文楷体" w:hAnsi="华文楷体" w:eastAsia="楷体"/>
      <w:b/>
    </w:rPr>
  </w:style>
  <w:style w:type="paragraph" w:customStyle="1" w:styleId="28">
    <w:name w:val="Body text|2"/>
    <w:basedOn w:val="1"/>
    <w:qFormat/>
    <w:uiPriority w:val="0"/>
    <w:pPr>
      <w:spacing w:line="322" w:lineRule="exact"/>
      <w:ind w:firstLine="400"/>
    </w:pPr>
    <w:rPr>
      <w:rFonts w:ascii="宋体" w:hAnsi="宋体" w:eastAsia="宋体" w:cs="宋体"/>
      <w:sz w:val="19"/>
      <w:szCs w:val="19"/>
      <w:lang w:val="zh-TW" w:eastAsia="zh-TW" w:bidi="zh-TW"/>
    </w:rPr>
  </w:style>
  <w:style w:type="paragraph" w:customStyle="1" w:styleId="29">
    <w:name w:val="Header or footer|1"/>
    <w:basedOn w:val="1"/>
    <w:qFormat/>
    <w:uiPriority w:val="0"/>
    <w:rPr>
      <w:lang w:val="zh-TW" w:eastAsia="zh-TW" w:bidi="zh-TW"/>
    </w:rPr>
  </w:style>
  <w:style w:type="paragraph" w:customStyle="1" w:styleId="30">
    <w:name w:val="标题4"/>
    <w:basedOn w:val="28"/>
    <w:qFormat/>
    <w:uiPriority w:val="0"/>
    <w:pPr>
      <w:spacing w:line="360" w:lineRule="auto"/>
      <w:ind w:firstLine="881"/>
    </w:pPr>
    <w:rPr>
      <w:rFonts w:eastAsia="华文仿宋"/>
      <w:b/>
      <w:sz w:val="32"/>
    </w:rPr>
  </w:style>
  <w:style w:type="paragraph" w:customStyle="1" w:styleId="31">
    <w:name w:val="Body text|1"/>
    <w:basedOn w:val="1"/>
    <w:qFormat/>
    <w:uiPriority w:val="0"/>
    <w:pPr>
      <w:spacing w:line="360" w:lineRule="auto"/>
      <w:ind w:firstLine="400"/>
    </w:pPr>
    <w:rPr>
      <w:rFonts w:ascii="宋体" w:hAnsi="宋体" w:eastAsia="宋体" w:cs="宋体"/>
      <w:lang w:val="zh-TW" w:eastAsia="zh-TW" w:bidi="zh-TW"/>
    </w:rPr>
  </w:style>
  <w:style w:type="character" w:customStyle="1" w:styleId="32">
    <w:name w:val="font01"/>
    <w:basedOn w:val="23"/>
    <w:qFormat/>
    <w:uiPriority w:val="0"/>
    <w:rPr>
      <w:rFonts w:ascii="Arial" w:hAnsi="Arial" w:cs="Arial"/>
      <w:color w:val="000000"/>
      <w:sz w:val="22"/>
      <w:szCs w:val="22"/>
      <w:u w:val="none"/>
    </w:rPr>
  </w:style>
  <w:style w:type="character" w:customStyle="1" w:styleId="33">
    <w:name w:val="font11"/>
    <w:basedOn w:val="23"/>
    <w:qFormat/>
    <w:uiPriority w:val="0"/>
    <w:rPr>
      <w:rFonts w:ascii="font-weight : 400" w:hAnsi="font-weight : 400" w:eastAsia="font-weight : 400" w:cs="font-weight : 400"/>
      <w:color w:val="000000"/>
      <w:sz w:val="22"/>
      <w:szCs w:val="22"/>
      <w:u w:val="none"/>
    </w:rPr>
  </w:style>
  <w:style w:type="character" w:customStyle="1" w:styleId="34">
    <w:name w:val="font51"/>
    <w:basedOn w:val="23"/>
    <w:qFormat/>
    <w:uiPriority w:val="0"/>
    <w:rPr>
      <w:rFonts w:hint="eastAsia" w:ascii="宋体" w:hAnsi="宋体" w:eastAsia="宋体" w:cs="宋体"/>
      <w:color w:val="000000"/>
      <w:sz w:val="22"/>
      <w:szCs w:val="22"/>
      <w:u w:val="none"/>
    </w:rPr>
  </w:style>
  <w:style w:type="character" w:customStyle="1" w:styleId="35">
    <w:name w:val="正文 + Arial Char"/>
    <w:link w:val="36"/>
    <w:qFormat/>
    <w:locked/>
    <w:uiPriority w:val="0"/>
    <w:rPr>
      <w:rFonts w:ascii="Arial"/>
      <w:kern w:val="0"/>
      <w:sz w:val="24"/>
    </w:rPr>
  </w:style>
  <w:style w:type="paragraph" w:customStyle="1" w:styleId="36">
    <w:name w:val="正文 + Arial"/>
    <w:basedOn w:val="1"/>
    <w:link w:val="35"/>
    <w:qFormat/>
    <w:uiPriority w:val="0"/>
    <w:pPr>
      <w:spacing w:afterLines="50" w:line="360" w:lineRule="auto"/>
      <w:ind w:firstLine="420"/>
    </w:pPr>
    <w:rPr>
      <w:rFonts w:ascii="Arial"/>
      <w:sz w:val="24"/>
    </w:rPr>
  </w:style>
  <w:style w:type="paragraph" w:customStyle="1" w:styleId="37">
    <w:name w:val="列出段落1"/>
    <w:basedOn w:val="1"/>
    <w:qFormat/>
    <w:uiPriority w:val="1"/>
    <w:pPr>
      <w:spacing w:before="3"/>
      <w:ind w:left="2332" w:hanging="753"/>
    </w:pPr>
    <w:rPr>
      <w:rFonts w:ascii="仿宋_GB2312" w:hAnsi="仿宋_GB2312" w:cs="仿宋_GB2312"/>
      <w:lang w:val="zh-CN" w:eastAsia="zh-CN" w:bidi="zh-CN"/>
    </w:rPr>
  </w:style>
  <w:style w:type="paragraph" w:customStyle="1" w:styleId="38">
    <w:name w:val="分类号"/>
    <w:basedOn w:val="1"/>
    <w:qFormat/>
    <w:uiPriority w:val="0"/>
    <w:pPr>
      <w:spacing w:line="240" w:lineRule="auto"/>
      <w:ind w:firstLine="0" w:firstLineChars="0"/>
    </w:pPr>
    <w:rPr>
      <w:rFonts w:ascii="仿宋_GB2312"/>
      <w:kern w:val="2"/>
      <w:sz w:val="28"/>
      <w:szCs w:val="28"/>
      <w:lang w:eastAsia="zh-CN" w:bidi="ar-SA"/>
    </w:rPr>
  </w:style>
  <w:style w:type="paragraph" w:customStyle="1" w:styleId="39">
    <w:name w:val="硕士学位论文"/>
    <w:basedOn w:val="1"/>
    <w:qFormat/>
    <w:uiPriority w:val="0"/>
    <w:pPr>
      <w:spacing w:before="240" w:line="240" w:lineRule="auto"/>
      <w:ind w:firstLine="0" w:firstLineChars="0"/>
      <w:jc w:val="center"/>
    </w:pPr>
    <w:rPr>
      <w:rFonts w:eastAsia="宋体"/>
      <w:kern w:val="2"/>
      <w:sz w:val="44"/>
      <w:szCs w:val="44"/>
      <w:lang w:eastAsia="zh-CN" w:bidi="ar-SA"/>
    </w:rPr>
  </w:style>
  <w:style w:type="paragraph" w:customStyle="1" w:styleId="40">
    <w:name w:val="论文标题"/>
    <w:basedOn w:val="1"/>
    <w:qFormat/>
    <w:uiPriority w:val="0"/>
    <w:pPr>
      <w:spacing w:line="240" w:lineRule="auto"/>
      <w:ind w:firstLine="0" w:firstLineChars="0"/>
      <w:jc w:val="center"/>
    </w:pPr>
    <w:rPr>
      <w:rFonts w:eastAsia="楷体_GB2312"/>
      <w:b/>
      <w:kern w:val="36"/>
      <w:sz w:val="52"/>
      <w:szCs w:val="52"/>
      <w:lang w:eastAsia="zh-CN" w:bidi="ar-SA"/>
    </w:rPr>
  </w:style>
  <w:style w:type="paragraph" w:customStyle="1" w:styleId="41">
    <w:name w:val="研究生姓名"/>
    <w:basedOn w:val="1"/>
    <w:qFormat/>
    <w:uiPriority w:val="0"/>
    <w:pPr>
      <w:spacing w:line="240" w:lineRule="auto"/>
      <w:ind w:firstLine="700" w:firstLineChars="700"/>
    </w:pPr>
    <w:rPr>
      <w:rFonts w:eastAsia="宋体"/>
      <w:kern w:val="2"/>
      <w:sz w:val="28"/>
      <w:szCs w:val="28"/>
      <w:lang w:eastAsia="zh-CN" w:bidi="ar-SA"/>
    </w:rPr>
  </w:style>
  <w:style w:type="paragraph" w:customStyle="1" w:styleId="42">
    <w:name w:val="封面日期"/>
    <w:basedOn w:val="1"/>
    <w:qFormat/>
    <w:uiPriority w:val="0"/>
    <w:pPr>
      <w:spacing w:line="240" w:lineRule="auto"/>
      <w:ind w:firstLine="0" w:firstLineChars="0"/>
      <w:jc w:val="center"/>
    </w:pPr>
    <w:rPr>
      <w:rFonts w:ascii="黑体" w:eastAsia="黑体"/>
      <w:kern w:val="2"/>
      <w:szCs w:val="32"/>
      <w:lang w:eastAsia="zh-CN" w:bidi="ar-SA"/>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5">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6">
    <w:name w:val="font21"/>
    <w:basedOn w:val="23"/>
    <w:qFormat/>
    <w:uiPriority w:val="0"/>
    <w:rPr>
      <w:rFonts w:ascii="宋体" w:hAnsi="宋体" w:eastAsia="宋体" w:cs="宋体"/>
      <w:color w:val="000000"/>
      <w:sz w:val="22"/>
      <w:szCs w:val="22"/>
      <w:u w:val="none"/>
    </w:rPr>
  </w:style>
  <w:style w:type="character" w:customStyle="1" w:styleId="47">
    <w:name w:val="font81"/>
    <w:basedOn w:val="23"/>
    <w:qFormat/>
    <w:uiPriority w:val="0"/>
    <w:rPr>
      <w:rFonts w:hint="eastAsia" w:ascii="宋体" w:hAnsi="宋体" w:eastAsia="宋体" w:cs="宋体"/>
      <w:color w:val="000000"/>
      <w:sz w:val="22"/>
      <w:szCs w:val="22"/>
      <w:u w:val="none"/>
    </w:rPr>
  </w:style>
  <w:style w:type="character" w:customStyle="1" w:styleId="48">
    <w:name w:val="font31"/>
    <w:basedOn w:val="23"/>
    <w:qFormat/>
    <w:uiPriority w:val="0"/>
    <w:rPr>
      <w:rFonts w:hint="eastAsia" w:ascii="宋体" w:hAnsi="宋体" w:eastAsia="宋体" w:cs="宋体"/>
      <w:color w:val="000000"/>
      <w:sz w:val="22"/>
      <w:szCs w:val="22"/>
      <w:u w:val="none"/>
    </w:rPr>
  </w:style>
  <w:style w:type="character" w:customStyle="1" w:styleId="49">
    <w:name w:val="font61"/>
    <w:basedOn w:val="23"/>
    <w:qFormat/>
    <w:uiPriority w:val="0"/>
    <w:rPr>
      <w:rFonts w:ascii="宋体" w:hAnsi="宋体" w:eastAsia="宋体" w:cs="宋体"/>
      <w:color w:val="000000"/>
      <w:sz w:val="22"/>
      <w:szCs w:val="22"/>
      <w:u w:val="none"/>
    </w:rPr>
  </w:style>
  <w:style w:type="character" w:customStyle="1" w:styleId="50">
    <w:name w:val="font71"/>
    <w:basedOn w:val="23"/>
    <w:qFormat/>
    <w:uiPriority w:val="0"/>
    <w:rPr>
      <w:rFonts w:hint="eastAsia" w:ascii="宋体" w:hAnsi="宋体" w:eastAsia="宋体" w:cs="宋体"/>
      <w:color w:val="FF0000"/>
      <w:sz w:val="24"/>
      <w:szCs w:val="24"/>
      <w:u w:val="none"/>
    </w:rPr>
  </w:style>
  <w:style w:type="character" w:customStyle="1" w:styleId="51">
    <w:name w:val="font41"/>
    <w:basedOn w:val="23"/>
    <w:qFormat/>
    <w:uiPriority w:val="0"/>
    <w:rPr>
      <w:rFonts w:hint="eastAsia" w:ascii="宋体" w:hAnsi="宋体" w:eastAsia="宋体" w:cs="宋体"/>
      <w:color w:val="000000"/>
      <w:sz w:val="24"/>
      <w:szCs w:val="24"/>
      <w:u w:val="none"/>
    </w:rPr>
  </w:style>
  <w:style w:type="character" w:customStyle="1" w:styleId="52">
    <w:name w:val="批注框文本 字符"/>
    <w:basedOn w:val="23"/>
    <w:link w:val="12"/>
    <w:qFormat/>
    <w:uiPriority w:val="0"/>
    <w:rPr>
      <w:rFonts w:eastAsia="华文仿宋"/>
      <w:color w:val="000000"/>
      <w:sz w:val="18"/>
      <w:szCs w:val="18"/>
      <w:lang w:eastAsia="en-US" w:bidi="en-US"/>
    </w:rPr>
  </w:style>
  <w:style w:type="character" w:customStyle="1" w:styleId="53">
    <w:name w:val="正文文本 字符"/>
    <w:basedOn w:val="23"/>
    <w:link w:val="7"/>
    <w:qFormat/>
    <w:uiPriority w:val="0"/>
    <w:rPr>
      <w:rFonts w:ascii="仿宋_GB2312" w:hAnsi="仿宋_GB2312" w:eastAsia="仿宋_GB2312" w:cs="仿宋_GB2312"/>
      <w:color w:val="000000"/>
      <w:sz w:val="30"/>
      <w:szCs w:val="30"/>
      <w:lang w:val="zh-CN" w:bidi="zh-CN"/>
    </w:rPr>
  </w:style>
  <w:style w:type="character" w:customStyle="1" w:styleId="54">
    <w:name w:val="页脚 字符"/>
    <w:basedOn w:val="23"/>
    <w:link w:val="13"/>
    <w:qFormat/>
    <w:uiPriority w:val="99"/>
    <w:rPr>
      <w:rFonts w:eastAsia="仿宋_GB2312"/>
      <w:color w:val="000000"/>
      <w:sz w:val="18"/>
      <w:szCs w:val="24"/>
      <w:lang w:eastAsia="en-US" w:bidi="en-US"/>
    </w:rPr>
  </w:style>
  <w:style w:type="paragraph" w:styleId="55">
    <w:name w:val="List Paragraph"/>
    <w:basedOn w:val="1"/>
    <w:qFormat/>
    <w:uiPriority w:val="99"/>
    <w:pPr>
      <w:ind w:firstLine="420"/>
    </w:pPr>
  </w:style>
  <w:style w:type="table" w:customStyle="1" w:styleId="56">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character" w:customStyle="1" w:styleId="57">
    <w:name w:val="标题 字符"/>
    <w:basedOn w:val="23"/>
    <w:link w:val="21"/>
    <w:qFormat/>
    <w:uiPriority w:val="0"/>
    <w:rPr>
      <w:rFonts w:eastAsia="方正小标宋" w:cstheme="majorBidi"/>
      <w:b/>
      <w:bCs/>
      <w:color w:val="000000"/>
      <w:sz w:val="44"/>
      <w:szCs w:val="32"/>
      <w:lang w:eastAsia="en-US" w:bidi="en-US"/>
    </w:rPr>
  </w:style>
  <w:style w:type="character" w:customStyle="1" w:styleId="58">
    <w:name w:val="font91"/>
    <w:basedOn w:val="23"/>
    <w:qFormat/>
    <w:uiPriority w:val="0"/>
    <w:rPr>
      <w:rFonts w:hint="eastAsia" w:ascii="宋体" w:hAnsi="宋体" w:eastAsia="宋体" w:cs="宋体"/>
      <w:b/>
      <w:bCs/>
      <w:color w:val="000000"/>
      <w:sz w:val="24"/>
      <w:szCs w:val="24"/>
      <w:u w:val="none"/>
    </w:rPr>
  </w:style>
  <w:style w:type="character" w:customStyle="1" w:styleId="59">
    <w:name w:val="font101"/>
    <w:basedOn w:val="23"/>
    <w:qFormat/>
    <w:uiPriority w:val="0"/>
    <w:rPr>
      <w:rFonts w:ascii="方正书宋_GBK" w:hAnsi="方正书宋_GBK" w:eastAsia="方正书宋_GBK" w:cs="方正书宋_GBK"/>
      <w:b/>
      <w:bCs/>
      <w:color w:val="000000"/>
      <w:sz w:val="24"/>
      <w:szCs w:val="24"/>
      <w:u w:val="none"/>
    </w:rPr>
  </w:style>
  <w:style w:type="character" w:customStyle="1" w:styleId="60">
    <w:name w:val="font112"/>
    <w:basedOn w:val="23"/>
    <w:qFormat/>
    <w:uiPriority w:val="0"/>
    <w:rPr>
      <w:rFonts w:hint="eastAsia" w:ascii="宋体" w:hAnsi="宋体" w:eastAsia="宋体" w:cs="宋体"/>
      <w:b/>
      <w:bCs/>
      <w:color w:val="000000"/>
      <w:sz w:val="24"/>
      <w:szCs w:val="24"/>
      <w:u w:val="none"/>
    </w:rPr>
  </w:style>
  <w:style w:type="character" w:customStyle="1" w:styleId="61">
    <w:name w:val="font121"/>
    <w:basedOn w:val="23"/>
    <w:qFormat/>
    <w:uiPriority w:val="0"/>
    <w:rPr>
      <w:rFonts w:hint="eastAsia" w:ascii="宋体" w:hAnsi="宋体" w:eastAsia="宋体" w:cs="宋体"/>
      <w:color w:val="000000"/>
      <w:sz w:val="24"/>
      <w:szCs w:val="24"/>
      <w:u w:val="none"/>
    </w:rPr>
  </w:style>
  <w:style w:type="character" w:customStyle="1" w:styleId="62">
    <w:name w:val="font131"/>
    <w:basedOn w:val="23"/>
    <w:qFormat/>
    <w:uiPriority w:val="0"/>
    <w:rPr>
      <w:rFonts w:hint="default" w:ascii="Times New Roman" w:hAnsi="Times New Roman" w:cs="Times New Roman"/>
      <w:color w:val="000000"/>
      <w:sz w:val="24"/>
      <w:szCs w:val="24"/>
      <w:u w:val="none"/>
    </w:rPr>
  </w:style>
  <w:style w:type="character" w:customStyle="1" w:styleId="63">
    <w:name w:val="font141"/>
    <w:basedOn w:val="23"/>
    <w:qFormat/>
    <w:uiPriority w:val="0"/>
    <w:rPr>
      <w:rFonts w:hint="eastAsia" w:ascii="宋体" w:hAnsi="宋体" w:eastAsia="宋体" w:cs="宋体"/>
      <w:color w:val="000000"/>
      <w:sz w:val="24"/>
      <w:szCs w:val="24"/>
      <w:u w:val="none"/>
    </w:rPr>
  </w:style>
  <w:style w:type="character" w:customStyle="1" w:styleId="64">
    <w:name w:val="font151"/>
    <w:basedOn w:val="23"/>
    <w:qFormat/>
    <w:uiPriority w:val="0"/>
    <w:rPr>
      <w:rFonts w:hint="default" w:ascii="Times New Roman" w:hAnsi="Times New Roman" w:cs="Times New Roman"/>
      <w:color w:val="000000"/>
      <w:sz w:val="24"/>
      <w:szCs w:val="24"/>
      <w:u w:val="none"/>
    </w:rPr>
  </w:style>
  <w:style w:type="character" w:customStyle="1" w:styleId="65">
    <w:name w:val="标题 1 字符"/>
    <w:link w:val="2"/>
    <w:qFormat/>
    <w:uiPriority w:val="0"/>
    <w:rPr>
      <w:rFonts w:eastAsia="黑体"/>
      <w:b/>
      <w:kern w:val="44"/>
    </w:rPr>
  </w:style>
  <w:style w:type="character" w:customStyle="1" w:styleId="66">
    <w:name w:val="CharAttribute37"/>
    <w:qFormat/>
    <w:uiPriority w:val="99"/>
    <w:rPr>
      <w:rFonts w:ascii="宋体" w:hAnsi="宋体" w:eastAsia="Times New Roman"/>
      <w:sz w:val="24"/>
    </w:rPr>
  </w:style>
  <w:style w:type="character" w:customStyle="1" w:styleId="67">
    <w:name w:val="日期 字符"/>
    <w:basedOn w:val="23"/>
    <w:link w:val="11"/>
    <w:qFormat/>
    <w:uiPriority w:val="0"/>
    <w:rPr>
      <w:rFonts w:eastAsia="仿宋_GB2312"/>
      <w:color w:val="000000"/>
      <w:sz w:val="32"/>
      <w:szCs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40382E-0462-43B4-8C70-2C3774C061E1}">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39</Pages>
  <Words>362</Words>
  <Characters>428</Characters>
  <Lines>188</Lines>
  <Paragraphs>441</Paragraphs>
  <TotalTime>17</TotalTime>
  <ScaleCrop>false</ScaleCrop>
  <LinksUpToDate>false</LinksUpToDate>
  <CharactersWithSpaces>428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2024-10-11T12:17:00Z</dcterms:created>
  <dc:creator>cll</dc:creator>
  <cp:lastModifiedBy>薄荷与橙</cp:lastModifiedBy>
  <cp:lastPrinted>2025-07-28T07:04:00Z</cp:lastPrinted>
  <dcterms:modified xsi:type="dcterms:W3CDTF">2025-12-30T02:26:36Z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58CB3AE3722C4C8CA167D2F3944BF467_13</vt:lpwstr>
  </property>
  <property fmtid="{D5CDD505-2E9C-101B-9397-08002B2CF9AE}" pid="4" name="KSOTemplateDocerSaveRecord">
    <vt:lpwstr>eyJoZGlkIjoiNTZlOTk1YjIxZjg2YTQ5NjZjM2E1OTljNGIzZDlkYzgiLCJ1c2VySWQiOiIxNTU2NzM1NzYwIn0=</vt:lpwstr>
  </property>
</Properties>
</file>