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0" w:name="_Toc4926"/>
      <w:bookmarkStart w:id="1" w:name="_Toc27923"/>
      <w:bookmarkStart w:id="2" w:name="_Toc16439"/>
      <w:bookmarkStart w:id="3" w:name="_Toc4482"/>
      <w:r>
        <w:rPr>
          <w:rFonts w:hint="eastAsia" w:ascii="方正小标宋简体" w:hAnsi="方正小标宋简体" w:eastAsia="方正小标宋简体" w:cs="方正小标宋简体"/>
          <w:b w:val="0"/>
          <w:bCs w:val="0"/>
          <w:sz w:val="44"/>
          <w:szCs w:val="44"/>
        </w:rPr>
        <w:t>乐山市金口河区粮食和物资储备中心</w:t>
      </w:r>
      <w:bookmarkEnd w:id="0"/>
    </w:p>
    <w:p>
      <w:pPr>
        <w:pStyle w:val="19"/>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4" w:name="_Toc12088"/>
      <w:r>
        <w:rPr>
          <w:rFonts w:hint="eastAsia" w:ascii="方正小标宋简体" w:hAnsi="方正小标宋简体" w:eastAsia="方正小标宋简体" w:cs="方正小标宋简体"/>
          <w:b w:val="0"/>
          <w:bCs w:val="0"/>
          <w:sz w:val="44"/>
          <w:szCs w:val="44"/>
        </w:rPr>
        <w:t>储备粮油费用补贴</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5" w:name="_Toc24858"/>
      <w:bookmarkStart w:id="6" w:name="_Toc29784"/>
      <w:r>
        <w:rPr>
          <w:rFonts w:hint="eastAsia" w:ascii="方正小标宋简体" w:hAnsi="方正小标宋简体" w:eastAsia="方正小标宋简体" w:cs="方正小标宋简体"/>
          <w:b w:val="0"/>
          <w:bCs w:val="0"/>
          <w:sz w:val="44"/>
          <w:szCs w:val="44"/>
        </w:rPr>
        <w:t>事</w:t>
      </w:r>
      <w:bookmarkEnd w:id="5"/>
      <w:bookmarkEnd w:id="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7" w:name="_Toc19435"/>
      <w:bookmarkStart w:id="8" w:name="_Toc3257"/>
      <w:r>
        <w:rPr>
          <w:rFonts w:hint="eastAsia" w:ascii="方正小标宋简体" w:hAnsi="方正小标宋简体" w:eastAsia="方正小标宋简体" w:cs="方正小标宋简体"/>
          <w:b w:val="0"/>
          <w:bCs w:val="0"/>
          <w:sz w:val="44"/>
          <w:szCs w:val="44"/>
        </w:rPr>
        <w:t>前</w:t>
      </w:r>
      <w:bookmarkEnd w:id="7"/>
      <w:bookmarkEnd w:id="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9" w:name="_Toc17772"/>
      <w:bookmarkStart w:id="10" w:name="_Toc13192"/>
      <w:r>
        <w:rPr>
          <w:rFonts w:hint="eastAsia" w:ascii="方正小标宋简体" w:hAnsi="方正小标宋简体" w:eastAsia="方正小标宋简体" w:cs="方正小标宋简体"/>
          <w:b w:val="0"/>
          <w:bCs w:val="0"/>
          <w:sz w:val="44"/>
          <w:szCs w:val="44"/>
        </w:rPr>
        <w:t>绩</w:t>
      </w:r>
      <w:bookmarkEnd w:id="9"/>
      <w:bookmarkEnd w:id="10"/>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1" w:name="_Toc30199"/>
      <w:bookmarkStart w:id="12" w:name="_Toc14778"/>
      <w:r>
        <w:rPr>
          <w:rFonts w:hint="eastAsia" w:ascii="方正小标宋简体" w:hAnsi="方正小标宋简体" w:eastAsia="方正小标宋简体" w:cs="方正小标宋简体"/>
          <w:b w:val="0"/>
          <w:bCs w:val="0"/>
          <w:sz w:val="44"/>
          <w:szCs w:val="44"/>
        </w:rPr>
        <w:t>效</w:t>
      </w:r>
      <w:bookmarkEnd w:id="11"/>
      <w:bookmarkEnd w:id="12"/>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3" w:name="_Toc27740"/>
      <w:bookmarkStart w:id="14" w:name="_Toc6131"/>
      <w:r>
        <w:rPr>
          <w:rFonts w:hint="eastAsia" w:ascii="方正小标宋简体" w:hAnsi="方正小标宋简体" w:eastAsia="方正小标宋简体" w:cs="方正小标宋简体"/>
          <w:b w:val="0"/>
          <w:bCs w:val="0"/>
          <w:sz w:val="44"/>
          <w:szCs w:val="44"/>
        </w:rPr>
        <w:t>评</w:t>
      </w:r>
      <w:bookmarkEnd w:id="13"/>
      <w:bookmarkEnd w:id="14"/>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5" w:name="_Toc18637"/>
      <w:bookmarkStart w:id="16" w:name="_Toc5005"/>
      <w:r>
        <w:rPr>
          <w:rFonts w:hint="eastAsia" w:ascii="方正小标宋简体" w:hAnsi="方正小标宋简体" w:eastAsia="方正小标宋简体" w:cs="方正小标宋简体"/>
          <w:b w:val="0"/>
          <w:bCs w:val="0"/>
          <w:sz w:val="44"/>
          <w:szCs w:val="44"/>
        </w:rPr>
        <w:t>价</w:t>
      </w:r>
      <w:bookmarkEnd w:id="15"/>
      <w:bookmarkEnd w:id="1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7" w:name="_Toc22413"/>
      <w:bookmarkStart w:id="18" w:name="_Toc14819"/>
      <w:r>
        <w:rPr>
          <w:rFonts w:hint="eastAsia" w:ascii="方正小标宋简体" w:hAnsi="方正小标宋简体" w:eastAsia="方正小标宋简体" w:cs="方正小标宋简体"/>
          <w:b w:val="0"/>
          <w:bCs w:val="0"/>
          <w:sz w:val="44"/>
          <w:szCs w:val="44"/>
        </w:rPr>
        <w:t>报</w:t>
      </w:r>
      <w:bookmarkEnd w:id="17"/>
      <w:bookmarkEnd w:id="1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9" w:name="_Toc5311"/>
      <w:bookmarkStart w:id="20" w:name="_Toc26914"/>
      <w:r>
        <w:rPr>
          <w:rFonts w:hint="eastAsia" w:ascii="方正小标宋简体" w:hAnsi="方正小标宋简体" w:eastAsia="方正小标宋简体" w:cs="方正小标宋简体"/>
          <w:b w:val="0"/>
          <w:bCs w:val="0"/>
          <w:sz w:val="44"/>
          <w:szCs w:val="44"/>
        </w:rPr>
        <w:t>告</w:t>
      </w:r>
      <w:bookmarkEnd w:id="19"/>
      <w:bookmarkEnd w:id="20"/>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lang w:eastAsia="zh-CN"/>
        </w:rPr>
        <w:t>项目编号：</w:t>
      </w:r>
      <w:r>
        <w:rPr>
          <w:rStyle w:val="66"/>
          <w:rFonts w:eastAsia="仿宋_GB2312"/>
          <w:bCs/>
          <w:sz w:val="28"/>
          <w:szCs w:val="28"/>
          <w:highlight w:val="none"/>
          <w:lang w:eastAsia="zh-CN"/>
        </w:rPr>
        <w:t>金财绩评（202</w:t>
      </w:r>
      <w:r>
        <w:rPr>
          <w:rStyle w:val="66"/>
          <w:rFonts w:hint="eastAsia" w:eastAsia="仿宋_GB2312"/>
          <w:bCs/>
          <w:sz w:val="28"/>
          <w:szCs w:val="28"/>
          <w:highlight w:val="none"/>
          <w:lang w:eastAsia="zh-CN"/>
        </w:rPr>
        <w:t>5</w:t>
      </w:r>
      <w:r>
        <w:rPr>
          <w:rStyle w:val="66"/>
          <w:rFonts w:eastAsia="仿宋_GB2312"/>
          <w:bCs/>
          <w:sz w:val="28"/>
          <w:szCs w:val="28"/>
          <w:highlight w:val="none"/>
          <w:lang w:eastAsia="zh-CN"/>
        </w:rPr>
        <w:t>）0</w:t>
      </w:r>
      <w:r>
        <w:rPr>
          <w:rStyle w:val="66"/>
          <w:rFonts w:hint="eastAsia" w:eastAsia="仿宋_GB2312"/>
          <w:bCs/>
          <w:sz w:val="28"/>
          <w:szCs w:val="28"/>
          <w:highlight w:val="none"/>
          <w:lang w:eastAsia="zh-CN"/>
        </w:rPr>
        <w:t>4</w:t>
      </w:r>
      <w:r>
        <w:rPr>
          <w:rStyle w:val="66"/>
          <w:rFonts w:eastAsia="仿宋_GB2312"/>
          <w:bCs/>
          <w:sz w:val="28"/>
          <w:szCs w:val="28"/>
          <w:highlight w:val="none"/>
          <w:lang w:eastAsia="zh-CN"/>
        </w:rPr>
        <w:t>号</w:t>
      </w: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highlight w:val="none"/>
          <w:lang w:eastAsia="zh-CN"/>
        </w:rPr>
        <w:t>主管部门：</w:t>
      </w:r>
      <w:r>
        <w:rPr>
          <w:rStyle w:val="66"/>
          <w:rFonts w:hint="eastAsia" w:eastAsia="仿宋_GB2312"/>
          <w:bCs/>
          <w:sz w:val="28"/>
          <w:szCs w:val="28"/>
          <w:highlight w:val="none"/>
          <w:lang w:eastAsia="zh-CN"/>
        </w:rPr>
        <w:t>乐山市金口河区粮食和物资储备中心</w:t>
      </w:r>
    </w:p>
    <w:p>
      <w:pPr>
        <w:snapToGrid w:val="0"/>
        <w:spacing w:line="600" w:lineRule="exact"/>
        <w:rPr>
          <w:rStyle w:val="66"/>
          <w:rFonts w:hint="eastAsia" w:eastAsia="仿宋_GB2312"/>
          <w:bCs/>
          <w:sz w:val="28"/>
          <w:szCs w:val="28"/>
          <w:highlight w:val="none"/>
          <w:lang w:eastAsia="zh-CN"/>
        </w:rPr>
      </w:pPr>
      <w:r>
        <w:rPr>
          <w:rStyle w:val="66"/>
          <w:rFonts w:eastAsia="仿宋_GB2312"/>
          <w:bCs/>
          <w:sz w:val="28"/>
          <w:szCs w:val="28"/>
          <w:highlight w:val="none"/>
          <w:lang w:eastAsia="zh-CN"/>
        </w:rPr>
        <w:t>实施单位：</w:t>
      </w:r>
      <w:r>
        <w:rPr>
          <w:rStyle w:val="66"/>
          <w:rFonts w:hint="eastAsia" w:eastAsia="仿宋_GB2312"/>
          <w:bCs/>
          <w:sz w:val="28"/>
          <w:szCs w:val="28"/>
          <w:highlight w:val="none"/>
          <w:lang w:eastAsia="zh-CN"/>
        </w:rPr>
        <w:t>乐山市金口河区粮食和物资储备中心</w:t>
      </w:r>
    </w:p>
    <w:p>
      <w:pPr>
        <w:snapToGrid w:val="0"/>
        <w:spacing w:line="600" w:lineRule="exact"/>
        <w:rPr>
          <w:rStyle w:val="66"/>
          <w:rFonts w:eastAsia="仿宋_GB2312"/>
          <w:bCs/>
          <w:sz w:val="28"/>
          <w:szCs w:val="28"/>
          <w:highlight w:val="none"/>
          <w:lang w:eastAsia="zh-CN"/>
        </w:rPr>
      </w:pPr>
      <w:r>
        <w:rPr>
          <w:rStyle w:val="66"/>
          <w:rFonts w:eastAsia="仿宋_GB2312"/>
          <w:bCs/>
          <w:sz w:val="28"/>
          <w:szCs w:val="28"/>
          <w:highlight w:val="none"/>
          <w:lang w:eastAsia="zh-CN"/>
        </w:rPr>
        <w:t>评价单位：乐山市金口河区财政投资评价审核中心</w:t>
      </w:r>
    </w:p>
    <w:p>
      <w:pPr>
        <w:snapToGrid w:val="0"/>
        <w:spacing w:line="600" w:lineRule="exact"/>
        <w:rPr>
          <w:rStyle w:val="66"/>
          <w:rFonts w:eastAsia="仿宋_GB2312"/>
          <w:bCs/>
          <w:sz w:val="28"/>
          <w:szCs w:val="28"/>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1" w:name="_Toc27535"/>
      <w:r>
        <w:rPr>
          <w:rFonts w:hint="eastAsia" w:ascii="方正小标宋简体" w:hAnsi="方正小标宋简体" w:eastAsia="方正小标宋简体" w:cs="方正小标宋简体"/>
          <w:b w:val="0"/>
          <w:bCs w:val="0"/>
          <w:lang w:eastAsia="zh-CN"/>
        </w:rPr>
        <w:t>乐山市金口河区粮食和物资储备中心</w:t>
      </w:r>
      <w:bookmarkEnd w:id="21"/>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2" w:name="_Toc11450"/>
      <w:r>
        <w:rPr>
          <w:rFonts w:hint="eastAsia" w:ascii="方正小标宋简体" w:hAnsi="方正小标宋简体" w:eastAsia="方正小标宋简体" w:cs="方正小标宋简体"/>
          <w:b w:val="0"/>
          <w:bCs w:val="0"/>
          <w:lang w:eastAsia="zh-CN"/>
        </w:rPr>
        <w:t>储备粮油费用补贴</w:t>
      </w:r>
      <w:bookmarkEnd w:id="22"/>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3" w:name="_Toc23933"/>
      <w:bookmarkStart w:id="24" w:name="_Toc25871"/>
      <w:r>
        <w:rPr>
          <w:rFonts w:hint="eastAsia" w:ascii="方正小标宋简体" w:hAnsi="方正小标宋简体" w:eastAsia="方正小标宋简体" w:cs="方正小标宋简体"/>
          <w:b w:val="0"/>
          <w:bCs w:val="0"/>
          <w:lang w:eastAsia="zh-CN"/>
        </w:rPr>
        <w:t>事前绩效评价结论</w:t>
      </w:r>
      <w:bookmarkEnd w:id="23"/>
      <w:bookmarkEnd w:id="24"/>
    </w:p>
    <w:p>
      <w:pPr>
        <w:pStyle w:val="2"/>
        <w:spacing w:before="0" w:beforeLines="0" w:after="0" w:afterLines="0"/>
        <w:rPr>
          <w:rFonts w:hint="eastAsia" w:ascii="仿宋" w:hAnsi="仿宋" w:eastAsia="仿宋" w:cs="仿宋"/>
          <w:b w:val="0"/>
          <w:color w:val="auto"/>
          <w:lang w:eastAsia="zh-CN"/>
        </w:rPr>
      </w:pPr>
    </w:p>
    <w:p>
      <w:pPr>
        <w:ind w:firstLine="640"/>
        <w:rPr>
          <w:rFonts w:hint="eastAsia" w:ascii="仿宋" w:hAnsi="仿宋" w:eastAsia="仿宋" w:cs="仿宋"/>
          <w:color w:val="auto"/>
          <w:lang w:eastAsia="zh-CN"/>
        </w:rPr>
      </w:pPr>
      <w:r>
        <w:rPr>
          <w:rFonts w:hint="eastAsia" w:ascii="仿宋" w:hAnsi="仿宋" w:eastAsia="仿宋" w:cs="仿宋"/>
          <w:color w:val="auto"/>
          <w:lang w:eastAsia="zh-CN"/>
        </w:rPr>
        <w:t>我中心对储备粮油费用补贴事前绩效评价综合得分为9</w:t>
      </w:r>
      <w:r>
        <w:rPr>
          <w:rFonts w:hint="eastAsia" w:ascii="仿宋" w:hAnsi="仿宋" w:eastAsia="仿宋" w:cs="仿宋"/>
          <w:color w:val="auto"/>
          <w:lang w:val="en-US" w:eastAsia="zh-CN"/>
        </w:rPr>
        <w:t>7</w:t>
      </w:r>
      <w:r>
        <w:rPr>
          <w:rFonts w:hint="eastAsia" w:ascii="仿宋" w:hAnsi="仿宋" w:eastAsia="仿宋" w:cs="仿宋"/>
          <w:color w:val="auto"/>
          <w:lang w:eastAsia="zh-CN"/>
        </w:rPr>
        <w:t>分，综合绩效评估结论为</w:t>
      </w:r>
      <w:r>
        <w:rPr>
          <w:rFonts w:ascii="仿宋" w:hAnsi="仿宋" w:eastAsia="仿宋" w:cs="仿宋"/>
          <w:szCs w:val="32"/>
          <w:lang w:eastAsia="zh-CN"/>
        </w:rPr>
        <w:t>“</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color w:val="auto"/>
          <w:lang w:eastAsia="zh-CN"/>
        </w:rPr>
        <w:t>（具体评分情况见三、事前绩效评估指标体系及得分情况）</w:t>
      </w:r>
    </w:p>
    <w:p>
      <w:pPr>
        <w:tabs>
          <w:tab w:val="left" w:pos="1336"/>
        </w:tabs>
        <w:spacing w:line="480" w:lineRule="exact"/>
        <w:ind w:firstLine="0" w:firstLineChars="0"/>
        <w:jc w:val="center"/>
        <w:outlineLvl w:val="0"/>
        <w:rPr>
          <w:rFonts w:hint="eastAsia" w:ascii="仿宋" w:hAnsi="仿宋" w:eastAsia="仿宋" w:cs="仿宋"/>
          <w:szCs w:val="32"/>
          <w:lang w:eastAsia="zh-CN"/>
        </w:rPr>
      </w:pPr>
      <w:bookmarkStart w:id="25" w:name="_Toc2305"/>
      <w:r>
        <w:rPr>
          <w:rFonts w:hint="eastAsia" w:ascii="仿宋" w:hAnsi="仿宋" w:eastAsia="仿宋" w:cs="仿宋"/>
          <w:color w:val="auto"/>
          <w:lang w:eastAsia="zh-CN"/>
        </w:rPr>
        <w:t>储备粮油费用补贴</w:t>
      </w:r>
      <w:bookmarkEnd w:id="25"/>
    </w:p>
    <w:p>
      <w:pPr>
        <w:tabs>
          <w:tab w:val="left" w:pos="1336"/>
        </w:tabs>
        <w:spacing w:line="480" w:lineRule="exact"/>
        <w:ind w:firstLine="0" w:firstLineChars="0"/>
        <w:jc w:val="center"/>
        <w:outlineLvl w:val="0"/>
        <w:rPr>
          <w:rFonts w:hint="eastAsia" w:ascii="仿宋" w:hAnsi="仿宋" w:eastAsia="仿宋" w:cs="仿宋"/>
          <w:szCs w:val="32"/>
          <w:lang w:eastAsia="zh-CN"/>
        </w:rPr>
      </w:pPr>
      <w:bookmarkStart w:id="26" w:name="_Toc29428"/>
      <w:bookmarkStart w:id="27" w:name="_Toc25829"/>
      <w:bookmarkStart w:id="28" w:name="_Toc13519"/>
      <w:bookmarkStart w:id="29" w:name="_Toc4904"/>
      <w:bookmarkStart w:id="30" w:name="_Toc13580"/>
      <w:r>
        <w:rPr>
          <w:rFonts w:hint="eastAsia" w:ascii="仿宋" w:hAnsi="仿宋" w:eastAsia="仿宋" w:cs="仿宋"/>
          <w:color w:val="auto"/>
          <w:lang w:eastAsia="zh-CN"/>
        </w:rPr>
        <w:t>事前绩效评价结论一览</w:t>
      </w:r>
      <w:r>
        <w:rPr>
          <w:rFonts w:hint="eastAsia" w:ascii="仿宋" w:hAnsi="仿宋" w:eastAsia="仿宋" w:cs="仿宋"/>
          <w:szCs w:val="32"/>
          <w:lang w:eastAsia="zh-CN"/>
        </w:rPr>
        <w:t>表</w:t>
      </w:r>
      <w:bookmarkEnd w:id="26"/>
      <w:bookmarkEnd w:id="27"/>
      <w:bookmarkEnd w:id="28"/>
      <w:bookmarkEnd w:id="29"/>
      <w:bookmarkEnd w:id="3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实施合规性</w:t>
            </w:r>
            <w:r>
              <w:rPr>
                <w:rFonts w:hint="eastAsia" w:ascii="仿宋" w:hAnsi="仿宋" w:eastAsia="仿宋" w:cs="仿宋"/>
                <w:bCs/>
                <w:snapToGrid w:val="0"/>
                <w:sz w:val="28"/>
                <w:szCs w:val="28"/>
                <w:lang w:eastAsia="zh-CN"/>
              </w:rPr>
              <w:t>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eastAsia="zh-CN"/>
              </w:rPr>
              <w:t>项目资金来源、</w:t>
            </w:r>
            <w:r>
              <w:rPr>
                <w:rFonts w:hint="eastAsia" w:ascii="仿宋" w:hAnsi="仿宋" w:eastAsia="仿宋" w:cs="仿宋"/>
                <w:bCs/>
                <w:snapToGrid w:val="0"/>
                <w:sz w:val="28"/>
                <w:szCs w:val="28"/>
                <w:lang w:val="en-US" w:eastAsia="zh-CN"/>
              </w:rPr>
              <w:t>资金</w:t>
            </w:r>
            <w:r>
              <w:rPr>
                <w:rFonts w:hint="eastAsia" w:ascii="仿宋" w:hAnsi="仿宋" w:eastAsia="仿宋" w:cs="仿宋"/>
                <w:bCs/>
                <w:snapToGrid w:val="0"/>
                <w:sz w:val="28"/>
                <w:szCs w:val="28"/>
                <w:lang w:eastAsia="zh-CN"/>
              </w:rPr>
              <w:t>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13</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管理办法执行</w:t>
            </w:r>
            <w:r>
              <w:rPr>
                <w:rFonts w:hint="eastAsia" w:ascii="仿宋" w:hAnsi="仿宋" w:eastAsia="仿宋" w:cs="仿宋"/>
                <w:bCs/>
                <w:snapToGrid w:val="0"/>
                <w:sz w:val="28"/>
                <w:szCs w:val="28"/>
                <w:lang w:eastAsia="zh-CN"/>
              </w:rPr>
              <w:t>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default" w:ascii="仿宋" w:hAnsi="仿宋" w:eastAsia="仿宋" w:cs="仿宋"/>
                <w:color w:val="auto"/>
                <w:sz w:val="28"/>
                <w:szCs w:val="28"/>
                <w:lang w:val="en-US" w:eastAsia="zh-CN" w:bidi="ar"/>
              </w:rPr>
            </w:pPr>
            <w:r>
              <w:rPr>
                <w:rFonts w:hint="eastAsia" w:ascii="仿宋" w:hAnsi="仿宋" w:eastAsia="仿宋" w:cs="仿宋"/>
                <w:color w:val="auto"/>
                <w:sz w:val="28"/>
                <w:szCs w:val="28"/>
                <w:lang w:val="en-US"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bCs/>
                <w:color w:val="auto"/>
                <w:sz w:val="28"/>
                <w:szCs w:val="28"/>
              </w:rPr>
            </w:pPr>
            <w:r>
              <w:rPr>
                <w:rFonts w:ascii="仿宋" w:hAnsi="仿宋" w:eastAsia="仿宋" w:cs="仿宋"/>
                <w:b/>
                <w:bCs/>
                <w:color w:val="auto"/>
                <w:sz w:val="28"/>
                <w:szCs w:val="28"/>
              </w:rPr>
              <w:fldChar w:fldCharType="begin"/>
            </w:r>
            <w:r>
              <w:rPr>
                <w:rFonts w:ascii="仿宋" w:hAnsi="仿宋" w:eastAsia="仿宋" w:cs="仿宋"/>
                <w:b/>
                <w:bCs/>
                <w:color w:val="auto"/>
                <w:sz w:val="28"/>
                <w:szCs w:val="28"/>
              </w:rPr>
              <w:instrText xml:space="preserve"> =SUM(ABOVE) \* MERGEFORMAT </w:instrText>
            </w:r>
            <w:r>
              <w:rPr>
                <w:rFonts w:ascii="仿宋" w:hAnsi="仿宋" w:eastAsia="仿宋" w:cs="仿宋"/>
                <w:b/>
                <w:bCs/>
                <w:color w:val="auto"/>
                <w:sz w:val="28"/>
                <w:szCs w:val="28"/>
              </w:rPr>
              <w:fldChar w:fldCharType="separate"/>
            </w:r>
            <w:r>
              <w:rPr>
                <w:rFonts w:ascii="仿宋" w:hAnsi="仿宋" w:eastAsia="仿宋" w:cs="仿宋"/>
                <w:b/>
                <w:bCs/>
                <w:color w:val="auto"/>
                <w:sz w:val="28"/>
                <w:szCs w:val="28"/>
              </w:rPr>
              <w:t>100</w:t>
            </w:r>
            <w:r>
              <w:rPr>
                <w:rFonts w:ascii="仿宋" w:hAnsi="仿宋" w:eastAsia="仿宋" w:cs="仿宋"/>
                <w:b/>
                <w:bCs/>
                <w:color w:val="auto"/>
                <w:sz w:val="28"/>
                <w:szCs w:val="28"/>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default" w:ascii="仿宋" w:hAnsi="仿宋" w:eastAsia="仿宋" w:cs="仿宋"/>
                <w:b/>
                <w:bCs/>
                <w:color w:val="auto"/>
                <w:sz w:val="28"/>
                <w:szCs w:val="28"/>
                <w:lang w:val="en-US" w:eastAsia="zh-CN"/>
              </w:rPr>
            </w:pPr>
            <w:r>
              <w:rPr>
                <w:rFonts w:ascii="仿宋" w:hAnsi="仿宋" w:eastAsia="仿宋" w:cs="仿宋"/>
                <w:b/>
                <w:bCs/>
                <w:color w:val="auto"/>
                <w:sz w:val="28"/>
                <w:szCs w:val="28"/>
                <w:lang w:eastAsia="zh-CN"/>
              </w:rPr>
              <w:fldChar w:fldCharType="begin"/>
            </w:r>
            <w:r>
              <w:rPr>
                <w:rFonts w:ascii="仿宋" w:hAnsi="仿宋" w:eastAsia="仿宋" w:cs="仿宋"/>
                <w:b/>
                <w:bCs/>
                <w:color w:val="auto"/>
                <w:sz w:val="28"/>
                <w:szCs w:val="28"/>
                <w:lang w:eastAsia="zh-CN"/>
              </w:rPr>
              <w:instrText xml:space="preserve"> =SUM(ABOVE) \* MERGEFORMAT </w:instrText>
            </w:r>
            <w:r>
              <w:rPr>
                <w:rFonts w:ascii="仿宋" w:hAnsi="仿宋" w:eastAsia="仿宋" w:cs="仿宋"/>
                <w:b/>
                <w:bCs/>
                <w:color w:val="auto"/>
                <w:sz w:val="28"/>
                <w:szCs w:val="28"/>
                <w:lang w:eastAsia="zh-CN"/>
              </w:rPr>
              <w:fldChar w:fldCharType="separate"/>
            </w:r>
            <w:r>
              <w:rPr>
                <w:rFonts w:ascii="仿宋" w:hAnsi="仿宋" w:eastAsia="仿宋" w:cs="仿宋"/>
                <w:b/>
                <w:bCs/>
                <w:color w:val="auto"/>
                <w:sz w:val="28"/>
                <w:szCs w:val="28"/>
                <w:lang w:eastAsia="zh-CN"/>
              </w:rPr>
              <w:t>9</w:t>
            </w:r>
            <w:r>
              <w:rPr>
                <w:rFonts w:ascii="仿宋" w:hAnsi="仿宋" w:eastAsia="仿宋" w:cs="仿宋"/>
                <w:b/>
                <w:bCs/>
                <w:color w:val="auto"/>
                <w:sz w:val="28"/>
                <w:szCs w:val="28"/>
                <w:lang w:eastAsia="zh-CN"/>
              </w:rPr>
              <w:fldChar w:fldCharType="end"/>
            </w:r>
            <w:r>
              <w:rPr>
                <w:rFonts w:hint="eastAsia" w:ascii="仿宋" w:hAnsi="仿宋" w:eastAsia="仿宋" w:cs="仿宋"/>
                <w:b/>
                <w:bCs/>
                <w:color w:val="auto"/>
                <w:sz w:val="28"/>
                <w:szCs w:val="28"/>
                <w:lang w:val="en-US" w:eastAsia="zh-CN"/>
              </w:rPr>
              <w:t>7</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center"/>
              <w:rPr>
                <w:rFonts w:hint="eastAsia" w:ascii="仿宋" w:hAnsi="仿宋" w:eastAsia="仿宋" w:cs="仿宋"/>
                <w:b/>
                <w:bCs/>
                <w:sz w:val="28"/>
                <w:szCs w:val="28"/>
                <w:lang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ind w:firstLine="640"/>
        <w:rPr>
          <w:rFonts w:hint="eastAsia" w:ascii="宋体" w:hAnsi="宋体" w:eastAsia="宋体" w:cs="宋体"/>
          <w:lang w:eastAsia="zh-CN"/>
        </w:rPr>
      </w:pPr>
    </w:p>
    <w:p>
      <w:pPr>
        <w:ind w:firstLine="640"/>
        <w:rPr>
          <w:rFonts w:eastAsia="宋体"/>
          <w:szCs w:val="32"/>
          <w:lang w:eastAsia="zh-CN"/>
        </w:rPr>
      </w:pPr>
      <w:r>
        <w:rPr>
          <w:rFonts w:eastAsia="宋体"/>
          <w:szCs w:val="32"/>
          <w:lang w:eastAsia="zh-CN"/>
        </w:rPr>
        <w:br w:type="page"/>
      </w:r>
    </w:p>
    <w:p>
      <w:pPr>
        <w:tabs>
          <w:tab w:val="right" w:leader="dot" w:pos="8306"/>
        </w:tabs>
        <w:spacing w:line="500" w:lineRule="exact"/>
        <w:ind w:firstLine="480"/>
        <w:jc w:val="center"/>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_Toc26032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_Toc26032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_Toc13763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_Toc5685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_Toc5685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_Toc31055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（三）项目预算构成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_Toc31055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_Toc8033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_Toc8033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_Toc26870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_Toc6919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_Toc6919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_Toc20949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_Toc20949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_Toc6680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_Toc6680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_Toc16442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_Toc16442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_Toc16964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_Toc16964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_Toc19270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_Toc19270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_Toc32146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_Toc32146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_Toc20132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_Toc20132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_Toc29627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_Toc29627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_Toc841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_Toc841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_Toc11035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w:t>
      </w:r>
      <w:r>
        <w:rPr>
          <w:rFonts w:hint="eastAsia" w:ascii="仿宋" w:hAnsi="仿宋" w:eastAsia="仿宋" w:cs="仿宋"/>
          <w:kern w:val="44"/>
          <w:sz w:val="24"/>
          <w:szCs w:val="24"/>
          <w:lang w:val="en-US" w:eastAsia="zh-CN"/>
        </w:rPr>
        <w:t>资金</w:t>
      </w:r>
      <w:r>
        <w:rPr>
          <w:rFonts w:hint="eastAsia" w:ascii="仿宋" w:hAnsi="仿宋" w:eastAsia="仿宋" w:cs="仿宋"/>
          <w:kern w:val="44"/>
          <w:sz w:val="24"/>
          <w:szCs w:val="24"/>
          <w:lang w:eastAsia="zh-CN"/>
        </w:rPr>
        <w:t>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_Toc11035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_Toc24779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_Toc24779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_Toc23225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_Toc23225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_Toc29858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(六)项目管理办法执行的有效性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_Toc29858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_Toc17849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_Toc17849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_Toc5168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_Toc18699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_Toc18699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_Toc22888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_Toc22888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_Toc11379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lang w:val="en-US" w:eastAsia="zh-CN"/>
        </w:rPr>
        <w:t>储备粮、油借款利息测算依据不充分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_Toc11379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_Toc13340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_Toc13340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s>
        <w:spacing w:before="0" w:after="0" w:line="500" w:lineRule="exact"/>
        <w:ind w:firstLine="883"/>
        <w:jc w:val="center"/>
        <w:rPr>
          <w:rFonts w:eastAsia="宋体"/>
          <w:sz w:val="28"/>
          <w:szCs w:val="28"/>
          <w:lang w:eastAsia="zh-CN"/>
        </w:rPr>
      </w:pPr>
      <w:r>
        <w:rPr>
          <w:rFonts w:hint="eastAsia" w:ascii="仿宋" w:hAnsi="仿宋" w:eastAsia="仿宋" w:cs="仿宋"/>
          <w:sz w:val="24"/>
        </w:rPr>
        <w:fldChar w:fldCharType="end"/>
      </w:r>
    </w:p>
    <w:p>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1" w:name="_Toc11577"/>
      <w:bookmarkStart w:id="32" w:name="_Toc18501"/>
      <w:bookmarkStart w:id="33" w:name="_Toc28591"/>
      <w:bookmarkStart w:id="34" w:name="_Toc11127"/>
      <w:bookmarkStart w:id="35" w:name="_Toc1042875910_WPSOffice_Level1"/>
      <w:bookmarkStart w:id="36" w:name="_Toc17291"/>
      <w:bookmarkStart w:id="37" w:name="_Toc1675062758"/>
      <w:bookmarkStart w:id="38" w:name="_Toc792595118"/>
      <w:bookmarkStart w:id="39" w:name="_Toc132480957"/>
      <w:bookmarkStart w:id="40" w:name="_Toc562319121"/>
      <w:bookmarkStart w:id="41" w:name="_Toc13216"/>
      <w:bookmarkStart w:id="42" w:name="_Toc133498022"/>
      <w:bookmarkStart w:id="43" w:name="_Toc130033874"/>
      <w:bookmarkStart w:id="44" w:name="_Toc400713784"/>
      <w:bookmarkStart w:id="45" w:name="_Toc132480512"/>
      <w:bookmarkStart w:id="46" w:name="_Toc22608"/>
      <w:bookmarkStart w:id="47" w:name="_Toc1902724683"/>
      <w:r>
        <w:rPr>
          <w:rFonts w:hint="eastAsia" w:ascii="方正小标宋简体" w:hAnsi="方正小标宋简体" w:eastAsia="方正小标宋简体" w:cs="方正小标宋简体"/>
          <w:b w:val="0"/>
          <w:bCs w:val="0"/>
          <w:lang w:eastAsia="zh-CN"/>
        </w:rPr>
        <w:t>乐山市金口河区粮食和物资储备中心</w:t>
      </w:r>
      <w:bookmarkEnd w:id="31"/>
    </w:p>
    <w:bookmarkEnd w:id="32"/>
    <w:bookmarkEnd w:id="33"/>
    <w:bookmarkEnd w:id="3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8" w:name="_Toc17395"/>
      <w:bookmarkStart w:id="49" w:name="_Toc25169"/>
      <w:bookmarkStart w:id="50" w:name="_Toc18917"/>
      <w:bookmarkStart w:id="51" w:name="_Toc32549"/>
      <w:r>
        <w:rPr>
          <w:rFonts w:hint="eastAsia" w:ascii="方正小标宋简体" w:hAnsi="方正小标宋简体" w:eastAsia="方正小标宋简体" w:cs="方正小标宋简体"/>
          <w:b w:val="0"/>
          <w:bCs w:val="0"/>
          <w:lang w:eastAsia="zh-CN"/>
        </w:rPr>
        <w:t>储备粮油费用补贴</w:t>
      </w:r>
      <w:bookmarkEnd w:id="48"/>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52" w:name="_Toc25967"/>
      <w:bookmarkStart w:id="53" w:name="_Toc13059"/>
      <w:r>
        <w:rPr>
          <w:rFonts w:hint="eastAsia" w:ascii="方正小标宋简体" w:hAnsi="方正小标宋简体" w:eastAsia="方正小标宋简体" w:cs="方正小标宋简体"/>
          <w:b w:val="0"/>
          <w:bCs w:val="0"/>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54" w:name="_Toc2225"/>
      <w:bookmarkStart w:id="55" w:name="_Toc1416645183"/>
      <w:bookmarkStart w:id="56" w:name="_Toc9247"/>
      <w:bookmarkStart w:id="57" w:name="_Toc7797"/>
      <w:bookmarkStart w:id="58" w:name="_Toc2001376203_WPSOffice_Level1"/>
      <w:bookmarkStart w:id="59" w:name="_Toc26032"/>
      <w:bookmarkStart w:id="60" w:name="_Toc4405"/>
      <w:bookmarkStart w:id="61" w:name="_Toc305085885"/>
      <w:bookmarkStart w:id="62" w:name="_Toc287850696"/>
      <w:bookmarkStart w:id="63" w:name="_Toc132480958"/>
      <w:bookmarkStart w:id="64" w:name="_Toc1969419847"/>
      <w:r>
        <w:rPr>
          <w:rFonts w:hint="eastAsia" w:ascii="黑体" w:hAnsi="黑体" w:eastAsia="黑体" w:cs="黑体"/>
          <w:b w:val="0"/>
          <w:bCs/>
          <w:szCs w:val="32"/>
          <w:lang w:eastAsia="zh-CN"/>
        </w:rPr>
        <w:t>一、项目基本情况</w:t>
      </w:r>
      <w:bookmarkEnd w:id="54"/>
      <w:bookmarkEnd w:id="55"/>
      <w:bookmarkEnd w:id="56"/>
      <w:bookmarkEnd w:id="57"/>
      <w:bookmarkEnd w:id="58"/>
      <w:bookmarkEnd w:id="59"/>
      <w:bookmarkEnd w:id="60"/>
      <w:bookmarkEnd w:id="61"/>
      <w:bookmarkEnd w:id="62"/>
      <w:bookmarkEnd w:id="63"/>
      <w:bookmarkEnd w:id="64"/>
    </w:p>
    <w:p>
      <w:pPr>
        <w:pStyle w:val="3"/>
        <w:spacing w:before="0" w:beforeLines="0" w:after="0" w:afterLines="0" w:line="580" w:lineRule="exact"/>
        <w:ind w:firstLineChars="0"/>
        <w:rPr>
          <w:rFonts w:hint="eastAsia" w:ascii="楷体" w:hAnsi="楷体" w:eastAsia="楷体" w:cs="楷体"/>
          <w:b w:val="0"/>
          <w:bCs/>
          <w:szCs w:val="32"/>
          <w:lang w:eastAsia="zh-CN"/>
        </w:rPr>
      </w:pPr>
      <w:bookmarkStart w:id="65" w:name="_Toc19438"/>
      <w:bookmarkStart w:id="66" w:name="_Toc132480959"/>
      <w:bookmarkStart w:id="67" w:name="_Toc1773474628"/>
      <w:bookmarkStart w:id="68" w:name="_Toc873917318"/>
      <w:bookmarkStart w:id="69" w:name="_Toc1535003806"/>
      <w:bookmarkStart w:id="70" w:name="_Toc404396392"/>
      <w:bookmarkStart w:id="71" w:name="_Toc14550"/>
      <w:bookmarkStart w:id="72" w:name="_Toc1042875910_WPSOffice_Level2"/>
      <w:bookmarkStart w:id="73" w:name="_Toc27921"/>
      <w:bookmarkStart w:id="74" w:name="_Toc12884"/>
      <w:bookmarkStart w:id="75" w:name="_Toc13763"/>
      <w:r>
        <w:rPr>
          <w:rFonts w:hint="eastAsia" w:ascii="楷体" w:hAnsi="楷体" w:eastAsia="楷体" w:cs="楷体"/>
          <w:b w:val="0"/>
          <w:bCs/>
          <w:szCs w:val="32"/>
          <w:lang w:eastAsia="zh-CN"/>
        </w:rPr>
        <w:t>（一）项目建设</w:t>
      </w:r>
      <w:bookmarkEnd w:id="65"/>
      <w:bookmarkEnd w:id="66"/>
      <w:bookmarkEnd w:id="67"/>
      <w:bookmarkEnd w:id="68"/>
      <w:bookmarkEnd w:id="69"/>
      <w:bookmarkEnd w:id="70"/>
      <w:bookmarkEnd w:id="71"/>
      <w:bookmarkEnd w:id="72"/>
      <w:bookmarkEnd w:id="73"/>
      <w:bookmarkStart w:id="76" w:name="_Toc12111"/>
      <w:bookmarkStart w:id="77" w:name="_Toc20062"/>
      <w:bookmarkStart w:id="78" w:name="_Toc27403"/>
      <w:bookmarkStart w:id="79" w:name="_Toc23032"/>
      <w:bookmarkStart w:id="80" w:name="_Toc18961"/>
      <w:bookmarkStart w:id="81" w:name="_Toc133498025"/>
      <w:bookmarkStart w:id="82" w:name="_Toc1862536083"/>
      <w:bookmarkStart w:id="83" w:name="_Toc130033877"/>
      <w:bookmarkStart w:id="84" w:name="_Toc2051901236"/>
      <w:bookmarkStart w:id="85" w:name="_Toc9639"/>
      <w:bookmarkStart w:id="86" w:name="_Toc1087916031"/>
      <w:bookmarkStart w:id="87" w:name="_Toc1287701793"/>
      <w:bookmarkStart w:id="88" w:name="_Toc1042875910_WPSOffice_Level3"/>
      <w:r>
        <w:rPr>
          <w:rFonts w:hint="eastAsia" w:ascii="楷体" w:hAnsi="楷体" w:eastAsia="楷体" w:cs="楷体"/>
          <w:b w:val="0"/>
          <w:bCs/>
          <w:szCs w:val="32"/>
          <w:lang w:eastAsia="zh-CN"/>
        </w:rPr>
        <w:t>背景</w:t>
      </w:r>
      <w:bookmarkEnd w:id="74"/>
      <w:bookmarkEnd w:id="75"/>
      <w:bookmarkEnd w:id="76"/>
      <w:bookmarkEnd w:id="77"/>
      <w:bookmarkEnd w:id="78"/>
      <w:bookmarkEnd w:id="79"/>
      <w:bookmarkEnd w:id="80"/>
      <w:bookmarkEnd w:id="81"/>
    </w:p>
    <w:p>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eastAsia="zh-CN"/>
        </w:rPr>
        <w:t>区级储备粮是区政府调控粮食市场的重要物资。为使区级储备粮的轮换工作规范化、制</w:t>
      </w:r>
      <w:r>
        <w:rPr>
          <w:rFonts w:hint="eastAsia" w:ascii="仿宋" w:hAnsi="仿宋" w:eastAsia="仿宋" w:cs="仿宋"/>
          <w:color w:val="auto"/>
          <w:highlight w:val="none"/>
          <w:lang w:eastAsia="zh-CN"/>
        </w:rPr>
        <w:t>度化，确保</w:t>
      </w:r>
      <w:r>
        <w:rPr>
          <w:rFonts w:hint="eastAsia" w:ascii="仿宋" w:hAnsi="仿宋" w:eastAsia="仿宋" w:cs="仿宋"/>
          <w:color w:val="auto"/>
          <w:lang w:eastAsia="zh-CN"/>
        </w:rPr>
        <w:t>粮食储备规模、储存安全、质量良好，提高政府调控市场的能力，根据《四川省地方粮食储备管理办法》《乐山市金口河区区级储备粮管理办法》《乐山市金口河区区级储备粮轮换管理办法》的相关要求，乐山市金口河区发展和政革局(以下简称区发展改革局)、乐山市金口河区财政局(以下简称区财政局)、乐山市金口河区粮食和物资储备中心(以下简称区粮储中心)、中国农业发展银行峨眉山市支行(以下简称峨眉农发行)共同研究决定，同意按程序组织实施区级储备粮(稻谷)的轮换工作</w:t>
      </w:r>
      <w:r>
        <w:rPr>
          <w:rFonts w:hint="eastAsia" w:ascii="仿宋" w:hAnsi="仿宋" w:eastAsia="仿宋" w:cs="仿宋"/>
          <w:bCs/>
          <w:kern w:val="2"/>
          <w:szCs w:val="32"/>
          <w:lang w:eastAsia="zh-CN" w:bidi="ar-SA"/>
        </w:rPr>
        <w:t>。</w:t>
      </w:r>
    </w:p>
    <w:bookmarkEnd w:id="82"/>
    <w:bookmarkEnd w:id="83"/>
    <w:bookmarkEnd w:id="84"/>
    <w:bookmarkEnd w:id="85"/>
    <w:bookmarkEnd w:id="86"/>
    <w:bookmarkEnd w:id="87"/>
    <w:bookmarkEnd w:id="88"/>
    <w:p>
      <w:pPr>
        <w:pStyle w:val="3"/>
        <w:spacing w:before="0" w:beforeLines="0" w:after="0" w:afterLines="0" w:line="600" w:lineRule="exact"/>
        <w:ind w:firstLineChars="0"/>
        <w:rPr>
          <w:rFonts w:hint="eastAsia" w:ascii="楷体" w:hAnsi="楷体" w:eastAsia="楷体" w:cs="楷体"/>
          <w:b w:val="0"/>
          <w:bCs/>
          <w:szCs w:val="32"/>
          <w:lang w:eastAsia="zh-CN"/>
        </w:rPr>
      </w:pPr>
      <w:bookmarkStart w:id="89" w:name="_Toc28877"/>
      <w:bookmarkStart w:id="90" w:name="_Toc133498028"/>
      <w:bookmarkStart w:id="91" w:name="_Toc24844"/>
      <w:bookmarkStart w:id="92" w:name="_Toc15651"/>
      <w:bookmarkStart w:id="93" w:name="_Toc15203"/>
      <w:bookmarkStart w:id="94" w:name="_Toc1372691542"/>
      <w:bookmarkStart w:id="95" w:name="_Toc17270"/>
      <w:bookmarkStart w:id="96" w:name="_Toc5685"/>
      <w:bookmarkStart w:id="97" w:name="_Toc1491763895"/>
      <w:bookmarkStart w:id="98" w:name="_Toc17740"/>
      <w:bookmarkStart w:id="99" w:name="_Toc153907914"/>
      <w:bookmarkStart w:id="100" w:name="_Toc865934723"/>
      <w:bookmarkStart w:id="101" w:name="_Toc1093480860_WPSOffice_Level3"/>
      <w:bookmarkStart w:id="102" w:name="_Toc12980"/>
      <w:bookmarkStart w:id="103" w:name="_Toc130033880"/>
      <w:r>
        <w:rPr>
          <w:rFonts w:hint="eastAsia" w:ascii="楷体" w:hAnsi="楷体" w:eastAsia="楷体" w:cs="楷体"/>
          <w:b w:val="0"/>
          <w:bCs/>
          <w:szCs w:val="32"/>
          <w:lang w:eastAsia="zh-CN"/>
        </w:rPr>
        <w:t>（二）项目主要内容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bCs/>
          <w:szCs w:val="32"/>
          <w:lang w:val="zh-CN" w:eastAsia="zh-CN"/>
        </w:rPr>
        <w:t>项目名称：</w:t>
      </w:r>
      <w:r>
        <w:rPr>
          <w:rFonts w:hint="eastAsia" w:ascii="仿宋" w:hAnsi="仿宋" w:eastAsia="仿宋" w:cs="仿宋"/>
          <w:color w:val="auto"/>
          <w:lang w:val="zh-CN" w:eastAsia="zh-CN"/>
        </w:rPr>
        <w:t>储备粮油费用补贴</w:t>
      </w:r>
    </w:p>
    <w:p>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bCs/>
          <w:szCs w:val="32"/>
          <w:lang w:val="zh-CN" w:eastAsia="zh-CN"/>
        </w:rPr>
        <w:t>项目单位：</w:t>
      </w:r>
      <w:r>
        <w:rPr>
          <w:rFonts w:hint="eastAsia" w:ascii="仿宋" w:hAnsi="仿宋" w:eastAsia="仿宋" w:cs="仿宋"/>
          <w:color w:val="auto"/>
          <w:lang w:val="zh-CN" w:eastAsia="zh-CN"/>
        </w:rPr>
        <w:t>乐山市金口河区粮食和物资储备中心</w:t>
      </w:r>
    </w:p>
    <w:p>
      <w:pPr>
        <w:widowControl/>
        <w:spacing w:line="600" w:lineRule="exact"/>
        <w:ind w:firstLine="640"/>
        <w:rPr>
          <w:rFonts w:hint="eastAsia" w:ascii="仿宋" w:hAnsi="仿宋" w:eastAsia="仿宋" w:cs="仿宋"/>
          <w:szCs w:val="32"/>
          <w:lang w:val="zh-CN" w:eastAsia="zh-CN"/>
        </w:rPr>
      </w:pPr>
      <w:r>
        <w:rPr>
          <w:rFonts w:hint="eastAsia" w:ascii="仿宋_GB2312"/>
          <w:szCs w:val="32"/>
          <w:lang w:eastAsia="zh-CN"/>
        </w:rPr>
        <w:t>主管部门：</w:t>
      </w:r>
      <w:r>
        <w:rPr>
          <w:rFonts w:hint="eastAsia" w:ascii="仿宋" w:hAnsi="仿宋" w:eastAsia="仿宋" w:cs="仿宋"/>
          <w:color w:val="auto"/>
          <w:lang w:val="zh-CN" w:eastAsia="zh-CN"/>
        </w:rPr>
        <w:t>乐山市金口河区粮食和物资储备中心</w:t>
      </w:r>
    </w:p>
    <w:p>
      <w:pPr>
        <w:widowControl/>
        <w:spacing w:line="600" w:lineRule="exact"/>
        <w:ind w:firstLine="640"/>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w:t>
      </w:r>
      <w:r>
        <w:rPr>
          <w:rFonts w:hint="eastAsia" w:ascii="仿宋" w:hAnsi="仿宋" w:eastAsia="仿宋" w:cs="仿宋"/>
          <w:color w:val="auto"/>
          <w:lang w:val="zh-CN" w:eastAsia="zh-CN"/>
        </w:rPr>
        <w:t>新增性项目</w:t>
      </w:r>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widowControl/>
        <w:spacing w:line="600" w:lineRule="exact"/>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保证金口河区居民口粮供应，应对自然灾害和保障粮油市场稳定工作，维护全区粮食流通秩序，保障城乡居民、部队、学校口粮供应，保障全区粮食原粮的卫生安全及全区粮食供应总量平衡，维护社会稳定。</w:t>
      </w:r>
    </w:p>
    <w:p>
      <w:pPr>
        <w:widowControl/>
        <w:spacing w:line="600" w:lineRule="exact"/>
        <w:ind w:firstLine="640"/>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pPr>
        <w:spacing w:line="600" w:lineRule="exact"/>
        <w:ind w:firstLine="640"/>
        <w:rPr>
          <w:rFonts w:hint="eastAsia" w:ascii="仿宋" w:hAnsi="仿宋" w:eastAsia="仿宋" w:cs="仿宋"/>
          <w:bCs/>
          <w:szCs w:val="32"/>
          <w:lang w:eastAsia="zh-CN"/>
        </w:rPr>
      </w:pPr>
      <w:bookmarkStart w:id="104" w:name="_Toc300186741"/>
      <w:bookmarkStart w:id="105" w:name="_Toc20677"/>
      <w:bookmarkStart w:id="106" w:name="_Toc2001376203_WPSOffice_Level2"/>
      <w:bookmarkStart w:id="107" w:name="_Toc8112"/>
      <w:bookmarkStart w:id="108" w:name="_Toc132480960"/>
      <w:bookmarkStart w:id="109" w:name="_Toc16114"/>
      <w:bookmarkStart w:id="110" w:name="_Toc386835874"/>
      <w:bookmarkStart w:id="111" w:name="_Toc510053535"/>
      <w:bookmarkStart w:id="112" w:name="_Toc1256897804"/>
      <w:r>
        <w:rPr>
          <w:rFonts w:hint="eastAsia" w:ascii="仿宋" w:hAnsi="仿宋" w:eastAsia="仿宋" w:cs="仿宋"/>
          <w:color w:val="auto"/>
          <w:lang w:val="zh-CN" w:eastAsia="zh-CN"/>
        </w:rPr>
        <w:t>区级储备粮轮换周期原则上执行稻谷3年、小麦4年、玉米2年、散装菜籽油2年，成品粮油原则上每年至少轮换1次，且至少在保质期到期前3个月进行轮换</w:t>
      </w:r>
      <w:r>
        <w:rPr>
          <w:rFonts w:hint="eastAsia" w:ascii="仿宋" w:hAnsi="仿宋" w:eastAsia="仿宋" w:cs="仿宋"/>
          <w:bCs/>
          <w:szCs w:val="32"/>
          <w:lang w:eastAsia="zh-CN"/>
        </w:rPr>
        <w:t>。</w:t>
      </w:r>
    </w:p>
    <w:p>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区粮储中心承担全区粮油和物资储备任务。为了保证金口河区居民口粮供应，应对自然灾害和保障粮油市场稳定工作，区储备中心在2025年部门预算中，预算储备粮油费用70.5万元，主要用于粮食2000吨、菜籽油10吨的保管费、轮换费及银行借款利息</w:t>
      </w:r>
      <w:r>
        <w:rPr>
          <w:rFonts w:hint="eastAsia" w:ascii="仿宋" w:hAnsi="仿宋" w:eastAsia="仿宋" w:cs="仿宋"/>
          <w:bCs/>
          <w:kern w:val="2"/>
          <w:szCs w:val="32"/>
          <w:lang w:eastAsia="zh-CN" w:bidi="ar-SA"/>
        </w:rPr>
        <w:t>。</w:t>
      </w:r>
    </w:p>
    <w:p>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4.</w:t>
      </w:r>
      <w:r>
        <w:rPr>
          <w:rFonts w:hint="eastAsia" w:ascii="仿宋" w:hAnsi="仿宋" w:eastAsia="仿宋" w:cs="仿宋"/>
          <w:bCs/>
          <w:szCs w:val="32"/>
          <w:lang w:eastAsia="zh-CN"/>
        </w:rPr>
        <w:t>项目实施过程</w:t>
      </w:r>
    </w:p>
    <w:p>
      <w:pPr>
        <w:spacing w:line="600" w:lineRule="exact"/>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保管费、轮换费依据《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szCs w:val="32"/>
          <w:lang w:eastAsia="zh-CN"/>
        </w:rPr>
        <w:t>。</w:t>
      </w:r>
    </w:p>
    <w:p>
      <w:pPr>
        <w:pStyle w:val="3"/>
        <w:spacing w:before="0" w:beforeLines="0" w:after="0" w:afterLines="0" w:line="600" w:lineRule="exact"/>
        <w:ind w:firstLineChars="0"/>
        <w:rPr>
          <w:rFonts w:hint="eastAsia" w:ascii="楷体" w:hAnsi="楷体" w:eastAsia="楷体" w:cs="楷体"/>
          <w:b w:val="0"/>
          <w:bCs/>
          <w:szCs w:val="32"/>
          <w:lang w:eastAsia="zh-CN"/>
        </w:rPr>
      </w:pPr>
      <w:bookmarkStart w:id="113" w:name="_Toc31055"/>
      <w:r>
        <w:rPr>
          <w:rFonts w:hint="eastAsia" w:ascii="楷体" w:hAnsi="楷体" w:eastAsia="楷体" w:cs="楷体"/>
          <w:b w:val="0"/>
          <w:bCs/>
          <w:szCs w:val="32"/>
          <w:lang w:eastAsia="zh-CN"/>
        </w:rPr>
        <w:t>（三）项目预算构成</w:t>
      </w:r>
      <w:bookmarkEnd w:id="104"/>
      <w:bookmarkEnd w:id="105"/>
      <w:bookmarkEnd w:id="106"/>
      <w:bookmarkEnd w:id="107"/>
      <w:bookmarkEnd w:id="108"/>
      <w:bookmarkEnd w:id="109"/>
      <w:bookmarkEnd w:id="110"/>
      <w:bookmarkEnd w:id="111"/>
      <w:bookmarkEnd w:id="112"/>
      <w:bookmarkEnd w:id="113"/>
    </w:p>
    <w:p>
      <w:pPr>
        <w:spacing w:line="600" w:lineRule="exact"/>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根据区粮储中心提供的《金口河区储备粮油费用补贴预算及明细》《项目收支统计明细表》，区粮储中心2025年储备粮油费用补贴预算资金70.5万元。</w:t>
      </w:r>
    </w:p>
    <w:p>
      <w:pPr>
        <w:spacing w:line="600" w:lineRule="exact"/>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预算资金主要用于粮食2000吨、菜籽油10吨的保管费、轮换费及银行借款利息。其依据为《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bCs/>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4" w:name="_Toc8033"/>
      <w:bookmarkStart w:id="115" w:name="_Toc23154"/>
      <w:bookmarkStart w:id="116" w:name="_Toc326378840"/>
      <w:bookmarkStart w:id="117" w:name="_Toc9538"/>
      <w:bookmarkStart w:id="118" w:name="_Toc1093480860_WPSOffice_Level1"/>
      <w:bookmarkStart w:id="119" w:name="_Toc4357"/>
      <w:bookmarkStart w:id="120" w:name="_Toc1939"/>
      <w:bookmarkStart w:id="121" w:name="_Toc451760287"/>
      <w:bookmarkStart w:id="122" w:name="_Toc338550202"/>
      <w:bookmarkStart w:id="123" w:name="_Toc132480961"/>
      <w:bookmarkStart w:id="124" w:name="_Toc1396703300"/>
      <w:r>
        <w:rPr>
          <w:rFonts w:hint="eastAsia" w:ascii="黑体" w:hAnsi="黑体" w:eastAsia="黑体" w:cs="黑体"/>
          <w:b w:val="0"/>
          <w:bCs/>
          <w:szCs w:val="32"/>
          <w:lang w:eastAsia="zh-CN"/>
        </w:rPr>
        <w:t>二、绩效评价工作开展情况</w:t>
      </w:r>
      <w:bookmarkEnd w:id="114"/>
      <w:bookmarkEnd w:id="115"/>
      <w:bookmarkEnd w:id="116"/>
      <w:bookmarkEnd w:id="117"/>
      <w:bookmarkEnd w:id="118"/>
      <w:bookmarkEnd w:id="119"/>
      <w:bookmarkEnd w:id="120"/>
      <w:bookmarkEnd w:id="121"/>
      <w:bookmarkEnd w:id="122"/>
      <w:bookmarkEnd w:id="123"/>
      <w:bookmarkEnd w:id="124"/>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25" w:name="_Toc26870"/>
      <w:bookmarkStart w:id="126" w:name="_Toc1380451464"/>
      <w:bookmarkStart w:id="127" w:name="_Toc29934"/>
      <w:bookmarkStart w:id="128" w:name="_Toc6302"/>
      <w:bookmarkStart w:id="129" w:name="_Toc1329064111"/>
      <w:bookmarkStart w:id="130" w:name="_Toc24814"/>
      <w:bookmarkStart w:id="131" w:name="_Toc132480962"/>
      <w:bookmarkStart w:id="132" w:name="_Toc775929442"/>
      <w:bookmarkStart w:id="133" w:name="_Toc20456"/>
      <w:bookmarkStart w:id="134" w:name="_Toc248617743"/>
      <w:r>
        <w:rPr>
          <w:rFonts w:hint="eastAsia" w:ascii="楷体" w:hAnsi="楷体" w:cs="楷体"/>
          <w:b w:val="0"/>
          <w:bCs/>
          <w:szCs w:val="32"/>
          <w:lang w:eastAsia="zh-CN"/>
        </w:rPr>
        <w:t>（一）</w:t>
      </w:r>
      <w:r>
        <w:rPr>
          <w:rFonts w:hint="eastAsia" w:ascii="楷体" w:hAnsi="楷体" w:eastAsia="楷体" w:cs="楷体"/>
          <w:b w:val="0"/>
          <w:bCs/>
          <w:szCs w:val="32"/>
          <w:lang w:eastAsia="zh-CN"/>
        </w:rPr>
        <w:t>绩效评价目的</w:t>
      </w:r>
      <w:bookmarkEnd w:id="125"/>
      <w:bookmarkEnd w:id="126"/>
      <w:bookmarkEnd w:id="127"/>
      <w:bookmarkEnd w:id="128"/>
      <w:bookmarkEnd w:id="129"/>
      <w:bookmarkEnd w:id="130"/>
      <w:bookmarkEnd w:id="131"/>
      <w:bookmarkEnd w:id="132"/>
      <w:bookmarkEnd w:id="133"/>
      <w:bookmarkEnd w:id="134"/>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储备粮油费用补贴项目进行评估。本项目的绩效评估主要判断项目申请资金支持的必要性和可行性；重点论证项目实施的必要性、公益性、收益性；项目</w:t>
      </w:r>
      <w:r>
        <w:rPr>
          <w:rFonts w:hint="eastAsia" w:ascii="仿宋" w:hAnsi="仿宋" w:eastAsia="仿宋" w:cs="仿宋"/>
          <w:color w:val="auto"/>
          <w:lang w:val="en-US" w:eastAsia="zh-CN"/>
        </w:rPr>
        <w:t>实施</w:t>
      </w:r>
      <w:r>
        <w:rPr>
          <w:rFonts w:hint="eastAsia" w:ascii="仿宋" w:hAnsi="仿宋" w:eastAsia="仿宋" w:cs="仿宋"/>
          <w:color w:val="auto"/>
          <w:lang w:val="zh-CN" w:eastAsia="zh-CN"/>
        </w:rPr>
        <w:t>合规性与项目成熟度；项目资金来源和到位可行性；项目绩效目标合理性、事前绩效评估论证结果。</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35" w:name="_Toc8572"/>
      <w:bookmarkStart w:id="136" w:name="_Toc132480963"/>
      <w:bookmarkStart w:id="137" w:name="_Toc32534"/>
      <w:bookmarkStart w:id="138" w:name="_Toc1343165574"/>
      <w:bookmarkStart w:id="139" w:name="_Toc166470150"/>
      <w:bookmarkStart w:id="140" w:name="_Toc2011308256"/>
      <w:bookmarkStart w:id="141" w:name="_Toc15142"/>
      <w:bookmarkStart w:id="142" w:name="_Toc1814348475"/>
      <w:bookmarkStart w:id="143" w:name="_Toc6919"/>
      <w:bookmarkStart w:id="144" w:name="_Toc6017"/>
      <w:r>
        <w:rPr>
          <w:rFonts w:hint="eastAsia" w:ascii="楷体" w:hAnsi="楷体" w:cs="楷体"/>
          <w:b w:val="0"/>
          <w:bCs/>
          <w:szCs w:val="32"/>
          <w:lang w:eastAsia="zh-CN"/>
        </w:rPr>
        <w:t>（二）绩效评价</w:t>
      </w:r>
      <w:bookmarkEnd w:id="135"/>
      <w:bookmarkEnd w:id="136"/>
      <w:bookmarkEnd w:id="137"/>
      <w:bookmarkEnd w:id="138"/>
      <w:bookmarkEnd w:id="139"/>
      <w:bookmarkEnd w:id="140"/>
      <w:bookmarkEnd w:id="141"/>
      <w:bookmarkEnd w:id="142"/>
      <w:r>
        <w:rPr>
          <w:rFonts w:hint="eastAsia" w:ascii="楷体" w:hAnsi="楷体" w:cs="楷体"/>
          <w:b w:val="0"/>
          <w:bCs/>
          <w:szCs w:val="32"/>
          <w:lang w:eastAsia="zh-CN"/>
        </w:rPr>
        <w:t>指标</w:t>
      </w:r>
      <w:bookmarkEnd w:id="143"/>
      <w:bookmarkEnd w:id="144"/>
    </w:p>
    <w:p>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储备粮油费用补贴事前绩效评估指标直接影响绩效评估结果的有效性，设计和选择评估指标时，评估工作小组遵循“相关性、经济性、可比性、重要性”的原则，通过对储备粮油费用补贴相关文件的学习理解、对项目特点的深入研究以及对项目资料的整理分析的基础上，设计形成事前绩效评估体系。绩效评估总分100分，共设置一级指标8个，分值分别为16分、18分、12分、12分、13分、8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分和</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分，设置二级指标1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个，重点论证立项必要性、绩效目标合理性、</w:t>
      </w:r>
      <w:r>
        <w:rPr>
          <w:rFonts w:hint="eastAsia" w:ascii="仿宋" w:hAnsi="仿宋" w:eastAsia="仿宋" w:cs="仿宋"/>
          <w:color w:val="auto"/>
          <w:lang w:val="en-US" w:eastAsia="zh-CN"/>
        </w:rPr>
        <w:t>管理办法执行的有效</w:t>
      </w:r>
      <w:r>
        <w:rPr>
          <w:rFonts w:hint="eastAsia" w:ascii="仿宋" w:hAnsi="仿宋" w:eastAsia="仿宋" w:cs="仿宋"/>
          <w:color w:val="auto"/>
          <w:lang w:val="zh-CN" w:eastAsia="zh-CN"/>
        </w:rPr>
        <w:t>性、</w:t>
      </w:r>
      <w:r>
        <w:rPr>
          <w:rFonts w:hint="eastAsia" w:ascii="仿宋" w:hAnsi="仿宋" w:eastAsia="仿宋" w:cs="仿宋"/>
          <w:color w:val="auto"/>
          <w:lang w:val="en-US" w:eastAsia="zh-CN"/>
        </w:rPr>
        <w:t>实施成果</w:t>
      </w:r>
      <w:r>
        <w:rPr>
          <w:rFonts w:hint="eastAsia" w:ascii="仿宋" w:hAnsi="仿宋" w:eastAsia="仿宋" w:cs="仿宋"/>
          <w:color w:val="auto"/>
          <w:lang w:val="zh-CN" w:eastAsia="zh-CN"/>
        </w:rPr>
        <w:t>合</w:t>
      </w:r>
      <w:r>
        <w:rPr>
          <w:rFonts w:hint="eastAsia" w:ascii="仿宋" w:hAnsi="仿宋" w:eastAsia="仿宋" w:cs="仿宋"/>
          <w:color w:val="auto"/>
          <w:lang w:val="en-US" w:eastAsia="zh-CN"/>
        </w:rPr>
        <w:t>格</w:t>
      </w:r>
      <w:r>
        <w:rPr>
          <w:rFonts w:hint="eastAsia" w:ascii="仿宋" w:hAnsi="仿宋" w:eastAsia="仿宋" w:cs="仿宋"/>
          <w:color w:val="auto"/>
          <w:lang w:val="zh-CN" w:eastAsia="zh-CN"/>
        </w:rPr>
        <w:t>性等方面，全面评估该项目的的预期绩效情况</w:t>
      </w:r>
      <w:r>
        <w:rPr>
          <w:rFonts w:ascii="仿宋" w:hAnsi="仿宋" w:eastAsia="仿宋" w:cs="仿宋"/>
          <w:bCs/>
          <w:szCs w:val="32"/>
          <w:lang w:eastAsia="zh-CN"/>
        </w:rPr>
        <w:t>。</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45" w:name="_Toc11904"/>
      <w:bookmarkStart w:id="146" w:name="_Toc20949"/>
      <w:bookmarkStart w:id="147" w:name="_Toc22272"/>
      <w:bookmarkStart w:id="148" w:name="_Toc133498040"/>
      <w:bookmarkStart w:id="149" w:name="_Toc27238"/>
      <w:bookmarkStart w:id="150" w:name="_Toc9540"/>
      <w:bookmarkStart w:id="151" w:name="_Toc9410"/>
      <w:bookmarkStart w:id="152" w:name="_Toc130033892"/>
      <w:r>
        <w:rPr>
          <w:rFonts w:hint="eastAsia" w:ascii="楷体" w:hAnsi="楷体" w:cs="楷体"/>
          <w:b w:val="0"/>
          <w:bCs/>
          <w:szCs w:val="32"/>
          <w:lang w:eastAsia="zh-CN"/>
        </w:rPr>
        <w:t>（三）评价依据</w:t>
      </w:r>
      <w:bookmarkEnd w:id="145"/>
      <w:bookmarkEnd w:id="146"/>
      <w:bookmarkEnd w:id="147"/>
      <w:bookmarkEnd w:id="148"/>
      <w:bookmarkEnd w:id="149"/>
      <w:bookmarkEnd w:id="150"/>
      <w:bookmarkEnd w:id="151"/>
      <w:bookmarkEnd w:id="15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关于印发&lt;乐山市金口河区区级储备粮管理办法&gt;的通知》(金发改〔2022〕109号)；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项目单位提供的相关资料；</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《粮食流通管理条例》（国务院令第407号）；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 w:hAnsi="仿宋" w:eastAsia="仿宋" w:cs="仿宋"/>
          <w:color w:val="auto"/>
          <w:lang w:val="zh-CN" w:eastAsia="zh-CN"/>
        </w:rPr>
        <w:t>中共中央国务院关于全面实施预算绩效管理的意见》（中发〔2018〕34号）；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color w:val="auto"/>
          <w:lang w:val="zh-CN" w:eastAsia="zh-CN"/>
        </w:rPr>
        <w:t>《中共四川省委四川省人民政府关于全面实施预算绩效管理的实施意见》（川委发〔2019〕8号）；</w:t>
      </w:r>
    </w:p>
    <w:p>
      <w:pPr>
        <w:ind w:firstLine="640"/>
        <w:rPr>
          <w:rFonts w:hint="eastAsia" w:ascii="仿宋" w:hAnsi="仿宋" w:eastAsia="仿宋" w:cs="仿宋"/>
          <w:bCs/>
          <w:kern w:val="2"/>
          <w:szCs w:val="32"/>
          <w:lang w:eastAsia="zh-CN" w:bidi="ar-SA"/>
        </w:rPr>
      </w:pPr>
      <w:r>
        <w:rPr>
          <w:rFonts w:hint="eastAsia" w:ascii="仿宋" w:hAnsi="仿宋" w:eastAsia="仿宋" w:cs="仿宋"/>
          <w:bCs/>
          <w:szCs w:val="32"/>
          <w:lang w:eastAsia="zh-CN"/>
        </w:rPr>
        <w:t>6.</w:t>
      </w:r>
      <w:r>
        <w:rPr>
          <w:rFonts w:hint="eastAsia" w:ascii="仿宋" w:hAnsi="仿宋" w:eastAsia="仿宋" w:cs="仿宋"/>
          <w:bCs/>
          <w:kern w:val="2"/>
          <w:szCs w:val="32"/>
          <w:lang w:eastAsia="zh-CN" w:bidi="ar-SA"/>
        </w:rPr>
        <w:t>《</w:t>
      </w:r>
      <w:r>
        <w:rPr>
          <w:rFonts w:hint="eastAsia" w:ascii="仿宋" w:hAnsi="仿宋" w:eastAsia="仿宋" w:cs="仿宋"/>
          <w:color w:val="auto"/>
          <w:lang w:val="zh-CN" w:eastAsia="zh-CN"/>
        </w:rPr>
        <w:t>四川省地方粮食储备管理办法》(四川省政府令第〔2021〕348号)；</w:t>
      </w:r>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7.《</w:t>
      </w:r>
      <w:r>
        <w:rPr>
          <w:rFonts w:hint="eastAsia" w:ascii="仿宋" w:hAnsi="仿宋" w:eastAsia="仿宋" w:cs="仿宋"/>
          <w:color w:val="auto"/>
          <w:lang w:val="zh-CN" w:eastAsia="zh-CN"/>
        </w:rPr>
        <w:t>中共乐山市委办公室乐山市人民政府办公室&lt;关于印发全面实施预算绩效管理实施方案&gt;的通知》（乐委办发〔2020〕12号）；</w:t>
      </w:r>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8.</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关于印发&lt;</w:t>
      </w:r>
      <w:r>
        <w:rPr>
          <w:rFonts w:hint="eastAsia" w:ascii="仿宋" w:hAnsi="仿宋" w:eastAsia="仿宋" w:cs="仿宋"/>
          <w:color w:val="auto"/>
          <w:lang w:val="zh-CN" w:eastAsia="zh-CN"/>
        </w:rPr>
        <w:t>乐山市金口河区区级储备粮轮换管理办法</w:t>
      </w:r>
      <w:r>
        <w:rPr>
          <w:rFonts w:hint="eastAsia" w:ascii="仿宋" w:hAnsi="仿宋" w:eastAsia="仿宋" w:cs="仿宋"/>
          <w:color w:val="auto"/>
          <w:lang w:val="en-US" w:eastAsia="zh-CN"/>
        </w:rPr>
        <w:t>&gt;的通知</w:t>
      </w:r>
      <w:r>
        <w:rPr>
          <w:rFonts w:hint="eastAsia" w:ascii="仿宋" w:hAnsi="仿宋" w:eastAsia="仿宋" w:cs="仿宋"/>
          <w:color w:val="auto"/>
          <w:lang w:val="zh-CN" w:eastAsia="zh-CN"/>
        </w:rPr>
        <w:t>》(金发改〔2022〕10</w:t>
      </w:r>
      <w:r>
        <w:rPr>
          <w:rFonts w:hint="eastAsia" w:ascii="仿宋" w:hAnsi="仿宋" w:eastAsia="仿宋" w:cs="仿宋"/>
          <w:color w:val="auto"/>
          <w:lang w:val="en-US" w:eastAsia="zh-CN"/>
        </w:rPr>
        <w:t>8</w:t>
      </w:r>
      <w:r>
        <w:rPr>
          <w:rFonts w:hint="eastAsia" w:ascii="仿宋" w:hAnsi="仿宋" w:eastAsia="仿宋" w:cs="仿宋"/>
          <w:color w:val="auto"/>
          <w:lang w:val="zh-CN" w:eastAsia="zh-CN"/>
        </w:rPr>
        <w:t>号)；</w:t>
      </w:r>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9.</w:t>
      </w:r>
      <w:r>
        <w:rPr>
          <w:rFonts w:hint="eastAsia" w:ascii="仿宋" w:hAnsi="仿宋" w:eastAsia="仿宋" w:cs="仿宋"/>
          <w:color w:val="auto"/>
          <w:lang w:val="zh-CN" w:eastAsia="zh-CN"/>
        </w:rPr>
        <w:t>《乐山市金口河区粮食风险金管理办法》(金财政〔2022〕62号)；</w:t>
      </w:r>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10.</w:t>
      </w:r>
      <w:bookmarkStart w:id="153" w:name="_Toc8759"/>
      <w:bookmarkStart w:id="154" w:name="_Toc4268"/>
      <w:bookmarkStart w:id="155" w:name="_Toc13032"/>
      <w:r>
        <w:rPr>
          <w:rFonts w:hint="eastAsia" w:ascii="仿宋" w:hAnsi="仿宋" w:eastAsia="仿宋" w:cs="仿宋"/>
          <w:color w:val="auto"/>
          <w:lang w:val="zh-CN" w:eastAsia="zh-CN"/>
        </w:rPr>
        <w:t>《金口河区区级预算事前绩效评估管理暂行办法》；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11.其</w:t>
      </w:r>
      <w:r>
        <w:rPr>
          <w:rFonts w:hint="eastAsia" w:ascii="仿宋" w:hAnsi="仿宋" w:eastAsia="仿宋" w:cs="仿宋"/>
          <w:color w:val="auto"/>
          <w:lang w:val="zh-CN" w:eastAsia="zh-CN"/>
        </w:rPr>
        <w:t>他与本次评价相关的制度、文件等资料。</w:t>
      </w:r>
      <w:bookmarkEnd w:id="153"/>
      <w:bookmarkEnd w:id="154"/>
      <w:bookmarkEnd w:id="155"/>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56" w:name="_Toc517771165"/>
      <w:bookmarkStart w:id="157" w:name="_Toc2097"/>
      <w:bookmarkStart w:id="158" w:name="_Toc6680"/>
      <w:bookmarkStart w:id="159" w:name="_Toc5444"/>
      <w:bookmarkStart w:id="160" w:name="_Toc1840102656"/>
      <w:bookmarkStart w:id="161" w:name="_Toc13724"/>
      <w:bookmarkStart w:id="162" w:name="_Toc24196"/>
      <w:bookmarkStart w:id="163" w:name="_Toc235704954"/>
      <w:bookmarkStart w:id="164" w:name="_Toc28796"/>
      <w:bookmarkStart w:id="165" w:name="_Toc1492000300_WPSOffice_Level3"/>
      <w:bookmarkStart w:id="166" w:name="_Toc15390"/>
      <w:bookmarkStart w:id="167" w:name="_Toc130033891"/>
      <w:bookmarkStart w:id="168" w:name="_Toc133498039"/>
      <w:bookmarkStart w:id="169" w:name="_Toc1634515572"/>
      <w:bookmarkStart w:id="170" w:name="_Toc1533316810"/>
      <w:bookmarkStart w:id="171" w:name="_Toc693338945"/>
      <w:bookmarkStart w:id="172" w:name="_Toc2029979728_WPSOffice_Level3"/>
      <w:bookmarkStart w:id="173" w:name="_Toc30726"/>
      <w:bookmarkStart w:id="174" w:name="_Toc9201"/>
      <w:bookmarkStart w:id="175" w:name="_Toc576232511"/>
      <w:bookmarkStart w:id="176" w:name="_Toc692406180"/>
      <w:bookmarkStart w:id="177" w:name="_Toc130033893"/>
      <w:bookmarkStart w:id="178" w:name="_Toc6461"/>
      <w:bookmarkStart w:id="179" w:name="_Toc15014"/>
      <w:bookmarkStart w:id="180" w:name="_Toc24488"/>
      <w:bookmarkStart w:id="181" w:name="_Toc133498041"/>
      <w:r>
        <w:rPr>
          <w:rFonts w:hint="eastAsia" w:ascii="楷体" w:hAnsi="楷体" w:cs="楷体"/>
          <w:b w:val="0"/>
          <w:bCs/>
          <w:szCs w:val="32"/>
          <w:lang w:eastAsia="zh-CN"/>
        </w:rPr>
        <w:t>（四）绩效评价原则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科学规范原则。绩效评价应当严格执行规定的程序，按科学可行的要求，采用定量与定性分析相结合、理论与实践相结合的方法设计合理的评估指标体系。</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2.公正公开原则。绩效评价应当符合真实、客观、公正的要求，依法公开并接受监督。</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3.利害关系回避原则。绩效评价工作由乐山市金口河区财政投资评价审核中心进行实施。</w:t>
      </w:r>
    </w:p>
    <w:p>
      <w:pPr>
        <w:ind w:firstLine="640"/>
        <w:rPr>
          <w:rFonts w:hint="eastAsia" w:ascii="仿宋" w:hAnsi="仿宋" w:eastAsia="仿宋" w:cs="仿宋"/>
          <w:bCs/>
          <w:spacing w:val="-5"/>
          <w:szCs w:val="32"/>
          <w:lang w:eastAsia="zh-CN"/>
        </w:rPr>
      </w:pPr>
      <w:r>
        <w:rPr>
          <w:rFonts w:hint="eastAsia" w:ascii="仿宋" w:hAnsi="仿宋" w:eastAsia="仿宋" w:cs="仿宋"/>
          <w:color w:val="auto"/>
          <w:lang w:val="zh-CN" w:eastAsia="zh-CN"/>
        </w:rPr>
        <w:t>4.绩效相关原则。本次事前绩效评估针对储备粮油费用补贴预算金额及其预期绩效进行，评价结果清晰地反映两者之间的紧密对应关系</w:t>
      </w:r>
      <w:r>
        <w:rPr>
          <w:rFonts w:hint="eastAsia" w:ascii="仿宋" w:hAnsi="仿宋" w:eastAsia="仿宋" w:cs="仿宋"/>
          <w:bCs/>
          <w:szCs w:val="32"/>
          <w:lang w:eastAsia="zh-CN"/>
        </w:rPr>
        <w:t>。</w:t>
      </w:r>
    </w:p>
    <w:p>
      <w:pPr>
        <w:pStyle w:val="3"/>
        <w:numPr>
          <w:numId w:val="0"/>
        </w:numPr>
        <w:spacing w:before="0" w:beforeLines="0" w:after="0" w:afterLines="0"/>
        <w:ind w:left="709" w:leftChars="0"/>
        <w:rPr>
          <w:rFonts w:hint="eastAsia" w:ascii="楷体" w:hAnsi="楷体" w:eastAsia="楷体" w:cs="楷体"/>
          <w:b w:val="0"/>
          <w:bCs/>
          <w:szCs w:val="32"/>
        </w:rPr>
      </w:pPr>
      <w:bookmarkStart w:id="182" w:name="_Toc16442"/>
      <w:bookmarkStart w:id="183" w:name="_Toc4046"/>
      <w:r>
        <w:rPr>
          <w:rFonts w:hint="eastAsia" w:ascii="楷体" w:hAnsi="楷体" w:cs="楷体"/>
          <w:b w:val="0"/>
          <w:bCs/>
          <w:szCs w:val="32"/>
          <w:lang w:eastAsia="zh-CN"/>
        </w:rPr>
        <w:t>（五）</w:t>
      </w:r>
      <w:r>
        <w:rPr>
          <w:rFonts w:hint="eastAsia" w:ascii="楷体" w:hAnsi="楷体" w:eastAsia="楷体" w:cs="楷体"/>
          <w:b w:val="0"/>
          <w:bCs/>
          <w:szCs w:val="32"/>
        </w:rPr>
        <w:t>评价</w:t>
      </w:r>
      <w:r>
        <w:rPr>
          <w:rFonts w:hint="eastAsia" w:ascii="楷体" w:hAnsi="楷体" w:eastAsia="楷体" w:cs="楷体"/>
          <w:b w:val="0"/>
          <w:bCs/>
          <w:szCs w:val="32"/>
          <w:lang w:eastAsia="zh-CN"/>
        </w:rPr>
        <w:t>方法和等级设定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本次绩效评估通过实施单位的数据填报,辅以评价工作小组实地调查、查阅问卷、听取汇报、查看项目管理及财务管理资料等方式收集信息，对拟使用资金项目的必要性、</w:t>
      </w:r>
      <w:r>
        <w:rPr>
          <w:rFonts w:hint="eastAsia" w:ascii="仿宋" w:hAnsi="仿宋" w:eastAsia="仿宋" w:cs="仿宋"/>
          <w:color w:val="auto"/>
          <w:lang w:val="en-US" w:eastAsia="zh-CN"/>
        </w:rPr>
        <w:t>资金来源</w:t>
      </w:r>
      <w:r>
        <w:rPr>
          <w:rFonts w:hint="eastAsia" w:ascii="仿宋" w:hAnsi="仿宋" w:eastAsia="仿宋" w:cs="仿宋"/>
          <w:color w:val="auto"/>
          <w:lang w:val="zh-CN" w:eastAsia="zh-CN"/>
        </w:rPr>
        <w:t>的可行性、绩效目标的合理性、资金使用</w:t>
      </w:r>
      <w:r>
        <w:rPr>
          <w:rFonts w:hint="eastAsia" w:ascii="仿宋" w:hAnsi="仿宋" w:eastAsia="仿宋" w:cs="仿宋"/>
          <w:color w:val="auto"/>
          <w:lang w:val="en-US" w:eastAsia="zh-CN"/>
        </w:rPr>
        <w:t>计划的合理性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管理办法执行的有效</w:t>
      </w:r>
      <w:r>
        <w:rPr>
          <w:rFonts w:hint="eastAsia" w:ascii="仿宋" w:hAnsi="仿宋" w:eastAsia="仿宋" w:cs="仿宋"/>
          <w:color w:val="auto"/>
          <w:lang w:val="zh-CN" w:eastAsia="zh-CN"/>
        </w:rPr>
        <w:t>性等方面进行评判、论证和审查。以定量考核与定性分析相结合，汇总形成评估综合得分。评估结论分为建议实施、建议调整后实施、建议不予实施三个等级，根据各项指标得分合计分数，确定综合评估结论。具体如下</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评估结论</w:t>
            </w:r>
          </w:p>
        </w:tc>
        <w:tc>
          <w:tcPr>
            <w:tcW w:w="1854"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建议实施</w:t>
            </w:r>
          </w:p>
        </w:tc>
        <w:tc>
          <w:tcPr>
            <w:tcW w:w="2490"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建议调整后实施</w:t>
            </w:r>
          </w:p>
        </w:tc>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参考分值S</w:t>
            </w:r>
          </w:p>
        </w:tc>
        <w:tc>
          <w:tcPr>
            <w:tcW w:w="1854"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S≥90</w:t>
            </w:r>
          </w:p>
        </w:tc>
        <w:tc>
          <w:tcPr>
            <w:tcW w:w="2490"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90&gt;S&gt;75</w:t>
            </w:r>
          </w:p>
        </w:tc>
        <w:tc>
          <w:tcPr>
            <w:tcW w:w="2191" w:type="dxa"/>
          </w:tcPr>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S&lt;75</w:t>
            </w:r>
          </w:p>
        </w:tc>
      </w:tr>
    </w:tbl>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4" w:name="_Toc16964"/>
      <w:bookmarkStart w:id="185" w:name="_Toc21368"/>
      <w:r>
        <w:rPr>
          <w:rFonts w:hint="eastAsia" w:ascii="楷体" w:hAnsi="楷体" w:cs="楷体"/>
          <w:b w:val="0"/>
          <w:bCs/>
          <w:szCs w:val="32"/>
          <w:lang w:eastAsia="zh-CN"/>
        </w:rPr>
        <w:t>（六）</w:t>
      </w:r>
      <w:r>
        <w:rPr>
          <w:rFonts w:hint="eastAsia" w:ascii="楷体" w:hAnsi="楷体" w:eastAsia="楷体" w:cs="楷体"/>
          <w:b w:val="0"/>
          <w:bCs/>
          <w:szCs w:val="32"/>
          <w:lang w:eastAsia="zh-CN"/>
        </w:rPr>
        <w:t>评价程序</w:t>
      </w:r>
      <w:bookmarkEnd w:id="184"/>
      <w:bookmarkEnd w:id="185"/>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下达评估入户通知。绩效考评中心以入户通知书的形式通知项目单位，并明确评估的依据、内容、目的、任务、时间、要求等事项</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拟定工作方案。评估工作组结合事前绩效评估工作要求，拟定《事前绩效评估工作方案》，包括评估对象、内容、方法、专家、时间安排等</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组成评估小组。评估工作组遴选相关人员组成评估专家组，并适时开展业务培训</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w:t>
      </w:r>
      <w:r>
        <w:rPr>
          <w:rFonts w:hint="eastAsia" w:ascii="仿宋" w:hAnsi="仿宋" w:eastAsia="仿宋" w:cs="仿宋"/>
          <w:color w:val="auto"/>
          <w:lang w:val="zh-CN" w:eastAsia="zh-CN"/>
        </w:rPr>
        <w:t>入户调研。评估工作组入户与被评估单位沟通，进一步熟悉项目内容;向项目单位出示《项目支出事前绩效评估资料准备清单》，指导项目单位填报《事前绩效评估项目申报书》、《项目支出绩效目标申报</w:t>
      </w:r>
      <w:r>
        <w:rPr>
          <w:rFonts w:hint="eastAsia" w:ascii="仿宋" w:hAnsi="仿宋" w:eastAsia="仿宋" w:cs="仿宋"/>
          <w:bCs/>
          <w:szCs w:val="32"/>
          <w:lang w:eastAsia="zh-CN"/>
        </w:rPr>
        <w:t>表》。</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color w:val="auto"/>
          <w:lang w:val="zh-CN" w:eastAsia="zh-CN"/>
        </w:rPr>
        <w:t>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w:t>
      </w:r>
      <w:r>
        <w:rPr>
          <w:rFonts w:hint="eastAsia" w:ascii="仿宋" w:hAnsi="仿宋" w:eastAsia="仿宋" w:cs="仿宋"/>
          <w:color w:val="auto"/>
          <w:lang w:val="zh-CN" w:eastAsia="zh-CN"/>
        </w:rPr>
        <w:t>组织实施评估。绩效考评组召开评估会议，了解项目基本情况，听取项目单位情况介绍，进行现场评议</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color w:val="auto"/>
          <w:lang w:val="zh-CN" w:eastAsia="zh-CN"/>
        </w:rPr>
        <w:t>采取多种方式，多方获取信息。通过咨询专家、查阅资料、问卷调查、电话采访、集中座谈等方式，全面了解并收集项目信息</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color w:val="auto"/>
          <w:lang w:val="zh-CN" w:eastAsia="zh-CN"/>
        </w:rPr>
        <w:t>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color w:val="auto"/>
          <w:lang w:val="zh-CN" w:eastAsia="zh-CN"/>
        </w:rPr>
        <w:t>确认工作组意见，得出评估结论。评估工作组将评估个人初步意见报送评估工作组征求意见，评估工作组综合完善意见后，得出最终评估结论，填写《项目支出事前绩效评估工作组汇总意见》</w:t>
      </w:r>
      <w:r>
        <w:rPr>
          <w:rFonts w:hint="eastAsia" w:ascii="仿宋" w:hAnsi="仿宋" w:eastAsia="仿宋" w:cs="仿宋"/>
          <w:bCs/>
          <w:szCs w:val="32"/>
          <w:lang w:eastAsia="zh-CN"/>
        </w:rPr>
        <w:t>。</w:t>
      </w:r>
    </w:p>
    <w:p>
      <w:pPr>
        <w:ind w:firstLine="640"/>
        <w:rPr>
          <w:rFonts w:hint="eastAsia" w:ascii="仿宋" w:hAnsi="仿宋" w:eastAsia="仿宋" w:cs="仿宋"/>
          <w:color w:val="auto"/>
          <w:lang w:val="zh-CN" w:eastAsia="zh-CN"/>
        </w:rPr>
      </w:pPr>
      <w:r>
        <w:rPr>
          <w:rFonts w:hint="eastAsia" w:ascii="仿宋" w:hAnsi="仿宋" w:eastAsia="仿宋" w:cs="仿宋"/>
          <w:bCs/>
          <w:szCs w:val="32"/>
          <w:lang w:eastAsia="zh-CN"/>
        </w:rPr>
        <w:t>7.</w:t>
      </w:r>
      <w:r>
        <w:rPr>
          <w:rFonts w:hint="eastAsia" w:ascii="仿宋" w:hAnsi="仿宋" w:eastAsia="仿宋" w:cs="仿宋"/>
          <w:color w:val="auto"/>
          <w:lang w:val="zh-CN" w:eastAsia="zh-CN"/>
        </w:rPr>
        <w:t>汇报绩效评估结论。完成最终评价报告，提出评估结论意见。</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6" w:name="_Toc19270"/>
      <w:bookmarkStart w:id="187" w:name="_Toc28492"/>
      <w:r>
        <w:rPr>
          <w:rFonts w:hint="eastAsia" w:ascii="楷体" w:hAnsi="楷体" w:eastAsia="楷体" w:cs="楷体"/>
          <w:b w:val="0"/>
          <w:bCs/>
          <w:szCs w:val="32"/>
          <w:lang w:eastAsia="zh-CN"/>
        </w:rPr>
        <w:t>（七）论证思路及方法</w:t>
      </w:r>
      <w:bookmarkEnd w:id="186"/>
      <w:bookmarkEnd w:id="187"/>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本次事前绩效评估主要针对项目</w:t>
      </w:r>
      <w:r>
        <w:rPr>
          <w:rFonts w:hint="eastAsia" w:ascii="仿宋" w:hAnsi="仿宋" w:eastAsia="仿宋" w:cs="仿宋"/>
          <w:color w:val="auto"/>
          <w:lang w:val="en-US" w:eastAsia="zh-CN"/>
        </w:rPr>
        <w:t>实施的必要</w:t>
      </w:r>
      <w:r>
        <w:rPr>
          <w:rFonts w:hint="eastAsia" w:ascii="仿宋" w:hAnsi="仿宋" w:eastAsia="仿宋" w:cs="仿宋"/>
          <w:color w:val="auto"/>
          <w:lang w:val="zh-CN" w:eastAsia="zh-CN"/>
        </w:rPr>
        <w:t>性、</w:t>
      </w:r>
      <w:r>
        <w:rPr>
          <w:rFonts w:hint="eastAsia" w:ascii="仿宋" w:hAnsi="仿宋" w:eastAsia="仿宋" w:cs="仿宋"/>
          <w:color w:val="auto"/>
          <w:lang w:val="en-US" w:eastAsia="zh-CN"/>
        </w:rPr>
        <w:t>资金来源的可行性</w:t>
      </w:r>
      <w:r>
        <w:rPr>
          <w:rFonts w:hint="eastAsia" w:ascii="仿宋" w:hAnsi="仿宋" w:eastAsia="仿宋" w:cs="仿宋"/>
          <w:color w:val="auto"/>
          <w:lang w:val="zh-CN" w:eastAsia="zh-CN"/>
        </w:rPr>
        <w:t>、项</w:t>
      </w:r>
      <w:r>
        <w:rPr>
          <w:rFonts w:hint="eastAsia" w:ascii="仿宋" w:hAnsi="仿宋" w:eastAsia="仿宋" w:cs="仿宋"/>
          <w:color w:val="auto"/>
          <w:lang w:val="en-US" w:eastAsia="zh-CN"/>
        </w:rPr>
        <w:t>绩效目标明确性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管理办法执行的有效性</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实施成果合格性</w:t>
      </w:r>
      <w:r>
        <w:rPr>
          <w:rFonts w:hint="eastAsia" w:ascii="仿宋" w:hAnsi="仿宋" w:eastAsia="仿宋" w:cs="仿宋"/>
          <w:color w:val="auto"/>
          <w:lang w:val="zh-CN" w:eastAsia="zh-CN"/>
        </w:rPr>
        <w:t>等五方面进行综合评估、分析与论证，并提出相关建议。</w:t>
      </w:r>
    </w:p>
    <w:p>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本次事前绩效评估主要采用效益分析、比较分析、因素分析、历史分析等方法进行论证</w:t>
      </w:r>
      <w:r>
        <w:rPr>
          <w:rFonts w:hint="eastAsia" w:ascii="仿宋" w:hAnsi="仿宋" w:eastAsia="仿宋" w:cs="仿宋"/>
          <w:bCs/>
          <w:szCs w:val="32"/>
          <w:lang w:eastAsia="zh-CN"/>
        </w:rPr>
        <w:t>。</w:t>
      </w:r>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88" w:name="_Toc17481"/>
      <w:bookmarkStart w:id="189" w:name="_Toc32146"/>
      <w:r>
        <w:rPr>
          <w:rFonts w:hint="eastAsia" w:ascii="楷体" w:hAnsi="楷体" w:cs="楷体"/>
          <w:b w:val="0"/>
          <w:bCs/>
          <w:szCs w:val="32"/>
          <w:lang w:eastAsia="zh-CN"/>
        </w:rPr>
        <w:t>（八）</w:t>
      </w:r>
      <w:r>
        <w:rPr>
          <w:rFonts w:hint="eastAsia" w:ascii="楷体" w:hAnsi="楷体" w:eastAsia="楷体" w:cs="楷体"/>
          <w:b w:val="0"/>
          <w:bCs/>
          <w:szCs w:val="32"/>
          <w:lang w:eastAsia="zh-CN"/>
        </w:rPr>
        <w:t>评估方式</w:t>
      </w:r>
      <w:bookmarkEnd w:id="188"/>
      <w:bookmarkEnd w:id="189"/>
    </w:p>
    <w:p>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r>
        <w:rPr>
          <w:rFonts w:hint="eastAsia" w:ascii="仿宋" w:hAnsi="仿宋" w:eastAsia="仿宋" w:cs="仿宋"/>
          <w:bCs/>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90" w:name="_Toc5665919"/>
      <w:bookmarkStart w:id="191" w:name="_Toc2115246641_WPSOffice_Level1"/>
      <w:bookmarkStart w:id="192" w:name="_Toc1232831072"/>
      <w:bookmarkStart w:id="193" w:name="_Toc29976"/>
      <w:bookmarkStart w:id="194" w:name="_Toc2810"/>
      <w:bookmarkStart w:id="195" w:name="_Toc5234"/>
      <w:bookmarkStart w:id="196" w:name="_Toc1850422540"/>
      <w:bookmarkStart w:id="197" w:name="_Toc20132"/>
      <w:bookmarkStart w:id="198" w:name="_Toc709323845"/>
      <w:bookmarkStart w:id="199" w:name="_Toc132480965"/>
      <w:bookmarkStart w:id="200" w:name="_Toc27103"/>
      <w:r>
        <w:rPr>
          <w:rFonts w:hint="eastAsia" w:ascii="黑体" w:hAnsi="黑体" w:eastAsia="黑体" w:cs="黑体"/>
          <w:b w:val="0"/>
          <w:bCs/>
          <w:szCs w:val="32"/>
          <w:lang w:eastAsia="zh-CN"/>
        </w:rPr>
        <w:t>三、事前绩效评估指标体系及得分情况</w:t>
      </w:r>
      <w:bookmarkEnd w:id="190"/>
      <w:bookmarkEnd w:id="191"/>
      <w:bookmarkEnd w:id="192"/>
      <w:bookmarkEnd w:id="193"/>
      <w:bookmarkEnd w:id="194"/>
      <w:bookmarkEnd w:id="195"/>
      <w:bookmarkEnd w:id="196"/>
      <w:bookmarkEnd w:id="197"/>
      <w:bookmarkEnd w:id="198"/>
      <w:bookmarkEnd w:id="199"/>
      <w:bookmarkEnd w:id="200"/>
    </w:p>
    <w:p>
      <w:pPr>
        <w:ind w:firstLine="640"/>
        <w:rPr>
          <w:rFonts w:hint="eastAsia" w:ascii="仿宋" w:hAnsi="仿宋" w:eastAsia="仿宋" w:cs="仿宋"/>
          <w:bCs/>
          <w:szCs w:val="32"/>
          <w:lang w:eastAsia="zh-CN"/>
        </w:rPr>
      </w:pPr>
      <w:r>
        <w:rPr>
          <w:rFonts w:hint="eastAsia" w:ascii="仿宋" w:hAnsi="仿宋" w:eastAsia="仿宋" w:cs="仿宋"/>
          <w:color w:val="auto"/>
          <w:lang w:val="zh-CN" w:eastAsia="zh-CN"/>
        </w:rPr>
        <w:t>评估工作小组按照相关性、经济性、可行性、重要性、可比性、系统性及合理性原则，设置项目事前绩效评估指标体系，其中共包含8个一级指标、1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个二级指标以及3</w:t>
      </w:r>
      <w:r>
        <w:rPr>
          <w:rFonts w:hint="eastAsia" w:ascii="仿宋" w:hAnsi="仿宋" w:eastAsia="仿宋" w:cs="仿宋"/>
          <w:color w:val="auto"/>
          <w:lang w:val="en-US" w:eastAsia="zh-CN"/>
        </w:rPr>
        <w:t>1</w:t>
      </w:r>
      <w:r>
        <w:rPr>
          <w:rFonts w:hint="eastAsia" w:ascii="仿宋" w:hAnsi="仿宋" w:eastAsia="仿宋" w:cs="仿宋"/>
          <w:color w:val="auto"/>
          <w:lang w:val="zh-CN" w:eastAsia="zh-CN"/>
        </w:rPr>
        <w:t>个三级指标，各项指标内容及得分情况详见下表</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color w:val="auto"/>
          <w:lang w:val="zh-CN" w:eastAsia="zh-CN"/>
        </w:rPr>
        <w:t>储备粮油费用补贴</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21"/>
        <w:tblW w:w="8487"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4737"/>
        <w:gridCol w:w="540"/>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shd w:val="clear" w:color="auto" w:fill="auto"/>
            <w:noWrap w:val="0"/>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shd w:val="clear" w:color="auto" w:fill="auto"/>
            <w:noWrap w:val="0"/>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4737" w:type="dxa"/>
            <w:shd w:val="clear" w:color="auto" w:fill="auto"/>
            <w:noWrap w:val="0"/>
            <w:vAlign w:val="center"/>
          </w:tcPr>
          <w:p>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1081" w:type="dxa"/>
            <w:gridSpan w:val="2"/>
            <w:shd w:val="clear" w:color="auto" w:fill="auto"/>
            <w:noWrap w:val="0"/>
            <w:vAlign w:val="center"/>
          </w:tcPr>
          <w:p>
            <w:pPr>
              <w:pStyle w:val="67"/>
              <w:ind w:firstLine="0" w:firstLineChars="0"/>
              <w:jc w:val="center"/>
              <w:rPr>
                <w:rFonts w:ascii="Arial" w:hAnsi="Arial" w:cs="Arial"/>
                <w:b/>
                <w:snapToGrid w:val="0"/>
                <w:sz w:val="21"/>
                <w:lang w:eastAsia="zh-CN"/>
              </w:rPr>
            </w:pPr>
            <w:r>
              <w:rPr>
                <w:rFonts w:hint="eastAsia" w:ascii="Arial" w:hAnsi="Arial" w:cs="Arial"/>
                <w:b/>
                <w:snapToGrid w:val="0"/>
                <w:sz w:val="21"/>
                <w:lang w:eastAsia="zh-CN"/>
              </w:rPr>
              <w:t>分值</w:t>
            </w:r>
          </w:p>
        </w:tc>
        <w:tc>
          <w:tcPr>
            <w:tcW w:w="496" w:type="dxa"/>
            <w:shd w:val="clear" w:color="auto" w:fill="auto"/>
            <w:noWrap w:val="0"/>
            <w:vAlign w:val="center"/>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shd w:val="clear" w:color="auto" w:fill="auto"/>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①项目是否符合国情需要，是否在国家统一部署下开展。</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收</w:t>
            </w:r>
            <w:r>
              <w:rPr>
                <w:rFonts w:hint="eastAsia" w:ascii="Arial" w:hAnsi="Arial" w:cs="Arial"/>
                <w:bCs/>
                <w:snapToGrid w:val="0"/>
                <w:sz w:val="20"/>
              </w:rPr>
              <w:t>益性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①项目是否具有减少市场波动带来经济损失的能力；</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②项目是否具有保护生态环境，促进农业生态系统的平衡和稳定的能力。</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实施合规性</w:t>
            </w:r>
            <w:r>
              <w:rPr>
                <w:rFonts w:hint="eastAsia" w:ascii="Arial" w:hAnsi="Arial" w:cs="Arial"/>
                <w:bCs/>
                <w:snapToGrid w:val="0"/>
                <w:sz w:val="20"/>
                <w:lang w:eastAsia="zh-CN"/>
              </w:rPr>
              <w:t>与项目成熟度</w:t>
            </w: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实施</w:t>
            </w:r>
            <w:r>
              <w:rPr>
                <w:rFonts w:hint="eastAsia" w:ascii="Arial" w:hAnsi="Arial" w:cs="Arial"/>
                <w:bCs/>
                <w:snapToGrid w:val="0"/>
                <w:sz w:val="20"/>
              </w:rPr>
              <w:t>合规性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w:t>
            </w:r>
            <w:r>
              <w:rPr>
                <w:rFonts w:hint="eastAsia" w:ascii="Arial" w:hAnsi="Arial" w:cs="Arial"/>
                <w:bCs/>
                <w:snapToGrid w:val="0"/>
                <w:sz w:val="20"/>
                <w:lang w:val="en-US" w:eastAsia="zh-CN"/>
              </w:rPr>
              <w:t>为</w:t>
            </w:r>
            <w:r>
              <w:rPr>
                <w:rFonts w:hint="eastAsia" w:ascii="Arial" w:hAnsi="Arial" w:cs="Arial"/>
                <w:bCs/>
                <w:snapToGrid w:val="0"/>
                <w:sz w:val="20"/>
                <w:lang w:eastAsia="zh-CN"/>
              </w:rPr>
              <w:t>国家确定的发展项目。</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lang w:eastAsia="zh-CN"/>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③是否具备明确的政策依据和管理办法。</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w:t>
            </w:r>
            <w:r>
              <w:rPr>
                <w:rFonts w:hint="eastAsia" w:ascii="Arial" w:hAnsi="Arial" w:cs="Arial"/>
                <w:bCs/>
                <w:snapToGrid w:val="0"/>
                <w:sz w:val="20"/>
                <w:lang w:val="en-US" w:eastAsia="zh-CN"/>
              </w:rPr>
              <w:t>资金到</w:t>
            </w:r>
            <w:r>
              <w:rPr>
                <w:rFonts w:hint="eastAsia" w:ascii="Arial" w:hAnsi="Arial" w:cs="Arial"/>
                <w:bCs/>
                <w:snapToGrid w:val="0"/>
                <w:sz w:val="20"/>
                <w:lang w:eastAsia="zh-CN"/>
              </w:rPr>
              <w:t>位可行性</w:t>
            </w:r>
          </w:p>
        </w:tc>
        <w:tc>
          <w:tcPr>
            <w:tcW w:w="12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4737" w:type="dxa"/>
            <w:shd w:val="clear" w:color="auto" w:fill="auto"/>
            <w:noWrap w:val="0"/>
            <w:vAlign w:val="center"/>
          </w:tcPr>
          <w:p>
            <w:pPr>
              <w:pStyle w:val="67"/>
              <w:ind w:firstLine="0" w:firstLineChars="0"/>
              <w:rPr>
                <w:rFonts w:hint="default" w:ascii="Arial" w:hAnsi="Arial" w:cs="Arial"/>
                <w:bCs/>
                <w:snapToGrid w:val="0"/>
                <w:sz w:val="20"/>
                <w:lang w:val="en-US" w:eastAsia="zh-CN"/>
              </w:rPr>
            </w:pPr>
            <w:r>
              <w:rPr>
                <w:rFonts w:hint="eastAsia" w:ascii="Arial" w:hAnsi="Arial" w:cs="Arial"/>
                <w:bCs/>
                <w:snapToGrid w:val="0"/>
                <w:sz w:val="20"/>
                <w:lang w:eastAsia="zh-CN"/>
              </w:rPr>
              <w:t>①资金来源渠道是否符合相关规定。</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到位</w:t>
            </w:r>
            <w:r>
              <w:rPr>
                <w:rFonts w:hint="eastAsia" w:ascii="Arial" w:hAnsi="Arial" w:cs="Arial"/>
                <w:bCs/>
                <w:snapToGrid w:val="0"/>
                <w:sz w:val="20"/>
                <w:lang w:eastAsia="zh-CN"/>
              </w:rPr>
              <w:t>是否已</w:t>
            </w:r>
            <w:r>
              <w:rPr>
                <w:rFonts w:hint="eastAsia" w:ascii="Arial" w:hAnsi="Arial" w:cs="Arial"/>
                <w:bCs/>
                <w:snapToGrid w:val="0"/>
                <w:sz w:val="20"/>
                <w:lang w:val="en-US" w:eastAsia="zh-CN"/>
              </w:rPr>
              <w:t>具备</w:t>
            </w:r>
            <w:r>
              <w:rPr>
                <w:rFonts w:hint="eastAsia" w:ascii="Arial" w:hAnsi="Arial" w:cs="Arial"/>
                <w:bCs/>
                <w:snapToGrid w:val="0"/>
                <w:sz w:val="20"/>
                <w:lang w:eastAsia="zh-CN"/>
              </w:rPr>
              <w:t>相关手续；</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shd w:val="clear" w:color="auto" w:fill="auto"/>
            <w:noWrap w:val="0"/>
            <w:vAlign w:val="center"/>
          </w:tcPr>
          <w:p>
            <w:pPr>
              <w:pStyle w:val="67"/>
              <w:ind w:firstLine="0" w:firstLineChars="0"/>
              <w:jc w:val="center"/>
              <w:rPr>
                <w:rFonts w:hint="eastAsia" w:ascii="Arial" w:hAnsi="Arial" w:cs="Arial"/>
                <w:bCs/>
                <w:snapToGrid w:val="0"/>
                <w:sz w:val="20"/>
              </w:rPr>
            </w:pPr>
          </w:p>
        </w:tc>
        <w:tc>
          <w:tcPr>
            <w:tcW w:w="4737" w:type="dxa"/>
            <w:shd w:val="clear" w:color="auto" w:fill="auto"/>
            <w:noWrap w:val="0"/>
            <w:vAlign w:val="center"/>
          </w:tcPr>
          <w:p>
            <w:pPr>
              <w:pStyle w:val="67"/>
              <w:ind w:firstLine="0" w:firstLineChars="0"/>
              <w:rPr>
                <w:rFonts w:hint="eastAsia" w:ascii="Arial" w:hAnsi="Arial" w:cs="Arial"/>
                <w:bCs/>
                <w:snapToGrid w:val="0"/>
                <w:sz w:val="20"/>
                <w:lang w:eastAsia="zh-CN"/>
              </w:rPr>
            </w:pPr>
            <w:r>
              <w:rPr>
                <w:rFonts w:hint="eastAsia" w:ascii="Arial" w:hAnsi="Arial" w:cs="Arial"/>
                <w:bCs/>
                <w:snapToGrid w:val="0"/>
                <w:sz w:val="20"/>
                <w:lang w:eastAsia="zh-CN"/>
              </w:rPr>
              <w:t>②是否有明确的计算依据；</w:t>
            </w:r>
          </w:p>
        </w:tc>
        <w:tc>
          <w:tcPr>
            <w:tcW w:w="540"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①资金使用计划测算依据是否充分；</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②资金使用是否按计划安排。</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4737" w:type="dxa"/>
            <w:shd w:val="clear" w:color="auto" w:fill="auto"/>
            <w:noWrap w:val="0"/>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3</w:t>
            </w: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eastAsia="zh-CN"/>
              </w:rPr>
              <w:t>管理办法执行</w:t>
            </w:r>
            <w:r>
              <w:rPr>
                <w:rFonts w:ascii="Arial" w:hAnsi="Arial" w:cs="Arial"/>
                <w:bCs/>
                <w:snapToGrid w:val="0"/>
                <w:sz w:val="20"/>
                <w:lang w:eastAsia="zh-CN"/>
              </w:rPr>
              <w:t>的有效性</w:t>
            </w:r>
          </w:p>
        </w:tc>
        <w:tc>
          <w:tcPr>
            <w:tcW w:w="1296" w:type="dxa"/>
            <w:vMerge w:val="restart"/>
            <w:tcBorders>
              <w:top w:val="nil"/>
            </w:tcBorders>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管理办法执行</w:t>
            </w:r>
            <w:r>
              <w:rPr>
                <w:rFonts w:ascii="Arial" w:hAnsi="Arial" w:cs="Arial"/>
                <w:bCs/>
                <w:snapToGrid w:val="0"/>
                <w:sz w:val="20"/>
                <w:lang w:eastAsia="zh-CN"/>
              </w:rPr>
              <w:t>的有效性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w:t>
            </w:r>
            <w:r>
              <w:rPr>
                <w:rFonts w:hint="eastAsia" w:ascii="Arial" w:hAnsi="Arial" w:cs="Arial"/>
                <w:bCs/>
                <w:snapToGrid w:val="0"/>
                <w:sz w:val="20"/>
                <w:lang w:val="en-US" w:eastAsia="zh-CN"/>
              </w:rPr>
              <w:t>执行办法</w:t>
            </w:r>
            <w:r>
              <w:rPr>
                <w:rFonts w:hint="eastAsia" w:ascii="Arial" w:hAnsi="Arial" w:cs="Arial"/>
                <w:bCs/>
                <w:snapToGrid w:val="0"/>
                <w:sz w:val="20"/>
                <w:lang w:eastAsia="zh-CN"/>
              </w:rPr>
              <w:t>是否经过批复；</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8</w:t>
            </w: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lang w:eastAsia="zh-CN"/>
              </w:rPr>
            </w:pPr>
          </w:p>
        </w:tc>
        <w:tc>
          <w:tcPr>
            <w:tcW w:w="1296" w:type="dxa"/>
            <w:vMerge w:val="continue"/>
            <w:shd w:val="clear" w:color="auto" w:fill="auto"/>
            <w:noWrap w:val="0"/>
            <w:vAlign w:val="center"/>
          </w:tcPr>
          <w:p>
            <w:pPr>
              <w:pStyle w:val="67"/>
              <w:ind w:firstLine="0" w:firstLineChars="0"/>
              <w:jc w:val="center"/>
              <w:rPr>
                <w:rFonts w:ascii="Arial" w:hAnsi="Arial" w:cs="Arial"/>
                <w:bCs/>
                <w:snapToGrid w:val="0"/>
                <w:sz w:val="20"/>
                <w:lang w:eastAsia="zh-CN"/>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w:t>
            </w:r>
            <w:r>
              <w:rPr>
                <w:rFonts w:hint="eastAsia" w:ascii="Arial" w:hAnsi="Arial" w:cs="Arial"/>
                <w:bCs/>
                <w:snapToGrid w:val="0"/>
                <w:sz w:val="20"/>
                <w:lang w:val="en-US" w:eastAsia="zh-CN"/>
              </w:rPr>
              <w:t>是否严格按照执行办法实施</w:t>
            </w:r>
            <w:r>
              <w:rPr>
                <w:rFonts w:hint="eastAsia" w:ascii="Arial" w:hAnsi="Arial" w:cs="Arial"/>
                <w:bCs/>
                <w:snapToGrid w:val="0"/>
                <w:sz w:val="20"/>
                <w:lang w:eastAsia="zh-CN"/>
              </w:rPr>
              <w:t>。</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lang w:eastAsia="zh-CN"/>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shd w:val="clear" w:color="auto" w:fill="auto"/>
            <w:noWrap w:val="0"/>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服务数量</w:t>
            </w:r>
            <w:r>
              <w:rPr>
                <w:rFonts w:hint="eastAsia" w:ascii="Arial" w:hAnsi="Arial" w:cs="Arial"/>
                <w:bCs/>
                <w:snapToGrid w:val="0"/>
                <w:sz w:val="20"/>
                <w:lang w:eastAsia="zh-CN"/>
              </w:rPr>
              <w:t>合格性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w:t>
            </w:r>
            <w:r>
              <w:rPr>
                <w:rFonts w:hint="eastAsia" w:ascii="Arial" w:hAnsi="Arial" w:cs="Arial"/>
                <w:bCs/>
                <w:snapToGrid w:val="0"/>
                <w:sz w:val="20"/>
                <w:lang w:val="en-US" w:eastAsia="zh-CN"/>
              </w:rPr>
              <w:t>数量是否与实际数量、批复数量一致</w:t>
            </w:r>
            <w:r>
              <w:rPr>
                <w:rFonts w:hint="eastAsia" w:ascii="Arial" w:hAnsi="Arial" w:cs="Arial"/>
                <w:bCs/>
                <w:snapToGrid w:val="0"/>
                <w:sz w:val="20"/>
                <w:lang w:eastAsia="zh-CN"/>
              </w:rPr>
              <w:t>。</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12</w:t>
            </w:r>
          </w:p>
        </w:tc>
        <w:tc>
          <w:tcPr>
            <w:tcW w:w="496"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lang w:eastAsia="zh-CN"/>
              </w:rPr>
            </w:pP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服务</w:t>
            </w:r>
            <w:r>
              <w:rPr>
                <w:rFonts w:hint="eastAsia" w:ascii="Arial" w:hAnsi="Arial" w:cs="Arial"/>
                <w:bCs/>
                <w:snapToGrid w:val="0"/>
                <w:sz w:val="20"/>
                <w:lang w:eastAsia="zh-CN"/>
              </w:rPr>
              <w:t>质量合格性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存储粮油质量是否符合相关规定；</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粮油入库前是否经过检验。</w:t>
            </w:r>
          </w:p>
        </w:tc>
        <w:tc>
          <w:tcPr>
            <w:tcW w:w="540" w:type="dxa"/>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shd w:val="clear" w:color="auto" w:fill="auto"/>
            <w:noWrap w:val="0"/>
            <w:vAlign w:val="center"/>
          </w:tcPr>
          <w:p>
            <w:pPr>
              <w:pStyle w:val="67"/>
              <w:ind w:firstLine="0" w:firstLineChars="0"/>
              <w:rPr>
                <w:rFonts w:ascii="Arial" w:hAnsi="Arial" w:cs="Arial"/>
                <w:bCs/>
                <w:snapToGrid w:val="0"/>
                <w:sz w:val="20"/>
              </w:rPr>
            </w:pPr>
          </w:p>
        </w:tc>
        <w:tc>
          <w:tcPr>
            <w:tcW w:w="1296" w:type="dxa"/>
            <w:tcBorders>
              <w:top w:val="nil"/>
            </w:tcBorders>
            <w:shd w:val="clear" w:color="auto" w:fill="auto"/>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服务时效合格性</w:t>
            </w:r>
          </w:p>
        </w:tc>
        <w:tc>
          <w:tcPr>
            <w:tcW w:w="4737" w:type="dxa"/>
            <w:shd w:val="clear" w:color="auto" w:fill="auto"/>
            <w:noWrap w:val="0"/>
            <w:vAlign w:val="center"/>
          </w:tcPr>
          <w:p>
            <w:pPr>
              <w:pStyle w:val="67"/>
              <w:ind w:firstLine="0" w:firstLineChars="0"/>
              <w:rPr>
                <w:rFonts w:hint="default" w:ascii="Arial" w:hAnsi="Arial" w:cs="Arial"/>
                <w:bCs/>
                <w:snapToGrid w:val="0"/>
                <w:sz w:val="20"/>
                <w:lang w:val="en-US"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存储粮油服务时效是否符合相关规定。</w:t>
            </w:r>
          </w:p>
        </w:tc>
        <w:tc>
          <w:tcPr>
            <w:tcW w:w="540" w:type="dxa"/>
            <w:shd w:val="clear" w:color="auto" w:fill="auto"/>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540"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restart"/>
            <w:shd w:val="clear" w:color="auto" w:fill="auto"/>
            <w:noWrap w:val="0"/>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9</w:t>
            </w: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是否有长期有效的政策依据</w:t>
            </w:r>
            <w:r>
              <w:rPr>
                <w:rFonts w:hint="eastAsia" w:ascii="Arial" w:hAnsi="Arial" w:cs="Arial"/>
                <w:bCs/>
                <w:snapToGrid w:val="0"/>
                <w:sz w:val="20"/>
                <w:lang w:eastAsia="zh-CN"/>
              </w:rPr>
              <w:t>；</w:t>
            </w:r>
          </w:p>
        </w:tc>
        <w:tc>
          <w:tcPr>
            <w:tcW w:w="540" w:type="dxa"/>
            <w:shd w:val="clear" w:color="auto" w:fill="auto"/>
            <w:noWrap w:val="0"/>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shd w:val="clear" w:color="auto" w:fill="auto"/>
            <w:noWrap w:val="0"/>
            <w:vAlign w:val="center"/>
          </w:tcPr>
          <w:p>
            <w:pPr>
              <w:pStyle w:val="67"/>
              <w:ind w:firstLine="0" w:firstLineChars="0"/>
              <w:rPr>
                <w:rFonts w:ascii="Arial" w:hAnsi="Arial" w:cs="Arial"/>
                <w:bCs/>
                <w:snapToGrid w:val="0"/>
                <w:sz w:val="20"/>
              </w:rPr>
            </w:pPr>
          </w:p>
        </w:tc>
        <w:tc>
          <w:tcPr>
            <w:tcW w:w="1296"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737" w:type="dxa"/>
            <w:shd w:val="clear" w:color="auto" w:fill="auto"/>
            <w:noWrap w:val="0"/>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③项目的实施</w:t>
            </w:r>
            <w:r>
              <w:rPr>
                <w:rFonts w:hint="eastAsia" w:ascii="Arial" w:hAnsi="Arial" w:cs="Arial"/>
                <w:bCs/>
                <w:snapToGrid w:val="0"/>
                <w:sz w:val="20"/>
                <w:lang w:val="en-US" w:eastAsia="zh-CN"/>
              </w:rPr>
              <w:t>是否有利于</w:t>
            </w:r>
            <w:r>
              <w:rPr>
                <w:rFonts w:hint="eastAsia" w:ascii="Arial" w:hAnsi="Arial" w:cs="Arial"/>
                <w:bCs/>
                <w:snapToGrid w:val="0"/>
                <w:sz w:val="20"/>
                <w:lang w:eastAsia="zh-CN"/>
              </w:rPr>
              <w:t>社会稳定。</w:t>
            </w:r>
          </w:p>
        </w:tc>
        <w:tc>
          <w:tcPr>
            <w:tcW w:w="540"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c>
          <w:tcPr>
            <w:tcW w:w="541" w:type="dxa"/>
            <w:vMerge w:val="continue"/>
            <w:tcBorders>
              <w:top w:val="nil"/>
            </w:tcBorders>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910" w:type="dxa"/>
            <w:gridSpan w:val="3"/>
            <w:shd w:val="clear" w:color="auto" w:fill="auto"/>
            <w:noWrap w:val="0"/>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540" w:type="dxa"/>
            <w:shd w:val="clear" w:color="auto" w:fill="auto"/>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shd w:val="clear" w:color="auto" w:fill="auto"/>
            <w:noWrap w:val="0"/>
            <w:vAlign w:val="center"/>
          </w:tcPr>
          <w:p>
            <w:pPr>
              <w:pStyle w:val="67"/>
              <w:ind w:firstLine="0" w:firstLineChars="0"/>
              <w:jc w:val="center"/>
              <w:rPr>
                <w:rFonts w:ascii="Arial" w:hAnsi="Arial" w:cs="Arial"/>
                <w:bCs/>
                <w:snapToGrid w:val="0"/>
                <w:sz w:val="20"/>
              </w:rPr>
            </w:pPr>
          </w:p>
        </w:tc>
        <w:tc>
          <w:tcPr>
            <w:tcW w:w="496" w:type="dxa"/>
            <w:shd w:val="clear" w:color="auto" w:fill="auto"/>
            <w:noWrap w:val="0"/>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97</w:t>
            </w:r>
          </w:p>
        </w:tc>
      </w:tr>
    </w:tbl>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01" w:name="_Toc10752"/>
      <w:bookmarkStart w:id="202" w:name="_Toc1269600848"/>
      <w:bookmarkStart w:id="203" w:name="_Toc193453926"/>
      <w:bookmarkStart w:id="204" w:name="_Toc7074"/>
      <w:bookmarkStart w:id="205" w:name="_Toc20649"/>
      <w:bookmarkStart w:id="206" w:name="_Toc924138418"/>
      <w:bookmarkStart w:id="207" w:name="_Toc1506002849_WPSOffice_Level1"/>
      <w:bookmarkStart w:id="208" w:name="_Toc132480966"/>
      <w:bookmarkStart w:id="209" w:name="_Toc737820165"/>
      <w:bookmarkStart w:id="210" w:name="_Toc29627"/>
      <w:bookmarkStart w:id="211" w:name="_Toc6088"/>
      <w:r>
        <w:rPr>
          <w:rFonts w:hint="eastAsia" w:ascii="黑体" w:hAnsi="黑体" w:eastAsia="黑体" w:cs="黑体"/>
          <w:b w:val="0"/>
          <w:szCs w:val="32"/>
          <w:lang w:eastAsia="zh-CN"/>
        </w:rPr>
        <w:t>四、绩效评价</w:t>
      </w:r>
      <w:bookmarkEnd w:id="201"/>
      <w:bookmarkEnd w:id="202"/>
      <w:bookmarkEnd w:id="203"/>
      <w:bookmarkEnd w:id="204"/>
      <w:bookmarkEnd w:id="205"/>
      <w:bookmarkEnd w:id="206"/>
      <w:bookmarkEnd w:id="207"/>
      <w:bookmarkEnd w:id="208"/>
      <w:bookmarkEnd w:id="209"/>
      <w:r>
        <w:rPr>
          <w:rFonts w:hint="eastAsia" w:ascii="黑体" w:hAnsi="黑体" w:eastAsia="黑体" w:cs="黑体"/>
          <w:b w:val="0"/>
          <w:szCs w:val="32"/>
          <w:lang w:eastAsia="zh-CN"/>
        </w:rPr>
        <w:t>内容与结论</w:t>
      </w:r>
      <w:bookmarkEnd w:id="210"/>
      <w:bookmarkEnd w:id="211"/>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212" w:name="_Toc2815"/>
      <w:bookmarkStart w:id="213" w:name="_Toc785"/>
      <w:r>
        <w:rPr>
          <w:rFonts w:hint="eastAsia" w:ascii="楷体" w:hAnsi="楷体" w:cs="楷体"/>
          <w:b w:val="0"/>
          <w:kern w:val="44"/>
          <w:szCs w:val="32"/>
          <w:lang w:eastAsia="zh-CN"/>
        </w:rPr>
        <w:t>（一）</w:t>
      </w:r>
      <w:r>
        <w:rPr>
          <w:rFonts w:hint="eastAsia" w:ascii="楷体" w:hAnsi="楷体" w:eastAsia="楷体" w:cs="楷体"/>
          <w:b w:val="0"/>
          <w:kern w:val="44"/>
          <w:szCs w:val="32"/>
          <w:lang w:eastAsia="zh-CN"/>
        </w:rPr>
        <w:t>项目实施的必要性、公益性、收益性</w:t>
      </w:r>
      <w:bookmarkEnd w:id="212"/>
      <w:bookmarkEnd w:id="213"/>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项目实施的必要性、公益性、收益性方面，指标总分16分，评估得分16分。具体如下</w:t>
      </w:r>
      <w:r>
        <w:rPr>
          <w:rFonts w:hint="eastAsia" w:ascii="仿宋" w:hAnsi="仿宋" w:eastAsia="仿宋" w:cs="仿宋"/>
          <w:szCs w:val="32"/>
          <w:lang w:eastAsia="zh-CN"/>
        </w:rPr>
        <w:t>：</w:t>
      </w:r>
    </w:p>
    <w:p>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1.项</w:t>
      </w:r>
      <w:bookmarkStart w:id="214" w:name="OLE_LINK3"/>
      <w:r>
        <w:rPr>
          <w:rFonts w:hint="eastAsia" w:ascii="仿宋" w:hAnsi="仿宋" w:eastAsia="仿宋" w:cs="仿宋"/>
          <w:szCs w:val="32"/>
          <w:lang w:eastAsia="zh-CN"/>
        </w:rPr>
        <w:t>目实施的必要性</w:t>
      </w:r>
      <w:bookmarkEnd w:id="214"/>
    </w:p>
    <w:p>
      <w:pPr>
        <w:ind w:firstLine="640"/>
        <w:rPr>
          <w:rFonts w:hint="eastAsia" w:ascii="仿宋" w:hAnsi="仿宋" w:eastAsia="仿宋" w:cs="仿宋"/>
          <w:szCs w:val="32"/>
          <w:lang w:eastAsia="zh-CN"/>
        </w:rPr>
      </w:pPr>
      <w:bookmarkStart w:id="215" w:name="OLE_LINK1"/>
      <w:r>
        <w:rPr>
          <w:rFonts w:hint="eastAsia" w:ascii="仿宋" w:hAnsi="仿宋" w:eastAsia="仿宋" w:cs="仿宋"/>
          <w:color w:val="auto"/>
          <w:lang w:val="zh-CN" w:eastAsia="zh-CN"/>
        </w:rPr>
        <w:t>金口河区地处山区，粮食生产受自然条件限制较大。储备粮油可在自然灾害、市场波动等特殊时期保障区域内粮油的稳定供应，避免出现供应短缺和价格大幅波动，确保居民基本生活需求得到满足。建立储备粮油体系并给予费用补贴，能有效增强区域应对突发事件的能力。如在疫情防控、地震等紧急情况下，储备粮油可迅速投放市场，维持社会稳定。当市场上粮油价格因供求关系失衡出现大幅上涨或下跌时，政府可通过投放或收购储备粮油来调节市场供求，稳定粮油价格，保护消费者和农民的利益。储备粮油的存在以及相关补贴政策的实施，向市场传递出政府稳定粮油市场的决心和能力，有助于稳定市场参与者的预期，避免因恐慌性抢购或抛售导致市场秩序混乱。补贴项目有助于稳定当地粮油市场价格，保障农民收入，从而激励农民种粮积极性，促进区域内农业生产的稳定发展，推动农业产业结构优化升级</w:t>
      </w:r>
      <w:r>
        <w:rPr>
          <w:rFonts w:hint="eastAsia" w:ascii="仿宋" w:hAnsi="仿宋" w:eastAsia="仿宋" w:cs="仿宋"/>
          <w:szCs w:val="32"/>
          <w:lang w:eastAsia="zh-CN"/>
        </w:rPr>
        <w:t>。</w:t>
      </w:r>
      <w:bookmarkEnd w:id="215"/>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通过储备粮油费用补贴，确保其供应稳定和价格合理是保障民生的重要内容。储备粮油费用补贴项目的实施有助于解决低收入群体的生活困难，减少社会不稳定因素。储备粮油费用补贴</w:t>
      </w:r>
      <w:r>
        <w:rPr>
          <w:rFonts w:hint="eastAsia" w:ascii="仿宋" w:hAnsi="仿宋" w:eastAsia="仿宋" w:cs="仿宋"/>
          <w:color w:val="auto"/>
          <w:lang w:val="en-US" w:eastAsia="zh-CN"/>
        </w:rPr>
        <w:t>项目</w:t>
      </w:r>
      <w:r>
        <w:rPr>
          <w:rFonts w:hint="eastAsia" w:ascii="仿宋" w:hAnsi="仿宋" w:eastAsia="仿宋" w:cs="仿宋"/>
          <w:color w:val="auto"/>
          <w:lang w:val="zh-CN" w:eastAsia="zh-CN"/>
        </w:rPr>
        <w:t>符合国情需要，在国家统一部署下开展。根据评分标准，总分4分，得4分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粮油是居民生活的必需品，储备粮油费用补贴项目的实施，能够确保在各种情况下，金口河区居民都有充足且稳定的粮油供应，满足人们的基本生活需求，维持正常的生活秩序。通过补贴维持合理的粮油储备，在市场供应不足时投放储备粮油，增加市场供给，平抑物价，防止因供求关系失衡导致粮油价格大幅上涨，让广大消费者能够以合理的价格购买到粮油，保障了消费者的利益</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稳定的粮油供应和合理的价格是社会稳定的重要基础。该项目的实施能够避免因粮油供应短缺或价格大幅波动引发的社会不稳定因素，增强社会公众对政府保障民生能力的信心，维护社会的和谐稳定。根据评分标准，总分4分，得4分</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通过补贴维持合理的储备规模，在粮油市场供应紧张时投放储备，缓解供需矛盾，防止价格过度上涨；在供大于求时收购，避免价格大幅下跌，稳定市场价格，减少市场波动带来的经济损失。补贴项目使储备粮油业务得以顺利开展，能带动仓储、物流、加工等相关产业发展，为当地创造更多的经济增长点和就业机会，促进区域经济繁荣。完善的储备体系和补贴政策，增强了地区应对各种风险的能力，在紧急状态下能快速响应，保障人民群众的生命财产安全，减少灾害对社会的影响。补贴政策稳定了粮油价格和种植收益，激励农民采用更环保、可持续的种植方式，有助于保护生态环境，促进农业生态系统的平衡和稳定</w:t>
      </w:r>
      <w:r>
        <w:rPr>
          <w:rFonts w:hint="eastAsia" w:ascii="仿宋" w:hAnsi="仿宋" w:eastAsia="仿宋" w:cs="仿宋"/>
          <w:szCs w:val="32"/>
          <w:lang w:eastAsia="zh-CN"/>
        </w:rPr>
        <w:t>。</w:t>
      </w:r>
    </w:p>
    <w:p>
      <w:pPr>
        <w:ind w:firstLineChars="0"/>
        <w:rPr>
          <w:rFonts w:hint="eastAsia" w:ascii="仿宋" w:hAnsi="仿宋" w:eastAsia="仿宋" w:cs="仿宋"/>
          <w:szCs w:val="32"/>
          <w:lang w:eastAsia="zh-CN"/>
        </w:rPr>
      </w:pPr>
      <w:r>
        <w:rPr>
          <w:rFonts w:hint="eastAsia" w:ascii="仿宋" w:hAnsi="仿宋" w:eastAsia="仿宋" w:cs="仿宋"/>
          <w:color w:val="auto"/>
          <w:lang w:val="zh-CN" w:eastAsia="zh-CN"/>
        </w:rPr>
        <w:t>合理的储备和补贴机制可避免因市场供需失衡导致的粮油过度生产或浪费现象，提高资源利用效率，减少在生产、储存和运输过程中的资源消耗和环境污染。根据评分标准，总分8分，得8分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16" w:name="_Toc12059"/>
      <w:bookmarkStart w:id="217" w:name="_Toc841"/>
      <w:r>
        <w:rPr>
          <w:rFonts w:hint="eastAsia" w:ascii="楷体" w:hAnsi="楷体" w:cs="楷体"/>
          <w:b w:val="0"/>
          <w:kern w:val="44"/>
          <w:szCs w:val="32"/>
          <w:lang w:eastAsia="zh-CN"/>
        </w:rPr>
        <w:t>（二）</w:t>
      </w:r>
      <w:r>
        <w:rPr>
          <w:rFonts w:hint="eastAsia" w:ascii="楷体" w:hAnsi="楷体" w:eastAsia="楷体" w:cs="楷体"/>
          <w:b w:val="0"/>
          <w:kern w:val="44"/>
          <w:szCs w:val="32"/>
          <w:lang w:eastAsia="zh-CN"/>
        </w:rPr>
        <w:t>项目实施合规性与</w:t>
      </w:r>
      <w:r>
        <w:rPr>
          <w:rFonts w:hint="eastAsia" w:ascii="楷体" w:hAnsi="楷体" w:eastAsia="楷体" w:cs="楷体"/>
          <w:b w:val="0"/>
          <w:kern w:val="44"/>
          <w:szCs w:val="32"/>
          <w:lang w:val="en-US" w:eastAsia="zh-CN"/>
        </w:rPr>
        <w:t>项目</w:t>
      </w:r>
      <w:r>
        <w:rPr>
          <w:rFonts w:hint="eastAsia" w:ascii="楷体" w:hAnsi="楷体" w:eastAsia="楷体" w:cs="楷体"/>
          <w:b w:val="0"/>
          <w:kern w:val="44"/>
          <w:szCs w:val="32"/>
          <w:lang w:eastAsia="zh-CN"/>
        </w:rPr>
        <w:t>成熟度</w:t>
      </w:r>
      <w:bookmarkEnd w:id="216"/>
      <w:bookmarkEnd w:id="217"/>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项目实施合规性与项目成熟度方面，指标总分18分，评估得分18分。具体如下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1.实施合规性</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为新增性项目。根据《乐山市金口河区区级储备粮轮换管理办法》，区级储备粮轮换周期原则上执行稻谷3年、小麦4年、玉米2年、散装菜籽油2年，成品粮油原则上每年至少轮换1次，且至少在保质期到期前3个月进行轮换</w:t>
      </w:r>
      <w:r>
        <w:rPr>
          <w:rFonts w:hint="eastAsia" w:ascii="仿宋" w:hAnsi="仿宋" w:eastAsia="仿宋" w:cs="仿宋"/>
          <w:bCs/>
          <w:szCs w:val="32"/>
          <w:lang w:eastAsia="zh-CN"/>
        </w:rPr>
        <w:t>。</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根据区粮储中心提供的2024年粮油</w:t>
      </w:r>
      <w:r>
        <w:rPr>
          <w:rFonts w:hint="eastAsia" w:ascii="仿宋" w:hAnsi="仿宋" w:eastAsia="仿宋" w:cs="仿宋"/>
          <w:color w:val="auto"/>
          <w:lang w:val="en-US" w:eastAsia="zh-CN"/>
        </w:rPr>
        <w:t>存储、</w:t>
      </w:r>
      <w:r>
        <w:rPr>
          <w:rFonts w:hint="eastAsia" w:ascii="仿宋" w:hAnsi="仿宋" w:eastAsia="仿宋" w:cs="仿宋"/>
          <w:color w:val="auto"/>
          <w:lang w:val="zh-CN" w:eastAsia="zh-CN"/>
        </w:rPr>
        <w:t>轮换相关资料，由区粮储中心根据粮油储存年限和品质情况提出申请，区发改局、区粮储中心审核提出年度轮换计划，会同区财政局、峨眉农发行下达执行。</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综上，该项目立项过程合规、立项依据充分，项目资金来源渠道符合相关规定，资金筹措程序科学规范。根据评分标准，总分9分，得9分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2.项目成熟度</w:t>
      </w:r>
    </w:p>
    <w:p>
      <w:pPr>
        <w:ind w:firstLine="640"/>
        <w:rPr>
          <w:rFonts w:hint="eastAsia" w:ascii="仿宋" w:hAnsi="仿宋" w:eastAsia="仿宋" w:cs="仿宋"/>
          <w:bCs/>
          <w:kern w:val="2"/>
          <w:szCs w:val="32"/>
          <w:lang w:eastAsia="zh-CN" w:bidi="ar-SA"/>
        </w:rPr>
      </w:pPr>
      <w:r>
        <w:rPr>
          <w:rFonts w:hint="eastAsia" w:ascii="仿宋" w:hAnsi="仿宋" w:eastAsia="仿宋" w:cs="仿宋"/>
          <w:color w:val="auto"/>
          <w:lang w:val="zh-CN" w:eastAsia="zh-CN"/>
        </w:rPr>
        <w:t>《四川省地方粮食储备管理办法》为金口河区储备粮油费用补贴项目提供了明确的政策依据和指导方向。金口河区政府根据当地实际情况，制定了《关于印发&lt;乐山市金口河区区级储备粮管理办法&gt;的通知》《乐山市金口河区粮食风险金管理办法》</w:t>
      </w:r>
      <w:bookmarkStart w:id="241" w:name="_GoBack"/>
      <w:bookmarkEnd w:id="241"/>
      <w:r>
        <w:rPr>
          <w:rFonts w:hint="eastAsia" w:ascii="仿宋" w:hAnsi="仿宋" w:eastAsia="仿宋" w:cs="仿宋"/>
          <w:color w:val="auto"/>
          <w:lang w:val="zh-CN" w:eastAsia="zh-CN"/>
        </w:rPr>
        <w:t>《乐山市金口河区区级储备粮轮换管理办法》等具体的储备粮油管理办法和补贴政策，对项目的实施流程、补贴标准等进行了规范，这表明该项目在政策层面具有一定的成熟度。金口河区相关部门在长期的粮油储备管理工作中，逐渐建立了一套较为完善的管理体系，包括储备粮油的收储、轮换、储存管理以及补贴资金的申报、审核和发放等环节。同时，工作人员在实践中积累了丰富的经验，能够熟练应对各种问题，确保项目的顺利实施，体现出项目在管理方面的成熟性</w:t>
      </w:r>
      <w:r>
        <w:rPr>
          <w:rFonts w:hint="eastAsia" w:ascii="仿宋" w:hAnsi="仿宋" w:eastAsia="仿宋" w:cs="仿宋"/>
          <w:bCs/>
          <w:kern w:val="2"/>
          <w:szCs w:val="32"/>
          <w:lang w:eastAsia="zh-CN" w:bidi="ar-SA"/>
        </w:rPr>
        <w:t>。</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政府在财政预算中专门安排了储备粮油费用补贴资金，并且建立了相应的资金管理制度，确保补贴资金能够按时、足额到位，为项目的持续开展提供了有力的资金保障。稳定的资金来源和规范的资金管理是项目成熟度的重要体现。金口河区拥有一定规模的粮油储备仓库等基础设施，并且不断进行升级改造，以满足现代粮油储备的要求。</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综上，该项目审批手续完善，项目成熟度高。根据评分标准，总分9分，得9分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18" w:name="_Toc11035"/>
      <w:bookmarkStart w:id="219" w:name="_Toc27007"/>
      <w:r>
        <w:rPr>
          <w:rFonts w:hint="eastAsia" w:ascii="楷体" w:hAnsi="楷体" w:cs="楷体"/>
          <w:b w:val="0"/>
          <w:kern w:val="44"/>
          <w:szCs w:val="32"/>
          <w:lang w:eastAsia="zh-CN"/>
        </w:rPr>
        <w:t>（三）</w:t>
      </w:r>
      <w:r>
        <w:rPr>
          <w:rFonts w:hint="eastAsia" w:ascii="楷体" w:hAnsi="楷体" w:eastAsia="楷体" w:cs="楷体"/>
          <w:b w:val="0"/>
          <w:kern w:val="44"/>
          <w:szCs w:val="32"/>
          <w:lang w:eastAsia="zh-CN"/>
        </w:rPr>
        <w:t>项目资金来源、</w:t>
      </w:r>
      <w:r>
        <w:rPr>
          <w:rFonts w:hint="eastAsia" w:ascii="楷体" w:hAnsi="楷体" w:eastAsia="楷体" w:cs="楷体"/>
          <w:b w:val="0"/>
          <w:kern w:val="44"/>
          <w:szCs w:val="32"/>
          <w:lang w:val="en-US" w:eastAsia="zh-CN"/>
        </w:rPr>
        <w:t>资金</w:t>
      </w:r>
      <w:r>
        <w:rPr>
          <w:rFonts w:hint="eastAsia" w:ascii="楷体" w:hAnsi="楷体" w:eastAsia="楷体" w:cs="楷体"/>
          <w:b w:val="0"/>
          <w:kern w:val="44"/>
          <w:szCs w:val="32"/>
          <w:lang w:eastAsia="zh-CN"/>
        </w:rPr>
        <w:t>到位可行性</w:t>
      </w:r>
      <w:bookmarkEnd w:id="218"/>
      <w:bookmarkEnd w:id="219"/>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项目资金来源、资金到位可行性方面，指标总分12分，评估得分12分。具体如下</w:t>
      </w:r>
      <w:r>
        <w:rPr>
          <w:rFonts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储备粮油费用在财政预算中安排，补贴资金经区发展改革局、区财政局、区粮储中心、峨眉农发行共同批复，资金来源为财政资金，资金来源渠道符合相关规定。资金筹措程序科学规范。根据评分标准，总分3分，得3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储备粮油费用项目资金来源为政府资金，主要用于粮食2000吨、菜籽油10吨的保管费、轮换费及银行借款利息。保管费、轮换费依据为《乐山市金口河区级储备粮油管理办法》(金发改〔2022〕109号)第七章第三十六条:区级储备粮的储备费用按储备总量(原粮)每年0.06元/斤补贴,轮换费用按储备总量(原粮)每年0.06元/斤补贴;第三十八条:区级储备粮、油的借款利息按农业发展银行同期农副产品收购贷款利率，由区财政局据实拔付。区级储备粮费用利息的拨付实行按季预发，并在次年第一季度内进行清算。资金能足额及时到位，</w:t>
      </w:r>
      <w:r>
        <w:rPr>
          <w:rFonts w:hint="eastAsia" w:ascii="仿宋" w:hAnsi="仿宋" w:eastAsia="仿宋" w:cs="仿宋"/>
          <w:color w:val="auto"/>
          <w:lang w:val="en-US" w:eastAsia="zh-CN"/>
        </w:rPr>
        <w:t>资金拨付符合相关规定</w:t>
      </w:r>
      <w:r>
        <w:rPr>
          <w:rFonts w:hint="eastAsia" w:ascii="仿宋" w:hAnsi="仿宋" w:eastAsia="仿宋" w:cs="仿宋"/>
          <w:color w:val="auto"/>
          <w:lang w:val="zh-CN" w:eastAsia="zh-CN"/>
        </w:rPr>
        <w:t>。根据评分标准，总分9分，得9分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20" w:name="OLE_LINK5"/>
      <w:bookmarkStart w:id="221" w:name="_Toc24779"/>
      <w:bookmarkStart w:id="222" w:name="_Toc9784"/>
      <w:r>
        <w:rPr>
          <w:rFonts w:hint="eastAsia" w:ascii="楷体" w:hAnsi="楷体" w:cs="楷体"/>
          <w:b w:val="0"/>
          <w:kern w:val="44"/>
          <w:szCs w:val="32"/>
          <w:lang w:eastAsia="zh-CN"/>
        </w:rPr>
        <w:t>（四）</w:t>
      </w:r>
      <w:r>
        <w:rPr>
          <w:rFonts w:hint="eastAsia" w:ascii="楷体" w:hAnsi="楷体" w:eastAsia="楷体" w:cs="楷体"/>
          <w:b w:val="0"/>
          <w:kern w:val="44"/>
          <w:szCs w:val="32"/>
          <w:lang w:eastAsia="zh-CN"/>
        </w:rPr>
        <w:t>资金使用计划合理性</w:t>
      </w:r>
      <w:bookmarkEnd w:id="220"/>
      <w:r>
        <w:rPr>
          <w:rFonts w:hint="eastAsia" w:ascii="楷体" w:hAnsi="楷体" w:eastAsia="楷体" w:cs="楷体"/>
          <w:b w:val="0"/>
          <w:kern w:val="44"/>
          <w:szCs w:val="32"/>
          <w:lang w:eastAsia="zh-CN"/>
        </w:rPr>
        <w:t>、资金到位及时性</w:t>
      </w:r>
      <w:bookmarkEnd w:id="221"/>
      <w:bookmarkEnd w:id="222"/>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资金使用计划合理性、资金到位及时性方面，指标总分12分，评估得分9分。具体如下</w:t>
      </w:r>
      <w:r>
        <w:rPr>
          <w:rFonts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区粮储中心提供的《金口河区储备粮油费用补贴预算及明细》仅列示了轮换费用、保管费用的测算金额，未对利息费用进行测算。</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2023年、2024年本项目收到的财政拨付金额分别为705,755.71元、698,887.04元，区粮储中心选择金额较高</w:t>
      </w:r>
      <w:r>
        <w:rPr>
          <w:rFonts w:hint="eastAsia" w:ascii="仿宋" w:hAnsi="仿宋" w:eastAsia="仿宋" w:cs="仿宋"/>
          <w:color w:val="auto"/>
          <w:lang w:val="en-US" w:eastAsia="zh-CN"/>
        </w:rPr>
        <w:t>的</w:t>
      </w:r>
      <w:r>
        <w:rPr>
          <w:rFonts w:hint="eastAsia" w:ascii="仿宋" w:hAnsi="仿宋" w:eastAsia="仿宋" w:cs="仿宋"/>
          <w:color w:val="auto"/>
          <w:lang w:val="zh-CN" w:eastAsia="zh-CN"/>
        </w:rPr>
        <w:t>2023年70.5</w:t>
      </w:r>
      <w:r>
        <w:rPr>
          <w:rFonts w:hint="eastAsia" w:ascii="仿宋" w:hAnsi="仿宋" w:eastAsia="仿宋" w:cs="仿宋"/>
          <w:color w:val="auto"/>
          <w:lang w:val="en-US" w:eastAsia="zh-CN"/>
        </w:rPr>
        <w:t>0</w:t>
      </w:r>
      <w:r>
        <w:rPr>
          <w:rFonts w:hint="eastAsia" w:ascii="仿宋" w:hAnsi="仿宋" w:eastAsia="仿宋" w:cs="仿宋"/>
          <w:color w:val="auto"/>
          <w:lang w:val="zh-CN" w:eastAsia="zh-CN"/>
        </w:rPr>
        <w:t>万元为本项目2025年资金使用计划金额。</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资金使用计划中贷款利息的编制依据不够充分合理，资金拨付计划安排按《乐山市金口河区级储备粮油管理办法》(金发改〔2022〕109号)规定执行。根据评分标准，总分6分，得3分。</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2.资金到位及时性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项目资金全部为政府资金，总投资估算70.5</w:t>
      </w:r>
      <w:r>
        <w:rPr>
          <w:rFonts w:hint="eastAsia" w:ascii="仿宋" w:hAnsi="仿宋" w:eastAsia="仿宋" w:cs="仿宋"/>
          <w:color w:val="auto"/>
          <w:lang w:val="en-US" w:eastAsia="zh-CN"/>
        </w:rPr>
        <w:t>0</w:t>
      </w:r>
      <w:r>
        <w:rPr>
          <w:rFonts w:hint="eastAsia" w:ascii="仿宋" w:hAnsi="仿宋" w:eastAsia="仿宋" w:cs="仿宋"/>
          <w:color w:val="auto"/>
          <w:lang w:val="zh-CN" w:eastAsia="zh-CN"/>
        </w:rPr>
        <w:t>万元。</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根据《乐山市金口河区级储备粮油管理办法》(金发改〔2022〕109号)第三十八条:区级储备粮、油的借款利息按农业发展银行同期农副产品收购贷款利率，由区财政局据实拔付。区级储备粮费用利息的拨付实行按季预发，并在次年第一季度内进行清算。根据区粮储中心提供的</w:t>
      </w:r>
      <w:r>
        <w:rPr>
          <w:rFonts w:hint="eastAsia" w:ascii="仿宋" w:hAnsi="仿宋" w:eastAsia="仿宋" w:cs="仿宋"/>
          <w:color w:val="auto"/>
          <w:lang w:val="en-US" w:eastAsia="zh-CN"/>
        </w:rPr>
        <w:t>2023年、2024年财政拨付资金等</w:t>
      </w:r>
      <w:r>
        <w:rPr>
          <w:rFonts w:hint="eastAsia" w:ascii="仿宋" w:hAnsi="仿宋" w:eastAsia="仿宋" w:cs="仿宋"/>
          <w:color w:val="auto"/>
          <w:lang w:val="zh-CN" w:eastAsia="zh-CN"/>
        </w:rPr>
        <w:t>相关资料显示，资金</w:t>
      </w:r>
      <w:r>
        <w:rPr>
          <w:rFonts w:hint="eastAsia" w:ascii="仿宋" w:hAnsi="仿宋" w:eastAsia="仿宋" w:cs="仿宋"/>
          <w:color w:val="auto"/>
          <w:lang w:val="en-US" w:eastAsia="zh-CN"/>
        </w:rPr>
        <w:t>足额到位且</w:t>
      </w:r>
      <w:r>
        <w:rPr>
          <w:rFonts w:hint="eastAsia" w:ascii="仿宋" w:hAnsi="仿宋" w:eastAsia="仿宋" w:cs="仿宋"/>
          <w:color w:val="auto"/>
          <w:lang w:val="zh-CN" w:eastAsia="zh-CN"/>
        </w:rPr>
        <w:t>到位及时。根据评分标准，总分6分，得6分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23" w:name="_Toc23225"/>
      <w:bookmarkStart w:id="224" w:name="_Toc30218"/>
      <w:r>
        <w:rPr>
          <w:rFonts w:hint="eastAsia" w:ascii="楷体" w:hAnsi="楷体" w:cs="楷体"/>
          <w:b w:val="0"/>
          <w:kern w:val="44"/>
          <w:szCs w:val="32"/>
          <w:lang w:eastAsia="zh-CN"/>
        </w:rPr>
        <w:t>（五）</w:t>
      </w:r>
      <w:r>
        <w:rPr>
          <w:rFonts w:hint="eastAsia" w:ascii="楷体" w:hAnsi="楷体" w:eastAsia="楷体" w:cs="楷体"/>
          <w:b w:val="0"/>
          <w:kern w:val="44"/>
          <w:szCs w:val="32"/>
          <w:lang w:eastAsia="zh-CN"/>
        </w:rPr>
        <w:t>项目绩效目标明确性、合理性</w:t>
      </w:r>
      <w:bookmarkEnd w:id="223"/>
      <w:bookmarkEnd w:id="224"/>
    </w:p>
    <w:p>
      <w:pPr>
        <w:ind w:firstLine="640"/>
        <w:rPr>
          <w:rFonts w:hint="eastAsia" w:ascii="仿宋" w:hAnsi="仿宋" w:eastAsia="仿宋" w:cs="仿宋"/>
          <w:szCs w:val="32"/>
          <w:lang w:eastAsia="zh-CN"/>
        </w:rPr>
      </w:pPr>
      <w:r>
        <w:rPr>
          <w:rFonts w:hint="eastAsia" w:ascii="仿宋" w:hAnsi="仿宋" w:eastAsia="仿宋" w:cs="仿宋"/>
          <w:color w:val="auto"/>
          <w:lang w:val="en-US" w:eastAsia="zh-CN"/>
        </w:rPr>
        <w:t>项目</w:t>
      </w:r>
      <w:r>
        <w:rPr>
          <w:rFonts w:hint="eastAsia" w:ascii="仿宋" w:hAnsi="仿宋" w:eastAsia="仿宋" w:cs="仿宋"/>
          <w:color w:val="auto"/>
          <w:lang w:val="zh-CN" w:eastAsia="zh-CN"/>
        </w:rPr>
        <w:t>绩效目标</w:t>
      </w:r>
      <w:r>
        <w:rPr>
          <w:rFonts w:hint="eastAsia" w:ascii="仿宋" w:hAnsi="仿宋" w:eastAsia="仿宋" w:cs="仿宋"/>
          <w:color w:val="auto"/>
          <w:lang w:val="en-US" w:eastAsia="zh-CN"/>
        </w:rPr>
        <w:t>明确性、</w:t>
      </w:r>
      <w:r>
        <w:rPr>
          <w:rFonts w:hint="eastAsia" w:ascii="仿宋" w:hAnsi="仿宋" w:eastAsia="仿宋" w:cs="仿宋"/>
          <w:color w:val="auto"/>
          <w:lang w:val="zh-CN" w:eastAsia="zh-CN"/>
        </w:rPr>
        <w:t>合理性</w:t>
      </w:r>
      <w:bookmarkStart w:id="225" w:name="OLE_LINK6"/>
      <w:r>
        <w:rPr>
          <w:rFonts w:hint="eastAsia" w:ascii="仿宋" w:hAnsi="仿宋" w:eastAsia="仿宋" w:cs="仿宋"/>
          <w:color w:val="auto"/>
          <w:lang w:val="zh-CN" w:eastAsia="zh-CN"/>
        </w:rPr>
        <w:t>方面，指标总分13分，评估得分13分。具体如下</w:t>
      </w:r>
      <w:r>
        <w:rPr>
          <w:rFonts w:hint="eastAsia" w:ascii="仿宋" w:hAnsi="仿宋" w:eastAsia="仿宋" w:cs="仿宋"/>
          <w:szCs w:val="32"/>
          <w:lang w:eastAsia="zh-CN"/>
        </w:rPr>
        <w:t>：</w:t>
      </w:r>
      <w:bookmarkEnd w:id="225"/>
    </w:p>
    <w:p>
      <w:pPr>
        <w:ind w:firstLine="640"/>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本次事前绩效评估根据《</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进行，按照事前评估应当遵守的基本内容设计本项目个性评价指标，确保绩效目标可评、可量、可用于指导项目实施阶段绩效评价。</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该项目绩效目标设定明确，与年度工作目标一致，并且绩效目标的编制内容符合《项目支出绩效评价管理办法》（财预〔2020〕10号）政策规定，与项目内容高度相关。根据评分标准，总分7分，得7分</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2.目标合理性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根据《</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，本项目绩效目标重点反映了储备粮油费用补贴的产出数量、质量、时效、成本，还包括满意度绩效指标。</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通过项目的实施，可在自然灾害、市场波动等特殊时期保障区域内粮油的稳定供应，避免出现供应短缺和价格大幅波动，确保居民基本生活需求得到满足。可在疫情防控、地震等紧急情况下，储备粮油可迅速投放市场，维持社会稳定。政府可通过投放或收购储备粮油来调节市场供求，稳定粮油价格，保护消费者和农民的利益。有助于稳定市场参与者的预期，避免因恐慌性抢购或抛售导致市场秩序混乱。有助于稳定当地粮油市场价格，保障农民收入，从而激励农民种粮积极性，促进区域内农业生产的稳定发展，推动农业产业结构优化升级。</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因此，本项目的绩效目标合理，指标细化、量化、合理可考核且与申报预算的资金量相匹配。根据评分标准，总分6分，得6分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26" w:name="_Toc29858"/>
      <w:bookmarkStart w:id="227" w:name="_Toc22418"/>
      <w:r>
        <w:rPr>
          <w:rFonts w:hint="eastAsia" w:ascii="楷体" w:hAnsi="楷体" w:cs="楷体"/>
          <w:b w:val="0"/>
          <w:kern w:val="44"/>
          <w:szCs w:val="32"/>
          <w:lang w:eastAsia="zh-CN"/>
        </w:rPr>
        <w:t>（六）</w:t>
      </w:r>
      <w:r>
        <w:rPr>
          <w:rFonts w:hint="eastAsia" w:ascii="楷体" w:hAnsi="楷体" w:eastAsia="楷体" w:cs="楷体"/>
          <w:b w:val="0"/>
          <w:kern w:val="44"/>
          <w:szCs w:val="32"/>
          <w:lang w:eastAsia="zh-CN"/>
        </w:rPr>
        <w:t>项目管理办法执行的有效性</w:t>
      </w:r>
      <w:bookmarkEnd w:id="226"/>
      <w:bookmarkEnd w:id="227"/>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项目管理办法执行的有效性方面，指标总分8分，评估得分8分。具体如下：</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《乐山市金口河区区级储备粮管理办法》</w:t>
      </w:r>
      <w:r>
        <w:rPr>
          <w:rFonts w:hint="eastAsia" w:ascii="仿宋" w:hAnsi="仿宋" w:eastAsia="仿宋" w:cs="仿宋"/>
          <w:color w:val="auto"/>
          <w:lang w:val="en-US" w:eastAsia="zh-CN"/>
        </w:rPr>
        <w:t>经</w:t>
      </w:r>
      <w:r>
        <w:rPr>
          <w:rFonts w:hint="eastAsia" w:ascii="仿宋" w:hAnsi="仿宋" w:eastAsia="仿宋" w:cs="仿宋"/>
          <w:color w:val="auto"/>
          <w:lang w:val="zh-CN" w:eastAsia="zh-CN"/>
        </w:rPr>
        <w:t>区发展改革局、区财政局、区粮储中心、峨眉农发行</w:t>
      </w:r>
      <w:r>
        <w:rPr>
          <w:rFonts w:hint="eastAsia" w:ascii="仿宋" w:hAnsi="仿宋" w:eastAsia="仿宋" w:cs="仿宋"/>
          <w:color w:val="auto"/>
          <w:lang w:val="en-US" w:eastAsia="zh-CN"/>
        </w:rPr>
        <w:t>共同印发。该办法</w:t>
      </w:r>
      <w:r>
        <w:rPr>
          <w:rFonts w:hint="eastAsia" w:ascii="仿宋" w:hAnsi="仿宋" w:eastAsia="仿宋" w:cs="仿宋"/>
          <w:color w:val="auto"/>
          <w:lang w:val="zh-CN" w:eastAsia="zh-CN"/>
        </w:rPr>
        <w:t>对地方粮食储备的计划、储存、轮换、动用、监督管理等活动进行了全面规范，明确了地方粮食储备管理各方主体责任，健全了地方政府粮食储备管理体系，严格了地方政府粮食储备动用程序，加强了地方粮食储备监督管理力度，对于保障区域粮食安全具有重要意义。</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在项目实施过程中，区粮储中心严格按照《乐山市金口河区区级储备粮管理办法》对轮换粮油进行</w:t>
      </w:r>
      <w:r>
        <w:rPr>
          <w:rFonts w:hint="eastAsia" w:ascii="仿宋" w:hAnsi="仿宋" w:eastAsia="仿宋" w:cs="仿宋"/>
          <w:color w:val="auto"/>
          <w:lang w:val="en-US" w:eastAsia="zh-CN"/>
        </w:rPr>
        <w:t>存储、</w:t>
      </w:r>
      <w:r>
        <w:rPr>
          <w:rFonts w:hint="eastAsia" w:ascii="仿宋" w:hAnsi="仿宋" w:eastAsia="仿宋" w:cs="仿宋"/>
          <w:color w:val="auto"/>
          <w:lang w:val="zh-CN" w:eastAsia="zh-CN"/>
        </w:rPr>
        <w:t>管理、监督和轮换，在项目实施过程中执行到位。根据评分标准，总分8分，得8分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28" w:name="_Toc17849"/>
      <w:bookmarkStart w:id="229" w:name="_Toc22324"/>
      <w:r>
        <w:rPr>
          <w:rFonts w:hint="eastAsia" w:ascii="楷体" w:hAnsi="楷体" w:cs="楷体"/>
          <w:b w:val="0"/>
          <w:kern w:val="44"/>
          <w:szCs w:val="32"/>
          <w:lang w:eastAsia="zh-CN"/>
        </w:rPr>
        <w:t>（七）</w:t>
      </w:r>
      <w:r>
        <w:rPr>
          <w:rFonts w:hint="eastAsia" w:ascii="楷体" w:hAnsi="楷体" w:eastAsia="楷体" w:cs="楷体"/>
          <w:b w:val="0"/>
          <w:kern w:val="44"/>
          <w:szCs w:val="32"/>
          <w:lang w:eastAsia="zh-CN"/>
        </w:rPr>
        <w:t>项目实施成果合格性</w:t>
      </w:r>
      <w:bookmarkEnd w:id="228"/>
      <w:bookmarkEnd w:id="229"/>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项目实施成果合格情况方面，指标总分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分，评估得分</w:t>
      </w:r>
      <w:r>
        <w:rPr>
          <w:rFonts w:hint="eastAsia" w:ascii="仿宋" w:hAnsi="仿宋" w:eastAsia="仿宋" w:cs="仿宋"/>
          <w:color w:val="auto"/>
          <w:lang w:val="en-US" w:eastAsia="zh-CN"/>
        </w:rPr>
        <w:t>12</w:t>
      </w:r>
      <w:r>
        <w:rPr>
          <w:rFonts w:hint="eastAsia" w:ascii="仿宋" w:hAnsi="仿宋" w:eastAsia="仿宋" w:cs="仿宋"/>
          <w:color w:val="auto"/>
          <w:lang w:val="zh-CN" w:eastAsia="zh-CN"/>
        </w:rPr>
        <w:t>分。具体如下</w:t>
      </w:r>
      <w:r>
        <w:rPr>
          <w:rFonts w:hint="eastAsia" w:ascii="仿宋" w:hAnsi="仿宋" w:eastAsia="仿宋" w:cs="仿宋"/>
          <w:szCs w:val="32"/>
          <w:lang w:eastAsia="zh-CN"/>
        </w:rPr>
        <w:t>：</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1.服务数量合格性</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经《乐山市金口河区人民政府关于2012年度新增1000吨区级储备粮食的请示的批复》文件同意，2012年度新增1000吨区级储备粮食，使全区地方储备粮规模达到2000吨。</w:t>
      </w:r>
      <w:r>
        <w:rPr>
          <w:rFonts w:hint="eastAsia" w:ascii="仿宋" w:hAnsi="仿宋" w:eastAsia="仿宋" w:cs="仿宋"/>
          <w:color w:val="auto"/>
          <w:highlight w:val="none"/>
          <w:lang w:val="en-US" w:eastAsia="zh-CN"/>
        </w:rPr>
        <w:t>截止2024年底</w:t>
      </w:r>
      <w:r>
        <w:rPr>
          <w:rFonts w:hint="eastAsia" w:ascii="仿宋" w:hAnsi="仿宋" w:eastAsia="仿宋" w:cs="仿宋"/>
          <w:color w:val="auto"/>
          <w:highlight w:val="none"/>
          <w:lang w:val="zh-CN" w:eastAsia="zh-CN"/>
        </w:rPr>
        <w:t>区粮储中心仓库存</w:t>
      </w:r>
      <w:r>
        <w:rPr>
          <w:rFonts w:hint="eastAsia" w:ascii="仿宋" w:hAnsi="仿宋" w:eastAsia="仿宋" w:cs="仿宋"/>
          <w:color w:val="auto"/>
          <w:highlight w:val="none"/>
          <w:lang w:val="en-US" w:eastAsia="zh-CN"/>
        </w:rPr>
        <w:t>储</w:t>
      </w:r>
      <w:r>
        <w:rPr>
          <w:rFonts w:hint="eastAsia" w:ascii="仿宋" w:hAnsi="仿宋" w:eastAsia="仿宋" w:cs="仿宋"/>
          <w:color w:val="auto"/>
          <w:highlight w:val="none"/>
          <w:lang w:val="zh-CN" w:eastAsia="zh-CN"/>
        </w:rPr>
        <w:t>粮食2000吨、菜籽油10吨，已完成既定储备数量。</w:t>
      </w:r>
      <w:r>
        <w:rPr>
          <w:rFonts w:hint="eastAsia" w:ascii="仿宋" w:hAnsi="仿宋" w:eastAsia="仿宋" w:cs="仿宋"/>
          <w:color w:val="auto"/>
          <w:lang w:val="zh-CN" w:eastAsia="zh-CN"/>
        </w:rPr>
        <w:t>在保管、轮换过程中，严格按照《乐山市金口河区区级储备粮管理办法》执行。保管、轮换数量与实际数</w:t>
      </w:r>
      <w:r>
        <w:rPr>
          <w:rFonts w:hint="eastAsia" w:ascii="仿宋" w:hAnsi="仿宋" w:eastAsia="仿宋" w:cs="仿宋"/>
          <w:color w:val="auto"/>
          <w:lang w:val="en-US" w:eastAsia="zh-CN"/>
        </w:rPr>
        <w:t>量、批复数量</w:t>
      </w:r>
      <w:r>
        <w:rPr>
          <w:rFonts w:hint="eastAsia" w:ascii="仿宋" w:hAnsi="仿宋" w:eastAsia="仿宋" w:cs="仿宋"/>
          <w:color w:val="auto"/>
          <w:lang w:val="zh-CN" w:eastAsia="zh-CN"/>
        </w:rPr>
        <w:t>相符。</w:t>
      </w:r>
      <w:bookmarkStart w:id="230" w:name="OLE_LINK8"/>
      <w:r>
        <w:rPr>
          <w:rFonts w:hint="eastAsia" w:ascii="仿宋" w:hAnsi="仿宋" w:eastAsia="仿宋" w:cs="仿宋"/>
          <w:color w:val="auto"/>
          <w:lang w:val="zh-CN" w:eastAsia="zh-CN"/>
        </w:rPr>
        <w:t>根据评分标准，总分3分，得3分</w:t>
      </w:r>
      <w:r>
        <w:rPr>
          <w:rFonts w:hint="eastAsia" w:ascii="仿宋" w:hAnsi="仿宋" w:eastAsia="仿宋" w:cs="仿宋"/>
          <w:szCs w:val="32"/>
          <w:lang w:eastAsia="zh-CN"/>
        </w:rPr>
        <w:t>。</w:t>
      </w:r>
      <w:bookmarkEnd w:id="230"/>
    </w:p>
    <w:p>
      <w:pPr>
        <w:ind w:firstLine="640"/>
        <w:rPr>
          <w:rFonts w:hint="eastAsia" w:ascii="仿宋" w:hAnsi="仿宋" w:eastAsia="仿宋" w:cs="仿宋"/>
          <w:szCs w:val="32"/>
          <w:lang w:eastAsia="zh-CN"/>
        </w:rPr>
      </w:pPr>
      <w:r>
        <w:rPr>
          <w:rFonts w:hint="eastAsia" w:ascii="仿宋" w:hAnsi="仿宋" w:eastAsia="仿宋" w:cs="仿宋"/>
          <w:szCs w:val="32"/>
          <w:lang w:eastAsia="zh-CN"/>
        </w:rPr>
        <w:t>2.服务质量合格性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按照《乐山市金口河区区级储备粮管理办法》第二十一条承储企业入库的区级储备粮，应当是最近粮食生产季生产的新粮。原粮须符合国家标准三级及以上，菜籽油须符合国家标准二级及以上，大米须符合国家标准二级及以上，采购的成品粮油原则上应为签订采购合同后30天内加工的产品，各项常规质量指标及包装标签标识符合国家标准要求，符合食品卫生安全标准。第二十二条区级储备粮入库前需进行空仓(罐)容验收入库后需进行数量、质量验收，验收均合格后方可确认为区级储备粮。</w:t>
      </w:r>
    </w:p>
    <w:p>
      <w:pPr>
        <w:ind w:firstLine="640"/>
        <w:rPr>
          <w:rFonts w:hint="eastAsia" w:ascii="仿宋" w:hAnsi="仿宋" w:eastAsia="仿宋" w:cs="仿宋"/>
          <w:szCs w:val="32"/>
          <w:lang w:eastAsia="zh-CN"/>
        </w:rPr>
      </w:pPr>
      <w:bookmarkStart w:id="231" w:name="OLE_LINK7"/>
      <w:r>
        <w:rPr>
          <w:rFonts w:hint="eastAsia" w:ascii="仿宋" w:hAnsi="仿宋" w:eastAsia="仿宋" w:cs="仿宋"/>
          <w:color w:val="auto"/>
          <w:lang w:val="zh-CN" w:eastAsia="zh-CN"/>
        </w:rPr>
        <w:t>区粮储中心严格按照《四川省地方粮食储备管理办法》及相关规定执行，采购的储备粮油均通过乐山市粮油食品监测站进行检验，达到第二十一条之规定。根据评分标准，总分</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分，得</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分</w:t>
      </w:r>
      <w:r>
        <w:rPr>
          <w:rFonts w:hint="eastAsia" w:ascii="仿宋" w:hAnsi="仿宋" w:eastAsia="仿宋" w:cs="仿宋"/>
          <w:szCs w:val="32"/>
          <w:lang w:eastAsia="zh-CN"/>
        </w:rPr>
        <w:t>。</w:t>
      </w:r>
      <w:bookmarkEnd w:id="231"/>
    </w:p>
    <w:p>
      <w:pPr>
        <w:ind w:firstLine="640"/>
        <w:rPr>
          <w:rFonts w:hint="eastAsia" w:ascii="仿宋" w:hAnsi="仿宋" w:eastAsia="仿宋" w:cs="仿宋"/>
          <w:szCs w:val="32"/>
          <w:lang w:eastAsia="zh-CN"/>
        </w:rPr>
      </w:pPr>
      <w:r>
        <w:rPr>
          <w:rFonts w:hint="eastAsia" w:ascii="仿宋" w:hAnsi="仿宋" w:eastAsia="仿宋" w:cs="仿宋"/>
          <w:szCs w:val="32"/>
          <w:lang w:eastAsia="zh-CN"/>
        </w:rPr>
        <w:t>3.服务时效合格性</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区粮储中心按照《乐山市金口河区区级储备粮管理办法》第二十六条区级储备粮轮换周期原则上执行稻谷3年、小麦4年、玉米2年、散装菜籽油2年。成品粮油原则上每年至少轮换1次，且至少在保质期到期前3个月进行轮换。</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区粮储中心严格按照《乐山市金口河区区级储备粮管理办法》及相关规定执行，采购的储备粮油轮换周期均在规定时间内。根据评分标准，总分3分，得3分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32" w:name="_Toc5168"/>
      <w:bookmarkStart w:id="233" w:name="_Toc26124"/>
      <w:r>
        <w:rPr>
          <w:rFonts w:hint="eastAsia" w:ascii="楷体" w:hAnsi="楷体" w:cs="楷体"/>
          <w:b w:val="0"/>
          <w:kern w:val="44"/>
          <w:szCs w:val="32"/>
          <w:lang w:eastAsia="zh-CN"/>
        </w:rPr>
        <w:t>（八）</w:t>
      </w:r>
      <w:r>
        <w:rPr>
          <w:rFonts w:hint="eastAsia" w:ascii="楷体" w:hAnsi="楷体" w:eastAsia="楷体" w:cs="楷体"/>
          <w:b w:val="0"/>
          <w:kern w:val="44"/>
          <w:szCs w:val="32"/>
          <w:lang w:eastAsia="zh-CN"/>
        </w:rPr>
        <w:t>项目实施的可持续性</w:t>
      </w:r>
      <w:bookmarkEnd w:id="232"/>
      <w:bookmarkEnd w:id="233"/>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项目实施的可持续性方面，指标总分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分，评估得分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分。具体如下：</w:t>
      </w:r>
    </w:p>
    <w:p>
      <w:pPr>
        <w:ind w:firstLine="640"/>
        <w:rPr>
          <w:rFonts w:hint="eastAsia" w:ascii="仿宋" w:hAnsi="仿宋" w:eastAsia="仿宋" w:cs="仿宋"/>
          <w:color w:val="auto"/>
          <w:lang w:val="zh-CN" w:eastAsia="zh-CN"/>
        </w:rPr>
      </w:pPr>
      <w:r>
        <w:rPr>
          <w:rFonts w:hint="eastAsia" w:ascii="仿宋" w:hAnsi="仿宋" w:eastAsia="仿宋" w:cs="仿宋"/>
          <w:color w:val="auto"/>
          <w:lang w:val="zh-CN" w:eastAsia="zh-CN"/>
        </w:rPr>
        <w:t>储备粮油费用补贴项目有《乐山市金口河区区级储备粮管理办法》等政策文件为依据，明确了储备粮油的管理规范和费用补贴标准，为项目实施提供了政策层面的保障。从资金来源看，储备粮油费用补贴由区财政承担，有相对稳定的财政资金来源渠道，能够为项目的持续实施提供资金支持。储备粮油对于保障金口河区居民、部队、学校口粮供应，维护全区粮食流通秩序，保障粮食供应总量平衡和社会稳定具有重要意义，社会对储备粮油有持续的需求，这是项目可持续实施的内在动力。</w:t>
      </w:r>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金口河区在储备粮油管理方面有明确的规定，包括对承储企业的要求、储备粮油的质量监管等，如承储企业需按规定对库存进行质量和品质检验，建立质量安全档案等，规范的管理有助于提高项目实施的效率和效果，保障项目的可持续性。根据评分标准，总分</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分，得</w:t>
      </w:r>
      <w:r>
        <w:rPr>
          <w:rFonts w:hint="eastAsia" w:ascii="仿宋" w:hAnsi="仿宋" w:eastAsia="仿宋" w:cs="仿宋"/>
          <w:color w:val="auto"/>
          <w:lang w:val="en-US" w:eastAsia="zh-CN"/>
        </w:rPr>
        <w:t>9</w:t>
      </w:r>
      <w:r>
        <w:rPr>
          <w:rFonts w:hint="eastAsia" w:ascii="仿宋" w:hAnsi="仿宋" w:eastAsia="仿宋" w:cs="仿宋"/>
          <w:color w:val="auto"/>
          <w:lang w:val="zh-CN" w:eastAsia="zh-CN"/>
        </w:rPr>
        <w:t>分</w:t>
      </w:r>
      <w:r>
        <w:rPr>
          <w:rFonts w:hint="eastAsia" w:ascii="仿宋" w:hAnsi="仿宋" w:eastAsia="仿宋" w:cs="仿宋"/>
          <w:szCs w:val="32"/>
          <w:lang w:eastAsia="zh-CN"/>
        </w:rPr>
        <w:t>。</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34" w:name="_Toc24831"/>
      <w:bookmarkStart w:id="235" w:name="_Toc18699"/>
      <w:r>
        <w:rPr>
          <w:rFonts w:hint="eastAsia" w:ascii="楷体" w:hAnsi="楷体" w:cs="楷体"/>
          <w:b w:val="0"/>
          <w:kern w:val="44"/>
          <w:szCs w:val="32"/>
          <w:lang w:eastAsia="zh-CN"/>
        </w:rPr>
        <w:t>（九）</w:t>
      </w:r>
      <w:r>
        <w:rPr>
          <w:rFonts w:hint="eastAsia" w:ascii="楷体" w:hAnsi="楷体" w:eastAsia="楷体" w:cs="楷体"/>
          <w:b w:val="0"/>
          <w:kern w:val="44"/>
          <w:szCs w:val="32"/>
          <w:lang w:eastAsia="zh-CN"/>
        </w:rPr>
        <w:t>总体结论</w:t>
      </w:r>
      <w:bookmarkEnd w:id="234"/>
      <w:bookmarkEnd w:id="235"/>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评估小组通过对前述8个一级指标、1</w:t>
      </w:r>
      <w:r>
        <w:rPr>
          <w:rFonts w:hint="eastAsia" w:ascii="仿宋" w:hAnsi="仿宋" w:eastAsia="仿宋" w:cs="仿宋"/>
          <w:color w:val="auto"/>
          <w:lang w:val="en-US" w:eastAsia="zh-CN"/>
        </w:rPr>
        <w:t>6</w:t>
      </w:r>
      <w:r>
        <w:rPr>
          <w:rFonts w:hint="eastAsia" w:ascii="仿宋" w:hAnsi="仿宋" w:eastAsia="仿宋" w:cs="仿宋"/>
          <w:color w:val="auto"/>
          <w:lang w:val="zh-CN" w:eastAsia="zh-CN"/>
        </w:rPr>
        <w:t>个二级指标以及3</w:t>
      </w:r>
      <w:r>
        <w:rPr>
          <w:rFonts w:hint="eastAsia" w:ascii="仿宋" w:hAnsi="仿宋" w:eastAsia="仿宋" w:cs="仿宋"/>
          <w:color w:val="auto"/>
          <w:lang w:val="en-US" w:eastAsia="zh-CN"/>
        </w:rPr>
        <w:t>1</w:t>
      </w:r>
      <w:r>
        <w:rPr>
          <w:rFonts w:hint="eastAsia" w:ascii="仿宋" w:hAnsi="仿宋" w:eastAsia="仿宋" w:cs="仿宋"/>
          <w:color w:val="auto"/>
          <w:lang w:val="zh-CN" w:eastAsia="zh-CN"/>
        </w:rPr>
        <w:t>个三级指标评分的分析评估，全面评估该项目的预期绩效情况，评估总分9</w:t>
      </w:r>
      <w:r>
        <w:rPr>
          <w:rFonts w:hint="eastAsia" w:ascii="仿宋" w:hAnsi="仿宋" w:eastAsia="仿宋" w:cs="仿宋"/>
          <w:color w:val="auto"/>
          <w:lang w:val="en-US" w:eastAsia="zh-CN"/>
        </w:rPr>
        <w:t>7</w:t>
      </w:r>
      <w:r>
        <w:rPr>
          <w:rFonts w:hint="eastAsia" w:ascii="仿宋" w:hAnsi="仿宋" w:eastAsia="仿宋" w:cs="仿宋"/>
          <w:color w:val="auto"/>
          <w:lang w:val="zh-CN" w:eastAsia="zh-CN"/>
        </w:rPr>
        <w:t>分。储备粮油费用补贴项目的实施，能够确保在各种情况下，金口河区居民都有充足且稳定的粮油供应，满足人们的基本生活需求，维持正常的生活秩序。通过补贴维持合理的粮油储备，在市场供应不足时投放储备粮油，增加市场供给，平抑物价，防止因供求关系失衡导致粮油价格大幅上涨，让广大消费者能够以合理的价格购买到粮油，保障了消费者的利益。本项目通过社会调查、效益分析、对比分析等方法评估，综合考虑项目绩效目标和项目实际情况，预期绩效可实现性强，满足《</w:t>
      </w:r>
      <w:r>
        <w:rPr>
          <w:rFonts w:hint="eastAsia" w:ascii="仿宋" w:hAnsi="仿宋" w:eastAsia="仿宋" w:cs="仿宋"/>
          <w:color w:val="auto"/>
          <w:lang w:val="zh-CN" w:eastAsia="zh-CN"/>
        </w:rPr>
        <w:fldChar w:fldCharType="begin"/>
      </w:r>
      <w:r>
        <w:rPr>
          <w:rFonts w:hint="eastAsia" w:ascii="仿宋" w:hAnsi="仿宋" w:eastAsia="仿宋" w:cs="仿宋"/>
          <w:color w:val="auto"/>
          <w:lang w:val="zh-CN" w:eastAsia="zh-CN"/>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color w:val="auto"/>
          <w:lang w:val="zh-CN" w:eastAsia="zh-CN"/>
        </w:rPr>
        <w:fldChar w:fldCharType="separate"/>
      </w:r>
      <w:r>
        <w:rPr>
          <w:rFonts w:hint="eastAsia" w:ascii="仿宋" w:hAnsi="仿宋" w:eastAsia="仿宋" w:cs="仿宋"/>
          <w:color w:val="auto"/>
          <w:lang w:val="zh-CN" w:eastAsia="zh-CN"/>
        </w:rPr>
        <w:t>四川省财政厅关于印发&lt;四川省预算评审管理实施细则（试行）&gt;的通知》（川财预〔2024〕38号）</w:t>
      </w:r>
      <w:r>
        <w:rPr>
          <w:rFonts w:hint="eastAsia" w:ascii="仿宋" w:hAnsi="仿宋" w:eastAsia="仿宋" w:cs="仿宋"/>
          <w:color w:val="auto"/>
          <w:lang w:val="zh-CN" w:eastAsia="zh-CN"/>
        </w:rPr>
        <w:fldChar w:fldCharType="end"/>
      </w:r>
      <w:r>
        <w:rPr>
          <w:rFonts w:hint="eastAsia" w:ascii="仿宋" w:hAnsi="仿宋" w:eastAsia="仿宋" w:cs="仿宋"/>
          <w:color w:val="auto"/>
          <w:lang w:val="zh-CN" w:eastAsia="zh-CN"/>
        </w:rPr>
        <w:t>要求，综合绩效评估结论为“建议实施”</w:t>
      </w:r>
      <w:r>
        <w:rPr>
          <w:rFonts w:ascii="仿宋" w:hAnsi="仿宋" w:eastAsia="仿宋" w:cs="仿宋"/>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6" w:name="_Toc18341"/>
      <w:bookmarkStart w:id="237" w:name="_Toc22888"/>
      <w:r>
        <w:rPr>
          <w:rFonts w:hint="eastAsia" w:ascii="黑体" w:hAnsi="黑体" w:eastAsia="黑体" w:cs="黑体"/>
          <w:b w:val="0"/>
          <w:szCs w:val="32"/>
          <w:lang w:eastAsia="zh-CN"/>
        </w:rPr>
        <w:t>五、相关建议</w:t>
      </w:r>
      <w:bookmarkEnd w:id="236"/>
      <w:bookmarkEnd w:id="237"/>
    </w:p>
    <w:p>
      <w:pPr>
        <w:pStyle w:val="3"/>
        <w:numPr>
          <w:numId w:val="0"/>
        </w:numPr>
        <w:spacing w:before="0" w:beforeLines="0" w:after="0" w:afterLines="0"/>
        <w:ind w:left="643" w:leftChars="0"/>
        <w:rPr>
          <w:rFonts w:hint="default" w:ascii="楷体" w:hAnsi="楷体" w:eastAsia="楷体" w:cs="楷体"/>
          <w:b w:val="0"/>
          <w:kern w:val="44"/>
          <w:szCs w:val="32"/>
          <w:lang w:val="en-US" w:eastAsia="zh-CN"/>
        </w:rPr>
      </w:pPr>
      <w:bookmarkStart w:id="238" w:name="_Toc11379"/>
      <w:r>
        <w:rPr>
          <w:rFonts w:hint="eastAsia" w:ascii="楷体" w:hAnsi="楷体" w:eastAsia="楷体" w:cs="楷体"/>
          <w:b w:val="0"/>
          <w:kern w:val="44"/>
          <w:szCs w:val="32"/>
          <w:lang w:val="en-US" w:eastAsia="zh-CN"/>
        </w:rPr>
        <w:t>储备粮、油借款利息测算依据不充分</w:t>
      </w:r>
      <w:bookmarkEnd w:id="238"/>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根据《乐山市金口河区级储备粮油管理办法》(金发改〔</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022〕109号)第三十八条:区级储备粮、油的借款利息按农业发展银行同期农副产品收购贷款利率，由区财政局据实拔付。区级储备粮费用利息的拨付实行按季预发，并在次年第一季度内进行清算。</w:t>
      </w:r>
      <w:r>
        <w:rPr>
          <w:rFonts w:hint="eastAsia" w:ascii="仿宋" w:hAnsi="仿宋" w:eastAsia="仿宋" w:cs="仿宋"/>
          <w:color w:val="auto"/>
          <w:lang w:val="en-US" w:eastAsia="zh-CN"/>
        </w:rPr>
        <w:t>在年初报财政预算时，区粮储中心应按</w:t>
      </w:r>
      <w:r>
        <w:rPr>
          <w:rFonts w:hint="eastAsia" w:ascii="仿宋" w:hAnsi="仿宋" w:eastAsia="仿宋" w:cs="仿宋"/>
          <w:color w:val="auto"/>
          <w:lang w:val="zh-CN" w:eastAsia="zh-CN"/>
        </w:rPr>
        <w:t>农业发展银行同期农副产品收购贷款利率</w:t>
      </w:r>
      <w:r>
        <w:rPr>
          <w:rFonts w:hint="eastAsia" w:ascii="仿宋" w:hAnsi="仿宋" w:eastAsia="仿宋" w:cs="仿宋"/>
          <w:color w:val="auto"/>
          <w:lang w:val="en-US" w:eastAsia="zh-CN"/>
        </w:rPr>
        <w:t>测算当年利息费用，应有明确的测算过程</w:t>
      </w:r>
      <w:r>
        <w:rPr>
          <w:rFonts w:hint="eastAsia" w:ascii="仿宋" w:hAnsi="仿宋" w:eastAsia="仿宋" w:cs="仿宋"/>
          <w:szCs w:val="32"/>
          <w:lang w:eastAsia="zh-CN"/>
        </w:rPr>
        <w:t>。</w:t>
      </w:r>
    </w:p>
    <w:p>
      <w:pPr>
        <w:pStyle w:val="2"/>
        <w:numPr>
          <w:ilvl w:val="0"/>
          <w:numId w:val="0"/>
        </w:numPr>
        <w:spacing w:before="0" w:beforeLines="0" w:after="0" w:afterLines="0"/>
        <w:ind w:leftChars="0" w:firstLine="640" w:firstLineChars="200"/>
        <w:rPr>
          <w:rFonts w:hint="eastAsia" w:ascii="黑体" w:hAnsi="黑体" w:eastAsia="黑体" w:cs="黑体"/>
          <w:b w:val="0"/>
          <w:szCs w:val="32"/>
          <w:lang w:eastAsia="zh-CN"/>
        </w:rPr>
      </w:pPr>
      <w:bookmarkStart w:id="239" w:name="_Toc13340"/>
      <w:bookmarkStart w:id="240" w:name="_Toc2492"/>
      <w:r>
        <w:rPr>
          <w:rFonts w:hint="eastAsia" w:ascii="黑体" w:hAnsi="黑体" w:cs="黑体"/>
          <w:b w:val="0"/>
          <w:szCs w:val="32"/>
          <w:lang w:eastAsia="zh-CN"/>
        </w:rPr>
        <w:t>六、</w:t>
      </w:r>
      <w:r>
        <w:rPr>
          <w:rFonts w:hint="eastAsia" w:ascii="黑体" w:hAnsi="黑体" w:eastAsia="黑体" w:cs="黑体"/>
          <w:b w:val="0"/>
          <w:szCs w:val="32"/>
          <w:lang w:eastAsia="zh-CN"/>
        </w:rPr>
        <w:t>其他需要说明的问题</w:t>
      </w:r>
      <w:bookmarkEnd w:id="239"/>
      <w:bookmarkEnd w:id="240"/>
    </w:p>
    <w:p>
      <w:pPr>
        <w:ind w:firstLine="640"/>
        <w:rPr>
          <w:rFonts w:hint="eastAsia" w:ascii="仿宋" w:hAnsi="仿宋" w:eastAsia="仿宋" w:cs="仿宋"/>
          <w:szCs w:val="32"/>
          <w:lang w:eastAsia="zh-CN"/>
        </w:rPr>
      </w:pPr>
      <w:r>
        <w:rPr>
          <w:rFonts w:hint="eastAsia" w:ascii="仿宋" w:hAnsi="仿宋" w:eastAsia="仿宋" w:cs="仿宋"/>
          <w:color w:val="auto"/>
          <w:lang w:val="zh-CN" w:eastAsia="zh-CN"/>
        </w:rPr>
        <w:t>本报告是评价机构根据对项目主管单位所提供的材料进行全面分析与评估，结合现场考察情况，在评价人员评价意见的基础上综合形成</w:t>
      </w:r>
      <w:r>
        <w:rPr>
          <w:rFonts w:hint="eastAsia" w:ascii="仿宋" w:hAnsi="仿宋" w:eastAsia="仿宋" w:cs="仿宋"/>
          <w:color w:val="auto"/>
          <w:lang w:val="en-US" w:eastAsia="zh-CN"/>
        </w:rPr>
        <w:t>的</w:t>
      </w:r>
      <w:r>
        <w:rPr>
          <w:rFonts w:hint="eastAsia" w:ascii="仿宋" w:hAnsi="仿宋" w:eastAsia="仿宋" w:cs="仿宋"/>
          <w:color w:val="auto"/>
          <w:lang w:val="zh-CN" w:eastAsia="zh-CN"/>
        </w:rPr>
        <w:t>。报告重点针对项目2025年的预算申报进行评估。本报告的结论与意见是参考性的，仅供财政部门批复预算时使用，不做其他用途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pPr>
        <w:ind w:firstLine="640"/>
        <w:rPr>
          <w:rFonts w:hint="eastAsia" w:ascii="仿宋" w:hAnsi="仿宋" w:eastAsia="仿宋" w:cs="仿宋"/>
          <w:szCs w:val="32"/>
          <w:lang w:eastAsia="zh-CN"/>
        </w:rPr>
      </w:pPr>
    </w:p>
    <w:p>
      <w:pPr>
        <w:spacing w:before="65" w:line="226" w:lineRule="auto"/>
        <w:ind w:firstLine="0" w:firstLineChars="0"/>
        <w:rPr>
          <w:rFonts w:eastAsia="仿宋"/>
          <w:sz w:val="28"/>
          <w:szCs w:val="28"/>
          <w:lang w:eastAsia="zh-CN"/>
        </w:rPr>
      </w:pPr>
    </w:p>
    <w:sectPr>
      <w:headerReference r:id="rId17" w:type="default"/>
      <w:footerReference r:id="rId18" w:type="default"/>
      <w:pgSz w:w="11906" w:h="16838"/>
      <w:pgMar w:top="837" w:right="1687" w:bottom="1421" w:left="1686" w:header="0" w:footer="559" w:gutter="0"/>
      <w:pgNumType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AFDC686-ABC8-4B25-876F-9410905DB74C}"/>
  </w:font>
  <w:font w:name="黑体">
    <w:panose1 w:val="02010609060101010101"/>
    <w:charset w:val="86"/>
    <w:family w:val="auto"/>
    <w:pitch w:val="default"/>
    <w:sig w:usb0="800002BF" w:usb1="38CF7CFA" w:usb2="00000016" w:usb3="00000000" w:csb0="00040001" w:csb1="00000000"/>
    <w:embedRegular r:id="rId2" w:fontKey="{D1C447E4-4A79-4EDE-BD19-17C05F8D39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8668026-F748-4709-B55B-58AF0FE2D5FD}"/>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FACFA9C3-90D4-457A-AF0C-D2CC0A28EED9}"/>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5" w:fontKey="{40191FB7-1349-421D-B4E0-18E568E42974}"/>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ED6A6184-DE93-4B08-81D9-65E771A086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sdtPr>
                          <w:sdtEndPr>
                            <w:rPr>
                              <w:rFonts w:ascii="宋体" w:hAnsi="宋体" w:eastAsia="宋体"/>
                            </w:rPr>
                          </w:sdtEndPr>
                          <w:sdtContent>
                            <w:p>
                              <w:pPr>
                                <w:pStyle w:val="12"/>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ind w:firstLine="640"/>
                            <w:rPr>
                              <w:rFonts w:hint="eastAsia" w:ascii="宋体" w:hAnsi="宋体"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80247"/>
                    </w:sdtPr>
                    <w:sdtEndPr>
                      <w:rPr>
                        <w:rFonts w:ascii="宋体" w:hAnsi="宋体" w:eastAsia="宋体"/>
                      </w:rPr>
                    </w:sdtEndPr>
                    <w:sdtContent>
                      <w:p>
                        <w:pPr>
                          <w:pStyle w:val="12"/>
                          <w:spacing w:after="120"/>
                          <w:ind w:firstLine="360"/>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ind w:firstLine="640"/>
                      <w:rPr>
                        <w:rFonts w:hint="eastAsia"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33CBF"/>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0F74DF"/>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02C"/>
    <w:rsid w:val="001D4786"/>
    <w:rsid w:val="001D4787"/>
    <w:rsid w:val="001D5160"/>
    <w:rsid w:val="001D7093"/>
    <w:rsid w:val="001E3428"/>
    <w:rsid w:val="001F23E2"/>
    <w:rsid w:val="00202F15"/>
    <w:rsid w:val="002133D0"/>
    <w:rsid w:val="002135B2"/>
    <w:rsid w:val="00214FA9"/>
    <w:rsid w:val="00244786"/>
    <w:rsid w:val="00245809"/>
    <w:rsid w:val="00247CE2"/>
    <w:rsid w:val="002544DA"/>
    <w:rsid w:val="00256286"/>
    <w:rsid w:val="002751AB"/>
    <w:rsid w:val="00293F28"/>
    <w:rsid w:val="002C14AD"/>
    <w:rsid w:val="002D0937"/>
    <w:rsid w:val="002E0922"/>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B66F1"/>
    <w:rsid w:val="003C6D05"/>
    <w:rsid w:val="003C72DF"/>
    <w:rsid w:val="003E74AB"/>
    <w:rsid w:val="003F0644"/>
    <w:rsid w:val="003F5A52"/>
    <w:rsid w:val="003F786F"/>
    <w:rsid w:val="004014DE"/>
    <w:rsid w:val="0041363A"/>
    <w:rsid w:val="004136A6"/>
    <w:rsid w:val="00420D23"/>
    <w:rsid w:val="00421DDA"/>
    <w:rsid w:val="00426FAD"/>
    <w:rsid w:val="004272C9"/>
    <w:rsid w:val="00427E7E"/>
    <w:rsid w:val="00436A9C"/>
    <w:rsid w:val="0043777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1594"/>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84A18"/>
    <w:rsid w:val="0079415A"/>
    <w:rsid w:val="007B6431"/>
    <w:rsid w:val="007C2905"/>
    <w:rsid w:val="007C43E4"/>
    <w:rsid w:val="007C5302"/>
    <w:rsid w:val="007C6DAD"/>
    <w:rsid w:val="007D0612"/>
    <w:rsid w:val="007D1081"/>
    <w:rsid w:val="007D673A"/>
    <w:rsid w:val="007E3140"/>
    <w:rsid w:val="007E7A2D"/>
    <w:rsid w:val="007F6143"/>
    <w:rsid w:val="00804579"/>
    <w:rsid w:val="00804C84"/>
    <w:rsid w:val="0081088F"/>
    <w:rsid w:val="00815148"/>
    <w:rsid w:val="00822580"/>
    <w:rsid w:val="00824BBC"/>
    <w:rsid w:val="0082560C"/>
    <w:rsid w:val="008358F2"/>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39E2"/>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4E78"/>
    <w:rsid w:val="00AE5E6B"/>
    <w:rsid w:val="00AE7253"/>
    <w:rsid w:val="00AF0A51"/>
    <w:rsid w:val="00AF42B4"/>
    <w:rsid w:val="00B00467"/>
    <w:rsid w:val="00B00F10"/>
    <w:rsid w:val="00B03E44"/>
    <w:rsid w:val="00B042EC"/>
    <w:rsid w:val="00B0588D"/>
    <w:rsid w:val="00B14C98"/>
    <w:rsid w:val="00B17C4C"/>
    <w:rsid w:val="00B17CA8"/>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30F2"/>
    <w:rsid w:val="00B9431F"/>
    <w:rsid w:val="00BB07A4"/>
    <w:rsid w:val="00BB0E1D"/>
    <w:rsid w:val="00BB30FE"/>
    <w:rsid w:val="00BB6B9F"/>
    <w:rsid w:val="00C0248E"/>
    <w:rsid w:val="00C06AFC"/>
    <w:rsid w:val="00C07264"/>
    <w:rsid w:val="00C12E6F"/>
    <w:rsid w:val="00C21C0D"/>
    <w:rsid w:val="00C21DB7"/>
    <w:rsid w:val="00C26858"/>
    <w:rsid w:val="00C30660"/>
    <w:rsid w:val="00C323F4"/>
    <w:rsid w:val="00C40C1F"/>
    <w:rsid w:val="00C4300A"/>
    <w:rsid w:val="00C440BC"/>
    <w:rsid w:val="00C53DE5"/>
    <w:rsid w:val="00C558D9"/>
    <w:rsid w:val="00C56A00"/>
    <w:rsid w:val="00C6176D"/>
    <w:rsid w:val="00C6266B"/>
    <w:rsid w:val="00C7136B"/>
    <w:rsid w:val="00C72083"/>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3E24"/>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626EA9"/>
    <w:rsid w:val="01B41827"/>
    <w:rsid w:val="01FE6FC6"/>
    <w:rsid w:val="025E7212"/>
    <w:rsid w:val="026C0CB3"/>
    <w:rsid w:val="02DA2B5C"/>
    <w:rsid w:val="031A1D53"/>
    <w:rsid w:val="034F46D6"/>
    <w:rsid w:val="047C7B07"/>
    <w:rsid w:val="053562A4"/>
    <w:rsid w:val="059D5B4A"/>
    <w:rsid w:val="05C5173A"/>
    <w:rsid w:val="060D4527"/>
    <w:rsid w:val="062F578F"/>
    <w:rsid w:val="070A234B"/>
    <w:rsid w:val="07364783"/>
    <w:rsid w:val="07587466"/>
    <w:rsid w:val="07A80859"/>
    <w:rsid w:val="07B0009E"/>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7D04DF"/>
    <w:rsid w:val="0D874AFD"/>
    <w:rsid w:val="0E460DCC"/>
    <w:rsid w:val="0E483F00"/>
    <w:rsid w:val="0E511842"/>
    <w:rsid w:val="0FB50233"/>
    <w:rsid w:val="0FB608BC"/>
    <w:rsid w:val="1050467E"/>
    <w:rsid w:val="10CD4389"/>
    <w:rsid w:val="11195595"/>
    <w:rsid w:val="11270A41"/>
    <w:rsid w:val="11326EB7"/>
    <w:rsid w:val="11EE00D5"/>
    <w:rsid w:val="12911695"/>
    <w:rsid w:val="129D460C"/>
    <w:rsid w:val="12A7171D"/>
    <w:rsid w:val="12C53952"/>
    <w:rsid w:val="12F164E1"/>
    <w:rsid w:val="13397BCE"/>
    <w:rsid w:val="13640E5B"/>
    <w:rsid w:val="13A726E2"/>
    <w:rsid w:val="144A13CC"/>
    <w:rsid w:val="14B86A5E"/>
    <w:rsid w:val="16574ED9"/>
    <w:rsid w:val="168E25CD"/>
    <w:rsid w:val="16F75866"/>
    <w:rsid w:val="16FA78CA"/>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20E3E9E"/>
    <w:rsid w:val="22696E4A"/>
    <w:rsid w:val="228A52D3"/>
    <w:rsid w:val="22A7A1EE"/>
    <w:rsid w:val="23815F46"/>
    <w:rsid w:val="23A00FD0"/>
    <w:rsid w:val="23A368F7"/>
    <w:rsid w:val="23D46DC8"/>
    <w:rsid w:val="23F5677C"/>
    <w:rsid w:val="24526CBD"/>
    <w:rsid w:val="245D6F1C"/>
    <w:rsid w:val="24A227D3"/>
    <w:rsid w:val="250C005C"/>
    <w:rsid w:val="25200AD8"/>
    <w:rsid w:val="255D282B"/>
    <w:rsid w:val="257C4A65"/>
    <w:rsid w:val="25D9458E"/>
    <w:rsid w:val="25EE29B2"/>
    <w:rsid w:val="260A429C"/>
    <w:rsid w:val="260C1F4B"/>
    <w:rsid w:val="264F0E19"/>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8C65BF"/>
    <w:rsid w:val="2EA92E66"/>
    <w:rsid w:val="2ECA0CB3"/>
    <w:rsid w:val="2ED50269"/>
    <w:rsid w:val="2EEA0EAE"/>
    <w:rsid w:val="2EED128A"/>
    <w:rsid w:val="2F33419E"/>
    <w:rsid w:val="2F453EFD"/>
    <w:rsid w:val="2F7A4177"/>
    <w:rsid w:val="2FBB8AD3"/>
    <w:rsid w:val="2FF9E8AA"/>
    <w:rsid w:val="2FFF36BE"/>
    <w:rsid w:val="3115529C"/>
    <w:rsid w:val="31B76384"/>
    <w:rsid w:val="320B1AE3"/>
    <w:rsid w:val="32165B50"/>
    <w:rsid w:val="326B0E40"/>
    <w:rsid w:val="32B03984"/>
    <w:rsid w:val="33C67647"/>
    <w:rsid w:val="33D04B10"/>
    <w:rsid w:val="34151D3E"/>
    <w:rsid w:val="34727F6D"/>
    <w:rsid w:val="35745447"/>
    <w:rsid w:val="35950425"/>
    <w:rsid w:val="362E341B"/>
    <w:rsid w:val="36533F02"/>
    <w:rsid w:val="377F486E"/>
    <w:rsid w:val="37813EA9"/>
    <w:rsid w:val="378B2B5D"/>
    <w:rsid w:val="37F9916F"/>
    <w:rsid w:val="381B47D2"/>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D365B"/>
    <w:rsid w:val="3BEFD7D2"/>
    <w:rsid w:val="3BFDE29B"/>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4563D4"/>
    <w:rsid w:val="44EF1B00"/>
    <w:rsid w:val="45CF4E46"/>
    <w:rsid w:val="46515BFC"/>
    <w:rsid w:val="46C45511"/>
    <w:rsid w:val="46D935A6"/>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773D7"/>
    <w:rsid w:val="4B3B3F0F"/>
    <w:rsid w:val="4B895879"/>
    <w:rsid w:val="4B974077"/>
    <w:rsid w:val="4BA90D67"/>
    <w:rsid w:val="4BFD0804"/>
    <w:rsid w:val="4BFFF00D"/>
    <w:rsid w:val="4C35155C"/>
    <w:rsid w:val="4CB90AB7"/>
    <w:rsid w:val="4CB92AAE"/>
    <w:rsid w:val="4CC40187"/>
    <w:rsid w:val="4D5325E2"/>
    <w:rsid w:val="4D9329DF"/>
    <w:rsid w:val="4DBF65EB"/>
    <w:rsid w:val="4DFC2D90"/>
    <w:rsid w:val="4E050DB4"/>
    <w:rsid w:val="4E25488F"/>
    <w:rsid w:val="4E7B1F42"/>
    <w:rsid w:val="4F1B0E49"/>
    <w:rsid w:val="4F3877D4"/>
    <w:rsid w:val="4F3E6E95"/>
    <w:rsid w:val="4F786B55"/>
    <w:rsid w:val="4F7A8AD3"/>
    <w:rsid w:val="4F7FF4D7"/>
    <w:rsid w:val="4F8A1DA6"/>
    <w:rsid w:val="4FD940E8"/>
    <w:rsid w:val="4FDF282B"/>
    <w:rsid w:val="4FEB9FB4"/>
    <w:rsid w:val="50885837"/>
    <w:rsid w:val="50A1286C"/>
    <w:rsid w:val="50AB1B35"/>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3F79EB"/>
    <w:rsid w:val="585A70CD"/>
    <w:rsid w:val="58805CA5"/>
    <w:rsid w:val="58E262A4"/>
    <w:rsid w:val="58F5D9DD"/>
    <w:rsid w:val="5948147C"/>
    <w:rsid w:val="59573EF3"/>
    <w:rsid w:val="5A894C16"/>
    <w:rsid w:val="5AB756DD"/>
    <w:rsid w:val="5AFCBC6B"/>
    <w:rsid w:val="5B669575"/>
    <w:rsid w:val="5B7A68BB"/>
    <w:rsid w:val="5BDB3721"/>
    <w:rsid w:val="5C18763C"/>
    <w:rsid w:val="5C3E3948"/>
    <w:rsid w:val="5C4F6BDD"/>
    <w:rsid w:val="5C7E18E6"/>
    <w:rsid w:val="5C7F7B4E"/>
    <w:rsid w:val="5CD834DE"/>
    <w:rsid w:val="5CDA0FE8"/>
    <w:rsid w:val="5CE7B0FA"/>
    <w:rsid w:val="5D242C88"/>
    <w:rsid w:val="5D5C41E5"/>
    <w:rsid w:val="5D6B5466"/>
    <w:rsid w:val="5D7921C9"/>
    <w:rsid w:val="5DAD7E49"/>
    <w:rsid w:val="5DD56DEE"/>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9A521C6"/>
    <w:rsid w:val="69AF24F6"/>
    <w:rsid w:val="69AF5125"/>
    <w:rsid w:val="69BC2895"/>
    <w:rsid w:val="69DD1E00"/>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170414E"/>
    <w:rsid w:val="71DF0AF3"/>
    <w:rsid w:val="71E82352"/>
    <w:rsid w:val="71FB2FE3"/>
    <w:rsid w:val="72211E04"/>
    <w:rsid w:val="722B3E46"/>
    <w:rsid w:val="724759C2"/>
    <w:rsid w:val="733F4938"/>
    <w:rsid w:val="73AE4630"/>
    <w:rsid w:val="73EB24A3"/>
    <w:rsid w:val="73EF23B4"/>
    <w:rsid w:val="73EF394F"/>
    <w:rsid w:val="73F1677E"/>
    <w:rsid w:val="73FF29DC"/>
    <w:rsid w:val="748FE1E7"/>
    <w:rsid w:val="74DC1816"/>
    <w:rsid w:val="755961C5"/>
    <w:rsid w:val="758C6643"/>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未处理的提及1"/>
    <w:basedOn w:val="23"/>
    <w:semiHidden/>
    <w:unhideWhenUsed/>
    <w:qFormat/>
    <w:uiPriority w:val="99"/>
    <w:rPr>
      <w:color w:val="605E5C"/>
      <w:shd w:val="clear" w:color="auto" w:fill="E1DFDD"/>
    </w:rPr>
  </w:style>
  <w:style w:type="paragraph" w:customStyle="1" w:styleId="69">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25</Pages>
  <Words>10678</Words>
  <Characters>11022</Characters>
  <Lines>10</Lines>
  <Paragraphs>21</Paragraphs>
  <TotalTime>12</TotalTime>
  <ScaleCrop>false</ScaleCrop>
  <LinksUpToDate>false</LinksUpToDate>
  <CharactersWithSpaces>11050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2025-03-13T14:53:00Z</dcterms:created>
  <dc:creator>cll</dc:creator>
  <cp:lastModifiedBy>薄荷与橙</cp:lastModifiedBy>
  <cp:lastPrinted>2025-04-02T01:59:00Z</cp:lastPrinted>
  <dcterms:modified xsi:type="dcterms:W3CDTF">2025-12-30T08:17:24Z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