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firstLine="0" w:firstLineChars="0"/>
        <w:jc w:val="center"/>
        <w:outlineLvl w:val="0"/>
        <w:rPr>
          <w:rFonts w:hint="eastAsia" w:ascii="方正小标宋简体" w:hAnsi="方正小标宋简体" w:eastAsia="方正小标宋简体" w:cs="方正小标宋简体"/>
          <w:b w:val="0"/>
          <w:bCs w:val="0"/>
          <w:sz w:val="44"/>
          <w:szCs w:val="44"/>
          <w:lang w:eastAsia="zh-CN"/>
        </w:rPr>
      </w:pPr>
      <w:bookmarkStart w:id="0" w:name="_Toc25721"/>
      <w:bookmarkStart w:id="1" w:name="_Toc15541"/>
      <w:bookmarkStart w:id="2" w:name="_Toc4482"/>
      <w:bookmarkStart w:id="3" w:name="_Toc16439"/>
      <w:bookmarkStart w:id="4" w:name="_Toc27923"/>
      <w:r>
        <w:rPr>
          <w:rFonts w:hint="eastAsia" w:ascii="方正小标宋简体" w:hAnsi="方正小标宋简体" w:eastAsia="方正小标宋简体" w:cs="方正小标宋简体"/>
          <w:b w:val="0"/>
          <w:bCs w:val="0"/>
          <w:sz w:val="44"/>
          <w:szCs w:val="44"/>
          <w:lang w:eastAsia="zh-CN"/>
        </w:rPr>
        <w:t>乐山市金口河区住房和城乡建设局</w:t>
      </w:r>
      <w:bookmarkEnd w:id="0"/>
      <w:bookmarkEnd w:id="1"/>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lang w:eastAsia="zh-CN"/>
        </w:rPr>
      </w:pPr>
      <w:bookmarkStart w:id="5" w:name="_Toc13356"/>
      <w:bookmarkStart w:id="6" w:name="_Toc11319"/>
      <w:r>
        <w:rPr>
          <w:rFonts w:hint="eastAsia" w:ascii="方正小标宋简体" w:hAnsi="方正小标宋简体" w:eastAsia="方正小标宋简体" w:cs="方正小标宋简体"/>
          <w:b w:val="0"/>
          <w:bCs w:val="0"/>
          <w:sz w:val="44"/>
          <w:szCs w:val="44"/>
          <w:lang w:eastAsia="zh-CN"/>
        </w:rPr>
        <w:t>城区园林绿化购买社会养护服务项目</w:t>
      </w:r>
      <w:bookmarkEnd w:id="5"/>
      <w:bookmarkEnd w:id="6"/>
    </w:p>
    <w:bookmarkEnd w:id="2"/>
    <w:bookmarkEnd w:id="3"/>
    <w:bookmarkEnd w:id="4"/>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7" w:name="_Toc7418"/>
      <w:bookmarkStart w:id="8" w:name="_Toc24858"/>
      <w:bookmarkStart w:id="9" w:name="_Toc27502"/>
      <w:r>
        <w:rPr>
          <w:rFonts w:hint="eastAsia" w:ascii="方正小标宋简体" w:hAnsi="方正小标宋简体" w:eastAsia="方正小标宋简体" w:cs="方正小标宋简体"/>
          <w:b w:val="0"/>
          <w:bCs w:val="0"/>
          <w:sz w:val="44"/>
          <w:szCs w:val="44"/>
        </w:rPr>
        <w:t>事</w:t>
      </w:r>
      <w:bookmarkEnd w:id="7"/>
      <w:bookmarkEnd w:id="8"/>
      <w:bookmarkEnd w:id="9"/>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0" w:name="_Toc30631"/>
      <w:bookmarkStart w:id="11" w:name="_Toc7915"/>
      <w:bookmarkStart w:id="12" w:name="_Toc19435"/>
      <w:r>
        <w:rPr>
          <w:rFonts w:hint="eastAsia" w:ascii="方正小标宋简体" w:hAnsi="方正小标宋简体" w:eastAsia="方正小标宋简体" w:cs="方正小标宋简体"/>
          <w:b w:val="0"/>
          <w:bCs w:val="0"/>
          <w:sz w:val="44"/>
          <w:szCs w:val="44"/>
        </w:rPr>
        <w:t>前</w:t>
      </w:r>
      <w:bookmarkEnd w:id="10"/>
      <w:bookmarkEnd w:id="11"/>
      <w:bookmarkEnd w:id="12"/>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3" w:name="_Toc23600"/>
      <w:bookmarkStart w:id="14" w:name="_Toc17772"/>
      <w:bookmarkStart w:id="15" w:name="_Toc22494"/>
      <w:r>
        <w:rPr>
          <w:rFonts w:hint="eastAsia" w:ascii="方正小标宋简体" w:hAnsi="方正小标宋简体" w:eastAsia="方正小标宋简体" w:cs="方正小标宋简体"/>
          <w:b w:val="0"/>
          <w:bCs w:val="0"/>
          <w:sz w:val="44"/>
          <w:szCs w:val="44"/>
        </w:rPr>
        <w:t>绩</w:t>
      </w:r>
      <w:bookmarkEnd w:id="13"/>
      <w:bookmarkEnd w:id="14"/>
      <w:bookmarkEnd w:id="15"/>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6" w:name="_Toc32352"/>
      <w:bookmarkStart w:id="17" w:name="_Toc30199"/>
      <w:bookmarkStart w:id="18" w:name="_Toc30052"/>
      <w:r>
        <w:rPr>
          <w:rFonts w:hint="eastAsia" w:ascii="方正小标宋简体" w:hAnsi="方正小标宋简体" w:eastAsia="方正小标宋简体" w:cs="方正小标宋简体"/>
          <w:b w:val="0"/>
          <w:bCs w:val="0"/>
          <w:sz w:val="44"/>
          <w:szCs w:val="44"/>
        </w:rPr>
        <w:t>效</w:t>
      </w:r>
      <w:bookmarkEnd w:id="16"/>
      <w:bookmarkEnd w:id="17"/>
      <w:bookmarkEnd w:id="18"/>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9" w:name="_Toc27740"/>
      <w:bookmarkStart w:id="20" w:name="_Toc11710"/>
      <w:bookmarkStart w:id="21" w:name="_Toc28172"/>
      <w:r>
        <w:rPr>
          <w:rFonts w:hint="eastAsia" w:ascii="方正小标宋简体" w:hAnsi="方正小标宋简体" w:eastAsia="方正小标宋简体" w:cs="方正小标宋简体"/>
          <w:b w:val="0"/>
          <w:bCs w:val="0"/>
          <w:sz w:val="44"/>
          <w:szCs w:val="44"/>
        </w:rPr>
        <w:t>评</w:t>
      </w:r>
      <w:bookmarkEnd w:id="19"/>
      <w:bookmarkEnd w:id="20"/>
      <w:bookmarkEnd w:id="21"/>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22" w:name="_Toc12838"/>
      <w:bookmarkStart w:id="23" w:name="_Toc5005"/>
      <w:bookmarkStart w:id="24" w:name="_Toc11575"/>
      <w:r>
        <w:rPr>
          <w:rFonts w:hint="eastAsia" w:ascii="方正小标宋简体" w:hAnsi="方正小标宋简体" w:eastAsia="方正小标宋简体" w:cs="方正小标宋简体"/>
          <w:b w:val="0"/>
          <w:bCs w:val="0"/>
          <w:sz w:val="44"/>
          <w:szCs w:val="44"/>
        </w:rPr>
        <w:t>价</w:t>
      </w:r>
      <w:bookmarkEnd w:id="22"/>
      <w:bookmarkEnd w:id="23"/>
      <w:bookmarkEnd w:id="24"/>
    </w:p>
    <w:p>
      <w:pPr>
        <w:pStyle w:val="20"/>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25" w:name="_Toc22413"/>
      <w:bookmarkStart w:id="26" w:name="_Toc21119"/>
      <w:bookmarkStart w:id="27" w:name="_Toc15323"/>
      <w:r>
        <w:rPr>
          <w:rFonts w:hint="eastAsia" w:ascii="方正小标宋简体" w:hAnsi="方正小标宋简体" w:eastAsia="方正小标宋简体" w:cs="方正小标宋简体"/>
          <w:b w:val="0"/>
          <w:bCs w:val="0"/>
          <w:sz w:val="44"/>
          <w:szCs w:val="44"/>
        </w:rPr>
        <w:t>报</w:t>
      </w:r>
      <w:bookmarkEnd w:id="25"/>
      <w:bookmarkEnd w:id="26"/>
      <w:bookmarkEnd w:id="27"/>
    </w:p>
    <w:p>
      <w:pPr>
        <w:pStyle w:val="20"/>
        <w:spacing w:beforeAutospacing="0" w:afterAutospacing="0" w:line="820" w:lineRule="exact"/>
        <w:ind w:right="83" w:rightChars="26" w:firstLine="0" w:firstLineChars="0"/>
        <w:jc w:val="center"/>
        <w:outlineLvl w:val="0"/>
        <w:rPr>
          <w:rFonts w:eastAsia="微软雅黑"/>
          <w:b/>
          <w:bCs/>
          <w:sz w:val="44"/>
          <w:szCs w:val="44"/>
        </w:rPr>
      </w:pPr>
      <w:bookmarkStart w:id="28" w:name="_Toc5311"/>
      <w:bookmarkStart w:id="29" w:name="_Toc11939"/>
      <w:bookmarkStart w:id="30" w:name="_Toc24504"/>
      <w:r>
        <w:rPr>
          <w:rFonts w:hint="eastAsia" w:ascii="方正小标宋简体" w:hAnsi="方正小标宋简体" w:eastAsia="方正小标宋简体" w:cs="方正小标宋简体"/>
          <w:b w:val="0"/>
          <w:bCs w:val="0"/>
          <w:sz w:val="44"/>
          <w:szCs w:val="44"/>
        </w:rPr>
        <w:t>告</w:t>
      </w:r>
      <w:bookmarkEnd w:id="28"/>
      <w:bookmarkEnd w:id="29"/>
      <w:bookmarkEnd w:id="30"/>
    </w:p>
    <w:p>
      <w:pPr>
        <w:snapToGrid w:val="0"/>
        <w:spacing w:line="600" w:lineRule="exact"/>
        <w:rPr>
          <w:rStyle w:val="67"/>
          <w:rFonts w:hint="eastAsia" w:eastAsia="仿宋_GB2312"/>
          <w:bCs/>
          <w:sz w:val="28"/>
          <w:szCs w:val="28"/>
          <w:lang w:eastAsia="zh-CN"/>
        </w:rPr>
      </w:pP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项目编号：</w:t>
      </w:r>
      <w:r>
        <w:rPr>
          <w:rStyle w:val="67"/>
          <w:rFonts w:eastAsia="仿宋_GB2312"/>
          <w:bCs/>
          <w:sz w:val="28"/>
          <w:szCs w:val="28"/>
          <w:highlight w:val="none"/>
          <w:lang w:eastAsia="zh-CN"/>
        </w:rPr>
        <w:t>金财绩评（202</w:t>
      </w:r>
      <w:r>
        <w:rPr>
          <w:rStyle w:val="67"/>
          <w:rFonts w:hint="eastAsia" w:eastAsia="仿宋_GB2312"/>
          <w:bCs/>
          <w:sz w:val="28"/>
          <w:szCs w:val="28"/>
          <w:highlight w:val="none"/>
          <w:lang w:eastAsia="zh-CN"/>
        </w:rPr>
        <w:t>5</w:t>
      </w:r>
      <w:r>
        <w:rPr>
          <w:rStyle w:val="67"/>
          <w:rFonts w:eastAsia="仿宋_GB2312"/>
          <w:bCs/>
          <w:sz w:val="28"/>
          <w:szCs w:val="28"/>
          <w:highlight w:val="none"/>
          <w:lang w:eastAsia="zh-CN"/>
        </w:rPr>
        <w:t>）0</w:t>
      </w:r>
      <w:r>
        <w:rPr>
          <w:rStyle w:val="67"/>
          <w:rFonts w:hint="eastAsia"/>
          <w:bCs/>
          <w:sz w:val="28"/>
          <w:szCs w:val="28"/>
          <w:highlight w:val="none"/>
          <w:lang w:val="en-US" w:eastAsia="zh-CN"/>
        </w:rPr>
        <w:t>5</w:t>
      </w:r>
      <w:r>
        <w:rPr>
          <w:rStyle w:val="67"/>
          <w:rFonts w:eastAsia="仿宋_GB2312"/>
          <w:bCs/>
          <w:sz w:val="28"/>
          <w:szCs w:val="28"/>
          <w:highlight w:val="none"/>
          <w:lang w:eastAsia="zh-CN"/>
        </w:rPr>
        <w:t>号</w:t>
      </w: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主管部门：</w:t>
      </w:r>
      <w:r>
        <w:rPr>
          <w:rStyle w:val="67"/>
          <w:rFonts w:hint="eastAsia" w:eastAsia="仿宋_GB2312"/>
          <w:bCs/>
          <w:sz w:val="28"/>
          <w:szCs w:val="28"/>
          <w:lang w:eastAsia="zh-CN"/>
        </w:rPr>
        <w:t>乐山市金口河区住房和城乡建设局</w:t>
      </w: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实施单位：</w:t>
      </w:r>
      <w:r>
        <w:rPr>
          <w:rStyle w:val="67"/>
          <w:rFonts w:hint="eastAsia" w:eastAsia="仿宋_GB2312"/>
          <w:bCs/>
          <w:sz w:val="28"/>
          <w:szCs w:val="28"/>
          <w:lang w:eastAsia="zh-CN"/>
        </w:rPr>
        <w:t>乐山市金口河区住房和城乡建设局</w:t>
      </w: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评价</w:t>
      </w:r>
      <w:r>
        <w:rPr>
          <w:rStyle w:val="67"/>
          <w:rFonts w:hint="eastAsia" w:eastAsia="仿宋_GB2312"/>
          <w:bCs/>
          <w:sz w:val="28"/>
          <w:szCs w:val="28"/>
          <w:lang w:eastAsia="zh-CN"/>
        </w:rPr>
        <w:t>单位：乐山市金口河区财政投资评价审核中心</w:t>
      </w:r>
    </w:p>
    <w:p>
      <w:pPr>
        <w:snapToGrid w:val="0"/>
        <w:spacing w:line="600" w:lineRule="exact"/>
        <w:rPr>
          <w:rStyle w:val="67"/>
          <w:rFonts w:hint="eastAsia" w:eastAsia="仿宋_GB2312"/>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1" w:name="_Toc26754"/>
      <w:bookmarkStart w:id="32" w:name="_Toc4237"/>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乐山市金口河区住房和城乡建设局</w:t>
      </w:r>
      <w:bookmarkEnd w:id="31"/>
      <w:bookmarkEnd w:id="32"/>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3" w:name="_Toc32364"/>
      <w:bookmarkStart w:id="34" w:name="_Toc17791"/>
      <w:r>
        <w:rPr>
          <w:rFonts w:hint="eastAsia" w:ascii="方正小标宋简体" w:hAnsi="方正小标宋简体" w:eastAsia="方正小标宋简体" w:cs="方正小标宋简体"/>
          <w:b w:val="0"/>
          <w:bCs w:val="0"/>
          <w:lang w:eastAsia="zh-CN"/>
        </w:rPr>
        <w:t>城区园林绿化购买社会养护服务项目</w:t>
      </w:r>
      <w:bookmarkEnd w:id="33"/>
      <w:bookmarkEnd w:id="34"/>
    </w:p>
    <w:p>
      <w:pPr>
        <w:pStyle w:val="21"/>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35" w:name="_Toc7557"/>
      <w:bookmarkStart w:id="36" w:name="_Toc23933"/>
      <w:bookmarkStart w:id="37" w:name="_Toc17293"/>
      <w:r>
        <w:rPr>
          <w:rFonts w:hint="eastAsia" w:ascii="方正小标宋简体" w:hAnsi="方正小标宋简体" w:eastAsia="方正小标宋简体" w:cs="方正小标宋简体"/>
          <w:b w:val="0"/>
          <w:bCs w:val="0"/>
          <w:lang w:eastAsia="zh-CN"/>
        </w:rPr>
        <w:t>事前绩效评价结论</w:t>
      </w:r>
      <w:bookmarkEnd w:id="35"/>
      <w:bookmarkEnd w:id="36"/>
      <w:bookmarkEnd w:id="37"/>
    </w:p>
    <w:p>
      <w:pPr>
        <w:pStyle w:val="2"/>
        <w:spacing w:before="0" w:beforeLines="0" w:after="0" w:afterLines="0"/>
        <w:rPr>
          <w:rFonts w:hint="eastAsia" w:ascii="仿宋" w:hAnsi="仿宋" w:eastAsia="仿宋" w:cs="仿宋"/>
          <w:b w:val="0"/>
          <w:color w:val="auto"/>
          <w:lang w:eastAsia="zh-CN"/>
        </w:rPr>
      </w:pPr>
    </w:p>
    <w:p>
      <w:pPr>
        <w:ind w:firstLine="640"/>
        <w:rPr>
          <w:rFonts w:hint="eastAsia" w:ascii="仿宋" w:hAnsi="仿宋" w:eastAsia="仿宋" w:cs="仿宋"/>
          <w:color w:val="auto"/>
          <w:lang w:eastAsia="zh-CN"/>
        </w:rPr>
      </w:pPr>
      <w:r>
        <w:rPr>
          <w:rFonts w:hint="eastAsia" w:ascii="仿宋" w:hAnsi="仿宋" w:eastAsia="仿宋" w:cs="仿宋"/>
          <w:color w:val="auto"/>
          <w:lang w:eastAsia="zh-CN"/>
        </w:rPr>
        <w:t>我中心对城区园林绿化购买社会养护服务项目事前绩效评价综合得分为9</w:t>
      </w:r>
      <w:r>
        <w:rPr>
          <w:rFonts w:hint="eastAsia" w:ascii="仿宋" w:hAnsi="仿宋" w:eastAsia="仿宋" w:cs="仿宋"/>
          <w:color w:val="auto"/>
          <w:lang w:val="en-US" w:eastAsia="zh-CN"/>
        </w:rPr>
        <w:t>0</w:t>
      </w:r>
      <w:r>
        <w:rPr>
          <w:rFonts w:hint="eastAsia" w:ascii="仿宋" w:hAnsi="仿宋" w:eastAsia="仿宋" w:cs="仿宋"/>
          <w:color w:val="auto"/>
          <w:lang w:eastAsia="zh-CN"/>
        </w:rPr>
        <w:t>分，综合绩效评估结论为</w:t>
      </w:r>
      <w:r>
        <w:rPr>
          <w:rFonts w:ascii="仿宋" w:hAnsi="仿宋" w:eastAsia="仿宋" w:cs="仿宋"/>
          <w:szCs w:val="32"/>
          <w:lang w:eastAsia="zh-CN"/>
        </w:rPr>
        <w:t>“</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color w:val="auto"/>
          <w:lang w:eastAsia="zh-CN"/>
        </w:rPr>
        <w:t>（具体评分情况见三、事前绩效评估指标体系及得分情况）</w:t>
      </w:r>
    </w:p>
    <w:p>
      <w:pPr>
        <w:ind w:firstLine="640"/>
        <w:jc w:val="center"/>
        <w:rPr>
          <w:rFonts w:hint="eastAsia" w:ascii="仿宋" w:hAnsi="仿宋" w:eastAsia="仿宋" w:cs="仿宋"/>
          <w:color w:val="auto"/>
          <w:lang w:eastAsia="zh-CN"/>
        </w:rPr>
      </w:pPr>
      <w:bookmarkStart w:id="38" w:name="_Toc2386"/>
      <w:bookmarkStart w:id="39" w:name="_Toc11068"/>
      <w:r>
        <w:rPr>
          <w:rFonts w:hint="eastAsia" w:ascii="仿宋" w:hAnsi="仿宋" w:eastAsia="仿宋" w:cs="仿宋"/>
          <w:color w:val="auto"/>
          <w:lang w:eastAsia="zh-CN"/>
        </w:rPr>
        <w:t>城区园林绿化购买社会养护服务项目</w:t>
      </w:r>
      <w:bookmarkEnd w:id="38"/>
      <w:bookmarkEnd w:id="39"/>
    </w:p>
    <w:p>
      <w:pPr>
        <w:tabs>
          <w:tab w:val="left" w:pos="1336"/>
        </w:tabs>
        <w:spacing w:line="480" w:lineRule="exact"/>
        <w:ind w:firstLine="0" w:firstLineChars="0"/>
        <w:jc w:val="center"/>
        <w:outlineLvl w:val="0"/>
        <w:rPr>
          <w:rFonts w:hint="eastAsia" w:ascii="仿宋" w:hAnsi="仿宋" w:eastAsia="仿宋" w:cs="仿宋"/>
          <w:szCs w:val="32"/>
          <w:lang w:eastAsia="zh-CN"/>
        </w:rPr>
      </w:pPr>
      <w:bookmarkStart w:id="40" w:name="_Toc11241"/>
      <w:bookmarkStart w:id="41" w:name="_Toc29428"/>
      <w:bookmarkStart w:id="42" w:name="_Toc13519"/>
      <w:bookmarkStart w:id="43" w:name="_Toc4904"/>
      <w:bookmarkStart w:id="44" w:name="_Toc8449"/>
      <w:bookmarkStart w:id="45" w:name="_Toc25829"/>
      <w:r>
        <w:rPr>
          <w:rFonts w:hint="eastAsia" w:ascii="仿宋" w:hAnsi="仿宋" w:eastAsia="仿宋" w:cs="仿宋"/>
          <w:color w:val="auto"/>
          <w:lang w:eastAsia="zh-CN"/>
        </w:rPr>
        <w:t>事前绩效评价结论一览</w:t>
      </w:r>
      <w:r>
        <w:rPr>
          <w:rFonts w:hint="eastAsia" w:ascii="仿宋" w:hAnsi="仿宋" w:eastAsia="仿宋" w:cs="仿宋"/>
          <w:szCs w:val="32"/>
          <w:lang w:eastAsia="zh-CN"/>
        </w:rPr>
        <w:t>表</w:t>
      </w:r>
      <w:bookmarkEnd w:id="40"/>
      <w:bookmarkEnd w:id="41"/>
      <w:bookmarkEnd w:id="42"/>
      <w:bookmarkEnd w:id="43"/>
      <w:bookmarkEnd w:id="44"/>
      <w:bookmarkEnd w:id="45"/>
    </w:p>
    <w:tbl>
      <w:tblPr>
        <w:tblStyle w:val="22"/>
        <w:tblW w:w="4923" w:type="pct"/>
        <w:tblInd w:w="0" w:type="dxa"/>
        <w:tblLayout w:type="fixed"/>
        <w:tblCellMar>
          <w:top w:w="0" w:type="dxa"/>
          <w:left w:w="108" w:type="dxa"/>
          <w:bottom w:w="0" w:type="dxa"/>
          <w:right w:w="108" w:type="dxa"/>
        </w:tblCellMar>
      </w:tblPr>
      <w:tblGrid>
        <w:gridCol w:w="4860"/>
        <w:gridCol w:w="1836"/>
        <w:gridCol w:w="1695"/>
      </w:tblGrid>
      <w:tr>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项目实施的必要性、公益性、</w:t>
            </w:r>
            <w:r>
              <w:rPr>
                <w:rFonts w:hint="eastAsia" w:ascii="仿宋" w:hAnsi="仿宋" w:eastAsia="仿宋" w:cs="仿宋"/>
                <w:bCs/>
                <w:snapToGrid w:val="0"/>
                <w:sz w:val="28"/>
                <w:szCs w:val="28"/>
                <w:lang w:val="en-US" w:eastAsia="zh-CN"/>
              </w:rPr>
              <w:t>经济</w:t>
            </w:r>
            <w:r>
              <w:rPr>
                <w:rFonts w:hint="eastAsia" w:ascii="仿宋" w:hAnsi="仿宋" w:eastAsia="仿宋" w:cs="仿宋"/>
                <w:bCs/>
                <w:snapToGrid w:val="0"/>
                <w:sz w:val="28"/>
                <w:szCs w:val="28"/>
                <w:lang w:eastAsia="zh-CN"/>
              </w:rPr>
              <w:t>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项目建设投资合规性与项目成熟度</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5</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5</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项目资金来源和到位可行性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5</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5</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13</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项目实施方案的有效性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5</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rPr>
            </w:pPr>
            <w:r>
              <w:rPr>
                <w:rFonts w:hint="default" w:ascii="仿宋" w:hAnsi="仿宋" w:eastAsia="仿宋" w:cs="仿宋"/>
                <w:b/>
                <w:bCs/>
                <w:color w:val="auto"/>
                <w:sz w:val="28"/>
                <w:szCs w:val="28"/>
              </w:rPr>
              <w:fldChar w:fldCharType="begin"/>
            </w:r>
            <w:r>
              <w:rPr>
                <w:rFonts w:hint="default" w:ascii="仿宋" w:hAnsi="仿宋" w:eastAsia="仿宋" w:cs="仿宋"/>
                <w:b/>
                <w:bCs/>
                <w:color w:val="auto"/>
                <w:sz w:val="28"/>
                <w:szCs w:val="28"/>
              </w:rPr>
              <w:instrText xml:space="preserve"> =SUM(ABOVE) \* MERGEFORMAT </w:instrText>
            </w:r>
            <w:r>
              <w:rPr>
                <w:rFonts w:hint="default" w:ascii="仿宋" w:hAnsi="仿宋" w:eastAsia="仿宋" w:cs="仿宋"/>
                <w:b/>
                <w:bCs/>
                <w:color w:val="auto"/>
                <w:sz w:val="28"/>
                <w:szCs w:val="28"/>
              </w:rPr>
              <w:fldChar w:fldCharType="separate"/>
            </w:r>
            <w:r>
              <w:rPr>
                <w:rFonts w:hint="default" w:ascii="仿宋" w:hAnsi="仿宋" w:eastAsia="仿宋" w:cs="仿宋"/>
                <w:b/>
                <w:bCs/>
                <w:color w:val="auto"/>
                <w:sz w:val="28"/>
                <w:szCs w:val="28"/>
              </w:rPr>
              <w:t>100</w:t>
            </w:r>
            <w:r>
              <w:rPr>
                <w:rFonts w:hint="default" w:ascii="仿宋" w:hAnsi="仿宋" w:eastAsia="仿宋" w:cs="仿宋"/>
                <w:b/>
                <w:bCs/>
                <w:color w:val="auto"/>
                <w:sz w:val="28"/>
                <w:szCs w:val="28"/>
              </w:rPr>
              <w:fldChar w:fldCharType="end"/>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90</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b/>
                <w:bCs/>
                <w:sz w:val="28"/>
                <w:szCs w:val="28"/>
                <w:lang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ind w:firstLine="640"/>
        <w:rPr>
          <w:rFonts w:hint="eastAsia" w:ascii="宋体" w:hAnsi="宋体" w:eastAsia="宋体" w:cs="宋体"/>
          <w:lang w:eastAsia="zh-CN"/>
        </w:rPr>
      </w:pPr>
    </w:p>
    <w:p>
      <w:pPr>
        <w:ind w:firstLine="640"/>
        <w:rPr>
          <w:rFonts w:eastAsia="宋体"/>
          <w:szCs w:val="32"/>
          <w:lang w:eastAsia="zh-CN"/>
        </w:rPr>
      </w:pPr>
      <w:r>
        <w:rPr>
          <w:rFonts w:eastAsia="宋体"/>
          <w:szCs w:val="32"/>
          <w:lang w:eastAsia="zh-CN"/>
        </w:rPr>
        <w:br w:type="page"/>
      </w:r>
    </w:p>
    <w:p>
      <w:pPr>
        <w:pStyle w:val="15"/>
        <w:tabs>
          <w:tab w:val="right" w:leader="dot" w:pos="8306"/>
        </w:tabs>
        <w:spacing w:before="0" w:after="0" w:line="500" w:lineRule="exact"/>
        <w:ind w:firstLine="883"/>
        <w:jc w:val="center"/>
        <w:rPr>
          <w:rFonts w:hint="eastAsia" w:ascii="仿宋" w:hAnsi="仿宋" w:eastAsia="仿宋" w:cs="仿宋"/>
          <w:b/>
          <w:bCs/>
          <w:caps/>
          <w:color w:val="000000"/>
          <w:sz w:val="24"/>
          <w:szCs w:val="20"/>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_Toc18561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_Toc18561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_Toc5791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_Toc5791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_Toc12727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_Toc12727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_Toc24204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（三）项目预算构成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_Toc24204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_Toc29285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_Toc29285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_Toc27074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_Toc27074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_Toc9504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_Toc9504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_Toc8214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_Toc8214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_Toc13239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_Toc13239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_Toc2109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_Toc2109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_Toc17824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_Toc17824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_Toc24834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_Toc24834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_Toc18151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_Toc18151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_Toc5389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_Toc5389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_Toc29516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_Toc29516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_Toc26088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w:t>
      </w:r>
      <w:r>
        <w:rPr>
          <w:rFonts w:hint="eastAsia" w:ascii="仿宋" w:hAnsi="仿宋" w:eastAsia="仿宋" w:cs="仿宋"/>
          <w:kern w:val="44"/>
          <w:sz w:val="24"/>
          <w:szCs w:val="24"/>
          <w:lang w:val="en-US" w:eastAsia="zh-CN"/>
        </w:rPr>
        <w:t>经济</w:t>
      </w:r>
      <w:r>
        <w:rPr>
          <w:rFonts w:hint="eastAsia" w:ascii="仿宋" w:hAnsi="仿宋" w:eastAsia="仿宋" w:cs="仿宋"/>
          <w:kern w:val="44"/>
          <w:sz w:val="24"/>
          <w:szCs w:val="24"/>
          <w:lang w:eastAsia="zh-CN"/>
        </w:rPr>
        <w:t>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_Toc26088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_Toc28607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_Toc28607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_Toc20517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_Toc20517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_Toc3169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_Toc3169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_Toc31193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_Toc31193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_Toc23450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(六)项目实施方案的有效性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_Toc23450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_Toc17864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_Toc17864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_Toc28447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_Toc28447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_Toc14568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_Toc14568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_Toc20945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sz w:val="24"/>
          <w:szCs w:val="24"/>
          <w:highlight w:val="none"/>
          <w:lang w:eastAsia="zh-CN"/>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_Toc20945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_Toc3382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(一)未按照合同约定支付经费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_Toc3382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_Toc19930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w:t>
      </w:r>
      <w:r>
        <w:rPr>
          <w:rFonts w:hint="eastAsia" w:ascii="仿宋" w:hAnsi="仿宋" w:eastAsia="仿宋" w:cs="仿宋"/>
          <w:bCs/>
          <w:sz w:val="24"/>
          <w:szCs w:val="24"/>
          <w:lang w:val="en-US" w:eastAsia="zh-CN"/>
        </w:rPr>
        <w:t>园林养护等实施成果存在的不足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_Toc19930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_Toc25577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_Toc25577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tabs>
          <w:tab w:val="right" w:leader="dot" w:pos="8306"/>
        </w:tabs>
        <w:spacing w:before="0" w:after="0" w:line="500" w:lineRule="exact"/>
        <w:ind w:firstLine="480"/>
        <w:jc w:val="center"/>
        <w:rPr>
          <w:rFonts w:eastAsia="宋体"/>
          <w:sz w:val="28"/>
          <w:szCs w:val="28"/>
          <w:lang w:eastAsia="zh-CN"/>
        </w:rPr>
      </w:pPr>
      <w:r>
        <w:rPr>
          <w:rFonts w:hint="eastAsia" w:ascii="仿宋" w:hAnsi="仿宋" w:eastAsia="仿宋" w:cs="仿宋"/>
          <w:sz w:val="24"/>
        </w:rPr>
        <w:fldChar w:fldCharType="end"/>
      </w:r>
    </w:p>
    <w:p>
      <w:pPr>
        <w:pStyle w:val="15"/>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6" w:name="_Toc27205"/>
      <w:bookmarkStart w:id="47" w:name="_Toc25760"/>
      <w:bookmarkStart w:id="48" w:name="_Toc18501"/>
      <w:bookmarkStart w:id="49" w:name="_Toc28591"/>
      <w:bookmarkStart w:id="50" w:name="_Toc11127"/>
      <w:bookmarkStart w:id="51" w:name="_Toc130033874"/>
      <w:bookmarkStart w:id="52" w:name="_Toc562319121"/>
      <w:bookmarkStart w:id="53" w:name="_Toc792595118"/>
      <w:bookmarkStart w:id="54" w:name="_Toc133498022"/>
      <w:bookmarkStart w:id="55" w:name="_Toc22608"/>
      <w:bookmarkStart w:id="56" w:name="_Toc132480512"/>
      <w:bookmarkStart w:id="57" w:name="_Toc1675062758"/>
      <w:bookmarkStart w:id="58" w:name="_Toc1042875910_WPSOffice_Level1"/>
      <w:bookmarkStart w:id="59" w:name="_Toc13216"/>
      <w:bookmarkStart w:id="60" w:name="_Toc132480957"/>
      <w:bookmarkStart w:id="61" w:name="_Toc1902724683"/>
      <w:bookmarkStart w:id="62" w:name="_Toc400713784"/>
      <w:bookmarkStart w:id="63" w:name="_Toc17291"/>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乐山市金口河区住房和城乡建设局</w:t>
      </w:r>
      <w:bookmarkEnd w:id="46"/>
      <w:bookmarkEnd w:id="47"/>
    </w:p>
    <w:bookmarkEnd w:id="48"/>
    <w:bookmarkEnd w:id="49"/>
    <w:bookmarkEnd w:id="50"/>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64" w:name="_Toc26091"/>
      <w:bookmarkStart w:id="65" w:name="_Toc26314"/>
      <w:bookmarkStart w:id="66" w:name="_Toc25169"/>
      <w:bookmarkStart w:id="67" w:name="_Toc18917"/>
      <w:bookmarkStart w:id="68" w:name="_Toc32549"/>
      <w:r>
        <w:rPr>
          <w:rFonts w:hint="eastAsia" w:ascii="方正小标宋简体" w:hAnsi="方正小标宋简体" w:eastAsia="方正小标宋简体" w:cs="方正小标宋简体"/>
          <w:b w:val="0"/>
          <w:bCs w:val="0"/>
          <w:lang w:eastAsia="zh-CN"/>
        </w:rPr>
        <w:t>城区园林绿化购买社会养护服务项目</w:t>
      </w:r>
      <w:bookmarkEnd w:id="64"/>
      <w:bookmarkEnd w:id="65"/>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69" w:name="_Toc13059"/>
      <w:bookmarkStart w:id="70" w:name="_Toc30980"/>
      <w:bookmarkStart w:id="71" w:name="_Toc12896"/>
      <w:r>
        <w:rPr>
          <w:rFonts w:hint="eastAsia" w:ascii="方正小标宋简体" w:hAnsi="方正小标宋简体" w:eastAsia="方正小标宋简体" w:cs="方正小标宋简体"/>
          <w:b w:val="0"/>
          <w:bCs w:val="0"/>
          <w:lang w:eastAsia="zh-CN"/>
        </w:rPr>
        <w:t>事前绩效评价报告</w:t>
      </w:r>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bookmarkEnd w:id="70"/>
      <w:bookmarkEnd w:id="71"/>
    </w:p>
    <w:p>
      <w:pPr>
        <w:ind w:firstLine="640"/>
        <w:rPr>
          <w:lang w:eastAsia="zh-CN"/>
        </w:rPr>
      </w:pPr>
    </w:p>
    <w:p>
      <w:pPr>
        <w:pStyle w:val="2"/>
        <w:numPr>
          <w:numId w:val="0"/>
        </w:numPr>
        <w:spacing w:before="0" w:beforeLines="0" w:after="0" w:afterLines="0"/>
        <w:ind w:leftChars="0" w:firstLine="640" w:firstLineChars="200"/>
        <w:rPr>
          <w:rFonts w:hint="eastAsia" w:ascii="黑体" w:hAnsi="黑体" w:eastAsia="黑体" w:cs="黑体"/>
          <w:b w:val="0"/>
          <w:color w:val="auto"/>
          <w:kern w:val="0"/>
          <w:sz w:val="32"/>
          <w:szCs w:val="24"/>
          <w:lang w:val="en-US" w:eastAsia="zh-CN" w:bidi="en-US"/>
        </w:rPr>
      </w:pPr>
      <w:bookmarkStart w:id="72" w:name="_Toc2225"/>
      <w:bookmarkStart w:id="73" w:name="_Toc4405"/>
      <w:bookmarkStart w:id="74" w:name="_Toc1416645183"/>
      <w:bookmarkStart w:id="75" w:name="_Toc305085885"/>
      <w:bookmarkStart w:id="76" w:name="_Toc18561"/>
      <w:bookmarkStart w:id="77" w:name="_Toc2001376203_WPSOffice_Level1"/>
      <w:bookmarkStart w:id="78" w:name="_Toc132480958"/>
      <w:bookmarkStart w:id="79" w:name="_Toc287850696"/>
      <w:bookmarkStart w:id="80" w:name="_Toc7797"/>
      <w:bookmarkStart w:id="81" w:name="_Toc1969419847"/>
      <w:r>
        <w:rPr>
          <w:rFonts w:hint="eastAsia" w:ascii="黑体" w:hAnsi="黑体" w:eastAsia="黑体" w:cs="黑体"/>
          <w:b w:val="0"/>
          <w:color w:val="auto"/>
          <w:kern w:val="0"/>
          <w:sz w:val="32"/>
          <w:szCs w:val="24"/>
          <w:lang w:val="en-US" w:eastAsia="zh-CN" w:bidi="en-US"/>
        </w:rPr>
        <w:t>一、项目基本情况</w:t>
      </w:r>
      <w:bookmarkEnd w:id="72"/>
      <w:bookmarkEnd w:id="73"/>
      <w:bookmarkEnd w:id="74"/>
      <w:bookmarkEnd w:id="75"/>
      <w:bookmarkEnd w:id="76"/>
      <w:bookmarkEnd w:id="77"/>
      <w:bookmarkEnd w:id="78"/>
      <w:bookmarkEnd w:id="79"/>
      <w:bookmarkEnd w:id="80"/>
      <w:bookmarkEnd w:id="81"/>
    </w:p>
    <w:p>
      <w:pPr>
        <w:pStyle w:val="3"/>
        <w:spacing w:before="0" w:beforeLines="0" w:after="0" w:afterLines="0" w:line="580" w:lineRule="exact"/>
        <w:ind w:firstLineChars="0"/>
        <w:rPr>
          <w:rFonts w:hint="eastAsia" w:ascii="楷体" w:hAnsi="楷体" w:eastAsia="楷体" w:cs="楷体"/>
          <w:b w:val="0"/>
          <w:bCs/>
          <w:szCs w:val="32"/>
          <w:lang w:eastAsia="zh-CN"/>
        </w:rPr>
      </w:pPr>
      <w:bookmarkStart w:id="82" w:name="_Toc1042875910_WPSOffice_Level2"/>
      <w:bookmarkStart w:id="83" w:name="_Toc19438"/>
      <w:bookmarkStart w:id="84" w:name="_Toc873917318"/>
      <w:bookmarkStart w:id="85" w:name="_Toc1773474628"/>
      <w:bookmarkStart w:id="86" w:name="_Toc1535003806"/>
      <w:bookmarkStart w:id="87" w:name="_Toc404396392"/>
      <w:bookmarkStart w:id="88" w:name="_Toc132480959"/>
      <w:bookmarkStart w:id="89" w:name="_Toc14550"/>
      <w:bookmarkStart w:id="90" w:name="_Toc27921"/>
      <w:bookmarkStart w:id="91" w:name="_Toc5791"/>
      <w:r>
        <w:rPr>
          <w:rFonts w:hint="eastAsia" w:ascii="楷体" w:hAnsi="楷体" w:eastAsia="楷体" w:cs="楷体"/>
          <w:b w:val="0"/>
          <w:bCs/>
          <w:szCs w:val="32"/>
          <w:lang w:eastAsia="zh-CN"/>
        </w:rPr>
        <w:t>（一）</w:t>
      </w:r>
      <w:r>
        <w:rPr>
          <w:rFonts w:hint="eastAsia" w:ascii="楷体" w:hAnsi="楷体" w:eastAsia="楷体" w:cs="楷体"/>
          <w:b w:val="0"/>
          <w:color w:val="auto"/>
          <w:kern w:val="0"/>
          <w:sz w:val="32"/>
          <w:szCs w:val="24"/>
          <w:lang w:val="en-US" w:eastAsia="zh-CN" w:bidi="en-US"/>
        </w:rPr>
        <w:t>项目建设</w:t>
      </w:r>
      <w:bookmarkEnd w:id="82"/>
      <w:bookmarkEnd w:id="83"/>
      <w:bookmarkEnd w:id="84"/>
      <w:bookmarkEnd w:id="85"/>
      <w:bookmarkEnd w:id="86"/>
      <w:bookmarkEnd w:id="87"/>
      <w:bookmarkEnd w:id="88"/>
      <w:bookmarkEnd w:id="89"/>
      <w:bookmarkEnd w:id="90"/>
      <w:bookmarkStart w:id="92" w:name="_Toc18961"/>
      <w:bookmarkStart w:id="93" w:name="_Toc23032"/>
      <w:bookmarkStart w:id="94" w:name="_Toc27403"/>
      <w:bookmarkStart w:id="95" w:name="_Toc133498025"/>
      <w:bookmarkStart w:id="96" w:name="_Toc20062"/>
      <w:bookmarkStart w:id="97" w:name="_Toc12111"/>
      <w:bookmarkStart w:id="98" w:name="_Toc9639"/>
      <w:bookmarkStart w:id="99" w:name="_Toc1862536083"/>
      <w:bookmarkStart w:id="100" w:name="_Toc1087916031"/>
      <w:bookmarkStart w:id="101" w:name="_Toc130033877"/>
      <w:bookmarkStart w:id="102" w:name="_Toc1287701793"/>
      <w:bookmarkStart w:id="103" w:name="_Toc1042875910_WPSOffice_Level3"/>
      <w:bookmarkStart w:id="104" w:name="_Toc2051901236"/>
      <w:r>
        <w:rPr>
          <w:rFonts w:hint="eastAsia" w:ascii="楷体" w:hAnsi="楷体" w:eastAsia="楷体" w:cs="楷体"/>
          <w:b w:val="0"/>
          <w:color w:val="auto"/>
          <w:kern w:val="0"/>
          <w:sz w:val="32"/>
          <w:szCs w:val="24"/>
          <w:lang w:val="en-US" w:eastAsia="zh-CN" w:bidi="en-US"/>
        </w:rPr>
        <w:t>背景</w:t>
      </w:r>
      <w:bookmarkEnd w:id="91"/>
      <w:bookmarkEnd w:id="92"/>
      <w:bookmarkEnd w:id="93"/>
      <w:bookmarkEnd w:id="94"/>
      <w:bookmarkEnd w:id="95"/>
      <w:bookmarkEnd w:id="96"/>
      <w:bookmarkEnd w:id="97"/>
    </w:p>
    <w:p>
      <w:pPr>
        <w:adjustRightInd w:val="0"/>
        <w:snapToGrid w:val="0"/>
        <w:spacing w:line="520" w:lineRule="exact"/>
        <w:ind w:left="0" w:leftChars="0" w:firstLine="640" w:firstLineChars="200"/>
        <w:rPr>
          <w:rFonts w:hint="eastAsia" w:ascii="仿宋" w:hAnsi="仿宋" w:eastAsia="仿宋" w:cs="仿宋"/>
          <w:b w:val="0"/>
          <w:color w:val="auto"/>
          <w:kern w:val="0"/>
          <w:sz w:val="32"/>
          <w:szCs w:val="24"/>
          <w:lang w:val="en-US" w:eastAsia="zh-CN" w:bidi="en-US"/>
        </w:rPr>
      </w:pPr>
      <w:r>
        <w:rPr>
          <w:rFonts w:hint="eastAsia" w:ascii="仿宋" w:hAnsi="仿宋" w:eastAsia="仿宋" w:cs="仿宋"/>
          <w:b w:val="0"/>
          <w:color w:val="auto"/>
          <w:kern w:val="0"/>
          <w:sz w:val="32"/>
          <w:szCs w:val="24"/>
          <w:lang w:val="en-US" w:eastAsia="zh-CN" w:bidi="en-US"/>
        </w:rPr>
        <w:t>城区园林绿化购买社会养护服务项目经金口河区人民政府同意，通过政府采购，确定第三方服务机构养护管理城市园林绿化，不仅优化了政府职能，减少了资金投入。同时，通过借助引进专业园林绿化养护队伍，提高了金口河区城市绿化环境，满足了人民群众日益增加的精神文明需求。</w:t>
      </w:r>
    </w:p>
    <w:p>
      <w:pPr>
        <w:spacing w:line="600" w:lineRule="exact"/>
        <w:ind w:firstLine="640"/>
        <w:rPr>
          <w:rFonts w:hint="eastAsia" w:ascii="仿宋" w:hAnsi="仿宋" w:eastAsia="仿宋" w:cs="仿宋"/>
          <w:bCs/>
          <w:spacing w:val="8"/>
          <w:szCs w:val="32"/>
          <w:lang w:eastAsia="zh-CN"/>
        </w:rPr>
      </w:pPr>
      <w:r>
        <w:rPr>
          <w:rFonts w:hint="eastAsia" w:ascii="仿宋" w:hAnsi="仿宋" w:eastAsia="仿宋" w:cs="仿宋"/>
          <w:b w:val="0"/>
          <w:color w:val="auto"/>
          <w:kern w:val="0"/>
          <w:sz w:val="32"/>
          <w:szCs w:val="24"/>
          <w:lang w:val="en-US" w:eastAsia="zh-CN" w:bidi="en-US"/>
        </w:rPr>
        <w:t>为了进一步提升城区园林绿化景观效果，提高园林绿化养护质量，使其继续得到更专业的养护，保持国家卫生城市形象，将金口河区打造成环境优美的旅游城市。乐山市金口河区住房和城乡建设局继续通过购买第三方服务机构养护管理城市园林绿化，将新增绿地、公园、停车场一并纳入管护范围，引进专业的园林绿化养护队伍，借助其优质先进的园林绿化养护管理技术，把金口河区打造成环境优美、生态良好、人居和谐的宜居城市</w:t>
      </w:r>
      <w:r>
        <w:rPr>
          <w:rFonts w:hint="eastAsia" w:ascii="仿宋" w:hAnsi="仿宋" w:eastAsia="仿宋" w:cs="仿宋"/>
          <w:bCs/>
          <w:kern w:val="2"/>
          <w:szCs w:val="32"/>
          <w:lang w:eastAsia="zh-CN" w:bidi="ar-SA"/>
        </w:rPr>
        <w:t>。</w:t>
      </w:r>
    </w:p>
    <w:bookmarkEnd w:id="98"/>
    <w:bookmarkEnd w:id="99"/>
    <w:bookmarkEnd w:id="100"/>
    <w:bookmarkEnd w:id="101"/>
    <w:bookmarkEnd w:id="102"/>
    <w:bookmarkEnd w:id="103"/>
    <w:bookmarkEnd w:id="104"/>
    <w:p>
      <w:pPr>
        <w:pStyle w:val="3"/>
        <w:spacing w:before="0" w:beforeLines="0" w:after="0" w:afterLines="0" w:line="580" w:lineRule="exact"/>
        <w:ind w:firstLineChars="0"/>
        <w:rPr>
          <w:rFonts w:hint="eastAsia" w:ascii="楷体" w:hAnsi="楷体" w:eastAsia="楷体" w:cs="楷体"/>
          <w:b w:val="0"/>
          <w:bCs/>
          <w:szCs w:val="32"/>
          <w:lang w:eastAsia="zh-CN"/>
        </w:rPr>
      </w:pPr>
      <w:bookmarkStart w:id="105" w:name="_Toc17740"/>
      <w:bookmarkStart w:id="106" w:name="_Toc1093480860_WPSOffice_Level3"/>
      <w:bookmarkStart w:id="107" w:name="_Toc12727"/>
      <w:bookmarkStart w:id="108" w:name="_Toc865934723"/>
      <w:bookmarkStart w:id="109" w:name="_Toc15651"/>
      <w:bookmarkStart w:id="110" w:name="_Toc130033880"/>
      <w:bookmarkStart w:id="111" w:name="_Toc15203"/>
      <w:bookmarkStart w:id="112" w:name="_Toc12980"/>
      <w:bookmarkStart w:id="113" w:name="_Toc24844"/>
      <w:bookmarkStart w:id="114" w:name="_Toc17270"/>
      <w:bookmarkStart w:id="115" w:name="_Toc1372691542"/>
      <w:bookmarkStart w:id="116" w:name="_Toc153907914"/>
      <w:bookmarkStart w:id="117" w:name="_Toc1491763895"/>
      <w:bookmarkStart w:id="118" w:name="_Toc133498028"/>
      <w:r>
        <w:rPr>
          <w:rFonts w:hint="eastAsia" w:ascii="楷体" w:hAnsi="楷体" w:eastAsia="楷体" w:cs="楷体"/>
          <w:b w:val="0"/>
          <w:bCs/>
          <w:szCs w:val="32"/>
          <w:lang w:eastAsia="zh-CN"/>
        </w:rPr>
        <w:t>（二）</w:t>
      </w:r>
      <w:r>
        <w:rPr>
          <w:rFonts w:hint="eastAsia" w:ascii="楷体" w:hAnsi="楷体" w:eastAsia="楷体" w:cs="楷体"/>
          <w:b w:val="0"/>
          <w:bCs/>
          <w:szCs w:val="32"/>
          <w:lang w:val="en-US" w:eastAsia="zh-CN"/>
        </w:rPr>
        <w:t>项目主要内容</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1.</w:t>
      </w:r>
      <w:r>
        <w:rPr>
          <w:rFonts w:hint="eastAsia" w:ascii="仿宋" w:hAnsi="仿宋" w:eastAsia="仿宋" w:cs="仿宋"/>
          <w:b w:val="0"/>
          <w:color w:val="auto"/>
          <w:kern w:val="0"/>
          <w:sz w:val="32"/>
          <w:szCs w:val="24"/>
          <w:lang w:val="zh-CN" w:eastAsia="zh-CN" w:bidi="en-US"/>
        </w:rPr>
        <w:t>项目基本情况</w:t>
      </w:r>
      <w:r>
        <w:rPr>
          <w:rFonts w:hint="eastAsia" w:ascii="仿宋" w:hAnsi="仿宋" w:eastAsia="仿宋" w:cs="仿宋"/>
          <w:bCs/>
          <w:szCs w:val="32"/>
          <w:lang w:val="zh-CN" w:eastAsia="zh-CN"/>
        </w:rPr>
        <w:t>：</w:t>
      </w:r>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项目名称：城</w:t>
      </w:r>
      <w:r>
        <w:rPr>
          <w:rFonts w:hint="eastAsia" w:ascii="仿宋" w:hAnsi="仿宋" w:eastAsia="仿宋" w:cs="仿宋"/>
          <w:b w:val="0"/>
          <w:color w:val="auto"/>
          <w:kern w:val="0"/>
          <w:sz w:val="32"/>
          <w:szCs w:val="24"/>
          <w:lang w:val="zh-CN" w:eastAsia="zh-CN" w:bidi="en-US"/>
        </w:rPr>
        <w:t>区园林绿化购买社会养护服务项目</w:t>
      </w:r>
    </w:p>
    <w:p>
      <w:pPr>
        <w:widowControl/>
        <w:spacing w:line="600" w:lineRule="exact"/>
        <w:ind w:firstLine="640"/>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b w:val="0"/>
          <w:color w:val="auto"/>
          <w:kern w:val="0"/>
          <w:sz w:val="32"/>
          <w:szCs w:val="24"/>
          <w:lang w:val="zh-CN" w:eastAsia="zh-CN" w:bidi="en-US"/>
        </w:rPr>
        <w:t>乐山市金口河区住房和城乡建设</w:t>
      </w:r>
      <w:r>
        <w:rPr>
          <w:rFonts w:hint="eastAsia" w:ascii="仿宋" w:hAnsi="仿宋" w:eastAsia="仿宋" w:cs="仿宋"/>
          <w:szCs w:val="32"/>
          <w:lang w:val="zh-CN" w:eastAsia="zh-CN"/>
        </w:rPr>
        <w:t>局</w:t>
      </w:r>
    </w:p>
    <w:p>
      <w:pPr>
        <w:widowControl/>
        <w:spacing w:line="600" w:lineRule="exact"/>
        <w:ind w:firstLine="640"/>
        <w:rPr>
          <w:rFonts w:hint="eastAsia" w:ascii="仿宋" w:hAnsi="仿宋" w:eastAsia="仿宋" w:cs="仿宋"/>
          <w:szCs w:val="32"/>
          <w:lang w:val="zh-CN" w:eastAsia="zh-CN"/>
        </w:rPr>
      </w:pPr>
      <w:r>
        <w:rPr>
          <w:rFonts w:hint="eastAsia" w:ascii="仿宋_GB2312"/>
          <w:szCs w:val="32"/>
          <w:lang w:eastAsia="zh-CN"/>
        </w:rPr>
        <w:t>主管部门：乐山市金口河区住房和城乡建设局</w:t>
      </w:r>
    </w:p>
    <w:p>
      <w:pPr>
        <w:widowControl/>
        <w:spacing w:line="600" w:lineRule="exact"/>
        <w:ind w:firstLine="640"/>
        <w:rPr>
          <w:rFonts w:hint="eastAsia" w:ascii="仿宋" w:hAnsi="仿宋" w:eastAsia="仿宋" w:cs="仿宋"/>
          <w:bCs/>
          <w:szCs w:val="32"/>
          <w:lang w:eastAsia="zh-CN"/>
        </w:rPr>
      </w:pPr>
      <w:r>
        <w:rPr>
          <w:rFonts w:hint="eastAsia" w:ascii="仿宋" w:hAnsi="仿宋" w:eastAsia="仿宋" w:cs="仿宋"/>
          <w:b w:val="0"/>
          <w:color w:val="auto"/>
          <w:kern w:val="0"/>
          <w:sz w:val="32"/>
          <w:szCs w:val="24"/>
          <w:lang w:val="zh-CN" w:eastAsia="zh-CN" w:bidi="en-US"/>
        </w:rPr>
        <w:t>项目属性（新增/延续）：</w:t>
      </w:r>
      <w:r>
        <w:rPr>
          <w:rFonts w:hint="eastAsia" w:ascii="仿宋" w:hAnsi="仿宋" w:eastAsia="仿宋" w:cs="仿宋"/>
          <w:b w:val="0"/>
          <w:color w:val="auto"/>
          <w:kern w:val="0"/>
          <w:sz w:val="32"/>
          <w:szCs w:val="24"/>
          <w:lang w:val="en-US" w:eastAsia="zh-CN" w:bidi="en-US"/>
        </w:rPr>
        <w:t>延续</w:t>
      </w:r>
      <w:r>
        <w:rPr>
          <w:rFonts w:hint="eastAsia" w:ascii="仿宋" w:hAnsi="仿宋" w:eastAsia="仿宋" w:cs="仿宋"/>
          <w:b w:val="0"/>
          <w:color w:val="auto"/>
          <w:kern w:val="0"/>
          <w:sz w:val="32"/>
          <w:szCs w:val="24"/>
          <w:lang w:val="zh-CN" w:eastAsia="zh-CN" w:bidi="en-US"/>
        </w:rPr>
        <w:t>性项目</w:t>
      </w:r>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2.</w:t>
      </w:r>
      <w:r>
        <w:rPr>
          <w:rFonts w:hint="eastAsia" w:ascii="仿宋_GB2312"/>
          <w:szCs w:val="32"/>
          <w:lang w:val="zh-CN" w:eastAsia="zh-CN"/>
        </w:rPr>
        <w:t>项目绩效目标</w:t>
      </w:r>
      <w:r>
        <w:rPr>
          <w:rFonts w:hint="eastAsia" w:ascii="仿宋" w:hAnsi="仿宋" w:eastAsia="仿宋" w:cs="仿宋"/>
          <w:bCs/>
          <w:szCs w:val="32"/>
          <w:lang w:val="zh-CN" w:eastAsia="zh-CN"/>
        </w:rPr>
        <w:t>：</w:t>
      </w:r>
    </w:p>
    <w:p>
      <w:pPr>
        <w:widowControl/>
        <w:spacing w:line="600" w:lineRule="exact"/>
        <w:ind w:firstLine="640"/>
        <w:rPr>
          <w:rFonts w:hint="default" w:ascii="仿宋_GB2312" w:hAnsi="宋体" w:eastAsia="仿宋_GB2312"/>
          <w:sz w:val="32"/>
          <w:szCs w:val="32"/>
          <w:lang w:val="en-US" w:eastAsia="zh-CN"/>
        </w:rPr>
      </w:pPr>
      <w:r>
        <w:rPr>
          <w:rFonts w:hint="eastAsia" w:ascii="仿宋_GB2312" w:hAnsi="宋体"/>
          <w:sz w:val="32"/>
          <w:szCs w:val="32"/>
          <w:lang w:val="en-US" w:eastAsia="zh-CN"/>
        </w:rPr>
        <w:t>(1)</w:t>
      </w:r>
      <w:r>
        <w:rPr>
          <w:rFonts w:hint="eastAsia" w:ascii="仿宋_GB2312"/>
          <w:szCs w:val="32"/>
          <w:lang w:val="en-US" w:eastAsia="zh-CN"/>
        </w:rPr>
        <w:t>中长期目标</w:t>
      </w:r>
    </w:p>
    <w:p>
      <w:pPr>
        <w:widowControl/>
        <w:spacing w:line="600" w:lineRule="exact"/>
        <w:ind w:firstLine="640"/>
        <w:rPr>
          <w:rFonts w:hint="eastAsia" w:ascii="仿宋_GB2312" w:hAnsi="宋体" w:eastAsia="仿宋_GB2312"/>
          <w:sz w:val="32"/>
          <w:szCs w:val="32"/>
          <w:lang w:val="en-US" w:eastAsia="zh-CN"/>
        </w:rPr>
      </w:pPr>
      <w:r>
        <w:rPr>
          <w:rFonts w:hint="eastAsia" w:ascii="仿宋_GB2312"/>
          <w:szCs w:val="32"/>
          <w:lang w:val="en-US" w:eastAsia="zh-CN"/>
        </w:rPr>
        <w:t>通过三年购买第三方服务，提升城区园林绿化景观效果，提高园林绿化养护质量</w:t>
      </w:r>
      <w:r>
        <w:rPr>
          <w:rFonts w:hint="eastAsia" w:ascii="仿宋_GB2312" w:hAnsi="宋体" w:eastAsia="仿宋_GB2312"/>
          <w:sz w:val="32"/>
          <w:szCs w:val="32"/>
          <w:lang w:val="en-US" w:eastAsia="zh-CN"/>
        </w:rPr>
        <w:t>。</w:t>
      </w:r>
    </w:p>
    <w:p>
      <w:pPr>
        <w:widowControl/>
        <w:spacing w:line="600" w:lineRule="exact"/>
        <w:ind w:firstLine="64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szCs w:val="32"/>
          <w:lang w:val="en-US" w:eastAsia="zh-CN"/>
        </w:rPr>
        <w:t>年度目标</w:t>
      </w:r>
    </w:p>
    <w:p>
      <w:pPr>
        <w:widowControl/>
        <w:spacing w:line="600" w:lineRule="exact"/>
        <w:ind w:firstLine="640"/>
        <w:rPr>
          <w:rFonts w:hint="eastAsia" w:ascii="仿宋" w:hAnsi="仿宋" w:eastAsia="仿宋" w:cs="仿宋"/>
          <w:bCs/>
          <w:szCs w:val="32"/>
          <w:lang w:val="zh-CN" w:eastAsia="zh-CN"/>
        </w:rPr>
      </w:pPr>
      <w:r>
        <w:rPr>
          <w:rFonts w:hint="eastAsia" w:ascii="仿宋_GB2312"/>
          <w:szCs w:val="32"/>
          <w:lang w:val="en-US" w:eastAsia="zh-CN"/>
        </w:rPr>
        <w:t>对绿地、公园、广场和区政府楼前后的绿化带、行道树、3个停车场及三个公厕等园林绿化进行管理，提升园林绿化景观效果，提高园林绿化养护质量。向广大人民群众提供环境优美、干净整洁的休闲场所</w:t>
      </w:r>
      <w:r>
        <w:rPr>
          <w:rFonts w:hint="eastAsia" w:ascii="仿宋_GB2312" w:hAnsi="仿宋_GB2312" w:eastAsia="仿宋_GB2312" w:cs="仿宋_GB2312"/>
          <w:sz w:val="32"/>
          <w:szCs w:val="32"/>
        </w:rPr>
        <w:t>。</w:t>
      </w:r>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3.</w:t>
      </w:r>
      <w:r>
        <w:rPr>
          <w:rFonts w:hint="eastAsia" w:ascii="仿宋_GB2312"/>
          <w:szCs w:val="32"/>
          <w:lang w:val="zh-CN" w:eastAsia="zh-CN"/>
        </w:rPr>
        <w:t>项目概况</w:t>
      </w:r>
      <w:r>
        <w:rPr>
          <w:rFonts w:hint="eastAsia" w:ascii="仿宋" w:hAnsi="仿宋" w:eastAsia="仿宋" w:cs="仿宋"/>
          <w:bCs/>
          <w:szCs w:val="32"/>
          <w:lang w:val="zh-CN" w:eastAsia="zh-CN"/>
        </w:rPr>
        <w:t>：</w:t>
      </w:r>
    </w:p>
    <w:p>
      <w:pPr>
        <w:spacing w:line="600" w:lineRule="exact"/>
        <w:ind w:firstLine="640"/>
        <w:rPr>
          <w:rFonts w:hint="default" w:ascii="仿宋" w:hAnsi="仿宋" w:eastAsia="仿宋" w:cs="仿宋"/>
          <w:bCs/>
          <w:szCs w:val="32"/>
          <w:lang w:val="en-US" w:eastAsia="zh-CN"/>
        </w:rPr>
      </w:pPr>
      <w:bookmarkStart w:id="119" w:name="_Toc300186741"/>
      <w:bookmarkStart w:id="120" w:name="_Toc8112"/>
      <w:bookmarkStart w:id="121" w:name="_Toc16114"/>
      <w:bookmarkStart w:id="122" w:name="_Toc1256897804"/>
      <w:bookmarkStart w:id="123" w:name="_Toc2001376203_WPSOffice_Level2"/>
      <w:bookmarkStart w:id="124" w:name="_Toc510053535"/>
      <w:bookmarkStart w:id="125" w:name="_Toc386835874"/>
      <w:bookmarkStart w:id="126" w:name="_Toc132480960"/>
      <w:bookmarkStart w:id="127" w:name="_Toc20677"/>
      <w:r>
        <w:rPr>
          <w:rFonts w:hint="eastAsia" w:ascii="仿宋_GB2312"/>
          <w:szCs w:val="32"/>
          <w:lang w:val="en-US" w:eastAsia="zh-CN"/>
        </w:rPr>
        <w:t>城区园林绿化购买社会服务养护</w:t>
      </w:r>
      <w:r>
        <w:rPr>
          <w:rFonts w:hint="eastAsia" w:ascii="仿宋_GB2312"/>
          <w:szCs w:val="32"/>
          <w:lang w:val="zh-CN" w:eastAsia="zh-CN"/>
        </w:rPr>
        <w:t>项目主要包括:绿化养护面积34146.40平方米，公园、广场3处，养护城区行道树845株，古树名木2株，公共厕所保洁3处，箱栽植物养护263处，金韵广场喷泉设施维护2项。按照《CJJ/T287-2018园林绿化养护标准》标准执行</w:t>
      </w:r>
      <w:r>
        <w:rPr>
          <w:rFonts w:hint="eastAsia" w:ascii="仿宋" w:hAnsi="仿宋" w:eastAsia="仿宋" w:cs="仿宋"/>
          <w:bCs/>
          <w:szCs w:val="32"/>
          <w:lang w:val="zh-CN" w:eastAsia="zh-CN"/>
        </w:rPr>
        <w:t>。</w:t>
      </w:r>
    </w:p>
    <w:p>
      <w:pPr>
        <w:spacing w:line="600" w:lineRule="exact"/>
        <w:ind w:firstLine="640"/>
        <w:rPr>
          <w:rFonts w:hint="eastAsia" w:ascii="仿宋" w:hAnsi="仿宋" w:eastAsia="仿宋" w:cs="仿宋"/>
          <w:bCs/>
          <w:szCs w:val="32"/>
          <w:lang w:eastAsia="zh-CN"/>
        </w:rPr>
      </w:pPr>
      <w:r>
        <w:rPr>
          <w:rFonts w:hint="eastAsia" w:ascii="仿宋" w:hAnsi="仿宋" w:eastAsia="仿宋" w:cs="仿宋"/>
          <w:bCs/>
          <w:szCs w:val="32"/>
          <w:lang w:eastAsia="zh-CN"/>
        </w:rPr>
        <w:t>4.</w:t>
      </w:r>
      <w:r>
        <w:rPr>
          <w:rFonts w:hint="eastAsia" w:ascii="仿宋_GB2312"/>
          <w:szCs w:val="32"/>
          <w:lang w:val="zh-CN" w:eastAsia="zh-CN"/>
        </w:rPr>
        <w:t>项目实施过程</w:t>
      </w:r>
    </w:p>
    <w:p>
      <w:pPr>
        <w:spacing w:line="600" w:lineRule="exact"/>
        <w:ind w:firstLine="640"/>
        <w:rPr>
          <w:rFonts w:hint="default" w:ascii="仿宋" w:hAnsi="仿宋" w:eastAsia="仿宋" w:cs="仿宋"/>
          <w:bCs/>
          <w:szCs w:val="32"/>
          <w:lang w:val="en-US" w:eastAsia="zh-CN"/>
        </w:rPr>
      </w:pPr>
      <w:r>
        <w:rPr>
          <w:rFonts w:hint="eastAsia" w:ascii="仿宋_GB2312"/>
          <w:szCs w:val="32"/>
          <w:lang w:val="en-US" w:eastAsia="zh-CN"/>
        </w:rPr>
        <w:t>2024年1月26日，经金口河区人民政府关于《关于解决城区园林绿化购买社会服务养护经费的请求》</w:t>
      </w:r>
      <w:r>
        <w:rPr>
          <w:rFonts w:hint="eastAsia" w:ascii="仿宋_GB2312"/>
          <w:szCs w:val="32"/>
          <w:lang w:val="zh-CN" w:eastAsia="zh-CN"/>
        </w:rPr>
        <w:t>(金府复〔202</w:t>
      </w:r>
      <w:r>
        <w:rPr>
          <w:rFonts w:hint="eastAsia" w:ascii="仿宋_GB2312"/>
          <w:szCs w:val="32"/>
          <w:lang w:val="en-US" w:eastAsia="zh-CN"/>
        </w:rPr>
        <w:t>4</w:t>
      </w:r>
      <w:r>
        <w:rPr>
          <w:rFonts w:hint="eastAsia" w:ascii="仿宋_GB2312"/>
          <w:szCs w:val="32"/>
          <w:lang w:val="zh-CN" w:eastAsia="zh-CN"/>
        </w:rPr>
        <w:t>〕</w:t>
      </w:r>
      <w:r>
        <w:rPr>
          <w:rFonts w:hint="eastAsia" w:ascii="仿宋_GB2312"/>
          <w:szCs w:val="32"/>
          <w:lang w:val="en-US" w:eastAsia="zh-CN"/>
        </w:rPr>
        <w:t>13</w:t>
      </w:r>
      <w:r>
        <w:rPr>
          <w:rFonts w:hint="eastAsia" w:ascii="仿宋_GB2312"/>
          <w:szCs w:val="32"/>
          <w:lang w:val="zh-CN" w:eastAsia="zh-CN"/>
        </w:rPr>
        <w:t>号)</w:t>
      </w:r>
      <w:r>
        <w:rPr>
          <w:rFonts w:hint="eastAsia" w:ascii="仿宋_GB2312"/>
          <w:szCs w:val="32"/>
          <w:lang w:val="en-US" w:eastAsia="zh-CN"/>
        </w:rPr>
        <w:t>文件批复，同意解决该项经费，资金控制在370.44万元以内</w:t>
      </w:r>
      <w:r>
        <w:rPr>
          <w:rFonts w:hint="eastAsia" w:ascii="仿宋" w:hAnsi="仿宋" w:eastAsia="仿宋" w:cs="仿宋"/>
          <w:bCs/>
          <w:szCs w:val="32"/>
          <w:lang w:val="en-US" w:eastAsia="zh-CN"/>
        </w:rPr>
        <w:t>。</w:t>
      </w:r>
    </w:p>
    <w:p>
      <w:pPr>
        <w:spacing w:line="600" w:lineRule="exact"/>
        <w:ind w:firstLine="640"/>
        <w:rPr>
          <w:rFonts w:hint="eastAsia" w:ascii="仿宋" w:hAnsi="仿宋" w:eastAsia="仿宋" w:cs="仿宋"/>
          <w:bCs/>
          <w:szCs w:val="32"/>
          <w:lang w:eastAsia="zh-CN"/>
        </w:rPr>
      </w:pPr>
      <w:r>
        <w:rPr>
          <w:rFonts w:hint="eastAsia" w:ascii="仿宋_GB2312"/>
          <w:szCs w:val="32"/>
          <w:lang w:val="en-US" w:eastAsia="zh-CN"/>
        </w:rPr>
        <w:t>通过政府采购，确认</w:t>
      </w:r>
      <w:r>
        <w:rPr>
          <w:rFonts w:hint="eastAsia" w:ascii="仿宋_GB2312"/>
          <w:szCs w:val="32"/>
          <w:highlight w:val="none"/>
          <w:lang w:val="en-US" w:eastAsia="zh-CN"/>
        </w:rPr>
        <w:t>四川省金和盛建设有限公司</w:t>
      </w:r>
      <w:r>
        <w:rPr>
          <w:rFonts w:hint="eastAsia" w:ascii="仿宋_GB2312"/>
          <w:szCs w:val="32"/>
          <w:lang w:val="en-US" w:eastAsia="zh-CN"/>
        </w:rPr>
        <w:t>为本项目的供应商，2024年4月金口河区住房和城乡建设局与供应商签订《乐山市金口河区城区园林绿化购买社会服务养护项目采购合同》。服务期限：自2024年4月25日起至2027年4月24日止，服务期限为三年。三年服务费总计354.56万元，每年支付118.1866万元</w:t>
      </w:r>
      <w:r>
        <w:rPr>
          <w:rFonts w:hint="eastAsia" w:ascii="仿宋" w:hAnsi="仿宋" w:eastAsia="仿宋" w:cs="仿宋"/>
          <w:bCs/>
          <w:szCs w:val="32"/>
          <w:lang w:eastAsia="zh-CN"/>
        </w:rPr>
        <w:t>。</w:t>
      </w:r>
    </w:p>
    <w:p>
      <w:pPr>
        <w:pStyle w:val="3"/>
        <w:spacing w:before="0" w:beforeLines="0" w:after="0" w:afterLines="0" w:line="580" w:lineRule="exact"/>
        <w:ind w:firstLineChars="0"/>
        <w:rPr>
          <w:rFonts w:hint="eastAsia" w:ascii="楷体" w:hAnsi="楷体" w:eastAsia="楷体" w:cs="楷体"/>
          <w:b w:val="0"/>
          <w:bCs/>
          <w:szCs w:val="32"/>
          <w:lang w:eastAsia="zh-CN"/>
        </w:rPr>
      </w:pPr>
      <w:bookmarkStart w:id="128" w:name="_Toc24204"/>
      <w:r>
        <w:rPr>
          <w:rFonts w:hint="eastAsia" w:ascii="楷体" w:hAnsi="楷体" w:eastAsia="楷体" w:cs="楷体"/>
          <w:b w:val="0"/>
          <w:bCs/>
          <w:szCs w:val="32"/>
          <w:lang w:eastAsia="zh-CN"/>
        </w:rPr>
        <w:t>（三）</w:t>
      </w:r>
      <w:r>
        <w:rPr>
          <w:rFonts w:hint="eastAsia" w:ascii="楷体" w:hAnsi="楷体" w:eastAsia="楷体" w:cs="楷体"/>
          <w:b w:val="0"/>
          <w:bCs/>
          <w:szCs w:val="32"/>
          <w:lang w:val="en-US" w:eastAsia="zh-CN"/>
        </w:rPr>
        <w:t>项目预算构成</w:t>
      </w:r>
      <w:bookmarkEnd w:id="119"/>
      <w:bookmarkEnd w:id="120"/>
      <w:bookmarkEnd w:id="121"/>
      <w:bookmarkEnd w:id="122"/>
      <w:bookmarkEnd w:id="123"/>
      <w:bookmarkEnd w:id="124"/>
      <w:bookmarkEnd w:id="125"/>
      <w:bookmarkEnd w:id="126"/>
      <w:bookmarkEnd w:id="127"/>
      <w:bookmarkEnd w:id="128"/>
    </w:p>
    <w:p>
      <w:pPr>
        <w:ind w:firstLine="640"/>
        <w:rPr>
          <w:rFonts w:hint="eastAsia" w:ascii="仿宋_GB2312" w:hAnsi="Times New Roman" w:eastAsia="仿宋_GB2312" w:cs="Times New Roman"/>
          <w:b w:val="0"/>
          <w:color w:val="000000"/>
          <w:sz w:val="32"/>
          <w:szCs w:val="32"/>
          <w:lang w:val="en-US" w:eastAsia="zh-CN" w:bidi="en-US"/>
        </w:rPr>
      </w:pPr>
      <w:r>
        <w:rPr>
          <w:rFonts w:hint="eastAsia" w:ascii="仿宋_GB2312" w:hAnsi="Times New Roman" w:eastAsia="仿宋_GB2312" w:cs="Times New Roman"/>
          <w:b w:val="0"/>
          <w:color w:val="000000"/>
          <w:sz w:val="32"/>
          <w:szCs w:val="32"/>
          <w:lang w:val="en-US" w:eastAsia="zh-CN" w:bidi="en-US"/>
        </w:rPr>
        <w:t>城区园林绿化购买社会养护服务项目经乐山市金口河区人民政府关于《关于解决城区园林绿化购买社会服务养护经费的请求》(金府复〔2024〕13号)文件，同意本项目资金控制在370.44万元以内，通过政府采购确认项目资金354.56万元，每年支付118.1866万元，全部为财政资金。</w:t>
      </w:r>
    </w:p>
    <w:p>
      <w:pPr>
        <w:ind w:firstLine="640"/>
        <w:jc w:val="both"/>
        <w:rPr>
          <w:rFonts w:hint="default" w:ascii="仿宋" w:hAnsi="仿宋" w:eastAsia="仿宋" w:cs="仿宋"/>
          <w:bCs/>
          <w:szCs w:val="32"/>
          <w:highlight w:val="none"/>
          <w:lang w:val="en-US" w:eastAsia="zh-CN"/>
        </w:rPr>
      </w:pPr>
      <w:r>
        <w:rPr>
          <w:rFonts w:hint="eastAsia" w:ascii="仿宋_GB2312" w:hAnsi="Times New Roman" w:eastAsia="仿宋_GB2312" w:cs="Times New Roman"/>
          <w:b w:val="0"/>
          <w:color w:val="000000"/>
          <w:sz w:val="32"/>
          <w:szCs w:val="32"/>
          <w:lang w:val="en-US" w:eastAsia="zh-CN" w:bidi="en-US"/>
        </w:rPr>
        <w:t>2024年5-12月城区园林绿化购买社会服务养护经费78.79万元，该笔资金2024年未支付，顺延至2025年；2025年项目预算资金为118.1866万元。合计196.98万元</w:t>
      </w:r>
      <w:r>
        <w:rPr>
          <w:rFonts w:hint="eastAsia" w:ascii="仿宋" w:hAnsi="仿宋" w:eastAsia="仿宋" w:cs="仿宋"/>
          <w:bCs/>
          <w:szCs w:val="32"/>
          <w:highlight w:val="none"/>
          <w:lang w:val="en-US" w:eastAsia="zh-CN"/>
        </w:rPr>
        <w:t>。</w:t>
      </w:r>
    </w:p>
    <w:p>
      <w:pPr>
        <w:spacing w:line="580" w:lineRule="exact"/>
        <w:ind w:firstLine="0" w:firstLineChars="0"/>
        <w:jc w:val="center"/>
        <w:rPr>
          <w:rFonts w:hint="eastAsia" w:ascii="仿宋" w:hAnsi="仿宋" w:eastAsia="仿宋" w:cs="仿宋"/>
          <w:bCs/>
          <w:szCs w:val="32"/>
          <w:lang w:eastAsia="zh-CN"/>
        </w:rPr>
      </w:pPr>
      <w:r>
        <w:rPr>
          <w:rFonts w:hint="eastAsia" w:ascii="仿宋_GB2312" w:hAnsi="Times New Roman" w:eastAsia="仿宋_GB2312" w:cs="Times New Roman"/>
          <w:b w:val="0"/>
          <w:color w:val="000000"/>
          <w:sz w:val="32"/>
          <w:szCs w:val="32"/>
          <w:lang w:val="en-US" w:eastAsia="zh-CN" w:bidi="en-US"/>
        </w:rPr>
        <w:t>项目资金支出计划表</w:t>
      </w:r>
    </w:p>
    <w:tbl>
      <w:tblPr>
        <w:tblStyle w:val="22"/>
        <w:tblpPr w:leftFromText="180" w:rightFromText="180" w:vertAnchor="text" w:horzAnchor="page" w:tblpX="1765" w:tblpY="222"/>
        <w:tblOverlap w:val="never"/>
        <w:tblW w:w="8586" w:type="dxa"/>
        <w:tblInd w:w="0" w:type="dxa"/>
        <w:tblLayout w:type="fixed"/>
        <w:tblCellMar>
          <w:top w:w="0" w:type="dxa"/>
          <w:left w:w="108" w:type="dxa"/>
          <w:bottom w:w="0" w:type="dxa"/>
          <w:right w:w="108" w:type="dxa"/>
        </w:tblCellMar>
      </w:tblPr>
      <w:tblGrid>
        <w:gridCol w:w="562"/>
        <w:gridCol w:w="1843"/>
        <w:gridCol w:w="2691"/>
        <w:gridCol w:w="1459"/>
        <w:gridCol w:w="6"/>
        <w:gridCol w:w="2025"/>
      </w:tblGrid>
      <w:tr>
        <w:tblPrEx>
          <w:tblCellMar>
            <w:top w:w="0" w:type="dxa"/>
            <w:left w:w="108" w:type="dxa"/>
            <w:bottom w:w="0" w:type="dxa"/>
            <w:right w:w="108" w:type="dxa"/>
          </w:tblCellMar>
        </w:tblPrEx>
        <w:trPr>
          <w:trHeight w:val="698" w:hRule="atLeast"/>
          <w:tblHead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项目内容</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资金支付计划</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支付金额（万元）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合同约定应支付时间</w:t>
            </w:r>
          </w:p>
        </w:tc>
      </w:tr>
      <w:tr>
        <w:tblPrEx>
          <w:tblCellMar>
            <w:top w:w="0" w:type="dxa"/>
            <w:left w:w="108" w:type="dxa"/>
            <w:bottom w:w="0" w:type="dxa"/>
            <w:right w:w="108" w:type="dxa"/>
          </w:tblCellMar>
        </w:tblPrEx>
        <w:trPr>
          <w:trHeight w:val="58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w:t>
            </w:r>
          </w:p>
        </w:tc>
        <w:tc>
          <w:tcPr>
            <w:tcW w:w="1843"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城区园林绿化购买社会服务养护项目</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2024.4.25-2025.4.24</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118.1866</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按季度支付，每季度结束后次月10日前凭增值税专用发票支付</w:t>
            </w:r>
            <w:r>
              <w:rPr>
                <w:rFonts w:hint="eastAsia" w:ascii="仿宋" w:hAnsi="仿宋" w:eastAsia="仿宋" w:cs="仿宋"/>
                <w:bCs/>
                <w:sz w:val="24"/>
                <w:highlight w:val="none"/>
                <w:lang w:eastAsia="zh-CN"/>
              </w:rPr>
              <w:t>。</w:t>
            </w:r>
          </w:p>
        </w:tc>
      </w:tr>
      <w:tr>
        <w:tblPrEx>
          <w:tblCellMar>
            <w:top w:w="0" w:type="dxa"/>
            <w:left w:w="108" w:type="dxa"/>
            <w:bottom w:w="0" w:type="dxa"/>
            <w:right w:w="108" w:type="dxa"/>
          </w:tblCellMar>
        </w:tblPrEx>
        <w:trPr>
          <w:trHeight w:val="56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w:t>
            </w:r>
          </w:p>
        </w:tc>
        <w:tc>
          <w:tcPr>
            <w:tcW w:w="1843" w:type="dxa"/>
            <w:vMerge w:val="continue"/>
            <w:tcBorders>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highlight w:val="none"/>
                <w:lang w:eastAsia="zh-CN"/>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color w:val="000000"/>
                <w:sz w:val="24"/>
                <w:szCs w:val="24"/>
                <w:highlight w:val="none"/>
                <w:lang w:val="en-US" w:eastAsia="zh-CN" w:bidi="en-US"/>
              </w:rPr>
            </w:pPr>
            <w:r>
              <w:rPr>
                <w:rFonts w:hint="eastAsia" w:ascii="仿宋" w:hAnsi="仿宋" w:eastAsia="仿宋" w:cs="仿宋"/>
                <w:bCs/>
                <w:sz w:val="24"/>
                <w:highlight w:val="none"/>
                <w:lang w:val="en-US" w:eastAsia="zh-CN"/>
              </w:rPr>
              <w:t>2025.4.25-2026.4.24</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118.1866</w:t>
            </w:r>
          </w:p>
        </w:tc>
        <w:tc>
          <w:tcPr>
            <w:tcW w:w="2025" w:type="dxa"/>
            <w:vMerge w:val="continue"/>
            <w:tcBorders>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highlight w:val="none"/>
                <w:lang w:eastAsia="zh-CN"/>
              </w:rPr>
            </w:pPr>
          </w:p>
        </w:tc>
      </w:tr>
      <w:tr>
        <w:tblPrEx>
          <w:tblCellMar>
            <w:top w:w="0" w:type="dxa"/>
            <w:left w:w="108" w:type="dxa"/>
            <w:bottom w:w="0" w:type="dxa"/>
            <w:right w:w="108" w:type="dxa"/>
          </w:tblCellMar>
        </w:tblPrEx>
        <w:trPr>
          <w:trHeight w:val="57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3</w:t>
            </w:r>
          </w:p>
        </w:tc>
        <w:tc>
          <w:tcPr>
            <w:tcW w:w="1843"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highlight w:val="none"/>
                <w:lang w:eastAsia="zh-CN"/>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color w:val="000000"/>
                <w:sz w:val="24"/>
                <w:szCs w:val="24"/>
                <w:highlight w:val="none"/>
                <w:lang w:val="en-US" w:eastAsia="zh-CN" w:bidi="en-US"/>
              </w:rPr>
            </w:pPr>
            <w:r>
              <w:rPr>
                <w:rFonts w:hint="eastAsia" w:ascii="仿宋" w:hAnsi="仿宋" w:eastAsia="仿宋" w:cs="仿宋"/>
                <w:bCs/>
                <w:sz w:val="24"/>
                <w:highlight w:val="none"/>
                <w:lang w:val="en-US" w:eastAsia="zh-CN"/>
              </w:rPr>
              <w:t>2026.4.25-2027.4.24</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118.1866</w:t>
            </w: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highlight w:val="none"/>
                <w:lang w:eastAsia="zh-CN"/>
              </w:rPr>
            </w:pPr>
          </w:p>
        </w:tc>
      </w:tr>
      <w:tr>
        <w:tblPrEx>
          <w:tblCellMar>
            <w:top w:w="0" w:type="dxa"/>
            <w:left w:w="108" w:type="dxa"/>
            <w:bottom w:w="0" w:type="dxa"/>
            <w:right w:w="108" w:type="dxa"/>
          </w:tblCellMar>
        </w:tblPrEx>
        <w:trPr>
          <w:trHeight w:val="615" w:hRule="atLeast"/>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highlight w:val="none"/>
                <w:lang w:val="en-US" w:eastAsia="zh-CN"/>
              </w:rPr>
              <w:t>354.56</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r>
    </w:tbl>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29" w:name="_Toc1396703300"/>
      <w:bookmarkStart w:id="130" w:name="_Toc9538"/>
      <w:bookmarkStart w:id="131" w:name="_Toc338550202"/>
      <w:bookmarkStart w:id="132" w:name="_Toc1939"/>
      <w:bookmarkStart w:id="133" w:name="_Toc29285"/>
      <w:bookmarkStart w:id="134" w:name="_Toc23154"/>
      <w:bookmarkStart w:id="135" w:name="_Toc451760287"/>
      <w:bookmarkStart w:id="136" w:name="_Toc326378840"/>
      <w:bookmarkStart w:id="137" w:name="_Toc1093480860_WPSOffice_Level1"/>
      <w:bookmarkStart w:id="138" w:name="_Toc132480961"/>
      <w:r>
        <w:rPr>
          <w:rFonts w:hint="eastAsia" w:ascii="黑体" w:hAnsi="黑体" w:eastAsia="黑体" w:cs="黑体"/>
          <w:b w:val="0"/>
          <w:color w:val="000000"/>
          <w:kern w:val="0"/>
          <w:sz w:val="32"/>
          <w:szCs w:val="32"/>
          <w:lang w:val="en-US" w:eastAsia="zh-CN" w:bidi="en-US"/>
        </w:rPr>
        <w:t>二、绩效评价工作开展情况</w:t>
      </w:r>
      <w:bookmarkEnd w:id="129"/>
      <w:bookmarkEnd w:id="130"/>
      <w:bookmarkEnd w:id="131"/>
      <w:bookmarkEnd w:id="132"/>
      <w:bookmarkEnd w:id="133"/>
      <w:bookmarkEnd w:id="134"/>
      <w:bookmarkEnd w:id="135"/>
      <w:bookmarkEnd w:id="136"/>
      <w:bookmarkEnd w:id="137"/>
      <w:bookmarkEnd w:id="138"/>
    </w:p>
    <w:p>
      <w:pPr>
        <w:pStyle w:val="3"/>
        <w:spacing w:before="0" w:beforeLines="0" w:after="0" w:afterLines="0" w:line="580" w:lineRule="exact"/>
        <w:ind w:firstLineChars="0"/>
        <w:rPr>
          <w:rFonts w:hint="eastAsia" w:ascii="楷体" w:hAnsi="楷体" w:eastAsia="楷体" w:cs="楷体"/>
          <w:b w:val="0"/>
          <w:bCs/>
          <w:szCs w:val="32"/>
          <w:lang w:eastAsia="zh-CN"/>
        </w:rPr>
      </w:pPr>
      <w:bookmarkStart w:id="139" w:name="_Toc775929442"/>
      <w:bookmarkStart w:id="140" w:name="_Toc1329064111"/>
      <w:bookmarkStart w:id="141" w:name="_Toc27074"/>
      <w:bookmarkStart w:id="142" w:name="_Toc248617743"/>
      <w:bookmarkStart w:id="143" w:name="_Toc29934"/>
      <w:bookmarkStart w:id="144" w:name="_Toc1380451464"/>
      <w:bookmarkStart w:id="145" w:name="_Toc24814"/>
      <w:bookmarkStart w:id="146" w:name="_Toc132480962"/>
      <w:bookmarkStart w:id="147" w:name="_Toc20456"/>
      <w:r>
        <w:rPr>
          <w:rFonts w:hint="eastAsia" w:ascii="楷体" w:hAnsi="楷体" w:cs="楷体"/>
          <w:b w:val="0"/>
          <w:bCs/>
          <w:szCs w:val="32"/>
          <w:lang w:eastAsia="zh-CN"/>
        </w:rPr>
        <w:t>（一）</w:t>
      </w:r>
      <w:r>
        <w:rPr>
          <w:rFonts w:hint="eastAsia" w:ascii="楷体" w:hAnsi="楷体" w:eastAsia="楷体" w:cs="楷体"/>
          <w:b w:val="0"/>
          <w:bCs/>
          <w:szCs w:val="32"/>
          <w:lang w:eastAsia="zh-CN"/>
        </w:rPr>
        <w:t>绩</w:t>
      </w:r>
      <w:r>
        <w:rPr>
          <w:rFonts w:hint="eastAsia" w:ascii="楷体" w:hAnsi="楷体" w:eastAsia="楷体" w:cs="楷体"/>
          <w:b w:val="0"/>
          <w:bCs/>
          <w:szCs w:val="32"/>
          <w:lang w:val="en-US" w:eastAsia="zh-CN"/>
        </w:rPr>
        <w:t>效评价目的</w:t>
      </w:r>
      <w:bookmarkEnd w:id="139"/>
      <w:bookmarkEnd w:id="140"/>
      <w:bookmarkEnd w:id="141"/>
      <w:bookmarkEnd w:id="142"/>
      <w:bookmarkEnd w:id="143"/>
      <w:bookmarkEnd w:id="144"/>
      <w:bookmarkEnd w:id="145"/>
      <w:bookmarkEnd w:id="146"/>
      <w:bookmarkEnd w:id="147"/>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根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城区园林绿化购买社会服务养护服务项目进行评估。本项目的绩效评估主要判断项目申请资金支持的必要性和可行性，重点论证项目实施的必要性、公益性、</w:t>
      </w:r>
      <w:r>
        <w:rPr>
          <w:rFonts w:hint="eastAsia" w:ascii="仿宋_GB2312" w:cs="Times New Roman"/>
          <w:b w:val="0"/>
          <w:color w:val="000000"/>
          <w:kern w:val="0"/>
          <w:sz w:val="32"/>
          <w:szCs w:val="32"/>
          <w:lang w:val="en-US" w:eastAsia="zh-CN" w:bidi="en-US"/>
        </w:rPr>
        <w:t>经济</w:t>
      </w:r>
      <w:r>
        <w:rPr>
          <w:rFonts w:hint="eastAsia" w:ascii="仿宋_GB2312" w:hAnsi="Times New Roman" w:eastAsia="仿宋_GB2312" w:cs="Times New Roman"/>
          <w:b w:val="0"/>
          <w:color w:val="000000"/>
          <w:kern w:val="0"/>
          <w:sz w:val="32"/>
          <w:szCs w:val="32"/>
          <w:lang w:val="en-US" w:eastAsia="zh-CN" w:bidi="en-US"/>
        </w:rPr>
        <w:t>性；项目建设投资合规性与项目成熟度；项目资金来源和到位可行性；项目绩效目标合理性、事前绩效评估论证结果</w:t>
      </w:r>
      <w:r>
        <w:rPr>
          <w:rFonts w:ascii="仿宋" w:hAnsi="仿宋" w:eastAsia="仿宋" w:cs="仿宋"/>
          <w:bCs/>
          <w:szCs w:val="32"/>
          <w:lang w:eastAsia="zh-CN"/>
        </w:rPr>
        <w:t>。</w:t>
      </w:r>
    </w:p>
    <w:p>
      <w:pPr>
        <w:pStyle w:val="3"/>
        <w:spacing w:before="0" w:beforeLines="0" w:after="0" w:afterLines="0" w:line="580" w:lineRule="exact"/>
        <w:ind w:firstLineChars="0"/>
        <w:rPr>
          <w:rFonts w:hint="eastAsia" w:ascii="楷体" w:hAnsi="楷体" w:cs="楷体"/>
          <w:b w:val="0"/>
          <w:bCs/>
          <w:szCs w:val="32"/>
          <w:lang w:eastAsia="zh-CN"/>
        </w:rPr>
      </w:pPr>
      <w:bookmarkStart w:id="148" w:name="_Toc1343165574"/>
      <w:bookmarkStart w:id="149" w:name="_Toc2011308256"/>
      <w:bookmarkStart w:id="150" w:name="_Toc32534"/>
      <w:bookmarkStart w:id="151" w:name="_Toc132480963"/>
      <w:bookmarkStart w:id="152" w:name="_Toc8572"/>
      <w:bookmarkStart w:id="153" w:name="_Toc166470150"/>
      <w:bookmarkStart w:id="154" w:name="_Toc1814348475"/>
      <w:bookmarkStart w:id="155" w:name="_Toc15142"/>
      <w:bookmarkStart w:id="156" w:name="_Toc9504"/>
      <w:r>
        <w:rPr>
          <w:rFonts w:hint="eastAsia" w:ascii="楷体" w:hAnsi="楷体" w:cs="楷体"/>
          <w:b w:val="0"/>
          <w:bCs/>
          <w:szCs w:val="32"/>
          <w:lang w:val="en-US" w:eastAsia="zh-CN"/>
        </w:rPr>
        <w:t>（二）绩效评价</w:t>
      </w:r>
      <w:bookmarkEnd w:id="148"/>
      <w:bookmarkEnd w:id="149"/>
      <w:bookmarkEnd w:id="150"/>
      <w:bookmarkEnd w:id="151"/>
      <w:bookmarkEnd w:id="152"/>
      <w:bookmarkEnd w:id="153"/>
      <w:bookmarkEnd w:id="154"/>
      <w:bookmarkEnd w:id="155"/>
      <w:r>
        <w:rPr>
          <w:rFonts w:hint="eastAsia" w:ascii="楷体" w:hAnsi="楷体" w:cs="楷体"/>
          <w:b w:val="0"/>
          <w:bCs/>
          <w:szCs w:val="32"/>
          <w:lang w:val="en-US" w:eastAsia="zh-CN"/>
        </w:rPr>
        <w:t>指标</w:t>
      </w:r>
      <w:bookmarkEnd w:id="156"/>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城区园林绿化购买社会养护服务项目事前绩效评估指标直接影响绩效评估结果的有效性，设计和选择评估指标时，评估工作小组遵循“相关性、经济性、可比性、重要性”的原则，通过对城区园林绿化购买社会养护服务项目相关文件的学习理解、对项目特点的深入研究以及对项目资料的整理分析的基础上，设计形成事前绩效评估体系。绩效评估总分100分，共设置一级指标8个，分值分别为16分、15分、15分、12分、13分、8分、9分和12分，设置二级指标17个，重点论证立项必要性、绩效目标合理性、实施方案可行性、</w:t>
      </w:r>
      <w:r>
        <w:rPr>
          <w:rFonts w:hint="eastAsia" w:ascii="仿宋_GB2312" w:cs="Times New Roman"/>
          <w:b w:val="0"/>
          <w:color w:val="000000"/>
          <w:kern w:val="0"/>
          <w:sz w:val="32"/>
          <w:szCs w:val="32"/>
          <w:lang w:val="en-US" w:eastAsia="zh-CN" w:bidi="en-US"/>
        </w:rPr>
        <w:t>实施成果合格性</w:t>
      </w:r>
      <w:r>
        <w:rPr>
          <w:rFonts w:hint="eastAsia" w:ascii="仿宋_GB2312" w:hAnsi="Times New Roman" w:eastAsia="仿宋_GB2312" w:cs="Times New Roman"/>
          <w:b w:val="0"/>
          <w:color w:val="000000"/>
          <w:kern w:val="0"/>
          <w:sz w:val="32"/>
          <w:szCs w:val="32"/>
          <w:lang w:val="en-US" w:eastAsia="zh-CN" w:bidi="en-US"/>
        </w:rPr>
        <w:t>等方面，全面评估该项目的的预期绩效情况</w:t>
      </w:r>
      <w:r>
        <w:rPr>
          <w:rFonts w:ascii="仿宋" w:hAnsi="仿宋" w:eastAsia="仿宋" w:cs="仿宋"/>
          <w:bCs/>
          <w:szCs w:val="32"/>
          <w:lang w:eastAsia="zh-CN"/>
        </w:rPr>
        <w:t>。</w:t>
      </w:r>
    </w:p>
    <w:p>
      <w:pPr>
        <w:pStyle w:val="3"/>
        <w:spacing w:before="0" w:beforeLines="0" w:after="0" w:afterLines="0" w:line="580" w:lineRule="exact"/>
        <w:ind w:firstLineChars="0"/>
        <w:rPr>
          <w:rFonts w:hint="eastAsia" w:ascii="楷体" w:hAnsi="楷体" w:cs="楷体"/>
          <w:b w:val="0"/>
          <w:bCs/>
          <w:szCs w:val="32"/>
          <w:lang w:val="en-US" w:eastAsia="zh-CN"/>
        </w:rPr>
      </w:pPr>
      <w:bookmarkStart w:id="157" w:name="_Toc22272"/>
      <w:bookmarkStart w:id="158" w:name="_Toc9410"/>
      <w:bookmarkStart w:id="159" w:name="_Toc8214"/>
      <w:bookmarkStart w:id="160" w:name="_Toc27238"/>
      <w:bookmarkStart w:id="161" w:name="_Toc130033892"/>
      <w:bookmarkStart w:id="162" w:name="_Toc9540"/>
      <w:bookmarkStart w:id="163" w:name="_Toc133498040"/>
      <w:r>
        <w:rPr>
          <w:rFonts w:hint="eastAsia" w:ascii="楷体" w:hAnsi="楷体" w:cs="楷体"/>
          <w:b w:val="0"/>
          <w:bCs/>
          <w:szCs w:val="32"/>
          <w:lang w:val="en-US" w:eastAsia="zh-CN"/>
        </w:rPr>
        <w:t>（三）评价依据</w:t>
      </w:r>
      <w:bookmarkEnd w:id="157"/>
      <w:bookmarkEnd w:id="158"/>
      <w:bookmarkEnd w:id="159"/>
      <w:bookmarkEnd w:id="160"/>
      <w:bookmarkEnd w:id="161"/>
      <w:bookmarkEnd w:id="162"/>
      <w:bookmarkEnd w:id="163"/>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_GB2312" w:hAnsi="Times New Roman" w:eastAsia="仿宋_GB2312" w:cs="Times New Roman"/>
          <w:b w:val="0"/>
          <w:color w:val="000000"/>
          <w:kern w:val="0"/>
          <w:sz w:val="32"/>
          <w:szCs w:val="32"/>
          <w:lang w:val="en-US" w:eastAsia="zh-CN" w:bidi="en-US"/>
        </w:rPr>
        <w:t>《乐山市金口河区城区园林绿化购买社会服务养护项目采购合同》</w:t>
      </w:r>
      <w:r>
        <w:rPr>
          <w:rFonts w:hint="eastAsia" w:ascii="仿宋_GB2312" w:cs="Times New Roman"/>
          <w:b w:val="0"/>
          <w:color w:val="000000"/>
          <w:kern w:val="0"/>
          <w:sz w:val="32"/>
          <w:szCs w:val="32"/>
          <w:lang w:val="en-US" w:eastAsia="zh-CN" w:bidi="en-US"/>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_GB2312" w:hAnsi="Times New Roman" w:eastAsia="仿宋_GB2312" w:cs="Times New Roman"/>
          <w:b w:val="0"/>
          <w:color w:val="000000"/>
          <w:kern w:val="0"/>
          <w:sz w:val="32"/>
          <w:szCs w:val="32"/>
          <w:lang w:val="en-US" w:eastAsia="zh-CN" w:bidi="en-US"/>
        </w:rPr>
        <w:t>项目单位提供的相关资料</w:t>
      </w:r>
      <w:r>
        <w:rPr>
          <w:rFonts w:hint="eastAsia" w:ascii="仿宋_GB2312" w:cs="Times New Roman"/>
          <w:b w:val="0"/>
          <w:color w:val="000000"/>
          <w:kern w:val="0"/>
          <w:sz w:val="32"/>
          <w:szCs w:val="32"/>
          <w:lang w:val="en-US" w:eastAsia="zh-CN" w:bidi="en-US"/>
        </w:rPr>
        <w:t>；</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w:t>
      </w:r>
      <w:r>
        <w:rPr>
          <w:rFonts w:hint="eastAsia" w:ascii="仿宋_GB2312" w:hAnsi="Times New Roman" w:eastAsia="仿宋_GB2312" w:cs="Times New Roman"/>
          <w:b w:val="0"/>
          <w:color w:val="000000"/>
          <w:kern w:val="0"/>
          <w:sz w:val="32"/>
          <w:szCs w:val="32"/>
          <w:lang w:val="en-US" w:eastAsia="zh-CN" w:bidi="en-US"/>
        </w:rPr>
        <w:t>《中共中央国务院关于全面实施预算绩效管理的意见》（中发〔2018〕34号）</w:t>
      </w:r>
      <w:r>
        <w:rPr>
          <w:rFonts w:hint="eastAsia" w:ascii="仿宋_GB2312" w:cs="Times New Roman"/>
          <w:b w:val="0"/>
          <w:color w:val="000000"/>
          <w:kern w:val="0"/>
          <w:sz w:val="32"/>
          <w:szCs w:val="32"/>
          <w:lang w:val="en-US" w:eastAsia="zh-CN" w:bidi="en-US"/>
        </w:rPr>
        <w:t>；</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_GB2312" w:hAnsi="Times New Roman" w:eastAsia="仿宋_GB2312" w:cs="Times New Roman"/>
          <w:b w:val="0"/>
          <w:color w:val="000000"/>
          <w:kern w:val="0"/>
          <w:sz w:val="32"/>
          <w:szCs w:val="32"/>
          <w:lang w:val="en-US" w:eastAsia="zh-CN" w:bidi="en-US"/>
        </w:rPr>
        <w:t>《中共四川省委四川省人民政府关于全面实施预算绩效管理的实施意见》（川委发〔2019〕8号）</w:t>
      </w:r>
      <w:r>
        <w:rPr>
          <w:rFonts w:hint="eastAsia" w:ascii="仿宋_GB2312" w:cs="Times New Roman"/>
          <w:b w:val="0"/>
          <w:color w:val="000000"/>
          <w:kern w:val="0"/>
          <w:sz w:val="32"/>
          <w:szCs w:val="32"/>
          <w:lang w:val="en-US" w:eastAsia="zh-CN" w:bidi="en-US"/>
        </w:rPr>
        <w:t>；</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w:t>
      </w:r>
      <w:r>
        <w:rPr>
          <w:rFonts w:hint="eastAsia" w:ascii="仿宋_GB2312" w:hAnsi="Times New Roman" w:eastAsia="仿宋_GB2312" w:cs="Times New Roman"/>
          <w:b w:val="0"/>
          <w:color w:val="000000"/>
          <w:kern w:val="0"/>
          <w:sz w:val="32"/>
          <w:szCs w:val="32"/>
          <w:lang w:val="en-US" w:eastAsia="zh-CN" w:bidi="en-US"/>
        </w:rPr>
        <w:t>中共乐山市委办公室乐山市人民政府办公室&lt;关于印发全面实施预算绩效管理实施方案&gt;的通知》（乐委办发〔2020〕12号）</w:t>
      </w:r>
      <w:r>
        <w:rPr>
          <w:rFonts w:hint="eastAsia" w:ascii="仿宋_GB2312" w:cs="Times New Roman"/>
          <w:b w:val="0"/>
          <w:color w:val="000000"/>
          <w:kern w:val="0"/>
          <w:sz w:val="32"/>
          <w:szCs w:val="32"/>
          <w:lang w:val="en-US" w:eastAsia="zh-CN" w:bidi="en-US"/>
        </w:rPr>
        <w:t>；</w:t>
      </w:r>
    </w:p>
    <w:p>
      <w:pPr>
        <w:ind w:firstLine="640"/>
        <w:rPr>
          <w:rFonts w:hint="eastAsia" w:ascii="仿宋_GB2312" w:cs="Times New Roman"/>
          <w:b w:val="0"/>
          <w:color w:val="000000"/>
          <w:kern w:val="0"/>
          <w:sz w:val="32"/>
          <w:szCs w:val="32"/>
          <w:lang w:val="en-US" w:eastAsia="zh-CN" w:bidi="en-US"/>
        </w:rPr>
      </w:pPr>
      <w:r>
        <w:rPr>
          <w:rFonts w:hint="eastAsia" w:ascii="仿宋" w:hAnsi="仿宋" w:eastAsia="仿宋" w:cs="仿宋"/>
          <w:bCs/>
          <w:szCs w:val="32"/>
          <w:highlight w:val="none"/>
          <w:lang w:val="en-US" w:eastAsia="zh-CN"/>
        </w:rPr>
        <w:t>6</w:t>
      </w:r>
      <w:r>
        <w:rPr>
          <w:rFonts w:hint="eastAsia" w:ascii="仿宋" w:hAnsi="仿宋" w:eastAsia="仿宋" w:cs="仿宋"/>
          <w:bCs/>
          <w:szCs w:val="32"/>
          <w:highlight w:val="none"/>
          <w:lang w:eastAsia="zh-CN"/>
        </w:rPr>
        <w:t>.</w:t>
      </w:r>
      <w:r>
        <w:rPr>
          <w:rFonts w:hint="eastAsia" w:ascii="仿宋_GB2312" w:hAnsi="Times New Roman" w:eastAsia="仿宋_GB2312" w:cs="Times New Roman"/>
          <w:b w:val="0"/>
          <w:color w:val="000000"/>
          <w:kern w:val="0"/>
          <w:sz w:val="32"/>
          <w:szCs w:val="32"/>
          <w:lang w:val="en-US" w:eastAsia="zh-CN" w:bidi="en-US"/>
        </w:rPr>
        <w:t>《乐山市金口河区人民政府关于&lt;关于解决城区园林绿化购买社会服务养护经费的请求&gt;》(金府复〔2024〕13号)</w:t>
      </w:r>
      <w:bookmarkStart w:id="164" w:name="_Toc4268"/>
      <w:bookmarkStart w:id="165" w:name="_Toc8759"/>
      <w:bookmarkStart w:id="166" w:name="_Toc13032"/>
      <w:r>
        <w:rPr>
          <w:rFonts w:hint="eastAsia" w:ascii="仿宋_GB2312" w:cs="Times New Roman"/>
          <w:b w:val="0"/>
          <w:color w:val="000000"/>
          <w:kern w:val="0"/>
          <w:sz w:val="32"/>
          <w:szCs w:val="32"/>
          <w:lang w:val="en-US" w:eastAsia="zh-CN" w:bidi="en-US"/>
        </w:rPr>
        <w:t xml:space="preserve">； </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w:t>
      </w:r>
      <w:r>
        <w:rPr>
          <w:rFonts w:hint="eastAsia" w:ascii="仿宋_GB2312" w:hAnsi="Times New Roman" w:eastAsia="仿宋_GB2312" w:cs="Times New Roman"/>
          <w:b w:val="0"/>
          <w:color w:val="000000"/>
          <w:kern w:val="0"/>
          <w:sz w:val="32"/>
          <w:szCs w:val="32"/>
          <w:lang w:val="en-US" w:eastAsia="zh-CN" w:bidi="en-US"/>
        </w:rPr>
        <w:t>《金口河区区级预算事前绩效评估管理暂行办法》</w:t>
      </w:r>
      <w:r>
        <w:rPr>
          <w:rFonts w:hint="eastAsia" w:ascii="仿宋_GB2312" w:cs="Times New Roman"/>
          <w:b w:val="0"/>
          <w:color w:val="000000"/>
          <w:kern w:val="0"/>
          <w:sz w:val="32"/>
          <w:szCs w:val="32"/>
          <w:lang w:val="en-US" w:eastAsia="zh-CN" w:bidi="en-US"/>
        </w:rPr>
        <w:t>；</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w:t>
      </w:r>
      <w:r>
        <w:rPr>
          <w:rFonts w:hint="eastAsia" w:ascii="仿宋_GB2312" w:hAnsi="Times New Roman" w:eastAsia="仿宋_GB2312" w:cs="Times New Roman"/>
          <w:b w:val="0"/>
          <w:color w:val="000000"/>
          <w:kern w:val="0"/>
          <w:sz w:val="32"/>
          <w:szCs w:val="32"/>
          <w:lang w:val="en-US" w:eastAsia="zh-CN" w:bidi="en-US"/>
        </w:rPr>
        <w:t>其他与本次评价相关的制度、文件等资料</w:t>
      </w:r>
      <w:r>
        <w:rPr>
          <w:rFonts w:hint="eastAsia" w:ascii="仿宋" w:hAnsi="仿宋" w:eastAsia="仿宋" w:cs="仿宋"/>
          <w:bCs/>
          <w:szCs w:val="32"/>
          <w:lang w:eastAsia="zh-CN"/>
        </w:rPr>
        <w:t>。</w:t>
      </w:r>
      <w:bookmarkEnd w:id="164"/>
      <w:bookmarkEnd w:id="165"/>
      <w:bookmarkEnd w:id="166"/>
    </w:p>
    <w:p>
      <w:pPr>
        <w:pStyle w:val="3"/>
        <w:spacing w:before="0" w:beforeLines="0" w:after="0" w:afterLines="0" w:line="580" w:lineRule="exact"/>
        <w:ind w:firstLineChars="0"/>
        <w:rPr>
          <w:rFonts w:hint="eastAsia" w:ascii="楷体" w:hAnsi="楷体" w:cs="楷体"/>
          <w:b w:val="0"/>
          <w:bCs/>
          <w:szCs w:val="32"/>
          <w:lang w:val="en-US" w:eastAsia="zh-CN"/>
        </w:rPr>
      </w:pPr>
      <w:bookmarkStart w:id="167" w:name="_Toc133498039"/>
      <w:bookmarkStart w:id="168" w:name="_Toc15390"/>
      <w:bookmarkStart w:id="169" w:name="_Toc5444"/>
      <w:bookmarkStart w:id="170" w:name="_Toc517771165"/>
      <w:bookmarkStart w:id="171" w:name="_Toc235704954"/>
      <w:bookmarkStart w:id="172" w:name="_Toc24196"/>
      <w:bookmarkStart w:id="173" w:name="_Toc1492000300_WPSOffice_Level3"/>
      <w:bookmarkStart w:id="174" w:name="_Toc130033891"/>
      <w:bookmarkStart w:id="175" w:name="_Toc2097"/>
      <w:bookmarkStart w:id="176" w:name="_Toc1840102656"/>
      <w:bookmarkStart w:id="177" w:name="_Toc1634515572"/>
      <w:bookmarkStart w:id="178" w:name="_Toc13724"/>
      <w:bookmarkStart w:id="179" w:name="_Toc13239"/>
      <w:bookmarkStart w:id="180" w:name="_Toc576232511"/>
      <w:bookmarkStart w:id="181" w:name="_Toc2029979728_WPSOffice_Level3"/>
      <w:bookmarkStart w:id="182" w:name="_Toc133498041"/>
      <w:bookmarkStart w:id="183" w:name="_Toc30726"/>
      <w:bookmarkStart w:id="184" w:name="_Toc6461"/>
      <w:bookmarkStart w:id="185" w:name="_Toc9201"/>
      <w:bookmarkStart w:id="186" w:name="_Toc692406180"/>
      <w:bookmarkStart w:id="187" w:name="_Toc1533316810"/>
      <w:bookmarkStart w:id="188" w:name="_Toc24488"/>
      <w:bookmarkStart w:id="189" w:name="_Toc130033893"/>
      <w:bookmarkStart w:id="190" w:name="_Toc15014"/>
      <w:bookmarkStart w:id="191" w:name="_Toc693338945"/>
      <w:r>
        <w:rPr>
          <w:rFonts w:hint="eastAsia" w:ascii="楷体" w:hAnsi="楷体" w:cs="楷体"/>
          <w:b w:val="0"/>
          <w:bCs/>
          <w:szCs w:val="32"/>
          <w:lang w:val="en-US" w:eastAsia="zh-CN"/>
        </w:rPr>
        <w:t>（四）绩效评价原则</w:t>
      </w:r>
      <w:bookmarkEnd w:id="167"/>
      <w:bookmarkEnd w:id="168"/>
      <w:bookmarkEnd w:id="169"/>
      <w:bookmarkEnd w:id="170"/>
      <w:bookmarkEnd w:id="171"/>
      <w:bookmarkEnd w:id="172"/>
      <w:bookmarkEnd w:id="173"/>
      <w:bookmarkEnd w:id="174"/>
      <w:bookmarkEnd w:id="175"/>
      <w:bookmarkEnd w:id="176"/>
      <w:bookmarkEnd w:id="177"/>
      <w:bookmarkEnd w:id="178"/>
      <w:bookmarkEnd w:id="179"/>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_GB2312" w:hAnsi="Times New Roman" w:eastAsia="仿宋_GB2312" w:cs="Times New Roman"/>
          <w:b w:val="0"/>
          <w:color w:val="000000"/>
          <w:kern w:val="0"/>
          <w:sz w:val="32"/>
          <w:szCs w:val="32"/>
          <w:lang w:val="en-US" w:eastAsia="zh-CN" w:bidi="en-US"/>
        </w:rPr>
        <w:t>科学规范原则。绩效评价应当严格执行规定的程序，按科学可行的要求，采用定量与定性分析相结合、理论与实践相结合的方法设计合理的评估指标体系</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_GB2312" w:hAnsi="Times New Roman" w:eastAsia="仿宋_GB2312" w:cs="Times New Roman"/>
          <w:b w:val="0"/>
          <w:color w:val="000000"/>
          <w:kern w:val="0"/>
          <w:sz w:val="32"/>
          <w:szCs w:val="32"/>
          <w:lang w:val="en-US" w:eastAsia="zh-CN" w:bidi="en-US"/>
        </w:rPr>
        <w:t>公正公开原则。绩效评价应当符合真实、客观、公正的要求，依法公开并接受监督</w:t>
      </w:r>
      <w:r>
        <w:rPr>
          <w:rFonts w:hint="eastAsia" w:ascii="仿宋" w:hAnsi="仿宋" w:eastAsia="仿宋" w:cs="仿宋"/>
          <w:bCs/>
          <w:spacing w:val="-1"/>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_GB2312" w:hAnsi="Times New Roman" w:eastAsia="仿宋_GB2312" w:cs="Times New Roman"/>
          <w:b w:val="0"/>
          <w:color w:val="000000"/>
          <w:kern w:val="0"/>
          <w:sz w:val="32"/>
          <w:szCs w:val="32"/>
          <w:lang w:val="en-US" w:eastAsia="zh-CN" w:bidi="en-US"/>
        </w:rPr>
        <w:t>利害关系回避原则。绩效评价工作由乐山市金口河区财政投资评价审核中心进行实施</w:t>
      </w:r>
      <w:r>
        <w:rPr>
          <w:rFonts w:hint="eastAsia" w:ascii="仿宋" w:hAnsi="仿宋" w:eastAsia="仿宋" w:cs="仿宋"/>
          <w:bCs/>
          <w:szCs w:val="32"/>
          <w:lang w:eastAsia="zh-CN"/>
        </w:rPr>
        <w:t>。</w:t>
      </w:r>
    </w:p>
    <w:p>
      <w:pPr>
        <w:ind w:firstLine="640"/>
        <w:rPr>
          <w:rFonts w:hint="eastAsia" w:ascii="仿宋" w:hAnsi="仿宋" w:eastAsia="仿宋" w:cs="仿宋"/>
          <w:bCs/>
          <w:spacing w:val="-5"/>
          <w:szCs w:val="32"/>
          <w:lang w:eastAsia="zh-CN"/>
        </w:rPr>
      </w:pPr>
      <w:r>
        <w:rPr>
          <w:rFonts w:hint="eastAsia" w:ascii="仿宋" w:hAnsi="仿宋" w:eastAsia="仿宋" w:cs="仿宋"/>
          <w:bCs/>
          <w:szCs w:val="32"/>
          <w:lang w:eastAsia="zh-CN"/>
        </w:rPr>
        <w:t>4.</w:t>
      </w:r>
      <w:r>
        <w:rPr>
          <w:rFonts w:hint="eastAsia" w:ascii="仿宋_GB2312" w:hAnsi="Times New Roman" w:eastAsia="仿宋_GB2312" w:cs="Times New Roman"/>
          <w:b w:val="0"/>
          <w:color w:val="000000"/>
          <w:kern w:val="0"/>
          <w:sz w:val="32"/>
          <w:szCs w:val="32"/>
          <w:lang w:val="en-US" w:eastAsia="zh-CN" w:bidi="en-US"/>
        </w:rPr>
        <w:t>绩效相关原则。本次事前绩效评估针对城区园林绿化购买社会养护服务项目预算金额及其预期绩效进行，评价结果清晰地反映两者之间的紧密对应关系</w:t>
      </w:r>
      <w:r>
        <w:rPr>
          <w:rFonts w:hint="eastAsia" w:ascii="仿宋" w:hAnsi="仿宋" w:eastAsia="仿宋" w:cs="仿宋"/>
          <w:bCs/>
          <w:szCs w:val="32"/>
          <w:lang w:eastAsia="zh-CN"/>
        </w:rPr>
        <w:t>。</w:t>
      </w:r>
    </w:p>
    <w:p>
      <w:pPr>
        <w:pStyle w:val="3"/>
        <w:spacing w:before="0" w:beforeLines="0" w:after="0" w:afterLines="0" w:line="580" w:lineRule="exact"/>
        <w:ind w:firstLineChars="0"/>
        <w:rPr>
          <w:rFonts w:hint="eastAsia" w:ascii="楷体" w:hAnsi="楷体" w:cs="楷体"/>
          <w:b w:val="0"/>
          <w:bCs/>
          <w:szCs w:val="32"/>
          <w:lang w:val="en-US" w:eastAsia="zh-CN"/>
        </w:rPr>
      </w:pPr>
      <w:bookmarkStart w:id="192" w:name="_Toc2109"/>
      <w:r>
        <w:rPr>
          <w:rFonts w:hint="eastAsia" w:ascii="楷体" w:hAnsi="楷体" w:cs="楷体"/>
          <w:b w:val="0"/>
          <w:bCs/>
          <w:szCs w:val="32"/>
          <w:lang w:val="en-US" w:eastAsia="zh-CN"/>
        </w:rPr>
        <w:t>（五）评价方法和等级设定</w:t>
      </w:r>
      <w:bookmarkEnd w:id="180"/>
      <w:bookmarkEnd w:id="181"/>
      <w:bookmarkEnd w:id="182"/>
      <w:bookmarkEnd w:id="183"/>
      <w:bookmarkEnd w:id="184"/>
      <w:bookmarkEnd w:id="185"/>
      <w:bookmarkEnd w:id="186"/>
      <w:bookmarkEnd w:id="187"/>
      <w:bookmarkEnd w:id="188"/>
      <w:bookmarkEnd w:id="189"/>
      <w:bookmarkEnd w:id="190"/>
      <w:bookmarkEnd w:id="191"/>
      <w:bookmarkEnd w:id="192"/>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本次绩效评估通过实施单位的数据填报,辅以评价工作小组实地调查、查阅问卷、听取汇报、查看项目管理及财务管理资料等方式收集信息，对拟使用资金项目的必要性、</w:t>
      </w:r>
      <w:r>
        <w:rPr>
          <w:rFonts w:hint="eastAsia" w:ascii="仿宋_GB2312" w:cs="Times New Roman"/>
          <w:b w:val="0"/>
          <w:color w:val="000000"/>
          <w:kern w:val="0"/>
          <w:sz w:val="32"/>
          <w:szCs w:val="32"/>
          <w:lang w:val="en-US" w:eastAsia="zh-CN" w:bidi="en-US"/>
        </w:rPr>
        <w:t>建设投资合规性</w:t>
      </w:r>
      <w:r>
        <w:rPr>
          <w:rFonts w:hint="eastAsia" w:ascii="仿宋_GB2312" w:hAnsi="Times New Roman" w:eastAsia="仿宋_GB2312" w:cs="Times New Roman"/>
          <w:b w:val="0"/>
          <w:color w:val="000000"/>
          <w:kern w:val="0"/>
          <w:sz w:val="32"/>
          <w:szCs w:val="32"/>
          <w:lang w:val="en-US" w:eastAsia="zh-CN" w:bidi="en-US"/>
        </w:rPr>
        <w:t>、绩效目标的合理性、实施方案的</w:t>
      </w:r>
      <w:r>
        <w:rPr>
          <w:rFonts w:hint="eastAsia" w:ascii="仿宋_GB2312" w:cs="Times New Roman"/>
          <w:b w:val="0"/>
          <w:color w:val="000000"/>
          <w:kern w:val="0"/>
          <w:sz w:val="32"/>
          <w:szCs w:val="32"/>
          <w:lang w:val="en-US" w:eastAsia="zh-CN" w:bidi="en-US"/>
        </w:rPr>
        <w:t>有效</w:t>
      </w:r>
      <w:r>
        <w:rPr>
          <w:rFonts w:hint="eastAsia" w:ascii="仿宋_GB2312" w:hAnsi="Times New Roman" w:eastAsia="仿宋_GB2312" w:cs="Times New Roman"/>
          <w:b w:val="0"/>
          <w:color w:val="000000"/>
          <w:kern w:val="0"/>
          <w:sz w:val="32"/>
          <w:szCs w:val="32"/>
          <w:lang w:val="en-US" w:eastAsia="zh-CN" w:bidi="en-US"/>
        </w:rPr>
        <w:t>性、</w:t>
      </w:r>
      <w:r>
        <w:rPr>
          <w:rFonts w:hint="eastAsia" w:ascii="仿宋_GB2312" w:cs="Times New Roman"/>
          <w:b w:val="0"/>
          <w:color w:val="000000"/>
          <w:kern w:val="0"/>
          <w:sz w:val="32"/>
          <w:szCs w:val="32"/>
          <w:lang w:val="en-US" w:eastAsia="zh-CN" w:bidi="en-US"/>
        </w:rPr>
        <w:t>实施成果合格性</w:t>
      </w:r>
      <w:r>
        <w:rPr>
          <w:rFonts w:hint="eastAsia" w:ascii="仿宋_GB2312" w:hAnsi="Times New Roman" w:eastAsia="仿宋_GB2312" w:cs="Times New Roman"/>
          <w:b w:val="0"/>
          <w:color w:val="000000"/>
          <w:kern w:val="0"/>
          <w:sz w:val="32"/>
          <w:szCs w:val="32"/>
          <w:lang w:val="en-US" w:eastAsia="zh-CN" w:bidi="en-US"/>
        </w:rPr>
        <w:t>等方面进行评判、论证和审查。以定量考核与定性分析相结合，汇总形成评估综合得分。评估结论分为建议实施、建议调整后实施、建议不予实施三个等级，根据各项指标得分合计分数，确定综合评估结论。具体如下</w:t>
      </w:r>
      <w:r>
        <w:rPr>
          <w:rFonts w:hint="eastAsia" w:ascii="仿宋" w:hAnsi="仿宋" w:eastAsia="仿宋" w:cs="仿宋"/>
          <w:bCs/>
          <w:szCs w:val="32"/>
          <w:lang w:eastAsia="zh-CN"/>
        </w:rPr>
        <w:t>:</w:t>
      </w:r>
    </w:p>
    <w:p>
      <w:pPr>
        <w:ind w:firstLine="640"/>
        <w:jc w:val="center"/>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事前绩效评估结论等级表</w:t>
      </w:r>
    </w:p>
    <w:tbl>
      <w:tblPr>
        <w:tblStyle w:val="23"/>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评估结论</w:t>
            </w:r>
          </w:p>
        </w:tc>
        <w:tc>
          <w:tcPr>
            <w:tcW w:w="1854"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建议实施</w:t>
            </w:r>
          </w:p>
        </w:tc>
        <w:tc>
          <w:tcPr>
            <w:tcW w:w="2490"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建议调整后实施</w:t>
            </w:r>
          </w:p>
        </w:tc>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参考分值S</w:t>
            </w:r>
          </w:p>
        </w:tc>
        <w:tc>
          <w:tcPr>
            <w:tcW w:w="1854"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S≥90</w:t>
            </w:r>
          </w:p>
        </w:tc>
        <w:tc>
          <w:tcPr>
            <w:tcW w:w="2490"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90&gt;S&gt;75</w:t>
            </w:r>
          </w:p>
        </w:tc>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S&lt;75</w:t>
            </w:r>
          </w:p>
        </w:tc>
      </w:tr>
    </w:tbl>
    <w:p>
      <w:pPr>
        <w:pStyle w:val="3"/>
        <w:spacing w:before="0" w:beforeLines="0" w:after="0" w:afterLines="0" w:line="580" w:lineRule="exact"/>
        <w:ind w:firstLineChars="0"/>
        <w:rPr>
          <w:rFonts w:hint="eastAsia" w:ascii="楷体" w:hAnsi="楷体" w:cs="楷体"/>
          <w:b w:val="0"/>
          <w:bCs/>
          <w:szCs w:val="32"/>
          <w:lang w:val="en-US" w:eastAsia="zh-CN"/>
        </w:rPr>
      </w:pPr>
      <w:bookmarkStart w:id="193" w:name="_Toc17824"/>
      <w:r>
        <w:rPr>
          <w:rFonts w:hint="eastAsia" w:ascii="楷体" w:hAnsi="楷体" w:cs="楷体"/>
          <w:b w:val="0"/>
          <w:bCs/>
          <w:szCs w:val="32"/>
          <w:lang w:val="en-US" w:eastAsia="zh-CN"/>
        </w:rPr>
        <w:t>（六）评价程序</w:t>
      </w:r>
      <w:bookmarkEnd w:id="193"/>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_GB2312" w:hAnsi="Times New Roman" w:eastAsia="仿宋_GB2312" w:cs="Times New Roman"/>
          <w:b w:val="0"/>
          <w:color w:val="000000"/>
          <w:kern w:val="0"/>
          <w:sz w:val="32"/>
          <w:szCs w:val="32"/>
          <w:lang w:val="en-US" w:eastAsia="zh-CN" w:bidi="en-US"/>
        </w:rPr>
        <w:t>下达评估入户通知。绩效考评中心以入户通知书的形式通知项目单位，并明确评估的依据、内容、目的、任务、时间、要求等事项</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_GB2312" w:hAnsi="Times New Roman" w:eastAsia="仿宋_GB2312" w:cs="Times New Roman"/>
          <w:b w:val="0"/>
          <w:color w:val="000000"/>
          <w:kern w:val="0"/>
          <w:sz w:val="32"/>
          <w:szCs w:val="32"/>
          <w:lang w:val="en-US" w:eastAsia="zh-CN" w:bidi="en-US"/>
        </w:rPr>
        <w:t>拟定工作方案。评估工作组结合事前绩效评估工作要求，拟定《事前绩效评估工作方案》，包括评估对象、内容、方法、专家、时间安排等</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_GB2312" w:hAnsi="Times New Roman" w:eastAsia="仿宋_GB2312" w:cs="Times New Roman"/>
          <w:b w:val="0"/>
          <w:color w:val="000000"/>
          <w:kern w:val="0"/>
          <w:sz w:val="32"/>
          <w:szCs w:val="32"/>
          <w:lang w:val="en-US" w:eastAsia="zh-CN" w:bidi="en-US"/>
        </w:rPr>
        <w:t>组成评估小组。评估工作组遴选相关人员组成评估专家组，并适时开展业务培训</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w:t>
      </w:r>
      <w:r>
        <w:rPr>
          <w:rFonts w:hint="eastAsia" w:ascii="仿宋_GB2312" w:hAnsi="Times New Roman" w:eastAsia="仿宋_GB2312" w:cs="Times New Roman"/>
          <w:b w:val="0"/>
          <w:color w:val="000000"/>
          <w:kern w:val="0"/>
          <w:sz w:val="32"/>
          <w:szCs w:val="32"/>
          <w:lang w:val="en-US" w:eastAsia="zh-CN" w:bidi="en-US"/>
        </w:rPr>
        <w:t>入户调研。评估工作组入户与被评估单位沟通，进一步熟悉项目内容;向项目单位出示《项目支出事前绩效评估资料准备清单》，指导项目单位填报《事前绩效评估项目申报书》、《项目支出绩效目标申报表》</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_GB2312" w:hAnsi="Times New Roman" w:eastAsia="仿宋_GB2312" w:cs="Times New Roman"/>
          <w:b w:val="0"/>
          <w:color w:val="000000"/>
          <w:kern w:val="0"/>
          <w:sz w:val="32"/>
          <w:szCs w:val="32"/>
          <w:lang w:val="en-US" w:eastAsia="zh-CN" w:bidi="en-US"/>
        </w:rPr>
        <w:t>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w:t>
      </w:r>
      <w:r>
        <w:rPr>
          <w:rFonts w:hint="eastAsia" w:ascii="仿宋_GB2312" w:hAnsi="Times New Roman" w:eastAsia="仿宋_GB2312" w:cs="Times New Roman"/>
          <w:b w:val="0"/>
          <w:color w:val="000000"/>
          <w:kern w:val="0"/>
          <w:sz w:val="32"/>
          <w:szCs w:val="32"/>
          <w:lang w:val="en-US" w:eastAsia="zh-CN" w:bidi="en-US"/>
        </w:rPr>
        <w:t>组织实施评估。绩效考评组召开评估会议，了解项目基本情况，听取项目单位情况介绍，进行现场评议</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_GB2312" w:hAnsi="Times New Roman" w:eastAsia="仿宋_GB2312" w:cs="Times New Roman"/>
          <w:b w:val="0"/>
          <w:color w:val="000000"/>
          <w:kern w:val="0"/>
          <w:sz w:val="32"/>
          <w:szCs w:val="32"/>
          <w:lang w:val="en-US" w:eastAsia="zh-CN" w:bidi="en-US"/>
        </w:rPr>
        <w:t>采取多种方式，多方获取信息。通过咨询专家、查阅资料、问卷调查、电话采访、集中座谈等方式，全面了解并收集项目信息</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_GB2312" w:hAnsi="Times New Roman" w:eastAsia="仿宋_GB2312" w:cs="Times New Roman"/>
          <w:b w:val="0"/>
          <w:color w:val="000000"/>
          <w:kern w:val="0"/>
          <w:sz w:val="32"/>
          <w:szCs w:val="32"/>
          <w:lang w:val="en-US" w:eastAsia="zh-CN" w:bidi="en-US"/>
        </w:rPr>
        <w:t>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_GB2312" w:hAnsi="Times New Roman" w:eastAsia="仿宋_GB2312" w:cs="Times New Roman"/>
          <w:b w:val="0"/>
          <w:color w:val="000000"/>
          <w:kern w:val="0"/>
          <w:sz w:val="32"/>
          <w:szCs w:val="32"/>
          <w:lang w:val="en-US" w:eastAsia="zh-CN" w:bidi="en-US"/>
        </w:rPr>
        <w:t>确认工作组意见，得出评估结论。评估工作组将评估个人初步意见报送评估工作组征求意见，评估工作组综合完善意见后，得出最终评估结论，填写《项目支出事前绩效评估工作组汇总意见》</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7.</w:t>
      </w:r>
      <w:r>
        <w:rPr>
          <w:rFonts w:hint="eastAsia" w:ascii="仿宋_GB2312" w:hAnsi="Times New Roman" w:eastAsia="仿宋_GB2312" w:cs="Times New Roman"/>
          <w:b w:val="0"/>
          <w:color w:val="000000"/>
          <w:kern w:val="0"/>
          <w:sz w:val="32"/>
          <w:szCs w:val="32"/>
          <w:lang w:val="en-US" w:eastAsia="zh-CN" w:bidi="en-US"/>
        </w:rPr>
        <w:t>汇报绩效评估结论。完成最终评价报告，提出评估结论意见</w:t>
      </w:r>
      <w:r>
        <w:rPr>
          <w:rFonts w:hint="eastAsia" w:ascii="仿宋" w:hAnsi="仿宋" w:eastAsia="仿宋" w:cs="仿宋"/>
          <w:bCs/>
          <w:szCs w:val="32"/>
          <w:lang w:eastAsia="zh-CN"/>
        </w:rPr>
        <w:t>。</w:t>
      </w:r>
    </w:p>
    <w:p>
      <w:pPr>
        <w:pStyle w:val="3"/>
        <w:spacing w:before="0" w:beforeLines="0" w:after="0" w:afterLines="0" w:line="580" w:lineRule="exact"/>
        <w:ind w:firstLineChars="0"/>
        <w:rPr>
          <w:rFonts w:hint="eastAsia" w:ascii="楷体" w:hAnsi="楷体" w:cs="楷体"/>
          <w:b w:val="0"/>
          <w:bCs/>
          <w:szCs w:val="32"/>
          <w:lang w:val="en-US" w:eastAsia="zh-CN"/>
        </w:rPr>
      </w:pPr>
      <w:bookmarkStart w:id="194" w:name="_Toc24834"/>
      <w:r>
        <w:rPr>
          <w:rFonts w:hint="eastAsia" w:ascii="楷体" w:hAnsi="楷体" w:cs="楷体"/>
          <w:b w:val="0"/>
          <w:bCs/>
          <w:szCs w:val="32"/>
          <w:lang w:val="en-US" w:eastAsia="zh-CN"/>
        </w:rPr>
        <w:t>（七）论证思路及方法</w:t>
      </w:r>
      <w:bookmarkEnd w:id="194"/>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本次事前绩效评估主要针对项目的</w:t>
      </w:r>
      <w:r>
        <w:rPr>
          <w:rFonts w:hint="eastAsia" w:ascii="仿宋_GB2312" w:cs="Times New Roman"/>
          <w:b w:val="0"/>
          <w:color w:val="000000"/>
          <w:kern w:val="0"/>
          <w:sz w:val="32"/>
          <w:szCs w:val="32"/>
          <w:lang w:val="en-US" w:eastAsia="zh-CN" w:bidi="en-US"/>
        </w:rPr>
        <w:t>必要</w:t>
      </w:r>
      <w:r>
        <w:rPr>
          <w:rFonts w:hint="eastAsia" w:ascii="仿宋_GB2312" w:hAnsi="Times New Roman" w:eastAsia="仿宋_GB2312" w:cs="Times New Roman"/>
          <w:b w:val="0"/>
          <w:color w:val="000000"/>
          <w:kern w:val="0"/>
          <w:sz w:val="32"/>
          <w:szCs w:val="32"/>
          <w:lang w:val="en-US" w:eastAsia="zh-CN" w:bidi="en-US"/>
        </w:rPr>
        <w:t>性、</w:t>
      </w:r>
      <w:r>
        <w:rPr>
          <w:rFonts w:hint="eastAsia" w:ascii="仿宋_GB2312" w:cs="Times New Roman"/>
          <w:b w:val="0"/>
          <w:color w:val="000000"/>
          <w:kern w:val="0"/>
          <w:sz w:val="32"/>
          <w:szCs w:val="32"/>
          <w:lang w:val="en-US" w:eastAsia="zh-CN" w:bidi="en-US"/>
        </w:rPr>
        <w:t>建设投资合规性、</w:t>
      </w:r>
      <w:r>
        <w:rPr>
          <w:rFonts w:hint="eastAsia" w:ascii="仿宋_GB2312" w:hAnsi="Times New Roman" w:eastAsia="仿宋_GB2312" w:cs="Times New Roman"/>
          <w:b w:val="0"/>
          <w:color w:val="000000"/>
          <w:kern w:val="0"/>
          <w:sz w:val="32"/>
          <w:szCs w:val="32"/>
          <w:lang w:val="en-US" w:eastAsia="zh-CN" w:bidi="en-US"/>
        </w:rPr>
        <w:t>项目绩效</w:t>
      </w:r>
      <w:r>
        <w:rPr>
          <w:rFonts w:hint="eastAsia" w:ascii="仿宋_GB2312" w:cs="Times New Roman"/>
          <w:b w:val="0"/>
          <w:color w:val="000000"/>
          <w:kern w:val="0"/>
          <w:sz w:val="32"/>
          <w:szCs w:val="32"/>
          <w:lang w:val="en-US" w:eastAsia="zh-CN" w:bidi="en-US"/>
        </w:rPr>
        <w:t>目标明确</w:t>
      </w:r>
      <w:r>
        <w:rPr>
          <w:rFonts w:hint="eastAsia" w:ascii="仿宋_GB2312" w:hAnsi="Times New Roman" w:eastAsia="仿宋_GB2312" w:cs="Times New Roman"/>
          <w:b w:val="0"/>
          <w:color w:val="000000"/>
          <w:kern w:val="0"/>
          <w:sz w:val="32"/>
          <w:szCs w:val="32"/>
          <w:lang w:val="en-US" w:eastAsia="zh-CN" w:bidi="en-US"/>
        </w:rPr>
        <w:t>性、项目实施方案的有效性、项目</w:t>
      </w:r>
      <w:r>
        <w:rPr>
          <w:rFonts w:hint="eastAsia" w:ascii="仿宋_GB2312" w:cs="Times New Roman"/>
          <w:b w:val="0"/>
          <w:color w:val="000000"/>
          <w:kern w:val="0"/>
          <w:sz w:val="32"/>
          <w:szCs w:val="32"/>
          <w:lang w:val="en-US" w:eastAsia="zh-CN" w:bidi="en-US"/>
        </w:rPr>
        <w:t>实施</w:t>
      </w:r>
      <w:r>
        <w:rPr>
          <w:rFonts w:hint="eastAsia" w:ascii="仿宋_GB2312" w:hAnsi="Times New Roman" w:eastAsia="仿宋_GB2312" w:cs="Times New Roman"/>
          <w:b w:val="0"/>
          <w:color w:val="000000"/>
          <w:kern w:val="0"/>
          <w:sz w:val="32"/>
          <w:szCs w:val="32"/>
          <w:lang w:val="en-US" w:eastAsia="zh-CN" w:bidi="en-US"/>
        </w:rPr>
        <w:t>的可持续性等五方面进行综合评估、分析与论证，并提出相关建议</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本次事前绩效评估主要采用效益分析、比较分析、因素分析、历史分析等方法进行论证</w:t>
      </w:r>
      <w:r>
        <w:rPr>
          <w:rFonts w:hint="eastAsia" w:ascii="仿宋" w:hAnsi="仿宋" w:eastAsia="仿宋" w:cs="仿宋"/>
          <w:bCs/>
          <w:szCs w:val="32"/>
          <w:lang w:eastAsia="zh-CN"/>
        </w:rPr>
        <w:t>。</w:t>
      </w:r>
    </w:p>
    <w:p>
      <w:pPr>
        <w:pStyle w:val="3"/>
        <w:spacing w:before="0" w:beforeLines="0" w:after="0" w:afterLines="0" w:line="580" w:lineRule="exact"/>
        <w:ind w:firstLineChars="0"/>
        <w:rPr>
          <w:rFonts w:hint="eastAsia" w:ascii="楷体" w:hAnsi="楷体" w:cs="楷体"/>
          <w:b w:val="0"/>
          <w:bCs/>
          <w:szCs w:val="32"/>
          <w:lang w:val="en-US" w:eastAsia="zh-CN"/>
        </w:rPr>
      </w:pPr>
      <w:bookmarkStart w:id="195" w:name="_Toc18151"/>
      <w:r>
        <w:rPr>
          <w:rFonts w:hint="eastAsia" w:ascii="楷体" w:hAnsi="楷体" w:cs="楷体"/>
          <w:b w:val="0"/>
          <w:bCs/>
          <w:szCs w:val="32"/>
          <w:lang w:val="en-US" w:eastAsia="zh-CN"/>
        </w:rPr>
        <w:t>（八）评估方式</w:t>
      </w:r>
      <w:bookmarkEnd w:id="195"/>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本次事前绩效评估遵循全面考虑、重点突出的原则，主要采用比较分析的方式，同时辅之以资料分析、集中座谈、网络查询、电话采访、抽样调查等评估方式或手段，对项目的相关性、可行性、持续性等方面进行全面评估</w:t>
      </w:r>
      <w:r>
        <w:rPr>
          <w:rFonts w:hint="eastAsia" w:ascii="仿宋" w:hAnsi="仿宋" w:eastAsia="仿宋" w:cs="仿宋"/>
          <w:bCs/>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96" w:name="_Toc1232831072"/>
      <w:bookmarkStart w:id="197" w:name="_Toc2810"/>
      <w:bookmarkStart w:id="198" w:name="_Toc5389"/>
      <w:bookmarkStart w:id="199" w:name="_Toc5665919"/>
      <w:bookmarkStart w:id="200" w:name="_Toc132480965"/>
      <w:bookmarkStart w:id="201" w:name="_Toc2115246641_WPSOffice_Level1"/>
      <w:bookmarkStart w:id="202" w:name="_Toc27103"/>
      <w:bookmarkStart w:id="203" w:name="_Toc1850422540"/>
      <w:bookmarkStart w:id="204" w:name="_Toc709323845"/>
      <w:bookmarkStart w:id="205" w:name="_Toc5234"/>
      <w:r>
        <w:rPr>
          <w:rFonts w:hint="eastAsia" w:ascii="黑体" w:hAnsi="黑体" w:eastAsia="黑体" w:cs="黑体"/>
          <w:b w:val="0"/>
          <w:color w:val="000000"/>
          <w:kern w:val="0"/>
          <w:sz w:val="32"/>
          <w:szCs w:val="32"/>
          <w:lang w:val="en-US" w:eastAsia="zh-CN" w:bidi="en-US"/>
        </w:rPr>
        <w:t>三、事前绩效评估指标体系及得分情况</w:t>
      </w:r>
      <w:bookmarkEnd w:id="196"/>
      <w:bookmarkEnd w:id="197"/>
      <w:bookmarkEnd w:id="198"/>
      <w:bookmarkEnd w:id="199"/>
      <w:bookmarkEnd w:id="200"/>
      <w:bookmarkEnd w:id="201"/>
      <w:bookmarkEnd w:id="202"/>
      <w:bookmarkEnd w:id="203"/>
      <w:bookmarkEnd w:id="204"/>
      <w:bookmarkEnd w:id="205"/>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评估工作小组按照相关性、经济性、可行性、重要性、可比性、系统性及合理性原则，设置项目事前绩效评估指标体系，其中共包含8个一级指标、17个二级指标以及31个三级指标，各项指标内容及得分情况详见下表</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城区园林绿化购买社会养护服务项目</w:t>
      </w:r>
    </w:p>
    <w:p>
      <w:pPr>
        <w:ind w:firstLine="0" w:firstLineChars="0"/>
        <w:jc w:val="center"/>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事前绩效评估指标体系</w:t>
      </w:r>
    </w:p>
    <w:tbl>
      <w:tblPr>
        <w:tblStyle w:val="57"/>
        <w:tblW w:w="88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5276"/>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noWrap w:val="0"/>
            <w:vAlign w:val="center"/>
          </w:tcPr>
          <w:p>
            <w:pPr>
              <w:pStyle w:val="68"/>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noWrap w:val="0"/>
            <w:vAlign w:val="center"/>
          </w:tcPr>
          <w:p>
            <w:pPr>
              <w:pStyle w:val="68"/>
              <w:ind w:right="6" w:firstLine="0" w:firstLineChars="0"/>
              <w:jc w:val="center"/>
              <w:rPr>
                <w:rFonts w:ascii="Arial" w:hAnsi="Arial" w:cs="Arial"/>
                <w:b/>
                <w:snapToGrid w:val="0"/>
                <w:sz w:val="21"/>
              </w:rPr>
            </w:pPr>
            <w:r>
              <w:rPr>
                <w:rFonts w:ascii="Arial" w:hAnsi="Arial" w:cs="Arial"/>
                <w:b/>
                <w:snapToGrid w:val="0"/>
                <w:sz w:val="21"/>
              </w:rPr>
              <w:t>二级指标</w:t>
            </w:r>
          </w:p>
        </w:tc>
        <w:tc>
          <w:tcPr>
            <w:tcW w:w="5276" w:type="dxa"/>
            <w:noWrap w:val="0"/>
            <w:vAlign w:val="center"/>
          </w:tcPr>
          <w:p>
            <w:pPr>
              <w:pStyle w:val="68"/>
              <w:ind w:right="2325"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noWrap w:val="0"/>
            <w:vAlign w:val="center"/>
          </w:tcPr>
          <w:p>
            <w:pPr>
              <w:pStyle w:val="68"/>
              <w:ind w:firstLine="0" w:firstLineChars="0"/>
              <w:jc w:val="center"/>
              <w:rPr>
                <w:rFonts w:ascii="Arial" w:hAnsi="Arial" w:cs="Arial"/>
                <w:b/>
                <w:snapToGrid w:val="0"/>
                <w:sz w:val="21"/>
                <w:lang w:eastAsia="zh-CN"/>
              </w:rPr>
            </w:pPr>
            <w:r>
              <w:rPr>
                <w:rFonts w:hint="eastAsia" w:ascii="Arial" w:hAnsi="Arial" w:cs="Arial"/>
                <w:b/>
                <w:snapToGrid w:val="0"/>
                <w:sz w:val="21"/>
                <w:lang w:eastAsia="zh-CN"/>
              </w:rPr>
              <w:t>分值</w:t>
            </w:r>
          </w:p>
        </w:tc>
        <w:tc>
          <w:tcPr>
            <w:tcW w:w="496" w:type="dxa"/>
            <w:noWrap w:val="0"/>
            <w:vAlign w:val="top"/>
          </w:tcPr>
          <w:p>
            <w:pPr>
              <w:pStyle w:val="68"/>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项目实施的必要性、公益性、</w:t>
            </w:r>
            <w:r>
              <w:rPr>
                <w:rFonts w:hint="eastAsia" w:ascii="Arial" w:hAnsi="Arial" w:cs="Arial"/>
                <w:bCs/>
                <w:snapToGrid w:val="0"/>
                <w:sz w:val="20"/>
                <w:lang w:val="en-US" w:eastAsia="zh-CN"/>
              </w:rPr>
              <w:t>经济</w:t>
            </w:r>
            <w:r>
              <w:rPr>
                <w:rFonts w:hint="eastAsia" w:ascii="Arial" w:hAnsi="Arial" w:cs="Arial"/>
                <w:bCs/>
                <w:snapToGrid w:val="0"/>
                <w:sz w:val="20"/>
                <w:lang w:eastAsia="zh-CN"/>
              </w:rPr>
              <w:t>性</w:t>
            </w:r>
          </w:p>
        </w:tc>
        <w:tc>
          <w:tcPr>
            <w:tcW w:w="129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lang w:eastAsia="zh-CN"/>
              </w:rPr>
              <w:t>必要性</w:t>
            </w:r>
          </w:p>
        </w:tc>
        <w:tc>
          <w:tcPr>
            <w:tcW w:w="527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left"/>
              <w:textAlignment w:val="auto"/>
              <w:rPr>
                <w:rFonts w:ascii="Arial" w:hAnsi="Arial" w:cs="Arial"/>
                <w:bCs/>
                <w:snapToGrid w:val="0"/>
                <w:sz w:val="20"/>
                <w:lang w:eastAsia="zh-CN"/>
              </w:rPr>
            </w:pPr>
            <w:r>
              <w:rPr>
                <w:rFonts w:hint="eastAsia" w:ascii="Arial" w:hAnsi="Arial" w:cs="Arial"/>
                <w:bCs/>
                <w:snapToGrid w:val="0"/>
                <w:sz w:val="20"/>
                <w:lang w:eastAsia="zh-CN"/>
              </w:rPr>
              <w:t>①项目是否属于符合</w:t>
            </w:r>
            <w:r>
              <w:rPr>
                <w:rFonts w:hint="eastAsia" w:ascii="Arial" w:hAnsi="Arial" w:cs="Arial"/>
                <w:bCs/>
                <w:snapToGrid w:val="0"/>
                <w:sz w:val="20"/>
                <w:lang w:val="en-US" w:eastAsia="zh-CN"/>
              </w:rPr>
              <w:t>社会环境</w:t>
            </w:r>
            <w:r>
              <w:rPr>
                <w:rFonts w:hint="eastAsia" w:ascii="Arial" w:hAnsi="Arial" w:cs="Arial"/>
                <w:bCs/>
                <w:snapToGrid w:val="0"/>
                <w:sz w:val="20"/>
                <w:lang w:eastAsia="zh-CN"/>
              </w:rPr>
              <w:t>需要，是否</w:t>
            </w:r>
            <w:r>
              <w:rPr>
                <w:rFonts w:hint="eastAsia" w:ascii="Arial" w:hAnsi="Arial" w:cs="Arial"/>
                <w:bCs/>
                <w:snapToGrid w:val="0"/>
                <w:sz w:val="20"/>
                <w:lang w:val="en-US" w:eastAsia="zh-CN"/>
              </w:rPr>
              <w:t>有利于提高城市形象</w:t>
            </w:r>
            <w:r>
              <w:rPr>
                <w:rFonts w:hint="eastAsia" w:ascii="Arial" w:hAnsi="Arial" w:cs="Arial"/>
                <w:bCs/>
                <w:snapToGrid w:val="0"/>
                <w:sz w:val="20"/>
                <w:lang w:eastAsia="zh-CN"/>
              </w:rPr>
              <w:t>。</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lang w:eastAsia="zh-CN"/>
              </w:rPr>
              <w:t>公益性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①项目是否具有公益性。</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lang w:val="en-US" w:eastAsia="zh-CN"/>
              </w:rPr>
              <w:t>经济</w:t>
            </w:r>
            <w:r>
              <w:rPr>
                <w:rFonts w:hint="eastAsia" w:ascii="Arial" w:hAnsi="Arial" w:cs="Arial"/>
                <w:bCs/>
                <w:snapToGrid w:val="0"/>
                <w:sz w:val="20"/>
                <w:lang w:eastAsia="zh-CN"/>
              </w:rPr>
              <w:t>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w:t>
            </w:r>
            <w:r>
              <w:rPr>
                <w:rFonts w:hint="eastAsia" w:ascii="Arial" w:hAnsi="Arial" w:cs="Arial"/>
                <w:bCs/>
                <w:snapToGrid w:val="0"/>
                <w:sz w:val="20"/>
                <w:lang w:val="en-US" w:eastAsia="zh-CN"/>
              </w:rPr>
              <w:t>有利于降低成本</w:t>
            </w:r>
            <w:r>
              <w:rPr>
                <w:rFonts w:hint="eastAsia" w:ascii="Arial" w:hAnsi="Arial" w:cs="Arial"/>
                <w:bCs/>
                <w:snapToGrid w:val="0"/>
                <w:sz w:val="20"/>
                <w:lang w:eastAsia="zh-CN"/>
              </w:rPr>
              <w:t>；</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w:t>
            </w:r>
            <w:r>
              <w:rPr>
                <w:rFonts w:hint="eastAsia" w:ascii="Arial" w:hAnsi="Arial" w:cs="Arial"/>
                <w:bCs/>
                <w:snapToGrid w:val="0"/>
                <w:sz w:val="20"/>
                <w:lang w:val="en-US" w:eastAsia="zh-CN"/>
              </w:rPr>
              <w:t>能</w:t>
            </w:r>
            <w:r>
              <w:rPr>
                <w:rFonts w:hint="eastAsia" w:ascii="Arial" w:hAnsi="Arial" w:cs="Arial"/>
                <w:bCs/>
                <w:snapToGrid w:val="0"/>
                <w:sz w:val="20"/>
                <w:lang w:eastAsia="zh-CN"/>
              </w:rPr>
              <w:t>提高资源整体利用效率，</w:t>
            </w:r>
            <w:r>
              <w:rPr>
                <w:rFonts w:hint="eastAsia" w:ascii="Arial" w:hAnsi="Arial" w:cs="Arial"/>
                <w:bCs/>
                <w:snapToGrid w:val="0"/>
                <w:sz w:val="20"/>
                <w:lang w:val="en-US" w:eastAsia="zh-CN"/>
              </w:rPr>
              <w:t>提高</w:t>
            </w:r>
            <w:r>
              <w:rPr>
                <w:rFonts w:hint="eastAsia" w:ascii="Arial" w:hAnsi="Arial" w:cs="Arial"/>
                <w:bCs/>
                <w:snapToGrid w:val="0"/>
                <w:sz w:val="20"/>
                <w:lang w:eastAsia="zh-CN"/>
              </w:rPr>
              <w:t>园林绿化养护效果。</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项目建设投资合规性与项目成熟度</w:t>
            </w: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lang w:val="en-US" w:eastAsia="zh-CN"/>
              </w:rPr>
              <w:t>建设</w:t>
            </w:r>
            <w:r>
              <w:rPr>
                <w:rFonts w:hint="eastAsia" w:ascii="Arial" w:hAnsi="Arial" w:cs="Arial"/>
                <w:bCs/>
                <w:snapToGrid w:val="0"/>
                <w:sz w:val="20"/>
              </w:rPr>
              <w:t>投资合规性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noWrap w:val="0"/>
            <w:vAlign w:val="center"/>
          </w:tcPr>
          <w:p>
            <w:pPr>
              <w:pStyle w:val="68"/>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rPr>
              <w:t>1</w:t>
            </w:r>
            <w:r>
              <w:rPr>
                <w:rFonts w:hint="eastAsia" w:ascii="Arial" w:hAnsi="Arial" w:cs="Arial"/>
                <w:bCs/>
                <w:snapToGrid w:val="0"/>
                <w:sz w:val="20"/>
                <w:lang w:val="en-US" w:eastAsia="zh-CN"/>
              </w:rPr>
              <w:t>5</w:t>
            </w:r>
          </w:p>
        </w:tc>
        <w:tc>
          <w:tcPr>
            <w:tcW w:w="496" w:type="dxa"/>
            <w:noWrap w:val="0"/>
            <w:vAlign w:val="top"/>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rPr>
              <w:t>项目</w:t>
            </w:r>
            <w:r>
              <w:rPr>
                <w:rFonts w:hint="eastAsia" w:ascii="Arial" w:hAnsi="Arial" w:cs="Arial"/>
                <w:bCs/>
                <w:snapToGrid w:val="0"/>
                <w:sz w:val="20"/>
                <w:lang w:eastAsia="zh-CN"/>
              </w:rPr>
              <w:t>成熟度</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8"/>
              <w:ind w:firstLine="0" w:firstLineChars="0"/>
              <w:jc w:val="center"/>
              <w:rPr>
                <w:rFonts w:ascii="Arial" w:hAnsi="Arial" w:cs="Arial"/>
                <w:bCs/>
                <w:snapToGrid w:val="0"/>
                <w:sz w:val="20"/>
                <w:lang w:eastAsia="zh-CN"/>
              </w:rPr>
            </w:pPr>
          </w:p>
        </w:tc>
        <w:tc>
          <w:tcPr>
            <w:tcW w:w="496" w:type="dxa"/>
            <w:noWrap w:val="0"/>
            <w:vAlign w:val="top"/>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③是否</w:t>
            </w:r>
            <w:r>
              <w:rPr>
                <w:rFonts w:hint="eastAsia" w:ascii="Arial" w:hAnsi="Arial" w:cs="Arial"/>
                <w:bCs/>
                <w:snapToGrid w:val="0"/>
                <w:sz w:val="20"/>
                <w:lang w:val="en-US" w:eastAsia="zh-CN"/>
              </w:rPr>
              <w:t>履行监管制度，是否有利于提高</w:t>
            </w:r>
            <w:r>
              <w:rPr>
                <w:rFonts w:hint="eastAsia" w:ascii="Arial" w:hAnsi="Arial" w:cs="Arial"/>
                <w:bCs/>
                <w:snapToGrid w:val="0"/>
                <w:sz w:val="20"/>
                <w:lang w:eastAsia="zh-CN"/>
              </w:rPr>
              <w:t>园林绿化养护</w:t>
            </w:r>
            <w:r>
              <w:rPr>
                <w:rFonts w:hint="eastAsia" w:ascii="Arial" w:hAnsi="Arial" w:cs="Arial"/>
                <w:bCs/>
                <w:snapToGrid w:val="0"/>
                <w:sz w:val="20"/>
                <w:lang w:val="en-US" w:eastAsia="zh-CN"/>
              </w:rPr>
              <w:t>经验</w:t>
            </w:r>
            <w:r>
              <w:rPr>
                <w:rFonts w:hint="eastAsia" w:ascii="Arial" w:hAnsi="Arial" w:cs="Arial"/>
                <w:bCs/>
                <w:snapToGrid w:val="0"/>
                <w:sz w:val="20"/>
                <w:lang w:eastAsia="zh-CN"/>
              </w:rPr>
              <w:t>。</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hint="eastAsia"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rPr>
              <w:t>资金</w:t>
            </w:r>
            <w:r>
              <w:rPr>
                <w:rFonts w:hint="eastAsia" w:ascii="Arial" w:hAnsi="Arial" w:cs="Arial"/>
                <w:bCs/>
                <w:snapToGrid w:val="0"/>
                <w:sz w:val="20"/>
                <w:lang w:eastAsia="zh-CN"/>
              </w:rPr>
              <w:t>来源</w:t>
            </w:r>
            <w:r>
              <w:rPr>
                <w:rFonts w:hint="eastAsia" w:ascii="Arial" w:hAnsi="Arial" w:cs="Arial"/>
                <w:bCs/>
                <w:snapToGrid w:val="0"/>
                <w:sz w:val="20"/>
              </w:rPr>
              <w:t>可行性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8"/>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rPr>
              <w:t>1</w:t>
            </w:r>
            <w:r>
              <w:rPr>
                <w:rFonts w:hint="eastAsia" w:ascii="Arial" w:hAnsi="Arial" w:cs="Arial"/>
                <w:bCs/>
                <w:snapToGrid w:val="0"/>
                <w:sz w:val="20"/>
                <w:lang w:val="en-US" w:eastAsia="zh-CN"/>
              </w:rPr>
              <w:t>5</w:t>
            </w:r>
          </w:p>
        </w:tc>
        <w:tc>
          <w:tcPr>
            <w:tcW w:w="496" w:type="dxa"/>
            <w:noWrap w:val="0"/>
            <w:vAlign w:val="top"/>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rPr>
              <w:t>资金到位</w:t>
            </w:r>
            <w:r>
              <w:rPr>
                <w:rFonts w:hint="eastAsia" w:ascii="Arial" w:hAnsi="Arial" w:cs="Arial"/>
                <w:bCs/>
                <w:snapToGrid w:val="0"/>
                <w:sz w:val="20"/>
                <w:lang w:eastAsia="zh-CN"/>
              </w:rPr>
              <w:t>可行性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到位</w:t>
            </w:r>
            <w:r>
              <w:rPr>
                <w:rFonts w:hint="eastAsia" w:ascii="Arial" w:hAnsi="Arial" w:cs="Arial"/>
                <w:bCs/>
                <w:snapToGrid w:val="0"/>
                <w:sz w:val="20"/>
                <w:lang w:eastAsia="zh-CN"/>
              </w:rPr>
              <w:t>是否已办理完成相关手续；</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hint="eastAsia" w:ascii="Arial" w:hAnsi="Arial" w:cs="Arial"/>
                <w:bCs/>
                <w:snapToGrid w:val="0"/>
                <w:sz w:val="20"/>
                <w:lang w:eastAsia="zh-CN"/>
              </w:rPr>
            </w:pPr>
            <w:r>
              <w:rPr>
                <w:rFonts w:hint="eastAsia" w:ascii="Arial" w:hAnsi="Arial" w:cs="Arial"/>
                <w:bCs/>
                <w:snapToGrid w:val="0"/>
                <w:sz w:val="20"/>
                <w:lang w:val="en-US" w:eastAsia="zh-CN"/>
              </w:rPr>
              <w:fldChar w:fldCharType="begin"/>
            </w:r>
            <w:r>
              <w:rPr>
                <w:rFonts w:hint="eastAsia" w:ascii="Arial" w:hAnsi="Arial" w:cs="Arial"/>
                <w:bCs/>
                <w:snapToGrid w:val="0"/>
                <w:sz w:val="20"/>
                <w:lang w:val="en-US" w:eastAsia="zh-CN"/>
              </w:rPr>
              <w:instrText xml:space="preserve"> = 4 \* GB3 \* MERGEFORMAT </w:instrText>
            </w:r>
            <w:r>
              <w:rPr>
                <w:rFonts w:hint="eastAsia" w:ascii="Arial" w:hAnsi="Arial" w:cs="Arial"/>
                <w:bCs/>
                <w:snapToGrid w:val="0"/>
                <w:sz w:val="20"/>
                <w:lang w:val="en-US" w:eastAsia="zh-CN"/>
              </w:rPr>
              <w:fldChar w:fldCharType="separate"/>
            </w:r>
            <w:r>
              <w:rPr>
                <w:rFonts w:hint="eastAsia" w:ascii="Arial" w:hAnsi="Arial" w:cs="Arial"/>
                <w:bCs/>
                <w:snapToGrid w:val="0"/>
                <w:sz w:val="20"/>
                <w:lang w:eastAsia="zh-CN"/>
              </w:rPr>
              <w:t>④</w:t>
            </w:r>
            <w:r>
              <w:rPr>
                <w:rFonts w:hint="eastAsia" w:ascii="Arial" w:hAnsi="Arial" w:cs="Arial"/>
                <w:bCs/>
                <w:snapToGrid w:val="0"/>
                <w:sz w:val="20"/>
                <w:lang w:val="en-US" w:eastAsia="zh-CN"/>
              </w:rPr>
              <w:fldChar w:fldCharType="end"/>
            </w:r>
            <w:r>
              <w:rPr>
                <w:rFonts w:hint="eastAsia" w:ascii="Arial" w:hAnsi="Arial" w:cs="Arial"/>
                <w:bCs/>
                <w:snapToGrid w:val="0"/>
                <w:sz w:val="20"/>
                <w:lang w:val="en-US" w:eastAsia="zh-CN"/>
              </w:rPr>
              <w:t>资金到位是否具有相应保障。</w:t>
            </w:r>
          </w:p>
        </w:tc>
        <w:tc>
          <w:tcPr>
            <w:tcW w:w="377" w:type="dxa"/>
            <w:noWrap w:val="0"/>
            <w:vAlign w:val="center"/>
          </w:tcPr>
          <w:p>
            <w:pPr>
              <w:pStyle w:val="68"/>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rPr>
              <w:t>资金使用计划合理性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noWrap w:val="0"/>
            <w:vAlign w:val="top"/>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②资金使用是否按计划安排。</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top"/>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rPr>
              <w:t>资金到位</w:t>
            </w:r>
            <w:r>
              <w:rPr>
                <w:rFonts w:hint="eastAsia" w:ascii="Arial" w:hAnsi="Arial" w:cs="Arial"/>
                <w:bCs/>
                <w:snapToGrid w:val="0"/>
                <w:sz w:val="20"/>
                <w:lang w:eastAsia="zh-CN"/>
              </w:rPr>
              <w:t>及时性</w:t>
            </w:r>
          </w:p>
        </w:tc>
        <w:tc>
          <w:tcPr>
            <w:tcW w:w="5276" w:type="dxa"/>
            <w:noWrap w:val="0"/>
            <w:vAlign w:val="center"/>
          </w:tcPr>
          <w:p>
            <w:pPr>
              <w:pStyle w:val="68"/>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w:t>
            </w:r>
            <w:r>
              <w:rPr>
                <w:rFonts w:hint="eastAsia" w:ascii="Arial" w:hAnsi="Arial" w:cs="Arial"/>
                <w:bCs/>
                <w:snapToGrid w:val="0"/>
                <w:sz w:val="20"/>
                <w:lang w:val="en-US" w:eastAsia="zh-CN"/>
              </w:rPr>
              <w:t>足额</w:t>
            </w:r>
            <w:r>
              <w:rPr>
                <w:rFonts w:hint="eastAsia" w:ascii="Arial" w:hAnsi="Arial" w:cs="Arial"/>
                <w:bCs/>
                <w:snapToGrid w:val="0"/>
                <w:sz w:val="20"/>
                <w:lang w:eastAsia="zh-CN"/>
              </w:rPr>
              <w:t>到位；</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3</w:t>
            </w:r>
          </w:p>
        </w:tc>
        <w:tc>
          <w:tcPr>
            <w:tcW w:w="496"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w:t>
            </w:r>
            <w:r>
              <w:rPr>
                <w:rFonts w:hint="eastAsia" w:ascii="Arial" w:hAnsi="Arial" w:cs="Arial"/>
                <w:bCs/>
                <w:snapToGrid w:val="0"/>
                <w:sz w:val="20"/>
                <w:lang w:val="en-US" w:eastAsia="zh-CN"/>
              </w:rPr>
              <w:t>的</w:t>
            </w:r>
            <w:r>
              <w:rPr>
                <w:rFonts w:hint="eastAsia" w:ascii="Arial" w:hAnsi="Arial" w:cs="Arial"/>
                <w:bCs/>
                <w:snapToGrid w:val="0"/>
                <w:sz w:val="20"/>
                <w:lang w:eastAsia="zh-CN"/>
              </w:rPr>
              <w:t>设定是否明确，是否与年度工作目标一致；</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4</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w:t>
            </w:r>
            <w:r>
              <w:rPr>
                <w:rFonts w:hint="eastAsia" w:ascii="Arial" w:hAnsi="Arial" w:cs="Arial"/>
                <w:bCs/>
                <w:snapToGrid w:val="0"/>
                <w:sz w:val="20"/>
                <w:lang w:eastAsia="zh-CN"/>
              </w:rPr>
              <w:t>方案</w:t>
            </w:r>
            <w:r>
              <w:rPr>
                <w:rFonts w:ascii="Arial" w:hAnsi="Arial" w:cs="Arial"/>
                <w:bCs/>
                <w:snapToGrid w:val="0"/>
                <w:sz w:val="20"/>
                <w:lang w:eastAsia="zh-CN"/>
              </w:rPr>
              <w:t>的有效性</w:t>
            </w:r>
          </w:p>
        </w:tc>
        <w:tc>
          <w:tcPr>
            <w:tcW w:w="1296" w:type="dxa"/>
            <w:vMerge w:val="restart"/>
            <w:tcBorders>
              <w:top w:val="nil"/>
            </w:tcBorders>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目实施方案的有效性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①项目实施方案是否经过批复；</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8</w:t>
            </w: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noWrap w:val="0"/>
            <w:vAlign w:val="center"/>
          </w:tcPr>
          <w:p>
            <w:pPr>
              <w:pStyle w:val="68"/>
              <w:ind w:firstLine="0" w:firstLineChars="0"/>
              <w:jc w:val="center"/>
              <w:rPr>
                <w:rFonts w:ascii="Arial" w:hAnsi="Arial" w:cs="Arial"/>
                <w:bCs/>
                <w:snapToGrid w:val="0"/>
                <w:sz w:val="20"/>
                <w:lang w:eastAsia="zh-CN"/>
              </w:rPr>
            </w:pPr>
          </w:p>
        </w:tc>
        <w:tc>
          <w:tcPr>
            <w:tcW w:w="1296" w:type="dxa"/>
            <w:vMerge w:val="continue"/>
            <w:noWrap w:val="0"/>
            <w:vAlign w:val="center"/>
          </w:tcPr>
          <w:p>
            <w:pPr>
              <w:pStyle w:val="68"/>
              <w:ind w:firstLine="0" w:firstLineChars="0"/>
              <w:jc w:val="center"/>
              <w:rPr>
                <w:rFonts w:ascii="Arial" w:hAnsi="Arial" w:cs="Arial"/>
                <w:bCs/>
                <w:snapToGrid w:val="0"/>
                <w:sz w:val="20"/>
                <w:lang w:eastAsia="zh-CN"/>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②项目实施过程中是否按经批复的方案进行。</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noWrap w:val="0"/>
            <w:vAlign w:val="center"/>
          </w:tcPr>
          <w:p>
            <w:pPr>
              <w:pStyle w:val="68"/>
              <w:ind w:firstLine="0" w:firstLineChars="0"/>
              <w:jc w:val="center"/>
              <w:rPr>
                <w:rFonts w:ascii="Arial" w:hAnsi="Arial" w:cs="Arial"/>
                <w:bCs/>
                <w:snapToGrid w:val="0"/>
                <w:sz w:val="20"/>
                <w:lang w:eastAsia="zh-CN"/>
              </w:rPr>
            </w:pP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val="en-US" w:eastAsia="zh-CN"/>
              </w:rPr>
              <w:t>园林</w:t>
            </w:r>
            <w:r>
              <w:rPr>
                <w:rFonts w:hint="eastAsia" w:ascii="Arial" w:hAnsi="Arial" w:cs="Arial"/>
                <w:bCs/>
                <w:snapToGrid w:val="0"/>
                <w:sz w:val="20"/>
                <w:lang w:eastAsia="zh-CN"/>
              </w:rPr>
              <w:t>绿化养护</w:t>
            </w:r>
            <w:r>
              <w:rPr>
                <w:rFonts w:hint="eastAsia" w:ascii="Arial" w:hAnsi="Arial" w:cs="Arial"/>
                <w:bCs/>
                <w:snapToGrid w:val="0"/>
                <w:sz w:val="20"/>
                <w:lang w:val="en-US" w:eastAsia="zh-CN"/>
              </w:rPr>
              <w:t>考评合格性</w:t>
            </w:r>
          </w:p>
        </w:tc>
        <w:tc>
          <w:tcPr>
            <w:tcW w:w="527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left"/>
              <w:textAlignment w:val="auto"/>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是否按照《乐山市金口河区城区园林绿化购买社会服务养护项目实施方案》中的养护执行标准及具体养护要求对园林绿化进行养护考评。</w:t>
            </w:r>
          </w:p>
        </w:tc>
        <w:tc>
          <w:tcPr>
            <w:tcW w:w="377" w:type="dxa"/>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9</w:t>
            </w:r>
          </w:p>
        </w:tc>
        <w:tc>
          <w:tcPr>
            <w:tcW w:w="496" w:type="dxa"/>
            <w:noWrap w:val="0"/>
            <w:vAlign w:val="center"/>
          </w:tcPr>
          <w:p>
            <w:pPr>
              <w:pStyle w:val="68"/>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lang w:eastAsia="zh-CN"/>
              </w:rPr>
            </w:pPr>
          </w:p>
        </w:tc>
        <w:tc>
          <w:tcPr>
            <w:tcW w:w="129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lang w:eastAsia="zh-CN"/>
              </w:rPr>
            </w:pPr>
            <w:r>
              <w:rPr>
                <w:rFonts w:hint="eastAsia" w:ascii="Arial" w:hAnsi="Arial" w:cs="Arial"/>
                <w:bCs/>
                <w:snapToGrid w:val="0"/>
                <w:sz w:val="20"/>
                <w:lang w:val="en-US" w:eastAsia="zh-CN"/>
              </w:rPr>
              <w:t>城市公厕考评合格性</w:t>
            </w:r>
          </w:p>
        </w:tc>
        <w:tc>
          <w:tcPr>
            <w:tcW w:w="527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left"/>
              <w:textAlignment w:val="auto"/>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是否按照《乐山市金口河区城区园林绿化购买社会服务养护项目实施方案》中的养护执行标准及具体养护要求对城市公厕进行养护考评。</w:t>
            </w:r>
          </w:p>
        </w:tc>
        <w:tc>
          <w:tcPr>
            <w:tcW w:w="377" w:type="dxa"/>
            <w:noWrap w:val="0"/>
            <w:vAlign w:val="center"/>
          </w:tcPr>
          <w:p>
            <w:pPr>
              <w:pStyle w:val="68"/>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lang w:eastAsia="zh-CN"/>
              </w:rPr>
            </w:pPr>
          </w:p>
        </w:tc>
        <w:tc>
          <w:tcPr>
            <w:tcW w:w="129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hint="eastAsia" w:ascii="Arial" w:hAnsi="Arial" w:cs="Arial"/>
                <w:bCs/>
                <w:snapToGrid w:val="0"/>
                <w:sz w:val="20"/>
                <w:lang w:eastAsia="zh-CN"/>
              </w:rPr>
            </w:pPr>
            <w:r>
              <w:rPr>
                <w:rFonts w:hint="eastAsia" w:ascii="Arial" w:hAnsi="Arial" w:cs="Arial"/>
                <w:bCs/>
                <w:snapToGrid w:val="0"/>
                <w:sz w:val="20"/>
                <w:lang w:val="en-US" w:eastAsia="zh-CN"/>
              </w:rPr>
              <w:t>喷泉景观及公园内电力市政设施考评合格性</w:t>
            </w:r>
          </w:p>
        </w:tc>
        <w:tc>
          <w:tcPr>
            <w:tcW w:w="527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left"/>
              <w:textAlignment w:val="auto"/>
              <w:rPr>
                <w:rFonts w:hint="eastAsia"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是否按照《乐山市金口河区城区园林绿化购买社会服务养护项目实施方案》中的养护执行标准及具体养护要求对喷泉景观及公园内电力市政设施进行养护考评。</w:t>
            </w:r>
          </w:p>
        </w:tc>
        <w:tc>
          <w:tcPr>
            <w:tcW w:w="377" w:type="dxa"/>
            <w:noWrap w:val="0"/>
            <w:vAlign w:val="center"/>
          </w:tcPr>
          <w:p>
            <w:pPr>
              <w:pStyle w:val="68"/>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tcBorders>
              <w:top w:val="nil"/>
            </w:tcBorders>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ascii="Arial" w:hAnsi="Arial" w:cs="Arial"/>
                <w:bCs/>
                <w:snapToGrid w:val="0"/>
                <w:sz w:val="20"/>
              </w:rPr>
            </w:pPr>
            <w:r>
              <w:rPr>
                <w:rFonts w:hint="eastAsia" w:ascii="Arial" w:hAnsi="Arial" w:cs="Arial"/>
                <w:bCs/>
                <w:snapToGrid w:val="0"/>
                <w:sz w:val="20"/>
                <w:lang w:val="en-US" w:eastAsia="zh-CN"/>
              </w:rPr>
              <w:t>停车场考评合格性</w:t>
            </w:r>
          </w:p>
        </w:tc>
        <w:tc>
          <w:tcPr>
            <w:tcW w:w="5276" w:type="dxa"/>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left"/>
              <w:textAlignment w:val="auto"/>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是否按照《乐山市金口河区城区园林绿化购买社会服务养护项目实施方案》中的养护执行标准及具体养护要求对停车场进行养护考评。</w:t>
            </w:r>
          </w:p>
        </w:tc>
        <w:tc>
          <w:tcPr>
            <w:tcW w:w="377" w:type="dxa"/>
            <w:noWrap w:val="0"/>
            <w:vAlign w:val="center"/>
          </w:tcPr>
          <w:p>
            <w:pPr>
              <w:pStyle w:val="68"/>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2</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77"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hint="eastAsia" w:ascii="Arial" w:hAnsi="Arial" w:cs="Arial"/>
                <w:bCs/>
                <w:snapToGrid w:val="0"/>
                <w:sz w:val="20"/>
                <w:lang w:eastAsia="zh-CN"/>
              </w:rPr>
            </w:pPr>
            <w:r>
              <w:rPr>
                <w:rFonts w:hint="eastAsia" w:ascii="Arial" w:hAnsi="Arial" w:cs="Arial"/>
                <w:bCs/>
                <w:snapToGrid w:val="0"/>
                <w:sz w:val="20"/>
                <w:lang w:eastAsia="zh-CN"/>
              </w:rPr>
              <w:t>项目实施的可持续性</w:t>
            </w:r>
          </w:p>
        </w:tc>
        <w:tc>
          <w:tcPr>
            <w:tcW w:w="1296" w:type="dxa"/>
            <w:vMerge w:val="restart"/>
            <w:noWrap w:val="0"/>
            <w:vAlign w:val="center"/>
          </w:tcPr>
          <w:p>
            <w:pPr>
              <w:keepNext w:val="0"/>
              <w:keepLines w:val="0"/>
              <w:pageBreakBefore w:val="0"/>
              <w:widowControl w:val="0"/>
              <w:tabs>
                <w:tab w:val="left" w:pos="860"/>
                <w:tab w:val="left" w:pos="1280"/>
              </w:tabs>
              <w:kinsoku/>
              <w:wordWrap/>
              <w:overflowPunct/>
              <w:topLinePunct w:val="0"/>
              <w:autoSpaceDE/>
              <w:autoSpaceDN/>
              <w:bidi w:val="0"/>
              <w:adjustRightInd/>
              <w:snapToGrid/>
              <w:spacing w:line="400" w:lineRule="exact"/>
              <w:ind w:left="58" w:leftChars="12" w:right="64" w:rightChars="20" w:hanging="20" w:hangingChars="10"/>
              <w:jc w:val="center"/>
              <w:textAlignment w:val="auto"/>
              <w:rPr>
                <w:rFonts w:hint="eastAsia" w:ascii="Arial" w:hAnsi="Arial" w:cs="Arial"/>
                <w:bCs/>
                <w:snapToGrid w:val="0"/>
                <w:sz w:val="20"/>
                <w:lang w:eastAsia="zh-CN"/>
              </w:rPr>
            </w:pPr>
            <w:r>
              <w:rPr>
                <w:rFonts w:hint="eastAsia" w:ascii="Arial" w:hAnsi="Arial" w:cs="Arial"/>
                <w:bCs/>
                <w:snapToGrid w:val="0"/>
                <w:sz w:val="20"/>
                <w:lang w:eastAsia="zh-CN"/>
              </w:rPr>
              <w:t>可持续性</w:t>
            </w: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①项目的实施</w:t>
            </w:r>
            <w:r>
              <w:rPr>
                <w:rFonts w:hint="eastAsia" w:ascii="Arial" w:hAnsi="Arial" w:cs="Arial"/>
                <w:bCs/>
                <w:snapToGrid w:val="0"/>
                <w:sz w:val="20"/>
                <w:lang w:val="en-US" w:eastAsia="zh-CN"/>
              </w:rPr>
              <w:t>对环境的影响</w:t>
            </w:r>
            <w:r>
              <w:rPr>
                <w:rFonts w:hint="eastAsia" w:ascii="Arial" w:hAnsi="Arial" w:cs="Arial"/>
                <w:bCs/>
                <w:snapToGrid w:val="0"/>
                <w:sz w:val="20"/>
                <w:lang w:eastAsia="zh-CN"/>
              </w:rPr>
              <w:t>；</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12</w:t>
            </w: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②项目的实施对</w:t>
            </w:r>
            <w:r>
              <w:rPr>
                <w:rFonts w:hint="eastAsia" w:ascii="Arial" w:hAnsi="Arial" w:cs="Arial"/>
                <w:bCs/>
                <w:snapToGrid w:val="0"/>
                <w:sz w:val="20"/>
                <w:lang w:val="en-US" w:eastAsia="zh-CN"/>
              </w:rPr>
              <w:t>成本控制的意义</w:t>
            </w:r>
            <w:r>
              <w:rPr>
                <w:rFonts w:hint="eastAsia" w:ascii="Arial" w:hAnsi="Arial" w:cs="Arial"/>
                <w:bCs/>
                <w:snapToGrid w:val="0"/>
                <w:sz w:val="20"/>
                <w:lang w:eastAsia="zh-CN"/>
              </w:rPr>
              <w:t>；</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77"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1296"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5276" w:type="dxa"/>
            <w:noWrap w:val="0"/>
            <w:vAlign w:val="center"/>
          </w:tcPr>
          <w:p>
            <w:pPr>
              <w:pStyle w:val="68"/>
              <w:ind w:firstLine="0" w:firstLineChars="0"/>
              <w:rPr>
                <w:rFonts w:ascii="Arial" w:hAnsi="Arial" w:cs="Arial"/>
                <w:bCs/>
                <w:snapToGrid w:val="0"/>
                <w:sz w:val="20"/>
                <w:lang w:eastAsia="zh-CN"/>
              </w:rPr>
            </w:pPr>
            <w:r>
              <w:rPr>
                <w:rFonts w:hint="eastAsia" w:ascii="Arial" w:hAnsi="Arial" w:cs="Arial"/>
                <w:bCs/>
                <w:snapToGrid w:val="0"/>
                <w:sz w:val="20"/>
                <w:lang w:eastAsia="zh-CN"/>
              </w:rPr>
              <w:t>③通过项目的实施</w:t>
            </w:r>
            <w:r>
              <w:rPr>
                <w:rFonts w:hint="eastAsia" w:ascii="Arial" w:hAnsi="Arial" w:cs="Arial"/>
                <w:bCs/>
                <w:snapToGrid w:val="0"/>
                <w:sz w:val="20"/>
                <w:lang w:val="en-US" w:eastAsia="zh-CN"/>
              </w:rPr>
              <w:t>对社会稳定的影响</w:t>
            </w:r>
            <w:r>
              <w:rPr>
                <w:rFonts w:hint="eastAsia" w:ascii="Arial" w:hAnsi="Arial" w:cs="Arial"/>
                <w:bCs/>
                <w:snapToGrid w:val="0"/>
                <w:sz w:val="20"/>
                <w:lang w:eastAsia="zh-CN"/>
              </w:rPr>
              <w:t>。</w:t>
            </w:r>
          </w:p>
        </w:tc>
        <w:tc>
          <w:tcPr>
            <w:tcW w:w="377"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449" w:type="dxa"/>
            <w:gridSpan w:val="3"/>
            <w:noWrap w:val="0"/>
            <w:vAlign w:val="center"/>
          </w:tcPr>
          <w:p>
            <w:pPr>
              <w:pStyle w:val="68"/>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noWrap w:val="0"/>
            <w:vAlign w:val="center"/>
          </w:tcPr>
          <w:p>
            <w:pPr>
              <w:pStyle w:val="68"/>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noWrap w:val="0"/>
            <w:vAlign w:val="center"/>
          </w:tcPr>
          <w:p>
            <w:pPr>
              <w:pStyle w:val="68"/>
              <w:ind w:firstLine="0" w:firstLineChars="0"/>
              <w:jc w:val="center"/>
              <w:rPr>
                <w:rFonts w:ascii="Arial" w:hAnsi="Arial" w:cs="Arial"/>
                <w:bCs/>
                <w:snapToGrid w:val="0"/>
                <w:sz w:val="20"/>
              </w:rPr>
            </w:pPr>
          </w:p>
        </w:tc>
        <w:tc>
          <w:tcPr>
            <w:tcW w:w="496" w:type="dxa"/>
            <w:noWrap w:val="0"/>
            <w:vAlign w:val="center"/>
          </w:tcPr>
          <w:p>
            <w:pPr>
              <w:pStyle w:val="68"/>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90</w:t>
            </w:r>
          </w:p>
        </w:tc>
      </w:tr>
    </w:tbl>
    <w:p>
      <w:pPr>
        <w:pStyle w:val="2"/>
        <w:numPr>
          <w:numId w:val="0"/>
        </w:numPr>
        <w:spacing w:before="0" w:beforeLines="0" w:after="0" w:afterLines="0"/>
        <w:ind w:leftChars="0" w:firstLine="640" w:firstLineChars="200"/>
        <w:rPr>
          <w:rFonts w:hint="eastAsia" w:ascii="黑体" w:hAnsi="黑体" w:eastAsia="黑体" w:cs="黑体"/>
          <w:b w:val="0"/>
          <w:color w:val="000000"/>
          <w:kern w:val="0"/>
          <w:sz w:val="32"/>
          <w:szCs w:val="32"/>
          <w:lang w:val="en-US" w:eastAsia="zh-CN" w:bidi="en-US"/>
        </w:rPr>
      </w:pPr>
      <w:bookmarkStart w:id="206" w:name="_Toc737820165"/>
      <w:bookmarkStart w:id="207" w:name="_Toc193453926"/>
      <w:bookmarkStart w:id="208" w:name="_Toc1269600848"/>
      <w:bookmarkStart w:id="209" w:name="_Toc10752"/>
      <w:bookmarkStart w:id="210" w:name="_Toc7074"/>
      <w:bookmarkStart w:id="211" w:name="_Toc20649"/>
      <w:bookmarkStart w:id="212" w:name="_Toc924138418"/>
      <w:bookmarkStart w:id="213" w:name="_Toc1506002849_WPSOffice_Level1"/>
      <w:bookmarkStart w:id="214" w:name="_Toc132480966"/>
      <w:bookmarkStart w:id="215" w:name="_Toc29516"/>
      <w:r>
        <w:rPr>
          <w:rFonts w:hint="eastAsia" w:ascii="黑体" w:hAnsi="黑体" w:eastAsia="黑体" w:cs="黑体"/>
          <w:b w:val="0"/>
          <w:color w:val="000000"/>
          <w:kern w:val="0"/>
          <w:sz w:val="32"/>
          <w:szCs w:val="32"/>
          <w:lang w:val="en-US" w:eastAsia="zh-CN" w:bidi="en-US"/>
        </w:rPr>
        <w:t>四、绩效评价</w:t>
      </w:r>
      <w:bookmarkEnd w:id="206"/>
      <w:bookmarkEnd w:id="207"/>
      <w:bookmarkEnd w:id="208"/>
      <w:bookmarkEnd w:id="209"/>
      <w:bookmarkEnd w:id="210"/>
      <w:bookmarkEnd w:id="211"/>
      <w:bookmarkEnd w:id="212"/>
      <w:bookmarkEnd w:id="213"/>
      <w:bookmarkEnd w:id="214"/>
      <w:r>
        <w:rPr>
          <w:rFonts w:hint="eastAsia" w:ascii="黑体" w:hAnsi="黑体" w:eastAsia="黑体" w:cs="黑体"/>
          <w:b w:val="0"/>
          <w:color w:val="000000"/>
          <w:kern w:val="0"/>
          <w:sz w:val="32"/>
          <w:szCs w:val="32"/>
          <w:lang w:val="en-US" w:eastAsia="zh-CN" w:bidi="en-US"/>
        </w:rPr>
        <w:t>内容与结论</w:t>
      </w:r>
      <w:bookmarkEnd w:id="215"/>
    </w:p>
    <w:p>
      <w:pPr>
        <w:pStyle w:val="3"/>
        <w:numPr>
          <w:numId w:val="0"/>
        </w:numPr>
        <w:spacing w:before="0" w:beforeLines="0" w:after="0" w:afterLines="0"/>
        <w:ind w:left="643" w:leftChars="0"/>
        <w:rPr>
          <w:rFonts w:hint="eastAsia" w:ascii="楷体" w:hAnsi="楷体" w:eastAsia="楷体" w:cs="楷体"/>
          <w:b w:val="0"/>
          <w:szCs w:val="32"/>
          <w:lang w:eastAsia="zh-CN"/>
        </w:rPr>
      </w:pPr>
      <w:bookmarkStart w:id="216" w:name="_Toc26088"/>
      <w:r>
        <w:rPr>
          <w:rFonts w:hint="eastAsia" w:ascii="楷体" w:hAnsi="楷体" w:cs="楷体"/>
          <w:b w:val="0"/>
          <w:color w:val="000000"/>
          <w:kern w:val="0"/>
          <w:sz w:val="32"/>
          <w:szCs w:val="32"/>
          <w:lang w:val="en-US" w:eastAsia="zh-CN" w:bidi="en-US"/>
        </w:rPr>
        <w:t>（一）</w:t>
      </w:r>
      <w:r>
        <w:rPr>
          <w:rFonts w:hint="eastAsia" w:ascii="楷体" w:hAnsi="楷体" w:eastAsia="楷体" w:cs="楷体"/>
          <w:b w:val="0"/>
          <w:color w:val="000000"/>
          <w:kern w:val="0"/>
          <w:sz w:val="32"/>
          <w:szCs w:val="32"/>
          <w:lang w:val="en-US" w:eastAsia="zh-CN" w:bidi="en-US"/>
        </w:rPr>
        <w:t>项目实施的必要性、公益性、经济性</w:t>
      </w:r>
      <w:bookmarkEnd w:id="216"/>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项目实施的必要性、公益性、收益性方面，指标总分16分，评估得分16分。具体如下</w:t>
      </w:r>
      <w:r>
        <w:rPr>
          <w:rFonts w:hint="eastAsia" w:ascii="仿宋" w:hAnsi="仿宋" w:eastAsia="仿宋" w:cs="仿宋"/>
          <w:szCs w:val="32"/>
          <w:lang w:eastAsia="zh-CN"/>
        </w:rPr>
        <w:t>：</w:t>
      </w:r>
    </w:p>
    <w:p>
      <w:pPr>
        <w:ind w:firstLine="640" w:firstLineChars="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_GB2312" w:hAnsi="Times New Roman" w:eastAsia="仿宋_GB2312" w:cs="Times New Roman"/>
          <w:b w:val="0"/>
          <w:color w:val="000000"/>
          <w:kern w:val="0"/>
          <w:sz w:val="32"/>
          <w:szCs w:val="32"/>
          <w:lang w:val="en-US" w:eastAsia="zh-CN" w:bidi="en-US"/>
        </w:rPr>
        <w:t>项</w:t>
      </w:r>
      <w:bookmarkStart w:id="217" w:name="OLE_LINK3"/>
      <w:r>
        <w:rPr>
          <w:rFonts w:hint="eastAsia" w:ascii="仿宋_GB2312" w:hAnsi="Times New Roman" w:eastAsia="仿宋_GB2312" w:cs="Times New Roman"/>
          <w:b w:val="0"/>
          <w:color w:val="000000"/>
          <w:kern w:val="0"/>
          <w:sz w:val="32"/>
          <w:szCs w:val="32"/>
          <w:lang w:val="en-US" w:eastAsia="zh-CN" w:bidi="en-US"/>
        </w:rPr>
        <w:t>目实施的必要性</w:t>
      </w:r>
      <w:bookmarkEnd w:id="217"/>
    </w:p>
    <w:p>
      <w:pPr>
        <w:adjustRightInd w:val="0"/>
        <w:snapToGrid w:val="0"/>
        <w:spacing w:line="520" w:lineRule="exact"/>
        <w:ind w:left="0" w:leftChars="0" w:firstLine="640" w:firstLineChars="200"/>
        <w:rPr>
          <w:rFonts w:hint="eastAsia" w:ascii="仿宋_GB2312" w:hAnsi="宋体" w:cs="宋体"/>
          <w:color w:val="393939"/>
          <w:kern w:val="0"/>
          <w:sz w:val="32"/>
          <w:szCs w:val="32"/>
          <w:shd w:val="clear" w:color="auto" w:fill="FFFFFF"/>
          <w:lang w:val="en-US" w:eastAsia="zh-CN"/>
        </w:rPr>
      </w:pPr>
      <w:r>
        <w:rPr>
          <w:rFonts w:hint="eastAsia" w:ascii="仿宋_GB2312" w:hAnsi="Times New Roman" w:eastAsia="仿宋_GB2312" w:cs="Times New Roman"/>
          <w:b w:val="0"/>
          <w:color w:val="000000"/>
          <w:kern w:val="0"/>
          <w:sz w:val="32"/>
          <w:szCs w:val="32"/>
          <w:lang w:val="en-US" w:eastAsia="zh-CN" w:bidi="en-US"/>
        </w:rPr>
        <w:t>自2019年经金口河区人民政府同意，首次通过政府采购，确定了第三方服务机构养护管理城市园林绿化以来，金口河区城区园林养护得到不断提升。为进一步提升城区园林绿化景观效果，提高园林绿化养护质量，使其继续得到更专业的养护，保持国家卫生城市形象，将金口河区打造成环境优美的旅游城市</w:t>
      </w:r>
      <w:r>
        <w:rPr>
          <w:rFonts w:hint="eastAsia" w:ascii="仿宋_GB2312" w:cs="Times New Roman"/>
          <w:b w:val="0"/>
          <w:color w:val="000000"/>
          <w:kern w:val="0"/>
          <w:sz w:val="32"/>
          <w:szCs w:val="32"/>
          <w:lang w:val="en-US" w:eastAsia="zh-CN" w:bidi="en-US"/>
        </w:rPr>
        <w:t>，</w:t>
      </w:r>
      <w:r>
        <w:rPr>
          <w:rFonts w:hint="eastAsia" w:ascii="仿宋_GB2312" w:hAnsi="Times New Roman" w:eastAsia="仿宋_GB2312" w:cs="Times New Roman"/>
          <w:b w:val="0"/>
          <w:color w:val="000000"/>
          <w:kern w:val="0"/>
          <w:sz w:val="32"/>
          <w:szCs w:val="32"/>
          <w:lang w:val="en-US" w:eastAsia="zh-CN" w:bidi="en-US"/>
        </w:rPr>
        <w:t>2024年区住建局继续通过购买第三方服务机构养护管理城市园林绿化，同时将新增绿地、公园、停车场一并纳入管护范围，引进专业的园林绿化养护队伍，借助其优质先进的园林绿化养护管理技术，把金口河区打造成环境优美、生态良好、人居和谐的宜居城市。根据评分标准，总分4分，得4分</w:t>
      </w:r>
      <w:r>
        <w:rPr>
          <w:rFonts w:hint="eastAsia" w:ascii="仿宋_GB2312" w:hAnsi="宋体" w:cs="宋体"/>
          <w:color w:val="393939"/>
          <w:kern w:val="0"/>
          <w:sz w:val="32"/>
          <w:szCs w:val="32"/>
          <w:shd w:val="clear" w:color="auto" w:fill="FFFFFF"/>
          <w:lang w:val="en-US" w:eastAsia="zh-CN"/>
        </w:rPr>
        <w:t>。</w:t>
      </w:r>
    </w:p>
    <w:p>
      <w:pPr>
        <w:ind w:firstLineChars="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w:t>
      </w:r>
      <w:r>
        <w:rPr>
          <w:rFonts w:hint="eastAsia" w:ascii="仿宋_GB2312" w:hAnsi="Times New Roman" w:eastAsia="仿宋_GB2312" w:cs="Times New Roman"/>
          <w:b w:val="0"/>
          <w:color w:val="000000"/>
          <w:kern w:val="0"/>
          <w:sz w:val="32"/>
          <w:szCs w:val="32"/>
          <w:lang w:val="en-US" w:eastAsia="zh-CN" w:bidi="en-US"/>
        </w:rPr>
        <w:t>项目实施的公益性</w:t>
      </w:r>
    </w:p>
    <w:p>
      <w:pPr>
        <w:adjustRightInd w:val="0"/>
        <w:snapToGrid w:val="0"/>
        <w:spacing w:line="520" w:lineRule="exact"/>
        <w:ind w:left="0" w:leftChars="0" w:firstLine="640" w:firstLineChars="200"/>
        <w:rPr>
          <w:rFonts w:hint="eastAsia" w:ascii="仿宋_GB2312" w:hAnsi="宋体" w:cs="宋体"/>
          <w:color w:val="393939"/>
          <w:kern w:val="0"/>
          <w:sz w:val="32"/>
          <w:szCs w:val="32"/>
          <w:shd w:val="clear" w:color="auto" w:fill="FFFFFF"/>
          <w:lang w:val="en-US" w:eastAsia="zh-CN"/>
        </w:rPr>
      </w:pPr>
      <w:r>
        <w:rPr>
          <w:rFonts w:hint="eastAsia" w:ascii="仿宋_GB2312" w:hAnsi="Times New Roman" w:eastAsia="仿宋_GB2312" w:cs="Times New Roman"/>
          <w:b w:val="0"/>
          <w:color w:val="000000"/>
          <w:kern w:val="0"/>
          <w:sz w:val="32"/>
          <w:szCs w:val="32"/>
          <w:lang w:val="en-US" w:eastAsia="zh-CN" w:bidi="en-US"/>
        </w:rPr>
        <w:t>第三方服务机构凭借专业的养护技术与丰富经验，对城区的各类绿地、花草树木进行科学管理；城市园林绿化区域为居民提供了休闲娱乐的好去处，如公园、广场绿地等，成为居民日常散步、锻炼、亲子活动的理想场所；该项目助力提升金口河区的城市形象与竞争力，良好的园林绿化景观是城市的名片，能展示城市的特色与魅力，吸引更多游客前来观光旅游，带动旅游业发展，增加旅游收入</w:t>
      </w:r>
      <w:r>
        <w:rPr>
          <w:rFonts w:hint="eastAsia" w:ascii="仿宋_GB2312" w:hAnsi="宋体" w:cs="宋体"/>
          <w:color w:val="393939"/>
          <w:kern w:val="0"/>
          <w:sz w:val="32"/>
          <w:szCs w:val="32"/>
          <w:shd w:val="clear" w:color="auto" w:fill="FFFFFF"/>
          <w:lang w:val="en-US" w:eastAsia="zh-CN"/>
        </w:rPr>
        <w:t>。</w:t>
      </w:r>
    </w:p>
    <w:p>
      <w:pPr>
        <w:adjustRightInd w:val="0"/>
        <w:snapToGrid w:val="0"/>
        <w:spacing w:line="520" w:lineRule="exact"/>
        <w:ind w:left="0" w:leftChars="0" w:firstLine="640" w:firstLineChars="200"/>
        <w:rPr>
          <w:rFonts w:hint="eastAsia" w:ascii="仿宋_GB2312" w:hAnsi="宋体" w:cs="宋体"/>
          <w:color w:val="393939"/>
          <w:kern w:val="0"/>
          <w:sz w:val="32"/>
          <w:szCs w:val="32"/>
          <w:shd w:val="clear" w:color="auto" w:fill="FFFFFF"/>
          <w:lang w:val="en-US" w:eastAsia="zh-CN"/>
        </w:rPr>
      </w:pPr>
      <w:r>
        <w:rPr>
          <w:rFonts w:hint="eastAsia" w:ascii="仿宋_GB2312" w:hAnsi="Times New Roman" w:eastAsia="仿宋_GB2312" w:cs="Times New Roman"/>
          <w:b w:val="0"/>
          <w:color w:val="000000"/>
          <w:kern w:val="0"/>
          <w:sz w:val="32"/>
          <w:szCs w:val="32"/>
          <w:lang w:val="en-US" w:eastAsia="zh-CN" w:bidi="en-US"/>
        </w:rPr>
        <w:t>通过项目的实施，能吸引投资，为城市的经济发展创造有利条件，促进区域经济的繁荣，从长远看，为城市可持续发展奠定坚实基础，造福子孙后代，让金口河区在生态、经济、社会等多方面实现协调发展，充分体现了其公益属性。根据评分标准，总分4分，得4分</w:t>
      </w:r>
      <w:r>
        <w:rPr>
          <w:rFonts w:hint="eastAsia" w:ascii="仿宋_GB2312" w:hAnsi="宋体" w:cs="宋体"/>
          <w:color w:val="393939"/>
          <w:kern w:val="0"/>
          <w:sz w:val="32"/>
          <w:szCs w:val="32"/>
          <w:shd w:val="clear" w:color="auto" w:fill="FFFFFF"/>
          <w:lang w:val="en-US" w:eastAsia="zh-CN"/>
        </w:rPr>
        <w:t>。</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3.</w:t>
      </w:r>
      <w:r>
        <w:rPr>
          <w:rFonts w:hint="eastAsia" w:ascii="仿宋_GB2312" w:hAnsi="Times New Roman" w:eastAsia="仿宋_GB2312" w:cs="Times New Roman"/>
          <w:b w:val="0"/>
          <w:color w:val="000000"/>
          <w:kern w:val="0"/>
          <w:sz w:val="32"/>
          <w:szCs w:val="32"/>
          <w:lang w:val="en-US" w:eastAsia="zh-CN" w:bidi="en-US"/>
        </w:rPr>
        <w:t>项目实施的经济性</w:t>
      </w:r>
    </w:p>
    <w:p>
      <w:pPr>
        <w:ind w:firstLineChars="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项目的实施，有效的降低了人力成本的同时减少了设备的投入。若自行组建团队进行园林绿化养护，需长期雇佣大量专业人员，包括绿化工人、园艺师、管理人员等，涉及招聘、培训、薪酬福利等诸多成本；园林绿化养护需修剪机、洒水车、农药喷洒设备等专业设备，购买和维护这些设备成本高昂。通过</w:t>
      </w:r>
      <w:r>
        <w:rPr>
          <w:rFonts w:hint="eastAsia" w:ascii="仿宋_GB2312" w:cs="Times New Roman"/>
          <w:b w:val="0"/>
          <w:color w:val="000000"/>
          <w:kern w:val="0"/>
          <w:sz w:val="32"/>
          <w:szCs w:val="32"/>
          <w:lang w:val="en-US" w:eastAsia="zh-CN" w:bidi="en-US"/>
        </w:rPr>
        <w:t>购</w:t>
      </w:r>
      <w:r>
        <w:rPr>
          <w:rFonts w:hint="eastAsia" w:ascii="仿宋_GB2312" w:hAnsi="Times New Roman" w:eastAsia="仿宋_GB2312" w:cs="Times New Roman"/>
          <w:b w:val="0"/>
          <w:color w:val="000000"/>
          <w:kern w:val="0"/>
          <w:sz w:val="32"/>
          <w:szCs w:val="32"/>
          <w:lang w:val="en-US" w:eastAsia="zh-CN" w:bidi="en-US"/>
        </w:rPr>
        <w:t>买第三方服务，可按需支付服务费用，避免人员闲置时的成本浪费也可省去设备购置、存放、维修等费用。第三方服务机构具有专业的资源整合能力和丰富的行业经验，能根据金口河区园林绿化实际需求，合理调配人力、物力和财力资源，避免资源过度集中或不足，提高资源整体利用效率。能带动当地园林绿化产业及上下游相关产业发展，如苗木种植、花卉培育、园林设备制造等，形成产业集群效应，增加产业附加值，为当地创造更多经济效益。良好的园林绿化能提升周边土地和房产价值，吸引更多投资和居民入住，促进房地产市场发展，增加土地出让金收入，为地方财政带来长期收益。第三方服务机构注重专业技术和服务质量，可确保园林绿化养护效果，减少因养护不当导致的植物死亡、景观损坏等问题，避免重复建设和修复带来的额外成本，实现长期成本节约。</w:t>
      </w:r>
    </w:p>
    <w:p>
      <w:pPr>
        <w:ind w:firstLineChars="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通过提升城市形象和环境品质，吸引更多企业入驻和人才流入，推动城市经济多元化发展，为城市长期经济增长奠定基础，创造更广泛的经济效益。根据评分标准，总分8分，得8分</w:t>
      </w:r>
      <w:r>
        <w:rPr>
          <w:rFonts w:hint="eastAsia" w:ascii="仿宋" w:hAnsi="仿宋" w:eastAsia="仿宋" w:cs="仿宋"/>
          <w:szCs w:val="32"/>
          <w:lang w:eastAsia="zh-CN"/>
        </w:rPr>
        <w:t>。</w:t>
      </w:r>
    </w:p>
    <w:p>
      <w:pPr>
        <w:pStyle w:val="3"/>
        <w:numPr>
          <w:ilvl w:val="0"/>
          <w:numId w:val="0"/>
        </w:numPr>
        <w:spacing w:before="0" w:beforeLines="0" w:after="0" w:afterLines="0"/>
        <w:ind w:left="643" w:leftChars="0"/>
        <w:rPr>
          <w:rFonts w:hint="eastAsia" w:ascii="楷体" w:hAnsi="楷体" w:eastAsia="楷体" w:cs="楷体"/>
          <w:b w:val="0"/>
          <w:color w:val="000000"/>
          <w:kern w:val="0"/>
          <w:sz w:val="32"/>
          <w:szCs w:val="32"/>
          <w:lang w:val="en-US" w:eastAsia="zh-CN" w:bidi="en-US"/>
        </w:rPr>
      </w:pPr>
      <w:bookmarkStart w:id="218" w:name="_Toc28607"/>
      <w:r>
        <w:rPr>
          <w:rFonts w:hint="eastAsia" w:ascii="楷体" w:hAnsi="楷体" w:cs="楷体"/>
          <w:b w:val="0"/>
          <w:color w:val="000000"/>
          <w:kern w:val="0"/>
          <w:sz w:val="32"/>
          <w:szCs w:val="32"/>
          <w:lang w:val="en-US" w:eastAsia="zh-CN" w:bidi="en-US"/>
        </w:rPr>
        <w:t>（二）</w:t>
      </w:r>
      <w:r>
        <w:rPr>
          <w:rFonts w:hint="eastAsia" w:ascii="楷体" w:hAnsi="楷体" w:eastAsia="楷体" w:cs="楷体"/>
          <w:b w:val="0"/>
          <w:color w:val="000000"/>
          <w:kern w:val="0"/>
          <w:sz w:val="32"/>
          <w:szCs w:val="32"/>
          <w:lang w:val="en-US" w:eastAsia="zh-CN" w:bidi="en-US"/>
        </w:rPr>
        <w:t>项目实施合规性与项目成熟度</w:t>
      </w:r>
      <w:bookmarkEnd w:id="218"/>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项目实施合规性与项目成熟度方面，指标总分15分，评估得分15分。具体如下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_GB2312" w:hAnsi="Times New Roman" w:eastAsia="仿宋_GB2312" w:cs="Times New Roman"/>
          <w:b w:val="0"/>
          <w:color w:val="000000"/>
          <w:kern w:val="0"/>
          <w:sz w:val="32"/>
          <w:szCs w:val="32"/>
          <w:lang w:val="en-US" w:eastAsia="zh-CN" w:bidi="en-US"/>
        </w:rPr>
        <w:t>实施合规性</w:t>
      </w:r>
    </w:p>
    <w:p>
      <w:pPr>
        <w:ind w:firstLine="640"/>
        <w:rPr>
          <w:rFonts w:hint="default"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项目经区十一届人民政府第65次常务会议研究，并报十届区委常委会第80次会议审议，原则同意解决城区园林绿化购买社会服务养护经费。</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项目经《乐山市金口河区人民政府关于&lt;关于解决城区园林绿化购买社会服务养护经费的请求&gt;》(金府复〔2024〕13号)文件批复预算资金370.44万元，通过政府采购，确定服务费总额为354.56万元。资金来源为财政资金。</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综上，该项目立项过程合规、立项依据充分，项目资金来源渠道符合相关规定，资金筹措程序科学规范。根据评分标准，总分6分，得6分</w:t>
      </w:r>
      <w:r>
        <w:rPr>
          <w:rFonts w:hint="eastAsia" w:ascii="仿宋_GB2312" w:hAnsi="宋体" w:eastAsia="仿宋_GB2312" w:cs="宋体"/>
          <w:b w:val="0"/>
          <w:color w:val="393939"/>
          <w:kern w:val="0"/>
          <w:sz w:val="32"/>
          <w:szCs w:val="32"/>
          <w:shd w:val="clear" w:color="auto" w:fill="FFFFFF"/>
          <w:lang w:val="en-US" w:eastAsia="zh-CN" w:bidi="en-US"/>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w:t>
      </w:r>
      <w:r>
        <w:rPr>
          <w:rFonts w:hint="eastAsia" w:ascii="仿宋_GB2312" w:hAnsi="Times New Roman" w:eastAsia="仿宋_GB2312" w:cs="Times New Roman"/>
          <w:b w:val="0"/>
          <w:color w:val="000000"/>
          <w:kern w:val="0"/>
          <w:sz w:val="32"/>
          <w:szCs w:val="32"/>
          <w:lang w:val="en-US" w:eastAsia="zh-CN" w:bidi="en-US"/>
        </w:rPr>
        <w:t>项目成熟度</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项目属于延续性项目。2019年区住建局通过购买社会服务的方式引入四川九蓉环境服务有限公司进行城市园林绿化管理维护，实现政府部门从“划桨”到“掌舵”的转变。自2020年起区住建局实行管护企业“常督查”“月考核”双制度，日常看管理、月底看成果，实现园林绿化建设科学有序推进，管理高水平高标准推进。2023年城区园林绿化购买社会服务养护经费预算金额73.66万元，2024年乐山市金口河区城区园林绿化购买社会服务养护项目</w:t>
      </w:r>
      <w:r>
        <w:rPr>
          <w:rFonts w:hint="eastAsia" w:ascii="仿宋_GB2312" w:cs="Times New Roman"/>
          <w:b w:val="0"/>
          <w:color w:val="000000"/>
          <w:kern w:val="0"/>
          <w:sz w:val="32"/>
          <w:szCs w:val="32"/>
          <w:lang w:val="en-US" w:eastAsia="zh-CN" w:bidi="en-US"/>
        </w:rPr>
        <w:t>三</w:t>
      </w:r>
      <w:r>
        <w:rPr>
          <w:rFonts w:hint="eastAsia" w:ascii="仿宋_GB2312" w:hAnsi="Times New Roman" w:eastAsia="仿宋_GB2312" w:cs="Times New Roman"/>
          <w:b w:val="0"/>
          <w:color w:val="000000"/>
          <w:kern w:val="0"/>
          <w:sz w:val="32"/>
          <w:szCs w:val="32"/>
          <w:lang w:val="en-US" w:eastAsia="zh-CN" w:bidi="en-US"/>
        </w:rPr>
        <w:t>年预算金额提高到370.44万元，体现了对该项目的重视和资金支持力度的加大。区住建局建立了较为完善的预算绩效管理机制，对资金使用情况进行跟踪、监督和评价，确保资金使用规范、高效</w:t>
      </w:r>
      <w:r>
        <w:rPr>
          <w:rFonts w:hint="eastAsia" w:ascii="仿宋_GB2312" w:hAnsi="宋体" w:eastAsia="仿宋_GB2312" w:cs="宋体"/>
          <w:b w:val="0"/>
          <w:color w:val="393939"/>
          <w:kern w:val="0"/>
          <w:sz w:val="32"/>
          <w:szCs w:val="32"/>
          <w:shd w:val="clear" w:color="auto" w:fill="FFFFFF"/>
          <w:lang w:val="en-US" w:eastAsia="zh-CN" w:bidi="en-US"/>
        </w:rPr>
        <w:t>。</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经过多年的实施，区住建局和第三方服务机构在项目实施过程中积累了一定的经验，对园林绿化养护的各个环节，如植物修剪、病虫害防治、浇水施肥等有了更深入的了解和掌握，能够更好地应对各种问题和挑战。</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综上，该项目审批手续完善，项目成熟度高。根据评分标准，总分9分，得9分</w:t>
      </w:r>
      <w:r>
        <w:rPr>
          <w:rFonts w:hint="eastAsia" w:ascii="仿宋_GB2312" w:hAnsi="宋体" w:eastAsia="仿宋_GB2312" w:cs="宋体"/>
          <w:b w:val="0"/>
          <w:color w:val="393939"/>
          <w:kern w:val="0"/>
          <w:sz w:val="32"/>
          <w:szCs w:val="32"/>
          <w:shd w:val="clear" w:color="auto" w:fill="FFFFFF"/>
          <w:lang w:val="en-US" w:eastAsia="zh-CN" w:bidi="en-US"/>
        </w:rPr>
        <w:t>。</w:t>
      </w:r>
    </w:p>
    <w:p>
      <w:pPr>
        <w:pStyle w:val="3"/>
        <w:numPr>
          <w:ilvl w:val="0"/>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19" w:name="_Toc20517"/>
      <w:r>
        <w:rPr>
          <w:rFonts w:hint="eastAsia" w:ascii="楷体" w:hAnsi="楷体" w:cs="楷体"/>
          <w:b w:val="0"/>
          <w:color w:val="000000"/>
          <w:kern w:val="0"/>
          <w:sz w:val="32"/>
          <w:szCs w:val="32"/>
          <w:lang w:val="en-US" w:eastAsia="zh-CN" w:bidi="en-US"/>
        </w:rPr>
        <w:t>（三）项目资金来源和到位可行性</w:t>
      </w:r>
      <w:bookmarkEnd w:id="219"/>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项目资金来源和到位可行性方面，指标总分15分，评估得分15分。具体如下</w:t>
      </w:r>
      <w:r>
        <w:rPr>
          <w:rFonts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_GB2312" w:hAnsi="Times New Roman" w:eastAsia="仿宋_GB2312" w:cs="Times New Roman"/>
          <w:b w:val="0"/>
          <w:color w:val="000000"/>
          <w:kern w:val="0"/>
          <w:sz w:val="32"/>
          <w:szCs w:val="32"/>
          <w:lang w:val="en-US" w:eastAsia="zh-CN" w:bidi="en-US"/>
        </w:rPr>
        <w:t>资金来源可行性</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城区园林绿化购买社会养护服务项目资金经《乐山市金口河区人民政府关于&lt;关于解决城区园林绿化购买社会服务养护经费的请求&gt;》(金府复〔2024〕13号)文件批复，资金来源为财政资金，资金来源渠道符合相关规定。资金筹措程序符合科学规范，资金申请额度经过科学测算。根据评分标准，总分3分，得3分</w:t>
      </w:r>
      <w:r>
        <w:rPr>
          <w:rFonts w:hint="eastAsia" w:ascii="仿宋_GB2312" w:hAnsi="宋体" w:eastAsia="仿宋_GB2312" w:cs="宋体"/>
          <w:b w:val="0"/>
          <w:color w:val="393939"/>
          <w:kern w:val="0"/>
          <w:sz w:val="32"/>
          <w:szCs w:val="32"/>
          <w:shd w:val="clear" w:color="auto" w:fill="FFFFFF"/>
          <w:lang w:val="en-US" w:eastAsia="zh-CN" w:bidi="en-US"/>
        </w:rPr>
        <w:t>。</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 w:hAnsi="仿宋" w:eastAsia="仿宋" w:cs="仿宋"/>
          <w:szCs w:val="32"/>
          <w:lang w:eastAsia="zh-CN"/>
        </w:rPr>
        <w:t>2.</w:t>
      </w:r>
      <w:r>
        <w:rPr>
          <w:rFonts w:hint="eastAsia" w:ascii="仿宋_GB2312" w:hAnsi="Times New Roman" w:eastAsia="仿宋_GB2312" w:cs="Times New Roman"/>
          <w:b w:val="0"/>
          <w:color w:val="000000"/>
          <w:kern w:val="0"/>
          <w:sz w:val="32"/>
          <w:szCs w:val="32"/>
          <w:lang w:val="en-US" w:eastAsia="zh-CN" w:bidi="en-US"/>
        </w:rPr>
        <w:t>资金到位可行性</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本项目资金来源为政府资金，经《乐山市金口河区人民政府关于&lt;关于解决城区园林绿化购买社会服务养护经费的请求&gt;》(金府复〔2024〕13号)文件批复，总投资估算370.44万元。截止</w:t>
      </w:r>
      <w:r>
        <w:rPr>
          <w:rFonts w:hint="eastAsia" w:ascii="仿宋_GB2312" w:cs="Times New Roman"/>
          <w:b w:val="0"/>
          <w:color w:val="000000"/>
          <w:kern w:val="0"/>
          <w:sz w:val="32"/>
          <w:szCs w:val="32"/>
          <w:lang w:val="en-US" w:eastAsia="zh-CN" w:bidi="en-US"/>
        </w:rPr>
        <w:t>2025年</w:t>
      </w:r>
      <w:r>
        <w:rPr>
          <w:rFonts w:hint="eastAsia" w:ascii="仿宋_GB2312" w:cs="Times New Roman"/>
          <w:b w:val="0"/>
          <w:color w:val="000000"/>
          <w:kern w:val="0"/>
          <w:sz w:val="32"/>
          <w:szCs w:val="32"/>
          <w:highlight w:val="none"/>
          <w:lang w:val="en-US" w:eastAsia="zh-CN" w:bidi="en-US"/>
        </w:rPr>
        <w:t>1</w:t>
      </w:r>
      <w:r>
        <w:rPr>
          <w:rFonts w:hint="eastAsia" w:ascii="仿宋_GB2312" w:hAnsi="Times New Roman" w:eastAsia="仿宋_GB2312" w:cs="Times New Roman"/>
          <w:b w:val="0"/>
          <w:color w:val="000000"/>
          <w:kern w:val="0"/>
          <w:sz w:val="32"/>
          <w:szCs w:val="32"/>
          <w:highlight w:val="none"/>
          <w:lang w:val="en-US" w:eastAsia="zh-CN" w:bidi="en-US"/>
        </w:rPr>
        <w:t>月</w:t>
      </w:r>
      <w:r>
        <w:rPr>
          <w:rFonts w:hint="eastAsia" w:ascii="仿宋_GB2312" w:cs="Times New Roman"/>
          <w:b w:val="0"/>
          <w:color w:val="000000"/>
          <w:kern w:val="0"/>
          <w:sz w:val="32"/>
          <w:szCs w:val="32"/>
          <w:highlight w:val="none"/>
          <w:lang w:val="en-US" w:eastAsia="zh-CN" w:bidi="en-US"/>
        </w:rPr>
        <w:t>26</w:t>
      </w:r>
      <w:r>
        <w:rPr>
          <w:rFonts w:hint="eastAsia" w:ascii="仿宋_GB2312" w:hAnsi="Times New Roman" w:eastAsia="仿宋_GB2312" w:cs="Times New Roman"/>
          <w:b w:val="0"/>
          <w:color w:val="000000"/>
          <w:kern w:val="0"/>
          <w:sz w:val="32"/>
          <w:szCs w:val="32"/>
          <w:highlight w:val="none"/>
          <w:lang w:val="en-US" w:eastAsia="zh-CN" w:bidi="en-US"/>
        </w:rPr>
        <w:t>日项目资金到位40万元，有明确的到位时间，虽未足额到位，但该项目由财政资金支付，资金到位有保障。项目资金通过财政资金支付凭</w:t>
      </w:r>
      <w:r>
        <w:rPr>
          <w:rFonts w:hint="eastAsia" w:ascii="仿宋_GB2312" w:hAnsi="Times New Roman" w:eastAsia="仿宋_GB2312" w:cs="Times New Roman"/>
          <w:b w:val="0"/>
          <w:color w:val="000000"/>
          <w:kern w:val="0"/>
          <w:sz w:val="32"/>
          <w:szCs w:val="32"/>
          <w:lang w:val="en-US" w:eastAsia="zh-CN" w:bidi="en-US"/>
        </w:rPr>
        <w:t>证，经相关人员签字确定后通过国库集中支付，具备资金拨付相关条件。根据评分标准，总分12分，得12分</w:t>
      </w:r>
      <w:r>
        <w:rPr>
          <w:rFonts w:hint="eastAsia" w:ascii="仿宋_GB2312" w:hAnsi="宋体" w:eastAsia="仿宋_GB2312" w:cs="宋体"/>
          <w:b w:val="0"/>
          <w:color w:val="393939"/>
          <w:kern w:val="0"/>
          <w:sz w:val="32"/>
          <w:szCs w:val="32"/>
          <w:shd w:val="clear" w:color="auto" w:fill="FFFFFF"/>
          <w:lang w:val="en-US" w:eastAsia="zh-CN" w:bidi="en-US"/>
        </w:rPr>
        <w:t>。</w:t>
      </w:r>
    </w:p>
    <w:p>
      <w:pPr>
        <w:pStyle w:val="3"/>
        <w:numPr>
          <w:ilvl w:val="0"/>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20" w:name="OLE_LINK5"/>
      <w:bookmarkStart w:id="221" w:name="_Toc3169"/>
      <w:r>
        <w:rPr>
          <w:rFonts w:hint="eastAsia" w:ascii="楷体" w:hAnsi="楷体" w:cs="楷体"/>
          <w:b w:val="0"/>
          <w:color w:val="000000"/>
          <w:kern w:val="0"/>
          <w:sz w:val="32"/>
          <w:szCs w:val="32"/>
          <w:lang w:val="en-US" w:eastAsia="zh-CN" w:bidi="en-US"/>
        </w:rPr>
        <w:t>（四）资金使用计划合理性</w:t>
      </w:r>
      <w:bookmarkEnd w:id="220"/>
      <w:r>
        <w:rPr>
          <w:rFonts w:hint="eastAsia" w:ascii="楷体" w:hAnsi="楷体" w:cs="楷体"/>
          <w:b w:val="0"/>
          <w:color w:val="000000"/>
          <w:kern w:val="0"/>
          <w:sz w:val="32"/>
          <w:szCs w:val="32"/>
          <w:lang w:val="en-US" w:eastAsia="zh-CN" w:bidi="en-US"/>
        </w:rPr>
        <w:t>、资金到位及时性</w:t>
      </w:r>
      <w:bookmarkEnd w:id="221"/>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资金使用计划合理性、资金到位及时性方面，指标总分12分，评估得分6分。具体如下</w:t>
      </w:r>
      <w:r>
        <w:rPr>
          <w:rFonts w:ascii="仿宋" w:hAnsi="仿宋" w:eastAsia="仿宋" w:cs="仿宋"/>
          <w:szCs w:val="32"/>
          <w:lang w:eastAsia="zh-CN"/>
        </w:rPr>
        <w:t>：</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 w:hAnsi="仿宋" w:eastAsia="仿宋" w:cs="仿宋"/>
          <w:szCs w:val="32"/>
          <w:lang w:eastAsia="zh-CN"/>
        </w:rPr>
        <w:t>1.</w:t>
      </w:r>
      <w:r>
        <w:rPr>
          <w:rFonts w:hint="eastAsia" w:ascii="仿宋_GB2312" w:hAnsi="Times New Roman" w:eastAsia="仿宋_GB2312" w:cs="Times New Roman"/>
          <w:b w:val="0"/>
          <w:color w:val="000000"/>
          <w:kern w:val="0"/>
          <w:sz w:val="32"/>
          <w:szCs w:val="32"/>
          <w:lang w:val="en-US" w:eastAsia="zh-CN" w:bidi="en-US"/>
        </w:rPr>
        <w:t>资金使用计划合理性</w:t>
      </w:r>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本项目资金使用计划在乐山市金口河区住房和城乡建设局与四川省金和盛建设投资有限公司双方签定的《乐山市金口河区城区园林绿化购买社会服务养护项目采购合同》中约定，结合考评、考核结果，按季度支付服务费用，在每季度结束后次月10日前凭开具的增值税专用发票支付，使用计划合理。根据评分标准，总分6分，得6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w:t>
      </w:r>
      <w:r>
        <w:rPr>
          <w:rFonts w:hint="eastAsia" w:ascii="仿宋_GB2312" w:hAnsi="Times New Roman" w:eastAsia="仿宋_GB2312" w:cs="Times New Roman"/>
          <w:b w:val="0"/>
          <w:color w:val="000000"/>
          <w:kern w:val="0"/>
          <w:sz w:val="32"/>
          <w:szCs w:val="32"/>
          <w:lang w:val="en-US" w:eastAsia="zh-CN" w:bidi="en-US"/>
        </w:rPr>
        <w:t>资金到位及时性</w:t>
      </w:r>
    </w:p>
    <w:p>
      <w:pPr>
        <w:ind w:firstLine="640"/>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项目资金为政府资金，总投资估算354.56万元。截止2025年1月26日项目资金到位40万元。具体到位时间如下</w:t>
      </w:r>
      <w:r>
        <w:rPr>
          <w:rFonts w:hint="eastAsia" w:ascii="仿宋" w:hAnsi="仿宋" w:eastAsia="仿宋" w:cs="仿宋"/>
          <w:szCs w:val="32"/>
          <w:lang w:eastAsia="zh-CN"/>
        </w:rPr>
        <w:t>：</w:t>
      </w:r>
    </w:p>
    <w:p>
      <w:pPr>
        <w:ind w:firstLine="0" w:firstLineChars="0"/>
        <w:jc w:val="center"/>
        <w:rPr>
          <w:rFonts w:hint="eastAsia" w:ascii="仿宋" w:hAnsi="仿宋" w:eastAsia="仿宋" w:cs="仿宋"/>
          <w:bCs/>
          <w:szCs w:val="32"/>
          <w:lang w:eastAsia="zh-CN"/>
        </w:rPr>
      </w:pPr>
      <w:r>
        <w:rPr>
          <w:rFonts w:hint="eastAsia" w:ascii="仿宋_GB2312" w:hAnsi="Times New Roman" w:eastAsia="仿宋_GB2312" w:cs="Times New Roman"/>
          <w:b w:val="0"/>
          <w:color w:val="000000"/>
          <w:kern w:val="0"/>
          <w:sz w:val="32"/>
          <w:szCs w:val="32"/>
          <w:lang w:val="en-US" w:eastAsia="zh-CN" w:bidi="en-US"/>
        </w:rPr>
        <w:t>资金到位时间表</w:t>
      </w:r>
    </w:p>
    <w:tbl>
      <w:tblPr>
        <w:tblStyle w:val="22"/>
        <w:tblpPr w:leftFromText="180" w:rightFromText="180" w:vertAnchor="text" w:horzAnchor="page" w:tblpX="2051" w:tblpY="222"/>
        <w:tblOverlap w:val="never"/>
        <w:tblW w:w="8716" w:type="dxa"/>
        <w:tblInd w:w="0" w:type="dxa"/>
        <w:tblLayout w:type="fixed"/>
        <w:tblCellMar>
          <w:top w:w="0" w:type="dxa"/>
          <w:left w:w="108" w:type="dxa"/>
          <w:bottom w:w="0" w:type="dxa"/>
          <w:right w:w="108" w:type="dxa"/>
        </w:tblCellMar>
      </w:tblPr>
      <w:tblGrid>
        <w:gridCol w:w="514"/>
        <w:gridCol w:w="985"/>
        <w:gridCol w:w="1125"/>
        <w:gridCol w:w="1230"/>
        <w:gridCol w:w="1159"/>
        <w:gridCol w:w="1181"/>
        <w:gridCol w:w="1268"/>
        <w:gridCol w:w="1254"/>
      </w:tblGrid>
      <w:tr>
        <w:trPr>
          <w:trHeight w:val="567"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58" w:leftChars="-18" w:right="-96" w:rightChars="-30"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服务费所属期间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合同约定服务费用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发票</w:t>
            </w:r>
          </w:p>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金额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val="en-US" w:eastAsia="zh-CN"/>
              </w:rPr>
              <w:t>实际到位</w:t>
            </w:r>
            <w:r>
              <w:rPr>
                <w:rFonts w:hint="eastAsia" w:ascii="仿宋" w:hAnsi="仿宋" w:eastAsia="仿宋" w:cs="仿宋"/>
                <w:bCs/>
                <w:sz w:val="24"/>
                <w:lang w:eastAsia="zh-CN"/>
              </w:rPr>
              <w:t>（万元）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开票时间</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支付时间</w:t>
            </w:r>
          </w:p>
        </w:tc>
      </w:tr>
      <w:tr>
        <w:tblPrEx>
          <w:tblCellMar>
            <w:top w:w="0" w:type="dxa"/>
            <w:left w:w="108" w:type="dxa"/>
            <w:bottom w:w="0" w:type="dxa"/>
            <w:right w:w="108" w:type="dxa"/>
          </w:tblCellMar>
        </w:tblPrEx>
        <w:trPr>
          <w:trHeight w:val="56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985"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highlight w:val="none"/>
                <w:lang w:val="en-US" w:eastAsia="zh-CN"/>
              </w:rPr>
              <w:t>城区园林绿化购买社会服务养护项目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color w:val="000000"/>
                <w:sz w:val="24"/>
                <w:szCs w:val="24"/>
                <w:lang w:val="en-US" w:eastAsia="zh-CN" w:bidi="en-US"/>
              </w:rPr>
            </w:pPr>
            <w:r>
              <w:rPr>
                <w:rFonts w:hint="eastAsia" w:ascii="仿宋" w:hAnsi="仿宋" w:eastAsia="仿宋" w:cs="仿宋"/>
                <w:bCs/>
                <w:sz w:val="24"/>
                <w:lang w:val="en-US" w:eastAsia="zh-CN"/>
              </w:rPr>
              <w:t>2024.5月至10月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59.0933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57.3178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2025.1.20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eastAsia="zh-CN"/>
              </w:rPr>
              <w:t>202</w:t>
            </w:r>
            <w:r>
              <w:rPr>
                <w:rFonts w:hint="eastAsia" w:ascii="仿宋" w:hAnsi="仿宋" w:eastAsia="仿宋" w:cs="仿宋"/>
                <w:bCs/>
                <w:sz w:val="24"/>
                <w:lang w:val="en-US" w:eastAsia="zh-CN"/>
              </w:rPr>
              <w:t>5</w:t>
            </w: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lang w:val="en-US" w:eastAsia="zh-CN"/>
              </w:rPr>
              <w:t>26</w:t>
            </w:r>
          </w:p>
        </w:tc>
      </w:tr>
      <w:tr>
        <w:tblPrEx>
          <w:tblCellMar>
            <w:top w:w="0" w:type="dxa"/>
            <w:left w:w="108" w:type="dxa"/>
            <w:bottom w:w="0" w:type="dxa"/>
            <w:right w:w="108" w:type="dxa"/>
          </w:tblCellMar>
        </w:tblPrEx>
        <w:trPr>
          <w:trHeight w:val="56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w:t>
            </w:r>
          </w:p>
        </w:tc>
        <w:tc>
          <w:tcPr>
            <w:tcW w:w="985"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highlight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2024.10至2025.1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29.5467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default" w:ascii="仿宋" w:hAnsi="仿宋" w:eastAsia="仿宋" w:cs="仿宋"/>
                <w:bCs/>
                <w:sz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val="en-US" w:eastAsia="zh-CN"/>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r>
        <w:tblPrEx>
          <w:tblCellMar>
            <w:top w:w="0" w:type="dxa"/>
            <w:left w:w="108" w:type="dxa"/>
            <w:bottom w:w="0" w:type="dxa"/>
            <w:right w:w="108" w:type="dxa"/>
          </w:tblCellMar>
        </w:tblPrEx>
        <w:trPr>
          <w:trHeight w:val="567" w:hRule="atLeast"/>
        </w:trPr>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88.64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57.3178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bl>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根据《乐山市金口河区城区园林绿化购买社会服务养护项目采购合同》第三条约定，按季度支付服务费用，在每季度结束后次月10日前凭开具的增值税专用发票支付。由上表可知，截止2025年2月10日合同约定应到位88.64万元，发票开具金额57.3178万元，截止2月10日项目资金实际到位40万元，资金未足额到位。根据评分标准，总分6分，得0分</w:t>
      </w:r>
      <w:r>
        <w:rPr>
          <w:rFonts w:hint="eastAsia" w:ascii="仿宋_GB2312" w:hAnsi="宋体" w:eastAsia="仿宋_GB2312" w:cs="宋体"/>
          <w:b w:val="0"/>
          <w:color w:val="393939"/>
          <w:kern w:val="0"/>
          <w:sz w:val="32"/>
          <w:szCs w:val="32"/>
          <w:shd w:val="clear" w:color="auto" w:fill="FFFFFF"/>
          <w:lang w:val="en-US" w:eastAsia="zh-CN" w:bidi="en-US"/>
        </w:rPr>
        <w:t>。</w:t>
      </w:r>
    </w:p>
    <w:p>
      <w:pPr>
        <w:pStyle w:val="3"/>
        <w:numPr>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22" w:name="_Toc31193"/>
      <w:r>
        <w:rPr>
          <w:rFonts w:hint="eastAsia" w:ascii="楷体" w:hAnsi="楷体" w:cs="楷体"/>
          <w:b w:val="0"/>
          <w:color w:val="000000"/>
          <w:kern w:val="0"/>
          <w:sz w:val="32"/>
          <w:szCs w:val="32"/>
          <w:lang w:val="en-US" w:eastAsia="zh-CN" w:bidi="en-US"/>
        </w:rPr>
        <w:t>（五）项</w:t>
      </w:r>
      <w:r>
        <w:rPr>
          <w:rFonts w:hint="eastAsia" w:ascii="楷体" w:hAnsi="楷体" w:cs="楷体"/>
          <w:b w:val="0"/>
          <w:color w:val="000000"/>
          <w:kern w:val="0"/>
          <w:sz w:val="32"/>
          <w:szCs w:val="32"/>
          <w:lang w:val="en-US" w:eastAsia="zh-CN" w:bidi="en-US"/>
        </w:rPr>
        <w:t>目绩效目标明确性、合理性</w:t>
      </w:r>
      <w:bookmarkEnd w:id="222"/>
    </w:p>
    <w:p>
      <w:pPr>
        <w:ind w:firstLine="640"/>
        <w:rPr>
          <w:rFonts w:hint="eastAsia" w:ascii="仿宋" w:hAnsi="仿宋" w:eastAsia="仿宋" w:cs="仿宋"/>
          <w:szCs w:val="32"/>
          <w:lang w:eastAsia="zh-CN"/>
        </w:rPr>
      </w:pPr>
      <w:bookmarkStart w:id="223" w:name="OLE_LINK6"/>
      <w:r>
        <w:rPr>
          <w:rFonts w:hint="eastAsia" w:ascii="仿宋_GB2312" w:hAnsi="Times New Roman" w:eastAsia="仿宋_GB2312" w:cs="Times New Roman"/>
          <w:b w:val="0"/>
          <w:color w:val="000000"/>
          <w:kern w:val="0"/>
          <w:sz w:val="32"/>
          <w:szCs w:val="32"/>
          <w:lang w:val="en-US" w:eastAsia="zh-CN" w:bidi="en-US"/>
        </w:rPr>
        <w:t>项目绩效目标明确性、合理性方面，指标总分13分，评估得分13分。具体如下</w:t>
      </w:r>
      <w:r>
        <w:rPr>
          <w:rFonts w:hint="eastAsia" w:ascii="仿宋" w:hAnsi="仿宋" w:eastAsia="仿宋" w:cs="仿宋"/>
          <w:szCs w:val="32"/>
          <w:lang w:eastAsia="zh-CN"/>
        </w:rPr>
        <w:t>：</w:t>
      </w:r>
      <w:bookmarkEnd w:id="223"/>
    </w:p>
    <w:p>
      <w:pPr>
        <w:ind w:firstLine="640"/>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_GB2312" w:hAnsi="Times New Roman" w:eastAsia="仿宋_GB2312" w:cs="Times New Roman"/>
          <w:b w:val="0"/>
          <w:color w:val="000000"/>
          <w:kern w:val="0"/>
          <w:sz w:val="32"/>
          <w:szCs w:val="32"/>
          <w:lang w:val="en-US" w:eastAsia="zh-CN" w:bidi="en-US"/>
        </w:rPr>
        <w:t>绩效目标明确性</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本次事前绩效评估根据《</w:t>
      </w:r>
      <w:r>
        <w:rPr>
          <w:rFonts w:hint="eastAsia" w:ascii="仿宋_GB2312" w:hAnsi="Times New Roman" w:eastAsia="仿宋_GB2312" w:cs="Times New Roman"/>
          <w:b w:val="0"/>
          <w:color w:val="000000"/>
          <w:kern w:val="0"/>
          <w:sz w:val="32"/>
          <w:szCs w:val="32"/>
          <w:lang w:val="en-US" w:eastAsia="zh-CN" w:bidi="en-US"/>
        </w:rPr>
        <w:fldChar w:fldCharType="begin"/>
      </w:r>
      <w:r>
        <w:rPr>
          <w:rFonts w:hint="eastAsia" w:ascii="仿宋_GB2312" w:hAnsi="Times New Roman" w:eastAsia="仿宋_GB2312" w:cs="Times New Roman"/>
          <w:b w:val="0"/>
          <w:color w:val="000000"/>
          <w:kern w:val="0"/>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_GB2312" w:hAnsi="Times New Roman" w:eastAsia="仿宋_GB2312" w:cs="Times New Roman"/>
          <w:b w:val="0"/>
          <w:color w:val="000000"/>
          <w:kern w:val="0"/>
          <w:sz w:val="32"/>
          <w:szCs w:val="32"/>
          <w:lang w:val="en-US" w:eastAsia="zh-CN" w:bidi="en-US"/>
        </w:rPr>
        <w:fldChar w:fldCharType="separate"/>
      </w:r>
      <w:r>
        <w:rPr>
          <w:rFonts w:hint="eastAsia" w:ascii="仿宋_GB2312" w:hAnsi="Times New Roman" w:eastAsia="仿宋_GB2312" w:cs="Times New Roman"/>
          <w:b w:val="0"/>
          <w:color w:val="000000"/>
          <w:kern w:val="0"/>
          <w:sz w:val="32"/>
          <w:szCs w:val="32"/>
          <w:lang w:val="en-US" w:eastAsia="zh-CN" w:bidi="en-US"/>
        </w:rPr>
        <w:t>四川省财政厅关于印发&lt;四川省预算评审管理实施细则（试行）&gt;的通知》（川财预〔2024〕38号）</w:t>
      </w:r>
      <w:r>
        <w:rPr>
          <w:rFonts w:hint="eastAsia" w:ascii="仿宋_GB2312" w:hAnsi="Times New Roman" w:eastAsia="仿宋_GB2312" w:cs="Times New Roman"/>
          <w:b w:val="0"/>
          <w:color w:val="000000"/>
          <w:kern w:val="0"/>
          <w:sz w:val="32"/>
          <w:szCs w:val="32"/>
          <w:lang w:val="en-US" w:eastAsia="zh-CN" w:bidi="en-US"/>
        </w:rPr>
        <w:fldChar w:fldCharType="end"/>
      </w:r>
      <w:r>
        <w:rPr>
          <w:rFonts w:hint="eastAsia" w:ascii="仿宋_GB2312" w:hAnsi="Times New Roman" w:eastAsia="仿宋_GB2312" w:cs="Times New Roman"/>
          <w:b w:val="0"/>
          <w:color w:val="000000"/>
          <w:kern w:val="0"/>
          <w:sz w:val="32"/>
          <w:szCs w:val="32"/>
          <w:lang w:val="en-US" w:eastAsia="zh-CN" w:bidi="en-US"/>
        </w:rPr>
        <w:t>进行，按照事前评估应当遵守的基本内容设计本项目个性评价指标，确保绩效目标可评、可量、可用于指导项目实施阶段绩效评价。</w:t>
      </w:r>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该项目绩效目标设定明确，与年度工作目标一致，并且绩效目标的编制内容符合《项目支出绩效评价管理办法》（财预〔2020〕10号）政策规定，与项目内容高度相关。根据评分标准，总分7分，得7分</w:t>
      </w:r>
      <w:r>
        <w:rPr>
          <w:rFonts w:hint="eastAsia" w:ascii="仿宋" w:hAnsi="仿宋" w:eastAsia="仿宋" w:cs="仿宋"/>
          <w:szCs w:val="32"/>
          <w:lang w:eastAsia="zh-CN"/>
        </w:rPr>
        <w:t>。</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 w:hAnsi="仿宋" w:eastAsia="仿宋" w:cs="仿宋"/>
          <w:szCs w:val="32"/>
          <w:lang w:eastAsia="zh-CN"/>
        </w:rPr>
        <w:t>2.</w:t>
      </w:r>
      <w:r>
        <w:rPr>
          <w:rFonts w:hint="eastAsia" w:ascii="仿宋_GB2312" w:hAnsi="Times New Roman" w:eastAsia="仿宋_GB2312" w:cs="Times New Roman"/>
          <w:b w:val="0"/>
          <w:color w:val="000000"/>
          <w:kern w:val="0"/>
          <w:sz w:val="32"/>
          <w:szCs w:val="32"/>
          <w:lang w:val="en-US" w:eastAsia="zh-CN" w:bidi="en-US"/>
        </w:rPr>
        <w:t>目标合理性</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根据《</w:t>
      </w:r>
      <w:r>
        <w:rPr>
          <w:rFonts w:hint="eastAsia" w:ascii="仿宋_GB2312" w:hAnsi="Times New Roman" w:eastAsia="仿宋_GB2312" w:cs="Times New Roman"/>
          <w:b w:val="0"/>
          <w:color w:val="000000"/>
          <w:kern w:val="0"/>
          <w:sz w:val="32"/>
          <w:szCs w:val="32"/>
          <w:lang w:val="en-US" w:eastAsia="zh-CN" w:bidi="en-US"/>
        </w:rPr>
        <w:fldChar w:fldCharType="begin"/>
      </w:r>
      <w:r>
        <w:rPr>
          <w:rFonts w:hint="eastAsia" w:ascii="仿宋_GB2312" w:hAnsi="Times New Roman" w:eastAsia="仿宋_GB2312" w:cs="Times New Roman"/>
          <w:b w:val="0"/>
          <w:color w:val="000000"/>
          <w:kern w:val="0"/>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_GB2312" w:hAnsi="Times New Roman" w:eastAsia="仿宋_GB2312" w:cs="Times New Roman"/>
          <w:b w:val="0"/>
          <w:color w:val="000000"/>
          <w:kern w:val="0"/>
          <w:sz w:val="32"/>
          <w:szCs w:val="32"/>
          <w:lang w:val="en-US" w:eastAsia="zh-CN" w:bidi="en-US"/>
        </w:rPr>
        <w:fldChar w:fldCharType="separate"/>
      </w:r>
      <w:r>
        <w:rPr>
          <w:rFonts w:hint="eastAsia" w:ascii="仿宋_GB2312" w:hAnsi="Times New Roman" w:eastAsia="仿宋_GB2312" w:cs="Times New Roman"/>
          <w:b w:val="0"/>
          <w:color w:val="000000"/>
          <w:kern w:val="0"/>
          <w:sz w:val="32"/>
          <w:szCs w:val="32"/>
          <w:lang w:val="en-US" w:eastAsia="zh-CN" w:bidi="en-US"/>
        </w:rPr>
        <w:t>四川省财政厅关于印发&lt;四川省预算评审管理实施细则（试行）&gt;的通知》（川财预〔2024〕38号）</w:t>
      </w:r>
      <w:r>
        <w:rPr>
          <w:rFonts w:hint="eastAsia" w:ascii="仿宋_GB2312" w:hAnsi="Times New Roman" w:eastAsia="仿宋_GB2312" w:cs="Times New Roman"/>
          <w:b w:val="0"/>
          <w:color w:val="000000"/>
          <w:kern w:val="0"/>
          <w:sz w:val="32"/>
          <w:szCs w:val="32"/>
          <w:lang w:val="en-US" w:eastAsia="zh-CN" w:bidi="en-US"/>
        </w:rPr>
        <w:fldChar w:fldCharType="end"/>
      </w:r>
      <w:r>
        <w:rPr>
          <w:rFonts w:hint="eastAsia" w:ascii="仿宋_GB2312" w:hAnsi="Times New Roman" w:eastAsia="仿宋_GB2312" w:cs="Times New Roman"/>
          <w:b w:val="0"/>
          <w:color w:val="000000"/>
          <w:kern w:val="0"/>
          <w:sz w:val="32"/>
          <w:szCs w:val="32"/>
          <w:lang w:val="en-US" w:eastAsia="zh-CN" w:bidi="en-US"/>
        </w:rPr>
        <w:t>，本项目绩效目标重点反映了城区园林绿化购买社会养护服务项目的产出数量、质量、时效、成本，还包括社会效益、可持续影响、满意度等绩效指标。</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项目实施优化了政府职能，减少了资金投入；借助引进专业园林绿化养护队伍，提高金口河区城市绿化环境，满足了人民群众日益增加的精神文明需求。</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因此，本项目的绩效目标合理，指标细化、量化、合理可考核且与申报预算的资金量相匹配。根据评分标准，总分6分，得6分</w:t>
      </w:r>
      <w:r>
        <w:rPr>
          <w:rFonts w:hint="eastAsia" w:ascii="仿宋_GB2312" w:hAnsi="宋体" w:eastAsia="仿宋_GB2312" w:cs="宋体"/>
          <w:b w:val="0"/>
          <w:color w:val="393939"/>
          <w:kern w:val="0"/>
          <w:sz w:val="32"/>
          <w:szCs w:val="32"/>
          <w:shd w:val="clear" w:color="auto" w:fill="FFFFFF"/>
          <w:lang w:val="en-US" w:eastAsia="zh-CN" w:bidi="en-US"/>
        </w:rPr>
        <w:t>。</w:t>
      </w:r>
    </w:p>
    <w:p>
      <w:pPr>
        <w:pStyle w:val="3"/>
        <w:numPr>
          <w:ilvl w:val="0"/>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24" w:name="_Toc23450"/>
      <w:r>
        <w:rPr>
          <w:rFonts w:hint="eastAsia" w:ascii="楷体" w:hAnsi="楷体" w:cs="楷体"/>
          <w:b w:val="0"/>
          <w:color w:val="000000"/>
          <w:kern w:val="0"/>
          <w:sz w:val="32"/>
          <w:szCs w:val="32"/>
          <w:lang w:val="en-US" w:eastAsia="zh-CN" w:bidi="en-US"/>
        </w:rPr>
        <w:t>（六）项目实施方案的有效性</w:t>
      </w:r>
      <w:bookmarkEnd w:id="224"/>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项目实施方案的有效性方面，指标总分8分，评估得分8分。具体如下</w:t>
      </w:r>
      <w:r>
        <w:rPr>
          <w:rFonts w:hint="eastAsia" w:ascii="仿宋" w:hAnsi="仿宋" w:eastAsia="仿宋" w:cs="仿宋"/>
          <w:szCs w:val="32"/>
          <w:lang w:eastAsia="zh-CN"/>
        </w:rPr>
        <w:t>：</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项目实施经过严密部署，制定实施方案，组织机构健全，职责分工明确，严格按照服务类采购项目流程进行。通过政府采购确定符合要求的资质公司，并签订服务合同。合同包括项目基本情况、合同期限、服务内容与质量标准、</w:t>
      </w:r>
      <w:r>
        <w:rPr>
          <w:rFonts w:hint="eastAsia" w:ascii="仿宋_GB2312" w:cs="Times New Roman"/>
          <w:b w:val="0"/>
          <w:color w:val="000000"/>
          <w:kern w:val="0"/>
          <w:sz w:val="32"/>
          <w:szCs w:val="32"/>
          <w:lang w:val="en-US" w:eastAsia="zh-CN" w:bidi="en-US"/>
        </w:rPr>
        <w:t>服务</w:t>
      </w:r>
      <w:r>
        <w:rPr>
          <w:rFonts w:hint="eastAsia" w:ascii="仿宋_GB2312" w:hAnsi="Times New Roman" w:eastAsia="仿宋_GB2312" w:cs="Times New Roman"/>
          <w:b w:val="0"/>
          <w:color w:val="000000"/>
          <w:kern w:val="0"/>
          <w:sz w:val="32"/>
          <w:szCs w:val="32"/>
          <w:lang w:val="en-US" w:eastAsia="zh-CN" w:bidi="en-US"/>
        </w:rPr>
        <w:t>费用及支付方式、履约保证金、双方权利和义务、考评办法和违约责任等</w:t>
      </w:r>
      <w:r>
        <w:rPr>
          <w:rFonts w:hint="eastAsia" w:ascii="仿宋_GB2312" w:hAnsi="宋体" w:eastAsia="仿宋_GB2312" w:cs="宋体"/>
          <w:b w:val="0"/>
          <w:color w:val="393939"/>
          <w:kern w:val="0"/>
          <w:sz w:val="32"/>
          <w:szCs w:val="32"/>
          <w:shd w:val="clear" w:color="auto" w:fill="FFFFFF"/>
          <w:lang w:val="en-US" w:eastAsia="zh-CN" w:bidi="en-US"/>
        </w:rPr>
        <w:t>。</w:t>
      </w:r>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在项目实施过程中，区住建局安排专门经办人员严格按照实施方案对四川省金和盛建设投资有限公司的工作进行监督。平时不定时巡查和月末绩效考核检查相结合，制定打分细则并严格执行，以保障项目顺利完成。根据评分标准，总分8分，得8分</w:t>
      </w:r>
      <w:r>
        <w:rPr>
          <w:rFonts w:hint="eastAsia" w:ascii="仿宋" w:hAnsi="仿宋" w:eastAsia="仿宋" w:cs="仿宋"/>
          <w:szCs w:val="32"/>
          <w:lang w:eastAsia="zh-CN"/>
        </w:rPr>
        <w:t>。</w:t>
      </w:r>
    </w:p>
    <w:p>
      <w:pPr>
        <w:pStyle w:val="3"/>
        <w:numPr>
          <w:ilvl w:val="0"/>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25" w:name="_Toc17864"/>
      <w:r>
        <w:rPr>
          <w:rFonts w:hint="eastAsia" w:ascii="楷体" w:hAnsi="楷体" w:cs="楷体"/>
          <w:b w:val="0"/>
          <w:color w:val="000000"/>
          <w:kern w:val="0"/>
          <w:sz w:val="32"/>
          <w:szCs w:val="32"/>
          <w:lang w:val="en-US" w:eastAsia="zh-CN" w:bidi="en-US"/>
        </w:rPr>
        <w:t>（七）项目实施成果合格性</w:t>
      </w:r>
      <w:bookmarkEnd w:id="225"/>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项目实施成果合格</w:t>
      </w:r>
      <w:r>
        <w:rPr>
          <w:rFonts w:hint="eastAsia" w:ascii="仿宋_GB2312" w:cs="Times New Roman"/>
          <w:b w:val="0"/>
          <w:color w:val="000000"/>
          <w:kern w:val="0"/>
          <w:sz w:val="32"/>
          <w:szCs w:val="32"/>
          <w:lang w:val="en-US" w:eastAsia="zh-CN" w:bidi="en-US"/>
        </w:rPr>
        <w:t>性</w:t>
      </w:r>
      <w:r>
        <w:rPr>
          <w:rFonts w:hint="eastAsia" w:ascii="仿宋_GB2312" w:hAnsi="Times New Roman" w:eastAsia="仿宋_GB2312" w:cs="Times New Roman"/>
          <w:b w:val="0"/>
          <w:color w:val="000000"/>
          <w:kern w:val="0"/>
          <w:sz w:val="32"/>
          <w:szCs w:val="32"/>
          <w:lang w:val="en-US" w:eastAsia="zh-CN" w:bidi="en-US"/>
        </w:rPr>
        <w:t>方面，指标总分9分，评估得分5分。具体如下</w:t>
      </w:r>
      <w:r>
        <w:rPr>
          <w:rFonts w:hint="eastAsia" w:ascii="仿宋" w:hAnsi="仿宋" w:eastAsia="仿宋" w:cs="仿宋"/>
          <w:szCs w:val="32"/>
          <w:lang w:eastAsia="zh-CN"/>
        </w:rPr>
        <w:t>：</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 w:hAnsi="仿宋" w:eastAsia="仿宋" w:cs="仿宋"/>
          <w:szCs w:val="32"/>
          <w:lang w:val="en-US" w:eastAsia="zh-CN"/>
        </w:rPr>
        <w:t>1.</w:t>
      </w:r>
      <w:r>
        <w:rPr>
          <w:rFonts w:hint="eastAsia" w:ascii="仿宋_GB2312" w:hAnsi="Times New Roman" w:eastAsia="仿宋_GB2312" w:cs="Times New Roman"/>
          <w:b w:val="0"/>
          <w:color w:val="000000"/>
          <w:kern w:val="0"/>
          <w:sz w:val="32"/>
          <w:szCs w:val="32"/>
          <w:lang w:val="en-US" w:eastAsia="zh-CN" w:bidi="en-US"/>
        </w:rPr>
        <w:t>园林绿化养护考评合格性</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从植物生长状况来看，大部分区域的草地青绿，修剪较为及时，基本能保持规定草高，杂草控制较好；绿化带植物长势总体旺盛，弱株情况较少，修剪后的带面较为平整顺直；行道树树干粗壮，截干及时，分枝整形均匀合理，树身端正，符合相关标准要求。但仍存在部分区域花草树木浇灌不足、补植不及时的现象。</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从景观效果来看，通过第三方服务机构的养护管理，城市园林绿化景观效果得到一定提升，道路沿线与公园绿化景观更加美观，形成了良好的视觉效果，为市民提供了舒适的休闲环境。</w:t>
      </w:r>
    </w:p>
    <w:p>
      <w:pPr>
        <w:ind w:firstLine="640"/>
        <w:rPr>
          <w:rFonts w:hint="eastAsia" w:ascii="仿宋_GB2312" w:hAnsi="宋体" w:eastAsia="仿宋_GB2312" w:cs="宋体"/>
          <w:b w:val="0"/>
          <w:color w:val="393939"/>
          <w:kern w:val="0"/>
          <w:sz w:val="32"/>
          <w:szCs w:val="32"/>
          <w:shd w:val="clear" w:color="auto" w:fill="FFFFFF"/>
          <w:lang w:val="en-US" w:eastAsia="zh-CN" w:bidi="en-US"/>
        </w:rPr>
      </w:pPr>
      <w:r>
        <w:rPr>
          <w:rFonts w:hint="eastAsia" w:ascii="仿宋_GB2312" w:hAnsi="Times New Roman" w:eastAsia="仿宋_GB2312" w:cs="Times New Roman"/>
          <w:b w:val="0"/>
          <w:color w:val="000000"/>
          <w:kern w:val="0"/>
          <w:sz w:val="32"/>
          <w:szCs w:val="32"/>
          <w:lang w:val="en-US" w:eastAsia="zh-CN" w:bidi="en-US"/>
        </w:rPr>
        <w:t>因此，按照《乐山市金口河区城区园林绿化购买社会服务养护项目实施方案》中的养护执行标准及具体养护要求，在园林绿化养护考评合格性方面，根据评分标准，总分3分，得2分。</w:t>
      </w:r>
    </w:p>
    <w:p>
      <w:pPr>
        <w:ind w:firstLine="640"/>
        <w:rPr>
          <w:rFonts w:hint="default" w:ascii="仿宋" w:hAnsi="仿宋" w:eastAsia="仿宋" w:cs="仿宋"/>
          <w:szCs w:val="32"/>
          <w:highlight w:val="none"/>
          <w:lang w:val="en-US" w:eastAsia="zh-CN"/>
        </w:rPr>
      </w:pPr>
      <w:r>
        <w:rPr>
          <w:rFonts w:hint="eastAsia" w:ascii="仿宋" w:hAnsi="仿宋" w:eastAsia="仿宋" w:cs="仿宋"/>
          <w:szCs w:val="32"/>
          <w:highlight w:val="none"/>
          <w:lang w:val="en-US" w:eastAsia="zh-CN"/>
        </w:rPr>
        <w:t>2.</w:t>
      </w:r>
      <w:r>
        <w:rPr>
          <w:rFonts w:hint="eastAsia" w:ascii="仿宋_GB2312" w:hAnsi="Times New Roman" w:eastAsia="仿宋_GB2312" w:cs="Times New Roman"/>
          <w:b w:val="0"/>
          <w:color w:val="000000"/>
          <w:kern w:val="0"/>
          <w:sz w:val="32"/>
          <w:szCs w:val="32"/>
          <w:lang w:val="en-US" w:eastAsia="zh-CN" w:bidi="en-US"/>
        </w:rPr>
        <w:t>城市公厕考评合格性</w:t>
      </w:r>
    </w:p>
    <w:p>
      <w:pPr>
        <w:ind w:firstLine="640"/>
        <w:rPr>
          <w:rFonts w:hint="eastAsia" w:ascii="仿宋" w:hAnsi="仿宋" w:eastAsia="仿宋" w:cs="仿宋"/>
          <w:szCs w:val="32"/>
          <w:highlight w:val="none"/>
          <w:lang w:val="en-US" w:eastAsia="zh-CN"/>
        </w:rPr>
      </w:pPr>
      <w:r>
        <w:rPr>
          <w:rFonts w:hint="eastAsia" w:ascii="仿宋" w:hAnsi="仿宋" w:eastAsia="仿宋" w:cs="仿宋"/>
          <w:szCs w:val="32"/>
          <w:highlight w:val="none"/>
          <w:lang w:val="en-US" w:eastAsia="zh-CN"/>
        </w:rPr>
        <w:t>(1)</w:t>
      </w:r>
      <w:r>
        <w:rPr>
          <w:rFonts w:hint="eastAsia" w:ascii="仿宋_GB2312" w:hAnsi="Times New Roman" w:eastAsia="仿宋_GB2312" w:cs="Times New Roman"/>
          <w:b w:val="0"/>
          <w:color w:val="000000"/>
          <w:kern w:val="0"/>
          <w:sz w:val="32"/>
          <w:szCs w:val="32"/>
          <w:lang w:val="en-US" w:eastAsia="zh-CN" w:bidi="en-US"/>
        </w:rPr>
        <w:t>设施设备情况：多数公厕设施设备较为齐全，但存在个别问题。部分公厕水龙头有漏水现象，维修更换不够及时；少数通风设备老化，换气效果不佳，导致公厕内异味较大。不过总体来看，大部分设施设备能满足日常使用需求。</w:t>
      </w:r>
    </w:p>
    <w:p>
      <w:pPr>
        <w:ind w:firstLine="640"/>
        <w:rPr>
          <w:rFonts w:hint="eastAsia" w:ascii="仿宋" w:hAnsi="仿宋" w:eastAsia="仿宋" w:cs="仿宋"/>
          <w:szCs w:val="32"/>
          <w:highlight w:val="none"/>
          <w:lang w:val="en-US" w:eastAsia="zh-CN"/>
        </w:rPr>
      </w:pPr>
      <w:r>
        <w:rPr>
          <w:rFonts w:hint="eastAsia" w:ascii="仿宋" w:hAnsi="仿宋" w:eastAsia="仿宋" w:cs="仿宋"/>
          <w:szCs w:val="32"/>
          <w:highlight w:val="none"/>
          <w:lang w:val="en-US" w:eastAsia="zh-CN"/>
        </w:rPr>
        <w:t>(2)</w:t>
      </w:r>
      <w:r>
        <w:rPr>
          <w:rFonts w:hint="eastAsia" w:ascii="仿宋_GB2312" w:hAnsi="Times New Roman" w:eastAsia="仿宋_GB2312" w:cs="Times New Roman"/>
          <w:b w:val="0"/>
          <w:color w:val="000000"/>
          <w:kern w:val="0"/>
          <w:sz w:val="32"/>
          <w:szCs w:val="32"/>
          <w:lang w:val="en-US" w:eastAsia="zh-CN" w:bidi="en-US"/>
        </w:rPr>
        <w:t>卫生清洁情况：在卫生清洁方面，大部分公厕地面、墙面保持干净，便器清洁度较高，消毒工作也能按要求开展。但在高峰时段后，部分公厕地面会出现积水，清洁不及时；个别角落存在卫生死角，杂物清理不彻底。</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 w:hAnsi="仿宋" w:eastAsia="仿宋" w:cs="仿宋"/>
          <w:szCs w:val="32"/>
          <w:highlight w:val="none"/>
          <w:lang w:val="en-US" w:eastAsia="zh-CN"/>
        </w:rPr>
        <w:t>(3)</w:t>
      </w:r>
      <w:r>
        <w:rPr>
          <w:rFonts w:hint="eastAsia" w:ascii="仿宋_GB2312" w:hAnsi="Times New Roman" w:eastAsia="仿宋_GB2312" w:cs="Times New Roman"/>
          <w:b w:val="0"/>
          <w:color w:val="000000"/>
          <w:kern w:val="0"/>
          <w:sz w:val="32"/>
          <w:szCs w:val="32"/>
          <w:lang w:val="en-US" w:eastAsia="zh-CN" w:bidi="en-US"/>
        </w:rPr>
        <w:t>服务管理情况：第三方服务机构基本能保证公厕开放时间，管理人员也能履行基本职责。然而，在服务态度上参差不齐，部分管理人员服务不够热情；意见箱存在信件处理不及时的情况，影响市民反馈问题的积极性。</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因此，按照《乐山市金口河区城区园林绿化购买社会服务养护项目实施方案》中的养护执行标准及具体养护要求，在城市公厕考评合格性方面，根据评分标准，总分2分，得1分。</w:t>
      </w:r>
    </w:p>
    <w:p>
      <w:pPr>
        <w:ind w:firstLine="640"/>
        <w:rPr>
          <w:rFonts w:hint="default" w:ascii="仿宋_GB2312" w:hAnsi="Times New Roman" w:eastAsia="仿宋_GB2312" w:cs="Times New Roman"/>
          <w:b w:val="0"/>
          <w:color w:val="000000"/>
          <w:kern w:val="0"/>
          <w:sz w:val="32"/>
          <w:szCs w:val="32"/>
          <w:lang w:val="en-US" w:eastAsia="zh-CN" w:bidi="en-US"/>
        </w:rPr>
      </w:pPr>
      <w:r>
        <w:rPr>
          <w:rFonts w:hint="eastAsia" w:ascii="仿宋" w:hAnsi="仿宋" w:eastAsia="仿宋" w:cs="仿宋"/>
          <w:szCs w:val="32"/>
          <w:highlight w:val="none"/>
          <w:lang w:val="en-US" w:eastAsia="zh-CN"/>
        </w:rPr>
        <w:t>3.</w:t>
      </w:r>
      <w:r>
        <w:rPr>
          <w:rFonts w:hint="eastAsia" w:ascii="仿宋_GB2312" w:hAnsi="Times New Roman" w:eastAsia="仿宋_GB2312" w:cs="Times New Roman"/>
          <w:b w:val="0"/>
          <w:color w:val="000000"/>
          <w:kern w:val="0"/>
          <w:sz w:val="32"/>
          <w:szCs w:val="32"/>
          <w:lang w:val="en-US" w:eastAsia="zh-CN" w:bidi="en-US"/>
        </w:rPr>
        <w:t>喷泉景观及公园内电力市政设施考评合格性</w:t>
      </w:r>
    </w:p>
    <w:p>
      <w:pPr>
        <w:ind w:firstLine="640"/>
        <w:rPr>
          <w:rFonts w:hint="eastAsia" w:ascii="仿宋" w:hAnsi="仿宋" w:eastAsia="仿宋" w:cs="仿宋"/>
          <w:szCs w:val="32"/>
          <w:highlight w:val="none"/>
          <w:lang w:val="en-US" w:eastAsia="zh-CN"/>
        </w:rPr>
      </w:pPr>
      <w:r>
        <w:rPr>
          <w:rFonts w:hint="eastAsia" w:ascii="仿宋" w:hAnsi="仿宋" w:eastAsia="仿宋" w:cs="仿宋"/>
          <w:szCs w:val="32"/>
          <w:highlight w:val="none"/>
          <w:lang w:val="en-US" w:eastAsia="zh-CN"/>
        </w:rPr>
        <w:t>(1)</w:t>
      </w:r>
      <w:r>
        <w:rPr>
          <w:rFonts w:hint="eastAsia" w:ascii="仿宋_GB2312" w:hAnsi="Times New Roman" w:eastAsia="仿宋_GB2312" w:cs="Times New Roman"/>
          <w:b w:val="0"/>
          <w:color w:val="000000"/>
          <w:kern w:val="0"/>
          <w:sz w:val="32"/>
          <w:szCs w:val="32"/>
          <w:lang w:val="en-US" w:eastAsia="zh-CN" w:bidi="en-US"/>
        </w:rPr>
        <w:t>喷泉景观：部分喷泉喷头出现不同程度堵塞，导致喷水形状不规则，影响观赏效果；水质净化处理有时不及时，出现轻微浑浊和异味。周边防护栏杆虽无严重损坏，但部分存在松动，警示标识有褪色情况。</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 w:hAnsi="仿宋" w:eastAsia="仿宋" w:cs="仿宋"/>
          <w:szCs w:val="32"/>
          <w:highlight w:val="none"/>
          <w:lang w:val="en-US" w:eastAsia="zh-CN"/>
        </w:rPr>
        <w:t>(2)</w:t>
      </w:r>
      <w:r>
        <w:rPr>
          <w:rFonts w:hint="eastAsia" w:ascii="仿宋_GB2312" w:hAnsi="Times New Roman" w:eastAsia="仿宋_GB2312" w:cs="Times New Roman"/>
          <w:b w:val="0"/>
          <w:color w:val="000000"/>
          <w:kern w:val="0"/>
          <w:sz w:val="32"/>
          <w:szCs w:val="32"/>
          <w:lang w:val="en-US" w:eastAsia="zh-CN" w:bidi="en-US"/>
        </w:rPr>
        <w:t>公园内电力市政设施：电力设备整体运行较稳定，但个别配电箱存在箱门闭合不严的问题；路灯亮灯率约为93%，少数路灯存在灯泡损坏未及时更换现象，部分线路有老化迹象。园内道路部分区域出现裂缝，虽不影响通行但有损美观；排水系统在大雨时排水速度较慢，局部有积水。</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因此，按照《乐山市金口河区城区园林绿化购买社会服务养护项目实施方案》中的养护执行标准及具体养护要求，在喷泉景观及公园内电力市政设施考评合格性方面，根据评分标准，总分2分，得1分。</w:t>
      </w:r>
    </w:p>
    <w:p>
      <w:pPr>
        <w:ind w:firstLine="640"/>
        <w:rPr>
          <w:rFonts w:hint="default" w:ascii="仿宋" w:hAnsi="仿宋" w:eastAsia="仿宋" w:cs="仿宋"/>
          <w:szCs w:val="32"/>
          <w:highlight w:val="none"/>
          <w:lang w:val="en-US" w:eastAsia="zh-CN"/>
        </w:rPr>
      </w:pPr>
      <w:r>
        <w:rPr>
          <w:rFonts w:hint="eastAsia" w:ascii="仿宋" w:hAnsi="仿宋" w:eastAsia="仿宋" w:cs="仿宋"/>
          <w:szCs w:val="32"/>
          <w:highlight w:val="none"/>
          <w:lang w:val="en-US" w:eastAsia="zh-CN"/>
        </w:rPr>
        <w:t>4.</w:t>
      </w:r>
      <w:r>
        <w:rPr>
          <w:rFonts w:hint="eastAsia" w:ascii="仿宋_GB2312" w:hAnsi="Times New Roman" w:eastAsia="仿宋_GB2312" w:cs="Times New Roman"/>
          <w:b w:val="0"/>
          <w:color w:val="000000"/>
          <w:kern w:val="0"/>
          <w:sz w:val="32"/>
          <w:szCs w:val="32"/>
          <w:lang w:val="en-US" w:eastAsia="zh-CN" w:bidi="en-US"/>
        </w:rPr>
        <w:t>停车场考评合格性</w:t>
      </w:r>
    </w:p>
    <w:p>
      <w:pPr>
        <w:ind w:firstLine="640"/>
        <w:rPr>
          <w:rFonts w:hint="eastAsia" w:ascii="仿宋" w:hAnsi="仿宋" w:eastAsia="仿宋" w:cs="仿宋"/>
          <w:szCs w:val="32"/>
          <w:highlight w:val="none"/>
          <w:lang w:eastAsia="zh-CN"/>
        </w:rPr>
      </w:pPr>
      <w:r>
        <w:rPr>
          <w:rFonts w:hint="eastAsia" w:ascii="仿宋" w:hAnsi="仿宋" w:eastAsia="仿宋" w:cs="仿宋"/>
          <w:szCs w:val="32"/>
          <w:highlight w:val="none"/>
          <w:lang w:val="en-US" w:eastAsia="zh-CN"/>
        </w:rPr>
        <w:t>(1)</w:t>
      </w:r>
      <w:r>
        <w:rPr>
          <w:rFonts w:hint="eastAsia" w:ascii="仿宋_GB2312" w:hAnsi="Times New Roman" w:eastAsia="仿宋_GB2312" w:cs="Times New Roman"/>
          <w:b w:val="0"/>
          <w:color w:val="000000"/>
          <w:kern w:val="0"/>
          <w:sz w:val="32"/>
          <w:szCs w:val="32"/>
          <w:lang w:val="en-US" w:eastAsia="zh-CN" w:bidi="en-US"/>
        </w:rPr>
        <w:t>设施完整性：部分停车线因磨损变得模糊，道闸系统偶尔出现故障，反应迟缓，影响车辆进出。照明设备整体运行正常，但有少数灯泡损坏未及时更换。地面有少量坑洼，排水系统基本正常，不过暴雨后会有短暂积水。防护栏和减速带存在个别松动、损坏情况。</w:t>
      </w:r>
    </w:p>
    <w:p>
      <w:pPr>
        <w:ind w:firstLine="640"/>
        <w:rPr>
          <w:rFonts w:hint="eastAsia" w:ascii="仿宋" w:hAnsi="仿宋" w:eastAsia="仿宋" w:cs="仿宋"/>
          <w:szCs w:val="32"/>
          <w:highlight w:val="none"/>
          <w:lang w:eastAsia="zh-CN"/>
        </w:rPr>
      </w:pPr>
      <w:r>
        <w:rPr>
          <w:rFonts w:hint="eastAsia" w:ascii="仿宋" w:hAnsi="仿宋" w:eastAsia="仿宋" w:cs="仿宋"/>
          <w:szCs w:val="32"/>
          <w:highlight w:val="none"/>
          <w:lang w:val="en-US" w:eastAsia="zh-CN"/>
        </w:rPr>
        <w:t>(2)</w:t>
      </w:r>
      <w:r>
        <w:rPr>
          <w:rFonts w:hint="eastAsia" w:ascii="仿宋_GB2312" w:hAnsi="Times New Roman" w:eastAsia="仿宋_GB2312" w:cs="Times New Roman"/>
          <w:b w:val="0"/>
          <w:color w:val="000000"/>
          <w:kern w:val="0"/>
          <w:sz w:val="32"/>
          <w:szCs w:val="32"/>
          <w:lang w:val="en-US" w:eastAsia="zh-CN" w:bidi="en-US"/>
        </w:rPr>
        <w:t>运营管理：高峰时段车辆进出时引导不足，存在一定拥堵。收费管理较为规范，公示了收费标准。开放时间能按规定执行，但遇到特殊情况时，未能及时通知车主。</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 w:hAnsi="仿宋" w:eastAsia="仿宋" w:cs="仿宋"/>
          <w:szCs w:val="32"/>
          <w:highlight w:val="none"/>
          <w:lang w:val="en-US" w:eastAsia="zh-CN"/>
        </w:rPr>
        <w:t>(3)</w:t>
      </w:r>
      <w:r>
        <w:rPr>
          <w:rFonts w:hint="eastAsia" w:ascii="仿宋_GB2312" w:hAnsi="Times New Roman" w:eastAsia="仿宋_GB2312" w:cs="Times New Roman"/>
          <w:b w:val="0"/>
          <w:color w:val="000000"/>
          <w:kern w:val="0"/>
          <w:sz w:val="32"/>
          <w:szCs w:val="32"/>
          <w:lang w:val="en-US" w:eastAsia="zh-CN" w:bidi="en-US"/>
        </w:rPr>
        <w:t>环境卫生：停车场地面整体较干净，但角落处偶尔有垃圾堆积。垃圾桶清理频次基本达标，不过在使用高峰期有满溢风险，消毒工作执行不够到位，有轻微异味。</w:t>
      </w:r>
    </w:p>
    <w:p>
      <w:pPr>
        <w:ind w:firstLine="640"/>
        <w:rPr>
          <w:rFonts w:hint="eastAsia"/>
          <w:lang w:val="en-US" w:eastAsia="zh-CN"/>
        </w:rPr>
      </w:pPr>
      <w:r>
        <w:rPr>
          <w:rFonts w:hint="eastAsia" w:ascii="仿宋_GB2312" w:hAnsi="Times New Roman" w:eastAsia="仿宋_GB2312" w:cs="Times New Roman"/>
          <w:b w:val="0"/>
          <w:color w:val="000000"/>
          <w:kern w:val="0"/>
          <w:sz w:val="32"/>
          <w:szCs w:val="32"/>
          <w:lang w:val="en-US" w:eastAsia="zh-CN" w:bidi="en-US"/>
        </w:rPr>
        <w:t>因此，按照《乐山市金口河区城区园林绿化购买社会服务养护项目实施方案》中的养护执行标准及具体养护要求，在停车场考评合格性方面，根据评分标准，总分2分，得1分。</w:t>
      </w:r>
    </w:p>
    <w:p>
      <w:pPr>
        <w:pStyle w:val="3"/>
        <w:numPr>
          <w:ilvl w:val="0"/>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26" w:name="_Toc28447"/>
      <w:r>
        <w:rPr>
          <w:rFonts w:hint="eastAsia" w:ascii="楷体" w:hAnsi="楷体" w:cs="楷体"/>
          <w:b w:val="0"/>
          <w:color w:val="000000"/>
          <w:kern w:val="0"/>
          <w:sz w:val="32"/>
          <w:szCs w:val="32"/>
          <w:lang w:val="en-US" w:eastAsia="zh-CN" w:bidi="en-US"/>
        </w:rPr>
        <w:t>（八）项目实施的可持续性</w:t>
      </w:r>
      <w:bookmarkEnd w:id="226"/>
    </w:p>
    <w:p>
      <w:pPr>
        <w:ind w:firstLine="640"/>
        <w:rPr>
          <w:lang w:eastAsia="zh-CN"/>
        </w:rPr>
      </w:pPr>
      <w:r>
        <w:rPr>
          <w:rFonts w:hint="eastAsia" w:ascii="仿宋_GB2312" w:hAnsi="Times New Roman" w:eastAsia="仿宋_GB2312" w:cs="Times New Roman"/>
          <w:b w:val="0"/>
          <w:color w:val="000000"/>
          <w:kern w:val="0"/>
          <w:sz w:val="32"/>
          <w:szCs w:val="32"/>
          <w:lang w:val="en-US" w:eastAsia="zh-CN" w:bidi="en-US"/>
        </w:rPr>
        <w:t>项目实施的可持续性方面，指标总分12分，评估得分12分。具体如下</w:t>
      </w:r>
      <w:r>
        <w:rPr>
          <w:rFonts w:hint="eastAsia" w:ascii="仿宋" w:hAnsi="仿宋" w:eastAsia="仿宋" w:cs="仿宋"/>
          <w:szCs w:val="32"/>
          <w:lang w:eastAsia="zh-CN"/>
        </w:rPr>
        <w:t>：</w:t>
      </w:r>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通过招标等方式选择第三方服务机构，可引入市场竞争，实现资源优化配置，降低养护成本。同时，第三方机构凭借专业优势和规模效应，能更高效地利用资源，减少浪费。良好的城市园林绿化能美化环境、净化空气、降低噪音，为居民提供舒适的休闲空间，提升居民的生活质量和幸福感，得到社会各界的支持，有利于项目长期实施。第三方服务机构在养护管理过程中需要雇佣一定数量的工作人员，包括园艺工人、技术人员等，这为当地居民提供了就业机会，促进了社会稳定。第三方服务机构通常拥有专业的园艺团队和技术设备，能够根据不同植物的生长习性进行科学养护，提高植物的成活率和生长质量，有利于城市生态环境的稳定和改善。</w:t>
      </w:r>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随着环保意识的提高，第三方服务机构在养护过程中会越来越注重生态理念的贯彻，采用环保的养护方法和材料，减少对环境的负面影响，实现城市园林绿化的生态可持续发展。根据评分标准，总分12分，得12分</w:t>
      </w:r>
      <w:r>
        <w:rPr>
          <w:rFonts w:hint="eastAsia" w:ascii="仿宋" w:hAnsi="仿宋" w:eastAsia="仿宋" w:cs="仿宋"/>
          <w:szCs w:val="32"/>
          <w:lang w:eastAsia="zh-CN"/>
        </w:rPr>
        <w:t>。</w:t>
      </w:r>
    </w:p>
    <w:p>
      <w:pPr>
        <w:pStyle w:val="3"/>
        <w:numPr>
          <w:ilvl w:val="0"/>
          <w:numId w:val="0"/>
        </w:numPr>
        <w:spacing w:before="0" w:beforeLines="0" w:after="0" w:afterLines="0"/>
        <w:ind w:left="643" w:leftChars="0"/>
        <w:rPr>
          <w:rFonts w:hint="eastAsia" w:ascii="楷体" w:hAnsi="楷体" w:cs="楷体"/>
          <w:b w:val="0"/>
          <w:color w:val="000000"/>
          <w:kern w:val="0"/>
          <w:sz w:val="32"/>
          <w:szCs w:val="32"/>
          <w:lang w:val="en-US" w:eastAsia="zh-CN" w:bidi="en-US"/>
        </w:rPr>
      </w:pPr>
      <w:bookmarkStart w:id="227" w:name="_Toc14568"/>
      <w:r>
        <w:rPr>
          <w:rFonts w:hint="eastAsia" w:ascii="楷体" w:hAnsi="楷体" w:cs="楷体"/>
          <w:b w:val="0"/>
          <w:color w:val="000000"/>
          <w:kern w:val="0"/>
          <w:sz w:val="32"/>
          <w:szCs w:val="32"/>
          <w:lang w:val="en-US" w:eastAsia="zh-CN" w:bidi="en-US"/>
        </w:rPr>
        <w:t>（九）总体结论</w:t>
      </w:r>
      <w:bookmarkEnd w:id="227"/>
    </w:p>
    <w:p>
      <w:pPr>
        <w:ind w:firstLine="640"/>
        <w:rPr>
          <w:rFonts w:hint="eastAsia" w:ascii="仿宋" w:hAnsi="仿宋" w:eastAsia="仿宋" w:cs="仿宋"/>
          <w:szCs w:val="32"/>
          <w:lang w:eastAsia="zh-CN"/>
        </w:rPr>
      </w:pPr>
      <w:r>
        <w:rPr>
          <w:rFonts w:hint="eastAsia" w:ascii="仿宋_GB2312" w:hAnsi="Times New Roman" w:eastAsia="仿宋_GB2312" w:cs="Times New Roman"/>
          <w:b w:val="0"/>
          <w:color w:val="000000"/>
          <w:kern w:val="0"/>
          <w:sz w:val="32"/>
          <w:szCs w:val="32"/>
          <w:lang w:val="en-US" w:eastAsia="zh-CN" w:bidi="en-US"/>
        </w:rPr>
        <w:t>评估小组通过对前述8个一级指标、17个二级指标以及31个三级指标评分的分析评估，全面评估该项目的预期绩效情况，评估总分90分。通过项目的实施，可实现资源优化配置，降低养护成本，能更高效地利用资源，减少浪费。良好的城市园林绿化能美化环境、净化空气、降低噪音，有利于城市生态环境的稳定和改善，为居民提供舒适的休闲空间，提升居民的生活质量和幸福感。本项目通过社会调查、效益分析、对比分析等方法评估，综合考虑项目绩效目标和项目实际情况，预期绩效可实现性强，满足《</w:t>
      </w:r>
      <w:r>
        <w:rPr>
          <w:rFonts w:hint="eastAsia" w:ascii="仿宋_GB2312" w:hAnsi="Times New Roman" w:eastAsia="仿宋_GB2312" w:cs="Times New Roman"/>
          <w:b w:val="0"/>
          <w:color w:val="000000"/>
          <w:kern w:val="0"/>
          <w:sz w:val="32"/>
          <w:szCs w:val="32"/>
          <w:lang w:val="en-US" w:eastAsia="zh-CN" w:bidi="en-US"/>
        </w:rPr>
        <w:fldChar w:fldCharType="begin"/>
      </w:r>
      <w:r>
        <w:rPr>
          <w:rFonts w:hint="eastAsia" w:ascii="仿宋_GB2312" w:hAnsi="Times New Roman" w:eastAsia="仿宋_GB2312" w:cs="Times New Roman"/>
          <w:b w:val="0"/>
          <w:color w:val="000000"/>
          <w:kern w:val="0"/>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_GB2312" w:hAnsi="Times New Roman" w:eastAsia="仿宋_GB2312" w:cs="Times New Roman"/>
          <w:b w:val="0"/>
          <w:color w:val="000000"/>
          <w:kern w:val="0"/>
          <w:sz w:val="32"/>
          <w:szCs w:val="32"/>
          <w:lang w:val="en-US" w:eastAsia="zh-CN" w:bidi="en-US"/>
        </w:rPr>
        <w:fldChar w:fldCharType="separate"/>
      </w:r>
      <w:r>
        <w:rPr>
          <w:rFonts w:hint="eastAsia" w:ascii="仿宋_GB2312" w:hAnsi="Times New Roman" w:eastAsia="仿宋_GB2312" w:cs="Times New Roman"/>
          <w:b w:val="0"/>
          <w:color w:val="000000"/>
          <w:kern w:val="0"/>
          <w:sz w:val="32"/>
          <w:szCs w:val="32"/>
          <w:lang w:val="en-US" w:eastAsia="zh-CN" w:bidi="en-US"/>
        </w:rPr>
        <w:t>四川省财政厅关于印发&lt;四川省预算评审管理实施细则（试行）&gt;的通知》（川财预〔2024〕38号）</w:t>
      </w:r>
      <w:r>
        <w:rPr>
          <w:rFonts w:hint="eastAsia" w:ascii="仿宋_GB2312" w:hAnsi="Times New Roman" w:eastAsia="仿宋_GB2312" w:cs="Times New Roman"/>
          <w:b w:val="0"/>
          <w:color w:val="000000"/>
          <w:kern w:val="0"/>
          <w:sz w:val="32"/>
          <w:szCs w:val="32"/>
          <w:lang w:val="en-US" w:eastAsia="zh-CN" w:bidi="en-US"/>
        </w:rPr>
        <w:fldChar w:fldCharType="end"/>
      </w:r>
      <w:r>
        <w:rPr>
          <w:rFonts w:hint="eastAsia" w:ascii="仿宋_GB2312" w:hAnsi="Times New Roman" w:eastAsia="仿宋_GB2312" w:cs="Times New Roman"/>
          <w:b w:val="0"/>
          <w:color w:val="000000"/>
          <w:kern w:val="0"/>
          <w:sz w:val="32"/>
          <w:szCs w:val="32"/>
          <w:lang w:val="en-US" w:eastAsia="zh-CN" w:bidi="en-US"/>
        </w:rPr>
        <w:t>要求，综合绩效评估结论为“建议实施”</w:t>
      </w:r>
      <w:r>
        <w:rPr>
          <w:rFonts w:hint="eastAsia" w:ascii="仿宋" w:hAnsi="仿宋" w:eastAsia="仿宋" w:cs="仿宋"/>
          <w:szCs w:val="32"/>
          <w:lang w:eastAsia="zh-CN"/>
        </w:rPr>
        <w:t>。</w:t>
      </w:r>
    </w:p>
    <w:p>
      <w:pPr>
        <w:pStyle w:val="2"/>
        <w:numPr>
          <w:ilvl w:val="0"/>
          <w:numId w:val="0"/>
        </w:numPr>
        <w:spacing w:before="0" w:beforeLines="0" w:after="0" w:afterLines="0"/>
        <w:ind w:leftChars="0" w:firstLine="640" w:firstLineChars="200"/>
        <w:rPr>
          <w:rFonts w:hint="eastAsia" w:ascii="黑体" w:hAnsi="黑体" w:eastAsia="黑体" w:cs="黑体"/>
          <w:b w:val="0"/>
          <w:color w:val="000000"/>
          <w:kern w:val="0"/>
          <w:sz w:val="32"/>
          <w:szCs w:val="32"/>
          <w:lang w:val="en-US" w:eastAsia="zh-CN" w:bidi="en-US"/>
        </w:rPr>
      </w:pPr>
      <w:bookmarkStart w:id="228" w:name="_Toc20945"/>
      <w:r>
        <w:rPr>
          <w:rFonts w:hint="eastAsia" w:ascii="黑体" w:hAnsi="黑体" w:eastAsia="黑体" w:cs="黑体"/>
          <w:b w:val="0"/>
          <w:color w:val="000000"/>
          <w:kern w:val="0"/>
          <w:sz w:val="32"/>
          <w:szCs w:val="32"/>
          <w:lang w:val="en-US" w:eastAsia="zh-CN" w:bidi="en-US"/>
        </w:rPr>
        <w:t>五、相关建议</w:t>
      </w:r>
      <w:bookmarkEnd w:id="228"/>
    </w:p>
    <w:p>
      <w:pPr>
        <w:pStyle w:val="3"/>
        <w:spacing w:before="120" w:after="120"/>
        <w:ind w:firstLine="640"/>
        <w:rPr>
          <w:rFonts w:hint="eastAsia" w:ascii="楷体" w:hAnsi="楷体" w:eastAsia="楷体" w:cs="楷体"/>
          <w:b w:val="0"/>
          <w:color w:val="393939"/>
          <w:kern w:val="0"/>
          <w:sz w:val="32"/>
          <w:szCs w:val="32"/>
          <w:shd w:val="clear" w:color="auto" w:fill="FFFFFF"/>
          <w:lang w:val="en-US" w:eastAsia="zh-CN" w:bidi="en-US"/>
        </w:rPr>
      </w:pPr>
      <w:bookmarkStart w:id="229" w:name="_Toc3382"/>
      <w:r>
        <w:rPr>
          <w:rFonts w:hint="eastAsia" w:ascii="楷体" w:hAnsi="楷体" w:eastAsia="楷体" w:cs="楷体"/>
          <w:b w:val="0"/>
          <w:bCs/>
          <w:highlight w:val="none"/>
          <w:lang w:eastAsia="zh-CN"/>
        </w:rPr>
        <w:t>(一)</w:t>
      </w:r>
      <w:r>
        <w:rPr>
          <w:rFonts w:hint="eastAsia" w:ascii="楷体" w:hAnsi="楷体" w:eastAsia="楷体" w:cs="楷体"/>
          <w:b w:val="0"/>
          <w:color w:val="000000"/>
          <w:kern w:val="0"/>
          <w:sz w:val="32"/>
          <w:szCs w:val="32"/>
          <w:lang w:val="en-US" w:eastAsia="zh-CN" w:bidi="en-US"/>
        </w:rPr>
        <w:t>未按照合同约定支付经费</w:t>
      </w:r>
      <w:bookmarkEnd w:id="229"/>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加强预算管理，协助财政部门做好项目预算编制和管理工作，确保项目经费预算合理、足额，并与财政资金安排相衔接。推动建立健全财政资金支付的监督机制，加强对财政资金使用和支付情况的监督检查，及时发现和解决问题。</w:t>
      </w:r>
    </w:p>
    <w:p>
      <w:pPr>
        <w:pStyle w:val="3"/>
        <w:spacing w:before="120" w:after="120"/>
        <w:ind w:firstLine="640"/>
        <w:rPr>
          <w:rFonts w:hint="default" w:ascii="楷体" w:hAnsi="楷体" w:eastAsia="楷体" w:cs="楷体"/>
          <w:b w:val="0"/>
          <w:bCs/>
          <w:highlight w:val="none"/>
          <w:lang w:val="en-US" w:eastAsia="zh-CN"/>
        </w:rPr>
      </w:pPr>
      <w:bookmarkStart w:id="230" w:name="_Toc19930"/>
      <w:bookmarkStart w:id="232" w:name="_GoBack"/>
      <w:r>
        <w:rPr>
          <w:rFonts w:hint="eastAsia" w:ascii="楷体" w:hAnsi="楷体" w:eastAsia="楷体" w:cs="楷体"/>
          <w:b w:val="0"/>
          <w:bCs/>
          <w:highlight w:val="none"/>
          <w:lang w:eastAsia="zh-CN"/>
        </w:rPr>
        <w:t>(二)</w:t>
      </w:r>
      <w:r>
        <w:rPr>
          <w:rFonts w:hint="eastAsia" w:ascii="楷体" w:hAnsi="楷体" w:eastAsia="楷体" w:cs="楷体"/>
          <w:b w:val="0"/>
          <w:bCs/>
          <w:highlight w:val="none"/>
          <w:lang w:val="en-US" w:eastAsia="zh-CN"/>
        </w:rPr>
        <w:t>园林养护等实施成果存在不足</w:t>
      </w:r>
      <w:bookmarkEnd w:id="230"/>
    </w:p>
    <w:bookmarkEnd w:id="232"/>
    <w:p>
      <w:pPr>
        <w:ind w:firstLine="640"/>
        <w:rPr>
          <w:rFonts w:hint="eastAsia"/>
          <w:lang w:eastAsia="zh-CN"/>
        </w:rPr>
      </w:pPr>
      <w:r>
        <w:rPr>
          <w:rFonts w:hint="eastAsia" w:ascii="仿宋_GB2312" w:hAnsi="Times New Roman" w:eastAsia="仿宋_GB2312" w:cs="Times New Roman"/>
          <w:b w:val="0"/>
          <w:color w:val="000000"/>
          <w:kern w:val="0"/>
          <w:sz w:val="32"/>
          <w:szCs w:val="32"/>
          <w:lang w:val="en-US" w:eastAsia="zh-CN" w:bidi="en-US"/>
        </w:rPr>
        <w:t>项目实施过程中，园林绿化养护、城市公厕、喷泉景观及公园内电力市政设施、停车场均存在一定问题，我们建议依据不同区域的环境特点和功能需求，与第三方服务机构共同优化植物品种搭配，增加色彩丰富度和层次感，打造特色景观节点。在公园、广场等重要区域，结合地域文化和城市特色，与第三方合作设置园林小品，如雕塑、亭台等，提升园林艺术氛围。要求第三方服务机构建立植物养护档案，根据不同植物的生长习性，制定精准的浇水、施肥、修剪计划，提高植物的生长态势和抗病虫害能力。定期检查园路、座椅、路灯等基础设施，及时修复损坏部分，保持其良好的使用功能和美观度。设立意见箱、在线留言平台等，广泛收集公众对园林绿化养护工作的意见和建议，及时调整养护管理措施，满足公众需求。</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31" w:name="_Toc25577"/>
      <w:r>
        <w:rPr>
          <w:rFonts w:hint="eastAsia" w:ascii="黑体" w:hAnsi="黑体" w:cs="黑体"/>
          <w:b w:val="0"/>
          <w:color w:val="000000"/>
          <w:kern w:val="0"/>
          <w:sz w:val="32"/>
          <w:szCs w:val="32"/>
          <w:lang w:val="en-US" w:eastAsia="zh-CN" w:bidi="en-US"/>
        </w:rPr>
        <w:t>六、</w:t>
      </w:r>
      <w:r>
        <w:rPr>
          <w:rFonts w:hint="eastAsia" w:ascii="黑体" w:hAnsi="黑体" w:eastAsia="黑体" w:cs="黑体"/>
          <w:b w:val="0"/>
          <w:color w:val="000000"/>
          <w:kern w:val="0"/>
          <w:sz w:val="32"/>
          <w:szCs w:val="32"/>
          <w:lang w:val="en-US" w:eastAsia="zh-CN" w:bidi="en-US"/>
        </w:rPr>
        <w:t>其他需要说明的问题</w:t>
      </w:r>
      <w:bookmarkEnd w:id="231"/>
    </w:p>
    <w:p>
      <w:pPr>
        <w:ind w:firstLine="640"/>
        <w:rPr>
          <w:rFonts w:hint="eastAsia" w:ascii="仿宋_GB2312" w:hAnsi="Times New Roman" w:eastAsia="仿宋_GB2312" w:cs="Times New Roman"/>
          <w:b w:val="0"/>
          <w:color w:val="000000"/>
          <w:kern w:val="0"/>
          <w:sz w:val="32"/>
          <w:szCs w:val="32"/>
          <w:lang w:val="en-US" w:eastAsia="zh-CN" w:bidi="en-US"/>
        </w:rPr>
      </w:pPr>
      <w:r>
        <w:rPr>
          <w:rFonts w:hint="eastAsia" w:ascii="仿宋_GB2312" w:hAnsi="Times New Roman" w:eastAsia="仿宋_GB2312" w:cs="Times New Roman"/>
          <w:b w:val="0"/>
          <w:color w:val="000000"/>
          <w:kern w:val="0"/>
          <w:sz w:val="32"/>
          <w:szCs w:val="32"/>
          <w:lang w:val="en-US" w:eastAsia="zh-CN" w:bidi="en-US"/>
        </w:rPr>
        <w:t>本报告是评价机构根据对项目主管单位所提供的材料进行全面分析与评估，结合现场考察情况，在评价人员评价意见的基础上综合形成的。报告重点针对项目2025年的预算申报进行评估。本报告的结论与意见是参考性的，仅供财政部门批复预算时使用，不做其他用途。</w:t>
      </w:r>
    </w:p>
    <w:p>
      <w:pPr>
        <w:pStyle w:val="7"/>
        <w:rPr>
          <w:rFonts w:hint="eastAsia"/>
          <w:lang w:val="en-US" w:eastAsia="zh-CN"/>
        </w:rPr>
      </w:pPr>
    </w:p>
    <w:sectPr>
      <w:headerReference r:id="rId17" w:type="default"/>
      <w:footerReference r:id="rId18" w:type="default"/>
      <w:pgSz w:w="11906" w:h="16838"/>
      <w:pgMar w:top="837" w:right="1687" w:bottom="1421" w:left="1686" w:header="0" w:footer="559" w:gutter="0"/>
      <w:pgNumType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027C6A0-815E-4D11-BEE8-E561DB7FC8B6}"/>
  </w:font>
  <w:font w:name="黑体">
    <w:panose1 w:val="02010609060101010101"/>
    <w:charset w:val="86"/>
    <w:family w:val="auto"/>
    <w:pitch w:val="default"/>
    <w:sig w:usb0="800002BF" w:usb1="38CF7CFA" w:usb2="00000016" w:usb3="00000000" w:csb0="00040001" w:csb1="00000000"/>
    <w:embedRegular r:id="rId2" w:fontKey="{925A33C1-3BF0-410B-B19B-E0EFC01B8D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24808FF-5FF0-4E84-8A42-36E8C3F885CA}"/>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986AAF47-A2E3-4CA2-ADC9-FCBD611FC5D9}"/>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5" w:fontKey="{6165327D-C52B-4584-BD1F-C214598BC68D}"/>
  </w:font>
  <w:font w:name="微软雅黑">
    <w:panose1 w:val="020B0503020204020204"/>
    <w:charset w:val="86"/>
    <w:family w:val="swiss"/>
    <w:pitch w:val="default"/>
    <w:sig w:usb0="80000287" w:usb1="280F3C52" w:usb2="00000016" w:usb3="00000000" w:csb0="0004001F" w:csb1="00000000"/>
    <w:embedRegular r:id="rId6" w:fontKey="{5EE4DB04-3271-43B5-B93A-10761EFBCE52}"/>
  </w:font>
  <w:font w:name="仿宋">
    <w:panose1 w:val="02010609060101010101"/>
    <w:charset w:val="86"/>
    <w:family w:val="modern"/>
    <w:pitch w:val="default"/>
    <w:sig w:usb0="800002BF" w:usb1="38CF7CFA" w:usb2="00000016" w:usb3="00000000" w:csb0="00040001" w:csb1="00000000"/>
    <w:embedRegular r:id="rId7" w:fontKey="{79A38280-F087-4CA1-9ED5-012B3414C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120"/>
      <w:ind w:firstLine="360"/>
      <w:jc w:val="center"/>
      <w:rPr>
        <w:rFonts w:hint="eastAsia"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sdtPr>
                          <w:sdtEndPr>
                            <w:rPr>
                              <w:rFonts w:ascii="宋体" w:hAnsi="宋体" w:eastAsia="宋体"/>
                            </w:rPr>
                          </w:sdtEndPr>
                          <w:sdtContent>
                            <w:p>
                              <w:pPr>
                                <w:pStyle w:val="13"/>
                                <w:spacing w:after="120"/>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ind w:firstLine="640"/>
                            <w:rPr>
                              <w:rFonts w:hint="eastAsia" w:ascii="宋体" w:hAnsi="宋体"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80247"/>
                    </w:sdtPr>
                    <w:sdtEndPr>
                      <w:rPr>
                        <w:rFonts w:ascii="宋体" w:hAnsi="宋体" w:eastAsia="宋体"/>
                      </w:rPr>
                    </w:sdtEndPr>
                    <w:sdtContent>
                      <w:p>
                        <w:pPr>
                          <w:pStyle w:val="13"/>
                          <w:spacing w:after="120"/>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ind w:firstLine="640"/>
                      <w:rPr>
                        <w:rFonts w:hint="eastAsia" w:ascii="宋体" w:hAnsi="宋体" w:eastAsia="宋体"/>
                      </w:rPr>
                    </w:pPr>
                  </w:p>
                </w:txbxContent>
              </v:textbox>
            </v:shape>
          </w:pict>
        </mc:Fallback>
      </mc:AlternateContent>
    </w:r>
  </w:p>
  <w:p>
    <w:pPr>
      <w:pStyle w:val="13"/>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p>
    <w:pPr>
      <w:pStyle w:val="14"/>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02C"/>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1594"/>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84A18"/>
    <w:rsid w:val="0079415A"/>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5E7212"/>
    <w:rsid w:val="026C0CB3"/>
    <w:rsid w:val="02DA2B5C"/>
    <w:rsid w:val="031A1D53"/>
    <w:rsid w:val="034F46D6"/>
    <w:rsid w:val="047C7B07"/>
    <w:rsid w:val="059D5B4A"/>
    <w:rsid w:val="05C5173A"/>
    <w:rsid w:val="05E63281"/>
    <w:rsid w:val="060D4527"/>
    <w:rsid w:val="062F578F"/>
    <w:rsid w:val="070A234B"/>
    <w:rsid w:val="07291AB2"/>
    <w:rsid w:val="07364783"/>
    <w:rsid w:val="07587466"/>
    <w:rsid w:val="07A80859"/>
    <w:rsid w:val="07B0009E"/>
    <w:rsid w:val="07DB3825"/>
    <w:rsid w:val="084E08CF"/>
    <w:rsid w:val="08747CBA"/>
    <w:rsid w:val="08815D8B"/>
    <w:rsid w:val="0932556D"/>
    <w:rsid w:val="095A32C1"/>
    <w:rsid w:val="096C6DF1"/>
    <w:rsid w:val="0994152E"/>
    <w:rsid w:val="09CA4A49"/>
    <w:rsid w:val="0A263634"/>
    <w:rsid w:val="0A6174F1"/>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CD4389"/>
    <w:rsid w:val="11195595"/>
    <w:rsid w:val="11270A41"/>
    <w:rsid w:val="11326EB7"/>
    <w:rsid w:val="11EE00D5"/>
    <w:rsid w:val="12911695"/>
    <w:rsid w:val="129D460C"/>
    <w:rsid w:val="12C53952"/>
    <w:rsid w:val="13385BCC"/>
    <w:rsid w:val="13397BCE"/>
    <w:rsid w:val="13640E5B"/>
    <w:rsid w:val="13A726E2"/>
    <w:rsid w:val="143B20AD"/>
    <w:rsid w:val="144A13CC"/>
    <w:rsid w:val="14B86A5E"/>
    <w:rsid w:val="16574ED9"/>
    <w:rsid w:val="168E25CD"/>
    <w:rsid w:val="16F75866"/>
    <w:rsid w:val="16FA78CA"/>
    <w:rsid w:val="17397720"/>
    <w:rsid w:val="17F71489"/>
    <w:rsid w:val="183C78CE"/>
    <w:rsid w:val="18B52DD6"/>
    <w:rsid w:val="191537C8"/>
    <w:rsid w:val="19166917"/>
    <w:rsid w:val="1A807E46"/>
    <w:rsid w:val="1A807E56"/>
    <w:rsid w:val="1AA80D1D"/>
    <w:rsid w:val="1AE16358"/>
    <w:rsid w:val="1B063A1F"/>
    <w:rsid w:val="1B5F2753"/>
    <w:rsid w:val="1BD15AF4"/>
    <w:rsid w:val="1BD92985"/>
    <w:rsid w:val="1CD3289A"/>
    <w:rsid w:val="1D615742"/>
    <w:rsid w:val="1D7019C1"/>
    <w:rsid w:val="1D833669"/>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235661"/>
    <w:rsid w:val="216319C4"/>
    <w:rsid w:val="2173382E"/>
    <w:rsid w:val="220E3E9E"/>
    <w:rsid w:val="22696E4A"/>
    <w:rsid w:val="228A52D3"/>
    <w:rsid w:val="22A7A1EE"/>
    <w:rsid w:val="23815F46"/>
    <w:rsid w:val="23A00FD0"/>
    <w:rsid w:val="23A368F7"/>
    <w:rsid w:val="23D46DC8"/>
    <w:rsid w:val="23F5677C"/>
    <w:rsid w:val="24526CBD"/>
    <w:rsid w:val="245D6F1C"/>
    <w:rsid w:val="24A227D3"/>
    <w:rsid w:val="250C005C"/>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A92E66"/>
    <w:rsid w:val="2ECA0CB3"/>
    <w:rsid w:val="2ED50269"/>
    <w:rsid w:val="2EEA0EAE"/>
    <w:rsid w:val="2EED128A"/>
    <w:rsid w:val="2F33419E"/>
    <w:rsid w:val="2F453EFD"/>
    <w:rsid w:val="2F7A4177"/>
    <w:rsid w:val="2FBB8AD3"/>
    <w:rsid w:val="2FF9E8AA"/>
    <w:rsid w:val="2FFF36BE"/>
    <w:rsid w:val="3113102A"/>
    <w:rsid w:val="3115529C"/>
    <w:rsid w:val="31B76384"/>
    <w:rsid w:val="320B1AE3"/>
    <w:rsid w:val="32165B50"/>
    <w:rsid w:val="326B0E40"/>
    <w:rsid w:val="32B03984"/>
    <w:rsid w:val="33C67647"/>
    <w:rsid w:val="33D04B10"/>
    <w:rsid w:val="34151D3E"/>
    <w:rsid w:val="34727F6D"/>
    <w:rsid w:val="35745447"/>
    <w:rsid w:val="35950425"/>
    <w:rsid w:val="36533F02"/>
    <w:rsid w:val="369239E3"/>
    <w:rsid w:val="377F486E"/>
    <w:rsid w:val="37813EA9"/>
    <w:rsid w:val="378B2B5D"/>
    <w:rsid w:val="37F9916F"/>
    <w:rsid w:val="381B47D2"/>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FD7D2"/>
    <w:rsid w:val="3BFDE29B"/>
    <w:rsid w:val="3D6BF3A2"/>
    <w:rsid w:val="3DB521D7"/>
    <w:rsid w:val="3DFFC46E"/>
    <w:rsid w:val="3E363529"/>
    <w:rsid w:val="3E4B3781"/>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71B70"/>
    <w:rsid w:val="437F7043"/>
    <w:rsid w:val="44EF1B00"/>
    <w:rsid w:val="45CF4E46"/>
    <w:rsid w:val="46515BFC"/>
    <w:rsid w:val="46C45511"/>
    <w:rsid w:val="46EB2E89"/>
    <w:rsid w:val="46F570F1"/>
    <w:rsid w:val="4778447E"/>
    <w:rsid w:val="47CC73F7"/>
    <w:rsid w:val="47FBC172"/>
    <w:rsid w:val="480E23EA"/>
    <w:rsid w:val="48391F39"/>
    <w:rsid w:val="487B71DD"/>
    <w:rsid w:val="48867AAB"/>
    <w:rsid w:val="48E24C72"/>
    <w:rsid w:val="492E4DD9"/>
    <w:rsid w:val="498A77E3"/>
    <w:rsid w:val="49BF4FB3"/>
    <w:rsid w:val="49DF7A74"/>
    <w:rsid w:val="49EFDA04"/>
    <w:rsid w:val="49FA2929"/>
    <w:rsid w:val="4A1E73E6"/>
    <w:rsid w:val="4A635F53"/>
    <w:rsid w:val="4AF773D7"/>
    <w:rsid w:val="4B3B3F0F"/>
    <w:rsid w:val="4B895879"/>
    <w:rsid w:val="4B974077"/>
    <w:rsid w:val="4BA90D67"/>
    <w:rsid w:val="4BFD0804"/>
    <w:rsid w:val="4BFFF00D"/>
    <w:rsid w:val="4C35155C"/>
    <w:rsid w:val="4CB90AB7"/>
    <w:rsid w:val="4CB92AAE"/>
    <w:rsid w:val="4D5325E2"/>
    <w:rsid w:val="4D9329DF"/>
    <w:rsid w:val="4DBF65EB"/>
    <w:rsid w:val="4DFC2D90"/>
    <w:rsid w:val="4E050DB4"/>
    <w:rsid w:val="4E25488F"/>
    <w:rsid w:val="4E7B1F42"/>
    <w:rsid w:val="4F1B0E49"/>
    <w:rsid w:val="4F3877D4"/>
    <w:rsid w:val="4F786B55"/>
    <w:rsid w:val="4F7A8AD3"/>
    <w:rsid w:val="4F7FF4D7"/>
    <w:rsid w:val="4F862FFE"/>
    <w:rsid w:val="4F8A1DA6"/>
    <w:rsid w:val="4FD940E8"/>
    <w:rsid w:val="4FDF282B"/>
    <w:rsid w:val="4FEB9FB4"/>
    <w:rsid w:val="50885837"/>
    <w:rsid w:val="50A1286C"/>
    <w:rsid w:val="50AB1B35"/>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3F79EB"/>
    <w:rsid w:val="585A70CD"/>
    <w:rsid w:val="589C52AB"/>
    <w:rsid w:val="58E262A4"/>
    <w:rsid w:val="58F5D9DD"/>
    <w:rsid w:val="5948147C"/>
    <w:rsid w:val="59573EF3"/>
    <w:rsid w:val="59575B04"/>
    <w:rsid w:val="5A894C16"/>
    <w:rsid w:val="5AB756DD"/>
    <w:rsid w:val="5AFCBC6B"/>
    <w:rsid w:val="5B669575"/>
    <w:rsid w:val="5BDB3721"/>
    <w:rsid w:val="5C18763C"/>
    <w:rsid w:val="5C3E3948"/>
    <w:rsid w:val="5C4F6BDD"/>
    <w:rsid w:val="5C7E18E6"/>
    <w:rsid w:val="5C7F7B4E"/>
    <w:rsid w:val="5CD834DE"/>
    <w:rsid w:val="5CDA0FE8"/>
    <w:rsid w:val="5CE7B0FA"/>
    <w:rsid w:val="5D242C88"/>
    <w:rsid w:val="5D6B5466"/>
    <w:rsid w:val="5D7921C9"/>
    <w:rsid w:val="5DAD7E49"/>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8804EE"/>
    <w:rsid w:val="63A72136"/>
    <w:rsid w:val="63BEF433"/>
    <w:rsid w:val="63E76A66"/>
    <w:rsid w:val="642B56B0"/>
    <w:rsid w:val="647B5B72"/>
    <w:rsid w:val="649B339C"/>
    <w:rsid w:val="64EFA138"/>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7E75D98"/>
    <w:rsid w:val="685E3EBD"/>
    <w:rsid w:val="687B3CF3"/>
    <w:rsid w:val="69A521C6"/>
    <w:rsid w:val="69AF24F6"/>
    <w:rsid w:val="69AF5125"/>
    <w:rsid w:val="69BC2895"/>
    <w:rsid w:val="69DD1E00"/>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E78717"/>
    <w:rsid w:val="70F17C47"/>
    <w:rsid w:val="71DF0AF3"/>
    <w:rsid w:val="71E82352"/>
    <w:rsid w:val="71FB2FE3"/>
    <w:rsid w:val="72211E04"/>
    <w:rsid w:val="722B3E46"/>
    <w:rsid w:val="723F696E"/>
    <w:rsid w:val="724759C2"/>
    <w:rsid w:val="733F4938"/>
    <w:rsid w:val="73AE4630"/>
    <w:rsid w:val="73EB24A3"/>
    <w:rsid w:val="73EF23B4"/>
    <w:rsid w:val="73EF394F"/>
    <w:rsid w:val="73FF29DC"/>
    <w:rsid w:val="748FE1E7"/>
    <w:rsid w:val="74DC1816"/>
    <w:rsid w:val="750730BA"/>
    <w:rsid w:val="755961C5"/>
    <w:rsid w:val="75CB4C31"/>
    <w:rsid w:val="75F820E8"/>
    <w:rsid w:val="75FB9FF3"/>
    <w:rsid w:val="75FE5A48"/>
    <w:rsid w:val="75FF56C0"/>
    <w:rsid w:val="761C22AB"/>
    <w:rsid w:val="765F4657"/>
    <w:rsid w:val="76801CDA"/>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52DFF"/>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292323"/>
    <w:rsid w:val="7C423ACB"/>
    <w:rsid w:val="7C774249"/>
    <w:rsid w:val="7C850C3F"/>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7"/>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8"/>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Salutation"/>
    <w:basedOn w:val="1"/>
    <w:next w:val="1"/>
    <w:qFormat/>
    <w:uiPriority w:val="0"/>
  </w:style>
  <w:style w:type="paragraph" w:styleId="8">
    <w:name w:val="Body Text"/>
    <w:basedOn w:val="1"/>
    <w:link w:val="54"/>
    <w:qFormat/>
    <w:uiPriority w:val="0"/>
    <w:pPr>
      <w:spacing w:before="240"/>
      <w:ind w:left="1160"/>
    </w:pPr>
    <w:rPr>
      <w:rFonts w:ascii="仿宋_GB2312" w:hAnsi="仿宋_GB2312" w:cs="仿宋_GB2312"/>
      <w:sz w:val="30"/>
      <w:szCs w:val="30"/>
      <w:lang w:val="zh-CN" w:eastAsia="zh-CN" w:bidi="zh-CN"/>
    </w:rPr>
  </w:style>
  <w:style w:type="paragraph" w:styleId="9">
    <w:name w:val="toc 5"/>
    <w:basedOn w:val="1"/>
    <w:next w:val="1"/>
    <w:qFormat/>
    <w:uiPriority w:val="0"/>
    <w:pPr>
      <w:ind w:left="1280"/>
      <w:jc w:val="left"/>
    </w:pPr>
    <w:rPr>
      <w:rFonts w:asciiTheme="minorHAnsi" w:hAnsiTheme="minorHAnsi" w:cstheme="minorHAnsi"/>
      <w:sz w:val="18"/>
      <w:szCs w:val="18"/>
    </w:rPr>
  </w:style>
  <w:style w:type="paragraph" w:styleId="10">
    <w:name w:val="toc 3"/>
    <w:basedOn w:val="1"/>
    <w:next w:val="1"/>
    <w:qFormat/>
    <w:uiPriority w:val="39"/>
    <w:pPr>
      <w:ind w:left="640"/>
      <w:jc w:val="left"/>
    </w:pPr>
    <w:rPr>
      <w:rFonts w:asciiTheme="minorHAnsi" w:hAnsiTheme="minorHAnsi" w:cstheme="minorHAnsi"/>
      <w:i/>
      <w:iCs/>
      <w:sz w:val="20"/>
      <w:szCs w:val="20"/>
    </w:rPr>
  </w:style>
  <w:style w:type="paragraph" w:styleId="11">
    <w:name w:val="toc 8"/>
    <w:basedOn w:val="1"/>
    <w:next w:val="1"/>
    <w:qFormat/>
    <w:uiPriority w:val="0"/>
    <w:pPr>
      <w:ind w:left="2240"/>
      <w:jc w:val="left"/>
    </w:pPr>
    <w:rPr>
      <w:rFonts w:asciiTheme="minorHAnsi" w:hAnsiTheme="minorHAnsi" w:cstheme="minorHAnsi"/>
      <w:sz w:val="18"/>
      <w:szCs w:val="18"/>
    </w:rPr>
  </w:style>
  <w:style w:type="paragraph" w:styleId="12">
    <w:name w:val="Balloon Text"/>
    <w:basedOn w:val="1"/>
    <w:link w:val="53"/>
    <w:qFormat/>
    <w:uiPriority w:val="0"/>
    <w:pPr>
      <w:spacing w:line="240" w:lineRule="auto"/>
    </w:pPr>
    <w:rPr>
      <w:sz w:val="18"/>
      <w:szCs w:val="18"/>
    </w:rPr>
  </w:style>
  <w:style w:type="paragraph" w:styleId="13">
    <w:name w:val="footer"/>
    <w:basedOn w:val="1"/>
    <w:link w:val="55"/>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0"/>
    <w:pPr>
      <w:spacing w:beforeAutospacing="1" w:afterAutospacing="1"/>
    </w:pPr>
    <w:rPr>
      <w:sz w:val="24"/>
      <w:lang w:eastAsia="zh-CN" w:bidi="ar-SA"/>
    </w:rPr>
  </w:style>
  <w:style w:type="paragraph" w:styleId="21">
    <w:name w:val="Title"/>
    <w:basedOn w:val="1"/>
    <w:next w:val="1"/>
    <w:link w:val="58"/>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99"/>
    <w:rPr>
      <w:color w:val="0000FF"/>
      <w:u w:val="single"/>
    </w:rPr>
  </w:style>
  <w:style w:type="character" w:customStyle="1" w:styleId="27">
    <w:name w:val="标题 2 字符"/>
    <w:link w:val="3"/>
    <w:qFormat/>
    <w:uiPriority w:val="0"/>
    <w:rPr>
      <w:rFonts w:ascii="华文楷体" w:hAnsi="华文楷体" w:eastAsia="楷体"/>
      <w:b/>
    </w:rPr>
  </w:style>
  <w:style w:type="character" w:customStyle="1" w:styleId="28">
    <w:name w:val="标题 3 字符"/>
    <w:link w:val="4"/>
    <w:qFormat/>
    <w:uiPriority w:val="0"/>
    <w:rPr>
      <w:rFonts w:eastAsia="仿宋_GB2312"/>
      <w:b/>
      <w:color w:val="000000"/>
      <w:sz w:val="32"/>
      <w:szCs w:val="24"/>
      <w:lang w:eastAsia="en-US" w:bidi="en-US"/>
    </w:rPr>
  </w:style>
  <w:style w:type="paragraph" w:customStyle="1" w:styleId="29">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30">
    <w:name w:val="Header or footer|1"/>
    <w:basedOn w:val="1"/>
    <w:qFormat/>
    <w:uiPriority w:val="0"/>
    <w:rPr>
      <w:lang w:val="zh-TW" w:eastAsia="zh-TW" w:bidi="zh-TW"/>
    </w:rPr>
  </w:style>
  <w:style w:type="paragraph" w:customStyle="1" w:styleId="31">
    <w:name w:val="标题4"/>
    <w:basedOn w:val="29"/>
    <w:qFormat/>
    <w:uiPriority w:val="0"/>
    <w:pPr>
      <w:spacing w:line="360" w:lineRule="auto"/>
      <w:ind w:firstLine="881"/>
    </w:pPr>
    <w:rPr>
      <w:rFonts w:eastAsia="华文仿宋"/>
      <w:b/>
      <w:sz w:val="32"/>
    </w:rPr>
  </w:style>
  <w:style w:type="paragraph" w:customStyle="1" w:styleId="32">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3">
    <w:name w:val="font01"/>
    <w:basedOn w:val="24"/>
    <w:qFormat/>
    <w:uiPriority w:val="0"/>
    <w:rPr>
      <w:rFonts w:ascii="Arial" w:hAnsi="Arial" w:cs="Arial"/>
      <w:color w:val="000000"/>
      <w:sz w:val="22"/>
      <w:szCs w:val="22"/>
      <w:u w:val="none"/>
    </w:rPr>
  </w:style>
  <w:style w:type="character" w:customStyle="1" w:styleId="34">
    <w:name w:val="font11"/>
    <w:basedOn w:val="24"/>
    <w:qFormat/>
    <w:uiPriority w:val="0"/>
    <w:rPr>
      <w:rFonts w:ascii="font-weight : 400" w:hAnsi="font-weight : 400" w:eastAsia="font-weight : 400" w:cs="font-weight : 400"/>
      <w:color w:val="000000"/>
      <w:sz w:val="22"/>
      <w:szCs w:val="22"/>
      <w:u w:val="none"/>
    </w:rPr>
  </w:style>
  <w:style w:type="character" w:customStyle="1" w:styleId="35">
    <w:name w:val="font51"/>
    <w:basedOn w:val="24"/>
    <w:qFormat/>
    <w:uiPriority w:val="0"/>
    <w:rPr>
      <w:rFonts w:hint="eastAsia" w:ascii="宋体" w:hAnsi="宋体" w:eastAsia="宋体" w:cs="宋体"/>
      <w:color w:val="000000"/>
      <w:sz w:val="22"/>
      <w:szCs w:val="22"/>
      <w:u w:val="none"/>
    </w:rPr>
  </w:style>
  <w:style w:type="character" w:customStyle="1" w:styleId="36">
    <w:name w:val="正文 + Arial Char"/>
    <w:link w:val="37"/>
    <w:qFormat/>
    <w:locked/>
    <w:uiPriority w:val="0"/>
    <w:rPr>
      <w:rFonts w:ascii="Arial"/>
      <w:kern w:val="0"/>
      <w:sz w:val="24"/>
    </w:rPr>
  </w:style>
  <w:style w:type="paragraph" w:customStyle="1" w:styleId="37">
    <w:name w:val="正文 + Arial"/>
    <w:basedOn w:val="1"/>
    <w:link w:val="36"/>
    <w:qFormat/>
    <w:uiPriority w:val="0"/>
    <w:pPr>
      <w:spacing w:afterLines="50" w:line="360" w:lineRule="auto"/>
      <w:ind w:firstLine="420"/>
    </w:pPr>
    <w:rPr>
      <w:rFonts w:ascii="Arial"/>
      <w:sz w:val="24"/>
    </w:rPr>
  </w:style>
  <w:style w:type="paragraph" w:customStyle="1" w:styleId="38">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9">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40">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1">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2">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3">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81"/>
    <w:basedOn w:val="24"/>
    <w:qFormat/>
    <w:uiPriority w:val="0"/>
    <w:rPr>
      <w:rFonts w:hint="eastAsia" w:ascii="宋体" w:hAnsi="宋体" w:eastAsia="宋体" w:cs="宋体"/>
      <w:color w:val="000000"/>
      <w:sz w:val="22"/>
      <w:szCs w:val="22"/>
      <w:u w:val="none"/>
    </w:rPr>
  </w:style>
  <w:style w:type="character" w:customStyle="1" w:styleId="49">
    <w:name w:val="font31"/>
    <w:basedOn w:val="24"/>
    <w:qFormat/>
    <w:uiPriority w:val="0"/>
    <w:rPr>
      <w:rFonts w:hint="eastAsia" w:ascii="宋体" w:hAnsi="宋体" w:eastAsia="宋体" w:cs="宋体"/>
      <w:color w:val="000000"/>
      <w:sz w:val="22"/>
      <w:szCs w:val="22"/>
      <w:u w:val="none"/>
    </w:rPr>
  </w:style>
  <w:style w:type="character" w:customStyle="1" w:styleId="50">
    <w:name w:val="font61"/>
    <w:basedOn w:val="24"/>
    <w:qFormat/>
    <w:uiPriority w:val="0"/>
    <w:rPr>
      <w:rFonts w:ascii="宋体" w:hAnsi="宋体" w:eastAsia="宋体" w:cs="宋体"/>
      <w:color w:val="000000"/>
      <w:sz w:val="22"/>
      <w:szCs w:val="22"/>
      <w:u w:val="none"/>
    </w:rPr>
  </w:style>
  <w:style w:type="character" w:customStyle="1" w:styleId="51">
    <w:name w:val="font71"/>
    <w:basedOn w:val="24"/>
    <w:qFormat/>
    <w:uiPriority w:val="0"/>
    <w:rPr>
      <w:rFonts w:hint="eastAsia" w:ascii="宋体" w:hAnsi="宋体" w:eastAsia="宋体" w:cs="宋体"/>
      <w:color w:val="FF0000"/>
      <w:sz w:val="24"/>
      <w:szCs w:val="24"/>
      <w:u w:val="none"/>
    </w:rPr>
  </w:style>
  <w:style w:type="character" w:customStyle="1" w:styleId="52">
    <w:name w:val="font41"/>
    <w:basedOn w:val="24"/>
    <w:qFormat/>
    <w:uiPriority w:val="0"/>
    <w:rPr>
      <w:rFonts w:hint="eastAsia" w:ascii="宋体" w:hAnsi="宋体" w:eastAsia="宋体" w:cs="宋体"/>
      <w:color w:val="000000"/>
      <w:sz w:val="24"/>
      <w:szCs w:val="24"/>
      <w:u w:val="none"/>
    </w:rPr>
  </w:style>
  <w:style w:type="character" w:customStyle="1" w:styleId="53">
    <w:name w:val="批注框文本 字符"/>
    <w:basedOn w:val="24"/>
    <w:link w:val="12"/>
    <w:qFormat/>
    <w:uiPriority w:val="0"/>
    <w:rPr>
      <w:rFonts w:eastAsia="华文仿宋"/>
      <w:color w:val="000000"/>
      <w:sz w:val="18"/>
      <w:szCs w:val="18"/>
      <w:lang w:eastAsia="en-US" w:bidi="en-US"/>
    </w:rPr>
  </w:style>
  <w:style w:type="character" w:customStyle="1" w:styleId="54">
    <w:name w:val="正文文本 字符"/>
    <w:basedOn w:val="24"/>
    <w:link w:val="8"/>
    <w:qFormat/>
    <w:uiPriority w:val="0"/>
    <w:rPr>
      <w:rFonts w:ascii="仿宋_GB2312" w:hAnsi="仿宋_GB2312" w:eastAsia="仿宋_GB2312" w:cs="仿宋_GB2312"/>
      <w:color w:val="000000"/>
      <w:sz w:val="30"/>
      <w:szCs w:val="30"/>
      <w:lang w:val="zh-CN" w:bidi="zh-CN"/>
    </w:rPr>
  </w:style>
  <w:style w:type="character" w:customStyle="1" w:styleId="55">
    <w:name w:val="页脚 字符"/>
    <w:basedOn w:val="24"/>
    <w:link w:val="13"/>
    <w:qFormat/>
    <w:uiPriority w:val="99"/>
    <w:rPr>
      <w:rFonts w:eastAsia="仿宋_GB2312"/>
      <w:color w:val="000000"/>
      <w:sz w:val="18"/>
      <w:szCs w:val="24"/>
      <w:lang w:eastAsia="en-US" w:bidi="en-US"/>
    </w:rPr>
  </w:style>
  <w:style w:type="paragraph" w:styleId="56">
    <w:name w:val="List Paragraph"/>
    <w:basedOn w:val="1"/>
    <w:qFormat/>
    <w:uiPriority w:val="1"/>
    <w:pPr>
      <w:ind w:firstLine="420"/>
    </w:pPr>
  </w:style>
  <w:style w:type="table" w:customStyle="1" w:styleId="57">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8">
    <w:name w:val="标题 字符"/>
    <w:basedOn w:val="24"/>
    <w:link w:val="21"/>
    <w:qFormat/>
    <w:uiPriority w:val="0"/>
    <w:rPr>
      <w:rFonts w:eastAsia="方正小标宋" w:cstheme="majorBidi"/>
      <w:b/>
      <w:bCs/>
      <w:color w:val="000000"/>
      <w:sz w:val="44"/>
      <w:szCs w:val="32"/>
      <w:lang w:eastAsia="en-US" w:bidi="en-US"/>
    </w:rPr>
  </w:style>
  <w:style w:type="character" w:customStyle="1" w:styleId="59">
    <w:name w:val="font91"/>
    <w:basedOn w:val="24"/>
    <w:qFormat/>
    <w:uiPriority w:val="0"/>
    <w:rPr>
      <w:rFonts w:hint="eastAsia" w:ascii="宋体" w:hAnsi="宋体" w:eastAsia="宋体" w:cs="宋体"/>
      <w:b/>
      <w:bCs/>
      <w:color w:val="000000"/>
      <w:sz w:val="24"/>
      <w:szCs w:val="24"/>
      <w:u w:val="none"/>
    </w:rPr>
  </w:style>
  <w:style w:type="character" w:customStyle="1" w:styleId="60">
    <w:name w:val="font101"/>
    <w:basedOn w:val="24"/>
    <w:qFormat/>
    <w:uiPriority w:val="0"/>
    <w:rPr>
      <w:rFonts w:ascii="方正书宋_GBK" w:hAnsi="方正书宋_GBK" w:eastAsia="方正书宋_GBK" w:cs="方正书宋_GBK"/>
      <w:b/>
      <w:bCs/>
      <w:color w:val="000000"/>
      <w:sz w:val="24"/>
      <w:szCs w:val="24"/>
      <w:u w:val="none"/>
    </w:rPr>
  </w:style>
  <w:style w:type="character" w:customStyle="1" w:styleId="61">
    <w:name w:val="font112"/>
    <w:basedOn w:val="24"/>
    <w:qFormat/>
    <w:uiPriority w:val="0"/>
    <w:rPr>
      <w:rFonts w:hint="eastAsia" w:ascii="宋体" w:hAnsi="宋体" w:eastAsia="宋体" w:cs="宋体"/>
      <w:b/>
      <w:bCs/>
      <w:color w:val="000000"/>
      <w:sz w:val="24"/>
      <w:szCs w:val="24"/>
      <w:u w:val="none"/>
    </w:rPr>
  </w:style>
  <w:style w:type="character" w:customStyle="1" w:styleId="62">
    <w:name w:val="font121"/>
    <w:basedOn w:val="24"/>
    <w:qFormat/>
    <w:uiPriority w:val="0"/>
    <w:rPr>
      <w:rFonts w:hint="eastAsia" w:ascii="宋体" w:hAnsi="宋体" w:eastAsia="宋体" w:cs="宋体"/>
      <w:color w:val="000000"/>
      <w:sz w:val="24"/>
      <w:szCs w:val="24"/>
      <w:u w:val="none"/>
    </w:rPr>
  </w:style>
  <w:style w:type="character" w:customStyle="1" w:styleId="63">
    <w:name w:val="font131"/>
    <w:basedOn w:val="24"/>
    <w:qFormat/>
    <w:uiPriority w:val="0"/>
    <w:rPr>
      <w:rFonts w:hint="default" w:ascii="Times New Roman" w:hAnsi="Times New Roman" w:cs="Times New Roman"/>
      <w:color w:val="000000"/>
      <w:sz w:val="24"/>
      <w:szCs w:val="24"/>
      <w:u w:val="none"/>
    </w:rPr>
  </w:style>
  <w:style w:type="character" w:customStyle="1" w:styleId="64">
    <w:name w:val="font141"/>
    <w:basedOn w:val="24"/>
    <w:qFormat/>
    <w:uiPriority w:val="0"/>
    <w:rPr>
      <w:rFonts w:hint="eastAsia" w:ascii="宋体" w:hAnsi="宋体" w:eastAsia="宋体" w:cs="宋体"/>
      <w:color w:val="000000"/>
      <w:sz w:val="24"/>
      <w:szCs w:val="24"/>
      <w:u w:val="none"/>
    </w:rPr>
  </w:style>
  <w:style w:type="character" w:customStyle="1" w:styleId="65">
    <w:name w:val="font151"/>
    <w:basedOn w:val="24"/>
    <w:qFormat/>
    <w:uiPriority w:val="0"/>
    <w:rPr>
      <w:rFonts w:hint="default" w:ascii="Times New Roman" w:hAnsi="Times New Roman" w:cs="Times New Roman"/>
      <w:color w:val="000000"/>
      <w:sz w:val="24"/>
      <w:szCs w:val="24"/>
      <w:u w:val="none"/>
    </w:rPr>
  </w:style>
  <w:style w:type="paragraph" w:customStyle="1" w:styleId="66">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7">
    <w:name w:val="CharAttribute37"/>
    <w:qFormat/>
    <w:uiPriority w:val="99"/>
    <w:rPr>
      <w:rFonts w:ascii="宋体" w:hAnsi="宋体" w:eastAsia="Times New Roman"/>
      <w:sz w:val="24"/>
    </w:rPr>
  </w:style>
  <w:style w:type="paragraph" w:customStyle="1" w:styleId="68">
    <w:name w:val="Table Paragraph"/>
    <w:basedOn w:val="1"/>
    <w:qFormat/>
    <w:uiPriority w:val="1"/>
  </w:style>
  <w:style w:type="character" w:customStyle="1" w:styleId="69">
    <w:name w:val="未处理的提及1"/>
    <w:basedOn w:val="24"/>
    <w:semiHidden/>
    <w:unhideWhenUsed/>
    <w:qFormat/>
    <w:uiPriority w:val="99"/>
    <w:rPr>
      <w:color w:val="605E5C"/>
      <w:shd w:val="clear" w:color="auto" w:fill="E1DFDD"/>
    </w:rPr>
  </w:style>
  <w:style w:type="paragraph" w:customStyle="1" w:styleId="70">
    <w:name w:val="〖A08〗公文标题"/>
    <w:next w:val="1"/>
    <w:qFormat/>
    <w:uiPriority w:val="0"/>
    <w:pPr>
      <w:widowControl w:val="0"/>
      <w:topLinePunct/>
      <w:spacing w:line="700" w:lineRule="exact"/>
      <w:jc w:val="center"/>
    </w:pPr>
    <w:rPr>
      <w:rFonts w:ascii="方正小标宋简体" w:hAnsi="Calibri" w:eastAsia="方正小标宋简体" w:cs="Times New Roman"/>
      <w:kern w:val="2"/>
      <w:sz w:val="4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27</Pages>
  <Words>11643</Words>
  <Characters>12177</Characters>
  <Lines>30</Lines>
  <Paragraphs>30</Paragraphs>
  <TotalTime>8</TotalTime>
  <ScaleCrop>false</ScaleCrop>
  <LinksUpToDate>false</LinksUpToDate>
  <CharactersWithSpaces>12207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2025-04-02T02:48:00Z</cp:lastPrinted>
  <dcterms:modified xsi:type="dcterms:W3CDTF">2025-12-30T08:26:38Z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