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ascii="方正小标宋简体" w:hAnsi="方正小标宋简体" w:eastAsia="方正小标宋简体" w:cs="方正小标宋简体"/>
          <w:b w:val="0"/>
          <w:bCs w:val="0"/>
          <w:sz w:val="44"/>
          <w:szCs w:val="44"/>
          <w:lang w:eastAsia="zh-CN"/>
        </w:rPr>
      </w:pPr>
      <w:bookmarkStart w:id="0" w:name="_Toc25464"/>
      <w:bookmarkStart w:id="1" w:name="_Toc4482"/>
      <w:bookmarkStart w:id="2" w:name="_Toc27923"/>
      <w:bookmarkStart w:id="3" w:name="_Toc16439"/>
      <w:r>
        <w:rPr>
          <w:rFonts w:hint="eastAsia" w:ascii="方正小标宋简体" w:hAnsi="方正小标宋简体" w:eastAsia="方正小标宋简体" w:cs="方正小标宋简体"/>
          <w:b w:val="0"/>
          <w:bCs w:val="0"/>
          <w:sz w:val="44"/>
          <w:szCs w:val="44"/>
          <w:lang w:eastAsia="zh-CN"/>
        </w:rPr>
        <w:t>乐山市公安局金口河区分局</w:t>
      </w:r>
      <w:bookmarkEnd w:id="0"/>
    </w:p>
    <w:p>
      <w:pPr>
        <w:pStyle w:val="19"/>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lang w:eastAsia="zh-CN"/>
        </w:rPr>
      </w:pPr>
      <w:bookmarkStart w:id="4" w:name="_Toc13961"/>
      <w:r>
        <w:rPr>
          <w:rFonts w:hint="eastAsia" w:ascii="方正小标宋简体" w:hAnsi="方正小标宋简体" w:eastAsia="方正小标宋简体" w:cs="方正小标宋简体"/>
          <w:b w:val="0"/>
          <w:bCs w:val="0"/>
          <w:sz w:val="44"/>
          <w:szCs w:val="44"/>
          <w:lang w:eastAsia="zh-CN"/>
        </w:rPr>
        <w:t>雪亮工程租赁费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5" w:name="_Toc8246"/>
      <w:bookmarkStart w:id="6" w:name="_Toc24858"/>
      <w:r>
        <w:rPr>
          <w:rFonts w:hint="eastAsia" w:ascii="方正小标宋简体" w:hAnsi="方正小标宋简体" w:eastAsia="方正小标宋简体" w:cs="方正小标宋简体"/>
          <w:b w:val="0"/>
          <w:bCs w:val="0"/>
          <w:sz w:val="44"/>
          <w:szCs w:val="44"/>
        </w:rPr>
        <w:t>事</w:t>
      </w:r>
      <w:bookmarkEnd w:id="5"/>
      <w:bookmarkEnd w:id="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7" w:name="_Toc19435"/>
      <w:bookmarkStart w:id="8" w:name="_Toc1603"/>
      <w:r>
        <w:rPr>
          <w:rFonts w:hint="eastAsia" w:ascii="方正小标宋简体" w:hAnsi="方正小标宋简体" w:eastAsia="方正小标宋简体" w:cs="方正小标宋简体"/>
          <w:b w:val="0"/>
          <w:bCs w:val="0"/>
          <w:sz w:val="44"/>
          <w:szCs w:val="44"/>
        </w:rPr>
        <w:t>前</w:t>
      </w:r>
      <w:bookmarkEnd w:id="7"/>
      <w:bookmarkEnd w:id="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9" w:name="_Toc17772"/>
      <w:bookmarkStart w:id="10" w:name="_Toc18387"/>
      <w:r>
        <w:rPr>
          <w:rFonts w:hint="eastAsia" w:ascii="方正小标宋简体" w:hAnsi="方正小标宋简体" w:eastAsia="方正小标宋简体" w:cs="方正小标宋简体"/>
          <w:b w:val="0"/>
          <w:bCs w:val="0"/>
          <w:sz w:val="44"/>
          <w:szCs w:val="44"/>
        </w:rPr>
        <w:t>绩</w:t>
      </w:r>
      <w:bookmarkEnd w:id="9"/>
      <w:bookmarkEnd w:id="10"/>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1" w:name="_Toc30199"/>
      <w:bookmarkStart w:id="12" w:name="_Toc20778"/>
      <w:r>
        <w:rPr>
          <w:rFonts w:hint="eastAsia" w:ascii="方正小标宋简体" w:hAnsi="方正小标宋简体" w:eastAsia="方正小标宋简体" w:cs="方正小标宋简体"/>
          <w:b w:val="0"/>
          <w:bCs w:val="0"/>
          <w:sz w:val="44"/>
          <w:szCs w:val="44"/>
        </w:rPr>
        <w:t>效</w:t>
      </w:r>
      <w:bookmarkEnd w:id="11"/>
      <w:bookmarkEnd w:id="12"/>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3" w:name="_Toc27740"/>
      <w:bookmarkStart w:id="14" w:name="_Toc3969"/>
      <w:r>
        <w:rPr>
          <w:rFonts w:hint="eastAsia" w:ascii="方正小标宋简体" w:hAnsi="方正小标宋简体" w:eastAsia="方正小标宋简体" w:cs="方正小标宋简体"/>
          <w:b w:val="0"/>
          <w:bCs w:val="0"/>
          <w:sz w:val="44"/>
          <w:szCs w:val="44"/>
        </w:rPr>
        <w:t>评</w:t>
      </w:r>
      <w:bookmarkEnd w:id="13"/>
      <w:bookmarkEnd w:id="14"/>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5" w:name="_Toc5005"/>
      <w:bookmarkStart w:id="16" w:name="_Toc14357"/>
      <w:r>
        <w:rPr>
          <w:rFonts w:hint="eastAsia" w:ascii="方正小标宋简体" w:hAnsi="方正小标宋简体" w:eastAsia="方正小标宋简体" w:cs="方正小标宋简体"/>
          <w:b w:val="0"/>
          <w:bCs w:val="0"/>
          <w:sz w:val="44"/>
          <w:szCs w:val="44"/>
        </w:rPr>
        <w:t>价</w:t>
      </w:r>
      <w:bookmarkEnd w:id="15"/>
      <w:bookmarkEnd w:id="1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7" w:name="_Toc22413"/>
      <w:bookmarkStart w:id="18" w:name="_Toc31615"/>
      <w:r>
        <w:rPr>
          <w:rFonts w:hint="eastAsia" w:ascii="方正小标宋简体" w:hAnsi="方正小标宋简体" w:eastAsia="方正小标宋简体" w:cs="方正小标宋简体"/>
          <w:b w:val="0"/>
          <w:bCs w:val="0"/>
          <w:sz w:val="44"/>
          <w:szCs w:val="44"/>
        </w:rPr>
        <w:t>报</w:t>
      </w:r>
      <w:bookmarkEnd w:id="17"/>
      <w:bookmarkEnd w:id="1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9" w:name="_Toc516"/>
      <w:bookmarkStart w:id="20" w:name="_Toc5311"/>
      <w:r>
        <w:rPr>
          <w:rFonts w:hint="eastAsia" w:ascii="方正小标宋简体" w:hAnsi="方正小标宋简体" w:eastAsia="方正小标宋简体" w:cs="方正小标宋简体"/>
          <w:b w:val="0"/>
          <w:bCs w:val="0"/>
          <w:sz w:val="44"/>
          <w:szCs w:val="44"/>
        </w:rPr>
        <w:t>告</w:t>
      </w:r>
      <w:bookmarkEnd w:id="19"/>
      <w:bookmarkEnd w:id="20"/>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lang w:eastAsia="zh-CN"/>
        </w:rPr>
        <w:t>项目编号：</w:t>
      </w:r>
      <w:r>
        <w:rPr>
          <w:rStyle w:val="66"/>
          <w:rFonts w:eastAsia="仿宋_GB2312"/>
          <w:bCs/>
          <w:sz w:val="28"/>
          <w:szCs w:val="28"/>
          <w:highlight w:val="none"/>
          <w:lang w:eastAsia="zh-CN"/>
        </w:rPr>
        <w:t>金财绩评（202</w:t>
      </w:r>
      <w:r>
        <w:rPr>
          <w:rStyle w:val="66"/>
          <w:rFonts w:hint="eastAsia" w:eastAsia="仿宋_GB2312"/>
          <w:bCs/>
          <w:sz w:val="28"/>
          <w:szCs w:val="28"/>
          <w:highlight w:val="none"/>
          <w:lang w:eastAsia="zh-CN"/>
        </w:rPr>
        <w:t>5</w:t>
      </w:r>
      <w:r>
        <w:rPr>
          <w:rStyle w:val="66"/>
          <w:rFonts w:eastAsia="仿宋_GB2312"/>
          <w:bCs/>
          <w:sz w:val="28"/>
          <w:szCs w:val="28"/>
          <w:highlight w:val="none"/>
          <w:lang w:eastAsia="zh-CN"/>
        </w:rPr>
        <w:t>）0</w:t>
      </w:r>
      <w:r>
        <w:rPr>
          <w:rStyle w:val="66"/>
          <w:rFonts w:hint="eastAsia"/>
          <w:bCs/>
          <w:sz w:val="28"/>
          <w:szCs w:val="28"/>
          <w:highlight w:val="none"/>
          <w:lang w:val="en-US" w:eastAsia="zh-CN"/>
        </w:rPr>
        <w:t>2</w:t>
      </w:r>
      <w:r>
        <w:rPr>
          <w:rStyle w:val="66"/>
          <w:rFonts w:eastAsia="仿宋_GB2312"/>
          <w:bCs/>
          <w:sz w:val="28"/>
          <w:szCs w:val="28"/>
          <w:highlight w:val="none"/>
          <w:lang w:eastAsia="zh-CN"/>
        </w:rPr>
        <w:t>号</w:t>
      </w: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乐山市公安局金口河区分局</w:t>
      </w: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乐山市公安局金口河区分局</w:t>
      </w:r>
    </w:p>
    <w:p>
      <w:pPr>
        <w:snapToGrid w:val="0"/>
        <w:spacing w:line="600" w:lineRule="exact"/>
        <w:rPr>
          <w:rFonts w:eastAsia="微软雅黑"/>
          <w:b/>
          <w:szCs w:val="32"/>
          <w:lang w:eastAsia="zh-CN"/>
        </w:rPr>
      </w:pPr>
      <w:r>
        <w:rPr>
          <w:rStyle w:val="66"/>
          <w:rFonts w:eastAsia="仿宋_GB2312"/>
          <w:bCs/>
          <w:sz w:val="28"/>
          <w:szCs w:val="28"/>
          <w:lang w:eastAsia="zh-CN"/>
        </w:rPr>
        <w:t>评价单位：乐山市金口河区财政投资评价审核中心</w:t>
      </w:r>
    </w:p>
    <w:p>
      <w:pPr>
        <w:pStyle w:val="19"/>
        <w:widowControl/>
        <w:ind w:firstLine="880"/>
        <w:jc w:val="center"/>
        <w:rPr>
          <w:rFonts w:eastAsia="微软雅黑"/>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1" w:name="_Toc9113"/>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乐山市公安局金口河区分局</w:t>
      </w:r>
      <w:bookmarkEnd w:id="21"/>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2" w:name="_Toc26902"/>
      <w:r>
        <w:rPr>
          <w:rFonts w:hint="eastAsia" w:ascii="方正小标宋简体" w:hAnsi="方正小标宋简体" w:eastAsia="方正小标宋简体" w:cs="方正小标宋简体"/>
          <w:b w:val="0"/>
          <w:bCs w:val="0"/>
          <w:lang w:eastAsia="zh-CN"/>
        </w:rPr>
        <w:t>雪亮工程租赁费</w:t>
      </w:r>
      <w:bookmarkEnd w:id="22"/>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3" w:name="_Toc31964"/>
      <w:bookmarkStart w:id="24" w:name="_Toc23933"/>
      <w:r>
        <w:rPr>
          <w:rFonts w:hint="eastAsia" w:ascii="方正小标宋简体" w:hAnsi="方正小标宋简体" w:eastAsia="方正小标宋简体" w:cs="方正小标宋简体"/>
          <w:b w:val="0"/>
          <w:bCs w:val="0"/>
          <w:lang w:eastAsia="zh-CN"/>
        </w:rPr>
        <w:t>事前绩效评价结论</w:t>
      </w:r>
      <w:bookmarkEnd w:id="23"/>
      <w:bookmarkEnd w:id="24"/>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bidi w:val="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我中心对雪亮工程租赁费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91</w:t>
      </w:r>
      <w:r>
        <w:rPr>
          <w:rFonts w:hint="eastAsia" w:ascii="仿宋" w:hAnsi="仿宋" w:eastAsia="仿宋" w:cs="仿宋"/>
          <w:b w:val="0"/>
          <w:bCs w:val="0"/>
          <w:color w:val="auto"/>
          <w:lang w:eastAsia="zh-CN"/>
        </w:rPr>
        <w:t>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（具体评分情况见</w:t>
      </w:r>
      <w:r>
        <w:rPr>
          <w:rFonts w:hint="eastAsia" w:ascii="仿宋" w:hAnsi="仿宋" w:eastAsia="仿宋" w:cs="仿宋"/>
          <w:b w:val="0"/>
          <w:bCs w:val="0"/>
          <w:color w:val="auto"/>
          <w:lang w:val="en-US" w:eastAsia="zh-CN"/>
        </w:rPr>
        <w:t>三、</w:t>
      </w:r>
      <w:r>
        <w:rPr>
          <w:rFonts w:hint="eastAsia" w:ascii="仿宋" w:hAnsi="仿宋" w:eastAsia="仿宋" w:cs="仿宋"/>
          <w:b w:val="0"/>
          <w:bCs/>
          <w:szCs w:val="32"/>
          <w:lang w:eastAsia="zh-CN"/>
        </w:rPr>
        <w:t>事前绩效评估指标体系及得分情况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5" w:name="_Toc11272"/>
      <w:r>
        <w:rPr>
          <w:rFonts w:hint="eastAsia" w:ascii="仿宋" w:hAnsi="仿宋" w:eastAsia="仿宋" w:cs="仿宋"/>
          <w:b w:val="0"/>
          <w:bCs w:val="0"/>
          <w:color w:val="auto"/>
          <w:lang w:eastAsia="zh-CN"/>
        </w:rPr>
        <w:t>雪亮工程租赁费</w:t>
      </w:r>
      <w:bookmarkEnd w:id="25"/>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6" w:name="_Toc25829"/>
      <w:bookmarkStart w:id="27" w:name="_Toc13519"/>
      <w:bookmarkStart w:id="28" w:name="_Toc4904"/>
      <w:bookmarkStart w:id="29" w:name="_Toc29428"/>
      <w:bookmarkStart w:id="30" w:name="_Toc22912"/>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26"/>
      <w:bookmarkEnd w:id="27"/>
      <w:bookmarkEnd w:id="28"/>
      <w:bookmarkEnd w:id="29"/>
      <w:bookmarkEnd w:id="3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w:t>
            </w:r>
            <w:r>
              <w:rPr>
                <w:rFonts w:hint="eastAsia" w:ascii="仿宋" w:hAnsi="仿宋" w:eastAsia="仿宋" w:cs="仿宋"/>
                <w:bCs/>
                <w:snapToGrid w:val="0"/>
                <w:sz w:val="28"/>
                <w:szCs w:val="28"/>
                <w:lang w:eastAsia="zh-CN"/>
              </w:rPr>
              <w:t>合规性与项目成熟度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项目资金来源和到位可行性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考核办法执行</w:t>
            </w:r>
            <w:r>
              <w:rPr>
                <w:rFonts w:hint="eastAsia" w:ascii="仿宋" w:hAnsi="仿宋" w:eastAsia="仿宋" w:cs="仿宋"/>
                <w:bCs/>
                <w:snapToGrid w:val="0"/>
                <w:sz w:val="28"/>
                <w:szCs w:val="28"/>
                <w:lang w:eastAsia="zh-CN"/>
              </w:rPr>
              <w:t>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91</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rPr>
          <w:rFonts w:hint="eastAsia" w:ascii="宋体" w:hAnsi="宋体" w:eastAsia="宋体" w:cs="宋体"/>
          <w:b w:val="0"/>
          <w:bCs w:val="0"/>
          <w:lang w:eastAsia="zh-CN"/>
        </w:rPr>
      </w:pPr>
    </w:p>
    <w:p>
      <w:pPr>
        <w:rPr>
          <w:rFonts w:eastAsia="宋体"/>
          <w:szCs w:val="32"/>
          <w:lang w:eastAsia="zh-CN"/>
        </w:rPr>
      </w:pPr>
      <w:r>
        <w:rPr>
          <w:rFonts w:eastAsia="宋体"/>
          <w:szCs w:val="32"/>
          <w:lang w:eastAsia="zh-CN"/>
        </w:rPr>
        <w:br w:type="page"/>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640"/>
        <w:jc w:val="center"/>
        <w:textAlignment w:val="auto"/>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_Toc6712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_Toc6712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_Toc28623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_Toc28623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_Toc7546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_Toc7546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_Toc20058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（三）项目预算构成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_Toc20058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_Toc32388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_Toc32388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_Toc5202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_Toc21493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_Toc21493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_Toc30233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_Toc30233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_Toc32755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_Toc32755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_Toc5958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_Toc5958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_Toc24992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_Toc24992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_Toc15129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_Toc1396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_Toc14444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_Toc14444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_Toc7072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_Toc10016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_Toc10016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_Toc10489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_Toc10489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_Toc11093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_Toc11093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_Toc28093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_Toc28093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_Toc26240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w:t>
      </w:r>
      <w:r>
        <w:rPr>
          <w:rFonts w:hint="eastAsia" w:ascii="仿宋" w:hAnsi="仿宋" w:eastAsia="仿宋" w:cs="仿宋"/>
          <w:kern w:val="44"/>
          <w:sz w:val="24"/>
          <w:szCs w:val="24"/>
          <w:lang w:val="en-US" w:eastAsia="zh-CN"/>
        </w:rPr>
        <w:t>考核办法执行</w:t>
      </w:r>
      <w:r>
        <w:rPr>
          <w:rFonts w:hint="eastAsia" w:ascii="仿宋" w:hAnsi="仿宋" w:eastAsia="仿宋" w:cs="仿宋"/>
          <w:kern w:val="44"/>
          <w:sz w:val="24"/>
          <w:szCs w:val="24"/>
          <w:lang w:eastAsia="zh-CN"/>
        </w:rPr>
        <w:t>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_Toc26240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_Toc9974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_Toc9974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_Toc25924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_Toc27508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_Toc27508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_Toc5386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_Toc5386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资金</w:t>
      </w:r>
      <w:r>
        <w:rPr>
          <w:rFonts w:hint="eastAsia" w:ascii="仿宋" w:hAnsi="仿宋" w:eastAsia="仿宋" w:cs="仿宋"/>
          <w:sz w:val="24"/>
          <w:szCs w:val="24"/>
          <w:lang w:eastAsia="zh-CN"/>
        </w:rPr>
        <w:t>使用计划合理</w:t>
      </w:r>
      <w:r>
        <w:rPr>
          <w:rFonts w:hint="eastAsia" w:ascii="仿宋" w:hAnsi="仿宋" w:eastAsia="仿宋" w:cs="仿宋"/>
          <w:sz w:val="24"/>
          <w:szCs w:val="24"/>
          <w:lang w:val="en-US" w:eastAsia="zh-CN"/>
        </w:rPr>
        <w:t>性存在瑕疵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_Toc9610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_Toc18228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_Toc18228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firstLine="562"/>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562"/>
        <w:textAlignment w:val="auto"/>
        <w:rPr>
          <w:rFonts w:hint="eastAsia" w:ascii="仿宋" w:hAnsi="仿宋" w:eastAsia="仿宋" w:cs="仿宋"/>
          <w:sz w:val="24"/>
          <w:szCs w:val="24"/>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hint="eastAsia" w:ascii="仿宋" w:hAnsi="仿宋" w:eastAsia="仿宋" w:cs="仿宋"/>
          <w:sz w:val="24"/>
          <w:szCs w:val="24"/>
          <w:lang w:eastAsia="zh-CN"/>
        </w:rPr>
        <w:br w:type="page"/>
      </w: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1" w:name="_Toc28881"/>
      <w:bookmarkStart w:id="32" w:name="_Toc18501"/>
      <w:bookmarkStart w:id="33" w:name="_Toc11127"/>
      <w:bookmarkStart w:id="34" w:name="_Toc28591"/>
      <w:bookmarkStart w:id="35" w:name="_Toc400713784"/>
      <w:bookmarkStart w:id="36" w:name="_Toc130033874"/>
      <w:bookmarkStart w:id="37" w:name="_Toc1042875910_WPSOffice_Level1"/>
      <w:bookmarkStart w:id="38" w:name="_Toc562319121"/>
      <w:bookmarkStart w:id="39" w:name="_Toc792595118"/>
      <w:bookmarkStart w:id="40" w:name="_Toc17291"/>
      <w:bookmarkStart w:id="41" w:name="_Toc13216"/>
      <w:bookmarkStart w:id="42" w:name="_Toc133498022"/>
      <w:bookmarkStart w:id="43" w:name="_Toc1675062758"/>
      <w:bookmarkStart w:id="44" w:name="_Toc132480512"/>
      <w:bookmarkStart w:id="45" w:name="_Toc22608"/>
      <w:bookmarkStart w:id="46" w:name="_Toc1902724683"/>
      <w:bookmarkStart w:id="47" w:name="_Toc132480957"/>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乐山市公安局金口河区分局</w:t>
      </w:r>
      <w:bookmarkEnd w:id="31"/>
    </w:p>
    <w:bookmarkEnd w:id="32"/>
    <w:bookmarkEnd w:id="33"/>
    <w:bookmarkEnd w:id="3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8" w:name="_Toc6560"/>
      <w:bookmarkStart w:id="49" w:name="_Toc32549"/>
      <w:bookmarkStart w:id="50" w:name="_Toc25169"/>
      <w:bookmarkStart w:id="51" w:name="_Toc18917"/>
      <w:r>
        <w:rPr>
          <w:rFonts w:hint="eastAsia" w:ascii="方正小标宋简体" w:hAnsi="方正小标宋简体" w:eastAsia="方正小标宋简体" w:cs="方正小标宋简体"/>
          <w:b w:val="0"/>
          <w:bCs w:val="0"/>
          <w:lang w:eastAsia="zh-CN"/>
        </w:rPr>
        <w:t>雪亮工程租赁费</w:t>
      </w:r>
      <w:bookmarkEnd w:id="48"/>
    </w:p>
    <w:p>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52" w:name="_Toc13059"/>
      <w:bookmarkStart w:id="53" w:name="_Toc10531"/>
      <w:r>
        <w:rPr>
          <w:rFonts w:hint="eastAsia" w:ascii="方正小标宋简体" w:hAnsi="方正小标宋简体" w:eastAsia="方正小标宋简体" w:cs="方正小标宋简体"/>
          <w:b w:val="0"/>
          <w:bCs w:val="0"/>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54" w:name="_Toc132480958"/>
      <w:bookmarkStart w:id="55" w:name="_Toc4405"/>
      <w:bookmarkStart w:id="56" w:name="_Toc6712"/>
      <w:bookmarkStart w:id="57" w:name="_Toc9247"/>
      <w:bookmarkStart w:id="58" w:name="_Toc1416645183"/>
      <w:bookmarkStart w:id="59" w:name="_Toc287850696"/>
      <w:bookmarkStart w:id="60" w:name="_Toc2225"/>
      <w:bookmarkStart w:id="61" w:name="_Toc305085885"/>
      <w:bookmarkStart w:id="62" w:name="_Toc7797"/>
      <w:bookmarkStart w:id="63" w:name="_Toc1969419847"/>
      <w:bookmarkStart w:id="64" w:name="_Toc2001376203_WPSOffice_Level1"/>
      <w:r>
        <w:rPr>
          <w:rFonts w:hint="eastAsia" w:ascii="黑体" w:hAnsi="黑体" w:eastAsia="黑体" w:cs="黑体"/>
          <w:b w:val="0"/>
          <w:bCs/>
          <w:szCs w:val="32"/>
          <w:lang w:eastAsia="zh-CN"/>
        </w:rPr>
        <w:t>一、项目基本情况</w:t>
      </w:r>
      <w:bookmarkEnd w:id="54"/>
      <w:bookmarkEnd w:id="55"/>
      <w:bookmarkEnd w:id="56"/>
      <w:bookmarkEnd w:id="57"/>
      <w:bookmarkEnd w:id="58"/>
      <w:bookmarkEnd w:id="59"/>
      <w:bookmarkEnd w:id="60"/>
      <w:bookmarkEnd w:id="61"/>
      <w:bookmarkEnd w:id="62"/>
      <w:bookmarkEnd w:id="63"/>
      <w:bookmarkEnd w:id="64"/>
    </w:p>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bookmarkStart w:id="65" w:name="_Toc404396392"/>
      <w:bookmarkStart w:id="66" w:name="_Toc1535003806"/>
      <w:bookmarkStart w:id="67" w:name="_Toc1042875910_WPSOffice_Level2"/>
      <w:bookmarkStart w:id="68" w:name="_Toc1773474628"/>
      <w:bookmarkStart w:id="69" w:name="_Toc14550"/>
      <w:bookmarkStart w:id="70" w:name="_Toc873917318"/>
      <w:bookmarkStart w:id="71" w:name="_Toc132480959"/>
      <w:bookmarkStart w:id="72" w:name="_Toc19438"/>
      <w:bookmarkStart w:id="73" w:name="_Toc27921"/>
      <w:bookmarkStart w:id="74" w:name="_Toc28623"/>
      <w:bookmarkStart w:id="75" w:name="_Toc12884"/>
      <w:r>
        <w:rPr>
          <w:rFonts w:hint="eastAsia" w:ascii="楷体" w:hAnsi="楷体" w:eastAsia="楷体" w:cs="楷体"/>
          <w:b w:val="0"/>
          <w:bCs/>
          <w:szCs w:val="32"/>
          <w:lang w:eastAsia="zh-CN"/>
        </w:rPr>
        <w:t>（一）项目建设</w:t>
      </w:r>
      <w:bookmarkEnd w:id="65"/>
      <w:bookmarkEnd w:id="66"/>
      <w:bookmarkEnd w:id="67"/>
      <w:bookmarkEnd w:id="68"/>
      <w:bookmarkEnd w:id="69"/>
      <w:bookmarkEnd w:id="70"/>
      <w:bookmarkEnd w:id="71"/>
      <w:bookmarkEnd w:id="72"/>
      <w:bookmarkEnd w:id="73"/>
      <w:bookmarkStart w:id="76" w:name="_Toc23032"/>
      <w:bookmarkStart w:id="77" w:name="_Toc18961"/>
      <w:bookmarkStart w:id="78" w:name="_Toc20062"/>
      <w:bookmarkStart w:id="79" w:name="_Toc27403"/>
      <w:bookmarkStart w:id="80" w:name="_Toc133498025"/>
      <w:bookmarkStart w:id="81" w:name="_Toc12111"/>
      <w:bookmarkStart w:id="82" w:name="_Toc1042875910_WPSOffice_Level3"/>
      <w:bookmarkStart w:id="83" w:name="_Toc2051901236"/>
      <w:bookmarkStart w:id="84" w:name="_Toc1287701793"/>
      <w:bookmarkStart w:id="85" w:name="_Toc1087916031"/>
      <w:bookmarkStart w:id="86" w:name="_Toc1862536083"/>
      <w:bookmarkStart w:id="87" w:name="_Toc9639"/>
      <w:bookmarkStart w:id="88" w:name="_Toc130033877"/>
      <w:r>
        <w:rPr>
          <w:rFonts w:hint="eastAsia" w:ascii="楷体" w:hAnsi="楷体" w:eastAsia="楷体" w:cs="楷体"/>
          <w:b w:val="0"/>
          <w:bCs/>
          <w:szCs w:val="32"/>
          <w:lang w:eastAsia="zh-CN"/>
        </w:rPr>
        <w:t>背景</w:t>
      </w:r>
      <w:bookmarkEnd w:id="74"/>
      <w:bookmarkEnd w:id="75"/>
      <w:bookmarkEnd w:id="76"/>
      <w:bookmarkEnd w:id="77"/>
      <w:bookmarkEnd w:id="78"/>
      <w:bookmarkEnd w:id="79"/>
      <w:bookmarkEnd w:id="80"/>
      <w:bookmarkEnd w:id="81"/>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kern w:val="2"/>
          <w:szCs w:val="32"/>
          <w:lang w:eastAsia="zh-CN" w:bidi="ar-SA"/>
        </w:rPr>
      </w:pPr>
      <w:r>
        <w:rPr>
          <w:rFonts w:hint="eastAsia" w:ascii="仿宋" w:hAnsi="仿宋" w:eastAsia="仿宋" w:cs="仿宋"/>
          <w:b w:val="0"/>
          <w:bCs/>
          <w:color w:val="000000"/>
          <w:sz w:val="32"/>
          <w:szCs w:val="32"/>
          <w:lang w:val="en-US" w:eastAsia="zh-CN" w:bidi="en-US"/>
        </w:rPr>
        <w:t>2015年4月，中共中央办公厅、国务院办公厅印发的《关于加强社会治安防控体系建设的意见》重点提到了视频监控要高起点规划，要有步骤地推进公共安全视频监控建设、联网和应用工作。在此基础上，同年5月，九部委联合出台的《关于加强公共安全视频监控建设联网应用工作的若干意见》明确指出：到2020年，基本实现“全域覆盖、全网共享、全时可用、全程可控”的公共安全视频监控建设联网应用，在加强治安防控、优化交通出行、服务城市管理、创新社会治理等方面取得显著成效。加之《促进大数据发展行动纲要的通知》（国发〔2015〕50号）、《促进云计算创新发展培育信息产业新业态的意见》等政策的相继发布，为我国信息化的发展开启了新的征程。物联网、人工智能、大数据、云计算、机器深度学习等新技术迅猛发展，新的基础保障以及实现智慧安防目标的技术支撑。先进的技术力量已经足以助力这些技术将成为新常态下平安城市管理战略转型的有力抓手，促进安全监管创城市管理战略转型，数字化、网络化、智能化将无处不在</w:t>
      </w:r>
      <w:r>
        <w:rPr>
          <w:rFonts w:hint="eastAsia" w:ascii="仿宋" w:hAnsi="仿宋" w:eastAsia="仿宋" w:cs="仿宋"/>
          <w:bCs/>
          <w:kern w:val="2"/>
          <w:szCs w:val="32"/>
          <w:lang w:eastAsia="zh-CN" w:bidi="ar-SA"/>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金口河区公安分局通过招投标确定中国移动通信集团四川有限公司乐山分公司(以下简称“移动乐山分公司”)实施“雪亮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工程项目。2023年8月合同到期，分局党委会</w:t>
      </w:r>
      <w:r>
        <w:rPr>
          <w:rFonts w:hint="eastAsia" w:ascii="仿宋" w:hAnsi="仿宋" w:eastAsia="仿宋" w:cs="仿宋"/>
          <w:b w:val="0"/>
          <w:bCs/>
          <w:color w:val="000000"/>
          <w:sz w:val="32"/>
          <w:szCs w:val="32"/>
          <w:highlight w:val="none"/>
          <w:lang w:val="en-US" w:eastAsia="zh-CN" w:bidi="en-US"/>
        </w:rPr>
        <w:t>分三次</w:t>
      </w:r>
      <w:r>
        <w:rPr>
          <w:rFonts w:hint="eastAsia" w:ascii="仿宋" w:hAnsi="仿宋" w:eastAsia="仿宋" w:cs="仿宋"/>
          <w:b w:val="0"/>
          <w:bCs/>
          <w:color w:val="000000"/>
          <w:sz w:val="32"/>
          <w:szCs w:val="32"/>
          <w:lang w:val="en-US" w:eastAsia="zh-CN" w:bidi="en-US"/>
        </w:rPr>
        <w:t>同意与移动乐山分公司续签“雪亮”租赁费。2025年2月28日“雪亮工程”租赁服务到期，“三期天网”建设前期筹备工作已就绪，正积极推进中，预计于6月建成投入使用。为此，</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金口河区公安分局根据实际需要，报经主要领导同意，拟过渡期租用该服务</w:t>
      </w:r>
      <w:r>
        <w:rPr>
          <w:rFonts w:hint="eastAsia" w:ascii="仿宋" w:hAnsi="仿宋" w:eastAsia="仿宋" w:cs="仿宋"/>
          <w:bCs/>
          <w:szCs w:val="32"/>
          <w:lang w:val="en-US" w:eastAsia="zh-CN"/>
        </w:rPr>
        <w:t>。</w:t>
      </w:r>
    </w:p>
    <w:bookmarkEnd w:id="82"/>
    <w:bookmarkEnd w:id="83"/>
    <w:bookmarkEnd w:id="84"/>
    <w:bookmarkEnd w:id="85"/>
    <w:bookmarkEnd w:id="86"/>
    <w:bookmarkEnd w:id="87"/>
    <w:bookmarkEnd w:id="88"/>
    <w:p>
      <w:pPr>
        <w:pStyle w:val="3"/>
        <w:pageBreakBefore w:val="0"/>
        <w:kinsoku/>
        <w:wordWrap/>
        <w:overflowPunct/>
        <w:topLinePunct w:val="0"/>
        <w:autoSpaceDE/>
        <w:autoSpaceDN/>
        <w:bidi w:val="0"/>
        <w:adjustRightInd/>
        <w:snapToGrid/>
        <w:spacing w:before="0" w:beforeLines="0" w:after="0" w:afterLines="0" w:line="600" w:lineRule="exact"/>
        <w:ind w:firstLineChars="0"/>
        <w:textAlignment w:val="auto"/>
        <w:rPr>
          <w:rFonts w:hint="eastAsia" w:ascii="楷体" w:hAnsi="楷体" w:eastAsia="楷体" w:cs="楷体"/>
          <w:b w:val="0"/>
          <w:bCs/>
          <w:szCs w:val="32"/>
          <w:lang w:eastAsia="zh-CN"/>
        </w:rPr>
      </w:pPr>
      <w:bookmarkStart w:id="89" w:name="_Toc24844"/>
      <w:bookmarkStart w:id="90" w:name="_Toc1491763895"/>
      <w:bookmarkStart w:id="91" w:name="_Toc153907914"/>
      <w:bookmarkStart w:id="92" w:name="_Toc133498028"/>
      <w:bookmarkStart w:id="93" w:name="_Toc15651"/>
      <w:bookmarkStart w:id="94" w:name="_Toc865934723"/>
      <w:bookmarkStart w:id="95" w:name="_Toc7546"/>
      <w:bookmarkStart w:id="96" w:name="_Toc17740"/>
      <w:bookmarkStart w:id="97" w:name="_Toc1093480860_WPSOffice_Level3"/>
      <w:bookmarkStart w:id="98" w:name="_Toc28877"/>
      <w:bookmarkStart w:id="99" w:name="_Toc12980"/>
      <w:bookmarkStart w:id="100" w:name="_Toc130033880"/>
      <w:bookmarkStart w:id="101" w:name="_Toc15203"/>
      <w:bookmarkStart w:id="102" w:name="_Toc17270"/>
      <w:bookmarkStart w:id="103" w:name="_Toc1372691542"/>
      <w:r>
        <w:rPr>
          <w:rFonts w:hint="eastAsia" w:ascii="楷体" w:hAnsi="楷体" w:eastAsia="楷体" w:cs="楷体"/>
          <w:b w:val="0"/>
          <w:bCs/>
          <w:szCs w:val="32"/>
          <w:lang w:eastAsia="zh-CN"/>
        </w:rPr>
        <w:t>（二）</w:t>
      </w:r>
      <w:r>
        <w:rPr>
          <w:rFonts w:hint="eastAsia" w:ascii="楷体" w:hAnsi="楷体" w:eastAsia="楷体" w:cs="楷体"/>
          <w:b w:val="0"/>
          <w:bCs/>
          <w:color w:val="000000"/>
          <w:sz w:val="32"/>
          <w:szCs w:val="32"/>
          <w:lang w:val="en-US" w:eastAsia="zh-CN" w:bidi="en-US"/>
        </w:rPr>
        <w:t>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1.项</w:t>
      </w:r>
      <w:r>
        <w:rPr>
          <w:rFonts w:hint="eastAsia" w:ascii="仿宋" w:hAnsi="仿宋" w:eastAsia="仿宋" w:cs="仿宋"/>
          <w:b w:val="0"/>
          <w:bCs/>
          <w:color w:val="000000"/>
          <w:sz w:val="32"/>
          <w:szCs w:val="32"/>
          <w:lang w:val="zh-CN" w:eastAsia="zh-CN" w:bidi="en-US"/>
        </w:rPr>
        <w:t>目基本情况</w:t>
      </w:r>
      <w:r>
        <w:rPr>
          <w:rFonts w:hint="eastAsia" w:ascii="仿宋" w:hAnsi="仿宋" w:eastAsia="仿宋" w:cs="仿宋"/>
          <w:bCs/>
          <w:szCs w:val="32"/>
          <w:lang w:val="zh-CN" w:eastAsia="zh-CN"/>
        </w:rPr>
        <w:t>：</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w:t>
      </w:r>
      <w:r>
        <w:rPr>
          <w:rFonts w:hint="eastAsia" w:ascii="仿宋" w:hAnsi="仿宋" w:eastAsia="仿宋" w:cs="仿宋"/>
          <w:b w:val="0"/>
          <w:bCs/>
          <w:color w:val="000000"/>
          <w:sz w:val="32"/>
          <w:szCs w:val="32"/>
          <w:lang w:val="zh-CN" w:eastAsia="zh-CN" w:bidi="en-US"/>
        </w:rPr>
        <w:t>雪亮工程租赁费</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b w:val="0"/>
          <w:bCs/>
          <w:color w:val="000000"/>
          <w:sz w:val="32"/>
          <w:szCs w:val="32"/>
          <w:lang w:val="zh-CN" w:eastAsia="zh-CN" w:bidi="en-US"/>
        </w:rPr>
        <w:t>乐山市公安局金口河区分局</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_GB2312"/>
          <w:szCs w:val="32"/>
          <w:lang w:eastAsia="zh-CN"/>
        </w:rPr>
        <w:t>主管部门：乐山市公安局金口河区分局</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项目属性（新增/延续）：延续</w:t>
      </w:r>
      <w:r>
        <w:rPr>
          <w:rFonts w:hint="eastAsia" w:ascii="仿宋" w:hAnsi="仿宋" w:eastAsia="仿宋" w:cs="仿宋"/>
          <w:bCs/>
          <w:szCs w:val="32"/>
          <w:lang w:eastAsia="zh-CN"/>
        </w:rPr>
        <w:t>性项目</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前端建成81个点位的视频监控及卡口共186路（134路视频监控，24路人脸抓拍，12路卡口，16个微卡），后端建成360路结构化解析的边缘节点及到省厅的视觉计算中心节点。实现360路全量实时解析应用，结合省厅的数据资源，形成完善的视频图像应用体系基础</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3.</w:t>
      </w:r>
      <w:r>
        <w:rPr>
          <w:rFonts w:hint="eastAsia" w:ascii="仿宋" w:hAnsi="仿宋" w:eastAsia="仿宋" w:cs="仿宋"/>
          <w:b w:val="0"/>
          <w:bCs/>
          <w:color w:val="000000"/>
          <w:sz w:val="32"/>
          <w:szCs w:val="32"/>
          <w:lang w:val="zh-CN" w:eastAsia="zh-CN" w:bidi="en-US"/>
        </w:rPr>
        <w:t>项目概况</w:t>
      </w:r>
      <w:r>
        <w:rPr>
          <w:rFonts w:hint="eastAsia" w:ascii="仿宋" w:hAnsi="仿宋" w:eastAsia="仿宋" w:cs="仿宋"/>
          <w:bCs/>
          <w:szCs w:val="32"/>
          <w:lang w:val="zh-CN" w:eastAsia="zh-CN"/>
        </w:rPr>
        <w:t>：</w:t>
      </w:r>
    </w:p>
    <w:p>
      <w:pPr>
        <w:adjustRightInd w:val="0"/>
        <w:snapToGrid w:val="0"/>
        <w:spacing w:line="580" w:lineRule="exact"/>
        <w:ind w:firstLine="720"/>
        <w:rPr>
          <w:rFonts w:ascii="仿宋_GB2312" w:hAnsi="宋体"/>
          <w:lang w:val="zh-CN"/>
        </w:rPr>
      </w:pPr>
      <w:bookmarkStart w:id="104" w:name="_Toc300186741"/>
      <w:bookmarkStart w:id="105" w:name="_Toc20677"/>
      <w:bookmarkStart w:id="106" w:name="_Toc132480960"/>
      <w:bookmarkStart w:id="107" w:name="_Toc510053535"/>
      <w:bookmarkStart w:id="108" w:name="_Toc2001376203_WPSOffice_Level2"/>
      <w:bookmarkStart w:id="109" w:name="_Toc16114"/>
      <w:bookmarkStart w:id="110" w:name="_Toc1256897804"/>
      <w:bookmarkStart w:id="111" w:name="_Toc386835874"/>
      <w:bookmarkStart w:id="112" w:name="_Toc8112"/>
      <w:r>
        <w:rPr>
          <w:rFonts w:hint="eastAsia" w:ascii="仿宋" w:hAnsi="仿宋" w:eastAsia="仿宋" w:cs="仿宋"/>
          <w:b w:val="0"/>
          <w:bCs/>
          <w:color w:val="000000"/>
          <w:sz w:val="32"/>
          <w:szCs w:val="32"/>
          <w:lang w:val="zh-CN" w:eastAsia="zh-CN" w:bidi="en-US"/>
        </w:rPr>
        <w:t>强化金口河区天网防控力度建设，满足社会治安防控和管理需要，为有效打击犯罪、预防打击犯罪和突发治安灾害事故提供可靠的影像资料</w:t>
      </w:r>
      <w:r>
        <w:rPr>
          <w:rFonts w:hint="eastAsia" w:ascii="仿宋_GB2312" w:hAnsi="宋体"/>
          <w:lang w:val="zh-CN"/>
        </w:rPr>
        <w:t>。</w:t>
      </w:r>
    </w:p>
    <w:p>
      <w:pPr>
        <w:adjustRightInd w:val="0"/>
        <w:snapToGrid w:val="0"/>
        <w:spacing w:line="580" w:lineRule="exact"/>
        <w:ind w:firstLine="720"/>
        <w:rPr>
          <w:rFonts w:hint="eastAsia" w:ascii="仿宋_GB2312" w:hAnsi="宋体"/>
          <w:lang w:val="zh-CN"/>
        </w:rPr>
      </w:pPr>
      <w:r>
        <w:rPr>
          <w:rFonts w:hint="eastAsia" w:ascii="仿宋_GB2312" w:hAnsi="宋体"/>
          <w:lang w:val="zh-CN"/>
        </w:rPr>
        <w:t>数量指标：</w:t>
      </w:r>
      <w:r>
        <w:rPr>
          <w:rFonts w:hint="eastAsia" w:ascii="仿宋" w:hAnsi="仿宋" w:eastAsia="仿宋" w:cs="仿宋"/>
          <w:b w:val="0"/>
          <w:bCs/>
          <w:color w:val="000000"/>
          <w:sz w:val="32"/>
          <w:szCs w:val="32"/>
          <w:lang w:val="zh-CN" w:eastAsia="zh-CN" w:bidi="en-US"/>
        </w:rPr>
        <w:t>监控15</w:t>
      </w:r>
      <w:r>
        <w:rPr>
          <w:rFonts w:hint="eastAsia" w:ascii="仿宋" w:hAnsi="仿宋" w:eastAsia="仿宋" w:cs="仿宋"/>
          <w:b w:val="0"/>
          <w:bCs/>
          <w:color w:val="000000"/>
          <w:sz w:val="32"/>
          <w:szCs w:val="32"/>
          <w:lang w:val="en-US" w:eastAsia="zh-CN" w:bidi="en-US"/>
        </w:rPr>
        <w:t>1</w:t>
      </w:r>
      <w:r>
        <w:rPr>
          <w:rFonts w:hint="eastAsia" w:ascii="仿宋" w:hAnsi="仿宋" w:eastAsia="仿宋" w:cs="仿宋"/>
          <w:b w:val="0"/>
          <w:bCs/>
          <w:color w:val="000000"/>
          <w:sz w:val="32"/>
          <w:szCs w:val="32"/>
          <w:lang w:val="zh-CN" w:eastAsia="zh-CN" w:bidi="en-US"/>
        </w:rPr>
        <w:t>个点位</w:t>
      </w:r>
      <w:r>
        <w:rPr>
          <w:rFonts w:hint="eastAsia" w:ascii="仿宋_GB2312" w:hAnsi="宋体"/>
          <w:lang w:val="zh-CN"/>
        </w:rPr>
        <w:t>。</w:t>
      </w:r>
    </w:p>
    <w:p>
      <w:pPr>
        <w:adjustRightInd w:val="0"/>
        <w:snapToGrid w:val="0"/>
        <w:spacing w:line="580" w:lineRule="exact"/>
        <w:ind w:firstLine="720"/>
        <w:rPr>
          <w:rFonts w:hint="eastAsia" w:ascii="仿宋_GB2312" w:hAnsi="宋体"/>
          <w:lang w:val="zh-CN"/>
        </w:rPr>
      </w:pPr>
      <w:r>
        <w:rPr>
          <w:rFonts w:hint="eastAsia" w:ascii="仿宋_GB2312" w:hAnsi="宋体"/>
          <w:lang w:val="zh-CN"/>
        </w:rPr>
        <w:t>质量指标：</w:t>
      </w:r>
      <w:r>
        <w:rPr>
          <w:rFonts w:hint="eastAsia" w:ascii="仿宋" w:hAnsi="仿宋" w:eastAsia="仿宋" w:cs="仿宋"/>
          <w:b w:val="0"/>
          <w:bCs/>
          <w:color w:val="000000"/>
          <w:sz w:val="32"/>
          <w:szCs w:val="32"/>
          <w:lang w:val="zh-CN" w:eastAsia="zh-CN" w:bidi="en-US"/>
        </w:rPr>
        <w:t>系统验收合格率</w:t>
      </w:r>
      <w:r>
        <w:rPr>
          <w:rFonts w:hint="eastAsia" w:ascii="仿宋" w:hAnsi="仿宋" w:eastAsia="仿宋" w:cs="仿宋"/>
          <w:b w:val="0"/>
          <w:bCs/>
          <w:color w:val="000000"/>
          <w:sz w:val="32"/>
          <w:szCs w:val="32"/>
          <w:lang w:val="en-US" w:eastAsia="zh-CN" w:bidi="en-US"/>
        </w:rPr>
        <w:t>达100%，系统故障率≤1，</w:t>
      </w:r>
      <w:r>
        <w:rPr>
          <w:rFonts w:hint="eastAsia" w:ascii="仿宋" w:hAnsi="仿宋" w:eastAsia="仿宋" w:cs="仿宋"/>
          <w:b w:val="0"/>
          <w:bCs/>
          <w:color w:val="000000"/>
          <w:sz w:val="32"/>
          <w:szCs w:val="32"/>
          <w:lang w:val="zh-CN" w:eastAsia="zh-CN" w:bidi="en-US"/>
        </w:rPr>
        <w:t>确保点位摄像头高清摄像，确保网络通畅、使用正常</w:t>
      </w:r>
      <w:r>
        <w:rPr>
          <w:rFonts w:hint="eastAsia" w:ascii="仿宋_GB2312" w:hAnsi="宋体"/>
          <w:lang w:val="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_GB2312" w:hAnsi="宋体"/>
          <w:lang w:val="zh-CN"/>
        </w:rPr>
        <w:t>时效指标：</w:t>
      </w:r>
      <w:r>
        <w:rPr>
          <w:rFonts w:hint="eastAsia" w:ascii="仿宋" w:hAnsi="仿宋" w:eastAsia="仿宋" w:cs="仿宋"/>
          <w:b w:val="0"/>
          <w:bCs/>
          <w:color w:val="000000"/>
          <w:sz w:val="32"/>
          <w:szCs w:val="32"/>
          <w:lang w:val="zh-CN" w:eastAsia="zh-CN" w:bidi="en-US"/>
        </w:rPr>
        <w:t>系统故障修复处理时间≤24</w:t>
      </w:r>
      <w:r>
        <w:rPr>
          <w:rFonts w:hint="eastAsia" w:ascii="仿宋" w:hAnsi="仿宋" w:eastAsia="仿宋" w:cs="仿宋"/>
          <w:b w:val="0"/>
          <w:bCs/>
          <w:color w:val="000000"/>
          <w:sz w:val="32"/>
          <w:szCs w:val="32"/>
          <w:lang w:val="en-US" w:eastAsia="zh-CN" w:bidi="en-US"/>
        </w:rPr>
        <w:t>小时，系统运行维护响应时间</w:t>
      </w:r>
      <w:r>
        <w:rPr>
          <w:rFonts w:hint="eastAsia" w:ascii="仿宋" w:hAnsi="仿宋" w:eastAsia="仿宋" w:cs="仿宋"/>
          <w:b w:val="0"/>
          <w:bCs/>
          <w:color w:val="000000"/>
          <w:sz w:val="32"/>
          <w:szCs w:val="32"/>
          <w:lang w:val="zh-CN" w:eastAsia="zh-CN" w:bidi="en-US"/>
        </w:rPr>
        <w:t>≤</w:t>
      </w:r>
      <w:r>
        <w:rPr>
          <w:rFonts w:hint="eastAsia" w:ascii="仿宋" w:hAnsi="仿宋" w:eastAsia="仿宋" w:cs="仿宋"/>
          <w:b w:val="0"/>
          <w:bCs/>
          <w:color w:val="000000"/>
          <w:sz w:val="32"/>
          <w:szCs w:val="32"/>
          <w:lang w:val="en-US" w:eastAsia="zh-CN" w:bidi="en-US"/>
        </w:rPr>
        <w:t>30分钟</w:t>
      </w:r>
      <w:r>
        <w:rPr>
          <w:rFonts w:hint="eastAsia" w:ascii="仿宋_GB2312" w:hAnsi="宋体"/>
          <w:lang w:val="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4.项目实施过程</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2017年11月24日</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金口河区公安分局通过四川乐投招标代理有限公司确定移动乐山分公司为“雪亮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工程项目购买服务采购项目中标人，中标金额389.818万元</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12月29日金口河区公安分局与移动乐山分公司签订《采购合同》，合同约定交货时间为合同签订后180天内完成供货及安装调试；合同价款支付方式为全部货物安装调试完毕验收合格，实行按季度支付，共计支付20个季度，每季度支付费用为194,909.00元</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工程于2018年3月13日正式获准进场施工，6月13日全部安装调试完毕，6月14日开始全部投入试运行阶段，试运行一个月后于2018年7月24日验收通过</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2018年7月24日经金口河区公安分局与移动乐山分公司共同对“雪亮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工程购买服务项目确认验收。验收后支付第一个季度项目款，截止2023年10月8日金口河区公安分局支付2023年7-8月最后一笔款项后，“雪亮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工程项目购买服务项目款项支付完毕</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经中共乐山市公安局金口河区分局委员会2023年第32次、2024年第11次、2024年第20次三次党委(扩大)会议纪要同意，与移动乐山分公司续签“雪亮”工程服务合同，每次服务期限均为6个月，计费自2023年9月1日起至2025年2月28日，每月服务费2.5万元</w:t>
      </w:r>
      <w:r>
        <w:rPr>
          <w:rFonts w:hint="eastAsia" w:ascii="仿宋" w:hAnsi="仿宋" w:eastAsia="仿宋" w:cs="仿宋"/>
          <w:bCs/>
          <w:szCs w:val="32"/>
          <w:lang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2025年2月28日，“雪亮工程”租赁服务合同到期，“三期天网”建设前期筹备工作已就绪，正积极推进中，预计于6月建成投入使用。为此，乐山市公安局金口河区分局根据实际需要，报经主要领导同意，拟过渡期租用该服务3个月</w:t>
      </w:r>
      <w:r>
        <w:rPr>
          <w:rFonts w:hint="eastAsia" w:ascii="仿宋" w:hAnsi="仿宋" w:eastAsia="仿宋" w:cs="仿宋"/>
          <w:bCs/>
          <w:szCs w:val="32"/>
          <w:lang w:val="en-US" w:eastAsia="zh-CN"/>
        </w:rPr>
        <w:t>。</w:t>
      </w:r>
    </w:p>
    <w:p>
      <w:pPr>
        <w:pStyle w:val="3"/>
        <w:pageBreakBefore w:val="0"/>
        <w:kinsoku/>
        <w:wordWrap/>
        <w:overflowPunct/>
        <w:topLinePunct w:val="0"/>
        <w:autoSpaceDE/>
        <w:autoSpaceDN/>
        <w:bidi w:val="0"/>
        <w:adjustRightInd/>
        <w:snapToGrid/>
        <w:spacing w:before="0" w:beforeLines="0" w:after="0" w:afterLines="0" w:line="600" w:lineRule="exact"/>
        <w:ind w:firstLineChars="0"/>
        <w:textAlignment w:val="auto"/>
        <w:rPr>
          <w:rFonts w:hint="eastAsia" w:ascii="楷体" w:hAnsi="楷体" w:eastAsia="楷体" w:cs="楷体"/>
          <w:b w:val="0"/>
          <w:bCs/>
          <w:szCs w:val="32"/>
          <w:lang w:eastAsia="zh-CN"/>
        </w:rPr>
      </w:pPr>
      <w:bookmarkStart w:id="113" w:name="_Toc20058"/>
      <w:r>
        <w:rPr>
          <w:rFonts w:hint="eastAsia" w:ascii="楷体" w:hAnsi="楷体" w:eastAsia="楷体" w:cs="楷体"/>
          <w:b w:val="0"/>
          <w:bCs/>
          <w:szCs w:val="32"/>
          <w:lang w:eastAsia="zh-CN"/>
        </w:rPr>
        <w:t>（三）项目预算构成</w:t>
      </w:r>
      <w:bookmarkEnd w:id="104"/>
      <w:bookmarkEnd w:id="105"/>
      <w:bookmarkEnd w:id="106"/>
      <w:bookmarkEnd w:id="107"/>
      <w:bookmarkEnd w:id="108"/>
      <w:bookmarkEnd w:id="109"/>
      <w:bookmarkEnd w:id="110"/>
      <w:bookmarkEnd w:id="111"/>
      <w:bookmarkEnd w:id="112"/>
      <w:bookmarkEnd w:id="113"/>
    </w:p>
    <w:p>
      <w:pPr>
        <w:rPr>
          <w:rFonts w:hint="eastAsia" w:ascii="仿宋" w:hAnsi="仿宋" w:eastAsia="仿宋" w:cs="仿宋"/>
          <w:b w:val="0"/>
          <w:bCs/>
          <w:color w:val="000000"/>
          <w:sz w:val="32"/>
          <w:szCs w:val="32"/>
          <w:lang w:val="en-US" w:eastAsia="zh-CN" w:bidi="en-US"/>
        </w:rPr>
      </w:pPr>
      <w:r>
        <w:rPr>
          <w:rFonts w:hint="eastAsia" w:ascii="仿宋" w:hAnsi="仿宋" w:eastAsia="仿宋" w:cs="仿宋"/>
          <w:b w:val="0"/>
          <w:bCs/>
          <w:color w:val="000000"/>
          <w:sz w:val="32"/>
          <w:szCs w:val="32"/>
          <w:lang w:val="en-US" w:eastAsia="zh-CN" w:bidi="en-US"/>
        </w:rPr>
        <w:t>2025年雪亮工程租赁费预算资金30万元</w:t>
      </w:r>
      <w:r>
        <w:rPr>
          <w:rFonts w:hint="eastAsia" w:ascii="仿宋" w:hAnsi="仿宋" w:eastAsia="仿宋" w:cs="仿宋"/>
          <w:bCs/>
          <w:szCs w:val="32"/>
          <w:lang w:eastAsia="zh-CN"/>
        </w:rPr>
        <w:t>。</w:t>
      </w:r>
    </w:p>
    <w:p>
      <w:pPr>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根据中共乐山市公安局金口河区分局委员会2023年第32次、2024年第11次、2024年第20次三次党委(扩大)会议纪要同意，与移动乐山分公司续签“雪亮”工程服务合同，每月服务费2.5万元，一年即30万元，用于支付移动乐山分公司2025年1-2月雪亮工程租赁费，以及过度期移动乐山分公司传输费用和中国电信股份有限公司乐山分公司运维服务费用</w:t>
      </w:r>
      <w:r>
        <w:rPr>
          <w:rFonts w:hint="eastAsia" w:ascii="仿宋" w:hAnsi="仿宋" w:eastAsia="仿宋" w:cs="仿宋"/>
          <w:bCs/>
          <w:szCs w:val="32"/>
          <w:lang w:val="en-US"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4" w:name="_Toc32388"/>
      <w:bookmarkStart w:id="115" w:name="_Toc451760287"/>
      <w:bookmarkStart w:id="116" w:name="_Toc326378840"/>
      <w:bookmarkStart w:id="117" w:name="_Toc9538"/>
      <w:bookmarkStart w:id="118" w:name="_Toc1396703300"/>
      <w:bookmarkStart w:id="119" w:name="_Toc338550202"/>
      <w:bookmarkStart w:id="120" w:name="_Toc4357"/>
      <w:bookmarkStart w:id="121" w:name="_Toc132480961"/>
      <w:bookmarkStart w:id="122" w:name="_Toc1939"/>
      <w:bookmarkStart w:id="123" w:name="_Toc1093480860_WPSOffice_Level1"/>
      <w:bookmarkStart w:id="124" w:name="_Toc23154"/>
      <w:r>
        <w:rPr>
          <w:rFonts w:hint="eastAsia" w:ascii="黑体" w:hAnsi="黑体" w:eastAsia="黑体" w:cs="黑体"/>
          <w:b w:val="0"/>
          <w:bCs/>
          <w:szCs w:val="32"/>
          <w:lang w:eastAsia="zh-CN"/>
        </w:rPr>
        <w:t>二、绩效评价工作开展情况</w:t>
      </w:r>
      <w:bookmarkEnd w:id="114"/>
      <w:bookmarkEnd w:id="115"/>
      <w:bookmarkEnd w:id="116"/>
      <w:bookmarkEnd w:id="117"/>
      <w:bookmarkEnd w:id="118"/>
      <w:bookmarkEnd w:id="119"/>
      <w:bookmarkEnd w:id="120"/>
      <w:bookmarkEnd w:id="121"/>
      <w:bookmarkEnd w:id="122"/>
      <w:bookmarkEnd w:id="123"/>
      <w:bookmarkEnd w:id="124"/>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25" w:name="_Toc5202"/>
      <w:bookmarkStart w:id="126" w:name="_Toc20456"/>
      <w:bookmarkStart w:id="127" w:name="_Toc24814"/>
      <w:bookmarkStart w:id="128" w:name="_Toc1329064111"/>
      <w:bookmarkStart w:id="129" w:name="_Toc29934"/>
      <w:bookmarkStart w:id="130" w:name="_Toc775929442"/>
      <w:bookmarkStart w:id="131" w:name="_Toc132480962"/>
      <w:bookmarkStart w:id="132" w:name="_Toc248617743"/>
      <w:bookmarkStart w:id="133" w:name="_Toc1380451464"/>
      <w:bookmarkStart w:id="134" w:name="_Toc6302"/>
      <w:r>
        <w:rPr>
          <w:rFonts w:hint="eastAsia" w:ascii="楷体" w:hAnsi="楷体" w:cs="楷体"/>
          <w:b w:val="0"/>
          <w:bCs/>
          <w:szCs w:val="32"/>
          <w:lang w:eastAsia="zh-CN"/>
        </w:rPr>
        <w:t>（一）</w:t>
      </w:r>
      <w:r>
        <w:rPr>
          <w:rFonts w:hint="eastAsia" w:ascii="楷体" w:hAnsi="楷体" w:eastAsia="楷体" w:cs="楷体"/>
          <w:b w:val="0"/>
          <w:bCs/>
          <w:szCs w:val="32"/>
          <w:lang w:eastAsia="zh-CN"/>
        </w:rPr>
        <w:t>绩效评价目的</w:t>
      </w:r>
      <w:bookmarkEnd w:id="125"/>
      <w:bookmarkEnd w:id="126"/>
      <w:bookmarkEnd w:id="127"/>
      <w:bookmarkEnd w:id="128"/>
      <w:bookmarkEnd w:id="129"/>
      <w:bookmarkEnd w:id="130"/>
      <w:bookmarkEnd w:id="131"/>
      <w:bookmarkEnd w:id="132"/>
      <w:bookmarkEnd w:id="133"/>
      <w:bookmarkEnd w:id="134"/>
    </w:p>
    <w:p>
      <w:pPr>
        <w:ind w:firstLine="640"/>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根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雪亮工程租赁费项目进行评估。本项目的绩效评估主要判断项目申请资金支持的必要性和可行性，重点论证项目实施的必要性、公益性、收益性；项目实施合规性与项目成熟度；项目资金来源和到位可行性；项目绩效目标合理性、事前绩效评估论证结果</w:t>
      </w:r>
      <w:r>
        <w:rPr>
          <w:rFonts w:ascii="仿宋" w:hAnsi="仿宋" w:eastAsia="仿宋" w:cs="仿宋"/>
          <w:bCs/>
          <w:szCs w:val="32"/>
          <w:lang w:eastAsia="zh-CN"/>
        </w:rPr>
        <w:t>。</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35" w:name="_Toc132480963"/>
      <w:bookmarkStart w:id="136" w:name="_Toc32534"/>
      <w:bookmarkStart w:id="137" w:name="_Toc2011308256"/>
      <w:bookmarkStart w:id="138" w:name="_Toc15142"/>
      <w:bookmarkStart w:id="139" w:name="_Toc1814348475"/>
      <w:bookmarkStart w:id="140" w:name="_Toc1343165574"/>
      <w:bookmarkStart w:id="141" w:name="_Toc8572"/>
      <w:bookmarkStart w:id="142" w:name="_Toc166470150"/>
      <w:bookmarkStart w:id="143" w:name="_Toc6017"/>
      <w:bookmarkStart w:id="144" w:name="_Toc21493"/>
      <w:r>
        <w:rPr>
          <w:rFonts w:hint="eastAsia" w:ascii="楷体" w:hAnsi="楷体" w:cs="楷体"/>
          <w:b w:val="0"/>
          <w:bCs/>
          <w:szCs w:val="32"/>
          <w:lang w:eastAsia="zh-CN"/>
        </w:rPr>
        <w:t>（二）</w:t>
      </w:r>
      <w:r>
        <w:rPr>
          <w:rFonts w:hint="eastAsia" w:ascii="楷体" w:hAnsi="楷体" w:eastAsia="楷体" w:cs="楷体"/>
          <w:b w:val="0"/>
          <w:bCs/>
          <w:szCs w:val="32"/>
          <w:lang w:eastAsia="zh-CN"/>
        </w:rPr>
        <w:t>绩效评价</w:t>
      </w:r>
      <w:bookmarkEnd w:id="135"/>
      <w:bookmarkEnd w:id="136"/>
      <w:bookmarkEnd w:id="137"/>
      <w:bookmarkEnd w:id="138"/>
      <w:bookmarkEnd w:id="139"/>
      <w:bookmarkEnd w:id="140"/>
      <w:bookmarkEnd w:id="141"/>
      <w:bookmarkEnd w:id="142"/>
      <w:r>
        <w:rPr>
          <w:rFonts w:hint="eastAsia" w:ascii="楷体" w:hAnsi="楷体" w:eastAsia="楷体" w:cs="楷体"/>
          <w:b w:val="0"/>
          <w:bCs/>
          <w:szCs w:val="32"/>
          <w:lang w:eastAsia="zh-CN"/>
        </w:rPr>
        <w:t>指标</w:t>
      </w:r>
      <w:bookmarkEnd w:id="143"/>
      <w:bookmarkEnd w:id="144"/>
    </w:p>
    <w:p>
      <w:pPr>
        <w:ind w:firstLine="640"/>
        <w:rPr>
          <w:rFonts w:ascii="仿宋" w:hAnsi="仿宋" w:eastAsia="仿宋" w:cs="仿宋"/>
          <w:bCs/>
          <w:szCs w:val="32"/>
          <w:highlight w:val="none"/>
          <w:lang w:eastAsia="zh-CN"/>
        </w:rPr>
      </w:pPr>
      <w:r>
        <w:rPr>
          <w:rFonts w:hint="eastAsia" w:ascii="仿宋" w:hAnsi="仿宋" w:eastAsia="仿宋" w:cs="仿宋"/>
          <w:b w:val="0"/>
          <w:bCs/>
          <w:color w:val="000000"/>
          <w:sz w:val="32"/>
          <w:szCs w:val="32"/>
          <w:lang w:val="en-US" w:eastAsia="zh-CN" w:bidi="en-US"/>
        </w:rPr>
        <w:t>雪亮工程租赁费事前绩效评估指标直接影响绩效评估结果的有效性，设计和选择评估指标时，评估工作小组遵循“相关性、经济性、可比性、重要性”的原则，通过对雪亮工程租赁费相关文件的学习理解、对项目特点的深入研究以及对项目资料的整理分析的基础上，设计形成事前绩效评估体系。绩效评估总分100分，共设置一级指标8个，分值分别为16分、18分、12分、12分、12分、8分、10分和12分，设置二级指标15个，重点论证立项必要性、绩效目标合理性、资金来源可行性等方面，全面评估该项目的的预期绩效情况</w:t>
      </w:r>
      <w:r>
        <w:rPr>
          <w:rFonts w:ascii="仿宋" w:hAnsi="仿宋" w:eastAsia="仿宋" w:cs="仿宋"/>
          <w:bCs/>
          <w:szCs w:val="32"/>
          <w:highlight w:val="none"/>
          <w:lang w:eastAsia="zh-CN"/>
        </w:rPr>
        <w:t>。</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45" w:name="_Toc11904"/>
      <w:bookmarkStart w:id="146" w:name="_Toc9540"/>
      <w:bookmarkStart w:id="147" w:name="_Toc22272"/>
      <w:bookmarkStart w:id="148" w:name="_Toc9410"/>
      <w:bookmarkStart w:id="149" w:name="_Toc130033892"/>
      <w:bookmarkStart w:id="150" w:name="_Toc27238"/>
      <w:bookmarkStart w:id="151" w:name="_Toc133498040"/>
      <w:bookmarkStart w:id="152" w:name="_Toc30233"/>
      <w:r>
        <w:rPr>
          <w:rFonts w:hint="eastAsia" w:ascii="楷体" w:hAnsi="楷体" w:cs="楷体"/>
          <w:b w:val="0"/>
          <w:bCs/>
          <w:szCs w:val="32"/>
          <w:lang w:eastAsia="zh-CN"/>
        </w:rPr>
        <w:t>（三）</w:t>
      </w:r>
      <w:r>
        <w:rPr>
          <w:rFonts w:hint="eastAsia" w:ascii="楷体" w:hAnsi="楷体" w:eastAsia="楷体" w:cs="楷体"/>
          <w:b w:val="0"/>
          <w:bCs/>
          <w:szCs w:val="32"/>
          <w:lang w:eastAsia="zh-CN"/>
        </w:rPr>
        <w:t>评价依据</w:t>
      </w:r>
      <w:bookmarkEnd w:id="145"/>
      <w:bookmarkEnd w:id="146"/>
      <w:bookmarkEnd w:id="147"/>
      <w:bookmarkEnd w:id="148"/>
      <w:bookmarkEnd w:id="149"/>
      <w:bookmarkEnd w:id="150"/>
      <w:bookmarkEnd w:id="151"/>
      <w:bookmarkEnd w:id="152"/>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 w:val="0"/>
          <w:bCs/>
          <w:color w:val="000000"/>
          <w:sz w:val="32"/>
          <w:szCs w:val="32"/>
          <w:lang w:val="en-US" w:eastAsia="zh-CN" w:bidi="en-US"/>
        </w:rPr>
        <w:t>乐山市公安局金口河区分局与中国移动通信集团四川有限公司乐山分公司签订《采购合同》；</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 w:val="0"/>
          <w:bCs/>
          <w:color w:val="000000"/>
          <w:sz w:val="32"/>
          <w:szCs w:val="32"/>
          <w:lang w:val="en-US" w:eastAsia="zh-CN" w:bidi="en-US"/>
        </w:rPr>
        <w:t>项目单位提供的相关资料；</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w:t>
      </w:r>
      <w:r>
        <w:rPr>
          <w:rFonts w:hint="eastAsia" w:ascii="仿宋" w:hAnsi="仿宋" w:eastAsia="仿宋" w:cs="仿宋"/>
          <w:b w:val="0"/>
          <w:bCs/>
          <w:color w:val="000000"/>
          <w:sz w:val="32"/>
          <w:szCs w:val="32"/>
          <w:lang w:val="en-US" w:eastAsia="zh-CN" w:bidi="en-US"/>
        </w:rPr>
        <w:t>中共中央国务院关于全面实施预算绩效管理的意见》（中发〔2018〕34号）；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 w:val="0"/>
          <w:bCs/>
          <w:color w:val="000000"/>
          <w:sz w:val="32"/>
          <w:szCs w:val="32"/>
          <w:lang w:val="en-US" w:eastAsia="zh-CN" w:bidi="en-US"/>
        </w:rPr>
        <w:t>《中共四川省委四川省人民政府关于全面实施预算绩效管理的实施意见》（川委发〔2019〕8号）；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w:t>
      </w:r>
      <w:r>
        <w:rPr>
          <w:rFonts w:hint="eastAsia" w:ascii="仿宋" w:hAnsi="仿宋" w:eastAsia="仿宋" w:cs="仿宋"/>
          <w:b w:val="0"/>
          <w:bCs/>
          <w:color w:val="000000"/>
          <w:sz w:val="32"/>
          <w:szCs w:val="32"/>
          <w:lang w:val="en-US" w:eastAsia="zh-CN" w:bidi="en-US"/>
        </w:rPr>
        <w:t>中共乐山市委办公室乐山市人民政府办公室&lt;关于印发全面实施预算绩效管理实施方案&gt;的通知》（乐委办发〔2020〕12号）；</w:t>
      </w:r>
    </w:p>
    <w:p>
      <w:pPr>
        <w:ind w:firstLine="640"/>
        <w:rPr>
          <w:rFonts w:hint="eastAsia" w:ascii="仿宋" w:hAnsi="仿宋" w:eastAsia="仿宋" w:cs="仿宋"/>
          <w:b w:val="0"/>
          <w:bCs/>
          <w:color w:val="000000"/>
          <w:sz w:val="32"/>
          <w:szCs w:val="32"/>
          <w:lang w:val="en-US" w:eastAsia="zh-CN" w:bidi="en-US"/>
        </w:rPr>
      </w:pPr>
      <w:r>
        <w:rPr>
          <w:rFonts w:hint="eastAsia" w:ascii="仿宋" w:hAnsi="仿宋" w:eastAsia="仿宋" w:cs="仿宋"/>
          <w:bCs/>
          <w:szCs w:val="32"/>
          <w:lang w:val="en-US" w:eastAsia="zh-CN"/>
        </w:rPr>
        <w:t>6.</w:t>
      </w:r>
      <w:r>
        <w:rPr>
          <w:rFonts w:hint="eastAsia" w:ascii="仿宋" w:hAnsi="仿宋" w:eastAsia="仿宋" w:cs="仿宋"/>
          <w:b w:val="0"/>
          <w:bCs/>
          <w:color w:val="000000"/>
          <w:sz w:val="32"/>
          <w:szCs w:val="32"/>
          <w:lang w:val="en-US" w:eastAsia="zh-CN" w:bidi="en-US"/>
        </w:rPr>
        <w:t>中共乐山市公安局金口河区分局委员会2023年第32次、2024年第11次、2024年第20次三次党委(扩大)会议纪要；</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 w:val="0"/>
          <w:bCs/>
          <w:color w:val="000000"/>
          <w:sz w:val="32"/>
          <w:szCs w:val="32"/>
          <w:lang w:val="en-US" w:eastAsia="zh-CN" w:bidi="en-US"/>
        </w:rPr>
        <w:t>《金口河区区级预算事前绩效评估管理暂行办法》；</w:t>
      </w:r>
    </w:p>
    <w:p>
      <w:pPr>
        <w:ind w:firstLine="640"/>
        <w:rPr>
          <w:rFonts w:hint="eastAsia" w:ascii="仿宋" w:hAnsi="仿宋" w:eastAsia="仿宋" w:cs="仿宋"/>
          <w:bCs/>
          <w:szCs w:val="32"/>
          <w:lang w:val="en-US" w:eastAsia="zh-CN"/>
        </w:rPr>
      </w:pPr>
      <w:r>
        <w:rPr>
          <w:rFonts w:hint="eastAsia" w:ascii="仿宋" w:hAnsi="仿宋" w:eastAsia="仿宋" w:cs="仿宋"/>
          <w:bCs/>
          <w:szCs w:val="32"/>
          <w:lang w:val="en-US" w:eastAsia="zh-CN"/>
        </w:rPr>
        <w:t>8.</w:t>
      </w:r>
      <w:r>
        <w:rPr>
          <w:rFonts w:hint="eastAsia" w:ascii="仿宋" w:hAnsi="仿宋" w:eastAsia="仿宋" w:cs="仿宋"/>
          <w:b w:val="0"/>
          <w:bCs/>
          <w:color w:val="000000"/>
          <w:sz w:val="32"/>
          <w:szCs w:val="32"/>
          <w:lang w:val="en-US" w:eastAsia="zh-CN" w:bidi="en-US"/>
        </w:rPr>
        <w:t>《乐山市公安局金口河区分局视频监控运维考核办法》；</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9.</w:t>
      </w:r>
      <w:r>
        <w:rPr>
          <w:rFonts w:hint="eastAsia" w:ascii="仿宋" w:hAnsi="仿宋" w:eastAsia="仿宋" w:cs="仿宋"/>
          <w:b w:val="0"/>
          <w:bCs/>
          <w:color w:val="000000"/>
          <w:sz w:val="32"/>
          <w:szCs w:val="32"/>
          <w:lang w:val="en-US" w:eastAsia="zh-CN" w:bidi="en-US"/>
        </w:rPr>
        <w:t>其他与本次评价相关的制度、文件等资料</w:t>
      </w:r>
      <w:r>
        <w:rPr>
          <w:rFonts w:hint="eastAsia" w:ascii="仿宋" w:hAnsi="仿宋" w:eastAsia="仿宋" w:cs="仿宋"/>
          <w:bCs/>
          <w:szCs w:val="32"/>
          <w:lang w:eastAsia="zh-CN"/>
        </w:rPr>
        <w:t>。</w:t>
      </w:r>
      <w:bookmarkStart w:id="153" w:name="_Toc2097"/>
      <w:bookmarkStart w:id="154" w:name="_Toc133498039"/>
      <w:bookmarkStart w:id="155" w:name="_Toc24196"/>
      <w:bookmarkStart w:id="156" w:name="_Toc28796"/>
      <w:bookmarkStart w:id="157" w:name="_Toc1492000300_WPSOffice_Level3"/>
      <w:bookmarkStart w:id="158" w:name="_Toc1634515572"/>
      <w:bookmarkStart w:id="159" w:name="_Toc235704954"/>
      <w:bookmarkStart w:id="160" w:name="_Toc130033891"/>
      <w:bookmarkStart w:id="161" w:name="_Toc32755"/>
      <w:bookmarkStart w:id="162" w:name="_Toc15390"/>
      <w:bookmarkStart w:id="163" w:name="_Toc517771165"/>
      <w:bookmarkStart w:id="164" w:name="_Toc5444"/>
      <w:bookmarkStart w:id="165" w:name="_Toc1840102656"/>
      <w:bookmarkStart w:id="166" w:name="_Toc13724"/>
      <w:bookmarkStart w:id="167" w:name="_Toc24488"/>
      <w:bookmarkStart w:id="168" w:name="_Toc130033893"/>
      <w:bookmarkStart w:id="169" w:name="_Toc6461"/>
      <w:bookmarkStart w:id="170" w:name="_Toc133498041"/>
      <w:bookmarkStart w:id="171" w:name="_Toc1533316810"/>
      <w:bookmarkStart w:id="172" w:name="_Toc30726"/>
      <w:bookmarkStart w:id="173" w:name="_Toc15014"/>
      <w:bookmarkStart w:id="174" w:name="_Toc576232511"/>
      <w:bookmarkStart w:id="175" w:name="_Toc693338945"/>
      <w:bookmarkStart w:id="176" w:name="_Toc9201"/>
      <w:bookmarkStart w:id="177" w:name="_Toc2029979728_WPSOffice_Level3"/>
      <w:bookmarkStart w:id="178" w:name="_Toc692406180"/>
    </w:p>
    <w:p>
      <w:pPr>
        <w:ind w:firstLine="640"/>
        <w:rPr>
          <w:rFonts w:hint="eastAsia" w:ascii="楷体" w:hAnsi="楷体" w:eastAsia="楷体" w:cs="楷体"/>
          <w:b w:val="0"/>
          <w:bCs/>
          <w:szCs w:val="32"/>
          <w:lang w:eastAsia="zh-CN"/>
        </w:rPr>
      </w:pPr>
      <w:r>
        <w:rPr>
          <w:rFonts w:hint="eastAsia" w:ascii="楷体" w:hAnsi="楷体" w:cs="楷体"/>
          <w:b w:val="0"/>
          <w:bCs/>
          <w:szCs w:val="32"/>
          <w:lang w:eastAsia="zh-CN"/>
        </w:rPr>
        <w:t>（四）</w:t>
      </w:r>
      <w:r>
        <w:rPr>
          <w:rFonts w:hint="eastAsia" w:ascii="楷体" w:hAnsi="楷体" w:eastAsia="楷体" w:cs="楷体"/>
          <w:b w:val="0"/>
          <w:bCs/>
          <w:szCs w:val="32"/>
          <w:lang w:eastAsia="zh-CN"/>
        </w:rPr>
        <w:t>绩效评价原则</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numPr>
          <w:numId w:val="0"/>
        </w:numPr>
        <w:ind w:firstLine="640" w:firstLineChars="200"/>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1.科学规范原则。绩效评价应当严格执行规定的程序，按科学可行的要求，采用定量与定性分析相结合、理论与实践相结合的方法设计合理的评估指标体系</w:t>
      </w:r>
      <w:r>
        <w:rPr>
          <w:rFonts w:hint="eastAsia" w:ascii="仿宋" w:hAnsi="仿宋" w:eastAsia="仿宋" w:cs="仿宋"/>
          <w:bCs/>
          <w:szCs w:val="32"/>
          <w:lang w:eastAsia="zh-CN"/>
        </w:rPr>
        <w:t>。</w:t>
      </w:r>
    </w:p>
    <w:p>
      <w:pPr>
        <w:numPr>
          <w:ilvl w:val="0"/>
          <w:numId w:val="0"/>
        </w:numPr>
        <w:ind w:firstLine="640" w:firstLineChars="200"/>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 w:val="0"/>
          <w:bCs/>
          <w:color w:val="000000"/>
          <w:sz w:val="32"/>
          <w:szCs w:val="32"/>
          <w:lang w:val="en-US" w:eastAsia="zh-CN" w:bidi="en-US"/>
        </w:rPr>
        <w:t>公正公开原则。绩效评价应当符合真实、客观、公正的要求，依法公开并接受监督</w:t>
      </w:r>
      <w:r>
        <w:rPr>
          <w:rFonts w:hint="eastAsia" w:ascii="仿宋" w:hAnsi="仿宋" w:eastAsia="仿宋" w:cs="仿宋"/>
          <w:bCs/>
          <w:spacing w:val="-1"/>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 w:val="0"/>
          <w:bCs/>
          <w:color w:val="000000"/>
          <w:sz w:val="32"/>
          <w:szCs w:val="32"/>
          <w:lang w:val="en-US" w:eastAsia="zh-CN" w:bidi="en-US"/>
        </w:rPr>
        <w:t>利害关系回避原则。绩效评价工作由乐山市金口河区财政投资评价审核中心进行实施</w:t>
      </w:r>
      <w:r>
        <w:rPr>
          <w:rFonts w:hint="eastAsia" w:ascii="仿宋" w:hAnsi="仿宋" w:eastAsia="仿宋" w:cs="仿宋"/>
          <w:bCs/>
          <w:szCs w:val="32"/>
          <w:lang w:eastAsia="zh-CN"/>
        </w:rPr>
        <w:t>。</w:t>
      </w:r>
    </w:p>
    <w:p>
      <w:pPr>
        <w:ind w:firstLine="640"/>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 w:val="0"/>
          <w:bCs/>
          <w:color w:val="000000"/>
          <w:sz w:val="32"/>
          <w:szCs w:val="32"/>
          <w:lang w:val="en-US" w:eastAsia="zh-CN" w:bidi="en-US"/>
        </w:rPr>
        <w:t>绩效相关原则。本次事前绩效评估针对雪亮工程租赁费预算金额及其预期绩效进行，评价结果清晰地反映两者之间的紧密对应关系</w:t>
      </w:r>
      <w:r>
        <w:rPr>
          <w:rFonts w:hint="eastAsia" w:ascii="仿宋" w:hAnsi="仿宋" w:eastAsia="仿宋" w:cs="仿宋"/>
          <w:bCs/>
          <w:szCs w:val="32"/>
          <w:lang w:eastAsia="zh-CN"/>
        </w:rPr>
        <w:t>。</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79" w:name="_Toc4046"/>
      <w:bookmarkStart w:id="180" w:name="_Toc5958"/>
      <w:r>
        <w:rPr>
          <w:rFonts w:hint="eastAsia" w:ascii="楷体" w:hAnsi="楷体" w:cs="楷体"/>
          <w:b w:val="0"/>
          <w:bCs/>
          <w:szCs w:val="32"/>
          <w:lang w:eastAsia="zh-CN"/>
        </w:rPr>
        <w:t>（五）</w:t>
      </w:r>
      <w:r>
        <w:rPr>
          <w:rFonts w:hint="eastAsia" w:ascii="楷体" w:hAnsi="楷体" w:eastAsia="楷体" w:cs="楷体"/>
          <w:b w:val="0"/>
          <w:bCs/>
          <w:szCs w:val="32"/>
          <w:lang w:eastAsia="zh-CN"/>
        </w:rPr>
        <w:t>评价方法和等级设定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ind w:firstLine="640"/>
        <w:rPr>
          <w:rFonts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绩效评估通过实施单位的数据填报,辅以评价工作小组实地调查、查阅问卷、听取汇报、查看项目管理及财务管理资料等方式收集信息，对拟使用资金项目的必要性、资金来源的可行性、绩效目标的合理性、项目考核办法执行的有效性、项目实施成果合格性等方面进行评判、论证和审查。以定量考核与定性分析相结合，汇总形成评估综合得分。评估结论分为建议实施、建议调整后实施、建议不予实施三个等级，根据各项指标得分合计分数，确定综合评估结论。具体如下</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1" w:name="_Toc24992"/>
      <w:bookmarkStart w:id="182" w:name="_Toc21368"/>
      <w:r>
        <w:rPr>
          <w:rFonts w:hint="eastAsia" w:ascii="楷体" w:hAnsi="楷体" w:cs="楷体"/>
          <w:b w:val="0"/>
          <w:bCs/>
          <w:szCs w:val="32"/>
          <w:lang w:eastAsia="zh-CN"/>
        </w:rPr>
        <w:t>（六）</w:t>
      </w:r>
      <w:r>
        <w:rPr>
          <w:rFonts w:hint="eastAsia" w:ascii="楷体" w:hAnsi="楷体" w:eastAsia="楷体" w:cs="楷体"/>
          <w:b w:val="0"/>
          <w:bCs/>
          <w:szCs w:val="32"/>
          <w:lang w:eastAsia="zh-CN"/>
        </w:rPr>
        <w:t>评价程序</w:t>
      </w:r>
      <w:bookmarkEnd w:id="181"/>
      <w:bookmarkEnd w:id="18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b w:val="0"/>
          <w:bCs/>
          <w:color w:val="000000"/>
          <w:sz w:val="32"/>
          <w:szCs w:val="32"/>
          <w:lang w:val="en-US" w:eastAsia="zh-CN" w:bidi="en-US"/>
        </w:rPr>
        <w:t>下达评估入户通知。绩效考评中心以入户通知书的形式通知项目单位，并明确评估的依据、内容、目的、任务、时间、要求等事项</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b w:val="0"/>
          <w:bCs/>
          <w:color w:val="000000"/>
          <w:sz w:val="32"/>
          <w:szCs w:val="32"/>
          <w:lang w:val="en-US" w:eastAsia="zh-CN" w:bidi="en-US"/>
        </w:rPr>
        <w:t>拟定工作方案。评估工作组结合事前绩效评估工作要求，拟定《事前绩效评估工作方案》，包括评估对象、内容、方法、专家、时间安排等</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b w:val="0"/>
          <w:bCs/>
          <w:color w:val="000000"/>
          <w:sz w:val="32"/>
          <w:szCs w:val="32"/>
          <w:lang w:val="en-US" w:eastAsia="zh-CN" w:bidi="en-US"/>
        </w:rPr>
        <w:t>组成评估小组。评估工作组遴选相关人员组成评估专家组，并适时开展业务培训</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4.入</w:t>
      </w:r>
      <w:r>
        <w:rPr>
          <w:rFonts w:hint="eastAsia" w:ascii="仿宋" w:hAnsi="仿宋" w:eastAsia="仿宋" w:cs="仿宋"/>
          <w:b w:val="0"/>
          <w:bCs/>
          <w:color w:val="000000"/>
          <w:sz w:val="32"/>
          <w:szCs w:val="32"/>
          <w:lang w:val="en-US" w:eastAsia="zh-CN" w:bidi="en-US"/>
        </w:rPr>
        <w:t>户调研。评估工作组入户与被评估单位沟通，进一步熟悉项目内容;向项目单位出示《项目支出事前绩效评估资料准备清单》，指导项目单位填报《事前绩效评估项目申报书》、《项目支出绩效目标申报表</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b w:val="0"/>
          <w:bCs/>
          <w:color w:val="000000"/>
          <w:sz w:val="32"/>
          <w:szCs w:val="32"/>
          <w:lang w:val="en-US" w:eastAsia="zh-CN" w:bidi="en-US"/>
        </w:rPr>
        <w:t>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w:t>
      </w:r>
      <w:r>
        <w:rPr>
          <w:rFonts w:hint="eastAsia" w:ascii="仿宋" w:hAnsi="仿宋" w:eastAsia="仿宋" w:cs="仿宋"/>
          <w:b w:val="0"/>
          <w:bCs/>
          <w:color w:val="000000"/>
          <w:sz w:val="32"/>
          <w:szCs w:val="32"/>
          <w:lang w:val="en-US" w:eastAsia="zh-CN" w:bidi="en-US"/>
        </w:rPr>
        <w:t>组织实施评估。绩效考评组召开评估会议，了解项目基本情况，听取项目单位情况介绍，进行现</w:t>
      </w:r>
      <w:r>
        <w:rPr>
          <w:rFonts w:hint="eastAsia" w:ascii="仿宋" w:hAnsi="仿宋" w:eastAsia="仿宋" w:cs="仿宋"/>
          <w:bCs/>
          <w:szCs w:val="32"/>
          <w:lang w:eastAsia="zh-CN"/>
        </w:rPr>
        <w:t>场评议。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b w:val="0"/>
          <w:bCs/>
          <w:color w:val="000000"/>
          <w:sz w:val="32"/>
          <w:szCs w:val="32"/>
          <w:lang w:val="en-US" w:eastAsia="zh-CN" w:bidi="en-US"/>
        </w:rPr>
        <w:t>采取多种方式，多方获取信息。通过咨询专家、查阅资料、问卷调查、电话采访、集中座谈等方式，全面了解并收集项目信息</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b w:val="0"/>
          <w:bCs/>
          <w:color w:val="000000"/>
          <w:sz w:val="32"/>
          <w:szCs w:val="32"/>
          <w:lang w:val="en-US" w:eastAsia="zh-CN" w:bidi="en-US"/>
        </w:rPr>
        <w:t>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b w:val="0"/>
          <w:bCs/>
          <w:color w:val="000000"/>
          <w:sz w:val="32"/>
          <w:szCs w:val="32"/>
          <w:lang w:val="en-US" w:eastAsia="zh-CN" w:bidi="en-US"/>
        </w:rPr>
        <w:t>确认工作组意见，得出评估结论。评估工作组将评估个人初步意见报送评估工作组征求意见，评估工作组综合完善意见后，得出最终评估结论，填写《项目支出事前绩效评估工作组汇总意见》</w:t>
      </w:r>
      <w:r>
        <w:rPr>
          <w:rFonts w:hint="eastAsia" w:ascii="仿宋" w:hAnsi="仿宋" w:eastAsia="仿宋" w:cs="仿宋"/>
          <w:bCs/>
          <w:szCs w:val="32"/>
          <w:lang w:eastAsia="zh-CN"/>
        </w:rPr>
        <w:t>。</w:t>
      </w:r>
    </w:p>
    <w:p>
      <w:pPr>
        <w:ind w:firstLine="640"/>
        <w:rPr>
          <w:rFonts w:hint="eastAsia" w:ascii="仿宋" w:hAnsi="仿宋" w:eastAsia="仿宋" w:cs="仿宋"/>
          <w:b w:val="0"/>
          <w:bCs/>
          <w:color w:val="000000"/>
          <w:sz w:val="32"/>
          <w:szCs w:val="32"/>
          <w:lang w:val="en-US" w:eastAsia="zh-CN" w:bidi="en-US"/>
        </w:rPr>
      </w:pPr>
      <w:r>
        <w:rPr>
          <w:rFonts w:hint="eastAsia" w:ascii="仿宋" w:hAnsi="仿宋" w:eastAsia="仿宋" w:cs="仿宋"/>
          <w:bCs/>
          <w:szCs w:val="32"/>
          <w:lang w:eastAsia="zh-CN"/>
        </w:rPr>
        <w:t>7.</w:t>
      </w:r>
      <w:r>
        <w:rPr>
          <w:rFonts w:hint="eastAsia" w:ascii="仿宋" w:hAnsi="仿宋" w:eastAsia="仿宋" w:cs="仿宋"/>
          <w:b w:val="0"/>
          <w:bCs/>
          <w:color w:val="000000"/>
          <w:sz w:val="32"/>
          <w:szCs w:val="32"/>
          <w:lang w:val="en-US" w:eastAsia="zh-CN" w:bidi="en-US"/>
        </w:rPr>
        <w:t>汇报绩效评估结论。完成最终评价报告，提出评估结论意见。</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3" w:name="_Toc1224"/>
      <w:bookmarkStart w:id="184" w:name="_Toc28492"/>
      <w:r>
        <w:rPr>
          <w:rFonts w:hint="eastAsia" w:ascii="楷体" w:hAnsi="楷体" w:cs="楷体"/>
          <w:b w:val="0"/>
          <w:bCs/>
          <w:szCs w:val="32"/>
          <w:lang w:eastAsia="zh-CN"/>
        </w:rPr>
        <w:t>（七）</w:t>
      </w:r>
      <w:r>
        <w:rPr>
          <w:rFonts w:hint="eastAsia" w:ascii="楷体" w:hAnsi="楷体" w:eastAsia="楷体" w:cs="楷体"/>
          <w:b w:val="0"/>
          <w:bCs/>
          <w:szCs w:val="32"/>
          <w:lang w:eastAsia="zh-CN"/>
        </w:rPr>
        <w:t>论证思路及方法</w:t>
      </w:r>
      <w:bookmarkEnd w:id="183"/>
      <w:bookmarkEnd w:id="184"/>
    </w:p>
    <w:p>
      <w:pPr>
        <w:ind w:firstLine="640"/>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本次事前绩效评估主要针对项目的相关性、项目绩效目标的明确性、项目考核办法执行的有效性、项目预期绩效的可持续性、财政资金投入的可行性等五方面进行综合评估、分析与论证，并提出相关建议</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本次事前绩效评估主要采用效益分析、比较分析、因素分析、历史分析等方法进行论证</w:t>
      </w:r>
      <w:r>
        <w:rPr>
          <w:rFonts w:hint="eastAsia" w:ascii="仿宋" w:hAnsi="仿宋" w:eastAsia="仿宋" w:cs="仿宋"/>
          <w:bCs/>
          <w:szCs w:val="32"/>
          <w:lang w:eastAsia="zh-CN"/>
        </w:rPr>
        <w:t>。</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5" w:name="_Toc17481"/>
      <w:bookmarkStart w:id="186" w:name="_Toc15129"/>
      <w:r>
        <w:rPr>
          <w:rFonts w:hint="eastAsia" w:ascii="楷体" w:hAnsi="楷体" w:cs="楷体"/>
          <w:b w:val="0"/>
          <w:bCs/>
          <w:szCs w:val="32"/>
          <w:lang w:eastAsia="zh-CN"/>
        </w:rPr>
        <w:t>（八）</w:t>
      </w:r>
      <w:r>
        <w:rPr>
          <w:rFonts w:hint="eastAsia" w:ascii="楷体" w:hAnsi="楷体" w:eastAsia="楷体" w:cs="楷体"/>
          <w:b w:val="0"/>
          <w:bCs/>
          <w:szCs w:val="32"/>
          <w:lang w:eastAsia="zh-CN"/>
        </w:rPr>
        <w:t>评估方式</w:t>
      </w:r>
      <w:bookmarkEnd w:id="185"/>
      <w:bookmarkEnd w:id="186"/>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w:t>
      </w:r>
      <w:r>
        <w:rPr>
          <w:rFonts w:hint="eastAsia" w:ascii="仿宋" w:hAnsi="仿宋" w:eastAsia="仿宋" w:cs="仿宋"/>
          <w:b w:val="0"/>
          <w:bCs/>
          <w:color w:val="000000"/>
          <w:sz w:val="32"/>
          <w:szCs w:val="32"/>
          <w:lang w:val="en-US" w:eastAsia="zh-CN" w:bidi="en-US"/>
        </w:rPr>
        <w:t>次事前绩效评估遵循全面考虑、重点突出的原则，主要采用比较分析的方式，同时辅之以资料分析、集中座谈、网络查询、电话采访、抽样调查等评估方式或手段，对项目的相关性、可行性、持续性等方面进行全面评估</w:t>
      </w:r>
      <w:r>
        <w:rPr>
          <w:rFonts w:hint="eastAsia" w:ascii="仿宋" w:hAnsi="仿宋" w:eastAsia="仿宋" w:cs="仿宋"/>
          <w:bCs/>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87" w:name="_Toc1396"/>
      <w:bookmarkStart w:id="188" w:name="_Toc5234"/>
      <w:bookmarkStart w:id="189" w:name="_Toc27103"/>
      <w:bookmarkStart w:id="190" w:name="_Toc5665919"/>
      <w:bookmarkStart w:id="191" w:name="_Toc29976"/>
      <w:bookmarkStart w:id="192" w:name="_Toc1232831072"/>
      <w:bookmarkStart w:id="193" w:name="_Toc2810"/>
      <w:bookmarkStart w:id="194" w:name="_Toc1850422540"/>
      <w:bookmarkStart w:id="195" w:name="_Toc2115246641_WPSOffice_Level1"/>
      <w:bookmarkStart w:id="196" w:name="_Toc132480965"/>
      <w:bookmarkStart w:id="197" w:name="_Toc709323845"/>
      <w:r>
        <w:rPr>
          <w:rFonts w:hint="eastAsia" w:ascii="黑体" w:hAnsi="黑体" w:eastAsia="黑体" w:cs="黑体"/>
          <w:b w:val="0"/>
          <w:bCs/>
          <w:szCs w:val="32"/>
          <w:lang w:eastAsia="zh-CN"/>
        </w:rPr>
        <w:t>三、事前绩效评估指标体系及得分情况</w:t>
      </w:r>
      <w:bookmarkEnd w:id="187"/>
      <w:bookmarkEnd w:id="188"/>
      <w:bookmarkEnd w:id="189"/>
      <w:bookmarkEnd w:id="190"/>
      <w:bookmarkEnd w:id="191"/>
      <w:bookmarkEnd w:id="192"/>
      <w:bookmarkEnd w:id="193"/>
      <w:bookmarkEnd w:id="194"/>
      <w:bookmarkEnd w:id="195"/>
      <w:bookmarkEnd w:id="196"/>
      <w:bookmarkEnd w:id="197"/>
    </w:p>
    <w:p>
      <w:pPr>
        <w:ind w:firstLine="640"/>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评估工作小组按照相关性、经济性、可行性、重要性、可比性、系统性及合理性原则，设置项目事前绩效评估指标体系，其中共包含8个一级指标、15个二级指标以及29个三级指标，各项指标内容及得分情况详见下表</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雪亮工程租赁费</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48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4902"/>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4902" w:type="dxa"/>
            <w:vAlign w:val="center"/>
          </w:tcPr>
          <w:p>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vAlign w:val="center"/>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效益性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w:t>
            </w:r>
            <w:r>
              <w:rPr>
                <w:rFonts w:hint="eastAsia" w:ascii="Arial" w:hAnsi="Arial" w:cs="Arial"/>
                <w:bCs/>
                <w:snapToGrid w:val="0"/>
                <w:sz w:val="20"/>
                <w:lang w:val="en-US" w:eastAsia="zh-CN"/>
              </w:rPr>
              <w:t>能降低司法成本与居民财产损失</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w:t>
            </w:r>
            <w:r>
              <w:rPr>
                <w:rFonts w:hint="eastAsia" w:ascii="Arial" w:hAnsi="Arial" w:cs="Arial"/>
                <w:bCs/>
                <w:snapToGrid w:val="0"/>
                <w:sz w:val="20"/>
                <w:lang w:val="en-US" w:eastAsia="zh-CN"/>
              </w:rPr>
              <w:t>能提高全区安全形象，带动相关产业发展</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w:t>
            </w:r>
            <w:r>
              <w:rPr>
                <w:rFonts w:hint="eastAsia" w:ascii="Arial" w:hAnsi="Arial" w:cs="Arial"/>
                <w:bCs/>
                <w:snapToGrid w:val="0"/>
                <w:sz w:val="20"/>
                <w:lang w:eastAsia="zh-CN"/>
              </w:rPr>
              <w:t>合规性与项目成熟度</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实施</w:t>
            </w:r>
            <w:r>
              <w:rPr>
                <w:rFonts w:hint="eastAsia" w:ascii="Arial" w:hAnsi="Arial" w:cs="Arial"/>
                <w:bCs/>
                <w:snapToGrid w:val="0"/>
                <w:sz w:val="20"/>
              </w:rPr>
              <w:t>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③项目是否符合国家确定的发展项目。</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是否</w:t>
            </w:r>
            <w:r>
              <w:rPr>
                <w:rFonts w:hint="eastAsia" w:ascii="Arial" w:hAnsi="Arial" w:cs="Arial"/>
                <w:bCs/>
                <w:snapToGrid w:val="0"/>
                <w:sz w:val="20"/>
                <w:lang w:eastAsia="zh-CN"/>
              </w:rPr>
              <w:t>完备齐全；</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hint="eastAsia" w:ascii="Arial" w:hAnsi="Arial" w:cs="Arial"/>
                <w:bCs/>
                <w:snapToGrid w:val="0"/>
                <w:sz w:val="20"/>
                <w:lang w:eastAsia="zh-CN"/>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③是否具备成熟的技术体系、健全的标准规范。</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支付</w:t>
            </w:r>
            <w:r>
              <w:rPr>
                <w:rFonts w:hint="eastAsia" w:ascii="Arial" w:hAnsi="Arial" w:cs="Arial"/>
                <w:bCs/>
                <w:snapToGrid w:val="0"/>
                <w:sz w:val="20"/>
                <w:lang w:eastAsia="zh-CN"/>
              </w:rPr>
              <w:t>是否</w:t>
            </w:r>
            <w:r>
              <w:rPr>
                <w:rFonts w:hint="eastAsia" w:ascii="Arial" w:hAnsi="Arial" w:cs="Arial"/>
                <w:bCs/>
                <w:snapToGrid w:val="0"/>
                <w:sz w:val="20"/>
                <w:lang w:val="en-US" w:eastAsia="zh-CN"/>
              </w:rPr>
              <w:t>具备</w:t>
            </w:r>
            <w:r>
              <w:rPr>
                <w:rFonts w:hint="eastAsia" w:ascii="Arial" w:hAnsi="Arial" w:cs="Arial"/>
                <w:bCs/>
                <w:snapToGrid w:val="0"/>
                <w:sz w:val="20"/>
                <w:lang w:eastAsia="zh-CN"/>
              </w:rPr>
              <w:t>相关手续；</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w:t>
            </w:r>
            <w:r>
              <w:rPr>
                <w:rFonts w:hint="eastAsia" w:ascii="Arial" w:hAnsi="Arial" w:cs="Arial"/>
                <w:bCs/>
                <w:snapToGrid w:val="0"/>
                <w:sz w:val="20"/>
                <w:lang w:val="en-US" w:eastAsia="zh-CN"/>
              </w:rPr>
              <w:t>计划是经科学测算无瑕疵</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4902" w:type="dxa"/>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val="en-US"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377"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考核办法执行</w:t>
            </w:r>
            <w:r>
              <w:rPr>
                <w:rFonts w:hint="eastAsia" w:ascii="Arial" w:hAnsi="Arial" w:cs="Arial"/>
                <w:bCs/>
                <w:snapToGrid w:val="0"/>
                <w:sz w:val="20"/>
                <w:lang w:eastAsia="zh-CN"/>
              </w:rPr>
              <w:t>有</w:t>
            </w:r>
            <w:r>
              <w:rPr>
                <w:rFonts w:ascii="Arial" w:hAnsi="Arial" w:cs="Arial"/>
                <w:bCs/>
                <w:snapToGrid w:val="0"/>
                <w:sz w:val="20"/>
                <w:lang w:eastAsia="zh-CN"/>
              </w:rPr>
              <w:t>效性</w:t>
            </w:r>
          </w:p>
        </w:tc>
        <w:tc>
          <w:tcPr>
            <w:tcW w:w="1296" w:type="dxa"/>
            <w:vMerge w:val="restart"/>
            <w:tcBorders>
              <w:top w:val="nil"/>
            </w:tcBorders>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考核办法执行</w:t>
            </w:r>
            <w:r>
              <w:rPr>
                <w:rFonts w:hint="eastAsia" w:ascii="Arial" w:hAnsi="Arial" w:cs="Arial"/>
                <w:bCs/>
                <w:snapToGrid w:val="0"/>
                <w:sz w:val="20"/>
                <w:lang w:eastAsia="zh-CN"/>
              </w:rPr>
              <w:t>有</w:t>
            </w:r>
            <w:r>
              <w:rPr>
                <w:rFonts w:ascii="Arial" w:hAnsi="Arial" w:cs="Arial"/>
                <w:bCs/>
                <w:snapToGrid w:val="0"/>
                <w:sz w:val="20"/>
                <w:lang w:eastAsia="zh-CN"/>
              </w:rPr>
              <w:t>效性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考核办法是否有利于提高雪亮工程</w:t>
            </w:r>
            <w:r>
              <w:rPr>
                <w:rFonts w:hint="default" w:ascii="Arial" w:hAnsi="Arial" w:cs="Arial"/>
                <w:bCs/>
                <w:snapToGrid w:val="0"/>
                <w:sz w:val="20"/>
                <w:lang w:val="en-US" w:eastAsia="zh-CN"/>
              </w:rPr>
              <w:t>运行稳定性</w:t>
            </w:r>
            <w:r>
              <w:rPr>
                <w:rFonts w:hint="eastAsia" w:ascii="Arial" w:hAnsi="Arial" w:cs="Arial"/>
                <w:bCs/>
                <w:snapToGrid w:val="0"/>
                <w:sz w:val="20"/>
                <w:lang w:val="en-US"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8</w:t>
            </w: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lang w:eastAsia="zh-CN"/>
              </w:rPr>
            </w:pPr>
          </w:p>
        </w:tc>
        <w:tc>
          <w:tcPr>
            <w:tcW w:w="1296" w:type="dxa"/>
            <w:vMerge w:val="continue"/>
            <w:vAlign w:val="center"/>
          </w:tcPr>
          <w:p>
            <w:pPr>
              <w:pStyle w:val="67"/>
              <w:ind w:firstLine="0" w:firstLineChars="0"/>
              <w:jc w:val="center"/>
              <w:rPr>
                <w:rFonts w:ascii="Arial" w:hAnsi="Arial" w:cs="Arial"/>
                <w:bCs/>
                <w:snapToGrid w:val="0"/>
                <w:sz w:val="20"/>
                <w:lang w:eastAsia="zh-CN"/>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考核办法具体指标是否具体、详细</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vAlign w:val="center"/>
          </w:tcPr>
          <w:p>
            <w:pPr>
              <w:pStyle w:val="67"/>
              <w:ind w:firstLine="0" w:firstLineChars="0"/>
              <w:jc w:val="center"/>
              <w:rPr>
                <w:rFonts w:ascii="Arial" w:hAnsi="Arial" w:cs="Arial"/>
                <w:bCs/>
                <w:snapToGrid w:val="0"/>
                <w:sz w:val="20"/>
                <w:lang w:eastAsia="zh-CN"/>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vAlign w:val="center"/>
          </w:tcPr>
          <w:p>
            <w:pPr>
              <w:pStyle w:val="67"/>
              <w:ind w:firstLine="0" w:firstLineChars="0"/>
              <w:jc w:val="center"/>
              <w:rPr>
                <w:rFonts w:ascii="Arial" w:hAnsi="Arial" w:cs="Arial"/>
                <w:bCs/>
                <w:snapToGrid w:val="0"/>
                <w:sz w:val="20"/>
                <w:lang w:eastAsia="zh-CN"/>
              </w:rPr>
            </w:pPr>
            <w:r>
              <w:rPr>
                <w:rFonts w:hint="default" w:ascii="Arial" w:hAnsi="Arial" w:cs="Arial"/>
                <w:bCs/>
                <w:snapToGrid w:val="0"/>
                <w:sz w:val="20"/>
                <w:lang w:val="en-US" w:eastAsia="zh-CN"/>
              </w:rPr>
              <w:t>设备运行保障</w:t>
            </w:r>
            <w:r>
              <w:rPr>
                <w:rFonts w:hint="eastAsia" w:ascii="Arial" w:hAnsi="Arial" w:cs="Arial"/>
                <w:bCs/>
                <w:snapToGrid w:val="0"/>
                <w:sz w:val="20"/>
                <w:lang w:eastAsia="zh-CN"/>
              </w:rPr>
              <w:t>合格性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落实设备正常运行率、采集的数据准确性、</w:t>
            </w:r>
            <w:r>
              <w:rPr>
                <w:rFonts w:hint="default" w:ascii="Arial" w:hAnsi="Arial" w:cs="Arial"/>
                <w:bCs/>
                <w:snapToGrid w:val="0"/>
                <w:sz w:val="20"/>
                <w:lang w:val="en-US" w:eastAsia="zh-CN"/>
              </w:rPr>
              <w:t>监控运行的持续</w:t>
            </w:r>
            <w:r>
              <w:rPr>
                <w:rFonts w:hint="eastAsia" w:ascii="Arial" w:hAnsi="Arial" w:cs="Arial"/>
                <w:bCs/>
                <w:snapToGrid w:val="0"/>
                <w:sz w:val="20"/>
                <w:lang w:val="en-US" w:eastAsia="zh-CN"/>
              </w:rPr>
              <w:t>性。</w:t>
            </w:r>
          </w:p>
        </w:tc>
        <w:tc>
          <w:tcPr>
            <w:tcW w:w="377"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c>
          <w:tcPr>
            <w:tcW w:w="541" w:type="dxa"/>
            <w:vMerge w:val="restart"/>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10</w:t>
            </w: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vAlign w:val="center"/>
          </w:tcPr>
          <w:p>
            <w:pPr>
              <w:pStyle w:val="67"/>
              <w:ind w:firstLine="0" w:firstLineChars="0"/>
              <w:rPr>
                <w:rFonts w:ascii="Arial" w:hAnsi="Arial" w:cs="Arial"/>
                <w:bCs/>
                <w:snapToGrid w:val="0"/>
                <w:sz w:val="20"/>
                <w:lang w:eastAsia="zh-CN"/>
              </w:rPr>
            </w:pPr>
          </w:p>
        </w:tc>
        <w:tc>
          <w:tcPr>
            <w:tcW w:w="1296" w:type="dxa"/>
            <w:vAlign w:val="center"/>
          </w:tcPr>
          <w:p>
            <w:pPr>
              <w:pStyle w:val="67"/>
              <w:ind w:firstLine="0" w:firstLineChars="0"/>
              <w:jc w:val="center"/>
              <w:rPr>
                <w:rFonts w:ascii="Arial" w:hAnsi="Arial" w:cs="Arial"/>
                <w:bCs/>
                <w:snapToGrid w:val="0"/>
                <w:sz w:val="20"/>
                <w:lang w:eastAsia="zh-CN"/>
              </w:rPr>
            </w:pPr>
            <w:r>
              <w:rPr>
                <w:rFonts w:hint="default" w:ascii="Arial" w:hAnsi="Arial" w:cs="Arial"/>
                <w:bCs/>
                <w:snapToGrid w:val="0"/>
                <w:sz w:val="20"/>
                <w:lang w:val="en-US" w:eastAsia="zh-CN"/>
              </w:rPr>
              <w:t>应急处置能力</w:t>
            </w:r>
            <w:r>
              <w:rPr>
                <w:rFonts w:hint="eastAsia" w:ascii="Arial" w:hAnsi="Arial" w:cs="Arial"/>
                <w:bCs/>
                <w:snapToGrid w:val="0"/>
                <w:sz w:val="20"/>
                <w:lang w:val="en-US" w:eastAsia="zh-CN"/>
              </w:rPr>
              <w:t>合格性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对突发事件演练情况，面对突发事件的应急处理</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12</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w:t>
            </w:r>
            <w:r>
              <w:rPr>
                <w:rFonts w:hint="eastAsia" w:ascii="Arial" w:hAnsi="Arial" w:cs="Arial"/>
                <w:bCs/>
                <w:snapToGrid w:val="0"/>
                <w:sz w:val="20"/>
                <w:lang w:val="en-US" w:eastAsia="zh-CN"/>
              </w:rPr>
              <w:t>是否</w:t>
            </w:r>
            <w:r>
              <w:rPr>
                <w:rFonts w:hint="eastAsia" w:ascii="Arial" w:hAnsi="Arial" w:cs="Arial"/>
                <w:bCs/>
                <w:snapToGrid w:val="0"/>
                <w:sz w:val="20"/>
                <w:lang w:eastAsia="zh-CN"/>
              </w:rPr>
              <w:t>适应城市建设的快速推进、人口流动变化以及新型犯罪形式实际需求；</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③通过项目的实施</w:t>
            </w:r>
            <w:r>
              <w:rPr>
                <w:rFonts w:hint="eastAsia" w:ascii="Arial" w:hAnsi="Arial" w:cs="Arial"/>
                <w:bCs/>
                <w:snapToGrid w:val="0"/>
                <w:sz w:val="20"/>
                <w:lang w:val="en-US" w:eastAsia="zh-CN"/>
              </w:rPr>
              <w:t>是否</w:t>
            </w:r>
            <w:r>
              <w:rPr>
                <w:rFonts w:hint="eastAsia" w:ascii="Arial" w:hAnsi="Arial" w:cs="Arial"/>
                <w:bCs/>
                <w:snapToGrid w:val="0"/>
                <w:sz w:val="20"/>
                <w:lang w:eastAsia="zh-CN"/>
              </w:rPr>
              <w:t>满足日益增长的公共安全监控需求。</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075" w:type="dxa"/>
            <w:gridSpan w:val="3"/>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rPr>
            </w:pPr>
            <w:r>
              <w:rPr>
                <w:rFonts w:hint="default" w:ascii="Arial" w:hAnsi="Arial" w:cs="Arial"/>
                <w:bCs/>
                <w:snapToGrid w:val="0"/>
                <w:sz w:val="20"/>
              </w:rPr>
              <w:fldChar w:fldCharType="begin"/>
            </w:r>
            <w:r>
              <w:rPr>
                <w:rFonts w:hint="default" w:ascii="Arial" w:hAnsi="Arial" w:cs="Arial"/>
                <w:bCs/>
                <w:snapToGrid w:val="0"/>
                <w:sz w:val="20"/>
              </w:rPr>
              <w:instrText xml:space="preserve"> =SUM(ABOVE) \* MERGEFORMAT </w:instrText>
            </w:r>
            <w:r>
              <w:rPr>
                <w:rFonts w:hint="default" w:ascii="Arial" w:hAnsi="Arial" w:cs="Arial"/>
                <w:bCs/>
                <w:snapToGrid w:val="0"/>
                <w:sz w:val="20"/>
              </w:rPr>
              <w:fldChar w:fldCharType="separate"/>
            </w:r>
            <w:r>
              <w:rPr>
                <w:rFonts w:hint="default" w:ascii="Arial" w:hAnsi="Arial" w:cs="Arial"/>
                <w:bCs/>
                <w:snapToGrid w:val="0"/>
                <w:sz w:val="20"/>
              </w:rPr>
              <w:t>9</w:t>
            </w:r>
            <w:r>
              <w:rPr>
                <w:rFonts w:hint="eastAsia" w:ascii="Arial" w:hAnsi="Arial" w:cs="Arial"/>
                <w:bCs/>
                <w:snapToGrid w:val="0"/>
                <w:sz w:val="20"/>
                <w:lang w:val="en-US" w:eastAsia="zh-CN"/>
              </w:rPr>
              <w:t>1</w:t>
            </w:r>
            <w:r>
              <w:rPr>
                <w:rFonts w:hint="default" w:ascii="Arial" w:hAnsi="Arial" w:cs="Arial"/>
                <w:bCs/>
                <w:snapToGrid w:val="0"/>
                <w:sz w:val="20"/>
              </w:rPr>
              <w:fldChar w:fldCharType="end"/>
            </w:r>
          </w:p>
        </w:tc>
      </w:tr>
    </w:tbl>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198" w:name="_Toc193453926"/>
      <w:bookmarkStart w:id="199" w:name="_Toc10752"/>
      <w:bookmarkStart w:id="200" w:name="_Toc1506002849_WPSOffice_Level1"/>
      <w:bookmarkStart w:id="201" w:name="_Toc1269600848"/>
      <w:bookmarkStart w:id="202" w:name="_Toc20649"/>
      <w:bookmarkStart w:id="203" w:name="_Toc737820165"/>
      <w:bookmarkStart w:id="204" w:name="_Toc132480966"/>
      <w:bookmarkStart w:id="205" w:name="_Toc7074"/>
      <w:bookmarkStart w:id="206" w:name="_Toc924138418"/>
      <w:bookmarkStart w:id="207" w:name="_Toc14444"/>
      <w:bookmarkStart w:id="208" w:name="_Toc6088"/>
      <w:r>
        <w:rPr>
          <w:rFonts w:hint="eastAsia" w:ascii="黑体" w:hAnsi="黑体" w:cs="黑体"/>
          <w:b w:val="0"/>
          <w:bCs/>
          <w:color w:val="000000"/>
          <w:kern w:val="0"/>
          <w:sz w:val="32"/>
          <w:szCs w:val="32"/>
          <w:lang w:val="en-US" w:eastAsia="zh-CN" w:bidi="en-US"/>
        </w:rPr>
        <w:t>四</w:t>
      </w:r>
      <w:r>
        <w:rPr>
          <w:rFonts w:hint="eastAsia" w:ascii="黑体" w:hAnsi="黑体" w:eastAsia="黑体" w:cs="黑体"/>
          <w:b w:val="0"/>
          <w:bCs/>
          <w:color w:val="000000"/>
          <w:kern w:val="0"/>
          <w:sz w:val="32"/>
          <w:szCs w:val="32"/>
          <w:lang w:val="en-US" w:eastAsia="zh-CN" w:bidi="en-US"/>
        </w:rPr>
        <w:t>、绩效评价</w:t>
      </w:r>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000000"/>
          <w:kern w:val="0"/>
          <w:sz w:val="32"/>
          <w:szCs w:val="32"/>
          <w:lang w:val="en-US" w:eastAsia="zh-CN" w:bidi="en-US"/>
        </w:rPr>
        <w:t>内容与结论</w:t>
      </w:r>
      <w:bookmarkEnd w:id="207"/>
      <w:bookmarkEnd w:id="208"/>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09" w:name="_Toc7072"/>
      <w:bookmarkStart w:id="210" w:name="_Toc785"/>
      <w:r>
        <w:rPr>
          <w:rFonts w:hint="eastAsia" w:ascii="楷体" w:hAnsi="楷体" w:cs="楷体"/>
          <w:b w:val="0"/>
          <w:bCs/>
          <w:color w:val="000000"/>
          <w:kern w:val="0"/>
          <w:sz w:val="32"/>
          <w:szCs w:val="32"/>
          <w:lang w:val="en-US" w:eastAsia="zh-CN" w:bidi="en-US"/>
        </w:rPr>
        <w:t>（一）</w:t>
      </w:r>
      <w:r>
        <w:rPr>
          <w:rFonts w:hint="eastAsia" w:ascii="楷体" w:hAnsi="楷体" w:eastAsia="楷体" w:cs="楷体"/>
          <w:b w:val="0"/>
          <w:bCs/>
          <w:color w:val="000000"/>
          <w:kern w:val="0"/>
          <w:sz w:val="32"/>
          <w:szCs w:val="32"/>
          <w:lang w:val="en-US" w:eastAsia="zh-CN" w:bidi="en-US"/>
        </w:rPr>
        <w:t>项目实施的必要性、公益性、收益性</w:t>
      </w:r>
      <w:bookmarkEnd w:id="209"/>
      <w:bookmarkEnd w:id="210"/>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项目实施的必要性、公益性、收益性方面，指标总分16分，评估得分16分。具体如下</w:t>
      </w:r>
      <w:r>
        <w:rPr>
          <w:rFonts w:hint="eastAsia" w:ascii="仿宋" w:hAnsi="仿宋" w:eastAsia="仿宋" w:cs="仿宋"/>
          <w:szCs w:val="32"/>
          <w:lang w:eastAsia="zh-CN"/>
        </w:rPr>
        <w:t>：</w:t>
      </w:r>
    </w:p>
    <w:p>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 w:hAnsi="仿宋" w:eastAsia="仿宋" w:cs="仿宋"/>
          <w:b w:val="0"/>
          <w:bCs/>
          <w:color w:val="000000"/>
          <w:kern w:val="0"/>
          <w:sz w:val="32"/>
          <w:szCs w:val="32"/>
          <w:lang w:val="en-US" w:eastAsia="zh-CN" w:bidi="en-US"/>
        </w:rPr>
        <w:t>项</w:t>
      </w:r>
      <w:bookmarkStart w:id="211" w:name="OLE_LINK3"/>
      <w:r>
        <w:rPr>
          <w:rFonts w:hint="eastAsia" w:ascii="仿宋" w:hAnsi="仿宋" w:eastAsia="仿宋" w:cs="仿宋"/>
          <w:b w:val="0"/>
          <w:bCs/>
          <w:color w:val="000000"/>
          <w:kern w:val="0"/>
          <w:sz w:val="32"/>
          <w:szCs w:val="32"/>
          <w:lang w:val="en-US" w:eastAsia="zh-CN" w:bidi="en-US"/>
        </w:rPr>
        <w:t>目实施的必要性</w:t>
      </w:r>
      <w:bookmarkEnd w:id="211"/>
    </w:p>
    <w:p>
      <w:pPr>
        <w:ind w:firstLine="640" w:firstLineChars="0"/>
        <w:rPr>
          <w:rFonts w:hint="eastAsia" w:ascii="仿宋" w:hAnsi="仿宋" w:eastAsia="仿宋" w:cs="仿宋"/>
          <w:b w:val="0"/>
          <w:bCs/>
          <w:color w:val="000000"/>
          <w:kern w:val="0"/>
          <w:sz w:val="32"/>
          <w:szCs w:val="32"/>
          <w:lang w:val="en-US" w:eastAsia="zh-CN" w:bidi="en-US"/>
        </w:rPr>
      </w:pPr>
      <w:r>
        <w:rPr>
          <w:rFonts w:hint="eastAsia" w:ascii="仿宋" w:hAnsi="仿宋" w:eastAsia="仿宋" w:cs="仿宋"/>
          <w:b w:val="0"/>
          <w:bCs/>
          <w:color w:val="000000"/>
          <w:kern w:val="0"/>
          <w:sz w:val="32"/>
          <w:szCs w:val="32"/>
          <w:lang w:val="en-US" w:eastAsia="zh-CN" w:bidi="en-US"/>
        </w:rPr>
        <w:t>通过在城乡主要道路、公共场所、居民聚居区等关键部位安装监控摄像头，实现对区域的实时动态监控，能及时发现各类违法犯罪行为，对犯罪分子形成强大威慑，降低发案率。一旦发生案件，雪亮工程的监控视频能为警方提供重要线索和证据，有助于快速破案，提高社会治安水平。可以对自然灾害、公共卫生事件等突发公共安全事件进行实时监测和预警。例如在发生火灾、地质灾害时，能及时发现灾情，为相关部门采取应急措施争取时间，减少灾害损失。有助于加强对城市交通的管理，通过监控交通流量、违法停车等情况，优化交通组织，提高通行效率，减少交通事故。为城市管理部门提供城市运行状况的实时信息，如环境卫生、市容市貌等方面，便于及时发现问题并进行处理，提升城市精细化管理水平。</w:t>
      </w:r>
    </w:p>
    <w:p>
      <w:pPr>
        <w:ind w:firstLine="640" w:firstLineChars="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本项目的实施符合国情需要，雪亮工程让居民切实感受到安全保障，知道自己生活的环境处于有效监控和保护之下，从而增强对社会治安的信心，提升居民的幸福感和满意度。这种安全感也有利于促进社会和谐稳定，</w:t>
      </w:r>
      <w:r>
        <w:rPr>
          <w:rFonts w:hint="eastAsia" w:ascii="仿宋" w:hAnsi="仿宋" w:eastAsia="仿宋" w:cs="仿宋"/>
          <w:b w:val="0"/>
          <w:bCs/>
          <w:color w:val="000000"/>
          <w:kern w:val="0"/>
          <w:sz w:val="32"/>
          <w:szCs w:val="32"/>
          <w:highlight w:val="none"/>
          <w:lang w:val="en-US" w:eastAsia="zh-CN" w:bidi="en-US"/>
        </w:rPr>
        <w:t>营造良好的社会</w:t>
      </w:r>
      <w:r>
        <w:rPr>
          <w:rFonts w:hint="eastAsia" w:ascii="仿宋" w:hAnsi="仿宋" w:eastAsia="仿宋" w:cs="仿宋"/>
          <w:b w:val="0"/>
          <w:bCs/>
          <w:color w:val="000000"/>
          <w:kern w:val="0"/>
          <w:sz w:val="32"/>
          <w:szCs w:val="32"/>
          <w:lang w:val="en-US" w:eastAsia="zh-CN" w:bidi="en-US"/>
        </w:rPr>
        <w:t>氛围，吸引更多投资和人才，推动区域经济社会发展。根据评分标准，总分4分，得4分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ind w:firstLineChars="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该项目通过构建视频监控网络，为整个区域提供了全方位的安全防护。在预防和打击犯罪方面，能有效降低犯罪率，保障居民的生命和财产安全。同时，在应对自然灾害、公共卫生事件等紧急情况时，可实时监测并提供关键信息，助力应急指挥和救援工作，减少灾害损失。雪亮工程有助于优化交通管理，通过监控交通流量和违法行为，改善交通状况，保障居民出行安全和顺畅。此外，还能为寻找走失人员、遗失物品等提供帮助，解决居民生活中的实际问题，提升居民的生活质量。项目覆盖金口河区的各个区域，包括农村和偏远地区，使全体居民都能平等地享受安全保障服务，缩小城乡安全保障差距，促进社会公平正义</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本项目的实施为政府部门提供了丰富的实时数据和信息，有助于实现精准治理和科学决策。城市管理部门可据此优化公共资源配置，加强对环境卫生、市容市貌的管理，提升整个区域的社会治理水平和文明程度，使广大居民受益。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pPr>
        <w:ind w:firstLineChars="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通过监控系统对违法犯罪行为的有效威慑和及时发现，减少了案件发生数量，从而降低了警方破案、追赃以及后续司法程序等方面的成本。同时，也减少了因犯罪行为给社会和居民带来的经济损失，如盗窃、抢劫等案件导致的财产损失。在应对突发事件时，雪亮工程能够提供实时准确的现场信息，使相关部门能够快速做出决策并采取行动，提高应急处置效率，降低应急处置成本。例如在火灾、交通事故等紧急情况下，能够快速定位事发地点，合理调配救援资源，减少灾害损失和救援时间。良好的社会治安环境是经济发展的重要基础，雪亮工程的实施提升了金口河区的整体安全形象，增强了投资者和企业的信心，有利于吸引更多的投资和项目落地，促进当地经济的繁荣发展。同时，安全的环境也有利于旅游业等服务业的发展，吸引更多游客前来观光旅游，带动相关产业的发展</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的存在促使居民自觉遵守法律法规和社会公德，减少不文明行为的发生。随着时间的推移，有助于形成良好的社会风气，提升整个区域的社会文明程度，为社会发展营造积极向上的氛围。这种社会文明程度的提升也会带来无形的收益，如提高居民的生活质量、增强区域的吸引力和竞争力等。根据评分标准，总分8分，得8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12" w:name="_Toc10016"/>
      <w:bookmarkStart w:id="213" w:name="_Toc12059"/>
      <w:r>
        <w:rPr>
          <w:rFonts w:hint="eastAsia" w:ascii="楷体" w:hAnsi="楷体" w:cs="楷体"/>
          <w:b w:val="0"/>
          <w:bCs/>
          <w:color w:val="000000"/>
          <w:kern w:val="0"/>
          <w:sz w:val="32"/>
          <w:szCs w:val="32"/>
          <w:lang w:val="en-US" w:eastAsia="zh-CN" w:bidi="en-US"/>
        </w:rPr>
        <w:t>（二）</w:t>
      </w:r>
      <w:r>
        <w:rPr>
          <w:rFonts w:hint="eastAsia" w:ascii="楷体" w:hAnsi="楷体" w:eastAsia="楷体" w:cs="楷体"/>
          <w:b w:val="0"/>
          <w:bCs/>
          <w:color w:val="000000"/>
          <w:kern w:val="0"/>
          <w:sz w:val="32"/>
          <w:szCs w:val="32"/>
          <w:lang w:val="en-US" w:eastAsia="zh-CN" w:bidi="en-US"/>
        </w:rPr>
        <w:t>项</w:t>
      </w:r>
      <w:r>
        <w:rPr>
          <w:rFonts w:hint="eastAsia" w:ascii="楷体" w:hAnsi="楷体" w:eastAsia="楷体" w:cs="楷体"/>
          <w:b w:val="0"/>
          <w:bCs/>
          <w:color w:val="000000"/>
          <w:kern w:val="0"/>
          <w:sz w:val="32"/>
          <w:szCs w:val="32"/>
          <w:lang w:val="en-US" w:eastAsia="zh-CN" w:bidi="en-US"/>
        </w:rPr>
        <w:t>目实施合规性与项目成熟度</w:t>
      </w:r>
      <w:bookmarkEnd w:id="212"/>
      <w:bookmarkEnd w:id="213"/>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项目实施合规性与项目成熟度方面，指标总分18分，评估得分18分。具体如下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1.实施合规性</w:t>
      </w:r>
    </w:p>
    <w:p>
      <w:pPr>
        <w:ind w:firstLine="640"/>
        <w:rPr>
          <w:rFonts w:hint="eastAsia" w:ascii="仿宋" w:hAnsi="仿宋" w:eastAsia="仿宋" w:cs="仿宋"/>
          <w:b w:val="0"/>
          <w:bCs/>
          <w:color w:val="000000"/>
          <w:kern w:val="0"/>
          <w:sz w:val="32"/>
          <w:szCs w:val="32"/>
          <w:lang w:val="en-US" w:eastAsia="zh-CN" w:bidi="en-US"/>
        </w:rPr>
      </w:pPr>
      <w:r>
        <w:rPr>
          <w:rFonts w:hint="eastAsia" w:ascii="仿宋" w:hAnsi="仿宋" w:eastAsia="仿宋" w:cs="仿宋"/>
          <w:b w:val="0"/>
          <w:bCs/>
          <w:color w:val="000000"/>
          <w:kern w:val="0"/>
          <w:sz w:val="32"/>
          <w:szCs w:val="32"/>
          <w:lang w:val="en-US" w:eastAsia="zh-CN" w:bidi="en-US"/>
        </w:rPr>
        <w:t>项目为延续性项目，</w:t>
      </w:r>
      <w:r>
        <w:rPr>
          <w:rFonts w:hint="eastAsia" w:ascii="仿宋" w:hAnsi="仿宋" w:eastAsia="仿宋" w:cs="仿宋"/>
          <w:b w:val="0"/>
          <w:bCs/>
          <w:color w:val="000000"/>
          <w:sz w:val="32"/>
          <w:szCs w:val="32"/>
          <w:lang w:val="en-US" w:eastAsia="zh-CN" w:bidi="en-US"/>
        </w:rPr>
        <w:t>乐山市公安局金口河区分局</w:t>
      </w:r>
      <w:r>
        <w:rPr>
          <w:rFonts w:hint="eastAsia" w:ascii="仿宋" w:hAnsi="仿宋" w:eastAsia="仿宋" w:cs="仿宋"/>
          <w:b w:val="0"/>
          <w:bCs/>
          <w:color w:val="000000"/>
          <w:kern w:val="0"/>
          <w:sz w:val="32"/>
          <w:szCs w:val="32"/>
          <w:lang w:val="en-US" w:eastAsia="zh-CN" w:bidi="en-US"/>
        </w:rPr>
        <w:t>于2017年通过招投标确定移动乐山分公司实施雪亮工程项目，2023年合同到期后，经中共乐山市公安局金口河区分局委员会三次党委(扩大)会议纪要同意与移动乐山分公司续签租赁服务至2025年2月28日。“三期天网”建设前期筹备工作已就绪，正积极推进中，预计于6月建成投入使用。</w:t>
      </w:r>
      <w:r>
        <w:rPr>
          <w:rFonts w:hint="eastAsia" w:ascii="仿宋" w:hAnsi="仿宋" w:eastAsia="仿宋" w:cs="仿宋"/>
          <w:b w:val="0"/>
          <w:bCs/>
          <w:color w:val="000000"/>
          <w:sz w:val="32"/>
          <w:szCs w:val="32"/>
          <w:lang w:val="en-US" w:eastAsia="zh-CN" w:bidi="en-US"/>
        </w:rPr>
        <w:t>乐山市公安局金口河区分局</w:t>
      </w:r>
      <w:r>
        <w:rPr>
          <w:rFonts w:hint="eastAsia" w:ascii="仿宋" w:hAnsi="仿宋" w:eastAsia="仿宋" w:cs="仿宋"/>
          <w:b w:val="0"/>
          <w:bCs/>
          <w:color w:val="000000"/>
          <w:kern w:val="0"/>
          <w:sz w:val="32"/>
          <w:szCs w:val="32"/>
          <w:lang w:val="en-US" w:eastAsia="zh-CN" w:bidi="en-US"/>
        </w:rPr>
        <w:t>根据实际需要，报经主要领导同意，拟过渡期租用该服务3个月。</w:t>
      </w:r>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2.项目成熟度</w:t>
      </w:r>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通过广泛应用先进的监控技术和智能分析系统，能实时监控全区各个乡镇、村的重要路口与路段，真正实现治安防控的全覆盖和无死角，让潜在安全隐患无处遁形，可有效预防和打击犯罪。监测范围覆盖区内三条重点流域和37处山洪灾害危险区，能为灾害风险研判及预警发布提供科学依据，助力应急指挥和救援工作，同时也有助于加强城市管理，优化交通组织等。借助东西部协作机制和资金支持，为项目的升级改造提供了有力的资金保障，确保项目顺利推进</w:t>
      </w:r>
      <w:r>
        <w:rPr>
          <w:rFonts w:hint="eastAsia" w:ascii="仿宋" w:hAnsi="仿宋" w:eastAsia="仿宋" w:cs="仿宋"/>
          <w:szCs w:val="32"/>
          <w:lang w:eastAsia="zh-CN"/>
        </w:rPr>
        <w:t>。</w:t>
      </w:r>
    </w:p>
    <w:p>
      <w:pPr>
        <w:ind w:firstLine="640"/>
        <w:rPr>
          <w:rFonts w:hint="default" w:ascii="仿宋" w:hAnsi="仿宋" w:eastAsia="仿宋" w:cs="仿宋"/>
          <w:szCs w:val="32"/>
          <w:lang w:val="en-US" w:eastAsia="zh-CN"/>
        </w:rPr>
      </w:pPr>
      <w:r>
        <w:rPr>
          <w:rFonts w:hint="eastAsia" w:ascii="仿宋" w:hAnsi="仿宋" w:eastAsia="仿宋" w:cs="仿宋"/>
          <w:b w:val="0"/>
          <w:bCs/>
          <w:color w:val="000000"/>
          <w:kern w:val="0"/>
          <w:sz w:val="32"/>
          <w:szCs w:val="32"/>
          <w:lang w:val="en-US" w:eastAsia="zh-CN" w:bidi="en-US"/>
        </w:rPr>
        <w:t>该项目由</w:t>
      </w:r>
      <w:r>
        <w:rPr>
          <w:rFonts w:hint="eastAsia" w:ascii="仿宋" w:hAnsi="仿宋" w:eastAsia="仿宋" w:cs="仿宋"/>
          <w:b w:val="0"/>
          <w:bCs/>
          <w:color w:val="000000"/>
          <w:kern w:val="0"/>
          <w:sz w:val="32"/>
          <w:szCs w:val="32"/>
          <w:highlight w:val="none"/>
          <w:lang w:val="en-US" w:eastAsia="zh-CN" w:bidi="en-US"/>
        </w:rPr>
        <w:t>中共乐山市金口河区委政法委员会</w:t>
      </w:r>
      <w:r>
        <w:rPr>
          <w:rFonts w:hint="eastAsia" w:ascii="仿宋" w:hAnsi="仿宋" w:eastAsia="仿宋" w:cs="仿宋"/>
          <w:b w:val="0"/>
          <w:bCs/>
          <w:color w:val="000000"/>
          <w:kern w:val="0"/>
          <w:sz w:val="32"/>
          <w:szCs w:val="32"/>
          <w:lang w:val="en-US" w:eastAsia="zh-CN" w:bidi="en-US"/>
        </w:rPr>
        <w:t>负责组织实施，在项目规划、采购、建设、后续监管等方面进行了有效的组织和管理；金口河区公安分局制定了《乐山市公安局金口河区分局视频监控运维考核办法》，明确了维护服务内容和措施明，同时专门设置了《服务考核明细表》，对每项服务内容的考核要求均做了详细说明，保障了项目的有序开展</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综上，该项目审批手续完善，项目成熟度高。根据评分标准，总分9分，得9分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14" w:name="_Toc10489"/>
      <w:bookmarkStart w:id="215" w:name="_Toc27007"/>
      <w:r>
        <w:rPr>
          <w:rFonts w:hint="eastAsia" w:ascii="楷体" w:hAnsi="楷体" w:cs="楷体"/>
          <w:b w:val="0"/>
          <w:bCs/>
          <w:color w:val="000000"/>
          <w:kern w:val="0"/>
          <w:sz w:val="32"/>
          <w:szCs w:val="32"/>
          <w:lang w:val="en-US" w:eastAsia="zh-CN" w:bidi="en-US"/>
        </w:rPr>
        <w:t>（三）</w:t>
      </w:r>
      <w:r>
        <w:rPr>
          <w:rFonts w:hint="eastAsia" w:ascii="楷体" w:hAnsi="楷体" w:eastAsia="楷体" w:cs="楷体"/>
          <w:b w:val="0"/>
          <w:bCs/>
          <w:color w:val="000000"/>
          <w:kern w:val="0"/>
          <w:sz w:val="32"/>
          <w:szCs w:val="32"/>
          <w:lang w:val="en-US" w:eastAsia="zh-CN" w:bidi="en-US"/>
        </w:rPr>
        <w:t>项目资金来源和到位可行性</w:t>
      </w:r>
      <w:bookmarkEnd w:id="214"/>
      <w:bookmarkEnd w:id="215"/>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项目资金来源和到位可行性方面，指标总分12分，评估得分12分。具体如下</w:t>
      </w:r>
      <w:r>
        <w:rPr>
          <w:rFonts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雪亮工程作为公共安全领域的项目，其资金由政府财政预算安排。该项目由</w:t>
      </w:r>
      <w:r>
        <w:rPr>
          <w:rFonts w:hint="eastAsia" w:ascii="仿宋" w:hAnsi="仿宋" w:eastAsia="仿宋" w:cs="仿宋"/>
          <w:b w:val="0"/>
          <w:bCs/>
          <w:color w:val="000000"/>
          <w:kern w:val="0"/>
          <w:sz w:val="32"/>
          <w:szCs w:val="32"/>
          <w:highlight w:val="none"/>
          <w:lang w:val="en-US" w:eastAsia="zh-CN" w:bidi="en-US"/>
        </w:rPr>
        <w:t>中共乐山市金口河区委政法委员会</w:t>
      </w:r>
      <w:r>
        <w:rPr>
          <w:rFonts w:hint="eastAsia" w:ascii="仿宋" w:hAnsi="仿宋" w:eastAsia="仿宋" w:cs="仿宋"/>
          <w:b w:val="0"/>
          <w:bCs/>
          <w:color w:val="000000"/>
          <w:kern w:val="0"/>
          <w:sz w:val="32"/>
          <w:szCs w:val="32"/>
          <w:lang w:val="en-US" w:eastAsia="zh-CN" w:bidi="en-US"/>
        </w:rPr>
        <w:t>负责组织实施，金口河区公安分局负责对运行情况进行监督考核。资金来源渠道符合相关规定，资金筹措程序符合科学规范。根据评分标准，总分3分，得3分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ind w:firstLine="640"/>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是加强社会治安防控体系建设的重要举措，金口河区政府对该项目高度重视，将其作为提升区域安全和社会治理水平的关键项目。政府的积极推动和政策支持为项目资金的到位提供了有力的政策保障。雪亮工程作为公共安全领域的项目，其资金由政府财政预算安排。截止绩效评价前雪亮工程租赁费项目资金已全部到位，具有明确的到位时间。通过财政资金支付凭证，经相关人员签字确定后通过国库集中支付，具备资金拨付相关条件。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16" w:name="OLE_LINK5"/>
      <w:bookmarkStart w:id="217" w:name="_Toc11093"/>
      <w:bookmarkStart w:id="218" w:name="_Toc9784"/>
      <w:r>
        <w:rPr>
          <w:rFonts w:hint="eastAsia" w:ascii="楷体" w:hAnsi="楷体" w:cs="楷体"/>
          <w:b w:val="0"/>
          <w:bCs/>
          <w:color w:val="000000"/>
          <w:kern w:val="0"/>
          <w:sz w:val="32"/>
          <w:szCs w:val="32"/>
          <w:lang w:val="en-US" w:eastAsia="zh-CN" w:bidi="en-US"/>
        </w:rPr>
        <w:t>（四）</w:t>
      </w:r>
      <w:r>
        <w:rPr>
          <w:rFonts w:hint="eastAsia" w:ascii="楷体" w:hAnsi="楷体" w:eastAsia="楷体" w:cs="楷体"/>
          <w:b w:val="0"/>
          <w:bCs/>
          <w:color w:val="000000"/>
          <w:kern w:val="0"/>
          <w:sz w:val="32"/>
          <w:szCs w:val="32"/>
          <w:lang w:val="en-US" w:eastAsia="zh-CN" w:bidi="en-US"/>
        </w:rPr>
        <w:t>资金使用计划合理性</w:t>
      </w:r>
      <w:bookmarkEnd w:id="216"/>
      <w:r>
        <w:rPr>
          <w:rFonts w:hint="eastAsia" w:ascii="楷体" w:hAnsi="楷体" w:eastAsia="楷体" w:cs="楷体"/>
          <w:b w:val="0"/>
          <w:bCs/>
          <w:color w:val="000000"/>
          <w:kern w:val="0"/>
          <w:sz w:val="32"/>
          <w:szCs w:val="32"/>
          <w:lang w:val="en-US" w:eastAsia="zh-CN" w:bidi="en-US"/>
        </w:rPr>
        <w:t>、资金到位及时性</w:t>
      </w:r>
      <w:bookmarkEnd w:id="217"/>
      <w:bookmarkEnd w:id="218"/>
    </w:p>
    <w:p>
      <w:pPr>
        <w:ind w:firstLine="640"/>
        <w:rPr>
          <w:rFonts w:hint="eastAsia" w:ascii="仿宋" w:hAnsi="仿宋" w:eastAsia="仿宋" w:cs="仿宋"/>
          <w:szCs w:val="32"/>
          <w:lang w:eastAsia="zh-CN"/>
        </w:rPr>
      </w:pPr>
      <w:r>
        <w:rPr>
          <w:rFonts w:hint="eastAsia" w:ascii="仿宋" w:hAnsi="仿宋" w:eastAsia="仿宋" w:cs="仿宋"/>
          <w:szCs w:val="32"/>
          <w:lang w:eastAsia="zh-CN"/>
        </w:rPr>
        <w:t>资金使用计划合理性、资金到位及时性方面，</w:t>
      </w:r>
      <w:r>
        <w:rPr>
          <w:rFonts w:ascii="仿宋" w:hAnsi="仿宋" w:eastAsia="仿宋" w:cs="仿宋"/>
          <w:szCs w:val="32"/>
          <w:lang w:eastAsia="zh-CN"/>
        </w:rPr>
        <w:t>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9</w:t>
      </w:r>
      <w:r>
        <w:rPr>
          <w:rFonts w:ascii="仿宋" w:hAnsi="仿宋" w:eastAsia="仿宋" w:cs="仿宋"/>
          <w:szCs w:val="32"/>
          <w:lang w:eastAsia="zh-CN"/>
        </w:rPr>
        <w:t>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pPr>
        <w:ind w:firstLine="640"/>
        <w:rPr>
          <w:rFonts w:hint="eastAsia" w:ascii="仿宋" w:hAnsi="仿宋" w:eastAsia="仿宋" w:cs="仿宋"/>
          <w:bCs/>
          <w:szCs w:val="32"/>
          <w:lang w:val="en-US" w:eastAsia="zh-CN"/>
        </w:rPr>
      </w:pPr>
      <w:r>
        <w:rPr>
          <w:rFonts w:hint="eastAsia" w:ascii="仿宋" w:hAnsi="仿宋" w:eastAsia="仿宋" w:cs="仿宋"/>
          <w:b w:val="0"/>
          <w:color w:val="000000"/>
          <w:kern w:val="44"/>
          <w:sz w:val="32"/>
          <w:szCs w:val="32"/>
          <w:lang w:val="en-US" w:eastAsia="zh-CN" w:bidi="en-US"/>
        </w:rPr>
        <w:t>根据中共乐山市公安局金口河区分局委员会2023年第32次、2024年第11次、2024年第20次三次党委(扩大)会议纪要同意，与</w:t>
      </w:r>
      <w:r>
        <w:rPr>
          <w:rFonts w:hint="eastAsia" w:ascii="仿宋" w:hAnsi="仿宋" w:eastAsia="仿宋" w:cs="仿宋"/>
          <w:b w:val="0"/>
          <w:bCs/>
          <w:color w:val="000000"/>
          <w:sz w:val="32"/>
          <w:szCs w:val="32"/>
          <w:lang w:val="en-US" w:eastAsia="zh-CN" w:bidi="en-US"/>
        </w:rPr>
        <w:t>移动乐山分公司</w:t>
      </w:r>
      <w:r>
        <w:rPr>
          <w:rFonts w:hint="eastAsia" w:ascii="仿宋" w:hAnsi="仿宋" w:eastAsia="仿宋" w:cs="仿宋"/>
          <w:b w:val="0"/>
          <w:color w:val="000000"/>
          <w:kern w:val="44"/>
          <w:sz w:val="32"/>
          <w:szCs w:val="32"/>
          <w:lang w:val="en-US" w:eastAsia="zh-CN" w:bidi="en-US"/>
        </w:rPr>
        <w:t>续签“雪亮”工程服务合同，每月服务费2.5万元，一年即30万元，用于支付2025年1-2月雪亮工程租赁费，以及过渡期移动乐山分公司传输费用和中国电信股份有限公司乐山分公司运维服务费用</w:t>
      </w:r>
      <w:r>
        <w:rPr>
          <w:rFonts w:hint="eastAsia" w:ascii="仿宋" w:hAnsi="仿宋" w:eastAsia="仿宋" w:cs="仿宋"/>
          <w:bCs/>
          <w:szCs w:val="32"/>
          <w:lang w:val="en-US" w:eastAsia="zh-CN"/>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支付移动乐山分公司2025年1-2月雪亮工程租赁费使用计划合理；支付三个月过渡期传输费用和运维服务费用7.422万元存在不确定性，资金使用计划合理性存在瑕疵。根据</w:t>
      </w:r>
      <w:r>
        <w:rPr>
          <w:rFonts w:hint="eastAsia" w:ascii="仿宋" w:hAnsi="仿宋" w:eastAsia="仿宋" w:cs="仿宋"/>
          <w:b w:val="0"/>
          <w:color w:val="000000"/>
          <w:kern w:val="44"/>
          <w:sz w:val="32"/>
          <w:szCs w:val="32"/>
          <w:highlight w:val="none"/>
          <w:lang w:val="en-US" w:eastAsia="zh-CN" w:bidi="en-US"/>
        </w:rPr>
        <w:t>评</w:t>
      </w:r>
      <w:r>
        <w:rPr>
          <w:rFonts w:hint="eastAsia" w:ascii="仿宋" w:hAnsi="仿宋" w:eastAsia="仿宋" w:cs="仿宋"/>
          <w:b w:val="0"/>
          <w:color w:val="000000"/>
          <w:kern w:val="44"/>
          <w:sz w:val="32"/>
          <w:szCs w:val="32"/>
          <w:lang w:val="en-US" w:eastAsia="zh-CN" w:bidi="en-US"/>
        </w:rPr>
        <w:t>分标准，总分6分，得3分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w:t>
      </w:r>
      <w:r>
        <w:rPr>
          <w:rFonts w:hint="eastAsia" w:ascii="仿宋" w:hAnsi="仿宋" w:eastAsia="仿宋" w:cs="仿宋"/>
          <w:b w:val="0"/>
          <w:color w:val="000000"/>
          <w:kern w:val="44"/>
          <w:sz w:val="32"/>
          <w:szCs w:val="32"/>
          <w:lang w:val="en-US" w:eastAsia="zh-CN" w:bidi="en-US"/>
        </w:rPr>
        <w:t>金到位及时性</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项目资金全部为政府资金，总投资估算30万元。根据金口河区公安分局提供的2023年-2024年支付凭证等财务相关资料显示，资金足额到位且到位及时。根据评分标准，总分6分，得6分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19" w:name="_Toc30218"/>
      <w:bookmarkStart w:id="220" w:name="_Toc28093"/>
      <w:r>
        <w:rPr>
          <w:rFonts w:hint="eastAsia" w:ascii="楷体" w:hAnsi="楷体" w:cs="楷体"/>
          <w:b w:val="0"/>
          <w:bCs/>
          <w:color w:val="000000"/>
          <w:kern w:val="0"/>
          <w:sz w:val="32"/>
          <w:szCs w:val="32"/>
          <w:lang w:val="en-US" w:eastAsia="zh-CN" w:bidi="en-US"/>
        </w:rPr>
        <w:t>（五）</w:t>
      </w:r>
      <w:r>
        <w:rPr>
          <w:rFonts w:hint="eastAsia" w:ascii="楷体" w:hAnsi="楷体" w:eastAsia="楷体" w:cs="楷体"/>
          <w:b w:val="0"/>
          <w:bCs/>
          <w:color w:val="000000"/>
          <w:kern w:val="0"/>
          <w:sz w:val="32"/>
          <w:szCs w:val="32"/>
          <w:lang w:val="en-US" w:eastAsia="zh-CN" w:bidi="en-US"/>
        </w:rPr>
        <w:t>项目绩效目标明确性、合理性</w:t>
      </w:r>
      <w:bookmarkEnd w:id="219"/>
      <w:bookmarkEnd w:id="220"/>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绩效目标明确性、合理性</w:t>
      </w:r>
      <w:bookmarkStart w:id="221" w:name="OLE_LINK6"/>
      <w:r>
        <w:rPr>
          <w:rFonts w:hint="eastAsia" w:ascii="仿宋" w:hAnsi="仿宋" w:eastAsia="仿宋" w:cs="仿宋"/>
          <w:b w:val="0"/>
          <w:color w:val="000000"/>
          <w:kern w:val="44"/>
          <w:sz w:val="32"/>
          <w:szCs w:val="32"/>
          <w:lang w:val="en-US" w:eastAsia="zh-CN" w:bidi="en-US"/>
        </w:rPr>
        <w:t>方面，指标总分12分，评估得分12分。具体如下</w:t>
      </w:r>
      <w:r>
        <w:rPr>
          <w:rFonts w:hint="eastAsia" w:ascii="仿宋" w:hAnsi="仿宋" w:eastAsia="仿宋" w:cs="仿宋"/>
          <w:szCs w:val="32"/>
          <w:lang w:eastAsia="zh-CN"/>
        </w:rPr>
        <w:t>：</w:t>
      </w:r>
      <w:bookmarkEnd w:id="221"/>
    </w:p>
    <w:p>
      <w:pPr>
        <w:ind w:firstLine="640"/>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本次事前绩效评估根据《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进行，按照事前评估应当遵守的基本内容设计本项目个性评价指标，确保绩效目标可评、可量、可用于指导项目实施阶段绩效评价</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该项目绩效目标设定明确，与年度工作目标一致，并且绩效目标的编制内容符合《项目支出绩效评价管理办法》（财预〔2020〕10号文）政策规定，与项目内容高度相关。根据评分标准，总分6分，得6分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2.目标合理性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，本项目绩效目标重点反映了雪亮工程租赁费的产出数量、质量、时效、成本，还包括社会效益、可持续影响、满意度等绩效指标。</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通过项目的实施，有利于提高“平安金口河”视频监控系统稳定运行，更好的服务公安机关社会治安综合治理，提高打、防、管、控能力和水平。建立完善的“天网”视频业务巡检，维护保障体系，实施各类操作规范、流程，建立专业维护服务队伍，提供专业、快捷、优质的服务，为公安视频监控提供便利有效的管理方式，提高运维服务商的运维服务质量，保障视频监控运行的稳定可靠</w:t>
      </w:r>
      <w:r>
        <w:rPr>
          <w:rFonts w:hint="eastAsia" w:ascii="仿宋_GB2312" w:hAnsi="Times New Roman" w:eastAsia="仿宋_GB2312" w:cs="仿宋_GB2312"/>
          <w:color w:val="000000"/>
          <w:sz w:val="32"/>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因此，本项目的绩效目标合理，指标细化、量化、合理可考核。根据评分标准，总分6分，得6分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22" w:name="_Toc22418"/>
      <w:bookmarkStart w:id="223" w:name="_Toc26240"/>
      <w:r>
        <w:rPr>
          <w:rFonts w:hint="eastAsia" w:ascii="楷体" w:hAnsi="楷体" w:cs="楷体"/>
          <w:b w:val="0"/>
          <w:bCs/>
          <w:color w:val="000000"/>
          <w:kern w:val="0"/>
          <w:sz w:val="32"/>
          <w:szCs w:val="32"/>
          <w:lang w:val="en-US" w:eastAsia="zh-CN" w:bidi="en-US"/>
        </w:rPr>
        <w:t>（六）</w:t>
      </w:r>
      <w:r>
        <w:rPr>
          <w:rFonts w:hint="eastAsia" w:ascii="楷体" w:hAnsi="楷体" w:eastAsia="楷体" w:cs="楷体"/>
          <w:b w:val="0"/>
          <w:bCs/>
          <w:color w:val="000000"/>
          <w:kern w:val="0"/>
          <w:sz w:val="32"/>
          <w:szCs w:val="32"/>
          <w:lang w:val="en-US" w:eastAsia="zh-CN" w:bidi="en-US"/>
        </w:rPr>
        <w:t>项目考核办法执行有效性</w:t>
      </w:r>
      <w:bookmarkEnd w:id="222"/>
      <w:bookmarkEnd w:id="223"/>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项目考核办法执行有效性方面，指标总分8分，评估得分8分。具体如下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乐山市金口河区公安分局根据其制定的《乐山市公安局金口河区分局视频监控运维考核办法》对雪亮工程运行情况进行运维考核。</w:t>
      </w:r>
      <w:r>
        <w:rPr>
          <w:rFonts w:hint="default" w:ascii="仿宋" w:hAnsi="仿宋" w:eastAsia="仿宋" w:cs="仿宋"/>
          <w:b w:val="0"/>
          <w:color w:val="000000"/>
          <w:kern w:val="44"/>
          <w:sz w:val="32"/>
          <w:szCs w:val="32"/>
          <w:lang w:val="en-US" w:eastAsia="zh-CN" w:bidi="en-US"/>
        </w:rPr>
        <w:t>通过严格考核机制，督促运维团队加强设备巡检维护，前端视频点位和抓拍设备的运行稳定性大幅提升。自雪亮工程升级改造项目完成后，设备平均故障发生率较之前</w:t>
      </w:r>
      <w:r>
        <w:rPr>
          <w:rFonts w:hint="eastAsia" w:ascii="仿宋" w:hAnsi="仿宋" w:eastAsia="仿宋" w:cs="仿宋"/>
          <w:b w:val="0"/>
          <w:color w:val="000000"/>
          <w:kern w:val="44"/>
          <w:sz w:val="32"/>
          <w:szCs w:val="32"/>
          <w:lang w:val="en-US" w:eastAsia="zh-CN" w:bidi="en-US"/>
        </w:rPr>
        <w:t>有所</w:t>
      </w:r>
      <w:r>
        <w:rPr>
          <w:rFonts w:hint="default" w:ascii="仿宋" w:hAnsi="仿宋" w:eastAsia="仿宋" w:cs="仿宋"/>
          <w:b w:val="0"/>
          <w:color w:val="000000"/>
          <w:kern w:val="44"/>
          <w:sz w:val="32"/>
          <w:szCs w:val="32"/>
          <w:lang w:val="en-US" w:eastAsia="zh-CN" w:bidi="en-US"/>
        </w:rPr>
        <w:t>降低，且故障响应时间缩短，保障了监控的持续有效运行，为治安防控提供了坚实基础。</w:t>
      </w:r>
      <w:r>
        <w:rPr>
          <w:rFonts w:hint="eastAsia" w:ascii="仿宋" w:hAnsi="仿宋" w:eastAsia="仿宋" w:cs="仿宋"/>
          <w:b w:val="0"/>
          <w:color w:val="000000"/>
          <w:kern w:val="44"/>
          <w:sz w:val="32"/>
          <w:szCs w:val="32"/>
          <w:lang w:val="en-US" w:eastAsia="zh-CN" w:bidi="en-US"/>
        </w:rPr>
        <w:t>但</w:t>
      </w:r>
      <w:r>
        <w:rPr>
          <w:rFonts w:hint="default" w:ascii="仿宋" w:hAnsi="仿宋" w:eastAsia="仿宋" w:cs="仿宋"/>
          <w:b w:val="0"/>
          <w:color w:val="000000"/>
          <w:kern w:val="44"/>
          <w:sz w:val="32"/>
          <w:szCs w:val="32"/>
          <w:lang w:val="en-US" w:eastAsia="zh-CN" w:bidi="en-US"/>
        </w:rPr>
        <w:t>部分考核指标较为笼统，缺乏针对不同设备类型、应用场景的细分标准。例如对于不同位置摄像头的故障影响程度未作区分，难以精准衡量运维工作的实际成效，可能导致一些关键点位的运维重视不足。</w:t>
      </w:r>
      <w:r>
        <w:rPr>
          <w:rFonts w:hint="eastAsia" w:ascii="仿宋" w:hAnsi="仿宋" w:eastAsia="仿宋" w:cs="仿宋"/>
          <w:b w:val="0"/>
          <w:color w:val="000000"/>
          <w:kern w:val="44"/>
          <w:sz w:val="32"/>
          <w:szCs w:val="32"/>
          <w:lang w:val="en-US" w:eastAsia="zh-CN" w:bidi="en-US"/>
        </w:rPr>
        <w:t>根据评分标准，总分8分，得6分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24" w:name="_Toc9974"/>
      <w:bookmarkStart w:id="225" w:name="_Toc22324"/>
      <w:r>
        <w:rPr>
          <w:rFonts w:hint="eastAsia" w:ascii="楷体" w:hAnsi="楷体" w:cs="楷体"/>
          <w:b w:val="0"/>
          <w:bCs/>
          <w:color w:val="000000"/>
          <w:kern w:val="0"/>
          <w:sz w:val="32"/>
          <w:szCs w:val="32"/>
          <w:lang w:val="en-US" w:eastAsia="zh-CN" w:bidi="en-US"/>
        </w:rPr>
        <w:t>（七）</w:t>
      </w:r>
      <w:r>
        <w:rPr>
          <w:rFonts w:hint="eastAsia" w:ascii="楷体" w:hAnsi="楷体" w:eastAsia="楷体" w:cs="楷体"/>
          <w:b w:val="0"/>
          <w:bCs/>
          <w:color w:val="000000"/>
          <w:kern w:val="0"/>
          <w:sz w:val="32"/>
          <w:szCs w:val="32"/>
          <w:lang w:val="en-US" w:eastAsia="zh-CN" w:bidi="en-US"/>
        </w:rPr>
        <w:t>项目实施成果合格性</w:t>
      </w:r>
      <w:bookmarkEnd w:id="224"/>
      <w:bookmarkEnd w:id="225"/>
    </w:p>
    <w:p>
      <w:pPr>
        <w:ind w:firstLine="640"/>
        <w:rPr>
          <w:rFonts w:hint="eastAsia" w:ascii="仿宋" w:hAnsi="仿宋" w:eastAsia="仿宋" w:cs="仿宋"/>
          <w:szCs w:val="32"/>
          <w:lang w:eastAsia="zh-CN"/>
        </w:rPr>
      </w:pPr>
      <w:r>
        <w:rPr>
          <w:rFonts w:hint="default" w:ascii="仿宋" w:hAnsi="仿宋" w:eastAsia="仿宋" w:cs="仿宋"/>
          <w:b w:val="0"/>
          <w:color w:val="000000"/>
          <w:kern w:val="44"/>
          <w:sz w:val="32"/>
          <w:szCs w:val="32"/>
          <w:lang w:val="en-US" w:eastAsia="zh-CN" w:bidi="en-US"/>
        </w:rPr>
        <w:t>项目</w:t>
      </w:r>
      <w:r>
        <w:rPr>
          <w:rFonts w:hint="eastAsia" w:ascii="仿宋" w:hAnsi="仿宋" w:eastAsia="仿宋" w:cs="仿宋"/>
          <w:b w:val="0"/>
          <w:color w:val="000000"/>
          <w:kern w:val="44"/>
          <w:sz w:val="32"/>
          <w:szCs w:val="32"/>
          <w:lang w:val="en-US" w:eastAsia="zh-CN" w:bidi="en-US"/>
        </w:rPr>
        <w:t>实施成果合格性方面，指标总分10分，评估得分10分。具体如下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w:t>
      </w:r>
      <w:r>
        <w:rPr>
          <w:rFonts w:hint="default" w:ascii="仿宋" w:hAnsi="仿宋" w:eastAsia="仿宋" w:cs="仿宋"/>
          <w:b w:val="0"/>
          <w:color w:val="000000"/>
          <w:kern w:val="44"/>
          <w:sz w:val="32"/>
          <w:szCs w:val="32"/>
          <w:lang w:val="en-US" w:eastAsia="zh-CN" w:bidi="en-US"/>
        </w:rPr>
        <w:t>设备运行保障</w:t>
      </w:r>
      <w:r>
        <w:rPr>
          <w:rFonts w:hint="eastAsia" w:ascii="仿宋" w:hAnsi="仿宋" w:eastAsia="仿宋" w:cs="仿宋"/>
          <w:b w:val="0"/>
          <w:color w:val="000000"/>
          <w:kern w:val="44"/>
          <w:sz w:val="32"/>
          <w:szCs w:val="32"/>
          <w:lang w:val="en-US" w:eastAsia="zh-CN" w:bidi="en-US"/>
        </w:rPr>
        <w:t>合格性</w:t>
      </w:r>
    </w:p>
    <w:p>
      <w:pPr>
        <w:ind w:firstLine="640"/>
        <w:rPr>
          <w:rFonts w:hint="eastAsia" w:ascii="仿宋" w:hAnsi="仿宋" w:eastAsia="仿宋" w:cs="仿宋"/>
          <w:b w:val="0"/>
          <w:color w:val="000000"/>
          <w:kern w:val="44"/>
          <w:sz w:val="32"/>
          <w:szCs w:val="32"/>
          <w:lang w:val="en-US" w:eastAsia="zh-CN" w:bidi="en-US"/>
        </w:rPr>
      </w:pPr>
      <w:r>
        <w:rPr>
          <w:rFonts w:hint="default" w:ascii="仿宋" w:hAnsi="仿宋" w:eastAsia="仿宋" w:cs="仿宋"/>
          <w:b w:val="0"/>
          <w:color w:val="000000"/>
          <w:kern w:val="44"/>
          <w:sz w:val="32"/>
          <w:szCs w:val="32"/>
          <w:lang w:val="en-US" w:eastAsia="zh-CN" w:bidi="en-US"/>
        </w:rPr>
        <w:t>通过督促运维团队加强设备巡检维护，前端视频点位和抓拍设备的运行稳定性大幅提升。</w:t>
      </w:r>
      <w:r>
        <w:rPr>
          <w:rFonts w:hint="eastAsia" w:ascii="仿宋" w:hAnsi="仿宋" w:eastAsia="仿宋" w:cs="仿宋"/>
          <w:b w:val="0"/>
          <w:color w:val="000000"/>
          <w:kern w:val="44"/>
          <w:sz w:val="32"/>
          <w:szCs w:val="32"/>
          <w:lang w:val="en-US" w:eastAsia="zh-CN" w:bidi="en-US"/>
        </w:rPr>
        <w:t>雪亮工程设备正常运行率超95%，摄像头图像清晰、抓拍功能正常。设备采集的数据准确稳定，为公安执法、治安分析提供可靠依据。一般性故障确认后基本能在12小时内恢复，涉及设备硬件故障需要更换的，基本能在48小时内进行更换。</w:t>
      </w:r>
      <w:r>
        <w:rPr>
          <w:rFonts w:hint="default" w:ascii="仿宋" w:hAnsi="仿宋" w:eastAsia="仿宋" w:cs="仿宋"/>
          <w:b w:val="0"/>
          <w:color w:val="000000"/>
          <w:kern w:val="44"/>
          <w:sz w:val="32"/>
          <w:szCs w:val="32"/>
          <w:lang w:val="en-US" w:eastAsia="zh-CN" w:bidi="en-US"/>
        </w:rPr>
        <w:t>设备平均故障发生率较之前</w:t>
      </w:r>
      <w:r>
        <w:rPr>
          <w:rFonts w:hint="eastAsia" w:ascii="仿宋" w:hAnsi="仿宋" w:eastAsia="仿宋" w:cs="仿宋"/>
          <w:b w:val="0"/>
          <w:color w:val="000000"/>
          <w:kern w:val="44"/>
          <w:sz w:val="32"/>
          <w:szCs w:val="32"/>
          <w:lang w:val="en-US" w:eastAsia="zh-CN" w:bidi="en-US"/>
        </w:rPr>
        <w:t>有所</w:t>
      </w:r>
      <w:r>
        <w:rPr>
          <w:rFonts w:hint="default" w:ascii="仿宋" w:hAnsi="仿宋" w:eastAsia="仿宋" w:cs="仿宋"/>
          <w:b w:val="0"/>
          <w:color w:val="000000"/>
          <w:kern w:val="44"/>
          <w:sz w:val="32"/>
          <w:szCs w:val="32"/>
          <w:lang w:val="en-US" w:eastAsia="zh-CN" w:bidi="en-US"/>
        </w:rPr>
        <w:t>降低了，且故障响应时间缩短，保障了监控的持续有效运行，为治安防控提供了坚实基础。</w:t>
      </w:r>
      <w:bookmarkStart w:id="226" w:name="OLE_LINK8"/>
      <w:r>
        <w:rPr>
          <w:rFonts w:hint="eastAsia" w:ascii="仿宋" w:hAnsi="仿宋" w:eastAsia="仿宋" w:cs="仿宋"/>
          <w:b w:val="0"/>
          <w:color w:val="000000"/>
          <w:kern w:val="44"/>
          <w:sz w:val="32"/>
          <w:szCs w:val="32"/>
          <w:lang w:val="en-US" w:eastAsia="zh-CN" w:bidi="en-US"/>
        </w:rPr>
        <w:t>根据评分标准，总分5分，得5分。</w:t>
      </w:r>
      <w:bookmarkEnd w:id="226"/>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szCs w:val="32"/>
          <w:lang w:val="en-US" w:eastAsia="zh-CN"/>
        </w:rPr>
        <w:t>2.</w:t>
      </w:r>
      <w:r>
        <w:rPr>
          <w:rFonts w:hint="default" w:ascii="仿宋" w:hAnsi="仿宋" w:eastAsia="仿宋" w:cs="仿宋"/>
          <w:b w:val="0"/>
          <w:color w:val="000000"/>
          <w:kern w:val="44"/>
          <w:sz w:val="32"/>
          <w:szCs w:val="32"/>
          <w:lang w:val="en-US" w:eastAsia="zh-CN" w:bidi="en-US"/>
        </w:rPr>
        <w:t>应急处置能力</w:t>
      </w:r>
      <w:r>
        <w:rPr>
          <w:rFonts w:hint="eastAsia" w:ascii="仿宋" w:hAnsi="仿宋" w:eastAsia="仿宋" w:cs="仿宋"/>
          <w:b w:val="0"/>
          <w:color w:val="000000"/>
          <w:kern w:val="44"/>
          <w:sz w:val="32"/>
          <w:szCs w:val="32"/>
          <w:lang w:val="en-US" w:eastAsia="zh-CN" w:bidi="en-US"/>
        </w:rPr>
        <w:t>合格性</w:t>
      </w:r>
    </w:p>
    <w:p>
      <w:pPr>
        <w:ind w:firstLine="640"/>
        <w:rPr>
          <w:rFonts w:hint="eastAsia"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金口河区公安分局制定的《乐山市公安局金口河区分局视频监控运维考核办法》对雪亮工程运行情况进行运维考核。内容含盖</w:t>
      </w:r>
      <w:r>
        <w:rPr>
          <w:rFonts w:hint="default" w:ascii="仿宋" w:hAnsi="仿宋" w:eastAsia="仿宋" w:cs="仿宋"/>
          <w:b w:val="0"/>
          <w:color w:val="000000"/>
          <w:kern w:val="44"/>
          <w:sz w:val="32"/>
          <w:szCs w:val="32"/>
          <w:lang w:val="en-US" w:eastAsia="zh-CN" w:bidi="en-US"/>
        </w:rPr>
        <w:t>详细的应急处置考核标准，</w:t>
      </w:r>
      <w:r>
        <w:rPr>
          <w:rFonts w:hint="eastAsia" w:ascii="仿宋" w:hAnsi="仿宋" w:eastAsia="仿宋" w:cs="仿宋"/>
          <w:b w:val="0"/>
          <w:color w:val="000000"/>
          <w:kern w:val="44"/>
          <w:sz w:val="32"/>
          <w:szCs w:val="32"/>
          <w:lang w:val="en-US" w:eastAsia="zh-CN" w:bidi="en-US"/>
        </w:rPr>
        <w:t>定期组织应急演练，演练中模拟各类突发状况，能够熟练按照应急预案流程操作，有效协调配合，顺利完成演练任务。当设备出现</w:t>
      </w:r>
      <w:r>
        <w:rPr>
          <w:rFonts w:hint="default" w:ascii="仿宋" w:hAnsi="仿宋" w:eastAsia="仿宋" w:cs="仿宋"/>
          <w:b w:val="0"/>
          <w:color w:val="000000"/>
          <w:kern w:val="44"/>
          <w:sz w:val="32"/>
          <w:szCs w:val="32"/>
          <w:lang w:val="en-US" w:eastAsia="zh-CN" w:bidi="en-US"/>
        </w:rPr>
        <w:t>突发网络故障、设备损坏等情况，运维团队能够迅速响应</w:t>
      </w:r>
      <w:r>
        <w:rPr>
          <w:rFonts w:hint="eastAsia" w:ascii="仿宋" w:hAnsi="仿宋" w:eastAsia="仿宋" w:cs="仿宋"/>
          <w:b w:val="0"/>
          <w:color w:val="000000"/>
          <w:kern w:val="44"/>
          <w:sz w:val="32"/>
          <w:szCs w:val="32"/>
          <w:lang w:val="en-US" w:eastAsia="zh-CN" w:bidi="en-US"/>
        </w:rPr>
        <w:t>，在承诺的时间内做出响应并赶赴现场</w:t>
      </w:r>
      <w:r>
        <w:rPr>
          <w:rFonts w:hint="default" w:ascii="仿宋" w:hAnsi="仿宋" w:eastAsia="仿宋" w:cs="仿宋"/>
          <w:b w:val="0"/>
          <w:color w:val="000000"/>
          <w:kern w:val="44"/>
          <w:sz w:val="32"/>
          <w:szCs w:val="32"/>
          <w:lang w:val="en-US" w:eastAsia="zh-CN" w:bidi="en-US"/>
        </w:rPr>
        <w:t>，按照预案有序开展抢修工作。</w:t>
      </w:r>
      <w:r>
        <w:rPr>
          <w:rFonts w:hint="eastAsia" w:ascii="仿宋" w:hAnsi="仿宋" w:eastAsia="仿宋" w:cs="仿宋"/>
          <w:b w:val="0"/>
          <w:color w:val="000000"/>
          <w:kern w:val="44"/>
          <w:sz w:val="32"/>
          <w:szCs w:val="32"/>
          <w:lang w:val="en-US" w:eastAsia="zh-CN" w:bidi="en-US"/>
        </w:rPr>
        <w:t>雪亮工程设备涉及大量监控数据，应急处置过程中确保数据不丢失、不损坏、不泄露。检查设备故障或遭受外部攻击时，数据备份与恢复机制，能完整恢复数据且无数据安全事故发生。根据评分标准，总分5分，得5分</w:t>
      </w:r>
      <w:r>
        <w:rPr>
          <w:rFonts w:hint="eastAsia" w:ascii="仿宋" w:hAnsi="仿宋" w:eastAsia="仿宋" w:cs="仿宋"/>
          <w:szCs w:val="32"/>
          <w:lang w:val="en-US"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27" w:name="_Toc25924"/>
      <w:bookmarkStart w:id="228" w:name="_Toc26124"/>
      <w:r>
        <w:rPr>
          <w:rFonts w:hint="eastAsia" w:ascii="楷体" w:hAnsi="楷体" w:cs="楷体"/>
          <w:b w:val="0"/>
          <w:bCs/>
          <w:color w:val="000000"/>
          <w:kern w:val="0"/>
          <w:sz w:val="32"/>
          <w:szCs w:val="32"/>
          <w:lang w:val="en-US" w:eastAsia="zh-CN" w:bidi="en-US"/>
        </w:rPr>
        <w:t>（八）</w:t>
      </w:r>
      <w:r>
        <w:rPr>
          <w:rFonts w:hint="eastAsia" w:ascii="楷体" w:hAnsi="楷体" w:eastAsia="楷体" w:cs="楷体"/>
          <w:b w:val="0"/>
          <w:bCs/>
          <w:color w:val="000000"/>
          <w:kern w:val="0"/>
          <w:sz w:val="32"/>
          <w:szCs w:val="32"/>
          <w:lang w:val="en-US" w:eastAsia="zh-CN" w:bidi="en-US"/>
        </w:rPr>
        <w:t>项目实施的可持续性</w:t>
      </w:r>
      <w:bookmarkEnd w:id="227"/>
      <w:bookmarkEnd w:id="228"/>
    </w:p>
    <w:p>
      <w:pPr>
        <w:ind w:firstLine="640"/>
        <w:rPr>
          <w:lang w:eastAsia="zh-CN"/>
        </w:rPr>
      </w:pPr>
      <w:r>
        <w:rPr>
          <w:rFonts w:hint="eastAsia" w:ascii="仿宋" w:hAnsi="仿宋" w:eastAsia="仿宋" w:cs="仿宋"/>
          <w:b w:val="0"/>
          <w:color w:val="000000"/>
          <w:kern w:val="44"/>
          <w:sz w:val="32"/>
          <w:szCs w:val="32"/>
          <w:lang w:val="en-US" w:eastAsia="zh-CN" w:bidi="en-US"/>
        </w:rPr>
        <w:t>项目实施的可持续性方面，指标总分12分，评估得分8分。具体如下</w:t>
      </w:r>
      <w:r>
        <w:rPr>
          <w:rFonts w:hint="eastAsia" w:ascii="仿宋" w:hAnsi="仿宋" w:eastAsia="仿宋" w:cs="仿宋"/>
          <w:szCs w:val="32"/>
          <w:lang w:eastAsia="zh-CN"/>
        </w:rPr>
        <w:t>：</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该项目由中共乐山市金口河区委政法委员会负责组织实施，金口河区公安分局负责对运行情况进行监督考核，充分显示了区政府对雪亮工程的高度重视，相关部门出台了一系列规章制度。</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当前信息技术飞速发展，视频监控技术不断升级。随着时间推移雪亮工程采用的技术和设备面临着被淘汰的风险。新的高清、智能分析技术不断涌现，相比之下，现有的雪亮工程在图像清晰度、智能分析功能（如人脸识别精准度、行为分析全面性）等方面逐渐落后，难以满足日益增长的公共安全监控需求。</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最初的雪亮工程建设规划是基于特定时期的城市发展和治安状况制定的，但随着金口河地区城市建设的快速推进、人口流动变化以及新型犯罪形式的出现，原有的规划已无法适应新的实际需求。例如，新开发的城区和商业区未能在规划中得到充分覆盖，而这些区域恰恰是治安防控的重点；同时，对于一些新兴的犯罪手段，如网络犯罪与线下犯罪结合的形式，现有的监控体系缺乏针对性的应对能力。继续实施雪亮工程无法有效解决当前和未来的安全防控问题，导致资源投入与实际效果不成正比，缺乏可持续性。</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所述，金口河公安分局雪亮工程租赁费项目由于技术更新快、设备老化以及建设规划与实际需求脱节等多方面原因，不具有实施的可持续性。为更好地提升金口河地区的公共安全水平，从2025年3月开始开展“三期天网”建设，前期筹备工作已就绪，预计于6月建成投入使用。根据评分标准，总分12分，得8分</w:t>
      </w:r>
      <w:r>
        <w:rPr>
          <w:rFonts w:hint="eastAsia" w:ascii="仿宋" w:hAnsi="仿宋" w:eastAsia="仿宋" w:cs="仿宋"/>
          <w:szCs w:val="32"/>
          <w:lang w:eastAsia="zh-CN"/>
        </w:rPr>
        <w:t>。</w:t>
      </w:r>
    </w:p>
    <w:p>
      <w:pPr>
        <w:pStyle w:val="3"/>
        <w:numPr>
          <w:numId w:val="0"/>
        </w:numPr>
        <w:spacing w:before="0" w:beforeLines="0" w:after="0" w:afterLines="0"/>
        <w:ind w:left="625" w:leftChars="0"/>
        <w:rPr>
          <w:rFonts w:hint="eastAsia" w:ascii="楷体" w:hAnsi="楷体" w:eastAsia="楷体" w:cs="楷体"/>
          <w:b w:val="0"/>
          <w:bCs/>
          <w:color w:val="000000"/>
          <w:kern w:val="0"/>
          <w:sz w:val="32"/>
          <w:szCs w:val="32"/>
          <w:lang w:val="en-US" w:eastAsia="zh-CN" w:bidi="en-US"/>
        </w:rPr>
      </w:pPr>
      <w:bookmarkStart w:id="229" w:name="_Toc24831"/>
      <w:bookmarkStart w:id="230" w:name="_Toc27508"/>
      <w:r>
        <w:rPr>
          <w:rFonts w:hint="eastAsia" w:ascii="楷体" w:hAnsi="楷体" w:cs="楷体"/>
          <w:b w:val="0"/>
          <w:bCs/>
          <w:color w:val="000000"/>
          <w:kern w:val="0"/>
          <w:sz w:val="32"/>
          <w:szCs w:val="32"/>
          <w:lang w:val="en-US" w:eastAsia="zh-CN" w:bidi="en-US"/>
        </w:rPr>
        <w:t>（九）</w:t>
      </w:r>
      <w:r>
        <w:rPr>
          <w:rFonts w:hint="eastAsia" w:ascii="楷体" w:hAnsi="楷体" w:eastAsia="楷体" w:cs="楷体"/>
          <w:b w:val="0"/>
          <w:bCs/>
          <w:color w:val="000000"/>
          <w:kern w:val="0"/>
          <w:sz w:val="32"/>
          <w:szCs w:val="32"/>
          <w:lang w:val="en-US" w:eastAsia="zh-CN" w:bidi="en-US"/>
        </w:rPr>
        <w:t>总体结论</w:t>
      </w:r>
      <w:bookmarkEnd w:id="229"/>
      <w:bookmarkEnd w:id="230"/>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评估小组通过对前述8个一级指标、15个二级指标以及29个三级指标评分的分析评估，全面评估该项目的预期绩效情况，评估总分91分。最初的雪亮工程建设规划是基于特定时期的城市发展和治安状况制定的，所采用的技术和设备能满意建设规划期的公共安全监控需求，不仅提升了社会治安防控能力，也为城市管理、应急处置等工作提供了强大助力，为金口河区的经济社会发展创造了安全稳定的环境，社会治安防控工作提供更强大的科技支撑，持续增强人民群众的获得感、幸福感和安全感。本项目通过社会调查、效益分析、对比分析等方法评估，综合考虑项目绩效目标和项目实际情况，预期绩效可实现性强，满足《</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要求，综合绩效评估结论为“建议实施”</w:t>
      </w:r>
      <w:r>
        <w:rPr>
          <w:rFonts w:ascii="仿宋" w:hAnsi="仿宋" w:eastAsia="仿宋" w:cs="仿宋"/>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1" w:name="_Toc18341"/>
      <w:bookmarkStart w:id="232" w:name="_Toc5386"/>
      <w:r>
        <w:rPr>
          <w:rFonts w:hint="eastAsia" w:ascii="黑体" w:hAnsi="黑体" w:cs="黑体"/>
          <w:b w:val="0"/>
          <w:szCs w:val="32"/>
          <w:lang w:eastAsia="zh-CN"/>
        </w:rPr>
        <w:t>五</w:t>
      </w:r>
      <w:r>
        <w:rPr>
          <w:rFonts w:hint="eastAsia" w:ascii="黑体" w:hAnsi="黑体" w:eastAsia="黑体" w:cs="黑体"/>
          <w:b w:val="0"/>
          <w:szCs w:val="32"/>
          <w:lang w:eastAsia="zh-CN"/>
        </w:rPr>
        <w:t>、相关建议</w:t>
      </w:r>
      <w:bookmarkEnd w:id="231"/>
      <w:bookmarkEnd w:id="232"/>
    </w:p>
    <w:p>
      <w:pPr>
        <w:pStyle w:val="3"/>
        <w:bidi w:val="0"/>
        <w:rPr>
          <w:rFonts w:hint="eastAsia" w:ascii="楷体" w:hAnsi="楷体" w:eastAsia="楷体" w:cs="楷体"/>
          <w:b w:val="0"/>
          <w:color w:val="000000"/>
          <w:kern w:val="44"/>
          <w:sz w:val="32"/>
          <w:szCs w:val="32"/>
          <w:lang w:val="en-US" w:eastAsia="zh-CN" w:bidi="en-US"/>
        </w:rPr>
      </w:pPr>
      <w:bookmarkStart w:id="233" w:name="_Toc9610"/>
      <w:bookmarkStart w:id="236" w:name="_GoBack"/>
      <w:r>
        <w:rPr>
          <w:rFonts w:hint="eastAsia" w:ascii="楷体" w:hAnsi="楷体" w:eastAsia="楷体" w:cs="楷体"/>
          <w:b w:val="0"/>
          <w:color w:val="000000"/>
          <w:kern w:val="44"/>
          <w:sz w:val="32"/>
          <w:szCs w:val="32"/>
          <w:lang w:val="en-US" w:eastAsia="zh-CN" w:bidi="en-US"/>
        </w:rPr>
        <w:t>资金使用计划合理性存在瑕疵</w:t>
      </w:r>
      <w:bookmarkEnd w:id="233"/>
    </w:p>
    <w:bookmarkEnd w:id="236"/>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强化对雪亮工程租赁费资金使用计划和费用估算的审核与监督。在预算编制阶段，严格审核各项费用的合理性和准确性；全面考虑雪亮工程过渡至“三期天网”整个过渡期的具体时长，确保过渡期传输费用和运维服务费用的具体金额，做到精准估算。</w:t>
      </w:r>
    </w:p>
    <w:p>
      <w:pPr>
        <w:pStyle w:val="2"/>
        <w:numPr>
          <w:numId w:val="0"/>
        </w:numPr>
        <w:spacing w:before="0" w:beforeLines="0" w:after="0" w:afterLines="0"/>
        <w:ind w:leftChars="0" w:firstLine="640" w:firstLineChars="200"/>
        <w:rPr>
          <w:rFonts w:hint="eastAsia" w:ascii="仿宋" w:hAnsi="仿宋" w:eastAsia="仿宋" w:cs="仿宋"/>
          <w:b w:val="0"/>
          <w:color w:val="000000"/>
          <w:kern w:val="0"/>
          <w:sz w:val="32"/>
          <w:szCs w:val="32"/>
          <w:lang w:val="en-US" w:eastAsia="zh-CN" w:bidi="en-US"/>
        </w:rPr>
      </w:pPr>
      <w:bookmarkStart w:id="234" w:name="_Toc2492"/>
      <w:bookmarkStart w:id="235" w:name="_Toc18228"/>
      <w:r>
        <w:rPr>
          <w:rFonts w:hint="eastAsia" w:ascii="黑体" w:hAnsi="黑体" w:cs="黑体"/>
          <w:b w:val="0"/>
          <w:color w:val="000000"/>
          <w:kern w:val="0"/>
          <w:sz w:val="32"/>
          <w:szCs w:val="32"/>
          <w:lang w:val="en-US" w:eastAsia="zh-CN" w:bidi="en-US"/>
        </w:rPr>
        <w:t>六</w:t>
      </w:r>
      <w:r>
        <w:rPr>
          <w:rFonts w:hint="eastAsia" w:ascii="黑体" w:hAnsi="黑体" w:eastAsia="黑体" w:cs="黑体"/>
          <w:b w:val="0"/>
          <w:color w:val="000000"/>
          <w:kern w:val="0"/>
          <w:sz w:val="32"/>
          <w:szCs w:val="32"/>
          <w:lang w:val="en-US" w:eastAsia="zh-CN" w:bidi="en-US"/>
        </w:rPr>
        <w:t>、其他需要说明的问题</w:t>
      </w:r>
      <w:bookmarkEnd w:id="234"/>
      <w:bookmarkEnd w:id="235"/>
    </w:p>
    <w:p>
      <w:pPr>
        <w:ind w:firstLine="640"/>
        <w:rPr>
          <w:rFonts w:hint="eastAsia" w:ascii="仿宋" w:hAnsi="仿宋" w:eastAsia="仿宋" w:cs="仿宋"/>
          <w:szCs w:val="32"/>
          <w:lang w:eastAsia="zh-CN"/>
        </w:rPr>
      </w:pPr>
      <w:r>
        <w:rPr>
          <w:rFonts w:hint="eastAsia" w:ascii="仿宋" w:hAnsi="仿宋" w:eastAsia="仿宋" w:cs="仿宋"/>
          <w:b w:val="0"/>
          <w:color w:val="000000"/>
          <w:kern w:val="0"/>
          <w:sz w:val="32"/>
          <w:szCs w:val="32"/>
          <w:lang w:val="en-US" w:eastAsia="zh-CN" w:bidi="en-US"/>
        </w:rPr>
        <w:t>本报告是评价机构根据对项目</w:t>
      </w:r>
      <w:r>
        <w:rPr>
          <w:rFonts w:hint="eastAsia" w:ascii="仿宋" w:hAnsi="仿宋" w:eastAsia="仿宋" w:cs="仿宋"/>
          <w:b w:val="0"/>
          <w:color w:val="000000"/>
          <w:kern w:val="0"/>
          <w:sz w:val="32"/>
          <w:szCs w:val="32"/>
          <w:highlight w:val="none"/>
          <w:lang w:val="en-US" w:eastAsia="zh-CN" w:bidi="en-US"/>
        </w:rPr>
        <w:t>主管</w:t>
      </w:r>
      <w:r>
        <w:rPr>
          <w:rFonts w:hint="eastAsia" w:ascii="仿宋" w:hAnsi="仿宋" w:eastAsia="仿宋" w:cs="仿宋"/>
          <w:b w:val="0"/>
          <w:color w:val="000000"/>
          <w:kern w:val="0"/>
          <w:sz w:val="32"/>
          <w:szCs w:val="32"/>
          <w:lang w:val="en-US" w:eastAsia="zh-CN" w:bidi="en-US"/>
        </w:rPr>
        <w:t>单位所提供的材料进行全面分析与评估，结合现场考察情况，在评价人员评价意见的基础上综合形成的。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pPr>
        <w:ind w:firstLine="640"/>
        <w:rPr>
          <w:rFonts w:hint="eastAsia" w:ascii="仿宋" w:hAnsi="仿宋" w:eastAsia="仿宋" w:cs="仿宋"/>
          <w:szCs w:val="32"/>
          <w:lang w:eastAsia="zh-CN"/>
        </w:rPr>
      </w:pPr>
    </w:p>
    <w:p>
      <w:pPr>
        <w:spacing w:before="65" w:line="226" w:lineRule="auto"/>
        <w:ind w:firstLine="0" w:firstLineChars="0"/>
        <w:rPr>
          <w:rFonts w:eastAsia="仿宋"/>
          <w:sz w:val="28"/>
          <w:szCs w:val="28"/>
          <w:lang w:eastAsia="zh-CN"/>
        </w:rPr>
      </w:pPr>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F4169C-ED9C-4FBE-81B4-65F88B2C3C2D}"/>
  </w:font>
  <w:font w:name="黑体">
    <w:panose1 w:val="02010609060101010101"/>
    <w:charset w:val="86"/>
    <w:family w:val="auto"/>
    <w:pitch w:val="default"/>
    <w:sig w:usb0="800002BF" w:usb1="38CF7CFA" w:usb2="00000016" w:usb3="00000000" w:csb0="00040001" w:csb1="00000000"/>
    <w:embedRegular r:id="rId2" w:fontKey="{F28A086F-A488-4C1C-8D02-F87DEE32F2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B343DCF-FD0D-43BD-9E57-E51B26852E06}"/>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8C7D9FC2-1D6C-4B6D-9AA8-59E55379129A}"/>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A2CFFF46-C247-4611-AADF-203AF0950F2E}"/>
  </w:font>
  <w:font w:name="仿宋">
    <w:panose1 w:val="02010609060101010101"/>
    <w:charset w:val="86"/>
    <w:family w:val="modern"/>
    <w:pitch w:val="default"/>
    <w:sig w:usb0="800002BF" w:usb1="38CF7CFA" w:usb2="00000016" w:usb3="00000000" w:csb0="00040001" w:csb1="00000000"/>
    <w:embedRegular r:id="rId6" w:fontKey="{2BDFDBD4-7DBC-48A8-9121-3D28A57978B0}"/>
  </w:font>
  <w:font w:name="方正小标宋简体">
    <w:panose1 w:val="02000000000000000000"/>
    <w:charset w:val="86"/>
    <w:family w:val="auto"/>
    <w:pitch w:val="default"/>
    <w:sig w:usb0="A00002BF" w:usb1="184F6CFA" w:usb2="00000012" w:usb3="00000000" w:csb0="00040001" w:csb1="00000000"/>
    <w:embedRegular r:id="rId7" w:fontKey="{277C7A5F-8080-4108-B3B0-28E262DF17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977F3"/>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22736C"/>
    <w:rsid w:val="025E7212"/>
    <w:rsid w:val="026C0CB3"/>
    <w:rsid w:val="02DA2B5C"/>
    <w:rsid w:val="031A1D53"/>
    <w:rsid w:val="034F46D6"/>
    <w:rsid w:val="036B07B1"/>
    <w:rsid w:val="047C7B07"/>
    <w:rsid w:val="059D5B4A"/>
    <w:rsid w:val="05C5173A"/>
    <w:rsid w:val="060D4527"/>
    <w:rsid w:val="062F578F"/>
    <w:rsid w:val="070A234B"/>
    <w:rsid w:val="07364783"/>
    <w:rsid w:val="07587466"/>
    <w:rsid w:val="07A80859"/>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E5C0480"/>
    <w:rsid w:val="0FB50233"/>
    <w:rsid w:val="0FB608BC"/>
    <w:rsid w:val="1050467E"/>
    <w:rsid w:val="10CD4389"/>
    <w:rsid w:val="11195595"/>
    <w:rsid w:val="11270A41"/>
    <w:rsid w:val="11326EB7"/>
    <w:rsid w:val="11EE00D5"/>
    <w:rsid w:val="12911695"/>
    <w:rsid w:val="129D460C"/>
    <w:rsid w:val="12C53952"/>
    <w:rsid w:val="13397BCE"/>
    <w:rsid w:val="13640E5B"/>
    <w:rsid w:val="13A726E2"/>
    <w:rsid w:val="13F155D4"/>
    <w:rsid w:val="144A13CC"/>
    <w:rsid w:val="14B86A5E"/>
    <w:rsid w:val="16574ED9"/>
    <w:rsid w:val="168E25CD"/>
    <w:rsid w:val="16F75866"/>
    <w:rsid w:val="16FA78CA"/>
    <w:rsid w:val="17042B4C"/>
    <w:rsid w:val="17397720"/>
    <w:rsid w:val="17F71489"/>
    <w:rsid w:val="183C78CE"/>
    <w:rsid w:val="18B52DD6"/>
    <w:rsid w:val="191537C8"/>
    <w:rsid w:val="19166917"/>
    <w:rsid w:val="198C3569"/>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17A6F4F"/>
    <w:rsid w:val="220E3E9E"/>
    <w:rsid w:val="22696E4A"/>
    <w:rsid w:val="228A52D3"/>
    <w:rsid w:val="229A69F6"/>
    <w:rsid w:val="22A7A1EE"/>
    <w:rsid w:val="23815F46"/>
    <w:rsid w:val="23A00FD0"/>
    <w:rsid w:val="23A368F7"/>
    <w:rsid w:val="23D46DC8"/>
    <w:rsid w:val="23F5677C"/>
    <w:rsid w:val="241416AC"/>
    <w:rsid w:val="24526CBD"/>
    <w:rsid w:val="245D6F1C"/>
    <w:rsid w:val="24A227D3"/>
    <w:rsid w:val="250C005C"/>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A92E66"/>
    <w:rsid w:val="2ECA0CB3"/>
    <w:rsid w:val="2ED50269"/>
    <w:rsid w:val="2EEA0EAE"/>
    <w:rsid w:val="2EED128A"/>
    <w:rsid w:val="2F33419E"/>
    <w:rsid w:val="2F453EFD"/>
    <w:rsid w:val="2F7A4177"/>
    <w:rsid w:val="2FBB8AD3"/>
    <w:rsid w:val="2FF9E8AA"/>
    <w:rsid w:val="2FFF36BE"/>
    <w:rsid w:val="301A782C"/>
    <w:rsid w:val="3115529C"/>
    <w:rsid w:val="31B76384"/>
    <w:rsid w:val="320B1AE3"/>
    <w:rsid w:val="32165B50"/>
    <w:rsid w:val="326B0E40"/>
    <w:rsid w:val="32B03984"/>
    <w:rsid w:val="33C67647"/>
    <w:rsid w:val="33D04B10"/>
    <w:rsid w:val="34151D3E"/>
    <w:rsid w:val="34727F6D"/>
    <w:rsid w:val="35745447"/>
    <w:rsid w:val="35950425"/>
    <w:rsid w:val="36533F02"/>
    <w:rsid w:val="36D704A4"/>
    <w:rsid w:val="377F486E"/>
    <w:rsid w:val="37813EA9"/>
    <w:rsid w:val="378B2B5D"/>
    <w:rsid w:val="37E637FB"/>
    <w:rsid w:val="37F9916F"/>
    <w:rsid w:val="381B47D2"/>
    <w:rsid w:val="383A2E8D"/>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FD7D2"/>
    <w:rsid w:val="3BFDE29B"/>
    <w:rsid w:val="3C943123"/>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EF1B00"/>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A1AC2"/>
    <w:rsid w:val="4A1E73E6"/>
    <w:rsid w:val="4A635F53"/>
    <w:rsid w:val="4AF773D7"/>
    <w:rsid w:val="4B3B3F0F"/>
    <w:rsid w:val="4B652933"/>
    <w:rsid w:val="4B974077"/>
    <w:rsid w:val="4BA90D67"/>
    <w:rsid w:val="4BC722FC"/>
    <w:rsid w:val="4BFD0804"/>
    <w:rsid w:val="4BFFF00D"/>
    <w:rsid w:val="4C35155C"/>
    <w:rsid w:val="4CB90AB7"/>
    <w:rsid w:val="4CB92AAE"/>
    <w:rsid w:val="4CEF5A97"/>
    <w:rsid w:val="4D5325E2"/>
    <w:rsid w:val="4D9329DF"/>
    <w:rsid w:val="4DBF65E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92462E"/>
    <w:rsid w:val="50A1286C"/>
    <w:rsid w:val="50AB1B35"/>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2D26D3"/>
    <w:rsid w:val="583F79EB"/>
    <w:rsid w:val="585A70CD"/>
    <w:rsid w:val="58E262A4"/>
    <w:rsid w:val="58F5D9DD"/>
    <w:rsid w:val="5948147C"/>
    <w:rsid w:val="59573EF3"/>
    <w:rsid w:val="5A894C16"/>
    <w:rsid w:val="5A8A7F2E"/>
    <w:rsid w:val="5AB756DD"/>
    <w:rsid w:val="5AFCBC6B"/>
    <w:rsid w:val="5B5C34B4"/>
    <w:rsid w:val="5B669575"/>
    <w:rsid w:val="5BDB3721"/>
    <w:rsid w:val="5C18763C"/>
    <w:rsid w:val="5C3E3948"/>
    <w:rsid w:val="5C4F6BDD"/>
    <w:rsid w:val="5C7E18E6"/>
    <w:rsid w:val="5C7F7B4E"/>
    <w:rsid w:val="5C9D6A75"/>
    <w:rsid w:val="5CD834DE"/>
    <w:rsid w:val="5CDA0FE8"/>
    <w:rsid w:val="5CE7B0FA"/>
    <w:rsid w:val="5D242C88"/>
    <w:rsid w:val="5D6B5466"/>
    <w:rsid w:val="5D7921C9"/>
    <w:rsid w:val="5DAD7E49"/>
    <w:rsid w:val="5DEFCEC9"/>
    <w:rsid w:val="5DFB97BE"/>
    <w:rsid w:val="5DFE3F84"/>
    <w:rsid w:val="5DFFA384"/>
    <w:rsid w:val="5E7A9A9A"/>
    <w:rsid w:val="5E7FBC5C"/>
    <w:rsid w:val="5E7FDF2E"/>
    <w:rsid w:val="5ED52E57"/>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9A521C6"/>
    <w:rsid w:val="69AF24F6"/>
    <w:rsid w:val="69AF5125"/>
    <w:rsid w:val="69BC2895"/>
    <w:rsid w:val="69DD1E00"/>
    <w:rsid w:val="69E414DD"/>
    <w:rsid w:val="69FBDDC7"/>
    <w:rsid w:val="6A660B83"/>
    <w:rsid w:val="6A7F6D13"/>
    <w:rsid w:val="6AA56806"/>
    <w:rsid w:val="6AB867A9"/>
    <w:rsid w:val="6AE0106A"/>
    <w:rsid w:val="6AFAC7B1"/>
    <w:rsid w:val="6B1F2D84"/>
    <w:rsid w:val="6B675079"/>
    <w:rsid w:val="6B7DE963"/>
    <w:rsid w:val="6B9F922F"/>
    <w:rsid w:val="6BCC579C"/>
    <w:rsid w:val="6BCFABFB"/>
    <w:rsid w:val="6BE173F2"/>
    <w:rsid w:val="6BEDDD7D"/>
    <w:rsid w:val="6C5B06F6"/>
    <w:rsid w:val="6C8E09D2"/>
    <w:rsid w:val="6CA8660E"/>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1DF0AF3"/>
    <w:rsid w:val="71E82352"/>
    <w:rsid w:val="71FB2FE3"/>
    <w:rsid w:val="72211E04"/>
    <w:rsid w:val="722B3E46"/>
    <w:rsid w:val="724759C2"/>
    <w:rsid w:val="733F4938"/>
    <w:rsid w:val="73AE4630"/>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A1097"/>
    <w:rsid w:val="7BCCCAA1"/>
    <w:rsid w:val="7BD9CB31"/>
    <w:rsid w:val="7BE3C6C4"/>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26</Pages>
  <Words>11249</Words>
  <Characters>11617</Characters>
  <Lines>89</Lines>
  <Paragraphs>25</Paragraphs>
  <TotalTime>12</TotalTime>
  <ScaleCrop>false</ScaleCrop>
  <LinksUpToDate>false</LinksUpToDate>
  <CharactersWithSpaces>11645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2025-04-01T07:35:00Z</cp:lastPrinted>
  <dcterms:modified xsi:type="dcterms:W3CDTF">2025-12-30T07:49:47Z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