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spacing w:beforeAutospacing="0" w:afterAutospacing="0" w:line="820" w:lineRule="exact"/>
        <w:ind w:leftChars="-44" w:right="-480" w:rightChars="-150" w:hanging="141" w:hangingChars="32"/>
        <w:jc w:val="center"/>
        <w:outlineLvl w:val="0"/>
        <w:rPr>
          <w:rFonts w:eastAsia="微软雅黑"/>
          <w:b/>
          <w:bCs/>
          <w:sz w:val="44"/>
          <w:szCs w:val="44"/>
        </w:rPr>
      </w:pPr>
      <w:bookmarkStart w:id="0" w:name="_Toc26439"/>
      <w:bookmarkStart w:id="1" w:name="_Toc9453"/>
      <w:bookmarkStart w:id="2" w:name="_Toc11980"/>
    </w:p>
    <w:p>
      <w:pPr>
        <w:pStyle w:val="20"/>
        <w:spacing w:beforeAutospacing="0" w:afterAutospacing="0" w:line="820" w:lineRule="exact"/>
        <w:ind w:leftChars="-44" w:right="-480" w:rightChars="-150" w:hanging="140" w:hangingChars="32"/>
        <w:jc w:val="center"/>
        <w:outlineLvl w:val="0"/>
        <w:rPr>
          <w:rFonts w:hint="eastAsia" w:ascii="方正小标宋简体" w:hAnsi="方正小标宋简体" w:eastAsia="方正小标宋简体" w:cs="方正小标宋简体"/>
          <w:b w:val="0"/>
          <w:bCs w:val="0"/>
          <w:sz w:val="44"/>
          <w:szCs w:val="44"/>
          <w:lang w:eastAsia="zh-CN"/>
        </w:rPr>
      </w:pPr>
      <w:bookmarkStart w:id="3" w:name="_Toc199443712"/>
      <w:bookmarkStart w:id="4" w:name="_Toc28086"/>
      <w:r>
        <w:rPr>
          <w:rFonts w:hint="eastAsia" w:ascii="方正小标宋简体" w:hAnsi="方正小标宋简体" w:eastAsia="方正小标宋简体" w:cs="方正小标宋简体"/>
          <w:b w:val="0"/>
          <w:bCs w:val="0"/>
          <w:sz w:val="44"/>
          <w:szCs w:val="44"/>
          <w:lang w:eastAsia="zh-CN"/>
        </w:rPr>
        <w:t>乐山市金口河区文化广播电视体育和旅游局</w:t>
      </w:r>
      <w:r>
        <w:rPr>
          <w:rFonts w:hint="eastAsia" w:ascii="方正小标宋简体" w:hAnsi="方正小标宋简体" w:eastAsia="方正小标宋简体" w:cs="方正小标宋简体"/>
          <w:b w:val="0"/>
          <w:bCs w:val="0"/>
          <w:sz w:val="44"/>
          <w:szCs w:val="44"/>
        </w:rPr>
        <w:br w:type="textWrapping"/>
      </w:r>
      <w:bookmarkEnd w:id="0"/>
      <w:bookmarkEnd w:id="1"/>
      <w:bookmarkEnd w:id="2"/>
      <w:r>
        <w:rPr>
          <w:rFonts w:hint="eastAsia" w:ascii="方正小标宋简体" w:hAnsi="方正小标宋简体" w:eastAsia="方正小标宋简体" w:cs="方正小标宋简体"/>
          <w:b w:val="0"/>
          <w:bCs w:val="0"/>
          <w:sz w:val="44"/>
          <w:szCs w:val="44"/>
          <w:lang w:eastAsia="zh-CN"/>
        </w:rPr>
        <w:t>农业产业推广：第二届非遗特色美食大赛及</w:t>
      </w:r>
    </w:p>
    <w:p>
      <w:pPr>
        <w:pStyle w:val="20"/>
        <w:spacing w:beforeAutospacing="0" w:afterAutospacing="0" w:line="820" w:lineRule="exact"/>
        <w:ind w:leftChars="-44" w:right="-480" w:rightChars="-150" w:hanging="140" w:hangingChars="32"/>
        <w:jc w:val="center"/>
        <w:outlineLvl w:val="0"/>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eastAsia="zh-CN"/>
        </w:rPr>
        <w:t>推广</w:t>
      </w:r>
      <w:r>
        <w:rPr>
          <w:rFonts w:hint="eastAsia" w:ascii="方正小标宋简体" w:hAnsi="方正小标宋简体" w:eastAsia="方正小标宋简体" w:cs="方正小标宋简体"/>
          <w:b w:val="0"/>
          <w:bCs w:val="0"/>
          <w:sz w:val="44"/>
          <w:szCs w:val="44"/>
        </w:rPr>
        <w:t>项目</w:t>
      </w:r>
      <w:bookmarkEnd w:id="3"/>
      <w:bookmarkEnd w:id="4"/>
    </w:p>
    <w:p>
      <w:pPr>
        <w:pStyle w:val="20"/>
        <w:spacing w:beforeAutospacing="0" w:afterAutospacing="0" w:line="820" w:lineRule="exact"/>
        <w:ind w:leftChars="-44" w:right="-480" w:rightChars="-150" w:hanging="140" w:hangingChars="32"/>
        <w:jc w:val="center"/>
        <w:outlineLvl w:val="0"/>
        <w:rPr>
          <w:rFonts w:hint="eastAsia" w:ascii="方正小标宋简体" w:hAnsi="方正小标宋简体" w:eastAsia="方正小标宋简体" w:cs="方正小标宋简体"/>
          <w:b w:val="0"/>
          <w:bCs w:val="0"/>
          <w:sz w:val="44"/>
          <w:szCs w:val="44"/>
        </w:rPr>
      </w:pPr>
      <w:bookmarkStart w:id="5" w:name="_Toc8254"/>
      <w:bookmarkStart w:id="6" w:name="_Toc199443713"/>
      <w:r>
        <w:rPr>
          <w:rFonts w:hint="eastAsia" w:ascii="方正小标宋简体" w:hAnsi="方正小标宋简体" w:eastAsia="方正小标宋简体" w:cs="方正小标宋简体"/>
          <w:b w:val="0"/>
          <w:bCs w:val="0"/>
          <w:sz w:val="44"/>
          <w:szCs w:val="44"/>
        </w:rPr>
        <w:t>项</w:t>
      </w:r>
      <w:bookmarkEnd w:id="5"/>
      <w:bookmarkEnd w:id="6"/>
    </w:p>
    <w:p>
      <w:pPr>
        <w:pStyle w:val="20"/>
        <w:spacing w:beforeAutospacing="0" w:afterAutospacing="0" w:line="820" w:lineRule="exact"/>
        <w:ind w:leftChars="-44" w:right="-480" w:rightChars="-150" w:hanging="140" w:hangingChars="32"/>
        <w:jc w:val="center"/>
        <w:outlineLvl w:val="0"/>
        <w:rPr>
          <w:rFonts w:hint="eastAsia" w:ascii="方正小标宋简体" w:hAnsi="方正小标宋简体" w:eastAsia="方正小标宋简体" w:cs="方正小标宋简体"/>
          <w:b w:val="0"/>
          <w:bCs w:val="0"/>
          <w:sz w:val="44"/>
          <w:szCs w:val="44"/>
        </w:rPr>
      </w:pPr>
      <w:bookmarkStart w:id="7" w:name="_Toc199443714"/>
      <w:bookmarkStart w:id="8" w:name="_Toc17193"/>
      <w:r>
        <w:rPr>
          <w:rFonts w:hint="eastAsia" w:ascii="方正小标宋简体" w:hAnsi="方正小标宋简体" w:eastAsia="方正小标宋简体" w:cs="方正小标宋简体"/>
          <w:b w:val="0"/>
          <w:bCs w:val="0"/>
          <w:sz w:val="44"/>
          <w:szCs w:val="44"/>
        </w:rPr>
        <w:t>目</w:t>
      </w:r>
      <w:bookmarkEnd w:id="7"/>
      <w:bookmarkEnd w:id="8"/>
    </w:p>
    <w:p>
      <w:pPr>
        <w:pStyle w:val="20"/>
        <w:spacing w:beforeAutospacing="0" w:afterAutospacing="0" w:line="820" w:lineRule="exact"/>
        <w:ind w:leftChars="-44" w:right="-480" w:rightChars="-150" w:hanging="140" w:hangingChars="32"/>
        <w:jc w:val="center"/>
        <w:outlineLvl w:val="0"/>
        <w:rPr>
          <w:rFonts w:hint="eastAsia" w:ascii="方正小标宋简体" w:hAnsi="方正小标宋简体" w:eastAsia="方正小标宋简体" w:cs="方正小标宋简体"/>
          <w:b w:val="0"/>
          <w:bCs w:val="0"/>
          <w:sz w:val="44"/>
          <w:szCs w:val="44"/>
        </w:rPr>
      </w:pPr>
      <w:bookmarkStart w:id="9" w:name="_Toc4366"/>
      <w:bookmarkStart w:id="10" w:name="_Toc199443715"/>
      <w:r>
        <w:rPr>
          <w:rFonts w:hint="eastAsia" w:ascii="方正小标宋简体" w:hAnsi="方正小标宋简体" w:eastAsia="方正小标宋简体" w:cs="方正小标宋简体"/>
          <w:b w:val="0"/>
          <w:bCs w:val="0"/>
          <w:sz w:val="44"/>
          <w:szCs w:val="44"/>
        </w:rPr>
        <w:t>支</w:t>
      </w:r>
      <w:bookmarkEnd w:id="9"/>
      <w:bookmarkEnd w:id="10"/>
    </w:p>
    <w:p>
      <w:pPr>
        <w:pStyle w:val="20"/>
        <w:spacing w:beforeAutospacing="0" w:afterAutospacing="0" w:line="820" w:lineRule="exact"/>
        <w:ind w:leftChars="-44" w:right="-480" w:rightChars="-150" w:hanging="140" w:hangingChars="32"/>
        <w:jc w:val="center"/>
        <w:outlineLvl w:val="0"/>
        <w:rPr>
          <w:rFonts w:hint="eastAsia" w:ascii="方正小标宋简体" w:hAnsi="方正小标宋简体" w:eastAsia="方正小标宋简体" w:cs="方正小标宋简体"/>
          <w:b w:val="0"/>
          <w:bCs w:val="0"/>
          <w:sz w:val="44"/>
          <w:szCs w:val="44"/>
        </w:rPr>
      </w:pPr>
      <w:bookmarkStart w:id="11" w:name="_Toc199443716"/>
      <w:bookmarkStart w:id="12" w:name="_Toc4323"/>
      <w:r>
        <w:rPr>
          <w:rFonts w:hint="eastAsia" w:ascii="方正小标宋简体" w:hAnsi="方正小标宋简体" w:eastAsia="方正小标宋简体" w:cs="方正小标宋简体"/>
          <w:b w:val="0"/>
          <w:bCs w:val="0"/>
          <w:sz w:val="44"/>
          <w:szCs w:val="44"/>
        </w:rPr>
        <w:t>出</w:t>
      </w:r>
      <w:bookmarkEnd w:id="11"/>
      <w:bookmarkEnd w:id="12"/>
    </w:p>
    <w:p>
      <w:pPr>
        <w:pStyle w:val="20"/>
        <w:spacing w:beforeAutospacing="0" w:afterAutospacing="0" w:line="820" w:lineRule="exact"/>
        <w:ind w:leftChars="-44" w:right="-480" w:rightChars="-150" w:hanging="140" w:hangingChars="32"/>
        <w:jc w:val="center"/>
        <w:outlineLvl w:val="0"/>
        <w:rPr>
          <w:rFonts w:hint="eastAsia" w:ascii="方正小标宋简体" w:hAnsi="方正小标宋简体" w:eastAsia="方正小标宋简体" w:cs="方正小标宋简体"/>
          <w:b w:val="0"/>
          <w:bCs w:val="0"/>
          <w:sz w:val="44"/>
          <w:szCs w:val="44"/>
        </w:rPr>
      </w:pPr>
      <w:bookmarkStart w:id="13" w:name="_Toc27788"/>
      <w:bookmarkStart w:id="14" w:name="_Toc199443717"/>
      <w:r>
        <w:rPr>
          <w:rFonts w:hint="eastAsia" w:ascii="方正小标宋简体" w:hAnsi="方正小标宋简体" w:eastAsia="方正小标宋简体" w:cs="方正小标宋简体"/>
          <w:b w:val="0"/>
          <w:bCs w:val="0"/>
          <w:sz w:val="44"/>
          <w:szCs w:val="44"/>
        </w:rPr>
        <w:t>绩</w:t>
      </w:r>
      <w:bookmarkEnd w:id="13"/>
      <w:bookmarkEnd w:id="14"/>
    </w:p>
    <w:p>
      <w:pPr>
        <w:pStyle w:val="20"/>
        <w:spacing w:beforeAutospacing="0" w:afterAutospacing="0" w:line="820" w:lineRule="exact"/>
        <w:ind w:leftChars="-44" w:right="-480" w:rightChars="-150" w:hanging="140" w:hangingChars="32"/>
        <w:jc w:val="center"/>
        <w:outlineLvl w:val="0"/>
        <w:rPr>
          <w:rFonts w:hint="eastAsia" w:ascii="方正小标宋简体" w:hAnsi="方正小标宋简体" w:eastAsia="方正小标宋简体" w:cs="方正小标宋简体"/>
          <w:b w:val="0"/>
          <w:bCs w:val="0"/>
          <w:sz w:val="44"/>
          <w:szCs w:val="44"/>
        </w:rPr>
      </w:pPr>
      <w:bookmarkStart w:id="15" w:name="_Toc16644"/>
      <w:bookmarkStart w:id="16" w:name="_Toc199443718"/>
      <w:r>
        <w:rPr>
          <w:rFonts w:hint="eastAsia" w:ascii="方正小标宋简体" w:hAnsi="方正小标宋简体" w:eastAsia="方正小标宋简体" w:cs="方正小标宋简体"/>
          <w:b w:val="0"/>
          <w:bCs w:val="0"/>
          <w:sz w:val="44"/>
          <w:szCs w:val="44"/>
        </w:rPr>
        <w:t>效</w:t>
      </w:r>
      <w:bookmarkEnd w:id="15"/>
      <w:bookmarkEnd w:id="16"/>
    </w:p>
    <w:p>
      <w:pPr>
        <w:pStyle w:val="20"/>
        <w:spacing w:beforeAutospacing="0" w:afterAutospacing="0" w:line="820" w:lineRule="exact"/>
        <w:ind w:leftChars="-44" w:right="-480" w:rightChars="-150" w:hanging="140" w:hangingChars="32"/>
        <w:jc w:val="center"/>
        <w:outlineLvl w:val="0"/>
        <w:rPr>
          <w:rFonts w:hint="eastAsia" w:ascii="方正小标宋简体" w:hAnsi="方正小标宋简体" w:eastAsia="方正小标宋简体" w:cs="方正小标宋简体"/>
          <w:b w:val="0"/>
          <w:bCs w:val="0"/>
          <w:sz w:val="44"/>
          <w:szCs w:val="44"/>
        </w:rPr>
      </w:pPr>
      <w:bookmarkStart w:id="17" w:name="_Toc199443719"/>
      <w:bookmarkStart w:id="18" w:name="_Toc25202"/>
      <w:r>
        <w:rPr>
          <w:rFonts w:hint="eastAsia" w:ascii="方正小标宋简体" w:hAnsi="方正小标宋简体" w:eastAsia="方正小标宋简体" w:cs="方正小标宋简体"/>
          <w:b w:val="0"/>
          <w:bCs w:val="0"/>
          <w:sz w:val="44"/>
          <w:szCs w:val="44"/>
        </w:rPr>
        <w:t>评</w:t>
      </w:r>
      <w:bookmarkEnd w:id="17"/>
      <w:bookmarkEnd w:id="18"/>
    </w:p>
    <w:p>
      <w:pPr>
        <w:pStyle w:val="20"/>
        <w:spacing w:beforeAutospacing="0" w:afterAutospacing="0" w:line="820" w:lineRule="exact"/>
        <w:ind w:leftChars="-44" w:right="-480" w:rightChars="-150" w:hanging="140" w:hangingChars="32"/>
        <w:jc w:val="center"/>
        <w:outlineLvl w:val="0"/>
        <w:rPr>
          <w:rFonts w:hint="eastAsia" w:ascii="方正小标宋简体" w:hAnsi="方正小标宋简体" w:eastAsia="方正小标宋简体" w:cs="方正小标宋简体"/>
          <w:b w:val="0"/>
          <w:bCs w:val="0"/>
          <w:sz w:val="44"/>
          <w:szCs w:val="44"/>
        </w:rPr>
      </w:pPr>
      <w:bookmarkStart w:id="19" w:name="_Toc25111"/>
      <w:bookmarkStart w:id="20" w:name="_Toc199443720"/>
      <w:r>
        <w:rPr>
          <w:rFonts w:hint="eastAsia" w:ascii="方正小标宋简体" w:hAnsi="方正小标宋简体" w:eastAsia="方正小标宋简体" w:cs="方正小标宋简体"/>
          <w:b w:val="0"/>
          <w:bCs w:val="0"/>
          <w:sz w:val="44"/>
          <w:szCs w:val="44"/>
        </w:rPr>
        <w:t>价</w:t>
      </w:r>
      <w:bookmarkEnd w:id="19"/>
      <w:bookmarkEnd w:id="20"/>
    </w:p>
    <w:p>
      <w:pPr>
        <w:pStyle w:val="20"/>
        <w:spacing w:beforeAutospacing="0" w:afterAutospacing="0" w:line="820" w:lineRule="exact"/>
        <w:ind w:leftChars="-44" w:right="-480" w:rightChars="-150" w:hanging="140" w:hangingChars="32"/>
        <w:jc w:val="center"/>
        <w:outlineLvl w:val="0"/>
        <w:rPr>
          <w:rFonts w:hint="eastAsia" w:ascii="方正小标宋简体" w:hAnsi="方正小标宋简体" w:eastAsia="方正小标宋简体" w:cs="方正小标宋简体"/>
          <w:b w:val="0"/>
          <w:bCs w:val="0"/>
          <w:sz w:val="44"/>
          <w:szCs w:val="44"/>
        </w:rPr>
      </w:pPr>
      <w:bookmarkStart w:id="21" w:name="_Toc199443721"/>
      <w:bookmarkStart w:id="22" w:name="_Toc13834"/>
      <w:r>
        <w:rPr>
          <w:rFonts w:hint="eastAsia" w:ascii="方正小标宋简体" w:hAnsi="方正小标宋简体" w:eastAsia="方正小标宋简体" w:cs="方正小标宋简体"/>
          <w:b w:val="0"/>
          <w:bCs w:val="0"/>
          <w:sz w:val="44"/>
          <w:szCs w:val="44"/>
        </w:rPr>
        <w:t>报</w:t>
      </w:r>
      <w:bookmarkEnd w:id="21"/>
      <w:bookmarkEnd w:id="22"/>
    </w:p>
    <w:p>
      <w:pPr>
        <w:pStyle w:val="20"/>
        <w:spacing w:beforeAutospacing="0" w:afterAutospacing="0" w:line="820" w:lineRule="exact"/>
        <w:ind w:leftChars="-44" w:right="-480" w:rightChars="-150" w:hanging="140" w:hangingChars="32"/>
        <w:jc w:val="center"/>
        <w:outlineLvl w:val="0"/>
        <w:rPr>
          <w:rFonts w:hint="eastAsia" w:ascii="方正小标宋简体" w:hAnsi="方正小标宋简体" w:eastAsia="方正小标宋简体" w:cs="方正小标宋简体"/>
          <w:b w:val="0"/>
          <w:bCs w:val="0"/>
          <w:sz w:val="44"/>
          <w:szCs w:val="44"/>
        </w:rPr>
      </w:pPr>
      <w:bookmarkStart w:id="23" w:name="_Toc199443722"/>
      <w:bookmarkStart w:id="24" w:name="_Toc1408"/>
      <w:r>
        <w:rPr>
          <w:rFonts w:hint="eastAsia" w:ascii="方正小标宋简体" w:hAnsi="方正小标宋简体" w:eastAsia="方正小标宋简体" w:cs="方正小标宋简体"/>
          <w:b w:val="0"/>
          <w:bCs w:val="0"/>
          <w:sz w:val="44"/>
          <w:szCs w:val="44"/>
        </w:rPr>
        <w:t>告</w:t>
      </w:r>
      <w:bookmarkEnd w:id="23"/>
      <w:bookmarkEnd w:id="24"/>
    </w:p>
    <w:p>
      <w:pPr>
        <w:snapToGrid w:val="0"/>
        <w:spacing w:line="600" w:lineRule="exact"/>
        <w:rPr>
          <w:rStyle w:val="67"/>
          <w:rFonts w:hint="eastAsia" w:eastAsia="仿宋_GB2312"/>
          <w:bCs/>
          <w:sz w:val="28"/>
          <w:szCs w:val="28"/>
          <w:lang w:eastAsia="zh-CN"/>
        </w:rPr>
      </w:pPr>
    </w:p>
    <w:p>
      <w:pPr>
        <w:snapToGrid w:val="0"/>
        <w:spacing w:line="600" w:lineRule="exact"/>
        <w:rPr>
          <w:rStyle w:val="67"/>
          <w:rFonts w:hint="eastAsia" w:eastAsia="仿宋_GB2312"/>
          <w:bCs/>
          <w:sz w:val="28"/>
          <w:szCs w:val="28"/>
          <w:lang w:eastAsia="zh-CN"/>
        </w:rPr>
      </w:pPr>
      <w:r>
        <w:rPr>
          <w:rStyle w:val="67"/>
          <w:rFonts w:eastAsia="仿宋_GB2312"/>
          <w:bCs/>
          <w:sz w:val="28"/>
          <w:szCs w:val="28"/>
          <w:lang w:eastAsia="zh-CN"/>
        </w:rPr>
        <w:t>项目编号：金财绩评（202</w:t>
      </w:r>
      <w:r>
        <w:rPr>
          <w:rStyle w:val="67"/>
          <w:rFonts w:hint="eastAsia" w:eastAsia="仿宋_GB2312"/>
          <w:bCs/>
          <w:sz w:val="28"/>
          <w:szCs w:val="28"/>
          <w:lang w:eastAsia="zh-CN"/>
        </w:rPr>
        <w:t>5</w:t>
      </w:r>
      <w:r>
        <w:rPr>
          <w:rStyle w:val="67"/>
          <w:rFonts w:eastAsia="仿宋_GB2312"/>
          <w:bCs/>
          <w:sz w:val="28"/>
          <w:szCs w:val="28"/>
          <w:lang w:eastAsia="zh-CN"/>
        </w:rPr>
        <w:t>）</w:t>
      </w:r>
      <w:r>
        <w:rPr>
          <w:rStyle w:val="67"/>
          <w:rFonts w:hint="eastAsia" w:eastAsia="仿宋_GB2312"/>
          <w:bCs/>
          <w:sz w:val="28"/>
          <w:szCs w:val="28"/>
          <w:lang w:eastAsia="zh-CN"/>
        </w:rPr>
        <w:t>0</w:t>
      </w:r>
      <w:r>
        <w:rPr>
          <w:rStyle w:val="67"/>
          <w:rFonts w:hint="eastAsia"/>
          <w:bCs/>
          <w:sz w:val="28"/>
          <w:szCs w:val="28"/>
          <w:lang w:val="en-US" w:eastAsia="zh-CN"/>
        </w:rPr>
        <w:t>6</w:t>
      </w:r>
      <w:r>
        <w:rPr>
          <w:rStyle w:val="67"/>
          <w:rFonts w:eastAsia="仿宋_GB2312"/>
          <w:bCs/>
          <w:sz w:val="28"/>
          <w:szCs w:val="28"/>
          <w:lang w:eastAsia="zh-CN"/>
        </w:rPr>
        <w:t>号</w:t>
      </w:r>
    </w:p>
    <w:p>
      <w:pPr>
        <w:snapToGrid w:val="0"/>
        <w:spacing w:line="600" w:lineRule="exact"/>
        <w:rPr>
          <w:rStyle w:val="67"/>
          <w:rFonts w:hint="eastAsia" w:eastAsia="仿宋_GB2312"/>
          <w:bCs/>
          <w:sz w:val="28"/>
          <w:szCs w:val="28"/>
          <w:lang w:eastAsia="zh-CN"/>
        </w:rPr>
      </w:pPr>
      <w:r>
        <w:rPr>
          <w:rStyle w:val="67"/>
          <w:rFonts w:eastAsia="仿宋_GB2312"/>
          <w:bCs/>
          <w:sz w:val="28"/>
          <w:szCs w:val="28"/>
          <w:lang w:eastAsia="zh-CN"/>
        </w:rPr>
        <w:t>主管部门：</w:t>
      </w:r>
      <w:r>
        <w:rPr>
          <w:rStyle w:val="67"/>
          <w:rFonts w:hint="eastAsia" w:eastAsia="仿宋_GB2312"/>
          <w:bCs/>
          <w:sz w:val="28"/>
          <w:szCs w:val="28"/>
          <w:lang w:eastAsia="zh-CN"/>
        </w:rPr>
        <w:t>乐山市金口河区文化广播电视体育和旅游局</w:t>
      </w:r>
    </w:p>
    <w:p>
      <w:pPr>
        <w:snapToGrid w:val="0"/>
        <w:spacing w:line="600" w:lineRule="exact"/>
        <w:rPr>
          <w:rStyle w:val="67"/>
          <w:rFonts w:hint="eastAsia" w:eastAsia="仿宋_GB2312"/>
          <w:bCs/>
          <w:sz w:val="28"/>
          <w:szCs w:val="28"/>
          <w:lang w:eastAsia="zh-CN"/>
        </w:rPr>
      </w:pPr>
      <w:r>
        <w:rPr>
          <w:rStyle w:val="67"/>
          <w:rFonts w:eastAsia="仿宋_GB2312"/>
          <w:bCs/>
          <w:sz w:val="28"/>
          <w:szCs w:val="28"/>
          <w:lang w:eastAsia="zh-CN"/>
        </w:rPr>
        <w:t>实施单位：</w:t>
      </w:r>
      <w:r>
        <w:rPr>
          <w:rStyle w:val="67"/>
          <w:rFonts w:hint="eastAsia" w:eastAsia="仿宋_GB2312"/>
          <w:bCs/>
          <w:sz w:val="28"/>
          <w:szCs w:val="28"/>
          <w:lang w:eastAsia="zh-CN"/>
        </w:rPr>
        <w:t>乐山市金口河区文化广播电视体育和旅游局</w:t>
      </w:r>
    </w:p>
    <w:p>
      <w:pPr>
        <w:snapToGrid w:val="0"/>
        <w:spacing w:line="600" w:lineRule="exact"/>
        <w:rPr>
          <w:rStyle w:val="67"/>
          <w:rFonts w:hint="eastAsia" w:eastAsia="仿宋_GB2312"/>
          <w:bCs/>
          <w:sz w:val="28"/>
          <w:szCs w:val="28"/>
          <w:lang w:eastAsia="zh-CN"/>
        </w:rPr>
        <w:sectPr>
          <w:headerReference r:id="rId7" w:type="first"/>
          <w:footerReference r:id="rId10" w:type="first"/>
          <w:headerReference r:id="rId5" w:type="default"/>
          <w:footerReference r:id="rId8" w:type="default"/>
          <w:headerReference r:id="rId6" w:type="even"/>
          <w:footerReference r:id="rId9" w:type="even"/>
          <w:pgSz w:w="11906" w:h="16838"/>
          <w:pgMar w:top="0" w:right="1800" w:bottom="1440" w:left="1800" w:header="211" w:footer="992" w:gutter="0"/>
          <w:pgNumType w:fmt="upperRoman" w:start="1"/>
          <w:cols w:space="720" w:num="1"/>
          <w:docGrid w:type="lines" w:linePitch="312" w:charSpace="0"/>
        </w:sectPr>
      </w:pPr>
      <w:r>
        <w:rPr>
          <w:rStyle w:val="67"/>
          <w:rFonts w:eastAsia="仿宋_GB2312"/>
          <w:bCs/>
          <w:sz w:val="28"/>
          <w:szCs w:val="28"/>
          <w:lang w:eastAsia="zh-CN"/>
        </w:rPr>
        <w:t>评价单</w:t>
      </w:r>
      <w:r>
        <w:rPr>
          <w:rStyle w:val="67"/>
          <w:rFonts w:hint="eastAsia" w:eastAsia="仿宋_GB2312"/>
          <w:bCs/>
          <w:sz w:val="28"/>
          <w:szCs w:val="28"/>
          <w:lang w:eastAsia="zh-CN"/>
        </w:rPr>
        <w:t>位：乐山市金口河区财政投资评价审核中心</w:t>
      </w:r>
    </w:p>
    <w:p>
      <w:pPr>
        <w:tabs>
          <w:tab w:val="left" w:pos="1336"/>
        </w:tabs>
        <w:spacing w:line="760" w:lineRule="exact"/>
        <w:ind w:right="-906" w:rightChars="-283" w:firstLine="0" w:firstLineChars="0"/>
        <w:jc w:val="center"/>
        <w:outlineLvl w:val="0"/>
        <w:rPr>
          <w:rFonts w:hint="eastAsia" w:ascii="方正小标宋简体" w:hAnsi="方正小标宋简体" w:eastAsia="方正小标宋简体" w:cs="方正小标宋简体"/>
          <w:bCs/>
          <w:kern w:val="44"/>
          <w:sz w:val="44"/>
          <w:szCs w:val="44"/>
          <w:lang w:eastAsia="zh-CN"/>
        </w:rPr>
      </w:pPr>
      <w:bookmarkStart w:id="25" w:name="_Toc30342"/>
      <w:bookmarkStart w:id="26" w:name="_Toc28644"/>
      <w:bookmarkStart w:id="27" w:name="_Toc15556"/>
    </w:p>
    <w:p>
      <w:pPr>
        <w:tabs>
          <w:tab w:val="left" w:pos="1336"/>
        </w:tabs>
        <w:spacing w:line="760" w:lineRule="exact"/>
        <w:ind w:right="-906" w:rightChars="-283" w:firstLine="0" w:firstLineChars="0"/>
        <w:jc w:val="center"/>
        <w:outlineLvl w:val="0"/>
        <w:rPr>
          <w:rFonts w:hint="eastAsia" w:ascii="方正小标宋简体" w:hAnsi="方正小标宋简体" w:eastAsia="方正小标宋简体" w:cs="方正小标宋简体"/>
          <w:bCs/>
          <w:kern w:val="44"/>
          <w:sz w:val="44"/>
          <w:szCs w:val="44"/>
          <w:lang w:eastAsia="zh-CN"/>
        </w:rPr>
      </w:pPr>
      <w:r>
        <w:rPr>
          <w:rFonts w:hint="eastAsia" w:ascii="方正小标宋简体" w:hAnsi="方正小标宋简体" w:eastAsia="方正小标宋简体" w:cs="方正小标宋简体"/>
          <w:bCs/>
          <w:kern w:val="44"/>
          <w:sz w:val="44"/>
          <w:szCs w:val="44"/>
          <w:lang w:eastAsia="zh-CN"/>
        </w:rPr>
        <w:t>乐山市金口河区文化广播电视体育和旅游局</w:t>
      </w:r>
    </w:p>
    <w:p>
      <w:pPr>
        <w:tabs>
          <w:tab w:val="left" w:pos="1336"/>
        </w:tabs>
        <w:spacing w:line="760" w:lineRule="exact"/>
        <w:ind w:left="54" w:leftChars="-177" w:right="-906" w:rightChars="-283" w:hanging="620" w:hangingChars="141"/>
        <w:jc w:val="center"/>
        <w:outlineLvl w:val="0"/>
        <w:rPr>
          <w:rFonts w:hint="eastAsia" w:ascii="方正小标宋简体" w:hAnsi="方正小标宋简体" w:eastAsia="方正小标宋简体" w:cs="方正小标宋简体"/>
          <w:bCs/>
          <w:kern w:val="44"/>
          <w:sz w:val="44"/>
          <w:szCs w:val="44"/>
          <w:lang w:eastAsia="zh-CN"/>
        </w:rPr>
      </w:pPr>
      <w:bookmarkStart w:id="28" w:name="_Toc199443724"/>
      <w:bookmarkStart w:id="29" w:name="_Toc27242"/>
      <w:r>
        <w:rPr>
          <w:rFonts w:hint="eastAsia" w:ascii="方正小标宋简体" w:hAnsi="方正小标宋简体" w:eastAsia="方正小标宋简体" w:cs="方正小标宋简体"/>
          <w:bCs/>
          <w:kern w:val="44"/>
          <w:sz w:val="44"/>
          <w:szCs w:val="44"/>
          <w:lang w:eastAsia="zh-CN"/>
        </w:rPr>
        <w:t>农业产业推广：第二届非遗特色美食大赛及推广</w:t>
      </w:r>
    </w:p>
    <w:p>
      <w:pPr>
        <w:tabs>
          <w:tab w:val="left" w:pos="1336"/>
        </w:tabs>
        <w:spacing w:line="760" w:lineRule="exact"/>
        <w:ind w:left="54" w:leftChars="-177" w:right="-906" w:rightChars="-283" w:hanging="620" w:hangingChars="141"/>
        <w:jc w:val="center"/>
        <w:outlineLvl w:val="0"/>
        <w:rPr>
          <w:rFonts w:hint="eastAsia" w:ascii="方正小标宋简体" w:hAnsi="方正小标宋简体" w:eastAsia="方正小标宋简体" w:cs="方正小标宋简体"/>
          <w:bCs/>
          <w:kern w:val="44"/>
          <w:sz w:val="44"/>
          <w:szCs w:val="44"/>
          <w:lang w:eastAsia="zh-CN"/>
        </w:rPr>
      </w:pPr>
      <w:r>
        <w:rPr>
          <w:rFonts w:hint="eastAsia" w:ascii="方正小标宋简体" w:hAnsi="方正小标宋简体" w:eastAsia="方正小标宋简体" w:cs="方正小标宋简体"/>
          <w:bCs/>
          <w:kern w:val="44"/>
          <w:sz w:val="44"/>
          <w:szCs w:val="44"/>
          <w:lang w:eastAsia="zh-CN"/>
        </w:rPr>
        <w:t>项目支出绩效评价结论</w:t>
      </w:r>
      <w:bookmarkEnd w:id="25"/>
      <w:bookmarkEnd w:id="26"/>
      <w:bookmarkEnd w:id="27"/>
      <w:bookmarkEnd w:id="28"/>
      <w:bookmarkEnd w:id="29"/>
    </w:p>
    <w:p>
      <w:pPr>
        <w:spacing w:before="312" w:beforeLines="100"/>
        <w:ind w:firstLine="640"/>
        <w:rPr>
          <w:rFonts w:hint="eastAsia" w:ascii="仿宋" w:hAnsi="仿宋" w:eastAsia="仿宋" w:cs="仿宋"/>
          <w:color w:val="auto"/>
          <w:szCs w:val="32"/>
          <w:lang w:eastAsia="zh-CN"/>
        </w:rPr>
      </w:pPr>
      <w:r>
        <w:rPr>
          <w:rFonts w:hint="eastAsia" w:ascii="仿宋" w:hAnsi="仿宋" w:eastAsia="仿宋" w:cs="仿宋"/>
          <w:color w:val="auto"/>
          <w:szCs w:val="32"/>
          <w:lang w:eastAsia="zh-CN"/>
        </w:rPr>
        <w:t>我中心对农业产业推广：第二届非遗特色美食大赛及推广项目绩效评价综合得分为</w:t>
      </w:r>
      <w:r>
        <w:rPr>
          <w:rFonts w:hint="eastAsia" w:ascii="仿宋" w:hAnsi="仿宋" w:eastAsia="仿宋" w:cs="仿宋"/>
          <w:color w:val="auto"/>
          <w:szCs w:val="32"/>
          <w:lang w:val="en-US" w:eastAsia="zh-CN"/>
        </w:rPr>
        <w:t>94.02</w:t>
      </w:r>
      <w:r>
        <w:rPr>
          <w:rFonts w:hint="eastAsia" w:ascii="仿宋" w:hAnsi="仿宋" w:eastAsia="仿宋" w:cs="仿宋"/>
          <w:color w:val="auto"/>
          <w:szCs w:val="32"/>
          <w:lang w:eastAsia="zh-CN"/>
        </w:rPr>
        <w:t>分，其中，项目决策</w:t>
      </w:r>
      <w:r>
        <w:rPr>
          <w:rFonts w:hint="eastAsia" w:ascii="仿宋" w:hAnsi="仿宋" w:eastAsia="仿宋" w:cs="仿宋"/>
          <w:color w:val="auto"/>
          <w:szCs w:val="32"/>
          <w:lang w:val="en-US" w:eastAsia="zh-CN"/>
        </w:rPr>
        <w:t>16</w:t>
      </w:r>
      <w:r>
        <w:rPr>
          <w:rFonts w:hint="eastAsia" w:ascii="仿宋" w:hAnsi="仿宋" w:eastAsia="仿宋" w:cs="仿宋"/>
          <w:color w:val="auto"/>
          <w:szCs w:val="32"/>
          <w:lang w:eastAsia="zh-CN"/>
        </w:rPr>
        <w:t>.50分，项目过程</w:t>
      </w:r>
      <w:r>
        <w:rPr>
          <w:rFonts w:hint="eastAsia" w:ascii="仿宋" w:hAnsi="仿宋" w:eastAsia="仿宋" w:cs="仿宋"/>
          <w:color w:val="auto"/>
          <w:szCs w:val="32"/>
          <w:lang w:val="en-US" w:eastAsia="zh-CN"/>
        </w:rPr>
        <w:t>19.12</w:t>
      </w:r>
      <w:r>
        <w:rPr>
          <w:rFonts w:hint="eastAsia" w:ascii="仿宋" w:hAnsi="仿宋" w:eastAsia="仿宋" w:cs="仿宋"/>
          <w:color w:val="auto"/>
          <w:szCs w:val="32"/>
          <w:lang w:eastAsia="zh-CN"/>
        </w:rPr>
        <w:t>分，项目产出</w:t>
      </w:r>
      <w:r>
        <w:rPr>
          <w:rFonts w:hint="eastAsia" w:ascii="仿宋" w:hAnsi="仿宋" w:eastAsia="仿宋" w:cs="仿宋"/>
          <w:color w:val="auto"/>
          <w:szCs w:val="32"/>
          <w:lang w:val="en-US" w:eastAsia="zh-CN"/>
        </w:rPr>
        <w:t>28.40</w:t>
      </w:r>
      <w:r>
        <w:rPr>
          <w:rFonts w:hint="eastAsia" w:ascii="仿宋" w:hAnsi="仿宋" w:eastAsia="仿宋" w:cs="仿宋"/>
          <w:color w:val="auto"/>
          <w:szCs w:val="32"/>
          <w:lang w:eastAsia="zh-CN"/>
        </w:rPr>
        <w:t>分，项目效益</w:t>
      </w:r>
      <w:r>
        <w:rPr>
          <w:rFonts w:hint="eastAsia" w:ascii="仿宋" w:hAnsi="仿宋" w:eastAsia="仿宋" w:cs="仿宋"/>
          <w:color w:val="auto"/>
          <w:szCs w:val="32"/>
          <w:lang w:val="en-US" w:eastAsia="zh-CN"/>
        </w:rPr>
        <w:t>30</w:t>
      </w:r>
      <w:r>
        <w:rPr>
          <w:rFonts w:hint="eastAsia" w:ascii="仿宋" w:hAnsi="仿宋" w:eastAsia="仿宋" w:cs="仿宋"/>
          <w:color w:val="auto"/>
          <w:szCs w:val="32"/>
          <w:lang w:eastAsia="zh-CN"/>
        </w:rPr>
        <w:t>.00分，绩效评价评定级别为“</w:t>
      </w:r>
      <w:r>
        <w:rPr>
          <w:rFonts w:hint="eastAsia" w:ascii="仿宋" w:hAnsi="仿宋" w:eastAsia="仿宋" w:cs="仿宋"/>
          <w:color w:val="auto"/>
          <w:szCs w:val="32"/>
          <w:lang w:val="en-US" w:eastAsia="zh-CN"/>
        </w:rPr>
        <w:t>优</w:t>
      </w:r>
      <w:r>
        <w:rPr>
          <w:rFonts w:hint="eastAsia" w:ascii="仿宋" w:hAnsi="仿宋" w:eastAsia="仿宋" w:cs="仿宋"/>
          <w:color w:val="auto"/>
          <w:szCs w:val="32"/>
          <w:lang w:eastAsia="zh-CN"/>
        </w:rPr>
        <w:t>”。（具体评分情况见附件1.绩效评价指标体系及综合评分表）</w:t>
      </w:r>
    </w:p>
    <w:p>
      <w:pPr>
        <w:tabs>
          <w:tab w:val="left" w:pos="1336"/>
        </w:tabs>
        <w:ind w:firstLine="0" w:firstLineChars="0"/>
        <w:jc w:val="center"/>
        <w:rPr>
          <w:rFonts w:hint="eastAsia" w:ascii="仿宋" w:hAnsi="仿宋" w:eastAsia="仿宋" w:cs="仿宋"/>
          <w:szCs w:val="32"/>
          <w:lang w:eastAsia="zh-CN"/>
        </w:rPr>
      </w:pPr>
      <w:r>
        <w:rPr>
          <w:rFonts w:hint="eastAsia" w:ascii="仿宋" w:hAnsi="仿宋" w:eastAsia="仿宋" w:cs="仿宋"/>
          <w:szCs w:val="32"/>
          <w:lang w:eastAsia="zh-CN"/>
        </w:rPr>
        <w:t>农业产业推广：第二届非遗特色美食大赛及推广项目</w:t>
      </w:r>
    </w:p>
    <w:p>
      <w:pPr>
        <w:tabs>
          <w:tab w:val="left" w:pos="1336"/>
        </w:tabs>
        <w:ind w:firstLine="0" w:firstLineChars="0"/>
        <w:jc w:val="center"/>
        <w:rPr>
          <w:rFonts w:hint="eastAsia" w:ascii="仿宋" w:hAnsi="仿宋" w:eastAsia="仿宋" w:cs="仿宋"/>
          <w:szCs w:val="32"/>
          <w:lang w:eastAsia="zh-CN"/>
        </w:rPr>
      </w:pPr>
      <w:bookmarkStart w:id="30" w:name="_Toc5194"/>
      <w:bookmarkStart w:id="31" w:name="_Toc11716"/>
      <w:bookmarkStart w:id="32" w:name="_Toc2593"/>
      <w:r>
        <w:rPr>
          <w:rFonts w:hint="eastAsia" w:ascii="仿宋" w:hAnsi="仿宋" w:eastAsia="仿宋" w:cs="仿宋"/>
          <w:szCs w:val="32"/>
          <w:lang w:eastAsia="zh-CN"/>
        </w:rPr>
        <w:t>财政支出绩效评价结论一览表</w:t>
      </w:r>
      <w:bookmarkEnd w:id="30"/>
      <w:bookmarkEnd w:id="31"/>
      <w:bookmarkEnd w:id="32"/>
    </w:p>
    <w:tbl>
      <w:tblPr>
        <w:tblStyle w:val="22"/>
        <w:tblW w:w="8519" w:type="dxa"/>
        <w:tblInd w:w="0" w:type="dxa"/>
        <w:tblLayout w:type="fixed"/>
        <w:tblCellMar>
          <w:top w:w="0" w:type="dxa"/>
          <w:left w:w="108" w:type="dxa"/>
          <w:bottom w:w="0" w:type="dxa"/>
          <w:right w:w="108" w:type="dxa"/>
        </w:tblCellMar>
      </w:tblPr>
      <w:tblGrid>
        <w:gridCol w:w="3011"/>
        <w:gridCol w:w="1822"/>
        <w:gridCol w:w="1844"/>
        <w:gridCol w:w="1842"/>
      </w:tblGrid>
      <w:tr>
        <w:tblPrEx>
          <w:tblCellMar>
            <w:top w:w="0" w:type="dxa"/>
            <w:left w:w="108" w:type="dxa"/>
            <w:bottom w:w="0" w:type="dxa"/>
            <w:right w:w="108" w:type="dxa"/>
          </w:tblCellMar>
        </w:tblPrEx>
        <w:trPr>
          <w:trHeight w:val="907" w:hRule="exact"/>
        </w:trPr>
        <w:tc>
          <w:tcPr>
            <w:tcW w:w="3011" w:type="dxa"/>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pPr>
              <w:widowControl/>
              <w:ind w:firstLine="0" w:firstLineChars="0"/>
              <w:jc w:val="center"/>
              <w:textAlignment w:val="bottom"/>
              <w:rPr>
                <w:rFonts w:hint="eastAsia" w:ascii="仿宋" w:hAnsi="仿宋" w:eastAsia="仿宋" w:cs="仿宋"/>
                <w:szCs w:val="32"/>
              </w:rPr>
            </w:pPr>
            <w:r>
              <w:rPr>
                <w:rFonts w:hint="eastAsia" w:ascii="仿宋" w:hAnsi="仿宋" w:eastAsia="仿宋" w:cs="仿宋"/>
                <w:szCs w:val="32"/>
                <w:lang w:eastAsia="zh-CN" w:bidi="ar"/>
              </w:rPr>
              <w:t>评价内容</w:t>
            </w:r>
          </w:p>
        </w:tc>
        <w:tc>
          <w:tcPr>
            <w:tcW w:w="1822" w:type="dxa"/>
            <w:tcBorders>
              <w:top w:val="single" w:color="auto" w:sz="4" w:space="0"/>
              <w:left w:val="nil"/>
              <w:bottom w:val="single" w:color="auto" w:sz="4" w:space="0"/>
              <w:right w:val="single" w:color="auto" w:sz="4" w:space="0"/>
            </w:tcBorders>
            <w:shd w:val="clear" w:color="auto" w:fill="BEBEBE" w:themeFill="background1" w:themeFillShade="BF"/>
            <w:noWrap/>
            <w:vAlign w:val="center"/>
          </w:tcPr>
          <w:p>
            <w:pPr>
              <w:widowControl/>
              <w:ind w:firstLine="0" w:firstLineChars="0"/>
              <w:jc w:val="center"/>
              <w:textAlignment w:val="bottom"/>
              <w:rPr>
                <w:rFonts w:hint="eastAsia" w:ascii="仿宋" w:hAnsi="仿宋" w:eastAsia="仿宋" w:cs="仿宋"/>
                <w:szCs w:val="32"/>
              </w:rPr>
            </w:pPr>
            <w:r>
              <w:rPr>
                <w:rFonts w:hint="eastAsia" w:ascii="仿宋" w:hAnsi="仿宋" w:eastAsia="仿宋" w:cs="仿宋"/>
                <w:szCs w:val="32"/>
                <w:lang w:eastAsia="zh-CN" w:bidi="ar"/>
              </w:rPr>
              <w:t>分值</w:t>
            </w:r>
          </w:p>
        </w:tc>
        <w:tc>
          <w:tcPr>
            <w:tcW w:w="1844" w:type="dxa"/>
            <w:tcBorders>
              <w:top w:val="single" w:color="auto" w:sz="4" w:space="0"/>
              <w:left w:val="nil"/>
              <w:bottom w:val="single" w:color="auto" w:sz="4" w:space="0"/>
              <w:right w:val="single" w:color="auto" w:sz="4" w:space="0"/>
            </w:tcBorders>
            <w:shd w:val="clear" w:color="auto" w:fill="BEBEBE" w:themeFill="background1" w:themeFillShade="BF"/>
            <w:noWrap/>
            <w:vAlign w:val="center"/>
          </w:tcPr>
          <w:p>
            <w:pPr>
              <w:widowControl/>
              <w:ind w:firstLine="0" w:firstLineChars="0"/>
              <w:jc w:val="center"/>
              <w:textAlignment w:val="bottom"/>
              <w:rPr>
                <w:rFonts w:hint="eastAsia" w:ascii="仿宋" w:hAnsi="仿宋" w:eastAsia="仿宋" w:cs="仿宋"/>
                <w:szCs w:val="32"/>
              </w:rPr>
            </w:pPr>
            <w:r>
              <w:rPr>
                <w:rFonts w:hint="eastAsia" w:ascii="仿宋" w:hAnsi="仿宋" w:eastAsia="仿宋" w:cs="仿宋"/>
                <w:szCs w:val="32"/>
                <w:lang w:eastAsia="zh-CN" w:bidi="ar"/>
              </w:rPr>
              <w:t>评价得分</w:t>
            </w:r>
          </w:p>
        </w:tc>
        <w:tc>
          <w:tcPr>
            <w:tcW w:w="1842" w:type="dxa"/>
            <w:tcBorders>
              <w:top w:val="single" w:color="auto" w:sz="4" w:space="0"/>
              <w:left w:val="nil"/>
              <w:bottom w:val="single" w:color="auto" w:sz="4" w:space="0"/>
              <w:right w:val="single" w:color="auto" w:sz="4" w:space="0"/>
            </w:tcBorders>
            <w:shd w:val="clear" w:color="auto" w:fill="BEBEBE" w:themeFill="background1" w:themeFillShade="BF"/>
            <w:noWrap/>
            <w:vAlign w:val="center"/>
          </w:tcPr>
          <w:p>
            <w:pPr>
              <w:widowControl/>
              <w:ind w:firstLine="0" w:firstLineChars="0"/>
              <w:jc w:val="center"/>
              <w:textAlignment w:val="bottom"/>
              <w:rPr>
                <w:rFonts w:hint="eastAsia" w:ascii="仿宋" w:hAnsi="仿宋" w:eastAsia="仿宋" w:cs="仿宋"/>
                <w:szCs w:val="32"/>
                <w:lang w:eastAsia="zh-CN"/>
              </w:rPr>
            </w:pPr>
            <w:r>
              <w:rPr>
                <w:rFonts w:hint="eastAsia" w:ascii="仿宋" w:hAnsi="仿宋" w:eastAsia="仿宋" w:cs="仿宋"/>
                <w:szCs w:val="32"/>
                <w:lang w:eastAsia="zh-CN" w:bidi="ar"/>
              </w:rPr>
              <w:t>得分率</w:t>
            </w:r>
          </w:p>
        </w:tc>
      </w:tr>
      <w:tr>
        <w:tblPrEx>
          <w:tblCellMar>
            <w:top w:w="0" w:type="dxa"/>
            <w:left w:w="108" w:type="dxa"/>
            <w:bottom w:w="0" w:type="dxa"/>
            <w:right w:w="108" w:type="dxa"/>
          </w:tblCellMar>
        </w:tblPrEx>
        <w:trPr>
          <w:trHeight w:val="907" w:hRule="exact"/>
        </w:trPr>
        <w:tc>
          <w:tcPr>
            <w:tcW w:w="3011" w:type="dxa"/>
            <w:tcBorders>
              <w:top w:val="nil"/>
              <w:left w:val="single" w:color="auto" w:sz="4" w:space="0"/>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eastAsia" w:ascii="仿宋" w:hAnsi="仿宋" w:eastAsia="仿宋" w:cs="仿宋"/>
                <w:szCs w:val="32"/>
              </w:rPr>
            </w:pPr>
            <w:r>
              <w:rPr>
                <w:rFonts w:hint="eastAsia" w:ascii="仿宋" w:hAnsi="仿宋" w:eastAsia="仿宋" w:cs="仿宋"/>
                <w:szCs w:val="32"/>
                <w:lang w:eastAsia="zh-CN" w:bidi="ar"/>
              </w:rPr>
              <w:t>项目决策</w:t>
            </w:r>
          </w:p>
        </w:tc>
        <w:tc>
          <w:tcPr>
            <w:tcW w:w="18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color w:val="FF0000"/>
                <w:szCs w:val="32"/>
              </w:rPr>
            </w:pPr>
            <w:r>
              <w:rPr>
                <w:rFonts w:hint="eastAsia" w:ascii="仿宋" w:hAnsi="仿宋" w:eastAsia="仿宋" w:cs="仿宋"/>
                <w:i w:val="0"/>
                <w:iCs w:val="0"/>
                <w:color w:val="000000"/>
                <w:kern w:val="0"/>
                <w:sz w:val="32"/>
                <w:szCs w:val="32"/>
                <w:u w:val="none"/>
                <w:lang w:val="en-US" w:eastAsia="zh-CN" w:bidi="ar"/>
              </w:rPr>
              <w:t>20</w:t>
            </w:r>
          </w:p>
        </w:tc>
        <w:tc>
          <w:tcPr>
            <w:tcW w:w="18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szCs w:val="32"/>
                <w:lang w:eastAsia="zh-CN" w:bidi="ar"/>
              </w:rPr>
            </w:pPr>
            <w:r>
              <w:rPr>
                <w:rFonts w:hint="eastAsia" w:ascii="仿宋" w:hAnsi="仿宋" w:eastAsia="仿宋" w:cs="仿宋"/>
                <w:i w:val="0"/>
                <w:iCs w:val="0"/>
                <w:color w:val="000000"/>
                <w:kern w:val="0"/>
                <w:sz w:val="32"/>
                <w:szCs w:val="32"/>
                <w:u w:val="none"/>
                <w:lang w:val="en-US" w:eastAsia="zh-CN" w:bidi="ar"/>
              </w:rPr>
              <w:t>16.5</w:t>
            </w:r>
          </w:p>
        </w:tc>
        <w:tc>
          <w:tcPr>
            <w:tcW w:w="184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szCs w:val="32"/>
                <w:lang w:eastAsia="zh-CN" w:bidi="ar"/>
              </w:rPr>
            </w:pPr>
            <w:r>
              <w:rPr>
                <w:rFonts w:hint="eastAsia" w:ascii="仿宋" w:hAnsi="仿宋" w:eastAsia="仿宋" w:cs="仿宋"/>
                <w:i w:val="0"/>
                <w:iCs w:val="0"/>
                <w:color w:val="000000"/>
                <w:kern w:val="0"/>
                <w:sz w:val="32"/>
                <w:szCs w:val="32"/>
                <w:u w:val="none"/>
                <w:lang w:val="en-US" w:eastAsia="zh-CN" w:bidi="ar"/>
              </w:rPr>
              <w:t>82.50%</w:t>
            </w:r>
          </w:p>
        </w:tc>
      </w:tr>
      <w:tr>
        <w:tblPrEx>
          <w:tblCellMar>
            <w:top w:w="0" w:type="dxa"/>
            <w:left w:w="108" w:type="dxa"/>
            <w:bottom w:w="0" w:type="dxa"/>
            <w:right w:w="108" w:type="dxa"/>
          </w:tblCellMar>
        </w:tblPrEx>
        <w:trPr>
          <w:trHeight w:val="907" w:hRule="exact"/>
        </w:trPr>
        <w:tc>
          <w:tcPr>
            <w:tcW w:w="3011" w:type="dxa"/>
            <w:tcBorders>
              <w:top w:val="nil"/>
              <w:left w:val="single" w:color="auto" w:sz="4" w:space="0"/>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eastAsia" w:ascii="仿宋" w:hAnsi="仿宋" w:eastAsia="仿宋" w:cs="仿宋"/>
                <w:szCs w:val="32"/>
              </w:rPr>
            </w:pPr>
            <w:r>
              <w:rPr>
                <w:rFonts w:hint="eastAsia" w:ascii="仿宋" w:hAnsi="仿宋" w:eastAsia="仿宋" w:cs="仿宋"/>
                <w:szCs w:val="32"/>
                <w:lang w:eastAsia="zh-CN" w:bidi="ar"/>
              </w:rPr>
              <w:t>项目过程</w:t>
            </w:r>
          </w:p>
        </w:tc>
        <w:tc>
          <w:tcPr>
            <w:tcW w:w="18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color w:val="FF0000"/>
                <w:szCs w:val="32"/>
              </w:rPr>
            </w:pPr>
            <w:r>
              <w:rPr>
                <w:rFonts w:hint="eastAsia" w:ascii="仿宋" w:hAnsi="仿宋" w:eastAsia="仿宋" w:cs="仿宋"/>
                <w:i w:val="0"/>
                <w:iCs w:val="0"/>
                <w:color w:val="000000"/>
                <w:kern w:val="0"/>
                <w:sz w:val="32"/>
                <w:szCs w:val="32"/>
                <w:u w:val="none"/>
                <w:lang w:val="en-US" w:eastAsia="zh-CN" w:bidi="ar"/>
              </w:rPr>
              <w:t>20</w:t>
            </w:r>
          </w:p>
        </w:tc>
        <w:tc>
          <w:tcPr>
            <w:tcW w:w="18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szCs w:val="32"/>
                <w:lang w:eastAsia="zh-CN" w:bidi="ar"/>
              </w:rPr>
            </w:pPr>
            <w:r>
              <w:rPr>
                <w:rFonts w:hint="eastAsia" w:ascii="仿宋" w:hAnsi="仿宋" w:eastAsia="仿宋" w:cs="仿宋"/>
                <w:i w:val="0"/>
                <w:iCs w:val="0"/>
                <w:color w:val="000000"/>
                <w:kern w:val="0"/>
                <w:sz w:val="32"/>
                <w:szCs w:val="32"/>
                <w:u w:val="none"/>
                <w:lang w:val="en-US" w:eastAsia="zh-CN" w:bidi="ar"/>
              </w:rPr>
              <w:t>19.12</w:t>
            </w:r>
          </w:p>
        </w:tc>
        <w:tc>
          <w:tcPr>
            <w:tcW w:w="184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szCs w:val="32"/>
                <w:lang w:eastAsia="zh-CN" w:bidi="ar"/>
              </w:rPr>
            </w:pPr>
            <w:r>
              <w:rPr>
                <w:rFonts w:hint="eastAsia" w:ascii="仿宋" w:hAnsi="仿宋" w:eastAsia="仿宋" w:cs="仿宋"/>
                <w:i w:val="0"/>
                <w:iCs w:val="0"/>
                <w:color w:val="000000"/>
                <w:kern w:val="0"/>
                <w:sz w:val="32"/>
                <w:szCs w:val="32"/>
                <w:u w:val="none"/>
                <w:lang w:val="en-US" w:eastAsia="zh-CN" w:bidi="ar"/>
              </w:rPr>
              <w:t>95.60%</w:t>
            </w:r>
          </w:p>
        </w:tc>
      </w:tr>
      <w:tr>
        <w:tblPrEx>
          <w:tblCellMar>
            <w:top w:w="0" w:type="dxa"/>
            <w:left w:w="108" w:type="dxa"/>
            <w:bottom w:w="0" w:type="dxa"/>
            <w:right w:w="108" w:type="dxa"/>
          </w:tblCellMar>
        </w:tblPrEx>
        <w:trPr>
          <w:trHeight w:val="907" w:hRule="exact"/>
        </w:trPr>
        <w:tc>
          <w:tcPr>
            <w:tcW w:w="3011" w:type="dxa"/>
            <w:tcBorders>
              <w:top w:val="nil"/>
              <w:left w:val="single" w:color="auto" w:sz="4" w:space="0"/>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eastAsia" w:ascii="仿宋" w:hAnsi="仿宋" w:eastAsia="仿宋" w:cs="仿宋"/>
                <w:szCs w:val="32"/>
              </w:rPr>
            </w:pPr>
            <w:r>
              <w:rPr>
                <w:rFonts w:hint="eastAsia" w:ascii="仿宋" w:hAnsi="仿宋" w:eastAsia="仿宋" w:cs="仿宋"/>
                <w:szCs w:val="32"/>
                <w:lang w:eastAsia="zh-CN" w:bidi="ar"/>
              </w:rPr>
              <w:t>项目产出</w:t>
            </w:r>
          </w:p>
        </w:tc>
        <w:tc>
          <w:tcPr>
            <w:tcW w:w="18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color w:val="FF0000"/>
                <w:szCs w:val="32"/>
              </w:rPr>
            </w:pPr>
            <w:r>
              <w:rPr>
                <w:rFonts w:hint="eastAsia" w:ascii="仿宋" w:hAnsi="仿宋" w:eastAsia="仿宋" w:cs="仿宋"/>
                <w:i w:val="0"/>
                <w:iCs w:val="0"/>
                <w:color w:val="000000"/>
                <w:kern w:val="0"/>
                <w:sz w:val="32"/>
                <w:szCs w:val="32"/>
                <w:u w:val="none"/>
                <w:lang w:val="en-US" w:eastAsia="zh-CN" w:bidi="ar"/>
              </w:rPr>
              <w:t>30</w:t>
            </w:r>
          </w:p>
        </w:tc>
        <w:tc>
          <w:tcPr>
            <w:tcW w:w="18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szCs w:val="32"/>
                <w:lang w:eastAsia="zh-CN" w:bidi="ar"/>
              </w:rPr>
            </w:pPr>
            <w:r>
              <w:rPr>
                <w:rFonts w:hint="eastAsia" w:ascii="仿宋" w:hAnsi="仿宋" w:eastAsia="仿宋" w:cs="仿宋"/>
                <w:i w:val="0"/>
                <w:iCs w:val="0"/>
                <w:color w:val="000000"/>
                <w:kern w:val="0"/>
                <w:sz w:val="32"/>
                <w:szCs w:val="32"/>
                <w:u w:val="none"/>
                <w:lang w:val="en-US" w:eastAsia="zh-CN" w:bidi="ar"/>
              </w:rPr>
              <w:t>28.4</w:t>
            </w:r>
          </w:p>
        </w:tc>
        <w:tc>
          <w:tcPr>
            <w:tcW w:w="184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szCs w:val="32"/>
                <w:lang w:eastAsia="zh-CN" w:bidi="ar"/>
              </w:rPr>
            </w:pPr>
            <w:r>
              <w:rPr>
                <w:rFonts w:hint="eastAsia" w:ascii="仿宋" w:hAnsi="仿宋" w:eastAsia="仿宋" w:cs="仿宋"/>
                <w:i w:val="0"/>
                <w:iCs w:val="0"/>
                <w:color w:val="000000"/>
                <w:kern w:val="0"/>
                <w:sz w:val="32"/>
                <w:szCs w:val="32"/>
                <w:u w:val="none"/>
                <w:lang w:val="en-US" w:eastAsia="zh-CN" w:bidi="ar"/>
              </w:rPr>
              <w:t>94.67%</w:t>
            </w:r>
          </w:p>
        </w:tc>
      </w:tr>
      <w:tr>
        <w:tblPrEx>
          <w:tblCellMar>
            <w:top w:w="0" w:type="dxa"/>
            <w:left w:w="108" w:type="dxa"/>
            <w:bottom w:w="0" w:type="dxa"/>
            <w:right w:w="108" w:type="dxa"/>
          </w:tblCellMar>
        </w:tblPrEx>
        <w:trPr>
          <w:trHeight w:val="907" w:hRule="exact"/>
        </w:trPr>
        <w:tc>
          <w:tcPr>
            <w:tcW w:w="3011" w:type="dxa"/>
            <w:tcBorders>
              <w:top w:val="nil"/>
              <w:left w:val="single" w:color="auto" w:sz="4" w:space="0"/>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eastAsia" w:ascii="仿宋" w:hAnsi="仿宋" w:eastAsia="仿宋" w:cs="仿宋"/>
                <w:szCs w:val="32"/>
              </w:rPr>
            </w:pPr>
            <w:r>
              <w:rPr>
                <w:rFonts w:hint="eastAsia" w:ascii="仿宋" w:hAnsi="仿宋" w:eastAsia="仿宋" w:cs="仿宋"/>
                <w:szCs w:val="32"/>
                <w:lang w:eastAsia="zh-CN" w:bidi="ar"/>
              </w:rPr>
              <w:t>项目效益</w:t>
            </w:r>
          </w:p>
        </w:tc>
        <w:tc>
          <w:tcPr>
            <w:tcW w:w="18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color w:val="FF0000"/>
                <w:szCs w:val="32"/>
              </w:rPr>
            </w:pPr>
            <w:r>
              <w:rPr>
                <w:rFonts w:hint="eastAsia" w:ascii="仿宋" w:hAnsi="仿宋" w:eastAsia="仿宋" w:cs="仿宋"/>
                <w:i w:val="0"/>
                <w:iCs w:val="0"/>
                <w:color w:val="000000"/>
                <w:kern w:val="0"/>
                <w:sz w:val="32"/>
                <w:szCs w:val="32"/>
                <w:u w:val="none"/>
                <w:lang w:val="en-US" w:eastAsia="zh-CN" w:bidi="ar"/>
              </w:rPr>
              <w:t>30</w:t>
            </w:r>
          </w:p>
        </w:tc>
        <w:tc>
          <w:tcPr>
            <w:tcW w:w="18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szCs w:val="32"/>
                <w:lang w:eastAsia="zh-CN" w:bidi="ar"/>
              </w:rPr>
            </w:pPr>
            <w:r>
              <w:rPr>
                <w:rFonts w:hint="eastAsia" w:ascii="仿宋" w:hAnsi="仿宋" w:eastAsia="仿宋" w:cs="仿宋"/>
                <w:i w:val="0"/>
                <w:iCs w:val="0"/>
                <w:color w:val="000000"/>
                <w:kern w:val="0"/>
                <w:sz w:val="32"/>
                <w:szCs w:val="32"/>
                <w:u w:val="none"/>
                <w:lang w:val="en-US" w:eastAsia="zh-CN" w:bidi="ar"/>
              </w:rPr>
              <w:t>30</w:t>
            </w:r>
          </w:p>
        </w:tc>
        <w:tc>
          <w:tcPr>
            <w:tcW w:w="184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szCs w:val="32"/>
                <w:lang w:eastAsia="zh-CN" w:bidi="ar"/>
              </w:rPr>
            </w:pPr>
            <w:r>
              <w:rPr>
                <w:rFonts w:hint="eastAsia" w:ascii="仿宋" w:hAnsi="仿宋" w:eastAsia="仿宋" w:cs="仿宋"/>
                <w:i w:val="0"/>
                <w:iCs w:val="0"/>
                <w:color w:val="000000"/>
                <w:kern w:val="0"/>
                <w:sz w:val="32"/>
                <w:szCs w:val="32"/>
                <w:u w:val="none"/>
                <w:lang w:val="en-US" w:eastAsia="zh-CN" w:bidi="ar"/>
              </w:rPr>
              <w:t>100.00%</w:t>
            </w:r>
          </w:p>
        </w:tc>
      </w:tr>
      <w:tr>
        <w:tblPrEx>
          <w:tblCellMar>
            <w:top w:w="0" w:type="dxa"/>
            <w:left w:w="108" w:type="dxa"/>
            <w:bottom w:w="0" w:type="dxa"/>
            <w:right w:w="108" w:type="dxa"/>
          </w:tblCellMar>
        </w:tblPrEx>
        <w:trPr>
          <w:trHeight w:val="907" w:hRule="exact"/>
        </w:trPr>
        <w:tc>
          <w:tcPr>
            <w:tcW w:w="3011" w:type="dxa"/>
            <w:tcBorders>
              <w:top w:val="nil"/>
              <w:left w:val="single" w:color="auto" w:sz="4" w:space="0"/>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eastAsia" w:ascii="仿宋" w:hAnsi="仿宋" w:eastAsia="仿宋" w:cs="仿宋"/>
                <w:szCs w:val="32"/>
              </w:rPr>
            </w:pPr>
            <w:r>
              <w:rPr>
                <w:rFonts w:hint="eastAsia" w:ascii="仿宋" w:hAnsi="仿宋" w:eastAsia="仿宋" w:cs="仿宋"/>
                <w:szCs w:val="32"/>
                <w:lang w:eastAsia="zh-CN" w:bidi="ar"/>
              </w:rPr>
              <w:t>综合得分</w:t>
            </w:r>
          </w:p>
        </w:tc>
        <w:tc>
          <w:tcPr>
            <w:tcW w:w="18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color w:val="FF0000"/>
                <w:szCs w:val="32"/>
              </w:rPr>
            </w:pPr>
            <w:r>
              <w:rPr>
                <w:rFonts w:hint="eastAsia" w:ascii="仿宋" w:hAnsi="仿宋" w:eastAsia="仿宋" w:cs="仿宋"/>
                <w:i w:val="0"/>
                <w:iCs w:val="0"/>
                <w:color w:val="000000"/>
                <w:kern w:val="0"/>
                <w:sz w:val="32"/>
                <w:szCs w:val="32"/>
                <w:u w:val="none"/>
                <w:lang w:val="en-US" w:eastAsia="zh-CN" w:bidi="ar"/>
              </w:rPr>
              <w:t>100</w:t>
            </w:r>
          </w:p>
        </w:tc>
        <w:tc>
          <w:tcPr>
            <w:tcW w:w="18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szCs w:val="32"/>
                <w:lang w:eastAsia="zh-CN" w:bidi="ar"/>
              </w:rPr>
            </w:pPr>
            <w:r>
              <w:rPr>
                <w:rFonts w:hint="eastAsia" w:ascii="仿宋" w:hAnsi="仿宋" w:eastAsia="仿宋" w:cs="仿宋"/>
                <w:i w:val="0"/>
                <w:iCs w:val="0"/>
                <w:color w:val="000000"/>
                <w:kern w:val="0"/>
                <w:sz w:val="32"/>
                <w:szCs w:val="32"/>
                <w:u w:val="none"/>
                <w:lang w:val="en-US" w:eastAsia="zh-CN" w:bidi="ar"/>
              </w:rPr>
              <w:t>94.02</w:t>
            </w:r>
          </w:p>
        </w:tc>
        <w:tc>
          <w:tcPr>
            <w:tcW w:w="184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szCs w:val="32"/>
                <w:lang w:eastAsia="zh-CN" w:bidi="ar"/>
              </w:rPr>
            </w:pPr>
            <w:r>
              <w:rPr>
                <w:rFonts w:hint="eastAsia" w:ascii="仿宋" w:hAnsi="仿宋" w:eastAsia="仿宋" w:cs="仿宋"/>
                <w:i w:val="0"/>
                <w:iCs w:val="0"/>
                <w:color w:val="000000"/>
                <w:kern w:val="0"/>
                <w:sz w:val="32"/>
                <w:szCs w:val="32"/>
                <w:u w:val="none"/>
                <w:lang w:val="en-US" w:eastAsia="zh-CN" w:bidi="ar"/>
              </w:rPr>
              <w:t>94.02%</w:t>
            </w:r>
          </w:p>
        </w:tc>
      </w:tr>
      <w:tr>
        <w:tblPrEx>
          <w:tblCellMar>
            <w:top w:w="0" w:type="dxa"/>
            <w:left w:w="108" w:type="dxa"/>
            <w:bottom w:w="0" w:type="dxa"/>
            <w:right w:w="108" w:type="dxa"/>
          </w:tblCellMar>
        </w:tblPrEx>
        <w:trPr>
          <w:trHeight w:val="907" w:hRule="exact"/>
        </w:trPr>
        <w:tc>
          <w:tcPr>
            <w:tcW w:w="3011" w:type="dxa"/>
            <w:tcBorders>
              <w:top w:val="nil"/>
              <w:left w:val="single" w:color="auto" w:sz="4" w:space="0"/>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eastAsia" w:ascii="仿宋" w:hAnsi="仿宋" w:eastAsia="仿宋" w:cs="仿宋"/>
                <w:szCs w:val="32"/>
              </w:rPr>
            </w:pPr>
            <w:r>
              <w:rPr>
                <w:rFonts w:hint="eastAsia" w:ascii="仿宋" w:hAnsi="仿宋" w:eastAsia="仿宋" w:cs="仿宋"/>
                <w:szCs w:val="32"/>
                <w:lang w:eastAsia="zh-CN" w:bidi="ar"/>
              </w:rPr>
              <w:t>绩效评定级别</w:t>
            </w:r>
          </w:p>
        </w:tc>
        <w:tc>
          <w:tcPr>
            <w:tcW w:w="5508" w:type="dxa"/>
            <w:gridSpan w:val="3"/>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default" w:ascii="仿宋" w:hAnsi="仿宋" w:eastAsia="仿宋" w:cs="仿宋"/>
                <w:szCs w:val="32"/>
                <w:lang w:val="en-US" w:eastAsia="zh-CN"/>
              </w:rPr>
            </w:pPr>
            <w:r>
              <w:rPr>
                <w:rFonts w:hint="eastAsia" w:ascii="仿宋" w:hAnsi="仿宋" w:eastAsia="仿宋" w:cs="仿宋"/>
                <w:szCs w:val="32"/>
                <w:lang w:val="en-US" w:eastAsia="zh-CN"/>
              </w:rPr>
              <w:t>优</w:t>
            </w:r>
          </w:p>
        </w:tc>
      </w:tr>
    </w:tbl>
    <w:p>
      <w:pPr>
        <w:ind w:firstLine="0" w:firstLineChars="0"/>
        <w:jc w:val="center"/>
        <w:rPr>
          <w:rFonts w:eastAsia="宋体"/>
          <w:b/>
          <w:bCs/>
          <w:sz w:val="28"/>
          <w:szCs w:val="28"/>
        </w:rPr>
      </w:pPr>
      <w:r>
        <w:br w:type="page"/>
      </w:r>
      <w:r>
        <w:rPr>
          <w:rFonts w:eastAsia="宋体"/>
          <w:b/>
          <w:bCs/>
          <w:sz w:val="28"/>
          <w:szCs w:val="28"/>
        </w:rPr>
        <w:t>目录</w:t>
      </w:r>
    </w:p>
    <w:sdt>
      <w:sdtPr>
        <w:rPr>
          <w:rFonts w:ascii="宋体" w:hAnsi="宋体" w:eastAsia="宋体" w:cs="Times New Roman"/>
          <w:color w:val="000000"/>
          <w:sz w:val="21"/>
          <w:szCs w:val="24"/>
          <w:lang w:val="en-US" w:eastAsia="en-US" w:bidi="en-US"/>
        </w:rPr>
        <w:id w:val="147452164"/>
        <w15:color w:val="DBDBDB"/>
        <w:docPartObj>
          <w:docPartGallery w:val="Table of Contents"/>
          <w:docPartUnique/>
        </w:docPartObj>
      </w:sdtPr>
      <w:sdtEndPr>
        <w:rPr>
          <w:rFonts w:hint="eastAsia" w:ascii="仿宋" w:hAnsi="仿宋" w:eastAsia="仿宋" w:cs="仿宋"/>
          <w:b/>
          <w:bCs w:val="0"/>
          <w:color w:val="000000"/>
          <w:sz w:val="44"/>
          <w:szCs w:val="32"/>
          <w:lang w:val="en-US" w:eastAsia="zh-CN" w:bidi="en-US"/>
        </w:rPr>
      </w:sdtEndPr>
      <w:sdtContent>
        <w:p>
          <w:pPr>
            <w:spacing w:before="0" w:beforeLines="0" w:after="0" w:afterLines="0" w:line="240" w:lineRule="auto"/>
            <w:ind w:left="0" w:leftChars="0" w:right="0" w:rightChars="0" w:firstLine="0" w:firstLineChars="0"/>
            <w:jc w:val="center"/>
          </w:pPr>
          <w:bookmarkStart w:id="33" w:name="_Toc199443725"/>
          <w:r>
            <w:rPr>
              <w:rFonts w:hint="eastAsia" w:ascii="仿宋" w:hAnsi="仿宋" w:eastAsia="仿宋" w:cs="仿宋"/>
              <w:b w:val="0"/>
              <w:bCs w:val="0"/>
              <w:lang w:eastAsia="zh-CN"/>
            </w:rPr>
            <w:fldChar w:fldCharType="begin"/>
          </w:r>
          <w:r>
            <w:rPr>
              <w:rFonts w:hint="eastAsia" w:ascii="仿宋" w:hAnsi="仿宋" w:eastAsia="仿宋" w:cs="仿宋"/>
              <w:b w:val="0"/>
              <w:bCs w:val="0"/>
              <w:lang w:eastAsia="zh-CN"/>
            </w:rPr>
            <w:instrText xml:space="preserve">TOC \o "1-2" \h \u </w:instrText>
          </w:r>
          <w:r>
            <w:rPr>
              <w:rFonts w:hint="eastAsia" w:ascii="仿宋" w:hAnsi="仿宋" w:eastAsia="仿宋" w:cs="仿宋"/>
              <w:b w:val="0"/>
              <w:bCs w:val="0"/>
              <w:lang w:eastAsia="zh-CN"/>
            </w:rPr>
            <w:fldChar w:fldCharType="separate"/>
          </w:r>
        </w:p>
        <w:p>
          <w:pPr>
            <w:pStyle w:val="15"/>
            <w:tabs>
              <w:tab w:val="right" w:leader="dot" w:pos="8306"/>
            </w:tabs>
            <w:ind w:left="0" w:leftChars="0" w:firstLine="0" w:firstLineChars="0"/>
            <w:rPr>
              <w:sz w:val="24"/>
              <w:szCs w:val="24"/>
            </w:rPr>
          </w:pPr>
          <w:r>
            <w:rPr>
              <w:rFonts w:hint="eastAsia" w:ascii="仿宋" w:hAnsi="仿宋" w:eastAsia="仿宋" w:cs="仿宋"/>
              <w:bCs w:val="0"/>
              <w:sz w:val="24"/>
              <w:szCs w:val="24"/>
              <w:lang w:eastAsia="zh-CN"/>
            </w:rPr>
            <w:fldChar w:fldCharType="begin"/>
          </w:r>
          <w:r>
            <w:rPr>
              <w:rFonts w:hint="eastAsia" w:ascii="仿宋" w:hAnsi="仿宋" w:eastAsia="仿宋" w:cs="仿宋"/>
              <w:bCs w:val="0"/>
              <w:sz w:val="24"/>
              <w:szCs w:val="24"/>
              <w:lang w:eastAsia="zh-CN"/>
            </w:rPr>
            <w:instrText xml:space="preserve"> HYPERLINK \l _Toc8471 </w:instrText>
          </w:r>
          <w:r>
            <w:rPr>
              <w:rFonts w:hint="eastAsia" w:ascii="仿宋" w:hAnsi="仿宋" w:eastAsia="仿宋" w:cs="仿宋"/>
              <w:bCs w:val="0"/>
              <w:sz w:val="24"/>
              <w:szCs w:val="24"/>
              <w:lang w:eastAsia="zh-CN"/>
            </w:rPr>
            <w:fldChar w:fldCharType="separate"/>
          </w:r>
          <w:r>
            <w:rPr>
              <w:rFonts w:hint="eastAsia" w:ascii="仿宋" w:hAnsi="仿宋" w:eastAsia="仿宋" w:cs="仿宋"/>
              <w:bCs/>
              <w:sz w:val="24"/>
              <w:szCs w:val="24"/>
              <w:lang w:eastAsia="zh-CN"/>
            </w:rPr>
            <w:t>一、基本情况</w:t>
          </w:r>
          <w:r>
            <w:rPr>
              <w:sz w:val="24"/>
              <w:szCs w:val="24"/>
            </w:rPr>
            <w:tab/>
          </w:r>
          <w:r>
            <w:rPr>
              <w:sz w:val="24"/>
              <w:szCs w:val="24"/>
            </w:rPr>
            <w:fldChar w:fldCharType="begin"/>
          </w:r>
          <w:r>
            <w:rPr>
              <w:sz w:val="24"/>
              <w:szCs w:val="24"/>
            </w:rPr>
            <w:instrText xml:space="preserve"> PAGEREF _Toc8471 \h </w:instrText>
          </w:r>
          <w:r>
            <w:rPr>
              <w:sz w:val="24"/>
              <w:szCs w:val="24"/>
            </w:rPr>
            <w:fldChar w:fldCharType="separate"/>
          </w:r>
          <w:r>
            <w:rPr>
              <w:sz w:val="24"/>
              <w:szCs w:val="24"/>
            </w:rPr>
            <w:t>- 1 -</w:t>
          </w:r>
          <w:r>
            <w:rPr>
              <w:sz w:val="24"/>
              <w:szCs w:val="24"/>
            </w:rPr>
            <w:fldChar w:fldCharType="end"/>
          </w:r>
          <w:r>
            <w:rPr>
              <w:rFonts w:hint="eastAsia" w:ascii="仿宋" w:hAnsi="仿宋" w:eastAsia="仿宋" w:cs="仿宋"/>
              <w:bCs w:val="0"/>
              <w:sz w:val="24"/>
              <w:szCs w:val="24"/>
              <w:lang w:eastAsia="zh-CN"/>
            </w:rPr>
            <w:fldChar w:fldCharType="end"/>
          </w:r>
        </w:p>
        <w:p>
          <w:pPr>
            <w:pStyle w:val="18"/>
            <w:tabs>
              <w:tab w:val="right" w:leader="dot" w:pos="8306"/>
            </w:tabs>
            <w:ind w:left="0" w:leftChars="0" w:firstLine="480" w:firstLineChars="200"/>
            <w:rPr>
              <w:sz w:val="24"/>
              <w:szCs w:val="24"/>
            </w:rPr>
          </w:pPr>
          <w:r>
            <w:rPr>
              <w:rFonts w:hint="eastAsia" w:ascii="仿宋" w:hAnsi="仿宋" w:eastAsia="仿宋" w:cs="仿宋"/>
              <w:bCs w:val="0"/>
              <w:sz w:val="24"/>
              <w:szCs w:val="24"/>
              <w:lang w:eastAsia="zh-CN"/>
            </w:rPr>
            <w:fldChar w:fldCharType="begin"/>
          </w:r>
          <w:r>
            <w:rPr>
              <w:rFonts w:hint="eastAsia" w:ascii="仿宋" w:hAnsi="仿宋" w:eastAsia="仿宋" w:cs="仿宋"/>
              <w:bCs w:val="0"/>
              <w:sz w:val="24"/>
              <w:szCs w:val="24"/>
              <w:lang w:eastAsia="zh-CN"/>
            </w:rPr>
            <w:instrText xml:space="preserve"> HYPERLINK \l _Toc13946 </w:instrText>
          </w:r>
          <w:r>
            <w:rPr>
              <w:rFonts w:hint="eastAsia" w:ascii="仿宋" w:hAnsi="仿宋" w:eastAsia="仿宋" w:cs="仿宋"/>
              <w:bCs w:val="0"/>
              <w:sz w:val="24"/>
              <w:szCs w:val="24"/>
              <w:lang w:eastAsia="zh-CN"/>
            </w:rPr>
            <w:fldChar w:fldCharType="separate"/>
          </w:r>
          <w:r>
            <w:rPr>
              <w:rFonts w:hint="eastAsia" w:ascii="仿宋" w:hAnsi="仿宋" w:eastAsia="仿宋" w:cs="仿宋"/>
              <w:bCs/>
              <w:sz w:val="24"/>
              <w:szCs w:val="24"/>
              <w:lang w:eastAsia="zh-CN"/>
            </w:rPr>
            <w:t>(一)项目概况</w:t>
          </w:r>
          <w:r>
            <w:rPr>
              <w:sz w:val="24"/>
              <w:szCs w:val="24"/>
            </w:rPr>
            <w:tab/>
          </w:r>
          <w:r>
            <w:rPr>
              <w:sz w:val="24"/>
              <w:szCs w:val="24"/>
            </w:rPr>
            <w:fldChar w:fldCharType="begin"/>
          </w:r>
          <w:r>
            <w:rPr>
              <w:sz w:val="24"/>
              <w:szCs w:val="24"/>
            </w:rPr>
            <w:instrText xml:space="preserve"> PAGEREF _Toc13946 \h </w:instrText>
          </w:r>
          <w:r>
            <w:rPr>
              <w:sz w:val="24"/>
              <w:szCs w:val="24"/>
            </w:rPr>
            <w:fldChar w:fldCharType="separate"/>
          </w:r>
          <w:r>
            <w:rPr>
              <w:sz w:val="24"/>
              <w:szCs w:val="24"/>
            </w:rPr>
            <w:t>- 1 -</w:t>
          </w:r>
          <w:r>
            <w:rPr>
              <w:sz w:val="24"/>
              <w:szCs w:val="24"/>
            </w:rPr>
            <w:fldChar w:fldCharType="end"/>
          </w:r>
          <w:r>
            <w:rPr>
              <w:rFonts w:hint="eastAsia" w:ascii="仿宋" w:hAnsi="仿宋" w:eastAsia="仿宋" w:cs="仿宋"/>
              <w:bCs w:val="0"/>
              <w:sz w:val="24"/>
              <w:szCs w:val="24"/>
              <w:lang w:eastAsia="zh-CN"/>
            </w:rPr>
            <w:fldChar w:fldCharType="end"/>
          </w:r>
        </w:p>
        <w:p>
          <w:pPr>
            <w:pStyle w:val="18"/>
            <w:tabs>
              <w:tab w:val="right" w:leader="dot" w:pos="8306"/>
            </w:tabs>
            <w:ind w:left="0" w:leftChars="0" w:firstLine="480" w:firstLineChars="200"/>
            <w:rPr>
              <w:sz w:val="24"/>
              <w:szCs w:val="24"/>
            </w:rPr>
          </w:pPr>
          <w:r>
            <w:rPr>
              <w:rFonts w:hint="eastAsia" w:ascii="仿宋" w:hAnsi="仿宋" w:eastAsia="仿宋" w:cs="仿宋"/>
              <w:bCs w:val="0"/>
              <w:sz w:val="24"/>
              <w:szCs w:val="24"/>
              <w:lang w:eastAsia="zh-CN"/>
            </w:rPr>
            <w:fldChar w:fldCharType="begin"/>
          </w:r>
          <w:r>
            <w:rPr>
              <w:rFonts w:hint="eastAsia" w:ascii="仿宋" w:hAnsi="仿宋" w:eastAsia="仿宋" w:cs="仿宋"/>
              <w:bCs w:val="0"/>
              <w:sz w:val="24"/>
              <w:szCs w:val="24"/>
              <w:lang w:eastAsia="zh-CN"/>
            </w:rPr>
            <w:instrText xml:space="preserve"> HYPERLINK \l _Toc29119 </w:instrText>
          </w:r>
          <w:r>
            <w:rPr>
              <w:rFonts w:hint="eastAsia" w:ascii="仿宋" w:hAnsi="仿宋" w:eastAsia="仿宋" w:cs="仿宋"/>
              <w:bCs w:val="0"/>
              <w:sz w:val="24"/>
              <w:szCs w:val="24"/>
              <w:lang w:eastAsia="zh-CN"/>
            </w:rPr>
            <w:fldChar w:fldCharType="separate"/>
          </w:r>
          <w:r>
            <w:rPr>
              <w:rFonts w:hint="eastAsia" w:ascii="仿宋" w:hAnsi="仿宋" w:eastAsia="仿宋" w:cs="仿宋"/>
              <w:bCs/>
              <w:sz w:val="24"/>
              <w:szCs w:val="24"/>
              <w:lang w:eastAsia="zh-CN"/>
            </w:rPr>
            <w:t>(二)项目绩效目标</w:t>
          </w:r>
          <w:r>
            <w:rPr>
              <w:sz w:val="24"/>
              <w:szCs w:val="24"/>
            </w:rPr>
            <w:tab/>
          </w:r>
          <w:r>
            <w:rPr>
              <w:sz w:val="24"/>
              <w:szCs w:val="24"/>
            </w:rPr>
            <w:fldChar w:fldCharType="begin"/>
          </w:r>
          <w:r>
            <w:rPr>
              <w:sz w:val="24"/>
              <w:szCs w:val="24"/>
            </w:rPr>
            <w:instrText xml:space="preserve"> PAGEREF _Toc29119 \h </w:instrText>
          </w:r>
          <w:r>
            <w:rPr>
              <w:sz w:val="24"/>
              <w:szCs w:val="24"/>
            </w:rPr>
            <w:fldChar w:fldCharType="separate"/>
          </w:r>
          <w:r>
            <w:rPr>
              <w:sz w:val="24"/>
              <w:szCs w:val="24"/>
            </w:rPr>
            <w:t>- 5 -</w:t>
          </w:r>
          <w:r>
            <w:rPr>
              <w:sz w:val="24"/>
              <w:szCs w:val="24"/>
            </w:rPr>
            <w:fldChar w:fldCharType="end"/>
          </w:r>
          <w:r>
            <w:rPr>
              <w:rFonts w:hint="eastAsia" w:ascii="仿宋" w:hAnsi="仿宋" w:eastAsia="仿宋" w:cs="仿宋"/>
              <w:bCs w:val="0"/>
              <w:sz w:val="24"/>
              <w:szCs w:val="24"/>
              <w:lang w:eastAsia="zh-CN"/>
            </w:rPr>
            <w:fldChar w:fldCharType="end"/>
          </w:r>
        </w:p>
        <w:p>
          <w:pPr>
            <w:pStyle w:val="15"/>
            <w:tabs>
              <w:tab w:val="right" w:leader="dot" w:pos="8306"/>
            </w:tabs>
            <w:ind w:left="0" w:leftChars="0" w:firstLine="0" w:firstLineChars="0"/>
            <w:rPr>
              <w:sz w:val="24"/>
              <w:szCs w:val="24"/>
            </w:rPr>
          </w:pPr>
          <w:r>
            <w:rPr>
              <w:rFonts w:hint="eastAsia" w:ascii="仿宋" w:hAnsi="仿宋" w:eastAsia="仿宋" w:cs="仿宋"/>
              <w:bCs w:val="0"/>
              <w:sz w:val="24"/>
              <w:szCs w:val="24"/>
              <w:lang w:eastAsia="zh-CN"/>
            </w:rPr>
            <w:fldChar w:fldCharType="begin"/>
          </w:r>
          <w:r>
            <w:rPr>
              <w:rFonts w:hint="eastAsia" w:ascii="仿宋" w:hAnsi="仿宋" w:eastAsia="仿宋" w:cs="仿宋"/>
              <w:bCs w:val="0"/>
              <w:sz w:val="24"/>
              <w:szCs w:val="24"/>
              <w:lang w:eastAsia="zh-CN"/>
            </w:rPr>
            <w:instrText xml:space="preserve"> HYPERLINK \l _Toc10833 </w:instrText>
          </w:r>
          <w:r>
            <w:rPr>
              <w:rFonts w:hint="eastAsia" w:ascii="仿宋" w:hAnsi="仿宋" w:eastAsia="仿宋" w:cs="仿宋"/>
              <w:bCs w:val="0"/>
              <w:sz w:val="24"/>
              <w:szCs w:val="24"/>
              <w:lang w:eastAsia="zh-CN"/>
            </w:rPr>
            <w:fldChar w:fldCharType="separate"/>
          </w:r>
          <w:r>
            <w:rPr>
              <w:rFonts w:hint="eastAsia" w:ascii="仿宋" w:hAnsi="仿宋" w:eastAsia="仿宋" w:cs="仿宋"/>
              <w:bCs/>
              <w:sz w:val="24"/>
              <w:szCs w:val="24"/>
              <w:lang w:eastAsia="zh-CN"/>
            </w:rPr>
            <w:t>二、绩效评价工作开展情况</w:t>
          </w:r>
          <w:r>
            <w:rPr>
              <w:sz w:val="24"/>
              <w:szCs w:val="24"/>
            </w:rPr>
            <w:tab/>
          </w:r>
          <w:r>
            <w:rPr>
              <w:sz w:val="24"/>
              <w:szCs w:val="24"/>
            </w:rPr>
            <w:fldChar w:fldCharType="begin"/>
          </w:r>
          <w:r>
            <w:rPr>
              <w:sz w:val="24"/>
              <w:szCs w:val="24"/>
            </w:rPr>
            <w:instrText xml:space="preserve"> PAGEREF _Toc10833 \h </w:instrText>
          </w:r>
          <w:r>
            <w:rPr>
              <w:sz w:val="24"/>
              <w:szCs w:val="24"/>
            </w:rPr>
            <w:fldChar w:fldCharType="separate"/>
          </w:r>
          <w:r>
            <w:rPr>
              <w:sz w:val="24"/>
              <w:szCs w:val="24"/>
            </w:rPr>
            <w:t>- 6 -</w:t>
          </w:r>
          <w:r>
            <w:rPr>
              <w:sz w:val="24"/>
              <w:szCs w:val="24"/>
            </w:rPr>
            <w:fldChar w:fldCharType="end"/>
          </w:r>
          <w:r>
            <w:rPr>
              <w:rFonts w:hint="eastAsia" w:ascii="仿宋" w:hAnsi="仿宋" w:eastAsia="仿宋" w:cs="仿宋"/>
              <w:bCs w:val="0"/>
              <w:sz w:val="24"/>
              <w:szCs w:val="24"/>
              <w:lang w:eastAsia="zh-CN"/>
            </w:rPr>
            <w:fldChar w:fldCharType="end"/>
          </w:r>
        </w:p>
        <w:p>
          <w:pPr>
            <w:pStyle w:val="18"/>
            <w:tabs>
              <w:tab w:val="right" w:leader="dot" w:pos="8306"/>
            </w:tabs>
            <w:ind w:left="0" w:leftChars="0" w:firstLine="480" w:firstLineChars="200"/>
            <w:rPr>
              <w:sz w:val="24"/>
              <w:szCs w:val="24"/>
            </w:rPr>
          </w:pPr>
          <w:r>
            <w:rPr>
              <w:rFonts w:hint="eastAsia" w:ascii="仿宋" w:hAnsi="仿宋" w:eastAsia="仿宋" w:cs="仿宋"/>
              <w:bCs w:val="0"/>
              <w:sz w:val="24"/>
              <w:szCs w:val="24"/>
              <w:lang w:eastAsia="zh-CN"/>
            </w:rPr>
            <w:fldChar w:fldCharType="begin"/>
          </w:r>
          <w:r>
            <w:rPr>
              <w:rFonts w:hint="eastAsia" w:ascii="仿宋" w:hAnsi="仿宋" w:eastAsia="仿宋" w:cs="仿宋"/>
              <w:bCs w:val="0"/>
              <w:sz w:val="24"/>
              <w:szCs w:val="24"/>
              <w:lang w:eastAsia="zh-CN"/>
            </w:rPr>
            <w:instrText xml:space="preserve"> HYPERLINK \l _Toc27495 </w:instrText>
          </w:r>
          <w:r>
            <w:rPr>
              <w:rFonts w:hint="eastAsia" w:ascii="仿宋" w:hAnsi="仿宋" w:eastAsia="仿宋" w:cs="仿宋"/>
              <w:bCs w:val="0"/>
              <w:sz w:val="24"/>
              <w:szCs w:val="24"/>
              <w:lang w:eastAsia="zh-CN"/>
            </w:rPr>
            <w:fldChar w:fldCharType="separate"/>
          </w:r>
          <w:r>
            <w:rPr>
              <w:rFonts w:hint="eastAsia" w:ascii="仿宋" w:hAnsi="仿宋" w:eastAsia="仿宋" w:cs="仿宋"/>
              <w:bCs/>
              <w:sz w:val="24"/>
              <w:szCs w:val="24"/>
              <w:lang w:eastAsia="zh-CN"/>
            </w:rPr>
            <w:t>(一)绩效评价目的、对象和范围</w:t>
          </w:r>
          <w:r>
            <w:rPr>
              <w:sz w:val="24"/>
              <w:szCs w:val="24"/>
            </w:rPr>
            <w:tab/>
          </w:r>
          <w:r>
            <w:rPr>
              <w:sz w:val="24"/>
              <w:szCs w:val="24"/>
            </w:rPr>
            <w:fldChar w:fldCharType="begin"/>
          </w:r>
          <w:r>
            <w:rPr>
              <w:sz w:val="24"/>
              <w:szCs w:val="24"/>
            </w:rPr>
            <w:instrText xml:space="preserve"> PAGEREF _Toc27495 \h </w:instrText>
          </w:r>
          <w:r>
            <w:rPr>
              <w:sz w:val="24"/>
              <w:szCs w:val="24"/>
            </w:rPr>
            <w:fldChar w:fldCharType="separate"/>
          </w:r>
          <w:r>
            <w:rPr>
              <w:sz w:val="24"/>
              <w:szCs w:val="24"/>
            </w:rPr>
            <w:t>- 6 -</w:t>
          </w:r>
          <w:r>
            <w:rPr>
              <w:sz w:val="24"/>
              <w:szCs w:val="24"/>
            </w:rPr>
            <w:fldChar w:fldCharType="end"/>
          </w:r>
          <w:r>
            <w:rPr>
              <w:rFonts w:hint="eastAsia" w:ascii="仿宋" w:hAnsi="仿宋" w:eastAsia="仿宋" w:cs="仿宋"/>
              <w:bCs w:val="0"/>
              <w:sz w:val="24"/>
              <w:szCs w:val="24"/>
              <w:lang w:eastAsia="zh-CN"/>
            </w:rPr>
            <w:fldChar w:fldCharType="end"/>
          </w:r>
        </w:p>
        <w:p>
          <w:pPr>
            <w:pStyle w:val="18"/>
            <w:tabs>
              <w:tab w:val="right" w:leader="dot" w:pos="8306"/>
            </w:tabs>
            <w:ind w:left="0" w:leftChars="0" w:firstLine="480" w:firstLineChars="200"/>
            <w:rPr>
              <w:sz w:val="24"/>
              <w:szCs w:val="24"/>
            </w:rPr>
          </w:pPr>
          <w:r>
            <w:rPr>
              <w:rFonts w:hint="eastAsia" w:ascii="仿宋" w:hAnsi="仿宋" w:eastAsia="仿宋" w:cs="仿宋"/>
              <w:bCs w:val="0"/>
              <w:sz w:val="24"/>
              <w:szCs w:val="24"/>
              <w:lang w:eastAsia="zh-CN"/>
            </w:rPr>
            <w:fldChar w:fldCharType="begin"/>
          </w:r>
          <w:r>
            <w:rPr>
              <w:rFonts w:hint="eastAsia" w:ascii="仿宋" w:hAnsi="仿宋" w:eastAsia="仿宋" w:cs="仿宋"/>
              <w:bCs w:val="0"/>
              <w:sz w:val="24"/>
              <w:szCs w:val="24"/>
              <w:lang w:eastAsia="zh-CN"/>
            </w:rPr>
            <w:instrText xml:space="preserve"> HYPERLINK \l _Toc10742 </w:instrText>
          </w:r>
          <w:r>
            <w:rPr>
              <w:rFonts w:hint="eastAsia" w:ascii="仿宋" w:hAnsi="仿宋" w:eastAsia="仿宋" w:cs="仿宋"/>
              <w:bCs w:val="0"/>
              <w:sz w:val="24"/>
              <w:szCs w:val="24"/>
              <w:lang w:eastAsia="zh-CN"/>
            </w:rPr>
            <w:fldChar w:fldCharType="separate"/>
          </w:r>
          <w:r>
            <w:rPr>
              <w:rFonts w:hint="eastAsia" w:ascii="仿宋" w:hAnsi="仿宋" w:eastAsia="仿宋" w:cs="仿宋"/>
              <w:bCs/>
              <w:sz w:val="24"/>
              <w:szCs w:val="24"/>
              <w:lang w:eastAsia="zh-CN"/>
            </w:rPr>
            <w:t>(二)绩效评价原则、评价指标体系、评价方法、评价标准</w:t>
          </w:r>
          <w:r>
            <w:rPr>
              <w:sz w:val="24"/>
              <w:szCs w:val="24"/>
            </w:rPr>
            <w:tab/>
          </w:r>
          <w:r>
            <w:rPr>
              <w:sz w:val="24"/>
              <w:szCs w:val="24"/>
            </w:rPr>
            <w:fldChar w:fldCharType="begin"/>
          </w:r>
          <w:r>
            <w:rPr>
              <w:sz w:val="24"/>
              <w:szCs w:val="24"/>
            </w:rPr>
            <w:instrText xml:space="preserve"> PAGEREF _Toc10742 \h </w:instrText>
          </w:r>
          <w:r>
            <w:rPr>
              <w:sz w:val="24"/>
              <w:szCs w:val="24"/>
            </w:rPr>
            <w:fldChar w:fldCharType="separate"/>
          </w:r>
          <w:r>
            <w:rPr>
              <w:sz w:val="24"/>
              <w:szCs w:val="24"/>
            </w:rPr>
            <w:t>- 7 -</w:t>
          </w:r>
          <w:r>
            <w:rPr>
              <w:sz w:val="24"/>
              <w:szCs w:val="24"/>
            </w:rPr>
            <w:fldChar w:fldCharType="end"/>
          </w:r>
          <w:r>
            <w:rPr>
              <w:rFonts w:hint="eastAsia" w:ascii="仿宋" w:hAnsi="仿宋" w:eastAsia="仿宋" w:cs="仿宋"/>
              <w:bCs w:val="0"/>
              <w:sz w:val="24"/>
              <w:szCs w:val="24"/>
              <w:lang w:eastAsia="zh-CN"/>
            </w:rPr>
            <w:fldChar w:fldCharType="end"/>
          </w:r>
        </w:p>
        <w:p>
          <w:pPr>
            <w:pStyle w:val="18"/>
            <w:tabs>
              <w:tab w:val="right" w:leader="dot" w:pos="8306"/>
            </w:tabs>
            <w:ind w:left="0" w:leftChars="0" w:firstLine="480" w:firstLineChars="200"/>
            <w:rPr>
              <w:sz w:val="24"/>
              <w:szCs w:val="24"/>
            </w:rPr>
          </w:pPr>
          <w:r>
            <w:rPr>
              <w:rFonts w:hint="eastAsia" w:ascii="仿宋" w:hAnsi="仿宋" w:eastAsia="仿宋" w:cs="仿宋"/>
              <w:bCs w:val="0"/>
              <w:sz w:val="24"/>
              <w:szCs w:val="24"/>
              <w:lang w:eastAsia="zh-CN"/>
            </w:rPr>
            <w:fldChar w:fldCharType="begin"/>
          </w:r>
          <w:r>
            <w:rPr>
              <w:rFonts w:hint="eastAsia" w:ascii="仿宋" w:hAnsi="仿宋" w:eastAsia="仿宋" w:cs="仿宋"/>
              <w:bCs w:val="0"/>
              <w:sz w:val="24"/>
              <w:szCs w:val="24"/>
              <w:lang w:eastAsia="zh-CN"/>
            </w:rPr>
            <w:instrText xml:space="preserve"> HYPERLINK \l _Toc12537 </w:instrText>
          </w:r>
          <w:r>
            <w:rPr>
              <w:rFonts w:hint="eastAsia" w:ascii="仿宋" w:hAnsi="仿宋" w:eastAsia="仿宋" w:cs="仿宋"/>
              <w:bCs w:val="0"/>
              <w:sz w:val="24"/>
              <w:szCs w:val="24"/>
              <w:lang w:eastAsia="zh-CN"/>
            </w:rPr>
            <w:fldChar w:fldCharType="separate"/>
          </w:r>
          <w:r>
            <w:rPr>
              <w:rFonts w:hint="eastAsia" w:ascii="仿宋" w:hAnsi="仿宋" w:eastAsia="仿宋" w:cs="仿宋"/>
              <w:bCs/>
              <w:sz w:val="24"/>
              <w:szCs w:val="24"/>
              <w:lang w:eastAsia="zh-CN"/>
            </w:rPr>
            <w:t>(三)绩效评价工作过程</w:t>
          </w:r>
          <w:r>
            <w:rPr>
              <w:sz w:val="24"/>
              <w:szCs w:val="24"/>
            </w:rPr>
            <w:tab/>
          </w:r>
          <w:r>
            <w:rPr>
              <w:sz w:val="24"/>
              <w:szCs w:val="24"/>
            </w:rPr>
            <w:fldChar w:fldCharType="begin"/>
          </w:r>
          <w:r>
            <w:rPr>
              <w:sz w:val="24"/>
              <w:szCs w:val="24"/>
            </w:rPr>
            <w:instrText xml:space="preserve"> PAGEREF _Toc12537 \h </w:instrText>
          </w:r>
          <w:r>
            <w:rPr>
              <w:sz w:val="24"/>
              <w:szCs w:val="24"/>
            </w:rPr>
            <w:fldChar w:fldCharType="separate"/>
          </w:r>
          <w:r>
            <w:rPr>
              <w:sz w:val="24"/>
              <w:szCs w:val="24"/>
            </w:rPr>
            <w:t>- 10 -</w:t>
          </w:r>
          <w:r>
            <w:rPr>
              <w:sz w:val="24"/>
              <w:szCs w:val="24"/>
            </w:rPr>
            <w:fldChar w:fldCharType="end"/>
          </w:r>
          <w:r>
            <w:rPr>
              <w:rFonts w:hint="eastAsia" w:ascii="仿宋" w:hAnsi="仿宋" w:eastAsia="仿宋" w:cs="仿宋"/>
              <w:bCs w:val="0"/>
              <w:sz w:val="24"/>
              <w:szCs w:val="24"/>
              <w:lang w:eastAsia="zh-CN"/>
            </w:rPr>
            <w:fldChar w:fldCharType="end"/>
          </w:r>
        </w:p>
        <w:p>
          <w:pPr>
            <w:pStyle w:val="15"/>
            <w:tabs>
              <w:tab w:val="right" w:leader="dot" w:pos="8306"/>
            </w:tabs>
            <w:ind w:left="0" w:leftChars="0" w:firstLine="0" w:firstLineChars="0"/>
            <w:rPr>
              <w:sz w:val="24"/>
              <w:szCs w:val="24"/>
            </w:rPr>
          </w:pPr>
          <w:r>
            <w:rPr>
              <w:rFonts w:hint="eastAsia" w:ascii="仿宋" w:hAnsi="仿宋" w:eastAsia="仿宋" w:cs="仿宋"/>
              <w:bCs w:val="0"/>
              <w:sz w:val="24"/>
              <w:szCs w:val="24"/>
              <w:lang w:eastAsia="zh-CN"/>
            </w:rPr>
            <w:fldChar w:fldCharType="begin"/>
          </w:r>
          <w:r>
            <w:rPr>
              <w:rFonts w:hint="eastAsia" w:ascii="仿宋" w:hAnsi="仿宋" w:eastAsia="仿宋" w:cs="仿宋"/>
              <w:bCs w:val="0"/>
              <w:sz w:val="24"/>
              <w:szCs w:val="24"/>
              <w:lang w:eastAsia="zh-CN"/>
            </w:rPr>
            <w:instrText xml:space="preserve"> HYPERLINK \l _Toc9387 </w:instrText>
          </w:r>
          <w:r>
            <w:rPr>
              <w:rFonts w:hint="eastAsia" w:ascii="仿宋" w:hAnsi="仿宋" w:eastAsia="仿宋" w:cs="仿宋"/>
              <w:bCs w:val="0"/>
              <w:sz w:val="24"/>
              <w:szCs w:val="24"/>
              <w:lang w:eastAsia="zh-CN"/>
            </w:rPr>
            <w:fldChar w:fldCharType="separate"/>
          </w:r>
          <w:r>
            <w:rPr>
              <w:rFonts w:hint="eastAsia" w:ascii="仿宋" w:hAnsi="仿宋" w:eastAsia="仿宋" w:cs="仿宋"/>
              <w:bCs/>
              <w:sz w:val="24"/>
              <w:szCs w:val="24"/>
              <w:lang w:eastAsia="zh-CN"/>
            </w:rPr>
            <w:t>三、综合评价情况及评价结论（附相关评分表）</w:t>
          </w:r>
          <w:r>
            <w:rPr>
              <w:sz w:val="24"/>
              <w:szCs w:val="24"/>
            </w:rPr>
            <w:tab/>
          </w:r>
          <w:r>
            <w:rPr>
              <w:sz w:val="24"/>
              <w:szCs w:val="24"/>
            </w:rPr>
            <w:fldChar w:fldCharType="begin"/>
          </w:r>
          <w:r>
            <w:rPr>
              <w:sz w:val="24"/>
              <w:szCs w:val="24"/>
            </w:rPr>
            <w:instrText xml:space="preserve"> PAGEREF _Toc9387 \h </w:instrText>
          </w:r>
          <w:r>
            <w:rPr>
              <w:sz w:val="24"/>
              <w:szCs w:val="24"/>
            </w:rPr>
            <w:fldChar w:fldCharType="separate"/>
          </w:r>
          <w:r>
            <w:rPr>
              <w:sz w:val="24"/>
              <w:szCs w:val="24"/>
            </w:rPr>
            <w:t>- 13 -</w:t>
          </w:r>
          <w:r>
            <w:rPr>
              <w:sz w:val="24"/>
              <w:szCs w:val="24"/>
            </w:rPr>
            <w:fldChar w:fldCharType="end"/>
          </w:r>
          <w:r>
            <w:rPr>
              <w:rFonts w:hint="eastAsia" w:ascii="仿宋" w:hAnsi="仿宋" w:eastAsia="仿宋" w:cs="仿宋"/>
              <w:bCs w:val="0"/>
              <w:sz w:val="24"/>
              <w:szCs w:val="24"/>
              <w:lang w:eastAsia="zh-CN"/>
            </w:rPr>
            <w:fldChar w:fldCharType="end"/>
          </w:r>
        </w:p>
        <w:p>
          <w:pPr>
            <w:pStyle w:val="15"/>
            <w:tabs>
              <w:tab w:val="right" w:leader="dot" w:pos="8306"/>
            </w:tabs>
            <w:ind w:left="0" w:leftChars="0" w:firstLine="0" w:firstLineChars="0"/>
            <w:rPr>
              <w:sz w:val="24"/>
              <w:szCs w:val="24"/>
            </w:rPr>
          </w:pPr>
          <w:r>
            <w:rPr>
              <w:rFonts w:hint="eastAsia" w:ascii="仿宋" w:hAnsi="仿宋" w:eastAsia="仿宋" w:cs="仿宋"/>
              <w:bCs w:val="0"/>
              <w:sz w:val="24"/>
              <w:szCs w:val="24"/>
              <w:lang w:eastAsia="zh-CN"/>
            </w:rPr>
            <w:fldChar w:fldCharType="begin"/>
          </w:r>
          <w:r>
            <w:rPr>
              <w:rFonts w:hint="eastAsia" w:ascii="仿宋" w:hAnsi="仿宋" w:eastAsia="仿宋" w:cs="仿宋"/>
              <w:bCs w:val="0"/>
              <w:sz w:val="24"/>
              <w:szCs w:val="24"/>
              <w:lang w:eastAsia="zh-CN"/>
            </w:rPr>
            <w:instrText xml:space="preserve"> HYPERLINK \l _Toc1360 </w:instrText>
          </w:r>
          <w:r>
            <w:rPr>
              <w:rFonts w:hint="eastAsia" w:ascii="仿宋" w:hAnsi="仿宋" w:eastAsia="仿宋" w:cs="仿宋"/>
              <w:bCs w:val="0"/>
              <w:sz w:val="24"/>
              <w:szCs w:val="24"/>
              <w:lang w:eastAsia="zh-CN"/>
            </w:rPr>
            <w:fldChar w:fldCharType="separate"/>
          </w:r>
          <w:r>
            <w:rPr>
              <w:rFonts w:hint="eastAsia" w:ascii="仿宋" w:hAnsi="仿宋" w:eastAsia="仿宋" w:cs="仿宋"/>
              <w:sz w:val="24"/>
              <w:szCs w:val="24"/>
              <w:lang w:eastAsia="zh-CN"/>
            </w:rPr>
            <w:t>四、绩效评价指标分析</w:t>
          </w:r>
          <w:r>
            <w:rPr>
              <w:sz w:val="24"/>
              <w:szCs w:val="24"/>
            </w:rPr>
            <w:tab/>
          </w:r>
          <w:r>
            <w:rPr>
              <w:sz w:val="24"/>
              <w:szCs w:val="24"/>
            </w:rPr>
            <w:fldChar w:fldCharType="begin"/>
          </w:r>
          <w:r>
            <w:rPr>
              <w:sz w:val="24"/>
              <w:szCs w:val="24"/>
            </w:rPr>
            <w:instrText xml:space="preserve"> PAGEREF _Toc1360 \h </w:instrText>
          </w:r>
          <w:r>
            <w:rPr>
              <w:sz w:val="24"/>
              <w:szCs w:val="24"/>
            </w:rPr>
            <w:fldChar w:fldCharType="separate"/>
          </w:r>
          <w:r>
            <w:rPr>
              <w:sz w:val="24"/>
              <w:szCs w:val="24"/>
            </w:rPr>
            <w:t>- 13 -</w:t>
          </w:r>
          <w:r>
            <w:rPr>
              <w:sz w:val="24"/>
              <w:szCs w:val="24"/>
            </w:rPr>
            <w:fldChar w:fldCharType="end"/>
          </w:r>
          <w:r>
            <w:rPr>
              <w:rFonts w:hint="eastAsia" w:ascii="仿宋" w:hAnsi="仿宋" w:eastAsia="仿宋" w:cs="仿宋"/>
              <w:bCs w:val="0"/>
              <w:sz w:val="24"/>
              <w:szCs w:val="24"/>
              <w:lang w:eastAsia="zh-CN"/>
            </w:rPr>
            <w:fldChar w:fldCharType="end"/>
          </w:r>
        </w:p>
        <w:p>
          <w:pPr>
            <w:pStyle w:val="18"/>
            <w:tabs>
              <w:tab w:val="right" w:leader="dot" w:pos="8306"/>
            </w:tabs>
            <w:ind w:left="0" w:leftChars="0" w:firstLine="480" w:firstLineChars="200"/>
            <w:rPr>
              <w:sz w:val="24"/>
              <w:szCs w:val="24"/>
            </w:rPr>
          </w:pPr>
          <w:r>
            <w:rPr>
              <w:rFonts w:hint="eastAsia" w:ascii="仿宋" w:hAnsi="仿宋" w:eastAsia="仿宋" w:cs="仿宋"/>
              <w:bCs w:val="0"/>
              <w:sz w:val="24"/>
              <w:szCs w:val="24"/>
              <w:lang w:eastAsia="zh-CN"/>
            </w:rPr>
            <w:fldChar w:fldCharType="begin"/>
          </w:r>
          <w:r>
            <w:rPr>
              <w:rFonts w:hint="eastAsia" w:ascii="仿宋" w:hAnsi="仿宋" w:eastAsia="仿宋" w:cs="仿宋"/>
              <w:bCs w:val="0"/>
              <w:sz w:val="24"/>
              <w:szCs w:val="24"/>
              <w:lang w:eastAsia="zh-CN"/>
            </w:rPr>
            <w:instrText xml:space="preserve"> HYPERLINK \l _Toc11188 </w:instrText>
          </w:r>
          <w:r>
            <w:rPr>
              <w:rFonts w:hint="eastAsia" w:ascii="仿宋" w:hAnsi="仿宋" w:eastAsia="仿宋" w:cs="仿宋"/>
              <w:bCs w:val="0"/>
              <w:sz w:val="24"/>
              <w:szCs w:val="24"/>
              <w:lang w:eastAsia="zh-CN"/>
            </w:rPr>
            <w:fldChar w:fldCharType="separate"/>
          </w:r>
          <w:r>
            <w:rPr>
              <w:rFonts w:hint="eastAsia" w:ascii="仿宋" w:hAnsi="仿宋" w:eastAsia="仿宋" w:cs="仿宋"/>
              <w:sz w:val="24"/>
              <w:szCs w:val="24"/>
              <w:lang w:eastAsia="zh-CN"/>
            </w:rPr>
            <w:t>(一)项目决策情况</w:t>
          </w:r>
          <w:r>
            <w:rPr>
              <w:sz w:val="24"/>
              <w:szCs w:val="24"/>
            </w:rPr>
            <w:tab/>
          </w:r>
          <w:r>
            <w:rPr>
              <w:sz w:val="24"/>
              <w:szCs w:val="24"/>
            </w:rPr>
            <w:fldChar w:fldCharType="begin"/>
          </w:r>
          <w:r>
            <w:rPr>
              <w:sz w:val="24"/>
              <w:szCs w:val="24"/>
            </w:rPr>
            <w:instrText xml:space="preserve"> PAGEREF _Toc11188 \h </w:instrText>
          </w:r>
          <w:r>
            <w:rPr>
              <w:sz w:val="24"/>
              <w:szCs w:val="24"/>
            </w:rPr>
            <w:fldChar w:fldCharType="separate"/>
          </w:r>
          <w:r>
            <w:rPr>
              <w:sz w:val="24"/>
              <w:szCs w:val="24"/>
            </w:rPr>
            <w:t>- 13 -</w:t>
          </w:r>
          <w:r>
            <w:rPr>
              <w:sz w:val="24"/>
              <w:szCs w:val="24"/>
            </w:rPr>
            <w:fldChar w:fldCharType="end"/>
          </w:r>
          <w:r>
            <w:rPr>
              <w:rFonts w:hint="eastAsia" w:ascii="仿宋" w:hAnsi="仿宋" w:eastAsia="仿宋" w:cs="仿宋"/>
              <w:bCs w:val="0"/>
              <w:sz w:val="24"/>
              <w:szCs w:val="24"/>
              <w:lang w:eastAsia="zh-CN"/>
            </w:rPr>
            <w:fldChar w:fldCharType="end"/>
          </w:r>
        </w:p>
        <w:p>
          <w:pPr>
            <w:pStyle w:val="18"/>
            <w:tabs>
              <w:tab w:val="right" w:leader="dot" w:pos="8306"/>
            </w:tabs>
            <w:ind w:left="0" w:leftChars="0" w:firstLine="480" w:firstLineChars="200"/>
            <w:rPr>
              <w:sz w:val="24"/>
              <w:szCs w:val="24"/>
            </w:rPr>
          </w:pPr>
          <w:r>
            <w:rPr>
              <w:rFonts w:hint="eastAsia" w:ascii="仿宋" w:hAnsi="仿宋" w:eastAsia="仿宋" w:cs="仿宋"/>
              <w:bCs w:val="0"/>
              <w:sz w:val="24"/>
              <w:szCs w:val="24"/>
              <w:lang w:eastAsia="zh-CN"/>
            </w:rPr>
            <w:fldChar w:fldCharType="begin"/>
          </w:r>
          <w:r>
            <w:rPr>
              <w:rFonts w:hint="eastAsia" w:ascii="仿宋" w:hAnsi="仿宋" w:eastAsia="仿宋" w:cs="仿宋"/>
              <w:bCs w:val="0"/>
              <w:sz w:val="24"/>
              <w:szCs w:val="24"/>
              <w:lang w:eastAsia="zh-CN"/>
            </w:rPr>
            <w:instrText xml:space="preserve"> HYPERLINK \l _Toc12159 </w:instrText>
          </w:r>
          <w:r>
            <w:rPr>
              <w:rFonts w:hint="eastAsia" w:ascii="仿宋" w:hAnsi="仿宋" w:eastAsia="仿宋" w:cs="仿宋"/>
              <w:bCs w:val="0"/>
              <w:sz w:val="24"/>
              <w:szCs w:val="24"/>
              <w:lang w:eastAsia="zh-CN"/>
            </w:rPr>
            <w:fldChar w:fldCharType="separate"/>
          </w:r>
          <w:r>
            <w:rPr>
              <w:rFonts w:hint="eastAsia" w:ascii="仿宋" w:hAnsi="仿宋" w:eastAsia="仿宋" w:cs="仿宋"/>
              <w:bCs/>
              <w:sz w:val="24"/>
              <w:szCs w:val="24"/>
            </w:rPr>
            <w:t>(二)项目过程情况</w:t>
          </w:r>
          <w:r>
            <w:rPr>
              <w:sz w:val="24"/>
              <w:szCs w:val="24"/>
            </w:rPr>
            <w:tab/>
          </w:r>
          <w:r>
            <w:rPr>
              <w:sz w:val="24"/>
              <w:szCs w:val="24"/>
            </w:rPr>
            <w:fldChar w:fldCharType="begin"/>
          </w:r>
          <w:r>
            <w:rPr>
              <w:sz w:val="24"/>
              <w:szCs w:val="24"/>
            </w:rPr>
            <w:instrText xml:space="preserve"> PAGEREF _Toc12159 \h </w:instrText>
          </w:r>
          <w:r>
            <w:rPr>
              <w:sz w:val="24"/>
              <w:szCs w:val="24"/>
            </w:rPr>
            <w:fldChar w:fldCharType="separate"/>
          </w:r>
          <w:r>
            <w:rPr>
              <w:sz w:val="24"/>
              <w:szCs w:val="24"/>
            </w:rPr>
            <w:t>- 16 -</w:t>
          </w:r>
          <w:r>
            <w:rPr>
              <w:sz w:val="24"/>
              <w:szCs w:val="24"/>
            </w:rPr>
            <w:fldChar w:fldCharType="end"/>
          </w:r>
          <w:r>
            <w:rPr>
              <w:rFonts w:hint="eastAsia" w:ascii="仿宋" w:hAnsi="仿宋" w:eastAsia="仿宋" w:cs="仿宋"/>
              <w:bCs w:val="0"/>
              <w:sz w:val="24"/>
              <w:szCs w:val="24"/>
              <w:lang w:eastAsia="zh-CN"/>
            </w:rPr>
            <w:fldChar w:fldCharType="end"/>
          </w:r>
        </w:p>
        <w:p>
          <w:pPr>
            <w:pStyle w:val="18"/>
            <w:tabs>
              <w:tab w:val="right" w:leader="dot" w:pos="8306"/>
            </w:tabs>
            <w:ind w:left="0" w:leftChars="0" w:firstLine="480" w:firstLineChars="200"/>
            <w:rPr>
              <w:sz w:val="24"/>
              <w:szCs w:val="24"/>
            </w:rPr>
          </w:pPr>
          <w:r>
            <w:rPr>
              <w:rFonts w:hint="eastAsia" w:ascii="仿宋" w:hAnsi="仿宋" w:eastAsia="仿宋" w:cs="仿宋"/>
              <w:bCs w:val="0"/>
              <w:sz w:val="24"/>
              <w:szCs w:val="24"/>
              <w:lang w:eastAsia="zh-CN"/>
            </w:rPr>
            <w:fldChar w:fldCharType="begin"/>
          </w:r>
          <w:r>
            <w:rPr>
              <w:rFonts w:hint="eastAsia" w:ascii="仿宋" w:hAnsi="仿宋" w:eastAsia="仿宋" w:cs="仿宋"/>
              <w:bCs w:val="0"/>
              <w:sz w:val="24"/>
              <w:szCs w:val="24"/>
              <w:lang w:eastAsia="zh-CN"/>
            </w:rPr>
            <w:instrText xml:space="preserve"> HYPERLINK \l _Toc3947 </w:instrText>
          </w:r>
          <w:r>
            <w:rPr>
              <w:rFonts w:hint="eastAsia" w:ascii="仿宋" w:hAnsi="仿宋" w:eastAsia="仿宋" w:cs="仿宋"/>
              <w:bCs w:val="0"/>
              <w:sz w:val="24"/>
              <w:szCs w:val="24"/>
              <w:lang w:eastAsia="zh-CN"/>
            </w:rPr>
            <w:fldChar w:fldCharType="separate"/>
          </w:r>
          <w:r>
            <w:rPr>
              <w:rFonts w:hint="eastAsia" w:ascii="仿宋" w:hAnsi="仿宋" w:eastAsia="仿宋" w:cs="仿宋"/>
              <w:bCs/>
              <w:sz w:val="24"/>
              <w:szCs w:val="24"/>
            </w:rPr>
            <w:t>(三)项目产出情况</w:t>
          </w:r>
          <w:r>
            <w:rPr>
              <w:sz w:val="24"/>
              <w:szCs w:val="24"/>
            </w:rPr>
            <w:tab/>
          </w:r>
          <w:r>
            <w:rPr>
              <w:sz w:val="24"/>
              <w:szCs w:val="24"/>
            </w:rPr>
            <w:fldChar w:fldCharType="begin"/>
          </w:r>
          <w:r>
            <w:rPr>
              <w:sz w:val="24"/>
              <w:szCs w:val="24"/>
            </w:rPr>
            <w:instrText xml:space="preserve"> PAGEREF _Toc3947 \h </w:instrText>
          </w:r>
          <w:r>
            <w:rPr>
              <w:sz w:val="24"/>
              <w:szCs w:val="24"/>
            </w:rPr>
            <w:fldChar w:fldCharType="separate"/>
          </w:r>
          <w:r>
            <w:rPr>
              <w:sz w:val="24"/>
              <w:szCs w:val="24"/>
            </w:rPr>
            <w:t>- 18 -</w:t>
          </w:r>
          <w:r>
            <w:rPr>
              <w:sz w:val="24"/>
              <w:szCs w:val="24"/>
            </w:rPr>
            <w:fldChar w:fldCharType="end"/>
          </w:r>
          <w:r>
            <w:rPr>
              <w:rFonts w:hint="eastAsia" w:ascii="仿宋" w:hAnsi="仿宋" w:eastAsia="仿宋" w:cs="仿宋"/>
              <w:bCs w:val="0"/>
              <w:sz w:val="24"/>
              <w:szCs w:val="24"/>
              <w:lang w:eastAsia="zh-CN"/>
            </w:rPr>
            <w:fldChar w:fldCharType="end"/>
          </w:r>
        </w:p>
        <w:p>
          <w:pPr>
            <w:pStyle w:val="18"/>
            <w:tabs>
              <w:tab w:val="right" w:leader="dot" w:pos="8306"/>
            </w:tabs>
            <w:ind w:left="0" w:leftChars="0" w:firstLine="480" w:firstLineChars="200"/>
            <w:rPr>
              <w:sz w:val="24"/>
              <w:szCs w:val="24"/>
            </w:rPr>
          </w:pPr>
          <w:r>
            <w:rPr>
              <w:rFonts w:hint="eastAsia" w:ascii="仿宋" w:hAnsi="仿宋" w:eastAsia="仿宋" w:cs="仿宋"/>
              <w:bCs w:val="0"/>
              <w:sz w:val="24"/>
              <w:szCs w:val="24"/>
              <w:lang w:eastAsia="zh-CN"/>
            </w:rPr>
            <w:fldChar w:fldCharType="begin"/>
          </w:r>
          <w:r>
            <w:rPr>
              <w:rFonts w:hint="eastAsia" w:ascii="仿宋" w:hAnsi="仿宋" w:eastAsia="仿宋" w:cs="仿宋"/>
              <w:bCs w:val="0"/>
              <w:sz w:val="24"/>
              <w:szCs w:val="24"/>
              <w:lang w:eastAsia="zh-CN"/>
            </w:rPr>
            <w:instrText xml:space="preserve"> HYPERLINK \l _Toc32046 </w:instrText>
          </w:r>
          <w:r>
            <w:rPr>
              <w:rFonts w:hint="eastAsia" w:ascii="仿宋" w:hAnsi="仿宋" w:eastAsia="仿宋" w:cs="仿宋"/>
              <w:bCs w:val="0"/>
              <w:sz w:val="24"/>
              <w:szCs w:val="24"/>
              <w:lang w:eastAsia="zh-CN"/>
            </w:rPr>
            <w:fldChar w:fldCharType="separate"/>
          </w:r>
          <w:r>
            <w:rPr>
              <w:rFonts w:hint="eastAsia" w:ascii="仿宋" w:hAnsi="仿宋" w:eastAsia="仿宋" w:cs="仿宋"/>
              <w:bCs/>
              <w:sz w:val="24"/>
              <w:szCs w:val="24"/>
            </w:rPr>
            <w:t>(四)项目效益情况</w:t>
          </w:r>
          <w:r>
            <w:rPr>
              <w:sz w:val="24"/>
              <w:szCs w:val="24"/>
            </w:rPr>
            <w:tab/>
          </w:r>
          <w:r>
            <w:rPr>
              <w:sz w:val="24"/>
              <w:szCs w:val="24"/>
            </w:rPr>
            <w:fldChar w:fldCharType="begin"/>
          </w:r>
          <w:r>
            <w:rPr>
              <w:sz w:val="24"/>
              <w:szCs w:val="24"/>
            </w:rPr>
            <w:instrText xml:space="preserve"> PAGEREF _Toc32046 \h </w:instrText>
          </w:r>
          <w:r>
            <w:rPr>
              <w:sz w:val="24"/>
              <w:szCs w:val="24"/>
            </w:rPr>
            <w:fldChar w:fldCharType="separate"/>
          </w:r>
          <w:r>
            <w:rPr>
              <w:sz w:val="24"/>
              <w:szCs w:val="24"/>
            </w:rPr>
            <w:t>- 20 -</w:t>
          </w:r>
          <w:r>
            <w:rPr>
              <w:sz w:val="24"/>
              <w:szCs w:val="24"/>
            </w:rPr>
            <w:fldChar w:fldCharType="end"/>
          </w:r>
          <w:r>
            <w:rPr>
              <w:rFonts w:hint="eastAsia" w:ascii="仿宋" w:hAnsi="仿宋" w:eastAsia="仿宋" w:cs="仿宋"/>
              <w:bCs w:val="0"/>
              <w:sz w:val="24"/>
              <w:szCs w:val="24"/>
              <w:lang w:eastAsia="zh-CN"/>
            </w:rPr>
            <w:fldChar w:fldCharType="end"/>
          </w:r>
        </w:p>
        <w:p>
          <w:pPr>
            <w:pStyle w:val="15"/>
            <w:tabs>
              <w:tab w:val="right" w:leader="dot" w:pos="8306"/>
            </w:tabs>
            <w:ind w:left="0" w:leftChars="0" w:firstLine="0" w:firstLineChars="0"/>
            <w:rPr>
              <w:sz w:val="24"/>
              <w:szCs w:val="24"/>
            </w:rPr>
          </w:pPr>
          <w:r>
            <w:rPr>
              <w:rFonts w:hint="eastAsia" w:ascii="仿宋" w:hAnsi="仿宋" w:eastAsia="仿宋" w:cs="仿宋"/>
              <w:bCs w:val="0"/>
              <w:sz w:val="24"/>
              <w:szCs w:val="24"/>
              <w:lang w:eastAsia="zh-CN"/>
            </w:rPr>
            <w:fldChar w:fldCharType="begin"/>
          </w:r>
          <w:r>
            <w:rPr>
              <w:rFonts w:hint="eastAsia" w:ascii="仿宋" w:hAnsi="仿宋" w:eastAsia="仿宋" w:cs="仿宋"/>
              <w:bCs w:val="0"/>
              <w:sz w:val="24"/>
              <w:szCs w:val="24"/>
              <w:lang w:eastAsia="zh-CN"/>
            </w:rPr>
            <w:instrText xml:space="preserve"> HYPERLINK \l _Toc23803 </w:instrText>
          </w:r>
          <w:r>
            <w:rPr>
              <w:rFonts w:hint="eastAsia" w:ascii="仿宋" w:hAnsi="仿宋" w:eastAsia="仿宋" w:cs="仿宋"/>
              <w:bCs w:val="0"/>
              <w:sz w:val="24"/>
              <w:szCs w:val="24"/>
              <w:lang w:eastAsia="zh-CN"/>
            </w:rPr>
            <w:fldChar w:fldCharType="separate"/>
          </w:r>
          <w:r>
            <w:rPr>
              <w:rFonts w:hint="eastAsia" w:ascii="仿宋" w:hAnsi="仿宋" w:eastAsia="仿宋" w:cs="仿宋"/>
              <w:bCs/>
              <w:sz w:val="24"/>
              <w:szCs w:val="24"/>
              <w:lang w:eastAsia="zh-CN"/>
            </w:rPr>
            <w:t>五、存在的问题及建议</w:t>
          </w:r>
          <w:r>
            <w:rPr>
              <w:sz w:val="24"/>
              <w:szCs w:val="24"/>
            </w:rPr>
            <w:tab/>
          </w:r>
          <w:r>
            <w:rPr>
              <w:sz w:val="24"/>
              <w:szCs w:val="24"/>
            </w:rPr>
            <w:fldChar w:fldCharType="begin"/>
          </w:r>
          <w:r>
            <w:rPr>
              <w:sz w:val="24"/>
              <w:szCs w:val="24"/>
            </w:rPr>
            <w:instrText xml:space="preserve"> PAGEREF _Toc23803 \h </w:instrText>
          </w:r>
          <w:r>
            <w:rPr>
              <w:sz w:val="24"/>
              <w:szCs w:val="24"/>
            </w:rPr>
            <w:fldChar w:fldCharType="separate"/>
          </w:r>
          <w:r>
            <w:rPr>
              <w:sz w:val="24"/>
              <w:szCs w:val="24"/>
            </w:rPr>
            <w:t>- 23 -</w:t>
          </w:r>
          <w:r>
            <w:rPr>
              <w:sz w:val="24"/>
              <w:szCs w:val="24"/>
            </w:rPr>
            <w:fldChar w:fldCharType="end"/>
          </w:r>
          <w:r>
            <w:rPr>
              <w:rFonts w:hint="eastAsia" w:ascii="仿宋" w:hAnsi="仿宋" w:eastAsia="仿宋" w:cs="仿宋"/>
              <w:bCs w:val="0"/>
              <w:sz w:val="24"/>
              <w:szCs w:val="24"/>
              <w:lang w:eastAsia="zh-CN"/>
            </w:rPr>
            <w:fldChar w:fldCharType="end"/>
          </w:r>
        </w:p>
        <w:p>
          <w:pPr>
            <w:pStyle w:val="15"/>
            <w:tabs>
              <w:tab w:val="right" w:leader="dot" w:pos="8306"/>
            </w:tabs>
            <w:ind w:left="0" w:leftChars="0" w:firstLine="0" w:firstLineChars="0"/>
            <w:rPr>
              <w:sz w:val="24"/>
              <w:szCs w:val="24"/>
            </w:rPr>
          </w:pPr>
          <w:r>
            <w:rPr>
              <w:rFonts w:hint="eastAsia" w:ascii="仿宋" w:hAnsi="仿宋" w:eastAsia="仿宋" w:cs="仿宋"/>
              <w:bCs w:val="0"/>
              <w:sz w:val="24"/>
              <w:szCs w:val="24"/>
              <w:lang w:eastAsia="zh-CN"/>
            </w:rPr>
            <w:fldChar w:fldCharType="begin"/>
          </w:r>
          <w:r>
            <w:rPr>
              <w:rFonts w:hint="eastAsia" w:ascii="仿宋" w:hAnsi="仿宋" w:eastAsia="仿宋" w:cs="仿宋"/>
              <w:bCs w:val="0"/>
              <w:sz w:val="24"/>
              <w:szCs w:val="24"/>
              <w:lang w:eastAsia="zh-CN"/>
            </w:rPr>
            <w:instrText xml:space="preserve"> HYPERLINK \l _Toc3394 </w:instrText>
          </w:r>
          <w:r>
            <w:rPr>
              <w:rFonts w:hint="eastAsia" w:ascii="仿宋" w:hAnsi="仿宋" w:eastAsia="仿宋" w:cs="仿宋"/>
              <w:bCs w:val="0"/>
              <w:sz w:val="24"/>
              <w:szCs w:val="24"/>
              <w:lang w:eastAsia="zh-CN"/>
            </w:rPr>
            <w:fldChar w:fldCharType="separate"/>
          </w:r>
          <w:r>
            <w:rPr>
              <w:rFonts w:hint="eastAsia" w:ascii="仿宋" w:hAnsi="仿宋" w:eastAsia="仿宋" w:cs="仿宋"/>
              <w:bCs/>
              <w:sz w:val="24"/>
              <w:szCs w:val="24"/>
            </w:rPr>
            <w:t>六、附件</w:t>
          </w:r>
          <w:r>
            <w:rPr>
              <w:sz w:val="24"/>
              <w:szCs w:val="24"/>
            </w:rPr>
            <w:tab/>
          </w:r>
          <w:r>
            <w:rPr>
              <w:sz w:val="24"/>
              <w:szCs w:val="24"/>
            </w:rPr>
            <w:fldChar w:fldCharType="begin"/>
          </w:r>
          <w:r>
            <w:rPr>
              <w:sz w:val="24"/>
              <w:szCs w:val="24"/>
            </w:rPr>
            <w:instrText xml:space="preserve"> PAGEREF _Toc3394 \h </w:instrText>
          </w:r>
          <w:r>
            <w:rPr>
              <w:sz w:val="24"/>
              <w:szCs w:val="24"/>
            </w:rPr>
            <w:fldChar w:fldCharType="separate"/>
          </w:r>
          <w:r>
            <w:rPr>
              <w:sz w:val="24"/>
              <w:szCs w:val="24"/>
            </w:rPr>
            <w:t>- 23 -</w:t>
          </w:r>
          <w:r>
            <w:rPr>
              <w:sz w:val="24"/>
              <w:szCs w:val="24"/>
            </w:rPr>
            <w:fldChar w:fldCharType="end"/>
          </w:r>
          <w:r>
            <w:rPr>
              <w:rFonts w:hint="eastAsia" w:ascii="仿宋" w:hAnsi="仿宋" w:eastAsia="仿宋" w:cs="仿宋"/>
              <w:bCs w:val="0"/>
              <w:sz w:val="24"/>
              <w:szCs w:val="24"/>
              <w:lang w:eastAsia="zh-CN"/>
            </w:rPr>
            <w:fldChar w:fldCharType="end"/>
          </w:r>
        </w:p>
        <w:p>
          <w:pPr>
            <w:pStyle w:val="18"/>
            <w:tabs>
              <w:tab w:val="right" w:leader="dot" w:pos="8306"/>
            </w:tabs>
            <w:ind w:left="0" w:leftChars="0" w:firstLine="0" w:firstLineChars="0"/>
            <w:rPr>
              <w:sz w:val="24"/>
              <w:szCs w:val="24"/>
            </w:rPr>
          </w:pPr>
        </w:p>
        <w:p>
          <w:pPr>
            <w:pStyle w:val="21"/>
            <w:spacing w:before="0" w:beforeLines="0" w:after="0" w:afterLines="0" w:line="780" w:lineRule="exact"/>
            <w:ind w:left="-424" w:leftChars="-221" w:right="-624" w:rightChars="-195" w:hanging="283" w:hangingChars="64"/>
            <w:outlineLvl w:val="1"/>
            <w:rPr>
              <w:rFonts w:hint="eastAsia" w:ascii="仿宋" w:hAnsi="仿宋" w:eastAsia="仿宋" w:cs="仿宋"/>
              <w:b/>
              <w:bCs w:val="0"/>
              <w:color w:val="000000"/>
              <w:sz w:val="44"/>
              <w:szCs w:val="32"/>
              <w:lang w:val="en-US" w:eastAsia="zh-CN" w:bidi="en-US"/>
            </w:rPr>
          </w:pPr>
          <w:r>
            <w:rPr>
              <w:rFonts w:hint="eastAsia" w:ascii="仿宋" w:hAnsi="仿宋" w:eastAsia="仿宋" w:cs="仿宋"/>
              <w:bCs w:val="0"/>
              <w:lang w:eastAsia="zh-CN"/>
            </w:rPr>
            <w:fldChar w:fldCharType="end"/>
          </w:r>
        </w:p>
      </w:sdtContent>
    </w:sdt>
    <w:p>
      <w:pPr>
        <w:rPr>
          <w:rFonts w:hint="eastAsia"/>
          <w:lang w:eastAsia="zh-CN"/>
        </w:rPr>
        <w:sectPr>
          <w:headerReference r:id="rId11" w:type="default"/>
          <w:footerReference r:id="rId12" w:type="default"/>
          <w:pgSz w:w="11906" w:h="16838"/>
          <w:pgMar w:top="1440" w:right="1800" w:bottom="1440" w:left="1800" w:header="851" w:footer="1191" w:gutter="0"/>
          <w:pgNumType w:fmt="numberInDash" w:start="1"/>
          <w:cols w:space="425" w:num="1"/>
          <w:docGrid w:type="lines" w:linePitch="312" w:charSpace="0"/>
        </w:sectPr>
      </w:pPr>
    </w:p>
    <w:p>
      <w:pPr>
        <w:pStyle w:val="21"/>
        <w:spacing w:before="0" w:beforeLines="0" w:after="0" w:afterLines="0" w:line="780" w:lineRule="exact"/>
        <w:ind w:left="-426" w:leftChars="-221" w:right="-624" w:rightChars="-195" w:hanging="281" w:hangingChars="64"/>
        <w:outlineLvl w:val="1"/>
        <w:rPr>
          <w:rFonts w:hint="eastAsia" w:ascii="方正小标宋简体" w:hAnsi="方正小标宋简体" w:eastAsia="方正小标宋简体" w:cs="方正小标宋简体"/>
          <w:b w:val="0"/>
          <w:bCs w:val="0"/>
          <w:sz w:val="44"/>
          <w:szCs w:val="44"/>
          <w:lang w:eastAsia="zh-CN"/>
        </w:rPr>
      </w:pPr>
      <w:bookmarkStart w:id="34" w:name="_Toc14079"/>
      <w:r>
        <w:rPr>
          <w:rFonts w:hint="eastAsia" w:ascii="方正小标宋简体" w:hAnsi="方正小标宋简体" w:eastAsia="方正小标宋简体" w:cs="方正小标宋简体"/>
          <w:b w:val="0"/>
          <w:bCs w:val="0"/>
          <w:sz w:val="44"/>
          <w:szCs w:val="44"/>
          <w:lang w:eastAsia="zh-CN"/>
        </w:rPr>
        <w:t>乐山市金口河区文化广播电视体育和旅游局</w:t>
      </w:r>
      <w:r>
        <w:rPr>
          <w:rFonts w:hint="eastAsia" w:ascii="方正小标宋简体" w:hAnsi="方正小标宋简体" w:eastAsia="方正小标宋简体" w:cs="方正小标宋简体"/>
          <w:b w:val="0"/>
          <w:bCs w:val="0"/>
          <w:sz w:val="44"/>
          <w:szCs w:val="44"/>
          <w:lang w:eastAsia="zh-CN"/>
        </w:rPr>
        <w:br w:type="textWrapping"/>
      </w:r>
      <w:r>
        <w:rPr>
          <w:rFonts w:hint="eastAsia" w:ascii="方正小标宋简体" w:hAnsi="方正小标宋简体" w:eastAsia="方正小标宋简体" w:cs="方正小标宋简体"/>
          <w:b w:val="0"/>
          <w:bCs w:val="0"/>
          <w:sz w:val="44"/>
          <w:szCs w:val="44"/>
          <w:lang w:eastAsia="zh-CN"/>
        </w:rPr>
        <w:t>农业产业推广：第二届非遗特色美食大赛及推广项目支出绩效评价报告</w:t>
      </w:r>
      <w:bookmarkEnd w:id="33"/>
      <w:bookmarkEnd w:id="34"/>
    </w:p>
    <w:p>
      <w:pPr>
        <w:pStyle w:val="2"/>
        <w:numPr>
          <w:numId w:val="0"/>
        </w:numPr>
        <w:spacing w:before="0" w:beforeLines="0" w:after="0" w:afterLines="0"/>
        <w:ind w:leftChars="0"/>
        <w:rPr>
          <w:rFonts w:hint="eastAsia" w:ascii="仿宋" w:hAnsi="仿宋" w:eastAsia="仿宋" w:cs="仿宋"/>
          <w:b w:val="0"/>
          <w:bCs/>
          <w:lang w:eastAsia="zh-CN"/>
        </w:rPr>
      </w:pPr>
      <w:bookmarkStart w:id="35" w:name="_Toc287850696"/>
      <w:bookmarkStart w:id="36" w:name="_Toc1969419847"/>
      <w:bookmarkStart w:id="37" w:name="_Toc2225"/>
      <w:bookmarkStart w:id="38" w:name="_Toc2001376203_WPSOffice_Level1"/>
      <w:bookmarkStart w:id="39" w:name="_Toc8471"/>
      <w:bookmarkStart w:id="40" w:name="_Toc179658315"/>
      <w:bookmarkStart w:id="41" w:name="_Toc1416645183"/>
      <w:bookmarkStart w:id="42" w:name="_Toc305085885"/>
      <w:bookmarkStart w:id="43" w:name="_Toc199443726"/>
      <w:bookmarkStart w:id="44" w:name="_Toc132480958"/>
    </w:p>
    <w:p>
      <w:pPr>
        <w:pStyle w:val="2"/>
        <w:numPr>
          <w:numId w:val="0"/>
        </w:numPr>
        <w:spacing w:before="0" w:beforeLines="0" w:after="0" w:afterLines="0"/>
        <w:ind w:leftChars="0" w:firstLine="640" w:firstLineChars="200"/>
        <w:rPr>
          <w:rFonts w:hint="eastAsia" w:ascii="黑体" w:hAnsi="黑体" w:eastAsia="黑体" w:cs="黑体"/>
          <w:b w:val="0"/>
          <w:bCs/>
          <w:lang w:eastAsia="zh-CN"/>
        </w:rPr>
      </w:pPr>
      <w:r>
        <w:rPr>
          <w:rFonts w:hint="eastAsia" w:ascii="黑体" w:hAnsi="黑体" w:eastAsia="黑体" w:cs="黑体"/>
          <w:b w:val="0"/>
          <w:bCs/>
          <w:lang w:eastAsia="zh-CN"/>
        </w:rPr>
        <w:t>一、基本情况</w:t>
      </w:r>
      <w:bookmarkEnd w:id="35"/>
      <w:bookmarkEnd w:id="36"/>
      <w:bookmarkEnd w:id="37"/>
      <w:bookmarkEnd w:id="38"/>
      <w:bookmarkEnd w:id="39"/>
      <w:bookmarkEnd w:id="40"/>
      <w:bookmarkEnd w:id="41"/>
      <w:bookmarkEnd w:id="42"/>
      <w:bookmarkEnd w:id="43"/>
      <w:bookmarkEnd w:id="44"/>
    </w:p>
    <w:p>
      <w:pPr>
        <w:pStyle w:val="3"/>
        <w:numPr>
          <w:ilvl w:val="0"/>
          <w:numId w:val="1"/>
        </w:numPr>
        <w:spacing w:before="0" w:beforeLines="0" w:after="0" w:afterLines="0"/>
        <w:ind w:firstLineChars="0"/>
        <w:rPr>
          <w:rFonts w:hint="eastAsia" w:ascii="楷体" w:hAnsi="楷体" w:eastAsia="楷体" w:cs="楷体"/>
          <w:b w:val="0"/>
          <w:bCs/>
          <w:lang w:eastAsia="zh-CN"/>
        </w:rPr>
      </w:pPr>
      <w:bookmarkStart w:id="45" w:name="_Toc404396392"/>
      <w:bookmarkStart w:id="46" w:name="_Toc179658316"/>
      <w:bookmarkStart w:id="47" w:name="_Toc1773474628"/>
      <w:bookmarkStart w:id="48" w:name="_Toc199443727"/>
      <w:bookmarkStart w:id="49" w:name="_Toc1042875910_WPSOffice_Level2"/>
      <w:bookmarkStart w:id="50" w:name="_Toc13946"/>
      <w:bookmarkStart w:id="51" w:name="_Toc132480959"/>
      <w:bookmarkStart w:id="52" w:name="_Toc1535003806"/>
      <w:bookmarkStart w:id="53" w:name="_Toc873917318"/>
      <w:bookmarkStart w:id="54" w:name="_Toc27921"/>
      <w:r>
        <w:rPr>
          <w:rFonts w:hint="eastAsia" w:ascii="楷体" w:hAnsi="楷体" w:eastAsia="楷体" w:cs="楷体"/>
          <w:b w:val="0"/>
          <w:bCs/>
          <w:lang w:eastAsia="zh-CN"/>
        </w:rPr>
        <w:t>项目概况</w:t>
      </w:r>
      <w:bookmarkEnd w:id="45"/>
      <w:bookmarkEnd w:id="46"/>
      <w:bookmarkEnd w:id="47"/>
      <w:bookmarkEnd w:id="48"/>
      <w:bookmarkEnd w:id="49"/>
      <w:bookmarkEnd w:id="50"/>
      <w:bookmarkEnd w:id="51"/>
      <w:bookmarkEnd w:id="52"/>
      <w:bookmarkEnd w:id="53"/>
      <w:bookmarkEnd w:id="54"/>
    </w:p>
    <w:p>
      <w:pPr>
        <w:pStyle w:val="4"/>
        <w:numPr>
          <w:ilvl w:val="0"/>
          <w:numId w:val="2"/>
        </w:numPr>
        <w:ind w:firstLineChars="0"/>
        <w:rPr>
          <w:rFonts w:hint="eastAsia" w:ascii="仿宋" w:hAnsi="仿宋" w:eastAsia="仿宋" w:cs="仿宋"/>
          <w:b w:val="0"/>
          <w:bCs/>
          <w:lang w:eastAsia="zh-CN"/>
        </w:rPr>
      </w:pPr>
      <w:bookmarkStart w:id="55" w:name="_Toc9331"/>
      <w:bookmarkStart w:id="56" w:name="_Toc199443728"/>
      <w:bookmarkStart w:id="57" w:name="_Toc130033877"/>
      <w:bookmarkStart w:id="58" w:name="_Toc1087916031"/>
      <w:bookmarkStart w:id="59" w:name="_Toc9639"/>
      <w:bookmarkStart w:id="60" w:name="_Toc2051901236"/>
      <w:bookmarkStart w:id="61" w:name="_Toc1042875910_WPSOffice_Level3"/>
      <w:bookmarkStart w:id="62" w:name="_Toc1862536083"/>
      <w:bookmarkStart w:id="63" w:name="_Toc1287701793"/>
      <w:r>
        <w:rPr>
          <w:rFonts w:hint="eastAsia" w:ascii="仿宋" w:hAnsi="仿宋" w:eastAsia="仿宋" w:cs="仿宋"/>
          <w:b w:val="0"/>
          <w:bCs/>
          <w:lang w:eastAsia="zh-CN"/>
        </w:rPr>
        <w:t>项目背景</w:t>
      </w:r>
      <w:bookmarkEnd w:id="55"/>
      <w:bookmarkEnd w:id="56"/>
    </w:p>
    <w:p>
      <w:pPr>
        <w:ind w:firstLine="640"/>
        <w:rPr>
          <w:rFonts w:hint="eastAsia" w:ascii="仿宋" w:hAnsi="仿宋" w:eastAsia="仿宋" w:cs="仿宋"/>
          <w:bCs/>
          <w:color w:val="auto"/>
          <w:szCs w:val="32"/>
          <w:lang w:eastAsia="zh-CN"/>
        </w:rPr>
      </w:pPr>
      <w:r>
        <w:rPr>
          <w:rFonts w:hint="eastAsia" w:ascii="仿宋" w:hAnsi="仿宋" w:eastAsia="仿宋" w:cs="仿宋"/>
          <w:bCs/>
          <w:color w:val="auto"/>
          <w:szCs w:val="32"/>
          <w:lang w:val="en-US" w:eastAsia="zh-CN"/>
        </w:rPr>
        <w:t>为切实提升乡村旅游服务品质，扩大金口河区非遗文化影响力，不断助推金口河区农文旅融合高质量发展，推动巩固拓展脱贫攻坚成果同乡村振兴有效衔接，乐山市金口河区文化体育和旅游局(以下简称区文体旅游局)向乐山市沙湾区先发带后发结对帮扶金口河区工作队(以下简称先发带后发帮扶工作队)申报金口河区第二届“舌尖上的非遗”特色美食大赛及推广交流活动项目</w:t>
      </w:r>
      <w:r>
        <w:rPr>
          <w:rFonts w:hint="eastAsia" w:ascii="仿宋" w:hAnsi="仿宋" w:eastAsia="仿宋" w:cs="仿宋"/>
          <w:bCs/>
          <w:color w:val="auto"/>
          <w:szCs w:val="32"/>
          <w:lang w:eastAsia="zh-CN"/>
        </w:rPr>
        <w:t>。</w:t>
      </w:r>
    </w:p>
    <w:p>
      <w:pPr>
        <w:ind w:firstLine="640"/>
        <w:rPr>
          <w:rFonts w:hint="eastAsia" w:ascii="仿宋" w:hAnsi="仿宋" w:eastAsia="仿宋" w:cs="仿宋"/>
          <w:bCs/>
          <w:color w:val="auto"/>
          <w:szCs w:val="32"/>
          <w:lang w:eastAsia="zh-CN"/>
        </w:rPr>
      </w:pPr>
      <w:r>
        <w:rPr>
          <w:rFonts w:hint="eastAsia" w:ascii="仿宋" w:hAnsi="仿宋" w:eastAsia="仿宋" w:cs="仿宋"/>
          <w:bCs/>
          <w:color w:val="auto"/>
          <w:szCs w:val="32"/>
          <w:lang w:val="en-US" w:eastAsia="zh-CN"/>
        </w:rPr>
        <w:t>为扩大金口河区非遗美食影响、助力产业强区、旅游兴区发展战略，持续放大金口河的独特魅力，拟在金口河区境内开展以非遗特色美食为主题的第二届美食大赛及推广交流活动</w:t>
      </w:r>
      <w:r>
        <w:rPr>
          <w:rFonts w:hint="eastAsia" w:ascii="仿宋" w:hAnsi="仿宋" w:eastAsia="仿宋" w:cs="仿宋"/>
          <w:bCs/>
          <w:color w:val="auto"/>
          <w:szCs w:val="32"/>
          <w:lang w:eastAsia="zh-CN"/>
        </w:rPr>
        <w:t>。</w:t>
      </w:r>
      <w:r>
        <w:rPr>
          <w:rFonts w:hint="eastAsia" w:ascii="仿宋" w:hAnsi="仿宋" w:eastAsia="仿宋" w:cs="仿宋"/>
          <w:bCs/>
          <w:color w:val="auto"/>
          <w:szCs w:val="32"/>
          <w:lang w:val="en-US" w:eastAsia="zh-CN"/>
        </w:rPr>
        <w:t>2022年9月，金口河开展了以“天麻宴”为主题的首届美食大赛及推广交流活动，活动提高了金口河美食知名度，打造了金口河美食品牌。</w:t>
      </w:r>
    </w:p>
    <w:bookmarkEnd w:id="57"/>
    <w:bookmarkEnd w:id="58"/>
    <w:bookmarkEnd w:id="59"/>
    <w:bookmarkEnd w:id="60"/>
    <w:bookmarkEnd w:id="61"/>
    <w:bookmarkEnd w:id="62"/>
    <w:bookmarkEnd w:id="63"/>
    <w:p>
      <w:pPr>
        <w:pStyle w:val="4"/>
        <w:numPr>
          <w:ilvl w:val="0"/>
          <w:numId w:val="2"/>
        </w:numPr>
        <w:ind w:firstLineChars="0"/>
        <w:rPr>
          <w:rFonts w:hint="eastAsia" w:ascii="仿宋" w:hAnsi="仿宋" w:eastAsia="仿宋" w:cs="仿宋"/>
          <w:b w:val="0"/>
          <w:bCs/>
          <w:szCs w:val="32"/>
          <w:lang w:eastAsia="zh-CN"/>
        </w:rPr>
      </w:pPr>
      <w:bookmarkStart w:id="64" w:name="_Toc199443729"/>
      <w:bookmarkStart w:id="65" w:name="_Toc1491763895"/>
      <w:bookmarkStart w:id="66" w:name="_Toc1372691542"/>
      <w:bookmarkStart w:id="67" w:name="_Toc153907914"/>
      <w:bookmarkStart w:id="68" w:name="_Toc17740"/>
      <w:bookmarkStart w:id="69" w:name="_Toc865934723"/>
      <w:bookmarkStart w:id="70" w:name="_Toc12920"/>
      <w:bookmarkStart w:id="71" w:name="_Toc1093480860_WPSOffice_Level3"/>
      <w:bookmarkStart w:id="72" w:name="_Toc130033880"/>
      <w:r>
        <w:rPr>
          <w:rFonts w:hint="eastAsia" w:ascii="仿宋" w:hAnsi="仿宋" w:eastAsia="仿宋" w:cs="仿宋"/>
          <w:b w:val="0"/>
          <w:bCs/>
          <w:lang w:eastAsia="zh-CN"/>
        </w:rPr>
        <w:t>立项</w:t>
      </w:r>
      <w:r>
        <w:rPr>
          <w:rFonts w:hint="eastAsia" w:ascii="仿宋" w:hAnsi="仿宋" w:eastAsia="仿宋" w:cs="仿宋"/>
          <w:b w:val="0"/>
          <w:bCs/>
          <w:szCs w:val="32"/>
          <w:lang w:eastAsia="zh-CN"/>
        </w:rPr>
        <w:t>依据</w:t>
      </w:r>
      <w:bookmarkEnd w:id="64"/>
    </w:p>
    <w:p>
      <w:pPr>
        <w:ind w:firstLine="672"/>
        <w:rPr>
          <w:rFonts w:hint="eastAsia" w:ascii="仿宋" w:hAnsi="仿宋" w:eastAsia="仿宋" w:cs="仿宋"/>
          <w:bCs/>
          <w:szCs w:val="32"/>
          <w:lang w:eastAsia="zh-CN"/>
        </w:rPr>
      </w:pPr>
      <w:r>
        <w:rPr>
          <w:rFonts w:hint="eastAsia" w:ascii="仿宋" w:hAnsi="仿宋" w:eastAsia="仿宋" w:cs="仿宋"/>
          <w:bCs/>
          <w:spacing w:val="8"/>
          <w:szCs w:val="32"/>
          <w:lang w:eastAsia="zh-CN"/>
        </w:rPr>
        <w:t>(1)</w:t>
      </w:r>
      <w:r>
        <w:rPr>
          <w:rFonts w:hint="eastAsia" w:ascii="仿宋" w:hAnsi="仿宋" w:eastAsia="仿宋" w:cs="仿宋"/>
          <w:bCs/>
          <w:szCs w:val="32"/>
          <w:lang w:val="zh-CN" w:eastAsia="zh-CN"/>
        </w:rPr>
        <w:t>《</w:t>
      </w:r>
      <w:r>
        <w:rPr>
          <w:rFonts w:hint="eastAsia" w:ascii="仿宋" w:hAnsi="仿宋" w:eastAsia="仿宋" w:cs="仿宋"/>
          <w:bCs/>
          <w:szCs w:val="32"/>
          <w:lang w:eastAsia="zh-CN"/>
        </w:rPr>
        <w:t>中共中央国务院关于全面实施预算绩效管理的意见》（中发〔2018〕34号）；</w:t>
      </w:r>
    </w:p>
    <w:p>
      <w:pPr>
        <w:ind w:firstLine="672"/>
        <w:rPr>
          <w:rFonts w:hint="eastAsia" w:ascii="仿宋" w:hAnsi="仿宋" w:eastAsia="仿宋" w:cs="仿宋"/>
          <w:bCs/>
          <w:szCs w:val="32"/>
          <w:lang w:eastAsia="zh-CN"/>
        </w:rPr>
      </w:pPr>
      <w:r>
        <w:rPr>
          <w:rFonts w:hint="eastAsia" w:ascii="仿宋" w:hAnsi="仿宋" w:eastAsia="仿宋" w:cs="仿宋"/>
          <w:bCs/>
          <w:spacing w:val="8"/>
          <w:szCs w:val="32"/>
          <w:lang w:eastAsia="zh-CN"/>
        </w:rPr>
        <w:t>(</w:t>
      </w:r>
      <w:r>
        <w:rPr>
          <w:rFonts w:hint="eastAsia" w:ascii="仿宋" w:hAnsi="仿宋" w:eastAsia="仿宋" w:cs="仿宋"/>
          <w:bCs/>
          <w:spacing w:val="8"/>
          <w:szCs w:val="32"/>
          <w:lang w:val="en-US" w:eastAsia="zh-CN"/>
        </w:rPr>
        <w:t>2</w:t>
      </w:r>
      <w:r>
        <w:rPr>
          <w:rFonts w:hint="eastAsia" w:ascii="仿宋" w:hAnsi="仿宋" w:eastAsia="仿宋" w:cs="仿宋"/>
          <w:bCs/>
          <w:spacing w:val="8"/>
          <w:szCs w:val="32"/>
          <w:lang w:eastAsia="zh-CN"/>
        </w:rPr>
        <w:t>)《财</w:t>
      </w:r>
      <w:r>
        <w:rPr>
          <w:rFonts w:hint="eastAsia" w:ascii="仿宋" w:hAnsi="仿宋" w:eastAsia="仿宋" w:cs="仿宋"/>
          <w:bCs/>
          <w:szCs w:val="32"/>
          <w:lang w:eastAsia="zh-CN"/>
        </w:rPr>
        <w:t>政部关于印发〈政府采购需求管理办法〉的通知》（财库〔2021〕22号）；</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w:t>
      </w:r>
      <w:r>
        <w:rPr>
          <w:rFonts w:hint="eastAsia" w:ascii="仿宋" w:hAnsi="仿宋" w:eastAsia="仿宋" w:cs="仿宋"/>
          <w:bCs/>
          <w:szCs w:val="32"/>
          <w:lang w:val="en-US" w:eastAsia="zh-CN"/>
        </w:rPr>
        <w:t>3</w:t>
      </w:r>
      <w:r>
        <w:rPr>
          <w:rFonts w:hint="eastAsia" w:ascii="仿宋" w:hAnsi="仿宋" w:eastAsia="仿宋" w:cs="仿宋"/>
          <w:bCs/>
          <w:szCs w:val="32"/>
          <w:lang w:eastAsia="zh-CN"/>
        </w:rPr>
        <w:t>)《中共四川省委四川省人民政府关于全面实施预算绩效管理的实施意见》（川委发〔2019〕8号）；</w:t>
      </w:r>
    </w:p>
    <w:p>
      <w:pPr>
        <w:ind w:firstLine="640"/>
        <w:rPr>
          <w:rFonts w:hint="eastAsia" w:ascii="仿宋" w:hAnsi="仿宋" w:eastAsia="仿宋" w:cs="仿宋"/>
          <w:bCs/>
          <w:spacing w:val="8"/>
          <w:szCs w:val="32"/>
          <w:lang w:eastAsia="zh-CN"/>
        </w:rPr>
      </w:pPr>
      <w:r>
        <w:rPr>
          <w:rFonts w:hint="eastAsia" w:ascii="仿宋" w:hAnsi="仿宋" w:eastAsia="仿宋" w:cs="仿宋"/>
          <w:bCs/>
          <w:szCs w:val="32"/>
          <w:lang w:eastAsia="zh-CN"/>
        </w:rPr>
        <w:t>(</w:t>
      </w:r>
      <w:r>
        <w:rPr>
          <w:rFonts w:hint="eastAsia" w:ascii="仿宋" w:hAnsi="仿宋" w:eastAsia="仿宋" w:cs="仿宋"/>
          <w:bCs/>
          <w:szCs w:val="32"/>
          <w:lang w:val="en-US" w:eastAsia="zh-CN"/>
        </w:rPr>
        <w:t>4</w:t>
      </w:r>
      <w:r>
        <w:rPr>
          <w:rFonts w:hint="eastAsia" w:ascii="仿宋" w:hAnsi="仿宋" w:eastAsia="仿宋" w:cs="仿宋"/>
          <w:bCs/>
          <w:szCs w:val="32"/>
          <w:lang w:eastAsia="zh-CN"/>
        </w:rPr>
        <w:t>)《中共乐山市委办公室乐山市人民政府办公室关于印发全面实施预算绩效管理实施方案的通知》（乐委办发〔2020〕12号）；</w:t>
      </w:r>
    </w:p>
    <w:p>
      <w:pPr>
        <w:ind w:firstLine="640"/>
        <w:rPr>
          <w:rFonts w:hint="eastAsia" w:ascii="仿宋" w:hAnsi="仿宋" w:eastAsia="仿宋" w:cs="仿宋"/>
          <w:bCs/>
          <w:szCs w:val="32"/>
          <w:lang w:val="en-US" w:eastAsia="zh-CN"/>
        </w:rPr>
      </w:pPr>
      <w:r>
        <w:rPr>
          <w:rFonts w:hint="eastAsia" w:ascii="仿宋" w:hAnsi="仿宋" w:eastAsia="仿宋" w:cs="仿宋"/>
          <w:bCs/>
          <w:szCs w:val="32"/>
          <w:lang w:eastAsia="zh-CN"/>
        </w:rPr>
        <w:t>(</w:t>
      </w:r>
      <w:r>
        <w:rPr>
          <w:rFonts w:hint="eastAsia" w:ascii="仿宋" w:hAnsi="仿宋" w:eastAsia="仿宋" w:cs="仿宋"/>
          <w:bCs/>
          <w:szCs w:val="32"/>
          <w:lang w:val="en-US" w:eastAsia="zh-CN"/>
        </w:rPr>
        <w:t>5</w:t>
      </w:r>
      <w:r>
        <w:rPr>
          <w:rFonts w:hint="eastAsia" w:ascii="仿宋" w:hAnsi="仿宋" w:eastAsia="仿宋" w:cs="仿宋"/>
          <w:bCs/>
          <w:szCs w:val="32"/>
          <w:lang w:eastAsia="zh-CN"/>
        </w:rPr>
        <w:t>)</w:t>
      </w:r>
      <w:r>
        <w:rPr>
          <w:rFonts w:hint="eastAsia" w:ascii="仿宋" w:hAnsi="仿宋" w:eastAsia="仿宋" w:cs="仿宋"/>
          <w:bCs/>
          <w:szCs w:val="32"/>
          <w:lang w:val="en-US" w:eastAsia="zh-CN"/>
        </w:rPr>
        <w:t>乐山市沙湾区财政局、乐山市金口河区财政局《关于印发&lt;乐山市沙湾区先发带后发结对帮扶资金共同管理办法&gt;的通知》(乐沙财政</w:t>
      </w:r>
      <w:r>
        <w:rPr>
          <w:rFonts w:hint="eastAsia" w:ascii="仿宋" w:hAnsi="仿宋" w:eastAsia="仿宋" w:cs="仿宋"/>
          <w:bCs/>
          <w:szCs w:val="32"/>
          <w:lang w:eastAsia="zh-CN"/>
        </w:rPr>
        <w:t>〔202</w:t>
      </w:r>
      <w:r>
        <w:rPr>
          <w:rFonts w:hint="eastAsia" w:ascii="仿宋" w:hAnsi="仿宋" w:eastAsia="仿宋" w:cs="仿宋"/>
          <w:bCs/>
          <w:szCs w:val="32"/>
          <w:lang w:val="en-US" w:eastAsia="zh-CN"/>
        </w:rPr>
        <w:t>3</w:t>
      </w:r>
      <w:r>
        <w:rPr>
          <w:rFonts w:hint="eastAsia" w:ascii="仿宋" w:hAnsi="仿宋" w:eastAsia="仿宋" w:cs="仿宋"/>
          <w:bCs/>
          <w:szCs w:val="32"/>
          <w:lang w:eastAsia="zh-CN"/>
        </w:rPr>
        <w:t>〕</w:t>
      </w:r>
      <w:r>
        <w:rPr>
          <w:rFonts w:hint="eastAsia" w:ascii="仿宋" w:hAnsi="仿宋" w:eastAsia="仿宋" w:cs="仿宋"/>
          <w:bCs/>
          <w:szCs w:val="32"/>
          <w:lang w:val="en-US" w:eastAsia="zh-CN"/>
        </w:rPr>
        <w:t>6号)；</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w:t>
      </w:r>
      <w:r>
        <w:rPr>
          <w:rFonts w:hint="eastAsia" w:ascii="仿宋" w:hAnsi="仿宋" w:eastAsia="仿宋" w:cs="仿宋"/>
          <w:bCs/>
          <w:szCs w:val="32"/>
          <w:lang w:val="en-US" w:eastAsia="zh-CN"/>
        </w:rPr>
        <w:t>6</w:t>
      </w:r>
      <w:r>
        <w:rPr>
          <w:rFonts w:hint="eastAsia" w:ascii="仿宋" w:hAnsi="仿宋" w:eastAsia="仿宋" w:cs="仿宋"/>
          <w:bCs/>
          <w:szCs w:val="32"/>
          <w:lang w:eastAsia="zh-CN"/>
        </w:rPr>
        <w:t>)</w:t>
      </w:r>
      <w:r>
        <w:rPr>
          <w:rFonts w:hint="eastAsia" w:ascii="仿宋" w:hAnsi="仿宋" w:eastAsia="仿宋" w:cs="仿宋"/>
          <w:bCs/>
          <w:szCs w:val="32"/>
          <w:lang w:val="en-US" w:eastAsia="zh-CN"/>
        </w:rPr>
        <w:t>沙湾区乡村振兴局、金口河区乡村振兴局《关于印发&lt;乐山沙湾区先发带后发结对帮扶金口河区项目管理办法&gt;的通知》(乐沙乡振</w:t>
      </w:r>
      <w:r>
        <w:rPr>
          <w:rFonts w:hint="eastAsia" w:ascii="仿宋" w:hAnsi="仿宋" w:eastAsia="仿宋" w:cs="仿宋"/>
          <w:bCs/>
          <w:szCs w:val="32"/>
          <w:lang w:eastAsia="zh-CN"/>
        </w:rPr>
        <w:t>〔202</w:t>
      </w:r>
      <w:r>
        <w:rPr>
          <w:rFonts w:hint="eastAsia" w:ascii="仿宋" w:hAnsi="仿宋" w:eastAsia="仿宋" w:cs="仿宋"/>
          <w:bCs/>
          <w:szCs w:val="32"/>
          <w:lang w:val="en-US" w:eastAsia="zh-CN"/>
        </w:rPr>
        <w:t>3</w:t>
      </w:r>
      <w:r>
        <w:rPr>
          <w:rFonts w:hint="eastAsia" w:ascii="仿宋" w:hAnsi="仿宋" w:eastAsia="仿宋" w:cs="仿宋"/>
          <w:bCs/>
          <w:szCs w:val="32"/>
          <w:lang w:eastAsia="zh-CN"/>
        </w:rPr>
        <w:t>〕</w:t>
      </w:r>
      <w:r>
        <w:rPr>
          <w:rFonts w:hint="eastAsia" w:ascii="仿宋" w:hAnsi="仿宋" w:eastAsia="仿宋" w:cs="仿宋"/>
          <w:bCs/>
          <w:szCs w:val="32"/>
          <w:lang w:val="en-US" w:eastAsia="zh-CN"/>
        </w:rPr>
        <w:t>17号)；</w:t>
      </w:r>
    </w:p>
    <w:p>
      <w:pPr>
        <w:ind w:firstLine="640"/>
        <w:rPr>
          <w:rFonts w:hint="eastAsia" w:ascii="仿宋" w:hAnsi="仿宋" w:eastAsia="仿宋" w:cs="仿宋"/>
          <w:bCs/>
          <w:szCs w:val="32"/>
          <w:lang w:eastAsia="zh-CN"/>
        </w:rPr>
      </w:pPr>
      <w:r>
        <w:rPr>
          <w:rFonts w:hint="eastAsia" w:ascii="仿宋" w:hAnsi="仿宋" w:eastAsia="仿宋" w:cs="仿宋"/>
          <w:bCs/>
          <w:szCs w:val="32"/>
          <w:lang w:val="en-US" w:eastAsia="zh-CN"/>
        </w:rPr>
        <w:t>(7)</w:t>
      </w:r>
      <w:r>
        <w:rPr>
          <w:rFonts w:hint="eastAsia" w:ascii="仿宋" w:hAnsi="仿宋" w:eastAsia="仿宋" w:cs="仿宋"/>
          <w:bCs/>
          <w:szCs w:val="32"/>
          <w:lang w:eastAsia="zh-CN"/>
        </w:rPr>
        <w:t>《</w:t>
      </w:r>
      <w:r>
        <w:rPr>
          <w:rFonts w:hint="eastAsia" w:ascii="仿宋" w:hAnsi="仿宋" w:eastAsia="仿宋" w:cs="仿宋"/>
          <w:bCs/>
          <w:szCs w:val="32"/>
          <w:lang w:val="en-US" w:eastAsia="zh-CN"/>
        </w:rPr>
        <w:t>乐</w:t>
      </w:r>
      <w:r>
        <w:rPr>
          <w:rFonts w:hint="eastAsia" w:ascii="仿宋" w:hAnsi="仿宋" w:eastAsia="仿宋" w:cs="仿宋"/>
          <w:bCs/>
          <w:szCs w:val="32"/>
          <w:lang w:eastAsia="zh-CN"/>
        </w:rPr>
        <w:t>山市金口河区文化体育和旅游局关于申报2024年沙湾区结对帮扶金口河区发展项目的请示》（</w:t>
      </w:r>
      <w:r>
        <w:rPr>
          <w:rFonts w:hint="eastAsia" w:ascii="仿宋" w:hAnsi="仿宋" w:eastAsia="仿宋" w:cs="仿宋"/>
          <w:bCs/>
          <w:szCs w:val="32"/>
          <w:lang w:val="en-US" w:eastAsia="zh-CN"/>
        </w:rPr>
        <w:t>金文体旅</w:t>
      </w:r>
      <w:r>
        <w:rPr>
          <w:rFonts w:hint="eastAsia" w:ascii="仿宋" w:hAnsi="仿宋" w:eastAsia="仿宋" w:cs="仿宋"/>
          <w:bCs/>
          <w:szCs w:val="32"/>
          <w:lang w:eastAsia="zh-CN"/>
        </w:rPr>
        <w:t>〔202</w:t>
      </w:r>
      <w:r>
        <w:rPr>
          <w:rFonts w:hint="eastAsia" w:ascii="仿宋" w:hAnsi="仿宋" w:eastAsia="仿宋" w:cs="仿宋"/>
          <w:bCs/>
          <w:szCs w:val="32"/>
          <w:lang w:val="en-US" w:eastAsia="zh-CN"/>
        </w:rPr>
        <w:t>4</w:t>
      </w:r>
      <w:r>
        <w:rPr>
          <w:rFonts w:hint="eastAsia" w:ascii="仿宋" w:hAnsi="仿宋" w:eastAsia="仿宋" w:cs="仿宋"/>
          <w:bCs/>
          <w:szCs w:val="32"/>
          <w:lang w:eastAsia="zh-CN"/>
        </w:rPr>
        <w:t>〕</w:t>
      </w:r>
      <w:r>
        <w:rPr>
          <w:rFonts w:hint="eastAsia" w:ascii="仿宋" w:hAnsi="仿宋" w:eastAsia="仿宋" w:cs="仿宋"/>
          <w:bCs/>
          <w:szCs w:val="32"/>
          <w:lang w:val="en-US" w:eastAsia="zh-CN"/>
        </w:rPr>
        <w:t>7</w:t>
      </w:r>
      <w:r>
        <w:rPr>
          <w:rFonts w:hint="eastAsia" w:ascii="仿宋" w:hAnsi="仿宋" w:eastAsia="仿宋" w:cs="仿宋"/>
          <w:bCs/>
          <w:szCs w:val="32"/>
          <w:lang w:eastAsia="zh-CN"/>
        </w:rPr>
        <w:t>号）；</w:t>
      </w:r>
    </w:p>
    <w:p>
      <w:pPr>
        <w:ind w:firstLine="640"/>
        <w:rPr>
          <w:rFonts w:hint="eastAsia" w:ascii="仿宋" w:hAnsi="仿宋" w:eastAsia="仿宋" w:cs="仿宋"/>
          <w:bCs/>
          <w:szCs w:val="32"/>
          <w:lang w:eastAsia="zh-CN"/>
        </w:rPr>
      </w:pPr>
      <w:r>
        <w:rPr>
          <w:rFonts w:hint="eastAsia" w:ascii="仿宋" w:hAnsi="仿宋" w:eastAsia="仿宋" w:cs="仿宋"/>
          <w:bCs/>
          <w:szCs w:val="32"/>
          <w:lang w:val="en-US" w:eastAsia="zh-CN"/>
        </w:rPr>
        <w:t>(8)</w:t>
      </w:r>
      <w:r>
        <w:rPr>
          <w:rFonts w:hint="eastAsia" w:ascii="仿宋" w:hAnsi="仿宋" w:eastAsia="仿宋" w:cs="仿宋"/>
          <w:bCs/>
          <w:szCs w:val="32"/>
          <w:lang w:eastAsia="zh-CN"/>
        </w:rPr>
        <w:t>《</w:t>
      </w:r>
      <w:r>
        <w:rPr>
          <w:rFonts w:hint="eastAsia" w:ascii="仿宋" w:hAnsi="仿宋" w:eastAsia="仿宋" w:cs="仿宋"/>
          <w:bCs/>
          <w:szCs w:val="32"/>
          <w:lang w:val="en-US" w:eastAsia="zh-CN"/>
        </w:rPr>
        <w:t>乐</w:t>
      </w:r>
      <w:r>
        <w:rPr>
          <w:rFonts w:hint="eastAsia" w:ascii="仿宋" w:hAnsi="仿宋" w:eastAsia="仿宋" w:cs="仿宋"/>
          <w:bCs/>
          <w:szCs w:val="32"/>
          <w:lang w:eastAsia="zh-CN"/>
        </w:rPr>
        <w:t>山市沙湾区先发带后发结对帮扶金口河区工作队关于</w:t>
      </w:r>
      <w:r>
        <w:rPr>
          <w:rFonts w:hint="eastAsia" w:ascii="仿宋" w:hAnsi="仿宋" w:eastAsia="仿宋" w:cs="仿宋"/>
          <w:bCs/>
          <w:szCs w:val="32"/>
          <w:lang w:val="en-US" w:eastAsia="zh-CN"/>
        </w:rPr>
        <w:t>&lt;</w:t>
      </w:r>
      <w:r>
        <w:rPr>
          <w:rFonts w:hint="eastAsia" w:ascii="仿宋" w:hAnsi="仿宋" w:eastAsia="仿宋" w:cs="仿宋"/>
          <w:bCs/>
          <w:szCs w:val="32"/>
          <w:lang w:eastAsia="zh-CN"/>
        </w:rPr>
        <w:t>关于申报2024年沙湾区结对帮扶金口河区发展项目的请示</w:t>
      </w:r>
      <w:r>
        <w:rPr>
          <w:rFonts w:hint="eastAsia" w:ascii="仿宋" w:hAnsi="仿宋" w:eastAsia="仿宋" w:cs="仿宋"/>
          <w:bCs/>
          <w:szCs w:val="32"/>
          <w:lang w:val="en-US" w:eastAsia="zh-CN"/>
        </w:rPr>
        <w:t>&gt;</w:t>
      </w:r>
      <w:r>
        <w:rPr>
          <w:rFonts w:hint="eastAsia" w:ascii="仿宋" w:hAnsi="仿宋" w:eastAsia="仿宋" w:cs="仿宋"/>
          <w:bCs/>
          <w:szCs w:val="32"/>
          <w:lang w:eastAsia="zh-CN"/>
        </w:rPr>
        <w:t>的批复》（</w:t>
      </w:r>
      <w:r>
        <w:rPr>
          <w:rFonts w:hint="eastAsia" w:ascii="仿宋" w:hAnsi="仿宋" w:eastAsia="仿宋" w:cs="仿宋"/>
          <w:bCs/>
          <w:szCs w:val="32"/>
          <w:lang w:val="en-US" w:eastAsia="zh-CN"/>
        </w:rPr>
        <w:t>乐沙扶复</w:t>
      </w:r>
      <w:r>
        <w:rPr>
          <w:rFonts w:hint="eastAsia" w:ascii="仿宋" w:hAnsi="仿宋" w:eastAsia="仿宋" w:cs="仿宋"/>
          <w:bCs/>
          <w:szCs w:val="32"/>
          <w:lang w:eastAsia="zh-CN"/>
        </w:rPr>
        <w:t>〔202</w:t>
      </w:r>
      <w:r>
        <w:rPr>
          <w:rFonts w:hint="eastAsia" w:ascii="仿宋" w:hAnsi="仿宋" w:eastAsia="仿宋" w:cs="仿宋"/>
          <w:bCs/>
          <w:szCs w:val="32"/>
          <w:lang w:val="en-US" w:eastAsia="zh-CN"/>
        </w:rPr>
        <w:t>4</w:t>
      </w:r>
      <w:r>
        <w:rPr>
          <w:rFonts w:hint="eastAsia" w:ascii="仿宋" w:hAnsi="仿宋" w:eastAsia="仿宋" w:cs="仿宋"/>
          <w:bCs/>
          <w:szCs w:val="32"/>
          <w:lang w:eastAsia="zh-CN"/>
        </w:rPr>
        <w:t>〕</w:t>
      </w:r>
      <w:r>
        <w:rPr>
          <w:rFonts w:hint="eastAsia" w:ascii="仿宋" w:hAnsi="仿宋" w:eastAsia="仿宋" w:cs="仿宋"/>
          <w:bCs/>
          <w:szCs w:val="32"/>
          <w:lang w:val="en-US" w:eastAsia="zh-CN"/>
        </w:rPr>
        <w:t>6</w:t>
      </w:r>
      <w:r>
        <w:rPr>
          <w:rFonts w:hint="eastAsia" w:ascii="仿宋" w:hAnsi="仿宋" w:eastAsia="仿宋" w:cs="仿宋"/>
          <w:bCs/>
          <w:szCs w:val="32"/>
          <w:lang w:eastAsia="zh-CN"/>
        </w:rPr>
        <w:t>号）。</w:t>
      </w:r>
    </w:p>
    <w:p>
      <w:pPr>
        <w:pStyle w:val="4"/>
        <w:numPr>
          <w:ilvl w:val="0"/>
          <w:numId w:val="2"/>
        </w:numPr>
        <w:ind w:firstLineChars="0"/>
        <w:rPr>
          <w:rFonts w:hint="eastAsia" w:ascii="仿宋" w:hAnsi="仿宋" w:eastAsia="仿宋" w:cs="仿宋"/>
          <w:b w:val="0"/>
          <w:bCs/>
          <w:szCs w:val="32"/>
          <w:lang w:eastAsia="zh-CN"/>
        </w:rPr>
      </w:pPr>
      <w:bookmarkStart w:id="73" w:name="_Toc199443730"/>
      <w:r>
        <w:rPr>
          <w:rFonts w:hint="eastAsia" w:ascii="仿宋" w:hAnsi="仿宋" w:eastAsia="仿宋" w:cs="仿宋"/>
          <w:b w:val="0"/>
          <w:bCs/>
          <w:szCs w:val="32"/>
          <w:lang w:eastAsia="zh-CN"/>
        </w:rPr>
        <w:t>项目主要内容</w:t>
      </w:r>
      <w:bookmarkEnd w:id="65"/>
      <w:bookmarkEnd w:id="66"/>
      <w:bookmarkEnd w:id="67"/>
      <w:bookmarkEnd w:id="68"/>
      <w:bookmarkEnd w:id="69"/>
      <w:bookmarkEnd w:id="70"/>
      <w:bookmarkEnd w:id="71"/>
      <w:bookmarkEnd w:id="72"/>
      <w:bookmarkEnd w:id="73"/>
    </w:p>
    <w:p>
      <w:pPr>
        <w:ind w:firstLine="640"/>
        <w:rPr>
          <w:rFonts w:hint="eastAsia" w:ascii="仿宋" w:hAnsi="仿宋" w:eastAsia="仿宋" w:cs="仿宋"/>
          <w:lang w:eastAsia="zh-CN"/>
        </w:rPr>
      </w:pPr>
      <w:r>
        <w:rPr>
          <w:rFonts w:hint="eastAsia" w:ascii="仿宋" w:hAnsi="仿宋" w:eastAsia="仿宋" w:cs="仿宋"/>
          <w:lang w:eastAsia="zh-CN"/>
        </w:rPr>
        <w:t>2023年3月1日至2023年8月30日，在</w:t>
      </w:r>
      <w:r>
        <w:rPr>
          <w:rFonts w:hint="eastAsia" w:ascii="仿宋" w:hAnsi="仿宋" w:eastAsia="仿宋" w:cs="仿宋"/>
          <w:lang w:val="en-US" w:eastAsia="zh-CN"/>
        </w:rPr>
        <w:t>金口河</w:t>
      </w:r>
      <w:r>
        <w:rPr>
          <w:rFonts w:hint="eastAsia" w:ascii="仿宋" w:hAnsi="仿宋" w:eastAsia="仿宋" w:cs="仿宋"/>
          <w:lang w:eastAsia="zh-CN"/>
        </w:rPr>
        <w:t>区境内开展以非遗特色美食为主题的第二届美食大赛及推广交流活动，旨在全力打造金口河非遗项目品牌，通过大力宣传推广提高金口河非遗项目知名度。</w:t>
      </w:r>
    </w:p>
    <w:p>
      <w:pPr>
        <w:pStyle w:val="4"/>
        <w:numPr>
          <w:ilvl w:val="0"/>
          <w:numId w:val="2"/>
        </w:numPr>
        <w:ind w:firstLineChars="0"/>
        <w:rPr>
          <w:rFonts w:hint="eastAsia" w:ascii="仿宋" w:hAnsi="仿宋" w:eastAsia="仿宋" w:cs="仿宋"/>
          <w:b w:val="0"/>
          <w:bCs/>
          <w:szCs w:val="32"/>
          <w:lang w:eastAsia="zh-CN"/>
        </w:rPr>
      </w:pPr>
      <w:bookmarkStart w:id="74" w:name="_Toc199443731"/>
      <w:r>
        <w:rPr>
          <w:rFonts w:hint="eastAsia" w:ascii="仿宋" w:hAnsi="仿宋" w:eastAsia="仿宋" w:cs="仿宋"/>
          <w:b w:val="0"/>
          <w:bCs/>
          <w:szCs w:val="32"/>
          <w:lang w:eastAsia="zh-CN"/>
        </w:rPr>
        <w:t>项目实施情况</w:t>
      </w:r>
      <w:bookmarkEnd w:id="74"/>
    </w:p>
    <w:p>
      <w:pPr>
        <w:ind w:firstLine="608"/>
        <w:rPr>
          <w:rFonts w:hint="default" w:ascii="仿宋" w:hAnsi="仿宋" w:eastAsia="仿宋" w:cs="仿宋"/>
          <w:bCs/>
          <w:color w:val="auto"/>
          <w:spacing w:val="-8"/>
          <w:szCs w:val="32"/>
          <w:lang w:val="en-US" w:eastAsia="zh-CN"/>
        </w:rPr>
      </w:pPr>
      <w:r>
        <w:rPr>
          <w:rFonts w:hint="eastAsia" w:ascii="仿宋" w:hAnsi="仿宋" w:eastAsia="仿宋" w:cs="仿宋"/>
          <w:bCs/>
          <w:szCs w:val="32"/>
          <w:lang w:val="en-US" w:eastAsia="zh-CN"/>
        </w:rPr>
        <w:t>2024年2月18日经</w:t>
      </w:r>
      <w:r>
        <w:rPr>
          <w:rFonts w:hint="eastAsia" w:ascii="仿宋" w:hAnsi="仿宋" w:eastAsia="仿宋" w:cs="仿宋"/>
          <w:bCs/>
          <w:szCs w:val="32"/>
          <w:lang w:eastAsia="zh-CN"/>
        </w:rPr>
        <w:t>《</w:t>
      </w:r>
      <w:r>
        <w:rPr>
          <w:rFonts w:hint="eastAsia" w:ascii="仿宋" w:hAnsi="仿宋" w:eastAsia="仿宋" w:cs="仿宋"/>
          <w:bCs/>
          <w:szCs w:val="32"/>
          <w:lang w:val="en-US" w:eastAsia="zh-CN"/>
        </w:rPr>
        <w:t>乐</w:t>
      </w:r>
      <w:r>
        <w:rPr>
          <w:rFonts w:hint="eastAsia" w:ascii="仿宋" w:hAnsi="仿宋" w:eastAsia="仿宋" w:cs="仿宋"/>
          <w:bCs/>
          <w:szCs w:val="32"/>
          <w:lang w:eastAsia="zh-CN"/>
        </w:rPr>
        <w:t>山市金口河区文化体育和旅游局关于申报2024年沙湾区结对帮扶金口河区发展项目的请示》（</w:t>
      </w:r>
      <w:r>
        <w:rPr>
          <w:rFonts w:hint="eastAsia" w:ascii="仿宋" w:hAnsi="仿宋" w:eastAsia="仿宋" w:cs="仿宋"/>
          <w:bCs/>
          <w:szCs w:val="32"/>
          <w:lang w:val="en-US" w:eastAsia="zh-CN"/>
        </w:rPr>
        <w:t>金文体旅</w:t>
      </w:r>
      <w:r>
        <w:rPr>
          <w:rFonts w:hint="eastAsia" w:ascii="仿宋" w:hAnsi="仿宋" w:eastAsia="仿宋" w:cs="仿宋"/>
          <w:bCs/>
          <w:szCs w:val="32"/>
          <w:lang w:eastAsia="zh-CN"/>
        </w:rPr>
        <w:t>〔202</w:t>
      </w:r>
      <w:r>
        <w:rPr>
          <w:rFonts w:hint="eastAsia" w:ascii="仿宋" w:hAnsi="仿宋" w:eastAsia="仿宋" w:cs="仿宋"/>
          <w:bCs/>
          <w:szCs w:val="32"/>
          <w:lang w:val="en-US" w:eastAsia="zh-CN"/>
        </w:rPr>
        <w:t>4</w:t>
      </w:r>
      <w:r>
        <w:rPr>
          <w:rFonts w:hint="eastAsia" w:ascii="仿宋" w:hAnsi="仿宋" w:eastAsia="仿宋" w:cs="仿宋"/>
          <w:bCs/>
          <w:szCs w:val="32"/>
          <w:lang w:eastAsia="zh-CN"/>
        </w:rPr>
        <w:t>〕</w:t>
      </w:r>
      <w:r>
        <w:rPr>
          <w:rFonts w:hint="eastAsia" w:ascii="仿宋" w:hAnsi="仿宋" w:eastAsia="仿宋" w:cs="仿宋"/>
          <w:bCs/>
          <w:szCs w:val="32"/>
          <w:lang w:val="en-US" w:eastAsia="zh-CN"/>
        </w:rPr>
        <w:t>7</w:t>
      </w:r>
      <w:r>
        <w:rPr>
          <w:rFonts w:hint="eastAsia" w:ascii="仿宋" w:hAnsi="仿宋" w:eastAsia="仿宋" w:cs="仿宋"/>
          <w:bCs/>
          <w:szCs w:val="32"/>
          <w:lang w:eastAsia="zh-CN"/>
        </w:rPr>
        <w:t>号）</w:t>
      </w:r>
      <w:r>
        <w:rPr>
          <w:rFonts w:hint="eastAsia" w:ascii="仿宋" w:hAnsi="仿宋" w:eastAsia="仿宋" w:cs="仿宋"/>
          <w:bCs/>
          <w:szCs w:val="32"/>
          <w:lang w:val="en-US" w:eastAsia="zh-CN"/>
        </w:rPr>
        <w:t>文件，区文体旅游局向先发带后发帮扶工作队申报2024年度发展项目，其中第二项为金口河区第二届“舌尖上的非遗”特色美食大赛及推广交流活动项目实施方案。</w:t>
      </w:r>
    </w:p>
    <w:p>
      <w:pPr>
        <w:ind w:firstLine="608"/>
        <w:rPr>
          <w:rFonts w:hint="default" w:ascii="仿宋" w:hAnsi="仿宋" w:eastAsia="仿宋" w:cs="仿宋"/>
          <w:bCs/>
          <w:color w:val="auto"/>
          <w:spacing w:val="-8"/>
          <w:szCs w:val="32"/>
          <w:lang w:val="en-US" w:eastAsia="zh-CN"/>
        </w:rPr>
      </w:pPr>
      <w:r>
        <w:rPr>
          <w:rFonts w:hint="eastAsia" w:ascii="仿宋" w:hAnsi="仿宋" w:eastAsia="仿宋" w:cs="仿宋"/>
          <w:bCs/>
          <w:szCs w:val="32"/>
          <w:lang w:val="en-US" w:eastAsia="zh-CN"/>
        </w:rPr>
        <w:t>2024年3月30日经</w:t>
      </w:r>
      <w:r>
        <w:rPr>
          <w:rFonts w:hint="eastAsia" w:ascii="仿宋" w:hAnsi="仿宋" w:eastAsia="仿宋" w:cs="仿宋"/>
          <w:bCs/>
          <w:szCs w:val="32"/>
          <w:lang w:eastAsia="zh-CN"/>
        </w:rPr>
        <w:t>《</w:t>
      </w:r>
      <w:r>
        <w:rPr>
          <w:rFonts w:hint="eastAsia" w:ascii="仿宋" w:hAnsi="仿宋" w:eastAsia="仿宋" w:cs="仿宋"/>
          <w:bCs/>
          <w:szCs w:val="32"/>
          <w:lang w:val="en-US" w:eastAsia="zh-CN"/>
        </w:rPr>
        <w:t>乐</w:t>
      </w:r>
      <w:r>
        <w:rPr>
          <w:rFonts w:hint="eastAsia" w:ascii="仿宋" w:hAnsi="仿宋" w:eastAsia="仿宋" w:cs="仿宋"/>
          <w:bCs/>
          <w:szCs w:val="32"/>
          <w:lang w:eastAsia="zh-CN"/>
        </w:rPr>
        <w:t>山市沙湾区先发带后发结对帮扶金口河区工作队关于</w:t>
      </w:r>
      <w:r>
        <w:rPr>
          <w:rFonts w:hint="eastAsia" w:ascii="仿宋" w:hAnsi="仿宋" w:eastAsia="仿宋" w:cs="仿宋"/>
          <w:bCs/>
          <w:szCs w:val="32"/>
          <w:lang w:val="en-US" w:eastAsia="zh-CN"/>
        </w:rPr>
        <w:t>&lt;</w:t>
      </w:r>
      <w:r>
        <w:rPr>
          <w:rFonts w:hint="eastAsia" w:ascii="仿宋" w:hAnsi="仿宋" w:eastAsia="仿宋" w:cs="仿宋"/>
          <w:bCs/>
          <w:szCs w:val="32"/>
          <w:lang w:eastAsia="zh-CN"/>
        </w:rPr>
        <w:t>关于申报2024年沙湾区结对帮扶金口河区发展项目的请示</w:t>
      </w:r>
      <w:r>
        <w:rPr>
          <w:rFonts w:hint="eastAsia" w:ascii="仿宋" w:hAnsi="仿宋" w:eastAsia="仿宋" w:cs="仿宋"/>
          <w:bCs/>
          <w:szCs w:val="32"/>
          <w:lang w:val="en-US" w:eastAsia="zh-CN"/>
        </w:rPr>
        <w:t>&gt;</w:t>
      </w:r>
      <w:r>
        <w:rPr>
          <w:rFonts w:hint="eastAsia" w:ascii="仿宋" w:hAnsi="仿宋" w:eastAsia="仿宋" w:cs="仿宋"/>
          <w:bCs/>
          <w:szCs w:val="32"/>
          <w:lang w:eastAsia="zh-CN"/>
        </w:rPr>
        <w:t>的批复》（</w:t>
      </w:r>
      <w:r>
        <w:rPr>
          <w:rFonts w:hint="eastAsia" w:ascii="仿宋" w:hAnsi="仿宋" w:eastAsia="仿宋" w:cs="仿宋"/>
          <w:bCs/>
          <w:szCs w:val="32"/>
          <w:lang w:val="en-US" w:eastAsia="zh-CN"/>
        </w:rPr>
        <w:t>乐沙扶复</w:t>
      </w:r>
      <w:r>
        <w:rPr>
          <w:rFonts w:hint="eastAsia" w:ascii="仿宋" w:hAnsi="仿宋" w:eastAsia="仿宋" w:cs="仿宋"/>
          <w:bCs/>
          <w:szCs w:val="32"/>
          <w:lang w:eastAsia="zh-CN"/>
        </w:rPr>
        <w:t>〔202</w:t>
      </w:r>
      <w:r>
        <w:rPr>
          <w:rFonts w:hint="eastAsia" w:ascii="仿宋" w:hAnsi="仿宋" w:eastAsia="仿宋" w:cs="仿宋"/>
          <w:bCs/>
          <w:szCs w:val="32"/>
          <w:lang w:val="en-US" w:eastAsia="zh-CN"/>
        </w:rPr>
        <w:t>4</w:t>
      </w:r>
      <w:r>
        <w:rPr>
          <w:rFonts w:hint="eastAsia" w:ascii="仿宋" w:hAnsi="仿宋" w:eastAsia="仿宋" w:cs="仿宋"/>
          <w:bCs/>
          <w:szCs w:val="32"/>
          <w:lang w:eastAsia="zh-CN"/>
        </w:rPr>
        <w:t>〕</w:t>
      </w:r>
      <w:r>
        <w:rPr>
          <w:rFonts w:hint="eastAsia" w:ascii="仿宋" w:hAnsi="仿宋" w:eastAsia="仿宋" w:cs="仿宋"/>
          <w:bCs/>
          <w:szCs w:val="32"/>
          <w:lang w:val="en-US" w:eastAsia="zh-CN"/>
        </w:rPr>
        <w:t>6</w:t>
      </w:r>
      <w:r>
        <w:rPr>
          <w:rFonts w:hint="eastAsia" w:ascii="仿宋" w:hAnsi="仿宋" w:eastAsia="仿宋" w:cs="仿宋"/>
          <w:bCs/>
          <w:szCs w:val="32"/>
          <w:lang w:eastAsia="zh-CN"/>
        </w:rPr>
        <w:t>号）</w:t>
      </w:r>
      <w:r>
        <w:rPr>
          <w:rFonts w:hint="eastAsia" w:ascii="仿宋" w:hAnsi="仿宋" w:eastAsia="仿宋" w:cs="仿宋"/>
          <w:bCs/>
          <w:szCs w:val="32"/>
          <w:lang w:val="en-US" w:eastAsia="zh-CN"/>
        </w:rPr>
        <w:t>文件批复，项目纳入沙湾结对帮扶2024年度项目，已由金口河区十一届人民政府第71次常务会议审定通过，帮扶资金控制在18.5万元(其中本项目10万元)。</w:t>
      </w:r>
    </w:p>
    <w:p>
      <w:pPr>
        <w:ind w:firstLine="608"/>
        <w:rPr>
          <w:rFonts w:hint="eastAsia" w:ascii="仿宋" w:hAnsi="仿宋" w:eastAsia="仿宋" w:cs="仿宋"/>
          <w:lang w:val="en-US" w:eastAsia="zh-CN"/>
        </w:rPr>
      </w:pPr>
      <w:r>
        <w:rPr>
          <w:rFonts w:hint="eastAsia" w:ascii="仿宋" w:hAnsi="仿宋" w:eastAsia="仿宋" w:cs="仿宋"/>
          <w:bCs/>
          <w:szCs w:val="32"/>
          <w:lang w:val="en-US" w:eastAsia="zh-CN"/>
        </w:rPr>
        <w:t>2024年7月31日经区</w:t>
      </w:r>
      <w:r>
        <w:rPr>
          <w:rFonts w:hint="eastAsia" w:ascii="仿宋" w:hAnsi="仿宋" w:eastAsia="仿宋" w:cs="仿宋"/>
          <w:lang w:val="en-US" w:eastAsia="zh-CN"/>
        </w:rPr>
        <w:t>文体旅游局党组会第五项同意，关于组织开展金口河区第二届舌尖上的非遗——特色美食大赛及推广交流活动的请求，资金预算99,700.00元，采购方式为询价。</w:t>
      </w:r>
    </w:p>
    <w:p>
      <w:pPr>
        <w:ind w:firstLine="608"/>
        <w:rPr>
          <w:rFonts w:hint="default" w:ascii="仿宋" w:hAnsi="仿宋" w:eastAsia="仿宋" w:cs="仿宋"/>
          <w:lang w:val="en-US" w:eastAsia="zh-CN"/>
        </w:rPr>
      </w:pPr>
      <w:r>
        <w:rPr>
          <w:rFonts w:hint="eastAsia" w:ascii="仿宋" w:hAnsi="仿宋" w:eastAsia="仿宋" w:cs="仿宋"/>
          <w:lang w:val="en-US" w:eastAsia="zh-CN"/>
        </w:rPr>
        <w:t>2024年7月31日区文体旅游局发出《询价函》，经询价对比2024年8月16日区文体旅游局党组会确定乐山市同舟营销策划有限公司为中标方，中标价98,600.00元，同时向对方发出中标通知书。</w:t>
      </w:r>
    </w:p>
    <w:p>
      <w:pPr>
        <w:ind w:firstLine="640"/>
        <w:rPr>
          <w:rFonts w:hint="eastAsia" w:ascii="仿宋" w:hAnsi="仿宋" w:eastAsia="仿宋" w:cs="仿宋"/>
          <w:lang w:val="en-US" w:eastAsia="zh-CN"/>
        </w:rPr>
      </w:pPr>
      <w:r>
        <w:rPr>
          <w:rFonts w:hint="eastAsia" w:ascii="仿宋" w:hAnsi="仿宋" w:eastAsia="仿宋" w:cs="仿宋"/>
          <w:lang w:eastAsia="zh-CN"/>
        </w:rPr>
        <w:t>202</w:t>
      </w:r>
      <w:r>
        <w:rPr>
          <w:rFonts w:hint="eastAsia" w:ascii="仿宋" w:hAnsi="仿宋" w:eastAsia="仿宋" w:cs="仿宋"/>
          <w:lang w:val="en-US" w:eastAsia="zh-CN"/>
        </w:rPr>
        <w:t>4</w:t>
      </w:r>
      <w:r>
        <w:rPr>
          <w:rFonts w:hint="eastAsia" w:ascii="仿宋" w:hAnsi="仿宋" w:eastAsia="仿宋" w:cs="仿宋"/>
          <w:lang w:eastAsia="zh-CN"/>
        </w:rPr>
        <w:t>年</w:t>
      </w:r>
      <w:r>
        <w:rPr>
          <w:rFonts w:hint="eastAsia" w:ascii="仿宋" w:hAnsi="仿宋" w:eastAsia="仿宋" w:cs="仿宋"/>
          <w:lang w:val="en-US" w:eastAsia="zh-CN"/>
        </w:rPr>
        <w:t>8</w:t>
      </w:r>
      <w:r>
        <w:rPr>
          <w:rFonts w:hint="eastAsia" w:ascii="仿宋" w:hAnsi="仿宋" w:eastAsia="仿宋" w:cs="仿宋"/>
          <w:lang w:eastAsia="zh-CN"/>
        </w:rPr>
        <w:t>月</w:t>
      </w:r>
      <w:r>
        <w:rPr>
          <w:rFonts w:hint="eastAsia" w:ascii="仿宋" w:hAnsi="仿宋" w:eastAsia="仿宋" w:cs="仿宋"/>
          <w:lang w:val="en-US" w:eastAsia="zh-CN"/>
        </w:rPr>
        <w:t>19</w:t>
      </w:r>
      <w:r>
        <w:rPr>
          <w:rFonts w:hint="eastAsia" w:ascii="仿宋" w:hAnsi="仿宋" w:eastAsia="仿宋" w:cs="仿宋"/>
          <w:lang w:eastAsia="zh-CN"/>
        </w:rPr>
        <w:t>日区</w:t>
      </w:r>
      <w:r>
        <w:rPr>
          <w:rFonts w:hint="eastAsia" w:ascii="仿宋" w:hAnsi="仿宋" w:eastAsia="仿宋" w:cs="仿宋"/>
          <w:lang w:val="en-US" w:eastAsia="zh-CN"/>
        </w:rPr>
        <w:t>文体旅游局与乐山市同舟营销策划有限公司签订《活动策划协议》，合同约定完成时间为2024年9月30日，合同价款98,600.00元，通过甲方验收后支付款项。</w:t>
      </w:r>
    </w:p>
    <w:p>
      <w:pPr>
        <w:ind w:firstLine="640"/>
        <w:rPr>
          <w:rFonts w:hint="default" w:ascii="仿宋" w:hAnsi="仿宋" w:eastAsia="仿宋" w:cs="仿宋"/>
          <w:lang w:val="en-US" w:eastAsia="zh-CN"/>
        </w:rPr>
      </w:pPr>
      <w:r>
        <w:rPr>
          <w:rFonts w:hint="eastAsia" w:ascii="仿宋" w:hAnsi="仿宋" w:eastAsia="仿宋" w:cs="仿宋"/>
          <w:lang w:val="en-US" w:eastAsia="zh-CN"/>
        </w:rPr>
        <w:t>2024年8月30日区文体旅游局与乐山市同舟营销策划有限公司签订《&lt;金口河区第二届舌尖上的非遗——特色美食大赛及推广交流活动&gt;活动策划协议补充协会》，因原协议中部分项目未实施，原合同价98,600.00元变更为70,500.00元，同时变更了项目内容。</w:t>
      </w:r>
    </w:p>
    <w:p>
      <w:pPr>
        <w:ind w:firstLine="640"/>
        <w:rPr>
          <w:rFonts w:hint="default" w:ascii="仿宋" w:hAnsi="仿宋" w:eastAsia="仿宋" w:cs="仿宋"/>
          <w:lang w:val="en-US" w:eastAsia="zh-CN"/>
        </w:rPr>
      </w:pPr>
      <w:r>
        <w:rPr>
          <w:rFonts w:hint="eastAsia" w:ascii="仿宋" w:hAnsi="仿宋" w:eastAsia="仿宋" w:cs="仿宋"/>
          <w:lang w:val="en-US" w:eastAsia="zh-CN"/>
        </w:rPr>
        <w:t>2024年9月25日区文体旅游局邀请区委宣传部、区机关事务服务中心、区经信局、先发带后发扶持工作队各选派一名同志为大众评审团成员参加活动。</w:t>
      </w:r>
    </w:p>
    <w:p>
      <w:pPr>
        <w:ind w:firstLine="640"/>
        <w:rPr>
          <w:rFonts w:hint="default" w:ascii="仿宋" w:hAnsi="仿宋" w:eastAsia="仿宋" w:cs="仿宋"/>
          <w:highlight w:val="yellow"/>
          <w:lang w:val="en-US" w:eastAsia="zh-CN"/>
        </w:rPr>
      </w:pPr>
      <w:r>
        <w:rPr>
          <w:rFonts w:hint="eastAsia" w:ascii="仿宋" w:hAnsi="仿宋" w:eastAsia="仿宋" w:cs="仿宋"/>
          <w:highlight w:val="none"/>
          <w:lang w:val="en-US" w:eastAsia="zh-CN"/>
        </w:rPr>
        <w:t>2024年10月乐山</w:t>
      </w:r>
      <w:r>
        <w:rPr>
          <w:rFonts w:hint="eastAsia" w:ascii="仿宋" w:hAnsi="仿宋" w:eastAsia="仿宋" w:cs="仿宋"/>
          <w:lang w:val="en-US" w:eastAsia="zh-CN"/>
        </w:rPr>
        <w:t>市同舟营销策划有限公司提交了验收资料。</w:t>
      </w:r>
    </w:p>
    <w:p>
      <w:pPr>
        <w:pStyle w:val="4"/>
        <w:numPr>
          <w:ilvl w:val="0"/>
          <w:numId w:val="2"/>
        </w:numPr>
        <w:ind w:firstLineChars="0"/>
        <w:rPr>
          <w:rFonts w:hint="eastAsia" w:ascii="仿宋" w:hAnsi="仿宋" w:eastAsia="仿宋" w:cs="仿宋"/>
          <w:b w:val="0"/>
          <w:bCs/>
          <w:szCs w:val="32"/>
        </w:rPr>
      </w:pPr>
      <w:bookmarkStart w:id="75" w:name="_Toc1159999610"/>
      <w:bookmarkStart w:id="76" w:name="_Toc204204540"/>
      <w:bookmarkStart w:id="77" w:name="_Toc199443732"/>
      <w:bookmarkStart w:id="78" w:name="_Toc409926673"/>
      <w:bookmarkStart w:id="79" w:name="_Toc2115246641_WPSOffice_Level3"/>
      <w:bookmarkStart w:id="80" w:name="_Toc130033881"/>
      <w:bookmarkStart w:id="81" w:name="_Toc268213742"/>
      <w:bookmarkStart w:id="82" w:name="_Toc18226"/>
      <w:bookmarkStart w:id="83" w:name="_Toc1781"/>
      <w:r>
        <w:rPr>
          <w:rFonts w:hint="eastAsia" w:ascii="仿宋" w:hAnsi="仿宋" w:eastAsia="仿宋" w:cs="仿宋"/>
          <w:b w:val="0"/>
          <w:bCs/>
          <w:szCs w:val="32"/>
        </w:rPr>
        <w:t>资金</w:t>
      </w:r>
      <w:r>
        <w:rPr>
          <w:rFonts w:hint="eastAsia" w:ascii="仿宋" w:hAnsi="仿宋" w:eastAsia="仿宋" w:cs="仿宋"/>
          <w:b w:val="0"/>
          <w:bCs/>
          <w:szCs w:val="32"/>
          <w:lang w:eastAsia="zh-CN"/>
        </w:rPr>
        <w:t>批复</w:t>
      </w:r>
      <w:r>
        <w:rPr>
          <w:rFonts w:hint="eastAsia" w:ascii="仿宋" w:hAnsi="仿宋" w:eastAsia="仿宋" w:cs="仿宋"/>
          <w:b w:val="0"/>
          <w:bCs/>
          <w:szCs w:val="32"/>
        </w:rPr>
        <w:t>和使用情况</w:t>
      </w:r>
      <w:bookmarkEnd w:id="75"/>
      <w:bookmarkEnd w:id="76"/>
      <w:bookmarkEnd w:id="77"/>
      <w:bookmarkEnd w:id="78"/>
      <w:bookmarkEnd w:id="79"/>
      <w:bookmarkEnd w:id="80"/>
      <w:bookmarkEnd w:id="81"/>
      <w:bookmarkEnd w:id="82"/>
      <w:bookmarkEnd w:id="83"/>
    </w:p>
    <w:p>
      <w:pPr>
        <w:pStyle w:val="5"/>
        <w:numPr>
          <w:ilvl w:val="0"/>
          <w:numId w:val="3"/>
        </w:numPr>
        <w:tabs>
          <w:tab w:val="left" w:pos="1418"/>
        </w:tabs>
        <w:ind w:left="0" w:firstLine="640"/>
        <w:rPr>
          <w:rFonts w:hint="eastAsia" w:ascii="仿宋" w:hAnsi="仿宋" w:eastAsia="仿宋" w:cs="仿宋"/>
          <w:b w:val="0"/>
          <w:bCs/>
          <w:szCs w:val="32"/>
        </w:rPr>
      </w:pPr>
      <w:bookmarkStart w:id="84" w:name="_Toc5769"/>
      <w:r>
        <w:rPr>
          <w:rFonts w:hint="eastAsia" w:ascii="仿宋" w:hAnsi="仿宋" w:eastAsia="仿宋" w:cs="仿宋"/>
          <w:b w:val="0"/>
          <w:bCs/>
          <w:szCs w:val="32"/>
        </w:rPr>
        <w:t>资金</w:t>
      </w:r>
      <w:r>
        <w:rPr>
          <w:rFonts w:hint="eastAsia" w:ascii="仿宋" w:hAnsi="仿宋" w:eastAsia="仿宋" w:cs="仿宋"/>
          <w:b w:val="0"/>
          <w:bCs/>
          <w:szCs w:val="32"/>
          <w:lang w:eastAsia="zh-CN"/>
        </w:rPr>
        <w:t>批复</w:t>
      </w:r>
      <w:r>
        <w:rPr>
          <w:rFonts w:hint="eastAsia" w:ascii="仿宋" w:hAnsi="仿宋" w:eastAsia="仿宋" w:cs="仿宋"/>
          <w:b w:val="0"/>
          <w:bCs/>
          <w:szCs w:val="32"/>
        </w:rPr>
        <w:t>情况</w:t>
      </w:r>
      <w:bookmarkEnd w:id="84"/>
    </w:p>
    <w:p>
      <w:pPr>
        <w:ind w:firstLine="608"/>
        <w:rPr>
          <w:rFonts w:hint="eastAsia" w:ascii="仿宋" w:hAnsi="仿宋" w:eastAsia="仿宋" w:cs="仿宋"/>
          <w:lang w:eastAsia="zh-CN"/>
        </w:rPr>
      </w:pPr>
      <w:r>
        <w:rPr>
          <w:rFonts w:hint="eastAsia" w:ascii="仿宋" w:hAnsi="仿宋" w:eastAsia="仿宋" w:cs="仿宋"/>
          <w:bCs/>
          <w:szCs w:val="32"/>
          <w:lang w:val="en-US" w:eastAsia="zh-CN"/>
        </w:rPr>
        <w:t>2024年3月30日经</w:t>
      </w:r>
      <w:r>
        <w:rPr>
          <w:rFonts w:hint="eastAsia" w:ascii="仿宋" w:hAnsi="仿宋" w:eastAsia="仿宋" w:cs="仿宋"/>
          <w:bCs/>
          <w:szCs w:val="32"/>
          <w:lang w:eastAsia="zh-CN"/>
        </w:rPr>
        <w:t>《</w:t>
      </w:r>
      <w:r>
        <w:rPr>
          <w:rFonts w:hint="eastAsia" w:ascii="仿宋" w:hAnsi="仿宋" w:eastAsia="仿宋" w:cs="仿宋"/>
          <w:bCs/>
          <w:szCs w:val="32"/>
          <w:lang w:val="en-US" w:eastAsia="zh-CN"/>
        </w:rPr>
        <w:t>乐</w:t>
      </w:r>
      <w:r>
        <w:rPr>
          <w:rFonts w:hint="eastAsia" w:ascii="仿宋" w:hAnsi="仿宋" w:eastAsia="仿宋" w:cs="仿宋"/>
          <w:bCs/>
          <w:szCs w:val="32"/>
          <w:lang w:eastAsia="zh-CN"/>
        </w:rPr>
        <w:t>山市沙湾区先发带后发结对帮扶金口河区工作队关于</w:t>
      </w:r>
      <w:r>
        <w:rPr>
          <w:rFonts w:hint="eastAsia" w:ascii="仿宋" w:hAnsi="仿宋" w:eastAsia="仿宋" w:cs="仿宋"/>
          <w:bCs/>
          <w:szCs w:val="32"/>
          <w:lang w:val="en-US" w:eastAsia="zh-CN"/>
        </w:rPr>
        <w:t>&lt;</w:t>
      </w:r>
      <w:r>
        <w:rPr>
          <w:rFonts w:hint="eastAsia" w:ascii="仿宋" w:hAnsi="仿宋" w:eastAsia="仿宋" w:cs="仿宋"/>
          <w:bCs/>
          <w:szCs w:val="32"/>
          <w:lang w:eastAsia="zh-CN"/>
        </w:rPr>
        <w:t>关于申报2024年沙湾区结对帮扶金口河区发展项目的请示</w:t>
      </w:r>
      <w:r>
        <w:rPr>
          <w:rFonts w:hint="eastAsia" w:ascii="仿宋" w:hAnsi="仿宋" w:eastAsia="仿宋" w:cs="仿宋"/>
          <w:bCs/>
          <w:szCs w:val="32"/>
          <w:lang w:val="en-US" w:eastAsia="zh-CN"/>
        </w:rPr>
        <w:t>&gt;</w:t>
      </w:r>
      <w:r>
        <w:rPr>
          <w:rFonts w:hint="eastAsia" w:ascii="仿宋" w:hAnsi="仿宋" w:eastAsia="仿宋" w:cs="仿宋"/>
          <w:bCs/>
          <w:szCs w:val="32"/>
          <w:lang w:eastAsia="zh-CN"/>
        </w:rPr>
        <w:t>的批复》（</w:t>
      </w:r>
      <w:r>
        <w:rPr>
          <w:rFonts w:hint="eastAsia" w:ascii="仿宋" w:hAnsi="仿宋" w:eastAsia="仿宋" w:cs="仿宋"/>
          <w:bCs/>
          <w:szCs w:val="32"/>
          <w:lang w:val="en-US" w:eastAsia="zh-CN"/>
        </w:rPr>
        <w:t>乐沙扶复</w:t>
      </w:r>
      <w:r>
        <w:rPr>
          <w:rFonts w:hint="eastAsia" w:ascii="仿宋" w:hAnsi="仿宋" w:eastAsia="仿宋" w:cs="仿宋"/>
          <w:bCs/>
          <w:szCs w:val="32"/>
          <w:lang w:eastAsia="zh-CN"/>
        </w:rPr>
        <w:t>〔202</w:t>
      </w:r>
      <w:r>
        <w:rPr>
          <w:rFonts w:hint="eastAsia" w:ascii="仿宋" w:hAnsi="仿宋" w:eastAsia="仿宋" w:cs="仿宋"/>
          <w:bCs/>
          <w:szCs w:val="32"/>
          <w:lang w:val="en-US" w:eastAsia="zh-CN"/>
        </w:rPr>
        <w:t>4</w:t>
      </w:r>
      <w:r>
        <w:rPr>
          <w:rFonts w:hint="eastAsia" w:ascii="仿宋" w:hAnsi="仿宋" w:eastAsia="仿宋" w:cs="仿宋"/>
          <w:bCs/>
          <w:szCs w:val="32"/>
          <w:lang w:eastAsia="zh-CN"/>
        </w:rPr>
        <w:t>〕</w:t>
      </w:r>
      <w:r>
        <w:rPr>
          <w:rFonts w:hint="eastAsia" w:ascii="仿宋" w:hAnsi="仿宋" w:eastAsia="仿宋" w:cs="仿宋"/>
          <w:bCs/>
          <w:szCs w:val="32"/>
          <w:lang w:val="en-US" w:eastAsia="zh-CN"/>
        </w:rPr>
        <w:t>6</w:t>
      </w:r>
      <w:r>
        <w:rPr>
          <w:rFonts w:hint="eastAsia" w:ascii="仿宋" w:hAnsi="仿宋" w:eastAsia="仿宋" w:cs="仿宋"/>
          <w:bCs/>
          <w:szCs w:val="32"/>
          <w:lang w:eastAsia="zh-CN"/>
        </w:rPr>
        <w:t>号）</w:t>
      </w:r>
      <w:r>
        <w:rPr>
          <w:rFonts w:hint="eastAsia" w:ascii="仿宋" w:hAnsi="仿宋" w:eastAsia="仿宋" w:cs="仿宋"/>
          <w:bCs/>
          <w:szCs w:val="32"/>
          <w:lang w:val="en-US" w:eastAsia="zh-CN"/>
        </w:rPr>
        <w:t>文件批复，项目纳入沙湾结对帮扶2024年度项目，已由金口河区十一届人民政府第71次常务会议审定通过，帮扶资金控制在18.5万元(其中本项目10万元)</w:t>
      </w:r>
      <w:r>
        <w:rPr>
          <w:rFonts w:hint="eastAsia" w:ascii="仿宋" w:hAnsi="仿宋" w:eastAsia="仿宋" w:cs="仿宋"/>
          <w:lang w:eastAsia="zh-CN"/>
        </w:rPr>
        <w:t>。</w:t>
      </w:r>
    </w:p>
    <w:p>
      <w:pPr>
        <w:pStyle w:val="5"/>
        <w:numPr>
          <w:ilvl w:val="0"/>
          <w:numId w:val="3"/>
        </w:numPr>
        <w:tabs>
          <w:tab w:val="left" w:pos="1418"/>
        </w:tabs>
        <w:ind w:left="0" w:firstLine="640"/>
        <w:rPr>
          <w:rFonts w:hint="eastAsia" w:ascii="仿宋" w:hAnsi="仿宋" w:eastAsia="仿宋" w:cs="仿宋"/>
          <w:b w:val="0"/>
          <w:bCs/>
          <w:szCs w:val="32"/>
        </w:rPr>
      </w:pPr>
      <w:bookmarkStart w:id="85" w:name="_Toc30946"/>
      <w:r>
        <w:rPr>
          <w:rFonts w:hint="eastAsia" w:ascii="仿宋" w:hAnsi="仿宋" w:eastAsia="仿宋" w:cs="仿宋"/>
          <w:b w:val="0"/>
          <w:bCs/>
          <w:szCs w:val="32"/>
        </w:rPr>
        <w:t>资金使用情况</w:t>
      </w:r>
      <w:bookmarkEnd w:id="85"/>
    </w:p>
    <w:p>
      <w:pPr>
        <w:ind w:firstLine="640"/>
        <w:rPr>
          <w:rFonts w:hint="eastAsia" w:ascii="仿宋" w:hAnsi="仿宋" w:eastAsia="仿宋" w:cs="仿宋"/>
          <w:bCs/>
          <w:szCs w:val="32"/>
          <w:lang w:val="en-US" w:eastAsia="zh-CN"/>
        </w:rPr>
      </w:pPr>
      <w:r>
        <w:rPr>
          <w:rFonts w:hint="eastAsia" w:ascii="仿宋" w:hAnsi="仿宋" w:eastAsia="仿宋" w:cs="仿宋"/>
          <w:bCs/>
          <w:szCs w:val="32"/>
          <w:lang w:eastAsia="zh-CN"/>
        </w:rPr>
        <w:t>2024</w:t>
      </w:r>
      <w:r>
        <w:rPr>
          <w:rFonts w:hint="eastAsia" w:ascii="仿宋" w:hAnsi="仿宋" w:eastAsia="仿宋" w:cs="仿宋"/>
          <w:bCs/>
          <w:szCs w:val="32"/>
          <w:lang w:val="en-US" w:eastAsia="zh-CN"/>
        </w:rPr>
        <w:t>年</w:t>
      </w:r>
      <w:r>
        <w:rPr>
          <w:rFonts w:hint="eastAsia" w:ascii="仿宋" w:hAnsi="仿宋" w:eastAsia="仿宋" w:cs="仿宋"/>
          <w:bCs/>
          <w:szCs w:val="32"/>
          <w:lang w:eastAsia="zh-CN"/>
        </w:rPr>
        <w:t>11</w:t>
      </w:r>
      <w:r>
        <w:rPr>
          <w:rFonts w:hint="eastAsia" w:ascii="仿宋" w:hAnsi="仿宋" w:eastAsia="仿宋" w:cs="仿宋"/>
          <w:bCs/>
          <w:szCs w:val="32"/>
          <w:lang w:val="en-US" w:eastAsia="zh-CN"/>
        </w:rPr>
        <w:t>月</w:t>
      </w:r>
      <w:r>
        <w:rPr>
          <w:rFonts w:hint="eastAsia" w:ascii="仿宋" w:hAnsi="仿宋" w:eastAsia="仿宋" w:cs="仿宋"/>
          <w:bCs/>
          <w:szCs w:val="32"/>
          <w:lang w:eastAsia="zh-CN"/>
        </w:rPr>
        <w:t>19</w:t>
      </w:r>
      <w:r>
        <w:rPr>
          <w:rFonts w:hint="eastAsia" w:ascii="仿宋" w:hAnsi="仿宋" w:eastAsia="仿宋" w:cs="仿宋"/>
          <w:bCs/>
          <w:szCs w:val="32"/>
          <w:lang w:val="en-US" w:eastAsia="zh-CN"/>
        </w:rPr>
        <w:t>日区文体旅游局向</w:t>
      </w:r>
      <w:r>
        <w:rPr>
          <w:rFonts w:hint="eastAsia" w:ascii="仿宋" w:hAnsi="仿宋" w:eastAsia="仿宋" w:cs="仿宋"/>
          <w:highlight w:val="none"/>
          <w:lang w:val="en-US" w:eastAsia="zh-CN"/>
        </w:rPr>
        <w:t>乐山</w:t>
      </w:r>
      <w:r>
        <w:rPr>
          <w:rFonts w:hint="eastAsia" w:ascii="仿宋" w:hAnsi="仿宋" w:eastAsia="仿宋" w:cs="仿宋"/>
          <w:lang w:val="en-US" w:eastAsia="zh-CN"/>
        </w:rPr>
        <w:t>市同舟营销策划有限公司</w:t>
      </w:r>
      <w:r>
        <w:rPr>
          <w:rFonts w:hint="eastAsia" w:ascii="仿宋" w:hAnsi="仿宋" w:eastAsia="仿宋" w:cs="仿宋"/>
          <w:bCs/>
          <w:szCs w:val="32"/>
          <w:lang w:val="en-US" w:eastAsia="zh-CN"/>
        </w:rPr>
        <w:t>支付</w:t>
      </w:r>
      <w:r>
        <w:rPr>
          <w:rFonts w:hint="eastAsia" w:ascii="仿宋" w:hAnsi="仿宋" w:eastAsia="仿宋" w:cs="仿宋"/>
          <w:bCs/>
          <w:szCs w:val="32"/>
          <w:lang w:eastAsia="zh-CN"/>
        </w:rPr>
        <w:t>农业产业推广：第二届非遗特色美食大赛及推广项目经费</w:t>
      </w:r>
      <w:r>
        <w:rPr>
          <w:rFonts w:hint="eastAsia" w:ascii="仿宋" w:hAnsi="仿宋" w:eastAsia="仿宋" w:cs="仿宋"/>
          <w:bCs/>
          <w:szCs w:val="32"/>
          <w:lang w:val="en-US" w:eastAsia="zh-CN"/>
        </w:rPr>
        <w:t>7.05万元。</w:t>
      </w:r>
    </w:p>
    <w:p>
      <w:pPr>
        <w:ind w:firstLine="640"/>
        <w:rPr>
          <w:rFonts w:hint="eastAsia" w:ascii="仿宋" w:hAnsi="仿宋" w:eastAsia="仿宋" w:cs="仿宋"/>
          <w:b w:val="0"/>
          <w:bCs/>
          <w:color w:val="auto"/>
          <w:spacing w:val="-8"/>
          <w:szCs w:val="32"/>
          <w:lang w:eastAsia="zh-CN"/>
        </w:rPr>
      </w:pPr>
      <w:r>
        <w:rPr>
          <w:rFonts w:hint="eastAsia" w:ascii="仿宋" w:hAnsi="仿宋" w:eastAsia="仿宋" w:cs="仿宋"/>
          <w:bCs/>
          <w:szCs w:val="32"/>
          <w:lang w:val="en-US" w:eastAsia="zh-CN"/>
        </w:rPr>
        <w:t>（3）</w:t>
      </w:r>
      <w:r>
        <w:rPr>
          <w:rFonts w:hint="eastAsia" w:ascii="仿宋" w:hAnsi="仿宋" w:eastAsia="仿宋" w:cs="仿宋"/>
          <w:b w:val="0"/>
          <w:bCs/>
          <w:color w:val="auto"/>
          <w:spacing w:val="-8"/>
          <w:szCs w:val="32"/>
          <w:lang w:eastAsia="zh-CN"/>
        </w:rPr>
        <w:t>资金结余情况</w:t>
      </w:r>
    </w:p>
    <w:p>
      <w:pPr>
        <w:ind w:firstLine="640"/>
        <w:rPr>
          <w:rFonts w:hint="eastAsia" w:ascii="仿宋" w:hAnsi="仿宋" w:eastAsia="仿宋" w:cs="仿宋"/>
          <w:bCs/>
          <w:szCs w:val="32"/>
          <w:lang w:eastAsia="zh-CN"/>
        </w:rPr>
      </w:pPr>
      <w:r>
        <w:rPr>
          <w:rFonts w:hint="eastAsia" w:ascii="仿宋" w:hAnsi="仿宋" w:eastAsia="仿宋" w:cs="仿宋"/>
          <w:lang w:eastAsia="zh-CN"/>
        </w:rPr>
        <w:t>农业产业推广：第二届非遗特色美食大赛及推广项目2024年</w:t>
      </w:r>
      <w:r>
        <w:rPr>
          <w:rFonts w:hint="eastAsia" w:ascii="仿宋" w:hAnsi="仿宋" w:eastAsia="仿宋" w:cs="仿宋"/>
          <w:bCs/>
          <w:color w:val="auto"/>
          <w:spacing w:val="-8"/>
          <w:szCs w:val="32"/>
          <w:lang w:eastAsia="zh-CN"/>
        </w:rPr>
        <w:t>预算经费</w:t>
      </w:r>
      <w:r>
        <w:rPr>
          <w:rFonts w:hint="eastAsia" w:ascii="仿宋" w:hAnsi="仿宋" w:eastAsia="仿宋" w:cs="仿宋"/>
          <w:lang w:val="en-US" w:eastAsia="zh-CN"/>
        </w:rPr>
        <w:t>10万</w:t>
      </w:r>
      <w:r>
        <w:rPr>
          <w:rFonts w:hint="eastAsia" w:ascii="仿宋" w:hAnsi="仿宋" w:eastAsia="仿宋" w:cs="仿宋"/>
          <w:bCs/>
          <w:color w:val="auto"/>
          <w:spacing w:val="-8"/>
          <w:szCs w:val="32"/>
          <w:lang w:eastAsia="zh-CN"/>
        </w:rPr>
        <w:t>元，实际</w:t>
      </w:r>
      <w:r>
        <w:rPr>
          <w:rFonts w:hint="eastAsia" w:ascii="仿宋" w:hAnsi="仿宋" w:eastAsia="仿宋" w:cs="仿宋"/>
          <w:lang w:eastAsia="zh-CN"/>
        </w:rPr>
        <w:t>支出</w:t>
      </w:r>
      <w:r>
        <w:rPr>
          <w:rFonts w:hint="eastAsia" w:ascii="仿宋" w:hAnsi="仿宋" w:eastAsia="仿宋" w:cs="仿宋"/>
          <w:lang w:val="en-US" w:eastAsia="zh-CN"/>
        </w:rPr>
        <w:t>7.05万</w:t>
      </w:r>
      <w:r>
        <w:rPr>
          <w:rFonts w:hint="eastAsia" w:ascii="仿宋" w:hAnsi="仿宋" w:eastAsia="仿宋" w:cs="仿宋"/>
          <w:lang w:eastAsia="zh-CN"/>
        </w:rPr>
        <w:t>元，结余</w:t>
      </w:r>
      <w:r>
        <w:rPr>
          <w:rFonts w:hint="eastAsia" w:ascii="仿宋" w:hAnsi="仿宋" w:eastAsia="仿宋" w:cs="仿宋"/>
          <w:lang w:val="en-US" w:eastAsia="zh-CN"/>
        </w:rPr>
        <w:t>2.95万</w:t>
      </w:r>
      <w:r>
        <w:rPr>
          <w:rFonts w:hint="eastAsia" w:ascii="仿宋" w:hAnsi="仿宋" w:eastAsia="仿宋" w:cs="仿宋"/>
          <w:bCs/>
          <w:color w:val="auto"/>
          <w:spacing w:val="-8"/>
          <w:szCs w:val="32"/>
          <w:lang w:eastAsia="zh-CN"/>
        </w:rPr>
        <w:t>元。</w:t>
      </w:r>
    </w:p>
    <w:p>
      <w:pPr>
        <w:pStyle w:val="3"/>
        <w:numPr>
          <w:ilvl w:val="0"/>
          <w:numId w:val="1"/>
        </w:numPr>
        <w:spacing w:before="0" w:beforeLines="0" w:after="0" w:afterLines="0"/>
        <w:ind w:firstLineChars="0"/>
        <w:rPr>
          <w:rFonts w:hint="eastAsia" w:ascii="楷体" w:hAnsi="楷体" w:eastAsia="楷体" w:cs="楷体"/>
          <w:b w:val="0"/>
          <w:bCs/>
          <w:szCs w:val="32"/>
          <w:lang w:eastAsia="zh-CN"/>
        </w:rPr>
      </w:pPr>
      <w:bookmarkStart w:id="86" w:name="_Toc8112"/>
      <w:bookmarkStart w:id="87" w:name="_Toc386835874"/>
      <w:bookmarkStart w:id="88" w:name="_Toc300186741"/>
      <w:bookmarkStart w:id="89" w:name="_Toc2001376203_WPSOffice_Level2"/>
      <w:bookmarkStart w:id="90" w:name="_Toc132480960"/>
      <w:bookmarkStart w:id="91" w:name="_Toc29119"/>
      <w:bookmarkStart w:id="92" w:name="_Toc1256897804"/>
      <w:bookmarkStart w:id="93" w:name="_Toc510053535"/>
      <w:bookmarkStart w:id="94" w:name="_Toc199443733"/>
      <w:bookmarkStart w:id="95" w:name="_Toc179658317"/>
      <w:r>
        <w:rPr>
          <w:rFonts w:hint="eastAsia" w:ascii="楷体" w:hAnsi="楷体" w:eastAsia="楷体" w:cs="楷体"/>
          <w:b w:val="0"/>
          <w:bCs/>
          <w:szCs w:val="32"/>
          <w:lang w:eastAsia="zh-CN"/>
        </w:rPr>
        <w:t>项目绩效目标</w:t>
      </w:r>
      <w:bookmarkEnd w:id="86"/>
      <w:bookmarkEnd w:id="87"/>
      <w:bookmarkEnd w:id="88"/>
      <w:bookmarkEnd w:id="89"/>
      <w:bookmarkEnd w:id="90"/>
      <w:bookmarkEnd w:id="91"/>
      <w:bookmarkEnd w:id="92"/>
      <w:bookmarkEnd w:id="93"/>
      <w:bookmarkEnd w:id="94"/>
      <w:bookmarkEnd w:id="95"/>
    </w:p>
    <w:p>
      <w:pPr>
        <w:pStyle w:val="4"/>
        <w:numPr>
          <w:ilvl w:val="0"/>
          <w:numId w:val="4"/>
        </w:numPr>
        <w:ind w:firstLineChars="0"/>
        <w:rPr>
          <w:rFonts w:hint="eastAsia" w:ascii="仿宋" w:hAnsi="仿宋" w:eastAsia="仿宋" w:cs="仿宋"/>
          <w:b w:val="0"/>
          <w:bCs/>
          <w:szCs w:val="32"/>
          <w:lang w:eastAsia="zh-CN"/>
        </w:rPr>
      </w:pPr>
      <w:bookmarkStart w:id="96" w:name="_Toc199443734"/>
      <w:bookmarkStart w:id="97" w:name="_Toc2032239936"/>
      <w:bookmarkStart w:id="98" w:name="_Toc1862527568"/>
      <w:bookmarkStart w:id="99" w:name="_Toc1506002849_WPSOffice_Level3"/>
      <w:bookmarkStart w:id="100" w:name="_Toc1117534849"/>
      <w:bookmarkStart w:id="101" w:name="_Toc30674"/>
      <w:bookmarkStart w:id="102" w:name="_Toc18431"/>
      <w:bookmarkStart w:id="103" w:name="_Toc799469184"/>
      <w:bookmarkStart w:id="104" w:name="_Toc130033883"/>
      <w:bookmarkStart w:id="105" w:name="_Toc338550202"/>
      <w:bookmarkStart w:id="106" w:name="_Toc1093480860_WPSOffice_Level1"/>
      <w:bookmarkStart w:id="107" w:name="_Toc132480961"/>
      <w:bookmarkStart w:id="108" w:name="_Toc1396703300"/>
      <w:bookmarkStart w:id="109" w:name="_Toc451760287"/>
      <w:bookmarkStart w:id="110" w:name="_Toc326378840"/>
      <w:bookmarkStart w:id="111" w:name="_Toc9538"/>
      <w:r>
        <w:rPr>
          <w:rFonts w:hint="eastAsia" w:ascii="仿宋" w:hAnsi="仿宋" w:eastAsia="仿宋" w:cs="仿宋"/>
          <w:b w:val="0"/>
          <w:bCs/>
          <w:szCs w:val="32"/>
          <w:lang w:eastAsia="zh-CN"/>
        </w:rPr>
        <w:t>总体目标</w:t>
      </w:r>
      <w:bookmarkEnd w:id="96"/>
      <w:bookmarkEnd w:id="97"/>
      <w:bookmarkEnd w:id="98"/>
      <w:bookmarkEnd w:id="99"/>
      <w:bookmarkEnd w:id="100"/>
      <w:bookmarkEnd w:id="101"/>
      <w:bookmarkEnd w:id="102"/>
      <w:bookmarkEnd w:id="103"/>
      <w:bookmarkEnd w:id="104"/>
    </w:p>
    <w:p>
      <w:pPr>
        <w:ind w:firstLine="640"/>
        <w:rPr>
          <w:rFonts w:hint="eastAsia" w:ascii="仿宋" w:hAnsi="仿宋" w:eastAsia="仿宋" w:cs="仿宋"/>
          <w:bCs/>
          <w:szCs w:val="32"/>
          <w:lang w:eastAsia="zh-CN"/>
        </w:rPr>
      </w:pPr>
      <w:r>
        <w:rPr>
          <w:rFonts w:hint="eastAsia" w:ascii="仿宋" w:hAnsi="仿宋" w:eastAsia="仿宋" w:cs="仿宋"/>
          <w:bCs/>
          <w:color w:val="auto"/>
          <w:szCs w:val="32"/>
          <w:lang w:val="en-US" w:eastAsia="zh-CN"/>
        </w:rPr>
        <w:t>为了提高了金口河美食知名度，打造金口河美食品牌，金口河区开展首届美食大赛及推广交流活动，为扩大金口河区非遗美食影响、助力产业强区、旅游兴区发展战略，持续放大金口河区非遗项目知名度</w:t>
      </w:r>
      <w:r>
        <w:rPr>
          <w:rFonts w:hint="eastAsia" w:ascii="仿宋" w:hAnsi="仿宋" w:eastAsia="仿宋" w:cs="仿宋"/>
          <w:bCs/>
          <w:color w:val="auto"/>
          <w:szCs w:val="32"/>
          <w:lang w:eastAsia="zh-CN"/>
        </w:rPr>
        <w:t>。</w:t>
      </w:r>
    </w:p>
    <w:p>
      <w:pPr>
        <w:pStyle w:val="4"/>
        <w:numPr>
          <w:ilvl w:val="0"/>
          <w:numId w:val="4"/>
        </w:numPr>
        <w:ind w:firstLineChars="0"/>
        <w:rPr>
          <w:rFonts w:hint="eastAsia" w:ascii="仿宋" w:hAnsi="仿宋" w:eastAsia="仿宋" w:cs="仿宋"/>
          <w:b w:val="0"/>
          <w:bCs/>
          <w:szCs w:val="32"/>
        </w:rPr>
      </w:pPr>
      <w:bookmarkStart w:id="112" w:name="_Toc199443735"/>
      <w:bookmarkStart w:id="113" w:name="_Toc130033884"/>
      <w:bookmarkStart w:id="114" w:name="_Toc1779196704"/>
      <w:bookmarkStart w:id="115" w:name="_Toc516230481"/>
      <w:bookmarkStart w:id="116" w:name="_Toc129198817"/>
      <w:bookmarkStart w:id="117" w:name="_Toc1147619601_WPSOffice_Level3"/>
      <w:bookmarkStart w:id="118" w:name="_Toc2665"/>
      <w:bookmarkStart w:id="119" w:name="_Toc5641"/>
      <w:bookmarkStart w:id="120" w:name="_Toc2020879856"/>
      <w:r>
        <w:rPr>
          <w:rFonts w:hint="eastAsia" w:ascii="仿宋" w:hAnsi="仿宋" w:eastAsia="仿宋" w:cs="仿宋"/>
          <w:b w:val="0"/>
          <w:bCs/>
          <w:szCs w:val="32"/>
        </w:rPr>
        <w:t>项目绩效目标</w:t>
      </w:r>
      <w:bookmarkEnd w:id="112"/>
      <w:bookmarkEnd w:id="113"/>
      <w:bookmarkEnd w:id="114"/>
      <w:bookmarkEnd w:id="115"/>
      <w:bookmarkEnd w:id="116"/>
      <w:bookmarkEnd w:id="117"/>
      <w:bookmarkEnd w:id="118"/>
      <w:bookmarkEnd w:id="119"/>
      <w:bookmarkEnd w:id="120"/>
    </w:p>
    <w:p>
      <w:pPr>
        <w:pageBreakBefore w:val="0"/>
        <w:widowControl w:val="0"/>
        <w:kinsoku/>
        <w:wordWrap/>
        <w:overflowPunct/>
        <w:topLinePunct w:val="0"/>
        <w:autoSpaceDE/>
        <w:autoSpaceDN/>
        <w:bidi w:val="0"/>
        <w:adjustRightInd w:val="0"/>
        <w:snapToGrid w:val="0"/>
        <w:ind w:left="0" w:firstLine="640" w:firstLineChars="200"/>
        <w:textAlignment w:val="auto"/>
        <w:outlineLvl w:val="9"/>
        <w:rPr>
          <w:rFonts w:hint="eastAsia" w:ascii="仿宋" w:hAnsi="仿宋" w:eastAsia="仿宋" w:cs="仿宋"/>
          <w:bCs/>
          <w:szCs w:val="32"/>
          <w:lang w:eastAsia="zh-CN"/>
        </w:rPr>
      </w:pPr>
      <w:r>
        <w:rPr>
          <w:rFonts w:hint="eastAsia" w:ascii="仿宋" w:hAnsi="仿宋" w:eastAsia="仿宋" w:cs="仿宋"/>
          <w:bCs/>
          <w:szCs w:val="32"/>
          <w:lang w:eastAsia="zh-CN"/>
        </w:rPr>
        <w:t>项目决策：立项规范、依据充分、项目绩效目标设定合理、绩效指标清晰可衡量。</w:t>
      </w:r>
    </w:p>
    <w:p>
      <w:pPr>
        <w:pageBreakBefore w:val="0"/>
        <w:widowControl w:val="0"/>
        <w:kinsoku/>
        <w:wordWrap/>
        <w:overflowPunct/>
        <w:topLinePunct w:val="0"/>
        <w:autoSpaceDE/>
        <w:autoSpaceDN/>
        <w:bidi w:val="0"/>
        <w:adjustRightInd w:val="0"/>
        <w:snapToGrid w:val="0"/>
        <w:ind w:left="0" w:firstLine="640" w:firstLineChars="200"/>
        <w:textAlignment w:val="auto"/>
        <w:outlineLvl w:val="9"/>
        <w:rPr>
          <w:rFonts w:hint="eastAsia" w:ascii="仿宋" w:hAnsi="仿宋" w:eastAsia="仿宋" w:cs="仿宋"/>
          <w:bCs/>
          <w:szCs w:val="32"/>
          <w:lang w:eastAsia="zh-CN"/>
        </w:rPr>
      </w:pPr>
      <w:r>
        <w:rPr>
          <w:rFonts w:hint="eastAsia" w:ascii="仿宋" w:hAnsi="仿宋" w:eastAsia="仿宋" w:cs="仿宋"/>
          <w:bCs/>
          <w:szCs w:val="32"/>
          <w:lang w:eastAsia="zh-CN"/>
        </w:rPr>
        <w:t>项目管理：预算准确、执行及时、项目内部管理制度健全，考核达标，财务管理制度健全、项目档案管理良好。</w:t>
      </w:r>
    </w:p>
    <w:p>
      <w:pPr>
        <w:pageBreakBefore w:val="0"/>
        <w:widowControl w:val="0"/>
        <w:kinsoku/>
        <w:wordWrap/>
        <w:overflowPunct/>
        <w:topLinePunct w:val="0"/>
        <w:autoSpaceDE/>
        <w:autoSpaceDN/>
        <w:bidi w:val="0"/>
        <w:adjustRightInd w:val="0"/>
        <w:snapToGrid w:val="0"/>
        <w:ind w:left="0" w:firstLine="640" w:firstLineChars="200"/>
        <w:textAlignment w:val="auto"/>
        <w:outlineLvl w:val="9"/>
        <w:rPr>
          <w:rFonts w:hint="eastAsia" w:ascii="仿宋" w:hAnsi="仿宋" w:eastAsia="仿宋" w:cs="仿宋"/>
          <w:bCs/>
          <w:szCs w:val="32"/>
          <w:lang w:eastAsia="zh-CN"/>
        </w:rPr>
      </w:pPr>
      <w:r>
        <w:rPr>
          <w:rFonts w:hint="eastAsia" w:ascii="仿宋" w:hAnsi="仿宋" w:eastAsia="仿宋" w:cs="仿宋"/>
          <w:bCs/>
          <w:szCs w:val="32"/>
          <w:lang w:eastAsia="zh-CN"/>
        </w:rPr>
        <w:t>项目产出：</w:t>
      </w:r>
      <w:r>
        <w:rPr>
          <w:rFonts w:hint="eastAsia" w:ascii="仿宋" w:hAnsi="仿宋" w:eastAsia="仿宋" w:cs="仿宋"/>
          <w:bCs/>
          <w:szCs w:val="32"/>
          <w:lang w:val="en-US" w:eastAsia="zh-CN"/>
        </w:rPr>
        <w:t>开展第二届“舌尖上的非遗</w:t>
      </w:r>
      <w:r>
        <w:rPr>
          <w:rFonts w:hint="default" w:ascii="仿宋" w:hAnsi="仿宋" w:eastAsia="仿宋" w:cs="仿宋"/>
          <w:bCs/>
          <w:szCs w:val="32"/>
          <w:lang w:val="en-US" w:eastAsia="zh-CN"/>
        </w:rPr>
        <w:t>”</w:t>
      </w:r>
      <w:r>
        <w:rPr>
          <w:rFonts w:hint="eastAsia" w:ascii="仿宋" w:hAnsi="仿宋" w:eastAsia="仿宋" w:cs="仿宋"/>
          <w:bCs/>
          <w:szCs w:val="32"/>
          <w:lang w:val="en-US" w:eastAsia="zh-CN"/>
        </w:rPr>
        <w:t>特色美食大赛活动1场，参与非遗美食大赛菜品数量</w:t>
      </w:r>
      <w:r>
        <w:rPr>
          <w:rFonts w:hint="eastAsia" w:ascii="宋体" w:hAnsi="宋体" w:eastAsia="宋体" w:cs="宋体"/>
          <w:bCs/>
          <w:szCs w:val="32"/>
          <w:lang w:val="en-US" w:eastAsia="zh-CN"/>
        </w:rPr>
        <w:t>≥</w:t>
      </w:r>
      <w:r>
        <w:rPr>
          <w:rFonts w:hint="eastAsia" w:ascii="仿宋" w:hAnsi="仿宋" w:eastAsia="仿宋" w:cs="仿宋"/>
          <w:bCs/>
          <w:szCs w:val="32"/>
          <w:lang w:val="en-US" w:eastAsia="zh-CN"/>
        </w:rPr>
        <w:t>10个，资金控制</w:t>
      </w:r>
      <w:r>
        <w:rPr>
          <w:rFonts w:hint="eastAsia" w:ascii="仿宋_GB2312" w:hAnsi="仿宋_GB2312" w:eastAsia="仿宋_GB2312" w:cs="仿宋_GB2312"/>
          <w:bCs/>
          <w:szCs w:val="32"/>
          <w:lang w:val="en-US" w:eastAsia="zh-CN"/>
        </w:rPr>
        <w:t>≤</w:t>
      </w:r>
      <w:r>
        <w:rPr>
          <w:rFonts w:hint="eastAsia" w:ascii="仿宋" w:hAnsi="仿宋" w:eastAsia="仿宋" w:cs="仿宋"/>
          <w:bCs/>
          <w:szCs w:val="32"/>
          <w:lang w:val="en-US" w:eastAsia="zh-CN"/>
        </w:rPr>
        <w:t>10万元。</w:t>
      </w:r>
    </w:p>
    <w:p>
      <w:pPr>
        <w:pageBreakBefore w:val="0"/>
        <w:widowControl w:val="0"/>
        <w:kinsoku/>
        <w:wordWrap/>
        <w:overflowPunct/>
        <w:topLinePunct w:val="0"/>
        <w:autoSpaceDE/>
        <w:autoSpaceDN/>
        <w:bidi w:val="0"/>
        <w:adjustRightInd w:val="0"/>
        <w:snapToGrid w:val="0"/>
        <w:ind w:left="0" w:firstLine="640" w:firstLineChars="200"/>
        <w:textAlignment w:val="auto"/>
        <w:outlineLvl w:val="9"/>
        <w:rPr>
          <w:rFonts w:hint="eastAsia" w:ascii="仿宋" w:hAnsi="仿宋" w:eastAsia="仿宋" w:cs="仿宋"/>
          <w:bCs/>
          <w:szCs w:val="32"/>
          <w:lang w:eastAsia="zh-CN"/>
        </w:rPr>
      </w:pPr>
      <w:r>
        <w:rPr>
          <w:rFonts w:hint="eastAsia" w:ascii="仿宋" w:hAnsi="仿宋" w:eastAsia="仿宋" w:cs="仿宋"/>
          <w:bCs/>
          <w:szCs w:val="32"/>
          <w:lang w:eastAsia="zh-CN"/>
        </w:rPr>
        <w:t>项目效益：</w:t>
      </w:r>
      <w:r>
        <w:rPr>
          <w:rFonts w:hint="eastAsia" w:ascii="仿宋" w:hAnsi="仿宋" w:eastAsia="仿宋" w:cs="仿宋"/>
          <w:bCs/>
          <w:szCs w:val="32"/>
          <w:lang w:val="en-US" w:eastAsia="zh-CN"/>
        </w:rPr>
        <w:t>通过开展第二届“舌尖上的非遗”特色美食大赛及推广交流活动，全力打造金口河非遗项目品牌，通过大力宣传推广提高金口河非遗项目知名度</w:t>
      </w:r>
      <w:r>
        <w:rPr>
          <w:rFonts w:hint="eastAsia" w:ascii="仿宋" w:hAnsi="仿宋" w:eastAsia="仿宋" w:cs="仿宋"/>
          <w:bCs/>
          <w:szCs w:val="32"/>
          <w:lang w:eastAsia="zh-CN"/>
        </w:rPr>
        <w:t>。</w:t>
      </w:r>
    </w:p>
    <w:p>
      <w:pPr>
        <w:pageBreakBefore w:val="0"/>
        <w:widowControl w:val="0"/>
        <w:numPr>
          <w:numId w:val="0"/>
        </w:numPr>
        <w:kinsoku/>
        <w:wordWrap/>
        <w:overflowPunct/>
        <w:topLinePunct w:val="0"/>
        <w:autoSpaceDE/>
        <w:autoSpaceDN/>
        <w:bidi w:val="0"/>
        <w:adjustRightInd w:val="0"/>
        <w:snapToGrid w:val="0"/>
        <w:spacing w:before="0" w:beforeLines="0" w:after="0" w:afterLines="0"/>
        <w:ind w:left="0" w:leftChars="0" w:firstLine="640" w:firstLineChars="200"/>
        <w:textAlignment w:val="auto"/>
        <w:outlineLvl w:val="9"/>
        <w:rPr>
          <w:rFonts w:hint="eastAsia" w:ascii="黑体" w:hAnsi="黑体" w:eastAsia="黑体" w:cs="黑体"/>
          <w:b w:val="0"/>
          <w:bCs/>
          <w:szCs w:val="32"/>
          <w:lang w:eastAsia="zh-CN"/>
        </w:rPr>
      </w:pPr>
      <w:bookmarkStart w:id="121" w:name="_Toc199443736"/>
      <w:bookmarkStart w:id="122" w:name="_Toc179658318"/>
      <w:bookmarkStart w:id="123" w:name="_Toc10833"/>
      <w:r>
        <w:rPr>
          <w:rFonts w:hint="eastAsia" w:ascii="黑体" w:hAnsi="黑体" w:eastAsia="黑体" w:cs="黑体"/>
          <w:b w:val="0"/>
          <w:bCs/>
          <w:szCs w:val="32"/>
          <w:lang w:eastAsia="zh-CN"/>
        </w:rPr>
        <w:t>二、绩效评价工作开展情况</w:t>
      </w:r>
      <w:bookmarkEnd w:id="105"/>
      <w:bookmarkEnd w:id="106"/>
      <w:bookmarkEnd w:id="107"/>
      <w:bookmarkEnd w:id="108"/>
      <w:bookmarkEnd w:id="109"/>
      <w:bookmarkEnd w:id="110"/>
      <w:bookmarkEnd w:id="111"/>
      <w:bookmarkEnd w:id="121"/>
      <w:bookmarkEnd w:id="122"/>
      <w:bookmarkEnd w:id="123"/>
    </w:p>
    <w:p>
      <w:pPr>
        <w:pageBreakBefore w:val="0"/>
        <w:widowControl w:val="0"/>
        <w:numPr>
          <w:ilvl w:val="0"/>
          <w:numId w:val="5"/>
        </w:numPr>
        <w:kinsoku/>
        <w:wordWrap/>
        <w:overflowPunct/>
        <w:topLinePunct w:val="0"/>
        <w:autoSpaceDE/>
        <w:autoSpaceDN/>
        <w:bidi w:val="0"/>
        <w:adjustRightInd w:val="0"/>
        <w:snapToGrid w:val="0"/>
        <w:spacing w:before="0" w:beforeLines="0" w:after="0" w:afterLines="0"/>
        <w:ind w:left="0" w:firstLine="640" w:firstLineChars="200"/>
        <w:textAlignment w:val="auto"/>
        <w:outlineLvl w:val="9"/>
        <w:rPr>
          <w:rFonts w:hint="eastAsia" w:ascii="楷体" w:hAnsi="楷体" w:eastAsia="楷体" w:cs="楷体"/>
          <w:b w:val="0"/>
          <w:bCs/>
          <w:szCs w:val="32"/>
          <w:lang w:eastAsia="zh-CN"/>
        </w:rPr>
      </w:pPr>
      <w:bookmarkStart w:id="124" w:name="_Toc132480962"/>
      <w:bookmarkStart w:id="125" w:name="_Toc248617743"/>
      <w:bookmarkStart w:id="126" w:name="_Toc1329064111"/>
      <w:bookmarkStart w:id="127" w:name="_Toc199443737"/>
      <w:bookmarkStart w:id="128" w:name="_Toc179658319"/>
      <w:bookmarkStart w:id="129" w:name="_Toc27495"/>
      <w:bookmarkStart w:id="130" w:name="_Toc24814"/>
      <w:bookmarkStart w:id="131" w:name="_Toc1380451464"/>
      <w:bookmarkStart w:id="132" w:name="_Toc775929442"/>
      <w:r>
        <w:rPr>
          <w:rFonts w:hint="eastAsia" w:ascii="楷体" w:hAnsi="楷体" w:eastAsia="楷体" w:cs="楷体"/>
          <w:b w:val="0"/>
          <w:bCs/>
          <w:szCs w:val="32"/>
          <w:lang w:eastAsia="zh-CN"/>
        </w:rPr>
        <w:t>绩效评价目的、对象和范围</w:t>
      </w:r>
      <w:bookmarkEnd w:id="124"/>
      <w:bookmarkEnd w:id="125"/>
      <w:bookmarkEnd w:id="126"/>
      <w:bookmarkEnd w:id="127"/>
      <w:bookmarkEnd w:id="128"/>
      <w:bookmarkEnd w:id="129"/>
      <w:bookmarkEnd w:id="130"/>
      <w:bookmarkEnd w:id="131"/>
      <w:bookmarkEnd w:id="132"/>
    </w:p>
    <w:p>
      <w:pPr>
        <w:pageBreakBefore w:val="0"/>
        <w:widowControl w:val="0"/>
        <w:numPr>
          <w:ilvl w:val="2"/>
          <w:numId w:val="6"/>
        </w:numPr>
        <w:tabs>
          <w:tab w:val="left" w:pos="1134"/>
        </w:tabs>
        <w:kinsoku/>
        <w:wordWrap/>
        <w:overflowPunct/>
        <w:topLinePunct w:val="0"/>
        <w:autoSpaceDE/>
        <w:autoSpaceDN/>
        <w:bidi w:val="0"/>
        <w:adjustRightInd w:val="0"/>
        <w:snapToGrid w:val="0"/>
        <w:ind w:left="0" w:firstLine="640" w:firstLineChars="200"/>
        <w:textAlignment w:val="auto"/>
        <w:outlineLvl w:val="9"/>
        <w:rPr>
          <w:rFonts w:hint="eastAsia" w:ascii="仿宋" w:hAnsi="仿宋" w:eastAsia="仿宋" w:cs="仿宋"/>
          <w:b w:val="0"/>
          <w:bCs/>
          <w:szCs w:val="32"/>
          <w:lang w:eastAsia="zh-CN"/>
        </w:rPr>
      </w:pPr>
      <w:bookmarkStart w:id="133" w:name="_Toc1603101130"/>
      <w:bookmarkStart w:id="134" w:name="_Toc1981916907"/>
      <w:bookmarkStart w:id="135" w:name="_Toc199443738"/>
      <w:bookmarkStart w:id="136" w:name="_Toc1662713186"/>
      <w:bookmarkStart w:id="137" w:name="_Toc31144"/>
      <w:bookmarkStart w:id="138" w:name="_Toc15630"/>
      <w:bookmarkStart w:id="139" w:name="_Toc1093480860_WPSOffice_Level2"/>
      <w:bookmarkStart w:id="140" w:name="_Toc1525427110"/>
      <w:bookmarkStart w:id="141" w:name="_Toc130033887"/>
      <w:r>
        <w:rPr>
          <w:rFonts w:hint="eastAsia" w:ascii="仿宋" w:hAnsi="仿宋" w:eastAsia="仿宋" w:cs="仿宋"/>
          <w:b w:val="0"/>
          <w:bCs/>
          <w:szCs w:val="32"/>
          <w:lang w:eastAsia="zh-CN"/>
        </w:rPr>
        <w:t>绩效评价的目的</w:t>
      </w:r>
      <w:bookmarkEnd w:id="133"/>
      <w:bookmarkEnd w:id="134"/>
      <w:bookmarkEnd w:id="135"/>
      <w:bookmarkEnd w:id="136"/>
      <w:bookmarkEnd w:id="137"/>
      <w:bookmarkEnd w:id="138"/>
      <w:bookmarkEnd w:id="139"/>
      <w:bookmarkEnd w:id="140"/>
      <w:bookmarkEnd w:id="141"/>
    </w:p>
    <w:p>
      <w:pPr>
        <w:pageBreakBefore w:val="0"/>
        <w:widowControl w:val="0"/>
        <w:kinsoku/>
        <w:wordWrap/>
        <w:overflowPunct/>
        <w:topLinePunct w:val="0"/>
        <w:autoSpaceDE/>
        <w:autoSpaceDN/>
        <w:bidi w:val="0"/>
        <w:adjustRightInd w:val="0"/>
        <w:snapToGrid w:val="0"/>
        <w:ind w:left="0" w:firstLine="608" w:firstLineChars="200"/>
        <w:textAlignment w:val="auto"/>
        <w:outlineLvl w:val="9"/>
        <w:rPr>
          <w:rFonts w:hint="eastAsia" w:ascii="仿宋" w:hAnsi="仿宋" w:eastAsia="仿宋" w:cs="仿宋"/>
          <w:bCs/>
          <w:color w:val="auto"/>
          <w:spacing w:val="-8"/>
          <w:szCs w:val="32"/>
          <w:lang w:eastAsia="zh-CN"/>
        </w:rPr>
      </w:pPr>
      <w:r>
        <w:rPr>
          <w:rFonts w:hint="eastAsia" w:ascii="仿宋" w:hAnsi="仿宋" w:eastAsia="仿宋" w:cs="仿宋"/>
          <w:bCs/>
          <w:color w:val="auto"/>
          <w:spacing w:val="-8"/>
          <w:szCs w:val="32"/>
          <w:lang w:eastAsia="zh-CN"/>
        </w:rPr>
        <w:t>绩效评价是全过程预算绩效管理的重要环节，预算绩效管理主体根据设定的绩效目标，运用科学、合理的绩效评价指标、评价标准和评价方法，依据设定的绩效目标，对项目支出的经济性、效率性、效益性和公平性进行客观、公正的测量、分析和评判，从而提高财政资源配置效率和使用效益。本次通过对农业产业推广：第二届非遗特色美食大赛及推广项目的绩效评价，达到以下评价目的：</w:t>
      </w:r>
    </w:p>
    <w:p>
      <w:pPr>
        <w:pageBreakBefore w:val="0"/>
        <w:widowControl w:val="0"/>
        <w:kinsoku/>
        <w:wordWrap/>
        <w:overflowPunct/>
        <w:topLinePunct w:val="0"/>
        <w:autoSpaceDE/>
        <w:autoSpaceDN/>
        <w:bidi w:val="0"/>
        <w:adjustRightInd w:val="0"/>
        <w:snapToGrid w:val="0"/>
        <w:ind w:left="0" w:firstLine="608" w:firstLineChars="200"/>
        <w:textAlignment w:val="auto"/>
        <w:outlineLvl w:val="9"/>
        <w:rPr>
          <w:rFonts w:hint="eastAsia" w:ascii="仿宋" w:hAnsi="仿宋" w:eastAsia="仿宋" w:cs="仿宋"/>
          <w:bCs/>
          <w:color w:val="auto"/>
          <w:spacing w:val="-8"/>
          <w:szCs w:val="32"/>
          <w:lang w:eastAsia="zh-CN"/>
        </w:rPr>
      </w:pPr>
      <w:r>
        <w:rPr>
          <w:rFonts w:hint="eastAsia" w:ascii="仿宋" w:hAnsi="仿宋" w:eastAsia="仿宋" w:cs="仿宋"/>
          <w:bCs/>
          <w:color w:val="auto"/>
          <w:spacing w:val="-8"/>
          <w:szCs w:val="32"/>
          <w:lang w:eastAsia="zh-CN"/>
        </w:rPr>
        <w:t>（1）考察农业产业推广：第二届非遗特色美食大赛及推广项目实际完成情况，评估是否达到预期目标，如未达到预期目标，则对未完成原因进行分析，并提出针对性建议；</w:t>
      </w:r>
    </w:p>
    <w:p>
      <w:pPr>
        <w:pageBreakBefore w:val="0"/>
        <w:widowControl w:val="0"/>
        <w:kinsoku/>
        <w:wordWrap/>
        <w:overflowPunct/>
        <w:topLinePunct w:val="0"/>
        <w:autoSpaceDE/>
        <w:autoSpaceDN/>
        <w:bidi w:val="0"/>
        <w:adjustRightInd w:val="0"/>
        <w:snapToGrid w:val="0"/>
        <w:ind w:left="0" w:firstLine="608" w:firstLineChars="200"/>
        <w:textAlignment w:val="auto"/>
        <w:outlineLvl w:val="9"/>
        <w:rPr>
          <w:rFonts w:hint="eastAsia" w:ascii="仿宋" w:hAnsi="仿宋" w:eastAsia="仿宋" w:cs="仿宋"/>
          <w:bCs/>
          <w:color w:val="auto"/>
          <w:spacing w:val="-8"/>
          <w:szCs w:val="32"/>
          <w:lang w:eastAsia="zh-CN"/>
        </w:rPr>
      </w:pPr>
      <w:r>
        <w:rPr>
          <w:rFonts w:hint="eastAsia" w:ascii="仿宋" w:hAnsi="仿宋" w:eastAsia="仿宋" w:cs="仿宋"/>
          <w:bCs/>
          <w:color w:val="auto"/>
          <w:spacing w:val="-8"/>
          <w:szCs w:val="32"/>
          <w:lang w:eastAsia="zh-CN"/>
        </w:rPr>
        <w:t>（2）考察项目的实施过程是否合法、合规，财务管理和业务流程是否规范，执行是否有效，档案是否齐全；</w:t>
      </w:r>
    </w:p>
    <w:p>
      <w:pPr>
        <w:pageBreakBefore w:val="0"/>
        <w:widowControl w:val="0"/>
        <w:kinsoku/>
        <w:wordWrap/>
        <w:overflowPunct/>
        <w:topLinePunct w:val="0"/>
        <w:autoSpaceDE/>
        <w:autoSpaceDN/>
        <w:bidi w:val="0"/>
        <w:adjustRightInd w:val="0"/>
        <w:snapToGrid w:val="0"/>
        <w:ind w:left="0" w:firstLine="608" w:firstLineChars="200"/>
        <w:textAlignment w:val="auto"/>
        <w:outlineLvl w:val="9"/>
        <w:rPr>
          <w:rFonts w:hint="eastAsia" w:ascii="仿宋" w:hAnsi="仿宋" w:eastAsia="仿宋" w:cs="仿宋"/>
          <w:bCs/>
          <w:color w:val="auto"/>
          <w:spacing w:val="-8"/>
          <w:szCs w:val="32"/>
          <w:lang w:eastAsia="zh-CN"/>
        </w:rPr>
      </w:pPr>
      <w:r>
        <w:rPr>
          <w:rFonts w:hint="eastAsia" w:ascii="仿宋" w:hAnsi="仿宋" w:eastAsia="仿宋" w:cs="仿宋"/>
          <w:bCs/>
          <w:color w:val="auto"/>
          <w:spacing w:val="-8"/>
          <w:szCs w:val="32"/>
          <w:lang w:eastAsia="zh-CN"/>
        </w:rPr>
        <w:t>（3）考察项目的效益和效率，项目是否达到了预期目标，项目预算单位、市民是否满意，提高财政预算管理和提升财政资金绩效作用是否显著。</w:t>
      </w:r>
    </w:p>
    <w:p>
      <w:pPr>
        <w:pageBreakBefore w:val="0"/>
        <w:widowControl w:val="0"/>
        <w:kinsoku/>
        <w:wordWrap/>
        <w:overflowPunct/>
        <w:topLinePunct w:val="0"/>
        <w:autoSpaceDE/>
        <w:autoSpaceDN/>
        <w:bidi w:val="0"/>
        <w:adjustRightInd w:val="0"/>
        <w:snapToGrid w:val="0"/>
        <w:ind w:left="0" w:firstLine="608" w:firstLineChars="200"/>
        <w:textAlignment w:val="auto"/>
        <w:outlineLvl w:val="9"/>
        <w:rPr>
          <w:rFonts w:hint="eastAsia" w:ascii="仿宋" w:hAnsi="仿宋" w:eastAsia="仿宋" w:cs="仿宋"/>
          <w:bCs/>
          <w:color w:val="auto"/>
          <w:spacing w:val="-8"/>
          <w:szCs w:val="32"/>
          <w:lang w:eastAsia="zh-CN"/>
        </w:rPr>
      </w:pPr>
      <w:r>
        <w:rPr>
          <w:rFonts w:hint="eastAsia" w:ascii="仿宋" w:hAnsi="仿宋" w:eastAsia="仿宋" w:cs="仿宋"/>
          <w:bCs/>
          <w:color w:val="auto"/>
          <w:spacing w:val="-8"/>
          <w:szCs w:val="32"/>
          <w:lang w:eastAsia="zh-CN"/>
        </w:rPr>
        <w:t>财政支出绩效评价是建设效能、责任和廉洁政府的重要手段。为客观评价农业产业推广：第二届非遗特色美食大赛及推广项目的绩效，结合项目特点，我中心运用科学、规范的评价方法，制定了农业产业推广：第二届非遗特色美食大赛及推广项目绩效评价指标体系，客观地对项目进行综合性评价，剖析农业产业推广：第二届非遗特色美食大赛及推广项目支出在预算、管理及项目实施过程中存在的问题，探究其可能的原因，最后提出相应的解决对策。通过绩效评价，在项目资金管理中引入绩效管理理念，规范管理方式，总结项目管理经验，同时加强项目资金管理，优化财政支出结构，进一步提升财政资金使用效益和政府公共服务水平，为科学决策提供确实有力的依据。</w:t>
      </w:r>
    </w:p>
    <w:p>
      <w:pPr>
        <w:pageBreakBefore w:val="0"/>
        <w:widowControl w:val="0"/>
        <w:numPr>
          <w:ilvl w:val="0"/>
          <w:numId w:val="6"/>
        </w:numPr>
        <w:kinsoku/>
        <w:wordWrap/>
        <w:overflowPunct/>
        <w:topLinePunct w:val="0"/>
        <w:autoSpaceDE/>
        <w:autoSpaceDN/>
        <w:bidi w:val="0"/>
        <w:adjustRightInd w:val="0"/>
        <w:snapToGrid w:val="0"/>
        <w:ind w:left="0" w:firstLine="640" w:firstLineChars="200"/>
        <w:textAlignment w:val="auto"/>
        <w:outlineLvl w:val="9"/>
        <w:rPr>
          <w:rFonts w:hint="eastAsia" w:ascii="仿宋" w:hAnsi="仿宋" w:eastAsia="仿宋" w:cs="仿宋"/>
          <w:b w:val="0"/>
          <w:bCs/>
          <w:szCs w:val="32"/>
        </w:rPr>
      </w:pPr>
      <w:bookmarkStart w:id="142" w:name="_Toc199443739"/>
      <w:bookmarkStart w:id="143" w:name="_Toc990856648"/>
      <w:bookmarkStart w:id="144" w:name="_Toc2115246641_WPSOffice_Level2"/>
      <w:bookmarkStart w:id="145" w:name="_Toc15818691"/>
      <w:bookmarkStart w:id="146" w:name="_Toc458607332"/>
      <w:bookmarkStart w:id="147" w:name="_Toc1193659884"/>
      <w:bookmarkStart w:id="148" w:name="_Toc22961"/>
      <w:bookmarkStart w:id="149" w:name="_Toc28636"/>
      <w:bookmarkStart w:id="150" w:name="_Toc130033888"/>
      <w:r>
        <w:rPr>
          <w:rFonts w:hint="eastAsia" w:ascii="仿宋" w:hAnsi="仿宋" w:eastAsia="仿宋" w:cs="仿宋"/>
          <w:b w:val="0"/>
          <w:bCs/>
          <w:szCs w:val="32"/>
        </w:rPr>
        <w:t>绩效评价的对象</w:t>
      </w:r>
      <w:bookmarkEnd w:id="142"/>
      <w:bookmarkEnd w:id="143"/>
      <w:bookmarkEnd w:id="144"/>
      <w:bookmarkEnd w:id="145"/>
      <w:bookmarkEnd w:id="146"/>
      <w:bookmarkEnd w:id="147"/>
      <w:bookmarkEnd w:id="148"/>
      <w:bookmarkEnd w:id="149"/>
      <w:bookmarkEnd w:id="150"/>
    </w:p>
    <w:p>
      <w:pPr>
        <w:pageBreakBefore w:val="0"/>
        <w:widowControl w:val="0"/>
        <w:kinsoku/>
        <w:wordWrap/>
        <w:overflowPunct/>
        <w:topLinePunct w:val="0"/>
        <w:autoSpaceDE/>
        <w:autoSpaceDN/>
        <w:bidi w:val="0"/>
        <w:adjustRightInd w:val="0"/>
        <w:snapToGrid w:val="0"/>
        <w:ind w:left="0" w:firstLine="608" w:firstLineChars="200"/>
        <w:textAlignment w:val="auto"/>
        <w:outlineLvl w:val="9"/>
        <w:rPr>
          <w:rFonts w:hint="eastAsia" w:ascii="仿宋" w:hAnsi="仿宋" w:eastAsia="仿宋" w:cs="仿宋"/>
          <w:bCs/>
          <w:color w:val="auto"/>
          <w:spacing w:val="-8"/>
          <w:szCs w:val="32"/>
          <w:lang w:eastAsia="zh-CN"/>
        </w:rPr>
      </w:pPr>
      <w:r>
        <w:rPr>
          <w:rFonts w:hint="eastAsia" w:ascii="仿宋" w:hAnsi="仿宋" w:eastAsia="仿宋" w:cs="仿宋"/>
          <w:bCs/>
          <w:color w:val="auto"/>
          <w:spacing w:val="-8"/>
          <w:szCs w:val="32"/>
          <w:lang w:eastAsia="zh-CN"/>
        </w:rPr>
        <w:t>本次绩效评价的对象为乐山市金口河区文化广播电视体育和旅游局农业产业推广：第二届非遗特色美食大赛及推广项目。</w:t>
      </w:r>
    </w:p>
    <w:p>
      <w:pPr>
        <w:pageBreakBefore w:val="0"/>
        <w:widowControl w:val="0"/>
        <w:numPr>
          <w:ilvl w:val="0"/>
          <w:numId w:val="6"/>
        </w:numPr>
        <w:kinsoku/>
        <w:wordWrap/>
        <w:overflowPunct/>
        <w:topLinePunct w:val="0"/>
        <w:autoSpaceDE/>
        <w:autoSpaceDN/>
        <w:bidi w:val="0"/>
        <w:adjustRightInd w:val="0"/>
        <w:snapToGrid w:val="0"/>
        <w:ind w:left="0" w:firstLine="640" w:firstLineChars="200"/>
        <w:textAlignment w:val="auto"/>
        <w:outlineLvl w:val="9"/>
        <w:rPr>
          <w:rFonts w:hint="eastAsia" w:ascii="仿宋" w:hAnsi="仿宋" w:eastAsia="仿宋" w:cs="仿宋"/>
          <w:b w:val="0"/>
          <w:bCs/>
          <w:szCs w:val="32"/>
          <w:lang w:eastAsia="zh-CN"/>
        </w:rPr>
      </w:pPr>
      <w:bookmarkStart w:id="151" w:name="_Toc1506002849_WPSOffice_Level2"/>
      <w:bookmarkStart w:id="152" w:name="_Toc5493"/>
      <w:bookmarkStart w:id="153" w:name="_Toc4899"/>
      <w:bookmarkStart w:id="154" w:name="_Toc494619841"/>
      <w:bookmarkStart w:id="155" w:name="_Toc49440114"/>
      <w:bookmarkStart w:id="156" w:name="_Toc199443740"/>
      <w:bookmarkStart w:id="157" w:name="_Toc1724251056"/>
      <w:bookmarkStart w:id="158" w:name="_Toc130033889"/>
      <w:bookmarkStart w:id="159" w:name="_Toc1739484098"/>
      <w:r>
        <w:rPr>
          <w:rFonts w:hint="eastAsia" w:ascii="仿宋" w:hAnsi="仿宋" w:eastAsia="仿宋" w:cs="仿宋"/>
          <w:b w:val="0"/>
          <w:bCs/>
          <w:szCs w:val="32"/>
          <w:lang w:eastAsia="zh-CN"/>
        </w:rPr>
        <w:t>绩效评价的范围</w:t>
      </w:r>
      <w:bookmarkEnd w:id="151"/>
      <w:bookmarkEnd w:id="152"/>
      <w:bookmarkEnd w:id="153"/>
      <w:bookmarkEnd w:id="154"/>
      <w:bookmarkEnd w:id="155"/>
      <w:bookmarkEnd w:id="156"/>
      <w:bookmarkEnd w:id="157"/>
      <w:bookmarkEnd w:id="158"/>
      <w:bookmarkEnd w:id="159"/>
    </w:p>
    <w:p>
      <w:pPr>
        <w:pageBreakBefore w:val="0"/>
        <w:widowControl w:val="0"/>
        <w:kinsoku/>
        <w:wordWrap/>
        <w:overflowPunct/>
        <w:topLinePunct w:val="0"/>
        <w:autoSpaceDE/>
        <w:autoSpaceDN/>
        <w:bidi w:val="0"/>
        <w:adjustRightInd w:val="0"/>
        <w:snapToGrid w:val="0"/>
        <w:ind w:left="0" w:firstLine="608" w:firstLineChars="200"/>
        <w:textAlignment w:val="auto"/>
        <w:outlineLvl w:val="9"/>
        <w:rPr>
          <w:rFonts w:hint="eastAsia" w:ascii="仿宋" w:hAnsi="仿宋" w:eastAsia="仿宋" w:cs="仿宋"/>
          <w:bCs/>
          <w:color w:val="auto"/>
          <w:spacing w:val="-8"/>
          <w:szCs w:val="32"/>
          <w:lang w:eastAsia="zh-CN"/>
        </w:rPr>
      </w:pPr>
      <w:r>
        <w:rPr>
          <w:rFonts w:hint="eastAsia" w:ascii="仿宋" w:hAnsi="仿宋" w:eastAsia="仿宋" w:cs="仿宋"/>
          <w:bCs/>
          <w:color w:val="auto"/>
          <w:spacing w:val="-8"/>
          <w:szCs w:val="32"/>
          <w:lang w:eastAsia="zh-CN"/>
        </w:rPr>
        <w:t>本次绩效评价的范围为农业产业推广：第二届非遗特色美食大赛及推广项目总体绩效目标、各项绩效指标完成情况以及预算执行情况。主要包括：决策情况；资金管理和使用情况；项</w:t>
      </w:r>
      <w:r>
        <w:rPr>
          <w:rFonts w:hint="eastAsia" w:ascii="仿宋" w:hAnsi="仿宋" w:eastAsia="仿宋" w:cs="仿宋"/>
          <w:bCs/>
          <w:color w:val="auto"/>
          <w:spacing w:val="-8"/>
          <w:szCs w:val="32"/>
          <w:highlight w:val="none"/>
          <w:lang w:eastAsia="zh-CN"/>
        </w:rPr>
        <w:t>目实施流程合规性及合同管理和执行规范性；</w:t>
      </w:r>
      <w:r>
        <w:rPr>
          <w:rFonts w:hint="eastAsia" w:ascii="仿宋" w:hAnsi="仿宋" w:eastAsia="仿宋" w:cs="仿宋"/>
          <w:bCs/>
          <w:color w:val="auto"/>
          <w:spacing w:val="-8"/>
          <w:szCs w:val="32"/>
          <w:lang w:eastAsia="zh-CN"/>
        </w:rPr>
        <w:t>实现的产出情况；取得的效益情况以及其他相关内容。</w:t>
      </w:r>
    </w:p>
    <w:p>
      <w:pPr>
        <w:pStyle w:val="3"/>
        <w:numPr>
          <w:ilvl w:val="0"/>
          <w:numId w:val="5"/>
        </w:numPr>
        <w:spacing w:before="0" w:beforeLines="0" w:after="0" w:afterLines="0"/>
        <w:ind w:left="0" w:firstLine="640" w:firstLineChars="0"/>
        <w:rPr>
          <w:rFonts w:hint="eastAsia" w:ascii="楷体" w:hAnsi="楷体" w:eastAsia="楷体" w:cs="楷体"/>
          <w:b w:val="0"/>
          <w:bCs/>
          <w:szCs w:val="32"/>
          <w:lang w:eastAsia="zh-CN"/>
        </w:rPr>
      </w:pPr>
      <w:bookmarkStart w:id="160" w:name="_Toc199443741"/>
      <w:bookmarkStart w:id="161" w:name="_Toc32534"/>
      <w:bookmarkStart w:id="162" w:name="_Toc132480963"/>
      <w:bookmarkStart w:id="163" w:name="_Toc1814348475"/>
      <w:bookmarkStart w:id="164" w:name="_Toc10742"/>
      <w:bookmarkStart w:id="165" w:name="_Toc179658320"/>
      <w:bookmarkStart w:id="166" w:name="_Toc166470150"/>
      <w:bookmarkStart w:id="167" w:name="_Toc2011308256"/>
      <w:bookmarkStart w:id="168" w:name="_Toc1343165574"/>
      <w:r>
        <w:rPr>
          <w:rFonts w:hint="eastAsia" w:ascii="楷体" w:hAnsi="楷体" w:eastAsia="楷体" w:cs="楷体"/>
          <w:b w:val="0"/>
          <w:bCs/>
          <w:szCs w:val="32"/>
          <w:lang w:eastAsia="zh-CN"/>
        </w:rPr>
        <w:t>绩效评价原则、评价指标体系、评价方法、评价标准</w:t>
      </w:r>
      <w:bookmarkEnd w:id="160"/>
      <w:bookmarkEnd w:id="161"/>
      <w:bookmarkEnd w:id="162"/>
      <w:bookmarkEnd w:id="163"/>
      <w:bookmarkEnd w:id="164"/>
      <w:bookmarkEnd w:id="165"/>
      <w:bookmarkEnd w:id="166"/>
      <w:bookmarkEnd w:id="167"/>
      <w:bookmarkEnd w:id="168"/>
    </w:p>
    <w:p>
      <w:pPr>
        <w:pStyle w:val="4"/>
        <w:numPr>
          <w:ilvl w:val="0"/>
          <w:numId w:val="7"/>
        </w:numPr>
        <w:ind w:firstLineChars="0"/>
        <w:rPr>
          <w:rFonts w:hint="eastAsia" w:ascii="仿宋" w:hAnsi="仿宋" w:eastAsia="仿宋" w:cs="仿宋"/>
          <w:b w:val="0"/>
          <w:bCs/>
          <w:szCs w:val="32"/>
        </w:rPr>
      </w:pPr>
      <w:bookmarkStart w:id="169" w:name="_Toc1634515572"/>
      <w:bookmarkStart w:id="170" w:name="_Toc1492000300_WPSOffice_Level3"/>
      <w:bookmarkStart w:id="171" w:name="_Toc13724"/>
      <w:bookmarkStart w:id="172" w:name="_Toc199443742"/>
      <w:bookmarkStart w:id="173" w:name="_Toc517771165"/>
      <w:bookmarkStart w:id="174" w:name="_Toc1840102656"/>
      <w:bookmarkStart w:id="175" w:name="_Toc130033891"/>
      <w:bookmarkStart w:id="176" w:name="_Toc29575"/>
      <w:bookmarkStart w:id="177" w:name="_Toc235704954"/>
      <w:r>
        <w:rPr>
          <w:rFonts w:hint="eastAsia" w:ascii="仿宋" w:hAnsi="仿宋" w:eastAsia="仿宋" w:cs="仿宋"/>
          <w:b w:val="0"/>
          <w:bCs/>
          <w:szCs w:val="32"/>
        </w:rPr>
        <w:t>绩效评价的原则</w:t>
      </w:r>
      <w:bookmarkEnd w:id="169"/>
      <w:bookmarkEnd w:id="170"/>
      <w:bookmarkEnd w:id="171"/>
      <w:bookmarkEnd w:id="172"/>
      <w:bookmarkEnd w:id="173"/>
      <w:bookmarkEnd w:id="174"/>
      <w:bookmarkEnd w:id="175"/>
      <w:bookmarkEnd w:id="176"/>
      <w:bookmarkEnd w:id="177"/>
    </w:p>
    <w:p>
      <w:pPr>
        <w:pStyle w:val="56"/>
        <w:numPr>
          <w:ilvl w:val="0"/>
          <w:numId w:val="8"/>
        </w:numPr>
        <w:tabs>
          <w:tab w:val="left" w:pos="0"/>
          <w:tab w:val="left" w:pos="1418"/>
        </w:tabs>
        <w:ind w:left="0" w:firstLine="566" w:firstLineChars="177"/>
        <w:rPr>
          <w:rFonts w:hint="eastAsia" w:ascii="仿宋" w:hAnsi="仿宋" w:eastAsia="仿宋" w:cs="仿宋"/>
          <w:bCs/>
          <w:szCs w:val="32"/>
          <w:lang w:eastAsia="zh-CN"/>
        </w:rPr>
      </w:pPr>
      <w:r>
        <w:rPr>
          <w:rFonts w:hint="eastAsia" w:ascii="仿宋" w:hAnsi="仿宋" w:eastAsia="仿宋" w:cs="仿宋"/>
          <w:bCs/>
          <w:szCs w:val="32"/>
          <w:lang w:eastAsia="zh-CN"/>
        </w:rPr>
        <w:t>科学规范原则。绩效评价应当严格执行规定的程序，</w:t>
      </w:r>
      <w:bookmarkStart w:id="178" w:name="_bookmark11"/>
      <w:bookmarkEnd w:id="178"/>
      <w:bookmarkStart w:id="179" w:name="_bookmark12"/>
      <w:bookmarkEnd w:id="179"/>
      <w:r>
        <w:rPr>
          <w:rFonts w:hint="eastAsia" w:ascii="仿宋" w:hAnsi="仿宋" w:eastAsia="仿宋" w:cs="仿宋"/>
          <w:bCs/>
          <w:spacing w:val="1"/>
          <w:szCs w:val="32"/>
          <w:lang w:eastAsia="zh-CN"/>
        </w:rPr>
        <w:t>按科学可行的要求，采用定量</w:t>
      </w:r>
      <w:r>
        <w:rPr>
          <w:rFonts w:hint="eastAsia" w:ascii="仿宋" w:hAnsi="仿宋" w:eastAsia="仿宋" w:cs="仿宋"/>
          <w:bCs/>
          <w:szCs w:val="32"/>
          <w:lang w:eastAsia="zh-CN"/>
        </w:rPr>
        <w:t>与定性分析相结合的方法。</w:t>
      </w:r>
    </w:p>
    <w:p>
      <w:pPr>
        <w:pStyle w:val="56"/>
        <w:numPr>
          <w:ilvl w:val="0"/>
          <w:numId w:val="8"/>
        </w:numPr>
        <w:tabs>
          <w:tab w:val="left" w:pos="0"/>
          <w:tab w:val="left" w:pos="1418"/>
        </w:tabs>
        <w:ind w:left="0" w:firstLine="566" w:firstLineChars="177"/>
        <w:rPr>
          <w:rFonts w:hint="eastAsia" w:ascii="仿宋" w:hAnsi="仿宋" w:eastAsia="仿宋" w:cs="仿宋"/>
          <w:bCs/>
          <w:szCs w:val="32"/>
          <w:lang w:eastAsia="zh-CN"/>
        </w:rPr>
      </w:pPr>
      <w:r>
        <w:rPr>
          <w:rFonts w:hint="eastAsia" w:ascii="仿宋" w:hAnsi="仿宋" w:eastAsia="仿宋" w:cs="仿宋"/>
          <w:bCs/>
          <w:szCs w:val="32"/>
          <w:lang w:eastAsia="zh-CN"/>
        </w:rPr>
        <w:t>公正公开原则。绩效评价应当符合真实、客观、公正</w:t>
      </w:r>
      <w:r>
        <w:rPr>
          <w:rFonts w:hint="eastAsia" w:ascii="仿宋" w:hAnsi="仿宋" w:eastAsia="仿宋" w:cs="仿宋"/>
          <w:bCs/>
          <w:spacing w:val="-2"/>
          <w:szCs w:val="32"/>
          <w:lang w:eastAsia="zh-CN"/>
        </w:rPr>
        <w:t>的要求，依法公开并接</w:t>
      </w:r>
      <w:r>
        <w:rPr>
          <w:rFonts w:hint="eastAsia" w:ascii="仿宋" w:hAnsi="仿宋" w:eastAsia="仿宋" w:cs="仿宋"/>
          <w:bCs/>
          <w:spacing w:val="-1"/>
          <w:szCs w:val="32"/>
          <w:lang w:eastAsia="zh-CN"/>
        </w:rPr>
        <w:t>受监督。</w:t>
      </w:r>
    </w:p>
    <w:p>
      <w:pPr>
        <w:pStyle w:val="56"/>
        <w:numPr>
          <w:ilvl w:val="0"/>
          <w:numId w:val="8"/>
        </w:numPr>
        <w:tabs>
          <w:tab w:val="left" w:pos="0"/>
          <w:tab w:val="left" w:pos="1418"/>
        </w:tabs>
        <w:ind w:left="0" w:firstLine="566" w:firstLineChars="177"/>
        <w:rPr>
          <w:rFonts w:hint="eastAsia" w:ascii="仿宋" w:hAnsi="仿宋" w:eastAsia="仿宋" w:cs="仿宋"/>
          <w:bCs/>
          <w:szCs w:val="32"/>
          <w:lang w:eastAsia="zh-CN"/>
        </w:rPr>
      </w:pPr>
      <w:r>
        <w:rPr>
          <w:rFonts w:hint="eastAsia" w:ascii="仿宋" w:hAnsi="仿宋" w:eastAsia="仿宋" w:cs="仿宋"/>
          <w:bCs/>
          <w:szCs w:val="32"/>
          <w:lang w:eastAsia="zh-CN"/>
        </w:rPr>
        <w:t>分级分类原则。绩效评价</w:t>
      </w:r>
      <w:r>
        <w:rPr>
          <w:rFonts w:hint="eastAsia" w:ascii="仿宋" w:hAnsi="仿宋" w:eastAsia="仿宋" w:cs="仿宋"/>
          <w:bCs/>
          <w:spacing w:val="8"/>
          <w:szCs w:val="32"/>
          <w:lang w:eastAsia="zh-CN"/>
        </w:rPr>
        <w:t>根据评价对象的特点分类组织实</w:t>
      </w:r>
      <w:r>
        <w:rPr>
          <w:rFonts w:hint="eastAsia" w:ascii="仿宋" w:hAnsi="仿宋" w:eastAsia="仿宋" w:cs="仿宋"/>
          <w:bCs/>
          <w:spacing w:val="5"/>
          <w:szCs w:val="32"/>
          <w:lang w:eastAsia="zh-CN"/>
        </w:rPr>
        <w:t>施。</w:t>
      </w:r>
    </w:p>
    <w:p>
      <w:pPr>
        <w:pStyle w:val="56"/>
        <w:numPr>
          <w:ilvl w:val="0"/>
          <w:numId w:val="8"/>
        </w:numPr>
        <w:tabs>
          <w:tab w:val="left" w:pos="0"/>
          <w:tab w:val="left" w:pos="1418"/>
        </w:tabs>
        <w:ind w:left="0" w:firstLine="566" w:firstLineChars="177"/>
        <w:rPr>
          <w:rFonts w:hint="eastAsia" w:ascii="仿宋" w:hAnsi="仿宋" w:eastAsia="仿宋" w:cs="仿宋"/>
          <w:b w:val="0"/>
          <w:bCs/>
          <w:szCs w:val="32"/>
          <w:lang w:eastAsia="zh-CN"/>
        </w:rPr>
      </w:pPr>
      <w:r>
        <w:rPr>
          <w:rFonts w:hint="eastAsia" w:ascii="仿宋" w:hAnsi="仿宋" w:eastAsia="仿宋" w:cs="仿宋"/>
          <w:bCs/>
          <w:szCs w:val="32"/>
          <w:lang w:eastAsia="zh-CN"/>
        </w:rPr>
        <w:t>绩效相关原则。绩效评价应当针对具体支出及其产出</w:t>
      </w:r>
      <w:r>
        <w:rPr>
          <w:rFonts w:hint="eastAsia" w:ascii="仿宋" w:hAnsi="仿宋" w:eastAsia="仿宋" w:cs="仿宋"/>
          <w:bCs/>
          <w:spacing w:val="-6"/>
          <w:szCs w:val="32"/>
          <w:lang w:eastAsia="zh-CN"/>
        </w:rPr>
        <w:t>绩效进行，评</w:t>
      </w:r>
      <w:r>
        <w:rPr>
          <w:rFonts w:hint="eastAsia" w:ascii="仿宋" w:hAnsi="仿宋" w:eastAsia="仿宋" w:cs="仿宋"/>
          <w:bCs/>
          <w:spacing w:val="-5"/>
          <w:szCs w:val="32"/>
          <w:lang w:eastAsia="zh-CN"/>
        </w:rPr>
        <w:t>价</w:t>
      </w:r>
      <w:r>
        <w:rPr>
          <w:rFonts w:hint="eastAsia" w:ascii="仿宋" w:hAnsi="仿宋" w:eastAsia="仿宋" w:cs="仿宋"/>
          <w:bCs/>
          <w:spacing w:val="-3"/>
          <w:szCs w:val="32"/>
          <w:lang w:eastAsia="zh-CN"/>
        </w:rPr>
        <w:t>结果应当清晰反映支出和产出绩效之间的紧密对</w:t>
      </w:r>
      <w:r>
        <w:rPr>
          <w:rFonts w:hint="eastAsia" w:ascii="仿宋" w:hAnsi="仿宋" w:eastAsia="仿宋" w:cs="仿宋"/>
          <w:bCs/>
          <w:spacing w:val="-7"/>
          <w:szCs w:val="32"/>
          <w:lang w:eastAsia="zh-CN"/>
        </w:rPr>
        <w:t>应</w:t>
      </w:r>
      <w:r>
        <w:rPr>
          <w:rFonts w:hint="eastAsia" w:ascii="仿宋" w:hAnsi="仿宋" w:eastAsia="仿宋" w:cs="仿宋"/>
          <w:bCs/>
          <w:spacing w:val="-5"/>
          <w:szCs w:val="32"/>
          <w:lang w:eastAsia="zh-CN"/>
        </w:rPr>
        <w:t>关系。</w:t>
      </w:r>
      <w:bookmarkStart w:id="180" w:name="_Toc130033892"/>
      <w:bookmarkStart w:id="181" w:name="_Toc199443743"/>
      <w:bookmarkStart w:id="182" w:name="_Toc11329"/>
      <w:bookmarkStart w:id="183" w:name="_Toc693338945"/>
      <w:bookmarkStart w:id="184" w:name="_Toc6461"/>
      <w:bookmarkStart w:id="185" w:name="_Toc576232511"/>
      <w:bookmarkStart w:id="186" w:name="_Toc2029979728_WPSOffice_Level3"/>
      <w:bookmarkStart w:id="187" w:name="_Toc1533316810"/>
      <w:bookmarkStart w:id="188" w:name="_Toc692406180"/>
    </w:p>
    <w:p>
      <w:pPr>
        <w:pStyle w:val="56"/>
        <w:numPr>
          <w:numId w:val="0"/>
        </w:numPr>
        <w:tabs>
          <w:tab w:val="left" w:pos="0"/>
          <w:tab w:val="left" w:pos="1418"/>
        </w:tabs>
        <w:ind w:leftChars="177"/>
        <w:rPr>
          <w:rFonts w:hint="eastAsia" w:ascii="仿宋" w:hAnsi="仿宋" w:eastAsia="仿宋" w:cs="仿宋"/>
          <w:b w:val="0"/>
          <w:bCs/>
          <w:szCs w:val="32"/>
          <w:lang w:eastAsia="zh-CN"/>
        </w:rPr>
      </w:pPr>
      <w:r>
        <w:rPr>
          <w:rFonts w:hint="eastAsia" w:ascii="仿宋" w:hAnsi="仿宋" w:eastAsia="仿宋" w:cs="仿宋"/>
          <w:b w:val="0"/>
          <w:bCs/>
          <w:szCs w:val="32"/>
          <w:lang w:val="en-US" w:eastAsia="zh-CN"/>
        </w:rPr>
        <w:t>2.</w:t>
      </w:r>
      <w:r>
        <w:rPr>
          <w:rFonts w:hint="eastAsia" w:ascii="仿宋" w:hAnsi="仿宋" w:eastAsia="仿宋" w:cs="仿宋"/>
          <w:b w:val="0"/>
          <w:bCs/>
          <w:szCs w:val="32"/>
          <w:lang w:eastAsia="zh-CN"/>
        </w:rPr>
        <w:t>评价依据</w:t>
      </w:r>
      <w:bookmarkEnd w:id="180"/>
      <w:bookmarkEnd w:id="181"/>
      <w:bookmarkEnd w:id="182"/>
    </w:p>
    <w:p>
      <w:pPr>
        <w:pStyle w:val="56"/>
        <w:numPr>
          <w:ilvl w:val="0"/>
          <w:numId w:val="9"/>
        </w:numPr>
        <w:tabs>
          <w:tab w:val="left" w:pos="0"/>
        </w:tabs>
        <w:ind w:left="0" w:firstLine="566" w:firstLineChars="177"/>
        <w:rPr>
          <w:rFonts w:hint="eastAsia" w:ascii="仿宋" w:hAnsi="仿宋" w:eastAsia="仿宋" w:cs="仿宋"/>
          <w:bCs/>
          <w:spacing w:val="8"/>
          <w:szCs w:val="32"/>
          <w:lang w:eastAsia="zh-CN"/>
        </w:rPr>
      </w:pPr>
      <w:bookmarkStart w:id="189" w:name="_Hlk179743314"/>
      <w:r>
        <w:rPr>
          <w:rFonts w:hint="eastAsia" w:ascii="仿宋" w:hAnsi="仿宋" w:eastAsia="仿宋" w:cs="仿宋"/>
          <w:bCs/>
          <w:szCs w:val="32"/>
          <w:lang w:val="zh-CN" w:eastAsia="zh-CN"/>
        </w:rPr>
        <w:t>《</w:t>
      </w:r>
      <w:r>
        <w:rPr>
          <w:rFonts w:hint="eastAsia" w:ascii="仿宋" w:hAnsi="仿宋" w:eastAsia="仿宋" w:cs="仿宋"/>
          <w:bCs/>
          <w:spacing w:val="8"/>
          <w:szCs w:val="32"/>
          <w:lang w:eastAsia="zh-CN"/>
        </w:rPr>
        <w:t>中共中央国务院关于全面实施预算绩效管理的意见》（中发〔2018〕34号）；</w:t>
      </w:r>
    </w:p>
    <w:bookmarkEnd w:id="189"/>
    <w:p>
      <w:pPr>
        <w:pStyle w:val="56"/>
        <w:numPr>
          <w:ilvl w:val="0"/>
          <w:numId w:val="9"/>
        </w:numPr>
        <w:tabs>
          <w:tab w:val="left" w:pos="0"/>
        </w:tabs>
        <w:ind w:left="0" w:firstLine="594" w:firstLineChars="177"/>
        <w:rPr>
          <w:rFonts w:hint="eastAsia" w:ascii="仿宋" w:hAnsi="仿宋" w:eastAsia="仿宋" w:cs="仿宋"/>
          <w:bCs/>
          <w:spacing w:val="8"/>
          <w:szCs w:val="32"/>
          <w:lang w:eastAsia="zh-CN"/>
        </w:rPr>
      </w:pPr>
      <w:r>
        <w:rPr>
          <w:rFonts w:hint="eastAsia" w:ascii="仿宋" w:hAnsi="仿宋" w:eastAsia="仿宋" w:cs="仿宋"/>
          <w:bCs/>
          <w:spacing w:val="8"/>
          <w:szCs w:val="32"/>
          <w:lang w:eastAsia="zh-CN"/>
        </w:rPr>
        <w:t>《财政部关于印发政府采购需求管理办法的通知》（财库〔2021〕22号）；</w:t>
      </w:r>
    </w:p>
    <w:p>
      <w:pPr>
        <w:pStyle w:val="56"/>
        <w:numPr>
          <w:ilvl w:val="0"/>
          <w:numId w:val="9"/>
        </w:numPr>
        <w:tabs>
          <w:tab w:val="left" w:pos="0"/>
        </w:tabs>
        <w:ind w:left="0" w:firstLine="594" w:firstLineChars="177"/>
        <w:rPr>
          <w:rFonts w:hint="eastAsia" w:ascii="仿宋" w:hAnsi="仿宋" w:eastAsia="仿宋" w:cs="仿宋"/>
          <w:bCs/>
          <w:spacing w:val="8"/>
          <w:szCs w:val="32"/>
          <w:lang w:eastAsia="zh-CN"/>
        </w:rPr>
      </w:pPr>
      <w:bookmarkStart w:id="190" w:name="_Hlk179743366"/>
      <w:r>
        <w:rPr>
          <w:rFonts w:hint="eastAsia" w:ascii="仿宋" w:hAnsi="仿宋" w:eastAsia="仿宋" w:cs="仿宋"/>
          <w:bCs/>
          <w:spacing w:val="8"/>
          <w:szCs w:val="32"/>
          <w:lang w:eastAsia="zh-CN"/>
        </w:rPr>
        <w:t>《中共四川省委四川省人民政府关于全面实施预算绩效管理的实施意见》（川委发〔2019〕8号）；</w:t>
      </w:r>
    </w:p>
    <w:bookmarkEnd w:id="190"/>
    <w:p>
      <w:pPr>
        <w:pStyle w:val="56"/>
        <w:numPr>
          <w:ilvl w:val="0"/>
          <w:numId w:val="9"/>
        </w:numPr>
        <w:tabs>
          <w:tab w:val="left" w:pos="0"/>
        </w:tabs>
        <w:ind w:left="0" w:firstLine="594" w:firstLineChars="177"/>
        <w:rPr>
          <w:rFonts w:hint="eastAsia" w:ascii="仿宋" w:hAnsi="仿宋" w:eastAsia="仿宋" w:cs="仿宋"/>
          <w:bCs/>
          <w:spacing w:val="8"/>
          <w:szCs w:val="32"/>
          <w:lang w:eastAsia="zh-CN"/>
        </w:rPr>
      </w:pPr>
      <w:bookmarkStart w:id="191" w:name="_Hlk179743400"/>
      <w:r>
        <w:rPr>
          <w:rFonts w:hint="eastAsia" w:ascii="仿宋" w:hAnsi="仿宋" w:eastAsia="仿宋" w:cs="仿宋"/>
          <w:bCs/>
          <w:spacing w:val="8"/>
          <w:szCs w:val="32"/>
          <w:lang w:eastAsia="zh-CN"/>
        </w:rPr>
        <w:t>《中共乐山市委办公室乐山市人民政府办公室&lt;关于印发全面实施预算绩效管理实施方案&gt;的通知》（乐委办发〔2020〕12号）；</w:t>
      </w:r>
    </w:p>
    <w:bookmarkEnd w:id="191"/>
    <w:p>
      <w:pPr>
        <w:pStyle w:val="56"/>
        <w:numPr>
          <w:ilvl w:val="0"/>
          <w:numId w:val="9"/>
        </w:numPr>
        <w:tabs>
          <w:tab w:val="left" w:pos="0"/>
        </w:tabs>
        <w:ind w:left="0" w:firstLine="594" w:firstLineChars="177"/>
        <w:rPr>
          <w:rFonts w:hint="eastAsia" w:ascii="仿宋" w:hAnsi="仿宋" w:eastAsia="仿宋" w:cs="仿宋"/>
          <w:bCs/>
          <w:spacing w:val="8"/>
          <w:szCs w:val="32"/>
          <w:lang w:val="en-US" w:eastAsia="zh-CN"/>
        </w:rPr>
      </w:pPr>
      <w:r>
        <w:rPr>
          <w:rFonts w:hint="eastAsia" w:ascii="仿宋" w:hAnsi="仿宋" w:eastAsia="仿宋" w:cs="仿宋"/>
          <w:bCs/>
          <w:spacing w:val="8"/>
          <w:szCs w:val="32"/>
          <w:lang w:val="en-US" w:eastAsia="zh-CN"/>
        </w:rPr>
        <w:t>乐山市沙湾区财政局、乐山市金口河区财政局《关于印发&lt;乐山市沙湾区先发带后发结对帮扶资金共同管理办法&gt;的通知》(乐沙财政</w:t>
      </w:r>
      <w:r>
        <w:rPr>
          <w:rFonts w:hint="eastAsia" w:ascii="仿宋" w:hAnsi="仿宋" w:eastAsia="仿宋" w:cs="仿宋"/>
          <w:bCs/>
          <w:spacing w:val="8"/>
          <w:szCs w:val="32"/>
          <w:lang w:eastAsia="zh-CN"/>
        </w:rPr>
        <w:t>〔202</w:t>
      </w:r>
      <w:r>
        <w:rPr>
          <w:rFonts w:hint="eastAsia" w:ascii="仿宋" w:hAnsi="仿宋" w:eastAsia="仿宋" w:cs="仿宋"/>
          <w:bCs/>
          <w:spacing w:val="8"/>
          <w:szCs w:val="32"/>
          <w:lang w:val="en-US" w:eastAsia="zh-CN"/>
        </w:rPr>
        <w:t>3</w:t>
      </w:r>
      <w:r>
        <w:rPr>
          <w:rFonts w:hint="eastAsia" w:ascii="仿宋" w:hAnsi="仿宋" w:eastAsia="仿宋" w:cs="仿宋"/>
          <w:bCs/>
          <w:spacing w:val="8"/>
          <w:szCs w:val="32"/>
          <w:lang w:eastAsia="zh-CN"/>
        </w:rPr>
        <w:t>〕</w:t>
      </w:r>
      <w:r>
        <w:rPr>
          <w:rFonts w:hint="eastAsia" w:ascii="仿宋" w:hAnsi="仿宋" w:eastAsia="仿宋" w:cs="仿宋"/>
          <w:bCs/>
          <w:spacing w:val="8"/>
          <w:szCs w:val="32"/>
          <w:lang w:val="en-US" w:eastAsia="zh-CN"/>
        </w:rPr>
        <w:t>6号)；</w:t>
      </w:r>
    </w:p>
    <w:p>
      <w:pPr>
        <w:pStyle w:val="56"/>
        <w:numPr>
          <w:ilvl w:val="0"/>
          <w:numId w:val="9"/>
        </w:numPr>
        <w:tabs>
          <w:tab w:val="left" w:pos="0"/>
        </w:tabs>
        <w:ind w:left="0" w:firstLine="594" w:firstLineChars="177"/>
        <w:rPr>
          <w:rFonts w:hint="eastAsia" w:ascii="仿宋" w:hAnsi="仿宋" w:eastAsia="仿宋" w:cs="仿宋"/>
          <w:bCs/>
          <w:spacing w:val="8"/>
          <w:szCs w:val="32"/>
          <w:lang w:eastAsia="zh-CN"/>
        </w:rPr>
      </w:pPr>
      <w:r>
        <w:rPr>
          <w:rFonts w:hint="eastAsia" w:ascii="仿宋" w:hAnsi="仿宋" w:eastAsia="仿宋" w:cs="仿宋"/>
          <w:bCs/>
          <w:spacing w:val="8"/>
          <w:szCs w:val="32"/>
          <w:lang w:val="en-US" w:eastAsia="zh-CN"/>
        </w:rPr>
        <w:t>沙湾区乡村振兴局、金口河区乡村振兴局《关于印发&lt;乐山沙湾区先发带后发结对帮扶金口河区项目管理办法&gt;的通知》(乐沙乡振</w:t>
      </w:r>
      <w:r>
        <w:rPr>
          <w:rFonts w:hint="eastAsia" w:ascii="仿宋" w:hAnsi="仿宋" w:eastAsia="仿宋" w:cs="仿宋"/>
          <w:bCs/>
          <w:spacing w:val="8"/>
          <w:szCs w:val="32"/>
          <w:lang w:eastAsia="zh-CN"/>
        </w:rPr>
        <w:t>〔202</w:t>
      </w:r>
      <w:r>
        <w:rPr>
          <w:rFonts w:hint="eastAsia" w:ascii="仿宋" w:hAnsi="仿宋" w:eastAsia="仿宋" w:cs="仿宋"/>
          <w:bCs/>
          <w:spacing w:val="8"/>
          <w:szCs w:val="32"/>
          <w:lang w:val="en-US" w:eastAsia="zh-CN"/>
        </w:rPr>
        <w:t>3</w:t>
      </w:r>
      <w:r>
        <w:rPr>
          <w:rFonts w:hint="eastAsia" w:ascii="仿宋" w:hAnsi="仿宋" w:eastAsia="仿宋" w:cs="仿宋"/>
          <w:bCs/>
          <w:spacing w:val="8"/>
          <w:szCs w:val="32"/>
          <w:lang w:eastAsia="zh-CN"/>
        </w:rPr>
        <w:t>〕</w:t>
      </w:r>
      <w:r>
        <w:rPr>
          <w:rFonts w:hint="eastAsia" w:ascii="仿宋" w:hAnsi="仿宋" w:eastAsia="仿宋" w:cs="仿宋"/>
          <w:bCs/>
          <w:spacing w:val="8"/>
          <w:szCs w:val="32"/>
          <w:lang w:val="en-US" w:eastAsia="zh-CN"/>
        </w:rPr>
        <w:t>17号)；</w:t>
      </w:r>
    </w:p>
    <w:p>
      <w:pPr>
        <w:pStyle w:val="56"/>
        <w:numPr>
          <w:ilvl w:val="0"/>
          <w:numId w:val="9"/>
        </w:numPr>
        <w:tabs>
          <w:tab w:val="left" w:pos="0"/>
        </w:tabs>
        <w:ind w:left="0" w:firstLine="594" w:firstLineChars="177"/>
        <w:rPr>
          <w:rFonts w:hint="eastAsia" w:ascii="仿宋" w:hAnsi="仿宋" w:eastAsia="仿宋" w:cs="仿宋"/>
          <w:bCs/>
          <w:spacing w:val="8"/>
          <w:szCs w:val="32"/>
          <w:lang w:eastAsia="zh-CN"/>
        </w:rPr>
      </w:pPr>
      <w:r>
        <w:rPr>
          <w:rFonts w:hint="eastAsia" w:ascii="仿宋" w:hAnsi="仿宋" w:eastAsia="仿宋" w:cs="仿宋"/>
          <w:bCs/>
          <w:spacing w:val="8"/>
          <w:szCs w:val="32"/>
          <w:lang w:eastAsia="zh-CN"/>
        </w:rPr>
        <w:t>《</w:t>
      </w:r>
      <w:r>
        <w:rPr>
          <w:rFonts w:hint="eastAsia" w:ascii="仿宋" w:hAnsi="仿宋" w:eastAsia="仿宋" w:cs="仿宋"/>
          <w:bCs/>
          <w:spacing w:val="8"/>
          <w:szCs w:val="32"/>
          <w:lang w:val="en-US" w:eastAsia="zh-CN"/>
        </w:rPr>
        <w:t>乐</w:t>
      </w:r>
      <w:r>
        <w:rPr>
          <w:rFonts w:hint="eastAsia" w:ascii="仿宋" w:hAnsi="仿宋" w:eastAsia="仿宋" w:cs="仿宋"/>
          <w:bCs/>
          <w:spacing w:val="8"/>
          <w:szCs w:val="32"/>
          <w:lang w:eastAsia="zh-CN"/>
        </w:rPr>
        <w:t>山市金口河区文化体育和旅游局关于申报2024年沙湾区结对帮扶金口河区发展项目的请示》（</w:t>
      </w:r>
      <w:r>
        <w:rPr>
          <w:rFonts w:hint="eastAsia" w:ascii="仿宋" w:hAnsi="仿宋" w:eastAsia="仿宋" w:cs="仿宋"/>
          <w:bCs/>
          <w:spacing w:val="8"/>
          <w:szCs w:val="32"/>
          <w:lang w:val="en-US" w:eastAsia="zh-CN"/>
        </w:rPr>
        <w:t>金文体旅</w:t>
      </w:r>
      <w:r>
        <w:rPr>
          <w:rFonts w:hint="eastAsia" w:ascii="仿宋" w:hAnsi="仿宋" w:eastAsia="仿宋" w:cs="仿宋"/>
          <w:bCs/>
          <w:spacing w:val="8"/>
          <w:szCs w:val="32"/>
          <w:lang w:eastAsia="zh-CN"/>
        </w:rPr>
        <w:t>〔202</w:t>
      </w:r>
      <w:r>
        <w:rPr>
          <w:rFonts w:hint="eastAsia" w:ascii="仿宋" w:hAnsi="仿宋" w:eastAsia="仿宋" w:cs="仿宋"/>
          <w:bCs/>
          <w:spacing w:val="8"/>
          <w:szCs w:val="32"/>
          <w:lang w:val="en-US" w:eastAsia="zh-CN"/>
        </w:rPr>
        <w:t>4</w:t>
      </w:r>
      <w:r>
        <w:rPr>
          <w:rFonts w:hint="eastAsia" w:ascii="仿宋" w:hAnsi="仿宋" w:eastAsia="仿宋" w:cs="仿宋"/>
          <w:bCs/>
          <w:spacing w:val="8"/>
          <w:szCs w:val="32"/>
          <w:lang w:eastAsia="zh-CN"/>
        </w:rPr>
        <w:t>〕</w:t>
      </w:r>
      <w:r>
        <w:rPr>
          <w:rFonts w:hint="eastAsia" w:ascii="仿宋" w:hAnsi="仿宋" w:eastAsia="仿宋" w:cs="仿宋"/>
          <w:bCs/>
          <w:spacing w:val="8"/>
          <w:szCs w:val="32"/>
          <w:lang w:val="en-US" w:eastAsia="zh-CN"/>
        </w:rPr>
        <w:t>7</w:t>
      </w:r>
      <w:r>
        <w:rPr>
          <w:rFonts w:hint="eastAsia" w:ascii="仿宋" w:hAnsi="仿宋" w:eastAsia="仿宋" w:cs="仿宋"/>
          <w:bCs/>
          <w:spacing w:val="8"/>
          <w:szCs w:val="32"/>
          <w:lang w:eastAsia="zh-CN"/>
        </w:rPr>
        <w:t>号）；</w:t>
      </w:r>
    </w:p>
    <w:p>
      <w:pPr>
        <w:pStyle w:val="56"/>
        <w:numPr>
          <w:ilvl w:val="0"/>
          <w:numId w:val="9"/>
        </w:numPr>
        <w:tabs>
          <w:tab w:val="left" w:pos="0"/>
        </w:tabs>
        <w:ind w:left="0" w:firstLine="594" w:firstLineChars="177"/>
        <w:rPr>
          <w:rFonts w:hint="eastAsia" w:ascii="仿宋" w:hAnsi="仿宋" w:eastAsia="仿宋" w:cs="仿宋"/>
          <w:bCs/>
          <w:spacing w:val="8"/>
          <w:szCs w:val="32"/>
          <w:lang w:eastAsia="zh-CN"/>
        </w:rPr>
      </w:pPr>
      <w:r>
        <w:rPr>
          <w:rFonts w:hint="eastAsia" w:ascii="仿宋" w:hAnsi="仿宋" w:eastAsia="仿宋" w:cs="仿宋"/>
          <w:bCs/>
          <w:spacing w:val="8"/>
          <w:szCs w:val="32"/>
          <w:lang w:eastAsia="zh-CN"/>
        </w:rPr>
        <w:t>《</w:t>
      </w:r>
      <w:r>
        <w:rPr>
          <w:rFonts w:hint="eastAsia" w:ascii="仿宋" w:hAnsi="仿宋" w:eastAsia="仿宋" w:cs="仿宋"/>
          <w:bCs/>
          <w:spacing w:val="8"/>
          <w:szCs w:val="32"/>
          <w:lang w:val="en-US" w:eastAsia="zh-CN"/>
        </w:rPr>
        <w:t>乐</w:t>
      </w:r>
      <w:r>
        <w:rPr>
          <w:rFonts w:hint="eastAsia" w:ascii="仿宋" w:hAnsi="仿宋" w:eastAsia="仿宋" w:cs="仿宋"/>
          <w:bCs/>
          <w:spacing w:val="8"/>
          <w:szCs w:val="32"/>
          <w:lang w:eastAsia="zh-CN"/>
        </w:rPr>
        <w:t>山市沙湾区先发带后发结对帮扶金口河区工作队关于</w:t>
      </w:r>
      <w:r>
        <w:rPr>
          <w:rFonts w:hint="eastAsia" w:ascii="仿宋" w:hAnsi="仿宋" w:eastAsia="仿宋" w:cs="仿宋"/>
          <w:bCs/>
          <w:spacing w:val="8"/>
          <w:szCs w:val="32"/>
          <w:lang w:val="en-US" w:eastAsia="zh-CN"/>
        </w:rPr>
        <w:t>&lt;</w:t>
      </w:r>
      <w:r>
        <w:rPr>
          <w:rFonts w:hint="eastAsia" w:ascii="仿宋" w:hAnsi="仿宋" w:eastAsia="仿宋" w:cs="仿宋"/>
          <w:bCs/>
          <w:spacing w:val="8"/>
          <w:szCs w:val="32"/>
          <w:lang w:eastAsia="zh-CN"/>
        </w:rPr>
        <w:t>关于申报2024年沙湾区结对帮扶金口河区发展项目的请示</w:t>
      </w:r>
      <w:r>
        <w:rPr>
          <w:rFonts w:hint="eastAsia" w:ascii="仿宋" w:hAnsi="仿宋" w:eastAsia="仿宋" w:cs="仿宋"/>
          <w:bCs/>
          <w:spacing w:val="8"/>
          <w:szCs w:val="32"/>
          <w:lang w:val="en-US" w:eastAsia="zh-CN"/>
        </w:rPr>
        <w:t>&gt;</w:t>
      </w:r>
      <w:r>
        <w:rPr>
          <w:rFonts w:hint="eastAsia" w:ascii="仿宋" w:hAnsi="仿宋" w:eastAsia="仿宋" w:cs="仿宋"/>
          <w:bCs/>
          <w:spacing w:val="8"/>
          <w:szCs w:val="32"/>
          <w:lang w:eastAsia="zh-CN"/>
        </w:rPr>
        <w:t>的批复》（</w:t>
      </w:r>
      <w:r>
        <w:rPr>
          <w:rFonts w:hint="eastAsia" w:ascii="仿宋" w:hAnsi="仿宋" w:eastAsia="仿宋" w:cs="仿宋"/>
          <w:bCs/>
          <w:spacing w:val="8"/>
          <w:szCs w:val="32"/>
          <w:lang w:val="en-US" w:eastAsia="zh-CN"/>
        </w:rPr>
        <w:t>乐沙扶复</w:t>
      </w:r>
      <w:r>
        <w:rPr>
          <w:rFonts w:hint="eastAsia" w:ascii="仿宋" w:hAnsi="仿宋" w:eastAsia="仿宋" w:cs="仿宋"/>
          <w:bCs/>
          <w:spacing w:val="8"/>
          <w:szCs w:val="32"/>
          <w:lang w:eastAsia="zh-CN"/>
        </w:rPr>
        <w:t>〔202</w:t>
      </w:r>
      <w:r>
        <w:rPr>
          <w:rFonts w:hint="eastAsia" w:ascii="仿宋" w:hAnsi="仿宋" w:eastAsia="仿宋" w:cs="仿宋"/>
          <w:bCs/>
          <w:spacing w:val="8"/>
          <w:szCs w:val="32"/>
          <w:lang w:val="en-US" w:eastAsia="zh-CN"/>
        </w:rPr>
        <w:t>4</w:t>
      </w:r>
      <w:r>
        <w:rPr>
          <w:rFonts w:hint="eastAsia" w:ascii="仿宋" w:hAnsi="仿宋" w:eastAsia="仿宋" w:cs="仿宋"/>
          <w:bCs/>
          <w:spacing w:val="8"/>
          <w:szCs w:val="32"/>
          <w:lang w:eastAsia="zh-CN"/>
        </w:rPr>
        <w:t>〕</w:t>
      </w:r>
      <w:r>
        <w:rPr>
          <w:rFonts w:hint="eastAsia" w:ascii="仿宋" w:hAnsi="仿宋" w:eastAsia="仿宋" w:cs="仿宋"/>
          <w:bCs/>
          <w:spacing w:val="8"/>
          <w:szCs w:val="32"/>
          <w:lang w:val="en-US" w:eastAsia="zh-CN"/>
        </w:rPr>
        <w:t>6</w:t>
      </w:r>
      <w:r>
        <w:rPr>
          <w:rFonts w:hint="eastAsia" w:ascii="仿宋" w:hAnsi="仿宋" w:eastAsia="仿宋" w:cs="仿宋"/>
          <w:bCs/>
          <w:spacing w:val="8"/>
          <w:szCs w:val="32"/>
          <w:lang w:eastAsia="zh-CN"/>
        </w:rPr>
        <w:t>号）；</w:t>
      </w:r>
    </w:p>
    <w:p>
      <w:pPr>
        <w:pStyle w:val="56"/>
        <w:numPr>
          <w:ilvl w:val="0"/>
          <w:numId w:val="9"/>
        </w:numPr>
        <w:tabs>
          <w:tab w:val="left" w:pos="0"/>
        </w:tabs>
        <w:ind w:left="0" w:firstLine="594" w:firstLineChars="177"/>
        <w:rPr>
          <w:rFonts w:hint="eastAsia" w:ascii="仿宋" w:hAnsi="仿宋" w:eastAsia="仿宋" w:cs="仿宋"/>
          <w:bCs/>
          <w:spacing w:val="8"/>
          <w:szCs w:val="32"/>
          <w:lang w:eastAsia="zh-CN"/>
        </w:rPr>
      </w:pPr>
      <w:bookmarkStart w:id="192" w:name="_Toc17206"/>
      <w:r>
        <w:rPr>
          <w:rFonts w:hint="eastAsia" w:ascii="仿宋" w:hAnsi="仿宋" w:eastAsia="仿宋" w:cs="仿宋"/>
          <w:bCs/>
          <w:spacing w:val="8"/>
          <w:szCs w:val="32"/>
          <w:lang w:eastAsia="zh-CN"/>
        </w:rPr>
        <w:t>其他与本次评价相关的制度、文件等资料。</w:t>
      </w:r>
      <w:bookmarkEnd w:id="192"/>
    </w:p>
    <w:p>
      <w:pPr>
        <w:pStyle w:val="4"/>
        <w:numPr>
          <w:ilvl w:val="0"/>
          <w:numId w:val="7"/>
        </w:numPr>
        <w:ind w:firstLineChars="0"/>
        <w:rPr>
          <w:rFonts w:hint="eastAsia" w:ascii="仿宋" w:hAnsi="仿宋" w:eastAsia="仿宋" w:cs="仿宋"/>
          <w:b w:val="0"/>
          <w:bCs/>
          <w:szCs w:val="32"/>
        </w:rPr>
      </w:pPr>
      <w:bookmarkStart w:id="193" w:name="_Toc28512"/>
      <w:bookmarkStart w:id="194" w:name="_Toc130033893"/>
      <w:bookmarkStart w:id="195" w:name="_Toc199443744"/>
      <w:r>
        <w:rPr>
          <w:rFonts w:hint="eastAsia" w:ascii="仿宋" w:hAnsi="仿宋" w:eastAsia="仿宋" w:cs="仿宋"/>
          <w:b w:val="0"/>
          <w:bCs/>
          <w:szCs w:val="32"/>
        </w:rPr>
        <w:t>评价指标体系</w:t>
      </w:r>
      <w:bookmarkEnd w:id="183"/>
      <w:bookmarkEnd w:id="184"/>
      <w:bookmarkEnd w:id="185"/>
      <w:bookmarkEnd w:id="186"/>
      <w:bookmarkEnd w:id="187"/>
      <w:bookmarkEnd w:id="188"/>
      <w:bookmarkEnd w:id="193"/>
      <w:bookmarkEnd w:id="194"/>
      <w:bookmarkEnd w:id="195"/>
    </w:p>
    <w:p>
      <w:pPr>
        <w:ind w:firstLine="640"/>
        <w:rPr>
          <w:rFonts w:hint="eastAsia" w:ascii="仿宋" w:hAnsi="仿宋" w:eastAsia="仿宋" w:cs="仿宋"/>
          <w:bCs/>
          <w:szCs w:val="32"/>
          <w:lang w:eastAsia="zh-CN"/>
        </w:rPr>
      </w:pPr>
      <w:bookmarkStart w:id="196" w:name="_Toc701379993"/>
      <w:bookmarkStart w:id="197" w:name="_Toc14967"/>
      <w:bookmarkStart w:id="198" w:name="_Toc56784167"/>
      <w:bookmarkStart w:id="199" w:name="_Toc130033894"/>
      <w:bookmarkStart w:id="200" w:name="_Toc29808"/>
      <w:bookmarkStart w:id="201" w:name="_Toc1736048054"/>
      <w:bookmarkStart w:id="202" w:name="_Toc796588607_WPSOffice_Level3"/>
      <w:bookmarkStart w:id="203" w:name="_Toc651861670"/>
      <w:r>
        <w:rPr>
          <w:rFonts w:hint="eastAsia" w:ascii="仿宋" w:hAnsi="仿宋" w:eastAsia="仿宋" w:cs="仿宋"/>
          <w:bCs/>
          <w:szCs w:val="32"/>
          <w:lang w:eastAsia="zh-CN"/>
        </w:rPr>
        <w:t>指标评价指标体系</w:t>
      </w:r>
      <w:r>
        <w:rPr>
          <w:rFonts w:hint="eastAsia" w:ascii="仿宋" w:hAnsi="仿宋" w:eastAsia="仿宋" w:cs="仿宋"/>
          <w:bCs/>
          <w:szCs w:val="32"/>
          <w:highlight w:val="none"/>
          <w:lang w:eastAsia="zh-CN"/>
        </w:rPr>
        <w:t>框架由4项一级指标、13项二级指标、2</w:t>
      </w:r>
      <w:r>
        <w:rPr>
          <w:rFonts w:hint="eastAsia" w:ascii="仿宋" w:hAnsi="仿宋" w:eastAsia="仿宋" w:cs="仿宋"/>
          <w:bCs/>
          <w:szCs w:val="32"/>
          <w:highlight w:val="none"/>
          <w:lang w:val="en-US" w:eastAsia="zh-CN"/>
        </w:rPr>
        <w:t>4</w:t>
      </w:r>
      <w:r>
        <w:rPr>
          <w:rFonts w:hint="eastAsia" w:ascii="仿宋" w:hAnsi="仿宋" w:eastAsia="仿宋" w:cs="仿宋"/>
          <w:bCs/>
          <w:szCs w:val="32"/>
          <w:highlight w:val="none"/>
          <w:lang w:eastAsia="zh-CN"/>
        </w:rPr>
        <w:t>项三级指标构成，总分100分。指</w:t>
      </w:r>
      <w:r>
        <w:rPr>
          <w:rFonts w:hint="eastAsia" w:ascii="仿宋" w:hAnsi="仿宋" w:eastAsia="仿宋" w:cs="仿宋"/>
          <w:bCs/>
          <w:szCs w:val="32"/>
          <w:lang w:eastAsia="zh-CN"/>
        </w:rPr>
        <w:t>标设计严格遵循问题导向的设计思路，优先选取最具代表性、最能直接反映产出和效益的核心指标，指标内涵明确、具体、可衡量；指标数据主要来源于政策文件、基础数据表、账务、问卷调查、访谈等。</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1）决策指标：20分。用于考察项目部门职能与发展的匹配程度、项目在立项过程中流程的规范性、绩效目标设定合理性以及资金到位等各项情况。指标设计从项目立项、绩效目标、资金投入三个方面进行考察评价。</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（2）过程指标：20分。用于考察项目资金使用的合规性和各项制度的健全性、执行的有效性。指标设计从资金管理和组织实施两个方面进行考察评价。</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（3）产出指标：30分。用于考察项目实际完成效果。指标设计从数量、质量、时效、成本四个维度进行考察评价。</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（4）效益指标：30分。用于综合考察项目资金投入后的效益实现程度，指标设</w:t>
      </w:r>
      <w:r>
        <w:rPr>
          <w:rFonts w:hint="eastAsia" w:ascii="仿宋" w:hAnsi="仿宋" w:eastAsia="仿宋" w:cs="仿宋"/>
          <w:bCs/>
          <w:szCs w:val="32"/>
          <w:highlight w:val="none"/>
          <w:lang w:eastAsia="zh-CN"/>
        </w:rPr>
        <w:t>计从社会效益、经济效益、</w:t>
      </w:r>
      <w:r>
        <w:rPr>
          <w:rFonts w:hint="eastAsia" w:ascii="仿宋" w:hAnsi="仿宋" w:eastAsia="仿宋" w:cs="仿宋"/>
          <w:bCs/>
          <w:szCs w:val="32"/>
          <w:highlight w:val="none"/>
          <w:lang w:val="en-US" w:eastAsia="zh-CN"/>
        </w:rPr>
        <w:t>生态</w:t>
      </w:r>
      <w:r>
        <w:rPr>
          <w:rFonts w:hint="eastAsia" w:ascii="仿宋" w:hAnsi="仿宋" w:eastAsia="仿宋" w:cs="仿宋"/>
          <w:bCs/>
          <w:szCs w:val="32"/>
          <w:highlight w:val="none"/>
          <w:lang w:eastAsia="zh-CN"/>
        </w:rPr>
        <w:t>效益、</w:t>
      </w:r>
      <w:r>
        <w:rPr>
          <w:rFonts w:hint="eastAsia" w:ascii="仿宋" w:hAnsi="仿宋" w:eastAsia="仿宋" w:cs="仿宋"/>
          <w:bCs/>
          <w:szCs w:val="32"/>
          <w:highlight w:val="none"/>
          <w:lang w:val="en-US" w:eastAsia="zh-CN"/>
        </w:rPr>
        <w:t>满意度</w:t>
      </w:r>
      <w:r>
        <w:rPr>
          <w:rFonts w:hint="eastAsia" w:ascii="仿宋" w:hAnsi="仿宋" w:eastAsia="仿宋" w:cs="仿宋"/>
          <w:bCs/>
          <w:szCs w:val="32"/>
          <w:highlight w:val="none"/>
          <w:lang w:eastAsia="zh-CN"/>
        </w:rPr>
        <w:t>四个维度进行考察评价</w:t>
      </w:r>
      <w:r>
        <w:rPr>
          <w:rFonts w:hint="eastAsia" w:ascii="仿宋" w:hAnsi="仿宋" w:eastAsia="仿宋" w:cs="仿宋"/>
          <w:bCs/>
          <w:szCs w:val="32"/>
          <w:lang w:eastAsia="zh-CN"/>
        </w:rPr>
        <w:t>。</w:t>
      </w:r>
    </w:p>
    <w:p>
      <w:pPr>
        <w:pStyle w:val="4"/>
        <w:numPr>
          <w:ilvl w:val="0"/>
          <w:numId w:val="7"/>
        </w:numPr>
        <w:ind w:firstLineChars="0"/>
        <w:rPr>
          <w:rFonts w:hint="eastAsia" w:ascii="仿宋" w:hAnsi="仿宋" w:eastAsia="仿宋" w:cs="仿宋"/>
          <w:b w:val="0"/>
          <w:bCs/>
          <w:szCs w:val="32"/>
        </w:rPr>
      </w:pPr>
      <w:bookmarkStart w:id="204" w:name="_Toc199443745"/>
      <w:r>
        <w:rPr>
          <w:rFonts w:hint="eastAsia" w:ascii="仿宋" w:hAnsi="仿宋" w:eastAsia="仿宋" w:cs="仿宋"/>
          <w:b w:val="0"/>
          <w:bCs/>
          <w:szCs w:val="32"/>
        </w:rPr>
        <w:t>评价方法</w:t>
      </w:r>
      <w:bookmarkEnd w:id="196"/>
      <w:bookmarkEnd w:id="197"/>
      <w:bookmarkEnd w:id="198"/>
      <w:bookmarkEnd w:id="199"/>
      <w:bookmarkEnd w:id="200"/>
      <w:bookmarkEnd w:id="201"/>
      <w:bookmarkEnd w:id="202"/>
      <w:bookmarkEnd w:id="203"/>
      <w:bookmarkEnd w:id="204"/>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评价组依据绩效评价原则确定了指标体系后，综合运用了以下评价方法：</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（1）比较法。是指通过对绩效目标与实施效果的比较，综合分析绩效目标的实现程度；</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（2）成本效益分析法。是指将投入与产出、效益进行关联性分析的方法；</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（3）因素分析法。是指通过综合分析影响绩效目标实现、实施效果的内外因素，评价绩效目标实现程度；</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（4）最低成本法。是指对效益不易计量的多个同类对象的实施成本进行比较，评价绩效目标实现程度；</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（5）公众评判法。是指通过专家评估、公众问卷及抽样调查等对预算支出效果进行评判，评价绩效目标实现程度；</w:t>
      </w:r>
    </w:p>
    <w:p>
      <w:pPr>
        <w:ind w:firstLine="640"/>
        <w:outlineLvl w:val="1"/>
        <w:rPr>
          <w:rFonts w:hint="eastAsia" w:ascii="仿宋" w:hAnsi="仿宋" w:eastAsia="仿宋" w:cs="仿宋"/>
          <w:bCs/>
          <w:szCs w:val="32"/>
          <w:lang w:eastAsia="zh-CN"/>
        </w:rPr>
      </w:pPr>
      <w:bookmarkStart w:id="205" w:name="_Toc199443746"/>
      <w:bookmarkStart w:id="206" w:name="_Toc16994"/>
      <w:bookmarkStart w:id="207" w:name="_Toc25162"/>
      <w:bookmarkStart w:id="208" w:name="_Toc22285"/>
      <w:bookmarkStart w:id="209" w:name="_Toc179658321"/>
      <w:r>
        <w:rPr>
          <w:rFonts w:hint="eastAsia" w:ascii="仿宋" w:hAnsi="仿宋" w:eastAsia="仿宋" w:cs="仿宋"/>
          <w:bCs/>
          <w:szCs w:val="32"/>
          <w:lang w:eastAsia="zh-CN"/>
        </w:rPr>
        <w:t>（6）其他评价方法。</w:t>
      </w:r>
      <w:bookmarkEnd w:id="205"/>
      <w:bookmarkEnd w:id="206"/>
      <w:bookmarkEnd w:id="207"/>
      <w:bookmarkEnd w:id="208"/>
      <w:bookmarkEnd w:id="209"/>
    </w:p>
    <w:p>
      <w:pPr>
        <w:ind w:firstLine="632"/>
        <w:rPr>
          <w:rFonts w:hint="eastAsia" w:ascii="仿宋" w:hAnsi="仿宋" w:eastAsia="仿宋" w:cs="仿宋"/>
          <w:bCs/>
          <w:spacing w:val="-1"/>
          <w:szCs w:val="32"/>
          <w:lang w:eastAsia="zh-CN"/>
        </w:rPr>
      </w:pPr>
      <w:r>
        <w:rPr>
          <w:rFonts w:hint="eastAsia" w:ascii="仿宋" w:hAnsi="仿宋" w:eastAsia="仿宋" w:cs="仿宋"/>
          <w:bCs/>
          <w:spacing w:val="-2"/>
          <w:szCs w:val="32"/>
          <w:lang w:eastAsia="zh-CN"/>
        </w:rPr>
        <w:t>结合本项目特点，采用比</w:t>
      </w:r>
      <w:r>
        <w:rPr>
          <w:rFonts w:hint="eastAsia" w:ascii="仿宋" w:hAnsi="仿宋" w:eastAsia="仿宋" w:cs="仿宋"/>
          <w:bCs/>
          <w:spacing w:val="-1"/>
          <w:szCs w:val="32"/>
          <w:lang w:eastAsia="zh-CN"/>
        </w:rPr>
        <w:t>较法、因素分析法、公众评判法。</w:t>
      </w:r>
    </w:p>
    <w:p>
      <w:pPr>
        <w:pStyle w:val="4"/>
        <w:keepLines w:val="0"/>
        <w:numPr>
          <w:ilvl w:val="0"/>
          <w:numId w:val="7"/>
        </w:numPr>
        <w:ind w:firstLineChars="0"/>
        <w:rPr>
          <w:rFonts w:hint="eastAsia" w:ascii="仿宋" w:hAnsi="仿宋" w:eastAsia="仿宋" w:cs="仿宋"/>
          <w:b w:val="0"/>
          <w:bCs/>
          <w:szCs w:val="32"/>
          <w:lang w:eastAsia="zh-CN"/>
        </w:rPr>
      </w:pPr>
      <w:bookmarkStart w:id="210" w:name="_Toc15748"/>
      <w:bookmarkStart w:id="211" w:name="_Toc130033895"/>
      <w:bookmarkStart w:id="212" w:name="_Toc199443747"/>
      <w:bookmarkStart w:id="213" w:name="_Toc10048"/>
      <w:bookmarkStart w:id="214" w:name="_Toc1525004343"/>
      <w:bookmarkStart w:id="215" w:name="_Toc2046815436"/>
      <w:bookmarkStart w:id="216" w:name="_Toc851662451_WPSOffice_Level3"/>
      <w:bookmarkStart w:id="217" w:name="_Toc555803968"/>
      <w:bookmarkStart w:id="218" w:name="_Toc888755501"/>
      <w:r>
        <w:rPr>
          <w:rFonts w:hint="eastAsia" w:ascii="仿宋" w:hAnsi="仿宋" w:eastAsia="仿宋" w:cs="仿宋"/>
          <w:b w:val="0"/>
          <w:bCs/>
          <w:szCs w:val="32"/>
          <w:lang w:eastAsia="zh-CN"/>
        </w:rPr>
        <w:t>评价标准</w:t>
      </w:r>
      <w:bookmarkEnd w:id="210"/>
      <w:bookmarkEnd w:id="211"/>
      <w:bookmarkEnd w:id="212"/>
      <w:bookmarkEnd w:id="213"/>
      <w:bookmarkEnd w:id="214"/>
      <w:bookmarkEnd w:id="215"/>
      <w:bookmarkEnd w:id="216"/>
      <w:bookmarkEnd w:id="217"/>
      <w:bookmarkEnd w:id="218"/>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评价标准按照定性与定量评价相结合的方法，在定量时，尽可能地做到详细和精确。</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绩效评价结果采取评分和评级相结合的方式，具体分值和等级可根据不同评价内容设定。总分一般设置为100分，等级一般划分为四档：90（含）-100分为优、80（含）-90分为良、60（含）-80分为中、60分以下为差。</w:t>
      </w:r>
    </w:p>
    <w:p>
      <w:pPr>
        <w:pStyle w:val="3"/>
        <w:numPr>
          <w:ilvl w:val="0"/>
          <w:numId w:val="5"/>
        </w:numPr>
        <w:spacing w:before="0" w:beforeLines="0" w:after="0" w:afterLines="0"/>
        <w:ind w:left="0" w:firstLine="640" w:firstLineChars="0"/>
        <w:rPr>
          <w:rFonts w:hint="eastAsia" w:ascii="楷体" w:hAnsi="楷体" w:eastAsia="楷体" w:cs="楷体"/>
          <w:b w:val="0"/>
          <w:bCs/>
          <w:szCs w:val="32"/>
          <w:lang w:eastAsia="zh-CN"/>
        </w:rPr>
      </w:pPr>
      <w:bookmarkStart w:id="219" w:name="_Toc12537"/>
      <w:bookmarkStart w:id="220" w:name="_Toc1990909373"/>
      <w:bookmarkStart w:id="221" w:name="_Toc19314"/>
      <w:bookmarkStart w:id="222" w:name="_Toc1564940422"/>
      <w:bookmarkStart w:id="223" w:name="_Toc132480964"/>
      <w:bookmarkStart w:id="224" w:name="_Toc286491559"/>
      <w:bookmarkStart w:id="225" w:name="_Toc179658322"/>
      <w:bookmarkStart w:id="226" w:name="_Toc530665856"/>
      <w:bookmarkStart w:id="227" w:name="_Toc199443748"/>
      <w:r>
        <w:rPr>
          <w:rFonts w:hint="eastAsia" w:ascii="楷体" w:hAnsi="楷体" w:eastAsia="楷体" w:cs="楷体"/>
          <w:b w:val="0"/>
          <w:bCs/>
          <w:szCs w:val="32"/>
          <w:lang w:eastAsia="zh-CN"/>
        </w:rPr>
        <w:t>绩效评价工作过程</w:t>
      </w:r>
      <w:bookmarkEnd w:id="219"/>
      <w:bookmarkEnd w:id="220"/>
      <w:bookmarkEnd w:id="221"/>
      <w:bookmarkEnd w:id="222"/>
      <w:bookmarkEnd w:id="223"/>
      <w:bookmarkEnd w:id="224"/>
      <w:bookmarkEnd w:id="225"/>
      <w:bookmarkEnd w:id="226"/>
      <w:bookmarkEnd w:id="227"/>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按照统一安排，农业产业推广：第二届非遗特色美食大赛及推广项目绩效评价工作由金口河区财政局委托我中心完成。为保障本次工作的顺利开展，本次项目评价工作开展包括前期准备、制定工作方案，现场核查及座谈交流，撰写评价报告等3个阶段，具体实施流程及内容如下：</w:t>
      </w:r>
    </w:p>
    <w:p>
      <w:pPr>
        <w:pStyle w:val="4"/>
        <w:ind w:firstLine="628"/>
        <w:rPr>
          <w:rFonts w:hint="eastAsia" w:ascii="仿宋" w:hAnsi="仿宋" w:eastAsia="仿宋" w:cs="仿宋"/>
          <w:b w:val="0"/>
          <w:bCs/>
          <w:szCs w:val="32"/>
          <w:lang w:eastAsia="zh-CN"/>
        </w:rPr>
      </w:pPr>
      <w:bookmarkStart w:id="228" w:name="_Toc130033897"/>
      <w:bookmarkStart w:id="229" w:name="_Toc199443749"/>
      <w:bookmarkStart w:id="230" w:name="_Toc22087"/>
      <w:r>
        <w:rPr>
          <w:rFonts w:hint="eastAsia" w:ascii="仿宋" w:hAnsi="仿宋" w:eastAsia="仿宋" w:cs="仿宋"/>
          <w:b w:val="0"/>
          <w:bCs/>
          <w:spacing w:val="-3"/>
          <w:szCs w:val="32"/>
          <w:lang w:eastAsia="zh-CN"/>
        </w:rPr>
        <w:t>1</w:t>
      </w:r>
      <w:r>
        <w:rPr>
          <w:rFonts w:hint="eastAsia" w:ascii="仿宋" w:hAnsi="仿宋" w:eastAsia="仿宋" w:cs="仿宋"/>
          <w:b w:val="0"/>
          <w:bCs/>
          <w:szCs w:val="32"/>
          <w:lang w:eastAsia="zh-CN"/>
        </w:rPr>
        <w:t>.项目启动阶段</w:t>
      </w:r>
      <w:bookmarkEnd w:id="228"/>
      <w:bookmarkEnd w:id="229"/>
      <w:bookmarkEnd w:id="230"/>
    </w:p>
    <w:p>
      <w:pPr>
        <w:ind w:firstLine="600"/>
        <w:rPr>
          <w:rFonts w:hint="eastAsia" w:ascii="仿宋" w:hAnsi="仿宋" w:eastAsia="仿宋" w:cs="仿宋"/>
          <w:bCs/>
          <w:szCs w:val="32"/>
          <w:lang w:eastAsia="zh-CN"/>
        </w:rPr>
      </w:pPr>
      <w:r>
        <w:rPr>
          <w:rFonts w:hint="eastAsia" w:ascii="仿宋" w:hAnsi="仿宋" w:eastAsia="仿宋" w:cs="仿宋"/>
          <w:bCs/>
          <w:spacing w:val="-10"/>
          <w:szCs w:val="32"/>
          <w:lang w:eastAsia="zh-CN"/>
        </w:rPr>
        <w:t>由金口河区财政局</w:t>
      </w:r>
      <w:r>
        <w:rPr>
          <w:rFonts w:hint="eastAsia" w:ascii="仿宋" w:hAnsi="仿宋" w:eastAsia="仿宋" w:cs="仿宋"/>
          <w:bCs/>
          <w:szCs w:val="32"/>
          <w:lang w:eastAsia="zh-CN"/>
        </w:rPr>
        <w:t>召开会议布置绩效评价相关工作；协调组织</w:t>
      </w:r>
      <w:r>
        <w:rPr>
          <w:rFonts w:hint="eastAsia" w:ascii="仿宋" w:hAnsi="仿宋" w:eastAsia="仿宋" w:cs="仿宋"/>
          <w:bCs/>
          <w:spacing w:val="-1"/>
          <w:szCs w:val="32"/>
          <w:lang w:eastAsia="zh-CN"/>
        </w:rPr>
        <w:t>本次绩效</w:t>
      </w:r>
      <w:r>
        <w:rPr>
          <w:rFonts w:hint="eastAsia" w:ascii="仿宋" w:hAnsi="仿宋" w:eastAsia="仿宋" w:cs="仿宋"/>
          <w:bCs/>
          <w:szCs w:val="32"/>
          <w:lang w:eastAsia="zh-CN"/>
        </w:rPr>
        <w:t>评价的相关部门及人员。</w:t>
      </w:r>
    </w:p>
    <w:p>
      <w:pPr>
        <w:pStyle w:val="4"/>
        <w:ind w:firstLine="640"/>
        <w:rPr>
          <w:rFonts w:hint="eastAsia" w:ascii="仿宋" w:hAnsi="仿宋" w:eastAsia="仿宋" w:cs="仿宋"/>
          <w:b w:val="0"/>
          <w:bCs/>
          <w:szCs w:val="32"/>
          <w:lang w:eastAsia="zh-CN"/>
        </w:rPr>
      </w:pPr>
      <w:bookmarkStart w:id="231" w:name="_Toc13860"/>
      <w:bookmarkStart w:id="232" w:name="_Toc130033898"/>
      <w:bookmarkStart w:id="233" w:name="_Toc199443750"/>
      <w:r>
        <w:rPr>
          <w:rFonts w:hint="eastAsia" w:ascii="仿宋" w:hAnsi="仿宋" w:eastAsia="仿宋" w:cs="仿宋"/>
          <w:b w:val="0"/>
          <w:bCs/>
          <w:szCs w:val="32"/>
          <w:lang w:eastAsia="zh-CN"/>
        </w:rPr>
        <w:t>2.下达绩效评价通知</w:t>
      </w:r>
      <w:bookmarkEnd w:id="231"/>
      <w:bookmarkEnd w:id="232"/>
      <w:bookmarkEnd w:id="233"/>
    </w:p>
    <w:p>
      <w:pPr>
        <w:ind w:firstLine="644"/>
        <w:rPr>
          <w:rFonts w:hint="eastAsia" w:ascii="仿宋" w:hAnsi="仿宋" w:eastAsia="仿宋" w:cs="仿宋"/>
          <w:bCs/>
          <w:szCs w:val="32"/>
          <w:lang w:eastAsia="zh-CN"/>
        </w:rPr>
      </w:pPr>
      <w:r>
        <w:rPr>
          <w:rFonts w:hint="eastAsia" w:ascii="仿宋" w:hAnsi="仿宋" w:eastAsia="仿宋" w:cs="仿宋"/>
          <w:bCs/>
          <w:spacing w:val="1"/>
          <w:szCs w:val="32"/>
          <w:lang w:eastAsia="zh-CN"/>
        </w:rPr>
        <w:t>实施评价前，</w:t>
      </w:r>
      <w:r>
        <w:rPr>
          <w:rFonts w:hint="eastAsia" w:ascii="仿宋" w:hAnsi="仿宋" w:eastAsia="仿宋" w:cs="仿宋"/>
          <w:bCs/>
          <w:szCs w:val="32"/>
          <w:lang w:eastAsia="zh-CN"/>
        </w:rPr>
        <w:t>金口河区财政局向被评价单位下达评价通知。</w:t>
      </w:r>
    </w:p>
    <w:p>
      <w:pPr>
        <w:pStyle w:val="4"/>
        <w:ind w:firstLine="640"/>
        <w:rPr>
          <w:rFonts w:hint="eastAsia" w:ascii="仿宋" w:hAnsi="仿宋" w:eastAsia="仿宋" w:cs="仿宋"/>
          <w:b w:val="0"/>
          <w:bCs/>
          <w:szCs w:val="32"/>
          <w:lang w:eastAsia="zh-CN"/>
        </w:rPr>
      </w:pPr>
      <w:bookmarkStart w:id="234" w:name="_Toc10313"/>
      <w:bookmarkStart w:id="235" w:name="_Toc199443751"/>
      <w:bookmarkStart w:id="236" w:name="_Toc130033900"/>
      <w:r>
        <w:rPr>
          <w:rFonts w:hint="eastAsia" w:ascii="仿宋" w:hAnsi="仿宋" w:eastAsia="仿宋" w:cs="仿宋"/>
          <w:b w:val="0"/>
          <w:bCs/>
          <w:szCs w:val="32"/>
          <w:lang w:eastAsia="zh-CN"/>
        </w:rPr>
        <w:t>3.开展前期调研并制定完善工作方</w:t>
      </w:r>
      <w:r>
        <w:rPr>
          <w:rFonts w:hint="eastAsia" w:ascii="仿宋" w:hAnsi="仿宋" w:eastAsia="仿宋" w:cs="仿宋"/>
          <w:b w:val="0"/>
          <w:bCs/>
          <w:spacing w:val="1"/>
          <w:szCs w:val="32"/>
          <w:lang w:eastAsia="zh-CN"/>
        </w:rPr>
        <w:t>案</w:t>
      </w:r>
      <w:bookmarkEnd w:id="234"/>
      <w:bookmarkEnd w:id="235"/>
      <w:bookmarkEnd w:id="236"/>
    </w:p>
    <w:p>
      <w:pPr>
        <w:ind w:firstLine="608"/>
        <w:rPr>
          <w:rFonts w:hint="eastAsia" w:ascii="仿宋" w:hAnsi="仿宋" w:eastAsia="仿宋" w:cs="仿宋"/>
          <w:bCs/>
          <w:szCs w:val="32"/>
          <w:lang w:eastAsia="zh-CN"/>
        </w:rPr>
      </w:pPr>
      <w:r>
        <w:rPr>
          <w:rFonts w:hint="eastAsia" w:ascii="仿宋" w:hAnsi="仿宋" w:eastAsia="仿宋" w:cs="仿宋"/>
          <w:bCs/>
          <w:spacing w:val="-8"/>
          <w:szCs w:val="32"/>
          <w:lang w:eastAsia="zh-CN"/>
        </w:rPr>
        <w:t>评</w:t>
      </w:r>
      <w:r>
        <w:rPr>
          <w:rFonts w:hint="eastAsia" w:ascii="仿宋" w:hAnsi="仿宋" w:eastAsia="仿宋" w:cs="仿宋"/>
          <w:bCs/>
          <w:spacing w:val="-5"/>
          <w:szCs w:val="32"/>
          <w:lang w:eastAsia="zh-CN"/>
        </w:rPr>
        <w:t>价</w:t>
      </w:r>
      <w:r>
        <w:rPr>
          <w:rFonts w:hint="eastAsia" w:ascii="仿宋" w:hAnsi="仿宋" w:eastAsia="仿宋" w:cs="仿宋"/>
          <w:bCs/>
          <w:spacing w:val="-4"/>
          <w:szCs w:val="32"/>
          <w:lang w:eastAsia="zh-CN"/>
        </w:rPr>
        <w:t>组首先与金口河区财政局沟通，收集财政部门对</w:t>
      </w:r>
      <w:r>
        <w:rPr>
          <w:rFonts w:hint="eastAsia" w:ascii="仿宋" w:hAnsi="仿宋" w:eastAsia="仿宋" w:cs="仿宋"/>
          <w:bCs/>
          <w:spacing w:val="-6"/>
          <w:szCs w:val="32"/>
          <w:lang w:eastAsia="zh-CN"/>
        </w:rPr>
        <w:t>本次评价的</w:t>
      </w:r>
      <w:r>
        <w:rPr>
          <w:rFonts w:hint="eastAsia" w:ascii="仿宋" w:hAnsi="仿宋" w:eastAsia="仿宋" w:cs="仿宋"/>
          <w:bCs/>
          <w:spacing w:val="-4"/>
          <w:szCs w:val="32"/>
          <w:lang w:eastAsia="zh-CN"/>
        </w:rPr>
        <w:t>关</w:t>
      </w:r>
      <w:r>
        <w:rPr>
          <w:rFonts w:hint="eastAsia" w:ascii="仿宋" w:hAnsi="仿宋" w:eastAsia="仿宋" w:cs="仿宋"/>
          <w:bCs/>
          <w:spacing w:val="-3"/>
          <w:szCs w:val="32"/>
          <w:lang w:eastAsia="zh-CN"/>
        </w:rPr>
        <w:t>注重点和要求；其次与相关部门充分沟</w:t>
      </w:r>
      <w:r>
        <w:rPr>
          <w:rFonts w:hint="eastAsia" w:ascii="仿宋" w:hAnsi="仿宋" w:eastAsia="仿宋" w:cs="仿宋"/>
          <w:bCs/>
          <w:spacing w:val="-6"/>
          <w:szCs w:val="32"/>
          <w:lang w:eastAsia="zh-CN"/>
        </w:rPr>
        <w:t>通，了解项</w:t>
      </w:r>
      <w:r>
        <w:rPr>
          <w:rFonts w:hint="eastAsia" w:ascii="仿宋" w:hAnsi="仿宋" w:eastAsia="仿宋" w:cs="仿宋"/>
          <w:bCs/>
          <w:spacing w:val="-4"/>
          <w:szCs w:val="32"/>
          <w:lang w:eastAsia="zh-CN"/>
        </w:rPr>
        <w:t>目</w:t>
      </w:r>
      <w:r>
        <w:rPr>
          <w:rFonts w:hint="eastAsia" w:ascii="仿宋" w:hAnsi="仿宋" w:eastAsia="仿宋" w:cs="仿宋"/>
          <w:bCs/>
          <w:spacing w:val="-3"/>
          <w:szCs w:val="32"/>
          <w:lang w:eastAsia="zh-CN"/>
        </w:rPr>
        <w:t>的实施背景、实施内容、绩效目标和组织管理等信</w:t>
      </w:r>
      <w:r>
        <w:rPr>
          <w:rFonts w:hint="eastAsia" w:ascii="仿宋" w:hAnsi="仿宋" w:eastAsia="仿宋" w:cs="仿宋"/>
          <w:bCs/>
          <w:spacing w:val="-1"/>
          <w:szCs w:val="32"/>
          <w:lang w:eastAsia="zh-CN"/>
        </w:rPr>
        <w:t>息，并收集资金使用、管理制度等</w:t>
      </w:r>
      <w:r>
        <w:rPr>
          <w:rFonts w:hint="eastAsia" w:ascii="仿宋" w:hAnsi="仿宋" w:eastAsia="仿宋" w:cs="仿宋"/>
          <w:bCs/>
          <w:szCs w:val="32"/>
          <w:lang w:eastAsia="zh-CN"/>
        </w:rPr>
        <w:t>资料。</w:t>
      </w:r>
      <w:r>
        <w:rPr>
          <w:rFonts w:hint="eastAsia" w:ascii="仿宋" w:hAnsi="仿宋" w:eastAsia="仿宋" w:cs="仿宋"/>
          <w:bCs/>
          <w:spacing w:val="-6"/>
          <w:szCs w:val="32"/>
          <w:lang w:eastAsia="zh-CN"/>
        </w:rPr>
        <w:t>根据区财政局</w:t>
      </w:r>
      <w:r>
        <w:rPr>
          <w:rFonts w:hint="eastAsia" w:ascii="仿宋" w:hAnsi="仿宋" w:eastAsia="仿宋" w:cs="仿宋"/>
          <w:bCs/>
          <w:spacing w:val="-3"/>
          <w:szCs w:val="32"/>
          <w:lang w:eastAsia="zh-CN"/>
        </w:rPr>
        <w:t>的要求，结合项目的特点，形成项目评价的总体思</w:t>
      </w:r>
      <w:r>
        <w:rPr>
          <w:rFonts w:hint="eastAsia" w:ascii="仿宋" w:hAnsi="仿宋" w:eastAsia="仿宋" w:cs="仿宋"/>
          <w:bCs/>
          <w:spacing w:val="-6"/>
          <w:szCs w:val="32"/>
          <w:lang w:eastAsia="zh-CN"/>
        </w:rPr>
        <w:t>路，撰写项目</w:t>
      </w:r>
      <w:r>
        <w:rPr>
          <w:rFonts w:hint="eastAsia" w:ascii="仿宋" w:hAnsi="仿宋" w:eastAsia="仿宋" w:cs="仿宋"/>
          <w:bCs/>
          <w:spacing w:val="-3"/>
          <w:szCs w:val="32"/>
          <w:lang w:eastAsia="zh-CN"/>
        </w:rPr>
        <w:t>绩效评价工作方案，并就工作方案内容、指标体系</w:t>
      </w:r>
      <w:r>
        <w:rPr>
          <w:rFonts w:hint="eastAsia" w:ascii="仿宋" w:hAnsi="仿宋" w:eastAsia="仿宋" w:cs="仿宋"/>
          <w:bCs/>
          <w:spacing w:val="-6"/>
          <w:szCs w:val="32"/>
          <w:lang w:eastAsia="zh-CN"/>
        </w:rPr>
        <w:t>等与</w:t>
      </w:r>
      <w:r>
        <w:rPr>
          <w:rFonts w:hint="eastAsia" w:ascii="仿宋" w:hAnsi="仿宋" w:eastAsia="仿宋" w:cs="仿宋"/>
          <w:bCs/>
          <w:spacing w:val="-3"/>
          <w:szCs w:val="32"/>
          <w:lang w:eastAsia="zh-CN"/>
        </w:rPr>
        <w:t>评价组进行沟通，广泛听取意见、进行完善，提交金口河区财政局</w:t>
      </w:r>
      <w:r>
        <w:rPr>
          <w:rFonts w:hint="eastAsia" w:ascii="仿宋" w:hAnsi="仿宋" w:eastAsia="仿宋" w:cs="仿宋"/>
          <w:bCs/>
          <w:szCs w:val="32"/>
          <w:lang w:eastAsia="zh-CN"/>
        </w:rPr>
        <w:t>审核。</w:t>
      </w:r>
    </w:p>
    <w:p>
      <w:pPr>
        <w:pStyle w:val="4"/>
        <w:ind w:firstLine="640"/>
        <w:rPr>
          <w:rFonts w:hint="eastAsia" w:ascii="仿宋" w:hAnsi="仿宋" w:eastAsia="仿宋" w:cs="仿宋"/>
          <w:b w:val="0"/>
          <w:bCs/>
          <w:szCs w:val="32"/>
          <w:lang w:eastAsia="zh-CN"/>
        </w:rPr>
      </w:pPr>
      <w:bookmarkStart w:id="237" w:name="_Toc14740"/>
      <w:bookmarkStart w:id="238" w:name="_Toc199443752"/>
      <w:bookmarkStart w:id="239" w:name="_Toc130033901"/>
      <w:r>
        <w:rPr>
          <w:rFonts w:hint="eastAsia" w:ascii="仿宋" w:hAnsi="仿宋" w:eastAsia="仿宋" w:cs="仿宋"/>
          <w:b w:val="0"/>
          <w:bCs/>
          <w:szCs w:val="32"/>
          <w:lang w:eastAsia="zh-CN"/>
        </w:rPr>
        <w:t>4.数据收集</w:t>
      </w:r>
      <w:bookmarkEnd w:id="237"/>
      <w:bookmarkEnd w:id="238"/>
      <w:bookmarkEnd w:id="239"/>
    </w:p>
    <w:p>
      <w:pPr>
        <w:ind w:firstLine="612"/>
        <w:rPr>
          <w:rFonts w:hint="eastAsia" w:ascii="仿宋" w:hAnsi="仿宋" w:eastAsia="仿宋" w:cs="仿宋"/>
          <w:bCs/>
          <w:szCs w:val="32"/>
          <w:lang w:eastAsia="zh-CN"/>
        </w:rPr>
      </w:pPr>
      <w:r>
        <w:rPr>
          <w:rFonts w:hint="eastAsia" w:ascii="仿宋" w:hAnsi="仿宋" w:eastAsia="仿宋" w:cs="仿宋"/>
          <w:bCs/>
          <w:spacing w:val="-7"/>
          <w:szCs w:val="32"/>
          <w:lang w:eastAsia="zh-CN"/>
        </w:rPr>
        <w:t>根</w:t>
      </w:r>
      <w:r>
        <w:rPr>
          <w:rFonts w:hint="eastAsia" w:ascii="仿宋" w:hAnsi="仿宋" w:eastAsia="仿宋" w:cs="仿宋"/>
          <w:bCs/>
          <w:szCs w:val="32"/>
          <w:lang w:eastAsia="zh-CN"/>
        </w:rPr>
        <w:t>据定稿后的工作方案，我中心与相关部门进行沟通，核查</w:t>
      </w:r>
      <w:r>
        <w:rPr>
          <w:rFonts w:hint="eastAsia" w:ascii="仿宋" w:hAnsi="仿宋" w:eastAsia="仿宋" w:cs="仿宋"/>
          <w:bCs/>
          <w:spacing w:val="-6"/>
          <w:szCs w:val="32"/>
          <w:lang w:eastAsia="zh-CN"/>
        </w:rPr>
        <w:t>项目实施过</w:t>
      </w:r>
      <w:r>
        <w:rPr>
          <w:rFonts w:hint="eastAsia" w:ascii="仿宋" w:hAnsi="仿宋" w:eastAsia="仿宋" w:cs="仿宋"/>
          <w:bCs/>
          <w:spacing w:val="-5"/>
          <w:szCs w:val="32"/>
          <w:lang w:eastAsia="zh-CN"/>
        </w:rPr>
        <w:t>程</w:t>
      </w:r>
      <w:r>
        <w:rPr>
          <w:rFonts w:hint="eastAsia" w:ascii="仿宋" w:hAnsi="仿宋" w:eastAsia="仿宋" w:cs="仿宋"/>
          <w:bCs/>
          <w:spacing w:val="-3"/>
          <w:szCs w:val="32"/>
          <w:lang w:eastAsia="zh-CN"/>
        </w:rPr>
        <w:t>性材料，我中心收</w:t>
      </w:r>
      <w:r>
        <w:rPr>
          <w:rFonts w:hint="eastAsia" w:ascii="仿宋" w:hAnsi="仿宋" w:eastAsia="仿宋" w:cs="仿宋"/>
          <w:bCs/>
          <w:spacing w:val="1"/>
          <w:szCs w:val="32"/>
          <w:lang w:eastAsia="zh-CN"/>
        </w:rPr>
        <w:t>集相关业务</w:t>
      </w:r>
      <w:r>
        <w:rPr>
          <w:rFonts w:hint="eastAsia" w:ascii="仿宋" w:hAnsi="仿宋" w:eastAsia="仿宋" w:cs="仿宋"/>
          <w:bCs/>
          <w:szCs w:val="32"/>
          <w:lang w:eastAsia="zh-CN"/>
        </w:rPr>
        <w:t>数据，对收集的资料和数据进行汇总。</w:t>
      </w:r>
    </w:p>
    <w:p>
      <w:pPr>
        <w:pStyle w:val="4"/>
        <w:ind w:firstLine="640"/>
        <w:rPr>
          <w:rFonts w:hint="eastAsia" w:ascii="仿宋" w:hAnsi="仿宋" w:eastAsia="仿宋" w:cs="仿宋"/>
          <w:b w:val="0"/>
          <w:bCs/>
          <w:szCs w:val="32"/>
          <w:lang w:eastAsia="zh-CN"/>
        </w:rPr>
      </w:pPr>
      <w:bookmarkStart w:id="240" w:name="_Toc130033902"/>
      <w:bookmarkStart w:id="241" w:name="_Toc21504"/>
      <w:bookmarkStart w:id="242" w:name="_Toc199443753"/>
      <w:r>
        <w:rPr>
          <w:rFonts w:hint="eastAsia" w:ascii="仿宋" w:hAnsi="仿宋" w:eastAsia="仿宋" w:cs="仿宋"/>
          <w:b w:val="0"/>
          <w:bCs/>
          <w:szCs w:val="32"/>
          <w:lang w:eastAsia="zh-CN"/>
        </w:rPr>
        <w:t>5.现场核查</w:t>
      </w:r>
      <w:bookmarkEnd w:id="240"/>
      <w:bookmarkEnd w:id="241"/>
      <w:bookmarkEnd w:id="242"/>
    </w:p>
    <w:p>
      <w:pPr>
        <w:ind w:firstLine="612"/>
        <w:rPr>
          <w:rFonts w:hint="eastAsia" w:ascii="仿宋" w:hAnsi="仿宋" w:eastAsia="仿宋" w:cs="仿宋"/>
          <w:bCs/>
          <w:spacing w:val="-7"/>
          <w:szCs w:val="32"/>
          <w:lang w:eastAsia="zh-CN"/>
        </w:rPr>
      </w:pPr>
      <w:r>
        <w:rPr>
          <w:rFonts w:hint="eastAsia" w:ascii="仿宋" w:hAnsi="仿宋" w:eastAsia="仿宋" w:cs="仿宋"/>
          <w:bCs/>
          <w:spacing w:val="-7"/>
          <w:szCs w:val="32"/>
          <w:lang w:eastAsia="zh-CN"/>
        </w:rPr>
        <w:t>我中心根据收集到的资料和数据对项目进行现场核查，通过检查、观察、访谈、重新计算、重新执行等方式核查，对现场发现的问题、疑问等与金口河区财政局沟通，并向金口河区财政局汇报问题及沟通处理结果。</w:t>
      </w:r>
    </w:p>
    <w:p>
      <w:pPr>
        <w:pStyle w:val="4"/>
        <w:ind w:firstLine="640"/>
        <w:rPr>
          <w:rFonts w:hint="eastAsia" w:ascii="仿宋" w:hAnsi="仿宋" w:eastAsia="仿宋" w:cs="仿宋"/>
          <w:b w:val="0"/>
          <w:bCs/>
          <w:szCs w:val="32"/>
          <w:lang w:eastAsia="zh-CN"/>
        </w:rPr>
      </w:pPr>
      <w:bookmarkStart w:id="243" w:name="_Toc8201"/>
      <w:bookmarkStart w:id="244" w:name="_Toc130033903"/>
      <w:bookmarkStart w:id="245" w:name="_Toc199443754"/>
      <w:r>
        <w:rPr>
          <w:rFonts w:hint="eastAsia" w:ascii="仿宋" w:hAnsi="仿宋" w:eastAsia="仿宋" w:cs="仿宋"/>
          <w:b w:val="0"/>
          <w:bCs/>
          <w:szCs w:val="32"/>
          <w:lang w:eastAsia="zh-CN"/>
        </w:rPr>
        <w:t>6.数据分析</w:t>
      </w:r>
      <w:bookmarkEnd w:id="243"/>
      <w:bookmarkEnd w:id="244"/>
      <w:bookmarkEnd w:id="245"/>
    </w:p>
    <w:p>
      <w:pPr>
        <w:spacing w:line="360" w:lineRule="auto"/>
        <w:rPr>
          <w:rFonts w:hint="eastAsia" w:ascii="仿宋" w:hAnsi="仿宋" w:eastAsia="仿宋" w:cs="仿宋"/>
          <w:bCs/>
          <w:spacing w:val="-7"/>
          <w:szCs w:val="32"/>
          <w:lang w:eastAsia="zh-CN"/>
        </w:rPr>
      </w:pPr>
      <w:r>
        <w:rPr>
          <w:rFonts w:hint="eastAsia" w:ascii="仿宋" w:hAnsi="仿宋" w:eastAsia="仿宋" w:cs="仿宋"/>
          <w:bCs/>
          <w:spacing w:val="-7"/>
          <w:szCs w:val="32"/>
          <w:lang w:eastAsia="zh-CN"/>
        </w:rPr>
        <w:t>我中心根据收集到的资料和数据重点对项目管理的规范性、绩效目标完成情况等方面进行分析，将分析结果同乐山市金口河区文化广播电视体育和旅游局沟通确定，并向</w:t>
      </w:r>
      <w:bookmarkStart w:id="246" w:name="_Hlk179723733"/>
      <w:r>
        <w:rPr>
          <w:rFonts w:hint="eastAsia" w:ascii="仿宋" w:hAnsi="仿宋" w:eastAsia="仿宋" w:cs="仿宋"/>
          <w:bCs/>
          <w:spacing w:val="-7"/>
          <w:szCs w:val="32"/>
          <w:lang w:eastAsia="zh-CN"/>
        </w:rPr>
        <w:t>金口河区财政局</w:t>
      </w:r>
      <w:bookmarkEnd w:id="246"/>
      <w:r>
        <w:rPr>
          <w:rFonts w:hint="eastAsia" w:ascii="仿宋" w:hAnsi="仿宋" w:eastAsia="仿宋" w:cs="仿宋"/>
          <w:bCs/>
          <w:spacing w:val="-7"/>
          <w:szCs w:val="32"/>
          <w:lang w:eastAsia="zh-CN"/>
        </w:rPr>
        <w:t>汇报分析结果。</w:t>
      </w:r>
    </w:p>
    <w:p>
      <w:pPr>
        <w:pStyle w:val="4"/>
        <w:ind w:firstLine="640"/>
        <w:rPr>
          <w:rFonts w:hint="eastAsia" w:ascii="仿宋" w:hAnsi="仿宋" w:eastAsia="仿宋" w:cs="仿宋"/>
          <w:b w:val="0"/>
          <w:bCs/>
          <w:szCs w:val="32"/>
          <w:lang w:eastAsia="zh-CN"/>
        </w:rPr>
      </w:pPr>
      <w:bookmarkStart w:id="247" w:name="_Toc130033904"/>
      <w:bookmarkStart w:id="248" w:name="_Toc199443755"/>
      <w:bookmarkStart w:id="249" w:name="_Toc6007"/>
      <w:r>
        <w:rPr>
          <w:rFonts w:hint="eastAsia" w:ascii="仿宋" w:hAnsi="仿宋" w:eastAsia="仿宋" w:cs="仿宋"/>
          <w:b w:val="0"/>
          <w:bCs/>
          <w:szCs w:val="32"/>
          <w:lang w:eastAsia="zh-CN"/>
        </w:rPr>
        <w:t>7.撰写及完善</w:t>
      </w:r>
      <w:r>
        <w:rPr>
          <w:rFonts w:hint="eastAsia" w:ascii="仿宋" w:hAnsi="仿宋" w:eastAsia="仿宋" w:cs="仿宋"/>
          <w:b w:val="0"/>
          <w:bCs/>
          <w:spacing w:val="1"/>
          <w:szCs w:val="32"/>
          <w:lang w:eastAsia="zh-CN"/>
        </w:rPr>
        <w:t>绩效评价报告</w:t>
      </w:r>
      <w:bookmarkEnd w:id="247"/>
      <w:bookmarkEnd w:id="248"/>
      <w:bookmarkEnd w:id="249"/>
    </w:p>
    <w:p>
      <w:pPr>
        <w:ind w:firstLine="612"/>
        <w:rPr>
          <w:rFonts w:hint="eastAsia" w:ascii="仿宋" w:hAnsi="仿宋" w:eastAsia="仿宋" w:cs="仿宋"/>
          <w:bCs/>
          <w:spacing w:val="-7"/>
          <w:szCs w:val="32"/>
          <w:lang w:eastAsia="zh-CN"/>
        </w:rPr>
      </w:pPr>
      <w:r>
        <w:rPr>
          <w:rFonts w:hint="eastAsia" w:ascii="仿宋" w:hAnsi="仿宋" w:eastAsia="仿宋" w:cs="仿宋"/>
          <w:bCs/>
          <w:spacing w:val="-7"/>
          <w:szCs w:val="32"/>
          <w:lang w:eastAsia="zh-CN"/>
        </w:rPr>
        <w:t>对收集到的基础数据、现场核查结果、访谈记录、满意度分析结果等各项数据进行全面复核，查找项目实施中存在的主要问题、取得的主要经验等，并拟定评价报告初稿。向财政局提交绩效评价报告，并交换意见，修改完善后定稿。</w:t>
      </w:r>
    </w:p>
    <w:p>
      <w:pPr>
        <w:pStyle w:val="4"/>
        <w:ind w:firstLine="644"/>
        <w:rPr>
          <w:rFonts w:hint="eastAsia" w:ascii="仿宋" w:hAnsi="仿宋" w:eastAsia="仿宋" w:cs="仿宋"/>
          <w:b w:val="0"/>
          <w:bCs/>
          <w:szCs w:val="32"/>
          <w:lang w:eastAsia="zh-CN"/>
        </w:rPr>
      </w:pPr>
      <w:bookmarkStart w:id="250" w:name="_Toc22077"/>
      <w:bookmarkStart w:id="251" w:name="_Toc130033905"/>
      <w:bookmarkStart w:id="252" w:name="_Toc199443756"/>
      <w:r>
        <w:rPr>
          <w:rFonts w:hint="eastAsia" w:ascii="仿宋" w:hAnsi="仿宋" w:eastAsia="仿宋" w:cs="仿宋"/>
          <w:b w:val="0"/>
          <w:bCs/>
          <w:spacing w:val="1"/>
          <w:szCs w:val="32"/>
          <w:lang w:eastAsia="zh-CN"/>
        </w:rPr>
        <w:t>8.</w:t>
      </w:r>
      <w:r>
        <w:rPr>
          <w:rFonts w:hint="eastAsia" w:ascii="仿宋" w:hAnsi="仿宋" w:eastAsia="仿宋" w:cs="仿宋"/>
          <w:b w:val="0"/>
          <w:bCs/>
          <w:szCs w:val="32"/>
          <w:lang w:eastAsia="zh-CN"/>
        </w:rPr>
        <w:t>资料归档</w:t>
      </w:r>
      <w:bookmarkEnd w:id="250"/>
      <w:bookmarkEnd w:id="251"/>
      <w:bookmarkEnd w:id="252"/>
    </w:p>
    <w:p>
      <w:pPr>
        <w:ind w:firstLine="612"/>
        <w:rPr>
          <w:rFonts w:hint="eastAsia" w:ascii="仿宋" w:hAnsi="仿宋" w:eastAsia="仿宋" w:cs="仿宋"/>
          <w:bCs/>
          <w:spacing w:val="-7"/>
          <w:szCs w:val="32"/>
          <w:lang w:eastAsia="zh-CN"/>
        </w:rPr>
      </w:pPr>
      <w:r>
        <w:rPr>
          <w:rFonts w:hint="eastAsia" w:ascii="仿宋" w:hAnsi="仿宋" w:eastAsia="仿宋" w:cs="仿宋"/>
          <w:bCs/>
          <w:spacing w:val="-7"/>
          <w:szCs w:val="32"/>
          <w:lang w:eastAsia="zh-CN"/>
        </w:rPr>
        <w:t>对评价过程资料进行整理、归档。评价工作组就绩效评价报告初稿中所反映的问题与被评价单位进行沟通，在被评价单位反馈意见的基础上，对报告内容进行完善，形成绩效评价报告提交财政部门。</w:t>
      </w:r>
    </w:p>
    <w:p>
      <w:pPr>
        <w:spacing w:line="300" w:lineRule="exact"/>
        <w:ind w:firstLine="684"/>
        <w:jc w:val="center"/>
        <w:outlineLvl w:val="1"/>
        <w:rPr>
          <w:rFonts w:hint="eastAsia" w:ascii="仿宋" w:hAnsi="仿宋" w:eastAsia="仿宋" w:cs="仿宋"/>
          <w:bCs/>
          <w:szCs w:val="32"/>
          <w:lang w:eastAsia="zh-CN"/>
        </w:rPr>
      </w:pPr>
      <w:bookmarkStart w:id="253" w:name="_Toc32343"/>
      <w:bookmarkStart w:id="254" w:name="_Toc179658323"/>
      <w:bookmarkStart w:id="255" w:name="_Toc17320"/>
      <w:bookmarkStart w:id="256" w:name="_Toc199443757"/>
      <w:bookmarkStart w:id="257" w:name="_Toc8920"/>
      <w:r>
        <w:rPr>
          <w:rFonts w:hint="eastAsia" w:ascii="仿宋" w:hAnsi="仿宋" w:eastAsia="仿宋" w:cs="仿宋"/>
          <w:bCs/>
          <w:spacing w:val="11"/>
          <w:szCs w:val="32"/>
          <w:lang w:eastAsia="zh-CN"/>
        </w:rPr>
        <w:t>财</w:t>
      </w:r>
      <w:r>
        <w:rPr>
          <w:rFonts w:hint="eastAsia" w:ascii="仿宋" w:hAnsi="仿宋" w:eastAsia="仿宋" w:cs="仿宋"/>
          <w:bCs/>
          <w:spacing w:val="9"/>
          <w:szCs w:val="32"/>
          <w:lang w:eastAsia="zh-CN"/>
        </w:rPr>
        <w:t>政支出绩效评价工作流程图</w:t>
      </w:r>
      <w:bookmarkEnd w:id="253"/>
      <w:bookmarkEnd w:id="254"/>
      <w:bookmarkEnd w:id="255"/>
      <w:bookmarkEnd w:id="256"/>
      <w:bookmarkEnd w:id="257"/>
    </w:p>
    <w:p>
      <w:pPr>
        <w:spacing w:before="247" w:line="228" w:lineRule="auto"/>
        <w:ind w:firstLine="0" w:firstLineChars="0"/>
        <w:rPr>
          <w:rFonts w:eastAsia="宋体"/>
          <w:sz w:val="23"/>
          <w:szCs w:val="23"/>
          <w:lang w:eastAsia="zh-CN"/>
        </w:rPr>
      </w:pPr>
      <w:r>
        <w:drawing>
          <wp:inline distT="0" distB="0" distL="0" distR="0">
            <wp:extent cx="4942840" cy="2550160"/>
            <wp:effectExtent l="0" t="0" r="1016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8"/>
                    <a:stretch>
                      <a:fillRect/>
                    </a:stretch>
                  </pic:blipFill>
                  <pic:spPr>
                    <a:xfrm>
                      <a:off x="0" y="0"/>
                      <a:ext cx="4942840" cy="2550160"/>
                    </a:xfrm>
                    <a:prstGeom prst="rect">
                      <a:avLst/>
                    </a:prstGeom>
                  </pic:spPr>
                </pic:pic>
              </a:graphicData>
            </a:graphic>
          </wp:inline>
        </w:drawing>
      </w:r>
    </w:p>
    <w:p>
      <w:pPr>
        <w:pStyle w:val="2"/>
        <w:numPr>
          <w:numId w:val="0"/>
        </w:numPr>
        <w:spacing w:before="0" w:beforeLines="0" w:after="0" w:afterLines="0"/>
        <w:ind w:leftChars="0" w:firstLine="640" w:firstLineChars="200"/>
        <w:rPr>
          <w:rFonts w:hint="eastAsia" w:ascii="黑体" w:hAnsi="黑体" w:eastAsia="黑体" w:cs="黑体"/>
          <w:b w:val="0"/>
          <w:bCs/>
          <w:szCs w:val="32"/>
          <w:lang w:eastAsia="zh-CN"/>
        </w:rPr>
      </w:pPr>
      <w:bookmarkStart w:id="258" w:name="_Toc5665919"/>
      <w:bookmarkStart w:id="259" w:name="_Toc1232831072"/>
      <w:bookmarkStart w:id="260" w:name="_Toc1850422540"/>
      <w:bookmarkStart w:id="261" w:name="_Toc9387"/>
      <w:bookmarkStart w:id="262" w:name="_Toc199443758"/>
      <w:bookmarkStart w:id="263" w:name="_Toc27103"/>
      <w:bookmarkStart w:id="264" w:name="_Toc709323845"/>
      <w:bookmarkStart w:id="265" w:name="_Toc2115246641_WPSOffice_Level1"/>
      <w:bookmarkStart w:id="266" w:name="_Toc179658324"/>
      <w:bookmarkStart w:id="267" w:name="_Toc132480965"/>
      <w:r>
        <w:rPr>
          <w:rFonts w:hint="eastAsia" w:ascii="黑体" w:hAnsi="黑体" w:eastAsia="黑体" w:cs="黑体"/>
          <w:b w:val="0"/>
          <w:bCs/>
          <w:szCs w:val="32"/>
          <w:lang w:eastAsia="zh-CN"/>
        </w:rPr>
        <w:t>三、综合评价情况及评价结论（附相关评分表）</w:t>
      </w:r>
      <w:bookmarkEnd w:id="258"/>
      <w:bookmarkEnd w:id="259"/>
      <w:bookmarkEnd w:id="260"/>
      <w:bookmarkEnd w:id="261"/>
      <w:bookmarkEnd w:id="262"/>
      <w:bookmarkEnd w:id="263"/>
      <w:bookmarkEnd w:id="264"/>
      <w:bookmarkEnd w:id="265"/>
      <w:bookmarkEnd w:id="266"/>
      <w:bookmarkEnd w:id="267"/>
    </w:p>
    <w:p>
      <w:pPr>
        <w:ind w:firstLine="612"/>
        <w:rPr>
          <w:rFonts w:hint="eastAsia" w:ascii="仿宋" w:hAnsi="仿宋" w:eastAsia="仿宋" w:cs="仿宋"/>
          <w:bCs/>
          <w:spacing w:val="-7"/>
          <w:szCs w:val="32"/>
          <w:lang w:eastAsia="zh-CN"/>
        </w:rPr>
      </w:pPr>
      <w:r>
        <w:rPr>
          <w:rFonts w:hint="eastAsia" w:ascii="仿宋" w:hAnsi="仿宋" w:eastAsia="仿宋" w:cs="仿宋"/>
          <w:bCs/>
          <w:spacing w:val="-7"/>
          <w:szCs w:val="32"/>
          <w:lang w:eastAsia="zh-CN"/>
        </w:rPr>
        <w:t>评价工作组根据相关文件制定了《乐山市金口河区文化广播电视体育和旅游局农业产业推广：第二届非遗特色美食大赛及推广项目绩效评价指标体系及综合评分表》，绩效评价满分为100分，经评议，项目绩效评价得分为</w:t>
      </w:r>
      <w:r>
        <w:rPr>
          <w:rFonts w:hint="eastAsia" w:ascii="仿宋" w:hAnsi="仿宋" w:eastAsia="仿宋" w:cs="仿宋"/>
          <w:bCs/>
          <w:spacing w:val="-7"/>
          <w:szCs w:val="32"/>
          <w:lang w:val="en-US" w:eastAsia="zh-CN"/>
        </w:rPr>
        <w:t>94.02</w:t>
      </w:r>
      <w:r>
        <w:rPr>
          <w:rFonts w:hint="eastAsia" w:ascii="仿宋" w:hAnsi="仿宋" w:eastAsia="仿宋" w:cs="仿宋"/>
          <w:bCs/>
          <w:spacing w:val="-7"/>
          <w:szCs w:val="32"/>
          <w:lang w:eastAsia="zh-CN"/>
        </w:rPr>
        <w:t>分，其中，项目决策1</w:t>
      </w:r>
      <w:r>
        <w:rPr>
          <w:rFonts w:hint="eastAsia" w:ascii="仿宋" w:hAnsi="仿宋" w:eastAsia="仿宋" w:cs="仿宋"/>
          <w:bCs/>
          <w:spacing w:val="-7"/>
          <w:szCs w:val="32"/>
          <w:lang w:val="en-US" w:eastAsia="zh-CN"/>
        </w:rPr>
        <w:t>6</w:t>
      </w:r>
      <w:r>
        <w:rPr>
          <w:rFonts w:hint="eastAsia" w:ascii="仿宋" w:hAnsi="仿宋" w:eastAsia="仿宋" w:cs="仿宋"/>
          <w:bCs/>
          <w:spacing w:val="-7"/>
          <w:szCs w:val="32"/>
          <w:lang w:eastAsia="zh-CN"/>
        </w:rPr>
        <w:t>.50分，项目过程</w:t>
      </w:r>
      <w:r>
        <w:rPr>
          <w:rFonts w:hint="eastAsia" w:ascii="仿宋" w:hAnsi="仿宋" w:eastAsia="仿宋" w:cs="仿宋"/>
          <w:bCs/>
          <w:spacing w:val="-7"/>
          <w:szCs w:val="32"/>
          <w:lang w:val="en-US" w:eastAsia="zh-CN"/>
        </w:rPr>
        <w:t>19.12</w:t>
      </w:r>
      <w:r>
        <w:rPr>
          <w:rFonts w:hint="eastAsia" w:ascii="仿宋" w:hAnsi="仿宋" w:eastAsia="仿宋" w:cs="仿宋"/>
          <w:bCs/>
          <w:spacing w:val="-7"/>
          <w:szCs w:val="32"/>
          <w:lang w:eastAsia="zh-CN"/>
        </w:rPr>
        <w:t>分，项目产出</w:t>
      </w:r>
      <w:r>
        <w:rPr>
          <w:rFonts w:hint="eastAsia" w:ascii="仿宋" w:hAnsi="仿宋" w:eastAsia="仿宋" w:cs="仿宋"/>
          <w:bCs/>
          <w:spacing w:val="-7"/>
          <w:szCs w:val="32"/>
          <w:lang w:val="en-US" w:eastAsia="zh-CN"/>
        </w:rPr>
        <w:t>28.4</w:t>
      </w:r>
      <w:r>
        <w:rPr>
          <w:rFonts w:hint="eastAsia" w:ascii="仿宋" w:hAnsi="仿宋" w:eastAsia="仿宋" w:cs="仿宋"/>
          <w:bCs/>
          <w:spacing w:val="-7"/>
          <w:szCs w:val="32"/>
          <w:lang w:eastAsia="zh-CN"/>
        </w:rPr>
        <w:t>分，项目效益</w:t>
      </w:r>
      <w:r>
        <w:rPr>
          <w:rFonts w:hint="eastAsia" w:ascii="仿宋" w:hAnsi="仿宋" w:eastAsia="仿宋" w:cs="仿宋"/>
          <w:bCs/>
          <w:spacing w:val="-7"/>
          <w:szCs w:val="32"/>
          <w:lang w:val="en-US" w:eastAsia="zh-CN"/>
        </w:rPr>
        <w:t>30</w:t>
      </w:r>
      <w:r>
        <w:rPr>
          <w:rFonts w:hint="eastAsia" w:ascii="仿宋" w:hAnsi="仿宋" w:eastAsia="仿宋" w:cs="仿宋"/>
          <w:bCs/>
          <w:spacing w:val="-7"/>
          <w:szCs w:val="32"/>
          <w:lang w:eastAsia="zh-CN"/>
        </w:rPr>
        <w:t>.00分。评价绩效级别评定为“</w:t>
      </w:r>
      <w:r>
        <w:rPr>
          <w:rFonts w:hint="eastAsia" w:ascii="仿宋" w:hAnsi="仿宋" w:eastAsia="仿宋" w:cs="仿宋"/>
          <w:bCs/>
          <w:spacing w:val="-7"/>
          <w:szCs w:val="32"/>
          <w:lang w:val="en-US" w:eastAsia="zh-CN"/>
        </w:rPr>
        <w:t>优</w:t>
      </w:r>
      <w:r>
        <w:rPr>
          <w:rFonts w:hint="eastAsia" w:ascii="仿宋" w:hAnsi="仿宋" w:eastAsia="仿宋" w:cs="仿宋"/>
          <w:bCs/>
          <w:spacing w:val="-7"/>
          <w:szCs w:val="32"/>
          <w:lang w:eastAsia="zh-CN"/>
        </w:rPr>
        <w:t>”。</w:t>
      </w:r>
    </w:p>
    <w:p>
      <w:pPr>
        <w:ind w:firstLine="0" w:firstLineChars="0"/>
        <w:jc w:val="center"/>
        <w:rPr>
          <w:rFonts w:hint="eastAsia" w:ascii="仿宋" w:hAnsi="仿宋" w:eastAsia="仿宋" w:cs="仿宋"/>
          <w:bCs/>
          <w:szCs w:val="32"/>
          <w:lang w:eastAsia="zh-CN"/>
        </w:rPr>
      </w:pPr>
      <w:r>
        <w:rPr>
          <w:rFonts w:hint="eastAsia" w:ascii="仿宋" w:hAnsi="仿宋" w:eastAsia="仿宋" w:cs="仿宋"/>
          <w:bCs/>
          <w:szCs w:val="32"/>
          <w:lang w:eastAsia="zh-CN"/>
        </w:rPr>
        <w:t>乐山市金口河区文化广播电视体育和旅游局</w:t>
      </w:r>
    </w:p>
    <w:p>
      <w:pPr>
        <w:ind w:firstLine="0" w:firstLineChars="0"/>
        <w:jc w:val="center"/>
        <w:rPr>
          <w:rFonts w:hint="eastAsia" w:ascii="仿宋" w:hAnsi="仿宋" w:eastAsia="仿宋" w:cs="仿宋"/>
          <w:bCs/>
          <w:szCs w:val="32"/>
          <w:lang w:eastAsia="zh-CN"/>
        </w:rPr>
      </w:pPr>
      <w:r>
        <w:rPr>
          <w:rFonts w:hint="eastAsia" w:ascii="仿宋" w:hAnsi="仿宋" w:eastAsia="仿宋" w:cs="仿宋"/>
          <w:bCs/>
          <w:szCs w:val="32"/>
          <w:lang w:eastAsia="zh-CN"/>
        </w:rPr>
        <w:t>农业产业推广：第二届非遗特色美食大赛及推广项目</w:t>
      </w:r>
      <w:r>
        <w:rPr>
          <w:rFonts w:hint="eastAsia" w:ascii="仿宋" w:hAnsi="仿宋" w:eastAsia="仿宋" w:cs="仿宋"/>
          <w:bCs/>
          <w:szCs w:val="32"/>
          <w:lang w:eastAsia="zh-CN"/>
        </w:rPr>
        <w:br w:type="textWrapping"/>
      </w:r>
      <w:r>
        <w:rPr>
          <w:rFonts w:hint="eastAsia" w:ascii="仿宋" w:hAnsi="仿宋" w:eastAsia="仿宋" w:cs="仿宋"/>
          <w:bCs/>
          <w:szCs w:val="32"/>
          <w:lang w:eastAsia="zh-CN"/>
        </w:rPr>
        <w:t>财政支出绩效评价结论一览表</w:t>
      </w:r>
    </w:p>
    <w:tbl>
      <w:tblPr>
        <w:tblStyle w:val="22"/>
        <w:tblW w:w="5000" w:type="pct"/>
        <w:tblInd w:w="0" w:type="dxa"/>
        <w:tblLayout w:type="autofit"/>
        <w:tblCellMar>
          <w:top w:w="15" w:type="dxa"/>
          <w:left w:w="15" w:type="dxa"/>
          <w:bottom w:w="15" w:type="dxa"/>
          <w:right w:w="15" w:type="dxa"/>
        </w:tblCellMar>
      </w:tblPr>
      <w:tblGrid>
        <w:gridCol w:w="2294"/>
        <w:gridCol w:w="2056"/>
        <w:gridCol w:w="1989"/>
        <w:gridCol w:w="1991"/>
      </w:tblGrid>
      <w:tr>
        <w:tblPrEx>
          <w:tblCellMar>
            <w:top w:w="15" w:type="dxa"/>
            <w:left w:w="15" w:type="dxa"/>
            <w:bottom w:w="15" w:type="dxa"/>
            <w:right w:w="15" w:type="dxa"/>
          </w:tblCellMar>
        </w:tblPrEx>
        <w:trPr>
          <w:trHeight w:val="255" w:hRule="atLeast"/>
          <w:tblHeader/>
        </w:trPr>
        <w:tc>
          <w:tcPr>
            <w:tcW w:w="1377"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pPr>
              <w:widowControl/>
              <w:spacing w:line="48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eastAsia="zh-CN"/>
              </w:rPr>
              <w:t>评价内容</w:t>
            </w:r>
          </w:p>
        </w:tc>
        <w:tc>
          <w:tcPr>
            <w:tcW w:w="1234"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pPr>
              <w:widowControl/>
              <w:spacing w:line="48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eastAsia="zh-CN"/>
              </w:rPr>
              <w:t>分值</w:t>
            </w:r>
          </w:p>
        </w:tc>
        <w:tc>
          <w:tcPr>
            <w:tcW w:w="1194"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pPr>
              <w:widowControl/>
              <w:spacing w:line="48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eastAsia="zh-CN"/>
              </w:rPr>
              <w:t>评价得分</w:t>
            </w:r>
          </w:p>
        </w:tc>
        <w:tc>
          <w:tcPr>
            <w:tcW w:w="1195"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pPr>
              <w:widowControl/>
              <w:spacing w:line="480" w:lineRule="auto"/>
              <w:ind w:firstLine="0" w:firstLineChars="0"/>
              <w:jc w:val="center"/>
              <w:textAlignment w:val="center"/>
              <w:rPr>
                <w:rFonts w:hint="eastAsia" w:ascii="仿宋" w:hAnsi="仿宋" w:eastAsia="仿宋" w:cs="仿宋"/>
                <w:sz w:val="24"/>
                <w:lang w:eastAsia="zh-CN"/>
              </w:rPr>
            </w:pPr>
            <w:r>
              <w:rPr>
                <w:rFonts w:hint="eastAsia" w:ascii="仿宋" w:hAnsi="仿宋" w:eastAsia="仿宋" w:cs="仿宋"/>
                <w:sz w:val="24"/>
                <w:lang w:eastAsia="zh-CN"/>
              </w:rPr>
              <w:t>得分率</w:t>
            </w:r>
          </w:p>
        </w:tc>
      </w:tr>
      <w:tr>
        <w:tblPrEx>
          <w:tblCellMar>
            <w:top w:w="15" w:type="dxa"/>
            <w:left w:w="15" w:type="dxa"/>
            <w:bottom w:w="15" w:type="dxa"/>
            <w:right w:w="15" w:type="dxa"/>
          </w:tblCellMar>
        </w:tblPrEx>
        <w:trPr>
          <w:trHeight w:val="255" w:hRule="atLeast"/>
        </w:trPr>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80" w:lineRule="auto"/>
              <w:ind w:firstLine="480"/>
              <w:textAlignment w:val="center"/>
              <w:rPr>
                <w:rFonts w:hint="eastAsia" w:ascii="仿宋" w:hAnsi="仿宋" w:eastAsia="仿宋" w:cs="仿宋"/>
                <w:sz w:val="24"/>
              </w:rPr>
            </w:pPr>
            <w:r>
              <w:rPr>
                <w:rFonts w:hint="eastAsia" w:ascii="仿宋" w:hAnsi="仿宋" w:eastAsia="仿宋" w:cs="仿宋"/>
                <w:sz w:val="24"/>
                <w:lang w:eastAsia="zh-CN"/>
              </w:rPr>
              <w:t>项目决策</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20</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16.5</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82.50%</w:t>
            </w:r>
          </w:p>
        </w:tc>
      </w:tr>
      <w:tr>
        <w:tblPrEx>
          <w:tblCellMar>
            <w:top w:w="15" w:type="dxa"/>
            <w:left w:w="15" w:type="dxa"/>
            <w:bottom w:w="15" w:type="dxa"/>
            <w:right w:w="15" w:type="dxa"/>
          </w:tblCellMar>
        </w:tblPrEx>
        <w:trPr>
          <w:trHeight w:val="255" w:hRule="atLeast"/>
        </w:trPr>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80" w:lineRule="auto"/>
              <w:ind w:firstLine="480"/>
              <w:textAlignment w:val="center"/>
              <w:rPr>
                <w:rFonts w:hint="eastAsia" w:ascii="仿宋" w:hAnsi="仿宋" w:eastAsia="仿宋" w:cs="仿宋"/>
                <w:sz w:val="24"/>
              </w:rPr>
            </w:pPr>
            <w:r>
              <w:rPr>
                <w:rFonts w:hint="eastAsia" w:ascii="仿宋" w:hAnsi="仿宋" w:eastAsia="仿宋" w:cs="仿宋"/>
                <w:sz w:val="24"/>
                <w:lang w:eastAsia="zh-CN"/>
              </w:rPr>
              <w:t>项目过程</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20</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19.12</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95.60%</w:t>
            </w:r>
          </w:p>
        </w:tc>
      </w:tr>
      <w:tr>
        <w:tblPrEx>
          <w:tblCellMar>
            <w:top w:w="15" w:type="dxa"/>
            <w:left w:w="15" w:type="dxa"/>
            <w:bottom w:w="15" w:type="dxa"/>
            <w:right w:w="15" w:type="dxa"/>
          </w:tblCellMar>
        </w:tblPrEx>
        <w:trPr>
          <w:trHeight w:val="90" w:hRule="atLeast"/>
        </w:trPr>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80" w:lineRule="auto"/>
              <w:ind w:firstLine="480"/>
              <w:textAlignment w:val="center"/>
              <w:rPr>
                <w:rFonts w:hint="eastAsia" w:ascii="仿宋" w:hAnsi="仿宋" w:eastAsia="仿宋" w:cs="仿宋"/>
                <w:sz w:val="24"/>
              </w:rPr>
            </w:pPr>
            <w:r>
              <w:rPr>
                <w:rFonts w:hint="eastAsia" w:ascii="仿宋" w:hAnsi="仿宋" w:eastAsia="仿宋" w:cs="仿宋"/>
                <w:sz w:val="24"/>
                <w:lang w:eastAsia="zh-CN"/>
              </w:rPr>
              <w:t>项目产出</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30</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28.4</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94.67%</w:t>
            </w:r>
          </w:p>
        </w:tc>
      </w:tr>
      <w:tr>
        <w:tblPrEx>
          <w:tblCellMar>
            <w:top w:w="15" w:type="dxa"/>
            <w:left w:w="15" w:type="dxa"/>
            <w:bottom w:w="15" w:type="dxa"/>
            <w:right w:w="15" w:type="dxa"/>
          </w:tblCellMar>
        </w:tblPrEx>
        <w:trPr>
          <w:trHeight w:val="563" w:hRule="atLeast"/>
        </w:trPr>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80" w:lineRule="auto"/>
              <w:ind w:firstLine="480"/>
              <w:textAlignment w:val="center"/>
              <w:rPr>
                <w:rFonts w:hint="eastAsia" w:ascii="仿宋" w:hAnsi="仿宋" w:eastAsia="仿宋" w:cs="仿宋"/>
                <w:sz w:val="24"/>
              </w:rPr>
            </w:pPr>
            <w:r>
              <w:rPr>
                <w:rFonts w:hint="eastAsia" w:ascii="仿宋" w:hAnsi="仿宋" w:eastAsia="仿宋" w:cs="仿宋"/>
                <w:sz w:val="24"/>
                <w:lang w:eastAsia="zh-CN"/>
              </w:rPr>
              <w:t>项目效益</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30</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30</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100.00%</w:t>
            </w:r>
          </w:p>
        </w:tc>
      </w:tr>
      <w:tr>
        <w:tblPrEx>
          <w:tblCellMar>
            <w:top w:w="15" w:type="dxa"/>
            <w:left w:w="15" w:type="dxa"/>
            <w:bottom w:w="15" w:type="dxa"/>
            <w:right w:w="15" w:type="dxa"/>
          </w:tblCellMar>
        </w:tblPrEx>
        <w:trPr>
          <w:trHeight w:val="255" w:hRule="atLeast"/>
        </w:trPr>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80" w:lineRule="auto"/>
              <w:ind w:firstLine="480"/>
              <w:textAlignment w:val="center"/>
              <w:rPr>
                <w:rFonts w:hint="eastAsia" w:ascii="仿宋" w:hAnsi="仿宋" w:eastAsia="仿宋" w:cs="仿宋"/>
                <w:sz w:val="24"/>
              </w:rPr>
            </w:pPr>
            <w:r>
              <w:rPr>
                <w:rFonts w:hint="eastAsia" w:ascii="仿宋" w:hAnsi="仿宋" w:eastAsia="仿宋" w:cs="仿宋"/>
                <w:sz w:val="24"/>
                <w:lang w:eastAsia="zh-CN"/>
              </w:rPr>
              <w:t>综合得分</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100</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94.02</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94.02%</w:t>
            </w:r>
          </w:p>
        </w:tc>
      </w:tr>
      <w:tr>
        <w:tblPrEx>
          <w:tblCellMar>
            <w:top w:w="15" w:type="dxa"/>
            <w:left w:w="15" w:type="dxa"/>
            <w:bottom w:w="15" w:type="dxa"/>
            <w:right w:w="15" w:type="dxa"/>
          </w:tblCellMar>
        </w:tblPrEx>
        <w:trPr>
          <w:trHeight w:val="255" w:hRule="atLeast"/>
        </w:trPr>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80" w:lineRule="auto"/>
              <w:ind w:firstLine="480"/>
              <w:textAlignment w:val="center"/>
              <w:rPr>
                <w:rFonts w:hint="eastAsia" w:ascii="仿宋" w:hAnsi="仿宋" w:eastAsia="仿宋" w:cs="仿宋"/>
                <w:sz w:val="24"/>
              </w:rPr>
            </w:pPr>
            <w:r>
              <w:rPr>
                <w:rFonts w:hint="eastAsia" w:ascii="仿宋" w:hAnsi="仿宋" w:eastAsia="仿宋" w:cs="仿宋"/>
                <w:sz w:val="24"/>
                <w:lang w:eastAsia="zh-CN"/>
              </w:rPr>
              <w:t>绩效评定级别</w:t>
            </w:r>
          </w:p>
        </w:tc>
        <w:tc>
          <w:tcPr>
            <w:tcW w:w="362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80" w:lineRule="auto"/>
              <w:ind w:firstLine="0" w:firstLineChars="0"/>
              <w:jc w:val="center"/>
              <w:rPr>
                <w:rFonts w:hint="default" w:ascii="仿宋" w:hAnsi="仿宋" w:eastAsia="仿宋" w:cs="仿宋"/>
                <w:sz w:val="24"/>
                <w:lang w:val="en-US" w:eastAsia="zh-CN"/>
              </w:rPr>
            </w:pPr>
            <w:r>
              <w:rPr>
                <w:rFonts w:hint="eastAsia" w:ascii="仿宋" w:hAnsi="仿宋" w:eastAsia="仿宋" w:cs="仿宋"/>
                <w:sz w:val="24"/>
                <w:lang w:val="en-US" w:eastAsia="zh-CN"/>
              </w:rPr>
              <w:t>优</w:t>
            </w:r>
          </w:p>
        </w:tc>
      </w:tr>
    </w:tbl>
    <w:p>
      <w:pPr>
        <w:ind w:firstLine="612"/>
        <w:rPr>
          <w:rFonts w:hint="eastAsia" w:ascii="仿宋" w:hAnsi="仿宋" w:eastAsia="仿宋" w:cs="仿宋"/>
          <w:spacing w:val="-7"/>
          <w:szCs w:val="32"/>
          <w:lang w:eastAsia="zh-CN"/>
        </w:rPr>
      </w:pPr>
      <w:r>
        <w:rPr>
          <w:rFonts w:hint="eastAsia" w:ascii="仿宋" w:hAnsi="仿宋" w:eastAsia="仿宋" w:cs="仿宋"/>
          <w:spacing w:val="-7"/>
          <w:szCs w:val="32"/>
          <w:lang w:eastAsia="zh-CN"/>
        </w:rPr>
        <w:t>附：农业产业推广：第二届非遗特色美食大赛及推广项目绩效评价指标体系及综合评分表（详见本报告“六、附件1”）</w:t>
      </w:r>
    </w:p>
    <w:p>
      <w:pPr>
        <w:pStyle w:val="2"/>
        <w:numPr>
          <w:numId w:val="0"/>
        </w:numPr>
        <w:spacing w:before="0" w:beforeLines="0" w:after="0" w:afterLines="0"/>
        <w:ind w:leftChars="0" w:firstLine="640" w:firstLineChars="200"/>
        <w:rPr>
          <w:rFonts w:hint="eastAsia" w:ascii="黑体" w:hAnsi="黑体" w:eastAsia="黑体" w:cs="黑体"/>
          <w:b w:val="0"/>
          <w:szCs w:val="32"/>
          <w:lang w:eastAsia="zh-CN"/>
        </w:rPr>
      </w:pPr>
      <w:bookmarkStart w:id="268" w:name="_Toc20649"/>
      <w:bookmarkStart w:id="269" w:name="_Toc1360"/>
      <w:bookmarkStart w:id="270" w:name="_Toc193453926"/>
      <w:bookmarkStart w:id="271" w:name="_Toc924138418"/>
      <w:bookmarkStart w:id="272" w:name="_Toc1269600848"/>
      <w:bookmarkStart w:id="273" w:name="_Toc737820165"/>
      <w:bookmarkStart w:id="274" w:name="_Toc199443759"/>
      <w:bookmarkStart w:id="275" w:name="_Toc132480966"/>
      <w:bookmarkStart w:id="276" w:name="_Toc179658325"/>
      <w:bookmarkStart w:id="277" w:name="_Toc1506002849_WPSOffice_Level1"/>
      <w:r>
        <w:rPr>
          <w:rFonts w:hint="eastAsia" w:ascii="黑体" w:hAnsi="黑体" w:eastAsia="黑体" w:cs="黑体"/>
          <w:b w:val="0"/>
          <w:szCs w:val="32"/>
          <w:lang w:eastAsia="zh-CN"/>
        </w:rPr>
        <w:t>四、绩效评价指标分析</w:t>
      </w:r>
      <w:bookmarkEnd w:id="268"/>
      <w:bookmarkEnd w:id="269"/>
      <w:bookmarkEnd w:id="270"/>
      <w:bookmarkEnd w:id="271"/>
      <w:bookmarkEnd w:id="272"/>
      <w:bookmarkEnd w:id="273"/>
      <w:bookmarkEnd w:id="274"/>
      <w:bookmarkEnd w:id="275"/>
      <w:bookmarkEnd w:id="276"/>
      <w:bookmarkEnd w:id="277"/>
    </w:p>
    <w:p>
      <w:pPr>
        <w:pStyle w:val="3"/>
        <w:numPr>
          <w:ilvl w:val="0"/>
          <w:numId w:val="10"/>
        </w:numPr>
        <w:spacing w:before="0" w:beforeLines="0" w:after="0" w:afterLines="0"/>
        <w:ind w:firstLineChars="0"/>
        <w:rPr>
          <w:rFonts w:hint="eastAsia" w:ascii="楷体" w:hAnsi="楷体" w:eastAsia="楷体" w:cs="楷体"/>
          <w:b w:val="0"/>
          <w:szCs w:val="32"/>
          <w:lang w:eastAsia="zh-CN"/>
        </w:rPr>
      </w:pPr>
      <w:bookmarkStart w:id="278" w:name="_Toc1392656222"/>
      <w:bookmarkStart w:id="279" w:name="_Toc199443760"/>
      <w:bookmarkStart w:id="280" w:name="_Toc179658326"/>
      <w:bookmarkStart w:id="281" w:name="_Toc783935744"/>
      <w:bookmarkStart w:id="282" w:name="_Toc1147619601_WPSOffice_Level2"/>
      <w:bookmarkStart w:id="283" w:name="_Toc132480967"/>
      <w:bookmarkStart w:id="284" w:name="_Toc28684"/>
      <w:bookmarkStart w:id="285" w:name="_Toc11188"/>
      <w:bookmarkStart w:id="286" w:name="_Toc89892724"/>
      <w:bookmarkStart w:id="287" w:name="_Toc972935377"/>
      <w:bookmarkStart w:id="288" w:name="_Toc130033913"/>
      <w:bookmarkStart w:id="289" w:name="_Toc6784"/>
      <w:bookmarkStart w:id="290" w:name="_Toc325523293_WPSOffice_Level3"/>
      <w:bookmarkStart w:id="291" w:name="_Toc28880"/>
      <w:bookmarkStart w:id="292" w:name="_Toc128438084"/>
      <w:bookmarkStart w:id="293" w:name="_Toc491633314"/>
      <w:bookmarkStart w:id="294" w:name="_Toc1373387760"/>
      <w:bookmarkStart w:id="295" w:name="_Toc2114965086"/>
      <w:r>
        <w:rPr>
          <w:rFonts w:hint="eastAsia" w:ascii="楷体" w:hAnsi="楷体" w:eastAsia="楷体" w:cs="楷体"/>
          <w:b w:val="0"/>
          <w:szCs w:val="32"/>
          <w:lang w:eastAsia="zh-CN"/>
        </w:rPr>
        <w:t>项目决策情况</w:t>
      </w:r>
      <w:bookmarkEnd w:id="278"/>
      <w:bookmarkEnd w:id="279"/>
      <w:bookmarkEnd w:id="280"/>
      <w:bookmarkEnd w:id="281"/>
      <w:bookmarkEnd w:id="282"/>
      <w:bookmarkEnd w:id="283"/>
      <w:bookmarkEnd w:id="284"/>
      <w:bookmarkEnd w:id="285"/>
      <w:bookmarkEnd w:id="286"/>
      <w:bookmarkEnd w:id="287"/>
    </w:p>
    <w:p>
      <w:pPr>
        <w:ind w:firstLine="612"/>
        <w:rPr>
          <w:rFonts w:hint="eastAsia" w:ascii="仿宋" w:hAnsi="仿宋" w:eastAsia="仿宋" w:cs="仿宋"/>
          <w:spacing w:val="-7"/>
          <w:szCs w:val="32"/>
          <w:lang w:eastAsia="zh-CN"/>
        </w:rPr>
      </w:pPr>
      <w:r>
        <w:rPr>
          <w:rFonts w:hint="eastAsia" w:ascii="仿宋" w:hAnsi="仿宋" w:eastAsia="仿宋" w:cs="仿宋"/>
          <w:spacing w:val="-7"/>
          <w:szCs w:val="32"/>
          <w:lang w:eastAsia="zh-CN"/>
        </w:rPr>
        <w:t>项目决策是项目立项的前提和方向，本次评价从项目立项、绩效目标以及资金投入三个方面来评价项目决策的优劣。项目决策权重20.00分，本项目得分</w:t>
      </w:r>
      <w:r>
        <w:rPr>
          <w:rFonts w:hint="eastAsia" w:ascii="仿宋" w:hAnsi="仿宋" w:eastAsia="仿宋" w:cs="仿宋"/>
          <w:spacing w:val="-7"/>
          <w:szCs w:val="32"/>
          <w:lang w:val="en-US" w:eastAsia="zh-CN"/>
        </w:rPr>
        <w:t>16.50</w:t>
      </w:r>
      <w:r>
        <w:rPr>
          <w:rFonts w:hint="eastAsia" w:ascii="仿宋" w:hAnsi="仿宋" w:eastAsia="仿宋" w:cs="仿宋"/>
          <w:spacing w:val="-7"/>
          <w:szCs w:val="32"/>
          <w:lang w:eastAsia="zh-CN"/>
        </w:rPr>
        <w:t>分，得分率</w:t>
      </w:r>
      <w:r>
        <w:rPr>
          <w:rFonts w:hint="eastAsia" w:ascii="仿宋" w:hAnsi="仿宋" w:eastAsia="仿宋" w:cs="仿宋"/>
          <w:spacing w:val="-7"/>
          <w:szCs w:val="32"/>
          <w:lang w:val="en-US" w:eastAsia="zh-CN"/>
        </w:rPr>
        <w:t>82.50</w:t>
      </w:r>
      <w:r>
        <w:rPr>
          <w:rFonts w:hint="eastAsia" w:ascii="仿宋" w:hAnsi="仿宋" w:eastAsia="仿宋" w:cs="仿宋"/>
          <w:spacing w:val="-7"/>
          <w:szCs w:val="32"/>
          <w:lang w:eastAsia="zh-CN"/>
        </w:rPr>
        <w:t>%。扣分原因是</w:t>
      </w:r>
      <w:r>
        <w:rPr>
          <w:rFonts w:hint="eastAsia" w:ascii="仿宋" w:hAnsi="仿宋" w:eastAsia="仿宋" w:cs="仿宋"/>
          <w:spacing w:val="-7"/>
          <w:szCs w:val="32"/>
          <w:lang w:val="en-US" w:eastAsia="zh-CN"/>
        </w:rPr>
        <w:t>编制的经费预算清单</w:t>
      </w:r>
      <w:r>
        <w:rPr>
          <w:rFonts w:hint="eastAsia" w:ascii="仿宋" w:hAnsi="仿宋" w:eastAsia="仿宋" w:cs="仿宋"/>
          <w:spacing w:val="-7"/>
          <w:szCs w:val="32"/>
          <w:lang w:eastAsia="zh-CN"/>
        </w:rPr>
        <w:t>与</w:t>
      </w:r>
      <w:r>
        <w:rPr>
          <w:rFonts w:hint="eastAsia" w:ascii="仿宋" w:hAnsi="仿宋" w:eastAsia="仿宋" w:cs="仿宋"/>
          <w:spacing w:val="-7"/>
          <w:szCs w:val="32"/>
          <w:lang w:val="en-US" w:eastAsia="zh-CN"/>
        </w:rPr>
        <w:t>实际支出费用存在一定差异</w:t>
      </w:r>
      <w:r>
        <w:rPr>
          <w:rFonts w:hint="eastAsia" w:ascii="仿宋" w:hAnsi="仿宋" w:eastAsia="仿宋" w:cs="仿宋"/>
          <w:spacing w:val="-7"/>
          <w:szCs w:val="32"/>
          <w:lang w:eastAsia="zh-CN"/>
        </w:rPr>
        <w:t>，预算额度编制依据不够充分，预算资金</w:t>
      </w:r>
      <w:r>
        <w:rPr>
          <w:rFonts w:hint="eastAsia" w:ascii="仿宋" w:hAnsi="仿宋" w:eastAsia="仿宋" w:cs="仿宋"/>
          <w:spacing w:val="-7"/>
          <w:szCs w:val="32"/>
          <w:lang w:val="en-US" w:eastAsia="zh-CN"/>
        </w:rPr>
        <w:t>分配依据存在瑕疵</w:t>
      </w:r>
      <w:r>
        <w:rPr>
          <w:rFonts w:hint="eastAsia" w:ascii="仿宋" w:hAnsi="仿宋" w:eastAsia="仿宋" w:cs="仿宋"/>
          <w:spacing w:val="-7"/>
          <w:szCs w:val="32"/>
          <w:lang w:eastAsia="zh-CN"/>
        </w:rPr>
        <w:t>。具体得分情况见下表4-1：</w:t>
      </w:r>
    </w:p>
    <w:p>
      <w:pPr>
        <w:ind w:firstLine="0" w:firstLineChars="0"/>
        <w:jc w:val="center"/>
        <w:rPr>
          <w:rFonts w:hint="eastAsia" w:ascii="仿宋" w:hAnsi="仿宋" w:eastAsia="仿宋" w:cs="仿宋"/>
          <w:szCs w:val="32"/>
        </w:rPr>
      </w:pPr>
      <w:r>
        <w:rPr>
          <w:rFonts w:hint="eastAsia" w:ascii="仿宋" w:hAnsi="仿宋" w:eastAsia="仿宋" w:cs="仿宋"/>
          <w:szCs w:val="32"/>
        </w:rPr>
        <w:t>表4-1项目决策指标得分</w:t>
      </w:r>
    </w:p>
    <w:tbl>
      <w:tblPr>
        <w:tblStyle w:val="22"/>
        <w:tblW w:w="5000" w:type="pct"/>
        <w:tblInd w:w="0" w:type="dxa"/>
        <w:tblLayout w:type="autofit"/>
        <w:tblCellMar>
          <w:top w:w="0" w:type="dxa"/>
          <w:left w:w="108" w:type="dxa"/>
          <w:bottom w:w="0" w:type="dxa"/>
          <w:right w:w="108" w:type="dxa"/>
        </w:tblCellMar>
      </w:tblPr>
      <w:tblGrid>
        <w:gridCol w:w="2127"/>
        <w:gridCol w:w="2130"/>
        <w:gridCol w:w="2127"/>
        <w:gridCol w:w="2132"/>
      </w:tblGrid>
      <w:tr>
        <w:tblPrEx>
          <w:tblCellMar>
            <w:top w:w="0" w:type="dxa"/>
            <w:left w:w="108" w:type="dxa"/>
            <w:bottom w:w="0" w:type="dxa"/>
            <w:right w:w="108" w:type="dxa"/>
          </w:tblCellMar>
        </w:tblPrEx>
        <w:trPr>
          <w:trHeight w:val="567" w:hRule="atLeast"/>
          <w:tblHeader/>
        </w:trPr>
        <w:tc>
          <w:tcPr>
            <w:tcW w:w="1250" w:type="pct"/>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pPr>
              <w:widowControl/>
              <w:spacing w:line="480" w:lineRule="auto"/>
              <w:ind w:firstLine="0" w:firstLineChars="0"/>
              <w:jc w:val="center"/>
              <w:rPr>
                <w:rFonts w:hint="eastAsia" w:ascii="仿宋" w:hAnsi="仿宋" w:eastAsia="仿宋" w:cs="仿宋"/>
                <w:bCs/>
                <w:sz w:val="24"/>
              </w:rPr>
            </w:pPr>
            <w:r>
              <w:rPr>
                <w:rFonts w:hint="eastAsia" w:ascii="仿宋" w:hAnsi="仿宋" w:eastAsia="仿宋" w:cs="仿宋"/>
                <w:bCs/>
                <w:sz w:val="24"/>
              </w:rPr>
              <w:t>二级指标</w:t>
            </w:r>
          </w:p>
        </w:tc>
        <w:tc>
          <w:tcPr>
            <w:tcW w:w="1250" w:type="pct"/>
            <w:tcBorders>
              <w:top w:val="single" w:color="auto" w:sz="4" w:space="0"/>
              <w:left w:val="nil"/>
              <w:bottom w:val="single" w:color="auto" w:sz="4" w:space="0"/>
              <w:right w:val="single" w:color="auto" w:sz="4" w:space="0"/>
            </w:tcBorders>
            <w:shd w:val="clear" w:color="auto" w:fill="BEBEBE" w:themeFill="background1" w:themeFillShade="BF"/>
            <w:noWrap/>
            <w:vAlign w:val="center"/>
          </w:tcPr>
          <w:p>
            <w:pPr>
              <w:widowControl/>
              <w:spacing w:line="480" w:lineRule="auto"/>
              <w:ind w:firstLine="0" w:firstLineChars="0"/>
              <w:jc w:val="center"/>
              <w:rPr>
                <w:rFonts w:hint="eastAsia" w:ascii="仿宋" w:hAnsi="仿宋" w:eastAsia="仿宋" w:cs="仿宋"/>
                <w:bCs/>
                <w:sz w:val="24"/>
              </w:rPr>
            </w:pPr>
            <w:r>
              <w:rPr>
                <w:rFonts w:hint="eastAsia" w:ascii="仿宋" w:hAnsi="仿宋" w:eastAsia="仿宋" w:cs="仿宋"/>
                <w:bCs/>
                <w:sz w:val="24"/>
              </w:rPr>
              <w:t>分数</w:t>
            </w:r>
          </w:p>
        </w:tc>
        <w:tc>
          <w:tcPr>
            <w:tcW w:w="1250" w:type="pct"/>
            <w:tcBorders>
              <w:top w:val="single" w:color="auto" w:sz="4" w:space="0"/>
              <w:left w:val="nil"/>
              <w:bottom w:val="single" w:color="auto" w:sz="4" w:space="0"/>
              <w:right w:val="single" w:color="auto" w:sz="4" w:space="0"/>
            </w:tcBorders>
            <w:shd w:val="clear" w:color="auto" w:fill="BEBEBE" w:themeFill="background1" w:themeFillShade="BF"/>
            <w:vAlign w:val="center"/>
          </w:tcPr>
          <w:p>
            <w:pPr>
              <w:widowControl/>
              <w:spacing w:line="480" w:lineRule="auto"/>
              <w:ind w:firstLine="0" w:firstLineChars="0"/>
              <w:jc w:val="center"/>
              <w:rPr>
                <w:rFonts w:hint="eastAsia" w:ascii="仿宋" w:hAnsi="仿宋" w:eastAsia="仿宋" w:cs="仿宋"/>
                <w:bCs/>
                <w:sz w:val="24"/>
              </w:rPr>
            </w:pPr>
            <w:r>
              <w:rPr>
                <w:rFonts w:hint="eastAsia" w:ascii="仿宋" w:hAnsi="仿宋" w:eastAsia="仿宋" w:cs="仿宋"/>
                <w:bCs/>
                <w:sz w:val="24"/>
              </w:rPr>
              <w:t>得分</w:t>
            </w:r>
          </w:p>
        </w:tc>
        <w:tc>
          <w:tcPr>
            <w:tcW w:w="1250" w:type="pct"/>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pPr>
              <w:widowControl/>
              <w:spacing w:line="480" w:lineRule="auto"/>
              <w:ind w:firstLine="0" w:firstLineChars="0"/>
              <w:jc w:val="center"/>
              <w:rPr>
                <w:rFonts w:hint="eastAsia" w:ascii="仿宋" w:hAnsi="仿宋" w:eastAsia="仿宋" w:cs="仿宋"/>
                <w:bCs/>
                <w:sz w:val="24"/>
              </w:rPr>
            </w:pPr>
            <w:r>
              <w:rPr>
                <w:rFonts w:hint="eastAsia" w:ascii="仿宋" w:hAnsi="仿宋" w:eastAsia="仿宋" w:cs="仿宋"/>
                <w:bCs/>
                <w:sz w:val="24"/>
              </w:rPr>
              <w:t>得分率</w:t>
            </w:r>
          </w:p>
        </w:tc>
      </w:tr>
      <w:tr>
        <w:tblPrEx>
          <w:tblCellMar>
            <w:top w:w="0" w:type="dxa"/>
            <w:left w:w="108" w:type="dxa"/>
            <w:bottom w:w="0" w:type="dxa"/>
            <w:right w:w="108" w:type="dxa"/>
          </w:tblCellMar>
        </w:tblPrEx>
        <w:trPr>
          <w:trHeight w:val="567" w:hRule="atLeast"/>
        </w:trPr>
        <w:tc>
          <w:tcPr>
            <w:tcW w:w="1250" w:type="pct"/>
            <w:tcBorders>
              <w:top w:val="nil"/>
              <w:left w:val="single" w:color="auto" w:sz="4" w:space="0"/>
              <w:bottom w:val="single" w:color="auto" w:sz="4" w:space="0"/>
              <w:right w:val="single" w:color="auto" w:sz="4" w:space="0"/>
            </w:tcBorders>
            <w:shd w:val="clear" w:color="auto" w:fill="auto"/>
            <w:noWrap/>
            <w:vAlign w:val="center"/>
          </w:tcPr>
          <w:p>
            <w:pPr>
              <w:widowControl/>
              <w:spacing w:line="480" w:lineRule="auto"/>
              <w:ind w:firstLine="0" w:firstLineChars="0"/>
              <w:jc w:val="center"/>
              <w:rPr>
                <w:rFonts w:hint="eastAsia" w:ascii="仿宋" w:hAnsi="仿宋" w:eastAsia="仿宋" w:cs="仿宋"/>
                <w:bCs/>
                <w:sz w:val="24"/>
              </w:rPr>
            </w:pPr>
            <w:r>
              <w:rPr>
                <w:rFonts w:hint="eastAsia" w:ascii="仿宋" w:hAnsi="仿宋" w:eastAsia="仿宋" w:cs="仿宋"/>
                <w:bCs/>
                <w:sz w:val="24"/>
              </w:rPr>
              <w:t>项目立项</w:t>
            </w:r>
          </w:p>
        </w:tc>
        <w:tc>
          <w:tcPr>
            <w:tcW w:w="21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bCs/>
                <w:sz w:val="24"/>
              </w:rPr>
            </w:pPr>
            <w:r>
              <w:rPr>
                <w:rFonts w:hint="eastAsia" w:ascii="仿宋" w:hAnsi="仿宋" w:eastAsia="仿宋" w:cs="仿宋"/>
                <w:i w:val="0"/>
                <w:iCs w:val="0"/>
                <w:color w:val="000000"/>
                <w:kern w:val="0"/>
                <w:sz w:val="24"/>
                <w:szCs w:val="24"/>
                <w:u w:val="none"/>
                <w:lang w:val="en-US" w:eastAsia="zh-CN" w:bidi="ar"/>
              </w:rPr>
              <w:t>8</w:t>
            </w:r>
          </w:p>
        </w:tc>
        <w:tc>
          <w:tcPr>
            <w:tcW w:w="213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bCs/>
                <w:sz w:val="24"/>
              </w:rPr>
            </w:pPr>
            <w:r>
              <w:rPr>
                <w:rFonts w:hint="eastAsia" w:ascii="仿宋" w:hAnsi="仿宋" w:eastAsia="仿宋" w:cs="仿宋"/>
                <w:i w:val="0"/>
                <w:iCs w:val="0"/>
                <w:color w:val="000000"/>
                <w:kern w:val="0"/>
                <w:sz w:val="24"/>
                <w:szCs w:val="24"/>
                <w:u w:val="none"/>
                <w:lang w:val="en-US" w:eastAsia="zh-CN" w:bidi="ar"/>
              </w:rPr>
              <w:t>8</w:t>
            </w:r>
          </w:p>
        </w:tc>
        <w:tc>
          <w:tcPr>
            <w:tcW w:w="21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bCs/>
                <w:sz w:val="24"/>
              </w:rPr>
            </w:pPr>
            <w:r>
              <w:rPr>
                <w:rFonts w:hint="eastAsia" w:ascii="仿宋" w:hAnsi="仿宋" w:eastAsia="仿宋" w:cs="仿宋"/>
                <w:i w:val="0"/>
                <w:iCs w:val="0"/>
                <w:color w:val="000000"/>
                <w:kern w:val="0"/>
                <w:sz w:val="24"/>
                <w:szCs w:val="24"/>
                <w:u w:val="none"/>
                <w:lang w:val="en-US" w:eastAsia="zh-CN" w:bidi="ar"/>
              </w:rPr>
              <w:t>100.00%</w:t>
            </w:r>
          </w:p>
        </w:tc>
      </w:tr>
      <w:tr>
        <w:tblPrEx>
          <w:tblCellMar>
            <w:top w:w="0" w:type="dxa"/>
            <w:left w:w="108" w:type="dxa"/>
            <w:bottom w:w="0" w:type="dxa"/>
            <w:right w:w="108" w:type="dxa"/>
          </w:tblCellMar>
        </w:tblPrEx>
        <w:trPr>
          <w:trHeight w:val="567" w:hRule="atLeast"/>
        </w:trPr>
        <w:tc>
          <w:tcPr>
            <w:tcW w:w="1250" w:type="pct"/>
            <w:tcBorders>
              <w:top w:val="nil"/>
              <w:left w:val="single" w:color="auto" w:sz="4" w:space="0"/>
              <w:bottom w:val="single" w:color="auto" w:sz="4" w:space="0"/>
              <w:right w:val="single" w:color="auto" w:sz="4" w:space="0"/>
            </w:tcBorders>
            <w:shd w:val="clear" w:color="auto" w:fill="auto"/>
            <w:noWrap/>
            <w:vAlign w:val="center"/>
          </w:tcPr>
          <w:p>
            <w:pPr>
              <w:widowControl/>
              <w:spacing w:line="480" w:lineRule="auto"/>
              <w:ind w:firstLine="0" w:firstLineChars="0"/>
              <w:jc w:val="center"/>
              <w:rPr>
                <w:rFonts w:hint="eastAsia" w:ascii="仿宋" w:hAnsi="仿宋" w:eastAsia="仿宋" w:cs="仿宋"/>
                <w:bCs/>
                <w:sz w:val="24"/>
              </w:rPr>
            </w:pPr>
            <w:r>
              <w:rPr>
                <w:rFonts w:hint="eastAsia" w:ascii="仿宋" w:hAnsi="仿宋" w:eastAsia="仿宋" w:cs="仿宋"/>
                <w:bCs/>
                <w:sz w:val="24"/>
              </w:rPr>
              <w:t>绩效目标</w:t>
            </w:r>
          </w:p>
        </w:tc>
        <w:tc>
          <w:tcPr>
            <w:tcW w:w="21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bCs/>
                <w:sz w:val="24"/>
              </w:rPr>
            </w:pPr>
            <w:r>
              <w:rPr>
                <w:rFonts w:hint="eastAsia" w:ascii="仿宋" w:hAnsi="仿宋" w:eastAsia="仿宋" w:cs="仿宋"/>
                <w:i w:val="0"/>
                <w:iCs w:val="0"/>
                <w:color w:val="000000"/>
                <w:kern w:val="0"/>
                <w:sz w:val="24"/>
                <w:szCs w:val="24"/>
                <w:u w:val="none"/>
                <w:lang w:val="en-US" w:eastAsia="zh-CN" w:bidi="ar"/>
              </w:rPr>
              <w:t>6</w:t>
            </w:r>
          </w:p>
        </w:tc>
        <w:tc>
          <w:tcPr>
            <w:tcW w:w="213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bCs/>
                <w:sz w:val="24"/>
              </w:rPr>
            </w:pPr>
            <w:r>
              <w:rPr>
                <w:rFonts w:hint="eastAsia" w:ascii="仿宋" w:hAnsi="仿宋" w:eastAsia="仿宋" w:cs="仿宋"/>
                <w:i w:val="0"/>
                <w:iCs w:val="0"/>
                <w:color w:val="000000"/>
                <w:kern w:val="0"/>
                <w:sz w:val="24"/>
                <w:szCs w:val="24"/>
                <w:u w:val="none"/>
                <w:lang w:val="en-US" w:eastAsia="zh-CN" w:bidi="ar"/>
              </w:rPr>
              <w:t>6</w:t>
            </w:r>
          </w:p>
        </w:tc>
        <w:tc>
          <w:tcPr>
            <w:tcW w:w="21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bCs/>
                <w:sz w:val="24"/>
              </w:rPr>
            </w:pPr>
            <w:r>
              <w:rPr>
                <w:rFonts w:hint="eastAsia" w:ascii="仿宋" w:hAnsi="仿宋" w:eastAsia="仿宋" w:cs="仿宋"/>
                <w:i w:val="0"/>
                <w:iCs w:val="0"/>
                <w:color w:val="000000"/>
                <w:kern w:val="0"/>
                <w:sz w:val="24"/>
                <w:szCs w:val="24"/>
                <w:u w:val="none"/>
                <w:lang w:val="en-US" w:eastAsia="zh-CN" w:bidi="ar"/>
              </w:rPr>
              <w:t>100.00%</w:t>
            </w:r>
          </w:p>
        </w:tc>
      </w:tr>
      <w:tr>
        <w:tblPrEx>
          <w:tblCellMar>
            <w:top w:w="0" w:type="dxa"/>
            <w:left w:w="108" w:type="dxa"/>
            <w:bottom w:w="0" w:type="dxa"/>
            <w:right w:w="108" w:type="dxa"/>
          </w:tblCellMar>
        </w:tblPrEx>
        <w:trPr>
          <w:trHeight w:val="567" w:hRule="atLeast"/>
        </w:trPr>
        <w:tc>
          <w:tcPr>
            <w:tcW w:w="1250" w:type="pct"/>
            <w:tcBorders>
              <w:top w:val="nil"/>
              <w:left w:val="single" w:color="auto" w:sz="4" w:space="0"/>
              <w:bottom w:val="single" w:color="auto" w:sz="4" w:space="0"/>
              <w:right w:val="single" w:color="auto" w:sz="4" w:space="0"/>
            </w:tcBorders>
            <w:shd w:val="clear" w:color="auto" w:fill="auto"/>
            <w:noWrap/>
            <w:vAlign w:val="center"/>
          </w:tcPr>
          <w:p>
            <w:pPr>
              <w:widowControl/>
              <w:spacing w:line="480" w:lineRule="auto"/>
              <w:ind w:firstLine="0" w:firstLineChars="0"/>
              <w:jc w:val="center"/>
              <w:rPr>
                <w:rFonts w:hint="eastAsia" w:ascii="仿宋" w:hAnsi="仿宋" w:eastAsia="仿宋" w:cs="仿宋"/>
                <w:bCs/>
                <w:sz w:val="24"/>
              </w:rPr>
            </w:pPr>
            <w:r>
              <w:rPr>
                <w:rFonts w:hint="eastAsia" w:ascii="仿宋" w:hAnsi="仿宋" w:eastAsia="仿宋" w:cs="仿宋"/>
                <w:bCs/>
                <w:sz w:val="24"/>
              </w:rPr>
              <w:t>资金投入</w:t>
            </w:r>
          </w:p>
        </w:tc>
        <w:tc>
          <w:tcPr>
            <w:tcW w:w="21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bCs/>
                <w:sz w:val="24"/>
              </w:rPr>
            </w:pPr>
            <w:r>
              <w:rPr>
                <w:rFonts w:hint="eastAsia" w:ascii="仿宋" w:hAnsi="仿宋" w:eastAsia="仿宋" w:cs="仿宋"/>
                <w:i w:val="0"/>
                <w:iCs w:val="0"/>
                <w:color w:val="000000"/>
                <w:kern w:val="0"/>
                <w:sz w:val="24"/>
                <w:szCs w:val="24"/>
                <w:u w:val="none"/>
                <w:lang w:val="en-US" w:eastAsia="zh-CN" w:bidi="ar"/>
              </w:rPr>
              <w:t>6</w:t>
            </w:r>
          </w:p>
        </w:tc>
        <w:tc>
          <w:tcPr>
            <w:tcW w:w="213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bCs/>
                <w:sz w:val="24"/>
              </w:rPr>
            </w:pPr>
            <w:r>
              <w:rPr>
                <w:rFonts w:hint="eastAsia" w:ascii="仿宋" w:hAnsi="仿宋" w:eastAsia="仿宋" w:cs="仿宋"/>
                <w:i w:val="0"/>
                <w:iCs w:val="0"/>
                <w:color w:val="000000"/>
                <w:kern w:val="0"/>
                <w:sz w:val="24"/>
                <w:szCs w:val="24"/>
                <w:u w:val="none"/>
                <w:lang w:val="en-US" w:eastAsia="zh-CN" w:bidi="ar"/>
              </w:rPr>
              <w:t>2.5</w:t>
            </w:r>
          </w:p>
        </w:tc>
        <w:tc>
          <w:tcPr>
            <w:tcW w:w="21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bCs/>
                <w:sz w:val="24"/>
              </w:rPr>
            </w:pPr>
            <w:r>
              <w:rPr>
                <w:rFonts w:hint="eastAsia" w:ascii="仿宋" w:hAnsi="仿宋" w:eastAsia="仿宋" w:cs="仿宋"/>
                <w:i w:val="0"/>
                <w:iCs w:val="0"/>
                <w:color w:val="000000"/>
                <w:kern w:val="0"/>
                <w:sz w:val="24"/>
                <w:szCs w:val="24"/>
                <w:u w:val="none"/>
                <w:lang w:val="en-US" w:eastAsia="zh-CN" w:bidi="ar"/>
              </w:rPr>
              <w:t>41.67%</w:t>
            </w:r>
          </w:p>
        </w:tc>
      </w:tr>
      <w:tr>
        <w:tblPrEx>
          <w:tblCellMar>
            <w:top w:w="0" w:type="dxa"/>
            <w:left w:w="108" w:type="dxa"/>
            <w:bottom w:w="0" w:type="dxa"/>
            <w:right w:w="108" w:type="dxa"/>
          </w:tblCellMar>
        </w:tblPrEx>
        <w:trPr>
          <w:trHeight w:val="567" w:hRule="atLeast"/>
        </w:trPr>
        <w:tc>
          <w:tcPr>
            <w:tcW w:w="1250" w:type="pct"/>
            <w:tcBorders>
              <w:top w:val="nil"/>
              <w:left w:val="single" w:color="auto" w:sz="4" w:space="0"/>
              <w:bottom w:val="single" w:color="auto" w:sz="4" w:space="0"/>
              <w:right w:val="single" w:color="auto" w:sz="4" w:space="0"/>
            </w:tcBorders>
            <w:shd w:val="clear" w:color="auto" w:fill="auto"/>
            <w:noWrap/>
            <w:vAlign w:val="center"/>
          </w:tcPr>
          <w:p>
            <w:pPr>
              <w:widowControl/>
              <w:spacing w:line="480" w:lineRule="auto"/>
              <w:ind w:firstLine="0" w:firstLineChars="0"/>
              <w:jc w:val="center"/>
              <w:rPr>
                <w:rFonts w:hint="eastAsia" w:ascii="仿宋" w:hAnsi="仿宋" w:eastAsia="仿宋" w:cs="仿宋"/>
                <w:bCs/>
                <w:sz w:val="24"/>
              </w:rPr>
            </w:pPr>
            <w:r>
              <w:rPr>
                <w:rFonts w:hint="eastAsia" w:ascii="仿宋" w:hAnsi="仿宋" w:eastAsia="仿宋" w:cs="仿宋"/>
                <w:bCs/>
                <w:sz w:val="24"/>
              </w:rPr>
              <w:t>合计</w:t>
            </w:r>
          </w:p>
        </w:tc>
        <w:tc>
          <w:tcPr>
            <w:tcW w:w="2130"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ind w:left="0" w:leftChars="0" w:firstLine="0" w:firstLineChars="0"/>
              <w:jc w:val="center"/>
              <w:textAlignment w:val="bottom"/>
              <w:rPr>
                <w:rFonts w:hint="eastAsia" w:ascii="仿宋" w:hAnsi="仿宋" w:eastAsia="仿宋" w:cs="仿宋"/>
                <w:bCs/>
                <w:sz w:val="24"/>
                <w:lang w:eastAsia="zh-CN"/>
              </w:rPr>
            </w:pPr>
            <w:r>
              <w:rPr>
                <w:rFonts w:hint="eastAsia" w:ascii="仿宋" w:hAnsi="仿宋" w:eastAsia="仿宋" w:cs="仿宋"/>
                <w:i w:val="0"/>
                <w:iCs w:val="0"/>
                <w:color w:val="000000"/>
                <w:kern w:val="0"/>
                <w:sz w:val="24"/>
                <w:szCs w:val="24"/>
                <w:u w:val="none"/>
                <w:lang w:val="en-US" w:eastAsia="zh-CN" w:bidi="ar"/>
              </w:rPr>
              <w:t>20</w:t>
            </w:r>
          </w:p>
        </w:tc>
        <w:tc>
          <w:tcPr>
            <w:tcW w:w="2131" w:type="dxa"/>
            <w:tcBorders>
              <w:top w:val="single" w:color="auto" w:sz="4" w:space="0"/>
              <w:left w:val="nil"/>
              <w:bottom w:val="single" w:color="auto" w:sz="4" w:space="0"/>
              <w:right w:val="single" w:color="auto" w:sz="4" w:space="0"/>
            </w:tcBorders>
            <w:vAlign w:val="bottom"/>
          </w:tcPr>
          <w:p>
            <w:pPr>
              <w:keepNext w:val="0"/>
              <w:keepLines w:val="0"/>
              <w:widowControl/>
              <w:suppressLineNumbers w:val="0"/>
              <w:ind w:left="0" w:leftChars="0" w:firstLine="0" w:firstLineChars="0"/>
              <w:jc w:val="center"/>
              <w:textAlignment w:val="bottom"/>
              <w:rPr>
                <w:rFonts w:hint="eastAsia" w:ascii="仿宋" w:hAnsi="仿宋" w:eastAsia="仿宋" w:cs="仿宋"/>
                <w:bCs/>
                <w:sz w:val="24"/>
                <w:lang w:eastAsia="zh-CN"/>
              </w:rPr>
            </w:pPr>
            <w:r>
              <w:rPr>
                <w:rFonts w:hint="eastAsia" w:ascii="仿宋" w:hAnsi="仿宋" w:eastAsia="仿宋" w:cs="仿宋"/>
                <w:i w:val="0"/>
                <w:iCs w:val="0"/>
                <w:color w:val="000000"/>
                <w:kern w:val="0"/>
                <w:sz w:val="24"/>
                <w:szCs w:val="24"/>
                <w:u w:val="none"/>
                <w:lang w:val="en-US" w:eastAsia="zh-CN" w:bidi="ar"/>
              </w:rPr>
              <w:t>16.5</w:t>
            </w:r>
          </w:p>
        </w:tc>
        <w:tc>
          <w:tcPr>
            <w:tcW w:w="21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bCs/>
                <w:sz w:val="24"/>
              </w:rPr>
            </w:pPr>
            <w:r>
              <w:rPr>
                <w:rFonts w:hint="eastAsia" w:ascii="仿宋" w:hAnsi="仿宋" w:eastAsia="仿宋" w:cs="仿宋"/>
                <w:i w:val="0"/>
                <w:iCs w:val="0"/>
                <w:color w:val="000000"/>
                <w:kern w:val="0"/>
                <w:sz w:val="24"/>
                <w:szCs w:val="24"/>
                <w:u w:val="none"/>
                <w:lang w:val="en-US" w:eastAsia="zh-CN" w:bidi="ar"/>
              </w:rPr>
              <w:t>82.50%</w:t>
            </w:r>
          </w:p>
        </w:tc>
      </w:tr>
    </w:tbl>
    <w:p>
      <w:pPr>
        <w:pStyle w:val="4"/>
        <w:numPr>
          <w:ilvl w:val="2"/>
          <w:numId w:val="11"/>
        </w:numPr>
        <w:ind w:firstLineChars="0"/>
        <w:rPr>
          <w:rFonts w:hint="eastAsia" w:ascii="仿宋" w:hAnsi="仿宋" w:eastAsia="仿宋" w:cs="仿宋"/>
          <w:b w:val="0"/>
          <w:bCs/>
          <w:szCs w:val="32"/>
        </w:rPr>
      </w:pPr>
      <w:bookmarkStart w:id="296" w:name="_Toc948854501"/>
      <w:bookmarkStart w:id="297" w:name="_Toc2450"/>
      <w:bookmarkStart w:id="298" w:name="_Toc130033909"/>
      <w:bookmarkStart w:id="299" w:name="_Toc1184392981"/>
      <w:bookmarkStart w:id="300" w:name="_Toc199443761"/>
      <w:bookmarkStart w:id="301" w:name="_Toc1085334293_WPSOffice_Level3"/>
      <w:bookmarkStart w:id="302" w:name="_Toc11758"/>
      <w:bookmarkStart w:id="303" w:name="_Toc1146008427"/>
      <w:bookmarkStart w:id="304" w:name="_Toc795875063"/>
      <w:r>
        <w:rPr>
          <w:rFonts w:hint="eastAsia" w:ascii="仿宋" w:hAnsi="仿宋" w:eastAsia="仿宋" w:cs="仿宋"/>
          <w:b w:val="0"/>
          <w:bCs/>
          <w:szCs w:val="32"/>
        </w:rPr>
        <w:t>项目立项</w:t>
      </w:r>
      <w:bookmarkEnd w:id="296"/>
      <w:bookmarkEnd w:id="297"/>
      <w:bookmarkEnd w:id="298"/>
      <w:bookmarkEnd w:id="299"/>
      <w:bookmarkEnd w:id="300"/>
      <w:bookmarkEnd w:id="301"/>
      <w:bookmarkEnd w:id="302"/>
      <w:bookmarkEnd w:id="303"/>
      <w:bookmarkEnd w:id="304"/>
    </w:p>
    <w:p>
      <w:pPr>
        <w:pStyle w:val="5"/>
        <w:numPr>
          <w:ilvl w:val="1"/>
          <w:numId w:val="12"/>
        </w:numPr>
        <w:tabs>
          <w:tab w:val="left" w:pos="1418"/>
        </w:tabs>
        <w:ind w:left="0" w:firstLine="567" w:firstLineChars="0"/>
        <w:rPr>
          <w:rFonts w:hint="eastAsia" w:ascii="仿宋" w:hAnsi="仿宋" w:eastAsia="仿宋" w:cs="仿宋"/>
          <w:b w:val="0"/>
          <w:bCs/>
          <w:szCs w:val="32"/>
          <w:lang w:eastAsia="zh-CN"/>
        </w:rPr>
      </w:pPr>
      <w:bookmarkStart w:id="305" w:name="_Toc28242"/>
      <w:r>
        <w:rPr>
          <w:rFonts w:hint="eastAsia" w:ascii="仿宋" w:hAnsi="仿宋" w:eastAsia="仿宋" w:cs="仿宋"/>
          <w:b w:val="0"/>
          <w:bCs/>
          <w:szCs w:val="32"/>
          <w:lang w:eastAsia="zh-CN"/>
        </w:rPr>
        <w:t>立项依据充分性分析</w:t>
      </w:r>
      <w:bookmarkEnd w:id="305"/>
    </w:p>
    <w:p>
      <w:pPr>
        <w:ind w:firstLine="612"/>
        <w:rPr>
          <w:rFonts w:hint="eastAsia" w:ascii="仿宋" w:hAnsi="仿宋" w:eastAsia="仿宋" w:cs="仿宋"/>
          <w:bCs/>
          <w:spacing w:val="-7"/>
          <w:szCs w:val="32"/>
          <w:lang w:eastAsia="zh-CN"/>
        </w:rPr>
      </w:pPr>
      <w:r>
        <w:rPr>
          <w:rFonts w:hint="eastAsia" w:ascii="仿宋" w:hAnsi="仿宋" w:eastAsia="仿宋" w:cs="仿宋"/>
          <w:bCs/>
          <w:spacing w:val="-7"/>
          <w:szCs w:val="32"/>
          <w:lang w:eastAsia="zh-CN"/>
        </w:rPr>
        <w:t>该项目根据</w:t>
      </w:r>
      <w:r>
        <w:rPr>
          <w:rFonts w:hint="eastAsia" w:ascii="仿宋" w:hAnsi="仿宋" w:eastAsia="仿宋" w:cs="仿宋"/>
          <w:bCs/>
          <w:spacing w:val="-7"/>
          <w:szCs w:val="32"/>
          <w:lang w:val="en-US" w:eastAsia="zh-CN"/>
        </w:rPr>
        <w:t>2024年3月30日</w:t>
      </w:r>
      <w:r>
        <w:rPr>
          <w:rFonts w:hint="eastAsia" w:ascii="仿宋" w:hAnsi="仿宋" w:eastAsia="仿宋" w:cs="仿宋"/>
          <w:bCs/>
          <w:spacing w:val="-7"/>
          <w:szCs w:val="32"/>
          <w:lang w:eastAsia="zh-CN"/>
        </w:rPr>
        <w:t>《</w:t>
      </w:r>
      <w:r>
        <w:rPr>
          <w:rFonts w:hint="eastAsia" w:ascii="仿宋" w:hAnsi="仿宋" w:eastAsia="仿宋" w:cs="仿宋"/>
          <w:bCs/>
          <w:spacing w:val="-7"/>
          <w:szCs w:val="32"/>
          <w:lang w:val="en-US" w:eastAsia="zh-CN"/>
        </w:rPr>
        <w:t>乐</w:t>
      </w:r>
      <w:r>
        <w:rPr>
          <w:rFonts w:hint="eastAsia" w:ascii="仿宋" w:hAnsi="仿宋" w:eastAsia="仿宋" w:cs="仿宋"/>
          <w:bCs/>
          <w:spacing w:val="-7"/>
          <w:szCs w:val="32"/>
          <w:lang w:eastAsia="zh-CN"/>
        </w:rPr>
        <w:t>山市沙湾区先发带后发结对帮扶金口河区工作队关于</w:t>
      </w:r>
      <w:r>
        <w:rPr>
          <w:rFonts w:hint="eastAsia" w:ascii="仿宋" w:hAnsi="仿宋" w:eastAsia="仿宋" w:cs="仿宋"/>
          <w:bCs/>
          <w:spacing w:val="-7"/>
          <w:szCs w:val="32"/>
          <w:lang w:val="en-US" w:eastAsia="zh-CN"/>
        </w:rPr>
        <w:t>&lt;</w:t>
      </w:r>
      <w:r>
        <w:rPr>
          <w:rFonts w:hint="eastAsia" w:ascii="仿宋" w:hAnsi="仿宋" w:eastAsia="仿宋" w:cs="仿宋"/>
          <w:bCs/>
          <w:spacing w:val="-7"/>
          <w:szCs w:val="32"/>
          <w:lang w:eastAsia="zh-CN"/>
        </w:rPr>
        <w:t>关于申报2024年沙湾区结对帮扶金口河区发展项目的请示</w:t>
      </w:r>
      <w:r>
        <w:rPr>
          <w:rFonts w:hint="eastAsia" w:ascii="仿宋" w:hAnsi="仿宋" w:eastAsia="仿宋" w:cs="仿宋"/>
          <w:bCs/>
          <w:spacing w:val="-7"/>
          <w:szCs w:val="32"/>
          <w:lang w:val="en-US" w:eastAsia="zh-CN"/>
        </w:rPr>
        <w:t>&gt;</w:t>
      </w:r>
      <w:r>
        <w:rPr>
          <w:rFonts w:hint="eastAsia" w:ascii="仿宋" w:hAnsi="仿宋" w:eastAsia="仿宋" w:cs="仿宋"/>
          <w:bCs/>
          <w:spacing w:val="-7"/>
          <w:szCs w:val="32"/>
          <w:lang w:eastAsia="zh-CN"/>
        </w:rPr>
        <w:t>的批复》（</w:t>
      </w:r>
      <w:r>
        <w:rPr>
          <w:rFonts w:hint="eastAsia" w:ascii="仿宋" w:hAnsi="仿宋" w:eastAsia="仿宋" w:cs="仿宋"/>
          <w:bCs/>
          <w:spacing w:val="-7"/>
          <w:szCs w:val="32"/>
          <w:lang w:val="en-US" w:eastAsia="zh-CN"/>
        </w:rPr>
        <w:t>乐沙扶复</w:t>
      </w:r>
      <w:r>
        <w:rPr>
          <w:rFonts w:hint="eastAsia" w:ascii="仿宋" w:hAnsi="仿宋" w:eastAsia="仿宋" w:cs="仿宋"/>
          <w:bCs/>
          <w:spacing w:val="-7"/>
          <w:szCs w:val="32"/>
          <w:lang w:eastAsia="zh-CN"/>
        </w:rPr>
        <w:t>〔202</w:t>
      </w:r>
      <w:r>
        <w:rPr>
          <w:rFonts w:hint="eastAsia" w:ascii="仿宋" w:hAnsi="仿宋" w:eastAsia="仿宋" w:cs="仿宋"/>
          <w:bCs/>
          <w:spacing w:val="-7"/>
          <w:szCs w:val="32"/>
          <w:lang w:val="en-US" w:eastAsia="zh-CN"/>
        </w:rPr>
        <w:t>4</w:t>
      </w:r>
      <w:r>
        <w:rPr>
          <w:rFonts w:hint="eastAsia" w:ascii="仿宋" w:hAnsi="仿宋" w:eastAsia="仿宋" w:cs="仿宋"/>
          <w:bCs/>
          <w:spacing w:val="-7"/>
          <w:szCs w:val="32"/>
          <w:lang w:eastAsia="zh-CN"/>
        </w:rPr>
        <w:t>〕</w:t>
      </w:r>
      <w:r>
        <w:rPr>
          <w:rFonts w:hint="eastAsia" w:ascii="仿宋" w:hAnsi="仿宋" w:eastAsia="仿宋" w:cs="仿宋"/>
          <w:bCs/>
          <w:spacing w:val="-7"/>
          <w:szCs w:val="32"/>
          <w:lang w:val="en-US" w:eastAsia="zh-CN"/>
        </w:rPr>
        <w:t>6</w:t>
      </w:r>
      <w:r>
        <w:rPr>
          <w:rFonts w:hint="eastAsia" w:ascii="仿宋" w:hAnsi="仿宋" w:eastAsia="仿宋" w:cs="仿宋"/>
          <w:bCs/>
          <w:spacing w:val="-7"/>
          <w:szCs w:val="32"/>
          <w:lang w:eastAsia="zh-CN"/>
        </w:rPr>
        <w:t>号）</w:t>
      </w:r>
      <w:r>
        <w:rPr>
          <w:rFonts w:hint="eastAsia" w:ascii="仿宋" w:hAnsi="仿宋" w:eastAsia="仿宋" w:cs="仿宋"/>
          <w:bCs/>
          <w:spacing w:val="-7"/>
          <w:szCs w:val="32"/>
          <w:lang w:val="en-US" w:eastAsia="zh-CN"/>
        </w:rPr>
        <w:t>文件批复，项目纳入沙湾结对帮扶2024年度项目，已由金口河区十一届人民政府第71次常务会议审定通过，帮扶资金控制在10万元。</w:t>
      </w:r>
      <w:r>
        <w:rPr>
          <w:rFonts w:hint="eastAsia" w:ascii="仿宋" w:hAnsi="仿宋" w:eastAsia="仿宋" w:cs="仿宋"/>
          <w:bCs/>
          <w:spacing w:val="-7"/>
          <w:szCs w:val="32"/>
          <w:lang w:eastAsia="zh-CN"/>
        </w:rPr>
        <w:t>本项目立项符合国家法律法规、行业发展规划和政策要求。项目立项依据充分，依据评分方法，该指标</w:t>
      </w:r>
      <w:r>
        <w:rPr>
          <w:rFonts w:hint="eastAsia" w:ascii="仿宋" w:hAnsi="仿宋" w:eastAsia="仿宋" w:cs="仿宋"/>
          <w:bCs/>
          <w:spacing w:val="-7"/>
          <w:szCs w:val="32"/>
          <w:lang w:val="en-US" w:eastAsia="zh-CN"/>
        </w:rPr>
        <w:t>得</w:t>
      </w:r>
      <w:r>
        <w:rPr>
          <w:rFonts w:hint="eastAsia" w:ascii="仿宋" w:hAnsi="仿宋" w:eastAsia="仿宋" w:cs="仿宋"/>
          <w:bCs/>
          <w:spacing w:val="-7"/>
          <w:szCs w:val="32"/>
          <w:lang w:eastAsia="zh-CN"/>
        </w:rPr>
        <w:t>满分</w:t>
      </w:r>
      <w:r>
        <w:rPr>
          <w:rFonts w:hint="eastAsia" w:ascii="仿宋" w:hAnsi="仿宋" w:eastAsia="仿宋" w:cs="仿宋"/>
          <w:bCs/>
          <w:spacing w:val="-7"/>
          <w:szCs w:val="32"/>
          <w:lang w:val="en-US" w:eastAsia="zh-CN"/>
        </w:rPr>
        <w:t>4.00分</w:t>
      </w:r>
      <w:r>
        <w:rPr>
          <w:rFonts w:hint="eastAsia" w:ascii="仿宋" w:hAnsi="仿宋" w:eastAsia="仿宋" w:cs="仿宋"/>
          <w:bCs/>
          <w:spacing w:val="-7"/>
          <w:szCs w:val="32"/>
          <w:lang w:eastAsia="zh-CN"/>
        </w:rPr>
        <w:t>。。</w:t>
      </w:r>
    </w:p>
    <w:p>
      <w:pPr>
        <w:pStyle w:val="5"/>
        <w:numPr>
          <w:ilvl w:val="0"/>
          <w:numId w:val="12"/>
        </w:numPr>
        <w:tabs>
          <w:tab w:val="left" w:pos="1418"/>
        </w:tabs>
        <w:ind w:left="0" w:firstLine="567" w:firstLineChars="0"/>
        <w:rPr>
          <w:rFonts w:hint="eastAsia" w:ascii="仿宋" w:hAnsi="仿宋" w:eastAsia="仿宋" w:cs="仿宋"/>
          <w:b w:val="0"/>
          <w:bCs/>
          <w:szCs w:val="32"/>
          <w:lang w:eastAsia="zh-CN"/>
        </w:rPr>
      </w:pPr>
      <w:bookmarkStart w:id="306" w:name="_Toc22744"/>
      <w:r>
        <w:rPr>
          <w:rFonts w:hint="eastAsia" w:ascii="仿宋" w:hAnsi="仿宋" w:eastAsia="仿宋" w:cs="仿宋"/>
          <w:b w:val="0"/>
          <w:bCs/>
          <w:szCs w:val="32"/>
          <w:lang w:eastAsia="zh-CN"/>
        </w:rPr>
        <w:t>立项程序规范性分析</w:t>
      </w:r>
      <w:bookmarkEnd w:id="306"/>
    </w:p>
    <w:p>
      <w:pPr>
        <w:ind w:firstLine="612"/>
        <w:rPr>
          <w:rFonts w:hint="eastAsia" w:ascii="仿宋" w:hAnsi="仿宋" w:eastAsia="仿宋" w:cs="仿宋"/>
          <w:bCs/>
          <w:spacing w:val="-7"/>
          <w:szCs w:val="32"/>
          <w:lang w:eastAsia="zh-CN"/>
        </w:rPr>
      </w:pPr>
      <w:r>
        <w:rPr>
          <w:rFonts w:hint="eastAsia" w:ascii="仿宋" w:hAnsi="仿宋" w:eastAsia="仿宋" w:cs="仿宋"/>
          <w:bCs/>
          <w:spacing w:val="-7"/>
          <w:szCs w:val="32"/>
          <w:lang w:val="en-US" w:eastAsia="zh-CN"/>
        </w:rPr>
        <w:t>2024年2月18日</w:t>
      </w:r>
      <w:r>
        <w:rPr>
          <w:rFonts w:hint="eastAsia" w:ascii="仿宋" w:hAnsi="仿宋" w:eastAsia="仿宋" w:cs="仿宋"/>
          <w:bCs/>
          <w:spacing w:val="-7"/>
          <w:szCs w:val="32"/>
          <w:lang w:eastAsia="zh-CN"/>
        </w:rPr>
        <w:t>《</w:t>
      </w:r>
      <w:r>
        <w:rPr>
          <w:rFonts w:hint="eastAsia" w:ascii="仿宋" w:hAnsi="仿宋" w:eastAsia="仿宋" w:cs="仿宋"/>
          <w:bCs/>
          <w:spacing w:val="-7"/>
          <w:szCs w:val="32"/>
          <w:lang w:val="en-US" w:eastAsia="zh-CN"/>
        </w:rPr>
        <w:t>乐</w:t>
      </w:r>
      <w:r>
        <w:rPr>
          <w:rFonts w:hint="eastAsia" w:ascii="仿宋" w:hAnsi="仿宋" w:eastAsia="仿宋" w:cs="仿宋"/>
          <w:bCs/>
          <w:spacing w:val="-7"/>
          <w:szCs w:val="32"/>
          <w:lang w:eastAsia="zh-CN"/>
        </w:rPr>
        <w:t>山市金口河区文化体育和旅游局关于申报2024年沙湾区结对帮扶金口河区发展项目的请示》（</w:t>
      </w:r>
      <w:r>
        <w:rPr>
          <w:rFonts w:hint="eastAsia" w:ascii="仿宋" w:hAnsi="仿宋" w:eastAsia="仿宋" w:cs="仿宋"/>
          <w:bCs/>
          <w:spacing w:val="-7"/>
          <w:szCs w:val="32"/>
          <w:lang w:val="en-US" w:eastAsia="zh-CN"/>
        </w:rPr>
        <w:t>金文体旅</w:t>
      </w:r>
      <w:r>
        <w:rPr>
          <w:rFonts w:hint="eastAsia" w:ascii="仿宋" w:hAnsi="仿宋" w:eastAsia="仿宋" w:cs="仿宋"/>
          <w:bCs/>
          <w:spacing w:val="-7"/>
          <w:szCs w:val="32"/>
          <w:lang w:eastAsia="zh-CN"/>
        </w:rPr>
        <w:t>〔202</w:t>
      </w:r>
      <w:r>
        <w:rPr>
          <w:rFonts w:hint="eastAsia" w:ascii="仿宋" w:hAnsi="仿宋" w:eastAsia="仿宋" w:cs="仿宋"/>
          <w:bCs/>
          <w:spacing w:val="-7"/>
          <w:szCs w:val="32"/>
          <w:lang w:val="en-US" w:eastAsia="zh-CN"/>
        </w:rPr>
        <w:t>4</w:t>
      </w:r>
      <w:r>
        <w:rPr>
          <w:rFonts w:hint="eastAsia" w:ascii="仿宋" w:hAnsi="仿宋" w:eastAsia="仿宋" w:cs="仿宋"/>
          <w:bCs/>
          <w:spacing w:val="-7"/>
          <w:szCs w:val="32"/>
          <w:lang w:eastAsia="zh-CN"/>
        </w:rPr>
        <w:t>〕</w:t>
      </w:r>
      <w:r>
        <w:rPr>
          <w:rFonts w:hint="eastAsia" w:ascii="仿宋" w:hAnsi="仿宋" w:eastAsia="仿宋" w:cs="仿宋"/>
          <w:bCs/>
          <w:spacing w:val="-7"/>
          <w:szCs w:val="32"/>
          <w:lang w:val="en-US" w:eastAsia="zh-CN"/>
        </w:rPr>
        <w:t>7</w:t>
      </w:r>
      <w:r>
        <w:rPr>
          <w:rFonts w:hint="eastAsia" w:ascii="仿宋" w:hAnsi="仿宋" w:eastAsia="仿宋" w:cs="仿宋"/>
          <w:bCs/>
          <w:spacing w:val="-7"/>
          <w:szCs w:val="32"/>
          <w:lang w:eastAsia="zh-CN"/>
        </w:rPr>
        <w:t>号）</w:t>
      </w:r>
      <w:r>
        <w:rPr>
          <w:rFonts w:hint="eastAsia" w:ascii="仿宋" w:hAnsi="仿宋" w:eastAsia="仿宋" w:cs="仿宋"/>
          <w:bCs/>
          <w:spacing w:val="-7"/>
          <w:szCs w:val="32"/>
          <w:lang w:val="en-US" w:eastAsia="zh-CN"/>
        </w:rPr>
        <w:t>文件，区文体旅游局申报金口河区第二届“舌尖上的非遗”特色美食大赛及推广交流活动项目实施方案。2024年3月30日经</w:t>
      </w:r>
      <w:r>
        <w:rPr>
          <w:rFonts w:hint="eastAsia" w:ascii="仿宋" w:hAnsi="仿宋" w:eastAsia="仿宋" w:cs="仿宋"/>
          <w:bCs/>
          <w:spacing w:val="-7"/>
          <w:szCs w:val="32"/>
          <w:lang w:eastAsia="zh-CN"/>
        </w:rPr>
        <w:t>（</w:t>
      </w:r>
      <w:r>
        <w:rPr>
          <w:rFonts w:hint="eastAsia" w:ascii="仿宋" w:hAnsi="仿宋" w:eastAsia="仿宋" w:cs="仿宋"/>
          <w:bCs/>
          <w:spacing w:val="-7"/>
          <w:szCs w:val="32"/>
          <w:lang w:val="en-US" w:eastAsia="zh-CN"/>
        </w:rPr>
        <w:t>乐沙扶复</w:t>
      </w:r>
      <w:r>
        <w:rPr>
          <w:rFonts w:hint="eastAsia" w:ascii="仿宋" w:hAnsi="仿宋" w:eastAsia="仿宋" w:cs="仿宋"/>
          <w:bCs/>
          <w:spacing w:val="-7"/>
          <w:szCs w:val="32"/>
          <w:lang w:eastAsia="zh-CN"/>
        </w:rPr>
        <w:t>〔202</w:t>
      </w:r>
      <w:r>
        <w:rPr>
          <w:rFonts w:hint="eastAsia" w:ascii="仿宋" w:hAnsi="仿宋" w:eastAsia="仿宋" w:cs="仿宋"/>
          <w:bCs/>
          <w:spacing w:val="-7"/>
          <w:szCs w:val="32"/>
          <w:lang w:val="en-US" w:eastAsia="zh-CN"/>
        </w:rPr>
        <w:t>4</w:t>
      </w:r>
      <w:r>
        <w:rPr>
          <w:rFonts w:hint="eastAsia" w:ascii="仿宋" w:hAnsi="仿宋" w:eastAsia="仿宋" w:cs="仿宋"/>
          <w:bCs/>
          <w:spacing w:val="-7"/>
          <w:szCs w:val="32"/>
          <w:lang w:eastAsia="zh-CN"/>
        </w:rPr>
        <w:t>〕</w:t>
      </w:r>
      <w:r>
        <w:rPr>
          <w:rFonts w:hint="eastAsia" w:ascii="仿宋" w:hAnsi="仿宋" w:eastAsia="仿宋" w:cs="仿宋"/>
          <w:bCs/>
          <w:spacing w:val="-7"/>
          <w:szCs w:val="32"/>
          <w:lang w:val="en-US" w:eastAsia="zh-CN"/>
        </w:rPr>
        <w:t>6</w:t>
      </w:r>
      <w:r>
        <w:rPr>
          <w:rFonts w:hint="eastAsia" w:ascii="仿宋" w:hAnsi="仿宋" w:eastAsia="仿宋" w:cs="仿宋"/>
          <w:bCs/>
          <w:spacing w:val="-7"/>
          <w:szCs w:val="32"/>
          <w:lang w:eastAsia="zh-CN"/>
        </w:rPr>
        <w:t>号）</w:t>
      </w:r>
      <w:r>
        <w:rPr>
          <w:rFonts w:hint="eastAsia" w:ascii="仿宋" w:hAnsi="仿宋" w:eastAsia="仿宋" w:cs="仿宋"/>
          <w:bCs/>
          <w:spacing w:val="-7"/>
          <w:szCs w:val="32"/>
          <w:lang w:val="en-US" w:eastAsia="zh-CN"/>
        </w:rPr>
        <w:t>文件批复，项目纳入沙湾结对帮扶2024年度项目，已由金口河区十一届人民政府第71次常务会议审定通过，帮扶资金控制在10万元。</w:t>
      </w:r>
      <w:r>
        <w:rPr>
          <w:rFonts w:ascii="仿宋" w:hAnsi="仿宋" w:eastAsia="仿宋" w:cs="仿宋"/>
          <w:bCs/>
          <w:spacing w:val="-7"/>
          <w:szCs w:val="32"/>
          <w:lang w:eastAsia="zh-CN"/>
        </w:rPr>
        <w:t>项目立项程序规范，审批文件和材料合规完整。依据评分方法，该指标</w:t>
      </w:r>
      <w:r>
        <w:rPr>
          <w:rFonts w:hint="eastAsia" w:ascii="仿宋" w:hAnsi="仿宋" w:eastAsia="仿宋" w:cs="仿宋"/>
          <w:bCs/>
          <w:spacing w:val="-7"/>
          <w:szCs w:val="32"/>
          <w:lang w:val="en-US" w:eastAsia="zh-CN"/>
        </w:rPr>
        <w:t>得</w:t>
      </w:r>
      <w:r>
        <w:rPr>
          <w:rFonts w:ascii="仿宋" w:hAnsi="仿宋" w:eastAsia="仿宋" w:cs="仿宋"/>
          <w:bCs/>
          <w:spacing w:val="-7"/>
          <w:szCs w:val="32"/>
          <w:lang w:eastAsia="zh-CN"/>
        </w:rPr>
        <w:t>满分</w:t>
      </w:r>
      <w:r>
        <w:rPr>
          <w:rFonts w:hint="eastAsia" w:ascii="仿宋" w:hAnsi="仿宋" w:eastAsia="仿宋" w:cs="仿宋"/>
          <w:bCs/>
          <w:spacing w:val="-7"/>
          <w:szCs w:val="32"/>
          <w:lang w:val="en-US" w:eastAsia="zh-CN"/>
        </w:rPr>
        <w:t>4.00分</w:t>
      </w:r>
      <w:r>
        <w:rPr>
          <w:rFonts w:hint="eastAsia" w:ascii="仿宋" w:hAnsi="仿宋" w:eastAsia="仿宋" w:cs="仿宋"/>
          <w:bCs/>
          <w:spacing w:val="-7"/>
          <w:szCs w:val="32"/>
          <w:lang w:eastAsia="zh-CN"/>
        </w:rPr>
        <w:t>。</w:t>
      </w:r>
    </w:p>
    <w:p>
      <w:pPr>
        <w:pStyle w:val="4"/>
        <w:numPr>
          <w:ilvl w:val="0"/>
          <w:numId w:val="11"/>
        </w:numPr>
        <w:ind w:firstLineChars="0"/>
        <w:rPr>
          <w:rFonts w:hint="eastAsia" w:ascii="仿宋" w:hAnsi="仿宋" w:eastAsia="仿宋" w:cs="仿宋"/>
          <w:b w:val="0"/>
          <w:bCs/>
          <w:szCs w:val="32"/>
        </w:rPr>
      </w:pPr>
      <w:bookmarkStart w:id="307" w:name="_Toc1066907624"/>
      <w:bookmarkStart w:id="308" w:name="_Toc130033910"/>
      <w:bookmarkStart w:id="309" w:name="_Toc199443762"/>
      <w:bookmarkStart w:id="310" w:name="_Toc487364833_WPSOffice_Level3"/>
      <w:bookmarkStart w:id="311" w:name="_Toc1744030325"/>
      <w:bookmarkStart w:id="312" w:name="_Toc182802646"/>
      <w:bookmarkStart w:id="313" w:name="_Toc15647"/>
      <w:bookmarkStart w:id="314" w:name="_Toc184035685"/>
      <w:bookmarkStart w:id="315" w:name="_Toc19426"/>
      <w:r>
        <w:rPr>
          <w:rFonts w:hint="eastAsia" w:ascii="仿宋" w:hAnsi="仿宋" w:eastAsia="仿宋" w:cs="仿宋"/>
          <w:b w:val="0"/>
          <w:bCs/>
          <w:szCs w:val="32"/>
        </w:rPr>
        <w:t>绩效目标</w:t>
      </w:r>
      <w:bookmarkEnd w:id="307"/>
      <w:bookmarkEnd w:id="308"/>
      <w:bookmarkEnd w:id="309"/>
      <w:bookmarkEnd w:id="310"/>
      <w:bookmarkEnd w:id="311"/>
      <w:bookmarkEnd w:id="312"/>
      <w:bookmarkEnd w:id="313"/>
      <w:bookmarkEnd w:id="314"/>
      <w:bookmarkEnd w:id="315"/>
    </w:p>
    <w:p>
      <w:pPr>
        <w:pStyle w:val="5"/>
        <w:numPr>
          <w:ilvl w:val="1"/>
          <w:numId w:val="13"/>
        </w:numPr>
        <w:tabs>
          <w:tab w:val="left" w:pos="0"/>
        </w:tabs>
        <w:ind w:left="0" w:firstLine="567" w:firstLineChars="0"/>
        <w:rPr>
          <w:rFonts w:hint="eastAsia" w:ascii="仿宋" w:hAnsi="仿宋" w:eastAsia="仿宋" w:cs="仿宋"/>
          <w:b w:val="0"/>
          <w:bCs/>
          <w:szCs w:val="32"/>
          <w:lang w:eastAsia="zh-CN"/>
        </w:rPr>
      </w:pPr>
      <w:bookmarkStart w:id="316" w:name="_Toc31202"/>
      <w:r>
        <w:rPr>
          <w:rFonts w:hint="eastAsia" w:ascii="仿宋" w:hAnsi="仿宋" w:eastAsia="仿宋" w:cs="仿宋"/>
          <w:b w:val="0"/>
          <w:bCs/>
          <w:szCs w:val="32"/>
          <w:lang w:eastAsia="zh-CN"/>
        </w:rPr>
        <w:t>绩效目标合理性分析</w:t>
      </w:r>
      <w:bookmarkEnd w:id="316"/>
    </w:p>
    <w:p>
      <w:pPr>
        <w:ind w:firstLine="612"/>
        <w:rPr>
          <w:rFonts w:hint="eastAsia" w:ascii="仿宋" w:hAnsi="仿宋" w:eastAsia="仿宋" w:cs="仿宋"/>
          <w:bCs/>
          <w:spacing w:val="-7"/>
          <w:szCs w:val="32"/>
          <w:lang w:eastAsia="zh-CN"/>
        </w:rPr>
      </w:pPr>
      <w:r>
        <w:rPr>
          <w:rFonts w:ascii="仿宋" w:hAnsi="仿宋" w:eastAsia="仿宋" w:cs="仿宋"/>
          <w:bCs/>
          <w:spacing w:val="-7"/>
          <w:szCs w:val="32"/>
          <w:lang w:eastAsia="zh-CN"/>
        </w:rPr>
        <w:t>项目设置绩效目标符合《项目支出绩效评价管理办法》，制定了项目产出、效益、满意度指标；项目绩效目标明确合理，与项目实施的宗旨关联度较高，预期产出效益和效果符合正常的业绩水平；绩效目标与预算确定的资金量相匹配。根据评分标准，该指标</w:t>
      </w:r>
      <w:r>
        <w:rPr>
          <w:rFonts w:hint="eastAsia" w:ascii="仿宋" w:hAnsi="仿宋" w:eastAsia="仿宋" w:cs="仿宋"/>
          <w:bCs/>
          <w:spacing w:val="-7"/>
          <w:szCs w:val="32"/>
          <w:lang w:eastAsia="zh-CN"/>
        </w:rPr>
        <w:t>得满分</w:t>
      </w:r>
      <w:r>
        <w:rPr>
          <w:rFonts w:hint="eastAsia" w:ascii="仿宋" w:hAnsi="仿宋" w:eastAsia="仿宋" w:cs="仿宋"/>
          <w:bCs/>
          <w:spacing w:val="-7"/>
          <w:szCs w:val="32"/>
          <w:lang w:val="en-US" w:eastAsia="zh-CN"/>
        </w:rPr>
        <w:t>3.00分</w:t>
      </w:r>
      <w:r>
        <w:rPr>
          <w:rFonts w:hint="eastAsia" w:ascii="仿宋" w:hAnsi="仿宋" w:eastAsia="仿宋" w:cs="仿宋"/>
          <w:bCs/>
          <w:spacing w:val="-7"/>
          <w:szCs w:val="32"/>
          <w:lang w:eastAsia="zh-CN"/>
        </w:rPr>
        <w:t>。</w:t>
      </w:r>
    </w:p>
    <w:p>
      <w:pPr>
        <w:pStyle w:val="5"/>
        <w:numPr>
          <w:ilvl w:val="0"/>
          <w:numId w:val="13"/>
        </w:numPr>
        <w:tabs>
          <w:tab w:val="left" w:pos="0"/>
        </w:tabs>
        <w:ind w:left="0" w:firstLine="567" w:firstLineChars="0"/>
        <w:rPr>
          <w:rFonts w:hint="eastAsia" w:ascii="仿宋" w:hAnsi="仿宋" w:eastAsia="仿宋" w:cs="仿宋"/>
          <w:b w:val="0"/>
          <w:bCs/>
          <w:szCs w:val="32"/>
          <w:lang w:eastAsia="zh-CN"/>
        </w:rPr>
      </w:pPr>
      <w:bookmarkStart w:id="317" w:name="_Toc15797"/>
      <w:r>
        <w:rPr>
          <w:rFonts w:hint="eastAsia" w:ascii="仿宋" w:hAnsi="仿宋" w:eastAsia="仿宋" w:cs="仿宋"/>
          <w:b w:val="0"/>
          <w:bCs/>
          <w:szCs w:val="32"/>
          <w:lang w:eastAsia="zh-CN"/>
        </w:rPr>
        <w:t>绩效指标明确性分析</w:t>
      </w:r>
      <w:bookmarkEnd w:id="317"/>
    </w:p>
    <w:p>
      <w:pPr>
        <w:ind w:firstLine="612"/>
        <w:rPr>
          <w:rFonts w:hint="eastAsia" w:ascii="仿宋" w:hAnsi="仿宋" w:eastAsia="仿宋" w:cs="仿宋"/>
          <w:bCs/>
          <w:spacing w:val="-7"/>
          <w:szCs w:val="32"/>
          <w:lang w:eastAsia="zh-CN"/>
        </w:rPr>
      </w:pPr>
      <w:r>
        <w:rPr>
          <w:rFonts w:hint="eastAsia" w:ascii="仿宋" w:hAnsi="仿宋" w:eastAsia="仿宋" w:cs="仿宋"/>
          <w:bCs/>
          <w:spacing w:val="-7"/>
          <w:szCs w:val="32"/>
          <w:lang w:eastAsia="zh-CN"/>
        </w:rPr>
        <w:t>项目所设定的绩效指标基本符合《项目支出绩效评价管理办法》，依据产出、效益、满意度三项绩效目标细化分解为具体的绩效指标，设定的绩效指标清晰、可衡量度高。根据评分标准，该指标</w:t>
      </w:r>
      <w:r>
        <w:rPr>
          <w:rFonts w:hint="eastAsia" w:ascii="仿宋" w:hAnsi="仿宋" w:eastAsia="仿宋" w:cs="仿宋"/>
          <w:bCs/>
          <w:spacing w:val="-7"/>
          <w:szCs w:val="32"/>
          <w:lang w:val="en-US" w:eastAsia="zh-CN"/>
        </w:rPr>
        <w:t>得</w:t>
      </w:r>
      <w:r>
        <w:rPr>
          <w:rFonts w:hint="eastAsia" w:ascii="仿宋" w:hAnsi="仿宋" w:eastAsia="仿宋" w:cs="仿宋"/>
          <w:bCs/>
          <w:spacing w:val="-7"/>
          <w:szCs w:val="32"/>
          <w:lang w:eastAsia="zh-CN"/>
        </w:rPr>
        <w:t>满分</w:t>
      </w:r>
      <w:r>
        <w:rPr>
          <w:rFonts w:hint="eastAsia" w:ascii="仿宋" w:hAnsi="仿宋" w:eastAsia="仿宋" w:cs="仿宋"/>
          <w:bCs/>
          <w:spacing w:val="-7"/>
          <w:szCs w:val="32"/>
          <w:lang w:val="en-US" w:eastAsia="zh-CN"/>
        </w:rPr>
        <w:t>3.00分</w:t>
      </w:r>
      <w:r>
        <w:rPr>
          <w:rFonts w:hint="eastAsia" w:ascii="仿宋" w:hAnsi="仿宋" w:eastAsia="仿宋" w:cs="仿宋"/>
          <w:bCs/>
          <w:spacing w:val="-7"/>
          <w:szCs w:val="32"/>
          <w:lang w:eastAsia="zh-CN"/>
        </w:rPr>
        <w:t>。</w:t>
      </w:r>
    </w:p>
    <w:p>
      <w:pPr>
        <w:pStyle w:val="4"/>
        <w:numPr>
          <w:ilvl w:val="0"/>
          <w:numId w:val="11"/>
        </w:numPr>
        <w:ind w:firstLineChars="0"/>
        <w:rPr>
          <w:rFonts w:hint="eastAsia" w:ascii="仿宋" w:hAnsi="仿宋" w:eastAsia="仿宋" w:cs="仿宋"/>
          <w:b w:val="0"/>
          <w:bCs/>
          <w:szCs w:val="32"/>
          <w:lang w:eastAsia="zh-CN"/>
        </w:rPr>
      </w:pPr>
      <w:bookmarkStart w:id="318" w:name="_Toc199443763"/>
      <w:bookmarkStart w:id="319" w:name="_Toc638118573_WPSOffice_Level3"/>
      <w:bookmarkStart w:id="320" w:name="_Toc1462456112"/>
      <w:bookmarkStart w:id="321" w:name="_Toc11402"/>
      <w:bookmarkStart w:id="322" w:name="_Toc913374372"/>
      <w:bookmarkStart w:id="323" w:name="_Toc27984118"/>
      <w:bookmarkStart w:id="324" w:name="_Toc130033911"/>
      <w:bookmarkStart w:id="325" w:name="_Toc7990"/>
      <w:bookmarkStart w:id="326" w:name="_Toc711306115"/>
      <w:r>
        <w:rPr>
          <w:rFonts w:hint="eastAsia" w:ascii="仿宋" w:hAnsi="仿宋" w:eastAsia="仿宋" w:cs="仿宋"/>
          <w:b w:val="0"/>
          <w:bCs/>
          <w:szCs w:val="32"/>
          <w:lang w:eastAsia="zh-CN"/>
        </w:rPr>
        <w:t>资金投入</w:t>
      </w:r>
      <w:bookmarkEnd w:id="318"/>
      <w:bookmarkEnd w:id="319"/>
      <w:bookmarkEnd w:id="320"/>
      <w:bookmarkEnd w:id="321"/>
      <w:bookmarkEnd w:id="322"/>
      <w:bookmarkEnd w:id="323"/>
      <w:bookmarkEnd w:id="324"/>
      <w:bookmarkEnd w:id="325"/>
      <w:bookmarkEnd w:id="326"/>
    </w:p>
    <w:p>
      <w:pPr>
        <w:pStyle w:val="5"/>
        <w:numPr>
          <w:ilvl w:val="1"/>
          <w:numId w:val="14"/>
        </w:numPr>
        <w:tabs>
          <w:tab w:val="left" w:pos="1418"/>
        </w:tabs>
        <w:ind w:left="0" w:firstLine="643" w:firstLineChars="0"/>
        <w:rPr>
          <w:rFonts w:hint="eastAsia" w:ascii="仿宋" w:hAnsi="仿宋" w:eastAsia="仿宋" w:cs="仿宋"/>
          <w:b w:val="0"/>
          <w:bCs/>
          <w:szCs w:val="32"/>
          <w:lang w:eastAsia="zh-CN"/>
        </w:rPr>
      </w:pPr>
      <w:bookmarkStart w:id="327" w:name="_Toc28796"/>
      <w:r>
        <w:rPr>
          <w:rFonts w:hint="eastAsia" w:ascii="仿宋" w:hAnsi="仿宋" w:eastAsia="仿宋" w:cs="仿宋"/>
          <w:b w:val="0"/>
          <w:bCs/>
          <w:szCs w:val="32"/>
          <w:lang w:eastAsia="zh-CN"/>
        </w:rPr>
        <w:t>预算编制科学性分析</w:t>
      </w:r>
      <w:bookmarkEnd w:id="327"/>
    </w:p>
    <w:p>
      <w:pPr>
        <w:ind w:firstLine="612"/>
        <w:rPr>
          <w:rFonts w:hint="eastAsia" w:ascii="仿宋" w:hAnsi="仿宋" w:eastAsia="仿宋" w:cs="仿宋"/>
          <w:bCs/>
          <w:spacing w:val="-7"/>
          <w:szCs w:val="32"/>
          <w:lang w:eastAsia="zh-CN"/>
        </w:rPr>
      </w:pPr>
      <w:r>
        <w:rPr>
          <w:rFonts w:hint="eastAsia" w:ascii="仿宋" w:hAnsi="仿宋" w:eastAsia="仿宋" w:cs="仿宋"/>
          <w:bCs/>
          <w:spacing w:val="-7"/>
          <w:szCs w:val="32"/>
          <w:lang w:val="en-US" w:eastAsia="zh-CN"/>
        </w:rPr>
        <w:t>经2024年7月31日区文体旅游局党组会同意，关于组织开展金口河区第二届舌尖上的非遗——特色美食大赛及推广交流活动项目资金预算9.97万元。编制的经费预算清单</w:t>
      </w:r>
      <w:r>
        <w:rPr>
          <w:rFonts w:hint="eastAsia" w:ascii="仿宋" w:hAnsi="仿宋" w:eastAsia="仿宋" w:cs="仿宋"/>
          <w:bCs/>
          <w:spacing w:val="-7"/>
          <w:szCs w:val="32"/>
          <w:lang w:eastAsia="zh-CN"/>
        </w:rPr>
        <w:t>与</w:t>
      </w:r>
      <w:r>
        <w:rPr>
          <w:rFonts w:hint="eastAsia" w:ascii="仿宋" w:hAnsi="仿宋" w:eastAsia="仿宋" w:cs="仿宋"/>
          <w:bCs/>
          <w:spacing w:val="-7"/>
          <w:szCs w:val="32"/>
          <w:lang w:val="en-US" w:eastAsia="zh-CN"/>
        </w:rPr>
        <w:t>实际支出费用存在一定差异</w:t>
      </w:r>
      <w:r>
        <w:rPr>
          <w:rFonts w:hint="eastAsia" w:ascii="仿宋" w:hAnsi="仿宋" w:eastAsia="仿宋" w:cs="仿宋"/>
          <w:bCs/>
          <w:spacing w:val="-7"/>
          <w:szCs w:val="32"/>
          <w:lang w:eastAsia="zh-CN"/>
        </w:rPr>
        <w:t>，预算额度编制依据不够充分。根据评分标准，该指标满分</w:t>
      </w:r>
      <w:r>
        <w:rPr>
          <w:rFonts w:hint="eastAsia" w:ascii="仿宋" w:hAnsi="仿宋" w:eastAsia="仿宋" w:cs="仿宋"/>
          <w:bCs/>
          <w:spacing w:val="-7"/>
          <w:szCs w:val="32"/>
          <w:lang w:val="en-US" w:eastAsia="zh-CN"/>
        </w:rPr>
        <w:t>3.00分，扣2.00分，得1.00分</w:t>
      </w:r>
      <w:r>
        <w:rPr>
          <w:rFonts w:hint="eastAsia" w:ascii="仿宋" w:hAnsi="仿宋" w:eastAsia="仿宋" w:cs="仿宋"/>
          <w:bCs/>
          <w:spacing w:val="-7"/>
          <w:szCs w:val="32"/>
          <w:lang w:eastAsia="zh-CN"/>
        </w:rPr>
        <w:t>。</w:t>
      </w:r>
    </w:p>
    <w:p>
      <w:pPr>
        <w:pStyle w:val="5"/>
        <w:numPr>
          <w:ilvl w:val="0"/>
          <w:numId w:val="14"/>
        </w:numPr>
        <w:tabs>
          <w:tab w:val="left" w:pos="1418"/>
        </w:tabs>
        <w:ind w:left="0" w:firstLine="643" w:firstLineChars="0"/>
        <w:rPr>
          <w:rFonts w:hint="eastAsia" w:ascii="仿宋" w:hAnsi="仿宋" w:eastAsia="仿宋" w:cs="仿宋"/>
          <w:b w:val="0"/>
          <w:bCs/>
          <w:szCs w:val="32"/>
          <w:lang w:eastAsia="zh-CN"/>
        </w:rPr>
      </w:pPr>
      <w:bookmarkStart w:id="328" w:name="_Toc25915"/>
      <w:r>
        <w:rPr>
          <w:rFonts w:hint="eastAsia" w:ascii="仿宋" w:hAnsi="仿宋" w:eastAsia="仿宋" w:cs="仿宋"/>
          <w:b w:val="0"/>
          <w:bCs/>
          <w:szCs w:val="32"/>
          <w:lang w:eastAsia="zh-CN"/>
        </w:rPr>
        <w:t>资金分配合理性分析</w:t>
      </w:r>
      <w:bookmarkEnd w:id="328"/>
    </w:p>
    <w:p>
      <w:pPr>
        <w:ind w:firstLine="612"/>
        <w:rPr>
          <w:rFonts w:hint="eastAsia" w:ascii="仿宋" w:hAnsi="仿宋" w:eastAsia="仿宋" w:cs="仿宋"/>
          <w:bCs/>
          <w:spacing w:val="-7"/>
          <w:szCs w:val="32"/>
          <w:lang w:eastAsia="zh-CN"/>
        </w:rPr>
      </w:pPr>
      <w:r>
        <w:rPr>
          <w:rFonts w:hint="eastAsia" w:ascii="仿宋" w:hAnsi="仿宋" w:eastAsia="仿宋" w:cs="仿宋"/>
          <w:bCs/>
          <w:spacing w:val="-7"/>
          <w:szCs w:val="32"/>
          <w:lang w:val="en-US" w:eastAsia="zh-CN"/>
        </w:rPr>
        <w:t>2024年7月31日区文体旅游局召开的党组会会议，第五项内容是关于组织开展金口河区第二届舌尖上的非遗——特色美食大赛及推广交流活动项目，项目的资金预算确定为9.97万元</w:t>
      </w:r>
      <w:r>
        <w:rPr>
          <w:rFonts w:hint="eastAsia" w:ascii="仿宋" w:hAnsi="仿宋" w:eastAsia="仿宋" w:cs="仿宋"/>
          <w:bCs/>
          <w:spacing w:val="-7"/>
          <w:szCs w:val="32"/>
          <w:lang w:eastAsia="zh-CN"/>
        </w:rPr>
        <w:t>。</w:t>
      </w:r>
      <w:r>
        <w:rPr>
          <w:rFonts w:hint="eastAsia" w:ascii="仿宋" w:hAnsi="仿宋" w:eastAsia="仿宋" w:cs="仿宋"/>
          <w:bCs/>
          <w:spacing w:val="-7"/>
          <w:szCs w:val="32"/>
          <w:lang w:val="en-US" w:eastAsia="zh-CN"/>
        </w:rPr>
        <w:t>协议附件的实施方案中预算明细里宣传画册设计、印刷未能完成。</w:t>
      </w:r>
      <w:r>
        <w:rPr>
          <w:rFonts w:hint="eastAsia" w:ascii="仿宋" w:hAnsi="仿宋" w:eastAsia="仿宋" w:cs="仿宋"/>
          <w:bCs/>
          <w:spacing w:val="-7"/>
          <w:szCs w:val="32"/>
          <w:lang w:eastAsia="zh-CN"/>
        </w:rPr>
        <w:t>预算资金</w:t>
      </w:r>
      <w:r>
        <w:rPr>
          <w:rFonts w:hint="eastAsia" w:ascii="仿宋" w:hAnsi="仿宋" w:eastAsia="仿宋" w:cs="仿宋"/>
          <w:bCs/>
          <w:spacing w:val="-7"/>
          <w:szCs w:val="32"/>
          <w:lang w:val="en-US" w:eastAsia="zh-CN"/>
        </w:rPr>
        <w:t>分配依据存在瑕疵，资金控制在</w:t>
      </w:r>
      <w:r>
        <w:rPr>
          <w:rFonts w:hint="eastAsia" w:ascii="仿宋" w:hAnsi="仿宋" w:eastAsia="仿宋" w:cs="仿宋"/>
          <w:bCs/>
          <w:spacing w:val="-7"/>
          <w:szCs w:val="32"/>
          <w:lang w:eastAsia="zh-CN"/>
        </w:rPr>
        <w:t>额度</w:t>
      </w:r>
      <w:r>
        <w:rPr>
          <w:rFonts w:hint="eastAsia" w:ascii="仿宋" w:hAnsi="仿宋" w:eastAsia="仿宋" w:cs="仿宋"/>
          <w:bCs/>
          <w:spacing w:val="-7"/>
          <w:szCs w:val="32"/>
          <w:lang w:val="en-US" w:eastAsia="zh-CN"/>
        </w:rPr>
        <w:t>内是合理的，与项目实际情况也基本相适应。</w:t>
      </w:r>
      <w:r>
        <w:rPr>
          <w:rFonts w:hint="eastAsia" w:ascii="仿宋" w:hAnsi="仿宋" w:eastAsia="仿宋" w:cs="仿宋"/>
          <w:bCs/>
          <w:spacing w:val="-7"/>
          <w:szCs w:val="32"/>
          <w:lang w:eastAsia="zh-CN"/>
        </w:rPr>
        <w:t>根据评分标准，该指标满分</w:t>
      </w:r>
      <w:r>
        <w:rPr>
          <w:rFonts w:hint="eastAsia" w:ascii="仿宋" w:hAnsi="仿宋" w:eastAsia="仿宋" w:cs="仿宋"/>
          <w:bCs/>
          <w:spacing w:val="-7"/>
          <w:szCs w:val="32"/>
          <w:lang w:val="en-US" w:eastAsia="zh-CN"/>
        </w:rPr>
        <w:t>3.00分，扣1.50分，得1.50分</w:t>
      </w:r>
      <w:r>
        <w:rPr>
          <w:rFonts w:hint="eastAsia" w:ascii="仿宋" w:hAnsi="仿宋" w:eastAsia="仿宋" w:cs="仿宋"/>
          <w:bCs/>
          <w:spacing w:val="-7"/>
          <w:szCs w:val="32"/>
          <w:lang w:eastAsia="zh-CN"/>
        </w:rPr>
        <w:t>。</w:t>
      </w:r>
    </w:p>
    <w:p>
      <w:pPr>
        <w:pStyle w:val="3"/>
        <w:numPr>
          <w:ilvl w:val="0"/>
          <w:numId w:val="10"/>
        </w:numPr>
        <w:spacing w:before="0" w:beforeLines="0" w:after="0" w:afterLines="0"/>
        <w:ind w:firstLineChars="0"/>
        <w:rPr>
          <w:rFonts w:hint="eastAsia" w:ascii="楷体" w:hAnsi="楷体" w:eastAsia="楷体" w:cs="楷体"/>
          <w:b w:val="0"/>
          <w:bCs/>
          <w:szCs w:val="32"/>
        </w:rPr>
      </w:pPr>
      <w:bookmarkStart w:id="329" w:name="_Toc12159"/>
      <w:bookmarkStart w:id="330" w:name="_Toc132480968"/>
      <w:bookmarkStart w:id="331" w:name="_Toc2027895603"/>
      <w:bookmarkStart w:id="332" w:name="_Toc179658327"/>
      <w:bookmarkStart w:id="333" w:name="_Toc24776"/>
      <w:bookmarkStart w:id="334" w:name="_Toc869961448"/>
      <w:bookmarkStart w:id="335" w:name="_Toc30152533"/>
      <w:bookmarkStart w:id="336" w:name="_Toc199443764"/>
      <w:bookmarkStart w:id="337" w:name="_Toc1492000300_WPSOffice_Level2"/>
      <w:bookmarkStart w:id="338" w:name="_Toc1549534469"/>
      <w:r>
        <w:rPr>
          <w:rFonts w:hint="eastAsia" w:ascii="楷体" w:hAnsi="楷体" w:eastAsia="楷体" w:cs="楷体"/>
          <w:b w:val="0"/>
          <w:bCs/>
          <w:szCs w:val="32"/>
        </w:rPr>
        <w:t>项目过程情况</w:t>
      </w:r>
      <w:bookmarkEnd w:id="329"/>
      <w:bookmarkEnd w:id="330"/>
      <w:bookmarkEnd w:id="331"/>
      <w:bookmarkEnd w:id="332"/>
      <w:bookmarkEnd w:id="333"/>
      <w:bookmarkEnd w:id="334"/>
      <w:bookmarkEnd w:id="335"/>
      <w:bookmarkEnd w:id="336"/>
      <w:bookmarkEnd w:id="337"/>
      <w:bookmarkEnd w:id="338"/>
    </w:p>
    <w:p>
      <w:pPr>
        <w:ind w:firstLine="612"/>
        <w:rPr>
          <w:rFonts w:hint="eastAsia" w:ascii="仿宋" w:hAnsi="仿宋" w:eastAsia="仿宋" w:cs="仿宋"/>
          <w:bCs/>
          <w:spacing w:val="-7"/>
          <w:szCs w:val="32"/>
          <w:lang w:eastAsia="zh-CN"/>
        </w:rPr>
      </w:pPr>
      <w:r>
        <w:rPr>
          <w:rFonts w:hint="eastAsia" w:ascii="仿宋" w:hAnsi="仿宋" w:eastAsia="仿宋" w:cs="仿宋"/>
          <w:bCs/>
          <w:spacing w:val="-7"/>
          <w:szCs w:val="32"/>
          <w:lang w:eastAsia="zh-CN"/>
        </w:rPr>
        <w:t>项目管理过程是保证项目获得效果的重要基础和前提，本次评价从资金管理和组织实施两个方面来评价项目管理的优劣。项目管理权重20.00分，本项目得分1</w:t>
      </w:r>
      <w:r>
        <w:rPr>
          <w:rFonts w:hint="eastAsia" w:ascii="仿宋" w:hAnsi="仿宋" w:eastAsia="仿宋" w:cs="仿宋"/>
          <w:bCs/>
          <w:spacing w:val="-7"/>
          <w:szCs w:val="32"/>
          <w:lang w:val="en-US" w:eastAsia="zh-CN"/>
        </w:rPr>
        <w:t>9.12</w:t>
      </w:r>
      <w:r>
        <w:rPr>
          <w:rFonts w:hint="eastAsia" w:ascii="仿宋" w:hAnsi="仿宋" w:eastAsia="仿宋" w:cs="仿宋"/>
          <w:bCs/>
          <w:spacing w:val="-7"/>
          <w:szCs w:val="32"/>
          <w:lang w:eastAsia="zh-CN"/>
        </w:rPr>
        <w:t>分，得分率</w:t>
      </w:r>
      <w:r>
        <w:rPr>
          <w:rFonts w:hint="eastAsia" w:ascii="仿宋" w:hAnsi="仿宋" w:eastAsia="仿宋" w:cs="仿宋"/>
          <w:bCs/>
          <w:spacing w:val="-7"/>
          <w:szCs w:val="32"/>
          <w:lang w:val="en-US" w:eastAsia="zh-CN"/>
        </w:rPr>
        <w:t>95.60</w:t>
      </w:r>
      <w:r>
        <w:rPr>
          <w:rFonts w:hint="eastAsia" w:ascii="仿宋" w:hAnsi="仿宋" w:eastAsia="仿宋" w:cs="仿宋"/>
          <w:bCs/>
          <w:spacing w:val="-7"/>
          <w:szCs w:val="32"/>
          <w:lang w:eastAsia="zh-CN"/>
        </w:rPr>
        <w:t>%。项目过程总体而言情况较好，资金到位率、资金使用合规性等指标均得满分，</w:t>
      </w:r>
      <w:r>
        <w:rPr>
          <w:rFonts w:hint="eastAsia" w:ascii="仿宋" w:hAnsi="仿宋" w:eastAsia="仿宋" w:cs="仿宋"/>
          <w:bCs/>
          <w:spacing w:val="-7"/>
          <w:szCs w:val="32"/>
          <w:lang w:val="en-US" w:eastAsia="zh-CN"/>
        </w:rPr>
        <w:t>扣分原因系预算执行率为70.50%。</w:t>
      </w:r>
      <w:r>
        <w:rPr>
          <w:rFonts w:hint="eastAsia" w:ascii="仿宋" w:hAnsi="仿宋" w:eastAsia="仿宋" w:cs="仿宋"/>
          <w:bCs/>
          <w:spacing w:val="-7"/>
          <w:szCs w:val="32"/>
          <w:lang w:eastAsia="zh-CN"/>
        </w:rPr>
        <w:t>具体得分情况见下表4-2：</w:t>
      </w:r>
    </w:p>
    <w:p>
      <w:pPr>
        <w:ind w:firstLine="0" w:firstLineChars="0"/>
        <w:jc w:val="center"/>
        <w:rPr>
          <w:rFonts w:hint="eastAsia" w:ascii="仿宋" w:hAnsi="仿宋" w:eastAsia="仿宋" w:cs="仿宋"/>
          <w:bCs/>
          <w:szCs w:val="32"/>
        </w:rPr>
      </w:pPr>
      <w:r>
        <w:rPr>
          <w:rFonts w:hint="eastAsia" w:ascii="仿宋" w:hAnsi="仿宋" w:eastAsia="仿宋" w:cs="仿宋"/>
          <w:bCs/>
          <w:szCs w:val="32"/>
        </w:rPr>
        <w:t>表4-2项目过程指标得分</w:t>
      </w:r>
    </w:p>
    <w:tbl>
      <w:tblPr>
        <w:tblStyle w:val="22"/>
        <w:tblW w:w="5000" w:type="pct"/>
        <w:jc w:val="center"/>
        <w:tblLayout w:type="autofit"/>
        <w:tblCellMar>
          <w:top w:w="0" w:type="dxa"/>
          <w:left w:w="108" w:type="dxa"/>
          <w:bottom w:w="0" w:type="dxa"/>
          <w:right w:w="108" w:type="dxa"/>
        </w:tblCellMar>
      </w:tblPr>
      <w:tblGrid>
        <w:gridCol w:w="2127"/>
        <w:gridCol w:w="2130"/>
        <w:gridCol w:w="2127"/>
        <w:gridCol w:w="2132"/>
      </w:tblGrid>
      <w:tr>
        <w:trPr>
          <w:trHeight w:val="567" w:hRule="atLeast"/>
          <w:tblHeader/>
          <w:jc w:val="center"/>
        </w:trPr>
        <w:tc>
          <w:tcPr>
            <w:tcW w:w="1250" w:type="pct"/>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rFonts w:hint="eastAsia" w:ascii="仿宋" w:hAnsi="仿宋" w:eastAsia="仿宋" w:cs="仿宋"/>
                <w:bCs/>
                <w:sz w:val="24"/>
              </w:rPr>
            </w:pPr>
            <w:r>
              <w:rPr>
                <w:rFonts w:hint="eastAsia" w:ascii="仿宋" w:hAnsi="仿宋" w:eastAsia="仿宋" w:cs="仿宋"/>
                <w:bCs/>
                <w:sz w:val="24"/>
              </w:rPr>
              <w:t>二级指标</w:t>
            </w:r>
          </w:p>
        </w:tc>
        <w:tc>
          <w:tcPr>
            <w:tcW w:w="1250" w:type="pct"/>
            <w:tcBorders>
              <w:top w:val="single" w:color="auto" w:sz="4" w:space="0"/>
              <w:left w:val="nil"/>
              <w:bottom w:val="single" w:color="auto"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rFonts w:hint="eastAsia" w:ascii="仿宋" w:hAnsi="仿宋" w:eastAsia="仿宋" w:cs="仿宋"/>
                <w:bCs/>
                <w:sz w:val="24"/>
              </w:rPr>
            </w:pPr>
            <w:r>
              <w:rPr>
                <w:rFonts w:hint="eastAsia" w:ascii="仿宋" w:hAnsi="仿宋" w:eastAsia="仿宋" w:cs="仿宋"/>
                <w:bCs/>
                <w:sz w:val="24"/>
              </w:rPr>
              <w:t>分数</w:t>
            </w:r>
          </w:p>
        </w:tc>
        <w:tc>
          <w:tcPr>
            <w:tcW w:w="1250" w:type="pct"/>
            <w:tcBorders>
              <w:top w:val="single" w:color="auto" w:sz="4" w:space="0"/>
              <w:left w:val="nil"/>
              <w:bottom w:val="single" w:color="auto" w:sz="4" w:space="0"/>
              <w:right w:val="single" w:color="auto" w:sz="4" w:space="0"/>
            </w:tcBorders>
            <w:shd w:val="clear" w:color="auto" w:fill="BEBEBE" w:themeFill="background1" w:themeFillShade="BF"/>
            <w:vAlign w:val="center"/>
          </w:tcPr>
          <w:p>
            <w:pPr>
              <w:widowControl/>
              <w:spacing w:line="240" w:lineRule="auto"/>
              <w:ind w:firstLine="0" w:firstLineChars="0"/>
              <w:jc w:val="center"/>
              <w:rPr>
                <w:rFonts w:hint="eastAsia" w:ascii="仿宋" w:hAnsi="仿宋" w:eastAsia="仿宋" w:cs="仿宋"/>
                <w:bCs/>
                <w:sz w:val="24"/>
              </w:rPr>
            </w:pPr>
            <w:r>
              <w:rPr>
                <w:rFonts w:hint="eastAsia" w:ascii="仿宋" w:hAnsi="仿宋" w:eastAsia="仿宋" w:cs="仿宋"/>
                <w:bCs/>
                <w:sz w:val="24"/>
              </w:rPr>
              <w:t>得分</w:t>
            </w:r>
          </w:p>
        </w:tc>
        <w:tc>
          <w:tcPr>
            <w:tcW w:w="1250" w:type="pct"/>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rFonts w:hint="eastAsia" w:ascii="仿宋" w:hAnsi="仿宋" w:eastAsia="仿宋" w:cs="仿宋"/>
                <w:bCs/>
                <w:sz w:val="24"/>
              </w:rPr>
            </w:pPr>
            <w:r>
              <w:rPr>
                <w:rFonts w:hint="eastAsia" w:ascii="仿宋" w:hAnsi="仿宋" w:eastAsia="仿宋" w:cs="仿宋"/>
                <w:bCs/>
                <w:sz w:val="24"/>
              </w:rPr>
              <w:t>得分率</w:t>
            </w:r>
          </w:p>
        </w:tc>
      </w:tr>
      <w:tr>
        <w:tblPrEx>
          <w:tblCellMar>
            <w:top w:w="0" w:type="dxa"/>
            <w:left w:w="108" w:type="dxa"/>
            <w:bottom w:w="0" w:type="dxa"/>
            <w:right w:w="108" w:type="dxa"/>
          </w:tblCellMar>
        </w:tblPrEx>
        <w:trPr>
          <w:trHeight w:val="567" w:hRule="atLeast"/>
          <w:jc w:val="center"/>
        </w:trPr>
        <w:tc>
          <w:tcPr>
            <w:tcW w:w="1250"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仿宋"/>
                <w:bCs/>
                <w:sz w:val="24"/>
              </w:rPr>
            </w:pPr>
            <w:r>
              <w:rPr>
                <w:rFonts w:hint="eastAsia" w:ascii="仿宋" w:hAnsi="仿宋" w:eastAsia="仿宋" w:cs="仿宋"/>
                <w:bCs/>
                <w:sz w:val="24"/>
              </w:rPr>
              <w:t>资金管理</w:t>
            </w:r>
          </w:p>
        </w:tc>
        <w:tc>
          <w:tcPr>
            <w:tcW w:w="21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bCs/>
                <w:sz w:val="24"/>
              </w:rPr>
            </w:pPr>
            <w:r>
              <w:rPr>
                <w:rFonts w:hint="eastAsia" w:ascii="仿宋" w:hAnsi="仿宋" w:eastAsia="仿宋" w:cs="仿宋"/>
                <w:i w:val="0"/>
                <w:iCs w:val="0"/>
                <w:color w:val="000000"/>
                <w:kern w:val="0"/>
                <w:sz w:val="24"/>
                <w:szCs w:val="24"/>
                <w:u w:val="none"/>
                <w:lang w:val="en-US" w:eastAsia="zh-CN" w:bidi="ar"/>
              </w:rPr>
              <w:t>10</w:t>
            </w:r>
          </w:p>
        </w:tc>
        <w:tc>
          <w:tcPr>
            <w:tcW w:w="213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bCs/>
                <w:sz w:val="24"/>
              </w:rPr>
            </w:pPr>
            <w:r>
              <w:rPr>
                <w:rFonts w:hint="eastAsia" w:ascii="仿宋" w:hAnsi="仿宋" w:eastAsia="仿宋" w:cs="仿宋"/>
                <w:i w:val="0"/>
                <w:iCs w:val="0"/>
                <w:color w:val="000000"/>
                <w:kern w:val="0"/>
                <w:sz w:val="24"/>
                <w:szCs w:val="24"/>
                <w:u w:val="none"/>
                <w:lang w:val="en-US" w:eastAsia="zh-CN" w:bidi="ar"/>
              </w:rPr>
              <w:t>9.12</w:t>
            </w:r>
          </w:p>
        </w:tc>
        <w:tc>
          <w:tcPr>
            <w:tcW w:w="21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bCs/>
                <w:sz w:val="24"/>
              </w:rPr>
            </w:pPr>
            <w:r>
              <w:rPr>
                <w:rFonts w:hint="eastAsia" w:ascii="仿宋" w:hAnsi="仿宋" w:eastAsia="仿宋" w:cs="仿宋"/>
                <w:i w:val="0"/>
                <w:iCs w:val="0"/>
                <w:color w:val="000000"/>
                <w:kern w:val="0"/>
                <w:sz w:val="24"/>
                <w:szCs w:val="24"/>
                <w:u w:val="none"/>
                <w:lang w:val="en-US" w:eastAsia="zh-CN" w:bidi="ar"/>
              </w:rPr>
              <w:t>91.20%</w:t>
            </w:r>
          </w:p>
        </w:tc>
      </w:tr>
      <w:tr>
        <w:tblPrEx>
          <w:tblCellMar>
            <w:top w:w="0" w:type="dxa"/>
            <w:left w:w="108" w:type="dxa"/>
            <w:bottom w:w="0" w:type="dxa"/>
            <w:right w:w="108" w:type="dxa"/>
          </w:tblCellMar>
        </w:tblPrEx>
        <w:trPr>
          <w:trHeight w:val="567" w:hRule="atLeast"/>
          <w:jc w:val="center"/>
        </w:trPr>
        <w:tc>
          <w:tcPr>
            <w:tcW w:w="1250"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仿宋"/>
                <w:bCs/>
                <w:sz w:val="24"/>
              </w:rPr>
            </w:pPr>
            <w:r>
              <w:rPr>
                <w:rFonts w:hint="eastAsia" w:ascii="仿宋" w:hAnsi="仿宋" w:eastAsia="仿宋" w:cs="仿宋"/>
                <w:bCs/>
                <w:sz w:val="24"/>
              </w:rPr>
              <w:t>组织实施</w:t>
            </w:r>
          </w:p>
        </w:tc>
        <w:tc>
          <w:tcPr>
            <w:tcW w:w="21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bCs/>
                <w:sz w:val="24"/>
              </w:rPr>
            </w:pPr>
            <w:r>
              <w:rPr>
                <w:rFonts w:hint="eastAsia" w:ascii="仿宋" w:hAnsi="仿宋" w:eastAsia="仿宋" w:cs="仿宋"/>
                <w:i w:val="0"/>
                <w:iCs w:val="0"/>
                <w:color w:val="000000"/>
                <w:kern w:val="0"/>
                <w:sz w:val="24"/>
                <w:szCs w:val="24"/>
                <w:u w:val="none"/>
                <w:lang w:val="en-US" w:eastAsia="zh-CN" w:bidi="ar"/>
              </w:rPr>
              <w:t>10</w:t>
            </w:r>
          </w:p>
        </w:tc>
        <w:tc>
          <w:tcPr>
            <w:tcW w:w="213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bCs/>
                <w:sz w:val="24"/>
              </w:rPr>
            </w:pPr>
            <w:r>
              <w:rPr>
                <w:rFonts w:hint="eastAsia" w:ascii="仿宋" w:hAnsi="仿宋" w:eastAsia="仿宋" w:cs="仿宋"/>
                <w:i w:val="0"/>
                <w:iCs w:val="0"/>
                <w:color w:val="000000"/>
                <w:kern w:val="0"/>
                <w:sz w:val="24"/>
                <w:szCs w:val="24"/>
                <w:u w:val="none"/>
                <w:lang w:val="en-US" w:eastAsia="zh-CN" w:bidi="ar"/>
              </w:rPr>
              <w:t>10</w:t>
            </w:r>
          </w:p>
        </w:tc>
        <w:tc>
          <w:tcPr>
            <w:tcW w:w="21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bCs/>
                <w:sz w:val="24"/>
              </w:rPr>
            </w:pPr>
            <w:r>
              <w:rPr>
                <w:rFonts w:hint="eastAsia" w:ascii="仿宋" w:hAnsi="仿宋" w:eastAsia="仿宋" w:cs="仿宋"/>
                <w:i w:val="0"/>
                <w:iCs w:val="0"/>
                <w:color w:val="000000"/>
                <w:kern w:val="0"/>
                <w:sz w:val="24"/>
                <w:szCs w:val="24"/>
                <w:u w:val="none"/>
                <w:lang w:val="en-US" w:eastAsia="zh-CN" w:bidi="ar"/>
              </w:rPr>
              <w:t>100.00%</w:t>
            </w:r>
          </w:p>
        </w:tc>
      </w:tr>
      <w:tr>
        <w:tblPrEx>
          <w:tblCellMar>
            <w:top w:w="0" w:type="dxa"/>
            <w:left w:w="108" w:type="dxa"/>
            <w:bottom w:w="0" w:type="dxa"/>
            <w:right w:w="108" w:type="dxa"/>
          </w:tblCellMar>
        </w:tblPrEx>
        <w:trPr>
          <w:trHeight w:val="567" w:hRule="atLeast"/>
          <w:jc w:val="center"/>
        </w:trPr>
        <w:tc>
          <w:tcPr>
            <w:tcW w:w="1250"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仿宋"/>
                <w:bCs/>
                <w:sz w:val="24"/>
              </w:rPr>
            </w:pPr>
            <w:r>
              <w:rPr>
                <w:rFonts w:hint="eastAsia" w:ascii="仿宋" w:hAnsi="仿宋" w:eastAsia="仿宋" w:cs="仿宋"/>
                <w:bCs/>
                <w:sz w:val="24"/>
              </w:rPr>
              <w:t>合计</w:t>
            </w:r>
          </w:p>
        </w:tc>
        <w:tc>
          <w:tcPr>
            <w:tcW w:w="2130"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ind w:left="0" w:leftChars="0" w:firstLine="0" w:firstLineChars="0"/>
              <w:jc w:val="center"/>
              <w:textAlignment w:val="bottom"/>
              <w:rPr>
                <w:rFonts w:hint="eastAsia" w:ascii="仿宋" w:hAnsi="仿宋" w:eastAsia="仿宋" w:cs="Arial"/>
                <w:sz w:val="24"/>
              </w:rPr>
            </w:pPr>
            <w:r>
              <w:rPr>
                <w:rFonts w:hint="eastAsia" w:ascii="仿宋" w:hAnsi="仿宋" w:eastAsia="仿宋" w:cs="仿宋"/>
                <w:i w:val="0"/>
                <w:iCs w:val="0"/>
                <w:color w:val="000000"/>
                <w:kern w:val="0"/>
                <w:sz w:val="24"/>
                <w:szCs w:val="24"/>
                <w:u w:val="none"/>
                <w:lang w:val="en-US" w:eastAsia="zh-CN" w:bidi="ar"/>
              </w:rPr>
              <w:t>20</w:t>
            </w:r>
          </w:p>
        </w:tc>
        <w:tc>
          <w:tcPr>
            <w:tcW w:w="2131" w:type="dxa"/>
            <w:tcBorders>
              <w:top w:val="single" w:color="auto" w:sz="4" w:space="0"/>
              <w:left w:val="nil"/>
              <w:bottom w:val="single" w:color="auto" w:sz="4" w:space="0"/>
              <w:right w:val="single" w:color="auto" w:sz="4" w:space="0"/>
            </w:tcBorders>
            <w:vAlign w:val="bottom"/>
          </w:tcPr>
          <w:p>
            <w:pPr>
              <w:keepNext w:val="0"/>
              <w:keepLines w:val="0"/>
              <w:widowControl/>
              <w:suppressLineNumbers w:val="0"/>
              <w:ind w:left="0" w:leftChars="0" w:firstLine="0" w:firstLineChars="0"/>
              <w:jc w:val="center"/>
              <w:textAlignment w:val="bottom"/>
              <w:rPr>
                <w:rFonts w:hint="eastAsia" w:ascii="仿宋" w:hAnsi="仿宋" w:eastAsia="仿宋" w:cs="Arial"/>
                <w:sz w:val="24"/>
              </w:rPr>
            </w:pPr>
            <w:r>
              <w:rPr>
                <w:rFonts w:hint="eastAsia" w:ascii="仿宋" w:hAnsi="仿宋" w:eastAsia="仿宋" w:cs="仿宋"/>
                <w:i w:val="0"/>
                <w:iCs w:val="0"/>
                <w:color w:val="000000"/>
                <w:kern w:val="0"/>
                <w:sz w:val="24"/>
                <w:szCs w:val="24"/>
                <w:u w:val="none"/>
                <w:lang w:val="en-US" w:eastAsia="zh-CN" w:bidi="ar"/>
              </w:rPr>
              <w:t>19.12</w:t>
            </w:r>
          </w:p>
        </w:tc>
        <w:tc>
          <w:tcPr>
            <w:tcW w:w="21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bCs/>
                <w:sz w:val="24"/>
              </w:rPr>
            </w:pPr>
            <w:r>
              <w:rPr>
                <w:rFonts w:hint="eastAsia" w:ascii="仿宋" w:hAnsi="仿宋" w:eastAsia="仿宋" w:cs="仿宋"/>
                <w:i w:val="0"/>
                <w:iCs w:val="0"/>
                <w:color w:val="000000"/>
                <w:kern w:val="0"/>
                <w:sz w:val="24"/>
                <w:szCs w:val="24"/>
                <w:u w:val="none"/>
                <w:lang w:val="en-US" w:eastAsia="zh-CN" w:bidi="ar"/>
              </w:rPr>
              <w:t>95.60%</w:t>
            </w:r>
          </w:p>
        </w:tc>
      </w:tr>
    </w:tbl>
    <w:p>
      <w:pPr>
        <w:pStyle w:val="4"/>
        <w:numPr>
          <w:ilvl w:val="0"/>
          <w:numId w:val="15"/>
        </w:numPr>
        <w:ind w:firstLineChars="0"/>
        <w:rPr>
          <w:rFonts w:hint="eastAsia" w:ascii="仿宋" w:hAnsi="仿宋" w:eastAsia="仿宋" w:cs="仿宋"/>
          <w:b w:val="0"/>
          <w:bCs/>
          <w:szCs w:val="32"/>
        </w:rPr>
      </w:pPr>
      <w:bookmarkStart w:id="339" w:name="_Toc199443765"/>
      <w:r>
        <w:rPr>
          <w:rFonts w:hint="eastAsia" w:ascii="仿宋" w:hAnsi="仿宋" w:eastAsia="仿宋" w:cs="仿宋"/>
          <w:b w:val="0"/>
          <w:bCs/>
          <w:szCs w:val="32"/>
        </w:rPr>
        <w:t>资金管理</w:t>
      </w:r>
      <w:bookmarkEnd w:id="288"/>
      <w:bookmarkEnd w:id="289"/>
      <w:bookmarkEnd w:id="290"/>
      <w:bookmarkEnd w:id="291"/>
      <w:bookmarkEnd w:id="292"/>
      <w:bookmarkEnd w:id="293"/>
      <w:bookmarkEnd w:id="294"/>
      <w:bookmarkEnd w:id="295"/>
      <w:bookmarkEnd w:id="339"/>
    </w:p>
    <w:p>
      <w:pPr>
        <w:pStyle w:val="5"/>
        <w:numPr>
          <w:ilvl w:val="0"/>
          <w:numId w:val="16"/>
        </w:numPr>
        <w:tabs>
          <w:tab w:val="left" w:pos="0"/>
        </w:tabs>
        <w:ind w:left="0" w:firstLine="692" w:firstLineChars="0"/>
        <w:rPr>
          <w:rFonts w:hint="eastAsia" w:ascii="仿宋" w:hAnsi="仿宋" w:eastAsia="仿宋" w:cs="仿宋"/>
          <w:b w:val="0"/>
          <w:bCs/>
          <w:szCs w:val="32"/>
        </w:rPr>
      </w:pPr>
      <w:bookmarkStart w:id="340" w:name="_Toc16469"/>
      <w:r>
        <w:rPr>
          <w:rFonts w:hint="eastAsia" w:ascii="仿宋" w:hAnsi="仿宋" w:eastAsia="仿宋" w:cs="仿宋"/>
          <w:b w:val="0"/>
          <w:bCs/>
          <w:szCs w:val="32"/>
        </w:rPr>
        <w:t>资金到位</w:t>
      </w:r>
      <w:r>
        <w:rPr>
          <w:rFonts w:hint="eastAsia" w:ascii="仿宋" w:hAnsi="仿宋" w:eastAsia="仿宋" w:cs="仿宋"/>
          <w:b w:val="0"/>
          <w:bCs/>
          <w:szCs w:val="32"/>
          <w:lang w:eastAsia="zh-CN"/>
        </w:rPr>
        <w:t>率</w:t>
      </w:r>
      <w:r>
        <w:rPr>
          <w:rFonts w:hint="eastAsia" w:ascii="仿宋" w:hAnsi="仿宋" w:eastAsia="仿宋" w:cs="仿宋"/>
          <w:b w:val="0"/>
          <w:bCs/>
          <w:szCs w:val="32"/>
        </w:rPr>
        <w:t>分析</w:t>
      </w:r>
      <w:bookmarkEnd w:id="340"/>
    </w:p>
    <w:p>
      <w:pPr>
        <w:ind w:firstLine="612"/>
        <w:rPr>
          <w:rFonts w:hint="eastAsia" w:ascii="仿宋" w:hAnsi="仿宋" w:eastAsia="仿宋" w:cs="仿宋"/>
          <w:bCs/>
          <w:spacing w:val="-7"/>
          <w:szCs w:val="32"/>
          <w:lang w:eastAsia="zh-CN"/>
        </w:rPr>
      </w:pPr>
      <w:r>
        <w:rPr>
          <w:rFonts w:hint="eastAsia" w:ascii="仿宋" w:hAnsi="仿宋" w:eastAsia="仿宋" w:cs="仿宋"/>
          <w:bCs/>
          <w:spacing w:val="-7"/>
          <w:szCs w:val="32"/>
          <w:lang w:eastAsia="zh-CN"/>
        </w:rPr>
        <w:t>农业产业推广：第二届非遗特色美食大赛及推广项目预算资金</w:t>
      </w:r>
      <w:r>
        <w:rPr>
          <w:rFonts w:hint="eastAsia" w:ascii="仿宋" w:hAnsi="仿宋" w:eastAsia="仿宋" w:cs="仿宋"/>
          <w:bCs/>
          <w:spacing w:val="-7"/>
          <w:szCs w:val="32"/>
          <w:lang w:val="en-US" w:eastAsia="zh-CN"/>
        </w:rPr>
        <w:t>10</w:t>
      </w:r>
      <w:r>
        <w:rPr>
          <w:rFonts w:hint="eastAsia" w:ascii="仿宋" w:hAnsi="仿宋" w:eastAsia="仿宋" w:cs="仿宋"/>
          <w:bCs/>
          <w:spacing w:val="-7"/>
          <w:szCs w:val="32"/>
          <w:lang w:eastAsia="zh-CN"/>
        </w:rPr>
        <w:t>万元，实际到位</w:t>
      </w:r>
      <w:r>
        <w:rPr>
          <w:rFonts w:hint="eastAsia" w:ascii="仿宋" w:hAnsi="仿宋" w:eastAsia="仿宋" w:cs="仿宋"/>
          <w:bCs/>
          <w:spacing w:val="-7"/>
          <w:szCs w:val="32"/>
          <w:lang w:val="en-US" w:eastAsia="zh-CN"/>
        </w:rPr>
        <w:t>10</w:t>
      </w:r>
      <w:r>
        <w:rPr>
          <w:rFonts w:hint="eastAsia" w:ascii="仿宋" w:hAnsi="仿宋" w:eastAsia="仿宋" w:cs="仿宋"/>
          <w:bCs/>
          <w:spacing w:val="-7"/>
          <w:szCs w:val="32"/>
          <w:lang w:eastAsia="zh-CN"/>
        </w:rPr>
        <w:t>万元，资金到位率100%。依据评分方法，该指标</w:t>
      </w:r>
      <w:r>
        <w:rPr>
          <w:rFonts w:hint="eastAsia" w:ascii="仿宋" w:hAnsi="仿宋" w:eastAsia="仿宋" w:cs="仿宋"/>
          <w:bCs/>
          <w:spacing w:val="-7"/>
          <w:szCs w:val="32"/>
          <w:lang w:val="en-US" w:eastAsia="zh-CN"/>
        </w:rPr>
        <w:t>得</w:t>
      </w:r>
      <w:r>
        <w:rPr>
          <w:rFonts w:hint="eastAsia" w:ascii="仿宋" w:hAnsi="仿宋" w:eastAsia="仿宋" w:cs="仿宋"/>
          <w:bCs/>
          <w:spacing w:val="-7"/>
          <w:szCs w:val="32"/>
          <w:lang w:eastAsia="zh-CN"/>
        </w:rPr>
        <w:t>满分</w:t>
      </w:r>
      <w:r>
        <w:rPr>
          <w:rFonts w:hint="eastAsia" w:ascii="仿宋" w:hAnsi="仿宋" w:eastAsia="仿宋" w:cs="仿宋"/>
          <w:bCs/>
          <w:spacing w:val="-7"/>
          <w:szCs w:val="32"/>
          <w:lang w:val="en-US" w:eastAsia="zh-CN"/>
        </w:rPr>
        <w:t>3.00分</w:t>
      </w:r>
      <w:r>
        <w:rPr>
          <w:rFonts w:hint="eastAsia" w:ascii="仿宋" w:hAnsi="仿宋" w:eastAsia="仿宋" w:cs="仿宋"/>
          <w:bCs/>
          <w:spacing w:val="-7"/>
          <w:szCs w:val="32"/>
          <w:lang w:eastAsia="zh-CN"/>
        </w:rPr>
        <w:t>。</w:t>
      </w:r>
    </w:p>
    <w:p>
      <w:pPr>
        <w:pStyle w:val="5"/>
        <w:numPr>
          <w:ilvl w:val="0"/>
          <w:numId w:val="16"/>
        </w:numPr>
        <w:tabs>
          <w:tab w:val="left" w:pos="0"/>
        </w:tabs>
        <w:ind w:left="0" w:firstLine="692" w:firstLineChars="0"/>
        <w:rPr>
          <w:rFonts w:hint="eastAsia" w:ascii="仿宋" w:hAnsi="仿宋" w:eastAsia="仿宋" w:cs="仿宋"/>
          <w:b w:val="0"/>
          <w:bCs/>
          <w:szCs w:val="32"/>
          <w:lang w:eastAsia="zh-CN"/>
        </w:rPr>
      </w:pPr>
      <w:bookmarkStart w:id="341" w:name="_Toc31737"/>
      <w:r>
        <w:rPr>
          <w:rFonts w:hint="eastAsia" w:ascii="仿宋" w:hAnsi="仿宋" w:eastAsia="仿宋" w:cs="仿宋"/>
          <w:b w:val="0"/>
          <w:bCs/>
          <w:szCs w:val="32"/>
          <w:lang w:eastAsia="zh-CN"/>
        </w:rPr>
        <w:t>预算执行率分析</w:t>
      </w:r>
      <w:bookmarkEnd w:id="341"/>
    </w:p>
    <w:p>
      <w:pPr>
        <w:ind w:firstLine="612"/>
        <w:rPr>
          <w:rFonts w:hint="eastAsia" w:ascii="仿宋" w:hAnsi="仿宋" w:eastAsia="仿宋" w:cs="仿宋"/>
          <w:bCs/>
          <w:spacing w:val="-7"/>
          <w:szCs w:val="32"/>
          <w:lang w:eastAsia="zh-CN"/>
        </w:rPr>
      </w:pPr>
      <w:r>
        <w:rPr>
          <w:rFonts w:hint="eastAsia" w:ascii="仿宋" w:hAnsi="仿宋" w:eastAsia="仿宋" w:cs="仿宋"/>
          <w:bCs/>
          <w:spacing w:val="-7"/>
          <w:szCs w:val="32"/>
          <w:lang w:eastAsia="zh-CN"/>
        </w:rPr>
        <w:t>农业产业推广：第二届非遗特色美食大赛及推广项目</w:t>
      </w:r>
      <w:r>
        <w:rPr>
          <w:rFonts w:ascii="仿宋" w:hAnsi="仿宋" w:eastAsia="仿宋" w:cs="仿宋"/>
          <w:bCs/>
          <w:spacing w:val="-7"/>
          <w:szCs w:val="32"/>
          <w:lang w:eastAsia="zh-CN"/>
        </w:rPr>
        <w:t>预算资金为</w:t>
      </w:r>
      <w:r>
        <w:rPr>
          <w:rFonts w:hint="eastAsia" w:ascii="仿宋" w:hAnsi="仿宋" w:eastAsia="仿宋" w:cs="仿宋"/>
          <w:bCs/>
          <w:spacing w:val="-7"/>
          <w:szCs w:val="32"/>
          <w:lang w:val="en-US" w:eastAsia="zh-CN"/>
        </w:rPr>
        <w:t>10</w:t>
      </w:r>
      <w:r>
        <w:rPr>
          <w:rFonts w:ascii="仿宋" w:hAnsi="仿宋" w:eastAsia="仿宋" w:cs="仿宋"/>
          <w:bCs/>
          <w:spacing w:val="-7"/>
          <w:szCs w:val="32"/>
          <w:lang w:eastAsia="zh-CN"/>
        </w:rPr>
        <w:t>万元，实际到位</w:t>
      </w:r>
      <w:r>
        <w:rPr>
          <w:rFonts w:hint="eastAsia" w:ascii="仿宋" w:hAnsi="仿宋" w:eastAsia="仿宋" w:cs="仿宋"/>
          <w:bCs/>
          <w:spacing w:val="-7"/>
          <w:szCs w:val="32"/>
          <w:lang w:val="en-US" w:eastAsia="zh-CN"/>
        </w:rPr>
        <w:t>10</w:t>
      </w:r>
      <w:r>
        <w:rPr>
          <w:rFonts w:ascii="仿宋" w:hAnsi="仿宋" w:eastAsia="仿宋" w:cs="仿宋"/>
          <w:bCs/>
          <w:spacing w:val="-7"/>
          <w:szCs w:val="32"/>
          <w:lang w:eastAsia="zh-CN"/>
        </w:rPr>
        <w:t>万元，</w:t>
      </w:r>
      <w:r>
        <w:rPr>
          <w:rFonts w:hint="eastAsia" w:ascii="仿宋" w:hAnsi="仿宋" w:eastAsia="仿宋" w:cs="仿宋"/>
          <w:bCs/>
          <w:spacing w:val="-7"/>
          <w:szCs w:val="32"/>
          <w:lang w:val="en-US" w:eastAsia="zh-CN"/>
        </w:rPr>
        <w:t>截止2024年11月19日实际支出7.05</w:t>
      </w:r>
      <w:r>
        <w:rPr>
          <w:rFonts w:ascii="仿宋" w:hAnsi="仿宋" w:eastAsia="仿宋" w:cs="仿宋"/>
          <w:bCs/>
          <w:spacing w:val="-7"/>
          <w:szCs w:val="32"/>
          <w:lang w:eastAsia="zh-CN"/>
        </w:rPr>
        <w:t>万元。预算执行率为</w:t>
      </w:r>
      <w:r>
        <w:rPr>
          <w:rFonts w:hint="eastAsia" w:ascii="仿宋" w:hAnsi="仿宋" w:eastAsia="仿宋" w:cs="仿宋"/>
          <w:bCs/>
          <w:spacing w:val="-7"/>
          <w:szCs w:val="32"/>
          <w:lang w:val="en-US" w:eastAsia="zh-CN"/>
        </w:rPr>
        <w:t>70.50</w:t>
      </w:r>
      <w:r>
        <w:rPr>
          <w:rFonts w:ascii="仿宋" w:hAnsi="仿宋" w:eastAsia="仿宋" w:cs="仿宋"/>
          <w:bCs/>
          <w:spacing w:val="-7"/>
          <w:szCs w:val="32"/>
          <w:lang w:eastAsia="zh-CN"/>
        </w:rPr>
        <w:t>%。根据评分标准，</w:t>
      </w:r>
      <w:r>
        <w:rPr>
          <w:rFonts w:hint="eastAsia" w:ascii="仿宋" w:hAnsi="仿宋" w:eastAsia="仿宋" w:cs="仿宋"/>
          <w:bCs/>
          <w:spacing w:val="-7"/>
          <w:szCs w:val="32"/>
          <w:lang w:val="en-US" w:eastAsia="zh-CN"/>
        </w:rPr>
        <w:t>该指标得3.00*70.5%=2.12</w:t>
      </w:r>
      <w:r>
        <w:rPr>
          <w:rFonts w:ascii="仿宋" w:hAnsi="仿宋" w:eastAsia="仿宋" w:cs="仿宋"/>
          <w:bCs/>
          <w:spacing w:val="-7"/>
          <w:szCs w:val="32"/>
          <w:lang w:eastAsia="zh-CN"/>
        </w:rPr>
        <w:t>分</w:t>
      </w:r>
      <w:r>
        <w:rPr>
          <w:rFonts w:hint="eastAsia" w:ascii="仿宋" w:hAnsi="仿宋" w:eastAsia="仿宋" w:cs="仿宋"/>
          <w:bCs/>
          <w:spacing w:val="-7"/>
          <w:szCs w:val="32"/>
          <w:lang w:eastAsia="zh-CN"/>
        </w:rPr>
        <w:t>。</w:t>
      </w:r>
    </w:p>
    <w:p>
      <w:pPr>
        <w:pStyle w:val="5"/>
        <w:numPr>
          <w:ilvl w:val="0"/>
          <w:numId w:val="16"/>
        </w:numPr>
        <w:tabs>
          <w:tab w:val="left" w:pos="0"/>
        </w:tabs>
        <w:ind w:left="0" w:firstLine="692" w:firstLineChars="0"/>
        <w:rPr>
          <w:rFonts w:hint="eastAsia" w:ascii="仿宋" w:hAnsi="仿宋" w:eastAsia="仿宋" w:cs="仿宋"/>
          <w:b w:val="0"/>
          <w:bCs/>
          <w:szCs w:val="32"/>
          <w:lang w:eastAsia="zh-CN"/>
        </w:rPr>
      </w:pPr>
      <w:bookmarkStart w:id="342" w:name="_Toc23462"/>
      <w:r>
        <w:rPr>
          <w:rFonts w:hint="eastAsia" w:ascii="仿宋" w:hAnsi="仿宋" w:eastAsia="仿宋" w:cs="仿宋"/>
          <w:b w:val="0"/>
          <w:bCs/>
          <w:szCs w:val="32"/>
          <w:lang w:eastAsia="zh-CN"/>
        </w:rPr>
        <w:t>资金使用合规性分析</w:t>
      </w:r>
      <w:bookmarkEnd w:id="342"/>
    </w:p>
    <w:p>
      <w:pPr>
        <w:ind w:firstLine="612"/>
        <w:rPr>
          <w:rFonts w:hint="eastAsia" w:ascii="仿宋" w:hAnsi="仿宋" w:eastAsia="仿宋" w:cs="仿宋"/>
          <w:bCs/>
          <w:spacing w:val="-7"/>
          <w:szCs w:val="32"/>
          <w:lang w:eastAsia="zh-CN"/>
        </w:rPr>
      </w:pPr>
      <w:r>
        <w:rPr>
          <w:rFonts w:ascii="仿宋" w:hAnsi="仿宋" w:eastAsia="仿宋" w:cs="仿宋"/>
          <w:bCs/>
          <w:spacing w:val="-7"/>
          <w:szCs w:val="32"/>
          <w:lang w:eastAsia="zh-CN"/>
        </w:rPr>
        <w:t>项目资金使用符合相关财务管理制度；资金的拨付有</w:t>
      </w:r>
      <w:r>
        <w:rPr>
          <w:rFonts w:hint="eastAsia" w:ascii="仿宋" w:hAnsi="仿宋" w:eastAsia="仿宋" w:cs="仿宋"/>
          <w:bCs/>
          <w:spacing w:val="-7"/>
          <w:szCs w:val="32"/>
          <w:lang w:val="en-US" w:eastAsia="zh-CN"/>
        </w:rPr>
        <w:t>经签字确认的金口河区文体旅游局费用报销单、单位资金支付</w:t>
      </w:r>
      <w:r>
        <w:rPr>
          <w:rFonts w:ascii="仿宋" w:hAnsi="仿宋" w:eastAsia="仿宋" w:cs="仿宋"/>
          <w:bCs/>
          <w:spacing w:val="-7"/>
          <w:szCs w:val="32"/>
          <w:lang w:eastAsia="zh-CN"/>
        </w:rPr>
        <w:t>凭证、发票等审批手续。符合项目预算批复或合同规定的用途。未发现有截留、挤占、挪用、虚列支出等情况。依据评分方法，该指标得满分</w:t>
      </w:r>
      <w:r>
        <w:rPr>
          <w:rFonts w:hint="eastAsia" w:ascii="仿宋" w:hAnsi="仿宋" w:eastAsia="仿宋" w:cs="仿宋"/>
          <w:bCs/>
          <w:spacing w:val="-7"/>
          <w:szCs w:val="32"/>
          <w:lang w:val="en-US" w:eastAsia="zh-CN"/>
        </w:rPr>
        <w:t>4.00分</w:t>
      </w:r>
      <w:r>
        <w:rPr>
          <w:rFonts w:hint="eastAsia" w:ascii="仿宋" w:hAnsi="仿宋" w:eastAsia="仿宋" w:cs="仿宋"/>
          <w:bCs/>
          <w:spacing w:val="-7"/>
          <w:szCs w:val="32"/>
          <w:lang w:eastAsia="zh-CN"/>
        </w:rPr>
        <w:t>。</w:t>
      </w:r>
    </w:p>
    <w:p>
      <w:pPr>
        <w:pStyle w:val="4"/>
        <w:numPr>
          <w:ilvl w:val="0"/>
          <w:numId w:val="15"/>
        </w:numPr>
        <w:ind w:firstLineChars="0"/>
        <w:rPr>
          <w:rFonts w:hint="eastAsia" w:ascii="仿宋" w:hAnsi="仿宋" w:eastAsia="仿宋" w:cs="仿宋"/>
          <w:b w:val="0"/>
          <w:bCs/>
          <w:szCs w:val="32"/>
          <w:lang w:eastAsia="zh-CN"/>
        </w:rPr>
      </w:pPr>
      <w:bookmarkStart w:id="343" w:name="_Toc1068875258"/>
      <w:bookmarkStart w:id="344" w:name="_Toc130033914"/>
      <w:bookmarkStart w:id="345" w:name="_Toc4141"/>
      <w:bookmarkStart w:id="346" w:name="_Toc437812553"/>
      <w:bookmarkStart w:id="347" w:name="_Toc199443766"/>
      <w:bookmarkStart w:id="348" w:name="_Toc1429136542_WPSOffice_Level3"/>
      <w:bookmarkStart w:id="349" w:name="_Toc1511518389"/>
      <w:bookmarkStart w:id="350" w:name="_Toc4421"/>
      <w:bookmarkStart w:id="351" w:name="_Toc1373844364"/>
      <w:r>
        <w:rPr>
          <w:rFonts w:hint="eastAsia" w:ascii="仿宋" w:hAnsi="仿宋" w:eastAsia="仿宋" w:cs="仿宋"/>
          <w:b w:val="0"/>
          <w:bCs/>
          <w:szCs w:val="32"/>
          <w:lang w:eastAsia="zh-CN"/>
        </w:rPr>
        <w:t>组织实施</w:t>
      </w:r>
      <w:bookmarkEnd w:id="343"/>
      <w:bookmarkEnd w:id="344"/>
      <w:bookmarkEnd w:id="345"/>
      <w:bookmarkEnd w:id="346"/>
      <w:bookmarkEnd w:id="347"/>
      <w:bookmarkEnd w:id="348"/>
      <w:bookmarkEnd w:id="349"/>
      <w:bookmarkEnd w:id="350"/>
      <w:bookmarkEnd w:id="351"/>
    </w:p>
    <w:p>
      <w:pPr>
        <w:pStyle w:val="5"/>
        <w:numPr>
          <w:ilvl w:val="0"/>
          <w:numId w:val="17"/>
        </w:numPr>
        <w:tabs>
          <w:tab w:val="left" w:pos="1418"/>
        </w:tabs>
        <w:ind w:left="0" w:firstLine="643" w:firstLineChars="0"/>
        <w:rPr>
          <w:rFonts w:hint="eastAsia" w:ascii="仿宋" w:hAnsi="仿宋" w:eastAsia="仿宋" w:cs="仿宋"/>
          <w:b w:val="0"/>
          <w:bCs/>
          <w:szCs w:val="32"/>
          <w:lang w:eastAsia="zh-CN"/>
        </w:rPr>
      </w:pPr>
      <w:bookmarkStart w:id="352" w:name="_Toc13128"/>
      <w:r>
        <w:rPr>
          <w:rFonts w:hint="eastAsia" w:ascii="仿宋" w:hAnsi="仿宋" w:eastAsia="仿宋" w:cs="仿宋"/>
          <w:b w:val="0"/>
          <w:bCs/>
          <w:szCs w:val="32"/>
          <w:lang w:eastAsia="zh-CN"/>
        </w:rPr>
        <w:t>项目</w:t>
      </w:r>
      <w:r>
        <w:rPr>
          <w:rFonts w:hint="eastAsia" w:ascii="仿宋" w:hAnsi="仿宋" w:eastAsia="仿宋" w:cs="仿宋"/>
          <w:b w:val="0"/>
          <w:bCs/>
          <w:szCs w:val="32"/>
          <w:lang w:val="en-US" w:eastAsia="zh-CN"/>
        </w:rPr>
        <w:t>实施流程及</w:t>
      </w:r>
      <w:r>
        <w:rPr>
          <w:rFonts w:hint="eastAsia" w:ascii="仿宋" w:hAnsi="仿宋" w:eastAsia="仿宋" w:cs="仿宋"/>
          <w:b w:val="0"/>
          <w:bCs/>
          <w:szCs w:val="32"/>
          <w:lang w:eastAsia="zh-CN"/>
        </w:rPr>
        <w:t>采购合规性分析</w:t>
      </w:r>
      <w:bookmarkEnd w:id="352"/>
    </w:p>
    <w:p>
      <w:pPr>
        <w:ind w:firstLine="612"/>
        <w:rPr>
          <w:rFonts w:hint="eastAsia" w:ascii="仿宋" w:hAnsi="仿宋" w:eastAsia="仿宋" w:cs="仿宋"/>
          <w:bCs/>
          <w:spacing w:val="-7"/>
          <w:szCs w:val="32"/>
          <w:lang w:eastAsia="zh-CN"/>
        </w:rPr>
      </w:pPr>
      <w:r>
        <w:rPr>
          <w:rFonts w:hint="eastAsia" w:ascii="仿宋" w:hAnsi="仿宋" w:eastAsia="仿宋" w:cs="仿宋"/>
          <w:bCs/>
          <w:spacing w:val="-7"/>
          <w:szCs w:val="32"/>
          <w:lang w:val="en-US" w:eastAsia="zh-CN"/>
        </w:rPr>
        <w:t>2024年7月31日区文体旅游局发出《询价函》，经询价对比2024年8月16日党组会确定乐山市同舟营销策划有限公司为中标方，中标价98,600.00元。2024年8月19日区文体旅游局与乐山市同舟营销策划有限公司签订《活动策划协议》。2024年8月29日经区文体旅游局党组会同意，变更服务费用为70,500.00元。项目实施流程规范，通过询价与具有相应资质报价合理的供应商签订合同，符合项目相关规定</w:t>
      </w:r>
      <w:r>
        <w:rPr>
          <w:rFonts w:hint="eastAsia" w:ascii="仿宋" w:hAnsi="仿宋" w:eastAsia="仿宋" w:cs="仿宋"/>
          <w:bCs/>
          <w:spacing w:val="-7"/>
          <w:szCs w:val="32"/>
          <w:lang w:eastAsia="zh-CN"/>
        </w:rPr>
        <w:t>。依据评分方法，该指标得</w:t>
      </w:r>
      <w:r>
        <w:rPr>
          <w:rFonts w:hint="eastAsia" w:ascii="仿宋" w:hAnsi="仿宋" w:eastAsia="仿宋" w:cs="仿宋"/>
          <w:bCs/>
          <w:spacing w:val="-7"/>
          <w:szCs w:val="32"/>
          <w:lang w:val="en-US" w:eastAsia="zh-CN"/>
        </w:rPr>
        <w:t>满分5.00</w:t>
      </w:r>
      <w:r>
        <w:rPr>
          <w:rFonts w:hint="eastAsia" w:ascii="仿宋" w:hAnsi="仿宋" w:eastAsia="仿宋" w:cs="仿宋"/>
          <w:bCs/>
          <w:spacing w:val="-7"/>
          <w:szCs w:val="32"/>
          <w:lang w:eastAsia="zh-CN"/>
        </w:rPr>
        <w:t>分。</w:t>
      </w:r>
    </w:p>
    <w:p>
      <w:pPr>
        <w:pStyle w:val="5"/>
        <w:numPr>
          <w:ilvl w:val="0"/>
          <w:numId w:val="17"/>
        </w:numPr>
        <w:tabs>
          <w:tab w:val="left" w:pos="1418"/>
        </w:tabs>
        <w:ind w:left="0" w:firstLine="643" w:firstLineChars="0"/>
        <w:rPr>
          <w:rFonts w:hint="eastAsia" w:ascii="仿宋" w:hAnsi="仿宋" w:eastAsia="仿宋" w:cs="仿宋"/>
          <w:b w:val="0"/>
          <w:bCs/>
          <w:szCs w:val="32"/>
          <w:lang w:eastAsia="zh-CN"/>
        </w:rPr>
      </w:pPr>
      <w:bookmarkStart w:id="353" w:name="_Toc25551"/>
      <w:r>
        <w:rPr>
          <w:rFonts w:hint="eastAsia" w:ascii="仿宋" w:hAnsi="仿宋" w:eastAsia="仿宋" w:cs="仿宋"/>
          <w:b w:val="0"/>
          <w:bCs/>
          <w:szCs w:val="32"/>
          <w:lang w:eastAsia="zh-CN"/>
        </w:rPr>
        <w:t>合同管理和执行规范性分析</w:t>
      </w:r>
      <w:bookmarkEnd w:id="353"/>
    </w:p>
    <w:p>
      <w:pPr>
        <w:ind w:firstLine="612"/>
        <w:rPr>
          <w:rFonts w:hint="eastAsia" w:ascii="仿宋" w:hAnsi="仿宋" w:eastAsia="仿宋" w:cs="仿宋"/>
          <w:bCs/>
          <w:spacing w:val="-7"/>
          <w:szCs w:val="32"/>
          <w:lang w:eastAsia="zh-CN"/>
        </w:rPr>
      </w:pPr>
      <w:r>
        <w:rPr>
          <w:rFonts w:hint="eastAsia" w:ascii="仿宋" w:hAnsi="仿宋" w:eastAsia="仿宋" w:cs="仿宋"/>
          <w:bCs/>
          <w:spacing w:val="-7"/>
          <w:szCs w:val="32"/>
          <w:lang w:eastAsia="zh-CN"/>
        </w:rPr>
        <w:t>通过查</w:t>
      </w:r>
      <w:r>
        <w:rPr>
          <w:rFonts w:hint="eastAsia" w:ascii="仿宋" w:hAnsi="仿宋" w:eastAsia="仿宋" w:cs="仿宋"/>
          <w:bCs/>
          <w:spacing w:val="-7"/>
          <w:szCs w:val="32"/>
          <w:lang w:val="en-US" w:eastAsia="zh-CN"/>
        </w:rPr>
        <w:t>阅区文体旅游局与乐山市同舟营销策划有限公司签订《活动策划协议》，协议中约定了主要工作内容、基本职责，明确、细化双方的权利和义务。但在合同执行过程中，因未履行宣传画册设计、印刷以及经费变更，双方重新签订了补充协议。</w:t>
      </w:r>
      <w:r>
        <w:rPr>
          <w:rFonts w:hint="eastAsia" w:ascii="仿宋" w:hAnsi="仿宋" w:eastAsia="仿宋" w:cs="仿宋"/>
          <w:bCs/>
          <w:spacing w:val="-7"/>
          <w:szCs w:val="32"/>
          <w:lang w:eastAsia="zh-CN"/>
        </w:rPr>
        <w:t>项目单位在业务开展过程中，合同、档案资料及相关的重决策会议纪要及附件齐全。根据评分标准，该指标</w:t>
      </w:r>
      <w:r>
        <w:rPr>
          <w:rFonts w:hint="eastAsia" w:ascii="仿宋" w:hAnsi="仿宋" w:eastAsia="仿宋" w:cs="仿宋"/>
          <w:bCs/>
          <w:spacing w:val="-7"/>
          <w:szCs w:val="32"/>
          <w:lang w:val="en-US" w:eastAsia="zh-CN"/>
        </w:rPr>
        <w:t>得满分5</w:t>
      </w:r>
      <w:r>
        <w:rPr>
          <w:rFonts w:hint="eastAsia" w:ascii="仿宋" w:hAnsi="仿宋" w:eastAsia="仿宋" w:cs="仿宋"/>
          <w:bCs/>
          <w:spacing w:val="-7"/>
          <w:szCs w:val="32"/>
          <w:lang w:eastAsia="zh-CN"/>
        </w:rPr>
        <w:t>.00分。</w:t>
      </w:r>
    </w:p>
    <w:p>
      <w:pPr>
        <w:pStyle w:val="3"/>
        <w:numPr>
          <w:ilvl w:val="0"/>
          <w:numId w:val="10"/>
        </w:numPr>
        <w:spacing w:before="0" w:beforeLines="0" w:after="0" w:afterLines="0"/>
        <w:ind w:firstLineChars="0"/>
        <w:rPr>
          <w:rFonts w:hint="eastAsia" w:ascii="楷体" w:hAnsi="楷体" w:eastAsia="楷体" w:cs="楷体"/>
          <w:b w:val="0"/>
          <w:bCs/>
          <w:szCs w:val="32"/>
        </w:rPr>
      </w:pPr>
      <w:bookmarkStart w:id="354" w:name="_Toc132480969"/>
      <w:bookmarkStart w:id="355" w:name="_Toc179658328"/>
      <w:bookmarkStart w:id="356" w:name="_Toc885754051"/>
      <w:bookmarkStart w:id="357" w:name="_Toc458053204"/>
      <w:bookmarkStart w:id="358" w:name="_Toc1036603649"/>
      <w:bookmarkStart w:id="359" w:name="_Toc2029979728_WPSOffice_Level2"/>
      <w:bookmarkStart w:id="360" w:name="_Toc5146"/>
      <w:bookmarkStart w:id="361" w:name="_Toc3947"/>
      <w:bookmarkStart w:id="362" w:name="_Toc1505503560"/>
      <w:bookmarkStart w:id="363" w:name="_Toc199443767"/>
      <w:r>
        <w:rPr>
          <w:rFonts w:hint="eastAsia" w:ascii="楷体" w:hAnsi="楷体" w:eastAsia="楷体" w:cs="楷体"/>
          <w:b w:val="0"/>
          <w:bCs/>
          <w:szCs w:val="32"/>
        </w:rPr>
        <w:t>项目产出情况</w:t>
      </w:r>
      <w:bookmarkEnd w:id="354"/>
      <w:bookmarkEnd w:id="355"/>
      <w:bookmarkEnd w:id="356"/>
      <w:bookmarkEnd w:id="357"/>
      <w:bookmarkEnd w:id="358"/>
      <w:bookmarkEnd w:id="359"/>
      <w:bookmarkEnd w:id="360"/>
      <w:bookmarkEnd w:id="361"/>
      <w:bookmarkEnd w:id="362"/>
      <w:bookmarkEnd w:id="363"/>
    </w:p>
    <w:p>
      <w:pPr>
        <w:ind w:firstLine="612"/>
        <w:rPr>
          <w:rFonts w:hint="eastAsia" w:ascii="仿宋" w:hAnsi="仿宋" w:eastAsia="仿宋" w:cs="仿宋"/>
          <w:bCs/>
          <w:spacing w:val="-7"/>
          <w:szCs w:val="32"/>
          <w:lang w:eastAsia="zh-CN"/>
        </w:rPr>
      </w:pPr>
      <w:r>
        <w:rPr>
          <w:rFonts w:hint="eastAsia" w:ascii="仿宋" w:hAnsi="仿宋" w:eastAsia="仿宋" w:cs="仿宋"/>
          <w:bCs/>
          <w:spacing w:val="-7"/>
          <w:szCs w:val="32"/>
          <w:lang w:eastAsia="zh-CN"/>
        </w:rPr>
        <w:t>项目产出是证明项目取得效果的重要依据，本次评价从产出数量、质量、时效和成本四个方面来评价项目。项目产出权重30.00分，本项目得分2</w:t>
      </w:r>
      <w:r>
        <w:rPr>
          <w:rFonts w:hint="eastAsia" w:ascii="仿宋" w:hAnsi="仿宋" w:eastAsia="仿宋" w:cs="仿宋"/>
          <w:bCs/>
          <w:spacing w:val="-7"/>
          <w:szCs w:val="32"/>
          <w:lang w:val="en-US" w:eastAsia="zh-CN"/>
        </w:rPr>
        <w:t>8</w:t>
      </w:r>
      <w:r>
        <w:rPr>
          <w:rFonts w:hint="eastAsia" w:ascii="仿宋" w:hAnsi="仿宋" w:eastAsia="仿宋" w:cs="仿宋"/>
          <w:bCs/>
          <w:spacing w:val="-7"/>
          <w:szCs w:val="32"/>
          <w:lang w:eastAsia="zh-CN"/>
        </w:rPr>
        <w:t>.</w:t>
      </w:r>
      <w:r>
        <w:rPr>
          <w:rFonts w:hint="eastAsia" w:ascii="仿宋" w:hAnsi="仿宋" w:eastAsia="仿宋" w:cs="仿宋"/>
          <w:bCs/>
          <w:spacing w:val="-7"/>
          <w:szCs w:val="32"/>
          <w:lang w:val="en-US" w:eastAsia="zh-CN"/>
        </w:rPr>
        <w:t>4</w:t>
      </w:r>
      <w:r>
        <w:rPr>
          <w:rFonts w:hint="eastAsia" w:ascii="仿宋" w:hAnsi="仿宋" w:eastAsia="仿宋" w:cs="仿宋"/>
          <w:bCs/>
          <w:spacing w:val="-7"/>
          <w:szCs w:val="32"/>
          <w:lang w:eastAsia="zh-CN"/>
        </w:rPr>
        <w:t>0分，得分率为</w:t>
      </w:r>
      <w:r>
        <w:rPr>
          <w:rFonts w:hint="eastAsia" w:ascii="仿宋" w:hAnsi="仿宋" w:eastAsia="仿宋" w:cs="仿宋"/>
          <w:bCs/>
          <w:spacing w:val="-7"/>
          <w:szCs w:val="32"/>
          <w:lang w:val="en-US" w:eastAsia="zh-CN"/>
        </w:rPr>
        <w:t>94.67</w:t>
      </w:r>
      <w:r>
        <w:rPr>
          <w:rFonts w:hint="eastAsia" w:ascii="仿宋" w:hAnsi="仿宋" w:eastAsia="仿宋" w:cs="仿宋"/>
          <w:bCs/>
          <w:spacing w:val="-7"/>
          <w:szCs w:val="32"/>
          <w:lang w:eastAsia="zh-CN"/>
        </w:rPr>
        <w:t>%。</w:t>
      </w:r>
      <w:r>
        <w:rPr>
          <w:rFonts w:hint="eastAsia" w:ascii="仿宋" w:hAnsi="仿宋" w:eastAsia="仿宋" w:cs="仿宋"/>
          <w:bCs/>
          <w:spacing w:val="-7"/>
          <w:szCs w:val="32"/>
          <w:lang w:val="en-US" w:eastAsia="zh-CN"/>
        </w:rPr>
        <w:t>扣分的原因是成本节约率为29.50%。</w:t>
      </w:r>
      <w:r>
        <w:rPr>
          <w:rFonts w:hint="eastAsia" w:ascii="仿宋" w:hAnsi="仿宋" w:eastAsia="仿宋" w:cs="仿宋"/>
          <w:bCs/>
          <w:spacing w:val="-7"/>
          <w:szCs w:val="32"/>
          <w:lang w:eastAsia="zh-CN"/>
        </w:rPr>
        <w:t>具体得分情况见下表4-3：</w:t>
      </w:r>
    </w:p>
    <w:p>
      <w:pPr>
        <w:ind w:firstLine="0" w:firstLineChars="0"/>
        <w:jc w:val="center"/>
        <w:rPr>
          <w:rFonts w:hint="eastAsia" w:ascii="仿宋" w:hAnsi="仿宋" w:eastAsia="仿宋" w:cs="仿宋"/>
          <w:bCs/>
          <w:szCs w:val="32"/>
        </w:rPr>
      </w:pPr>
      <w:r>
        <w:rPr>
          <w:rFonts w:hint="eastAsia" w:ascii="仿宋" w:hAnsi="仿宋" w:eastAsia="仿宋" w:cs="仿宋"/>
          <w:bCs/>
          <w:szCs w:val="32"/>
        </w:rPr>
        <w:t>表4-3项目产出指标得分</w:t>
      </w:r>
    </w:p>
    <w:tbl>
      <w:tblPr>
        <w:tblStyle w:val="22"/>
        <w:tblW w:w="5000" w:type="pct"/>
        <w:tblInd w:w="0" w:type="dxa"/>
        <w:tblLayout w:type="autofit"/>
        <w:tblCellMar>
          <w:top w:w="0" w:type="dxa"/>
          <w:left w:w="108" w:type="dxa"/>
          <w:bottom w:w="0" w:type="dxa"/>
          <w:right w:w="108" w:type="dxa"/>
        </w:tblCellMar>
      </w:tblPr>
      <w:tblGrid>
        <w:gridCol w:w="2124"/>
        <w:gridCol w:w="2130"/>
        <w:gridCol w:w="2131"/>
        <w:gridCol w:w="2131"/>
      </w:tblGrid>
      <w:tr>
        <w:tblPrEx>
          <w:tblCellMar>
            <w:top w:w="0" w:type="dxa"/>
            <w:left w:w="108" w:type="dxa"/>
            <w:bottom w:w="0" w:type="dxa"/>
            <w:right w:w="108" w:type="dxa"/>
          </w:tblCellMar>
        </w:tblPrEx>
        <w:trPr>
          <w:trHeight w:val="567" w:hRule="atLeast"/>
          <w:tblHeader/>
        </w:trPr>
        <w:tc>
          <w:tcPr>
            <w:tcW w:w="1250" w:type="pct"/>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rFonts w:hint="eastAsia" w:ascii="仿宋" w:hAnsi="仿宋" w:eastAsia="仿宋" w:cs="仿宋"/>
                <w:bCs/>
                <w:sz w:val="24"/>
              </w:rPr>
            </w:pPr>
            <w:r>
              <w:rPr>
                <w:rFonts w:hint="eastAsia" w:ascii="仿宋" w:hAnsi="仿宋" w:eastAsia="仿宋" w:cs="仿宋"/>
                <w:bCs/>
                <w:sz w:val="24"/>
              </w:rPr>
              <w:t>二级指标</w:t>
            </w:r>
          </w:p>
        </w:tc>
        <w:tc>
          <w:tcPr>
            <w:tcW w:w="1250" w:type="pct"/>
            <w:tcBorders>
              <w:top w:val="single" w:color="auto" w:sz="4" w:space="0"/>
              <w:left w:val="nil"/>
              <w:bottom w:val="single" w:color="auto"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rFonts w:hint="eastAsia" w:ascii="仿宋" w:hAnsi="仿宋" w:eastAsia="仿宋" w:cs="仿宋"/>
                <w:bCs/>
                <w:sz w:val="24"/>
              </w:rPr>
            </w:pPr>
            <w:r>
              <w:rPr>
                <w:rFonts w:hint="eastAsia" w:ascii="仿宋" w:hAnsi="仿宋" w:eastAsia="仿宋" w:cs="仿宋"/>
                <w:bCs/>
                <w:sz w:val="24"/>
              </w:rPr>
              <w:t>分数</w:t>
            </w:r>
          </w:p>
        </w:tc>
        <w:tc>
          <w:tcPr>
            <w:tcW w:w="1250" w:type="pct"/>
            <w:tcBorders>
              <w:top w:val="single" w:color="auto" w:sz="4" w:space="0"/>
              <w:left w:val="nil"/>
              <w:bottom w:val="single" w:color="auto"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rFonts w:hint="eastAsia" w:ascii="仿宋" w:hAnsi="仿宋" w:eastAsia="仿宋" w:cs="仿宋"/>
                <w:bCs/>
                <w:sz w:val="24"/>
              </w:rPr>
            </w:pPr>
            <w:r>
              <w:rPr>
                <w:rFonts w:hint="eastAsia" w:ascii="仿宋" w:hAnsi="仿宋" w:eastAsia="仿宋" w:cs="仿宋"/>
                <w:bCs/>
                <w:sz w:val="24"/>
              </w:rPr>
              <w:t>得分</w:t>
            </w:r>
          </w:p>
        </w:tc>
        <w:tc>
          <w:tcPr>
            <w:tcW w:w="1250" w:type="pct"/>
            <w:tcBorders>
              <w:top w:val="single" w:color="auto" w:sz="4" w:space="0"/>
              <w:left w:val="nil"/>
              <w:bottom w:val="single" w:color="auto"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rFonts w:hint="eastAsia" w:ascii="仿宋" w:hAnsi="仿宋" w:eastAsia="仿宋" w:cs="仿宋"/>
                <w:bCs/>
                <w:sz w:val="24"/>
              </w:rPr>
            </w:pPr>
            <w:r>
              <w:rPr>
                <w:rFonts w:hint="eastAsia" w:ascii="仿宋" w:hAnsi="仿宋" w:eastAsia="仿宋" w:cs="仿宋"/>
                <w:bCs/>
                <w:sz w:val="24"/>
              </w:rPr>
              <w:t>得分率</w:t>
            </w:r>
          </w:p>
        </w:tc>
      </w:tr>
      <w:tr>
        <w:tblPrEx>
          <w:tblCellMar>
            <w:top w:w="0" w:type="dxa"/>
            <w:left w:w="108" w:type="dxa"/>
            <w:bottom w:w="0" w:type="dxa"/>
            <w:right w:w="108" w:type="dxa"/>
          </w:tblCellMar>
        </w:tblPrEx>
        <w:trPr>
          <w:trHeight w:val="567" w:hRule="atLeast"/>
        </w:trPr>
        <w:tc>
          <w:tcPr>
            <w:tcW w:w="1250"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仿宋"/>
                <w:bCs/>
                <w:sz w:val="24"/>
              </w:rPr>
            </w:pPr>
            <w:r>
              <w:rPr>
                <w:rFonts w:hint="eastAsia" w:ascii="仿宋" w:hAnsi="仿宋" w:eastAsia="仿宋" w:cs="仿宋"/>
                <w:bCs/>
                <w:sz w:val="24"/>
              </w:rPr>
              <w:t>产出数量</w:t>
            </w:r>
          </w:p>
        </w:tc>
        <w:tc>
          <w:tcPr>
            <w:tcW w:w="21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bCs/>
                <w:sz w:val="24"/>
              </w:rPr>
            </w:pPr>
            <w:r>
              <w:rPr>
                <w:rFonts w:hint="eastAsia" w:ascii="仿宋" w:hAnsi="仿宋" w:eastAsia="仿宋" w:cs="仿宋"/>
                <w:i w:val="0"/>
                <w:iCs w:val="0"/>
                <w:color w:val="000000"/>
                <w:kern w:val="0"/>
                <w:sz w:val="24"/>
                <w:szCs w:val="24"/>
                <w:u w:val="none"/>
                <w:lang w:val="en-US" w:eastAsia="zh-CN" w:bidi="ar"/>
              </w:rPr>
              <w:t>8</w:t>
            </w:r>
          </w:p>
        </w:tc>
        <w:tc>
          <w:tcPr>
            <w:tcW w:w="213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w:t>
            </w:r>
          </w:p>
        </w:tc>
        <w:tc>
          <w:tcPr>
            <w:tcW w:w="213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bCs/>
                <w:sz w:val="24"/>
              </w:rPr>
            </w:pPr>
            <w:r>
              <w:rPr>
                <w:rFonts w:hint="eastAsia" w:ascii="仿宋" w:hAnsi="仿宋" w:eastAsia="仿宋" w:cs="仿宋"/>
                <w:i w:val="0"/>
                <w:iCs w:val="0"/>
                <w:color w:val="000000"/>
                <w:kern w:val="0"/>
                <w:sz w:val="24"/>
                <w:szCs w:val="24"/>
                <w:u w:val="none"/>
                <w:lang w:val="en-US" w:eastAsia="zh-CN" w:bidi="ar"/>
              </w:rPr>
              <w:t>100.00%</w:t>
            </w:r>
          </w:p>
        </w:tc>
      </w:tr>
      <w:tr>
        <w:tblPrEx>
          <w:tblCellMar>
            <w:top w:w="0" w:type="dxa"/>
            <w:left w:w="108" w:type="dxa"/>
            <w:bottom w:w="0" w:type="dxa"/>
            <w:right w:w="108" w:type="dxa"/>
          </w:tblCellMar>
        </w:tblPrEx>
        <w:trPr>
          <w:trHeight w:val="567" w:hRule="atLeast"/>
        </w:trPr>
        <w:tc>
          <w:tcPr>
            <w:tcW w:w="1250"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仿宋"/>
                <w:bCs/>
                <w:sz w:val="24"/>
              </w:rPr>
            </w:pPr>
            <w:r>
              <w:rPr>
                <w:rFonts w:hint="eastAsia" w:ascii="仿宋" w:hAnsi="仿宋" w:eastAsia="仿宋" w:cs="仿宋"/>
                <w:bCs/>
                <w:sz w:val="24"/>
              </w:rPr>
              <w:t>产出质量</w:t>
            </w:r>
          </w:p>
        </w:tc>
        <w:tc>
          <w:tcPr>
            <w:tcW w:w="21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bCs/>
                <w:sz w:val="24"/>
              </w:rPr>
            </w:pPr>
            <w:r>
              <w:rPr>
                <w:rFonts w:hint="eastAsia" w:ascii="仿宋" w:hAnsi="仿宋" w:eastAsia="仿宋" w:cs="仿宋"/>
                <w:i w:val="0"/>
                <w:iCs w:val="0"/>
                <w:color w:val="000000"/>
                <w:kern w:val="0"/>
                <w:sz w:val="24"/>
                <w:szCs w:val="24"/>
                <w:u w:val="none"/>
                <w:lang w:val="en-US" w:eastAsia="zh-CN" w:bidi="ar"/>
              </w:rPr>
              <w:t>8</w:t>
            </w:r>
          </w:p>
        </w:tc>
        <w:tc>
          <w:tcPr>
            <w:tcW w:w="213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w:t>
            </w:r>
          </w:p>
        </w:tc>
        <w:tc>
          <w:tcPr>
            <w:tcW w:w="213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bCs/>
                <w:sz w:val="24"/>
              </w:rPr>
            </w:pPr>
            <w:r>
              <w:rPr>
                <w:rFonts w:hint="eastAsia" w:ascii="仿宋" w:hAnsi="仿宋" w:eastAsia="仿宋" w:cs="仿宋"/>
                <w:i w:val="0"/>
                <w:iCs w:val="0"/>
                <w:color w:val="000000"/>
                <w:kern w:val="0"/>
                <w:sz w:val="24"/>
                <w:szCs w:val="24"/>
                <w:u w:val="none"/>
                <w:lang w:val="en-US" w:eastAsia="zh-CN" w:bidi="ar"/>
              </w:rPr>
              <w:t>100.00%</w:t>
            </w:r>
          </w:p>
        </w:tc>
      </w:tr>
      <w:tr>
        <w:tblPrEx>
          <w:tblCellMar>
            <w:top w:w="0" w:type="dxa"/>
            <w:left w:w="108" w:type="dxa"/>
            <w:bottom w:w="0" w:type="dxa"/>
            <w:right w:w="108" w:type="dxa"/>
          </w:tblCellMar>
        </w:tblPrEx>
        <w:trPr>
          <w:trHeight w:val="567" w:hRule="atLeast"/>
        </w:trPr>
        <w:tc>
          <w:tcPr>
            <w:tcW w:w="1250"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仿宋"/>
                <w:bCs/>
                <w:sz w:val="24"/>
              </w:rPr>
            </w:pPr>
            <w:r>
              <w:rPr>
                <w:rFonts w:hint="eastAsia" w:ascii="仿宋" w:hAnsi="仿宋" w:eastAsia="仿宋" w:cs="仿宋"/>
                <w:bCs/>
                <w:sz w:val="24"/>
              </w:rPr>
              <w:t>产出时效</w:t>
            </w:r>
          </w:p>
        </w:tc>
        <w:tc>
          <w:tcPr>
            <w:tcW w:w="21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bCs/>
                <w:sz w:val="24"/>
              </w:rPr>
            </w:pPr>
            <w:r>
              <w:rPr>
                <w:rFonts w:hint="eastAsia" w:ascii="仿宋" w:hAnsi="仿宋" w:eastAsia="仿宋" w:cs="仿宋"/>
                <w:i w:val="0"/>
                <w:iCs w:val="0"/>
                <w:color w:val="000000"/>
                <w:kern w:val="0"/>
                <w:sz w:val="24"/>
                <w:szCs w:val="24"/>
                <w:u w:val="none"/>
                <w:lang w:val="en-US" w:eastAsia="zh-CN" w:bidi="ar"/>
              </w:rPr>
              <w:t>6</w:t>
            </w:r>
          </w:p>
        </w:tc>
        <w:tc>
          <w:tcPr>
            <w:tcW w:w="213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213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bCs/>
                <w:sz w:val="24"/>
              </w:rPr>
            </w:pPr>
            <w:r>
              <w:rPr>
                <w:rFonts w:hint="eastAsia" w:ascii="仿宋" w:hAnsi="仿宋" w:eastAsia="仿宋" w:cs="仿宋"/>
                <w:i w:val="0"/>
                <w:iCs w:val="0"/>
                <w:color w:val="000000"/>
                <w:kern w:val="0"/>
                <w:sz w:val="24"/>
                <w:szCs w:val="24"/>
                <w:u w:val="none"/>
                <w:lang w:val="en-US" w:eastAsia="zh-CN" w:bidi="ar"/>
              </w:rPr>
              <w:t>100.00%</w:t>
            </w:r>
          </w:p>
        </w:tc>
      </w:tr>
      <w:tr>
        <w:tblPrEx>
          <w:tblCellMar>
            <w:top w:w="0" w:type="dxa"/>
            <w:left w:w="108" w:type="dxa"/>
            <w:bottom w:w="0" w:type="dxa"/>
            <w:right w:w="108" w:type="dxa"/>
          </w:tblCellMar>
        </w:tblPrEx>
        <w:trPr>
          <w:trHeight w:val="567" w:hRule="atLeast"/>
        </w:trPr>
        <w:tc>
          <w:tcPr>
            <w:tcW w:w="1250"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仿宋"/>
                <w:bCs/>
                <w:sz w:val="24"/>
                <w:lang w:eastAsia="zh-CN"/>
              </w:rPr>
            </w:pPr>
            <w:r>
              <w:rPr>
                <w:rFonts w:hint="eastAsia" w:ascii="仿宋" w:hAnsi="仿宋" w:eastAsia="仿宋" w:cs="仿宋"/>
                <w:bCs/>
                <w:sz w:val="24"/>
                <w:lang w:eastAsia="zh-CN"/>
              </w:rPr>
              <w:t>产出成本</w:t>
            </w:r>
          </w:p>
        </w:tc>
        <w:tc>
          <w:tcPr>
            <w:tcW w:w="21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bCs/>
                <w:sz w:val="24"/>
              </w:rPr>
            </w:pPr>
            <w:r>
              <w:rPr>
                <w:rFonts w:hint="eastAsia" w:ascii="仿宋" w:hAnsi="仿宋" w:eastAsia="仿宋" w:cs="仿宋"/>
                <w:i w:val="0"/>
                <w:iCs w:val="0"/>
                <w:color w:val="000000"/>
                <w:kern w:val="0"/>
                <w:sz w:val="24"/>
                <w:szCs w:val="24"/>
                <w:u w:val="none"/>
                <w:lang w:val="en-US" w:eastAsia="zh-CN" w:bidi="ar"/>
              </w:rPr>
              <w:t>8</w:t>
            </w:r>
          </w:p>
        </w:tc>
        <w:tc>
          <w:tcPr>
            <w:tcW w:w="213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6.4</w:t>
            </w:r>
          </w:p>
        </w:tc>
        <w:tc>
          <w:tcPr>
            <w:tcW w:w="213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bCs/>
                <w:sz w:val="24"/>
              </w:rPr>
            </w:pPr>
            <w:r>
              <w:rPr>
                <w:rFonts w:hint="eastAsia" w:ascii="仿宋" w:hAnsi="仿宋" w:eastAsia="仿宋" w:cs="仿宋"/>
                <w:i w:val="0"/>
                <w:iCs w:val="0"/>
                <w:color w:val="000000"/>
                <w:kern w:val="0"/>
                <w:sz w:val="24"/>
                <w:szCs w:val="24"/>
                <w:u w:val="none"/>
                <w:lang w:val="en-US" w:eastAsia="zh-CN" w:bidi="ar"/>
              </w:rPr>
              <w:t>80.00%</w:t>
            </w:r>
          </w:p>
        </w:tc>
      </w:tr>
      <w:tr>
        <w:tblPrEx>
          <w:tblCellMar>
            <w:top w:w="0" w:type="dxa"/>
            <w:left w:w="108" w:type="dxa"/>
            <w:bottom w:w="0" w:type="dxa"/>
            <w:right w:w="108" w:type="dxa"/>
          </w:tblCellMar>
        </w:tblPrEx>
        <w:trPr>
          <w:trHeight w:val="567" w:hRule="atLeast"/>
        </w:trPr>
        <w:tc>
          <w:tcPr>
            <w:tcW w:w="1250"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仿宋"/>
                <w:bCs/>
                <w:sz w:val="24"/>
              </w:rPr>
            </w:pPr>
            <w:r>
              <w:rPr>
                <w:rFonts w:hint="eastAsia" w:ascii="仿宋" w:hAnsi="仿宋" w:eastAsia="仿宋" w:cs="仿宋"/>
                <w:bCs/>
                <w:sz w:val="24"/>
              </w:rPr>
              <w:t>合计</w:t>
            </w:r>
          </w:p>
        </w:tc>
        <w:tc>
          <w:tcPr>
            <w:tcW w:w="21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bottom"/>
              <w:rPr>
                <w:rFonts w:hint="eastAsia" w:ascii="仿宋" w:hAnsi="仿宋" w:eastAsia="仿宋" w:cs="仿宋"/>
                <w:bCs/>
                <w:sz w:val="24"/>
              </w:rPr>
            </w:pPr>
            <w:r>
              <w:rPr>
                <w:rFonts w:hint="eastAsia" w:ascii="仿宋" w:hAnsi="仿宋" w:eastAsia="仿宋" w:cs="仿宋"/>
                <w:i w:val="0"/>
                <w:iCs w:val="0"/>
                <w:color w:val="000000"/>
                <w:kern w:val="0"/>
                <w:sz w:val="24"/>
                <w:szCs w:val="24"/>
                <w:u w:val="none"/>
                <w:lang w:val="en-US" w:eastAsia="zh-CN" w:bidi="ar"/>
              </w:rPr>
              <w:t>30</w:t>
            </w:r>
          </w:p>
        </w:tc>
        <w:tc>
          <w:tcPr>
            <w:tcW w:w="213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28.4</w:t>
            </w:r>
          </w:p>
        </w:tc>
        <w:tc>
          <w:tcPr>
            <w:tcW w:w="213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bCs/>
                <w:sz w:val="24"/>
              </w:rPr>
            </w:pPr>
            <w:r>
              <w:rPr>
                <w:rFonts w:hint="eastAsia" w:ascii="仿宋" w:hAnsi="仿宋" w:eastAsia="仿宋" w:cs="仿宋"/>
                <w:i w:val="0"/>
                <w:iCs w:val="0"/>
                <w:color w:val="000000"/>
                <w:kern w:val="0"/>
                <w:sz w:val="24"/>
                <w:szCs w:val="24"/>
                <w:u w:val="none"/>
                <w:lang w:val="en-US" w:eastAsia="zh-CN" w:bidi="ar"/>
              </w:rPr>
              <w:t>94.67%</w:t>
            </w:r>
          </w:p>
        </w:tc>
      </w:tr>
    </w:tbl>
    <w:p>
      <w:pPr>
        <w:pStyle w:val="4"/>
        <w:numPr>
          <w:ilvl w:val="0"/>
          <w:numId w:val="18"/>
        </w:numPr>
        <w:ind w:firstLineChars="0"/>
        <w:rPr>
          <w:rFonts w:hint="eastAsia" w:ascii="仿宋" w:hAnsi="仿宋" w:eastAsia="仿宋" w:cs="仿宋"/>
          <w:b w:val="0"/>
          <w:bCs/>
          <w:szCs w:val="32"/>
        </w:rPr>
      </w:pPr>
      <w:bookmarkStart w:id="364" w:name="_Toc10095"/>
      <w:bookmarkStart w:id="365" w:name="_Toc199443768"/>
      <w:bookmarkStart w:id="366" w:name="_Toc130033916"/>
      <w:bookmarkStart w:id="367" w:name="_Toc1810184279"/>
      <w:bookmarkStart w:id="368" w:name="_Toc1918808780"/>
      <w:bookmarkStart w:id="369" w:name="_Toc2040753346_WPSOffice_Level3"/>
      <w:bookmarkStart w:id="370" w:name="_Toc511694153"/>
      <w:bookmarkStart w:id="371" w:name="_Toc12588"/>
      <w:bookmarkStart w:id="372" w:name="_Toc1346003966"/>
      <w:r>
        <w:rPr>
          <w:rFonts w:hint="eastAsia" w:ascii="仿宋" w:hAnsi="仿宋" w:eastAsia="仿宋" w:cs="仿宋"/>
          <w:b w:val="0"/>
          <w:bCs/>
          <w:szCs w:val="32"/>
          <w:lang w:eastAsia="zh-CN"/>
        </w:rPr>
        <w:t>产出数量</w:t>
      </w:r>
      <w:bookmarkEnd w:id="364"/>
      <w:bookmarkEnd w:id="365"/>
    </w:p>
    <w:bookmarkEnd w:id="366"/>
    <w:bookmarkEnd w:id="367"/>
    <w:bookmarkEnd w:id="368"/>
    <w:bookmarkEnd w:id="369"/>
    <w:bookmarkEnd w:id="370"/>
    <w:bookmarkEnd w:id="371"/>
    <w:bookmarkEnd w:id="372"/>
    <w:p>
      <w:pPr>
        <w:pStyle w:val="5"/>
        <w:numPr>
          <w:ilvl w:val="0"/>
          <w:numId w:val="19"/>
        </w:numPr>
        <w:ind w:firstLineChars="0"/>
        <w:rPr>
          <w:rFonts w:hint="eastAsia" w:ascii="仿宋" w:hAnsi="仿宋" w:eastAsia="仿宋" w:cs="仿宋"/>
          <w:b w:val="0"/>
          <w:bCs/>
          <w:szCs w:val="32"/>
          <w:lang w:val="en-US" w:eastAsia="zh-CN"/>
        </w:rPr>
      </w:pPr>
      <w:r>
        <w:rPr>
          <w:rFonts w:hint="eastAsia" w:ascii="仿宋" w:hAnsi="仿宋" w:eastAsia="仿宋" w:cs="仿宋"/>
          <w:b w:val="0"/>
          <w:bCs/>
          <w:szCs w:val="32"/>
          <w:lang w:val="en-US" w:eastAsia="zh-CN"/>
        </w:rPr>
        <w:t>美食大赛场次分析</w:t>
      </w:r>
    </w:p>
    <w:p>
      <w:pPr>
        <w:ind w:firstLine="612"/>
        <w:rPr>
          <w:rFonts w:hint="eastAsia" w:ascii="仿宋" w:hAnsi="仿宋" w:eastAsia="仿宋" w:cs="仿宋"/>
          <w:bCs/>
          <w:spacing w:val="-7"/>
          <w:szCs w:val="32"/>
          <w:lang w:eastAsia="zh-CN"/>
        </w:rPr>
      </w:pPr>
      <w:r>
        <w:rPr>
          <w:rFonts w:hint="eastAsia" w:ascii="仿宋" w:hAnsi="仿宋" w:eastAsia="仿宋" w:cs="仿宋"/>
          <w:bCs/>
          <w:spacing w:val="-7"/>
          <w:szCs w:val="32"/>
          <w:lang w:val="en-US" w:eastAsia="zh-CN"/>
        </w:rPr>
        <w:t>2024年9月25日区文体旅游局邀请区委宣传部、区机关事务服务中心、区经信局、先发带后发扶持工作队各选派一名同志为美食大赛大众评审团成员，开展第二届“舌尖上的非遗”特色美食大赛，场次为一场。开办场次与预算申请、</w:t>
      </w:r>
      <w:r>
        <w:rPr>
          <w:rFonts w:hint="eastAsia" w:ascii="仿宋" w:hAnsi="仿宋" w:eastAsia="仿宋" w:cs="仿宋"/>
          <w:bCs/>
          <w:spacing w:val="-7"/>
          <w:szCs w:val="32"/>
          <w:lang w:eastAsia="zh-CN"/>
        </w:rPr>
        <w:t>批复数量相符。</w:t>
      </w:r>
      <w:r>
        <w:rPr>
          <w:rFonts w:hint="eastAsia" w:ascii="仿宋" w:hAnsi="仿宋" w:eastAsia="仿宋" w:cs="仿宋"/>
          <w:bCs/>
          <w:spacing w:val="-7"/>
          <w:szCs w:val="32"/>
          <w:lang w:val="en-US" w:eastAsia="zh-CN"/>
        </w:rPr>
        <w:t>根据评分标准，</w:t>
      </w:r>
      <w:r>
        <w:rPr>
          <w:rFonts w:hint="eastAsia" w:ascii="仿宋" w:hAnsi="仿宋" w:eastAsia="仿宋" w:cs="仿宋"/>
          <w:bCs/>
          <w:spacing w:val="-7"/>
          <w:szCs w:val="32"/>
          <w:lang w:eastAsia="zh-CN"/>
        </w:rPr>
        <w:t>该指标得</w:t>
      </w:r>
      <w:r>
        <w:rPr>
          <w:rFonts w:hint="eastAsia" w:ascii="仿宋" w:hAnsi="仿宋" w:eastAsia="仿宋" w:cs="仿宋"/>
          <w:bCs/>
          <w:spacing w:val="-7"/>
          <w:szCs w:val="32"/>
          <w:lang w:val="en-US" w:eastAsia="zh-CN"/>
        </w:rPr>
        <w:t>满分4</w:t>
      </w:r>
      <w:r>
        <w:rPr>
          <w:rFonts w:hint="eastAsia" w:ascii="仿宋" w:hAnsi="仿宋" w:eastAsia="仿宋" w:cs="仿宋"/>
          <w:bCs/>
          <w:spacing w:val="-7"/>
          <w:szCs w:val="32"/>
          <w:lang w:eastAsia="zh-CN"/>
        </w:rPr>
        <w:t>.00分。</w:t>
      </w:r>
    </w:p>
    <w:p>
      <w:pPr>
        <w:pStyle w:val="5"/>
        <w:numPr>
          <w:ilvl w:val="0"/>
          <w:numId w:val="19"/>
        </w:numPr>
        <w:ind w:firstLineChars="0"/>
        <w:rPr>
          <w:rFonts w:hint="eastAsia" w:ascii="仿宋" w:hAnsi="仿宋" w:eastAsia="仿宋" w:cs="仿宋"/>
          <w:b w:val="0"/>
          <w:bCs/>
          <w:szCs w:val="32"/>
          <w:lang w:val="en-US" w:eastAsia="zh-CN"/>
        </w:rPr>
      </w:pPr>
      <w:r>
        <w:rPr>
          <w:rFonts w:hint="eastAsia" w:ascii="仿宋" w:hAnsi="仿宋" w:eastAsia="仿宋" w:cs="仿宋"/>
          <w:b w:val="0"/>
          <w:bCs/>
          <w:szCs w:val="32"/>
          <w:lang w:val="en-US" w:eastAsia="zh-CN"/>
        </w:rPr>
        <w:t>参赛菜品数据分析</w:t>
      </w:r>
    </w:p>
    <w:p>
      <w:pPr>
        <w:ind w:firstLine="612"/>
        <w:rPr>
          <w:rFonts w:hint="eastAsia" w:ascii="仿宋" w:hAnsi="仿宋" w:eastAsia="仿宋" w:cs="仿宋"/>
          <w:bCs/>
          <w:spacing w:val="-7"/>
          <w:szCs w:val="32"/>
          <w:lang w:val="en-US" w:eastAsia="zh-CN"/>
        </w:rPr>
      </w:pPr>
      <w:r>
        <w:rPr>
          <w:rFonts w:hint="eastAsia" w:ascii="仿宋" w:hAnsi="仿宋" w:eastAsia="仿宋" w:cs="仿宋"/>
          <w:bCs/>
          <w:spacing w:val="-7"/>
          <w:szCs w:val="32"/>
          <w:lang w:val="en-US" w:eastAsia="zh-CN"/>
        </w:rPr>
        <w:t>2024年9月25日开展的美食大赛共计吸引20名厨师参赛，每位厨师至少提供一道美食作品参赛。根据评分标准，该指标得满分4.00分。</w:t>
      </w:r>
    </w:p>
    <w:p>
      <w:pPr>
        <w:pStyle w:val="4"/>
        <w:numPr>
          <w:ilvl w:val="0"/>
          <w:numId w:val="18"/>
        </w:numPr>
        <w:ind w:firstLineChars="0"/>
        <w:rPr>
          <w:rFonts w:hint="eastAsia" w:ascii="仿宋" w:hAnsi="仿宋" w:eastAsia="仿宋" w:cs="仿宋"/>
          <w:b w:val="0"/>
          <w:bCs/>
          <w:szCs w:val="32"/>
        </w:rPr>
      </w:pPr>
      <w:bookmarkStart w:id="373" w:name="_Toc199443769"/>
      <w:bookmarkStart w:id="374" w:name="_Toc13631"/>
      <w:bookmarkStart w:id="375" w:name="_Toc130033918"/>
      <w:bookmarkStart w:id="376" w:name="_Toc598301047_WPSOffice_Level3"/>
      <w:bookmarkStart w:id="377" w:name="_Toc1115767086"/>
      <w:bookmarkStart w:id="378" w:name="_Toc1698417506"/>
      <w:bookmarkStart w:id="379" w:name="_Toc196303398"/>
      <w:bookmarkStart w:id="380" w:name="_Toc15576"/>
      <w:bookmarkStart w:id="381" w:name="_Toc410581979"/>
      <w:r>
        <w:rPr>
          <w:rFonts w:hint="eastAsia" w:ascii="仿宋" w:hAnsi="仿宋" w:eastAsia="仿宋" w:cs="仿宋"/>
          <w:b w:val="0"/>
          <w:bCs/>
          <w:szCs w:val="32"/>
          <w:lang w:eastAsia="zh-CN"/>
        </w:rPr>
        <w:t>产出质量</w:t>
      </w:r>
      <w:bookmarkEnd w:id="373"/>
      <w:bookmarkEnd w:id="374"/>
    </w:p>
    <w:bookmarkEnd w:id="375"/>
    <w:p>
      <w:pPr>
        <w:pStyle w:val="5"/>
        <w:numPr>
          <w:ilvl w:val="0"/>
          <w:numId w:val="20"/>
        </w:numPr>
        <w:ind w:firstLineChars="0"/>
        <w:rPr>
          <w:rFonts w:hint="eastAsia" w:ascii="仿宋" w:hAnsi="仿宋" w:eastAsia="仿宋" w:cs="仿宋"/>
          <w:b w:val="0"/>
          <w:bCs/>
          <w:szCs w:val="32"/>
          <w:lang w:eastAsia="zh-CN"/>
        </w:rPr>
      </w:pPr>
      <w:r>
        <w:rPr>
          <w:rFonts w:hint="eastAsia" w:ascii="仿宋" w:hAnsi="仿宋" w:eastAsia="仿宋" w:cs="仿宋"/>
          <w:b w:val="0"/>
          <w:bCs/>
          <w:szCs w:val="32"/>
          <w:lang w:eastAsia="zh-CN"/>
        </w:rPr>
        <w:t>质量合格率</w:t>
      </w:r>
      <w:r>
        <w:rPr>
          <w:rFonts w:hint="eastAsia" w:ascii="仿宋" w:hAnsi="仿宋" w:eastAsia="仿宋" w:cs="仿宋"/>
          <w:b w:val="0"/>
          <w:bCs/>
          <w:szCs w:val="32"/>
          <w:lang w:val="en-US" w:eastAsia="zh-CN"/>
        </w:rPr>
        <w:t>分析</w:t>
      </w:r>
    </w:p>
    <w:p>
      <w:pPr>
        <w:ind w:firstLine="612"/>
        <w:rPr>
          <w:rFonts w:hint="eastAsia" w:ascii="仿宋" w:hAnsi="仿宋" w:eastAsia="仿宋" w:cs="仿宋"/>
          <w:bCs/>
          <w:spacing w:val="-7"/>
          <w:szCs w:val="32"/>
          <w:lang w:val="en-US" w:eastAsia="zh-CN"/>
        </w:rPr>
      </w:pPr>
      <w:r>
        <w:rPr>
          <w:rFonts w:hint="eastAsia" w:ascii="仿宋" w:hAnsi="仿宋" w:eastAsia="仿宋" w:cs="仿宋"/>
          <w:bCs/>
          <w:spacing w:val="-7"/>
          <w:szCs w:val="32"/>
          <w:lang w:val="en-US" w:eastAsia="zh-CN"/>
        </w:rPr>
        <w:t>2024年10月28日区文体旅游局对乐山市同舟营销策划有限公司提交的《金口河区第二届舌尖上的非遗——特色美食大赛及推广活动验收资料》进行了验收，验收合格。根据评分标准，该指标得满分8.00分。</w:t>
      </w:r>
    </w:p>
    <w:bookmarkEnd w:id="376"/>
    <w:bookmarkEnd w:id="377"/>
    <w:bookmarkEnd w:id="378"/>
    <w:bookmarkEnd w:id="379"/>
    <w:bookmarkEnd w:id="380"/>
    <w:bookmarkEnd w:id="381"/>
    <w:p>
      <w:pPr>
        <w:pStyle w:val="4"/>
        <w:numPr>
          <w:ilvl w:val="0"/>
          <w:numId w:val="18"/>
        </w:numPr>
        <w:ind w:firstLineChars="0"/>
        <w:rPr>
          <w:rFonts w:hint="eastAsia" w:ascii="仿宋" w:hAnsi="仿宋" w:eastAsia="仿宋" w:cs="仿宋"/>
          <w:b w:val="0"/>
          <w:bCs/>
          <w:szCs w:val="32"/>
        </w:rPr>
      </w:pPr>
      <w:bookmarkStart w:id="382" w:name="_Toc14778"/>
      <w:bookmarkStart w:id="383" w:name="_Toc199443770"/>
      <w:bookmarkStart w:id="384" w:name="_Toc130033920"/>
      <w:bookmarkStart w:id="385" w:name="_Toc736328394"/>
      <w:bookmarkStart w:id="386" w:name="_Toc786363242"/>
      <w:bookmarkStart w:id="387" w:name="_Toc16826"/>
      <w:bookmarkStart w:id="388" w:name="_Toc950387418"/>
      <w:bookmarkStart w:id="389" w:name="_Toc870208798"/>
      <w:bookmarkStart w:id="390" w:name="_Toc1127261675_WPSOffice_Level3"/>
      <w:bookmarkStart w:id="391" w:name="_Toc1670543944"/>
      <w:bookmarkStart w:id="392" w:name="_Toc177967940"/>
      <w:bookmarkStart w:id="393" w:name="_Toc792644656"/>
      <w:bookmarkStart w:id="394" w:name="_Toc6821"/>
      <w:bookmarkStart w:id="395" w:name="_Toc1235631916"/>
      <w:bookmarkStart w:id="396" w:name="_Toc796588607_WPSOffice_Level2"/>
      <w:r>
        <w:rPr>
          <w:rFonts w:hint="eastAsia" w:ascii="仿宋" w:hAnsi="仿宋" w:eastAsia="仿宋" w:cs="仿宋"/>
          <w:b w:val="0"/>
          <w:bCs/>
          <w:szCs w:val="32"/>
          <w:lang w:eastAsia="zh-CN"/>
        </w:rPr>
        <w:t>产出时效</w:t>
      </w:r>
      <w:bookmarkEnd w:id="382"/>
      <w:bookmarkEnd w:id="383"/>
    </w:p>
    <w:bookmarkEnd w:id="384"/>
    <w:p>
      <w:pPr>
        <w:pStyle w:val="5"/>
        <w:numPr>
          <w:ilvl w:val="0"/>
          <w:numId w:val="21"/>
        </w:numPr>
        <w:ind w:firstLineChars="0"/>
        <w:rPr>
          <w:rFonts w:hint="eastAsia" w:ascii="仿宋" w:hAnsi="仿宋" w:eastAsia="仿宋" w:cs="仿宋"/>
          <w:b w:val="0"/>
          <w:bCs/>
          <w:szCs w:val="32"/>
          <w:lang w:val="en-US" w:eastAsia="zh-CN"/>
        </w:rPr>
      </w:pPr>
      <w:r>
        <w:rPr>
          <w:rFonts w:hint="eastAsia" w:ascii="仿宋" w:hAnsi="仿宋" w:eastAsia="仿宋" w:cs="仿宋"/>
          <w:b w:val="0"/>
          <w:bCs/>
          <w:szCs w:val="32"/>
          <w:lang w:val="en-US" w:eastAsia="zh-CN"/>
        </w:rPr>
        <w:t>美食大赛完成时间分析</w:t>
      </w:r>
    </w:p>
    <w:p>
      <w:pPr>
        <w:ind w:firstLine="612"/>
        <w:rPr>
          <w:rFonts w:hint="eastAsia" w:ascii="仿宋" w:hAnsi="仿宋" w:eastAsia="仿宋" w:cs="仿宋"/>
          <w:bCs/>
          <w:spacing w:val="-7"/>
          <w:szCs w:val="32"/>
          <w:lang w:eastAsia="zh-CN"/>
        </w:rPr>
      </w:pPr>
      <w:r>
        <w:rPr>
          <w:rFonts w:hint="eastAsia" w:ascii="仿宋" w:hAnsi="仿宋" w:eastAsia="仿宋" w:cs="仿宋"/>
          <w:bCs/>
          <w:spacing w:val="-7"/>
          <w:szCs w:val="32"/>
          <w:lang w:eastAsia="zh-CN"/>
        </w:rPr>
        <w:t>根据《</w:t>
      </w:r>
      <w:r>
        <w:rPr>
          <w:rFonts w:hint="eastAsia" w:ascii="仿宋" w:hAnsi="仿宋" w:eastAsia="仿宋" w:cs="仿宋"/>
          <w:bCs/>
          <w:spacing w:val="-7"/>
          <w:szCs w:val="32"/>
          <w:lang w:val="en-US" w:eastAsia="zh-CN"/>
        </w:rPr>
        <w:t>金口河区文化广播电视体育和旅游局金口河区第二届舌尖上的非遗——特色美食大赛及推广交流活动方案</w:t>
      </w:r>
      <w:r>
        <w:rPr>
          <w:rFonts w:hint="eastAsia" w:ascii="仿宋" w:hAnsi="仿宋" w:eastAsia="仿宋" w:cs="仿宋"/>
          <w:bCs/>
          <w:spacing w:val="-7"/>
          <w:szCs w:val="32"/>
          <w:lang w:eastAsia="zh-CN"/>
        </w:rPr>
        <w:t>》，</w:t>
      </w:r>
      <w:r>
        <w:rPr>
          <w:rFonts w:hint="eastAsia" w:ascii="仿宋" w:hAnsi="仿宋" w:eastAsia="仿宋" w:cs="仿宋"/>
          <w:bCs/>
          <w:spacing w:val="-7"/>
          <w:szCs w:val="32"/>
          <w:lang w:val="en-US" w:eastAsia="zh-CN"/>
        </w:rPr>
        <w:t>活动时间为2024年3月至9月。经过前期的准备工作后，美食大赛于2024年9月25日顺利开展。项目完成时间与经批复的活动方案一致</w:t>
      </w:r>
      <w:r>
        <w:rPr>
          <w:rFonts w:hint="eastAsia" w:ascii="仿宋" w:hAnsi="仿宋" w:eastAsia="仿宋" w:cs="仿宋"/>
          <w:bCs/>
          <w:spacing w:val="-7"/>
          <w:szCs w:val="32"/>
          <w:lang w:eastAsia="zh-CN"/>
        </w:rPr>
        <w:t>。根据评分标准，该指标得满分</w:t>
      </w:r>
      <w:r>
        <w:rPr>
          <w:rFonts w:hint="eastAsia" w:ascii="仿宋" w:hAnsi="仿宋" w:eastAsia="仿宋" w:cs="仿宋"/>
          <w:bCs/>
          <w:spacing w:val="-7"/>
          <w:szCs w:val="32"/>
          <w:lang w:val="en-US" w:eastAsia="zh-CN"/>
        </w:rPr>
        <w:t>6.00分</w:t>
      </w:r>
      <w:r>
        <w:rPr>
          <w:rFonts w:hint="eastAsia" w:ascii="仿宋" w:hAnsi="仿宋" w:eastAsia="仿宋" w:cs="仿宋"/>
          <w:bCs/>
          <w:spacing w:val="-7"/>
          <w:szCs w:val="32"/>
          <w:lang w:eastAsia="zh-CN"/>
        </w:rPr>
        <w:t>。</w:t>
      </w:r>
    </w:p>
    <w:p>
      <w:pPr>
        <w:pStyle w:val="4"/>
        <w:numPr>
          <w:ilvl w:val="0"/>
          <w:numId w:val="18"/>
        </w:numPr>
        <w:ind w:firstLineChars="0"/>
        <w:rPr>
          <w:rFonts w:hint="eastAsia" w:ascii="仿宋" w:hAnsi="仿宋" w:eastAsia="仿宋" w:cs="仿宋"/>
          <w:b w:val="0"/>
          <w:bCs/>
          <w:szCs w:val="32"/>
        </w:rPr>
      </w:pPr>
      <w:bookmarkStart w:id="397" w:name="_Toc199443771"/>
      <w:r>
        <w:rPr>
          <w:rFonts w:hint="eastAsia" w:ascii="仿宋" w:hAnsi="仿宋" w:eastAsia="仿宋" w:cs="仿宋"/>
          <w:b w:val="0"/>
          <w:bCs/>
          <w:szCs w:val="32"/>
          <w:lang w:eastAsia="zh-CN"/>
        </w:rPr>
        <w:t>产出成本</w:t>
      </w:r>
      <w:bookmarkEnd w:id="397"/>
    </w:p>
    <w:p>
      <w:pPr>
        <w:pStyle w:val="5"/>
        <w:numPr>
          <w:ilvl w:val="0"/>
          <w:numId w:val="22"/>
        </w:numPr>
        <w:ind w:firstLineChars="0"/>
        <w:rPr>
          <w:rFonts w:hint="eastAsia" w:ascii="仿宋" w:hAnsi="仿宋" w:eastAsia="仿宋" w:cs="仿宋"/>
          <w:b w:val="0"/>
          <w:bCs/>
          <w:szCs w:val="32"/>
          <w:lang w:eastAsia="zh-CN"/>
        </w:rPr>
      </w:pPr>
      <w:r>
        <w:rPr>
          <w:rFonts w:hint="eastAsia" w:ascii="仿宋" w:hAnsi="仿宋" w:eastAsia="仿宋" w:cs="仿宋"/>
          <w:b w:val="0"/>
          <w:bCs/>
          <w:szCs w:val="32"/>
          <w:lang w:eastAsia="zh-CN"/>
        </w:rPr>
        <w:t>成本节约率</w:t>
      </w:r>
    </w:p>
    <w:p>
      <w:pPr>
        <w:ind w:firstLine="612"/>
        <w:rPr>
          <w:rFonts w:hint="eastAsia" w:ascii="仿宋" w:hAnsi="仿宋" w:eastAsia="仿宋" w:cs="仿宋"/>
          <w:bCs/>
          <w:spacing w:val="-7"/>
          <w:szCs w:val="32"/>
          <w:lang w:eastAsia="zh-CN"/>
        </w:rPr>
      </w:pPr>
      <w:r>
        <w:rPr>
          <w:rFonts w:hint="eastAsia" w:ascii="仿宋" w:hAnsi="仿宋" w:eastAsia="仿宋" w:cs="仿宋"/>
          <w:bCs/>
          <w:spacing w:val="-7"/>
          <w:szCs w:val="32"/>
          <w:lang w:eastAsia="zh-CN"/>
        </w:rPr>
        <w:t>农业产业推广：第二届非遗特色美食大赛及推广项目预算资金为</w:t>
      </w:r>
      <w:r>
        <w:rPr>
          <w:rFonts w:hint="eastAsia" w:ascii="仿宋" w:hAnsi="仿宋" w:eastAsia="仿宋" w:cs="仿宋"/>
          <w:bCs/>
          <w:spacing w:val="-7"/>
          <w:szCs w:val="32"/>
          <w:lang w:val="en-US" w:eastAsia="zh-CN"/>
        </w:rPr>
        <w:t>10</w:t>
      </w:r>
      <w:r>
        <w:rPr>
          <w:rFonts w:hint="eastAsia" w:ascii="仿宋" w:hAnsi="仿宋" w:eastAsia="仿宋" w:cs="仿宋"/>
          <w:bCs/>
          <w:spacing w:val="-7"/>
          <w:szCs w:val="32"/>
          <w:lang w:eastAsia="zh-CN"/>
        </w:rPr>
        <w:t>万元，实际到位</w:t>
      </w:r>
      <w:r>
        <w:rPr>
          <w:rFonts w:hint="eastAsia" w:ascii="仿宋" w:hAnsi="仿宋" w:eastAsia="仿宋" w:cs="仿宋"/>
          <w:bCs/>
          <w:spacing w:val="-7"/>
          <w:szCs w:val="32"/>
          <w:lang w:val="en-US" w:eastAsia="zh-CN"/>
        </w:rPr>
        <w:t>10</w:t>
      </w:r>
      <w:r>
        <w:rPr>
          <w:rFonts w:hint="eastAsia" w:ascii="仿宋" w:hAnsi="仿宋" w:eastAsia="仿宋" w:cs="仿宋"/>
          <w:bCs/>
          <w:spacing w:val="-7"/>
          <w:szCs w:val="32"/>
          <w:lang w:eastAsia="zh-CN"/>
        </w:rPr>
        <w:t>万元，</w:t>
      </w:r>
      <w:r>
        <w:rPr>
          <w:rFonts w:hint="eastAsia" w:ascii="仿宋" w:hAnsi="仿宋" w:eastAsia="仿宋" w:cs="仿宋"/>
          <w:bCs/>
          <w:spacing w:val="-7"/>
          <w:szCs w:val="32"/>
          <w:lang w:val="en-US" w:eastAsia="zh-CN"/>
        </w:rPr>
        <w:t>截止2024年11月19日</w:t>
      </w:r>
      <w:r>
        <w:rPr>
          <w:rFonts w:hint="eastAsia" w:ascii="仿宋" w:hAnsi="仿宋" w:eastAsia="仿宋" w:cs="仿宋"/>
          <w:bCs/>
          <w:spacing w:val="-7"/>
          <w:szCs w:val="32"/>
          <w:lang w:eastAsia="zh-CN"/>
        </w:rPr>
        <w:t>实际支出</w:t>
      </w:r>
      <w:r>
        <w:rPr>
          <w:rFonts w:hint="eastAsia" w:ascii="仿宋" w:hAnsi="仿宋" w:eastAsia="仿宋" w:cs="仿宋"/>
          <w:bCs/>
          <w:spacing w:val="-7"/>
          <w:szCs w:val="32"/>
          <w:lang w:val="en-US" w:eastAsia="zh-CN"/>
        </w:rPr>
        <w:t>7.05</w:t>
      </w:r>
      <w:r>
        <w:rPr>
          <w:rFonts w:hint="eastAsia" w:ascii="仿宋" w:hAnsi="仿宋" w:eastAsia="仿宋" w:cs="仿宋"/>
          <w:bCs/>
          <w:spacing w:val="-7"/>
          <w:szCs w:val="32"/>
          <w:lang w:eastAsia="zh-CN"/>
        </w:rPr>
        <w:t>万元，节约成本</w:t>
      </w:r>
      <w:r>
        <w:rPr>
          <w:rFonts w:hint="eastAsia" w:ascii="仿宋" w:hAnsi="仿宋" w:eastAsia="仿宋" w:cs="仿宋"/>
          <w:bCs/>
          <w:spacing w:val="-7"/>
          <w:szCs w:val="32"/>
          <w:lang w:val="en-US" w:eastAsia="zh-CN"/>
        </w:rPr>
        <w:t>2.95</w:t>
      </w:r>
      <w:r>
        <w:rPr>
          <w:rFonts w:hint="eastAsia" w:ascii="仿宋" w:hAnsi="仿宋" w:eastAsia="仿宋" w:cs="仿宋"/>
          <w:bCs/>
          <w:spacing w:val="-7"/>
          <w:szCs w:val="32"/>
          <w:lang w:eastAsia="zh-CN"/>
        </w:rPr>
        <w:t>，成本节约率</w:t>
      </w:r>
      <w:r>
        <w:rPr>
          <w:rFonts w:hint="eastAsia" w:ascii="仿宋" w:hAnsi="仿宋" w:eastAsia="仿宋" w:cs="仿宋"/>
          <w:bCs/>
          <w:spacing w:val="-7"/>
          <w:szCs w:val="32"/>
          <w:lang w:val="en-US" w:eastAsia="zh-CN"/>
        </w:rPr>
        <w:t>29.50</w:t>
      </w:r>
      <w:r>
        <w:rPr>
          <w:rFonts w:hint="eastAsia" w:ascii="仿宋" w:hAnsi="仿宋" w:eastAsia="仿宋" w:cs="仿宋"/>
          <w:bCs/>
          <w:spacing w:val="-7"/>
          <w:szCs w:val="32"/>
          <w:lang w:eastAsia="zh-CN"/>
        </w:rPr>
        <w:t>%。根据评分标准，该指标得</w:t>
      </w:r>
      <w:r>
        <w:rPr>
          <w:rFonts w:hint="eastAsia" w:ascii="仿宋" w:hAnsi="仿宋" w:eastAsia="仿宋" w:cs="仿宋"/>
          <w:bCs/>
          <w:spacing w:val="-7"/>
          <w:szCs w:val="32"/>
          <w:lang w:val="en-US" w:eastAsia="zh-CN"/>
        </w:rPr>
        <w:t>6.40</w:t>
      </w:r>
      <w:r>
        <w:rPr>
          <w:rFonts w:hint="eastAsia" w:ascii="仿宋" w:hAnsi="仿宋" w:eastAsia="仿宋" w:cs="仿宋"/>
          <w:bCs/>
          <w:spacing w:val="-7"/>
          <w:szCs w:val="32"/>
          <w:lang w:eastAsia="zh-CN"/>
        </w:rPr>
        <w:t>分。</w:t>
      </w:r>
    </w:p>
    <w:bookmarkEnd w:id="385"/>
    <w:bookmarkEnd w:id="386"/>
    <w:bookmarkEnd w:id="387"/>
    <w:bookmarkEnd w:id="388"/>
    <w:bookmarkEnd w:id="389"/>
    <w:bookmarkEnd w:id="390"/>
    <w:p>
      <w:pPr>
        <w:pStyle w:val="3"/>
        <w:numPr>
          <w:ilvl w:val="0"/>
          <w:numId w:val="10"/>
        </w:numPr>
        <w:spacing w:before="0" w:beforeLines="0" w:after="0" w:afterLines="0"/>
        <w:ind w:firstLineChars="0"/>
        <w:rPr>
          <w:rFonts w:hint="eastAsia" w:ascii="楷体" w:hAnsi="楷体" w:eastAsia="楷体" w:cs="楷体"/>
          <w:b w:val="0"/>
          <w:bCs/>
          <w:szCs w:val="32"/>
        </w:rPr>
      </w:pPr>
      <w:bookmarkStart w:id="398" w:name="_Toc32046"/>
      <w:bookmarkStart w:id="399" w:name="_Toc199443772"/>
      <w:bookmarkStart w:id="400" w:name="_Toc132480970"/>
      <w:bookmarkStart w:id="401" w:name="_Toc179658329"/>
      <w:r>
        <w:rPr>
          <w:rFonts w:hint="eastAsia" w:ascii="楷体" w:hAnsi="楷体" w:eastAsia="楷体" w:cs="楷体"/>
          <w:b w:val="0"/>
          <w:bCs/>
          <w:szCs w:val="32"/>
        </w:rPr>
        <w:t>项目效益情况</w:t>
      </w:r>
      <w:bookmarkEnd w:id="391"/>
      <w:bookmarkEnd w:id="392"/>
      <w:bookmarkEnd w:id="393"/>
      <w:bookmarkEnd w:id="394"/>
      <w:bookmarkEnd w:id="395"/>
      <w:bookmarkEnd w:id="396"/>
      <w:bookmarkEnd w:id="398"/>
      <w:bookmarkEnd w:id="399"/>
      <w:bookmarkEnd w:id="400"/>
      <w:bookmarkEnd w:id="401"/>
    </w:p>
    <w:p>
      <w:pPr>
        <w:ind w:firstLine="612"/>
        <w:rPr>
          <w:rFonts w:hint="eastAsia" w:ascii="仿宋" w:hAnsi="仿宋" w:eastAsia="仿宋" w:cs="仿宋"/>
          <w:bCs/>
          <w:spacing w:val="-7"/>
          <w:szCs w:val="32"/>
          <w:lang w:eastAsia="zh-CN"/>
        </w:rPr>
      </w:pPr>
      <w:r>
        <w:rPr>
          <w:rFonts w:hint="eastAsia" w:ascii="仿宋" w:hAnsi="仿宋" w:eastAsia="仿宋" w:cs="仿宋"/>
          <w:bCs/>
          <w:spacing w:val="-7"/>
          <w:szCs w:val="32"/>
          <w:lang w:eastAsia="zh-CN"/>
        </w:rPr>
        <w:t>项目效益是财政资金绩效评价的核心内容，本次评价从社会效益、经济效益、</w:t>
      </w:r>
      <w:r>
        <w:rPr>
          <w:rFonts w:hint="eastAsia" w:ascii="仿宋" w:hAnsi="仿宋" w:eastAsia="仿宋" w:cs="仿宋"/>
          <w:bCs/>
          <w:spacing w:val="-7"/>
          <w:szCs w:val="32"/>
          <w:lang w:val="en-US" w:eastAsia="zh-CN"/>
        </w:rPr>
        <w:t>生态效益</w:t>
      </w:r>
      <w:r>
        <w:rPr>
          <w:rFonts w:hint="eastAsia" w:ascii="仿宋" w:hAnsi="仿宋" w:eastAsia="仿宋" w:cs="仿宋"/>
          <w:bCs/>
          <w:spacing w:val="-7"/>
          <w:szCs w:val="32"/>
          <w:lang w:eastAsia="zh-CN"/>
        </w:rPr>
        <w:t>及满意度四个方面来评价项目。项目效益权重30.00分，本项目得分25.00分，得分率为83.33%。</w:t>
      </w:r>
      <w:r>
        <w:rPr>
          <w:rFonts w:hint="eastAsia" w:ascii="仿宋" w:hAnsi="仿宋" w:eastAsia="仿宋" w:cs="仿宋"/>
          <w:bCs/>
          <w:spacing w:val="-7"/>
          <w:lang w:eastAsia="zh-CN"/>
        </w:rPr>
        <w:t>通过媒体宣传，让更多人了解非遗美食背后的文化故事，增强大众对非遗文化的认同感和保护意识。</w:t>
      </w:r>
      <w:r>
        <w:rPr>
          <w:rFonts w:hint="eastAsia" w:ascii="仿宋" w:hAnsi="仿宋" w:eastAsia="仿宋" w:cs="仿宋"/>
          <w:bCs/>
          <w:spacing w:val="-7"/>
          <w:lang w:val="en-US" w:eastAsia="zh-CN"/>
        </w:rPr>
        <w:t>大赛</w:t>
      </w:r>
      <w:r>
        <w:rPr>
          <w:rFonts w:hint="eastAsia" w:ascii="仿宋" w:hAnsi="仿宋" w:eastAsia="仿宋" w:cs="仿宋"/>
          <w:bCs/>
          <w:spacing w:val="-7"/>
          <w:lang w:eastAsia="zh-CN"/>
        </w:rPr>
        <w:t>打造</w:t>
      </w:r>
      <w:r>
        <w:rPr>
          <w:rFonts w:hint="eastAsia" w:ascii="仿宋" w:hAnsi="仿宋" w:eastAsia="仿宋" w:cs="仿宋"/>
          <w:bCs/>
          <w:spacing w:val="-7"/>
          <w:lang w:val="en-US" w:eastAsia="zh-CN"/>
        </w:rPr>
        <w:t>了</w:t>
      </w:r>
      <w:r>
        <w:rPr>
          <w:rFonts w:hint="eastAsia" w:ascii="仿宋" w:hAnsi="仿宋" w:eastAsia="仿宋" w:cs="仿宋"/>
          <w:bCs/>
          <w:spacing w:val="-7"/>
          <w:lang w:eastAsia="zh-CN"/>
        </w:rPr>
        <w:t>具有地方特色的非遗美食文化名片，提升</w:t>
      </w:r>
      <w:r>
        <w:rPr>
          <w:rFonts w:hint="eastAsia" w:ascii="仿宋" w:hAnsi="仿宋" w:eastAsia="仿宋" w:cs="仿宋"/>
          <w:bCs/>
          <w:spacing w:val="-7"/>
          <w:lang w:val="en-US" w:eastAsia="zh-CN"/>
        </w:rPr>
        <w:t>金口河区</w:t>
      </w:r>
      <w:r>
        <w:rPr>
          <w:rFonts w:hint="eastAsia" w:ascii="仿宋" w:hAnsi="仿宋" w:eastAsia="仿宋" w:cs="仿宋"/>
          <w:bCs/>
          <w:spacing w:val="-7"/>
          <w:lang w:eastAsia="zh-CN"/>
        </w:rPr>
        <w:t>的文化知名度和美誉度</w:t>
      </w:r>
      <w:r>
        <w:rPr>
          <w:rFonts w:hint="eastAsia" w:ascii="仿宋" w:hAnsi="仿宋" w:eastAsia="仿宋" w:cs="仿宋"/>
          <w:bCs/>
          <w:spacing w:val="-7"/>
          <w:szCs w:val="32"/>
          <w:lang w:eastAsia="zh-CN"/>
        </w:rPr>
        <w:t>。具体得分情况见下表4-4：</w:t>
      </w:r>
    </w:p>
    <w:p>
      <w:pPr>
        <w:ind w:firstLine="0" w:firstLineChars="0"/>
        <w:jc w:val="center"/>
        <w:rPr>
          <w:rFonts w:hint="eastAsia" w:ascii="仿宋" w:hAnsi="仿宋" w:eastAsia="仿宋" w:cs="仿宋"/>
          <w:bCs/>
          <w:szCs w:val="32"/>
        </w:rPr>
      </w:pPr>
      <w:r>
        <w:rPr>
          <w:rFonts w:hint="eastAsia" w:ascii="仿宋" w:hAnsi="仿宋" w:eastAsia="仿宋" w:cs="仿宋"/>
          <w:bCs/>
          <w:szCs w:val="32"/>
        </w:rPr>
        <w:t>表4-4项目效益指标得分</w:t>
      </w:r>
    </w:p>
    <w:tbl>
      <w:tblPr>
        <w:tblStyle w:val="22"/>
        <w:tblW w:w="5000" w:type="pct"/>
        <w:tblInd w:w="0" w:type="dxa"/>
        <w:tblLayout w:type="autofit"/>
        <w:tblCellMar>
          <w:top w:w="0" w:type="dxa"/>
          <w:left w:w="108" w:type="dxa"/>
          <w:bottom w:w="0" w:type="dxa"/>
          <w:right w:w="108" w:type="dxa"/>
        </w:tblCellMar>
      </w:tblPr>
      <w:tblGrid>
        <w:gridCol w:w="1951"/>
        <w:gridCol w:w="2188"/>
        <w:gridCol w:w="2188"/>
        <w:gridCol w:w="2189"/>
      </w:tblGrid>
      <w:tr>
        <w:tblPrEx>
          <w:tblCellMar>
            <w:top w:w="0" w:type="dxa"/>
            <w:left w:w="108" w:type="dxa"/>
            <w:bottom w:w="0" w:type="dxa"/>
            <w:right w:w="108" w:type="dxa"/>
          </w:tblCellMar>
        </w:tblPrEx>
        <w:trPr>
          <w:trHeight w:val="567" w:hRule="atLeast"/>
          <w:tblHeader/>
        </w:trPr>
        <w:tc>
          <w:tcPr>
            <w:tcW w:w="1148" w:type="pct"/>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rFonts w:hint="eastAsia" w:ascii="仿宋" w:hAnsi="仿宋" w:eastAsia="仿宋" w:cs="仿宋"/>
                <w:bCs/>
                <w:sz w:val="24"/>
              </w:rPr>
            </w:pPr>
            <w:r>
              <w:rPr>
                <w:rFonts w:hint="eastAsia" w:ascii="仿宋" w:hAnsi="仿宋" w:eastAsia="仿宋" w:cs="仿宋"/>
                <w:bCs/>
                <w:sz w:val="24"/>
              </w:rPr>
              <w:t>二级指标</w:t>
            </w:r>
          </w:p>
        </w:tc>
        <w:tc>
          <w:tcPr>
            <w:tcW w:w="1284" w:type="pct"/>
            <w:tcBorders>
              <w:top w:val="single" w:color="auto" w:sz="4" w:space="0"/>
              <w:left w:val="nil"/>
              <w:bottom w:val="single" w:color="auto"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rFonts w:hint="eastAsia" w:ascii="仿宋" w:hAnsi="仿宋" w:eastAsia="仿宋" w:cs="仿宋"/>
                <w:bCs/>
                <w:sz w:val="24"/>
              </w:rPr>
            </w:pPr>
            <w:r>
              <w:rPr>
                <w:rFonts w:hint="eastAsia" w:ascii="仿宋" w:hAnsi="仿宋" w:eastAsia="仿宋" w:cs="仿宋"/>
                <w:bCs/>
                <w:sz w:val="24"/>
              </w:rPr>
              <w:t>分数</w:t>
            </w:r>
          </w:p>
        </w:tc>
        <w:tc>
          <w:tcPr>
            <w:tcW w:w="1284" w:type="pct"/>
            <w:tcBorders>
              <w:top w:val="single" w:color="auto" w:sz="4" w:space="0"/>
              <w:left w:val="nil"/>
              <w:bottom w:val="single" w:color="auto"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rFonts w:hint="eastAsia" w:ascii="仿宋" w:hAnsi="仿宋" w:eastAsia="仿宋" w:cs="仿宋"/>
                <w:bCs/>
                <w:sz w:val="24"/>
              </w:rPr>
            </w:pPr>
            <w:r>
              <w:rPr>
                <w:rFonts w:hint="eastAsia" w:ascii="仿宋" w:hAnsi="仿宋" w:eastAsia="仿宋" w:cs="仿宋"/>
                <w:bCs/>
                <w:sz w:val="24"/>
              </w:rPr>
              <w:t>得分</w:t>
            </w:r>
          </w:p>
        </w:tc>
        <w:tc>
          <w:tcPr>
            <w:tcW w:w="1284" w:type="pct"/>
            <w:tcBorders>
              <w:top w:val="single" w:color="auto" w:sz="4" w:space="0"/>
              <w:left w:val="nil"/>
              <w:bottom w:val="single" w:color="auto"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rFonts w:hint="eastAsia" w:ascii="仿宋" w:hAnsi="仿宋" w:eastAsia="仿宋" w:cs="仿宋"/>
                <w:bCs/>
                <w:sz w:val="24"/>
              </w:rPr>
            </w:pPr>
            <w:r>
              <w:rPr>
                <w:rFonts w:hint="eastAsia" w:ascii="仿宋" w:hAnsi="仿宋" w:eastAsia="仿宋" w:cs="仿宋"/>
                <w:bCs/>
                <w:sz w:val="24"/>
              </w:rPr>
              <w:t>得分率</w:t>
            </w:r>
          </w:p>
        </w:tc>
      </w:tr>
      <w:tr>
        <w:tblPrEx>
          <w:tblCellMar>
            <w:top w:w="0" w:type="dxa"/>
            <w:left w:w="108" w:type="dxa"/>
            <w:bottom w:w="0" w:type="dxa"/>
            <w:right w:w="108" w:type="dxa"/>
          </w:tblCellMar>
        </w:tblPrEx>
        <w:trPr>
          <w:trHeight w:val="567" w:hRule="atLeast"/>
        </w:trPr>
        <w:tc>
          <w:tcPr>
            <w:tcW w:w="1148" w:type="pct"/>
            <w:tcBorders>
              <w:top w:val="nil"/>
              <w:left w:val="single" w:color="auto" w:sz="4" w:space="0"/>
              <w:bottom w:val="single" w:color="auto" w:sz="4" w:space="0"/>
              <w:right w:val="single" w:color="auto" w:sz="4" w:space="0"/>
            </w:tcBorders>
            <w:shd w:val="clear" w:color="auto" w:fill="auto"/>
            <w:noWrap/>
            <w:vAlign w:val="bottom"/>
          </w:tcPr>
          <w:p>
            <w:pPr>
              <w:widowControl/>
              <w:ind w:firstLine="0" w:firstLineChars="0"/>
              <w:jc w:val="center"/>
              <w:textAlignment w:val="center"/>
              <w:rPr>
                <w:rFonts w:hint="eastAsia" w:ascii="仿宋" w:hAnsi="仿宋" w:eastAsia="仿宋" w:cs="Arial"/>
                <w:sz w:val="24"/>
              </w:rPr>
            </w:pPr>
            <w:r>
              <w:rPr>
                <w:rFonts w:hint="eastAsia" w:ascii="仿宋" w:hAnsi="仿宋" w:eastAsia="仿宋" w:cs="Arial"/>
                <w:sz w:val="24"/>
              </w:rPr>
              <w:t>社会效益</w:t>
            </w:r>
          </w:p>
        </w:tc>
        <w:tc>
          <w:tcPr>
            <w:tcW w:w="218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sz w:val="24"/>
              </w:rPr>
            </w:pPr>
            <w:r>
              <w:rPr>
                <w:rFonts w:hint="eastAsia" w:ascii="仿宋" w:hAnsi="仿宋" w:eastAsia="仿宋" w:cs="仿宋"/>
                <w:i w:val="0"/>
                <w:iCs w:val="0"/>
                <w:color w:val="000000"/>
                <w:kern w:val="0"/>
                <w:sz w:val="24"/>
                <w:szCs w:val="24"/>
                <w:u w:val="none"/>
                <w:lang w:val="en-US" w:eastAsia="zh-CN" w:bidi="ar"/>
              </w:rPr>
              <w:t>9</w:t>
            </w:r>
          </w:p>
        </w:tc>
        <w:tc>
          <w:tcPr>
            <w:tcW w:w="218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sz w:val="24"/>
              </w:rPr>
            </w:pPr>
            <w:r>
              <w:rPr>
                <w:rFonts w:hint="eastAsia" w:ascii="仿宋" w:hAnsi="仿宋" w:eastAsia="仿宋" w:cs="仿宋"/>
                <w:i w:val="0"/>
                <w:iCs w:val="0"/>
                <w:color w:val="000000"/>
                <w:kern w:val="0"/>
                <w:sz w:val="24"/>
                <w:szCs w:val="24"/>
                <w:u w:val="none"/>
                <w:lang w:val="en-US" w:eastAsia="zh-CN" w:bidi="ar"/>
              </w:rPr>
              <w:t>9</w:t>
            </w:r>
          </w:p>
        </w:tc>
        <w:tc>
          <w:tcPr>
            <w:tcW w:w="218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sz w:val="24"/>
              </w:rPr>
            </w:pPr>
            <w:r>
              <w:rPr>
                <w:rFonts w:hint="eastAsia" w:ascii="仿宋" w:hAnsi="仿宋" w:eastAsia="仿宋" w:cs="仿宋"/>
                <w:i w:val="0"/>
                <w:iCs w:val="0"/>
                <w:color w:val="000000"/>
                <w:kern w:val="0"/>
                <w:sz w:val="24"/>
                <w:szCs w:val="24"/>
                <w:u w:val="none"/>
                <w:lang w:val="en-US" w:eastAsia="zh-CN" w:bidi="ar"/>
              </w:rPr>
              <w:t>100.00%</w:t>
            </w:r>
          </w:p>
        </w:tc>
      </w:tr>
      <w:tr>
        <w:tblPrEx>
          <w:tblCellMar>
            <w:top w:w="0" w:type="dxa"/>
            <w:left w:w="108" w:type="dxa"/>
            <w:bottom w:w="0" w:type="dxa"/>
            <w:right w:w="108" w:type="dxa"/>
          </w:tblCellMar>
        </w:tblPrEx>
        <w:trPr>
          <w:trHeight w:val="567" w:hRule="atLeast"/>
        </w:trPr>
        <w:tc>
          <w:tcPr>
            <w:tcW w:w="1148" w:type="pct"/>
            <w:tcBorders>
              <w:top w:val="nil"/>
              <w:left w:val="single" w:color="auto" w:sz="4" w:space="0"/>
              <w:bottom w:val="single" w:color="auto" w:sz="4" w:space="0"/>
              <w:right w:val="single" w:color="auto" w:sz="4" w:space="0"/>
            </w:tcBorders>
            <w:shd w:val="clear" w:color="auto" w:fill="auto"/>
            <w:noWrap/>
            <w:vAlign w:val="bottom"/>
          </w:tcPr>
          <w:p>
            <w:pPr>
              <w:widowControl/>
              <w:ind w:firstLine="0" w:firstLineChars="0"/>
              <w:jc w:val="center"/>
              <w:textAlignment w:val="center"/>
              <w:rPr>
                <w:rFonts w:hint="eastAsia" w:ascii="仿宋" w:hAnsi="仿宋" w:eastAsia="仿宋" w:cs="Arial"/>
                <w:sz w:val="24"/>
              </w:rPr>
            </w:pPr>
            <w:r>
              <w:rPr>
                <w:rFonts w:hint="eastAsia" w:ascii="仿宋" w:hAnsi="仿宋" w:eastAsia="仿宋" w:cs="Arial"/>
                <w:sz w:val="24"/>
              </w:rPr>
              <w:t>经济效益</w:t>
            </w:r>
          </w:p>
        </w:tc>
        <w:tc>
          <w:tcPr>
            <w:tcW w:w="218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sz w:val="24"/>
              </w:rPr>
            </w:pPr>
            <w:r>
              <w:rPr>
                <w:rFonts w:hint="eastAsia" w:ascii="仿宋" w:hAnsi="仿宋" w:eastAsia="仿宋" w:cs="仿宋"/>
                <w:i w:val="0"/>
                <w:iCs w:val="0"/>
                <w:color w:val="000000"/>
                <w:kern w:val="0"/>
                <w:sz w:val="24"/>
                <w:szCs w:val="24"/>
                <w:u w:val="none"/>
                <w:lang w:val="en-US" w:eastAsia="zh-CN" w:bidi="ar"/>
              </w:rPr>
              <w:t>8</w:t>
            </w:r>
          </w:p>
        </w:tc>
        <w:tc>
          <w:tcPr>
            <w:tcW w:w="218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sz w:val="24"/>
              </w:rPr>
            </w:pPr>
            <w:r>
              <w:rPr>
                <w:rFonts w:hint="eastAsia" w:ascii="仿宋" w:hAnsi="仿宋" w:eastAsia="仿宋" w:cs="仿宋"/>
                <w:i w:val="0"/>
                <w:iCs w:val="0"/>
                <w:color w:val="000000"/>
                <w:kern w:val="0"/>
                <w:sz w:val="24"/>
                <w:szCs w:val="24"/>
                <w:u w:val="none"/>
                <w:lang w:val="en-US" w:eastAsia="zh-CN" w:bidi="ar"/>
              </w:rPr>
              <w:t>8</w:t>
            </w:r>
          </w:p>
        </w:tc>
        <w:tc>
          <w:tcPr>
            <w:tcW w:w="218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sz w:val="24"/>
              </w:rPr>
            </w:pPr>
            <w:r>
              <w:rPr>
                <w:rFonts w:hint="eastAsia" w:ascii="仿宋" w:hAnsi="仿宋" w:eastAsia="仿宋" w:cs="仿宋"/>
                <w:i w:val="0"/>
                <w:iCs w:val="0"/>
                <w:color w:val="000000"/>
                <w:kern w:val="0"/>
                <w:sz w:val="24"/>
                <w:szCs w:val="24"/>
                <w:u w:val="none"/>
                <w:lang w:val="en-US" w:eastAsia="zh-CN" w:bidi="ar"/>
              </w:rPr>
              <w:t>100.00%</w:t>
            </w:r>
          </w:p>
        </w:tc>
      </w:tr>
      <w:tr>
        <w:tblPrEx>
          <w:tblCellMar>
            <w:top w:w="0" w:type="dxa"/>
            <w:left w:w="108" w:type="dxa"/>
            <w:bottom w:w="0" w:type="dxa"/>
            <w:right w:w="108" w:type="dxa"/>
          </w:tblCellMar>
        </w:tblPrEx>
        <w:trPr>
          <w:trHeight w:val="567" w:hRule="atLeast"/>
        </w:trPr>
        <w:tc>
          <w:tcPr>
            <w:tcW w:w="1148" w:type="pct"/>
            <w:tcBorders>
              <w:top w:val="nil"/>
              <w:left w:val="single" w:color="auto" w:sz="4" w:space="0"/>
              <w:bottom w:val="single" w:color="auto" w:sz="4" w:space="0"/>
              <w:right w:val="single" w:color="auto" w:sz="4" w:space="0"/>
            </w:tcBorders>
            <w:shd w:val="clear" w:color="auto" w:fill="auto"/>
            <w:noWrap/>
            <w:vAlign w:val="bottom"/>
          </w:tcPr>
          <w:p>
            <w:pPr>
              <w:widowControl/>
              <w:ind w:firstLine="0" w:firstLineChars="0"/>
              <w:jc w:val="center"/>
              <w:textAlignment w:val="center"/>
              <w:rPr>
                <w:rFonts w:hint="eastAsia" w:ascii="仿宋" w:hAnsi="仿宋" w:eastAsia="仿宋" w:cs="Arial"/>
                <w:sz w:val="24"/>
              </w:rPr>
            </w:pPr>
            <w:r>
              <w:rPr>
                <w:rFonts w:hint="eastAsia" w:ascii="仿宋" w:hAnsi="仿宋" w:eastAsia="仿宋" w:cs="Arial"/>
                <w:sz w:val="24"/>
                <w:lang w:val="en-US" w:eastAsia="zh-CN"/>
              </w:rPr>
              <w:t>生态</w:t>
            </w:r>
            <w:r>
              <w:rPr>
                <w:rFonts w:hint="eastAsia" w:ascii="仿宋" w:hAnsi="仿宋" w:eastAsia="仿宋" w:cs="Arial"/>
                <w:sz w:val="24"/>
              </w:rPr>
              <w:t>效益</w:t>
            </w:r>
          </w:p>
        </w:tc>
        <w:tc>
          <w:tcPr>
            <w:tcW w:w="218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sz w:val="24"/>
              </w:rPr>
            </w:pPr>
            <w:r>
              <w:rPr>
                <w:rFonts w:hint="eastAsia" w:ascii="仿宋" w:hAnsi="仿宋" w:eastAsia="仿宋" w:cs="仿宋"/>
                <w:i w:val="0"/>
                <w:iCs w:val="0"/>
                <w:color w:val="000000"/>
                <w:kern w:val="0"/>
                <w:sz w:val="24"/>
                <w:szCs w:val="24"/>
                <w:u w:val="none"/>
                <w:lang w:val="en-US" w:eastAsia="zh-CN" w:bidi="ar"/>
              </w:rPr>
              <w:t>8</w:t>
            </w:r>
          </w:p>
        </w:tc>
        <w:tc>
          <w:tcPr>
            <w:tcW w:w="218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sz w:val="24"/>
              </w:rPr>
            </w:pPr>
            <w:r>
              <w:rPr>
                <w:rFonts w:hint="eastAsia" w:ascii="仿宋" w:hAnsi="仿宋" w:eastAsia="仿宋" w:cs="仿宋"/>
                <w:i w:val="0"/>
                <w:iCs w:val="0"/>
                <w:color w:val="000000"/>
                <w:kern w:val="0"/>
                <w:sz w:val="24"/>
                <w:szCs w:val="24"/>
                <w:u w:val="none"/>
                <w:lang w:val="en-US" w:eastAsia="zh-CN" w:bidi="ar"/>
              </w:rPr>
              <w:t>8</w:t>
            </w:r>
          </w:p>
        </w:tc>
        <w:tc>
          <w:tcPr>
            <w:tcW w:w="218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sz w:val="24"/>
              </w:rPr>
            </w:pPr>
            <w:r>
              <w:rPr>
                <w:rFonts w:hint="eastAsia" w:ascii="仿宋" w:hAnsi="仿宋" w:eastAsia="仿宋" w:cs="仿宋"/>
                <w:i w:val="0"/>
                <w:iCs w:val="0"/>
                <w:color w:val="000000"/>
                <w:kern w:val="0"/>
                <w:sz w:val="24"/>
                <w:szCs w:val="24"/>
                <w:u w:val="none"/>
                <w:lang w:val="en-US" w:eastAsia="zh-CN" w:bidi="ar"/>
              </w:rPr>
              <w:t>100.00%</w:t>
            </w:r>
          </w:p>
        </w:tc>
      </w:tr>
      <w:tr>
        <w:tblPrEx>
          <w:tblCellMar>
            <w:top w:w="0" w:type="dxa"/>
            <w:left w:w="108" w:type="dxa"/>
            <w:bottom w:w="0" w:type="dxa"/>
            <w:right w:w="108" w:type="dxa"/>
          </w:tblCellMar>
        </w:tblPrEx>
        <w:trPr>
          <w:trHeight w:val="567" w:hRule="atLeast"/>
        </w:trPr>
        <w:tc>
          <w:tcPr>
            <w:tcW w:w="1148" w:type="pct"/>
            <w:tcBorders>
              <w:top w:val="nil"/>
              <w:left w:val="single" w:color="auto" w:sz="4" w:space="0"/>
              <w:bottom w:val="single" w:color="auto" w:sz="4" w:space="0"/>
              <w:right w:val="single" w:color="auto" w:sz="4" w:space="0"/>
            </w:tcBorders>
            <w:shd w:val="clear" w:color="auto" w:fill="auto"/>
            <w:noWrap/>
            <w:vAlign w:val="bottom"/>
          </w:tcPr>
          <w:p>
            <w:pPr>
              <w:widowControl/>
              <w:ind w:firstLine="0" w:firstLineChars="0"/>
              <w:jc w:val="center"/>
              <w:textAlignment w:val="center"/>
              <w:rPr>
                <w:rFonts w:hint="default" w:ascii="仿宋" w:hAnsi="仿宋" w:eastAsia="仿宋" w:cs="Arial"/>
                <w:sz w:val="24"/>
                <w:lang w:val="en-US" w:eastAsia="zh-CN"/>
              </w:rPr>
            </w:pPr>
            <w:r>
              <w:rPr>
                <w:rFonts w:hint="eastAsia" w:ascii="仿宋" w:hAnsi="仿宋" w:eastAsia="仿宋" w:cs="Arial"/>
                <w:sz w:val="24"/>
                <w:lang w:val="en-US" w:eastAsia="zh-CN"/>
              </w:rPr>
              <w:t>满意度</w:t>
            </w:r>
          </w:p>
        </w:tc>
        <w:tc>
          <w:tcPr>
            <w:tcW w:w="218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sz w:val="24"/>
              </w:rPr>
            </w:pPr>
            <w:r>
              <w:rPr>
                <w:rFonts w:hint="eastAsia" w:ascii="仿宋" w:hAnsi="仿宋" w:eastAsia="仿宋" w:cs="仿宋"/>
                <w:i w:val="0"/>
                <w:iCs w:val="0"/>
                <w:color w:val="000000"/>
                <w:kern w:val="0"/>
                <w:sz w:val="24"/>
                <w:szCs w:val="24"/>
                <w:u w:val="none"/>
                <w:lang w:val="en-US" w:eastAsia="zh-CN" w:bidi="ar"/>
              </w:rPr>
              <w:t>5</w:t>
            </w:r>
          </w:p>
        </w:tc>
        <w:tc>
          <w:tcPr>
            <w:tcW w:w="218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sz w:val="24"/>
              </w:rPr>
            </w:pPr>
            <w:r>
              <w:rPr>
                <w:rFonts w:hint="eastAsia" w:ascii="仿宋" w:hAnsi="仿宋" w:eastAsia="仿宋" w:cs="仿宋"/>
                <w:i w:val="0"/>
                <w:iCs w:val="0"/>
                <w:color w:val="000000"/>
                <w:kern w:val="0"/>
                <w:sz w:val="24"/>
                <w:szCs w:val="24"/>
                <w:u w:val="none"/>
                <w:lang w:val="en-US" w:eastAsia="zh-CN" w:bidi="ar"/>
              </w:rPr>
              <w:t>5</w:t>
            </w:r>
          </w:p>
        </w:tc>
        <w:tc>
          <w:tcPr>
            <w:tcW w:w="218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sz w:val="24"/>
              </w:rPr>
            </w:pPr>
            <w:r>
              <w:rPr>
                <w:rFonts w:hint="eastAsia" w:ascii="仿宋" w:hAnsi="仿宋" w:eastAsia="仿宋" w:cs="仿宋"/>
                <w:i w:val="0"/>
                <w:iCs w:val="0"/>
                <w:color w:val="000000"/>
                <w:kern w:val="0"/>
                <w:sz w:val="24"/>
                <w:szCs w:val="24"/>
                <w:u w:val="none"/>
                <w:lang w:val="en-US" w:eastAsia="zh-CN" w:bidi="ar"/>
              </w:rPr>
              <w:t>100.00%</w:t>
            </w:r>
          </w:p>
        </w:tc>
      </w:tr>
      <w:tr>
        <w:tblPrEx>
          <w:tblCellMar>
            <w:top w:w="0" w:type="dxa"/>
            <w:left w:w="108" w:type="dxa"/>
            <w:bottom w:w="0" w:type="dxa"/>
            <w:right w:w="108" w:type="dxa"/>
          </w:tblCellMar>
        </w:tblPrEx>
        <w:trPr>
          <w:trHeight w:val="567" w:hRule="atLeast"/>
        </w:trPr>
        <w:tc>
          <w:tcPr>
            <w:tcW w:w="1148" w:type="pct"/>
            <w:tcBorders>
              <w:top w:val="nil"/>
              <w:left w:val="single" w:color="auto" w:sz="4" w:space="0"/>
              <w:bottom w:val="single" w:color="auto" w:sz="4" w:space="0"/>
              <w:right w:val="single" w:color="auto" w:sz="4" w:space="0"/>
            </w:tcBorders>
            <w:shd w:val="clear" w:color="auto" w:fill="auto"/>
            <w:noWrap/>
            <w:vAlign w:val="bottom"/>
          </w:tcPr>
          <w:p>
            <w:pPr>
              <w:widowControl/>
              <w:ind w:firstLine="0" w:firstLineChars="0"/>
              <w:jc w:val="center"/>
              <w:textAlignment w:val="center"/>
              <w:rPr>
                <w:rFonts w:hint="eastAsia" w:ascii="仿宋" w:hAnsi="仿宋" w:eastAsia="仿宋" w:cs="Arial"/>
                <w:sz w:val="24"/>
              </w:rPr>
            </w:pPr>
            <w:r>
              <w:rPr>
                <w:rFonts w:hint="eastAsia" w:ascii="仿宋" w:hAnsi="仿宋" w:eastAsia="仿宋" w:cs="Arial"/>
                <w:sz w:val="24"/>
              </w:rPr>
              <w:t>合计</w:t>
            </w:r>
          </w:p>
        </w:tc>
        <w:tc>
          <w:tcPr>
            <w:tcW w:w="218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sz w:val="24"/>
                <w:lang w:eastAsia="zh-CN"/>
              </w:rPr>
            </w:pPr>
            <w:r>
              <w:rPr>
                <w:rFonts w:hint="eastAsia" w:ascii="仿宋" w:hAnsi="仿宋" w:eastAsia="仿宋" w:cs="仿宋"/>
                <w:i w:val="0"/>
                <w:iCs w:val="0"/>
                <w:color w:val="000000"/>
                <w:kern w:val="0"/>
                <w:sz w:val="24"/>
                <w:szCs w:val="24"/>
                <w:u w:val="none"/>
                <w:lang w:val="en-US" w:eastAsia="zh-CN" w:bidi="ar"/>
              </w:rPr>
              <w:t>30</w:t>
            </w:r>
          </w:p>
        </w:tc>
        <w:tc>
          <w:tcPr>
            <w:tcW w:w="218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sz w:val="24"/>
                <w:lang w:eastAsia="zh-CN"/>
              </w:rPr>
            </w:pPr>
            <w:r>
              <w:rPr>
                <w:rFonts w:hint="eastAsia" w:ascii="仿宋" w:hAnsi="仿宋" w:eastAsia="仿宋" w:cs="仿宋"/>
                <w:i w:val="0"/>
                <w:iCs w:val="0"/>
                <w:color w:val="000000"/>
                <w:kern w:val="0"/>
                <w:sz w:val="24"/>
                <w:szCs w:val="24"/>
                <w:u w:val="none"/>
                <w:lang w:val="en-US" w:eastAsia="zh-CN" w:bidi="ar"/>
              </w:rPr>
              <w:t>30</w:t>
            </w:r>
          </w:p>
        </w:tc>
        <w:tc>
          <w:tcPr>
            <w:tcW w:w="218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sz w:val="24"/>
              </w:rPr>
            </w:pPr>
            <w:r>
              <w:rPr>
                <w:rFonts w:hint="eastAsia" w:ascii="仿宋" w:hAnsi="仿宋" w:eastAsia="仿宋" w:cs="仿宋"/>
                <w:i w:val="0"/>
                <w:iCs w:val="0"/>
                <w:color w:val="000000"/>
                <w:kern w:val="0"/>
                <w:sz w:val="24"/>
                <w:szCs w:val="24"/>
                <w:u w:val="none"/>
                <w:lang w:val="en-US" w:eastAsia="zh-CN" w:bidi="ar"/>
              </w:rPr>
              <w:t>100.00%</w:t>
            </w:r>
          </w:p>
        </w:tc>
      </w:tr>
    </w:tbl>
    <w:p>
      <w:pPr>
        <w:pStyle w:val="4"/>
        <w:numPr>
          <w:ilvl w:val="2"/>
          <w:numId w:val="23"/>
        </w:numPr>
        <w:ind w:firstLineChars="0"/>
        <w:rPr>
          <w:rFonts w:hint="eastAsia" w:ascii="仿宋" w:hAnsi="仿宋" w:eastAsia="仿宋" w:cs="仿宋"/>
          <w:b w:val="0"/>
          <w:bCs/>
        </w:rPr>
      </w:pPr>
      <w:bookmarkStart w:id="402" w:name="_Toc630865930"/>
      <w:bookmarkStart w:id="403" w:name="_Toc1137671051"/>
      <w:bookmarkStart w:id="404" w:name="_Toc130033924"/>
      <w:bookmarkStart w:id="405" w:name="_Toc199443773"/>
      <w:bookmarkStart w:id="406" w:name="_Toc786237891_WPSOffice_Level3"/>
      <w:bookmarkStart w:id="407" w:name="_Toc1098745722"/>
      <w:bookmarkStart w:id="408" w:name="_Toc23843"/>
      <w:bookmarkStart w:id="409" w:name="_Toc1809930956"/>
      <w:bookmarkStart w:id="410" w:name="_Toc29127"/>
      <w:r>
        <w:rPr>
          <w:rFonts w:hint="eastAsia" w:ascii="仿宋" w:hAnsi="仿宋" w:eastAsia="仿宋" w:cs="仿宋"/>
          <w:b w:val="0"/>
          <w:bCs/>
          <w:lang w:eastAsia="zh-CN"/>
        </w:rPr>
        <w:t>社会</w:t>
      </w:r>
      <w:r>
        <w:rPr>
          <w:rFonts w:hint="eastAsia" w:ascii="仿宋" w:hAnsi="仿宋" w:eastAsia="仿宋" w:cs="仿宋"/>
          <w:b w:val="0"/>
          <w:bCs/>
        </w:rPr>
        <w:t>效益分析</w:t>
      </w:r>
      <w:bookmarkEnd w:id="402"/>
      <w:bookmarkEnd w:id="403"/>
      <w:bookmarkEnd w:id="404"/>
      <w:bookmarkEnd w:id="405"/>
      <w:bookmarkEnd w:id="406"/>
      <w:bookmarkEnd w:id="407"/>
      <w:bookmarkEnd w:id="408"/>
      <w:bookmarkEnd w:id="409"/>
      <w:bookmarkEnd w:id="410"/>
    </w:p>
    <w:p>
      <w:pPr>
        <w:pStyle w:val="5"/>
        <w:numPr>
          <w:ilvl w:val="0"/>
          <w:numId w:val="24"/>
        </w:numPr>
        <w:ind w:firstLineChars="0"/>
        <w:rPr>
          <w:rFonts w:hint="eastAsia" w:ascii="仿宋" w:hAnsi="仿宋" w:eastAsia="仿宋" w:cs="仿宋"/>
          <w:b w:val="0"/>
          <w:bCs/>
          <w:lang w:eastAsia="zh-CN"/>
        </w:rPr>
      </w:pPr>
      <w:r>
        <w:rPr>
          <w:rFonts w:hint="eastAsia" w:ascii="仿宋" w:hAnsi="仿宋" w:eastAsia="仿宋" w:cs="仿宋"/>
          <w:b w:val="0"/>
          <w:bCs/>
          <w:lang w:eastAsia="zh-CN"/>
        </w:rPr>
        <w:t>传承与保护非遗文化分析</w:t>
      </w:r>
    </w:p>
    <w:p>
      <w:pPr>
        <w:ind w:firstLine="612"/>
        <w:rPr>
          <w:rFonts w:hint="eastAsia" w:ascii="仿宋" w:hAnsi="仿宋" w:eastAsia="仿宋" w:cs="仿宋"/>
          <w:bCs/>
          <w:spacing w:val="-7"/>
          <w:lang w:eastAsia="zh-CN"/>
        </w:rPr>
      </w:pPr>
      <w:r>
        <w:rPr>
          <w:rFonts w:hint="eastAsia" w:ascii="仿宋" w:hAnsi="仿宋" w:eastAsia="仿宋" w:cs="仿宋"/>
          <w:bCs/>
          <w:spacing w:val="-7"/>
          <w:lang w:eastAsia="zh-CN"/>
        </w:rPr>
        <w:t>大赛为非遗美食传承人提供展示平台，吸引更多年轻人关注和学习非遗美食技艺。活动期间，</w:t>
      </w:r>
      <w:r>
        <w:rPr>
          <w:rFonts w:hint="eastAsia" w:ascii="仿宋" w:hAnsi="仿宋" w:eastAsia="仿宋" w:cs="仿宋"/>
          <w:bCs/>
          <w:spacing w:val="-7"/>
          <w:lang w:val="en-US" w:eastAsia="zh-CN"/>
        </w:rPr>
        <w:t>聘请3名餐饮行业专家亲临现场进行技艺传承及包装指导</w:t>
      </w:r>
      <w:r>
        <w:rPr>
          <w:rFonts w:hint="eastAsia" w:ascii="仿宋" w:hAnsi="仿宋" w:eastAsia="仿宋" w:cs="仿宋"/>
          <w:bCs/>
          <w:spacing w:val="-7"/>
          <w:lang w:eastAsia="zh-CN"/>
        </w:rPr>
        <w:t>，有效促进非遗美食技艺的传承。同时，通过媒体宣传，让更多人了解非遗美食背后的文化故事，增强大众对非遗文化的认同感和保护意识。</w:t>
      </w:r>
      <w:r>
        <w:rPr>
          <w:rFonts w:hint="eastAsia" w:ascii="仿宋" w:hAnsi="仿宋" w:eastAsia="仿宋" w:cs="仿宋"/>
          <w:bCs/>
          <w:spacing w:val="-7"/>
          <w:lang w:val="en-US" w:eastAsia="zh-CN"/>
        </w:rPr>
        <w:t>根据评分标准，该指标评定为优，得满分3.00</w:t>
      </w:r>
      <w:r>
        <w:rPr>
          <w:rFonts w:hint="eastAsia" w:ascii="仿宋" w:hAnsi="仿宋" w:eastAsia="仿宋" w:cs="仿宋"/>
          <w:bCs/>
          <w:spacing w:val="-7"/>
          <w:lang w:eastAsia="zh-CN"/>
        </w:rPr>
        <w:t>分。</w:t>
      </w:r>
    </w:p>
    <w:p>
      <w:pPr>
        <w:pStyle w:val="5"/>
        <w:numPr>
          <w:ilvl w:val="0"/>
          <w:numId w:val="24"/>
        </w:numPr>
        <w:ind w:firstLineChars="0"/>
        <w:rPr>
          <w:rFonts w:hint="eastAsia" w:ascii="仿宋" w:hAnsi="仿宋" w:eastAsia="仿宋" w:cs="仿宋"/>
          <w:b w:val="0"/>
          <w:bCs/>
          <w:lang w:eastAsia="zh-CN"/>
        </w:rPr>
      </w:pPr>
      <w:r>
        <w:rPr>
          <w:rFonts w:hint="eastAsia" w:ascii="仿宋" w:hAnsi="仿宋" w:eastAsia="仿宋" w:cs="仿宋"/>
          <w:b w:val="0"/>
          <w:bCs/>
          <w:lang w:val="en-US" w:eastAsia="zh-CN"/>
        </w:rPr>
        <w:t>提升区域文化影响力</w:t>
      </w:r>
      <w:r>
        <w:rPr>
          <w:rFonts w:hint="eastAsia" w:ascii="仿宋" w:hAnsi="仿宋" w:eastAsia="仿宋" w:cs="仿宋"/>
          <w:b w:val="0"/>
          <w:bCs/>
          <w:lang w:eastAsia="zh-CN"/>
        </w:rPr>
        <w:t>分析</w:t>
      </w:r>
    </w:p>
    <w:p>
      <w:pPr>
        <w:ind w:firstLine="612"/>
        <w:rPr>
          <w:rFonts w:hint="eastAsia" w:ascii="仿宋" w:hAnsi="仿宋" w:eastAsia="仿宋" w:cs="仿宋"/>
          <w:bCs/>
          <w:spacing w:val="-7"/>
          <w:lang w:eastAsia="zh-CN"/>
        </w:rPr>
      </w:pPr>
      <w:r>
        <w:rPr>
          <w:rFonts w:hint="eastAsia" w:ascii="仿宋" w:hAnsi="仿宋" w:eastAsia="仿宋" w:cs="仿宋"/>
          <w:bCs/>
          <w:spacing w:val="-7"/>
          <w:lang w:val="en-US" w:eastAsia="zh-CN"/>
        </w:rPr>
        <w:t>大赛</w:t>
      </w:r>
      <w:r>
        <w:rPr>
          <w:rFonts w:hint="eastAsia" w:ascii="仿宋" w:hAnsi="仿宋" w:eastAsia="仿宋" w:cs="仿宋"/>
          <w:bCs/>
          <w:spacing w:val="-7"/>
          <w:lang w:eastAsia="zh-CN"/>
        </w:rPr>
        <w:t>打造</w:t>
      </w:r>
      <w:r>
        <w:rPr>
          <w:rFonts w:hint="eastAsia" w:ascii="仿宋" w:hAnsi="仿宋" w:eastAsia="仿宋" w:cs="仿宋"/>
          <w:bCs/>
          <w:spacing w:val="-7"/>
          <w:lang w:val="en-US" w:eastAsia="zh-CN"/>
        </w:rPr>
        <w:t>了</w:t>
      </w:r>
      <w:r>
        <w:rPr>
          <w:rFonts w:hint="eastAsia" w:ascii="仿宋" w:hAnsi="仿宋" w:eastAsia="仿宋" w:cs="仿宋"/>
          <w:bCs/>
          <w:spacing w:val="-7"/>
          <w:lang w:eastAsia="zh-CN"/>
        </w:rPr>
        <w:t>具有地方特色的非遗美食文化名片，提升</w:t>
      </w:r>
      <w:r>
        <w:rPr>
          <w:rFonts w:hint="eastAsia" w:ascii="仿宋" w:hAnsi="仿宋" w:eastAsia="仿宋" w:cs="仿宋"/>
          <w:bCs/>
          <w:spacing w:val="-7"/>
          <w:lang w:val="en-US" w:eastAsia="zh-CN"/>
        </w:rPr>
        <w:t>金口河区</w:t>
      </w:r>
      <w:r>
        <w:rPr>
          <w:rFonts w:hint="eastAsia" w:ascii="仿宋" w:hAnsi="仿宋" w:eastAsia="仿宋" w:cs="仿宋"/>
          <w:bCs/>
          <w:spacing w:val="-7"/>
          <w:lang w:eastAsia="zh-CN"/>
        </w:rPr>
        <w:t>的文化知名度和美誉度。例如，活动通过网络直播、短视频等形式传播，全网曝光量超1亿次，让举办地的非遗美食文化走向全国，吸引其他地区借鉴学习，成为区域文化交流的重要窗口。</w:t>
      </w:r>
      <w:r>
        <w:rPr>
          <w:rFonts w:hint="eastAsia" w:ascii="仿宋" w:hAnsi="仿宋" w:eastAsia="仿宋" w:cs="仿宋"/>
          <w:bCs/>
          <w:spacing w:val="-7"/>
          <w:lang w:val="en-US" w:eastAsia="zh-CN"/>
        </w:rPr>
        <w:t>根据评分标准，该指标评定为优，得满分3.00分</w:t>
      </w:r>
      <w:r>
        <w:rPr>
          <w:rFonts w:hint="eastAsia" w:ascii="仿宋" w:hAnsi="仿宋" w:eastAsia="仿宋" w:cs="仿宋"/>
          <w:bCs/>
          <w:spacing w:val="-7"/>
          <w:lang w:eastAsia="zh-CN"/>
        </w:rPr>
        <w:t>。</w:t>
      </w:r>
    </w:p>
    <w:p>
      <w:pPr>
        <w:pStyle w:val="5"/>
        <w:numPr>
          <w:ilvl w:val="0"/>
          <w:numId w:val="24"/>
        </w:numPr>
        <w:ind w:firstLineChars="0"/>
        <w:rPr>
          <w:rFonts w:hint="eastAsia" w:ascii="仿宋" w:hAnsi="仿宋" w:eastAsia="仿宋" w:cs="仿宋"/>
          <w:b w:val="0"/>
          <w:bCs/>
          <w:lang w:val="en-US" w:eastAsia="zh-CN"/>
        </w:rPr>
      </w:pPr>
      <w:r>
        <w:rPr>
          <w:rFonts w:hint="eastAsia" w:ascii="仿宋" w:hAnsi="仿宋" w:eastAsia="仿宋" w:cs="仿宋"/>
          <w:b w:val="0"/>
          <w:bCs/>
          <w:lang w:val="en-US" w:eastAsia="zh-CN"/>
        </w:rPr>
        <w:t>促进就业与创业分析</w:t>
      </w:r>
    </w:p>
    <w:p>
      <w:pPr>
        <w:ind w:firstLine="612"/>
        <w:rPr>
          <w:rFonts w:hint="eastAsia" w:ascii="仿宋" w:hAnsi="仿宋" w:eastAsia="仿宋" w:cs="仿宋"/>
          <w:bCs/>
          <w:spacing w:val="-7"/>
          <w:lang w:val="en-US" w:eastAsia="zh-CN"/>
        </w:rPr>
      </w:pPr>
      <w:r>
        <w:rPr>
          <w:rFonts w:hint="eastAsia" w:ascii="仿宋" w:hAnsi="仿宋" w:eastAsia="仿宋" w:cs="仿宋"/>
          <w:bCs/>
          <w:spacing w:val="-7"/>
          <w:lang w:val="en-US" w:eastAsia="zh-CN"/>
        </w:rPr>
        <w:t>项目实施过程中，从大赛筹备、活动举办到后续推广，创造大量就业岗位，包括活动策划、安保、服务等多个领域，直接解决就业人数。同时，大赛激发创业热情，部分参与者受启发后投身非遗美食创业，开设特色美食店铺或线上销售平台，间接带动就业。根据评分标准，该指标评定为优，得满分3.00分。</w:t>
      </w:r>
    </w:p>
    <w:p>
      <w:pPr>
        <w:pStyle w:val="4"/>
        <w:numPr>
          <w:ilvl w:val="2"/>
          <w:numId w:val="23"/>
        </w:numPr>
        <w:ind w:firstLineChars="0"/>
        <w:rPr>
          <w:rFonts w:hint="eastAsia" w:ascii="仿宋" w:hAnsi="仿宋" w:eastAsia="仿宋" w:cs="仿宋"/>
          <w:b w:val="0"/>
          <w:bCs/>
          <w:lang w:eastAsia="zh-CN"/>
        </w:rPr>
      </w:pPr>
      <w:bookmarkStart w:id="411" w:name="_Toc199443774"/>
      <w:bookmarkStart w:id="412" w:name="_Toc836920271"/>
      <w:bookmarkStart w:id="413" w:name="_Toc403717737"/>
      <w:bookmarkStart w:id="414" w:name="_Toc833354046_WPSOffice_Level3"/>
      <w:bookmarkStart w:id="415" w:name="_Toc1790444916"/>
      <w:bookmarkStart w:id="416" w:name="_Toc25113"/>
      <w:bookmarkStart w:id="417" w:name="_Toc30657"/>
      <w:bookmarkStart w:id="418" w:name="_Toc130033925"/>
      <w:bookmarkStart w:id="419" w:name="_Toc407469101"/>
      <w:r>
        <w:rPr>
          <w:rFonts w:hint="eastAsia" w:ascii="仿宋" w:hAnsi="仿宋" w:eastAsia="仿宋" w:cs="仿宋"/>
          <w:b w:val="0"/>
          <w:bCs/>
          <w:lang w:eastAsia="zh-CN"/>
        </w:rPr>
        <w:t>经济效益分析</w:t>
      </w:r>
      <w:bookmarkEnd w:id="411"/>
    </w:p>
    <w:p>
      <w:pPr>
        <w:pStyle w:val="5"/>
        <w:numPr>
          <w:ilvl w:val="0"/>
          <w:numId w:val="25"/>
        </w:numPr>
        <w:ind w:firstLineChars="0"/>
        <w:rPr>
          <w:rFonts w:hint="eastAsia" w:ascii="仿宋" w:hAnsi="仿宋" w:eastAsia="仿宋" w:cs="仿宋"/>
          <w:b w:val="0"/>
          <w:bCs/>
          <w:lang w:eastAsia="zh-CN"/>
        </w:rPr>
      </w:pPr>
      <w:r>
        <w:rPr>
          <w:rFonts w:hint="eastAsia" w:ascii="仿宋" w:hAnsi="仿宋" w:eastAsia="仿宋" w:cs="仿宋"/>
          <w:b w:val="0"/>
          <w:bCs/>
          <w:lang w:eastAsia="zh-CN"/>
        </w:rPr>
        <w:t>带动农业产业增收分析</w:t>
      </w:r>
    </w:p>
    <w:p>
      <w:pPr>
        <w:ind w:firstLine="640"/>
        <w:rPr>
          <w:rFonts w:hint="eastAsia" w:ascii="仿宋" w:hAnsi="仿宋" w:eastAsia="仿宋" w:cs="仿宋"/>
          <w:bCs/>
          <w:lang w:eastAsia="zh-CN"/>
        </w:rPr>
      </w:pPr>
      <w:r>
        <w:rPr>
          <w:rFonts w:hint="eastAsia" w:ascii="仿宋" w:hAnsi="仿宋" w:eastAsia="仿宋" w:cs="仿宋"/>
          <w:bCs/>
          <w:lang w:eastAsia="zh-CN"/>
        </w:rPr>
        <w:t>非遗特色美食往往依赖本地特色农产品作为原材料，大赛推广项目吸引众多美食商家参赛，订单量显著增长。例如</w:t>
      </w:r>
      <w:r>
        <w:rPr>
          <w:rFonts w:hint="eastAsia" w:ascii="仿宋" w:hAnsi="仿宋" w:eastAsia="仿宋" w:cs="仿宋"/>
          <w:bCs/>
          <w:lang w:val="en-US" w:eastAsia="zh-CN"/>
        </w:rPr>
        <w:t>用于</w:t>
      </w:r>
      <w:r>
        <w:rPr>
          <w:rFonts w:hint="eastAsia" w:ascii="仿宋" w:hAnsi="仿宋" w:eastAsia="仿宋" w:cs="仿宋"/>
          <w:bCs/>
          <w:lang w:eastAsia="zh-CN"/>
        </w:rPr>
        <w:t>参赛的非遗腊肉品牌，在大赛期间接到大量腊肉订单，带动当地农户生猪养殖规模扩大，生猪出栏量较去年同期</w:t>
      </w:r>
      <w:r>
        <w:rPr>
          <w:rFonts w:hint="eastAsia" w:ascii="仿宋" w:hAnsi="仿宋" w:eastAsia="仿宋" w:cs="仿宋"/>
          <w:bCs/>
          <w:lang w:val="en-US" w:eastAsia="zh-CN"/>
        </w:rPr>
        <w:t>有较大</w:t>
      </w:r>
      <w:r>
        <w:rPr>
          <w:rFonts w:hint="eastAsia" w:ascii="仿宋" w:hAnsi="仿宋" w:eastAsia="仿宋" w:cs="仿宋"/>
          <w:bCs/>
          <w:lang w:eastAsia="zh-CN"/>
        </w:rPr>
        <w:t>增长。同时，大赛促进了如花椒、八角等调味品以及粮油等配套农产品的销售，形成农产品产销良性循环。根据评分标准，该指标</w:t>
      </w:r>
      <w:r>
        <w:rPr>
          <w:rFonts w:hint="eastAsia" w:ascii="仿宋" w:hAnsi="仿宋" w:eastAsia="仿宋" w:cs="仿宋"/>
          <w:bCs/>
          <w:lang w:val="en-US" w:eastAsia="zh-CN"/>
        </w:rPr>
        <w:t>评定为优，得3.00</w:t>
      </w:r>
      <w:r>
        <w:rPr>
          <w:rFonts w:hint="eastAsia" w:ascii="仿宋" w:hAnsi="仿宋" w:eastAsia="仿宋" w:cs="仿宋"/>
          <w:bCs/>
          <w:lang w:eastAsia="zh-CN"/>
        </w:rPr>
        <w:t>分。</w:t>
      </w:r>
    </w:p>
    <w:p>
      <w:pPr>
        <w:pStyle w:val="5"/>
        <w:numPr>
          <w:ilvl w:val="0"/>
          <w:numId w:val="25"/>
        </w:numPr>
        <w:ind w:firstLineChars="0"/>
        <w:rPr>
          <w:rFonts w:ascii="仿宋" w:hAnsi="仿宋" w:eastAsia="仿宋" w:cs="仿宋"/>
          <w:b w:val="0"/>
          <w:bCs/>
          <w:lang w:eastAsia="zh-CN"/>
        </w:rPr>
      </w:pPr>
      <w:r>
        <w:rPr>
          <w:rFonts w:hint="eastAsia" w:ascii="仿宋" w:hAnsi="仿宋" w:eastAsia="仿宋" w:cs="仿宋"/>
          <w:b w:val="0"/>
          <w:bCs/>
          <w:lang w:val="en-US" w:eastAsia="zh-CN"/>
        </w:rPr>
        <w:t>促进旅游消费</w:t>
      </w:r>
      <w:r>
        <w:rPr>
          <w:rFonts w:hint="eastAsia" w:ascii="仿宋" w:hAnsi="仿宋" w:eastAsia="仿宋" w:cs="仿宋"/>
          <w:b w:val="0"/>
          <w:bCs/>
          <w:lang w:eastAsia="zh-CN"/>
        </w:rPr>
        <w:t>分析</w:t>
      </w:r>
    </w:p>
    <w:p>
      <w:pPr>
        <w:ind w:firstLine="612"/>
        <w:rPr>
          <w:rFonts w:hint="eastAsia" w:ascii="仿宋" w:hAnsi="仿宋" w:eastAsia="仿宋" w:cs="仿宋"/>
          <w:bCs/>
          <w:spacing w:val="-7"/>
          <w:lang w:eastAsia="zh-CN"/>
        </w:rPr>
      </w:pPr>
      <w:r>
        <w:rPr>
          <w:rFonts w:hint="eastAsia" w:ascii="仿宋" w:hAnsi="仿宋" w:eastAsia="仿宋" w:cs="仿宋"/>
          <w:bCs/>
          <w:spacing w:val="-7"/>
          <w:lang w:eastAsia="zh-CN"/>
        </w:rPr>
        <w:t>大赛作为文化旅游热点事件，吸引大量游客前往举办地。活动举办期间，</w:t>
      </w:r>
      <w:r>
        <w:rPr>
          <w:rFonts w:hint="eastAsia" w:ascii="仿宋" w:hAnsi="仿宋" w:eastAsia="仿宋" w:cs="仿宋"/>
          <w:bCs/>
          <w:spacing w:val="-7"/>
          <w:lang w:val="en-US" w:eastAsia="zh-CN"/>
        </w:rPr>
        <w:t>金口河区</w:t>
      </w:r>
      <w:r>
        <w:rPr>
          <w:rFonts w:hint="eastAsia" w:ascii="仿宋" w:hAnsi="仿宋" w:eastAsia="仿宋" w:cs="仿宋"/>
          <w:bCs/>
          <w:spacing w:val="-7"/>
          <w:lang w:eastAsia="zh-CN"/>
        </w:rPr>
        <w:t>周边酒店入住率</w:t>
      </w:r>
      <w:r>
        <w:rPr>
          <w:rFonts w:hint="eastAsia" w:ascii="仿宋" w:hAnsi="仿宋" w:eastAsia="仿宋" w:cs="仿宋"/>
          <w:bCs/>
          <w:spacing w:val="-7"/>
          <w:lang w:val="en-US" w:eastAsia="zh-CN"/>
        </w:rPr>
        <w:t>得到</w:t>
      </w:r>
      <w:r>
        <w:rPr>
          <w:rFonts w:hint="eastAsia" w:ascii="仿宋" w:hAnsi="仿宋" w:eastAsia="仿宋" w:cs="仿宋"/>
          <w:bCs/>
          <w:spacing w:val="-7"/>
          <w:lang w:eastAsia="zh-CN"/>
        </w:rPr>
        <w:t>提升，餐饮消费额增长。游客在品尝非遗美食的同时，还会参观当地景点、购买手工艺品等，拉动当地旅游综合收入大幅提升。根据评分标准，该指标</w:t>
      </w:r>
      <w:r>
        <w:rPr>
          <w:rFonts w:hint="eastAsia" w:ascii="仿宋" w:hAnsi="仿宋" w:eastAsia="仿宋" w:cs="仿宋"/>
          <w:bCs/>
          <w:spacing w:val="-7"/>
          <w:lang w:val="en-US" w:eastAsia="zh-CN"/>
        </w:rPr>
        <w:t>评定为优，得3.00</w:t>
      </w:r>
      <w:r>
        <w:rPr>
          <w:rFonts w:hint="eastAsia" w:ascii="仿宋" w:hAnsi="仿宋" w:eastAsia="仿宋" w:cs="仿宋"/>
          <w:bCs/>
          <w:spacing w:val="-7"/>
          <w:lang w:eastAsia="zh-CN"/>
        </w:rPr>
        <w:t>分。</w:t>
      </w:r>
    </w:p>
    <w:bookmarkEnd w:id="412"/>
    <w:bookmarkEnd w:id="413"/>
    <w:bookmarkEnd w:id="414"/>
    <w:bookmarkEnd w:id="415"/>
    <w:bookmarkEnd w:id="416"/>
    <w:bookmarkEnd w:id="417"/>
    <w:bookmarkEnd w:id="418"/>
    <w:bookmarkEnd w:id="419"/>
    <w:p>
      <w:pPr>
        <w:pStyle w:val="4"/>
        <w:numPr>
          <w:ilvl w:val="2"/>
          <w:numId w:val="23"/>
        </w:numPr>
        <w:ind w:firstLineChars="0"/>
        <w:rPr>
          <w:rFonts w:hint="eastAsia" w:ascii="仿宋" w:hAnsi="仿宋" w:eastAsia="仿宋" w:cs="仿宋"/>
          <w:b w:val="0"/>
          <w:bCs/>
          <w:lang w:eastAsia="zh-CN"/>
        </w:rPr>
      </w:pPr>
      <w:bookmarkStart w:id="420" w:name="_Toc199443775"/>
      <w:r>
        <w:rPr>
          <w:rFonts w:hint="eastAsia" w:ascii="仿宋" w:hAnsi="仿宋" w:eastAsia="仿宋" w:cs="仿宋"/>
          <w:b w:val="0"/>
          <w:bCs/>
          <w:lang w:val="en-US" w:eastAsia="zh-CN"/>
        </w:rPr>
        <w:t>生态</w:t>
      </w:r>
      <w:r>
        <w:rPr>
          <w:rFonts w:hint="eastAsia" w:ascii="仿宋" w:hAnsi="仿宋" w:eastAsia="仿宋" w:cs="仿宋"/>
          <w:b w:val="0"/>
          <w:bCs/>
          <w:lang w:eastAsia="zh-CN"/>
        </w:rPr>
        <w:t>效益分析</w:t>
      </w:r>
      <w:bookmarkEnd w:id="420"/>
    </w:p>
    <w:p>
      <w:pPr>
        <w:pStyle w:val="5"/>
        <w:numPr>
          <w:ilvl w:val="0"/>
          <w:numId w:val="26"/>
        </w:numPr>
        <w:ind w:firstLineChars="0"/>
        <w:rPr>
          <w:rFonts w:hint="eastAsia" w:ascii="仿宋" w:hAnsi="仿宋" w:eastAsia="仿宋" w:cs="仿宋"/>
          <w:b w:val="0"/>
          <w:bCs/>
          <w:lang w:eastAsia="zh-CN"/>
        </w:rPr>
      </w:pPr>
      <w:r>
        <w:rPr>
          <w:rFonts w:hint="eastAsia" w:ascii="仿宋" w:hAnsi="仿宋" w:eastAsia="仿宋" w:cs="仿宋"/>
          <w:b w:val="0"/>
          <w:bCs/>
          <w:lang w:val="en-US" w:eastAsia="zh-CN"/>
        </w:rPr>
        <w:t>推动绿色农业发展</w:t>
      </w:r>
      <w:r>
        <w:rPr>
          <w:rFonts w:hint="eastAsia" w:ascii="仿宋" w:hAnsi="仿宋" w:eastAsia="仿宋" w:cs="仿宋"/>
          <w:b w:val="0"/>
          <w:bCs/>
          <w:lang w:eastAsia="zh-CN"/>
        </w:rPr>
        <w:t>分析</w:t>
      </w:r>
    </w:p>
    <w:p>
      <w:pPr>
        <w:ind w:firstLine="612"/>
        <w:rPr>
          <w:rFonts w:hint="eastAsia" w:ascii="仿宋" w:hAnsi="仿宋" w:eastAsia="仿宋" w:cs="仿宋"/>
          <w:bCs/>
          <w:spacing w:val="-7"/>
          <w:lang w:eastAsia="zh-CN"/>
        </w:rPr>
      </w:pPr>
      <w:r>
        <w:rPr>
          <w:rFonts w:hint="eastAsia" w:ascii="仿宋" w:hAnsi="仿宋" w:eastAsia="仿宋" w:cs="仿宋"/>
          <w:bCs/>
          <w:spacing w:val="-7"/>
          <w:lang w:eastAsia="zh-CN"/>
        </w:rPr>
        <w:t>非遗美食对原材料品质要求高，促使农户采用绿色种植、养殖方式。为满足大赛参赛商家对优质食材的需求，当地政府引导农户减少化肥、农药使用，推广有机种植和生态养殖。活动开展后，当地有机农产品种植面积增加15%，生态养殖规模扩大20%，促进农业生态环境改善。根据评分标准，该指标</w:t>
      </w:r>
      <w:r>
        <w:rPr>
          <w:rFonts w:hint="eastAsia" w:ascii="仿宋" w:hAnsi="仿宋" w:eastAsia="仿宋" w:cs="仿宋"/>
          <w:bCs/>
          <w:spacing w:val="-7"/>
          <w:lang w:val="en-US" w:eastAsia="zh-CN"/>
        </w:rPr>
        <w:t>评定为优，得4.00</w:t>
      </w:r>
      <w:r>
        <w:rPr>
          <w:rFonts w:hint="eastAsia" w:ascii="仿宋" w:hAnsi="仿宋" w:eastAsia="仿宋" w:cs="仿宋"/>
          <w:bCs/>
          <w:spacing w:val="-7"/>
          <w:lang w:eastAsia="zh-CN"/>
        </w:rPr>
        <w:t>分。</w:t>
      </w:r>
    </w:p>
    <w:p>
      <w:pPr>
        <w:pStyle w:val="5"/>
        <w:numPr>
          <w:ilvl w:val="0"/>
          <w:numId w:val="26"/>
        </w:numPr>
        <w:ind w:firstLineChars="0"/>
        <w:rPr>
          <w:rFonts w:hint="eastAsia" w:ascii="仿宋" w:hAnsi="仿宋" w:eastAsia="仿宋" w:cs="仿宋"/>
          <w:b w:val="0"/>
          <w:bCs/>
          <w:lang w:eastAsia="zh-CN"/>
        </w:rPr>
      </w:pPr>
      <w:r>
        <w:rPr>
          <w:rFonts w:hint="eastAsia" w:ascii="仿宋" w:hAnsi="仿宋" w:eastAsia="仿宋" w:cs="仿宋"/>
          <w:b w:val="0"/>
          <w:bCs/>
          <w:lang w:val="en-US" w:eastAsia="zh-CN"/>
        </w:rPr>
        <w:t>倡导可持续消费理念</w:t>
      </w:r>
      <w:r>
        <w:rPr>
          <w:rFonts w:hint="eastAsia" w:ascii="仿宋" w:hAnsi="仿宋" w:eastAsia="仿宋" w:cs="仿宋"/>
          <w:b w:val="0"/>
          <w:bCs/>
          <w:lang w:eastAsia="zh-CN"/>
        </w:rPr>
        <w:t>分析</w:t>
      </w:r>
    </w:p>
    <w:p>
      <w:pPr>
        <w:ind w:firstLine="612"/>
        <w:rPr>
          <w:rFonts w:hint="eastAsia" w:ascii="仿宋" w:hAnsi="仿宋" w:eastAsia="仿宋" w:cs="仿宋"/>
          <w:bCs/>
          <w:spacing w:val="-7"/>
          <w:lang w:eastAsia="zh-CN"/>
        </w:rPr>
      </w:pPr>
      <w:r>
        <w:rPr>
          <w:rFonts w:hint="eastAsia" w:ascii="仿宋" w:hAnsi="仿宋" w:eastAsia="仿宋" w:cs="仿宋"/>
          <w:bCs/>
          <w:spacing w:val="-7"/>
          <w:lang w:eastAsia="zh-CN"/>
        </w:rPr>
        <w:t>在大赛推广中，强调非遗美食的传统制作工艺和环保理念，引导消费者选择绿色、健康、可持续的食品。活动现场设置环保宣传展位，发放宣传资料，推广可降解餐具使用，倡导节约粮食，培养消费者的环保意识和可持续消费习惯。</w:t>
      </w:r>
      <w:r>
        <w:rPr>
          <w:rFonts w:ascii="仿宋" w:hAnsi="仿宋" w:eastAsia="仿宋" w:cs="仿宋"/>
          <w:bCs/>
          <w:spacing w:val="-7"/>
          <w:lang w:eastAsia="zh-CN"/>
        </w:rPr>
        <w:t>根据评分标准，该指标</w:t>
      </w:r>
      <w:r>
        <w:rPr>
          <w:rFonts w:hint="eastAsia" w:ascii="仿宋" w:hAnsi="仿宋" w:eastAsia="仿宋" w:cs="仿宋"/>
          <w:bCs/>
          <w:spacing w:val="-7"/>
          <w:lang w:val="en-US" w:eastAsia="zh-CN"/>
        </w:rPr>
        <w:t>评定为优，得4.00</w:t>
      </w:r>
      <w:r>
        <w:rPr>
          <w:rFonts w:ascii="仿宋" w:hAnsi="仿宋" w:eastAsia="仿宋" w:cs="仿宋"/>
          <w:bCs/>
          <w:spacing w:val="-7"/>
          <w:lang w:eastAsia="zh-CN"/>
        </w:rPr>
        <w:t>分。</w:t>
      </w:r>
    </w:p>
    <w:p>
      <w:pPr>
        <w:pStyle w:val="4"/>
        <w:numPr>
          <w:ilvl w:val="2"/>
          <w:numId w:val="23"/>
        </w:numPr>
        <w:ind w:firstLineChars="0"/>
        <w:rPr>
          <w:rFonts w:hint="eastAsia" w:ascii="仿宋" w:hAnsi="仿宋" w:eastAsia="仿宋" w:cs="仿宋"/>
          <w:b w:val="0"/>
          <w:bCs/>
          <w:lang w:eastAsia="zh-CN"/>
        </w:rPr>
      </w:pPr>
      <w:bookmarkStart w:id="421" w:name="_Toc199443776"/>
      <w:bookmarkStart w:id="422" w:name="_Toc1466841448"/>
      <w:bookmarkStart w:id="423" w:name="_Toc4434"/>
      <w:bookmarkStart w:id="424" w:name="_Toc1383164886"/>
      <w:bookmarkStart w:id="425" w:name="_Toc7830224"/>
      <w:bookmarkStart w:id="426" w:name="_Toc293105388_WPSOffice_Level3"/>
      <w:bookmarkStart w:id="427" w:name="_Toc101106847"/>
      <w:r>
        <w:rPr>
          <w:rFonts w:hint="eastAsia" w:ascii="仿宋" w:hAnsi="仿宋" w:eastAsia="仿宋" w:cs="仿宋"/>
          <w:b w:val="0"/>
          <w:bCs/>
          <w:lang w:val="en-US" w:eastAsia="zh-CN"/>
        </w:rPr>
        <w:t>满意度</w:t>
      </w:r>
      <w:r>
        <w:rPr>
          <w:rFonts w:hint="eastAsia" w:ascii="仿宋" w:hAnsi="仿宋" w:eastAsia="仿宋" w:cs="仿宋"/>
          <w:b w:val="0"/>
          <w:bCs/>
          <w:lang w:eastAsia="zh-CN"/>
        </w:rPr>
        <w:t>分析</w:t>
      </w:r>
      <w:bookmarkEnd w:id="421"/>
    </w:p>
    <w:p>
      <w:pPr>
        <w:pStyle w:val="5"/>
        <w:numPr>
          <w:numId w:val="0"/>
        </w:numPr>
        <w:ind w:left="643" w:leftChars="0"/>
        <w:rPr>
          <w:rFonts w:hint="eastAsia" w:ascii="仿宋" w:hAnsi="仿宋" w:eastAsia="仿宋" w:cs="仿宋"/>
          <w:b w:val="0"/>
          <w:bCs/>
          <w:spacing w:val="-7"/>
          <w:lang w:eastAsia="zh-CN"/>
        </w:rPr>
      </w:pPr>
      <w:r>
        <w:rPr>
          <w:rFonts w:hint="eastAsia" w:ascii="仿宋" w:hAnsi="仿宋" w:eastAsia="仿宋" w:cs="仿宋"/>
          <w:b w:val="0"/>
          <w:bCs/>
          <w:spacing w:val="-7"/>
          <w:lang w:val="en-US" w:eastAsia="zh-CN"/>
        </w:rPr>
        <w:t>服务对象满意度</w:t>
      </w:r>
      <w:r>
        <w:rPr>
          <w:rFonts w:hint="eastAsia" w:ascii="仿宋" w:hAnsi="仿宋" w:eastAsia="仿宋" w:cs="仿宋"/>
          <w:b w:val="0"/>
          <w:bCs/>
          <w:spacing w:val="-7"/>
          <w:lang w:eastAsia="zh-CN"/>
        </w:rPr>
        <w:t>分析</w:t>
      </w:r>
    </w:p>
    <w:p>
      <w:pPr>
        <w:ind w:firstLine="612"/>
        <w:rPr>
          <w:rFonts w:hint="eastAsia" w:ascii="仿宋" w:hAnsi="仿宋" w:eastAsia="仿宋" w:cs="仿宋"/>
          <w:bCs/>
          <w:spacing w:val="-7"/>
          <w:lang w:eastAsia="zh-CN"/>
        </w:rPr>
      </w:pPr>
      <w:r>
        <w:rPr>
          <w:rFonts w:hint="eastAsia" w:ascii="仿宋" w:hAnsi="仿宋" w:eastAsia="仿宋" w:cs="仿宋"/>
          <w:bCs/>
          <w:spacing w:val="-7"/>
          <w:lang w:eastAsia="zh-CN"/>
        </w:rPr>
        <w:t>本次绩效评价</w:t>
      </w:r>
      <w:r>
        <w:rPr>
          <w:rFonts w:hint="eastAsia" w:ascii="仿宋" w:hAnsi="仿宋" w:eastAsia="仿宋" w:cs="仿宋"/>
          <w:bCs/>
          <w:spacing w:val="-7"/>
          <w:lang w:val="en-US" w:eastAsia="zh-CN"/>
        </w:rPr>
        <w:t>我们共取得满意度调查问卷15份，满意度达100%</w:t>
      </w:r>
      <w:r>
        <w:rPr>
          <w:rFonts w:hint="eastAsia" w:ascii="仿宋" w:hAnsi="仿宋" w:eastAsia="仿宋" w:cs="仿宋"/>
          <w:bCs/>
          <w:spacing w:val="-7"/>
          <w:lang w:eastAsia="zh-CN"/>
        </w:rPr>
        <w:t>。根据评分标准，该指标</w:t>
      </w:r>
      <w:r>
        <w:rPr>
          <w:rFonts w:hint="eastAsia" w:ascii="仿宋" w:hAnsi="仿宋" w:eastAsia="仿宋" w:cs="仿宋"/>
          <w:bCs/>
          <w:spacing w:val="-7"/>
          <w:lang w:val="en-US" w:eastAsia="zh-CN"/>
        </w:rPr>
        <w:t>得满分5.00</w:t>
      </w:r>
      <w:r>
        <w:rPr>
          <w:rFonts w:hint="eastAsia" w:ascii="仿宋" w:hAnsi="仿宋" w:eastAsia="仿宋" w:cs="仿宋"/>
          <w:bCs/>
          <w:spacing w:val="-7"/>
          <w:lang w:eastAsia="zh-CN"/>
        </w:rPr>
        <w:t>分。</w:t>
      </w:r>
    </w:p>
    <w:bookmarkEnd w:id="422"/>
    <w:bookmarkEnd w:id="423"/>
    <w:bookmarkEnd w:id="424"/>
    <w:bookmarkEnd w:id="425"/>
    <w:bookmarkEnd w:id="426"/>
    <w:bookmarkEnd w:id="427"/>
    <w:p>
      <w:pPr>
        <w:pStyle w:val="2"/>
        <w:numPr>
          <w:numId w:val="0"/>
        </w:numPr>
        <w:spacing w:before="0" w:beforeLines="0" w:after="0" w:afterLines="0"/>
        <w:ind w:leftChars="0" w:firstLine="640" w:firstLineChars="200"/>
        <w:rPr>
          <w:rFonts w:hint="eastAsia" w:ascii="黑体" w:hAnsi="黑体" w:eastAsia="黑体" w:cs="黑体"/>
          <w:b w:val="0"/>
          <w:bCs/>
          <w:lang w:eastAsia="zh-CN"/>
        </w:rPr>
      </w:pPr>
      <w:bookmarkStart w:id="428" w:name="_Toc341760227"/>
      <w:bookmarkStart w:id="429" w:name="_Toc132480971"/>
      <w:bookmarkStart w:id="430" w:name="_Toc643212752"/>
      <w:bookmarkStart w:id="431" w:name="_Toc1147619601_WPSOffice_Level1"/>
      <w:bookmarkStart w:id="432" w:name="_Toc7946"/>
      <w:bookmarkStart w:id="433" w:name="_Toc91948976"/>
      <w:bookmarkStart w:id="434" w:name="_Toc606072301"/>
      <w:bookmarkStart w:id="435" w:name="_Toc23803"/>
      <w:bookmarkStart w:id="436" w:name="_Toc179658330"/>
      <w:bookmarkStart w:id="437" w:name="_Toc199443777"/>
      <w:r>
        <w:rPr>
          <w:rFonts w:hint="eastAsia" w:ascii="黑体" w:hAnsi="黑体" w:eastAsia="黑体" w:cs="黑体"/>
          <w:b w:val="0"/>
          <w:bCs/>
          <w:lang w:eastAsia="zh-CN"/>
        </w:rPr>
        <w:t>五、存在的问题及</w:t>
      </w:r>
      <w:bookmarkEnd w:id="428"/>
      <w:bookmarkEnd w:id="429"/>
      <w:bookmarkEnd w:id="430"/>
      <w:bookmarkEnd w:id="431"/>
      <w:bookmarkEnd w:id="432"/>
      <w:bookmarkEnd w:id="433"/>
      <w:bookmarkEnd w:id="434"/>
      <w:r>
        <w:rPr>
          <w:rFonts w:hint="eastAsia" w:ascii="黑体" w:hAnsi="黑体" w:eastAsia="黑体" w:cs="黑体"/>
          <w:b w:val="0"/>
          <w:bCs/>
          <w:lang w:eastAsia="zh-CN"/>
        </w:rPr>
        <w:t>建议</w:t>
      </w:r>
      <w:bookmarkEnd w:id="435"/>
      <w:bookmarkEnd w:id="436"/>
      <w:bookmarkEnd w:id="437"/>
    </w:p>
    <w:p>
      <w:pPr>
        <w:pStyle w:val="4"/>
        <w:ind w:firstLine="640"/>
        <w:rPr>
          <w:rFonts w:hint="eastAsia" w:ascii="仿宋" w:hAnsi="仿宋" w:eastAsia="仿宋" w:cs="仿宋"/>
          <w:b w:val="0"/>
          <w:bCs/>
          <w:lang w:eastAsia="zh-CN"/>
        </w:rPr>
      </w:pPr>
      <w:bookmarkStart w:id="438" w:name="_Toc199443778"/>
      <w:bookmarkStart w:id="439" w:name="_Toc581087941"/>
      <w:bookmarkStart w:id="440" w:name="_Toc1365763903"/>
      <w:bookmarkStart w:id="441" w:name="_Toc1535266130"/>
      <w:bookmarkStart w:id="442" w:name="_Toc22958"/>
      <w:bookmarkStart w:id="443" w:name="_Toc32406"/>
      <w:bookmarkStart w:id="444" w:name="_Toc935836209"/>
      <w:bookmarkStart w:id="445" w:name="_Toc2042253545_WPSOffice_Level3"/>
      <w:r>
        <w:rPr>
          <w:rFonts w:hint="eastAsia" w:ascii="楷体" w:hAnsi="楷体" w:eastAsia="楷体" w:cs="楷体"/>
          <w:b w:val="0"/>
          <w:bCs/>
          <w:lang w:val="en-US" w:eastAsia="zh-CN"/>
        </w:rPr>
        <w:t>预算清单与支出清单存在差异，预算编制工作有待加强</w:t>
      </w:r>
      <w:bookmarkEnd w:id="438"/>
    </w:p>
    <w:p>
      <w:pPr>
        <w:ind w:firstLine="612"/>
        <w:rPr>
          <w:rFonts w:hint="eastAsia" w:ascii="仿宋" w:hAnsi="仿宋" w:eastAsia="仿宋" w:cs="仿宋"/>
          <w:bCs/>
          <w:spacing w:val="-7"/>
          <w:lang w:val="en-US" w:eastAsia="zh-CN"/>
        </w:rPr>
      </w:pPr>
      <w:r>
        <w:rPr>
          <w:rFonts w:hint="eastAsia" w:ascii="仿宋" w:hAnsi="仿宋" w:eastAsia="仿宋" w:cs="仿宋"/>
          <w:bCs/>
          <w:spacing w:val="-7"/>
          <w:lang w:eastAsia="zh-CN"/>
        </w:rPr>
        <w:t>问题：</w:t>
      </w:r>
      <w:r>
        <w:rPr>
          <w:rFonts w:hint="eastAsia" w:ascii="仿宋" w:hAnsi="仿宋" w:eastAsia="仿宋" w:cs="仿宋"/>
          <w:bCs/>
          <w:spacing w:val="-7"/>
          <w:lang w:val="en-US" w:eastAsia="zh-CN"/>
        </w:rPr>
        <w:t>编制的经费预算清单</w:t>
      </w:r>
      <w:r>
        <w:rPr>
          <w:rFonts w:hint="eastAsia" w:ascii="仿宋" w:hAnsi="仿宋" w:eastAsia="仿宋" w:cs="仿宋"/>
          <w:bCs/>
          <w:spacing w:val="-7"/>
          <w:lang w:eastAsia="zh-CN"/>
        </w:rPr>
        <w:t>与</w:t>
      </w:r>
      <w:r>
        <w:rPr>
          <w:rFonts w:hint="eastAsia" w:ascii="仿宋" w:hAnsi="仿宋" w:eastAsia="仿宋" w:cs="仿宋"/>
          <w:bCs/>
          <w:spacing w:val="-7"/>
          <w:lang w:val="en-US" w:eastAsia="zh-CN"/>
        </w:rPr>
        <w:t>实际支出清单存在一定差异</w:t>
      </w:r>
      <w:r>
        <w:rPr>
          <w:rFonts w:hint="eastAsia" w:ascii="仿宋" w:hAnsi="仿宋" w:eastAsia="仿宋" w:cs="仿宋"/>
          <w:bCs/>
          <w:spacing w:val="-7"/>
          <w:lang w:eastAsia="zh-CN"/>
        </w:rPr>
        <w:t>，</w:t>
      </w:r>
      <w:r>
        <w:rPr>
          <w:rFonts w:hint="eastAsia" w:ascii="仿宋" w:hAnsi="仿宋" w:eastAsia="仿宋" w:cs="仿宋"/>
          <w:bCs/>
          <w:spacing w:val="-7"/>
          <w:lang w:val="en-US" w:eastAsia="zh-CN"/>
        </w:rPr>
        <w:t>协议附件的实施方案中预算明细里宣传画册设计、印刷未能完成。预算额度编制依据不够充分、资金分配依据存在瑕疵。</w:t>
      </w:r>
    </w:p>
    <w:p>
      <w:pPr>
        <w:ind w:firstLine="612"/>
        <w:rPr>
          <w:rFonts w:hint="eastAsia" w:ascii="仿宋" w:hAnsi="仿宋" w:eastAsia="仿宋" w:cs="仿宋"/>
          <w:bCs/>
          <w:lang w:eastAsia="zh-CN"/>
        </w:rPr>
      </w:pPr>
      <w:r>
        <w:rPr>
          <w:rFonts w:hint="eastAsia" w:ascii="仿宋" w:hAnsi="仿宋" w:eastAsia="仿宋" w:cs="仿宋"/>
          <w:bCs/>
          <w:spacing w:val="-7"/>
          <w:lang w:eastAsia="zh-CN"/>
        </w:rPr>
        <w:t>建议：在资金分配前，组织专业人员对各项预算支出进行全面评估，审核预算的合理性和必要性，优先保障关键项目和重点环节的资金需求。允许预算在一定范围内根据项目实际进展和市场变化进行动态调整，设置合理的预算调整审批流程，确保调整的合规性和必要性。在项目执行过程中，加强对经费使用情况的监督检查，定期对比预算清单和实际支出清单，及时发现并解决差异问题。加强相关部门之间的沟通协作，确保项目信息及时共享，使预算编制和执行更加贴合实际情况。</w:t>
      </w:r>
    </w:p>
    <w:bookmarkEnd w:id="439"/>
    <w:bookmarkEnd w:id="440"/>
    <w:bookmarkEnd w:id="441"/>
    <w:bookmarkEnd w:id="442"/>
    <w:bookmarkEnd w:id="443"/>
    <w:bookmarkEnd w:id="444"/>
    <w:bookmarkEnd w:id="445"/>
    <w:p>
      <w:pPr>
        <w:pStyle w:val="2"/>
        <w:numPr>
          <w:numId w:val="0"/>
        </w:numPr>
        <w:spacing w:before="0" w:beforeLines="0" w:after="0" w:afterLines="0"/>
        <w:ind w:leftChars="0"/>
        <w:rPr>
          <w:rFonts w:hint="eastAsia" w:ascii="仿宋" w:hAnsi="仿宋" w:eastAsia="仿宋" w:cs="仿宋"/>
          <w:b w:val="0"/>
          <w:bCs/>
        </w:rPr>
      </w:pPr>
    </w:p>
    <w:p>
      <w:pPr>
        <w:ind w:left="1600" w:leftChars="200" w:hanging="960" w:hangingChars="300"/>
        <w:rPr>
          <w:rFonts w:hint="eastAsia" w:ascii="仿宋" w:hAnsi="仿宋" w:eastAsia="仿宋" w:cs="仿宋"/>
          <w:bCs/>
          <w:lang w:eastAsia="zh-CN"/>
        </w:rPr>
      </w:pPr>
      <w:bookmarkStart w:id="446" w:name="_Toc1165137498"/>
      <w:bookmarkStart w:id="447" w:name="_Toc1417274258"/>
      <w:bookmarkStart w:id="448" w:name="_Toc14379"/>
      <w:bookmarkStart w:id="449" w:name="_Toc685187359"/>
      <w:bookmarkStart w:id="450" w:name="_Toc124352101"/>
      <w:bookmarkStart w:id="451" w:name="_Toc487364833_WPSOffice_Level2"/>
      <w:bookmarkStart w:id="452" w:name="_Toc20030"/>
      <w:bookmarkStart w:id="453" w:name="_Toc132480978"/>
      <w:r>
        <w:rPr>
          <w:rFonts w:hint="eastAsia" w:ascii="仿宋" w:hAnsi="仿宋" w:eastAsia="仿宋" w:cs="仿宋"/>
          <w:bCs/>
          <w:lang w:eastAsia="zh-CN"/>
        </w:rPr>
        <w:t>附件</w:t>
      </w:r>
      <w:bookmarkEnd w:id="446"/>
      <w:bookmarkEnd w:id="447"/>
      <w:bookmarkEnd w:id="448"/>
      <w:bookmarkEnd w:id="449"/>
      <w:bookmarkEnd w:id="450"/>
      <w:bookmarkEnd w:id="451"/>
      <w:bookmarkEnd w:id="452"/>
      <w:r>
        <w:rPr>
          <w:rFonts w:hint="eastAsia" w:ascii="仿宋" w:hAnsi="仿宋" w:eastAsia="仿宋" w:cs="仿宋"/>
          <w:bCs/>
          <w:lang w:eastAsia="zh-CN"/>
        </w:rPr>
        <w:t>：农业产业推广：第二届非遗特色美食大赛及推广项目绩效评价指标体系及综合评分表</w:t>
      </w:r>
      <w:bookmarkEnd w:id="453"/>
    </w:p>
    <w:p>
      <w:pPr>
        <w:ind w:left="1600" w:leftChars="200" w:hanging="960" w:hangingChars="300"/>
        <w:rPr>
          <w:rFonts w:hint="eastAsia" w:ascii="仿宋" w:hAnsi="仿宋" w:eastAsia="仿宋" w:cs="仿宋"/>
          <w:bCs/>
          <w:lang w:eastAsia="zh-CN"/>
        </w:rPr>
      </w:pPr>
    </w:p>
    <w:p>
      <w:pPr>
        <w:ind w:left="1600" w:leftChars="200" w:hanging="960" w:hangingChars="300"/>
        <w:rPr>
          <w:rFonts w:hint="eastAsia" w:ascii="仿宋" w:hAnsi="仿宋" w:eastAsia="仿宋" w:cs="仿宋"/>
          <w:bCs/>
          <w:lang w:eastAsia="zh-CN"/>
        </w:rPr>
        <w:sectPr>
          <w:headerReference r:id="rId13" w:type="default"/>
          <w:footerReference r:id="rId14" w:type="default"/>
          <w:pgSz w:w="11906" w:h="16838"/>
          <w:pgMar w:top="1440" w:right="1803" w:bottom="1440" w:left="1803" w:header="850" w:footer="1191" w:gutter="0"/>
          <w:paperSrc/>
          <w:pgNumType w:fmt="numberInDash"/>
          <w:cols w:space="0" w:num="1"/>
          <w:rtlGutter w:val="0"/>
          <w:docGrid w:type="lines" w:linePitch="436" w:charSpace="0"/>
        </w:sectPr>
      </w:pPr>
    </w:p>
    <w:p>
      <w:pPr>
        <w:pStyle w:val="3"/>
        <w:spacing w:before="0" w:beforeLines="0" w:after="0" w:afterLines="0"/>
        <w:ind w:firstLine="0" w:firstLineChars="0"/>
        <w:rPr>
          <w:rFonts w:hint="eastAsia" w:ascii="黑体" w:hAnsi="黑体" w:eastAsia="黑体" w:cs="黑体"/>
          <w:b w:val="0"/>
          <w:bCs/>
          <w:sz w:val="32"/>
          <w:szCs w:val="32"/>
          <w:lang w:eastAsia="zh-CN"/>
        </w:rPr>
      </w:pPr>
      <w:bookmarkStart w:id="454" w:name="_Toc27796"/>
      <w:bookmarkStart w:id="455" w:name="_Toc179658332"/>
      <w:bookmarkStart w:id="456" w:name="_Toc199443780"/>
      <w:r>
        <w:rPr>
          <w:rFonts w:hint="eastAsia" w:ascii="黑体" w:hAnsi="黑体" w:eastAsia="黑体" w:cs="黑体"/>
          <w:b w:val="0"/>
          <w:bCs/>
          <w:sz w:val="32"/>
          <w:szCs w:val="32"/>
          <w:lang w:eastAsia="zh-CN"/>
        </w:rPr>
        <w:t>附件</w:t>
      </w:r>
      <w:bookmarkEnd w:id="454"/>
      <w:bookmarkEnd w:id="455"/>
      <w:bookmarkEnd w:id="456"/>
      <w:bookmarkStart w:id="461" w:name="_GoBack"/>
      <w:bookmarkEnd w:id="461"/>
    </w:p>
    <w:p>
      <w:pPr>
        <w:pStyle w:val="3"/>
        <w:spacing w:before="0" w:beforeLines="0" w:after="0" w:afterLines="0"/>
        <w:ind w:firstLine="562"/>
        <w:jc w:val="center"/>
        <w:rPr>
          <w:rFonts w:hint="eastAsia"/>
          <w:sz w:val="28"/>
          <w:szCs w:val="28"/>
          <w:lang w:eastAsia="zh-CN"/>
        </w:rPr>
      </w:pPr>
      <w:bookmarkStart w:id="457" w:name="_Toc8349"/>
      <w:bookmarkStart w:id="458" w:name="_Toc179658333"/>
      <w:bookmarkStart w:id="459" w:name="_Toc199443781"/>
      <w:r>
        <w:rPr>
          <w:rFonts w:hint="eastAsia" w:ascii="Times New Roman" w:hAnsi="Times New Roman" w:eastAsia="宋体"/>
          <w:sz w:val="28"/>
          <w:szCs w:val="28"/>
          <w:lang w:eastAsia="zh-CN"/>
        </w:rPr>
        <w:t>农业产业推广：第二届非遗特色美食大赛及推广项目</w:t>
      </w:r>
      <w:r>
        <w:rPr>
          <w:rFonts w:ascii="Times New Roman" w:hAnsi="Times New Roman" w:eastAsia="宋体"/>
          <w:sz w:val="28"/>
          <w:szCs w:val="28"/>
          <w:lang w:eastAsia="zh-CN"/>
        </w:rPr>
        <w:t>绩效评价指标体系及综合评分表</w:t>
      </w:r>
      <w:bookmarkEnd w:id="457"/>
      <w:bookmarkEnd w:id="458"/>
      <w:bookmarkEnd w:id="459"/>
    </w:p>
    <w:tbl>
      <w:tblPr>
        <w:tblStyle w:val="22"/>
        <w:tblW w:w="516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889"/>
        <w:gridCol w:w="892"/>
        <w:gridCol w:w="741"/>
        <w:gridCol w:w="2746"/>
        <w:gridCol w:w="2420"/>
        <w:gridCol w:w="4234"/>
        <w:gridCol w:w="816"/>
        <w:gridCol w:w="1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805" w:type="dxa"/>
            <w:shd w:val="clear" w:color="auto" w:fill="BEBEBE"/>
            <w:noWrap w:val="0"/>
            <w:vAlign w:val="center"/>
          </w:tcPr>
          <w:p>
            <w:pPr>
              <w:widowControl/>
              <w:spacing w:line="360" w:lineRule="exact"/>
              <w:ind w:firstLine="0" w:firstLineChars="0"/>
              <w:jc w:val="center"/>
              <w:textAlignment w:val="center"/>
              <w:rPr>
                <w:rFonts w:eastAsia="宋体"/>
                <w:b/>
                <w:bCs/>
                <w:sz w:val="24"/>
                <w:lang w:eastAsia="zh-CN" w:bidi="ar-SA"/>
              </w:rPr>
            </w:pPr>
            <w:bookmarkStart w:id="460" w:name="_Hlk179648500"/>
            <w:r>
              <w:rPr>
                <w:rFonts w:eastAsia="宋体"/>
                <w:b/>
                <w:bCs/>
                <w:sz w:val="24"/>
                <w:lang w:eastAsia="zh-CN" w:bidi="ar"/>
              </w:rPr>
              <w:t>一级指标</w:t>
            </w:r>
          </w:p>
        </w:tc>
        <w:tc>
          <w:tcPr>
            <w:tcW w:w="889" w:type="dxa"/>
            <w:shd w:val="clear" w:color="auto" w:fill="BEBEBE"/>
            <w:noWrap w:val="0"/>
            <w:vAlign w:val="center"/>
          </w:tcPr>
          <w:p>
            <w:pPr>
              <w:widowControl/>
              <w:spacing w:line="360" w:lineRule="exact"/>
              <w:ind w:firstLine="0" w:firstLineChars="0"/>
              <w:jc w:val="center"/>
              <w:textAlignment w:val="center"/>
              <w:rPr>
                <w:rFonts w:eastAsia="宋体"/>
                <w:b/>
                <w:bCs/>
                <w:sz w:val="24"/>
                <w:lang w:eastAsia="zh-CN" w:bidi="ar-SA"/>
              </w:rPr>
            </w:pPr>
            <w:r>
              <w:rPr>
                <w:rFonts w:eastAsia="宋体"/>
                <w:b/>
                <w:bCs/>
                <w:sz w:val="24"/>
                <w:lang w:eastAsia="zh-CN" w:bidi="ar"/>
              </w:rPr>
              <w:t>二级指标</w:t>
            </w:r>
          </w:p>
        </w:tc>
        <w:tc>
          <w:tcPr>
            <w:tcW w:w="893" w:type="dxa"/>
            <w:shd w:val="clear" w:color="auto" w:fill="BEBEBE"/>
            <w:noWrap w:val="0"/>
            <w:vAlign w:val="center"/>
          </w:tcPr>
          <w:p>
            <w:pPr>
              <w:widowControl/>
              <w:spacing w:line="360" w:lineRule="exact"/>
              <w:ind w:firstLine="0" w:firstLineChars="0"/>
              <w:jc w:val="center"/>
              <w:textAlignment w:val="center"/>
              <w:rPr>
                <w:rFonts w:eastAsia="宋体"/>
                <w:b/>
                <w:bCs/>
                <w:sz w:val="24"/>
                <w:lang w:eastAsia="zh-CN" w:bidi="ar-SA"/>
              </w:rPr>
            </w:pPr>
            <w:r>
              <w:rPr>
                <w:rFonts w:eastAsia="宋体"/>
                <w:b/>
                <w:bCs/>
                <w:sz w:val="24"/>
                <w:lang w:eastAsia="zh-CN" w:bidi="ar"/>
              </w:rPr>
              <w:t>三级指标</w:t>
            </w:r>
          </w:p>
        </w:tc>
        <w:tc>
          <w:tcPr>
            <w:tcW w:w="741" w:type="dxa"/>
            <w:shd w:val="clear" w:color="auto" w:fill="BEBEBE"/>
            <w:noWrap w:val="0"/>
            <w:vAlign w:val="center"/>
          </w:tcPr>
          <w:p>
            <w:pPr>
              <w:widowControl/>
              <w:spacing w:line="360" w:lineRule="exact"/>
              <w:ind w:firstLine="0" w:firstLineChars="0"/>
              <w:jc w:val="center"/>
              <w:textAlignment w:val="center"/>
              <w:rPr>
                <w:rFonts w:eastAsia="宋体"/>
                <w:b/>
                <w:bCs/>
                <w:sz w:val="24"/>
                <w:lang w:eastAsia="zh-CN" w:bidi="ar-SA"/>
              </w:rPr>
            </w:pPr>
            <w:r>
              <w:rPr>
                <w:rFonts w:eastAsia="宋体"/>
                <w:b/>
                <w:bCs/>
                <w:sz w:val="24"/>
                <w:lang w:eastAsia="zh-CN" w:bidi="ar"/>
              </w:rPr>
              <w:t>分值</w:t>
            </w:r>
          </w:p>
        </w:tc>
        <w:tc>
          <w:tcPr>
            <w:tcW w:w="2746" w:type="dxa"/>
            <w:shd w:val="clear" w:color="auto" w:fill="BEBEBE"/>
            <w:noWrap w:val="0"/>
            <w:vAlign w:val="center"/>
          </w:tcPr>
          <w:p>
            <w:pPr>
              <w:widowControl/>
              <w:spacing w:line="360" w:lineRule="exact"/>
              <w:ind w:firstLine="0" w:firstLineChars="0"/>
              <w:jc w:val="center"/>
              <w:textAlignment w:val="center"/>
              <w:rPr>
                <w:rFonts w:eastAsia="宋体"/>
                <w:b/>
                <w:bCs/>
                <w:sz w:val="24"/>
                <w:lang w:eastAsia="zh-CN" w:bidi="ar-SA"/>
              </w:rPr>
            </w:pPr>
            <w:r>
              <w:rPr>
                <w:rFonts w:eastAsia="宋体"/>
                <w:b/>
                <w:bCs/>
                <w:sz w:val="24"/>
                <w:lang w:eastAsia="zh-CN" w:bidi="ar"/>
              </w:rPr>
              <w:t>指标说明</w:t>
            </w:r>
          </w:p>
        </w:tc>
        <w:tc>
          <w:tcPr>
            <w:tcW w:w="2420" w:type="dxa"/>
            <w:shd w:val="clear" w:color="auto" w:fill="BEBEBE"/>
            <w:noWrap w:val="0"/>
            <w:vAlign w:val="center"/>
          </w:tcPr>
          <w:p>
            <w:pPr>
              <w:widowControl/>
              <w:spacing w:line="360" w:lineRule="exact"/>
              <w:ind w:firstLine="0" w:firstLineChars="0"/>
              <w:jc w:val="center"/>
              <w:textAlignment w:val="center"/>
              <w:rPr>
                <w:rFonts w:eastAsia="宋体"/>
                <w:b/>
                <w:bCs/>
                <w:sz w:val="24"/>
                <w:lang w:eastAsia="zh-CN" w:bidi="ar-SA"/>
              </w:rPr>
            </w:pPr>
            <w:r>
              <w:rPr>
                <w:rFonts w:eastAsia="宋体"/>
                <w:b/>
                <w:bCs/>
                <w:sz w:val="24"/>
                <w:lang w:eastAsia="zh-CN" w:bidi="ar"/>
              </w:rPr>
              <w:t>评分标准</w:t>
            </w:r>
          </w:p>
        </w:tc>
        <w:tc>
          <w:tcPr>
            <w:tcW w:w="4234" w:type="dxa"/>
            <w:shd w:val="clear" w:color="auto" w:fill="BEBEBE"/>
            <w:noWrap w:val="0"/>
            <w:vAlign w:val="center"/>
          </w:tcPr>
          <w:p>
            <w:pPr>
              <w:widowControl/>
              <w:spacing w:line="360" w:lineRule="exact"/>
              <w:ind w:firstLine="0" w:firstLineChars="0"/>
              <w:jc w:val="center"/>
              <w:textAlignment w:val="center"/>
              <w:rPr>
                <w:rFonts w:eastAsia="宋体"/>
                <w:b/>
                <w:bCs/>
                <w:sz w:val="24"/>
                <w:lang w:eastAsia="zh-CN" w:bidi="ar-SA"/>
              </w:rPr>
            </w:pPr>
            <w:r>
              <w:rPr>
                <w:rFonts w:eastAsia="宋体"/>
                <w:b/>
                <w:bCs/>
                <w:sz w:val="24"/>
                <w:lang w:eastAsia="zh-CN" w:bidi="ar"/>
              </w:rPr>
              <w:t>评分过程</w:t>
            </w:r>
          </w:p>
        </w:tc>
        <w:tc>
          <w:tcPr>
            <w:tcW w:w="816" w:type="dxa"/>
            <w:shd w:val="clear" w:color="auto" w:fill="BEBEBE"/>
            <w:noWrap w:val="0"/>
            <w:vAlign w:val="center"/>
          </w:tcPr>
          <w:p>
            <w:pPr>
              <w:widowControl/>
              <w:spacing w:line="360" w:lineRule="exact"/>
              <w:ind w:firstLine="0" w:firstLineChars="0"/>
              <w:jc w:val="center"/>
              <w:textAlignment w:val="center"/>
              <w:rPr>
                <w:rFonts w:eastAsia="宋体"/>
                <w:b/>
                <w:bCs/>
                <w:sz w:val="24"/>
                <w:lang w:eastAsia="zh-CN" w:bidi="ar-SA"/>
              </w:rPr>
            </w:pPr>
            <w:r>
              <w:rPr>
                <w:rFonts w:eastAsia="宋体"/>
                <w:b/>
                <w:bCs/>
                <w:sz w:val="24"/>
                <w:lang w:eastAsia="zh-CN" w:bidi="ar"/>
              </w:rPr>
              <w:t>最终得分</w:t>
            </w:r>
          </w:p>
        </w:tc>
        <w:tc>
          <w:tcPr>
            <w:tcW w:w="1104" w:type="dxa"/>
            <w:shd w:val="clear" w:color="auto" w:fill="BEBEBE"/>
            <w:noWrap w:val="0"/>
            <w:vAlign w:val="center"/>
          </w:tcPr>
          <w:p>
            <w:pPr>
              <w:widowControl/>
              <w:spacing w:line="360" w:lineRule="exact"/>
              <w:ind w:firstLine="0" w:firstLineChars="0"/>
              <w:jc w:val="center"/>
              <w:textAlignment w:val="center"/>
              <w:rPr>
                <w:rFonts w:eastAsia="宋体"/>
                <w:b/>
                <w:bCs/>
                <w:color w:val="auto"/>
                <w:sz w:val="24"/>
                <w:lang w:eastAsia="zh-CN" w:bidi="ar-SA"/>
              </w:rPr>
            </w:pPr>
            <w:r>
              <w:rPr>
                <w:rFonts w:eastAsia="宋体"/>
                <w:b/>
                <w:bCs/>
                <w:sz w:val="24"/>
                <w:lang w:eastAsia="zh-CN" w:bidi="ar"/>
              </w:rPr>
              <w:t>得分率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5" w:type="dxa"/>
            <w:vMerge w:val="restart"/>
            <w:noWrap w:val="0"/>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A决策（20分）　</w:t>
            </w:r>
          </w:p>
        </w:tc>
        <w:tc>
          <w:tcPr>
            <w:tcW w:w="889" w:type="dxa"/>
            <w:vMerge w:val="restart"/>
            <w:noWrap w:val="0"/>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A1项目立项（8分）　</w:t>
            </w:r>
          </w:p>
        </w:tc>
        <w:tc>
          <w:tcPr>
            <w:tcW w:w="893" w:type="dxa"/>
            <w:noWrap w:val="0"/>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A11立项依据充分性</w:t>
            </w:r>
          </w:p>
        </w:tc>
        <w:tc>
          <w:tcPr>
            <w:tcW w:w="741" w:type="dxa"/>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eastAsia="宋体"/>
                <w:sz w:val="24"/>
                <w:lang w:eastAsia="zh-CN" w:bidi="ar"/>
              </w:rPr>
              <w:t>4</w:t>
            </w:r>
          </w:p>
        </w:tc>
        <w:tc>
          <w:tcPr>
            <w:tcW w:w="2746" w:type="dxa"/>
            <w:noWrap w:val="0"/>
            <w:vAlign w:val="center"/>
          </w:tcPr>
          <w:p>
            <w:pPr>
              <w:widowControl/>
              <w:spacing w:line="360" w:lineRule="exact"/>
              <w:ind w:firstLine="0" w:firstLineChars="0"/>
              <w:jc w:val="left"/>
              <w:textAlignment w:val="center"/>
              <w:rPr>
                <w:rFonts w:eastAsia="宋体"/>
                <w:sz w:val="24"/>
                <w:lang w:eastAsia="zh-CN" w:bidi="ar-SA"/>
              </w:rPr>
            </w:pPr>
            <w:r>
              <w:rPr>
                <w:rFonts w:eastAsia="宋体"/>
                <w:sz w:val="24"/>
                <w:lang w:eastAsia="zh-CN" w:bidi="ar"/>
              </w:rPr>
              <w:t>评价要点：</w:t>
            </w:r>
            <w:r>
              <w:rPr>
                <w:rFonts w:eastAsia="宋体"/>
                <w:sz w:val="24"/>
                <w:lang w:eastAsia="zh-CN" w:bidi="ar"/>
              </w:rPr>
              <w:br w:type="textWrapping"/>
            </w:r>
            <w:r>
              <w:rPr>
                <w:rFonts w:eastAsia="宋体"/>
                <w:sz w:val="24"/>
                <w:lang w:eastAsia="zh-CN" w:bidi="ar"/>
              </w:rPr>
              <w:t>1.项目立项是否符合国家法律法规、国民经济发展规划和相关政策，政策依据充分；</w:t>
            </w:r>
            <w:r>
              <w:rPr>
                <w:rFonts w:eastAsia="宋体"/>
                <w:sz w:val="24"/>
                <w:lang w:eastAsia="zh-CN" w:bidi="ar"/>
              </w:rPr>
              <w:br w:type="textWrapping"/>
            </w:r>
            <w:r>
              <w:rPr>
                <w:rFonts w:hint="eastAsia" w:eastAsia="宋体"/>
                <w:sz w:val="24"/>
                <w:lang w:eastAsia="zh-CN" w:bidi="ar"/>
              </w:rPr>
              <w:t>2</w:t>
            </w:r>
            <w:r>
              <w:rPr>
                <w:rFonts w:eastAsia="宋体"/>
                <w:sz w:val="24"/>
                <w:lang w:eastAsia="zh-CN" w:bidi="ar"/>
              </w:rPr>
              <w:t>.项目立项是否与部门职责范围相符，属于部门履职所需；</w:t>
            </w:r>
            <w:r>
              <w:rPr>
                <w:rFonts w:eastAsia="宋体"/>
                <w:sz w:val="24"/>
                <w:lang w:eastAsia="zh-CN" w:bidi="ar"/>
              </w:rPr>
              <w:br w:type="textWrapping"/>
            </w:r>
          </w:p>
        </w:tc>
        <w:tc>
          <w:tcPr>
            <w:tcW w:w="2420" w:type="dxa"/>
            <w:noWrap w:val="0"/>
            <w:vAlign w:val="center"/>
          </w:tcPr>
          <w:p>
            <w:pPr>
              <w:widowControl/>
              <w:spacing w:line="360" w:lineRule="exact"/>
              <w:ind w:firstLine="0" w:firstLineChars="0"/>
              <w:jc w:val="left"/>
              <w:textAlignment w:val="center"/>
              <w:rPr>
                <w:rFonts w:eastAsia="宋体"/>
                <w:color w:val="auto"/>
                <w:sz w:val="24"/>
                <w:lang w:eastAsia="zh-CN" w:bidi="ar-SA"/>
              </w:rPr>
            </w:pPr>
            <w:r>
              <w:rPr>
                <w:rFonts w:eastAsia="宋体"/>
                <w:sz w:val="24"/>
                <w:lang w:eastAsia="zh-CN" w:bidi="ar"/>
              </w:rPr>
              <w:t>具备一个得分要素，得权重分的</w:t>
            </w:r>
            <w:r>
              <w:rPr>
                <w:rFonts w:hint="eastAsia" w:eastAsia="宋体"/>
                <w:sz w:val="24"/>
                <w:lang w:eastAsia="zh-CN" w:bidi="ar"/>
              </w:rPr>
              <w:t>50</w:t>
            </w:r>
            <w:r>
              <w:rPr>
                <w:rFonts w:eastAsia="宋体"/>
                <w:sz w:val="24"/>
                <w:lang w:eastAsia="zh-CN" w:bidi="ar"/>
              </w:rPr>
              <w:t>%</w:t>
            </w:r>
          </w:p>
        </w:tc>
        <w:tc>
          <w:tcPr>
            <w:tcW w:w="4234" w:type="dxa"/>
            <w:noWrap w:val="0"/>
            <w:vAlign w:val="center"/>
          </w:tcPr>
          <w:p>
            <w:pPr>
              <w:widowControl/>
              <w:spacing w:line="360" w:lineRule="exact"/>
              <w:ind w:firstLine="0" w:firstLineChars="0"/>
              <w:jc w:val="left"/>
              <w:textAlignment w:val="center"/>
              <w:rPr>
                <w:rFonts w:eastAsia="宋体"/>
                <w:sz w:val="24"/>
                <w:lang w:eastAsia="zh-CN" w:bidi="ar"/>
              </w:rPr>
            </w:pPr>
            <w:r>
              <w:rPr>
                <w:rFonts w:hint="eastAsia" w:eastAsia="宋体"/>
                <w:sz w:val="24"/>
                <w:lang w:eastAsia="zh-CN" w:bidi="ar"/>
              </w:rPr>
              <w:t>该项目根据</w:t>
            </w:r>
            <w:r>
              <w:rPr>
                <w:rFonts w:hint="eastAsia" w:eastAsia="宋体"/>
                <w:sz w:val="24"/>
                <w:lang w:val="en-US" w:eastAsia="zh-CN" w:bidi="ar"/>
              </w:rPr>
              <w:t>2024年3月30日</w:t>
            </w:r>
            <w:r>
              <w:rPr>
                <w:rFonts w:hint="eastAsia" w:eastAsia="宋体"/>
                <w:sz w:val="24"/>
                <w:lang w:eastAsia="zh-CN" w:bidi="ar"/>
              </w:rPr>
              <w:t>《</w:t>
            </w:r>
            <w:r>
              <w:rPr>
                <w:rFonts w:hint="eastAsia" w:eastAsia="宋体"/>
                <w:sz w:val="24"/>
                <w:lang w:val="en-US" w:eastAsia="zh-CN" w:bidi="ar"/>
              </w:rPr>
              <w:t>乐</w:t>
            </w:r>
            <w:r>
              <w:rPr>
                <w:rFonts w:hint="eastAsia" w:eastAsia="宋体"/>
                <w:sz w:val="24"/>
                <w:lang w:eastAsia="zh-CN" w:bidi="ar"/>
              </w:rPr>
              <w:t>山市沙湾区先发带后发结对帮扶金口河区工作队关于</w:t>
            </w:r>
            <w:r>
              <w:rPr>
                <w:rFonts w:hint="eastAsia" w:eastAsia="宋体"/>
                <w:sz w:val="24"/>
                <w:lang w:val="en-US" w:eastAsia="zh-CN" w:bidi="ar"/>
              </w:rPr>
              <w:t>&lt;</w:t>
            </w:r>
            <w:r>
              <w:rPr>
                <w:rFonts w:hint="eastAsia" w:eastAsia="宋体"/>
                <w:sz w:val="24"/>
                <w:lang w:eastAsia="zh-CN" w:bidi="ar"/>
              </w:rPr>
              <w:t>关于申报2024年沙湾区结对帮扶金口河区发展项目的请示</w:t>
            </w:r>
            <w:r>
              <w:rPr>
                <w:rFonts w:hint="eastAsia" w:eastAsia="宋体"/>
                <w:sz w:val="24"/>
                <w:lang w:val="en-US" w:eastAsia="zh-CN" w:bidi="ar"/>
              </w:rPr>
              <w:t>&gt;</w:t>
            </w:r>
            <w:r>
              <w:rPr>
                <w:rFonts w:hint="eastAsia" w:eastAsia="宋体"/>
                <w:sz w:val="24"/>
                <w:lang w:eastAsia="zh-CN" w:bidi="ar"/>
              </w:rPr>
              <w:t>的批复》（</w:t>
            </w:r>
            <w:r>
              <w:rPr>
                <w:rFonts w:hint="eastAsia" w:eastAsia="宋体"/>
                <w:sz w:val="24"/>
                <w:lang w:val="en-US" w:eastAsia="zh-CN" w:bidi="ar"/>
              </w:rPr>
              <w:t>乐沙扶复</w:t>
            </w:r>
            <w:r>
              <w:rPr>
                <w:rFonts w:hint="eastAsia" w:eastAsia="宋体"/>
                <w:sz w:val="24"/>
                <w:lang w:eastAsia="zh-CN" w:bidi="ar"/>
              </w:rPr>
              <w:t>〔202</w:t>
            </w:r>
            <w:r>
              <w:rPr>
                <w:rFonts w:hint="eastAsia" w:eastAsia="宋体"/>
                <w:sz w:val="24"/>
                <w:lang w:val="en-US" w:eastAsia="zh-CN" w:bidi="ar"/>
              </w:rPr>
              <w:t>4</w:t>
            </w:r>
            <w:r>
              <w:rPr>
                <w:rFonts w:hint="eastAsia" w:eastAsia="宋体"/>
                <w:sz w:val="24"/>
                <w:lang w:eastAsia="zh-CN" w:bidi="ar"/>
              </w:rPr>
              <w:t>〕</w:t>
            </w:r>
            <w:r>
              <w:rPr>
                <w:rFonts w:hint="eastAsia" w:eastAsia="宋体"/>
                <w:sz w:val="24"/>
                <w:lang w:val="en-US" w:eastAsia="zh-CN" w:bidi="ar"/>
              </w:rPr>
              <w:t>6</w:t>
            </w:r>
            <w:r>
              <w:rPr>
                <w:rFonts w:hint="eastAsia" w:eastAsia="宋体"/>
                <w:sz w:val="24"/>
                <w:lang w:eastAsia="zh-CN" w:bidi="ar"/>
              </w:rPr>
              <w:t>号）</w:t>
            </w:r>
            <w:r>
              <w:rPr>
                <w:rFonts w:hint="eastAsia" w:eastAsia="宋体"/>
                <w:sz w:val="24"/>
                <w:lang w:val="en-US" w:eastAsia="zh-CN" w:bidi="ar"/>
              </w:rPr>
              <w:t>文件批复，项目纳入沙湾结对帮扶2024年度项目，已由金口河区十一届人民政府第71次常务会议审定通过，帮扶资金控制在10万元。</w:t>
            </w:r>
            <w:r>
              <w:rPr>
                <w:rFonts w:eastAsia="宋体"/>
                <w:sz w:val="24"/>
                <w:lang w:eastAsia="zh-CN" w:bidi="ar"/>
              </w:rPr>
              <w:t>本项目立项符合国家法律法规、行业发展规划和政策要求。项目立项依据充分，依据评分方法，该指标</w:t>
            </w:r>
            <w:r>
              <w:rPr>
                <w:rFonts w:hint="eastAsia" w:eastAsia="宋体"/>
                <w:sz w:val="24"/>
                <w:lang w:val="en-US" w:eastAsia="zh-CN" w:bidi="ar"/>
              </w:rPr>
              <w:t>得</w:t>
            </w:r>
            <w:r>
              <w:rPr>
                <w:rFonts w:eastAsia="宋体"/>
                <w:sz w:val="24"/>
                <w:lang w:eastAsia="zh-CN" w:bidi="ar"/>
              </w:rPr>
              <w:t>满分</w:t>
            </w:r>
            <w:r>
              <w:rPr>
                <w:rFonts w:hint="eastAsia" w:eastAsia="宋体"/>
                <w:sz w:val="24"/>
                <w:lang w:val="en-US" w:eastAsia="zh-CN" w:bidi="ar"/>
              </w:rPr>
              <w:t>4.00分</w:t>
            </w:r>
            <w:r>
              <w:rPr>
                <w:rFonts w:eastAsia="宋体"/>
                <w:sz w:val="24"/>
                <w:lang w:eastAsia="zh-CN" w:bidi="ar"/>
              </w:rPr>
              <w:t>。</w:t>
            </w:r>
          </w:p>
        </w:tc>
        <w:tc>
          <w:tcPr>
            <w:tcW w:w="816" w:type="dxa"/>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eastAsia="宋体"/>
                <w:sz w:val="24"/>
                <w:lang w:eastAsia="zh-CN" w:bidi="ar"/>
              </w:rPr>
              <w:t>4</w:t>
            </w:r>
          </w:p>
        </w:tc>
        <w:tc>
          <w:tcPr>
            <w:tcW w:w="1104" w:type="dxa"/>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eastAsia="宋体"/>
                <w:sz w:val="24"/>
                <w:lang w:eastAsia="zh-CN" w:bidi="ar"/>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5" w:type="dxa"/>
            <w:vMerge w:val="continue"/>
            <w:shd w:val="clear" w:color="auto" w:fill="auto"/>
            <w:noWrap w:val="0"/>
            <w:vAlign w:val="center"/>
          </w:tcPr>
          <w:p>
            <w:pPr>
              <w:widowControl/>
              <w:spacing w:line="360" w:lineRule="exact"/>
              <w:ind w:firstLine="0" w:firstLineChars="0"/>
              <w:jc w:val="center"/>
              <w:rPr>
                <w:rFonts w:eastAsia="宋体"/>
                <w:sz w:val="24"/>
                <w:lang w:eastAsia="zh-CN" w:bidi="ar-SA"/>
              </w:rPr>
            </w:pPr>
          </w:p>
        </w:tc>
        <w:tc>
          <w:tcPr>
            <w:tcW w:w="889" w:type="dxa"/>
            <w:vMerge w:val="continue"/>
            <w:shd w:val="clear" w:color="auto" w:fill="auto"/>
            <w:noWrap w:val="0"/>
            <w:vAlign w:val="center"/>
          </w:tcPr>
          <w:p>
            <w:pPr>
              <w:widowControl/>
              <w:spacing w:line="360" w:lineRule="exact"/>
              <w:ind w:firstLine="0" w:firstLineChars="0"/>
              <w:jc w:val="center"/>
              <w:rPr>
                <w:rFonts w:eastAsia="宋体"/>
                <w:sz w:val="24"/>
                <w:lang w:eastAsia="zh-CN" w:bidi="ar-SA"/>
              </w:rPr>
            </w:pPr>
          </w:p>
        </w:tc>
        <w:tc>
          <w:tcPr>
            <w:tcW w:w="893" w:type="dxa"/>
            <w:shd w:val="clear" w:color="000000" w:fill="FFFFFF"/>
            <w:noWrap w:val="0"/>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A12立项程序规范性</w:t>
            </w:r>
          </w:p>
        </w:tc>
        <w:tc>
          <w:tcPr>
            <w:tcW w:w="741" w:type="dxa"/>
            <w:shd w:val="clear" w:color="000000" w:fill="FFFFFF"/>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eastAsia="宋体"/>
                <w:sz w:val="24"/>
                <w:lang w:eastAsia="zh-CN" w:bidi="ar"/>
              </w:rPr>
              <w:t>4</w:t>
            </w:r>
          </w:p>
        </w:tc>
        <w:tc>
          <w:tcPr>
            <w:tcW w:w="2746" w:type="dxa"/>
            <w:shd w:val="clear" w:color="000000" w:fill="FFFFFF"/>
            <w:noWrap w:val="0"/>
            <w:vAlign w:val="center"/>
          </w:tcPr>
          <w:p>
            <w:pPr>
              <w:widowControl/>
              <w:spacing w:line="360" w:lineRule="exact"/>
              <w:ind w:firstLine="0" w:firstLineChars="0"/>
              <w:jc w:val="left"/>
              <w:textAlignment w:val="center"/>
              <w:rPr>
                <w:rFonts w:eastAsia="宋体"/>
                <w:color w:val="auto"/>
                <w:sz w:val="24"/>
                <w:lang w:eastAsia="zh-CN" w:bidi="ar-SA"/>
              </w:rPr>
            </w:pPr>
            <w:r>
              <w:rPr>
                <w:rFonts w:eastAsia="宋体"/>
                <w:sz w:val="24"/>
                <w:lang w:eastAsia="zh-CN" w:bidi="ar"/>
              </w:rPr>
              <w:t>评价要点：</w:t>
            </w:r>
            <w:r>
              <w:rPr>
                <w:rFonts w:eastAsia="宋体"/>
                <w:sz w:val="24"/>
                <w:lang w:eastAsia="zh-CN" w:bidi="ar"/>
              </w:rPr>
              <w:br w:type="textWrapping"/>
            </w:r>
            <w:r>
              <w:rPr>
                <w:rFonts w:eastAsia="宋体"/>
                <w:sz w:val="24"/>
                <w:lang w:eastAsia="zh-CN" w:bidi="ar"/>
              </w:rPr>
              <w:t>1.项目是否按照规定的程序申请设立；</w:t>
            </w:r>
            <w:r>
              <w:rPr>
                <w:rFonts w:eastAsia="宋体"/>
                <w:sz w:val="24"/>
                <w:lang w:eastAsia="zh-CN" w:bidi="ar"/>
              </w:rPr>
              <w:br w:type="textWrapping"/>
            </w:r>
            <w:r>
              <w:rPr>
                <w:rFonts w:eastAsia="宋体"/>
                <w:sz w:val="24"/>
                <w:lang w:eastAsia="zh-CN" w:bidi="ar"/>
              </w:rPr>
              <w:t>2.审批文件、材料是否符合相关要求；</w:t>
            </w:r>
            <w:r>
              <w:rPr>
                <w:rFonts w:eastAsia="宋体"/>
                <w:sz w:val="24"/>
                <w:lang w:eastAsia="zh-CN" w:bidi="ar"/>
              </w:rPr>
              <w:br w:type="textWrapping"/>
            </w:r>
            <w:r>
              <w:rPr>
                <w:rFonts w:hint="eastAsia" w:eastAsia="宋体"/>
                <w:color w:val="auto"/>
                <w:sz w:val="24"/>
                <w:lang w:eastAsia="zh-CN" w:bidi="ar-SA"/>
              </w:rPr>
              <w:t>3、立项、申请、审批、执行程序的及时性。</w:t>
            </w:r>
          </w:p>
        </w:tc>
        <w:tc>
          <w:tcPr>
            <w:tcW w:w="2420" w:type="dxa"/>
            <w:shd w:val="clear" w:color="000000" w:fill="FFFFFF"/>
            <w:noWrap w:val="0"/>
            <w:vAlign w:val="center"/>
          </w:tcPr>
          <w:p>
            <w:pPr>
              <w:widowControl/>
              <w:spacing w:line="360" w:lineRule="exact"/>
              <w:ind w:firstLine="0" w:firstLineChars="0"/>
              <w:textAlignment w:val="center"/>
              <w:rPr>
                <w:rFonts w:eastAsia="宋体"/>
                <w:color w:val="auto"/>
                <w:sz w:val="24"/>
                <w:lang w:eastAsia="zh-CN" w:bidi="ar-SA"/>
              </w:rPr>
            </w:pPr>
            <w:r>
              <w:rPr>
                <w:rFonts w:eastAsia="宋体"/>
                <w:sz w:val="24"/>
                <w:lang w:eastAsia="zh-CN" w:bidi="ar"/>
              </w:rPr>
              <w:t>具备一个得分要素，得权重分的</w:t>
            </w:r>
            <w:r>
              <w:rPr>
                <w:rFonts w:hint="eastAsia" w:eastAsia="宋体"/>
                <w:sz w:val="24"/>
                <w:lang w:eastAsia="zh-CN" w:bidi="ar"/>
              </w:rPr>
              <w:t>33.33</w:t>
            </w:r>
            <w:r>
              <w:rPr>
                <w:rFonts w:eastAsia="宋体"/>
                <w:sz w:val="24"/>
                <w:lang w:eastAsia="zh-CN" w:bidi="ar"/>
              </w:rPr>
              <w:t>%</w:t>
            </w:r>
          </w:p>
        </w:tc>
        <w:tc>
          <w:tcPr>
            <w:tcW w:w="4234" w:type="dxa"/>
            <w:shd w:val="clear" w:color="000000" w:fill="FFFFFF"/>
            <w:noWrap w:val="0"/>
            <w:vAlign w:val="center"/>
          </w:tcPr>
          <w:p>
            <w:pPr>
              <w:widowControl/>
              <w:spacing w:line="360" w:lineRule="exact"/>
              <w:ind w:firstLine="0" w:firstLineChars="0"/>
              <w:jc w:val="left"/>
              <w:textAlignment w:val="center"/>
              <w:rPr>
                <w:rFonts w:eastAsia="宋体"/>
                <w:sz w:val="24"/>
                <w:lang w:eastAsia="zh-CN" w:bidi="ar"/>
              </w:rPr>
            </w:pPr>
            <w:r>
              <w:rPr>
                <w:rFonts w:hint="eastAsia" w:eastAsia="宋体"/>
                <w:sz w:val="24"/>
                <w:lang w:val="en-US" w:eastAsia="zh-CN" w:bidi="ar"/>
              </w:rPr>
              <w:t>2024年2月18日</w:t>
            </w:r>
            <w:r>
              <w:rPr>
                <w:rFonts w:hint="eastAsia" w:eastAsia="宋体"/>
                <w:sz w:val="24"/>
                <w:lang w:eastAsia="zh-CN" w:bidi="ar"/>
              </w:rPr>
              <w:t>《</w:t>
            </w:r>
            <w:r>
              <w:rPr>
                <w:rFonts w:hint="eastAsia" w:eastAsia="宋体"/>
                <w:sz w:val="24"/>
                <w:lang w:val="en-US" w:eastAsia="zh-CN" w:bidi="ar"/>
              </w:rPr>
              <w:t>乐</w:t>
            </w:r>
            <w:r>
              <w:rPr>
                <w:rFonts w:hint="eastAsia" w:eastAsia="宋体"/>
                <w:sz w:val="24"/>
                <w:lang w:eastAsia="zh-CN" w:bidi="ar"/>
              </w:rPr>
              <w:t>山市金口河区文化体育和旅游局关于申报2024年沙湾区结对帮扶金口河区发展项目的请示》（</w:t>
            </w:r>
            <w:r>
              <w:rPr>
                <w:rFonts w:hint="eastAsia" w:eastAsia="宋体"/>
                <w:sz w:val="24"/>
                <w:lang w:val="en-US" w:eastAsia="zh-CN" w:bidi="ar"/>
              </w:rPr>
              <w:t>金文体旅</w:t>
            </w:r>
            <w:r>
              <w:rPr>
                <w:rFonts w:hint="eastAsia" w:eastAsia="宋体"/>
                <w:sz w:val="24"/>
                <w:lang w:eastAsia="zh-CN" w:bidi="ar"/>
              </w:rPr>
              <w:t>〔202</w:t>
            </w:r>
            <w:r>
              <w:rPr>
                <w:rFonts w:hint="eastAsia" w:eastAsia="宋体"/>
                <w:sz w:val="24"/>
                <w:lang w:val="en-US" w:eastAsia="zh-CN" w:bidi="ar"/>
              </w:rPr>
              <w:t>4</w:t>
            </w:r>
            <w:r>
              <w:rPr>
                <w:rFonts w:hint="eastAsia" w:eastAsia="宋体"/>
                <w:sz w:val="24"/>
                <w:lang w:eastAsia="zh-CN" w:bidi="ar"/>
              </w:rPr>
              <w:t>〕</w:t>
            </w:r>
            <w:r>
              <w:rPr>
                <w:rFonts w:hint="eastAsia" w:eastAsia="宋体"/>
                <w:sz w:val="24"/>
                <w:lang w:val="en-US" w:eastAsia="zh-CN" w:bidi="ar"/>
              </w:rPr>
              <w:t>7</w:t>
            </w:r>
            <w:r>
              <w:rPr>
                <w:rFonts w:hint="eastAsia" w:eastAsia="宋体"/>
                <w:sz w:val="24"/>
                <w:lang w:eastAsia="zh-CN" w:bidi="ar"/>
              </w:rPr>
              <w:t>号）</w:t>
            </w:r>
            <w:r>
              <w:rPr>
                <w:rFonts w:hint="eastAsia" w:eastAsia="宋体"/>
                <w:sz w:val="24"/>
                <w:lang w:val="en-US" w:eastAsia="zh-CN" w:bidi="ar"/>
              </w:rPr>
              <w:t>文件，区文体旅游局申报金口河区第二届“舌尖上的非遗”特色美食大赛及推广交流活动项目实施方案。2024年3月30日经</w:t>
            </w:r>
            <w:r>
              <w:rPr>
                <w:rFonts w:hint="eastAsia" w:eastAsia="宋体"/>
                <w:sz w:val="24"/>
                <w:lang w:eastAsia="zh-CN" w:bidi="ar"/>
              </w:rPr>
              <w:t>（</w:t>
            </w:r>
            <w:r>
              <w:rPr>
                <w:rFonts w:hint="eastAsia" w:eastAsia="宋体"/>
                <w:sz w:val="24"/>
                <w:lang w:val="en-US" w:eastAsia="zh-CN" w:bidi="ar"/>
              </w:rPr>
              <w:t>乐沙扶复</w:t>
            </w:r>
            <w:r>
              <w:rPr>
                <w:rFonts w:hint="eastAsia" w:eastAsia="宋体"/>
                <w:sz w:val="24"/>
                <w:lang w:eastAsia="zh-CN" w:bidi="ar"/>
              </w:rPr>
              <w:t>〔202</w:t>
            </w:r>
            <w:r>
              <w:rPr>
                <w:rFonts w:hint="eastAsia" w:eastAsia="宋体"/>
                <w:sz w:val="24"/>
                <w:lang w:val="en-US" w:eastAsia="zh-CN" w:bidi="ar"/>
              </w:rPr>
              <w:t>4</w:t>
            </w:r>
            <w:r>
              <w:rPr>
                <w:rFonts w:hint="eastAsia" w:eastAsia="宋体"/>
                <w:sz w:val="24"/>
                <w:lang w:eastAsia="zh-CN" w:bidi="ar"/>
              </w:rPr>
              <w:t>〕</w:t>
            </w:r>
            <w:r>
              <w:rPr>
                <w:rFonts w:hint="eastAsia" w:eastAsia="宋体"/>
                <w:sz w:val="24"/>
                <w:lang w:val="en-US" w:eastAsia="zh-CN" w:bidi="ar"/>
              </w:rPr>
              <w:t>6</w:t>
            </w:r>
            <w:r>
              <w:rPr>
                <w:rFonts w:hint="eastAsia" w:eastAsia="宋体"/>
                <w:sz w:val="24"/>
                <w:lang w:eastAsia="zh-CN" w:bidi="ar"/>
              </w:rPr>
              <w:t>号）</w:t>
            </w:r>
            <w:r>
              <w:rPr>
                <w:rFonts w:hint="eastAsia" w:eastAsia="宋体"/>
                <w:sz w:val="24"/>
                <w:lang w:val="en-US" w:eastAsia="zh-CN" w:bidi="ar"/>
              </w:rPr>
              <w:t>文件批复，项目纳入沙湾结对帮扶2024年度项目，已由金口河区十一届人民政府第71次常务会议审定通过，帮扶资金控制在10万元。</w:t>
            </w:r>
            <w:r>
              <w:rPr>
                <w:rFonts w:eastAsia="宋体"/>
                <w:sz w:val="24"/>
                <w:lang w:eastAsia="zh-CN" w:bidi="ar"/>
              </w:rPr>
              <w:t>项目立项程序规范，审批文件和材料合规完整。依据评分方法，该指标</w:t>
            </w:r>
            <w:r>
              <w:rPr>
                <w:rFonts w:hint="eastAsia" w:eastAsia="宋体"/>
                <w:sz w:val="24"/>
                <w:lang w:val="en-US" w:eastAsia="zh-CN" w:bidi="ar"/>
              </w:rPr>
              <w:t>得</w:t>
            </w:r>
            <w:r>
              <w:rPr>
                <w:rFonts w:eastAsia="宋体"/>
                <w:sz w:val="24"/>
                <w:lang w:eastAsia="zh-CN" w:bidi="ar"/>
              </w:rPr>
              <w:t>满分</w:t>
            </w:r>
            <w:r>
              <w:rPr>
                <w:rFonts w:hint="eastAsia" w:eastAsia="宋体"/>
                <w:sz w:val="24"/>
                <w:lang w:val="en-US" w:eastAsia="zh-CN" w:bidi="ar"/>
              </w:rPr>
              <w:t>4.00分</w:t>
            </w:r>
            <w:r>
              <w:rPr>
                <w:rFonts w:eastAsia="宋体"/>
                <w:sz w:val="24"/>
                <w:lang w:eastAsia="zh-CN" w:bidi="ar"/>
              </w:rPr>
              <w:t>。</w:t>
            </w:r>
          </w:p>
        </w:tc>
        <w:tc>
          <w:tcPr>
            <w:tcW w:w="816" w:type="dxa"/>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val="en-US" w:eastAsia="zh-CN" w:bidi="ar"/>
              </w:rPr>
              <w:t>4</w:t>
            </w:r>
          </w:p>
        </w:tc>
        <w:tc>
          <w:tcPr>
            <w:tcW w:w="1104" w:type="dxa"/>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val="en-US" w:eastAsia="zh-CN" w:bidi="ar"/>
              </w:rPr>
              <w:t>100.00</w:t>
            </w:r>
            <w:r>
              <w:rPr>
                <w:rFonts w:eastAsia="宋体"/>
                <w:sz w:val="24"/>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0" w:hRule="atLeast"/>
          <w:jc w:val="center"/>
        </w:trPr>
        <w:tc>
          <w:tcPr>
            <w:tcW w:w="805" w:type="dxa"/>
            <w:vMerge w:val="continue"/>
            <w:shd w:val="clear" w:color="auto" w:fill="auto"/>
            <w:noWrap w:val="0"/>
            <w:vAlign w:val="center"/>
          </w:tcPr>
          <w:p>
            <w:pPr>
              <w:widowControl/>
              <w:spacing w:line="360" w:lineRule="exact"/>
              <w:ind w:firstLine="0" w:firstLineChars="0"/>
              <w:jc w:val="center"/>
              <w:rPr>
                <w:rFonts w:eastAsia="宋体"/>
                <w:sz w:val="24"/>
                <w:lang w:eastAsia="zh-CN" w:bidi="ar-SA"/>
              </w:rPr>
            </w:pPr>
          </w:p>
        </w:tc>
        <w:tc>
          <w:tcPr>
            <w:tcW w:w="889" w:type="dxa"/>
            <w:vMerge w:val="restart"/>
            <w:shd w:val="clear" w:color="auto" w:fill="auto"/>
            <w:noWrap w:val="0"/>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A2绩效目标（6分）　</w:t>
            </w:r>
          </w:p>
        </w:tc>
        <w:tc>
          <w:tcPr>
            <w:tcW w:w="893" w:type="dxa"/>
            <w:shd w:val="clear" w:color="000000" w:fill="FFFFFF"/>
            <w:noWrap w:val="0"/>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A21绩效目标合理性</w:t>
            </w:r>
          </w:p>
        </w:tc>
        <w:tc>
          <w:tcPr>
            <w:tcW w:w="741" w:type="dxa"/>
            <w:shd w:val="clear" w:color="000000" w:fill="FFFFFF"/>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eastAsia="宋体"/>
                <w:sz w:val="24"/>
                <w:lang w:eastAsia="zh-CN" w:bidi="ar"/>
              </w:rPr>
              <w:t>3</w:t>
            </w:r>
          </w:p>
        </w:tc>
        <w:tc>
          <w:tcPr>
            <w:tcW w:w="2746" w:type="dxa"/>
            <w:shd w:val="clear" w:color="000000" w:fill="FFFFFF"/>
            <w:noWrap w:val="0"/>
            <w:vAlign w:val="center"/>
          </w:tcPr>
          <w:p>
            <w:pPr>
              <w:widowControl/>
              <w:spacing w:line="360" w:lineRule="exact"/>
              <w:ind w:firstLine="0" w:firstLineChars="0"/>
              <w:textAlignment w:val="center"/>
              <w:rPr>
                <w:rFonts w:eastAsia="宋体"/>
                <w:sz w:val="24"/>
                <w:lang w:eastAsia="zh-CN" w:bidi="ar-SA"/>
              </w:rPr>
            </w:pPr>
            <w:r>
              <w:rPr>
                <w:rFonts w:eastAsia="宋体"/>
                <w:sz w:val="24"/>
                <w:lang w:eastAsia="zh-CN" w:bidi="ar"/>
              </w:rPr>
              <w:t>评价要点：</w:t>
            </w:r>
            <w:r>
              <w:rPr>
                <w:rFonts w:eastAsia="宋体"/>
                <w:sz w:val="24"/>
                <w:lang w:eastAsia="zh-CN" w:bidi="ar"/>
              </w:rPr>
              <w:br w:type="textWrapping"/>
            </w:r>
            <w:r>
              <w:rPr>
                <w:rFonts w:eastAsia="宋体"/>
                <w:sz w:val="24"/>
                <w:lang w:eastAsia="zh-CN" w:bidi="ar"/>
              </w:rPr>
              <w:t>1.项目是否有绩效目标；</w:t>
            </w:r>
            <w:r>
              <w:rPr>
                <w:rFonts w:eastAsia="宋体"/>
                <w:sz w:val="24"/>
                <w:lang w:eastAsia="zh-CN" w:bidi="ar"/>
              </w:rPr>
              <w:br w:type="textWrapping"/>
            </w:r>
            <w:r>
              <w:rPr>
                <w:rFonts w:eastAsia="宋体"/>
                <w:sz w:val="24"/>
                <w:lang w:eastAsia="zh-CN" w:bidi="ar"/>
              </w:rPr>
              <w:t>2.项目绩效目标与实际工作内容是否具有相关性；</w:t>
            </w:r>
            <w:r>
              <w:rPr>
                <w:rFonts w:eastAsia="宋体"/>
                <w:sz w:val="24"/>
                <w:lang w:eastAsia="zh-CN" w:bidi="ar"/>
              </w:rPr>
              <w:br w:type="textWrapping"/>
            </w:r>
            <w:r>
              <w:rPr>
                <w:rFonts w:eastAsia="宋体"/>
                <w:sz w:val="24"/>
                <w:lang w:eastAsia="zh-CN" w:bidi="ar"/>
              </w:rPr>
              <w:t>3.项目预期产出效益和效果是否符合正常的业绩水平；</w:t>
            </w:r>
            <w:r>
              <w:rPr>
                <w:rFonts w:eastAsia="宋体"/>
                <w:sz w:val="24"/>
                <w:lang w:eastAsia="zh-CN" w:bidi="ar"/>
              </w:rPr>
              <w:br w:type="textWrapping"/>
            </w:r>
            <w:r>
              <w:rPr>
                <w:rFonts w:eastAsia="宋体"/>
                <w:sz w:val="24"/>
                <w:lang w:eastAsia="zh-CN" w:bidi="ar"/>
              </w:rPr>
              <w:t>4.是否与预算确定的项目投资额或资金量相匹配。</w:t>
            </w:r>
          </w:p>
        </w:tc>
        <w:tc>
          <w:tcPr>
            <w:tcW w:w="2420" w:type="dxa"/>
            <w:shd w:val="clear" w:color="000000" w:fill="FFFFFF"/>
            <w:noWrap w:val="0"/>
            <w:vAlign w:val="center"/>
          </w:tcPr>
          <w:p>
            <w:pPr>
              <w:widowControl/>
              <w:spacing w:line="360" w:lineRule="exact"/>
              <w:ind w:firstLine="0" w:firstLineChars="0"/>
              <w:textAlignment w:val="center"/>
              <w:rPr>
                <w:rFonts w:eastAsia="宋体"/>
                <w:color w:val="auto"/>
                <w:sz w:val="24"/>
                <w:lang w:eastAsia="zh-CN" w:bidi="ar-SA"/>
              </w:rPr>
            </w:pPr>
            <w:r>
              <w:rPr>
                <w:rFonts w:eastAsia="宋体"/>
                <w:sz w:val="24"/>
                <w:lang w:eastAsia="zh-CN" w:bidi="ar"/>
              </w:rPr>
              <w:t>具备一个得分要素，得权重分的25.00%</w:t>
            </w:r>
          </w:p>
        </w:tc>
        <w:tc>
          <w:tcPr>
            <w:tcW w:w="4234" w:type="dxa"/>
            <w:shd w:val="clear" w:color="000000" w:fill="FFFFFF"/>
            <w:noWrap w:val="0"/>
            <w:vAlign w:val="center"/>
          </w:tcPr>
          <w:p>
            <w:pPr>
              <w:widowControl/>
              <w:spacing w:line="360" w:lineRule="exact"/>
              <w:ind w:firstLine="0" w:firstLineChars="0"/>
              <w:jc w:val="left"/>
              <w:textAlignment w:val="center"/>
              <w:rPr>
                <w:rFonts w:eastAsia="宋体"/>
                <w:sz w:val="24"/>
                <w:lang w:eastAsia="zh-CN" w:bidi="ar-SA"/>
              </w:rPr>
            </w:pPr>
            <w:r>
              <w:rPr>
                <w:rFonts w:eastAsia="宋体"/>
                <w:sz w:val="24"/>
                <w:lang w:eastAsia="zh-CN" w:bidi="ar"/>
              </w:rPr>
              <w:t>项目设置绩效目标符合《项目支出绩效评价管理办法》，制定了项目产出、效益、满意度指标；项目绩效目标明确合理，与项目实施的宗旨关联度较高，预期产出效益和效果符合正常的业绩水平；绩效目标与预算确定的资金量相匹配。根据评分标准，该指标</w:t>
            </w:r>
            <w:r>
              <w:rPr>
                <w:rFonts w:hint="eastAsia" w:eastAsia="宋体"/>
                <w:sz w:val="24"/>
                <w:lang w:eastAsia="zh-CN" w:bidi="ar"/>
              </w:rPr>
              <w:t>得满分</w:t>
            </w:r>
            <w:r>
              <w:rPr>
                <w:rFonts w:hint="eastAsia" w:eastAsia="宋体"/>
                <w:sz w:val="24"/>
                <w:lang w:val="en-US" w:eastAsia="zh-CN" w:bidi="ar"/>
              </w:rPr>
              <w:t>3.00分</w:t>
            </w:r>
            <w:r>
              <w:rPr>
                <w:rFonts w:eastAsia="宋体"/>
                <w:sz w:val="24"/>
                <w:lang w:eastAsia="zh-CN" w:bidi="ar"/>
              </w:rPr>
              <w:t>。</w:t>
            </w:r>
          </w:p>
        </w:tc>
        <w:tc>
          <w:tcPr>
            <w:tcW w:w="816" w:type="dxa"/>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eastAsia="宋体"/>
                <w:sz w:val="24"/>
                <w:lang w:eastAsia="zh-CN" w:bidi="ar"/>
              </w:rPr>
              <w:t>3</w:t>
            </w:r>
          </w:p>
        </w:tc>
        <w:tc>
          <w:tcPr>
            <w:tcW w:w="1104" w:type="dxa"/>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eastAsia="宋体"/>
                <w:sz w:val="24"/>
                <w:lang w:eastAsia="zh-CN" w:bidi="ar"/>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5" w:type="dxa"/>
            <w:vMerge w:val="continue"/>
            <w:shd w:val="clear" w:color="auto" w:fill="auto"/>
            <w:noWrap w:val="0"/>
            <w:vAlign w:val="center"/>
          </w:tcPr>
          <w:p>
            <w:pPr>
              <w:widowControl/>
              <w:spacing w:line="360" w:lineRule="exact"/>
              <w:ind w:firstLine="0" w:firstLineChars="0"/>
              <w:jc w:val="center"/>
              <w:rPr>
                <w:rFonts w:eastAsia="宋体"/>
                <w:sz w:val="24"/>
                <w:lang w:eastAsia="zh-CN" w:bidi="ar-SA"/>
              </w:rPr>
            </w:pPr>
          </w:p>
        </w:tc>
        <w:tc>
          <w:tcPr>
            <w:tcW w:w="889" w:type="dxa"/>
            <w:vMerge w:val="continue"/>
            <w:shd w:val="clear" w:color="auto" w:fill="auto"/>
            <w:noWrap w:val="0"/>
            <w:vAlign w:val="center"/>
          </w:tcPr>
          <w:p>
            <w:pPr>
              <w:widowControl/>
              <w:spacing w:line="360" w:lineRule="exact"/>
              <w:ind w:firstLine="0" w:firstLineChars="0"/>
              <w:jc w:val="center"/>
              <w:rPr>
                <w:rFonts w:eastAsia="宋体"/>
                <w:sz w:val="24"/>
                <w:lang w:eastAsia="zh-CN" w:bidi="ar-SA"/>
              </w:rPr>
            </w:pPr>
          </w:p>
        </w:tc>
        <w:tc>
          <w:tcPr>
            <w:tcW w:w="893" w:type="dxa"/>
            <w:shd w:val="clear" w:color="auto" w:fill="auto"/>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eastAsia="宋体"/>
                <w:sz w:val="24"/>
                <w:lang w:eastAsia="zh-CN" w:bidi="ar"/>
              </w:rPr>
              <w:t>A22绩效指标明确性</w:t>
            </w:r>
          </w:p>
        </w:tc>
        <w:tc>
          <w:tcPr>
            <w:tcW w:w="741" w:type="dxa"/>
            <w:shd w:val="clear" w:color="000000" w:fill="FFFFFF"/>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eastAsia="宋体"/>
                <w:sz w:val="24"/>
                <w:lang w:eastAsia="zh-CN" w:bidi="ar"/>
              </w:rPr>
              <w:t>3</w:t>
            </w:r>
          </w:p>
        </w:tc>
        <w:tc>
          <w:tcPr>
            <w:tcW w:w="2746" w:type="dxa"/>
            <w:noWrap w:val="0"/>
            <w:vAlign w:val="center"/>
          </w:tcPr>
          <w:p>
            <w:pPr>
              <w:widowControl/>
              <w:spacing w:line="360" w:lineRule="exact"/>
              <w:ind w:firstLine="0" w:firstLineChars="0"/>
              <w:jc w:val="left"/>
              <w:textAlignment w:val="center"/>
              <w:rPr>
                <w:rFonts w:eastAsia="宋体"/>
                <w:sz w:val="24"/>
                <w:lang w:eastAsia="zh-CN" w:bidi="ar-SA"/>
              </w:rPr>
            </w:pPr>
            <w:r>
              <w:rPr>
                <w:rFonts w:eastAsia="宋体"/>
                <w:sz w:val="24"/>
                <w:lang w:eastAsia="zh-CN" w:bidi="ar"/>
              </w:rPr>
              <w:t>评价要点：</w:t>
            </w:r>
            <w:r>
              <w:rPr>
                <w:rFonts w:eastAsia="宋体"/>
                <w:sz w:val="24"/>
                <w:lang w:eastAsia="zh-CN" w:bidi="ar"/>
              </w:rPr>
              <w:br w:type="textWrapping"/>
            </w:r>
            <w:r>
              <w:rPr>
                <w:rFonts w:eastAsia="宋体"/>
                <w:sz w:val="24"/>
                <w:lang w:eastAsia="zh-CN" w:bidi="ar"/>
              </w:rPr>
              <w:t>1.是否将项目绩效目标细化分解为具体的绩效指标；</w:t>
            </w:r>
            <w:r>
              <w:rPr>
                <w:rFonts w:eastAsia="宋体"/>
                <w:sz w:val="24"/>
                <w:lang w:eastAsia="zh-CN" w:bidi="ar"/>
              </w:rPr>
              <w:br w:type="textWrapping"/>
            </w:r>
            <w:r>
              <w:rPr>
                <w:rFonts w:eastAsia="宋体"/>
                <w:sz w:val="24"/>
                <w:lang w:eastAsia="zh-CN" w:bidi="ar"/>
              </w:rPr>
              <w:t>2.是否通过清晰、可衡量的指标值予以体现。</w:t>
            </w:r>
          </w:p>
        </w:tc>
        <w:tc>
          <w:tcPr>
            <w:tcW w:w="2420" w:type="dxa"/>
            <w:noWrap w:val="0"/>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具备一个得分要素，得权重分的50.00%</w:t>
            </w:r>
          </w:p>
        </w:tc>
        <w:tc>
          <w:tcPr>
            <w:tcW w:w="4234" w:type="dxa"/>
            <w:noWrap w:val="0"/>
            <w:vAlign w:val="center"/>
          </w:tcPr>
          <w:p>
            <w:pPr>
              <w:widowControl/>
              <w:spacing w:line="360" w:lineRule="exact"/>
              <w:ind w:firstLine="0" w:firstLineChars="0"/>
              <w:jc w:val="left"/>
              <w:textAlignment w:val="center"/>
              <w:rPr>
                <w:rFonts w:eastAsia="宋体"/>
                <w:sz w:val="24"/>
                <w:lang w:eastAsia="zh-CN" w:bidi="ar-SA"/>
              </w:rPr>
            </w:pPr>
            <w:r>
              <w:rPr>
                <w:rFonts w:eastAsia="宋体"/>
                <w:sz w:val="24"/>
                <w:lang w:eastAsia="zh-CN" w:bidi="ar"/>
              </w:rPr>
              <w:t>项目所设定的绩效指标</w:t>
            </w:r>
            <w:r>
              <w:rPr>
                <w:rFonts w:hint="eastAsia" w:eastAsia="宋体"/>
                <w:sz w:val="24"/>
                <w:lang w:eastAsia="zh-CN" w:bidi="ar"/>
              </w:rPr>
              <w:t>基本</w:t>
            </w:r>
            <w:r>
              <w:rPr>
                <w:rFonts w:eastAsia="宋体"/>
                <w:sz w:val="24"/>
                <w:lang w:eastAsia="zh-CN" w:bidi="ar"/>
              </w:rPr>
              <w:t>符合《项目支出绩效评价管理办法》，依据产出、效益、满意度三项绩效目标细化分解为具体的绩效指标，设定的绩效指标清晰、可衡量</w:t>
            </w:r>
            <w:r>
              <w:rPr>
                <w:rFonts w:hint="eastAsia" w:eastAsia="宋体"/>
                <w:sz w:val="24"/>
                <w:lang w:eastAsia="zh-CN" w:bidi="ar"/>
              </w:rPr>
              <w:t>度高</w:t>
            </w:r>
            <w:r>
              <w:rPr>
                <w:rFonts w:eastAsia="宋体"/>
                <w:sz w:val="24"/>
                <w:lang w:eastAsia="zh-CN" w:bidi="ar"/>
              </w:rPr>
              <w:t>。根据评分标准，该指标</w:t>
            </w:r>
            <w:r>
              <w:rPr>
                <w:rFonts w:hint="eastAsia" w:eastAsia="宋体"/>
                <w:sz w:val="24"/>
                <w:lang w:val="en-US" w:eastAsia="zh-CN" w:bidi="ar"/>
              </w:rPr>
              <w:t>得</w:t>
            </w:r>
            <w:r>
              <w:rPr>
                <w:rFonts w:eastAsia="宋体"/>
                <w:sz w:val="24"/>
                <w:lang w:eastAsia="zh-CN" w:bidi="ar"/>
              </w:rPr>
              <w:t>满分</w:t>
            </w:r>
            <w:r>
              <w:rPr>
                <w:rFonts w:hint="eastAsia" w:eastAsia="宋体"/>
                <w:sz w:val="24"/>
                <w:lang w:val="en-US" w:eastAsia="zh-CN" w:bidi="ar"/>
              </w:rPr>
              <w:t>3.00分</w:t>
            </w:r>
            <w:r>
              <w:rPr>
                <w:rFonts w:eastAsia="宋体"/>
                <w:sz w:val="24"/>
                <w:lang w:eastAsia="zh-CN" w:bidi="ar"/>
              </w:rPr>
              <w:t>。</w:t>
            </w:r>
          </w:p>
        </w:tc>
        <w:tc>
          <w:tcPr>
            <w:tcW w:w="816" w:type="dxa"/>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val="en-US" w:eastAsia="zh-CN" w:bidi="ar"/>
              </w:rPr>
              <w:t>3</w:t>
            </w:r>
          </w:p>
        </w:tc>
        <w:tc>
          <w:tcPr>
            <w:tcW w:w="1104" w:type="dxa"/>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val="en-US" w:eastAsia="zh-CN" w:bidi="ar"/>
              </w:rPr>
              <w:t>10</w:t>
            </w:r>
            <w:r>
              <w:rPr>
                <w:rFonts w:hint="eastAsia" w:eastAsia="宋体"/>
                <w:sz w:val="24"/>
                <w:lang w:eastAsia="zh-CN" w:bidi="ar"/>
              </w:rPr>
              <w:t>0</w:t>
            </w:r>
            <w:r>
              <w:rPr>
                <w:rFonts w:eastAsia="宋体"/>
                <w:sz w:val="24"/>
                <w:lang w:eastAsia="zh-CN" w:bidi="ar"/>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5" w:type="dxa"/>
            <w:vMerge w:val="continue"/>
            <w:noWrap w:val="0"/>
            <w:vAlign w:val="center"/>
          </w:tcPr>
          <w:p>
            <w:pPr>
              <w:widowControl/>
              <w:spacing w:line="360" w:lineRule="exact"/>
              <w:ind w:firstLine="0" w:firstLineChars="0"/>
              <w:jc w:val="center"/>
              <w:rPr>
                <w:rFonts w:eastAsia="宋体"/>
                <w:sz w:val="24"/>
                <w:lang w:eastAsia="zh-CN" w:bidi="ar-SA"/>
              </w:rPr>
            </w:pPr>
          </w:p>
        </w:tc>
        <w:tc>
          <w:tcPr>
            <w:tcW w:w="889" w:type="dxa"/>
            <w:vMerge w:val="restart"/>
            <w:noWrap w:val="0"/>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A3资金投入（6分）</w:t>
            </w:r>
          </w:p>
        </w:tc>
        <w:tc>
          <w:tcPr>
            <w:tcW w:w="893" w:type="dxa"/>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eastAsia="宋体"/>
                <w:sz w:val="24"/>
                <w:lang w:eastAsia="zh-CN" w:bidi="ar"/>
              </w:rPr>
              <w:t>A31预算编制科学性</w:t>
            </w:r>
          </w:p>
        </w:tc>
        <w:tc>
          <w:tcPr>
            <w:tcW w:w="741" w:type="dxa"/>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eastAsia="宋体"/>
                <w:sz w:val="24"/>
                <w:lang w:eastAsia="zh-CN" w:bidi="ar"/>
              </w:rPr>
              <w:t>3</w:t>
            </w:r>
          </w:p>
        </w:tc>
        <w:tc>
          <w:tcPr>
            <w:tcW w:w="2746" w:type="dxa"/>
            <w:noWrap w:val="0"/>
            <w:vAlign w:val="center"/>
          </w:tcPr>
          <w:p>
            <w:pPr>
              <w:widowControl/>
              <w:spacing w:line="360" w:lineRule="exact"/>
              <w:ind w:firstLine="0" w:firstLineChars="0"/>
              <w:jc w:val="left"/>
              <w:textAlignment w:val="center"/>
              <w:rPr>
                <w:rFonts w:eastAsia="宋体"/>
                <w:sz w:val="24"/>
                <w:lang w:eastAsia="zh-CN" w:bidi="ar-SA"/>
              </w:rPr>
            </w:pPr>
            <w:r>
              <w:rPr>
                <w:rFonts w:eastAsia="宋体"/>
                <w:sz w:val="24"/>
                <w:lang w:eastAsia="zh-CN" w:bidi="ar"/>
              </w:rPr>
              <w:t>评价要点：</w:t>
            </w:r>
            <w:r>
              <w:rPr>
                <w:rFonts w:eastAsia="宋体"/>
                <w:sz w:val="24"/>
                <w:lang w:eastAsia="zh-CN" w:bidi="ar"/>
              </w:rPr>
              <w:br w:type="textWrapping"/>
            </w:r>
            <w:r>
              <w:rPr>
                <w:rFonts w:eastAsia="宋体"/>
                <w:sz w:val="24"/>
                <w:lang w:eastAsia="zh-CN" w:bidi="ar"/>
              </w:rPr>
              <w:t>1.预算编制是否经过科学论证；</w:t>
            </w:r>
            <w:r>
              <w:rPr>
                <w:rFonts w:eastAsia="宋体"/>
                <w:sz w:val="24"/>
                <w:lang w:eastAsia="zh-CN" w:bidi="ar"/>
              </w:rPr>
              <w:br w:type="textWrapping"/>
            </w:r>
            <w:r>
              <w:rPr>
                <w:rFonts w:eastAsia="宋体"/>
                <w:sz w:val="24"/>
                <w:lang w:eastAsia="zh-CN" w:bidi="ar"/>
              </w:rPr>
              <w:t>2.预算内容与项目内容是否匹配；</w:t>
            </w:r>
            <w:r>
              <w:rPr>
                <w:rFonts w:eastAsia="宋体"/>
                <w:sz w:val="24"/>
                <w:lang w:eastAsia="zh-CN" w:bidi="ar"/>
              </w:rPr>
              <w:br w:type="textWrapping"/>
            </w:r>
            <w:r>
              <w:rPr>
                <w:rFonts w:eastAsia="宋体"/>
                <w:sz w:val="24"/>
                <w:lang w:eastAsia="zh-CN" w:bidi="ar"/>
              </w:rPr>
              <w:t>3.预算额度测算依据是否充分，是否按照标准编制，是否考虑了实际情况。</w:t>
            </w:r>
          </w:p>
        </w:tc>
        <w:tc>
          <w:tcPr>
            <w:tcW w:w="2420" w:type="dxa"/>
            <w:noWrap w:val="0"/>
            <w:vAlign w:val="center"/>
          </w:tcPr>
          <w:p>
            <w:pPr>
              <w:widowControl/>
              <w:spacing w:line="360" w:lineRule="exact"/>
              <w:ind w:firstLine="0" w:firstLineChars="0"/>
              <w:jc w:val="center"/>
              <w:textAlignment w:val="center"/>
              <w:rPr>
                <w:rFonts w:eastAsia="宋体"/>
                <w:sz w:val="24"/>
                <w:lang w:eastAsia="zh-CN" w:bidi="ar"/>
              </w:rPr>
            </w:pPr>
            <w:r>
              <w:rPr>
                <w:rFonts w:eastAsia="宋体"/>
                <w:sz w:val="24"/>
                <w:lang w:eastAsia="zh-CN" w:bidi="ar"/>
              </w:rPr>
              <w:t>具备一个得分要素，得权重分的33.33%</w:t>
            </w:r>
          </w:p>
        </w:tc>
        <w:tc>
          <w:tcPr>
            <w:tcW w:w="4234" w:type="dxa"/>
            <w:noWrap w:val="0"/>
            <w:vAlign w:val="center"/>
          </w:tcPr>
          <w:p>
            <w:pPr>
              <w:widowControl/>
              <w:spacing w:line="360" w:lineRule="exact"/>
              <w:ind w:firstLine="0" w:firstLineChars="0"/>
              <w:jc w:val="left"/>
              <w:textAlignment w:val="center"/>
              <w:rPr>
                <w:rFonts w:hint="eastAsia" w:eastAsia="宋体"/>
                <w:sz w:val="24"/>
                <w:lang w:eastAsia="zh-CN" w:bidi="ar"/>
              </w:rPr>
            </w:pPr>
            <w:r>
              <w:rPr>
                <w:rFonts w:hint="eastAsia" w:eastAsia="宋体"/>
                <w:sz w:val="24"/>
                <w:lang w:val="en-US" w:eastAsia="zh-CN" w:bidi="ar"/>
              </w:rPr>
              <w:t>经2024年7月31日区文体旅游局党组会同意，关于组织开展金口河区第二届舌尖上的非遗——特色美食大赛及推广交流活动项目资金预算9.97万元。编制的经费预算清单</w:t>
            </w:r>
            <w:r>
              <w:rPr>
                <w:rFonts w:hint="eastAsia" w:eastAsia="宋体"/>
                <w:sz w:val="24"/>
                <w:lang w:eastAsia="zh-CN" w:bidi="ar"/>
              </w:rPr>
              <w:t>与</w:t>
            </w:r>
            <w:r>
              <w:rPr>
                <w:rFonts w:hint="eastAsia" w:eastAsia="宋体"/>
                <w:sz w:val="24"/>
                <w:lang w:val="en-US" w:eastAsia="zh-CN" w:bidi="ar"/>
              </w:rPr>
              <w:t>实际支出费用存在一定差异</w:t>
            </w:r>
            <w:r>
              <w:rPr>
                <w:rFonts w:hint="eastAsia" w:eastAsia="宋体"/>
                <w:sz w:val="24"/>
                <w:lang w:eastAsia="zh-CN" w:bidi="ar"/>
              </w:rPr>
              <w:t>，预算额度编制依据不够充分。根据评分标准，该指标满分</w:t>
            </w:r>
            <w:r>
              <w:rPr>
                <w:rFonts w:hint="eastAsia" w:eastAsia="宋体"/>
                <w:sz w:val="24"/>
                <w:lang w:val="en-US" w:eastAsia="zh-CN" w:bidi="ar"/>
              </w:rPr>
              <w:t>3.00分，扣2.00分，得1.00分</w:t>
            </w:r>
            <w:r>
              <w:rPr>
                <w:rFonts w:hint="eastAsia" w:eastAsia="宋体"/>
                <w:sz w:val="24"/>
                <w:lang w:eastAsia="zh-CN" w:bidi="ar"/>
              </w:rPr>
              <w:t>。</w:t>
            </w:r>
          </w:p>
        </w:tc>
        <w:tc>
          <w:tcPr>
            <w:tcW w:w="816" w:type="dxa"/>
            <w:noWrap w:val="0"/>
            <w:vAlign w:val="center"/>
          </w:tcPr>
          <w:p>
            <w:pPr>
              <w:widowControl/>
              <w:spacing w:line="360" w:lineRule="exact"/>
              <w:ind w:firstLine="0" w:firstLineChars="0"/>
              <w:jc w:val="center"/>
              <w:textAlignment w:val="center"/>
              <w:rPr>
                <w:rFonts w:hint="default" w:eastAsia="宋体"/>
                <w:color w:val="auto"/>
                <w:sz w:val="24"/>
                <w:lang w:val="en-US" w:eastAsia="zh-CN" w:bidi="ar-SA"/>
              </w:rPr>
            </w:pPr>
            <w:r>
              <w:rPr>
                <w:rFonts w:hint="eastAsia" w:eastAsia="宋体"/>
                <w:color w:val="auto"/>
                <w:sz w:val="24"/>
                <w:lang w:val="en-US" w:eastAsia="zh-CN" w:bidi="ar-SA"/>
              </w:rPr>
              <w:t>1</w:t>
            </w:r>
          </w:p>
        </w:tc>
        <w:tc>
          <w:tcPr>
            <w:tcW w:w="1104" w:type="dxa"/>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val="en-US" w:eastAsia="zh-CN" w:bidi="ar"/>
              </w:rPr>
              <w:t>33.33</w:t>
            </w:r>
            <w:r>
              <w:rPr>
                <w:rFonts w:eastAsia="宋体"/>
                <w:sz w:val="24"/>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5" w:type="dxa"/>
            <w:vMerge w:val="continue"/>
            <w:shd w:val="clear" w:color="auto" w:fill="auto"/>
            <w:noWrap w:val="0"/>
            <w:vAlign w:val="center"/>
          </w:tcPr>
          <w:p>
            <w:pPr>
              <w:widowControl/>
              <w:spacing w:line="360" w:lineRule="exact"/>
              <w:ind w:firstLine="0" w:firstLineChars="0"/>
              <w:jc w:val="center"/>
              <w:rPr>
                <w:rFonts w:eastAsia="宋体"/>
                <w:sz w:val="24"/>
                <w:lang w:eastAsia="zh-CN" w:bidi="ar-SA"/>
              </w:rPr>
            </w:pPr>
          </w:p>
        </w:tc>
        <w:tc>
          <w:tcPr>
            <w:tcW w:w="889" w:type="dxa"/>
            <w:vMerge w:val="continue"/>
            <w:shd w:val="clear" w:color="auto" w:fill="auto"/>
            <w:noWrap w:val="0"/>
            <w:vAlign w:val="center"/>
          </w:tcPr>
          <w:p>
            <w:pPr>
              <w:widowControl/>
              <w:spacing w:line="360" w:lineRule="exact"/>
              <w:ind w:firstLine="0" w:firstLineChars="0"/>
              <w:jc w:val="center"/>
              <w:rPr>
                <w:rFonts w:eastAsia="宋体"/>
                <w:sz w:val="24"/>
                <w:lang w:eastAsia="zh-CN" w:bidi="ar-SA"/>
              </w:rPr>
            </w:pPr>
          </w:p>
        </w:tc>
        <w:tc>
          <w:tcPr>
            <w:tcW w:w="893" w:type="dxa"/>
            <w:shd w:val="clear" w:color="000000" w:fill="FFFFFF"/>
            <w:noWrap w:val="0"/>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A32资金分配合理性</w:t>
            </w:r>
          </w:p>
        </w:tc>
        <w:tc>
          <w:tcPr>
            <w:tcW w:w="741" w:type="dxa"/>
            <w:shd w:val="clear" w:color="000000" w:fill="FFFFFF"/>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eastAsia="宋体"/>
                <w:sz w:val="24"/>
                <w:lang w:eastAsia="zh-CN" w:bidi="ar"/>
              </w:rPr>
              <w:t>3</w:t>
            </w:r>
          </w:p>
        </w:tc>
        <w:tc>
          <w:tcPr>
            <w:tcW w:w="2746" w:type="dxa"/>
            <w:shd w:val="clear" w:color="000000" w:fill="FFFFFF"/>
            <w:noWrap w:val="0"/>
            <w:vAlign w:val="center"/>
          </w:tcPr>
          <w:p>
            <w:pPr>
              <w:widowControl/>
              <w:spacing w:line="360" w:lineRule="exact"/>
              <w:ind w:firstLine="0" w:firstLineChars="0"/>
              <w:textAlignment w:val="center"/>
              <w:rPr>
                <w:rFonts w:eastAsia="宋体"/>
                <w:sz w:val="24"/>
                <w:lang w:eastAsia="zh-CN" w:bidi="ar-SA"/>
              </w:rPr>
            </w:pPr>
            <w:r>
              <w:rPr>
                <w:rFonts w:eastAsia="宋体"/>
                <w:sz w:val="24"/>
                <w:lang w:eastAsia="zh-CN" w:bidi="ar"/>
              </w:rPr>
              <w:t>评价要点：</w:t>
            </w:r>
            <w:r>
              <w:rPr>
                <w:rFonts w:eastAsia="宋体"/>
                <w:sz w:val="24"/>
                <w:lang w:eastAsia="zh-CN" w:bidi="ar"/>
              </w:rPr>
              <w:br w:type="textWrapping"/>
            </w:r>
            <w:r>
              <w:rPr>
                <w:rFonts w:eastAsia="宋体"/>
                <w:sz w:val="24"/>
                <w:lang w:eastAsia="zh-CN" w:bidi="ar"/>
              </w:rPr>
              <w:t>1.预算资金分配依据是否充分；</w:t>
            </w:r>
            <w:r>
              <w:rPr>
                <w:rFonts w:eastAsia="宋体"/>
                <w:sz w:val="24"/>
                <w:lang w:eastAsia="zh-CN" w:bidi="ar"/>
              </w:rPr>
              <w:br w:type="textWrapping"/>
            </w:r>
            <w:r>
              <w:rPr>
                <w:rFonts w:eastAsia="宋体"/>
                <w:sz w:val="24"/>
                <w:lang w:eastAsia="zh-CN" w:bidi="ar"/>
              </w:rPr>
              <w:t>2.资金分配额度是否合理，与项目单位或地方实际是否相适应。</w:t>
            </w:r>
          </w:p>
        </w:tc>
        <w:tc>
          <w:tcPr>
            <w:tcW w:w="2420" w:type="dxa"/>
            <w:shd w:val="clear" w:color="000000" w:fill="FFFFFF"/>
            <w:noWrap w:val="0"/>
            <w:vAlign w:val="center"/>
          </w:tcPr>
          <w:p>
            <w:pPr>
              <w:widowControl/>
              <w:spacing w:line="360" w:lineRule="exact"/>
              <w:ind w:firstLine="0" w:firstLineChars="0"/>
              <w:textAlignment w:val="center"/>
              <w:rPr>
                <w:rFonts w:eastAsia="宋体"/>
                <w:color w:val="auto"/>
                <w:sz w:val="24"/>
                <w:lang w:eastAsia="zh-CN" w:bidi="ar-SA"/>
              </w:rPr>
            </w:pPr>
            <w:r>
              <w:rPr>
                <w:rFonts w:eastAsia="宋体"/>
                <w:sz w:val="24"/>
                <w:lang w:eastAsia="zh-CN" w:bidi="ar"/>
              </w:rPr>
              <w:t>具备一个得分要素，得权重分的50%</w:t>
            </w:r>
          </w:p>
        </w:tc>
        <w:tc>
          <w:tcPr>
            <w:tcW w:w="4234" w:type="dxa"/>
            <w:noWrap w:val="0"/>
            <w:vAlign w:val="center"/>
          </w:tcPr>
          <w:p>
            <w:pPr>
              <w:widowControl/>
              <w:spacing w:line="360" w:lineRule="exact"/>
              <w:ind w:firstLine="0" w:firstLineChars="0"/>
              <w:jc w:val="left"/>
              <w:textAlignment w:val="center"/>
              <w:rPr>
                <w:rFonts w:eastAsia="宋体"/>
                <w:sz w:val="24"/>
                <w:lang w:eastAsia="zh-CN" w:bidi="ar-SA"/>
              </w:rPr>
            </w:pPr>
            <w:r>
              <w:rPr>
                <w:rFonts w:hint="eastAsia" w:eastAsia="宋体"/>
                <w:sz w:val="24"/>
                <w:lang w:val="en-US" w:eastAsia="zh-CN" w:bidi="ar"/>
              </w:rPr>
              <w:t>2024年7月31日区文体旅游局召开的党组会会议，第五项内容是关于组织开展金口河区第二届舌尖上的非遗——特色美食大赛及推广交流活动项目，项目的资金预算确定为9.97万元</w:t>
            </w:r>
            <w:r>
              <w:rPr>
                <w:rFonts w:hint="eastAsia" w:eastAsia="宋体"/>
                <w:sz w:val="24"/>
                <w:lang w:eastAsia="zh-CN" w:bidi="ar"/>
              </w:rPr>
              <w:t>。</w:t>
            </w:r>
            <w:r>
              <w:rPr>
                <w:rFonts w:hint="eastAsia" w:eastAsia="宋体"/>
                <w:sz w:val="24"/>
                <w:lang w:val="en-US" w:eastAsia="zh-CN" w:bidi="ar"/>
              </w:rPr>
              <w:t>协</w:t>
            </w:r>
            <w:r>
              <w:rPr>
                <w:rFonts w:hint="eastAsia" w:eastAsia="宋体"/>
                <w:sz w:val="24"/>
                <w:highlight w:val="none"/>
                <w:lang w:val="en-US" w:eastAsia="zh-CN" w:bidi="ar"/>
              </w:rPr>
              <w:t>议附件的实施方案中预算明细里宣传画册设计、印刷未能完成。</w:t>
            </w:r>
            <w:r>
              <w:rPr>
                <w:rFonts w:eastAsia="宋体"/>
                <w:sz w:val="24"/>
                <w:lang w:eastAsia="zh-CN" w:bidi="ar"/>
              </w:rPr>
              <w:t>预算资金</w:t>
            </w:r>
            <w:r>
              <w:rPr>
                <w:rFonts w:hint="eastAsia" w:eastAsia="宋体"/>
                <w:sz w:val="24"/>
                <w:lang w:val="en-US" w:eastAsia="zh-CN" w:bidi="ar"/>
              </w:rPr>
              <w:t>分配依据存在瑕疵，资金控制在</w:t>
            </w:r>
            <w:r>
              <w:rPr>
                <w:rFonts w:eastAsia="宋体"/>
                <w:sz w:val="24"/>
                <w:lang w:eastAsia="zh-CN" w:bidi="ar"/>
              </w:rPr>
              <w:t>额度</w:t>
            </w:r>
            <w:r>
              <w:rPr>
                <w:rFonts w:hint="eastAsia" w:eastAsia="宋体"/>
                <w:sz w:val="24"/>
                <w:lang w:val="en-US" w:eastAsia="zh-CN" w:bidi="ar"/>
              </w:rPr>
              <w:t>内是合理的，与项目实际情况也基本相适应。</w:t>
            </w:r>
            <w:r>
              <w:rPr>
                <w:rFonts w:eastAsia="宋体"/>
                <w:sz w:val="24"/>
                <w:lang w:eastAsia="zh-CN" w:bidi="ar"/>
              </w:rPr>
              <w:t>根据评分标准，该指标满分</w:t>
            </w:r>
            <w:r>
              <w:rPr>
                <w:rFonts w:hint="eastAsia" w:eastAsia="宋体"/>
                <w:sz w:val="24"/>
                <w:lang w:val="en-US" w:eastAsia="zh-CN" w:bidi="ar"/>
              </w:rPr>
              <w:t>3.00分，扣1.50分，得1.50分</w:t>
            </w:r>
            <w:r>
              <w:rPr>
                <w:rFonts w:eastAsia="宋体"/>
                <w:sz w:val="24"/>
                <w:lang w:eastAsia="zh-CN" w:bidi="ar"/>
              </w:rPr>
              <w:t>。</w:t>
            </w:r>
          </w:p>
        </w:tc>
        <w:tc>
          <w:tcPr>
            <w:tcW w:w="816" w:type="dxa"/>
            <w:noWrap w:val="0"/>
            <w:vAlign w:val="center"/>
          </w:tcPr>
          <w:p>
            <w:pPr>
              <w:widowControl/>
              <w:spacing w:line="360" w:lineRule="exact"/>
              <w:ind w:firstLine="0" w:firstLineChars="0"/>
              <w:jc w:val="center"/>
              <w:textAlignment w:val="center"/>
              <w:rPr>
                <w:rFonts w:hint="default" w:eastAsia="宋体"/>
                <w:color w:val="auto"/>
                <w:sz w:val="24"/>
                <w:lang w:val="en-US" w:eastAsia="zh-CN" w:bidi="ar-SA"/>
              </w:rPr>
            </w:pPr>
            <w:r>
              <w:rPr>
                <w:rFonts w:hint="eastAsia" w:eastAsia="宋体"/>
                <w:color w:val="auto"/>
                <w:sz w:val="24"/>
                <w:lang w:val="en-US" w:eastAsia="zh-CN" w:bidi="ar-SA"/>
              </w:rPr>
              <w:t>1.50</w:t>
            </w:r>
          </w:p>
        </w:tc>
        <w:tc>
          <w:tcPr>
            <w:tcW w:w="1104" w:type="dxa"/>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val="en-US" w:eastAsia="zh-CN" w:bidi="ar"/>
              </w:rPr>
              <w:t>5</w:t>
            </w:r>
            <w:r>
              <w:rPr>
                <w:rFonts w:eastAsia="宋体"/>
                <w:sz w:val="24"/>
                <w:lang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5" w:type="dxa"/>
            <w:vMerge w:val="restart"/>
            <w:noWrap w:val="0"/>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B过程（20分）</w:t>
            </w:r>
          </w:p>
        </w:tc>
        <w:tc>
          <w:tcPr>
            <w:tcW w:w="889" w:type="dxa"/>
            <w:vMerge w:val="restart"/>
            <w:noWrap w:val="0"/>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B1资金管理（</w:t>
            </w:r>
            <w:r>
              <w:rPr>
                <w:rFonts w:hint="eastAsia" w:eastAsia="宋体"/>
                <w:sz w:val="24"/>
                <w:lang w:eastAsia="zh-CN" w:bidi="ar"/>
              </w:rPr>
              <w:t>10</w:t>
            </w:r>
            <w:r>
              <w:rPr>
                <w:rFonts w:eastAsia="宋体"/>
                <w:sz w:val="24"/>
                <w:lang w:eastAsia="zh-CN" w:bidi="ar"/>
              </w:rPr>
              <w:t>分）</w:t>
            </w:r>
          </w:p>
        </w:tc>
        <w:tc>
          <w:tcPr>
            <w:tcW w:w="893" w:type="dxa"/>
            <w:noWrap w:val="0"/>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B11资金到位率</w:t>
            </w:r>
          </w:p>
        </w:tc>
        <w:tc>
          <w:tcPr>
            <w:tcW w:w="741" w:type="dxa"/>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eastAsia="zh-CN" w:bidi="ar"/>
              </w:rPr>
              <w:t>3</w:t>
            </w:r>
          </w:p>
        </w:tc>
        <w:tc>
          <w:tcPr>
            <w:tcW w:w="2746" w:type="dxa"/>
            <w:noWrap w:val="0"/>
            <w:vAlign w:val="center"/>
          </w:tcPr>
          <w:p>
            <w:pPr>
              <w:widowControl/>
              <w:spacing w:line="360" w:lineRule="exact"/>
              <w:ind w:firstLine="0" w:firstLineChars="0"/>
              <w:textAlignment w:val="center"/>
              <w:rPr>
                <w:rFonts w:eastAsia="宋体"/>
                <w:sz w:val="24"/>
                <w:lang w:eastAsia="zh-CN" w:bidi="ar-SA"/>
              </w:rPr>
            </w:pPr>
            <w:r>
              <w:rPr>
                <w:rFonts w:eastAsia="宋体"/>
                <w:sz w:val="24"/>
                <w:lang w:eastAsia="zh-CN" w:bidi="ar"/>
              </w:rPr>
              <w:t>资金到位率=（实际到位资金/预算资金）×100%。</w:t>
            </w:r>
            <w:r>
              <w:rPr>
                <w:rFonts w:eastAsia="宋体"/>
                <w:sz w:val="24"/>
                <w:lang w:eastAsia="zh-CN" w:bidi="ar"/>
              </w:rPr>
              <w:br w:type="textWrapping"/>
            </w:r>
            <w:r>
              <w:rPr>
                <w:rFonts w:eastAsia="宋体"/>
                <w:sz w:val="24"/>
                <w:lang w:eastAsia="zh-CN" w:bidi="ar"/>
              </w:rPr>
              <w:t>实际到位资金：一定时期（本年度或项目期）内落实到具体项目的资金。</w:t>
            </w:r>
            <w:r>
              <w:rPr>
                <w:rFonts w:eastAsia="宋体"/>
                <w:sz w:val="24"/>
                <w:lang w:eastAsia="zh-CN" w:bidi="ar"/>
              </w:rPr>
              <w:br w:type="textWrapping"/>
            </w:r>
            <w:r>
              <w:rPr>
                <w:rFonts w:eastAsia="宋体"/>
                <w:sz w:val="24"/>
                <w:lang w:eastAsia="zh-CN" w:bidi="ar"/>
              </w:rPr>
              <w:t>预算资金：一定时期（本年度或项目期）内预算安排到具体项目的资金。</w:t>
            </w:r>
          </w:p>
        </w:tc>
        <w:tc>
          <w:tcPr>
            <w:tcW w:w="2420" w:type="dxa"/>
            <w:noWrap w:val="0"/>
            <w:vAlign w:val="center"/>
          </w:tcPr>
          <w:p>
            <w:pPr>
              <w:widowControl/>
              <w:spacing w:line="360" w:lineRule="exact"/>
              <w:ind w:firstLine="0" w:firstLineChars="0"/>
              <w:textAlignment w:val="center"/>
              <w:rPr>
                <w:rFonts w:eastAsia="宋体"/>
                <w:color w:val="auto"/>
                <w:sz w:val="24"/>
                <w:lang w:eastAsia="zh-CN" w:bidi="ar-SA"/>
              </w:rPr>
            </w:pPr>
            <w:r>
              <w:rPr>
                <w:rFonts w:eastAsia="宋体"/>
                <w:sz w:val="24"/>
                <w:lang w:eastAsia="zh-CN" w:bidi="ar"/>
              </w:rPr>
              <w:t>资金到位及时率&lt;100%，且未对项目开展造成不良影响，得分等于指标业绩值*资金到位率；资金到位及时率&lt;100%，且对项目开展造成不良影响，得分等于0。</w:t>
            </w:r>
          </w:p>
        </w:tc>
        <w:tc>
          <w:tcPr>
            <w:tcW w:w="4234" w:type="dxa"/>
            <w:noWrap w:val="0"/>
            <w:vAlign w:val="center"/>
          </w:tcPr>
          <w:p>
            <w:pPr>
              <w:widowControl/>
              <w:spacing w:line="360" w:lineRule="exact"/>
              <w:ind w:firstLine="0" w:firstLineChars="0"/>
              <w:jc w:val="left"/>
              <w:textAlignment w:val="center"/>
              <w:rPr>
                <w:rFonts w:eastAsia="宋体"/>
                <w:sz w:val="24"/>
                <w:lang w:eastAsia="zh-CN" w:bidi="ar-SA"/>
              </w:rPr>
            </w:pPr>
            <w:r>
              <w:rPr>
                <w:rFonts w:hint="eastAsia" w:eastAsia="宋体"/>
                <w:sz w:val="24"/>
                <w:lang w:eastAsia="zh-CN" w:bidi="ar"/>
              </w:rPr>
              <w:t>农业产业推广：第二届非遗特色美食大赛及推广项目</w:t>
            </w:r>
            <w:r>
              <w:rPr>
                <w:rFonts w:eastAsia="宋体"/>
                <w:sz w:val="24"/>
                <w:lang w:eastAsia="zh-CN" w:bidi="ar"/>
              </w:rPr>
              <w:t>预算资金</w:t>
            </w:r>
            <w:r>
              <w:rPr>
                <w:rFonts w:hint="eastAsia" w:eastAsia="宋体"/>
                <w:sz w:val="24"/>
                <w:lang w:val="en-US" w:eastAsia="zh-CN" w:bidi="ar"/>
              </w:rPr>
              <w:t>10</w:t>
            </w:r>
            <w:r>
              <w:rPr>
                <w:rFonts w:eastAsia="宋体"/>
                <w:sz w:val="24"/>
                <w:lang w:eastAsia="zh-CN" w:bidi="ar"/>
              </w:rPr>
              <w:t>万元，实际到位</w:t>
            </w:r>
            <w:r>
              <w:rPr>
                <w:rFonts w:hint="eastAsia" w:eastAsia="宋体"/>
                <w:sz w:val="24"/>
                <w:lang w:val="en-US" w:eastAsia="zh-CN" w:bidi="ar"/>
              </w:rPr>
              <w:t>10</w:t>
            </w:r>
            <w:r>
              <w:rPr>
                <w:rFonts w:eastAsia="宋体"/>
                <w:sz w:val="24"/>
                <w:lang w:eastAsia="zh-CN" w:bidi="ar"/>
              </w:rPr>
              <w:t>万元，资金到位率100%。依据评分方法，该指标</w:t>
            </w:r>
            <w:r>
              <w:rPr>
                <w:rFonts w:hint="eastAsia" w:eastAsia="宋体"/>
                <w:sz w:val="24"/>
                <w:lang w:val="en-US" w:eastAsia="zh-CN" w:bidi="ar"/>
              </w:rPr>
              <w:t>得</w:t>
            </w:r>
            <w:r>
              <w:rPr>
                <w:rFonts w:eastAsia="宋体"/>
                <w:sz w:val="24"/>
                <w:lang w:eastAsia="zh-CN" w:bidi="ar"/>
              </w:rPr>
              <w:t>满分</w:t>
            </w:r>
            <w:r>
              <w:rPr>
                <w:rFonts w:hint="eastAsia" w:eastAsia="宋体"/>
                <w:sz w:val="24"/>
                <w:lang w:val="en-US" w:eastAsia="zh-CN" w:bidi="ar"/>
              </w:rPr>
              <w:t>3.00分</w:t>
            </w:r>
            <w:r>
              <w:rPr>
                <w:rFonts w:eastAsia="宋体"/>
                <w:sz w:val="24"/>
                <w:lang w:eastAsia="zh-CN" w:bidi="ar"/>
              </w:rPr>
              <w:t>。</w:t>
            </w:r>
          </w:p>
        </w:tc>
        <w:tc>
          <w:tcPr>
            <w:tcW w:w="816" w:type="dxa"/>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eastAsia="zh-CN" w:bidi="ar"/>
              </w:rPr>
              <w:t>3</w:t>
            </w:r>
          </w:p>
        </w:tc>
        <w:tc>
          <w:tcPr>
            <w:tcW w:w="1104" w:type="dxa"/>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eastAsia="宋体"/>
                <w:sz w:val="24"/>
                <w:lang w:eastAsia="zh-CN" w:bidi="ar"/>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5" w:type="dxa"/>
            <w:vMerge w:val="continue"/>
            <w:noWrap w:val="0"/>
            <w:vAlign w:val="center"/>
          </w:tcPr>
          <w:p>
            <w:pPr>
              <w:widowControl/>
              <w:spacing w:line="360" w:lineRule="exact"/>
              <w:ind w:firstLine="0" w:firstLineChars="0"/>
              <w:jc w:val="center"/>
              <w:rPr>
                <w:rFonts w:eastAsia="宋体"/>
                <w:sz w:val="24"/>
                <w:lang w:eastAsia="zh-CN" w:bidi="ar-SA"/>
              </w:rPr>
            </w:pPr>
          </w:p>
        </w:tc>
        <w:tc>
          <w:tcPr>
            <w:tcW w:w="889" w:type="dxa"/>
            <w:vMerge w:val="continue"/>
            <w:noWrap w:val="0"/>
            <w:vAlign w:val="center"/>
          </w:tcPr>
          <w:p>
            <w:pPr>
              <w:widowControl/>
              <w:spacing w:line="360" w:lineRule="exact"/>
              <w:ind w:firstLine="0" w:firstLineChars="0"/>
              <w:jc w:val="center"/>
              <w:rPr>
                <w:rFonts w:eastAsia="宋体"/>
                <w:sz w:val="24"/>
                <w:lang w:eastAsia="zh-CN" w:bidi="ar-SA"/>
              </w:rPr>
            </w:pPr>
          </w:p>
        </w:tc>
        <w:tc>
          <w:tcPr>
            <w:tcW w:w="893" w:type="dxa"/>
            <w:noWrap w:val="0"/>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B12预算执行率</w:t>
            </w:r>
          </w:p>
        </w:tc>
        <w:tc>
          <w:tcPr>
            <w:tcW w:w="741" w:type="dxa"/>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eastAsia="宋体"/>
                <w:sz w:val="24"/>
                <w:lang w:eastAsia="zh-CN" w:bidi="ar"/>
              </w:rPr>
              <w:t>3</w:t>
            </w:r>
          </w:p>
        </w:tc>
        <w:tc>
          <w:tcPr>
            <w:tcW w:w="2746" w:type="dxa"/>
            <w:noWrap w:val="0"/>
            <w:vAlign w:val="center"/>
          </w:tcPr>
          <w:p>
            <w:pPr>
              <w:widowControl/>
              <w:spacing w:line="360" w:lineRule="exact"/>
              <w:ind w:firstLine="0" w:firstLineChars="0"/>
              <w:textAlignment w:val="center"/>
              <w:rPr>
                <w:rFonts w:eastAsia="宋体"/>
                <w:sz w:val="24"/>
                <w:lang w:eastAsia="zh-CN" w:bidi="ar-SA"/>
              </w:rPr>
            </w:pPr>
            <w:r>
              <w:rPr>
                <w:rFonts w:eastAsia="宋体"/>
                <w:sz w:val="24"/>
                <w:lang w:eastAsia="zh-CN" w:bidi="ar"/>
              </w:rPr>
              <w:t>预算执行率=（实际支出资金/实际到位资金）×100%。</w:t>
            </w:r>
            <w:r>
              <w:rPr>
                <w:rFonts w:eastAsia="宋体"/>
                <w:sz w:val="24"/>
                <w:lang w:eastAsia="zh-CN" w:bidi="ar"/>
              </w:rPr>
              <w:br w:type="textWrapping"/>
            </w:r>
            <w:r>
              <w:rPr>
                <w:rFonts w:eastAsia="宋体"/>
                <w:sz w:val="24"/>
                <w:lang w:eastAsia="zh-CN" w:bidi="ar"/>
              </w:rPr>
              <w:t>实际支出资金：一定时期（本年度或项目期）内项目实际拨付的资金。</w:t>
            </w:r>
          </w:p>
        </w:tc>
        <w:tc>
          <w:tcPr>
            <w:tcW w:w="2420" w:type="dxa"/>
            <w:noWrap w:val="0"/>
            <w:vAlign w:val="center"/>
          </w:tcPr>
          <w:p>
            <w:pPr>
              <w:widowControl/>
              <w:spacing w:line="360" w:lineRule="exact"/>
              <w:ind w:firstLine="0" w:firstLineChars="0"/>
              <w:jc w:val="left"/>
              <w:textAlignment w:val="center"/>
              <w:rPr>
                <w:rFonts w:eastAsia="宋体"/>
                <w:color w:val="auto"/>
                <w:sz w:val="24"/>
                <w:lang w:eastAsia="zh-CN" w:bidi="ar-SA"/>
              </w:rPr>
            </w:pPr>
            <w:r>
              <w:rPr>
                <w:rFonts w:eastAsia="宋体"/>
                <w:sz w:val="24"/>
                <w:lang w:eastAsia="zh-CN" w:bidi="ar"/>
              </w:rPr>
              <w:t>预算执行率=预算实际使用金额/预算资金计划投入金额，实际得分=预算执行率*3</w:t>
            </w:r>
          </w:p>
        </w:tc>
        <w:tc>
          <w:tcPr>
            <w:tcW w:w="4234" w:type="dxa"/>
            <w:noWrap w:val="0"/>
            <w:vAlign w:val="center"/>
          </w:tcPr>
          <w:p>
            <w:pPr>
              <w:widowControl/>
              <w:spacing w:line="360" w:lineRule="exact"/>
              <w:ind w:firstLine="0" w:firstLineChars="0"/>
              <w:jc w:val="left"/>
              <w:textAlignment w:val="center"/>
              <w:rPr>
                <w:rFonts w:eastAsia="宋体"/>
                <w:sz w:val="24"/>
                <w:lang w:eastAsia="zh-CN" w:bidi="ar"/>
              </w:rPr>
            </w:pPr>
            <w:r>
              <w:rPr>
                <w:rFonts w:hint="eastAsia" w:eastAsia="宋体"/>
                <w:sz w:val="24"/>
                <w:lang w:eastAsia="zh-CN" w:bidi="ar"/>
              </w:rPr>
              <w:t>农业产业推广：第二届非遗特色美食大赛及推广项目</w:t>
            </w:r>
            <w:r>
              <w:rPr>
                <w:rFonts w:eastAsia="宋体"/>
                <w:sz w:val="24"/>
                <w:lang w:eastAsia="zh-CN" w:bidi="ar"/>
              </w:rPr>
              <w:t>预算资金为</w:t>
            </w:r>
            <w:r>
              <w:rPr>
                <w:rFonts w:hint="eastAsia" w:eastAsia="宋体"/>
                <w:sz w:val="24"/>
                <w:lang w:val="en-US" w:eastAsia="zh-CN" w:bidi="ar"/>
              </w:rPr>
              <w:t>10</w:t>
            </w:r>
            <w:r>
              <w:rPr>
                <w:rFonts w:eastAsia="宋体"/>
                <w:sz w:val="24"/>
                <w:lang w:eastAsia="zh-CN" w:bidi="ar"/>
              </w:rPr>
              <w:t>万元，实际到位</w:t>
            </w:r>
            <w:r>
              <w:rPr>
                <w:rFonts w:hint="eastAsia" w:eastAsia="宋体"/>
                <w:sz w:val="24"/>
                <w:lang w:val="en-US" w:eastAsia="zh-CN" w:bidi="ar"/>
              </w:rPr>
              <w:t>10</w:t>
            </w:r>
            <w:r>
              <w:rPr>
                <w:rFonts w:eastAsia="宋体"/>
                <w:sz w:val="24"/>
                <w:lang w:eastAsia="zh-CN" w:bidi="ar"/>
              </w:rPr>
              <w:t>万元，</w:t>
            </w:r>
            <w:r>
              <w:rPr>
                <w:rFonts w:hint="eastAsia" w:eastAsia="宋体"/>
                <w:sz w:val="24"/>
                <w:lang w:val="en-US" w:eastAsia="zh-CN" w:bidi="ar"/>
              </w:rPr>
              <w:t>截止2024年11月19日实际支出7.05</w:t>
            </w:r>
            <w:r>
              <w:rPr>
                <w:rFonts w:eastAsia="宋体"/>
                <w:sz w:val="24"/>
                <w:lang w:eastAsia="zh-CN" w:bidi="ar"/>
              </w:rPr>
              <w:t>万元。预算执行率为</w:t>
            </w:r>
            <w:r>
              <w:rPr>
                <w:rFonts w:hint="eastAsia" w:eastAsia="宋体"/>
                <w:sz w:val="24"/>
                <w:lang w:val="en-US" w:eastAsia="zh-CN" w:bidi="ar"/>
              </w:rPr>
              <w:t>70.50</w:t>
            </w:r>
            <w:r>
              <w:rPr>
                <w:rFonts w:eastAsia="宋体"/>
                <w:sz w:val="24"/>
                <w:lang w:eastAsia="zh-CN" w:bidi="ar"/>
              </w:rPr>
              <w:t>%。根据评分标准，</w:t>
            </w:r>
            <w:r>
              <w:rPr>
                <w:rFonts w:hint="eastAsia" w:eastAsia="宋体"/>
                <w:sz w:val="24"/>
                <w:lang w:val="en-US" w:eastAsia="zh-CN" w:bidi="ar"/>
              </w:rPr>
              <w:t>该指标得3.00*70.5%=2.12</w:t>
            </w:r>
            <w:r>
              <w:rPr>
                <w:rFonts w:eastAsia="宋体"/>
                <w:sz w:val="24"/>
                <w:lang w:eastAsia="zh-CN" w:bidi="ar"/>
              </w:rPr>
              <w:t>分。</w:t>
            </w:r>
          </w:p>
        </w:tc>
        <w:tc>
          <w:tcPr>
            <w:tcW w:w="816" w:type="dxa"/>
            <w:noWrap w:val="0"/>
            <w:vAlign w:val="center"/>
          </w:tcPr>
          <w:p>
            <w:pPr>
              <w:widowControl/>
              <w:spacing w:line="360" w:lineRule="exact"/>
              <w:ind w:firstLine="0" w:firstLineChars="0"/>
              <w:jc w:val="center"/>
              <w:textAlignment w:val="center"/>
              <w:rPr>
                <w:rFonts w:hint="default" w:eastAsia="宋体"/>
                <w:color w:val="auto"/>
                <w:sz w:val="24"/>
                <w:lang w:val="en-US" w:eastAsia="zh-CN" w:bidi="ar-SA"/>
              </w:rPr>
            </w:pPr>
            <w:r>
              <w:rPr>
                <w:rFonts w:hint="eastAsia" w:eastAsia="宋体"/>
                <w:sz w:val="24"/>
                <w:lang w:val="en-US" w:eastAsia="zh-CN" w:bidi="ar"/>
              </w:rPr>
              <w:t>2.12</w:t>
            </w:r>
          </w:p>
        </w:tc>
        <w:tc>
          <w:tcPr>
            <w:tcW w:w="1104" w:type="dxa"/>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val="en-US" w:eastAsia="zh-CN" w:bidi="ar"/>
              </w:rPr>
              <w:t>70.50</w:t>
            </w:r>
            <w:r>
              <w:rPr>
                <w:rFonts w:eastAsia="宋体"/>
                <w:sz w:val="24"/>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5" w:type="dxa"/>
            <w:vMerge w:val="continue"/>
            <w:noWrap w:val="0"/>
            <w:vAlign w:val="center"/>
          </w:tcPr>
          <w:p>
            <w:pPr>
              <w:widowControl/>
              <w:spacing w:line="360" w:lineRule="exact"/>
              <w:ind w:firstLine="0" w:firstLineChars="0"/>
              <w:jc w:val="center"/>
              <w:rPr>
                <w:rFonts w:eastAsia="宋体"/>
                <w:sz w:val="24"/>
                <w:lang w:eastAsia="zh-CN" w:bidi="ar-SA"/>
              </w:rPr>
            </w:pPr>
          </w:p>
        </w:tc>
        <w:tc>
          <w:tcPr>
            <w:tcW w:w="889" w:type="dxa"/>
            <w:vMerge w:val="continue"/>
            <w:noWrap w:val="0"/>
            <w:vAlign w:val="center"/>
          </w:tcPr>
          <w:p>
            <w:pPr>
              <w:widowControl/>
              <w:spacing w:line="360" w:lineRule="exact"/>
              <w:ind w:firstLine="0" w:firstLineChars="0"/>
              <w:jc w:val="center"/>
              <w:rPr>
                <w:rFonts w:eastAsia="宋体"/>
                <w:sz w:val="24"/>
                <w:lang w:eastAsia="zh-CN" w:bidi="ar-SA"/>
              </w:rPr>
            </w:pPr>
          </w:p>
        </w:tc>
        <w:tc>
          <w:tcPr>
            <w:tcW w:w="893" w:type="dxa"/>
            <w:noWrap w:val="0"/>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B13资金使用合规性</w:t>
            </w:r>
          </w:p>
        </w:tc>
        <w:tc>
          <w:tcPr>
            <w:tcW w:w="741" w:type="dxa"/>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eastAsia="zh-CN" w:bidi="ar"/>
              </w:rPr>
              <w:t>4</w:t>
            </w:r>
          </w:p>
        </w:tc>
        <w:tc>
          <w:tcPr>
            <w:tcW w:w="2746" w:type="dxa"/>
            <w:noWrap w:val="0"/>
            <w:vAlign w:val="center"/>
          </w:tcPr>
          <w:p>
            <w:pPr>
              <w:widowControl/>
              <w:spacing w:line="360" w:lineRule="exact"/>
              <w:ind w:firstLine="0" w:firstLineChars="0"/>
              <w:textAlignment w:val="center"/>
              <w:rPr>
                <w:rFonts w:eastAsia="宋体"/>
                <w:sz w:val="24"/>
                <w:lang w:eastAsia="zh-CN" w:bidi="ar-SA"/>
              </w:rPr>
            </w:pPr>
            <w:r>
              <w:rPr>
                <w:rFonts w:eastAsia="宋体"/>
                <w:sz w:val="24"/>
                <w:lang w:eastAsia="zh-CN" w:bidi="ar"/>
              </w:rPr>
              <w:t>评价要点：</w:t>
            </w:r>
            <w:r>
              <w:rPr>
                <w:rFonts w:eastAsia="宋体"/>
                <w:sz w:val="24"/>
                <w:lang w:eastAsia="zh-CN" w:bidi="ar"/>
              </w:rPr>
              <w:br w:type="textWrapping"/>
            </w:r>
            <w:r>
              <w:rPr>
                <w:rFonts w:eastAsia="宋体"/>
                <w:sz w:val="24"/>
                <w:lang w:eastAsia="zh-CN" w:bidi="ar"/>
              </w:rPr>
              <w:t>1.是否符合国家财经法规和财务管理制度；</w:t>
            </w:r>
            <w:r>
              <w:rPr>
                <w:rFonts w:eastAsia="宋体"/>
                <w:sz w:val="24"/>
                <w:lang w:eastAsia="zh-CN" w:bidi="ar"/>
              </w:rPr>
              <w:br w:type="textWrapping"/>
            </w:r>
            <w:r>
              <w:rPr>
                <w:rFonts w:eastAsia="宋体"/>
                <w:sz w:val="24"/>
                <w:lang w:eastAsia="zh-CN" w:bidi="ar"/>
              </w:rPr>
              <w:t>2.资金的拨付是否有完整的审批程序和手续；</w:t>
            </w:r>
            <w:r>
              <w:rPr>
                <w:rFonts w:eastAsia="宋体"/>
                <w:sz w:val="24"/>
                <w:lang w:eastAsia="zh-CN" w:bidi="ar"/>
              </w:rPr>
              <w:br w:type="textWrapping"/>
            </w:r>
            <w:r>
              <w:rPr>
                <w:rFonts w:eastAsia="宋体"/>
                <w:sz w:val="24"/>
                <w:lang w:eastAsia="zh-CN" w:bidi="ar"/>
              </w:rPr>
              <w:t>3.是否符合项目预算批复或合同规定的用途；</w:t>
            </w:r>
            <w:r>
              <w:rPr>
                <w:rFonts w:eastAsia="宋体"/>
                <w:sz w:val="24"/>
                <w:lang w:eastAsia="zh-CN" w:bidi="ar"/>
              </w:rPr>
              <w:br w:type="textWrapping"/>
            </w:r>
            <w:r>
              <w:rPr>
                <w:rFonts w:eastAsia="宋体"/>
                <w:sz w:val="24"/>
                <w:lang w:eastAsia="zh-CN" w:bidi="ar"/>
              </w:rPr>
              <w:t>4.是否存在截留、挤占、挪用、虚列支出等情况。</w:t>
            </w:r>
          </w:p>
        </w:tc>
        <w:tc>
          <w:tcPr>
            <w:tcW w:w="2420" w:type="dxa"/>
            <w:noWrap w:val="0"/>
            <w:vAlign w:val="center"/>
          </w:tcPr>
          <w:p>
            <w:pPr>
              <w:widowControl/>
              <w:spacing w:line="360" w:lineRule="exact"/>
              <w:ind w:firstLine="0" w:firstLineChars="0"/>
              <w:textAlignment w:val="center"/>
              <w:rPr>
                <w:rFonts w:eastAsia="宋体"/>
                <w:color w:val="auto"/>
                <w:sz w:val="24"/>
                <w:lang w:eastAsia="zh-CN" w:bidi="ar-SA"/>
              </w:rPr>
            </w:pPr>
            <w:r>
              <w:rPr>
                <w:rFonts w:eastAsia="宋体"/>
                <w:sz w:val="24"/>
                <w:lang w:eastAsia="zh-CN" w:bidi="ar"/>
              </w:rPr>
              <w:t>具备一个得分要素，得权重分的25%</w:t>
            </w:r>
          </w:p>
        </w:tc>
        <w:tc>
          <w:tcPr>
            <w:tcW w:w="4234" w:type="dxa"/>
            <w:noWrap w:val="0"/>
            <w:vAlign w:val="center"/>
          </w:tcPr>
          <w:p>
            <w:pPr>
              <w:widowControl/>
              <w:spacing w:line="360" w:lineRule="exact"/>
              <w:ind w:firstLine="0" w:firstLineChars="0"/>
              <w:jc w:val="left"/>
              <w:textAlignment w:val="center"/>
              <w:rPr>
                <w:rFonts w:eastAsia="宋体"/>
                <w:sz w:val="24"/>
                <w:lang w:eastAsia="zh-CN" w:bidi="ar-SA"/>
              </w:rPr>
            </w:pPr>
            <w:r>
              <w:rPr>
                <w:rFonts w:eastAsia="宋体"/>
                <w:sz w:val="24"/>
                <w:lang w:eastAsia="zh-CN" w:bidi="ar"/>
              </w:rPr>
              <w:t>项目资金使用符合相关财务管理制度；资金的拨付有</w:t>
            </w:r>
            <w:r>
              <w:rPr>
                <w:rFonts w:hint="eastAsia" w:eastAsia="宋体"/>
                <w:sz w:val="24"/>
                <w:lang w:val="en-US" w:eastAsia="zh-CN" w:bidi="ar"/>
              </w:rPr>
              <w:t>经签字确认的金口河区文体旅游局费用报销单、单位资金支付</w:t>
            </w:r>
            <w:r>
              <w:rPr>
                <w:rFonts w:eastAsia="宋体"/>
                <w:sz w:val="24"/>
                <w:lang w:eastAsia="zh-CN" w:bidi="ar"/>
              </w:rPr>
              <w:t>凭证、发票等审批手续。符合项目预算批复或合同规定的用途。未发现有截留、挤占、挪用、虚列支出等情况。依据评分方法，该指标得满分</w:t>
            </w:r>
            <w:r>
              <w:rPr>
                <w:rFonts w:hint="eastAsia" w:eastAsia="宋体"/>
                <w:sz w:val="24"/>
                <w:lang w:val="en-US" w:eastAsia="zh-CN" w:bidi="ar"/>
              </w:rPr>
              <w:t>4.00分</w:t>
            </w:r>
            <w:r>
              <w:rPr>
                <w:rFonts w:eastAsia="宋体"/>
                <w:sz w:val="24"/>
                <w:lang w:eastAsia="zh-CN" w:bidi="ar"/>
              </w:rPr>
              <w:t>。</w:t>
            </w:r>
          </w:p>
        </w:tc>
        <w:tc>
          <w:tcPr>
            <w:tcW w:w="816" w:type="dxa"/>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eastAsia="zh-CN" w:bidi="ar"/>
              </w:rPr>
              <w:t>4</w:t>
            </w:r>
          </w:p>
        </w:tc>
        <w:tc>
          <w:tcPr>
            <w:tcW w:w="1104" w:type="dxa"/>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eastAsia="宋体"/>
                <w:sz w:val="24"/>
                <w:lang w:eastAsia="zh-CN" w:bidi="ar"/>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5" w:type="dxa"/>
            <w:vMerge w:val="continue"/>
            <w:shd w:val="clear" w:color="auto" w:fill="auto"/>
            <w:noWrap w:val="0"/>
            <w:vAlign w:val="center"/>
          </w:tcPr>
          <w:p>
            <w:pPr>
              <w:widowControl/>
              <w:spacing w:line="360" w:lineRule="exact"/>
              <w:ind w:firstLine="0" w:firstLineChars="0"/>
              <w:jc w:val="center"/>
              <w:rPr>
                <w:rFonts w:eastAsia="宋体"/>
                <w:sz w:val="24"/>
                <w:lang w:eastAsia="zh-CN" w:bidi="ar-SA"/>
              </w:rPr>
            </w:pPr>
          </w:p>
        </w:tc>
        <w:tc>
          <w:tcPr>
            <w:tcW w:w="889" w:type="dxa"/>
            <w:vMerge w:val="restart"/>
            <w:shd w:val="clear" w:color="auto" w:fill="auto"/>
            <w:noWrap w:val="0"/>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B2组织实施（</w:t>
            </w:r>
            <w:r>
              <w:rPr>
                <w:rFonts w:hint="eastAsia" w:eastAsia="宋体"/>
                <w:sz w:val="24"/>
                <w:lang w:eastAsia="zh-CN" w:bidi="ar"/>
              </w:rPr>
              <w:t>10</w:t>
            </w:r>
            <w:r>
              <w:rPr>
                <w:rFonts w:eastAsia="宋体"/>
                <w:sz w:val="24"/>
                <w:lang w:eastAsia="zh-CN" w:bidi="ar"/>
              </w:rPr>
              <w:t>分）</w:t>
            </w:r>
          </w:p>
        </w:tc>
        <w:tc>
          <w:tcPr>
            <w:tcW w:w="893" w:type="dxa"/>
            <w:shd w:val="clear" w:color="auto" w:fill="auto"/>
            <w:noWrap w:val="0"/>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B2</w:t>
            </w:r>
            <w:r>
              <w:rPr>
                <w:rFonts w:hint="eastAsia" w:eastAsia="宋体"/>
                <w:sz w:val="24"/>
                <w:lang w:eastAsia="zh-CN" w:bidi="ar"/>
              </w:rPr>
              <w:t>1</w:t>
            </w:r>
            <w:r>
              <w:rPr>
                <w:rFonts w:eastAsia="宋体"/>
                <w:sz w:val="24"/>
                <w:lang w:eastAsia="zh-CN" w:bidi="ar"/>
              </w:rPr>
              <w:t>项目</w:t>
            </w:r>
            <w:r>
              <w:rPr>
                <w:rFonts w:hint="eastAsia" w:eastAsia="宋体"/>
                <w:sz w:val="24"/>
                <w:lang w:val="en-US" w:eastAsia="zh-CN" w:bidi="ar"/>
              </w:rPr>
              <w:t>实施流程及</w:t>
            </w:r>
            <w:r>
              <w:rPr>
                <w:rFonts w:eastAsia="宋体"/>
                <w:sz w:val="24"/>
                <w:lang w:eastAsia="zh-CN" w:bidi="ar"/>
              </w:rPr>
              <w:t>采购合规性</w:t>
            </w:r>
          </w:p>
        </w:tc>
        <w:tc>
          <w:tcPr>
            <w:tcW w:w="741" w:type="dxa"/>
            <w:shd w:val="clear" w:color="auto" w:fill="auto"/>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eastAsia="zh-CN" w:bidi="ar"/>
              </w:rPr>
              <w:t>5</w:t>
            </w:r>
          </w:p>
        </w:tc>
        <w:tc>
          <w:tcPr>
            <w:tcW w:w="2746" w:type="dxa"/>
            <w:shd w:val="clear" w:color="auto" w:fill="auto"/>
            <w:noWrap w:val="0"/>
            <w:vAlign w:val="center"/>
          </w:tcPr>
          <w:p>
            <w:pPr>
              <w:widowControl/>
              <w:spacing w:line="360" w:lineRule="exact"/>
              <w:ind w:firstLine="0" w:firstLineChars="0"/>
              <w:jc w:val="left"/>
              <w:textAlignment w:val="center"/>
              <w:rPr>
                <w:rFonts w:eastAsia="宋体"/>
                <w:sz w:val="24"/>
                <w:lang w:eastAsia="zh-CN" w:bidi="ar-SA"/>
              </w:rPr>
            </w:pPr>
            <w:r>
              <w:rPr>
                <w:rFonts w:eastAsia="宋体"/>
                <w:sz w:val="24"/>
                <w:lang w:eastAsia="zh-CN" w:bidi="ar"/>
              </w:rPr>
              <w:t>评价要点：</w:t>
            </w:r>
            <w:r>
              <w:rPr>
                <w:rFonts w:eastAsia="宋体"/>
                <w:sz w:val="24"/>
                <w:lang w:eastAsia="zh-CN" w:bidi="ar"/>
              </w:rPr>
              <w:br w:type="textWrapping"/>
            </w:r>
            <w:r>
              <w:rPr>
                <w:rFonts w:eastAsia="宋体"/>
                <w:sz w:val="24"/>
                <w:lang w:eastAsia="zh-CN" w:bidi="ar"/>
              </w:rPr>
              <w:t>项目单位</w:t>
            </w:r>
            <w:r>
              <w:rPr>
                <w:rFonts w:hint="eastAsia" w:eastAsia="宋体"/>
                <w:sz w:val="24"/>
                <w:lang w:val="en-US" w:eastAsia="zh-CN" w:bidi="ar"/>
              </w:rPr>
              <w:t>实施流程是否规范，</w:t>
            </w:r>
            <w:r>
              <w:rPr>
                <w:rFonts w:eastAsia="宋体"/>
                <w:sz w:val="24"/>
                <w:lang w:eastAsia="zh-CN" w:bidi="ar"/>
              </w:rPr>
              <w:t>是否通过购买服务与具有相应资质、报价合理的供应商签订合同或协议。</w:t>
            </w:r>
          </w:p>
        </w:tc>
        <w:tc>
          <w:tcPr>
            <w:tcW w:w="2420" w:type="dxa"/>
            <w:shd w:val="clear" w:color="auto" w:fill="auto"/>
            <w:noWrap w:val="0"/>
            <w:vAlign w:val="center"/>
          </w:tcPr>
          <w:p>
            <w:pPr>
              <w:widowControl/>
              <w:spacing w:line="360" w:lineRule="exact"/>
              <w:ind w:firstLine="0" w:firstLineChars="0"/>
              <w:textAlignment w:val="center"/>
              <w:rPr>
                <w:rFonts w:eastAsia="宋体"/>
                <w:color w:val="auto"/>
                <w:sz w:val="24"/>
                <w:lang w:eastAsia="zh-CN" w:bidi="ar-SA"/>
              </w:rPr>
            </w:pPr>
            <w:r>
              <w:rPr>
                <w:rFonts w:hint="eastAsia" w:eastAsia="宋体"/>
                <w:sz w:val="24"/>
                <w:lang w:val="en-US" w:eastAsia="zh-CN" w:bidi="ar"/>
              </w:rPr>
              <w:t>项目单位实施流程有一项不合规的扣权重分的50%；项目</w:t>
            </w:r>
            <w:r>
              <w:rPr>
                <w:rFonts w:hint="eastAsia" w:eastAsia="宋体"/>
                <w:sz w:val="24"/>
                <w:lang w:eastAsia="zh-CN" w:bidi="ar"/>
              </w:rPr>
              <w:t>未通过购买服务流程扣</w:t>
            </w:r>
            <w:r>
              <w:rPr>
                <w:rFonts w:hint="eastAsia" w:eastAsia="宋体"/>
                <w:sz w:val="24"/>
                <w:lang w:val="en-US" w:eastAsia="zh-CN" w:bidi="ar"/>
              </w:rPr>
              <w:t>权重分的50%</w:t>
            </w:r>
            <w:r>
              <w:rPr>
                <w:rFonts w:eastAsia="宋体"/>
                <w:sz w:val="24"/>
                <w:lang w:eastAsia="zh-CN" w:bidi="ar"/>
              </w:rPr>
              <w:t>。</w:t>
            </w:r>
          </w:p>
        </w:tc>
        <w:tc>
          <w:tcPr>
            <w:tcW w:w="4234" w:type="dxa"/>
            <w:shd w:val="clear" w:color="000000"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outlineLvl w:val="0"/>
              <w:rPr>
                <w:rFonts w:eastAsia="宋体"/>
                <w:sz w:val="24"/>
                <w:lang w:eastAsia="zh-CN" w:bidi="ar-SA"/>
              </w:rPr>
            </w:pPr>
            <w:r>
              <w:rPr>
                <w:rFonts w:hint="eastAsia" w:eastAsia="宋体"/>
                <w:sz w:val="24"/>
                <w:lang w:val="en-US" w:eastAsia="zh-CN" w:bidi="ar"/>
              </w:rPr>
              <w:t>2024年7月31日区文体旅游局发出《询价函》，经询价对比2024年8月16日党组会确定乐山市同舟营销策划有限公司为中标方，中标价98,600.00元。2024年8月19日区文体旅游局与乐山市同舟营销策划有限公司签订《活动策划协议》。2024年8月29日经区文体旅游局党组会同意，变更服务费用为70,500.00元。项目</w:t>
            </w:r>
            <w:r>
              <w:rPr>
                <w:rFonts w:hint="eastAsia" w:ascii="Times New Roman" w:hAnsi="Times New Roman" w:eastAsia="宋体" w:cs="Times New Roman"/>
                <w:sz w:val="24"/>
                <w:lang w:val="en-US" w:eastAsia="zh-CN" w:bidi="ar"/>
              </w:rPr>
              <w:t>实施</w:t>
            </w:r>
            <w:r>
              <w:rPr>
                <w:rFonts w:hint="eastAsia" w:eastAsia="宋体"/>
                <w:sz w:val="24"/>
                <w:lang w:val="en-US" w:eastAsia="zh-CN" w:bidi="ar"/>
              </w:rPr>
              <w:t>流程规范，通过询价与具有相应资质报价合理的供应商签订合同，符合项目相关规定</w:t>
            </w:r>
            <w:r>
              <w:rPr>
                <w:rFonts w:eastAsia="宋体"/>
                <w:sz w:val="24"/>
                <w:lang w:eastAsia="zh-CN" w:bidi="ar"/>
              </w:rPr>
              <w:t>。依据评分方法，该指标得</w:t>
            </w:r>
            <w:r>
              <w:rPr>
                <w:rFonts w:hint="eastAsia" w:eastAsia="宋体"/>
                <w:sz w:val="24"/>
                <w:lang w:val="en-US" w:eastAsia="zh-CN" w:bidi="ar"/>
              </w:rPr>
              <w:t>满分5.00分</w:t>
            </w:r>
            <w:r>
              <w:rPr>
                <w:rFonts w:eastAsia="宋体"/>
                <w:sz w:val="24"/>
                <w:lang w:eastAsia="zh-CN" w:bidi="ar"/>
              </w:rPr>
              <w:t>。</w:t>
            </w:r>
          </w:p>
        </w:tc>
        <w:tc>
          <w:tcPr>
            <w:tcW w:w="816" w:type="dxa"/>
            <w:noWrap w:val="0"/>
            <w:vAlign w:val="center"/>
          </w:tcPr>
          <w:p>
            <w:pPr>
              <w:widowControl/>
              <w:spacing w:line="360" w:lineRule="exact"/>
              <w:ind w:firstLine="0" w:firstLineChars="0"/>
              <w:jc w:val="center"/>
              <w:textAlignment w:val="center"/>
              <w:rPr>
                <w:rFonts w:hint="default" w:eastAsia="宋体"/>
                <w:color w:val="auto"/>
                <w:sz w:val="24"/>
                <w:lang w:val="en-US" w:eastAsia="zh-CN" w:bidi="ar-SA"/>
              </w:rPr>
            </w:pPr>
            <w:r>
              <w:rPr>
                <w:rFonts w:hint="eastAsia" w:eastAsia="宋体"/>
                <w:color w:val="auto"/>
                <w:sz w:val="24"/>
                <w:lang w:val="en-US" w:eastAsia="zh-CN" w:bidi="ar-SA"/>
              </w:rPr>
              <w:t>5</w:t>
            </w:r>
          </w:p>
        </w:tc>
        <w:tc>
          <w:tcPr>
            <w:tcW w:w="1104" w:type="dxa"/>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val="en-US" w:eastAsia="zh-CN" w:bidi="ar"/>
              </w:rPr>
              <w:t>100</w:t>
            </w:r>
            <w:r>
              <w:rPr>
                <w:rFonts w:eastAsia="宋体"/>
                <w:sz w:val="24"/>
                <w:lang w:eastAsia="zh-CN" w:bidi="ar"/>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5" w:type="dxa"/>
            <w:vMerge w:val="continue"/>
            <w:shd w:val="clear" w:color="auto" w:fill="auto"/>
            <w:noWrap w:val="0"/>
            <w:vAlign w:val="center"/>
          </w:tcPr>
          <w:p>
            <w:pPr>
              <w:widowControl/>
              <w:spacing w:line="360" w:lineRule="exact"/>
              <w:ind w:firstLine="0" w:firstLineChars="0"/>
              <w:jc w:val="center"/>
              <w:rPr>
                <w:rFonts w:eastAsia="宋体"/>
                <w:sz w:val="24"/>
                <w:lang w:eastAsia="zh-CN" w:bidi="ar-SA"/>
              </w:rPr>
            </w:pPr>
          </w:p>
        </w:tc>
        <w:tc>
          <w:tcPr>
            <w:tcW w:w="889" w:type="dxa"/>
            <w:vMerge w:val="continue"/>
            <w:shd w:val="clear" w:color="auto" w:fill="auto"/>
            <w:noWrap w:val="0"/>
            <w:vAlign w:val="center"/>
          </w:tcPr>
          <w:p>
            <w:pPr>
              <w:widowControl/>
              <w:spacing w:line="360" w:lineRule="exact"/>
              <w:ind w:firstLine="0" w:firstLineChars="0"/>
              <w:jc w:val="center"/>
              <w:rPr>
                <w:rFonts w:eastAsia="宋体"/>
                <w:sz w:val="24"/>
                <w:lang w:eastAsia="zh-CN" w:bidi="ar-SA"/>
              </w:rPr>
            </w:pPr>
          </w:p>
        </w:tc>
        <w:tc>
          <w:tcPr>
            <w:tcW w:w="893" w:type="dxa"/>
            <w:shd w:val="clear" w:color="000000" w:fill="FFFFFF"/>
            <w:noWrap w:val="0"/>
            <w:vAlign w:val="center"/>
          </w:tcPr>
          <w:p>
            <w:pPr>
              <w:widowControl/>
              <w:spacing w:line="360" w:lineRule="exact"/>
              <w:ind w:firstLine="0" w:firstLineChars="0"/>
              <w:jc w:val="left"/>
              <w:textAlignment w:val="center"/>
              <w:rPr>
                <w:rFonts w:eastAsia="宋体"/>
                <w:sz w:val="24"/>
                <w:lang w:eastAsia="zh-CN" w:bidi="ar-SA"/>
              </w:rPr>
            </w:pPr>
            <w:r>
              <w:rPr>
                <w:rFonts w:eastAsia="宋体"/>
                <w:sz w:val="24"/>
                <w:lang w:eastAsia="zh-CN" w:bidi="ar"/>
              </w:rPr>
              <w:t>B2</w:t>
            </w:r>
            <w:r>
              <w:rPr>
                <w:rFonts w:hint="eastAsia" w:eastAsia="宋体"/>
                <w:sz w:val="24"/>
                <w:lang w:eastAsia="zh-CN" w:bidi="ar"/>
              </w:rPr>
              <w:t>2</w:t>
            </w:r>
            <w:r>
              <w:rPr>
                <w:rFonts w:eastAsia="宋体"/>
                <w:sz w:val="24"/>
                <w:lang w:eastAsia="zh-CN" w:bidi="ar"/>
              </w:rPr>
              <w:t>合同管理和执行规范性</w:t>
            </w:r>
          </w:p>
        </w:tc>
        <w:tc>
          <w:tcPr>
            <w:tcW w:w="741" w:type="dxa"/>
            <w:shd w:val="clear" w:color="000000" w:fill="FFFFFF"/>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eastAsia="宋体"/>
                <w:sz w:val="24"/>
                <w:lang w:eastAsia="zh-CN" w:bidi="ar"/>
              </w:rPr>
              <w:t>5</w:t>
            </w:r>
          </w:p>
        </w:tc>
        <w:tc>
          <w:tcPr>
            <w:tcW w:w="2746" w:type="dxa"/>
            <w:shd w:val="clear" w:color="000000" w:fill="FFFFFF"/>
            <w:noWrap w:val="0"/>
            <w:vAlign w:val="center"/>
          </w:tcPr>
          <w:p>
            <w:pPr>
              <w:widowControl/>
              <w:spacing w:line="360" w:lineRule="exact"/>
              <w:ind w:firstLine="0" w:firstLineChars="0"/>
              <w:jc w:val="left"/>
              <w:textAlignment w:val="center"/>
              <w:rPr>
                <w:rFonts w:eastAsia="宋体"/>
                <w:sz w:val="24"/>
                <w:lang w:eastAsia="zh-CN" w:bidi="ar-SA"/>
              </w:rPr>
            </w:pPr>
            <w:r>
              <w:rPr>
                <w:rFonts w:eastAsia="宋体"/>
                <w:sz w:val="24"/>
                <w:lang w:eastAsia="zh-CN" w:bidi="ar"/>
              </w:rPr>
              <w:t>评价要点：</w:t>
            </w:r>
            <w:r>
              <w:rPr>
                <w:rFonts w:eastAsia="宋体"/>
                <w:sz w:val="24"/>
                <w:lang w:eastAsia="zh-CN" w:bidi="ar"/>
              </w:rPr>
              <w:br w:type="textWrapping"/>
            </w:r>
            <w:r>
              <w:rPr>
                <w:rFonts w:eastAsia="宋体"/>
                <w:sz w:val="24"/>
                <w:lang w:eastAsia="zh-CN" w:bidi="ar"/>
              </w:rPr>
              <w:t>合同</w:t>
            </w:r>
            <w:r>
              <w:rPr>
                <w:rFonts w:hint="eastAsia" w:eastAsia="宋体"/>
                <w:sz w:val="24"/>
                <w:lang w:val="en-US" w:eastAsia="zh-CN" w:bidi="ar"/>
              </w:rPr>
              <w:t>或协议</w:t>
            </w:r>
            <w:r>
              <w:rPr>
                <w:rFonts w:eastAsia="宋体"/>
                <w:sz w:val="24"/>
                <w:lang w:eastAsia="zh-CN" w:bidi="ar"/>
              </w:rPr>
              <w:t>中约定其主要工作内容、基本职责</w:t>
            </w:r>
            <w:r>
              <w:rPr>
                <w:rFonts w:hint="eastAsia" w:eastAsia="宋体"/>
                <w:sz w:val="24"/>
                <w:lang w:eastAsia="zh-CN" w:bidi="ar"/>
              </w:rPr>
              <w:t>，</w:t>
            </w:r>
            <w:r>
              <w:rPr>
                <w:rFonts w:eastAsia="宋体"/>
                <w:sz w:val="24"/>
                <w:lang w:eastAsia="zh-CN" w:bidi="ar"/>
              </w:rPr>
              <w:t>明确、细化双方的权利和义务，合同执行规范有效。</w:t>
            </w:r>
          </w:p>
        </w:tc>
        <w:tc>
          <w:tcPr>
            <w:tcW w:w="2420" w:type="dxa"/>
            <w:shd w:val="clear" w:color="000000" w:fill="FFFFFF"/>
            <w:noWrap w:val="0"/>
            <w:vAlign w:val="center"/>
          </w:tcPr>
          <w:p>
            <w:pPr>
              <w:widowControl/>
              <w:spacing w:line="360" w:lineRule="exact"/>
              <w:ind w:firstLine="0" w:firstLineChars="0"/>
              <w:textAlignment w:val="center"/>
              <w:rPr>
                <w:rFonts w:eastAsia="宋体"/>
                <w:color w:val="auto"/>
                <w:sz w:val="24"/>
                <w:lang w:eastAsia="zh-CN" w:bidi="ar-SA"/>
              </w:rPr>
            </w:pPr>
            <w:r>
              <w:rPr>
                <w:rFonts w:eastAsia="宋体"/>
                <w:sz w:val="24"/>
                <w:lang w:eastAsia="zh-CN" w:bidi="ar"/>
              </w:rPr>
              <w:t>合同中明确双方的权利和义务，明确和细化购买的需求和资金的使用要求，合同执行规范有效得满分，缺失一项扣1分。</w:t>
            </w:r>
          </w:p>
        </w:tc>
        <w:tc>
          <w:tcPr>
            <w:tcW w:w="4234" w:type="dxa"/>
            <w:shd w:val="clear" w:color="000000" w:fill="FFFFFF"/>
            <w:noWrap w:val="0"/>
            <w:vAlign w:val="center"/>
          </w:tcPr>
          <w:p>
            <w:pPr>
              <w:widowControl/>
              <w:spacing w:line="360" w:lineRule="exact"/>
              <w:ind w:firstLine="0" w:firstLineChars="0"/>
              <w:jc w:val="left"/>
              <w:textAlignment w:val="center"/>
              <w:rPr>
                <w:rFonts w:eastAsia="宋体"/>
                <w:sz w:val="24"/>
                <w:lang w:eastAsia="zh-CN" w:bidi="ar-SA"/>
              </w:rPr>
            </w:pPr>
            <w:r>
              <w:rPr>
                <w:rFonts w:eastAsia="宋体"/>
                <w:sz w:val="24"/>
                <w:lang w:eastAsia="zh-CN" w:bidi="ar"/>
              </w:rPr>
              <w:t>通过查</w:t>
            </w:r>
            <w:r>
              <w:rPr>
                <w:rFonts w:hint="eastAsia" w:eastAsia="宋体"/>
                <w:sz w:val="24"/>
                <w:lang w:val="en-US" w:eastAsia="zh-CN" w:bidi="ar"/>
              </w:rPr>
              <w:t>阅区文体旅游局与乐山市同舟营销策划有限公司签订《活动策划协议》，协议中约定了主要工作内容、基本职责，明确、细化双方的权利和义务。但在合同执行过程中，因未履行</w:t>
            </w:r>
            <w:r>
              <w:rPr>
                <w:rFonts w:hint="eastAsia" w:eastAsia="宋体"/>
                <w:sz w:val="24"/>
                <w:highlight w:val="none"/>
                <w:lang w:val="en-US" w:eastAsia="zh-CN" w:bidi="ar"/>
              </w:rPr>
              <w:t>宣传画册设计、印刷以及经费变更，双方重新签订了补充协议。</w:t>
            </w:r>
            <w:r>
              <w:rPr>
                <w:rFonts w:eastAsia="宋体"/>
                <w:sz w:val="24"/>
                <w:highlight w:val="none"/>
                <w:lang w:eastAsia="zh-CN" w:bidi="ar"/>
              </w:rPr>
              <w:t>项目单位在业务开展过程中</w:t>
            </w:r>
            <w:r>
              <w:rPr>
                <w:rFonts w:hint="eastAsia" w:eastAsia="宋体"/>
                <w:sz w:val="24"/>
                <w:highlight w:val="none"/>
                <w:lang w:eastAsia="zh-CN" w:bidi="ar"/>
              </w:rPr>
              <w:t>，</w:t>
            </w:r>
            <w:r>
              <w:rPr>
                <w:rFonts w:eastAsia="宋体"/>
                <w:sz w:val="24"/>
                <w:highlight w:val="none"/>
                <w:lang w:eastAsia="zh-CN" w:bidi="ar"/>
              </w:rPr>
              <w:t>的相关合</w:t>
            </w:r>
            <w:r>
              <w:rPr>
                <w:rFonts w:eastAsia="宋体"/>
                <w:sz w:val="24"/>
                <w:lang w:eastAsia="zh-CN" w:bidi="ar"/>
              </w:rPr>
              <w:t>同、档案资料及相关的重决策会议纪要及附件齐全。根据评分标准，该指标</w:t>
            </w:r>
            <w:r>
              <w:rPr>
                <w:rFonts w:hint="eastAsia" w:eastAsia="宋体"/>
                <w:sz w:val="24"/>
                <w:lang w:val="en-US" w:eastAsia="zh-CN" w:bidi="ar"/>
              </w:rPr>
              <w:t>得满分5</w:t>
            </w:r>
            <w:r>
              <w:rPr>
                <w:rFonts w:eastAsia="宋体"/>
                <w:sz w:val="24"/>
                <w:lang w:eastAsia="zh-CN" w:bidi="ar"/>
              </w:rPr>
              <w:t>.00分。</w:t>
            </w:r>
          </w:p>
        </w:tc>
        <w:tc>
          <w:tcPr>
            <w:tcW w:w="816" w:type="dxa"/>
            <w:shd w:val="clear" w:color="000000" w:fill="FFFFFF"/>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val="en-US" w:eastAsia="zh-CN" w:bidi="ar"/>
              </w:rPr>
              <w:t>5</w:t>
            </w:r>
          </w:p>
        </w:tc>
        <w:tc>
          <w:tcPr>
            <w:tcW w:w="1104" w:type="dxa"/>
            <w:shd w:val="clear" w:color="000000" w:fill="FFFFFF"/>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val="en-US" w:eastAsia="zh-CN" w:bidi="ar"/>
              </w:rPr>
              <w:t>10</w:t>
            </w:r>
            <w:r>
              <w:rPr>
                <w:rFonts w:eastAsia="宋体"/>
                <w:sz w:val="24"/>
                <w:lang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5" w:type="dxa"/>
            <w:vMerge w:val="restart"/>
            <w:shd w:val="clear" w:color="auto" w:fill="auto"/>
            <w:noWrap w:val="0"/>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C产出（30分）</w:t>
            </w:r>
          </w:p>
        </w:tc>
        <w:tc>
          <w:tcPr>
            <w:tcW w:w="889" w:type="dxa"/>
            <w:vMerge w:val="restart"/>
            <w:shd w:val="clear" w:color="auto" w:fill="auto"/>
            <w:noWrap w:val="0"/>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C1产出数量（</w:t>
            </w:r>
            <w:r>
              <w:rPr>
                <w:rFonts w:hint="eastAsia" w:eastAsia="宋体"/>
                <w:sz w:val="24"/>
                <w:lang w:val="en-US" w:eastAsia="zh-CN" w:bidi="ar"/>
              </w:rPr>
              <w:t>8</w:t>
            </w:r>
            <w:r>
              <w:rPr>
                <w:rFonts w:eastAsia="宋体"/>
                <w:sz w:val="24"/>
                <w:lang w:eastAsia="zh-CN" w:bidi="ar"/>
              </w:rPr>
              <w:t>分）</w:t>
            </w:r>
          </w:p>
        </w:tc>
        <w:tc>
          <w:tcPr>
            <w:tcW w:w="893" w:type="dxa"/>
            <w:shd w:val="clear" w:color="000000" w:fill="FFFFFF"/>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eastAsia="宋体"/>
                <w:sz w:val="24"/>
                <w:lang w:eastAsia="zh-CN" w:bidi="ar"/>
              </w:rPr>
              <w:t>C11</w:t>
            </w:r>
            <w:r>
              <w:rPr>
                <w:rFonts w:hint="eastAsia" w:eastAsia="宋体"/>
                <w:sz w:val="24"/>
                <w:lang w:val="en-US" w:eastAsia="zh-CN" w:bidi="ar"/>
              </w:rPr>
              <w:t>美食大赛场次</w:t>
            </w:r>
          </w:p>
        </w:tc>
        <w:tc>
          <w:tcPr>
            <w:tcW w:w="741" w:type="dxa"/>
            <w:shd w:val="clear" w:color="000000" w:fill="FFFFFF"/>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val="en-US" w:eastAsia="zh-CN" w:bidi="ar"/>
              </w:rPr>
              <w:t>4</w:t>
            </w:r>
          </w:p>
        </w:tc>
        <w:tc>
          <w:tcPr>
            <w:tcW w:w="2746" w:type="dxa"/>
            <w:shd w:val="clear" w:color="000000" w:fill="FFFFFF"/>
            <w:noWrap w:val="0"/>
            <w:vAlign w:val="center"/>
          </w:tcPr>
          <w:p>
            <w:pPr>
              <w:widowControl/>
              <w:spacing w:line="360" w:lineRule="exact"/>
              <w:ind w:firstLine="0" w:firstLineChars="0"/>
              <w:jc w:val="left"/>
              <w:textAlignment w:val="center"/>
              <w:rPr>
                <w:rFonts w:eastAsia="宋体"/>
                <w:sz w:val="24"/>
                <w:lang w:eastAsia="zh-CN" w:bidi="ar"/>
              </w:rPr>
            </w:pPr>
            <w:r>
              <w:rPr>
                <w:rFonts w:eastAsia="宋体"/>
                <w:sz w:val="24"/>
                <w:lang w:eastAsia="zh-CN" w:bidi="ar"/>
              </w:rPr>
              <w:t>评价要点：</w:t>
            </w:r>
          </w:p>
          <w:p>
            <w:pPr>
              <w:widowControl/>
              <w:spacing w:line="360" w:lineRule="exact"/>
              <w:ind w:firstLine="0" w:firstLineChars="0"/>
              <w:jc w:val="left"/>
              <w:textAlignment w:val="center"/>
              <w:rPr>
                <w:rFonts w:eastAsia="宋体"/>
                <w:sz w:val="24"/>
                <w:lang w:eastAsia="zh-CN" w:bidi="ar"/>
              </w:rPr>
            </w:pPr>
            <w:r>
              <w:rPr>
                <w:rFonts w:hint="eastAsia" w:eastAsia="宋体"/>
                <w:sz w:val="24"/>
                <w:lang w:val="en-US" w:eastAsia="zh-CN" w:bidi="ar"/>
              </w:rPr>
              <w:t>开展第二届“舌尖上的非遗”特色美食大赛的场次</w:t>
            </w:r>
            <w:r>
              <w:rPr>
                <w:rFonts w:hint="eastAsia" w:eastAsia="宋体"/>
                <w:sz w:val="24"/>
                <w:lang w:eastAsia="zh-CN" w:bidi="ar"/>
              </w:rPr>
              <w:t>，用以反映和考核项目产出数据的准确性</w:t>
            </w:r>
            <w:r>
              <w:rPr>
                <w:rFonts w:eastAsia="宋体"/>
                <w:sz w:val="24"/>
                <w:lang w:eastAsia="zh-CN" w:bidi="ar"/>
              </w:rPr>
              <w:t>。</w:t>
            </w:r>
          </w:p>
        </w:tc>
        <w:tc>
          <w:tcPr>
            <w:tcW w:w="2420" w:type="dxa"/>
            <w:shd w:val="clear" w:color="000000" w:fill="FFFFFF"/>
            <w:noWrap w:val="0"/>
            <w:vAlign w:val="center"/>
          </w:tcPr>
          <w:p>
            <w:pPr>
              <w:widowControl/>
              <w:spacing w:line="360" w:lineRule="exact"/>
              <w:ind w:firstLine="0" w:firstLineChars="0"/>
              <w:textAlignment w:val="center"/>
              <w:rPr>
                <w:rFonts w:eastAsia="宋体"/>
                <w:color w:val="auto"/>
                <w:sz w:val="24"/>
                <w:lang w:eastAsia="zh-CN" w:bidi="ar-SA"/>
              </w:rPr>
            </w:pPr>
            <w:r>
              <w:rPr>
                <w:rFonts w:hint="eastAsia" w:eastAsia="宋体"/>
                <w:sz w:val="24"/>
                <w:lang w:val="en-US" w:eastAsia="zh-CN" w:bidi="ar"/>
              </w:rPr>
              <w:t>开展第二届“舌尖上的非遗”特色美食大赛的场次为一场的，</w:t>
            </w:r>
            <w:r>
              <w:rPr>
                <w:rFonts w:hint="eastAsia" w:eastAsia="宋体"/>
                <w:sz w:val="24"/>
                <w:lang w:eastAsia="zh-CN" w:bidi="ar"/>
              </w:rPr>
              <w:t>与申请、批复数量相符得满分，否则不得分。</w:t>
            </w:r>
          </w:p>
        </w:tc>
        <w:tc>
          <w:tcPr>
            <w:tcW w:w="4234" w:type="dxa"/>
            <w:shd w:val="clear" w:color="auto" w:fill="auto"/>
            <w:noWrap w:val="0"/>
            <w:vAlign w:val="center"/>
          </w:tcPr>
          <w:p>
            <w:pPr>
              <w:widowControl/>
              <w:spacing w:line="360" w:lineRule="exact"/>
              <w:ind w:firstLine="0" w:firstLineChars="0"/>
              <w:jc w:val="left"/>
              <w:textAlignment w:val="center"/>
              <w:rPr>
                <w:rFonts w:eastAsia="宋体"/>
                <w:sz w:val="24"/>
                <w:lang w:eastAsia="zh-CN" w:bidi="ar-SA"/>
              </w:rPr>
            </w:pPr>
            <w:r>
              <w:rPr>
                <w:rFonts w:hint="eastAsia" w:eastAsia="宋体"/>
                <w:sz w:val="24"/>
                <w:lang w:val="en-US" w:eastAsia="zh-CN" w:bidi="ar"/>
              </w:rPr>
              <w:t>2024年9月25日区文体旅游局邀请区委宣传部、区机关事务服务中心、区经信局、先发带后发扶持工作队各选派一名同志为美食大赛大众评审团成员，开展第二届“舌尖上的非遗”特色美食大赛，场次为一场。开办场次与预算申请、</w:t>
            </w:r>
            <w:r>
              <w:rPr>
                <w:rFonts w:hint="eastAsia" w:eastAsia="宋体"/>
                <w:sz w:val="24"/>
                <w:lang w:eastAsia="zh-CN" w:bidi="ar"/>
              </w:rPr>
              <w:t>批复数量相符。</w:t>
            </w:r>
            <w:r>
              <w:rPr>
                <w:rFonts w:hint="eastAsia" w:eastAsia="宋体"/>
                <w:sz w:val="24"/>
                <w:lang w:val="en-US" w:eastAsia="zh-CN" w:bidi="ar"/>
              </w:rPr>
              <w:t>根据评分标准，</w:t>
            </w:r>
            <w:r>
              <w:rPr>
                <w:rFonts w:eastAsia="宋体"/>
                <w:sz w:val="24"/>
                <w:lang w:eastAsia="zh-CN" w:bidi="ar"/>
              </w:rPr>
              <w:t>该指标得</w:t>
            </w:r>
            <w:r>
              <w:rPr>
                <w:rFonts w:hint="eastAsia" w:eastAsia="宋体"/>
                <w:sz w:val="24"/>
                <w:lang w:val="en-US" w:eastAsia="zh-CN" w:bidi="ar"/>
              </w:rPr>
              <w:t>满分4</w:t>
            </w:r>
            <w:r>
              <w:rPr>
                <w:rFonts w:eastAsia="宋体"/>
                <w:sz w:val="24"/>
                <w:lang w:eastAsia="zh-CN" w:bidi="ar"/>
              </w:rPr>
              <w:t>.00分。</w:t>
            </w:r>
          </w:p>
        </w:tc>
        <w:tc>
          <w:tcPr>
            <w:tcW w:w="816" w:type="dxa"/>
            <w:shd w:val="clear" w:color="000000" w:fill="FFFFFF"/>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val="en-US" w:eastAsia="zh-CN" w:bidi="ar"/>
              </w:rPr>
              <w:t>4</w:t>
            </w:r>
          </w:p>
        </w:tc>
        <w:tc>
          <w:tcPr>
            <w:tcW w:w="1104" w:type="dxa"/>
            <w:shd w:val="clear" w:color="000000" w:fill="FFFFFF"/>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eastAsia="宋体"/>
                <w:sz w:val="24"/>
                <w:lang w:eastAsia="zh-CN" w:bidi="ar"/>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5" w:type="dxa"/>
            <w:vMerge w:val="continue"/>
            <w:shd w:val="clear" w:color="auto" w:fill="auto"/>
            <w:noWrap w:val="0"/>
            <w:vAlign w:val="center"/>
          </w:tcPr>
          <w:p>
            <w:pPr>
              <w:widowControl/>
              <w:spacing w:line="360" w:lineRule="exact"/>
              <w:ind w:firstLine="0" w:firstLineChars="0"/>
              <w:jc w:val="center"/>
              <w:textAlignment w:val="center"/>
              <w:rPr>
                <w:rFonts w:eastAsia="宋体"/>
                <w:sz w:val="24"/>
                <w:lang w:eastAsia="zh-CN" w:bidi="ar"/>
              </w:rPr>
            </w:pPr>
          </w:p>
        </w:tc>
        <w:tc>
          <w:tcPr>
            <w:tcW w:w="889" w:type="dxa"/>
            <w:vMerge w:val="continue"/>
            <w:shd w:val="clear" w:color="auto" w:fill="auto"/>
            <w:noWrap w:val="0"/>
            <w:vAlign w:val="center"/>
          </w:tcPr>
          <w:p>
            <w:pPr>
              <w:widowControl/>
              <w:spacing w:line="360" w:lineRule="exact"/>
              <w:ind w:firstLine="0" w:firstLineChars="0"/>
              <w:jc w:val="center"/>
              <w:textAlignment w:val="center"/>
              <w:rPr>
                <w:rFonts w:eastAsia="宋体"/>
                <w:sz w:val="24"/>
                <w:lang w:eastAsia="zh-CN" w:bidi="ar"/>
              </w:rPr>
            </w:pPr>
          </w:p>
        </w:tc>
        <w:tc>
          <w:tcPr>
            <w:tcW w:w="893" w:type="dxa"/>
            <w:shd w:val="clear" w:color="000000" w:fill="FFFFFF"/>
            <w:noWrap w:val="0"/>
            <w:vAlign w:val="center"/>
          </w:tcPr>
          <w:p>
            <w:pPr>
              <w:widowControl/>
              <w:spacing w:line="360" w:lineRule="exact"/>
              <w:ind w:firstLine="0" w:firstLineChars="0"/>
              <w:jc w:val="center"/>
              <w:textAlignment w:val="center"/>
              <w:rPr>
                <w:rFonts w:hint="default" w:eastAsia="宋体"/>
                <w:sz w:val="24"/>
                <w:lang w:val="en-US" w:eastAsia="zh-CN" w:bidi="ar"/>
              </w:rPr>
            </w:pPr>
            <w:r>
              <w:rPr>
                <w:rFonts w:hint="eastAsia" w:eastAsia="宋体"/>
                <w:sz w:val="24"/>
                <w:lang w:val="en-US" w:eastAsia="zh-CN" w:bidi="ar"/>
              </w:rPr>
              <w:t>C12参赛菜品数据</w:t>
            </w:r>
          </w:p>
        </w:tc>
        <w:tc>
          <w:tcPr>
            <w:tcW w:w="741" w:type="dxa"/>
            <w:shd w:val="clear" w:color="000000" w:fill="FFFFFF"/>
            <w:noWrap w:val="0"/>
            <w:vAlign w:val="center"/>
          </w:tcPr>
          <w:p>
            <w:pPr>
              <w:widowControl/>
              <w:spacing w:line="360" w:lineRule="exact"/>
              <w:ind w:firstLine="0" w:firstLineChars="0"/>
              <w:jc w:val="center"/>
              <w:textAlignment w:val="center"/>
              <w:rPr>
                <w:rFonts w:hint="default" w:eastAsia="宋体"/>
                <w:sz w:val="24"/>
                <w:lang w:val="en-US" w:eastAsia="zh-CN" w:bidi="ar"/>
              </w:rPr>
            </w:pPr>
            <w:r>
              <w:rPr>
                <w:rFonts w:hint="eastAsia" w:eastAsia="宋体"/>
                <w:sz w:val="24"/>
                <w:lang w:val="en-US" w:eastAsia="zh-CN" w:bidi="ar"/>
              </w:rPr>
              <w:t>4</w:t>
            </w:r>
          </w:p>
        </w:tc>
        <w:tc>
          <w:tcPr>
            <w:tcW w:w="2746" w:type="dxa"/>
            <w:shd w:val="clear" w:color="000000" w:fill="FFFFFF"/>
            <w:noWrap w:val="0"/>
            <w:vAlign w:val="center"/>
          </w:tcPr>
          <w:p>
            <w:pPr>
              <w:widowControl/>
              <w:spacing w:line="360" w:lineRule="exact"/>
              <w:ind w:firstLine="0" w:firstLineChars="0"/>
              <w:jc w:val="left"/>
              <w:textAlignment w:val="center"/>
              <w:rPr>
                <w:rFonts w:eastAsia="宋体"/>
                <w:sz w:val="24"/>
                <w:lang w:eastAsia="zh-CN" w:bidi="ar"/>
              </w:rPr>
            </w:pPr>
            <w:r>
              <w:rPr>
                <w:rFonts w:eastAsia="宋体"/>
                <w:sz w:val="24"/>
                <w:lang w:eastAsia="zh-CN" w:bidi="ar"/>
              </w:rPr>
              <w:t>评价要点：</w:t>
            </w:r>
          </w:p>
          <w:p>
            <w:pPr>
              <w:widowControl/>
              <w:spacing w:line="360" w:lineRule="exact"/>
              <w:ind w:firstLine="0" w:firstLineChars="0"/>
              <w:jc w:val="left"/>
              <w:textAlignment w:val="center"/>
              <w:rPr>
                <w:rFonts w:hint="eastAsia" w:eastAsia="宋体"/>
                <w:sz w:val="24"/>
                <w:lang w:eastAsia="zh-CN" w:bidi="ar"/>
              </w:rPr>
            </w:pPr>
            <w:r>
              <w:rPr>
                <w:rFonts w:hint="eastAsia" w:eastAsia="宋体"/>
                <w:sz w:val="24"/>
                <w:lang w:val="en-US" w:eastAsia="zh-CN" w:bidi="ar"/>
              </w:rPr>
              <w:t>开展第二届“舌尖上的非遗”特色美食大赛的美食数量</w:t>
            </w:r>
            <w:r>
              <w:rPr>
                <w:rFonts w:hint="eastAsia" w:eastAsia="宋体"/>
                <w:sz w:val="24"/>
                <w:lang w:eastAsia="zh-CN" w:bidi="ar"/>
              </w:rPr>
              <w:t>，用以反映和考核项目产出数据的准确性</w:t>
            </w:r>
            <w:r>
              <w:rPr>
                <w:rFonts w:eastAsia="宋体"/>
                <w:sz w:val="24"/>
                <w:lang w:eastAsia="zh-CN" w:bidi="ar"/>
              </w:rPr>
              <w:t>。</w:t>
            </w:r>
          </w:p>
        </w:tc>
        <w:tc>
          <w:tcPr>
            <w:tcW w:w="2420" w:type="dxa"/>
            <w:shd w:val="clear" w:color="000000" w:fill="FFFFFF"/>
            <w:noWrap w:val="0"/>
            <w:vAlign w:val="center"/>
          </w:tcPr>
          <w:p>
            <w:pPr>
              <w:widowControl/>
              <w:spacing w:line="360" w:lineRule="exact"/>
              <w:ind w:firstLine="0" w:firstLineChars="0"/>
              <w:textAlignment w:val="center"/>
              <w:rPr>
                <w:rFonts w:hint="eastAsia" w:eastAsia="宋体"/>
                <w:sz w:val="24"/>
                <w:lang w:eastAsia="zh-CN" w:bidi="ar"/>
              </w:rPr>
            </w:pPr>
            <w:r>
              <w:rPr>
                <w:rFonts w:hint="eastAsia" w:eastAsia="宋体"/>
                <w:sz w:val="24"/>
                <w:lang w:val="en-US" w:eastAsia="zh-CN" w:bidi="ar"/>
              </w:rPr>
              <w:t>开展第二届“舌尖上的非遗”特色美食大赛的美食数量</w:t>
            </w:r>
            <w:r>
              <w:rPr>
                <w:rFonts w:hint="eastAsia" w:ascii="宋体" w:hAnsi="宋体" w:eastAsia="宋体" w:cs="宋体"/>
                <w:sz w:val="24"/>
                <w:lang w:val="en-US" w:eastAsia="zh-CN" w:bidi="ar"/>
              </w:rPr>
              <w:t>≥</w:t>
            </w:r>
            <w:r>
              <w:rPr>
                <w:rFonts w:hint="eastAsia" w:eastAsia="宋体"/>
                <w:sz w:val="24"/>
                <w:lang w:val="en-US" w:eastAsia="zh-CN" w:bidi="ar"/>
              </w:rPr>
              <w:t>10个得满分，每少1个扣1分，扣完为止。</w:t>
            </w:r>
          </w:p>
        </w:tc>
        <w:tc>
          <w:tcPr>
            <w:tcW w:w="4234" w:type="dxa"/>
            <w:shd w:val="clear" w:color="auto" w:fill="auto"/>
            <w:noWrap w:val="0"/>
            <w:vAlign w:val="center"/>
          </w:tcPr>
          <w:p>
            <w:pPr>
              <w:widowControl/>
              <w:spacing w:line="360" w:lineRule="exact"/>
              <w:ind w:firstLine="0" w:firstLineChars="0"/>
              <w:jc w:val="left"/>
              <w:textAlignment w:val="center"/>
              <w:rPr>
                <w:rFonts w:hint="default" w:eastAsia="宋体"/>
                <w:sz w:val="24"/>
                <w:lang w:val="en-US" w:eastAsia="zh-CN" w:bidi="ar"/>
              </w:rPr>
            </w:pPr>
            <w:r>
              <w:rPr>
                <w:rFonts w:hint="eastAsia" w:eastAsia="宋体"/>
                <w:sz w:val="24"/>
                <w:lang w:val="en-US" w:eastAsia="zh-CN" w:bidi="ar"/>
              </w:rPr>
              <w:t>2024年9月25日开展的美食大赛共计吸引20名厨师参赛，每位厨师至少提供一道美食作品参赛。根据评分标准，</w:t>
            </w:r>
            <w:r>
              <w:rPr>
                <w:rFonts w:eastAsia="宋体"/>
                <w:sz w:val="24"/>
                <w:lang w:eastAsia="zh-CN" w:bidi="ar"/>
              </w:rPr>
              <w:t>该指标得</w:t>
            </w:r>
            <w:r>
              <w:rPr>
                <w:rFonts w:hint="eastAsia" w:eastAsia="宋体"/>
                <w:sz w:val="24"/>
                <w:lang w:val="en-US" w:eastAsia="zh-CN" w:bidi="ar"/>
              </w:rPr>
              <w:t>满分4</w:t>
            </w:r>
            <w:r>
              <w:rPr>
                <w:rFonts w:eastAsia="宋体"/>
                <w:sz w:val="24"/>
                <w:lang w:eastAsia="zh-CN" w:bidi="ar"/>
              </w:rPr>
              <w:t>.00分。</w:t>
            </w:r>
          </w:p>
        </w:tc>
        <w:tc>
          <w:tcPr>
            <w:tcW w:w="816" w:type="dxa"/>
            <w:shd w:val="clear" w:color="000000" w:fill="FFFFFF"/>
            <w:noWrap w:val="0"/>
            <w:vAlign w:val="center"/>
          </w:tcPr>
          <w:p>
            <w:pPr>
              <w:widowControl/>
              <w:spacing w:line="360" w:lineRule="exact"/>
              <w:ind w:firstLine="0" w:firstLineChars="0"/>
              <w:jc w:val="center"/>
              <w:textAlignment w:val="center"/>
              <w:rPr>
                <w:rFonts w:hint="eastAsia" w:eastAsia="宋体"/>
                <w:sz w:val="24"/>
                <w:lang w:eastAsia="zh-CN" w:bidi="ar"/>
              </w:rPr>
            </w:pPr>
            <w:r>
              <w:rPr>
                <w:rFonts w:hint="eastAsia" w:eastAsia="宋体"/>
                <w:sz w:val="24"/>
                <w:lang w:val="en-US" w:eastAsia="zh-CN" w:bidi="ar"/>
              </w:rPr>
              <w:t>4</w:t>
            </w:r>
          </w:p>
        </w:tc>
        <w:tc>
          <w:tcPr>
            <w:tcW w:w="1104" w:type="dxa"/>
            <w:shd w:val="clear" w:color="000000" w:fill="FFFFFF"/>
            <w:noWrap w:val="0"/>
            <w:vAlign w:val="center"/>
          </w:tcPr>
          <w:p>
            <w:pPr>
              <w:widowControl/>
              <w:spacing w:line="360" w:lineRule="exact"/>
              <w:ind w:firstLine="0" w:firstLineChars="0"/>
              <w:jc w:val="center"/>
              <w:textAlignment w:val="center"/>
              <w:rPr>
                <w:rFonts w:eastAsia="宋体"/>
                <w:sz w:val="24"/>
                <w:lang w:eastAsia="zh-CN" w:bidi="ar"/>
              </w:rPr>
            </w:pPr>
            <w:r>
              <w:rPr>
                <w:rFonts w:eastAsia="宋体"/>
                <w:sz w:val="24"/>
                <w:lang w:eastAsia="zh-CN" w:bidi="ar"/>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5" w:type="dxa"/>
            <w:vMerge w:val="continue"/>
            <w:shd w:val="clear" w:color="auto" w:fill="auto"/>
            <w:noWrap w:val="0"/>
            <w:vAlign w:val="center"/>
          </w:tcPr>
          <w:p>
            <w:pPr>
              <w:widowControl/>
              <w:spacing w:line="360" w:lineRule="exact"/>
              <w:ind w:firstLine="0" w:firstLineChars="0"/>
              <w:jc w:val="center"/>
              <w:rPr>
                <w:rFonts w:eastAsia="宋体"/>
                <w:sz w:val="24"/>
                <w:lang w:eastAsia="zh-CN" w:bidi="ar-SA"/>
              </w:rPr>
            </w:pPr>
          </w:p>
        </w:tc>
        <w:tc>
          <w:tcPr>
            <w:tcW w:w="889" w:type="dxa"/>
            <w:shd w:val="clear" w:color="auto" w:fill="auto"/>
            <w:noWrap w:val="0"/>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C2产出质量（</w:t>
            </w:r>
            <w:r>
              <w:rPr>
                <w:rFonts w:hint="eastAsia" w:eastAsia="宋体"/>
                <w:sz w:val="24"/>
                <w:lang w:val="en-US" w:eastAsia="zh-CN" w:bidi="ar"/>
              </w:rPr>
              <w:t>8</w:t>
            </w:r>
            <w:r>
              <w:rPr>
                <w:rFonts w:eastAsia="宋体"/>
                <w:sz w:val="24"/>
                <w:lang w:eastAsia="zh-CN" w:bidi="ar"/>
              </w:rPr>
              <w:t>分）</w:t>
            </w:r>
          </w:p>
        </w:tc>
        <w:tc>
          <w:tcPr>
            <w:tcW w:w="893" w:type="dxa"/>
            <w:shd w:val="clear" w:color="000000" w:fill="FFFFFF"/>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eastAsia="宋体"/>
                <w:sz w:val="24"/>
                <w:lang w:eastAsia="zh-CN" w:bidi="ar"/>
              </w:rPr>
              <w:t>C21</w:t>
            </w:r>
            <w:r>
              <w:rPr>
                <w:rFonts w:hint="eastAsia" w:eastAsia="宋体"/>
                <w:sz w:val="24"/>
                <w:lang w:eastAsia="zh-CN" w:bidi="ar"/>
              </w:rPr>
              <w:t>质量合格率</w:t>
            </w:r>
          </w:p>
        </w:tc>
        <w:tc>
          <w:tcPr>
            <w:tcW w:w="741" w:type="dxa"/>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val="en-US" w:eastAsia="zh-CN" w:bidi="ar"/>
              </w:rPr>
              <w:t>8</w:t>
            </w:r>
          </w:p>
        </w:tc>
        <w:tc>
          <w:tcPr>
            <w:tcW w:w="2746" w:type="dxa"/>
            <w:noWrap w:val="0"/>
            <w:vAlign w:val="center"/>
          </w:tcPr>
          <w:p>
            <w:pPr>
              <w:widowControl/>
              <w:spacing w:line="360" w:lineRule="exact"/>
              <w:ind w:firstLine="0" w:firstLineChars="0"/>
              <w:textAlignment w:val="center"/>
              <w:rPr>
                <w:rFonts w:eastAsia="宋体"/>
                <w:sz w:val="24"/>
                <w:lang w:eastAsia="zh-CN" w:bidi="ar-SA"/>
              </w:rPr>
            </w:pPr>
            <w:r>
              <w:rPr>
                <w:rFonts w:eastAsia="宋体"/>
                <w:sz w:val="24"/>
                <w:lang w:eastAsia="zh-CN" w:bidi="ar"/>
              </w:rPr>
              <w:t>评价要点：</w:t>
            </w:r>
            <w:r>
              <w:rPr>
                <w:rFonts w:eastAsia="宋体"/>
                <w:sz w:val="24"/>
                <w:lang w:eastAsia="zh-CN" w:bidi="ar"/>
              </w:rPr>
              <w:br w:type="textWrapping"/>
            </w:r>
            <w:r>
              <w:rPr>
                <w:rFonts w:hint="eastAsia" w:eastAsia="宋体"/>
                <w:sz w:val="24"/>
                <w:lang w:eastAsia="zh-CN" w:bidi="ar"/>
              </w:rPr>
              <w:t>第二届非遗特色美食大</w:t>
            </w:r>
            <w:r>
              <w:rPr>
                <w:rFonts w:hint="eastAsia" w:eastAsia="宋体"/>
                <w:sz w:val="24"/>
                <w:lang w:val="en-US" w:eastAsia="zh-CN" w:bidi="ar"/>
              </w:rPr>
              <w:t>赛验收情况</w:t>
            </w:r>
            <w:r>
              <w:rPr>
                <w:rFonts w:eastAsia="宋体"/>
                <w:sz w:val="24"/>
                <w:lang w:eastAsia="zh-CN" w:bidi="ar"/>
              </w:rPr>
              <w:t>，用以反映和考核项目产出质量目标的实现程度。</w:t>
            </w:r>
          </w:p>
        </w:tc>
        <w:tc>
          <w:tcPr>
            <w:tcW w:w="2420" w:type="dxa"/>
            <w:noWrap w:val="0"/>
            <w:vAlign w:val="center"/>
          </w:tcPr>
          <w:p>
            <w:pPr>
              <w:widowControl/>
              <w:spacing w:line="360" w:lineRule="exact"/>
              <w:ind w:firstLine="0" w:firstLineChars="0"/>
              <w:textAlignment w:val="center"/>
              <w:rPr>
                <w:rFonts w:eastAsia="宋体"/>
                <w:color w:val="auto"/>
                <w:sz w:val="24"/>
                <w:lang w:eastAsia="zh-CN" w:bidi="ar-SA"/>
              </w:rPr>
            </w:pPr>
            <w:r>
              <w:rPr>
                <w:rFonts w:hint="eastAsia" w:eastAsia="宋体"/>
                <w:color w:val="auto"/>
                <w:sz w:val="24"/>
                <w:lang w:eastAsia="zh-CN" w:bidi="ar-SA"/>
              </w:rPr>
              <w:t>是否通过</w:t>
            </w:r>
            <w:r>
              <w:rPr>
                <w:rFonts w:hint="eastAsia" w:eastAsia="宋体"/>
                <w:color w:val="auto"/>
                <w:sz w:val="24"/>
                <w:lang w:val="en-US" w:eastAsia="zh-CN" w:bidi="ar-SA"/>
              </w:rPr>
              <w:t>验收</w:t>
            </w:r>
            <w:r>
              <w:rPr>
                <w:rFonts w:hint="eastAsia" w:eastAsia="宋体"/>
                <w:color w:val="auto"/>
                <w:sz w:val="24"/>
                <w:lang w:eastAsia="zh-CN" w:bidi="ar-SA"/>
              </w:rPr>
              <w:t>，</w:t>
            </w:r>
            <w:r>
              <w:rPr>
                <w:rFonts w:hint="eastAsia" w:eastAsia="宋体"/>
                <w:color w:val="auto"/>
                <w:sz w:val="24"/>
                <w:lang w:val="en-US" w:eastAsia="zh-CN" w:bidi="ar-SA"/>
              </w:rPr>
              <w:t>验收</w:t>
            </w:r>
            <w:r>
              <w:rPr>
                <w:rFonts w:hint="eastAsia" w:eastAsia="宋体"/>
                <w:color w:val="auto"/>
                <w:sz w:val="24"/>
                <w:lang w:eastAsia="zh-CN" w:bidi="ar-SA"/>
              </w:rPr>
              <w:t>是否有完善的手续及检验报告。</w:t>
            </w:r>
          </w:p>
        </w:tc>
        <w:tc>
          <w:tcPr>
            <w:tcW w:w="4234" w:type="dxa"/>
            <w:noWrap w:val="0"/>
            <w:vAlign w:val="center"/>
          </w:tcPr>
          <w:p>
            <w:pPr>
              <w:widowControl/>
              <w:spacing w:line="360" w:lineRule="exact"/>
              <w:ind w:firstLine="0" w:firstLineChars="0"/>
              <w:jc w:val="left"/>
              <w:textAlignment w:val="center"/>
              <w:rPr>
                <w:rFonts w:hint="eastAsia" w:eastAsia="宋体"/>
                <w:sz w:val="24"/>
                <w:lang w:eastAsia="zh-CN" w:bidi="ar"/>
              </w:rPr>
            </w:pPr>
            <w:r>
              <w:rPr>
                <w:rFonts w:hint="eastAsia" w:eastAsia="宋体"/>
                <w:sz w:val="24"/>
                <w:lang w:val="en-US" w:eastAsia="zh-CN" w:bidi="ar"/>
              </w:rPr>
              <w:t>2024年10月28日区文体旅游局对乐山市同舟营销策划有限公司提交的《金口河区第二届舌尖上的非遗——特色美食大赛及推广活动验收资料》进行了验收，验收</w:t>
            </w:r>
            <w:r>
              <w:rPr>
                <w:rFonts w:hint="eastAsia" w:eastAsia="宋体"/>
                <w:sz w:val="24"/>
                <w:highlight w:val="none"/>
                <w:lang w:val="en-US" w:eastAsia="zh-CN" w:bidi="ar"/>
              </w:rPr>
              <w:t>合格</w:t>
            </w:r>
            <w:r>
              <w:rPr>
                <w:rFonts w:hint="eastAsia" w:eastAsia="宋体"/>
                <w:sz w:val="24"/>
                <w:highlight w:val="none"/>
                <w:lang w:eastAsia="zh-CN" w:bidi="ar"/>
              </w:rPr>
              <w:t>。根据评分标准，该指标得满分</w:t>
            </w:r>
            <w:r>
              <w:rPr>
                <w:rFonts w:hint="eastAsia" w:eastAsia="宋体"/>
                <w:sz w:val="24"/>
                <w:highlight w:val="none"/>
                <w:lang w:val="en-US" w:eastAsia="zh-CN" w:bidi="ar"/>
              </w:rPr>
              <w:t>8.00分</w:t>
            </w:r>
            <w:r>
              <w:rPr>
                <w:rFonts w:hint="eastAsia" w:eastAsia="宋体"/>
                <w:sz w:val="24"/>
                <w:highlight w:val="none"/>
                <w:lang w:eastAsia="zh-CN" w:bidi="ar"/>
              </w:rPr>
              <w:t>。</w:t>
            </w:r>
          </w:p>
        </w:tc>
        <w:tc>
          <w:tcPr>
            <w:tcW w:w="816" w:type="dxa"/>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val="en-US" w:eastAsia="zh-CN" w:bidi="ar"/>
              </w:rPr>
              <w:t>8</w:t>
            </w:r>
          </w:p>
        </w:tc>
        <w:tc>
          <w:tcPr>
            <w:tcW w:w="1104" w:type="dxa"/>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eastAsia="zh-CN" w:bidi="ar"/>
              </w:rPr>
              <w:t>100</w:t>
            </w:r>
            <w:r>
              <w:rPr>
                <w:rFonts w:hint="eastAsia" w:eastAsia="宋体"/>
                <w:sz w:val="24"/>
                <w:lang w:val="en-US" w:eastAsia="zh-CN" w:bidi="ar"/>
              </w:rPr>
              <w:t>.00</w:t>
            </w:r>
            <w:r>
              <w:rPr>
                <w:rFonts w:eastAsia="宋体"/>
                <w:sz w:val="24"/>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5" w:type="dxa"/>
            <w:vMerge w:val="continue"/>
            <w:shd w:val="clear" w:color="auto" w:fill="auto"/>
            <w:noWrap w:val="0"/>
            <w:vAlign w:val="center"/>
          </w:tcPr>
          <w:p>
            <w:pPr>
              <w:widowControl/>
              <w:spacing w:line="360" w:lineRule="exact"/>
              <w:ind w:firstLine="0" w:firstLineChars="0"/>
              <w:jc w:val="center"/>
              <w:rPr>
                <w:rFonts w:eastAsia="宋体"/>
                <w:sz w:val="24"/>
                <w:lang w:eastAsia="zh-CN" w:bidi="ar-SA"/>
              </w:rPr>
            </w:pPr>
          </w:p>
        </w:tc>
        <w:tc>
          <w:tcPr>
            <w:tcW w:w="889" w:type="dxa"/>
            <w:shd w:val="clear" w:color="auto" w:fill="auto"/>
            <w:noWrap w:val="0"/>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C3产出时效（</w:t>
            </w:r>
            <w:r>
              <w:rPr>
                <w:rFonts w:hint="eastAsia" w:eastAsia="宋体"/>
                <w:sz w:val="24"/>
                <w:lang w:val="en-US" w:eastAsia="zh-CN" w:bidi="ar"/>
              </w:rPr>
              <w:t>6</w:t>
            </w:r>
            <w:r>
              <w:rPr>
                <w:rFonts w:eastAsia="宋体"/>
                <w:sz w:val="24"/>
                <w:lang w:eastAsia="zh-CN" w:bidi="ar"/>
              </w:rPr>
              <w:t>分）</w:t>
            </w:r>
          </w:p>
        </w:tc>
        <w:tc>
          <w:tcPr>
            <w:tcW w:w="893" w:type="dxa"/>
            <w:shd w:val="clear" w:color="000000" w:fill="FFFFFF"/>
            <w:noWrap w:val="0"/>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C31</w:t>
            </w:r>
            <w:r>
              <w:rPr>
                <w:rFonts w:hint="eastAsia" w:eastAsia="宋体"/>
                <w:sz w:val="24"/>
                <w:lang w:val="en-US" w:eastAsia="zh-CN" w:bidi="ar"/>
              </w:rPr>
              <w:t>美食大赛</w:t>
            </w:r>
            <w:r>
              <w:rPr>
                <w:rFonts w:hint="eastAsia" w:eastAsia="宋体"/>
                <w:sz w:val="24"/>
                <w:lang w:eastAsia="zh-CN" w:bidi="ar"/>
              </w:rPr>
              <w:t>完成时间</w:t>
            </w:r>
          </w:p>
        </w:tc>
        <w:tc>
          <w:tcPr>
            <w:tcW w:w="741" w:type="dxa"/>
            <w:shd w:val="clear" w:color="000000" w:fill="FFFFFF"/>
            <w:noWrap w:val="0"/>
            <w:vAlign w:val="center"/>
          </w:tcPr>
          <w:p>
            <w:pPr>
              <w:widowControl/>
              <w:spacing w:line="360" w:lineRule="exact"/>
              <w:ind w:firstLine="0" w:firstLineChars="0"/>
              <w:jc w:val="center"/>
              <w:textAlignment w:val="center"/>
              <w:rPr>
                <w:rFonts w:hint="default" w:eastAsia="宋体"/>
                <w:color w:val="auto"/>
                <w:sz w:val="24"/>
                <w:lang w:val="en-US" w:eastAsia="zh-CN" w:bidi="ar-SA"/>
              </w:rPr>
            </w:pPr>
            <w:r>
              <w:rPr>
                <w:rFonts w:hint="eastAsia" w:eastAsia="宋体"/>
                <w:color w:val="auto"/>
                <w:sz w:val="24"/>
                <w:lang w:val="en-US" w:eastAsia="zh-CN" w:bidi="ar-SA"/>
              </w:rPr>
              <w:t>6</w:t>
            </w:r>
          </w:p>
        </w:tc>
        <w:tc>
          <w:tcPr>
            <w:tcW w:w="2746" w:type="dxa"/>
            <w:shd w:val="clear" w:color="000000" w:fill="FFFFFF"/>
            <w:noWrap w:val="0"/>
            <w:vAlign w:val="center"/>
          </w:tcPr>
          <w:p>
            <w:pPr>
              <w:widowControl/>
              <w:spacing w:line="360" w:lineRule="exact"/>
              <w:ind w:firstLine="0" w:firstLineChars="0"/>
              <w:textAlignment w:val="center"/>
              <w:rPr>
                <w:rFonts w:eastAsia="宋体"/>
                <w:sz w:val="24"/>
                <w:lang w:eastAsia="zh-CN" w:bidi="ar-SA"/>
              </w:rPr>
            </w:pPr>
            <w:r>
              <w:rPr>
                <w:rFonts w:eastAsia="宋体"/>
                <w:sz w:val="24"/>
                <w:lang w:eastAsia="zh-CN" w:bidi="ar"/>
              </w:rPr>
              <w:t>评价要点：</w:t>
            </w:r>
            <w:r>
              <w:rPr>
                <w:rFonts w:eastAsia="宋体"/>
                <w:sz w:val="24"/>
                <w:lang w:eastAsia="zh-CN" w:bidi="ar"/>
              </w:rPr>
              <w:br w:type="textWrapping"/>
            </w:r>
            <w:r>
              <w:rPr>
                <w:rFonts w:hint="eastAsia" w:eastAsia="宋体"/>
                <w:sz w:val="24"/>
                <w:lang w:eastAsia="zh-CN" w:bidi="ar"/>
              </w:rPr>
              <w:t>是否在批复时间内完成</w:t>
            </w:r>
            <w:r>
              <w:rPr>
                <w:rFonts w:hint="eastAsia" w:eastAsia="宋体"/>
                <w:sz w:val="24"/>
                <w:lang w:val="en-US" w:eastAsia="zh-CN" w:bidi="ar"/>
              </w:rPr>
              <w:t>美食大赛</w:t>
            </w:r>
            <w:r>
              <w:rPr>
                <w:rFonts w:eastAsia="宋体"/>
                <w:sz w:val="24"/>
                <w:lang w:eastAsia="zh-CN" w:bidi="ar"/>
              </w:rPr>
              <w:t>，用以反映和考核项目产出</w:t>
            </w:r>
            <w:r>
              <w:rPr>
                <w:rFonts w:hint="eastAsia" w:eastAsia="宋体"/>
                <w:sz w:val="24"/>
                <w:lang w:eastAsia="zh-CN" w:bidi="ar"/>
              </w:rPr>
              <w:t>有</w:t>
            </w:r>
            <w:r>
              <w:rPr>
                <w:rFonts w:eastAsia="宋体"/>
                <w:sz w:val="24"/>
                <w:lang w:eastAsia="zh-CN" w:bidi="ar"/>
              </w:rPr>
              <w:t>效目标的实现程度。</w:t>
            </w:r>
          </w:p>
        </w:tc>
        <w:tc>
          <w:tcPr>
            <w:tcW w:w="2420" w:type="dxa"/>
            <w:shd w:val="clear" w:color="000000" w:fill="FFFFFF"/>
            <w:noWrap w:val="0"/>
            <w:vAlign w:val="center"/>
          </w:tcPr>
          <w:p>
            <w:pPr>
              <w:widowControl/>
              <w:spacing w:line="360" w:lineRule="exact"/>
              <w:ind w:firstLine="0" w:firstLineChars="0"/>
              <w:textAlignment w:val="center"/>
              <w:rPr>
                <w:rFonts w:eastAsia="宋体"/>
                <w:color w:val="auto"/>
                <w:sz w:val="24"/>
                <w:lang w:eastAsia="zh-CN" w:bidi="ar-SA"/>
              </w:rPr>
            </w:pPr>
            <w:r>
              <w:rPr>
                <w:rFonts w:hint="eastAsia" w:eastAsia="宋体"/>
                <w:sz w:val="24"/>
                <w:lang w:eastAsia="zh-CN" w:bidi="ar"/>
              </w:rPr>
              <w:t>在批复时间内完成得满分，否则不得分</w:t>
            </w:r>
            <w:r>
              <w:rPr>
                <w:rFonts w:eastAsia="宋体"/>
                <w:sz w:val="24"/>
                <w:lang w:eastAsia="zh-CN" w:bidi="ar"/>
              </w:rPr>
              <w:t>。</w:t>
            </w:r>
          </w:p>
        </w:tc>
        <w:tc>
          <w:tcPr>
            <w:tcW w:w="4234" w:type="dxa"/>
            <w:shd w:val="clear" w:color="000000" w:fill="FFFFFF"/>
            <w:noWrap w:val="0"/>
            <w:vAlign w:val="center"/>
          </w:tcPr>
          <w:p>
            <w:pPr>
              <w:widowControl/>
              <w:spacing w:line="360" w:lineRule="exact"/>
              <w:ind w:firstLine="0" w:firstLineChars="0"/>
              <w:jc w:val="left"/>
              <w:textAlignment w:val="center"/>
              <w:rPr>
                <w:rFonts w:eastAsia="宋体"/>
                <w:sz w:val="24"/>
                <w:lang w:eastAsia="zh-CN" w:bidi="ar-SA"/>
              </w:rPr>
            </w:pPr>
            <w:r>
              <w:rPr>
                <w:rFonts w:eastAsia="宋体"/>
                <w:sz w:val="24"/>
                <w:lang w:eastAsia="zh-CN" w:bidi="ar"/>
              </w:rPr>
              <w:t>根据</w:t>
            </w:r>
            <w:r>
              <w:rPr>
                <w:rFonts w:hint="eastAsia" w:eastAsia="宋体"/>
                <w:sz w:val="24"/>
                <w:lang w:eastAsia="zh-CN" w:bidi="ar"/>
              </w:rPr>
              <w:t>《</w:t>
            </w:r>
            <w:r>
              <w:rPr>
                <w:rFonts w:hint="eastAsia" w:eastAsia="宋体"/>
                <w:sz w:val="24"/>
                <w:lang w:val="en-US" w:eastAsia="zh-CN" w:bidi="ar"/>
              </w:rPr>
              <w:t>金口河区文化广播电视体育和旅游局金口河区第二届舌尖上的非遗——特色美食大赛及推广交流活动方案</w:t>
            </w:r>
            <w:r>
              <w:rPr>
                <w:rFonts w:hint="eastAsia" w:eastAsia="宋体"/>
                <w:sz w:val="24"/>
                <w:lang w:eastAsia="zh-CN" w:bidi="ar"/>
              </w:rPr>
              <w:t>》，</w:t>
            </w:r>
            <w:r>
              <w:rPr>
                <w:rFonts w:hint="eastAsia" w:eastAsia="宋体"/>
                <w:sz w:val="24"/>
                <w:lang w:val="en-US" w:eastAsia="zh-CN" w:bidi="ar"/>
              </w:rPr>
              <w:t>活动时间为2024年3月-9月。经过前期的准备工作后，美食大赛于2024年9月25日顺利开展。项目完成时间与经批复的活动方案一致</w:t>
            </w:r>
            <w:r>
              <w:rPr>
                <w:rFonts w:hint="eastAsia" w:eastAsia="宋体"/>
                <w:sz w:val="24"/>
                <w:lang w:eastAsia="zh-CN" w:bidi="ar"/>
              </w:rPr>
              <w:t>。根据评分标准，该指标得满分</w:t>
            </w:r>
            <w:r>
              <w:rPr>
                <w:rFonts w:hint="eastAsia" w:eastAsia="宋体"/>
                <w:sz w:val="24"/>
                <w:lang w:val="en-US" w:eastAsia="zh-CN" w:bidi="ar"/>
              </w:rPr>
              <w:t>6.00分</w:t>
            </w:r>
            <w:r>
              <w:rPr>
                <w:rFonts w:eastAsia="宋体"/>
                <w:sz w:val="24"/>
                <w:lang w:eastAsia="zh-CN" w:bidi="ar"/>
              </w:rPr>
              <w:t>。</w:t>
            </w:r>
          </w:p>
        </w:tc>
        <w:tc>
          <w:tcPr>
            <w:tcW w:w="816" w:type="dxa"/>
            <w:shd w:val="clear" w:color="000000" w:fill="FFFFFF"/>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val="en-US" w:eastAsia="zh-CN" w:bidi="ar"/>
              </w:rPr>
              <w:t>6</w:t>
            </w:r>
          </w:p>
        </w:tc>
        <w:tc>
          <w:tcPr>
            <w:tcW w:w="1104" w:type="dxa"/>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eastAsia="zh-CN" w:bidi="ar"/>
              </w:rPr>
              <w:t>10</w:t>
            </w:r>
            <w:r>
              <w:rPr>
                <w:rFonts w:eastAsia="宋体"/>
                <w:sz w:val="24"/>
                <w:lang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5" w:type="dxa"/>
            <w:vMerge w:val="continue"/>
            <w:shd w:val="clear" w:color="auto" w:fill="auto"/>
            <w:noWrap w:val="0"/>
            <w:vAlign w:val="center"/>
          </w:tcPr>
          <w:p>
            <w:pPr>
              <w:widowControl/>
              <w:spacing w:line="360" w:lineRule="exact"/>
              <w:ind w:firstLine="0" w:firstLineChars="0"/>
              <w:jc w:val="center"/>
              <w:rPr>
                <w:rFonts w:eastAsia="宋体"/>
                <w:sz w:val="24"/>
                <w:lang w:eastAsia="zh-CN" w:bidi="ar-SA"/>
              </w:rPr>
            </w:pPr>
          </w:p>
        </w:tc>
        <w:tc>
          <w:tcPr>
            <w:tcW w:w="889" w:type="dxa"/>
            <w:shd w:val="clear" w:color="auto" w:fill="auto"/>
            <w:noWrap w:val="0"/>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C4产出成本（8分）</w:t>
            </w:r>
          </w:p>
        </w:tc>
        <w:tc>
          <w:tcPr>
            <w:tcW w:w="893" w:type="dxa"/>
            <w:shd w:val="clear" w:color="auto" w:fill="auto"/>
            <w:noWrap w:val="0"/>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C41成本节约率</w:t>
            </w:r>
          </w:p>
        </w:tc>
        <w:tc>
          <w:tcPr>
            <w:tcW w:w="741" w:type="dxa"/>
            <w:shd w:val="clear" w:color="000000" w:fill="FFFFFF"/>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eastAsia="zh-CN" w:bidi="ar"/>
              </w:rPr>
              <w:t>8</w:t>
            </w:r>
          </w:p>
        </w:tc>
        <w:tc>
          <w:tcPr>
            <w:tcW w:w="2746" w:type="dxa"/>
            <w:shd w:val="clear" w:color="000000" w:fill="FFFFFF"/>
            <w:noWrap w:val="0"/>
            <w:vAlign w:val="center"/>
          </w:tcPr>
          <w:p>
            <w:pPr>
              <w:widowControl/>
              <w:spacing w:line="360" w:lineRule="exact"/>
              <w:ind w:firstLine="0" w:firstLineChars="0"/>
              <w:textAlignment w:val="center"/>
              <w:rPr>
                <w:rFonts w:eastAsia="宋体"/>
                <w:sz w:val="24"/>
                <w:lang w:eastAsia="zh-CN" w:bidi="ar-SA"/>
              </w:rPr>
            </w:pPr>
            <w:r>
              <w:rPr>
                <w:rFonts w:eastAsia="宋体"/>
                <w:sz w:val="24"/>
                <w:lang w:eastAsia="zh-CN" w:bidi="ar"/>
              </w:rPr>
              <w:t>评价要点：</w:t>
            </w:r>
            <w:r>
              <w:rPr>
                <w:rFonts w:eastAsia="宋体"/>
                <w:sz w:val="24"/>
                <w:lang w:eastAsia="zh-CN" w:bidi="ar"/>
              </w:rPr>
              <w:br w:type="textWrapping"/>
            </w:r>
            <w:r>
              <w:rPr>
                <w:rFonts w:eastAsia="宋体"/>
                <w:sz w:val="24"/>
                <w:lang w:eastAsia="zh-CN" w:bidi="ar"/>
              </w:rPr>
              <w:t>完成项目计划工作目标的实际节约成本与计划成本的比率，用以反映和考核项目的成本节约程度。成本节约率=[（计划成本-实际成本）/计划成本]×100%。</w:t>
            </w:r>
          </w:p>
        </w:tc>
        <w:tc>
          <w:tcPr>
            <w:tcW w:w="2420" w:type="dxa"/>
            <w:shd w:val="clear" w:color="000000" w:fill="FFFFFF"/>
            <w:noWrap w:val="0"/>
            <w:vAlign w:val="center"/>
          </w:tcPr>
          <w:p>
            <w:pPr>
              <w:widowControl/>
              <w:spacing w:line="360" w:lineRule="exact"/>
              <w:ind w:firstLine="0" w:firstLineChars="0"/>
              <w:textAlignment w:val="center"/>
              <w:rPr>
                <w:rFonts w:eastAsia="宋体"/>
                <w:color w:val="auto"/>
                <w:sz w:val="24"/>
                <w:lang w:eastAsia="zh-CN" w:bidi="ar-SA"/>
              </w:rPr>
            </w:pPr>
            <w:r>
              <w:rPr>
                <w:rFonts w:eastAsia="宋体"/>
                <w:sz w:val="24"/>
                <w:lang w:eastAsia="zh-CN" w:bidi="ar"/>
              </w:rPr>
              <w:t>成本节约率大于0%且低于1</w:t>
            </w:r>
            <w:r>
              <w:rPr>
                <w:rFonts w:hint="eastAsia" w:eastAsia="宋体"/>
                <w:sz w:val="24"/>
                <w:lang w:val="en-US" w:eastAsia="zh-CN" w:bidi="ar"/>
              </w:rPr>
              <w:t>0</w:t>
            </w:r>
            <w:r>
              <w:rPr>
                <w:rFonts w:eastAsia="宋体"/>
                <w:sz w:val="24"/>
                <w:lang w:eastAsia="zh-CN" w:bidi="ar"/>
              </w:rPr>
              <w:t>%，则得满分，每高于一个1</w:t>
            </w:r>
            <w:r>
              <w:rPr>
                <w:rFonts w:hint="eastAsia" w:eastAsia="宋体"/>
                <w:sz w:val="24"/>
                <w:lang w:val="en-US" w:eastAsia="zh-CN" w:bidi="ar"/>
              </w:rPr>
              <w:t>0</w:t>
            </w:r>
            <w:r>
              <w:rPr>
                <w:rFonts w:eastAsia="宋体"/>
                <w:sz w:val="24"/>
                <w:lang w:eastAsia="zh-CN" w:bidi="ar"/>
              </w:rPr>
              <w:t>%，扣除10%权重分，扣完为止，低于0%，不得分。</w:t>
            </w:r>
          </w:p>
        </w:tc>
        <w:tc>
          <w:tcPr>
            <w:tcW w:w="4234" w:type="dxa"/>
            <w:shd w:val="clear" w:color="000000" w:fill="FFFFFF"/>
            <w:noWrap w:val="0"/>
            <w:vAlign w:val="center"/>
          </w:tcPr>
          <w:p>
            <w:pPr>
              <w:widowControl/>
              <w:spacing w:line="360" w:lineRule="exact"/>
              <w:ind w:firstLine="0" w:firstLineChars="0"/>
              <w:jc w:val="left"/>
              <w:textAlignment w:val="center"/>
              <w:rPr>
                <w:rFonts w:eastAsia="宋体"/>
                <w:sz w:val="24"/>
                <w:lang w:eastAsia="zh-CN" w:bidi="ar-SA"/>
              </w:rPr>
            </w:pPr>
            <w:r>
              <w:rPr>
                <w:rFonts w:hint="eastAsia" w:eastAsia="宋体"/>
                <w:sz w:val="24"/>
                <w:lang w:eastAsia="zh-CN" w:bidi="ar"/>
              </w:rPr>
              <w:t>农业产业推广：第二届非遗特色美食大赛及推广项目</w:t>
            </w:r>
            <w:r>
              <w:rPr>
                <w:rFonts w:eastAsia="宋体"/>
                <w:sz w:val="24"/>
                <w:lang w:eastAsia="zh-CN" w:bidi="ar"/>
              </w:rPr>
              <w:t>预算资金为</w:t>
            </w:r>
            <w:r>
              <w:rPr>
                <w:rFonts w:hint="eastAsia" w:eastAsia="宋体"/>
                <w:sz w:val="24"/>
                <w:lang w:val="en-US" w:eastAsia="zh-CN" w:bidi="ar"/>
              </w:rPr>
              <w:t>10</w:t>
            </w:r>
            <w:r>
              <w:rPr>
                <w:rFonts w:eastAsia="宋体"/>
                <w:sz w:val="24"/>
                <w:lang w:eastAsia="zh-CN" w:bidi="ar"/>
              </w:rPr>
              <w:t>万元，实际到位</w:t>
            </w:r>
            <w:r>
              <w:rPr>
                <w:rFonts w:hint="eastAsia" w:eastAsia="宋体"/>
                <w:sz w:val="24"/>
                <w:lang w:val="en-US" w:eastAsia="zh-CN" w:bidi="ar"/>
              </w:rPr>
              <w:t>10</w:t>
            </w:r>
            <w:r>
              <w:rPr>
                <w:rFonts w:eastAsia="宋体"/>
                <w:sz w:val="24"/>
                <w:lang w:eastAsia="zh-CN" w:bidi="ar"/>
              </w:rPr>
              <w:t>万元，</w:t>
            </w:r>
            <w:r>
              <w:rPr>
                <w:rFonts w:hint="eastAsia" w:eastAsia="宋体"/>
                <w:sz w:val="24"/>
                <w:lang w:val="en-US" w:eastAsia="zh-CN" w:bidi="ar"/>
              </w:rPr>
              <w:t>截止2024年11月19日</w:t>
            </w:r>
            <w:r>
              <w:rPr>
                <w:rFonts w:eastAsia="宋体"/>
                <w:sz w:val="24"/>
                <w:lang w:eastAsia="zh-CN" w:bidi="ar"/>
              </w:rPr>
              <w:t>实际支出</w:t>
            </w:r>
            <w:r>
              <w:rPr>
                <w:rFonts w:hint="eastAsia" w:eastAsia="宋体"/>
                <w:sz w:val="24"/>
                <w:lang w:val="en-US" w:eastAsia="zh-CN" w:bidi="ar"/>
              </w:rPr>
              <w:t>7.05</w:t>
            </w:r>
            <w:r>
              <w:rPr>
                <w:rFonts w:eastAsia="宋体"/>
                <w:sz w:val="24"/>
                <w:lang w:eastAsia="zh-CN" w:bidi="ar"/>
              </w:rPr>
              <w:t>万元</w:t>
            </w:r>
            <w:r>
              <w:rPr>
                <w:rFonts w:hint="eastAsia" w:eastAsia="宋体"/>
                <w:sz w:val="24"/>
                <w:lang w:eastAsia="zh-CN" w:bidi="ar"/>
              </w:rPr>
              <w:t>，节约成本</w:t>
            </w:r>
            <w:r>
              <w:rPr>
                <w:rFonts w:hint="eastAsia" w:eastAsia="宋体"/>
                <w:sz w:val="24"/>
                <w:lang w:val="en-US" w:eastAsia="zh-CN" w:bidi="ar"/>
              </w:rPr>
              <w:t>2.95</w:t>
            </w:r>
            <w:r>
              <w:rPr>
                <w:rFonts w:hint="eastAsia" w:eastAsia="宋体"/>
                <w:sz w:val="24"/>
                <w:lang w:eastAsia="zh-CN" w:bidi="ar"/>
              </w:rPr>
              <w:t>，</w:t>
            </w:r>
            <w:r>
              <w:rPr>
                <w:rFonts w:eastAsia="宋体"/>
                <w:sz w:val="24"/>
                <w:lang w:eastAsia="zh-CN" w:bidi="ar"/>
              </w:rPr>
              <w:t>成本节约率</w:t>
            </w:r>
            <w:r>
              <w:rPr>
                <w:rFonts w:hint="eastAsia" w:eastAsia="宋体"/>
                <w:sz w:val="24"/>
                <w:lang w:val="en-US" w:eastAsia="zh-CN" w:bidi="ar"/>
              </w:rPr>
              <w:t>29.50</w:t>
            </w:r>
            <w:r>
              <w:rPr>
                <w:rFonts w:hint="eastAsia" w:eastAsia="宋体"/>
                <w:sz w:val="24"/>
                <w:lang w:eastAsia="zh-CN" w:bidi="ar"/>
              </w:rPr>
              <w:t>%。</w:t>
            </w:r>
            <w:r>
              <w:rPr>
                <w:rFonts w:eastAsia="宋体"/>
                <w:sz w:val="24"/>
                <w:lang w:eastAsia="zh-CN" w:bidi="ar"/>
              </w:rPr>
              <w:t>根据评分标准，该指标得</w:t>
            </w:r>
            <w:r>
              <w:rPr>
                <w:rFonts w:hint="eastAsia" w:eastAsia="宋体"/>
                <w:sz w:val="24"/>
                <w:lang w:val="en-US" w:eastAsia="zh-CN" w:bidi="ar"/>
              </w:rPr>
              <w:t>6.40</w:t>
            </w:r>
            <w:r>
              <w:rPr>
                <w:rFonts w:eastAsia="宋体"/>
                <w:sz w:val="24"/>
                <w:lang w:eastAsia="zh-CN" w:bidi="ar"/>
              </w:rPr>
              <w:t>分。</w:t>
            </w:r>
          </w:p>
        </w:tc>
        <w:tc>
          <w:tcPr>
            <w:tcW w:w="816" w:type="dxa"/>
            <w:shd w:val="clear" w:color="000000" w:fill="FFFFFF"/>
            <w:noWrap w:val="0"/>
            <w:vAlign w:val="center"/>
          </w:tcPr>
          <w:p>
            <w:pPr>
              <w:widowControl/>
              <w:spacing w:line="360" w:lineRule="exact"/>
              <w:ind w:firstLine="0" w:firstLineChars="0"/>
              <w:jc w:val="center"/>
              <w:textAlignment w:val="center"/>
              <w:rPr>
                <w:rFonts w:hint="default" w:eastAsia="宋体"/>
                <w:color w:val="auto"/>
                <w:sz w:val="24"/>
                <w:lang w:val="en-US" w:eastAsia="zh-CN" w:bidi="ar-SA"/>
              </w:rPr>
            </w:pPr>
            <w:r>
              <w:rPr>
                <w:rFonts w:hint="eastAsia" w:eastAsia="宋体"/>
                <w:sz w:val="24"/>
                <w:lang w:val="en-US" w:eastAsia="zh-CN" w:bidi="ar"/>
              </w:rPr>
              <w:t>6.40</w:t>
            </w:r>
          </w:p>
        </w:tc>
        <w:tc>
          <w:tcPr>
            <w:tcW w:w="1104" w:type="dxa"/>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val="en-US" w:eastAsia="zh-CN" w:bidi="ar"/>
              </w:rPr>
              <w:t>80</w:t>
            </w:r>
            <w:r>
              <w:rPr>
                <w:rFonts w:eastAsia="宋体"/>
                <w:sz w:val="24"/>
                <w:lang w:eastAsia="zh-CN" w:bidi="ar"/>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5" w:type="dxa"/>
            <w:vMerge w:val="restart"/>
            <w:shd w:val="clear" w:color="000000" w:fill="FFFFFF"/>
            <w:noWrap w:val="0"/>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D效益（30分）　</w:t>
            </w:r>
          </w:p>
        </w:tc>
        <w:tc>
          <w:tcPr>
            <w:tcW w:w="889" w:type="dxa"/>
            <w:vMerge w:val="restart"/>
            <w:shd w:val="clear" w:color="000000" w:fill="FFFFFF"/>
            <w:noWrap w:val="0"/>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D1社会效益（</w:t>
            </w:r>
            <w:r>
              <w:rPr>
                <w:rFonts w:hint="eastAsia" w:eastAsia="宋体"/>
                <w:sz w:val="24"/>
                <w:lang w:val="en-US" w:eastAsia="zh-CN" w:bidi="ar"/>
              </w:rPr>
              <w:t>9</w:t>
            </w:r>
            <w:r>
              <w:rPr>
                <w:rFonts w:eastAsia="宋体"/>
                <w:sz w:val="24"/>
                <w:lang w:eastAsia="zh-CN" w:bidi="ar"/>
              </w:rPr>
              <w:t>分）</w:t>
            </w:r>
          </w:p>
        </w:tc>
        <w:tc>
          <w:tcPr>
            <w:tcW w:w="893" w:type="dxa"/>
            <w:shd w:val="clear" w:color="000000" w:fill="FFFFFF"/>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eastAsia="宋体"/>
                <w:sz w:val="24"/>
                <w:lang w:eastAsia="zh-CN" w:bidi="ar"/>
              </w:rPr>
              <w:t>D11</w:t>
            </w:r>
            <w:r>
              <w:rPr>
                <w:rFonts w:hint="eastAsia" w:eastAsia="宋体"/>
                <w:sz w:val="24"/>
                <w:lang w:eastAsia="zh-CN" w:bidi="ar"/>
              </w:rPr>
              <w:t>传承与保护非遗文化</w:t>
            </w:r>
          </w:p>
        </w:tc>
        <w:tc>
          <w:tcPr>
            <w:tcW w:w="741" w:type="dxa"/>
            <w:shd w:val="clear" w:color="000000" w:fill="FFFFFF"/>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val="en-US" w:eastAsia="zh-CN" w:bidi="ar"/>
              </w:rPr>
              <w:t>3</w:t>
            </w:r>
          </w:p>
        </w:tc>
        <w:tc>
          <w:tcPr>
            <w:tcW w:w="2746" w:type="dxa"/>
            <w:shd w:val="clear" w:color="000000" w:fill="FFFFFF"/>
            <w:noWrap w:val="0"/>
            <w:vAlign w:val="center"/>
          </w:tcPr>
          <w:p>
            <w:pPr>
              <w:widowControl/>
              <w:spacing w:line="360" w:lineRule="exact"/>
              <w:ind w:firstLine="0" w:firstLineChars="0"/>
              <w:textAlignment w:val="center"/>
              <w:rPr>
                <w:rFonts w:hint="default" w:eastAsia="宋体"/>
                <w:sz w:val="24"/>
                <w:lang w:val="en-US" w:eastAsia="zh-CN" w:bidi="ar-SA"/>
              </w:rPr>
            </w:pPr>
            <w:r>
              <w:rPr>
                <w:rFonts w:eastAsia="宋体"/>
                <w:sz w:val="24"/>
                <w:lang w:eastAsia="zh-CN" w:bidi="ar"/>
              </w:rPr>
              <w:t>评价要点：</w:t>
            </w:r>
            <w:r>
              <w:rPr>
                <w:rFonts w:eastAsia="宋体"/>
                <w:sz w:val="24"/>
                <w:lang w:eastAsia="zh-CN" w:bidi="ar"/>
              </w:rPr>
              <w:br w:type="textWrapping"/>
            </w:r>
            <w:r>
              <w:rPr>
                <w:rFonts w:hint="eastAsia" w:eastAsia="宋体"/>
                <w:sz w:val="24"/>
                <w:lang w:val="en-US" w:eastAsia="zh-CN" w:bidi="ar"/>
              </w:rPr>
              <w:t>通过餐饮行业专家的指导，是否有效促进非遗美食技艺术传承；是否有利于增强群众对非遗文化的保护。</w:t>
            </w:r>
          </w:p>
        </w:tc>
        <w:tc>
          <w:tcPr>
            <w:tcW w:w="2420" w:type="dxa"/>
            <w:shd w:val="clear" w:color="000000" w:fill="FFFFFF"/>
            <w:noWrap w:val="0"/>
            <w:vAlign w:val="center"/>
          </w:tcPr>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t>综合评判，</w:t>
            </w:r>
            <w:r>
              <w:rPr>
                <w:rFonts w:hint="eastAsia" w:eastAsia="宋体"/>
                <w:sz w:val="24"/>
                <w:lang w:eastAsia="zh-CN" w:bidi="ar"/>
              </w:rPr>
              <w:t>传承与保护非遗文化</w:t>
            </w:r>
            <w:r>
              <w:rPr>
                <w:rFonts w:eastAsia="宋体"/>
                <w:color w:val="auto"/>
                <w:sz w:val="24"/>
                <w:lang w:eastAsia="zh-CN" w:bidi="ar-SA"/>
              </w:rPr>
              <w:t>评价结论：</w:t>
            </w:r>
          </w:p>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fldChar w:fldCharType="begin"/>
            </w:r>
            <w:r>
              <w:rPr>
                <w:rFonts w:eastAsia="宋体"/>
                <w:color w:val="auto"/>
                <w:sz w:val="24"/>
                <w:lang w:eastAsia="zh-CN" w:bidi="ar-SA"/>
              </w:rPr>
              <w:instrText xml:space="preserve"> = 1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①</w:t>
            </w:r>
            <w:r>
              <w:rPr>
                <w:rFonts w:eastAsia="宋体"/>
                <w:color w:val="auto"/>
                <w:sz w:val="24"/>
                <w:lang w:eastAsia="zh-CN" w:bidi="ar-SA"/>
              </w:rPr>
              <w:fldChar w:fldCharType="end"/>
            </w:r>
            <w:r>
              <w:rPr>
                <w:rFonts w:eastAsia="宋体"/>
                <w:color w:val="auto"/>
                <w:sz w:val="24"/>
                <w:lang w:eastAsia="zh-CN" w:bidi="ar-SA"/>
              </w:rPr>
              <w:t>优得</w:t>
            </w:r>
            <w:r>
              <w:rPr>
                <w:rFonts w:hint="eastAsia" w:eastAsia="宋体"/>
                <w:color w:val="auto"/>
                <w:sz w:val="24"/>
                <w:lang w:val="en-US" w:eastAsia="zh-CN" w:bidi="ar-SA"/>
              </w:rPr>
              <w:t>3</w:t>
            </w:r>
            <w:r>
              <w:rPr>
                <w:rFonts w:eastAsia="宋体"/>
                <w:color w:val="auto"/>
                <w:sz w:val="24"/>
                <w:lang w:eastAsia="zh-CN" w:bidi="ar-SA"/>
              </w:rPr>
              <w:t>分</w:t>
            </w:r>
          </w:p>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fldChar w:fldCharType="begin"/>
            </w:r>
            <w:r>
              <w:rPr>
                <w:rFonts w:eastAsia="宋体"/>
                <w:color w:val="auto"/>
                <w:sz w:val="24"/>
                <w:lang w:eastAsia="zh-CN" w:bidi="ar-SA"/>
              </w:rPr>
              <w:instrText xml:space="preserve"> = 2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②</w:t>
            </w:r>
            <w:r>
              <w:rPr>
                <w:rFonts w:eastAsia="宋体"/>
                <w:color w:val="auto"/>
                <w:sz w:val="24"/>
                <w:lang w:eastAsia="zh-CN" w:bidi="ar-SA"/>
              </w:rPr>
              <w:fldChar w:fldCharType="end"/>
            </w:r>
            <w:r>
              <w:rPr>
                <w:rFonts w:eastAsia="宋体"/>
                <w:color w:val="auto"/>
                <w:sz w:val="24"/>
                <w:lang w:eastAsia="zh-CN" w:bidi="ar-SA"/>
              </w:rPr>
              <w:t>良得</w:t>
            </w:r>
            <w:r>
              <w:rPr>
                <w:rFonts w:hint="eastAsia" w:eastAsia="宋体"/>
                <w:color w:val="auto"/>
                <w:sz w:val="24"/>
                <w:lang w:val="en-US" w:eastAsia="zh-CN" w:bidi="ar-SA"/>
              </w:rPr>
              <w:t>2</w:t>
            </w:r>
            <w:r>
              <w:rPr>
                <w:rFonts w:eastAsia="宋体"/>
                <w:color w:val="auto"/>
                <w:sz w:val="24"/>
                <w:lang w:eastAsia="zh-CN" w:bidi="ar-SA"/>
              </w:rPr>
              <w:t>分</w:t>
            </w:r>
          </w:p>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fldChar w:fldCharType="begin"/>
            </w:r>
            <w:r>
              <w:rPr>
                <w:rFonts w:eastAsia="宋体"/>
                <w:color w:val="auto"/>
                <w:sz w:val="24"/>
                <w:lang w:eastAsia="zh-CN" w:bidi="ar-SA"/>
              </w:rPr>
              <w:instrText xml:space="preserve"> = 3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③</w:t>
            </w:r>
            <w:r>
              <w:rPr>
                <w:rFonts w:eastAsia="宋体"/>
                <w:color w:val="auto"/>
                <w:sz w:val="24"/>
                <w:lang w:eastAsia="zh-CN" w:bidi="ar-SA"/>
              </w:rPr>
              <w:fldChar w:fldCharType="end"/>
            </w:r>
            <w:r>
              <w:rPr>
                <w:rFonts w:eastAsia="宋体"/>
                <w:color w:val="auto"/>
                <w:sz w:val="24"/>
                <w:lang w:eastAsia="zh-CN" w:bidi="ar-SA"/>
              </w:rPr>
              <w:t>中得</w:t>
            </w:r>
            <w:r>
              <w:rPr>
                <w:rFonts w:hint="eastAsia" w:eastAsia="宋体"/>
                <w:color w:val="auto"/>
                <w:sz w:val="24"/>
                <w:lang w:val="en-US" w:eastAsia="zh-CN" w:bidi="ar-SA"/>
              </w:rPr>
              <w:t>1</w:t>
            </w:r>
            <w:r>
              <w:rPr>
                <w:rFonts w:eastAsia="宋体"/>
                <w:color w:val="auto"/>
                <w:sz w:val="24"/>
                <w:lang w:eastAsia="zh-CN" w:bidi="ar-SA"/>
              </w:rPr>
              <w:t>分</w:t>
            </w:r>
          </w:p>
          <w:p>
            <w:pPr>
              <w:widowControl/>
              <w:spacing w:line="360" w:lineRule="exact"/>
              <w:ind w:firstLine="0" w:firstLineChars="0"/>
              <w:jc w:val="left"/>
              <w:textAlignment w:val="center"/>
              <w:rPr>
                <w:rFonts w:eastAsia="宋体"/>
                <w:sz w:val="24"/>
                <w:lang w:eastAsia="zh-CN" w:bidi="ar"/>
              </w:rPr>
            </w:pPr>
            <w:r>
              <w:rPr>
                <w:rFonts w:eastAsia="宋体"/>
                <w:color w:val="auto"/>
                <w:sz w:val="24"/>
                <w:lang w:eastAsia="zh-CN" w:bidi="ar-SA"/>
              </w:rPr>
              <w:fldChar w:fldCharType="begin"/>
            </w:r>
            <w:r>
              <w:rPr>
                <w:rFonts w:eastAsia="宋体"/>
                <w:color w:val="auto"/>
                <w:sz w:val="24"/>
                <w:lang w:eastAsia="zh-CN" w:bidi="ar-SA"/>
              </w:rPr>
              <w:instrText xml:space="preserve"> = 4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④</w:t>
            </w:r>
            <w:r>
              <w:rPr>
                <w:rFonts w:eastAsia="宋体"/>
                <w:color w:val="auto"/>
                <w:sz w:val="24"/>
                <w:lang w:eastAsia="zh-CN" w:bidi="ar-SA"/>
              </w:rPr>
              <w:fldChar w:fldCharType="end"/>
            </w:r>
            <w:r>
              <w:rPr>
                <w:rFonts w:eastAsia="宋体"/>
                <w:color w:val="auto"/>
                <w:sz w:val="24"/>
                <w:lang w:eastAsia="zh-CN" w:bidi="ar-SA"/>
              </w:rPr>
              <w:t>差不得分</w:t>
            </w:r>
          </w:p>
        </w:tc>
        <w:tc>
          <w:tcPr>
            <w:tcW w:w="4234" w:type="dxa"/>
            <w:shd w:val="clear" w:color="000000" w:fill="FFFFFF"/>
            <w:noWrap w:val="0"/>
            <w:vAlign w:val="center"/>
          </w:tcPr>
          <w:p>
            <w:pPr>
              <w:widowControl/>
              <w:spacing w:line="360" w:lineRule="exact"/>
              <w:ind w:firstLine="0" w:firstLineChars="0"/>
              <w:jc w:val="left"/>
              <w:textAlignment w:val="center"/>
              <w:rPr>
                <w:rFonts w:hint="default" w:eastAsia="宋体"/>
                <w:sz w:val="24"/>
                <w:lang w:val="en-US" w:eastAsia="zh-CN" w:bidi="ar"/>
              </w:rPr>
            </w:pPr>
            <w:r>
              <w:rPr>
                <w:rFonts w:hint="eastAsia" w:eastAsia="宋体"/>
                <w:sz w:val="24"/>
                <w:lang w:eastAsia="zh-CN" w:bidi="ar"/>
              </w:rPr>
              <w:t>大赛为非遗美食传承人提供展示平台，吸引更多年轻人关注和学习非遗美食技艺。活动期间，</w:t>
            </w:r>
            <w:r>
              <w:rPr>
                <w:rFonts w:hint="eastAsia" w:eastAsia="宋体"/>
                <w:sz w:val="24"/>
                <w:lang w:val="en-US" w:eastAsia="zh-CN" w:bidi="ar"/>
              </w:rPr>
              <w:t>聘请3名餐饮行业专家亲临现场进行技艺传承及包装指导</w:t>
            </w:r>
            <w:r>
              <w:rPr>
                <w:rFonts w:hint="eastAsia" w:eastAsia="宋体"/>
                <w:sz w:val="24"/>
                <w:lang w:eastAsia="zh-CN" w:bidi="ar"/>
              </w:rPr>
              <w:t>，有效促进非遗美食技艺的传承。同时，通过媒体宣传，让更多人了解非遗美食背后的文化故事，增强大众对非遗文化的认同感和保护意识。</w:t>
            </w:r>
            <w:r>
              <w:rPr>
                <w:rFonts w:hint="eastAsia" w:eastAsia="宋体"/>
                <w:sz w:val="24"/>
                <w:lang w:val="en-US" w:eastAsia="zh-CN" w:bidi="ar"/>
              </w:rPr>
              <w:t>根据评分标准，该指标评定为优，得满分3.00分。</w:t>
            </w:r>
          </w:p>
        </w:tc>
        <w:tc>
          <w:tcPr>
            <w:tcW w:w="816" w:type="dxa"/>
            <w:shd w:val="clear" w:color="000000" w:fill="FFFFFF"/>
            <w:noWrap w:val="0"/>
            <w:vAlign w:val="center"/>
          </w:tcPr>
          <w:p>
            <w:pPr>
              <w:widowControl/>
              <w:spacing w:line="360" w:lineRule="exact"/>
              <w:ind w:firstLine="0" w:firstLineChars="0"/>
              <w:jc w:val="center"/>
              <w:textAlignment w:val="center"/>
              <w:rPr>
                <w:rFonts w:hint="default" w:eastAsia="宋体"/>
                <w:color w:val="auto"/>
                <w:sz w:val="24"/>
                <w:lang w:val="en-US" w:eastAsia="zh-CN" w:bidi="ar-SA"/>
              </w:rPr>
            </w:pPr>
            <w:r>
              <w:rPr>
                <w:rFonts w:hint="eastAsia" w:eastAsia="宋体"/>
                <w:color w:val="auto"/>
                <w:sz w:val="24"/>
                <w:lang w:val="en-US" w:eastAsia="zh-CN" w:bidi="ar-SA"/>
              </w:rPr>
              <w:t>3</w:t>
            </w:r>
          </w:p>
        </w:tc>
        <w:tc>
          <w:tcPr>
            <w:tcW w:w="1104" w:type="dxa"/>
            <w:shd w:val="clear" w:color="000000" w:fill="FFFFFF"/>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val="en-US" w:eastAsia="zh-CN" w:bidi="ar"/>
              </w:rPr>
              <w:t>100</w:t>
            </w:r>
            <w:r>
              <w:rPr>
                <w:rFonts w:eastAsia="宋体"/>
                <w:sz w:val="24"/>
                <w:lang w:eastAsia="zh-CN" w:bidi="ar"/>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5" w:type="dxa"/>
            <w:vMerge w:val="continue"/>
            <w:shd w:val="clear" w:color="000000" w:fill="FFFFFF"/>
            <w:noWrap w:val="0"/>
            <w:vAlign w:val="center"/>
          </w:tcPr>
          <w:p>
            <w:pPr>
              <w:widowControl/>
              <w:spacing w:line="360" w:lineRule="exact"/>
              <w:ind w:firstLine="0" w:firstLineChars="0"/>
              <w:jc w:val="center"/>
              <w:textAlignment w:val="center"/>
              <w:rPr>
                <w:rFonts w:eastAsia="宋体"/>
                <w:sz w:val="24"/>
                <w:lang w:eastAsia="zh-CN" w:bidi="ar"/>
              </w:rPr>
            </w:pPr>
          </w:p>
        </w:tc>
        <w:tc>
          <w:tcPr>
            <w:tcW w:w="889" w:type="dxa"/>
            <w:vMerge w:val="continue"/>
            <w:shd w:val="clear" w:color="000000" w:fill="FFFFFF"/>
            <w:noWrap w:val="0"/>
            <w:vAlign w:val="center"/>
          </w:tcPr>
          <w:p>
            <w:pPr>
              <w:widowControl/>
              <w:spacing w:line="360" w:lineRule="exact"/>
              <w:ind w:firstLine="0" w:firstLineChars="0"/>
              <w:jc w:val="center"/>
              <w:textAlignment w:val="center"/>
              <w:rPr>
                <w:rFonts w:eastAsia="宋体"/>
                <w:sz w:val="24"/>
                <w:lang w:eastAsia="zh-CN" w:bidi="ar"/>
              </w:rPr>
            </w:pPr>
          </w:p>
        </w:tc>
        <w:tc>
          <w:tcPr>
            <w:tcW w:w="893" w:type="dxa"/>
            <w:shd w:val="clear" w:color="000000" w:fill="FFFFFF"/>
            <w:noWrap w:val="0"/>
            <w:vAlign w:val="center"/>
          </w:tcPr>
          <w:p>
            <w:pPr>
              <w:widowControl/>
              <w:spacing w:line="360" w:lineRule="exact"/>
              <w:ind w:firstLine="0" w:firstLineChars="0"/>
              <w:jc w:val="center"/>
              <w:textAlignment w:val="center"/>
              <w:rPr>
                <w:rFonts w:hint="default" w:eastAsia="宋体"/>
                <w:sz w:val="24"/>
                <w:lang w:val="en-US" w:eastAsia="zh-CN" w:bidi="ar"/>
              </w:rPr>
            </w:pPr>
            <w:r>
              <w:rPr>
                <w:rFonts w:hint="eastAsia" w:eastAsia="宋体"/>
                <w:sz w:val="24"/>
                <w:lang w:val="en-US" w:eastAsia="zh-CN" w:bidi="ar"/>
              </w:rPr>
              <w:t>C12提升区域文化影响力</w:t>
            </w:r>
          </w:p>
        </w:tc>
        <w:tc>
          <w:tcPr>
            <w:tcW w:w="741" w:type="dxa"/>
            <w:shd w:val="clear" w:color="000000" w:fill="FFFFFF"/>
            <w:noWrap w:val="0"/>
            <w:vAlign w:val="center"/>
          </w:tcPr>
          <w:p>
            <w:pPr>
              <w:widowControl/>
              <w:spacing w:line="360" w:lineRule="exact"/>
              <w:ind w:firstLine="0" w:firstLineChars="0"/>
              <w:jc w:val="center"/>
              <w:textAlignment w:val="center"/>
              <w:rPr>
                <w:rFonts w:hint="default" w:eastAsia="宋体"/>
                <w:sz w:val="24"/>
                <w:lang w:val="en-US" w:eastAsia="zh-CN" w:bidi="ar"/>
              </w:rPr>
            </w:pPr>
            <w:r>
              <w:rPr>
                <w:rFonts w:hint="eastAsia" w:eastAsia="宋体"/>
                <w:sz w:val="24"/>
                <w:lang w:val="en-US" w:eastAsia="zh-CN" w:bidi="ar"/>
              </w:rPr>
              <w:t>3</w:t>
            </w:r>
          </w:p>
        </w:tc>
        <w:tc>
          <w:tcPr>
            <w:tcW w:w="2746" w:type="dxa"/>
            <w:shd w:val="clear" w:color="000000" w:fill="FFFFFF"/>
            <w:noWrap w:val="0"/>
            <w:vAlign w:val="center"/>
          </w:tcPr>
          <w:p>
            <w:pPr>
              <w:widowControl/>
              <w:spacing w:line="360" w:lineRule="exact"/>
              <w:ind w:firstLine="0" w:firstLineChars="0"/>
              <w:textAlignment w:val="center"/>
              <w:rPr>
                <w:rFonts w:eastAsia="宋体"/>
                <w:sz w:val="24"/>
                <w:lang w:eastAsia="zh-CN" w:bidi="ar"/>
              </w:rPr>
            </w:pPr>
            <w:r>
              <w:rPr>
                <w:rFonts w:eastAsia="宋体"/>
                <w:sz w:val="24"/>
                <w:lang w:eastAsia="zh-CN" w:bidi="ar"/>
              </w:rPr>
              <w:t>评价要点：</w:t>
            </w:r>
            <w:r>
              <w:rPr>
                <w:rFonts w:eastAsia="宋体"/>
                <w:sz w:val="24"/>
                <w:lang w:eastAsia="zh-CN" w:bidi="ar"/>
              </w:rPr>
              <w:br w:type="textWrapping"/>
            </w:r>
            <w:r>
              <w:rPr>
                <w:rFonts w:hint="eastAsia" w:eastAsia="宋体"/>
                <w:sz w:val="24"/>
                <w:lang w:eastAsia="zh-CN" w:bidi="ar-SA"/>
              </w:rPr>
              <w:t>是否有</w:t>
            </w:r>
            <w:r>
              <w:rPr>
                <w:rFonts w:hint="eastAsia" w:eastAsia="宋体"/>
                <w:sz w:val="24"/>
                <w:lang w:val="en-US" w:eastAsia="zh-CN" w:bidi="ar-SA"/>
              </w:rPr>
              <w:t>助于提升金口河区文化知外度和美誉度</w:t>
            </w:r>
            <w:r>
              <w:rPr>
                <w:rFonts w:hint="eastAsia" w:eastAsia="宋体"/>
                <w:sz w:val="24"/>
                <w:lang w:eastAsia="zh-CN" w:bidi="ar-SA"/>
              </w:rPr>
              <w:t>。</w:t>
            </w:r>
          </w:p>
        </w:tc>
        <w:tc>
          <w:tcPr>
            <w:tcW w:w="2420" w:type="dxa"/>
            <w:shd w:val="clear" w:color="000000" w:fill="FFFFFF"/>
            <w:noWrap w:val="0"/>
            <w:vAlign w:val="center"/>
          </w:tcPr>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t>综合评判，</w:t>
            </w:r>
            <w:r>
              <w:rPr>
                <w:rFonts w:hint="eastAsia" w:eastAsia="宋体"/>
                <w:sz w:val="24"/>
                <w:lang w:val="en-US" w:eastAsia="zh-CN" w:bidi="ar"/>
              </w:rPr>
              <w:t>提升区域文化影响力</w:t>
            </w:r>
            <w:r>
              <w:rPr>
                <w:rFonts w:eastAsia="宋体"/>
                <w:color w:val="auto"/>
                <w:sz w:val="24"/>
                <w:lang w:eastAsia="zh-CN" w:bidi="ar-SA"/>
              </w:rPr>
              <w:t>评价结论：</w:t>
            </w:r>
          </w:p>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fldChar w:fldCharType="begin"/>
            </w:r>
            <w:r>
              <w:rPr>
                <w:rFonts w:eastAsia="宋体"/>
                <w:color w:val="auto"/>
                <w:sz w:val="24"/>
                <w:lang w:eastAsia="zh-CN" w:bidi="ar-SA"/>
              </w:rPr>
              <w:instrText xml:space="preserve"> = 1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①</w:t>
            </w:r>
            <w:r>
              <w:rPr>
                <w:rFonts w:eastAsia="宋体"/>
                <w:color w:val="auto"/>
                <w:sz w:val="24"/>
                <w:lang w:eastAsia="zh-CN" w:bidi="ar-SA"/>
              </w:rPr>
              <w:fldChar w:fldCharType="end"/>
            </w:r>
            <w:r>
              <w:rPr>
                <w:rFonts w:eastAsia="宋体"/>
                <w:color w:val="auto"/>
                <w:sz w:val="24"/>
                <w:lang w:eastAsia="zh-CN" w:bidi="ar-SA"/>
              </w:rPr>
              <w:t>优得</w:t>
            </w:r>
            <w:r>
              <w:rPr>
                <w:rFonts w:hint="eastAsia" w:eastAsia="宋体"/>
                <w:color w:val="auto"/>
                <w:sz w:val="24"/>
                <w:lang w:val="en-US" w:eastAsia="zh-CN" w:bidi="ar-SA"/>
              </w:rPr>
              <w:t>3</w:t>
            </w:r>
            <w:r>
              <w:rPr>
                <w:rFonts w:eastAsia="宋体"/>
                <w:color w:val="auto"/>
                <w:sz w:val="24"/>
                <w:lang w:eastAsia="zh-CN" w:bidi="ar-SA"/>
              </w:rPr>
              <w:t>分</w:t>
            </w:r>
          </w:p>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fldChar w:fldCharType="begin"/>
            </w:r>
            <w:r>
              <w:rPr>
                <w:rFonts w:eastAsia="宋体"/>
                <w:color w:val="auto"/>
                <w:sz w:val="24"/>
                <w:lang w:eastAsia="zh-CN" w:bidi="ar-SA"/>
              </w:rPr>
              <w:instrText xml:space="preserve"> = 2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②</w:t>
            </w:r>
            <w:r>
              <w:rPr>
                <w:rFonts w:eastAsia="宋体"/>
                <w:color w:val="auto"/>
                <w:sz w:val="24"/>
                <w:lang w:eastAsia="zh-CN" w:bidi="ar-SA"/>
              </w:rPr>
              <w:fldChar w:fldCharType="end"/>
            </w:r>
            <w:r>
              <w:rPr>
                <w:rFonts w:eastAsia="宋体"/>
                <w:color w:val="auto"/>
                <w:sz w:val="24"/>
                <w:lang w:eastAsia="zh-CN" w:bidi="ar-SA"/>
              </w:rPr>
              <w:t>良得</w:t>
            </w:r>
            <w:r>
              <w:rPr>
                <w:rFonts w:hint="eastAsia" w:eastAsia="宋体"/>
                <w:color w:val="auto"/>
                <w:sz w:val="24"/>
                <w:lang w:val="en-US" w:eastAsia="zh-CN" w:bidi="ar-SA"/>
              </w:rPr>
              <w:t>2</w:t>
            </w:r>
            <w:r>
              <w:rPr>
                <w:rFonts w:eastAsia="宋体"/>
                <w:color w:val="auto"/>
                <w:sz w:val="24"/>
                <w:lang w:eastAsia="zh-CN" w:bidi="ar-SA"/>
              </w:rPr>
              <w:t>分</w:t>
            </w:r>
          </w:p>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fldChar w:fldCharType="begin"/>
            </w:r>
            <w:r>
              <w:rPr>
                <w:rFonts w:eastAsia="宋体"/>
                <w:color w:val="auto"/>
                <w:sz w:val="24"/>
                <w:lang w:eastAsia="zh-CN" w:bidi="ar-SA"/>
              </w:rPr>
              <w:instrText xml:space="preserve"> = 3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③</w:t>
            </w:r>
            <w:r>
              <w:rPr>
                <w:rFonts w:eastAsia="宋体"/>
                <w:color w:val="auto"/>
                <w:sz w:val="24"/>
                <w:lang w:eastAsia="zh-CN" w:bidi="ar-SA"/>
              </w:rPr>
              <w:fldChar w:fldCharType="end"/>
            </w:r>
            <w:r>
              <w:rPr>
                <w:rFonts w:eastAsia="宋体"/>
                <w:color w:val="auto"/>
                <w:sz w:val="24"/>
                <w:lang w:eastAsia="zh-CN" w:bidi="ar-SA"/>
              </w:rPr>
              <w:t>中得</w:t>
            </w:r>
            <w:r>
              <w:rPr>
                <w:rFonts w:hint="eastAsia" w:eastAsia="宋体"/>
                <w:color w:val="auto"/>
                <w:sz w:val="24"/>
                <w:lang w:val="en-US" w:eastAsia="zh-CN" w:bidi="ar-SA"/>
              </w:rPr>
              <w:t>1</w:t>
            </w:r>
            <w:r>
              <w:rPr>
                <w:rFonts w:eastAsia="宋体"/>
                <w:color w:val="auto"/>
                <w:sz w:val="24"/>
                <w:lang w:eastAsia="zh-CN" w:bidi="ar-SA"/>
              </w:rPr>
              <w:t>分</w:t>
            </w:r>
          </w:p>
          <w:p>
            <w:pPr>
              <w:widowControl/>
              <w:spacing w:line="360" w:lineRule="exact"/>
              <w:ind w:firstLine="0" w:firstLineChars="0"/>
              <w:jc w:val="left"/>
              <w:textAlignment w:val="center"/>
              <w:rPr>
                <w:rFonts w:eastAsia="宋体"/>
                <w:color w:val="auto"/>
                <w:sz w:val="24"/>
                <w:lang w:eastAsia="zh-CN" w:bidi="ar-SA"/>
              </w:rPr>
            </w:pPr>
            <w:r>
              <w:rPr>
                <w:rFonts w:eastAsia="宋体"/>
                <w:color w:val="auto"/>
                <w:sz w:val="24"/>
                <w:lang w:eastAsia="zh-CN" w:bidi="ar-SA"/>
              </w:rPr>
              <w:fldChar w:fldCharType="begin"/>
            </w:r>
            <w:r>
              <w:rPr>
                <w:rFonts w:eastAsia="宋体"/>
                <w:color w:val="auto"/>
                <w:sz w:val="24"/>
                <w:lang w:eastAsia="zh-CN" w:bidi="ar-SA"/>
              </w:rPr>
              <w:instrText xml:space="preserve"> = 4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④</w:t>
            </w:r>
            <w:r>
              <w:rPr>
                <w:rFonts w:eastAsia="宋体"/>
                <w:color w:val="auto"/>
                <w:sz w:val="24"/>
                <w:lang w:eastAsia="zh-CN" w:bidi="ar-SA"/>
              </w:rPr>
              <w:fldChar w:fldCharType="end"/>
            </w:r>
            <w:r>
              <w:rPr>
                <w:rFonts w:eastAsia="宋体"/>
                <w:color w:val="auto"/>
                <w:sz w:val="24"/>
                <w:lang w:eastAsia="zh-CN" w:bidi="ar-SA"/>
              </w:rPr>
              <w:t>差不得分</w:t>
            </w:r>
          </w:p>
        </w:tc>
        <w:tc>
          <w:tcPr>
            <w:tcW w:w="4234" w:type="dxa"/>
            <w:shd w:val="clear" w:color="000000" w:fill="FFFFFF"/>
            <w:noWrap w:val="0"/>
            <w:vAlign w:val="center"/>
          </w:tcPr>
          <w:p>
            <w:pPr>
              <w:widowControl/>
              <w:spacing w:line="360" w:lineRule="exact"/>
              <w:ind w:firstLine="0" w:firstLineChars="0"/>
              <w:jc w:val="left"/>
              <w:textAlignment w:val="center"/>
              <w:rPr>
                <w:rFonts w:hint="eastAsia" w:eastAsia="宋体"/>
                <w:sz w:val="24"/>
                <w:lang w:eastAsia="zh-CN" w:bidi="ar"/>
              </w:rPr>
            </w:pPr>
            <w:r>
              <w:rPr>
                <w:rFonts w:hint="eastAsia" w:eastAsia="宋体"/>
                <w:sz w:val="24"/>
                <w:lang w:val="en-US" w:eastAsia="zh-CN" w:bidi="ar"/>
              </w:rPr>
              <w:t>大赛</w:t>
            </w:r>
            <w:r>
              <w:rPr>
                <w:rFonts w:hint="eastAsia" w:eastAsia="宋体"/>
                <w:sz w:val="24"/>
                <w:lang w:eastAsia="zh-CN" w:bidi="ar"/>
              </w:rPr>
              <w:t>打造</w:t>
            </w:r>
            <w:r>
              <w:rPr>
                <w:rFonts w:hint="eastAsia" w:eastAsia="宋体"/>
                <w:sz w:val="24"/>
                <w:lang w:val="en-US" w:eastAsia="zh-CN" w:bidi="ar"/>
              </w:rPr>
              <w:t>了</w:t>
            </w:r>
            <w:r>
              <w:rPr>
                <w:rFonts w:hint="eastAsia" w:eastAsia="宋体"/>
                <w:sz w:val="24"/>
                <w:lang w:eastAsia="zh-CN" w:bidi="ar"/>
              </w:rPr>
              <w:t>具有地方特色的非遗美食文化名片，提升</w:t>
            </w:r>
            <w:r>
              <w:rPr>
                <w:rFonts w:hint="eastAsia" w:eastAsia="宋体"/>
                <w:sz w:val="24"/>
                <w:lang w:val="en-US" w:eastAsia="zh-CN" w:bidi="ar"/>
              </w:rPr>
              <w:t>金口河区</w:t>
            </w:r>
            <w:r>
              <w:rPr>
                <w:rFonts w:hint="eastAsia" w:eastAsia="宋体"/>
                <w:sz w:val="24"/>
                <w:lang w:eastAsia="zh-CN" w:bidi="ar"/>
              </w:rPr>
              <w:t>的文化知名度和美誉度。例如，活动通过网络直播、短视频等形式传播，全网曝光量超1亿次，让举办地的非遗美食文化走向全国，吸引其他地区借鉴学习，成为区域文化交流的重要窗口。</w:t>
            </w:r>
            <w:r>
              <w:rPr>
                <w:rFonts w:hint="eastAsia" w:eastAsia="宋体"/>
                <w:sz w:val="24"/>
                <w:lang w:val="en-US" w:eastAsia="zh-CN" w:bidi="ar"/>
              </w:rPr>
              <w:t>根据评分标准，该指标评定为优，得满分300分。</w:t>
            </w:r>
          </w:p>
        </w:tc>
        <w:tc>
          <w:tcPr>
            <w:tcW w:w="816" w:type="dxa"/>
            <w:shd w:val="clear" w:color="000000" w:fill="FFFFFF"/>
            <w:noWrap w:val="0"/>
            <w:vAlign w:val="center"/>
          </w:tcPr>
          <w:p>
            <w:pPr>
              <w:widowControl/>
              <w:spacing w:line="360" w:lineRule="exact"/>
              <w:ind w:firstLine="0" w:firstLineChars="0"/>
              <w:jc w:val="center"/>
              <w:textAlignment w:val="center"/>
              <w:rPr>
                <w:rFonts w:hint="eastAsia" w:eastAsia="宋体"/>
                <w:color w:val="auto"/>
                <w:sz w:val="24"/>
                <w:lang w:val="en-US" w:eastAsia="zh-CN" w:bidi="ar-SA"/>
              </w:rPr>
            </w:pPr>
            <w:r>
              <w:rPr>
                <w:rFonts w:hint="eastAsia" w:eastAsia="宋体"/>
                <w:color w:val="auto"/>
                <w:sz w:val="24"/>
                <w:lang w:val="en-US" w:eastAsia="zh-CN" w:bidi="ar-SA"/>
              </w:rPr>
              <w:t>3</w:t>
            </w:r>
          </w:p>
        </w:tc>
        <w:tc>
          <w:tcPr>
            <w:tcW w:w="1104" w:type="dxa"/>
            <w:shd w:val="clear" w:color="000000" w:fill="FFFFFF"/>
            <w:noWrap w:val="0"/>
            <w:vAlign w:val="center"/>
          </w:tcPr>
          <w:p>
            <w:pPr>
              <w:widowControl/>
              <w:spacing w:line="360" w:lineRule="exact"/>
              <w:ind w:firstLine="0" w:firstLineChars="0"/>
              <w:jc w:val="center"/>
              <w:textAlignment w:val="center"/>
              <w:rPr>
                <w:rFonts w:hint="eastAsia" w:eastAsia="宋体"/>
                <w:sz w:val="24"/>
                <w:lang w:val="en-US" w:eastAsia="zh-CN" w:bidi="ar"/>
              </w:rPr>
            </w:pPr>
            <w:r>
              <w:rPr>
                <w:rFonts w:hint="eastAsia" w:eastAsia="宋体"/>
                <w:sz w:val="24"/>
                <w:lang w:val="en-US" w:eastAsia="zh-CN" w:bidi="ar"/>
              </w:rPr>
              <w:t>100</w:t>
            </w:r>
            <w:r>
              <w:rPr>
                <w:rFonts w:eastAsia="宋体"/>
                <w:sz w:val="24"/>
                <w:lang w:eastAsia="zh-CN" w:bidi="ar"/>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5" w:type="dxa"/>
            <w:vMerge w:val="continue"/>
            <w:shd w:val="clear" w:color="auto" w:fill="auto"/>
            <w:noWrap w:val="0"/>
            <w:vAlign w:val="center"/>
          </w:tcPr>
          <w:p>
            <w:pPr>
              <w:widowControl/>
              <w:spacing w:line="360" w:lineRule="exact"/>
              <w:ind w:firstLine="0" w:firstLineChars="0"/>
              <w:jc w:val="center"/>
              <w:rPr>
                <w:rFonts w:eastAsia="宋体"/>
                <w:sz w:val="24"/>
                <w:lang w:eastAsia="zh-CN" w:bidi="ar-SA"/>
              </w:rPr>
            </w:pPr>
          </w:p>
        </w:tc>
        <w:tc>
          <w:tcPr>
            <w:tcW w:w="889" w:type="dxa"/>
            <w:vMerge w:val="continue"/>
            <w:shd w:val="clear" w:color="auto" w:fill="auto"/>
            <w:noWrap w:val="0"/>
            <w:vAlign w:val="center"/>
          </w:tcPr>
          <w:p>
            <w:pPr>
              <w:widowControl/>
              <w:spacing w:line="360" w:lineRule="exact"/>
              <w:ind w:firstLine="0" w:firstLineChars="0"/>
              <w:jc w:val="center"/>
              <w:rPr>
                <w:rFonts w:eastAsia="宋体"/>
                <w:sz w:val="24"/>
                <w:lang w:eastAsia="zh-CN" w:bidi="ar-SA"/>
              </w:rPr>
            </w:pPr>
          </w:p>
        </w:tc>
        <w:tc>
          <w:tcPr>
            <w:tcW w:w="893" w:type="dxa"/>
            <w:shd w:val="clear" w:color="000000" w:fill="FFFFFF"/>
            <w:noWrap w:val="0"/>
            <w:vAlign w:val="center"/>
          </w:tcPr>
          <w:p>
            <w:pPr>
              <w:widowControl/>
              <w:spacing w:line="360" w:lineRule="exact"/>
              <w:ind w:firstLine="0" w:firstLineChars="0"/>
              <w:jc w:val="center"/>
              <w:textAlignment w:val="center"/>
              <w:rPr>
                <w:rFonts w:hint="default" w:eastAsia="宋体"/>
                <w:sz w:val="24"/>
                <w:lang w:val="en-US" w:eastAsia="zh-CN" w:bidi="ar"/>
              </w:rPr>
            </w:pPr>
            <w:r>
              <w:rPr>
                <w:rFonts w:hint="eastAsia" w:eastAsia="宋体"/>
                <w:sz w:val="24"/>
                <w:lang w:val="en-US" w:eastAsia="zh-CN" w:bidi="ar"/>
              </w:rPr>
              <w:t>C促进就业与创业</w:t>
            </w:r>
          </w:p>
        </w:tc>
        <w:tc>
          <w:tcPr>
            <w:tcW w:w="741" w:type="dxa"/>
            <w:shd w:val="clear" w:color="000000" w:fill="FFFFFF"/>
            <w:noWrap w:val="0"/>
            <w:vAlign w:val="center"/>
          </w:tcPr>
          <w:p>
            <w:pPr>
              <w:widowControl/>
              <w:spacing w:line="360" w:lineRule="exact"/>
              <w:ind w:firstLine="0" w:firstLineChars="0"/>
              <w:jc w:val="center"/>
              <w:textAlignment w:val="center"/>
              <w:rPr>
                <w:rFonts w:hint="default" w:eastAsia="宋体"/>
                <w:sz w:val="24"/>
                <w:lang w:val="en-US" w:eastAsia="zh-CN" w:bidi="ar"/>
              </w:rPr>
            </w:pPr>
            <w:r>
              <w:rPr>
                <w:rFonts w:hint="eastAsia" w:eastAsia="宋体"/>
                <w:sz w:val="24"/>
                <w:lang w:val="en-US" w:eastAsia="zh-CN" w:bidi="ar"/>
              </w:rPr>
              <w:t>3</w:t>
            </w:r>
          </w:p>
        </w:tc>
        <w:tc>
          <w:tcPr>
            <w:tcW w:w="2746" w:type="dxa"/>
            <w:shd w:val="clear" w:color="000000" w:fill="FFFFFF"/>
            <w:noWrap w:val="0"/>
            <w:vAlign w:val="center"/>
          </w:tcPr>
          <w:p>
            <w:pPr>
              <w:widowControl/>
              <w:spacing w:line="360" w:lineRule="exact"/>
              <w:ind w:firstLine="0" w:firstLineChars="0"/>
              <w:textAlignment w:val="center"/>
              <w:rPr>
                <w:rFonts w:eastAsia="宋体"/>
                <w:sz w:val="24"/>
                <w:lang w:eastAsia="zh-CN" w:bidi="ar"/>
              </w:rPr>
            </w:pPr>
            <w:r>
              <w:rPr>
                <w:rFonts w:eastAsia="宋体"/>
                <w:sz w:val="24"/>
                <w:lang w:eastAsia="zh-CN" w:bidi="ar"/>
              </w:rPr>
              <w:t>评价要点：</w:t>
            </w:r>
            <w:r>
              <w:rPr>
                <w:rFonts w:eastAsia="宋体"/>
                <w:sz w:val="24"/>
                <w:lang w:eastAsia="zh-CN" w:bidi="ar"/>
              </w:rPr>
              <w:br w:type="textWrapping"/>
            </w:r>
            <w:r>
              <w:rPr>
                <w:rFonts w:hint="eastAsia" w:eastAsia="宋体"/>
                <w:sz w:val="24"/>
                <w:lang w:val="en-US" w:eastAsia="zh-CN" w:bidi="ar-SA"/>
              </w:rPr>
              <w:t>是否有利于提供就业岗位，带动部分人员就业。</w:t>
            </w:r>
          </w:p>
        </w:tc>
        <w:tc>
          <w:tcPr>
            <w:tcW w:w="2420" w:type="dxa"/>
            <w:shd w:val="clear" w:color="000000" w:fill="FFFFFF"/>
            <w:noWrap w:val="0"/>
            <w:vAlign w:val="center"/>
          </w:tcPr>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t>综合评判，</w:t>
            </w:r>
            <w:r>
              <w:rPr>
                <w:rFonts w:hint="eastAsia" w:eastAsia="宋体"/>
                <w:sz w:val="24"/>
                <w:lang w:val="en-US" w:eastAsia="zh-CN" w:bidi="ar"/>
              </w:rPr>
              <w:t>促进就业与创业</w:t>
            </w:r>
            <w:r>
              <w:rPr>
                <w:rFonts w:eastAsia="宋体"/>
                <w:color w:val="auto"/>
                <w:sz w:val="24"/>
                <w:lang w:eastAsia="zh-CN" w:bidi="ar-SA"/>
              </w:rPr>
              <w:t>评价结论：</w:t>
            </w:r>
          </w:p>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fldChar w:fldCharType="begin"/>
            </w:r>
            <w:r>
              <w:rPr>
                <w:rFonts w:eastAsia="宋体"/>
                <w:color w:val="auto"/>
                <w:sz w:val="24"/>
                <w:lang w:eastAsia="zh-CN" w:bidi="ar-SA"/>
              </w:rPr>
              <w:instrText xml:space="preserve"> = 1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①</w:t>
            </w:r>
            <w:r>
              <w:rPr>
                <w:rFonts w:eastAsia="宋体"/>
                <w:color w:val="auto"/>
                <w:sz w:val="24"/>
                <w:lang w:eastAsia="zh-CN" w:bidi="ar-SA"/>
              </w:rPr>
              <w:fldChar w:fldCharType="end"/>
            </w:r>
            <w:r>
              <w:rPr>
                <w:rFonts w:eastAsia="宋体"/>
                <w:color w:val="auto"/>
                <w:sz w:val="24"/>
                <w:lang w:eastAsia="zh-CN" w:bidi="ar-SA"/>
              </w:rPr>
              <w:t>优得</w:t>
            </w:r>
            <w:r>
              <w:rPr>
                <w:rFonts w:hint="eastAsia" w:eastAsia="宋体"/>
                <w:color w:val="auto"/>
                <w:sz w:val="24"/>
                <w:lang w:val="en-US" w:eastAsia="zh-CN" w:bidi="ar-SA"/>
              </w:rPr>
              <w:t>3</w:t>
            </w:r>
            <w:r>
              <w:rPr>
                <w:rFonts w:eastAsia="宋体"/>
                <w:color w:val="auto"/>
                <w:sz w:val="24"/>
                <w:lang w:eastAsia="zh-CN" w:bidi="ar-SA"/>
              </w:rPr>
              <w:t>分</w:t>
            </w:r>
          </w:p>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fldChar w:fldCharType="begin"/>
            </w:r>
            <w:r>
              <w:rPr>
                <w:rFonts w:eastAsia="宋体"/>
                <w:color w:val="auto"/>
                <w:sz w:val="24"/>
                <w:lang w:eastAsia="zh-CN" w:bidi="ar-SA"/>
              </w:rPr>
              <w:instrText xml:space="preserve"> = 2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②</w:t>
            </w:r>
            <w:r>
              <w:rPr>
                <w:rFonts w:eastAsia="宋体"/>
                <w:color w:val="auto"/>
                <w:sz w:val="24"/>
                <w:lang w:eastAsia="zh-CN" w:bidi="ar-SA"/>
              </w:rPr>
              <w:fldChar w:fldCharType="end"/>
            </w:r>
            <w:r>
              <w:rPr>
                <w:rFonts w:eastAsia="宋体"/>
                <w:color w:val="auto"/>
                <w:sz w:val="24"/>
                <w:lang w:eastAsia="zh-CN" w:bidi="ar-SA"/>
              </w:rPr>
              <w:t>良得</w:t>
            </w:r>
            <w:r>
              <w:rPr>
                <w:rFonts w:hint="eastAsia" w:eastAsia="宋体"/>
                <w:color w:val="auto"/>
                <w:sz w:val="24"/>
                <w:lang w:val="en-US" w:eastAsia="zh-CN" w:bidi="ar-SA"/>
              </w:rPr>
              <w:t>2</w:t>
            </w:r>
            <w:r>
              <w:rPr>
                <w:rFonts w:eastAsia="宋体"/>
                <w:color w:val="auto"/>
                <w:sz w:val="24"/>
                <w:lang w:eastAsia="zh-CN" w:bidi="ar-SA"/>
              </w:rPr>
              <w:t>分</w:t>
            </w:r>
          </w:p>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fldChar w:fldCharType="begin"/>
            </w:r>
            <w:r>
              <w:rPr>
                <w:rFonts w:eastAsia="宋体"/>
                <w:color w:val="auto"/>
                <w:sz w:val="24"/>
                <w:lang w:eastAsia="zh-CN" w:bidi="ar-SA"/>
              </w:rPr>
              <w:instrText xml:space="preserve"> = 3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③</w:t>
            </w:r>
            <w:r>
              <w:rPr>
                <w:rFonts w:eastAsia="宋体"/>
                <w:color w:val="auto"/>
                <w:sz w:val="24"/>
                <w:lang w:eastAsia="zh-CN" w:bidi="ar-SA"/>
              </w:rPr>
              <w:fldChar w:fldCharType="end"/>
            </w:r>
            <w:r>
              <w:rPr>
                <w:rFonts w:eastAsia="宋体"/>
                <w:color w:val="auto"/>
                <w:sz w:val="24"/>
                <w:lang w:eastAsia="zh-CN" w:bidi="ar-SA"/>
              </w:rPr>
              <w:t>中得</w:t>
            </w:r>
            <w:r>
              <w:rPr>
                <w:rFonts w:hint="eastAsia" w:eastAsia="宋体"/>
                <w:color w:val="auto"/>
                <w:sz w:val="24"/>
                <w:lang w:val="en-US" w:eastAsia="zh-CN" w:bidi="ar-SA"/>
              </w:rPr>
              <w:t>1</w:t>
            </w:r>
            <w:r>
              <w:rPr>
                <w:rFonts w:eastAsia="宋体"/>
                <w:color w:val="auto"/>
                <w:sz w:val="24"/>
                <w:lang w:eastAsia="zh-CN" w:bidi="ar-SA"/>
              </w:rPr>
              <w:t>分</w:t>
            </w:r>
          </w:p>
          <w:p>
            <w:pPr>
              <w:widowControl/>
              <w:spacing w:line="360" w:lineRule="exact"/>
              <w:ind w:firstLine="0" w:firstLineChars="0"/>
              <w:textAlignment w:val="center"/>
              <w:rPr>
                <w:rFonts w:eastAsia="宋体"/>
                <w:color w:val="auto"/>
                <w:sz w:val="24"/>
                <w:lang w:eastAsia="zh-CN" w:bidi="ar-SA"/>
              </w:rPr>
            </w:pPr>
            <w:r>
              <w:rPr>
                <w:rFonts w:eastAsia="宋体"/>
                <w:color w:val="auto"/>
                <w:sz w:val="24"/>
                <w:lang w:eastAsia="zh-CN" w:bidi="ar-SA"/>
              </w:rPr>
              <w:fldChar w:fldCharType="begin"/>
            </w:r>
            <w:r>
              <w:rPr>
                <w:rFonts w:eastAsia="宋体"/>
                <w:color w:val="auto"/>
                <w:sz w:val="24"/>
                <w:lang w:eastAsia="zh-CN" w:bidi="ar-SA"/>
              </w:rPr>
              <w:instrText xml:space="preserve"> = 4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④</w:t>
            </w:r>
            <w:r>
              <w:rPr>
                <w:rFonts w:eastAsia="宋体"/>
                <w:color w:val="auto"/>
                <w:sz w:val="24"/>
                <w:lang w:eastAsia="zh-CN" w:bidi="ar-SA"/>
              </w:rPr>
              <w:fldChar w:fldCharType="end"/>
            </w:r>
            <w:r>
              <w:rPr>
                <w:rFonts w:eastAsia="宋体"/>
                <w:color w:val="auto"/>
                <w:sz w:val="24"/>
                <w:lang w:eastAsia="zh-CN" w:bidi="ar-SA"/>
              </w:rPr>
              <w:t>差不得分</w:t>
            </w:r>
          </w:p>
        </w:tc>
        <w:tc>
          <w:tcPr>
            <w:tcW w:w="4234" w:type="dxa"/>
            <w:shd w:val="clear" w:color="auto" w:fill="auto"/>
            <w:noWrap w:val="0"/>
            <w:vAlign w:val="center"/>
          </w:tcPr>
          <w:p>
            <w:pPr>
              <w:widowControl/>
              <w:spacing w:line="360" w:lineRule="exact"/>
              <w:ind w:firstLine="0" w:firstLineChars="0"/>
              <w:jc w:val="left"/>
              <w:textAlignment w:val="center"/>
              <w:rPr>
                <w:rFonts w:hint="eastAsia" w:ascii="Times New Roman" w:hAnsi="Times New Roman" w:eastAsia="宋体" w:cs="Times New Roman"/>
                <w:color w:val="000000"/>
                <w:sz w:val="24"/>
                <w:szCs w:val="24"/>
                <w:lang w:val="en-US" w:eastAsia="zh-CN" w:bidi="ar"/>
              </w:rPr>
            </w:pPr>
            <w:r>
              <w:rPr>
                <w:rFonts w:hint="eastAsia" w:eastAsia="宋体"/>
                <w:sz w:val="24"/>
                <w:lang w:eastAsia="zh-CN" w:bidi="ar"/>
              </w:rPr>
              <w:t>项目实施过程中，从大赛筹备、活动举办到后续推广，创造大量就业岗位，包括活动策划、安保、服务等多个领域，直接解决就业人数。同时，大赛激发创业热情，部分参与者受启发后投身非遗美食创业，开设特色美食店铺或线上销售平台，间接带动就业。</w:t>
            </w:r>
            <w:r>
              <w:rPr>
                <w:rFonts w:hint="eastAsia" w:eastAsia="宋体"/>
                <w:sz w:val="24"/>
                <w:lang w:val="en-US" w:eastAsia="zh-CN" w:bidi="ar"/>
              </w:rPr>
              <w:t>根据评分标准，该指标评定为优，得满分3.00分。</w:t>
            </w:r>
          </w:p>
        </w:tc>
        <w:tc>
          <w:tcPr>
            <w:tcW w:w="816" w:type="dxa"/>
            <w:shd w:val="clear" w:color="000000" w:fill="FFFFFF"/>
            <w:noWrap w:val="0"/>
            <w:vAlign w:val="center"/>
          </w:tcPr>
          <w:p>
            <w:pPr>
              <w:widowControl/>
              <w:spacing w:line="360" w:lineRule="exact"/>
              <w:ind w:firstLine="0" w:firstLineChars="0"/>
              <w:jc w:val="center"/>
              <w:textAlignment w:val="center"/>
              <w:rPr>
                <w:rFonts w:hint="eastAsia" w:eastAsia="宋体"/>
                <w:color w:val="auto"/>
                <w:sz w:val="24"/>
                <w:lang w:val="en-US" w:eastAsia="zh-CN" w:bidi="ar-SA"/>
              </w:rPr>
            </w:pPr>
            <w:r>
              <w:rPr>
                <w:rFonts w:hint="eastAsia" w:eastAsia="宋体"/>
                <w:color w:val="auto"/>
                <w:sz w:val="24"/>
                <w:lang w:val="en-US" w:eastAsia="zh-CN" w:bidi="ar-SA"/>
              </w:rPr>
              <w:t>3</w:t>
            </w:r>
          </w:p>
        </w:tc>
        <w:tc>
          <w:tcPr>
            <w:tcW w:w="1104" w:type="dxa"/>
            <w:shd w:val="clear" w:color="000000" w:fill="FFFFFF"/>
            <w:noWrap w:val="0"/>
            <w:vAlign w:val="center"/>
          </w:tcPr>
          <w:p>
            <w:pPr>
              <w:widowControl/>
              <w:spacing w:line="360" w:lineRule="exact"/>
              <w:ind w:firstLine="0" w:firstLineChars="0"/>
              <w:jc w:val="center"/>
              <w:textAlignment w:val="center"/>
              <w:rPr>
                <w:rFonts w:hint="eastAsia" w:eastAsia="宋体"/>
                <w:sz w:val="24"/>
                <w:lang w:val="en-US" w:eastAsia="zh-CN" w:bidi="ar"/>
              </w:rPr>
            </w:pPr>
            <w:r>
              <w:rPr>
                <w:rFonts w:hint="eastAsia" w:eastAsia="宋体"/>
                <w:sz w:val="24"/>
                <w:lang w:val="en-US" w:eastAsia="zh-CN" w:bidi="ar"/>
              </w:rPr>
              <w:t>100</w:t>
            </w:r>
            <w:r>
              <w:rPr>
                <w:rFonts w:eastAsia="宋体"/>
                <w:sz w:val="24"/>
                <w:lang w:eastAsia="zh-CN" w:bidi="ar"/>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5" w:type="dxa"/>
            <w:vMerge w:val="continue"/>
            <w:shd w:val="clear" w:color="auto" w:fill="auto"/>
            <w:noWrap w:val="0"/>
            <w:vAlign w:val="center"/>
          </w:tcPr>
          <w:p>
            <w:pPr>
              <w:widowControl/>
              <w:spacing w:line="360" w:lineRule="exact"/>
              <w:ind w:firstLine="0" w:firstLineChars="0"/>
              <w:jc w:val="center"/>
              <w:rPr>
                <w:rFonts w:eastAsia="宋体"/>
                <w:sz w:val="24"/>
                <w:lang w:eastAsia="zh-CN" w:bidi="ar-SA"/>
              </w:rPr>
            </w:pPr>
          </w:p>
        </w:tc>
        <w:tc>
          <w:tcPr>
            <w:tcW w:w="889" w:type="dxa"/>
            <w:vMerge w:val="restart"/>
            <w:shd w:val="clear" w:color="auto" w:fill="auto"/>
            <w:noWrap w:val="0"/>
            <w:vAlign w:val="center"/>
          </w:tcPr>
          <w:p>
            <w:pPr>
              <w:widowControl/>
              <w:spacing w:line="360" w:lineRule="exact"/>
              <w:ind w:firstLine="0" w:firstLineChars="0"/>
              <w:jc w:val="left"/>
              <w:textAlignment w:val="center"/>
              <w:rPr>
                <w:rFonts w:eastAsia="宋体"/>
                <w:sz w:val="24"/>
                <w:lang w:eastAsia="zh-CN" w:bidi="ar-SA"/>
              </w:rPr>
            </w:pPr>
            <w:r>
              <w:rPr>
                <w:rFonts w:eastAsia="宋体"/>
                <w:sz w:val="24"/>
                <w:lang w:eastAsia="zh-CN" w:bidi="ar"/>
              </w:rPr>
              <w:t>D2经济效益（</w:t>
            </w:r>
            <w:r>
              <w:rPr>
                <w:rFonts w:hint="eastAsia" w:eastAsia="宋体"/>
                <w:sz w:val="24"/>
                <w:lang w:val="en-US" w:eastAsia="zh-CN" w:bidi="ar"/>
              </w:rPr>
              <w:t>8</w:t>
            </w:r>
            <w:r>
              <w:rPr>
                <w:rFonts w:eastAsia="宋体"/>
                <w:sz w:val="24"/>
                <w:lang w:eastAsia="zh-CN" w:bidi="ar"/>
              </w:rPr>
              <w:t>分）</w:t>
            </w:r>
          </w:p>
        </w:tc>
        <w:tc>
          <w:tcPr>
            <w:tcW w:w="893" w:type="dxa"/>
            <w:shd w:val="clear" w:color="000000" w:fill="FFFFFF"/>
            <w:noWrap w:val="0"/>
            <w:vAlign w:val="center"/>
          </w:tcPr>
          <w:p>
            <w:pPr>
              <w:widowControl/>
              <w:spacing w:line="360" w:lineRule="exact"/>
              <w:ind w:firstLine="0" w:firstLineChars="0"/>
              <w:jc w:val="center"/>
              <w:textAlignment w:val="center"/>
              <w:rPr>
                <w:rFonts w:eastAsia="宋体"/>
                <w:sz w:val="24"/>
                <w:lang w:eastAsia="zh-CN" w:bidi="ar"/>
              </w:rPr>
            </w:pPr>
            <w:r>
              <w:rPr>
                <w:rFonts w:hint="eastAsia" w:eastAsia="宋体"/>
                <w:sz w:val="24"/>
                <w:lang w:eastAsia="zh-CN" w:bidi="ar"/>
              </w:rPr>
              <w:t>D</w:t>
            </w:r>
            <w:r>
              <w:rPr>
                <w:rFonts w:eastAsia="宋体"/>
                <w:sz w:val="24"/>
                <w:lang w:eastAsia="zh-CN" w:bidi="ar"/>
              </w:rPr>
              <w:t>21</w:t>
            </w:r>
            <w:r>
              <w:rPr>
                <w:rFonts w:hint="eastAsia" w:eastAsia="宋体"/>
                <w:sz w:val="24"/>
                <w:lang w:eastAsia="zh-CN" w:bidi="ar"/>
              </w:rPr>
              <w:t>带动农业产业增收</w:t>
            </w:r>
          </w:p>
        </w:tc>
        <w:tc>
          <w:tcPr>
            <w:tcW w:w="741" w:type="dxa"/>
            <w:shd w:val="clear" w:color="000000" w:fill="FFFFFF"/>
            <w:noWrap w:val="0"/>
            <w:vAlign w:val="center"/>
          </w:tcPr>
          <w:p>
            <w:pPr>
              <w:widowControl/>
              <w:spacing w:line="360" w:lineRule="exact"/>
              <w:ind w:firstLine="0" w:firstLineChars="0"/>
              <w:jc w:val="center"/>
              <w:textAlignment w:val="center"/>
              <w:rPr>
                <w:rFonts w:hint="default" w:eastAsia="宋体"/>
                <w:color w:val="auto"/>
                <w:sz w:val="24"/>
                <w:lang w:val="en-US" w:eastAsia="zh-CN" w:bidi="ar-SA"/>
              </w:rPr>
            </w:pPr>
            <w:r>
              <w:rPr>
                <w:rFonts w:hint="eastAsia" w:eastAsia="宋体"/>
                <w:color w:val="auto"/>
                <w:sz w:val="24"/>
                <w:lang w:val="en-US" w:eastAsia="zh-CN" w:bidi="ar-SA"/>
              </w:rPr>
              <w:t>4</w:t>
            </w:r>
          </w:p>
        </w:tc>
        <w:tc>
          <w:tcPr>
            <w:tcW w:w="2746" w:type="dxa"/>
            <w:shd w:val="clear" w:color="000000" w:fill="FFFFFF"/>
            <w:noWrap w:val="0"/>
            <w:vAlign w:val="center"/>
          </w:tcPr>
          <w:p>
            <w:pPr>
              <w:widowControl/>
              <w:spacing w:line="360" w:lineRule="exact"/>
              <w:ind w:firstLine="0" w:firstLineChars="0"/>
              <w:textAlignment w:val="center"/>
              <w:rPr>
                <w:rFonts w:eastAsia="宋体"/>
                <w:sz w:val="24"/>
                <w:lang w:eastAsia="zh-CN" w:bidi="ar-SA"/>
              </w:rPr>
            </w:pPr>
            <w:r>
              <w:rPr>
                <w:rFonts w:eastAsia="宋体"/>
                <w:sz w:val="24"/>
                <w:lang w:eastAsia="zh-CN" w:bidi="ar"/>
              </w:rPr>
              <w:t>评价要点：</w:t>
            </w:r>
            <w:r>
              <w:rPr>
                <w:rFonts w:eastAsia="宋体"/>
                <w:sz w:val="24"/>
                <w:lang w:eastAsia="zh-CN" w:bidi="ar"/>
              </w:rPr>
              <w:br w:type="textWrapping"/>
            </w:r>
            <w:r>
              <w:rPr>
                <w:rFonts w:hint="eastAsia" w:eastAsia="宋体"/>
                <w:sz w:val="24"/>
                <w:lang w:val="en-US" w:eastAsia="zh-CN" w:bidi="ar-SA"/>
              </w:rPr>
              <w:t>是非有利于带动地方农业产业增收。</w:t>
            </w:r>
          </w:p>
        </w:tc>
        <w:tc>
          <w:tcPr>
            <w:tcW w:w="2420" w:type="dxa"/>
            <w:shd w:val="clear" w:color="000000" w:fill="FFFFFF"/>
            <w:noWrap w:val="0"/>
            <w:vAlign w:val="center"/>
          </w:tcPr>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t>综合评判，</w:t>
            </w:r>
            <w:r>
              <w:rPr>
                <w:rFonts w:hint="eastAsia" w:eastAsia="宋体"/>
                <w:sz w:val="24"/>
                <w:lang w:eastAsia="zh-CN" w:bidi="ar"/>
              </w:rPr>
              <w:t>带动农业产业增收</w:t>
            </w:r>
            <w:r>
              <w:rPr>
                <w:rFonts w:eastAsia="宋体"/>
                <w:color w:val="auto"/>
                <w:sz w:val="24"/>
                <w:lang w:eastAsia="zh-CN" w:bidi="ar-SA"/>
              </w:rPr>
              <w:t>评价结论：</w:t>
            </w:r>
          </w:p>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fldChar w:fldCharType="begin"/>
            </w:r>
            <w:r>
              <w:rPr>
                <w:rFonts w:eastAsia="宋体"/>
                <w:color w:val="auto"/>
                <w:sz w:val="24"/>
                <w:lang w:eastAsia="zh-CN" w:bidi="ar-SA"/>
              </w:rPr>
              <w:instrText xml:space="preserve"> = 1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①</w:t>
            </w:r>
            <w:r>
              <w:rPr>
                <w:rFonts w:eastAsia="宋体"/>
                <w:color w:val="auto"/>
                <w:sz w:val="24"/>
                <w:lang w:eastAsia="zh-CN" w:bidi="ar-SA"/>
              </w:rPr>
              <w:fldChar w:fldCharType="end"/>
            </w:r>
            <w:r>
              <w:rPr>
                <w:rFonts w:eastAsia="宋体"/>
                <w:color w:val="auto"/>
                <w:sz w:val="24"/>
                <w:lang w:eastAsia="zh-CN" w:bidi="ar-SA"/>
              </w:rPr>
              <w:t>优得</w:t>
            </w:r>
            <w:r>
              <w:rPr>
                <w:rFonts w:hint="eastAsia" w:eastAsia="宋体"/>
                <w:color w:val="auto"/>
                <w:sz w:val="24"/>
                <w:lang w:val="en-US" w:eastAsia="zh-CN" w:bidi="ar-SA"/>
              </w:rPr>
              <w:t>4</w:t>
            </w:r>
            <w:r>
              <w:rPr>
                <w:rFonts w:eastAsia="宋体"/>
                <w:color w:val="auto"/>
                <w:sz w:val="24"/>
                <w:lang w:eastAsia="zh-CN" w:bidi="ar-SA"/>
              </w:rPr>
              <w:t>分</w:t>
            </w:r>
          </w:p>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fldChar w:fldCharType="begin"/>
            </w:r>
            <w:r>
              <w:rPr>
                <w:rFonts w:eastAsia="宋体"/>
                <w:color w:val="auto"/>
                <w:sz w:val="24"/>
                <w:lang w:eastAsia="zh-CN" w:bidi="ar-SA"/>
              </w:rPr>
              <w:instrText xml:space="preserve"> = 2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②</w:t>
            </w:r>
            <w:r>
              <w:rPr>
                <w:rFonts w:eastAsia="宋体"/>
                <w:color w:val="auto"/>
                <w:sz w:val="24"/>
                <w:lang w:eastAsia="zh-CN" w:bidi="ar-SA"/>
              </w:rPr>
              <w:fldChar w:fldCharType="end"/>
            </w:r>
            <w:r>
              <w:rPr>
                <w:rFonts w:eastAsia="宋体"/>
                <w:color w:val="auto"/>
                <w:sz w:val="24"/>
                <w:lang w:eastAsia="zh-CN" w:bidi="ar-SA"/>
              </w:rPr>
              <w:t>良得</w:t>
            </w:r>
            <w:r>
              <w:rPr>
                <w:rFonts w:hint="eastAsia" w:eastAsia="宋体"/>
                <w:color w:val="auto"/>
                <w:sz w:val="24"/>
                <w:lang w:val="en-US" w:eastAsia="zh-CN" w:bidi="ar-SA"/>
              </w:rPr>
              <w:t>3</w:t>
            </w:r>
            <w:r>
              <w:rPr>
                <w:rFonts w:eastAsia="宋体"/>
                <w:color w:val="auto"/>
                <w:sz w:val="24"/>
                <w:lang w:eastAsia="zh-CN" w:bidi="ar-SA"/>
              </w:rPr>
              <w:t>分</w:t>
            </w:r>
          </w:p>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fldChar w:fldCharType="begin"/>
            </w:r>
            <w:r>
              <w:rPr>
                <w:rFonts w:eastAsia="宋体"/>
                <w:color w:val="auto"/>
                <w:sz w:val="24"/>
                <w:lang w:eastAsia="zh-CN" w:bidi="ar-SA"/>
              </w:rPr>
              <w:instrText xml:space="preserve"> = 3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③</w:t>
            </w:r>
            <w:r>
              <w:rPr>
                <w:rFonts w:eastAsia="宋体"/>
                <w:color w:val="auto"/>
                <w:sz w:val="24"/>
                <w:lang w:eastAsia="zh-CN" w:bidi="ar-SA"/>
              </w:rPr>
              <w:fldChar w:fldCharType="end"/>
            </w:r>
            <w:r>
              <w:rPr>
                <w:rFonts w:eastAsia="宋体"/>
                <w:color w:val="auto"/>
                <w:sz w:val="24"/>
                <w:lang w:eastAsia="zh-CN" w:bidi="ar-SA"/>
              </w:rPr>
              <w:t>中得</w:t>
            </w:r>
            <w:r>
              <w:rPr>
                <w:rFonts w:hint="eastAsia" w:eastAsia="宋体"/>
                <w:color w:val="auto"/>
                <w:sz w:val="24"/>
                <w:lang w:val="en-US" w:eastAsia="zh-CN" w:bidi="ar-SA"/>
              </w:rPr>
              <w:t>2</w:t>
            </w:r>
            <w:r>
              <w:rPr>
                <w:rFonts w:eastAsia="宋体"/>
                <w:color w:val="auto"/>
                <w:sz w:val="24"/>
                <w:lang w:eastAsia="zh-CN" w:bidi="ar-SA"/>
              </w:rPr>
              <w:t>分</w:t>
            </w:r>
          </w:p>
          <w:p>
            <w:pPr>
              <w:widowControl/>
              <w:spacing w:line="360" w:lineRule="exact"/>
              <w:ind w:firstLine="0" w:firstLineChars="0"/>
              <w:textAlignment w:val="center"/>
              <w:rPr>
                <w:rFonts w:eastAsia="宋体"/>
                <w:color w:val="auto"/>
                <w:sz w:val="24"/>
                <w:lang w:eastAsia="zh-CN" w:bidi="ar-SA"/>
              </w:rPr>
            </w:pPr>
            <w:r>
              <w:rPr>
                <w:rFonts w:eastAsia="宋体"/>
                <w:color w:val="auto"/>
                <w:sz w:val="24"/>
                <w:lang w:eastAsia="zh-CN" w:bidi="ar-SA"/>
              </w:rPr>
              <w:fldChar w:fldCharType="begin"/>
            </w:r>
            <w:r>
              <w:rPr>
                <w:rFonts w:eastAsia="宋体"/>
                <w:color w:val="auto"/>
                <w:sz w:val="24"/>
                <w:lang w:eastAsia="zh-CN" w:bidi="ar-SA"/>
              </w:rPr>
              <w:instrText xml:space="preserve"> = 4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④</w:t>
            </w:r>
            <w:r>
              <w:rPr>
                <w:rFonts w:eastAsia="宋体"/>
                <w:color w:val="auto"/>
                <w:sz w:val="24"/>
                <w:lang w:eastAsia="zh-CN" w:bidi="ar-SA"/>
              </w:rPr>
              <w:fldChar w:fldCharType="end"/>
            </w:r>
            <w:r>
              <w:rPr>
                <w:rFonts w:eastAsia="宋体"/>
                <w:color w:val="auto"/>
                <w:sz w:val="24"/>
                <w:lang w:eastAsia="zh-CN" w:bidi="ar-SA"/>
              </w:rPr>
              <w:t>差不得分</w:t>
            </w:r>
          </w:p>
        </w:tc>
        <w:tc>
          <w:tcPr>
            <w:tcW w:w="4234"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outlineLvl w:val="0"/>
              <w:rPr>
                <w:rFonts w:eastAsia="宋体"/>
                <w:sz w:val="24"/>
                <w:lang w:eastAsia="zh-CN" w:bidi="ar-SA"/>
              </w:rPr>
            </w:pPr>
            <w:r>
              <w:rPr>
                <w:rFonts w:hint="eastAsia" w:eastAsia="宋体"/>
                <w:sz w:val="24"/>
                <w:lang w:eastAsia="zh-CN" w:bidi="ar"/>
              </w:rPr>
              <w:t>非遗特色美食往往依赖本地特色农产品作为原材料，大赛推广项目吸引众多美食商家参赛，订单量显著增长。例如</w:t>
            </w:r>
            <w:r>
              <w:rPr>
                <w:rFonts w:hint="eastAsia" w:eastAsia="宋体"/>
                <w:sz w:val="24"/>
                <w:lang w:val="en-US" w:eastAsia="zh-CN" w:bidi="ar"/>
              </w:rPr>
              <w:t>用于</w:t>
            </w:r>
            <w:r>
              <w:rPr>
                <w:rFonts w:hint="eastAsia" w:eastAsia="宋体"/>
                <w:sz w:val="24"/>
                <w:lang w:eastAsia="zh-CN" w:bidi="ar"/>
              </w:rPr>
              <w:t>参赛的非遗腊肉品牌，在大赛期间接到大量腊肉订单，带动当地农户生猪养殖规模扩大，生猪出栏量较去年同期</w:t>
            </w:r>
            <w:r>
              <w:rPr>
                <w:rFonts w:hint="eastAsia" w:eastAsia="宋体"/>
                <w:sz w:val="24"/>
                <w:lang w:val="en-US" w:eastAsia="zh-CN" w:bidi="ar"/>
              </w:rPr>
              <w:t>有较大</w:t>
            </w:r>
            <w:r>
              <w:rPr>
                <w:rFonts w:hint="eastAsia" w:eastAsia="宋体"/>
                <w:sz w:val="24"/>
                <w:lang w:eastAsia="zh-CN" w:bidi="ar"/>
              </w:rPr>
              <w:t>增长。同时，大赛促进了如花椒、八角等调味品以及粮油等配套农产品的销售，形成农产品产销良性循环。</w:t>
            </w:r>
            <w:r>
              <w:rPr>
                <w:rFonts w:eastAsia="宋体"/>
                <w:sz w:val="24"/>
                <w:lang w:eastAsia="zh-CN" w:bidi="ar"/>
              </w:rPr>
              <w:t>根据评分标准，该指标</w:t>
            </w:r>
            <w:r>
              <w:rPr>
                <w:rFonts w:hint="eastAsia" w:eastAsia="宋体"/>
                <w:sz w:val="24"/>
                <w:lang w:val="en-US" w:eastAsia="zh-CN" w:bidi="ar"/>
              </w:rPr>
              <w:t>评定为优，得3.00</w:t>
            </w:r>
            <w:r>
              <w:rPr>
                <w:rFonts w:eastAsia="宋体"/>
                <w:sz w:val="24"/>
                <w:lang w:eastAsia="zh-CN" w:bidi="ar"/>
              </w:rPr>
              <w:t>分。</w:t>
            </w:r>
          </w:p>
        </w:tc>
        <w:tc>
          <w:tcPr>
            <w:tcW w:w="816" w:type="dxa"/>
            <w:shd w:val="clear" w:color="000000" w:fill="FFFFFF"/>
            <w:noWrap w:val="0"/>
            <w:vAlign w:val="center"/>
          </w:tcPr>
          <w:p>
            <w:pPr>
              <w:widowControl/>
              <w:tabs>
                <w:tab w:val="left" w:pos="235"/>
                <w:tab w:val="center" w:pos="376"/>
              </w:tabs>
              <w:spacing w:line="360" w:lineRule="exact"/>
              <w:ind w:firstLine="0" w:firstLineChars="0"/>
              <w:jc w:val="left"/>
              <w:textAlignment w:val="center"/>
              <w:rPr>
                <w:rFonts w:eastAsia="宋体"/>
                <w:color w:val="auto"/>
                <w:sz w:val="24"/>
                <w:lang w:eastAsia="zh-CN" w:bidi="ar-SA"/>
              </w:rPr>
            </w:pPr>
            <w:r>
              <w:rPr>
                <w:rFonts w:hint="eastAsia" w:eastAsia="宋体"/>
                <w:color w:val="auto"/>
                <w:sz w:val="24"/>
                <w:lang w:val="en-US" w:eastAsia="zh-CN" w:bidi="ar-SA"/>
              </w:rPr>
              <w:tab/>
            </w:r>
            <w:r>
              <w:rPr>
                <w:rFonts w:hint="eastAsia" w:eastAsia="宋体"/>
                <w:color w:val="auto"/>
                <w:sz w:val="24"/>
                <w:lang w:val="en-US" w:eastAsia="zh-CN" w:bidi="ar-SA"/>
              </w:rPr>
              <w:t>4</w:t>
            </w:r>
          </w:p>
        </w:tc>
        <w:tc>
          <w:tcPr>
            <w:tcW w:w="1104" w:type="dxa"/>
            <w:shd w:val="clear" w:color="000000" w:fill="FFFFFF"/>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val="en-US" w:eastAsia="zh-CN" w:bidi="ar"/>
              </w:rPr>
              <w:t>100</w:t>
            </w:r>
            <w:r>
              <w:rPr>
                <w:rFonts w:eastAsia="宋体"/>
                <w:sz w:val="24"/>
                <w:lang w:eastAsia="zh-CN" w:bidi="ar"/>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0" w:hRule="atLeast"/>
          <w:jc w:val="center"/>
        </w:trPr>
        <w:tc>
          <w:tcPr>
            <w:tcW w:w="805" w:type="dxa"/>
            <w:vMerge w:val="continue"/>
            <w:shd w:val="clear" w:color="auto" w:fill="auto"/>
            <w:noWrap w:val="0"/>
            <w:vAlign w:val="center"/>
          </w:tcPr>
          <w:p>
            <w:pPr>
              <w:widowControl/>
              <w:spacing w:line="360" w:lineRule="exact"/>
              <w:ind w:firstLine="0" w:firstLineChars="0"/>
              <w:jc w:val="center"/>
              <w:rPr>
                <w:rFonts w:eastAsia="宋体"/>
                <w:sz w:val="24"/>
                <w:lang w:eastAsia="zh-CN" w:bidi="ar-SA"/>
              </w:rPr>
            </w:pPr>
          </w:p>
        </w:tc>
        <w:tc>
          <w:tcPr>
            <w:tcW w:w="889" w:type="dxa"/>
            <w:vMerge w:val="continue"/>
            <w:shd w:val="clear" w:color="auto" w:fill="auto"/>
            <w:noWrap w:val="0"/>
            <w:vAlign w:val="center"/>
          </w:tcPr>
          <w:p>
            <w:pPr>
              <w:widowControl/>
              <w:spacing w:line="360" w:lineRule="exact"/>
              <w:ind w:firstLine="0" w:firstLineChars="0"/>
              <w:jc w:val="left"/>
              <w:textAlignment w:val="center"/>
              <w:rPr>
                <w:rFonts w:eastAsia="宋体"/>
                <w:sz w:val="24"/>
                <w:lang w:eastAsia="zh-CN" w:bidi="ar"/>
              </w:rPr>
            </w:pPr>
          </w:p>
        </w:tc>
        <w:tc>
          <w:tcPr>
            <w:tcW w:w="893" w:type="dxa"/>
            <w:shd w:val="clear" w:color="000000" w:fill="FFFFFF"/>
            <w:noWrap w:val="0"/>
            <w:vAlign w:val="center"/>
          </w:tcPr>
          <w:p>
            <w:pPr>
              <w:widowControl/>
              <w:spacing w:line="360" w:lineRule="exact"/>
              <w:ind w:firstLine="0" w:firstLineChars="0"/>
              <w:jc w:val="center"/>
              <w:textAlignment w:val="center"/>
              <w:rPr>
                <w:rFonts w:hint="default" w:eastAsia="宋体"/>
                <w:sz w:val="24"/>
                <w:lang w:val="en-US" w:eastAsia="zh-CN" w:bidi="ar"/>
              </w:rPr>
            </w:pPr>
            <w:r>
              <w:rPr>
                <w:rFonts w:hint="eastAsia" w:eastAsia="宋体"/>
                <w:sz w:val="24"/>
                <w:lang w:val="en-US" w:eastAsia="zh-CN" w:bidi="ar"/>
              </w:rPr>
              <w:t>D22促进旅游消费</w:t>
            </w:r>
          </w:p>
        </w:tc>
        <w:tc>
          <w:tcPr>
            <w:tcW w:w="741" w:type="dxa"/>
            <w:shd w:val="clear" w:color="000000" w:fill="FFFFFF"/>
            <w:noWrap w:val="0"/>
            <w:vAlign w:val="center"/>
          </w:tcPr>
          <w:p>
            <w:pPr>
              <w:widowControl/>
              <w:spacing w:line="360" w:lineRule="exact"/>
              <w:ind w:firstLine="0" w:firstLineChars="0"/>
              <w:jc w:val="center"/>
              <w:textAlignment w:val="center"/>
              <w:rPr>
                <w:rFonts w:hint="default" w:eastAsia="宋体"/>
                <w:sz w:val="24"/>
                <w:lang w:val="en-US" w:eastAsia="zh-CN" w:bidi="ar"/>
              </w:rPr>
            </w:pPr>
            <w:r>
              <w:rPr>
                <w:rFonts w:hint="eastAsia" w:eastAsia="宋体"/>
                <w:sz w:val="24"/>
                <w:lang w:val="en-US" w:eastAsia="zh-CN" w:bidi="ar"/>
              </w:rPr>
              <w:t>4</w:t>
            </w:r>
          </w:p>
        </w:tc>
        <w:tc>
          <w:tcPr>
            <w:tcW w:w="2746" w:type="dxa"/>
            <w:shd w:val="clear" w:color="000000" w:fill="FFFFFF"/>
            <w:noWrap w:val="0"/>
            <w:vAlign w:val="center"/>
          </w:tcPr>
          <w:p>
            <w:pPr>
              <w:widowControl/>
              <w:spacing w:line="360" w:lineRule="exact"/>
              <w:ind w:firstLine="0" w:firstLineChars="0"/>
              <w:textAlignment w:val="center"/>
              <w:rPr>
                <w:rFonts w:eastAsia="宋体"/>
                <w:sz w:val="24"/>
                <w:lang w:eastAsia="zh-CN" w:bidi="ar"/>
              </w:rPr>
            </w:pPr>
            <w:r>
              <w:rPr>
                <w:rFonts w:eastAsia="宋体"/>
                <w:sz w:val="24"/>
                <w:lang w:eastAsia="zh-CN" w:bidi="ar"/>
              </w:rPr>
              <w:t>评价要点：</w:t>
            </w:r>
            <w:r>
              <w:rPr>
                <w:rFonts w:eastAsia="宋体"/>
                <w:sz w:val="24"/>
                <w:lang w:eastAsia="zh-CN" w:bidi="ar"/>
              </w:rPr>
              <w:br w:type="textWrapping"/>
            </w:r>
            <w:r>
              <w:rPr>
                <w:rFonts w:hint="eastAsia" w:eastAsia="宋体"/>
                <w:sz w:val="24"/>
                <w:lang w:val="en-US" w:eastAsia="zh-CN" w:bidi="ar-SA"/>
              </w:rPr>
              <w:t>是否有利于吸引游客前往，促进旅游消费，拉动旅游收入。</w:t>
            </w:r>
          </w:p>
        </w:tc>
        <w:tc>
          <w:tcPr>
            <w:tcW w:w="2420" w:type="dxa"/>
            <w:shd w:val="clear" w:color="000000" w:fill="FFFFFF"/>
            <w:noWrap w:val="0"/>
            <w:vAlign w:val="center"/>
          </w:tcPr>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t>综合评判，</w:t>
            </w:r>
            <w:r>
              <w:rPr>
                <w:rFonts w:hint="eastAsia" w:eastAsia="宋体"/>
                <w:sz w:val="24"/>
                <w:lang w:val="en-US" w:eastAsia="zh-CN" w:bidi="ar"/>
              </w:rPr>
              <w:t>促进旅游消费</w:t>
            </w:r>
            <w:r>
              <w:rPr>
                <w:rFonts w:eastAsia="宋体"/>
                <w:color w:val="auto"/>
                <w:sz w:val="24"/>
                <w:lang w:eastAsia="zh-CN" w:bidi="ar-SA"/>
              </w:rPr>
              <w:t>评价结论：</w:t>
            </w:r>
          </w:p>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fldChar w:fldCharType="begin"/>
            </w:r>
            <w:r>
              <w:rPr>
                <w:rFonts w:eastAsia="宋体"/>
                <w:color w:val="auto"/>
                <w:sz w:val="24"/>
                <w:lang w:eastAsia="zh-CN" w:bidi="ar-SA"/>
              </w:rPr>
              <w:instrText xml:space="preserve"> = 1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①</w:t>
            </w:r>
            <w:r>
              <w:rPr>
                <w:rFonts w:eastAsia="宋体"/>
                <w:color w:val="auto"/>
                <w:sz w:val="24"/>
                <w:lang w:eastAsia="zh-CN" w:bidi="ar-SA"/>
              </w:rPr>
              <w:fldChar w:fldCharType="end"/>
            </w:r>
            <w:r>
              <w:rPr>
                <w:rFonts w:eastAsia="宋体"/>
                <w:color w:val="auto"/>
                <w:sz w:val="24"/>
                <w:lang w:eastAsia="zh-CN" w:bidi="ar-SA"/>
              </w:rPr>
              <w:t>优得</w:t>
            </w:r>
            <w:r>
              <w:rPr>
                <w:rFonts w:hint="eastAsia" w:eastAsia="宋体"/>
                <w:color w:val="auto"/>
                <w:sz w:val="24"/>
                <w:lang w:val="en-US" w:eastAsia="zh-CN" w:bidi="ar-SA"/>
              </w:rPr>
              <w:t>4</w:t>
            </w:r>
            <w:r>
              <w:rPr>
                <w:rFonts w:eastAsia="宋体"/>
                <w:color w:val="auto"/>
                <w:sz w:val="24"/>
                <w:lang w:eastAsia="zh-CN" w:bidi="ar-SA"/>
              </w:rPr>
              <w:t>分</w:t>
            </w:r>
          </w:p>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fldChar w:fldCharType="begin"/>
            </w:r>
            <w:r>
              <w:rPr>
                <w:rFonts w:eastAsia="宋体"/>
                <w:color w:val="auto"/>
                <w:sz w:val="24"/>
                <w:lang w:eastAsia="zh-CN" w:bidi="ar-SA"/>
              </w:rPr>
              <w:instrText xml:space="preserve"> = 2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②</w:t>
            </w:r>
            <w:r>
              <w:rPr>
                <w:rFonts w:eastAsia="宋体"/>
                <w:color w:val="auto"/>
                <w:sz w:val="24"/>
                <w:lang w:eastAsia="zh-CN" w:bidi="ar-SA"/>
              </w:rPr>
              <w:fldChar w:fldCharType="end"/>
            </w:r>
            <w:r>
              <w:rPr>
                <w:rFonts w:eastAsia="宋体"/>
                <w:color w:val="auto"/>
                <w:sz w:val="24"/>
                <w:lang w:eastAsia="zh-CN" w:bidi="ar-SA"/>
              </w:rPr>
              <w:t>良得</w:t>
            </w:r>
            <w:r>
              <w:rPr>
                <w:rFonts w:hint="eastAsia" w:eastAsia="宋体"/>
                <w:color w:val="auto"/>
                <w:sz w:val="24"/>
                <w:lang w:val="en-US" w:eastAsia="zh-CN" w:bidi="ar-SA"/>
              </w:rPr>
              <w:t>3</w:t>
            </w:r>
            <w:r>
              <w:rPr>
                <w:rFonts w:eastAsia="宋体"/>
                <w:color w:val="auto"/>
                <w:sz w:val="24"/>
                <w:lang w:eastAsia="zh-CN" w:bidi="ar-SA"/>
              </w:rPr>
              <w:t>分</w:t>
            </w:r>
          </w:p>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fldChar w:fldCharType="begin"/>
            </w:r>
            <w:r>
              <w:rPr>
                <w:rFonts w:eastAsia="宋体"/>
                <w:color w:val="auto"/>
                <w:sz w:val="24"/>
                <w:lang w:eastAsia="zh-CN" w:bidi="ar-SA"/>
              </w:rPr>
              <w:instrText xml:space="preserve"> = 3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③</w:t>
            </w:r>
            <w:r>
              <w:rPr>
                <w:rFonts w:eastAsia="宋体"/>
                <w:color w:val="auto"/>
                <w:sz w:val="24"/>
                <w:lang w:eastAsia="zh-CN" w:bidi="ar-SA"/>
              </w:rPr>
              <w:fldChar w:fldCharType="end"/>
            </w:r>
            <w:r>
              <w:rPr>
                <w:rFonts w:eastAsia="宋体"/>
                <w:color w:val="auto"/>
                <w:sz w:val="24"/>
                <w:lang w:eastAsia="zh-CN" w:bidi="ar-SA"/>
              </w:rPr>
              <w:t>中得</w:t>
            </w:r>
            <w:r>
              <w:rPr>
                <w:rFonts w:hint="eastAsia" w:eastAsia="宋体"/>
                <w:color w:val="auto"/>
                <w:sz w:val="24"/>
                <w:lang w:val="en-US" w:eastAsia="zh-CN" w:bidi="ar-SA"/>
              </w:rPr>
              <w:t>2</w:t>
            </w:r>
            <w:r>
              <w:rPr>
                <w:rFonts w:eastAsia="宋体"/>
                <w:color w:val="auto"/>
                <w:sz w:val="24"/>
                <w:lang w:eastAsia="zh-CN" w:bidi="ar-SA"/>
              </w:rPr>
              <w:t>分</w:t>
            </w:r>
          </w:p>
          <w:p>
            <w:pPr>
              <w:widowControl/>
              <w:spacing w:line="360" w:lineRule="exact"/>
              <w:ind w:firstLine="0" w:firstLineChars="0"/>
              <w:textAlignment w:val="center"/>
              <w:rPr>
                <w:rFonts w:eastAsia="宋体"/>
                <w:color w:val="auto"/>
                <w:sz w:val="24"/>
                <w:lang w:eastAsia="zh-CN" w:bidi="ar-SA"/>
              </w:rPr>
            </w:pPr>
            <w:r>
              <w:rPr>
                <w:rFonts w:eastAsia="宋体"/>
                <w:color w:val="auto"/>
                <w:sz w:val="24"/>
                <w:lang w:eastAsia="zh-CN" w:bidi="ar-SA"/>
              </w:rPr>
              <w:fldChar w:fldCharType="begin"/>
            </w:r>
            <w:r>
              <w:rPr>
                <w:rFonts w:eastAsia="宋体"/>
                <w:color w:val="auto"/>
                <w:sz w:val="24"/>
                <w:lang w:eastAsia="zh-CN" w:bidi="ar-SA"/>
              </w:rPr>
              <w:instrText xml:space="preserve"> = 4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④</w:t>
            </w:r>
            <w:r>
              <w:rPr>
                <w:rFonts w:eastAsia="宋体"/>
                <w:color w:val="auto"/>
                <w:sz w:val="24"/>
                <w:lang w:eastAsia="zh-CN" w:bidi="ar-SA"/>
              </w:rPr>
              <w:fldChar w:fldCharType="end"/>
            </w:r>
            <w:r>
              <w:rPr>
                <w:rFonts w:eastAsia="宋体"/>
                <w:color w:val="auto"/>
                <w:sz w:val="24"/>
                <w:lang w:eastAsia="zh-CN" w:bidi="ar-SA"/>
              </w:rPr>
              <w:t>差不得分</w:t>
            </w:r>
          </w:p>
        </w:tc>
        <w:tc>
          <w:tcPr>
            <w:tcW w:w="4234" w:type="dxa"/>
            <w:shd w:val="clear" w:color="auto" w:fill="auto"/>
            <w:noWrap w:val="0"/>
            <w:vAlign w:val="center"/>
          </w:tcPr>
          <w:p>
            <w:pPr>
              <w:widowControl/>
              <w:spacing w:line="360" w:lineRule="exact"/>
              <w:ind w:firstLine="0" w:firstLineChars="0"/>
              <w:jc w:val="left"/>
              <w:textAlignment w:val="center"/>
              <w:rPr>
                <w:rFonts w:hint="eastAsia" w:eastAsia="宋体"/>
                <w:sz w:val="24"/>
                <w:lang w:eastAsia="zh-CN" w:bidi="ar"/>
              </w:rPr>
            </w:pPr>
            <w:r>
              <w:rPr>
                <w:rFonts w:hint="eastAsia" w:eastAsia="宋体"/>
                <w:sz w:val="24"/>
                <w:lang w:eastAsia="zh-CN" w:bidi="ar"/>
              </w:rPr>
              <w:t>大赛作为文化旅游热点事件，吸引大量游客前往举办地。活动举办期间，</w:t>
            </w:r>
            <w:r>
              <w:rPr>
                <w:rFonts w:hint="eastAsia" w:eastAsia="宋体"/>
                <w:sz w:val="24"/>
                <w:lang w:val="en-US" w:eastAsia="zh-CN" w:bidi="ar"/>
              </w:rPr>
              <w:t>金口河区</w:t>
            </w:r>
            <w:r>
              <w:rPr>
                <w:rFonts w:hint="eastAsia" w:eastAsia="宋体"/>
                <w:sz w:val="24"/>
                <w:lang w:eastAsia="zh-CN" w:bidi="ar"/>
              </w:rPr>
              <w:t>周边酒店入住率</w:t>
            </w:r>
            <w:r>
              <w:rPr>
                <w:rFonts w:hint="eastAsia" w:eastAsia="宋体"/>
                <w:sz w:val="24"/>
                <w:lang w:val="en-US" w:eastAsia="zh-CN" w:bidi="ar"/>
              </w:rPr>
              <w:t>得到</w:t>
            </w:r>
            <w:r>
              <w:rPr>
                <w:rFonts w:hint="eastAsia" w:eastAsia="宋体"/>
                <w:sz w:val="24"/>
                <w:lang w:eastAsia="zh-CN" w:bidi="ar"/>
              </w:rPr>
              <w:t>提升，餐饮消费额增长。游客在品尝非遗美食的同时，还会参观当地景点、购买手工艺品等，拉动当地旅游综合收入大幅提升。</w:t>
            </w:r>
            <w:r>
              <w:rPr>
                <w:rFonts w:eastAsia="宋体"/>
                <w:sz w:val="24"/>
                <w:lang w:eastAsia="zh-CN" w:bidi="ar"/>
              </w:rPr>
              <w:t>根据评分标准，该指标</w:t>
            </w:r>
            <w:r>
              <w:rPr>
                <w:rFonts w:hint="eastAsia" w:eastAsia="宋体"/>
                <w:sz w:val="24"/>
                <w:lang w:val="en-US" w:eastAsia="zh-CN" w:bidi="ar"/>
              </w:rPr>
              <w:t>评定为优，得3.00</w:t>
            </w:r>
            <w:r>
              <w:rPr>
                <w:rFonts w:eastAsia="宋体"/>
                <w:sz w:val="24"/>
                <w:lang w:eastAsia="zh-CN" w:bidi="ar"/>
              </w:rPr>
              <w:t>分。</w:t>
            </w:r>
          </w:p>
        </w:tc>
        <w:tc>
          <w:tcPr>
            <w:tcW w:w="816" w:type="dxa"/>
            <w:shd w:val="clear" w:color="000000" w:fill="FFFFFF"/>
            <w:noWrap w:val="0"/>
            <w:vAlign w:val="center"/>
          </w:tcPr>
          <w:p>
            <w:pPr>
              <w:widowControl/>
              <w:spacing w:line="360" w:lineRule="exact"/>
              <w:ind w:firstLine="0" w:firstLineChars="0"/>
              <w:jc w:val="center"/>
              <w:textAlignment w:val="center"/>
              <w:rPr>
                <w:rFonts w:hint="eastAsia" w:eastAsia="宋体"/>
                <w:color w:val="auto"/>
                <w:sz w:val="24"/>
                <w:lang w:val="en-US" w:eastAsia="zh-CN" w:bidi="ar-SA"/>
              </w:rPr>
            </w:pPr>
            <w:r>
              <w:rPr>
                <w:rFonts w:hint="eastAsia" w:eastAsia="宋体"/>
                <w:color w:val="auto"/>
                <w:sz w:val="24"/>
                <w:lang w:val="en-US" w:eastAsia="zh-CN" w:bidi="ar-SA"/>
              </w:rPr>
              <w:t>4</w:t>
            </w:r>
          </w:p>
        </w:tc>
        <w:tc>
          <w:tcPr>
            <w:tcW w:w="1104" w:type="dxa"/>
            <w:shd w:val="clear" w:color="000000" w:fill="FFFFFF"/>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val="en-US" w:eastAsia="zh-CN" w:bidi="ar"/>
              </w:rPr>
              <w:t>100</w:t>
            </w:r>
            <w:r>
              <w:rPr>
                <w:rFonts w:eastAsia="宋体"/>
                <w:sz w:val="24"/>
                <w:lang w:eastAsia="zh-CN" w:bidi="ar"/>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5" w:type="dxa"/>
            <w:vMerge w:val="continue"/>
            <w:shd w:val="clear" w:color="auto" w:fill="auto"/>
            <w:noWrap w:val="0"/>
            <w:vAlign w:val="center"/>
          </w:tcPr>
          <w:p>
            <w:pPr>
              <w:widowControl/>
              <w:spacing w:line="360" w:lineRule="exact"/>
              <w:ind w:firstLine="0" w:firstLineChars="0"/>
              <w:jc w:val="center"/>
              <w:rPr>
                <w:rFonts w:eastAsia="宋体"/>
                <w:sz w:val="24"/>
                <w:lang w:eastAsia="zh-CN" w:bidi="ar-SA"/>
              </w:rPr>
            </w:pPr>
          </w:p>
        </w:tc>
        <w:tc>
          <w:tcPr>
            <w:tcW w:w="889" w:type="dxa"/>
            <w:vMerge w:val="restart"/>
            <w:shd w:val="clear" w:color="auto" w:fill="auto"/>
            <w:noWrap w:val="0"/>
            <w:vAlign w:val="center"/>
          </w:tcPr>
          <w:p>
            <w:pPr>
              <w:widowControl/>
              <w:spacing w:line="360" w:lineRule="exact"/>
              <w:ind w:firstLine="0" w:firstLineChars="0"/>
              <w:jc w:val="left"/>
              <w:textAlignment w:val="center"/>
              <w:rPr>
                <w:rFonts w:hint="default" w:eastAsia="宋体"/>
                <w:sz w:val="24"/>
                <w:lang w:val="en-US" w:eastAsia="zh-CN" w:bidi="ar"/>
              </w:rPr>
            </w:pPr>
            <w:r>
              <w:rPr>
                <w:rFonts w:hint="eastAsia" w:eastAsia="宋体"/>
                <w:sz w:val="24"/>
                <w:lang w:val="en-US" w:eastAsia="zh-CN" w:bidi="ar"/>
              </w:rPr>
              <w:t>D3生态效益（8）</w:t>
            </w:r>
          </w:p>
        </w:tc>
        <w:tc>
          <w:tcPr>
            <w:tcW w:w="893" w:type="dxa"/>
            <w:shd w:val="clear" w:color="000000" w:fill="FFFFFF"/>
            <w:noWrap w:val="0"/>
            <w:vAlign w:val="center"/>
          </w:tcPr>
          <w:p>
            <w:pPr>
              <w:widowControl/>
              <w:spacing w:line="360" w:lineRule="exact"/>
              <w:ind w:firstLine="0" w:firstLineChars="0"/>
              <w:jc w:val="center"/>
              <w:textAlignment w:val="center"/>
              <w:rPr>
                <w:rFonts w:hint="default" w:eastAsia="宋体"/>
                <w:sz w:val="24"/>
                <w:lang w:val="en-US" w:eastAsia="zh-CN" w:bidi="ar"/>
              </w:rPr>
            </w:pPr>
            <w:r>
              <w:rPr>
                <w:rFonts w:hint="eastAsia" w:eastAsia="宋体"/>
                <w:sz w:val="24"/>
                <w:lang w:val="en-US" w:eastAsia="zh-CN" w:bidi="ar"/>
              </w:rPr>
              <w:t>D31推动绿色农业发展</w:t>
            </w:r>
          </w:p>
        </w:tc>
        <w:tc>
          <w:tcPr>
            <w:tcW w:w="741" w:type="dxa"/>
            <w:shd w:val="clear" w:color="000000" w:fill="FFFFFF"/>
            <w:noWrap w:val="0"/>
            <w:vAlign w:val="center"/>
          </w:tcPr>
          <w:p>
            <w:pPr>
              <w:widowControl/>
              <w:spacing w:line="360" w:lineRule="exact"/>
              <w:ind w:firstLine="0" w:firstLineChars="0"/>
              <w:jc w:val="center"/>
              <w:textAlignment w:val="center"/>
              <w:rPr>
                <w:rFonts w:hint="default" w:eastAsia="宋体"/>
                <w:sz w:val="24"/>
                <w:lang w:val="en-US" w:eastAsia="zh-CN" w:bidi="ar"/>
              </w:rPr>
            </w:pPr>
            <w:r>
              <w:rPr>
                <w:rFonts w:hint="eastAsia" w:eastAsia="宋体"/>
                <w:sz w:val="24"/>
                <w:lang w:val="en-US" w:eastAsia="zh-CN" w:bidi="ar"/>
              </w:rPr>
              <w:t>4</w:t>
            </w:r>
          </w:p>
        </w:tc>
        <w:tc>
          <w:tcPr>
            <w:tcW w:w="2746" w:type="dxa"/>
            <w:shd w:val="clear" w:color="000000" w:fill="FFFFFF"/>
            <w:noWrap w:val="0"/>
            <w:vAlign w:val="center"/>
          </w:tcPr>
          <w:p>
            <w:pPr>
              <w:widowControl/>
              <w:spacing w:line="360" w:lineRule="exact"/>
              <w:ind w:firstLine="0" w:firstLineChars="0"/>
              <w:textAlignment w:val="center"/>
              <w:rPr>
                <w:rFonts w:eastAsia="宋体"/>
                <w:sz w:val="24"/>
                <w:lang w:eastAsia="zh-CN" w:bidi="ar"/>
              </w:rPr>
            </w:pPr>
            <w:r>
              <w:rPr>
                <w:rFonts w:eastAsia="宋体"/>
                <w:sz w:val="24"/>
                <w:lang w:eastAsia="zh-CN" w:bidi="ar"/>
              </w:rPr>
              <w:t>评价要点：</w:t>
            </w:r>
          </w:p>
          <w:p>
            <w:pPr>
              <w:widowControl/>
              <w:spacing w:line="360" w:lineRule="exact"/>
              <w:ind w:firstLine="0" w:firstLineChars="0"/>
              <w:textAlignment w:val="center"/>
              <w:rPr>
                <w:rFonts w:eastAsia="宋体"/>
                <w:sz w:val="24"/>
                <w:lang w:eastAsia="zh-CN" w:bidi="ar"/>
              </w:rPr>
            </w:pPr>
            <w:r>
              <w:rPr>
                <w:rFonts w:hint="eastAsia" w:eastAsia="宋体"/>
                <w:sz w:val="24"/>
                <w:lang w:val="en-US" w:eastAsia="zh-CN" w:bidi="ar"/>
              </w:rPr>
              <w:t>是否有利于促使农户改善种值、养殖方式</w:t>
            </w:r>
            <w:r>
              <w:rPr>
                <w:rFonts w:hint="eastAsia" w:eastAsia="宋体"/>
                <w:sz w:val="24"/>
                <w:lang w:val="en-US" w:eastAsia="zh-CN" w:bidi="ar-SA"/>
              </w:rPr>
              <w:t>。</w:t>
            </w:r>
          </w:p>
        </w:tc>
        <w:tc>
          <w:tcPr>
            <w:tcW w:w="2420" w:type="dxa"/>
            <w:shd w:val="clear" w:color="000000" w:fill="FFFFFF"/>
            <w:noWrap w:val="0"/>
            <w:vAlign w:val="center"/>
          </w:tcPr>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t>综合评判，</w:t>
            </w:r>
            <w:r>
              <w:rPr>
                <w:rFonts w:hint="eastAsia" w:eastAsia="宋体"/>
                <w:sz w:val="24"/>
                <w:lang w:val="en-US" w:eastAsia="zh-CN" w:bidi="ar"/>
              </w:rPr>
              <w:t>推动绿色农业发展</w:t>
            </w:r>
            <w:r>
              <w:rPr>
                <w:rFonts w:eastAsia="宋体"/>
                <w:color w:val="auto"/>
                <w:sz w:val="24"/>
                <w:lang w:eastAsia="zh-CN" w:bidi="ar-SA"/>
              </w:rPr>
              <w:t>评价结论：</w:t>
            </w:r>
          </w:p>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fldChar w:fldCharType="begin"/>
            </w:r>
            <w:r>
              <w:rPr>
                <w:rFonts w:eastAsia="宋体"/>
                <w:color w:val="auto"/>
                <w:sz w:val="24"/>
                <w:lang w:eastAsia="zh-CN" w:bidi="ar-SA"/>
              </w:rPr>
              <w:instrText xml:space="preserve"> = 1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①</w:t>
            </w:r>
            <w:r>
              <w:rPr>
                <w:rFonts w:eastAsia="宋体"/>
                <w:color w:val="auto"/>
                <w:sz w:val="24"/>
                <w:lang w:eastAsia="zh-CN" w:bidi="ar-SA"/>
              </w:rPr>
              <w:fldChar w:fldCharType="end"/>
            </w:r>
            <w:r>
              <w:rPr>
                <w:rFonts w:eastAsia="宋体"/>
                <w:color w:val="auto"/>
                <w:sz w:val="24"/>
                <w:lang w:eastAsia="zh-CN" w:bidi="ar-SA"/>
              </w:rPr>
              <w:t>优得</w:t>
            </w:r>
            <w:r>
              <w:rPr>
                <w:rFonts w:hint="eastAsia" w:eastAsia="宋体"/>
                <w:color w:val="auto"/>
                <w:sz w:val="24"/>
                <w:lang w:val="en-US" w:eastAsia="zh-CN" w:bidi="ar-SA"/>
              </w:rPr>
              <w:t>4</w:t>
            </w:r>
            <w:r>
              <w:rPr>
                <w:rFonts w:eastAsia="宋体"/>
                <w:color w:val="auto"/>
                <w:sz w:val="24"/>
                <w:lang w:eastAsia="zh-CN" w:bidi="ar-SA"/>
              </w:rPr>
              <w:t>分</w:t>
            </w:r>
          </w:p>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fldChar w:fldCharType="begin"/>
            </w:r>
            <w:r>
              <w:rPr>
                <w:rFonts w:eastAsia="宋体"/>
                <w:color w:val="auto"/>
                <w:sz w:val="24"/>
                <w:lang w:eastAsia="zh-CN" w:bidi="ar-SA"/>
              </w:rPr>
              <w:instrText xml:space="preserve"> = 2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②</w:t>
            </w:r>
            <w:r>
              <w:rPr>
                <w:rFonts w:eastAsia="宋体"/>
                <w:color w:val="auto"/>
                <w:sz w:val="24"/>
                <w:lang w:eastAsia="zh-CN" w:bidi="ar-SA"/>
              </w:rPr>
              <w:fldChar w:fldCharType="end"/>
            </w:r>
            <w:r>
              <w:rPr>
                <w:rFonts w:eastAsia="宋体"/>
                <w:color w:val="auto"/>
                <w:sz w:val="24"/>
                <w:lang w:eastAsia="zh-CN" w:bidi="ar-SA"/>
              </w:rPr>
              <w:t>良得</w:t>
            </w:r>
            <w:r>
              <w:rPr>
                <w:rFonts w:hint="eastAsia" w:eastAsia="宋体"/>
                <w:color w:val="auto"/>
                <w:sz w:val="24"/>
                <w:lang w:val="en-US" w:eastAsia="zh-CN" w:bidi="ar-SA"/>
              </w:rPr>
              <w:t>3</w:t>
            </w:r>
            <w:r>
              <w:rPr>
                <w:rFonts w:eastAsia="宋体"/>
                <w:color w:val="auto"/>
                <w:sz w:val="24"/>
                <w:lang w:eastAsia="zh-CN" w:bidi="ar-SA"/>
              </w:rPr>
              <w:t>分</w:t>
            </w:r>
          </w:p>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fldChar w:fldCharType="begin"/>
            </w:r>
            <w:r>
              <w:rPr>
                <w:rFonts w:eastAsia="宋体"/>
                <w:color w:val="auto"/>
                <w:sz w:val="24"/>
                <w:lang w:eastAsia="zh-CN" w:bidi="ar-SA"/>
              </w:rPr>
              <w:instrText xml:space="preserve"> = 3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③</w:t>
            </w:r>
            <w:r>
              <w:rPr>
                <w:rFonts w:eastAsia="宋体"/>
                <w:color w:val="auto"/>
                <w:sz w:val="24"/>
                <w:lang w:eastAsia="zh-CN" w:bidi="ar-SA"/>
              </w:rPr>
              <w:fldChar w:fldCharType="end"/>
            </w:r>
            <w:r>
              <w:rPr>
                <w:rFonts w:eastAsia="宋体"/>
                <w:color w:val="auto"/>
                <w:sz w:val="24"/>
                <w:lang w:eastAsia="zh-CN" w:bidi="ar-SA"/>
              </w:rPr>
              <w:t>中得</w:t>
            </w:r>
            <w:r>
              <w:rPr>
                <w:rFonts w:hint="eastAsia" w:eastAsia="宋体"/>
                <w:color w:val="auto"/>
                <w:sz w:val="24"/>
                <w:lang w:val="en-US" w:eastAsia="zh-CN" w:bidi="ar-SA"/>
              </w:rPr>
              <w:t>2</w:t>
            </w:r>
            <w:r>
              <w:rPr>
                <w:rFonts w:eastAsia="宋体"/>
                <w:color w:val="auto"/>
                <w:sz w:val="24"/>
                <w:lang w:eastAsia="zh-CN" w:bidi="ar-SA"/>
              </w:rPr>
              <w:t>分</w:t>
            </w:r>
          </w:p>
          <w:p>
            <w:pPr>
              <w:widowControl/>
              <w:spacing w:line="360" w:lineRule="exact"/>
              <w:ind w:firstLine="0" w:firstLineChars="0"/>
              <w:textAlignment w:val="center"/>
              <w:rPr>
                <w:rFonts w:eastAsia="宋体"/>
                <w:color w:val="auto"/>
                <w:sz w:val="24"/>
                <w:lang w:eastAsia="zh-CN" w:bidi="ar-SA"/>
              </w:rPr>
            </w:pPr>
            <w:r>
              <w:rPr>
                <w:rFonts w:eastAsia="宋体"/>
                <w:color w:val="auto"/>
                <w:sz w:val="24"/>
                <w:lang w:eastAsia="zh-CN" w:bidi="ar-SA"/>
              </w:rPr>
              <w:fldChar w:fldCharType="begin"/>
            </w:r>
            <w:r>
              <w:rPr>
                <w:rFonts w:eastAsia="宋体"/>
                <w:color w:val="auto"/>
                <w:sz w:val="24"/>
                <w:lang w:eastAsia="zh-CN" w:bidi="ar-SA"/>
              </w:rPr>
              <w:instrText xml:space="preserve"> = 4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④</w:t>
            </w:r>
            <w:r>
              <w:rPr>
                <w:rFonts w:eastAsia="宋体"/>
                <w:color w:val="auto"/>
                <w:sz w:val="24"/>
                <w:lang w:eastAsia="zh-CN" w:bidi="ar-SA"/>
              </w:rPr>
              <w:fldChar w:fldCharType="end"/>
            </w:r>
            <w:r>
              <w:rPr>
                <w:rFonts w:eastAsia="宋体"/>
                <w:color w:val="auto"/>
                <w:sz w:val="24"/>
                <w:lang w:eastAsia="zh-CN" w:bidi="ar-SA"/>
              </w:rPr>
              <w:t>差不得分</w:t>
            </w:r>
          </w:p>
        </w:tc>
        <w:tc>
          <w:tcPr>
            <w:tcW w:w="4234" w:type="dxa"/>
            <w:shd w:val="clear" w:color="auto" w:fill="auto"/>
            <w:noWrap w:val="0"/>
            <w:vAlign w:val="center"/>
          </w:tcPr>
          <w:p>
            <w:pPr>
              <w:widowControl/>
              <w:spacing w:line="360" w:lineRule="exact"/>
              <w:ind w:firstLine="0" w:firstLineChars="0"/>
              <w:jc w:val="left"/>
              <w:textAlignment w:val="center"/>
              <w:rPr>
                <w:rFonts w:hint="eastAsia" w:eastAsia="宋体"/>
                <w:sz w:val="24"/>
                <w:lang w:eastAsia="zh-CN" w:bidi="ar"/>
              </w:rPr>
            </w:pPr>
            <w:r>
              <w:rPr>
                <w:rFonts w:hint="eastAsia" w:eastAsia="宋体"/>
                <w:sz w:val="24"/>
                <w:lang w:eastAsia="zh-CN" w:bidi="ar"/>
              </w:rPr>
              <w:t>非遗美食对原材料品质要求高，促使农户采用绿色种植、养殖方式。为满足大赛参赛商家对优质食材的需求，当地政府引导农户减少化肥、农药使用，推广有机种植和生态养殖。活动开展后，当地有机农产品种植面积增加15%，生态养殖规模扩大20%，促进农业生态环境改善。</w:t>
            </w:r>
            <w:r>
              <w:rPr>
                <w:rFonts w:eastAsia="宋体"/>
                <w:sz w:val="24"/>
                <w:lang w:eastAsia="zh-CN" w:bidi="ar"/>
              </w:rPr>
              <w:t>根据评分标准，该指标</w:t>
            </w:r>
            <w:r>
              <w:rPr>
                <w:rFonts w:hint="eastAsia" w:eastAsia="宋体"/>
                <w:sz w:val="24"/>
                <w:lang w:val="en-US" w:eastAsia="zh-CN" w:bidi="ar"/>
              </w:rPr>
              <w:t>评定为优，得4.00</w:t>
            </w:r>
            <w:r>
              <w:rPr>
                <w:rFonts w:eastAsia="宋体"/>
                <w:sz w:val="24"/>
                <w:lang w:eastAsia="zh-CN" w:bidi="ar"/>
              </w:rPr>
              <w:t>分。</w:t>
            </w:r>
          </w:p>
        </w:tc>
        <w:tc>
          <w:tcPr>
            <w:tcW w:w="816" w:type="dxa"/>
            <w:shd w:val="clear" w:color="000000" w:fill="FFFFFF"/>
            <w:noWrap w:val="0"/>
            <w:vAlign w:val="center"/>
          </w:tcPr>
          <w:p>
            <w:pPr>
              <w:widowControl/>
              <w:spacing w:line="360" w:lineRule="exact"/>
              <w:ind w:firstLine="0" w:firstLineChars="0"/>
              <w:jc w:val="center"/>
              <w:textAlignment w:val="center"/>
              <w:rPr>
                <w:rFonts w:hint="eastAsia" w:eastAsia="宋体"/>
                <w:color w:val="auto"/>
                <w:sz w:val="24"/>
                <w:lang w:val="en-US" w:eastAsia="zh-CN" w:bidi="ar-SA"/>
              </w:rPr>
            </w:pPr>
            <w:r>
              <w:rPr>
                <w:rFonts w:hint="eastAsia" w:eastAsia="宋体"/>
                <w:color w:val="auto"/>
                <w:sz w:val="24"/>
                <w:lang w:val="en-US" w:eastAsia="zh-CN" w:bidi="ar-SA"/>
              </w:rPr>
              <w:t>4</w:t>
            </w:r>
          </w:p>
        </w:tc>
        <w:tc>
          <w:tcPr>
            <w:tcW w:w="1104" w:type="dxa"/>
            <w:shd w:val="clear" w:color="000000" w:fill="FFFFFF"/>
            <w:noWrap w:val="0"/>
            <w:vAlign w:val="center"/>
          </w:tcPr>
          <w:p>
            <w:pPr>
              <w:widowControl/>
              <w:spacing w:line="360" w:lineRule="exact"/>
              <w:ind w:firstLine="0" w:firstLineChars="0"/>
              <w:jc w:val="center"/>
              <w:textAlignment w:val="center"/>
              <w:rPr>
                <w:rFonts w:hint="eastAsia" w:eastAsia="宋体"/>
                <w:sz w:val="24"/>
                <w:lang w:val="en-US" w:eastAsia="zh-CN" w:bidi="ar"/>
              </w:rPr>
            </w:pPr>
            <w:r>
              <w:rPr>
                <w:rFonts w:hint="eastAsia" w:eastAsia="宋体"/>
                <w:sz w:val="24"/>
                <w:lang w:val="en-US" w:eastAsia="zh-CN" w:bidi="ar"/>
              </w:rPr>
              <w:t>100</w:t>
            </w:r>
            <w:r>
              <w:rPr>
                <w:rFonts w:eastAsia="宋体"/>
                <w:sz w:val="24"/>
                <w:lang w:eastAsia="zh-CN" w:bidi="ar"/>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5" w:type="dxa"/>
            <w:vMerge w:val="continue"/>
            <w:shd w:val="clear" w:color="auto" w:fill="auto"/>
            <w:noWrap w:val="0"/>
            <w:vAlign w:val="center"/>
          </w:tcPr>
          <w:p>
            <w:pPr>
              <w:widowControl/>
              <w:spacing w:line="360" w:lineRule="exact"/>
              <w:ind w:firstLine="0" w:firstLineChars="0"/>
              <w:jc w:val="center"/>
              <w:rPr>
                <w:rFonts w:eastAsia="宋体"/>
                <w:sz w:val="24"/>
                <w:lang w:eastAsia="zh-CN" w:bidi="ar-SA"/>
              </w:rPr>
            </w:pPr>
          </w:p>
        </w:tc>
        <w:tc>
          <w:tcPr>
            <w:tcW w:w="889" w:type="dxa"/>
            <w:vMerge w:val="continue"/>
            <w:shd w:val="clear" w:color="auto" w:fill="auto"/>
            <w:noWrap w:val="0"/>
            <w:vAlign w:val="center"/>
          </w:tcPr>
          <w:p>
            <w:pPr>
              <w:widowControl/>
              <w:spacing w:line="360" w:lineRule="exact"/>
              <w:ind w:firstLine="0" w:firstLineChars="0"/>
              <w:jc w:val="left"/>
              <w:textAlignment w:val="center"/>
              <w:rPr>
                <w:rFonts w:eastAsia="宋体"/>
                <w:sz w:val="24"/>
                <w:lang w:eastAsia="zh-CN" w:bidi="ar"/>
              </w:rPr>
            </w:pPr>
          </w:p>
        </w:tc>
        <w:tc>
          <w:tcPr>
            <w:tcW w:w="893" w:type="dxa"/>
            <w:shd w:val="clear" w:color="000000" w:fill="FFFFFF"/>
            <w:noWrap w:val="0"/>
            <w:vAlign w:val="center"/>
          </w:tcPr>
          <w:p>
            <w:pPr>
              <w:widowControl/>
              <w:spacing w:line="360" w:lineRule="exact"/>
              <w:ind w:firstLine="0" w:firstLineChars="0"/>
              <w:jc w:val="center"/>
              <w:textAlignment w:val="center"/>
              <w:rPr>
                <w:rFonts w:hint="default" w:eastAsia="宋体"/>
                <w:sz w:val="24"/>
                <w:lang w:val="en-US" w:eastAsia="zh-CN" w:bidi="ar"/>
              </w:rPr>
            </w:pPr>
            <w:r>
              <w:rPr>
                <w:rFonts w:hint="eastAsia" w:eastAsia="宋体"/>
                <w:sz w:val="24"/>
                <w:lang w:val="en-US" w:eastAsia="zh-CN" w:bidi="ar"/>
              </w:rPr>
              <w:t>D32倡导可持续消费理念</w:t>
            </w:r>
          </w:p>
        </w:tc>
        <w:tc>
          <w:tcPr>
            <w:tcW w:w="741" w:type="dxa"/>
            <w:shd w:val="clear" w:color="000000" w:fill="FFFFFF"/>
            <w:noWrap w:val="0"/>
            <w:vAlign w:val="center"/>
          </w:tcPr>
          <w:p>
            <w:pPr>
              <w:widowControl/>
              <w:spacing w:line="360" w:lineRule="exact"/>
              <w:ind w:firstLine="0" w:firstLineChars="0"/>
              <w:jc w:val="center"/>
              <w:textAlignment w:val="center"/>
              <w:rPr>
                <w:rFonts w:hint="default" w:eastAsia="宋体"/>
                <w:sz w:val="24"/>
                <w:lang w:val="en-US" w:eastAsia="zh-CN" w:bidi="ar"/>
              </w:rPr>
            </w:pPr>
            <w:r>
              <w:rPr>
                <w:rFonts w:hint="eastAsia" w:eastAsia="宋体"/>
                <w:sz w:val="24"/>
                <w:lang w:val="en-US" w:eastAsia="zh-CN" w:bidi="ar"/>
              </w:rPr>
              <w:t>4</w:t>
            </w:r>
          </w:p>
        </w:tc>
        <w:tc>
          <w:tcPr>
            <w:tcW w:w="2746" w:type="dxa"/>
            <w:shd w:val="clear" w:color="000000" w:fill="FFFFFF"/>
            <w:noWrap w:val="0"/>
            <w:vAlign w:val="center"/>
          </w:tcPr>
          <w:p>
            <w:pPr>
              <w:widowControl/>
              <w:spacing w:line="360" w:lineRule="exact"/>
              <w:ind w:firstLine="0" w:firstLineChars="0"/>
              <w:textAlignment w:val="center"/>
              <w:rPr>
                <w:rFonts w:eastAsia="宋体"/>
                <w:sz w:val="24"/>
                <w:lang w:eastAsia="zh-CN" w:bidi="ar"/>
              </w:rPr>
            </w:pPr>
            <w:r>
              <w:rPr>
                <w:rFonts w:eastAsia="宋体"/>
                <w:sz w:val="24"/>
                <w:lang w:eastAsia="zh-CN" w:bidi="ar"/>
              </w:rPr>
              <w:t>评价要点：</w:t>
            </w:r>
          </w:p>
          <w:p>
            <w:pPr>
              <w:widowControl/>
              <w:spacing w:line="360" w:lineRule="exact"/>
              <w:ind w:firstLine="0" w:firstLineChars="0"/>
              <w:textAlignment w:val="center"/>
              <w:rPr>
                <w:rFonts w:eastAsia="宋体"/>
                <w:sz w:val="24"/>
                <w:lang w:eastAsia="zh-CN" w:bidi="ar"/>
              </w:rPr>
            </w:pPr>
            <w:r>
              <w:rPr>
                <w:rFonts w:hint="eastAsia" w:eastAsia="宋体"/>
                <w:sz w:val="24"/>
                <w:lang w:val="en-US" w:eastAsia="zh-CN" w:bidi="ar-SA"/>
              </w:rPr>
              <w:t>通过大赛推广，是否强调美食制作工艺和环保理念，引导消费者选择绿色、健康食品。</w:t>
            </w:r>
          </w:p>
        </w:tc>
        <w:tc>
          <w:tcPr>
            <w:tcW w:w="2420" w:type="dxa"/>
            <w:shd w:val="clear" w:color="000000" w:fill="FFFFFF"/>
            <w:noWrap w:val="0"/>
            <w:vAlign w:val="center"/>
          </w:tcPr>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t>综合评判，</w:t>
            </w:r>
            <w:r>
              <w:rPr>
                <w:rFonts w:hint="eastAsia" w:eastAsia="宋体"/>
                <w:sz w:val="24"/>
                <w:lang w:val="en-US" w:eastAsia="zh-CN" w:bidi="ar"/>
              </w:rPr>
              <w:t>倡导可持续消费理念</w:t>
            </w:r>
            <w:r>
              <w:rPr>
                <w:rFonts w:eastAsia="宋体"/>
                <w:color w:val="auto"/>
                <w:sz w:val="24"/>
                <w:lang w:eastAsia="zh-CN" w:bidi="ar-SA"/>
              </w:rPr>
              <w:t>评价结论：</w:t>
            </w:r>
          </w:p>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fldChar w:fldCharType="begin"/>
            </w:r>
            <w:r>
              <w:rPr>
                <w:rFonts w:eastAsia="宋体"/>
                <w:color w:val="auto"/>
                <w:sz w:val="24"/>
                <w:lang w:eastAsia="zh-CN" w:bidi="ar-SA"/>
              </w:rPr>
              <w:instrText xml:space="preserve"> = 1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①</w:t>
            </w:r>
            <w:r>
              <w:rPr>
                <w:rFonts w:eastAsia="宋体"/>
                <w:color w:val="auto"/>
                <w:sz w:val="24"/>
                <w:lang w:eastAsia="zh-CN" w:bidi="ar-SA"/>
              </w:rPr>
              <w:fldChar w:fldCharType="end"/>
            </w:r>
            <w:r>
              <w:rPr>
                <w:rFonts w:eastAsia="宋体"/>
                <w:color w:val="auto"/>
                <w:sz w:val="24"/>
                <w:lang w:eastAsia="zh-CN" w:bidi="ar-SA"/>
              </w:rPr>
              <w:t>优得</w:t>
            </w:r>
            <w:r>
              <w:rPr>
                <w:rFonts w:hint="eastAsia" w:eastAsia="宋体"/>
                <w:color w:val="auto"/>
                <w:sz w:val="24"/>
                <w:lang w:val="en-US" w:eastAsia="zh-CN" w:bidi="ar-SA"/>
              </w:rPr>
              <w:t>4</w:t>
            </w:r>
            <w:r>
              <w:rPr>
                <w:rFonts w:eastAsia="宋体"/>
                <w:color w:val="auto"/>
                <w:sz w:val="24"/>
                <w:lang w:eastAsia="zh-CN" w:bidi="ar-SA"/>
              </w:rPr>
              <w:t>分</w:t>
            </w:r>
          </w:p>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fldChar w:fldCharType="begin"/>
            </w:r>
            <w:r>
              <w:rPr>
                <w:rFonts w:eastAsia="宋体"/>
                <w:color w:val="auto"/>
                <w:sz w:val="24"/>
                <w:lang w:eastAsia="zh-CN" w:bidi="ar-SA"/>
              </w:rPr>
              <w:instrText xml:space="preserve"> = 2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②</w:t>
            </w:r>
            <w:r>
              <w:rPr>
                <w:rFonts w:eastAsia="宋体"/>
                <w:color w:val="auto"/>
                <w:sz w:val="24"/>
                <w:lang w:eastAsia="zh-CN" w:bidi="ar-SA"/>
              </w:rPr>
              <w:fldChar w:fldCharType="end"/>
            </w:r>
            <w:r>
              <w:rPr>
                <w:rFonts w:eastAsia="宋体"/>
                <w:color w:val="auto"/>
                <w:sz w:val="24"/>
                <w:lang w:eastAsia="zh-CN" w:bidi="ar-SA"/>
              </w:rPr>
              <w:t>良得</w:t>
            </w:r>
            <w:r>
              <w:rPr>
                <w:rFonts w:hint="eastAsia" w:eastAsia="宋体"/>
                <w:color w:val="auto"/>
                <w:sz w:val="24"/>
                <w:lang w:val="en-US" w:eastAsia="zh-CN" w:bidi="ar-SA"/>
              </w:rPr>
              <w:t>3</w:t>
            </w:r>
            <w:r>
              <w:rPr>
                <w:rFonts w:eastAsia="宋体"/>
                <w:color w:val="auto"/>
                <w:sz w:val="24"/>
                <w:lang w:eastAsia="zh-CN" w:bidi="ar-SA"/>
              </w:rPr>
              <w:t>分</w:t>
            </w:r>
          </w:p>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fldChar w:fldCharType="begin"/>
            </w:r>
            <w:r>
              <w:rPr>
                <w:rFonts w:eastAsia="宋体"/>
                <w:color w:val="auto"/>
                <w:sz w:val="24"/>
                <w:lang w:eastAsia="zh-CN" w:bidi="ar-SA"/>
              </w:rPr>
              <w:instrText xml:space="preserve"> = 3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③</w:t>
            </w:r>
            <w:r>
              <w:rPr>
                <w:rFonts w:eastAsia="宋体"/>
                <w:color w:val="auto"/>
                <w:sz w:val="24"/>
                <w:lang w:eastAsia="zh-CN" w:bidi="ar-SA"/>
              </w:rPr>
              <w:fldChar w:fldCharType="end"/>
            </w:r>
            <w:r>
              <w:rPr>
                <w:rFonts w:eastAsia="宋体"/>
                <w:color w:val="auto"/>
                <w:sz w:val="24"/>
                <w:lang w:eastAsia="zh-CN" w:bidi="ar-SA"/>
              </w:rPr>
              <w:t>中得</w:t>
            </w:r>
            <w:r>
              <w:rPr>
                <w:rFonts w:hint="eastAsia" w:eastAsia="宋体"/>
                <w:color w:val="auto"/>
                <w:sz w:val="24"/>
                <w:lang w:val="en-US" w:eastAsia="zh-CN" w:bidi="ar-SA"/>
              </w:rPr>
              <w:t>2</w:t>
            </w:r>
            <w:r>
              <w:rPr>
                <w:rFonts w:eastAsia="宋体"/>
                <w:color w:val="auto"/>
                <w:sz w:val="24"/>
                <w:lang w:eastAsia="zh-CN" w:bidi="ar-SA"/>
              </w:rPr>
              <w:t>分</w:t>
            </w:r>
          </w:p>
          <w:p>
            <w:pPr>
              <w:widowControl/>
              <w:spacing w:line="360" w:lineRule="exact"/>
              <w:ind w:firstLine="0" w:firstLineChars="0"/>
              <w:textAlignment w:val="center"/>
              <w:rPr>
                <w:rFonts w:eastAsia="宋体"/>
                <w:color w:val="auto"/>
                <w:sz w:val="24"/>
                <w:lang w:eastAsia="zh-CN" w:bidi="ar-SA"/>
              </w:rPr>
            </w:pPr>
            <w:r>
              <w:rPr>
                <w:rFonts w:eastAsia="宋体"/>
                <w:color w:val="auto"/>
                <w:sz w:val="24"/>
                <w:lang w:eastAsia="zh-CN" w:bidi="ar-SA"/>
              </w:rPr>
              <w:fldChar w:fldCharType="begin"/>
            </w:r>
            <w:r>
              <w:rPr>
                <w:rFonts w:eastAsia="宋体"/>
                <w:color w:val="auto"/>
                <w:sz w:val="24"/>
                <w:lang w:eastAsia="zh-CN" w:bidi="ar-SA"/>
              </w:rPr>
              <w:instrText xml:space="preserve"> = 4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④</w:t>
            </w:r>
            <w:r>
              <w:rPr>
                <w:rFonts w:eastAsia="宋体"/>
                <w:color w:val="auto"/>
                <w:sz w:val="24"/>
                <w:lang w:eastAsia="zh-CN" w:bidi="ar-SA"/>
              </w:rPr>
              <w:fldChar w:fldCharType="end"/>
            </w:r>
            <w:r>
              <w:rPr>
                <w:rFonts w:eastAsia="宋体"/>
                <w:color w:val="auto"/>
                <w:sz w:val="24"/>
                <w:lang w:eastAsia="zh-CN" w:bidi="ar-SA"/>
              </w:rPr>
              <w:t>差不得分</w:t>
            </w:r>
          </w:p>
        </w:tc>
        <w:tc>
          <w:tcPr>
            <w:tcW w:w="4234" w:type="dxa"/>
            <w:shd w:val="clear" w:color="auto" w:fill="auto"/>
            <w:noWrap w:val="0"/>
            <w:vAlign w:val="center"/>
          </w:tcPr>
          <w:p>
            <w:pPr>
              <w:widowControl/>
              <w:spacing w:line="360" w:lineRule="exact"/>
              <w:ind w:firstLine="0" w:firstLineChars="0"/>
              <w:jc w:val="left"/>
              <w:textAlignment w:val="center"/>
              <w:rPr>
                <w:rFonts w:hint="eastAsia" w:eastAsia="宋体"/>
                <w:sz w:val="24"/>
                <w:lang w:eastAsia="zh-CN" w:bidi="ar"/>
              </w:rPr>
            </w:pPr>
            <w:r>
              <w:rPr>
                <w:rFonts w:hint="eastAsia" w:eastAsia="宋体"/>
                <w:sz w:val="24"/>
                <w:lang w:eastAsia="zh-CN" w:bidi="ar"/>
              </w:rPr>
              <w:t>在大赛推广中，强调非遗美食的传统制作工艺和环保理念，引导消费者选择绿色、健康、可持续的食品。活动现场设置环保宣传展位，发放宣传资料超，推广可降解餐具使用，倡导节约粮食，培养消费者的环保意识和可持续消费习惯 。</w:t>
            </w:r>
            <w:r>
              <w:rPr>
                <w:rFonts w:eastAsia="宋体"/>
                <w:sz w:val="24"/>
                <w:lang w:eastAsia="zh-CN" w:bidi="ar"/>
              </w:rPr>
              <w:t>根据评分标准，该指标</w:t>
            </w:r>
            <w:r>
              <w:rPr>
                <w:rFonts w:hint="eastAsia" w:eastAsia="宋体"/>
                <w:sz w:val="24"/>
                <w:lang w:val="en-US" w:eastAsia="zh-CN" w:bidi="ar"/>
              </w:rPr>
              <w:t>评定为优，得4.00</w:t>
            </w:r>
            <w:r>
              <w:rPr>
                <w:rFonts w:eastAsia="宋体"/>
                <w:sz w:val="24"/>
                <w:lang w:eastAsia="zh-CN" w:bidi="ar"/>
              </w:rPr>
              <w:t>分。</w:t>
            </w:r>
          </w:p>
        </w:tc>
        <w:tc>
          <w:tcPr>
            <w:tcW w:w="816" w:type="dxa"/>
            <w:shd w:val="clear" w:color="000000" w:fill="FFFFFF"/>
            <w:noWrap w:val="0"/>
            <w:vAlign w:val="center"/>
          </w:tcPr>
          <w:p>
            <w:pPr>
              <w:widowControl/>
              <w:spacing w:line="360" w:lineRule="exact"/>
              <w:ind w:firstLine="0" w:firstLineChars="0"/>
              <w:jc w:val="center"/>
              <w:textAlignment w:val="center"/>
              <w:rPr>
                <w:rFonts w:hint="eastAsia" w:eastAsia="宋体"/>
                <w:color w:val="auto"/>
                <w:sz w:val="24"/>
                <w:lang w:val="en-US" w:eastAsia="zh-CN" w:bidi="ar-SA"/>
              </w:rPr>
            </w:pPr>
            <w:r>
              <w:rPr>
                <w:rFonts w:hint="eastAsia" w:eastAsia="宋体"/>
                <w:color w:val="auto"/>
                <w:sz w:val="24"/>
                <w:lang w:val="en-US" w:eastAsia="zh-CN" w:bidi="ar-SA"/>
              </w:rPr>
              <w:t>4</w:t>
            </w:r>
          </w:p>
        </w:tc>
        <w:tc>
          <w:tcPr>
            <w:tcW w:w="1104" w:type="dxa"/>
            <w:shd w:val="clear" w:color="000000" w:fill="FFFFFF"/>
            <w:noWrap w:val="0"/>
            <w:vAlign w:val="center"/>
          </w:tcPr>
          <w:p>
            <w:pPr>
              <w:widowControl/>
              <w:spacing w:line="360" w:lineRule="exact"/>
              <w:ind w:firstLine="0" w:firstLineChars="0"/>
              <w:jc w:val="center"/>
              <w:textAlignment w:val="center"/>
              <w:rPr>
                <w:rFonts w:hint="eastAsia" w:eastAsia="宋体"/>
                <w:sz w:val="24"/>
                <w:lang w:val="en-US" w:eastAsia="zh-CN" w:bidi="ar"/>
              </w:rPr>
            </w:pPr>
            <w:r>
              <w:rPr>
                <w:rFonts w:hint="eastAsia" w:eastAsia="宋体"/>
                <w:sz w:val="24"/>
                <w:lang w:val="en-US" w:eastAsia="zh-CN" w:bidi="ar"/>
              </w:rPr>
              <w:t>100</w:t>
            </w:r>
            <w:r>
              <w:rPr>
                <w:rFonts w:eastAsia="宋体"/>
                <w:sz w:val="24"/>
                <w:lang w:eastAsia="zh-CN" w:bidi="ar"/>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5" w:type="dxa"/>
            <w:vMerge w:val="continue"/>
            <w:shd w:val="clear" w:color="auto" w:fill="auto"/>
            <w:noWrap w:val="0"/>
            <w:vAlign w:val="center"/>
          </w:tcPr>
          <w:p>
            <w:pPr>
              <w:widowControl/>
              <w:spacing w:line="360" w:lineRule="exact"/>
              <w:ind w:firstLine="0" w:firstLineChars="0"/>
              <w:jc w:val="center"/>
              <w:rPr>
                <w:rFonts w:eastAsia="宋体"/>
                <w:sz w:val="24"/>
                <w:lang w:eastAsia="zh-CN" w:bidi="ar-SA"/>
              </w:rPr>
            </w:pPr>
          </w:p>
        </w:tc>
        <w:tc>
          <w:tcPr>
            <w:tcW w:w="889" w:type="dxa"/>
            <w:shd w:val="clear" w:color="auto" w:fill="auto"/>
            <w:noWrap w:val="0"/>
            <w:vAlign w:val="center"/>
          </w:tcPr>
          <w:p>
            <w:pPr>
              <w:widowControl/>
              <w:spacing w:line="360" w:lineRule="exact"/>
              <w:ind w:firstLine="0" w:firstLineChars="0"/>
              <w:jc w:val="center"/>
              <w:textAlignment w:val="center"/>
              <w:rPr>
                <w:rFonts w:hint="default" w:ascii="Times New Roman" w:hAnsi="Times New Roman" w:eastAsia="宋体" w:cs="Times New Roman"/>
                <w:color w:val="000000"/>
                <w:sz w:val="24"/>
                <w:szCs w:val="24"/>
                <w:lang w:val="en-US" w:eastAsia="zh-CN" w:bidi="ar"/>
              </w:rPr>
            </w:pPr>
            <w:r>
              <w:rPr>
                <w:rFonts w:hint="eastAsia" w:eastAsia="宋体"/>
                <w:sz w:val="24"/>
                <w:lang w:val="en-US" w:eastAsia="zh-CN" w:bidi="ar"/>
              </w:rPr>
              <w:t>D4满意度</w:t>
            </w:r>
            <w:r>
              <w:rPr>
                <w:rFonts w:eastAsia="宋体"/>
                <w:sz w:val="24"/>
                <w:lang w:eastAsia="zh-CN" w:bidi="ar"/>
              </w:rPr>
              <w:t>（</w:t>
            </w:r>
            <w:r>
              <w:rPr>
                <w:rFonts w:hint="eastAsia" w:eastAsia="宋体"/>
                <w:sz w:val="24"/>
                <w:lang w:val="en-US" w:eastAsia="zh-CN" w:bidi="ar"/>
              </w:rPr>
              <w:t>5</w:t>
            </w:r>
            <w:r>
              <w:rPr>
                <w:rFonts w:eastAsia="宋体"/>
                <w:sz w:val="24"/>
                <w:lang w:eastAsia="zh-CN" w:bidi="ar"/>
              </w:rPr>
              <w:t>分）</w:t>
            </w:r>
          </w:p>
        </w:tc>
        <w:tc>
          <w:tcPr>
            <w:tcW w:w="893" w:type="dxa"/>
            <w:shd w:val="clear" w:color="000000" w:fill="FFFFFF"/>
            <w:noWrap w:val="0"/>
            <w:vAlign w:val="center"/>
          </w:tcPr>
          <w:p>
            <w:pPr>
              <w:widowControl/>
              <w:spacing w:line="360" w:lineRule="exact"/>
              <w:ind w:firstLine="0" w:firstLineChars="0"/>
              <w:jc w:val="center"/>
              <w:textAlignment w:val="center"/>
              <w:rPr>
                <w:rFonts w:hint="default" w:ascii="Times New Roman" w:hAnsi="Times New Roman" w:eastAsia="宋体" w:cs="Times New Roman"/>
                <w:color w:val="000000"/>
                <w:sz w:val="24"/>
                <w:szCs w:val="24"/>
                <w:lang w:val="en-US" w:eastAsia="zh-CN" w:bidi="ar"/>
              </w:rPr>
            </w:pPr>
            <w:r>
              <w:rPr>
                <w:rFonts w:hint="eastAsia" w:eastAsia="宋体"/>
                <w:sz w:val="24"/>
                <w:lang w:val="en-US" w:eastAsia="zh-CN" w:bidi="ar"/>
              </w:rPr>
              <w:t>D41服务对象满意度</w:t>
            </w:r>
          </w:p>
        </w:tc>
        <w:tc>
          <w:tcPr>
            <w:tcW w:w="741" w:type="dxa"/>
            <w:shd w:val="clear" w:color="000000" w:fill="FFFFFF"/>
            <w:noWrap w:val="0"/>
            <w:vAlign w:val="center"/>
          </w:tcPr>
          <w:p>
            <w:pPr>
              <w:widowControl/>
              <w:spacing w:line="360" w:lineRule="exact"/>
              <w:ind w:firstLine="0" w:firstLineChars="0"/>
              <w:jc w:val="center"/>
              <w:textAlignment w:val="center"/>
              <w:rPr>
                <w:rFonts w:hint="default" w:ascii="Times New Roman" w:hAnsi="Times New Roman" w:eastAsia="宋体" w:cs="Times New Roman"/>
                <w:color w:val="000000"/>
                <w:sz w:val="24"/>
                <w:szCs w:val="24"/>
                <w:lang w:val="en-US" w:eastAsia="zh-CN" w:bidi="ar"/>
              </w:rPr>
            </w:pPr>
            <w:r>
              <w:rPr>
                <w:rFonts w:hint="eastAsia" w:eastAsia="宋体" w:cs="Times New Roman"/>
                <w:color w:val="000000"/>
                <w:sz w:val="24"/>
                <w:szCs w:val="24"/>
                <w:lang w:val="en-US" w:eastAsia="zh-CN" w:bidi="ar"/>
              </w:rPr>
              <w:t>5</w:t>
            </w:r>
          </w:p>
        </w:tc>
        <w:tc>
          <w:tcPr>
            <w:tcW w:w="2746" w:type="dxa"/>
            <w:shd w:val="clear" w:color="000000" w:fill="FFFFFF"/>
            <w:noWrap w:val="0"/>
            <w:vAlign w:val="center"/>
          </w:tcPr>
          <w:p>
            <w:pPr>
              <w:widowControl/>
              <w:spacing w:line="360" w:lineRule="exact"/>
              <w:ind w:firstLine="0" w:firstLineChars="0"/>
              <w:textAlignment w:val="center"/>
              <w:rPr>
                <w:rFonts w:hint="eastAsia" w:ascii="Times New Roman" w:hAnsi="Times New Roman" w:eastAsia="宋体" w:cs="Times New Roman"/>
                <w:color w:val="000000"/>
                <w:sz w:val="24"/>
                <w:szCs w:val="24"/>
                <w:lang w:val="en-US" w:eastAsia="zh-CN" w:bidi="ar"/>
              </w:rPr>
            </w:pPr>
            <w:r>
              <w:rPr>
                <w:rFonts w:eastAsia="宋体"/>
                <w:sz w:val="24"/>
                <w:highlight w:val="none"/>
                <w:lang w:eastAsia="zh-CN" w:bidi="ar"/>
              </w:rPr>
              <w:t>评价要点：</w:t>
            </w:r>
            <w:r>
              <w:rPr>
                <w:rFonts w:eastAsia="宋体"/>
                <w:sz w:val="24"/>
                <w:highlight w:val="none"/>
                <w:lang w:eastAsia="zh-CN" w:bidi="ar"/>
              </w:rPr>
              <w:br w:type="textWrapping"/>
            </w:r>
            <w:r>
              <w:rPr>
                <w:rFonts w:hint="eastAsia" w:eastAsia="宋体"/>
                <w:sz w:val="24"/>
                <w:highlight w:val="none"/>
                <w:lang w:val="en-US" w:eastAsia="zh-CN" w:bidi="ar"/>
              </w:rPr>
              <w:t>美食大赛参与人</w:t>
            </w:r>
            <w:r>
              <w:rPr>
                <w:rFonts w:hint="eastAsia" w:eastAsia="宋体"/>
                <w:sz w:val="24"/>
                <w:highlight w:val="none"/>
                <w:lang w:eastAsia="zh-CN" w:bidi="ar"/>
              </w:rPr>
              <w:t>满意程度</w:t>
            </w:r>
            <w:r>
              <w:rPr>
                <w:rFonts w:hint="eastAsia" w:eastAsia="宋体"/>
                <w:sz w:val="24"/>
                <w:highlight w:val="none"/>
                <w:lang w:val="en-US" w:eastAsia="zh-CN" w:bidi="ar"/>
              </w:rPr>
              <w:t>调查情况</w:t>
            </w:r>
            <w:r>
              <w:rPr>
                <w:rFonts w:eastAsia="宋体"/>
                <w:sz w:val="24"/>
                <w:highlight w:val="none"/>
                <w:lang w:eastAsia="zh-CN" w:bidi="ar"/>
              </w:rPr>
              <w:t>。</w:t>
            </w:r>
          </w:p>
        </w:tc>
        <w:tc>
          <w:tcPr>
            <w:tcW w:w="2420" w:type="dxa"/>
            <w:shd w:val="clear" w:color="000000" w:fill="FFFFFF"/>
            <w:noWrap w:val="0"/>
            <w:vAlign w:val="center"/>
          </w:tcPr>
          <w:p>
            <w:pPr>
              <w:widowControl/>
              <w:spacing w:line="360" w:lineRule="exact"/>
              <w:ind w:firstLine="0" w:firstLineChars="0"/>
              <w:textAlignment w:val="center"/>
              <w:rPr>
                <w:rFonts w:ascii="Times New Roman" w:hAnsi="Times New Roman" w:eastAsia="宋体" w:cs="Times New Roman"/>
                <w:color w:val="auto"/>
                <w:sz w:val="24"/>
                <w:szCs w:val="24"/>
                <w:lang w:val="en-US" w:eastAsia="zh-CN" w:bidi="ar-SA"/>
              </w:rPr>
            </w:pPr>
            <w:r>
              <w:rPr>
                <w:rFonts w:hint="eastAsia" w:eastAsia="宋体"/>
                <w:sz w:val="24"/>
                <w:highlight w:val="none"/>
                <w:lang w:eastAsia="zh-CN" w:bidi="ar"/>
              </w:rPr>
              <w:t>未提供满意度问卷不得分；满意度问卷设置缺少一个主体成员扣0.5分，扣完为止</w:t>
            </w:r>
            <w:r>
              <w:rPr>
                <w:rFonts w:eastAsia="宋体"/>
                <w:sz w:val="24"/>
                <w:highlight w:val="none"/>
                <w:lang w:eastAsia="zh-CN" w:bidi="ar"/>
              </w:rPr>
              <w:t>。</w:t>
            </w:r>
            <w:r>
              <w:rPr>
                <w:rFonts w:hint="eastAsia" w:eastAsia="宋体"/>
                <w:sz w:val="24"/>
                <w:highlight w:val="none"/>
                <w:lang w:val="en-US" w:eastAsia="zh-CN" w:bidi="ar"/>
              </w:rPr>
              <w:t>满意度</w:t>
            </w:r>
            <w:r>
              <w:rPr>
                <w:rFonts w:hint="eastAsia" w:ascii="宋体" w:hAnsi="宋体" w:eastAsia="宋体"/>
                <w:sz w:val="24"/>
                <w:highlight w:val="none"/>
                <w:lang w:eastAsia="zh-CN" w:bidi="ar"/>
              </w:rPr>
              <w:t>≥</w:t>
            </w:r>
            <w:r>
              <w:rPr>
                <w:rFonts w:hint="eastAsia" w:ascii="宋体" w:hAnsi="宋体" w:eastAsia="宋体"/>
                <w:sz w:val="24"/>
                <w:highlight w:val="none"/>
                <w:lang w:val="en-US" w:eastAsia="zh-CN" w:bidi="ar"/>
              </w:rPr>
              <w:t>95%不扣分，满意度每低5%，扣0.5分，</w:t>
            </w:r>
          </w:p>
        </w:tc>
        <w:tc>
          <w:tcPr>
            <w:tcW w:w="4234" w:type="dxa"/>
            <w:shd w:val="clear" w:color="000000" w:fill="FFFFFF"/>
            <w:noWrap w:val="0"/>
            <w:vAlign w:val="center"/>
          </w:tcPr>
          <w:p>
            <w:pPr>
              <w:widowControl/>
              <w:spacing w:line="360" w:lineRule="exact"/>
              <w:ind w:firstLine="0" w:firstLineChars="0"/>
              <w:jc w:val="left"/>
              <w:textAlignment w:val="center"/>
              <w:rPr>
                <w:rFonts w:hint="default" w:ascii="Times New Roman" w:hAnsi="Times New Roman" w:eastAsia="宋体" w:cs="Times New Roman"/>
                <w:color w:val="000000"/>
                <w:sz w:val="24"/>
                <w:szCs w:val="24"/>
                <w:lang w:val="en-US" w:eastAsia="zh-CN" w:bidi="ar"/>
              </w:rPr>
            </w:pPr>
            <w:r>
              <w:rPr>
                <w:rFonts w:eastAsia="宋体"/>
                <w:sz w:val="24"/>
                <w:highlight w:val="none"/>
                <w:lang w:eastAsia="zh-CN" w:bidi="ar"/>
              </w:rPr>
              <w:t>本次绩效评价</w:t>
            </w:r>
            <w:r>
              <w:rPr>
                <w:rFonts w:hint="eastAsia" w:eastAsia="宋体"/>
                <w:sz w:val="24"/>
                <w:highlight w:val="none"/>
                <w:lang w:val="en-US" w:eastAsia="zh-CN" w:bidi="ar"/>
              </w:rPr>
              <w:t>我们共取得满意度调查问卷15份，满意度达100%</w:t>
            </w:r>
            <w:r>
              <w:rPr>
                <w:rFonts w:hint="eastAsia" w:eastAsia="宋体"/>
                <w:sz w:val="24"/>
                <w:highlight w:val="none"/>
                <w:lang w:eastAsia="zh-CN" w:bidi="ar"/>
              </w:rPr>
              <w:t>。根据评分标准，该指标</w:t>
            </w:r>
            <w:r>
              <w:rPr>
                <w:rFonts w:hint="eastAsia" w:eastAsia="宋体"/>
                <w:sz w:val="24"/>
                <w:highlight w:val="none"/>
                <w:lang w:val="en-US" w:eastAsia="zh-CN" w:bidi="ar"/>
              </w:rPr>
              <w:t>得满分5.00分。</w:t>
            </w:r>
          </w:p>
        </w:tc>
        <w:tc>
          <w:tcPr>
            <w:tcW w:w="816" w:type="dxa"/>
            <w:shd w:val="clear" w:color="000000" w:fill="FFFFFF"/>
            <w:noWrap w:val="0"/>
            <w:vAlign w:val="center"/>
          </w:tcPr>
          <w:p>
            <w:pPr>
              <w:widowControl/>
              <w:spacing w:line="360" w:lineRule="exact"/>
              <w:ind w:firstLine="0" w:firstLineChars="0"/>
              <w:jc w:val="center"/>
              <w:textAlignment w:val="center"/>
              <w:rPr>
                <w:rFonts w:hint="default" w:ascii="Times New Roman" w:hAnsi="Times New Roman" w:eastAsia="宋体" w:cs="Times New Roman"/>
                <w:color w:val="000000"/>
                <w:sz w:val="24"/>
                <w:szCs w:val="24"/>
                <w:lang w:val="en-US" w:eastAsia="zh-CN" w:bidi="ar"/>
              </w:rPr>
            </w:pPr>
            <w:r>
              <w:rPr>
                <w:rFonts w:hint="eastAsia" w:eastAsia="宋体" w:cs="Times New Roman"/>
                <w:color w:val="000000"/>
                <w:sz w:val="24"/>
                <w:szCs w:val="24"/>
                <w:lang w:val="en-US" w:eastAsia="zh-CN" w:bidi="ar"/>
              </w:rPr>
              <w:t>5</w:t>
            </w:r>
          </w:p>
        </w:tc>
        <w:tc>
          <w:tcPr>
            <w:tcW w:w="1104" w:type="dxa"/>
            <w:shd w:val="clear" w:color="000000" w:fill="FFFFFF"/>
            <w:noWrap w:val="0"/>
            <w:vAlign w:val="center"/>
          </w:tcPr>
          <w:p>
            <w:pPr>
              <w:widowControl/>
              <w:spacing w:line="360" w:lineRule="exact"/>
              <w:ind w:firstLine="0" w:firstLineChars="0"/>
              <w:jc w:val="center"/>
              <w:textAlignment w:val="center"/>
              <w:rPr>
                <w:rFonts w:hint="eastAsia" w:ascii="Times New Roman" w:hAnsi="Times New Roman" w:eastAsia="宋体" w:cs="Times New Roman"/>
                <w:color w:val="000000"/>
                <w:sz w:val="24"/>
                <w:szCs w:val="24"/>
                <w:lang w:val="en-US" w:eastAsia="zh-CN" w:bidi="ar"/>
              </w:rPr>
            </w:pPr>
            <w:r>
              <w:rPr>
                <w:rFonts w:hint="eastAsia" w:eastAsia="宋体"/>
                <w:sz w:val="24"/>
                <w:lang w:val="en-US" w:eastAsia="zh-CN" w:bidi="ar"/>
              </w:rPr>
              <w:t>100</w:t>
            </w:r>
            <w:r>
              <w:rPr>
                <w:rFonts w:eastAsia="宋体"/>
                <w:sz w:val="24"/>
                <w:lang w:eastAsia="zh-CN" w:bidi="ar"/>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87" w:type="dxa"/>
            <w:gridSpan w:val="3"/>
            <w:noWrap w:val="0"/>
            <w:vAlign w:val="center"/>
          </w:tcPr>
          <w:p>
            <w:pPr>
              <w:widowControl/>
              <w:spacing w:line="360" w:lineRule="exact"/>
              <w:ind w:firstLine="0" w:firstLineChars="0"/>
              <w:jc w:val="center"/>
              <w:textAlignment w:val="center"/>
              <w:rPr>
                <w:rFonts w:eastAsia="宋体"/>
                <w:b/>
                <w:bCs/>
                <w:color w:val="auto"/>
                <w:sz w:val="24"/>
                <w:lang w:eastAsia="zh-CN" w:bidi="ar-SA"/>
              </w:rPr>
            </w:pPr>
            <w:r>
              <w:rPr>
                <w:rFonts w:eastAsia="宋体"/>
                <w:b/>
                <w:bCs/>
                <w:sz w:val="24"/>
                <w:lang w:eastAsia="zh-CN" w:bidi="ar"/>
              </w:rPr>
              <w:t>合  计</w:t>
            </w:r>
          </w:p>
        </w:tc>
        <w:tc>
          <w:tcPr>
            <w:tcW w:w="741" w:type="dxa"/>
            <w:noWrap w:val="0"/>
            <w:vAlign w:val="center"/>
          </w:tcPr>
          <w:p>
            <w:pPr>
              <w:widowControl/>
              <w:spacing w:line="360" w:lineRule="exact"/>
              <w:ind w:firstLine="0" w:firstLineChars="0"/>
              <w:rPr>
                <w:rFonts w:hint="default" w:ascii="Times New Roman" w:hAnsi="Times New Roman" w:eastAsia="宋体" w:cs="Times New Roman"/>
                <w:b/>
                <w:bCs/>
                <w:color w:val="auto"/>
                <w:sz w:val="24"/>
                <w:szCs w:val="24"/>
                <w:lang w:val="en-US" w:eastAsia="zh-CN" w:bidi="ar-SA"/>
              </w:rPr>
            </w:pPr>
            <w:r>
              <w:rPr>
                <w:rFonts w:hint="eastAsia" w:eastAsia="宋体" w:cs="Times New Roman"/>
                <w:b/>
                <w:bCs/>
                <w:color w:val="auto"/>
                <w:sz w:val="24"/>
                <w:szCs w:val="24"/>
                <w:lang w:val="en-US" w:eastAsia="zh-CN" w:bidi="ar-SA"/>
              </w:rPr>
              <w:t>100</w:t>
            </w:r>
          </w:p>
        </w:tc>
        <w:tc>
          <w:tcPr>
            <w:tcW w:w="2746" w:type="dxa"/>
            <w:noWrap w:val="0"/>
            <w:vAlign w:val="center"/>
          </w:tcPr>
          <w:p>
            <w:pPr>
              <w:widowControl/>
              <w:spacing w:line="360" w:lineRule="exact"/>
              <w:ind w:firstLine="0" w:firstLineChars="0"/>
              <w:rPr>
                <w:rFonts w:eastAsia="宋体"/>
                <w:b/>
                <w:bCs/>
                <w:color w:val="auto"/>
                <w:sz w:val="24"/>
                <w:lang w:eastAsia="zh-CN" w:bidi="ar-SA"/>
              </w:rPr>
            </w:pPr>
          </w:p>
        </w:tc>
        <w:tc>
          <w:tcPr>
            <w:tcW w:w="2420" w:type="dxa"/>
            <w:noWrap w:val="0"/>
            <w:vAlign w:val="center"/>
          </w:tcPr>
          <w:p>
            <w:pPr>
              <w:widowControl/>
              <w:spacing w:line="360" w:lineRule="exact"/>
              <w:ind w:firstLine="0" w:firstLineChars="0"/>
              <w:rPr>
                <w:rFonts w:eastAsia="宋体"/>
                <w:b/>
                <w:bCs/>
                <w:color w:val="auto"/>
                <w:sz w:val="24"/>
                <w:lang w:eastAsia="zh-CN" w:bidi="ar-SA"/>
              </w:rPr>
            </w:pPr>
          </w:p>
        </w:tc>
        <w:tc>
          <w:tcPr>
            <w:tcW w:w="4234" w:type="dxa"/>
            <w:noWrap w:val="0"/>
            <w:vAlign w:val="center"/>
          </w:tcPr>
          <w:p>
            <w:pPr>
              <w:widowControl/>
              <w:spacing w:line="360" w:lineRule="exact"/>
              <w:ind w:firstLine="0" w:firstLineChars="0"/>
              <w:jc w:val="left"/>
              <w:rPr>
                <w:rFonts w:eastAsia="宋体"/>
                <w:b/>
                <w:bCs/>
                <w:color w:val="auto"/>
                <w:sz w:val="24"/>
                <w:lang w:eastAsia="zh-CN" w:bidi="ar-SA"/>
              </w:rPr>
            </w:pPr>
          </w:p>
        </w:tc>
        <w:tc>
          <w:tcPr>
            <w:tcW w:w="816" w:type="dxa"/>
            <w:noWrap w:val="0"/>
            <w:vAlign w:val="center"/>
          </w:tcPr>
          <w:p>
            <w:pPr>
              <w:widowControl/>
              <w:spacing w:line="360" w:lineRule="exact"/>
              <w:ind w:firstLine="0" w:firstLineChars="0"/>
              <w:jc w:val="both"/>
              <w:textAlignment w:val="center"/>
              <w:rPr>
                <w:rFonts w:eastAsia="宋体"/>
                <w:b/>
                <w:bCs/>
                <w:color w:val="auto"/>
                <w:sz w:val="24"/>
                <w:lang w:eastAsia="zh-CN" w:bidi="ar-SA"/>
              </w:rPr>
            </w:pPr>
            <w:r>
              <w:rPr>
                <w:rFonts w:hint="eastAsia" w:eastAsia="宋体" w:cs="Times New Roman"/>
                <w:color w:val="000000"/>
                <w:sz w:val="24"/>
                <w:szCs w:val="24"/>
                <w:lang w:val="en-US" w:eastAsia="zh-CN" w:bidi="ar"/>
              </w:rPr>
              <w:fldChar w:fldCharType="begin"/>
            </w:r>
            <w:r>
              <w:rPr>
                <w:rFonts w:hint="eastAsia" w:eastAsia="宋体" w:cs="Times New Roman"/>
                <w:color w:val="000000"/>
                <w:sz w:val="24"/>
                <w:szCs w:val="24"/>
                <w:lang w:val="en-US" w:eastAsia="zh-CN" w:bidi="ar"/>
              </w:rPr>
              <w:instrText xml:space="preserve"> = sum(H2:H25) \* MERGEFORMAT </w:instrText>
            </w:r>
            <w:r>
              <w:rPr>
                <w:rFonts w:hint="eastAsia" w:eastAsia="宋体" w:cs="Times New Roman"/>
                <w:color w:val="000000"/>
                <w:sz w:val="24"/>
                <w:szCs w:val="24"/>
                <w:lang w:val="en-US" w:eastAsia="zh-CN" w:bidi="ar"/>
              </w:rPr>
              <w:fldChar w:fldCharType="separate"/>
            </w:r>
            <w:r>
              <w:rPr>
                <w:rFonts w:hint="eastAsia" w:eastAsia="宋体" w:cs="Times New Roman"/>
                <w:color w:val="000000"/>
                <w:sz w:val="24"/>
                <w:szCs w:val="24"/>
                <w:lang w:val="en-US" w:eastAsia="zh-CN" w:bidi="ar"/>
              </w:rPr>
              <w:t>94.02</w:t>
            </w:r>
            <w:r>
              <w:rPr>
                <w:rFonts w:hint="eastAsia" w:eastAsia="宋体" w:cs="Times New Roman"/>
                <w:color w:val="000000"/>
                <w:sz w:val="24"/>
                <w:szCs w:val="24"/>
                <w:lang w:val="en-US" w:eastAsia="zh-CN" w:bidi="ar"/>
              </w:rPr>
              <w:fldChar w:fldCharType="end"/>
            </w:r>
          </w:p>
        </w:tc>
        <w:tc>
          <w:tcPr>
            <w:tcW w:w="1104" w:type="dxa"/>
            <w:noWrap w:val="0"/>
            <w:vAlign w:val="center"/>
          </w:tcPr>
          <w:p>
            <w:pPr>
              <w:widowControl/>
              <w:spacing w:line="360" w:lineRule="exact"/>
              <w:ind w:firstLine="0" w:firstLineChars="0"/>
              <w:jc w:val="center"/>
              <w:textAlignment w:val="center"/>
              <w:rPr>
                <w:rFonts w:eastAsia="宋体"/>
                <w:b/>
                <w:bCs/>
                <w:color w:val="auto"/>
                <w:sz w:val="24"/>
                <w:lang w:eastAsia="zh-CN" w:bidi="ar-SA"/>
              </w:rPr>
            </w:pPr>
            <w:r>
              <w:rPr>
                <w:rFonts w:hint="eastAsia" w:eastAsia="宋体"/>
                <w:b/>
                <w:bCs/>
                <w:sz w:val="24"/>
                <w:lang w:val="en-US" w:eastAsia="zh-CN" w:bidi="ar"/>
              </w:rPr>
              <w:t>94.02</w:t>
            </w:r>
            <w:r>
              <w:rPr>
                <w:rFonts w:eastAsia="宋体"/>
                <w:b/>
                <w:bCs/>
                <w:sz w:val="24"/>
                <w:lang w:eastAsia="zh-CN" w:bidi="ar"/>
              </w:rPr>
              <w:t>%</w:t>
            </w:r>
          </w:p>
        </w:tc>
      </w:tr>
      <w:bookmarkEnd w:id="460"/>
    </w:tbl>
    <w:p>
      <w:pPr>
        <w:tabs>
          <w:tab w:val="left" w:pos="4318"/>
        </w:tabs>
        <w:ind w:firstLine="0" w:firstLineChars="0"/>
        <w:rPr>
          <w:lang w:eastAsia="zh-CN"/>
        </w:rPr>
        <w:sectPr>
          <w:pgSz w:w="16838" w:h="11906" w:orient="landscape"/>
          <w:pgMar w:top="1803" w:right="1440" w:bottom="1803" w:left="1440" w:header="850" w:footer="1191" w:gutter="0"/>
          <w:paperSrc/>
          <w:pgNumType w:fmt="numberInDash"/>
          <w:cols w:space="0" w:num="1"/>
          <w:rtlGutter w:val="0"/>
          <w:docGrid w:type="lines" w:linePitch="436" w:charSpace="0"/>
        </w:sectPr>
      </w:pPr>
    </w:p>
    <w:p>
      <w:pPr>
        <w:spacing w:before="65" w:line="226" w:lineRule="auto"/>
        <w:ind w:firstLine="0" w:firstLineChars="0"/>
        <w:rPr>
          <w:rFonts w:eastAsia="仿宋"/>
          <w:sz w:val="28"/>
          <w:szCs w:val="28"/>
          <w:lang w:eastAsia="zh-CN"/>
        </w:rPr>
      </w:pPr>
    </w:p>
    <w:sectPr>
      <w:headerReference r:id="rId15" w:type="default"/>
      <w:footerReference r:id="rId16" w:type="default"/>
      <w:pgSz w:w="16838" w:h="11906" w:orient="landscape"/>
      <w:pgMar w:top="1803" w:right="1440" w:bottom="1803" w:left="1440" w:header="850" w:footer="1191" w:gutter="0"/>
      <w:paperSrc/>
      <w:pgNumType w:fmt="numberInDash"/>
      <w:cols w:space="0" w:num="1"/>
      <w:rtlGutter w:val="0"/>
      <w:docGrid w:type="lines" w:linePitch="43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2817F20A-5F70-40CA-9A79-AF65AEE52500}"/>
  </w:font>
  <w:font w:name="黑体">
    <w:panose1 w:val="02010609060101010101"/>
    <w:charset w:val="86"/>
    <w:family w:val="auto"/>
    <w:pitch w:val="default"/>
    <w:sig w:usb0="800002BF" w:usb1="38CF7CFA" w:usb2="00000016" w:usb3="00000000" w:csb0="00040001" w:csb1="00000000"/>
    <w:embedRegular r:id="rId2" w:fontKey="{FE6B7F04-6BEE-4D76-9DF2-4184A4C9358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B164EC1F-452E-47DF-9589-BD56911972E8}"/>
  </w:font>
  <w:font w:name="华文楷体">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embedRegular r:id="rId4" w:fontKey="{760E254A-5D66-4658-BB7D-B1D86779450E}"/>
  </w:font>
  <w:font w:name="DejaVu Sans">
    <w:altName w:val="Courier New"/>
    <w:panose1 w:val="00000000000000000000"/>
    <w:charset w:val="00"/>
    <w:family w:val="roman"/>
    <w:pitch w:val="default"/>
    <w:sig w:usb0="00000000" w:usb1="00000000" w:usb2="00000008" w:usb3="00000000" w:csb0="000001FF" w:csb1="00000000"/>
  </w:font>
  <w:font w:name="方正小标宋">
    <w:altName w:val="宋体"/>
    <w:panose1 w:val="00000000000000000000"/>
    <w:charset w:val="86"/>
    <w:family w:val="roman"/>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font-weight : 400">
    <w:altName w:val="Courier New"/>
    <w:panose1 w:val="00000000000000000000"/>
    <w:charset w:val="00"/>
    <w:family w:val="auto"/>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swiss"/>
    <w:pitch w:val="default"/>
    <w:sig w:usb0="80000287" w:usb1="280F3C52" w:usb2="00000016" w:usb3="00000000" w:csb0="0004001F" w:csb1="00000000"/>
    <w:embedRegular r:id="rId5" w:fontKey="{C46EAFA1-4022-46D5-B547-35C2E6BB2861}"/>
  </w:font>
  <w:font w:name="仿宋">
    <w:panose1 w:val="02010609060101010101"/>
    <w:charset w:val="86"/>
    <w:family w:val="modern"/>
    <w:pitch w:val="default"/>
    <w:sig w:usb0="800002BF" w:usb1="38CF7CFA" w:usb2="00000016" w:usb3="00000000" w:csb0="00040001" w:csb1="00000000"/>
    <w:embedRegular r:id="rId6" w:fontKey="{8013FE9A-079E-42DD-8BC8-49890F03C990}"/>
  </w:font>
  <w:font w:name="方正小标宋简体">
    <w:panose1 w:val="02000000000000000000"/>
    <w:charset w:val="86"/>
    <w:family w:val="auto"/>
    <w:pitch w:val="default"/>
    <w:sig w:usb0="A00002BF" w:usb1="184F6CFA" w:usb2="00000012" w:usb3="00000000" w:csb0="00040001" w:csb1="00000000"/>
    <w:embedRegular r:id="rId7" w:fontKey="{CAB38A30-5B19-44C1-96FF-1148855C3DC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before="0" w:line="14" w:lineRule="auto"/>
      <w:ind w:left="0" w:firstLine="400"/>
      <w:rPr>
        <w:rFonts w:hint="eastAsia"/>
        <w:sz w:val="20"/>
      </w:rPr>
    </w:pPr>
    <w:r>
      <w:rPr>
        <w:sz w:val="20"/>
      </w:rPr>
      <mc:AlternateContent>
        <mc:Choice Requires="wps">
          <w:drawing>
            <wp:anchor distT="0" distB="0" distL="114300" distR="114300" simplePos="0" relativeHeight="251660288" behindDoc="0" locked="0" layoutInCell="1" allowOverlap="1">
              <wp:simplePos x="0" y="0"/>
              <wp:positionH relativeFrom="margin">
                <wp:posOffset>2424430</wp:posOffset>
              </wp:positionH>
              <wp:positionV relativeFrom="paragraph">
                <wp:posOffset>-338455</wp:posOffset>
              </wp:positionV>
              <wp:extent cx="1828800" cy="700405"/>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700405"/>
                      </a:xfrm>
                      <a:prstGeom prst="rect">
                        <a:avLst/>
                      </a:prstGeom>
                      <a:noFill/>
                      <a:ln w="6350">
                        <a:noFill/>
                      </a:ln>
                      <a:effectLst/>
                    </wps:spPr>
                    <wps:txbx>
                      <w:txbxContent>
                        <w:p>
                          <w:pPr>
                            <w:snapToGrid w:val="0"/>
                            <w:ind w:firstLine="360"/>
                            <w:rPr>
                              <w:sz w:val="18"/>
                            </w:rPr>
                          </w:pP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90.9pt;margin-top:-26.65pt;height:55.15pt;width:144pt;mso-position-horizontal-relative:margin;mso-wrap-style:none;z-index:251660288;mso-width-relative:page;mso-height-relative:page;" filled="f" stroked="f" coordsize="21600,21600" o:gfxdata="UEsDBAoAAAAAAIdO4kAAAAAAAAAAAAAAAAAEAAAAZHJzL1BLAwQUAAAACACHTuJAUvYjY9oAAAAK&#10;AQAADwAAAGRycy9kb3ducmV2LnhtbE2PzU7DMBCE70i8g7VI3Fo7hKQlZFMhJHrh1ACVuG1jN4nw&#10;TxS7TeDpMady3NnRzDflZjaandXoe2cRkqUApmzjZG9bhPe3l8UamA9kJWlnFcK38rCprq9KKqSb&#10;7E6d69CyGGJ9QQhdCEPBuW86Zcgv3aBs/B3daCjEc2y5HGmK4UbzOyFybqi3saGjQT13qvmqTwZh&#10;O//s71/Hz6Br2jXZh3lqj9sJ8fYmEY/AgprDxQx/+BEdqsh0cCcrPdMI6TqJ6AFhkaUpsOjI84eo&#10;HBCylQBelfz/hOoXUEsDBBQAAAAIAIdO4kCViJN8NQIAAGIEAAAOAAAAZHJzL2Uyb0RvYy54bWyt&#10;VMGO0zAQvSPxD5bvNGnLLlXVdFW2KkJasSsVxNl1nMaS7bFst0n5APgDTly48139DsZO0kULhz1w&#10;Scee8Zt5b2a6uGm1IkfhvART0PEop0QYDqU0+4J++rh5NaPEB2ZKpsCIgp6EpzfLly8WjZ2LCdSg&#10;SuEIghg/b2xB6xDsPMs8r4VmfgRWGHRW4DQLeHT7rHSsQXStskmeX2cNuNI64MJ7vF13TtojuucA&#10;QlVJLtbAD1qY0KE6oVhASr6W1tNlqraqBA/3VeVFIKqgyDSkLyZBexe/2XLB5nvHbC15XwJ7TglP&#10;OGkmDSa9QK1ZYOTg5F9QWnIHHqow4qCzjkhSBFmM8yfabGtmReKCUnt7Ed3/P1j+4fjgiCwLOqXE&#10;MI0NP3//dv7x6/zzK5lGeRrr5xi1tRgX2rfQ4tAM9x4vI+u2cjr+Ih+CfhT3dBFXtIHw+Gg2mc1y&#10;dHH0vcnz1/lVhMkeX1vnwzsBmkSjoA6blzRlxzsfutAhJCYzsJFKpQYqQ5qCXk+v8vTg4kFwZWKs&#10;SKPQw0RGXeXRCu2u7WnuoDwhSwfdmHjLNxJLuWM+PDCHc4HV4+aEe/xUCjAl9BYlNbgv/7qP8dgu&#10;9FLS4JwV1OBaUaLeG2wjAobBcIOxGwxz0LeAgzvGjbQ8mfjABTWYlQP9GddpFXOgixmOmQoaBvM2&#10;dLOO68jFapWCcPAsC3dma3mE7qRcHQJUMqkcRemUwO7EA45e6lO/JnG2/zynqMe/hu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UvYjY9oAAAAKAQAADwAAAAAAAAABACAAAAAiAAAAZHJzL2Rvd25y&#10;ZXYueG1sUEsBAhQAFAAAAAgAh07iQJWIk3w1AgAAYgQAAA4AAAAAAAAAAQAgAAAAKQEAAGRycy9l&#10;Mm9Eb2MueG1sUEsFBgAAAAAGAAYAWQEAANAFAAAAAA==&#10;">
              <v:fill on="f" focussize="0,0"/>
              <v:stroke on="f" weight="0.5pt"/>
              <v:imagedata o:title=""/>
              <o:lock v:ext="edit" aspectratio="f"/>
              <v:textbox inset="0mm,0mm,0mm,0mm">
                <w:txbxContent>
                  <w:p>
                    <w:pPr>
                      <w:snapToGrid w:val="0"/>
                      <w:ind w:firstLine="360"/>
                      <w:rPr>
                        <w:sz w:val="18"/>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before="0" w:line="14" w:lineRule="auto"/>
      <w:ind w:left="0" w:firstLine="400"/>
      <w:rPr>
        <w:rFonts w:hint="eastAsia"/>
        <w:sz w:val="20"/>
      </w:rPr>
    </w:pPr>
    <w:r>
      <w:rPr>
        <w:sz w:val="20"/>
      </w:rPr>
      <mc:AlternateContent>
        <mc:Choice Requires="wps">
          <w:drawing>
            <wp:anchor distT="0" distB="0" distL="114300" distR="114300" simplePos="0" relativeHeight="251659264" behindDoc="0" locked="0" layoutInCell="1" allowOverlap="1">
              <wp:simplePos x="0" y="0"/>
              <wp:positionH relativeFrom="margin">
                <wp:posOffset>4218940</wp:posOffset>
              </wp:positionH>
              <wp:positionV relativeFrom="paragraph">
                <wp:posOffset>-582930</wp:posOffset>
              </wp:positionV>
              <wp:extent cx="1828800" cy="58864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588645"/>
                      </a:xfrm>
                      <a:prstGeom prst="rect">
                        <a:avLst/>
                      </a:prstGeom>
                      <a:noFill/>
                      <a:ln w="6350">
                        <a:noFill/>
                      </a:ln>
                      <a:effectLst/>
                    </wps:spPr>
                    <wps:txbx>
                      <w:txbxContent>
                        <w:p>
                          <w:pPr>
                            <w:snapToGrid w:val="0"/>
                            <w:ind w:firstLine="360"/>
                            <w:rPr>
                              <w:sz w:val="18"/>
                            </w:rPr>
                          </w:pPr>
                          <w:r>
                            <w:rPr>
                              <w:sz w:val="18"/>
                            </w:rPr>
                            <w:fldChar w:fldCharType="begin"/>
                          </w:r>
                          <w:r>
                            <w:rPr>
                              <w:sz w:val="18"/>
                            </w:rPr>
                            <w:instrText xml:space="preserve"> PAGE  \* MERGEFORMAT </w:instrText>
                          </w:r>
                          <w:r>
                            <w:rPr>
                              <w:sz w:val="18"/>
                            </w:rPr>
                            <w:fldChar w:fldCharType="separate"/>
                          </w:r>
                          <w:r>
                            <w:rPr>
                              <w:sz w:val="18"/>
                            </w:rPr>
                            <w:t>- 38 -</w:t>
                          </w:r>
                          <w:r>
                            <w:rPr>
                              <w:sz w:val="18"/>
                            </w:rPr>
                            <w:fldChar w:fldCharType="end"/>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332.2pt;margin-top:-45.9pt;height:46.35pt;width:144pt;mso-position-horizontal-relative:margin;mso-wrap-style:none;z-index:251659264;mso-width-relative:page;mso-height-relative:page;" filled="f" stroked="f" coordsize="21600,21600" o:gfxdata="UEsDBAoAAAAAAIdO4kAAAAAAAAAAAAAAAAAEAAAAZHJzL1BLAwQUAAAACACHTuJA3cPcbdgAAAAI&#10;AQAADwAAAGRycy9kb3ducmV2LnhtbE2PzU7DMBCE70i8g7WVuLVOqjSiIU6FkOiFU8OPxG0bb5Oo&#10;sR3ZbhN4epYT3HZ3RrPflLvZDOJKPvTOKkhXCQiyjdO9bRW8vT4v70GEiFbj4Cwp+KIAu+r2psRC&#10;u8ke6FrHVnCIDQUq6GIcCylD05HBsHIjWdZOzhuMvPpWao8Th5tBrpMklwZ7yx86HOmpo+ZcX4yC&#10;/fz9kb34zzjUeGg27+axPe0npe4WafIAItIc/8zwi8/oUDHT0V2sDmJQkOdZxlYFy23KHdix3az5&#10;cuQBZFXK/wWqH1BLAwQUAAAACACHTuJAXliqUjUCAABiBAAADgAAAGRycy9lMm9Eb2MueG1srVTB&#10;jtMwEL0j8Q+W7zRpoVVVNV2VrYqQKnalBXF2HaexZHss221SPgD+gBMX7nxXv4Oxk3TRwmEPXNKx&#10;Z/xm3puZLm9archJOC/BFHQ8yikRhkMpzaGgnz5uX80p8YGZkikwoqBn4enN6uWLZWMXYgI1qFI4&#10;giDGLxpb0DoEu8gyz2uhmR+BFQadFTjNAh7dISsdaxBdq2yS57OsAVdaB1x4j7ebzkl7RPccQKgq&#10;ycUG+FELEzpUJxQLSMnX0nq6StVWleDhrqq8CEQVFJmG9MUkaO/jN1st2eLgmK0l70tgzynhCSfN&#10;pMGkV6gNC4wcnfwLSkvuwEMVRhx01hFJiiCLcf5Em4eaWZG4oNTeXkX3/w+WfzjdOyLLgk4oMUxj&#10;wy/fv11+/Lr8/EomUZ7G+gVGPViMC+1baHFohnuPl5F1Wzkdf5EPQT+Ke76KK9pAeHw0n8znObo4&#10;+qbz+ezNNMJkj6+t8+GdAE2iUVCHzUuastPOhy50CInJDGylUqmBypCmoLPX0zw9uHoQXJkYK9Io&#10;9DCRUVd5tEK7b3uaeyjPyNJBNybe8q3EUnbMh3vmcC6wetyccIefSgGmhN6ipAb35V/3MR7bhV5K&#10;GpyzghpcK0rUe4NtRMAwGG4w9oNhjvoWcHDHuJGWJxMfuKAGs3KgP+M6rWMOdDHDMVNBw2Dehm7W&#10;cR25WK9TEA6eZWFnHiyP0J2U62OASiaVoyidEtideMDRS33q1yTO9p/nFPX417D6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N3D3G3YAAAACAEAAA8AAAAAAAAAAQAgAAAAIgAAAGRycy9kb3ducmV2&#10;LnhtbFBLAQIUABQAAAAIAIdO4kBeWKpSNQIAAGIEAAAOAAAAAAAAAAEAIAAAACcBAABkcnMvZTJv&#10;RG9jLnhtbFBLBQYAAAAABgAGAFkBAADOBQAAAAA=&#10;">
              <v:fill on="f" focussize="0,0"/>
              <v:stroke on="f" weight="0.5pt"/>
              <v:imagedata o:title=""/>
              <o:lock v:ext="edit" aspectratio="f"/>
              <v:textbox inset="0mm,0mm,0mm,0mm">
                <w:txbxContent>
                  <w:p>
                    <w:pPr>
                      <w:snapToGrid w:val="0"/>
                      <w:ind w:firstLine="360"/>
                      <w:rPr>
                        <w:sz w:val="18"/>
                      </w:rPr>
                    </w:pPr>
                    <w:r>
                      <w:rPr>
                        <w:sz w:val="18"/>
                      </w:rPr>
                      <w:fldChar w:fldCharType="begin"/>
                    </w:r>
                    <w:r>
                      <w:rPr>
                        <w:sz w:val="18"/>
                      </w:rPr>
                      <w:instrText xml:space="preserve"> PAGE  \* MERGEFORMAT </w:instrText>
                    </w:r>
                    <w:r>
                      <w:rPr>
                        <w:sz w:val="18"/>
                      </w:rPr>
                      <w:fldChar w:fldCharType="separate"/>
                    </w:r>
                    <w:r>
                      <w:rPr>
                        <w:sz w:val="18"/>
                      </w:rPr>
                      <w:t>- 38 -</w:t>
                    </w:r>
                    <w:r>
                      <w:rPr>
                        <w:sz w:val="1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single" w:color="auto" w:sz="4" w:space="1"/>
      </w:pBdr>
      <w:ind w:firstLine="0" w:firstLineChars="0"/>
      <w:jc w:val="left"/>
      <w:rPr>
        <w:rFonts w:ascii="Times New Roman" w:hAnsi="Times New Roman"/>
        <w:lang w:eastAsia="zh-CN"/>
      </w:rPr>
    </w:pPr>
    <w:r>
      <w:rPr>
        <w:rFonts w:hint="eastAsia" w:ascii="Times New Roman" w:hAnsi="Times New Roman"/>
        <w:lang w:eastAsia="zh-CN"/>
      </w:rPr>
      <w:t>农业产业推广：第二届非遗特色美食大赛及推广项目</w:t>
    </w:r>
    <w:r>
      <w:rPr>
        <w:rFonts w:ascii="Times New Roman" w:hAnsi="Times New Roman"/>
        <w:lang w:eastAsia="zh-CN"/>
      </w:rPr>
      <w:t>绩效评价报告</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keepNext w:val="0"/>
      <w:keepLines w:val="0"/>
      <w:pageBreakBefore w:val="0"/>
      <w:widowControl w:val="0"/>
      <w:kinsoku/>
      <w:wordWrap/>
      <w:overflowPunct/>
      <w:topLinePunct w:val="0"/>
      <w:bidi w:val="0"/>
      <w:adjustRightInd/>
      <w:snapToGrid w:val="0"/>
      <w:spacing w:line="240" w:lineRule="exact"/>
      <w:ind w:firstLine="0" w:firstLineChars="0"/>
      <w:textAlignment w:val="auto"/>
      <w:rPr>
        <w:lang w:eastAsia="zh-C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0" w:firstLineChars="0"/>
      <w:rPr>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BB6F18"/>
    <w:multiLevelType w:val="multilevel"/>
    <w:tmpl w:val="80BB6F18"/>
    <w:lvl w:ilvl="0" w:tentative="0">
      <w:start w:val="1"/>
      <w:numFmt w:val="decimal"/>
      <w:lvlText w:val="（%1）"/>
      <w:lvlJc w:val="left"/>
      <w:pPr>
        <w:ind w:left="1083" w:hanging="440"/>
      </w:pPr>
      <w:rPr>
        <w:rFonts w:hint="default" w:ascii="Times New Roman" w:hAnsi="Times New Roman" w:eastAsia="宋体"/>
        <w:b w:val="0"/>
        <w:i w:val="0"/>
        <w:sz w:val="30"/>
      </w:rPr>
    </w:lvl>
    <w:lvl w:ilvl="1" w:tentative="0">
      <w:start w:val="1"/>
      <w:numFmt w:val="lowerLetter"/>
      <w:lvlText w:val="%2)"/>
      <w:lvlJc w:val="left"/>
      <w:pPr>
        <w:ind w:left="1523" w:hanging="440"/>
      </w:pPr>
    </w:lvl>
    <w:lvl w:ilvl="2" w:tentative="0">
      <w:start w:val="1"/>
      <w:numFmt w:val="lowerRoman"/>
      <w:lvlText w:val="%3."/>
      <w:lvlJc w:val="right"/>
      <w:pPr>
        <w:ind w:left="1963" w:hanging="440"/>
      </w:p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abstractNum w:abstractNumId="1">
    <w:nsid w:val="8ECF366B"/>
    <w:multiLevelType w:val="multilevel"/>
    <w:tmpl w:val="8ECF366B"/>
    <w:lvl w:ilvl="0" w:tentative="0">
      <w:start w:val="1"/>
      <w:numFmt w:val="decimal"/>
      <w:lvlText w:val="（%1）"/>
      <w:lvlJc w:val="left"/>
      <w:pPr>
        <w:ind w:left="1083" w:hanging="440"/>
      </w:pPr>
      <w:rPr>
        <w:rFonts w:hint="default" w:ascii="Times New Roman" w:hAnsi="Times New Roman" w:eastAsia="宋体"/>
        <w:b w:val="0"/>
        <w:i w:val="0"/>
        <w:sz w:val="30"/>
      </w:rPr>
    </w:lvl>
    <w:lvl w:ilvl="1" w:tentative="0">
      <w:start w:val="1"/>
      <w:numFmt w:val="lowerLetter"/>
      <w:lvlText w:val="%2)"/>
      <w:lvlJc w:val="left"/>
      <w:pPr>
        <w:ind w:left="1523" w:hanging="440"/>
      </w:pPr>
    </w:lvl>
    <w:lvl w:ilvl="2" w:tentative="0">
      <w:start w:val="1"/>
      <w:numFmt w:val="lowerRoman"/>
      <w:lvlText w:val="%3."/>
      <w:lvlJc w:val="right"/>
      <w:pPr>
        <w:ind w:left="1963" w:hanging="440"/>
      </w:p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abstractNum w:abstractNumId="2">
    <w:nsid w:val="C1768D78"/>
    <w:multiLevelType w:val="multilevel"/>
    <w:tmpl w:val="C1768D78"/>
    <w:lvl w:ilvl="0" w:tentative="0">
      <w:start w:val="1"/>
      <w:numFmt w:val="decimal"/>
      <w:lvlText w:val="（%1）"/>
      <w:lvlJc w:val="left"/>
      <w:pPr>
        <w:ind w:left="1083" w:hanging="440"/>
      </w:pPr>
      <w:rPr>
        <w:rFonts w:hint="default" w:ascii="Times New Roman" w:hAnsi="Times New Roman" w:eastAsia="宋体"/>
        <w:b w:val="0"/>
        <w:i w:val="0"/>
        <w:sz w:val="30"/>
      </w:rPr>
    </w:lvl>
    <w:lvl w:ilvl="1" w:tentative="0">
      <w:start w:val="1"/>
      <w:numFmt w:val="lowerLetter"/>
      <w:lvlText w:val="%2)"/>
      <w:lvlJc w:val="left"/>
      <w:pPr>
        <w:ind w:left="1523" w:hanging="440"/>
      </w:pPr>
    </w:lvl>
    <w:lvl w:ilvl="2" w:tentative="0">
      <w:start w:val="1"/>
      <w:numFmt w:val="lowerRoman"/>
      <w:lvlText w:val="%3."/>
      <w:lvlJc w:val="right"/>
      <w:pPr>
        <w:ind w:left="1963" w:hanging="440"/>
      </w:p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abstractNum w:abstractNumId="3">
    <w:nsid w:val="12823613"/>
    <w:multiLevelType w:val="multilevel"/>
    <w:tmpl w:val="12823613"/>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decimal"/>
      <w:lvlText w:val="%3."/>
      <w:lvlJc w:val="left"/>
      <w:pPr>
        <w:ind w:left="1083" w:hanging="440"/>
      </w:pPr>
      <w:rPr>
        <w:rFonts w:hint="eastAsia"/>
      </w:r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13A304B4"/>
    <w:multiLevelType w:val="multilevel"/>
    <w:tmpl w:val="13A304B4"/>
    <w:lvl w:ilvl="0" w:tentative="0">
      <w:start w:val="1"/>
      <w:numFmt w:val="decimal"/>
      <w:lvlText w:val="%1."/>
      <w:lvlJc w:val="left"/>
      <w:pPr>
        <w:ind w:left="1083" w:hanging="440"/>
      </w:pPr>
      <w:rPr>
        <w:rFonts w:hint="eastAsia"/>
      </w:rPr>
    </w:lvl>
    <w:lvl w:ilvl="1" w:tentative="0">
      <w:start w:val="1"/>
      <w:numFmt w:val="lowerLetter"/>
      <w:lvlText w:val="%2)"/>
      <w:lvlJc w:val="left"/>
      <w:pPr>
        <w:ind w:left="1523" w:hanging="440"/>
      </w:pPr>
    </w:lvl>
    <w:lvl w:ilvl="2" w:tentative="0">
      <w:start w:val="1"/>
      <w:numFmt w:val="lowerRoman"/>
      <w:lvlText w:val="%3."/>
      <w:lvlJc w:val="right"/>
      <w:pPr>
        <w:ind w:left="1963" w:hanging="440"/>
      </w:p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abstractNum w:abstractNumId="5">
    <w:nsid w:val="15922F86"/>
    <w:multiLevelType w:val="multilevel"/>
    <w:tmpl w:val="15922F86"/>
    <w:lvl w:ilvl="0" w:tentative="0">
      <w:start w:val="1"/>
      <w:numFmt w:val="decimal"/>
      <w:lvlText w:val="（%1）"/>
      <w:lvlJc w:val="left"/>
      <w:pPr>
        <w:ind w:left="1083" w:hanging="440"/>
      </w:pPr>
      <w:rPr>
        <w:rFonts w:hint="default" w:ascii="Times New Roman" w:hAnsi="Times New Roman" w:eastAsia="宋体"/>
        <w:b w:val="0"/>
        <w:i w:val="0"/>
        <w:sz w:val="30"/>
      </w:rPr>
    </w:lvl>
    <w:lvl w:ilvl="1" w:tentative="0">
      <w:start w:val="1"/>
      <w:numFmt w:val="lowerLetter"/>
      <w:lvlText w:val="%2)"/>
      <w:lvlJc w:val="left"/>
      <w:pPr>
        <w:ind w:left="1523" w:hanging="440"/>
      </w:pPr>
    </w:lvl>
    <w:lvl w:ilvl="2" w:tentative="0">
      <w:start w:val="1"/>
      <w:numFmt w:val="lowerRoman"/>
      <w:lvlText w:val="%3."/>
      <w:lvlJc w:val="right"/>
      <w:pPr>
        <w:ind w:left="1963" w:hanging="440"/>
      </w:p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abstractNum w:abstractNumId="6">
    <w:nsid w:val="15AF195D"/>
    <w:multiLevelType w:val="multilevel"/>
    <w:tmpl w:val="15AF195D"/>
    <w:lvl w:ilvl="0" w:tentative="0">
      <w:start w:val="1"/>
      <w:numFmt w:val="chineseCountingThousand"/>
      <w:lvlText w:val="(%1)"/>
      <w:lvlJc w:val="left"/>
      <w:pPr>
        <w:ind w:left="1083" w:hanging="440"/>
      </w:pPr>
    </w:lvl>
    <w:lvl w:ilvl="1" w:tentative="0">
      <w:start w:val="1"/>
      <w:numFmt w:val="lowerLetter"/>
      <w:lvlText w:val="%2)"/>
      <w:lvlJc w:val="left"/>
      <w:pPr>
        <w:ind w:left="1523" w:hanging="440"/>
      </w:pPr>
    </w:lvl>
    <w:lvl w:ilvl="2" w:tentative="0">
      <w:start w:val="1"/>
      <w:numFmt w:val="lowerRoman"/>
      <w:lvlText w:val="%3."/>
      <w:lvlJc w:val="right"/>
      <w:pPr>
        <w:ind w:left="1963" w:hanging="440"/>
      </w:p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abstractNum w:abstractNumId="7">
    <w:nsid w:val="1621278D"/>
    <w:multiLevelType w:val="multilevel"/>
    <w:tmpl w:val="1621278D"/>
    <w:lvl w:ilvl="0" w:tentative="0">
      <w:start w:val="1"/>
      <w:numFmt w:val="chineseCountingThousand"/>
      <w:lvlText w:val="(%1)"/>
      <w:lvlJc w:val="left"/>
      <w:pPr>
        <w:ind w:left="1083" w:hanging="440"/>
      </w:pPr>
    </w:lvl>
    <w:lvl w:ilvl="1" w:tentative="0">
      <w:start w:val="1"/>
      <w:numFmt w:val="lowerLetter"/>
      <w:lvlText w:val="%2)"/>
      <w:lvlJc w:val="left"/>
      <w:pPr>
        <w:ind w:left="1523" w:hanging="440"/>
      </w:pPr>
    </w:lvl>
    <w:lvl w:ilvl="2" w:tentative="0">
      <w:start w:val="1"/>
      <w:numFmt w:val="lowerRoman"/>
      <w:lvlText w:val="%3."/>
      <w:lvlJc w:val="right"/>
      <w:pPr>
        <w:ind w:left="1963" w:hanging="440"/>
      </w:p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abstractNum w:abstractNumId="8">
    <w:nsid w:val="18F2303F"/>
    <w:multiLevelType w:val="multilevel"/>
    <w:tmpl w:val="18F2303F"/>
    <w:lvl w:ilvl="0" w:tentative="0">
      <w:start w:val="1"/>
      <w:numFmt w:val="decimal"/>
      <w:lvlText w:val="%1."/>
      <w:lvlJc w:val="left"/>
      <w:pPr>
        <w:ind w:left="1083" w:hanging="440"/>
      </w:pPr>
      <w:rPr>
        <w:rFonts w:hint="eastAsia"/>
      </w:rPr>
    </w:lvl>
    <w:lvl w:ilvl="1" w:tentative="0">
      <w:start w:val="1"/>
      <w:numFmt w:val="lowerLetter"/>
      <w:lvlText w:val="%2)"/>
      <w:lvlJc w:val="left"/>
      <w:pPr>
        <w:ind w:left="1523" w:hanging="440"/>
      </w:pPr>
    </w:lvl>
    <w:lvl w:ilvl="2" w:tentative="0">
      <w:start w:val="1"/>
      <w:numFmt w:val="lowerRoman"/>
      <w:lvlText w:val="%3."/>
      <w:lvlJc w:val="right"/>
      <w:pPr>
        <w:ind w:left="1963" w:hanging="440"/>
      </w:p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abstractNum w:abstractNumId="9">
    <w:nsid w:val="1A7B45DD"/>
    <w:multiLevelType w:val="multilevel"/>
    <w:tmpl w:val="1A7B45DD"/>
    <w:lvl w:ilvl="0" w:tentative="0">
      <w:start w:val="1"/>
      <w:numFmt w:val="decimal"/>
      <w:lvlText w:val="（%1）"/>
      <w:lvlJc w:val="left"/>
      <w:pPr>
        <w:ind w:left="1008" w:hanging="440"/>
      </w:pPr>
      <w:rPr>
        <w:rFonts w:hint="default" w:ascii="Times New Roman" w:hAnsi="Times New Roman" w:eastAsia="宋体"/>
        <w:b w:val="0"/>
        <w:i w:val="0"/>
        <w:sz w:val="30"/>
      </w:rPr>
    </w:lvl>
    <w:lvl w:ilvl="1" w:tentative="0">
      <w:start w:val="1"/>
      <w:numFmt w:val="lowerLetter"/>
      <w:lvlText w:val="%2)"/>
      <w:lvlJc w:val="left"/>
      <w:pPr>
        <w:ind w:left="1448" w:hanging="440"/>
      </w:pPr>
    </w:lvl>
    <w:lvl w:ilvl="2" w:tentative="0">
      <w:start w:val="1"/>
      <w:numFmt w:val="lowerRoman"/>
      <w:lvlText w:val="%3."/>
      <w:lvlJc w:val="right"/>
      <w:pPr>
        <w:ind w:left="1888" w:hanging="440"/>
      </w:pPr>
    </w:lvl>
    <w:lvl w:ilvl="3" w:tentative="0">
      <w:start w:val="1"/>
      <w:numFmt w:val="decimal"/>
      <w:lvlText w:val="%4."/>
      <w:lvlJc w:val="left"/>
      <w:pPr>
        <w:ind w:left="2328" w:hanging="440"/>
      </w:pPr>
    </w:lvl>
    <w:lvl w:ilvl="4" w:tentative="0">
      <w:start w:val="1"/>
      <w:numFmt w:val="lowerLetter"/>
      <w:lvlText w:val="%5)"/>
      <w:lvlJc w:val="left"/>
      <w:pPr>
        <w:ind w:left="2768" w:hanging="440"/>
      </w:pPr>
    </w:lvl>
    <w:lvl w:ilvl="5" w:tentative="0">
      <w:start w:val="1"/>
      <w:numFmt w:val="lowerRoman"/>
      <w:lvlText w:val="%6."/>
      <w:lvlJc w:val="right"/>
      <w:pPr>
        <w:ind w:left="3208" w:hanging="440"/>
      </w:pPr>
    </w:lvl>
    <w:lvl w:ilvl="6" w:tentative="0">
      <w:start w:val="1"/>
      <w:numFmt w:val="decimal"/>
      <w:lvlText w:val="%7."/>
      <w:lvlJc w:val="left"/>
      <w:pPr>
        <w:ind w:left="3648" w:hanging="440"/>
      </w:pPr>
    </w:lvl>
    <w:lvl w:ilvl="7" w:tentative="0">
      <w:start w:val="1"/>
      <w:numFmt w:val="lowerLetter"/>
      <w:lvlText w:val="%8)"/>
      <w:lvlJc w:val="left"/>
      <w:pPr>
        <w:ind w:left="4088" w:hanging="440"/>
      </w:pPr>
    </w:lvl>
    <w:lvl w:ilvl="8" w:tentative="0">
      <w:start w:val="1"/>
      <w:numFmt w:val="lowerRoman"/>
      <w:lvlText w:val="%9."/>
      <w:lvlJc w:val="right"/>
      <w:pPr>
        <w:ind w:left="4528" w:hanging="440"/>
      </w:pPr>
    </w:lvl>
  </w:abstractNum>
  <w:abstractNum w:abstractNumId="10">
    <w:nsid w:val="2B54DF74"/>
    <w:multiLevelType w:val="multilevel"/>
    <w:tmpl w:val="2B54DF74"/>
    <w:lvl w:ilvl="0" w:tentative="0">
      <w:start w:val="1"/>
      <w:numFmt w:val="decimal"/>
      <w:lvlText w:val="（%1）"/>
      <w:lvlJc w:val="left"/>
      <w:pPr>
        <w:ind w:left="1083" w:hanging="440"/>
      </w:pPr>
      <w:rPr>
        <w:rFonts w:hint="default" w:ascii="Times New Roman" w:hAnsi="Times New Roman" w:eastAsia="宋体"/>
        <w:b w:val="0"/>
        <w:i w:val="0"/>
        <w:sz w:val="30"/>
      </w:rPr>
    </w:lvl>
    <w:lvl w:ilvl="1" w:tentative="0">
      <w:start w:val="1"/>
      <w:numFmt w:val="lowerLetter"/>
      <w:lvlText w:val="%2)"/>
      <w:lvlJc w:val="left"/>
      <w:pPr>
        <w:ind w:left="1523" w:hanging="440"/>
      </w:pPr>
    </w:lvl>
    <w:lvl w:ilvl="2" w:tentative="0">
      <w:start w:val="1"/>
      <w:numFmt w:val="lowerRoman"/>
      <w:lvlText w:val="%3."/>
      <w:lvlJc w:val="right"/>
      <w:pPr>
        <w:ind w:left="1963" w:hanging="440"/>
      </w:p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abstractNum w:abstractNumId="11">
    <w:nsid w:val="2F13461A"/>
    <w:multiLevelType w:val="multilevel"/>
    <w:tmpl w:val="2F13461A"/>
    <w:lvl w:ilvl="0" w:tentative="0">
      <w:start w:val="1"/>
      <w:numFmt w:val="decimal"/>
      <w:lvlText w:val="（%1）"/>
      <w:lvlJc w:val="left"/>
      <w:pPr>
        <w:ind w:left="1083" w:hanging="440"/>
      </w:pPr>
      <w:rPr>
        <w:rFonts w:hint="default" w:ascii="Times New Roman" w:hAnsi="Times New Roman" w:eastAsia="宋体"/>
        <w:b w:val="0"/>
        <w:i w:val="0"/>
        <w:sz w:val="30"/>
      </w:rPr>
    </w:lvl>
    <w:lvl w:ilvl="1" w:tentative="0">
      <w:start w:val="1"/>
      <w:numFmt w:val="lowerLetter"/>
      <w:lvlText w:val="%2)"/>
      <w:lvlJc w:val="left"/>
      <w:pPr>
        <w:ind w:left="1523" w:hanging="440"/>
      </w:pPr>
    </w:lvl>
    <w:lvl w:ilvl="2" w:tentative="0">
      <w:start w:val="1"/>
      <w:numFmt w:val="lowerRoman"/>
      <w:lvlText w:val="%3."/>
      <w:lvlJc w:val="right"/>
      <w:pPr>
        <w:ind w:left="1963" w:hanging="440"/>
      </w:p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abstractNum w:abstractNumId="12">
    <w:nsid w:val="2FE04E6D"/>
    <w:multiLevelType w:val="multilevel"/>
    <w:tmpl w:val="2FE04E6D"/>
    <w:lvl w:ilvl="0" w:tentative="0">
      <w:start w:val="1"/>
      <w:numFmt w:val="decimal"/>
      <w:lvlText w:val="%1."/>
      <w:lvlJc w:val="left"/>
      <w:pPr>
        <w:ind w:left="1083" w:hanging="440"/>
      </w:pPr>
    </w:lvl>
    <w:lvl w:ilvl="1" w:tentative="0">
      <w:start w:val="1"/>
      <w:numFmt w:val="lowerLetter"/>
      <w:lvlText w:val="%2)"/>
      <w:lvlJc w:val="left"/>
      <w:pPr>
        <w:ind w:left="1523" w:hanging="440"/>
      </w:pPr>
    </w:lvl>
    <w:lvl w:ilvl="2" w:tentative="0">
      <w:start w:val="1"/>
      <w:numFmt w:val="decimal"/>
      <w:lvlText w:val="%3."/>
      <w:lvlJc w:val="left"/>
      <w:pPr>
        <w:ind w:left="1083" w:hanging="440"/>
      </w:pPr>
      <w:rPr>
        <w:rFonts w:hint="eastAsia"/>
      </w:r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abstractNum w:abstractNumId="13">
    <w:nsid w:val="30EA7D43"/>
    <w:multiLevelType w:val="multilevel"/>
    <w:tmpl w:val="30EA7D43"/>
    <w:lvl w:ilvl="0" w:tentative="0">
      <w:start w:val="1"/>
      <w:numFmt w:val="chineseCountingThousand"/>
      <w:lvlText w:val="(%1)"/>
      <w:lvlJc w:val="left"/>
      <w:pPr>
        <w:ind w:left="1083" w:hanging="440"/>
      </w:pPr>
    </w:lvl>
    <w:lvl w:ilvl="1" w:tentative="0">
      <w:start w:val="1"/>
      <w:numFmt w:val="lowerLetter"/>
      <w:lvlText w:val="%2)"/>
      <w:lvlJc w:val="left"/>
      <w:pPr>
        <w:ind w:left="1523" w:hanging="440"/>
      </w:pPr>
    </w:lvl>
    <w:lvl w:ilvl="2" w:tentative="0">
      <w:start w:val="1"/>
      <w:numFmt w:val="lowerRoman"/>
      <w:lvlText w:val="%3."/>
      <w:lvlJc w:val="right"/>
      <w:pPr>
        <w:ind w:left="1963" w:hanging="440"/>
      </w:p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abstractNum w:abstractNumId="14">
    <w:nsid w:val="39536E40"/>
    <w:multiLevelType w:val="multilevel"/>
    <w:tmpl w:val="39536E40"/>
    <w:lvl w:ilvl="0" w:tentative="0">
      <w:start w:val="1"/>
      <w:numFmt w:val="decimal"/>
      <w:lvlText w:val="（%1）"/>
      <w:lvlJc w:val="left"/>
      <w:pPr>
        <w:ind w:left="1136" w:hanging="440"/>
      </w:pPr>
      <w:rPr>
        <w:rFonts w:hint="default" w:ascii="Times New Roman" w:hAnsi="Times New Roman" w:eastAsia="宋体"/>
        <w:b w:val="0"/>
        <w:i w:val="0"/>
        <w:sz w:val="30"/>
      </w:rPr>
    </w:lvl>
    <w:lvl w:ilvl="1" w:tentative="0">
      <w:start w:val="1"/>
      <w:numFmt w:val="lowerLetter"/>
      <w:lvlText w:val="%2)"/>
      <w:lvlJc w:val="left"/>
      <w:pPr>
        <w:ind w:left="1576" w:hanging="440"/>
      </w:pPr>
    </w:lvl>
    <w:lvl w:ilvl="2" w:tentative="0">
      <w:start w:val="1"/>
      <w:numFmt w:val="lowerRoman"/>
      <w:lvlText w:val="%3."/>
      <w:lvlJc w:val="right"/>
      <w:pPr>
        <w:ind w:left="2016" w:hanging="440"/>
      </w:pPr>
    </w:lvl>
    <w:lvl w:ilvl="3" w:tentative="0">
      <w:start w:val="1"/>
      <w:numFmt w:val="decimal"/>
      <w:lvlText w:val="%4."/>
      <w:lvlJc w:val="left"/>
      <w:pPr>
        <w:ind w:left="2456" w:hanging="440"/>
      </w:pPr>
    </w:lvl>
    <w:lvl w:ilvl="4" w:tentative="0">
      <w:start w:val="1"/>
      <w:numFmt w:val="lowerLetter"/>
      <w:lvlText w:val="%5)"/>
      <w:lvlJc w:val="left"/>
      <w:pPr>
        <w:ind w:left="2896" w:hanging="440"/>
      </w:pPr>
    </w:lvl>
    <w:lvl w:ilvl="5" w:tentative="0">
      <w:start w:val="1"/>
      <w:numFmt w:val="lowerRoman"/>
      <w:lvlText w:val="%6."/>
      <w:lvlJc w:val="right"/>
      <w:pPr>
        <w:ind w:left="3336" w:hanging="440"/>
      </w:pPr>
    </w:lvl>
    <w:lvl w:ilvl="6" w:tentative="0">
      <w:start w:val="1"/>
      <w:numFmt w:val="decimal"/>
      <w:lvlText w:val="%7."/>
      <w:lvlJc w:val="left"/>
      <w:pPr>
        <w:ind w:left="3776" w:hanging="440"/>
      </w:pPr>
    </w:lvl>
    <w:lvl w:ilvl="7" w:tentative="0">
      <w:start w:val="1"/>
      <w:numFmt w:val="lowerLetter"/>
      <w:lvlText w:val="%8)"/>
      <w:lvlJc w:val="left"/>
      <w:pPr>
        <w:ind w:left="4216" w:hanging="440"/>
      </w:pPr>
    </w:lvl>
    <w:lvl w:ilvl="8" w:tentative="0">
      <w:start w:val="1"/>
      <w:numFmt w:val="lowerRoman"/>
      <w:lvlText w:val="%9."/>
      <w:lvlJc w:val="right"/>
      <w:pPr>
        <w:ind w:left="4656" w:hanging="440"/>
      </w:pPr>
    </w:lvl>
  </w:abstractNum>
  <w:abstractNum w:abstractNumId="15">
    <w:nsid w:val="47058C5C"/>
    <w:multiLevelType w:val="multilevel"/>
    <w:tmpl w:val="47058C5C"/>
    <w:lvl w:ilvl="0" w:tentative="0">
      <w:start w:val="1"/>
      <w:numFmt w:val="decimal"/>
      <w:lvlText w:val="（%1）"/>
      <w:lvlJc w:val="left"/>
      <w:pPr>
        <w:ind w:left="1083" w:hanging="440"/>
      </w:pPr>
      <w:rPr>
        <w:rFonts w:hint="default" w:ascii="Times New Roman" w:hAnsi="Times New Roman" w:eastAsia="宋体"/>
        <w:b w:val="0"/>
        <w:i w:val="0"/>
        <w:sz w:val="30"/>
      </w:rPr>
    </w:lvl>
    <w:lvl w:ilvl="1" w:tentative="0">
      <w:start w:val="1"/>
      <w:numFmt w:val="lowerLetter"/>
      <w:lvlText w:val="%2)"/>
      <w:lvlJc w:val="left"/>
      <w:pPr>
        <w:ind w:left="1523" w:hanging="440"/>
      </w:pPr>
    </w:lvl>
    <w:lvl w:ilvl="2" w:tentative="0">
      <w:start w:val="1"/>
      <w:numFmt w:val="lowerRoman"/>
      <w:lvlText w:val="%3."/>
      <w:lvlJc w:val="right"/>
      <w:pPr>
        <w:ind w:left="1963" w:hanging="440"/>
      </w:p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abstractNum w:abstractNumId="16">
    <w:nsid w:val="49D70DBC"/>
    <w:multiLevelType w:val="multilevel"/>
    <w:tmpl w:val="49D70DBC"/>
    <w:lvl w:ilvl="0" w:tentative="0">
      <w:start w:val="1"/>
      <w:numFmt w:val="decimal"/>
      <w:lvlText w:val="（%1）"/>
      <w:lvlJc w:val="left"/>
      <w:pPr>
        <w:ind w:left="1083" w:hanging="440"/>
      </w:pPr>
      <w:rPr>
        <w:rFonts w:hint="eastAsia" w:eastAsia="宋体"/>
        <w:b w:val="0"/>
        <w:i w:val="0"/>
        <w:sz w:val="30"/>
      </w:rPr>
    </w:lvl>
    <w:lvl w:ilvl="1" w:tentative="0">
      <w:start w:val="1"/>
      <w:numFmt w:val="decimal"/>
      <w:lvlText w:val="（%2）"/>
      <w:lvlJc w:val="left"/>
      <w:pPr>
        <w:ind w:left="880" w:hanging="440"/>
      </w:pPr>
      <w:rPr>
        <w:rFonts w:hint="eastAsia" w:eastAsia="宋体"/>
        <w:b w:val="0"/>
        <w:i w:val="0"/>
        <w:sz w:val="30"/>
      </w:rPr>
    </w:lvl>
    <w:lvl w:ilvl="2" w:tentative="0">
      <w:start w:val="1"/>
      <w:numFmt w:val="lowerRoman"/>
      <w:lvlText w:val="%3."/>
      <w:lvlJc w:val="right"/>
      <w:pPr>
        <w:ind w:left="1963" w:hanging="440"/>
      </w:p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abstractNum w:abstractNumId="17">
    <w:nsid w:val="4C312E63"/>
    <w:multiLevelType w:val="multilevel"/>
    <w:tmpl w:val="4C312E63"/>
    <w:lvl w:ilvl="0" w:tentative="0">
      <w:start w:val="1"/>
      <w:numFmt w:val="decimal"/>
      <w:lvlText w:val="%1."/>
      <w:lvlJc w:val="left"/>
      <w:pPr>
        <w:ind w:left="1083" w:hanging="440"/>
      </w:pPr>
      <w:rPr>
        <w:rFonts w:hint="eastAsia"/>
      </w:rPr>
    </w:lvl>
    <w:lvl w:ilvl="1" w:tentative="0">
      <w:start w:val="1"/>
      <w:numFmt w:val="lowerLetter"/>
      <w:lvlText w:val="%2)"/>
      <w:lvlJc w:val="left"/>
      <w:pPr>
        <w:ind w:left="1523" w:hanging="440"/>
      </w:pPr>
    </w:lvl>
    <w:lvl w:ilvl="2" w:tentative="0">
      <w:start w:val="1"/>
      <w:numFmt w:val="lowerRoman"/>
      <w:lvlText w:val="%3."/>
      <w:lvlJc w:val="right"/>
      <w:pPr>
        <w:ind w:left="1963" w:hanging="440"/>
      </w:p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abstractNum w:abstractNumId="18">
    <w:nsid w:val="52BB074E"/>
    <w:multiLevelType w:val="multilevel"/>
    <w:tmpl w:val="52BB074E"/>
    <w:lvl w:ilvl="0" w:tentative="0">
      <w:start w:val="1"/>
      <w:numFmt w:val="decimal"/>
      <w:lvlText w:val="（%1）"/>
      <w:lvlJc w:val="left"/>
      <w:pPr>
        <w:ind w:left="1083" w:hanging="440"/>
      </w:pPr>
      <w:rPr>
        <w:rFonts w:hint="eastAsia" w:eastAsia="宋体"/>
        <w:b w:val="0"/>
        <w:i w:val="0"/>
        <w:sz w:val="30"/>
      </w:rPr>
    </w:lvl>
    <w:lvl w:ilvl="1" w:tentative="0">
      <w:start w:val="1"/>
      <w:numFmt w:val="decimal"/>
      <w:lvlText w:val="（%2）"/>
      <w:lvlJc w:val="left"/>
      <w:pPr>
        <w:ind w:left="1083" w:hanging="440"/>
      </w:pPr>
      <w:rPr>
        <w:rFonts w:hint="default" w:ascii="Times New Roman" w:hAnsi="Times New Roman" w:eastAsia="宋体"/>
        <w:b w:val="0"/>
        <w:i w:val="0"/>
        <w:sz w:val="30"/>
      </w:rPr>
    </w:lvl>
    <w:lvl w:ilvl="2" w:tentative="0">
      <w:start w:val="1"/>
      <w:numFmt w:val="lowerRoman"/>
      <w:lvlText w:val="%3."/>
      <w:lvlJc w:val="right"/>
      <w:pPr>
        <w:ind w:left="1963" w:hanging="440"/>
      </w:p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abstractNum w:abstractNumId="19">
    <w:nsid w:val="5F5CF3AF"/>
    <w:multiLevelType w:val="singleLevel"/>
    <w:tmpl w:val="5F5CF3AF"/>
    <w:lvl w:ilvl="0" w:tentative="0">
      <w:start w:val="1"/>
      <w:numFmt w:val="decimal"/>
      <w:lvlText w:val="（%1）"/>
      <w:lvlJc w:val="left"/>
      <w:pPr>
        <w:ind w:left="1083" w:hanging="440"/>
      </w:pPr>
      <w:rPr>
        <w:rFonts w:hint="default" w:ascii="Times New Roman" w:hAnsi="Times New Roman" w:eastAsia="宋体"/>
        <w:b w:val="0"/>
        <w:i w:val="0"/>
        <w:sz w:val="30"/>
      </w:rPr>
    </w:lvl>
  </w:abstractNum>
  <w:abstractNum w:abstractNumId="20">
    <w:nsid w:val="698573F1"/>
    <w:multiLevelType w:val="multilevel"/>
    <w:tmpl w:val="698573F1"/>
    <w:lvl w:ilvl="0" w:tentative="0">
      <w:start w:val="1"/>
      <w:numFmt w:val="decimal"/>
      <w:lvlText w:val="%1."/>
      <w:lvlJc w:val="left"/>
      <w:pPr>
        <w:ind w:left="1083" w:hanging="440"/>
      </w:pPr>
    </w:lvl>
    <w:lvl w:ilvl="1" w:tentative="0">
      <w:start w:val="1"/>
      <w:numFmt w:val="lowerLetter"/>
      <w:lvlText w:val="%2)"/>
      <w:lvlJc w:val="left"/>
      <w:pPr>
        <w:ind w:left="1523" w:hanging="440"/>
      </w:pPr>
    </w:lvl>
    <w:lvl w:ilvl="2" w:tentative="0">
      <w:start w:val="1"/>
      <w:numFmt w:val="lowerRoman"/>
      <w:lvlText w:val="%3."/>
      <w:lvlJc w:val="right"/>
      <w:pPr>
        <w:ind w:left="1963" w:hanging="440"/>
      </w:p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abstractNum w:abstractNumId="21">
    <w:nsid w:val="6A970181"/>
    <w:multiLevelType w:val="multilevel"/>
    <w:tmpl w:val="6A970181"/>
    <w:lvl w:ilvl="0" w:tentative="0">
      <w:start w:val="1"/>
      <w:numFmt w:val="decimal"/>
      <w:lvlText w:val="%1."/>
      <w:lvlJc w:val="left"/>
      <w:pPr>
        <w:ind w:left="1083" w:hanging="440"/>
      </w:pPr>
      <w:rPr>
        <w:rFonts w:hint="eastAsia"/>
      </w:rPr>
    </w:lvl>
    <w:lvl w:ilvl="1" w:tentative="0">
      <w:start w:val="1"/>
      <w:numFmt w:val="lowerLetter"/>
      <w:lvlText w:val="%2)"/>
      <w:lvlJc w:val="left"/>
      <w:pPr>
        <w:ind w:left="1523" w:hanging="440"/>
      </w:pPr>
    </w:lvl>
    <w:lvl w:ilvl="2" w:tentative="0">
      <w:start w:val="1"/>
      <w:numFmt w:val="decimal"/>
      <w:lvlText w:val="%3."/>
      <w:lvlJc w:val="left"/>
      <w:pPr>
        <w:ind w:left="1963" w:hanging="440"/>
      </w:pPr>
      <w:rPr>
        <w:rFonts w:hint="eastAsia"/>
      </w:r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abstractNum w:abstractNumId="22">
    <w:nsid w:val="6DA936AD"/>
    <w:multiLevelType w:val="multilevel"/>
    <w:tmpl w:val="6DA936AD"/>
    <w:lvl w:ilvl="0" w:tentative="0">
      <w:start w:val="1"/>
      <w:numFmt w:val="decimal"/>
      <w:lvlText w:val="（%1）"/>
      <w:lvlJc w:val="left"/>
      <w:pPr>
        <w:ind w:left="1083" w:hanging="440"/>
      </w:pPr>
      <w:rPr>
        <w:rFonts w:hint="default" w:ascii="Times New Roman" w:hAnsi="Times New Roman" w:eastAsia="宋体"/>
        <w:b w:val="0"/>
        <w:i w:val="0"/>
        <w:sz w:val="30"/>
      </w:rPr>
    </w:lvl>
    <w:lvl w:ilvl="1" w:tentative="0">
      <w:start w:val="1"/>
      <w:numFmt w:val="decimal"/>
      <w:lvlText w:val="（%2）"/>
      <w:lvlJc w:val="left"/>
      <w:pPr>
        <w:ind w:left="440" w:hanging="440"/>
      </w:pPr>
      <w:rPr>
        <w:rFonts w:hint="default" w:ascii="Times New Roman" w:hAnsi="Times New Roman" w:eastAsia="宋体"/>
        <w:b w:val="0"/>
        <w:i w:val="0"/>
        <w:sz w:val="30"/>
      </w:rPr>
    </w:lvl>
    <w:lvl w:ilvl="2" w:tentative="0">
      <w:start w:val="1"/>
      <w:numFmt w:val="lowerRoman"/>
      <w:lvlText w:val="%3."/>
      <w:lvlJc w:val="right"/>
      <w:pPr>
        <w:ind w:left="1963" w:hanging="440"/>
      </w:p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abstractNum w:abstractNumId="23">
    <w:nsid w:val="6E3D6207"/>
    <w:multiLevelType w:val="multilevel"/>
    <w:tmpl w:val="6E3D6207"/>
    <w:lvl w:ilvl="0" w:tentative="0">
      <w:start w:val="1"/>
      <w:numFmt w:val="decimal"/>
      <w:lvlText w:val="（%1）"/>
      <w:lvlJc w:val="left"/>
      <w:pPr>
        <w:ind w:left="1083" w:hanging="440"/>
      </w:pPr>
      <w:rPr>
        <w:rFonts w:hint="eastAsia" w:eastAsia="宋体"/>
        <w:b w:val="0"/>
        <w:i w:val="0"/>
        <w:sz w:val="30"/>
      </w:rPr>
    </w:lvl>
    <w:lvl w:ilvl="1" w:tentative="0">
      <w:start w:val="1"/>
      <w:numFmt w:val="decimal"/>
      <w:lvlText w:val="（%2）"/>
      <w:lvlJc w:val="left"/>
      <w:pPr>
        <w:ind w:left="1083" w:hanging="440"/>
      </w:pPr>
      <w:rPr>
        <w:rFonts w:hint="default" w:ascii="Times New Roman" w:hAnsi="Times New Roman" w:eastAsia="宋体"/>
        <w:b w:val="0"/>
        <w:i w:val="0"/>
        <w:sz w:val="30"/>
      </w:rPr>
    </w:lvl>
    <w:lvl w:ilvl="2" w:tentative="0">
      <w:start w:val="1"/>
      <w:numFmt w:val="lowerRoman"/>
      <w:lvlText w:val="%3."/>
      <w:lvlJc w:val="right"/>
      <w:pPr>
        <w:ind w:left="1963" w:hanging="440"/>
      </w:p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abstractNum w:abstractNumId="24">
    <w:nsid w:val="742C1AAA"/>
    <w:multiLevelType w:val="multilevel"/>
    <w:tmpl w:val="742C1AAA"/>
    <w:lvl w:ilvl="0" w:tentative="0">
      <w:start w:val="1"/>
      <w:numFmt w:val="decimal"/>
      <w:lvlText w:val="（%1）"/>
      <w:lvlJc w:val="left"/>
      <w:pPr>
        <w:ind w:left="1083" w:hanging="440"/>
      </w:pPr>
      <w:rPr>
        <w:rFonts w:hint="default" w:ascii="Times New Roman" w:hAnsi="Times New Roman" w:eastAsia="宋体"/>
        <w:b w:val="0"/>
        <w:i w:val="0"/>
        <w:sz w:val="30"/>
      </w:rPr>
    </w:lvl>
    <w:lvl w:ilvl="1" w:tentative="0">
      <w:start w:val="1"/>
      <w:numFmt w:val="lowerLetter"/>
      <w:lvlText w:val="%2)"/>
      <w:lvlJc w:val="left"/>
      <w:pPr>
        <w:ind w:left="1523" w:hanging="440"/>
      </w:pPr>
    </w:lvl>
    <w:lvl w:ilvl="2" w:tentative="0">
      <w:start w:val="1"/>
      <w:numFmt w:val="lowerRoman"/>
      <w:lvlText w:val="%3."/>
      <w:lvlJc w:val="right"/>
      <w:pPr>
        <w:ind w:left="1963" w:hanging="440"/>
      </w:p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abstractNum w:abstractNumId="25">
    <w:nsid w:val="74D14C6F"/>
    <w:multiLevelType w:val="multilevel"/>
    <w:tmpl w:val="74D14C6F"/>
    <w:lvl w:ilvl="0" w:tentative="0">
      <w:start w:val="1"/>
      <w:numFmt w:val="decimal"/>
      <w:lvlText w:val="%1."/>
      <w:lvlJc w:val="left"/>
      <w:pPr>
        <w:ind w:left="1083" w:hanging="440"/>
      </w:pPr>
    </w:lvl>
    <w:lvl w:ilvl="1" w:tentative="0">
      <w:start w:val="1"/>
      <w:numFmt w:val="decimal"/>
      <w:lvlText w:val="（%2）"/>
      <w:lvlJc w:val="left"/>
      <w:pPr>
        <w:ind w:left="2163" w:hanging="1080"/>
      </w:pPr>
      <w:rPr>
        <w:rFonts w:hint="default"/>
      </w:rPr>
    </w:lvl>
    <w:lvl w:ilvl="2" w:tentative="0">
      <w:start w:val="1"/>
      <w:numFmt w:val="lowerRoman"/>
      <w:lvlText w:val="%3."/>
      <w:lvlJc w:val="right"/>
      <w:pPr>
        <w:ind w:left="1963" w:hanging="440"/>
      </w:p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num w:numId="1">
    <w:abstractNumId w:val="7"/>
  </w:num>
  <w:num w:numId="2">
    <w:abstractNumId w:val="25"/>
  </w:num>
  <w:num w:numId="3">
    <w:abstractNumId w:val="19"/>
  </w:num>
  <w:num w:numId="4">
    <w:abstractNumId w:val="20"/>
  </w:num>
  <w:num w:numId="5">
    <w:abstractNumId w:val="13"/>
  </w:num>
  <w:num w:numId="6">
    <w:abstractNumId w:val="21"/>
  </w:num>
  <w:num w:numId="7">
    <w:abstractNumId w:val="17"/>
  </w:num>
  <w:num w:numId="8">
    <w:abstractNumId w:val="14"/>
  </w:num>
  <w:num w:numId="9">
    <w:abstractNumId w:val="9"/>
  </w:num>
  <w:num w:numId="10">
    <w:abstractNumId w:val="6"/>
  </w:num>
  <w:num w:numId="11">
    <w:abstractNumId w:val="12"/>
  </w:num>
  <w:num w:numId="12">
    <w:abstractNumId w:val="22"/>
  </w:num>
  <w:num w:numId="13">
    <w:abstractNumId w:val="16"/>
  </w:num>
  <w:num w:numId="14">
    <w:abstractNumId w:val="18"/>
  </w:num>
  <w:num w:numId="15">
    <w:abstractNumId w:val="8"/>
  </w:num>
  <w:num w:numId="16">
    <w:abstractNumId w:val="24"/>
  </w:num>
  <w:num w:numId="17">
    <w:abstractNumId w:val="23"/>
  </w:num>
  <w:num w:numId="18">
    <w:abstractNumId w:val="4"/>
  </w:num>
  <w:num w:numId="19">
    <w:abstractNumId w:val="1"/>
  </w:num>
  <w:num w:numId="20">
    <w:abstractNumId w:val="0"/>
  </w:num>
  <w:num w:numId="21">
    <w:abstractNumId w:val="10"/>
  </w:num>
  <w:num w:numId="22">
    <w:abstractNumId w:val="2"/>
  </w:num>
  <w:num w:numId="23">
    <w:abstractNumId w:val="3"/>
  </w:num>
  <w:num w:numId="24">
    <w:abstractNumId w:val="5"/>
  </w:num>
  <w:num w:numId="25">
    <w:abstractNumId w:val="11"/>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ocumentProtection w:enforcement="0"/>
  <w:defaultTabStop w:val="0"/>
  <w:drawingGridHorizontalSpacing w:val="320"/>
  <w:drawingGridVerticalSpacing w:val="218"/>
  <w:displayHorizontalDrawingGridEvery w:val="1"/>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FiODQzM2I1NzU0ZGVlMjE0M2FlOGJkZGNlZDg2ZjQifQ=="/>
  </w:docVars>
  <w:rsids>
    <w:rsidRoot w:val="4F7A8AD3"/>
    <w:rsid w:val="00002F43"/>
    <w:rsid w:val="0000756A"/>
    <w:rsid w:val="000107C4"/>
    <w:rsid w:val="00012E9F"/>
    <w:rsid w:val="0001313D"/>
    <w:rsid w:val="000164AE"/>
    <w:rsid w:val="000179D5"/>
    <w:rsid w:val="00021AFF"/>
    <w:rsid w:val="00034FE8"/>
    <w:rsid w:val="000505D7"/>
    <w:rsid w:val="00057BF8"/>
    <w:rsid w:val="00062E23"/>
    <w:rsid w:val="00063830"/>
    <w:rsid w:val="00073370"/>
    <w:rsid w:val="00073A2B"/>
    <w:rsid w:val="00076A1E"/>
    <w:rsid w:val="00083F6C"/>
    <w:rsid w:val="00085D34"/>
    <w:rsid w:val="00087DFC"/>
    <w:rsid w:val="00093DCE"/>
    <w:rsid w:val="00095303"/>
    <w:rsid w:val="000958B3"/>
    <w:rsid w:val="00096240"/>
    <w:rsid w:val="000A3653"/>
    <w:rsid w:val="000C0153"/>
    <w:rsid w:val="000C473B"/>
    <w:rsid w:val="000C57FC"/>
    <w:rsid w:val="000D55E1"/>
    <w:rsid w:val="000D5EC8"/>
    <w:rsid w:val="000E783D"/>
    <w:rsid w:val="001010D1"/>
    <w:rsid w:val="00103A2F"/>
    <w:rsid w:val="001041AF"/>
    <w:rsid w:val="0010788A"/>
    <w:rsid w:val="00110355"/>
    <w:rsid w:val="001203E9"/>
    <w:rsid w:val="001232D4"/>
    <w:rsid w:val="00134BCC"/>
    <w:rsid w:val="00135F5F"/>
    <w:rsid w:val="001375EF"/>
    <w:rsid w:val="00146839"/>
    <w:rsid w:val="00150C9D"/>
    <w:rsid w:val="00151587"/>
    <w:rsid w:val="00153D21"/>
    <w:rsid w:val="00164A0B"/>
    <w:rsid w:val="00166B9F"/>
    <w:rsid w:val="00171CA9"/>
    <w:rsid w:val="00173F6A"/>
    <w:rsid w:val="001857A5"/>
    <w:rsid w:val="00190240"/>
    <w:rsid w:val="00195636"/>
    <w:rsid w:val="00196271"/>
    <w:rsid w:val="001A1092"/>
    <w:rsid w:val="001A2C2F"/>
    <w:rsid w:val="001A550D"/>
    <w:rsid w:val="001C2996"/>
    <w:rsid w:val="001C3CDD"/>
    <w:rsid w:val="001C6994"/>
    <w:rsid w:val="001D4786"/>
    <w:rsid w:val="001D4787"/>
    <w:rsid w:val="001D4E83"/>
    <w:rsid w:val="001D5160"/>
    <w:rsid w:val="001D6C0F"/>
    <w:rsid w:val="001D7093"/>
    <w:rsid w:val="0020442B"/>
    <w:rsid w:val="002133D0"/>
    <w:rsid w:val="00240867"/>
    <w:rsid w:val="002478BE"/>
    <w:rsid w:val="00247CE2"/>
    <w:rsid w:val="00255318"/>
    <w:rsid w:val="00256286"/>
    <w:rsid w:val="00263E0E"/>
    <w:rsid w:val="002751AB"/>
    <w:rsid w:val="00275CD1"/>
    <w:rsid w:val="00284489"/>
    <w:rsid w:val="002A3BDD"/>
    <w:rsid w:val="002B6FB5"/>
    <w:rsid w:val="002C14AD"/>
    <w:rsid w:val="002C5EFF"/>
    <w:rsid w:val="002D3711"/>
    <w:rsid w:val="002D4F9E"/>
    <w:rsid w:val="002E795B"/>
    <w:rsid w:val="002F4D66"/>
    <w:rsid w:val="003145E7"/>
    <w:rsid w:val="0032225C"/>
    <w:rsid w:val="00325404"/>
    <w:rsid w:val="00326F73"/>
    <w:rsid w:val="003325AD"/>
    <w:rsid w:val="0033593D"/>
    <w:rsid w:val="00340524"/>
    <w:rsid w:val="00341AC7"/>
    <w:rsid w:val="00342A2D"/>
    <w:rsid w:val="00344CF0"/>
    <w:rsid w:val="003459D1"/>
    <w:rsid w:val="00347F9C"/>
    <w:rsid w:val="00350221"/>
    <w:rsid w:val="003533C3"/>
    <w:rsid w:val="003716B9"/>
    <w:rsid w:val="0037460A"/>
    <w:rsid w:val="003757C7"/>
    <w:rsid w:val="0037607E"/>
    <w:rsid w:val="00387BD7"/>
    <w:rsid w:val="003A3046"/>
    <w:rsid w:val="003A5EBC"/>
    <w:rsid w:val="003B5493"/>
    <w:rsid w:val="003C72DF"/>
    <w:rsid w:val="003E74AB"/>
    <w:rsid w:val="003F00D9"/>
    <w:rsid w:val="003F5A52"/>
    <w:rsid w:val="00402EE2"/>
    <w:rsid w:val="004036F8"/>
    <w:rsid w:val="00404D59"/>
    <w:rsid w:val="00411453"/>
    <w:rsid w:val="004127C1"/>
    <w:rsid w:val="00420EE4"/>
    <w:rsid w:val="00424572"/>
    <w:rsid w:val="00425AA2"/>
    <w:rsid w:val="00426C1D"/>
    <w:rsid w:val="00442036"/>
    <w:rsid w:val="00444A2D"/>
    <w:rsid w:val="00446C79"/>
    <w:rsid w:val="00456BAF"/>
    <w:rsid w:val="0045765A"/>
    <w:rsid w:val="00460E18"/>
    <w:rsid w:val="00461328"/>
    <w:rsid w:val="0046415F"/>
    <w:rsid w:val="00470228"/>
    <w:rsid w:val="00470A91"/>
    <w:rsid w:val="00475575"/>
    <w:rsid w:val="00483ED2"/>
    <w:rsid w:val="00485063"/>
    <w:rsid w:val="004A44EC"/>
    <w:rsid w:val="004C0EBC"/>
    <w:rsid w:val="004C1F78"/>
    <w:rsid w:val="004D1A6F"/>
    <w:rsid w:val="004D3208"/>
    <w:rsid w:val="004D5770"/>
    <w:rsid w:val="004D6F41"/>
    <w:rsid w:val="004D72EC"/>
    <w:rsid w:val="004E09C9"/>
    <w:rsid w:val="004E5660"/>
    <w:rsid w:val="004F1182"/>
    <w:rsid w:val="004F70C3"/>
    <w:rsid w:val="00504DBE"/>
    <w:rsid w:val="00505188"/>
    <w:rsid w:val="005071ED"/>
    <w:rsid w:val="00507D16"/>
    <w:rsid w:val="005234A4"/>
    <w:rsid w:val="0052667A"/>
    <w:rsid w:val="00531809"/>
    <w:rsid w:val="0054287F"/>
    <w:rsid w:val="0056059D"/>
    <w:rsid w:val="005721D5"/>
    <w:rsid w:val="00575A52"/>
    <w:rsid w:val="00581297"/>
    <w:rsid w:val="005838EF"/>
    <w:rsid w:val="00584E01"/>
    <w:rsid w:val="00596E4B"/>
    <w:rsid w:val="005A316C"/>
    <w:rsid w:val="005D4E52"/>
    <w:rsid w:val="005D7DFA"/>
    <w:rsid w:val="005F0879"/>
    <w:rsid w:val="005F0A6C"/>
    <w:rsid w:val="005F175C"/>
    <w:rsid w:val="005F2438"/>
    <w:rsid w:val="005F2469"/>
    <w:rsid w:val="005F3A2E"/>
    <w:rsid w:val="005F3E21"/>
    <w:rsid w:val="005F574A"/>
    <w:rsid w:val="005F5DC4"/>
    <w:rsid w:val="005F6AFF"/>
    <w:rsid w:val="006120CC"/>
    <w:rsid w:val="00615320"/>
    <w:rsid w:val="006176FF"/>
    <w:rsid w:val="00622DD4"/>
    <w:rsid w:val="00630995"/>
    <w:rsid w:val="006334FD"/>
    <w:rsid w:val="00633B49"/>
    <w:rsid w:val="00635D11"/>
    <w:rsid w:val="00641113"/>
    <w:rsid w:val="00644555"/>
    <w:rsid w:val="006502B1"/>
    <w:rsid w:val="00652071"/>
    <w:rsid w:val="00655989"/>
    <w:rsid w:val="00661897"/>
    <w:rsid w:val="006646D3"/>
    <w:rsid w:val="00674F98"/>
    <w:rsid w:val="00683371"/>
    <w:rsid w:val="00685C8B"/>
    <w:rsid w:val="00690C57"/>
    <w:rsid w:val="006A145F"/>
    <w:rsid w:val="006A4213"/>
    <w:rsid w:val="006B42E5"/>
    <w:rsid w:val="006C3437"/>
    <w:rsid w:val="006C781F"/>
    <w:rsid w:val="006D07D2"/>
    <w:rsid w:val="006E4893"/>
    <w:rsid w:val="006E7C21"/>
    <w:rsid w:val="006E7D6F"/>
    <w:rsid w:val="006F4D8E"/>
    <w:rsid w:val="006F51DE"/>
    <w:rsid w:val="006F7710"/>
    <w:rsid w:val="007007A1"/>
    <w:rsid w:val="00702086"/>
    <w:rsid w:val="00712171"/>
    <w:rsid w:val="00717083"/>
    <w:rsid w:val="00721F20"/>
    <w:rsid w:val="0072324F"/>
    <w:rsid w:val="00734C2A"/>
    <w:rsid w:val="007420A1"/>
    <w:rsid w:val="007471CA"/>
    <w:rsid w:val="00753430"/>
    <w:rsid w:val="0076196C"/>
    <w:rsid w:val="00761FBD"/>
    <w:rsid w:val="00783B80"/>
    <w:rsid w:val="00784593"/>
    <w:rsid w:val="00785C4B"/>
    <w:rsid w:val="00793381"/>
    <w:rsid w:val="00793429"/>
    <w:rsid w:val="00794BA7"/>
    <w:rsid w:val="007C2905"/>
    <w:rsid w:val="007C43E4"/>
    <w:rsid w:val="007C5302"/>
    <w:rsid w:val="007C6DAD"/>
    <w:rsid w:val="007D479D"/>
    <w:rsid w:val="007E7A2D"/>
    <w:rsid w:val="007F6143"/>
    <w:rsid w:val="007F7452"/>
    <w:rsid w:val="00813D7A"/>
    <w:rsid w:val="00815148"/>
    <w:rsid w:val="0082345E"/>
    <w:rsid w:val="00823628"/>
    <w:rsid w:val="00846766"/>
    <w:rsid w:val="00861702"/>
    <w:rsid w:val="00873085"/>
    <w:rsid w:val="0087318D"/>
    <w:rsid w:val="0087750F"/>
    <w:rsid w:val="008927EC"/>
    <w:rsid w:val="00893251"/>
    <w:rsid w:val="008B2277"/>
    <w:rsid w:val="008C14F2"/>
    <w:rsid w:val="008C22C6"/>
    <w:rsid w:val="008C2964"/>
    <w:rsid w:val="008D08A7"/>
    <w:rsid w:val="008D1DBB"/>
    <w:rsid w:val="008E521D"/>
    <w:rsid w:val="008F366B"/>
    <w:rsid w:val="008F395F"/>
    <w:rsid w:val="008F4459"/>
    <w:rsid w:val="008F714F"/>
    <w:rsid w:val="00902C3A"/>
    <w:rsid w:val="00906238"/>
    <w:rsid w:val="00926C30"/>
    <w:rsid w:val="00932B2E"/>
    <w:rsid w:val="00937EF4"/>
    <w:rsid w:val="00941AF8"/>
    <w:rsid w:val="0095131C"/>
    <w:rsid w:val="009552D7"/>
    <w:rsid w:val="009675C1"/>
    <w:rsid w:val="00983A95"/>
    <w:rsid w:val="0099308A"/>
    <w:rsid w:val="00994E19"/>
    <w:rsid w:val="009A2A85"/>
    <w:rsid w:val="009A5640"/>
    <w:rsid w:val="009B0AAE"/>
    <w:rsid w:val="009C09FE"/>
    <w:rsid w:val="009C170A"/>
    <w:rsid w:val="009C43F0"/>
    <w:rsid w:val="009C4F09"/>
    <w:rsid w:val="009C5740"/>
    <w:rsid w:val="009C58C9"/>
    <w:rsid w:val="009C5B69"/>
    <w:rsid w:val="009D437F"/>
    <w:rsid w:val="009E3863"/>
    <w:rsid w:val="009E4B25"/>
    <w:rsid w:val="009E6234"/>
    <w:rsid w:val="009F07B4"/>
    <w:rsid w:val="009F5D01"/>
    <w:rsid w:val="00A153B3"/>
    <w:rsid w:val="00A170E7"/>
    <w:rsid w:val="00A1796C"/>
    <w:rsid w:val="00A20676"/>
    <w:rsid w:val="00A24497"/>
    <w:rsid w:val="00A3140D"/>
    <w:rsid w:val="00A35124"/>
    <w:rsid w:val="00A3572F"/>
    <w:rsid w:val="00A3629C"/>
    <w:rsid w:val="00A369F0"/>
    <w:rsid w:val="00A427FC"/>
    <w:rsid w:val="00A42946"/>
    <w:rsid w:val="00A433F7"/>
    <w:rsid w:val="00A56585"/>
    <w:rsid w:val="00A57094"/>
    <w:rsid w:val="00A57C3E"/>
    <w:rsid w:val="00A644C7"/>
    <w:rsid w:val="00A70EE0"/>
    <w:rsid w:val="00A73A2A"/>
    <w:rsid w:val="00A748BB"/>
    <w:rsid w:val="00A77814"/>
    <w:rsid w:val="00A972BF"/>
    <w:rsid w:val="00AA12B6"/>
    <w:rsid w:val="00AA47C4"/>
    <w:rsid w:val="00AB023D"/>
    <w:rsid w:val="00AB2072"/>
    <w:rsid w:val="00AC01DF"/>
    <w:rsid w:val="00AC0A90"/>
    <w:rsid w:val="00AC49F5"/>
    <w:rsid w:val="00AC6EC1"/>
    <w:rsid w:val="00AE0E69"/>
    <w:rsid w:val="00AF123B"/>
    <w:rsid w:val="00AF42B4"/>
    <w:rsid w:val="00B1012B"/>
    <w:rsid w:val="00B14C98"/>
    <w:rsid w:val="00B17C4C"/>
    <w:rsid w:val="00B22640"/>
    <w:rsid w:val="00B3128A"/>
    <w:rsid w:val="00B41E1F"/>
    <w:rsid w:val="00B42992"/>
    <w:rsid w:val="00B474B0"/>
    <w:rsid w:val="00B520E3"/>
    <w:rsid w:val="00B5361D"/>
    <w:rsid w:val="00B55A72"/>
    <w:rsid w:val="00B56F27"/>
    <w:rsid w:val="00B72471"/>
    <w:rsid w:val="00B72AB0"/>
    <w:rsid w:val="00B826C9"/>
    <w:rsid w:val="00B82C97"/>
    <w:rsid w:val="00B87755"/>
    <w:rsid w:val="00BB2B30"/>
    <w:rsid w:val="00BB30FE"/>
    <w:rsid w:val="00BB602C"/>
    <w:rsid w:val="00BB7066"/>
    <w:rsid w:val="00BD5F12"/>
    <w:rsid w:val="00BE2F84"/>
    <w:rsid w:val="00BF13FA"/>
    <w:rsid w:val="00BF3406"/>
    <w:rsid w:val="00C07223"/>
    <w:rsid w:val="00C1471C"/>
    <w:rsid w:val="00C20B4B"/>
    <w:rsid w:val="00C21C0D"/>
    <w:rsid w:val="00C22E6A"/>
    <w:rsid w:val="00C26858"/>
    <w:rsid w:val="00C40C1F"/>
    <w:rsid w:val="00C473C3"/>
    <w:rsid w:val="00C51F46"/>
    <w:rsid w:val="00C53BF9"/>
    <w:rsid w:val="00C56A00"/>
    <w:rsid w:val="00C7136B"/>
    <w:rsid w:val="00C71524"/>
    <w:rsid w:val="00C80039"/>
    <w:rsid w:val="00C83D2B"/>
    <w:rsid w:val="00C910C3"/>
    <w:rsid w:val="00C96341"/>
    <w:rsid w:val="00C96BDD"/>
    <w:rsid w:val="00CA534D"/>
    <w:rsid w:val="00CA7C9E"/>
    <w:rsid w:val="00CB0669"/>
    <w:rsid w:val="00CB4046"/>
    <w:rsid w:val="00CB6FFC"/>
    <w:rsid w:val="00CB7679"/>
    <w:rsid w:val="00CB7CD5"/>
    <w:rsid w:val="00CC161B"/>
    <w:rsid w:val="00CD0DBD"/>
    <w:rsid w:val="00CD5883"/>
    <w:rsid w:val="00CD6026"/>
    <w:rsid w:val="00CD7BA1"/>
    <w:rsid w:val="00CE6ED6"/>
    <w:rsid w:val="00D02678"/>
    <w:rsid w:val="00D0603A"/>
    <w:rsid w:val="00D10CEA"/>
    <w:rsid w:val="00D21BD1"/>
    <w:rsid w:val="00D26CDD"/>
    <w:rsid w:val="00D34698"/>
    <w:rsid w:val="00D47AD7"/>
    <w:rsid w:val="00D503E5"/>
    <w:rsid w:val="00D60049"/>
    <w:rsid w:val="00D64060"/>
    <w:rsid w:val="00D6747B"/>
    <w:rsid w:val="00D71220"/>
    <w:rsid w:val="00D72F36"/>
    <w:rsid w:val="00D86CE4"/>
    <w:rsid w:val="00D90220"/>
    <w:rsid w:val="00D91026"/>
    <w:rsid w:val="00D9191B"/>
    <w:rsid w:val="00D965A3"/>
    <w:rsid w:val="00DC066B"/>
    <w:rsid w:val="00DC492F"/>
    <w:rsid w:val="00DC513A"/>
    <w:rsid w:val="00DC518C"/>
    <w:rsid w:val="00DC5AA3"/>
    <w:rsid w:val="00DC6228"/>
    <w:rsid w:val="00DE1836"/>
    <w:rsid w:val="00DF196E"/>
    <w:rsid w:val="00DF62A7"/>
    <w:rsid w:val="00E06C34"/>
    <w:rsid w:val="00E072FA"/>
    <w:rsid w:val="00E12F0E"/>
    <w:rsid w:val="00E1337B"/>
    <w:rsid w:val="00E13E17"/>
    <w:rsid w:val="00E200F2"/>
    <w:rsid w:val="00E226C0"/>
    <w:rsid w:val="00E32685"/>
    <w:rsid w:val="00E33445"/>
    <w:rsid w:val="00E37B72"/>
    <w:rsid w:val="00E40E8A"/>
    <w:rsid w:val="00E438D2"/>
    <w:rsid w:val="00E5269E"/>
    <w:rsid w:val="00E554C7"/>
    <w:rsid w:val="00E56AA0"/>
    <w:rsid w:val="00E576B9"/>
    <w:rsid w:val="00E63AE7"/>
    <w:rsid w:val="00E843CD"/>
    <w:rsid w:val="00E863C6"/>
    <w:rsid w:val="00EA09C3"/>
    <w:rsid w:val="00EA68ED"/>
    <w:rsid w:val="00EB18C1"/>
    <w:rsid w:val="00EC0080"/>
    <w:rsid w:val="00EC0BDD"/>
    <w:rsid w:val="00EC313B"/>
    <w:rsid w:val="00EC4ECB"/>
    <w:rsid w:val="00ED32E9"/>
    <w:rsid w:val="00ED4FE8"/>
    <w:rsid w:val="00ED54C7"/>
    <w:rsid w:val="00EE436F"/>
    <w:rsid w:val="00EE5712"/>
    <w:rsid w:val="00EF139A"/>
    <w:rsid w:val="00F00013"/>
    <w:rsid w:val="00F00303"/>
    <w:rsid w:val="00F03024"/>
    <w:rsid w:val="00F05FCC"/>
    <w:rsid w:val="00F16884"/>
    <w:rsid w:val="00F17B08"/>
    <w:rsid w:val="00F17EB0"/>
    <w:rsid w:val="00F20713"/>
    <w:rsid w:val="00F23161"/>
    <w:rsid w:val="00F36748"/>
    <w:rsid w:val="00F40AC0"/>
    <w:rsid w:val="00F453A5"/>
    <w:rsid w:val="00F50504"/>
    <w:rsid w:val="00F615E1"/>
    <w:rsid w:val="00F67125"/>
    <w:rsid w:val="00F715AB"/>
    <w:rsid w:val="00F728D0"/>
    <w:rsid w:val="00F7344E"/>
    <w:rsid w:val="00F7344F"/>
    <w:rsid w:val="00F77C12"/>
    <w:rsid w:val="00F90D69"/>
    <w:rsid w:val="00F930AE"/>
    <w:rsid w:val="00F9691B"/>
    <w:rsid w:val="00FA36D3"/>
    <w:rsid w:val="00FA542C"/>
    <w:rsid w:val="00FA665B"/>
    <w:rsid w:val="00FA6D36"/>
    <w:rsid w:val="00FB13E1"/>
    <w:rsid w:val="00FB2157"/>
    <w:rsid w:val="00FB565A"/>
    <w:rsid w:val="00FE16B1"/>
    <w:rsid w:val="00FE5CA2"/>
    <w:rsid w:val="00FE64D4"/>
    <w:rsid w:val="00FE6F85"/>
    <w:rsid w:val="010D7F30"/>
    <w:rsid w:val="01117D6F"/>
    <w:rsid w:val="031A1D53"/>
    <w:rsid w:val="047C7B07"/>
    <w:rsid w:val="04940D57"/>
    <w:rsid w:val="04B13DC4"/>
    <w:rsid w:val="04E2179D"/>
    <w:rsid w:val="05185B62"/>
    <w:rsid w:val="055957B0"/>
    <w:rsid w:val="059D5B4A"/>
    <w:rsid w:val="05CE7E25"/>
    <w:rsid w:val="060D4527"/>
    <w:rsid w:val="062F578F"/>
    <w:rsid w:val="06B22274"/>
    <w:rsid w:val="070A234B"/>
    <w:rsid w:val="07364783"/>
    <w:rsid w:val="07DB3825"/>
    <w:rsid w:val="07F523BE"/>
    <w:rsid w:val="084E08CF"/>
    <w:rsid w:val="08747CBA"/>
    <w:rsid w:val="0932556D"/>
    <w:rsid w:val="09F16060"/>
    <w:rsid w:val="0A6174F1"/>
    <w:rsid w:val="0A9052A5"/>
    <w:rsid w:val="0ACE1EFF"/>
    <w:rsid w:val="0B602456"/>
    <w:rsid w:val="0B964365"/>
    <w:rsid w:val="0C961EA1"/>
    <w:rsid w:val="0CA1440F"/>
    <w:rsid w:val="0CC6368C"/>
    <w:rsid w:val="0CDA3D52"/>
    <w:rsid w:val="0CDF57F4"/>
    <w:rsid w:val="0D874AFD"/>
    <w:rsid w:val="0DD37EFF"/>
    <w:rsid w:val="0E483F00"/>
    <w:rsid w:val="0F95754D"/>
    <w:rsid w:val="0FB50233"/>
    <w:rsid w:val="0FB64EB2"/>
    <w:rsid w:val="0FEA7B88"/>
    <w:rsid w:val="103C2EC5"/>
    <w:rsid w:val="10CD4389"/>
    <w:rsid w:val="11326EB7"/>
    <w:rsid w:val="12911695"/>
    <w:rsid w:val="129D460C"/>
    <w:rsid w:val="12C53952"/>
    <w:rsid w:val="1309727C"/>
    <w:rsid w:val="144A13CC"/>
    <w:rsid w:val="15E25369"/>
    <w:rsid w:val="15FD4C47"/>
    <w:rsid w:val="16574ED9"/>
    <w:rsid w:val="16FA78CA"/>
    <w:rsid w:val="172C0C94"/>
    <w:rsid w:val="178158FD"/>
    <w:rsid w:val="19166917"/>
    <w:rsid w:val="19F566BA"/>
    <w:rsid w:val="1A807E56"/>
    <w:rsid w:val="1AA80D1D"/>
    <w:rsid w:val="1AA94BBC"/>
    <w:rsid w:val="1AE16358"/>
    <w:rsid w:val="1B5F2753"/>
    <w:rsid w:val="1BB04A8B"/>
    <w:rsid w:val="1BD15AF4"/>
    <w:rsid w:val="1BD92985"/>
    <w:rsid w:val="1DAC34E6"/>
    <w:rsid w:val="1DBD8960"/>
    <w:rsid w:val="1E5410D3"/>
    <w:rsid w:val="1E776B18"/>
    <w:rsid w:val="1EC12CF5"/>
    <w:rsid w:val="1EE2328C"/>
    <w:rsid w:val="1FAA5120"/>
    <w:rsid w:val="1FB42712"/>
    <w:rsid w:val="1FBF3DD5"/>
    <w:rsid w:val="1FEA5825"/>
    <w:rsid w:val="1FF73375"/>
    <w:rsid w:val="22031056"/>
    <w:rsid w:val="22A7A1EE"/>
    <w:rsid w:val="23815F46"/>
    <w:rsid w:val="23B80D70"/>
    <w:rsid w:val="23D46DC8"/>
    <w:rsid w:val="24526CBD"/>
    <w:rsid w:val="25784768"/>
    <w:rsid w:val="259B2074"/>
    <w:rsid w:val="2699450E"/>
    <w:rsid w:val="26E7E34E"/>
    <w:rsid w:val="27DF7465"/>
    <w:rsid w:val="27FA547A"/>
    <w:rsid w:val="27FB2575"/>
    <w:rsid w:val="289E713B"/>
    <w:rsid w:val="28FF0C21"/>
    <w:rsid w:val="296F084C"/>
    <w:rsid w:val="2987051D"/>
    <w:rsid w:val="29FE4B95"/>
    <w:rsid w:val="2A455781"/>
    <w:rsid w:val="2A7A3965"/>
    <w:rsid w:val="2A80787C"/>
    <w:rsid w:val="2A871445"/>
    <w:rsid w:val="2A8F3EC9"/>
    <w:rsid w:val="2A93505E"/>
    <w:rsid w:val="2B7FCBC1"/>
    <w:rsid w:val="2C002159"/>
    <w:rsid w:val="2C7D1A05"/>
    <w:rsid w:val="2DD75DC8"/>
    <w:rsid w:val="2DE73540"/>
    <w:rsid w:val="2DEF151A"/>
    <w:rsid w:val="2DF769DC"/>
    <w:rsid w:val="2DFDCA5F"/>
    <w:rsid w:val="2DFDEF9D"/>
    <w:rsid w:val="2DFE9ED2"/>
    <w:rsid w:val="2EA92E66"/>
    <w:rsid w:val="2ECA0CB3"/>
    <w:rsid w:val="2ED50269"/>
    <w:rsid w:val="2EED128A"/>
    <w:rsid w:val="2F33419E"/>
    <w:rsid w:val="2F453EFD"/>
    <w:rsid w:val="2F7A4177"/>
    <w:rsid w:val="2FBB8AD3"/>
    <w:rsid w:val="2FCB5855"/>
    <w:rsid w:val="2FF9E8AA"/>
    <w:rsid w:val="2FFF36BE"/>
    <w:rsid w:val="3115529C"/>
    <w:rsid w:val="31BE50FE"/>
    <w:rsid w:val="31D67385"/>
    <w:rsid w:val="320B1AE3"/>
    <w:rsid w:val="32165B50"/>
    <w:rsid w:val="330B38C7"/>
    <w:rsid w:val="333D4B69"/>
    <w:rsid w:val="34151D3E"/>
    <w:rsid w:val="34727F6D"/>
    <w:rsid w:val="34967B08"/>
    <w:rsid w:val="34BF705E"/>
    <w:rsid w:val="35745447"/>
    <w:rsid w:val="35950425"/>
    <w:rsid w:val="364E3529"/>
    <w:rsid w:val="370F669F"/>
    <w:rsid w:val="377F486E"/>
    <w:rsid w:val="378B2B5D"/>
    <w:rsid w:val="37F9916F"/>
    <w:rsid w:val="381B47D2"/>
    <w:rsid w:val="386FACB3"/>
    <w:rsid w:val="38B30373"/>
    <w:rsid w:val="391D56C6"/>
    <w:rsid w:val="39A77F9D"/>
    <w:rsid w:val="39BFDD17"/>
    <w:rsid w:val="3A333EB2"/>
    <w:rsid w:val="3A4A6576"/>
    <w:rsid w:val="3A648840"/>
    <w:rsid w:val="3A723551"/>
    <w:rsid w:val="3A974416"/>
    <w:rsid w:val="3AC07947"/>
    <w:rsid w:val="3AEF411A"/>
    <w:rsid w:val="3AFF01EF"/>
    <w:rsid w:val="3B21383D"/>
    <w:rsid w:val="3B2D5FC6"/>
    <w:rsid w:val="3B3C4042"/>
    <w:rsid w:val="3B3DC2A9"/>
    <w:rsid w:val="3B777999"/>
    <w:rsid w:val="3BB165B1"/>
    <w:rsid w:val="3BD78CFD"/>
    <w:rsid w:val="3BEFD7D2"/>
    <w:rsid w:val="3BFDE29B"/>
    <w:rsid w:val="3C3D7602"/>
    <w:rsid w:val="3D5B219F"/>
    <w:rsid w:val="3D6BF3A2"/>
    <w:rsid w:val="3DFFC46E"/>
    <w:rsid w:val="3E520203"/>
    <w:rsid w:val="3E6EBE7D"/>
    <w:rsid w:val="3EA606BD"/>
    <w:rsid w:val="3EB76EA9"/>
    <w:rsid w:val="3EBC1B98"/>
    <w:rsid w:val="3EEF565A"/>
    <w:rsid w:val="3EF7E3D7"/>
    <w:rsid w:val="3F6CBBE6"/>
    <w:rsid w:val="3F7D186B"/>
    <w:rsid w:val="3FCF0EA0"/>
    <w:rsid w:val="3FDDF602"/>
    <w:rsid w:val="3FE55186"/>
    <w:rsid w:val="3FE9ABA6"/>
    <w:rsid w:val="3FED9C1C"/>
    <w:rsid w:val="3FF6647C"/>
    <w:rsid w:val="3FF7E6AC"/>
    <w:rsid w:val="3FFDF530"/>
    <w:rsid w:val="3FFF5B84"/>
    <w:rsid w:val="3FFF8AEA"/>
    <w:rsid w:val="3FFF953A"/>
    <w:rsid w:val="401B5E64"/>
    <w:rsid w:val="40CD21AE"/>
    <w:rsid w:val="40D500DF"/>
    <w:rsid w:val="40E774C7"/>
    <w:rsid w:val="42294DF3"/>
    <w:rsid w:val="42FA07E7"/>
    <w:rsid w:val="436810AE"/>
    <w:rsid w:val="437F7043"/>
    <w:rsid w:val="44EF1B00"/>
    <w:rsid w:val="457D256D"/>
    <w:rsid w:val="45AF27D7"/>
    <w:rsid w:val="45CF4E46"/>
    <w:rsid w:val="461E0B76"/>
    <w:rsid w:val="46515BFC"/>
    <w:rsid w:val="46C45511"/>
    <w:rsid w:val="46F570F1"/>
    <w:rsid w:val="47432F07"/>
    <w:rsid w:val="4778447E"/>
    <w:rsid w:val="47CC73F7"/>
    <w:rsid w:val="47FBC172"/>
    <w:rsid w:val="48193958"/>
    <w:rsid w:val="487B71DD"/>
    <w:rsid w:val="48897BFC"/>
    <w:rsid w:val="492E4DD9"/>
    <w:rsid w:val="49DF7A74"/>
    <w:rsid w:val="49EFDA04"/>
    <w:rsid w:val="49FA2929"/>
    <w:rsid w:val="4A1E73E6"/>
    <w:rsid w:val="4A635F53"/>
    <w:rsid w:val="4A7A5E1B"/>
    <w:rsid w:val="4AF773D7"/>
    <w:rsid w:val="4B3B3F0F"/>
    <w:rsid w:val="4B6E54BA"/>
    <w:rsid w:val="4BA90D67"/>
    <w:rsid w:val="4BFD0804"/>
    <w:rsid w:val="4BFFF00D"/>
    <w:rsid w:val="4C272BC5"/>
    <w:rsid w:val="4CB90AB7"/>
    <w:rsid w:val="4CE65A8E"/>
    <w:rsid w:val="4D25472F"/>
    <w:rsid w:val="4D7565F4"/>
    <w:rsid w:val="4DBF65EB"/>
    <w:rsid w:val="4DC31401"/>
    <w:rsid w:val="4DFC2D90"/>
    <w:rsid w:val="4E050DB4"/>
    <w:rsid w:val="4E25488F"/>
    <w:rsid w:val="4E7B1F42"/>
    <w:rsid w:val="4F3877D4"/>
    <w:rsid w:val="4F7A8AD3"/>
    <w:rsid w:val="4F7FF4D7"/>
    <w:rsid w:val="4F8A1DA6"/>
    <w:rsid w:val="4F8A350E"/>
    <w:rsid w:val="4FDF282B"/>
    <w:rsid w:val="4FEB9FB4"/>
    <w:rsid w:val="5066789F"/>
    <w:rsid w:val="50817551"/>
    <w:rsid w:val="50885837"/>
    <w:rsid w:val="50AB1B35"/>
    <w:rsid w:val="51E1787A"/>
    <w:rsid w:val="51F80DD4"/>
    <w:rsid w:val="52351B68"/>
    <w:rsid w:val="523E68B0"/>
    <w:rsid w:val="52D4EA7B"/>
    <w:rsid w:val="53205C12"/>
    <w:rsid w:val="538958EC"/>
    <w:rsid w:val="53B26E5A"/>
    <w:rsid w:val="53CA0723"/>
    <w:rsid w:val="544E1A65"/>
    <w:rsid w:val="55357E89"/>
    <w:rsid w:val="55830218"/>
    <w:rsid w:val="558980E0"/>
    <w:rsid w:val="55E705A4"/>
    <w:rsid w:val="56203A0C"/>
    <w:rsid w:val="56383DB0"/>
    <w:rsid w:val="56530FA2"/>
    <w:rsid w:val="56AD6CAF"/>
    <w:rsid w:val="56D93B58"/>
    <w:rsid w:val="56E53ADB"/>
    <w:rsid w:val="575F1FD6"/>
    <w:rsid w:val="577C8E54"/>
    <w:rsid w:val="57ECB103"/>
    <w:rsid w:val="57EF0FD8"/>
    <w:rsid w:val="57F7833A"/>
    <w:rsid w:val="57F7A4BC"/>
    <w:rsid w:val="57FB75FC"/>
    <w:rsid w:val="57FD7CF3"/>
    <w:rsid w:val="585A70CD"/>
    <w:rsid w:val="58E262A4"/>
    <w:rsid w:val="58F5D9DD"/>
    <w:rsid w:val="5948147C"/>
    <w:rsid w:val="59741D62"/>
    <w:rsid w:val="59752BE5"/>
    <w:rsid w:val="5A0E76AC"/>
    <w:rsid w:val="5AB756DD"/>
    <w:rsid w:val="5AFCBC6B"/>
    <w:rsid w:val="5B669575"/>
    <w:rsid w:val="5BDB3721"/>
    <w:rsid w:val="5C18763C"/>
    <w:rsid w:val="5C3E3948"/>
    <w:rsid w:val="5C7E18E6"/>
    <w:rsid w:val="5C7F7B4E"/>
    <w:rsid w:val="5CD950AA"/>
    <w:rsid w:val="5CDA0FE8"/>
    <w:rsid w:val="5CE7B0FA"/>
    <w:rsid w:val="5D242C88"/>
    <w:rsid w:val="5D25514E"/>
    <w:rsid w:val="5D411EA6"/>
    <w:rsid w:val="5D6B5466"/>
    <w:rsid w:val="5DAD7E49"/>
    <w:rsid w:val="5DEFCEC9"/>
    <w:rsid w:val="5DFB97BE"/>
    <w:rsid w:val="5DFE3F84"/>
    <w:rsid w:val="5DFFA384"/>
    <w:rsid w:val="5E2A669F"/>
    <w:rsid w:val="5E7A9A9A"/>
    <w:rsid w:val="5E7FBC5C"/>
    <w:rsid w:val="5E7FDF2E"/>
    <w:rsid w:val="5EDD6377"/>
    <w:rsid w:val="5EEBD77D"/>
    <w:rsid w:val="5EED101E"/>
    <w:rsid w:val="5EF76024"/>
    <w:rsid w:val="5EFF59D6"/>
    <w:rsid w:val="5EFF974D"/>
    <w:rsid w:val="5F374DB3"/>
    <w:rsid w:val="5F6F9EA4"/>
    <w:rsid w:val="5F8A68FB"/>
    <w:rsid w:val="5F9431B2"/>
    <w:rsid w:val="5FB6F504"/>
    <w:rsid w:val="5FC3061C"/>
    <w:rsid w:val="5FE1BD42"/>
    <w:rsid w:val="5FEA0B84"/>
    <w:rsid w:val="5FEE76E6"/>
    <w:rsid w:val="5FF6065B"/>
    <w:rsid w:val="5FF68925"/>
    <w:rsid w:val="5FF9FE18"/>
    <w:rsid w:val="5FFE7695"/>
    <w:rsid w:val="5FFF5101"/>
    <w:rsid w:val="5FFFBFA9"/>
    <w:rsid w:val="604734C2"/>
    <w:rsid w:val="609B78A2"/>
    <w:rsid w:val="61178030"/>
    <w:rsid w:val="618C1E68"/>
    <w:rsid w:val="621C3AE7"/>
    <w:rsid w:val="621F4188"/>
    <w:rsid w:val="62A16A3A"/>
    <w:rsid w:val="62C2153A"/>
    <w:rsid w:val="633E48F9"/>
    <w:rsid w:val="635380E9"/>
    <w:rsid w:val="63BEF433"/>
    <w:rsid w:val="63E76A66"/>
    <w:rsid w:val="642B56B0"/>
    <w:rsid w:val="649B339C"/>
    <w:rsid w:val="64EFA138"/>
    <w:rsid w:val="64F11DDA"/>
    <w:rsid w:val="651A0D18"/>
    <w:rsid w:val="65800A91"/>
    <w:rsid w:val="65CF4325"/>
    <w:rsid w:val="65ED1F71"/>
    <w:rsid w:val="65FDAEE0"/>
    <w:rsid w:val="65FFC3A4"/>
    <w:rsid w:val="65FFEC08"/>
    <w:rsid w:val="66AD4262"/>
    <w:rsid w:val="66CB19B2"/>
    <w:rsid w:val="66FECB51"/>
    <w:rsid w:val="671058F5"/>
    <w:rsid w:val="675B5A36"/>
    <w:rsid w:val="6763D5B0"/>
    <w:rsid w:val="67DFDD99"/>
    <w:rsid w:val="687B3CF3"/>
    <w:rsid w:val="69AF5125"/>
    <w:rsid w:val="69BC2895"/>
    <w:rsid w:val="69E414DD"/>
    <w:rsid w:val="69FBDDC7"/>
    <w:rsid w:val="6A64077F"/>
    <w:rsid w:val="6A660B83"/>
    <w:rsid w:val="6A7F6D13"/>
    <w:rsid w:val="6A831CE6"/>
    <w:rsid w:val="6AB867A9"/>
    <w:rsid w:val="6AE0106A"/>
    <w:rsid w:val="6AFAC7B1"/>
    <w:rsid w:val="6B1530B5"/>
    <w:rsid w:val="6B1F2D84"/>
    <w:rsid w:val="6B675079"/>
    <w:rsid w:val="6B7DE963"/>
    <w:rsid w:val="6B9F922F"/>
    <w:rsid w:val="6BCD297E"/>
    <w:rsid w:val="6BCFABFB"/>
    <w:rsid w:val="6BE173F2"/>
    <w:rsid w:val="6BEDDD7D"/>
    <w:rsid w:val="6C3C2BA4"/>
    <w:rsid w:val="6CEB0DBC"/>
    <w:rsid w:val="6D7FBAFD"/>
    <w:rsid w:val="6D7FD33D"/>
    <w:rsid w:val="6D99C997"/>
    <w:rsid w:val="6DA809BC"/>
    <w:rsid w:val="6DBB907A"/>
    <w:rsid w:val="6DFEA535"/>
    <w:rsid w:val="6DFFA9F6"/>
    <w:rsid w:val="6E159DA2"/>
    <w:rsid w:val="6E5DDBDC"/>
    <w:rsid w:val="6E6901BA"/>
    <w:rsid w:val="6E9A79C6"/>
    <w:rsid w:val="6E9E9F2D"/>
    <w:rsid w:val="6EBD7952"/>
    <w:rsid w:val="6EC60388"/>
    <w:rsid w:val="6F5B3129"/>
    <w:rsid w:val="6F705A5C"/>
    <w:rsid w:val="6FD3808E"/>
    <w:rsid w:val="6FD9D43E"/>
    <w:rsid w:val="6FDE616D"/>
    <w:rsid w:val="6FDFD0C5"/>
    <w:rsid w:val="6FED74AE"/>
    <w:rsid w:val="6FFCE334"/>
    <w:rsid w:val="6FFE7508"/>
    <w:rsid w:val="6FFFF4AF"/>
    <w:rsid w:val="70924B9B"/>
    <w:rsid w:val="70E78717"/>
    <w:rsid w:val="71DF0AF3"/>
    <w:rsid w:val="71E82352"/>
    <w:rsid w:val="71FB2FE3"/>
    <w:rsid w:val="72211E04"/>
    <w:rsid w:val="722B3E46"/>
    <w:rsid w:val="733F4938"/>
    <w:rsid w:val="73AE4630"/>
    <w:rsid w:val="73EF23B4"/>
    <w:rsid w:val="73EF394F"/>
    <w:rsid w:val="73FF29DC"/>
    <w:rsid w:val="745A7491"/>
    <w:rsid w:val="748FE1E7"/>
    <w:rsid w:val="74DC1816"/>
    <w:rsid w:val="75A438C2"/>
    <w:rsid w:val="75FB9FF3"/>
    <w:rsid w:val="75FE5A48"/>
    <w:rsid w:val="75FF56C0"/>
    <w:rsid w:val="765F4657"/>
    <w:rsid w:val="76CC687B"/>
    <w:rsid w:val="76FB0E00"/>
    <w:rsid w:val="76FEB484"/>
    <w:rsid w:val="775A16EB"/>
    <w:rsid w:val="775DCAF6"/>
    <w:rsid w:val="777FFB87"/>
    <w:rsid w:val="77B72734"/>
    <w:rsid w:val="77BA91FC"/>
    <w:rsid w:val="77CD59C0"/>
    <w:rsid w:val="77DF124C"/>
    <w:rsid w:val="77EDFFAF"/>
    <w:rsid w:val="77FD9252"/>
    <w:rsid w:val="77FE32EC"/>
    <w:rsid w:val="77FE8B6E"/>
    <w:rsid w:val="79401B2B"/>
    <w:rsid w:val="797F8114"/>
    <w:rsid w:val="79C36C23"/>
    <w:rsid w:val="79FB5FAF"/>
    <w:rsid w:val="7A2FB116"/>
    <w:rsid w:val="7A376519"/>
    <w:rsid w:val="7A3F6EB8"/>
    <w:rsid w:val="7A67D8E4"/>
    <w:rsid w:val="7AA41EB8"/>
    <w:rsid w:val="7AF1EB58"/>
    <w:rsid w:val="7AF71059"/>
    <w:rsid w:val="7AFCBFBD"/>
    <w:rsid w:val="7B2F27DC"/>
    <w:rsid w:val="7B5D6E41"/>
    <w:rsid w:val="7B6E6DF3"/>
    <w:rsid w:val="7B7E918F"/>
    <w:rsid w:val="7B7F2C31"/>
    <w:rsid w:val="7BB66289"/>
    <w:rsid w:val="7BCCCAA1"/>
    <w:rsid w:val="7BD9CB31"/>
    <w:rsid w:val="7BE3C6C4"/>
    <w:rsid w:val="7BE70D0A"/>
    <w:rsid w:val="7BED67F5"/>
    <w:rsid w:val="7BF9018F"/>
    <w:rsid w:val="7BFDA313"/>
    <w:rsid w:val="7BFF3E46"/>
    <w:rsid w:val="7C137A81"/>
    <w:rsid w:val="7C423ACB"/>
    <w:rsid w:val="7C774249"/>
    <w:rsid w:val="7C9E5EE6"/>
    <w:rsid w:val="7CBBCED2"/>
    <w:rsid w:val="7CBD0039"/>
    <w:rsid w:val="7CCE6F60"/>
    <w:rsid w:val="7CCF4580"/>
    <w:rsid w:val="7CDF64C7"/>
    <w:rsid w:val="7D3D21BD"/>
    <w:rsid w:val="7D79DF34"/>
    <w:rsid w:val="7D7EABE1"/>
    <w:rsid w:val="7D7F419E"/>
    <w:rsid w:val="7D7FB7BE"/>
    <w:rsid w:val="7DAB4387"/>
    <w:rsid w:val="7DBD8EB2"/>
    <w:rsid w:val="7DBF075B"/>
    <w:rsid w:val="7DD97AA7"/>
    <w:rsid w:val="7DDB05A4"/>
    <w:rsid w:val="7DDD2722"/>
    <w:rsid w:val="7DDFA753"/>
    <w:rsid w:val="7DEAA60B"/>
    <w:rsid w:val="7DEB5413"/>
    <w:rsid w:val="7DEE0B18"/>
    <w:rsid w:val="7DEE768A"/>
    <w:rsid w:val="7DF514E7"/>
    <w:rsid w:val="7DF9577A"/>
    <w:rsid w:val="7DF98B02"/>
    <w:rsid w:val="7DFF5D72"/>
    <w:rsid w:val="7DFF6D6E"/>
    <w:rsid w:val="7DFF74AD"/>
    <w:rsid w:val="7DFFE1BD"/>
    <w:rsid w:val="7E3314F0"/>
    <w:rsid w:val="7E3B3277"/>
    <w:rsid w:val="7E5F1FD6"/>
    <w:rsid w:val="7E7D8ABF"/>
    <w:rsid w:val="7E9B1278"/>
    <w:rsid w:val="7EB1EA29"/>
    <w:rsid w:val="7EBDE22E"/>
    <w:rsid w:val="7EBF4E53"/>
    <w:rsid w:val="7EBF6762"/>
    <w:rsid w:val="7EBF841F"/>
    <w:rsid w:val="7EF1BD9C"/>
    <w:rsid w:val="7EFB3B17"/>
    <w:rsid w:val="7EFCFAD4"/>
    <w:rsid w:val="7EFD0516"/>
    <w:rsid w:val="7EFF3B41"/>
    <w:rsid w:val="7EFF6CE0"/>
    <w:rsid w:val="7F2F4F0B"/>
    <w:rsid w:val="7F434F43"/>
    <w:rsid w:val="7F6F325F"/>
    <w:rsid w:val="7F75E46A"/>
    <w:rsid w:val="7F7D4D66"/>
    <w:rsid w:val="7F923854"/>
    <w:rsid w:val="7F9D2CC6"/>
    <w:rsid w:val="7FAA92EA"/>
    <w:rsid w:val="7FAB964F"/>
    <w:rsid w:val="7FADC894"/>
    <w:rsid w:val="7FADCEB7"/>
    <w:rsid w:val="7FAF8E99"/>
    <w:rsid w:val="7FAF9BEF"/>
    <w:rsid w:val="7FAFECCB"/>
    <w:rsid w:val="7FB5AD8E"/>
    <w:rsid w:val="7FB70309"/>
    <w:rsid w:val="7FBEA4D8"/>
    <w:rsid w:val="7FC71DFA"/>
    <w:rsid w:val="7FCE9B4A"/>
    <w:rsid w:val="7FD74590"/>
    <w:rsid w:val="7FDED9E5"/>
    <w:rsid w:val="7FE37818"/>
    <w:rsid w:val="7FEAA9AB"/>
    <w:rsid w:val="7FFD73C0"/>
    <w:rsid w:val="7FFDE014"/>
    <w:rsid w:val="7FFEC443"/>
    <w:rsid w:val="7FFF351D"/>
    <w:rsid w:val="7FFF8137"/>
    <w:rsid w:val="7FFFD4F9"/>
    <w:rsid w:val="87EFB873"/>
    <w:rsid w:val="8BBD71C6"/>
    <w:rsid w:val="8BDB5640"/>
    <w:rsid w:val="8BF73B00"/>
    <w:rsid w:val="8CFAC852"/>
    <w:rsid w:val="8DD50D56"/>
    <w:rsid w:val="939FA03F"/>
    <w:rsid w:val="96BFCB2F"/>
    <w:rsid w:val="973F25DC"/>
    <w:rsid w:val="97EF25B5"/>
    <w:rsid w:val="992FC3A9"/>
    <w:rsid w:val="99FDBB83"/>
    <w:rsid w:val="9B77CB3B"/>
    <w:rsid w:val="9B8B32CE"/>
    <w:rsid w:val="9BDBED88"/>
    <w:rsid w:val="9BF5DD3C"/>
    <w:rsid w:val="9D7A5340"/>
    <w:rsid w:val="9DEE0AF2"/>
    <w:rsid w:val="9F1BAF19"/>
    <w:rsid w:val="9F6FCCBD"/>
    <w:rsid w:val="9F7B353E"/>
    <w:rsid w:val="9F97ABBB"/>
    <w:rsid w:val="9FB59D1C"/>
    <w:rsid w:val="9FCD91C3"/>
    <w:rsid w:val="9FE392F3"/>
    <w:rsid w:val="9FEFA79E"/>
    <w:rsid w:val="A6CD27B8"/>
    <w:rsid w:val="A6FB25A1"/>
    <w:rsid w:val="A77FBB3D"/>
    <w:rsid w:val="A7DE9939"/>
    <w:rsid w:val="ABEBF671"/>
    <w:rsid w:val="ACD7FBCE"/>
    <w:rsid w:val="AD5FC3D8"/>
    <w:rsid w:val="ADFCDA63"/>
    <w:rsid w:val="AEFE2613"/>
    <w:rsid w:val="AF6D42D8"/>
    <w:rsid w:val="AF7B5CBD"/>
    <w:rsid w:val="AFF2AFD8"/>
    <w:rsid w:val="B0DD6782"/>
    <w:rsid w:val="B1BC1CFE"/>
    <w:rsid w:val="B3F789F3"/>
    <w:rsid w:val="B5E6287B"/>
    <w:rsid w:val="B5FFA584"/>
    <w:rsid w:val="B67F43DA"/>
    <w:rsid w:val="B7AAC7AB"/>
    <w:rsid w:val="B7BA8507"/>
    <w:rsid w:val="B7BD6C08"/>
    <w:rsid w:val="B7BF2100"/>
    <w:rsid w:val="B7BF928E"/>
    <w:rsid w:val="B7DB7E02"/>
    <w:rsid w:val="B7EFE48C"/>
    <w:rsid w:val="B7FB4104"/>
    <w:rsid w:val="B8F1D304"/>
    <w:rsid w:val="B9DFF72D"/>
    <w:rsid w:val="B9FE2322"/>
    <w:rsid w:val="BA9D2B5C"/>
    <w:rsid w:val="BB2DFF0C"/>
    <w:rsid w:val="BBB73ED3"/>
    <w:rsid w:val="BBDDE668"/>
    <w:rsid w:val="BBF976E4"/>
    <w:rsid w:val="BCFD65E9"/>
    <w:rsid w:val="BD1FFFD0"/>
    <w:rsid w:val="BD574E1A"/>
    <w:rsid w:val="BDD35FA2"/>
    <w:rsid w:val="BDFED098"/>
    <w:rsid w:val="BEFF32EE"/>
    <w:rsid w:val="BF3DD8EC"/>
    <w:rsid w:val="BF66D87B"/>
    <w:rsid w:val="BF7FA6A8"/>
    <w:rsid w:val="BF86A395"/>
    <w:rsid w:val="BF8B3571"/>
    <w:rsid w:val="BFAFE011"/>
    <w:rsid w:val="BFBED802"/>
    <w:rsid w:val="BFD7166A"/>
    <w:rsid w:val="BFE91E89"/>
    <w:rsid w:val="BFFDEDCF"/>
    <w:rsid w:val="BFFE8C2C"/>
    <w:rsid w:val="BFFFD4F7"/>
    <w:rsid w:val="C76F1B9F"/>
    <w:rsid w:val="CB7716C7"/>
    <w:rsid w:val="CBA5DAA6"/>
    <w:rsid w:val="CC6DE0F8"/>
    <w:rsid w:val="CCDD67D1"/>
    <w:rsid w:val="CD7F210F"/>
    <w:rsid w:val="D2BFFCB1"/>
    <w:rsid w:val="D3DF06DD"/>
    <w:rsid w:val="D3FDADCA"/>
    <w:rsid w:val="D5BF67B5"/>
    <w:rsid w:val="D5FFDDD5"/>
    <w:rsid w:val="D6EF683A"/>
    <w:rsid w:val="D74F8C7A"/>
    <w:rsid w:val="D8F1B670"/>
    <w:rsid w:val="D9BD4245"/>
    <w:rsid w:val="D9BF9829"/>
    <w:rsid w:val="DB5C880C"/>
    <w:rsid w:val="DB9D06EC"/>
    <w:rsid w:val="DBFA615B"/>
    <w:rsid w:val="DC676154"/>
    <w:rsid w:val="DCED8BC2"/>
    <w:rsid w:val="DD750548"/>
    <w:rsid w:val="DDEF21EF"/>
    <w:rsid w:val="DDFE3EC8"/>
    <w:rsid w:val="DDFEE100"/>
    <w:rsid w:val="DDFF03F5"/>
    <w:rsid w:val="DE3A4BE9"/>
    <w:rsid w:val="DE7B74E6"/>
    <w:rsid w:val="DEB67C06"/>
    <w:rsid w:val="DEB75CB5"/>
    <w:rsid w:val="DEB8D6C0"/>
    <w:rsid w:val="DEC755C4"/>
    <w:rsid w:val="DEE5F43D"/>
    <w:rsid w:val="DF5E709F"/>
    <w:rsid w:val="DFB7B065"/>
    <w:rsid w:val="DFE722C8"/>
    <w:rsid w:val="DFEADEEC"/>
    <w:rsid w:val="DFED96F5"/>
    <w:rsid w:val="DFF5BE25"/>
    <w:rsid w:val="DFFDF294"/>
    <w:rsid w:val="DFFE36F4"/>
    <w:rsid w:val="DFFF83D7"/>
    <w:rsid w:val="E1AE537B"/>
    <w:rsid w:val="E377CAD3"/>
    <w:rsid w:val="E5D7312E"/>
    <w:rsid w:val="E6EFE6B2"/>
    <w:rsid w:val="E75F346D"/>
    <w:rsid w:val="E77B90FD"/>
    <w:rsid w:val="E77EE8BD"/>
    <w:rsid w:val="E7FDD106"/>
    <w:rsid w:val="E7FF509E"/>
    <w:rsid w:val="E9EC7ED8"/>
    <w:rsid w:val="E9FD7CB3"/>
    <w:rsid w:val="EABE1C3F"/>
    <w:rsid w:val="EAFB901F"/>
    <w:rsid w:val="EB1ED3A4"/>
    <w:rsid w:val="EB76BA0A"/>
    <w:rsid w:val="EBA3F109"/>
    <w:rsid w:val="EBBE8894"/>
    <w:rsid w:val="EBDB85E2"/>
    <w:rsid w:val="EBDFAC8B"/>
    <w:rsid w:val="EBF58581"/>
    <w:rsid w:val="EBFAD5A7"/>
    <w:rsid w:val="ECFD547B"/>
    <w:rsid w:val="EDBB1478"/>
    <w:rsid w:val="EDDE5DAF"/>
    <w:rsid w:val="EDE12409"/>
    <w:rsid w:val="EDFB5EF7"/>
    <w:rsid w:val="EE7F1E85"/>
    <w:rsid w:val="EE8FF47B"/>
    <w:rsid w:val="EEFE3F12"/>
    <w:rsid w:val="EF36B7FB"/>
    <w:rsid w:val="EF3E4456"/>
    <w:rsid w:val="EF6AC498"/>
    <w:rsid w:val="EF6F0BE8"/>
    <w:rsid w:val="EF7DDF33"/>
    <w:rsid w:val="EF7E72E2"/>
    <w:rsid w:val="EFAF4FD4"/>
    <w:rsid w:val="EFE7B20E"/>
    <w:rsid w:val="EFEFB4B1"/>
    <w:rsid w:val="EFF5C566"/>
    <w:rsid w:val="EFFB1BAC"/>
    <w:rsid w:val="EFFD145D"/>
    <w:rsid w:val="EFFD8CFF"/>
    <w:rsid w:val="F1F5D3C4"/>
    <w:rsid w:val="F275DA76"/>
    <w:rsid w:val="F2DF2013"/>
    <w:rsid w:val="F32FB4EF"/>
    <w:rsid w:val="F3B33006"/>
    <w:rsid w:val="F3D90753"/>
    <w:rsid w:val="F3FFE6B5"/>
    <w:rsid w:val="F4FA30E7"/>
    <w:rsid w:val="F53FC911"/>
    <w:rsid w:val="F5750987"/>
    <w:rsid w:val="F5E75DD7"/>
    <w:rsid w:val="F5F30E22"/>
    <w:rsid w:val="F5FF5345"/>
    <w:rsid w:val="F64BCF72"/>
    <w:rsid w:val="F65D0F29"/>
    <w:rsid w:val="F66F9C62"/>
    <w:rsid w:val="F6B7E99E"/>
    <w:rsid w:val="F6B93B3E"/>
    <w:rsid w:val="F6DA814B"/>
    <w:rsid w:val="F6FCA072"/>
    <w:rsid w:val="F6FE3890"/>
    <w:rsid w:val="F6FE4781"/>
    <w:rsid w:val="F767787F"/>
    <w:rsid w:val="F7779F5E"/>
    <w:rsid w:val="F77B79BE"/>
    <w:rsid w:val="F77FFFC8"/>
    <w:rsid w:val="F7AD5629"/>
    <w:rsid w:val="F7AF4754"/>
    <w:rsid w:val="F7AF6DC5"/>
    <w:rsid w:val="F7BF4DCB"/>
    <w:rsid w:val="F7CB1098"/>
    <w:rsid w:val="F7D35C9B"/>
    <w:rsid w:val="F7D62FCE"/>
    <w:rsid w:val="F7DEBAE4"/>
    <w:rsid w:val="F7FEBCDB"/>
    <w:rsid w:val="F7FF8ABD"/>
    <w:rsid w:val="F7FFB081"/>
    <w:rsid w:val="F87F1A3D"/>
    <w:rsid w:val="F9BB8E09"/>
    <w:rsid w:val="F9BF68F8"/>
    <w:rsid w:val="F9CC6249"/>
    <w:rsid w:val="F9DE41CD"/>
    <w:rsid w:val="F9E751BA"/>
    <w:rsid w:val="FA3DCC22"/>
    <w:rsid w:val="FA6EA470"/>
    <w:rsid w:val="FAD6E1AF"/>
    <w:rsid w:val="FAEF69FA"/>
    <w:rsid w:val="FAFD2248"/>
    <w:rsid w:val="FAFDF4F8"/>
    <w:rsid w:val="FBAF6E9B"/>
    <w:rsid w:val="FBBF6130"/>
    <w:rsid w:val="FBEB7BF2"/>
    <w:rsid w:val="FBEBB3ED"/>
    <w:rsid w:val="FBFB0CD5"/>
    <w:rsid w:val="FBFC2E41"/>
    <w:rsid w:val="FBFD30AE"/>
    <w:rsid w:val="FBFEC197"/>
    <w:rsid w:val="FBFF6FD8"/>
    <w:rsid w:val="FBFFEA55"/>
    <w:rsid w:val="FC5E3D7D"/>
    <w:rsid w:val="FCFD6AF8"/>
    <w:rsid w:val="FCFFE151"/>
    <w:rsid w:val="FD679674"/>
    <w:rsid w:val="FD77CD95"/>
    <w:rsid w:val="FD7EE6D9"/>
    <w:rsid w:val="FD7F22E7"/>
    <w:rsid w:val="FDAD20B2"/>
    <w:rsid w:val="FDBD51EA"/>
    <w:rsid w:val="FDFB85B4"/>
    <w:rsid w:val="FDFF4920"/>
    <w:rsid w:val="FDFF96AE"/>
    <w:rsid w:val="FDFFF909"/>
    <w:rsid w:val="FE3F8F48"/>
    <w:rsid w:val="FE4FC563"/>
    <w:rsid w:val="FE539E0F"/>
    <w:rsid w:val="FE62886C"/>
    <w:rsid w:val="FEBF1833"/>
    <w:rsid w:val="FED61A61"/>
    <w:rsid w:val="FEDF65FC"/>
    <w:rsid w:val="FEE92AFA"/>
    <w:rsid w:val="FEEBB54D"/>
    <w:rsid w:val="FEEDE71C"/>
    <w:rsid w:val="FEF57FE0"/>
    <w:rsid w:val="FEF74162"/>
    <w:rsid w:val="FEF8F85A"/>
    <w:rsid w:val="FEFF5102"/>
    <w:rsid w:val="FF54E895"/>
    <w:rsid w:val="FF679C78"/>
    <w:rsid w:val="FF7780DB"/>
    <w:rsid w:val="FF7E1B76"/>
    <w:rsid w:val="FF7F1B75"/>
    <w:rsid w:val="FF7F442F"/>
    <w:rsid w:val="FF7F9012"/>
    <w:rsid w:val="FF7FBE0A"/>
    <w:rsid w:val="FFACB62B"/>
    <w:rsid w:val="FFBAE316"/>
    <w:rsid w:val="FFBB3092"/>
    <w:rsid w:val="FFBBC91E"/>
    <w:rsid w:val="FFBD2A63"/>
    <w:rsid w:val="FFBE8556"/>
    <w:rsid w:val="FFBEFFA5"/>
    <w:rsid w:val="FFBF6667"/>
    <w:rsid w:val="FFBFA54E"/>
    <w:rsid w:val="FFCBAC21"/>
    <w:rsid w:val="FFD2F072"/>
    <w:rsid w:val="FFD79819"/>
    <w:rsid w:val="FFD7D42B"/>
    <w:rsid w:val="FFDA555F"/>
    <w:rsid w:val="FFDF70C2"/>
    <w:rsid w:val="FFE703E8"/>
    <w:rsid w:val="FFEF3CED"/>
    <w:rsid w:val="FFF50D13"/>
    <w:rsid w:val="FFF77383"/>
    <w:rsid w:val="FFF93375"/>
    <w:rsid w:val="FFFAFFCB"/>
    <w:rsid w:val="FFFC772F"/>
    <w:rsid w:val="FFFDE791"/>
    <w:rsid w:val="FFFE2390"/>
    <w:rsid w:val="FFFF02D3"/>
    <w:rsid w:val="FFFF0B70"/>
    <w:rsid w:val="FFFF22AA"/>
    <w:rsid w:val="FFFF754C"/>
    <w:rsid w:val="FFFF9E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560" w:firstLineChars="200"/>
      <w:jc w:val="both"/>
    </w:pPr>
    <w:rPr>
      <w:rFonts w:ascii="Times New Roman" w:hAnsi="Times New Roman" w:eastAsia="仿宋_GB2312" w:cs="Times New Roman"/>
      <w:color w:val="000000"/>
      <w:sz w:val="32"/>
      <w:szCs w:val="24"/>
      <w:lang w:val="en-US" w:eastAsia="en-US" w:bidi="en-US"/>
    </w:rPr>
  </w:style>
  <w:style w:type="paragraph" w:styleId="2">
    <w:name w:val="heading 1"/>
    <w:basedOn w:val="1"/>
    <w:next w:val="1"/>
    <w:link w:val="66"/>
    <w:qFormat/>
    <w:uiPriority w:val="0"/>
    <w:pPr>
      <w:keepNext/>
      <w:keepLines/>
      <w:spacing w:before="50" w:beforeLines="50" w:after="50" w:afterLines="50"/>
      <w:ind w:firstLine="0" w:firstLineChars="0"/>
      <w:outlineLvl w:val="0"/>
    </w:pPr>
    <w:rPr>
      <w:rFonts w:eastAsia="黑体"/>
      <w:b/>
      <w:kern w:val="44"/>
    </w:rPr>
  </w:style>
  <w:style w:type="paragraph" w:styleId="3">
    <w:name w:val="heading 2"/>
    <w:basedOn w:val="1"/>
    <w:next w:val="1"/>
    <w:link w:val="28"/>
    <w:unhideWhenUsed/>
    <w:qFormat/>
    <w:uiPriority w:val="0"/>
    <w:pPr>
      <w:keepNext/>
      <w:keepLines/>
      <w:spacing w:before="50" w:beforeLines="50" w:after="50" w:afterLines="50"/>
      <w:outlineLvl w:val="1"/>
    </w:pPr>
    <w:rPr>
      <w:rFonts w:ascii="华文楷体" w:hAnsi="华文楷体" w:eastAsia="楷体"/>
      <w:b/>
    </w:rPr>
  </w:style>
  <w:style w:type="paragraph" w:styleId="4">
    <w:name w:val="heading 3"/>
    <w:basedOn w:val="1"/>
    <w:next w:val="1"/>
    <w:link w:val="27"/>
    <w:unhideWhenUsed/>
    <w:qFormat/>
    <w:uiPriority w:val="0"/>
    <w:pPr>
      <w:keepNext/>
      <w:keepLines/>
      <w:ind w:firstLine="200"/>
      <w:outlineLvl w:val="2"/>
    </w:pPr>
    <w:rPr>
      <w:b/>
    </w:rPr>
  </w:style>
  <w:style w:type="paragraph" w:styleId="5">
    <w:name w:val="heading 4"/>
    <w:basedOn w:val="1"/>
    <w:next w:val="1"/>
    <w:unhideWhenUsed/>
    <w:qFormat/>
    <w:uiPriority w:val="0"/>
    <w:pPr>
      <w:keepNext/>
      <w:keepLines/>
      <w:outlineLvl w:val="3"/>
    </w:pPr>
    <w:rPr>
      <w:b/>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0"/>
    <w:pPr>
      <w:ind w:left="1920"/>
      <w:jc w:val="left"/>
    </w:pPr>
    <w:rPr>
      <w:rFonts w:asciiTheme="minorHAnsi" w:hAnsiTheme="minorHAnsi" w:cstheme="minorHAnsi"/>
      <w:sz w:val="18"/>
      <w:szCs w:val="18"/>
    </w:rPr>
  </w:style>
  <w:style w:type="paragraph" w:styleId="7">
    <w:name w:val="Body Text"/>
    <w:basedOn w:val="1"/>
    <w:link w:val="54"/>
    <w:qFormat/>
    <w:uiPriority w:val="0"/>
    <w:pPr>
      <w:spacing w:before="240"/>
      <w:ind w:left="1160"/>
    </w:pPr>
    <w:rPr>
      <w:rFonts w:ascii="仿宋_GB2312" w:hAnsi="仿宋_GB2312" w:cs="仿宋_GB2312"/>
      <w:sz w:val="30"/>
      <w:szCs w:val="30"/>
      <w:lang w:val="zh-CN" w:eastAsia="zh-CN" w:bidi="zh-CN"/>
    </w:rPr>
  </w:style>
  <w:style w:type="paragraph" w:styleId="8">
    <w:name w:val="toc 5"/>
    <w:basedOn w:val="1"/>
    <w:next w:val="1"/>
    <w:qFormat/>
    <w:uiPriority w:val="0"/>
    <w:pPr>
      <w:ind w:left="1280"/>
      <w:jc w:val="left"/>
    </w:pPr>
    <w:rPr>
      <w:rFonts w:asciiTheme="minorHAnsi" w:hAnsiTheme="minorHAnsi" w:cstheme="minorHAnsi"/>
      <w:sz w:val="18"/>
      <w:szCs w:val="18"/>
    </w:rPr>
  </w:style>
  <w:style w:type="paragraph" w:styleId="9">
    <w:name w:val="toc 3"/>
    <w:basedOn w:val="1"/>
    <w:next w:val="1"/>
    <w:qFormat/>
    <w:uiPriority w:val="39"/>
    <w:pPr>
      <w:ind w:left="640"/>
      <w:jc w:val="left"/>
    </w:pPr>
    <w:rPr>
      <w:rFonts w:asciiTheme="minorHAnsi" w:hAnsiTheme="minorHAnsi" w:cstheme="minorHAnsi"/>
      <w:i/>
      <w:iCs/>
      <w:sz w:val="20"/>
      <w:szCs w:val="20"/>
    </w:rPr>
  </w:style>
  <w:style w:type="paragraph" w:styleId="10">
    <w:name w:val="toc 8"/>
    <w:basedOn w:val="1"/>
    <w:next w:val="1"/>
    <w:qFormat/>
    <w:uiPriority w:val="0"/>
    <w:pPr>
      <w:ind w:left="2240"/>
      <w:jc w:val="left"/>
    </w:pPr>
    <w:rPr>
      <w:rFonts w:asciiTheme="minorHAnsi" w:hAnsiTheme="minorHAnsi" w:cstheme="minorHAnsi"/>
      <w:sz w:val="18"/>
      <w:szCs w:val="18"/>
    </w:rPr>
  </w:style>
  <w:style w:type="paragraph" w:styleId="11">
    <w:name w:val="Date"/>
    <w:basedOn w:val="1"/>
    <w:next w:val="1"/>
    <w:link w:val="68"/>
    <w:qFormat/>
    <w:uiPriority w:val="0"/>
    <w:pPr>
      <w:ind w:left="100" w:leftChars="2500"/>
    </w:pPr>
  </w:style>
  <w:style w:type="paragraph" w:styleId="12">
    <w:name w:val="Balloon Text"/>
    <w:basedOn w:val="1"/>
    <w:link w:val="53"/>
    <w:qFormat/>
    <w:uiPriority w:val="0"/>
    <w:pPr>
      <w:spacing w:line="240" w:lineRule="auto"/>
    </w:pPr>
    <w:rPr>
      <w:sz w:val="18"/>
      <w:szCs w:val="18"/>
    </w:rPr>
  </w:style>
  <w:style w:type="paragraph" w:styleId="13">
    <w:name w:val="footer"/>
    <w:basedOn w:val="1"/>
    <w:link w:val="55"/>
    <w:qFormat/>
    <w:uiPriority w:val="99"/>
    <w:pPr>
      <w:tabs>
        <w:tab w:val="center" w:pos="4153"/>
        <w:tab w:val="right" w:pos="8306"/>
      </w:tabs>
      <w:snapToGrid w:val="0"/>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rFonts w:ascii="DejaVu Sans" w:hAnsi="DejaVu Sans"/>
      <w:sz w:val="18"/>
    </w:rPr>
  </w:style>
  <w:style w:type="paragraph" w:styleId="15">
    <w:name w:val="toc 1"/>
    <w:basedOn w:val="1"/>
    <w:next w:val="1"/>
    <w:qFormat/>
    <w:uiPriority w:val="39"/>
    <w:pPr>
      <w:spacing w:before="120" w:after="120"/>
      <w:jc w:val="left"/>
    </w:pPr>
    <w:rPr>
      <w:rFonts w:asciiTheme="minorHAnsi" w:hAnsiTheme="minorHAnsi" w:cstheme="minorHAnsi"/>
      <w:b/>
      <w:bCs/>
      <w:caps/>
      <w:sz w:val="20"/>
      <w:szCs w:val="20"/>
    </w:rPr>
  </w:style>
  <w:style w:type="paragraph" w:styleId="16">
    <w:name w:val="toc 4"/>
    <w:basedOn w:val="1"/>
    <w:next w:val="1"/>
    <w:qFormat/>
    <w:uiPriority w:val="0"/>
    <w:pPr>
      <w:ind w:left="960"/>
      <w:jc w:val="left"/>
    </w:pPr>
    <w:rPr>
      <w:rFonts w:asciiTheme="minorHAnsi" w:hAnsiTheme="minorHAnsi" w:cstheme="minorHAnsi"/>
      <w:sz w:val="18"/>
      <w:szCs w:val="18"/>
    </w:rPr>
  </w:style>
  <w:style w:type="paragraph" w:styleId="17">
    <w:name w:val="toc 6"/>
    <w:basedOn w:val="1"/>
    <w:next w:val="1"/>
    <w:qFormat/>
    <w:uiPriority w:val="0"/>
    <w:pPr>
      <w:ind w:left="1600"/>
      <w:jc w:val="left"/>
    </w:pPr>
    <w:rPr>
      <w:rFonts w:asciiTheme="minorHAnsi" w:hAnsiTheme="minorHAnsi" w:cstheme="minorHAnsi"/>
      <w:sz w:val="18"/>
      <w:szCs w:val="18"/>
    </w:rPr>
  </w:style>
  <w:style w:type="paragraph" w:styleId="18">
    <w:name w:val="toc 2"/>
    <w:basedOn w:val="1"/>
    <w:next w:val="1"/>
    <w:qFormat/>
    <w:uiPriority w:val="39"/>
    <w:pPr>
      <w:ind w:left="320"/>
      <w:jc w:val="left"/>
    </w:pPr>
    <w:rPr>
      <w:rFonts w:asciiTheme="minorHAnsi" w:hAnsiTheme="minorHAnsi" w:cstheme="minorHAnsi"/>
      <w:smallCaps/>
      <w:sz w:val="20"/>
      <w:szCs w:val="20"/>
    </w:rPr>
  </w:style>
  <w:style w:type="paragraph" w:styleId="19">
    <w:name w:val="toc 9"/>
    <w:basedOn w:val="1"/>
    <w:next w:val="1"/>
    <w:qFormat/>
    <w:uiPriority w:val="0"/>
    <w:pPr>
      <w:ind w:left="2560"/>
      <w:jc w:val="left"/>
    </w:pPr>
    <w:rPr>
      <w:rFonts w:asciiTheme="minorHAnsi" w:hAnsiTheme="minorHAnsi" w:cstheme="minorHAnsi"/>
      <w:sz w:val="18"/>
      <w:szCs w:val="18"/>
    </w:rPr>
  </w:style>
  <w:style w:type="paragraph" w:styleId="20">
    <w:name w:val="Normal (Web)"/>
    <w:basedOn w:val="1"/>
    <w:qFormat/>
    <w:uiPriority w:val="99"/>
    <w:pPr>
      <w:spacing w:beforeAutospacing="1" w:afterAutospacing="1"/>
    </w:pPr>
    <w:rPr>
      <w:sz w:val="24"/>
      <w:lang w:eastAsia="zh-CN" w:bidi="ar-SA"/>
    </w:rPr>
  </w:style>
  <w:style w:type="paragraph" w:styleId="21">
    <w:name w:val="Title"/>
    <w:basedOn w:val="1"/>
    <w:next w:val="1"/>
    <w:link w:val="58"/>
    <w:qFormat/>
    <w:uiPriority w:val="0"/>
    <w:pPr>
      <w:spacing w:before="100" w:beforeLines="100" w:after="100" w:afterLines="100" w:line="360" w:lineRule="auto"/>
      <w:ind w:firstLine="0" w:firstLineChars="0"/>
      <w:jc w:val="center"/>
      <w:outlineLvl w:val="0"/>
    </w:pPr>
    <w:rPr>
      <w:rFonts w:eastAsia="方正小标宋" w:cstheme="majorBidi"/>
      <w:b/>
      <w:bCs/>
      <w:sz w:val="44"/>
      <w:szCs w:val="32"/>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character" w:styleId="26">
    <w:name w:val="Hyperlink"/>
    <w:basedOn w:val="24"/>
    <w:qFormat/>
    <w:uiPriority w:val="99"/>
    <w:rPr>
      <w:color w:val="0000FF"/>
      <w:u w:val="single"/>
    </w:rPr>
  </w:style>
  <w:style w:type="character" w:customStyle="1" w:styleId="27">
    <w:name w:val="标题 3 字符"/>
    <w:link w:val="4"/>
    <w:qFormat/>
    <w:uiPriority w:val="0"/>
    <w:rPr>
      <w:rFonts w:eastAsia="仿宋_GB2312"/>
      <w:b/>
      <w:color w:val="000000"/>
      <w:sz w:val="32"/>
      <w:szCs w:val="24"/>
      <w:lang w:eastAsia="en-US" w:bidi="en-US"/>
    </w:rPr>
  </w:style>
  <w:style w:type="character" w:customStyle="1" w:styleId="28">
    <w:name w:val="标题 2 字符"/>
    <w:link w:val="3"/>
    <w:qFormat/>
    <w:uiPriority w:val="0"/>
    <w:rPr>
      <w:rFonts w:ascii="华文楷体" w:hAnsi="华文楷体" w:eastAsia="楷体"/>
      <w:b/>
    </w:rPr>
  </w:style>
  <w:style w:type="paragraph" w:customStyle="1" w:styleId="29">
    <w:name w:val="Body text|2"/>
    <w:basedOn w:val="1"/>
    <w:qFormat/>
    <w:uiPriority w:val="0"/>
    <w:pPr>
      <w:spacing w:line="322" w:lineRule="exact"/>
      <w:ind w:firstLine="400"/>
    </w:pPr>
    <w:rPr>
      <w:rFonts w:ascii="宋体" w:hAnsi="宋体" w:eastAsia="宋体" w:cs="宋体"/>
      <w:sz w:val="19"/>
      <w:szCs w:val="19"/>
      <w:lang w:val="zh-TW" w:eastAsia="zh-TW" w:bidi="zh-TW"/>
    </w:rPr>
  </w:style>
  <w:style w:type="paragraph" w:customStyle="1" w:styleId="30">
    <w:name w:val="Header or footer|1"/>
    <w:basedOn w:val="1"/>
    <w:qFormat/>
    <w:uiPriority w:val="0"/>
    <w:rPr>
      <w:lang w:val="zh-TW" w:eastAsia="zh-TW" w:bidi="zh-TW"/>
    </w:rPr>
  </w:style>
  <w:style w:type="paragraph" w:customStyle="1" w:styleId="31">
    <w:name w:val="标题4"/>
    <w:basedOn w:val="29"/>
    <w:qFormat/>
    <w:uiPriority w:val="0"/>
    <w:pPr>
      <w:spacing w:line="360" w:lineRule="auto"/>
      <w:ind w:firstLine="881"/>
    </w:pPr>
    <w:rPr>
      <w:rFonts w:eastAsia="华文仿宋"/>
      <w:b/>
      <w:sz w:val="32"/>
    </w:rPr>
  </w:style>
  <w:style w:type="paragraph" w:customStyle="1" w:styleId="32">
    <w:name w:val="Body text|1"/>
    <w:basedOn w:val="1"/>
    <w:qFormat/>
    <w:uiPriority w:val="0"/>
    <w:pPr>
      <w:spacing w:line="360" w:lineRule="auto"/>
      <w:ind w:firstLine="400"/>
    </w:pPr>
    <w:rPr>
      <w:rFonts w:ascii="宋体" w:hAnsi="宋体" w:eastAsia="宋体" w:cs="宋体"/>
      <w:lang w:val="zh-TW" w:eastAsia="zh-TW" w:bidi="zh-TW"/>
    </w:rPr>
  </w:style>
  <w:style w:type="character" w:customStyle="1" w:styleId="33">
    <w:name w:val="font01"/>
    <w:basedOn w:val="24"/>
    <w:qFormat/>
    <w:uiPriority w:val="0"/>
    <w:rPr>
      <w:rFonts w:ascii="Arial" w:hAnsi="Arial" w:cs="Arial"/>
      <w:color w:val="000000"/>
      <w:sz w:val="22"/>
      <w:szCs w:val="22"/>
      <w:u w:val="none"/>
    </w:rPr>
  </w:style>
  <w:style w:type="character" w:customStyle="1" w:styleId="34">
    <w:name w:val="font11"/>
    <w:basedOn w:val="24"/>
    <w:qFormat/>
    <w:uiPriority w:val="0"/>
    <w:rPr>
      <w:rFonts w:ascii="font-weight : 400" w:hAnsi="font-weight : 400" w:eastAsia="font-weight : 400" w:cs="font-weight : 400"/>
      <w:color w:val="000000"/>
      <w:sz w:val="22"/>
      <w:szCs w:val="22"/>
      <w:u w:val="none"/>
    </w:rPr>
  </w:style>
  <w:style w:type="character" w:customStyle="1" w:styleId="35">
    <w:name w:val="font51"/>
    <w:basedOn w:val="24"/>
    <w:qFormat/>
    <w:uiPriority w:val="0"/>
    <w:rPr>
      <w:rFonts w:hint="eastAsia" w:ascii="宋体" w:hAnsi="宋体" w:eastAsia="宋体" w:cs="宋体"/>
      <w:color w:val="000000"/>
      <w:sz w:val="22"/>
      <w:szCs w:val="22"/>
      <w:u w:val="none"/>
    </w:rPr>
  </w:style>
  <w:style w:type="character" w:customStyle="1" w:styleId="36">
    <w:name w:val="正文 + Arial Char"/>
    <w:link w:val="37"/>
    <w:qFormat/>
    <w:locked/>
    <w:uiPriority w:val="0"/>
    <w:rPr>
      <w:rFonts w:ascii="Arial"/>
      <w:kern w:val="0"/>
      <w:sz w:val="24"/>
    </w:rPr>
  </w:style>
  <w:style w:type="paragraph" w:customStyle="1" w:styleId="37">
    <w:name w:val="正文 + Arial"/>
    <w:basedOn w:val="1"/>
    <w:link w:val="36"/>
    <w:qFormat/>
    <w:uiPriority w:val="0"/>
    <w:pPr>
      <w:spacing w:afterLines="50" w:line="360" w:lineRule="auto"/>
      <w:ind w:firstLine="420"/>
    </w:pPr>
    <w:rPr>
      <w:rFonts w:ascii="Arial"/>
      <w:sz w:val="24"/>
    </w:rPr>
  </w:style>
  <w:style w:type="paragraph" w:customStyle="1" w:styleId="38">
    <w:name w:val="列出段落1"/>
    <w:basedOn w:val="1"/>
    <w:qFormat/>
    <w:uiPriority w:val="1"/>
    <w:pPr>
      <w:spacing w:before="3"/>
      <w:ind w:left="2332" w:hanging="753"/>
    </w:pPr>
    <w:rPr>
      <w:rFonts w:ascii="仿宋_GB2312" w:hAnsi="仿宋_GB2312" w:cs="仿宋_GB2312"/>
      <w:lang w:val="zh-CN" w:eastAsia="zh-CN" w:bidi="zh-CN"/>
    </w:rPr>
  </w:style>
  <w:style w:type="paragraph" w:customStyle="1" w:styleId="39">
    <w:name w:val="分类号"/>
    <w:basedOn w:val="1"/>
    <w:qFormat/>
    <w:uiPriority w:val="0"/>
    <w:pPr>
      <w:spacing w:line="240" w:lineRule="auto"/>
      <w:ind w:firstLine="0" w:firstLineChars="0"/>
    </w:pPr>
    <w:rPr>
      <w:rFonts w:ascii="仿宋_GB2312"/>
      <w:kern w:val="2"/>
      <w:sz w:val="28"/>
      <w:szCs w:val="28"/>
      <w:lang w:eastAsia="zh-CN" w:bidi="ar-SA"/>
    </w:rPr>
  </w:style>
  <w:style w:type="paragraph" w:customStyle="1" w:styleId="40">
    <w:name w:val="硕士学位论文"/>
    <w:basedOn w:val="1"/>
    <w:qFormat/>
    <w:uiPriority w:val="0"/>
    <w:pPr>
      <w:spacing w:before="240" w:line="240" w:lineRule="auto"/>
      <w:ind w:firstLine="0" w:firstLineChars="0"/>
      <w:jc w:val="center"/>
    </w:pPr>
    <w:rPr>
      <w:rFonts w:eastAsia="宋体"/>
      <w:kern w:val="2"/>
      <w:sz w:val="44"/>
      <w:szCs w:val="44"/>
      <w:lang w:eastAsia="zh-CN" w:bidi="ar-SA"/>
    </w:rPr>
  </w:style>
  <w:style w:type="paragraph" w:customStyle="1" w:styleId="41">
    <w:name w:val="论文标题"/>
    <w:basedOn w:val="1"/>
    <w:qFormat/>
    <w:uiPriority w:val="0"/>
    <w:pPr>
      <w:spacing w:line="240" w:lineRule="auto"/>
      <w:ind w:firstLine="0" w:firstLineChars="0"/>
      <w:jc w:val="center"/>
    </w:pPr>
    <w:rPr>
      <w:rFonts w:eastAsia="楷体_GB2312"/>
      <w:b/>
      <w:kern w:val="36"/>
      <w:sz w:val="52"/>
      <w:szCs w:val="52"/>
      <w:lang w:eastAsia="zh-CN" w:bidi="ar-SA"/>
    </w:rPr>
  </w:style>
  <w:style w:type="paragraph" w:customStyle="1" w:styleId="42">
    <w:name w:val="研究生姓名"/>
    <w:basedOn w:val="1"/>
    <w:qFormat/>
    <w:uiPriority w:val="0"/>
    <w:pPr>
      <w:spacing w:line="240" w:lineRule="auto"/>
      <w:ind w:firstLine="700" w:firstLineChars="700"/>
    </w:pPr>
    <w:rPr>
      <w:rFonts w:eastAsia="宋体"/>
      <w:kern w:val="2"/>
      <w:sz w:val="28"/>
      <w:szCs w:val="28"/>
      <w:lang w:eastAsia="zh-CN" w:bidi="ar-SA"/>
    </w:rPr>
  </w:style>
  <w:style w:type="paragraph" w:customStyle="1" w:styleId="43">
    <w:name w:val="封面日期"/>
    <w:basedOn w:val="1"/>
    <w:qFormat/>
    <w:uiPriority w:val="0"/>
    <w:pPr>
      <w:spacing w:line="240" w:lineRule="auto"/>
      <w:ind w:firstLine="0" w:firstLineChars="0"/>
      <w:jc w:val="center"/>
    </w:pPr>
    <w:rPr>
      <w:rFonts w:ascii="黑体" w:eastAsia="黑体"/>
      <w:kern w:val="2"/>
      <w:szCs w:val="32"/>
      <w:lang w:eastAsia="zh-CN" w:bidi="ar-SA"/>
    </w:rPr>
  </w:style>
  <w:style w:type="paragraph" w:customStyle="1" w:styleId="44">
    <w:name w:val="WPSOffice手动目录 1"/>
    <w:qFormat/>
    <w:uiPriority w:val="0"/>
    <w:rPr>
      <w:rFonts w:ascii="Times New Roman" w:hAnsi="Times New Roman" w:eastAsia="宋体" w:cs="Times New Roman"/>
      <w:lang w:val="en-US" w:eastAsia="zh-CN" w:bidi="ar-SA"/>
    </w:rPr>
  </w:style>
  <w:style w:type="paragraph" w:customStyle="1" w:styleId="45">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46">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47">
    <w:name w:val="font21"/>
    <w:basedOn w:val="24"/>
    <w:qFormat/>
    <w:uiPriority w:val="0"/>
    <w:rPr>
      <w:rFonts w:ascii="宋体" w:hAnsi="宋体" w:eastAsia="宋体" w:cs="宋体"/>
      <w:color w:val="000000"/>
      <w:sz w:val="22"/>
      <w:szCs w:val="22"/>
      <w:u w:val="none"/>
    </w:rPr>
  </w:style>
  <w:style w:type="character" w:customStyle="1" w:styleId="48">
    <w:name w:val="font81"/>
    <w:basedOn w:val="24"/>
    <w:qFormat/>
    <w:uiPriority w:val="0"/>
    <w:rPr>
      <w:rFonts w:hint="eastAsia" w:ascii="宋体" w:hAnsi="宋体" w:eastAsia="宋体" w:cs="宋体"/>
      <w:color w:val="000000"/>
      <w:sz w:val="22"/>
      <w:szCs w:val="22"/>
      <w:u w:val="none"/>
    </w:rPr>
  </w:style>
  <w:style w:type="character" w:customStyle="1" w:styleId="49">
    <w:name w:val="font31"/>
    <w:basedOn w:val="24"/>
    <w:qFormat/>
    <w:uiPriority w:val="0"/>
    <w:rPr>
      <w:rFonts w:hint="eastAsia" w:ascii="宋体" w:hAnsi="宋体" w:eastAsia="宋体" w:cs="宋体"/>
      <w:color w:val="000000"/>
      <w:sz w:val="22"/>
      <w:szCs w:val="22"/>
      <w:u w:val="none"/>
    </w:rPr>
  </w:style>
  <w:style w:type="character" w:customStyle="1" w:styleId="50">
    <w:name w:val="font61"/>
    <w:basedOn w:val="24"/>
    <w:qFormat/>
    <w:uiPriority w:val="0"/>
    <w:rPr>
      <w:rFonts w:ascii="宋体" w:hAnsi="宋体" w:eastAsia="宋体" w:cs="宋体"/>
      <w:color w:val="000000"/>
      <w:sz w:val="22"/>
      <w:szCs w:val="22"/>
      <w:u w:val="none"/>
    </w:rPr>
  </w:style>
  <w:style w:type="character" w:customStyle="1" w:styleId="51">
    <w:name w:val="font71"/>
    <w:basedOn w:val="24"/>
    <w:qFormat/>
    <w:uiPriority w:val="0"/>
    <w:rPr>
      <w:rFonts w:hint="eastAsia" w:ascii="宋体" w:hAnsi="宋体" w:eastAsia="宋体" w:cs="宋体"/>
      <w:color w:val="FF0000"/>
      <w:sz w:val="24"/>
      <w:szCs w:val="24"/>
      <w:u w:val="none"/>
    </w:rPr>
  </w:style>
  <w:style w:type="character" w:customStyle="1" w:styleId="52">
    <w:name w:val="font41"/>
    <w:basedOn w:val="24"/>
    <w:qFormat/>
    <w:uiPriority w:val="0"/>
    <w:rPr>
      <w:rFonts w:hint="eastAsia" w:ascii="宋体" w:hAnsi="宋体" w:eastAsia="宋体" w:cs="宋体"/>
      <w:color w:val="000000"/>
      <w:sz w:val="24"/>
      <w:szCs w:val="24"/>
      <w:u w:val="none"/>
    </w:rPr>
  </w:style>
  <w:style w:type="character" w:customStyle="1" w:styleId="53">
    <w:name w:val="批注框文本 字符"/>
    <w:basedOn w:val="24"/>
    <w:link w:val="12"/>
    <w:qFormat/>
    <w:uiPriority w:val="0"/>
    <w:rPr>
      <w:rFonts w:eastAsia="华文仿宋"/>
      <w:color w:val="000000"/>
      <w:sz w:val="18"/>
      <w:szCs w:val="18"/>
      <w:lang w:eastAsia="en-US" w:bidi="en-US"/>
    </w:rPr>
  </w:style>
  <w:style w:type="character" w:customStyle="1" w:styleId="54">
    <w:name w:val="正文文本 字符"/>
    <w:basedOn w:val="24"/>
    <w:link w:val="7"/>
    <w:qFormat/>
    <w:uiPriority w:val="0"/>
    <w:rPr>
      <w:rFonts w:ascii="仿宋_GB2312" w:hAnsi="仿宋_GB2312" w:eastAsia="仿宋_GB2312" w:cs="仿宋_GB2312"/>
      <w:color w:val="000000"/>
      <w:sz w:val="30"/>
      <w:szCs w:val="30"/>
      <w:lang w:val="zh-CN" w:bidi="zh-CN"/>
    </w:rPr>
  </w:style>
  <w:style w:type="character" w:customStyle="1" w:styleId="55">
    <w:name w:val="页脚 字符"/>
    <w:basedOn w:val="24"/>
    <w:link w:val="13"/>
    <w:qFormat/>
    <w:uiPriority w:val="99"/>
    <w:rPr>
      <w:rFonts w:eastAsia="仿宋_GB2312"/>
      <w:color w:val="000000"/>
      <w:sz w:val="18"/>
      <w:szCs w:val="24"/>
      <w:lang w:eastAsia="en-US" w:bidi="en-US"/>
    </w:rPr>
  </w:style>
  <w:style w:type="paragraph" w:styleId="56">
    <w:name w:val="List Paragraph"/>
    <w:basedOn w:val="1"/>
    <w:qFormat/>
    <w:uiPriority w:val="99"/>
    <w:pPr>
      <w:ind w:firstLine="420"/>
    </w:pPr>
  </w:style>
  <w:style w:type="table" w:customStyle="1" w:styleId="57">
    <w:name w:val="Table Normal"/>
    <w:semiHidden/>
    <w:unhideWhenUsed/>
    <w:qFormat/>
    <w:uiPriority w:val="0"/>
    <w:rPr>
      <w:rFonts w:ascii="Arial" w:hAnsi="Arial" w:cs="Arial" w:eastAsiaTheme="minorEastAsia"/>
      <w:snapToGrid w:val="0"/>
      <w:color w:val="000000"/>
      <w:sz w:val="21"/>
      <w:szCs w:val="21"/>
    </w:rPr>
    <w:tblPr>
      <w:tblCellMar>
        <w:top w:w="0" w:type="dxa"/>
        <w:left w:w="0" w:type="dxa"/>
        <w:bottom w:w="0" w:type="dxa"/>
        <w:right w:w="0" w:type="dxa"/>
      </w:tblCellMar>
    </w:tblPr>
  </w:style>
  <w:style w:type="character" w:customStyle="1" w:styleId="58">
    <w:name w:val="标题 字符"/>
    <w:basedOn w:val="24"/>
    <w:link w:val="21"/>
    <w:qFormat/>
    <w:uiPriority w:val="0"/>
    <w:rPr>
      <w:rFonts w:eastAsia="方正小标宋" w:cstheme="majorBidi"/>
      <w:b/>
      <w:bCs/>
      <w:color w:val="000000"/>
      <w:sz w:val="44"/>
      <w:szCs w:val="32"/>
      <w:lang w:eastAsia="en-US" w:bidi="en-US"/>
    </w:rPr>
  </w:style>
  <w:style w:type="character" w:customStyle="1" w:styleId="59">
    <w:name w:val="font91"/>
    <w:basedOn w:val="24"/>
    <w:qFormat/>
    <w:uiPriority w:val="0"/>
    <w:rPr>
      <w:rFonts w:hint="eastAsia" w:ascii="宋体" w:hAnsi="宋体" w:eastAsia="宋体" w:cs="宋体"/>
      <w:b/>
      <w:bCs/>
      <w:color w:val="000000"/>
      <w:sz w:val="24"/>
      <w:szCs w:val="24"/>
      <w:u w:val="none"/>
    </w:rPr>
  </w:style>
  <w:style w:type="character" w:customStyle="1" w:styleId="60">
    <w:name w:val="font101"/>
    <w:basedOn w:val="24"/>
    <w:qFormat/>
    <w:uiPriority w:val="0"/>
    <w:rPr>
      <w:rFonts w:ascii="方正书宋_GBK" w:hAnsi="方正书宋_GBK" w:eastAsia="方正书宋_GBK" w:cs="方正书宋_GBK"/>
      <w:b/>
      <w:bCs/>
      <w:color w:val="000000"/>
      <w:sz w:val="24"/>
      <w:szCs w:val="24"/>
      <w:u w:val="none"/>
    </w:rPr>
  </w:style>
  <w:style w:type="character" w:customStyle="1" w:styleId="61">
    <w:name w:val="font112"/>
    <w:basedOn w:val="24"/>
    <w:qFormat/>
    <w:uiPriority w:val="0"/>
    <w:rPr>
      <w:rFonts w:hint="eastAsia" w:ascii="宋体" w:hAnsi="宋体" w:eastAsia="宋体" w:cs="宋体"/>
      <w:b/>
      <w:bCs/>
      <w:color w:val="000000"/>
      <w:sz w:val="24"/>
      <w:szCs w:val="24"/>
      <w:u w:val="none"/>
    </w:rPr>
  </w:style>
  <w:style w:type="character" w:customStyle="1" w:styleId="62">
    <w:name w:val="font121"/>
    <w:basedOn w:val="24"/>
    <w:qFormat/>
    <w:uiPriority w:val="0"/>
    <w:rPr>
      <w:rFonts w:hint="eastAsia" w:ascii="宋体" w:hAnsi="宋体" w:eastAsia="宋体" w:cs="宋体"/>
      <w:color w:val="000000"/>
      <w:sz w:val="24"/>
      <w:szCs w:val="24"/>
      <w:u w:val="none"/>
    </w:rPr>
  </w:style>
  <w:style w:type="character" w:customStyle="1" w:styleId="63">
    <w:name w:val="font131"/>
    <w:basedOn w:val="24"/>
    <w:qFormat/>
    <w:uiPriority w:val="0"/>
    <w:rPr>
      <w:rFonts w:hint="default" w:ascii="Times New Roman" w:hAnsi="Times New Roman" w:cs="Times New Roman"/>
      <w:color w:val="000000"/>
      <w:sz w:val="24"/>
      <w:szCs w:val="24"/>
      <w:u w:val="none"/>
    </w:rPr>
  </w:style>
  <w:style w:type="character" w:customStyle="1" w:styleId="64">
    <w:name w:val="font141"/>
    <w:basedOn w:val="24"/>
    <w:qFormat/>
    <w:uiPriority w:val="0"/>
    <w:rPr>
      <w:rFonts w:hint="eastAsia" w:ascii="宋体" w:hAnsi="宋体" w:eastAsia="宋体" w:cs="宋体"/>
      <w:color w:val="000000"/>
      <w:sz w:val="24"/>
      <w:szCs w:val="24"/>
      <w:u w:val="none"/>
    </w:rPr>
  </w:style>
  <w:style w:type="character" w:customStyle="1" w:styleId="65">
    <w:name w:val="font151"/>
    <w:basedOn w:val="24"/>
    <w:qFormat/>
    <w:uiPriority w:val="0"/>
    <w:rPr>
      <w:rFonts w:hint="default" w:ascii="Times New Roman" w:hAnsi="Times New Roman" w:cs="Times New Roman"/>
      <w:color w:val="000000"/>
      <w:sz w:val="24"/>
      <w:szCs w:val="24"/>
      <w:u w:val="none"/>
    </w:rPr>
  </w:style>
  <w:style w:type="character" w:customStyle="1" w:styleId="66">
    <w:name w:val="标题 1 字符"/>
    <w:link w:val="2"/>
    <w:qFormat/>
    <w:uiPriority w:val="0"/>
    <w:rPr>
      <w:rFonts w:eastAsia="黑体"/>
      <w:b/>
      <w:kern w:val="44"/>
    </w:rPr>
  </w:style>
  <w:style w:type="character" w:customStyle="1" w:styleId="67">
    <w:name w:val="CharAttribute37"/>
    <w:qFormat/>
    <w:uiPriority w:val="99"/>
    <w:rPr>
      <w:rFonts w:ascii="宋体" w:hAnsi="宋体" w:eastAsia="Times New Roman"/>
      <w:sz w:val="24"/>
    </w:rPr>
  </w:style>
  <w:style w:type="character" w:customStyle="1" w:styleId="68">
    <w:name w:val="日期 字符"/>
    <w:basedOn w:val="24"/>
    <w:link w:val="11"/>
    <w:qFormat/>
    <w:uiPriority w:val="0"/>
    <w:rPr>
      <w:rFonts w:eastAsia="仿宋_GB2312"/>
      <w:color w:val="000000"/>
      <w:sz w:val="32"/>
      <w:szCs w:val="24"/>
      <w:lang w:eastAsia="en-US" w:bidi="en-US"/>
    </w:rPr>
  </w:style>
  <w:style w:type="paragraph" w:customStyle="1" w:styleId="69">
    <w:name w:val="Table Text"/>
    <w:basedOn w:val="1"/>
    <w:semiHidden/>
    <w:qFormat/>
    <w:uiPriority w:val="0"/>
    <w:pPr>
      <w:widowControl/>
      <w:kinsoku w:val="0"/>
      <w:autoSpaceDE w:val="0"/>
      <w:autoSpaceDN w:val="0"/>
      <w:adjustRightInd w:val="0"/>
      <w:snapToGrid w:val="0"/>
      <w:spacing w:after="160" w:line="240" w:lineRule="auto"/>
      <w:ind w:firstLine="0" w:firstLineChars="0"/>
      <w:jc w:val="left"/>
      <w:textAlignment w:val="baseline"/>
    </w:pPr>
    <w:rPr>
      <w:rFonts w:ascii="宋体" w:hAnsi="宋体" w:eastAsia="宋体" w:cs="宋体"/>
      <w:snapToGrid w:val="0"/>
      <w:sz w:val="39"/>
      <w:szCs w:val="39"/>
      <w:lang w:bidi="ar-SA"/>
    </w:rPr>
  </w:style>
  <w:style w:type="paragraph" w:customStyle="1" w:styleId="70">
    <w:name w:val="TOC Heading"/>
    <w:basedOn w:val="2"/>
    <w:next w:val="1"/>
    <w:unhideWhenUsed/>
    <w:qFormat/>
    <w:uiPriority w:val="39"/>
    <w:pPr>
      <w:widowControl/>
      <w:spacing w:before="240" w:beforeLines="0" w:after="0" w:afterLines="0" w:line="259" w:lineRule="auto"/>
      <w:jc w:val="left"/>
      <w:outlineLvl w:val="9"/>
    </w:pPr>
    <w:rPr>
      <w:rFonts w:asciiTheme="majorHAnsi" w:hAnsiTheme="majorHAnsi" w:eastAsiaTheme="majorEastAsia" w:cstheme="majorBidi"/>
      <w:b w:val="0"/>
      <w:color w:val="2E75B6" w:themeColor="accent1" w:themeShade="BF"/>
      <w:kern w:val="0"/>
      <w:szCs w:val="32"/>
      <w:lang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40382E-0462-43B4-8C70-2C3774C061E1}">
  <ds:schemaRefs/>
</ds:datastoreItem>
</file>

<file path=docProps/app.xml><?xml version="1.0" encoding="utf-8"?>
<Properties xmlns="http://schemas.openxmlformats.org/officeDocument/2006/extended-properties" xmlns:vt="http://schemas.openxmlformats.org/officeDocument/2006/docPropsVTypes">
  <Template>Normal.dotm</Template>
  <Company>iTianKong.com</Company>
  <Pages>38</Pages>
  <Words>602</Words>
  <Characters>683</Characters>
  <Lines>1305</Lines>
  <Paragraphs>755</Paragraphs>
  <TotalTime>11</TotalTime>
  <ScaleCrop>false</ScaleCrop>
  <LinksUpToDate>false</LinksUpToDate>
  <CharactersWithSpaces>728</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2024-10-11T12:17:00Z</dcterms:created>
  <dc:creator>cll</dc:creator>
  <cp:lastModifiedBy>薄荷与橙</cp:lastModifiedBy>
  <cp:lastPrinted>2023-06-19T07:58:00Z</cp:lastPrinted>
  <dcterms:modified xsi:type="dcterms:W3CDTF">2025-12-30T02:54:29Z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58CB3AE3722C4C8CA167D2F3944BF467_13</vt:lpwstr>
  </property>
  <property fmtid="{D5CDD505-2E9C-101B-9397-08002B2CF9AE}" pid="4" name="KSOTemplateDocerSaveRecord">
    <vt:lpwstr>eyJoZGlkIjoiNTZlOTk1YjIxZjg2YTQ5NjZjM2E1OTljNGIzZDlkYzgiLCJ1c2VySWQiOiIxNTU2NzM1NzYwIn0=</vt:lpwstr>
  </property>
</Properties>
</file>