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Autospacing="0" w:afterAutospacing="0" w:line="820" w:lineRule="exact"/>
        <w:ind w:firstLine="0" w:firstLineChars="0"/>
        <w:jc w:val="center"/>
        <w:outlineLvl w:val="0"/>
        <w:rPr>
          <w:rFonts w:hint="eastAsia" w:ascii="方正小标宋简体" w:hAnsi="方正小标宋简体" w:eastAsia="方正小标宋简体" w:cs="方正小标宋简体"/>
          <w:b w:val="0"/>
          <w:bCs w:val="0"/>
          <w:sz w:val="44"/>
          <w:szCs w:val="44"/>
          <w:lang w:eastAsia="zh-CN"/>
        </w:rPr>
      </w:pPr>
      <w:bookmarkStart w:id="0" w:name="_Toc29454"/>
      <w:bookmarkStart w:id="1" w:name="_Toc4482"/>
      <w:bookmarkStart w:id="2" w:name="_Toc16439"/>
      <w:bookmarkStart w:id="3" w:name="_Toc27923"/>
      <w:r>
        <w:rPr>
          <w:rFonts w:hint="eastAsia" w:ascii="方正小标宋简体" w:hAnsi="方正小标宋简体" w:eastAsia="方正小标宋简体" w:cs="方正小标宋简体"/>
          <w:b w:val="0"/>
          <w:bCs w:val="0"/>
          <w:sz w:val="44"/>
          <w:szCs w:val="44"/>
          <w:lang w:eastAsia="zh-CN"/>
        </w:rPr>
        <w:t>中共乐山市金口河区委宣传部</w:t>
      </w:r>
      <w:bookmarkEnd w:id="0"/>
    </w:p>
    <w:p>
      <w:pPr>
        <w:pStyle w:val="19"/>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lang w:eastAsia="zh-CN"/>
        </w:rPr>
      </w:pPr>
      <w:bookmarkStart w:id="4" w:name="_Toc18514"/>
      <w:r>
        <w:rPr>
          <w:rFonts w:hint="eastAsia" w:ascii="方正小标宋简体" w:hAnsi="方正小标宋简体" w:eastAsia="方正小标宋简体" w:cs="方正小标宋简体"/>
          <w:b w:val="0"/>
          <w:bCs w:val="0"/>
          <w:sz w:val="44"/>
          <w:szCs w:val="44"/>
          <w:lang w:eastAsia="zh-CN"/>
        </w:rPr>
        <w:t>外宣经费</w:t>
      </w:r>
      <w:bookmarkEnd w:id="4"/>
    </w:p>
    <w:bookmarkEnd w:id="1"/>
    <w:bookmarkEnd w:id="2"/>
    <w:bookmarkEnd w:id="3"/>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5" w:name="_Toc76"/>
      <w:bookmarkStart w:id="6" w:name="_Toc24858"/>
      <w:r>
        <w:rPr>
          <w:rFonts w:hint="eastAsia" w:ascii="方正小标宋简体" w:hAnsi="方正小标宋简体" w:eastAsia="方正小标宋简体" w:cs="方正小标宋简体"/>
          <w:b w:val="0"/>
          <w:bCs w:val="0"/>
          <w:sz w:val="44"/>
          <w:szCs w:val="44"/>
        </w:rPr>
        <w:t>事</w:t>
      </w:r>
      <w:bookmarkEnd w:id="5"/>
      <w:bookmarkEnd w:id="6"/>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7" w:name="_Toc24702"/>
      <w:bookmarkStart w:id="8" w:name="_Toc19435"/>
      <w:r>
        <w:rPr>
          <w:rFonts w:hint="eastAsia" w:ascii="方正小标宋简体" w:hAnsi="方正小标宋简体" w:eastAsia="方正小标宋简体" w:cs="方正小标宋简体"/>
          <w:b w:val="0"/>
          <w:bCs w:val="0"/>
          <w:sz w:val="44"/>
          <w:szCs w:val="44"/>
        </w:rPr>
        <w:t>前</w:t>
      </w:r>
      <w:bookmarkEnd w:id="7"/>
      <w:bookmarkEnd w:id="8"/>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9" w:name="_Toc17772"/>
      <w:bookmarkStart w:id="10" w:name="_Toc22839"/>
      <w:r>
        <w:rPr>
          <w:rFonts w:hint="eastAsia" w:ascii="方正小标宋简体" w:hAnsi="方正小标宋简体" w:eastAsia="方正小标宋简体" w:cs="方正小标宋简体"/>
          <w:b w:val="0"/>
          <w:bCs w:val="0"/>
          <w:sz w:val="44"/>
          <w:szCs w:val="44"/>
        </w:rPr>
        <w:t>绩</w:t>
      </w:r>
      <w:bookmarkEnd w:id="9"/>
      <w:bookmarkEnd w:id="10"/>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1" w:name="_Toc30199"/>
      <w:bookmarkStart w:id="12" w:name="_Toc19986"/>
      <w:r>
        <w:rPr>
          <w:rFonts w:hint="eastAsia" w:ascii="方正小标宋简体" w:hAnsi="方正小标宋简体" w:eastAsia="方正小标宋简体" w:cs="方正小标宋简体"/>
          <w:b w:val="0"/>
          <w:bCs w:val="0"/>
          <w:sz w:val="44"/>
          <w:szCs w:val="44"/>
        </w:rPr>
        <w:t>效</w:t>
      </w:r>
      <w:bookmarkEnd w:id="11"/>
      <w:bookmarkEnd w:id="12"/>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3" w:name="_Toc27740"/>
      <w:bookmarkStart w:id="14" w:name="_Toc4511"/>
      <w:r>
        <w:rPr>
          <w:rFonts w:hint="eastAsia" w:ascii="方正小标宋简体" w:hAnsi="方正小标宋简体" w:eastAsia="方正小标宋简体" w:cs="方正小标宋简体"/>
          <w:b w:val="0"/>
          <w:bCs w:val="0"/>
          <w:sz w:val="44"/>
          <w:szCs w:val="44"/>
        </w:rPr>
        <w:t>评</w:t>
      </w:r>
      <w:bookmarkEnd w:id="13"/>
      <w:bookmarkEnd w:id="14"/>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5" w:name="_Toc25357"/>
      <w:bookmarkStart w:id="16" w:name="_Toc5005"/>
      <w:r>
        <w:rPr>
          <w:rFonts w:hint="eastAsia" w:ascii="方正小标宋简体" w:hAnsi="方正小标宋简体" w:eastAsia="方正小标宋简体" w:cs="方正小标宋简体"/>
          <w:b w:val="0"/>
          <w:bCs w:val="0"/>
          <w:sz w:val="44"/>
          <w:szCs w:val="44"/>
        </w:rPr>
        <w:t>价</w:t>
      </w:r>
      <w:bookmarkEnd w:id="15"/>
      <w:bookmarkEnd w:id="16"/>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7" w:name="_Toc22413"/>
      <w:bookmarkStart w:id="18" w:name="_Toc21295"/>
      <w:r>
        <w:rPr>
          <w:rFonts w:hint="eastAsia" w:ascii="方正小标宋简体" w:hAnsi="方正小标宋简体" w:eastAsia="方正小标宋简体" w:cs="方正小标宋简体"/>
          <w:b w:val="0"/>
          <w:bCs w:val="0"/>
          <w:sz w:val="44"/>
          <w:szCs w:val="44"/>
        </w:rPr>
        <w:t>报</w:t>
      </w:r>
      <w:bookmarkEnd w:id="17"/>
      <w:bookmarkEnd w:id="18"/>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9" w:name="_Toc27508"/>
      <w:bookmarkStart w:id="20" w:name="_Toc5311"/>
      <w:r>
        <w:rPr>
          <w:rFonts w:hint="eastAsia" w:ascii="方正小标宋简体" w:hAnsi="方正小标宋简体" w:eastAsia="方正小标宋简体" w:cs="方正小标宋简体"/>
          <w:b w:val="0"/>
          <w:bCs w:val="0"/>
          <w:sz w:val="44"/>
          <w:szCs w:val="44"/>
        </w:rPr>
        <w:t>告</w:t>
      </w:r>
      <w:bookmarkEnd w:id="19"/>
      <w:bookmarkEnd w:id="20"/>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eastAsia="仿宋_GB2312"/>
          <w:bCs/>
          <w:sz w:val="28"/>
          <w:szCs w:val="28"/>
          <w:highlight w:val="none"/>
          <w:lang w:eastAsia="zh-CN"/>
        </w:rPr>
      </w:pPr>
      <w:r>
        <w:rPr>
          <w:rStyle w:val="66"/>
          <w:rFonts w:eastAsia="仿宋_GB2312"/>
          <w:bCs/>
          <w:sz w:val="28"/>
          <w:szCs w:val="28"/>
          <w:lang w:eastAsia="zh-CN"/>
        </w:rPr>
        <w:t>项目编号：</w:t>
      </w:r>
      <w:r>
        <w:rPr>
          <w:rStyle w:val="66"/>
          <w:rFonts w:eastAsia="仿宋_GB2312"/>
          <w:bCs/>
          <w:sz w:val="28"/>
          <w:szCs w:val="28"/>
          <w:highlight w:val="none"/>
          <w:lang w:eastAsia="zh-CN"/>
        </w:rPr>
        <w:t>金财绩评（202</w:t>
      </w:r>
      <w:r>
        <w:rPr>
          <w:rStyle w:val="66"/>
          <w:rFonts w:hint="eastAsia" w:eastAsia="仿宋_GB2312"/>
          <w:bCs/>
          <w:sz w:val="28"/>
          <w:szCs w:val="28"/>
          <w:highlight w:val="none"/>
          <w:lang w:eastAsia="zh-CN"/>
        </w:rPr>
        <w:t>5</w:t>
      </w:r>
      <w:r>
        <w:rPr>
          <w:rStyle w:val="66"/>
          <w:rFonts w:eastAsia="仿宋_GB2312"/>
          <w:bCs/>
          <w:sz w:val="28"/>
          <w:szCs w:val="28"/>
          <w:highlight w:val="none"/>
          <w:lang w:eastAsia="zh-CN"/>
        </w:rPr>
        <w:t>）0</w:t>
      </w:r>
      <w:r>
        <w:rPr>
          <w:rStyle w:val="66"/>
          <w:rFonts w:hint="eastAsia"/>
          <w:bCs/>
          <w:sz w:val="28"/>
          <w:szCs w:val="28"/>
          <w:highlight w:val="none"/>
          <w:lang w:val="en-US" w:eastAsia="zh-CN"/>
        </w:rPr>
        <w:t>1</w:t>
      </w:r>
      <w:r>
        <w:rPr>
          <w:rStyle w:val="66"/>
          <w:rFonts w:eastAsia="仿宋_GB2312"/>
          <w:bCs/>
          <w:sz w:val="28"/>
          <w:szCs w:val="28"/>
          <w:highlight w:val="none"/>
          <w:lang w:eastAsia="zh-CN"/>
        </w:rPr>
        <w:t>号</w:t>
      </w:r>
    </w:p>
    <w:p>
      <w:pPr>
        <w:snapToGrid w:val="0"/>
        <w:spacing w:line="600" w:lineRule="exact"/>
        <w:rPr>
          <w:rStyle w:val="66"/>
          <w:rFonts w:hint="eastAsia" w:eastAsia="仿宋_GB2312"/>
          <w:bCs/>
          <w:sz w:val="28"/>
          <w:szCs w:val="28"/>
          <w:highlight w:val="none"/>
          <w:lang w:eastAsia="zh-CN"/>
        </w:rPr>
      </w:pPr>
      <w:r>
        <w:rPr>
          <w:rStyle w:val="66"/>
          <w:rFonts w:eastAsia="仿宋_GB2312"/>
          <w:bCs/>
          <w:sz w:val="28"/>
          <w:szCs w:val="28"/>
          <w:highlight w:val="none"/>
          <w:lang w:eastAsia="zh-CN"/>
        </w:rPr>
        <w:t>主管部门：</w:t>
      </w:r>
      <w:r>
        <w:rPr>
          <w:rStyle w:val="66"/>
          <w:rFonts w:hint="eastAsia" w:eastAsia="仿宋_GB2312"/>
          <w:bCs/>
          <w:sz w:val="28"/>
          <w:szCs w:val="28"/>
          <w:highlight w:val="none"/>
          <w:lang w:eastAsia="zh-CN"/>
        </w:rPr>
        <w:t>中共乐山市金口河区委宣传部</w:t>
      </w:r>
    </w:p>
    <w:p>
      <w:pPr>
        <w:snapToGrid w:val="0"/>
        <w:spacing w:line="600" w:lineRule="exact"/>
        <w:rPr>
          <w:rStyle w:val="66"/>
          <w:rFonts w:hint="eastAsia" w:eastAsia="仿宋_GB2312"/>
          <w:bCs/>
          <w:sz w:val="28"/>
          <w:szCs w:val="28"/>
          <w:highlight w:val="none"/>
          <w:lang w:eastAsia="zh-CN"/>
        </w:rPr>
      </w:pPr>
      <w:r>
        <w:rPr>
          <w:rStyle w:val="66"/>
          <w:rFonts w:eastAsia="仿宋_GB2312"/>
          <w:bCs/>
          <w:sz w:val="28"/>
          <w:szCs w:val="28"/>
          <w:highlight w:val="none"/>
          <w:lang w:eastAsia="zh-CN"/>
        </w:rPr>
        <w:t>实施单位：</w:t>
      </w:r>
      <w:r>
        <w:rPr>
          <w:rStyle w:val="66"/>
          <w:rFonts w:hint="eastAsia" w:eastAsia="仿宋_GB2312"/>
          <w:bCs/>
          <w:sz w:val="28"/>
          <w:szCs w:val="28"/>
          <w:highlight w:val="none"/>
          <w:lang w:eastAsia="zh-CN"/>
        </w:rPr>
        <w:t>中共乐山市金口河区委宣传部</w:t>
      </w:r>
    </w:p>
    <w:p>
      <w:pPr>
        <w:snapToGrid w:val="0"/>
        <w:spacing w:line="600" w:lineRule="exact"/>
        <w:rPr>
          <w:rStyle w:val="66"/>
          <w:rFonts w:hint="eastAsia" w:eastAsia="仿宋_GB2312"/>
          <w:bCs/>
          <w:sz w:val="28"/>
          <w:szCs w:val="28"/>
          <w:highlight w:val="none"/>
          <w:lang w:eastAsia="zh-CN"/>
        </w:rPr>
      </w:pPr>
      <w:r>
        <w:rPr>
          <w:rStyle w:val="66"/>
          <w:rFonts w:hint="eastAsia" w:eastAsia="仿宋_GB2312"/>
          <w:bCs/>
          <w:sz w:val="28"/>
          <w:szCs w:val="28"/>
          <w:highlight w:val="none"/>
          <w:lang w:eastAsia="zh-CN"/>
        </w:rPr>
        <w:t>评价单位：乐山市金口河区财政投资评价审核中心</w:t>
      </w:r>
    </w:p>
    <w:p>
      <w:pPr>
        <w:snapToGrid w:val="0"/>
        <w:spacing w:line="600" w:lineRule="exact"/>
        <w:rPr>
          <w:rStyle w:val="66"/>
          <w:rFonts w:hint="eastAsia" w:eastAsia="仿宋_GB2312"/>
          <w:bCs/>
          <w:sz w:val="28"/>
          <w:szCs w:val="28"/>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21" w:name="_Toc26328"/>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中共乐山市金口河区委宣传部</w:t>
      </w:r>
      <w:bookmarkEnd w:id="21"/>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22" w:name="_Toc28036"/>
      <w:r>
        <w:rPr>
          <w:rFonts w:hint="eastAsia" w:ascii="方正小标宋简体" w:hAnsi="方正小标宋简体" w:eastAsia="方正小标宋简体" w:cs="方正小标宋简体"/>
          <w:b w:val="0"/>
          <w:bCs w:val="0"/>
          <w:sz w:val="44"/>
          <w:szCs w:val="44"/>
          <w:lang w:eastAsia="zh-CN"/>
        </w:rPr>
        <w:t>外宣经费</w:t>
      </w:r>
      <w:bookmarkEnd w:id="22"/>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23" w:name="_Toc23933"/>
      <w:bookmarkStart w:id="24" w:name="_Toc24232"/>
      <w:r>
        <w:rPr>
          <w:rFonts w:hint="eastAsia" w:ascii="方正小标宋简体" w:hAnsi="方正小标宋简体" w:eastAsia="方正小标宋简体" w:cs="方正小标宋简体"/>
          <w:b w:val="0"/>
          <w:bCs w:val="0"/>
          <w:sz w:val="44"/>
          <w:szCs w:val="44"/>
          <w:lang w:eastAsia="zh-CN"/>
        </w:rPr>
        <w:t>事前绩效评价结论</w:t>
      </w:r>
      <w:bookmarkEnd w:id="23"/>
      <w:bookmarkEnd w:id="24"/>
    </w:p>
    <w:p>
      <w:pPr>
        <w:pStyle w:val="2"/>
        <w:numPr>
          <w:ilvl w:val="0"/>
          <w:numId w:val="0"/>
        </w:numPr>
        <w:spacing w:before="0" w:beforeLines="0" w:after="0" w:afterLines="0"/>
        <w:ind w:leftChars="0"/>
        <w:rPr>
          <w:rFonts w:hint="eastAsia" w:ascii="仿宋" w:hAnsi="仿宋" w:eastAsia="仿宋" w:cs="仿宋"/>
          <w:b w:val="0"/>
          <w:bCs w:val="0"/>
          <w:color w:val="auto"/>
          <w:lang w:eastAsia="zh-CN"/>
        </w:rPr>
      </w:pPr>
    </w:p>
    <w:p>
      <w:pPr>
        <w:bidi w:val="0"/>
        <w:rPr>
          <w:rFonts w:hint="default" w:ascii="仿宋" w:hAnsi="仿宋" w:eastAsia="仿宋" w:cs="仿宋"/>
          <w:b w:val="0"/>
          <w:bCs w:val="0"/>
          <w:color w:val="auto"/>
          <w:lang w:val="en-US" w:eastAsia="zh-CN"/>
        </w:rPr>
      </w:pPr>
      <w:r>
        <w:rPr>
          <w:rFonts w:hint="eastAsia" w:ascii="仿宋" w:hAnsi="仿宋" w:eastAsia="仿宋" w:cs="仿宋"/>
          <w:b w:val="0"/>
          <w:bCs w:val="0"/>
          <w:color w:val="auto"/>
          <w:lang w:eastAsia="zh-CN"/>
        </w:rPr>
        <w:t>我中心对外宣经费</w:t>
      </w:r>
      <w:r>
        <w:rPr>
          <w:rFonts w:hint="eastAsia" w:ascii="仿宋" w:hAnsi="仿宋" w:eastAsia="仿宋" w:cs="仿宋"/>
          <w:b w:val="0"/>
          <w:bCs w:val="0"/>
          <w:color w:val="auto"/>
          <w:lang w:val="en-US" w:eastAsia="zh-CN"/>
        </w:rPr>
        <w:t>事前</w:t>
      </w:r>
      <w:r>
        <w:rPr>
          <w:rFonts w:hint="eastAsia" w:ascii="仿宋" w:hAnsi="仿宋" w:eastAsia="仿宋" w:cs="仿宋"/>
          <w:b w:val="0"/>
          <w:bCs w:val="0"/>
          <w:color w:val="auto"/>
          <w:lang w:eastAsia="zh-CN"/>
        </w:rPr>
        <w:t>绩效评价综合得分为</w:t>
      </w:r>
      <w:r>
        <w:rPr>
          <w:rFonts w:hint="eastAsia" w:ascii="仿宋" w:hAnsi="仿宋" w:eastAsia="仿宋" w:cs="仿宋"/>
          <w:b w:val="0"/>
          <w:bCs w:val="0"/>
          <w:color w:val="auto"/>
          <w:lang w:val="en-US" w:eastAsia="zh-CN"/>
        </w:rPr>
        <w:t>95分</w:t>
      </w:r>
      <w:r>
        <w:rPr>
          <w:rFonts w:hint="eastAsia" w:ascii="仿宋" w:hAnsi="仿宋" w:eastAsia="仿宋" w:cs="仿宋"/>
          <w:szCs w:val="32"/>
          <w:lang w:eastAsia="zh-CN"/>
        </w:rPr>
        <w:t>，</w:t>
      </w:r>
      <w:r>
        <w:rPr>
          <w:rFonts w:ascii="仿宋" w:hAnsi="仿宋" w:eastAsia="仿宋" w:cs="仿宋"/>
          <w:szCs w:val="32"/>
          <w:lang w:eastAsia="zh-CN"/>
        </w:rPr>
        <w:t>综合绩效评估结论为“</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b w:val="0"/>
          <w:bCs w:val="0"/>
          <w:color w:val="auto"/>
          <w:lang w:eastAsia="zh-CN"/>
        </w:rPr>
        <w:t>（具体评</w:t>
      </w:r>
      <w:r>
        <w:rPr>
          <w:rFonts w:hint="eastAsia" w:ascii="仿宋" w:hAnsi="仿宋" w:eastAsia="仿宋" w:cs="仿宋"/>
          <w:b w:val="0"/>
          <w:bCs w:val="0"/>
          <w:color w:val="auto"/>
          <w:highlight w:val="none"/>
          <w:lang w:eastAsia="zh-CN"/>
        </w:rPr>
        <w:t>分情况见</w:t>
      </w:r>
      <w:r>
        <w:rPr>
          <w:rFonts w:hint="eastAsia" w:ascii="仿宋" w:hAnsi="仿宋" w:eastAsia="仿宋" w:cs="仿宋"/>
          <w:b w:val="0"/>
          <w:bCs w:val="0"/>
          <w:color w:val="auto"/>
          <w:highlight w:val="none"/>
          <w:lang w:val="en-US" w:eastAsia="zh-CN"/>
        </w:rPr>
        <w:t>三、</w:t>
      </w:r>
      <w:r>
        <w:rPr>
          <w:rFonts w:hint="eastAsia" w:ascii="仿宋" w:hAnsi="仿宋" w:eastAsia="仿宋" w:cs="仿宋"/>
          <w:b w:val="0"/>
          <w:bCs/>
          <w:szCs w:val="32"/>
          <w:highlight w:val="none"/>
          <w:lang w:eastAsia="zh-CN"/>
        </w:rPr>
        <w:t>事</w:t>
      </w:r>
      <w:r>
        <w:rPr>
          <w:rFonts w:hint="eastAsia" w:ascii="仿宋" w:hAnsi="仿宋" w:eastAsia="仿宋" w:cs="仿宋"/>
          <w:b w:val="0"/>
          <w:bCs/>
          <w:szCs w:val="32"/>
          <w:lang w:eastAsia="zh-CN"/>
        </w:rPr>
        <w:t>前绩效评估指标体系及得分情况</w:t>
      </w:r>
      <w:r>
        <w:rPr>
          <w:rFonts w:hint="eastAsia" w:ascii="仿宋" w:hAnsi="仿宋" w:eastAsia="仿宋" w:cs="仿宋"/>
          <w:b w:val="0"/>
          <w:bCs w:val="0"/>
          <w:color w:val="auto"/>
          <w:lang w:eastAsia="zh-CN"/>
        </w:rPr>
        <w:t>）</w:t>
      </w:r>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25" w:name="_Toc27829"/>
      <w:r>
        <w:rPr>
          <w:rFonts w:hint="eastAsia" w:ascii="仿宋" w:hAnsi="仿宋" w:eastAsia="仿宋" w:cs="仿宋"/>
          <w:b w:val="0"/>
          <w:bCs w:val="0"/>
          <w:color w:val="auto"/>
          <w:lang w:eastAsia="zh-CN"/>
        </w:rPr>
        <w:t>外宣经费</w:t>
      </w:r>
      <w:bookmarkEnd w:id="25"/>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26" w:name="_Toc29428"/>
      <w:bookmarkStart w:id="27" w:name="_Toc25829"/>
      <w:bookmarkStart w:id="28" w:name="_Toc13519"/>
      <w:bookmarkStart w:id="29" w:name="_Toc2897"/>
      <w:bookmarkStart w:id="30" w:name="_Toc4904"/>
      <w:r>
        <w:rPr>
          <w:rFonts w:hint="eastAsia" w:ascii="仿宋" w:hAnsi="仿宋" w:eastAsia="仿宋" w:cs="仿宋"/>
          <w:b w:val="0"/>
          <w:bCs w:val="0"/>
          <w:color w:val="auto"/>
          <w:lang w:eastAsia="zh-CN"/>
        </w:rPr>
        <w:t>事前绩效评价结论一览</w:t>
      </w:r>
      <w:r>
        <w:rPr>
          <w:rFonts w:hint="eastAsia" w:ascii="仿宋" w:hAnsi="仿宋" w:eastAsia="仿宋" w:cs="仿宋"/>
          <w:b w:val="0"/>
          <w:bCs w:val="0"/>
          <w:szCs w:val="32"/>
          <w:lang w:eastAsia="zh-CN"/>
        </w:rPr>
        <w:t>表</w:t>
      </w:r>
      <w:bookmarkEnd w:id="26"/>
      <w:bookmarkEnd w:id="27"/>
      <w:bookmarkEnd w:id="28"/>
      <w:bookmarkEnd w:id="29"/>
      <w:bookmarkEnd w:id="30"/>
    </w:p>
    <w:tbl>
      <w:tblPr>
        <w:tblStyle w:val="21"/>
        <w:tblW w:w="4915" w:type="pct"/>
        <w:tblInd w:w="0" w:type="dxa"/>
        <w:tblLayout w:type="fixed"/>
        <w:tblCellMar>
          <w:top w:w="0" w:type="dxa"/>
          <w:left w:w="108" w:type="dxa"/>
          <w:bottom w:w="0" w:type="dxa"/>
          <w:right w:w="108" w:type="dxa"/>
        </w:tblCellMar>
      </w:tblPr>
      <w:tblGrid>
        <w:gridCol w:w="5514"/>
        <w:gridCol w:w="1388"/>
        <w:gridCol w:w="1475"/>
      </w:tblGrid>
      <w:tr>
        <w:tblPrEx>
          <w:tblCellMar>
            <w:top w:w="0" w:type="dxa"/>
            <w:left w:w="108" w:type="dxa"/>
            <w:bottom w:w="0" w:type="dxa"/>
            <w:right w:w="108" w:type="dxa"/>
          </w:tblCellMar>
        </w:tblPrEx>
        <w:trPr>
          <w:trHeight w:val="624" w:hRule="exact"/>
        </w:trPr>
        <w:tc>
          <w:tcPr>
            <w:tcW w:w="3291"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828"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88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项目实施的必要性、公益性、</w:t>
            </w:r>
            <w:r>
              <w:rPr>
                <w:rFonts w:hint="eastAsia" w:ascii="仿宋" w:hAnsi="仿宋" w:eastAsia="仿宋" w:cs="仿宋"/>
                <w:bCs/>
                <w:snapToGrid w:val="0"/>
                <w:sz w:val="28"/>
                <w:szCs w:val="28"/>
                <w:lang w:val="en-US" w:eastAsia="zh-CN"/>
              </w:rPr>
              <w:t>经济</w:t>
            </w:r>
            <w:r>
              <w:rPr>
                <w:rFonts w:hint="eastAsia" w:ascii="仿宋" w:hAnsi="仿宋" w:eastAsia="仿宋" w:cs="仿宋"/>
                <w:bCs/>
                <w:snapToGrid w:val="0"/>
                <w:sz w:val="28"/>
                <w:szCs w:val="28"/>
                <w:lang w:eastAsia="zh-CN"/>
              </w:rPr>
              <w:t>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88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实施</w:t>
            </w:r>
            <w:r>
              <w:rPr>
                <w:rFonts w:hint="eastAsia" w:ascii="仿宋" w:hAnsi="仿宋" w:eastAsia="仿宋" w:cs="仿宋"/>
                <w:bCs/>
                <w:snapToGrid w:val="0"/>
                <w:sz w:val="28"/>
                <w:szCs w:val="28"/>
                <w:lang w:eastAsia="zh-CN"/>
              </w:rPr>
              <w:t>合规性与成熟度</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88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项目资金来源和到位可行性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88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r>
      <w:tr>
        <w:tblPrEx>
          <w:tblCellMar>
            <w:top w:w="0" w:type="dxa"/>
            <w:left w:w="108" w:type="dxa"/>
            <w:bottom w:w="0" w:type="dxa"/>
            <w:right w:w="108" w:type="dxa"/>
          </w:tblCellMar>
        </w:tblPrEx>
        <w:trPr>
          <w:trHeight w:val="1067"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资金使用计划</w:t>
            </w:r>
            <w:r>
              <w:rPr>
                <w:rFonts w:hint="eastAsia" w:ascii="仿宋" w:hAnsi="仿宋" w:eastAsia="仿宋" w:cs="仿宋"/>
                <w:bCs/>
                <w:snapToGrid w:val="0"/>
                <w:sz w:val="28"/>
                <w:szCs w:val="28"/>
                <w:lang w:val="en-US" w:eastAsia="zh-CN"/>
              </w:rPr>
              <w:t>及支付</w:t>
            </w:r>
            <w:r>
              <w:rPr>
                <w:rFonts w:hint="eastAsia" w:ascii="仿宋" w:hAnsi="仿宋" w:eastAsia="仿宋" w:cs="仿宋"/>
                <w:bCs/>
                <w:snapToGrid w:val="0"/>
                <w:sz w:val="28"/>
                <w:szCs w:val="28"/>
                <w:lang w:eastAsia="zh-CN"/>
              </w:rPr>
              <w:t>合理性、</w:t>
            </w:r>
          </w:p>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资金到位及时性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项目绩效目标明确性、合理性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项目实施</w:t>
            </w:r>
            <w:r>
              <w:rPr>
                <w:rFonts w:hint="eastAsia" w:ascii="仿宋" w:hAnsi="仿宋" w:eastAsia="仿宋" w:cs="仿宋"/>
                <w:bCs/>
                <w:snapToGrid w:val="0"/>
                <w:sz w:val="28"/>
                <w:szCs w:val="28"/>
                <w:lang w:val="en-US" w:eastAsia="zh-CN"/>
              </w:rPr>
              <w:t>程序合规</w:t>
            </w:r>
            <w:r>
              <w:rPr>
                <w:rFonts w:hint="eastAsia" w:ascii="仿宋" w:hAnsi="仿宋" w:eastAsia="仿宋" w:cs="仿宋"/>
                <w:bCs/>
                <w:snapToGrid w:val="0"/>
                <w:sz w:val="28"/>
                <w:szCs w:val="28"/>
                <w:lang w:eastAsia="zh-CN"/>
              </w:rPr>
              <w:t>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项目实施成果合格性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bidi="ar"/>
              </w:rPr>
              <w:t>综合得分</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b/>
                <w:bCs/>
                <w:color w:val="auto"/>
                <w:sz w:val="28"/>
                <w:szCs w:val="28"/>
                <w:highlight w:val="none"/>
              </w:rPr>
            </w:pPr>
            <w:r>
              <w:rPr>
                <w:rFonts w:hint="default" w:ascii="仿宋" w:hAnsi="仿宋" w:eastAsia="仿宋" w:cs="仿宋"/>
                <w:b/>
                <w:bCs/>
                <w:color w:val="auto"/>
                <w:sz w:val="28"/>
                <w:szCs w:val="28"/>
                <w:highlight w:val="none"/>
              </w:rPr>
              <w:fldChar w:fldCharType="begin"/>
            </w:r>
            <w:r>
              <w:rPr>
                <w:rFonts w:hint="default" w:ascii="仿宋" w:hAnsi="仿宋" w:eastAsia="仿宋" w:cs="仿宋"/>
                <w:b/>
                <w:bCs/>
                <w:color w:val="auto"/>
                <w:sz w:val="28"/>
                <w:szCs w:val="28"/>
                <w:highlight w:val="none"/>
              </w:rPr>
              <w:instrText xml:space="preserve"> =SUM(ABOVE) \* MERGEFORMAT </w:instrText>
            </w:r>
            <w:r>
              <w:rPr>
                <w:rFonts w:hint="default" w:ascii="仿宋" w:hAnsi="仿宋" w:eastAsia="仿宋" w:cs="仿宋"/>
                <w:b/>
                <w:bCs/>
                <w:color w:val="auto"/>
                <w:sz w:val="28"/>
                <w:szCs w:val="28"/>
                <w:highlight w:val="none"/>
              </w:rPr>
              <w:fldChar w:fldCharType="separate"/>
            </w:r>
            <w:r>
              <w:rPr>
                <w:rFonts w:hint="default" w:ascii="仿宋" w:hAnsi="仿宋" w:eastAsia="仿宋" w:cs="仿宋"/>
                <w:b/>
                <w:bCs/>
                <w:color w:val="auto"/>
                <w:sz w:val="28"/>
                <w:szCs w:val="28"/>
                <w:highlight w:val="none"/>
              </w:rPr>
              <w:t>100</w:t>
            </w:r>
            <w:r>
              <w:rPr>
                <w:rFonts w:hint="default" w:ascii="仿宋" w:hAnsi="仿宋" w:eastAsia="仿宋" w:cs="仿宋"/>
                <w:b/>
                <w:bCs/>
                <w:color w:val="auto"/>
                <w:sz w:val="28"/>
                <w:szCs w:val="28"/>
                <w:highlight w:val="none"/>
              </w:rPr>
              <w:fldChar w:fldCharType="end"/>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color w:val="auto"/>
                <w:sz w:val="28"/>
                <w:szCs w:val="28"/>
                <w:highlight w:val="none"/>
                <w:lang w:eastAsia="zh-CN"/>
              </w:rPr>
            </w:pPr>
            <w:r>
              <w:rPr>
                <w:rFonts w:hint="default" w:ascii="仿宋" w:hAnsi="仿宋" w:eastAsia="仿宋" w:cs="仿宋"/>
                <w:b/>
                <w:bCs/>
                <w:color w:val="auto"/>
                <w:sz w:val="28"/>
                <w:szCs w:val="28"/>
                <w:highlight w:val="none"/>
                <w:lang w:eastAsia="zh-CN"/>
              </w:rPr>
              <w:fldChar w:fldCharType="begin"/>
            </w:r>
            <w:r>
              <w:rPr>
                <w:rFonts w:hint="default" w:ascii="仿宋" w:hAnsi="仿宋" w:eastAsia="仿宋" w:cs="仿宋"/>
                <w:b/>
                <w:bCs/>
                <w:color w:val="auto"/>
                <w:sz w:val="28"/>
                <w:szCs w:val="28"/>
                <w:highlight w:val="none"/>
                <w:lang w:eastAsia="zh-CN"/>
              </w:rPr>
              <w:instrText xml:space="preserve"> =SUM(ABOVE) \* MERGEFORMAT </w:instrText>
            </w:r>
            <w:r>
              <w:rPr>
                <w:rFonts w:hint="default" w:ascii="仿宋" w:hAnsi="仿宋" w:eastAsia="仿宋" w:cs="仿宋"/>
                <w:b/>
                <w:bCs/>
                <w:color w:val="auto"/>
                <w:sz w:val="28"/>
                <w:szCs w:val="28"/>
                <w:highlight w:val="none"/>
                <w:lang w:eastAsia="zh-CN"/>
              </w:rPr>
              <w:fldChar w:fldCharType="separate"/>
            </w:r>
            <w:r>
              <w:rPr>
                <w:rFonts w:hint="default" w:ascii="仿宋" w:hAnsi="仿宋" w:eastAsia="仿宋" w:cs="仿宋"/>
                <w:b/>
                <w:bCs/>
                <w:color w:val="auto"/>
                <w:sz w:val="28"/>
                <w:szCs w:val="28"/>
                <w:highlight w:val="none"/>
                <w:lang w:eastAsia="zh-CN"/>
              </w:rPr>
              <w:t>95</w:t>
            </w:r>
            <w:r>
              <w:rPr>
                <w:rFonts w:hint="default" w:ascii="仿宋" w:hAnsi="仿宋" w:eastAsia="仿宋" w:cs="仿宋"/>
                <w:b/>
                <w:bCs/>
                <w:color w:val="auto"/>
                <w:sz w:val="28"/>
                <w:szCs w:val="28"/>
                <w:highlight w:val="none"/>
                <w:lang w:eastAsia="zh-CN"/>
              </w:rPr>
              <w:fldChar w:fldCharType="end"/>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lang w:eastAsia="zh-CN" w:bidi="ar"/>
              </w:rPr>
            </w:pPr>
            <w:r>
              <w:rPr>
                <w:rFonts w:hint="eastAsia" w:ascii="仿宋" w:hAnsi="仿宋" w:eastAsia="仿宋" w:cs="仿宋"/>
                <w:sz w:val="28"/>
                <w:szCs w:val="28"/>
                <w:lang w:eastAsia="zh-CN"/>
              </w:rPr>
              <w:t>综合绩效评估结论</w:t>
            </w:r>
          </w:p>
        </w:tc>
        <w:tc>
          <w:tcPr>
            <w:tcW w:w="170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pPr>
        <w:ind w:left="0" w:leftChars="0" w:firstLine="0" w:firstLineChars="0"/>
        <w:rPr>
          <w:rFonts w:eastAsia="宋体"/>
          <w:szCs w:val="32"/>
          <w:lang w:eastAsia="zh-CN"/>
        </w:rPr>
      </w:pPr>
      <w:r>
        <w:rPr>
          <w:rFonts w:eastAsia="宋体"/>
          <w:szCs w:val="32"/>
          <w:lang w:eastAsia="zh-CN"/>
        </w:rPr>
        <w:br w:type="page"/>
      </w: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000000"/>
          <w:sz w:val="24"/>
          <w:szCs w:val="24"/>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_Toc27307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_Toc27307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_Toc8536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_Toc8536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_Toc16414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lang w:val="en-US" w:eastAsia="zh-CN"/>
        </w:rPr>
        <w:t>申请资金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_Toc16414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_Toc16414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四</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财政确认资金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_Toc16414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_Toc15206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_Toc15206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_Toc26357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_Toc26357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_Toc16583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_Toc16583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_Toc16322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_Toc16322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_Toc30638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_Toc30638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_Toc25280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_Toc25280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_Toc5302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_Toc5302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_Toc25156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_Toc25156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_Toc22648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_Toc22648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_Toc32177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_Toc32177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_Toc18745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_Toc18745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_Toc31996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w:t>
      </w:r>
      <w:r>
        <w:rPr>
          <w:rFonts w:hint="eastAsia" w:ascii="仿宋" w:hAnsi="仿宋" w:eastAsia="仿宋" w:cs="仿宋"/>
          <w:kern w:val="44"/>
          <w:sz w:val="24"/>
          <w:szCs w:val="24"/>
          <w:lang w:val="en-US" w:eastAsia="zh-CN"/>
        </w:rPr>
        <w:t>经济</w:t>
      </w:r>
      <w:r>
        <w:rPr>
          <w:rFonts w:hint="eastAsia" w:ascii="仿宋" w:hAnsi="仿宋" w:eastAsia="仿宋" w:cs="仿宋"/>
          <w:kern w:val="44"/>
          <w:sz w:val="24"/>
          <w:szCs w:val="24"/>
          <w:lang w:eastAsia="zh-CN"/>
        </w:rPr>
        <w:t>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_Toc31996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_Toc1742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_Toc374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(三)项目资金来源、资金到位可行性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_Toc374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_Toc29394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w:t>
      </w:r>
      <w:r>
        <w:rPr>
          <w:rFonts w:hint="eastAsia" w:ascii="仿宋" w:hAnsi="仿宋" w:eastAsia="仿宋" w:cs="仿宋"/>
          <w:kern w:val="44"/>
          <w:sz w:val="24"/>
          <w:szCs w:val="24"/>
          <w:lang w:val="en-US" w:eastAsia="zh-CN"/>
        </w:rPr>
        <w:t>及支付</w:t>
      </w:r>
      <w:r>
        <w:rPr>
          <w:rFonts w:hint="eastAsia" w:ascii="仿宋" w:hAnsi="仿宋" w:eastAsia="仿宋" w:cs="仿宋"/>
          <w:kern w:val="44"/>
          <w:sz w:val="24"/>
          <w:szCs w:val="24"/>
          <w:lang w:eastAsia="zh-CN"/>
        </w:rPr>
        <w:t>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_Toc29394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_Toc15794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_Toc15794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_Toc30567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w:t>
      </w:r>
      <w:r>
        <w:rPr>
          <w:rFonts w:hint="eastAsia" w:ascii="仿宋" w:hAnsi="仿宋" w:eastAsia="仿宋" w:cs="仿宋"/>
          <w:kern w:val="44"/>
          <w:sz w:val="24"/>
          <w:szCs w:val="24"/>
          <w:highlight w:val="none"/>
          <w:lang w:val="en-US" w:eastAsia="zh-CN"/>
        </w:rPr>
        <w:t>项目实施程序合规性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_Toc30567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_Toc21947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w:t>
      </w:r>
      <w:r>
        <w:rPr>
          <w:rFonts w:hint="eastAsia" w:ascii="仿宋" w:hAnsi="仿宋" w:eastAsia="仿宋" w:cs="仿宋"/>
          <w:kern w:val="44"/>
          <w:sz w:val="24"/>
          <w:szCs w:val="24"/>
          <w:highlight w:val="none"/>
          <w:lang w:eastAsia="zh-CN"/>
        </w:rPr>
        <w:t>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_Toc21947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_Toc18707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_Toc18707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_Toc29187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_Toc9339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_Toc9339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_Toc8873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(一)资金支付因跨期时间太长不合理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_Toc8873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_Toc20238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二</w:t>
      </w:r>
      <w:r>
        <w:rPr>
          <w:rFonts w:hint="eastAsia" w:ascii="仿宋" w:hAnsi="仿宋" w:eastAsia="仿宋" w:cs="仿宋"/>
          <w:bCs/>
          <w:sz w:val="24"/>
          <w:szCs w:val="24"/>
          <w:lang w:eastAsia="zh-CN"/>
        </w:rPr>
        <w:t>)</w:t>
      </w:r>
      <w:r>
        <w:rPr>
          <w:rFonts w:hint="eastAsia" w:ascii="仿宋" w:hAnsi="仿宋" w:eastAsia="仿宋" w:cs="仿宋"/>
          <w:bCs/>
          <w:sz w:val="24"/>
          <w:szCs w:val="24"/>
          <w:highlight w:val="none"/>
          <w:lang w:val="en-US" w:eastAsia="zh-CN"/>
        </w:rPr>
        <w:t>非官方媒体合作单位的选定未通过比选、招投标确定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_Toc20238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_Toc24070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_Toc24070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fldChar w:fldCharType="end"/>
      </w:r>
      <w:bookmarkStart w:id="241" w:name="_GoBack"/>
      <w:bookmarkEnd w:id="241"/>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rPr>
      </w:pP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lang w:eastAsia="zh-CN"/>
        </w:rPr>
      </w:pPr>
    </w:p>
    <w:p>
      <w:pPr>
        <w:pStyle w:val="14"/>
        <w:tabs>
          <w:tab w:val="right" w:leader="dot" w:pos="8306"/>
        </w:tabs>
        <w:ind w:firstLine="562"/>
        <w:rPr>
          <w:rFonts w:ascii="Times New Roman" w:hAnsi="Times New Roman" w:eastAsia="宋体" w:cs="Times New Roman"/>
          <w:sz w:val="28"/>
          <w:szCs w:val="28"/>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宋体" w:cs="Times New Roman"/>
          <w:sz w:val="28"/>
          <w:szCs w:val="28"/>
          <w:lang w:eastAsia="zh-CN"/>
        </w:rPr>
        <w:br w:type="page"/>
      </w:r>
    </w:p>
    <w:p>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31" w:name="_Toc19876"/>
      <w:bookmarkStart w:id="32" w:name="_Toc11127"/>
      <w:bookmarkStart w:id="33" w:name="_Toc18501"/>
      <w:bookmarkStart w:id="34" w:name="_Toc28591"/>
      <w:bookmarkStart w:id="35" w:name="_Toc1042875910_WPSOffice_Level1"/>
      <w:bookmarkStart w:id="36" w:name="_Toc792595118"/>
      <w:bookmarkStart w:id="37" w:name="_Toc1902724683"/>
      <w:bookmarkStart w:id="38" w:name="_Toc400713784"/>
      <w:bookmarkStart w:id="39" w:name="_Toc132480512"/>
      <w:bookmarkStart w:id="40" w:name="_Toc130033874"/>
      <w:bookmarkStart w:id="41" w:name="_Toc132480957"/>
      <w:bookmarkStart w:id="42" w:name="_Toc13216"/>
      <w:bookmarkStart w:id="43" w:name="_Toc17291"/>
      <w:bookmarkStart w:id="44" w:name="_Toc22608"/>
      <w:bookmarkStart w:id="45" w:name="_Toc562319121"/>
      <w:bookmarkStart w:id="46" w:name="_Toc1675062758"/>
      <w:bookmarkStart w:id="47" w:name="_Toc133498022"/>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中共乐山市金口河区委宣传部</w:t>
      </w:r>
      <w:bookmarkEnd w:id="31"/>
    </w:p>
    <w:bookmarkEnd w:id="32"/>
    <w:bookmarkEnd w:id="33"/>
    <w:bookmarkEnd w:id="34"/>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48" w:name="_Toc745"/>
      <w:bookmarkStart w:id="49" w:name="_Toc25169"/>
      <w:bookmarkStart w:id="50" w:name="_Toc32549"/>
      <w:bookmarkStart w:id="51" w:name="_Toc18917"/>
      <w:r>
        <w:rPr>
          <w:rFonts w:hint="eastAsia" w:ascii="方正小标宋简体" w:hAnsi="方正小标宋简体" w:eastAsia="方正小标宋简体" w:cs="方正小标宋简体"/>
          <w:b w:val="0"/>
          <w:bCs w:val="0"/>
          <w:sz w:val="44"/>
          <w:szCs w:val="44"/>
          <w:lang w:eastAsia="zh-CN"/>
        </w:rPr>
        <w:t>外宣经费</w:t>
      </w:r>
      <w:bookmarkEnd w:id="48"/>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52" w:name="_Toc10832"/>
      <w:bookmarkStart w:id="53" w:name="_Toc13059"/>
      <w:r>
        <w:rPr>
          <w:rFonts w:hint="eastAsia" w:ascii="方正小标宋简体" w:hAnsi="方正小标宋简体" w:eastAsia="方正小标宋简体" w:cs="方正小标宋简体"/>
          <w:b w:val="0"/>
          <w:bCs w:val="0"/>
          <w:sz w:val="44"/>
          <w:szCs w:val="44"/>
          <w:lang w:eastAsia="zh-CN"/>
        </w:rPr>
        <w:t>事前绩效评价报告</w:t>
      </w:r>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bookmarkEnd w:id="53"/>
    </w:p>
    <w:p>
      <w:pPr>
        <w:ind w:firstLine="640"/>
        <w:rPr>
          <w:lang w:eastAsia="zh-CN"/>
        </w:rPr>
      </w:pP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54" w:name="_Toc2001376203_WPSOffice_Level1"/>
      <w:bookmarkStart w:id="55" w:name="_Toc9247"/>
      <w:bookmarkStart w:id="56" w:name="_Toc7797"/>
      <w:bookmarkStart w:id="57" w:name="_Toc287850696"/>
      <w:bookmarkStart w:id="58" w:name="_Toc305085885"/>
      <w:bookmarkStart w:id="59" w:name="_Toc27307"/>
      <w:bookmarkStart w:id="60" w:name="_Toc4405"/>
      <w:bookmarkStart w:id="61" w:name="_Toc132480958"/>
      <w:bookmarkStart w:id="62" w:name="_Toc1969419847"/>
      <w:bookmarkStart w:id="63" w:name="_Toc2225"/>
      <w:bookmarkStart w:id="64" w:name="_Toc1416645183"/>
      <w:r>
        <w:rPr>
          <w:rFonts w:hint="eastAsia" w:ascii="黑体" w:hAnsi="黑体" w:eastAsia="黑体" w:cs="黑体"/>
          <w:b w:val="0"/>
          <w:bCs/>
          <w:szCs w:val="32"/>
          <w:lang w:eastAsia="zh-CN"/>
        </w:rPr>
        <w:t>一、项目基本情况</w:t>
      </w:r>
      <w:bookmarkEnd w:id="54"/>
      <w:bookmarkEnd w:id="55"/>
      <w:bookmarkEnd w:id="56"/>
      <w:bookmarkEnd w:id="57"/>
      <w:bookmarkEnd w:id="58"/>
      <w:bookmarkEnd w:id="59"/>
      <w:bookmarkEnd w:id="60"/>
      <w:bookmarkEnd w:id="61"/>
      <w:bookmarkEnd w:id="62"/>
      <w:bookmarkEnd w:id="63"/>
      <w:bookmarkEnd w:id="64"/>
    </w:p>
    <w:p>
      <w:pPr>
        <w:pStyle w:val="3"/>
        <w:pageBreakBefore w:val="0"/>
        <w:kinsoku/>
        <w:wordWrap/>
        <w:overflowPunct/>
        <w:topLinePunct w:val="0"/>
        <w:autoSpaceDE/>
        <w:autoSpaceDN/>
        <w:bidi w:val="0"/>
        <w:adjustRightInd/>
        <w:snapToGrid/>
        <w:spacing w:before="0" w:beforeLines="0" w:after="0" w:afterLines="0" w:line="580" w:lineRule="exact"/>
        <w:ind w:firstLineChars="0"/>
        <w:textAlignment w:val="auto"/>
        <w:rPr>
          <w:rFonts w:hint="eastAsia" w:ascii="楷体" w:hAnsi="楷体" w:eastAsia="楷体" w:cs="楷体"/>
          <w:b w:val="0"/>
          <w:bCs/>
          <w:szCs w:val="32"/>
          <w:lang w:eastAsia="zh-CN"/>
        </w:rPr>
      </w:pPr>
      <w:bookmarkStart w:id="65" w:name="_Toc132480959"/>
      <w:bookmarkStart w:id="66" w:name="_Toc14550"/>
      <w:bookmarkStart w:id="67" w:name="_Toc1535003806"/>
      <w:bookmarkStart w:id="68" w:name="_Toc19438"/>
      <w:bookmarkStart w:id="69" w:name="_Toc873917318"/>
      <w:bookmarkStart w:id="70" w:name="_Toc27921"/>
      <w:bookmarkStart w:id="71" w:name="_Toc1042875910_WPSOffice_Level2"/>
      <w:bookmarkStart w:id="72" w:name="_Toc1773474628"/>
      <w:bookmarkStart w:id="73" w:name="_Toc404396392"/>
      <w:bookmarkStart w:id="74" w:name="_Toc12884"/>
      <w:bookmarkStart w:id="75" w:name="_Toc8536"/>
      <w:r>
        <w:rPr>
          <w:rFonts w:hint="eastAsia" w:ascii="楷体" w:hAnsi="楷体" w:eastAsia="楷体" w:cs="楷体"/>
          <w:b w:val="0"/>
          <w:bCs/>
          <w:szCs w:val="32"/>
          <w:lang w:eastAsia="zh-CN"/>
        </w:rPr>
        <w:t>（一）项目建设</w:t>
      </w:r>
      <w:bookmarkEnd w:id="65"/>
      <w:bookmarkEnd w:id="66"/>
      <w:bookmarkEnd w:id="67"/>
      <w:bookmarkEnd w:id="68"/>
      <w:bookmarkEnd w:id="69"/>
      <w:bookmarkEnd w:id="70"/>
      <w:bookmarkEnd w:id="71"/>
      <w:bookmarkEnd w:id="72"/>
      <w:bookmarkEnd w:id="73"/>
      <w:bookmarkStart w:id="76" w:name="_Toc12111"/>
      <w:bookmarkStart w:id="77" w:name="_Toc20062"/>
      <w:bookmarkStart w:id="78" w:name="_Toc23032"/>
      <w:bookmarkStart w:id="79" w:name="_Toc133498025"/>
      <w:bookmarkStart w:id="80" w:name="_Toc18961"/>
      <w:bookmarkStart w:id="81" w:name="_Toc27403"/>
      <w:bookmarkStart w:id="82" w:name="_Toc1087916031"/>
      <w:bookmarkStart w:id="83" w:name="_Toc1862536083"/>
      <w:bookmarkStart w:id="84" w:name="_Toc9639"/>
      <w:bookmarkStart w:id="85" w:name="_Toc1042875910_WPSOffice_Level3"/>
      <w:bookmarkStart w:id="86" w:name="_Toc2051901236"/>
      <w:bookmarkStart w:id="87" w:name="_Toc130033877"/>
      <w:bookmarkStart w:id="88" w:name="_Toc1287701793"/>
      <w:r>
        <w:rPr>
          <w:rFonts w:hint="eastAsia" w:ascii="楷体" w:hAnsi="楷体" w:eastAsia="楷体" w:cs="楷体"/>
          <w:b w:val="0"/>
          <w:bCs/>
          <w:szCs w:val="32"/>
          <w:lang w:eastAsia="zh-CN"/>
        </w:rPr>
        <w:t>背景</w:t>
      </w:r>
      <w:bookmarkEnd w:id="74"/>
      <w:bookmarkEnd w:id="75"/>
      <w:bookmarkEnd w:id="76"/>
      <w:bookmarkEnd w:id="77"/>
      <w:bookmarkEnd w:id="78"/>
      <w:bookmarkEnd w:id="79"/>
      <w:bookmarkEnd w:id="80"/>
      <w:bookmarkEnd w:id="81"/>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kern w:val="2"/>
          <w:szCs w:val="32"/>
          <w:lang w:val="en-US" w:eastAsia="zh-CN" w:bidi="ar-SA"/>
        </w:rPr>
      </w:pPr>
      <w:r>
        <w:rPr>
          <w:rFonts w:hint="eastAsia" w:ascii="仿宋" w:hAnsi="仿宋" w:eastAsia="仿宋" w:cs="仿宋"/>
          <w:bCs/>
          <w:kern w:val="2"/>
          <w:szCs w:val="32"/>
          <w:lang w:eastAsia="zh-CN" w:bidi="ar-SA"/>
        </w:rPr>
        <w:t>党的二十届三中全会，既是党的十八届三中全会以来全面深化改革的实践续篇，也是新征程推进中国式现代化的时代新篇。为深入学习贯彻党的二十届三中全会精</w:t>
      </w:r>
      <w:r>
        <w:rPr>
          <w:rFonts w:hint="eastAsia" w:ascii="仿宋" w:hAnsi="仿宋" w:eastAsia="仿宋" w:cs="仿宋"/>
          <w:bCs/>
          <w:kern w:val="2"/>
          <w:szCs w:val="32"/>
          <w:highlight w:val="none"/>
          <w:lang w:eastAsia="zh-CN" w:bidi="ar-SA"/>
        </w:rPr>
        <w:t>神和习近平</w:t>
      </w:r>
      <w:r>
        <w:rPr>
          <w:rFonts w:hint="eastAsia" w:ascii="仿宋" w:hAnsi="仿宋" w:eastAsia="仿宋" w:cs="仿宋"/>
          <w:bCs/>
          <w:kern w:val="2"/>
          <w:szCs w:val="32"/>
          <w:lang w:eastAsia="zh-CN" w:bidi="ar-SA"/>
        </w:rPr>
        <w:t>新时代中国特色社会主义思想，落实省委、市委部署要求，不断深化“走转改”活动，大力提高对外宣传营销工作质量，围绕金口河区委、区政府进一步全面深化改革、推进金口河区现代进程等重点工作，加大金口河对外宣传力度，做好金口河区巩固脱贫攻坚接续乡村振兴工作发展成效宣传，提升金口河区的知名度和影响力，根据中共乐山市金口河区委宣传部</w:t>
      </w:r>
      <w:r>
        <w:rPr>
          <w:rFonts w:hint="eastAsia" w:ascii="仿宋" w:hAnsi="仿宋" w:eastAsia="仿宋" w:cs="仿宋"/>
          <w:bCs/>
          <w:kern w:val="2"/>
          <w:szCs w:val="32"/>
          <w:lang w:val="en-US" w:eastAsia="zh-CN" w:bidi="ar-SA"/>
        </w:rPr>
        <w:t>(以下简称</w:t>
      </w:r>
      <w:r>
        <w:rPr>
          <w:rFonts w:hint="eastAsia" w:ascii="仿宋" w:hAnsi="仿宋" w:eastAsia="仿宋" w:cs="仿宋"/>
          <w:bCs/>
          <w:kern w:val="2"/>
          <w:szCs w:val="32"/>
          <w:lang w:eastAsia="zh-CN" w:bidi="ar-SA"/>
        </w:rPr>
        <w:t>区委宣传部</w:t>
      </w:r>
      <w:r>
        <w:rPr>
          <w:rFonts w:hint="eastAsia" w:ascii="仿宋" w:hAnsi="仿宋" w:eastAsia="仿宋" w:cs="仿宋"/>
          <w:bCs/>
          <w:kern w:val="2"/>
          <w:szCs w:val="32"/>
          <w:lang w:val="en-US" w:eastAsia="zh-CN" w:bidi="ar-SA"/>
        </w:rPr>
        <w:t>)工</w:t>
      </w:r>
      <w:r>
        <w:rPr>
          <w:rFonts w:hint="eastAsia" w:ascii="仿宋" w:hAnsi="仿宋" w:eastAsia="仿宋" w:cs="仿宋"/>
          <w:bCs/>
          <w:kern w:val="2"/>
          <w:szCs w:val="32"/>
          <w:lang w:eastAsia="zh-CN" w:bidi="ar-SA"/>
        </w:rPr>
        <w:t>作职责，统筹协调对外宣</w:t>
      </w:r>
      <w:r>
        <w:rPr>
          <w:rFonts w:hint="eastAsia" w:ascii="仿宋" w:hAnsi="仿宋" w:eastAsia="仿宋" w:cs="仿宋"/>
          <w:bCs/>
          <w:kern w:val="2"/>
          <w:szCs w:val="32"/>
          <w:highlight w:val="none"/>
          <w:lang w:eastAsia="zh-CN" w:bidi="ar-SA"/>
        </w:rPr>
        <w:t>传工作</w:t>
      </w:r>
      <w:r>
        <w:rPr>
          <w:rFonts w:hint="eastAsia" w:ascii="仿宋" w:hAnsi="仿宋" w:eastAsia="仿宋" w:cs="仿宋"/>
          <w:bCs/>
          <w:kern w:val="2"/>
          <w:szCs w:val="32"/>
          <w:highlight w:val="none"/>
          <w:lang w:val="en-US" w:eastAsia="zh-CN" w:bidi="ar-SA"/>
        </w:rPr>
        <w:t>，在区委</w:t>
      </w:r>
      <w:r>
        <w:rPr>
          <w:rFonts w:hint="eastAsia" w:ascii="仿宋" w:hAnsi="仿宋" w:eastAsia="仿宋" w:cs="仿宋"/>
          <w:bCs/>
          <w:kern w:val="2"/>
          <w:szCs w:val="32"/>
          <w:lang w:val="en-US" w:eastAsia="zh-CN" w:bidi="ar-SA"/>
        </w:rPr>
        <w:t>、区政府的正确指导下，围绕中心，服务大局，积极与中央、省、市主流媒体展开务实合作，更好的开展金口河对外宣传工作。</w:t>
      </w:r>
    </w:p>
    <w:bookmarkEnd w:id="82"/>
    <w:bookmarkEnd w:id="83"/>
    <w:bookmarkEnd w:id="84"/>
    <w:bookmarkEnd w:id="85"/>
    <w:bookmarkEnd w:id="86"/>
    <w:bookmarkEnd w:id="87"/>
    <w:bookmarkEnd w:id="88"/>
    <w:p>
      <w:pPr>
        <w:pStyle w:val="3"/>
        <w:pageBreakBefore w:val="0"/>
        <w:kinsoku/>
        <w:wordWrap/>
        <w:overflowPunct/>
        <w:topLinePunct w:val="0"/>
        <w:autoSpaceDE/>
        <w:autoSpaceDN/>
        <w:bidi w:val="0"/>
        <w:adjustRightInd/>
        <w:snapToGrid/>
        <w:spacing w:before="0" w:beforeLines="0" w:after="0" w:afterLines="0" w:line="600" w:lineRule="exact"/>
        <w:ind w:firstLineChars="0"/>
        <w:textAlignment w:val="auto"/>
        <w:rPr>
          <w:rFonts w:hint="eastAsia" w:ascii="楷体" w:hAnsi="楷体" w:eastAsia="楷体" w:cs="楷体"/>
          <w:b w:val="0"/>
          <w:bCs/>
          <w:szCs w:val="32"/>
          <w:lang w:eastAsia="zh-CN"/>
        </w:rPr>
      </w:pPr>
      <w:bookmarkStart w:id="89" w:name="_Toc15203"/>
      <w:bookmarkStart w:id="90" w:name="_Toc963"/>
      <w:bookmarkStart w:id="91" w:name="_Toc17740"/>
      <w:bookmarkStart w:id="92" w:name="_Toc133498028"/>
      <w:bookmarkStart w:id="93" w:name="_Toc1093480860_WPSOffice_Level3"/>
      <w:bookmarkStart w:id="94" w:name="_Toc1372691542"/>
      <w:bookmarkStart w:id="95" w:name="_Toc12980"/>
      <w:bookmarkStart w:id="96" w:name="_Toc130033880"/>
      <w:bookmarkStart w:id="97" w:name="_Toc153907914"/>
      <w:bookmarkStart w:id="98" w:name="_Toc17270"/>
      <w:bookmarkStart w:id="99" w:name="_Toc15651"/>
      <w:bookmarkStart w:id="100" w:name="_Toc28877"/>
      <w:bookmarkStart w:id="101" w:name="_Toc865934723"/>
      <w:bookmarkStart w:id="102" w:name="_Toc1491763895"/>
      <w:bookmarkStart w:id="103" w:name="_Toc24844"/>
      <w:r>
        <w:rPr>
          <w:rFonts w:hint="eastAsia" w:ascii="楷体" w:hAnsi="楷体" w:eastAsia="楷体" w:cs="楷体"/>
          <w:b w:val="0"/>
          <w:bCs/>
          <w:szCs w:val="32"/>
          <w:lang w:eastAsia="zh-CN"/>
        </w:rPr>
        <w:t>（二）项目主要内容</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1.项目基本情况：</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项目名称：外宣经费</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szCs w:val="32"/>
          <w:lang w:val="zh-CN" w:eastAsia="zh-CN"/>
        </w:rPr>
      </w:pPr>
      <w:r>
        <w:rPr>
          <w:rFonts w:hint="eastAsia" w:ascii="仿宋" w:hAnsi="仿宋" w:eastAsia="仿宋" w:cs="仿宋"/>
          <w:bCs/>
          <w:szCs w:val="32"/>
          <w:lang w:val="zh-CN" w:eastAsia="zh-CN"/>
        </w:rPr>
        <w:t>项目单位：</w:t>
      </w:r>
      <w:r>
        <w:rPr>
          <w:rFonts w:hint="eastAsia" w:ascii="仿宋" w:hAnsi="仿宋" w:eastAsia="仿宋" w:cs="仿宋"/>
          <w:szCs w:val="32"/>
          <w:lang w:val="zh-CN" w:eastAsia="zh-CN"/>
        </w:rPr>
        <w:t>中共乐山市金口河区委宣传部</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szCs w:val="32"/>
          <w:lang w:val="zh-CN" w:eastAsia="zh-CN"/>
        </w:rPr>
      </w:pPr>
      <w:r>
        <w:rPr>
          <w:rFonts w:hint="eastAsia" w:ascii="仿宋_GB2312"/>
          <w:szCs w:val="32"/>
          <w:lang w:eastAsia="zh-CN"/>
        </w:rPr>
        <w:t>主管部门：中共乐山市金口河区委宣传部</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highlight w:val="none"/>
          <w:lang w:eastAsia="zh-CN"/>
        </w:rPr>
      </w:pPr>
      <w:r>
        <w:rPr>
          <w:rFonts w:hint="eastAsia" w:ascii="仿宋" w:hAnsi="仿宋" w:eastAsia="仿宋" w:cs="仿宋"/>
          <w:bCs/>
          <w:szCs w:val="32"/>
          <w:lang w:val="zh-CN" w:eastAsia="zh-CN"/>
        </w:rPr>
        <w:t>项目属性（新增/延续）：</w:t>
      </w:r>
      <w:r>
        <w:rPr>
          <w:rFonts w:hint="eastAsia" w:ascii="仿宋" w:hAnsi="仿宋" w:eastAsia="仿宋" w:cs="仿宋"/>
          <w:bCs/>
          <w:szCs w:val="32"/>
          <w:highlight w:val="none"/>
          <w:lang w:val="en-US" w:eastAsia="zh-CN"/>
        </w:rPr>
        <w:t>延续</w:t>
      </w:r>
      <w:r>
        <w:rPr>
          <w:rFonts w:hint="eastAsia" w:ascii="仿宋" w:hAnsi="仿宋" w:eastAsia="仿宋" w:cs="仿宋"/>
          <w:bCs/>
          <w:szCs w:val="32"/>
          <w:highlight w:val="none"/>
          <w:lang w:eastAsia="zh-CN"/>
        </w:rPr>
        <w:t>性项目</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2.项目绩效目标：</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en-US" w:eastAsia="zh-CN"/>
        </w:rPr>
      </w:pPr>
      <w:r>
        <w:rPr>
          <w:rFonts w:hint="eastAsia" w:ascii="仿宋" w:hAnsi="仿宋" w:eastAsia="仿宋" w:cs="仿宋"/>
          <w:b w:val="0"/>
          <w:bCs/>
          <w:szCs w:val="32"/>
          <w:lang w:val="en-US" w:eastAsia="zh-CN"/>
        </w:rPr>
        <w:t>加大金口河对外宣传力度，做好与省市主流媒体间合作，提升金口河区的知名度和影响力</w:t>
      </w:r>
      <w:r>
        <w:rPr>
          <w:rFonts w:hint="eastAsia" w:ascii="仿宋" w:hAnsi="仿宋" w:eastAsia="仿宋" w:cs="仿宋"/>
          <w:bCs/>
          <w:szCs w:val="32"/>
          <w:lang w:val="en-US" w:eastAsia="zh-CN"/>
        </w:rPr>
        <w:t>。</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en-US" w:eastAsia="zh-CN"/>
        </w:rPr>
      </w:pPr>
      <w:r>
        <w:rPr>
          <w:rFonts w:hint="eastAsia" w:ascii="仿宋" w:hAnsi="仿宋" w:eastAsia="仿宋" w:cs="仿宋"/>
          <w:b w:val="0"/>
          <w:bCs/>
          <w:szCs w:val="32"/>
          <w:lang w:val="en-US" w:eastAsia="zh-CN"/>
        </w:rPr>
        <w:t>完成全区对外宣传目标任务，包括氛围营造、拍摄发布等素材的采集工作</w:t>
      </w:r>
      <w:r>
        <w:rPr>
          <w:rFonts w:hint="eastAsia" w:ascii="仿宋" w:hAnsi="仿宋" w:eastAsia="仿宋" w:cs="仿宋"/>
          <w:bCs/>
          <w:szCs w:val="32"/>
          <w:lang w:val="en-US" w:eastAsia="zh-CN"/>
        </w:rPr>
        <w:t>。</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3.项目概况：</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szCs w:val="32"/>
          <w:lang w:val="en-US" w:eastAsia="zh-CN"/>
        </w:rPr>
      </w:pPr>
      <w:bookmarkStart w:id="104" w:name="_Toc20677"/>
      <w:bookmarkStart w:id="105" w:name="_Toc8112"/>
      <w:bookmarkStart w:id="106" w:name="_Toc510053535"/>
      <w:bookmarkStart w:id="107" w:name="_Toc16114"/>
      <w:bookmarkStart w:id="108" w:name="_Toc300186741"/>
      <w:bookmarkStart w:id="109" w:name="_Toc2001376203_WPSOffice_Level2"/>
      <w:bookmarkStart w:id="110" w:name="_Toc132480960"/>
      <w:bookmarkStart w:id="111" w:name="_Toc1256897804"/>
      <w:bookmarkStart w:id="112" w:name="_Toc386835874"/>
      <w:r>
        <w:rPr>
          <w:rFonts w:hint="eastAsia" w:ascii="仿宋" w:hAnsi="仿宋" w:eastAsia="仿宋" w:cs="仿宋"/>
          <w:b w:val="0"/>
          <w:bCs/>
          <w:szCs w:val="32"/>
          <w:lang w:val="en-US" w:eastAsia="zh-CN"/>
        </w:rPr>
        <w:t>对外宣传经费主要用于金口河区城市形象对外宣传和新闻文化合作与交流，贯彻落实中央和省、市委关于对外宣传工作的方针政策及工作部署，保障全区对外宣传工作正常开展，进一步提升金口河区形象，不断提高金口河区的知名度和美誉度。</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 w:hAnsi="仿宋" w:eastAsia="仿宋" w:cs="仿宋"/>
          <w:b w:val="0"/>
          <w:bCs/>
          <w:szCs w:val="32"/>
          <w:lang w:val="en-US" w:eastAsia="zh-CN"/>
        </w:rPr>
        <w:t>根据区委宣传部工作职责，区委宣传部统筹协调对外宣传</w:t>
      </w:r>
      <w:r>
        <w:rPr>
          <w:rFonts w:hint="eastAsia" w:ascii="仿宋" w:hAnsi="仿宋" w:eastAsia="仿宋" w:cs="仿宋"/>
          <w:b w:val="0"/>
          <w:bCs/>
          <w:szCs w:val="32"/>
          <w:highlight w:val="none"/>
          <w:lang w:val="en-US" w:eastAsia="zh-CN"/>
        </w:rPr>
        <w:t>工作，在区</w:t>
      </w:r>
      <w:r>
        <w:rPr>
          <w:rFonts w:hint="eastAsia" w:ascii="仿宋" w:hAnsi="仿宋" w:eastAsia="仿宋" w:cs="仿宋"/>
          <w:b w:val="0"/>
          <w:bCs/>
          <w:szCs w:val="32"/>
          <w:lang w:val="en-US" w:eastAsia="zh-CN"/>
        </w:rPr>
        <w:t>委、区政府的正确指导下，围绕中心，服务大局，积极与中央、省、市主流媒体展开务实合作，更好的开展金口河对外宣传工作</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 w:hAnsi="仿宋" w:eastAsia="仿宋" w:cs="仿宋"/>
          <w:b w:val="0"/>
          <w:bCs/>
          <w:szCs w:val="32"/>
          <w:lang w:val="en-US" w:eastAsia="zh-CN"/>
        </w:rPr>
        <w:t>该项目旨在借助各类媒体平台、文旅活动等形式，全方位展示金口河区的特色文旅资源、投资环境与发展成果，吸引更多游客与投资者关注</w:t>
      </w:r>
      <w:r>
        <w:rPr>
          <w:rFonts w:hint="eastAsia" w:ascii="仿宋_GB2312" w:hAnsi="宋体" w:eastAsia="仿宋_GB2312"/>
          <w:sz w:val="32"/>
          <w:szCs w:val="32"/>
          <w:highlight w:val="none"/>
          <w:lang w:val="en-US" w:eastAsia="zh-CN"/>
        </w:rPr>
        <w:t>。</w:t>
      </w:r>
      <w:bookmarkStart w:id="113" w:name="_Toc16414"/>
    </w:p>
    <w:p>
      <w:pPr>
        <w:pageBreakBefore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b w:val="0"/>
          <w:bCs/>
          <w:szCs w:val="32"/>
          <w:lang w:val="en-US" w:eastAsia="zh-CN"/>
        </w:rPr>
      </w:pPr>
      <w:r>
        <w:rPr>
          <w:rFonts w:hint="eastAsia" w:ascii="楷体" w:hAnsi="楷体" w:eastAsia="楷体" w:cs="楷体"/>
          <w:b w:val="0"/>
          <w:bCs/>
          <w:szCs w:val="32"/>
          <w:lang w:eastAsia="zh-CN"/>
        </w:rPr>
        <w:t>（三）</w:t>
      </w:r>
      <w:bookmarkEnd w:id="104"/>
      <w:bookmarkEnd w:id="105"/>
      <w:bookmarkEnd w:id="106"/>
      <w:bookmarkEnd w:id="107"/>
      <w:bookmarkEnd w:id="108"/>
      <w:bookmarkEnd w:id="109"/>
      <w:bookmarkEnd w:id="110"/>
      <w:bookmarkEnd w:id="111"/>
      <w:bookmarkEnd w:id="112"/>
      <w:r>
        <w:rPr>
          <w:rFonts w:hint="eastAsia" w:ascii="楷体" w:hAnsi="楷体" w:eastAsia="楷体" w:cs="楷体"/>
          <w:b w:val="0"/>
          <w:bCs/>
          <w:szCs w:val="32"/>
          <w:lang w:val="en-US" w:eastAsia="zh-CN"/>
        </w:rPr>
        <w:t>申请资金</w:t>
      </w:r>
      <w:bookmarkEnd w:id="113"/>
    </w:p>
    <w:p>
      <w:pPr>
        <w:pageBreakBefore w:val="0"/>
        <w:kinsoku/>
        <w:wordWrap/>
        <w:overflowPunct/>
        <w:topLinePunct w:val="0"/>
        <w:autoSpaceDE/>
        <w:autoSpaceDN/>
        <w:bidi w:val="0"/>
        <w:adjustRightInd/>
        <w:snapToGrid/>
        <w:spacing w:line="600" w:lineRule="exact"/>
        <w:ind w:firstLine="640"/>
        <w:textAlignment w:val="auto"/>
        <w:rPr>
          <w:rFonts w:hint="default" w:ascii="仿宋_GB2312" w:hAnsi="宋体" w:eastAsia="仿宋_GB2312"/>
          <w:sz w:val="32"/>
          <w:szCs w:val="32"/>
          <w:highlight w:val="none"/>
          <w:lang w:val="en-US" w:eastAsia="zh-CN"/>
        </w:rPr>
      </w:pPr>
      <w:r>
        <w:rPr>
          <w:rFonts w:hint="eastAsia" w:ascii="仿宋" w:hAnsi="仿宋" w:eastAsia="仿宋" w:cs="仿宋"/>
          <w:b w:val="0"/>
          <w:bCs/>
          <w:szCs w:val="32"/>
          <w:lang w:val="en-US" w:eastAsia="zh-CN"/>
        </w:rPr>
        <w:t>本项目区委宣传部拟申请区级财政预</w:t>
      </w:r>
      <w:r>
        <w:rPr>
          <w:rFonts w:hint="eastAsia" w:ascii="仿宋" w:hAnsi="仿宋" w:eastAsia="仿宋" w:cs="仿宋"/>
          <w:b w:val="0"/>
          <w:bCs/>
          <w:szCs w:val="32"/>
          <w:highlight w:val="none"/>
          <w:lang w:val="en-US" w:eastAsia="zh-CN"/>
        </w:rPr>
        <w:t>算资金50万元</w:t>
      </w:r>
      <w:r>
        <w:rPr>
          <w:rFonts w:hint="eastAsia" w:ascii="仿宋" w:hAnsi="仿宋" w:eastAsia="仿宋" w:cs="仿宋"/>
          <w:b w:val="0"/>
          <w:bCs/>
          <w:szCs w:val="32"/>
          <w:lang w:val="en-US" w:eastAsia="zh-CN"/>
        </w:rPr>
        <w:t>，用于省、市主流媒体宣传合作经费</w:t>
      </w:r>
      <w:r>
        <w:rPr>
          <w:rFonts w:hint="eastAsia" w:ascii="仿宋_GB2312" w:hAnsi="宋体" w:eastAsia="仿宋_GB2312"/>
          <w:sz w:val="32"/>
          <w:szCs w:val="32"/>
          <w:highlight w:val="none"/>
          <w:lang w:val="en-US" w:eastAsia="zh-CN"/>
        </w:rPr>
        <w:t>。</w:t>
      </w:r>
      <w:r>
        <w:rPr>
          <w:rFonts w:hint="eastAsia" w:ascii="仿宋" w:hAnsi="仿宋" w:eastAsia="仿宋" w:cs="仿宋"/>
          <w:b w:val="0"/>
          <w:bCs/>
          <w:szCs w:val="32"/>
          <w:lang w:val="en-US" w:eastAsia="zh-CN"/>
        </w:rPr>
        <w:t>资金安排明细如下</w:t>
      </w:r>
      <w:r>
        <w:rPr>
          <w:rFonts w:hint="eastAsia" w:ascii="仿宋_GB2312" w:hAnsi="宋体"/>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1.乐山市融媒体中心合作经费20万元；</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2.四川日报社合作经费6万元；</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3.四川新闻网合作经费2万元；</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4.四川电视台合作经费5万元；</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5.新华网合作经费5万元；</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6.阿豪豪影视工作室合作经费4万元；</w:t>
      </w:r>
    </w:p>
    <w:p>
      <w:pPr>
        <w:pageBreakBefore w:val="0"/>
        <w:kinsoku/>
        <w:wordWrap/>
        <w:overflowPunct/>
        <w:topLinePunct w:val="0"/>
        <w:autoSpaceDE/>
        <w:autoSpaceDN/>
        <w:bidi w:val="0"/>
        <w:adjustRightInd/>
        <w:snapToGrid/>
        <w:spacing w:line="600" w:lineRule="exact"/>
        <w:ind w:firstLine="64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7.外宣拍摄租车费、误餐费、拍摄设备维修费、图片视频传输介质等8万元。</w:t>
      </w:r>
    </w:p>
    <w:p>
      <w:pPr>
        <w:pageBreakBefore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b w:val="0"/>
          <w:bCs/>
          <w:szCs w:val="32"/>
          <w:lang w:val="en-US" w:eastAsia="zh-CN"/>
        </w:rPr>
      </w:pPr>
      <w:r>
        <w:rPr>
          <w:rFonts w:hint="eastAsia" w:ascii="楷体" w:hAnsi="楷体" w:eastAsia="楷体" w:cs="楷体"/>
          <w:b w:val="0"/>
          <w:bCs/>
          <w:szCs w:val="32"/>
          <w:lang w:eastAsia="zh-CN"/>
        </w:rPr>
        <w:t>（</w:t>
      </w:r>
      <w:r>
        <w:rPr>
          <w:rFonts w:hint="eastAsia" w:ascii="楷体" w:hAnsi="楷体" w:eastAsia="楷体" w:cs="楷体"/>
          <w:b w:val="0"/>
          <w:bCs/>
          <w:szCs w:val="32"/>
          <w:lang w:val="en-US" w:eastAsia="zh-CN"/>
        </w:rPr>
        <w:t>四</w:t>
      </w:r>
      <w:r>
        <w:rPr>
          <w:rFonts w:hint="eastAsia" w:ascii="楷体" w:hAnsi="楷体" w:eastAsia="楷体" w:cs="楷体"/>
          <w:b w:val="0"/>
          <w:bCs/>
          <w:szCs w:val="32"/>
          <w:lang w:eastAsia="zh-CN"/>
        </w:rPr>
        <w:t>）</w:t>
      </w:r>
      <w:r>
        <w:rPr>
          <w:rFonts w:hint="eastAsia" w:ascii="楷体" w:hAnsi="楷体" w:eastAsia="楷体" w:cs="楷体"/>
          <w:b w:val="0"/>
          <w:bCs/>
          <w:szCs w:val="32"/>
          <w:lang w:val="en-US" w:eastAsia="zh-CN"/>
        </w:rPr>
        <w:t>评价确认资金</w:t>
      </w:r>
    </w:p>
    <w:p>
      <w:pPr>
        <w:pageBreakBefore w:val="0"/>
        <w:kinsoku/>
        <w:wordWrap/>
        <w:overflowPunct/>
        <w:topLinePunct w:val="0"/>
        <w:autoSpaceDE/>
        <w:autoSpaceDN/>
        <w:bidi w:val="0"/>
        <w:adjustRightInd/>
        <w:snapToGrid/>
        <w:spacing w:line="600" w:lineRule="exact"/>
        <w:ind w:firstLine="640"/>
        <w:textAlignment w:val="auto"/>
        <w:rPr>
          <w:rFonts w:hint="default" w:ascii="仿宋_GB2312" w:hAnsi="宋体" w:eastAsia="仿宋_GB2312"/>
          <w:sz w:val="32"/>
          <w:szCs w:val="32"/>
          <w:highlight w:val="none"/>
          <w:lang w:val="en-US" w:eastAsia="zh-CN"/>
        </w:rPr>
      </w:pPr>
      <w:r>
        <w:rPr>
          <w:rFonts w:hint="eastAsia" w:ascii="仿宋" w:hAnsi="仿宋" w:eastAsia="仿宋" w:cs="仿宋"/>
          <w:b w:val="0"/>
          <w:bCs/>
          <w:szCs w:val="32"/>
          <w:lang w:val="en-US" w:eastAsia="zh-CN"/>
        </w:rPr>
        <w:t>评估工作组根据区委宣传部提供的外宣经费资金使用明细，结合以前年度外宣经费使用情况，展开了全面且深入的剖析，对各项费用支出占比进行详细核算，确定区委宣传部2025年外宣经费预算金额45万。</w:t>
      </w:r>
      <w:r>
        <w:rPr>
          <w:rFonts w:hint="eastAsia" w:ascii="仿宋_GB2312" w:hAnsi="宋体"/>
          <w:sz w:val="32"/>
          <w:szCs w:val="32"/>
          <w:highlight w:val="none"/>
          <w:lang w:val="en-US" w:eastAsia="zh-CN"/>
        </w:rPr>
        <w:t>明细如下</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w:t>
      </w:r>
      <w:r>
        <w:rPr>
          <w:rFonts w:hint="eastAsia" w:ascii="仿宋" w:hAnsi="仿宋" w:eastAsia="仿宋" w:cs="仿宋"/>
          <w:b w:val="0"/>
          <w:bCs/>
          <w:szCs w:val="32"/>
          <w:lang w:val="en-US" w:eastAsia="zh-CN"/>
        </w:rPr>
        <w:t>乐山市融媒体中心合作经费20万元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w:t>
      </w:r>
      <w:r>
        <w:rPr>
          <w:rFonts w:hint="eastAsia" w:ascii="仿宋" w:hAnsi="仿宋" w:eastAsia="仿宋" w:cs="仿宋"/>
          <w:b w:val="0"/>
          <w:bCs/>
          <w:szCs w:val="32"/>
          <w:lang w:val="en-US" w:eastAsia="zh-CN"/>
        </w:rPr>
        <w:t>四川日报社合作经费6万元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w:t>
      </w:r>
      <w:r>
        <w:rPr>
          <w:rFonts w:hint="eastAsia" w:ascii="仿宋" w:hAnsi="仿宋" w:eastAsia="仿宋" w:cs="仿宋"/>
          <w:b w:val="0"/>
          <w:bCs/>
          <w:szCs w:val="32"/>
          <w:lang w:val="en-US" w:eastAsia="zh-CN"/>
        </w:rPr>
        <w:t>四川新闻网合作经费2万元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w:t>
      </w:r>
      <w:r>
        <w:rPr>
          <w:rFonts w:hint="eastAsia" w:ascii="仿宋" w:hAnsi="仿宋" w:eastAsia="仿宋" w:cs="仿宋"/>
          <w:b w:val="0"/>
          <w:bCs/>
          <w:szCs w:val="32"/>
          <w:lang w:val="en-US" w:eastAsia="zh-CN"/>
        </w:rPr>
        <w:t>四川电视台合作经费5万元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5.</w:t>
      </w:r>
      <w:r>
        <w:rPr>
          <w:rFonts w:hint="eastAsia" w:ascii="仿宋" w:hAnsi="仿宋" w:eastAsia="仿宋" w:cs="仿宋"/>
          <w:b w:val="0"/>
          <w:bCs/>
          <w:szCs w:val="32"/>
          <w:lang w:val="en-US" w:eastAsia="zh-CN"/>
        </w:rPr>
        <w:t>新华网合作经费5万元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w:t>
      </w:r>
      <w:r>
        <w:rPr>
          <w:rFonts w:hint="eastAsia" w:ascii="仿宋" w:hAnsi="仿宋" w:eastAsia="仿宋" w:cs="仿宋"/>
          <w:b w:val="0"/>
          <w:bCs/>
          <w:szCs w:val="32"/>
          <w:lang w:val="en-US" w:eastAsia="zh-CN"/>
        </w:rPr>
        <w:t>阿豪豪影视工作室合作经费4万元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7.</w:t>
      </w:r>
      <w:r>
        <w:rPr>
          <w:rFonts w:hint="eastAsia" w:ascii="仿宋" w:hAnsi="仿宋" w:eastAsia="仿宋" w:cs="仿宋"/>
          <w:b w:val="0"/>
          <w:bCs/>
          <w:szCs w:val="32"/>
          <w:lang w:val="en-US" w:eastAsia="zh-CN"/>
        </w:rPr>
        <w:t>外宣拍摄租车费、误餐费、拍摄设备维修费、图片视频传输介质等3万元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金口河对外宣传工作属于宣传文化事业范畴，旨在提升地区文化传播力，促进精神文明建设，满足地区发展的宣传需求。</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此次对外宣传工作围绕金口河的特色文化、旅游资源、产业优势等方面展开，涵盖线上线下多渠道宣传活动。预算包括与官方媒体合作经费、外宣拍摄设备维修、租车及误餐费等费用。每项预算都经过详细市场调研与成本核算，确保资金使用合理、高效。</w:t>
      </w:r>
    </w:p>
    <w:p>
      <w:pPr>
        <w:pStyle w:val="2"/>
        <w:numPr>
          <w:numId w:val="0"/>
        </w:numPr>
        <w:spacing w:before="0" w:beforeLines="0" w:after="0" w:afterLines="0"/>
        <w:ind w:leftChars="0" w:firstLine="640" w:firstLineChars="200"/>
        <w:rPr>
          <w:rFonts w:hint="eastAsia" w:ascii="黑体" w:hAnsi="黑体" w:eastAsia="黑体" w:cs="黑体"/>
          <w:b w:val="0"/>
          <w:bCs/>
          <w:color w:val="000000"/>
          <w:kern w:val="0"/>
          <w:sz w:val="32"/>
          <w:szCs w:val="32"/>
          <w:lang w:val="en-US" w:eastAsia="zh-CN" w:bidi="en-US"/>
        </w:rPr>
      </w:pPr>
      <w:bookmarkStart w:id="114" w:name="_Toc9538"/>
      <w:bookmarkStart w:id="115" w:name="_Toc451760287"/>
      <w:bookmarkStart w:id="116" w:name="_Toc1939"/>
      <w:bookmarkStart w:id="117" w:name="_Toc326378840"/>
      <w:bookmarkStart w:id="118" w:name="_Toc132480961"/>
      <w:bookmarkStart w:id="119" w:name="_Toc23154"/>
      <w:bookmarkStart w:id="120" w:name="_Toc1093480860_WPSOffice_Level1"/>
      <w:bookmarkStart w:id="121" w:name="_Toc4357"/>
      <w:bookmarkStart w:id="122" w:name="_Toc1396703300"/>
      <w:bookmarkStart w:id="123" w:name="_Toc15206"/>
      <w:bookmarkStart w:id="124" w:name="_Toc338550202"/>
      <w:r>
        <w:rPr>
          <w:rFonts w:hint="eastAsia" w:ascii="黑体" w:hAnsi="黑体" w:eastAsia="黑体" w:cs="黑体"/>
          <w:b w:val="0"/>
          <w:bCs/>
          <w:color w:val="000000"/>
          <w:kern w:val="0"/>
          <w:sz w:val="32"/>
          <w:szCs w:val="32"/>
          <w:lang w:val="en-US" w:eastAsia="zh-CN" w:bidi="en-US"/>
        </w:rPr>
        <w:t>二、绩效评价工作开展情况</w:t>
      </w:r>
      <w:bookmarkEnd w:id="114"/>
      <w:bookmarkEnd w:id="115"/>
      <w:bookmarkEnd w:id="116"/>
      <w:bookmarkEnd w:id="117"/>
      <w:bookmarkEnd w:id="118"/>
      <w:bookmarkEnd w:id="119"/>
      <w:bookmarkEnd w:id="120"/>
      <w:bookmarkEnd w:id="121"/>
      <w:bookmarkEnd w:id="122"/>
      <w:bookmarkEnd w:id="123"/>
      <w:bookmarkEnd w:id="124"/>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25" w:name="_Toc132480962"/>
      <w:bookmarkStart w:id="126" w:name="_Toc29934"/>
      <w:bookmarkStart w:id="127" w:name="_Toc248617743"/>
      <w:bookmarkStart w:id="128" w:name="_Toc24814"/>
      <w:bookmarkStart w:id="129" w:name="_Toc1380451464"/>
      <w:bookmarkStart w:id="130" w:name="_Toc6302"/>
      <w:bookmarkStart w:id="131" w:name="_Toc20456"/>
      <w:bookmarkStart w:id="132" w:name="_Toc775929442"/>
      <w:bookmarkStart w:id="133" w:name="_Toc1329064111"/>
      <w:bookmarkStart w:id="134" w:name="_Toc26357"/>
      <w:r>
        <w:rPr>
          <w:rFonts w:hint="eastAsia" w:ascii="楷体" w:hAnsi="楷体" w:cs="楷体"/>
          <w:b w:val="0"/>
          <w:bCs/>
          <w:color w:val="000000"/>
          <w:kern w:val="0"/>
          <w:sz w:val="32"/>
          <w:szCs w:val="32"/>
          <w:lang w:val="en-US" w:eastAsia="zh-CN" w:bidi="en-US"/>
        </w:rPr>
        <w:t>（一）</w:t>
      </w:r>
      <w:r>
        <w:rPr>
          <w:rFonts w:hint="eastAsia" w:ascii="楷体" w:hAnsi="楷体" w:eastAsia="楷体" w:cs="楷体"/>
          <w:b w:val="0"/>
          <w:bCs/>
          <w:color w:val="000000"/>
          <w:kern w:val="0"/>
          <w:sz w:val="32"/>
          <w:szCs w:val="32"/>
          <w:lang w:val="en-US" w:eastAsia="zh-CN" w:bidi="en-US"/>
        </w:rPr>
        <w:t>绩效评价目的</w:t>
      </w:r>
      <w:bookmarkEnd w:id="125"/>
      <w:bookmarkEnd w:id="126"/>
      <w:bookmarkEnd w:id="127"/>
      <w:bookmarkEnd w:id="128"/>
      <w:bookmarkEnd w:id="129"/>
      <w:bookmarkEnd w:id="130"/>
      <w:bookmarkEnd w:id="131"/>
      <w:bookmarkEnd w:id="132"/>
      <w:bookmarkEnd w:id="133"/>
      <w:bookmarkEnd w:id="134"/>
    </w:p>
    <w:p>
      <w:pPr>
        <w:ind w:firstLine="640"/>
        <w:rPr>
          <w:rFonts w:hint="eastAsia" w:ascii="仿宋" w:hAnsi="仿宋" w:eastAsia="仿宋" w:cs="仿宋"/>
          <w:bCs/>
          <w:szCs w:val="32"/>
          <w:lang w:eastAsia="zh-CN"/>
        </w:rPr>
      </w:pPr>
      <w:r>
        <w:rPr>
          <w:rFonts w:ascii="仿宋" w:hAnsi="仿宋" w:eastAsia="仿宋" w:cs="仿宋"/>
          <w:bCs/>
          <w:szCs w:val="32"/>
          <w:lang w:eastAsia="zh-CN"/>
        </w:rPr>
        <w:t>根</w:t>
      </w:r>
      <w:r>
        <w:rPr>
          <w:rFonts w:hint="eastAsia" w:ascii="仿宋" w:hAnsi="仿宋" w:eastAsia="仿宋" w:cs="仿宋"/>
          <w:b w:val="0"/>
          <w:bCs/>
          <w:color w:val="000000"/>
          <w:kern w:val="0"/>
          <w:sz w:val="32"/>
          <w:szCs w:val="32"/>
          <w:lang w:val="en-US" w:eastAsia="zh-CN" w:bidi="en-US"/>
        </w:rPr>
        <w:t>据《乐山市金口河区财政局关于委托金口河区财政投资评价审核中心开展2025年事前绩效评估工作的函》，金口河区财政局在各预算单位对2025年年初预算资金进行事前自评的基础上，按照“资金量较大、代表性较强、社会关注度较高、资金分配覆盖广且连续实施”的原则，委托我中心对外宣经费进行评估。本项目的绩效评估主要判断项目申请资金支持的必要性和可行性，重点论证项目实施的必要性、公益性、经济性；项目实施合规性与成熟度；项目资金来源和到位可行性；项目绩效目标合理性；事前绩效评估论证结果</w:t>
      </w:r>
      <w:r>
        <w:rPr>
          <w:rFonts w:ascii="仿宋" w:hAnsi="仿宋" w:eastAsia="仿宋" w:cs="仿宋"/>
          <w:bCs/>
          <w:szCs w:val="32"/>
          <w:lang w:eastAsia="zh-CN"/>
        </w:rPr>
        <w:t>。</w:t>
      </w:r>
    </w:p>
    <w:p>
      <w:pPr>
        <w:pStyle w:val="3"/>
        <w:numPr>
          <w:ilvl w:val="0"/>
          <w:numId w:val="0"/>
        </w:numPr>
        <w:spacing w:before="0" w:beforeLines="0" w:after="0" w:afterLines="0"/>
        <w:ind w:left="709" w:leftChars="0"/>
        <w:rPr>
          <w:rFonts w:hint="eastAsia" w:ascii="楷体" w:hAnsi="楷体" w:cs="楷体"/>
          <w:b w:val="0"/>
          <w:bCs/>
          <w:color w:val="000000"/>
          <w:kern w:val="0"/>
          <w:sz w:val="32"/>
          <w:szCs w:val="32"/>
          <w:lang w:val="en-US" w:eastAsia="zh-CN" w:bidi="en-US"/>
        </w:rPr>
      </w:pPr>
      <w:bookmarkStart w:id="135" w:name="_Toc1343165574"/>
      <w:bookmarkStart w:id="136" w:name="_Toc15142"/>
      <w:bookmarkStart w:id="137" w:name="_Toc32534"/>
      <w:bookmarkStart w:id="138" w:name="_Toc166470150"/>
      <w:bookmarkStart w:id="139" w:name="_Toc2011308256"/>
      <w:bookmarkStart w:id="140" w:name="_Toc8572"/>
      <w:bookmarkStart w:id="141" w:name="_Toc132480963"/>
      <w:bookmarkStart w:id="142" w:name="_Toc1814348475"/>
      <w:bookmarkStart w:id="143" w:name="_Toc6017"/>
      <w:bookmarkStart w:id="144" w:name="_Toc16583"/>
      <w:r>
        <w:rPr>
          <w:rFonts w:hint="eastAsia" w:ascii="楷体" w:hAnsi="楷体" w:cs="楷体"/>
          <w:b w:val="0"/>
          <w:bCs/>
          <w:color w:val="000000"/>
          <w:kern w:val="0"/>
          <w:sz w:val="32"/>
          <w:szCs w:val="32"/>
          <w:lang w:val="en-US" w:eastAsia="zh-CN" w:bidi="en-US"/>
        </w:rPr>
        <w:t>（二）绩效评价</w:t>
      </w:r>
      <w:bookmarkEnd w:id="135"/>
      <w:bookmarkEnd w:id="136"/>
      <w:bookmarkEnd w:id="137"/>
      <w:bookmarkEnd w:id="138"/>
      <w:bookmarkEnd w:id="139"/>
      <w:bookmarkEnd w:id="140"/>
      <w:bookmarkEnd w:id="141"/>
      <w:bookmarkEnd w:id="142"/>
      <w:r>
        <w:rPr>
          <w:rFonts w:hint="eastAsia" w:ascii="楷体" w:hAnsi="楷体" w:cs="楷体"/>
          <w:b w:val="0"/>
          <w:bCs/>
          <w:color w:val="000000"/>
          <w:kern w:val="0"/>
          <w:sz w:val="32"/>
          <w:szCs w:val="32"/>
          <w:lang w:val="en-US" w:eastAsia="zh-CN" w:bidi="en-US"/>
        </w:rPr>
        <w:t>指标</w:t>
      </w:r>
      <w:bookmarkEnd w:id="143"/>
      <w:bookmarkEnd w:id="144"/>
    </w:p>
    <w:p>
      <w:pPr>
        <w:ind w:firstLine="640"/>
        <w:rPr>
          <w:rFonts w:ascii="仿宋" w:hAnsi="仿宋" w:eastAsia="仿宋" w:cs="仿宋"/>
          <w:bCs/>
          <w:szCs w:val="32"/>
          <w:highlight w:val="none"/>
          <w:lang w:eastAsia="zh-CN"/>
        </w:rPr>
      </w:pPr>
      <w:r>
        <w:rPr>
          <w:rFonts w:hint="eastAsia" w:ascii="仿宋" w:hAnsi="仿宋" w:eastAsia="仿宋" w:cs="仿宋"/>
          <w:bCs/>
          <w:szCs w:val="32"/>
          <w:lang w:eastAsia="zh-CN"/>
        </w:rPr>
        <w:t>外宣经费</w:t>
      </w:r>
      <w:r>
        <w:rPr>
          <w:rFonts w:ascii="仿宋" w:hAnsi="仿宋" w:eastAsia="仿宋" w:cs="仿宋"/>
          <w:bCs/>
          <w:szCs w:val="32"/>
          <w:lang w:eastAsia="zh-CN"/>
        </w:rPr>
        <w:t>事前绩效评估指标直接影响绩效评估结果的有效性，设计和选择评估指标时，评估工作小组遵循“相关性、经济性、可比性、重要性”的原则，通过对</w:t>
      </w:r>
      <w:r>
        <w:rPr>
          <w:rFonts w:hint="eastAsia" w:ascii="仿宋" w:hAnsi="仿宋" w:eastAsia="仿宋" w:cs="仿宋"/>
          <w:bCs/>
          <w:szCs w:val="32"/>
          <w:lang w:eastAsia="zh-CN"/>
        </w:rPr>
        <w:t>外宣经费</w:t>
      </w:r>
      <w:r>
        <w:rPr>
          <w:rFonts w:ascii="仿宋" w:hAnsi="仿宋" w:eastAsia="仿宋" w:cs="仿宋"/>
          <w:bCs/>
          <w:szCs w:val="32"/>
          <w:lang w:eastAsia="zh-CN"/>
        </w:rPr>
        <w:t>相关文件的学习理解、对项目特点的深入研究以及对项</w:t>
      </w:r>
      <w:r>
        <w:rPr>
          <w:rFonts w:ascii="仿宋" w:hAnsi="仿宋" w:eastAsia="仿宋" w:cs="仿宋"/>
          <w:bCs/>
          <w:szCs w:val="32"/>
          <w:highlight w:val="none"/>
          <w:lang w:eastAsia="zh-CN"/>
        </w:rPr>
        <w:t>目资料的整理分析的基础上，设计形成事前绩效评估体系。绩效评估总分100分，共设置一级指标</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个，分值分别为1</w:t>
      </w:r>
      <w:r>
        <w:rPr>
          <w:rFonts w:hint="eastAsia" w:ascii="仿宋" w:hAnsi="仿宋" w:eastAsia="仿宋" w:cs="仿宋"/>
          <w:bCs/>
          <w:szCs w:val="32"/>
          <w:highlight w:val="none"/>
          <w:lang w:val="en-US" w:eastAsia="zh-CN"/>
        </w:rPr>
        <w:t>6</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2</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5</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2</w:t>
      </w:r>
      <w:r>
        <w:rPr>
          <w:rFonts w:ascii="仿宋" w:hAnsi="仿宋" w:eastAsia="仿宋" w:cs="仿宋"/>
          <w:bCs/>
          <w:szCs w:val="32"/>
          <w:highlight w:val="none"/>
          <w:lang w:eastAsia="zh-CN"/>
        </w:rPr>
        <w:t>分、</w:t>
      </w:r>
      <w:r>
        <w:rPr>
          <w:rFonts w:hint="eastAsia" w:ascii="仿宋" w:hAnsi="仿宋" w:eastAsia="仿宋" w:cs="仿宋"/>
          <w:bCs/>
          <w:szCs w:val="32"/>
          <w:highlight w:val="none"/>
          <w:lang w:val="en-US" w:eastAsia="zh-CN"/>
        </w:rPr>
        <w:t>6</w:t>
      </w:r>
      <w:r>
        <w:rPr>
          <w:rFonts w:ascii="仿宋" w:hAnsi="仿宋" w:eastAsia="仿宋" w:cs="仿宋"/>
          <w:bCs/>
          <w:szCs w:val="32"/>
          <w:highlight w:val="none"/>
          <w:lang w:eastAsia="zh-CN"/>
        </w:rPr>
        <w:t>分</w:t>
      </w:r>
      <w:r>
        <w:rPr>
          <w:rFonts w:hint="eastAsia" w:ascii="仿宋" w:hAnsi="仿宋" w:eastAsia="仿宋" w:cs="仿宋"/>
          <w:bCs/>
          <w:szCs w:val="32"/>
          <w:highlight w:val="none"/>
          <w:lang w:eastAsia="zh-CN"/>
        </w:rPr>
        <w:t>、</w:t>
      </w:r>
      <w:r>
        <w:rPr>
          <w:rFonts w:hint="eastAsia" w:ascii="仿宋" w:hAnsi="仿宋" w:eastAsia="仿宋" w:cs="仿宋"/>
          <w:bCs/>
          <w:szCs w:val="32"/>
          <w:highlight w:val="none"/>
          <w:lang w:val="en-US" w:eastAsia="zh-CN"/>
        </w:rPr>
        <w:t>12分</w:t>
      </w:r>
      <w:r>
        <w:rPr>
          <w:rFonts w:ascii="仿宋" w:hAnsi="仿宋" w:eastAsia="仿宋" w:cs="仿宋"/>
          <w:bCs/>
          <w:szCs w:val="32"/>
          <w:highlight w:val="none"/>
          <w:lang w:eastAsia="zh-CN"/>
        </w:rPr>
        <w:t>和</w:t>
      </w:r>
      <w:r>
        <w:rPr>
          <w:rFonts w:hint="eastAsia" w:ascii="仿宋" w:hAnsi="仿宋" w:eastAsia="仿宋" w:cs="仿宋"/>
          <w:bCs/>
          <w:szCs w:val="32"/>
          <w:highlight w:val="none"/>
          <w:lang w:val="en-US" w:eastAsia="zh-CN"/>
        </w:rPr>
        <w:t>9</w:t>
      </w:r>
      <w:r>
        <w:rPr>
          <w:rFonts w:ascii="仿宋" w:hAnsi="仿宋" w:eastAsia="仿宋" w:cs="仿宋"/>
          <w:bCs/>
          <w:szCs w:val="32"/>
          <w:highlight w:val="none"/>
          <w:lang w:eastAsia="zh-CN"/>
        </w:rPr>
        <w:t>分，设置二级指标1</w:t>
      </w:r>
      <w:r>
        <w:rPr>
          <w:rFonts w:hint="eastAsia" w:ascii="仿宋" w:hAnsi="仿宋" w:eastAsia="仿宋" w:cs="仿宋"/>
          <w:bCs/>
          <w:szCs w:val="32"/>
          <w:highlight w:val="none"/>
          <w:lang w:val="en-US" w:eastAsia="zh-CN"/>
        </w:rPr>
        <w:t>7</w:t>
      </w:r>
      <w:r>
        <w:rPr>
          <w:rFonts w:ascii="仿宋" w:hAnsi="仿宋" w:eastAsia="仿宋" w:cs="仿宋"/>
          <w:bCs/>
          <w:szCs w:val="32"/>
          <w:highlight w:val="none"/>
          <w:lang w:eastAsia="zh-CN"/>
        </w:rPr>
        <w:t>个，重点论证</w:t>
      </w:r>
      <w:r>
        <w:rPr>
          <w:rFonts w:hint="eastAsia" w:ascii="仿宋" w:hAnsi="仿宋" w:eastAsia="仿宋" w:cs="仿宋"/>
          <w:bCs/>
          <w:szCs w:val="32"/>
          <w:highlight w:val="none"/>
          <w:lang w:val="en-US" w:eastAsia="zh-CN"/>
        </w:rPr>
        <w:t>项目实施</w:t>
      </w:r>
      <w:r>
        <w:rPr>
          <w:rFonts w:ascii="仿宋" w:hAnsi="仿宋" w:eastAsia="仿宋" w:cs="仿宋"/>
          <w:bCs/>
          <w:szCs w:val="32"/>
          <w:highlight w:val="none"/>
          <w:lang w:eastAsia="zh-CN"/>
        </w:rPr>
        <w:t>必要性、绩效目标合理性、实施</w:t>
      </w:r>
      <w:r>
        <w:rPr>
          <w:rFonts w:hint="eastAsia" w:ascii="仿宋" w:hAnsi="仿宋" w:eastAsia="仿宋" w:cs="仿宋"/>
          <w:bCs/>
          <w:szCs w:val="32"/>
          <w:highlight w:val="none"/>
          <w:lang w:val="en-US" w:eastAsia="zh-CN"/>
        </w:rPr>
        <w:t>程序合规</w:t>
      </w:r>
      <w:r>
        <w:rPr>
          <w:rFonts w:ascii="仿宋" w:hAnsi="仿宋" w:eastAsia="仿宋" w:cs="仿宋"/>
          <w:bCs/>
          <w:szCs w:val="32"/>
          <w:highlight w:val="none"/>
          <w:lang w:eastAsia="zh-CN"/>
        </w:rPr>
        <w:t>性、</w:t>
      </w:r>
      <w:r>
        <w:rPr>
          <w:rFonts w:hint="eastAsia" w:ascii="仿宋" w:hAnsi="仿宋" w:eastAsia="仿宋" w:cs="仿宋"/>
          <w:bCs/>
          <w:szCs w:val="32"/>
          <w:highlight w:val="none"/>
          <w:lang w:val="en-US" w:eastAsia="zh-CN"/>
        </w:rPr>
        <w:t>项目实施成果合格性</w:t>
      </w:r>
      <w:r>
        <w:rPr>
          <w:rFonts w:ascii="仿宋" w:hAnsi="仿宋" w:eastAsia="仿宋" w:cs="仿宋"/>
          <w:bCs/>
          <w:szCs w:val="32"/>
          <w:highlight w:val="none"/>
          <w:lang w:eastAsia="zh-CN"/>
        </w:rPr>
        <w:t>等方面，全面评估该项目的的预期绩效情况。</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45" w:name="_Toc9410"/>
      <w:bookmarkStart w:id="146" w:name="_Toc11904"/>
      <w:bookmarkStart w:id="147" w:name="_Toc9540"/>
      <w:bookmarkStart w:id="148" w:name="_Toc133498040"/>
      <w:bookmarkStart w:id="149" w:name="_Toc16322"/>
      <w:bookmarkStart w:id="150" w:name="_Toc27238"/>
      <w:bookmarkStart w:id="151" w:name="_Toc22272"/>
      <w:bookmarkStart w:id="152" w:name="_Toc130033892"/>
      <w:r>
        <w:rPr>
          <w:rFonts w:hint="eastAsia" w:ascii="楷体" w:hAnsi="楷体" w:eastAsia="楷体" w:cs="楷体"/>
          <w:b w:val="0"/>
          <w:bCs/>
          <w:szCs w:val="32"/>
          <w:lang w:eastAsia="zh-CN"/>
        </w:rPr>
        <w:t>（三）</w:t>
      </w:r>
      <w:r>
        <w:rPr>
          <w:rFonts w:hint="eastAsia" w:ascii="楷体" w:hAnsi="楷体" w:eastAsia="楷体" w:cs="楷体"/>
          <w:b w:val="0"/>
          <w:bCs/>
          <w:szCs w:val="32"/>
        </w:rPr>
        <w:t>评价依据</w:t>
      </w:r>
      <w:bookmarkEnd w:id="145"/>
      <w:bookmarkEnd w:id="146"/>
      <w:bookmarkEnd w:id="147"/>
      <w:bookmarkEnd w:id="148"/>
      <w:bookmarkEnd w:id="149"/>
      <w:bookmarkEnd w:id="150"/>
      <w:bookmarkEnd w:id="151"/>
      <w:bookmarkEnd w:id="152"/>
    </w:p>
    <w:p>
      <w:pPr>
        <w:ind w:firstLine="640"/>
        <w:rPr>
          <w:rFonts w:hint="default" w:ascii="仿宋" w:hAnsi="仿宋" w:eastAsia="仿宋" w:cs="仿宋"/>
          <w:bCs/>
          <w:szCs w:val="32"/>
          <w:lang w:val="en-US"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项目单位提供的相关资料；</w:t>
      </w:r>
    </w:p>
    <w:p>
      <w:pPr>
        <w:ind w:firstLine="640"/>
        <w:rPr>
          <w:rFonts w:hint="default" w:ascii="仿宋" w:hAnsi="仿宋" w:eastAsia="仿宋" w:cs="仿宋"/>
          <w:bCs/>
          <w:szCs w:val="32"/>
          <w:lang w:val="en-US" w:eastAsia="zh-CN"/>
        </w:rPr>
      </w:pPr>
      <w:r>
        <w:rPr>
          <w:rFonts w:hint="eastAsia" w:ascii="仿宋" w:hAnsi="仿宋" w:eastAsia="仿宋" w:cs="仿宋"/>
          <w:bCs/>
          <w:szCs w:val="32"/>
          <w:lang w:val="en-US" w:eastAsia="zh-CN"/>
        </w:rPr>
        <w:t>2.</w:t>
      </w:r>
      <w:r>
        <w:rPr>
          <w:rFonts w:hint="eastAsia" w:ascii="仿宋" w:hAnsi="仿宋" w:eastAsia="仿宋" w:cs="仿宋"/>
          <w:bCs/>
          <w:szCs w:val="32"/>
          <w:lang w:eastAsia="zh-CN"/>
        </w:rPr>
        <w:t>《中共中央国务院关于全面实施预算绩效管理的意见》（中发〔2018〕34号）；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zCs w:val="32"/>
          <w:highlight w:val="none"/>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四川省财政厅中共四川省委宣传部关于印发</w:t>
      </w:r>
      <w:r>
        <w:rPr>
          <w:rFonts w:hint="eastAsia" w:ascii="仿宋" w:hAnsi="仿宋" w:eastAsia="仿宋" w:cs="仿宋"/>
          <w:bCs/>
          <w:szCs w:val="32"/>
          <w:lang w:val="en-US" w:eastAsia="zh-CN"/>
        </w:rPr>
        <w:t>&lt;</w:t>
      </w:r>
      <w:r>
        <w:rPr>
          <w:rFonts w:hint="eastAsia" w:ascii="仿宋" w:hAnsi="仿宋" w:eastAsia="仿宋" w:cs="仿宋"/>
          <w:bCs/>
          <w:szCs w:val="32"/>
          <w:lang w:eastAsia="zh-CN"/>
        </w:rPr>
        <w:t>四川省宣传文化事业发展专项资金管理办法</w:t>
      </w:r>
      <w:r>
        <w:rPr>
          <w:rFonts w:hint="eastAsia" w:ascii="仿宋" w:hAnsi="仿宋" w:eastAsia="仿宋" w:cs="仿宋"/>
          <w:bCs/>
          <w:szCs w:val="32"/>
          <w:lang w:val="en-US" w:eastAsia="zh-CN"/>
        </w:rPr>
        <w:t>&gt;</w:t>
      </w:r>
      <w:r>
        <w:rPr>
          <w:rFonts w:hint="eastAsia" w:ascii="仿宋" w:hAnsi="仿宋" w:eastAsia="仿宋" w:cs="仿宋"/>
          <w:bCs/>
          <w:szCs w:val="32"/>
          <w:lang w:eastAsia="zh-CN"/>
        </w:rPr>
        <w:t>的</w:t>
      </w:r>
      <w:r>
        <w:rPr>
          <w:rFonts w:hint="eastAsia" w:ascii="仿宋" w:hAnsi="仿宋" w:eastAsia="仿宋" w:cs="仿宋"/>
          <w:bCs/>
          <w:szCs w:val="32"/>
          <w:highlight w:val="none"/>
          <w:lang w:eastAsia="zh-CN"/>
        </w:rPr>
        <w:t>通知》（川财教〔20</w:t>
      </w:r>
      <w:r>
        <w:rPr>
          <w:rFonts w:hint="eastAsia" w:ascii="仿宋" w:hAnsi="仿宋" w:eastAsia="仿宋" w:cs="仿宋"/>
          <w:bCs/>
          <w:szCs w:val="32"/>
          <w:highlight w:val="none"/>
          <w:lang w:val="en-US" w:eastAsia="zh-CN"/>
        </w:rPr>
        <w:t>21</w:t>
      </w:r>
      <w:r>
        <w:rPr>
          <w:rFonts w:hint="eastAsia" w:ascii="仿宋" w:hAnsi="仿宋" w:eastAsia="仿宋" w:cs="仿宋"/>
          <w:bCs/>
          <w:szCs w:val="32"/>
          <w:highlight w:val="none"/>
          <w:lang w:eastAsia="zh-CN"/>
        </w:rPr>
        <w:t>〕</w:t>
      </w:r>
      <w:r>
        <w:rPr>
          <w:rFonts w:hint="eastAsia" w:ascii="仿宋" w:hAnsi="仿宋" w:eastAsia="仿宋" w:cs="仿宋"/>
          <w:bCs/>
          <w:szCs w:val="32"/>
          <w:highlight w:val="none"/>
          <w:lang w:val="en-US" w:eastAsia="zh-CN"/>
        </w:rPr>
        <w:t>56</w:t>
      </w:r>
      <w:r>
        <w:rPr>
          <w:rFonts w:hint="eastAsia" w:ascii="仿宋" w:hAnsi="仿宋" w:eastAsia="仿宋" w:cs="仿宋"/>
          <w:bCs/>
          <w:szCs w:val="32"/>
          <w:highlight w:val="none"/>
          <w:lang w:eastAsia="zh-CN"/>
        </w:rPr>
        <w:t>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5.</w:t>
      </w:r>
      <w:r>
        <w:rPr>
          <w:rFonts w:hint="eastAsia" w:ascii="仿宋" w:hAnsi="仿宋" w:eastAsia="仿宋" w:cs="仿宋"/>
          <w:bCs/>
          <w:szCs w:val="32"/>
          <w:lang w:eastAsia="zh-CN"/>
        </w:rPr>
        <w:t>《中共乐山市委办公室乐山市人民政府办公室&lt;关于印发全面实施预算绩效管理实施方案&gt;的通知》（乐委办发〔2020〕12号）；</w:t>
      </w:r>
    </w:p>
    <w:p>
      <w:pPr>
        <w:ind w:firstLine="640"/>
        <w:rPr>
          <w:rFonts w:hint="eastAsia" w:ascii="仿宋" w:hAnsi="仿宋" w:eastAsia="仿宋" w:cs="仿宋"/>
          <w:bCs/>
          <w:szCs w:val="32"/>
          <w:lang w:val="en-US" w:eastAsia="zh-CN"/>
        </w:rPr>
      </w:pPr>
      <w:bookmarkStart w:id="153" w:name="_Toc8759"/>
      <w:bookmarkStart w:id="154" w:name="_Toc4268"/>
      <w:bookmarkStart w:id="155" w:name="_Toc13032"/>
      <w:r>
        <w:rPr>
          <w:rFonts w:hint="eastAsia" w:ascii="仿宋" w:hAnsi="仿宋" w:eastAsia="仿宋" w:cs="仿宋"/>
          <w:bCs/>
          <w:szCs w:val="32"/>
          <w:lang w:val="en-US" w:eastAsia="zh-CN"/>
        </w:rPr>
        <w:t>6.《中共乐山市金口河区委办公室关于印发&lt;中共乐山市金口河区委宣传部职能配置、内设机构和人员编制规定&gt;的通知》（金委办〔2019〕12号）；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Cs/>
          <w:szCs w:val="32"/>
          <w:lang w:eastAsia="zh-CN"/>
        </w:rPr>
        <w:t>《金口河区区级预算事前绩效评估管理暂行办法》；</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8.</w:t>
      </w:r>
      <w:r>
        <w:rPr>
          <w:rFonts w:hint="eastAsia" w:ascii="仿宋" w:hAnsi="仿宋" w:eastAsia="仿宋" w:cs="仿宋"/>
          <w:bCs/>
          <w:szCs w:val="32"/>
          <w:lang w:eastAsia="zh-CN"/>
        </w:rPr>
        <w:t>其他与本次评价相关的制度、文件等资料。</w:t>
      </w:r>
      <w:bookmarkEnd w:id="153"/>
      <w:bookmarkEnd w:id="154"/>
      <w:bookmarkEnd w:id="155"/>
    </w:p>
    <w:p>
      <w:pPr>
        <w:pStyle w:val="3"/>
        <w:numPr>
          <w:numId w:val="0"/>
        </w:numPr>
        <w:spacing w:before="0" w:beforeLines="0" w:after="0" w:afterLines="0"/>
        <w:ind w:left="709" w:leftChars="0"/>
        <w:rPr>
          <w:rFonts w:hint="eastAsia" w:ascii="楷体" w:hAnsi="楷体" w:eastAsia="楷体" w:cs="楷体"/>
          <w:b w:val="0"/>
          <w:bCs/>
          <w:szCs w:val="32"/>
        </w:rPr>
      </w:pPr>
      <w:bookmarkStart w:id="156" w:name="_Toc133498039"/>
      <w:bookmarkStart w:id="157" w:name="_Toc517771165"/>
      <w:bookmarkStart w:id="158" w:name="_Toc13724"/>
      <w:bookmarkStart w:id="159" w:name="_Toc30638"/>
      <w:bookmarkStart w:id="160" w:name="_Toc235704954"/>
      <w:bookmarkStart w:id="161" w:name="_Toc5444"/>
      <w:bookmarkStart w:id="162" w:name="_Toc130033891"/>
      <w:bookmarkStart w:id="163" w:name="_Toc1840102656"/>
      <w:bookmarkStart w:id="164" w:name="_Toc1634515572"/>
      <w:bookmarkStart w:id="165" w:name="_Toc2097"/>
      <w:bookmarkStart w:id="166" w:name="_Toc28796"/>
      <w:bookmarkStart w:id="167" w:name="_Toc1492000300_WPSOffice_Level3"/>
      <w:bookmarkStart w:id="168" w:name="_Toc24196"/>
      <w:bookmarkStart w:id="169" w:name="_Toc15390"/>
      <w:bookmarkStart w:id="170" w:name="_Toc576232511"/>
      <w:bookmarkStart w:id="171" w:name="_Toc9201"/>
      <w:bookmarkStart w:id="172" w:name="_Toc1533316810"/>
      <w:bookmarkStart w:id="173" w:name="_Toc130033893"/>
      <w:bookmarkStart w:id="174" w:name="_Toc30726"/>
      <w:bookmarkStart w:id="175" w:name="_Toc15014"/>
      <w:bookmarkStart w:id="176" w:name="_Toc692406180"/>
      <w:bookmarkStart w:id="177" w:name="_Toc24488"/>
      <w:bookmarkStart w:id="178" w:name="_Toc133498041"/>
      <w:bookmarkStart w:id="179" w:name="_Toc2029979728_WPSOffice_Level3"/>
      <w:bookmarkStart w:id="180" w:name="_Toc693338945"/>
      <w:bookmarkStart w:id="181" w:name="_Toc6461"/>
      <w:r>
        <w:rPr>
          <w:rFonts w:hint="eastAsia" w:ascii="楷体" w:hAnsi="楷体" w:eastAsia="楷体" w:cs="楷体"/>
          <w:b w:val="0"/>
          <w:bCs/>
          <w:szCs w:val="32"/>
          <w:lang w:eastAsia="zh-CN"/>
        </w:rPr>
        <w:t>（四）</w:t>
      </w:r>
      <w:r>
        <w:rPr>
          <w:rFonts w:hint="eastAsia" w:ascii="楷体" w:hAnsi="楷体" w:eastAsia="楷体" w:cs="楷体"/>
          <w:b w:val="0"/>
          <w:bCs/>
          <w:szCs w:val="32"/>
        </w:rPr>
        <w:t>绩效评价原则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科学规范原则。绩效评价应当严格执行规定的程序，</w:t>
      </w:r>
      <w:r>
        <w:rPr>
          <w:rFonts w:hint="eastAsia" w:ascii="仿宋" w:hAnsi="仿宋" w:eastAsia="仿宋" w:cs="仿宋"/>
          <w:bCs/>
          <w:spacing w:val="1"/>
          <w:szCs w:val="32"/>
          <w:lang w:eastAsia="zh-CN"/>
        </w:rPr>
        <w:t>按科学可行的要求，</w:t>
      </w:r>
      <w:r>
        <w:rPr>
          <w:rFonts w:hint="eastAsia" w:ascii="仿宋" w:hAnsi="仿宋" w:eastAsia="仿宋" w:cs="仿宋"/>
          <w:bCs/>
          <w:szCs w:val="32"/>
          <w:lang w:eastAsia="zh-CN"/>
        </w:rPr>
        <w:t>采用</w:t>
      </w:r>
      <w:r>
        <w:rPr>
          <w:rFonts w:hint="eastAsia" w:ascii="仿宋" w:hAnsi="仿宋" w:eastAsia="仿宋" w:cs="仿宋"/>
          <w:bCs/>
          <w:szCs w:val="32"/>
          <w:highlight w:val="none"/>
          <w:lang w:eastAsia="zh-CN"/>
        </w:rPr>
        <w:t>定量与定性分析相</w:t>
      </w:r>
      <w:r>
        <w:rPr>
          <w:rFonts w:hint="eastAsia" w:ascii="仿宋" w:hAnsi="仿宋" w:eastAsia="仿宋" w:cs="仿宋"/>
          <w:bCs/>
          <w:szCs w:val="32"/>
          <w:lang w:eastAsia="zh-CN"/>
        </w:rPr>
        <w:t>结合、理论与实践相结合的方法设计合理的评估指标体系。</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利害关系回避原则。绩效评价工作由</w:t>
      </w:r>
      <w:r>
        <w:rPr>
          <w:rFonts w:ascii="仿宋" w:hAnsi="仿宋" w:eastAsia="仿宋" w:cs="仿宋"/>
          <w:szCs w:val="32"/>
          <w:lang w:eastAsia="zh-CN"/>
        </w:rPr>
        <w:t>乐山市金口河区财政投资评价审核中心</w:t>
      </w:r>
      <w:r>
        <w:rPr>
          <w:rFonts w:hint="eastAsia" w:ascii="仿宋" w:hAnsi="仿宋" w:eastAsia="仿宋" w:cs="仿宋"/>
          <w:bCs/>
          <w:szCs w:val="32"/>
          <w:lang w:eastAsia="zh-CN"/>
        </w:rPr>
        <w:t>进行实施。</w:t>
      </w:r>
    </w:p>
    <w:p>
      <w:pPr>
        <w:ind w:firstLine="640"/>
        <w:rPr>
          <w:rFonts w:hint="eastAsia" w:ascii="仿宋" w:hAnsi="仿宋" w:eastAsia="仿宋" w:cs="仿宋"/>
          <w:bCs/>
          <w:spacing w:val="-5"/>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绩效相关原则。本次事前绩效评估针对外宣经费预算金额及其预期绩效进行，评价结果清晰地反映两者之间的紧密对应关系。</w:t>
      </w:r>
    </w:p>
    <w:p>
      <w:pPr>
        <w:pStyle w:val="3"/>
        <w:numPr>
          <w:ilvl w:val="0"/>
          <w:numId w:val="0"/>
        </w:numPr>
        <w:spacing w:before="0" w:beforeLines="0" w:after="0" w:afterLines="0"/>
        <w:ind w:left="709" w:leftChars="0"/>
        <w:rPr>
          <w:rFonts w:hint="eastAsia" w:ascii="楷体" w:hAnsi="楷体" w:eastAsia="楷体" w:cs="楷体"/>
          <w:b w:val="0"/>
          <w:bCs/>
          <w:szCs w:val="32"/>
          <w:lang w:eastAsia="zh-CN"/>
        </w:rPr>
      </w:pPr>
      <w:bookmarkStart w:id="182" w:name="_Toc25280"/>
      <w:bookmarkStart w:id="183" w:name="_Toc4046"/>
      <w:r>
        <w:rPr>
          <w:rFonts w:hint="eastAsia" w:ascii="楷体" w:hAnsi="楷体" w:eastAsia="楷体" w:cs="楷体"/>
          <w:b w:val="0"/>
          <w:bCs/>
          <w:szCs w:val="32"/>
          <w:lang w:eastAsia="zh-CN"/>
        </w:rPr>
        <w:t>（五）评价方法和等级设定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ind w:firstLine="640"/>
        <w:rPr>
          <w:rFonts w:ascii="仿宋" w:hAnsi="仿宋" w:eastAsia="仿宋" w:cs="仿宋"/>
          <w:bCs/>
          <w:szCs w:val="32"/>
          <w:lang w:eastAsia="zh-CN"/>
        </w:rPr>
      </w:pPr>
      <w:r>
        <w:rPr>
          <w:rFonts w:hint="eastAsia" w:ascii="仿宋" w:hAnsi="仿宋" w:eastAsia="仿宋" w:cs="仿宋"/>
          <w:bCs/>
          <w:szCs w:val="32"/>
          <w:lang w:eastAsia="zh-CN"/>
        </w:rPr>
        <w:t>本次绩效评估通过实施单位的数据填报,辅以评价工作小组实地调查、查阅问卷、听取汇报、查看项目管理及财务管理资料等方式收集信息，对拟使用资金项目的必要性、</w:t>
      </w:r>
      <w:r>
        <w:rPr>
          <w:rFonts w:ascii="仿宋" w:hAnsi="仿宋" w:eastAsia="仿宋" w:cs="仿宋"/>
          <w:bCs/>
          <w:szCs w:val="32"/>
          <w:highlight w:val="none"/>
          <w:lang w:eastAsia="zh-CN"/>
        </w:rPr>
        <w:t>实施</w:t>
      </w:r>
      <w:r>
        <w:rPr>
          <w:rFonts w:hint="eastAsia" w:ascii="仿宋" w:hAnsi="仿宋" w:eastAsia="仿宋" w:cs="仿宋"/>
          <w:bCs/>
          <w:szCs w:val="32"/>
          <w:highlight w:val="none"/>
          <w:lang w:val="en-US" w:eastAsia="zh-CN"/>
        </w:rPr>
        <w:t>程序合规</w:t>
      </w:r>
      <w:r>
        <w:rPr>
          <w:rFonts w:ascii="仿宋" w:hAnsi="仿宋" w:eastAsia="仿宋" w:cs="仿宋"/>
          <w:bCs/>
          <w:szCs w:val="32"/>
          <w:highlight w:val="none"/>
          <w:lang w:eastAsia="zh-CN"/>
        </w:rPr>
        <w:t>性</w:t>
      </w:r>
      <w:r>
        <w:rPr>
          <w:rFonts w:hint="eastAsia" w:ascii="仿宋" w:hAnsi="仿宋" w:eastAsia="仿宋" w:cs="仿宋"/>
          <w:bCs/>
          <w:szCs w:val="32"/>
          <w:lang w:eastAsia="zh-CN"/>
        </w:rPr>
        <w:t>、绩效目标的合理性、资金使用的</w:t>
      </w:r>
      <w:r>
        <w:rPr>
          <w:rFonts w:hint="eastAsia" w:ascii="仿宋" w:hAnsi="仿宋" w:eastAsia="仿宋" w:cs="仿宋"/>
          <w:bCs/>
          <w:szCs w:val="32"/>
          <w:lang w:val="en-US" w:eastAsia="zh-CN"/>
        </w:rPr>
        <w:t>合理性</w:t>
      </w:r>
      <w:r>
        <w:rPr>
          <w:rFonts w:hint="eastAsia" w:ascii="仿宋" w:hAnsi="仿宋" w:eastAsia="仿宋" w:cs="仿宋"/>
          <w:bCs/>
          <w:szCs w:val="32"/>
          <w:lang w:eastAsia="zh-CN"/>
        </w:rPr>
        <w:t>、</w:t>
      </w:r>
      <w:r>
        <w:rPr>
          <w:rFonts w:hint="eastAsia" w:ascii="仿宋" w:hAnsi="仿宋" w:eastAsia="仿宋" w:cs="仿宋"/>
          <w:bCs/>
          <w:szCs w:val="32"/>
          <w:lang w:val="en-US" w:eastAsia="zh-CN"/>
        </w:rPr>
        <w:t>实施程序的</w:t>
      </w:r>
      <w:r>
        <w:rPr>
          <w:rFonts w:hint="eastAsia" w:ascii="仿宋" w:hAnsi="仿宋" w:eastAsia="仿宋" w:cs="仿宋"/>
          <w:bCs/>
          <w:szCs w:val="32"/>
          <w:lang w:eastAsia="zh-CN"/>
        </w:rPr>
        <w:t>合规性等方面进行评判、论证和审查。以定量考核与定性分析相结合，汇总形成评估综合得分。评估结论分为建议实施、建议调整后实施、建议不予实施三个等级，根据各项指标得分合计分数，确定综合评估结论。具体如下:</w:t>
      </w:r>
    </w:p>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事前绩效评估结论等级表</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评估结论</w:t>
            </w:r>
          </w:p>
        </w:tc>
        <w:tc>
          <w:tcPr>
            <w:tcW w:w="1854"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建议实施</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建议调整后实施</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建议不予实施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参考分值S</w:t>
            </w:r>
          </w:p>
        </w:tc>
        <w:tc>
          <w:tcPr>
            <w:tcW w:w="1854" w:type="dxa"/>
          </w:tcPr>
          <w:p>
            <w:pPr>
              <w:ind w:firstLine="0" w:firstLineChars="0"/>
              <w:jc w:val="center"/>
              <w:rPr>
                <w:rFonts w:hint="default" w:ascii="仿宋" w:hAnsi="仿宋" w:eastAsia="仿宋" w:cs="仿宋"/>
                <w:b w:val="0"/>
                <w:bCs/>
                <w:szCs w:val="32"/>
                <w:lang w:val="en-US" w:eastAsia="zh-CN"/>
              </w:rPr>
            </w:pPr>
            <w:r>
              <w:rPr>
                <w:rFonts w:hint="eastAsia" w:ascii="仿宋" w:hAnsi="仿宋" w:eastAsia="仿宋" w:cs="仿宋"/>
                <w:b w:val="0"/>
                <w:bCs/>
                <w:szCs w:val="32"/>
                <w:lang w:eastAsia="zh-CN"/>
              </w:rPr>
              <w:t>S≥9</w:t>
            </w:r>
            <w:r>
              <w:rPr>
                <w:rFonts w:hint="eastAsia" w:ascii="仿宋" w:hAnsi="仿宋" w:eastAsia="仿宋" w:cs="仿宋"/>
                <w:b w:val="0"/>
                <w:bCs/>
                <w:szCs w:val="32"/>
                <w:lang w:val="en-US" w:eastAsia="zh-CN"/>
              </w:rPr>
              <w:t>0</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90&gt;S&gt;75</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S&lt;75</w:t>
            </w:r>
          </w:p>
        </w:tc>
      </w:tr>
    </w:tbl>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4" w:name="_Toc21368"/>
      <w:bookmarkStart w:id="185" w:name="_Toc5302"/>
      <w:r>
        <w:rPr>
          <w:rFonts w:hint="eastAsia" w:ascii="楷体" w:hAnsi="楷体" w:eastAsia="楷体" w:cs="楷体"/>
          <w:b w:val="0"/>
          <w:bCs/>
          <w:szCs w:val="32"/>
          <w:lang w:eastAsia="zh-CN"/>
        </w:rPr>
        <w:t>（六）评价程序</w:t>
      </w:r>
      <w:bookmarkEnd w:id="184"/>
      <w:bookmarkEnd w:id="185"/>
    </w:p>
    <w:p>
      <w:pPr>
        <w:numPr>
          <w:numId w:val="0"/>
        </w:numPr>
        <w:ind w:firstLine="640" w:firstLineChars="200"/>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下达评估入户通知。绩效考评中心以入户通知书的形式通知项目单位，并明确评估的依据、内容、目的、任务、时间、要求等事项。</w:t>
      </w:r>
    </w:p>
    <w:p>
      <w:pPr>
        <w:numPr>
          <w:ilvl w:val="0"/>
          <w:numId w:val="0"/>
        </w:numPr>
        <w:ind w:firstLine="640" w:firstLineChars="200"/>
        <w:rPr>
          <w:rFonts w:hint="eastAsia" w:ascii="仿宋" w:hAnsi="仿宋" w:eastAsia="仿宋" w:cs="仿宋"/>
          <w:bCs/>
          <w:szCs w:val="32"/>
          <w:lang w:eastAsia="zh-CN"/>
        </w:rPr>
      </w:pPr>
      <w:r>
        <w:rPr>
          <w:rFonts w:hint="eastAsia" w:ascii="仿宋" w:hAnsi="仿宋" w:eastAsia="仿宋" w:cs="仿宋"/>
          <w:bCs/>
          <w:szCs w:val="32"/>
          <w:lang w:eastAsia="zh-CN"/>
        </w:rPr>
        <w:t>2.拟定工作方案。评估工作组结合事前绩效评估工作要求，拟定《事前绩效评估工作方案》，包括评估对象、内容、方法、专家、时间安排等。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3.组成评估小组。评估工作组遴选相关人员组成评估专家组，并适时开展业务培训。</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4.入户调研。评估工作组与被评估单位沟通，进一步熟悉项目内容;向项目单位出示《项目支出事前绩效评估资料准备清单》，指导项目单位填报《事前绩效评估项目申报书》、《项目支出绩效目标申报表》。</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6.组织实施评估。绩效考评组召开评估会议，了解项目基本情况，听取项目单位情况介绍，进行现场评议。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(1)采取多种方式，多方获取信息。通过咨询专家、查阅资料、问卷调查、电话采访、集中座谈等方式，全面了解并收集项目信息。</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(3)确认工作组意见，得出评估结论。评估工作组将评估个人初步意见报送评估工作组征求意见，评估工作组综合完善意见后，得出最终评估结论，填写《项目支出事前绩效评估工作组汇总意见》。</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7.汇报绩效评估结论。完成最终评价报告，提出评估结论意见。</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6" w:name="_Toc25156"/>
      <w:bookmarkStart w:id="187" w:name="_Toc28492"/>
      <w:r>
        <w:rPr>
          <w:rFonts w:hint="eastAsia" w:ascii="楷体" w:hAnsi="楷体" w:eastAsia="楷体" w:cs="楷体"/>
          <w:b w:val="0"/>
          <w:bCs/>
          <w:szCs w:val="32"/>
          <w:lang w:eastAsia="zh-CN"/>
        </w:rPr>
        <w:t>（七）论证思路及方法</w:t>
      </w:r>
      <w:bookmarkEnd w:id="186"/>
      <w:bookmarkEnd w:id="187"/>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本次事前绩效评估主要针对项目的相关性、项目绩效的</w:t>
      </w:r>
      <w:r>
        <w:rPr>
          <w:rFonts w:hint="eastAsia" w:ascii="仿宋" w:hAnsi="仿宋" w:eastAsia="仿宋" w:cs="仿宋"/>
          <w:bCs/>
          <w:szCs w:val="32"/>
          <w:lang w:val="en-US" w:eastAsia="zh-CN"/>
        </w:rPr>
        <w:t>合理性</w:t>
      </w:r>
      <w:r>
        <w:rPr>
          <w:rFonts w:hint="eastAsia" w:ascii="仿宋" w:hAnsi="仿宋" w:eastAsia="仿宋" w:cs="仿宋"/>
          <w:bCs/>
          <w:szCs w:val="32"/>
          <w:lang w:eastAsia="zh-CN"/>
        </w:rPr>
        <w:t>性、</w:t>
      </w:r>
      <w:r>
        <w:rPr>
          <w:rFonts w:hint="eastAsia" w:ascii="仿宋" w:hAnsi="仿宋" w:eastAsia="仿宋" w:cs="仿宋"/>
          <w:bCs/>
          <w:szCs w:val="32"/>
          <w:lang w:val="en-US" w:eastAsia="zh-CN"/>
        </w:rPr>
        <w:t>项目</w:t>
      </w:r>
      <w:r>
        <w:rPr>
          <w:rFonts w:ascii="仿宋" w:hAnsi="仿宋" w:eastAsia="仿宋" w:cs="仿宋"/>
          <w:bCs/>
          <w:szCs w:val="32"/>
          <w:highlight w:val="none"/>
          <w:lang w:eastAsia="zh-CN"/>
        </w:rPr>
        <w:t>实施</w:t>
      </w:r>
      <w:r>
        <w:rPr>
          <w:rFonts w:hint="eastAsia" w:ascii="仿宋" w:hAnsi="仿宋" w:eastAsia="仿宋" w:cs="仿宋"/>
          <w:bCs/>
          <w:szCs w:val="32"/>
          <w:highlight w:val="none"/>
          <w:lang w:val="en-US" w:eastAsia="zh-CN"/>
        </w:rPr>
        <w:t>程序合规</w:t>
      </w:r>
      <w:r>
        <w:rPr>
          <w:rFonts w:ascii="仿宋" w:hAnsi="仿宋" w:eastAsia="仿宋" w:cs="仿宋"/>
          <w:bCs/>
          <w:szCs w:val="32"/>
          <w:highlight w:val="none"/>
          <w:lang w:eastAsia="zh-CN"/>
        </w:rPr>
        <w:t>性</w:t>
      </w:r>
      <w:r>
        <w:rPr>
          <w:rFonts w:hint="eastAsia" w:ascii="仿宋" w:hAnsi="仿宋" w:eastAsia="仿宋" w:cs="仿宋"/>
          <w:bCs/>
          <w:szCs w:val="32"/>
          <w:lang w:eastAsia="zh-CN"/>
        </w:rPr>
        <w:t>、项目预期绩效的可持续性、财政资金投入的</w:t>
      </w:r>
      <w:r>
        <w:rPr>
          <w:rFonts w:hint="eastAsia" w:ascii="仿宋" w:hAnsi="仿宋" w:eastAsia="仿宋" w:cs="仿宋"/>
          <w:bCs/>
          <w:szCs w:val="32"/>
          <w:lang w:val="en-US" w:eastAsia="zh-CN"/>
        </w:rPr>
        <w:t>及时性</w:t>
      </w:r>
      <w:r>
        <w:rPr>
          <w:rFonts w:hint="eastAsia" w:ascii="仿宋" w:hAnsi="仿宋" w:eastAsia="仿宋" w:cs="仿宋"/>
          <w:bCs/>
          <w:szCs w:val="32"/>
          <w:lang w:eastAsia="zh-CN"/>
        </w:rPr>
        <w:t>等五方面进行综合评估、分析与论证，并提出相关建议。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本次事前绩效评估主要采用效益分析、比较分析、因素分析、历史分析等方法进行论证。</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8" w:name="_Toc22648"/>
      <w:bookmarkStart w:id="189" w:name="_Toc17481"/>
      <w:r>
        <w:rPr>
          <w:rFonts w:hint="eastAsia" w:ascii="楷体" w:hAnsi="楷体" w:eastAsia="楷体" w:cs="楷体"/>
          <w:b w:val="0"/>
          <w:bCs/>
          <w:szCs w:val="32"/>
          <w:lang w:eastAsia="zh-CN"/>
        </w:rPr>
        <w:t>（八）评估方式</w:t>
      </w:r>
      <w:bookmarkEnd w:id="188"/>
      <w:bookmarkEnd w:id="189"/>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本次事前绩效评估遵循全面考虑、重点突出的原则，主要采用比较分析的方式，同时辅之以资料分析、集中座谈、网络查询、电话采访、抽样调查等评估方式或手段，对项目的相关性、可行性、持续性等方面进行全面评估。</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90" w:name="_Toc5234"/>
      <w:bookmarkStart w:id="191" w:name="_Toc2115246641_WPSOffice_Level1"/>
      <w:bookmarkStart w:id="192" w:name="_Toc32177"/>
      <w:bookmarkStart w:id="193" w:name="_Toc1850422540"/>
      <w:bookmarkStart w:id="194" w:name="_Toc29976"/>
      <w:bookmarkStart w:id="195" w:name="_Toc2810"/>
      <w:bookmarkStart w:id="196" w:name="_Toc132480965"/>
      <w:bookmarkStart w:id="197" w:name="_Toc27103"/>
      <w:bookmarkStart w:id="198" w:name="_Toc709323845"/>
      <w:bookmarkStart w:id="199" w:name="_Toc5665919"/>
      <w:bookmarkStart w:id="200" w:name="_Toc1232831072"/>
      <w:r>
        <w:rPr>
          <w:rFonts w:hint="eastAsia" w:ascii="黑体" w:hAnsi="黑体" w:eastAsia="黑体" w:cs="黑体"/>
          <w:b w:val="0"/>
          <w:bCs/>
          <w:szCs w:val="32"/>
          <w:lang w:eastAsia="zh-CN"/>
        </w:rPr>
        <w:t>三、事前绩效评估指标体系及得分情况</w:t>
      </w:r>
      <w:bookmarkEnd w:id="190"/>
      <w:bookmarkEnd w:id="191"/>
      <w:bookmarkEnd w:id="192"/>
      <w:bookmarkEnd w:id="193"/>
      <w:bookmarkEnd w:id="194"/>
      <w:bookmarkEnd w:id="195"/>
      <w:bookmarkEnd w:id="196"/>
      <w:bookmarkEnd w:id="197"/>
      <w:bookmarkEnd w:id="198"/>
      <w:bookmarkEnd w:id="199"/>
      <w:bookmarkEnd w:id="200"/>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评估工作小组按照相关性、经济性、可行性、重要性、可比性、系统性及合理性原则，设置项目事前绩效评估指标体系，其中共</w:t>
      </w:r>
      <w:r>
        <w:rPr>
          <w:rFonts w:hint="eastAsia" w:ascii="仿宋" w:hAnsi="仿宋" w:eastAsia="仿宋" w:cs="仿宋"/>
          <w:bCs/>
          <w:szCs w:val="32"/>
          <w:highlight w:val="none"/>
          <w:lang w:eastAsia="zh-CN"/>
        </w:rPr>
        <w:t>包含</w:t>
      </w:r>
      <w:r>
        <w:rPr>
          <w:rFonts w:hint="eastAsia" w:ascii="仿宋" w:hAnsi="仿宋" w:eastAsia="仿宋" w:cs="仿宋"/>
          <w:szCs w:val="32"/>
          <w:highlight w:val="none"/>
          <w:lang w:eastAsia="zh-CN"/>
        </w:rPr>
        <w:t>8</w:t>
      </w:r>
      <w:r>
        <w:rPr>
          <w:rFonts w:ascii="仿宋" w:hAnsi="仿宋" w:eastAsia="仿宋" w:cs="仿宋"/>
          <w:szCs w:val="32"/>
          <w:highlight w:val="none"/>
          <w:lang w:eastAsia="zh-CN"/>
        </w:rPr>
        <w:t>个一级指标、1</w:t>
      </w:r>
      <w:r>
        <w:rPr>
          <w:rFonts w:hint="eastAsia" w:ascii="仿宋" w:hAnsi="仿宋" w:eastAsia="仿宋" w:cs="仿宋"/>
          <w:szCs w:val="32"/>
          <w:highlight w:val="none"/>
          <w:lang w:val="en-US" w:eastAsia="zh-CN"/>
        </w:rPr>
        <w:t>7</w:t>
      </w:r>
      <w:r>
        <w:rPr>
          <w:rFonts w:ascii="仿宋" w:hAnsi="仿宋" w:eastAsia="仿宋" w:cs="仿宋"/>
          <w:szCs w:val="32"/>
          <w:highlight w:val="none"/>
          <w:lang w:eastAsia="zh-CN"/>
        </w:rPr>
        <w:t>个二级指标以及3</w:t>
      </w:r>
      <w:r>
        <w:rPr>
          <w:rFonts w:hint="eastAsia" w:ascii="仿宋" w:hAnsi="仿宋" w:eastAsia="仿宋" w:cs="仿宋"/>
          <w:szCs w:val="32"/>
          <w:highlight w:val="none"/>
          <w:lang w:eastAsia="zh-CN"/>
        </w:rPr>
        <w:t>0</w:t>
      </w:r>
      <w:r>
        <w:rPr>
          <w:rFonts w:ascii="仿宋" w:hAnsi="仿宋" w:eastAsia="仿宋" w:cs="仿宋"/>
          <w:szCs w:val="32"/>
          <w:highlight w:val="none"/>
          <w:lang w:eastAsia="zh-CN"/>
        </w:rPr>
        <w:t>个</w:t>
      </w:r>
      <w:r>
        <w:rPr>
          <w:rFonts w:hint="eastAsia" w:ascii="仿宋" w:hAnsi="仿宋" w:eastAsia="仿宋" w:cs="仿宋"/>
          <w:bCs/>
          <w:szCs w:val="32"/>
          <w:highlight w:val="none"/>
          <w:lang w:eastAsia="zh-CN"/>
        </w:rPr>
        <w:t>三级指</w:t>
      </w:r>
      <w:r>
        <w:rPr>
          <w:rFonts w:hint="eastAsia" w:ascii="仿宋" w:hAnsi="仿宋" w:eastAsia="仿宋" w:cs="仿宋"/>
          <w:bCs/>
          <w:szCs w:val="32"/>
          <w:lang w:eastAsia="zh-CN"/>
        </w:rPr>
        <w:t>标，各项指标内容及得分情况详见下表：</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外宣经费</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事前绩效评估指标体系</w:t>
      </w:r>
    </w:p>
    <w:tbl>
      <w:tblPr>
        <w:tblStyle w:val="56"/>
        <w:tblW w:w="88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5276"/>
        <w:gridCol w:w="377"/>
        <w:gridCol w:w="541"/>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2" w:hRule="atLeast"/>
          <w:tblHeader/>
        </w:trPr>
        <w:tc>
          <w:tcPr>
            <w:tcW w:w="877" w:type="dxa"/>
            <w:noWrap w:val="0"/>
            <w:vAlign w:val="center"/>
          </w:tcPr>
          <w:p>
            <w:pPr>
              <w:pStyle w:val="67"/>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noWrap w:val="0"/>
            <w:vAlign w:val="center"/>
          </w:tcPr>
          <w:p>
            <w:pPr>
              <w:pStyle w:val="67"/>
              <w:ind w:right="6" w:firstLine="0" w:firstLineChars="0"/>
              <w:jc w:val="center"/>
              <w:rPr>
                <w:rFonts w:ascii="Arial" w:hAnsi="Arial" w:cs="Arial"/>
                <w:b/>
                <w:snapToGrid w:val="0"/>
                <w:sz w:val="21"/>
              </w:rPr>
            </w:pPr>
            <w:r>
              <w:rPr>
                <w:rFonts w:ascii="Arial" w:hAnsi="Arial" w:cs="Arial"/>
                <w:b/>
                <w:snapToGrid w:val="0"/>
                <w:sz w:val="21"/>
              </w:rPr>
              <w:t>二级指标</w:t>
            </w:r>
          </w:p>
        </w:tc>
        <w:tc>
          <w:tcPr>
            <w:tcW w:w="5276" w:type="dxa"/>
            <w:noWrap w:val="0"/>
            <w:vAlign w:val="center"/>
          </w:tcPr>
          <w:p>
            <w:pPr>
              <w:pStyle w:val="67"/>
              <w:ind w:right="146" w:rightChars="0" w:firstLine="0" w:firstLineChars="0"/>
              <w:jc w:val="center"/>
              <w:rPr>
                <w:rFonts w:ascii="Arial" w:hAnsi="Arial" w:cs="Arial"/>
                <w:b/>
                <w:snapToGrid w:val="0"/>
                <w:sz w:val="21"/>
              </w:rPr>
            </w:pPr>
            <w:r>
              <w:rPr>
                <w:rFonts w:ascii="Arial" w:hAnsi="Arial" w:cs="Arial"/>
                <w:b/>
                <w:snapToGrid w:val="0"/>
                <w:sz w:val="21"/>
              </w:rPr>
              <w:t>评估要点</w:t>
            </w:r>
          </w:p>
        </w:tc>
        <w:tc>
          <w:tcPr>
            <w:tcW w:w="918" w:type="dxa"/>
            <w:gridSpan w:val="2"/>
            <w:noWrap w:val="0"/>
            <w:vAlign w:val="center"/>
          </w:tcPr>
          <w:p>
            <w:pPr>
              <w:pStyle w:val="67"/>
              <w:ind w:firstLine="0" w:firstLineChars="0"/>
              <w:jc w:val="center"/>
              <w:rPr>
                <w:rFonts w:hint="eastAsia" w:ascii="Arial" w:hAnsi="Arial" w:cs="Arial"/>
                <w:b/>
                <w:snapToGrid w:val="0"/>
                <w:sz w:val="21"/>
                <w:lang w:eastAsia="zh-CN"/>
              </w:rPr>
            </w:pPr>
            <w:r>
              <w:rPr>
                <w:rFonts w:hint="eastAsia" w:ascii="Arial" w:hAnsi="Arial" w:cs="Arial"/>
                <w:b/>
                <w:snapToGrid w:val="0"/>
                <w:sz w:val="21"/>
                <w:lang w:eastAsia="zh-CN"/>
              </w:rPr>
              <w:t>分值</w:t>
            </w:r>
          </w:p>
        </w:tc>
        <w:tc>
          <w:tcPr>
            <w:tcW w:w="496" w:type="dxa"/>
            <w:noWrap w:val="0"/>
            <w:vAlign w:val="center"/>
          </w:tcPr>
          <w:p>
            <w:pPr>
              <w:pStyle w:val="67"/>
              <w:ind w:right="9" w:firstLine="0" w:firstLineChars="0"/>
              <w:jc w:val="center"/>
              <w:rPr>
                <w:rFonts w:ascii="Arial" w:hAnsi="Arial" w:cs="Arial"/>
                <w:b/>
                <w:snapToGrid w:val="0"/>
                <w:sz w:val="21"/>
              </w:rPr>
            </w:pPr>
            <w:r>
              <w:rPr>
                <w:rFonts w:ascii="Arial" w:hAnsi="Arial" w:cs="Arial"/>
                <w:b/>
                <w:snapToGrid w:val="0"/>
                <w:sz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77" w:type="dxa"/>
            <w:vMerge w:val="restart"/>
            <w:noWrap w:val="0"/>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项目实施的必要性、公益性、收益性</w:t>
            </w:r>
          </w:p>
        </w:tc>
        <w:tc>
          <w:tcPr>
            <w:tcW w:w="12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必要性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①项目是否属于符合国情需要，是否在国家统一部署下开展。</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公益性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②项目是否具有公益性。</w:t>
            </w:r>
          </w:p>
        </w:tc>
        <w:tc>
          <w:tcPr>
            <w:tcW w:w="377"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经济</w:t>
            </w:r>
            <w:r>
              <w:rPr>
                <w:rFonts w:hint="eastAsia" w:ascii="Arial" w:hAnsi="Arial" w:cs="Arial"/>
                <w:bCs/>
                <w:snapToGrid w:val="0"/>
                <w:sz w:val="20"/>
              </w:rPr>
              <w:t>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w:t>
            </w:r>
            <w:r>
              <w:rPr>
                <w:rFonts w:hint="eastAsia" w:ascii="Arial" w:hAnsi="Arial" w:cs="Arial"/>
                <w:bCs/>
                <w:snapToGrid w:val="0"/>
                <w:sz w:val="20"/>
                <w:lang w:val="en-US" w:eastAsia="zh-CN"/>
              </w:rPr>
              <w:t>能降低成本、</w:t>
            </w:r>
            <w:r>
              <w:rPr>
                <w:rFonts w:hint="eastAsia" w:ascii="Arial" w:hAnsi="Arial" w:cs="Arial"/>
                <w:bCs/>
                <w:snapToGrid w:val="0"/>
                <w:sz w:val="20"/>
                <w:lang w:eastAsia="zh-CN"/>
              </w:rPr>
              <w:t>提高资源利用效率；</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w:t>
            </w:r>
            <w:r>
              <w:rPr>
                <w:rFonts w:hint="eastAsia" w:ascii="Arial" w:hAnsi="Arial" w:cs="Arial"/>
                <w:bCs/>
                <w:snapToGrid w:val="0"/>
                <w:sz w:val="20"/>
                <w:lang w:val="en-US" w:eastAsia="zh-CN"/>
              </w:rPr>
              <w:t>能</w:t>
            </w:r>
            <w:r>
              <w:rPr>
                <w:rFonts w:hint="eastAsia" w:ascii="Arial" w:hAnsi="Arial" w:cs="Arial"/>
                <w:bCs/>
                <w:snapToGrid w:val="0"/>
                <w:sz w:val="20"/>
                <w:lang w:eastAsia="zh-CN"/>
              </w:rPr>
              <w:t>提升金口河区的知名度和美誉度。</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noWrap w:val="0"/>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w:t>
            </w:r>
            <w:r>
              <w:rPr>
                <w:rFonts w:hint="eastAsia" w:ascii="Arial" w:hAnsi="Arial" w:cs="Arial"/>
                <w:bCs/>
                <w:snapToGrid w:val="0"/>
                <w:sz w:val="20"/>
                <w:lang w:val="en-US" w:eastAsia="zh-CN"/>
              </w:rPr>
              <w:t>实施</w:t>
            </w:r>
            <w:r>
              <w:rPr>
                <w:rFonts w:hint="eastAsia" w:ascii="Arial" w:hAnsi="Arial" w:cs="Arial"/>
                <w:bCs/>
                <w:snapToGrid w:val="0"/>
                <w:sz w:val="20"/>
                <w:lang w:eastAsia="zh-CN"/>
              </w:rPr>
              <w:t>合规性与成熟度</w:t>
            </w: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项目实施合规性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8</w:t>
            </w: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③项目资金来源渠道</w:t>
            </w:r>
            <w:r>
              <w:rPr>
                <w:rFonts w:hint="eastAsia" w:ascii="Arial" w:hAnsi="Arial" w:cs="Arial"/>
                <w:bCs/>
                <w:snapToGrid w:val="0"/>
                <w:sz w:val="20"/>
                <w:lang w:val="en-US" w:eastAsia="zh-CN"/>
              </w:rPr>
              <w:t>是否</w:t>
            </w:r>
            <w:r>
              <w:rPr>
                <w:rFonts w:hint="eastAsia" w:ascii="Arial" w:hAnsi="Arial" w:cs="Arial"/>
                <w:bCs/>
                <w:snapToGrid w:val="0"/>
                <w:sz w:val="20"/>
                <w:lang w:eastAsia="zh-CN"/>
              </w:rPr>
              <w:t>符合相关规定。</w:t>
            </w:r>
          </w:p>
        </w:tc>
        <w:tc>
          <w:tcPr>
            <w:tcW w:w="377"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项目成熟度</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w:t>
            </w:r>
            <w:r>
              <w:rPr>
                <w:rFonts w:hint="eastAsia" w:ascii="Arial" w:hAnsi="Arial" w:cs="Arial"/>
                <w:bCs/>
                <w:snapToGrid w:val="0"/>
                <w:sz w:val="20"/>
                <w:lang w:eastAsia="zh-CN"/>
              </w:rPr>
              <w:t>否完备齐全；</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noWrap w:val="0"/>
            <w:vAlign w:val="center"/>
          </w:tcPr>
          <w:p>
            <w:pPr>
              <w:pStyle w:val="67"/>
              <w:ind w:firstLine="0" w:firstLineChars="0"/>
              <w:jc w:val="center"/>
              <w:rPr>
                <w:rFonts w:hint="eastAsia" w:ascii="Arial" w:hAnsi="Arial" w:cs="Arial"/>
                <w:bCs/>
                <w:snapToGrid w:val="0"/>
                <w:sz w:val="20"/>
                <w:lang w:eastAsia="zh-CN"/>
              </w:rPr>
            </w:pPr>
          </w:p>
        </w:tc>
        <w:tc>
          <w:tcPr>
            <w:tcW w:w="496"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③是否</w:t>
            </w:r>
            <w:r>
              <w:rPr>
                <w:rFonts w:hint="eastAsia" w:ascii="Arial" w:hAnsi="Arial" w:cs="Arial"/>
                <w:bCs/>
                <w:snapToGrid w:val="0"/>
                <w:sz w:val="20"/>
                <w:lang w:val="en-US" w:eastAsia="zh-CN"/>
              </w:rPr>
              <w:t>与中央、省、市委决策部署一致</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5" w:hRule="atLeast"/>
        </w:trPr>
        <w:tc>
          <w:tcPr>
            <w:tcW w:w="877" w:type="dxa"/>
            <w:vMerge w:val="restart"/>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项目资金来源和到位可行性</w:t>
            </w:r>
          </w:p>
        </w:tc>
        <w:tc>
          <w:tcPr>
            <w:tcW w:w="12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资金来源可行性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①资金来源渠道是否符合相关规定；</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资金到位可行性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①资金是否已办理完成相关手续；</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②是否有明确的到位时间；</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资金使用计划合理性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①资金使用计划是否经相关单位确认；</w:t>
            </w:r>
          </w:p>
        </w:tc>
        <w:tc>
          <w:tcPr>
            <w:tcW w:w="377" w:type="dxa"/>
            <w:noWrap w:val="0"/>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3</w:t>
            </w:r>
          </w:p>
        </w:tc>
        <w:tc>
          <w:tcPr>
            <w:tcW w:w="541" w:type="dxa"/>
            <w:vMerge w:val="restart"/>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rPr>
              <w:t>1</w:t>
            </w:r>
            <w:r>
              <w:rPr>
                <w:rFonts w:hint="eastAsia" w:ascii="Arial" w:hAnsi="Arial" w:cs="Arial"/>
                <w:bCs/>
                <w:snapToGrid w:val="0"/>
                <w:sz w:val="20"/>
                <w:lang w:val="en-US" w:eastAsia="zh-CN"/>
              </w:rPr>
              <w:t>5</w:t>
            </w: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w:t>
            </w:r>
            <w:r>
              <w:rPr>
                <w:rFonts w:hint="eastAsia" w:ascii="Arial" w:hAnsi="Arial" w:cs="Arial"/>
                <w:bCs/>
                <w:snapToGrid w:val="0"/>
                <w:sz w:val="20"/>
                <w:lang w:val="en-US" w:eastAsia="zh-CN"/>
              </w:rPr>
              <w:t>计划的测算依据是否合理</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2</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1296" w:type="dxa"/>
            <w:noWrap w:val="0"/>
            <w:vAlign w:val="center"/>
          </w:tcPr>
          <w:p>
            <w:pPr>
              <w:pStyle w:val="67"/>
              <w:ind w:firstLine="0" w:firstLineChars="0"/>
              <w:jc w:val="center"/>
              <w:rPr>
                <w:rFonts w:hint="eastAsia" w:ascii="Arial" w:hAnsi="Arial" w:cs="Arial"/>
                <w:bCs/>
                <w:snapToGrid w:val="0"/>
                <w:sz w:val="20"/>
              </w:rPr>
            </w:pPr>
            <w:r>
              <w:rPr>
                <w:rFonts w:hint="eastAsia" w:ascii="Arial" w:hAnsi="Arial" w:cs="Arial"/>
                <w:bCs/>
                <w:snapToGrid w:val="0"/>
                <w:sz w:val="20"/>
                <w:lang w:val="en-US" w:eastAsia="zh-CN"/>
              </w:rPr>
              <w:t>资金支付合理性</w:t>
            </w:r>
          </w:p>
        </w:tc>
        <w:tc>
          <w:tcPr>
            <w:tcW w:w="5276" w:type="dxa"/>
            <w:noWrap w:val="0"/>
            <w:vAlign w:val="center"/>
          </w:tcPr>
          <w:p>
            <w:pPr>
              <w:pStyle w:val="67"/>
              <w:ind w:firstLine="0" w:firstLineChars="0"/>
              <w:rPr>
                <w:rFonts w:hint="default" w:ascii="Arial" w:hAnsi="Arial" w:eastAsia="仿宋_GB2312" w:cs="Arial"/>
                <w:bCs/>
                <w:snapToGrid w:val="0"/>
                <w:sz w:val="20"/>
                <w:lang w:val="en-US" w:eastAsia="zh-CN"/>
              </w:rPr>
            </w:pPr>
            <w:r>
              <w:rPr>
                <w:rFonts w:hint="eastAsia" w:ascii="Arial" w:hAnsi="Arial" w:cs="Arial"/>
                <w:bCs/>
                <w:snapToGrid w:val="0"/>
                <w:sz w:val="20"/>
              </w:rPr>
              <w:t>①</w:t>
            </w:r>
            <w:r>
              <w:rPr>
                <w:rFonts w:hint="eastAsia" w:ascii="Arial" w:hAnsi="Arial" w:cs="Arial"/>
                <w:bCs/>
                <w:snapToGrid w:val="0"/>
                <w:sz w:val="20"/>
                <w:lang w:val="en-US" w:eastAsia="zh-CN"/>
              </w:rPr>
              <w:t>历年资金支付中是否存在支付不合理的情况。</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5</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资金到位及时性</w:t>
            </w:r>
          </w:p>
        </w:tc>
        <w:tc>
          <w:tcPr>
            <w:tcW w:w="5276" w:type="dxa"/>
            <w:noWrap w:val="0"/>
            <w:vAlign w:val="center"/>
          </w:tcPr>
          <w:p>
            <w:pPr>
              <w:pStyle w:val="67"/>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资金是否到位；</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val="en-US" w:eastAsia="zh-CN"/>
              </w:rPr>
              <w:t>2</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rPr>
              <w:t>1</w:t>
            </w:r>
            <w:r>
              <w:rPr>
                <w:rFonts w:hint="eastAsia" w:ascii="Arial" w:hAnsi="Arial" w:cs="Arial"/>
                <w:bCs/>
                <w:snapToGrid w:val="0"/>
                <w:sz w:val="20"/>
                <w:lang w:val="en-US" w:eastAsia="zh-CN"/>
              </w:rPr>
              <w:t>2</w:t>
            </w: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②绩效目标是否明确，是否与年度工作目标一致；</w:t>
            </w:r>
          </w:p>
        </w:tc>
        <w:tc>
          <w:tcPr>
            <w:tcW w:w="377" w:type="dxa"/>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w:t>
            </w:r>
            <w:r>
              <w:rPr>
                <w:rFonts w:hint="eastAsia" w:ascii="Arial" w:hAnsi="Arial" w:cs="Arial"/>
                <w:bCs/>
                <w:snapToGrid w:val="0"/>
                <w:sz w:val="20"/>
                <w:lang w:val="en-US" w:eastAsia="zh-CN"/>
              </w:rPr>
              <w:t>程序合规</w:t>
            </w:r>
            <w:r>
              <w:rPr>
                <w:rFonts w:ascii="Arial" w:hAnsi="Arial" w:cs="Arial"/>
                <w:bCs/>
                <w:snapToGrid w:val="0"/>
                <w:sz w:val="20"/>
                <w:lang w:eastAsia="zh-CN"/>
              </w:rPr>
              <w:t>性</w:t>
            </w:r>
          </w:p>
        </w:tc>
        <w:tc>
          <w:tcPr>
            <w:tcW w:w="1296" w:type="dxa"/>
            <w:tcBorders>
              <w:top w:val="nil"/>
            </w:tcBorders>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w:t>
            </w:r>
            <w:r>
              <w:rPr>
                <w:rFonts w:hint="eastAsia" w:ascii="Arial" w:hAnsi="Arial" w:cs="Arial"/>
                <w:bCs/>
                <w:snapToGrid w:val="0"/>
                <w:sz w:val="20"/>
                <w:lang w:val="en-US" w:eastAsia="zh-CN"/>
              </w:rPr>
              <w:t>程序合规</w:t>
            </w:r>
            <w:r>
              <w:rPr>
                <w:rFonts w:ascii="Arial" w:hAnsi="Arial" w:cs="Arial"/>
                <w:bCs/>
                <w:snapToGrid w:val="0"/>
                <w:sz w:val="20"/>
                <w:lang w:eastAsia="zh-CN"/>
              </w:rPr>
              <w:t>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w:t>
            </w:r>
            <w:r>
              <w:rPr>
                <w:rFonts w:hint="eastAsia" w:ascii="Arial" w:hAnsi="Arial" w:cs="Arial"/>
                <w:bCs/>
                <w:snapToGrid w:val="0"/>
                <w:sz w:val="20"/>
                <w:lang w:val="en-US" w:eastAsia="zh-CN"/>
              </w:rPr>
              <w:t>程序是否符合相关规定。</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6</w:t>
            </w:r>
          </w:p>
        </w:tc>
        <w:tc>
          <w:tcPr>
            <w:tcW w:w="541" w:type="dxa"/>
            <w:tcBorders>
              <w:top w:val="nil"/>
            </w:tcBorders>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6</w:t>
            </w: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noWrap w:val="0"/>
            <w:vAlign w:val="center"/>
          </w:tcPr>
          <w:p>
            <w:pPr>
              <w:pStyle w:val="67"/>
              <w:ind w:firstLine="0" w:firstLineChars="0"/>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媒体合作</w:t>
            </w:r>
            <w:r>
              <w:rPr>
                <w:rFonts w:hint="eastAsia" w:ascii="Arial" w:hAnsi="Arial" w:cs="Arial"/>
                <w:bCs/>
                <w:snapToGrid w:val="0"/>
                <w:sz w:val="20"/>
                <w:lang w:val="en-US" w:eastAsia="zh-CN"/>
              </w:rPr>
              <w:t>宣传成果合格性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①项目媒体合作</w:t>
            </w:r>
            <w:r>
              <w:rPr>
                <w:rFonts w:hint="eastAsia" w:ascii="Arial" w:hAnsi="Arial" w:cs="Arial"/>
                <w:bCs/>
                <w:snapToGrid w:val="0"/>
                <w:sz w:val="20"/>
                <w:lang w:val="en-US" w:eastAsia="zh-CN"/>
              </w:rPr>
              <w:t>宣传取得的成果</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4</w:t>
            </w:r>
          </w:p>
        </w:tc>
        <w:tc>
          <w:tcPr>
            <w:tcW w:w="541" w:type="dxa"/>
            <w:vMerge w:val="restart"/>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val="en-US" w:eastAsia="zh-CN"/>
              </w:rPr>
              <w:t>12</w:t>
            </w: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lang w:eastAsia="zh-CN"/>
              </w:rPr>
            </w:pPr>
          </w:p>
        </w:tc>
        <w:tc>
          <w:tcPr>
            <w:tcW w:w="12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文旅活动宣传成果合格性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w:t>
            </w:r>
            <w:r>
              <w:rPr>
                <w:rFonts w:hint="eastAsia" w:ascii="Arial" w:hAnsi="Arial" w:cs="Arial"/>
                <w:bCs/>
                <w:snapToGrid w:val="0"/>
                <w:sz w:val="20"/>
                <w:lang w:val="en-US" w:eastAsia="zh-CN"/>
              </w:rPr>
              <w:t>文旅活动宣传取得的成果。</w:t>
            </w:r>
          </w:p>
        </w:tc>
        <w:tc>
          <w:tcPr>
            <w:tcW w:w="377" w:type="dxa"/>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tcBorders>
              <w:top w:val="nil"/>
            </w:tcBorders>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新媒体宣传成果合格性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w:t>
            </w:r>
            <w:r>
              <w:rPr>
                <w:rFonts w:hint="eastAsia" w:ascii="Arial" w:hAnsi="Arial" w:cs="Arial"/>
                <w:bCs/>
                <w:snapToGrid w:val="0"/>
                <w:sz w:val="20"/>
                <w:lang w:val="en-US" w:eastAsia="zh-CN"/>
              </w:rPr>
              <w:t>新媒体宣传取得的成果。</w:t>
            </w:r>
          </w:p>
        </w:tc>
        <w:tc>
          <w:tcPr>
            <w:tcW w:w="377" w:type="dxa"/>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项目实施的可持续性</w:t>
            </w: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可持续性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①国家或地方对该项目的重视程度；</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restart"/>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9</w:t>
            </w: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②项目的实施对</w:t>
            </w:r>
            <w:r>
              <w:rPr>
                <w:rFonts w:hint="eastAsia" w:ascii="Arial" w:hAnsi="Arial" w:cs="Arial"/>
                <w:bCs/>
                <w:snapToGrid w:val="0"/>
                <w:sz w:val="20"/>
                <w:lang w:val="en-US" w:eastAsia="zh-CN"/>
              </w:rPr>
              <w:t>当地企业、居民的影响</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③项目的实施对</w:t>
            </w:r>
            <w:r>
              <w:rPr>
                <w:rFonts w:hint="eastAsia" w:ascii="Arial" w:hAnsi="Arial" w:cs="Arial"/>
                <w:bCs/>
                <w:snapToGrid w:val="0"/>
                <w:sz w:val="20"/>
                <w:lang w:val="en-US" w:eastAsia="zh-CN"/>
              </w:rPr>
              <w:t>全区整体形象的提升</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449" w:type="dxa"/>
            <w:gridSpan w:val="3"/>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377" w:type="dxa"/>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100</w:t>
            </w:r>
          </w:p>
        </w:tc>
        <w:tc>
          <w:tcPr>
            <w:tcW w:w="541" w:type="dxa"/>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95</w:t>
            </w:r>
          </w:p>
        </w:tc>
      </w:tr>
    </w:tbl>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01" w:name="_Toc10752"/>
      <w:bookmarkStart w:id="202" w:name="_Toc1269600848"/>
      <w:bookmarkStart w:id="203" w:name="_Toc924138418"/>
      <w:bookmarkStart w:id="204" w:name="_Toc1506002849_WPSOffice_Level1"/>
      <w:bookmarkStart w:id="205" w:name="_Toc7074"/>
      <w:bookmarkStart w:id="206" w:name="_Toc193453926"/>
      <w:bookmarkStart w:id="207" w:name="_Toc132480966"/>
      <w:bookmarkStart w:id="208" w:name="_Toc20649"/>
      <w:bookmarkStart w:id="209" w:name="_Toc737820165"/>
      <w:bookmarkStart w:id="210" w:name="_Toc6088"/>
      <w:bookmarkStart w:id="211" w:name="_Toc18745"/>
      <w:r>
        <w:rPr>
          <w:rFonts w:hint="eastAsia" w:ascii="黑体" w:hAnsi="黑体" w:eastAsia="黑体" w:cs="黑体"/>
          <w:b w:val="0"/>
          <w:szCs w:val="32"/>
          <w:lang w:eastAsia="zh-CN"/>
        </w:rPr>
        <w:t>四、绩效评价</w:t>
      </w:r>
      <w:bookmarkEnd w:id="201"/>
      <w:bookmarkEnd w:id="202"/>
      <w:bookmarkEnd w:id="203"/>
      <w:bookmarkEnd w:id="204"/>
      <w:bookmarkEnd w:id="205"/>
      <w:bookmarkEnd w:id="206"/>
      <w:bookmarkEnd w:id="207"/>
      <w:bookmarkEnd w:id="208"/>
      <w:bookmarkEnd w:id="209"/>
      <w:r>
        <w:rPr>
          <w:rFonts w:hint="eastAsia" w:ascii="黑体" w:hAnsi="黑体" w:eastAsia="黑体" w:cs="黑体"/>
          <w:b w:val="0"/>
          <w:szCs w:val="32"/>
          <w:lang w:eastAsia="zh-CN"/>
        </w:rPr>
        <w:t>内容与结论</w:t>
      </w:r>
      <w:bookmarkEnd w:id="210"/>
      <w:bookmarkEnd w:id="211"/>
    </w:p>
    <w:p>
      <w:pPr>
        <w:pStyle w:val="3"/>
        <w:numPr>
          <w:numId w:val="0"/>
        </w:numPr>
        <w:spacing w:before="0" w:beforeLines="0" w:after="0" w:afterLines="0"/>
        <w:ind w:left="643" w:leftChars="0"/>
        <w:rPr>
          <w:rFonts w:hint="eastAsia" w:ascii="楷体" w:hAnsi="楷体" w:eastAsia="楷体" w:cs="楷体"/>
          <w:b w:val="0"/>
          <w:szCs w:val="32"/>
          <w:lang w:eastAsia="zh-CN"/>
        </w:rPr>
      </w:pPr>
      <w:bookmarkStart w:id="212" w:name="_Toc31996"/>
      <w:bookmarkStart w:id="213" w:name="_Toc785"/>
      <w:r>
        <w:rPr>
          <w:rFonts w:hint="eastAsia" w:ascii="楷体" w:hAnsi="楷体" w:cs="楷体"/>
          <w:b w:val="0"/>
          <w:kern w:val="44"/>
          <w:szCs w:val="32"/>
          <w:lang w:eastAsia="zh-CN"/>
        </w:rPr>
        <w:t>（一）</w:t>
      </w:r>
      <w:r>
        <w:rPr>
          <w:rFonts w:hint="eastAsia" w:ascii="楷体" w:hAnsi="楷体" w:eastAsia="楷体" w:cs="楷体"/>
          <w:b w:val="0"/>
          <w:kern w:val="44"/>
          <w:szCs w:val="32"/>
          <w:lang w:eastAsia="zh-CN"/>
        </w:rPr>
        <w:t>项目实施的必要性、公益性、</w:t>
      </w:r>
      <w:r>
        <w:rPr>
          <w:rFonts w:hint="eastAsia" w:ascii="楷体" w:hAnsi="楷体" w:eastAsia="楷体" w:cs="楷体"/>
          <w:b w:val="0"/>
          <w:kern w:val="44"/>
          <w:szCs w:val="32"/>
          <w:lang w:val="en-US" w:eastAsia="zh-CN"/>
        </w:rPr>
        <w:t>经济</w:t>
      </w:r>
      <w:r>
        <w:rPr>
          <w:rFonts w:hint="eastAsia" w:ascii="楷体" w:hAnsi="楷体" w:eastAsia="楷体" w:cs="楷体"/>
          <w:b w:val="0"/>
          <w:kern w:val="44"/>
          <w:szCs w:val="32"/>
          <w:lang w:eastAsia="zh-CN"/>
        </w:rPr>
        <w:t>性</w:t>
      </w:r>
      <w:bookmarkEnd w:id="212"/>
      <w:bookmarkEnd w:id="213"/>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项目实施的必要性、公益性、收益性方面，指标总分16分，评估得分16分。具体如下</w:t>
      </w:r>
      <w:r>
        <w:rPr>
          <w:rFonts w:hint="eastAsia" w:ascii="仿宋" w:hAnsi="仿宋" w:eastAsia="仿宋" w:cs="仿宋"/>
          <w:szCs w:val="32"/>
          <w:lang w:eastAsia="zh-CN"/>
        </w:rPr>
        <w:t>：</w:t>
      </w:r>
    </w:p>
    <w:p>
      <w:pPr>
        <w:ind w:firstLine="640" w:firstLineChars="0"/>
        <w:rPr>
          <w:rFonts w:hint="eastAsia" w:ascii="仿宋" w:hAnsi="仿宋" w:eastAsia="仿宋" w:cs="仿宋"/>
          <w:szCs w:val="32"/>
          <w:lang w:eastAsia="zh-CN"/>
        </w:rPr>
      </w:pPr>
      <w:r>
        <w:rPr>
          <w:rFonts w:hint="eastAsia" w:ascii="仿宋" w:hAnsi="仿宋" w:eastAsia="仿宋" w:cs="仿宋"/>
          <w:szCs w:val="32"/>
          <w:lang w:eastAsia="zh-CN"/>
        </w:rPr>
        <w:t>1.项</w:t>
      </w:r>
      <w:bookmarkStart w:id="214" w:name="OLE_LINK3"/>
      <w:r>
        <w:rPr>
          <w:rFonts w:hint="eastAsia" w:ascii="仿宋" w:hAnsi="仿宋" w:eastAsia="仿宋" w:cs="仿宋"/>
          <w:szCs w:val="32"/>
          <w:lang w:eastAsia="zh-CN"/>
        </w:rPr>
        <w:t>目实施的必要性</w:t>
      </w:r>
      <w:bookmarkEnd w:id="214"/>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宣传思想工作是一项极为重要的工作，宣传舆论关系到党和国家长治久安，关键时刻更凸显宣传思想工作的极端重要性。宣传能够提高一个地方的文化软实力，进而提升地方的综合竞争力，带动经济、文化各方位发展</w:t>
      </w:r>
      <w:r>
        <w:rPr>
          <w:rFonts w:hint="eastAsia" w:ascii="仿宋" w:hAnsi="仿宋" w:eastAsia="仿宋" w:cs="仿宋"/>
          <w:szCs w:val="32"/>
          <w:lang w:eastAsia="zh-CN"/>
        </w:rPr>
        <w:t>。</w:t>
      </w:r>
    </w:p>
    <w:p>
      <w:pPr>
        <w:ind w:firstLine="640"/>
        <w:rPr>
          <w:rFonts w:hint="eastAsia" w:ascii="仿宋" w:hAnsi="仿宋" w:eastAsia="仿宋" w:cs="仿宋"/>
          <w:szCs w:val="32"/>
          <w:lang w:val="en-US" w:eastAsia="zh-CN"/>
        </w:rPr>
      </w:pPr>
      <w:r>
        <w:rPr>
          <w:rFonts w:hint="eastAsia" w:ascii="仿宋" w:hAnsi="仿宋" w:eastAsia="仿宋" w:cs="仿宋"/>
          <w:b w:val="0"/>
          <w:color w:val="000000"/>
          <w:kern w:val="44"/>
          <w:sz w:val="32"/>
          <w:szCs w:val="32"/>
          <w:lang w:val="en-US" w:eastAsia="zh-CN" w:bidi="en-US"/>
        </w:rPr>
        <w:t>通过投入宣传经费，利用各种媒体渠道和宣传手段，可以将金口河区的特色亮点传播出去，吸引更多人关注。宣传能助力招商引资，通过宣传金口河区的投资环境、优惠政策和产业优势，吸引更多企业前来投资兴业，推动产业升级和经济发展。宣传还能推动旅游业发展，金口河区的大峡谷等自然景观独具魅力，通过宣传吸引更多游客，能带动当地旅游及相关产业发展，增加就业机会和居民收入。利用宣传经费打造统一、正面的区域形象，能展现金口河区在生态环保、社会治理、文化建设等方面的成就，增强居民的归属感和自豪感，也能让外界对金口河区有更全面、客观的认识，提升区域的美誉度和影响力。金口河区有丰富的少数民族文化等独特文化资源，宣传经费的投入有助于保护和传承这些文化，通过对外宣传让更多人了解当地文化，促进不同地区之间的文化交流与融合，推动文化的创新与发展</w:t>
      </w:r>
      <w:r>
        <w:rPr>
          <w:rFonts w:hint="eastAsia" w:ascii="仿宋" w:hAnsi="仿宋" w:eastAsia="仿宋" w:cs="仿宋"/>
          <w:szCs w:val="32"/>
          <w:lang w:val="en-US" w:eastAsia="zh-CN"/>
        </w:rPr>
        <w:t>。</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宣传经费可用于宣传金口河区在教育、医疗、社会保障等社会事业方面的发展成果和政策举措，吸引更多人才流入，也能促进社会各界对金口河区社会事业的关注和支持，推动各项社会事业不断进步。根据评分标准，总分4分，得4分</w:t>
      </w:r>
      <w:r>
        <w:rPr>
          <w:rFonts w:hint="eastAsia" w:ascii="仿宋" w:hAnsi="仿宋" w:eastAsia="仿宋" w:cs="仿宋"/>
          <w:szCs w:val="32"/>
          <w:lang w:eastAsia="zh-CN"/>
        </w:rPr>
        <w:t>。</w:t>
      </w:r>
    </w:p>
    <w:p>
      <w:pPr>
        <w:ind w:firstLineChars="0"/>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2.项</w:t>
      </w:r>
      <w:r>
        <w:rPr>
          <w:rFonts w:hint="eastAsia" w:ascii="仿宋" w:hAnsi="仿宋" w:eastAsia="仿宋" w:cs="仿宋"/>
          <w:szCs w:val="32"/>
          <w:lang w:eastAsia="zh-CN"/>
        </w:rPr>
        <w:t>目实施的公益性</w:t>
      </w:r>
    </w:p>
    <w:p>
      <w:pPr>
        <w:ind w:firstLineChars="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宣传能让更多人知晓金口河区，无论是独特的自然景观、丰富的文化遗产还是特色产业，这有利于吸引游客、投资与人才，促进区域发展，带来更多就业机会与发展资源，让居民受益。通过宣传，金口河区的传统文化、民俗风情得以广泛传播，让更多人了解和欣赏，增强当地居民对本土文化的认同感与自豪感，同时也为文化传承创造更好条件，避免文化失传。对外宣传不仅是形象展示，也包含实用信息传播，如区域发展规划、政策解读等，帮助居民更好了解家乡发展动态，参与区域建设，同时为外来游客和投资者提供准确信息，方便他们的出行与决策</w:t>
      </w:r>
      <w:r>
        <w:rPr>
          <w:rFonts w:hint="eastAsia" w:ascii="仿宋" w:hAnsi="仿宋" w:eastAsia="仿宋" w:cs="仿宋"/>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良好的对外宣传塑造积极区域形象，吸引外部关注与支持，促进金口河区与其他地区交流合作，引入外部资源，缩小与发达地区差距，推动社会全面、和谐发展。根据评分标准，总分4分，得4分</w:t>
      </w:r>
      <w:r>
        <w:rPr>
          <w:rFonts w:hint="eastAsia" w:ascii="仿宋" w:hAnsi="仿宋" w:eastAsia="仿宋" w:cs="仿宋"/>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3.项目实施的</w:t>
      </w:r>
      <w:r>
        <w:rPr>
          <w:rFonts w:hint="eastAsia" w:ascii="仿宋" w:hAnsi="仿宋" w:eastAsia="仿宋" w:cs="仿宋"/>
          <w:szCs w:val="32"/>
          <w:lang w:val="en-US" w:eastAsia="zh-CN"/>
        </w:rPr>
        <w:t>经济</w:t>
      </w:r>
      <w:r>
        <w:rPr>
          <w:rFonts w:hint="eastAsia" w:ascii="仿宋" w:hAnsi="仿宋" w:eastAsia="仿宋" w:cs="仿宋"/>
          <w:szCs w:val="32"/>
          <w:lang w:eastAsia="zh-CN"/>
        </w:rPr>
        <w:t>性</w:t>
      </w:r>
    </w:p>
    <w:p>
      <w:pPr>
        <w:ind w:firstLineChars="0"/>
        <w:rPr>
          <w:rFonts w:hint="eastAsia" w:ascii="仿宋_GB2312" w:hAnsi="宋体" w:eastAsia="仿宋_GB2312"/>
          <w:sz w:val="32"/>
          <w:szCs w:val="32"/>
        </w:rPr>
      </w:pPr>
      <w:r>
        <w:rPr>
          <w:rFonts w:hint="eastAsia" w:ascii="仿宋" w:hAnsi="仿宋" w:eastAsia="仿宋" w:cs="仿宋"/>
          <w:b w:val="0"/>
          <w:color w:val="000000"/>
          <w:kern w:val="44"/>
          <w:sz w:val="32"/>
          <w:szCs w:val="32"/>
          <w:lang w:val="en-US" w:eastAsia="zh-CN" w:bidi="en-US"/>
        </w:rPr>
        <w:t>外宣经费主要用于与中央、省、市主流媒体展开务实合作以及全区宣传氛围营造，大型外事宣传活动中产生的费用等</w:t>
      </w:r>
      <w:r>
        <w:rPr>
          <w:rFonts w:hint="eastAsia" w:ascii="仿宋_GB2312" w:hAnsi="宋体" w:eastAsia="仿宋_GB2312"/>
          <w:sz w:val="32"/>
          <w:szCs w:val="32"/>
        </w:rPr>
        <w:t>。</w:t>
      </w:r>
    </w:p>
    <w:p>
      <w:pPr>
        <w:ind w:firstLineChars="0"/>
        <w:rPr>
          <w:rFonts w:hint="eastAsia" w:ascii="仿宋_GB2312" w:hAnsi="宋体" w:eastAsia="仿宋_GB2312"/>
          <w:sz w:val="32"/>
          <w:szCs w:val="32"/>
        </w:rPr>
      </w:pPr>
      <w:r>
        <w:rPr>
          <w:rFonts w:hint="eastAsia" w:ascii="仿宋" w:hAnsi="仿宋" w:eastAsia="仿宋" w:cs="仿宋"/>
          <w:b w:val="0"/>
          <w:color w:val="000000"/>
          <w:kern w:val="44"/>
          <w:sz w:val="32"/>
          <w:szCs w:val="32"/>
          <w:lang w:val="en-US" w:eastAsia="zh-CN" w:bidi="en-US"/>
        </w:rPr>
        <w:t>根据宣传重点和目标，将资金分配到不同的宣传渠道和项目中，如在新媒体平台和传统媒体上的广告投放、制作宣传资料等，避免资金浪费。与本地媒体、文化机构等合作，降低宣传成本，同时提高资源利用效率。在项目实施过程中，通过询价、比选等方式选择性价比高的服务供应商和产品，如选择价格合理且质量可靠的广告公司、印刷企业等。严格控制宣传活动的规模和预算，避免铺张浪费，确保每一笔经费都能发挥最大的作用</w:t>
      </w:r>
      <w:r>
        <w:rPr>
          <w:rFonts w:hint="eastAsia" w:ascii="仿宋_GB2312" w:hAnsi="宋体" w:eastAsia="仿宋_GB2312"/>
          <w:sz w:val="32"/>
          <w:szCs w:val="32"/>
        </w:rPr>
        <w:t>。</w:t>
      </w:r>
    </w:p>
    <w:p>
      <w:pPr>
        <w:ind w:firstLineChars="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通过精准的宣传定位和策略，提高宣传效果，吸引更多的游客、投资者和人才，为金口河区带来经济收益和发展机遇，从而实现资金的增值和回报。利用有限的经费开展多样化的宣传活动，如举办特色文化节、旅游推介会等，以小成本获得大效益，提升金口河区的知名度和美誉度。持续投入宣传经费，有助于打造金口河区的品牌形象，形成长期的品牌价值，为区域的经济发展提供持续的动力。</w:t>
      </w:r>
    </w:p>
    <w:p>
      <w:pPr>
        <w:ind w:firstLineChars="0"/>
        <w:rPr>
          <w:rFonts w:hint="eastAsia" w:ascii="仿宋_GB2312" w:hAnsi="宋体" w:eastAsia="仿宋_GB2312"/>
          <w:sz w:val="32"/>
          <w:szCs w:val="32"/>
          <w:lang w:eastAsia="zh-CN"/>
        </w:rPr>
      </w:pPr>
      <w:r>
        <w:rPr>
          <w:rFonts w:hint="eastAsia" w:ascii="仿宋" w:hAnsi="仿宋" w:eastAsia="仿宋" w:cs="仿宋"/>
          <w:b w:val="0"/>
          <w:color w:val="000000"/>
          <w:kern w:val="44"/>
          <w:sz w:val="32"/>
          <w:szCs w:val="32"/>
          <w:lang w:val="en-US" w:eastAsia="zh-CN" w:bidi="en-US"/>
        </w:rPr>
        <w:t>良好的对外形象可以吸引更多的长期合作项目和投资，促进产业发展，从长远来看，经济效益显著。根据评分标准，总分8分，得8分</w:t>
      </w:r>
      <w:r>
        <w:rPr>
          <w:rFonts w:hint="eastAsia" w:ascii="仿宋_GB2312" w:hAnsi="宋体" w:eastAsia="仿宋_GB2312"/>
          <w:sz w:val="32"/>
          <w:szCs w:val="32"/>
          <w:lang w:eastAsia="zh-CN"/>
        </w:rPr>
        <w:t>。</w:t>
      </w:r>
    </w:p>
    <w:p>
      <w:pPr>
        <w:pStyle w:val="3"/>
        <w:numPr>
          <w:numId w:val="0"/>
        </w:numPr>
        <w:spacing w:before="0" w:beforeLines="0" w:after="0" w:afterLines="0"/>
        <w:ind w:left="643" w:leftChars="0"/>
        <w:rPr>
          <w:rFonts w:hint="eastAsia" w:ascii="楷体" w:hAnsi="楷体" w:eastAsia="楷体" w:cs="楷体"/>
          <w:b w:val="0"/>
          <w:szCs w:val="32"/>
          <w:lang w:eastAsia="zh-CN"/>
        </w:rPr>
      </w:pPr>
      <w:bookmarkStart w:id="215" w:name="_Toc12059"/>
      <w:bookmarkStart w:id="216" w:name="_Toc1742"/>
      <w:r>
        <w:rPr>
          <w:rFonts w:hint="eastAsia" w:ascii="楷体" w:hAnsi="楷体" w:cs="楷体"/>
          <w:b w:val="0"/>
          <w:kern w:val="44"/>
          <w:szCs w:val="32"/>
          <w:lang w:eastAsia="zh-CN"/>
        </w:rPr>
        <w:t>（二）</w:t>
      </w:r>
      <w:r>
        <w:rPr>
          <w:rFonts w:hint="eastAsia" w:ascii="楷体" w:hAnsi="楷体" w:eastAsia="楷体" w:cs="楷体"/>
          <w:b w:val="0"/>
          <w:kern w:val="44"/>
          <w:szCs w:val="32"/>
          <w:lang w:eastAsia="zh-CN"/>
        </w:rPr>
        <w:t>项目实施合规性与成熟度</w:t>
      </w:r>
      <w:bookmarkEnd w:id="215"/>
      <w:bookmarkEnd w:id="216"/>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项目实施合规性与成熟度方面，指标总分18分，评估得分18分。具体如下</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1.实施合规性</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项目为延续性项目，自2023年起，经区政府同意将省、市主流媒体宣传合作经费纳入年度预算。</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外宣经费项目严格遵循《中华人民共和国预算法》《中华人民共和国政府采购法》等相关法律法规开展项目预算编制、资金使用及采购流程。依据四川省财政厅、中共四川省委宣传部印发的《四川省宣传文化事业发展专项资金管理办法》执行</w:t>
      </w:r>
      <w:r>
        <w:rPr>
          <w:rFonts w:hint="eastAsia" w:ascii="仿宋" w:hAnsi="仿宋" w:eastAsia="仿宋" w:cs="仿宋"/>
          <w:szCs w:val="32"/>
          <w:lang w:eastAsia="zh-CN"/>
        </w:rPr>
        <w:t>，</w:t>
      </w:r>
      <w:r>
        <w:rPr>
          <w:rFonts w:hint="eastAsia" w:ascii="仿宋" w:hAnsi="仿宋" w:eastAsia="仿宋" w:cs="仿宋"/>
          <w:b w:val="0"/>
          <w:color w:val="000000"/>
          <w:kern w:val="44"/>
          <w:sz w:val="32"/>
          <w:szCs w:val="32"/>
          <w:lang w:val="en-US" w:eastAsia="zh-CN" w:bidi="en-US"/>
        </w:rPr>
        <w:t>明确资金支持范围、分配方式、项目申报与审批流程及资金监管要求，保障项目资金使用符合政策导向，专款专用，杜绝违规挪用</w:t>
      </w:r>
      <w:r>
        <w:rPr>
          <w:rFonts w:hint="eastAsia" w:ascii="仿宋" w:hAnsi="仿宋" w:eastAsia="仿宋" w:cs="仿宋"/>
          <w:szCs w:val="32"/>
          <w:lang w:eastAsia="zh-CN"/>
        </w:rPr>
        <w:t>。</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外宣经费项目严格按照批复预算执行，对资金支出进行实时监控。如在宣传物料采购中，根据合同约定与采购进度支付款项，杜绝超预算支出。按照项目预算和资金使用计划，确保资金用于对外宣传相关活动与事项。</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综上，该项目立项过程合规、立项依据充分，项目资金来源渠道符合相关规定，资金筹措程序科学规范。根据评分标准，总分9分，得9分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2.项目成熟度</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项目属于延续性项目。从金口河区宣传思想文化工作实际成果来看，有较为明确的方向和目标。例如围绕重要节点和重大活动开展矩阵传播，开设专题专栏，扎实做好重大主题宣传。这表明在对外宣传工作上具有规划性，能围绕中心工作制定宣传策略。</w:t>
      </w:r>
    </w:p>
    <w:p>
      <w:pPr>
        <w:ind w:firstLine="640"/>
        <w:rPr>
          <w:rFonts w:hint="eastAsia" w:ascii="仿宋" w:hAnsi="仿宋" w:eastAsia="仿宋" w:cs="仿宋"/>
          <w:bCs/>
          <w:kern w:val="2"/>
          <w:szCs w:val="32"/>
          <w:lang w:eastAsia="zh-CN" w:bidi="ar-SA"/>
        </w:rPr>
      </w:pPr>
      <w:r>
        <w:rPr>
          <w:rFonts w:hint="eastAsia" w:ascii="仿宋" w:hAnsi="仿宋" w:eastAsia="仿宋" w:cs="仿宋"/>
          <w:b w:val="0"/>
          <w:color w:val="000000"/>
          <w:kern w:val="44"/>
          <w:sz w:val="32"/>
          <w:szCs w:val="32"/>
          <w:lang w:val="en-US" w:eastAsia="zh-CN" w:bidi="en-US"/>
        </w:rPr>
        <w:t>金口河区对外宣传亮点较多，在人民日报、中央电视台等中央级主流媒体播发稿件100余条，《相框里的风景》《会燃烧的泥土》等100余件作品亮相中央媒体，文旅局长说文旅《魔力金口河》短视频浏览量达20w+，还有多个短视频作品点击量超10万。这些成果说明对外宣传工作取得了一定成效，反映出对外宣传经费项目的实施的成熟度，能够支持相关宣传工作的开展并产生影响力</w:t>
      </w:r>
      <w:r>
        <w:rPr>
          <w:rFonts w:hint="eastAsia" w:ascii="仿宋" w:hAnsi="仿宋" w:eastAsia="仿宋" w:cs="仿宋"/>
          <w:bCs/>
          <w:kern w:val="2"/>
          <w:szCs w:val="32"/>
          <w:lang w:eastAsia="zh-CN" w:bidi="ar-SA"/>
        </w:rPr>
        <w:t>。</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综上，该项目审批手续完善，与中央、省、市委决策部署一致，项目成熟度高。根据评分标准，总分9分，得9分</w:t>
      </w:r>
      <w:r>
        <w:rPr>
          <w:rFonts w:hint="eastAsia" w:ascii="仿宋" w:hAnsi="仿宋" w:eastAsia="仿宋" w:cs="仿宋"/>
          <w:szCs w:val="32"/>
          <w:lang w:eastAsia="zh-CN"/>
        </w:rPr>
        <w:t>。</w:t>
      </w:r>
    </w:p>
    <w:p>
      <w:pPr>
        <w:pStyle w:val="3"/>
        <w:numPr>
          <w:numId w:val="0"/>
        </w:numPr>
        <w:spacing w:before="0" w:beforeLines="0" w:after="0" w:afterLines="0"/>
        <w:ind w:left="658" w:leftChars="0"/>
        <w:rPr>
          <w:rFonts w:hint="eastAsia" w:ascii="楷体" w:hAnsi="楷体" w:eastAsia="楷体" w:cs="楷体"/>
          <w:b w:val="0"/>
          <w:kern w:val="44"/>
          <w:szCs w:val="32"/>
          <w:lang w:eastAsia="zh-CN"/>
        </w:rPr>
      </w:pPr>
      <w:bookmarkStart w:id="217" w:name="_Toc27007"/>
      <w:bookmarkStart w:id="218" w:name="_Toc374"/>
      <w:r>
        <w:rPr>
          <w:rFonts w:hint="eastAsia" w:ascii="楷体" w:hAnsi="楷体" w:cs="楷体"/>
          <w:b w:val="0"/>
          <w:kern w:val="44"/>
          <w:szCs w:val="32"/>
          <w:lang w:eastAsia="zh-CN"/>
        </w:rPr>
        <w:t>（三）</w:t>
      </w:r>
      <w:r>
        <w:rPr>
          <w:rFonts w:hint="eastAsia" w:ascii="楷体" w:hAnsi="楷体" w:eastAsia="楷体" w:cs="楷体"/>
          <w:b w:val="0"/>
          <w:kern w:val="44"/>
          <w:szCs w:val="32"/>
          <w:lang w:eastAsia="zh-CN"/>
        </w:rPr>
        <w:t>项目资金来源</w:t>
      </w:r>
      <w:r>
        <w:rPr>
          <w:rFonts w:hint="eastAsia" w:ascii="楷体" w:hAnsi="楷体" w:eastAsia="楷体" w:cs="楷体"/>
          <w:b w:val="0"/>
          <w:kern w:val="44"/>
          <w:szCs w:val="32"/>
          <w:lang w:val="en-US" w:eastAsia="zh-CN"/>
        </w:rPr>
        <w:t>和</w:t>
      </w:r>
      <w:r>
        <w:rPr>
          <w:rFonts w:hint="eastAsia" w:ascii="楷体" w:hAnsi="楷体" w:eastAsia="楷体" w:cs="楷体"/>
          <w:b w:val="0"/>
          <w:kern w:val="44"/>
          <w:szCs w:val="32"/>
          <w:lang w:eastAsia="zh-CN"/>
        </w:rPr>
        <w:t>到位可行性</w:t>
      </w:r>
      <w:bookmarkEnd w:id="217"/>
      <w:bookmarkEnd w:id="218"/>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项目资金来源和到位可行性方面，指标总分12分，评估得分12分。具体如下</w:t>
      </w:r>
      <w:r>
        <w:rPr>
          <w:rFonts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 w:hAnsi="仿宋" w:eastAsia="仿宋" w:cs="仿宋"/>
          <w:b w:val="0"/>
          <w:color w:val="000000"/>
          <w:kern w:val="44"/>
          <w:sz w:val="32"/>
          <w:szCs w:val="32"/>
          <w:lang w:val="en-US" w:eastAsia="zh-CN" w:bidi="en-US"/>
        </w:rPr>
        <w:t>资金来源可行性</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外宣经费资金自2023年起，经区政府同意纳入年度预算。区政府重视区域形象塑造与推广，为提升文旅知名度、吸引投资，从政策层面保障对外宣传经费投入，以实现经济社会发展目标。</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资金来源渠道符合相关规定，资金筹措程序符合科学规范。根据评分标准，总分3分，得3分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2.资金到位可行性</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根据区委宣传部提供的《宣传部外宣经费项目收支统计明细表》显示，2023年区财政拨付外宣经费49.99万元、2024年拨付45万元。由此可知，项目资金能全部到位，且有明确的到位时间。</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项目资金支付通过财政资金支付凭证，经相关人员签字确认后通过国库集中支付，具备资金拨付相关条件。根据评分标准，总分9分，得9分</w:t>
      </w:r>
      <w:r>
        <w:rPr>
          <w:rFonts w:hint="eastAsia" w:ascii="仿宋" w:hAnsi="仿宋" w:eastAsia="仿宋" w:cs="仿宋"/>
          <w:szCs w:val="32"/>
          <w:lang w:eastAsia="zh-CN"/>
        </w:rPr>
        <w:t>。</w:t>
      </w:r>
    </w:p>
    <w:p>
      <w:pPr>
        <w:pStyle w:val="3"/>
        <w:numPr>
          <w:numId w:val="0"/>
        </w:numPr>
        <w:spacing w:before="0" w:beforeLines="0" w:after="0" w:afterLines="0"/>
        <w:ind w:left="658" w:leftChars="0"/>
        <w:rPr>
          <w:rFonts w:hint="eastAsia" w:ascii="楷体" w:hAnsi="楷体" w:eastAsia="楷体" w:cs="楷体"/>
          <w:b w:val="0"/>
          <w:kern w:val="44"/>
          <w:szCs w:val="32"/>
          <w:lang w:eastAsia="zh-CN"/>
        </w:rPr>
      </w:pPr>
      <w:bookmarkStart w:id="219" w:name="OLE_LINK5"/>
      <w:bookmarkStart w:id="220" w:name="_Toc29394"/>
      <w:bookmarkStart w:id="221" w:name="_Toc9784"/>
      <w:r>
        <w:rPr>
          <w:rFonts w:hint="eastAsia" w:ascii="楷体" w:hAnsi="楷体" w:cs="楷体"/>
          <w:b w:val="0"/>
          <w:kern w:val="44"/>
          <w:szCs w:val="32"/>
          <w:lang w:eastAsia="zh-CN"/>
        </w:rPr>
        <w:t>（四）</w:t>
      </w:r>
      <w:r>
        <w:rPr>
          <w:rFonts w:hint="eastAsia" w:ascii="楷体" w:hAnsi="楷体" w:eastAsia="楷体" w:cs="楷体"/>
          <w:b w:val="0"/>
          <w:kern w:val="44"/>
          <w:szCs w:val="32"/>
          <w:lang w:eastAsia="zh-CN"/>
        </w:rPr>
        <w:t>资金使用计划</w:t>
      </w:r>
      <w:r>
        <w:rPr>
          <w:rFonts w:hint="eastAsia" w:ascii="楷体" w:hAnsi="楷体" w:eastAsia="楷体" w:cs="楷体"/>
          <w:b w:val="0"/>
          <w:kern w:val="44"/>
          <w:szCs w:val="32"/>
          <w:lang w:val="en-US" w:eastAsia="zh-CN"/>
        </w:rPr>
        <w:t>及支付</w:t>
      </w:r>
      <w:r>
        <w:rPr>
          <w:rFonts w:hint="eastAsia" w:ascii="楷体" w:hAnsi="楷体" w:eastAsia="楷体" w:cs="楷体"/>
          <w:b w:val="0"/>
          <w:kern w:val="44"/>
          <w:szCs w:val="32"/>
          <w:lang w:eastAsia="zh-CN"/>
        </w:rPr>
        <w:t>合理性</w:t>
      </w:r>
      <w:bookmarkEnd w:id="219"/>
      <w:r>
        <w:rPr>
          <w:rFonts w:hint="eastAsia" w:ascii="楷体" w:hAnsi="楷体" w:eastAsia="楷体" w:cs="楷体"/>
          <w:b w:val="0"/>
          <w:kern w:val="44"/>
          <w:szCs w:val="32"/>
          <w:lang w:eastAsia="zh-CN"/>
        </w:rPr>
        <w:t>、资金到位及时性</w:t>
      </w:r>
      <w:bookmarkEnd w:id="220"/>
      <w:bookmarkEnd w:id="221"/>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资金使用计划及实际支付合理性、资金到位及时性方面，指标总分15分，评估得分13分。具体如下</w:t>
      </w:r>
      <w:r>
        <w:rPr>
          <w:rFonts w:ascii="仿宋" w:hAnsi="仿宋" w:eastAsia="仿宋" w:cs="仿宋"/>
          <w:szCs w:val="32"/>
          <w:lang w:eastAsia="zh-CN"/>
        </w:rPr>
        <w:t>：</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szCs w:val="32"/>
          <w:lang w:eastAsia="zh-CN"/>
        </w:rPr>
        <w:t>1.</w:t>
      </w:r>
      <w:r>
        <w:rPr>
          <w:rFonts w:hint="eastAsia" w:ascii="仿宋" w:hAnsi="仿宋" w:eastAsia="仿宋" w:cs="仿宋"/>
          <w:b w:val="0"/>
          <w:color w:val="000000"/>
          <w:kern w:val="44"/>
          <w:sz w:val="32"/>
          <w:szCs w:val="32"/>
          <w:lang w:val="en-US" w:eastAsia="zh-CN" w:bidi="en-US"/>
        </w:rPr>
        <w:t>资金使用计划合理性</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为进一步提升金口河区的知名度与影响力，促进区域经济、文化、旅游等多方面发展，区委宣传部根据2023年、2024年外宣经费使用情况制定了2025年度资金使用计划。主要用于：媒体合作宣传费用、文旅活动宣传费用、新媒体宣传费用、宣传资料制作费用等</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根据2023年、2024年外宣经费使用情况，结合2025年外宣经费使用方向，2025年</w:t>
      </w:r>
      <w:r>
        <w:rPr>
          <w:rFonts w:hint="eastAsia" w:ascii="仿宋" w:hAnsi="仿宋" w:eastAsia="仿宋" w:cs="仿宋"/>
          <w:bCs/>
          <w:kern w:val="2"/>
          <w:szCs w:val="32"/>
          <w:lang w:eastAsia="zh-CN" w:bidi="ar-SA"/>
        </w:rPr>
        <w:t>区委宣传部</w:t>
      </w:r>
      <w:r>
        <w:rPr>
          <w:rFonts w:hint="eastAsia" w:ascii="仿宋" w:hAnsi="仿宋" w:eastAsia="仿宋" w:cs="仿宋"/>
          <w:b w:val="0"/>
          <w:color w:val="000000"/>
          <w:kern w:val="44"/>
          <w:sz w:val="32"/>
          <w:szCs w:val="32"/>
          <w:lang w:val="en-US" w:eastAsia="zh-CN" w:bidi="en-US"/>
        </w:rPr>
        <w:t>外宣经费资金测算依据合理。根据评分标准，总分5分，得5分</w:t>
      </w:r>
      <w:r>
        <w:rPr>
          <w:rFonts w:hint="eastAsia" w:ascii="仿宋" w:hAnsi="仿宋" w:eastAsia="仿宋" w:cs="仿宋"/>
          <w:szCs w:val="32"/>
          <w:lang w:eastAsia="zh-CN"/>
        </w:rPr>
        <w:t>。</w:t>
      </w:r>
    </w:p>
    <w:p>
      <w:pPr>
        <w:ind w:firstLine="640"/>
        <w:rPr>
          <w:rFonts w:hint="default" w:ascii="仿宋" w:hAnsi="仿宋" w:eastAsia="仿宋" w:cs="仿宋"/>
          <w:szCs w:val="32"/>
          <w:lang w:val="en-US" w:eastAsia="zh-CN"/>
        </w:rPr>
      </w:pPr>
      <w:r>
        <w:rPr>
          <w:rFonts w:hint="eastAsia" w:ascii="仿宋" w:hAnsi="仿宋" w:eastAsia="仿宋" w:cs="仿宋"/>
          <w:szCs w:val="32"/>
          <w:lang w:eastAsia="zh-CN"/>
        </w:rPr>
        <w:t>2.</w:t>
      </w:r>
      <w:r>
        <w:rPr>
          <w:rFonts w:hint="eastAsia" w:ascii="仿宋" w:hAnsi="仿宋" w:eastAsia="仿宋" w:cs="仿宋"/>
          <w:szCs w:val="32"/>
          <w:lang w:val="en-US" w:eastAsia="zh-CN"/>
        </w:rPr>
        <w:t>资金</w:t>
      </w:r>
      <w:r>
        <w:rPr>
          <w:rFonts w:hint="eastAsia" w:ascii="仿宋" w:hAnsi="仿宋" w:eastAsia="仿宋" w:cs="仿宋"/>
          <w:b w:val="0"/>
          <w:kern w:val="44"/>
          <w:szCs w:val="32"/>
          <w:lang w:val="en-US" w:eastAsia="zh-CN"/>
        </w:rPr>
        <w:t>支付合理性</w:t>
      </w:r>
    </w:p>
    <w:p>
      <w:pPr>
        <w:ind w:firstLine="640"/>
        <w:rPr>
          <w:rFonts w:hint="default" w:ascii="仿宋" w:hAnsi="仿宋" w:eastAsia="仿宋" w:cs="仿宋"/>
          <w:szCs w:val="32"/>
          <w:lang w:val="en-US" w:eastAsia="zh-CN"/>
        </w:rPr>
      </w:pPr>
      <w:r>
        <w:rPr>
          <w:rFonts w:hint="eastAsia" w:ascii="仿宋" w:hAnsi="仿宋" w:eastAsia="仿宋" w:cs="仿宋"/>
          <w:b w:val="0"/>
          <w:color w:val="000000"/>
          <w:kern w:val="44"/>
          <w:sz w:val="32"/>
          <w:szCs w:val="32"/>
          <w:lang w:val="en-US" w:eastAsia="zh-CN" w:bidi="en-US"/>
        </w:rPr>
        <w:t>通过核查2023年、2024年外宣经费支付凭证及依据，我们发现：(1)2024年4月29日支付融媒体中心拍摄安全用品费用0.2044万元给张甜，因项目单位仅提供了国库集中支付凭证，未提供款项支付给个人的依据；(2)2024年12月26日支付阿拉神丁（北京）文化传播有限公司“2021年度电视节目电视剧播映权费用”3.45万元，因款项支付跨期时间太长，支付时间不合理。根据评分标准，总分5分，得3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val="en-US" w:eastAsia="zh-CN"/>
        </w:rPr>
        <w:t>3.</w:t>
      </w:r>
      <w:r>
        <w:rPr>
          <w:rFonts w:hint="eastAsia" w:ascii="仿宋" w:hAnsi="仿宋" w:eastAsia="仿宋" w:cs="仿宋"/>
          <w:szCs w:val="32"/>
          <w:lang w:eastAsia="zh-CN"/>
        </w:rPr>
        <w:t>资金到位及时性</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资金全部为政府资金，2025年区委宣传部申请的区级财政预算资金50万元。根据区委宣传部提供的《宣传部外宣经费项目收支统计明细表》，2023年、2024年外宣经费均能及时足额到位。根据评分标准，总分5分，得5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szCs w:val="32"/>
          <w:lang w:eastAsia="zh-CN"/>
        </w:rPr>
      </w:pPr>
      <w:bookmarkStart w:id="222" w:name="_Toc15794"/>
      <w:bookmarkStart w:id="223" w:name="_Toc30218"/>
      <w:r>
        <w:rPr>
          <w:rFonts w:hint="eastAsia" w:ascii="楷体" w:hAnsi="楷体" w:cs="楷体"/>
          <w:b w:val="0"/>
          <w:kern w:val="44"/>
          <w:szCs w:val="32"/>
          <w:lang w:eastAsia="zh-CN"/>
        </w:rPr>
        <w:t>（五）</w:t>
      </w:r>
      <w:r>
        <w:rPr>
          <w:rFonts w:hint="eastAsia" w:ascii="楷体" w:hAnsi="楷体" w:eastAsia="楷体" w:cs="楷体"/>
          <w:b w:val="0"/>
          <w:kern w:val="44"/>
          <w:szCs w:val="32"/>
          <w:lang w:eastAsia="zh-CN"/>
        </w:rPr>
        <w:t>项目绩效目标明确性、合理性</w:t>
      </w:r>
      <w:bookmarkEnd w:id="222"/>
      <w:bookmarkEnd w:id="223"/>
    </w:p>
    <w:p>
      <w:pPr>
        <w:ind w:firstLine="640"/>
        <w:rPr>
          <w:rFonts w:hint="eastAsia" w:ascii="仿宋" w:hAnsi="仿宋" w:eastAsia="仿宋" w:cs="仿宋"/>
          <w:szCs w:val="32"/>
          <w:lang w:eastAsia="zh-CN"/>
        </w:rPr>
      </w:pPr>
      <w:bookmarkStart w:id="224" w:name="OLE_LINK6"/>
      <w:r>
        <w:rPr>
          <w:rFonts w:hint="eastAsia" w:ascii="仿宋" w:hAnsi="仿宋" w:eastAsia="仿宋" w:cs="仿宋"/>
          <w:b w:val="0"/>
          <w:color w:val="000000"/>
          <w:kern w:val="44"/>
          <w:sz w:val="32"/>
          <w:szCs w:val="32"/>
          <w:lang w:val="en-US" w:eastAsia="zh-CN" w:bidi="en-US"/>
        </w:rPr>
        <w:t>项目绩效目标明确性、合理性方面，指标总分12分，评估得分12分。具体如下</w:t>
      </w:r>
      <w:r>
        <w:rPr>
          <w:rFonts w:hint="eastAsia" w:ascii="仿宋" w:hAnsi="仿宋" w:eastAsia="仿宋" w:cs="仿宋"/>
          <w:szCs w:val="32"/>
          <w:lang w:eastAsia="zh-CN"/>
        </w:rPr>
        <w:t>：</w:t>
      </w:r>
      <w:bookmarkEnd w:id="224"/>
    </w:p>
    <w:p>
      <w:pPr>
        <w:ind w:firstLine="640"/>
        <w:rPr>
          <w:rFonts w:hint="eastAsia" w:ascii="仿宋" w:hAnsi="仿宋" w:eastAsia="仿宋" w:cs="仿宋"/>
          <w:szCs w:val="32"/>
          <w:lang w:eastAsia="zh-CN"/>
        </w:rPr>
      </w:pPr>
      <w:r>
        <w:rPr>
          <w:rFonts w:hint="eastAsia" w:ascii="仿宋" w:hAnsi="仿宋" w:eastAsia="仿宋" w:cs="仿宋"/>
          <w:szCs w:val="32"/>
          <w:lang w:eastAsia="zh-CN"/>
        </w:rPr>
        <w:t>1.绩效目标明确性</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本次事前绩效评估根据《</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进行，按照事前评估应当遵守的基本内容设计本项目个性评价指标，确保绩效目标可评、可量、可用于指导项目实施阶段绩效评价。</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该项目绩效目标设定明确，与年度工作目标一致，并且绩效目标的编制内容符合《项目支出绩效评价管理办法》（财预〔2020〕10号文）政策规定，与项目内容高度相关。根据评分标准，总分7分，得7分。</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2.目标合理性</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根据《</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，本项目绩效目标重点反映了外宣经费的产出数量、质量、时效、成本，还包括经济效益、社会效益、可持续影响、满意度等绩效指标。</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通过精准有效的宣传推广，全面展示金口河区在自然风光、民俗文化、特色产业、投资环境等方面的独特魅力和发展成果，吸引更多游客前来旅游观光，吸引企业投资兴业，促进区域经济社会高质量发展。金口河区正积极推动文旅融合发展和招商引资工作，本资金使用计划紧密围绕这一战略目标，将资金重点投入到媒体合作、文旅活动宣传、新媒体宣传等方面，有助于提升金口河区的知名度和美誉度，吸引更多游客和投资，促进区域经济发展。</w:t>
      </w:r>
    </w:p>
    <w:p>
      <w:pPr>
        <w:ind w:firstLine="640"/>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因此，本项目的绩效目标合理，指标细化、量化、合理可考核且与申报预算的资金量相匹配。根据评分标准，总分6分，得6分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highlight w:val="none"/>
          <w:lang w:eastAsia="zh-CN"/>
        </w:rPr>
      </w:pPr>
      <w:bookmarkStart w:id="225" w:name="_Toc30567"/>
      <w:bookmarkStart w:id="226" w:name="_Toc22324"/>
      <w:r>
        <w:rPr>
          <w:rFonts w:hint="eastAsia" w:ascii="楷体" w:hAnsi="楷体" w:cs="楷体"/>
          <w:b w:val="0"/>
          <w:kern w:val="44"/>
          <w:szCs w:val="32"/>
          <w:highlight w:val="none"/>
          <w:lang w:val="en-US" w:eastAsia="zh-CN"/>
        </w:rPr>
        <w:t>（六）</w:t>
      </w:r>
      <w:r>
        <w:rPr>
          <w:rFonts w:hint="eastAsia" w:ascii="楷体" w:hAnsi="楷体" w:eastAsia="楷体" w:cs="楷体"/>
          <w:b w:val="0"/>
          <w:kern w:val="44"/>
          <w:szCs w:val="32"/>
          <w:highlight w:val="none"/>
          <w:lang w:val="en-US" w:eastAsia="zh-CN"/>
        </w:rPr>
        <w:t>项目实施程序合规性</w:t>
      </w:r>
      <w:bookmarkEnd w:id="225"/>
    </w:p>
    <w:p>
      <w:pPr>
        <w:ind w:firstLine="640"/>
        <w:rPr>
          <w:rFonts w:hint="eastAsia" w:ascii="仿宋" w:hAnsi="仿宋" w:eastAsia="仿宋" w:cs="仿宋"/>
          <w:b w:val="0"/>
          <w:color w:val="000000"/>
          <w:kern w:val="44"/>
          <w:sz w:val="32"/>
          <w:szCs w:val="32"/>
          <w:highlight w:val="none"/>
          <w:lang w:val="en-US" w:eastAsia="zh-CN" w:bidi="en-US"/>
        </w:rPr>
      </w:pPr>
      <w:r>
        <w:rPr>
          <w:rFonts w:hint="eastAsia" w:ascii="仿宋" w:hAnsi="仿宋" w:eastAsia="仿宋" w:cs="仿宋"/>
          <w:b w:val="0"/>
          <w:color w:val="000000"/>
          <w:kern w:val="44"/>
          <w:sz w:val="32"/>
          <w:szCs w:val="32"/>
          <w:highlight w:val="none"/>
          <w:lang w:val="en-US" w:eastAsia="zh-CN" w:bidi="en-US"/>
        </w:rPr>
        <w:t>项目实施程序合规性方面，指标总分6分，评估得分3分。具体如下：</w:t>
      </w:r>
    </w:p>
    <w:p>
      <w:pPr>
        <w:ind w:firstLine="640"/>
        <w:rPr>
          <w:rFonts w:hint="eastAsia" w:ascii="Arial" w:hAnsi="Arial" w:eastAsia="宋体" w:cs="Arial"/>
          <w:b/>
          <w:bCs/>
          <w:i w:val="0"/>
          <w:iCs w:val="0"/>
          <w:caps w:val="0"/>
          <w:color w:val="000000"/>
          <w:spacing w:val="0"/>
          <w:sz w:val="21"/>
          <w:szCs w:val="21"/>
          <w:highlight w:val="none"/>
          <w:shd w:val="clear" w:fill="FFFFFF"/>
          <w:lang w:eastAsia="zh-CN"/>
        </w:rPr>
      </w:pPr>
      <w:r>
        <w:rPr>
          <w:rFonts w:hint="eastAsia" w:ascii="仿宋" w:hAnsi="仿宋" w:eastAsia="仿宋" w:cs="仿宋"/>
          <w:b w:val="0"/>
          <w:color w:val="000000"/>
          <w:kern w:val="44"/>
          <w:sz w:val="32"/>
          <w:szCs w:val="32"/>
          <w:highlight w:val="none"/>
          <w:lang w:val="en-US" w:eastAsia="zh-CN" w:bidi="en-US"/>
        </w:rPr>
        <w:t>项目单位所提供的2023年、2024年支付外宣经费的资料中没有提供比选、招投标资料。经核实，项目单位外宣合作的官方媒体基本为独家，采用单一来源方式确定合作单位。但从项目单位提供的资料中我们发现，非官方媒体的选定，如专题片制作、视频制作合作单位未通过比选、招投标方式确定合作单位。根据评分标准，总分6分，得3分</w:t>
      </w:r>
      <w:r>
        <w:rPr>
          <w:rFonts w:hint="eastAsia" w:ascii="仿宋" w:hAnsi="仿宋" w:eastAsia="仿宋" w:cs="仿宋"/>
          <w:szCs w:val="32"/>
          <w:highlight w:val="none"/>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highlight w:val="none"/>
          <w:lang w:eastAsia="zh-CN"/>
        </w:rPr>
      </w:pPr>
      <w:bookmarkStart w:id="227" w:name="_Toc21947"/>
      <w:r>
        <w:rPr>
          <w:rFonts w:hint="eastAsia" w:ascii="楷体" w:hAnsi="楷体" w:cs="楷体"/>
          <w:b w:val="0"/>
          <w:kern w:val="44"/>
          <w:szCs w:val="32"/>
          <w:highlight w:val="none"/>
          <w:lang w:eastAsia="zh-CN"/>
        </w:rPr>
        <w:t>（七）</w:t>
      </w:r>
      <w:r>
        <w:rPr>
          <w:rFonts w:hint="eastAsia" w:ascii="楷体" w:hAnsi="楷体" w:eastAsia="楷体" w:cs="楷体"/>
          <w:b w:val="0"/>
          <w:kern w:val="44"/>
          <w:szCs w:val="32"/>
          <w:highlight w:val="none"/>
          <w:lang w:eastAsia="zh-CN"/>
        </w:rPr>
        <w:t>项目实施成果合格性</w:t>
      </w:r>
      <w:bookmarkEnd w:id="226"/>
      <w:bookmarkEnd w:id="227"/>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项目实施成果合格情况方面，指标总分12分，评估得分12分。具体如下：</w:t>
      </w:r>
    </w:p>
    <w:p>
      <w:pPr>
        <w:ind w:firstLine="640"/>
        <w:rPr>
          <w:rFonts w:hint="default"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1.媒体合作宣传成果合格性</w:t>
      </w:r>
    </w:p>
    <w:p>
      <w:pPr>
        <w:ind w:firstLine="640"/>
        <w:rPr>
          <w:rFonts w:hint="eastAsia" w:ascii="仿宋" w:hAnsi="仿宋" w:eastAsia="仿宋" w:cs="仿宋"/>
          <w:szCs w:val="32"/>
          <w:highlight w:val="none"/>
          <w:lang w:eastAsia="zh-CN"/>
        </w:rPr>
      </w:pPr>
      <w:bookmarkStart w:id="228" w:name="OLE_LINK7"/>
      <w:r>
        <w:rPr>
          <w:rFonts w:hint="eastAsia" w:ascii="仿宋" w:hAnsi="仿宋" w:eastAsia="仿宋" w:cs="仿宋"/>
          <w:b w:val="0"/>
          <w:color w:val="000000"/>
          <w:kern w:val="44"/>
          <w:sz w:val="32"/>
          <w:szCs w:val="32"/>
          <w:lang w:val="en-US" w:eastAsia="zh-CN" w:bidi="en-US"/>
        </w:rPr>
        <w:t>通过与各大媒体合作，使金口河至西昌高速公路等重大交通项目的推进备受关注。媒体对项目的规划、中标情况、建设进展等进行持续跟踪报道，使金口河区的交通发展蓝图深入人心，提升了外界对区域未来发展潜力的认知，也吸引了更多投资目光聚焦金口河。在全市率先举办第二届乐山百姓文化村超“蜀乡村歌好声音·乐山非遗传承秀”金口河赛区决赛，隆重举办铁道兵博物馆全面开馆仪式及系列活动，这些活动被央视、人民日报、四川日报等55家主流媒体宣传报道。首次承办国家级大型体育赛事—2024自行车系列赛（乐山站）金口河赛段赛事活动，吸引全国各地150名精英选手参赛，现场赛况及大峡谷、大瓦山美景获央视关注报道</w:t>
      </w:r>
      <w:r>
        <w:rPr>
          <w:rFonts w:hint="eastAsia" w:ascii="仿宋" w:hAnsi="仿宋" w:eastAsia="仿宋" w:cs="仿宋"/>
          <w:szCs w:val="32"/>
          <w:highlight w:val="none"/>
          <w:lang w:eastAsia="zh-CN"/>
        </w:rPr>
        <w:t>。</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通过媒体的广泛传播，这些活动的影响力超出区域范围，极大地提升了金口河区的知名度和美誉度，使更多人了解到金口河区丰富的文化体育资源和独特魅力。</w:t>
      </w:r>
      <w:bookmarkEnd w:id="228"/>
      <w:bookmarkStart w:id="229" w:name="OLE_LINK8"/>
      <w:r>
        <w:rPr>
          <w:rFonts w:hint="eastAsia" w:ascii="仿宋" w:hAnsi="仿宋" w:eastAsia="仿宋" w:cs="仿宋"/>
          <w:b w:val="0"/>
          <w:color w:val="000000"/>
          <w:kern w:val="44"/>
          <w:sz w:val="32"/>
          <w:szCs w:val="32"/>
          <w:lang w:val="en-US" w:eastAsia="zh-CN" w:bidi="en-US"/>
        </w:rPr>
        <w:t>根据评分标准，总分4分，得4分。</w:t>
      </w:r>
      <w:bookmarkEnd w:id="229"/>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2.文旅活动宣传成果合格性</w:t>
      </w:r>
    </w:p>
    <w:p>
      <w:pPr>
        <w:ind w:firstLine="640"/>
        <w:rPr>
          <w:rFonts w:hint="eastAsia" w:ascii="仿宋" w:hAnsi="仿宋" w:eastAsia="仿宋" w:cs="仿宋"/>
          <w:szCs w:val="32"/>
          <w:highlight w:val="none"/>
          <w:lang w:eastAsia="zh-CN"/>
        </w:rPr>
      </w:pPr>
      <w:r>
        <w:rPr>
          <w:rFonts w:hint="eastAsia" w:ascii="仿宋" w:hAnsi="仿宋" w:eastAsia="仿宋" w:cs="仿宋"/>
          <w:b w:val="0"/>
          <w:color w:val="000000"/>
          <w:kern w:val="44"/>
          <w:sz w:val="32"/>
          <w:szCs w:val="32"/>
          <w:lang w:val="en-US" w:eastAsia="zh-CN" w:bidi="en-US"/>
        </w:rPr>
        <w:t>通过与各大媒体合作，对金口河区的文旅资源进行深度挖掘与宣传。大渡河金口大峡谷成功创建为国家AAAA级景区，永和镇入选四川省乡村旅游特色乡镇、获评全市首个四川“天府旅游名镇”，永和镇胜利村获评全国乡村旅游重点村、天府旅游名村，这些成果的宣传推广吸引了大量游客。近三年接待游客人数、旅游综合收入连续保持两位数增长，媒体宣传在其中发挥了重要作用，让金口河的文旅招牌更加响亮。根据评分标准，总分4分，得4分</w:t>
      </w:r>
      <w:r>
        <w:rPr>
          <w:rFonts w:hint="eastAsia" w:ascii="仿宋" w:hAnsi="仿宋" w:eastAsia="仿宋" w:cs="仿宋"/>
          <w:szCs w:val="32"/>
          <w:highlight w:val="none"/>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val="en-US" w:eastAsia="zh-CN"/>
        </w:rPr>
        <w:t>3.</w:t>
      </w:r>
      <w:r>
        <w:rPr>
          <w:rFonts w:hint="eastAsia" w:ascii="仿宋" w:hAnsi="仿宋" w:eastAsia="仿宋" w:cs="仿宋"/>
          <w:b w:val="0"/>
          <w:color w:val="000000"/>
          <w:kern w:val="44"/>
          <w:sz w:val="32"/>
          <w:szCs w:val="32"/>
          <w:lang w:val="en-US" w:eastAsia="zh-CN" w:bidi="en-US"/>
        </w:rPr>
        <w:t>新媒体宣传成果合格性</w:t>
      </w:r>
    </w:p>
    <w:p>
      <w:pPr>
        <w:ind w:firstLine="640"/>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金口河区积极布局多个新媒体平台，构建起全方位、多层次的宣传矩阵。在微信公众号方面，“微金口河”等官方公众号定期发布区内的政策解读、民生实事、文旅活动等内容，以图文并茂、通俗易懂的形式，让群众及时了解家乡动态。在短视频平台上，金口河区融媒体中心入驻抖音、快手等热门平台，创作并发布了大量精彩短视频。这些短视频涵盖自然风光、民俗文化、特色美食等多个主题，以生动有趣的画面和富有感染力的解说，吸引了众多网友关注。在文化旅游宣传方面，精心策划了一系列主题宣传活动。制作了多部高质量的文旅宣传短视频，如《魅力金口河，多彩文旅行》《探秘大瓦山》等，将金口河区独特的自然风光、民俗文化和美食特色完美融合，生动地展现了金口河区的文旅魅力。</w:t>
      </w:r>
    </w:p>
    <w:p>
      <w:pPr>
        <w:ind w:firstLine="640"/>
        <w:rPr>
          <w:rFonts w:hint="eastAsia" w:ascii="仿宋" w:hAnsi="仿宋" w:eastAsia="仿宋" w:cs="仿宋"/>
          <w:szCs w:val="32"/>
          <w:highlight w:val="none"/>
          <w:lang w:eastAsia="zh-CN"/>
        </w:rPr>
      </w:pPr>
      <w:r>
        <w:rPr>
          <w:rFonts w:hint="eastAsia" w:ascii="仿宋" w:hAnsi="仿宋" w:eastAsia="仿宋" w:cs="仿宋"/>
          <w:b w:val="0"/>
          <w:color w:val="000000"/>
          <w:kern w:val="44"/>
          <w:sz w:val="32"/>
          <w:szCs w:val="32"/>
          <w:lang w:val="en-US" w:eastAsia="zh-CN" w:bidi="en-US"/>
        </w:rPr>
        <w:t>金口河区对外宣传经费项目在新媒体宣传方面取得了丰硕的成果，通过多元化的平台拓展、精品化的内容创作、显著的传播效果和增强的互动性，成功提升了金口河区的知名度、美誉度和影响力，为金口河区的经济社会发展营造了良好的舆论氛围。根据评分标准，总分4分，得4分</w:t>
      </w:r>
      <w:r>
        <w:rPr>
          <w:rFonts w:hint="eastAsia" w:ascii="仿宋" w:hAnsi="仿宋" w:eastAsia="仿宋" w:cs="仿宋"/>
          <w:szCs w:val="32"/>
          <w:highlight w:val="none"/>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30" w:name="_Toc26124"/>
      <w:bookmarkStart w:id="231" w:name="_Toc18707"/>
      <w:r>
        <w:rPr>
          <w:rFonts w:hint="eastAsia" w:ascii="楷体" w:hAnsi="楷体" w:cs="楷体"/>
          <w:b w:val="0"/>
          <w:kern w:val="44"/>
          <w:szCs w:val="32"/>
          <w:lang w:eastAsia="zh-CN"/>
        </w:rPr>
        <w:t>（八）</w:t>
      </w:r>
      <w:r>
        <w:rPr>
          <w:rFonts w:hint="eastAsia" w:ascii="楷体" w:hAnsi="楷体" w:eastAsia="楷体" w:cs="楷体"/>
          <w:b w:val="0"/>
          <w:kern w:val="44"/>
          <w:szCs w:val="32"/>
          <w:lang w:eastAsia="zh-CN"/>
        </w:rPr>
        <w:t>项目实施的可持续性</w:t>
      </w:r>
      <w:bookmarkEnd w:id="230"/>
      <w:bookmarkEnd w:id="231"/>
    </w:p>
    <w:p>
      <w:pPr>
        <w:ind w:firstLine="640"/>
        <w:rPr>
          <w:lang w:eastAsia="zh-CN"/>
        </w:rPr>
      </w:pPr>
      <w:r>
        <w:rPr>
          <w:rFonts w:hint="eastAsia" w:ascii="仿宋" w:hAnsi="仿宋" w:eastAsia="仿宋" w:cs="仿宋"/>
          <w:szCs w:val="32"/>
          <w:lang w:eastAsia="zh-CN"/>
        </w:rPr>
        <w:t>项目实施的可持续性方面，指标总分</w:t>
      </w:r>
      <w:r>
        <w:rPr>
          <w:rFonts w:hint="eastAsia" w:ascii="仿宋" w:hAnsi="仿宋" w:eastAsia="仿宋" w:cs="仿宋"/>
          <w:szCs w:val="32"/>
          <w:lang w:val="en-US" w:eastAsia="zh-CN"/>
        </w:rPr>
        <w:t>9</w:t>
      </w:r>
      <w:r>
        <w:rPr>
          <w:rFonts w:hint="eastAsia" w:ascii="仿宋" w:hAnsi="仿宋" w:eastAsia="仿宋" w:cs="仿宋"/>
          <w:szCs w:val="32"/>
          <w:lang w:eastAsia="zh-CN"/>
        </w:rPr>
        <w:t>分，评估得分</w:t>
      </w:r>
      <w:r>
        <w:rPr>
          <w:rFonts w:hint="eastAsia" w:ascii="仿宋" w:hAnsi="仿宋" w:eastAsia="仿宋" w:cs="仿宋"/>
          <w:szCs w:val="32"/>
          <w:lang w:val="en-US" w:eastAsia="zh-CN"/>
        </w:rPr>
        <w:t>9</w:t>
      </w:r>
      <w:r>
        <w:rPr>
          <w:rFonts w:hint="eastAsia" w:ascii="仿宋" w:hAnsi="仿宋" w:eastAsia="仿宋" w:cs="仿宋"/>
          <w:szCs w:val="32"/>
          <w:lang w:eastAsia="zh-CN"/>
        </w:rPr>
        <w:t>分。具体如下：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金口河区政府重视对外宣传工作，</w:t>
      </w:r>
      <w:r>
        <w:rPr>
          <w:rFonts w:hint="eastAsia" w:ascii="仿宋" w:hAnsi="仿宋" w:eastAsia="仿宋" w:cs="仿宋"/>
          <w:szCs w:val="32"/>
          <w:lang w:val="en-US" w:eastAsia="zh-CN"/>
        </w:rPr>
        <w:t>2023年</w:t>
      </w:r>
      <w:r>
        <w:rPr>
          <w:rFonts w:hint="eastAsia" w:ascii="仿宋" w:hAnsi="仿宋" w:eastAsia="仿宋" w:cs="仿宋"/>
          <w:szCs w:val="32"/>
          <w:lang w:eastAsia="zh-CN"/>
        </w:rPr>
        <w:t>将该项目纳入</w:t>
      </w:r>
      <w:r>
        <w:rPr>
          <w:rFonts w:hint="eastAsia" w:ascii="仿宋" w:hAnsi="仿宋" w:eastAsia="仿宋" w:cs="仿宋"/>
          <w:szCs w:val="32"/>
          <w:lang w:val="en-US" w:eastAsia="zh-CN"/>
        </w:rPr>
        <w:t>了</w:t>
      </w:r>
      <w:r>
        <w:rPr>
          <w:rFonts w:hint="eastAsia" w:ascii="仿宋" w:hAnsi="仿宋" w:eastAsia="仿宋" w:cs="仿宋"/>
          <w:szCs w:val="32"/>
          <w:lang w:eastAsia="zh-CN"/>
        </w:rPr>
        <w:t>财政预算，为项目持续实施提供稳定资金。</w:t>
      </w:r>
      <w:r>
        <w:rPr>
          <w:rFonts w:hint="eastAsia" w:ascii="仿宋" w:hAnsi="仿宋" w:eastAsia="仿宋" w:cs="仿宋"/>
          <w:szCs w:val="32"/>
          <w:lang w:val="en-US" w:eastAsia="zh-CN"/>
        </w:rPr>
        <w:t>区</w:t>
      </w:r>
      <w:r>
        <w:rPr>
          <w:rFonts w:hint="eastAsia" w:ascii="仿宋" w:hAnsi="仿宋" w:eastAsia="仿宋" w:cs="仿宋"/>
          <w:szCs w:val="32"/>
          <w:lang w:eastAsia="zh-CN"/>
        </w:rPr>
        <w:t>政府出台的相关宣传政策和规划，为项目实施提供方向和指导。</w:t>
      </w:r>
      <w:r>
        <w:rPr>
          <w:rFonts w:hint="eastAsia" w:ascii="仿宋" w:hAnsi="仿宋" w:eastAsia="仿宋" w:cs="仿宋"/>
          <w:szCs w:val="32"/>
          <w:lang w:val="en-US" w:eastAsia="zh-CN"/>
        </w:rPr>
        <w:t>区</w:t>
      </w:r>
      <w:r>
        <w:rPr>
          <w:rFonts w:hint="eastAsia" w:ascii="仿宋" w:hAnsi="仿宋" w:eastAsia="仿宋" w:cs="仿宋"/>
          <w:szCs w:val="32"/>
          <w:lang w:eastAsia="zh-CN"/>
        </w:rPr>
        <w:t>政府在媒体合作、活动举办等方面给予的政策优惠和便利，</w:t>
      </w:r>
      <w:r>
        <w:rPr>
          <w:rFonts w:hint="eastAsia" w:ascii="仿宋" w:hAnsi="仿宋" w:eastAsia="仿宋" w:cs="仿宋"/>
          <w:szCs w:val="32"/>
          <w:lang w:val="en-US" w:eastAsia="zh-CN"/>
        </w:rPr>
        <w:t>有</w:t>
      </w:r>
      <w:r>
        <w:rPr>
          <w:rFonts w:hint="eastAsia" w:ascii="仿宋" w:hAnsi="仿宋" w:eastAsia="仿宋" w:cs="仿宋"/>
          <w:szCs w:val="32"/>
          <w:lang w:eastAsia="zh-CN"/>
        </w:rPr>
        <w:t>助于项目的长期推进。通过引进、培养熟悉宣传工作，具备新媒体运营、策划推广、文案撰写等技能的专业人才，为项目实施提供人力支持。</w:t>
      </w:r>
    </w:p>
    <w:p>
      <w:pPr>
        <w:ind w:firstLine="640"/>
        <w:rPr>
          <w:rFonts w:hint="eastAsia" w:ascii="仿宋" w:hAnsi="仿宋" w:eastAsia="仿宋" w:cs="仿宋"/>
          <w:szCs w:val="32"/>
          <w:lang w:eastAsia="zh-CN"/>
        </w:rPr>
      </w:pPr>
      <w:r>
        <w:rPr>
          <w:rFonts w:hint="eastAsia" w:ascii="仿宋" w:hAnsi="仿宋" w:eastAsia="仿宋" w:cs="仿宋"/>
          <w:szCs w:val="32"/>
          <w:lang w:val="en-US" w:eastAsia="zh-CN"/>
        </w:rPr>
        <w:t>政府部门</w:t>
      </w:r>
      <w:r>
        <w:rPr>
          <w:rFonts w:hint="eastAsia" w:ascii="仿宋" w:hAnsi="仿宋" w:eastAsia="仿宋" w:cs="仿宋"/>
          <w:szCs w:val="32"/>
          <w:lang w:eastAsia="zh-CN"/>
        </w:rPr>
        <w:t>鼓励当地企业、居民参与对外宣传，如企业参与宣传活动的策划与执行，居民作为宣传志愿者或提供宣传素材，形成全民宣传的良好氛围，扩大宣传影响力。</w:t>
      </w:r>
      <w:r>
        <w:rPr>
          <w:rFonts w:hint="eastAsia" w:ascii="仿宋" w:hAnsi="仿宋" w:eastAsia="仿宋" w:cs="仿宋"/>
          <w:szCs w:val="32"/>
          <w:lang w:val="en-US" w:eastAsia="zh-CN"/>
        </w:rPr>
        <w:t>同时</w:t>
      </w:r>
      <w:r>
        <w:rPr>
          <w:rFonts w:hint="eastAsia" w:ascii="仿宋" w:hAnsi="仿宋" w:eastAsia="仿宋" w:cs="仿宋"/>
          <w:szCs w:val="32"/>
          <w:lang w:eastAsia="zh-CN"/>
        </w:rPr>
        <w:t>与周边地区开展宣传合作，实现资源共享、优势互补，共同提升区域整体形象，也有助于项目的持续实施。根据评分标准，总分</w:t>
      </w:r>
      <w:r>
        <w:rPr>
          <w:rFonts w:hint="eastAsia" w:ascii="仿宋" w:hAnsi="仿宋" w:eastAsia="仿宋" w:cs="仿宋"/>
          <w:szCs w:val="32"/>
          <w:lang w:val="en-US" w:eastAsia="zh-CN"/>
        </w:rPr>
        <w:t>9</w:t>
      </w:r>
      <w:r>
        <w:rPr>
          <w:rFonts w:hint="eastAsia" w:ascii="仿宋" w:hAnsi="仿宋" w:eastAsia="仿宋" w:cs="仿宋"/>
          <w:szCs w:val="32"/>
          <w:lang w:eastAsia="zh-CN"/>
        </w:rPr>
        <w:t>分，得</w:t>
      </w:r>
      <w:r>
        <w:rPr>
          <w:rFonts w:hint="eastAsia" w:ascii="仿宋" w:hAnsi="仿宋" w:eastAsia="仿宋" w:cs="仿宋"/>
          <w:szCs w:val="32"/>
          <w:lang w:val="en-US" w:eastAsia="zh-CN"/>
        </w:rPr>
        <w:t>9</w:t>
      </w:r>
      <w:r>
        <w:rPr>
          <w:rFonts w:hint="eastAsia" w:ascii="仿宋" w:hAnsi="仿宋" w:eastAsia="仿宋" w:cs="仿宋"/>
          <w:szCs w:val="32"/>
          <w:lang w:eastAsia="zh-CN"/>
        </w:rPr>
        <w:t>分。</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32" w:name="_Toc24831"/>
      <w:bookmarkStart w:id="233" w:name="_Toc29187"/>
      <w:r>
        <w:rPr>
          <w:rFonts w:hint="eastAsia" w:ascii="楷体" w:hAnsi="楷体" w:cs="楷体"/>
          <w:b w:val="0"/>
          <w:kern w:val="44"/>
          <w:szCs w:val="32"/>
          <w:lang w:eastAsia="zh-CN"/>
        </w:rPr>
        <w:t>（九）</w:t>
      </w:r>
      <w:r>
        <w:rPr>
          <w:rFonts w:hint="eastAsia" w:ascii="楷体" w:hAnsi="楷体" w:eastAsia="楷体" w:cs="楷体"/>
          <w:b w:val="0"/>
          <w:kern w:val="44"/>
          <w:szCs w:val="32"/>
          <w:lang w:eastAsia="zh-CN"/>
        </w:rPr>
        <w:t>总体结论</w:t>
      </w:r>
      <w:bookmarkEnd w:id="232"/>
      <w:bookmarkEnd w:id="233"/>
    </w:p>
    <w:p>
      <w:pPr>
        <w:ind w:firstLine="640"/>
        <w:rPr>
          <w:rFonts w:hint="eastAsia" w:ascii="仿宋" w:hAnsi="仿宋" w:eastAsia="仿宋" w:cs="仿宋"/>
          <w:szCs w:val="32"/>
          <w:lang w:eastAsia="zh-CN"/>
        </w:rPr>
      </w:pPr>
      <w:r>
        <w:rPr>
          <w:rFonts w:hint="eastAsia" w:ascii="仿宋" w:hAnsi="仿宋" w:eastAsia="仿宋" w:cs="仿宋"/>
          <w:szCs w:val="32"/>
          <w:lang w:eastAsia="zh-CN"/>
        </w:rPr>
        <w:t>评估小组通过对前述8个一级指标、1</w:t>
      </w:r>
      <w:r>
        <w:rPr>
          <w:rFonts w:hint="eastAsia" w:ascii="仿宋" w:hAnsi="仿宋" w:eastAsia="仿宋" w:cs="仿宋"/>
          <w:szCs w:val="32"/>
          <w:lang w:val="en-US" w:eastAsia="zh-CN"/>
        </w:rPr>
        <w:t>7</w:t>
      </w:r>
      <w:r>
        <w:rPr>
          <w:rFonts w:hint="eastAsia" w:ascii="仿宋" w:hAnsi="仿宋" w:eastAsia="仿宋" w:cs="仿宋"/>
          <w:szCs w:val="32"/>
          <w:lang w:eastAsia="zh-CN"/>
        </w:rPr>
        <w:t>个二级指标以及30个三级指标评分的分析评估，全面评估该项目的预期绩效情况，评估总分95分。通过全方位、多层次的宣传推广，金口河区的知名度和美誉度得到了显著提高。在各大旅游平台上，金口河区的搜索热度持续上升，相关旅游推荐指数也不断攀升。越来越多的游客将金口河区列为旅游目的地，为区域旅游业的发展注入了强大动力。宣传活动有效带动了金口河区文化旅游产业的发展。大渡河金口大峡谷成功创建为国家AAAA级景区，永和镇入选四川省乡村旅游特色乡镇、获评全市首个四川“天府旅游名镇”，永和镇胜利村获评全国乡村旅游重点村、天府旅游名村。良好的对外宣传吸引了众多投资者的目光。过去一年里，金口河区成功引进了多个重大项目，涉及工业、农业、旅游等多个领域。通过宣传金口河区在生态保护、民生改善、社会和谐等方面的成就，有效提升了区域的整体形象。金口河区被外界视为一个生态优美、文化丰富、充满活力的地方，为吸引人才、促进区域可持续发展奠定了坚实基础。本项目通过社会调查、效益分析、对比分析等方法评估，综合考虑项目绩效目标和项目实际情况，预期绩效可实现性强，满足《</w:t>
      </w: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szCs w:val="32"/>
          <w:lang w:eastAsia="zh-CN"/>
        </w:rPr>
        <w:fldChar w:fldCharType="separate"/>
      </w:r>
      <w:r>
        <w:rPr>
          <w:rFonts w:hint="eastAsia" w:ascii="仿宋" w:hAnsi="仿宋" w:eastAsia="仿宋" w:cs="仿宋"/>
          <w:szCs w:val="32"/>
          <w:lang w:eastAsia="zh-CN"/>
        </w:rPr>
        <w:t>四川省财政厅关于印发&lt;四川省预算评审管理实施细则（试行）&gt;的通知》（川财预〔2024〕38号）</w:t>
      </w:r>
      <w:r>
        <w:rPr>
          <w:rFonts w:hint="eastAsia" w:ascii="仿宋" w:hAnsi="仿宋" w:eastAsia="仿宋" w:cs="仿宋"/>
          <w:szCs w:val="32"/>
          <w:lang w:eastAsia="zh-CN"/>
        </w:rPr>
        <w:fldChar w:fldCharType="end"/>
      </w:r>
      <w:r>
        <w:rPr>
          <w:rFonts w:hint="eastAsia" w:ascii="仿宋" w:hAnsi="仿宋" w:eastAsia="仿宋" w:cs="仿宋"/>
          <w:szCs w:val="32"/>
          <w:lang w:eastAsia="zh-CN"/>
        </w:rPr>
        <w:t>要求，综合绩效评估结论为“建议实施”</w:t>
      </w:r>
      <w:r>
        <w:rPr>
          <w:rFonts w:ascii="仿宋" w:hAnsi="仿宋" w:eastAsia="仿宋" w:cs="仿宋"/>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34" w:name="_Toc18341"/>
      <w:bookmarkStart w:id="235" w:name="_Toc9339"/>
      <w:r>
        <w:rPr>
          <w:rFonts w:hint="eastAsia" w:ascii="黑体" w:hAnsi="黑体" w:eastAsia="黑体" w:cs="黑体"/>
          <w:b w:val="0"/>
          <w:szCs w:val="32"/>
          <w:lang w:eastAsia="zh-CN"/>
        </w:rPr>
        <w:t>五、相关建议</w:t>
      </w:r>
      <w:bookmarkEnd w:id="234"/>
      <w:bookmarkEnd w:id="235"/>
    </w:p>
    <w:p>
      <w:pPr>
        <w:pStyle w:val="3"/>
        <w:bidi w:val="0"/>
        <w:rPr>
          <w:rFonts w:hint="eastAsia" w:ascii="楷体" w:hAnsi="楷体" w:eastAsia="楷体" w:cs="楷体"/>
          <w:b w:val="0"/>
          <w:bCs/>
          <w:highlight w:val="yellow"/>
          <w:lang w:val="en-US" w:eastAsia="zh-CN"/>
        </w:rPr>
      </w:pPr>
      <w:bookmarkStart w:id="236" w:name="_Toc25444"/>
      <w:bookmarkStart w:id="237" w:name="_Toc8873"/>
      <w:r>
        <w:rPr>
          <w:rFonts w:hint="eastAsia" w:ascii="楷体" w:hAnsi="楷体" w:eastAsia="楷体" w:cs="楷体"/>
          <w:b w:val="0"/>
          <w:bCs/>
          <w:szCs w:val="32"/>
          <w:lang w:val="en-US" w:eastAsia="zh-CN"/>
        </w:rPr>
        <w:t>(一)</w:t>
      </w:r>
      <w:bookmarkEnd w:id="236"/>
      <w:r>
        <w:rPr>
          <w:rFonts w:hint="eastAsia" w:ascii="楷体" w:hAnsi="楷体" w:eastAsia="楷体" w:cs="楷体"/>
          <w:b w:val="0"/>
          <w:bCs/>
          <w:szCs w:val="32"/>
          <w:lang w:val="en-US" w:eastAsia="zh-CN"/>
        </w:rPr>
        <w:t>资金支付因跨期时间太长不合理</w:t>
      </w:r>
      <w:bookmarkEnd w:id="237"/>
    </w:p>
    <w:p>
      <w:pPr>
        <w:ind w:firstLine="640"/>
        <w:rPr>
          <w:rFonts w:hint="eastAsia" w:ascii="仿宋" w:hAnsi="仿宋" w:eastAsia="仿宋" w:cs="仿宋"/>
          <w:b w:val="0"/>
          <w:szCs w:val="32"/>
          <w:lang w:eastAsia="zh-CN"/>
        </w:rPr>
      </w:pPr>
      <w:bookmarkStart w:id="238" w:name="_Toc2492"/>
      <w:r>
        <w:rPr>
          <w:rFonts w:hint="eastAsia" w:ascii="仿宋" w:hAnsi="仿宋" w:eastAsia="仿宋" w:cs="仿宋"/>
          <w:szCs w:val="32"/>
          <w:lang w:eastAsia="zh-CN"/>
        </w:rPr>
        <w:t>在合同中详细规定支付时间和条件，避免模糊不清的表述。</w:t>
      </w:r>
      <w:r>
        <w:rPr>
          <w:rFonts w:hint="eastAsia" w:ascii="仿宋" w:hAnsi="仿宋" w:eastAsia="仿宋" w:cs="仿宋"/>
          <w:szCs w:val="32"/>
          <w:lang w:val="en-US" w:eastAsia="zh-CN"/>
        </w:rPr>
        <w:t>项目单位</w:t>
      </w:r>
      <w:r>
        <w:rPr>
          <w:rFonts w:hint="eastAsia" w:ascii="仿宋" w:hAnsi="仿宋" w:eastAsia="仿宋" w:cs="仿宋"/>
          <w:szCs w:val="32"/>
          <w:lang w:eastAsia="zh-CN"/>
        </w:rPr>
        <w:t>应提前做好资金预算和安排，确保有足够的资金按时支付，避免因资金周转困难导致支付延迟。建立资金支付监督机制，定期检查资金支付情况，对违反规定的行为进行问责。将资金支付及时率等指标纳入相关部门和人员的绩效考核体系，激励其积极履行职责，确保资金按时支付</w:t>
      </w:r>
      <w:r>
        <w:rPr>
          <w:rFonts w:hint="eastAsia" w:ascii="仿宋" w:hAnsi="仿宋" w:eastAsia="仿宋" w:cs="仿宋"/>
          <w:b w:val="0"/>
          <w:szCs w:val="32"/>
          <w:lang w:eastAsia="zh-CN"/>
        </w:rPr>
        <w:t>。</w:t>
      </w:r>
    </w:p>
    <w:p>
      <w:pPr>
        <w:pStyle w:val="3"/>
        <w:bidi w:val="0"/>
        <w:rPr>
          <w:rFonts w:hint="eastAsia" w:ascii="楷体" w:hAnsi="楷体" w:eastAsia="楷体" w:cs="楷体"/>
          <w:b w:val="0"/>
          <w:bCs/>
          <w:highlight w:val="yellow"/>
          <w:lang w:val="en-US" w:eastAsia="zh-CN"/>
        </w:rPr>
      </w:pPr>
      <w:bookmarkStart w:id="239" w:name="_Toc20238"/>
      <w:r>
        <w:rPr>
          <w:rFonts w:hint="eastAsia" w:ascii="楷体" w:hAnsi="楷体" w:eastAsia="楷体" w:cs="楷体"/>
          <w:b w:val="0"/>
          <w:bCs/>
          <w:lang w:eastAsia="zh-CN"/>
        </w:rPr>
        <w:t>(</w:t>
      </w:r>
      <w:r>
        <w:rPr>
          <w:rFonts w:hint="eastAsia" w:ascii="楷体" w:hAnsi="楷体" w:eastAsia="楷体" w:cs="楷体"/>
          <w:b w:val="0"/>
          <w:bCs/>
          <w:lang w:val="en-US" w:eastAsia="zh-CN"/>
        </w:rPr>
        <w:t>二</w:t>
      </w:r>
      <w:r>
        <w:rPr>
          <w:rFonts w:hint="eastAsia" w:ascii="楷体" w:hAnsi="楷体" w:eastAsia="楷体" w:cs="楷体"/>
          <w:b w:val="0"/>
          <w:bCs/>
          <w:lang w:eastAsia="zh-CN"/>
        </w:rPr>
        <w:t>)</w:t>
      </w:r>
      <w:r>
        <w:rPr>
          <w:rFonts w:hint="eastAsia" w:ascii="楷体" w:hAnsi="楷体" w:eastAsia="楷体" w:cs="楷体"/>
          <w:b w:val="0"/>
          <w:bCs/>
          <w:szCs w:val="32"/>
          <w:highlight w:val="none"/>
          <w:lang w:val="en-US" w:eastAsia="zh-CN"/>
        </w:rPr>
        <w:t>非官方媒体合作单位的选定未通过比选、招投标确定</w:t>
      </w:r>
      <w:bookmarkEnd w:id="239"/>
    </w:p>
    <w:p>
      <w:pPr>
        <w:rPr>
          <w:rFonts w:hint="eastAsia" w:ascii="仿宋" w:hAnsi="仿宋" w:eastAsia="仿宋" w:cs="仿宋"/>
          <w:b w:val="0"/>
          <w:szCs w:val="32"/>
          <w:lang w:eastAsia="zh-CN"/>
        </w:rPr>
      </w:pPr>
      <w:r>
        <w:rPr>
          <w:rFonts w:hint="eastAsia" w:ascii="仿宋" w:hAnsi="仿宋" w:eastAsia="仿宋" w:cs="仿宋"/>
          <w:szCs w:val="32"/>
          <w:lang w:eastAsia="zh-CN"/>
        </w:rPr>
        <w:t>通过比选、招投标可以对潜在合作单位进行综合评估，选择最具实力和性价比的合作伙伴。建立健全媒体合作单位选定的管理制度和流程，明确规定在何种情况下</w:t>
      </w:r>
      <w:r>
        <w:rPr>
          <w:rFonts w:hint="eastAsia" w:ascii="仿宋" w:hAnsi="仿宋" w:eastAsia="仿宋" w:cs="仿宋"/>
          <w:szCs w:val="32"/>
          <w:lang w:val="en-US" w:eastAsia="zh-CN"/>
        </w:rPr>
        <w:t>非官方媒体</w:t>
      </w:r>
      <w:r>
        <w:rPr>
          <w:rFonts w:hint="eastAsia" w:ascii="仿宋" w:hAnsi="仿宋" w:eastAsia="仿宋" w:cs="仿宋"/>
          <w:szCs w:val="32"/>
          <w:lang w:eastAsia="zh-CN"/>
        </w:rPr>
        <w:t>应通过比选、招投标等方式确定合作单位，并确保制度得到有效执行。建立内部监督机制，对媒体合作单位的选定过程进行监督，确保选择过程符合规定的程序和标准。对于已经选定的非官方媒体合作单位，可在合作过程中或合作结束后进行事后评估，评估合作单位的表现和合作效果</w:t>
      </w:r>
      <w:r>
        <w:rPr>
          <w:rFonts w:hint="eastAsia" w:ascii="仿宋" w:hAnsi="仿宋" w:eastAsia="仿宋" w:cs="仿宋"/>
          <w:b w:val="0"/>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40" w:name="_Toc24070"/>
      <w:r>
        <w:rPr>
          <w:rFonts w:hint="eastAsia" w:ascii="黑体" w:hAnsi="黑体" w:eastAsia="黑体" w:cs="黑体"/>
          <w:b w:val="0"/>
          <w:szCs w:val="32"/>
          <w:lang w:eastAsia="zh-CN"/>
        </w:rPr>
        <w:t>六、其他需要说明的问题</w:t>
      </w:r>
      <w:bookmarkEnd w:id="238"/>
      <w:bookmarkEnd w:id="240"/>
    </w:p>
    <w:p>
      <w:pPr>
        <w:ind w:firstLine="640"/>
        <w:rPr>
          <w:rFonts w:hint="eastAsia" w:ascii="仿宋" w:hAnsi="仿宋" w:eastAsia="仿宋" w:cs="仿宋"/>
          <w:szCs w:val="32"/>
          <w:lang w:eastAsia="zh-CN"/>
        </w:rPr>
      </w:pPr>
      <w:r>
        <w:rPr>
          <w:rFonts w:hint="eastAsia" w:ascii="仿宋" w:hAnsi="仿宋" w:eastAsia="仿宋" w:cs="仿宋"/>
          <w:szCs w:val="32"/>
          <w:lang w:eastAsia="zh-CN"/>
        </w:rPr>
        <w:t>本报告是评价机构根据对项目</w:t>
      </w:r>
      <w:r>
        <w:rPr>
          <w:rFonts w:hint="eastAsia" w:ascii="仿宋" w:hAnsi="仿宋" w:eastAsia="仿宋" w:cs="仿宋"/>
          <w:szCs w:val="32"/>
          <w:highlight w:val="none"/>
          <w:lang w:eastAsia="zh-CN"/>
        </w:rPr>
        <w:t>主管</w:t>
      </w:r>
      <w:r>
        <w:rPr>
          <w:rFonts w:hint="eastAsia" w:ascii="仿宋" w:hAnsi="仿宋" w:eastAsia="仿宋" w:cs="仿宋"/>
          <w:szCs w:val="32"/>
          <w:lang w:eastAsia="zh-CN"/>
        </w:rPr>
        <w:t>单位所提供的材料进行全面分析与评估，结合现场考察情况，在</w:t>
      </w:r>
      <w:r>
        <w:rPr>
          <w:rFonts w:hint="eastAsia" w:ascii="仿宋" w:hAnsi="仿宋" w:eastAsia="仿宋" w:cs="仿宋"/>
          <w:szCs w:val="32"/>
          <w:lang w:val="en-US" w:eastAsia="zh-CN"/>
        </w:rPr>
        <w:t>评价人员</w:t>
      </w:r>
      <w:r>
        <w:rPr>
          <w:rFonts w:hint="eastAsia" w:ascii="仿宋" w:hAnsi="仿宋" w:eastAsia="仿宋" w:cs="仿宋"/>
          <w:szCs w:val="32"/>
          <w:lang w:eastAsia="zh-CN"/>
        </w:rPr>
        <w:t>评价意见的基础上综合形成</w:t>
      </w:r>
      <w:r>
        <w:rPr>
          <w:rFonts w:hint="eastAsia" w:ascii="仿宋" w:hAnsi="仿宋" w:eastAsia="仿宋" w:cs="仿宋"/>
          <w:szCs w:val="32"/>
          <w:lang w:val="en-US" w:eastAsia="zh-CN"/>
        </w:rPr>
        <w:t>的</w:t>
      </w:r>
      <w:r>
        <w:rPr>
          <w:rFonts w:hint="eastAsia" w:ascii="仿宋" w:hAnsi="仿宋" w:eastAsia="仿宋" w:cs="仿宋"/>
          <w:szCs w:val="32"/>
          <w:lang w:eastAsia="zh-CN"/>
        </w:rPr>
        <w:t>。报告重点针对项目2025年的预算申报进行评估。本报告的结论与意见是参考性的，仅供财政部门批复预算时使用，不做其他用途</w:t>
      </w:r>
      <w:r>
        <w:rPr>
          <w:rFonts w:ascii="仿宋" w:hAnsi="仿宋" w:eastAsia="仿宋" w:cs="仿宋"/>
          <w:szCs w:val="32"/>
          <w:lang w:eastAsia="zh-CN"/>
        </w:rPr>
        <w:t>。</w:t>
      </w:r>
    </w:p>
    <w:p>
      <w:pPr>
        <w:ind w:firstLine="640"/>
        <w:rPr>
          <w:rFonts w:hint="eastAsia" w:ascii="仿宋" w:hAnsi="仿宋" w:eastAsia="仿宋" w:cs="仿宋"/>
          <w:szCs w:val="32"/>
          <w:lang w:eastAsia="zh-CN"/>
        </w:rPr>
      </w:pPr>
    </w:p>
    <w:p>
      <w:pPr>
        <w:spacing w:before="65" w:line="226" w:lineRule="auto"/>
        <w:ind w:firstLine="0" w:firstLineChars="0"/>
        <w:jc w:val="center"/>
        <w:rPr>
          <w:rFonts w:hint="default" w:ascii="仿宋_GB2312" w:hAnsi="仿宋_GB2312" w:eastAsia="仿宋_GB2312" w:cs="仿宋_GB2312"/>
          <w:b w:val="0"/>
          <w:bCs w:val="0"/>
          <w:sz w:val="32"/>
          <w:szCs w:val="32"/>
          <w:lang w:val="en-US" w:eastAsia="zh-CN"/>
        </w:rPr>
      </w:pPr>
    </w:p>
    <w:sectPr>
      <w:headerReference r:id="rId17" w:type="default"/>
      <w:footerReference r:id="rId18" w:type="default"/>
      <w:pgSz w:w="11906" w:h="16838"/>
      <w:pgMar w:top="837" w:right="1687" w:bottom="1421" w:left="1686" w:header="0" w:footer="559" w:gutter="0"/>
      <w:pgNumType w:fmt="decimal"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C19EC28-D46B-4C4E-9E28-D466A06A022C}"/>
  </w:font>
  <w:font w:name="黑体">
    <w:panose1 w:val="02010609060101010101"/>
    <w:charset w:val="86"/>
    <w:family w:val="auto"/>
    <w:pitch w:val="default"/>
    <w:sig w:usb0="800002BF" w:usb1="38CF7CFA" w:usb2="00000016" w:usb3="00000000" w:csb0="00040001" w:csb1="00000000"/>
    <w:embedRegular r:id="rId2" w:fontKey="{2F4DCD7F-B81D-40CE-981B-5B04545BAA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20E013C-BC43-469B-98B2-BDD9ECA39826}"/>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fontKey="{1307C6F2-8DBF-4FD3-9141-556F69141D3B}"/>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82C59180-0DFF-4968-8C3C-8803774275F9}"/>
  </w:font>
  <w:font w:name="方正小标宋简体">
    <w:panose1 w:val="02000000000000000000"/>
    <w:charset w:val="86"/>
    <w:family w:val="auto"/>
    <w:pitch w:val="default"/>
    <w:sig w:usb0="A00002BF" w:usb1="184F6CFA" w:usb2="00000012" w:usb3="00000000" w:csb0="00040001" w:csb1="00000000"/>
    <w:embedRegular r:id="rId6" w:fontKey="{D4EDE805-5540-4A10-B1A5-F594A6F76B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jc w:val="center"/>
      <w:rPr>
        <w:rFonts w:hint="eastAsia"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v:textbox>
            </v:shape>
          </w:pict>
        </mc:Fallback>
      </mc:AlternateContent>
    </w:r>
  </w:p>
  <w:p>
    <w:pPr>
      <w:pStyle w:val="12"/>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pStyle w:val="13"/>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786"/>
    <w:rsid w:val="001D4787"/>
    <w:rsid w:val="001D5160"/>
    <w:rsid w:val="001D7093"/>
    <w:rsid w:val="001E3428"/>
    <w:rsid w:val="00202F15"/>
    <w:rsid w:val="002133D0"/>
    <w:rsid w:val="002135B2"/>
    <w:rsid w:val="00214FA9"/>
    <w:rsid w:val="00244786"/>
    <w:rsid w:val="00245809"/>
    <w:rsid w:val="00247CE2"/>
    <w:rsid w:val="002544DA"/>
    <w:rsid w:val="00256286"/>
    <w:rsid w:val="002751AB"/>
    <w:rsid w:val="00293F28"/>
    <w:rsid w:val="002C14AD"/>
    <w:rsid w:val="002D0937"/>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C6D05"/>
    <w:rsid w:val="003C72DF"/>
    <w:rsid w:val="003E74AB"/>
    <w:rsid w:val="003F0644"/>
    <w:rsid w:val="003F5A52"/>
    <w:rsid w:val="004014DE"/>
    <w:rsid w:val="0041363A"/>
    <w:rsid w:val="004136A6"/>
    <w:rsid w:val="00420D23"/>
    <w:rsid w:val="00421DDA"/>
    <w:rsid w:val="00426FAD"/>
    <w:rsid w:val="004272C9"/>
    <w:rsid w:val="00427E7E"/>
    <w:rsid w:val="00436A9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9415A"/>
    <w:rsid w:val="007B6431"/>
    <w:rsid w:val="007C2905"/>
    <w:rsid w:val="007C43E4"/>
    <w:rsid w:val="007C5302"/>
    <w:rsid w:val="007C6DAD"/>
    <w:rsid w:val="007D1081"/>
    <w:rsid w:val="007D673A"/>
    <w:rsid w:val="007E3140"/>
    <w:rsid w:val="007E7A2D"/>
    <w:rsid w:val="007F6143"/>
    <w:rsid w:val="00804579"/>
    <w:rsid w:val="00804C84"/>
    <w:rsid w:val="0081088F"/>
    <w:rsid w:val="00815148"/>
    <w:rsid w:val="00822580"/>
    <w:rsid w:val="00824BBC"/>
    <w:rsid w:val="0082560C"/>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5E6B"/>
    <w:rsid w:val="00AE7253"/>
    <w:rsid w:val="00AF42B4"/>
    <w:rsid w:val="00B00467"/>
    <w:rsid w:val="00B00F10"/>
    <w:rsid w:val="00B03E44"/>
    <w:rsid w:val="00B042EC"/>
    <w:rsid w:val="00B0588D"/>
    <w:rsid w:val="00B14C98"/>
    <w:rsid w:val="00B17C4C"/>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431F"/>
    <w:rsid w:val="00BB07A4"/>
    <w:rsid w:val="00BB0E1D"/>
    <w:rsid w:val="00BB30FE"/>
    <w:rsid w:val="00BB6B9F"/>
    <w:rsid w:val="00C0248E"/>
    <w:rsid w:val="00C06AFC"/>
    <w:rsid w:val="00C07264"/>
    <w:rsid w:val="00C12E6F"/>
    <w:rsid w:val="00C21C0D"/>
    <w:rsid w:val="00C21DB7"/>
    <w:rsid w:val="00C26858"/>
    <w:rsid w:val="00C30660"/>
    <w:rsid w:val="00C40C1F"/>
    <w:rsid w:val="00C4300A"/>
    <w:rsid w:val="00C440BC"/>
    <w:rsid w:val="00C53DE5"/>
    <w:rsid w:val="00C558D9"/>
    <w:rsid w:val="00C56A00"/>
    <w:rsid w:val="00C6266B"/>
    <w:rsid w:val="00C7136B"/>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B41827"/>
    <w:rsid w:val="01FE6FC6"/>
    <w:rsid w:val="025E7212"/>
    <w:rsid w:val="026C0CB3"/>
    <w:rsid w:val="02DA2B5C"/>
    <w:rsid w:val="031A1D53"/>
    <w:rsid w:val="034F46D6"/>
    <w:rsid w:val="03DC6006"/>
    <w:rsid w:val="03EF0F15"/>
    <w:rsid w:val="047C7B07"/>
    <w:rsid w:val="059D5B4A"/>
    <w:rsid w:val="05C5173A"/>
    <w:rsid w:val="060D4527"/>
    <w:rsid w:val="062F578F"/>
    <w:rsid w:val="070A234B"/>
    <w:rsid w:val="07364783"/>
    <w:rsid w:val="07587466"/>
    <w:rsid w:val="07A80859"/>
    <w:rsid w:val="07DB3825"/>
    <w:rsid w:val="084E08CF"/>
    <w:rsid w:val="085519D2"/>
    <w:rsid w:val="08747CBA"/>
    <w:rsid w:val="08815D8B"/>
    <w:rsid w:val="0932556D"/>
    <w:rsid w:val="095A32C1"/>
    <w:rsid w:val="096C6DF1"/>
    <w:rsid w:val="0994152E"/>
    <w:rsid w:val="09CA4A49"/>
    <w:rsid w:val="0A263634"/>
    <w:rsid w:val="0A6174F1"/>
    <w:rsid w:val="0A736BFF"/>
    <w:rsid w:val="0A786C09"/>
    <w:rsid w:val="0A9052A5"/>
    <w:rsid w:val="0B964365"/>
    <w:rsid w:val="0BC41224"/>
    <w:rsid w:val="0BDF4B42"/>
    <w:rsid w:val="0C871385"/>
    <w:rsid w:val="0C961EA1"/>
    <w:rsid w:val="0CDF57F4"/>
    <w:rsid w:val="0D874AFD"/>
    <w:rsid w:val="0E460DCC"/>
    <w:rsid w:val="0E483F00"/>
    <w:rsid w:val="0E511842"/>
    <w:rsid w:val="0FB50233"/>
    <w:rsid w:val="0FB608BC"/>
    <w:rsid w:val="1050467E"/>
    <w:rsid w:val="107245A4"/>
    <w:rsid w:val="10CD4389"/>
    <w:rsid w:val="10E80717"/>
    <w:rsid w:val="11195595"/>
    <w:rsid w:val="11270A41"/>
    <w:rsid w:val="112F63F3"/>
    <w:rsid w:val="11326EB7"/>
    <w:rsid w:val="11EE00D5"/>
    <w:rsid w:val="1264536D"/>
    <w:rsid w:val="12911695"/>
    <w:rsid w:val="129D460C"/>
    <w:rsid w:val="12C53952"/>
    <w:rsid w:val="13397BCE"/>
    <w:rsid w:val="13640E5B"/>
    <w:rsid w:val="13A726E2"/>
    <w:rsid w:val="144A13CC"/>
    <w:rsid w:val="14B86A5E"/>
    <w:rsid w:val="15724EEF"/>
    <w:rsid w:val="16574ED9"/>
    <w:rsid w:val="168E25CD"/>
    <w:rsid w:val="16F75866"/>
    <w:rsid w:val="16FA78CA"/>
    <w:rsid w:val="17397720"/>
    <w:rsid w:val="17F71489"/>
    <w:rsid w:val="183C78CE"/>
    <w:rsid w:val="18B52DD6"/>
    <w:rsid w:val="191537C8"/>
    <w:rsid w:val="19166917"/>
    <w:rsid w:val="1A5E06ED"/>
    <w:rsid w:val="1A807E46"/>
    <w:rsid w:val="1A807E56"/>
    <w:rsid w:val="1AA80D1D"/>
    <w:rsid w:val="1AE16358"/>
    <w:rsid w:val="1B063A1F"/>
    <w:rsid w:val="1B5F2753"/>
    <w:rsid w:val="1B637AE4"/>
    <w:rsid w:val="1BD15AF4"/>
    <w:rsid w:val="1BD92985"/>
    <w:rsid w:val="1CD3289A"/>
    <w:rsid w:val="1D07520B"/>
    <w:rsid w:val="1D615742"/>
    <w:rsid w:val="1D7019C1"/>
    <w:rsid w:val="1D971EF3"/>
    <w:rsid w:val="1DBD8960"/>
    <w:rsid w:val="1E5410D3"/>
    <w:rsid w:val="1E776B18"/>
    <w:rsid w:val="1EAC0D7B"/>
    <w:rsid w:val="1EC12CF5"/>
    <w:rsid w:val="1F500934"/>
    <w:rsid w:val="1F5B4370"/>
    <w:rsid w:val="1FAA5120"/>
    <w:rsid w:val="1FB42712"/>
    <w:rsid w:val="1FBF3DD5"/>
    <w:rsid w:val="1FD05B6B"/>
    <w:rsid w:val="1FD941DA"/>
    <w:rsid w:val="1FEA5825"/>
    <w:rsid w:val="1FF73375"/>
    <w:rsid w:val="20665273"/>
    <w:rsid w:val="20DB35F6"/>
    <w:rsid w:val="20E9019D"/>
    <w:rsid w:val="216319C4"/>
    <w:rsid w:val="2173382E"/>
    <w:rsid w:val="220E3E9E"/>
    <w:rsid w:val="22696E4A"/>
    <w:rsid w:val="227F19B7"/>
    <w:rsid w:val="228A52D3"/>
    <w:rsid w:val="22A7A1EE"/>
    <w:rsid w:val="232042A5"/>
    <w:rsid w:val="23655ED7"/>
    <w:rsid w:val="23815F46"/>
    <w:rsid w:val="23A00FD0"/>
    <w:rsid w:val="23A368F7"/>
    <w:rsid w:val="23D46DC8"/>
    <w:rsid w:val="23F5677C"/>
    <w:rsid w:val="242C30E1"/>
    <w:rsid w:val="24526CBD"/>
    <w:rsid w:val="245D6F1C"/>
    <w:rsid w:val="24A227D3"/>
    <w:rsid w:val="24B663C9"/>
    <w:rsid w:val="250C005C"/>
    <w:rsid w:val="2526488E"/>
    <w:rsid w:val="255D282B"/>
    <w:rsid w:val="257C4A65"/>
    <w:rsid w:val="25D9458E"/>
    <w:rsid w:val="25EE29B2"/>
    <w:rsid w:val="260A429C"/>
    <w:rsid w:val="260C1F4B"/>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8E5ED2"/>
    <w:rsid w:val="2B9777BC"/>
    <w:rsid w:val="2C002159"/>
    <w:rsid w:val="2CD8161B"/>
    <w:rsid w:val="2DD75DC8"/>
    <w:rsid w:val="2DE73540"/>
    <w:rsid w:val="2DEF151A"/>
    <w:rsid w:val="2DF769DC"/>
    <w:rsid w:val="2DFDCA5F"/>
    <w:rsid w:val="2DFDEF9D"/>
    <w:rsid w:val="2DFE9ED2"/>
    <w:rsid w:val="2E570E39"/>
    <w:rsid w:val="2EA92E66"/>
    <w:rsid w:val="2EBE1A10"/>
    <w:rsid w:val="2ECA0CB3"/>
    <w:rsid w:val="2ED50269"/>
    <w:rsid w:val="2EEA0EAE"/>
    <w:rsid w:val="2EED128A"/>
    <w:rsid w:val="2F33419E"/>
    <w:rsid w:val="2F453EFD"/>
    <w:rsid w:val="2F7A4177"/>
    <w:rsid w:val="2FBB8AD3"/>
    <w:rsid w:val="2FF9E8AA"/>
    <w:rsid w:val="2FFF36BE"/>
    <w:rsid w:val="3115529C"/>
    <w:rsid w:val="31B76384"/>
    <w:rsid w:val="320B1AE3"/>
    <w:rsid w:val="32165B50"/>
    <w:rsid w:val="3241095B"/>
    <w:rsid w:val="326B0E40"/>
    <w:rsid w:val="32B03984"/>
    <w:rsid w:val="33C67647"/>
    <w:rsid w:val="33D04B10"/>
    <w:rsid w:val="34151D3E"/>
    <w:rsid w:val="34727F6D"/>
    <w:rsid w:val="35745447"/>
    <w:rsid w:val="35950425"/>
    <w:rsid w:val="36533F02"/>
    <w:rsid w:val="36844A62"/>
    <w:rsid w:val="377F486E"/>
    <w:rsid w:val="37813EA9"/>
    <w:rsid w:val="378B2B5D"/>
    <w:rsid w:val="37F9916F"/>
    <w:rsid w:val="38154016"/>
    <w:rsid w:val="381B47D2"/>
    <w:rsid w:val="386FACB3"/>
    <w:rsid w:val="389B208A"/>
    <w:rsid w:val="38AE7080"/>
    <w:rsid w:val="38FB2CC8"/>
    <w:rsid w:val="390262E6"/>
    <w:rsid w:val="391D56C6"/>
    <w:rsid w:val="39240A2E"/>
    <w:rsid w:val="39A77F9D"/>
    <w:rsid w:val="39BFDD17"/>
    <w:rsid w:val="39E3053F"/>
    <w:rsid w:val="3A4A6576"/>
    <w:rsid w:val="3A648840"/>
    <w:rsid w:val="3A723551"/>
    <w:rsid w:val="3AC07947"/>
    <w:rsid w:val="3AEC1CA2"/>
    <w:rsid w:val="3AEF411A"/>
    <w:rsid w:val="3AFF01EF"/>
    <w:rsid w:val="3B2D5FC6"/>
    <w:rsid w:val="3B3DC2A9"/>
    <w:rsid w:val="3B777999"/>
    <w:rsid w:val="3BB165B1"/>
    <w:rsid w:val="3BD78CFD"/>
    <w:rsid w:val="3BEFD7D2"/>
    <w:rsid w:val="3BFDE29B"/>
    <w:rsid w:val="3D6BF3A2"/>
    <w:rsid w:val="3DB521D7"/>
    <w:rsid w:val="3DFFC46E"/>
    <w:rsid w:val="3E363529"/>
    <w:rsid w:val="3E520203"/>
    <w:rsid w:val="3E6EBE7D"/>
    <w:rsid w:val="3EA606BD"/>
    <w:rsid w:val="3EB76EA9"/>
    <w:rsid w:val="3EBC1B98"/>
    <w:rsid w:val="3EC11C25"/>
    <w:rsid w:val="3EDF441A"/>
    <w:rsid w:val="3EEF565A"/>
    <w:rsid w:val="3EF7E3D7"/>
    <w:rsid w:val="3EFD3685"/>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F7043"/>
    <w:rsid w:val="43912FC7"/>
    <w:rsid w:val="44EF1B00"/>
    <w:rsid w:val="450318AE"/>
    <w:rsid w:val="45CF4E46"/>
    <w:rsid w:val="46515BFC"/>
    <w:rsid w:val="46C45511"/>
    <w:rsid w:val="46EB2E89"/>
    <w:rsid w:val="46F570F1"/>
    <w:rsid w:val="4778447E"/>
    <w:rsid w:val="47CC73F7"/>
    <w:rsid w:val="47FBC172"/>
    <w:rsid w:val="48391F39"/>
    <w:rsid w:val="487B71DD"/>
    <w:rsid w:val="48867AAB"/>
    <w:rsid w:val="48E24C72"/>
    <w:rsid w:val="492E4DD9"/>
    <w:rsid w:val="498A77E3"/>
    <w:rsid w:val="49BF4FB3"/>
    <w:rsid w:val="49DF7A74"/>
    <w:rsid w:val="49EFDA04"/>
    <w:rsid w:val="49FA2929"/>
    <w:rsid w:val="4A1E73E6"/>
    <w:rsid w:val="4A635F53"/>
    <w:rsid w:val="4AF56EDE"/>
    <w:rsid w:val="4AF773D7"/>
    <w:rsid w:val="4B3B3F0F"/>
    <w:rsid w:val="4B974077"/>
    <w:rsid w:val="4BA64179"/>
    <w:rsid w:val="4BA90D67"/>
    <w:rsid w:val="4BFD0804"/>
    <w:rsid w:val="4BFFF00D"/>
    <w:rsid w:val="4C35155C"/>
    <w:rsid w:val="4CB90AB7"/>
    <w:rsid w:val="4CB92AAE"/>
    <w:rsid w:val="4D5325E2"/>
    <w:rsid w:val="4D9329DF"/>
    <w:rsid w:val="4DBF65EB"/>
    <w:rsid w:val="4DF74D1B"/>
    <w:rsid w:val="4DFC2D90"/>
    <w:rsid w:val="4E050DB4"/>
    <w:rsid w:val="4E25488F"/>
    <w:rsid w:val="4E7B1F42"/>
    <w:rsid w:val="4F1B0E49"/>
    <w:rsid w:val="4F3877D4"/>
    <w:rsid w:val="4F786B55"/>
    <w:rsid w:val="4F7A8AD3"/>
    <w:rsid w:val="4F7FF4D7"/>
    <w:rsid w:val="4F8A1DA6"/>
    <w:rsid w:val="4FD940E8"/>
    <w:rsid w:val="4FDF282B"/>
    <w:rsid w:val="4FEB9FB4"/>
    <w:rsid w:val="50885837"/>
    <w:rsid w:val="50A1286C"/>
    <w:rsid w:val="50AB1B35"/>
    <w:rsid w:val="51E1787A"/>
    <w:rsid w:val="51F80DD4"/>
    <w:rsid w:val="523E68B0"/>
    <w:rsid w:val="52AD5656"/>
    <w:rsid w:val="52D4EA7B"/>
    <w:rsid w:val="52DC22B4"/>
    <w:rsid w:val="53205C12"/>
    <w:rsid w:val="533D5BE8"/>
    <w:rsid w:val="538958EC"/>
    <w:rsid w:val="53CA0723"/>
    <w:rsid w:val="542D7105"/>
    <w:rsid w:val="545D513C"/>
    <w:rsid w:val="54BA7621"/>
    <w:rsid w:val="55830218"/>
    <w:rsid w:val="558980E0"/>
    <w:rsid w:val="55E705A4"/>
    <w:rsid w:val="56203A0C"/>
    <w:rsid w:val="56383DB0"/>
    <w:rsid w:val="56530FA2"/>
    <w:rsid w:val="56AD6CAF"/>
    <w:rsid w:val="56E53ADB"/>
    <w:rsid w:val="571B7CCD"/>
    <w:rsid w:val="575F1FD6"/>
    <w:rsid w:val="577C8E54"/>
    <w:rsid w:val="57B34FD7"/>
    <w:rsid w:val="57CB6530"/>
    <w:rsid w:val="57ECB103"/>
    <w:rsid w:val="57EF0FD8"/>
    <w:rsid w:val="57F7833A"/>
    <w:rsid w:val="57F7A4BC"/>
    <w:rsid w:val="57FB75FC"/>
    <w:rsid w:val="57FD7CF3"/>
    <w:rsid w:val="58222F6E"/>
    <w:rsid w:val="58330E7A"/>
    <w:rsid w:val="583F79EB"/>
    <w:rsid w:val="585A70CD"/>
    <w:rsid w:val="58E262A4"/>
    <w:rsid w:val="58F5D9DD"/>
    <w:rsid w:val="5948147C"/>
    <w:rsid w:val="59573EF3"/>
    <w:rsid w:val="5A894C16"/>
    <w:rsid w:val="5AB756DD"/>
    <w:rsid w:val="5AF94807"/>
    <w:rsid w:val="5AFCBC6B"/>
    <w:rsid w:val="5B669575"/>
    <w:rsid w:val="5BDB3721"/>
    <w:rsid w:val="5C18763C"/>
    <w:rsid w:val="5C3E3948"/>
    <w:rsid w:val="5C4F6BDD"/>
    <w:rsid w:val="5C566D9D"/>
    <w:rsid w:val="5C7E18E6"/>
    <w:rsid w:val="5C7F7B4E"/>
    <w:rsid w:val="5CD834DE"/>
    <w:rsid w:val="5CDA0FE8"/>
    <w:rsid w:val="5CE7B0FA"/>
    <w:rsid w:val="5D223387"/>
    <w:rsid w:val="5D242C88"/>
    <w:rsid w:val="5D6B5466"/>
    <w:rsid w:val="5D7921C9"/>
    <w:rsid w:val="5DAD7E49"/>
    <w:rsid w:val="5DEFCEC9"/>
    <w:rsid w:val="5DFB97BE"/>
    <w:rsid w:val="5DFE3F84"/>
    <w:rsid w:val="5DFFA384"/>
    <w:rsid w:val="5E7A9A9A"/>
    <w:rsid w:val="5E7FBC5C"/>
    <w:rsid w:val="5E7FDF2E"/>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A72136"/>
    <w:rsid w:val="63BEF433"/>
    <w:rsid w:val="63E76A66"/>
    <w:rsid w:val="63EA4D24"/>
    <w:rsid w:val="642B56B0"/>
    <w:rsid w:val="647B5B72"/>
    <w:rsid w:val="649B339C"/>
    <w:rsid w:val="64EFA138"/>
    <w:rsid w:val="659772AC"/>
    <w:rsid w:val="65CF4325"/>
    <w:rsid w:val="65D33E68"/>
    <w:rsid w:val="65ED1F71"/>
    <w:rsid w:val="65FDAEE0"/>
    <w:rsid w:val="65FFC3A4"/>
    <w:rsid w:val="65FFEC08"/>
    <w:rsid w:val="66573B66"/>
    <w:rsid w:val="66AD4262"/>
    <w:rsid w:val="66B71094"/>
    <w:rsid w:val="66CB19B2"/>
    <w:rsid w:val="66FECB51"/>
    <w:rsid w:val="675B5A36"/>
    <w:rsid w:val="6763D5B0"/>
    <w:rsid w:val="67871415"/>
    <w:rsid w:val="67DFDD99"/>
    <w:rsid w:val="685E3EBD"/>
    <w:rsid w:val="687B3CF3"/>
    <w:rsid w:val="68F642CD"/>
    <w:rsid w:val="69A521C6"/>
    <w:rsid w:val="69AF24F6"/>
    <w:rsid w:val="69AF5125"/>
    <w:rsid w:val="69BC2895"/>
    <w:rsid w:val="69E414DD"/>
    <w:rsid w:val="69FBDDC7"/>
    <w:rsid w:val="6A660B83"/>
    <w:rsid w:val="6A7F6D13"/>
    <w:rsid w:val="6AB867A9"/>
    <w:rsid w:val="6AE0106A"/>
    <w:rsid w:val="6AFAC7B1"/>
    <w:rsid w:val="6B1F2D84"/>
    <w:rsid w:val="6B675079"/>
    <w:rsid w:val="6B7DE963"/>
    <w:rsid w:val="6B9F922F"/>
    <w:rsid w:val="6BCC579C"/>
    <w:rsid w:val="6BCFABFB"/>
    <w:rsid w:val="6BE173F2"/>
    <w:rsid w:val="6BEDDD7D"/>
    <w:rsid w:val="6C5B06F6"/>
    <w:rsid w:val="6C8E09D2"/>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CE334"/>
    <w:rsid w:val="6FFE7508"/>
    <w:rsid w:val="6FFFF4AF"/>
    <w:rsid w:val="70E78717"/>
    <w:rsid w:val="718F2C41"/>
    <w:rsid w:val="71DF0AF3"/>
    <w:rsid w:val="71E82352"/>
    <w:rsid w:val="71FB2FE3"/>
    <w:rsid w:val="72211E04"/>
    <w:rsid w:val="722B3E46"/>
    <w:rsid w:val="724759C2"/>
    <w:rsid w:val="733F4938"/>
    <w:rsid w:val="73AE4630"/>
    <w:rsid w:val="73E7688C"/>
    <w:rsid w:val="73EF23B4"/>
    <w:rsid w:val="73EF394F"/>
    <w:rsid w:val="73FF29DC"/>
    <w:rsid w:val="748FE1E7"/>
    <w:rsid w:val="74DC1816"/>
    <w:rsid w:val="755961C5"/>
    <w:rsid w:val="75CB4C31"/>
    <w:rsid w:val="75F820E8"/>
    <w:rsid w:val="75FB9FF3"/>
    <w:rsid w:val="75FE5A48"/>
    <w:rsid w:val="75FF56C0"/>
    <w:rsid w:val="765F4657"/>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50F3C"/>
    <w:rsid w:val="7BF9018F"/>
    <w:rsid w:val="7BFDA313"/>
    <w:rsid w:val="7BFF3E46"/>
    <w:rsid w:val="7C137A81"/>
    <w:rsid w:val="7C292323"/>
    <w:rsid w:val="7C423ACB"/>
    <w:rsid w:val="7C774249"/>
    <w:rsid w:val="7C9E5EE6"/>
    <w:rsid w:val="7CA744B8"/>
    <w:rsid w:val="7CBBCED2"/>
    <w:rsid w:val="7CBD0039"/>
    <w:rsid w:val="7CCE6F60"/>
    <w:rsid w:val="7CCF4580"/>
    <w:rsid w:val="7CDF64C7"/>
    <w:rsid w:val="7D79DF34"/>
    <w:rsid w:val="7D7EABE1"/>
    <w:rsid w:val="7D7F0E24"/>
    <w:rsid w:val="7D7F419E"/>
    <w:rsid w:val="7D7FB7BE"/>
    <w:rsid w:val="7DAB4387"/>
    <w:rsid w:val="7DB8071B"/>
    <w:rsid w:val="7DB86CBF"/>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61F5C"/>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6"/>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Balloon Text"/>
    <w:basedOn w:val="1"/>
    <w:link w:val="52"/>
    <w:qFormat/>
    <w:uiPriority w:val="0"/>
    <w:pPr>
      <w:spacing w:line="240" w:lineRule="auto"/>
    </w:pPr>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qFormat/>
    <w:uiPriority w:val="39"/>
    <w:pPr>
      <w:ind w:left="320"/>
      <w:jc w:val="left"/>
    </w:pPr>
    <w:rPr>
      <w:rFonts w:asciiTheme="minorHAnsi" w:hAnsiTheme="minorHAnsi" w:cstheme="minorHAnsi"/>
      <w:smallCaps/>
      <w:sz w:val="20"/>
      <w:szCs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pPr>
    <w:rPr>
      <w:sz w:val="24"/>
      <w:lang w:eastAsia="zh-CN" w:bidi="ar-SA"/>
    </w:rPr>
  </w:style>
  <w:style w:type="paragraph" w:styleId="20">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2 字符"/>
    <w:link w:val="3"/>
    <w:qFormat/>
    <w:uiPriority w:val="0"/>
    <w:rPr>
      <w:rFonts w:ascii="华文楷体" w:hAnsi="华文楷体" w:eastAsia="楷体"/>
      <w:b/>
    </w:rPr>
  </w:style>
  <w:style w:type="character" w:customStyle="1" w:styleId="27">
    <w:name w:val="标题 3 字符"/>
    <w:link w:val="4"/>
    <w:qFormat/>
    <w:uiPriority w:val="0"/>
    <w:rPr>
      <w:rFonts w:eastAsia="仿宋_GB2312"/>
      <w:b/>
      <w:color w:val="000000"/>
      <w:sz w:val="32"/>
      <w:szCs w:val="24"/>
      <w:lang w:eastAsia="en-US" w:bidi="en-US"/>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1"/>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2"/>
    <w:qFormat/>
    <w:uiPriority w:val="99"/>
    <w:rPr>
      <w:rFonts w:eastAsia="仿宋_GB2312"/>
      <w:color w:val="000000"/>
      <w:sz w:val="18"/>
      <w:szCs w:val="24"/>
      <w:lang w:eastAsia="en-US" w:bidi="en-US"/>
    </w:rPr>
  </w:style>
  <w:style w:type="paragraph" w:styleId="55">
    <w:name w:val="List Paragraph"/>
    <w:basedOn w:val="1"/>
    <w:qFormat/>
    <w:uiPriority w:val="1"/>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0"/>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paragraph" w:customStyle="1" w:styleId="65">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6">
    <w:name w:val="CharAttribute37"/>
    <w:qFormat/>
    <w:uiPriority w:val="99"/>
    <w:rPr>
      <w:rFonts w:ascii="宋体" w:hAnsi="宋体" w:eastAsia="Times New Roman"/>
      <w:sz w:val="24"/>
    </w:rPr>
  </w:style>
  <w:style w:type="paragraph" w:customStyle="1" w:styleId="67">
    <w:name w:val="Table Paragraph"/>
    <w:basedOn w:val="1"/>
    <w:qFormat/>
    <w:uiPriority w:val="1"/>
  </w:style>
  <w:style w:type="character" w:customStyle="1" w:styleId="68">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27</Pages>
  <Words>11616</Words>
  <Characters>11918</Characters>
  <Lines>89</Lines>
  <Paragraphs>25</Paragraphs>
  <TotalTime>33</TotalTime>
  <ScaleCrop>false</ScaleCrop>
  <LinksUpToDate>false</LinksUpToDate>
  <CharactersWithSpaces>11964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2023-03-18T02:57:00Z</dcterms:created>
  <dc:creator>cll</dc:creator>
  <cp:lastModifiedBy>薄荷与橙</cp:lastModifiedBy>
  <cp:lastPrinted>2025-04-01T06:31:00Z</cp:lastPrinted>
  <dcterms:modified xsi:type="dcterms:W3CDTF">2025-12-30T07:35:40Z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