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spacing w:beforeAutospacing="0" w:afterAutospacing="0" w:line="820" w:lineRule="exact"/>
        <w:ind w:firstLine="0" w:firstLineChars="0"/>
        <w:jc w:val="center"/>
        <w:outlineLvl w:val="0"/>
        <w:rPr>
          <w:rFonts w:hint="eastAsia" w:eastAsia="微软雅黑"/>
          <w:b/>
          <w:bCs/>
          <w:sz w:val="44"/>
          <w:szCs w:val="44"/>
          <w:lang w:eastAsia="zh-CN"/>
        </w:rPr>
      </w:pPr>
      <w:bookmarkStart w:id="0" w:name="_Toc29454"/>
      <w:bookmarkStart w:id="1" w:name="_Toc27923"/>
      <w:bookmarkStart w:id="2" w:name="_Toc4482"/>
      <w:bookmarkStart w:id="3" w:name="_Toc16439"/>
      <w:r>
        <w:rPr>
          <w:rFonts w:hint="eastAsia" w:eastAsia="微软雅黑"/>
          <w:b/>
          <w:bCs/>
          <w:sz w:val="44"/>
          <w:szCs w:val="44"/>
          <w:lang w:eastAsia="zh-CN"/>
        </w:rPr>
        <w:t>中共乐山市金口河区委宣传部</w:t>
      </w:r>
      <w:bookmarkEnd w:id="0"/>
    </w:p>
    <w:p>
      <w:pPr>
        <w:pStyle w:val="19"/>
        <w:spacing w:beforeAutospacing="0" w:afterAutospacing="0" w:line="820" w:lineRule="exact"/>
        <w:ind w:leftChars="-44" w:right="-480" w:rightChars="-150" w:hanging="141" w:hangingChars="32"/>
        <w:jc w:val="center"/>
        <w:outlineLvl w:val="0"/>
        <w:rPr>
          <w:rFonts w:hint="eastAsia" w:eastAsia="微软雅黑"/>
          <w:b/>
          <w:bCs/>
          <w:sz w:val="44"/>
          <w:szCs w:val="44"/>
          <w:lang w:eastAsia="zh-CN"/>
        </w:rPr>
      </w:pPr>
      <w:bookmarkStart w:id="4" w:name="_Toc18514"/>
      <w:r>
        <w:rPr>
          <w:rFonts w:hint="eastAsia" w:eastAsia="微软雅黑"/>
          <w:b/>
          <w:bCs/>
          <w:sz w:val="44"/>
          <w:szCs w:val="44"/>
          <w:lang w:eastAsia="zh-CN"/>
        </w:rPr>
        <w:t>外宣经费</w:t>
      </w:r>
      <w:bookmarkEnd w:id="4"/>
    </w:p>
    <w:bookmarkEnd w:id="1"/>
    <w:bookmarkEnd w:id="2"/>
    <w:bookmarkEnd w:id="3"/>
    <w:p>
      <w:pPr>
        <w:pStyle w:val="19"/>
        <w:spacing w:beforeAutospacing="0" w:afterAutospacing="0" w:line="820" w:lineRule="exact"/>
        <w:ind w:right="83" w:rightChars="26" w:firstLine="0" w:firstLineChars="0"/>
        <w:jc w:val="center"/>
        <w:outlineLvl w:val="0"/>
        <w:rPr>
          <w:rFonts w:eastAsia="微软雅黑"/>
          <w:b/>
          <w:bCs/>
          <w:sz w:val="44"/>
          <w:szCs w:val="44"/>
        </w:rPr>
      </w:pPr>
    </w:p>
    <w:p>
      <w:pPr>
        <w:pStyle w:val="19"/>
        <w:spacing w:beforeAutospacing="0" w:afterAutospacing="0" w:line="820" w:lineRule="exact"/>
        <w:ind w:right="83" w:rightChars="26" w:firstLine="0" w:firstLineChars="0"/>
        <w:jc w:val="center"/>
        <w:outlineLvl w:val="0"/>
        <w:rPr>
          <w:rFonts w:eastAsia="微软雅黑"/>
          <w:b/>
          <w:bCs/>
          <w:sz w:val="44"/>
          <w:szCs w:val="44"/>
        </w:rPr>
      </w:pPr>
      <w:bookmarkStart w:id="5" w:name="_Toc24858"/>
      <w:bookmarkStart w:id="6" w:name="_Toc76"/>
      <w:r>
        <w:rPr>
          <w:rFonts w:hint="eastAsia" w:eastAsia="微软雅黑"/>
          <w:b/>
          <w:bCs/>
          <w:sz w:val="44"/>
          <w:szCs w:val="44"/>
        </w:rPr>
        <w:t>事</w:t>
      </w:r>
      <w:bookmarkEnd w:id="5"/>
      <w:bookmarkEnd w:id="6"/>
    </w:p>
    <w:p>
      <w:pPr>
        <w:pStyle w:val="19"/>
        <w:spacing w:beforeAutospacing="0" w:afterAutospacing="0" w:line="820" w:lineRule="exact"/>
        <w:ind w:right="83" w:rightChars="26" w:firstLine="0" w:firstLineChars="0"/>
        <w:jc w:val="center"/>
        <w:outlineLvl w:val="0"/>
        <w:rPr>
          <w:rFonts w:eastAsia="微软雅黑"/>
          <w:b/>
          <w:bCs/>
          <w:sz w:val="44"/>
          <w:szCs w:val="44"/>
        </w:rPr>
      </w:pPr>
      <w:bookmarkStart w:id="7" w:name="_Toc24702"/>
      <w:bookmarkStart w:id="8" w:name="_Toc19435"/>
      <w:r>
        <w:rPr>
          <w:rFonts w:hint="eastAsia" w:eastAsia="微软雅黑"/>
          <w:b/>
          <w:bCs/>
          <w:sz w:val="44"/>
          <w:szCs w:val="44"/>
        </w:rPr>
        <w:t>前</w:t>
      </w:r>
      <w:bookmarkEnd w:id="7"/>
      <w:bookmarkEnd w:id="8"/>
    </w:p>
    <w:p>
      <w:pPr>
        <w:pStyle w:val="19"/>
        <w:spacing w:beforeAutospacing="0" w:afterAutospacing="0" w:line="820" w:lineRule="exact"/>
        <w:ind w:right="83" w:rightChars="26" w:firstLine="0" w:firstLineChars="0"/>
        <w:jc w:val="center"/>
        <w:outlineLvl w:val="0"/>
        <w:rPr>
          <w:rFonts w:eastAsia="微软雅黑"/>
          <w:b/>
          <w:bCs/>
          <w:sz w:val="44"/>
          <w:szCs w:val="44"/>
        </w:rPr>
      </w:pPr>
      <w:bookmarkStart w:id="9" w:name="_Toc17772"/>
      <w:bookmarkStart w:id="10" w:name="_Toc22839"/>
      <w:r>
        <w:rPr>
          <w:rFonts w:eastAsia="微软雅黑"/>
          <w:b/>
          <w:bCs/>
          <w:sz w:val="44"/>
          <w:szCs w:val="44"/>
        </w:rPr>
        <w:t>绩</w:t>
      </w:r>
      <w:bookmarkEnd w:id="9"/>
      <w:bookmarkEnd w:id="10"/>
    </w:p>
    <w:p>
      <w:pPr>
        <w:pStyle w:val="19"/>
        <w:spacing w:beforeAutospacing="0" w:afterAutospacing="0" w:line="820" w:lineRule="exact"/>
        <w:ind w:right="83" w:rightChars="26" w:firstLine="0" w:firstLineChars="0"/>
        <w:jc w:val="center"/>
        <w:outlineLvl w:val="0"/>
        <w:rPr>
          <w:rFonts w:eastAsia="微软雅黑"/>
          <w:b/>
          <w:bCs/>
          <w:sz w:val="44"/>
          <w:szCs w:val="44"/>
        </w:rPr>
      </w:pPr>
      <w:bookmarkStart w:id="11" w:name="_Toc30199"/>
      <w:bookmarkStart w:id="12" w:name="_Toc19986"/>
      <w:r>
        <w:rPr>
          <w:rFonts w:eastAsia="微软雅黑"/>
          <w:b/>
          <w:bCs/>
          <w:sz w:val="44"/>
          <w:szCs w:val="44"/>
        </w:rPr>
        <w:t>效</w:t>
      </w:r>
      <w:bookmarkEnd w:id="11"/>
      <w:bookmarkEnd w:id="12"/>
    </w:p>
    <w:p>
      <w:pPr>
        <w:pStyle w:val="19"/>
        <w:spacing w:beforeAutospacing="0" w:afterAutospacing="0" w:line="820" w:lineRule="exact"/>
        <w:ind w:right="83" w:rightChars="26" w:firstLine="0" w:firstLineChars="0"/>
        <w:jc w:val="center"/>
        <w:outlineLvl w:val="0"/>
        <w:rPr>
          <w:rFonts w:eastAsia="微软雅黑"/>
          <w:b/>
          <w:bCs/>
          <w:sz w:val="44"/>
          <w:szCs w:val="44"/>
        </w:rPr>
      </w:pPr>
      <w:bookmarkStart w:id="13" w:name="_Toc27740"/>
      <w:bookmarkStart w:id="14" w:name="_Toc4511"/>
      <w:r>
        <w:rPr>
          <w:rFonts w:eastAsia="微软雅黑"/>
          <w:b/>
          <w:bCs/>
          <w:sz w:val="44"/>
          <w:szCs w:val="44"/>
        </w:rPr>
        <w:t>评</w:t>
      </w:r>
      <w:bookmarkEnd w:id="13"/>
      <w:bookmarkEnd w:id="14"/>
    </w:p>
    <w:p>
      <w:pPr>
        <w:pStyle w:val="19"/>
        <w:spacing w:beforeAutospacing="0" w:afterAutospacing="0" w:line="820" w:lineRule="exact"/>
        <w:ind w:right="83" w:rightChars="26" w:firstLine="0" w:firstLineChars="0"/>
        <w:jc w:val="center"/>
        <w:outlineLvl w:val="0"/>
        <w:rPr>
          <w:rFonts w:eastAsia="微软雅黑"/>
          <w:b/>
          <w:bCs/>
          <w:sz w:val="44"/>
          <w:szCs w:val="44"/>
        </w:rPr>
      </w:pPr>
      <w:bookmarkStart w:id="15" w:name="_Toc25357"/>
      <w:bookmarkStart w:id="16" w:name="_Toc5005"/>
      <w:r>
        <w:rPr>
          <w:rFonts w:eastAsia="微软雅黑"/>
          <w:b/>
          <w:bCs/>
          <w:sz w:val="44"/>
          <w:szCs w:val="44"/>
        </w:rPr>
        <w:t>价</w:t>
      </w:r>
      <w:bookmarkEnd w:id="15"/>
      <w:bookmarkEnd w:id="16"/>
    </w:p>
    <w:p>
      <w:pPr>
        <w:pStyle w:val="19"/>
        <w:spacing w:beforeAutospacing="0" w:afterAutospacing="0" w:line="820" w:lineRule="exact"/>
        <w:ind w:right="83" w:rightChars="26" w:firstLine="0" w:firstLineChars="0"/>
        <w:jc w:val="center"/>
        <w:outlineLvl w:val="0"/>
        <w:rPr>
          <w:rFonts w:eastAsia="微软雅黑"/>
          <w:b/>
          <w:bCs/>
          <w:sz w:val="44"/>
          <w:szCs w:val="44"/>
        </w:rPr>
      </w:pPr>
      <w:bookmarkStart w:id="17" w:name="_Toc22413"/>
      <w:bookmarkStart w:id="18" w:name="_Toc21295"/>
      <w:r>
        <w:rPr>
          <w:rFonts w:eastAsia="微软雅黑"/>
          <w:b/>
          <w:bCs/>
          <w:sz w:val="44"/>
          <w:szCs w:val="44"/>
        </w:rPr>
        <w:t>报</w:t>
      </w:r>
      <w:bookmarkEnd w:id="17"/>
      <w:bookmarkEnd w:id="18"/>
    </w:p>
    <w:p>
      <w:pPr>
        <w:pStyle w:val="19"/>
        <w:spacing w:beforeAutospacing="0" w:afterAutospacing="0" w:line="820" w:lineRule="exact"/>
        <w:ind w:right="83" w:rightChars="26" w:firstLine="0" w:firstLineChars="0"/>
        <w:jc w:val="center"/>
        <w:outlineLvl w:val="0"/>
        <w:rPr>
          <w:rFonts w:eastAsia="微软雅黑"/>
          <w:b/>
          <w:bCs/>
          <w:sz w:val="44"/>
          <w:szCs w:val="44"/>
        </w:rPr>
      </w:pPr>
      <w:bookmarkStart w:id="19" w:name="_Toc27508"/>
      <w:bookmarkStart w:id="20" w:name="_Toc5311"/>
      <w:r>
        <w:rPr>
          <w:rFonts w:eastAsia="微软雅黑"/>
          <w:b/>
          <w:bCs/>
          <w:sz w:val="44"/>
          <w:szCs w:val="44"/>
        </w:rPr>
        <w:t>告</w:t>
      </w:r>
      <w:bookmarkEnd w:id="19"/>
      <w:bookmarkEnd w:id="20"/>
    </w:p>
    <w:p>
      <w:pPr>
        <w:snapToGrid w:val="0"/>
        <w:spacing w:line="600" w:lineRule="exact"/>
        <w:rPr>
          <w:rStyle w:val="66"/>
          <w:rFonts w:hint="eastAsia" w:eastAsia="仿宋_GB2312"/>
          <w:bCs/>
          <w:sz w:val="28"/>
          <w:szCs w:val="28"/>
          <w:lang w:eastAsia="zh-CN"/>
        </w:rPr>
      </w:pPr>
    </w:p>
    <w:p>
      <w:pPr>
        <w:snapToGrid w:val="0"/>
        <w:spacing w:line="600" w:lineRule="exact"/>
        <w:rPr>
          <w:rStyle w:val="66"/>
          <w:rFonts w:hint="eastAsia" w:ascii="仿宋" w:hAnsi="仿宋" w:eastAsia="仿宋" w:cs="仿宋"/>
          <w:bCs/>
          <w:sz w:val="28"/>
          <w:szCs w:val="28"/>
          <w:highlight w:val="none"/>
          <w:lang w:eastAsia="zh-CN"/>
        </w:rPr>
      </w:pPr>
      <w:r>
        <w:rPr>
          <w:rStyle w:val="66"/>
          <w:rFonts w:hint="eastAsia" w:ascii="仿宋" w:hAnsi="仿宋" w:eastAsia="仿宋" w:cs="仿宋"/>
          <w:bCs/>
          <w:sz w:val="28"/>
          <w:szCs w:val="28"/>
          <w:lang w:eastAsia="zh-CN"/>
        </w:rPr>
        <w:t>项目编号：</w:t>
      </w:r>
      <w:r>
        <w:rPr>
          <w:rStyle w:val="66"/>
          <w:rFonts w:hint="eastAsia" w:ascii="仿宋" w:hAnsi="仿宋" w:eastAsia="仿宋" w:cs="仿宋"/>
          <w:bCs/>
          <w:sz w:val="28"/>
          <w:szCs w:val="28"/>
          <w:highlight w:val="none"/>
          <w:lang w:eastAsia="zh-CN"/>
        </w:rPr>
        <w:t>金财绩评（2025）0</w:t>
      </w:r>
      <w:r>
        <w:rPr>
          <w:rStyle w:val="66"/>
          <w:rFonts w:hint="eastAsia" w:ascii="仿宋" w:hAnsi="仿宋" w:eastAsia="仿宋" w:cs="仿宋"/>
          <w:bCs/>
          <w:sz w:val="28"/>
          <w:szCs w:val="28"/>
          <w:highlight w:val="none"/>
          <w:lang w:val="en-US" w:eastAsia="zh-CN"/>
        </w:rPr>
        <w:t>1</w:t>
      </w:r>
      <w:r>
        <w:rPr>
          <w:rStyle w:val="66"/>
          <w:rFonts w:hint="eastAsia" w:ascii="仿宋" w:hAnsi="仿宋" w:eastAsia="仿宋" w:cs="仿宋"/>
          <w:bCs/>
          <w:sz w:val="28"/>
          <w:szCs w:val="28"/>
          <w:highlight w:val="none"/>
          <w:lang w:eastAsia="zh-CN"/>
        </w:rPr>
        <w:t>号</w:t>
      </w:r>
    </w:p>
    <w:p>
      <w:pPr>
        <w:snapToGrid w:val="0"/>
        <w:spacing w:line="600" w:lineRule="exact"/>
        <w:rPr>
          <w:rStyle w:val="66"/>
          <w:rFonts w:hint="eastAsia" w:ascii="仿宋" w:hAnsi="仿宋" w:eastAsia="仿宋" w:cs="仿宋"/>
          <w:bCs/>
          <w:sz w:val="28"/>
          <w:szCs w:val="28"/>
          <w:lang w:eastAsia="zh-CN"/>
        </w:rPr>
      </w:pPr>
      <w:r>
        <w:rPr>
          <w:rStyle w:val="66"/>
          <w:rFonts w:hint="eastAsia" w:ascii="仿宋" w:hAnsi="仿宋" w:eastAsia="仿宋" w:cs="仿宋"/>
          <w:bCs/>
          <w:sz w:val="28"/>
          <w:szCs w:val="28"/>
          <w:lang w:eastAsia="zh-CN"/>
        </w:rPr>
        <w:t>主管部门：中共乐山市金口河区委宣传部</w:t>
      </w:r>
    </w:p>
    <w:p>
      <w:pPr>
        <w:snapToGrid w:val="0"/>
        <w:spacing w:line="600" w:lineRule="exact"/>
        <w:rPr>
          <w:rStyle w:val="66"/>
          <w:rFonts w:hint="eastAsia" w:ascii="仿宋" w:hAnsi="仿宋" w:eastAsia="仿宋" w:cs="仿宋"/>
          <w:bCs/>
          <w:sz w:val="28"/>
          <w:szCs w:val="28"/>
          <w:lang w:eastAsia="zh-CN"/>
        </w:rPr>
      </w:pPr>
      <w:r>
        <w:rPr>
          <w:rStyle w:val="66"/>
          <w:rFonts w:hint="eastAsia" w:ascii="仿宋" w:hAnsi="仿宋" w:eastAsia="仿宋" w:cs="仿宋"/>
          <w:bCs/>
          <w:sz w:val="28"/>
          <w:szCs w:val="28"/>
          <w:lang w:eastAsia="zh-CN"/>
        </w:rPr>
        <w:t>实施单位：中共乐山市金口河区委宣传部</w:t>
      </w:r>
    </w:p>
    <w:p>
      <w:pPr>
        <w:rPr>
          <w:rStyle w:val="66"/>
          <w:rFonts w:hint="eastAsia" w:ascii="仿宋" w:hAnsi="仿宋" w:eastAsia="仿宋" w:cs="仿宋"/>
          <w:bCs/>
          <w:sz w:val="28"/>
          <w:szCs w:val="28"/>
          <w:lang w:eastAsia="zh-CN"/>
        </w:rPr>
      </w:pPr>
      <w:r>
        <w:rPr>
          <w:rStyle w:val="66"/>
          <w:rFonts w:hint="eastAsia" w:ascii="仿宋" w:hAnsi="仿宋" w:eastAsia="仿宋" w:cs="仿宋"/>
          <w:bCs/>
          <w:sz w:val="28"/>
          <w:szCs w:val="28"/>
          <w:lang w:eastAsia="zh-CN"/>
        </w:rPr>
        <w:t>评价单位：乐山市金口河区财政投资评价审核中心</w:t>
      </w:r>
    </w:p>
    <w:p>
      <w:pPr>
        <w:rPr>
          <w:rStyle w:val="66"/>
          <w:rFonts w:hint="eastAsia" w:ascii="仿宋" w:hAnsi="仿宋" w:eastAsia="仿宋" w:cs="仿宋"/>
          <w:bCs/>
          <w:sz w:val="28"/>
          <w:szCs w:val="28"/>
          <w:lang w:eastAsia="zh-CN"/>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numberInDash" w:start="1"/>
          <w:cols w:space="720" w:num="1"/>
          <w:docGrid w:type="lines" w:linePitch="312" w:charSpace="0"/>
        </w:sectPr>
      </w:pPr>
    </w:p>
    <w:p>
      <w:pPr>
        <w:pStyle w:val="20"/>
        <w:spacing w:before="0" w:beforeLines="0" w:after="0" w:afterLines="0" w:line="780" w:lineRule="exact"/>
        <w:ind w:left="-426" w:leftChars="-221" w:right="-624" w:rightChars="-195" w:hanging="281" w:hangingChars="64"/>
        <w:outlineLvl w:val="1"/>
        <w:rPr>
          <w:rFonts w:hint="eastAsia" w:ascii="方正小标宋简体" w:hAnsi="方正小标宋简体" w:eastAsia="方正小标宋简体" w:cs="方正小标宋简体"/>
          <w:b w:val="0"/>
          <w:bCs w:val="0"/>
          <w:lang w:eastAsia="zh-CN"/>
        </w:rPr>
      </w:pPr>
      <w:bookmarkStart w:id="21" w:name="_Toc26328"/>
      <w:r>
        <w:rPr>
          <w:rFonts w:hint="eastAsia" w:ascii="方正小标宋简体" w:hAnsi="方正小标宋简体" w:eastAsia="方正小标宋简体" w:cs="方正小标宋简体"/>
          <w:b w:val="0"/>
          <w:bCs w:val="0"/>
          <w:lang w:eastAsia="zh-CN"/>
        </w:rPr>
        <w:t>中共乐山市金口河区委宣传部</w:t>
      </w:r>
      <w:bookmarkEnd w:id="21"/>
    </w:p>
    <w:p>
      <w:pPr>
        <w:pStyle w:val="20"/>
        <w:spacing w:before="0" w:beforeLines="0" w:after="0" w:afterLines="0" w:line="780" w:lineRule="exact"/>
        <w:ind w:left="-426" w:leftChars="-221" w:right="-624" w:rightChars="-195" w:hanging="281" w:hangingChars="64"/>
        <w:outlineLvl w:val="1"/>
        <w:rPr>
          <w:rFonts w:hint="eastAsia" w:ascii="方正小标宋简体" w:hAnsi="方正小标宋简体" w:eastAsia="方正小标宋简体" w:cs="方正小标宋简体"/>
          <w:b w:val="0"/>
          <w:bCs w:val="0"/>
          <w:lang w:eastAsia="zh-CN"/>
        </w:rPr>
      </w:pPr>
      <w:bookmarkStart w:id="22" w:name="_Toc28036"/>
      <w:r>
        <w:rPr>
          <w:rFonts w:hint="eastAsia" w:ascii="方正小标宋简体" w:hAnsi="方正小标宋简体" w:eastAsia="方正小标宋简体" w:cs="方正小标宋简体"/>
          <w:b w:val="0"/>
          <w:bCs w:val="0"/>
          <w:lang w:eastAsia="zh-CN"/>
        </w:rPr>
        <w:t>外宣经费</w:t>
      </w:r>
      <w:bookmarkEnd w:id="22"/>
      <w:bookmarkStart w:id="23" w:name="_Toc24232"/>
      <w:bookmarkStart w:id="24" w:name="_Toc23933"/>
      <w:r>
        <w:rPr>
          <w:rFonts w:hint="eastAsia" w:ascii="方正小标宋简体" w:hAnsi="方正小标宋简体" w:eastAsia="方正小标宋简体" w:cs="方正小标宋简体"/>
          <w:b w:val="0"/>
          <w:bCs w:val="0"/>
          <w:lang w:eastAsia="zh-CN"/>
        </w:rPr>
        <w:t>事前绩效评价结论</w:t>
      </w:r>
      <w:bookmarkEnd w:id="23"/>
      <w:bookmarkEnd w:id="24"/>
    </w:p>
    <w:p>
      <w:pPr>
        <w:pStyle w:val="2"/>
        <w:numPr>
          <w:ilvl w:val="0"/>
          <w:numId w:val="0"/>
        </w:numPr>
        <w:spacing w:before="0" w:beforeLines="0" w:after="0" w:afterLines="0"/>
        <w:ind w:leftChars="0"/>
        <w:rPr>
          <w:rFonts w:hint="eastAsia" w:ascii="仿宋" w:hAnsi="仿宋" w:eastAsia="仿宋" w:cs="仿宋"/>
          <w:b w:val="0"/>
          <w:bCs w:val="0"/>
          <w:color w:val="auto"/>
          <w:lang w:eastAsia="zh-CN"/>
        </w:rPr>
      </w:pPr>
    </w:p>
    <w:p>
      <w:pPr>
        <w:bidi w:val="0"/>
        <w:rPr>
          <w:rFonts w:hint="default" w:ascii="仿宋" w:hAnsi="仿宋" w:eastAsia="仿宋" w:cs="仿宋"/>
          <w:b w:val="0"/>
          <w:bCs w:val="0"/>
          <w:color w:val="auto"/>
          <w:lang w:val="en-US" w:eastAsia="zh-CN"/>
        </w:rPr>
      </w:pPr>
      <w:r>
        <w:rPr>
          <w:rFonts w:hint="eastAsia" w:ascii="仿宋" w:hAnsi="仿宋" w:eastAsia="仿宋" w:cs="仿宋"/>
          <w:b w:val="0"/>
          <w:bCs w:val="0"/>
          <w:color w:val="auto"/>
          <w:lang w:eastAsia="zh-CN"/>
        </w:rPr>
        <w:t>我中心对外宣经费</w:t>
      </w:r>
      <w:r>
        <w:rPr>
          <w:rFonts w:hint="eastAsia" w:ascii="仿宋" w:hAnsi="仿宋" w:eastAsia="仿宋" w:cs="仿宋"/>
          <w:b w:val="0"/>
          <w:bCs w:val="0"/>
          <w:color w:val="auto"/>
          <w:lang w:val="en-US" w:eastAsia="zh-CN"/>
        </w:rPr>
        <w:t>事前</w:t>
      </w:r>
      <w:r>
        <w:rPr>
          <w:rFonts w:hint="eastAsia" w:ascii="仿宋" w:hAnsi="仿宋" w:eastAsia="仿宋" w:cs="仿宋"/>
          <w:b w:val="0"/>
          <w:bCs w:val="0"/>
          <w:color w:val="auto"/>
          <w:lang w:eastAsia="zh-CN"/>
        </w:rPr>
        <w:t>绩效评价综合得分为</w:t>
      </w:r>
      <w:r>
        <w:rPr>
          <w:rFonts w:hint="eastAsia" w:ascii="仿宋" w:hAnsi="仿宋" w:eastAsia="仿宋" w:cs="仿宋"/>
          <w:b w:val="0"/>
          <w:bCs w:val="0"/>
          <w:color w:val="auto"/>
          <w:lang w:val="en-US" w:eastAsia="zh-CN"/>
        </w:rPr>
        <w:t>95分</w:t>
      </w:r>
      <w:r>
        <w:rPr>
          <w:rFonts w:hint="eastAsia" w:ascii="仿宋" w:hAnsi="仿宋" w:eastAsia="仿宋" w:cs="仿宋"/>
          <w:szCs w:val="32"/>
          <w:lang w:eastAsia="zh-CN"/>
        </w:rPr>
        <w:t>，</w:t>
      </w:r>
      <w:r>
        <w:rPr>
          <w:rFonts w:ascii="仿宋" w:hAnsi="仿宋" w:eastAsia="仿宋" w:cs="仿宋"/>
          <w:szCs w:val="32"/>
          <w:lang w:eastAsia="zh-CN"/>
        </w:rPr>
        <w:t>综合绩效评估结论为“</w:t>
      </w:r>
      <w:r>
        <w:rPr>
          <w:rFonts w:hint="eastAsia" w:ascii="仿宋" w:hAnsi="仿宋" w:eastAsia="仿宋" w:cs="仿宋"/>
          <w:b/>
          <w:bCs/>
          <w:szCs w:val="32"/>
          <w:lang w:eastAsia="zh-CN"/>
        </w:rPr>
        <w:t>建议</w:t>
      </w:r>
      <w:r>
        <w:rPr>
          <w:rFonts w:ascii="仿宋" w:hAnsi="仿宋" w:eastAsia="仿宋" w:cs="仿宋"/>
          <w:b/>
          <w:bCs/>
          <w:szCs w:val="32"/>
          <w:lang w:eastAsia="zh-CN"/>
        </w:rPr>
        <w:t>实施</w:t>
      </w:r>
      <w:r>
        <w:rPr>
          <w:rFonts w:ascii="仿宋" w:hAnsi="仿宋" w:eastAsia="仿宋" w:cs="仿宋"/>
          <w:szCs w:val="32"/>
          <w:lang w:eastAsia="zh-CN"/>
        </w:rPr>
        <w:t>”</w:t>
      </w:r>
      <w:r>
        <w:rPr>
          <w:rFonts w:hint="eastAsia" w:ascii="仿宋" w:hAnsi="仿宋" w:eastAsia="仿宋" w:cs="仿宋"/>
          <w:szCs w:val="32"/>
          <w:lang w:eastAsia="zh-CN"/>
        </w:rPr>
        <w:t>。</w:t>
      </w:r>
      <w:r>
        <w:rPr>
          <w:rFonts w:hint="eastAsia" w:ascii="仿宋" w:hAnsi="仿宋" w:eastAsia="仿宋" w:cs="仿宋"/>
          <w:b w:val="0"/>
          <w:bCs w:val="0"/>
          <w:color w:val="auto"/>
          <w:lang w:eastAsia="zh-CN"/>
        </w:rPr>
        <w:t>（具体评</w:t>
      </w:r>
      <w:r>
        <w:rPr>
          <w:rFonts w:hint="eastAsia" w:ascii="仿宋" w:hAnsi="仿宋" w:eastAsia="仿宋" w:cs="仿宋"/>
          <w:b w:val="0"/>
          <w:bCs w:val="0"/>
          <w:color w:val="auto"/>
          <w:highlight w:val="none"/>
          <w:lang w:eastAsia="zh-CN"/>
        </w:rPr>
        <w:t>分情况见</w:t>
      </w:r>
      <w:r>
        <w:rPr>
          <w:rFonts w:hint="eastAsia" w:ascii="仿宋" w:hAnsi="仿宋" w:eastAsia="仿宋" w:cs="仿宋"/>
          <w:b w:val="0"/>
          <w:bCs w:val="0"/>
          <w:color w:val="auto"/>
          <w:highlight w:val="none"/>
          <w:lang w:val="en-US" w:eastAsia="zh-CN"/>
        </w:rPr>
        <w:t>三、</w:t>
      </w:r>
      <w:r>
        <w:rPr>
          <w:rFonts w:hint="eastAsia" w:ascii="仿宋" w:hAnsi="仿宋" w:eastAsia="仿宋" w:cs="仿宋"/>
          <w:b w:val="0"/>
          <w:bCs/>
          <w:szCs w:val="32"/>
          <w:highlight w:val="none"/>
          <w:lang w:eastAsia="zh-CN"/>
        </w:rPr>
        <w:t>事</w:t>
      </w:r>
      <w:r>
        <w:rPr>
          <w:rFonts w:hint="eastAsia" w:ascii="仿宋" w:hAnsi="仿宋" w:eastAsia="仿宋" w:cs="仿宋"/>
          <w:b w:val="0"/>
          <w:bCs/>
          <w:szCs w:val="32"/>
          <w:lang w:eastAsia="zh-CN"/>
        </w:rPr>
        <w:t>前绩效评估指标体系及得分情况</w:t>
      </w:r>
      <w:r>
        <w:rPr>
          <w:rFonts w:hint="eastAsia" w:ascii="仿宋" w:hAnsi="仿宋" w:eastAsia="仿宋" w:cs="仿宋"/>
          <w:b w:val="0"/>
          <w:bCs w:val="0"/>
          <w:color w:val="auto"/>
          <w:lang w:eastAsia="zh-CN"/>
        </w:rPr>
        <w:t>）</w:t>
      </w:r>
    </w:p>
    <w:p>
      <w:pPr>
        <w:tabs>
          <w:tab w:val="left" w:pos="1336"/>
        </w:tabs>
        <w:spacing w:line="480" w:lineRule="exact"/>
        <w:ind w:left="0" w:leftChars="0" w:firstLine="0" w:firstLineChars="0"/>
        <w:jc w:val="center"/>
        <w:outlineLvl w:val="0"/>
        <w:rPr>
          <w:rFonts w:hint="eastAsia" w:ascii="仿宋" w:hAnsi="仿宋" w:eastAsia="仿宋" w:cs="仿宋"/>
          <w:b w:val="0"/>
          <w:bCs w:val="0"/>
          <w:szCs w:val="32"/>
          <w:lang w:eastAsia="zh-CN"/>
        </w:rPr>
      </w:pPr>
      <w:bookmarkStart w:id="25" w:name="_Toc27829"/>
      <w:r>
        <w:rPr>
          <w:rFonts w:hint="eastAsia" w:ascii="仿宋" w:hAnsi="仿宋" w:eastAsia="仿宋" w:cs="仿宋"/>
          <w:b w:val="0"/>
          <w:bCs w:val="0"/>
          <w:color w:val="auto"/>
          <w:lang w:eastAsia="zh-CN"/>
        </w:rPr>
        <w:t>外宣经费</w:t>
      </w:r>
      <w:bookmarkEnd w:id="25"/>
    </w:p>
    <w:p>
      <w:pPr>
        <w:tabs>
          <w:tab w:val="left" w:pos="1336"/>
        </w:tabs>
        <w:spacing w:line="480" w:lineRule="exact"/>
        <w:ind w:left="0" w:leftChars="0" w:firstLine="0" w:firstLineChars="0"/>
        <w:jc w:val="center"/>
        <w:outlineLvl w:val="0"/>
        <w:rPr>
          <w:rFonts w:hint="eastAsia" w:ascii="仿宋" w:hAnsi="仿宋" w:eastAsia="仿宋" w:cs="仿宋"/>
          <w:b w:val="0"/>
          <w:bCs w:val="0"/>
          <w:szCs w:val="32"/>
          <w:lang w:eastAsia="zh-CN"/>
        </w:rPr>
      </w:pPr>
      <w:bookmarkStart w:id="26" w:name="_Toc4904"/>
      <w:bookmarkStart w:id="27" w:name="_Toc25829"/>
      <w:bookmarkStart w:id="28" w:name="_Toc13519"/>
      <w:bookmarkStart w:id="29" w:name="_Toc2897"/>
      <w:bookmarkStart w:id="30" w:name="_Toc29428"/>
      <w:r>
        <w:rPr>
          <w:rFonts w:hint="eastAsia" w:ascii="仿宋" w:hAnsi="仿宋" w:eastAsia="仿宋" w:cs="仿宋"/>
          <w:b w:val="0"/>
          <w:bCs w:val="0"/>
          <w:color w:val="auto"/>
          <w:lang w:eastAsia="zh-CN"/>
        </w:rPr>
        <w:t>事前绩效评价结论一览</w:t>
      </w:r>
      <w:r>
        <w:rPr>
          <w:rFonts w:hint="eastAsia" w:ascii="仿宋" w:hAnsi="仿宋" w:eastAsia="仿宋" w:cs="仿宋"/>
          <w:b w:val="0"/>
          <w:bCs w:val="0"/>
          <w:szCs w:val="32"/>
          <w:lang w:eastAsia="zh-CN"/>
        </w:rPr>
        <w:t>表</w:t>
      </w:r>
      <w:bookmarkEnd w:id="26"/>
      <w:bookmarkEnd w:id="27"/>
      <w:bookmarkEnd w:id="28"/>
      <w:bookmarkEnd w:id="29"/>
      <w:bookmarkEnd w:id="30"/>
    </w:p>
    <w:tbl>
      <w:tblPr>
        <w:tblStyle w:val="21"/>
        <w:tblW w:w="4915" w:type="pct"/>
        <w:tblInd w:w="0" w:type="dxa"/>
        <w:tblLayout w:type="fixed"/>
        <w:tblCellMar>
          <w:top w:w="0" w:type="dxa"/>
          <w:left w:w="108" w:type="dxa"/>
          <w:bottom w:w="0" w:type="dxa"/>
          <w:right w:w="108" w:type="dxa"/>
        </w:tblCellMar>
      </w:tblPr>
      <w:tblGrid>
        <w:gridCol w:w="5514"/>
        <w:gridCol w:w="1388"/>
        <w:gridCol w:w="1475"/>
      </w:tblGrid>
      <w:tr>
        <w:tblPrEx>
          <w:tblCellMar>
            <w:top w:w="0" w:type="dxa"/>
            <w:left w:w="108" w:type="dxa"/>
            <w:bottom w:w="0" w:type="dxa"/>
            <w:right w:w="108" w:type="dxa"/>
          </w:tblCellMar>
        </w:tblPrEx>
        <w:trPr>
          <w:trHeight w:val="624" w:hRule="exact"/>
        </w:trPr>
        <w:tc>
          <w:tcPr>
            <w:tcW w:w="3291" w:type="pct"/>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center"/>
          </w:tcPr>
          <w:p>
            <w:pPr>
              <w:widowControl/>
              <w:ind w:firstLine="0" w:firstLineChars="0"/>
              <w:jc w:val="center"/>
              <w:textAlignment w:val="bottom"/>
              <w:rPr>
                <w:rFonts w:hint="eastAsia" w:ascii="仿宋" w:hAnsi="仿宋" w:eastAsia="仿宋" w:cs="仿宋"/>
                <w:b/>
                <w:sz w:val="28"/>
                <w:szCs w:val="28"/>
              </w:rPr>
            </w:pPr>
            <w:r>
              <w:rPr>
                <w:rFonts w:hint="eastAsia" w:ascii="仿宋" w:hAnsi="仿宋" w:eastAsia="仿宋" w:cs="仿宋"/>
                <w:b/>
                <w:bCs/>
                <w:sz w:val="28"/>
                <w:szCs w:val="28"/>
                <w:lang w:eastAsia="zh-CN" w:bidi="ar"/>
              </w:rPr>
              <w:t>评价内容</w:t>
            </w:r>
          </w:p>
        </w:tc>
        <w:tc>
          <w:tcPr>
            <w:tcW w:w="828" w:type="pct"/>
            <w:tcBorders>
              <w:top w:val="single" w:color="auto" w:sz="4" w:space="0"/>
              <w:left w:val="nil"/>
              <w:bottom w:val="single" w:color="auto" w:sz="4" w:space="0"/>
              <w:right w:val="single" w:color="auto" w:sz="4" w:space="0"/>
            </w:tcBorders>
            <w:shd w:val="clear" w:color="auto" w:fill="BEBEBE" w:themeFill="background1" w:themeFillShade="BF"/>
            <w:noWrap/>
            <w:vAlign w:val="center"/>
          </w:tcPr>
          <w:p>
            <w:pPr>
              <w:widowControl/>
              <w:ind w:firstLine="0" w:firstLineChars="0"/>
              <w:jc w:val="center"/>
              <w:textAlignment w:val="bottom"/>
              <w:rPr>
                <w:rFonts w:hint="eastAsia" w:ascii="仿宋" w:hAnsi="仿宋" w:eastAsia="仿宋" w:cs="仿宋"/>
                <w:b/>
                <w:sz w:val="28"/>
                <w:szCs w:val="28"/>
              </w:rPr>
            </w:pPr>
            <w:r>
              <w:rPr>
                <w:rFonts w:hint="eastAsia" w:ascii="仿宋" w:hAnsi="仿宋" w:eastAsia="仿宋" w:cs="仿宋"/>
                <w:b/>
                <w:bCs/>
                <w:sz w:val="28"/>
                <w:szCs w:val="28"/>
                <w:lang w:eastAsia="zh-CN" w:bidi="ar"/>
              </w:rPr>
              <w:t>分值</w:t>
            </w:r>
          </w:p>
        </w:tc>
        <w:tc>
          <w:tcPr>
            <w:tcW w:w="880" w:type="pct"/>
            <w:tcBorders>
              <w:top w:val="single" w:color="auto" w:sz="4" w:space="0"/>
              <w:left w:val="nil"/>
              <w:bottom w:val="single" w:color="auto" w:sz="4" w:space="0"/>
              <w:right w:val="single" w:color="auto" w:sz="4" w:space="0"/>
            </w:tcBorders>
            <w:shd w:val="clear" w:color="auto" w:fill="BEBEBE" w:themeFill="background1" w:themeFillShade="BF"/>
            <w:noWrap/>
            <w:vAlign w:val="center"/>
          </w:tcPr>
          <w:p>
            <w:pPr>
              <w:widowControl/>
              <w:ind w:firstLine="0" w:firstLineChars="0"/>
              <w:jc w:val="center"/>
              <w:textAlignment w:val="bottom"/>
              <w:rPr>
                <w:rFonts w:hint="eastAsia" w:ascii="仿宋" w:hAnsi="仿宋" w:eastAsia="仿宋" w:cs="仿宋"/>
                <w:b/>
                <w:sz w:val="28"/>
                <w:szCs w:val="28"/>
              </w:rPr>
            </w:pPr>
            <w:r>
              <w:rPr>
                <w:rFonts w:hint="eastAsia" w:ascii="仿宋" w:hAnsi="仿宋" w:eastAsia="仿宋" w:cs="仿宋"/>
                <w:b/>
                <w:bCs/>
                <w:sz w:val="28"/>
                <w:szCs w:val="28"/>
                <w:lang w:eastAsia="zh-CN" w:bidi="ar"/>
              </w:rPr>
              <w:t>评价得分</w:t>
            </w:r>
          </w:p>
        </w:tc>
      </w:tr>
      <w:tr>
        <w:tblPrEx>
          <w:tblCellMar>
            <w:top w:w="0" w:type="dxa"/>
            <w:left w:w="108" w:type="dxa"/>
            <w:bottom w:w="0" w:type="dxa"/>
            <w:right w:w="108" w:type="dxa"/>
          </w:tblCellMar>
        </w:tblPrEx>
        <w:trPr>
          <w:trHeight w:val="624" w:hRule="exact"/>
        </w:trPr>
        <w:tc>
          <w:tcPr>
            <w:tcW w:w="3291" w:type="pct"/>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textAlignment w:val="bottom"/>
              <w:rPr>
                <w:rFonts w:hint="eastAsia" w:ascii="仿宋" w:hAnsi="仿宋" w:eastAsia="仿宋" w:cs="仿宋"/>
                <w:sz w:val="28"/>
                <w:szCs w:val="28"/>
              </w:rPr>
            </w:pPr>
            <w:r>
              <w:rPr>
                <w:rFonts w:hint="eastAsia" w:ascii="仿宋" w:hAnsi="仿宋" w:eastAsia="仿宋" w:cs="仿宋"/>
                <w:bCs/>
                <w:snapToGrid w:val="0"/>
                <w:sz w:val="28"/>
                <w:szCs w:val="28"/>
                <w:lang w:eastAsia="zh-CN"/>
              </w:rPr>
              <w:t>项目实施的必要性、公益性、</w:t>
            </w:r>
            <w:r>
              <w:rPr>
                <w:rFonts w:hint="eastAsia" w:ascii="仿宋" w:hAnsi="仿宋" w:eastAsia="仿宋" w:cs="仿宋"/>
                <w:bCs/>
                <w:snapToGrid w:val="0"/>
                <w:sz w:val="28"/>
                <w:szCs w:val="28"/>
                <w:lang w:val="en-US" w:eastAsia="zh-CN"/>
              </w:rPr>
              <w:t>经济</w:t>
            </w:r>
            <w:r>
              <w:rPr>
                <w:rFonts w:hint="eastAsia" w:ascii="仿宋" w:hAnsi="仿宋" w:eastAsia="仿宋" w:cs="仿宋"/>
                <w:bCs/>
                <w:snapToGrid w:val="0"/>
                <w:sz w:val="28"/>
                <w:szCs w:val="28"/>
                <w:lang w:eastAsia="zh-CN"/>
              </w:rPr>
              <w:t>性</w:t>
            </w:r>
          </w:p>
        </w:tc>
        <w:tc>
          <w:tcPr>
            <w:tcW w:w="828" w:type="pct"/>
            <w:tcBorders>
              <w:top w:val="nil"/>
              <w:left w:val="nil"/>
              <w:bottom w:val="single" w:color="auto" w:sz="4" w:space="0"/>
              <w:right w:val="single" w:color="auto" w:sz="4" w:space="0"/>
            </w:tcBorders>
            <w:shd w:val="clear" w:color="auto" w:fill="auto"/>
            <w:noWrap/>
            <w:vAlign w:val="center"/>
          </w:tcPr>
          <w:p>
            <w:pPr>
              <w:widowControl/>
              <w:ind w:firstLine="0" w:firstLineChars="0"/>
              <w:jc w:val="center"/>
              <w:textAlignment w:val="bottom"/>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16</w:t>
            </w:r>
          </w:p>
        </w:tc>
        <w:tc>
          <w:tcPr>
            <w:tcW w:w="880" w:type="pct"/>
            <w:tcBorders>
              <w:top w:val="nil"/>
              <w:left w:val="nil"/>
              <w:bottom w:val="single" w:color="auto" w:sz="4" w:space="0"/>
              <w:right w:val="single" w:color="auto" w:sz="4" w:space="0"/>
            </w:tcBorders>
            <w:shd w:val="clear" w:color="auto" w:fill="auto"/>
            <w:noWrap/>
            <w:vAlign w:val="center"/>
          </w:tcPr>
          <w:p>
            <w:pPr>
              <w:widowControl/>
              <w:ind w:firstLine="0" w:firstLineChars="0"/>
              <w:jc w:val="center"/>
              <w:textAlignment w:val="bottom"/>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16</w:t>
            </w:r>
          </w:p>
        </w:tc>
      </w:tr>
      <w:tr>
        <w:tblPrEx>
          <w:tblCellMar>
            <w:top w:w="0" w:type="dxa"/>
            <w:left w:w="108" w:type="dxa"/>
            <w:bottom w:w="0" w:type="dxa"/>
            <w:right w:w="108" w:type="dxa"/>
          </w:tblCellMar>
        </w:tblPrEx>
        <w:trPr>
          <w:trHeight w:val="624" w:hRule="exact"/>
        </w:trPr>
        <w:tc>
          <w:tcPr>
            <w:tcW w:w="3291" w:type="pct"/>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textAlignment w:val="bottom"/>
              <w:rPr>
                <w:rFonts w:hint="eastAsia" w:ascii="仿宋" w:hAnsi="仿宋" w:eastAsia="仿宋" w:cs="仿宋"/>
                <w:bCs/>
                <w:snapToGrid w:val="0"/>
                <w:sz w:val="28"/>
                <w:szCs w:val="28"/>
                <w:lang w:eastAsia="zh-CN"/>
              </w:rPr>
            </w:pPr>
            <w:r>
              <w:rPr>
                <w:rFonts w:hint="eastAsia" w:ascii="仿宋" w:hAnsi="仿宋" w:eastAsia="仿宋" w:cs="仿宋"/>
                <w:bCs/>
                <w:snapToGrid w:val="0"/>
                <w:sz w:val="28"/>
                <w:szCs w:val="28"/>
                <w:lang w:eastAsia="zh-CN"/>
              </w:rPr>
              <w:t>项目</w:t>
            </w:r>
            <w:r>
              <w:rPr>
                <w:rFonts w:hint="eastAsia" w:ascii="仿宋" w:hAnsi="仿宋" w:eastAsia="仿宋" w:cs="仿宋"/>
                <w:bCs/>
                <w:snapToGrid w:val="0"/>
                <w:sz w:val="28"/>
                <w:szCs w:val="28"/>
                <w:lang w:val="en-US" w:eastAsia="zh-CN"/>
              </w:rPr>
              <w:t>实施</w:t>
            </w:r>
            <w:r>
              <w:rPr>
                <w:rFonts w:hint="eastAsia" w:ascii="仿宋" w:hAnsi="仿宋" w:eastAsia="仿宋" w:cs="仿宋"/>
                <w:bCs/>
                <w:snapToGrid w:val="0"/>
                <w:sz w:val="28"/>
                <w:szCs w:val="28"/>
                <w:lang w:eastAsia="zh-CN"/>
              </w:rPr>
              <w:t>合规性与成熟度</w:t>
            </w:r>
          </w:p>
        </w:tc>
        <w:tc>
          <w:tcPr>
            <w:tcW w:w="828" w:type="pct"/>
            <w:tcBorders>
              <w:top w:val="nil"/>
              <w:left w:val="nil"/>
              <w:bottom w:val="single" w:color="auto" w:sz="4" w:space="0"/>
              <w:right w:val="single" w:color="auto" w:sz="4" w:space="0"/>
            </w:tcBorders>
            <w:shd w:val="clear" w:color="auto" w:fill="auto"/>
            <w:noWrap/>
            <w:vAlign w:val="center"/>
          </w:tcPr>
          <w:p>
            <w:pPr>
              <w:widowControl/>
              <w:ind w:firstLine="0" w:firstLineChars="0"/>
              <w:jc w:val="center"/>
              <w:textAlignment w:val="bottom"/>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18</w:t>
            </w:r>
          </w:p>
        </w:tc>
        <w:tc>
          <w:tcPr>
            <w:tcW w:w="880" w:type="pct"/>
            <w:tcBorders>
              <w:top w:val="nil"/>
              <w:left w:val="nil"/>
              <w:bottom w:val="single" w:color="auto" w:sz="4" w:space="0"/>
              <w:right w:val="single" w:color="auto" w:sz="4" w:space="0"/>
            </w:tcBorders>
            <w:shd w:val="clear" w:color="auto" w:fill="auto"/>
            <w:noWrap/>
            <w:vAlign w:val="center"/>
          </w:tcPr>
          <w:p>
            <w:pPr>
              <w:widowControl/>
              <w:ind w:firstLine="0" w:firstLineChars="0"/>
              <w:jc w:val="center"/>
              <w:textAlignment w:val="bottom"/>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18</w:t>
            </w:r>
          </w:p>
        </w:tc>
      </w:tr>
      <w:tr>
        <w:tblPrEx>
          <w:tblCellMar>
            <w:top w:w="0" w:type="dxa"/>
            <w:left w:w="108" w:type="dxa"/>
            <w:bottom w:w="0" w:type="dxa"/>
            <w:right w:w="108" w:type="dxa"/>
          </w:tblCellMar>
        </w:tblPrEx>
        <w:trPr>
          <w:trHeight w:val="624" w:hRule="exact"/>
        </w:trPr>
        <w:tc>
          <w:tcPr>
            <w:tcW w:w="3291" w:type="pct"/>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textAlignment w:val="bottom"/>
              <w:rPr>
                <w:rFonts w:hint="eastAsia" w:ascii="仿宋" w:hAnsi="仿宋" w:eastAsia="仿宋" w:cs="仿宋"/>
                <w:bCs/>
                <w:snapToGrid w:val="0"/>
                <w:sz w:val="28"/>
                <w:szCs w:val="28"/>
                <w:lang w:eastAsia="zh-CN"/>
              </w:rPr>
            </w:pPr>
            <w:r>
              <w:rPr>
                <w:rFonts w:hint="eastAsia" w:ascii="仿宋" w:hAnsi="仿宋" w:eastAsia="仿宋" w:cs="仿宋"/>
                <w:bCs/>
                <w:snapToGrid w:val="0"/>
                <w:sz w:val="28"/>
                <w:szCs w:val="28"/>
                <w:lang w:eastAsia="zh-CN"/>
              </w:rPr>
              <w:t>项目资金来源和到位可行性</w:t>
            </w:r>
          </w:p>
        </w:tc>
        <w:tc>
          <w:tcPr>
            <w:tcW w:w="828" w:type="pct"/>
            <w:tcBorders>
              <w:top w:val="nil"/>
              <w:left w:val="nil"/>
              <w:bottom w:val="single" w:color="auto" w:sz="4" w:space="0"/>
              <w:right w:val="single" w:color="auto" w:sz="4" w:space="0"/>
            </w:tcBorders>
            <w:shd w:val="clear" w:color="auto" w:fill="auto"/>
            <w:noWrap/>
            <w:vAlign w:val="center"/>
          </w:tcPr>
          <w:p>
            <w:pPr>
              <w:widowControl/>
              <w:ind w:firstLine="0" w:firstLineChars="0"/>
              <w:jc w:val="center"/>
              <w:textAlignment w:val="bottom"/>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12</w:t>
            </w:r>
          </w:p>
        </w:tc>
        <w:tc>
          <w:tcPr>
            <w:tcW w:w="880" w:type="pct"/>
            <w:tcBorders>
              <w:top w:val="nil"/>
              <w:left w:val="nil"/>
              <w:bottom w:val="single" w:color="auto" w:sz="4" w:space="0"/>
              <w:right w:val="single" w:color="auto" w:sz="4" w:space="0"/>
            </w:tcBorders>
            <w:shd w:val="clear" w:color="auto" w:fill="auto"/>
            <w:noWrap/>
            <w:vAlign w:val="center"/>
          </w:tcPr>
          <w:p>
            <w:pPr>
              <w:widowControl/>
              <w:ind w:firstLine="0" w:firstLineChars="0"/>
              <w:jc w:val="center"/>
              <w:textAlignment w:val="bottom"/>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12</w:t>
            </w:r>
          </w:p>
        </w:tc>
      </w:tr>
      <w:tr>
        <w:tblPrEx>
          <w:tblCellMar>
            <w:top w:w="0" w:type="dxa"/>
            <w:left w:w="108" w:type="dxa"/>
            <w:bottom w:w="0" w:type="dxa"/>
            <w:right w:w="108" w:type="dxa"/>
          </w:tblCellMar>
        </w:tblPrEx>
        <w:trPr>
          <w:trHeight w:val="1067" w:hRule="exact"/>
        </w:trPr>
        <w:tc>
          <w:tcPr>
            <w:tcW w:w="3291" w:type="pct"/>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textAlignment w:val="bottom"/>
              <w:rPr>
                <w:rFonts w:hint="eastAsia" w:ascii="仿宋" w:hAnsi="仿宋" w:eastAsia="仿宋" w:cs="仿宋"/>
                <w:bCs/>
                <w:snapToGrid w:val="0"/>
                <w:sz w:val="28"/>
                <w:szCs w:val="28"/>
                <w:lang w:eastAsia="zh-CN"/>
              </w:rPr>
            </w:pPr>
            <w:r>
              <w:rPr>
                <w:rFonts w:hint="eastAsia" w:ascii="仿宋" w:hAnsi="仿宋" w:eastAsia="仿宋" w:cs="仿宋"/>
                <w:bCs/>
                <w:snapToGrid w:val="0"/>
                <w:sz w:val="28"/>
                <w:szCs w:val="28"/>
                <w:lang w:eastAsia="zh-CN"/>
              </w:rPr>
              <w:t>资金使用计划</w:t>
            </w:r>
            <w:r>
              <w:rPr>
                <w:rFonts w:hint="eastAsia" w:ascii="仿宋" w:hAnsi="仿宋" w:eastAsia="仿宋" w:cs="仿宋"/>
                <w:bCs/>
                <w:snapToGrid w:val="0"/>
                <w:sz w:val="28"/>
                <w:szCs w:val="28"/>
                <w:lang w:val="en-US" w:eastAsia="zh-CN"/>
              </w:rPr>
              <w:t>及支付</w:t>
            </w:r>
            <w:r>
              <w:rPr>
                <w:rFonts w:hint="eastAsia" w:ascii="仿宋" w:hAnsi="仿宋" w:eastAsia="仿宋" w:cs="仿宋"/>
                <w:bCs/>
                <w:snapToGrid w:val="0"/>
                <w:sz w:val="28"/>
                <w:szCs w:val="28"/>
                <w:lang w:eastAsia="zh-CN"/>
              </w:rPr>
              <w:t>合理性、</w:t>
            </w:r>
          </w:p>
          <w:p>
            <w:pPr>
              <w:widowControl/>
              <w:ind w:firstLine="0" w:firstLineChars="0"/>
              <w:jc w:val="center"/>
              <w:textAlignment w:val="bottom"/>
              <w:rPr>
                <w:rFonts w:hint="eastAsia" w:ascii="仿宋" w:hAnsi="仿宋" w:eastAsia="仿宋" w:cs="仿宋"/>
                <w:bCs/>
                <w:snapToGrid w:val="0"/>
                <w:sz w:val="28"/>
                <w:szCs w:val="28"/>
                <w:lang w:eastAsia="zh-CN"/>
              </w:rPr>
            </w:pPr>
            <w:r>
              <w:rPr>
                <w:rFonts w:hint="eastAsia" w:ascii="仿宋" w:hAnsi="仿宋" w:eastAsia="仿宋" w:cs="仿宋"/>
                <w:bCs/>
                <w:snapToGrid w:val="0"/>
                <w:sz w:val="28"/>
                <w:szCs w:val="28"/>
                <w:lang w:eastAsia="zh-CN"/>
              </w:rPr>
              <w:t>资金到位及时性</w:t>
            </w:r>
          </w:p>
        </w:tc>
        <w:tc>
          <w:tcPr>
            <w:tcW w:w="828" w:type="pct"/>
            <w:tcBorders>
              <w:top w:val="nil"/>
              <w:left w:val="nil"/>
              <w:bottom w:val="single" w:color="auto" w:sz="4" w:space="0"/>
              <w:right w:val="single" w:color="auto" w:sz="4" w:space="0"/>
            </w:tcBorders>
            <w:shd w:val="clear" w:color="auto" w:fill="auto"/>
            <w:noWrap/>
            <w:vAlign w:val="center"/>
          </w:tcPr>
          <w:p>
            <w:pPr>
              <w:widowControl/>
              <w:ind w:firstLine="0" w:firstLineChars="0"/>
              <w:jc w:val="center"/>
              <w:textAlignment w:val="bottom"/>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15</w:t>
            </w:r>
          </w:p>
        </w:tc>
        <w:tc>
          <w:tcPr>
            <w:tcW w:w="88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13</w:t>
            </w:r>
          </w:p>
        </w:tc>
      </w:tr>
      <w:tr>
        <w:tblPrEx>
          <w:tblCellMar>
            <w:top w:w="0" w:type="dxa"/>
            <w:left w:w="108" w:type="dxa"/>
            <w:bottom w:w="0" w:type="dxa"/>
            <w:right w:w="108" w:type="dxa"/>
          </w:tblCellMar>
        </w:tblPrEx>
        <w:trPr>
          <w:trHeight w:val="624" w:hRule="exact"/>
        </w:trPr>
        <w:tc>
          <w:tcPr>
            <w:tcW w:w="3291" w:type="pct"/>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textAlignment w:val="bottom"/>
              <w:rPr>
                <w:rFonts w:hint="eastAsia" w:ascii="仿宋" w:hAnsi="仿宋" w:eastAsia="仿宋" w:cs="仿宋"/>
                <w:bCs/>
                <w:snapToGrid w:val="0"/>
                <w:sz w:val="28"/>
                <w:szCs w:val="28"/>
                <w:lang w:eastAsia="zh-CN"/>
              </w:rPr>
            </w:pPr>
            <w:r>
              <w:rPr>
                <w:rFonts w:hint="eastAsia" w:ascii="仿宋" w:hAnsi="仿宋" w:eastAsia="仿宋" w:cs="仿宋"/>
                <w:bCs/>
                <w:snapToGrid w:val="0"/>
                <w:sz w:val="28"/>
                <w:szCs w:val="28"/>
                <w:lang w:eastAsia="zh-CN"/>
              </w:rPr>
              <w:t>项目绩效目标明确性、合理性</w:t>
            </w:r>
          </w:p>
        </w:tc>
        <w:tc>
          <w:tcPr>
            <w:tcW w:w="828" w:type="pct"/>
            <w:tcBorders>
              <w:top w:val="nil"/>
              <w:left w:val="nil"/>
              <w:bottom w:val="single" w:color="auto" w:sz="4" w:space="0"/>
              <w:right w:val="single" w:color="auto" w:sz="4" w:space="0"/>
            </w:tcBorders>
            <w:shd w:val="clear" w:color="auto" w:fill="auto"/>
            <w:noWrap/>
            <w:vAlign w:val="center"/>
          </w:tcPr>
          <w:p>
            <w:pPr>
              <w:widowControl/>
              <w:ind w:firstLine="0" w:firstLineChars="0"/>
              <w:jc w:val="center"/>
              <w:textAlignment w:val="bottom"/>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12</w:t>
            </w:r>
          </w:p>
        </w:tc>
        <w:tc>
          <w:tcPr>
            <w:tcW w:w="88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12</w:t>
            </w:r>
          </w:p>
        </w:tc>
      </w:tr>
      <w:tr>
        <w:tblPrEx>
          <w:tblCellMar>
            <w:top w:w="0" w:type="dxa"/>
            <w:left w:w="108" w:type="dxa"/>
            <w:bottom w:w="0" w:type="dxa"/>
            <w:right w:w="108" w:type="dxa"/>
          </w:tblCellMar>
        </w:tblPrEx>
        <w:trPr>
          <w:trHeight w:val="624" w:hRule="exact"/>
        </w:trPr>
        <w:tc>
          <w:tcPr>
            <w:tcW w:w="3291" w:type="pct"/>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textAlignment w:val="bottom"/>
              <w:rPr>
                <w:rFonts w:hint="eastAsia" w:ascii="仿宋" w:hAnsi="仿宋" w:eastAsia="仿宋" w:cs="仿宋"/>
                <w:bCs/>
                <w:snapToGrid w:val="0"/>
                <w:sz w:val="28"/>
                <w:szCs w:val="28"/>
                <w:lang w:eastAsia="zh-CN"/>
              </w:rPr>
            </w:pPr>
            <w:r>
              <w:rPr>
                <w:rFonts w:hint="eastAsia" w:ascii="仿宋" w:hAnsi="仿宋" w:eastAsia="仿宋" w:cs="仿宋"/>
                <w:bCs/>
                <w:snapToGrid w:val="0"/>
                <w:sz w:val="28"/>
                <w:szCs w:val="28"/>
                <w:lang w:eastAsia="zh-CN"/>
              </w:rPr>
              <w:t>项目实施</w:t>
            </w:r>
            <w:r>
              <w:rPr>
                <w:rFonts w:hint="eastAsia" w:ascii="仿宋" w:hAnsi="仿宋" w:eastAsia="仿宋" w:cs="仿宋"/>
                <w:bCs/>
                <w:snapToGrid w:val="0"/>
                <w:sz w:val="28"/>
                <w:szCs w:val="28"/>
                <w:lang w:val="en-US" w:eastAsia="zh-CN"/>
              </w:rPr>
              <w:t>程序合规</w:t>
            </w:r>
            <w:r>
              <w:rPr>
                <w:rFonts w:hint="eastAsia" w:ascii="仿宋" w:hAnsi="仿宋" w:eastAsia="仿宋" w:cs="仿宋"/>
                <w:bCs/>
                <w:snapToGrid w:val="0"/>
                <w:sz w:val="28"/>
                <w:szCs w:val="28"/>
                <w:lang w:eastAsia="zh-CN"/>
              </w:rPr>
              <w:t>性</w:t>
            </w:r>
          </w:p>
        </w:tc>
        <w:tc>
          <w:tcPr>
            <w:tcW w:w="828" w:type="pct"/>
            <w:tcBorders>
              <w:top w:val="nil"/>
              <w:left w:val="nil"/>
              <w:bottom w:val="single" w:color="auto" w:sz="4" w:space="0"/>
              <w:right w:val="single" w:color="auto" w:sz="4" w:space="0"/>
            </w:tcBorders>
            <w:shd w:val="clear" w:color="auto" w:fill="auto"/>
            <w:noWrap/>
            <w:vAlign w:val="center"/>
          </w:tcPr>
          <w:p>
            <w:pPr>
              <w:widowControl/>
              <w:ind w:firstLine="0" w:firstLineChars="0"/>
              <w:jc w:val="center"/>
              <w:textAlignment w:val="bottom"/>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w:t>
            </w:r>
          </w:p>
        </w:tc>
        <w:tc>
          <w:tcPr>
            <w:tcW w:w="88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3</w:t>
            </w:r>
          </w:p>
        </w:tc>
      </w:tr>
      <w:tr>
        <w:tblPrEx>
          <w:tblCellMar>
            <w:top w:w="0" w:type="dxa"/>
            <w:left w:w="108" w:type="dxa"/>
            <w:bottom w:w="0" w:type="dxa"/>
            <w:right w:w="108" w:type="dxa"/>
          </w:tblCellMar>
        </w:tblPrEx>
        <w:trPr>
          <w:trHeight w:val="624" w:hRule="exact"/>
        </w:trPr>
        <w:tc>
          <w:tcPr>
            <w:tcW w:w="3291" w:type="pct"/>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textAlignment w:val="bottom"/>
              <w:rPr>
                <w:rFonts w:hint="eastAsia" w:ascii="仿宋" w:hAnsi="仿宋" w:eastAsia="仿宋" w:cs="仿宋"/>
                <w:bCs/>
                <w:snapToGrid w:val="0"/>
                <w:sz w:val="28"/>
                <w:szCs w:val="28"/>
                <w:lang w:eastAsia="zh-CN"/>
              </w:rPr>
            </w:pPr>
            <w:r>
              <w:rPr>
                <w:rFonts w:hint="eastAsia" w:ascii="仿宋" w:hAnsi="仿宋" w:eastAsia="仿宋" w:cs="仿宋"/>
                <w:bCs/>
                <w:snapToGrid w:val="0"/>
                <w:sz w:val="28"/>
                <w:szCs w:val="28"/>
                <w:lang w:eastAsia="zh-CN"/>
              </w:rPr>
              <w:t>项目实施成果合格性</w:t>
            </w:r>
          </w:p>
        </w:tc>
        <w:tc>
          <w:tcPr>
            <w:tcW w:w="828" w:type="pct"/>
            <w:tcBorders>
              <w:top w:val="nil"/>
              <w:left w:val="nil"/>
              <w:bottom w:val="single" w:color="auto" w:sz="4" w:space="0"/>
              <w:right w:val="single" w:color="auto" w:sz="4" w:space="0"/>
            </w:tcBorders>
            <w:shd w:val="clear" w:color="auto" w:fill="auto"/>
            <w:noWrap/>
            <w:vAlign w:val="center"/>
          </w:tcPr>
          <w:p>
            <w:pPr>
              <w:widowControl/>
              <w:ind w:firstLine="0" w:firstLineChars="0"/>
              <w:jc w:val="center"/>
              <w:textAlignment w:val="bottom"/>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12</w:t>
            </w:r>
          </w:p>
        </w:tc>
        <w:tc>
          <w:tcPr>
            <w:tcW w:w="88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12</w:t>
            </w:r>
          </w:p>
        </w:tc>
      </w:tr>
      <w:tr>
        <w:tblPrEx>
          <w:tblCellMar>
            <w:top w:w="0" w:type="dxa"/>
            <w:left w:w="108" w:type="dxa"/>
            <w:bottom w:w="0" w:type="dxa"/>
            <w:right w:w="108" w:type="dxa"/>
          </w:tblCellMar>
        </w:tblPrEx>
        <w:trPr>
          <w:trHeight w:val="624" w:hRule="exact"/>
        </w:trPr>
        <w:tc>
          <w:tcPr>
            <w:tcW w:w="3291" w:type="pct"/>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textAlignment w:val="bottom"/>
              <w:rPr>
                <w:rFonts w:hint="eastAsia" w:ascii="仿宋" w:hAnsi="仿宋" w:eastAsia="仿宋" w:cs="仿宋"/>
                <w:sz w:val="28"/>
                <w:szCs w:val="28"/>
                <w:lang w:eastAsia="zh-CN" w:bidi="ar"/>
              </w:rPr>
            </w:pPr>
            <w:r>
              <w:rPr>
                <w:rFonts w:hint="eastAsia" w:ascii="仿宋" w:hAnsi="仿宋" w:eastAsia="仿宋" w:cs="仿宋"/>
                <w:bCs/>
                <w:snapToGrid w:val="0"/>
                <w:sz w:val="28"/>
                <w:szCs w:val="28"/>
              </w:rPr>
              <w:t>项目实施的可持续性</w:t>
            </w:r>
          </w:p>
        </w:tc>
        <w:tc>
          <w:tcPr>
            <w:tcW w:w="828" w:type="pct"/>
            <w:tcBorders>
              <w:top w:val="nil"/>
              <w:left w:val="nil"/>
              <w:bottom w:val="single" w:color="auto" w:sz="4" w:space="0"/>
              <w:right w:val="single" w:color="auto" w:sz="4" w:space="0"/>
            </w:tcBorders>
            <w:shd w:val="clear" w:color="auto" w:fill="auto"/>
            <w:noWrap/>
            <w:vAlign w:val="center"/>
          </w:tcPr>
          <w:p>
            <w:pPr>
              <w:widowControl/>
              <w:ind w:firstLine="0" w:firstLineChars="0"/>
              <w:jc w:val="center"/>
              <w:textAlignment w:val="bottom"/>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w:t>
            </w:r>
          </w:p>
        </w:tc>
        <w:tc>
          <w:tcPr>
            <w:tcW w:w="88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9</w:t>
            </w:r>
          </w:p>
        </w:tc>
      </w:tr>
      <w:tr>
        <w:tblPrEx>
          <w:tblCellMar>
            <w:top w:w="0" w:type="dxa"/>
            <w:left w:w="108" w:type="dxa"/>
            <w:bottom w:w="0" w:type="dxa"/>
            <w:right w:w="108" w:type="dxa"/>
          </w:tblCellMar>
        </w:tblPrEx>
        <w:trPr>
          <w:trHeight w:val="624" w:hRule="exact"/>
        </w:trPr>
        <w:tc>
          <w:tcPr>
            <w:tcW w:w="3291" w:type="pct"/>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textAlignment w:val="bottom"/>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bidi="ar"/>
              </w:rPr>
              <w:t>综合得分</w:t>
            </w:r>
          </w:p>
        </w:tc>
        <w:tc>
          <w:tcPr>
            <w:tcW w:w="828" w:type="pct"/>
            <w:tcBorders>
              <w:top w:val="nil"/>
              <w:left w:val="nil"/>
              <w:bottom w:val="single" w:color="auto" w:sz="4" w:space="0"/>
              <w:right w:val="single" w:color="auto" w:sz="4" w:space="0"/>
            </w:tcBorders>
            <w:shd w:val="clear" w:color="auto" w:fill="auto"/>
            <w:noWrap/>
            <w:vAlign w:val="center"/>
          </w:tcPr>
          <w:p>
            <w:pPr>
              <w:widowControl/>
              <w:ind w:firstLine="0" w:firstLineChars="0"/>
              <w:jc w:val="center"/>
              <w:textAlignment w:val="bottom"/>
              <w:rPr>
                <w:rFonts w:hint="default" w:ascii="仿宋" w:hAnsi="仿宋" w:eastAsia="仿宋" w:cs="仿宋"/>
                <w:b/>
                <w:bCs/>
                <w:color w:val="auto"/>
                <w:sz w:val="28"/>
                <w:szCs w:val="28"/>
                <w:highlight w:val="none"/>
              </w:rPr>
            </w:pPr>
            <w:r>
              <w:rPr>
                <w:rFonts w:hint="default" w:ascii="仿宋" w:hAnsi="仿宋" w:eastAsia="仿宋" w:cs="仿宋"/>
                <w:b/>
                <w:bCs/>
                <w:color w:val="auto"/>
                <w:sz w:val="28"/>
                <w:szCs w:val="28"/>
                <w:highlight w:val="none"/>
              </w:rPr>
              <w:fldChar w:fldCharType="begin"/>
            </w:r>
            <w:r>
              <w:rPr>
                <w:rFonts w:hint="default" w:ascii="仿宋" w:hAnsi="仿宋" w:eastAsia="仿宋" w:cs="仿宋"/>
                <w:b/>
                <w:bCs/>
                <w:color w:val="auto"/>
                <w:sz w:val="28"/>
                <w:szCs w:val="28"/>
                <w:highlight w:val="none"/>
              </w:rPr>
              <w:instrText xml:space="preserve"> =SUM(ABOVE) \* MERGEFORMAT </w:instrText>
            </w:r>
            <w:r>
              <w:rPr>
                <w:rFonts w:hint="default" w:ascii="仿宋" w:hAnsi="仿宋" w:eastAsia="仿宋" w:cs="仿宋"/>
                <w:b/>
                <w:bCs/>
                <w:color w:val="auto"/>
                <w:sz w:val="28"/>
                <w:szCs w:val="28"/>
                <w:highlight w:val="none"/>
              </w:rPr>
              <w:fldChar w:fldCharType="separate"/>
            </w:r>
            <w:r>
              <w:rPr>
                <w:rFonts w:hint="default" w:ascii="仿宋" w:hAnsi="仿宋" w:eastAsia="仿宋" w:cs="仿宋"/>
                <w:b/>
                <w:bCs/>
                <w:color w:val="auto"/>
                <w:sz w:val="28"/>
                <w:szCs w:val="28"/>
                <w:highlight w:val="none"/>
              </w:rPr>
              <w:t>100</w:t>
            </w:r>
            <w:r>
              <w:rPr>
                <w:rFonts w:hint="default" w:ascii="仿宋" w:hAnsi="仿宋" w:eastAsia="仿宋" w:cs="仿宋"/>
                <w:b/>
                <w:bCs/>
                <w:color w:val="auto"/>
                <w:sz w:val="28"/>
                <w:szCs w:val="28"/>
                <w:highlight w:val="none"/>
              </w:rPr>
              <w:fldChar w:fldCharType="end"/>
            </w:r>
          </w:p>
        </w:tc>
        <w:tc>
          <w:tcPr>
            <w:tcW w:w="88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b/>
                <w:bCs/>
                <w:color w:val="auto"/>
                <w:sz w:val="28"/>
                <w:szCs w:val="28"/>
                <w:highlight w:val="none"/>
                <w:lang w:eastAsia="zh-CN"/>
              </w:rPr>
            </w:pPr>
            <w:r>
              <w:rPr>
                <w:rFonts w:hint="default" w:ascii="仿宋" w:hAnsi="仿宋" w:eastAsia="仿宋" w:cs="仿宋"/>
                <w:b/>
                <w:bCs/>
                <w:color w:val="auto"/>
                <w:sz w:val="28"/>
                <w:szCs w:val="28"/>
                <w:highlight w:val="none"/>
                <w:lang w:eastAsia="zh-CN"/>
              </w:rPr>
              <w:fldChar w:fldCharType="begin"/>
            </w:r>
            <w:r>
              <w:rPr>
                <w:rFonts w:hint="default" w:ascii="仿宋" w:hAnsi="仿宋" w:eastAsia="仿宋" w:cs="仿宋"/>
                <w:b/>
                <w:bCs/>
                <w:color w:val="auto"/>
                <w:sz w:val="28"/>
                <w:szCs w:val="28"/>
                <w:highlight w:val="none"/>
                <w:lang w:eastAsia="zh-CN"/>
              </w:rPr>
              <w:instrText xml:space="preserve"> =SUM(ABOVE) \* MERGEFORMAT </w:instrText>
            </w:r>
            <w:r>
              <w:rPr>
                <w:rFonts w:hint="default" w:ascii="仿宋" w:hAnsi="仿宋" w:eastAsia="仿宋" w:cs="仿宋"/>
                <w:b/>
                <w:bCs/>
                <w:color w:val="auto"/>
                <w:sz w:val="28"/>
                <w:szCs w:val="28"/>
                <w:highlight w:val="none"/>
                <w:lang w:eastAsia="zh-CN"/>
              </w:rPr>
              <w:fldChar w:fldCharType="separate"/>
            </w:r>
            <w:r>
              <w:rPr>
                <w:rFonts w:hint="default" w:ascii="仿宋" w:hAnsi="仿宋" w:eastAsia="仿宋" w:cs="仿宋"/>
                <w:b/>
                <w:bCs/>
                <w:color w:val="auto"/>
                <w:sz w:val="28"/>
                <w:szCs w:val="28"/>
                <w:highlight w:val="none"/>
                <w:lang w:eastAsia="zh-CN"/>
              </w:rPr>
              <w:t>95</w:t>
            </w:r>
            <w:r>
              <w:rPr>
                <w:rFonts w:hint="default" w:ascii="仿宋" w:hAnsi="仿宋" w:eastAsia="仿宋" w:cs="仿宋"/>
                <w:b/>
                <w:bCs/>
                <w:color w:val="auto"/>
                <w:sz w:val="28"/>
                <w:szCs w:val="28"/>
                <w:highlight w:val="none"/>
                <w:lang w:eastAsia="zh-CN"/>
              </w:rPr>
              <w:fldChar w:fldCharType="end"/>
            </w:r>
          </w:p>
        </w:tc>
      </w:tr>
      <w:tr>
        <w:tblPrEx>
          <w:tblCellMar>
            <w:top w:w="0" w:type="dxa"/>
            <w:left w:w="108" w:type="dxa"/>
            <w:bottom w:w="0" w:type="dxa"/>
            <w:right w:w="108" w:type="dxa"/>
          </w:tblCellMar>
        </w:tblPrEx>
        <w:trPr>
          <w:trHeight w:val="624" w:hRule="exact"/>
        </w:trPr>
        <w:tc>
          <w:tcPr>
            <w:tcW w:w="3291" w:type="pct"/>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textAlignment w:val="bottom"/>
              <w:rPr>
                <w:rFonts w:hint="eastAsia" w:ascii="仿宋" w:hAnsi="仿宋" w:eastAsia="仿宋" w:cs="仿宋"/>
                <w:b w:val="0"/>
                <w:bCs w:val="0"/>
                <w:sz w:val="28"/>
                <w:szCs w:val="28"/>
                <w:lang w:eastAsia="zh-CN" w:bidi="ar"/>
              </w:rPr>
            </w:pPr>
            <w:r>
              <w:rPr>
                <w:rFonts w:hint="eastAsia" w:ascii="仿宋" w:hAnsi="仿宋" w:eastAsia="仿宋" w:cs="仿宋"/>
                <w:sz w:val="28"/>
                <w:szCs w:val="28"/>
                <w:lang w:eastAsia="zh-CN"/>
              </w:rPr>
              <w:t>综合绩效评估结论</w:t>
            </w:r>
          </w:p>
        </w:tc>
        <w:tc>
          <w:tcPr>
            <w:tcW w:w="1708"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szCs w:val="32"/>
                <w:lang w:eastAsia="zh-CN"/>
              </w:rPr>
              <w:t>建议</w:t>
            </w:r>
            <w:r>
              <w:rPr>
                <w:rFonts w:ascii="仿宋" w:hAnsi="仿宋" w:eastAsia="仿宋" w:cs="仿宋"/>
                <w:b/>
                <w:bCs/>
                <w:szCs w:val="32"/>
                <w:lang w:eastAsia="zh-CN"/>
              </w:rPr>
              <w:t>实施</w:t>
            </w:r>
          </w:p>
        </w:tc>
      </w:tr>
    </w:tbl>
    <w:p>
      <w:pPr>
        <w:rPr>
          <w:rFonts w:hint="eastAsia" w:ascii="宋体" w:hAnsi="宋体" w:eastAsia="宋体" w:cs="宋体"/>
          <w:b w:val="0"/>
          <w:bCs w:val="0"/>
          <w:lang w:eastAsia="zh-CN"/>
        </w:rPr>
      </w:pPr>
    </w:p>
    <w:p>
      <w:pPr>
        <w:rPr>
          <w:rFonts w:eastAsia="宋体"/>
          <w:szCs w:val="32"/>
          <w:lang w:eastAsia="zh-CN"/>
        </w:rPr>
      </w:pPr>
      <w:r>
        <w:rPr>
          <w:rFonts w:eastAsia="宋体"/>
          <w:szCs w:val="32"/>
          <w:lang w:eastAsia="zh-CN"/>
        </w:rPr>
        <w:br w:type="page"/>
      </w:r>
    </w:p>
    <w:p>
      <w:pPr>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color w:val="000000"/>
          <w:sz w:val="24"/>
          <w:szCs w:val="24"/>
          <w:lang w:val="en-US" w:eastAsia="en-US" w:bidi="en-US"/>
        </w:rPr>
      </w:pPr>
      <w:r>
        <w:rPr>
          <w:rFonts w:hint="eastAsia" w:ascii="仿宋" w:hAnsi="仿宋" w:eastAsia="仿宋" w:cs="仿宋"/>
          <w:sz w:val="44"/>
          <w:szCs w:val="44"/>
          <w:lang w:eastAsia="zh-CN"/>
        </w:rPr>
        <w:t>目录</w:t>
      </w:r>
      <w:r>
        <w:rPr>
          <w:rFonts w:hint="eastAsia" w:ascii="仿宋" w:hAnsi="仿宋" w:eastAsia="仿宋" w:cs="仿宋"/>
          <w:sz w:val="24"/>
          <w:szCs w:val="24"/>
        </w:rPr>
        <w:fldChar w:fldCharType="begin"/>
      </w:r>
      <w:r>
        <w:rPr>
          <w:rFonts w:hint="eastAsia" w:ascii="仿宋" w:hAnsi="仿宋" w:eastAsia="仿宋" w:cs="仿宋"/>
          <w:sz w:val="24"/>
          <w:szCs w:val="24"/>
          <w:lang w:eastAsia="zh-CN"/>
        </w:rPr>
        <w:instrText xml:space="preserve"> TOC \o "1-2" \h \u </w:instrText>
      </w:r>
      <w:r>
        <w:rPr>
          <w:rFonts w:hint="eastAsia" w:ascii="仿宋" w:hAnsi="仿宋" w:eastAsia="仿宋" w:cs="仿宋"/>
          <w:sz w:val="24"/>
          <w:szCs w:val="24"/>
        </w:rPr>
        <w:fldChar w:fldCharType="separate"/>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_Toc27307 </w:instrText>
      </w:r>
      <w:r>
        <w:rPr>
          <w:rFonts w:hint="eastAsia" w:ascii="仿宋" w:hAnsi="仿宋" w:eastAsia="仿宋" w:cs="仿宋"/>
          <w:sz w:val="24"/>
          <w:szCs w:val="24"/>
        </w:rPr>
        <w:fldChar w:fldCharType="separate"/>
      </w:r>
      <w:r>
        <w:rPr>
          <w:rFonts w:hint="eastAsia" w:ascii="仿宋" w:hAnsi="仿宋" w:eastAsia="仿宋" w:cs="仿宋"/>
          <w:bCs/>
          <w:sz w:val="24"/>
          <w:szCs w:val="24"/>
          <w:lang w:eastAsia="zh-CN"/>
        </w:rPr>
        <w:t>一、项目基本情况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_Toc27307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_Toc8536 </w:instrText>
      </w:r>
      <w:r>
        <w:rPr>
          <w:rFonts w:hint="eastAsia" w:ascii="仿宋" w:hAnsi="仿宋" w:eastAsia="仿宋" w:cs="仿宋"/>
          <w:sz w:val="24"/>
          <w:szCs w:val="24"/>
        </w:rPr>
        <w:fldChar w:fldCharType="separate"/>
      </w:r>
      <w:r>
        <w:rPr>
          <w:rFonts w:hint="eastAsia" w:ascii="仿宋" w:hAnsi="仿宋" w:eastAsia="仿宋" w:cs="仿宋"/>
          <w:bCs/>
          <w:sz w:val="24"/>
          <w:szCs w:val="24"/>
          <w:lang w:eastAsia="zh-CN"/>
        </w:rPr>
        <w:t>（一）项目建设背景</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_Toc8536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_Toc963 </w:instrText>
      </w:r>
      <w:r>
        <w:rPr>
          <w:rFonts w:hint="eastAsia" w:ascii="仿宋" w:hAnsi="仿宋" w:eastAsia="仿宋" w:cs="仿宋"/>
          <w:sz w:val="24"/>
          <w:szCs w:val="24"/>
        </w:rPr>
        <w:fldChar w:fldCharType="separate"/>
      </w:r>
      <w:r>
        <w:rPr>
          <w:rFonts w:hint="eastAsia" w:ascii="仿宋" w:hAnsi="仿宋" w:eastAsia="仿宋" w:cs="仿宋"/>
          <w:bCs/>
          <w:sz w:val="24"/>
          <w:szCs w:val="24"/>
          <w:lang w:eastAsia="zh-CN"/>
        </w:rPr>
        <w:t>（二）项目主要内容</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_Toc963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_Toc16414 </w:instrText>
      </w:r>
      <w:r>
        <w:rPr>
          <w:rFonts w:hint="eastAsia" w:ascii="仿宋" w:hAnsi="仿宋" w:eastAsia="仿宋" w:cs="仿宋"/>
          <w:sz w:val="24"/>
          <w:szCs w:val="24"/>
        </w:rPr>
        <w:fldChar w:fldCharType="separate"/>
      </w:r>
      <w:r>
        <w:rPr>
          <w:rFonts w:hint="eastAsia" w:ascii="仿宋" w:hAnsi="仿宋" w:eastAsia="仿宋" w:cs="仿宋"/>
          <w:bCs/>
          <w:sz w:val="24"/>
          <w:szCs w:val="24"/>
          <w:lang w:eastAsia="zh-CN"/>
        </w:rPr>
        <w:t>（三）</w:t>
      </w:r>
      <w:r>
        <w:rPr>
          <w:rFonts w:hint="eastAsia" w:ascii="仿宋" w:hAnsi="仿宋" w:eastAsia="仿宋" w:cs="仿宋"/>
          <w:bCs/>
          <w:sz w:val="24"/>
          <w:szCs w:val="24"/>
          <w:lang w:val="en-US" w:eastAsia="zh-CN"/>
        </w:rPr>
        <w:t>申请资金</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_Toc16414 \h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_Toc16414 </w:instrText>
      </w:r>
      <w:r>
        <w:rPr>
          <w:rFonts w:hint="eastAsia" w:ascii="仿宋" w:hAnsi="仿宋" w:eastAsia="仿宋" w:cs="仿宋"/>
          <w:sz w:val="24"/>
          <w:szCs w:val="24"/>
        </w:rPr>
        <w:fldChar w:fldCharType="separate"/>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四</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财政确认资金</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_Toc16414 \h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_Toc15206 </w:instrText>
      </w:r>
      <w:r>
        <w:rPr>
          <w:rFonts w:hint="eastAsia" w:ascii="仿宋" w:hAnsi="仿宋" w:eastAsia="仿宋" w:cs="仿宋"/>
          <w:sz w:val="24"/>
          <w:szCs w:val="24"/>
        </w:rPr>
        <w:fldChar w:fldCharType="separate"/>
      </w:r>
      <w:r>
        <w:rPr>
          <w:rFonts w:hint="eastAsia" w:ascii="仿宋" w:hAnsi="仿宋" w:eastAsia="仿宋" w:cs="仿宋"/>
          <w:bCs/>
          <w:sz w:val="24"/>
          <w:szCs w:val="24"/>
          <w:lang w:eastAsia="zh-CN"/>
        </w:rPr>
        <w:t>二、绩效评价工作开展情况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_Toc15206 \h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_Toc26357 </w:instrText>
      </w:r>
      <w:r>
        <w:rPr>
          <w:rFonts w:hint="eastAsia" w:ascii="仿宋" w:hAnsi="仿宋" w:eastAsia="仿宋" w:cs="仿宋"/>
          <w:sz w:val="24"/>
          <w:szCs w:val="24"/>
        </w:rPr>
        <w:fldChar w:fldCharType="separate"/>
      </w:r>
      <w:r>
        <w:rPr>
          <w:rFonts w:hint="eastAsia" w:ascii="仿宋" w:hAnsi="仿宋" w:eastAsia="仿宋" w:cs="仿宋"/>
          <w:bCs/>
          <w:sz w:val="24"/>
          <w:szCs w:val="24"/>
          <w:lang w:eastAsia="zh-CN"/>
        </w:rPr>
        <w:t>(一)绩效评价目的</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_Toc26357 \h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_Toc16583 </w:instrText>
      </w:r>
      <w:r>
        <w:rPr>
          <w:rFonts w:hint="eastAsia" w:ascii="仿宋" w:hAnsi="仿宋" w:eastAsia="仿宋" w:cs="仿宋"/>
          <w:sz w:val="24"/>
          <w:szCs w:val="24"/>
        </w:rPr>
        <w:fldChar w:fldCharType="separate"/>
      </w:r>
      <w:r>
        <w:rPr>
          <w:rFonts w:hint="eastAsia" w:ascii="仿宋" w:hAnsi="仿宋" w:eastAsia="仿宋" w:cs="仿宋"/>
          <w:bCs/>
          <w:sz w:val="24"/>
          <w:szCs w:val="24"/>
          <w:lang w:eastAsia="zh-CN"/>
        </w:rPr>
        <w:t>(二)绩效评价指标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_Toc16583 \h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_Toc16322 </w:instrText>
      </w:r>
      <w:r>
        <w:rPr>
          <w:rFonts w:hint="eastAsia" w:ascii="仿宋" w:hAnsi="仿宋" w:eastAsia="仿宋" w:cs="仿宋"/>
          <w:sz w:val="24"/>
          <w:szCs w:val="24"/>
        </w:rPr>
        <w:fldChar w:fldCharType="separate"/>
      </w:r>
      <w:r>
        <w:rPr>
          <w:rFonts w:hint="eastAsia" w:ascii="仿宋" w:hAnsi="仿宋" w:eastAsia="仿宋" w:cs="仿宋"/>
          <w:bCs/>
          <w:sz w:val="24"/>
          <w:szCs w:val="24"/>
          <w:lang w:eastAsia="zh-CN"/>
        </w:rPr>
        <w:t>(三)</w:t>
      </w:r>
      <w:r>
        <w:rPr>
          <w:rFonts w:hint="eastAsia" w:ascii="仿宋" w:hAnsi="仿宋" w:eastAsia="仿宋" w:cs="仿宋"/>
          <w:bCs/>
          <w:sz w:val="24"/>
          <w:szCs w:val="24"/>
        </w:rPr>
        <w:t>评价依据</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_Toc16322 \h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_Toc30638 </w:instrText>
      </w:r>
      <w:r>
        <w:rPr>
          <w:rFonts w:hint="eastAsia" w:ascii="仿宋" w:hAnsi="仿宋" w:eastAsia="仿宋" w:cs="仿宋"/>
          <w:sz w:val="24"/>
          <w:szCs w:val="24"/>
        </w:rPr>
        <w:fldChar w:fldCharType="separate"/>
      </w:r>
      <w:r>
        <w:rPr>
          <w:rFonts w:hint="eastAsia" w:ascii="仿宋" w:hAnsi="仿宋" w:eastAsia="仿宋" w:cs="仿宋"/>
          <w:bCs/>
          <w:sz w:val="24"/>
          <w:szCs w:val="24"/>
        </w:rPr>
        <w:t>(四)绩效评价原则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_Toc30638 \h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_Toc25280 </w:instrText>
      </w:r>
      <w:r>
        <w:rPr>
          <w:rFonts w:hint="eastAsia" w:ascii="仿宋" w:hAnsi="仿宋" w:eastAsia="仿宋" w:cs="仿宋"/>
          <w:sz w:val="24"/>
          <w:szCs w:val="24"/>
        </w:rPr>
        <w:fldChar w:fldCharType="separate"/>
      </w:r>
      <w:r>
        <w:rPr>
          <w:rFonts w:hint="eastAsia" w:ascii="仿宋" w:hAnsi="仿宋" w:eastAsia="仿宋" w:cs="仿宋"/>
          <w:bCs/>
          <w:sz w:val="24"/>
          <w:szCs w:val="24"/>
        </w:rPr>
        <w:t>(五)评价</w:t>
      </w:r>
      <w:r>
        <w:rPr>
          <w:rFonts w:hint="eastAsia" w:ascii="仿宋" w:hAnsi="仿宋" w:eastAsia="仿宋" w:cs="仿宋"/>
          <w:bCs/>
          <w:sz w:val="24"/>
          <w:szCs w:val="24"/>
          <w:lang w:eastAsia="zh-CN"/>
        </w:rPr>
        <w:t>方法和等级设定</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_Toc25280 \h </w:instrText>
      </w:r>
      <w:r>
        <w:rPr>
          <w:rFonts w:hint="eastAsia" w:ascii="仿宋" w:hAnsi="仿宋" w:eastAsia="仿宋" w:cs="仿宋"/>
          <w:sz w:val="24"/>
          <w:szCs w:val="24"/>
        </w:rPr>
        <w:fldChar w:fldCharType="separate"/>
      </w:r>
      <w:r>
        <w:rPr>
          <w:rFonts w:hint="eastAsia" w:ascii="仿宋" w:hAnsi="仿宋" w:eastAsia="仿宋" w:cs="仿宋"/>
          <w:sz w:val="24"/>
          <w:szCs w:val="24"/>
        </w:rPr>
        <w:t>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_Toc5302 </w:instrText>
      </w:r>
      <w:r>
        <w:rPr>
          <w:rFonts w:hint="eastAsia" w:ascii="仿宋" w:hAnsi="仿宋" w:eastAsia="仿宋" w:cs="仿宋"/>
          <w:sz w:val="24"/>
          <w:szCs w:val="24"/>
        </w:rPr>
        <w:fldChar w:fldCharType="separate"/>
      </w:r>
      <w:r>
        <w:rPr>
          <w:rFonts w:hint="eastAsia" w:ascii="仿宋" w:hAnsi="仿宋" w:eastAsia="仿宋" w:cs="仿宋"/>
          <w:bCs/>
          <w:sz w:val="24"/>
          <w:szCs w:val="24"/>
          <w:lang w:eastAsia="zh-CN"/>
        </w:rPr>
        <w:t>(六)评价程序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_Toc5302 \h </w:instrText>
      </w:r>
      <w:r>
        <w:rPr>
          <w:rFonts w:hint="eastAsia" w:ascii="仿宋" w:hAnsi="仿宋" w:eastAsia="仿宋" w:cs="仿宋"/>
          <w:sz w:val="24"/>
          <w:szCs w:val="24"/>
        </w:rPr>
        <w:fldChar w:fldCharType="separate"/>
      </w:r>
      <w:r>
        <w:rPr>
          <w:rFonts w:hint="eastAsia" w:ascii="仿宋" w:hAnsi="仿宋" w:eastAsia="仿宋" w:cs="仿宋"/>
          <w:sz w:val="24"/>
          <w:szCs w:val="24"/>
        </w:rPr>
        <w:t>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_Toc25156 </w:instrText>
      </w:r>
      <w:r>
        <w:rPr>
          <w:rFonts w:hint="eastAsia" w:ascii="仿宋" w:hAnsi="仿宋" w:eastAsia="仿宋" w:cs="仿宋"/>
          <w:sz w:val="24"/>
          <w:szCs w:val="24"/>
        </w:rPr>
        <w:fldChar w:fldCharType="separate"/>
      </w:r>
      <w:r>
        <w:rPr>
          <w:rFonts w:hint="eastAsia" w:ascii="仿宋" w:hAnsi="仿宋" w:eastAsia="仿宋" w:cs="仿宋"/>
          <w:bCs/>
          <w:sz w:val="24"/>
          <w:szCs w:val="24"/>
          <w:lang w:eastAsia="zh-CN"/>
        </w:rPr>
        <w:t>(七)论证思路及方法</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_Toc25156 \h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_Toc22648 </w:instrText>
      </w:r>
      <w:r>
        <w:rPr>
          <w:rFonts w:hint="eastAsia" w:ascii="仿宋" w:hAnsi="仿宋" w:eastAsia="仿宋" w:cs="仿宋"/>
          <w:sz w:val="24"/>
          <w:szCs w:val="24"/>
        </w:rPr>
        <w:fldChar w:fldCharType="separate"/>
      </w:r>
      <w:r>
        <w:rPr>
          <w:rFonts w:hint="eastAsia" w:ascii="仿宋" w:hAnsi="仿宋" w:eastAsia="仿宋" w:cs="仿宋"/>
          <w:bCs/>
          <w:sz w:val="24"/>
          <w:szCs w:val="24"/>
          <w:lang w:eastAsia="zh-CN"/>
        </w:rPr>
        <w:t>(八)评估方式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_Toc22648 \h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_Toc32177 </w:instrText>
      </w:r>
      <w:r>
        <w:rPr>
          <w:rFonts w:hint="eastAsia" w:ascii="仿宋" w:hAnsi="仿宋" w:eastAsia="仿宋" w:cs="仿宋"/>
          <w:sz w:val="24"/>
          <w:szCs w:val="24"/>
        </w:rPr>
        <w:fldChar w:fldCharType="separate"/>
      </w:r>
      <w:r>
        <w:rPr>
          <w:rFonts w:hint="eastAsia" w:ascii="仿宋" w:hAnsi="仿宋" w:eastAsia="仿宋" w:cs="仿宋"/>
          <w:bCs/>
          <w:sz w:val="24"/>
          <w:szCs w:val="24"/>
          <w:lang w:eastAsia="zh-CN"/>
        </w:rPr>
        <w:t>三、事前绩效评估指标体系及得分情况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_Toc32177 \h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_Toc18745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四、绩效评价内容与结论</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_Toc18745 \h </w:instrText>
      </w:r>
      <w:r>
        <w:rPr>
          <w:rFonts w:hint="eastAsia" w:ascii="仿宋" w:hAnsi="仿宋" w:eastAsia="仿宋" w:cs="仿宋"/>
          <w:sz w:val="24"/>
          <w:szCs w:val="24"/>
        </w:rPr>
        <w:fldChar w:fldCharType="separate"/>
      </w:r>
      <w:r>
        <w:rPr>
          <w:rFonts w:hint="eastAsia" w:ascii="仿宋" w:hAnsi="仿宋" w:eastAsia="仿宋" w:cs="仿宋"/>
          <w:sz w:val="24"/>
          <w:szCs w:val="24"/>
        </w:rPr>
        <w:t>11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_Toc31996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(一)</w:t>
      </w:r>
      <w:r>
        <w:rPr>
          <w:rFonts w:hint="eastAsia" w:ascii="仿宋" w:hAnsi="仿宋" w:eastAsia="仿宋" w:cs="仿宋"/>
          <w:kern w:val="44"/>
          <w:sz w:val="24"/>
          <w:szCs w:val="24"/>
          <w:lang w:eastAsia="zh-CN"/>
        </w:rPr>
        <w:t>项目实施的必要性、公益性、</w:t>
      </w:r>
      <w:r>
        <w:rPr>
          <w:rFonts w:hint="eastAsia" w:ascii="仿宋" w:hAnsi="仿宋" w:eastAsia="仿宋" w:cs="仿宋"/>
          <w:kern w:val="44"/>
          <w:sz w:val="24"/>
          <w:szCs w:val="24"/>
          <w:lang w:val="en-US" w:eastAsia="zh-CN"/>
        </w:rPr>
        <w:t>经济</w:t>
      </w:r>
      <w:r>
        <w:rPr>
          <w:rFonts w:hint="eastAsia" w:ascii="仿宋" w:hAnsi="仿宋" w:eastAsia="仿宋" w:cs="仿宋"/>
          <w:kern w:val="44"/>
          <w:sz w:val="24"/>
          <w:szCs w:val="24"/>
          <w:lang w:eastAsia="zh-CN"/>
        </w:rPr>
        <w:t>性</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_Toc31996 \h </w:instrText>
      </w:r>
      <w:r>
        <w:rPr>
          <w:rFonts w:hint="eastAsia" w:ascii="仿宋" w:hAnsi="仿宋" w:eastAsia="仿宋" w:cs="仿宋"/>
          <w:sz w:val="24"/>
          <w:szCs w:val="24"/>
        </w:rPr>
        <w:fldChar w:fldCharType="separate"/>
      </w:r>
      <w:r>
        <w:rPr>
          <w:rFonts w:hint="eastAsia" w:ascii="仿宋" w:hAnsi="仿宋" w:eastAsia="仿宋" w:cs="仿宋"/>
          <w:sz w:val="24"/>
          <w:szCs w:val="24"/>
        </w:rPr>
        <w:t>11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_Toc1742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(二)</w:t>
      </w:r>
      <w:r>
        <w:rPr>
          <w:rFonts w:hint="eastAsia" w:ascii="仿宋" w:hAnsi="仿宋" w:eastAsia="仿宋" w:cs="仿宋"/>
          <w:kern w:val="44"/>
          <w:sz w:val="24"/>
          <w:szCs w:val="24"/>
          <w:lang w:eastAsia="zh-CN"/>
        </w:rPr>
        <w:t>项目实施合规性与成熟度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_Toc1742 \h </w:instrText>
      </w:r>
      <w:r>
        <w:rPr>
          <w:rFonts w:hint="eastAsia" w:ascii="仿宋" w:hAnsi="仿宋" w:eastAsia="仿宋" w:cs="仿宋"/>
          <w:sz w:val="24"/>
          <w:szCs w:val="24"/>
        </w:rPr>
        <w:fldChar w:fldCharType="separate"/>
      </w:r>
      <w:r>
        <w:rPr>
          <w:rFonts w:hint="eastAsia" w:ascii="仿宋" w:hAnsi="仿宋" w:eastAsia="仿宋" w:cs="仿宋"/>
          <w:sz w:val="24"/>
          <w:szCs w:val="24"/>
        </w:rPr>
        <w:t>13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_Toc374 </w:instrText>
      </w:r>
      <w:r>
        <w:rPr>
          <w:rFonts w:hint="eastAsia" w:ascii="仿宋" w:hAnsi="仿宋" w:eastAsia="仿宋" w:cs="仿宋"/>
          <w:sz w:val="24"/>
          <w:szCs w:val="24"/>
        </w:rPr>
        <w:fldChar w:fldCharType="separate"/>
      </w:r>
      <w:r>
        <w:rPr>
          <w:rFonts w:hint="eastAsia" w:ascii="仿宋" w:hAnsi="仿宋" w:eastAsia="仿宋" w:cs="仿宋"/>
          <w:kern w:val="44"/>
          <w:sz w:val="24"/>
          <w:szCs w:val="24"/>
          <w:lang w:eastAsia="zh-CN"/>
        </w:rPr>
        <w:t>(三)项目资金来源、资金到位可行性</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_Toc374 \h </w:instrText>
      </w:r>
      <w:r>
        <w:rPr>
          <w:rFonts w:hint="eastAsia" w:ascii="仿宋" w:hAnsi="仿宋" w:eastAsia="仿宋" w:cs="仿宋"/>
          <w:sz w:val="24"/>
          <w:szCs w:val="24"/>
        </w:rPr>
        <w:fldChar w:fldCharType="separate"/>
      </w:r>
      <w:r>
        <w:rPr>
          <w:rFonts w:hint="eastAsia" w:ascii="仿宋" w:hAnsi="仿宋" w:eastAsia="仿宋" w:cs="仿宋"/>
          <w:sz w:val="24"/>
          <w:szCs w:val="24"/>
        </w:rPr>
        <w:t>15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_Toc29394 </w:instrText>
      </w:r>
      <w:r>
        <w:rPr>
          <w:rFonts w:hint="eastAsia" w:ascii="仿宋" w:hAnsi="仿宋" w:eastAsia="仿宋" w:cs="仿宋"/>
          <w:sz w:val="24"/>
          <w:szCs w:val="24"/>
        </w:rPr>
        <w:fldChar w:fldCharType="separate"/>
      </w:r>
      <w:r>
        <w:rPr>
          <w:rFonts w:hint="eastAsia" w:ascii="仿宋" w:hAnsi="仿宋" w:eastAsia="仿宋" w:cs="仿宋"/>
          <w:kern w:val="44"/>
          <w:sz w:val="24"/>
          <w:szCs w:val="24"/>
          <w:lang w:eastAsia="zh-CN"/>
        </w:rPr>
        <w:t>(四)资金使用计划</w:t>
      </w:r>
      <w:r>
        <w:rPr>
          <w:rFonts w:hint="eastAsia" w:ascii="仿宋" w:hAnsi="仿宋" w:eastAsia="仿宋" w:cs="仿宋"/>
          <w:kern w:val="44"/>
          <w:sz w:val="24"/>
          <w:szCs w:val="24"/>
          <w:lang w:val="en-US" w:eastAsia="zh-CN"/>
        </w:rPr>
        <w:t>及支付</w:t>
      </w:r>
      <w:r>
        <w:rPr>
          <w:rFonts w:hint="eastAsia" w:ascii="仿宋" w:hAnsi="仿宋" w:eastAsia="仿宋" w:cs="仿宋"/>
          <w:kern w:val="44"/>
          <w:sz w:val="24"/>
          <w:szCs w:val="24"/>
          <w:lang w:eastAsia="zh-CN"/>
        </w:rPr>
        <w:t>合理性、资金到位及时性</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_Toc29394 \h </w:instrText>
      </w:r>
      <w:r>
        <w:rPr>
          <w:rFonts w:hint="eastAsia" w:ascii="仿宋" w:hAnsi="仿宋" w:eastAsia="仿宋" w:cs="仿宋"/>
          <w:sz w:val="24"/>
          <w:szCs w:val="24"/>
        </w:rPr>
        <w:fldChar w:fldCharType="separate"/>
      </w:r>
      <w:r>
        <w:rPr>
          <w:rFonts w:hint="eastAsia" w:ascii="仿宋" w:hAnsi="仿宋" w:eastAsia="仿宋" w:cs="仿宋"/>
          <w:sz w:val="24"/>
          <w:szCs w:val="24"/>
        </w:rPr>
        <w:t>16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_Toc15794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(五)</w:t>
      </w:r>
      <w:r>
        <w:rPr>
          <w:rFonts w:hint="eastAsia" w:ascii="仿宋" w:hAnsi="仿宋" w:eastAsia="仿宋" w:cs="仿宋"/>
          <w:kern w:val="44"/>
          <w:sz w:val="24"/>
          <w:szCs w:val="24"/>
          <w:lang w:eastAsia="zh-CN"/>
        </w:rPr>
        <w:t>项目绩效目标明确性、合理性</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_Toc15794 \h </w:instrText>
      </w:r>
      <w:r>
        <w:rPr>
          <w:rFonts w:hint="eastAsia" w:ascii="仿宋" w:hAnsi="仿宋" w:eastAsia="仿宋" w:cs="仿宋"/>
          <w:sz w:val="24"/>
          <w:szCs w:val="24"/>
        </w:rPr>
        <w:fldChar w:fldCharType="separate"/>
      </w:r>
      <w:r>
        <w:rPr>
          <w:rFonts w:hint="eastAsia" w:ascii="仿宋" w:hAnsi="仿宋" w:eastAsia="仿宋" w:cs="仿宋"/>
          <w:sz w:val="24"/>
          <w:szCs w:val="24"/>
        </w:rPr>
        <w:t>17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_Toc30567 </w:instrText>
      </w:r>
      <w:r>
        <w:rPr>
          <w:rFonts w:hint="eastAsia" w:ascii="仿宋" w:hAnsi="仿宋" w:eastAsia="仿宋" w:cs="仿宋"/>
          <w:sz w:val="24"/>
          <w:szCs w:val="24"/>
        </w:rPr>
        <w:fldChar w:fldCharType="separate"/>
      </w:r>
      <w:r>
        <w:rPr>
          <w:rFonts w:hint="eastAsia" w:ascii="仿宋" w:hAnsi="仿宋" w:eastAsia="仿宋" w:cs="仿宋"/>
          <w:kern w:val="44"/>
          <w:sz w:val="24"/>
          <w:szCs w:val="24"/>
          <w:lang w:eastAsia="zh-CN"/>
        </w:rPr>
        <w:t>(六)</w:t>
      </w:r>
      <w:r>
        <w:rPr>
          <w:rFonts w:hint="eastAsia" w:ascii="仿宋" w:hAnsi="仿宋" w:eastAsia="仿宋" w:cs="仿宋"/>
          <w:kern w:val="44"/>
          <w:sz w:val="24"/>
          <w:szCs w:val="24"/>
          <w:highlight w:val="none"/>
          <w:lang w:val="en-US" w:eastAsia="zh-CN"/>
        </w:rPr>
        <w:t>项目实施程序合规性</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_Toc30567 \h </w:instrText>
      </w:r>
      <w:r>
        <w:rPr>
          <w:rFonts w:hint="eastAsia" w:ascii="仿宋" w:hAnsi="仿宋" w:eastAsia="仿宋" w:cs="仿宋"/>
          <w:sz w:val="24"/>
          <w:szCs w:val="24"/>
        </w:rPr>
        <w:fldChar w:fldCharType="separate"/>
      </w:r>
      <w:r>
        <w:rPr>
          <w:rFonts w:hint="eastAsia" w:ascii="仿宋" w:hAnsi="仿宋" w:eastAsia="仿宋" w:cs="仿宋"/>
          <w:sz w:val="24"/>
          <w:szCs w:val="24"/>
        </w:rPr>
        <w:t>18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_Toc21947 </w:instrText>
      </w:r>
      <w:r>
        <w:rPr>
          <w:rFonts w:hint="eastAsia" w:ascii="仿宋" w:hAnsi="仿宋" w:eastAsia="仿宋" w:cs="仿宋"/>
          <w:sz w:val="24"/>
          <w:szCs w:val="24"/>
        </w:rPr>
        <w:fldChar w:fldCharType="separate"/>
      </w:r>
      <w:r>
        <w:rPr>
          <w:rFonts w:hint="eastAsia" w:ascii="仿宋" w:hAnsi="仿宋" w:eastAsia="仿宋" w:cs="仿宋"/>
          <w:kern w:val="44"/>
          <w:sz w:val="24"/>
          <w:szCs w:val="24"/>
          <w:lang w:eastAsia="zh-CN"/>
        </w:rPr>
        <w:t>(七)</w:t>
      </w:r>
      <w:r>
        <w:rPr>
          <w:rFonts w:hint="eastAsia" w:ascii="仿宋" w:hAnsi="仿宋" w:eastAsia="仿宋" w:cs="仿宋"/>
          <w:kern w:val="44"/>
          <w:sz w:val="24"/>
          <w:szCs w:val="24"/>
          <w:highlight w:val="none"/>
          <w:lang w:eastAsia="zh-CN"/>
        </w:rPr>
        <w:t>项目实施成果合格性</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_Toc21947 \h </w:instrText>
      </w:r>
      <w:r>
        <w:rPr>
          <w:rFonts w:hint="eastAsia" w:ascii="仿宋" w:hAnsi="仿宋" w:eastAsia="仿宋" w:cs="仿宋"/>
          <w:sz w:val="24"/>
          <w:szCs w:val="24"/>
        </w:rPr>
        <w:fldChar w:fldCharType="separate"/>
      </w:r>
      <w:r>
        <w:rPr>
          <w:rFonts w:hint="eastAsia" w:ascii="仿宋" w:hAnsi="仿宋" w:eastAsia="仿宋" w:cs="仿宋"/>
          <w:sz w:val="24"/>
          <w:szCs w:val="24"/>
        </w:rPr>
        <w:t>18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_Toc18707 </w:instrText>
      </w:r>
      <w:r>
        <w:rPr>
          <w:rFonts w:hint="eastAsia" w:ascii="仿宋" w:hAnsi="仿宋" w:eastAsia="仿宋" w:cs="仿宋"/>
          <w:sz w:val="24"/>
          <w:szCs w:val="24"/>
        </w:rPr>
        <w:fldChar w:fldCharType="separate"/>
      </w:r>
      <w:r>
        <w:rPr>
          <w:rFonts w:hint="eastAsia" w:ascii="仿宋" w:hAnsi="仿宋" w:eastAsia="仿宋" w:cs="仿宋"/>
          <w:kern w:val="44"/>
          <w:sz w:val="24"/>
          <w:szCs w:val="24"/>
          <w:lang w:eastAsia="zh-CN"/>
        </w:rPr>
        <w:t>(八)项目实施的可持续性</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_Toc18707 \h </w:instrText>
      </w:r>
      <w:r>
        <w:rPr>
          <w:rFonts w:hint="eastAsia" w:ascii="仿宋" w:hAnsi="仿宋" w:eastAsia="仿宋" w:cs="仿宋"/>
          <w:sz w:val="24"/>
          <w:szCs w:val="24"/>
        </w:rPr>
        <w:fldChar w:fldCharType="separate"/>
      </w:r>
      <w:r>
        <w:rPr>
          <w:rFonts w:hint="eastAsia" w:ascii="仿宋" w:hAnsi="仿宋" w:eastAsia="仿宋" w:cs="仿宋"/>
          <w:sz w:val="24"/>
          <w:szCs w:val="24"/>
        </w:rPr>
        <w:t>20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_Toc29187 </w:instrText>
      </w:r>
      <w:r>
        <w:rPr>
          <w:rFonts w:hint="eastAsia" w:ascii="仿宋" w:hAnsi="仿宋" w:eastAsia="仿宋" w:cs="仿宋"/>
          <w:sz w:val="24"/>
          <w:szCs w:val="24"/>
        </w:rPr>
        <w:fldChar w:fldCharType="separate"/>
      </w:r>
      <w:r>
        <w:rPr>
          <w:rFonts w:hint="eastAsia" w:ascii="仿宋" w:hAnsi="仿宋" w:eastAsia="仿宋" w:cs="仿宋"/>
          <w:kern w:val="44"/>
          <w:sz w:val="24"/>
          <w:szCs w:val="24"/>
          <w:lang w:eastAsia="zh-CN"/>
        </w:rPr>
        <w:t>(九)总体结论</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_Toc29187 \h </w:instrText>
      </w:r>
      <w:r>
        <w:rPr>
          <w:rFonts w:hint="eastAsia" w:ascii="仿宋" w:hAnsi="仿宋" w:eastAsia="仿宋" w:cs="仿宋"/>
          <w:sz w:val="24"/>
          <w:szCs w:val="24"/>
        </w:rPr>
        <w:fldChar w:fldCharType="separate"/>
      </w:r>
      <w:r>
        <w:rPr>
          <w:rFonts w:hint="eastAsia" w:ascii="仿宋" w:hAnsi="仿宋" w:eastAsia="仿宋" w:cs="仿宋"/>
          <w:sz w:val="24"/>
          <w:szCs w:val="24"/>
        </w:rPr>
        <w:t>21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_Toc9339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五、相关建议</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_Toc9339 \h </w:instrText>
      </w:r>
      <w:r>
        <w:rPr>
          <w:rFonts w:hint="eastAsia" w:ascii="仿宋" w:hAnsi="仿宋" w:eastAsia="仿宋" w:cs="仿宋"/>
          <w:sz w:val="24"/>
          <w:szCs w:val="24"/>
        </w:rPr>
        <w:fldChar w:fldCharType="separate"/>
      </w:r>
      <w:r>
        <w:rPr>
          <w:rFonts w:hint="eastAsia" w:ascii="仿宋" w:hAnsi="仿宋" w:eastAsia="仿宋" w:cs="仿宋"/>
          <w:sz w:val="24"/>
          <w:szCs w:val="24"/>
        </w:rPr>
        <w:t>22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_Toc8873 </w:instrText>
      </w:r>
      <w:r>
        <w:rPr>
          <w:rFonts w:hint="eastAsia" w:ascii="仿宋" w:hAnsi="仿宋" w:eastAsia="仿宋" w:cs="仿宋"/>
          <w:sz w:val="24"/>
          <w:szCs w:val="24"/>
        </w:rPr>
        <w:fldChar w:fldCharType="separate"/>
      </w:r>
      <w:r>
        <w:rPr>
          <w:rFonts w:hint="eastAsia" w:ascii="仿宋" w:hAnsi="仿宋" w:eastAsia="仿宋" w:cs="仿宋"/>
          <w:bCs/>
          <w:sz w:val="24"/>
          <w:szCs w:val="24"/>
          <w:lang w:val="en-US" w:eastAsia="zh-CN"/>
        </w:rPr>
        <w:t>(一)资金支付因跨期时间太长不合理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_Toc8873 \h </w:instrText>
      </w:r>
      <w:r>
        <w:rPr>
          <w:rFonts w:hint="eastAsia" w:ascii="仿宋" w:hAnsi="仿宋" w:eastAsia="仿宋" w:cs="仿宋"/>
          <w:sz w:val="24"/>
          <w:szCs w:val="24"/>
        </w:rPr>
        <w:fldChar w:fldCharType="separate"/>
      </w:r>
      <w:r>
        <w:rPr>
          <w:rFonts w:hint="eastAsia" w:ascii="仿宋" w:hAnsi="仿宋" w:eastAsia="仿宋" w:cs="仿宋"/>
          <w:sz w:val="24"/>
          <w:szCs w:val="24"/>
        </w:rPr>
        <w:t>22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_Toc20238 </w:instrText>
      </w:r>
      <w:r>
        <w:rPr>
          <w:rFonts w:hint="eastAsia" w:ascii="仿宋" w:hAnsi="仿宋" w:eastAsia="仿宋" w:cs="仿宋"/>
          <w:sz w:val="24"/>
          <w:szCs w:val="24"/>
        </w:rPr>
        <w:fldChar w:fldCharType="separate"/>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二</w:t>
      </w:r>
      <w:r>
        <w:rPr>
          <w:rFonts w:hint="eastAsia" w:ascii="仿宋" w:hAnsi="仿宋" w:eastAsia="仿宋" w:cs="仿宋"/>
          <w:bCs/>
          <w:sz w:val="24"/>
          <w:szCs w:val="24"/>
          <w:lang w:eastAsia="zh-CN"/>
        </w:rPr>
        <w:t>)</w:t>
      </w:r>
      <w:r>
        <w:rPr>
          <w:rFonts w:hint="eastAsia" w:ascii="仿宋" w:hAnsi="仿宋" w:eastAsia="仿宋" w:cs="仿宋"/>
          <w:bCs/>
          <w:sz w:val="24"/>
          <w:szCs w:val="24"/>
          <w:highlight w:val="none"/>
          <w:lang w:val="en-US" w:eastAsia="zh-CN"/>
        </w:rPr>
        <w:t>非官方媒体合作单位的选定未通过比选、招投标确定</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_Toc20238 \h </w:instrText>
      </w:r>
      <w:r>
        <w:rPr>
          <w:rFonts w:hint="eastAsia" w:ascii="仿宋" w:hAnsi="仿宋" w:eastAsia="仿宋" w:cs="仿宋"/>
          <w:sz w:val="24"/>
          <w:szCs w:val="24"/>
        </w:rPr>
        <w:fldChar w:fldCharType="separate"/>
      </w:r>
      <w:r>
        <w:rPr>
          <w:rFonts w:hint="eastAsia" w:ascii="仿宋" w:hAnsi="仿宋" w:eastAsia="仿宋" w:cs="仿宋"/>
          <w:sz w:val="24"/>
          <w:szCs w:val="24"/>
        </w:rPr>
        <w:t>22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_Toc24070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六、其他需要说明的问题</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_Toc24070 \h </w:instrText>
      </w:r>
      <w:r>
        <w:rPr>
          <w:rFonts w:hint="eastAsia" w:ascii="仿宋" w:hAnsi="仿宋" w:eastAsia="仿宋" w:cs="仿宋"/>
          <w:sz w:val="24"/>
          <w:szCs w:val="24"/>
        </w:rPr>
        <w:fldChar w:fldCharType="separate"/>
      </w:r>
      <w:r>
        <w:rPr>
          <w:rFonts w:hint="eastAsia" w:ascii="仿宋" w:hAnsi="仿宋" w:eastAsia="仿宋" w:cs="仿宋"/>
          <w:sz w:val="24"/>
          <w:szCs w:val="24"/>
        </w:rPr>
        <w:t>23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_Toc6613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七、附件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_Toc6613 \h </w:instrText>
      </w:r>
      <w:r>
        <w:rPr>
          <w:rFonts w:hint="eastAsia" w:ascii="仿宋" w:hAnsi="仿宋" w:eastAsia="仿宋" w:cs="仿宋"/>
          <w:sz w:val="24"/>
          <w:szCs w:val="24"/>
        </w:rPr>
        <w:fldChar w:fldCharType="separate"/>
      </w:r>
      <w:r>
        <w:rPr>
          <w:rFonts w:hint="eastAsia" w:ascii="仿宋" w:hAnsi="仿宋" w:eastAsia="仿宋" w:cs="仿宋"/>
          <w:sz w:val="24"/>
          <w:szCs w:val="24"/>
        </w:rPr>
        <w:t>23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before="0" w:after="0" w:line="500" w:lineRule="exact"/>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fldChar w:fldCharType="end"/>
      </w:r>
    </w:p>
    <w:p>
      <w:pPr>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sz w:val="24"/>
          <w:szCs w:val="24"/>
        </w:rPr>
      </w:pPr>
    </w:p>
    <w:p>
      <w:pPr>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sz w:val="24"/>
          <w:szCs w:val="24"/>
          <w:lang w:eastAsia="zh-CN"/>
        </w:rPr>
      </w:pPr>
    </w:p>
    <w:p>
      <w:pPr>
        <w:pStyle w:val="14"/>
        <w:tabs>
          <w:tab w:val="right" w:leader="dot" w:pos="8306"/>
        </w:tabs>
        <w:ind w:firstLine="562"/>
        <w:rPr>
          <w:rFonts w:ascii="Times New Roman" w:hAnsi="Times New Roman" w:eastAsia="宋体" w:cs="Times New Roman"/>
          <w:sz w:val="28"/>
          <w:szCs w:val="28"/>
          <w:lang w:eastAsia="zh-CN"/>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800" w:bottom="1440" w:left="1800" w:header="851" w:footer="992" w:gutter="0"/>
          <w:pgNumType w:fmt="numberInDash" w:start="1"/>
          <w:cols w:space="425" w:num="1"/>
          <w:docGrid w:type="lines" w:linePitch="312" w:charSpace="0"/>
        </w:sectPr>
      </w:pPr>
      <w:r>
        <w:rPr>
          <w:rFonts w:ascii="Times New Roman" w:hAnsi="Times New Roman" w:eastAsia="宋体" w:cs="Times New Roman"/>
          <w:sz w:val="28"/>
          <w:szCs w:val="28"/>
          <w:lang w:eastAsia="zh-CN"/>
        </w:rPr>
        <w:br w:type="page"/>
      </w:r>
    </w:p>
    <w:p>
      <w:pPr>
        <w:pStyle w:val="20"/>
        <w:spacing w:before="0" w:beforeLines="0" w:after="0" w:afterLines="0" w:line="780" w:lineRule="exact"/>
        <w:ind w:left="-426" w:leftChars="-221" w:right="-624" w:rightChars="-195" w:hanging="281" w:hangingChars="64"/>
        <w:outlineLvl w:val="1"/>
        <w:rPr>
          <w:rFonts w:hint="eastAsia" w:ascii="方正小标宋简体" w:hAnsi="方正小标宋简体" w:eastAsia="方正小标宋简体" w:cs="方正小标宋简体"/>
          <w:b w:val="0"/>
          <w:bCs w:val="0"/>
          <w:lang w:eastAsia="zh-CN"/>
        </w:rPr>
      </w:pPr>
      <w:bookmarkStart w:id="31" w:name="_Toc19876"/>
      <w:bookmarkStart w:id="32" w:name="_Toc28591"/>
      <w:bookmarkStart w:id="33" w:name="_Toc11127"/>
      <w:bookmarkStart w:id="34" w:name="_Toc18501"/>
      <w:bookmarkStart w:id="35" w:name="_Toc132480957"/>
      <w:bookmarkStart w:id="36" w:name="_Toc17291"/>
      <w:bookmarkStart w:id="37" w:name="_Toc400713784"/>
      <w:bookmarkStart w:id="38" w:name="_Toc132480512"/>
      <w:bookmarkStart w:id="39" w:name="_Toc22608"/>
      <w:bookmarkStart w:id="40" w:name="_Toc562319121"/>
      <w:bookmarkStart w:id="41" w:name="_Toc130033874"/>
      <w:bookmarkStart w:id="42" w:name="_Toc1902724683"/>
      <w:bookmarkStart w:id="43" w:name="_Toc133498022"/>
      <w:bookmarkStart w:id="44" w:name="_Toc792595118"/>
      <w:bookmarkStart w:id="45" w:name="_Toc13216"/>
      <w:bookmarkStart w:id="46" w:name="_Toc1675062758"/>
      <w:bookmarkStart w:id="47" w:name="_Toc1042875910_WPSOffice_Level1"/>
      <w:r>
        <w:rPr>
          <w:rFonts w:hint="eastAsia" w:ascii="方正小标宋简体" w:hAnsi="方正小标宋简体" w:eastAsia="方正小标宋简体" w:cs="方正小标宋简体"/>
          <w:b w:val="0"/>
          <w:bCs w:val="0"/>
          <w:lang w:eastAsia="zh-CN"/>
        </w:rPr>
        <w:t>中共乐山市金口河区委宣传部</w:t>
      </w:r>
      <w:bookmarkEnd w:id="31"/>
    </w:p>
    <w:bookmarkEnd w:id="32"/>
    <w:bookmarkEnd w:id="33"/>
    <w:bookmarkEnd w:id="34"/>
    <w:p>
      <w:pPr>
        <w:pStyle w:val="20"/>
        <w:spacing w:before="0" w:beforeLines="0" w:after="0" w:afterLines="0" w:line="780" w:lineRule="exact"/>
        <w:ind w:left="-426" w:leftChars="-221" w:right="-624" w:rightChars="-195" w:hanging="281" w:hangingChars="64"/>
        <w:outlineLvl w:val="1"/>
        <w:rPr>
          <w:rFonts w:hint="eastAsia" w:ascii="方正小标宋简体" w:hAnsi="方正小标宋简体" w:eastAsia="方正小标宋简体" w:cs="方正小标宋简体"/>
          <w:b w:val="0"/>
          <w:bCs w:val="0"/>
          <w:lang w:eastAsia="zh-CN"/>
        </w:rPr>
      </w:pPr>
      <w:bookmarkStart w:id="48" w:name="_Toc745"/>
      <w:bookmarkStart w:id="49" w:name="_Toc32549"/>
      <w:bookmarkStart w:id="50" w:name="_Toc18917"/>
      <w:bookmarkStart w:id="51" w:name="_Toc25169"/>
      <w:r>
        <w:rPr>
          <w:rFonts w:hint="eastAsia" w:ascii="方正小标宋简体" w:hAnsi="方正小标宋简体" w:eastAsia="方正小标宋简体" w:cs="方正小标宋简体"/>
          <w:b w:val="0"/>
          <w:bCs w:val="0"/>
          <w:lang w:eastAsia="zh-CN"/>
        </w:rPr>
        <w:t>外宣经费</w:t>
      </w:r>
      <w:bookmarkEnd w:id="48"/>
      <w:bookmarkStart w:id="52" w:name="_Toc10832"/>
      <w:bookmarkStart w:id="53" w:name="_Toc13059"/>
      <w:r>
        <w:rPr>
          <w:rFonts w:hint="eastAsia" w:ascii="方正小标宋简体" w:hAnsi="方正小标宋简体" w:eastAsia="方正小标宋简体" w:cs="方正小标宋简体"/>
          <w:b w:val="0"/>
          <w:bCs w:val="0"/>
          <w:lang w:eastAsia="zh-CN"/>
        </w:rPr>
        <w:t>事前绩效评价报告</w:t>
      </w:r>
      <w:bookmarkEnd w:id="35"/>
      <w:bookmarkEnd w:id="36"/>
      <w:bookmarkEnd w:id="37"/>
      <w:bookmarkEnd w:id="38"/>
      <w:bookmarkEnd w:id="39"/>
      <w:bookmarkEnd w:id="40"/>
      <w:bookmarkEnd w:id="41"/>
      <w:bookmarkEnd w:id="42"/>
      <w:bookmarkEnd w:id="43"/>
      <w:bookmarkEnd w:id="44"/>
      <w:bookmarkEnd w:id="45"/>
      <w:bookmarkEnd w:id="46"/>
      <w:bookmarkEnd w:id="47"/>
      <w:bookmarkEnd w:id="49"/>
      <w:bookmarkEnd w:id="50"/>
      <w:bookmarkEnd w:id="51"/>
      <w:bookmarkEnd w:id="52"/>
      <w:bookmarkEnd w:id="53"/>
    </w:p>
    <w:p>
      <w:pPr>
        <w:ind w:firstLine="640"/>
        <w:rPr>
          <w:lang w:eastAsia="zh-CN"/>
        </w:rPr>
      </w:pPr>
    </w:p>
    <w:p>
      <w:pPr>
        <w:pStyle w:val="2"/>
        <w:pageBreakBefore w:val="0"/>
        <w:numPr>
          <w:ilvl w:val="0"/>
          <w:numId w:val="0"/>
        </w:numPr>
        <w:kinsoku/>
        <w:wordWrap/>
        <w:overflowPunct/>
        <w:topLinePunct w:val="0"/>
        <w:autoSpaceDE/>
        <w:autoSpaceDN/>
        <w:bidi w:val="0"/>
        <w:adjustRightInd w:val="0"/>
        <w:snapToGrid w:val="0"/>
        <w:spacing w:before="0" w:beforeLines="0" w:after="0" w:afterLines="0" w:line="600" w:lineRule="exact"/>
        <w:ind w:left="0" w:leftChars="0" w:firstLine="640" w:firstLineChars="200"/>
        <w:textAlignment w:val="auto"/>
        <w:rPr>
          <w:rFonts w:hint="eastAsia" w:ascii="黑体" w:hAnsi="黑体" w:eastAsia="黑体" w:cs="黑体"/>
          <w:b w:val="0"/>
          <w:bCs/>
          <w:szCs w:val="32"/>
          <w:lang w:eastAsia="zh-CN"/>
        </w:rPr>
      </w:pPr>
      <w:bookmarkStart w:id="54" w:name="_Toc287850696"/>
      <w:bookmarkStart w:id="55" w:name="_Toc1969419847"/>
      <w:bookmarkStart w:id="56" w:name="_Toc4405"/>
      <w:bookmarkStart w:id="57" w:name="_Toc7797"/>
      <w:bookmarkStart w:id="58" w:name="_Toc1416645183"/>
      <w:bookmarkStart w:id="59" w:name="_Toc2225"/>
      <w:bookmarkStart w:id="60" w:name="_Toc9247"/>
      <w:bookmarkStart w:id="61" w:name="_Toc2001376203_WPSOffice_Level1"/>
      <w:bookmarkStart w:id="62" w:name="_Toc305085885"/>
      <w:bookmarkStart w:id="63" w:name="_Toc132480958"/>
      <w:bookmarkStart w:id="64" w:name="_Toc27307"/>
      <w:r>
        <w:rPr>
          <w:rFonts w:hint="eastAsia" w:ascii="黑体" w:hAnsi="黑体" w:cs="黑体"/>
          <w:b w:val="0"/>
          <w:bCs/>
          <w:szCs w:val="32"/>
          <w:lang w:eastAsia="zh-CN"/>
        </w:rPr>
        <w:t>一、</w:t>
      </w:r>
      <w:r>
        <w:rPr>
          <w:rFonts w:hint="eastAsia" w:ascii="黑体" w:hAnsi="黑体" w:eastAsia="黑体" w:cs="黑体"/>
          <w:b w:val="0"/>
          <w:bCs/>
          <w:szCs w:val="32"/>
          <w:lang w:eastAsia="zh-CN"/>
        </w:rPr>
        <w:t>项目基本情况</w:t>
      </w:r>
      <w:bookmarkEnd w:id="54"/>
      <w:bookmarkEnd w:id="55"/>
      <w:bookmarkEnd w:id="56"/>
      <w:bookmarkEnd w:id="57"/>
      <w:bookmarkEnd w:id="58"/>
      <w:bookmarkEnd w:id="59"/>
      <w:bookmarkEnd w:id="60"/>
      <w:bookmarkEnd w:id="61"/>
      <w:bookmarkEnd w:id="62"/>
      <w:bookmarkEnd w:id="63"/>
      <w:bookmarkEnd w:id="64"/>
    </w:p>
    <w:p>
      <w:pPr>
        <w:pStyle w:val="3"/>
        <w:pageBreakBefore w:val="0"/>
        <w:kinsoku/>
        <w:wordWrap/>
        <w:overflowPunct/>
        <w:topLinePunct w:val="0"/>
        <w:autoSpaceDE/>
        <w:autoSpaceDN/>
        <w:bidi w:val="0"/>
        <w:adjustRightInd w:val="0"/>
        <w:snapToGrid w:val="0"/>
        <w:spacing w:before="0" w:beforeLines="0" w:after="0" w:afterLines="0" w:line="600" w:lineRule="exact"/>
        <w:ind w:left="0" w:firstLine="640" w:firstLineChars="200"/>
        <w:textAlignment w:val="auto"/>
        <w:rPr>
          <w:rFonts w:hint="eastAsia" w:ascii="楷体" w:hAnsi="楷体" w:eastAsia="楷体" w:cs="楷体"/>
          <w:b w:val="0"/>
          <w:bCs/>
          <w:szCs w:val="32"/>
          <w:lang w:eastAsia="zh-CN"/>
        </w:rPr>
      </w:pPr>
      <w:bookmarkStart w:id="65" w:name="_Toc1042875910_WPSOffice_Level2"/>
      <w:bookmarkStart w:id="66" w:name="_Toc19438"/>
      <w:bookmarkStart w:id="67" w:name="_Toc1535003806"/>
      <w:bookmarkStart w:id="68" w:name="_Toc132480959"/>
      <w:bookmarkStart w:id="69" w:name="_Toc14550"/>
      <w:bookmarkStart w:id="70" w:name="_Toc404396392"/>
      <w:bookmarkStart w:id="71" w:name="_Toc1773474628"/>
      <w:bookmarkStart w:id="72" w:name="_Toc27921"/>
      <w:bookmarkStart w:id="73" w:name="_Toc873917318"/>
      <w:bookmarkStart w:id="74" w:name="_Toc8536"/>
      <w:bookmarkStart w:id="75" w:name="_Toc12884"/>
      <w:r>
        <w:rPr>
          <w:rFonts w:hint="eastAsia" w:ascii="楷体" w:hAnsi="楷体" w:eastAsia="楷体" w:cs="楷体"/>
          <w:b w:val="0"/>
          <w:bCs/>
          <w:szCs w:val="32"/>
          <w:lang w:eastAsia="zh-CN"/>
        </w:rPr>
        <w:t>（一）项目建设</w:t>
      </w:r>
      <w:bookmarkEnd w:id="65"/>
      <w:bookmarkEnd w:id="66"/>
      <w:bookmarkEnd w:id="67"/>
      <w:bookmarkEnd w:id="68"/>
      <w:bookmarkEnd w:id="69"/>
      <w:bookmarkEnd w:id="70"/>
      <w:bookmarkEnd w:id="71"/>
      <w:bookmarkEnd w:id="72"/>
      <w:bookmarkEnd w:id="73"/>
      <w:bookmarkStart w:id="76" w:name="_Toc12111"/>
      <w:bookmarkStart w:id="77" w:name="_Toc20062"/>
      <w:bookmarkStart w:id="78" w:name="_Toc23032"/>
      <w:bookmarkStart w:id="79" w:name="_Toc133498025"/>
      <w:bookmarkStart w:id="80" w:name="_Toc27403"/>
      <w:bookmarkStart w:id="81" w:name="_Toc18961"/>
      <w:bookmarkStart w:id="82" w:name="_Toc1042875910_WPSOffice_Level3"/>
      <w:bookmarkStart w:id="83" w:name="_Toc2051901236"/>
      <w:bookmarkStart w:id="84" w:name="_Toc9639"/>
      <w:bookmarkStart w:id="85" w:name="_Toc1862536083"/>
      <w:bookmarkStart w:id="86" w:name="_Toc1287701793"/>
      <w:bookmarkStart w:id="87" w:name="_Toc1087916031"/>
      <w:bookmarkStart w:id="88" w:name="_Toc130033877"/>
      <w:r>
        <w:rPr>
          <w:rFonts w:hint="eastAsia" w:ascii="楷体" w:hAnsi="楷体" w:eastAsia="楷体" w:cs="楷体"/>
          <w:b w:val="0"/>
          <w:bCs/>
          <w:szCs w:val="32"/>
          <w:lang w:eastAsia="zh-CN"/>
        </w:rPr>
        <w:t>背景</w:t>
      </w:r>
      <w:bookmarkEnd w:id="74"/>
      <w:bookmarkEnd w:id="75"/>
      <w:bookmarkEnd w:id="76"/>
      <w:bookmarkEnd w:id="77"/>
      <w:bookmarkEnd w:id="78"/>
      <w:bookmarkEnd w:id="79"/>
      <w:bookmarkEnd w:id="80"/>
      <w:bookmarkEnd w:id="81"/>
    </w:p>
    <w:p>
      <w:pPr>
        <w:pageBreakBefore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 w:hAnsi="仿宋" w:eastAsia="仿宋" w:cs="仿宋"/>
          <w:bCs/>
          <w:kern w:val="2"/>
          <w:szCs w:val="32"/>
          <w:lang w:val="en-US" w:eastAsia="zh-CN" w:bidi="ar-SA"/>
        </w:rPr>
      </w:pPr>
      <w:r>
        <w:rPr>
          <w:rFonts w:hint="eastAsia" w:ascii="仿宋" w:hAnsi="仿宋" w:eastAsia="仿宋" w:cs="仿宋"/>
          <w:bCs/>
          <w:kern w:val="2"/>
          <w:szCs w:val="32"/>
          <w:lang w:eastAsia="zh-CN" w:bidi="ar-SA"/>
        </w:rPr>
        <w:t>党的二十届三中全会，既是党的十八届三中全会以来全面深化改革的实践续篇，也是新征程推进中国式现代化的时代新篇。为深入学习贯彻党的二十届三中全会精</w:t>
      </w:r>
      <w:r>
        <w:rPr>
          <w:rFonts w:hint="eastAsia" w:ascii="仿宋" w:hAnsi="仿宋" w:eastAsia="仿宋" w:cs="仿宋"/>
          <w:bCs/>
          <w:kern w:val="2"/>
          <w:szCs w:val="32"/>
          <w:highlight w:val="none"/>
          <w:lang w:eastAsia="zh-CN" w:bidi="ar-SA"/>
        </w:rPr>
        <w:t>神和习近平</w:t>
      </w:r>
      <w:r>
        <w:rPr>
          <w:rFonts w:hint="eastAsia" w:ascii="仿宋" w:hAnsi="仿宋" w:eastAsia="仿宋" w:cs="仿宋"/>
          <w:bCs/>
          <w:kern w:val="2"/>
          <w:szCs w:val="32"/>
          <w:lang w:eastAsia="zh-CN" w:bidi="ar-SA"/>
        </w:rPr>
        <w:t>新时代中国特色社会主义思想，落实省委、市委部署要求，不断深化“走转改”活动，大力提高对外宣传营销工作质量，围绕金口河区委、区政府进一步全面深化改革、推进金口河区现代进程等重点工作，加大金口河对外宣传力度，做好金口河区巩固脱贫攻坚接续乡村振兴工作发展成效宣传，提升金口河区的知名度和影响力，根据中共乐山市金口河区委宣传部</w:t>
      </w:r>
      <w:r>
        <w:rPr>
          <w:rFonts w:hint="eastAsia" w:ascii="仿宋" w:hAnsi="仿宋" w:eastAsia="仿宋" w:cs="仿宋"/>
          <w:bCs/>
          <w:kern w:val="2"/>
          <w:szCs w:val="32"/>
          <w:lang w:val="en-US" w:eastAsia="zh-CN" w:bidi="ar-SA"/>
        </w:rPr>
        <w:t>(以下简称</w:t>
      </w:r>
      <w:r>
        <w:rPr>
          <w:rFonts w:hint="eastAsia" w:ascii="仿宋" w:hAnsi="仿宋" w:eastAsia="仿宋" w:cs="仿宋"/>
          <w:bCs/>
          <w:kern w:val="2"/>
          <w:szCs w:val="32"/>
          <w:lang w:eastAsia="zh-CN" w:bidi="ar-SA"/>
        </w:rPr>
        <w:t>区委宣传部</w:t>
      </w:r>
      <w:r>
        <w:rPr>
          <w:rFonts w:hint="eastAsia" w:ascii="仿宋" w:hAnsi="仿宋" w:eastAsia="仿宋" w:cs="仿宋"/>
          <w:bCs/>
          <w:kern w:val="2"/>
          <w:szCs w:val="32"/>
          <w:lang w:val="en-US" w:eastAsia="zh-CN" w:bidi="ar-SA"/>
        </w:rPr>
        <w:t>)工</w:t>
      </w:r>
      <w:r>
        <w:rPr>
          <w:rFonts w:hint="eastAsia" w:ascii="仿宋" w:hAnsi="仿宋" w:eastAsia="仿宋" w:cs="仿宋"/>
          <w:bCs/>
          <w:kern w:val="2"/>
          <w:szCs w:val="32"/>
          <w:lang w:eastAsia="zh-CN" w:bidi="ar-SA"/>
        </w:rPr>
        <w:t>作职责，统筹协调对外宣</w:t>
      </w:r>
      <w:r>
        <w:rPr>
          <w:rFonts w:hint="eastAsia" w:ascii="仿宋" w:hAnsi="仿宋" w:eastAsia="仿宋" w:cs="仿宋"/>
          <w:bCs/>
          <w:kern w:val="2"/>
          <w:szCs w:val="32"/>
          <w:highlight w:val="none"/>
          <w:lang w:eastAsia="zh-CN" w:bidi="ar-SA"/>
        </w:rPr>
        <w:t>传工作</w:t>
      </w:r>
      <w:r>
        <w:rPr>
          <w:rFonts w:hint="eastAsia" w:ascii="仿宋" w:hAnsi="仿宋" w:eastAsia="仿宋" w:cs="仿宋"/>
          <w:bCs/>
          <w:kern w:val="2"/>
          <w:szCs w:val="32"/>
          <w:highlight w:val="none"/>
          <w:lang w:val="en-US" w:eastAsia="zh-CN" w:bidi="ar-SA"/>
        </w:rPr>
        <w:t>，在区委</w:t>
      </w:r>
      <w:r>
        <w:rPr>
          <w:rFonts w:hint="eastAsia" w:ascii="仿宋" w:hAnsi="仿宋" w:eastAsia="仿宋" w:cs="仿宋"/>
          <w:bCs/>
          <w:kern w:val="2"/>
          <w:szCs w:val="32"/>
          <w:lang w:val="en-US" w:eastAsia="zh-CN" w:bidi="ar-SA"/>
        </w:rPr>
        <w:t>、区政府的正确指导下，围绕中心，服务大局，积极与中央、省、市主流媒体展开务实合作，更好的开展金口河对外宣传工作。</w:t>
      </w:r>
    </w:p>
    <w:bookmarkEnd w:id="82"/>
    <w:bookmarkEnd w:id="83"/>
    <w:bookmarkEnd w:id="84"/>
    <w:bookmarkEnd w:id="85"/>
    <w:bookmarkEnd w:id="86"/>
    <w:bookmarkEnd w:id="87"/>
    <w:bookmarkEnd w:id="88"/>
    <w:p>
      <w:pPr>
        <w:pStyle w:val="3"/>
        <w:pageBreakBefore w:val="0"/>
        <w:kinsoku/>
        <w:wordWrap/>
        <w:overflowPunct/>
        <w:topLinePunct w:val="0"/>
        <w:autoSpaceDE/>
        <w:autoSpaceDN/>
        <w:bidi w:val="0"/>
        <w:adjustRightInd w:val="0"/>
        <w:snapToGrid w:val="0"/>
        <w:spacing w:before="0" w:beforeLines="0" w:after="0" w:afterLines="0" w:line="600" w:lineRule="exact"/>
        <w:ind w:left="0" w:firstLine="640" w:firstLineChars="200"/>
        <w:textAlignment w:val="auto"/>
        <w:rPr>
          <w:rFonts w:hint="eastAsia" w:ascii="楷体" w:hAnsi="楷体" w:eastAsia="楷体" w:cs="楷体"/>
          <w:b w:val="0"/>
          <w:bCs/>
          <w:szCs w:val="32"/>
          <w:lang w:eastAsia="zh-CN"/>
        </w:rPr>
      </w:pPr>
      <w:bookmarkStart w:id="89" w:name="_Toc153907914"/>
      <w:bookmarkStart w:id="90" w:name="_Toc963"/>
      <w:bookmarkStart w:id="91" w:name="_Toc1372691542"/>
      <w:bookmarkStart w:id="92" w:name="_Toc15203"/>
      <w:bookmarkStart w:id="93" w:name="_Toc130033880"/>
      <w:bookmarkStart w:id="94" w:name="_Toc17740"/>
      <w:bookmarkStart w:id="95" w:name="_Toc17270"/>
      <w:bookmarkStart w:id="96" w:name="_Toc133498028"/>
      <w:bookmarkStart w:id="97" w:name="_Toc1093480860_WPSOffice_Level3"/>
      <w:bookmarkStart w:id="98" w:name="_Toc12980"/>
      <w:bookmarkStart w:id="99" w:name="_Toc15651"/>
      <w:bookmarkStart w:id="100" w:name="_Toc1491763895"/>
      <w:bookmarkStart w:id="101" w:name="_Toc28877"/>
      <w:bookmarkStart w:id="102" w:name="_Toc24844"/>
      <w:bookmarkStart w:id="103" w:name="_Toc865934723"/>
      <w:r>
        <w:rPr>
          <w:rFonts w:hint="eastAsia" w:ascii="楷体" w:hAnsi="楷体" w:eastAsia="楷体" w:cs="楷体"/>
          <w:b w:val="0"/>
          <w:bCs/>
          <w:szCs w:val="32"/>
          <w:lang w:eastAsia="zh-CN"/>
        </w:rPr>
        <w:t>（二）项目主要内容</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pPr>
        <w:pageBreakBefore w:val="0"/>
        <w:widowControl/>
        <w:kinsoku/>
        <w:wordWrap/>
        <w:overflowPunct/>
        <w:topLinePunct w:val="0"/>
        <w:autoSpaceDE/>
        <w:autoSpaceDN/>
        <w:bidi w:val="0"/>
        <w:adjustRightInd w:val="0"/>
        <w:snapToGrid w:val="0"/>
        <w:spacing w:line="600" w:lineRule="exact"/>
        <w:ind w:left="0" w:firstLine="640" w:firstLineChars="200"/>
        <w:textAlignment w:val="auto"/>
        <w:rPr>
          <w:rFonts w:hint="eastAsia" w:ascii="仿宋" w:hAnsi="仿宋" w:eastAsia="仿宋" w:cs="仿宋"/>
          <w:bCs/>
          <w:szCs w:val="32"/>
          <w:lang w:val="zh-CN" w:eastAsia="zh-CN"/>
        </w:rPr>
      </w:pPr>
      <w:r>
        <w:rPr>
          <w:rFonts w:hint="eastAsia" w:ascii="仿宋" w:hAnsi="仿宋" w:eastAsia="仿宋" w:cs="仿宋"/>
          <w:bCs/>
          <w:szCs w:val="32"/>
          <w:lang w:val="zh-CN" w:eastAsia="zh-CN"/>
        </w:rPr>
        <w:t>1.项目基本情况：</w:t>
      </w:r>
    </w:p>
    <w:p>
      <w:pPr>
        <w:pageBreakBefore w:val="0"/>
        <w:widowControl/>
        <w:kinsoku/>
        <w:wordWrap/>
        <w:overflowPunct/>
        <w:topLinePunct w:val="0"/>
        <w:autoSpaceDE/>
        <w:autoSpaceDN/>
        <w:bidi w:val="0"/>
        <w:adjustRightInd w:val="0"/>
        <w:snapToGrid w:val="0"/>
        <w:spacing w:line="600" w:lineRule="exact"/>
        <w:ind w:left="0" w:firstLine="640" w:firstLineChars="200"/>
        <w:textAlignment w:val="auto"/>
        <w:rPr>
          <w:rFonts w:hint="eastAsia" w:ascii="仿宋" w:hAnsi="仿宋" w:eastAsia="仿宋" w:cs="仿宋"/>
          <w:bCs/>
          <w:szCs w:val="32"/>
          <w:lang w:val="zh-CN" w:eastAsia="zh-CN"/>
        </w:rPr>
      </w:pPr>
      <w:r>
        <w:rPr>
          <w:rFonts w:hint="eastAsia" w:ascii="仿宋" w:hAnsi="仿宋" w:eastAsia="仿宋" w:cs="仿宋"/>
          <w:bCs/>
          <w:szCs w:val="32"/>
          <w:lang w:val="zh-CN" w:eastAsia="zh-CN"/>
        </w:rPr>
        <w:t>项目名称：外宣经费</w:t>
      </w:r>
    </w:p>
    <w:p>
      <w:pPr>
        <w:pageBreakBefore w:val="0"/>
        <w:widowControl/>
        <w:kinsoku/>
        <w:wordWrap/>
        <w:overflowPunct/>
        <w:topLinePunct w:val="0"/>
        <w:autoSpaceDE/>
        <w:autoSpaceDN/>
        <w:bidi w:val="0"/>
        <w:adjustRightInd w:val="0"/>
        <w:snapToGrid w:val="0"/>
        <w:spacing w:line="600" w:lineRule="exact"/>
        <w:ind w:left="0" w:firstLine="640" w:firstLineChars="200"/>
        <w:textAlignment w:val="auto"/>
        <w:rPr>
          <w:rFonts w:hint="eastAsia" w:ascii="仿宋" w:hAnsi="仿宋" w:eastAsia="仿宋" w:cs="仿宋"/>
          <w:szCs w:val="32"/>
          <w:lang w:val="zh-CN" w:eastAsia="zh-CN"/>
        </w:rPr>
      </w:pPr>
      <w:r>
        <w:rPr>
          <w:rFonts w:hint="eastAsia" w:ascii="仿宋" w:hAnsi="仿宋" w:eastAsia="仿宋" w:cs="仿宋"/>
          <w:bCs/>
          <w:szCs w:val="32"/>
          <w:lang w:val="zh-CN" w:eastAsia="zh-CN"/>
        </w:rPr>
        <w:t>项目单位：</w:t>
      </w:r>
      <w:r>
        <w:rPr>
          <w:rFonts w:hint="eastAsia" w:ascii="仿宋" w:hAnsi="仿宋" w:eastAsia="仿宋" w:cs="仿宋"/>
          <w:szCs w:val="32"/>
          <w:lang w:val="zh-CN" w:eastAsia="zh-CN"/>
        </w:rPr>
        <w:t>中共乐山市金口河区委宣传部</w:t>
      </w:r>
    </w:p>
    <w:p>
      <w:pPr>
        <w:pageBreakBefore w:val="0"/>
        <w:widowControl/>
        <w:kinsoku/>
        <w:wordWrap/>
        <w:overflowPunct/>
        <w:topLinePunct w:val="0"/>
        <w:autoSpaceDE/>
        <w:autoSpaceDN/>
        <w:bidi w:val="0"/>
        <w:adjustRightInd w:val="0"/>
        <w:snapToGrid w:val="0"/>
        <w:spacing w:line="600" w:lineRule="exact"/>
        <w:ind w:left="0" w:firstLine="640" w:firstLineChars="200"/>
        <w:textAlignment w:val="auto"/>
        <w:rPr>
          <w:rFonts w:hint="eastAsia" w:ascii="仿宋" w:hAnsi="仿宋" w:eastAsia="仿宋" w:cs="仿宋"/>
          <w:szCs w:val="32"/>
          <w:lang w:val="zh-CN" w:eastAsia="zh-CN"/>
        </w:rPr>
      </w:pPr>
      <w:r>
        <w:rPr>
          <w:rFonts w:hint="eastAsia" w:ascii="仿宋_GB2312"/>
          <w:szCs w:val="32"/>
          <w:lang w:eastAsia="zh-CN"/>
        </w:rPr>
        <w:t>主管部门：中共乐山市金口河区委宣传部</w:t>
      </w:r>
    </w:p>
    <w:p>
      <w:pPr>
        <w:pageBreakBefore w:val="0"/>
        <w:widowControl/>
        <w:kinsoku/>
        <w:wordWrap/>
        <w:overflowPunct/>
        <w:topLinePunct w:val="0"/>
        <w:autoSpaceDE/>
        <w:autoSpaceDN/>
        <w:bidi w:val="0"/>
        <w:adjustRightInd w:val="0"/>
        <w:snapToGrid w:val="0"/>
        <w:spacing w:line="600" w:lineRule="exact"/>
        <w:ind w:left="0" w:firstLine="640" w:firstLineChars="200"/>
        <w:textAlignment w:val="auto"/>
        <w:rPr>
          <w:rFonts w:hint="eastAsia" w:ascii="仿宋" w:hAnsi="仿宋" w:eastAsia="仿宋" w:cs="仿宋"/>
          <w:bCs/>
          <w:szCs w:val="32"/>
          <w:highlight w:val="none"/>
          <w:lang w:eastAsia="zh-CN"/>
        </w:rPr>
      </w:pPr>
      <w:r>
        <w:rPr>
          <w:rFonts w:hint="eastAsia" w:ascii="仿宋" w:hAnsi="仿宋" w:eastAsia="仿宋" w:cs="仿宋"/>
          <w:bCs/>
          <w:szCs w:val="32"/>
          <w:lang w:val="zh-CN" w:eastAsia="zh-CN"/>
        </w:rPr>
        <w:t>项目属性（新增/延续）：</w:t>
      </w:r>
      <w:r>
        <w:rPr>
          <w:rFonts w:hint="eastAsia" w:ascii="仿宋" w:hAnsi="仿宋" w:eastAsia="仿宋" w:cs="仿宋"/>
          <w:bCs/>
          <w:szCs w:val="32"/>
          <w:highlight w:val="none"/>
          <w:lang w:val="en-US" w:eastAsia="zh-CN"/>
        </w:rPr>
        <w:t>延续</w:t>
      </w:r>
      <w:r>
        <w:rPr>
          <w:rFonts w:hint="eastAsia" w:ascii="仿宋" w:hAnsi="仿宋" w:eastAsia="仿宋" w:cs="仿宋"/>
          <w:bCs/>
          <w:szCs w:val="32"/>
          <w:highlight w:val="none"/>
          <w:lang w:eastAsia="zh-CN"/>
        </w:rPr>
        <w:t>性项目</w:t>
      </w:r>
    </w:p>
    <w:p>
      <w:pPr>
        <w:pageBreakBefore w:val="0"/>
        <w:widowControl/>
        <w:kinsoku/>
        <w:wordWrap/>
        <w:overflowPunct/>
        <w:topLinePunct w:val="0"/>
        <w:autoSpaceDE/>
        <w:autoSpaceDN/>
        <w:bidi w:val="0"/>
        <w:adjustRightInd w:val="0"/>
        <w:snapToGrid w:val="0"/>
        <w:spacing w:line="600" w:lineRule="exact"/>
        <w:ind w:left="0" w:firstLine="640" w:firstLineChars="200"/>
        <w:textAlignment w:val="auto"/>
        <w:rPr>
          <w:rFonts w:hint="eastAsia" w:ascii="仿宋" w:hAnsi="仿宋" w:eastAsia="仿宋" w:cs="仿宋"/>
          <w:bCs/>
          <w:szCs w:val="32"/>
          <w:lang w:val="zh-CN" w:eastAsia="zh-CN"/>
        </w:rPr>
      </w:pPr>
      <w:r>
        <w:rPr>
          <w:rFonts w:hint="eastAsia" w:ascii="仿宋" w:hAnsi="仿宋" w:eastAsia="仿宋" w:cs="仿宋"/>
          <w:bCs/>
          <w:szCs w:val="32"/>
          <w:lang w:val="zh-CN" w:eastAsia="zh-CN"/>
        </w:rPr>
        <w:t>2.项目绩效目标：</w:t>
      </w:r>
    </w:p>
    <w:p>
      <w:pPr>
        <w:pageBreakBefore w:val="0"/>
        <w:widowControl/>
        <w:kinsoku/>
        <w:wordWrap/>
        <w:overflowPunct/>
        <w:topLinePunct w:val="0"/>
        <w:autoSpaceDE/>
        <w:autoSpaceDN/>
        <w:bidi w:val="0"/>
        <w:adjustRightInd w:val="0"/>
        <w:snapToGrid w:val="0"/>
        <w:spacing w:line="600" w:lineRule="exact"/>
        <w:ind w:left="0" w:firstLine="640" w:firstLineChars="200"/>
        <w:textAlignment w:val="auto"/>
        <w:rPr>
          <w:rFonts w:hint="eastAsia" w:ascii="仿宋" w:hAnsi="仿宋" w:eastAsia="仿宋" w:cs="仿宋"/>
          <w:bCs/>
          <w:szCs w:val="32"/>
          <w:lang w:val="en-US" w:eastAsia="zh-CN"/>
        </w:rPr>
      </w:pPr>
      <w:r>
        <w:rPr>
          <w:rFonts w:hint="eastAsia" w:ascii="仿宋" w:hAnsi="仿宋" w:eastAsia="仿宋" w:cs="仿宋"/>
          <w:b w:val="0"/>
          <w:bCs/>
          <w:szCs w:val="32"/>
          <w:lang w:val="en-US" w:eastAsia="zh-CN"/>
        </w:rPr>
        <w:t>加大金口河对外宣传力度，做好与省市主流媒体间合作，提升金口河区的知名度和影响力</w:t>
      </w:r>
      <w:r>
        <w:rPr>
          <w:rFonts w:hint="eastAsia" w:ascii="仿宋" w:hAnsi="仿宋" w:eastAsia="仿宋" w:cs="仿宋"/>
          <w:bCs/>
          <w:szCs w:val="32"/>
          <w:lang w:val="en-US" w:eastAsia="zh-CN"/>
        </w:rPr>
        <w:t>。</w:t>
      </w:r>
    </w:p>
    <w:p>
      <w:pPr>
        <w:pageBreakBefore w:val="0"/>
        <w:widowControl/>
        <w:kinsoku/>
        <w:wordWrap/>
        <w:overflowPunct/>
        <w:topLinePunct w:val="0"/>
        <w:autoSpaceDE/>
        <w:autoSpaceDN/>
        <w:bidi w:val="0"/>
        <w:adjustRightInd w:val="0"/>
        <w:snapToGrid w:val="0"/>
        <w:spacing w:line="600" w:lineRule="exact"/>
        <w:ind w:left="0" w:firstLine="640" w:firstLineChars="200"/>
        <w:textAlignment w:val="auto"/>
        <w:rPr>
          <w:rFonts w:hint="eastAsia" w:ascii="仿宋" w:hAnsi="仿宋" w:eastAsia="仿宋" w:cs="仿宋"/>
          <w:bCs/>
          <w:szCs w:val="32"/>
          <w:lang w:val="en-US" w:eastAsia="zh-CN"/>
        </w:rPr>
      </w:pPr>
      <w:r>
        <w:rPr>
          <w:rFonts w:hint="eastAsia" w:ascii="仿宋" w:hAnsi="仿宋" w:eastAsia="仿宋" w:cs="仿宋"/>
          <w:b w:val="0"/>
          <w:bCs/>
          <w:szCs w:val="32"/>
          <w:lang w:val="en-US" w:eastAsia="zh-CN"/>
        </w:rPr>
        <w:t>完成全区对外宣传目标任务，包括氛围营造、拍摄发布等素材的采集工作</w:t>
      </w:r>
      <w:r>
        <w:rPr>
          <w:rFonts w:hint="eastAsia" w:ascii="仿宋" w:hAnsi="仿宋" w:eastAsia="仿宋" w:cs="仿宋"/>
          <w:bCs/>
          <w:szCs w:val="32"/>
          <w:lang w:val="en-US" w:eastAsia="zh-CN"/>
        </w:rPr>
        <w:t>。</w:t>
      </w:r>
    </w:p>
    <w:p>
      <w:pPr>
        <w:pageBreakBefore w:val="0"/>
        <w:widowControl/>
        <w:kinsoku/>
        <w:wordWrap/>
        <w:overflowPunct/>
        <w:topLinePunct w:val="0"/>
        <w:autoSpaceDE/>
        <w:autoSpaceDN/>
        <w:bidi w:val="0"/>
        <w:adjustRightInd w:val="0"/>
        <w:snapToGrid w:val="0"/>
        <w:spacing w:line="600" w:lineRule="exact"/>
        <w:ind w:left="0" w:firstLine="640" w:firstLineChars="200"/>
        <w:textAlignment w:val="auto"/>
        <w:rPr>
          <w:rFonts w:hint="eastAsia" w:ascii="仿宋" w:hAnsi="仿宋" w:eastAsia="仿宋" w:cs="仿宋"/>
          <w:bCs/>
          <w:szCs w:val="32"/>
          <w:lang w:val="zh-CN" w:eastAsia="zh-CN"/>
        </w:rPr>
      </w:pPr>
      <w:r>
        <w:rPr>
          <w:rFonts w:hint="eastAsia" w:ascii="仿宋" w:hAnsi="仿宋" w:eastAsia="仿宋" w:cs="仿宋"/>
          <w:bCs/>
          <w:szCs w:val="32"/>
          <w:lang w:val="zh-CN" w:eastAsia="zh-CN"/>
        </w:rPr>
        <w:t>3.项目概况：</w:t>
      </w:r>
    </w:p>
    <w:p>
      <w:pPr>
        <w:pageBreakBefore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 w:hAnsi="仿宋" w:eastAsia="仿宋" w:cs="仿宋"/>
          <w:b w:val="0"/>
          <w:bCs/>
          <w:szCs w:val="32"/>
          <w:lang w:val="en-US" w:eastAsia="zh-CN"/>
        </w:rPr>
      </w:pPr>
      <w:bookmarkStart w:id="104" w:name="_Toc1256897804"/>
      <w:bookmarkStart w:id="105" w:name="_Toc386835874"/>
      <w:bookmarkStart w:id="106" w:name="_Toc300186741"/>
      <w:bookmarkStart w:id="107" w:name="_Toc16114"/>
      <w:bookmarkStart w:id="108" w:name="_Toc510053535"/>
      <w:bookmarkStart w:id="109" w:name="_Toc20677"/>
      <w:bookmarkStart w:id="110" w:name="_Toc8112"/>
      <w:bookmarkStart w:id="111" w:name="_Toc2001376203_WPSOffice_Level2"/>
      <w:bookmarkStart w:id="112" w:name="_Toc132480960"/>
      <w:r>
        <w:rPr>
          <w:rFonts w:hint="eastAsia" w:ascii="仿宋" w:hAnsi="仿宋" w:eastAsia="仿宋" w:cs="仿宋"/>
          <w:b w:val="0"/>
          <w:bCs/>
          <w:szCs w:val="32"/>
          <w:lang w:val="en-US" w:eastAsia="zh-CN"/>
        </w:rPr>
        <w:t>对外宣传经费主要用于金口河区城市形象对外宣传和新闻文化合作与交流，贯彻落实中央和省、市委关于对外宣传工作的方针政策及工作部署，保障全区对外宣传工作正常开展，进一步提升金口河区形象，不断提高金口河区的知名度和美誉度。</w:t>
      </w:r>
    </w:p>
    <w:p>
      <w:pPr>
        <w:pageBreakBefore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宋体" w:eastAsia="仿宋_GB2312"/>
          <w:sz w:val="32"/>
          <w:szCs w:val="32"/>
          <w:highlight w:val="none"/>
          <w:lang w:val="en-US" w:eastAsia="zh-CN"/>
        </w:rPr>
      </w:pPr>
      <w:r>
        <w:rPr>
          <w:rFonts w:hint="eastAsia" w:ascii="仿宋" w:hAnsi="仿宋" w:eastAsia="仿宋" w:cs="仿宋"/>
          <w:b w:val="0"/>
          <w:bCs/>
          <w:szCs w:val="32"/>
          <w:lang w:val="en-US" w:eastAsia="zh-CN"/>
        </w:rPr>
        <w:t>根据区委宣传部工作职责，区委宣传部统筹协调对外宣传</w:t>
      </w:r>
      <w:r>
        <w:rPr>
          <w:rFonts w:hint="eastAsia" w:ascii="仿宋" w:hAnsi="仿宋" w:eastAsia="仿宋" w:cs="仿宋"/>
          <w:b w:val="0"/>
          <w:bCs/>
          <w:szCs w:val="32"/>
          <w:highlight w:val="none"/>
          <w:lang w:val="en-US" w:eastAsia="zh-CN"/>
        </w:rPr>
        <w:t>工作，在区</w:t>
      </w:r>
      <w:r>
        <w:rPr>
          <w:rFonts w:hint="eastAsia" w:ascii="仿宋" w:hAnsi="仿宋" w:eastAsia="仿宋" w:cs="仿宋"/>
          <w:b w:val="0"/>
          <w:bCs/>
          <w:szCs w:val="32"/>
          <w:lang w:val="en-US" w:eastAsia="zh-CN"/>
        </w:rPr>
        <w:t>委、区政府的正确指导下，围绕中心，服务大局，积极与中央、省、市主流媒体展开务实合作，更好的开展金口河对外宣传工作</w:t>
      </w:r>
      <w:r>
        <w:rPr>
          <w:rFonts w:hint="eastAsia" w:ascii="仿宋_GB2312" w:hAnsi="宋体" w:eastAsia="仿宋_GB2312"/>
          <w:sz w:val="32"/>
          <w:szCs w:val="32"/>
          <w:highlight w:val="none"/>
          <w:lang w:val="en-US" w:eastAsia="zh-CN"/>
        </w:rPr>
        <w:t>。</w:t>
      </w:r>
    </w:p>
    <w:p>
      <w:pPr>
        <w:pageBreakBefore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宋体" w:eastAsia="仿宋_GB2312"/>
          <w:sz w:val="32"/>
          <w:szCs w:val="32"/>
          <w:highlight w:val="none"/>
          <w:lang w:val="en-US" w:eastAsia="zh-CN"/>
        </w:rPr>
      </w:pPr>
      <w:r>
        <w:rPr>
          <w:rFonts w:hint="eastAsia" w:ascii="仿宋" w:hAnsi="仿宋" w:eastAsia="仿宋" w:cs="仿宋"/>
          <w:b w:val="0"/>
          <w:bCs/>
          <w:szCs w:val="32"/>
          <w:lang w:val="en-US" w:eastAsia="zh-CN"/>
        </w:rPr>
        <w:t>该项目旨在借助各类媒体平台、文旅活动等形式，全方位展示金口河区的特色文旅资源、投资环境与发展成果，吸引更多游客与投资者关注</w:t>
      </w:r>
      <w:r>
        <w:rPr>
          <w:rFonts w:hint="eastAsia" w:ascii="仿宋_GB2312" w:hAnsi="宋体" w:eastAsia="仿宋_GB2312"/>
          <w:sz w:val="32"/>
          <w:szCs w:val="32"/>
          <w:highlight w:val="none"/>
          <w:lang w:val="en-US" w:eastAsia="zh-CN"/>
        </w:rPr>
        <w:t>。</w:t>
      </w:r>
    </w:p>
    <w:p>
      <w:pPr>
        <w:pStyle w:val="3"/>
        <w:pageBreakBefore w:val="0"/>
        <w:kinsoku/>
        <w:wordWrap/>
        <w:overflowPunct/>
        <w:topLinePunct w:val="0"/>
        <w:autoSpaceDE/>
        <w:autoSpaceDN/>
        <w:bidi w:val="0"/>
        <w:adjustRightInd w:val="0"/>
        <w:snapToGrid w:val="0"/>
        <w:spacing w:before="0" w:beforeLines="0" w:after="0" w:afterLines="0" w:line="600" w:lineRule="exact"/>
        <w:ind w:left="0" w:firstLine="640" w:firstLineChars="200"/>
        <w:textAlignment w:val="auto"/>
        <w:rPr>
          <w:rFonts w:hint="eastAsia" w:ascii="楷体" w:hAnsi="楷体" w:eastAsia="楷体" w:cs="楷体"/>
          <w:b w:val="0"/>
          <w:bCs/>
          <w:szCs w:val="32"/>
          <w:lang w:val="en-US" w:eastAsia="zh-CN"/>
        </w:rPr>
      </w:pPr>
      <w:bookmarkStart w:id="113" w:name="_Toc16414"/>
      <w:r>
        <w:rPr>
          <w:rFonts w:hint="eastAsia" w:ascii="楷体" w:hAnsi="楷体" w:eastAsia="楷体" w:cs="楷体"/>
          <w:b w:val="0"/>
          <w:bCs/>
          <w:szCs w:val="32"/>
          <w:lang w:eastAsia="zh-CN"/>
        </w:rPr>
        <w:t>（三）</w:t>
      </w:r>
      <w:bookmarkEnd w:id="104"/>
      <w:bookmarkEnd w:id="105"/>
      <w:bookmarkEnd w:id="106"/>
      <w:bookmarkEnd w:id="107"/>
      <w:bookmarkEnd w:id="108"/>
      <w:bookmarkEnd w:id="109"/>
      <w:bookmarkEnd w:id="110"/>
      <w:bookmarkEnd w:id="111"/>
      <w:bookmarkEnd w:id="112"/>
      <w:r>
        <w:rPr>
          <w:rFonts w:hint="eastAsia" w:ascii="楷体" w:hAnsi="楷体" w:eastAsia="楷体" w:cs="楷体"/>
          <w:b w:val="0"/>
          <w:bCs/>
          <w:szCs w:val="32"/>
          <w:lang w:val="en-US" w:eastAsia="zh-CN"/>
        </w:rPr>
        <w:t>申请资金</w:t>
      </w:r>
      <w:bookmarkEnd w:id="113"/>
    </w:p>
    <w:p>
      <w:pPr>
        <w:pageBreakBefore w:val="0"/>
        <w:kinsoku/>
        <w:wordWrap/>
        <w:overflowPunct/>
        <w:topLinePunct w:val="0"/>
        <w:autoSpaceDE/>
        <w:autoSpaceDN/>
        <w:bidi w:val="0"/>
        <w:adjustRightInd w:val="0"/>
        <w:snapToGrid w:val="0"/>
        <w:spacing w:line="600" w:lineRule="exact"/>
        <w:ind w:left="0" w:firstLine="640" w:firstLineChars="200"/>
        <w:textAlignment w:val="auto"/>
        <w:rPr>
          <w:rFonts w:hint="default" w:ascii="仿宋_GB2312" w:hAnsi="宋体" w:eastAsia="仿宋_GB2312"/>
          <w:sz w:val="32"/>
          <w:szCs w:val="32"/>
          <w:highlight w:val="none"/>
          <w:lang w:val="en-US" w:eastAsia="zh-CN"/>
        </w:rPr>
      </w:pPr>
      <w:r>
        <w:rPr>
          <w:rFonts w:hint="eastAsia" w:ascii="仿宋" w:hAnsi="仿宋" w:eastAsia="仿宋" w:cs="仿宋"/>
          <w:b w:val="0"/>
          <w:bCs/>
          <w:szCs w:val="32"/>
          <w:lang w:val="en-US" w:eastAsia="zh-CN"/>
        </w:rPr>
        <w:t>本项目区委宣传部拟申请区级财政预</w:t>
      </w:r>
      <w:r>
        <w:rPr>
          <w:rFonts w:hint="eastAsia" w:ascii="仿宋" w:hAnsi="仿宋" w:eastAsia="仿宋" w:cs="仿宋"/>
          <w:b w:val="0"/>
          <w:bCs/>
          <w:szCs w:val="32"/>
          <w:highlight w:val="none"/>
          <w:lang w:val="en-US" w:eastAsia="zh-CN"/>
        </w:rPr>
        <w:t>算资金50万元</w:t>
      </w:r>
      <w:r>
        <w:rPr>
          <w:rFonts w:hint="eastAsia" w:ascii="仿宋" w:hAnsi="仿宋" w:eastAsia="仿宋" w:cs="仿宋"/>
          <w:b w:val="0"/>
          <w:bCs/>
          <w:szCs w:val="32"/>
          <w:lang w:val="en-US" w:eastAsia="zh-CN"/>
        </w:rPr>
        <w:t>，用于省、市主流媒体宣传合作经费</w:t>
      </w:r>
      <w:r>
        <w:rPr>
          <w:rFonts w:hint="eastAsia" w:ascii="仿宋_GB2312" w:hAnsi="宋体" w:eastAsia="仿宋_GB2312"/>
          <w:sz w:val="32"/>
          <w:szCs w:val="32"/>
          <w:highlight w:val="none"/>
          <w:lang w:val="en-US" w:eastAsia="zh-CN"/>
        </w:rPr>
        <w:t>。</w:t>
      </w:r>
      <w:r>
        <w:rPr>
          <w:rFonts w:hint="eastAsia" w:ascii="仿宋" w:hAnsi="仿宋" w:eastAsia="仿宋" w:cs="仿宋"/>
          <w:b w:val="0"/>
          <w:bCs/>
          <w:szCs w:val="32"/>
          <w:lang w:val="en-US" w:eastAsia="zh-CN"/>
        </w:rPr>
        <w:t>资金安排明细如下</w:t>
      </w:r>
      <w:r>
        <w:rPr>
          <w:rFonts w:hint="eastAsia" w:ascii="仿宋_GB2312" w:hAnsi="宋体"/>
          <w:sz w:val="32"/>
          <w:szCs w:val="32"/>
          <w:highlight w:val="none"/>
          <w:lang w:val="en-US" w:eastAsia="zh-CN"/>
        </w:rPr>
        <w:t>：</w:t>
      </w:r>
    </w:p>
    <w:p>
      <w:pPr>
        <w:pageBreakBefore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1.乐山市融媒体中心合作经费20万元；</w:t>
      </w:r>
    </w:p>
    <w:p>
      <w:pPr>
        <w:pageBreakBefore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2.四川日报社合作经费6万元；</w:t>
      </w:r>
    </w:p>
    <w:p>
      <w:pPr>
        <w:pageBreakBefore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3.四川新闻网合作经费2万元；</w:t>
      </w:r>
    </w:p>
    <w:p>
      <w:pPr>
        <w:pageBreakBefore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4.四川电视台合作经费5万元；</w:t>
      </w:r>
    </w:p>
    <w:p>
      <w:pPr>
        <w:pageBreakBefore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5.新华网合作经费5万元；</w:t>
      </w:r>
    </w:p>
    <w:p>
      <w:pPr>
        <w:pageBreakBefore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6.阿豪豪影视工作室合作经费4万元；</w:t>
      </w:r>
    </w:p>
    <w:p>
      <w:pPr>
        <w:pageBreakBefore w:val="0"/>
        <w:kinsoku/>
        <w:wordWrap/>
        <w:overflowPunct/>
        <w:topLinePunct w:val="0"/>
        <w:autoSpaceDE/>
        <w:autoSpaceDN/>
        <w:bidi w:val="0"/>
        <w:adjustRightInd w:val="0"/>
        <w:snapToGrid w:val="0"/>
        <w:spacing w:line="600" w:lineRule="exact"/>
        <w:ind w:left="0" w:firstLine="640" w:firstLineChars="200"/>
        <w:textAlignment w:val="auto"/>
        <w:rPr>
          <w:rFonts w:hint="default"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7.外宣拍摄租车费、误餐费、拍摄设备维修费、图片视频传输介质等8万元。</w:t>
      </w:r>
    </w:p>
    <w:p>
      <w:pPr>
        <w:pStyle w:val="3"/>
        <w:pageBreakBefore w:val="0"/>
        <w:kinsoku/>
        <w:wordWrap/>
        <w:overflowPunct/>
        <w:topLinePunct w:val="0"/>
        <w:autoSpaceDE/>
        <w:autoSpaceDN/>
        <w:bidi w:val="0"/>
        <w:adjustRightInd w:val="0"/>
        <w:snapToGrid w:val="0"/>
        <w:spacing w:before="0" w:beforeLines="0" w:after="0" w:afterLines="0" w:line="600" w:lineRule="exact"/>
        <w:ind w:left="0" w:firstLine="640" w:firstLineChars="200"/>
        <w:textAlignment w:val="auto"/>
        <w:rPr>
          <w:rFonts w:hint="eastAsia" w:ascii="楷体" w:hAnsi="楷体" w:eastAsia="楷体" w:cs="楷体"/>
          <w:b w:val="0"/>
          <w:bCs/>
          <w:szCs w:val="32"/>
          <w:lang w:val="en-US" w:eastAsia="zh-CN"/>
        </w:rPr>
      </w:pPr>
      <w:r>
        <w:rPr>
          <w:rFonts w:hint="eastAsia" w:ascii="楷体" w:hAnsi="楷体" w:eastAsia="楷体" w:cs="楷体"/>
          <w:b w:val="0"/>
          <w:bCs/>
          <w:szCs w:val="32"/>
          <w:lang w:eastAsia="zh-CN"/>
        </w:rPr>
        <w:t>（</w:t>
      </w:r>
      <w:r>
        <w:rPr>
          <w:rFonts w:hint="eastAsia" w:ascii="楷体" w:hAnsi="楷体" w:eastAsia="楷体" w:cs="楷体"/>
          <w:b w:val="0"/>
          <w:bCs/>
          <w:szCs w:val="32"/>
          <w:lang w:val="en-US" w:eastAsia="zh-CN"/>
        </w:rPr>
        <w:t>四</w:t>
      </w:r>
      <w:r>
        <w:rPr>
          <w:rFonts w:hint="eastAsia" w:ascii="楷体" w:hAnsi="楷体" w:eastAsia="楷体" w:cs="楷体"/>
          <w:b w:val="0"/>
          <w:bCs/>
          <w:szCs w:val="32"/>
          <w:lang w:eastAsia="zh-CN"/>
        </w:rPr>
        <w:t>）</w:t>
      </w:r>
      <w:r>
        <w:rPr>
          <w:rFonts w:hint="eastAsia" w:ascii="楷体" w:hAnsi="楷体" w:eastAsia="楷体" w:cs="楷体"/>
          <w:b w:val="0"/>
          <w:bCs/>
          <w:szCs w:val="32"/>
          <w:lang w:val="en-US" w:eastAsia="zh-CN"/>
        </w:rPr>
        <w:t>评价确认资金</w:t>
      </w:r>
    </w:p>
    <w:p>
      <w:pPr>
        <w:pageBreakBefore w:val="0"/>
        <w:kinsoku/>
        <w:wordWrap/>
        <w:overflowPunct/>
        <w:topLinePunct w:val="0"/>
        <w:autoSpaceDE/>
        <w:autoSpaceDN/>
        <w:bidi w:val="0"/>
        <w:adjustRightInd w:val="0"/>
        <w:snapToGrid w:val="0"/>
        <w:spacing w:line="600" w:lineRule="exact"/>
        <w:ind w:left="0" w:firstLine="640" w:firstLineChars="200"/>
        <w:textAlignment w:val="auto"/>
        <w:rPr>
          <w:rFonts w:hint="default" w:ascii="仿宋_GB2312" w:hAnsi="宋体" w:eastAsia="仿宋_GB2312"/>
          <w:sz w:val="32"/>
          <w:szCs w:val="32"/>
          <w:highlight w:val="none"/>
          <w:lang w:val="en-US" w:eastAsia="zh-CN"/>
        </w:rPr>
      </w:pPr>
      <w:r>
        <w:rPr>
          <w:rFonts w:hint="eastAsia" w:ascii="仿宋" w:hAnsi="仿宋" w:eastAsia="仿宋" w:cs="仿宋"/>
          <w:b w:val="0"/>
          <w:bCs/>
          <w:szCs w:val="32"/>
          <w:lang w:val="en-US" w:eastAsia="zh-CN"/>
        </w:rPr>
        <w:t>评估工作组根据区委宣传部提供的外宣经费资金使用明细，结合以前年度外宣经费使用情况，展开了全面且深入的剖析，对各项费用支出占比进行详细核算，确定区委宣传部2025年外宣经费预算金额45万。</w:t>
      </w:r>
      <w:r>
        <w:rPr>
          <w:rFonts w:hint="eastAsia" w:ascii="仿宋_GB2312" w:hAnsi="宋体"/>
          <w:sz w:val="32"/>
          <w:szCs w:val="32"/>
          <w:highlight w:val="none"/>
          <w:lang w:val="en-US" w:eastAsia="zh-CN"/>
        </w:rPr>
        <w:t>明细如下</w:t>
      </w:r>
      <w:r>
        <w:rPr>
          <w:rFonts w:hint="eastAsia" w:ascii="仿宋_GB2312" w:hAnsi="宋体" w:eastAsia="仿宋_GB2312"/>
          <w:sz w:val="32"/>
          <w:szCs w:val="32"/>
          <w:highlight w:val="none"/>
          <w:lang w:val="en-US" w:eastAsia="zh-CN"/>
        </w:rPr>
        <w:t>：</w:t>
      </w:r>
    </w:p>
    <w:p>
      <w:pPr>
        <w:pageBreakBefore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1.</w:t>
      </w:r>
      <w:r>
        <w:rPr>
          <w:rFonts w:hint="eastAsia" w:ascii="仿宋" w:hAnsi="仿宋" w:eastAsia="仿宋" w:cs="仿宋"/>
          <w:b w:val="0"/>
          <w:bCs/>
          <w:szCs w:val="32"/>
          <w:lang w:val="en-US" w:eastAsia="zh-CN"/>
        </w:rPr>
        <w:t>乐山市融媒体中心合作经费20万元</w:t>
      </w:r>
      <w:r>
        <w:rPr>
          <w:rFonts w:hint="eastAsia" w:ascii="仿宋_GB2312" w:hAnsi="宋体" w:eastAsia="仿宋_GB2312"/>
          <w:sz w:val="32"/>
          <w:szCs w:val="32"/>
          <w:highlight w:val="none"/>
          <w:lang w:val="en-US" w:eastAsia="zh-CN"/>
        </w:rPr>
        <w:t>；</w:t>
      </w:r>
    </w:p>
    <w:p>
      <w:pPr>
        <w:pageBreakBefore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2.</w:t>
      </w:r>
      <w:r>
        <w:rPr>
          <w:rFonts w:hint="eastAsia" w:ascii="仿宋" w:hAnsi="仿宋" w:eastAsia="仿宋" w:cs="仿宋"/>
          <w:b w:val="0"/>
          <w:bCs/>
          <w:szCs w:val="32"/>
          <w:lang w:val="en-US" w:eastAsia="zh-CN"/>
        </w:rPr>
        <w:t>四川日报社合作经费6万元</w:t>
      </w:r>
      <w:r>
        <w:rPr>
          <w:rFonts w:hint="eastAsia" w:ascii="仿宋_GB2312" w:hAnsi="宋体" w:eastAsia="仿宋_GB2312"/>
          <w:sz w:val="32"/>
          <w:szCs w:val="32"/>
          <w:highlight w:val="none"/>
          <w:lang w:val="en-US" w:eastAsia="zh-CN"/>
        </w:rPr>
        <w:t>；</w:t>
      </w:r>
    </w:p>
    <w:p>
      <w:pPr>
        <w:pageBreakBefore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3.</w:t>
      </w:r>
      <w:r>
        <w:rPr>
          <w:rFonts w:hint="eastAsia" w:ascii="仿宋" w:hAnsi="仿宋" w:eastAsia="仿宋" w:cs="仿宋"/>
          <w:b w:val="0"/>
          <w:bCs/>
          <w:szCs w:val="32"/>
          <w:lang w:val="en-US" w:eastAsia="zh-CN"/>
        </w:rPr>
        <w:t>四川新闻网合作经费2万元</w:t>
      </w:r>
      <w:r>
        <w:rPr>
          <w:rFonts w:hint="eastAsia" w:ascii="仿宋_GB2312" w:hAnsi="宋体" w:eastAsia="仿宋_GB2312"/>
          <w:sz w:val="32"/>
          <w:szCs w:val="32"/>
          <w:highlight w:val="none"/>
          <w:lang w:val="en-US" w:eastAsia="zh-CN"/>
        </w:rPr>
        <w:t>；</w:t>
      </w:r>
    </w:p>
    <w:p>
      <w:pPr>
        <w:pageBreakBefore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4.</w:t>
      </w:r>
      <w:r>
        <w:rPr>
          <w:rFonts w:hint="eastAsia" w:ascii="仿宋" w:hAnsi="仿宋" w:eastAsia="仿宋" w:cs="仿宋"/>
          <w:b w:val="0"/>
          <w:bCs/>
          <w:szCs w:val="32"/>
          <w:lang w:val="en-US" w:eastAsia="zh-CN"/>
        </w:rPr>
        <w:t>四川电视台合作经费5万元</w:t>
      </w:r>
      <w:r>
        <w:rPr>
          <w:rFonts w:hint="eastAsia" w:ascii="仿宋_GB2312" w:hAnsi="宋体" w:eastAsia="仿宋_GB2312"/>
          <w:sz w:val="32"/>
          <w:szCs w:val="32"/>
          <w:highlight w:val="none"/>
          <w:lang w:val="en-US" w:eastAsia="zh-CN"/>
        </w:rPr>
        <w:t>；</w:t>
      </w:r>
    </w:p>
    <w:p>
      <w:pPr>
        <w:pageBreakBefore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5.</w:t>
      </w:r>
      <w:r>
        <w:rPr>
          <w:rFonts w:hint="eastAsia" w:ascii="仿宋" w:hAnsi="仿宋" w:eastAsia="仿宋" w:cs="仿宋"/>
          <w:b w:val="0"/>
          <w:bCs/>
          <w:szCs w:val="32"/>
          <w:lang w:val="en-US" w:eastAsia="zh-CN"/>
        </w:rPr>
        <w:t>新华网合作经费5万元</w:t>
      </w:r>
      <w:r>
        <w:rPr>
          <w:rFonts w:hint="eastAsia" w:ascii="仿宋_GB2312" w:hAnsi="宋体" w:eastAsia="仿宋_GB2312"/>
          <w:sz w:val="32"/>
          <w:szCs w:val="32"/>
          <w:highlight w:val="none"/>
          <w:lang w:val="en-US" w:eastAsia="zh-CN"/>
        </w:rPr>
        <w:t>；</w:t>
      </w:r>
    </w:p>
    <w:p>
      <w:pPr>
        <w:pageBreakBefore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6.</w:t>
      </w:r>
      <w:r>
        <w:rPr>
          <w:rFonts w:hint="eastAsia" w:ascii="仿宋" w:hAnsi="仿宋" w:eastAsia="仿宋" w:cs="仿宋"/>
          <w:b w:val="0"/>
          <w:bCs/>
          <w:szCs w:val="32"/>
          <w:lang w:val="en-US" w:eastAsia="zh-CN"/>
        </w:rPr>
        <w:t>阿豪豪影视工作室合作经费4万元</w:t>
      </w:r>
      <w:r>
        <w:rPr>
          <w:rFonts w:hint="eastAsia" w:ascii="仿宋_GB2312" w:hAnsi="宋体" w:eastAsia="仿宋_GB2312"/>
          <w:sz w:val="32"/>
          <w:szCs w:val="32"/>
          <w:highlight w:val="none"/>
          <w:lang w:val="en-US" w:eastAsia="zh-CN"/>
        </w:rPr>
        <w:t>；</w:t>
      </w:r>
    </w:p>
    <w:p>
      <w:pPr>
        <w:pageBreakBefore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7.</w:t>
      </w:r>
      <w:r>
        <w:rPr>
          <w:rFonts w:hint="eastAsia" w:ascii="仿宋" w:hAnsi="仿宋" w:eastAsia="仿宋" w:cs="仿宋"/>
          <w:b w:val="0"/>
          <w:bCs/>
          <w:szCs w:val="32"/>
          <w:lang w:val="en-US" w:eastAsia="zh-CN"/>
        </w:rPr>
        <w:t>外宣拍摄租车费、误餐费、拍摄设备维修费、图片视频传输介质等3万元</w:t>
      </w:r>
      <w:r>
        <w:rPr>
          <w:rFonts w:hint="eastAsia" w:ascii="仿宋_GB2312" w:hAnsi="宋体" w:eastAsia="仿宋_GB2312"/>
          <w:sz w:val="32"/>
          <w:szCs w:val="32"/>
          <w:highlight w:val="none"/>
          <w:lang w:val="en-US" w:eastAsia="zh-CN"/>
        </w:rPr>
        <w:t>。</w:t>
      </w:r>
    </w:p>
    <w:p>
      <w:pPr>
        <w:pageBreakBefore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 w:hAnsi="仿宋" w:eastAsia="仿宋" w:cs="仿宋"/>
          <w:b w:val="0"/>
          <w:bCs/>
          <w:szCs w:val="32"/>
          <w:lang w:val="en-US" w:eastAsia="zh-CN"/>
        </w:rPr>
      </w:pPr>
      <w:r>
        <w:rPr>
          <w:rFonts w:hint="eastAsia" w:ascii="仿宋" w:hAnsi="仿宋" w:eastAsia="仿宋" w:cs="仿宋"/>
          <w:b w:val="0"/>
          <w:bCs/>
          <w:szCs w:val="32"/>
          <w:lang w:val="en-US" w:eastAsia="zh-CN"/>
        </w:rPr>
        <w:t>金口河对外宣传工作属于宣传文化事业范畴，旨在提升地区文化传播力，促进精神文明建设，满足地区发展的宣传需求。</w:t>
      </w:r>
    </w:p>
    <w:p>
      <w:pPr>
        <w:pageBreakBefore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 w:hAnsi="仿宋" w:eastAsia="仿宋" w:cs="仿宋"/>
          <w:b w:val="0"/>
          <w:bCs/>
          <w:szCs w:val="32"/>
          <w:lang w:val="en-US" w:eastAsia="zh-CN"/>
        </w:rPr>
      </w:pPr>
      <w:r>
        <w:rPr>
          <w:rFonts w:hint="eastAsia" w:ascii="仿宋" w:hAnsi="仿宋" w:eastAsia="仿宋" w:cs="仿宋"/>
          <w:b w:val="0"/>
          <w:bCs/>
          <w:szCs w:val="32"/>
          <w:lang w:val="en-US" w:eastAsia="zh-CN"/>
        </w:rPr>
        <w:t>此次对外宣传工作围绕金口河的特色文化、旅游资源、产业优势等方面展开，涵盖线上线下多渠道宣传活动。预算包括与官方媒体合作经费、外宣拍摄设备维修、租车及误餐费等费用。每项预算都经过详细市场调研与成本核算，确保资金使用合理、高效。</w:t>
      </w:r>
    </w:p>
    <w:p>
      <w:pPr>
        <w:pStyle w:val="2"/>
        <w:pageBreakBefore w:val="0"/>
        <w:numPr>
          <w:ilvl w:val="0"/>
          <w:numId w:val="0"/>
        </w:numPr>
        <w:kinsoku/>
        <w:wordWrap/>
        <w:overflowPunct/>
        <w:topLinePunct w:val="0"/>
        <w:autoSpaceDE/>
        <w:autoSpaceDN/>
        <w:bidi w:val="0"/>
        <w:adjustRightInd w:val="0"/>
        <w:snapToGrid w:val="0"/>
        <w:spacing w:before="0" w:beforeLines="0" w:after="0" w:afterLines="0" w:line="600" w:lineRule="exact"/>
        <w:ind w:left="0" w:leftChars="0" w:firstLine="640" w:firstLineChars="200"/>
        <w:textAlignment w:val="auto"/>
        <w:rPr>
          <w:rFonts w:hint="eastAsia" w:ascii="黑体" w:hAnsi="黑体" w:eastAsia="黑体" w:cs="黑体"/>
          <w:b w:val="0"/>
          <w:bCs/>
          <w:color w:val="000000"/>
          <w:kern w:val="0"/>
          <w:sz w:val="32"/>
          <w:szCs w:val="32"/>
          <w:lang w:val="en-US" w:eastAsia="zh-CN" w:bidi="en-US"/>
        </w:rPr>
      </w:pPr>
      <w:bookmarkStart w:id="114" w:name="_Toc326378840"/>
      <w:bookmarkStart w:id="115" w:name="_Toc451760287"/>
      <w:bookmarkStart w:id="116" w:name="_Toc1939"/>
      <w:bookmarkStart w:id="117" w:name="_Toc132480961"/>
      <w:bookmarkStart w:id="118" w:name="_Toc9538"/>
      <w:bookmarkStart w:id="119" w:name="_Toc23154"/>
      <w:bookmarkStart w:id="120" w:name="_Toc4357"/>
      <w:bookmarkStart w:id="121" w:name="_Toc1093480860_WPSOffice_Level1"/>
      <w:bookmarkStart w:id="122" w:name="_Toc15206"/>
      <w:bookmarkStart w:id="123" w:name="_Toc338550202"/>
      <w:bookmarkStart w:id="124" w:name="_Toc1396703300"/>
      <w:r>
        <w:rPr>
          <w:rFonts w:hint="eastAsia" w:ascii="黑体" w:hAnsi="黑体" w:eastAsia="黑体" w:cs="黑体"/>
          <w:b w:val="0"/>
          <w:bCs/>
          <w:color w:val="000000"/>
          <w:kern w:val="0"/>
          <w:sz w:val="32"/>
          <w:szCs w:val="32"/>
          <w:lang w:val="en-US" w:eastAsia="zh-CN" w:bidi="en-US"/>
        </w:rPr>
        <w:t>二、绩效评价工作开展情况</w:t>
      </w:r>
      <w:bookmarkEnd w:id="114"/>
      <w:bookmarkEnd w:id="115"/>
      <w:bookmarkEnd w:id="116"/>
      <w:bookmarkEnd w:id="117"/>
      <w:bookmarkEnd w:id="118"/>
      <w:bookmarkEnd w:id="119"/>
      <w:bookmarkEnd w:id="120"/>
      <w:bookmarkEnd w:id="121"/>
      <w:bookmarkEnd w:id="122"/>
      <w:bookmarkEnd w:id="123"/>
      <w:bookmarkEnd w:id="124"/>
    </w:p>
    <w:p>
      <w:pPr>
        <w:pStyle w:val="3"/>
        <w:pageBreakBefore w:val="0"/>
        <w:numPr>
          <w:ilvl w:val="0"/>
          <w:numId w:val="0"/>
        </w:numPr>
        <w:kinsoku/>
        <w:wordWrap/>
        <w:overflowPunct/>
        <w:topLinePunct w:val="0"/>
        <w:autoSpaceDE/>
        <w:autoSpaceDN/>
        <w:bidi w:val="0"/>
        <w:adjustRightInd w:val="0"/>
        <w:snapToGrid w:val="0"/>
        <w:spacing w:before="0" w:beforeLines="0" w:after="0" w:afterLines="0" w:line="600" w:lineRule="exact"/>
        <w:ind w:left="0" w:leftChars="0" w:firstLine="640" w:firstLineChars="200"/>
        <w:textAlignment w:val="auto"/>
        <w:rPr>
          <w:rFonts w:hint="eastAsia" w:ascii="楷体" w:hAnsi="楷体" w:eastAsia="楷体" w:cs="楷体"/>
          <w:b w:val="0"/>
          <w:bCs/>
          <w:szCs w:val="32"/>
          <w:lang w:eastAsia="zh-CN"/>
        </w:rPr>
      </w:pPr>
      <w:bookmarkStart w:id="125" w:name="_Toc248617743"/>
      <w:bookmarkStart w:id="126" w:name="_Toc6302"/>
      <w:bookmarkStart w:id="127" w:name="_Toc24814"/>
      <w:bookmarkStart w:id="128" w:name="_Toc20456"/>
      <w:bookmarkStart w:id="129" w:name="_Toc1329064111"/>
      <w:bookmarkStart w:id="130" w:name="_Toc26357"/>
      <w:bookmarkStart w:id="131" w:name="_Toc132480962"/>
      <w:bookmarkStart w:id="132" w:name="_Toc1380451464"/>
      <w:bookmarkStart w:id="133" w:name="_Toc29934"/>
      <w:bookmarkStart w:id="134" w:name="_Toc775929442"/>
      <w:r>
        <w:rPr>
          <w:rFonts w:hint="eastAsia" w:ascii="楷体" w:hAnsi="楷体" w:cs="楷体"/>
          <w:b w:val="0"/>
          <w:bCs/>
          <w:color w:val="000000"/>
          <w:kern w:val="0"/>
          <w:sz w:val="32"/>
          <w:szCs w:val="32"/>
          <w:lang w:val="en-US" w:eastAsia="zh-CN" w:bidi="en-US"/>
        </w:rPr>
        <w:t>（一）</w:t>
      </w:r>
      <w:r>
        <w:rPr>
          <w:rFonts w:hint="eastAsia" w:ascii="楷体" w:hAnsi="楷体" w:eastAsia="楷体" w:cs="楷体"/>
          <w:b w:val="0"/>
          <w:bCs/>
          <w:color w:val="000000"/>
          <w:kern w:val="0"/>
          <w:sz w:val="32"/>
          <w:szCs w:val="32"/>
          <w:lang w:val="en-US" w:eastAsia="zh-CN" w:bidi="en-US"/>
        </w:rPr>
        <w:t>绩效评价目的</w:t>
      </w:r>
      <w:bookmarkEnd w:id="125"/>
      <w:bookmarkEnd w:id="126"/>
      <w:bookmarkEnd w:id="127"/>
      <w:bookmarkEnd w:id="128"/>
      <w:bookmarkEnd w:id="129"/>
      <w:bookmarkEnd w:id="130"/>
      <w:bookmarkEnd w:id="131"/>
      <w:bookmarkEnd w:id="132"/>
      <w:bookmarkEnd w:id="133"/>
      <w:bookmarkEnd w:id="134"/>
    </w:p>
    <w:p>
      <w:pPr>
        <w:pageBreakBefore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 w:hAnsi="仿宋" w:eastAsia="仿宋" w:cs="仿宋"/>
          <w:bCs/>
          <w:szCs w:val="32"/>
          <w:lang w:eastAsia="zh-CN"/>
        </w:rPr>
      </w:pPr>
      <w:r>
        <w:rPr>
          <w:rFonts w:ascii="仿宋" w:hAnsi="仿宋" w:eastAsia="仿宋" w:cs="仿宋"/>
          <w:bCs/>
          <w:szCs w:val="32"/>
          <w:lang w:eastAsia="zh-CN"/>
        </w:rPr>
        <w:t>根</w:t>
      </w:r>
      <w:r>
        <w:rPr>
          <w:rFonts w:hint="eastAsia" w:ascii="仿宋" w:hAnsi="仿宋" w:eastAsia="仿宋" w:cs="仿宋"/>
          <w:b w:val="0"/>
          <w:bCs/>
          <w:color w:val="000000"/>
          <w:kern w:val="0"/>
          <w:sz w:val="32"/>
          <w:szCs w:val="32"/>
          <w:lang w:val="en-US" w:eastAsia="zh-CN" w:bidi="en-US"/>
        </w:rPr>
        <w:t>据《乐山市金口河区财政局关于委托金口河区财政投资评价审核中心开展2025年事前绩效评估工作的函》，金口河区财政局在各预算单位对2025年年初预算资金进行事前自评的基础上，按照“资金量较大、代表性较强、社会关注度较高、资金分配覆盖广且连续实施”的原则，委托我中心对外宣经费进行评估。本项目的绩效评估主要判断项目申请资金支持的必要性和可行性，重点论证项目实施的必要性、公益性、经济性；项目实施合规性与成熟度；项目资金来源和到位可行性；项目绩效目标合理性；事前绩效评估论证结果</w:t>
      </w:r>
      <w:r>
        <w:rPr>
          <w:rFonts w:ascii="仿宋" w:hAnsi="仿宋" w:eastAsia="仿宋" w:cs="仿宋"/>
          <w:bCs/>
          <w:szCs w:val="32"/>
          <w:lang w:eastAsia="zh-CN"/>
        </w:rPr>
        <w:t>。</w:t>
      </w:r>
    </w:p>
    <w:p>
      <w:pPr>
        <w:pStyle w:val="3"/>
        <w:pageBreakBefore w:val="0"/>
        <w:numPr>
          <w:ilvl w:val="0"/>
          <w:numId w:val="0"/>
        </w:numPr>
        <w:kinsoku/>
        <w:wordWrap/>
        <w:overflowPunct/>
        <w:topLinePunct w:val="0"/>
        <w:autoSpaceDE/>
        <w:autoSpaceDN/>
        <w:bidi w:val="0"/>
        <w:adjustRightInd w:val="0"/>
        <w:snapToGrid w:val="0"/>
        <w:spacing w:before="0" w:beforeLines="0" w:after="0" w:afterLines="0" w:line="600" w:lineRule="exact"/>
        <w:ind w:left="0" w:leftChars="0" w:firstLine="640" w:firstLineChars="200"/>
        <w:textAlignment w:val="auto"/>
        <w:rPr>
          <w:rFonts w:hint="eastAsia" w:ascii="楷体" w:hAnsi="楷体" w:cs="楷体"/>
          <w:b w:val="0"/>
          <w:bCs/>
          <w:color w:val="000000"/>
          <w:kern w:val="0"/>
          <w:sz w:val="32"/>
          <w:szCs w:val="32"/>
          <w:lang w:val="en-US" w:eastAsia="zh-CN" w:bidi="en-US"/>
        </w:rPr>
      </w:pPr>
      <w:bookmarkStart w:id="135" w:name="_Toc32534"/>
      <w:bookmarkStart w:id="136" w:name="_Toc15142"/>
      <w:bookmarkStart w:id="137" w:name="_Toc1343165574"/>
      <w:bookmarkStart w:id="138" w:name="_Toc166470150"/>
      <w:bookmarkStart w:id="139" w:name="_Toc2011308256"/>
      <w:bookmarkStart w:id="140" w:name="_Toc8572"/>
      <w:bookmarkStart w:id="141" w:name="_Toc132480963"/>
      <w:bookmarkStart w:id="142" w:name="_Toc1814348475"/>
      <w:bookmarkStart w:id="143" w:name="_Toc16583"/>
      <w:bookmarkStart w:id="144" w:name="_Toc6017"/>
      <w:r>
        <w:rPr>
          <w:rFonts w:hint="eastAsia" w:ascii="楷体" w:hAnsi="楷体" w:cs="楷体"/>
          <w:b w:val="0"/>
          <w:bCs/>
          <w:color w:val="000000"/>
          <w:kern w:val="0"/>
          <w:sz w:val="32"/>
          <w:szCs w:val="32"/>
          <w:lang w:val="en-US" w:eastAsia="zh-CN" w:bidi="en-US"/>
        </w:rPr>
        <w:t>（二）绩效评价</w:t>
      </w:r>
      <w:bookmarkEnd w:id="135"/>
      <w:bookmarkEnd w:id="136"/>
      <w:bookmarkEnd w:id="137"/>
      <w:bookmarkEnd w:id="138"/>
      <w:bookmarkEnd w:id="139"/>
      <w:bookmarkEnd w:id="140"/>
      <w:bookmarkEnd w:id="141"/>
      <w:bookmarkEnd w:id="142"/>
      <w:r>
        <w:rPr>
          <w:rFonts w:hint="eastAsia" w:ascii="楷体" w:hAnsi="楷体" w:cs="楷体"/>
          <w:b w:val="0"/>
          <w:bCs/>
          <w:color w:val="000000"/>
          <w:kern w:val="0"/>
          <w:sz w:val="32"/>
          <w:szCs w:val="32"/>
          <w:lang w:val="en-US" w:eastAsia="zh-CN" w:bidi="en-US"/>
        </w:rPr>
        <w:t>指标</w:t>
      </w:r>
      <w:bookmarkEnd w:id="143"/>
      <w:bookmarkEnd w:id="144"/>
    </w:p>
    <w:p>
      <w:pPr>
        <w:pageBreakBefore w:val="0"/>
        <w:kinsoku/>
        <w:wordWrap/>
        <w:overflowPunct/>
        <w:topLinePunct w:val="0"/>
        <w:autoSpaceDE/>
        <w:autoSpaceDN/>
        <w:bidi w:val="0"/>
        <w:adjustRightInd w:val="0"/>
        <w:snapToGrid w:val="0"/>
        <w:spacing w:line="600" w:lineRule="exact"/>
        <w:ind w:left="0" w:firstLine="640" w:firstLineChars="200"/>
        <w:textAlignment w:val="auto"/>
        <w:rPr>
          <w:rFonts w:ascii="仿宋" w:hAnsi="仿宋" w:eastAsia="仿宋" w:cs="仿宋"/>
          <w:bCs/>
          <w:szCs w:val="32"/>
          <w:highlight w:val="none"/>
          <w:lang w:eastAsia="zh-CN"/>
        </w:rPr>
      </w:pPr>
      <w:r>
        <w:rPr>
          <w:rFonts w:hint="eastAsia" w:ascii="仿宋" w:hAnsi="仿宋" w:eastAsia="仿宋" w:cs="仿宋"/>
          <w:bCs/>
          <w:szCs w:val="32"/>
          <w:lang w:eastAsia="zh-CN"/>
        </w:rPr>
        <w:t>外宣经费</w:t>
      </w:r>
      <w:r>
        <w:rPr>
          <w:rFonts w:ascii="仿宋" w:hAnsi="仿宋" w:eastAsia="仿宋" w:cs="仿宋"/>
          <w:bCs/>
          <w:szCs w:val="32"/>
          <w:lang w:eastAsia="zh-CN"/>
        </w:rPr>
        <w:t>事前绩效评估指标直接影响绩效评估结果的有效性，设计和选择评估指标时，评估工作小组遵循“相关性、经济性、可比性、重要性”的原则，通过对</w:t>
      </w:r>
      <w:r>
        <w:rPr>
          <w:rFonts w:hint="eastAsia" w:ascii="仿宋" w:hAnsi="仿宋" w:eastAsia="仿宋" w:cs="仿宋"/>
          <w:bCs/>
          <w:szCs w:val="32"/>
          <w:lang w:eastAsia="zh-CN"/>
        </w:rPr>
        <w:t>外宣经费</w:t>
      </w:r>
      <w:r>
        <w:rPr>
          <w:rFonts w:ascii="仿宋" w:hAnsi="仿宋" w:eastAsia="仿宋" w:cs="仿宋"/>
          <w:bCs/>
          <w:szCs w:val="32"/>
          <w:lang w:eastAsia="zh-CN"/>
        </w:rPr>
        <w:t>相关文件的学习理解、对项目特点的深入研究以及对项</w:t>
      </w:r>
      <w:r>
        <w:rPr>
          <w:rFonts w:ascii="仿宋" w:hAnsi="仿宋" w:eastAsia="仿宋" w:cs="仿宋"/>
          <w:bCs/>
          <w:szCs w:val="32"/>
          <w:highlight w:val="none"/>
          <w:lang w:eastAsia="zh-CN"/>
        </w:rPr>
        <w:t>目资料的整理分析的基础上，设计形成事前绩效评估体系。绩效评估总分100分，共设置一级指标</w:t>
      </w:r>
      <w:r>
        <w:rPr>
          <w:rFonts w:hint="eastAsia" w:ascii="仿宋" w:hAnsi="仿宋" w:eastAsia="仿宋" w:cs="仿宋"/>
          <w:bCs/>
          <w:szCs w:val="32"/>
          <w:highlight w:val="none"/>
          <w:lang w:val="en-US" w:eastAsia="zh-CN"/>
        </w:rPr>
        <w:t>8</w:t>
      </w:r>
      <w:r>
        <w:rPr>
          <w:rFonts w:ascii="仿宋" w:hAnsi="仿宋" w:eastAsia="仿宋" w:cs="仿宋"/>
          <w:bCs/>
          <w:szCs w:val="32"/>
          <w:highlight w:val="none"/>
          <w:lang w:eastAsia="zh-CN"/>
        </w:rPr>
        <w:t>个，分值分别为1</w:t>
      </w:r>
      <w:r>
        <w:rPr>
          <w:rFonts w:hint="eastAsia" w:ascii="仿宋" w:hAnsi="仿宋" w:eastAsia="仿宋" w:cs="仿宋"/>
          <w:bCs/>
          <w:szCs w:val="32"/>
          <w:highlight w:val="none"/>
          <w:lang w:val="en-US" w:eastAsia="zh-CN"/>
        </w:rPr>
        <w:t>6</w:t>
      </w:r>
      <w:r>
        <w:rPr>
          <w:rFonts w:ascii="仿宋" w:hAnsi="仿宋" w:eastAsia="仿宋" w:cs="仿宋"/>
          <w:bCs/>
          <w:szCs w:val="32"/>
          <w:highlight w:val="none"/>
          <w:lang w:eastAsia="zh-CN"/>
        </w:rPr>
        <w:t>分、1</w:t>
      </w:r>
      <w:r>
        <w:rPr>
          <w:rFonts w:hint="eastAsia" w:ascii="仿宋" w:hAnsi="仿宋" w:eastAsia="仿宋" w:cs="仿宋"/>
          <w:bCs/>
          <w:szCs w:val="32"/>
          <w:highlight w:val="none"/>
          <w:lang w:val="en-US" w:eastAsia="zh-CN"/>
        </w:rPr>
        <w:t>8</w:t>
      </w:r>
      <w:r>
        <w:rPr>
          <w:rFonts w:ascii="仿宋" w:hAnsi="仿宋" w:eastAsia="仿宋" w:cs="仿宋"/>
          <w:bCs/>
          <w:szCs w:val="32"/>
          <w:highlight w:val="none"/>
          <w:lang w:eastAsia="zh-CN"/>
        </w:rPr>
        <w:t>分、1</w:t>
      </w:r>
      <w:r>
        <w:rPr>
          <w:rFonts w:hint="eastAsia" w:ascii="仿宋" w:hAnsi="仿宋" w:eastAsia="仿宋" w:cs="仿宋"/>
          <w:bCs/>
          <w:szCs w:val="32"/>
          <w:highlight w:val="none"/>
          <w:lang w:val="en-US" w:eastAsia="zh-CN"/>
        </w:rPr>
        <w:t>2</w:t>
      </w:r>
      <w:r>
        <w:rPr>
          <w:rFonts w:ascii="仿宋" w:hAnsi="仿宋" w:eastAsia="仿宋" w:cs="仿宋"/>
          <w:bCs/>
          <w:szCs w:val="32"/>
          <w:highlight w:val="none"/>
          <w:lang w:eastAsia="zh-CN"/>
        </w:rPr>
        <w:t>分、1</w:t>
      </w:r>
      <w:r>
        <w:rPr>
          <w:rFonts w:hint="eastAsia" w:ascii="仿宋" w:hAnsi="仿宋" w:eastAsia="仿宋" w:cs="仿宋"/>
          <w:bCs/>
          <w:szCs w:val="32"/>
          <w:highlight w:val="none"/>
          <w:lang w:val="en-US" w:eastAsia="zh-CN"/>
        </w:rPr>
        <w:t>5</w:t>
      </w:r>
      <w:r>
        <w:rPr>
          <w:rFonts w:ascii="仿宋" w:hAnsi="仿宋" w:eastAsia="仿宋" w:cs="仿宋"/>
          <w:bCs/>
          <w:szCs w:val="32"/>
          <w:highlight w:val="none"/>
          <w:lang w:eastAsia="zh-CN"/>
        </w:rPr>
        <w:t>分、1</w:t>
      </w:r>
      <w:r>
        <w:rPr>
          <w:rFonts w:hint="eastAsia" w:ascii="仿宋" w:hAnsi="仿宋" w:eastAsia="仿宋" w:cs="仿宋"/>
          <w:bCs/>
          <w:szCs w:val="32"/>
          <w:highlight w:val="none"/>
          <w:lang w:val="en-US" w:eastAsia="zh-CN"/>
        </w:rPr>
        <w:t>2</w:t>
      </w:r>
      <w:r>
        <w:rPr>
          <w:rFonts w:ascii="仿宋" w:hAnsi="仿宋" w:eastAsia="仿宋" w:cs="仿宋"/>
          <w:bCs/>
          <w:szCs w:val="32"/>
          <w:highlight w:val="none"/>
          <w:lang w:eastAsia="zh-CN"/>
        </w:rPr>
        <w:t>分、</w:t>
      </w:r>
      <w:r>
        <w:rPr>
          <w:rFonts w:hint="eastAsia" w:ascii="仿宋" w:hAnsi="仿宋" w:eastAsia="仿宋" w:cs="仿宋"/>
          <w:bCs/>
          <w:szCs w:val="32"/>
          <w:highlight w:val="none"/>
          <w:lang w:val="en-US" w:eastAsia="zh-CN"/>
        </w:rPr>
        <w:t>6</w:t>
      </w:r>
      <w:r>
        <w:rPr>
          <w:rFonts w:ascii="仿宋" w:hAnsi="仿宋" w:eastAsia="仿宋" w:cs="仿宋"/>
          <w:bCs/>
          <w:szCs w:val="32"/>
          <w:highlight w:val="none"/>
          <w:lang w:eastAsia="zh-CN"/>
        </w:rPr>
        <w:t>分</w:t>
      </w:r>
      <w:r>
        <w:rPr>
          <w:rFonts w:hint="eastAsia" w:ascii="仿宋" w:hAnsi="仿宋" w:eastAsia="仿宋" w:cs="仿宋"/>
          <w:bCs/>
          <w:szCs w:val="32"/>
          <w:highlight w:val="none"/>
          <w:lang w:eastAsia="zh-CN"/>
        </w:rPr>
        <w:t>、</w:t>
      </w:r>
      <w:r>
        <w:rPr>
          <w:rFonts w:hint="eastAsia" w:ascii="仿宋" w:hAnsi="仿宋" w:eastAsia="仿宋" w:cs="仿宋"/>
          <w:bCs/>
          <w:szCs w:val="32"/>
          <w:highlight w:val="none"/>
          <w:lang w:val="en-US" w:eastAsia="zh-CN"/>
        </w:rPr>
        <w:t>12分</w:t>
      </w:r>
      <w:r>
        <w:rPr>
          <w:rFonts w:ascii="仿宋" w:hAnsi="仿宋" w:eastAsia="仿宋" w:cs="仿宋"/>
          <w:bCs/>
          <w:szCs w:val="32"/>
          <w:highlight w:val="none"/>
          <w:lang w:eastAsia="zh-CN"/>
        </w:rPr>
        <w:t>和</w:t>
      </w:r>
      <w:r>
        <w:rPr>
          <w:rFonts w:hint="eastAsia" w:ascii="仿宋" w:hAnsi="仿宋" w:eastAsia="仿宋" w:cs="仿宋"/>
          <w:bCs/>
          <w:szCs w:val="32"/>
          <w:highlight w:val="none"/>
          <w:lang w:val="en-US" w:eastAsia="zh-CN"/>
        </w:rPr>
        <w:t>9</w:t>
      </w:r>
      <w:r>
        <w:rPr>
          <w:rFonts w:ascii="仿宋" w:hAnsi="仿宋" w:eastAsia="仿宋" w:cs="仿宋"/>
          <w:bCs/>
          <w:szCs w:val="32"/>
          <w:highlight w:val="none"/>
          <w:lang w:eastAsia="zh-CN"/>
        </w:rPr>
        <w:t>分，设置二级指标1</w:t>
      </w:r>
      <w:r>
        <w:rPr>
          <w:rFonts w:hint="eastAsia" w:ascii="仿宋" w:hAnsi="仿宋" w:eastAsia="仿宋" w:cs="仿宋"/>
          <w:bCs/>
          <w:szCs w:val="32"/>
          <w:highlight w:val="none"/>
          <w:lang w:val="en-US" w:eastAsia="zh-CN"/>
        </w:rPr>
        <w:t>7</w:t>
      </w:r>
      <w:r>
        <w:rPr>
          <w:rFonts w:ascii="仿宋" w:hAnsi="仿宋" w:eastAsia="仿宋" w:cs="仿宋"/>
          <w:bCs/>
          <w:szCs w:val="32"/>
          <w:highlight w:val="none"/>
          <w:lang w:eastAsia="zh-CN"/>
        </w:rPr>
        <w:t>个，重点论证</w:t>
      </w:r>
      <w:r>
        <w:rPr>
          <w:rFonts w:hint="eastAsia" w:ascii="仿宋" w:hAnsi="仿宋" w:eastAsia="仿宋" w:cs="仿宋"/>
          <w:bCs/>
          <w:szCs w:val="32"/>
          <w:highlight w:val="none"/>
          <w:lang w:val="en-US" w:eastAsia="zh-CN"/>
        </w:rPr>
        <w:t>项目实施</w:t>
      </w:r>
      <w:r>
        <w:rPr>
          <w:rFonts w:ascii="仿宋" w:hAnsi="仿宋" w:eastAsia="仿宋" w:cs="仿宋"/>
          <w:bCs/>
          <w:szCs w:val="32"/>
          <w:highlight w:val="none"/>
          <w:lang w:eastAsia="zh-CN"/>
        </w:rPr>
        <w:t>必要性、绩效目标合理性、实施</w:t>
      </w:r>
      <w:r>
        <w:rPr>
          <w:rFonts w:hint="eastAsia" w:ascii="仿宋" w:hAnsi="仿宋" w:eastAsia="仿宋" w:cs="仿宋"/>
          <w:bCs/>
          <w:szCs w:val="32"/>
          <w:highlight w:val="none"/>
          <w:lang w:val="en-US" w:eastAsia="zh-CN"/>
        </w:rPr>
        <w:t>程序合规</w:t>
      </w:r>
      <w:r>
        <w:rPr>
          <w:rFonts w:ascii="仿宋" w:hAnsi="仿宋" w:eastAsia="仿宋" w:cs="仿宋"/>
          <w:bCs/>
          <w:szCs w:val="32"/>
          <w:highlight w:val="none"/>
          <w:lang w:eastAsia="zh-CN"/>
        </w:rPr>
        <w:t>性、</w:t>
      </w:r>
      <w:r>
        <w:rPr>
          <w:rFonts w:hint="eastAsia" w:ascii="仿宋" w:hAnsi="仿宋" w:eastAsia="仿宋" w:cs="仿宋"/>
          <w:bCs/>
          <w:szCs w:val="32"/>
          <w:highlight w:val="none"/>
          <w:lang w:val="en-US" w:eastAsia="zh-CN"/>
        </w:rPr>
        <w:t>项目实施成果合格性</w:t>
      </w:r>
      <w:r>
        <w:rPr>
          <w:rFonts w:ascii="仿宋" w:hAnsi="仿宋" w:eastAsia="仿宋" w:cs="仿宋"/>
          <w:bCs/>
          <w:szCs w:val="32"/>
          <w:highlight w:val="none"/>
          <w:lang w:eastAsia="zh-CN"/>
        </w:rPr>
        <w:t>等方面，全面评估该项目的的预期绩效情况。</w:t>
      </w:r>
    </w:p>
    <w:p>
      <w:pPr>
        <w:pStyle w:val="3"/>
        <w:pageBreakBefore w:val="0"/>
        <w:numPr>
          <w:ilvl w:val="0"/>
          <w:numId w:val="0"/>
        </w:numPr>
        <w:kinsoku/>
        <w:wordWrap/>
        <w:overflowPunct/>
        <w:topLinePunct w:val="0"/>
        <w:autoSpaceDE/>
        <w:autoSpaceDN/>
        <w:bidi w:val="0"/>
        <w:adjustRightInd w:val="0"/>
        <w:snapToGrid w:val="0"/>
        <w:spacing w:before="0" w:beforeLines="0" w:after="0" w:afterLines="0" w:line="600" w:lineRule="exact"/>
        <w:ind w:left="0" w:leftChars="0" w:firstLine="640" w:firstLineChars="200"/>
        <w:textAlignment w:val="auto"/>
        <w:rPr>
          <w:rFonts w:hint="eastAsia" w:ascii="楷体" w:hAnsi="楷体" w:eastAsia="楷体" w:cs="楷体"/>
          <w:b w:val="0"/>
          <w:bCs/>
          <w:szCs w:val="32"/>
          <w:lang w:eastAsia="zh-CN"/>
        </w:rPr>
      </w:pPr>
      <w:bookmarkStart w:id="145" w:name="_Toc130033892"/>
      <w:bookmarkStart w:id="146" w:name="_Toc11904"/>
      <w:bookmarkStart w:id="147" w:name="_Toc9540"/>
      <w:bookmarkStart w:id="148" w:name="_Toc27238"/>
      <w:bookmarkStart w:id="149" w:name="_Toc133498040"/>
      <w:bookmarkStart w:id="150" w:name="_Toc16322"/>
      <w:bookmarkStart w:id="151" w:name="_Toc9410"/>
      <w:bookmarkStart w:id="152" w:name="_Toc22272"/>
      <w:r>
        <w:rPr>
          <w:rFonts w:hint="eastAsia" w:ascii="楷体" w:hAnsi="楷体" w:eastAsia="楷体" w:cs="楷体"/>
          <w:b w:val="0"/>
          <w:bCs/>
          <w:szCs w:val="32"/>
          <w:lang w:eastAsia="zh-CN"/>
        </w:rPr>
        <w:t>（三）</w:t>
      </w:r>
      <w:r>
        <w:rPr>
          <w:rFonts w:hint="eastAsia" w:ascii="楷体" w:hAnsi="楷体" w:eastAsia="楷体" w:cs="楷体"/>
          <w:b w:val="0"/>
          <w:bCs/>
          <w:szCs w:val="32"/>
        </w:rPr>
        <w:t>评价依据</w:t>
      </w:r>
      <w:bookmarkEnd w:id="145"/>
      <w:bookmarkEnd w:id="146"/>
      <w:bookmarkEnd w:id="147"/>
      <w:bookmarkEnd w:id="148"/>
      <w:bookmarkEnd w:id="149"/>
      <w:bookmarkEnd w:id="150"/>
      <w:bookmarkEnd w:id="151"/>
      <w:bookmarkEnd w:id="152"/>
    </w:p>
    <w:p>
      <w:pPr>
        <w:pageBreakBefore w:val="0"/>
        <w:kinsoku/>
        <w:wordWrap/>
        <w:overflowPunct/>
        <w:topLinePunct w:val="0"/>
        <w:autoSpaceDE/>
        <w:autoSpaceDN/>
        <w:bidi w:val="0"/>
        <w:adjustRightInd w:val="0"/>
        <w:snapToGrid w:val="0"/>
        <w:spacing w:line="600" w:lineRule="exact"/>
        <w:ind w:left="0" w:firstLine="640" w:firstLineChars="200"/>
        <w:textAlignment w:val="auto"/>
        <w:rPr>
          <w:rFonts w:hint="default" w:ascii="仿宋" w:hAnsi="仿宋" w:eastAsia="仿宋" w:cs="仿宋"/>
          <w:bCs/>
          <w:szCs w:val="32"/>
          <w:lang w:val="en-US" w:eastAsia="zh-CN"/>
        </w:rPr>
      </w:pPr>
      <w:r>
        <w:rPr>
          <w:rFonts w:hint="eastAsia" w:ascii="仿宋" w:hAnsi="仿宋" w:eastAsia="仿宋" w:cs="仿宋"/>
          <w:bCs/>
          <w:szCs w:val="32"/>
          <w:lang w:val="en-US" w:eastAsia="zh-CN"/>
        </w:rPr>
        <w:t>1.</w:t>
      </w:r>
      <w:r>
        <w:rPr>
          <w:rFonts w:hint="eastAsia" w:ascii="仿宋" w:hAnsi="仿宋" w:eastAsia="仿宋" w:cs="仿宋"/>
          <w:bCs/>
          <w:szCs w:val="32"/>
          <w:lang w:eastAsia="zh-CN"/>
        </w:rPr>
        <w:t>项目单位提供的相关资料；</w:t>
      </w:r>
    </w:p>
    <w:p>
      <w:pPr>
        <w:pageBreakBefore w:val="0"/>
        <w:kinsoku/>
        <w:wordWrap/>
        <w:overflowPunct/>
        <w:topLinePunct w:val="0"/>
        <w:autoSpaceDE/>
        <w:autoSpaceDN/>
        <w:bidi w:val="0"/>
        <w:adjustRightInd w:val="0"/>
        <w:snapToGrid w:val="0"/>
        <w:spacing w:line="600" w:lineRule="exact"/>
        <w:ind w:left="0" w:firstLine="640" w:firstLineChars="200"/>
        <w:textAlignment w:val="auto"/>
        <w:rPr>
          <w:rFonts w:hint="default" w:ascii="仿宋" w:hAnsi="仿宋" w:eastAsia="仿宋" w:cs="仿宋"/>
          <w:bCs/>
          <w:szCs w:val="32"/>
          <w:lang w:val="en-US" w:eastAsia="zh-CN"/>
        </w:rPr>
      </w:pPr>
      <w:r>
        <w:rPr>
          <w:rFonts w:hint="eastAsia" w:ascii="仿宋" w:hAnsi="仿宋" w:eastAsia="仿宋" w:cs="仿宋"/>
          <w:bCs/>
          <w:szCs w:val="32"/>
          <w:lang w:val="en-US" w:eastAsia="zh-CN"/>
        </w:rPr>
        <w:t>2.</w:t>
      </w:r>
      <w:r>
        <w:rPr>
          <w:rFonts w:hint="eastAsia" w:ascii="仿宋" w:hAnsi="仿宋" w:eastAsia="仿宋" w:cs="仿宋"/>
          <w:bCs/>
          <w:szCs w:val="32"/>
          <w:lang w:eastAsia="zh-CN"/>
        </w:rPr>
        <w:t>《中共中央国务院关于全面实施预算绩效管理的意见》（中发〔2018〕34号）；</w:t>
      </w:r>
    </w:p>
    <w:p>
      <w:pPr>
        <w:pageBreakBefore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 w:hAnsi="仿宋" w:eastAsia="仿宋" w:cs="仿宋"/>
          <w:bCs/>
          <w:szCs w:val="32"/>
          <w:lang w:eastAsia="zh-CN"/>
        </w:rPr>
      </w:pPr>
      <w:r>
        <w:rPr>
          <w:rFonts w:hint="eastAsia" w:ascii="仿宋" w:hAnsi="仿宋" w:eastAsia="仿宋" w:cs="仿宋"/>
          <w:bCs/>
          <w:szCs w:val="32"/>
          <w:lang w:val="en-US" w:eastAsia="zh-CN"/>
        </w:rPr>
        <w:t>3.</w:t>
      </w:r>
      <w:r>
        <w:rPr>
          <w:rFonts w:hint="eastAsia" w:ascii="仿宋" w:hAnsi="仿宋" w:eastAsia="仿宋" w:cs="仿宋"/>
          <w:bCs/>
          <w:szCs w:val="32"/>
          <w:lang w:eastAsia="zh-CN"/>
        </w:rPr>
        <w:t>《中共四川省委四川省人民政府关于全面实施预算绩效管理的实施意见》（川委发〔2019〕8号）；</w:t>
      </w:r>
    </w:p>
    <w:p>
      <w:pPr>
        <w:pageBreakBefore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 w:hAnsi="仿宋" w:eastAsia="仿宋" w:cs="仿宋"/>
          <w:bCs/>
          <w:szCs w:val="32"/>
          <w:highlight w:val="none"/>
          <w:lang w:eastAsia="zh-CN"/>
        </w:rPr>
      </w:pPr>
      <w:r>
        <w:rPr>
          <w:rFonts w:hint="eastAsia" w:ascii="仿宋" w:hAnsi="仿宋" w:eastAsia="仿宋" w:cs="仿宋"/>
          <w:bCs/>
          <w:szCs w:val="32"/>
          <w:lang w:val="en-US" w:eastAsia="zh-CN"/>
        </w:rPr>
        <w:t>4.《</w:t>
      </w:r>
      <w:r>
        <w:rPr>
          <w:rFonts w:hint="eastAsia" w:ascii="仿宋" w:hAnsi="仿宋" w:eastAsia="仿宋" w:cs="仿宋"/>
          <w:bCs/>
          <w:szCs w:val="32"/>
          <w:lang w:eastAsia="zh-CN"/>
        </w:rPr>
        <w:t>四川省财政厅中共四川省委宣传部关于印发</w:t>
      </w:r>
      <w:r>
        <w:rPr>
          <w:rFonts w:hint="eastAsia" w:ascii="仿宋" w:hAnsi="仿宋" w:eastAsia="仿宋" w:cs="仿宋"/>
          <w:bCs/>
          <w:szCs w:val="32"/>
          <w:lang w:val="en-US" w:eastAsia="zh-CN"/>
        </w:rPr>
        <w:t>&lt;</w:t>
      </w:r>
      <w:r>
        <w:rPr>
          <w:rFonts w:hint="eastAsia" w:ascii="仿宋" w:hAnsi="仿宋" w:eastAsia="仿宋" w:cs="仿宋"/>
          <w:bCs/>
          <w:szCs w:val="32"/>
          <w:lang w:eastAsia="zh-CN"/>
        </w:rPr>
        <w:t>四川省宣传文化事业发展专项资金管理办法</w:t>
      </w:r>
      <w:r>
        <w:rPr>
          <w:rFonts w:hint="eastAsia" w:ascii="仿宋" w:hAnsi="仿宋" w:eastAsia="仿宋" w:cs="仿宋"/>
          <w:bCs/>
          <w:szCs w:val="32"/>
          <w:lang w:val="en-US" w:eastAsia="zh-CN"/>
        </w:rPr>
        <w:t>&gt;</w:t>
      </w:r>
      <w:r>
        <w:rPr>
          <w:rFonts w:hint="eastAsia" w:ascii="仿宋" w:hAnsi="仿宋" w:eastAsia="仿宋" w:cs="仿宋"/>
          <w:bCs/>
          <w:szCs w:val="32"/>
          <w:lang w:eastAsia="zh-CN"/>
        </w:rPr>
        <w:t>的</w:t>
      </w:r>
      <w:r>
        <w:rPr>
          <w:rFonts w:hint="eastAsia" w:ascii="仿宋" w:hAnsi="仿宋" w:eastAsia="仿宋" w:cs="仿宋"/>
          <w:bCs/>
          <w:szCs w:val="32"/>
          <w:highlight w:val="none"/>
          <w:lang w:eastAsia="zh-CN"/>
        </w:rPr>
        <w:t>通知》（川财教〔20</w:t>
      </w:r>
      <w:r>
        <w:rPr>
          <w:rFonts w:hint="eastAsia" w:ascii="仿宋" w:hAnsi="仿宋" w:eastAsia="仿宋" w:cs="仿宋"/>
          <w:bCs/>
          <w:szCs w:val="32"/>
          <w:highlight w:val="none"/>
          <w:lang w:val="en-US" w:eastAsia="zh-CN"/>
        </w:rPr>
        <w:t>21</w:t>
      </w:r>
      <w:r>
        <w:rPr>
          <w:rFonts w:hint="eastAsia" w:ascii="仿宋" w:hAnsi="仿宋" w:eastAsia="仿宋" w:cs="仿宋"/>
          <w:bCs/>
          <w:szCs w:val="32"/>
          <w:highlight w:val="none"/>
          <w:lang w:eastAsia="zh-CN"/>
        </w:rPr>
        <w:t>〕</w:t>
      </w:r>
      <w:r>
        <w:rPr>
          <w:rFonts w:hint="eastAsia" w:ascii="仿宋" w:hAnsi="仿宋" w:eastAsia="仿宋" w:cs="仿宋"/>
          <w:bCs/>
          <w:szCs w:val="32"/>
          <w:highlight w:val="none"/>
          <w:lang w:val="en-US" w:eastAsia="zh-CN"/>
        </w:rPr>
        <w:t>56</w:t>
      </w:r>
      <w:r>
        <w:rPr>
          <w:rFonts w:hint="eastAsia" w:ascii="仿宋" w:hAnsi="仿宋" w:eastAsia="仿宋" w:cs="仿宋"/>
          <w:bCs/>
          <w:szCs w:val="32"/>
          <w:highlight w:val="none"/>
          <w:lang w:eastAsia="zh-CN"/>
        </w:rPr>
        <w:t>号）；</w:t>
      </w:r>
    </w:p>
    <w:p>
      <w:pPr>
        <w:pageBreakBefore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 w:hAnsi="仿宋" w:eastAsia="仿宋" w:cs="仿宋"/>
          <w:bCs/>
          <w:szCs w:val="32"/>
          <w:lang w:eastAsia="zh-CN"/>
        </w:rPr>
      </w:pPr>
      <w:r>
        <w:rPr>
          <w:rFonts w:hint="eastAsia" w:ascii="仿宋" w:hAnsi="仿宋" w:eastAsia="仿宋" w:cs="仿宋"/>
          <w:bCs/>
          <w:szCs w:val="32"/>
          <w:lang w:val="en-US" w:eastAsia="zh-CN"/>
        </w:rPr>
        <w:t>5.</w:t>
      </w:r>
      <w:r>
        <w:rPr>
          <w:rFonts w:hint="eastAsia" w:ascii="仿宋" w:hAnsi="仿宋" w:eastAsia="仿宋" w:cs="仿宋"/>
          <w:bCs/>
          <w:szCs w:val="32"/>
          <w:lang w:eastAsia="zh-CN"/>
        </w:rPr>
        <w:t>《中共乐山市委办公室乐山市人民政府办公室&lt;关于印发全面实施预算绩效管理实施方案&gt;的通知》（乐委办发〔2020〕12号）；</w:t>
      </w:r>
    </w:p>
    <w:p>
      <w:pPr>
        <w:pageBreakBefore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 w:hAnsi="仿宋" w:eastAsia="仿宋" w:cs="仿宋"/>
          <w:bCs/>
          <w:szCs w:val="32"/>
          <w:lang w:val="en-US" w:eastAsia="zh-CN"/>
        </w:rPr>
      </w:pPr>
      <w:bookmarkStart w:id="153" w:name="_Toc8759"/>
      <w:bookmarkStart w:id="154" w:name="_Toc13032"/>
      <w:bookmarkStart w:id="155" w:name="_Toc4268"/>
      <w:r>
        <w:rPr>
          <w:rFonts w:hint="eastAsia" w:ascii="仿宋" w:hAnsi="仿宋" w:eastAsia="仿宋" w:cs="仿宋"/>
          <w:bCs/>
          <w:szCs w:val="32"/>
          <w:lang w:val="en-US" w:eastAsia="zh-CN"/>
        </w:rPr>
        <w:t>6.《中共乐山市金口河区委办公室关于印发&lt;中共乐山市金口河区委宣传部职能配置、内设机构和人员编制规定&gt;的通知》（金委办〔2019〕12号）；</w:t>
      </w:r>
    </w:p>
    <w:p>
      <w:pPr>
        <w:pageBreakBefore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 w:hAnsi="仿宋" w:eastAsia="仿宋" w:cs="仿宋"/>
          <w:bCs/>
          <w:szCs w:val="32"/>
          <w:lang w:eastAsia="zh-CN"/>
        </w:rPr>
      </w:pPr>
      <w:r>
        <w:rPr>
          <w:rFonts w:hint="eastAsia" w:ascii="仿宋" w:hAnsi="仿宋" w:eastAsia="仿宋" w:cs="仿宋"/>
          <w:bCs/>
          <w:szCs w:val="32"/>
          <w:lang w:val="en-US" w:eastAsia="zh-CN"/>
        </w:rPr>
        <w:t>7.</w:t>
      </w:r>
      <w:r>
        <w:rPr>
          <w:rFonts w:hint="eastAsia" w:ascii="仿宋" w:hAnsi="仿宋" w:eastAsia="仿宋" w:cs="仿宋"/>
          <w:bCs/>
          <w:szCs w:val="32"/>
          <w:lang w:eastAsia="zh-CN"/>
        </w:rPr>
        <w:t>《金口河区区级预算事前绩效评估管理暂行办法》；</w:t>
      </w:r>
    </w:p>
    <w:p>
      <w:pPr>
        <w:pageBreakBefore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 w:hAnsi="仿宋" w:eastAsia="仿宋" w:cs="仿宋"/>
          <w:bCs/>
          <w:szCs w:val="32"/>
          <w:lang w:eastAsia="zh-CN"/>
        </w:rPr>
      </w:pPr>
      <w:r>
        <w:rPr>
          <w:rFonts w:hint="eastAsia" w:ascii="仿宋" w:hAnsi="仿宋" w:eastAsia="仿宋" w:cs="仿宋"/>
          <w:bCs/>
          <w:szCs w:val="32"/>
          <w:lang w:val="en-US" w:eastAsia="zh-CN"/>
        </w:rPr>
        <w:t>8.</w:t>
      </w:r>
      <w:r>
        <w:rPr>
          <w:rFonts w:hint="eastAsia" w:ascii="仿宋" w:hAnsi="仿宋" w:eastAsia="仿宋" w:cs="仿宋"/>
          <w:bCs/>
          <w:szCs w:val="32"/>
          <w:lang w:eastAsia="zh-CN"/>
        </w:rPr>
        <w:t>其他与本次评价相关的制度、文件等资料。</w:t>
      </w:r>
      <w:bookmarkEnd w:id="153"/>
      <w:bookmarkEnd w:id="154"/>
      <w:bookmarkEnd w:id="155"/>
    </w:p>
    <w:p>
      <w:pPr>
        <w:pStyle w:val="3"/>
        <w:pageBreakBefore w:val="0"/>
        <w:numPr>
          <w:ilvl w:val="0"/>
          <w:numId w:val="0"/>
        </w:numPr>
        <w:kinsoku/>
        <w:wordWrap/>
        <w:overflowPunct/>
        <w:topLinePunct w:val="0"/>
        <w:autoSpaceDE/>
        <w:autoSpaceDN/>
        <w:bidi w:val="0"/>
        <w:adjustRightInd w:val="0"/>
        <w:snapToGrid w:val="0"/>
        <w:spacing w:before="0" w:beforeLines="0" w:after="0" w:afterLines="0" w:line="600" w:lineRule="exact"/>
        <w:ind w:left="0" w:leftChars="0" w:firstLine="640" w:firstLineChars="200"/>
        <w:textAlignment w:val="auto"/>
        <w:rPr>
          <w:rFonts w:hint="eastAsia" w:ascii="楷体" w:hAnsi="楷体" w:eastAsia="楷体" w:cs="楷体"/>
          <w:b w:val="0"/>
          <w:bCs/>
          <w:szCs w:val="32"/>
        </w:rPr>
      </w:pPr>
      <w:bookmarkStart w:id="156" w:name="_Toc1840102656"/>
      <w:bookmarkStart w:id="157" w:name="_Toc28796"/>
      <w:bookmarkStart w:id="158" w:name="_Toc1492000300_WPSOffice_Level3"/>
      <w:bookmarkStart w:id="159" w:name="_Toc24196"/>
      <w:bookmarkStart w:id="160" w:name="_Toc30638"/>
      <w:bookmarkStart w:id="161" w:name="_Toc130033891"/>
      <w:bookmarkStart w:id="162" w:name="_Toc15390"/>
      <w:bookmarkStart w:id="163" w:name="_Toc1634515572"/>
      <w:bookmarkStart w:id="164" w:name="_Toc5444"/>
      <w:bookmarkStart w:id="165" w:name="_Toc517771165"/>
      <w:bookmarkStart w:id="166" w:name="_Toc2097"/>
      <w:bookmarkStart w:id="167" w:name="_Toc133498039"/>
      <w:bookmarkStart w:id="168" w:name="_Toc13724"/>
      <w:bookmarkStart w:id="169" w:name="_Toc235704954"/>
      <w:bookmarkStart w:id="170" w:name="_Toc133498041"/>
      <w:bookmarkStart w:id="171" w:name="_Toc9201"/>
      <w:bookmarkStart w:id="172" w:name="_Toc2029979728_WPSOffice_Level3"/>
      <w:bookmarkStart w:id="173" w:name="_Toc30726"/>
      <w:bookmarkStart w:id="174" w:name="_Toc693338945"/>
      <w:bookmarkStart w:id="175" w:name="_Toc15014"/>
      <w:bookmarkStart w:id="176" w:name="_Toc24488"/>
      <w:bookmarkStart w:id="177" w:name="_Toc1533316810"/>
      <w:bookmarkStart w:id="178" w:name="_Toc6461"/>
      <w:bookmarkStart w:id="179" w:name="_Toc576232511"/>
      <w:bookmarkStart w:id="180" w:name="_Toc130033893"/>
      <w:bookmarkStart w:id="181" w:name="_Toc692406180"/>
      <w:r>
        <w:rPr>
          <w:rFonts w:hint="eastAsia" w:ascii="楷体" w:hAnsi="楷体" w:eastAsia="楷体" w:cs="楷体"/>
          <w:b w:val="0"/>
          <w:bCs/>
          <w:szCs w:val="32"/>
          <w:lang w:eastAsia="zh-CN"/>
        </w:rPr>
        <w:t>（四）</w:t>
      </w:r>
      <w:r>
        <w:rPr>
          <w:rFonts w:hint="eastAsia" w:ascii="楷体" w:hAnsi="楷体" w:eastAsia="楷体" w:cs="楷体"/>
          <w:b w:val="0"/>
          <w:bCs/>
          <w:szCs w:val="32"/>
        </w:rPr>
        <w:t>绩效评价原则</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pPr>
        <w:pageBreakBefore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 w:hAnsi="仿宋" w:eastAsia="仿宋" w:cs="仿宋"/>
          <w:bCs/>
          <w:szCs w:val="32"/>
          <w:lang w:eastAsia="zh-CN"/>
        </w:rPr>
      </w:pPr>
      <w:r>
        <w:rPr>
          <w:rFonts w:hint="eastAsia" w:ascii="仿宋" w:hAnsi="仿宋" w:eastAsia="仿宋" w:cs="仿宋"/>
          <w:bCs/>
          <w:szCs w:val="32"/>
          <w:lang w:val="en-US" w:eastAsia="zh-CN"/>
        </w:rPr>
        <w:t>1.</w:t>
      </w:r>
      <w:r>
        <w:rPr>
          <w:rFonts w:hint="eastAsia" w:ascii="仿宋" w:hAnsi="仿宋" w:eastAsia="仿宋" w:cs="仿宋"/>
          <w:bCs/>
          <w:szCs w:val="32"/>
          <w:lang w:eastAsia="zh-CN"/>
        </w:rPr>
        <w:t>科学规范原则。绩效评价应当严格执行规定的程序，</w:t>
      </w:r>
      <w:r>
        <w:rPr>
          <w:rFonts w:hint="eastAsia" w:ascii="仿宋" w:hAnsi="仿宋" w:eastAsia="仿宋" w:cs="仿宋"/>
          <w:bCs/>
          <w:spacing w:val="1"/>
          <w:szCs w:val="32"/>
          <w:lang w:eastAsia="zh-CN"/>
        </w:rPr>
        <w:t>按科学可行的要求，</w:t>
      </w:r>
      <w:r>
        <w:rPr>
          <w:rFonts w:hint="eastAsia" w:ascii="仿宋" w:hAnsi="仿宋" w:eastAsia="仿宋" w:cs="仿宋"/>
          <w:bCs/>
          <w:szCs w:val="32"/>
          <w:lang w:eastAsia="zh-CN"/>
        </w:rPr>
        <w:t>采用</w:t>
      </w:r>
      <w:r>
        <w:rPr>
          <w:rFonts w:hint="eastAsia" w:ascii="仿宋" w:hAnsi="仿宋" w:eastAsia="仿宋" w:cs="仿宋"/>
          <w:bCs/>
          <w:szCs w:val="32"/>
          <w:highlight w:val="none"/>
          <w:lang w:eastAsia="zh-CN"/>
        </w:rPr>
        <w:t>定量与定性分析相</w:t>
      </w:r>
      <w:r>
        <w:rPr>
          <w:rFonts w:hint="eastAsia" w:ascii="仿宋" w:hAnsi="仿宋" w:eastAsia="仿宋" w:cs="仿宋"/>
          <w:bCs/>
          <w:szCs w:val="32"/>
          <w:lang w:eastAsia="zh-CN"/>
        </w:rPr>
        <w:t>结合、理论与实践相结合的方法设计合理的评估指标体系。</w:t>
      </w:r>
    </w:p>
    <w:p>
      <w:pPr>
        <w:pageBreakBefore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 w:hAnsi="仿宋" w:eastAsia="仿宋" w:cs="仿宋"/>
          <w:bCs/>
          <w:szCs w:val="32"/>
          <w:lang w:eastAsia="zh-CN"/>
        </w:rPr>
      </w:pPr>
      <w:r>
        <w:rPr>
          <w:rFonts w:hint="eastAsia" w:ascii="仿宋" w:hAnsi="仿宋" w:eastAsia="仿宋" w:cs="仿宋"/>
          <w:bCs/>
          <w:szCs w:val="32"/>
          <w:lang w:val="en-US" w:eastAsia="zh-CN"/>
        </w:rPr>
        <w:t>2.</w:t>
      </w:r>
      <w:r>
        <w:rPr>
          <w:rFonts w:hint="eastAsia" w:ascii="仿宋" w:hAnsi="仿宋" w:eastAsia="仿宋" w:cs="仿宋"/>
          <w:bCs/>
          <w:szCs w:val="32"/>
          <w:lang w:eastAsia="zh-CN"/>
        </w:rPr>
        <w:t>公正公开原则。绩效评价应当符合真实、客观、公正</w:t>
      </w:r>
      <w:r>
        <w:rPr>
          <w:rFonts w:hint="eastAsia" w:ascii="仿宋" w:hAnsi="仿宋" w:eastAsia="仿宋" w:cs="仿宋"/>
          <w:bCs/>
          <w:spacing w:val="-2"/>
          <w:szCs w:val="32"/>
          <w:lang w:eastAsia="zh-CN"/>
        </w:rPr>
        <w:t>的要求，依法公开并接</w:t>
      </w:r>
      <w:r>
        <w:rPr>
          <w:rFonts w:hint="eastAsia" w:ascii="仿宋" w:hAnsi="仿宋" w:eastAsia="仿宋" w:cs="仿宋"/>
          <w:bCs/>
          <w:spacing w:val="-1"/>
          <w:szCs w:val="32"/>
          <w:lang w:eastAsia="zh-CN"/>
        </w:rPr>
        <w:t>受监督。</w:t>
      </w:r>
    </w:p>
    <w:p>
      <w:pPr>
        <w:pageBreakBefore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 w:hAnsi="仿宋" w:eastAsia="仿宋" w:cs="仿宋"/>
          <w:bCs/>
          <w:szCs w:val="32"/>
          <w:lang w:eastAsia="zh-CN"/>
        </w:rPr>
      </w:pPr>
      <w:r>
        <w:rPr>
          <w:rFonts w:hint="eastAsia" w:ascii="仿宋" w:hAnsi="仿宋" w:eastAsia="仿宋" w:cs="仿宋"/>
          <w:bCs/>
          <w:szCs w:val="32"/>
          <w:lang w:val="en-US" w:eastAsia="zh-CN"/>
        </w:rPr>
        <w:t>3.</w:t>
      </w:r>
      <w:r>
        <w:rPr>
          <w:rFonts w:hint="eastAsia" w:ascii="仿宋" w:hAnsi="仿宋" w:eastAsia="仿宋" w:cs="仿宋"/>
          <w:bCs/>
          <w:szCs w:val="32"/>
          <w:lang w:eastAsia="zh-CN"/>
        </w:rPr>
        <w:t>利害关系回避原则。绩效评价工作由</w:t>
      </w:r>
      <w:r>
        <w:rPr>
          <w:rFonts w:ascii="仿宋" w:hAnsi="仿宋" w:eastAsia="仿宋" w:cs="仿宋"/>
          <w:szCs w:val="32"/>
          <w:lang w:eastAsia="zh-CN"/>
        </w:rPr>
        <w:t>乐山市金口河区财政投资评价审核中心</w:t>
      </w:r>
      <w:r>
        <w:rPr>
          <w:rFonts w:hint="eastAsia" w:ascii="仿宋" w:hAnsi="仿宋" w:eastAsia="仿宋" w:cs="仿宋"/>
          <w:bCs/>
          <w:szCs w:val="32"/>
          <w:lang w:eastAsia="zh-CN"/>
        </w:rPr>
        <w:t>进行实施。</w:t>
      </w:r>
    </w:p>
    <w:p>
      <w:pPr>
        <w:pageBreakBefore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 w:hAnsi="仿宋" w:eastAsia="仿宋" w:cs="仿宋"/>
          <w:bCs/>
          <w:spacing w:val="-5"/>
          <w:szCs w:val="32"/>
          <w:lang w:eastAsia="zh-CN"/>
        </w:rPr>
      </w:pPr>
      <w:r>
        <w:rPr>
          <w:rFonts w:hint="eastAsia" w:ascii="仿宋" w:hAnsi="仿宋" w:eastAsia="仿宋" w:cs="仿宋"/>
          <w:bCs/>
          <w:szCs w:val="32"/>
          <w:lang w:val="en-US" w:eastAsia="zh-CN"/>
        </w:rPr>
        <w:t>4.</w:t>
      </w:r>
      <w:r>
        <w:rPr>
          <w:rFonts w:hint="eastAsia" w:ascii="仿宋" w:hAnsi="仿宋" w:eastAsia="仿宋" w:cs="仿宋"/>
          <w:bCs/>
          <w:szCs w:val="32"/>
          <w:lang w:eastAsia="zh-CN"/>
        </w:rPr>
        <w:t>绩效相关原则。本次事前绩效评估针对外宣经费预算金额及其预期绩效进行，评价结果清晰地反映两者之间的紧密对应关系。</w:t>
      </w:r>
    </w:p>
    <w:p>
      <w:pPr>
        <w:pStyle w:val="3"/>
        <w:pageBreakBefore w:val="0"/>
        <w:numPr>
          <w:ilvl w:val="0"/>
          <w:numId w:val="0"/>
        </w:numPr>
        <w:kinsoku/>
        <w:wordWrap/>
        <w:overflowPunct/>
        <w:topLinePunct w:val="0"/>
        <w:autoSpaceDE/>
        <w:autoSpaceDN/>
        <w:bidi w:val="0"/>
        <w:adjustRightInd w:val="0"/>
        <w:snapToGrid w:val="0"/>
        <w:spacing w:before="0" w:beforeLines="0" w:after="0" w:afterLines="0" w:line="600" w:lineRule="exact"/>
        <w:ind w:left="0" w:leftChars="0" w:firstLine="640" w:firstLineChars="200"/>
        <w:textAlignment w:val="auto"/>
        <w:rPr>
          <w:rFonts w:hint="eastAsia" w:ascii="楷体" w:hAnsi="楷体" w:eastAsia="楷体" w:cs="楷体"/>
          <w:b w:val="0"/>
          <w:bCs/>
          <w:szCs w:val="32"/>
        </w:rPr>
      </w:pPr>
      <w:bookmarkStart w:id="182" w:name="_Toc4046"/>
      <w:bookmarkStart w:id="183" w:name="_Toc25280"/>
      <w:r>
        <w:rPr>
          <w:rFonts w:hint="eastAsia" w:ascii="楷体" w:hAnsi="楷体" w:eastAsia="楷体" w:cs="楷体"/>
          <w:b w:val="0"/>
          <w:bCs/>
          <w:szCs w:val="32"/>
          <w:lang w:eastAsia="zh-CN"/>
        </w:rPr>
        <w:t>（五）</w:t>
      </w:r>
      <w:r>
        <w:rPr>
          <w:rFonts w:hint="eastAsia" w:ascii="楷体" w:hAnsi="楷体" w:eastAsia="楷体" w:cs="楷体"/>
          <w:b w:val="0"/>
          <w:bCs/>
          <w:szCs w:val="32"/>
        </w:rPr>
        <w:t>评价</w:t>
      </w:r>
      <w:r>
        <w:rPr>
          <w:rFonts w:hint="eastAsia" w:ascii="楷体" w:hAnsi="楷体" w:eastAsia="楷体" w:cs="楷体"/>
          <w:b w:val="0"/>
          <w:bCs/>
          <w:szCs w:val="32"/>
          <w:lang w:eastAsia="zh-CN"/>
        </w:rPr>
        <w:t>方法和等级设定</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pPr>
        <w:pageBreakBefore w:val="0"/>
        <w:kinsoku/>
        <w:wordWrap/>
        <w:overflowPunct/>
        <w:topLinePunct w:val="0"/>
        <w:autoSpaceDE/>
        <w:autoSpaceDN/>
        <w:bidi w:val="0"/>
        <w:adjustRightInd w:val="0"/>
        <w:snapToGrid w:val="0"/>
        <w:spacing w:line="600" w:lineRule="exact"/>
        <w:ind w:left="0" w:firstLine="640" w:firstLineChars="200"/>
        <w:textAlignment w:val="auto"/>
        <w:rPr>
          <w:rFonts w:ascii="仿宋" w:hAnsi="仿宋" w:eastAsia="仿宋" w:cs="仿宋"/>
          <w:bCs/>
          <w:szCs w:val="32"/>
          <w:lang w:eastAsia="zh-CN"/>
        </w:rPr>
      </w:pPr>
      <w:r>
        <w:rPr>
          <w:rFonts w:hint="eastAsia" w:ascii="仿宋" w:hAnsi="仿宋" w:eastAsia="仿宋" w:cs="仿宋"/>
          <w:bCs/>
          <w:szCs w:val="32"/>
          <w:lang w:eastAsia="zh-CN"/>
        </w:rPr>
        <w:t>本次绩效评估通过实施单位的数据填报,辅以评价工作小组实地调查、查阅问卷、听取汇报、查看项目管理及财务管理资料等方式收集信息，对拟使用资金项目的必要性、</w:t>
      </w:r>
      <w:r>
        <w:rPr>
          <w:rFonts w:ascii="仿宋" w:hAnsi="仿宋" w:eastAsia="仿宋" w:cs="仿宋"/>
          <w:bCs/>
          <w:szCs w:val="32"/>
          <w:highlight w:val="none"/>
          <w:lang w:eastAsia="zh-CN"/>
        </w:rPr>
        <w:t>实施</w:t>
      </w:r>
      <w:r>
        <w:rPr>
          <w:rFonts w:hint="eastAsia" w:ascii="仿宋" w:hAnsi="仿宋" w:eastAsia="仿宋" w:cs="仿宋"/>
          <w:bCs/>
          <w:szCs w:val="32"/>
          <w:highlight w:val="none"/>
          <w:lang w:val="en-US" w:eastAsia="zh-CN"/>
        </w:rPr>
        <w:t>程序合规</w:t>
      </w:r>
      <w:r>
        <w:rPr>
          <w:rFonts w:ascii="仿宋" w:hAnsi="仿宋" w:eastAsia="仿宋" w:cs="仿宋"/>
          <w:bCs/>
          <w:szCs w:val="32"/>
          <w:highlight w:val="none"/>
          <w:lang w:eastAsia="zh-CN"/>
        </w:rPr>
        <w:t>性</w:t>
      </w:r>
      <w:r>
        <w:rPr>
          <w:rFonts w:hint="eastAsia" w:ascii="仿宋" w:hAnsi="仿宋" w:eastAsia="仿宋" w:cs="仿宋"/>
          <w:bCs/>
          <w:szCs w:val="32"/>
          <w:lang w:eastAsia="zh-CN"/>
        </w:rPr>
        <w:t>、绩效目标的合理性、资金使用的</w:t>
      </w:r>
      <w:r>
        <w:rPr>
          <w:rFonts w:hint="eastAsia" w:ascii="仿宋" w:hAnsi="仿宋" w:eastAsia="仿宋" w:cs="仿宋"/>
          <w:bCs/>
          <w:szCs w:val="32"/>
          <w:lang w:val="en-US" w:eastAsia="zh-CN"/>
        </w:rPr>
        <w:t>合理性</w:t>
      </w:r>
      <w:r>
        <w:rPr>
          <w:rFonts w:hint="eastAsia" w:ascii="仿宋" w:hAnsi="仿宋" w:eastAsia="仿宋" w:cs="仿宋"/>
          <w:bCs/>
          <w:szCs w:val="32"/>
          <w:lang w:eastAsia="zh-CN"/>
        </w:rPr>
        <w:t>、</w:t>
      </w:r>
      <w:r>
        <w:rPr>
          <w:rFonts w:hint="eastAsia" w:ascii="仿宋" w:hAnsi="仿宋" w:eastAsia="仿宋" w:cs="仿宋"/>
          <w:bCs/>
          <w:szCs w:val="32"/>
          <w:lang w:val="en-US" w:eastAsia="zh-CN"/>
        </w:rPr>
        <w:t>实施程序的</w:t>
      </w:r>
      <w:r>
        <w:rPr>
          <w:rFonts w:hint="eastAsia" w:ascii="仿宋" w:hAnsi="仿宋" w:eastAsia="仿宋" w:cs="仿宋"/>
          <w:bCs/>
          <w:szCs w:val="32"/>
          <w:lang w:eastAsia="zh-CN"/>
        </w:rPr>
        <w:t>合规性等方面进行评判、论证和审查。以定量考核与定性分析相结合，汇总形成评估综合得分。评估结论分为建议实施、建议调整后实施、建议不予实施三个等级，根据各项指标得分合计分数，确定综合评估结论。具体如下:</w:t>
      </w:r>
    </w:p>
    <w:p>
      <w:pPr>
        <w:ind w:firstLine="0" w:firstLineChars="0"/>
        <w:jc w:val="center"/>
        <w:rPr>
          <w:rFonts w:hint="eastAsia" w:ascii="仿宋" w:hAnsi="仿宋" w:eastAsia="仿宋" w:cs="仿宋"/>
          <w:b w:val="0"/>
          <w:bCs/>
          <w:szCs w:val="32"/>
          <w:lang w:eastAsia="zh-CN"/>
        </w:rPr>
      </w:pPr>
      <w:r>
        <w:rPr>
          <w:rFonts w:hint="eastAsia" w:ascii="仿宋" w:hAnsi="仿宋" w:eastAsia="仿宋" w:cs="仿宋"/>
          <w:b w:val="0"/>
          <w:bCs/>
          <w:szCs w:val="32"/>
          <w:lang w:eastAsia="zh-CN"/>
        </w:rPr>
        <w:t>事前绩效评估结论等级表</w:t>
      </w:r>
    </w:p>
    <w:tbl>
      <w:tblPr>
        <w:tblStyle w:val="22"/>
        <w:tblW w:w="87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1854"/>
        <w:gridCol w:w="2490"/>
        <w:gridCol w:w="2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tcPr>
          <w:p>
            <w:pPr>
              <w:ind w:firstLine="0" w:firstLineChars="0"/>
              <w:jc w:val="center"/>
              <w:rPr>
                <w:rFonts w:hint="eastAsia" w:ascii="仿宋" w:hAnsi="仿宋" w:eastAsia="仿宋" w:cs="仿宋"/>
                <w:b w:val="0"/>
                <w:bCs/>
                <w:szCs w:val="32"/>
                <w:lang w:eastAsia="zh-CN"/>
              </w:rPr>
            </w:pPr>
            <w:r>
              <w:rPr>
                <w:rFonts w:hint="eastAsia" w:ascii="仿宋" w:hAnsi="仿宋" w:eastAsia="仿宋" w:cs="仿宋"/>
                <w:b w:val="0"/>
                <w:bCs/>
                <w:szCs w:val="32"/>
                <w:lang w:eastAsia="zh-CN"/>
              </w:rPr>
              <w:t>评估结论</w:t>
            </w:r>
          </w:p>
        </w:tc>
        <w:tc>
          <w:tcPr>
            <w:tcW w:w="1854" w:type="dxa"/>
          </w:tcPr>
          <w:p>
            <w:pPr>
              <w:ind w:firstLine="0" w:firstLineChars="0"/>
              <w:jc w:val="center"/>
              <w:rPr>
                <w:rFonts w:hint="eastAsia" w:ascii="仿宋" w:hAnsi="仿宋" w:eastAsia="仿宋" w:cs="仿宋"/>
                <w:b w:val="0"/>
                <w:bCs/>
                <w:szCs w:val="32"/>
                <w:lang w:eastAsia="zh-CN"/>
              </w:rPr>
            </w:pPr>
            <w:r>
              <w:rPr>
                <w:rFonts w:hint="eastAsia" w:ascii="仿宋" w:hAnsi="仿宋" w:eastAsia="仿宋" w:cs="仿宋"/>
                <w:b w:val="0"/>
                <w:bCs/>
                <w:szCs w:val="32"/>
                <w:lang w:eastAsia="zh-CN"/>
              </w:rPr>
              <w:t>建议实施</w:t>
            </w:r>
          </w:p>
        </w:tc>
        <w:tc>
          <w:tcPr>
            <w:tcW w:w="2490" w:type="dxa"/>
          </w:tcPr>
          <w:p>
            <w:pPr>
              <w:ind w:firstLine="0" w:firstLineChars="0"/>
              <w:jc w:val="center"/>
              <w:rPr>
                <w:rFonts w:hint="eastAsia" w:ascii="仿宋" w:hAnsi="仿宋" w:eastAsia="仿宋" w:cs="仿宋"/>
                <w:b w:val="0"/>
                <w:bCs/>
                <w:szCs w:val="32"/>
                <w:lang w:eastAsia="zh-CN"/>
              </w:rPr>
            </w:pPr>
            <w:r>
              <w:rPr>
                <w:rFonts w:hint="eastAsia" w:ascii="仿宋" w:hAnsi="仿宋" w:eastAsia="仿宋" w:cs="仿宋"/>
                <w:b w:val="0"/>
                <w:bCs/>
                <w:szCs w:val="32"/>
                <w:lang w:eastAsia="zh-CN"/>
              </w:rPr>
              <w:t>建议调整后实施</w:t>
            </w:r>
          </w:p>
        </w:tc>
        <w:tc>
          <w:tcPr>
            <w:tcW w:w="2191" w:type="dxa"/>
          </w:tcPr>
          <w:p>
            <w:pPr>
              <w:ind w:firstLine="0" w:firstLineChars="0"/>
              <w:jc w:val="center"/>
              <w:rPr>
                <w:rFonts w:hint="eastAsia" w:ascii="仿宋" w:hAnsi="仿宋" w:eastAsia="仿宋" w:cs="仿宋"/>
                <w:b w:val="0"/>
                <w:bCs/>
                <w:szCs w:val="32"/>
                <w:lang w:eastAsia="zh-CN"/>
              </w:rPr>
            </w:pPr>
            <w:r>
              <w:rPr>
                <w:rFonts w:hint="eastAsia" w:ascii="仿宋" w:hAnsi="仿宋" w:eastAsia="仿宋" w:cs="仿宋"/>
                <w:b w:val="0"/>
                <w:bCs/>
                <w:szCs w:val="32"/>
                <w:lang w:eastAsia="zh-CN"/>
              </w:rPr>
              <w:t>建议不予实施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tcPr>
          <w:p>
            <w:pPr>
              <w:ind w:firstLine="0" w:firstLineChars="0"/>
              <w:jc w:val="center"/>
              <w:rPr>
                <w:rFonts w:hint="eastAsia" w:ascii="仿宋" w:hAnsi="仿宋" w:eastAsia="仿宋" w:cs="仿宋"/>
                <w:b w:val="0"/>
                <w:bCs/>
                <w:szCs w:val="32"/>
                <w:lang w:eastAsia="zh-CN"/>
              </w:rPr>
            </w:pPr>
            <w:r>
              <w:rPr>
                <w:rFonts w:hint="eastAsia" w:ascii="仿宋" w:hAnsi="仿宋" w:eastAsia="仿宋" w:cs="仿宋"/>
                <w:b w:val="0"/>
                <w:bCs/>
                <w:szCs w:val="32"/>
                <w:lang w:eastAsia="zh-CN"/>
              </w:rPr>
              <w:t>参考分值S</w:t>
            </w:r>
          </w:p>
        </w:tc>
        <w:tc>
          <w:tcPr>
            <w:tcW w:w="1854" w:type="dxa"/>
          </w:tcPr>
          <w:p>
            <w:pPr>
              <w:ind w:firstLine="0" w:firstLineChars="0"/>
              <w:jc w:val="center"/>
              <w:rPr>
                <w:rFonts w:hint="default" w:ascii="仿宋" w:hAnsi="仿宋" w:eastAsia="仿宋" w:cs="仿宋"/>
                <w:b w:val="0"/>
                <w:bCs/>
                <w:szCs w:val="32"/>
                <w:lang w:val="en-US" w:eastAsia="zh-CN"/>
              </w:rPr>
            </w:pPr>
            <w:r>
              <w:rPr>
                <w:rFonts w:hint="eastAsia" w:ascii="仿宋" w:hAnsi="仿宋" w:eastAsia="仿宋" w:cs="仿宋"/>
                <w:b w:val="0"/>
                <w:bCs/>
                <w:szCs w:val="32"/>
                <w:lang w:eastAsia="zh-CN"/>
              </w:rPr>
              <w:t>S≥9</w:t>
            </w:r>
            <w:r>
              <w:rPr>
                <w:rFonts w:hint="eastAsia" w:ascii="仿宋" w:hAnsi="仿宋" w:eastAsia="仿宋" w:cs="仿宋"/>
                <w:b w:val="0"/>
                <w:bCs/>
                <w:szCs w:val="32"/>
                <w:lang w:val="en-US" w:eastAsia="zh-CN"/>
              </w:rPr>
              <w:t>0</w:t>
            </w:r>
          </w:p>
        </w:tc>
        <w:tc>
          <w:tcPr>
            <w:tcW w:w="2490" w:type="dxa"/>
          </w:tcPr>
          <w:p>
            <w:pPr>
              <w:ind w:firstLine="0" w:firstLineChars="0"/>
              <w:jc w:val="center"/>
              <w:rPr>
                <w:rFonts w:hint="eastAsia" w:ascii="仿宋" w:hAnsi="仿宋" w:eastAsia="仿宋" w:cs="仿宋"/>
                <w:b w:val="0"/>
                <w:bCs/>
                <w:szCs w:val="32"/>
                <w:lang w:eastAsia="zh-CN"/>
              </w:rPr>
            </w:pPr>
            <w:r>
              <w:rPr>
                <w:rFonts w:hint="eastAsia" w:ascii="仿宋" w:hAnsi="仿宋" w:eastAsia="仿宋" w:cs="仿宋"/>
                <w:b w:val="0"/>
                <w:bCs/>
                <w:szCs w:val="32"/>
                <w:lang w:eastAsia="zh-CN"/>
              </w:rPr>
              <w:t>90&gt;S&gt;75</w:t>
            </w:r>
          </w:p>
        </w:tc>
        <w:tc>
          <w:tcPr>
            <w:tcW w:w="2191" w:type="dxa"/>
          </w:tcPr>
          <w:p>
            <w:pPr>
              <w:ind w:firstLine="0" w:firstLineChars="0"/>
              <w:jc w:val="center"/>
              <w:rPr>
                <w:rFonts w:hint="eastAsia" w:ascii="仿宋" w:hAnsi="仿宋" w:eastAsia="仿宋" w:cs="仿宋"/>
                <w:b w:val="0"/>
                <w:bCs/>
                <w:szCs w:val="32"/>
                <w:lang w:eastAsia="zh-CN"/>
              </w:rPr>
            </w:pPr>
            <w:r>
              <w:rPr>
                <w:rFonts w:hint="eastAsia" w:ascii="仿宋" w:hAnsi="仿宋" w:eastAsia="仿宋" w:cs="仿宋"/>
                <w:b w:val="0"/>
                <w:bCs/>
                <w:szCs w:val="32"/>
                <w:lang w:eastAsia="zh-CN"/>
              </w:rPr>
              <w:t>S&lt;75</w:t>
            </w:r>
          </w:p>
        </w:tc>
      </w:tr>
    </w:tbl>
    <w:p>
      <w:pPr>
        <w:pStyle w:val="3"/>
        <w:pageBreakBefore w:val="0"/>
        <w:widowControl w:val="0"/>
        <w:numPr>
          <w:ilvl w:val="0"/>
          <w:numId w:val="0"/>
        </w:numPr>
        <w:kinsoku/>
        <w:wordWrap/>
        <w:overflowPunct/>
        <w:topLinePunct w:val="0"/>
        <w:autoSpaceDE/>
        <w:autoSpaceDN/>
        <w:bidi w:val="0"/>
        <w:adjustRightInd w:val="0"/>
        <w:snapToGrid w:val="0"/>
        <w:spacing w:before="0" w:beforeLines="0" w:after="0" w:afterLines="0" w:line="600" w:lineRule="exact"/>
        <w:ind w:left="320" w:leftChars="100" w:firstLine="640" w:firstLineChars="200"/>
        <w:textAlignment w:val="auto"/>
        <w:rPr>
          <w:rFonts w:hint="eastAsia" w:ascii="楷体" w:hAnsi="楷体" w:eastAsia="楷体" w:cs="楷体"/>
          <w:b w:val="0"/>
          <w:bCs/>
          <w:szCs w:val="32"/>
          <w:lang w:eastAsia="zh-CN"/>
        </w:rPr>
      </w:pPr>
      <w:bookmarkStart w:id="184" w:name="_Toc21368"/>
      <w:bookmarkStart w:id="185" w:name="_Toc5302"/>
      <w:r>
        <w:rPr>
          <w:rFonts w:hint="eastAsia" w:ascii="楷体" w:hAnsi="楷体" w:eastAsia="楷体" w:cs="楷体"/>
          <w:b w:val="0"/>
          <w:bCs/>
          <w:szCs w:val="32"/>
          <w:lang w:eastAsia="zh-CN"/>
        </w:rPr>
        <w:t>（六）评价程序</w:t>
      </w:r>
      <w:bookmarkEnd w:id="184"/>
      <w:bookmarkEnd w:id="185"/>
    </w:p>
    <w:p>
      <w:pPr>
        <w:pageBreakBefore w:val="0"/>
        <w:widowControl w:val="0"/>
        <w:numPr>
          <w:ilvl w:val="0"/>
          <w:numId w:val="0"/>
        </w:numPr>
        <w:kinsoku/>
        <w:wordWrap/>
        <w:overflowPunct/>
        <w:topLinePunct w:val="0"/>
        <w:autoSpaceDE/>
        <w:autoSpaceDN/>
        <w:bidi w:val="0"/>
        <w:adjustRightInd w:val="0"/>
        <w:snapToGrid w:val="0"/>
        <w:spacing w:line="600" w:lineRule="exact"/>
        <w:ind w:left="320" w:leftChars="100" w:firstLine="640" w:firstLineChars="200"/>
        <w:textAlignment w:val="auto"/>
        <w:rPr>
          <w:rFonts w:hint="eastAsia" w:ascii="仿宋" w:hAnsi="仿宋" w:eastAsia="仿宋" w:cs="仿宋"/>
          <w:bCs/>
          <w:szCs w:val="32"/>
          <w:lang w:eastAsia="zh-CN"/>
        </w:rPr>
      </w:pPr>
      <w:r>
        <w:rPr>
          <w:rFonts w:hint="eastAsia" w:ascii="仿宋" w:hAnsi="仿宋" w:eastAsia="仿宋" w:cs="仿宋"/>
          <w:bCs/>
          <w:szCs w:val="32"/>
          <w:lang w:val="en-US" w:eastAsia="zh-CN"/>
        </w:rPr>
        <w:t>1.</w:t>
      </w:r>
      <w:r>
        <w:rPr>
          <w:rFonts w:hint="eastAsia" w:ascii="仿宋" w:hAnsi="仿宋" w:eastAsia="仿宋" w:cs="仿宋"/>
          <w:bCs/>
          <w:szCs w:val="32"/>
          <w:lang w:eastAsia="zh-CN"/>
        </w:rPr>
        <w:t>下达评估入户通知。绩效考评中心以入户通知书的形式通知项目单位，并明确评估的依据、内容、目的、任务、时间、要求等事项。</w:t>
      </w:r>
    </w:p>
    <w:p>
      <w:pPr>
        <w:pageBreakBefore w:val="0"/>
        <w:widowControl w:val="0"/>
        <w:numPr>
          <w:ilvl w:val="0"/>
          <w:numId w:val="0"/>
        </w:numPr>
        <w:kinsoku/>
        <w:wordWrap/>
        <w:overflowPunct/>
        <w:topLinePunct w:val="0"/>
        <w:autoSpaceDE/>
        <w:autoSpaceDN/>
        <w:bidi w:val="0"/>
        <w:adjustRightInd w:val="0"/>
        <w:snapToGrid w:val="0"/>
        <w:spacing w:line="600" w:lineRule="exact"/>
        <w:ind w:left="320" w:leftChars="100" w:firstLine="640" w:firstLineChars="200"/>
        <w:textAlignment w:val="auto"/>
        <w:rPr>
          <w:rFonts w:hint="eastAsia" w:ascii="仿宋" w:hAnsi="仿宋" w:eastAsia="仿宋" w:cs="仿宋"/>
          <w:bCs/>
          <w:szCs w:val="32"/>
          <w:lang w:eastAsia="zh-CN"/>
        </w:rPr>
      </w:pPr>
      <w:r>
        <w:rPr>
          <w:rFonts w:hint="eastAsia" w:ascii="仿宋" w:hAnsi="仿宋" w:eastAsia="仿宋" w:cs="仿宋"/>
          <w:bCs/>
          <w:szCs w:val="32"/>
          <w:lang w:eastAsia="zh-CN"/>
        </w:rPr>
        <w:t>2.拟定工作方案。评估工作组结合事前绩效评估工作要求，拟定《事前绩效评估工作方案》，包括评估对象、内容、方法、专家、时间安排等。</w:t>
      </w:r>
    </w:p>
    <w:p>
      <w:pPr>
        <w:pageBreakBefore w:val="0"/>
        <w:widowControl w:val="0"/>
        <w:kinsoku/>
        <w:wordWrap/>
        <w:overflowPunct/>
        <w:topLinePunct w:val="0"/>
        <w:autoSpaceDE/>
        <w:autoSpaceDN/>
        <w:bidi w:val="0"/>
        <w:adjustRightInd w:val="0"/>
        <w:snapToGrid w:val="0"/>
        <w:spacing w:line="600" w:lineRule="exact"/>
        <w:ind w:left="320" w:leftChars="100" w:firstLine="640"/>
        <w:textAlignment w:val="auto"/>
        <w:rPr>
          <w:rFonts w:hint="eastAsia" w:ascii="仿宋" w:hAnsi="仿宋" w:eastAsia="仿宋" w:cs="仿宋"/>
          <w:bCs/>
          <w:szCs w:val="32"/>
          <w:lang w:eastAsia="zh-CN"/>
        </w:rPr>
      </w:pPr>
      <w:r>
        <w:rPr>
          <w:rFonts w:hint="eastAsia" w:ascii="仿宋" w:hAnsi="仿宋" w:eastAsia="仿宋" w:cs="仿宋"/>
          <w:bCs/>
          <w:szCs w:val="32"/>
          <w:lang w:eastAsia="zh-CN"/>
        </w:rPr>
        <w:t>3.组成评估小组。评估工作组遴选相关人员组成评估专家组，并适时开展业务培训。</w:t>
      </w:r>
    </w:p>
    <w:p>
      <w:pPr>
        <w:pageBreakBefore w:val="0"/>
        <w:widowControl w:val="0"/>
        <w:kinsoku/>
        <w:wordWrap/>
        <w:overflowPunct/>
        <w:topLinePunct w:val="0"/>
        <w:autoSpaceDE/>
        <w:autoSpaceDN/>
        <w:bidi w:val="0"/>
        <w:adjustRightInd w:val="0"/>
        <w:snapToGrid w:val="0"/>
        <w:spacing w:line="600" w:lineRule="exact"/>
        <w:ind w:left="320" w:leftChars="100" w:firstLine="640"/>
        <w:textAlignment w:val="auto"/>
        <w:rPr>
          <w:rFonts w:hint="eastAsia" w:ascii="仿宋" w:hAnsi="仿宋" w:eastAsia="仿宋" w:cs="仿宋"/>
          <w:bCs/>
          <w:szCs w:val="32"/>
          <w:lang w:eastAsia="zh-CN"/>
        </w:rPr>
      </w:pPr>
      <w:r>
        <w:rPr>
          <w:rFonts w:hint="eastAsia" w:ascii="仿宋" w:hAnsi="仿宋" w:eastAsia="仿宋" w:cs="仿宋"/>
          <w:bCs/>
          <w:szCs w:val="32"/>
          <w:lang w:eastAsia="zh-CN"/>
        </w:rPr>
        <w:t>4.入户调研。评估工作组与被评估单位沟通，进一步熟悉项目内容;向项目单位出示《项目支出事前绩效评估资料准备清单》，指导项目单位填报《事前绩效评估项目申报书》、《项目支出绩效目标申报表》。</w:t>
      </w:r>
    </w:p>
    <w:p>
      <w:pPr>
        <w:pageBreakBefore w:val="0"/>
        <w:widowControl w:val="0"/>
        <w:kinsoku/>
        <w:wordWrap/>
        <w:overflowPunct/>
        <w:topLinePunct w:val="0"/>
        <w:autoSpaceDE/>
        <w:autoSpaceDN/>
        <w:bidi w:val="0"/>
        <w:adjustRightInd w:val="0"/>
        <w:snapToGrid w:val="0"/>
        <w:spacing w:line="600" w:lineRule="exact"/>
        <w:ind w:left="320" w:leftChars="100" w:firstLine="640"/>
        <w:textAlignment w:val="auto"/>
        <w:rPr>
          <w:rFonts w:hint="eastAsia" w:ascii="仿宋" w:hAnsi="仿宋" w:eastAsia="仿宋" w:cs="仿宋"/>
          <w:bCs/>
          <w:szCs w:val="32"/>
          <w:lang w:eastAsia="zh-CN"/>
        </w:rPr>
      </w:pPr>
      <w:r>
        <w:rPr>
          <w:rFonts w:hint="eastAsia" w:ascii="仿宋" w:hAnsi="仿宋" w:eastAsia="仿宋" w:cs="仿宋"/>
          <w:bCs/>
          <w:szCs w:val="32"/>
          <w:lang w:eastAsia="zh-CN"/>
        </w:rPr>
        <w:t>5.现场调研。评估工作组在收集审核项目资料基础上进入现场进行调研。通过查阅资料、实地勘察、核实、了解项目具体内容、申报理由和项目实施的具体做法、依据等,将现场情况与上报资料进行对比,对项目疑点问题进行询问，听取并记录项目单位对有关问题的解释和答复。</w:t>
      </w:r>
    </w:p>
    <w:p>
      <w:pPr>
        <w:pageBreakBefore w:val="0"/>
        <w:widowControl w:val="0"/>
        <w:kinsoku/>
        <w:wordWrap/>
        <w:overflowPunct/>
        <w:topLinePunct w:val="0"/>
        <w:autoSpaceDE/>
        <w:autoSpaceDN/>
        <w:bidi w:val="0"/>
        <w:adjustRightInd w:val="0"/>
        <w:snapToGrid w:val="0"/>
        <w:spacing w:line="600" w:lineRule="exact"/>
        <w:ind w:left="320" w:leftChars="100" w:firstLine="640"/>
        <w:textAlignment w:val="auto"/>
        <w:rPr>
          <w:rFonts w:hint="eastAsia" w:ascii="仿宋" w:hAnsi="仿宋" w:eastAsia="仿宋" w:cs="仿宋"/>
          <w:bCs/>
          <w:szCs w:val="32"/>
          <w:lang w:eastAsia="zh-CN"/>
        </w:rPr>
      </w:pPr>
      <w:r>
        <w:rPr>
          <w:rFonts w:hint="eastAsia" w:ascii="仿宋" w:hAnsi="仿宋" w:eastAsia="仿宋" w:cs="仿宋"/>
          <w:bCs/>
          <w:szCs w:val="32"/>
          <w:lang w:eastAsia="zh-CN"/>
        </w:rPr>
        <w:t>6.组织实施评估。绩效考评组召开评估会议，了解项目基本情况，听取项目单位情况介绍，进行现场评议。</w:t>
      </w:r>
    </w:p>
    <w:p>
      <w:pPr>
        <w:pageBreakBefore w:val="0"/>
        <w:widowControl w:val="0"/>
        <w:kinsoku/>
        <w:wordWrap/>
        <w:overflowPunct/>
        <w:topLinePunct w:val="0"/>
        <w:autoSpaceDE/>
        <w:autoSpaceDN/>
        <w:bidi w:val="0"/>
        <w:adjustRightInd w:val="0"/>
        <w:snapToGrid w:val="0"/>
        <w:spacing w:line="600" w:lineRule="exact"/>
        <w:ind w:left="320" w:leftChars="100" w:firstLine="640"/>
        <w:textAlignment w:val="auto"/>
        <w:rPr>
          <w:rFonts w:hint="eastAsia" w:ascii="仿宋" w:hAnsi="仿宋" w:eastAsia="仿宋" w:cs="仿宋"/>
          <w:bCs/>
          <w:szCs w:val="32"/>
          <w:lang w:eastAsia="zh-CN"/>
        </w:rPr>
      </w:pPr>
      <w:r>
        <w:rPr>
          <w:rFonts w:hint="eastAsia" w:ascii="仿宋" w:hAnsi="仿宋" w:eastAsia="仿宋" w:cs="仿宋"/>
          <w:bCs/>
          <w:szCs w:val="32"/>
          <w:lang w:eastAsia="zh-CN"/>
        </w:rPr>
        <w:t>(1)采取多种方式，多方获取信息。通过咨询专家、查阅资料、问卷调查、电话采访、集中座谈等方式，全面了解并收集项目信息。</w:t>
      </w:r>
    </w:p>
    <w:p>
      <w:pPr>
        <w:pageBreakBefore w:val="0"/>
        <w:widowControl w:val="0"/>
        <w:kinsoku/>
        <w:wordWrap/>
        <w:overflowPunct/>
        <w:topLinePunct w:val="0"/>
        <w:autoSpaceDE/>
        <w:autoSpaceDN/>
        <w:bidi w:val="0"/>
        <w:adjustRightInd w:val="0"/>
        <w:snapToGrid w:val="0"/>
        <w:spacing w:line="600" w:lineRule="exact"/>
        <w:ind w:left="320" w:leftChars="100" w:firstLine="640"/>
        <w:textAlignment w:val="auto"/>
        <w:rPr>
          <w:rFonts w:hint="eastAsia" w:ascii="仿宋" w:hAnsi="仿宋" w:eastAsia="仿宋" w:cs="仿宋"/>
          <w:bCs/>
          <w:szCs w:val="32"/>
          <w:lang w:eastAsia="zh-CN"/>
        </w:rPr>
      </w:pPr>
      <w:r>
        <w:rPr>
          <w:rFonts w:hint="eastAsia" w:ascii="仿宋" w:hAnsi="仿宋" w:eastAsia="仿宋" w:cs="仿宋"/>
          <w:bCs/>
          <w:szCs w:val="32"/>
          <w:lang w:eastAsia="zh-CN"/>
        </w:rPr>
        <w:t>(2)评估人员出具个人意见，评估工作组形成初步意见。开评估成员会，项目单位汇报项目计划内容和实施方案情况，由评估工作组组织评估人员进行充分论证，出具评估人员个人意见，填写《项目支出事前绩效评估意见》。评估工作组综合调查分析结果，形成工作组初步意见。</w:t>
      </w:r>
    </w:p>
    <w:p>
      <w:pPr>
        <w:pageBreakBefore w:val="0"/>
        <w:widowControl w:val="0"/>
        <w:kinsoku/>
        <w:wordWrap/>
        <w:overflowPunct/>
        <w:topLinePunct w:val="0"/>
        <w:autoSpaceDE/>
        <w:autoSpaceDN/>
        <w:bidi w:val="0"/>
        <w:adjustRightInd w:val="0"/>
        <w:snapToGrid w:val="0"/>
        <w:spacing w:line="600" w:lineRule="exact"/>
        <w:ind w:left="320" w:leftChars="100" w:firstLine="640"/>
        <w:textAlignment w:val="auto"/>
        <w:rPr>
          <w:rFonts w:hint="eastAsia" w:ascii="仿宋" w:hAnsi="仿宋" w:eastAsia="仿宋" w:cs="仿宋"/>
          <w:bCs/>
          <w:szCs w:val="32"/>
          <w:lang w:eastAsia="zh-CN"/>
        </w:rPr>
      </w:pPr>
      <w:r>
        <w:rPr>
          <w:rFonts w:hint="eastAsia" w:ascii="仿宋" w:hAnsi="仿宋" w:eastAsia="仿宋" w:cs="仿宋"/>
          <w:bCs/>
          <w:szCs w:val="32"/>
          <w:lang w:eastAsia="zh-CN"/>
        </w:rPr>
        <w:t>(3)确认工作组意见，得出评估结论。评估工作组将评估个人初步意见报送评估工作组征求意见，评估工作组综合完善意见后，得出最终评估结论，填写《项目支出事前绩效评估工作组汇总意见》。</w:t>
      </w:r>
    </w:p>
    <w:p>
      <w:pPr>
        <w:pageBreakBefore w:val="0"/>
        <w:widowControl w:val="0"/>
        <w:kinsoku/>
        <w:wordWrap/>
        <w:overflowPunct/>
        <w:topLinePunct w:val="0"/>
        <w:autoSpaceDE/>
        <w:autoSpaceDN/>
        <w:bidi w:val="0"/>
        <w:adjustRightInd w:val="0"/>
        <w:snapToGrid w:val="0"/>
        <w:spacing w:line="600" w:lineRule="exact"/>
        <w:ind w:left="320" w:leftChars="100" w:firstLine="640"/>
        <w:textAlignment w:val="auto"/>
        <w:rPr>
          <w:rFonts w:hint="eastAsia" w:ascii="仿宋" w:hAnsi="仿宋" w:eastAsia="仿宋" w:cs="仿宋"/>
          <w:bCs/>
          <w:szCs w:val="32"/>
          <w:lang w:eastAsia="zh-CN"/>
        </w:rPr>
      </w:pPr>
      <w:r>
        <w:rPr>
          <w:rFonts w:hint="eastAsia" w:ascii="仿宋" w:hAnsi="仿宋" w:eastAsia="仿宋" w:cs="仿宋"/>
          <w:bCs/>
          <w:szCs w:val="32"/>
          <w:lang w:eastAsia="zh-CN"/>
        </w:rPr>
        <w:t>7.汇报绩效评估结论。完成最终评价报告，提出评估结论意见。</w:t>
      </w:r>
    </w:p>
    <w:p>
      <w:pPr>
        <w:pStyle w:val="3"/>
        <w:pageBreakBefore w:val="0"/>
        <w:widowControl w:val="0"/>
        <w:numPr>
          <w:ilvl w:val="0"/>
          <w:numId w:val="0"/>
        </w:numPr>
        <w:kinsoku/>
        <w:wordWrap/>
        <w:overflowPunct/>
        <w:topLinePunct w:val="0"/>
        <w:autoSpaceDE/>
        <w:autoSpaceDN/>
        <w:bidi w:val="0"/>
        <w:adjustRightInd w:val="0"/>
        <w:snapToGrid w:val="0"/>
        <w:spacing w:before="0" w:beforeLines="0" w:after="0" w:afterLines="0" w:line="600" w:lineRule="exact"/>
        <w:ind w:left="320" w:leftChars="100" w:firstLine="640" w:firstLineChars="200"/>
        <w:textAlignment w:val="auto"/>
        <w:rPr>
          <w:rFonts w:hint="eastAsia" w:ascii="楷体" w:hAnsi="楷体" w:eastAsia="楷体" w:cs="楷体"/>
          <w:b w:val="0"/>
          <w:bCs/>
          <w:szCs w:val="32"/>
          <w:lang w:eastAsia="zh-CN"/>
        </w:rPr>
      </w:pPr>
      <w:bookmarkStart w:id="186" w:name="_Toc25156"/>
      <w:bookmarkStart w:id="187" w:name="_Toc28492"/>
      <w:r>
        <w:rPr>
          <w:rFonts w:hint="eastAsia" w:ascii="楷体" w:hAnsi="楷体" w:eastAsia="楷体" w:cs="楷体"/>
          <w:b w:val="0"/>
          <w:bCs/>
          <w:szCs w:val="32"/>
          <w:lang w:eastAsia="zh-CN"/>
        </w:rPr>
        <w:t>（七）论证思路及方法</w:t>
      </w:r>
      <w:bookmarkEnd w:id="186"/>
      <w:bookmarkEnd w:id="187"/>
    </w:p>
    <w:p>
      <w:pPr>
        <w:pageBreakBefore w:val="0"/>
        <w:widowControl w:val="0"/>
        <w:kinsoku/>
        <w:wordWrap/>
        <w:overflowPunct/>
        <w:topLinePunct w:val="0"/>
        <w:autoSpaceDE/>
        <w:autoSpaceDN/>
        <w:bidi w:val="0"/>
        <w:adjustRightInd w:val="0"/>
        <w:snapToGrid w:val="0"/>
        <w:spacing w:line="600" w:lineRule="exact"/>
        <w:ind w:left="320" w:leftChars="100" w:firstLine="640"/>
        <w:textAlignment w:val="auto"/>
        <w:rPr>
          <w:rFonts w:hint="eastAsia" w:ascii="仿宋" w:hAnsi="仿宋" w:eastAsia="仿宋" w:cs="仿宋"/>
          <w:bCs/>
          <w:szCs w:val="32"/>
          <w:lang w:eastAsia="zh-CN"/>
        </w:rPr>
      </w:pPr>
      <w:r>
        <w:rPr>
          <w:rFonts w:hint="eastAsia" w:ascii="仿宋" w:hAnsi="仿宋" w:eastAsia="仿宋" w:cs="仿宋"/>
          <w:bCs/>
          <w:szCs w:val="32"/>
          <w:lang w:eastAsia="zh-CN"/>
        </w:rPr>
        <w:t>本次事前绩效评估主要针对项目的相关性、项目绩效的</w:t>
      </w:r>
      <w:r>
        <w:rPr>
          <w:rFonts w:hint="eastAsia" w:ascii="仿宋" w:hAnsi="仿宋" w:eastAsia="仿宋" w:cs="仿宋"/>
          <w:bCs/>
          <w:szCs w:val="32"/>
          <w:lang w:val="en-US" w:eastAsia="zh-CN"/>
        </w:rPr>
        <w:t>合理性</w:t>
      </w:r>
      <w:r>
        <w:rPr>
          <w:rFonts w:hint="eastAsia" w:ascii="仿宋" w:hAnsi="仿宋" w:eastAsia="仿宋" w:cs="仿宋"/>
          <w:bCs/>
          <w:szCs w:val="32"/>
          <w:lang w:eastAsia="zh-CN"/>
        </w:rPr>
        <w:t>性、</w:t>
      </w:r>
      <w:r>
        <w:rPr>
          <w:rFonts w:hint="eastAsia" w:ascii="仿宋" w:hAnsi="仿宋" w:eastAsia="仿宋" w:cs="仿宋"/>
          <w:bCs/>
          <w:szCs w:val="32"/>
          <w:lang w:val="en-US" w:eastAsia="zh-CN"/>
        </w:rPr>
        <w:t>项目</w:t>
      </w:r>
      <w:r>
        <w:rPr>
          <w:rFonts w:ascii="仿宋" w:hAnsi="仿宋" w:eastAsia="仿宋" w:cs="仿宋"/>
          <w:bCs/>
          <w:szCs w:val="32"/>
          <w:highlight w:val="none"/>
          <w:lang w:eastAsia="zh-CN"/>
        </w:rPr>
        <w:t>实施</w:t>
      </w:r>
      <w:r>
        <w:rPr>
          <w:rFonts w:hint="eastAsia" w:ascii="仿宋" w:hAnsi="仿宋" w:eastAsia="仿宋" w:cs="仿宋"/>
          <w:bCs/>
          <w:szCs w:val="32"/>
          <w:highlight w:val="none"/>
          <w:lang w:val="en-US" w:eastAsia="zh-CN"/>
        </w:rPr>
        <w:t>程序合规</w:t>
      </w:r>
      <w:r>
        <w:rPr>
          <w:rFonts w:ascii="仿宋" w:hAnsi="仿宋" w:eastAsia="仿宋" w:cs="仿宋"/>
          <w:bCs/>
          <w:szCs w:val="32"/>
          <w:highlight w:val="none"/>
          <w:lang w:eastAsia="zh-CN"/>
        </w:rPr>
        <w:t>性</w:t>
      </w:r>
      <w:r>
        <w:rPr>
          <w:rFonts w:hint="eastAsia" w:ascii="仿宋" w:hAnsi="仿宋" w:eastAsia="仿宋" w:cs="仿宋"/>
          <w:bCs/>
          <w:szCs w:val="32"/>
          <w:lang w:eastAsia="zh-CN"/>
        </w:rPr>
        <w:t>、项目预期绩效的可持续性、财政资金投入的</w:t>
      </w:r>
      <w:r>
        <w:rPr>
          <w:rFonts w:hint="eastAsia" w:ascii="仿宋" w:hAnsi="仿宋" w:eastAsia="仿宋" w:cs="仿宋"/>
          <w:bCs/>
          <w:szCs w:val="32"/>
          <w:lang w:val="en-US" w:eastAsia="zh-CN"/>
        </w:rPr>
        <w:t>及时性</w:t>
      </w:r>
      <w:r>
        <w:rPr>
          <w:rFonts w:hint="eastAsia" w:ascii="仿宋" w:hAnsi="仿宋" w:eastAsia="仿宋" w:cs="仿宋"/>
          <w:bCs/>
          <w:szCs w:val="32"/>
          <w:lang w:eastAsia="zh-CN"/>
        </w:rPr>
        <w:t>等五方面进行综合评估、分析与论证，并提出相关建议。</w:t>
      </w:r>
    </w:p>
    <w:p>
      <w:pPr>
        <w:pageBreakBefore w:val="0"/>
        <w:widowControl w:val="0"/>
        <w:kinsoku/>
        <w:wordWrap/>
        <w:overflowPunct/>
        <w:topLinePunct w:val="0"/>
        <w:autoSpaceDE/>
        <w:autoSpaceDN/>
        <w:bidi w:val="0"/>
        <w:adjustRightInd w:val="0"/>
        <w:snapToGrid w:val="0"/>
        <w:spacing w:line="600" w:lineRule="exact"/>
        <w:ind w:left="320" w:leftChars="100" w:firstLine="640"/>
        <w:textAlignment w:val="auto"/>
        <w:rPr>
          <w:rFonts w:hint="eastAsia" w:ascii="仿宋" w:hAnsi="仿宋" w:eastAsia="仿宋" w:cs="仿宋"/>
          <w:bCs/>
          <w:szCs w:val="32"/>
          <w:lang w:eastAsia="zh-CN"/>
        </w:rPr>
      </w:pPr>
      <w:r>
        <w:rPr>
          <w:rFonts w:hint="eastAsia" w:ascii="仿宋" w:hAnsi="仿宋" w:eastAsia="仿宋" w:cs="仿宋"/>
          <w:bCs/>
          <w:szCs w:val="32"/>
          <w:lang w:eastAsia="zh-CN"/>
        </w:rPr>
        <w:t>本次事前绩效评估主要采用效益分析、比较分析、因素分析、历史分析等方法进行论证。</w:t>
      </w:r>
    </w:p>
    <w:p>
      <w:pPr>
        <w:pStyle w:val="3"/>
        <w:pageBreakBefore w:val="0"/>
        <w:widowControl w:val="0"/>
        <w:numPr>
          <w:ilvl w:val="0"/>
          <w:numId w:val="0"/>
        </w:numPr>
        <w:kinsoku/>
        <w:wordWrap/>
        <w:overflowPunct/>
        <w:topLinePunct w:val="0"/>
        <w:autoSpaceDE/>
        <w:autoSpaceDN/>
        <w:bidi w:val="0"/>
        <w:adjustRightInd w:val="0"/>
        <w:snapToGrid w:val="0"/>
        <w:spacing w:before="0" w:beforeLines="0" w:after="0" w:afterLines="0" w:line="600" w:lineRule="exact"/>
        <w:ind w:left="320" w:leftChars="100" w:firstLine="640" w:firstLineChars="200"/>
        <w:textAlignment w:val="auto"/>
        <w:rPr>
          <w:rFonts w:hint="eastAsia" w:ascii="楷体" w:hAnsi="楷体" w:eastAsia="楷体" w:cs="楷体"/>
          <w:b w:val="0"/>
          <w:bCs/>
          <w:szCs w:val="32"/>
          <w:lang w:eastAsia="zh-CN"/>
        </w:rPr>
      </w:pPr>
      <w:bookmarkStart w:id="188" w:name="_Toc22648"/>
      <w:bookmarkStart w:id="189" w:name="_Toc17481"/>
      <w:r>
        <w:rPr>
          <w:rFonts w:hint="eastAsia" w:ascii="楷体" w:hAnsi="楷体" w:eastAsia="楷体" w:cs="楷体"/>
          <w:b w:val="0"/>
          <w:bCs/>
          <w:szCs w:val="32"/>
          <w:lang w:eastAsia="zh-CN"/>
        </w:rPr>
        <w:t>（八）评估方式</w:t>
      </w:r>
      <w:bookmarkEnd w:id="188"/>
      <w:bookmarkEnd w:id="189"/>
    </w:p>
    <w:p>
      <w:pPr>
        <w:pageBreakBefore w:val="0"/>
        <w:widowControl w:val="0"/>
        <w:kinsoku/>
        <w:wordWrap/>
        <w:overflowPunct/>
        <w:topLinePunct w:val="0"/>
        <w:autoSpaceDE/>
        <w:autoSpaceDN/>
        <w:bidi w:val="0"/>
        <w:adjustRightInd w:val="0"/>
        <w:snapToGrid w:val="0"/>
        <w:spacing w:line="600" w:lineRule="exact"/>
        <w:ind w:left="320" w:leftChars="100" w:firstLine="640"/>
        <w:textAlignment w:val="auto"/>
        <w:rPr>
          <w:rFonts w:hint="eastAsia" w:ascii="仿宋" w:hAnsi="仿宋" w:eastAsia="仿宋" w:cs="仿宋"/>
          <w:bCs/>
          <w:szCs w:val="32"/>
          <w:lang w:eastAsia="zh-CN"/>
        </w:rPr>
      </w:pPr>
      <w:r>
        <w:rPr>
          <w:rFonts w:hint="eastAsia" w:ascii="仿宋" w:hAnsi="仿宋" w:eastAsia="仿宋" w:cs="仿宋"/>
          <w:bCs/>
          <w:szCs w:val="32"/>
          <w:lang w:eastAsia="zh-CN"/>
        </w:rPr>
        <w:t>本次事前绩效评估遵循全面考虑、重点突出的原则，主要采用比较分析的方式，同时辅之以资料分析、集中座谈、网络查询、电话采访、抽样调查等评估方式或手段，对项目的相关性、可行性、持续性等方面进行全面评估。</w:t>
      </w:r>
    </w:p>
    <w:p>
      <w:pPr>
        <w:pStyle w:val="2"/>
        <w:pageBreakBefore w:val="0"/>
        <w:widowControl w:val="0"/>
        <w:numPr>
          <w:ilvl w:val="0"/>
          <w:numId w:val="0"/>
        </w:numPr>
        <w:kinsoku/>
        <w:wordWrap/>
        <w:overflowPunct/>
        <w:topLinePunct w:val="0"/>
        <w:autoSpaceDE/>
        <w:autoSpaceDN/>
        <w:bidi w:val="0"/>
        <w:adjustRightInd w:val="0"/>
        <w:snapToGrid w:val="0"/>
        <w:spacing w:before="0" w:beforeLines="0" w:after="0" w:afterLines="0" w:line="600" w:lineRule="exact"/>
        <w:ind w:left="320" w:leftChars="100" w:firstLine="640" w:firstLineChars="200"/>
        <w:textAlignment w:val="auto"/>
        <w:rPr>
          <w:rFonts w:hint="eastAsia" w:ascii="黑体" w:hAnsi="黑体" w:eastAsia="黑体" w:cs="黑体"/>
          <w:b w:val="0"/>
          <w:bCs/>
          <w:szCs w:val="32"/>
          <w:lang w:eastAsia="zh-CN"/>
        </w:rPr>
      </w:pPr>
      <w:bookmarkStart w:id="190" w:name="_Toc709323845"/>
      <w:bookmarkStart w:id="191" w:name="_Toc2810"/>
      <w:bookmarkStart w:id="192" w:name="_Toc2115246641_WPSOffice_Level1"/>
      <w:bookmarkStart w:id="193" w:name="_Toc5665919"/>
      <w:bookmarkStart w:id="194" w:name="_Toc1232831072"/>
      <w:bookmarkStart w:id="195" w:name="_Toc27103"/>
      <w:bookmarkStart w:id="196" w:name="_Toc32177"/>
      <w:bookmarkStart w:id="197" w:name="_Toc5234"/>
      <w:bookmarkStart w:id="198" w:name="_Toc1850422540"/>
      <w:bookmarkStart w:id="199" w:name="_Toc29976"/>
      <w:bookmarkStart w:id="200" w:name="_Toc132480965"/>
      <w:r>
        <w:rPr>
          <w:rFonts w:hint="eastAsia" w:ascii="黑体" w:hAnsi="黑体" w:eastAsia="黑体" w:cs="黑体"/>
          <w:b w:val="0"/>
          <w:bCs/>
          <w:szCs w:val="32"/>
          <w:lang w:eastAsia="zh-CN"/>
        </w:rPr>
        <w:t>三、事前绩效评估指标体系及得分情况</w:t>
      </w:r>
      <w:bookmarkEnd w:id="190"/>
      <w:bookmarkEnd w:id="191"/>
      <w:bookmarkEnd w:id="192"/>
      <w:bookmarkEnd w:id="193"/>
      <w:bookmarkEnd w:id="194"/>
      <w:bookmarkEnd w:id="195"/>
      <w:bookmarkEnd w:id="196"/>
      <w:bookmarkEnd w:id="197"/>
      <w:bookmarkEnd w:id="198"/>
      <w:bookmarkEnd w:id="199"/>
      <w:bookmarkEnd w:id="200"/>
    </w:p>
    <w:p>
      <w:pPr>
        <w:pageBreakBefore w:val="0"/>
        <w:widowControl w:val="0"/>
        <w:kinsoku/>
        <w:wordWrap/>
        <w:overflowPunct/>
        <w:topLinePunct w:val="0"/>
        <w:autoSpaceDE/>
        <w:autoSpaceDN/>
        <w:bidi w:val="0"/>
        <w:adjustRightInd w:val="0"/>
        <w:snapToGrid w:val="0"/>
        <w:spacing w:line="600" w:lineRule="exact"/>
        <w:ind w:left="320" w:leftChars="100" w:firstLine="640"/>
        <w:textAlignment w:val="auto"/>
        <w:rPr>
          <w:rFonts w:hint="eastAsia" w:ascii="仿宋" w:hAnsi="仿宋" w:eastAsia="仿宋" w:cs="仿宋"/>
          <w:bCs/>
          <w:szCs w:val="32"/>
          <w:lang w:eastAsia="zh-CN"/>
        </w:rPr>
      </w:pPr>
      <w:r>
        <w:rPr>
          <w:rFonts w:hint="eastAsia" w:ascii="仿宋" w:hAnsi="仿宋" w:eastAsia="仿宋" w:cs="仿宋"/>
          <w:bCs/>
          <w:szCs w:val="32"/>
          <w:lang w:eastAsia="zh-CN"/>
        </w:rPr>
        <w:t>评估工作小组按照相关性、经济性、可行性、重要性、可比性、系统性及合理性原则，设置项目事前绩效评估指标体系，其中共</w:t>
      </w:r>
      <w:r>
        <w:rPr>
          <w:rFonts w:hint="eastAsia" w:ascii="仿宋" w:hAnsi="仿宋" w:eastAsia="仿宋" w:cs="仿宋"/>
          <w:bCs/>
          <w:szCs w:val="32"/>
          <w:highlight w:val="none"/>
          <w:lang w:eastAsia="zh-CN"/>
        </w:rPr>
        <w:t>包含</w:t>
      </w:r>
      <w:r>
        <w:rPr>
          <w:rFonts w:hint="eastAsia" w:ascii="仿宋" w:hAnsi="仿宋" w:eastAsia="仿宋" w:cs="仿宋"/>
          <w:szCs w:val="32"/>
          <w:highlight w:val="none"/>
          <w:lang w:eastAsia="zh-CN"/>
        </w:rPr>
        <w:t>8</w:t>
      </w:r>
      <w:r>
        <w:rPr>
          <w:rFonts w:ascii="仿宋" w:hAnsi="仿宋" w:eastAsia="仿宋" w:cs="仿宋"/>
          <w:szCs w:val="32"/>
          <w:highlight w:val="none"/>
          <w:lang w:eastAsia="zh-CN"/>
        </w:rPr>
        <w:t>个一级指标、1</w:t>
      </w:r>
      <w:r>
        <w:rPr>
          <w:rFonts w:hint="eastAsia" w:ascii="仿宋" w:hAnsi="仿宋" w:eastAsia="仿宋" w:cs="仿宋"/>
          <w:szCs w:val="32"/>
          <w:highlight w:val="none"/>
          <w:lang w:val="en-US" w:eastAsia="zh-CN"/>
        </w:rPr>
        <w:t>7</w:t>
      </w:r>
      <w:r>
        <w:rPr>
          <w:rFonts w:ascii="仿宋" w:hAnsi="仿宋" w:eastAsia="仿宋" w:cs="仿宋"/>
          <w:szCs w:val="32"/>
          <w:highlight w:val="none"/>
          <w:lang w:eastAsia="zh-CN"/>
        </w:rPr>
        <w:t>个二级指标以及3</w:t>
      </w:r>
      <w:r>
        <w:rPr>
          <w:rFonts w:hint="eastAsia" w:ascii="仿宋" w:hAnsi="仿宋" w:eastAsia="仿宋" w:cs="仿宋"/>
          <w:szCs w:val="32"/>
          <w:highlight w:val="none"/>
          <w:lang w:eastAsia="zh-CN"/>
        </w:rPr>
        <w:t>0</w:t>
      </w:r>
      <w:r>
        <w:rPr>
          <w:rFonts w:ascii="仿宋" w:hAnsi="仿宋" w:eastAsia="仿宋" w:cs="仿宋"/>
          <w:szCs w:val="32"/>
          <w:highlight w:val="none"/>
          <w:lang w:eastAsia="zh-CN"/>
        </w:rPr>
        <w:t>个</w:t>
      </w:r>
      <w:r>
        <w:rPr>
          <w:rFonts w:hint="eastAsia" w:ascii="仿宋" w:hAnsi="仿宋" w:eastAsia="仿宋" w:cs="仿宋"/>
          <w:bCs/>
          <w:szCs w:val="32"/>
          <w:highlight w:val="none"/>
          <w:lang w:eastAsia="zh-CN"/>
        </w:rPr>
        <w:t>三级指</w:t>
      </w:r>
      <w:r>
        <w:rPr>
          <w:rFonts w:hint="eastAsia" w:ascii="仿宋" w:hAnsi="仿宋" w:eastAsia="仿宋" w:cs="仿宋"/>
          <w:bCs/>
          <w:szCs w:val="32"/>
          <w:lang w:eastAsia="zh-CN"/>
        </w:rPr>
        <w:t>标，各项指标内容及得分情况详见下表：</w:t>
      </w:r>
    </w:p>
    <w:p>
      <w:pPr>
        <w:ind w:firstLine="0" w:firstLineChars="0"/>
        <w:jc w:val="center"/>
        <w:rPr>
          <w:rFonts w:hint="eastAsia" w:ascii="仿宋" w:hAnsi="仿宋" w:eastAsia="仿宋" w:cs="仿宋"/>
          <w:bCs/>
          <w:szCs w:val="32"/>
          <w:lang w:eastAsia="zh-CN"/>
        </w:rPr>
      </w:pPr>
      <w:r>
        <w:rPr>
          <w:rFonts w:hint="eastAsia" w:ascii="仿宋" w:hAnsi="仿宋" w:eastAsia="仿宋" w:cs="仿宋"/>
          <w:bCs/>
          <w:szCs w:val="32"/>
          <w:lang w:eastAsia="zh-CN"/>
        </w:rPr>
        <w:t>外宣经费</w:t>
      </w:r>
    </w:p>
    <w:p>
      <w:pPr>
        <w:ind w:firstLine="0" w:firstLineChars="0"/>
        <w:jc w:val="center"/>
        <w:rPr>
          <w:rFonts w:hint="eastAsia" w:ascii="仿宋" w:hAnsi="仿宋" w:eastAsia="仿宋" w:cs="仿宋"/>
          <w:bCs/>
          <w:szCs w:val="32"/>
          <w:lang w:eastAsia="zh-CN"/>
        </w:rPr>
      </w:pPr>
      <w:r>
        <w:rPr>
          <w:rFonts w:hint="eastAsia" w:ascii="仿宋" w:hAnsi="仿宋" w:eastAsia="仿宋" w:cs="仿宋"/>
          <w:bCs/>
          <w:szCs w:val="32"/>
          <w:lang w:eastAsia="zh-CN"/>
        </w:rPr>
        <w:t>事前绩效评估指标体系</w:t>
      </w:r>
    </w:p>
    <w:tbl>
      <w:tblPr>
        <w:tblStyle w:val="56"/>
        <w:tblW w:w="88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7"/>
        <w:gridCol w:w="1296"/>
        <w:gridCol w:w="5276"/>
        <w:gridCol w:w="377"/>
        <w:gridCol w:w="541"/>
        <w:gridCol w:w="4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2" w:hRule="atLeast"/>
          <w:tblHeader/>
        </w:trPr>
        <w:tc>
          <w:tcPr>
            <w:tcW w:w="877" w:type="dxa"/>
            <w:noWrap w:val="0"/>
            <w:vAlign w:val="center"/>
          </w:tcPr>
          <w:p>
            <w:pPr>
              <w:pStyle w:val="67"/>
              <w:ind w:firstLine="0" w:firstLineChars="0"/>
              <w:jc w:val="center"/>
              <w:rPr>
                <w:rFonts w:ascii="Arial" w:hAnsi="Arial" w:cs="Arial"/>
                <w:b/>
                <w:snapToGrid w:val="0"/>
                <w:sz w:val="21"/>
              </w:rPr>
            </w:pPr>
            <w:r>
              <w:rPr>
                <w:rFonts w:ascii="Arial" w:hAnsi="Arial" w:cs="Arial"/>
                <w:b/>
                <w:snapToGrid w:val="0"/>
                <w:sz w:val="21"/>
              </w:rPr>
              <w:t>一级指标</w:t>
            </w:r>
          </w:p>
        </w:tc>
        <w:tc>
          <w:tcPr>
            <w:tcW w:w="1296" w:type="dxa"/>
            <w:noWrap w:val="0"/>
            <w:vAlign w:val="center"/>
          </w:tcPr>
          <w:p>
            <w:pPr>
              <w:pStyle w:val="67"/>
              <w:ind w:right="6" w:firstLine="0" w:firstLineChars="0"/>
              <w:jc w:val="center"/>
              <w:rPr>
                <w:rFonts w:ascii="Arial" w:hAnsi="Arial" w:cs="Arial"/>
                <w:b/>
                <w:snapToGrid w:val="0"/>
                <w:sz w:val="21"/>
              </w:rPr>
            </w:pPr>
            <w:r>
              <w:rPr>
                <w:rFonts w:ascii="Arial" w:hAnsi="Arial" w:cs="Arial"/>
                <w:b/>
                <w:snapToGrid w:val="0"/>
                <w:sz w:val="21"/>
              </w:rPr>
              <w:t>二级指标</w:t>
            </w:r>
          </w:p>
        </w:tc>
        <w:tc>
          <w:tcPr>
            <w:tcW w:w="5276" w:type="dxa"/>
            <w:noWrap w:val="0"/>
            <w:vAlign w:val="center"/>
          </w:tcPr>
          <w:p>
            <w:pPr>
              <w:pStyle w:val="67"/>
              <w:ind w:right="146" w:rightChars="0" w:firstLine="0" w:firstLineChars="0"/>
              <w:jc w:val="center"/>
              <w:rPr>
                <w:rFonts w:ascii="Arial" w:hAnsi="Arial" w:cs="Arial"/>
                <w:b/>
                <w:snapToGrid w:val="0"/>
                <w:sz w:val="21"/>
              </w:rPr>
            </w:pPr>
            <w:r>
              <w:rPr>
                <w:rFonts w:ascii="Arial" w:hAnsi="Arial" w:cs="Arial"/>
                <w:b/>
                <w:snapToGrid w:val="0"/>
                <w:sz w:val="21"/>
              </w:rPr>
              <w:t>评估要点</w:t>
            </w:r>
          </w:p>
        </w:tc>
        <w:tc>
          <w:tcPr>
            <w:tcW w:w="918" w:type="dxa"/>
            <w:gridSpan w:val="2"/>
            <w:noWrap w:val="0"/>
            <w:vAlign w:val="center"/>
          </w:tcPr>
          <w:p>
            <w:pPr>
              <w:pStyle w:val="67"/>
              <w:ind w:firstLine="0" w:firstLineChars="0"/>
              <w:jc w:val="center"/>
              <w:rPr>
                <w:rFonts w:hint="eastAsia" w:ascii="Arial" w:hAnsi="Arial" w:cs="Arial"/>
                <w:b/>
                <w:snapToGrid w:val="0"/>
                <w:sz w:val="21"/>
                <w:lang w:eastAsia="zh-CN"/>
              </w:rPr>
            </w:pPr>
            <w:r>
              <w:rPr>
                <w:rFonts w:hint="eastAsia" w:ascii="Arial" w:hAnsi="Arial" w:cs="Arial"/>
                <w:b/>
                <w:snapToGrid w:val="0"/>
                <w:sz w:val="21"/>
                <w:lang w:eastAsia="zh-CN"/>
              </w:rPr>
              <w:t>分值</w:t>
            </w:r>
          </w:p>
        </w:tc>
        <w:tc>
          <w:tcPr>
            <w:tcW w:w="496" w:type="dxa"/>
            <w:noWrap w:val="0"/>
            <w:vAlign w:val="center"/>
          </w:tcPr>
          <w:p>
            <w:pPr>
              <w:pStyle w:val="67"/>
              <w:ind w:right="9" w:firstLine="0" w:firstLineChars="0"/>
              <w:jc w:val="center"/>
              <w:rPr>
                <w:rFonts w:ascii="Arial" w:hAnsi="Arial" w:cs="Arial"/>
                <w:b/>
                <w:snapToGrid w:val="0"/>
                <w:sz w:val="21"/>
              </w:rPr>
            </w:pPr>
            <w:r>
              <w:rPr>
                <w:rFonts w:ascii="Arial" w:hAnsi="Arial" w:cs="Arial"/>
                <w:b/>
                <w:snapToGrid w:val="0"/>
                <w:sz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46" w:hRule="atLeast"/>
        </w:trPr>
        <w:tc>
          <w:tcPr>
            <w:tcW w:w="877" w:type="dxa"/>
            <w:vMerge w:val="restart"/>
            <w:noWrap w:val="0"/>
            <w:vAlign w:val="center"/>
          </w:tcPr>
          <w:p>
            <w:pPr>
              <w:pStyle w:val="67"/>
              <w:ind w:firstLine="0" w:firstLineChars="0"/>
              <w:jc w:val="left"/>
              <w:rPr>
                <w:rFonts w:ascii="Arial" w:hAnsi="Arial" w:cs="Arial"/>
                <w:bCs/>
                <w:snapToGrid w:val="0"/>
                <w:sz w:val="20"/>
                <w:lang w:eastAsia="zh-CN"/>
              </w:rPr>
            </w:pPr>
            <w:r>
              <w:rPr>
                <w:rFonts w:hint="eastAsia" w:ascii="Arial" w:hAnsi="Arial" w:cs="Arial"/>
                <w:bCs/>
                <w:snapToGrid w:val="0"/>
                <w:sz w:val="20"/>
                <w:lang w:eastAsia="zh-CN"/>
              </w:rPr>
              <w:t>项目实施的必要性、公益性、收益性</w:t>
            </w:r>
          </w:p>
        </w:tc>
        <w:tc>
          <w:tcPr>
            <w:tcW w:w="1296" w:type="dxa"/>
            <w:noWrap w:val="0"/>
            <w:vAlign w:val="center"/>
          </w:tcPr>
          <w:p>
            <w:pPr>
              <w:pStyle w:val="67"/>
              <w:ind w:firstLine="0" w:firstLineChars="0"/>
              <w:jc w:val="center"/>
              <w:rPr>
                <w:rFonts w:ascii="Arial" w:hAnsi="Arial" w:cs="Arial"/>
                <w:bCs/>
                <w:snapToGrid w:val="0"/>
                <w:sz w:val="20"/>
              </w:rPr>
            </w:pPr>
            <w:r>
              <w:rPr>
                <w:rFonts w:hint="eastAsia" w:ascii="Arial" w:hAnsi="Arial" w:cs="Arial"/>
                <w:bCs/>
                <w:snapToGrid w:val="0"/>
                <w:sz w:val="20"/>
              </w:rPr>
              <w:t>必要性</w:t>
            </w:r>
          </w:p>
        </w:tc>
        <w:tc>
          <w:tcPr>
            <w:tcW w:w="5276" w:type="dxa"/>
            <w:noWrap w:val="0"/>
            <w:vAlign w:val="center"/>
          </w:tcPr>
          <w:p>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①项目是否属于符合国情需要，是否在国家统一部署下开展。</w:t>
            </w:r>
          </w:p>
        </w:tc>
        <w:tc>
          <w:tcPr>
            <w:tcW w:w="377" w:type="dxa"/>
            <w:noWrap w:val="0"/>
            <w:vAlign w:val="center"/>
          </w:tcPr>
          <w:p>
            <w:pPr>
              <w:pStyle w:val="67"/>
              <w:ind w:firstLine="0" w:firstLineChars="0"/>
              <w:jc w:val="center"/>
              <w:rPr>
                <w:rFonts w:hint="eastAsia" w:ascii="Arial" w:hAnsi="Arial" w:cs="Arial"/>
                <w:bCs/>
                <w:snapToGrid w:val="0"/>
                <w:sz w:val="20"/>
                <w:lang w:eastAsia="zh-CN"/>
              </w:rPr>
            </w:pPr>
            <w:r>
              <w:rPr>
                <w:rFonts w:hint="eastAsia" w:ascii="Arial" w:hAnsi="Arial" w:cs="Arial"/>
                <w:bCs/>
                <w:snapToGrid w:val="0"/>
                <w:sz w:val="20"/>
                <w:lang w:eastAsia="zh-CN"/>
              </w:rPr>
              <w:t>4</w:t>
            </w:r>
          </w:p>
        </w:tc>
        <w:tc>
          <w:tcPr>
            <w:tcW w:w="541" w:type="dxa"/>
            <w:vMerge w:val="restart"/>
            <w:noWrap w:val="0"/>
            <w:vAlign w:val="center"/>
          </w:tcPr>
          <w:p>
            <w:pPr>
              <w:pStyle w:val="67"/>
              <w:ind w:firstLine="0" w:firstLineChars="0"/>
              <w:jc w:val="center"/>
              <w:rPr>
                <w:rFonts w:hint="eastAsia" w:ascii="Arial" w:hAnsi="Arial" w:cs="Arial"/>
                <w:bCs/>
                <w:snapToGrid w:val="0"/>
                <w:sz w:val="20"/>
                <w:lang w:eastAsia="zh-CN"/>
              </w:rPr>
            </w:pPr>
            <w:r>
              <w:rPr>
                <w:rFonts w:hint="eastAsia" w:ascii="Arial" w:hAnsi="Arial" w:cs="Arial"/>
                <w:bCs/>
                <w:snapToGrid w:val="0"/>
                <w:sz w:val="20"/>
              </w:rPr>
              <w:t>1</w:t>
            </w:r>
            <w:r>
              <w:rPr>
                <w:rFonts w:hint="eastAsia" w:ascii="Arial" w:hAnsi="Arial" w:cs="Arial"/>
                <w:bCs/>
                <w:snapToGrid w:val="0"/>
                <w:sz w:val="20"/>
                <w:lang w:eastAsia="zh-CN"/>
              </w:rPr>
              <w:t>6</w:t>
            </w:r>
          </w:p>
        </w:tc>
        <w:tc>
          <w:tcPr>
            <w:tcW w:w="496" w:type="dxa"/>
            <w:noWrap w:val="0"/>
            <w:vAlign w:val="center"/>
          </w:tcPr>
          <w:p>
            <w:pPr>
              <w:pStyle w:val="67"/>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877" w:type="dxa"/>
            <w:vMerge w:val="continue"/>
            <w:tcBorders>
              <w:top w:val="nil"/>
            </w:tcBorders>
            <w:noWrap w:val="0"/>
            <w:vAlign w:val="center"/>
          </w:tcPr>
          <w:p>
            <w:pPr>
              <w:pStyle w:val="67"/>
              <w:ind w:firstLine="0" w:firstLineChars="0"/>
              <w:rPr>
                <w:rFonts w:ascii="Arial" w:hAnsi="Arial" w:cs="Arial"/>
                <w:bCs/>
                <w:snapToGrid w:val="0"/>
                <w:sz w:val="20"/>
              </w:rPr>
            </w:pPr>
          </w:p>
        </w:tc>
        <w:tc>
          <w:tcPr>
            <w:tcW w:w="1296" w:type="dxa"/>
            <w:noWrap w:val="0"/>
            <w:vAlign w:val="center"/>
          </w:tcPr>
          <w:p>
            <w:pPr>
              <w:pStyle w:val="67"/>
              <w:ind w:firstLine="0" w:firstLineChars="0"/>
              <w:jc w:val="center"/>
              <w:rPr>
                <w:rFonts w:ascii="Arial" w:hAnsi="Arial" w:cs="Arial"/>
                <w:bCs/>
                <w:snapToGrid w:val="0"/>
                <w:sz w:val="20"/>
              </w:rPr>
            </w:pPr>
            <w:r>
              <w:rPr>
                <w:rFonts w:hint="eastAsia" w:ascii="Arial" w:hAnsi="Arial" w:cs="Arial"/>
                <w:bCs/>
                <w:snapToGrid w:val="0"/>
                <w:sz w:val="20"/>
              </w:rPr>
              <w:t>公益性</w:t>
            </w:r>
          </w:p>
        </w:tc>
        <w:tc>
          <w:tcPr>
            <w:tcW w:w="5276" w:type="dxa"/>
            <w:noWrap w:val="0"/>
            <w:vAlign w:val="center"/>
          </w:tcPr>
          <w:p>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②项目是否具有公益性。</w:t>
            </w:r>
          </w:p>
        </w:tc>
        <w:tc>
          <w:tcPr>
            <w:tcW w:w="377" w:type="dxa"/>
            <w:noWrap w:val="0"/>
            <w:vAlign w:val="center"/>
          </w:tcPr>
          <w:p>
            <w:pPr>
              <w:pStyle w:val="67"/>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4</w:t>
            </w:r>
          </w:p>
        </w:tc>
        <w:tc>
          <w:tcPr>
            <w:tcW w:w="541" w:type="dxa"/>
            <w:vMerge w:val="continue"/>
            <w:tcBorders>
              <w:top w:val="nil"/>
            </w:tcBorders>
            <w:noWrap w:val="0"/>
            <w:vAlign w:val="center"/>
          </w:tcPr>
          <w:p>
            <w:pPr>
              <w:pStyle w:val="67"/>
              <w:ind w:firstLine="0" w:firstLineChars="0"/>
              <w:jc w:val="center"/>
              <w:rPr>
                <w:rFonts w:ascii="Arial" w:hAnsi="Arial" w:cs="Arial"/>
                <w:bCs/>
                <w:snapToGrid w:val="0"/>
                <w:sz w:val="20"/>
              </w:rPr>
            </w:pPr>
          </w:p>
        </w:tc>
        <w:tc>
          <w:tcPr>
            <w:tcW w:w="496" w:type="dxa"/>
            <w:noWrap w:val="0"/>
            <w:vAlign w:val="center"/>
          </w:tcPr>
          <w:p>
            <w:pPr>
              <w:pStyle w:val="67"/>
              <w:ind w:firstLine="0" w:firstLineChars="0"/>
              <w:jc w:val="center"/>
              <w:rPr>
                <w:rFonts w:ascii="Arial" w:hAnsi="Arial" w:cs="Arial"/>
                <w:bCs/>
                <w:snapToGrid w:val="0"/>
                <w:sz w:val="20"/>
              </w:rPr>
            </w:pPr>
            <w:r>
              <w:rPr>
                <w:rFonts w:hint="eastAsia" w:ascii="Arial" w:hAnsi="Arial" w:cs="Arial"/>
                <w:bCs/>
                <w:snapToGrid w:val="0"/>
                <w:sz w:val="20"/>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877" w:type="dxa"/>
            <w:vMerge w:val="continue"/>
            <w:tcBorders>
              <w:top w:val="nil"/>
            </w:tcBorders>
            <w:noWrap w:val="0"/>
            <w:vAlign w:val="center"/>
          </w:tcPr>
          <w:p>
            <w:pPr>
              <w:pStyle w:val="67"/>
              <w:ind w:firstLine="0" w:firstLineChars="0"/>
              <w:rPr>
                <w:rFonts w:ascii="Arial" w:hAnsi="Arial" w:cs="Arial"/>
                <w:bCs/>
                <w:snapToGrid w:val="0"/>
                <w:sz w:val="20"/>
              </w:rPr>
            </w:pPr>
          </w:p>
        </w:tc>
        <w:tc>
          <w:tcPr>
            <w:tcW w:w="1296" w:type="dxa"/>
            <w:vMerge w:val="restart"/>
            <w:noWrap w:val="0"/>
            <w:vAlign w:val="center"/>
          </w:tcPr>
          <w:p>
            <w:pPr>
              <w:pStyle w:val="67"/>
              <w:ind w:firstLine="0" w:firstLineChars="0"/>
              <w:jc w:val="center"/>
              <w:rPr>
                <w:rFonts w:ascii="Arial" w:hAnsi="Arial" w:cs="Arial"/>
                <w:bCs/>
                <w:snapToGrid w:val="0"/>
                <w:sz w:val="20"/>
              </w:rPr>
            </w:pPr>
            <w:r>
              <w:rPr>
                <w:rFonts w:hint="eastAsia" w:ascii="Arial" w:hAnsi="Arial" w:cs="Arial"/>
                <w:bCs/>
                <w:snapToGrid w:val="0"/>
                <w:sz w:val="20"/>
                <w:lang w:val="en-US" w:eastAsia="zh-CN"/>
              </w:rPr>
              <w:t>经济</w:t>
            </w:r>
            <w:r>
              <w:rPr>
                <w:rFonts w:hint="eastAsia" w:ascii="Arial" w:hAnsi="Arial" w:cs="Arial"/>
                <w:bCs/>
                <w:snapToGrid w:val="0"/>
                <w:sz w:val="20"/>
              </w:rPr>
              <w:t>性</w:t>
            </w:r>
          </w:p>
        </w:tc>
        <w:tc>
          <w:tcPr>
            <w:tcW w:w="5276" w:type="dxa"/>
            <w:noWrap w:val="0"/>
            <w:vAlign w:val="center"/>
          </w:tcPr>
          <w:p>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①项目是否</w:t>
            </w:r>
            <w:r>
              <w:rPr>
                <w:rFonts w:hint="eastAsia" w:ascii="Arial" w:hAnsi="Arial" w:cs="Arial"/>
                <w:bCs/>
                <w:snapToGrid w:val="0"/>
                <w:sz w:val="20"/>
                <w:lang w:val="en-US" w:eastAsia="zh-CN"/>
              </w:rPr>
              <w:t>能降低成本、</w:t>
            </w:r>
            <w:r>
              <w:rPr>
                <w:rFonts w:hint="eastAsia" w:ascii="Arial" w:hAnsi="Arial" w:cs="Arial"/>
                <w:bCs/>
                <w:snapToGrid w:val="0"/>
                <w:sz w:val="20"/>
                <w:lang w:eastAsia="zh-CN"/>
              </w:rPr>
              <w:t>提高资源利用效率；</w:t>
            </w:r>
          </w:p>
        </w:tc>
        <w:tc>
          <w:tcPr>
            <w:tcW w:w="377" w:type="dxa"/>
            <w:noWrap w:val="0"/>
            <w:vAlign w:val="center"/>
          </w:tcPr>
          <w:p>
            <w:pPr>
              <w:pStyle w:val="67"/>
              <w:ind w:firstLine="0" w:firstLineChars="0"/>
              <w:jc w:val="center"/>
              <w:rPr>
                <w:rFonts w:hint="eastAsia" w:ascii="Arial" w:hAnsi="Arial" w:cs="Arial"/>
                <w:bCs/>
                <w:snapToGrid w:val="0"/>
                <w:sz w:val="20"/>
                <w:lang w:eastAsia="zh-CN"/>
              </w:rPr>
            </w:pPr>
            <w:r>
              <w:rPr>
                <w:rFonts w:hint="eastAsia" w:ascii="Arial" w:hAnsi="Arial" w:cs="Arial"/>
                <w:bCs/>
                <w:snapToGrid w:val="0"/>
                <w:sz w:val="20"/>
                <w:lang w:eastAsia="zh-CN"/>
              </w:rPr>
              <w:t>4</w:t>
            </w:r>
          </w:p>
        </w:tc>
        <w:tc>
          <w:tcPr>
            <w:tcW w:w="541" w:type="dxa"/>
            <w:vMerge w:val="continue"/>
            <w:tcBorders>
              <w:top w:val="nil"/>
            </w:tcBorders>
            <w:noWrap w:val="0"/>
            <w:vAlign w:val="center"/>
          </w:tcPr>
          <w:p>
            <w:pPr>
              <w:pStyle w:val="67"/>
              <w:ind w:firstLine="0" w:firstLineChars="0"/>
              <w:jc w:val="center"/>
              <w:rPr>
                <w:rFonts w:ascii="Arial" w:hAnsi="Arial" w:cs="Arial"/>
                <w:bCs/>
                <w:snapToGrid w:val="0"/>
                <w:sz w:val="20"/>
              </w:rPr>
            </w:pPr>
          </w:p>
        </w:tc>
        <w:tc>
          <w:tcPr>
            <w:tcW w:w="496" w:type="dxa"/>
            <w:noWrap w:val="0"/>
            <w:vAlign w:val="center"/>
          </w:tcPr>
          <w:p>
            <w:pPr>
              <w:pStyle w:val="67"/>
              <w:ind w:firstLine="0" w:firstLineChars="0"/>
              <w:jc w:val="center"/>
              <w:rPr>
                <w:rFonts w:hint="eastAsia" w:ascii="Arial" w:hAnsi="Arial" w:cs="Arial"/>
                <w:bCs/>
                <w:snapToGrid w:val="0"/>
                <w:sz w:val="20"/>
                <w:lang w:eastAsia="zh-CN"/>
              </w:rPr>
            </w:pPr>
            <w:r>
              <w:rPr>
                <w:rFonts w:hint="eastAsia" w:ascii="Arial" w:hAnsi="Arial" w:cs="Arial"/>
                <w:bCs/>
                <w:snapToGrid w:val="0"/>
                <w:sz w:val="20"/>
                <w:lang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877" w:type="dxa"/>
            <w:vMerge w:val="continue"/>
            <w:tcBorders>
              <w:top w:val="nil"/>
            </w:tcBorders>
            <w:noWrap w:val="0"/>
            <w:vAlign w:val="center"/>
          </w:tcPr>
          <w:p>
            <w:pPr>
              <w:pStyle w:val="67"/>
              <w:ind w:firstLine="0" w:firstLineChars="0"/>
              <w:rPr>
                <w:rFonts w:ascii="Arial" w:hAnsi="Arial" w:cs="Arial"/>
                <w:bCs/>
                <w:snapToGrid w:val="0"/>
                <w:sz w:val="20"/>
              </w:rPr>
            </w:pPr>
          </w:p>
        </w:tc>
        <w:tc>
          <w:tcPr>
            <w:tcW w:w="1296" w:type="dxa"/>
            <w:vMerge w:val="continue"/>
            <w:tcBorders>
              <w:top w:val="nil"/>
            </w:tcBorders>
            <w:noWrap w:val="0"/>
            <w:vAlign w:val="center"/>
          </w:tcPr>
          <w:p>
            <w:pPr>
              <w:pStyle w:val="67"/>
              <w:ind w:firstLine="0" w:firstLineChars="0"/>
              <w:jc w:val="center"/>
              <w:rPr>
                <w:rFonts w:ascii="Arial" w:hAnsi="Arial" w:cs="Arial"/>
                <w:bCs/>
                <w:snapToGrid w:val="0"/>
                <w:sz w:val="20"/>
              </w:rPr>
            </w:pPr>
          </w:p>
        </w:tc>
        <w:tc>
          <w:tcPr>
            <w:tcW w:w="5276" w:type="dxa"/>
            <w:noWrap w:val="0"/>
            <w:vAlign w:val="center"/>
          </w:tcPr>
          <w:p>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②项目是否</w:t>
            </w:r>
            <w:r>
              <w:rPr>
                <w:rFonts w:hint="eastAsia" w:ascii="Arial" w:hAnsi="Arial" w:cs="Arial"/>
                <w:bCs/>
                <w:snapToGrid w:val="0"/>
                <w:sz w:val="20"/>
                <w:lang w:val="en-US" w:eastAsia="zh-CN"/>
              </w:rPr>
              <w:t>能</w:t>
            </w:r>
            <w:r>
              <w:rPr>
                <w:rFonts w:hint="eastAsia" w:ascii="Arial" w:hAnsi="Arial" w:cs="Arial"/>
                <w:bCs/>
                <w:snapToGrid w:val="0"/>
                <w:sz w:val="20"/>
                <w:lang w:eastAsia="zh-CN"/>
              </w:rPr>
              <w:t>提升金口河区的知名度和美誉度。</w:t>
            </w:r>
          </w:p>
        </w:tc>
        <w:tc>
          <w:tcPr>
            <w:tcW w:w="377" w:type="dxa"/>
            <w:noWrap w:val="0"/>
            <w:vAlign w:val="center"/>
          </w:tcPr>
          <w:p>
            <w:pPr>
              <w:pStyle w:val="67"/>
              <w:ind w:firstLine="0" w:firstLineChars="0"/>
              <w:jc w:val="center"/>
              <w:rPr>
                <w:rFonts w:hint="eastAsia" w:ascii="Arial" w:hAnsi="Arial" w:cs="Arial"/>
                <w:bCs/>
                <w:snapToGrid w:val="0"/>
                <w:sz w:val="20"/>
                <w:lang w:eastAsia="zh-CN"/>
              </w:rPr>
            </w:pPr>
            <w:r>
              <w:rPr>
                <w:rFonts w:hint="eastAsia" w:ascii="Arial" w:hAnsi="Arial" w:cs="Arial"/>
                <w:bCs/>
                <w:snapToGrid w:val="0"/>
                <w:sz w:val="20"/>
                <w:lang w:eastAsia="zh-CN"/>
              </w:rPr>
              <w:t>4</w:t>
            </w:r>
          </w:p>
        </w:tc>
        <w:tc>
          <w:tcPr>
            <w:tcW w:w="541" w:type="dxa"/>
            <w:vMerge w:val="continue"/>
            <w:tcBorders>
              <w:top w:val="nil"/>
            </w:tcBorders>
            <w:noWrap w:val="0"/>
            <w:vAlign w:val="center"/>
          </w:tcPr>
          <w:p>
            <w:pPr>
              <w:pStyle w:val="67"/>
              <w:ind w:firstLine="0" w:firstLineChars="0"/>
              <w:jc w:val="center"/>
              <w:rPr>
                <w:rFonts w:ascii="Arial" w:hAnsi="Arial" w:cs="Arial"/>
                <w:bCs/>
                <w:snapToGrid w:val="0"/>
                <w:sz w:val="20"/>
              </w:rPr>
            </w:pPr>
          </w:p>
        </w:tc>
        <w:tc>
          <w:tcPr>
            <w:tcW w:w="496" w:type="dxa"/>
            <w:noWrap w:val="0"/>
            <w:vAlign w:val="center"/>
          </w:tcPr>
          <w:p>
            <w:pPr>
              <w:pStyle w:val="67"/>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877" w:type="dxa"/>
            <w:vMerge w:val="restart"/>
            <w:noWrap w:val="0"/>
            <w:vAlign w:val="center"/>
          </w:tcPr>
          <w:p>
            <w:pPr>
              <w:pStyle w:val="67"/>
              <w:ind w:firstLine="0" w:firstLineChars="0"/>
              <w:jc w:val="left"/>
              <w:rPr>
                <w:rFonts w:ascii="Arial" w:hAnsi="Arial" w:cs="Arial"/>
                <w:bCs/>
                <w:snapToGrid w:val="0"/>
                <w:sz w:val="20"/>
                <w:lang w:eastAsia="zh-CN"/>
              </w:rPr>
            </w:pPr>
            <w:r>
              <w:rPr>
                <w:rFonts w:hint="eastAsia" w:ascii="Arial" w:hAnsi="Arial" w:cs="Arial"/>
                <w:bCs/>
                <w:snapToGrid w:val="0"/>
                <w:sz w:val="20"/>
                <w:lang w:eastAsia="zh-CN"/>
              </w:rPr>
              <w:t>项目</w:t>
            </w:r>
            <w:r>
              <w:rPr>
                <w:rFonts w:hint="eastAsia" w:ascii="Arial" w:hAnsi="Arial" w:cs="Arial"/>
                <w:bCs/>
                <w:snapToGrid w:val="0"/>
                <w:sz w:val="20"/>
                <w:lang w:val="en-US" w:eastAsia="zh-CN"/>
              </w:rPr>
              <w:t>实施</w:t>
            </w:r>
            <w:r>
              <w:rPr>
                <w:rFonts w:hint="eastAsia" w:ascii="Arial" w:hAnsi="Arial" w:cs="Arial"/>
                <w:bCs/>
                <w:snapToGrid w:val="0"/>
                <w:sz w:val="20"/>
                <w:lang w:eastAsia="zh-CN"/>
              </w:rPr>
              <w:t>合规性与成熟度</w:t>
            </w:r>
          </w:p>
        </w:tc>
        <w:tc>
          <w:tcPr>
            <w:tcW w:w="1296" w:type="dxa"/>
            <w:vMerge w:val="restart"/>
            <w:noWrap w:val="0"/>
            <w:vAlign w:val="center"/>
          </w:tcPr>
          <w:p>
            <w:pPr>
              <w:pStyle w:val="67"/>
              <w:ind w:firstLine="0" w:firstLineChars="0"/>
              <w:jc w:val="center"/>
              <w:rPr>
                <w:rFonts w:ascii="Arial" w:hAnsi="Arial" w:cs="Arial"/>
                <w:bCs/>
                <w:snapToGrid w:val="0"/>
                <w:sz w:val="20"/>
              </w:rPr>
            </w:pPr>
            <w:r>
              <w:rPr>
                <w:rFonts w:hint="eastAsia" w:ascii="Arial" w:hAnsi="Arial" w:cs="Arial"/>
                <w:bCs/>
                <w:snapToGrid w:val="0"/>
                <w:sz w:val="20"/>
                <w:lang w:val="en-US" w:eastAsia="zh-CN"/>
              </w:rPr>
              <w:t>项目实施合规性</w:t>
            </w:r>
          </w:p>
        </w:tc>
        <w:tc>
          <w:tcPr>
            <w:tcW w:w="5276" w:type="dxa"/>
            <w:noWrap w:val="0"/>
            <w:vAlign w:val="center"/>
          </w:tcPr>
          <w:p>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①项目立项过程是否合规；</w:t>
            </w:r>
          </w:p>
        </w:tc>
        <w:tc>
          <w:tcPr>
            <w:tcW w:w="377" w:type="dxa"/>
            <w:noWrap w:val="0"/>
            <w:vAlign w:val="center"/>
          </w:tcPr>
          <w:p>
            <w:pPr>
              <w:pStyle w:val="67"/>
              <w:ind w:firstLine="0" w:firstLineChars="0"/>
              <w:jc w:val="center"/>
              <w:rPr>
                <w:rFonts w:hint="eastAsia" w:ascii="Arial" w:hAnsi="Arial" w:cs="Arial"/>
                <w:bCs/>
                <w:snapToGrid w:val="0"/>
                <w:sz w:val="20"/>
                <w:lang w:eastAsia="zh-CN"/>
              </w:rPr>
            </w:pPr>
            <w:r>
              <w:rPr>
                <w:rFonts w:hint="eastAsia" w:ascii="Arial" w:hAnsi="Arial" w:cs="Arial"/>
                <w:bCs/>
                <w:snapToGrid w:val="0"/>
                <w:sz w:val="20"/>
                <w:lang w:eastAsia="zh-CN"/>
              </w:rPr>
              <w:t>3</w:t>
            </w:r>
          </w:p>
        </w:tc>
        <w:tc>
          <w:tcPr>
            <w:tcW w:w="541" w:type="dxa"/>
            <w:vMerge w:val="restart"/>
            <w:noWrap w:val="0"/>
            <w:vAlign w:val="center"/>
          </w:tcPr>
          <w:p>
            <w:pPr>
              <w:pStyle w:val="67"/>
              <w:ind w:firstLine="0" w:firstLineChars="0"/>
              <w:jc w:val="center"/>
              <w:rPr>
                <w:rFonts w:hint="eastAsia" w:ascii="Arial" w:hAnsi="Arial" w:cs="Arial"/>
                <w:bCs/>
                <w:snapToGrid w:val="0"/>
                <w:sz w:val="20"/>
                <w:lang w:eastAsia="zh-CN"/>
              </w:rPr>
            </w:pPr>
            <w:r>
              <w:rPr>
                <w:rFonts w:hint="eastAsia" w:ascii="Arial" w:hAnsi="Arial" w:cs="Arial"/>
                <w:bCs/>
                <w:snapToGrid w:val="0"/>
                <w:sz w:val="20"/>
              </w:rPr>
              <w:t>1</w:t>
            </w:r>
            <w:r>
              <w:rPr>
                <w:rFonts w:hint="eastAsia" w:ascii="Arial" w:hAnsi="Arial" w:cs="Arial"/>
                <w:bCs/>
                <w:snapToGrid w:val="0"/>
                <w:sz w:val="20"/>
                <w:lang w:eastAsia="zh-CN"/>
              </w:rPr>
              <w:t>8</w:t>
            </w:r>
          </w:p>
        </w:tc>
        <w:tc>
          <w:tcPr>
            <w:tcW w:w="496" w:type="dxa"/>
            <w:noWrap w:val="0"/>
            <w:vAlign w:val="center"/>
          </w:tcPr>
          <w:p>
            <w:pPr>
              <w:pStyle w:val="67"/>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877" w:type="dxa"/>
            <w:vMerge w:val="continue"/>
            <w:noWrap w:val="0"/>
            <w:vAlign w:val="center"/>
          </w:tcPr>
          <w:p>
            <w:pPr>
              <w:pStyle w:val="67"/>
              <w:ind w:firstLine="0" w:firstLineChars="0"/>
              <w:rPr>
                <w:rFonts w:ascii="Arial" w:hAnsi="Arial" w:cs="Arial"/>
                <w:bCs/>
                <w:snapToGrid w:val="0"/>
                <w:sz w:val="20"/>
              </w:rPr>
            </w:pPr>
          </w:p>
        </w:tc>
        <w:tc>
          <w:tcPr>
            <w:tcW w:w="1296" w:type="dxa"/>
            <w:vMerge w:val="continue"/>
            <w:tcBorders>
              <w:top w:val="nil"/>
            </w:tcBorders>
            <w:noWrap w:val="0"/>
            <w:vAlign w:val="center"/>
          </w:tcPr>
          <w:p>
            <w:pPr>
              <w:pStyle w:val="67"/>
              <w:ind w:firstLine="0" w:firstLineChars="0"/>
              <w:jc w:val="center"/>
              <w:rPr>
                <w:rFonts w:ascii="Arial" w:hAnsi="Arial" w:cs="Arial"/>
                <w:bCs/>
                <w:snapToGrid w:val="0"/>
                <w:sz w:val="20"/>
              </w:rPr>
            </w:pPr>
          </w:p>
        </w:tc>
        <w:tc>
          <w:tcPr>
            <w:tcW w:w="5276" w:type="dxa"/>
            <w:noWrap w:val="0"/>
            <w:vAlign w:val="center"/>
          </w:tcPr>
          <w:p>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②项目立项依据是否充分；</w:t>
            </w:r>
          </w:p>
        </w:tc>
        <w:tc>
          <w:tcPr>
            <w:tcW w:w="377" w:type="dxa"/>
            <w:noWrap w:val="0"/>
            <w:vAlign w:val="center"/>
          </w:tcPr>
          <w:p>
            <w:pPr>
              <w:pStyle w:val="67"/>
              <w:ind w:firstLine="0" w:firstLineChars="0"/>
              <w:jc w:val="center"/>
              <w:rPr>
                <w:rFonts w:ascii="Arial" w:hAnsi="Arial" w:cs="Arial"/>
                <w:bCs/>
                <w:snapToGrid w:val="0"/>
                <w:sz w:val="20"/>
              </w:rPr>
            </w:pPr>
            <w:r>
              <w:rPr>
                <w:rFonts w:hint="eastAsia" w:ascii="Arial" w:hAnsi="Arial" w:cs="Arial"/>
                <w:bCs/>
                <w:snapToGrid w:val="0"/>
                <w:sz w:val="20"/>
              </w:rPr>
              <w:t>3</w:t>
            </w:r>
          </w:p>
        </w:tc>
        <w:tc>
          <w:tcPr>
            <w:tcW w:w="541" w:type="dxa"/>
            <w:vMerge w:val="continue"/>
            <w:noWrap w:val="0"/>
            <w:vAlign w:val="center"/>
          </w:tcPr>
          <w:p>
            <w:pPr>
              <w:pStyle w:val="67"/>
              <w:ind w:firstLine="0" w:firstLineChars="0"/>
              <w:jc w:val="center"/>
              <w:rPr>
                <w:rFonts w:ascii="Arial" w:hAnsi="Arial" w:cs="Arial"/>
                <w:bCs/>
                <w:snapToGrid w:val="0"/>
                <w:sz w:val="20"/>
              </w:rPr>
            </w:pPr>
          </w:p>
        </w:tc>
        <w:tc>
          <w:tcPr>
            <w:tcW w:w="496" w:type="dxa"/>
            <w:noWrap w:val="0"/>
            <w:vAlign w:val="center"/>
          </w:tcPr>
          <w:p>
            <w:pPr>
              <w:pStyle w:val="67"/>
              <w:ind w:firstLine="0" w:firstLineChars="0"/>
              <w:jc w:val="center"/>
              <w:rPr>
                <w:rFonts w:ascii="Arial" w:hAnsi="Arial" w:cs="Arial"/>
                <w:bCs/>
                <w:snapToGrid w:val="0"/>
                <w:sz w:val="20"/>
              </w:rPr>
            </w:pPr>
            <w:r>
              <w:rPr>
                <w:rFonts w:hint="eastAsia" w:ascii="Arial" w:hAnsi="Arial" w:cs="Arial"/>
                <w:bCs/>
                <w:snapToGrid w:val="0"/>
                <w:sz w:val="20"/>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trPr>
        <w:tc>
          <w:tcPr>
            <w:tcW w:w="877" w:type="dxa"/>
            <w:vMerge w:val="continue"/>
            <w:noWrap w:val="0"/>
            <w:vAlign w:val="center"/>
          </w:tcPr>
          <w:p>
            <w:pPr>
              <w:pStyle w:val="67"/>
              <w:ind w:firstLine="0" w:firstLineChars="0"/>
              <w:rPr>
                <w:rFonts w:ascii="Arial" w:hAnsi="Arial" w:cs="Arial"/>
                <w:bCs/>
                <w:snapToGrid w:val="0"/>
                <w:sz w:val="20"/>
              </w:rPr>
            </w:pPr>
          </w:p>
        </w:tc>
        <w:tc>
          <w:tcPr>
            <w:tcW w:w="1296" w:type="dxa"/>
            <w:vMerge w:val="continue"/>
            <w:tcBorders>
              <w:top w:val="nil"/>
            </w:tcBorders>
            <w:noWrap w:val="0"/>
            <w:vAlign w:val="center"/>
          </w:tcPr>
          <w:p>
            <w:pPr>
              <w:pStyle w:val="67"/>
              <w:ind w:firstLine="0" w:firstLineChars="0"/>
              <w:jc w:val="center"/>
              <w:rPr>
                <w:rFonts w:ascii="Arial" w:hAnsi="Arial" w:cs="Arial"/>
                <w:bCs/>
                <w:snapToGrid w:val="0"/>
                <w:sz w:val="20"/>
              </w:rPr>
            </w:pPr>
          </w:p>
        </w:tc>
        <w:tc>
          <w:tcPr>
            <w:tcW w:w="5276" w:type="dxa"/>
            <w:noWrap w:val="0"/>
            <w:vAlign w:val="center"/>
          </w:tcPr>
          <w:p>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③项目资金来源渠道</w:t>
            </w:r>
            <w:r>
              <w:rPr>
                <w:rFonts w:hint="eastAsia" w:ascii="Arial" w:hAnsi="Arial" w:cs="Arial"/>
                <w:bCs/>
                <w:snapToGrid w:val="0"/>
                <w:sz w:val="20"/>
                <w:lang w:val="en-US" w:eastAsia="zh-CN"/>
              </w:rPr>
              <w:t>是否</w:t>
            </w:r>
            <w:r>
              <w:rPr>
                <w:rFonts w:hint="eastAsia" w:ascii="Arial" w:hAnsi="Arial" w:cs="Arial"/>
                <w:bCs/>
                <w:snapToGrid w:val="0"/>
                <w:sz w:val="20"/>
                <w:lang w:eastAsia="zh-CN"/>
              </w:rPr>
              <w:t>符合相关规定。</w:t>
            </w:r>
          </w:p>
        </w:tc>
        <w:tc>
          <w:tcPr>
            <w:tcW w:w="377" w:type="dxa"/>
            <w:noWrap w:val="0"/>
            <w:vAlign w:val="center"/>
          </w:tcPr>
          <w:p>
            <w:pPr>
              <w:pStyle w:val="67"/>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3</w:t>
            </w:r>
          </w:p>
        </w:tc>
        <w:tc>
          <w:tcPr>
            <w:tcW w:w="541" w:type="dxa"/>
            <w:vMerge w:val="continue"/>
            <w:noWrap w:val="0"/>
            <w:vAlign w:val="center"/>
          </w:tcPr>
          <w:p>
            <w:pPr>
              <w:pStyle w:val="67"/>
              <w:ind w:firstLine="0" w:firstLineChars="0"/>
              <w:jc w:val="center"/>
              <w:rPr>
                <w:rFonts w:ascii="Arial" w:hAnsi="Arial" w:cs="Arial"/>
                <w:bCs/>
                <w:snapToGrid w:val="0"/>
                <w:sz w:val="20"/>
              </w:rPr>
            </w:pPr>
          </w:p>
        </w:tc>
        <w:tc>
          <w:tcPr>
            <w:tcW w:w="496" w:type="dxa"/>
            <w:noWrap w:val="0"/>
            <w:vAlign w:val="center"/>
          </w:tcPr>
          <w:p>
            <w:pPr>
              <w:pStyle w:val="67"/>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877" w:type="dxa"/>
            <w:vMerge w:val="continue"/>
            <w:noWrap w:val="0"/>
            <w:vAlign w:val="center"/>
          </w:tcPr>
          <w:p>
            <w:pPr>
              <w:pStyle w:val="67"/>
              <w:ind w:firstLine="0" w:firstLineChars="0"/>
              <w:rPr>
                <w:rFonts w:ascii="Arial" w:hAnsi="Arial" w:cs="Arial"/>
                <w:bCs/>
                <w:snapToGrid w:val="0"/>
                <w:sz w:val="20"/>
              </w:rPr>
            </w:pPr>
          </w:p>
        </w:tc>
        <w:tc>
          <w:tcPr>
            <w:tcW w:w="1296" w:type="dxa"/>
            <w:vMerge w:val="restart"/>
            <w:noWrap w:val="0"/>
            <w:vAlign w:val="center"/>
          </w:tcPr>
          <w:p>
            <w:pPr>
              <w:pStyle w:val="67"/>
              <w:ind w:firstLine="0" w:firstLineChars="0"/>
              <w:jc w:val="center"/>
              <w:rPr>
                <w:rFonts w:ascii="Arial" w:hAnsi="Arial" w:cs="Arial"/>
                <w:bCs/>
                <w:snapToGrid w:val="0"/>
                <w:sz w:val="20"/>
              </w:rPr>
            </w:pPr>
            <w:r>
              <w:rPr>
                <w:rFonts w:hint="eastAsia" w:ascii="Arial" w:hAnsi="Arial" w:cs="Arial"/>
                <w:bCs/>
                <w:snapToGrid w:val="0"/>
                <w:sz w:val="20"/>
              </w:rPr>
              <w:t>项目成熟度</w:t>
            </w:r>
          </w:p>
        </w:tc>
        <w:tc>
          <w:tcPr>
            <w:tcW w:w="5276" w:type="dxa"/>
            <w:noWrap w:val="0"/>
            <w:vAlign w:val="center"/>
          </w:tcPr>
          <w:p>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①项目审批手续</w:t>
            </w:r>
            <w:r>
              <w:rPr>
                <w:rFonts w:hint="eastAsia" w:ascii="Arial" w:hAnsi="Arial" w:cs="Arial"/>
                <w:bCs/>
                <w:snapToGrid w:val="0"/>
                <w:sz w:val="20"/>
                <w:lang w:val="en-US" w:eastAsia="zh-CN"/>
              </w:rPr>
              <w:t>是</w:t>
            </w:r>
            <w:r>
              <w:rPr>
                <w:rFonts w:hint="eastAsia" w:ascii="Arial" w:hAnsi="Arial" w:cs="Arial"/>
                <w:bCs/>
                <w:snapToGrid w:val="0"/>
                <w:sz w:val="20"/>
                <w:lang w:eastAsia="zh-CN"/>
              </w:rPr>
              <w:t>否完备齐全；</w:t>
            </w:r>
          </w:p>
        </w:tc>
        <w:tc>
          <w:tcPr>
            <w:tcW w:w="377" w:type="dxa"/>
            <w:noWrap w:val="0"/>
            <w:vAlign w:val="center"/>
          </w:tcPr>
          <w:p>
            <w:pPr>
              <w:pStyle w:val="67"/>
              <w:ind w:firstLine="0" w:firstLineChars="0"/>
              <w:jc w:val="center"/>
              <w:rPr>
                <w:rFonts w:ascii="Arial" w:hAnsi="Arial" w:cs="Arial"/>
                <w:bCs/>
                <w:snapToGrid w:val="0"/>
                <w:sz w:val="20"/>
              </w:rPr>
            </w:pPr>
            <w:r>
              <w:rPr>
                <w:rFonts w:hint="eastAsia" w:ascii="Arial" w:hAnsi="Arial" w:cs="Arial"/>
                <w:bCs/>
                <w:snapToGrid w:val="0"/>
                <w:sz w:val="20"/>
              </w:rPr>
              <w:t>3</w:t>
            </w:r>
          </w:p>
        </w:tc>
        <w:tc>
          <w:tcPr>
            <w:tcW w:w="541" w:type="dxa"/>
            <w:vMerge w:val="continue"/>
            <w:noWrap w:val="0"/>
            <w:vAlign w:val="center"/>
          </w:tcPr>
          <w:p>
            <w:pPr>
              <w:pStyle w:val="67"/>
              <w:ind w:firstLine="0" w:firstLineChars="0"/>
              <w:jc w:val="center"/>
              <w:rPr>
                <w:rFonts w:hint="eastAsia" w:ascii="Arial" w:hAnsi="Arial" w:cs="Arial"/>
                <w:bCs/>
                <w:snapToGrid w:val="0"/>
                <w:sz w:val="20"/>
                <w:lang w:eastAsia="zh-CN"/>
              </w:rPr>
            </w:pPr>
          </w:p>
        </w:tc>
        <w:tc>
          <w:tcPr>
            <w:tcW w:w="496" w:type="dxa"/>
            <w:noWrap w:val="0"/>
            <w:vAlign w:val="center"/>
          </w:tcPr>
          <w:p>
            <w:pPr>
              <w:pStyle w:val="67"/>
              <w:ind w:firstLine="0" w:firstLineChars="0"/>
              <w:jc w:val="center"/>
              <w:rPr>
                <w:rFonts w:hint="eastAsia" w:ascii="Arial" w:hAnsi="Arial" w:cs="Arial"/>
                <w:bCs/>
                <w:snapToGrid w:val="0"/>
                <w:sz w:val="20"/>
                <w:lang w:eastAsia="zh-CN"/>
              </w:rPr>
            </w:pPr>
            <w:r>
              <w:rPr>
                <w:rFonts w:hint="eastAsia" w:ascii="Arial" w:hAnsi="Arial" w:cs="Arial"/>
                <w:bCs/>
                <w:snapToGrid w:val="0"/>
                <w:sz w:val="20"/>
                <w:lang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877" w:type="dxa"/>
            <w:vMerge w:val="continue"/>
            <w:noWrap w:val="0"/>
            <w:vAlign w:val="center"/>
          </w:tcPr>
          <w:p>
            <w:pPr>
              <w:pStyle w:val="67"/>
              <w:ind w:firstLine="0" w:firstLineChars="0"/>
              <w:rPr>
                <w:rFonts w:ascii="Arial" w:hAnsi="Arial" w:cs="Arial"/>
                <w:bCs/>
                <w:snapToGrid w:val="0"/>
                <w:sz w:val="20"/>
              </w:rPr>
            </w:pPr>
          </w:p>
        </w:tc>
        <w:tc>
          <w:tcPr>
            <w:tcW w:w="1296" w:type="dxa"/>
            <w:vMerge w:val="continue"/>
            <w:tcBorders>
              <w:top w:val="nil"/>
            </w:tcBorders>
            <w:noWrap w:val="0"/>
            <w:vAlign w:val="center"/>
          </w:tcPr>
          <w:p>
            <w:pPr>
              <w:pStyle w:val="67"/>
              <w:ind w:firstLine="0" w:firstLineChars="0"/>
              <w:jc w:val="center"/>
              <w:rPr>
                <w:rFonts w:ascii="Arial" w:hAnsi="Arial" w:cs="Arial"/>
                <w:bCs/>
                <w:snapToGrid w:val="0"/>
                <w:sz w:val="20"/>
              </w:rPr>
            </w:pPr>
          </w:p>
        </w:tc>
        <w:tc>
          <w:tcPr>
            <w:tcW w:w="5276" w:type="dxa"/>
            <w:noWrap w:val="0"/>
            <w:vAlign w:val="center"/>
          </w:tcPr>
          <w:p>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②项目属于新增/延续项目；</w:t>
            </w:r>
          </w:p>
        </w:tc>
        <w:tc>
          <w:tcPr>
            <w:tcW w:w="377" w:type="dxa"/>
            <w:noWrap w:val="0"/>
            <w:vAlign w:val="center"/>
          </w:tcPr>
          <w:p>
            <w:pPr>
              <w:pStyle w:val="67"/>
              <w:ind w:firstLine="0" w:firstLineChars="0"/>
              <w:jc w:val="center"/>
              <w:rPr>
                <w:rFonts w:hint="eastAsia" w:ascii="Arial" w:hAnsi="Arial" w:cs="Arial"/>
                <w:bCs/>
                <w:snapToGrid w:val="0"/>
                <w:sz w:val="20"/>
                <w:lang w:eastAsia="zh-CN"/>
              </w:rPr>
            </w:pPr>
            <w:r>
              <w:rPr>
                <w:rFonts w:hint="eastAsia" w:ascii="Arial" w:hAnsi="Arial" w:cs="Arial"/>
                <w:bCs/>
                <w:snapToGrid w:val="0"/>
                <w:sz w:val="20"/>
                <w:lang w:eastAsia="zh-CN"/>
              </w:rPr>
              <w:t>3</w:t>
            </w:r>
          </w:p>
        </w:tc>
        <w:tc>
          <w:tcPr>
            <w:tcW w:w="541" w:type="dxa"/>
            <w:vMerge w:val="continue"/>
            <w:noWrap w:val="0"/>
            <w:vAlign w:val="center"/>
          </w:tcPr>
          <w:p>
            <w:pPr>
              <w:pStyle w:val="67"/>
              <w:ind w:firstLine="0" w:firstLineChars="0"/>
              <w:jc w:val="center"/>
              <w:rPr>
                <w:rFonts w:ascii="Arial" w:hAnsi="Arial" w:cs="Arial"/>
                <w:bCs/>
                <w:snapToGrid w:val="0"/>
                <w:sz w:val="20"/>
              </w:rPr>
            </w:pPr>
          </w:p>
        </w:tc>
        <w:tc>
          <w:tcPr>
            <w:tcW w:w="496" w:type="dxa"/>
            <w:noWrap w:val="0"/>
            <w:vAlign w:val="center"/>
          </w:tcPr>
          <w:p>
            <w:pPr>
              <w:pStyle w:val="67"/>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trPr>
        <w:tc>
          <w:tcPr>
            <w:tcW w:w="877" w:type="dxa"/>
            <w:vMerge w:val="continue"/>
            <w:noWrap w:val="0"/>
            <w:vAlign w:val="center"/>
          </w:tcPr>
          <w:p>
            <w:pPr>
              <w:pStyle w:val="67"/>
              <w:ind w:firstLine="0" w:firstLineChars="0"/>
              <w:rPr>
                <w:rFonts w:ascii="Arial" w:hAnsi="Arial" w:cs="Arial"/>
                <w:bCs/>
                <w:snapToGrid w:val="0"/>
                <w:sz w:val="20"/>
              </w:rPr>
            </w:pPr>
          </w:p>
        </w:tc>
        <w:tc>
          <w:tcPr>
            <w:tcW w:w="1296" w:type="dxa"/>
            <w:vMerge w:val="continue"/>
            <w:tcBorders>
              <w:top w:val="nil"/>
            </w:tcBorders>
            <w:noWrap w:val="0"/>
            <w:vAlign w:val="center"/>
          </w:tcPr>
          <w:p>
            <w:pPr>
              <w:pStyle w:val="67"/>
              <w:ind w:firstLine="0" w:firstLineChars="0"/>
              <w:jc w:val="center"/>
              <w:rPr>
                <w:rFonts w:ascii="Arial" w:hAnsi="Arial" w:cs="Arial"/>
                <w:bCs/>
                <w:snapToGrid w:val="0"/>
                <w:sz w:val="20"/>
              </w:rPr>
            </w:pPr>
          </w:p>
        </w:tc>
        <w:tc>
          <w:tcPr>
            <w:tcW w:w="5276" w:type="dxa"/>
            <w:noWrap w:val="0"/>
            <w:vAlign w:val="center"/>
          </w:tcPr>
          <w:p>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③是否</w:t>
            </w:r>
            <w:r>
              <w:rPr>
                <w:rFonts w:hint="eastAsia" w:ascii="Arial" w:hAnsi="Arial" w:cs="Arial"/>
                <w:bCs/>
                <w:snapToGrid w:val="0"/>
                <w:sz w:val="20"/>
                <w:lang w:val="en-US" w:eastAsia="zh-CN"/>
              </w:rPr>
              <w:t>与中央、省、市委决策部署一致</w:t>
            </w:r>
            <w:r>
              <w:rPr>
                <w:rFonts w:hint="eastAsia" w:ascii="Arial" w:hAnsi="Arial" w:cs="Arial"/>
                <w:bCs/>
                <w:snapToGrid w:val="0"/>
                <w:sz w:val="20"/>
                <w:lang w:eastAsia="zh-CN"/>
              </w:rPr>
              <w:t>。</w:t>
            </w:r>
          </w:p>
        </w:tc>
        <w:tc>
          <w:tcPr>
            <w:tcW w:w="377" w:type="dxa"/>
            <w:noWrap w:val="0"/>
            <w:vAlign w:val="center"/>
          </w:tcPr>
          <w:p>
            <w:pPr>
              <w:pStyle w:val="67"/>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3</w:t>
            </w:r>
          </w:p>
        </w:tc>
        <w:tc>
          <w:tcPr>
            <w:tcW w:w="541" w:type="dxa"/>
            <w:vMerge w:val="continue"/>
            <w:noWrap w:val="0"/>
            <w:vAlign w:val="center"/>
          </w:tcPr>
          <w:p>
            <w:pPr>
              <w:pStyle w:val="67"/>
              <w:ind w:firstLine="0" w:firstLineChars="0"/>
              <w:jc w:val="center"/>
              <w:rPr>
                <w:rFonts w:ascii="Arial" w:hAnsi="Arial" w:cs="Arial"/>
                <w:bCs/>
                <w:snapToGrid w:val="0"/>
                <w:sz w:val="20"/>
              </w:rPr>
            </w:pPr>
          </w:p>
        </w:tc>
        <w:tc>
          <w:tcPr>
            <w:tcW w:w="496" w:type="dxa"/>
            <w:noWrap w:val="0"/>
            <w:vAlign w:val="center"/>
          </w:tcPr>
          <w:p>
            <w:pPr>
              <w:pStyle w:val="67"/>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877" w:type="dxa"/>
            <w:vMerge w:val="restart"/>
            <w:noWrap w:val="0"/>
            <w:vAlign w:val="center"/>
          </w:tcPr>
          <w:p>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项目资金来源和到位可行性</w:t>
            </w:r>
          </w:p>
        </w:tc>
        <w:tc>
          <w:tcPr>
            <w:tcW w:w="1296" w:type="dxa"/>
            <w:noWrap w:val="0"/>
            <w:vAlign w:val="center"/>
          </w:tcPr>
          <w:p>
            <w:pPr>
              <w:pStyle w:val="67"/>
              <w:ind w:firstLine="0" w:firstLineChars="0"/>
              <w:jc w:val="center"/>
              <w:rPr>
                <w:rFonts w:ascii="Arial" w:hAnsi="Arial" w:cs="Arial"/>
                <w:bCs/>
                <w:snapToGrid w:val="0"/>
                <w:sz w:val="20"/>
              </w:rPr>
            </w:pPr>
            <w:r>
              <w:rPr>
                <w:rFonts w:hint="eastAsia" w:ascii="Arial" w:hAnsi="Arial" w:cs="Arial"/>
                <w:bCs/>
                <w:snapToGrid w:val="0"/>
                <w:sz w:val="20"/>
              </w:rPr>
              <w:t>资金来源可行性</w:t>
            </w:r>
          </w:p>
        </w:tc>
        <w:tc>
          <w:tcPr>
            <w:tcW w:w="5276" w:type="dxa"/>
            <w:noWrap w:val="0"/>
            <w:vAlign w:val="center"/>
          </w:tcPr>
          <w:p>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①资金来源渠道是否符合相关规定；</w:t>
            </w:r>
          </w:p>
        </w:tc>
        <w:tc>
          <w:tcPr>
            <w:tcW w:w="377" w:type="dxa"/>
            <w:noWrap w:val="0"/>
            <w:vAlign w:val="center"/>
          </w:tcPr>
          <w:p>
            <w:pPr>
              <w:pStyle w:val="67"/>
              <w:ind w:firstLine="0" w:firstLineChars="0"/>
              <w:jc w:val="center"/>
              <w:rPr>
                <w:rFonts w:ascii="Arial" w:hAnsi="Arial" w:cs="Arial"/>
                <w:bCs/>
                <w:snapToGrid w:val="0"/>
                <w:sz w:val="20"/>
              </w:rPr>
            </w:pPr>
            <w:r>
              <w:rPr>
                <w:rFonts w:hint="eastAsia" w:ascii="Arial" w:hAnsi="Arial" w:cs="Arial"/>
                <w:bCs/>
                <w:snapToGrid w:val="0"/>
                <w:sz w:val="20"/>
              </w:rPr>
              <w:t>3</w:t>
            </w:r>
          </w:p>
        </w:tc>
        <w:tc>
          <w:tcPr>
            <w:tcW w:w="541" w:type="dxa"/>
            <w:vMerge w:val="restart"/>
            <w:noWrap w:val="0"/>
            <w:vAlign w:val="center"/>
          </w:tcPr>
          <w:p>
            <w:pPr>
              <w:pStyle w:val="67"/>
              <w:ind w:firstLine="0" w:firstLineChars="0"/>
              <w:jc w:val="center"/>
              <w:rPr>
                <w:rFonts w:hint="eastAsia" w:ascii="Arial" w:hAnsi="Arial" w:cs="Arial"/>
                <w:bCs/>
                <w:snapToGrid w:val="0"/>
                <w:sz w:val="20"/>
                <w:lang w:eastAsia="zh-CN"/>
              </w:rPr>
            </w:pPr>
            <w:r>
              <w:rPr>
                <w:rFonts w:hint="eastAsia" w:ascii="Arial" w:hAnsi="Arial" w:cs="Arial"/>
                <w:bCs/>
                <w:snapToGrid w:val="0"/>
                <w:sz w:val="20"/>
              </w:rPr>
              <w:t>1</w:t>
            </w:r>
            <w:r>
              <w:rPr>
                <w:rFonts w:hint="eastAsia" w:ascii="Arial" w:hAnsi="Arial" w:cs="Arial"/>
                <w:bCs/>
                <w:snapToGrid w:val="0"/>
                <w:sz w:val="20"/>
                <w:lang w:eastAsia="zh-CN"/>
              </w:rPr>
              <w:t>2</w:t>
            </w:r>
          </w:p>
        </w:tc>
        <w:tc>
          <w:tcPr>
            <w:tcW w:w="496" w:type="dxa"/>
            <w:noWrap w:val="0"/>
            <w:vAlign w:val="center"/>
          </w:tcPr>
          <w:p>
            <w:pPr>
              <w:pStyle w:val="67"/>
              <w:ind w:firstLine="0" w:firstLineChars="0"/>
              <w:jc w:val="center"/>
              <w:rPr>
                <w:rFonts w:ascii="Arial" w:hAnsi="Arial" w:cs="Arial"/>
                <w:bCs/>
                <w:snapToGrid w:val="0"/>
                <w:sz w:val="20"/>
              </w:rPr>
            </w:pPr>
            <w:r>
              <w:rPr>
                <w:rFonts w:hint="eastAsia" w:ascii="Arial" w:hAnsi="Arial" w:cs="Arial"/>
                <w:bCs/>
                <w:snapToGrid w:val="0"/>
                <w:sz w:val="20"/>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877" w:type="dxa"/>
            <w:vMerge w:val="continue"/>
            <w:tcBorders>
              <w:top w:val="nil"/>
            </w:tcBorders>
            <w:noWrap w:val="0"/>
            <w:vAlign w:val="center"/>
          </w:tcPr>
          <w:p>
            <w:pPr>
              <w:pStyle w:val="67"/>
              <w:ind w:firstLine="0" w:firstLineChars="0"/>
              <w:rPr>
                <w:rFonts w:ascii="Arial" w:hAnsi="Arial" w:cs="Arial"/>
                <w:bCs/>
                <w:snapToGrid w:val="0"/>
                <w:sz w:val="20"/>
              </w:rPr>
            </w:pPr>
          </w:p>
        </w:tc>
        <w:tc>
          <w:tcPr>
            <w:tcW w:w="1296" w:type="dxa"/>
            <w:vMerge w:val="restart"/>
            <w:noWrap w:val="0"/>
            <w:vAlign w:val="center"/>
          </w:tcPr>
          <w:p>
            <w:pPr>
              <w:pStyle w:val="67"/>
              <w:ind w:firstLine="0" w:firstLineChars="0"/>
              <w:jc w:val="center"/>
              <w:rPr>
                <w:rFonts w:ascii="Arial" w:hAnsi="Arial" w:cs="Arial"/>
                <w:bCs/>
                <w:snapToGrid w:val="0"/>
                <w:sz w:val="20"/>
              </w:rPr>
            </w:pPr>
            <w:r>
              <w:rPr>
                <w:rFonts w:hint="eastAsia" w:ascii="Arial" w:hAnsi="Arial" w:cs="Arial"/>
                <w:bCs/>
                <w:snapToGrid w:val="0"/>
                <w:sz w:val="20"/>
              </w:rPr>
              <w:t>资金到位可行性</w:t>
            </w:r>
          </w:p>
        </w:tc>
        <w:tc>
          <w:tcPr>
            <w:tcW w:w="5276" w:type="dxa"/>
            <w:noWrap w:val="0"/>
            <w:vAlign w:val="center"/>
          </w:tcPr>
          <w:p>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①资金是否已办理完成相关手续；</w:t>
            </w:r>
          </w:p>
        </w:tc>
        <w:tc>
          <w:tcPr>
            <w:tcW w:w="377" w:type="dxa"/>
            <w:noWrap w:val="0"/>
            <w:vAlign w:val="center"/>
          </w:tcPr>
          <w:p>
            <w:pPr>
              <w:pStyle w:val="67"/>
              <w:ind w:firstLine="0" w:firstLineChars="0"/>
              <w:jc w:val="center"/>
              <w:rPr>
                <w:rFonts w:hint="eastAsia" w:ascii="Arial" w:hAnsi="Arial" w:cs="Arial"/>
                <w:bCs/>
                <w:snapToGrid w:val="0"/>
                <w:sz w:val="20"/>
                <w:lang w:eastAsia="zh-CN"/>
              </w:rPr>
            </w:pPr>
            <w:r>
              <w:rPr>
                <w:rFonts w:hint="eastAsia" w:ascii="Arial" w:hAnsi="Arial" w:cs="Arial"/>
                <w:bCs/>
                <w:snapToGrid w:val="0"/>
                <w:sz w:val="20"/>
                <w:lang w:eastAsia="zh-CN"/>
              </w:rPr>
              <w:t>3</w:t>
            </w:r>
          </w:p>
        </w:tc>
        <w:tc>
          <w:tcPr>
            <w:tcW w:w="541" w:type="dxa"/>
            <w:vMerge w:val="continue"/>
            <w:tcBorders>
              <w:top w:val="nil"/>
            </w:tcBorders>
            <w:noWrap w:val="0"/>
            <w:vAlign w:val="center"/>
          </w:tcPr>
          <w:p>
            <w:pPr>
              <w:pStyle w:val="67"/>
              <w:ind w:firstLine="0" w:firstLineChars="0"/>
              <w:jc w:val="center"/>
              <w:rPr>
                <w:rFonts w:ascii="Arial" w:hAnsi="Arial" w:cs="Arial"/>
                <w:bCs/>
                <w:snapToGrid w:val="0"/>
                <w:sz w:val="20"/>
              </w:rPr>
            </w:pPr>
          </w:p>
        </w:tc>
        <w:tc>
          <w:tcPr>
            <w:tcW w:w="496" w:type="dxa"/>
            <w:noWrap w:val="0"/>
            <w:vAlign w:val="center"/>
          </w:tcPr>
          <w:p>
            <w:pPr>
              <w:pStyle w:val="67"/>
              <w:ind w:firstLine="0" w:firstLineChars="0"/>
              <w:jc w:val="center"/>
              <w:rPr>
                <w:rFonts w:hint="eastAsia" w:ascii="Arial" w:hAnsi="Arial" w:cs="Arial"/>
                <w:bCs/>
                <w:snapToGrid w:val="0"/>
                <w:sz w:val="20"/>
                <w:lang w:eastAsia="zh-CN"/>
              </w:rPr>
            </w:pPr>
            <w:r>
              <w:rPr>
                <w:rFonts w:hint="eastAsia" w:ascii="Arial" w:hAnsi="Arial" w:cs="Arial"/>
                <w:bCs/>
                <w:snapToGrid w:val="0"/>
                <w:sz w:val="20"/>
                <w:lang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877" w:type="dxa"/>
            <w:vMerge w:val="continue"/>
            <w:tcBorders>
              <w:top w:val="nil"/>
            </w:tcBorders>
            <w:noWrap w:val="0"/>
            <w:vAlign w:val="center"/>
          </w:tcPr>
          <w:p>
            <w:pPr>
              <w:pStyle w:val="67"/>
              <w:ind w:firstLine="0" w:firstLineChars="0"/>
              <w:rPr>
                <w:rFonts w:ascii="Arial" w:hAnsi="Arial" w:cs="Arial"/>
                <w:bCs/>
                <w:snapToGrid w:val="0"/>
                <w:sz w:val="20"/>
              </w:rPr>
            </w:pPr>
          </w:p>
        </w:tc>
        <w:tc>
          <w:tcPr>
            <w:tcW w:w="1296" w:type="dxa"/>
            <w:vMerge w:val="continue"/>
            <w:tcBorders>
              <w:top w:val="nil"/>
            </w:tcBorders>
            <w:noWrap w:val="0"/>
            <w:vAlign w:val="center"/>
          </w:tcPr>
          <w:p>
            <w:pPr>
              <w:pStyle w:val="67"/>
              <w:ind w:firstLine="0" w:firstLineChars="0"/>
              <w:jc w:val="center"/>
              <w:rPr>
                <w:rFonts w:ascii="Arial" w:hAnsi="Arial" w:cs="Arial"/>
                <w:bCs/>
                <w:snapToGrid w:val="0"/>
                <w:sz w:val="20"/>
              </w:rPr>
            </w:pPr>
          </w:p>
        </w:tc>
        <w:tc>
          <w:tcPr>
            <w:tcW w:w="5276" w:type="dxa"/>
            <w:noWrap w:val="0"/>
            <w:vAlign w:val="center"/>
          </w:tcPr>
          <w:p>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②是否有明确的到位时间；</w:t>
            </w:r>
          </w:p>
        </w:tc>
        <w:tc>
          <w:tcPr>
            <w:tcW w:w="377" w:type="dxa"/>
            <w:noWrap w:val="0"/>
            <w:vAlign w:val="center"/>
          </w:tcPr>
          <w:p>
            <w:pPr>
              <w:pStyle w:val="67"/>
              <w:ind w:firstLine="0" w:firstLineChars="0"/>
              <w:jc w:val="center"/>
              <w:rPr>
                <w:rFonts w:hint="eastAsia" w:ascii="Arial" w:hAnsi="Arial" w:cs="Arial"/>
                <w:bCs/>
                <w:snapToGrid w:val="0"/>
                <w:sz w:val="20"/>
                <w:lang w:eastAsia="zh-CN"/>
              </w:rPr>
            </w:pPr>
            <w:r>
              <w:rPr>
                <w:rFonts w:hint="eastAsia" w:ascii="Arial" w:hAnsi="Arial" w:cs="Arial"/>
                <w:bCs/>
                <w:snapToGrid w:val="0"/>
                <w:sz w:val="20"/>
                <w:lang w:eastAsia="zh-CN"/>
              </w:rPr>
              <w:t>3</w:t>
            </w:r>
          </w:p>
        </w:tc>
        <w:tc>
          <w:tcPr>
            <w:tcW w:w="541" w:type="dxa"/>
            <w:vMerge w:val="continue"/>
            <w:tcBorders>
              <w:top w:val="nil"/>
            </w:tcBorders>
            <w:noWrap w:val="0"/>
            <w:vAlign w:val="center"/>
          </w:tcPr>
          <w:p>
            <w:pPr>
              <w:pStyle w:val="67"/>
              <w:ind w:firstLine="0" w:firstLineChars="0"/>
              <w:jc w:val="center"/>
              <w:rPr>
                <w:rFonts w:ascii="Arial" w:hAnsi="Arial" w:cs="Arial"/>
                <w:bCs/>
                <w:snapToGrid w:val="0"/>
                <w:sz w:val="20"/>
              </w:rPr>
            </w:pPr>
          </w:p>
        </w:tc>
        <w:tc>
          <w:tcPr>
            <w:tcW w:w="496" w:type="dxa"/>
            <w:noWrap w:val="0"/>
            <w:vAlign w:val="center"/>
          </w:tcPr>
          <w:p>
            <w:pPr>
              <w:pStyle w:val="67"/>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877" w:type="dxa"/>
            <w:vMerge w:val="continue"/>
            <w:tcBorders>
              <w:top w:val="nil"/>
            </w:tcBorders>
            <w:noWrap w:val="0"/>
            <w:vAlign w:val="center"/>
          </w:tcPr>
          <w:p>
            <w:pPr>
              <w:pStyle w:val="67"/>
              <w:ind w:firstLine="0" w:firstLineChars="0"/>
              <w:rPr>
                <w:rFonts w:ascii="Arial" w:hAnsi="Arial" w:cs="Arial"/>
                <w:bCs/>
                <w:snapToGrid w:val="0"/>
                <w:sz w:val="20"/>
              </w:rPr>
            </w:pPr>
          </w:p>
        </w:tc>
        <w:tc>
          <w:tcPr>
            <w:tcW w:w="1296" w:type="dxa"/>
            <w:vMerge w:val="continue"/>
            <w:tcBorders>
              <w:top w:val="nil"/>
            </w:tcBorders>
            <w:noWrap w:val="0"/>
            <w:vAlign w:val="center"/>
          </w:tcPr>
          <w:p>
            <w:pPr>
              <w:pStyle w:val="67"/>
              <w:ind w:firstLine="0" w:firstLineChars="0"/>
              <w:jc w:val="center"/>
              <w:rPr>
                <w:rFonts w:ascii="Arial" w:hAnsi="Arial" w:cs="Arial"/>
                <w:bCs/>
                <w:snapToGrid w:val="0"/>
                <w:sz w:val="20"/>
              </w:rPr>
            </w:pPr>
          </w:p>
        </w:tc>
        <w:tc>
          <w:tcPr>
            <w:tcW w:w="5276" w:type="dxa"/>
            <w:noWrap w:val="0"/>
            <w:vAlign w:val="center"/>
          </w:tcPr>
          <w:p>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③项目是否已具备资金拨付相关条件。</w:t>
            </w:r>
          </w:p>
        </w:tc>
        <w:tc>
          <w:tcPr>
            <w:tcW w:w="377" w:type="dxa"/>
            <w:noWrap w:val="0"/>
            <w:vAlign w:val="center"/>
          </w:tcPr>
          <w:p>
            <w:pPr>
              <w:pStyle w:val="67"/>
              <w:ind w:firstLine="0" w:firstLineChars="0"/>
              <w:jc w:val="center"/>
              <w:rPr>
                <w:rFonts w:ascii="Arial" w:hAnsi="Arial" w:cs="Arial"/>
                <w:bCs/>
                <w:snapToGrid w:val="0"/>
                <w:sz w:val="20"/>
              </w:rPr>
            </w:pPr>
            <w:r>
              <w:rPr>
                <w:rFonts w:hint="eastAsia" w:ascii="Arial" w:hAnsi="Arial" w:cs="Arial"/>
                <w:bCs/>
                <w:snapToGrid w:val="0"/>
                <w:sz w:val="20"/>
              </w:rPr>
              <w:t>3</w:t>
            </w:r>
          </w:p>
        </w:tc>
        <w:tc>
          <w:tcPr>
            <w:tcW w:w="541" w:type="dxa"/>
            <w:vMerge w:val="continue"/>
            <w:tcBorders>
              <w:top w:val="nil"/>
            </w:tcBorders>
            <w:noWrap w:val="0"/>
            <w:vAlign w:val="center"/>
          </w:tcPr>
          <w:p>
            <w:pPr>
              <w:pStyle w:val="67"/>
              <w:ind w:firstLine="0" w:firstLineChars="0"/>
              <w:jc w:val="center"/>
              <w:rPr>
                <w:rFonts w:ascii="Arial" w:hAnsi="Arial" w:cs="Arial"/>
                <w:bCs/>
                <w:snapToGrid w:val="0"/>
                <w:sz w:val="20"/>
              </w:rPr>
            </w:pPr>
          </w:p>
        </w:tc>
        <w:tc>
          <w:tcPr>
            <w:tcW w:w="496" w:type="dxa"/>
            <w:noWrap w:val="0"/>
            <w:vAlign w:val="center"/>
          </w:tcPr>
          <w:p>
            <w:pPr>
              <w:pStyle w:val="67"/>
              <w:ind w:firstLine="0" w:firstLineChars="0"/>
              <w:jc w:val="center"/>
              <w:rPr>
                <w:rFonts w:ascii="Arial" w:hAnsi="Arial" w:cs="Arial"/>
                <w:bCs/>
                <w:snapToGrid w:val="0"/>
                <w:sz w:val="20"/>
              </w:rPr>
            </w:pPr>
            <w:r>
              <w:rPr>
                <w:rFonts w:hint="eastAsia" w:ascii="Arial" w:hAnsi="Arial" w:cs="Arial"/>
                <w:bCs/>
                <w:snapToGrid w:val="0"/>
                <w:sz w:val="20"/>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877" w:type="dxa"/>
            <w:vMerge w:val="restart"/>
            <w:noWrap w:val="0"/>
            <w:vAlign w:val="center"/>
          </w:tcPr>
          <w:p>
            <w:pPr>
              <w:pStyle w:val="67"/>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资金使用计划合理性、资金到位及时性</w:t>
            </w:r>
          </w:p>
        </w:tc>
        <w:tc>
          <w:tcPr>
            <w:tcW w:w="1296" w:type="dxa"/>
            <w:vMerge w:val="restart"/>
            <w:noWrap w:val="0"/>
            <w:vAlign w:val="center"/>
          </w:tcPr>
          <w:p>
            <w:pPr>
              <w:pStyle w:val="67"/>
              <w:ind w:firstLine="0" w:firstLineChars="0"/>
              <w:jc w:val="center"/>
              <w:rPr>
                <w:rFonts w:ascii="Arial" w:hAnsi="Arial" w:cs="Arial"/>
                <w:bCs/>
                <w:snapToGrid w:val="0"/>
                <w:sz w:val="20"/>
              </w:rPr>
            </w:pPr>
            <w:r>
              <w:rPr>
                <w:rFonts w:hint="eastAsia" w:ascii="Arial" w:hAnsi="Arial" w:cs="Arial"/>
                <w:bCs/>
                <w:snapToGrid w:val="0"/>
                <w:sz w:val="20"/>
              </w:rPr>
              <w:t>资金使用计划合理性</w:t>
            </w:r>
          </w:p>
        </w:tc>
        <w:tc>
          <w:tcPr>
            <w:tcW w:w="5276" w:type="dxa"/>
            <w:noWrap w:val="0"/>
            <w:vAlign w:val="center"/>
          </w:tcPr>
          <w:p>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①资金使用计划是否经相关单位确认；</w:t>
            </w:r>
          </w:p>
        </w:tc>
        <w:tc>
          <w:tcPr>
            <w:tcW w:w="377" w:type="dxa"/>
            <w:noWrap w:val="0"/>
            <w:vAlign w:val="center"/>
          </w:tcPr>
          <w:p>
            <w:pPr>
              <w:pStyle w:val="67"/>
              <w:ind w:firstLine="0" w:firstLineChars="0"/>
              <w:jc w:val="center"/>
              <w:rPr>
                <w:rFonts w:hint="eastAsia" w:ascii="Arial" w:hAnsi="Arial" w:eastAsia="仿宋_GB2312" w:cs="Arial"/>
                <w:bCs/>
                <w:snapToGrid w:val="0"/>
                <w:sz w:val="20"/>
                <w:lang w:eastAsia="zh-CN"/>
              </w:rPr>
            </w:pPr>
            <w:r>
              <w:rPr>
                <w:rFonts w:hint="eastAsia" w:ascii="Arial" w:hAnsi="Arial" w:cs="Arial"/>
                <w:bCs/>
                <w:snapToGrid w:val="0"/>
                <w:sz w:val="20"/>
                <w:lang w:val="en-US" w:eastAsia="zh-CN"/>
              </w:rPr>
              <w:t>3</w:t>
            </w:r>
          </w:p>
        </w:tc>
        <w:tc>
          <w:tcPr>
            <w:tcW w:w="541" w:type="dxa"/>
            <w:vMerge w:val="restart"/>
            <w:noWrap w:val="0"/>
            <w:vAlign w:val="center"/>
          </w:tcPr>
          <w:p>
            <w:pPr>
              <w:pStyle w:val="67"/>
              <w:ind w:firstLine="0" w:firstLineChars="0"/>
              <w:jc w:val="center"/>
              <w:rPr>
                <w:rFonts w:hint="eastAsia" w:ascii="Arial" w:hAnsi="Arial" w:eastAsia="仿宋_GB2312" w:cs="Arial"/>
                <w:bCs/>
                <w:snapToGrid w:val="0"/>
                <w:sz w:val="20"/>
                <w:lang w:val="en-US" w:eastAsia="zh-CN"/>
              </w:rPr>
            </w:pPr>
            <w:r>
              <w:rPr>
                <w:rFonts w:hint="eastAsia" w:ascii="Arial" w:hAnsi="Arial" w:cs="Arial"/>
                <w:bCs/>
                <w:snapToGrid w:val="0"/>
                <w:sz w:val="20"/>
              </w:rPr>
              <w:t>1</w:t>
            </w:r>
            <w:r>
              <w:rPr>
                <w:rFonts w:hint="eastAsia" w:ascii="Arial" w:hAnsi="Arial" w:cs="Arial"/>
                <w:bCs/>
                <w:snapToGrid w:val="0"/>
                <w:sz w:val="20"/>
                <w:lang w:val="en-US" w:eastAsia="zh-CN"/>
              </w:rPr>
              <w:t>5</w:t>
            </w:r>
          </w:p>
        </w:tc>
        <w:tc>
          <w:tcPr>
            <w:tcW w:w="496" w:type="dxa"/>
            <w:noWrap w:val="0"/>
            <w:vAlign w:val="center"/>
          </w:tcPr>
          <w:p>
            <w:pPr>
              <w:pStyle w:val="67"/>
              <w:ind w:firstLine="0" w:firstLineChars="0"/>
              <w:jc w:val="center"/>
              <w:rPr>
                <w:rFonts w:ascii="Arial" w:hAnsi="Arial" w:cs="Arial"/>
                <w:bCs/>
                <w:snapToGrid w:val="0"/>
                <w:sz w:val="20"/>
              </w:rPr>
            </w:pPr>
            <w:r>
              <w:rPr>
                <w:rFonts w:hint="eastAsia" w:ascii="Arial" w:hAnsi="Arial" w:cs="Arial"/>
                <w:bCs/>
                <w:snapToGrid w:val="0"/>
                <w:sz w:val="20"/>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877" w:type="dxa"/>
            <w:vMerge w:val="continue"/>
            <w:tcBorders>
              <w:top w:val="nil"/>
            </w:tcBorders>
            <w:noWrap w:val="0"/>
            <w:vAlign w:val="center"/>
          </w:tcPr>
          <w:p>
            <w:pPr>
              <w:pStyle w:val="67"/>
              <w:ind w:firstLine="0" w:firstLineChars="0"/>
              <w:jc w:val="center"/>
              <w:rPr>
                <w:rFonts w:ascii="Arial" w:hAnsi="Arial" w:cs="Arial"/>
                <w:bCs/>
                <w:snapToGrid w:val="0"/>
                <w:sz w:val="20"/>
              </w:rPr>
            </w:pPr>
          </w:p>
        </w:tc>
        <w:tc>
          <w:tcPr>
            <w:tcW w:w="1296" w:type="dxa"/>
            <w:vMerge w:val="continue"/>
            <w:tcBorders>
              <w:top w:val="nil"/>
            </w:tcBorders>
            <w:noWrap w:val="0"/>
            <w:vAlign w:val="center"/>
          </w:tcPr>
          <w:p>
            <w:pPr>
              <w:pStyle w:val="67"/>
              <w:ind w:firstLine="0" w:firstLineChars="0"/>
              <w:jc w:val="center"/>
              <w:rPr>
                <w:rFonts w:ascii="Arial" w:hAnsi="Arial" w:cs="Arial"/>
                <w:bCs/>
                <w:snapToGrid w:val="0"/>
                <w:sz w:val="20"/>
              </w:rPr>
            </w:pPr>
          </w:p>
        </w:tc>
        <w:tc>
          <w:tcPr>
            <w:tcW w:w="5276" w:type="dxa"/>
            <w:noWrap w:val="0"/>
            <w:vAlign w:val="center"/>
          </w:tcPr>
          <w:p>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②资金使用</w:t>
            </w:r>
            <w:r>
              <w:rPr>
                <w:rFonts w:hint="eastAsia" w:ascii="Arial" w:hAnsi="Arial" w:cs="Arial"/>
                <w:bCs/>
                <w:snapToGrid w:val="0"/>
                <w:sz w:val="20"/>
                <w:lang w:val="en-US" w:eastAsia="zh-CN"/>
              </w:rPr>
              <w:t>计划的测算依据是否合理</w:t>
            </w:r>
            <w:r>
              <w:rPr>
                <w:rFonts w:hint="eastAsia" w:ascii="Arial" w:hAnsi="Arial" w:cs="Arial"/>
                <w:bCs/>
                <w:snapToGrid w:val="0"/>
                <w:sz w:val="20"/>
                <w:lang w:eastAsia="zh-CN"/>
              </w:rPr>
              <w:t>。</w:t>
            </w:r>
          </w:p>
        </w:tc>
        <w:tc>
          <w:tcPr>
            <w:tcW w:w="377" w:type="dxa"/>
            <w:noWrap w:val="0"/>
            <w:vAlign w:val="center"/>
          </w:tcPr>
          <w:p>
            <w:pPr>
              <w:pStyle w:val="67"/>
              <w:ind w:firstLine="0" w:firstLineChars="0"/>
              <w:jc w:val="center"/>
              <w:rPr>
                <w:rFonts w:ascii="Arial" w:hAnsi="Arial" w:cs="Arial"/>
                <w:bCs/>
                <w:snapToGrid w:val="0"/>
                <w:sz w:val="20"/>
              </w:rPr>
            </w:pPr>
            <w:r>
              <w:rPr>
                <w:rFonts w:hint="eastAsia" w:ascii="Arial" w:hAnsi="Arial" w:cs="Arial"/>
                <w:bCs/>
                <w:snapToGrid w:val="0"/>
                <w:sz w:val="20"/>
                <w:lang w:val="en-US" w:eastAsia="zh-CN"/>
              </w:rPr>
              <w:t>2</w:t>
            </w:r>
          </w:p>
        </w:tc>
        <w:tc>
          <w:tcPr>
            <w:tcW w:w="541" w:type="dxa"/>
            <w:vMerge w:val="continue"/>
            <w:tcBorders>
              <w:top w:val="nil"/>
            </w:tcBorders>
            <w:noWrap w:val="0"/>
            <w:vAlign w:val="center"/>
          </w:tcPr>
          <w:p>
            <w:pPr>
              <w:pStyle w:val="67"/>
              <w:ind w:firstLine="0" w:firstLineChars="0"/>
              <w:jc w:val="center"/>
              <w:rPr>
                <w:rFonts w:ascii="Arial" w:hAnsi="Arial" w:cs="Arial"/>
                <w:bCs/>
                <w:snapToGrid w:val="0"/>
                <w:sz w:val="20"/>
              </w:rPr>
            </w:pPr>
          </w:p>
        </w:tc>
        <w:tc>
          <w:tcPr>
            <w:tcW w:w="496" w:type="dxa"/>
            <w:noWrap w:val="0"/>
            <w:vAlign w:val="center"/>
          </w:tcPr>
          <w:p>
            <w:pPr>
              <w:pStyle w:val="67"/>
              <w:ind w:firstLine="0" w:firstLineChars="0"/>
              <w:jc w:val="center"/>
              <w:rPr>
                <w:rFonts w:hint="default" w:ascii="Arial" w:hAnsi="Arial" w:eastAsia="仿宋_GB2312" w:cs="Arial"/>
                <w:bCs/>
                <w:snapToGrid w:val="0"/>
                <w:sz w:val="20"/>
                <w:lang w:val="en-US" w:eastAsia="zh-CN"/>
              </w:rPr>
            </w:pPr>
            <w:r>
              <w:rPr>
                <w:rFonts w:hint="eastAsia" w:ascii="Arial" w:hAnsi="Arial" w:cs="Arial"/>
                <w:bCs/>
                <w:snapToGrid w:val="0"/>
                <w:sz w:val="20"/>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877" w:type="dxa"/>
            <w:vMerge w:val="continue"/>
            <w:tcBorders>
              <w:top w:val="nil"/>
            </w:tcBorders>
            <w:noWrap w:val="0"/>
            <w:vAlign w:val="center"/>
          </w:tcPr>
          <w:p>
            <w:pPr>
              <w:pStyle w:val="67"/>
              <w:ind w:firstLine="0" w:firstLineChars="0"/>
              <w:jc w:val="center"/>
              <w:rPr>
                <w:rFonts w:ascii="Arial" w:hAnsi="Arial" w:cs="Arial"/>
                <w:bCs/>
                <w:snapToGrid w:val="0"/>
                <w:sz w:val="20"/>
              </w:rPr>
            </w:pPr>
          </w:p>
        </w:tc>
        <w:tc>
          <w:tcPr>
            <w:tcW w:w="1296" w:type="dxa"/>
            <w:noWrap w:val="0"/>
            <w:vAlign w:val="center"/>
          </w:tcPr>
          <w:p>
            <w:pPr>
              <w:pStyle w:val="67"/>
              <w:ind w:firstLine="0" w:firstLineChars="0"/>
              <w:jc w:val="center"/>
              <w:rPr>
                <w:rFonts w:hint="eastAsia" w:ascii="Arial" w:hAnsi="Arial" w:cs="Arial"/>
                <w:bCs/>
                <w:snapToGrid w:val="0"/>
                <w:sz w:val="20"/>
              </w:rPr>
            </w:pPr>
            <w:r>
              <w:rPr>
                <w:rFonts w:hint="eastAsia" w:ascii="Arial" w:hAnsi="Arial" w:cs="Arial"/>
                <w:bCs/>
                <w:snapToGrid w:val="0"/>
                <w:sz w:val="20"/>
                <w:lang w:val="en-US" w:eastAsia="zh-CN"/>
              </w:rPr>
              <w:t>资金支付合理性</w:t>
            </w:r>
          </w:p>
        </w:tc>
        <w:tc>
          <w:tcPr>
            <w:tcW w:w="5276" w:type="dxa"/>
            <w:noWrap w:val="0"/>
            <w:vAlign w:val="center"/>
          </w:tcPr>
          <w:p>
            <w:pPr>
              <w:pStyle w:val="67"/>
              <w:ind w:firstLine="0" w:firstLineChars="0"/>
              <w:rPr>
                <w:rFonts w:hint="default" w:ascii="Arial" w:hAnsi="Arial" w:eastAsia="仿宋_GB2312" w:cs="Arial"/>
                <w:bCs/>
                <w:snapToGrid w:val="0"/>
                <w:sz w:val="20"/>
                <w:lang w:val="en-US" w:eastAsia="zh-CN"/>
              </w:rPr>
            </w:pPr>
            <w:r>
              <w:rPr>
                <w:rFonts w:hint="eastAsia" w:ascii="Arial" w:hAnsi="Arial" w:cs="Arial"/>
                <w:bCs/>
                <w:snapToGrid w:val="0"/>
                <w:sz w:val="20"/>
              </w:rPr>
              <w:t>①</w:t>
            </w:r>
            <w:r>
              <w:rPr>
                <w:rFonts w:hint="eastAsia" w:ascii="Arial" w:hAnsi="Arial" w:cs="Arial"/>
                <w:bCs/>
                <w:snapToGrid w:val="0"/>
                <w:sz w:val="20"/>
                <w:lang w:val="en-US" w:eastAsia="zh-CN"/>
              </w:rPr>
              <w:t>历年资金支付中是否存在支付不合理的情况。</w:t>
            </w:r>
          </w:p>
        </w:tc>
        <w:tc>
          <w:tcPr>
            <w:tcW w:w="377" w:type="dxa"/>
            <w:noWrap w:val="0"/>
            <w:vAlign w:val="center"/>
          </w:tcPr>
          <w:p>
            <w:pPr>
              <w:pStyle w:val="67"/>
              <w:ind w:firstLine="0" w:firstLineChars="0"/>
              <w:jc w:val="center"/>
              <w:rPr>
                <w:rFonts w:hint="default" w:ascii="Arial" w:hAnsi="Arial" w:cs="Arial"/>
                <w:bCs/>
                <w:snapToGrid w:val="0"/>
                <w:sz w:val="20"/>
                <w:lang w:val="en-US" w:eastAsia="zh-CN"/>
              </w:rPr>
            </w:pPr>
            <w:r>
              <w:rPr>
                <w:rFonts w:hint="eastAsia" w:ascii="Arial" w:hAnsi="Arial" w:cs="Arial"/>
                <w:bCs/>
                <w:snapToGrid w:val="0"/>
                <w:sz w:val="20"/>
                <w:lang w:val="en-US" w:eastAsia="zh-CN"/>
              </w:rPr>
              <w:t>5</w:t>
            </w:r>
          </w:p>
        </w:tc>
        <w:tc>
          <w:tcPr>
            <w:tcW w:w="541" w:type="dxa"/>
            <w:vMerge w:val="continue"/>
            <w:tcBorders>
              <w:top w:val="nil"/>
            </w:tcBorders>
            <w:noWrap w:val="0"/>
            <w:vAlign w:val="center"/>
          </w:tcPr>
          <w:p>
            <w:pPr>
              <w:pStyle w:val="67"/>
              <w:ind w:firstLine="0" w:firstLineChars="0"/>
              <w:jc w:val="center"/>
              <w:rPr>
                <w:rFonts w:ascii="Arial" w:hAnsi="Arial" w:cs="Arial"/>
                <w:bCs/>
                <w:snapToGrid w:val="0"/>
                <w:sz w:val="20"/>
              </w:rPr>
            </w:pPr>
          </w:p>
        </w:tc>
        <w:tc>
          <w:tcPr>
            <w:tcW w:w="496" w:type="dxa"/>
            <w:noWrap w:val="0"/>
            <w:vAlign w:val="center"/>
          </w:tcPr>
          <w:p>
            <w:pPr>
              <w:pStyle w:val="67"/>
              <w:ind w:firstLine="0" w:firstLineChars="0"/>
              <w:jc w:val="center"/>
              <w:rPr>
                <w:rFonts w:hint="default" w:ascii="Arial" w:hAnsi="Arial" w:cs="Arial"/>
                <w:bCs/>
                <w:snapToGrid w:val="0"/>
                <w:sz w:val="20"/>
                <w:lang w:val="en-US" w:eastAsia="zh-CN"/>
              </w:rPr>
            </w:pPr>
            <w:r>
              <w:rPr>
                <w:rFonts w:hint="eastAsia" w:ascii="Arial" w:hAnsi="Arial" w:cs="Arial"/>
                <w:bCs/>
                <w:snapToGrid w:val="0"/>
                <w:sz w:val="20"/>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877" w:type="dxa"/>
            <w:vMerge w:val="continue"/>
            <w:tcBorders>
              <w:top w:val="nil"/>
            </w:tcBorders>
            <w:noWrap w:val="0"/>
            <w:vAlign w:val="center"/>
          </w:tcPr>
          <w:p>
            <w:pPr>
              <w:pStyle w:val="67"/>
              <w:ind w:firstLine="0" w:firstLineChars="0"/>
              <w:jc w:val="center"/>
              <w:rPr>
                <w:rFonts w:ascii="Arial" w:hAnsi="Arial" w:cs="Arial"/>
                <w:bCs/>
                <w:snapToGrid w:val="0"/>
                <w:sz w:val="20"/>
              </w:rPr>
            </w:pPr>
          </w:p>
        </w:tc>
        <w:tc>
          <w:tcPr>
            <w:tcW w:w="1296" w:type="dxa"/>
            <w:vMerge w:val="restart"/>
            <w:noWrap w:val="0"/>
            <w:vAlign w:val="center"/>
          </w:tcPr>
          <w:p>
            <w:pPr>
              <w:pStyle w:val="67"/>
              <w:ind w:firstLine="0" w:firstLineChars="0"/>
              <w:jc w:val="center"/>
              <w:rPr>
                <w:rFonts w:ascii="Arial" w:hAnsi="Arial" w:cs="Arial"/>
                <w:bCs/>
                <w:snapToGrid w:val="0"/>
                <w:sz w:val="20"/>
              </w:rPr>
            </w:pPr>
            <w:r>
              <w:rPr>
                <w:rFonts w:hint="eastAsia" w:ascii="Arial" w:hAnsi="Arial" w:cs="Arial"/>
                <w:bCs/>
                <w:snapToGrid w:val="0"/>
                <w:sz w:val="20"/>
              </w:rPr>
              <w:t>资金到位及时性</w:t>
            </w:r>
          </w:p>
        </w:tc>
        <w:tc>
          <w:tcPr>
            <w:tcW w:w="5276" w:type="dxa"/>
            <w:noWrap w:val="0"/>
            <w:vAlign w:val="center"/>
          </w:tcPr>
          <w:p>
            <w:pPr>
              <w:pStyle w:val="67"/>
              <w:ind w:firstLine="0" w:firstLineChars="0"/>
              <w:rPr>
                <w:rFonts w:ascii="Arial" w:hAnsi="Arial" w:cs="Arial"/>
                <w:bCs/>
                <w:snapToGrid w:val="0"/>
                <w:sz w:val="20"/>
              </w:rPr>
            </w:pPr>
            <w:r>
              <w:rPr>
                <w:rFonts w:hint="eastAsia" w:ascii="Arial" w:hAnsi="Arial" w:cs="Arial"/>
                <w:bCs/>
                <w:snapToGrid w:val="0"/>
                <w:sz w:val="20"/>
              </w:rPr>
              <w:t>①</w:t>
            </w:r>
            <w:r>
              <w:rPr>
                <w:rFonts w:hint="eastAsia" w:ascii="Arial" w:hAnsi="Arial" w:cs="Arial"/>
                <w:bCs/>
                <w:snapToGrid w:val="0"/>
                <w:sz w:val="20"/>
                <w:lang w:eastAsia="zh-CN"/>
              </w:rPr>
              <w:t>资金是否到位；</w:t>
            </w:r>
          </w:p>
        </w:tc>
        <w:tc>
          <w:tcPr>
            <w:tcW w:w="377" w:type="dxa"/>
            <w:noWrap w:val="0"/>
            <w:vAlign w:val="center"/>
          </w:tcPr>
          <w:p>
            <w:pPr>
              <w:pStyle w:val="67"/>
              <w:ind w:firstLine="0" w:firstLineChars="0"/>
              <w:jc w:val="center"/>
              <w:rPr>
                <w:rFonts w:hint="eastAsia" w:ascii="Arial" w:hAnsi="Arial" w:cs="Arial"/>
                <w:bCs/>
                <w:snapToGrid w:val="0"/>
                <w:sz w:val="20"/>
                <w:lang w:eastAsia="zh-CN"/>
              </w:rPr>
            </w:pPr>
            <w:r>
              <w:rPr>
                <w:rFonts w:hint="eastAsia" w:ascii="Arial" w:hAnsi="Arial" w:cs="Arial"/>
                <w:bCs/>
                <w:snapToGrid w:val="0"/>
                <w:sz w:val="20"/>
                <w:lang w:eastAsia="zh-CN"/>
              </w:rPr>
              <w:t>3</w:t>
            </w:r>
          </w:p>
        </w:tc>
        <w:tc>
          <w:tcPr>
            <w:tcW w:w="541" w:type="dxa"/>
            <w:vMerge w:val="continue"/>
            <w:tcBorders>
              <w:top w:val="nil"/>
            </w:tcBorders>
            <w:noWrap w:val="0"/>
            <w:vAlign w:val="center"/>
          </w:tcPr>
          <w:p>
            <w:pPr>
              <w:pStyle w:val="67"/>
              <w:ind w:firstLine="0" w:firstLineChars="0"/>
              <w:jc w:val="center"/>
              <w:rPr>
                <w:rFonts w:ascii="Arial" w:hAnsi="Arial" w:cs="Arial"/>
                <w:bCs/>
                <w:snapToGrid w:val="0"/>
                <w:sz w:val="20"/>
              </w:rPr>
            </w:pPr>
          </w:p>
        </w:tc>
        <w:tc>
          <w:tcPr>
            <w:tcW w:w="496" w:type="dxa"/>
            <w:noWrap w:val="0"/>
            <w:vAlign w:val="center"/>
          </w:tcPr>
          <w:p>
            <w:pPr>
              <w:pStyle w:val="67"/>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877" w:type="dxa"/>
            <w:vMerge w:val="continue"/>
            <w:tcBorders>
              <w:top w:val="nil"/>
            </w:tcBorders>
            <w:noWrap w:val="0"/>
            <w:vAlign w:val="center"/>
          </w:tcPr>
          <w:p>
            <w:pPr>
              <w:pStyle w:val="67"/>
              <w:ind w:firstLine="0" w:firstLineChars="0"/>
              <w:rPr>
                <w:rFonts w:ascii="Arial" w:hAnsi="Arial" w:cs="Arial"/>
                <w:bCs/>
                <w:snapToGrid w:val="0"/>
                <w:sz w:val="20"/>
              </w:rPr>
            </w:pPr>
          </w:p>
        </w:tc>
        <w:tc>
          <w:tcPr>
            <w:tcW w:w="1296" w:type="dxa"/>
            <w:vMerge w:val="continue"/>
            <w:tcBorders>
              <w:top w:val="nil"/>
            </w:tcBorders>
            <w:noWrap w:val="0"/>
            <w:vAlign w:val="center"/>
          </w:tcPr>
          <w:p>
            <w:pPr>
              <w:pStyle w:val="67"/>
              <w:ind w:firstLine="0" w:firstLineChars="0"/>
              <w:jc w:val="center"/>
              <w:rPr>
                <w:rFonts w:ascii="Arial" w:hAnsi="Arial" w:cs="Arial"/>
                <w:bCs/>
                <w:snapToGrid w:val="0"/>
                <w:sz w:val="20"/>
              </w:rPr>
            </w:pPr>
          </w:p>
        </w:tc>
        <w:tc>
          <w:tcPr>
            <w:tcW w:w="5276" w:type="dxa"/>
            <w:noWrap w:val="0"/>
            <w:vAlign w:val="center"/>
          </w:tcPr>
          <w:p>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②资金到位的及时性。</w:t>
            </w:r>
          </w:p>
        </w:tc>
        <w:tc>
          <w:tcPr>
            <w:tcW w:w="377" w:type="dxa"/>
            <w:noWrap w:val="0"/>
            <w:vAlign w:val="center"/>
          </w:tcPr>
          <w:p>
            <w:pPr>
              <w:pStyle w:val="67"/>
              <w:ind w:firstLine="0" w:firstLineChars="0"/>
              <w:jc w:val="center"/>
              <w:rPr>
                <w:rFonts w:hint="eastAsia" w:ascii="Arial" w:hAnsi="Arial" w:cs="Arial"/>
                <w:bCs/>
                <w:snapToGrid w:val="0"/>
                <w:sz w:val="20"/>
                <w:lang w:eastAsia="zh-CN"/>
              </w:rPr>
            </w:pPr>
            <w:r>
              <w:rPr>
                <w:rFonts w:hint="eastAsia" w:ascii="Arial" w:hAnsi="Arial" w:cs="Arial"/>
                <w:bCs/>
                <w:snapToGrid w:val="0"/>
                <w:sz w:val="20"/>
                <w:lang w:val="en-US" w:eastAsia="zh-CN"/>
              </w:rPr>
              <w:t>2</w:t>
            </w:r>
          </w:p>
        </w:tc>
        <w:tc>
          <w:tcPr>
            <w:tcW w:w="541" w:type="dxa"/>
            <w:vMerge w:val="continue"/>
            <w:tcBorders>
              <w:top w:val="nil"/>
            </w:tcBorders>
            <w:noWrap w:val="0"/>
            <w:vAlign w:val="center"/>
          </w:tcPr>
          <w:p>
            <w:pPr>
              <w:pStyle w:val="67"/>
              <w:ind w:firstLine="0" w:firstLineChars="0"/>
              <w:jc w:val="center"/>
              <w:rPr>
                <w:rFonts w:ascii="Arial" w:hAnsi="Arial" w:cs="Arial"/>
                <w:bCs/>
                <w:snapToGrid w:val="0"/>
                <w:sz w:val="20"/>
              </w:rPr>
            </w:pPr>
          </w:p>
        </w:tc>
        <w:tc>
          <w:tcPr>
            <w:tcW w:w="496" w:type="dxa"/>
            <w:noWrap w:val="0"/>
            <w:vAlign w:val="center"/>
          </w:tcPr>
          <w:p>
            <w:pPr>
              <w:pStyle w:val="67"/>
              <w:ind w:firstLine="0" w:firstLineChars="0"/>
              <w:jc w:val="center"/>
              <w:rPr>
                <w:rFonts w:hint="default" w:ascii="Arial" w:hAnsi="Arial" w:cs="Arial"/>
                <w:bCs/>
                <w:snapToGrid w:val="0"/>
                <w:sz w:val="20"/>
                <w:lang w:val="en-US" w:eastAsia="zh-CN"/>
              </w:rPr>
            </w:pPr>
            <w:r>
              <w:rPr>
                <w:rFonts w:hint="eastAsia" w:ascii="Arial" w:hAnsi="Arial" w:cs="Arial"/>
                <w:bCs/>
                <w:snapToGrid w:val="0"/>
                <w:sz w:val="20"/>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877" w:type="dxa"/>
            <w:vMerge w:val="restart"/>
            <w:noWrap w:val="0"/>
            <w:vAlign w:val="center"/>
          </w:tcPr>
          <w:p>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项目绩效目标明确性、合理性</w:t>
            </w:r>
          </w:p>
        </w:tc>
        <w:tc>
          <w:tcPr>
            <w:tcW w:w="1296" w:type="dxa"/>
            <w:vMerge w:val="restart"/>
            <w:noWrap w:val="0"/>
            <w:vAlign w:val="center"/>
          </w:tcPr>
          <w:p>
            <w:pPr>
              <w:pStyle w:val="67"/>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目标明确性</w:t>
            </w:r>
          </w:p>
        </w:tc>
        <w:tc>
          <w:tcPr>
            <w:tcW w:w="5276" w:type="dxa"/>
            <w:noWrap w:val="0"/>
            <w:vAlign w:val="center"/>
          </w:tcPr>
          <w:p>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①绩效目</w:t>
            </w:r>
            <w:r>
              <w:rPr>
                <w:rFonts w:hint="eastAsia" w:ascii="Arial" w:hAnsi="Arial" w:cs="Arial"/>
                <w:bCs/>
                <w:snapToGrid w:val="0"/>
                <w:sz w:val="20"/>
                <w:lang w:val="en-US" w:eastAsia="zh-CN"/>
              </w:rPr>
              <w:t>标</w:t>
            </w:r>
            <w:r>
              <w:rPr>
                <w:rFonts w:hint="eastAsia" w:ascii="Arial" w:hAnsi="Arial" w:cs="Arial"/>
                <w:bCs/>
                <w:snapToGrid w:val="0"/>
                <w:sz w:val="20"/>
                <w:lang w:eastAsia="zh-CN"/>
              </w:rPr>
              <w:t>的设</w:t>
            </w:r>
            <w:r>
              <w:rPr>
                <w:rFonts w:hint="eastAsia" w:ascii="Arial" w:hAnsi="Arial" w:cs="Arial"/>
                <w:bCs/>
                <w:snapToGrid w:val="0"/>
                <w:sz w:val="20"/>
                <w:lang w:val="en-US" w:eastAsia="zh-CN"/>
              </w:rPr>
              <w:t>定</w:t>
            </w:r>
            <w:r>
              <w:rPr>
                <w:rFonts w:hint="eastAsia" w:ascii="Arial" w:hAnsi="Arial" w:cs="Arial"/>
                <w:bCs/>
                <w:snapToGrid w:val="0"/>
                <w:sz w:val="20"/>
                <w:lang w:eastAsia="zh-CN"/>
              </w:rPr>
              <w:t>是否符合相关规定；</w:t>
            </w:r>
          </w:p>
        </w:tc>
        <w:tc>
          <w:tcPr>
            <w:tcW w:w="377" w:type="dxa"/>
            <w:noWrap w:val="0"/>
            <w:vAlign w:val="center"/>
          </w:tcPr>
          <w:p>
            <w:pPr>
              <w:pStyle w:val="67"/>
              <w:ind w:firstLine="0" w:firstLineChars="0"/>
              <w:jc w:val="center"/>
              <w:rPr>
                <w:rFonts w:ascii="Arial" w:hAnsi="Arial" w:cs="Arial"/>
                <w:bCs/>
                <w:snapToGrid w:val="0"/>
                <w:sz w:val="20"/>
              </w:rPr>
            </w:pPr>
            <w:r>
              <w:rPr>
                <w:rFonts w:hint="eastAsia" w:ascii="Arial" w:hAnsi="Arial" w:cs="Arial"/>
                <w:bCs/>
                <w:snapToGrid w:val="0"/>
                <w:sz w:val="20"/>
              </w:rPr>
              <w:t>3</w:t>
            </w:r>
          </w:p>
        </w:tc>
        <w:tc>
          <w:tcPr>
            <w:tcW w:w="541" w:type="dxa"/>
            <w:vMerge w:val="restart"/>
            <w:noWrap w:val="0"/>
            <w:vAlign w:val="center"/>
          </w:tcPr>
          <w:p>
            <w:pPr>
              <w:pStyle w:val="67"/>
              <w:ind w:firstLine="0" w:firstLineChars="0"/>
              <w:jc w:val="center"/>
              <w:rPr>
                <w:rFonts w:hint="eastAsia" w:ascii="Arial" w:hAnsi="Arial" w:eastAsia="仿宋_GB2312" w:cs="Arial"/>
                <w:bCs/>
                <w:snapToGrid w:val="0"/>
                <w:sz w:val="20"/>
                <w:lang w:val="en-US" w:eastAsia="zh-CN"/>
              </w:rPr>
            </w:pPr>
            <w:r>
              <w:rPr>
                <w:rFonts w:hint="eastAsia" w:ascii="Arial" w:hAnsi="Arial" w:cs="Arial"/>
                <w:bCs/>
                <w:snapToGrid w:val="0"/>
                <w:sz w:val="20"/>
              </w:rPr>
              <w:t>1</w:t>
            </w:r>
            <w:r>
              <w:rPr>
                <w:rFonts w:hint="eastAsia" w:ascii="Arial" w:hAnsi="Arial" w:cs="Arial"/>
                <w:bCs/>
                <w:snapToGrid w:val="0"/>
                <w:sz w:val="20"/>
                <w:lang w:val="en-US" w:eastAsia="zh-CN"/>
              </w:rPr>
              <w:t>2</w:t>
            </w:r>
          </w:p>
        </w:tc>
        <w:tc>
          <w:tcPr>
            <w:tcW w:w="496" w:type="dxa"/>
            <w:noWrap w:val="0"/>
            <w:vAlign w:val="center"/>
          </w:tcPr>
          <w:p>
            <w:pPr>
              <w:pStyle w:val="67"/>
              <w:ind w:firstLine="0" w:firstLineChars="0"/>
              <w:jc w:val="center"/>
              <w:rPr>
                <w:rFonts w:ascii="Arial" w:hAnsi="Arial" w:cs="Arial"/>
                <w:bCs/>
                <w:snapToGrid w:val="0"/>
                <w:sz w:val="20"/>
              </w:rPr>
            </w:pPr>
            <w:r>
              <w:rPr>
                <w:rFonts w:hint="eastAsia" w:ascii="Arial" w:hAnsi="Arial" w:cs="Arial"/>
                <w:bCs/>
                <w:snapToGrid w:val="0"/>
                <w:sz w:val="20"/>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877" w:type="dxa"/>
            <w:vMerge w:val="continue"/>
            <w:noWrap w:val="0"/>
            <w:vAlign w:val="center"/>
          </w:tcPr>
          <w:p>
            <w:pPr>
              <w:pStyle w:val="67"/>
              <w:ind w:firstLine="0" w:firstLineChars="0"/>
              <w:rPr>
                <w:rFonts w:ascii="Arial" w:hAnsi="Arial" w:cs="Arial"/>
                <w:bCs/>
                <w:snapToGrid w:val="0"/>
                <w:sz w:val="20"/>
              </w:rPr>
            </w:pPr>
          </w:p>
        </w:tc>
        <w:tc>
          <w:tcPr>
            <w:tcW w:w="1296" w:type="dxa"/>
            <w:vMerge w:val="continue"/>
            <w:tcBorders>
              <w:top w:val="nil"/>
            </w:tcBorders>
            <w:noWrap w:val="0"/>
            <w:vAlign w:val="center"/>
          </w:tcPr>
          <w:p>
            <w:pPr>
              <w:pStyle w:val="67"/>
              <w:ind w:firstLine="0" w:firstLineChars="0"/>
              <w:jc w:val="center"/>
              <w:rPr>
                <w:rFonts w:ascii="Arial" w:hAnsi="Arial" w:cs="Arial"/>
                <w:bCs/>
                <w:snapToGrid w:val="0"/>
                <w:sz w:val="20"/>
              </w:rPr>
            </w:pPr>
          </w:p>
        </w:tc>
        <w:tc>
          <w:tcPr>
            <w:tcW w:w="5276" w:type="dxa"/>
            <w:noWrap w:val="0"/>
            <w:vAlign w:val="center"/>
          </w:tcPr>
          <w:p>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②绩效目标是否明确，是否与年度工作目标一致；</w:t>
            </w:r>
          </w:p>
        </w:tc>
        <w:tc>
          <w:tcPr>
            <w:tcW w:w="377" w:type="dxa"/>
            <w:noWrap w:val="0"/>
            <w:vAlign w:val="center"/>
          </w:tcPr>
          <w:p>
            <w:pPr>
              <w:pStyle w:val="67"/>
              <w:ind w:firstLine="0" w:firstLineChars="0"/>
              <w:jc w:val="center"/>
              <w:rPr>
                <w:rFonts w:hint="eastAsia" w:ascii="Arial" w:hAnsi="Arial" w:eastAsia="仿宋_GB2312" w:cs="Arial"/>
                <w:bCs/>
                <w:snapToGrid w:val="0"/>
                <w:sz w:val="20"/>
                <w:lang w:val="en-US" w:eastAsia="zh-CN"/>
              </w:rPr>
            </w:pPr>
            <w:r>
              <w:rPr>
                <w:rFonts w:hint="eastAsia" w:ascii="Arial" w:hAnsi="Arial" w:cs="Arial"/>
                <w:bCs/>
                <w:snapToGrid w:val="0"/>
                <w:sz w:val="20"/>
                <w:lang w:val="en-US" w:eastAsia="zh-CN"/>
              </w:rPr>
              <w:t>3</w:t>
            </w:r>
          </w:p>
        </w:tc>
        <w:tc>
          <w:tcPr>
            <w:tcW w:w="541" w:type="dxa"/>
            <w:vMerge w:val="continue"/>
            <w:tcBorders>
              <w:top w:val="nil"/>
            </w:tcBorders>
            <w:noWrap w:val="0"/>
            <w:vAlign w:val="center"/>
          </w:tcPr>
          <w:p>
            <w:pPr>
              <w:pStyle w:val="67"/>
              <w:ind w:firstLine="0" w:firstLineChars="0"/>
              <w:jc w:val="center"/>
              <w:rPr>
                <w:rFonts w:ascii="Arial" w:hAnsi="Arial" w:cs="Arial"/>
                <w:bCs/>
                <w:snapToGrid w:val="0"/>
                <w:sz w:val="20"/>
              </w:rPr>
            </w:pPr>
          </w:p>
        </w:tc>
        <w:tc>
          <w:tcPr>
            <w:tcW w:w="496" w:type="dxa"/>
            <w:noWrap w:val="0"/>
            <w:vAlign w:val="center"/>
          </w:tcPr>
          <w:p>
            <w:pPr>
              <w:pStyle w:val="67"/>
              <w:ind w:firstLine="0" w:firstLineChars="0"/>
              <w:jc w:val="center"/>
              <w:rPr>
                <w:rFonts w:hint="eastAsia" w:ascii="Arial" w:hAnsi="Arial" w:eastAsia="仿宋_GB2312" w:cs="Arial"/>
                <w:bCs/>
                <w:snapToGrid w:val="0"/>
                <w:sz w:val="20"/>
                <w:lang w:eastAsia="zh-CN"/>
              </w:rPr>
            </w:pPr>
            <w:r>
              <w:rPr>
                <w:rFonts w:hint="eastAsia" w:ascii="Arial" w:hAnsi="Arial" w:cs="Arial"/>
                <w:bCs/>
                <w:snapToGrid w:val="0"/>
                <w:sz w:val="20"/>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877" w:type="dxa"/>
            <w:vMerge w:val="continue"/>
            <w:noWrap w:val="0"/>
            <w:vAlign w:val="center"/>
          </w:tcPr>
          <w:p>
            <w:pPr>
              <w:pStyle w:val="67"/>
              <w:ind w:firstLine="0" w:firstLineChars="0"/>
              <w:rPr>
                <w:rFonts w:ascii="Arial" w:hAnsi="Arial" w:cs="Arial"/>
                <w:bCs/>
                <w:snapToGrid w:val="0"/>
                <w:sz w:val="20"/>
              </w:rPr>
            </w:pPr>
          </w:p>
        </w:tc>
        <w:tc>
          <w:tcPr>
            <w:tcW w:w="1296" w:type="dxa"/>
            <w:vMerge w:val="restart"/>
            <w:noWrap w:val="0"/>
            <w:vAlign w:val="center"/>
          </w:tcPr>
          <w:p>
            <w:pPr>
              <w:pStyle w:val="67"/>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目标合理性</w:t>
            </w:r>
          </w:p>
        </w:tc>
        <w:tc>
          <w:tcPr>
            <w:tcW w:w="5276" w:type="dxa"/>
            <w:noWrap w:val="0"/>
            <w:vAlign w:val="center"/>
          </w:tcPr>
          <w:p>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①设定的绩效目</w:t>
            </w:r>
            <w:r>
              <w:rPr>
                <w:rFonts w:hint="eastAsia" w:ascii="Arial" w:hAnsi="Arial" w:cs="Arial"/>
                <w:bCs/>
                <w:snapToGrid w:val="0"/>
                <w:sz w:val="20"/>
                <w:lang w:val="en-US" w:eastAsia="zh-CN"/>
              </w:rPr>
              <w:t>标</w:t>
            </w:r>
            <w:r>
              <w:rPr>
                <w:rFonts w:hint="eastAsia" w:ascii="Arial" w:hAnsi="Arial" w:cs="Arial"/>
                <w:bCs/>
                <w:snapToGrid w:val="0"/>
                <w:sz w:val="20"/>
                <w:lang w:eastAsia="zh-CN"/>
              </w:rPr>
              <w:t>是否完整；</w:t>
            </w:r>
          </w:p>
        </w:tc>
        <w:tc>
          <w:tcPr>
            <w:tcW w:w="377" w:type="dxa"/>
            <w:noWrap w:val="0"/>
            <w:vAlign w:val="center"/>
          </w:tcPr>
          <w:p>
            <w:pPr>
              <w:pStyle w:val="67"/>
              <w:ind w:firstLine="0" w:firstLineChars="0"/>
              <w:jc w:val="center"/>
              <w:rPr>
                <w:rFonts w:hint="eastAsia" w:ascii="Arial" w:hAnsi="Arial" w:cs="Arial"/>
                <w:bCs/>
                <w:snapToGrid w:val="0"/>
                <w:sz w:val="20"/>
                <w:lang w:eastAsia="zh-CN"/>
              </w:rPr>
            </w:pPr>
            <w:r>
              <w:rPr>
                <w:rFonts w:hint="eastAsia" w:ascii="Arial" w:hAnsi="Arial" w:cs="Arial"/>
                <w:bCs/>
                <w:snapToGrid w:val="0"/>
                <w:sz w:val="20"/>
                <w:lang w:eastAsia="zh-CN"/>
              </w:rPr>
              <w:t>3</w:t>
            </w:r>
          </w:p>
        </w:tc>
        <w:tc>
          <w:tcPr>
            <w:tcW w:w="541" w:type="dxa"/>
            <w:vMerge w:val="continue"/>
            <w:tcBorders>
              <w:top w:val="nil"/>
            </w:tcBorders>
            <w:noWrap w:val="0"/>
            <w:vAlign w:val="center"/>
          </w:tcPr>
          <w:p>
            <w:pPr>
              <w:pStyle w:val="67"/>
              <w:ind w:firstLine="0" w:firstLineChars="0"/>
              <w:jc w:val="center"/>
              <w:rPr>
                <w:rFonts w:ascii="Arial" w:hAnsi="Arial" w:cs="Arial"/>
                <w:bCs/>
                <w:snapToGrid w:val="0"/>
                <w:sz w:val="20"/>
              </w:rPr>
            </w:pPr>
          </w:p>
        </w:tc>
        <w:tc>
          <w:tcPr>
            <w:tcW w:w="496" w:type="dxa"/>
            <w:noWrap w:val="0"/>
            <w:vAlign w:val="center"/>
          </w:tcPr>
          <w:p>
            <w:pPr>
              <w:pStyle w:val="67"/>
              <w:ind w:firstLine="0" w:firstLineChars="0"/>
              <w:jc w:val="center"/>
              <w:rPr>
                <w:rFonts w:ascii="Arial" w:hAnsi="Arial" w:cs="Arial"/>
                <w:bCs/>
                <w:snapToGrid w:val="0"/>
                <w:sz w:val="20"/>
              </w:rPr>
            </w:pPr>
            <w:r>
              <w:rPr>
                <w:rFonts w:hint="eastAsia" w:ascii="Arial" w:hAnsi="Arial" w:cs="Arial"/>
                <w:bCs/>
                <w:snapToGrid w:val="0"/>
                <w:sz w:val="20"/>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877" w:type="dxa"/>
            <w:vMerge w:val="continue"/>
            <w:noWrap w:val="0"/>
            <w:vAlign w:val="center"/>
          </w:tcPr>
          <w:p>
            <w:pPr>
              <w:pStyle w:val="67"/>
              <w:ind w:firstLine="0" w:firstLineChars="0"/>
              <w:rPr>
                <w:rFonts w:ascii="Arial" w:hAnsi="Arial" w:cs="Arial"/>
                <w:bCs/>
                <w:snapToGrid w:val="0"/>
                <w:sz w:val="20"/>
              </w:rPr>
            </w:pPr>
          </w:p>
        </w:tc>
        <w:tc>
          <w:tcPr>
            <w:tcW w:w="1296" w:type="dxa"/>
            <w:vMerge w:val="continue"/>
            <w:tcBorders>
              <w:top w:val="nil"/>
            </w:tcBorders>
            <w:noWrap w:val="0"/>
            <w:vAlign w:val="center"/>
          </w:tcPr>
          <w:p>
            <w:pPr>
              <w:pStyle w:val="67"/>
              <w:ind w:firstLine="0" w:firstLineChars="0"/>
              <w:jc w:val="center"/>
              <w:rPr>
                <w:rFonts w:ascii="Arial" w:hAnsi="Arial" w:cs="Arial"/>
                <w:bCs/>
                <w:snapToGrid w:val="0"/>
                <w:sz w:val="20"/>
              </w:rPr>
            </w:pPr>
          </w:p>
        </w:tc>
        <w:tc>
          <w:tcPr>
            <w:tcW w:w="5276" w:type="dxa"/>
            <w:noWrap w:val="0"/>
            <w:vAlign w:val="center"/>
          </w:tcPr>
          <w:p>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②设定的绩效目</w:t>
            </w:r>
            <w:r>
              <w:rPr>
                <w:rFonts w:hint="eastAsia" w:ascii="Arial" w:hAnsi="Arial" w:cs="Arial"/>
                <w:bCs/>
                <w:snapToGrid w:val="0"/>
                <w:sz w:val="20"/>
                <w:lang w:val="en-US" w:eastAsia="zh-CN"/>
              </w:rPr>
              <w:t>标</w:t>
            </w:r>
            <w:r>
              <w:rPr>
                <w:rFonts w:hint="eastAsia" w:ascii="Arial" w:hAnsi="Arial" w:cs="Arial"/>
                <w:bCs/>
                <w:snapToGrid w:val="0"/>
                <w:sz w:val="20"/>
                <w:lang w:eastAsia="zh-CN"/>
              </w:rPr>
              <w:t>是否合理。</w:t>
            </w:r>
          </w:p>
        </w:tc>
        <w:tc>
          <w:tcPr>
            <w:tcW w:w="377" w:type="dxa"/>
            <w:noWrap w:val="0"/>
            <w:vAlign w:val="center"/>
          </w:tcPr>
          <w:p>
            <w:pPr>
              <w:pStyle w:val="67"/>
              <w:ind w:firstLine="0" w:firstLineChars="0"/>
              <w:jc w:val="center"/>
              <w:rPr>
                <w:rFonts w:hint="eastAsia" w:ascii="Arial" w:hAnsi="Arial" w:cs="Arial"/>
                <w:bCs/>
                <w:snapToGrid w:val="0"/>
                <w:sz w:val="20"/>
                <w:lang w:eastAsia="zh-CN"/>
              </w:rPr>
            </w:pPr>
            <w:r>
              <w:rPr>
                <w:rFonts w:hint="eastAsia" w:ascii="Arial" w:hAnsi="Arial" w:cs="Arial"/>
                <w:bCs/>
                <w:snapToGrid w:val="0"/>
                <w:sz w:val="20"/>
                <w:lang w:eastAsia="zh-CN"/>
              </w:rPr>
              <w:t>3</w:t>
            </w:r>
          </w:p>
        </w:tc>
        <w:tc>
          <w:tcPr>
            <w:tcW w:w="541" w:type="dxa"/>
            <w:vMerge w:val="continue"/>
            <w:tcBorders>
              <w:top w:val="nil"/>
            </w:tcBorders>
            <w:noWrap w:val="0"/>
            <w:vAlign w:val="center"/>
          </w:tcPr>
          <w:p>
            <w:pPr>
              <w:pStyle w:val="67"/>
              <w:ind w:firstLine="0" w:firstLineChars="0"/>
              <w:jc w:val="center"/>
              <w:rPr>
                <w:rFonts w:ascii="Arial" w:hAnsi="Arial" w:cs="Arial"/>
                <w:bCs/>
                <w:snapToGrid w:val="0"/>
                <w:sz w:val="20"/>
              </w:rPr>
            </w:pPr>
          </w:p>
        </w:tc>
        <w:tc>
          <w:tcPr>
            <w:tcW w:w="496" w:type="dxa"/>
            <w:noWrap w:val="0"/>
            <w:vAlign w:val="center"/>
          </w:tcPr>
          <w:p>
            <w:pPr>
              <w:pStyle w:val="67"/>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877" w:type="dxa"/>
            <w:noWrap w:val="0"/>
            <w:vAlign w:val="center"/>
          </w:tcPr>
          <w:p>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项</w:t>
            </w:r>
            <w:r>
              <w:rPr>
                <w:rFonts w:ascii="Arial" w:hAnsi="Arial" w:cs="Arial"/>
                <w:bCs/>
                <w:snapToGrid w:val="0"/>
                <w:sz w:val="20"/>
                <w:lang w:eastAsia="zh-CN"/>
              </w:rPr>
              <w:t>目实施</w:t>
            </w:r>
            <w:r>
              <w:rPr>
                <w:rFonts w:hint="eastAsia" w:ascii="Arial" w:hAnsi="Arial" w:cs="Arial"/>
                <w:bCs/>
                <w:snapToGrid w:val="0"/>
                <w:sz w:val="20"/>
                <w:lang w:val="en-US" w:eastAsia="zh-CN"/>
              </w:rPr>
              <w:t>程序合规</w:t>
            </w:r>
            <w:r>
              <w:rPr>
                <w:rFonts w:ascii="Arial" w:hAnsi="Arial" w:cs="Arial"/>
                <w:bCs/>
                <w:snapToGrid w:val="0"/>
                <w:sz w:val="20"/>
                <w:lang w:eastAsia="zh-CN"/>
              </w:rPr>
              <w:t>性</w:t>
            </w:r>
          </w:p>
        </w:tc>
        <w:tc>
          <w:tcPr>
            <w:tcW w:w="1296" w:type="dxa"/>
            <w:tcBorders>
              <w:top w:val="nil"/>
            </w:tcBorders>
            <w:noWrap w:val="0"/>
            <w:vAlign w:val="center"/>
          </w:tcPr>
          <w:p>
            <w:pPr>
              <w:pStyle w:val="67"/>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项</w:t>
            </w:r>
            <w:r>
              <w:rPr>
                <w:rFonts w:ascii="Arial" w:hAnsi="Arial" w:cs="Arial"/>
                <w:bCs/>
                <w:snapToGrid w:val="0"/>
                <w:sz w:val="20"/>
                <w:lang w:eastAsia="zh-CN"/>
              </w:rPr>
              <w:t>目实施</w:t>
            </w:r>
            <w:r>
              <w:rPr>
                <w:rFonts w:hint="eastAsia" w:ascii="Arial" w:hAnsi="Arial" w:cs="Arial"/>
                <w:bCs/>
                <w:snapToGrid w:val="0"/>
                <w:sz w:val="20"/>
                <w:lang w:val="en-US" w:eastAsia="zh-CN"/>
              </w:rPr>
              <w:t>程序合规</w:t>
            </w:r>
            <w:r>
              <w:rPr>
                <w:rFonts w:ascii="Arial" w:hAnsi="Arial" w:cs="Arial"/>
                <w:bCs/>
                <w:snapToGrid w:val="0"/>
                <w:sz w:val="20"/>
                <w:lang w:eastAsia="zh-CN"/>
              </w:rPr>
              <w:t>性</w:t>
            </w:r>
          </w:p>
        </w:tc>
        <w:tc>
          <w:tcPr>
            <w:tcW w:w="5276" w:type="dxa"/>
            <w:noWrap w:val="0"/>
            <w:vAlign w:val="center"/>
          </w:tcPr>
          <w:p>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①项目实施</w:t>
            </w:r>
            <w:r>
              <w:rPr>
                <w:rFonts w:hint="eastAsia" w:ascii="Arial" w:hAnsi="Arial" w:cs="Arial"/>
                <w:bCs/>
                <w:snapToGrid w:val="0"/>
                <w:sz w:val="20"/>
                <w:lang w:val="en-US" w:eastAsia="zh-CN"/>
              </w:rPr>
              <w:t>程序是否符合相关规定。</w:t>
            </w:r>
          </w:p>
        </w:tc>
        <w:tc>
          <w:tcPr>
            <w:tcW w:w="377" w:type="dxa"/>
            <w:noWrap w:val="0"/>
            <w:vAlign w:val="center"/>
          </w:tcPr>
          <w:p>
            <w:pPr>
              <w:pStyle w:val="67"/>
              <w:ind w:firstLine="0" w:firstLineChars="0"/>
              <w:jc w:val="center"/>
              <w:rPr>
                <w:rFonts w:hint="default" w:ascii="Arial" w:hAnsi="Arial" w:cs="Arial"/>
                <w:bCs/>
                <w:snapToGrid w:val="0"/>
                <w:sz w:val="20"/>
                <w:lang w:val="en-US" w:eastAsia="zh-CN"/>
              </w:rPr>
            </w:pPr>
            <w:r>
              <w:rPr>
                <w:rFonts w:hint="eastAsia" w:ascii="Arial" w:hAnsi="Arial" w:cs="Arial"/>
                <w:bCs/>
                <w:snapToGrid w:val="0"/>
                <w:sz w:val="20"/>
                <w:lang w:val="en-US" w:eastAsia="zh-CN"/>
              </w:rPr>
              <w:t>6</w:t>
            </w:r>
          </w:p>
        </w:tc>
        <w:tc>
          <w:tcPr>
            <w:tcW w:w="541" w:type="dxa"/>
            <w:tcBorders>
              <w:top w:val="nil"/>
            </w:tcBorders>
            <w:noWrap w:val="0"/>
            <w:vAlign w:val="center"/>
          </w:tcPr>
          <w:p>
            <w:pPr>
              <w:pStyle w:val="67"/>
              <w:ind w:firstLine="0" w:firstLineChars="0"/>
              <w:jc w:val="center"/>
              <w:rPr>
                <w:rFonts w:hint="default" w:ascii="Arial" w:hAnsi="Arial" w:cs="Arial"/>
                <w:bCs/>
                <w:snapToGrid w:val="0"/>
                <w:sz w:val="20"/>
                <w:lang w:val="en-US" w:eastAsia="zh-CN"/>
              </w:rPr>
            </w:pPr>
            <w:r>
              <w:rPr>
                <w:rFonts w:hint="eastAsia" w:ascii="Arial" w:hAnsi="Arial" w:cs="Arial"/>
                <w:bCs/>
                <w:snapToGrid w:val="0"/>
                <w:sz w:val="20"/>
                <w:lang w:val="en-US" w:eastAsia="zh-CN"/>
              </w:rPr>
              <w:t>6</w:t>
            </w:r>
          </w:p>
        </w:tc>
        <w:tc>
          <w:tcPr>
            <w:tcW w:w="496" w:type="dxa"/>
            <w:noWrap w:val="0"/>
            <w:vAlign w:val="center"/>
          </w:tcPr>
          <w:p>
            <w:pPr>
              <w:pStyle w:val="67"/>
              <w:ind w:firstLine="0" w:firstLineChars="0"/>
              <w:jc w:val="center"/>
              <w:rPr>
                <w:rFonts w:hint="default" w:ascii="Arial" w:hAnsi="Arial" w:cs="Arial"/>
                <w:bCs/>
                <w:snapToGrid w:val="0"/>
                <w:sz w:val="20"/>
                <w:lang w:val="en-US" w:eastAsia="zh-CN"/>
              </w:rPr>
            </w:pPr>
            <w:r>
              <w:rPr>
                <w:rFonts w:hint="eastAsia" w:ascii="Arial" w:hAnsi="Arial" w:cs="Arial"/>
                <w:bCs/>
                <w:snapToGrid w:val="0"/>
                <w:sz w:val="20"/>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0" w:hRule="atLeast"/>
        </w:trPr>
        <w:tc>
          <w:tcPr>
            <w:tcW w:w="877" w:type="dxa"/>
            <w:vMerge w:val="restart"/>
            <w:noWrap w:val="0"/>
            <w:vAlign w:val="center"/>
          </w:tcPr>
          <w:p>
            <w:pPr>
              <w:pStyle w:val="67"/>
              <w:ind w:firstLine="0" w:firstLineChars="0"/>
              <w:rPr>
                <w:rFonts w:ascii="Arial" w:hAnsi="Arial" w:cs="Arial"/>
                <w:bCs/>
                <w:snapToGrid w:val="0"/>
                <w:sz w:val="20"/>
                <w:lang w:eastAsia="zh-CN"/>
              </w:rPr>
            </w:pPr>
            <w:r>
              <w:rPr>
                <w:rFonts w:ascii="Arial" w:hAnsi="Arial" w:cs="Arial"/>
                <w:bCs/>
                <w:snapToGrid w:val="0"/>
                <w:sz w:val="20"/>
                <w:lang w:eastAsia="zh-CN"/>
              </w:rPr>
              <w:t>项目</w:t>
            </w:r>
            <w:r>
              <w:rPr>
                <w:rFonts w:hint="eastAsia" w:ascii="Arial" w:hAnsi="Arial" w:cs="Arial"/>
                <w:bCs/>
                <w:snapToGrid w:val="0"/>
                <w:sz w:val="20"/>
                <w:lang w:eastAsia="zh-CN"/>
              </w:rPr>
              <w:t>实施成果合格性</w:t>
            </w:r>
          </w:p>
        </w:tc>
        <w:tc>
          <w:tcPr>
            <w:tcW w:w="1296" w:type="dxa"/>
            <w:noWrap w:val="0"/>
            <w:vAlign w:val="center"/>
          </w:tcPr>
          <w:p>
            <w:pPr>
              <w:pStyle w:val="67"/>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媒体合作</w:t>
            </w:r>
            <w:r>
              <w:rPr>
                <w:rFonts w:hint="eastAsia" w:ascii="Arial" w:hAnsi="Arial" w:cs="Arial"/>
                <w:bCs/>
                <w:snapToGrid w:val="0"/>
                <w:sz w:val="20"/>
                <w:lang w:val="en-US" w:eastAsia="zh-CN"/>
              </w:rPr>
              <w:t>宣传成果合格性</w:t>
            </w:r>
          </w:p>
        </w:tc>
        <w:tc>
          <w:tcPr>
            <w:tcW w:w="5276" w:type="dxa"/>
            <w:noWrap w:val="0"/>
            <w:vAlign w:val="center"/>
          </w:tcPr>
          <w:p>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①项目媒体合作</w:t>
            </w:r>
            <w:r>
              <w:rPr>
                <w:rFonts w:hint="eastAsia" w:ascii="Arial" w:hAnsi="Arial" w:cs="Arial"/>
                <w:bCs/>
                <w:snapToGrid w:val="0"/>
                <w:sz w:val="20"/>
                <w:lang w:val="en-US" w:eastAsia="zh-CN"/>
              </w:rPr>
              <w:t>宣传取得的成果</w:t>
            </w:r>
            <w:r>
              <w:rPr>
                <w:rFonts w:hint="eastAsia" w:ascii="Arial" w:hAnsi="Arial" w:cs="Arial"/>
                <w:bCs/>
                <w:snapToGrid w:val="0"/>
                <w:sz w:val="20"/>
                <w:lang w:eastAsia="zh-CN"/>
              </w:rPr>
              <w:t>。</w:t>
            </w:r>
          </w:p>
        </w:tc>
        <w:tc>
          <w:tcPr>
            <w:tcW w:w="377" w:type="dxa"/>
            <w:noWrap w:val="0"/>
            <w:vAlign w:val="center"/>
          </w:tcPr>
          <w:p>
            <w:pPr>
              <w:pStyle w:val="67"/>
              <w:ind w:firstLine="0" w:firstLineChars="0"/>
              <w:jc w:val="center"/>
              <w:rPr>
                <w:rFonts w:ascii="Arial" w:hAnsi="Arial" w:cs="Arial"/>
                <w:bCs/>
                <w:snapToGrid w:val="0"/>
                <w:sz w:val="20"/>
              </w:rPr>
            </w:pPr>
            <w:r>
              <w:rPr>
                <w:rFonts w:hint="eastAsia" w:ascii="Arial" w:hAnsi="Arial" w:cs="Arial"/>
                <w:bCs/>
                <w:snapToGrid w:val="0"/>
                <w:sz w:val="20"/>
                <w:lang w:val="en-US" w:eastAsia="zh-CN"/>
              </w:rPr>
              <w:t>4</w:t>
            </w:r>
          </w:p>
        </w:tc>
        <w:tc>
          <w:tcPr>
            <w:tcW w:w="541" w:type="dxa"/>
            <w:vMerge w:val="restart"/>
            <w:noWrap w:val="0"/>
            <w:vAlign w:val="center"/>
          </w:tcPr>
          <w:p>
            <w:pPr>
              <w:pStyle w:val="67"/>
              <w:ind w:firstLine="0" w:firstLineChars="0"/>
              <w:jc w:val="center"/>
              <w:rPr>
                <w:rFonts w:hint="eastAsia" w:ascii="Arial" w:hAnsi="Arial" w:cs="Arial"/>
                <w:bCs/>
                <w:snapToGrid w:val="0"/>
                <w:sz w:val="20"/>
                <w:lang w:eastAsia="zh-CN"/>
              </w:rPr>
            </w:pPr>
            <w:r>
              <w:rPr>
                <w:rFonts w:hint="eastAsia" w:ascii="Arial" w:hAnsi="Arial" w:cs="Arial"/>
                <w:bCs/>
                <w:snapToGrid w:val="0"/>
                <w:sz w:val="20"/>
                <w:lang w:val="en-US" w:eastAsia="zh-CN"/>
              </w:rPr>
              <w:t>12</w:t>
            </w:r>
          </w:p>
        </w:tc>
        <w:tc>
          <w:tcPr>
            <w:tcW w:w="496" w:type="dxa"/>
            <w:noWrap w:val="0"/>
            <w:vAlign w:val="center"/>
          </w:tcPr>
          <w:p>
            <w:pPr>
              <w:pStyle w:val="67"/>
              <w:ind w:firstLine="0" w:firstLineChars="0"/>
              <w:jc w:val="center"/>
              <w:rPr>
                <w:rFonts w:hint="default" w:ascii="Arial" w:hAnsi="Arial" w:cs="Arial"/>
                <w:bCs/>
                <w:snapToGrid w:val="0"/>
                <w:sz w:val="20"/>
                <w:lang w:val="en-US" w:eastAsia="zh-CN"/>
              </w:rPr>
            </w:pPr>
            <w:r>
              <w:rPr>
                <w:rFonts w:hint="eastAsia" w:ascii="Arial" w:hAnsi="Arial" w:cs="Arial"/>
                <w:bCs/>
                <w:snapToGrid w:val="0"/>
                <w:sz w:val="20"/>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877" w:type="dxa"/>
            <w:vMerge w:val="continue"/>
            <w:tcBorders>
              <w:top w:val="nil"/>
            </w:tcBorders>
            <w:noWrap w:val="0"/>
            <w:vAlign w:val="center"/>
          </w:tcPr>
          <w:p>
            <w:pPr>
              <w:pStyle w:val="67"/>
              <w:ind w:firstLine="0" w:firstLineChars="0"/>
              <w:rPr>
                <w:rFonts w:ascii="Arial" w:hAnsi="Arial" w:cs="Arial"/>
                <w:bCs/>
                <w:snapToGrid w:val="0"/>
                <w:sz w:val="20"/>
                <w:lang w:eastAsia="zh-CN"/>
              </w:rPr>
            </w:pPr>
          </w:p>
        </w:tc>
        <w:tc>
          <w:tcPr>
            <w:tcW w:w="1296" w:type="dxa"/>
            <w:noWrap w:val="0"/>
            <w:vAlign w:val="center"/>
          </w:tcPr>
          <w:p>
            <w:pPr>
              <w:pStyle w:val="67"/>
              <w:ind w:firstLine="0" w:firstLineChars="0"/>
              <w:jc w:val="center"/>
              <w:rPr>
                <w:rFonts w:ascii="Arial" w:hAnsi="Arial" w:cs="Arial"/>
                <w:bCs/>
                <w:snapToGrid w:val="0"/>
                <w:sz w:val="20"/>
                <w:lang w:eastAsia="zh-CN"/>
              </w:rPr>
            </w:pPr>
            <w:r>
              <w:rPr>
                <w:rFonts w:hint="eastAsia" w:ascii="Arial" w:hAnsi="Arial" w:cs="Arial"/>
                <w:bCs/>
                <w:snapToGrid w:val="0"/>
                <w:sz w:val="20"/>
                <w:lang w:val="en-US" w:eastAsia="zh-CN"/>
              </w:rPr>
              <w:t>文旅活动宣传成果合格性</w:t>
            </w:r>
          </w:p>
        </w:tc>
        <w:tc>
          <w:tcPr>
            <w:tcW w:w="5276" w:type="dxa"/>
            <w:noWrap w:val="0"/>
            <w:vAlign w:val="center"/>
          </w:tcPr>
          <w:p>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①项目</w:t>
            </w:r>
            <w:r>
              <w:rPr>
                <w:rFonts w:hint="eastAsia" w:ascii="Arial" w:hAnsi="Arial" w:cs="Arial"/>
                <w:bCs/>
                <w:snapToGrid w:val="0"/>
                <w:sz w:val="20"/>
                <w:lang w:val="en-US" w:eastAsia="zh-CN"/>
              </w:rPr>
              <w:t>文旅活动宣传取得的成果。</w:t>
            </w:r>
          </w:p>
        </w:tc>
        <w:tc>
          <w:tcPr>
            <w:tcW w:w="377" w:type="dxa"/>
            <w:noWrap w:val="0"/>
            <w:vAlign w:val="center"/>
          </w:tcPr>
          <w:p>
            <w:pPr>
              <w:pStyle w:val="67"/>
              <w:ind w:firstLine="0" w:firstLineChars="0"/>
              <w:jc w:val="center"/>
              <w:rPr>
                <w:rFonts w:hint="eastAsia" w:ascii="Arial" w:hAnsi="Arial" w:eastAsia="仿宋_GB2312" w:cs="Arial"/>
                <w:bCs/>
                <w:snapToGrid w:val="0"/>
                <w:sz w:val="20"/>
                <w:lang w:val="en-US" w:eastAsia="zh-CN"/>
              </w:rPr>
            </w:pPr>
            <w:r>
              <w:rPr>
                <w:rFonts w:hint="eastAsia" w:ascii="Arial" w:hAnsi="Arial" w:cs="Arial"/>
                <w:bCs/>
                <w:snapToGrid w:val="0"/>
                <w:sz w:val="20"/>
                <w:lang w:val="en-US" w:eastAsia="zh-CN"/>
              </w:rPr>
              <w:t>4</w:t>
            </w:r>
          </w:p>
        </w:tc>
        <w:tc>
          <w:tcPr>
            <w:tcW w:w="541" w:type="dxa"/>
            <w:vMerge w:val="continue"/>
            <w:tcBorders>
              <w:top w:val="nil"/>
            </w:tcBorders>
            <w:noWrap w:val="0"/>
            <w:vAlign w:val="center"/>
          </w:tcPr>
          <w:p>
            <w:pPr>
              <w:pStyle w:val="67"/>
              <w:ind w:firstLine="0" w:firstLineChars="0"/>
              <w:jc w:val="center"/>
              <w:rPr>
                <w:rFonts w:ascii="Arial" w:hAnsi="Arial" w:cs="Arial"/>
                <w:bCs/>
                <w:snapToGrid w:val="0"/>
                <w:sz w:val="20"/>
              </w:rPr>
            </w:pPr>
          </w:p>
        </w:tc>
        <w:tc>
          <w:tcPr>
            <w:tcW w:w="496" w:type="dxa"/>
            <w:noWrap w:val="0"/>
            <w:vAlign w:val="center"/>
          </w:tcPr>
          <w:p>
            <w:pPr>
              <w:pStyle w:val="67"/>
              <w:ind w:firstLine="0" w:firstLineChars="0"/>
              <w:jc w:val="center"/>
              <w:rPr>
                <w:rFonts w:hint="eastAsia" w:ascii="Arial" w:hAnsi="Arial" w:eastAsia="仿宋_GB2312" w:cs="Arial"/>
                <w:bCs/>
                <w:snapToGrid w:val="0"/>
                <w:sz w:val="20"/>
                <w:lang w:val="en-US" w:eastAsia="zh-CN"/>
              </w:rPr>
            </w:pPr>
            <w:r>
              <w:rPr>
                <w:rFonts w:hint="eastAsia" w:ascii="Arial" w:hAnsi="Arial" w:cs="Arial"/>
                <w:bCs/>
                <w:snapToGrid w:val="0"/>
                <w:sz w:val="20"/>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877" w:type="dxa"/>
            <w:vMerge w:val="continue"/>
            <w:tcBorders>
              <w:top w:val="nil"/>
            </w:tcBorders>
            <w:noWrap w:val="0"/>
            <w:vAlign w:val="center"/>
          </w:tcPr>
          <w:p>
            <w:pPr>
              <w:pStyle w:val="67"/>
              <w:ind w:firstLine="0" w:firstLineChars="0"/>
              <w:rPr>
                <w:rFonts w:ascii="Arial" w:hAnsi="Arial" w:cs="Arial"/>
                <w:bCs/>
                <w:snapToGrid w:val="0"/>
                <w:sz w:val="20"/>
              </w:rPr>
            </w:pPr>
          </w:p>
        </w:tc>
        <w:tc>
          <w:tcPr>
            <w:tcW w:w="1296" w:type="dxa"/>
            <w:tcBorders>
              <w:top w:val="nil"/>
            </w:tcBorders>
            <w:noWrap w:val="0"/>
            <w:vAlign w:val="center"/>
          </w:tcPr>
          <w:p>
            <w:pPr>
              <w:pStyle w:val="67"/>
              <w:ind w:firstLine="0" w:firstLineChars="0"/>
              <w:jc w:val="center"/>
              <w:rPr>
                <w:rFonts w:ascii="Arial" w:hAnsi="Arial" w:cs="Arial"/>
                <w:bCs/>
                <w:snapToGrid w:val="0"/>
                <w:sz w:val="20"/>
              </w:rPr>
            </w:pPr>
            <w:r>
              <w:rPr>
                <w:rFonts w:hint="eastAsia" w:ascii="Arial" w:hAnsi="Arial" w:cs="Arial"/>
                <w:bCs/>
                <w:snapToGrid w:val="0"/>
                <w:sz w:val="20"/>
                <w:lang w:val="en-US" w:eastAsia="zh-CN"/>
              </w:rPr>
              <w:t>新媒体宣传成果合格性</w:t>
            </w:r>
          </w:p>
        </w:tc>
        <w:tc>
          <w:tcPr>
            <w:tcW w:w="5276" w:type="dxa"/>
            <w:noWrap w:val="0"/>
            <w:vAlign w:val="center"/>
          </w:tcPr>
          <w:p>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①项目</w:t>
            </w:r>
            <w:r>
              <w:rPr>
                <w:rFonts w:hint="eastAsia" w:ascii="Arial" w:hAnsi="Arial" w:cs="Arial"/>
                <w:bCs/>
                <w:snapToGrid w:val="0"/>
                <w:sz w:val="20"/>
                <w:lang w:val="en-US" w:eastAsia="zh-CN"/>
              </w:rPr>
              <w:t>新媒体宣传取得的成果。</w:t>
            </w:r>
          </w:p>
        </w:tc>
        <w:tc>
          <w:tcPr>
            <w:tcW w:w="377" w:type="dxa"/>
            <w:noWrap w:val="0"/>
            <w:vAlign w:val="center"/>
          </w:tcPr>
          <w:p>
            <w:pPr>
              <w:pStyle w:val="67"/>
              <w:ind w:firstLine="0" w:firstLineChars="0"/>
              <w:jc w:val="center"/>
              <w:rPr>
                <w:rFonts w:hint="eastAsia" w:ascii="Arial" w:hAnsi="Arial" w:eastAsia="仿宋_GB2312" w:cs="Arial"/>
                <w:bCs/>
                <w:snapToGrid w:val="0"/>
                <w:sz w:val="20"/>
                <w:lang w:val="en-US" w:eastAsia="zh-CN"/>
              </w:rPr>
            </w:pPr>
            <w:r>
              <w:rPr>
                <w:rFonts w:hint="eastAsia" w:ascii="Arial" w:hAnsi="Arial" w:cs="Arial"/>
                <w:bCs/>
                <w:snapToGrid w:val="0"/>
                <w:sz w:val="20"/>
                <w:lang w:val="en-US" w:eastAsia="zh-CN"/>
              </w:rPr>
              <w:t>4</w:t>
            </w:r>
          </w:p>
        </w:tc>
        <w:tc>
          <w:tcPr>
            <w:tcW w:w="541" w:type="dxa"/>
            <w:vMerge w:val="continue"/>
            <w:tcBorders>
              <w:top w:val="nil"/>
            </w:tcBorders>
            <w:noWrap w:val="0"/>
            <w:vAlign w:val="center"/>
          </w:tcPr>
          <w:p>
            <w:pPr>
              <w:pStyle w:val="67"/>
              <w:ind w:firstLine="0" w:firstLineChars="0"/>
              <w:jc w:val="center"/>
              <w:rPr>
                <w:rFonts w:ascii="Arial" w:hAnsi="Arial" w:cs="Arial"/>
                <w:bCs/>
                <w:snapToGrid w:val="0"/>
                <w:sz w:val="20"/>
              </w:rPr>
            </w:pPr>
          </w:p>
        </w:tc>
        <w:tc>
          <w:tcPr>
            <w:tcW w:w="496" w:type="dxa"/>
            <w:noWrap w:val="0"/>
            <w:vAlign w:val="center"/>
          </w:tcPr>
          <w:p>
            <w:pPr>
              <w:pStyle w:val="67"/>
              <w:ind w:firstLine="0" w:firstLineChars="0"/>
              <w:jc w:val="center"/>
              <w:rPr>
                <w:rFonts w:hint="default" w:ascii="Arial" w:hAnsi="Arial" w:cs="Arial"/>
                <w:bCs/>
                <w:snapToGrid w:val="0"/>
                <w:sz w:val="20"/>
                <w:lang w:val="en-US" w:eastAsia="zh-CN"/>
              </w:rPr>
            </w:pPr>
            <w:r>
              <w:rPr>
                <w:rFonts w:hint="eastAsia" w:ascii="Arial" w:hAnsi="Arial" w:cs="Arial"/>
                <w:bCs/>
                <w:snapToGrid w:val="0"/>
                <w:sz w:val="20"/>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877" w:type="dxa"/>
            <w:vMerge w:val="restart"/>
            <w:noWrap w:val="0"/>
            <w:vAlign w:val="center"/>
          </w:tcPr>
          <w:p>
            <w:pPr>
              <w:pStyle w:val="67"/>
              <w:ind w:firstLine="0" w:firstLineChars="0"/>
              <w:jc w:val="center"/>
              <w:rPr>
                <w:rFonts w:ascii="Arial" w:hAnsi="Arial" w:cs="Arial"/>
                <w:bCs/>
                <w:snapToGrid w:val="0"/>
                <w:sz w:val="20"/>
              </w:rPr>
            </w:pPr>
            <w:r>
              <w:rPr>
                <w:rFonts w:hint="eastAsia" w:ascii="Arial" w:hAnsi="Arial" w:cs="Arial"/>
                <w:bCs/>
                <w:snapToGrid w:val="0"/>
                <w:sz w:val="20"/>
              </w:rPr>
              <w:t>项目实施的可持续性</w:t>
            </w:r>
          </w:p>
        </w:tc>
        <w:tc>
          <w:tcPr>
            <w:tcW w:w="1296" w:type="dxa"/>
            <w:vMerge w:val="restart"/>
            <w:noWrap w:val="0"/>
            <w:vAlign w:val="center"/>
          </w:tcPr>
          <w:p>
            <w:pPr>
              <w:pStyle w:val="67"/>
              <w:ind w:firstLine="0" w:firstLineChars="0"/>
              <w:jc w:val="center"/>
              <w:rPr>
                <w:rFonts w:ascii="Arial" w:hAnsi="Arial" w:cs="Arial"/>
                <w:bCs/>
                <w:snapToGrid w:val="0"/>
                <w:sz w:val="20"/>
              </w:rPr>
            </w:pPr>
            <w:r>
              <w:rPr>
                <w:rFonts w:hint="eastAsia" w:ascii="Arial" w:hAnsi="Arial" w:cs="Arial"/>
                <w:bCs/>
                <w:snapToGrid w:val="0"/>
                <w:sz w:val="20"/>
              </w:rPr>
              <w:t>可持续性</w:t>
            </w:r>
          </w:p>
        </w:tc>
        <w:tc>
          <w:tcPr>
            <w:tcW w:w="5276" w:type="dxa"/>
            <w:noWrap w:val="0"/>
            <w:vAlign w:val="center"/>
          </w:tcPr>
          <w:p>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①国家或地方对该项目的重视程度；</w:t>
            </w:r>
          </w:p>
        </w:tc>
        <w:tc>
          <w:tcPr>
            <w:tcW w:w="377" w:type="dxa"/>
            <w:noWrap w:val="0"/>
            <w:vAlign w:val="center"/>
          </w:tcPr>
          <w:p>
            <w:pPr>
              <w:pStyle w:val="67"/>
              <w:ind w:firstLine="0" w:firstLineChars="0"/>
              <w:jc w:val="center"/>
              <w:rPr>
                <w:rFonts w:hint="default" w:ascii="Arial" w:hAnsi="Arial" w:cs="Arial"/>
                <w:bCs/>
                <w:snapToGrid w:val="0"/>
                <w:sz w:val="20"/>
                <w:lang w:val="en-US" w:eastAsia="zh-CN"/>
              </w:rPr>
            </w:pPr>
            <w:r>
              <w:rPr>
                <w:rFonts w:hint="eastAsia" w:ascii="Arial" w:hAnsi="Arial" w:cs="Arial"/>
                <w:bCs/>
                <w:snapToGrid w:val="0"/>
                <w:sz w:val="20"/>
                <w:lang w:val="en-US" w:eastAsia="zh-CN"/>
              </w:rPr>
              <w:t>3</w:t>
            </w:r>
          </w:p>
        </w:tc>
        <w:tc>
          <w:tcPr>
            <w:tcW w:w="541" w:type="dxa"/>
            <w:vMerge w:val="restart"/>
            <w:noWrap w:val="0"/>
            <w:vAlign w:val="center"/>
          </w:tcPr>
          <w:p>
            <w:pPr>
              <w:pStyle w:val="67"/>
              <w:ind w:firstLine="0" w:firstLineChars="0"/>
              <w:jc w:val="center"/>
              <w:rPr>
                <w:rFonts w:hint="eastAsia" w:ascii="Arial" w:hAnsi="Arial" w:eastAsia="仿宋_GB2312" w:cs="Arial"/>
                <w:bCs/>
                <w:snapToGrid w:val="0"/>
                <w:sz w:val="20"/>
                <w:lang w:val="en-US" w:eastAsia="zh-CN"/>
              </w:rPr>
            </w:pPr>
            <w:r>
              <w:rPr>
                <w:rFonts w:hint="eastAsia" w:ascii="Arial" w:hAnsi="Arial" w:cs="Arial"/>
                <w:bCs/>
                <w:snapToGrid w:val="0"/>
                <w:sz w:val="20"/>
                <w:lang w:val="en-US" w:eastAsia="zh-CN"/>
              </w:rPr>
              <w:t>9</w:t>
            </w:r>
          </w:p>
        </w:tc>
        <w:tc>
          <w:tcPr>
            <w:tcW w:w="496" w:type="dxa"/>
            <w:noWrap w:val="0"/>
            <w:vAlign w:val="center"/>
          </w:tcPr>
          <w:p>
            <w:pPr>
              <w:pStyle w:val="67"/>
              <w:ind w:firstLine="0" w:firstLineChars="0"/>
              <w:jc w:val="center"/>
              <w:rPr>
                <w:rFonts w:hint="default" w:ascii="Arial" w:hAnsi="Arial" w:cs="Arial"/>
                <w:bCs/>
                <w:snapToGrid w:val="0"/>
                <w:sz w:val="20"/>
                <w:lang w:val="en-US" w:eastAsia="zh-CN"/>
              </w:rPr>
            </w:pPr>
            <w:r>
              <w:rPr>
                <w:rFonts w:hint="eastAsia" w:ascii="Arial" w:hAnsi="Arial" w:cs="Arial"/>
                <w:bCs/>
                <w:snapToGrid w:val="0"/>
                <w:sz w:val="20"/>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877" w:type="dxa"/>
            <w:vMerge w:val="continue"/>
            <w:tcBorders>
              <w:top w:val="nil"/>
            </w:tcBorders>
            <w:noWrap w:val="0"/>
            <w:vAlign w:val="center"/>
          </w:tcPr>
          <w:p>
            <w:pPr>
              <w:pStyle w:val="67"/>
              <w:ind w:firstLine="0" w:firstLineChars="0"/>
              <w:rPr>
                <w:rFonts w:ascii="Arial" w:hAnsi="Arial" w:cs="Arial"/>
                <w:bCs/>
                <w:snapToGrid w:val="0"/>
                <w:sz w:val="20"/>
              </w:rPr>
            </w:pPr>
          </w:p>
        </w:tc>
        <w:tc>
          <w:tcPr>
            <w:tcW w:w="1296" w:type="dxa"/>
            <w:vMerge w:val="continue"/>
            <w:tcBorders>
              <w:top w:val="nil"/>
            </w:tcBorders>
            <w:noWrap w:val="0"/>
            <w:vAlign w:val="center"/>
          </w:tcPr>
          <w:p>
            <w:pPr>
              <w:pStyle w:val="67"/>
              <w:ind w:firstLine="0" w:firstLineChars="0"/>
              <w:jc w:val="center"/>
              <w:rPr>
                <w:rFonts w:ascii="Arial" w:hAnsi="Arial" w:cs="Arial"/>
                <w:bCs/>
                <w:snapToGrid w:val="0"/>
                <w:sz w:val="20"/>
              </w:rPr>
            </w:pPr>
          </w:p>
        </w:tc>
        <w:tc>
          <w:tcPr>
            <w:tcW w:w="5276" w:type="dxa"/>
            <w:noWrap w:val="0"/>
            <w:vAlign w:val="center"/>
          </w:tcPr>
          <w:p>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②项目的实施对</w:t>
            </w:r>
            <w:r>
              <w:rPr>
                <w:rFonts w:hint="eastAsia" w:ascii="Arial" w:hAnsi="Arial" w:cs="Arial"/>
                <w:bCs/>
                <w:snapToGrid w:val="0"/>
                <w:sz w:val="20"/>
                <w:lang w:val="en-US" w:eastAsia="zh-CN"/>
              </w:rPr>
              <w:t>当地企业、居民的影响</w:t>
            </w:r>
            <w:r>
              <w:rPr>
                <w:rFonts w:hint="eastAsia" w:ascii="Arial" w:hAnsi="Arial" w:cs="Arial"/>
                <w:bCs/>
                <w:snapToGrid w:val="0"/>
                <w:sz w:val="20"/>
                <w:lang w:eastAsia="zh-CN"/>
              </w:rPr>
              <w:t>；</w:t>
            </w:r>
          </w:p>
        </w:tc>
        <w:tc>
          <w:tcPr>
            <w:tcW w:w="377" w:type="dxa"/>
            <w:noWrap w:val="0"/>
            <w:vAlign w:val="center"/>
          </w:tcPr>
          <w:p>
            <w:pPr>
              <w:pStyle w:val="67"/>
              <w:ind w:firstLine="0" w:firstLineChars="0"/>
              <w:jc w:val="center"/>
              <w:rPr>
                <w:rFonts w:hint="default" w:ascii="Arial" w:hAnsi="Arial" w:cs="Arial"/>
                <w:bCs/>
                <w:snapToGrid w:val="0"/>
                <w:sz w:val="20"/>
                <w:lang w:val="en-US" w:eastAsia="zh-CN"/>
              </w:rPr>
            </w:pPr>
            <w:r>
              <w:rPr>
                <w:rFonts w:hint="eastAsia" w:ascii="Arial" w:hAnsi="Arial" w:cs="Arial"/>
                <w:bCs/>
                <w:snapToGrid w:val="0"/>
                <w:sz w:val="20"/>
                <w:lang w:val="en-US" w:eastAsia="zh-CN"/>
              </w:rPr>
              <w:t>3</w:t>
            </w:r>
          </w:p>
        </w:tc>
        <w:tc>
          <w:tcPr>
            <w:tcW w:w="541" w:type="dxa"/>
            <w:vMerge w:val="continue"/>
            <w:tcBorders>
              <w:top w:val="nil"/>
            </w:tcBorders>
            <w:noWrap w:val="0"/>
            <w:vAlign w:val="center"/>
          </w:tcPr>
          <w:p>
            <w:pPr>
              <w:pStyle w:val="67"/>
              <w:ind w:firstLine="0" w:firstLineChars="0"/>
              <w:jc w:val="center"/>
              <w:rPr>
                <w:rFonts w:ascii="Arial" w:hAnsi="Arial" w:cs="Arial"/>
                <w:bCs/>
                <w:snapToGrid w:val="0"/>
                <w:sz w:val="20"/>
              </w:rPr>
            </w:pPr>
          </w:p>
        </w:tc>
        <w:tc>
          <w:tcPr>
            <w:tcW w:w="496" w:type="dxa"/>
            <w:noWrap w:val="0"/>
            <w:vAlign w:val="center"/>
          </w:tcPr>
          <w:p>
            <w:pPr>
              <w:pStyle w:val="67"/>
              <w:ind w:firstLine="0" w:firstLineChars="0"/>
              <w:jc w:val="center"/>
              <w:rPr>
                <w:rFonts w:hint="default" w:ascii="Arial" w:hAnsi="Arial" w:cs="Arial"/>
                <w:bCs/>
                <w:snapToGrid w:val="0"/>
                <w:sz w:val="20"/>
                <w:lang w:val="en-US" w:eastAsia="zh-CN"/>
              </w:rPr>
            </w:pPr>
            <w:r>
              <w:rPr>
                <w:rFonts w:hint="eastAsia" w:ascii="Arial" w:hAnsi="Arial" w:cs="Arial"/>
                <w:bCs/>
                <w:snapToGrid w:val="0"/>
                <w:sz w:val="20"/>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28" w:hRule="atLeast"/>
        </w:trPr>
        <w:tc>
          <w:tcPr>
            <w:tcW w:w="877" w:type="dxa"/>
            <w:vMerge w:val="continue"/>
            <w:tcBorders>
              <w:top w:val="nil"/>
            </w:tcBorders>
            <w:noWrap w:val="0"/>
            <w:vAlign w:val="center"/>
          </w:tcPr>
          <w:p>
            <w:pPr>
              <w:pStyle w:val="67"/>
              <w:ind w:firstLine="0" w:firstLineChars="0"/>
              <w:rPr>
                <w:rFonts w:ascii="Arial" w:hAnsi="Arial" w:cs="Arial"/>
                <w:bCs/>
                <w:snapToGrid w:val="0"/>
                <w:sz w:val="20"/>
              </w:rPr>
            </w:pPr>
          </w:p>
        </w:tc>
        <w:tc>
          <w:tcPr>
            <w:tcW w:w="1296" w:type="dxa"/>
            <w:vMerge w:val="continue"/>
            <w:tcBorders>
              <w:top w:val="nil"/>
            </w:tcBorders>
            <w:noWrap w:val="0"/>
            <w:vAlign w:val="center"/>
          </w:tcPr>
          <w:p>
            <w:pPr>
              <w:pStyle w:val="67"/>
              <w:ind w:firstLine="0" w:firstLineChars="0"/>
              <w:jc w:val="center"/>
              <w:rPr>
                <w:rFonts w:ascii="Arial" w:hAnsi="Arial" w:cs="Arial"/>
                <w:bCs/>
                <w:snapToGrid w:val="0"/>
                <w:sz w:val="20"/>
              </w:rPr>
            </w:pPr>
          </w:p>
        </w:tc>
        <w:tc>
          <w:tcPr>
            <w:tcW w:w="5276" w:type="dxa"/>
            <w:noWrap w:val="0"/>
            <w:vAlign w:val="center"/>
          </w:tcPr>
          <w:p>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③项目的实施对</w:t>
            </w:r>
            <w:r>
              <w:rPr>
                <w:rFonts w:hint="eastAsia" w:ascii="Arial" w:hAnsi="Arial" w:cs="Arial"/>
                <w:bCs/>
                <w:snapToGrid w:val="0"/>
                <w:sz w:val="20"/>
                <w:lang w:val="en-US" w:eastAsia="zh-CN"/>
              </w:rPr>
              <w:t>全区整体形象的提升</w:t>
            </w:r>
            <w:r>
              <w:rPr>
                <w:rFonts w:hint="eastAsia" w:ascii="Arial" w:hAnsi="Arial" w:cs="Arial"/>
                <w:bCs/>
                <w:snapToGrid w:val="0"/>
                <w:sz w:val="20"/>
                <w:lang w:eastAsia="zh-CN"/>
              </w:rPr>
              <w:t>。</w:t>
            </w:r>
          </w:p>
        </w:tc>
        <w:tc>
          <w:tcPr>
            <w:tcW w:w="377" w:type="dxa"/>
            <w:noWrap w:val="0"/>
            <w:vAlign w:val="center"/>
          </w:tcPr>
          <w:p>
            <w:pPr>
              <w:pStyle w:val="67"/>
              <w:ind w:firstLine="0" w:firstLineChars="0"/>
              <w:jc w:val="center"/>
              <w:rPr>
                <w:rFonts w:hint="default" w:ascii="Arial" w:hAnsi="Arial" w:cs="Arial"/>
                <w:bCs/>
                <w:snapToGrid w:val="0"/>
                <w:sz w:val="20"/>
                <w:lang w:val="en-US" w:eastAsia="zh-CN"/>
              </w:rPr>
            </w:pPr>
            <w:r>
              <w:rPr>
                <w:rFonts w:hint="eastAsia" w:ascii="Arial" w:hAnsi="Arial" w:cs="Arial"/>
                <w:bCs/>
                <w:snapToGrid w:val="0"/>
                <w:sz w:val="20"/>
                <w:lang w:val="en-US" w:eastAsia="zh-CN"/>
              </w:rPr>
              <w:t>3</w:t>
            </w:r>
          </w:p>
        </w:tc>
        <w:tc>
          <w:tcPr>
            <w:tcW w:w="541" w:type="dxa"/>
            <w:vMerge w:val="continue"/>
            <w:tcBorders>
              <w:top w:val="nil"/>
            </w:tcBorders>
            <w:noWrap w:val="0"/>
            <w:vAlign w:val="center"/>
          </w:tcPr>
          <w:p>
            <w:pPr>
              <w:pStyle w:val="67"/>
              <w:ind w:firstLine="0" w:firstLineChars="0"/>
              <w:jc w:val="center"/>
              <w:rPr>
                <w:rFonts w:ascii="Arial" w:hAnsi="Arial" w:cs="Arial"/>
                <w:bCs/>
                <w:snapToGrid w:val="0"/>
                <w:sz w:val="20"/>
              </w:rPr>
            </w:pPr>
          </w:p>
        </w:tc>
        <w:tc>
          <w:tcPr>
            <w:tcW w:w="496" w:type="dxa"/>
            <w:noWrap w:val="0"/>
            <w:vAlign w:val="center"/>
          </w:tcPr>
          <w:p>
            <w:pPr>
              <w:pStyle w:val="67"/>
              <w:ind w:firstLine="0" w:firstLineChars="0"/>
              <w:jc w:val="center"/>
              <w:rPr>
                <w:rFonts w:hint="default" w:ascii="Arial" w:hAnsi="Arial" w:cs="Arial"/>
                <w:bCs/>
                <w:snapToGrid w:val="0"/>
                <w:sz w:val="20"/>
                <w:lang w:val="en-US" w:eastAsia="zh-CN"/>
              </w:rPr>
            </w:pPr>
            <w:r>
              <w:rPr>
                <w:rFonts w:hint="eastAsia" w:ascii="Arial" w:hAnsi="Arial" w:cs="Arial"/>
                <w:bCs/>
                <w:snapToGrid w:val="0"/>
                <w:sz w:val="20"/>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3" w:hRule="atLeast"/>
        </w:trPr>
        <w:tc>
          <w:tcPr>
            <w:tcW w:w="7449" w:type="dxa"/>
            <w:gridSpan w:val="3"/>
            <w:noWrap w:val="0"/>
            <w:vAlign w:val="center"/>
          </w:tcPr>
          <w:p>
            <w:pPr>
              <w:pStyle w:val="67"/>
              <w:ind w:firstLine="0" w:firstLineChars="0"/>
              <w:jc w:val="center"/>
              <w:rPr>
                <w:rFonts w:ascii="Arial" w:hAnsi="Arial" w:cs="Arial"/>
                <w:bCs/>
                <w:snapToGrid w:val="0"/>
                <w:sz w:val="20"/>
              </w:rPr>
            </w:pPr>
            <w:r>
              <w:rPr>
                <w:rFonts w:hint="eastAsia" w:ascii="Arial" w:hAnsi="Arial" w:cs="Arial"/>
                <w:bCs/>
                <w:snapToGrid w:val="0"/>
                <w:sz w:val="20"/>
              </w:rPr>
              <w:t>合计</w:t>
            </w:r>
          </w:p>
        </w:tc>
        <w:tc>
          <w:tcPr>
            <w:tcW w:w="377" w:type="dxa"/>
            <w:noWrap w:val="0"/>
            <w:vAlign w:val="center"/>
          </w:tcPr>
          <w:p>
            <w:pPr>
              <w:pStyle w:val="67"/>
              <w:ind w:firstLine="0" w:firstLineChars="0"/>
              <w:jc w:val="center"/>
              <w:rPr>
                <w:rFonts w:hint="default" w:ascii="Arial" w:hAnsi="Arial" w:eastAsia="仿宋_GB2312" w:cs="Arial"/>
                <w:bCs/>
                <w:snapToGrid w:val="0"/>
                <w:sz w:val="20"/>
                <w:lang w:val="en-US" w:eastAsia="zh-CN"/>
              </w:rPr>
            </w:pPr>
            <w:r>
              <w:rPr>
                <w:rFonts w:hint="eastAsia" w:ascii="Arial" w:hAnsi="Arial" w:cs="Arial"/>
                <w:bCs/>
                <w:snapToGrid w:val="0"/>
                <w:sz w:val="20"/>
                <w:lang w:val="en-US" w:eastAsia="zh-CN"/>
              </w:rPr>
              <w:t>100</w:t>
            </w:r>
          </w:p>
        </w:tc>
        <w:tc>
          <w:tcPr>
            <w:tcW w:w="541" w:type="dxa"/>
            <w:noWrap w:val="0"/>
            <w:vAlign w:val="center"/>
          </w:tcPr>
          <w:p>
            <w:pPr>
              <w:pStyle w:val="67"/>
              <w:ind w:firstLine="0" w:firstLineChars="0"/>
              <w:jc w:val="center"/>
              <w:rPr>
                <w:rFonts w:ascii="Arial" w:hAnsi="Arial" w:cs="Arial"/>
                <w:bCs/>
                <w:snapToGrid w:val="0"/>
                <w:sz w:val="20"/>
              </w:rPr>
            </w:pPr>
          </w:p>
        </w:tc>
        <w:tc>
          <w:tcPr>
            <w:tcW w:w="496" w:type="dxa"/>
            <w:noWrap w:val="0"/>
            <w:vAlign w:val="center"/>
          </w:tcPr>
          <w:p>
            <w:pPr>
              <w:pStyle w:val="67"/>
              <w:ind w:firstLine="0" w:firstLineChars="0"/>
              <w:jc w:val="center"/>
              <w:rPr>
                <w:rFonts w:hint="default" w:ascii="Arial" w:hAnsi="Arial" w:eastAsia="仿宋_GB2312" w:cs="Arial"/>
                <w:bCs/>
                <w:snapToGrid w:val="0"/>
                <w:sz w:val="20"/>
                <w:lang w:val="en-US" w:eastAsia="zh-CN"/>
              </w:rPr>
            </w:pPr>
            <w:r>
              <w:rPr>
                <w:rFonts w:hint="eastAsia" w:ascii="Arial" w:hAnsi="Arial" w:cs="Arial"/>
                <w:bCs/>
                <w:snapToGrid w:val="0"/>
                <w:sz w:val="20"/>
                <w:lang w:val="en-US" w:eastAsia="zh-CN"/>
              </w:rPr>
              <w:t>95</w:t>
            </w:r>
          </w:p>
        </w:tc>
      </w:tr>
    </w:tbl>
    <w:p>
      <w:pPr>
        <w:pStyle w:val="2"/>
        <w:pageBreakBefore w:val="0"/>
        <w:widowControl w:val="0"/>
        <w:numPr>
          <w:ilvl w:val="0"/>
          <w:numId w:val="0"/>
        </w:numPr>
        <w:kinsoku/>
        <w:wordWrap/>
        <w:overflowPunct/>
        <w:topLinePunct w:val="0"/>
        <w:autoSpaceDE/>
        <w:autoSpaceDN/>
        <w:bidi w:val="0"/>
        <w:adjustRightInd w:val="0"/>
        <w:snapToGrid w:val="0"/>
        <w:spacing w:before="0" w:beforeLines="0" w:after="0" w:afterLines="0" w:line="600" w:lineRule="exact"/>
        <w:ind w:left="0" w:leftChars="0" w:firstLine="640" w:firstLineChars="200"/>
        <w:jc w:val="both"/>
        <w:textAlignment w:val="auto"/>
        <w:rPr>
          <w:rFonts w:hint="eastAsia" w:ascii="黑体" w:hAnsi="黑体" w:eastAsia="黑体" w:cs="黑体"/>
          <w:b w:val="0"/>
          <w:szCs w:val="32"/>
          <w:lang w:eastAsia="zh-CN"/>
        </w:rPr>
      </w:pPr>
      <w:bookmarkStart w:id="201" w:name="_Toc7074"/>
      <w:bookmarkStart w:id="202" w:name="_Toc10752"/>
      <w:bookmarkStart w:id="203" w:name="_Toc193453926"/>
      <w:bookmarkStart w:id="204" w:name="_Toc1269600848"/>
      <w:bookmarkStart w:id="205" w:name="_Toc20649"/>
      <w:bookmarkStart w:id="206" w:name="_Toc924138418"/>
      <w:bookmarkStart w:id="207" w:name="_Toc132480966"/>
      <w:bookmarkStart w:id="208" w:name="_Toc1506002849_WPSOffice_Level1"/>
      <w:bookmarkStart w:id="209" w:name="_Toc737820165"/>
      <w:bookmarkStart w:id="210" w:name="_Toc18745"/>
      <w:bookmarkStart w:id="211" w:name="_Toc6088"/>
      <w:r>
        <w:rPr>
          <w:rFonts w:hint="eastAsia" w:ascii="黑体" w:hAnsi="黑体" w:eastAsia="黑体" w:cs="黑体"/>
          <w:b w:val="0"/>
          <w:szCs w:val="32"/>
          <w:lang w:eastAsia="zh-CN"/>
        </w:rPr>
        <w:t>四、绩效评价</w:t>
      </w:r>
      <w:bookmarkEnd w:id="201"/>
      <w:bookmarkEnd w:id="202"/>
      <w:bookmarkEnd w:id="203"/>
      <w:bookmarkEnd w:id="204"/>
      <w:bookmarkEnd w:id="205"/>
      <w:bookmarkEnd w:id="206"/>
      <w:bookmarkEnd w:id="207"/>
      <w:bookmarkEnd w:id="208"/>
      <w:bookmarkEnd w:id="209"/>
      <w:r>
        <w:rPr>
          <w:rFonts w:hint="eastAsia" w:ascii="黑体" w:hAnsi="黑体" w:eastAsia="黑体" w:cs="黑体"/>
          <w:b w:val="0"/>
          <w:szCs w:val="32"/>
          <w:lang w:eastAsia="zh-CN"/>
        </w:rPr>
        <w:t>内容与结论</w:t>
      </w:r>
      <w:bookmarkEnd w:id="210"/>
      <w:bookmarkEnd w:id="211"/>
    </w:p>
    <w:p>
      <w:pPr>
        <w:pStyle w:val="3"/>
        <w:pageBreakBefore w:val="0"/>
        <w:widowControl w:val="0"/>
        <w:numPr>
          <w:ilvl w:val="0"/>
          <w:numId w:val="0"/>
        </w:numPr>
        <w:kinsoku/>
        <w:wordWrap/>
        <w:overflowPunct/>
        <w:topLinePunct w:val="0"/>
        <w:autoSpaceDE/>
        <w:autoSpaceDN/>
        <w:bidi w:val="0"/>
        <w:adjustRightInd w:val="0"/>
        <w:snapToGrid w:val="0"/>
        <w:spacing w:before="0" w:beforeLines="0" w:after="0" w:afterLines="0" w:line="600" w:lineRule="exact"/>
        <w:ind w:left="0" w:leftChars="0" w:firstLine="640" w:firstLineChars="200"/>
        <w:jc w:val="both"/>
        <w:textAlignment w:val="auto"/>
        <w:rPr>
          <w:rFonts w:hint="eastAsia" w:ascii="仿宋" w:hAnsi="仿宋" w:eastAsia="仿宋" w:cs="仿宋"/>
          <w:b w:val="0"/>
          <w:szCs w:val="32"/>
          <w:lang w:eastAsia="zh-CN"/>
        </w:rPr>
      </w:pPr>
      <w:bookmarkStart w:id="212" w:name="_Toc31996"/>
      <w:bookmarkStart w:id="213" w:name="_Toc785"/>
      <w:r>
        <w:rPr>
          <w:rFonts w:hint="eastAsia" w:ascii="楷体" w:hAnsi="楷体" w:eastAsia="楷体" w:cs="楷体"/>
          <w:b w:val="0"/>
          <w:kern w:val="44"/>
          <w:szCs w:val="32"/>
          <w:lang w:eastAsia="zh-CN"/>
        </w:rPr>
        <w:t>（一）项目实施的必要性、公益性、</w:t>
      </w:r>
      <w:r>
        <w:rPr>
          <w:rFonts w:hint="eastAsia" w:ascii="楷体" w:hAnsi="楷体" w:eastAsia="楷体" w:cs="楷体"/>
          <w:b w:val="0"/>
          <w:kern w:val="44"/>
          <w:szCs w:val="32"/>
          <w:lang w:val="en-US" w:eastAsia="zh-CN"/>
        </w:rPr>
        <w:t>经济</w:t>
      </w:r>
      <w:r>
        <w:rPr>
          <w:rFonts w:hint="eastAsia" w:ascii="楷体" w:hAnsi="楷体" w:eastAsia="楷体" w:cs="楷体"/>
          <w:b w:val="0"/>
          <w:kern w:val="44"/>
          <w:szCs w:val="32"/>
          <w:lang w:eastAsia="zh-CN"/>
        </w:rPr>
        <w:t>性</w:t>
      </w:r>
      <w:bookmarkEnd w:id="212"/>
      <w:bookmarkEnd w:id="213"/>
    </w:p>
    <w:p>
      <w:pPr>
        <w:pageBreakBefore w:val="0"/>
        <w:widowControl w:val="0"/>
        <w:kinsoku/>
        <w:wordWrap/>
        <w:overflowPunct/>
        <w:topLinePunct w:val="0"/>
        <w:autoSpaceDE/>
        <w:autoSpaceDN/>
        <w:bidi w:val="0"/>
        <w:adjustRightInd w:val="0"/>
        <w:snapToGrid w:val="0"/>
        <w:spacing w:line="600" w:lineRule="exact"/>
        <w:ind w:left="0" w:firstLine="640"/>
        <w:jc w:val="both"/>
        <w:textAlignment w:val="auto"/>
        <w:rPr>
          <w:rFonts w:hint="eastAsia" w:ascii="仿宋" w:hAnsi="仿宋" w:eastAsia="仿宋" w:cs="仿宋"/>
          <w:szCs w:val="32"/>
          <w:lang w:eastAsia="zh-CN"/>
        </w:rPr>
      </w:pPr>
      <w:r>
        <w:rPr>
          <w:rFonts w:hint="eastAsia" w:ascii="仿宋" w:hAnsi="仿宋" w:eastAsia="仿宋" w:cs="仿宋"/>
          <w:b w:val="0"/>
          <w:color w:val="000000"/>
          <w:kern w:val="44"/>
          <w:sz w:val="32"/>
          <w:szCs w:val="32"/>
          <w:lang w:val="en-US" w:eastAsia="zh-CN" w:bidi="en-US"/>
        </w:rPr>
        <w:t>项目实施的必要性、公益性、收益性方面，指标总分16分，评估得分16分。具体如下</w:t>
      </w:r>
      <w:r>
        <w:rPr>
          <w:rFonts w:hint="eastAsia" w:ascii="仿宋" w:hAnsi="仿宋" w:eastAsia="仿宋" w:cs="仿宋"/>
          <w:szCs w:val="32"/>
          <w:lang w:eastAsia="zh-CN"/>
        </w:rPr>
        <w:t>：</w:t>
      </w:r>
    </w:p>
    <w:p>
      <w:pPr>
        <w:pageBreakBefore w:val="0"/>
        <w:widowControl w:val="0"/>
        <w:kinsoku/>
        <w:wordWrap/>
        <w:overflowPunct/>
        <w:topLinePunct w:val="0"/>
        <w:autoSpaceDE/>
        <w:autoSpaceDN/>
        <w:bidi w:val="0"/>
        <w:adjustRightInd w:val="0"/>
        <w:snapToGrid w:val="0"/>
        <w:spacing w:line="600" w:lineRule="exact"/>
        <w:ind w:left="0" w:firstLine="640" w:firstLineChars="0"/>
        <w:jc w:val="both"/>
        <w:textAlignment w:val="auto"/>
        <w:rPr>
          <w:rFonts w:hint="eastAsia" w:ascii="仿宋" w:hAnsi="仿宋" w:eastAsia="仿宋" w:cs="仿宋"/>
          <w:szCs w:val="32"/>
          <w:lang w:eastAsia="zh-CN"/>
        </w:rPr>
      </w:pPr>
      <w:r>
        <w:rPr>
          <w:rFonts w:hint="eastAsia" w:ascii="仿宋" w:hAnsi="仿宋" w:eastAsia="仿宋" w:cs="仿宋"/>
          <w:szCs w:val="32"/>
          <w:lang w:eastAsia="zh-CN"/>
        </w:rPr>
        <w:t>1.项</w:t>
      </w:r>
      <w:bookmarkStart w:id="214" w:name="OLE_LINK3"/>
      <w:r>
        <w:rPr>
          <w:rFonts w:hint="eastAsia" w:ascii="仿宋" w:hAnsi="仿宋" w:eastAsia="仿宋" w:cs="仿宋"/>
          <w:szCs w:val="32"/>
          <w:lang w:eastAsia="zh-CN"/>
        </w:rPr>
        <w:t>目实施的必要性</w:t>
      </w:r>
      <w:bookmarkEnd w:id="214"/>
    </w:p>
    <w:p>
      <w:pPr>
        <w:pageBreakBefore w:val="0"/>
        <w:widowControl w:val="0"/>
        <w:kinsoku/>
        <w:wordWrap/>
        <w:overflowPunct/>
        <w:topLinePunct w:val="0"/>
        <w:autoSpaceDE/>
        <w:autoSpaceDN/>
        <w:bidi w:val="0"/>
        <w:adjustRightInd w:val="0"/>
        <w:snapToGrid w:val="0"/>
        <w:spacing w:line="600" w:lineRule="exact"/>
        <w:ind w:left="0" w:firstLine="640"/>
        <w:jc w:val="both"/>
        <w:textAlignment w:val="auto"/>
        <w:rPr>
          <w:rFonts w:hint="eastAsia" w:ascii="仿宋" w:hAnsi="仿宋" w:eastAsia="仿宋" w:cs="仿宋"/>
          <w:szCs w:val="32"/>
          <w:lang w:eastAsia="zh-CN"/>
        </w:rPr>
      </w:pPr>
      <w:r>
        <w:rPr>
          <w:rFonts w:hint="eastAsia" w:ascii="仿宋" w:hAnsi="仿宋" w:eastAsia="仿宋" w:cs="仿宋"/>
          <w:b w:val="0"/>
          <w:color w:val="000000"/>
          <w:kern w:val="44"/>
          <w:sz w:val="32"/>
          <w:szCs w:val="32"/>
          <w:lang w:val="en-US" w:eastAsia="zh-CN" w:bidi="en-US"/>
        </w:rPr>
        <w:t>宣传思想工作是一项极为重要的工作，宣传舆论关系到党和国家长治久安，关键时刻更凸显宣传思想工作的极端重要性。宣传能够提高一个地方的文化软实力，进而提升地方的综合竞争力，带动经济、文化各方位发展</w:t>
      </w:r>
      <w:r>
        <w:rPr>
          <w:rFonts w:hint="eastAsia" w:ascii="仿宋" w:hAnsi="仿宋" w:eastAsia="仿宋" w:cs="仿宋"/>
          <w:szCs w:val="32"/>
          <w:lang w:eastAsia="zh-CN"/>
        </w:rPr>
        <w:t>。</w:t>
      </w:r>
    </w:p>
    <w:p>
      <w:pPr>
        <w:pageBreakBefore w:val="0"/>
        <w:widowControl w:val="0"/>
        <w:kinsoku/>
        <w:wordWrap/>
        <w:overflowPunct/>
        <w:topLinePunct w:val="0"/>
        <w:autoSpaceDE/>
        <w:autoSpaceDN/>
        <w:bidi w:val="0"/>
        <w:adjustRightInd w:val="0"/>
        <w:snapToGrid w:val="0"/>
        <w:spacing w:line="600" w:lineRule="exact"/>
        <w:ind w:left="0" w:firstLine="640"/>
        <w:jc w:val="both"/>
        <w:textAlignment w:val="auto"/>
        <w:rPr>
          <w:rFonts w:hint="eastAsia" w:ascii="仿宋" w:hAnsi="仿宋" w:eastAsia="仿宋" w:cs="仿宋"/>
          <w:szCs w:val="32"/>
          <w:lang w:val="en-US" w:eastAsia="zh-CN"/>
        </w:rPr>
      </w:pPr>
      <w:r>
        <w:rPr>
          <w:rFonts w:hint="eastAsia" w:ascii="仿宋" w:hAnsi="仿宋" w:eastAsia="仿宋" w:cs="仿宋"/>
          <w:b w:val="0"/>
          <w:color w:val="000000"/>
          <w:kern w:val="44"/>
          <w:sz w:val="32"/>
          <w:szCs w:val="32"/>
          <w:lang w:val="en-US" w:eastAsia="zh-CN" w:bidi="en-US"/>
        </w:rPr>
        <w:t>通过投入宣传经费，利用各种媒体渠道和宣传手段，可以将金口河区的特色亮点传播出去，吸引更多人关注。宣传能助力招商引资，通过宣传金口河区的投资环境、优惠政策和产业优势，吸引更多企业前来投资兴业，推动产业升级和经济发展。宣传还能推动旅游业发展，金口河区的大峡谷等自然景观独具魅力，通过宣传吸引更多游客，能带动当地旅游及相关产业发展，增加就业机会和居民收入。利用宣传经费打造统一、正面的区域形象，能展现金口河区在生态环保、社会治理、文化建设等方面的成就，增强居民的归属感和自豪感，也能让外界对金口河区有更全面、客观的认识，提升区域的美誉度和影响力。金口河区有丰富的少数民族文化等独特文化资源，宣传经费的投入有助于保护和传承这些文化，通过对外宣传让更多人了解当地文化，促进不同地区之间的文化交流与融合，推动文化的创新与发展</w:t>
      </w:r>
      <w:r>
        <w:rPr>
          <w:rFonts w:hint="eastAsia" w:ascii="仿宋" w:hAnsi="仿宋" w:eastAsia="仿宋" w:cs="仿宋"/>
          <w:szCs w:val="32"/>
          <w:lang w:val="en-US" w:eastAsia="zh-CN"/>
        </w:rPr>
        <w:t>。</w:t>
      </w:r>
    </w:p>
    <w:p>
      <w:pPr>
        <w:pageBreakBefore w:val="0"/>
        <w:widowControl w:val="0"/>
        <w:kinsoku/>
        <w:wordWrap/>
        <w:overflowPunct/>
        <w:topLinePunct w:val="0"/>
        <w:autoSpaceDE/>
        <w:autoSpaceDN/>
        <w:bidi w:val="0"/>
        <w:adjustRightInd w:val="0"/>
        <w:snapToGrid w:val="0"/>
        <w:spacing w:line="600" w:lineRule="exact"/>
        <w:ind w:left="0" w:firstLine="640"/>
        <w:jc w:val="both"/>
        <w:textAlignment w:val="auto"/>
        <w:rPr>
          <w:rFonts w:hint="eastAsia" w:ascii="仿宋" w:hAnsi="仿宋" w:eastAsia="仿宋" w:cs="仿宋"/>
          <w:szCs w:val="32"/>
          <w:lang w:eastAsia="zh-CN"/>
        </w:rPr>
      </w:pPr>
      <w:r>
        <w:rPr>
          <w:rFonts w:hint="eastAsia" w:ascii="仿宋" w:hAnsi="仿宋" w:eastAsia="仿宋" w:cs="仿宋"/>
          <w:b w:val="0"/>
          <w:color w:val="000000"/>
          <w:kern w:val="44"/>
          <w:sz w:val="32"/>
          <w:szCs w:val="32"/>
          <w:lang w:val="en-US" w:eastAsia="zh-CN" w:bidi="en-US"/>
        </w:rPr>
        <w:t>宣传经费可用于宣传金口河区在教育、医疗、社会保障等社会事业方面的发展成果和政策举措，吸引更多人才流入，也能促进社会各界对金口河区社会事业的关注和支持，推动各项社会事业不断进步。根据评分标准，总分4分，得4分</w:t>
      </w:r>
      <w:r>
        <w:rPr>
          <w:rFonts w:hint="eastAsia" w:ascii="仿宋" w:hAnsi="仿宋" w:eastAsia="仿宋" w:cs="仿宋"/>
          <w:szCs w:val="32"/>
          <w:lang w:eastAsia="zh-CN"/>
        </w:rPr>
        <w:t>。</w:t>
      </w:r>
    </w:p>
    <w:p>
      <w:pPr>
        <w:pageBreakBefore w:val="0"/>
        <w:widowControl w:val="0"/>
        <w:kinsoku/>
        <w:wordWrap/>
        <w:overflowPunct/>
        <w:topLinePunct w:val="0"/>
        <w:autoSpaceDE/>
        <w:autoSpaceDN/>
        <w:bidi w:val="0"/>
        <w:adjustRightInd w:val="0"/>
        <w:snapToGrid w:val="0"/>
        <w:spacing w:line="600" w:lineRule="exact"/>
        <w:ind w:left="0" w:firstLineChars="0"/>
        <w:jc w:val="both"/>
        <w:textAlignment w:val="auto"/>
        <w:rPr>
          <w:rFonts w:hint="eastAsia" w:ascii="仿宋" w:hAnsi="仿宋" w:eastAsia="仿宋" w:cs="仿宋"/>
          <w:bCs/>
          <w:kern w:val="2"/>
          <w:szCs w:val="32"/>
          <w:lang w:eastAsia="zh-CN" w:bidi="ar-SA"/>
        </w:rPr>
      </w:pPr>
      <w:r>
        <w:rPr>
          <w:rFonts w:hint="eastAsia" w:ascii="仿宋" w:hAnsi="仿宋" w:eastAsia="仿宋" w:cs="仿宋"/>
          <w:bCs/>
          <w:kern w:val="2"/>
          <w:szCs w:val="32"/>
          <w:lang w:eastAsia="zh-CN" w:bidi="ar-SA"/>
        </w:rPr>
        <w:t>2.项</w:t>
      </w:r>
      <w:r>
        <w:rPr>
          <w:rFonts w:hint="eastAsia" w:ascii="仿宋" w:hAnsi="仿宋" w:eastAsia="仿宋" w:cs="仿宋"/>
          <w:szCs w:val="32"/>
          <w:lang w:eastAsia="zh-CN"/>
        </w:rPr>
        <w:t>目实施的公益性</w:t>
      </w:r>
    </w:p>
    <w:p>
      <w:pPr>
        <w:pageBreakBefore w:val="0"/>
        <w:widowControl w:val="0"/>
        <w:kinsoku/>
        <w:wordWrap/>
        <w:overflowPunct/>
        <w:topLinePunct w:val="0"/>
        <w:autoSpaceDE/>
        <w:autoSpaceDN/>
        <w:bidi w:val="0"/>
        <w:adjustRightInd w:val="0"/>
        <w:snapToGrid w:val="0"/>
        <w:spacing w:line="600" w:lineRule="exact"/>
        <w:ind w:left="0" w:firstLineChars="0"/>
        <w:jc w:val="both"/>
        <w:textAlignment w:val="auto"/>
        <w:rPr>
          <w:rFonts w:hint="eastAsia" w:ascii="仿宋" w:hAnsi="仿宋" w:eastAsia="仿宋" w:cs="仿宋"/>
          <w:szCs w:val="32"/>
          <w:lang w:eastAsia="zh-CN"/>
        </w:rPr>
      </w:pPr>
      <w:r>
        <w:rPr>
          <w:rFonts w:hint="eastAsia" w:ascii="仿宋" w:hAnsi="仿宋" w:eastAsia="仿宋" w:cs="仿宋"/>
          <w:b w:val="0"/>
          <w:color w:val="000000"/>
          <w:kern w:val="44"/>
          <w:sz w:val="32"/>
          <w:szCs w:val="32"/>
          <w:lang w:val="en-US" w:eastAsia="zh-CN" w:bidi="en-US"/>
        </w:rPr>
        <w:t>宣传能让更多人知晓金口河区，无论是独特的自然景观、丰富的文化遗产还是特色产业，这有利于吸引游客、投资与人才，促进区域发展，带来更多就业机会与发展资源，让居民受益。通过宣传，金口河区的传统文化、民俗风情得以广泛传播，让更多人了解和欣赏，增强当地居民对本土文化的认同感与自豪感，同时也为文化传承创造更好条件，避免文化失传。对外宣传不仅是形象展示，也包含实用信息传播，如区域发展规划、政策解读等，帮助居民更好了解家乡发展动态，参与区域建设，同时为外来游客和投资者提供准确信息，方便他们的出行与决策</w:t>
      </w:r>
      <w:r>
        <w:rPr>
          <w:rFonts w:hint="eastAsia" w:ascii="仿宋" w:hAnsi="仿宋" w:eastAsia="仿宋" w:cs="仿宋"/>
          <w:szCs w:val="32"/>
          <w:lang w:eastAsia="zh-CN"/>
        </w:rPr>
        <w:t>。</w:t>
      </w:r>
    </w:p>
    <w:p>
      <w:pPr>
        <w:pageBreakBefore w:val="0"/>
        <w:widowControl w:val="0"/>
        <w:kinsoku/>
        <w:wordWrap/>
        <w:overflowPunct/>
        <w:topLinePunct w:val="0"/>
        <w:autoSpaceDE/>
        <w:autoSpaceDN/>
        <w:bidi w:val="0"/>
        <w:adjustRightInd w:val="0"/>
        <w:snapToGrid w:val="0"/>
        <w:spacing w:line="600" w:lineRule="exact"/>
        <w:ind w:left="0" w:firstLineChars="0"/>
        <w:jc w:val="both"/>
        <w:textAlignment w:val="auto"/>
        <w:rPr>
          <w:rFonts w:hint="eastAsia" w:ascii="仿宋" w:hAnsi="仿宋" w:eastAsia="仿宋" w:cs="仿宋"/>
          <w:szCs w:val="32"/>
          <w:lang w:eastAsia="zh-CN"/>
        </w:rPr>
      </w:pPr>
      <w:r>
        <w:rPr>
          <w:rFonts w:hint="eastAsia" w:ascii="仿宋" w:hAnsi="仿宋" w:eastAsia="仿宋" w:cs="仿宋"/>
          <w:b w:val="0"/>
          <w:color w:val="000000"/>
          <w:kern w:val="44"/>
          <w:sz w:val="32"/>
          <w:szCs w:val="32"/>
          <w:lang w:val="en-US" w:eastAsia="zh-CN" w:bidi="en-US"/>
        </w:rPr>
        <w:t>良好的对外宣传塑造积极区域形象，吸引外部关注与支持，促进金口河区与其他地区交流合作，引入外部资源，缩小与发达地区差距，推动社会全面、和谐发展。根据评分标准，总分4分，得4分</w:t>
      </w:r>
      <w:r>
        <w:rPr>
          <w:rFonts w:hint="eastAsia" w:ascii="仿宋" w:hAnsi="仿宋" w:eastAsia="仿宋" w:cs="仿宋"/>
          <w:szCs w:val="32"/>
          <w:lang w:eastAsia="zh-CN"/>
        </w:rPr>
        <w:t>。</w:t>
      </w:r>
    </w:p>
    <w:p>
      <w:pPr>
        <w:pageBreakBefore w:val="0"/>
        <w:widowControl w:val="0"/>
        <w:kinsoku/>
        <w:wordWrap/>
        <w:overflowPunct/>
        <w:topLinePunct w:val="0"/>
        <w:autoSpaceDE/>
        <w:autoSpaceDN/>
        <w:bidi w:val="0"/>
        <w:adjustRightInd w:val="0"/>
        <w:snapToGrid w:val="0"/>
        <w:spacing w:line="600" w:lineRule="exact"/>
        <w:ind w:left="0" w:firstLineChars="0"/>
        <w:jc w:val="both"/>
        <w:textAlignment w:val="auto"/>
        <w:rPr>
          <w:rFonts w:hint="eastAsia" w:ascii="仿宋" w:hAnsi="仿宋" w:eastAsia="仿宋" w:cs="仿宋"/>
          <w:szCs w:val="32"/>
          <w:lang w:eastAsia="zh-CN"/>
        </w:rPr>
      </w:pPr>
      <w:r>
        <w:rPr>
          <w:rFonts w:hint="eastAsia" w:ascii="仿宋" w:hAnsi="仿宋" w:eastAsia="仿宋" w:cs="仿宋"/>
          <w:szCs w:val="32"/>
          <w:lang w:eastAsia="zh-CN"/>
        </w:rPr>
        <w:t>3.项目实施的</w:t>
      </w:r>
      <w:r>
        <w:rPr>
          <w:rFonts w:hint="eastAsia" w:ascii="仿宋" w:hAnsi="仿宋" w:eastAsia="仿宋" w:cs="仿宋"/>
          <w:szCs w:val="32"/>
          <w:lang w:val="en-US" w:eastAsia="zh-CN"/>
        </w:rPr>
        <w:t>经济</w:t>
      </w:r>
      <w:r>
        <w:rPr>
          <w:rFonts w:hint="eastAsia" w:ascii="仿宋" w:hAnsi="仿宋" w:eastAsia="仿宋" w:cs="仿宋"/>
          <w:szCs w:val="32"/>
          <w:lang w:eastAsia="zh-CN"/>
        </w:rPr>
        <w:t>性</w:t>
      </w:r>
    </w:p>
    <w:p>
      <w:pPr>
        <w:pageBreakBefore w:val="0"/>
        <w:widowControl w:val="0"/>
        <w:kinsoku/>
        <w:wordWrap/>
        <w:overflowPunct/>
        <w:topLinePunct w:val="0"/>
        <w:autoSpaceDE/>
        <w:autoSpaceDN/>
        <w:bidi w:val="0"/>
        <w:adjustRightInd w:val="0"/>
        <w:snapToGrid w:val="0"/>
        <w:spacing w:line="600" w:lineRule="exact"/>
        <w:ind w:left="0" w:firstLineChars="0"/>
        <w:jc w:val="both"/>
        <w:textAlignment w:val="auto"/>
        <w:rPr>
          <w:rFonts w:hint="eastAsia" w:ascii="仿宋_GB2312" w:hAnsi="宋体" w:eastAsia="仿宋_GB2312"/>
          <w:sz w:val="32"/>
          <w:szCs w:val="32"/>
        </w:rPr>
      </w:pPr>
      <w:r>
        <w:rPr>
          <w:rFonts w:hint="eastAsia" w:ascii="仿宋" w:hAnsi="仿宋" w:eastAsia="仿宋" w:cs="仿宋"/>
          <w:b w:val="0"/>
          <w:color w:val="000000"/>
          <w:kern w:val="44"/>
          <w:sz w:val="32"/>
          <w:szCs w:val="32"/>
          <w:lang w:val="en-US" w:eastAsia="zh-CN" w:bidi="en-US"/>
        </w:rPr>
        <w:t>外宣经费主要用于与中央、省、市主流媒体展开务实合作以及全区宣传氛围营造，大型外事宣传活动中产生的费用等</w:t>
      </w:r>
      <w:r>
        <w:rPr>
          <w:rFonts w:hint="eastAsia" w:ascii="仿宋_GB2312" w:hAnsi="宋体" w:eastAsia="仿宋_GB2312"/>
          <w:sz w:val="32"/>
          <w:szCs w:val="32"/>
        </w:rPr>
        <w:t>。</w:t>
      </w:r>
    </w:p>
    <w:p>
      <w:pPr>
        <w:pageBreakBefore w:val="0"/>
        <w:widowControl w:val="0"/>
        <w:kinsoku/>
        <w:wordWrap/>
        <w:overflowPunct/>
        <w:topLinePunct w:val="0"/>
        <w:autoSpaceDE/>
        <w:autoSpaceDN/>
        <w:bidi w:val="0"/>
        <w:adjustRightInd w:val="0"/>
        <w:snapToGrid w:val="0"/>
        <w:spacing w:line="600" w:lineRule="exact"/>
        <w:ind w:left="0" w:firstLineChars="0"/>
        <w:jc w:val="both"/>
        <w:textAlignment w:val="auto"/>
        <w:rPr>
          <w:rFonts w:hint="eastAsia" w:ascii="仿宋_GB2312" w:hAnsi="宋体" w:eastAsia="仿宋_GB2312"/>
          <w:sz w:val="32"/>
          <w:szCs w:val="32"/>
        </w:rPr>
      </w:pPr>
      <w:r>
        <w:rPr>
          <w:rFonts w:hint="eastAsia" w:ascii="仿宋" w:hAnsi="仿宋" w:eastAsia="仿宋" w:cs="仿宋"/>
          <w:b w:val="0"/>
          <w:color w:val="000000"/>
          <w:kern w:val="44"/>
          <w:sz w:val="32"/>
          <w:szCs w:val="32"/>
          <w:lang w:val="en-US" w:eastAsia="zh-CN" w:bidi="en-US"/>
        </w:rPr>
        <w:t>根据宣传重点和目标，将资金分配到不同的宣传渠道和项目中，如在新媒体平台和传统媒体上的广告投放、制作宣传资料等，避免资金浪费。与本地媒体、文化机构等合作，降低宣传成本，同时提高资源利用效率。在项目实施过程中，通过询价、比选等方式选择性价比高的服务供应商和产品，如选择价格合理且质量可靠的广告公司、印刷企业等。严格控制宣传活动的规模和预算，避免铺张浪费，确保每一笔经费都能发挥最大的作用</w:t>
      </w:r>
      <w:r>
        <w:rPr>
          <w:rFonts w:hint="eastAsia" w:ascii="仿宋_GB2312" w:hAnsi="宋体" w:eastAsia="仿宋_GB2312"/>
          <w:sz w:val="32"/>
          <w:szCs w:val="32"/>
        </w:rPr>
        <w:t>。</w:t>
      </w:r>
    </w:p>
    <w:p>
      <w:pPr>
        <w:pageBreakBefore w:val="0"/>
        <w:widowControl w:val="0"/>
        <w:kinsoku/>
        <w:wordWrap/>
        <w:overflowPunct/>
        <w:topLinePunct w:val="0"/>
        <w:autoSpaceDE/>
        <w:autoSpaceDN/>
        <w:bidi w:val="0"/>
        <w:adjustRightInd w:val="0"/>
        <w:snapToGrid w:val="0"/>
        <w:spacing w:line="600" w:lineRule="exact"/>
        <w:ind w:left="0" w:firstLineChars="0"/>
        <w:jc w:val="both"/>
        <w:textAlignment w:val="auto"/>
        <w:rPr>
          <w:rFonts w:hint="eastAsia" w:ascii="仿宋" w:hAnsi="仿宋" w:eastAsia="仿宋" w:cs="仿宋"/>
          <w:b w:val="0"/>
          <w:color w:val="000000"/>
          <w:kern w:val="44"/>
          <w:sz w:val="32"/>
          <w:szCs w:val="32"/>
          <w:lang w:val="en-US" w:eastAsia="zh-CN" w:bidi="en-US"/>
        </w:rPr>
      </w:pPr>
      <w:r>
        <w:rPr>
          <w:rFonts w:hint="eastAsia" w:ascii="仿宋" w:hAnsi="仿宋" w:eastAsia="仿宋" w:cs="仿宋"/>
          <w:b w:val="0"/>
          <w:color w:val="000000"/>
          <w:kern w:val="44"/>
          <w:sz w:val="32"/>
          <w:szCs w:val="32"/>
          <w:lang w:val="en-US" w:eastAsia="zh-CN" w:bidi="en-US"/>
        </w:rPr>
        <w:t>通过精准的宣传定位和策略，提高宣传效果，吸引更多的游客、投资者和人才，为金口河区带来经济收益和发展机遇，从而实现资金的增值和回报。利用有限的经费开展多样化的宣传活动，如举办特色文化节、旅游推介会等，以小成本获得大效益，提升金口河区的知名度和美誉度。持续投入宣传经费，有助于打造金口河区的品牌形象，形成长期的品牌价值，为区域的经济发展提供持续的动力。</w:t>
      </w:r>
    </w:p>
    <w:p>
      <w:pPr>
        <w:pageBreakBefore w:val="0"/>
        <w:widowControl w:val="0"/>
        <w:kinsoku/>
        <w:wordWrap/>
        <w:overflowPunct/>
        <w:topLinePunct w:val="0"/>
        <w:autoSpaceDE/>
        <w:autoSpaceDN/>
        <w:bidi w:val="0"/>
        <w:adjustRightInd w:val="0"/>
        <w:snapToGrid w:val="0"/>
        <w:spacing w:line="600" w:lineRule="exact"/>
        <w:ind w:left="0" w:firstLineChars="0"/>
        <w:jc w:val="both"/>
        <w:textAlignment w:val="auto"/>
        <w:rPr>
          <w:rFonts w:hint="eastAsia" w:ascii="仿宋_GB2312" w:hAnsi="宋体" w:eastAsia="仿宋_GB2312"/>
          <w:sz w:val="32"/>
          <w:szCs w:val="32"/>
          <w:lang w:eastAsia="zh-CN"/>
        </w:rPr>
      </w:pPr>
      <w:r>
        <w:rPr>
          <w:rFonts w:hint="eastAsia" w:ascii="仿宋" w:hAnsi="仿宋" w:eastAsia="仿宋" w:cs="仿宋"/>
          <w:b w:val="0"/>
          <w:color w:val="000000"/>
          <w:kern w:val="44"/>
          <w:sz w:val="32"/>
          <w:szCs w:val="32"/>
          <w:lang w:val="en-US" w:eastAsia="zh-CN" w:bidi="en-US"/>
        </w:rPr>
        <w:t>良好的对外形象可以吸引更多的长期合作项目和投资，促进产业发展，从长远来看，经济效益显著。根据评分标准，总分8分，得8分</w:t>
      </w:r>
      <w:r>
        <w:rPr>
          <w:rFonts w:hint="eastAsia" w:ascii="仿宋_GB2312" w:hAnsi="宋体" w:eastAsia="仿宋_GB2312"/>
          <w:sz w:val="32"/>
          <w:szCs w:val="32"/>
          <w:lang w:eastAsia="zh-CN"/>
        </w:rPr>
        <w:t>。</w:t>
      </w:r>
    </w:p>
    <w:p>
      <w:pPr>
        <w:pStyle w:val="3"/>
        <w:pageBreakBefore w:val="0"/>
        <w:widowControl w:val="0"/>
        <w:numPr>
          <w:ilvl w:val="0"/>
          <w:numId w:val="0"/>
        </w:numPr>
        <w:kinsoku/>
        <w:wordWrap/>
        <w:overflowPunct/>
        <w:topLinePunct w:val="0"/>
        <w:autoSpaceDE/>
        <w:autoSpaceDN/>
        <w:bidi w:val="0"/>
        <w:adjustRightInd w:val="0"/>
        <w:snapToGrid w:val="0"/>
        <w:spacing w:before="0" w:beforeLines="0" w:after="0" w:afterLines="0" w:line="600" w:lineRule="exact"/>
        <w:ind w:left="0" w:leftChars="0" w:firstLine="640" w:firstLineChars="200"/>
        <w:jc w:val="both"/>
        <w:textAlignment w:val="auto"/>
        <w:rPr>
          <w:rFonts w:hint="eastAsia" w:ascii="楷体" w:hAnsi="楷体" w:eastAsia="楷体" w:cs="楷体"/>
          <w:b w:val="0"/>
          <w:szCs w:val="32"/>
          <w:lang w:eastAsia="zh-CN"/>
        </w:rPr>
      </w:pPr>
      <w:bookmarkStart w:id="215" w:name="_Toc12059"/>
      <w:bookmarkStart w:id="216" w:name="_Toc1742"/>
      <w:r>
        <w:rPr>
          <w:rFonts w:hint="eastAsia" w:ascii="楷体" w:hAnsi="楷体" w:eastAsia="楷体" w:cs="楷体"/>
          <w:b w:val="0"/>
          <w:kern w:val="44"/>
          <w:szCs w:val="32"/>
          <w:lang w:eastAsia="zh-CN"/>
        </w:rPr>
        <w:t>（二）项目实施合规性与成熟度</w:t>
      </w:r>
      <w:bookmarkEnd w:id="215"/>
      <w:bookmarkEnd w:id="216"/>
    </w:p>
    <w:p>
      <w:pPr>
        <w:pageBreakBefore w:val="0"/>
        <w:widowControl w:val="0"/>
        <w:kinsoku/>
        <w:wordWrap/>
        <w:overflowPunct/>
        <w:topLinePunct w:val="0"/>
        <w:autoSpaceDE/>
        <w:autoSpaceDN/>
        <w:bidi w:val="0"/>
        <w:adjustRightInd w:val="0"/>
        <w:snapToGrid w:val="0"/>
        <w:spacing w:line="600" w:lineRule="exact"/>
        <w:ind w:left="0" w:firstLine="640"/>
        <w:jc w:val="both"/>
        <w:textAlignment w:val="auto"/>
        <w:rPr>
          <w:rFonts w:hint="eastAsia" w:ascii="仿宋" w:hAnsi="仿宋" w:eastAsia="仿宋" w:cs="仿宋"/>
          <w:szCs w:val="32"/>
          <w:lang w:eastAsia="zh-CN"/>
        </w:rPr>
      </w:pPr>
      <w:r>
        <w:rPr>
          <w:rFonts w:hint="eastAsia" w:ascii="仿宋" w:hAnsi="仿宋" w:eastAsia="仿宋" w:cs="仿宋"/>
          <w:b w:val="0"/>
          <w:color w:val="000000"/>
          <w:kern w:val="44"/>
          <w:sz w:val="32"/>
          <w:szCs w:val="32"/>
          <w:lang w:val="en-US" w:eastAsia="zh-CN" w:bidi="en-US"/>
        </w:rPr>
        <w:t>项目实施合规性与成熟度方面，指标总分18分，评估得分18分。具体如下</w:t>
      </w:r>
      <w:r>
        <w:rPr>
          <w:rFonts w:hint="eastAsia" w:ascii="仿宋" w:hAnsi="仿宋" w:eastAsia="仿宋" w:cs="仿宋"/>
          <w:szCs w:val="32"/>
          <w:lang w:eastAsia="zh-CN"/>
        </w:rPr>
        <w:t>：</w:t>
      </w:r>
    </w:p>
    <w:p>
      <w:pPr>
        <w:pageBreakBefore w:val="0"/>
        <w:widowControl w:val="0"/>
        <w:kinsoku/>
        <w:wordWrap/>
        <w:overflowPunct/>
        <w:topLinePunct w:val="0"/>
        <w:autoSpaceDE/>
        <w:autoSpaceDN/>
        <w:bidi w:val="0"/>
        <w:adjustRightInd w:val="0"/>
        <w:snapToGrid w:val="0"/>
        <w:spacing w:line="600" w:lineRule="exact"/>
        <w:ind w:left="0" w:firstLine="640"/>
        <w:jc w:val="both"/>
        <w:textAlignment w:val="auto"/>
        <w:rPr>
          <w:rFonts w:hint="eastAsia" w:ascii="仿宋" w:hAnsi="仿宋" w:eastAsia="仿宋" w:cs="仿宋"/>
          <w:szCs w:val="32"/>
          <w:lang w:eastAsia="zh-CN"/>
        </w:rPr>
      </w:pPr>
      <w:r>
        <w:rPr>
          <w:rFonts w:hint="eastAsia" w:ascii="仿宋" w:hAnsi="仿宋" w:eastAsia="仿宋" w:cs="仿宋"/>
          <w:szCs w:val="32"/>
          <w:lang w:eastAsia="zh-CN"/>
        </w:rPr>
        <w:t>1.实施合规性</w:t>
      </w:r>
    </w:p>
    <w:p>
      <w:pPr>
        <w:pageBreakBefore w:val="0"/>
        <w:widowControl w:val="0"/>
        <w:kinsoku/>
        <w:wordWrap/>
        <w:overflowPunct/>
        <w:topLinePunct w:val="0"/>
        <w:autoSpaceDE/>
        <w:autoSpaceDN/>
        <w:bidi w:val="0"/>
        <w:adjustRightInd w:val="0"/>
        <w:snapToGrid w:val="0"/>
        <w:spacing w:line="600" w:lineRule="exact"/>
        <w:ind w:left="0" w:firstLine="640"/>
        <w:jc w:val="both"/>
        <w:textAlignment w:val="auto"/>
        <w:rPr>
          <w:rFonts w:hint="eastAsia" w:ascii="仿宋" w:hAnsi="仿宋" w:eastAsia="仿宋" w:cs="仿宋"/>
          <w:b w:val="0"/>
          <w:color w:val="000000"/>
          <w:kern w:val="44"/>
          <w:sz w:val="32"/>
          <w:szCs w:val="32"/>
          <w:lang w:val="en-US" w:eastAsia="zh-CN" w:bidi="en-US"/>
        </w:rPr>
      </w:pPr>
      <w:r>
        <w:rPr>
          <w:rFonts w:hint="eastAsia" w:ascii="仿宋" w:hAnsi="仿宋" w:eastAsia="仿宋" w:cs="仿宋"/>
          <w:b w:val="0"/>
          <w:color w:val="000000"/>
          <w:kern w:val="44"/>
          <w:sz w:val="32"/>
          <w:szCs w:val="32"/>
          <w:lang w:val="en-US" w:eastAsia="zh-CN" w:bidi="en-US"/>
        </w:rPr>
        <w:t>项目为延续性项目，自2023年起，经区政府同意将省、市主流媒体宣传合作经费纳入年度预算。</w:t>
      </w:r>
    </w:p>
    <w:p>
      <w:pPr>
        <w:pageBreakBefore w:val="0"/>
        <w:widowControl w:val="0"/>
        <w:kinsoku/>
        <w:wordWrap/>
        <w:overflowPunct/>
        <w:topLinePunct w:val="0"/>
        <w:autoSpaceDE/>
        <w:autoSpaceDN/>
        <w:bidi w:val="0"/>
        <w:adjustRightInd w:val="0"/>
        <w:snapToGrid w:val="0"/>
        <w:spacing w:line="600" w:lineRule="exact"/>
        <w:ind w:left="0" w:firstLine="640"/>
        <w:jc w:val="both"/>
        <w:textAlignment w:val="auto"/>
        <w:rPr>
          <w:rFonts w:hint="eastAsia" w:ascii="仿宋" w:hAnsi="仿宋" w:eastAsia="仿宋" w:cs="仿宋"/>
          <w:szCs w:val="32"/>
          <w:lang w:eastAsia="zh-CN"/>
        </w:rPr>
      </w:pPr>
      <w:r>
        <w:rPr>
          <w:rFonts w:hint="eastAsia" w:ascii="仿宋" w:hAnsi="仿宋" w:eastAsia="仿宋" w:cs="仿宋"/>
          <w:b w:val="0"/>
          <w:color w:val="000000"/>
          <w:kern w:val="44"/>
          <w:sz w:val="32"/>
          <w:szCs w:val="32"/>
          <w:lang w:val="en-US" w:eastAsia="zh-CN" w:bidi="en-US"/>
        </w:rPr>
        <w:t>外宣经费项目严格遵循《中华人民共和国预算法》《中华人民共和国政府采购法》等相关法律法规开展项目预算编制、资金使用及采购流程。依据四川省财政厅、中共四川省委宣传部印发的《四川省宣传文化事业发展专项资金管理办法》执行</w:t>
      </w:r>
      <w:r>
        <w:rPr>
          <w:rFonts w:hint="eastAsia" w:ascii="仿宋" w:hAnsi="仿宋" w:eastAsia="仿宋" w:cs="仿宋"/>
          <w:szCs w:val="32"/>
          <w:lang w:eastAsia="zh-CN"/>
        </w:rPr>
        <w:t>，</w:t>
      </w:r>
      <w:r>
        <w:rPr>
          <w:rFonts w:hint="eastAsia" w:ascii="仿宋" w:hAnsi="仿宋" w:eastAsia="仿宋" w:cs="仿宋"/>
          <w:b w:val="0"/>
          <w:color w:val="000000"/>
          <w:kern w:val="44"/>
          <w:sz w:val="32"/>
          <w:szCs w:val="32"/>
          <w:lang w:val="en-US" w:eastAsia="zh-CN" w:bidi="en-US"/>
        </w:rPr>
        <w:t>明确资金支持范围、分配方式、项目申报与审批流程及资金监管要求，保障项目资金使用符合政策导向，专款专用，杜绝违规挪用</w:t>
      </w:r>
      <w:r>
        <w:rPr>
          <w:rFonts w:hint="eastAsia" w:ascii="仿宋" w:hAnsi="仿宋" w:eastAsia="仿宋" w:cs="仿宋"/>
          <w:szCs w:val="32"/>
          <w:lang w:eastAsia="zh-CN"/>
        </w:rPr>
        <w:t>。</w:t>
      </w:r>
    </w:p>
    <w:p>
      <w:pPr>
        <w:pageBreakBefore w:val="0"/>
        <w:widowControl w:val="0"/>
        <w:kinsoku/>
        <w:wordWrap/>
        <w:overflowPunct/>
        <w:topLinePunct w:val="0"/>
        <w:autoSpaceDE/>
        <w:autoSpaceDN/>
        <w:bidi w:val="0"/>
        <w:adjustRightInd w:val="0"/>
        <w:snapToGrid w:val="0"/>
        <w:spacing w:line="600" w:lineRule="exact"/>
        <w:ind w:left="0" w:firstLine="640"/>
        <w:jc w:val="both"/>
        <w:textAlignment w:val="auto"/>
        <w:rPr>
          <w:rFonts w:hint="eastAsia" w:ascii="仿宋" w:hAnsi="仿宋" w:eastAsia="仿宋" w:cs="仿宋"/>
          <w:b w:val="0"/>
          <w:color w:val="000000"/>
          <w:kern w:val="44"/>
          <w:sz w:val="32"/>
          <w:szCs w:val="32"/>
          <w:lang w:val="en-US" w:eastAsia="zh-CN" w:bidi="en-US"/>
        </w:rPr>
      </w:pPr>
      <w:r>
        <w:rPr>
          <w:rFonts w:hint="eastAsia" w:ascii="仿宋" w:hAnsi="仿宋" w:eastAsia="仿宋" w:cs="仿宋"/>
          <w:b w:val="0"/>
          <w:color w:val="000000"/>
          <w:kern w:val="44"/>
          <w:sz w:val="32"/>
          <w:szCs w:val="32"/>
          <w:lang w:val="en-US" w:eastAsia="zh-CN" w:bidi="en-US"/>
        </w:rPr>
        <w:t>外宣经费项目严格按照批复预算执行，对资金支出进行实时监控。如在宣传物料采购中，根据合同约定与采购进度支付款项，杜绝超预算支出。按照项目预算和资金使用计划，确保资金用于对外宣传相关活动与事项。</w:t>
      </w:r>
    </w:p>
    <w:p>
      <w:pPr>
        <w:pageBreakBefore w:val="0"/>
        <w:widowControl w:val="0"/>
        <w:kinsoku/>
        <w:wordWrap/>
        <w:overflowPunct/>
        <w:topLinePunct w:val="0"/>
        <w:autoSpaceDE/>
        <w:autoSpaceDN/>
        <w:bidi w:val="0"/>
        <w:adjustRightInd w:val="0"/>
        <w:snapToGrid w:val="0"/>
        <w:spacing w:line="600" w:lineRule="exact"/>
        <w:ind w:left="0" w:firstLine="640"/>
        <w:jc w:val="both"/>
        <w:textAlignment w:val="auto"/>
        <w:rPr>
          <w:rFonts w:hint="eastAsia" w:ascii="仿宋" w:hAnsi="仿宋" w:eastAsia="仿宋" w:cs="仿宋"/>
          <w:szCs w:val="32"/>
          <w:lang w:eastAsia="zh-CN"/>
        </w:rPr>
      </w:pPr>
      <w:r>
        <w:rPr>
          <w:rFonts w:hint="eastAsia" w:ascii="仿宋" w:hAnsi="仿宋" w:eastAsia="仿宋" w:cs="仿宋"/>
          <w:b w:val="0"/>
          <w:color w:val="000000"/>
          <w:kern w:val="44"/>
          <w:sz w:val="32"/>
          <w:szCs w:val="32"/>
          <w:lang w:val="en-US" w:eastAsia="zh-CN" w:bidi="en-US"/>
        </w:rPr>
        <w:t>综上，该项目立项过程合规、立项依据充分，项目资金来源渠道符合相关规定，资金筹措程序科学规范。根据评分标准，总分9分，得9分</w:t>
      </w:r>
      <w:r>
        <w:rPr>
          <w:rFonts w:hint="eastAsia" w:ascii="仿宋" w:hAnsi="仿宋" w:eastAsia="仿宋" w:cs="仿宋"/>
          <w:szCs w:val="32"/>
          <w:lang w:eastAsia="zh-CN"/>
        </w:rPr>
        <w:t>。</w:t>
      </w:r>
    </w:p>
    <w:p>
      <w:pPr>
        <w:pageBreakBefore w:val="0"/>
        <w:widowControl w:val="0"/>
        <w:kinsoku/>
        <w:wordWrap/>
        <w:overflowPunct/>
        <w:topLinePunct w:val="0"/>
        <w:autoSpaceDE/>
        <w:autoSpaceDN/>
        <w:bidi w:val="0"/>
        <w:adjustRightInd w:val="0"/>
        <w:snapToGrid w:val="0"/>
        <w:spacing w:line="600" w:lineRule="exact"/>
        <w:ind w:left="0" w:firstLine="640"/>
        <w:jc w:val="both"/>
        <w:textAlignment w:val="auto"/>
        <w:rPr>
          <w:rFonts w:hint="eastAsia" w:ascii="仿宋" w:hAnsi="仿宋" w:eastAsia="仿宋" w:cs="仿宋"/>
          <w:szCs w:val="32"/>
          <w:lang w:eastAsia="zh-CN"/>
        </w:rPr>
      </w:pPr>
      <w:r>
        <w:rPr>
          <w:rFonts w:hint="eastAsia" w:ascii="仿宋" w:hAnsi="仿宋" w:eastAsia="仿宋" w:cs="仿宋"/>
          <w:szCs w:val="32"/>
          <w:lang w:eastAsia="zh-CN"/>
        </w:rPr>
        <w:t>2.项目成熟度</w:t>
      </w:r>
    </w:p>
    <w:p>
      <w:pPr>
        <w:pageBreakBefore w:val="0"/>
        <w:widowControl w:val="0"/>
        <w:kinsoku/>
        <w:wordWrap/>
        <w:overflowPunct/>
        <w:topLinePunct w:val="0"/>
        <w:autoSpaceDE/>
        <w:autoSpaceDN/>
        <w:bidi w:val="0"/>
        <w:adjustRightInd w:val="0"/>
        <w:snapToGrid w:val="0"/>
        <w:spacing w:line="600" w:lineRule="exact"/>
        <w:ind w:left="0" w:firstLine="640"/>
        <w:jc w:val="both"/>
        <w:textAlignment w:val="auto"/>
        <w:rPr>
          <w:rFonts w:hint="eastAsia" w:ascii="仿宋" w:hAnsi="仿宋" w:eastAsia="仿宋" w:cs="仿宋"/>
          <w:b w:val="0"/>
          <w:color w:val="000000"/>
          <w:kern w:val="44"/>
          <w:sz w:val="32"/>
          <w:szCs w:val="32"/>
          <w:lang w:val="en-US" w:eastAsia="zh-CN" w:bidi="en-US"/>
        </w:rPr>
      </w:pPr>
      <w:r>
        <w:rPr>
          <w:rFonts w:hint="eastAsia" w:ascii="仿宋" w:hAnsi="仿宋" w:eastAsia="仿宋" w:cs="仿宋"/>
          <w:b w:val="0"/>
          <w:color w:val="000000"/>
          <w:kern w:val="44"/>
          <w:sz w:val="32"/>
          <w:szCs w:val="32"/>
          <w:lang w:val="en-US" w:eastAsia="zh-CN" w:bidi="en-US"/>
        </w:rPr>
        <w:t>项目属于延续性项目。从金口河区宣传思想文化工作实际成果来看，有较为明确的方向和目标。例如围绕重要节点和重大活动开展矩阵传播，开设专题专栏，扎实做好重大主题宣传。这表明在对外宣传工作上具有规划性，能围绕中心工作制定宣传策略。</w:t>
      </w:r>
    </w:p>
    <w:p>
      <w:pPr>
        <w:pageBreakBefore w:val="0"/>
        <w:widowControl w:val="0"/>
        <w:kinsoku/>
        <w:wordWrap/>
        <w:overflowPunct/>
        <w:topLinePunct w:val="0"/>
        <w:autoSpaceDE/>
        <w:autoSpaceDN/>
        <w:bidi w:val="0"/>
        <w:adjustRightInd w:val="0"/>
        <w:snapToGrid w:val="0"/>
        <w:spacing w:line="600" w:lineRule="exact"/>
        <w:ind w:left="0" w:firstLine="640"/>
        <w:jc w:val="both"/>
        <w:textAlignment w:val="auto"/>
        <w:rPr>
          <w:rFonts w:hint="eastAsia" w:ascii="仿宋" w:hAnsi="仿宋" w:eastAsia="仿宋" w:cs="仿宋"/>
          <w:bCs/>
          <w:kern w:val="2"/>
          <w:szCs w:val="32"/>
          <w:lang w:eastAsia="zh-CN" w:bidi="ar-SA"/>
        </w:rPr>
      </w:pPr>
      <w:r>
        <w:rPr>
          <w:rFonts w:hint="eastAsia" w:ascii="仿宋" w:hAnsi="仿宋" w:eastAsia="仿宋" w:cs="仿宋"/>
          <w:b w:val="0"/>
          <w:color w:val="000000"/>
          <w:kern w:val="44"/>
          <w:sz w:val="32"/>
          <w:szCs w:val="32"/>
          <w:lang w:val="en-US" w:eastAsia="zh-CN" w:bidi="en-US"/>
        </w:rPr>
        <w:t>金口河区对外宣传亮点较多，在人民日报、中央电视台等中央级主流媒体播发稿件100余条，《相框里的风景》《会燃烧的泥土》等100余件作品亮相中央媒体，文旅局长说文旅《魔力金口河》短视频浏览量达20w+，还有多个短视频作品点击量超10万。这些成果说明对外宣传工作取得了一定成效，反映出对外宣传经费项目的实施的成熟度，能够支持相关宣传工作的开展并产生影响力</w:t>
      </w:r>
      <w:r>
        <w:rPr>
          <w:rFonts w:hint="eastAsia" w:ascii="仿宋" w:hAnsi="仿宋" w:eastAsia="仿宋" w:cs="仿宋"/>
          <w:bCs/>
          <w:kern w:val="2"/>
          <w:szCs w:val="32"/>
          <w:lang w:eastAsia="zh-CN" w:bidi="ar-SA"/>
        </w:rPr>
        <w:t>。</w:t>
      </w:r>
    </w:p>
    <w:p>
      <w:pPr>
        <w:pageBreakBefore w:val="0"/>
        <w:widowControl w:val="0"/>
        <w:kinsoku/>
        <w:wordWrap/>
        <w:overflowPunct/>
        <w:topLinePunct w:val="0"/>
        <w:autoSpaceDE/>
        <w:autoSpaceDN/>
        <w:bidi w:val="0"/>
        <w:adjustRightInd w:val="0"/>
        <w:snapToGrid w:val="0"/>
        <w:spacing w:line="600" w:lineRule="exact"/>
        <w:ind w:left="0" w:firstLine="640"/>
        <w:jc w:val="both"/>
        <w:textAlignment w:val="auto"/>
        <w:rPr>
          <w:rFonts w:hint="eastAsia" w:ascii="仿宋" w:hAnsi="仿宋" w:eastAsia="仿宋" w:cs="仿宋"/>
          <w:szCs w:val="32"/>
          <w:lang w:eastAsia="zh-CN"/>
        </w:rPr>
      </w:pPr>
      <w:r>
        <w:rPr>
          <w:rFonts w:hint="eastAsia" w:ascii="仿宋" w:hAnsi="仿宋" w:eastAsia="仿宋" w:cs="仿宋"/>
          <w:b w:val="0"/>
          <w:color w:val="000000"/>
          <w:kern w:val="44"/>
          <w:sz w:val="32"/>
          <w:szCs w:val="32"/>
          <w:lang w:val="en-US" w:eastAsia="zh-CN" w:bidi="en-US"/>
        </w:rPr>
        <w:t>综上，该项目审批手续完善，与中央、省、市委决策部署一致，项目成熟度高。根据评分标准，总分9分，得9分</w:t>
      </w:r>
      <w:r>
        <w:rPr>
          <w:rFonts w:hint="eastAsia" w:ascii="仿宋" w:hAnsi="仿宋" w:eastAsia="仿宋" w:cs="仿宋"/>
          <w:szCs w:val="32"/>
          <w:lang w:eastAsia="zh-CN"/>
        </w:rPr>
        <w:t>。</w:t>
      </w:r>
    </w:p>
    <w:p>
      <w:pPr>
        <w:pStyle w:val="3"/>
        <w:pageBreakBefore w:val="0"/>
        <w:widowControl w:val="0"/>
        <w:numPr>
          <w:ilvl w:val="0"/>
          <w:numId w:val="0"/>
        </w:numPr>
        <w:kinsoku/>
        <w:wordWrap/>
        <w:overflowPunct/>
        <w:topLinePunct w:val="0"/>
        <w:autoSpaceDE/>
        <w:autoSpaceDN/>
        <w:bidi w:val="0"/>
        <w:adjustRightInd w:val="0"/>
        <w:snapToGrid w:val="0"/>
        <w:spacing w:before="0" w:beforeLines="0" w:after="0" w:afterLines="0" w:line="600" w:lineRule="exact"/>
        <w:ind w:left="0" w:leftChars="0" w:firstLine="640" w:firstLineChars="200"/>
        <w:jc w:val="both"/>
        <w:textAlignment w:val="auto"/>
        <w:rPr>
          <w:rFonts w:hint="eastAsia" w:ascii="楷体" w:hAnsi="楷体" w:eastAsia="楷体" w:cs="楷体"/>
          <w:b w:val="0"/>
          <w:kern w:val="44"/>
          <w:szCs w:val="32"/>
          <w:lang w:eastAsia="zh-CN"/>
        </w:rPr>
      </w:pPr>
      <w:bookmarkStart w:id="217" w:name="_Toc27007"/>
      <w:bookmarkStart w:id="218" w:name="_Toc374"/>
      <w:r>
        <w:rPr>
          <w:rFonts w:hint="eastAsia" w:ascii="楷体" w:hAnsi="楷体" w:eastAsia="楷体" w:cs="楷体"/>
          <w:b w:val="0"/>
          <w:kern w:val="44"/>
          <w:szCs w:val="32"/>
          <w:lang w:eastAsia="zh-CN"/>
        </w:rPr>
        <w:t>（三）项目资金来源</w:t>
      </w:r>
      <w:r>
        <w:rPr>
          <w:rFonts w:hint="eastAsia" w:ascii="楷体" w:hAnsi="楷体" w:eastAsia="楷体" w:cs="楷体"/>
          <w:b w:val="0"/>
          <w:kern w:val="44"/>
          <w:szCs w:val="32"/>
          <w:lang w:val="en-US" w:eastAsia="zh-CN"/>
        </w:rPr>
        <w:t>和</w:t>
      </w:r>
      <w:r>
        <w:rPr>
          <w:rFonts w:hint="eastAsia" w:ascii="楷体" w:hAnsi="楷体" w:eastAsia="楷体" w:cs="楷体"/>
          <w:b w:val="0"/>
          <w:kern w:val="44"/>
          <w:szCs w:val="32"/>
          <w:lang w:eastAsia="zh-CN"/>
        </w:rPr>
        <w:t>到位可行性</w:t>
      </w:r>
      <w:bookmarkEnd w:id="217"/>
      <w:bookmarkEnd w:id="218"/>
    </w:p>
    <w:p>
      <w:pPr>
        <w:pageBreakBefore w:val="0"/>
        <w:widowControl w:val="0"/>
        <w:kinsoku/>
        <w:wordWrap/>
        <w:overflowPunct/>
        <w:topLinePunct w:val="0"/>
        <w:autoSpaceDE/>
        <w:autoSpaceDN/>
        <w:bidi w:val="0"/>
        <w:adjustRightInd w:val="0"/>
        <w:snapToGrid w:val="0"/>
        <w:spacing w:line="600" w:lineRule="exact"/>
        <w:ind w:left="0" w:firstLine="640"/>
        <w:jc w:val="both"/>
        <w:textAlignment w:val="auto"/>
        <w:rPr>
          <w:rFonts w:hint="eastAsia" w:ascii="仿宋" w:hAnsi="仿宋" w:eastAsia="仿宋" w:cs="仿宋"/>
          <w:szCs w:val="32"/>
          <w:lang w:eastAsia="zh-CN"/>
        </w:rPr>
      </w:pPr>
      <w:r>
        <w:rPr>
          <w:rFonts w:hint="eastAsia" w:ascii="仿宋" w:hAnsi="仿宋" w:eastAsia="仿宋" w:cs="仿宋"/>
          <w:b w:val="0"/>
          <w:color w:val="000000"/>
          <w:kern w:val="44"/>
          <w:sz w:val="32"/>
          <w:szCs w:val="32"/>
          <w:lang w:val="en-US" w:eastAsia="zh-CN" w:bidi="en-US"/>
        </w:rPr>
        <w:t>项目资金来源和到位可行性方面，指标总分12分，评估得分12分。具体如下</w:t>
      </w:r>
      <w:r>
        <w:rPr>
          <w:rFonts w:ascii="仿宋" w:hAnsi="仿宋" w:eastAsia="仿宋" w:cs="仿宋"/>
          <w:szCs w:val="32"/>
          <w:lang w:eastAsia="zh-CN"/>
        </w:rPr>
        <w:t>：</w:t>
      </w:r>
    </w:p>
    <w:p>
      <w:pPr>
        <w:pageBreakBefore w:val="0"/>
        <w:widowControl w:val="0"/>
        <w:kinsoku/>
        <w:wordWrap/>
        <w:overflowPunct/>
        <w:topLinePunct w:val="0"/>
        <w:autoSpaceDE/>
        <w:autoSpaceDN/>
        <w:bidi w:val="0"/>
        <w:adjustRightInd w:val="0"/>
        <w:snapToGrid w:val="0"/>
        <w:spacing w:line="600" w:lineRule="exact"/>
        <w:ind w:left="0" w:firstLine="640"/>
        <w:jc w:val="both"/>
        <w:textAlignment w:val="auto"/>
        <w:rPr>
          <w:rFonts w:hint="eastAsia" w:ascii="仿宋" w:hAnsi="仿宋" w:eastAsia="仿宋" w:cs="仿宋"/>
          <w:szCs w:val="32"/>
          <w:lang w:eastAsia="zh-CN"/>
        </w:rPr>
      </w:pPr>
      <w:r>
        <w:rPr>
          <w:rFonts w:hint="eastAsia" w:ascii="仿宋" w:hAnsi="仿宋" w:eastAsia="仿宋" w:cs="仿宋"/>
          <w:szCs w:val="32"/>
          <w:lang w:eastAsia="zh-CN"/>
        </w:rPr>
        <w:t>1.</w:t>
      </w:r>
      <w:r>
        <w:rPr>
          <w:rFonts w:hint="eastAsia" w:ascii="仿宋" w:hAnsi="仿宋" w:eastAsia="仿宋" w:cs="仿宋"/>
          <w:b w:val="0"/>
          <w:color w:val="000000"/>
          <w:kern w:val="44"/>
          <w:sz w:val="32"/>
          <w:szCs w:val="32"/>
          <w:lang w:val="en-US" w:eastAsia="zh-CN" w:bidi="en-US"/>
        </w:rPr>
        <w:t>资金来源可行性</w:t>
      </w:r>
    </w:p>
    <w:p>
      <w:pPr>
        <w:pageBreakBefore w:val="0"/>
        <w:widowControl w:val="0"/>
        <w:kinsoku/>
        <w:wordWrap/>
        <w:overflowPunct/>
        <w:topLinePunct w:val="0"/>
        <w:autoSpaceDE/>
        <w:autoSpaceDN/>
        <w:bidi w:val="0"/>
        <w:adjustRightInd w:val="0"/>
        <w:snapToGrid w:val="0"/>
        <w:spacing w:line="600" w:lineRule="exact"/>
        <w:ind w:left="0" w:firstLine="640"/>
        <w:jc w:val="both"/>
        <w:textAlignment w:val="auto"/>
        <w:rPr>
          <w:rFonts w:hint="eastAsia" w:ascii="仿宋" w:hAnsi="仿宋" w:eastAsia="仿宋" w:cs="仿宋"/>
          <w:b w:val="0"/>
          <w:color w:val="000000"/>
          <w:kern w:val="44"/>
          <w:sz w:val="32"/>
          <w:szCs w:val="32"/>
          <w:lang w:val="en-US" w:eastAsia="zh-CN" w:bidi="en-US"/>
        </w:rPr>
      </w:pPr>
      <w:r>
        <w:rPr>
          <w:rFonts w:hint="eastAsia" w:ascii="仿宋" w:hAnsi="仿宋" w:eastAsia="仿宋" w:cs="仿宋"/>
          <w:b w:val="0"/>
          <w:color w:val="000000"/>
          <w:kern w:val="44"/>
          <w:sz w:val="32"/>
          <w:szCs w:val="32"/>
          <w:lang w:val="en-US" w:eastAsia="zh-CN" w:bidi="en-US"/>
        </w:rPr>
        <w:t>外宣经费资金自2023年起，经区政府同意纳入年度预算。区政府重视区域形象塑造与推广，为提升文旅知名度、吸引投资，从政策层面保障对外宣传经费投入，以实现经济社会发展目标。</w:t>
      </w:r>
    </w:p>
    <w:p>
      <w:pPr>
        <w:pageBreakBefore w:val="0"/>
        <w:widowControl w:val="0"/>
        <w:kinsoku/>
        <w:wordWrap/>
        <w:overflowPunct/>
        <w:topLinePunct w:val="0"/>
        <w:autoSpaceDE/>
        <w:autoSpaceDN/>
        <w:bidi w:val="0"/>
        <w:adjustRightInd w:val="0"/>
        <w:snapToGrid w:val="0"/>
        <w:spacing w:line="600" w:lineRule="exact"/>
        <w:ind w:left="0" w:firstLine="640"/>
        <w:jc w:val="both"/>
        <w:textAlignment w:val="auto"/>
        <w:rPr>
          <w:rFonts w:hint="eastAsia" w:ascii="仿宋" w:hAnsi="仿宋" w:eastAsia="仿宋" w:cs="仿宋"/>
          <w:szCs w:val="32"/>
          <w:lang w:eastAsia="zh-CN"/>
        </w:rPr>
      </w:pPr>
      <w:r>
        <w:rPr>
          <w:rFonts w:hint="eastAsia" w:ascii="仿宋" w:hAnsi="仿宋" w:eastAsia="仿宋" w:cs="仿宋"/>
          <w:b w:val="0"/>
          <w:color w:val="000000"/>
          <w:kern w:val="44"/>
          <w:sz w:val="32"/>
          <w:szCs w:val="32"/>
          <w:lang w:val="en-US" w:eastAsia="zh-CN" w:bidi="en-US"/>
        </w:rPr>
        <w:t>资金来源渠道符合相关规定，资金筹措程序符合科学规范。根据评分标准，总分3分，得3分</w:t>
      </w:r>
      <w:r>
        <w:rPr>
          <w:rFonts w:hint="eastAsia" w:ascii="仿宋" w:hAnsi="仿宋" w:eastAsia="仿宋" w:cs="仿宋"/>
          <w:szCs w:val="32"/>
          <w:lang w:eastAsia="zh-CN"/>
        </w:rPr>
        <w:t>。</w:t>
      </w:r>
    </w:p>
    <w:p>
      <w:pPr>
        <w:pageBreakBefore w:val="0"/>
        <w:widowControl w:val="0"/>
        <w:kinsoku/>
        <w:wordWrap/>
        <w:overflowPunct/>
        <w:topLinePunct w:val="0"/>
        <w:autoSpaceDE/>
        <w:autoSpaceDN/>
        <w:bidi w:val="0"/>
        <w:adjustRightInd w:val="0"/>
        <w:snapToGrid w:val="0"/>
        <w:spacing w:line="600" w:lineRule="exact"/>
        <w:ind w:left="0" w:firstLine="640"/>
        <w:jc w:val="both"/>
        <w:textAlignment w:val="auto"/>
        <w:rPr>
          <w:rFonts w:hint="eastAsia" w:ascii="仿宋" w:hAnsi="仿宋" w:eastAsia="仿宋" w:cs="仿宋"/>
          <w:szCs w:val="32"/>
          <w:lang w:eastAsia="zh-CN"/>
        </w:rPr>
      </w:pPr>
      <w:r>
        <w:rPr>
          <w:rFonts w:hint="eastAsia" w:ascii="仿宋" w:hAnsi="仿宋" w:eastAsia="仿宋" w:cs="仿宋"/>
          <w:szCs w:val="32"/>
          <w:lang w:eastAsia="zh-CN"/>
        </w:rPr>
        <w:t>2.资金到位可行性</w:t>
      </w:r>
    </w:p>
    <w:p>
      <w:pPr>
        <w:pageBreakBefore w:val="0"/>
        <w:widowControl w:val="0"/>
        <w:kinsoku/>
        <w:wordWrap/>
        <w:overflowPunct/>
        <w:topLinePunct w:val="0"/>
        <w:autoSpaceDE/>
        <w:autoSpaceDN/>
        <w:bidi w:val="0"/>
        <w:adjustRightInd w:val="0"/>
        <w:snapToGrid w:val="0"/>
        <w:spacing w:line="600" w:lineRule="exact"/>
        <w:ind w:left="0" w:firstLine="640"/>
        <w:jc w:val="both"/>
        <w:textAlignment w:val="auto"/>
        <w:rPr>
          <w:rFonts w:hint="eastAsia" w:ascii="仿宋" w:hAnsi="仿宋" w:eastAsia="仿宋" w:cs="仿宋"/>
          <w:b w:val="0"/>
          <w:color w:val="000000"/>
          <w:kern w:val="44"/>
          <w:sz w:val="32"/>
          <w:szCs w:val="32"/>
          <w:lang w:val="en-US" w:eastAsia="zh-CN" w:bidi="en-US"/>
        </w:rPr>
      </w:pPr>
      <w:r>
        <w:rPr>
          <w:rFonts w:hint="eastAsia" w:ascii="仿宋" w:hAnsi="仿宋" w:eastAsia="仿宋" w:cs="仿宋"/>
          <w:b w:val="0"/>
          <w:color w:val="000000"/>
          <w:kern w:val="44"/>
          <w:sz w:val="32"/>
          <w:szCs w:val="32"/>
          <w:lang w:val="en-US" w:eastAsia="zh-CN" w:bidi="en-US"/>
        </w:rPr>
        <w:t>根据区委宣传部提供的《宣传部外宣经费项目收支统计明细表》显示，2023年区财政拨付外宣经费49.99万元、2024年拨付45万元。由此可知，项目资金能全部到位，且有明确的到位时间。</w:t>
      </w:r>
    </w:p>
    <w:p>
      <w:pPr>
        <w:pageBreakBefore w:val="0"/>
        <w:widowControl w:val="0"/>
        <w:kinsoku/>
        <w:wordWrap/>
        <w:overflowPunct/>
        <w:topLinePunct w:val="0"/>
        <w:autoSpaceDE/>
        <w:autoSpaceDN/>
        <w:bidi w:val="0"/>
        <w:adjustRightInd w:val="0"/>
        <w:snapToGrid w:val="0"/>
        <w:spacing w:line="600" w:lineRule="exact"/>
        <w:ind w:left="0" w:firstLine="640"/>
        <w:jc w:val="both"/>
        <w:textAlignment w:val="auto"/>
        <w:rPr>
          <w:rFonts w:hint="eastAsia" w:ascii="仿宋" w:hAnsi="仿宋" w:eastAsia="仿宋" w:cs="仿宋"/>
          <w:szCs w:val="32"/>
          <w:lang w:eastAsia="zh-CN"/>
        </w:rPr>
      </w:pPr>
      <w:r>
        <w:rPr>
          <w:rFonts w:hint="eastAsia" w:ascii="仿宋" w:hAnsi="仿宋" w:eastAsia="仿宋" w:cs="仿宋"/>
          <w:b w:val="0"/>
          <w:color w:val="000000"/>
          <w:kern w:val="44"/>
          <w:sz w:val="32"/>
          <w:szCs w:val="32"/>
          <w:lang w:val="en-US" w:eastAsia="zh-CN" w:bidi="en-US"/>
        </w:rPr>
        <w:t>项目资金支付通过财政资金支付凭证，经相关人员签字确认后通过国库集中支付，具备资金拨付相关条件。根据评分标准，总分9分，得9分</w:t>
      </w:r>
      <w:r>
        <w:rPr>
          <w:rFonts w:hint="eastAsia" w:ascii="仿宋" w:hAnsi="仿宋" w:eastAsia="仿宋" w:cs="仿宋"/>
          <w:szCs w:val="32"/>
          <w:lang w:eastAsia="zh-CN"/>
        </w:rPr>
        <w:t>。</w:t>
      </w:r>
    </w:p>
    <w:p>
      <w:pPr>
        <w:pStyle w:val="3"/>
        <w:pageBreakBefore w:val="0"/>
        <w:widowControl w:val="0"/>
        <w:numPr>
          <w:ilvl w:val="0"/>
          <w:numId w:val="0"/>
        </w:numPr>
        <w:kinsoku/>
        <w:wordWrap/>
        <w:overflowPunct/>
        <w:topLinePunct w:val="0"/>
        <w:autoSpaceDE/>
        <w:autoSpaceDN/>
        <w:bidi w:val="0"/>
        <w:adjustRightInd w:val="0"/>
        <w:snapToGrid w:val="0"/>
        <w:spacing w:before="0" w:beforeLines="0" w:after="0" w:afterLines="0" w:line="600" w:lineRule="exact"/>
        <w:ind w:left="0" w:leftChars="0" w:firstLine="640" w:firstLineChars="200"/>
        <w:jc w:val="both"/>
        <w:textAlignment w:val="auto"/>
        <w:rPr>
          <w:rFonts w:hint="eastAsia" w:ascii="楷体" w:hAnsi="楷体" w:eastAsia="楷体" w:cs="楷体"/>
          <w:b w:val="0"/>
          <w:kern w:val="44"/>
          <w:szCs w:val="32"/>
          <w:lang w:eastAsia="zh-CN"/>
        </w:rPr>
      </w:pPr>
      <w:bookmarkStart w:id="219" w:name="OLE_LINK5"/>
      <w:bookmarkStart w:id="220" w:name="_Toc9784"/>
      <w:bookmarkStart w:id="221" w:name="_Toc29394"/>
      <w:r>
        <w:rPr>
          <w:rFonts w:hint="eastAsia" w:ascii="楷体" w:hAnsi="楷体" w:eastAsia="楷体" w:cs="楷体"/>
          <w:b w:val="0"/>
          <w:kern w:val="44"/>
          <w:szCs w:val="32"/>
          <w:lang w:eastAsia="zh-CN"/>
        </w:rPr>
        <w:t>（四）资金使用计划</w:t>
      </w:r>
      <w:r>
        <w:rPr>
          <w:rFonts w:hint="eastAsia" w:ascii="楷体" w:hAnsi="楷体" w:eastAsia="楷体" w:cs="楷体"/>
          <w:b w:val="0"/>
          <w:kern w:val="44"/>
          <w:szCs w:val="32"/>
          <w:lang w:val="en-US" w:eastAsia="zh-CN"/>
        </w:rPr>
        <w:t>及支付</w:t>
      </w:r>
      <w:r>
        <w:rPr>
          <w:rFonts w:hint="eastAsia" w:ascii="楷体" w:hAnsi="楷体" w:eastAsia="楷体" w:cs="楷体"/>
          <w:b w:val="0"/>
          <w:kern w:val="44"/>
          <w:szCs w:val="32"/>
          <w:lang w:eastAsia="zh-CN"/>
        </w:rPr>
        <w:t>合理性</w:t>
      </w:r>
      <w:bookmarkEnd w:id="219"/>
      <w:r>
        <w:rPr>
          <w:rFonts w:hint="eastAsia" w:ascii="楷体" w:hAnsi="楷体" w:eastAsia="楷体" w:cs="楷体"/>
          <w:b w:val="0"/>
          <w:kern w:val="44"/>
          <w:szCs w:val="32"/>
          <w:lang w:eastAsia="zh-CN"/>
        </w:rPr>
        <w:t>、资金到位及时性</w:t>
      </w:r>
      <w:bookmarkEnd w:id="220"/>
      <w:bookmarkEnd w:id="221"/>
    </w:p>
    <w:p>
      <w:pPr>
        <w:pageBreakBefore w:val="0"/>
        <w:widowControl w:val="0"/>
        <w:kinsoku/>
        <w:wordWrap/>
        <w:overflowPunct/>
        <w:topLinePunct w:val="0"/>
        <w:autoSpaceDE/>
        <w:autoSpaceDN/>
        <w:bidi w:val="0"/>
        <w:adjustRightInd w:val="0"/>
        <w:snapToGrid w:val="0"/>
        <w:spacing w:line="600" w:lineRule="exact"/>
        <w:ind w:left="0" w:firstLine="640"/>
        <w:jc w:val="both"/>
        <w:textAlignment w:val="auto"/>
        <w:rPr>
          <w:rFonts w:hint="eastAsia" w:ascii="仿宋" w:hAnsi="仿宋" w:eastAsia="仿宋" w:cs="仿宋"/>
          <w:szCs w:val="32"/>
          <w:lang w:eastAsia="zh-CN"/>
        </w:rPr>
      </w:pPr>
      <w:r>
        <w:rPr>
          <w:rFonts w:hint="eastAsia" w:ascii="仿宋" w:hAnsi="仿宋" w:eastAsia="仿宋" w:cs="仿宋"/>
          <w:b w:val="0"/>
          <w:color w:val="000000"/>
          <w:kern w:val="44"/>
          <w:sz w:val="32"/>
          <w:szCs w:val="32"/>
          <w:lang w:val="en-US" w:eastAsia="zh-CN" w:bidi="en-US"/>
        </w:rPr>
        <w:t>资金使用计划及实际支付合理性、资金到位及时性方面，指标总分15分，评估得分13分。具体如下</w:t>
      </w:r>
      <w:r>
        <w:rPr>
          <w:rFonts w:ascii="仿宋" w:hAnsi="仿宋" w:eastAsia="仿宋" w:cs="仿宋"/>
          <w:szCs w:val="32"/>
          <w:lang w:eastAsia="zh-CN"/>
        </w:rPr>
        <w:t>：</w:t>
      </w:r>
    </w:p>
    <w:p>
      <w:pPr>
        <w:pageBreakBefore w:val="0"/>
        <w:widowControl w:val="0"/>
        <w:kinsoku/>
        <w:wordWrap/>
        <w:overflowPunct/>
        <w:topLinePunct w:val="0"/>
        <w:autoSpaceDE/>
        <w:autoSpaceDN/>
        <w:bidi w:val="0"/>
        <w:adjustRightInd w:val="0"/>
        <w:snapToGrid w:val="0"/>
        <w:spacing w:line="600" w:lineRule="exact"/>
        <w:ind w:left="0" w:firstLine="640"/>
        <w:jc w:val="both"/>
        <w:textAlignment w:val="auto"/>
        <w:rPr>
          <w:rFonts w:hint="eastAsia" w:ascii="仿宋" w:hAnsi="仿宋" w:eastAsia="仿宋" w:cs="仿宋"/>
          <w:b w:val="0"/>
          <w:color w:val="000000"/>
          <w:kern w:val="44"/>
          <w:sz w:val="32"/>
          <w:szCs w:val="32"/>
          <w:lang w:val="en-US" w:eastAsia="zh-CN" w:bidi="en-US"/>
        </w:rPr>
      </w:pPr>
      <w:r>
        <w:rPr>
          <w:rFonts w:hint="eastAsia" w:ascii="仿宋" w:hAnsi="仿宋" w:eastAsia="仿宋" w:cs="仿宋"/>
          <w:szCs w:val="32"/>
          <w:lang w:eastAsia="zh-CN"/>
        </w:rPr>
        <w:t>1.</w:t>
      </w:r>
      <w:r>
        <w:rPr>
          <w:rFonts w:hint="eastAsia" w:ascii="仿宋" w:hAnsi="仿宋" w:eastAsia="仿宋" w:cs="仿宋"/>
          <w:b w:val="0"/>
          <w:color w:val="000000"/>
          <w:kern w:val="44"/>
          <w:sz w:val="32"/>
          <w:szCs w:val="32"/>
          <w:lang w:val="en-US" w:eastAsia="zh-CN" w:bidi="en-US"/>
        </w:rPr>
        <w:t>资金使用计划合理性</w:t>
      </w:r>
    </w:p>
    <w:p>
      <w:pPr>
        <w:pageBreakBefore w:val="0"/>
        <w:widowControl w:val="0"/>
        <w:kinsoku/>
        <w:wordWrap/>
        <w:overflowPunct/>
        <w:topLinePunct w:val="0"/>
        <w:autoSpaceDE/>
        <w:autoSpaceDN/>
        <w:bidi w:val="0"/>
        <w:adjustRightInd w:val="0"/>
        <w:snapToGrid w:val="0"/>
        <w:spacing w:line="600" w:lineRule="exact"/>
        <w:ind w:left="0" w:firstLine="640"/>
        <w:jc w:val="both"/>
        <w:textAlignment w:val="auto"/>
        <w:rPr>
          <w:rFonts w:hint="eastAsia" w:ascii="仿宋" w:hAnsi="仿宋" w:eastAsia="仿宋" w:cs="仿宋"/>
          <w:szCs w:val="32"/>
          <w:lang w:eastAsia="zh-CN"/>
        </w:rPr>
      </w:pPr>
      <w:r>
        <w:rPr>
          <w:rFonts w:hint="eastAsia" w:ascii="仿宋" w:hAnsi="仿宋" w:eastAsia="仿宋" w:cs="仿宋"/>
          <w:b w:val="0"/>
          <w:color w:val="000000"/>
          <w:kern w:val="44"/>
          <w:sz w:val="32"/>
          <w:szCs w:val="32"/>
          <w:lang w:val="en-US" w:eastAsia="zh-CN" w:bidi="en-US"/>
        </w:rPr>
        <w:t>为进一步提升金口河区的知名度与影响力，促进区域经济、文化、旅游等多方面发展，区委宣传部根据2023年、2024年外宣经费使用情况制定了2025年度资金使用计划。主要用于：媒体合作宣传费用、文旅活动宣传费用、新媒体宣传费用、宣传资料制作费用等</w:t>
      </w:r>
      <w:r>
        <w:rPr>
          <w:rFonts w:hint="eastAsia" w:ascii="仿宋" w:hAnsi="仿宋" w:eastAsia="仿宋" w:cs="仿宋"/>
          <w:szCs w:val="32"/>
          <w:lang w:eastAsia="zh-CN"/>
        </w:rPr>
        <w:t>。</w:t>
      </w:r>
    </w:p>
    <w:p>
      <w:pPr>
        <w:pageBreakBefore w:val="0"/>
        <w:widowControl w:val="0"/>
        <w:kinsoku/>
        <w:wordWrap/>
        <w:overflowPunct/>
        <w:topLinePunct w:val="0"/>
        <w:autoSpaceDE/>
        <w:autoSpaceDN/>
        <w:bidi w:val="0"/>
        <w:adjustRightInd w:val="0"/>
        <w:snapToGrid w:val="0"/>
        <w:spacing w:line="600" w:lineRule="exact"/>
        <w:ind w:left="0" w:firstLine="640"/>
        <w:jc w:val="both"/>
        <w:textAlignment w:val="auto"/>
        <w:rPr>
          <w:rFonts w:hint="eastAsia" w:ascii="仿宋" w:hAnsi="仿宋" w:eastAsia="仿宋" w:cs="仿宋"/>
          <w:szCs w:val="32"/>
          <w:lang w:eastAsia="zh-CN"/>
        </w:rPr>
      </w:pPr>
      <w:r>
        <w:rPr>
          <w:rFonts w:hint="eastAsia" w:ascii="仿宋" w:hAnsi="仿宋" w:eastAsia="仿宋" w:cs="仿宋"/>
          <w:b w:val="0"/>
          <w:color w:val="000000"/>
          <w:kern w:val="44"/>
          <w:sz w:val="32"/>
          <w:szCs w:val="32"/>
          <w:lang w:val="en-US" w:eastAsia="zh-CN" w:bidi="en-US"/>
        </w:rPr>
        <w:t>根据2023年、2024年外宣经费使用情况，结合2025年外宣经费使用方向，2025年</w:t>
      </w:r>
      <w:r>
        <w:rPr>
          <w:rFonts w:hint="eastAsia" w:ascii="仿宋" w:hAnsi="仿宋" w:eastAsia="仿宋" w:cs="仿宋"/>
          <w:bCs/>
          <w:kern w:val="2"/>
          <w:szCs w:val="32"/>
          <w:lang w:eastAsia="zh-CN" w:bidi="ar-SA"/>
        </w:rPr>
        <w:t>区委宣传部</w:t>
      </w:r>
      <w:r>
        <w:rPr>
          <w:rFonts w:hint="eastAsia" w:ascii="仿宋" w:hAnsi="仿宋" w:eastAsia="仿宋" w:cs="仿宋"/>
          <w:b w:val="0"/>
          <w:color w:val="000000"/>
          <w:kern w:val="44"/>
          <w:sz w:val="32"/>
          <w:szCs w:val="32"/>
          <w:lang w:val="en-US" w:eastAsia="zh-CN" w:bidi="en-US"/>
        </w:rPr>
        <w:t>外宣经费资金测算依据合理。根据评分标准，总分5分，得5分</w:t>
      </w:r>
      <w:r>
        <w:rPr>
          <w:rFonts w:hint="eastAsia" w:ascii="仿宋" w:hAnsi="仿宋" w:eastAsia="仿宋" w:cs="仿宋"/>
          <w:szCs w:val="32"/>
          <w:lang w:eastAsia="zh-CN"/>
        </w:rPr>
        <w:t>。</w:t>
      </w:r>
    </w:p>
    <w:p>
      <w:pPr>
        <w:pageBreakBefore w:val="0"/>
        <w:widowControl w:val="0"/>
        <w:kinsoku/>
        <w:wordWrap/>
        <w:overflowPunct/>
        <w:topLinePunct w:val="0"/>
        <w:autoSpaceDE/>
        <w:autoSpaceDN/>
        <w:bidi w:val="0"/>
        <w:adjustRightInd w:val="0"/>
        <w:snapToGrid w:val="0"/>
        <w:spacing w:line="600" w:lineRule="exact"/>
        <w:ind w:left="0" w:firstLine="640"/>
        <w:jc w:val="both"/>
        <w:textAlignment w:val="auto"/>
        <w:rPr>
          <w:rFonts w:hint="default" w:ascii="仿宋" w:hAnsi="仿宋" w:eastAsia="仿宋" w:cs="仿宋"/>
          <w:szCs w:val="32"/>
          <w:lang w:val="en-US" w:eastAsia="zh-CN"/>
        </w:rPr>
      </w:pPr>
      <w:r>
        <w:rPr>
          <w:rFonts w:hint="eastAsia" w:ascii="仿宋" w:hAnsi="仿宋" w:eastAsia="仿宋" w:cs="仿宋"/>
          <w:szCs w:val="32"/>
          <w:lang w:eastAsia="zh-CN"/>
        </w:rPr>
        <w:t>2.</w:t>
      </w:r>
      <w:r>
        <w:rPr>
          <w:rFonts w:hint="eastAsia" w:ascii="仿宋" w:hAnsi="仿宋" w:eastAsia="仿宋" w:cs="仿宋"/>
          <w:szCs w:val="32"/>
          <w:lang w:val="en-US" w:eastAsia="zh-CN"/>
        </w:rPr>
        <w:t>资金</w:t>
      </w:r>
      <w:r>
        <w:rPr>
          <w:rFonts w:hint="eastAsia" w:ascii="仿宋" w:hAnsi="仿宋" w:eastAsia="仿宋" w:cs="仿宋"/>
          <w:b w:val="0"/>
          <w:kern w:val="44"/>
          <w:szCs w:val="32"/>
          <w:lang w:val="en-US" w:eastAsia="zh-CN"/>
        </w:rPr>
        <w:t>支付合理性</w:t>
      </w:r>
    </w:p>
    <w:p>
      <w:pPr>
        <w:pageBreakBefore w:val="0"/>
        <w:widowControl w:val="0"/>
        <w:kinsoku/>
        <w:wordWrap/>
        <w:overflowPunct/>
        <w:topLinePunct w:val="0"/>
        <w:autoSpaceDE/>
        <w:autoSpaceDN/>
        <w:bidi w:val="0"/>
        <w:adjustRightInd w:val="0"/>
        <w:snapToGrid w:val="0"/>
        <w:spacing w:line="600" w:lineRule="exact"/>
        <w:ind w:left="0" w:firstLine="640"/>
        <w:jc w:val="both"/>
        <w:textAlignment w:val="auto"/>
        <w:rPr>
          <w:rFonts w:hint="default" w:ascii="仿宋" w:hAnsi="仿宋" w:eastAsia="仿宋" w:cs="仿宋"/>
          <w:szCs w:val="32"/>
          <w:lang w:val="en-US" w:eastAsia="zh-CN"/>
        </w:rPr>
      </w:pPr>
      <w:r>
        <w:rPr>
          <w:rFonts w:hint="eastAsia" w:ascii="仿宋" w:hAnsi="仿宋" w:eastAsia="仿宋" w:cs="仿宋"/>
          <w:b w:val="0"/>
          <w:color w:val="000000"/>
          <w:kern w:val="44"/>
          <w:sz w:val="32"/>
          <w:szCs w:val="32"/>
          <w:lang w:val="en-US" w:eastAsia="zh-CN" w:bidi="en-US"/>
        </w:rPr>
        <w:t>通过核查2023年、2024年外宣经费支付凭证及依据，我们发现：(1)2024年4月29日支付融媒体中心拍摄安全用品费用0.2044万元给张甜，因项目单位仅提供了国库集中支付凭证，未提供款项支付给个人的依据；(2)2024年12月26日支付阿拉神丁（北京）文化传播有限公司“2021年度电视节目电视剧播映权费用”3.45万元，因款项支付跨期时间太长，支付时间不合理。根据评分标准，总分5分，得3分</w:t>
      </w:r>
      <w:r>
        <w:rPr>
          <w:rFonts w:hint="eastAsia" w:ascii="仿宋" w:hAnsi="仿宋" w:eastAsia="仿宋" w:cs="仿宋"/>
          <w:szCs w:val="32"/>
          <w:lang w:eastAsia="zh-CN"/>
        </w:rPr>
        <w:t>。</w:t>
      </w:r>
    </w:p>
    <w:p>
      <w:pPr>
        <w:pageBreakBefore w:val="0"/>
        <w:widowControl w:val="0"/>
        <w:kinsoku/>
        <w:wordWrap/>
        <w:overflowPunct/>
        <w:topLinePunct w:val="0"/>
        <w:autoSpaceDE/>
        <w:autoSpaceDN/>
        <w:bidi w:val="0"/>
        <w:adjustRightInd w:val="0"/>
        <w:snapToGrid w:val="0"/>
        <w:spacing w:line="600" w:lineRule="exact"/>
        <w:ind w:left="0" w:firstLine="640"/>
        <w:jc w:val="both"/>
        <w:textAlignment w:val="auto"/>
        <w:rPr>
          <w:rFonts w:hint="eastAsia" w:ascii="仿宋" w:hAnsi="仿宋" w:eastAsia="仿宋" w:cs="仿宋"/>
          <w:szCs w:val="32"/>
          <w:lang w:eastAsia="zh-CN"/>
        </w:rPr>
      </w:pPr>
      <w:r>
        <w:rPr>
          <w:rFonts w:hint="eastAsia" w:ascii="仿宋" w:hAnsi="仿宋" w:eastAsia="仿宋" w:cs="仿宋"/>
          <w:szCs w:val="32"/>
          <w:lang w:val="en-US" w:eastAsia="zh-CN"/>
        </w:rPr>
        <w:t>3.</w:t>
      </w:r>
      <w:r>
        <w:rPr>
          <w:rFonts w:hint="eastAsia" w:ascii="仿宋" w:hAnsi="仿宋" w:eastAsia="仿宋" w:cs="仿宋"/>
          <w:szCs w:val="32"/>
          <w:lang w:eastAsia="zh-CN"/>
        </w:rPr>
        <w:t>资金到位及时性</w:t>
      </w:r>
    </w:p>
    <w:p>
      <w:pPr>
        <w:pageBreakBefore w:val="0"/>
        <w:widowControl w:val="0"/>
        <w:kinsoku/>
        <w:wordWrap/>
        <w:overflowPunct/>
        <w:topLinePunct w:val="0"/>
        <w:autoSpaceDE/>
        <w:autoSpaceDN/>
        <w:bidi w:val="0"/>
        <w:adjustRightInd w:val="0"/>
        <w:snapToGrid w:val="0"/>
        <w:spacing w:line="600" w:lineRule="exact"/>
        <w:ind w:left="0" w:firstLine="640"/>
        <w:jc w:val="both"/>
        <w:textAlignment w:val="auto"/>
        <w:rPr>
          <w:rFonts w:hint="eastAsia" w:ascii="仿宋" w:hAnsi="仿宋" w:eastAsia="仿宋" w:cs="仿宋"/>
          <w:szCs w:val="32"/>
          <w:lang w:eastAsia="zh-CN"/>
        </w:rPr>
      </w:pPr>
      <w:r>
        <w:rPr>
          <w:rFonts w:hint="eastAsia" w:ascii="仿宋" w:hAnsi="仿宋" w:eastAsia="仿宋" w:cs="仿宋"/>
          <w:b w:val="0"/>
          <w:color w:val="000000"/>
          <w:kern w:val="44"/>
          <w:sz w:val="32"/>
          <w:szCs w:val="32"/>
          <w:lang w:val="en-US" w:eastAsia="zh-CN" w:bidi="en-US"/>
        </w:rPr>
        <w:t>项目资金全部为政府资金，2025年区委宣传部申请的区级财政预算资金50万元。根据区委宣传部提供的《宣传部外宣经费项目收支统计明细表》，2023年、2024年外宣经费均能及时足额到位。根据评分标准，总分5分，得5分</w:t>
      </w:r>
      <w:r>
        <w:rPr>
          <w:rFonts w:hint="eastAsia" w:ascii="仿宋" w:hAnsi="仿宋" w:eastAsia="仿宋" w:cs="仿宋"/>
          <w:szCs w:val="32"/>
          <w:lang w:eastAsia="zh-CN"/>
        </w:rPr>
        <w:t>。</w:t>
      </w:r>
    </w:p>
    <w:p>
      <w:pPr>
        <w:pStyle w:val="3"/>
        <w:pageBreakBefore w:val="0"/>
        <w:widowControl w:val="0"/>
        <w:numPr>
          <w:ilvl w:val="0"/>
          <w:numId w:val="0"/>
        </w:numPr>
        <w:kinsoku/>
        <w:wordWrap/>
        <w:overflowPunct/>
        <w:topLinePunct w:val="0"/>
        <w:autoSpaceDE/>
        <w:autoSpaceDN/>
        <w:bidi w:val="0"/>
        <w:adjustRightInd w:val="0"/>
        <w:snapToGrid w:val="0"/>
        <w:spacing w:before="0" w:beforeLines="0" w:after="0" w:afterLines="0" w:line="600" w:lineRule="exact"/>
        <w:ind w:left="0" w:leftChars="0" w:firstLine="640" w:firstLineChars="200"/>
        <w:jc w:val="both"/>
        <w:textAlignment w:val="auto"/>
        <w:rPr>
          <w:rFonts w:hint="eastAsia" w:ascii="楷体" w:hAnsi="楷体" w:eastAsia="楷体" w:cs="楷体"/>
          <w:b w:val="0"/>
          <w:szCs w:val="32"/>
          <w:lang w:eastAsia="zh-CN"/>
        </w:rPr>
      </w:pPr>
      <w:bookmarkStart w:id="222" w:name="_Toc30218"/>
      <w:bookmarkStart w:id="223" w:name="_Toc15794"/>
      <w:r>
        <w:rPr>
          <w:rFonts w:hint="eastAsia" w:ascii="楷体" w:hAnsi="楷体" w:eastAsia="楷体" w:cs="楷体"/>
          <w:b w:val="0"/>
          <w:kern w:val="44"/>
          <w:szCs w:val="32"/>
          <w:lang w:eastAsia="zh-CN"/>
        </w:rPr>
        <w:t>（五）项目绩效目标明确性、合理性</w:t>
      </w:r>
      <w:bookmarkEnd w:id="222"/>
      <w:bookmarkEnd w:id="223"/>
    </w:p>
    <w:p>
      <w:pPr>
        <w:pageBreakBefore w:val="0"/>
        <w:widowControl w:val="0"/>
        <w:kinsoku/>
        <w:wordWrap/>
        <w:overflowPunct/>
        <w:topLinePunct w:val="0"/>
        <w:autoSpaceDE/>
        <w:autoSpaceDN/>
        <w:bidi w:val="0"/>
        <w:adjustRightInd w:val="0"/>
        <w:snapToGrid w:val="0"/>
        <w:spacing w:line="600" w:lineRule="exact"/>
        <w:ind w:left="0" w:firstLine="640"/>
        <w:jc w:val="both"/>
        <w:textAlignment w:val="auto"/>
        <w:rPr>
          <w:rFonts w:hint="eastAsia" w:ascii="仿宋" w:hAnsi="仿宋" w:eastAsia="仿宋" w:cs="仿宋"/>
          <w:szCs w:val="32"/>
          <w:lang w:eastAsia="zh-CN"/>
        </w:rPr>
      </w:pPr>
      <w:bookmarkStart w:id="224" w:name="OLE_LINK6"/>
      <w:r>
        <w:rPr>
          <w:rFonts w:hint="eastAsia" w:ascii="仿宋" w:hAnsi="仿宋" w:eastAsia="仿宋" w:cs="仿宋"/>
          <w:b w:val="0"/>
          <w:color w:val="000000"/>
          <w:kern w:val="44"/>
          <w:sz w:val="32"/>
          <w:szCs w:val="32"/>
          <w:lang w:val="en-US" w:eastAsia="zh-CN" w:bidi="en-US"/>
        </w:rPr>
        <w:t>项目绩效目标明确性、合理性方面，指标总分12分，评估得分12分。具体如下</w:t>
      </w:r>
      <w:r>
        <w:rPr>
          <w:rFonts w:hint="eastAsia" w:ascii="仿宋" w:hAnsi="仿宋" w:eastAsia="仿宋" w:cs="仿宋"/>
          <w:szCs w:val="32"/>
          <w:lang w:eastAsia="zh-CN"/>
        </w:rPr>
        <w:t>：</w:t>
      </w:r>
      <w:bookmarkEnd w:id="224"/>
    </w:p>
    <w:p>
      <w:pPr>
        <w:pageBreakBefore w:val="0"/>
        <w:widowControl w:val="0"/>
        <w:kinsoku/>
        <w:wordWrap/>
        <w:overflowPunct/>
        <w:topLinePunct w:val="0"/>
        <w:autoSpaceDE/>
        <w:autoSpaceDN/>
        <w:bidi w:val="0"/>
        <w:adjustRightInd w:val="0"/>
        <w:snapToGrid w:val="0"/>
        <w:spacing w:line="600" w:lineRule="exact"/>
        <w:ind w:left="0" w:firstLine="640"/>
        <w:jc w:val="both"/>
        <w:textAlignment w:val="auto"/>
        <w:rPr>
          <w:rFonts w:hint="eastAsia" w:ascii="仿宋" w:hAnsi="仿宋" w:eastAsia="仿宋" w:cs="仿宋"/>
          <w:szCs w:val="32"/>
          <w:lang w:eastAsia="zh-CN"/>
        </w:rPr>
      </w:pPr>
      <w:r>
        <w:rPr>
          <w:rFonts w:hint="eastAsia" w:ascii="仿宋" w:hAnsi="仿宋" w:eastAsia="仿宋" w:cs="仿宋"/>
          <w:szCs w:val="32"/>
          <w:lang w:eastAsia="zh-CN"/>
        </w:rPr>
        <w:t>1.绩效目标明确性</w:t>
      </w:r>
    </w:p>
    <w:p>
      <w:pPr>
        <w:pageBreakBefore w:val="0"/>
        <w:widowControl w:val="0"/>
        <w:kinsoku/>
        <w:wordWrap/>
        <w:overflowPunct/>
        <w:topLinePunct w:val="0"/>
        <w:autoSpaceDE/>
        <w:autoSpaceDN/>
        <w:bidi w:val="0"/>
        <w:adjustRightInd w:val="0"/>
        <w:snapToGrid w:val="0"/>
        <w:spacing w:line="600" w:lineRule="exact"/>
        <w:ind w:left="0" w:firstLine="640"/>
        <w:jc w:val="both"/>
        <w:textAlignment w:val="auto"/>
        <w:rPr>
          <w:rFonts w:hint="eastAsia" w:ascii="仿宋" w:hAnsi="仿宋" w:eastAsia="仿宋" w:cs="仿宋"/>
          <w:b w:val="0"/>
          <w:color w:val="000000"/>
          <w:kern w:val="44"/>
          <w:sz w:val="32"/>
          <w:szCs w:val="32"/>
          <w:lang w:val="en-US" w:eastAsia="zh-CN" w:bidi="en-US"/>
        </w:rPr>
      </w:pPr>
      <w:r>
        <w:rPr>
          <w:rFonts w:hint="eastAsia" w:ascii="仿宋" w:hAnsi="仿宋" w:eastAsia="仿宋" w:cs="仿宋"/>
          <w:b w:val="0"/>
          <w:color w:val="000000"/>
          <w:kern w:val="44"/>
          <w:sz w:val="32"/>
          <w:szCs w:val="32"/>
          <w:lang w:val="en-US" w:eastAsia="zh-CN" w:bidi="en-US"/>
        </w:rPr>
        <w:t>本次事前绩效评估根据《</w:t>
      </w:r>
      <w:r>
        <w:rPr>
          <w:rFonts w:hint="eastAsia" w:ascii="仿宋" w:hAnsi="仿宋" w:eastAsia="仿宋" w:cs="仿宋"/>
          <w:b w:val="0"/>
          <w:color w:val="000000"/>
          <w:kern w:val="44"/>
          <w:sz w:val="32"/>
          <w:szCs w:val="32"/>
          <w:lang w:val="en-US" w:eastAsia="zh-CN" w:bidi="en-US"/>
        </w:rPr>
        <w:fldChar w:fldCharType="begin"/>
      </w:r>
      <w:r>
        <w:rPr>
          <w:rFonts w:hint="eastAsia" w:ascii="仿宋" w:hAnsi="仿宋" w:eastAsia="仿宋" w:cs="仿宋"/>
          <w:b w:val="0"/>
          <w:color w:val="000000"/>
          <w:kern w:val="44"/>
          <w:sz w:val="32"/>
          <w:szCs w:val="32"/>
          <w:lang w:val="en-US" w:eastAsia="zh-CN" w:bidi="en-US"/>
        </w:rPr>
        <w:instrText xml:space="preserve"> HYPERLINK "https://www.chinawestagr.com/UpFile/ckeditor/tjcwc/2018/11/files/%E5%9B%9B%E5%B7%9D%E7%9C%81%E7%9C%81%E7%BA%A7%E9%A2%84%E7%AE%97%E4%BA%8B%E5%89%8D%E7%BB%A9%E6%95%88%E8%AF%84%E4%BC%B0%E7%AE%A1%E7%90%86%E6%9A%82%E8%A1%8C%E5%8A%9E%E6%B3%95.pdf" </w:instrText>
      </w:r>
      <w:r>
        <w:rPr>
          <w:rFonts w:hint="eastAsia" w:ascii="仿宋" w:hAnsi="仿宋" w:eastAsia="仿宋" w:cs="仿宋"/>
          <w:b w:val="0"/>
          <w:color w:val="000000"/>
          <w:kern w:val="44"/>
          <w:sz w:val="32"/>
          <w:szCs w:val="32"/>
          <w:lang w:val="en-US" w:eastAsia="zh-CN" w:bidi="en-US"/>
        </w:rPr>
        <w:fldChar w:fldCharType="separate"/>
      </w:r>
      <w:r>
        <w:rPr>
          <w:rFonts w:hint="eastAsia" w:ascii="仿宋" w:hAnsi="仿宋" w:eastAsia="仿宋" w:cs="仿宋"/>
          <w:b w:val="0"/>
          <w:color w:val="000000"/>
          <w:kern w:val="44"/>
          <w:sz w:val="32"/>
          <w:szCs w:val="32"/>
          <w:lang w:val="en-US" w:eastAsia="zh-CN" w:bidi="en-US"/>
        </w:rPr>
        <w:t>四川省财政厅关于印发&lt;四川省预算评审管理实施细则（试行）&gt;的通知》（川财预〔2024〕38号）</w:t>
      </w:r>
      <w:r>
        <w:rPr>
          <w:rFonts w:hint="eastAsia" w:ascii="仿宋" w:hAnsi="仿宋" w:eastAsia="仿宋" w:cs="仿宋"/>
          <w:b w:val="0"/>
          <w:color w:val="000000"/>
          <w:kern w:val="44"/>
          <w:sz w:val="32"/>
          <w:szCs w:val="32"/>
          <w:lang w:val="en-US" w:eastAsia="zh-CN" w:bidi="en-US"/>
        </w:rPr>
        <w:fldChar w:fldCharType="end"/>
      </w:r>
      <w:r>
        <w:rPr>
          <w:rFonts w:hint="eastAsia" w:ascii="仿宋" w:hAnsi="仿宋" w:eastAsia="仿宋" w:cs="仿宋"/>
          <w:b w:val="0"/>
          <w:color w:val="000000"/>
          <w:kern w:val="44"/>
          <w:sz w:val="32"/>
          <w:szCs w:val="32"/>
          <w:lang w:val="en-US" w:eastAsia="zh-CN" w:bidi="en-US"/>
        </w:rPr>
        <w:t>进行，按照事前评估应当遵守的基本内容设计本项目个性评价指标，确保绩效目标可评、可量、可用于指导项目实施阶段绩效评价。</w:t>
      </w:r>
    </w:p>
    <w:p>
      <w:pPr>
        <w:pageBreakBefore w:val="0"/>
        <w:widowControl w:val="0"/>
        <w:kinsoku/>
        <w:wordWrap/>
        <w:overflowPunct/>
        <w:topLinePunct w:val="0"/>
        <w:autoSpaceDE/>
        <w:autoSpaceDN/>
        <w:bidi w:val="0"/>
        <w:adjustRightInd w:val="0"/>
        <w:snapToGrid w:val="0"/>
        <w:spacing w:line="600" w:lineRule="exact"/>
        <w:ind w:left="0" w:firstLine="640"/>
        <w:jc w:val="both"/>
        <w:textAlignment w:val="auto"/>
        <w:rPr>
          <w:rFonts w:hint="eastAsia" w:ascii="仿宋" w:hAnsi="仿宋" w:eastAsia="仿宋" w:cs="仿宋"/>
          <w:b w:val="0"/>
          <w:color w:val="000000"/>
          <w:kern w:val="44"/>
          <w:sz w:val="32"/>
          <w:szCs w:val="32"/>
          <w:lang w:val="en-US" w:eastAsia="zh-CN" w:bidi="en-US"/>
        </w:rPr>
      </w:pPr>
      <w:r>
        <w:rPr>
          <w:rFonts w:hint="eastAsia" w:ascii="仿宋" w:hAnsi="仿宋" w:eastAsia="仿宋" w:cs="仿宋"/>
          <w:b w:val="0"/>
          <w:color w:val="000000"/>
          <w:kern w:val="44"/>
          <w:sz w:val="32"/>
          <w:szCs w:val="32"/>
          <w:lang w:val="en-US" w:eastAsia="zh-CN" w:bidi="en-US"/>
        </w:rPr>
        <w:t>该项目绩效目标设定明确，与年度工作目标一致，并且绩效目标的编制内容符合《项目支出绩效评价管理办法》（财预〔2020〕10号文）政策规定，与项目内容高度相关。根据评分标准，总分7分，得7分。</w:t>
      </w:r>
    </w:p>
    <w:p>
      <w:pPr>
        <w:pageBreakBefore w:val="0"/>
        <w:widowControl w:val="0"/>
        <w:kinsoku/>
        <w:wordWrap/>
        <w:overflowPunct/>
        <w:topLinePunct w:val="0"/>
        <w:autoSpaceDE/>
        <w:autoSpaceDN/>
        <w:bidi w:val="0"/>
        <w:adjustRightInd w:val="0"/>
        <w:snapToGrid w:val="0"/>
        <w:spacing w:line="600" w:lineRule="exact"/>
        <w:ind w:left="0" w:firstLine="640"/>
        <w:jc w:val="both"/>
        <w:textAlignment w:val="auto"/>
        <w:rPr>
          <w:rFonts w:hint="eastAsia" w:ascii="仿宋" w:hAnsi="仿宋" w:eastAsia="仿宋" w:cs="仿宋"/>
          <w:b w:val="0"/>
          <w:color w:val="000000"/>
          <w:kern w:val="44"/>
          <w:sz w:val="32"/>
          <w:szCs w:val="32"/>
          <w:lang w:val="en-US" w:eastAsia="zh-CN" w:bidi="en-US"/>
        </w:rPr>
      </w:pPr>
      <w:r>
        <w:rPr>
          <w:rFonts w:hint="eastAsia" w:ascii="仿宋" w:hAnsi="仿宋" w:eastAsia="仿宋" w:cs="仿宋"/>
          <w:b w:val="0"/>
          <w:color w:val="000000"/>
          <w:kern w:val="44"/>
          <w:sz w:val="32"/>
          <w:szCs w:val="32"/>
          <w:lang w:val="en-US" w:eastAsia="zh-CN" w:bidi="en-US"/>
        </w:rPr>
        <w:t>2.目标合理性</w:t>
      </w:r>
    </w:p>
    <w:p>
      <w:pPr>
        <w:pageBreakBefore w:val="0"/>
        <w:widowControl w:val="0"/>
        <w:kinsoku/>
        <w:wordWrap/>
        <w:overflowPunct/>
        <w:topLinePunct w:val="0"/>
        <w:autoSpaceDE/>
        <w:autoSpaceDN/>
        <w:bidi w:val="0"/>
        <w:adjustRightInd w:val="0"/>
        <w:snapToGrid w:val="0"/>
        <w:spacing w:line="600" w:lineRule="exact"/>
        <w:ind w:left="0" w:firstLine="640"/>
        <w:jc w:val="both"/>
        <w:textAlignment w:val="auto"/>
        <w:rPr>
          <w:rFonts w:hint="eastAsia" w:ascii="仿宋" w:hAnsi="仿宋" w:eastAsia="仿宋" w:cs="仿宋"/>
          <w:b w:val="0"/>
          <w:color w:val="000000"/>
          <w:kern w:val="44"/>
          <w:sz w:val="32"/>
          <w:szCs w:val="32"/>
          <w:lang w:val="en-US" w:eastAsia="zh-CN" w:bidi="en-US"/>
        </w:rPr>
      </w:pPr>
      <w:r>
        <w:rPr>
          <w:rFonts w:hint="eastAsia" w:ascii="仿宋" w:hAnsi="仿宋" w:eastAsia="仿宋" w:cs="仿宋"/>
          <w:b w:val="0"/>
          <w:color w:val="000000"/>
          <w:kern w:val="44"/>
          <w:sz w:val="32"/>
          <w:szCs w:val="32"/>
          <w:lang w:val="en-US" w:eastAsia="zh-CN" w:bidi="en-US"/>
        </w:rPr>
        <w:t>根据《</w:t>
      </w:r>
      <w:r>
        <w:rPr>
          <w:rFonts w:hint="eastAsia" w:ascii="仿宋" w:hAnsi="仿宋" w:eastAsia="仿宋" w:cs="仿宋"/>
          <w:b w:val="0"/>
          <w:color w:val="000000"/>
          <w:kern w:val="44"/>
          <w:sz w:val="32"/>
          <w:szCs w:val="32"/>
          <w:lang w:val="en-US" w:eastAsia="zh-CN" w:bidi="en-US"/>
        </w:rPr>
        <w:fldChar w:fldCharType="begin"/>
      </w:r>
      <w:r>
        <w:rPr>
          <w:rFonts w:hint="eastAsia" w:ascii="仿宋" w:hAnsi="仿宋" w:eastAsia="仿宋" w:cs="仿宋"/>
          <w:b w:val="0"/>
          <w:color w:val="000000"/>
          <w:kern w:val="44"/>
          <w:sz w:val="32"/>
          <w:szCs w:val="32"/>
          <w:lang w:val="en-US" w:eastAsia="zh-CN" w:bidi="en-US"/>
        </w:rPr>
        <w:instrText xml:space="preserve"> HYPERLINK "https://www.chinawestagr.com/UpFile/ckeditor/tjcwc/2018/11/files/%E5%9B%9B%E5%B7%9D%E7%9C%81%E7%9C%81%E7%BA%A7%E9%A2%84%E7%AE%97%E4%BA%8B%E5%89%8D%E7%BB%A9%E6%95%88%E8%AF%84%E4%BC%B0%E7%AE%A1%E7%90%86%E6%9A%82%E8%A1%8C%E5%8A%9E%E6%B3%95.pdf" </w:instrText>
      </w:r>
      <w:r>
        <w:rPr>
          <w:rFonts w:hint="eastAsia" w:ascii="仿宋" w:hAnsi="仿宋" w:eastAsia="仿宋" w:cs="仿宋"/>
          <w:b w:val="0"/>
          <w:color w:val="000000"/>
          <w:kern w:val="44"/>
          <w:sz w:val="32"/>
          <w:szCs w:val="32"/>
          <w:lang w:val="en-US" w:eastAsia="zh-CN" w:bidi="en-US"/>
        </w:rPr>
        <w:fldChar w:fldCharType="separate"/>
      </w:r>
      <w:r>
        <w:rPr>
          <w:rFonts w:hint="eastAsia" w:ascii="仿宋" w:hAnsi="仿宋" w:eastAsia="仿宋" w:cs="仿宋"/>
          <w:b w:val="0"/>
          <w:color w:val="000000"/>
          <w:kern w:val="44"/>
          <w:sz w:val="32"/>
          <w:szCs w:val="32"/>
          <w:lang w:val="en-US" w:eastAsia="zh-CN" w:bidi="en-US"/>
        </w:rPr>
        <w:t>四川省财政厅关于印发&lt;四川省预算评审管理实施细则（试行）&gt;的通知》（川财预〔2024〕38号）</w:t>
      </w:r>
      <w:r>
        <w:rPr>
          <w:rFonts w:hint="eastAsia" w:ascii="仿宋" w:hAnsi="仿宋" w:eastAsia="仿宋" w:cs="仿宋"/>
          <w:b w:val="0"/>
          <w:color w:val="000000"/>
          <w:kern w:val="44"/>
          <w:sz w:val="32"/>
          <w:szCs w:val="32"/>
          <w:lang w:val="en-US" w:eastAsia="zh-CN" w:bidi="en-US"/>
        </w:rPr>
        <w:fldChar w:fldCharType="end"/>
      </w:r>
      <w:r>
        <w:rPr>
          <w:rFonts w:hint="eastAsia" w:ascii="仿宋" w:hAnsi="仿宋" w:eastAsia="仿宋" w:cs="仿宋"/>
          <w:b w:val="0"/>
          <w:color w:val="000000"/>
          <w:kern w:val="44"/>
          <w:sz w:val="32"/>
          <w:szCs w:val="32"/>
          <w:lang w:val="en-US" w:eastAsia="zh-CN" w:bidi="en-US"/>
        </w:rPr>
        <w:t>，本项目绩效目标重点反映了外宣经费的产出数量、质量、时效、成本，还包括经济效益、社会效益、可持续影响、满意度等绩效指标。</w:t>
      </w:r>
    </w:p>
    <w:p>
      <w:pPr>
        <w:pageBreakBefore w:val="0"/>
        <w:widowControl w:val="0"/>
        <w:kinsoku/>
        <w:wordWrap/>
        <w:overflowPunct/>
        <w:topLinePunct w:val="0"/>
        <w:autoSpaceDE/>
        <w:autoSpaceDN/>
        <w:bidi w:val="0"/>
        <w:adjustRightInd w:val="0"/>
        <w:snapToGrid w:val="0"/>
        <w:spacing w:line="600" w:lineRule="exact"/>
        <w:ind w:left="0" w:firstLine="640"/>
        <w:jc w:val="both"/>
        <w:textAlignment w:val="auto"/>
        <w:rPr>
          <w:rFonts w:hint="eastAsia" w:ascii="仿宋" w:hAnsi="仿宋" w:eastAsia="仿宋" w:cs="仿宋"/>
          <w:b w:val="0"/>
          <w:color w:val="000000"/>
          <w:kern w:val="44"/>
          <w:sz w:val="32"/>
          <w:szCs w:val="32"/>
          <w:lang w:val="en-US" w:eastAsia="zh-CN" w:bidi="en-US"/>
        </w:rPr>
      </w:pPr>
      <w:r>
        <w:rPr>
          <w:rFonts w:hint="eastAsia" w:ascii="仿宋" w:hAnsi="仿宋" w:eastAsia="仿宋" w:cs="仿宋"/>
          <w:b w:val="0"/>
          <w:color w:val="000000"/>
          <w:kern w:val="44"/>
          <w:sz w:val="32"/>
          <w:szCs w:val="32"/>
          <w:lang w:val="en-US" w:eastAsia="zh-CN" w:bidi="en-US"/>
        </w:rPr>
        <w:t>通过精准有效的宣传推广，全面展示金口河区在自然风光、民俗文化、特色产业、投资环境等方面的独特魅力和发展成果，吸引更多游客前来旅游观光，吸引企业投资兴业，促进区域经济社会高质量发展。金口河区正积极推动文旅融合发展和招商引资工作，本资金使用计划紧密围绕这一战略目标，将资金重点投入到媒体合作、文旅活动宣传、新媒体宣传等方面，有助于提升金口河区的知名度和美誉度，吸引更多游客和投资，促进区域经济发展。</w:t>
      </w:r>
    </w:p>
    <w:p>
      <w:pPr>
        <w:pageBreakBefore w:val="0"/>
        <w:widowControl w:val="0"/>
        <w:kinsoku/>
        <w:wordWrap/>
        <w:overflowPunct/>
        <w:topLinePunct w:val="0"/>
        <w:autoSpaceDE/>
        <w:autoSpaceDN/>
        <w:bidi w:val="0"/>
        <w:adjustRightInd w:val="0"/>
        <w:snapToGrid w:val="0"/>
        <w:spacing w:line="600" w:lineRule="exact"/>
        <w:ind w:left="0" w:firstLine="640"/>
        <w:jc w:val="both"/>
        <w:textAlignment w:val="auto"/>
        <w:rPr>
          <w:rFonts w:hint="eastAsia" w:ascii="仿宋" w:hAnsi="仿宋" w:eastAsia="仿宋" w:cs="仿宋"/>
          <w:szCs w:val="32"/>
          <w:lang w:eastAsia="zh-CN"/>
        </w:rPr>
      </w:pPr>
      <w:r>
        <w:rPr>
          <w:rFonts w:hint="eastAsia" w:ascii="仿宋" w:hAnsi="仿宋" w:eastAsia="仿宋" w:cs="仿宋"/>
          <w:b w:val="0"/>
          <w:color w:val="000000"/>
          <w:kern w:val="44"/>
          <w:sz w:val="32"/>
          <w:szCs w:val="32"/>
          <w:lang w:val="en-US" w:eastAsia="zh-CN" w:bidi="en-US"/>
        </w:rPr>
        <w:t>因此，本项目的绩效目标合理，指标细化、量化、合理可考核且与申报预算的资金量相匹配。根据评分标准，总分6分，得6分</w:t>
      </w:r>
      <w:r>
        <w:rPr>
          <w:rFonts w:hint="eastAsia" w:ascii="仿宋" w:hAnsi="仿宋" w:eastAsia="仿宋" w:cs="仿宋"/>
          <w:szCs w:val="32"/>
          <w:lang w:eastAsia="zh-CN"/>
        </w:rPr>
        <w:t>。</w:t>
      </w:r>
    </w:p>
    <w:p>
      <w:pPr>
        <w:pStyle w:val="3"/>
        <w:pageBreakBefore w:val="0"/>
        <w:widowControl w:val="0"/>
        <w:numPr>
          <w:ilvl w:val="0"/>
          <w:numId w:val="0"/>
        </w:numPr>
        <w:kinsoku/>
        <w:wordWrap/>
        <w:overflowPunct/>
        <w:topLinePunct w:val="0"/>
        <w:autoSpaceDE/>
        <w:autoSpaceDN/>
        <w:bidi w:val="0"/>
        <w:adjustRightInd w:val="0"/>
        <w:snapToGrid w:val="0"/>
        <w:spacing w:before="0" w:beforeLines="0" w:after="0" w:afterLines="0" w:line="600" w:lineRule="exact"/>
        <w:ind w:left="0" w:leftChars="0" w:firstLine="640" w:firstLineChars="200"/>
        <w:jc w:val="both"/>
        <w:textAlignment w:val="auto"/>
        <w:rPr>
          <w:rFonts w:hint="eastAsia" w:ascii="楷体" w:hAnsi="楷体" w:eastAsia="楷体" w:cs="楷体"/>
          <w:b w:val="0"/>
          <w:kern w:val="44"/>
          <w:szCs w:val="32"/>
          <w:highlight w:val="none"/>
          <w:lang w:eastAsia="zh-CN"/>
        </w:rPr>
      </w:pPr>
      <w:bookmarkStart w:id="225" w:name="_Toc30567"/>
      <w:bookmarkStart w:id="226" w:name="_Toc22324"/>
      <w:r>
        <w:rPr>
          <w:rFonts w:hint="eastAsia" w:ascii="楷体" w:hAnsi="楷体" w:eastAsia="楷体" w:cs="楷体"/>
          <w:b w:val="0"/>
          <w:kern w:val="44"/>
          <w:szCs w:val="32"/>
          <w:highlight w:val="none"/>
          <w:lang w:val="en-US" w:eastAsia="zh-CN"/>
        </w:rPr>
        <w:t>（六）项目实施程序合规性</w:t>
      </w:r>
      <w:bookmarkEnd w:id="225"/>
    </w:p>
    <w:p>
      <w:pPr>
        <w:pageBreakBefore w:val="0"/>
        <w:widowControl w:val="0"/>
        <w:kinsoku/>
        <w:wordWrap/>
        <w:overflowPunct/>
        <w:topLinePunct w:val="0"/>
        <w:autoSpaceDE/>
        <w:autoSpaceDN/>
        <w:bidi w:val="0"/>
        <w:adjustRightInd w:val="0"/>
        <w:snapToGrid w:val="0"/>
        <w:spacing w:line="600" w:lineRule="exact"/>
        <w:ind w:left="0" w:firstLine="640"/>
        <w:jc w:val="both"/>
        <w:textAlignment w:val="auto"/>
        <w:rPr>
          <w:rFonts w:hint="eastAsia" w:ascii="仿宋" w:hAnsi="仿宋" w:eastAsia="仿宋" w:cs="仿宋"/>
          <w:b w:val="0"/>
          <w:color w:val="000000"/>
          <w:kern w:val="44"/>
          <w:sz w:val="32"/>
          <w:szCs w:val="32"/>
          <w:highlight w:val="none"/>
          <w:lang w:val="en-US" w:eastAsia="zh-CN" w:bidi="en-US"/>
        </w:rPr>
      </w:pPr>
      <w:r>
        <w:rPr>
          <w:rFonts w:hint="eastAsia" w:ascii="仿宋" w:hAnsi="仿宋" w:eastAsia="仿宋" w:cs="仿宋"/>
          <w:b w:val="0"/>
          <w:color w:val="000000"/>
          <w:kern w:val="44"/>
          <w:sz w:val="32"/>
          <w:szCs w:val="32"/>
          <w:highlight w:val="none"/>
          <w:lang w:val="en-US" w:eastAsia="zh-CN" w:bidi="en-US"/>
        </w:rPr>
        <w:t>项目实施程序合规性方面，指标总分6分，评估得分3分。具体如下：</w:t>
      </w:r>
    </w:p>
    <w:p>
      <w:pPr>
        <w:pageBreakBefore w:val="0"/>
        <w:widowControl w:val="0"/>
        <w:kinsoku/>
        <w:wordWrap/>
        <w:overflowPunct/>
        <w:topLinePunct w:val="0"/>
        <w:autoSpaceDE/>
        <w:autoSpaceDN/>
        <w:bidi w:val="0"/>
        <w:adjustRightInd w:val="0"/>
        <w:snapToGrid w:val="0"/>
        <w:spacing w:line="600" w:lineRule="exact"/>
        <w:ind w:left="0" w:firstLine="640"/>
        <w:jc w:val="both"/>
        <w:textAlignment w:val="auto"/>
        <w:rPr>
          <w:rFonts w:hint="eastAsia" w:ascii="Arial" w:hAnsi="Arial" w:eastAsia="宋体" w:cs="Arial"/>
          <w:b/>
          <w:bCs/>
          <w:i w:val="0"/>
          <w:iCs w:val="0"/>
          <w:caps w:val="0"/>
          <w:color w:val="000000"/>
          <w:spacing w:val="0"/>
          <w:sz w:val="21"/>
          <w:szCs w:val="21"/>
          <w:highlight w:val="none"/>
          <w:shd w:val="clear" w:fill="FFFFFF"/>
          <w:lang w:eastAsia="zh-CN"/>
        </w:rPr>
      </w:pPr>
      <w:r>
        <w:rPr>
          <w:rFonts w:hint="eastAsia" w:ascii="仿宋" w:hAnsi="仿宋" w:eastAsia="仿宋" w:cs="仿宋"/>
          <w:b w:val="0"/>
          <w:color w:val="000000"/>
          <w:kern w:val="44"/>
          <w:sz w:val="32"/>
          <w:szCs w:val="32"/>
          <w:highlight w:val="none"/>
          <w:lang w:val="en-US" w:eastAsia="zh-CN" w:bidi="en-US"/>
        </w:rPr>
        <w:t>项目单位所提供的2023年、2024年支付外宣经费的资料中没有提供比选、招投标资料。经核实，项目单位外宣合作的官方媒体基本为独家，采用单一来源方式确定合作单位。但从项目单位提供的资料中我们发现，非官方媒体的选定，如专题片制作、视频制作合作单位未通过比选、招投标方式确定合作单位。根据评分标准，总分6分，得3分</w:t>
      </w:r>
      <w:r>
        <w:rPr>
          <w:rFonts w:hint="eastAsia" w:ascii="仿宋" w:hAnsi="仿宋" w:eastAsia="仿宋" w:cs="仿宋"/>
          <w:szCs w:val="32"/>
          <w:highlight w:val="none"/>
          <w:lang w:eastAsia="zh-CN"/>
        </w:rPr>
        <w:t>。</w:t>
      </w:r>
    </w:p>
    <w:p>
      <w:pPr>
        <w:pStyle w:val="3"/>
        <w:pageBreakBefore w:val="0"/>
        <w:widowControl w:val="0"/>
        <w:numPr>
          <w:ilvl w:val="0"/>
          <w:numId w:val="0"/>
        </w:numPr>
        <w:kinsoku/>
        <w:wordWrap/>
        <w:overflowPunct/>
        <w:topLinePunct w:val="0"/>
        <w:autoSpaceDE/>
        <w:autoSpaceDN/>
        <w:bidi w:val="0"/>
        <w:adjustRightInd w:val="0"/>
        <w:snapToGrid w:val="0"/>
        <w:spacing w:before="0" w:beforeLines="0" w:after="0" w:afterLines="0" w:line="600" w:lineRule="exact"/>
        <w:ind w:left="0" w:leftChars="0" w:firstLine="640" w:firstLineChars="200"/>
        <w:jc w:val="both"/>
        <w:textAlignment w:val="auto"/>
        <w:rPr>
          <w:rFonts w:hint="eastAsia" w:ascii="楷体" w:hAnsi="楷体" w:eastAsia="楷体" w:cs="楷体"/>
          <w:b w:val="0"/>
          <w:kern w:val="44"/>
          <w:szCs w:val="32"/>
          <w:highlight w:val="none"/>
          <w:lang w:eastAsia="zh-CN"/>
        </w:rPr>
      </w:pPr>
      <w:bookmarkStart w:id="227" w:name="_Toc21947"/>
      <w:r>
        <w:rPr>
          <w:rFonts w:hint="eastAsia" w:ascii="楷体" w:hAnsi="楷体" w:eastAsia="楷体" w:cs="楷体"/>
          <w:b w:val="0"/>
          <w:kern w:val="44"/>
          <w:szCs w:val="32"/>
          <w:highlight w:val="none"/>
          <w:lang w:eastAsia="zh-CN"/>
        </w:rPr>
        <w:t>（七）项目实施成果合格性</w:t>
      </w:r>
      <w:bookmarkEnd w:id="226"/>
      <w:bookmarkEnd w:id="227"/>
    </w:p>
    <w:p>
      <w:pPr>
        <w:pageBreakBefore w:val="0"/>
        <w:widowControl w:val="0"/>
        <w:kinsoku/>
        <w:wordWrap/>
        <w:overflowPunct/>
        <w:topLinePunct w:val="0"/>
        <w:autoSpaceDE/>
        <w:autoSpaceDN/>
        <w:bidi w:val="0"/>
        <w:adjustRightInd w:val="0"/>
        <w:snapToGrid w:val="0"/>
        <w:spacing w:line="600" w:lineRule="exact"/>
        <w:ind w:left="0" w:firstLine="640"/>
        <w:jc w:val="both"/>
        <w:textAlignment w:val="auto"/>
        <w:rPr>
          <w:rFonts w:hint="eastAsia" w:ascii="仿宋" w:hAnsi="仿宋" w:eastAsia="仿宋" w:cs="仿宋"/>
          <w:b w:val="0"/>
          <w:color w:val="000000"/>
          <w:kern w:val="44"/>
          <w:sz w:val="32"/>
          <w:szCs w:val="32"/>
          <w:lang w:val="en-US" w:eastAsia="zh-CN" w:bidi="en-US"/>
        </w:rPr>
      </w:pPr>
      <w:r>
        <w:rPr>
          <w:rFonts w:hint="eastAsia" w:ascii="仿宋" w:hAnsi="仿宋" w:eastAsia="仿宋" w:cs="仿宋"/>
          <w:b w:val="0"/>
          <w:color w:val="000000"/>
          <w:kern w:val="44"/>
          <w:sz w:val="32"/>
          <w:szCs w:val="32"/>
          <w:lang w:val="en-US" w:eastAsia="zh-CN" w:bidi="en-US"/>
        </w:rPr>
        <w:t>项目实施成果合格情况方面，指标总分12分，评估得分12分。具体如下：</w:t>
      </w:r>
    </w:p>
    <w:p>
      <w:pPr>
        <w:pageBreakBefore w:val="0"/>
        <w:widowControl w:val="0"/>
        <w:kinsoku/>
        <w:wordWrap/>
        <w:overflowPunct/>
        <w:topLinePunct w:val="0"/>
        <w:autoSpaceDE/>
        <w:autoSpaceDN/>
        <w:bidi w:val="0"/>
        <w:adjustRightInd w:val="0"/>
        <w:snapToGrid w:val="0"/>
        <w:spacing w:line="600" w:lineRule="exact"/>
        <w:ind w:left="0" w:firstLine="640"/>
        <w:jc w:val="both"/>
        <w:textAlignment w:val="auto"/>
        <w:rPr>
          <w:rFonts w:hint="default" w:ascii="仿宋" w:hAnsi="仿宋" w:eastAsia="仿宋" w:cs="仿宋"/>
          <w:b w:val="0"/>
          <w:color w:val="000000"/>
          <w:kern w:val="44"/>
          <w:sz w:val="32"/>
          <w:szCs w:val="32"/>
          <w:lang w:val="en-US" w:eastAsia="zh-CN" w:bidi="en-US"/>
        </w:rPr>
      </w:pPr>
      <w:r>
        <w:rPr>
          <w:rFonts w:hint="eastAsia" w:ascii="仿宋" w:hAnsi="仿宋" w:eastAsia="仿宋" w:cs="仿宋"/>
          <w:b w:val="0"/>
          <w:color w:val="000000"/>
          <w:kern w:val="44"/>
          <w:sz w:val="32"/>
          <w:szCs w:val="32"/>
          <w:lang w:val="en-US" w:eastAsia="zh-CN" w:bidi="en-US"/>
        </w:rPr>
        <w:t>1.媒体合作宣传成果合格性</w:t>
      </w:r>
    </w:p>
    <w:p>
      <w:pPr>
        <w:pageBreakBefore w:val="0"/>
        <w:widowControl w:val="0"/>
        <w:kinsoku/>
        <w:wordWrap/>
        <w:overflowPunct/>
        <w:topLinePunct w:val="0"/>
        <w:autoSpaceDE/>
        <w:autoSpaceDN/>
        <w:bidi w:val="0"/>
        <w:adjustRightInd w:val="0"/>
        <w:snapToGrid w:val="0"/>
        <w:spacing w:line="600" w:lineRule="exact"/>
        <w:ind w:left="0" w:firstLine="640"/>
        <w:jc w:val="both"/>
        <w:textAlignment w:val="auto"/>
        <w:rPr>
          <w:rFonts w:hint="eastAsia" w:ascii="仿宋" w:hAnsi="仿宋" w:eastAsia="仿宋" w:cs="仿宋"/>
          <w:szCs w:val="32"/>
          <w:highlight w:val="none"/>
          <w:lang w:eastAsia="zh-CN"/>
        </w:rPr>
      </w:pPr>
      <w:bookmarkStart w:id="228" w:name="OLE_LINK7"/>
      <w:r>
        <w:rPr>
          <w:rFonts w:hint="eastAsia" w:ascii="仿宋" w:hAnsi="仿宋" w:eastAsia="仿宋" w:cs="仿宋"/>
          <w:b w:val="0"/>
          <w:color w:val="000000"/>
          <w:kern w:val="44"/>
          <w:sz w:val="32"/>
          <w:szCs w:val="32"/>
          <w:lang w:val="en-US" w:eastAsia="zh-CN" w:bidi="en-US"/>
        </w:rPr>
        <w:t>通过与各大媒体合作，使金口河至西昌高速公路等重大交通项目的推进备受关注。媒体对项目的规划、中标情况、建设进展等进行持续跟踪报道，使金口河区的交通发展蓝图深入人心，提升了外界对区域未来发展潜力的认知，也吸引了更多投资目光聚焦金口河。在全市率先举办第二届乐山百姓文化村超“蜀乡村歌好声音·乐山非遗传承秀”金口河赛区决赛，隆重举办铁道兵博物馆全面开馆仪式及系列活动，这些活动被央视、人民日报、四川日报等55家主流媒体宣传报道。首次承办国家级大型体育赛事—2024自行车系列赛（乐山站）金口河赛段赛事活动，吸引全国各地150名精英选手参赛，现场赛况及大峡谷、大瓦山美景获央视关注报道</w:t>
      </w:r>
      <w:r>
        <w:rPr>
          <w:rFonts w:hint="eastAsia" w:ascii="仿宋" w:hAnsi="仿宋" w:eastAsia="仿宋" w:cs="仿宋"/>
          <w:szCs w:val="32"/>
          <w:highlight w:val="none"/>
          <w:lang w:eastAsia="zh-CN"/>
        </w:rPr>
        <w:t>。</w:t>
      </w:r>
    </w:p>
    <w:p>
      <w:pPr>
        <w:pageBreakBefore w:val="0"/>
        <w:widowControl w:val="0"/>
        <w:kinsoku/>
        <w:wordWrap/>
        <w:overflowPunct/>
        <w:topLinePunct w:val="0"/>
        <w:autoSpaceDE/>
        <w:autoSpaceDN/>
        <w:bidi w:val="0"/>
        <w:adjustRightInd w:val="0"/>
        <w:snapToGrid w:val="0"/>
        <w:spacing w:line="600" w:lineRule="exact"/>
        <w:ind w:left="0" w:firstLine="640"/>
        <w:jc w:val="both"/>
        <w:textAlignment w:val="auto"/>
        <w:rPr>
          <w:rFonts w:hint="eastAsia" w:ascii="仿宋" w:hAnsi="仿宋" w:eastAsia="仿宋" w:cs="仿宋"/>
          <w:b w:val="0"/>
          <w:color w:val="000000"/>
          <w:kern w:val="44"/>
          <w:sz w:val="32"/>
          <w:szCs w:val="32"/>
          <w:lang w:val="en-US" w:eastAsia="zh-CN" w:bidi="en-US"/>
        </w:rPr>
      </w:pPr>
      <w:r>
        <w:rPr>
          <w:rFonts w:hint="eastAsia" w:ascii="仿宋" w:hAnsi="仿宋" w:eastAsia="仿宋" w:cs="仿宋"/>
          <w:b w:val="0"/>
          <w:color w:val="000000"/>
          <w:kern w:val="44"/>
          <w:sz w:val="32"/>
          <w:szCs w:val="32"/>
          <w:lang w:val="en-US" w:eastAsia="zh-CN" w:bidi="en-US"/>
        </w:rPr>
        <w:t>通过媒体的广泛传播，这些活动的影响力超出区域范围，极大地提升了金口河区的知名度和美誉度，使更多人了解到金口河区丰富的文化体育资源和独特魅力。</w:t>
      </w:r>
      <w:bookmarkEnd w:id="228"/>
      <w:bookmarkStart w:id="229" w:name="OLE_LINK8"/>
      <w:r>
        <w:rPr>
          <w:rFonts w:hint="eastAsia" w:ascii="仿宋" w:hAnsi="仿宋" w:eastAsia="仿宋" w:cs="仿宋"/>
          <w:b w:val="0"/>
          <w:color w:val="000000"/>
          <w:kern w:val="44"/>
          <w:sz w:val="32"/>
          <w:szCs w:val="32"/>
          <w:lang w:val="en-US" w:eastAsia="zh-CN" w:bidi="en-US"/>
        </w:rPr>
        <w:t>根据评分标准，总分4分，得4分。</w:t>
      </w:r>
      <w:bookmarkEnd w:id="229"/>
    </w:p>
    <w:p>
      <w:pPr>
        <w:pageBreakBefore w:val="0"/>
        <w:widowControl w:val="0"/>
        <w:kinsoku/>
        <w:wordWrap/>
        <w:overflowPunct/>
        <w:topLinePunct w:val="0"/>
        <w:autoSpaceDE/>
        <w:autoSpaceDN/>
        <w:bidi w:val="0"/>
        <w:adjustRightInd w:val="0"/>
        <w:snapToGrid w:val="0"/>
        <w:spacing w:line="600" w:lineRule="exact"/>
        <w:ind w:left="0" w:firstLine="640"/>
        <w:jc w:val="both"/>
        <w:textAlignment w:val="auto"/>
        <w:rPr>
          <w:rFonts w:hint="eastAsia" w:ascii="仿宋" w:hAnsi="仿宋" w:eastAsia="仿宋" w:cs="仿宋"/>
          <w:b w:val="0"/>
          <w:color w:val="000000"/>
          <w:kern w:val="44"/>
          <w:sz w:val="32"/>
          <w:szCs w:val="32"/>
          <w:lang w:val="en-US" w:eastAsia="zh-CN" w:bidi="en-US"/>
        </w:rPr>
      </w:pPr>
      <w:r>
        <w:rPr>
          <w:rFonts w:hint="eastAsia" w:ascii="仿宋" w:hAnsi="仿宋" w:eastAsia="仿宋" w:cs="仿宋"/>
          <w:b w:val="0"/>
          <w:color w:val="000000"/>
          <w:kern w:val="44"/>
          <w:sz w:val="32"/>
          <w:szCs w:val="32"/>
          <w:lang w:val="en-US" w:eastAsia="zh-CN" w:bidi="en-US"/>
        </w:rPr>
        <w:t>2.文旅活动宣传成果合格性</w:t>
      </w:r>
    </w:p>
    <w:p>
      <w:pPr>
        <w:pageBreakBefore w:val="0"/>
        <w:widowControl w:val="0"/>
        <w:kinsoku/>
        <w:wordWrap/>
        <w:overflowPunct/>
        <w:topLinePunct w:val="0"/>
        <w:autoSpaceDE/>
        <w:autoSpaceDN/>
        <w:bidi w:val="0"/>
        <w:adjustRightInd w:val="0"/>
        <w:snapToGrid w:val="0"/>
        <w:spacing w:line="600" w:lineRule="exact"/>
        <w:ind w:left="0" w:firstLine="640"/>
        <w:jc w:val="both"/>
        <w:textAlignment w:val="auto"/>
        <w:rPr>
          <w:rFonts w:hint="eastAsia" w:ascii="仿宋" w:hAnsi="仿宋" w:eastAsia="仿宋" w:cs="仿宋"/>
          <w:szCs w:val="32"/>
          <w:highlight w:val="none"/>
          <w:lang w:eastAsia="zh-CN"/>
        </w:rPr>
      </w:pPr>
      <w:r>
        <w:rPr>
          <w:rFonts w:hint="eastAsia" w:ascii="仿宋" w:hAnsi="仿宋" w:eastAsia="仿宋" w:cs="仿宋"/>
          <w:b w:val="0"/>
          <w:color w:val="000000"/>
          <w:kern w:val="44"/>
          <w:sz w:val="32"/>
          <w:szCs w:val="32"/>
          <w:lang w:val="en-US" w:eastAsia="zh-CN" w:bidi="en-US"/>
        </w:rPr>
        <w:t>通过与各大媒体合作，对金口河区的文旅资源进行深度挖掘与宣传。大渡河金口大峡谷成功创建为国家AAAA级景区，永和镇入选四川省乡村旅游特色乡镇、获评全市首个四川“天府旅游名镇”，永和镇胜利村获评全国乡村旅游重点村、天府旅游名村，这些成果的宣传推广吸引了大量游客。近三年接待游客人数、旅游综合收入连续保持两位数增长，媒体宣传在其中发挥了重要作用，让金口河的文旅招牌更加响亮。根据评分标准，总分4分，得4分</w:t>
      </w:r>
      <w:r>
        <w:rPr>
          <w:rFonts w:hint="eastAsia" w:ascii="仿宋" w:hAnsi="仿宋" w:eastAsia="仿宋" w:cs="仿宋"/>
          <w:szCs w:val="32"/>
          <w:highlight w:val="none"/>
          <w:lang w:eastAsia="zh-CN"/>
        </w:rPr>
        <w:t>。</w:t>
      </w:r>
    </w:p>
    <w:p>
      <w:pPr>
        <w:pageBreakBefore w:val="0"/>
        <w:widowControl w:val="0"/>
        <w:kinsoku/>
        <w:wordWrap/>
        <w:overflowPunct/>
        <w:topLinePunct w:val="0"/>
        <w:autoSpaceDE/>
        <w:autoSpaceDN/>
        <w:bidi w:val="0"/>
        <w:adjustRightInd w:val="0"/>
        <w:snapToGrid w:val="0"/>
        <w:spacing w:line="600" w:lineRule="exact"/>
        <w:ind w:left="0" w:firstLine="640"/>
        <w:jc w:val="both"/>
        <w:textAlignment w:val="auto"/>
        <w:rPr>
          <w:rFonts w:hint="eastAsia" w:ascii="仿宋" w:hAnsi="仿宋" w:eastAsia="仿宋" w:cs="仿宋"/>
          <w:szCs w:val="32"/>
          <w:lang w:eastAsia="zh-CN"/>
        </w:rPr>
      </w:pPr>
      <w:r>
        <w:rPr>
          <w:rFonts w:hint="eastAsia" w:ascii="仿宋" w:hAnsi="仿宋" w:eastAsia="仿宋" w:cs="仿宋"/>
          <w:szCs w:val="32"/>
          <w:lang w:val="en-US" w:eastAsia="zh-CN"/>
        </w:rPr>
        <w:t>3.</w:t>
      </w:r>
      <w:r>
        <w:rPr>
          <w:rFonts w:hint="eastAsia" w:ascii="仿宋" w:hAnsi="仿宋" w:eastAsia="仿宋" w:cs="仿宋"/>
          <w:b w:val="0"/>
          <w:color w:val="000000"/>
          <w:kern w:val="44"/>
          <w:sz w:val="32"/>
          <w:szCs w:val="32"/>
          <w:lang w:val="en-US" w:eastAsia="zh-CN" w:bidi="en-US"/>
        </w:rPr>
        <w:t>新媒体宣传成果合格性</w:t>
      </w:r>
    </w:p>
    <w:p>
      <w:pPr>
        <w:pageBreakBefore w:val="0"/>
        <w:widowControl w:val="0"/>
        <w:kinsoku/>
        <w:wordWrap/>
        <w:overflowPunct/>
        <w:topLinePunct w:val="0"/>
        <w:autoSpaceDE/>
        <w:autoSpaceDN/>
        <w:bidi w:val="0"/>
        <w:adjustRightInd w:val="0"/>
        <w:snapToGrid w:val="0"/>
        <w:spacing w:line="600" w:lineRule="exact"/>
        <w:ind w:left="0" w:firstLine="640"/>
        <w:jc w:val="both"/>
        <w:textAlignment w:val="auto"/>
        <w:rPr>
          <w:rFonts w:hint="eastAsia" w:ascii="仿宋" w:hAnsi="仿宋" w:eastAsia="仿宋" w:cs="仿宋"/>
          <w:b w:val="0"/>
          <w:color w:val="000000"/>
          <w:kern w:val="44"/>
          <w:sz w:val="32"/>
          <w:szCs w:val="32"/>
          <w:lang w:val="en-US" w:eastAsia="zh-CN" w:bidi="en-US"/>
        </w:rPr>
      </w:pPr>
      <w:r>
        <w:rPr>
          <w:rFonts w:hint="eastAsia" w:ascii="仿宋" w:hAnsi="仿宋" w:eastAsia="仿宋" w:cs="仿宋"/>
          <w:b w:val="0"/>
          <w:color w:val="000000"/>
          <w:kern w:val="44"/>
          <w:sz w:val="32"/>
          <w:szCs w:val="32"/>
          <w:lang w:val="en-US" w:eastAsia="zh-CN" w:bidi="en-US"/>
        </w:rPr>
        <w:t>金口河区积极布局多个新媒体平台，构建起全方位、多层次的宣传矩阵。在微信公众号方面，“微金口河”等官方公众号定期发布区内的政策解读、民生实事、文旅活动等内容，以图文并茂、通俗易懂的形式，让群众及时了解家乡动态。在短视频平台上，金口河区融媒体中心入驻抖音、快手等热门平台，创作并发布了大量精彩短视频。这些短视频涵盖自然风光、民俗文化、特色美食等多个主题，以生动有趣的画面和富有感染力的解说，吸引了众多网友关注。在文化旅游宣传方面，精心策划了一系列主题宣传活动。制作了多部高质量的文旅宣传短视频，如《魅力金口河，多彩文旅行》《探秘大瓦山》等，将金口河区独特的自然风光、民俗文化和美食特色完美融合，生动地展现了金口河区的文旅魅力。</w:t>
      </w:r>
    </w:p>
    <w:p>
      <w:pPr>
        <w:pageBreakBefore w:val="0"/>
        <w:widowControl w:val="0"/>
        <w:kinsoku/>
        <w:wordWrap/>
        <w:overflowPunct/>
        <w:topLinePunct w:val="0"/>
        <w:autoSpaceDE/>
        <w:autoSpaceDN/>
        <w:bidi w:val="0"/>
        <w:adjustRightInd w:val="0"/>
        <w:snapToGrid w:val="0"/>
        <w:spacing w:line="600" w:lineRule="exact"/>
        <w:ind w:left="0" w:firstLine="640"/>
        <w:jc w:val="both"/>
        <w:textAlignment w:val="auto"/>
        <w:rPr>
          <w:rFonts w:hint="eastAsia" w:ascii="仿宋" w:hAnsi="仿宋" w:eastAsia="仿宋" w:cs="仿宋"/>
          <w:szCs w:val="32"/>
          <w:highlight w:val="none"/>
          <w:lang w:eastAsia="zh-CN"/>
        </w:rPr>
      </w:pPr>
      <w:r>
        <w:rPr>
          <w:rFonts w:hint="eastAsia" w:ascii="仿宋" w:hAnsi="仿宋" w:eastAsia="仿宋" w:cs="仿宋"/>
          <w:b w:val="0"/>
          <w:color w:val="000000"/>
          <w:kern w:val="44"/>
          <w:sz w:val="32"/>
          <w:szCs w:val="32"/>
          <w:lang w:val="en-US" w:eastAsia="zh-CN" w:bidi="en-US"/>
        </w:rPr>
        <w:t>金口河区对外宣传经费项目在新媒体宣传方面取得了丰硕的成果，通过多元化的平台拓展、精品化的内容创作、显著的传播效果和增强的互动性，成功提升了金口河区的知名度、美誉度和影响力，为金口河区的经济社会发展营造了良好的舆论氛围。根据评分标准，总分4分，得4分</w:t>
      </w:r>
      <w:r>
        <w:rPr>
          <w:rFonts w:hint="eastAsia" w:ascii="仿宋" w:hAnsi="仿宋" w:eastAsia="仿宋" w:cs="仿宋"/>
          <w:szCs w:val="32"/>
          <w:highlight w:val="none"/>
          <w:lang w:eastAsia="zh-CN"/>
        </w:rPr>
        <w:t>。</w:t>
      </w:r>
    </w:p>
    <w:p>
      <w:pPr>
        <w:pStyle w:val="3"/>
        <w:pageBreakBefore w:val="0"/>
        <w:widowControl w:val="0"/>
        <w:numPr>
          <w:ilvl w:val="0"/>
          <w:numId w:val="0"/>
        </w:numPr>
        <w:kinsoku/>
        <w:wordWrap/>
        <w:overflowPunct/>
        <w:topLinePunct w:val="0"/>
        <w:autoSpaceDE/>
        <w:autoSpaceDN/>
        <w:bidi w:val="0"/>
        <w:adjustRightInd w:val="0"/>
        <w:snapToGrid w:val="0"/>
        <w:spacing w:before="0" w:beforeLines="0" w:after="0" w:afterLines="0" w:line="600" w:lineRule="exact"/>
        <w:ind w:left="0" w:leftChars="0" w:firstLine="640" w:firstLineChars="200"/>
        <w:jc w:val="both"/>
        <w:textAlignment w:val="auto"/>
        <w:rPr>
          <w:rFonts w:hint="eastAsia" w:ascii="楷体" w:hAnsi="楷体" w:eastAsia="楷体" w:cs="楷体"/>
          <w:b w:val="0"/>
          <w:kern w:val="44"/>
          <w:szCs w:val="32"/>
          <w:lang w:eastAsia="zh-CN"/>
        </w:rPr>
      </w:pPr>
      <w:bookmarkStart w:id="230" w:name="_Toc26124"/>
      <w:bookmarkStart w:id="231" w:name="_Toc18707"/>
      <w:r>
        <w:rPr>
          <w:rFonts w:hint="eastAsia" w:ascii="楷体" w:hAnsi="楷体" w:eastAsia="楷体" w:cs="楷体"/>
          <w:b w:val="0"/>
          <w:kern w:val="44"/>
          <w:szCs w:val="32"/>
          <w:lang w:eastAsia="zh-CN"/>
        </w:rPr>
        <w:t>（八）项目实施的可持续性</w:t>
      </w:r>
      <w:bookmarkEnd w:id="230"/>
      <w:bookmarkEnd w:id="231"/>
    </w:p>
    <w:p>
      <w:pPr>
        <w:pageBreakBefore w:val="0"/>
        <w:widowControl w:val="0"/>
        <w:kinsoku/>
        <w:wordWrap/>
        <w:overflowPunct/>
        <w:topLinePunct w:val="0"/>
        <w:autoSpaceDE/>
        <w:autoSpaceDN/>
        <w:bidi w:val="0"/>
        <w:adjustRightInd w:val="0"/>
        <w:snapToGrid w:val="0"/>
        <w:spacing w:line="600" w:lineRule="exact"/>
        <w:ind w:left="0" w:firstLine="640"/>
        <w:jc w:val="both"/>
        <w:textAlignment w:val="auto"/>
        <w:rPr>
          <w:lang w:eastAsia="zh-CN"/>
        </w:rPr>
      </w:pPr>
      <w:r>
        <w:rPr>
          <w:rFonts w:hint="eastAsia" w:ascii="仿宋" w:hAnsi="仿宋" w:eastAsia="仿宋" w:cs="仿宋"/>
          <w:szCs w:val="32"/>
          <w:lang w:eastAsia="zh-CN"/>
        </w:rPr>
        <w:t>项目实施的可持续性方面，指标总分</w:t>
      </w:r>
      <w:r>
        <w:rPr>
          <w:rFonts w:hint="eastAsia" w:ascii="仿宋" w:hAnsi="仿宋" w:eastAsia="仿宋" w:cs="仿宋"/>
          <w:szCs w:val="32"/>
          <w:lang w:val="en-US" w:eastAsia="zh-CN"/>
        </w:rPr>
        <w:t>9</w:t>
      </w:r>
      <w:r>
        <w:rPr>
          <w:rFonts w:hint="eastAsia" w:ascii="仿宋" w:hAnsi="仿宋" w:eastAsia="仿宋" w:cs="仿宋"/>
          <w:szCs w:val="32"/>
          <w:lang w:eastAsia="zh-CN"/>
        </w:rPr>
        <w:t>分，评估得分</w:t>
      </w:r>
      <w:r>
        <w:rPr>
          <w:rFonts w:hint="eastAsia" w:ascii="仿宋" w:hAnsi="仿宋" w:eastAsia="仿宋" w:cs="仿宋"/>
          <w:szCs w:val="32"/>
          <w:lang w:val="en-US" w:eastAsia="zh-CN"/>
        </w:rPr>
        <w:t>9</w:t>
      </w:r>
      <w:r>
        <w:rPr>
          <w:rFonts w:hint="eastAsia" w:ascii="仿宋" w:hAnsi="仿宋" w:eastAsia="仿宋" w:cs="仿宋"/>
          <w:szCs w:val="32"/>
          <w:lang w:eastAsia="zh-CN"/>
        </w:rPr>
        <w:t>分。具体如下：</w:t>
      </w:r>
    </w:p>
    <w:p>
      <w:pPr>
        <w:pageBreakBefore w:val="0"/>
        <w:widowControl w:val="0"/>
        <w:kinsoku/>
        <w:wordWrap/>
        <w:overflowPunct/>
        <w:topLinePunct w:val="0"/>
        <w:autoSpaceDE/>
        <w:autoSpaceDN/>
        <w:bidi w:val="0"/>
        <w:adjustRightInd w:val="0"/>
        <w:snapToGrid w:val="0"/>
        <w:spacing w:line="600" w:lineRule="exact"/>
        <w:ind w:left="0" w:firstLine="640"/>
        <w:jc w:val="both"/>
        <w:textAlignment w:val="auto"/>
        <w:rPr>
          <w:rFonts w:hint="eastAsia" w:ascii="仿宋" w:hAnsi="仿宋" w:eastAsia="仿宋" w:cs="仿宋"/>
          <w:szCs w:val="32"/>
          <w:lang w:eastAsia="zh-CN"/>
        </w:rPr>
      </w:pPr>
      <w:r>
        <w:rPr>
          <w:rFonts w:hint="eastAsia" w:ascii="仿宋" w:hAnsi="仿宋" w:eastAsia="仿宋" w:cs="仿宋"/>
          <w:szCs w:val="32"/>
          <w:lang w:eastAsia="zh-CN"/>
        </w:rPr>
        <w:t>金口河区政府重视对外宣传工作，</w:t>
      </w:r>
      <w:r>
        <w:rPr>
          <w:rFonts w:hint="eastAsia" w:ascii="仿宋" w:hAnsi="仿宋" w:eastAsia="仿宋" w:cs="仿宋"/>
          <w:szCs w:val="32"/>
          <w:lang w:val="en-US" w:eastAsia="zh-CN"/>
        </w:rPr>
        <w:t>2023年</w:t>
      </w:r>
      <w:r>
        <w:rPr>
          <w:rFonts w:hint="eastAsia" w:ascii="仿宋" w:hAnsi="仿宋" w:eastAsia="仿宋" w:cs="仿宋"/>
          <w:szCs w:val="32"/>
          <w:lang w:eastAsia="zh-CN"/>
        </w:rPr>
        <w:t>将该项目纳入</w:t>
      </w:r>
      <w:r>
        <w:rPr>
          <w:rFonts w:hint="eastAsia" w:ascii="仿宋" w:hAnsi="仿宋" w:eastAsia="仿宋" w:cs="仿宋"/>
          <w:szCs w:val="32"/>
          <w:lang w:val="en-US" w:eastAsia="zh-CN"/>
        </w:rPr>
        <w:t>了</w:t>
      </w:r>
      <w:r>
        <w:rPr>
          <w:rFonts w:hint="eastAsia" w:ascii="仿宋" w:hAnsi="仿宋" w:eastAsia="仿宋" w:cs="仿宋"/>
          <w:szCs w:val="32"/>
          <w:lang w:eastAsia="zh-CN"/>
        </w:rPr>
        <w:t>财政预算，为项目持续实施提供稳定资金。</w:t>
      </w:r>
      <w:r>
        <w:rPr>
          <w:rFonts w:hint="eastAsia" w:ascii="仿宋" w:hAnsi="仿宋" w:eastAsia="仿宋" w:cs="仿宋"/>
          <w:szCs w:val="32"/>
          <w:lang w:val="en-US" w:eastAsia="zh-CN"/>
        </w:rPr>
        <w:t>区</w:t>
      </w:r>
      <w:r>
        <w:rPr>
          <w:rFonts w:hint="eastAsia" w:ascii="仿宋" w:hAnsi="仿宋" w:eastAsia="仿宋" w:cs="仿宋"/>
          <w:szCs w:val="32"/>
          <w:lang w:eastAsia="zh-CN"/>
        </w:rPr>
        <w:t>政府出台的相关宣传政策和规划，为项目实施提供方向和指导。</w:t>
      </w:r>
      <w:r>
        <w:rPr>
          <w:rFonts w:hint="eastAsia" w:ascii="仿宋" w:hAnsi="仿宋" w:eastAsia="仿宋" w:cs="仿宋"/>
          <w:szCs w:val="32"/>
          <w:lang w:val="en-US" w:eastAsia="zh-CN"/>
        </w:rPr>
        <w:t>区</w:t>
      </w:r>
      <w:r>
        <w:rPr>
          <w:rFonts w:hint="eastAsia" w:ascii="仿宋" w:hAnsi="仿宋" w:eastAsia="仿宋" w:cs="仿宋"/>
          <w:szCs w:val="32"/>
          <w:lang w:eastAsia="zh-CN"/>
        </w:rPr>
        <w:t>政府在媒体合作、活动举办等方面给予的政策优惠和便利，</w:t>
      </w:r>
      <w:r>
        <w:rPr>
          <w:rFonts w:hint="eastAsia" w:ascii="仿宋" w:hAnsi="仿宋" w:eastAsia="仿宋" w:cs="仿宋"/>
          <w:szCs w:val="32"/>
          <w:lang w:val="en-US" w:eastAsia="zh-CN"/>
        </w:rPr>
        <w:t>有</w:t>
      </w:r>
      <w:r>
        <w:rPr>
          <w:rFonts w:hint="eastAsia" w:ascii="仿宋" w:hAnsi="仿宋" w:eastAsia="仿宋" w:cs="仿宋"/>
          <w:szCs w:val="32"/>
          <w:lang w:eastAsia="zh-CN"/>
        </w:rPr>
        <w:t>助于项目的长期推进。通过引进、培养熟悉宣传工作，具备新媒体运营、策划推广、文案撰写等技能的专业人才，为项目实施提供人力支持。</w:t>
      </w:r>
    </w:p>
    <w:p>
      <w:pPr>
        <w:pageBreakBefore w:val="0"/>
        <w:widowControl w:val="0"/>
        <w:kinsoku/>
        <w:wordWrap/>
        <w:overflowPunct/>
        <w:topLinePunct w:val="0"/>
        <w:autoSpaceDE/>
        <w:autoSpaceDN/>
        <w:bidi w:val="0"/>
        <w:adjustRightInd w:val="0"/>
        <w:snapToGrid w:val="0"/>
        <w:spacing w:line="600" w:lineRule="exact"/>
        <w:ind w:left="0" w:firstLine="640"/>
        <w:jc w:val="both"/>
        <w:textAlignment w:val="auto"/>
        <w:rPr>
          <w:rFonts w:hint="eastAsia" w:ascii="仿宋" w:hAnsi="仿宋" w:eastAsia="仿宋" w:cs="仿宋"/>
          <w:szCs w:val="32"/>
          <w:lang w:eastAsia="zh-CN"/>
        </w:rPr>
      </w:pPr>
      <w:r>
        <w:rPr>
          <w:rFonts w:hint="eastAsia" w:ascii="仿宋" w:hAnsi="仿宋" w:eastAsia="仿宋" w:cs="仿宋"/>
          <w:szCs w:val="32"/>
          <w:lang w:val="en-US" w:eastAsia="zh-CN"/>
        </w:rPr>
        <w:t>政府部门</w:t>
      </w:r>
      <w:r>
        <w:rPr>
          <w:rFonts w:hint="eastAsia" w:ascii="仿宋" w:hAnsi="仿宋" w:eastAsia="仿宋" w:cs="仿宋"/>
          <w:szCs w:val="32"/>
          <w:lang w:eastAsia="zh-CN"/>
        </w:rPr>
        <w:t>鼓励当地企业、居民参与对外宣传，如企业参与宣传活动的策划与执行，居民作为宣传志愿者或提供宣传素材，形成全民宣传的良好氛围，扩大宣传影响力。</w:t>
      </w:r>
      <w:r>
        <w:rPr>
          <w:rFonts w:hint="eastAsia" w:ascii="仿宋" w:hAnsi="仿宋" w:eastAsia="仿宋" w:cs="仿宋"/>
          <w:szCs w:val="32"/>
          <w:lang w:val="en-US" w:eastAsia="zh-CN"/>
        </w:rPr>
        <w:t>同时</w:t>
      </w:r>
      <w:r>
        <w:rPr>
          <w:rFonts w:hint="eastAsia" w:ascii="仿宋" w:hAnsi="仿宋" w:eastAsia="仿宋" w:cs="仿宋"/>
          <w:szCs w:val="32"/>
          <w:lang w:eastAsia="zh-CN"/>
        </w:rPr>
        <w:t>与周边地区开展宣传合作，实现资源共享、优势互补，共同提升区域整体形象，也有助于项目的持续实施。根据评分标准，总分</w:t>
      </w:r>
      <w:r>
        <w:rPr>
          <w:rFonts w:hint="eastAsia" w:ascii="仿宋" w:hAnsi="仿宋" w:eastAsia="仿宋" w:cs="仿宋"/>
          <w:szCs w:val="32"/>
          <w:lang w:val="en-US" w:eastAsia="zh-CN"/>
        </w:rPr>
        <w:t>9</w:t>
      </w:r>
      <w:r>
        <w:rPr>
          <w:rFonts w:hint="eastAsia" w:ascii="仿宋" w:hAnsi="仿宋" w:eastAsia="仿宋" w:cs="仿宋"/>
          <w:szCs w:val="32"/>
          <w:lang w:eastAsia="zh-CN"/>
        </w:rPr>
        <w:t>分，得</w:t>
      </w:r>
      <w:r>
        <w:rPr>
          <w:rFonts w:hint="eastAsia" w:ascii="仿宋" w:hAnsi="仿宋" w:eastAsia="仿宋" w:cs="仿宋"/>
          <w:szCs w:val="32"/>
          <w:lang w:val="en-US" w:eastAsia="zh-CN"/>
        </w:rPr>
        <w:t>9</w:t>
      </w:r>
      <w:r>
        <w:rPr>
          <w:rFonts w:hint="eastAsia" w:ascii="仿宋" w:hAnsi="仿宋" w:eastAsia="仿宋" w:cs="仿宋"/>
          <w:szCs w:val="32"/>
          <w:lang w:eastAsia="zh-CN"/>
        </w:rPr>
        <w:t>分。</w:t>
      </w:r>
    </w:p>
    <w:p>
      <w:pPr>
        <w:pStyle w:val="3"/>
        <w:pageBreakBefore w:val="0"/>
        <w:widowControl w:val="0"/>
        <w:numPr>
          <w:ilvl w:val="0"/>
          <w:numId w:val="0"/>
        </w:numPr>
        <w:kinsoku/>
        <w:wordWrap/>
        <w:overflowPunct/>
        <w:topLinePunct w:val="0"/>
        <w:autoSpaceDE/>
        <w:autoSpaceDN/>
        <w:bidi w:val="0"/>
        <w:adjustRightInd w:val="0"/>
        <w:snapToGrid w:val="0"/>
        <w:spacing w:before="0" w:beforeLines="0" w:after="0" w:afterLines="0" w:line="600" w:lineRule="exact"/>
        <w:ind w:left="0" w:leftChars="0" w:firstLine="640" w:firstLineChars="200"/>
        <w:jc w:val="both"/>
        <w:textAlignment w:val="auto"/>
        <w:rPr>
          <w:rFonts w:hint="eastAsia" w:ascii="楷体" w:hAnsi="楷体" w:eastAsia="楷体" w:cs="楷体"/>
          <w:b w:val="0"/>
          <w:kern w:val="44"/>
          <w:szCs w:val="32"/>
          <w:lang w:eastAsia="zh-CN"/>
        </w:rPr>
      </w:pPr>
      <w:bookmarkStart w:id="232" w:name="_Toc24831"/>
      <w:bookmarkStart w:id="233" w:name="_Toc29187"/>
      <w:r>
        <w:rPr>
          <w:rFonts w:hint="eastAsia" w:ascii="楷体" w:hAnsi="楷体" w:eastAsia="楷体" w:cs="楷体"/>
          <w:b w:val="0"/>
          <w:kern w:val="44"/>
          <w:szCs w:val="32"/>
          <w:lang w:eastAsia="zh-CN"/>
        </w:rPr>
        <w:t>（九）总体结论</w:t>
      </w:r>
      <w:bookmarkEnd w:id="232"/>
      <w:bookmarkEnd w:id="233"/>
    </w:p>
    <w:p>
      <w:pPr>
        <w:pageBreakBefore w:val="0"/>
        <w:widowControl w:val="0"/>
        <w:kinsoku/>
        <w:wordWrap/>
        <w:overflowPunct/>
        <w:topLinePunct w:val="0"/>
        <w:autoSpaceDE/>
        <w:autoSpaceDN/>
        <w:bidi w:val="0"/>
        <w:adjustRightInd w:val="0"/>
        <w:snapToGrid w:val="0"/>
        <w:spacing w:line="600" w:lineRule="exact"/>
        <w:ind w:left="0" w:firstLine="640"/>
        <w:jc w:val="both"/>
        <w:textAlignment w:val="auto"/>
        <w:rPr>
          <w:rFonts w:hint="eastAsia" w:ascii="仿宋" w:hAnsi="仿宋" w:eastAsia="仿宋" w:cs="仿宋"/>
          <w:szCs w:val="32"/>
          <w:lang w:eastAsia="zh-CN"/>
        </w:rPr>
      </w:pPr>
      <w:r>
        <w:rPr>
          <w:rFonts w:hint="eastAsia" w:ascii="仿宋" w:hAnsi="仿宋" w:eastAsia="仿宋" w:cs="仿宋"/>
          <w:szCs w:val="32"/>
          <w:lang w:eastAsia="zh-CN"/>
        </w:rPr>
        <w:t>评估小组通过对前述8个一级指标、1</w:t>
      </w:r>
      <w:r>
        <w:rPr>
          <w:rFonts w:hint="eastAsia" w:ascii="仿宋" w:hAnsi="仿宋" w:eastAsia="仿宋" w:cs="仿宋"/>
          <w:szCs w:val="32"/>
          <w:lang w:val="en-US" w:eastAsia="zh-CN"/>
        </w:rPr>
        <w:t>7</w:t>
      </w:r>
      <w:r>
        <w:rPr>
          <w:rFonts w:hint="eastAsia" w:ascii="仿宋" w:hAnsi="仿宋" w:eastAsia="仿宋" w:cs="仿宋"/>
          <w:szCs w:val="32"/>
          <w:lang w:eastAsia="zh-CN"/>
        </w:rPr>
        <w:t>个二级指标以及30个三级指标评分的分析评估，全面评估该项目的预期绩效情况，评估总分95分。通过全方位、多层次的宣传推广，金口河区的知名度和美誉度得到了显著提高。在各大旅游平台上，金口河区的搜索热度持续上升，相关旅游推荐指数也不断攀升。越来越多的游客将金口河区列为旅游目的地，为区域旅游业的发展注入了强大动力。宣传活动有效带动了金口河区文化旅游产业的发展。大渡河金口大峡谷成功创建为国家AAAA级景区，永和镇入选四川省乡村旅游特色乡镇、获评全市首个四川“天府旅游名镇”，永和镇胜利村获评全国乡村旅游重点村、天府旅游名村。良好的对外宣传吸引了众多投资者的目光。过去一年里，金口河区成功引进了多个重大项目，涉及工业、农业、旅游等多个领域。通过宣传金口河区在生态保护、民生改善、社会和谐等方面的成就，有效提升了区域的整体形象。金口河区被外界视为一个生态优美、文化丰富、充满活力的地方，为吸引人才、促进区域可持续发展奠定了坚实基础。本项目通过社会调查、效益分析、对比分析等方法评估，综合考虑项目绩效目标和项目实际情况，预期绩效可实现性强，满足《</w:t>
      </w:r>
      <w:r>
        <w:rPr>
          <w:rFonts w:hint="eastAsia" w:ascii="仿宋" w:hAnsi="仿宋" w:eastAsia="仿宋" w:cs="仿宋"/>
          <w:szCs w:val="32"/>
          <w:lang w:eastAsia="zh-CN"/>
        </w:rPr>
        <w:fldChar w:fldCharType="begin"/>
      </w:r>
      <w:r>
        <w:rPr>
          <w:rFonts w:hint="eastAsia" w:ascii="仿宋" w:hAnsi="仿宋" w:eastAsia="仿宋" w:cs="仿宋"/>
          <w:szCs w:val="32"/>
          <w:lang w:eastAsia="zh-CN"/>
        </w:rPr>
        <w:instrText xml:space="preserve"> HYPERLINK "https://www.chinawestagr.com/UpFile/ckeditor/tjcwc/2018/11/files/%E5%9B%9B%E5%B7%9D%E7%9C%81%E7%9C%81%E7%BA%A7%E9%A2%84%E7%AE%97%E4%BA%8B%E5%89%8D%E7%BB%A9%E6%95%88%E8%AF%84%E4%BC%B0%E7%AE%A1%E7%90%86%E6%9A%82%E8%A1%8C%E5%8A%9E%E6%B3%95.pdf" </w:instrText>
      </w:r>
      <w:r>
        <w:rPr>
          <w:rFonts w:hint="eastAsia" w:ascii="仿宋" w:hAnsi="仿宋" w:eastAsia="仿宋" w:cs="仿宋"/>
          <w:szCs w:val="32"/>
          <w:lang w:eastAsia="zh-CN"/>
        </w:rPr>
        <w:fldChar w:fldCharType="separate"/>
      </w:r>
      <w:r>
        <w:rPr>
          <w:rFonts w:hint="eastAsia" w:ascii="仿宋" w:hAnsi="仿宋" w:eastAsia="仿宋" w:cs="仿宋"/>
          <w:szCs w:val="32"/>
          <w:lang w:eastAsia="zh-CN"/>
        </w:rPr>
        <w:t>四川省财政厅关于印发&lt;四川省预算评审管理实施细则（试行）&gt;的通知》（川财预〔2024〕38号）</w:t>
      </w:r>
      <w:r>
        <w:rPr>
          <w:rFonts w:hint="eastAsia" w:ascii="仿宋" w:hAnsi="仿宋" w:eastAsia="仿宋" w:cs="仿宋"/>
          <w:szCs w:val="32"/>
          <w:lang w:eastAsia="zh-CN"/>
        </w:rPr>
        <w:fldChar w:fldCharType="end"/>
      </w:r>
      <w:r>
        <w:rPr>
          <w:rFonts w:hint="eastAsia" w:ascii="仿宋" w:hAnsi="仿宋" w:eastAsia="仿宋" w:cs="仿宋"/>
          <w:szCs w:val="32"/>
          <w:lang w:eastAsia="zh-CN"/>
        </w:rPr>
        <w:t>要求，综合绩效评估结论为“建议实施”</w:t>
      </w:r>
      <w:r>
        <w:rPr>
          <w:rFonts w:ascii="仿宋" w:hAnsi="仿宋" w:eastAsia="仿宋" w:cs="仿宋"/>
          <w:szCs w:val="32"/>
          <w:lang w:eastAsia="zh-CN"/>
        </w:rPr>
        <w:t>。</w:t>
      </w:r>
    </w:p>
    <w:p>
      <w:pPr>
        <w:pStyle w:val="2"/>
        <w:pageBreakBefore w:val="0"/>
        <w:widowControl w:val="0"/>
        <w:numPr>
          <w:ilvl w:val="0"/>
          <w:numId w:val="0"/>
        </w:numPr>
        <w:kinsoku/>
        <w:wordWrap/>
        <w:overflowPunct/>
        <w:topLinePunct w:val="0"/>
        <w:autoSpaceDE/>
        <w:autoSpaceDN/>
        <w:bidi w:val="0"/>
        <w:adjustRightInd w:val="0"/>
        <w:snapToGrid w:val="0"/>
        <w:spacing w:before="0" w:beforeLines="0" w:after="0" w:afterLines="0" w:line="600" w:lineRule="exact"/>
        <w:ind w:left="0" w:leftChars="0" w:firstLine="640" w:firstLineChars="200"/>
        <w:jc w:val="both"/>
        <w:textAlignment w:val="auto"/>
        <w:rPr>
          <w:rFonts w:hint="eastAsia" w:ascii="黑体" w:hAnsi="黑体" w:eastAsia="黑体" w:cs="黑体"/>
          <w:b w:val="0"/>
          <w:szCs w:val="32"/>
          <w:lang w:eastAsia="zh-CN"/>
        </w:rPr>
      </w:pPr>
      <w:bookmarkStart w:id="234" w:name="_Toc9339"/>
      <w:bookmarkStart w:id="235" w:name="_Toc18341"/>
      <w:r>
        <w:rPr>
          <w:rFonts w:hint="eastAsia" w:ascii="黑体" w:hAnsi="黑体" w:eastAsia="黑体" w:cs="黑体"/>
          <w:b w:val="0"/>
          <w:szCs w:val="32"/>
          <w:lang w:eastAsia="zh-CN"/>
        </w:rPr>
        <w:t>五、相关建议</w:t>
      </w:r>
      <w:bookmarkEnd w:id="234"/>
      <w:bookmarkEnd w:id="235"/>
    </w:p>
    <w:p>
      <w:pPr>
        <w:pStyle w:val="3"/>
        <w:pageBreakBefore w:val="0"/>
        <w:widowControl w:val="0"/>
        <w:kinsoku/>
        <w:wordWrap/>
        <w:overflowPunct/>
        <w:topLinePunct w:val="0"/>
        <w:autoSpaceDE/>
        <w:autoSpaceDN/>
        <w:bidi w:val="0"/>
        <w:adjustRightInd w:val="0"/>
        <w:snapToGrid w:val="0"/>
        <w:spacing w:before="0" w:beforeLines="0" w:after="0" w:afterLines="0" w:line="600" w:lineRule="exact"/>
        <w:ind w:left="0"/>
        <w:jc w:val="both"/>
        <w:textAlignment w:val="auto"/>
        <w:rPr>
          <w:rFonts w:hint="eastAsia" w:ascii="楷体" w:hAnsi="楷体" w:eastAsia="楷体" w:cs="楷体"/>
          <w:b w:val="0"/>
          <w:bCs/>
          <w:highlight w:val="yellow"/>
          <w:lang w:val="en-US" w:eastAsia="zh-CN"/>
        </w:rPr>
      </w:pPr>
      <w:bookmarkStart w:id="236" w:name="_Toc25444"/>
      <w:bookmarkStart w:id="237" w:name="_Toc8873"/>
      <w:r>
        <w:rPr>
          <w:rFonts w:hint="eastAsia" w:ascii="楷体" w:hAnsi="楷体" w:eastAsia="楷体" w:cs="楷体"/>
          <w:b w:val="0"/>
          <w:bCs/>
          <w:szCs w:val="32"/>
          <w:lang w:val="en-US" w:eastAsia="zh-CN"/>
        </w:rPr>
        <w:t>(一)</w:t>
      </w:r>
      <w:bookmarkEnd w:id="236"/>
      <w:r>
        <w:rPr>
          <w:rFonts w:hint="eastAsia" w:ascii="楷体" w:hAnsi="楷体" w:eastAsia="楷体" w:cs="楷体"/>
          <w:b w:val="0"/>
          <w:bCs/>
          <w:szCs w:val="32"/>
          <w:lang w:val="en-US" w:eastAsia="zh-CN"/>
        </w:rPr>
        <w:t>资金支付因跨期时间太长不合理</w:t>
      </w:r>
      <w:bookmarkEnd w:id="237"/>
    </w:p>
    <w:p>
      <w:pPr>
        <w:pageBreakBefore w:val="0"/>
        <w:widowControl w:val="0"/>
        <w:kinsoku/>
        <w:wordWrap/>
        <w:overflowPunct/>
        <w:topLinePunct w:val="0"/>
        <w:autoSpaceDE/>
        <w:autoSpaceDN/>
        <w:bidi w:val="0"/>
        <w:adjustRightInd w:val="0"/>
        <w:snapToGrid w:val="0"/>
        <w:spacing w:line="600" w:lineRule="exact"/>
        <w:ind w:left="0" w:firstLine="640"/>
        <w:jc w:val="both"/>
        <w:textAlignment w:val="auto"/>
        <w:rPr>
          <w:rFonts w:hint="eastAsia" w:ascii="仿宋" w:hAnsi="仿宋" w:eastAsia="仿宋" w:cs="仿宋"/>
          <w:b w:val="0"/>
          <w:szCs w:val="32"/>
          <w:lang w:eastAsia="zh-CN"/>
        </w:rPr>
      </w:pPr>
      <w:bookmarkStart w:id="238" w:name="_Toc2492"/>
      <w:r>
        <w:rPr>
          <w:rFonts w:hint="eastAsia" w:ascii="仿宋" w:hAnsi="仿宋" w:eastAsia="仿宋" w:cs="仿宋"/>
          <w:szCs w:val="32"/>
          <w:lang w:eastAsia="zh-CN"/>
        </w:rPr>
        <w:t>在合同中详细规定支付时间和条件，避免模糊不清的表述。</w:t>
      </w:r>
      <w:r>
        <w:rPr>
          <w:rFonts w:hint="eastAsia" w:ascii="仿宋" w:hAnsi="仿宋" w:eastAsia="仿宋" w:cs="仿宋"/>
          <w:szCs w:val="32"/>
          <w:lang w:val="en-US" w:eastAsia="zh-CN"/>
        </w:rPr>
        <w:t>项目单位</w:t>
      </w:r>
      <w:r>
        <w:rPr>
          <w:rFonts w:hint="eastAsia" w:ascii="仿宋" w:hAnsi="仿宋" w:eastAsia="仿宋" w:cs="仿宋"/>
          <w:szCs w:val="32"/>
          <w:lang w:eastAsia="zh-CN"/>
        </w:rPr>
        <w:t>应提前做好资金预算和安排，确保有足够的资金按时支付，避免因资金周转困难导致支付延迟。建立资金支付监督机制，定期检查资金支付情况，对违反规定的行为进行问责。将资金支付及时率等指标纳入相关部门和人员的绩效考核体系，激励其积极履行职责，确保资金按时支付</w:t>
      </w:r>
      <w:r>
        <w:rPr>
          <w:rFonts w:hint="eastAsia" w:ascii="仿宋" w:hAnsi="仿宋" w:eastAsia="仿宋" w:cs="仿宋"/>
          <w:b w:val="0"/>
          <w:szCs w:val="32"/>
          <w:lang w:eastAsia="zh-CN"/>
        </w:rPr>
        <w:t>。</w:t>
      </w:r>
    </w:p>
    <w:p>
      <w:pPr>
        <w:pStyle w:val="3"/>
        <w:pageBreakBefore w:val="0"/>
        <w:widowControl w:val="0"/>
        <w:kinsoku/>
        <w:wordWrap/>
        <w:overflowPunct/>
        <w:topLinePunct w:val="0"/>
        <w:autoSpaceDE/>
        <w:autoSpaceDN/>
        <w:bidi w:val="0"/>
        <w:adjustRightInd w:val="0"/>
        <w:snapToGrid w:val="0"/>
        <w:spacing w:before="0" w:beforeLines="0" w:after="0" w:afterLines="0" w:line="600" w:lineRule="exact"/>
        <w:ind w:left="0"/>
        <w:jc w:val="both"/>
        <w:textAlignment w:val="auto"/>
        <w:rPr>
          <w:rFonts w:hint="default" w:ascii="楷体" w:hAnsi="楷体" w:eastAsia="楷体" w:cs="楷体"/>
          <w:b w:val="0"/>
          <w:bCs/>
          <w:szCs w:val="32"/>
          <w:lang w:val="en-US" w:eastAsia="zh-CN"/>
        </w:rPr>
      </w:pPr>
      <w:bookmarkStart w:id="239" w:name="_Toc20238"/>
      <w:r>
        <w:rPr>
          <w:rFonts w:hint="eastAsia" w:ascii="楷体" w:hAnsi="楷体" w:eastAsia="楷体" w:cs="楷体"/>
          <w:b w:val="0"/>
          <w:bCs/>
          <w:szCs w:val="32"/>
          <w:lang w:val="en-US" w:eastAsia="zh-CN"/>
        </w:rPr>
        <w:t>(二)非官方媒体合作单位的选定未通过比选、招投标确定</w:t>
      </w:r>
      <w:bookmarkEnd w:id="239"/>
    </w:p>
    <w:p>
      <w:pPr>
        <w:pageBreakBefore w:val="0"/>
        <w:widowControl w:val="0"/>
        <w:kinsoku/>
        <w:wordWrap/>
        <w:overflowPunct/>
        <w:topLinePunct w:val="0"/>
        <w:autoSpaceDE/>
        <w:autoSpaceDN/>
        <w:bidi w:val="0"/>
        <w:adjustRightInd w:val="0"/>
        <w:snapToGrid w:val="0"/>
        <w:spacing w:line="600" w:lineRule="exact"/>
        <w:ind w:left="0"/>
        <w:jc w:val="both"/>
        <w:textAlignment w:val="auto"/>
        <w:rPr>
          <w:rFonts w:hint="eastAsia" w:ascii="仿宋" w:hAnsi="仿宋" w:eastAsia="仿宋" w:cs="仿宋"/>
          <w:b w:val="0"/>
          <w:szCs w:val="32"/>
          <w:lang w:eastAsia="zh-CN"/>
        </w:rPr>
      </w:pPr>
      <w:r>
        <w:rPr>
          <w:rFonts w:hint="eastAsia" w:ascii="仿宋" w:hAnsi="仿宋" w:eastAsia="仿宋" w:cs="仿宋"/>
          <w:szCs w:val="32"/>
          <w:lang w:eastAsia="zh-CN"/>
        </w:rPr>
        <w:t>通过比选、招投标可以对潜在合作单位进行综合评估，选择最具实力和性价比的合作伙伴。建立健全媒体合作单位选定的管理制度和流程，明确规定在何种情况下</w:t>
      </w:r>
      <w:r>
        <w:rPr>
          <w:rFonts w:hint="eastAsia" w:ascii="仿宋" w:hAnsi="仿宋" w:eastAsia="仿宋" w:cs="仿宋"/>
          <w:szCs w:val="32"/>
          <w:lang w:val="en-US" w:eastAsia="zh-CN"/>
        </w:rPr>
        <w:t>非官方媒体</w:t>
      </w:r>
      <w:r>
        <w:rPr>
          <w:rFonts w:hint="eastAsia" w:ascii="仿宋" w:hAnsi="仿宋" w:eastAsia="仿宋" w:cs="仿宋"/>
          <w:szCs w:val="32"/>
          <w:lang w:eastAsia="zh-CN"/>
        </w:rPr>
        <w:t>应通过比选、招投标等方式确定合作单位，并确保制度得到有效执行。建立内部监督机制，对媒体合作单位的选定过程进行监督，确保选择过程符合规定的程序和标准。对于已经选定的非官方媒体合作单位，可在合作过程中或合作结束后进行事后评估，评估合作单位的表现和合作效果</w:t>
      </w:r>
      <w:r>
        <w:rPr>
          <w:rFonts w:hint="eastAsia" w:ascii="仿宋" w:hAnsi="仿宋" w:eastAsia="仿宋" w:cs="仿宋"/>
          <w:b w:val="0"/>
          <w:szCs w:val="32"/>
          <w:lang w:eastAsia="zh-CN"/>
        </w:rPr>
        <w:t>。</w:t>
      </w:r>
    </w:p>
    <w:p>
      <w:pPr>
        <w:pStyle w:val="2"/>
        <w:pageBreakBefore w:val="0"/>
        <w:widowControl w:val="0"/>
        <w:numPr>
          <w:ilvl w:val="0"/>
          <w:numId w:val="0"/>
        </w:numPr>
        <w:kinsoku/>
        <w:wordWrap/>
        <w:overflowPunct/>
        <w:topLinePunct w:val="0"/>
        <w:autoSpaceDE/>
        <w:autoSpaceDN/>
        <w:bidi w:val="0"/>
        <w:adjustRightInd w:val="0"/>
        <w:snapToGrid w:val="0"/>
        <w:spacing w:before="0" w:beforeLines="0" w:after="0" w:afterLines="0" w:line="600" w:lineRule="exact"/>
        <w:ind w:left="0" w:leftChars="0" w:firstLine="640" w:firstLineChars="200"/>
        <w:jc w:val="both"/>
        <w:textAlignment w:val="auto"/>
        <w:rPr>
          <w:rFonts w:hint="eastAsia" w:ascii="黑体" w:hAnsi="黑体" w:eastAsia="黑体" w:cs="黑体"/>
          <w:b w:val="0"/>
          <w:szCs w:val="32"/>
          <w:lang w:eastAsia="zh-CN"/>
        </w:rPr>
      </w:pPr>
      <w:bookmarkStart w:id="240" w:name="_Toc24070"/>
      <w:r>
        <w:rPr>
          <w:rFonts w:hint="eastAsia" w:ascii="黑体" w:hAnsi="黑体" w:eastAsia="黑体" w:cs="黑体"/>
          <w:b w:val="0"/>
          <w:szCs w:val="32"/>
          <w:lang w:eastAsia="zh-CN"/>
        </w:rPr>
        <w:t>六、其他需要说明的问题</w:t>
      </w:r>
      <w:bookmarkEnd w:id="238"/>
      <w:bookmarkEnd w:id="240"/>
    </w:p>
    <w:p>
      <w:pPr>
        <w:pageBreakBefore w:val="0"/>
        <w:widowControl w:val="0"/>
        <w:kinsoku/>
        <w:wordWrap/>
        <w:overflowPunct/>
        <w:topLinePunct w:val="0"/>
        <w:autoSpaceDE/>
        <w:autoSpaceDN/>
        <w:bidi w:val="0"/>
        <w:adjustRightInd w:val="0"/>
        <w:snapToGrid w:val="0"/>
        <w:spacing w:line="600" w:lineRule="exact"/>
        <w:ind w:left="0" w:firstLine="640"/>
        <w:jc w:val="both"/>
        <w:textAlignment w:val="auto"/>
        <w:rPr>
          <w:rFonts w:hint="eastAsia" w:ascii="仿宋" w:hAnsi="仿宋" w:eastAsia="仿宋" w:cs="仿宋"/>
          <w:szCs w:val="32"/>
          <w:lang w:eastAsia="zh-CN"/>
        </w:rPr>
      </w:pPr>
      <w:r>
        <w:rPr>
          <w:rFonts w:hint="eastAsia" w:ascii="仿宋" w:hAnsi="仿宋" w:eastAsia="仿宋" w:cs="仿宋"/>
          <w:szCs w:val="32"/>
          <w:lang w:eastAsia="zh-CN"/>
        </w:rPr>
        <w:t>本报告是评价机构根据对项目</w:t>
      </w:r>
      <w:r>
        <w:rPr>
          <w:rFonts w:hint="eastAsia" w:ascii="仿宋" w:hAnsi="仿宋" w:eastAsia="仿宋" w:cs="仿宋"/>
          <w:szCs w:val="32"/>
          <w:highlight w:val="none"/>
          <w:lang w:eastAsia="zh-CN"/>
        </w:rPr>
        <w:t>主管</w:t>
      </w:r>
      <w:r>
        <w:rPr>
          <w:rFonts w:hint="eastAsia" w:ascii="仿宋" w:hAnsi="仿宋" w:eastAsia="仿宋" w:cs="仿宋"/>
          <w:szCs w:val="32"/>
          <w:lang w:eastAsia="zh-CN"/>
        </w:rPr>
        <w:t>单位所提供的材料进行全面分析与评估，结合现场考察情况，在</w:t>
      </w:r>
      <w:r>
        <w:rPr>
          <w:rFonts w:hint="eastAsia" w:ascii="仿宋" w:hAnsi="仿宋" w:eastAsia="仿宋" w:cs="仿宋"/>
          <w:szCs w:val="32"/>
          <w:lang w:val="en-US" w:eastAsia="zh-CN"/>
        </w:rPr>
        <w:t>评价人员</w:t>
      </w:r>
      <w:r>
        <w:rPr>
          <w:rFonts w:hint="eastAsia" w:ascii="仿宋" w:hAnsi="仿宋" w:eastAsia="仿宋" w:cs="仿宋"/>
          <w:szCs w:val="32"/>
          <w:lang w:eastAsia="zh-CN"/>
        </w:rPr>
        <w:t>评价意见的基础上综合形成</w:t>
      </w:r>
      <w:r>
        <w:rPr>
          <w:rFonts w:hint="eastAsia" w:ascii="仿宋" w:hAnsi="仿宋" w:eastAsia="仿宋" w:cs="仿宋"/>
          <w:szCs w:val="32"/>
          <w:lang w:val="en-US" w:eastAsia="zh-CN"/>
        </w:rPr>
        <w:t>的</w:t>
      </w:r>
      <w:r>
        <w:rPr>
          <w:rFonts w:hint="eastAsia" w:ascii="仿宋" w:hAnsi="仿宋" w:eastAsia="仿宋" w:cs="仿宋"/>
          <w:szCs w:val="32"/>
          <w:lang w:eastAsia="zh-CN"/>
        </w:rPr>
        <w:t>。报告重点针对项目2025年的预算申报进行评估。本报告的结论与意见是参考性的，仅供财政部门批复预算时使用，不做其他用途</w:t>
      </w:r>
      <w:r>
        <w:rPr>
          <w:rFonts w:ascii="仿宋" w:hAnsi="仿宋" w:eastAsia="仿宋" w:cs="仿宋"/>
          <w:szCs w:val="32"/>
          <w:lang w:eastAsia="zh-CN"/>
        </w:rPr>
        <w:t>。</w:t>
      </w:r>
    </w:p>
    <w:p>
      <w:pPr>
        <w:pageBreakBefore w:val="0"/>
        <w:widowControl w:val="0"/>
        <w:kinsoku/>
        <w:wordWrap/>
        <w:overflowPunct/>
        <w:topLinePunct w:val="0"/>
        <w:autoSpaceDE/>
        <w:autoSpaceDN/>
        <w:bidi w:val="0"/>
        <w:adjustRightInd w:val="0"/>
        <w:snapToGrid w:val="0"/>
        <w:spacing w:line="600" w:lineRule="exact"/>
        <w:ind w:left="0" w:firstLine="640"/>
        <w:jc w:val="both"/>
        <w:textAlignment w:val="auto"/>
        <w:rPr>
          <w:rFonts w:hint="default" w:ascii="仿宋" w:hAnsi="仿宋" w:eastAsia="仿宋" w:cs="仿宋"/>
          <w:szCs w:val="32"/>
          <w:lang w:val="en-US" w:eastAsia="zh-CN"/>
        </w:rPr>
      </w:pPr>
      <w:bookmarkStart w:id="241" w:name="_GoBack"/>
      <w:bookmarkEnd w:id="241"/>
    </w:p>
    <w:sectPr>
      <w:headerReference r:id="rId17" w:type="default"/>
      <w:footerReference r:id="rId18" w:type="default"/>
      <w:pgSz w:w="11906" w:h="16838"/>
      <w:pgMar w:top="837" w:right="1687" w:bottom="1421" w:left="1686" w:header="0" w:footer="559" w:gutter="0"/>
      <w:pgNumType w:fmt="decimal" w:start="1"/>
      <w:cols w:equalWidth="0" w:num="1">
        <w:col w:w="8533"/>
      </w:cols>
      <w:docGrid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880805C8-F6BA-4471-9EB9-D0609AB61DDE}"/>
  </w:font>
  <w:font w:name="黑体">
    <w:panose1 w:val="02010609060101010101"/>
    <w:charset w:val="86"/>
    <w:family w:val="auto"/>
    <w:pitch w:val="default"/>
    <w:sig w:usb0="800002BF" w:usb1="38CF7CFA" w:usb2="00000016" w:usb3="00000000" w:csb0="00040001" w:csb1="00000000"/>
    <w:embedRegular r:id="rId2" w:fontKey="{C6C230FF-1DD3-4E0C-A16D-D1E9958F953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754A7453-8A3B-43BB-B8F9-2DBFF1001F07}"/>
  </w:font>
  <w:font w:name="华文楷体">
    <w:altName w:val="楷体_GB2312"/>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4" w:fontKey="{464B28A5-50FB-4570-B683-E7049E4FC8A7}"/>
  </w:font>
  <w:font w:name="DejaVu Sans">
    <w:altName w:val="Courier New"/>
    <w:panose1 w:val="00000000000000000000"/>
    <w:charset w:val="00"/>
    <w:family w:val="roman"/>
    <w:pitch w:val="default"/>
    <w:sig w:usb0="00000000" w:usb1="00000000" w:usb2="00000008" w:usb3="00000000" w:csb0="000001FF" w:csb1="00000000"/>
  </w:font>
  <w:font w:name="方正小标宋">
    <w:altName w:val="宋体"/>
    <w:panose1 w:val="00000000000000000000"/>
    <w:charset w:val="86"/>
    <w:family w:val="roman"/>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font-weight : 400">
    <w:altName w:val="Courier New"/>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A00002BF" w:usb1="38CF7CFA" w:usb2="00082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swiss"/>
    <w:pitch w:val="default"/>
    <w:sig w:usb0="80000287" w:usb1="280F3C52" w:usb2="00000016" w:usb3="00000000" w:csb0="0004001F" w:csb1="00000000"/>
    <w:embedRegular r:id="rId5" w:fontKey="{0A5BAF8E-6CB0-4483-9DB9-88B94FB204C8}"/>
  </w:font>
  <w:font w:name="仿宋">
    <w:panose1 w:val="02010609060101010101"/>
    <w:charset w:val="86"/>
    <w:family w:val="modern"/>
    <w:pitch w:val="default"/>
    <w:sig w:usb0="800002BF" w:usb1="38CF7CFA" w:usb2="00000016" w:usb3="00000000" w:csb0="00040001" w:csb1="00000000"/>
    <w:embedRegular r:id="rId6" w:fontKey="{58550A04-BF6B-4355-A0FF-C367B34DFA00}"/>
  </w:font>
  <w:font w:name="方正小标宋简体">
    <w:panose1 w:val="02000000000000000000"/>
    <w:charset w:val="86"/>
    <w:family w:val="auto"/>
    <w:pitch w:val="default"/>
    <w:sig w:usb0="A00002BF" w:usb1="184F6CFA" w:usb2="00000012" w:usb3="00000000" w:csb0="00040001" w:csb1="00000000"/>
    <w:embedRegular r:id="rId7" w:fontKey="{D1E478BB-F316-45B5-B671-90F7E237294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before="0" w:line="14" w:lineRule="auto"/>
      <w:ind w:left="0" w:firstLine="400"/>
      <w:rPr>
        <w:rFonts w:hint="eastAsia"/>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after="120"/>
      <w:ind w:firstLine="360"/>
      <w:jc w:val="center"/>
      <w:rPr>
        <w:rFonts w:hint="eastAsia" w:ascii="宋体" w:hAnsi="宋体" w:eastAsia="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80247"/>
                            <w:docPartObj>
                              <w:docPartGallery w:val="autotext"/>
                            </w:docPartObj>
                          </w:sdtPr>
                          <w:sdtEndPr>
                            <w:rPr>
                              <w:rFonts w:ascii="宋体" w:hAnsi="宋体" w:eastAsia="宋体"/>
                            </w:rPr>
                          </w:sdtEndPr>
                          <w:sdtContent>
                            <w:p>
                              <w:pPr>
                                <w:pStyle w:val="12"/>
                                <w:spacing w:after="120"/>
                                <w:ind w:firstLine="360"/>
                                <w:jc w:val="center"/>
                                <w:rPr>
                                  <w:rFonts w:ascii="宋体" w:hAnsi="宋体" w:eastAsia="宋体"/>
                                </w:rPr>
                              </w:pPr>
                              <w:r>
                                <w:rPr>
                                  <w:rFonts w:ascii="宋体" w:hAnsi="宋体" w:eastAsia="宋体"/>
                                </w:rPr>
                                <w:fldChar w:fldCharType="begin"/>
                              </w:r>
                              <w:r>
                                <w:rPr>
                                  <w:rFonts w:ascii="宋体" w:hAnsi="宋体" w:eastAsia="宋体"/>
                                </w:rPr>
                                <w:instrText xml:space="preserve">PAGE   \* MERGEFORMAT</w:instrText>
                              </w:r>
                              <w:r>
                                <w:rPr>
                                  <w:rFonts w:ascii="宋体" w:hAnsi="宋体" w:eastAsia="宋体"/>
                                </w:rPr>
                                <w:fldChar w:fldCharType="separate"/>
                              </w:r>
                              <w:r>
                                <w:rPr>
                                  <w:rFonts w:ascii="宋体" w:hAnsi="宋体" w:eastAsia="宋体"/>
                                  <w:lang w:val="zh-CN" w:eastAsia="zh-CN"/>
                                </w:rPr>
                                <w:t>2</w:t>
                              </w:r>
                              <w:r>
                                <w:rPr>
                                  <w:rFonts w:ascii="宋体" w:hAnsi="宋体" w:eastAsia="宋体"/>
                                </w:rPr>
                                <w:fldChar w:fldCharType="end"/>
                              </w:r>
                            </w:p>
                          </w:sdtContent>
                        </w:sdt>
                        <w:p>
                          <w:pPr>
                            <w:rPr>
                              <w:rFonts w:ascii="宋体" w:hAnsi="宋体" w:eastAsia="宋体"/>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80247"/>
                      <w:docPartObj>
                        <w:docPartGallery w:val="autotext"/>
                      </w:docPartObj>
                    </w:sdtPr>
                    <w:sdtEndPr>
                      <w:rPr>
                        <w:rFonts w:ascii="宋体" w:hAnsi="宋体" w:eastAsia="宋体"/>
                      </w:rPr>
                    </w:sdtEndPr>
                    <w:sdtContent>
                      <w:p>
                        <w:pPr>
                          <w:pStyle w:val="12"/>
                          <w:spacing w:after="120"/>
                          <w:ind w:firstLine="360"/>
                          <w:jc w:val="center"/>
                          <w:rPr>
                            <w:rFonts w:ascii="宋体" w:hAnsi="宋体" w:eastAsia="宋体"/>
                          </w:rPr>
                        </w:pPr>
                        <w:r>
                          <w:rPr>
                            <w:rFonts w:ascii="宋体" w:hAnsi="宋体" w:eastAsia="宋体"/>
                          </w:rPr>
                          <w:fldChar w:fldCharType="begin"/>
                        </w:r>
                        <w:r>
                          <w:rPr>
                            <w:rFonts w:ascii="宋体" w:hAnsi="宋体" w:eastAsia="宋体"/>
                          </w:rPr>
                          <w:instrText xml:space="preserve">PAGE   \* MERGEFORMAT</w:instrText>
                        </w:r>
                        <w:r>
                          <w:rPr>
                            <w:rFonts w:ascii="宋体" w:hAnsi="宋体" w:eastAsia="宋体"/>
                          </w:rPr>
                          <w:fldChar w:fldCharType="separate"/>
                        </w:r>
                        <w:r>
                          <w:rPr>
                            <w:rFonts w:ascii="宋体" w:hAnsi="宋体" w:eastAsia="宋体"/>
                            <w:lang w:val="zh-CN" w:eastAsia="zh-CN"/>
                          </w:rPr>
                          <w:t>2</w:t>
                        </w:r>
                        <w:r>
                          <w:rPr>
                            <w:rFonts w:ascii="宋体" w:hAnsi="宋体" w:eastAsia="宋体"/>
                          </w:rPr>
                          <w:fldChar w:fldCharType="end"/>
                        </w:r>
                      </w:p>
                    </w:sdtContent>
                  </w:sdt>
                  <w:p>
                    <w:pPr>
                      <w:rPr>
                        <w:rFonts w:ascii="宋体" w:hAnsi="宋体" w:eastAsia="宋体"/>
                      </w:rPr>
                    </w:pPr>
                  </w:p>
                </w:txbxContent>
              </v:textbox>
            </v:shape>
          </w:pict>
        </mc:Fallback>
      </mc:AlternateContent>
    </w:r>
  </w:p>
  <w:p>
    <w:pPr>
      <w:pStyle w:val="12"/>
      <w:ind w:firstLine="360"/>
    </w:pPr>
  </w:p>
  <w:p>
    <w:pPr>
      <w:ind w:firstLine="6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0" w:firstLineChars="0"/>
      <w:rPr>
        <w:lang w:eastAsia="zh-CN"/>
      </w:rPr>
    </w:pPr>
  </w:p>
  <w:p>
    <w:pPr>
      <w:pStyle w:val="13"/>
      <w:ind w:firstLine="0" w:firstLineChars="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0" w:firstLineChars="0"/>
      <w:rPr>
        <w:lang w:eastAsia="zh-CN"/>
      </w:rPr>
    </w:pPr>
  </w:p>
  <w:p>
    <w:pPr>
      <w:ind w:firstLine="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FiODQzM2I1NzU0ZGVlMjE0M2FlOGJkZGNlZDg2ZjQifQ=="/>
  </w:docVars>
  <w:rsids>
    <w:rsidRoot w:val="4F7A8AD3"/>
    <w:rsid w:val="00007DFF"/>
    <w:rsid w:val="000107C4"/>
    <w:rsid w:val="00012E9F"/>
    <w:rsid w:val="0001313D"/>
    <w:rsid w:val="00020499"/>
    <w:rsid w:val="000312C5"/>
    <w:rsid w:val="00052F16"/>
    <w:rsid w:val="00057533"/>
    <w:rsid w:val="00063830"/>
    <w:rsid w:val="000668C0"/>
    <w:rsid w:val="00073A2B"/>
    <w:rsid w:val="00076A1E"/>
    <w:rsid w:val="00083F6C"/>
    <w:rsid w:val="0009180B"/>
    <w:rsid w:val="0009558B"/>
    <w:rsid w:val="000A3242"/>
    <w:rsid w:val="000A3653"/>
    <w:rsid w:val="000B7188"/>
    <w:rsid w:val="000C0153"/>
    <w:rsid w:val="000C3325"/>
    <w:rsid w:val="000C52C3"/>
    <w:rsid w:val="000C57FC"/>
    <w:rsid w:val="000D3A16"/>
    <w:rsid w:val="000D55E1"/>
    <w:rsid w:val="000D5EC8"/>
    <w:rsid w:val="000E57B2"/>
    <w:rsid w:val="000F6A24"/>
    <w:rsid w:val="001010D1"/>
    <w:rsid w:val="00103D39"/>
    <w:rsid w:val="001041AF"/>
    <w:rsid w:val="00106871"/>
    <w:rsid w:val="0010788A"/>
    <w:rsid w:val="001126B2"/>
    <w:rsid w:val="001136E1"/>
    <w:rsid w:val="001203E9"/>
    <w:rsid w:val="001220D3"/>
    <w:rsid w:val="001232D4"/>
    <w:rsid w:val="00132AF2"/>
    <w:rsid w:val="00141341"/>
    <w:rsid w:val="0015093C"/>
    <w:rsid w:val="00150C9D"/>
    <w:rsid w:val="00151587"/>
    <w:rsid w:val="00152B89"/>
    <w:rsid w:val="00167A83"/>
    <w:rsid w:val="001701A0"/>
    <w:rsid w:val="00170314"/>
    <w:rsid w:val="0017238A"/>
    <w:rsid w:val="00173F6A"/>
    <w:rsid w:val="00176CA0"/>
    <w:rsid w:val="00195636"/>
    <w:rsid w:val="00196271"/>
    <w:rsid w:val="001A1092"/>
    <w:rsid w:val="001A2041"/>
    <w:rsid w:val="001A43B3"/>
    <w:rsid w:val="001A550D"/>
    <w:rsid w:val="001B2B74"/>
    <w:rsid w:val="001C6994"/>
    <w:rsid w:val="001D4786"/>
    <w:rsid w:val="001D4787"/>
    <w:rsid w:val="001D5160"/>
    <w:rsid w:val="001D7093"/>
    <w:rsid w:val="001E3428"/>
    <w:rsid w:val="00202F15"/>
    <w:rsid w:val="002133D0"/>
    <w:rsid w:val="002135B2"/>
    <w:rsid w:val="00214FA9"/>
    <w:rsid w:val="00244786"/>
    <w:rsid w:val="00245809"/>
    <w:rsid w:val="00247CE2"/>
    <w:rsid w:val="002544DA"/>
    <w:rsid w:val="00256286"/>
    <w:rsid w:val="002751AB"/>
    <w:rsid w:val="00293F28"/>
    <w:rsid w:val="002C14AD"/>
    <w:rsid w:val="002D0937"/>
    <w:rsid w:val="002E795B"/>
    <w:rsid w:val="002F140C"/>
    <w:rsid w:val="002F2675"/>
    <w:rsid w:val="00314544"/>
    <w:rsid w:val="00321992"/>
    <w:rsid w:val="0032225C"/>
    <w:rsid w:val="00326F73"/>
    <w:rsid w:val="00341AC7"/>
    <w:rsid w:val="003423E2"/>
    <w:rsid w:val="00347A06"/>
    <w:rsid w:val="00347BEB"/>
    <w:rsid w:val="00350221"/>
    <w:rsid w:val="0035212A"/>
    <w:rsid w:val="00355358"/>
    <w:rsid w:val="00355F1B"/>
    <w:rsid w:val="00363A2E"/>
    <w:rsid w:val="00364643"/>
    <w:rsid w:val="00367660"/>
    <w:rsid w:val="003677CB"/>
    <w:rsid w:val="00371A0A"/>
    <w:rsid w:val="0037460A"/>
    <w:rsid w:val="003757C7"/>
    <w:rsid w:val="0037607E"/>
    <w:rsid w:val="00377310"/>
    <w:rsid w:val="00391E0A"/>
    <w:rsid w:val="003949FD"/>
    <w:rsid w:val="003C6D05"/>
    <w:rsid w:val="003C72DF"/>
    <w:rsid w:val="003E74AB"/>
    <w:rsid w:val="003F0644"/>
    <w:rsid w:val="003F5A52"/>
    <w:rsid w:val="004014DE"/>
    <w:rsid w:val="0041363A"/>
    <w:rsid w:val="004136A6"/>
    <w:rsid w:val="00420D23"/>
    <w:rsid w:val="00421DDA"/>
    <w:rsid w:val="00426FAD"/>
    <w:rsid w:val="004272C9"/>
    <w:rsid w:val="00427E7E"/>
    <w:rsid w:val="00436A9C"/>
    <w:rsid w:val="00452E8E"/>
    <w:rsid w:val="00460E18"/>
    <w:rsid w:val="00466D5D"/>
    <w:rsid w:val="004707FC"/>
    <w:rsid w:val="00470A91"/>
    <w:rsid w:val="00475575"/>
    <w:rsid w:val="004A0673"/>
    <w:rsid w:val="004D1A6F"/>
    <w:rsid w:val="004D3208"/>
    <w:rsid w:val="004D6F41"/>
    <w:rsid w:val="004D72EC"/>
    <w:rsid w:val="004E1959"/>
    <w:rsid w:val="004E5660"/>
    <w:rsid w:val="004E7C5F"/>
    <w:rsid w:val="004F2C0E"/>
    <w:rsid w:val="004F70C3"/>
    <w:rsid w:val="004F7B5F"/>
    <w:rsid w:val="00505188"/>
    <w:rsid w:val="005071ED"/>
    <w:rsid w:val="00512270"/>
    <w:rsid w:val="005234A4"/>
    <w:rsid w:val="00531809"/>
    <w:rsid w:val="00534E15"/>
    <w:rsid w:val="00542744"/>
    <w:rsid w:val="0054287F"/>
    <w:rsid w:val="00561720"/>
    <w:rsid w:val="00564F44"/>
    <w:rsid w:val="00565333"/>
    <w:rsid w:val="00581297"/>
    <w:rsid w:val="00584E01"/>
    <w:rsid w:val="00585E14"/>
    <w:rsid w:val="005943B7"/>
    <w:rsid w:val="00596E4B"/>
    <w:rsid w:val="005B33BF"/>
    <w:rsid w:val="005B61F9"/>
    <w:rsid w:val="005D4E52"/>
    <w:rsid w:val="005D5B2D"/>
    <w:rsid w:val="005F2438"/>
    <w:rsid w:val="005F2469"/>
    <w:rsid w:val="005F3A2E"/>
    <w:rsid w:val="005F3E21"/>
    <w:rsid w:val="005F4EF0"/>
    <w:rsid w:val="005F5F8C"/>
    <w:rsid w:val="006026DD"/>
    <w:rsid w:val="00611013"/>
    <w:rsid w:val="006120CC"/>
    <w:rsid w:val="006334FD"/>
    <w:rsid w:val="00633B49"/>
    <w:rsid w:val="00640EE8"/>
    <w:rsid w:val="00642C97"/>
    <w:rsid w:val="00644555"/>
    <w:rsid w:val="006502B1"/>
    <w:rsid w:val="00655989"/>
    <w:rsid w:val="00661510"/>
    <w:rsid w:val="00670A27"/>
    <w:rsid w:val="00670ACD"/>
    <w:rsid w:val="00672DE2"/>
    <w:rsid w:val="00681686"/>
    <w:rsid w:val="00683371"/>
    <w:rsid w:val="00685C8B"/>
    <w:rsid w:val="00691377"/>
    <w:rsid w:val="00696C5A"/>
    <w:rsid w:val="00697FDE"/>
    <w:rsid w:val="006A145F"/>
    <w:rsid w:val="006B4C2E"/>
    <w:rsid w:val="006B6F56"/>
    <w:rsid w:val="006C034F"/>
    <w:rsid w:val="006C57E3"/>
    <w:rsid w:val="006C781F"/>
    <w:rsid w:val="006D07D2"/>
    <w:rsid w:val="006D22EE"/>
    <w:rsid w:val="006D5A88"/>
    <w:rsid w:val="006E0036"/>
    <w:rsid w:val="006E2DAF"/>
    <w:rsid w:val="006E7D6F"/>
    <w:rsid w:val="00702086"/>
    <w:rsid w:val="00712171"/>
    <w:rsid w:val="00717083"/>
    <w:rsid w:val="00721F20"/>
    <w:rsid w:val="0074220B"/>
    <w:rsid w:val="007435C8"/>
    <w:rsid w:val="00750F13"/>
    <w:rsid w:val="007523D9"/>
    <w:rsid w:val="0075322B"/>
    <w:rsid w:val="00762CDA"/>
    <w:rsid w:val="007748E4"/>
    <w:rsid w:val="007762C2"/>
    <w:rsid w:val="007771FB"/>
    <w:rsid w:val="0078204B"/>
    <w:rsid w:val="00782C16"/>
    <w:rsid w:val="00783B80"/>
    <w:rsid w:val="00784593"/>
    <w:rsid w:val="0079415A"/>
    <w:rsid w:val="007B6431"/>
    <w:rsid w:val="007C2905"/>
    <w:rsid w:val="007C43E4"/>
    <w:rsid w:val="007C5302"/>
    <w:rsid w:val="007C6DAD"/>
    <w:rsid w:val="007D1081"/>
    <w:rsid w:val="007D673A"/>
    <w:rsid w:val="007E3140"/>
    <w:rsid w:val="007E7A2D"/>
    <w:rsid w:val="007F6143"/>
    <w:rsid w:val="00804579"/>
    <w:rsid w:val="00804C84"/>
    <w:rsid w:val="0081088F"/>
    <w:rsid w:val="00815148"/>
    <w:rsid w:val="00822580"/>
    <w:rsid w:val="00824BBC"/>
    <w:rsid w:val="0082560C"/>
    <w:rsid w:val="00866DCA"/>
    <w:rsid w:val="00867A58"/>
    <w:rsid w:val="0087318D"/>
    <w:rsid w:val="0087750F"/>
    <w:rsid w:val="00882EE7"/>
    <w:rsid w:val="00883FF8"/>
    <w:rsid w:val="00884DE4"/>
    <w:rsid w:val="00886BA4"/>
    <w:rsid w:val="008955B2"/>
    <w:rsid w:val="008A5B82"/>
    <w:rsid w:val="008C09A9"/>
    <w:rsid w:val="008C22C6"/>
    <w:rsid w:val="008D08A7"/>
    <w:rsid w:val="008D3757"/>
    <w:rsid w:val="008E4453"/>
    <w:rsid w:val="008E4841"/>
    <w:rsid w:val="008E521D"/>
    <w:rsid w:val="00902C3A"/>
    <w:rsid w:val="00910D0D"/>
    <w:rsid w:val="009478AA"/>
    <w:rsid w:val="0095131C"/>
    <w:rsid w:val="009536E1"/>
    <w:rsid w:val="009540EF"/>
    <w:rsid w:val="009552D7"/>
    <w:rsid w:val="00955DC5"/>
    <w:rsid w:val="009566FB"/>
    <w:rsid w:val="009675C1"/>
    <w:rsid w:val="00971D21"/>
    <w:rsid w:val="00974403"/>
    <w:rsid w:val="00976C76"/>
    <w:rsid w:val="009819BC"/>
    <w:rsid w:val="00983A95"/>
    <w:rsid w:val="0098592B"/>
    <w:rsid w:val="00986911"/>
    <w:rsid w:val="00994E19"/>
    <w:rsid w:val="009A0B4B"/>
    <w:rsid w:val="009A5640"/>
    <w:rsid w:val="009A7F42"/>
    <w:rsid w:val="009B4C64"/>
    <w:rsid w:val="009B5A96"/>
    <w:rsid w:val="009B5F8C"/>
    <w:rsid w:val="009B680D"/>
    <w:rsid w:val="009C170A"/>
    <w:rsid w:val="009C5740"/>
    <w:rsid w:val="009C58C9"/>
    <w:rsid w:val="009C5B69"/>
    <w:rsid w:val="009D437F"/>
    <w:rsid w:val="009D6D66"/>
    <w:rsid w:val="009E1F1E"/>
    <w:rsid w:val="009E35D6"/>
    <w:rsid w:val="009E3863"/>
    <w:rsid w:val="009E4B25"/>
    <w:rsid w:val="009F07B4"/>
    <w:rsid w:val="009F5799"/>
    <w:rsid w:val="009F5D01"/>
    <w:rsid w:val="009F5F16"/>
    <w:rsid w:val="00A05220"/>
    <w:rsid w:val="00A12D33"/>
    <w:rsid w:val="00A170E7"/>
    <w:rsid w:val="00A20676"/>
    <w:rsid w:val="00A3140D"/>
    <w:rsid w:val="00A3572F"/>
    <w:rsid w:val="00A369F0"/>
    <w:rsid w:val="00A400DB"/>
    <w:rsid w:val="00A42946"/>
    <w:rsid w:val="00A554A1"/>
    <w:rsid w:val="00A6361D"/>
    <w:rsid w:val="00A644C7"/>
    <w:rsid w:val="00A71B61"/>
    <w:rsid w:val="00A73A2A"/>
    <w:rsid w:val="00A771AE"/>
    <w:rsid w:val="00AA1B98"/>
    <w:rsid w:val="00AB2B00"/>
    <w:rsid w:val="00AC01DF"/>
    <w:rsid w:val="00AC2452"/>
    <w:rsid w:val="00AC51B2"/>
    <w:rsid w:val="00AD2849"/>
    <w:rsid w:val="00AE0E69"/>
    <w:rsid w:val="00AE5E6B"/>
    <w:rsid w:val="00AE7253"/>
    <w:rsid w:val="00AF42B4"/>
    <w:rsid w:val="00B00467"/>
    <w:rsid w:val="00B00F10"/>
    <w:rsid w:val="00B03E44"/>
    <w:rsid w:val="00B042EC"/>
    <w:rsid w:val="00B0588D"/>
    <w:rsid w:val="00B14C98"/>
    <w:rsid w:val="00B17C4C"/>
    <w:rsid w:val="00B2239F"/>
    <w:rsid w:val="00B24D5B"/>
    <w:rsid w:val="00B42992"/>
    <w:rsid w:val="00B520E3"/>
    <w:rsid w:val="00B526D3"/>
    <w:rsid w:val="00B55A72"/>
    <w:rsid w:val="00B56F27"/>
    <w:rsid w:val="00B647E1"/>
    <w:rsid w:val="00B70772"/>
    <w:rsid w:val="00B72471"/>
    <w:rsid w:val="00B757C6"/>
    <w:rsid w:val="00B82C97"/>
    <w:rsid w:val="00B82EA7"/>
    <w:rsid w:val="00B83BE2"/>
    <w:rsid w:val="00B9431F"/>
    <w:rsid w:val="00BB07A4"/>
    <w:rsid w:val="00BB0E1D"/>
    <w:rsid w:val="00BB30FE"/>
    <w:rsid w:val="00BB6B9F"/>
    <w:rsid w:val="00C0248E"/>
    <w:rsid w:val="00C06AFC"/>
    <w:rsid w:val="00C07264"/>
    <w:rsid w:val="00C12E6F"/>
    <w:rsid w:val="00C21C0D"/>
    <w:rsid w:val="00C21DB7"/>
    <w:rsid w:val="00C26858"/>
    <w:rsid w:val="00C30660"/>
    <w:rsid w:val="00C40C1F"/>
    <w:rsid w:val="00C4300A"/>
    <w:rsid w:val="00C440BC"/>
    <w:rsid w:val="00C53DE5"/>
    <w:rsid w:val="00C558D9"/>
    <w:rsid w:val="00C56A00"/>
    <w:rsid w:val="00C6266B"/>
    <w:rsid w:val="00C7136B"/>
    <w:rsid w:val="00C75092"/>
    <w:rsid w:val="00C75A80"/>
    <w:rsid w:val="00C8301B"/>
    <w:rsid w:val="00C83D2B"/>
    <w:rsid w:val="00C87E01"/>
    <w:rsid w:val="00C910C3"/>
    <w:rsid w:val="00C91569"/>
    <w:rsid w:val="00CA74BF"/>
    <w:rsid w:val="00CB6FFC"/>
    <w:rsid w:val="00CB7679"/>
    <w:rsid w:val="00CB7CD5"/>
    <w:rsid w:val="00CC161B"/>
    <w:rsid w:val="00CD0DBD"/>
    <w:rsid w:val="00CD19EC"/>
    <w:rsid w:val="00CD5883"/>
    <w:rsid w:val="00CD6026"/>
    <w:rsid w:val="00CD7EDB"/>
    <w:rsid w:val="00CE2157"/>
    <w:rsid w:val="00CE6ED6"/>
    <w:rsid w:val="00CF3350"/>
    <w:rsid w:val="00CF53A5"/>
    <w:rsid w:val="00D02678"/>
    <w:rsid w:val="00D0603A"/>
    <w:rsid w:val="00D14209"/>
    <w:rsid w:val="00D15D0E"/>
    <w:rsid w:val="00D26CDD"/>
    <w:rsid w:val="00D30272"/>
    <w:rsid w:val="00D319E1"/>
    <w:rsid w:val="00D47AD7"/>
    <w:rsid w:val="00D503E5"/>
    <w:rsid w:val="00D546E0"/>
    <w:rsid w:val="00D60049"/>
    <w:rsid w:val="00D64060"/>
    <w:rsid w:val="00D64367"/>
    <w:rsid w:val="00D6747B"/>
    <w:rsid w:val="00D869EB"/>
    <w:rsid w:val="00D86CE4"/>
    <w:rsid w:val="00D9501C"/>
    <w:rsid w:val="00D965A3"/>
    <w:rsid w:val="00DA3EAC"/>
    <w:rsid w:val="00DB3489"/>
    <w:rsid w:val="00DC513A"/>
    <w:rsid w:val="00DC518C"/>
    <w:rsid w:val="00DD3165"/>
    <w:rsid w:val="00DE4CCA"/>
    <w:rsid w:val="00DF196E"/>
    <w:rsid w:val="00DF62A7"/>
    <w:rsid w:val="00E012B6"/>
    <w:rsid w:val="00E03433"/>
    <w:rsid w:val="00E072FA"/>
    <w:rsid w:val="00E12F0E"/>
    <w:rsid w:val="00E1337B"/>
    <w:rsid w:val="00E14DAD"/>
    <w:rsid w:val="00E1775E"/>
    <w:rsid w:val="00E17C01"/>
    <w:rsid w:val="00E200F2"/>
    <w:rsid w:val="00E207E5"/>
    <w:rsid w:val="00E2525D"/>
    <w:rsid w:val="00E33445"/>
    <w:rsid w:val="00E45310"/>
    <w:rsid w:val="00E476B3"/>
    <w:rsid w:val="00E5269E"/>
    <w:rsid w:val="00E73530"/>
    <w:rsid w:val="00E779D6"/>
    <w:rsid w:val="00E84623"/>
    <w:rsid w:val="00E873C0"/>
    <w:rsid w:val="00E93860"/>
    <w:rsid w:val="00EA09C3"/>
    <w:rsid w:val="00EA76C4"/>
    <w:rsid w:val="00EB10D3"/>
    <w:rsid w:val="00EB1FD7"/>
    <w:rsid w:val="00EB4F17"/>
    <w:rsid w:val="00EB7BC8"/>
    <w:rsid w:val="00EC0BDD"/>
    <w:rsid w:val="00EC542D"/>
    <w:rsid w:val="00ED54C7"/>
    <w:rsid w:val="00EE667E"/>
    <w:rsid w:val="00F00013"/>
    <w:rsid w:val="00F03024"/>
    <w:rsid w:val="00F05FCC"/>
    <w:rsid w:val="00F0623C"/>
    <w:rsid w:val="00F10340"/>
    <w:rsid w:val="00F14A5D"/>
    <w:rsid w:val="00F160BA"/>
    <w:rsid w:val="00F17B08"/>
    <w:rsid w:val="00F17EB0"/>
    <w:rsid w:val="00F20713"/>
    <w:rsid w:val="00F20A3E"/>
    <w:rsid w:val="00F256BF"/>
    <w:rsid w:val="00F36748"/>
    <w:rsid w:val="00F36D63"/>
    <w:rsid w:val="00F40E0B"/>
    <w:rsid w:val="00F4232F"/>
    <w:rsid w:val="00F50504"/>
    <w:rsid w:val="00F5404D"/>
    <w:rsid w:val="00F609E9"/>
    <w:rsid w:val="00F7197F"/>
    <w:rsid w:val="00F7251B"/>
    <w:rsid w:val="00F72ABA"/>
    <w:rsid w:val="00F7344E"/>
    <w:rsid w:val="00F7344F"/>
    <w:rsid w:val="00F77C12"/>
    <w:rsid w:val="00F90D69"/>
    <w:rsid w:val="00F9691B"/>
    <w:rsid w:val="00FA36D3"/>
    <w:rsid w:val="00FA542C"/>
    <w:rsid w:val="00FA6D36"/>
    <w:rsid w:val="00FB13E1"/>
    <w:rsid w:val="00FB593D"/>
    <w:rsid w:val="00FC7DDA"/>
    <w:rsid w:val="00FD49A6"/>
    <w:rsid w:val="00FD6538"/>
    <w:rsid w:val="00FE6F85"/>
    <w:rsid w:val="00FF70D4"/>
    <w:rsid w:val="00FF7FEC"/>
    <w:rsid w:val="010D7F30"/>
    <w:rsid w:val="01117D6F"/>
    <w:rsid w:val="014F4774"/>
    <w:rsid w:val="01B41827"/>
    <w:rsid w:val="01FE6FC6"/>
    <w:rsid w:val="025E7212"/>
    <w:rsid w:val="026C0CB3"/>
    <w:rsid w:val="02DA2B5C"/>
    <w:rsid w:val="031A1D53"/>
    <w:rsid w:val="034F46D6"/>
    <w:rsid w:val="03DC6006"/>
    <w:rsid w:val="04597393"/>
    <w:rsid w:val="047C7B07"/>
    <w:rsid w:val="059D5B4A"/>
    <w:rsid w:val="05C5173A"/>
    <w:rsid w:val="060D4527"/>
    <w:rsid w:val="062F578F"/>
    <w:rsid w:val="06FC0F7C"/>
    <w:rsid w:val="070A234B"/>
    <w:rsid w:val="07364783"/>
    <w:rsid w:val="07587466"/>
    <w:rsid w:val="07A80859"/>
    <w:rsid w:val="07DB3825"/>
    <w:rsid w:val="084E08CF"/>
    <w:rsid w:val="085519D2"/>
    <w:rsid w:val="08747CBA"/>
    <w:rsid w:val="08815D8B"/>
    <w:rsid w:val="0932556D"/>
    <w:rsid w:val="095A32C1"/>
    <w:rsid w:val="096C6DF1"/>
    <w:rsid w:val="0994152E"/>
    <w:rsid w:val="09CA4A49"/>
    <w:rsid w:val="0A263634"/>
    <w:rsid w:val="0A6174F1"/>
    <w:rsid w:val="0A736BFF"/>
    <w:rsid w:val="0A786C09"/>
    <w:rsid w:val="0A9052A5"/>
    <w:rsid w:val="0B964365"/>
    <w:rsid w:val="0BC41224"/>
    <w:rsid w:val="0BDF4B42"/>
    <w:rsid w:val="0C871385"/>
    <w:rsid w:val="0C961EA1"/>
    <w:rsid w:val="0CDF57F4"/>
    <w:rsid w:val="0D874AFD"/>
    <w:rsid w:val="0E460DCC"/>
    <w:rsid w:val="0E483F00"/>
    <w:rsid w:val="0E511842"/>
    <w:rsid w:val="0FB50233"/>
    <w:rsid w:val="0FB608BC"/>
    <w:rsid w:val="1050467E"/>
    <w:rsid w:val="107245A4"/>
    <w:rsid w:val="10CD4389"/>
    <w:rsid w:val="10E80717"/>
    <w:rsid w:val="11195595"/>
    <w:rsid w:val="11270A41"/>
    <w:rsid w:val="112F63F3"/>
    <w:rsid w:val="11326EB7"/>
    <w:rsid w:val="11EE00D5"/>
    <w:rsid w:val="1264536D"/>
    <w:rsid w:val="12911695"/>
    <w:rsid w:val="129D460C"/>
    <w:rsid w:val="12C53952"/>
    <w:rsid w:val="13397BCE"/>
    <w:rsid w:val="13640E5B"/>
    <w:rsid w:val="13A726E2"/>
    <w:rsid w:val="144A13CC"/>
    <w:rsid w:val="14B86A5E"/>
    <w:rsid w:val="15724EEF"/>
    <w:rsid w:val="16574ED9"/>
    <w:rsid w:val="168E25CD"/>
    <w:rsid w:val="16F75866"/>
    <w:rsid w:val="16FA78CA"/>
    <w:rsid w:val="17397720"/>
    <w:rsid w:val="17F71489"/>
    <w:rsid w:val="183C78CE"/>
    <w:rsid w:val="18B52DD6"/>
    <w:rsid w:val="191537C8"/>
    <w:rsid w:val="19166917"/>
    <w:rsid w:val="1A5E06ED"/>
    <w:rsid w:val="1A807E46"/>
    <w:rsid w:val="1A807E56"/>
    <w:rsid w:val="1AA80D1D"/>
    <w:rsid w:val="1AE16358"/>
    <w:rsid w:val="1B063A1F"/>
    <w:rsid w:val="1B5F2753"/>
    <w:rsid w:val="1B637AE4"/>
    <w:rsid w:val="1BD15AF4"/>
    <w:rsid w:val="1BD92985"/>
    <w:rsid w:val="1CD3289A"/>
    <w:rsid w:val="1D07520B"/>
    <w:rsid w:val="1D615742"/>
    <w:rsid w:val="1D7019C1"/>
    <w:rsid w:val="1D907F93"/>
    <w:rsid w:val="1D971EF3"/>
    <w:rsid w:val="1DBD8960"/>
    <w:rsid w:val="1E5410D3"/>
    <w:rsid w:val="1E776B18"/>
    <w:rsid w:val="1EAC0D7B"/>
    <w:rsid w:val="1EC12CF5"/>
    <w:rsid w:val="1F500934"/>
    <w:rsid w:val="1F5B4370"/>
    <w:rsid w:val="1FAA5120"/>
    <w:rsid w:val="1FB42712"/>
    <w:rsid w:val="1FBF3DD5"/>
    <w:rsid w:val="1FD05B6B"/>
    <w:rsid w:val="1FD941DA"/>
    <w:rsid w:val="1FEA5825"/>
    <w:rsid w:val="1FF73375"/>
    <w:rsid w:val="20665273"/>
    <w:rsid w:val="20DB35F6"/>
    <w:rsid w:val="20E9019D"/>
    <w:rsid w:val="216319C4"/>
    <w:rsid w:val="2173382E"/>
    <w:rsid w:val="220E3E9E"/>
    <w:rsid w:val="22696E4A"/>
    <w:rsid w:val="227F19B7"/>
    <w:rsid w:val="228A52D3"/>
    <w:rsid w:val="22965E5F"/>
    <w:rsid w:val="22A7A1EE"/>
    <w:rsid w:val="232042A5"/>
    <w:rsid w:val="23655ED7"/>
    <w:rsid w:val="23815F46"/>
    <w:rsid w:val="23A00FD0"/>
    <w:rsid w:val="23A368F7"/>
    <w:rsid w:val="23D46DC8"/>
    <w:rsid w:val="23F5677C"/>
    <w:rsid w:val="242C30E1"/>
    <w:rsid w:val="24526CBD"/>
    <w:rsid w:val="245D6F1C"/>
    <w:rsid w:val="24A227D3"/>
    <w:rsid w:val="24B663C9"/>
    <w:rsid w:val="250C005C"/>
    <w:rsid w:val="252302A8"/>
    <w:rsid w:val="2526488E"/>
    <w:rsid w:val="255D282B"/>
    <w:rsid w:val="257C4A65"/>
    <w:rsid w:val="25D9458E"/>
    <w:rsid w:val="25EE29B2"/>
    <w:rsid w:val="260A429C"/>
    <w:rsid w:val="260C1F4B"/>
    <w:rsid w:val="2699450E"/>
    <w:rsid w:val="26B33C0B"/>
    <w:rsid w:val="26E7E34E"/>
    <w:rsid w:val="26F539E8"/>
    <w:rsid w:val="275B2D9A"/>
    <w:rsid w:val="27E47234"/>
    <w:rsid w:val="27FA547A"/>
    <w:rsid w:val="27FB2575"/>
    <w:rsid w:val="289E713B"/>
    <w:rsid w:val="28DD1D90"/>
    <w:rsid w:val="296F084C"/>
    <w:rsid w:val="297B6A7D"/>
    <w:rsid w:val="29FE4B95"/>
    <w:rsid w:val="2A455781"/>
    <w:rsid w:val="2A7A3965"/>
    <w:rsid w:val="2A80787C"/>
    <w:rsid w:val="2A8F3EC9"/>
    <w:rsid w:val="2A93505E"/>
    <w:rsid w:val="2B7FCBC1"/>
    <w:rsid w:val="2B8E5ED2"/>
    <w:rsid w:val="2B9777BC"/>
    <w:rsid w:val="2C002159"/>
    <w:rsid w:val="2CD8161B"/>
    <w:rsid w:val="2DD75DC8"/>
    <w:rsid w:val="2DE73540"/>
    <w:rsid w:val="2DEF151A"/>
    <w:rsid w:val="2DF769DC"/>
    <w:rsid w:val="2DFDCA5F"/>
    <w:rsid w:val="2DFDEF9D"/>
    <w:rsid w:val="2DFE9ED2"/>
    <w:rsid w:val="2E570E39"/>
    <w:rsid w:val="2EA92E66"/>
    <w:rsid w:val="2EBE1A10"/>
    <w:rsid w:val="2ECA0CB3"/>
    <w:rsid w:val="2ED50269"/>
    <w:rsid w:val="2EEA0EAE"/>
    <w:rsid w:val="2EED128A"/>
    <w:rsid w:val="2F33419E"/>
    <w:rsid w:val="2F453EFD"/>
    <w:rsid w:val="2F7A4177"/>
    <w:rsid w:val="2FBB8AD3"/>
    <w:rsid w:val="2FF9E8AA"/>
    <w:rsid w:val="2FFF36BE"/>
    <w:rsid w:val="3115529C"/>
    <w:rsid w:val="31B76384"/>
    <w:rsid w:val="320B1AE3"/>
    <w:rsid w:val="32165B50"/>
    <w:rsid w:val="3241095B"/>
    <w:rsid w:val="326B0E40"/>
    <w:rsid w:val="32B03984"/>
    <w:rsid w:val="33C67647"/>
    <w:rsid w:val="33D04B10"/>
    <w:rsid w:val="34151D3E"/>
    <w:rsid w:val="34727F6D"/>
    <w:rsid w:val="35745447"/>
    <w:rsid w:val="35950425"/>
    <w:rsid w:val="36533F02"/>
    <w:rsid w:val="36844A62"/>
    <w:rsid w:val="377F486E"/>
    <w:rsid w:val="37813EA9"/>
    <w:rsid w:val="378B2B5D"/>
    <w:rsid w:val="37F9916F"/>
    <w:rsid w:val="38154016"/>
    <w:rsid w:val="381B47D2"/>
    <w:rsid w:val="386FACB3"/>
    <w:rsid w:val="389B208A"/>
    <w:rsid w:val="38AE7080"/>
    <w:rsid w:val="38FB2CC8"/>
    <w:rsid w:val="390262E6"/>
    <w:rsid w:val="391D56C6"/>
    <w:rsid w:val="39240A2E"/>
    <w:rsid w:val="3940505B"/>
    <w:rsid w:val="39A77F9D"/>
    <w:rsid w:val="39BFDD17"/>
    <w:rsid w:val="39E3053F"/>
    <w:rsid w:val="3A4A6576"/>
    <w:rsid w:val="3A648840"/>
    <w:rsid w:val="3A723551"/>
    <w:rsid w:val="3AC07947"/>
    <w:rsid w:val="3AEC1CA2"/>
    <w:rsid w:val="3AEF411A"/>
    <w:rsid w:val="3AFF01EF"/>
    <w:rsid w:val="3B2D5FC6"/>
    <w:rsid w:val="3B3DC2A9"/>
    <w:rsid w:val="3B777999"/>
    <w:rsid w:val="3BB165B1"/>
    <w:rsid w:val="3BD78CFD"/>
    <w:rsid w:val="3BEFD7D2"/>
    <w:rsid w:val="3BFDE29B"/>
    <w:rsid w:val="3D6BF3A2"/>
    <w:rsid w:val="3DB521D7"/>
    <w:rsid w:val="3DFFC46E"/>
    <w:rsid w:val="3E363529"/>
    <w:rsid w:val="3E520203"/>
    <w:rsid w:val="3E6EBE7D"/>
    <w:rsid w:val="3EA606BD"/>
    <w:rsid w:val="3EB76EA9"/>
    <w:rsid w:val="3EBC1B98"/>
    <w:rsid w:val="3EC11C25"/>
    <w:rsid w:val="3EDF441A"/>
    <w:rsid w:val="3EEF565A"/>
    <w:rsid w:val="3EF7E3D7"/>
    <w:rsid w:val="3EFD3685"/>
    <w:rsid w:val="3F4C367C"/>
    <w:rsid w:val="3F6CBBE6"/>
    <w:rsid w:val="3F7D186B"/>
    <w:rsid w:val="3FB86B84"/>
    <w:rsid w:val="3FCF0EA0"/>
    <w:rsid w:val="3FDDF602"/>
    <w:rsid w:val="3FE9ABA6"/>
    <w:rsid w:val="3FED9C1C"/>
    <w:rsid w:val="3FF03EED"/>
    <w:rsid w:val="3FF6647C"/>
    <w:rsid w:val="3FF7E6AC"/>
    <w:rsid w:val="3FFDF530"/>
    <w:rsid w:val="3FFF5B84"/>
    <w:rsid w:val="3FFF8AEA"/>
    <w:rsid w:val="3FFF953A"/>
    <w:rsid w:val="401B5E64"/>
    <w:rsid w:val="40C4166B"/>
    <w:rsid w:val="40D500DF"/>
    <w:rsid w:val="40E774C7"/>
    <w:rsid w:val="426C502D"/>
    <w:rsid w:val="42FA07E7"/>
    <w:rsid w:val="436810AE"/>
    <w:rsid w:val="437F7043"/>
    <w:rsid w:val="43912FC7"/>
    <w:rsid w:val="44EF1B00"/>
    <w:rsid w:val="450318AE"/>
    <w:rsid w:val="45CF4E46"/>
    <w:rsid w:val="46515BFC"/>
    <w:rsid w:val="46C45511"/>
    <w:rsid w:val="46EB2E89"/>
    <w:rsid w:val="46F570F1"/>
    <w:rsid w:val="4778447E"/>
    <w:rsid w:val="47CC73F7"/>
    <w:rsid w:val="47FBC172"/>
    <w:rsid w:val="48391F39"/>
    <w:rsid w:val="487B71DD"/>
    <w:rsid w:val="48867AAB"/>
    <w:rsid w:val="48E24C72"/>
    <w:rsid w:val="492E4DD9"/>
    <w:rsid w:val="498A77E3"/>
    <w:rsid w:val="49BF4FB3"/>
    <w:rsid w:val="49DF7A74"/>
    <w:rsid w:val="49EFDA04"/>
    <w:rsid w:val="49FA2929"/>
    <w:rsid w:val="4A1E73E6"/>
    <w:rsid w:val="4A635F53"/>
    <w:rsid w:val="4AF56EDE"/>
    <w:rsid w:val="4AF773D7"/>
    <w:rsid w:val="4B3B3F0F"/>
    <w:rsid w:val="4B974077"/>
    <w:rsid w:val="4BA64179"/>
    <w:rsid w:val="4BA90D67"/>
    <w:rsid w:val="4BFD0804"/>
    <w:rsid w:val="4BFFF00D"/>
    <w:rsid w:val="4C35155C"/>
    <w:rsid w:val="4CB90AB7"/>
    <w:rsid w:val="4CB92AAE"/>
    <w:rsid w:val="4D5325E2"/>
    <w:rsid w:val="4D9329DF"/>
    <w:rsid w:val="4DBF65EB"/>
    <w:rsid w:val="4DF74D1B"/>
    <w:rsid w:val="4DFC2D90"/>
    <w:rsid w:val="4E050DB4"/>
    <w:rsid w:val="4E25488F"/>
    <w:rsid w:val="4E7B1F42"/>
    <w:rsid w:val="4F1B0E49"/>
    <w:rsid w:val="4F3877D4"/>
    <w:rsid w:val="4F786B55"/>
    <w:rsid w:val="4F7A8AD3"/>
    <w:rsid w:val="4F7FF4D7"/>
    <w:rsid w:val="4F8A1DA6"/>
    <w:rsid w:val="4FD940E8"/>
    <w:rsid w:val="4FDF282B"/>
    <w:rsid w:val="4FEB9FB4"/>
    <w:rsid w:val="50885837"/>
    <w:rsid w:val="50A1286C"/>
    <w:rsid w:val="50AB1B35"/>
    <w:rsid w:val="51E1787A"/>
    <w:rsid w:val="51F80DD4"/>
    <w:rsid w:val="523E68B0"/>
    <w:rsid w:val="52AD5656"/>
    <w:rsid w:val="52D4EA7B"/>
    <w:rsid w:val="52DC22B4"/>
    <w:rsid w:val="53205C12"/>
    <w:rsid w:val="533D5BE8"/>
    <w:rsid w:val="538958EC"/>
    <w:rsid w:val="53CA0723"/>
    <w:rsid w:val="542D7105"/>
    <w:rsid w:val="545D513C"/>
    <w:rsid w:val="54BA7621"/>
    <w:rsid w:val="55830218"/>
    <w:rsid w:val="558980E0"/>
    <w:rsid w:val="55E705A4"/>
    <w:rsid w:val="56203A0C"/>
    <w:rsid w:val="56383DB0"/>
    <w:rsid w:val="56530FA2"/>
    <w:rsid w:val="56AD6CAF"/>
    <w:rsid w:val="56E53ADB"/>
    <w:rsid w:val="571B7CCD"/>
    <w:rsid w:val="575F1FD6"/>
    <w:rsid w:val="577C8E54"/>
    <w:rsid w:val="57B34FD7"/>
    <w:rsid w:val="57CB6530"/>
    <w:rsid w:val="57ECB103"/>
    <w:rsid w:val="57EF0FD8"/>
    <w:rsid w:val="57F7833A"/>
    <w:rsid w:val="57F7A4BC"/>
    <w:rsid w:val="57FB75FC"/>
    <w:rsid w:val="57FD7CF3"/>
    <w:rsid w:val="58330E7A"/>
    <w:rsid w:val="583F79EB"/>
    <w:rsid w:val="585A70CD"/>
    <w:rsid w:val="58E262A4"/>
    <w:rsid w:val="58F5D9DD"/>
    <w:rsid w:val="5948147C"/>
    <w:rsid w:val="59573EF3"/>
    <w:rsid w:val="5A894C16"/>
    <w:rsid w:val="5AB756DD"/>
    <w:rsid w:val="5AF94807"/>
    <w:rsid w:val="5AFCBC6B"/>
    <w:rsid w:val="5B669575"/>
    <w:rsid w:val="5BDB3721"/>
    <w:rsid w:val="5C18763C"/>
    <w:rsid w:val="5C3E3948"/>
    <w:rsid w:val="5C4F6BDD"/>
    <w:rsid w:val="5C566D9D"/>
    <w:rsid w:val="5C7E18E6"/>
    <w:rsid w:val="5C7F7B4E"/>
    <w:rsid w:val="5CD834DE"/>
    <w:rsid w:val="5CDA0FE8"/>
    <w:rsid w:val="5CE7B0FA"/>
    <w:rsid w:val="5D223387"/>
    <w:rsid w:val="5D242C88"/>
    <w:rsid w:val="5D6B5466"/>
    <w:rsid w:val="5D7921C9"/>
    <w:rsid w:val="5DAD7E49"/>
    <w:rsid w:val="5DEFCEC9"/>
    <w:rsid w:val="5DFB97BE"/>
    <w:rsid w:val="5DFE3F84"/>
    <w:rsid w:val="5DFFA384"/>
    <w:rsid w:val="5E7A9A9A"/>
    <w:rsid w:val="5E7FBC5C"/>
    <w:rsid w:val="5E7FDF2E"/>
    <w:rsid w:val="5EDD6377"/>
    <w:rsid w:val="5EEBD77D"/>
    <w:rsid w:val="5EED101E"/>
    <w:rsid w:val="5EF76024"/>
    <w:rsid w:val="5EFF59D6"/>
    <w:rsid w:val="5EFF974D"/>
    <w:rsid w:val="5F374DB3"/>
    <w:rsid w:val="5F6F9EA4"/>
    <w:rsid w:val="5F8A68FB"/>
    <w:rsid w:val="5FA911F0"/>
    <w:rsid w:val="5FB6F504"/>
    <w:rsid w:val="5FC3061C"/>
    <w:rsid w:val="5FE1BD42"/>
    <w:rsid w:val="5FEE76E6"/>
    <w:rsid w:val="5FF6065B"/>
    <w:rsid w:val="5FF68925"/>
    <w:rsid w:val="5FF9FE18"/>
    <w:rsid w:val="5FFE7695"/>
    <w:rsid w:val="5FFF5101"/>
    <w:rsid w:val="5FFFBFA9"/>
    <w:rsid w:val="604734C2"/>
    <w:rsid w:val="60800E50"/>
    <w:rsid w:val="609B78A2"/>
    <w:rsid w:val="61178030"/>
    <w:rsid w:val="621C3AE7"/>
    <w:rsid w:val="622A5268"/>
    <w:rsid w:val="62A16A3A"/>
    <w:rsid w:val="635380E9"/>
    <w:rsid w:val="63A72136"/>
    <w:rsid w:val="63BEF433"/>
    <w:rsid w:val="63E76A66"/>
    <w:rsid w:val="63EA4D24"/>
    <w:rsid w:val="642B56B0"/>
    <w:rsid w:val="647B5B72"/>
    <w:rsid w:val="649B339C"/>
    <w:rsid w:val="64EFA138"/>
    <w:rsid w:val="659772AC"/>
    <w:rsid w:val="65CF4325"/>
    <w:rsid w:val="65D33E68"/>
    <w:rsid w:val="65ED1F71"/>
    <w:rsid w:val="65FDAEE0"/>
    <w:rsid w:val="65FFC3A4"/>
    <w:rsid w:val="65FFEC08"/>
    <w:rsid w:val="66573B66"/>
    <w:rsid w:val="66AD4262"/>
    <w:rsid w:val="66B71094"/>
    <w:rsid w:val="66CB19B2"/>
    <w:rsid w:val="66FECB51"/>
    <w:rsid w:val="675B5A36"/>
    <w:rsid w:val="6763D5B0"/>
    <w:rsid w:val="67871415"/>
    <w:rsid w:val="67DFDD99"/>
    <w:rsid w:val="685E3EBD"/>
    <w:rsid w:val="687B3CF3"/>
    <w:rsid w:val="68F642CD"/>
    <w:rsid w:val="69A521C6"/>
    <w:rsid w:val="69AF24F6"/>
    <w:rsid w:val="69AF5125"/>
    <w:rsid w:val="69BC2895"/>
    <w:rsid w:val="69E414DD"/>
    <w:rsid w:val="69FBDDC7"/>
    <w:rsid w:val="6A660B83"/>
    <w:rsid w:val="6A7F6D13"/>
    <w:rsid w:val="6AB867A9"/>
    <w:rsid w:val="6AE0106A"/>
    <w:rsid w:val="6AFAC7B1"/>
    <w:rsid w:val="6B1F2D84"/>
    <w:rsid w:val="6B675079"/>
    <w:rsid w:val="6B7DE963"/>
    <w:rsid w:val="6B9F922F"/>
    <w:rsid w:val="6BCC579C"/>
    <w:rsid w:val="6BCFABFB"/>
    <w:rsid w:val="6BE173F2"/>
    <w:rsid w:val="6BEDDD7D"/>
    <w:rsid w:val="6C5B06F6"/>
    <w:rsid w:val="6C8E09D2"/>
    <w:rsid w:val="6CEB0DBC"/>
    <w:rsid w:val="6D410C09"/>
    <w:rsid w:val="6D7FBAFD"/>
    <w:rsid w:val="6D7FD33D"/>
    <w:rsid w:val="6D8707CD"/>
    <w:rsid w:val="6D99C997"/>
    <w:rsid w:val="6DA809BC"/>
    <w:rsid w:val="6DBB907A"/>
    <w:rsid w:val="6DFEA535"/>
    <w:rsid w:val="6DFFA9F6"/>
    <w:rsid w:val="6E159DA2"/>
    <w:rsid w:val="6E5DDBDC"/>
    <w:rsid w:val="6E6901BA"/>
    <w:rsid w:val="6E9E9F2D"/>
    <w:rsid w:val="6EBD7952"/>
    <w:rsid w:val="6EC60388"/>
    <w:rsid w:val="6F014DEF"/>
    <w:rsid w:val="6F705A5C"/>
    <w:rsid w:val="6F880F97"/>
    <w:rsid w:val="6FA369DD"/>
    <w:rsid w:val="6FD3808E"/>
    <w:rsid w:val="6FD9D43E"/>
    <w:rsid w:val="6FDE616D"/>
    <w:rsid w:val="6FDFD0C5"/>
    <w:rsid w:val="6FED74AE"/>
    <w:rsid w:val="6FFCE334"/>
    <w:rsid w:val="6FFE7508"/>
    <w:rsid w:val="6FFFF4AF"/>
    <w:rsid w:val="709C35CE"/>
    <w:rsid w:val="70E78717"/>
    <w:rsid w:val="718F2C41"/>
    <w:rsid w:val="71DF0AF3"/>
    <w:rsid w:val="71E82352"/>
    <w:rsid w:val="71FB2FE3"/>
    <w:rsid w:val="72211E04"/>
    <w:rsid w:val="722B3E46"/>
    <w:rsid w:val="724759C2"/>
    <w:rsid w:val="733F4938"/>
    <w:rsid w:val="73AE4630"/>
    <w:rsid w:val="73E7688C"/>
    <w:rsid w:val="73EF23B4"/>
    <w:rsid w:val="73EF394F"/>
    <w:rsid w:val="73FF29DC"/>
    <w:rsid w:val="748FE1E7"/>
    <w:rsid w:val="74DC1816"/>
    <w:rsid w:val="755961C5"/>
    <w:rsid w:val="75CB4C31"/>
    <w:rsid w:val="75F820E8"/>
    <w:rsid w:val="75FB9FF3"/>
    <w:rsid w:val="75FE5A48"/>
    <w:rsid w:val="75FF56C0"/>
    <w:rsid w:val="765F4657"/>
    <w:rsid w:val="76F25A9D"/>
    <w:rsid w:val="76FB0E00"/>
    <w:rsid w:val="76FEB484"/>
    <w:rsid w:val="77304047"/>
    <w:rsid w:val="775A16EB"/>
    <w:rsid w:val="775DCAF6"/>
    <w:rsid w:val="777FFB87"/>
    <w:rsid w:val="77AB2709"/>
    <w:rsid w:val="77B72734"/>
    <w:rsid w:val="77BA91FC"/>
    <w:rsid w:val="77CD59C0"/>
    <w:rsid w:val="77DF124C"/>
    <w:rsid w:val="77EDFFAF"/>
    <w:rsid w:val="77FD9252"/>
    <w:rsid w:val="77FE32EC"/>
    <w:rsid w:val="77FE8B6E"/>
    <w:rsid w:val="791743F7"/>
    <w:rsid w:val="797F8114"/>
    <w:rsid w:val="798031CF"/>
    <w:rsid w:val="79FB5FAF"/>
    <w:rsid w:val="7A2FB116"/>
    <w:rsid w:val="7A376519"/>
    <w:rsid w:val="7A3F6EB8"/>
    <w:rsid w:val="7A67D8E4"/>
    <w:rsid w:val="7AA41EB8"/>
    <w:rsid w:val="7AF1EB58"/>
    <w:rsid w:val="7AF71059"/>
    <w:rsid w:val="7AFCBFBD"/>
    <w:rsid w:val="7B2F27DC"/>
    <w:rsid w:val="7B5D6E41"/>
    <w:rsid w:val="7B6E6DF3"/>
    <w:rsid w:val="7B7E918F"/>
    <w:rsid w:val="7B7F2C31"/>
    <w:rsid w:val="7BB66289"/>
    <w:rsid w:val="7BCCCAA1"/>
    <w:rsid w:val="7BD9CB31"/>
    <w:rsid w:val="7BE3C6C4"/>
    <w:rsid w:val="7BE70D0A"/>
    <w:rsid w:val="7BED67F5"/>
    <w:rsid w:val="7BF50F3C"/>
    <w:rsid w:val="7BF9018F"/>
    <w:rsid w:val="7BFDA313"/>
    <w:rsid w:val="7BFF3E46"/>
    <w:rsid w:val="7C137A81"/>
    <w:rsid w:val="7C292323"/>
    <w:rsid w:val="7C423ACB"/>
    <w:rsid w:val="7C774249"/>
    <w:rsid w:val="7C9E5EE6"/>
    <w:rsid w:val="7CA744B8"/>
    <w:rsid w:val="7CBBCED2"/>
    <w:rsid w:val="7CBD0039"/>
    <w:rsid w:val="7CCE6F60"/>
    <w:rsid w:val="7CCF4580"/>
    <w:rsid w:val="7CDF64C7"/>
    <w:rsid w:val="7D79DF34"/>
    <w:rsid w:val="7D7EABE1"/>
    <w:rsid w:val="7D7F0E24"/>
    <w:rsid w:val="7D7F419E"/>
    <w:rsid w:val="7D7FB7BE"/>
    <w:rsid w:val="7DAB4387"/>
    <w:rsid w:val="7DB8071B"/>
    <w:rsid w:val="7DB86CBF"/>
    <w:rsid w:val="7DBD8EB2"/>
    <w:rsid w:val="7DBF075B"/>
    <w:rsid w:val="7DD97AA7"/>
    <w:rsid w:val="7DDB05A4"/>
    <w:rsid w:val="7DDD2722"/>
    <w:rsid w:val="7DDFA753"/>
    <w:rsid w:val="7DEAA60B"/>
    <w:rsid w:val="7DEB5413"/>
    <w:rsid w:val="7DEE0B18"/>
    <w:rsid w:val="7DEE768A"/>
    <w:rsid w:val="7DF514E7"/>
    <w:rsid w:val="7DF9577A"/>
    <w:rsid w:val="7DF98B02"/>
    <w:rsid w:val="7DFF5D72"/>
    <w:rsid w:val="7DFF6D6E"/>
    <w:rsid w:val="7DFF74AD"/>
    <w:rsid w:val="7DFFE1BD"/>
    <w:rsid w:val="7E3B3277"/>
    <w:rsid w:val="7E5F1FD6"/>
    <w:rsid w:val="7E7D8ABF"/>
    <w:rsid w:val="7E9B1278"/>
    <w:rsid w:val="7EB1EA29"/>
    <w:rsid w:val="7EBDE22E"/>
    <w:rsid w:val="7EBF4E53"/>
    <w:rsid w:val="7EBF6762"/>
    <w:rsid w:val="7EBF841F"/>
    <w:rsid w:val="7EF1BD9C"/>
    <w:rsid w:val="7EFB3B17"/>
    <w:rsid w:val="7EFCFAD4"/>
    <w:rsid w:val="7EFD0516"/>
    <w:rsid w:val="7EFF3B41"/>
    <w:rsid w:val="7EFF6CE0"/>
    <w:rsid w:val="7F3217A8"/>
    <w:rsid w:val="7F434F43"/>
    <w:rsid w:val="7F6F325F"/>
    <w:rsid w:val="7F75E46A"/>
    <w:rsid w:val="7F7D4D66"/>
    <w:rsid w:val="7F8D69DE"/>
    <w:rsid w:val="7F923854"/>
    <w:rsid w:val="7F9D2CC6"/>
    <w:rsid w:val="7FAA92EA"/>
    <w:rsid w:val="7FAB964F"/>
    <w:rsid w:val="7FADC894"/>
    <w:rsid w:val="7FADCEB7"/>
    <w:rsid w:val="7FAF8E99"/>
    <w:rsid w:val="7FAF9BEF"/>
    <w:rsid w:val="7FAFECCB"/>
    <w:rsid w:val="7FB5AD8E"/>
    <w:rsid w:val="7FB70309"/>
    <w:rsid w:val="7FBEA4D8"/>
    <w:rsid w:val="7FC71DFA"/>
    <w:rsid w:val="7FCE9B4A"/>
    <w:rsid w:val="7FD61F5C"/>
    <w:rsid w:val="7FD74590"/>
    <w:rsid w:val="7FDED9E5"/>
    <w:rsid w:val="7FE37818"/>
    <w:rsid w:val="7FEAA9AB"/>
    <w:rsid w:val="7FFD73C0"/>
    <w:rsid w:val="7FFDE014"/>
    <w:rsid w:val="7FFEC443"/>
    <w:rsid w:val="7FFF351D"/>
    <w:rsid w:val="7FFF8137"/>
    <w:rsid w:val="7FFFD4F9"/>
    <w:rsid w:val="87EFB873"/>
    <w:rsid w:val="8BBD71C6"/>
    <w:rsid w:val="8BDB5640"/>
    <w:rsid w:val="8BF73B00"/>
    <w:rsid w:val="8CFAC852"/>
    <w:rsid w:val="8DD50D56"/>
    <w:rsid w:val="939FA03F"/>
    <w:rsid w:val="96BFCB2F"/>
    <w:rsid w:val="973F25DC"/>
    <w:rsid w:val="97EF25B5"/>
    <w:rsid w:val="992FC3A9"/>
    <w:rsid w:val="99FDBB83"/>
    <w:rsid w:val="9B77CB3B"/>
    <w:rsid w:val="9B8B32CE"/>
    <w:rsid w:val="9BDBED88"/>
    <w:rsid w:val="9BF5DD3C"/>
    <w:rsid w:val="9D7A5340"/>
    <w:rsid w:val="9DEE0AF2"/>
    <w:rsid w:val="9F1BAF19"/>
    <w:rsid w:val="9F6FCCBD"/>
    <w:rsid w:val="9F7B353E"/>
    <w:rsid w:val="9F97ABBB"/>
    <w:rsid w:val="9FB59D1C"/>
    <w:rsid w:val="9FCD91C3"/>
    <w:rsid w:val="9FE392F3"/>
    <w:rsid w:val="9FEFA79E"/>
    <w:rsid w:val="A6CD27B8"/>
    <w:rsid w:val="A6FB25A1"/>
    <w:rsid w:val="A77FBB3D"/>
    <w:rsid w:val="A7DE9939"/>
    <w:rsid w:val="ABEBF671"/>
    <w:rsid w:val="ACD7FBCE"/>
    <w:rsid w:val="AD5FC3D8"/>
    <w:rsid w:val="ADFCDA63"/>
    <w:rsid w:val="AEFE2613"/>
    <w:rsid w:val="AF6D42D8"/>
    <w:rsid w:val="AF7B5CBD"/>
    <w:rsid w:val="AFF2AFD8"/>
    <w:rsid w:val="B0DD6782"/>
    <w:rsid w:val="B1BC1CFE"/>
    <w:rsid w:val="B3F789F3"/>
    <w:rsid w:val="B5E6287B"/>
    <w:rsid w:val="B5FFA584"/>
    <w:rsid w:val="B67F43DA"/>
    <w:rsid w:val="B7AAC7AB"/>
    <w:rsid w:val="B7BA8507"/>
    <w:rsid w:val="B7BD6C08"/>
    <w:rsid w:val="B7BF2100"/>
    <w:rsid w:val="B7BF928E"/>
    <w:rsid w:val="B7DB7E02"/>
    <w:rsid w:val="B7EFE48C"/>
    <w:rsid w:val="B7FB4104"/>
    <w:rsid w:val="B8F1D304"/>
    <w:rsid w:val="B9DFF72D"/>
    <w:rsid w:val="B9FE2322"/>
    <w:rsid w:val="BA9D2B5C"/>
    <w:rsid w:val="BB2DFF0C"/>
    <w:rsid w:val="BBB73ED3"/>
    <w:rsid w:val="BBDDE668"/>
    <w:rsid w:val="BBF976E4"/>
    <w:rsid w:val="BCFD65E9"/>
    <w:rsid w:val="BD1FFFD0"/>
    <w:rsid w:val="BD574E1A"/>
    <w:rsid w:val="BDD35FA2"/>
    <w:rsid w:val="BDFED098"/>
    <w:rsid w:val="BEFF32EE"/>
    <w:rsid w:val="BF3DD8EC"/>
    <w:rsid w:val="BF66D87B"/>
    <w:rsid w:val="BF7FA6A8"/>
    <w:rsid w:val="BF86A395"/>
    <w:rsid w:val="BF8B3571"/>
    <w:rsid w:val="BFAFE011"/>
    <w:rsid w:val="BFBED802"/>
    <w:rsid w:val="BFD7166A"/>
    <w:rsid w:val="BFE91E89"/>
    <w:rsid w:val="BFFDEDCF"/>
    <w:rsid w:val="BFFE8C2C"/>
    <w:rsid w:val="BFFFD4F7"/>
    <w:rsid w:val="C76F1B9F"/>
    <w:rsid w:val="CB7716C7"/>
    <w:rsid w:val="CBA5DAA6"/>
    <w:rsid w:val="CC6DE0F8"/>
    <w:rsid w:val="CCDD67D1"/>
    <w:rsid w:val="CD7F210F"/>
    <w:rsid w:val="D2BFFCB1"/>
    <w:rsid w:val="D3DF06DD"/>
    <w:rsid w:val="D3FDADCA"/>
    <w:rsid w:val="D5BF67B5"/>
    <w:rsid w:val="D5FFDDD5"/>
    <w:rsid w:val="D6EF683A"/>
    <w:rsid w:val="D74F8C7A"/>
    <w:rsid w:val="D8F1B670"/>
    <w:rsid w:val="D9BD4245"/>
    <w:rsid w:val="D9BF9829"/>
    <w:rsid w:val="DB5C880C"/>
    <w:rsid w:val="DB9D06EC"/>
    <w:rsid w:val="DBFA615B"/>
    <w:rsid w:val="DC676154"/>
    <w:rsid w:val="DCED8BC2"/>
    <w:rsid w:val="DD750548"/>
    <w:rsid w:val="DDEF21EF"/>
    <w:rsid w:val="DDFE3EC8"/>
    <w:rsid w:val="DDFEE100"/>
    <w:rsid w:val="DDFF03F5"/>
    <w:rsid w:val="DE3A4BE9"/>
    <w:rsid w:val="DE7B74E6"/>
    <w:rsid w:val="DEB67C06"/>
    <w:rsid w:val="DEB75CB5"/>
    <w:rsid w:val="DEB8D6C0"/>
    <w:rsid w:val="DEC755C4"/>
    <w:rsid w:val="DEE5F43D"/>
    <w:rsid w:val="DF5E709F"/>
    <w:rsid w:val="DFB7B065"/>
    <w:rsid w:val="DFE722C8"/>
    <w:rsid w:val="DFEADEEC"/>
    <w:rsid w:val="DFED96F5"/>
    <w:rsid w:val="DFF5BE25"/>
    <w:rsid w:val="DFFDF294"/>
    <w:rsid w:val="DFFE36F4"/>
    <w:rsid w:val="DFFF83D7"/>
    <w:rsid w:val="E1AE537B"/>
    <w:rsid w:val="E377CAD3"/>
    <w:rsid w:val="E5D7312E"/>
    <w:rsid w:val="E6EFE6B2"/>
    <w:rsid w:val="E75F346D"/>
    <w:rsid w:val="E77B90FD"/>
    <w:rsid w:val="E77EE8BD"/>
    <w:rsid w:val="E7FDD106"/>
    <w:rsid w:val="E7FF509E"/>
    <w:rsid w:val="E9EC7ED8"/>
    <w:rsid w:val="E9FD7CB3"/>
    <w:rsid w:val="EABE1C3F"/>
    <w:rsid w:val="EAFB901F"/>
    <w:rsid w:val="EB1ED3A4"/>
    <w:rsid w:val="EB76BA0A"/>
    <w:rsid w:val="EBA3F109"/>
    <w:rsid w:val="EBBE8894"/>
    <w:rsid w:val="EBDB85E2"/>
    <w:rsid w:val="EBDFAC8B"/>
    <w:rsid w:val="EBF58581"/>
    <w:rsid w:val="EBFAD5A7"/>
    <w:rsid w:val="ECFD547B"/>
    <w:rsid w:val="EDBB1478"/>
    <w:rsid w:val="EDDE5DAF"/>
    <w:rsid w:val="EDE12409"/>
    <w:rsid w:val="EDFB5EF7"/>
    <w:rsid w:val="EE7F1E85"/>
    <w:rsid w:val="EE8FF47B"/>
    <w:rsid w:val="EEFE3F12"/>
    <w:rsid w:val="EF36B7FB"/>
    <w:rsid w:val="EF3E4456"/>
    <w:rsid w:val="EF6AC498"/>
    <w:rsid w:val="EF6F0BE8"/>
    <w:rsid w:val="EF7DDF33"/>
    <w:rsid w:val="EF7E72E2"/>
    <w:rsid w:val="EFAF4FD4"/>
    <w:rsid w:val="EFE7B20E"/>
    <w:rsid w:val="EFEFB4B1"/>
    <w:rsid w:val="EFF5C566"/>
    <w:rsid w:val="EFFB1BAC"/>
    <w:rsid w:val="EFFD145D"/>
    <w:rsid w:val="EFFD8CFF"/>
    <w:rsid w:val="F1F5D3C4"/>
    <w:rsid w:val="F275DA76"/>
    <w:rsid w:val="F2DF2013"/>
    <w:rsid w:val="F32FB4EF"/>
    <w:rsid w:val="F3B33006"/>
    <w:rsid w:val="F3D90753"/>
    <w:rsid w:val="F3FFE6B5"/>
    <w:rsid w:val="F4FA30E7"/>
    <w:rsid w:val="F53FC911"/>
    <w:rsid w:val="F5750987"/>
    <w:rsid w:val="F5E75DD7"/>
    <w:rsid w:val="F5F30E22"/>
    <w:rsid w:val="F5FF5345"/>
    <w:rsid w:val="F64BCF72"/>
    <w:rsid w:val="F65D0F29"/>
    <w:rsid w:val="F66F9C62"/>
    <w:rsid w:val="F6B7E99E"/>
    <w:rsid w:val="F6B93B3E"/>
    <w:rsid w:val="F6DA814B"/>
    <w:rsid w:val="F6FCA072"/>
    <w:rsid w:val="F6FE3890"/>
    <w:rsid w:val="F6FE4781"/>
    <w:rsid w:val="F767787F"/>
    <w:rsid w:val="F7779F5E"/>
    <w:rsid w:val="F77B79BE"/>
    <w:rsid w:val="F77FFFC8"/>
    <w:rsid w:val="F7AD5629"/>
    <w:rsid w:val="F7AF4754"/>
    <w:rsid w:val="F7AF6DC5"/>
    <w:rsid w:val="F7BF4DCB"/>
    <w:rsid w:val="F7CB1098"/>
    <w:rsid w:val="F7D35C9B"/>
    <w:rsid w:val="F7D62FCE"/>
    <w:rsid w:val="F7DEBAE4"/>
    <w:rsid w:val="F7FEBCDB"/>
    <w:rsid w:val="F7FF8ABD"/>
    <w:rsid w:val="F7FFB081"/>
    <w:rsid w:val="F87F1A3D"/>
    <w:rsid w:val="F9BB8E09"/>
    <w:rsid w:val="F9BF68F8"/>
    <w:rsid w:val="F9CC6249"/>
    <w:rsid w:val="F9DE41CD"/>
    <w:rsid w:val="F9E751BA"/>
    <w:rsid w:val="FA3DCC22"/>
    <w:rsid w:val="FA6EA470"/>
    <w:rsid w:val="FAD6E1AF"/>
    <w:rsid w:val="FAEF69FA"/>
    <w:rsid w:val="FAFD2248"/>
    <w:rsid w:val="FAFDF4F8"/>
    <w:rsid w:val="FBAF6E9B"/>
    <w:rsid w:val="FBBF6130"/>
    <w:rsid w:val="FBEB7BF2"/>
    <w:rsid w:val="FBEBB3ED"/>
    <w:rsid w:val="FBFB0CD5"/>
    <w:rsid w:val="FBFC2E41"/>
    <w:rsid w:val="FBFD30AE"/>
    <w:rsid w:val="FBFEC197"/>
    <w:rsid w:val="FBFF6FD8"/>
    <w:rsid w:val="FBFFEA55"/>
    <w:rsid w:val="FC5E3D7D"/>
    <w:rsid w:val="FCFD6AF8"/>
    <w:rsid w:val="FCFFE151"/>
    <w:rsid w:val="FD679674"/>
    <w:rsid w:val="FD77CD95"/>
    <w:rsid w:val="FD7EE6D9"/>
    <w:rsid w:val="FD7F22E7"/>
    <w:rsid w:val="FDAD20B2"/>
    <w:rsid w:val="FDBD51EA"/>
    <w:rsid w:val="FDFB85B4"/>
    <w:rsid w:val="FDFF4920"/>
    <w:rsid w:val="FDFF96AE"/>
    <w:rsid w:val="FDFFF909"/>
    <w:rsid w:val="FE3F8F48"/>
    <w:rsid w:val="FE4FC563"/>
    <w:rsid w:val="FE539E0F"/>
    <w:rsid w:val="FE62886C"/>
    <w:rsid w:val="FEBF1833"/>
    <w:rsid w:val="FED61A61"/>
    <w:rsid w:val="FEDF65FC"/>
    <w:rsid w:val="FEE92AFA"/>
    <w:rsid w:val="FEEBB54D"/>
    <w:rsid w:val="FEEDE71C"/>
    <w:rsid w:val="FEF57FE0"/>
    <w:rsid w:val="FEF74162"/>
    <w:rsid w:val="FEF8F85A"/>
    <w:rsid w:val="FEFF5102"/>
    <w:rsid w:val="FF54E895"/>
    <w:rsid w:val="FF679C78"/>
    <w:rsid w:val="FF7780DB"/>
    <w:rsid w:val="FF7E1B76"/>
    <w:rsid w:val="FF7F1B75"/>
    <w:rsid w:val="FF7F442F"/>
    <w:rsid w:val="FF7F9012"/>
    <w:rsid w:val="FF7FBE0A"/>
    <w:rsid w:val="FFACB62B"/>
    <w:rsid w:val="FFBAE316"/>
    <w:rsid w:val="FFBB3092"/>
    <w:rsid w:val="FFBBC91E"/>
    <w:rsid w:val="FFBD2A63"/>
    <w:rsid w:val="FFBE8556"/>
    <w:rsid w:val="FFBEFFA5"/>
    <w:rsid w:val="FFBF6667"/>
    <w:rsid w:val="FFBFA54E"/>
    <w:rsid w:val="FFCBAC21"/>
    <w:rsid w:val="FFD2F072"/>
    <w:rsid w:val="FFD79819"/>
    <w:rsid w:val="FFD7D42B"/>
    <w:rsid w:val="FFDA555F"/>
    <w:rsid w:val="FFDF70C2"/>
    <w:rsid w:val="FFE703E8"/>
    <w:rsid w:val="FFEF3CED"/>
    <w:rsid w:val="FFF50D13"/>
    <w:rsid w:val="FFF77383"/>
    <w:rsid w:val="FFF93375"/>
    <w:rsid w:val="FFFAFFCB"/>
    <w:rsid w:val="FFFC772F"/>
    <w:rsid w:val="FFFDE791"/>
    <w:rsid w:val="FFFE2390"/>
    <w:rsid w:val="FFFF02D3"/>
    <w:rsid w:val="FFFF0B70"/>
    <w:rsid w:val="FFFF22AA"/>
    <w:rsid w:val="FFFF754C"/>
    <w:rsid w:val="FFFF9E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560" w:firstLineChars="200"/>
      <w:jc w:val="both"/>
    </w:pPr>
    <w:rPr>
      <w:rFonts w:ascii="Times New Roman" w:hAnsi="Times New Roman" w:eastAsia="仿宋_GB2312" w:cs="Times New Roman"/>
      <w:color w:val="000000"/>
      <w:sz w:val="32"/>
      <w:szCs w:val="24"/>
      <w:lang w:val="en-US" w:eastAsia="en-US" w:bidi="en-US"/>
    </w:rPr>
  </w:style>
  <w:style w:type="paragraph" w:styleId="2">
    <w:name w:val="heading 1"/>
    <w:basedOn w:val="1"/>
    <w:next w:val="1"/>
    <w:qFormat/>
    <w:uiPriority w:val="0"/>
    <w:pPr>
      <w:keepNext/>
      <w:keepLines/>
      <w:spacing w:before="50" w:beforeLines="50" w:after="50" w:afterLines="50"/>
      <w:ind w:firstLine="0" w:firstLineChars="0"/>
      <w:outlineLvl w:val="0"/>
    </w:pPr>
    <w:rPr>
      <w:rFonts w:eastAsia="黑体"/>
      <w:b/>
      <w:kern w:val="44"/>
    </w:rPr>
  </w:style>
  <w:style w:type="paragraph" w:styleId="3">
    <w:name w:val="heading 2"/>
    <w:basedOn w:val="1"/>
    <w:next w:val="1"/>
    <w:link w:val="26"/>
    <w:unhideWhenUsed/>
    <w:qFormat/>
    <w:uiPriority w:val="0"/>
    <w:pPr>
      <w:keepNext/>
      <w:keepLines/>
      <w:spacing w:before="50" w:beforeLines="50" w:after="50" w:afterLines="50"/>
      <w:outlineLvl w:val="1"/>
    </w:pPr>
    <w:rPr>
      <w:rFonts w:ascii="华文楷体" w:hAnsi="华文楷体" w:eastAsia="楷体"/>
      <w:b/>
    </w:rPr>
  </w:style>
  <w:style w:type="paragraph" w:styleId="4">
    <w:name w:val="heading 3"/>
    <w:basedOn w:val="1"/>
    <w:next w:val="1"/>
    <w:link w:val="27"/>
    <w:unhideWhenUsed/>
    <w:qFormat/>
    <w:uiPriority w:val="0"/>
    <w:pPr>
      <w:keepNext/>
      <w:keepLines/>
      <w:ind w:firstLine="200"/>
      <w:outlineLvl w:val="2"/>
    </w:pPr>
    <w:rPr>
      <w:b/>
    </w:rPr>
  </w:style>
  <w:style w:type="paragraph" w:styleId="5">
    <w:name w:val="heading 4"/>
    <w:basedOn w:val="1"/>
    <w:next w:val="1"/>
    <w:unhideWhenUsed/>
    <w:qFormat/>
    <w:uiPriority w:val="0"/>
    <w:pPr>
      <w:keepNext/>
      <w:keepLines/>
      <w:outlineLvl w:val="3"/>
    </w:pPr>
    <w:rPr>
      <w:b/>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1920"/>
      <w:jc w:val="left"/>
    </w:pPr>
    <w:rPr>
      <w:rFonts w:asciiTheme="minorHAnsi" w:hAnsiTheme="minorHAnsi" w:cstheme="minorHAnsi"/>
      <w:sz w:val="18"/>
      <w:szCs w:val="18"/>
    </w:rPr>
  </w:style>
  <w:style w:type="paragraph" w:styleId="7">
    <w:name w:val="Body Text"/>
    <w:basedOn w:val="1"/>
    <w:link w:val="53"/>
    <w:qFormat/>
    <w:uiPriority w:val="0"/>
    <w:pPr>
      <w:spacing w:before="240"/>
      <w:ind w:left="1160"/>
    </w:pPr>
    <w:rPr>
      <w:rFonts w:ascii="仿宋_GB2312" w:hAnsi="仿宋_GB2312" w:cs="仿宋_GB2312"/>
      <w:sz w:val="30"/>
      <w:szCs w:val="30"/>
      <w:lang w:val="zh-CN" w:eastAsia="zh-CN" w:bidi="zh-CN"/>
    </w:rPr>
  </w:style>
  <w:style w:type="paragraph" w:styleId="8">
    <w:name w:val="toc 5"/>
    <w:basedOn w:val="1"/>
    <w:next w:val="1"/>
    <w:qFormat/>
    <w:uiPriority w:val="0"/>
    <w:pPr>
      <w:ind w:left="1280"/>
      <w:jc w:val="left"/>
    </w:pPr>
    <w:rPr>
      <w:rFonts w:asciiTheme="minorHAnsi" w:hAnsiTheme="minorHAnsi" w:cstheme="minorHAnsi"/>
      <w:sz w:val="18"/>
      <w:szCs w:val="18"/>
    </w:rPr>
  </w:style>
  <w:style w:type="paragraph" w:styleId="9">
    <w:name w:val="toc 3"/>
    <w:basedOn w:val="1"/>
    <w:next w:val="1"/>
    <w:qFormat/>
    <w:uiPriority w:val="39"/>
    <w:pPr>
      <w:ind w:left="640"/>
      <w:jc w:val="left"/>
    </w:pPr>
    <w:rPr>
      <w:rFonts w:asciiTheme="minorHAnsi" w:hAnsiTheme="minorHAnsi" w:cstheme="minorHAnsi"/>
      <w:i/>
      <w:iCs/>
      <w:sz w:val="20"/>
      <w:szCs w:val="20"/>
    </w:rPr>
  </w:style>
  <w:style w:type="paragraph" w:styleId="10">
    <w:name w:val="toc 8"/>
    <w:basedOn w:val="1"/>
    <w:next w:val="1"/>
    <w:qFormat/>
    <w:uiPriority w:val="0"/>
    <w:pPr>
      <w:ind w:left="2240"/>
      <w:jc w:val="left"/>
    </w:pPr>
    <w:rPr>
      <w:rFonts w:asciiTheme="minorHAnsi" w:hAnsiTheme="minorHAnsi" w:cstheme="minorHAnsi"/>
      <w:sz w:val="18"/>
      <w:szCs w:val="18"/>
    </w:rPr>
  </w:style>
  <w:style w:type="paragraph" w:styleId="11">
    <w:name w:val="Balloon Text"/>
    <w:basedOn w:val="1"/>
    <w:link w:val="52"/>
    <w:qFormat/>
    <w:uiPriority w:val="0"/>
    <w:pPr>
      <w:spacing w:line="240" w:lineRule="auto"/>
    </w:pPr>
    <w:rPr>
      <w:sz w:val="18"/>
      <w:szCs w:val="18"/>
    </w:rPr>
  </w:style>
  <w:style w:type="paragraph" w:styleId="12">
    <w:name w:val="footer"/>
    <w:basedOn w:val="1"/>
    <w:link w:val="54"/>
    <w:qFormat/>
    <w:uiPriority w:val="99"/>
    <w:pPr>
      <w:tabs>
        <w:tab w:val="center" w:pos="4153"/>
        <w:tab w:val="right" w:pos="8306"/>
      </w:tabs>
      <w:snapToGrid w:val="0"/>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rFonts w:ascii="DejaVu Sans" w:hAnsi="DejaVu Sans"/>
      <w:sz w:val="18"/>
    </w:rPr>
  </w:style>
  <w:style w:type="paragraph" w:styleId="14">
    <w:name w:val="toc 1"/>
    <w:basedOn w:val="1"/>
    <w:next w:val="1"/>
    <w:qFormat/>
    <w:uiPriority w:val="39"/>
    <w:pPr>
      <w:spacing w:before="120" w:after="120"/>
      <w:jc w:val="left"/>
    </w:pPr>
    <w:rPr>
      <w:rFonts w:asciiTheme="minorHAnsi" w:hAnsiTheme="minorHAnsi" w:cstheme="minorHAnsi"/>
      <w:b/>
      <w:bCs/>
      <w:caps/>
      <w:sz w:val="20"/>
      <w:szCs w:val="20"/>
    </w:rPr>
  </w:style>
  <w:style w:type="paragraph" w:styleId="15">
    <w:name w:val="toc 4"/>
    <w:basedOn w:val="1"/>
    <w:next w:val="1"/>
    <w:qFormat/>
    <w:uiPriority w:val="0"/>
    <w:pPr>
      <w:ind w:left="960"/>
      <w:jc w:val="left"/>
    </w:pPr>
    <w:rPr>
      <w:rFonts w:asciiTheme="minorHAnsi" w:hAnsiTheme="minorHAnsi" w:cstheme="minorHAnsi"/>
      <w:sz w:val="18"/>
      <w:szCs w:val="18"/>
    </w:rPr>
  </w:style>
  <w:style w:type="paragraph" w:styleId="16">
    <w:name w:val="toc 6"/>
    <w:basedOn w:val="1"/>
    <w:next w:val="1"/>
    <w:qFormat/>
    <w:uiPriority w:val="0"/>
    <w:pPr>
      <w:ind w:left="1600"/>
      <w:jc w:val="left"/>
    </w:pPr>
    <w:rPr>
      <w:rFonts w:asciiTheme="minorHAnsi" w:hAnsiTheme="minorHAnsi" w:cstheme="minorHAnsi"/>
      <w:sz w:val="18"/>
      <w:szCs w:val="18"/>
    </w:rPr>
  </w:style>
  <w:style w:type="paragraph" w:styleId="17">
    <w:name w:val="toc 2"/>
    <w:basedOn w:val="1"/>
    <w:next w:val="1"/>
    <w:qFormat/>
    <w:uiPriority w:val="39"/>
    <w:pPr>
      <w:ind w:left="320"/>
      <w:jc w:val="left"/>
    </w:pPr>
    <w:rPr>
      <w:rFonts w:asciiTheme="minorHAnsi" w:hAnsiTheme="minorHAnsi" w:cstheme="minorHAnsi"/>
      <w:smallCaps/>
      <w:sz w:val="20"/>
      <w:szCs w:val="20"/>
    </w:rPr>
  </w:style>
  <w:style w:type="paragraph" w:styleId="18">
    <w:name w:val="toc 9"/>
    <w:basedOn w:val="1"/>
    <w:next w:val="1"/>
    <w:qFormat/>
    <w:uiPriority w:val="0"/>
    <w:pPr>
      <w:ind w:left="2560"/>
      <w:jc w:val="left"/>
    </w:pPr>
    <w:rPr>
      <w:rFonts w:asciiTheme="minorHAnsi" w:hAnsiTheme="minorHAnsi" w:cstheme="minorHAnsi"/>
      <w:sz w:val="18"/>
      <w:szCs w:val="18"/>
    </w:rPr>
  </w:style>
  <w:style w:type="paragraph" w:styleId="19">
    <w:name w:val="Normal (Web)"/>
    <w:basedOn w:val="1"/>
    <w:qFormat/>
    <w:uiPriority w:val="0"/>
    <w:pPr>
      <w:spacing w:beforeAutospacing="1" w:afterAutospacing="1"/>
    </w:pPr>
    <w:rPr>
      <w:sz w:val="24"/>
      <w:lang w:eastAsia="zh-CN" w:bidi="ar-SA"/>
    </w:rPr>
  </w:style>
  <w:style w:type="paragraph" w:styleId="20">
    <w:name w:val="Title"/>
    <w:basedOn w:val="1"/>
    <w:next w:val="1"/>
    <w:link w:val="57"/>
    <w:qFormat/>
    <w:uiPriority w:val="0"/>
    <w:pPr>
      <w:spacing w:before="100" w:beforeLines="100" w:after="100" w:afterLines="100" w:line="360" w:lineRule="auto"/>
      <w:ind w:firstLine="0" w:firstLineChars="0"/>
      <w:jc w:val="center"/>
      <w:outlineLvl w:val="0"/>
    </w:pPr>
    <w:rPr>
      <w:rFonts w:eastAsia="方正小标宋" w:cstheme="majorBidi"/>
      <w:b/>
      <w:bCs/>
      <w:sz w:val="44"/>
      <w:szCs w:val="32"/>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Hyperlink"/>
    <w:basedOn w:val="23"/>
    <w:qFormat/>
    <w:uiPriority w:val="99"/>
    <w:rPr>
      <w:color w:val="0000FF"/>
      <w:u w:val="single"/>
    </w:rPr>
  </w:style>
  <w:style w:type="character" w:customStyle="1" w:styleId="26">
    <w:name w:val="标题 2 字符"/>
    <w:link w:val="3"/>
    <w:qFormat/>
    <w:uiPriority w:val="0"/>
    <w:rPr>
      <w:rFonts w:ascii="华文楷体" w:hAnsi="华文楷体" w:eastAsia="楷体"/>
      <w:b/>
    </w:rPr>
  </w:style>
  <w:style w:type="character" w:customStyle="1" w:styleId="27">
    <w:name w:val="标题 3 字符"/>
    <w:link w:val="4"/>
    <w:qFormat/>
    <w:uiPriority w:val="0"/>
    <w:rPr>
      <w:rFonts w:eastAsia="仿宋_GB2312"/>
      <w:b/>
      <w:color w:val="000000"/>
      <w:sz w:val="32"/>
      <w:szCs w:val="24"/>
      <w:lang w:eastAsia="en-US" w:bidi="en-US"/>
    </w:rPr>
  </w:style>
  <w:style w:type="paragraph" w:customStyle="1" w:styleId="28">
    <w:name w:val="Body text|2"/>
    <w:basedOn w:val="1"/>
    <w:qFormat/>
    <w:uiPriority w:val="0"/>
    <w:pPr>
      <w:spacing w:line="322" w:lineRule="exact"/>
      <w:ind w:firstLine="400"/>
    </w:pPr>
    <w:rPr>
      <w:rFonts w:ascii="宋体" w:hAnsi="宋体" w:eastAsia="宋体" w:cs="宋体"/>
      <w:sz w:val="19"/>
      <w:szCs w:val="19"/>
      <w:lang w:val="zh-TW" w:eastAsia="zh-TW" w:bidi="zh-TW"/>
    </w:rPr>
  </w:style>
  <w:style w:type="paragraph" w:customStyle="1" w:styleId="29">
    <w:name w:val="Header or footer|1"/>
    <w:basedOn w:val="1"/>
    <w:qFormat/>
    <w:uiPriority w:val="0"/>
    <w:rPr>
      <w:lang w:val="zh-TW" w:eastAsia="zh-TW" w:bidi="zh-TW"/>
    </w:rPr>
  </w:style>
  <w:style w:type="paragraph" w:customStyle="1" w:styleId="30">
    <w:name w:val="标题4"/>
    <w:basedOn w:val="28"/>
    <w:qFormat/>
    <w:uiPriority w:val="0"/>
    <w:pPr>
      <w:spacing w:line="360" w:lineRule="auto"/>
      <w:ind w:firstLine="881"/>
    </w:pPr>
    <w:rPr>
      <w:rFonts w:eastAsia="华文仿宋"/>
      <w:b/>
      <w:sz w:val="32"/>
    </w:rPr>
  </w:style>
  <w:style w:type="paragraph" w:customStyle="1" w:styleId="31">
    <w:name w:val="Body text|1"/>
    <w:basedOn w:val="1"/>
    <w:qFormat/>
    <w:uiPriority w:val="0"/>
    <w:pPr>
      <w:spacing w:line="360" w:lineRule="auto"/>
      <w:ind w:firstLine="400"/>
    </w:pPr>
    <w:rPr>
      <w:rFonts w:ascii="宋体" w:hAnsi="宋体" w:eastAsia="宋体" w:cs="宋体"/>
      <w:lang w:val="zh-TW" w:eastAsia="zh-TW" w:bidi="zh-TW"/>
    </w:rPr>
  </w:style>
  <w:style w:type="character" w:customStyle="1" w:styleId="32">
    <w:name w:val="font01"/>
    <w:basedOn w:val="23"/>
    <w:qFormat/>
    <w:uiPriority w:val="0"/>
    <w:rPr>
      <w:rFonts w:ascii="Arial" w:hAnsi="Arial" w:cs="Arial"/>
      <w:color w:val="000000"/>
      <w:sz w:val="22"/>
      <w:szCs w:val="22"/>
      <w:u w:val="none"/>
    </w:rPr>
  </w:style>
  <w:style w:type="character" w:customStyle="1" w:styleId="33">
    <w:name w:val="font11"/>
    <w:basedOn w:val="23"/>
    <w:qFormat/>
    <w:uiPriority w:val="0"/>
    <w:rPr>
      <w:rFonts w:ascii="font-weight : 400" w:hAnsi="font-weight : 400" w:eastAsia="font-weight : 400" w:cs="font-weight : 400"/>
      <w:color w:val="000000"/>
      <w:sz w:val="22"/>
      <w:szCs w:val="22"/>
      <w:u w:val="none"/>
    </w:rPr>
  </w:style>
  <w:style w:type="character" w:customStyle="1" w:styleId="34">
    <w:name w:val="font51"/>
    <w:basedOn w:val="23"/>
    <w:qFormat/>
    <w:uiPriority w:val="0"/>
    <w:rPr>
      <w:rFonts w:hint="eastAsia" w:ascii="宋体" w:hAnsi="宋体" w:eastAsia="宋体" w:cs="宋体"/>
      <w:color w:val="000000"/>
      <w:sz w:val="22"/>
      <w:szCs w:val="22"/>
      <w:u w:val="none"/>
    </w:rPr>
  </w:style>
  <w:style w:type="character" w:customStyle="1" w:styleId="35">
    <w:name w:val="正文 + Arial Char"/>
    <w:link w:val="36"/>
    <w:qFormat/>
    <w:locked/>
    <w:uiPriority w:val="0"/>
    <w:rPr>
      <w:rFonts w:ascii="Arial"/>
      <w:kern w:val="0"/>
      <w:sz w:val="24"/>
    </w:rPr>
  </w:style>
  <w:style w:type="paragraph" w:customStyle="1" w:styleId="36">
    <w:name w:val="正文 + Arial"/>
    <w:basedOn w:val="1"/>
    <w:link w:val="35"/>
    <w:qFormat/>
    <w:uiPriority w:val="0"/>
    <w:pPr>
      <w:spacing w:afterLines="50" w:line="360" w:lineRule="auto"/>
      <w:ind w:firstLine="420"/>
    </w:pPr>
    <w:rPr>
      <w:rFonts w:ascii="Arial"/>
      <w:sz w:val="24"/>
    </w:rPr>
  </w:style>
  <w:style w:type="paragraph" w:customStyle="1" w:styleId="37">
    <w:name w:val="列出段落1"/>
    <w:basedOn w:val="1"/>
    <w:qFormat/>
    <w:uiPriority w:val="1"/>
    <w:pPr>
      <w:spacing w:before="3"/>
      <w:ind w:left="2332" w:hanging="753"/>
    </w:pPr>
    <w:rPr>
      <w:rFonts w:ascii="仿宋_GB2312" w:hAnsi="仿宋_GB2312" w:cs="仿宋_GB2312"/>
      <w:lang w:val="zh-CN" w:eastAsia="zh-CN" w:bidi="zh-CN"/>
    </w:rPr>
  </w:style>
  <w:style w:type="paragraph" w:customStyle="1" w:styleId="38">
    <w:name w:val="分类号"/>
    <w:basedOn w:val="1"/>
    <w:qFormat/>
    <w:uiPriority w:val="0"/>
    <w:pPr>
      <w:spacing w:line="240" w:lineRule="auto"/>
      <w:ind w:firstLine="0" w:firstLineChars="0"/>
    </w:pPr>
    <w:rPr>
      <w:rFonts w:ascii="仿宋_GB2312"/>
      <w:kern w:val="2"/>
      <w:sz w:val="28"/>
      <w:szCs w:val="28"/>
      <w:lang w:eastAsia="zh-CN" w:bidi="ar-SA"/>
    </w:rPr>
  </w:style>
  <w:style w:type="paragraph" w:customStyle="1" w:styleId="39">
    <w:name w:val="硕士学位论文"/>
    <w:basedOn w:val="1"/>
    <w:qFormat/>
    <w:uiPriority w:val="0"/>
    <w:pPr>
      <w:spacing w:before="240" w:line="240" w:lineRule="auto"/>
      <w:ind w:firstLine="0" w:firstLineChars="0"/>
      <w:jc w:val="center"/>
    </w:pPr>
    <w:rPr>
      <w:rFonts w:eastAsia="宋体"/>
      <w:kern w:val="2"/>
      <w:sz w:val="44"/>
      <w:szCs w:val="44"/>
      <w:lang w:eastAsia="zh-CN" w:bidi="ar-SA"/>
    </w:rPr>
  </w:style>
  <w:style w:type="paragraph" w:customStyle="1" w:styleId="40">
    <w:name w:val="论文标题"/>
    <w:basedOn w:val="1"/>
    <w:qFormat/>
    <w:uiPriority w:val="0"/>
    <w:pPr>
      <w:spacing w:line="240" w:lineRule="auto"/>
      <w:ind w:firstLine="0" w:firstLineChars="0"/>
      <w:jc w:val="center"/>
    </w:pPr>
    <w:rPr>
      <w:rFonts w:eastAsia="楷体_GB2312"/>
      <w:b/>
      <w:kern w:val="36"/>
      <w:sz w:val="52"/>
      <w:szCs w:val="52"/>
      <w:lang w:eastAsia="zh-CN" w:bidi="ar-SA"/>
    </w:rPr>
  </w:style>
  <w:style w:type="paragraph" w:customStyle="1" w:styleId="41">
    <w:name w:val="研究生姓名"/>
    <w:basedOn w:val="1"/>
    <w:qFormat/>
    <w:uiPriority w:val="0"/>
    <w:pPr>
      <w:spacing w:line="240" w:lineRule="auto"/>
      <w:ind w:firstLine="700" w:firstLineChars="700"/>
    </w:pPr>
    <w:rPr>
      <w:rFonts w:eastAsia="宋体"/>
      <w:kern w:val="2"/>
      <w:sz w:val="28"/>
      <w:szCs w:val="28"/>
      <w:lang w:eastAsia="zh-CN" w:bidi="ar-SA"/>
    </w:rPr>
  </w:style>
  <w:style w:type="paragraph" w:customStyle="1" w:styleId="42">
    <w:name w:val="封面日期"/>
    <w:basedOn w:val="1"/>
    <w:qFormat/>
    <w:uiPriority w:val="0"/>
    <w:pPr>
      <w:spacing w:line="240" w:lineRule="auto"/>
      <w:ind w:firstLine="0" w:firstLineChars="0"/>
      <w:jc w:val="center"/>
    </w:pPr>
    <w:rPr>
      <w:rFonts w:ascii="黑体" w:eastAsia="黑体"/>
      <w:kern w:val="2"/>
      <w:szCs w:val="32"/>
      <w:lang w:eastAsia="zh-CN" w:bidi="ar-SA"/>
    </w:rPr>
  </w:style>
  <w:style w:type="paragraph" w:customStyle="1" w:styleId="43">
    <w:name w:val="WPSOffice手动目录 1"/>
    <w:qFormat/>
    <w:uiPriority w:val="0"/>
    <w:rPr>
      <w:rFonts w:ascii="Times New Roman" w:hAnsi="Times New Roman" w:eastAsia="宋体" w:cs="Times New Roman"/>
      <w:lang w:val="en-US" w:eastAsia="zh-CN" w:bidi="ar-SA"/>
    </w:rPr>
  </w:style>
  <w:style w:type="paragraph" w:customStyle="1" w:styleId="4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5">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46">
    <w:name w:val="font21"/>
    <w:basedOn w:val="23"/>
    <w:qFormat/>
    <w:uiPriority w:val="0"/>
    <w:rPr>
      <w:rFonts w:ascii="宋体" w:hAnsi="宋体" w:eastAsia="宋体" w:cs="宋体"/>
      <w:color w:val="000000"/>
      <w:sz w:val="22"/>
      <w:szCs w:val="22"/>
      <w:u w:val="none"/>
    </w:rPr>
  </w:style>
  <w:style w:type="character" w:customStyle="1" w:styleId="47">
    <w:name w:val="font81"/>
    <w:basedOn w:val="23"/>
    <w:qFormat/>
    <w:uiPriority w:val="0"/>
    <w:rPr>
      <w:rFonts w:hint="eastAsia" w:ascii="宋体" w:hAnsi="宋体" w:eastAsia="宋体" w:cs="宋体"/>
      <w:color w:val="000000"/>
      <w:sz w:val="22"/>
      <w:szCs w:val="22"/>
      <w:u w:val="none"/>
    </w:rPr>
  </w:style>
  <w:style w:type="character" w:customStyle="1" w:styleId="48">
    <w:name w:val="font31"/>
    <w:basedOn w:val="23"/>
    <w:qFormat/>
    <w:uiPriority w:val="0"/>
    <w:rPr>
      <w:rFonts w:hint="eastAsia" w:ascii="宋体" w:hAnsi="宋体" w:eastAsia="宋体" w:cs="宋体"/>
      <w:color w:val="000000"/>
      <w:sz w:val="22"/>
      <w:szCs w:val="22"/>
      <w:u w:val="none"/>
    </w:rPr>
  </w:style>
  <w:style w:type="character" w:customStyle="1" w:styleId="49">
    <w:name w:val="font61"/>
    <w:basedOn w:val="23"/>
    <w:qFormat/>
    <w:uiPriority w:val="0"/>
    <w:rPr>
      <w:rFonts w:ascii="宋体" w:hAnsi="宋体" w:eastAsia="宋体" w:cs="宋体"/>
      <w:color w:val="000000"/>
      <w:sz w:val="22"/>
      <w:szCs w:val="22"/>
      <w:u w:val="none"/>
    </w:rPr>
  </w:style>
  <w:style w:type="character" w:customStyle="1" w:styleId="50">
    <w:name w:val="font71"/>
    <w:basedOn w:val="23"/>
    <w:qFormat/>
    <w:uiPriority w:val="0"/>
    <w:rPr>
      <w:rFonts w:hint="eastAsia" w:ascii="宋体" w:hAnsi="宋体" w:eastAsia="宋体" w:cs="宋体"/>
      <w:color w:val="FF0000"/>
      <w:sz w:val="24"/>
      <w:szCs w:val="24"/>
      <w:u w:val="none"/>
    </w:rPr>
  </w:style>
  <w:style w:type="character" w:customStyle="1" w:styleId="51">
    <w:name w:val="font41"/>
    <w:basedOn w:val="23"/>
    <w:qFormat/>
    <w:uiPriority w:val="0"/>
    <w:rPr>
      <w:rFonts w:hint="eastAsia" w:ascii="宋体" w:hAnsi="宋体" w:eastAsia="宋体" w:cs="宋体"/>
      <w:color w:val="000000"/>
      <w:sz w:val="24"/>
      <w:szCs w:val="24"/>
      <w:u w:val="none"/>
    </w:rPr>
  </w:style>
  <w:style w:type="character" w:customStyle="1" w:styleId="52">
    <w:name w:val="批注框文本 字符"/>
    <w:basedOn w:val="23"/>
    <w:link w:val="11"/>
    <w:qFormat/>
    <w:uiPriority w:val="0"/>
    <w:rPr>
      <w:rFonts w:eastAsia="华文仿宋"/>
      <w:color w:val="000000"/>
      <w:sz w:val="18"/>
      <w:szCs w:val="18"/>
      <w:lang w:eastAsia="en-US" w:bidi="en-US"/>
    </w:rPr>
  </w:style>
  <w:style w:type="character" w:customStyle="1" w:styleId="53">
    <w:name w:val="正文文本 字符"/>
    <w:basedOn w:val="23"/>
    <w:link w:val="7"/>
    <w:qFormat/>
    <w:uiPriority w:val="0"/>
    <w:rPr>
      <w:rFonts w:ascii="仿宋_GB2312" w:hAnsi="仿宋_GB2312" w:eastAsia="仿宋_GB2312" w:cs="仿宋_GB2312"/>
      <w:color w:val="000000"/>
      <w:sz w:val="30"/>
      <w:szCs w:val="30"/>
      <w:lang w:val="zh-CN" w:bidi="zh-CN"/>
    </w:rPr>
  </w:style>
  <w:style w:type="character" w:customStyle="1" w:styleId="54">
    <w:name w:val="页脚 字符"/>
    <w:basedOn w:val="23"/>
    <w:link w:val="12"/>
    <w:qFormat/>
    <w:uiPriority w:val="99"/>
    <w:rPr>
      <w:rFonts w:eastAsia="仿宋_GB2312"/>
      <w:color w:val="000000"/>
      <w:sz w:val="18"/>
      <w:szCs w:val="24"/>
      <w:lang w:eastAsia="en-US" w:bidi="en-US"/>
    </w:rPr>
  </w:style>
  <w:style w:type="paragraph" w:styleId="55">
    <w:name w:val="List Paragraph"/>
    <w:basedOn w:val="1"/>
    <w:qFormat/>
    <w:uiPriority w:val="1"/>
    <w:pPr>
      <w:ind w:firstLine="420"/>
    </w:pPr>
  </w:style>
  <w:style w:type="table" w:customStyle="1" w:styleId="56">
    <w:name w:val="Table Normal"/>
    <w:semiHidden/>
    <w:unhideWhenUsed/>
    <w:qFormat/>
    <w:uiPriority w:val="0"/>
    <w:rPr>
      <w:rFonts w:ascii="Arial" w:hAnsi="Arial" w:cs="Arial" w:eastAsiaTheme="minorEastAsia"/>
      <w:snapToGrid w:val="0"/>
      <w:color w:val="000000"/>
      <w:sz w:val="21"/>
      <w:szCs w:val="21"/>
    </w:rPr>
    <w:tblPr>
      <w:tblCellMar>
        <w:top w:w="0" w:type="dxa"/>
        <w:left w:w="0" w:type="dxa"/>
        <w:bottom w:w="0" w:type="dxa"/>
        <w:right w:w="0" w:type="dxa"/>
      </w:tblCellMar>
    </w:tblPr>
  </w:style>
  <w:style w:type="character" w:customStyle="1" w:styleId="57">
    <w:name w:val="标题 字符"/>
    <w:basedOn w:val="23"/>
    <w:link w:val="20"/>
    <w:qFormat/>
    <w:uiPriority w:val="0"/>
    <w:rPr>
      <w:rFonts w:eastAsia="方正小标宋" w:cstheme="majorBidi"/>
      <w:b/>
      <w:bCs/>
      <w:color w:val="000000"/>
      <w:sz w:val="44"/>
      <w:szCs w:val="32"/>
      <w:lang w:eastAsia="en-US" w:bidi="en-US"/>
    </w:rPr>
  </w:style>
  <w:style w:type="character" w:customStyle="1" w:styleId="58">
    <w:name w:val="font91"/>
    <w:basedOn w:val="23"/>
    <w:qFormat/>
    <w:uiPriority w:val="0"/>
    <w:rPr>
      <w:rFonts w:hint="eastAsia" w:ascii="宋体" w:hAnsi="宋体" w:eastAsia="宋体" w:cs="宋体"/>
      <w:b/>
      <w:bCs/>
      <w:color w:val="000000"/>
      <w:sz w:val="24"/>
      <w:szCs w:val="24"/>
      <w:u w:val="none"/>
    </w:rPr>
  </w:style>
  <w:style w:type="character" w:customStyle="1" w:styleId="59">
    <w:name w:val="font101"/>
    <w:basedOn w:val="23"/>
    <w:qFormat/>
    <w:uiPriority w:val="0"/>
    <w:rPr>
      <w:rFonts w:ascii="方正书宋_GBK" w:hAnsi="方正书宋_GBK" w:eastAsia="方正书宋_GBK" w:cs="方正书宋_GBK"/>
      <w:b/>
      <w:bCs/>
      <w:color w:val="000000"/>
      <w:sz w:val="24"/>
      <w:szCs w:val="24"/>
      <w:u w:val="none"/>
    </w:rPr>
  </w:style>
  <w:style w:type="character" w:customStyle="1" w:styleId="60">
    <w:name w:val="font112"/>
    <w:basedOn w:val="23"/>
    <w:qFormat/>
    <w:uiPriority w:val="0"/>
    <w:rPr>
      <w:rFonts w:hint="eastAsia" w:ascii="宋体" w:hAnsi="宋体" w:eastAsia="宋体" w:cs="宋体"/>
      <w:b/>
      <w:bCs/>
      <w:color w:val="000000"/>
      <w:sz w:val="24"/>
      <w:szCs w:val="24"/>
      <w:u w:val="none"/>
    </w:rPr>
  </w:style>
  <w:style w:type="character" w:customStyle="1" w:styleId="61">
    <w:name w:val="font121"/>
    <w:basedOn w:val="23"/>
    <w:qFormat/>
    <w:uiPriority w:val="0"/>
    <w:rPr>
      <w:rFonts w:hint="eastAsia" w:ascii="宋体" w:hAnsi="宋体" w:eastAsia="宋体" w:cs="宋体"/>
      <w:color w:val="000000"/>
      <w:sz w:val="24"/>
      <w:szCs w:val="24"/>
      <w:u w:val="none"/>
    </w:rPr>
  </w:style>
  <w:style w:type="character" w:customStyle="1" w:styleId="62">
    <w:name w:val="font131"/>
    <w:basedOn w:val="23"/>
    <w:qFormat/>
    <w:uiPriority w:val="0"/>
    <w:rPr>
      <w:rFonts w:hint="default" w:ascii="Times New Roman" w:hAnsi="Times New Roman" w:cs="Times New Roman"/>
      <w:color w:val="000000"/>
      <w:sz w:val="24"/>
      <w:szCs w:val="24"/>
      <w:u w:val="none"/>
    </w:rPr>
  </w:style>
  <w:style w:type="character" w:customStyle="1" w:styleId="63">
    <w:name w:val="font141"/>
    <w:basedOn w:val="23"/>
    <w:qFormat/>
    <w:uiPriority w:val="0"/>
    <w:rPr>
      <w:rFonts w:hint="eastAsia" w:ascii="宋体" w:hAnsi="宋体" w:eastAsia="宋体" w:cs="宋体"/>
      <w:color w:val="000000"/>
      <w:sz w:val="24"/>
      <w:szCs w:val="24"/>
      <w:u w:val="none"/>
    </w:rPr>
  </w:style>
  <w:style w:type="character" w:customStyle="1" w:styleId="64">
    <w:name w:val="font151"/>
    <w:basedOn w:val="23"/>
    <w:qFormat/>
    <w:uiPriority w:val="0"/>
    <w:rPr>
      <w:rFonts w:hint="default" w:ascii="Times New Roman" w:hAnsi="Times New Roman" w:cs="Times New Roman"/>
      <w:color w:val="000000"/>
      <w:sz w:val="24"/>
      <w:szCs w:val="24"/>
      <w:u w:val="none"/>
    </w:rPr>
  </w:style>
  <w:style w:type="paragraph" w:customStyle="1" w:styleId="65">
    <w:name w:val="TOC 标题1"/>
    <w:basedOn w:val="2"/>
    <w:next w:val="1"/>
    <w:unhideWhenUsed/>
    <w:qFormat/>
    <w:uiPriority w:val="39"/>
    <w:pPr>
      <w:widowControl/>
      <w:spacing w:before="240" w:beforeLines="0" w:after="0" w:afterLines="0" w:line="259" w:lineRule="auto"/>
      <w:jc w:val="left"/>
      <w:outlineLvl w:val="9"/>
    </w:pPr>
    <w:rPr>
      <w:rFonts w:asciiTheme="majorHAnsi" w:hAnsiTheme="majorHAnsi" w:eastAsiaTheme="majorEastAsia" w:cstheme="majorBidi"/>
      <w:b w:val="0"/>
      <w:color w:val="2E75B6" w:themeColor="accent1" w:themeShade="BF"/>
      <w:kern w:val="0"/>
      <w:szCs w:val="32"/>
      <w:lang w:eastAsia="zh-CN" w:bidi="ar-SA"/>
    </w:rPr>
  </w:style>
  <w:style w:type="character" w:customStyle="1" w:styleId="66">
    <w:name w:val="CharAttribute37"/>
    <w:qFormat/>
    <w:uiPriority w:val="99"/>
    <w:rPr>
      <w:rFonts w:ascii="宋体" w:hAnsi="宋体" w:eastAsia="Times New Roman"/>
      <w:sz w:val="24"/>
    </w:rPr>
  </w:style>
  <w:style w:type="paragraph" w:customStyle="1" w:styleId="67">
    <w:name w:val="Table Paragraph"/>
    <w:basedOn w:val="1"/>
    <w:qFormat/>
    <w:uiPriority w:val="1"/>
  </w:style>
  <w:style w:type="character" w:customStyle="1" w:styleId="68">
    <w:name w:val="Unresolved Mention"/>
    <w:basedOn w:val="2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iTianKong.com</Company>
  <Pages>27</Pages>
  <Words>11616</Words>
  <Characters>11918</Characters>
  <Lines>89</Lines>
  <Paragraphs>25</Paragraphs>
  <TotalTime>6</TotalTime>
  <ScaleCrop>false</ScaleCrop>
  <LinksUpToDate>false</LinksUpToDate>
  <CharactersWithSpaces>11964</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2023-03-18T02:57:00Z</dcterms:created>
  <dc:creator>cll</dc:creator>
  <cp:lastModifiedBy>薄荷与橙</cp:lastModifiedBy>
  <cp:lastPrinted>2025-04-01T06:31:00Z</cp:lastPrinted>
  <dcterms:modified xsi:type="dcterms:W3CDTF">2025-07-17T03:08:55Z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58CB3AE3722C4C8CA167D2F3944BF467_13</vt:lpwstr>
  </property>
  <property fmtid="{D5CDD505-2E9C-101B-9397-08002B2CF9AE}" pid="4" name="KSOTemplateDocerSaveRecord">
    <vt:lpwstr>eyJoZGlkIjoiMDdkYmU2ZmQ1YmVlNmFhZjk2NzRhYTcxODZkZDY3YTAifQ==</vt:lpwstr>
  </property>
</Properties>
</file>