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6BFAC">
      <w:pPr>
        <w:pStyle w:val="19"/>
        <w:spacing w:beforeAutospacing="0" w:afterAutospacing="0" w:line="820" w:lineRule="exact"/>
        <w:ind w:firstLine="0" w:firstLineChars="0"/>
        <w:jc w:val="center"/>
        <w:outlineLvl w:val="0"/>
        <w:rPr>
          <w:rFonts w:eastAsia="微软雅黑"/>
          <w:b/>
          <w:bCs/>
          <w:sz w:val="44"/>
          <w:szCs w:val="44"/>
        </w:rPr>
      </w:pPr>
      <w:bookmarkStart w:id="0" w:name="_Toc4926"/>
      <w:bookmarkStart w:id="1" w:name="_Toc4482"/>
      <w:bookmarkStart w:id="2" w:name="_Toc27923"/>
      <w:bookmarkStart w:id="3" w:name="_Toc16439"/>
      <w:r>
        <w:rPr>
          <w:rFonts w:hint="eastAsia" w:eastAsia="微软雅黑"/>
          <w:b/>
          <w:bCs/>
          <w:sz w:val="44"/>
          <w:szCs w:val="44"/>
        </w:rPr>
        <w:t>乐山市金口河区粮食和物资储备中心</w:t>
      </w:r>
      <w:bookmarkEnd w:id="0"/>
    </w:p>
    <w:p w14:paraId="2A5EA907">
      <w:pPr>
        <w:pStyle w:val="19"/>
        <w:spacing w:beforeAutospacing="0" w:afterAutospacing="0" w:line="820" w:lineRule="exact"/>
        <w:ind w:leftChars="-44" w:right="-480" w:rightChars="-150" w:hanging="141" w:hangingChars="32"/>
        <w:jc w:val="center"/>
        <w:outlineLvl w:val="0"/>
        <w:rPr>
          <w:rFonts w:eastAsia="微软雅黑"/>
          <w:b/>
          <w:bCs/>
          <w:sz w:val="44"/>
          <w:szCs w:val="44"/>
        </w:rPr>
      </w:pPr>
      <w:bookmarkStart w:id="4" w:name="_Toc12088"/>
      <w:r>
        <w:rPr>
          <w:rFonts w:hint="eastAsia" w:eastAsia="微软雅黑"/>
          <w:b/>
          <w:bCs/>
          <w:sz w:val="44"/>
          <w:szCs w:val="44"/>
        </w:rPr>
        <w:t>储备粮油费用补贴</w:t>
      </w:r>
      <w:bookmarkEnd w:id="4"/>
    </w:p>
    <w:bookmarkEnd w:id="1"/>
    <w:bookmarkEnd w:id="2"/>
    <w:bookmarkEnd w:id="3"/>
    <w:p w14:paraId="211221F4">
      <w:pPr>
        <w:pStyle w:val="19"/>
        <w:spacing w:beforeAutospacing="0" w:afterAutospacing="0" w:line="820" w:lineRule="exact"/>
        <w:ind w:right="83" w:rightChars="26" w:firstLine="0" w:firstLineChars="0"/>
        <w:jc w:val="center"/>
        <w:outlineLvl w:val="0"/>
        <w:rPr>
          <w:rFonts w:eastAsia="微软雅黑"/>
          <w:b/>
          <w:bCs/>
          <w:sz w:val="44"/>
          <w:szCs w:val="44"/>
        </w:rPr>
      </w:pPr>
    </w:p>
    <w:p w14:paraId="50BCC12E">
      <w:pPr>
        <w:pStyle w:val="19"/>
        <w:spacing w:beforeAutospacing="0" w:afterAutospacing="0" w:line="820" w:lineRule="exact"/>
        <w:ind w:right="83" w:rightChars="26" w:firstLine="0" w:firstLineChars="0"/>
        <w:jc w:val="center"/>
        <w:outlineLvl w:val="0"/>
        <w:rPr>
          <w:rFonts w:eastAsia="微软雅黑"/>
          <w:b/>
          <w:bCs/>
          <w:sz w:val="44"/>
          <w:szCs w:val="44"/>
        </w:rPr>
      </w:pPr>
      <w:bookmarkStart w:id="5" w:name="_Toc29784"/>
      <w:bookmarkStart w:id="6" w:name="_Toc24858"/>
      <w:r>
        <w:rPr>
          <w:rFonts w:hint="eastAsia" w:eastAsia="微软雅黑"/>
          <w:b/>
          <w:bCs/>
          <w:sz w:val="44"/>
          <w:szCs w:val="44"/>
        </w:rPr>
        <w:t>事</w:t>
      </w:r>
      <w:bookmarkEnd w:id="5"/>
      <w:bookmarkEnd w:id="6"/>
    </w:p>
    <w:p w14:paraId="1949E73D">
      <w:pPr>
        <w:pStyle w:val="19"/>
        <w:spacing w:beforeAutospacing="0" w:afterAutospacing="0" w:line="820" w:lineRule="exact"/>
        <w:ind w:right="83" w:rightChars="26" w:firstLine="0" w:firstLineChars="0"/>
        <w:jc w:val="center"/>
        <w:outlineLvl w:val="0"/>
        <w:rPr>
          <w:rFonts w:eastAsia="微软雅黑"/>
          <w:b/>
          <w:bCs/>
          <w:sz w:val="44"/>
          <w:szCs w:val="44"/>
        </w:rPr>
      </w:pPr>
      <w:bookmarkStart w:id="7" w:name="_Toc3257"/>
      <w:bookmarkStart w:id="8" w:name="_Toc19435"/>
      <w:r>
        <w:rPr>
          <w:rFonts w:hint="eastAsia" w:eastAsia="微软雅黑"/>
          <w:b/>
          <w:bCs/>
          <w:sz w:val="44"/>
          <w:szCs w:val="44"/>
        </w:rPr>
        <w:t>前</w:t>
      </w:r>
      <w:bookmarkEnd w:id="7"/>
      <w:bookmarkEnd w:id="8"/>
    </w:p>
    <w:p w14:paraId="77F83F2B">
      <w:pPr>
        <w:pStyle w:val="19"/>
        <w:spacing w:beforeAutospacing="0" w:afterAutospacing="0" w:line="820" w:lineRule="exact"/>
        <w:ind w:right="83" w:rightChars="26" w:firstLine="0" w:firstLineChars="0"/>
        <w:jc w:val="center"/>
        <w:outlineLvl w:val="0"/>
        <w:rPr>
          <w:rFonts w:eastAsia="微软雅黑"/>
          <w:b/>
          <w:bCs/>
          <w:sz w:val="44"/>
          <w:szCs w:val="44"/>
        </w:rPr>
      </w:pPr>
      <w:bookmarkStart w:id="9" w:name="_Toc13192"/>
      <w:bookmarkStart w:id="10" w:name="_Toc17772"/>
      <w:r>
        <w:rPr>
          <w:rFonts w:eastAsia="微软雅黑"/>
          <w:b/>
          <w:bCs/>
          <w:sz w:val="44"/>
          <w:szCs w:val="44"/>
        </w:rPr>
        <w:t>绩</w:t>
      </w:r>
      <w:bookmarkEnd w:id="9"/>
      <w:bookmarkEnd w:id="10"/>
    </w:p>
    <w:p w14:paraId="12A34238">
      <w:pPr>
        <w:pStyle w:val="19"/>
        <w:spacing w:beforeAutospacing="0" w:afterAutospacing="0" w:line="820" w:lineRule="exact"/>
        <w:ind w:right="83" w:rightChars="26" w:firstLine="0" w:firstLineChars="0"/>
        <w:jc w:val="center"/>
        <w:outlineLvl w:val="0"/>
        <w:rPr>
          <w:rFonts w:eastAsia="微软雅黑"/>
          <w:b/>
          <w:bCs/>
          <w:sz w:val="44"/>
          <w:szCs w:val="44"/>
        </w:rPr>
      </w:pPr>
      <w:bookmarkStart w:id="11" w:name="_Toc14778"/>
      <w:bookmarkStart w:id="12" w:name="_Toc30199"/>
      <w:r>
        <w:rPr>
          <w:rFonts w:eastAsia="微软雅黑"/>
          <w:b/>
          <w:bCs/>
          <w:sz w:val="44"/>
          <w:szCs w:val="44"/>
        </w:rPr>
        <w:t>效</w:t>
      </w:r>
      <w:bookmarkEnd w:id="11"/>
      <w:bookmarkEnd w:id="12"/>
    </w:p>
    <w:p w14:paraId="2D2A7990">
      <w:pPr>
        <w:pStyle w:val="19"/>
        <w:spacing w:beforeAutospacing="0" w:afterAutospacing="0" w:line="820" w:lineRule="exact"/>
        <w:ind w:right="83" w:rightChars="26" w:firstLine="0" w:firstLineChars="0"/>
        <w:jc w:val="center"/>
        <w:outlineLvl w:val="0"/>
        <w:rPr>
          <w:rFonts w:eastAsia="微软雅黑"/>
          <w:b/>
          <w:bCs/>
          <w:sz w:val="44"/>
          <w:szCs w:val="44"/>
        </w:rPr>
      </w:pPr>
      <w:bookmarkStart w:id="13" w:name="_Toc6131"/>
      <w:bookmarkStart w:id="14" w:name="_Toc27740"/>
      <w:r>
        <w:rPr>
          <w:rFonts w:eastAsia="微软雅黑"/>
          <w:b/>
          <w:bCs/>
          <w:sz w:val="44"/>
          <w:szCs w:val="44"/>
        </w:rPr>
        <w:t>评</w:t>
      </w:r>
      <w:bookmarkEnd w:id="13"/>
      <w:bookmarkEnd w:id="14"/>
    </w:p>
    <w:p w14:paraId="4F2141FB">
      <w:pPr>
        <w:pStyle w:val="19"/>
        <w:spacing w:beforeAutospacing="0" w:afterAutospacing="0" w:line="820" w:lineRule="exact"/>
        <w:ind w:right="83" w:rightChars="26" w:firstLine="0" w:firstLineChars="0"/>
        <w:jc w:val="center"/>
        <w:outlineLvl w:val="0"/>
        <w:rPr>
          <w:rFonts w:eastAsia="微软雅黑"/>
          <w:b/>
          <w:bCs/>
          <w:sz w:val="44"/>
          <w:szCs w:val="44"/>
        </w:rPr>
      </w:pPr>
      <w:bookmarkStart w:id="15" w:name="_Toc5005"/>
      <w:bookmarkStart w:id="16" w:name="_Toc18637"/>
      <w:r>
        <w:rPr>
          <w:rFonts w:eastAsia="微软雅黑"/>
          <w:b/>
          <w:bCs/>
          <w:sz w:val="44"/>
          <w:szCs w:val="44"/>
        </w:rPr>
        <w:t>价</w:t>
      </w:r>
      <w:bookmarkEnd w:id="15"/>
      <w:bookmarkEnd w:id="16"/>
    </w:p>
    <w:p w14:paraId="19BBD711">
      <w:pPr>
        <w:pStyle w:val="19"/>
        <w:spacing w:beforeAutospacing="0" w:afterAutospacing="0" w:line="820" w:lineRule="exact"/>
        <w:ind w:right="83" w:rightChars="26" w:firstLine="0" w:firstLineChars="0"/>
        <w:jc w:val="center"/>
        <w:outlineLvl w:val="0"/>
        <w:rPr>
          <w:rFonts w:eastAsia="微软雅黑"/>
          <w:b/>
          <w:bCs/>
          <w:sz w:val="44"/>
          <w:szCs w:val="44"/>
        </w:rPr>
      </w:pPr>
      <w:bookmarkStart w:id="17" w:name="_Toc14819"/>
      <w:bookmarkStart w:id="18" w:name="_Toc22413"/>
      <w:r>
        <w:rPr>
          <w:rFonts w:eastAsia="微软雅黑"/>
          <w:b/>
          <w:bCs/>
          <w:sz w:val="44"/>
          <w:szCs w:val="44"/>
        </w:rPr>
        <w:t>报</w:t>
      </w:r>
      <w:bookmarkEnd w:id="17"/>
      <w:bookmarkEnd w:id="18"/>
    </w:p>
    <w:p w14:paraId="2E0E7512">
      <w:pPr>
        <w:pStyle w:val="19"/>
        <w:spacing w:beforeAutospacing="0" w:afterAutospacing="0" w:line="820" w:lineRule="exact"/>
        <w:ind w:right="83" w:rightChars="26" w:firstLine="0" w:firstLineChars="0"/>
        <w:jc w:val="center"/>
        <w:outlineLvl w:val="0"/>
        <w:rPr>
          <w:rFonts w:eastAsia="微软雅黑"/>
          <w:b/>
          <w:bCs/>
          <w:sz w:val="44"/>
          <w:szCs w:val="44"/>
        </w:rPr>
      </w:pPr>
      <w:bookmarkStart w:id="19" w:name="_Toc5311"/>
      <w:bookmarkStart w:id="20" w:name="_Toc26914"/>
      <w:r>
        <w:rPr>
          <w:rFonts w:eastAsia="微软雅黑"/>
          <w:b/>
          <w:bCs/>
          <w:sz w:val="44"/>
          <w:szCs w:val="44"/>
        </w:rPr>
        <w:t>告</w:t>
      </w:r>
      <w:bookmarkEnd w:id="19"/>
      <w:bookmarkEnd w:id="20"/>
    </w:p>
    <w:p w14:paraId="01E82479">
      <w:pPr>
        <w:snapToGrid w:val="0"/>
        <w:spacing w:line="600" w:lineRule="exact"/>
        <w:rPr>
          <w:rStyle w:val="66"/>
          <w:rFonts w:hint="eastAsia" w:eastAsia="仿宋_GB2312"/>
          <w:bCs/>
          <w:sz w:val="28"/>
          <w:szCs w:val="28"/>
          <w:lang w:eastAsia="zh-CN"/>
        </w:rPr>
      </w:pPr>
    </w:p>
    <w:p w14:paraId="7C27CE07">
      <w:pPr>
        <w:snapToGrid w:val="0"/>
        <w:spacing w:line="600" w:lineRule="exact"/>
        <w:rPr>
          <w:rStyle w:val="66"/>
          <w:rFonts w:hint="eastAsia" w:eastAsia="仿宋_GB2312"/>
          <w:bCs/>
          <w:sz w:val="28"/>
          <w:szCs w:val="28"/>
          <w:highlight w:val="none"/>
          <w:lang w:eastAsia="zh-CN"/>
        </w:rPr>
      </w:pPr>
      <w:r>
        <w:rPr>
          <w:rStyle w:val="66"/>
          <w:rFonts w:eastAsia="仿宋_GB2312"/>
          <w:bCs/>
          <w:sz w:val="28"/>
          <w:szCs w:val="28"/>
          <w:lang w:eastAsia="zh-CN"/>
        </w:rPr>
        <w:t>项目编号：</w:t>
      </w:r>
      <w:r>
        <w:rPr>
          <w:rStyle w:val="66"/>
          <w:rFonts w:eastAsia="仿宋_GB2312"/>
          <w:bCs/>
          <w:sz w:val="28"/>
          <w:szCs w:val="28"/>
          <w:highlight w:val="none"/>
          <w:lang w:eastAsia="zh-CN"/>
        </w:rPr>
        <w:t>金财绩评（202</w:t>
      </w:r>
      <w:r>
        <w:rPr>
          <w:rStyle w:val="66"/>
          <w:rFonts w:hint="eastAsia" w:eastAsia="仿宋_GB2312"/>
          <w:bCs/>
          <w:sz w:val="28"/>
          <w:szCs w:val="28"/>
          <w:highlight w:val="none"/>
          <w:lang w:eastAsia="zh-CN"/>
        </w:rPr>
        <w:t>5</w:t>
      </w:r>
      <w:r>
        <w:rPr>
          <w:rStyle w:val="66"/>
          <w:rFonts w:eastAsia="仿宋_GB2312"/>
          <w:bCs/>
          <w:sz w:val="28"/>
          <w:szCs w:val="28"/>
          <w:highlight w:val="none"/>
          <w:lang w:eastAsia="zh-CN"/>
        </w:rPr>
        <w:t>）0</w:t>
      </w:r>
      <w:r>
        <w:rPr>
          <w:rStyle w:val="66"/>
          <w:rFonts w:hint="eastAsia" w:eastAsia="仿宋_GB2312"/>
          <w:bCs/>
          <w:sz w:val="28"/>
          <w:szCs w:val="28"/>
          <w:highlight w:val="none"/>
          <w:lang w:eastAsia="zh-CN"/>
        </w:rPr>
        <w:t>4</w:t>
      </w:r>
      <w:r>
        <w:rPr>
          <w:rStyle w:val="66"/>
          <w:rFonts w:eastAsia="仿宋_GB2312"/>
          <w:bCs/>
          <w:sz w:val="28"/>
          <w:szCs w:val="28"/>
          <w:highlight w:val="none"/>
          <w:lang w:eastAsia="zh-CN"/>
        </w:rPr>
        <w:t>号</w:t>
      </w:r>
    </w:p>
    <w:p w14:paraId="1E935BD9">
      <w:pPr>
        <w:snapToGrid w:val="0"/>
        <w:spacing w:line="600" w:lineRule="exact"/>
        <w:rPr>
          <w:rStyle w:val="66"/>
          <w:rFonts w:hint="eastAsia" w:eastAsia="仿宋_GB2312"/>
          <w:bCs/>
          <w:sz w:val="28"/>
          <w:szCs w:val="28"/>
          <w:lang w:eastAsia="zh-CN"/>
        </w:rPr>
      </w:pPr>
      <w:r>
        <w:rPr>
          <w:rStyle w:val="66"/>
          <w:rFonts w:eastAsia="仿宋_GB2312"/>
          <w:bCs/>
          <w:sz w:val="28"/>
          <w:szCs w:val="28"/>
          <w:lang w:eastAsia="zh-CN"/>
        </w:rPr>
        <w:t>主管部门：</w:t>
      </w:r>
      <w:r>
        <w:rPr>
          <w:rStyle w:val="66"/>
          <w:rFonts w:hint="eastAsia" w:eastAsia="仿宋_GB2312"/>
          <w:bCs/>
          <w:sz w:val="28"/>
          <w:szCs w:val="28"/>
          <w:lang w:eastAsia="zh-CN"/>
        </w:rPr>
        <w:t>乐山市金口河区粮食和物资储备中心</w:t>
      </w:r>
    </w:p>
    <w:p w14:paraId="1D5FECC3">
      <w:pPr>
        <w:snapToGrid w:val="0"/>
        <w:spacing w:line="600" w:lineRule="exact"/>
        <w:rPr>
          <w:rStyle w:val="66"/>
          <w:rFonts w:hint="eastAsia" w:eastAsia="仿宋_GB2312"/>
          <w:bCs/>
          <w:sz w:val="28"/>
          <w:szCs w:val="28"/>
          <w:lang w:eastAsia="zh-CN"/>
        </w:rPr>
      </w:pPr>
      <w:r>
        <w:rPr>
          <w:rStyle w:val="66"/>
          <w:rFonts w:eastAsia="仿宋_GB2312"/>
          <w:bCs/>
          <w:sz w:val="28"/>
          <w:szCs w:val="28"/>
          <w:lang w:eastAsia="zh-CN"/>
        </w:rPr>
        <w:t>实施单位：</w:t>
      </w:r>
      <w:r>
        <w:rPr>
          <w:rStyle w:val="66"/>
          <w:rFonts w:hint="eastAsia" w:eastAsia="仿宋_GB2312"/>
          <w:bCs/>
          <w:sz w:val="28"/>
          <w:szCs w:val="28"/>
          <w:lang w:eastAsia="zh-CN"/>
        </w:rPr>
        <w:t>乐山市金口河区粮食和物资储备中心</w:t>
      </w:r>
    </w:p>
    <w:p w14:paraId="29941E0B">
      <w:pPr>
        <w:rPr>
          <w:rFonts w:eastAsia="微软雅黑"/>
          <w:b/>
          <w:szCs w:val="32"/>
          <w:lang w:eastAsia="zh-CN"/>
        </w:rPr>
      </w:pPr>
      <w:r>
        <w:rPr>
          <w:rStyle w:val="66"/>
          <w:rFonts w:eastAsia="仿宋_GB2312"/>
          <w:bCs/>
          <w:sz w:val="28"/>
          <w:szCs w:val="28"/>
          <w:lang w:eastAsia="zh-CN"/>
        </w:rPr>
        <w:t>评价单位：乐山市金口河区财政投资评价审核中心</w:t>
      </w:r>
    </w:p>
    <w:p w14:paraId="1C2D85B2">
      <w:pPr>
        <w:pStyle w:val="19"/>
        <w:widowControl/>
        <w:ind w:firstLine="880"/>
        <w:jc w:val="center"/>
        <w:rPr>
          <w:rFonts w:eastAsia="微软雅黑"/>
          <w:b/>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1"/>
          <w:cols w:space="720" w:num="1"/>
          <w:docGrid w:type="lines" w:linePitch="312" w:charSpace="0"/>
        </w:sectPr>
      </w:pPr>
    </w:p>
    <w:p w14:paraId="64F365BA">
      <w:pPr>
        <w:pStyle w:val="20"/>
        <w:spacing w:before="0" w:beforeLines="0" w:after="0" w:afterLines="0" w:line="780" w:lineRule="exact"/>
        <w:ind w:left="-426" w:leftChars="-221" w:right="-624" w:rightChars="-195" w:hanging="281" w:hangingChars="64"/>
        <w:outlineLvl w:val="1"/>
        <w:rPr>
          <w:rFonts w:hint="eastAsia" w:ascii="宋体" w:hAnsi="宋体" w:eastAsia="宋体" w:cs="宋体"/>
          <w:b w:val="0"/>
          <w:bCs w:val="0"/>
          <w:lang w:eastAsia="zh-CN"/>
        </w:rPr>
      </w:pPr>
      <w:bookmarkStart w:id="21" w:name="_Toc27535"/>
      <w:r>
        <w:rPr>
          <w:rFonts w:hint="eastAsia" w:ascii="宋体" w:hAnsi="宋体" w:eastAsia="宋体" w:cs="宋体"/>
          <w:b w:val="0"/>
          <w:bCs w:val="0"/>
          <w:lang w:eastAsia="zh-CN"/>
        </w:rPr>
        <w:t>乐山市金口河区粮食和物资储备中心</w:t>
      </w:r>
      <w:bookmarkEnd w:id="21"/>
    </w:p>
    <w:p w14:paraId="6ECBA90F">
      <w:pPr>
        <w:pStyle w:val="20"/>
        <w:spacing w:before="0" w:beforeLines="0" w:after="0" w:afterLines="0" w:line="780" w:lineRule="exact"/>
        <w:ind w:left="-426" w:leftChars="-221" w:right="-624" w:rightChars="-195" w:hanging="281" w:hangingChars="64"/>
        <w:outlineLvl w:val="1"/>
        <w:rPr>
          <w:rFonts w:hint="eastAsia" w:ascii="宋体" w:hAnsi="宋体" w:eastAsia="宋体" w:cs="宋体"/>
          <w:b w:val="0"/>
          <w:bCs w:val="0"/>
          <w:lang w:eastAsia="zh-CN"/>
        </w:rPr>
      </w:pPr>
      <w:bookmarkStart w:id="22" w:name="_Toc11450"/>
      <w:r>
        <w:rPr>
          <w:rFonts w:hint="eastAsia" w:ascii="宋体" w:hAnsi="宋体" w:eastAsia="宋体" w:cs="宋体"/>
          <w:b w:val="0"/>
          <w:bCs w:val="0"/>
          <w:lang w:eastAsia="zh-CN"/>
        </w:rPr>
        <w:t>储备粮油费用补贴</w:t>
      </w:r>
      <w:bookmarkEnd w:id="22"/>
    </w:p>
    <w:p w14:paraId="6818E73B">
      <w:pPr>
        <w:pStyle w:val="20"/>
        <w:spacing w:before="0" w:beforeLines="0" w:after="0" w:afterLines="0" w:line="780" w:lineRule="exact"/>
        <w:ind w:left="-426" w:leftChars="-221" w:right="-624" w:rightChars="-195" w:hanging="281" w:hangingChars="64"/>
        <w:outlineLvl w:val="1"/>
        <w:rPr>
          <w:rFonts w:hint="eastAsia" w:ascii="宋体" w:hAnsi="宋体" w:eastAsia="宋体" w:cs="宋体"/>
          <w:b w:val="0"/>
          <w:bCs w:val="0"/>
          <w:lang w:eastAsia="zh-CN"/>
        </w:rPr>
      </w:pPr>
      <w:bookmarkStart w:id="23" w:name="_Toc23933"/>
      <w:bookmarkStart w:id="24" w:name="_Toc25871"/>
      <w:r>
        <w:rPr>
          <w:rFonts w:hint="eastAsia" w:ascii="宋体" w:hAnsi="宋体" w:eastAsia="宋体" w:cs="宋体"/>
          <w:b w:val="0"/>
          <w:bCs w:val="0"/>
          <w:lang w:eastAsia="zh-CN"/>
        </w:rPr>
        <w:t>事前绩效评价结论</w:t>
      </w:r>
      <w:bookmarkEnd w:id="23"/>
      <w:bookmarkEnd w:id="24"/>
    </w:p>
    <w:p w14:paraId="10AB6601">
      <w:pPr>
        <w:pStyle w:val="2"/>
        <w:spacing w:before="0" w:beforeLines="0" w:after="0" w:afterLines="0"/>
        <w:rPr>
          <w:rFonts w:hint="eastAsia" w:ascii="仿宋" w:hAnsi="仿宋" w:eastAsia="仿宋" w:cs="仿宋"/>
          <w:b w:val="0"/>
          <w:color w:val="auto"/>
          <w:lang w:eastAsia="zh-CN"/>
        </w:rPr>
      </w:pPr>
    </w:p>
    <w:p w14:paraId="4633A607">
      <w:pPr>
        <w:ind w:firstLine="640"/>
        <w:rPr>
          <w:rFonts w:hint="eastAsia" w:ascii="仿宋" w:hAnsi="仿宋" w:eastAsia="仿宋" w:cs="仿宋"/>
          <w:color w:val="auto"/>
          <w:lang w:eastAsia="zh-CN"/>
        </w:rPr>
      </w:pPr>
      <w:r>
        <w:rPr>
          <w:rFonts w:hint="eastAsia" w:ascii="仿宋" w:hAnsi="仿宋" w:eastAsia="仿宋" w:cs="仿宋"/>
          <w:color w:val="auto"/>
          <w:lang w:eastAsia="zh-CN"/>
        </w:rPr>
        <w:t>我中心对储备粮油费用补贴事前绩效评价综合得分为9</w:t>
      </w:r>
      <w:r>
        <w:rPr>
          <w:rFonts w:hint="eastAsia" w:ascii="仿宋" w:hAnsi="仿宋" w:eastAsia="仿宋" w:cs="仿宋"/>
          <w:color w:val="auto"/>
          <w:lang w:val="en-US" w:eastAsia="zh-CN"/>
        </w:rPr>
        <w:t>7</w:t>
      </w:r>
      <w:r>
        <w:rPr>
          <w:rFonts w:hint="eastAsia" w:ascii="仿宋" w:hAnsi="仿宋" w:eastAsia="仿宋" w:cs="仿宋"/>
          <w:color w:val="auto"/>
          <w:lang w:eastAsia="zh-CN"/>
        </w:rPr>
        <w:t>分，综合绩效评估结论为</w:t>
      </w:r>
      <w:r>
        <w:rPr>
          <w:rFonts w:ascii="仿宋" w:hAnsi="仿宋" w:eastAsia="仿宋" w:cs="仿宋"/>
          <w:szCs w:val="32"/>
          <w:lang w:eastAsia="zh-CN"/>
        </w:rPr>
        <w:t>“</w:t>
      </w:r>
      <w:r>
        <w:rPr>
          <w:rFonts w:hint="eastAsia" w:ascii="仿宋" w:hAnsi="仿宋" w:eastAsia="仿宋" w:cs="仿宋"/>
          <w:b/>
          <w:bCs/>
          <w:szCs w:val="32"/>
          <w:lang w:eastAsia="zh-CN"/>
        </w:rPr>
        <w:t>建议</w:t>
      </w:r>
      <w:r>
        <w:rPr>
          <w:rFonts w:ascii="仿宋" w:hAnsi="仿宋" w:eastAsia="仿宋" w:cs="仿宋"/>
          <w:b/>
          <w:bCs/>
          <w:szCs w:val="32"/>
          <w:lang w:eastAsia="zh-CN"/>
        </w:rPr>
        <w:t>实施</w:t>
      </w:r>
      <w:r>
        <w:rPr>
          <w:rFonts w:ascii="仿宋" w:hAnsi="仿宋" w:eastAsia="仿宋" w:cs="仿宋"/>
          <w:szCs w:val="32"/>
          <w:lang w:eastAsia="zh-CN"/>
        </w:rPr>
        <w:t>”</w:t>
      </w:r>
      <w:r>
        <w:rPr>
          <w:rFonts w:hint="eastAsia" w:ascii="仿宋" w:hAnsi="仿宋" w:eastAsia="仿宋" w:cs="仿宋"/>
          <w:szCs w:val="32"/>
          <w:lang w:eastAsia="zh-CN"/>
        </w:rPr>
        <w:t>。</w:t>
      </w:r>
      <w:r>
        <w:rPr>
          <w:rFonts w:hint="eastAsia" w:ascii="仿宋" w:hAnsi="仿宋" w:eastAsia="仿宋" w:cs="仿宋"/>
          <w:color w:val="auto"/>
          <w:lang w:eastAsia="zh-CN"/>
        </w:rPr>
        <w:t>（具体评分情况见三、事前绩效评估指标体系及得分情况）</w:t>
      </w:r>
    </w:p>
    <w:p w14:paraId="2B51AC70">
      <w:pPr>
        <w:tabs>
          <w:tab w:val="left" w:pos="1336"/>
        </w:tabs>
        <w:spacing w:line="480" w:lineRule="exact"/>
        <w:ind w:firstLine="0" w:firstLineChars="0"/>
        <w:jc w:val="center"/>
        <w:outlineLvl w:val="0"/>
        <w:rPr>
          <w:rFonts w:hint="eastAsia" w:ascii="仿宋" w:hAnsi="仿宋" w:eastAsia="仿宋" w:cs="仿宋"/>
          <w:szCs w:val="32"/>
          <w:lang w:eastAsia="zh-CN"/>
        </w:rPr>
      </w:pPr>
      <w:bookmarkStart w:id="25" w:name="_Toc2305"/>
      <w:r>
        <w:rPr>
          <w:rFonts w:hint="eastAsia" w:ascii="仿宋" w:hAnsi="仿宋" w:eastAsia="仿宋" w:cs="仿宋"/>
          <w:color w:val="auto"/>
          <w:lang w:eastAsia="zh-CN"/>
        </w:rPr>
        <w:t>储备粮油费用补贴</w:t>
      </w:r>
      <w:bookmarkEnd w:id="25"/>
    </w:p>
    <w:p w14:paraId="210E2583">
      <w:pPr>
        <w:tabs>
          <w:tab w:val="left" w:pos="1336"/>
        </w:tabs>
        <w:spacing w:line="480" w:lineRule="exact"/>
        <w:ind w:firstLine="0" w:firstLineChars="0"/>
        <w:jc w:val="center"/>
        <w:outlineLvl w:val="0"/>
        <w:rPr>
          <w:rFonts w:hint="eastAsia" w:ascii="仿宋" w:hAnsi="仿宋" w:eastAsia="仿宋" w:cs="仿宋"/>
          <w:szCs w:val="32"/>
          <w:lang w:eastAsia="zh-CN"/>
        </w:rPr>
      </w:pPr>
      <w:bookmarkStart w:id="26" w:name="_Toc4904"/>
      <w:bookmarkStart w:id="27" w:name="_Toc13580"/>
      <w:bookmarkStart w:id="28" w:name="_Toc25829"/>
      <w:bookmarkStart w:id="29" w:name="_Toc29428"/>
      <w:bookmarkStart w:id="30" w:name="_Toc13519"/>
      <w:r>
        <w:rPr>
          <w:rFonts w:hint="eastAsia" w:ascii="仿宋" w:hAnsi="仿宋" w:eastAsia="仿宋" w:cs="仿宋"/>
          <w:color w:val="auto"/>
          <w:lang w:eastAsia="zh-CN"/>
        </w:rPr>
        <w:t>事前绩效评价结论一览</w:t>
      </w:r>
      <w:r>
        <w:rPr>
          <w:rFonts w:hint="eastAsia" w:ascii="仿宋" w:hAnsi="仿宋" w:eastAsia="仿宋" w:cs="仿宋"/>
          <w:szCs w:val="32"/>
          <w:lang w:eastAsia="zh-CN"/>
        </w:rPr>
        <w:t>表</w:t>
      </w:r>
      <w:bookmarkEnd w:id="26"/>
      <w:bookmarkEnd w:id="27"/>
      <w:bookmarkEnd w:id="28"/>
      <w:bookmarkEnd w:id="29"/>
      <w:bookmarkEnd w:id="30"/>
    </w:p>
    <w:tbl>
      <w:tblPr>
        <w:tblStyle w:val="21"/>
        <w:tblW w:w="4923" w:type="pct"/>
        <w:tblInd w:w="0" w:type="dxa"/>
        <w:tblLayout w:type="fixed"/>
        <w:tblCellMar>
          <w:top w:w="0" w:type="dxa"/>
          <w:left w:w="108" w:type="dxa"/>
          <w:bottom w:w="0" w:type="dxa"/>
          <w:right w:w="108" w:type="dxa"/>
        </w:tblCellMar>
      </w:tblPr>
      <w:tblGrid>
        <w:gridCol w:w="4860"/>
        <w:gridCol w:w="1836"/>
        <w:gridCol w:w="1695"/>
      </w:tblGrid>
      <w:tr w14:paraId="15C4D9A7">
        <w:tblPrEx>
          <w:tblCellMar>
            <w:top w:w="0" w:type="dxa"/>
            <w:left w:w="108" w:type="dxa"/>
            <w:bottom w:w="0" w:type="dxa"/>
            <w:right w:w="108" w:type="dxa"/>
          </w:tblCellMar>
        </w:tblPrEx>
        <w:trPr>
          <w:trHeight w:val="624" w:hRule="exact"/>
        </w:trPr>
        <w:tc>
          <w:tcPr>
            <w:tcW w:w="2895"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14:paraId="1CC12226">
            <w:pPr>
              <w:widowControl/>
              <w:ind w:firstLine="0" w:firstLineChars="0"/>
              <w:jc w:val="center"/>
              <w:textAlignment w:val="bottom"/>
              <w:rPr>
                <w:rFonts w:hint="eastAsia" w:ascii="仿宋" w:hAnsi="仿宋" w:eastAsia="仿宋" w:cs="仿宋"/>
                <w:b/>
                <w:sz w:val="28"/>
                <w:szCs w:val="28"/>
              </w:rPr>
            </w:pPr>
            <w:r>
              <w:rPr>
                <w:rFonts w:hint="eastAsia" w:ascii="仿宋" w:hAnsi="仿宋" w:eastAsia="仿宋" w:cs="仿宋"/>
                <w:b/>
                <w:bCs/>
                <w:sz w:val="28"/>
                <w:szCs w:val="28"/>
                <w:lang w:eastAsia="zh-CN" w:bidi="ar"/>
              </w:rPr>
              <w:t>评价内容</w:t>
            </w:r>
          </w:p>
        </w:tc>
        <w:tc>
          <w:tcPr>
            <w:tcW w:w="1094" w:type="pct"/>
            <w:tcBorders>
              <w:top w:val="single" w:color="auto" w:sz="4" w:space="0"/>
              <w:left w:val="nil"/>
              <w:bottom w:val="single" w:color="auto" w:sz="4" w:space="0"/>
              <w:right w:val="single" w:color="auto" w:sz="4" w:space="0"/>
            </w:tcBorders>
            <w:shd w:val="clear" w:color="auto" w:fill="BEBEBE" w:themeFill="background1" w:themeFillShade="BF"/>
            <w:noWrap/>
            <w:vAlign w:val="center"/>
          </w:tcPr>
          <w:p w14:paraId="2C604A2D">
            <w:pPr>
              <w:widowControl/>
              <w:ind w:firstLine="0" w:firstLineChars="0"/>
              <w:jc w:val="center"/>
              <w:textAlignment w:val="bottom"/>
              <w:rPr>
                <w:rFonts w:hint="eastAsia" w:ascii="仿宋" w:hAnsi="仿宋" w:eastAsia="仿宋" w:cs="仿宋"/>
                <w:b/>
                <w:sz w:val="28"/>
                <w:szCs w:val="28"/>
              </w:rPr>
            </w:pPr>
            <w:r>
              <w:rPr>
                <w:rFonts w:hint="eastAsia" w:ascii="仿宋" w:hAnsi="仿宋" w:eastAsia="仿宋" w:cs="仿宋"/>
                <w:b/>
                <w:bCs/>
                <w:sz w:val="28"/>
                <w:szCs w:val="28"/>
                <w:lang w:eastAsia="zh-CN" w:bidi="ar"/>
              </w:rPr>
              <w:t>分值</w:t>
            </w:r>
          </w:p>
        </w:tc>
        <w:tc>
          <w:tcPr>
            <w:tcW w:w="1010" w:type="pct"/>
            <w:tcBorders>
              <w:top w:val="single" w:color="auto" w:sz="4" w:space="0"/>
              <w:left w:val="nil"/>
              <w:bottom w:val="single" w:color="auto" w:sz="4" w:space="0"/>
              <w:right w:val="single" w:color="auto" w:sz="4" w:space="0"/>
            </w:tcBorders>
            <w:shd w:val="clear" w:color="auto" w:fill="BEBEBE" w:themeFill="background1" w:themeFillShade="BF"/>
            <w:noWrap/>
            <w:vAlign w:val="center"/>
          </w:tcPr>
          <w:p w14:paraId="72B6AE38">
            <w:pPr>
              <w:widowControl/>
              <w:ind w:firstLine="0" w:firstLineChars="0"/>
              <w:jc w:val="center"/>
              <w:textAlignment w:val="bottom"/>
              <w:rPr>
                <w:rFonts w:hint="eastAsia" w:ascii="仿宋" w:hAnsi="仿宋" w:eastAsia="仿宋" w:cs="仿宋"/>
                <w:b/>
                <w:sz w:val="28"/>
                <w:szCs w:val="28"/>
              </w:rPr>
            </w:pPr>
            <w:r>
              <w:rPr>
                <w:rFonts w:hint="eastAsia" w:ascii="仿宋" w:hAnsi="仿宋" w:eastAsia="仿宋" w:cs="仿宋"/>
                <w:b/>
                <w:bCs/>
                <w:sz w:val="28"/>
                <w:szCs w:val="28"/>
                <w:lang w:eastAsia="zh-CN" w:bidi="ar"/>
              </w:rPr>
              <w:t>评价得分</w:t>
            </w:r>
          </w:p>
        </w:tc>
      </w:tr>
      <w:tr w14:paraId="43E66B7D">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14:paraId="759FF3E1">
            <w:pPr>
              <w:widowControl/>
              <w:ind w:firstLine="0" w:firstLineChars="0"/>
              <w:jc w:val="center"/>
              <w:textAlignment w:val="bottom"/>
              <w:rPr>
                <w:rFonts w:hint="eastAsia" w:ascii="仿宋" w:hAnsi="仿宋" w:eastAsia="仿宋" w:cs="仿宋"/>
                <w:sz w:val="28"/>
                <w:szCs w:val="28"/>
                <w:lang w:eastAsia="zh-CN"/>
              </w:rPr>
            </w:pPr>
            <w:r>
              <w:rPr>
                <w:rFonts w:hint="eastAsia" w:ascii="仿宋" w:hAnsi="仿宋" w:eastAsia="仿宋" w:cs="仿宋"/>
                <w:bCs/>
                <w:snapToGrid w:val="0"/>
                <w:sz w:val="28"/>
                <w:szCs w:val="28"/>
                <w:lang w:eastAsia="zh-CN"/>
              </w:rPr>
              <w:t>项目实施的必要性、公益性、收益性</w:t>
            </w:r>
          </w:p>
        </w:tc>
        <w:tc>
          <w:tcPr>
            <w:tcW w:w="1094" w:type="pct"/>
            <w:tcBorders>
              <w:top w:val="nil"/>
              <w:left w:val="nil"/>
              <w:bottom w:val="single" w:color="auto" w:sz="4" w:space="0"/>
              <w:right w:val="single" w:color="auto" w:sz="4" w:space="0"/>
            </w:tcBorders>
            <w:shd w:val="clear" w:color="auto" w:fill="auto"/>
            <w:noWrap/>
            <w:vAlign w:val="center"/>
          </w:tcPr>
          <w:p w14:paraId="77679058">
            <w:pPr>
              <w:widowControl/>
              <w:ind w:firstLine="0" w:firstLineChars="0"/>
              <w:jc w:val="center"/>
              <w:textAlignment w:val="bottom"/>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16</w:t>
            </w:r>
          </w:p>
        </w:tc>
        <w:tc>
          <w:tcPr>
            <w:tcW w:w="1010" w:type="pct"/>
            <w:tcBorders>
              <w:top w:val="nil"/>
              <w:left w:val="nil"/>
              <w:bottom w:val="single" w:color="auto" w:sz="4" w:space="0"/>
              <w:right w:val="single" w:color="auto" w:sz="4" w:space="0"/>
            </w:tcBorders>
            <w:shd w:val="clear" w:color="auto" w:fill="auto"/>
            <w:noWrap/>
            <w:vAlign w:val="center"/>
          </w:tcPr>
          <w:p w14:paraId="4EF3492E">
            <w:pPr>
              <w:widowControl/>
              <w:ind w:firstLine="0" w:firstLineChars="0"/>
              <w:jc w:val="center"/>
              <w:textAlignment w:val="bottom"/>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16</w:t>
            </w:r>
          </w:p>
        </w:tc>
      </w:tr>
      <w:tr w14:paraId="44EEF03D">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14:paraId="1E240B7C">
            <w:pPr>
              <w:widowControl/>
              <w:ind w:firstLine="0" w:firstLineChars="0"/>
              <w:jc w:val="center"/>
              <w:textAlignment w:val="bottom"/>
              <w:rPr>
                <w:rFonts w:hint="eastAsia" w:ascii="仿宋" w:hAnsi="仿宋" w:eastAsia="仿宋" w:cs="仿宋"/>
                <w:sz w:val="28"/>
                <w:szCs w:val="28"/>
                <w:lang w:eastAsia="zh-CN"/>
              </w:rPr>
            </w:pPr>
            <w:r>
              <w:rPr>
                <w:rFonts w:hint="eastAsia" w:ascii="仿宋" w:hAnsi="仿宋" w:eastAsia="仿宋" w:cs="仿宋"/>
                <w:bCs/>
                <w:snapToGrid w:val="0"/>
                <w:sz w:val="28"/>
                <w:szCs w:val="28"/>
                <w:lang w:eastAsia="zh-CN"/>
              </w:rPr>
              <w:t>项目</w:t>
            </w:r>
            <w:r>
              <w:rPr>
                <w:rFonts w:hint="eastAsia" w:ascii="仿宋" w:hAnsi="仿宋" w:eastAsia="仿宋" w:cs="仿宋"/>
                <w:bCs/>
                <w:snapToGrid w:val="0"/>
                <w:sz w:val="28"/>
                <w:szCs w:val="28"/>
                <w:lang w:val="en-US" w:eastAsia="zh-CN"/>
              </w:rPr>
              <w:t>实施合规性</w:t>
            </w:r>
            <w:r>
              <w:rPr>
                <w:rFonts w:hint="eastAsia" w:ascii="仿宋" w:hAnsi="仿宋" w:eastAsia="仿宋" w:cs="仿宋"/>
                <w:bCs/>
                <w:snapToGrid w:val="0"/>
                <w:sz w:val="28"/>
                <w:szCs w:val="28"/>
                <w:lang w:eastAsia="zh-CN"/>
              </w:rPr>
              <w:t>与项目成熟度</w:t>
            </w:r>
          </w:p>
        </w:tc>
        <w:tc>
          <w:tcPr>
            <w:tcW w:w="1094" w:type="pct"/>
            <w:tcBorders>
              <w:top w:val="nil"/>
              <w:left w:val="nil"/>
              <w:bottom w:val="single" w:color="auto" w:sz="4" w:space="0"/>
              <w:right w:val="single" w:color="auto" w:sz="4" w:space="0"/>
            </w:tcBorders>
            <w:shd w:val="clear" w:color="auto" w:fill="auto"/>
            <w:noWrap/>
            <w:vAlign w:val="center"/>
          </w:tcPr>
          <w:p w14:paraId="583CD256">
            <w:pPr>
              <w:widowControl/>
              <w:ind w:firstLine="0" w:firstLineChars="0"/>
              <w:jc w:val="center"/>
              <w:textAlignment w:val="bottom"/>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18</w:t>
            </w:r>
          </w:p>
        </w:tc>
        <w:tc>
          <w:tcPr>
            <w:tcW w:w="1010" w:type="pct"/>
            <w:tcBorders>
              <w:top w:val="nil"/>
              <w:left w:val="nil"/>
              <w:bottom w:val="single" w:color="auto" w:sz="4" w:space="0"/>
              <w:right w:val="single" w:color="auto" w:sz="4" w:space="0"/>
            </w:tcBorders>
            <w:shd w:val="clear" w:color="auto" w:fill="auto"/>
            <w:noWrap/>
            <w:vAlign w:val="center"/>
          </w:tcPr>
          <w:p w14:paraId="57FF61BE">
            <w:pPr>
              <w:widowControl/>
              <w:ind w:firstLine="0" w:firstLineChars="0"/>
              <w:jc w:val="center"/>
              <w:textAlignment w:val="bottom"/>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18</w:t>
            </w:r>
          </w:p>
        </w:tc>
      </w:tr>
      <w:tr w14:paraId="4E2D34C9">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14:paraId="03C10871">
            <w:pPr>
              <w:widowControl/>
              <w:ind w:firstLine="0" w:firstLineChars="0"/>
              <w:jc w:val="center"/>
              <w:textAlignment w:val="bottom"/>
              <w:rPr>
                <w:rFonts w:hint="eastAsia" w:ascii="仿宋" w:hAnsi="仿宋" w:eastAsia="仿宋" w:cs="仿宋"/>
                <w:sz w:val="28"/>
                <w:szCs w:val="28"/>
                <w:lang w:eastAsia="zh-CN"/>
              </w:rPr>
            </w:pPr>
            <w:r>
              <w:rPr>
                <w:rFonts w:hint="eastAsia" w:ascii="仿宋" w:hAnsi="仿宋" w:eastAsia="仿宋" w:cs="仿宋"/>
                <w:bCs/>
                <w:snapToGrid w:val="0"/>
                <w:sz w:val="28"/>
                <w:szCs w:val="28"/>
                <w:lang w:eastAsia="zh-CN"/>
              </w:rPr>
              <w:t>项目资金来源、</w:t>
            </w:r>
            <w:r>
              <w:rPr>
                <w:rFonts w:hint="eastAsia" w:ascii="仿宋" w:hAnsi="仿宋" w:eastAsia="仿宋" w:cs="仿宋"/>
                <w:bCs/>
                <w:snapToGrid w:val="0"/>
                <w:sz w:val="28"/>
                <w:szCs w:val="28"/>
                <w:lang w:val="en-US" w:eastAsia="zh-CN"/>
              </w:rPr>
              <w:t>资金</w:t>
            </w:r>
            <w:r>
              <w:rPr>
                <w:rFonts w:hint="eastAsia" w:ascii="仿宋" w:hAnsi="仿宋" w:eastAsia="仿宋" w:cs="仿宋"/>
                <w:bCs/>
                <w:snapToGrid w:val="0"/>
                <w:sz w:val="28"/>
                <w:szCs w:val="28"/>
                <w:lang w:eastAsia="zh-CN"/>
              </w:rPr>
              <w:t>到位可行性</w:t>
            </w:r>
          </w:p>
        </w:tc>
        <w:tc>
          <w:tcPr>
            <w:tcW w:w="1094" w:type="pct"/>
            <w:tcBorders>
              <w:top w:val="nil"/>
              <w:left w:val="nil"/>
              <w:bottom w:val="single" w:color="auto" w:sz="4" w:space="0"/>
              <w:right w:val="single" w:color="auto" w:sz="4" w:space="0"/>
            </w:tcBorders>
            <w:shd w:val="clear" w:color="auto" w:fill="auto"/>
            <w:noWrap/>
            <w:vAlign w:val="center"/>
          </w:tcPr>
          <w:p w14:paraId="754B96A7">
            <w:pPr>
              <w:widowControl/>
              <w:ind w:firstLine="0" w:firstLineChars="0"/>
              <w:jc w:val="center"/>
              <w:textAlignment w:val="bottom"/>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12</w:t>
            </w:r>
          </w:p>
        </w:tc>
        <w:tc>
          <w:tcPr>
            <w:tcW w:w="1010" w:type="pct"/>
            <w:tcBorders>
              <w:top w:val="nil"/>
              <w:left w:val="nil"/>
              <w:bottom w:val="single" w:color="auto" w:sz="4" w:space="0"/>
              <w:right w:val="single" w:color="auto" w:sz="4" w:space="0"/>
            </w:tcBorders>
            <w:shd w:val="clear" w:color="auto" w:fill="auto"/>
            <w:noWrap/>
            <w:vAlign w:val="center"/>
          </w:tcPr>
          <w:p w14:paraId="69DAEA2F">
            <w:pPr>
              <w:widowControl/>
              <w:ind w:firstLine="0" w:firstLineChars="0"/>
              <w:jc w:val="center"/>
              <w:textAlignment w:val="bottom"/>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12</w:t>
            </w:r>
          </w:p>
        </w:tc>
      </w:tr>
      <w:tr w14:paraId="0272EC5C">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14:paraId="151F4DE3">
            <w:pPr>
              <w:widowControl/>
              <w:ind w:firstLine="0" w:firstLineChars="0"/>
              <w:jc w:val="center"/>
              <w:textAlignment w:val="bottom"/>
              <w:rPr>
                <w:rFonts w:hint="eastAsia" w:ascii="仿宋" w:hAnsi="仿宋" w:eastAsia="仿宋" w:cs="仿宋"/>
                <w:sz w:val="28"/>
                <w:szCs w:val="28"/>
                <w:lang w:eastAsia="zh-CN"/>
              </w:rPr>
            </w:pPr>
            <w:r>
              <w:rPr>
                <w:rFonts w:hint="eastAsia" w:ascii="仿宋" w:hAnsi="仿宋" w:eastAsia="仿宋" w:cs="仿宋"/>
                <w:bCs/>
                <w:snapToGrid w:val="0"/>
                <w:sz w:val="28"/>
                <w:szCs w:val="28"/>
                <w:lang w:val="en-US" w:eastAsia="zh-CN"/>
              </w:rPr>
              <w:t>资金使用</w:t>
            </w:r>
            <w:r>
              <w:rPr>
                <w:rFonts w:hint="eastAsia" w:ascii="仿宋" w:hAnsi="仿宋" w:eastAsia="仿宋" w:cs="仿宋"/>
                <w:bCs/>
                <w:snapToGrid w:val="0"/>
                <w:sz w:val="28"/>
                <w:szCs w:val="28"/>
                <w:lang w:eastAsia="zh-CN"/>
              </w:rPr>
              <w:t>计划合理性、资金到位及时性</w:t>
            </w:r>
          </w:p>
        </w:tc>
        <w:tc>
          <w:tcPr>
            <w:tcW w:w="1094" w:type="pct"/>
            <w:tcBorders>
              <w:top w:val="nil"/>
              <w:left w:val="nil"/>
              <w:bottom w:val="single" w:color="auto" w:sz="4" w:space="0"/>
              <w:right w:val="single" w:color="auto" w:sz="4" w:space="0"/>
            </w:tcBorders>
            <w:shd w:val="clear" w:color="auto" w:fill="auto"/>
            <w:noWrap/>
            <w:vAlign w:val="center"/>
          </w:tcPr>
          <w:p w14:paraId="6F101A99">
            <w:pPr>
              <w:widowControl/>
              <w:ind w:firstLine="0" w:firstLineChars="0"/>
              <w:jc w:val="center"/>
              <w:textAlignment w:val="bottom"/>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12</w:t>
            </w:r>
          </w:p>
        </w:tc>
        <w:tc>
          <w:tcPr>
            <w:tcW w:w="1010" w:type="pct"/>
            <w:tcBorders>
              <w:top w:val="nil"/>
              <w:left w:val="nil"/>
              <w:bottom w:val="single" w:color="auto" w:sz="4" w:space="0"/>
              <w:right w:val="single" w:color="auto" w:sz="4" w:space="0"/>
            </w:tcBorders>
            <w:shd w:val="clear" w:color="auto" w:fill="auto"/>
            <w:noWrap/>
            <w:vAlign w:val="center"/>
          </w:tcPr>
          <w:p w14:paraId="06860BB7">
            <w:pPr>
              <w:widowControl/>
              <w:ind w:firstLine="0" w:firstLineChars="0"/>
              <w:jc w:val="center"/>
              <w:textAlignment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9</w:t>
            </w:r>
          </w:p>
        </w:tc>
      </w:tr>
      <w:tr w14:paraId="536C7E7E">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14:paraId="026353C0">
            <w:pPr>
              <w:widowControl/>
              <w:ind w:firstLine="0" w:firstLineChars="0"/>
              <w:jc w:val="center"/>
              <w:textAlignment w:val="bottom"/>
              <w:rPr>
                <w:rFonts w:hint="eastAsia" w:ascii="仿宋" w:hAnsi="仿宋" w:eastAsia="仿宋" w:cs="仿宋"/>
                <w:sz w:val="28"/>
                <w:szCs w:val="28"/>
                <w:lang w:eastAsia="zh-CN" w:bidi="ar"/>
              </w:rPr>
            </w:pPr>
            <w:r>
              <w:rPr>
                <w:rFonts w:hint="eastAsia" w:ascii="仿宋" w:hAnsi="仿宋" w:eastAsia="仿宋" w:cs="仿宋"/>
                <w:bCs/>
                <w:snapToGrid w:val="0"/>
                <w:sz w:val="28"/>
                <w:szCs w:val="28"/>
                <w:lang w:eastAsia="zh-CN"/>
              </w:rPr>
              <w:t>项目绩效目标明确性、合理性</w:t>
            </w:r>
          </w:p>
        </w:tc>
        <w:tc>
          <w:tcPr>
            <w:tcW w:w="1094" w:type="pct"/>
            <w:tcBorders>
              <w:top w:val="nil"/>
              <w:left w:val="nil"/>
              <w:bottom w:val="single" w:color="auto" w:sz="4" w:space="0"/>
              <w:right w:val="single" w:color="auto" w:sz="4" w:space="0"/>
            </w:tcBorders>
            <w:shd w:val="clear" w:color="auto" w:fill="auto"/>
            <w:noWrap/>
            <w:vAlign w:val="center"/>
          </w:tcPr>
          <w:p w14:paraId="0305A451">
            <w:pPr>
              <w:widowControl/>
              <w:ind w:firstLine="0" w:firstLineChars="0"/>
              <w:jc w:val="center"/>
              <w:textAlignment w:val="bottom"/>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13</w:t>
            </w:r>
          </w:p>
        </w:tc>
        <w:tc>
          <w:tcPr>
            <w:tcW w:w="1010" w:type="pct"/>
            <w:tcBorders>
              <w:top w:val="nil"/>
              <w:left w:val="nil"/>
              <w:bottom w:val="single" w:color="auto" w:sz="4" w:space="0"/>
              <w:right w:val="single" w:color="auto" w:sz="4" w:space="0"/>
            </w:tcBorders>
            <w:shd w:val="clear" w:color="auto" w:fill="auto"/>
            <w:noWrap/>
            <w:vAlign w:val="center"/>
          </w:tcPr>
          <w:p w14:paraId="5EBC5ACE">
            <w:pPr>
              <w:widowControl/>
              <w:ind w:firstLine="0" w:firstLineChars="0"/>
              <w:jc w:val="center"/>
              <w:textAlignment w:val="center"/>
              <w:rPr>
                <w:rFonts w:hint="eastAsia" w:ascii="仿宋" w:hAnsi="仿宋" w:eastAsia="仿宋" w:cs="仿宋"/>
                <w:color w:val="auto"/>
                <w:sz w:val="28"/>
                <w:szCs w:val="28"/>
                <w:lang w:eastAsia="zh-CN" w:bidi="ar"/>
              </w:rPr>
            </w:pPr>
            <w:r>
              <w:rPr>
                <w:rFonts w:hint="eastAsia" w:ascii="仿宋" w:hAnsi="仿宋" w:eastAsia="仿宋" w:cs="仿宋"/>
                <w:color w:val="auto"/>
                <w:sz w:val="28"/>
                <w:szCs w:val="28"/>
                <w:lang w:eastAsia="zh-CN" w:bidi="ar"/>
              </w:rPr>
              <w:t>13</w:t>
            </w:r>
          </w:p>
        </w:tc>
      </w:tr>
      <w:tr w14:paraId="48467045">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14:paraId="2B4A531A">
            <w:pPr>
              <w:widowControl/>
              <w:ind w:firstLine="0" w:firstLineChars="0"/>
              <w:jc w:val="center"/>
              <w:textAlignment w:val="bottom"/>
              <w:rPr>
                <w:rFonts w:hint="eastAsia" w:ascii="仿宋" w:hAnsi="仿宋" w:eastAsia="仿宋" w:cs="仿宋"/>
                <w:sz w:val="28"/>
                <w:szCs w:val="28"/>
                <w:lang w:eastAsia="zh-CN" w:bidi="ar"/>
              </w:rPr>
            </w:pPr>
            <w:r>
              <w:rPr>
                <w:rFonts w:hint="eastAsia" w:ascii="仿宋" w:hAnsi="仿宋" w:eastAsia="仿宋" w:cs="仿宋"/>
                <w:bCs/>
                <w:snapToGrid w:val="0"/>
                <w:sz w:val="28"/>
                <w:szCs w:val="28"/>
                <w:lang w:eastAsia="zh-CN"/>
              </w:rPr>
              <w:t>项目</w:t>
            </w:r>
            <w:r>
              <w:rPr>
                <w:rFonts w:hint="eastAsia" w:ascii="仿宋" w:hAnsi="仿宋" w:eastAsia="仿宋" w:cs="仿宋"/>
                <w:bCs/>
                <w:snapToGrid w:val="0"/>
                <w:sz w:val="28"/>
                <w:szCs w:val="28"/>
                <w:lang w:val="en-US" w:eastAsia="zh-CN"/>
              </w:rPr>
              <w:t>管理办法执行</w:t>
            </w:r>
            <w:r>
              <w:rPr>
                <w:rFonts w:hint="eastAsia" w:ascii="仿宋" w:hAnsi="仿宋" w:eastAsia="仿宋" w:cs="仿宋"/>
                <w:bCs/>
                <w:snapToGrid w:val="0"/>
                <w:sz w:val="28"/>
                <w:szCs w:val="28"/>
                <w:lang w:eastAsia="zh-CN"/>
              </w:rPr>
              <w:t>的有效性</w:t>
            </w:r>
          </w:p>
        </w:tc>
        <w:tc>
          <w:tcPr>
            <w:tcW w:w="1094" w:type="pct"/>
            <w:tcBorders>
              <w:top w:val="nil"/>
              <w:left w:val="nil"/>
              <w:bottom w:val="single" w:color="auto" w:sz="4" w:space="0"/>
              <w:right w:val="single" w:color="auto" w:sz="4" w:space="0"/>
            </w:tcBorders>
            <w:shd w:val="clear" w:color="auto" w:fill="auto"/>
            <w:noWrap/>
            <w:vAlign w:val="center"/>
          </w:tcPr>
          <w:p w14:paraId="3604944E">
            <w:pPr>
              <w:widowControl/>
              <w:ind w:firstLine="0" w:firstLineChars="0"/>
              <w:jc w:val="center"/>
              <w:textAlignment w:val="bottom"/>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8</w:t>
            </w:r>
          </w:p>
        </w:tc>
        <w:tc>
          <w:tcPr>
            <w:tcW w:w="1010" w:type="pct"/>
            <w:tcBorders>
              <w:top w:val="nil"/>
              <w:left w:val="nil"/>
              <w:bottom w:val="single" w:color="auto" w:sz="4" w:space="0"/>
              <w:right w:val="single" w:color="auto" w:sz="4" w:space="0"/>
            </w:tcBorders>
            <w:shd w:val="clear" w:color="auto" w:fill="auto"/>
            <w:noWrap/>
            <w:vAlign w:val="center"/>
          </w:tcPr>
          <w:p w14:paraId="2624A840">
            <w:pPr>
              <w:widowControl/>
              <w:ind w:firstLine="0" w:firstLineChars="0"/>
              <w:jc w:val="center"/>
              <w:textAlignment w:val="center"/>
              <w:rPr>
                <w:rFonts w:hint="eastAsia" w:ascii="仿宋" w:hAnsi="仿宋" w:eastAsia="仿宋" w:cs="仿宋"/>
                <w:color w:val="auto"/>
                <w:sz w:val="28"/>
                <w:szCs w:val="28"/>
                <w:lang w:eastAsia="zh-CN" w:bidi="ar"/>
              </w:rPr>
            </w:pPr>
            <w:r>
              <w:rPr>
                <w:rFonts w:hint="eastAsia" w:ascii="仿宋" w:hAnsi="仿宋" w:eastAsia="仿宋" w:cs="仿宋"/>
                <w:color w:val="auto"/>
                <w:sz w:val="28"/>
                <w:szCs w:val="28"/>
                <w:lang w:eastAsia="zh-CN" w:bidi="ar"/>
              </w:rPr>
              <w:t>8</w:t>
            </w:r>
          </w:p>
        </w:tc>
      </w:tr>
      <w:tr w14:paraId="5200D935">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14:paraId="27E81E02">
            <w:pPr>
              <w:widowControl/>
              <w:ind w:firstLine="0" w:firstLineChars="0"/>
              <w:jc w:val="center"/>
              <w:textAlignment w:val="bottom"/>
              <w:rPr>
                <w:rFonts w:hint="eastAsia" w:ascii="仿宋" w:hAnsi="仿宋" w:eastAsia="仿宋" w:cs="仿宋"/>
                <w:sz w:val="28"/>
                <w:szCs w:val="28"/>
                <w:lang w:eastAsia="zh-CN" w:bidi="ar"/>
              </w:rPr>
            </w:pPr>
            <w:r>
              <w:rPr>
                <w:rFonts w:hint="eastAsia" w:ascii="仿宋" w:hAnsi="仿宋" w:eastAsia="仿宋" w:cs="仿宋"/>
                <w:bCs/>
                <w:snapToGrid w:val="0"/>
                <w:sz w:val="28"/>
                <w:szCs w:val="28"/>
                <w:lang w:eastAsia="zh-CN"/>
              </w:rPr>
              <w:t>项目实施成果合格性</w:t>
            </w:r>
          </w:p>
        </w:tc>
        <w:tc>
          <w:tcPr>
            <w:tcW w:w="1094" w:type="pct"/>
            <w:tcBorders>
              <w:top w:val="nil"/>
              <w:left w:val="nil"/>
              <w:bottom w:val="single" w:color="auto" w:sz="4" w:space="0"/>
              <w:right w:val="single" w:color="auto" w:sz="4" w:space="0"/>
            </w:tcBorders>
            <w:shd w:val="clear" w:color="auto" w:fill="auto"/>
            <w:noWrap/>
            <w:vAlign w:val="center"/>
          </w:tcPr>
          <w:p w14:paraId="42CA8CDB">
            <w:pPr>
              <w:widowControl/>
              <w:ind w:firstLine="0" w:firstLineChars="0"/>
              <w:jc w:val="center"/>
              <w:textAlignment w:val="bottom"/>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w:t>
            </w:r>
          </w:p>
        </w:tc>
        <w:tc>
          <w:tcPr>
            <w:tcW w:w="1010" w:type="pct"/>
            <w:tcBorders>
              <w:top w:val="nil"/>
              <w:left w:val="nil"/>
              <w:bottom w:val="single" w:color="auto" w:sz="4" w:space="0"/>
              <w:right w:val="single" w:color="auto" w:sz="4" w:space="0"/>
            </w:tcBorders>
            <w:shd w:val="clear" w:color="auto" w:fill="auto"/>
            <w:noWrap/>
            <w:vAlign w:val="center"/>
          </w:tcPr>
          <w:p w14:paraId="2F26E7EB">
            <w:pPr>
              <w:widowControl/>
              <w:ind w:firstLine="0" w:firstLineChars="0"/>
              <w:jc w:val="center"/>
              <w:textAlignment w:val="center"/>
              <w:rPr>
                <w:rFonts w:hint="default" w:ascii="仿宋" w:hAnsi="仿宋" w:eastAsia="仿宋" w:cs="仿宋"/>
                <w:color w:val="auto"/>
                <w:sz w:val="28"/>
                <w:szCs w:val="28"/>
                <w:lang w:val="en-US" w:eastAsia="zh-CN" w:bidi="ar"/>
              </w:rPr>
            </w:pPr>
            <w:r>
              <w:rPr>
                <w:rFonts w:hint="eastAsia" w:ascii="仿宋" w:hAnsi="仿宋" w:eastAsia="仿宋" w:cs="仿宋"/>
                <w:color w:val="auto"/>
                <w:sz w:val="28"/>
                <w:szCs w:val="28"/>
                <w:lang w:val="en-US" w:eastAsia="zh-CN" w:bidi="ar"/>
              </w:rPr>
              <w:t>12</w:t>
            </w:r>
          </w:p>
        </w:tc>
      </w:tr>
      <w:tr w14:paraId="0471A486">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14:paraId="56E1F383">
            <w:pPr>
              <w:widowControl/>
              <w:ind w:firstLine="0" w:firstLineChars="0"/>
              <w:jc w:val="center"/>
              <w:textAlignment w:val="bottom"/>
              <w:rPr>
                <w:rFonts w:hint="eastAsia" w:ascii="仿宋" w:hAnsi="仿宋" w:eastAsia="仿宋" w:cs="仿宋"/>
                <w:sz w:val="28"/>
                <w:szCs w:val="28"/>
                <w:lang w:eastAsia="zh-CN" w:bidi="ar"/>
              </w:rPr>
            </w:pPr>
            <w:r>
              <w:rPr>
                <w:rFonts w:hint="eastAsia" w:ascii="仿宋" w:hAnsi="仿宋" w:eastAsia="仿宋" w:cs="仿宋"/>
                <w:bCs/>
                <w:snapToGrid w:val="0"/>
                <w:sz w:val="28"/>
                <w:szCs w:val="28"/>
              </w:rPr>
              <w:t>项目实施的可持续性</w:t>
            </w:r>
          </w:p>
        </w:tc>
        <w:tc>
          <w:tcPr>
            <w:tcW w:w="1094" w:type="pct"/>
            <w:tcBorders>
              <w:top w:val="nil"/>
              <w:left w:val="nil"/>
              <w:bottom w:val="single" w:color="auto" w:sz="4" w:space="0"/>
              <w:right w:val="single" w:color="auto" w:sz="4" w:space="0"/>
            </w:tcBorders>
            <w:shd w:val="clear" w:color="auto" w:fill="auto"/>
            <w:noWrap/>
            <w:vAlign w:val="center"/>
          </w:tcPr>
          <w:p w14:paraId="53070C69">
            <w:pPr>
              <w:widowControl/>
              <w:ind w:firstLine="0" w:firstLineChars="0"/>
              <w:jc w:val="center"/>
              <w:textAlignment w:val="bottom"/>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9</w:t>
            </w:r>
          </w:p>
        </w:tc>
        <w:tc>
          <w:tcPr>
            <w:tcW w:w="1010" w:type="pct"/>
            <w:tcBorders>
              <w:top w:val="nil"/>
              <w:left w:val="nil"/>
              <w:bottom w:val="single" w:color="auto" w:sz="4" w:space="0"/>
              <w:right w:val="single" w:color="auto" w:sz="4" w:space="0"/>
            </w:tcBorders>
            <w:shd w:val="clear" w:color="auto" w:fill="auto"/>
            <w:noWrap/>
            <w:vAlign w:val="center"/>
          </w:tcPr>
          <w:p w14:paraId="7E8F8800">
            <w:pPr>
              <w:widowControl/>
              <w:ind w:firstLine="0" w:firstLineChars="0"/>
              <w:jc w:val="center"/>
              <w:textAlignment w:val="center"/>
              <w:rPr>
                <w:rFonts w:hint="eastAsia" w:ascii="仿宋" w:hAnsi="仿宋" w:eastAsia="仿宋" w:cs="仿宋"/>
                <w:color w:val="auto"/>
                <w:sz w:val="28"/>
                <w:szCs w:val="28"/>
                <w:lang w:eastAsia="zh-CN" w:bidi="ar"/>
              </w:rPr>
            </w:pPr>
            <w:r>
              <w:rPr>
                <w:rFonts w:hint="eastAsia" w:ascii="仿宋" w:hAnsi="仿宋" w:eastAsia="仿宋" w:cs="仿宋"/>
                <w:color w:val="auto"/>
                <w:sz w:val="28"/>
                <w:szCs w:val="28"/>
                <w:lang w:val="en-US" w:eastAsia="zh-CN" w:bidi="ar"/>
              </w:rPr>
              <w:t>9</w:t>
            </w:r>
          </w:p>
        </w:tc>
      </w:tr>
      <w:tr w14:paraId="568BFE39">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14:paraId="41B00EF1">
            <w:pPr>
              <w:widowControl/>
              <w:ind w:firstLine="0" w:firstLineChars="0"/>
              <w:jc w:val="center"/>
              <w:textAlignment w:val="bottom"/>
              <w:rPr>
                <w:rFonts w:hint="eastAsia" w:ascii="仿宋" w:hAnsi="仿宋" w:eastAsia="仿宋" w:cs="仿宋"/>
                <w:sz w:val="28"/>
                <w:szCs w:val="28"/>
              </w:rPr>
            </w:pPr>
            <w:r>
              <w:rPr>
                <w:rFonts w:hint="eastAsia" w:ascii="仿宋" w:hAnsi="仿宋" w:eastAsia="仿宋" w:cs="仿宋"/>
                <w:sz w:val="28"/>
                <w:szCs w:val="28"/>
                <w:lang w:eastAsia="zh-CN" w:bidi="ar"/>
              </w:rPr>
              <w:t>综合得分</w:t>
            </w:r>
          </w:p>
        </w:tc>
        <w:tc>
          <w:tcPr>
            <w:tcW w:w="1094" w:type="pct"/>
            <w:tcBorders>
              <w:top w:val="nil"/>
              <w:left w:val="nil"/>
              <w:bottom w:val="single" w:color="auto" w:sz="4" w:space="0"/>
              <w:right w:val="single" w:color="auto" w:sz="4" w:space="0"/>
            </w:tcBorders>
            <w:shd w:val="clear" w:color="auto" w:fill="auto"/>
            <w:noWrap/>
            <w:vAlign w:val="center"/>
          </w:tcPr>
          <w:p w14:paraId="585D60D3">
            <w:pPr>
              <w:widowControl/>
              <w:ind w:firstLine="0" w:firstLineChars="0"/>
              <w:jc w:val="center"/>
              <w:textAlignment w:val="bottom"/>
              <w:rPr>
                <w:rFonts w:hint="eastAsia" w:ascii="仿宋" w:hAnsi="仿宋" w:eastAsia="仿宋" w:cs="仿宋"/>
                <w:b/>
                <w:bCs/>
                <w:color w:val="auto"/>
                <w:sz w:val="28"/>
                <w:szCs w:val="28"/>
              </w:rPr>
            </w:pPr>
            <w:r>
              <w:rPr>
                <w:rFonts w:ascii="仿宋" w:hAnsi="仿宋" w:eastAsia="仿宋" w:cs="仿宋"/>
                <w:b/>
                <w:bCs/>
                <w:color w:val="auto"/>
                <w:sz w:val="28"/>
                <w:szCs w:val="28"/>
              </w:rPr>
              <w:fldChar w:fldCharType="begin"/>
            </w:r>
            <w:r>
              <w:rPr>
                <w:rFonts w:ascii="仿宋" w:hAnsi="仿宋" w:eastAsia="仿宋" w:cs="仿宋"/>
                <w:b/>
                <w:bCs/>
                <w:color w:val="auto"/>
                <w:sz w:val="28"/>
                <w:szCs w:val="28"/>
              </w:rPr>
              <w:instrText xml:space="preserve"> =SUM(ABOVE) \* MERGEFORMAT </w:instrText>
            </w:r>
            <w:r>
              <w:rPr>
                <w:rFonts w:ascii="仿宋" w:hAnsi="仿宋" w:eastAsia="仿宋" w:cs="仿宋"/>
                <w:b/>
                <w:bCs/>
                <w:color w:val="auto"/>
                <w:sz w:val="28"/>
                <w:szCs w:val="28"/>
              </w:rPr>
              <w:fldChar w:fldCharType="separate"/>
            </w:r>
            <w:r>
              <w:rPr>
                <w:rFonts w:ascii="仿宋" w:hAnsi="仿宋" w:eastAsia="仿宋" w:cs="仿宋"/>
                <w:b/>
                <w:bCs/>
                <w:color w:val="auto"/>
                <w:sz w:val="28"/>
                <w:szCs w:val="28"/>
              </w:rPr>
              <w:t>100</w:t>
            </w:r>
            <w:r>
              <w:rPr>
                <w:rFonts w:ascii="仿宋" w:hAnsi="仿宋" w:eastAsia="仿宋" w:cs="仿宋"/>
                <w:b/>
                <w:bCs/>
                <w:color w:val="auto"/>
                <w:sz w:val="28"/>
                <w:szCs w:val="28"/>
              </w:rPr>
              <w:fldChar w:fldCharType="end"/>
            </w:r>
          </w:p>
        </w:tc>
        <w:tc>
          <w:tcPr>
            <w:tcW w:w="1010" w:type="pct"/>
            <w:tcBorders>
              <w:top w:val="nil"/>
              <w:left w:val="nil"/>
              <w:bottom w:val="single" w:color="auto" w:sz="4" w:space="0"/>
              <w:right w:val="single" w:color="auto" w:sz="4" w:space="0"/>
            </w:tcBorders>
            <w:shd w:val="clear" w:color="auto" w:fill="auto"/>
            <w:noWrap/>
            <w:vAlign w:val="center"/>
          </w:tcPr>
          <w:p w14:paraId="76A01065">
            <w:pPr>
              <w:widowControl/>
              <w:ind w:firstLine="0" w:firstLineChars="0"/>
              <w:jc w:val="center"/>
              <w:textAlignment w:val="center"/>
              <w:rPr>
                <w:rFonts w:hint="default" w:ascii="仿宋" w:hAnsi="仿宋" w:eastAsia="仿宋" w:cs="仿宋"/>
                <w:b/>
                <w:bCs/>
                <w:color w:val="auto"/>
                <w:sz w:val="28"/>
                <w:szCs w:val="28"/>
                <w:lang w:val="en-US" w:eastAsia="zh-CN"/>
              </w:rPr>
            </w:pPr>
            <w:r>
              <w:rPr>
                <w:rFonts w:ascii="仿宋" w:hAnsi="仿宋" w:eastAsia="仿宋" w:cs="仿宋"/>
                <w:b/>
                <w:bCs/>
                <w:color w:val="auto"/>
                <w:sz w:val="28"/>
                <w:szCs w:val="28"/>
                <w:lang w:eastAsia="zh-CN"/>
              </w:rPr>
              <w:fldChar w:fldCharType="begin"/>
            </w:r>
            <w:r>
              <w:rPr>
                <w:rFonts w:ascii="仿宋" w:hAnsi="仿宋" w:eastAsia="仿宋" w:cs="仿宋"/>
                <w:b/>
                <w:bCs/>
                <w:color w:val="auto"/>
                <w:sz w:val="28"/>
                <w:szCs w:val="28"/>
                <w:lang w:eastAsia="zh-CN"/>
              </w:rPr>
              <w:instrText xml:space="preserve"> =SUM(ABOVE) \* MERGEFORMAT </w:instrText>
            </w:r>
            <w:r>
              <w:rPr>
                <w:rFonts w:ascii="仿宋" w:hAnsi="仿宋" w:eastAsia="仿宋" w:cs="仿宋"/>
                <w:b/>
                <w:bCs/>
                <w:color w:val="auto"/>
                <w:sz w:val="28"/>
                <w:szCs w:val="28"/>
                <w:lang w:eastAsia="zh-CN"/>
              </w:rPr>
              <w:fldChar w:fldCharType="separate"/>
            </w:r>
            <w:r>
              <w:rPr>
                <w:rFonts w:ascii="仿宋" w:hAnsi="仿宋" w:eastAsia="仿宋" w:cs="仿宋"/>
                <w:b/>
                <w:bCs/>
                <w:color w:val="auto"/>
                <w:sz w:val="28"/>
                <w:szCs w:val="28"/>
                <w:lang w:eastAsia="zh-CN"/>
              </w:rPr>
              <w:t>9</w:t>
            </w:r>
            <w:r>
              <w:rPr>
                <w:rFonts w:ascii="仿宋" w:hAnsi="仿宋" w:eastAsia="仿宋" w:cs="仿宋"/>
                <w:b/>
                <w:bCs/>
                <w:color w:val="auto"/>
                <w:sz w:val="28"/>
                <w:szCs w:val="28"/>
                <w:lang w:eastAsia="zh-CN"/>
              </w:rPr>
              <w:fldChar w:fldCharType="end"/>
            </w:r>
            <w:r>
              <w:rPr>
                <w:rFonts w:hint="eastAsia" w:ascii="仿宋" w:hAnsi="仿宋" w:eastAsia="仿宋" w:cs="仿宋"/>
                <w:b/>
                <w:bCs/>
                <w:color w:val="auto"/>
                <w:sz w:val="28"/>
                <w:szCs w:val="28"/>
                <w:lang w:val="en-US" w:eastAsia="zh-CN"/>
              </w:rPr>
              <w:t>7</w:t>
            </w:r>
          </w:p>
        </w:tc>
      </w:tr>
      <w:tr w14:paraId="434FC9BD">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14:paraId="7DFB9B51">
            <w:pPr>
              <w:widowControl/>
              <w:ind w:firstLine="0" w:firstLineChars="0"/>
              <w:jc w:val="center"/>
              <w:textAlignment w:val="bottom"/>
              <w:rPr>
                <w:rFonts w:hint="eastAsia" w:ascii="仿宋" w:hAnsi="仿宋" w:eastAsia="仿宋" w:cs="仿宋"/>
                <w:sz w:val="28"/>
                <w:szCs w:val="28"/>
                <w:lang w:eastAsia="zh-CN" w:bidi="ar"/>
              </w:rPr>
            </w:pPr>
            <w:r>
              <w:rPr>
                <w:rFonts w:hint="eastAsia" w:ascii="仿宋" w:hAnsi="仿宋" w:eastAsia="仿宋" w:cs="仿宋"/>
                <w:sz w:val="28"/>
                <w:szCs w:val="28"/>
                <w:lang w:eastAsia="zh-CN"/>
              </w:rPr>
              <w:t>综合绩效评估结论</w:t>
            </w:r>
          </w:p>
        </w:tc>
        <w:tc>
          <w:tcPr>
            <w:tcW w:w="2104" w:type="pct"/>
            <w:gridSpan w:val="2"/>
            <w:tcBorders>
              <w:top w:val="nil"/>
              <w:left w:val="nil"/>
              <w:bottom w:val="single" w:color="auto" w:sz="4" w:space="0"/>
              <w:right w:val="single" w:color="auto" w:sz="4" w:space="0"/>
            </w:tcBorders>
            <w:shd w:val="clear" w:color="auto" w:fill="auto"/>
            <w:noWrap/>
            <w:vAlign w:val="center"/>
          </w:tcPr>
          <w:p w14:paraId="610CE9AF">
            <w:pPr>
              <w:widowControl/>
              <w:ind w:firstLine="0" w:firstLineChars="0"/>
              <w:jc w:val="center"/>
              <w:textAlignment w:val="center"/>
              <w:rPr>
                <w:rFonts w:hint="eastAsia" w:ascii="仿宋" w:hAnsi="仿宋" w:eastAsia="仿宋" w:cs="仿宋"/>
                <w:b/>
                <w:bCs/>
                <w:sz w:val="28"/>
                <w:szCs w:val="28"/>
                <w:lang w:eastAsia="zh-CN" w:bidi="ar"/>
              </w:rPr>
            </w:pPr>
            <w:r>
              <w:rPr>
                <w:rFonts w:hint="eastAsia" w:ascii="仿宋" w:hAnsi="仿宋" w:eastAsia="仿宋" w:cs="仿宋"/>
                <w:b/>
                <w:bCs/>
                <w:szCs w:val="32"/>
                <w:lang w:eastAsia="zh-CN"/>
              </w:rPr>
              <w:t>建议</w:t>
            </w:r>
            <w:r>
              <w:rPr>
                <w:rFonts w:ascii="仿宋" w:hAnsi="仿宋" w:eastAsia="仿宋" w:cs="仿宋"/>
                <w:b/>
                <w:bCs/>
                <w:szCs w:val="32"/>
                <w:lang w:eastAsia="zh-CN"/>
              </w:rPr>
              <w:t>实施</w:t>
            </w:r>
          </w:p>
        </w:tc>
      </w:tr>
    </w:tbl>
    <w:p w14:paraId="685E039D">
      <w:pPr>
        <w:ind w:firstLine="640"/>
        <w:rPr>
          <w:rFonts w:hint="eastAsia" w:ascii="宋体" w:hAnsi="宋体" w:eastAsia="宋体" w:cs="宋体"/>
          <w:lang w:eastAsia="zh-CN"/>
        </w:rPr>
      </w:pPr>
    </w:p>
    <w:p w14:paraId="51C040D3">
      <w:pPr>
        <w:ind w:firstLine="640"/>
        <w:rPr>
          <w:rFonts w:eastAsia="宋体"/>
          <w:szCs w:val="32"/>
          <w:lang w:eastAsia="zh-CN"/>
        </w:rPr>
      </w:pPr>
      <w:r>
        <w:rPr>
          <w:rFonts w:eastAsia="宋体"/>
          <w:szCs w:val="32"/>
          <w:lang w:eastAsia="zh-CN"/>
        </w:rPr>
        <w:br w:type="page"/>
      </w:r>
    </w:p>
    <w:p w14:paraId="4BC32E4A">
      <w:pPr>
        <w:tabs>
          <w:tab w:val="right" w:leader="dot" w:pos="8306"/>
        </w:tabs>
        <w:spacing w:line="500" w:lineRule="exact"/>
        <w:ind w:firstLine="480"/>
        <w:jc w:val="center"/>
        <w:rPr>
          <w:rFonts w:hint="eastAsia" w:ascii="仿宋" w:hAnsi="仿宋" w:eastAsia="仿宋" w:cs="仿宋"/>
          <w:color w:val="000000"/>
          <w:sz w:val="24"/>
          <w:szCs w:val="24"/>
          <w:lang w:val="en-US" w:eastAsia="en-US" w:bidi="en-US"/>
        </w:rPr>
      </w:pPr>
      <w:r>
        <w:rPr>
          <w:rFonts w:hint="eastAsia" w:ascii="仿宋" w:hAnsi="仿宋" w:eastAsia="仿宋" w:cs="仿宋"/>
          <w:sz w:val="44"/>
          <w:szCs w:val="44"/>
          <w:lang w:eastAsia="zh-CN"/>
        </w:rPr>
        <w:t>目录</w:t>
      </w:r>
      <w:r>
        <w:rPr>
          <w:rFonts w:hint="eastAsia" w:ascii="仿宋" w:hAnsi="仿宋" w:eastAsia="仿宋" w:cs="仿宋"/>
          <w:sz w:val="24"/>
          <w:szCs w:val="24"/>
        </w:rPr>
        <w:fldChar w:fldCharType="begin"/>
      </w:r>
      <w:r>
        <w:rPr>
          <w:rFonts w:hint="eastAsia" w:ascii="仿宋" w:hAnsi="仿宋" w:eastAsia="仿宋" w:cs="仿宋"/>
          <w:sz w:val="24"/>
          <w:szCs w:val="24"/>
          <w:lang w:eastAsia="zh-CN"/>
        </w:rPr>
        <w:instrText xml:space="preserve"> TOC \o "1-2" \h \u </w:instrText>
      </w:r>
      <w:r>
        <w:rPr>
          <w:rFonts w:hint="eastAsia" w:ascii="仿宋" w:hAnsi="仿宋" w:eastAsia="仿宋" w:cs="仿宋"/>
          <w:sz w:val="24"/>
          <w:szCs w:val="24"/>
        </w:rPr>
        <w:fldChar w:fldCharType="separate"/>
      </w:r>
    </w:p>
    <w:p w14:paraId="1E98F163">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_Toc26032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一、项目基本情况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_Toc26032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208379B">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_Toc13763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（一）项目建设背景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_Toc13763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2CB068E">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_Toc5685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（二）项目主要内容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_Toc5685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A79CEC5">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_Toc31055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（三）项目预算构成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_Toc31055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2B40A13">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_Toc8033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二、绩效评价工作开展情况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_Toc8033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C4FD7C2">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_Toc26870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(一)绩效评价目的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_Toc26870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1A27405">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_Toc6919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(二)绩效评价指标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_Toc6919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56E72D6">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_Toc20949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(三)</w:t>
      </w:r>
      <w:r>
        <w:rPr>
          <w:rFonts w:hint="eastAsia" w:ascii="仿宋" w:hAnsi="仿宋" w:eastAsia="仿宋" w:cs="仿宋"/>
          <w:bCs/>
          <w:sz w:val="24"/>
          <w:szCs w:val="24"/>
        </w:rPr>
        <w:t>评价依据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_Toc20949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09AA403">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_Toc6680 </w:instrText>
      </w:r>
      <w:r>
        <w:rPr>
          <w:rFonts w:hint="eastAsia" w:ascii="仿宋" w:hAnsi="仿宋" w:eastAsia="仿宋" w:cs="仿宋"/>
          <w:sz w:val="24"/>
          <w:szCs w:val="24"/>
        </w:rPr>
        <w:fldChar w:fldCharType="separate"/>
      </w:r>
      <w:r>
        <w:rPr>
          <w:rFonts w:hint="eastAsia" w:ascii="仿宋" w:hAnsi="仿宋" w:eastAsia="仿宋" w:cs="仿宋"/>
          <w:bCs/>
          <w:sz w:val="24"/>
          <w:szCs w:val="24"/>
        </w:rPr>
        <w:t>(四)绩效评价原则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_Toc6680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660ED25">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_Toc16442 </w:instrText>
      </w:r>
      <w:r>
        <w:rPr>
          <w:rFonts w:hint="eastAsia" w:ascii="仿宋" w:hAnsi="仿宋" w:eastAsia="仿宋" w:cs="仿宋"/>
          <w:sz w:val="24"/>
          <w:szCs w:val="24"/>
        </w:rPr>
        <w:fldChar w:fldCharType="separate"/>
      </w:r>
      <w:r>
        <w:rPr>
          <w:rFonts w:hint="eastAsia" w:ascii="仿宋" w:hAnsi="仿宋" w:eastAsia="仿宋" w:cs="仿宋"/>
          <w:bCs/>
          <w:sz w:val="24"/>
          <w:szCs w:val="24"/>
        </w:rPr>
        <w:t>(五)评价</w:t>
      </w:r>
      <w:r>
        <w:rPr>
          <w:rFonts w:hint="eastAsia" w:ascii="仿宋" w:hAnsi="仿宋" w:eastAsia="仿宋" w:cs="仿宋"/>
          <w:bCs/>
          <w:sz w:val="24"/>
          <w:szCs w:val="24"/>
          <w:lang w:eastAsia="zh-CN"/>
        </w:rPr>
        <w:t>方法和等级设定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_Toc16442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7143273">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_Toc16964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(六)评价程序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_Toc16964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62C4B0D">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_Toc19270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(七)论证思路及方法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_Toc19270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0CE6AEC">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_Toc32146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(八)评估方式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_Toc32146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CA75DC1">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_Toc20132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三、事前绩效评估指标体系及得分情况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_Toc20132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421D557">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_Toc29627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四、绩效评价内容与结论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_Toc29627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6EBF9A1">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_Toc2815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(一)</w:t>
      </w:r>
      <w:r>
        <w:rPr>
          <w:rFonts w:hint="eastAsia" w:ascii="仿宋" w:hAnsi="仿宋" w:eastAsia="仿宋" w:cs="仿宋"/>
          <w:kern w:val="44"/>
          <w:sz w:val="24"/>
          <w:szCs w:val="24"/>
          <w:lang w:eastAsia="zh-CN"/>
        </w:rPr>
        <w:t>项目实施的必要性、公益性、收益性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_Toc2815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99C04D1">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_Toc841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(二)</w:t>
      </w:r>
      <w:r>
        <w:rPr>
          <w:rFonts w:hint="eastAsia" w:ascii="仿宋" w:hAnsi="仿宋" w:eastAsia="仿宋" w:cs="仿宋"/>
          <w:kern w:val="44"/>
          <w:sz w:val="24"/>
          <w:szCs w:val="24"/>
          <w:lang w:eastAsia="zh-CN"/>
        </w:rPr>
        <w:t>项目实施合规性与成熟度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_Toc841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349F051">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_Toc11035 </w:instrText>
      </w:r>
      <w:r>
        <w:rPr>
          <w:rFonts w:hint="eastAsia" w:ascii="仿宋" w:hAnsi="仿宋" w:eastAsia="仿宋" w:cs="仿宋"/>
          <w:sz w:val="24"/>
          <w:szCs w:val="24"/>
        </w:rPr>
        <w:fldChar w:fldCharType="separate"/>
      </w:r>
      <w:r>
        <w:rPr>
          <w:rFonts w:hint="eastAsia" w:ascii="仿宋" w:hAnsi="仿宋" w:eastAsia="仿宋" w:cs="仿宋"/>
          <w:kern w:val="44"/>
          <w:sz w:val="24"/>
          <w:szCs w:val="24"/>
          <w:lang w:eastAsia="zh-CN"/>
        </w:rPr>
        <w:t>(三)项目资金来源、</w:t>
      </w:r>
      <w:r>
        <w:rPr>
          <w:rFonts w:hint="eastAsia" w:ascii="仿宋" w:hAnsi="仿宋" w:eastAsia="仿宋" w:cs="仿宋"/>
          <w:kern w:val="44"/>
          <w:sz w:val="24"/>
          <w:szCs w:val="24"/>
          <w:lang w:val="en-US" w:eastAsia="zh-CN"/>
        </w:rPr>
        <w:t>资金</w:t>
      </w:r>
      <w:r>
        <w:rPr>
          <w:rFonts w:hint="eastAsia" w:ascii="仿宋" w:hAnsi="仿宋" w:eastAsia="仿宋" w:cs="仿宋"/>
          <w:kern w:val="44"/>
          <w:sz w:val="24"/>
          <w:szCs w:val="24"/>
          <w:lang w:eastAsia="zh-CN"/>
        </w:rPr>
        <w:t>到位可行性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_Toc11035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3689940">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_Toc24779 </w:instrText>
      </w:r>
      <w:r>
        <w:rPr>
          <w:rFonts w:hint="eastAsia" w:ascii="仿宋" w:hAnsi="仿宋" w:eastAsia="仿宋" w:cs="仿宋"/>
          <w:sz w:val="24"/>
          <w:szCs w:val="24"/>
        </w:rPr>
        <w:fldChar w:fldCharType="separate"/>
      </w:r>
      <w:r>
        <w:rPr>
          <w:rFonts w:hint="eastAsia" w:ascii="仿宋" w:hAnsi="仿宋" w:eastAsia="仿宋" w:cs="仿宋"/>
          <w:kern w:val="44"/>
          <w:sz w:val="24"/>
          <w:szCs w:val="24"/>
          <w:lang w:eastAsia="zh-CN"/>
        </w:rPr>
        <w:t>(四)资金使用计划合理性、资金到位及时性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_Toc24779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2746683">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_Toc23225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(五)</w:t>
      </w:r>
      <w:r>
        <w:rPr>
          <w:rFonts w:hint="eastAsia" w:ascii="仿宋" w:hAnsi="仿宋" w:eastAsia="仿宋" w:cs="仿宋"/>
          <w:kern w:val="44"/>
          <w:sz w:val="24"/>
          <w:szCs w:val="24"/>
          <w:lang w:eastAsia="zh-CN"/>
        </w:rPr>
        <w:t>项目绩效目标明确性、合理性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_Toc23225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410EAAF">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_Toc29858 </w:instrText>
      </w:r>
      <w:r>
        <w:rPr>
          <w:rFonts w:hint="eastAsia" w:ascii="仿宋" w:hAnsi="仿宋" w:eastAsia="仿宋" w:cs="仿宋"/>
          <w:sz w:val="24"/>
          <w:szCs w:val="24"/>
        </w:rPr>
        <w:fldChar w:fldCharType="separate"/>
      </w:r>
      <w:r>
        <w:rPr>
          <w:rFonts w:hint="eastAsia" w:ascii="仿宋" w:hAnsi="仿宋" w:eastAsia="仿宋" w:cs="仿宋"/>
          <w:kern w:val="44"/>
          <w:sz w:val="24"/>
          <w:szCs w:val="24"/>
          <w:lang w:eastAsia="zh-CN"/>
        </w:rPr>
        <w:t>(六)项目管理办法执行的有效性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_Toc29858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8D02CD8">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_Toc17849 </w:instrText>
      </w:r>
      <w:r>
        <w:rPr>
          <w:rFonts w:hint="eastAsia" w:ascii="仿宋" w:hAnsi="仿宋" w:eastAsia="仿宋" w:cs="仿宋"/>
          <w:sz w:val="24"/>
          <w:szCs w:val="24"/>
        </w:rPr>
        <w:fldChar w:fldCharType="separate"/>
      </w:r>
      <w:r>
        <w:rPr>
          <w:rFonts w:hint="eastAsia" w:ascii="仿宋" w:hAnsi="仿宋" w:eastAsia="仿宋" w:cs="仿宋"/>
          <w:kern w:val="44"/>
          <w:sz w:val="24"/>
          <w:szCs w:val="24"/>
          <w:lang w:eastAsia="zh-CN"/>
        </w:rPr>
        <w:t>(七)项目实施成果合格性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_Toc17849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DABC6FF">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_Toc5168 </w:instrText>
      </w:r>
      <w:r>
        <w:rPr>
          <w:rFonts w:hint="eastAsia" w:ascii="仿宋" w:hAnsi="仿宋" w:eastAsia="仿宋" w:cs="仿宋"/>
          <w:sz w:val="24"/>
          <w:szCs w:val="24"/>
        </w:rPr>
        <w:fldChar w:fldCharType="separate"/>
      </w:r>
      <w:r>
        <w:rPr>
          <w:rFonts w:hint="eastAsia" w:ascii="仿宋" w:hAnsi="仿宋" w:eastAsia="仿宋" w:cs="仿宋"/>
          <w:kern w:val="44"/>
          <w:sz w:val="24"/>
          <w:szCs w:val="24"/>
          <w:lang w:eastAsia="zh-CN"/>
        </w:rPr>
        <w:t>(八)项目实施的可持续性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_Toc5168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09C6F47">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_Toc18699 </w:instrText>
      </w:r>
      <w:r>
        <w:rPr>
          <w:rFonts w:hint="eastAsia" w:ascii="仿宋" w:hAnsi="仿宋" w:eastAsia="仿宋" w:cs="仿宋"/>
          <w:sz w:val="24"/>
          <w:szCs w:val="24"/>
        </w:rPr>
        <w:fldChar w:fldCharType="separate"/>
      </w:r>
      <w:r>
        <w:rPr>
          <w:rFonts w:hint="eastAsia" w:ascii="仿宋" w:hAnsi="仿宋" w:eastAsia="仿宋" w:cs="仿宋"/>
          <w:kern w:val="44"/>
          <w:sz w:val="24"/>
          <w:szCs w:val="24"/>
          <w:lang w:eastAsia="zh-CN"/>
        </w:rPr>
        <w:t>(九)总体结论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_Toc18699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88F5AD9">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_Toc22888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五、相关建议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_Toc22888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E1F809C">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_Toc11379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(一)</w:t>
      </w:r>
      <w:r>
        <w:rPr>
          <w:rFonts w:hint="eastAsia" w:ascii="仿宋" w:hAnsi="仿宋" w:eastAsia="仿宋" w:cs="仿宋"/>
          <w:bCs/>
          <w:sz w:val="24"/>
          <w:szCs w:val="24"/>
          <w:lang w:val="en-US" w:eastAsia="zh-CN"/>
        </w:rPr>
        <w:t>储备粮、油借款利息测算依据不充分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_Toc11379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08A5D90">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_Toc13340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六、其他需要说明的问题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_Toc13340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EC3C570">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_Toc13104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七、附件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_Toc13104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1806CCD">
      <w:pPr>
        <w:pStyle w:val="14"/>
        <w:tabs>
          <w:tab w:val="right" w:leader="dot" w:pos="8306"/>
        </w:tabs>
        <w:spacing w:before="0" w:after="0" w:line="500" w:lineRule="exact"/>
        <w:ind w:firstLine="883"/>
        <w:jc w:val="center"/>
        <w:rPr>
          <w:rFonts w:eastAsia="宋体"/>
          <w:sz w:val="28"/>
          <w:szCs w:val="28"/>
          <w:lang w:eastAsia="zh-CN"/>
        </w:rPr>
      </w:pPr>
      <w:r>
        <w:rPr>
          <w:rFonts w:hint="eastAsia" w:ascii="仿宋" w:hAnsi="仿宋" w:eastAsia="仿宋" w:cs="仿宋"/>
          <w:sz w:val="24"/>
        </w:rPr>
        <w:fldChar w:fldCharType="end"/>
      </w:r>
    </w:p>
    <w:p w14:paraId="29E98C87">
      <w:pPr>
        <w:pStyle w:val="14"/>
        <w:tabs>
          <w:tab w:val="right" w:leader="dot" w:pos="8306"/>
        </w:tabs>
        <w:ind w:firstLine="562"/>
        <w:rPr>
          <w:rFonts w:ascii="Times New Roman" w:hAnsi="Times New Roman" w:eastAsia="宋体" w:cs="Times New Roman"/>
          <w:sz w:val="28"/>
          <w:szCs w:val="28"/>
          <w:lang w:eastAsia="zh-CN"/>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fmt="numberInDash" w:start="1"/>
          <w:cols w:space="425" w:num="1"/>
          <w:docGrid w:type="lines" w:linePitch="312" w:charSpace="0"/>
        </w:sectPr>
      </w:pPr>
      <w:r>
        <w:rPr>
          <w:rFonts w:ascii="Times New Roman" w:hAnsi="Times New Roman" w:eastAsia="宋体" w:cs="Times New Roman"/>
          <w:sz w:val="28"/>
          <w:szCs w:val="28"/>
          <w:lang w:eastAsia="zh-CN"/>
        </w:rPr>
        <w:br w:type="page"/>
      </w:r>
    </w:p>
    <w:p w14:paraId="3FB5DE41">
      <w:pPr>
        <w:pStyle w:val="20"/>
        <w:spacing w:before="0" w:beforeLines="0" w:after="0" w:afterLines="0" w:line="780" w:lineRule="exact"/>
        <w:ind w:left="-426" w:leftChars="-221" w:right="-624" w:rightChars="-195" w:hanging="281" w:hangingChars="64"/>
        <w:outlineLvl w:val="1"/>
        <w:rPr>
          <w:rFonts w:hint="eastAsia" w:ascii="宋体" w:hAnsi="宋体" w:eastAsia="宋体" w:cs="宋体"/>
          <w:b w:val="0"/>
          <w:bCs w:val="0"/>
          <w:lang w:eastAsia="zh-CN"/>
        </w:rPr>
      </w:pPr>
      <w:bookmarkStart w:id="31" w:name="_Toc11577"/>
      <w:bookmarkStart w:id="32" w:name="_Toc28591"/>
      <w:bookmarkStart w:id="33" w:name="_Toc11127"/>
      <w:bookmarkStart w:id="34" w:name="_Toc18501"/>
      <w:bookmarkStart w:id="35" w:name="_Toc13216"/>
      <w:bookmarkStart w:id="36" w:name="_Toc132480512"/>
      <w:bookmarkStart w:id="37" w:name="_Toc132480957"/>
      <w:bookmarkStart w:id="38" w:name="_Toc22608"/>
      <w:bookmarkStart w:id="39" w:name="_Toc1902724683"/>
      <w:bookmarkStart w:id="40" w:name="_Toc17291"/>
      <w:bookmarkStart w:id="41" w:name="_Toc562319121"/>
      <w:bookmarkStart w:id="42" w:name="_Toc400713784"/>
      <w:bookmarkStart w:id="43" w:name="_Toc130033874"/>
      <w:bookmarkStart w:id="44" w:name="_Toc133498022"/>
      <w:bookmarkStart w:id="45" w:name="_Toc792595118"/>
      <w:bookmarkStart w:id="46" w:name="_Toc1675062758"/>
      <w:bookmarkStart w:id="47" w:name="_Toc1042875910_WPSOffice_Level1"/>
      <w:r>
        <w:rPr>
          <w:rFonts w:hint="eastAsia" w:ascii="宋体" w:hAnsi="宋体" w:eastAsia="宋体" w:cs="宋体"/>
          <w:b w:val="0"/>
          <w:bCs w:val="0"/>
          <w:lang w:eastAsia="zh-CN"/>
        </w:rPr>
        <w:t>乐山市金口河区粮食和物资储备中心</w:t>
      </w:r>
      <w:bookmarkEnd w:id="31"/>
    </w:p>
    <w:bookmarkEnd w:id="32"/>
    <w:bookmarkEnd w:id="33"/>
    <w:bookmarkEnd w:id="34"/>
    <w:p w14:paraId="5A893492">
      <w:pPr>
        <w:pStyle w:val="20"/>
        <w:spacing w:before="0" w:beforeLines="0" w:after="0" w:afterLines="0" w:line="780" w:lineRule="exact"/>
        <w:ind w:left="-426" w:leftChars="-221" w:right="-624" w:rightChars="-195" w:hanging="281" w:hangingChars="64"/>
        <w:outlineLvl w:val="1"/>
        <w:rPr>
          <w:rFonts w:hint="eastAsia" w:ascii="宋体" w:hAnsi="宋体" w:eastAsia="宋体" w:cs="宋体"/>
          <w:b w:val="0"/>
          <w:bCs w:val="0"/>
          <w:lang w:eastAsia="zh-CN"/>
        </w:rPr>
      </w:pPr>
      <w:bookmarkStart w:id="48" w:name="_Toc17395"/>
      <w:bookmarkStart w:id="49" w:name="_Toc25169"/>
      <w:bookmarkStart w:id="50" w:name="_Toc32549"/>
      <w:bookmarkStart w:id="51" w:name="_Toc18917"/>
      <w:r>
        <w:rPr>
          <w:rFonts w:hint="eastAsia" w:ascii="宋体" w:hAnsi="宋体" w:eastAsia="宋体" w:cs="宋体"/>
          <w:b w:val="0"/>
          <w:bCs w:val="0"/>
          <w:lang w:eastAsia="zh-CN"/>
        </w:rPr>
        <w:t>储备粮油费用补贴</w:t>
      </w:r>
      <w:bookmarkEnd w:id="48"/>
    </w:p>
    <w:p w14:paraId="6C61730A">
      <w:pPr>
        <w:pStyle w:val="20"/>
        <w:spacing w:before="0" w:beforeLines="0" w:after="0" w:afterLines="0" w:line="780" w:lineRule="exact"/>
        <w:ind w:left="-426" w:leftChars="-221" w:right="-624" w:rightChars="-195" w:hanging="281" w:hangingChars="64"/>
        <w:outlineLvl w:val="1"/>
        <w:rPr>
          <w:rFonts w:hint="eastAsia" w:ascii="宋体" w:hAnsi="宋体" w:eastAsia="宋体" w:cs="宋体"/>
          <w:b w:val="0"/>
          <w:bCs w:val="0"/>
          <w:lang w:eastAsia="zh-CN"/>
        </w:rPr>
      </w:pPr>
      <w:bookmarkStart w:id="52" w:name="_Toc25967"/>
      <w:bookmarkStart w:id="53" w:name="_Toc13059"/>
      <w:r>
        <w:rPr>
          <w:rFonts w:hint="eastAsia" w:ascii="宋体" w:hAnsi="宋体" w:eastAsia="宋体" w:cs="宋体"/>
          <w:b w:val="0"/>
          <w:bCs w:val="0"/>
          <w:lang w:eastAsia="zh-CN"/>
        </w:rPr>
        <w:t>事前绩效评价报告</w:t>
      </w:r>
      <w:bookmarkEnd w:id="35"/>
      <w:bookmarkEnd w:id="36"/>
      <w:bookmarkEnd w:id="37"/>
      <w:bookmarkEnd w:id="38"/>
      <w:bookmarkEnd w:id="39"/>
      <w:bookmarkEnd w:id="40"/>
      <w:bookmarkEnd w:id="41"/>
      <w:bookmarkEnd w:id="42"/>
      <w:bookmarkEnd w:id="43"/>
      <w:bookmarkEnd w:id="44"/>
      <w:bookmarkEnd w:id="45"/>
      <w:bookmarkEnd w:id="46"/>
      <w:bookmarkEnd w:id="47"/>
      <w:bookmarkEnd w:id="49"/>
      <w:bookmarkEnd w:id="50"/>
      <w:bookmarkEnd w:id="51"/>
      <w:bookmarkEnd w:id="52"/>
      <w:bookmarkEnd w:id="53"/>
    </w:p>
    <w:p w14:paraId="4CA2AF5C">
      <w:pPr>
        <w:ind w:firstLine="640"/>
        <w:rPr>
          <w:lang w:eastAsia="zh-CN"/>
        </w:rPr>
      </w:pPr>
    </w:p>
    <w:p w14:paraId="1C8F3DBF">
      <w:pPr>
        <w:pStyle w:val="2"/>
        <w:numPr>
          <w:ilvl w:val="0"/>
          <w:numId w:val="1"/>
        </w:numPr>
        <w:spacing w:before="0" w:beforeLines="0" w:after="0" w:afterLines="0"/>
        <w:rPr>
          <w:rFonts w:hint="eastAsia" w:ascii="仿宋" w:hAnsi="仿宋" w:eastAsia="仿宋" w:cs="仿宋"/>
          <w:b w:val="0"/>
          <w:bCs/>
          <w:szCs w:val="32"/>
          <w:lang w:eastAsia="zh-CN"/>
        </w:rPr>
      </w:pPr>
      <w:bookmarkStart w:id="54" w:name="_Toc9247"/>
      <w:bookmarkStart w:id="55" w:name="_Toc2001376203_WPSOffice_Level1"/>
      <w:bookmarkStart w:id="56" w:name="_Toc287850696"/>
      <w:bookmarkStart w:id="57" w:name="_Toc132480958"/>
      <w:bookmarkStart w:id="58" w:name="_Toc2225"/>
      <w:bookmarkStart w:id="59" w:name="_Toc305085885"/>
      <w:bookmarkStart w:id="60" w:name="_Toc26032"/>
      <w:bookmarkStart w:id="61" w:name="_Toc4405"/>
      <w:bookmarkStart w:id="62" w:name="_Toc1969419847"/>
      <w:bookmarkStart w:id="63" w:name="_Toc1416645183"/>
      <w:bookmarkStart w:id="64" w:name="_Toc7797"/>
      <w:r>
        <w:rPr>
          <w:rFonts w:hint="eastAsia" w:ascii="仿宋" w:hAnsi="仿宋" w:eastAsia="仿宋" w:cs="仿宋"/>
          <w:b w:val="0"/>
          <w:bCs/>
          <w:szCs w:val="32"/>
          <w:lang w:eastAsia="zh-CN"/>
        </w:rPr>
        <w:t>项目基本情况</w:t>
      </w:r>
      <w:bookmarkEnd w:id="54"/>
      <w:bookmarkEnd w:id="55"/>
      <w:bookmarkEnd w:id="56"/>
      <w:bookmarkEnd w:id="57"/>
      <w:bookmarkEnd w:id="58"/>
      <w:bookmarkEnd w:id="59"/>
      <w:bookmarkEnd w:id="60"/>
      <w:bookmarkEnd w:id="61"/>
      <w:bookmarkEnd w:id="62"/>
      <w:bookmarkEnd w:id="63"/>
      <w:bookmarkEnd w:id="64"/>
    </w:p>
    <w:p w14:paraId="31DC76D8">
      <w:pPr>
        <w:pStyle w:val="3"/>
        <w:spacing w:before="0" w:beforeLines="0" w:after="0" w:afterLines="0" w:line="580" w:lineRule="exact"/>
        <w:ind w:firstLineChars="0"/>
        <w:rPr>
          <w:rFonts w:hint="eastAsia" w:ascii="仿宋" w:hAnsi="仿宋" w:eastAsia="仿宋" w:cs="仿宋"/>
          <w:b w:val="0"/>
          <w:bCs/>
          <w:szCs w:val="32"/>
          <w:lang w:eastAsia="zh-CN"/>
        </w:rPr>
      </w:pPr>
      <w:bookmarkStart w:id="65" w:name="_Toc19438"/>
      <w:bookmarkStart w:id="66" w:name="_Toc1535003806"/>
      <w:bookmarkStart w:id="67" w:name="_Toc1042875910_WPSOffice_Level2"/>
      <w:bookmarkStart w:id="68" w:name="_Toc1773474628"/>
      <w:bookmarkStart w:id="69" w:name="_Toc873917318"/>
      <w:bookmarkStart w:id="70" w:name="_Toc132480959"/>
      <w:bookmarkStart w:id="71" w:name="_Toc404396392"/>
      <w:bookmarkStart w:id="72" w:name="_Toc14550"/>
      <w:bookmarkStart w:id="73" w:name="_Toc27921"/>
      <w:bookmarkStart w:id="74" w:name="_Toc12884"/>
      <w:bookmarkStart w:id="75" w:name="_Toc13763"/>
      <w:r>
        <w:rPr>
          <w:rFonts w:hint="eastAsia" w:ascii="仿宋" w:hAnsi="仿宋" w:eastAsia="仿宋" w:cs="仿宋"/>
          <w:b w:val="0"/>
          <w:bCs/>
          <w:szCs w:val="32"/>
          <w:lang w:eastAsia="zh-CN"/>
        </w:rPr>
        <w:t>（一）项目建设</w:t>
      </w:r>
      <w:bookmarkEnd w:id="65"/>
      <w:bookmarkEnd w:id="66"/>
      <w:bookmarkEnd w:id="67"/>
      <w:bookmarkEnd w:id="68"/>
      <w:bookmarkEnd w:id="69"/>
      <w:bookmarkEnd w:id="70"/>
      <w:bookmarkEnd w:id="71"/>
      <w:bookmarkEnd w:id="72"/>
      <w:bookmarkEnd w:id="73"/>
      <w:bookmarkStart w:id="76" w:name="_Toc23032"/>
      <w:bookmarkStart w:id="77" w:name="_Toc12111"/>
      <w:bookmarkStart w:id="78" w:name="_Toc18961"/>
      <w:bookmarkStart w:id="79" w:name="_Toc133498025"/>
      <w:bookmarkStart w:id="80" w:name="_Toc20062"/>
      <w:bookmarkStart w:id="81" w:name="_Toc27403"/>
      <w:bookmarkStart w:id="82" w:name="_Toc130033877"/>
      <w:bookmarkStart w:id="83" w:name="_Toc1287701793"/>
      <w:bookmarkStart w:id="84" w:name="_Toc1862536083"/>
      <w:bookmarkStart w:id="85" w:name="_Toc2051901236"/>
      <w:bookmarkStart w:id="86" w:name="_Toc9639"/>
      <w:bookmarkStart w:id="87" w:name="_Toc1087916031"/>
      <w:bookmarkStart w:id="88" w:name="_Toc1042875910_WPSOffice_Level3"/>
      <w:r>
        <w:rPr>
          <w:rFonts w:hint="eastAsia" w:ascii="仿宋" w:hAnsi="仿宋" w:eastAsia="仿宋" w:cs="仿宋"/>
          <w:b w:val="0"/>
          <w:bCs/>
          <w:szCs w:val="32"/>
          <w:lang w:eastAsia="zh-CN"/>
        </w:rPr>
        <w:t>背景</w:t>
      </w:r>
      <w:bookmarkEnd w:id="74"/>
      <w:bookmarkEnd w:id="75"/>
      <w:bookmarkEnd w:id="76"/>
      <w:bookmarkEnd w:id="77"/>
      <w:bookmarkEnd w:id="78"/>
      <w:bookmarkEnd w:id="79"/>
      <w:bookmarkEnd w:id="80"/>
      <w:bookmarkEnd w:id="81"/>
    </w:p>
    <w:p w14:paraId="7BCE21C2">
      <w:pPr>
        <w:spacing w:line="600" w:lineRule="exact"/>
        <w:ind w:firstLine="640"/>
        <w:rPr>
          <w:rFonts w:hint="eastAsia" w:ascii="仿宋" w:hAnsi="仿宋" w:eastAsia="仿宋" w:cs="仿宋"/>
          <w:bCs/>
          <w:kern w:val="2"/>
          <w:szCs w:val="32"/>
          <w:lang w:eastAsia="zh-CN" w:bidi="ar-SA"/>
        </w:rPr>
      </w:pPr>
      <w:r>
        <w:rPr>
          <w:rFonts w:hint="eastAsia" w:ascii="仿宋" w:hAnsi="仿宋" w:eastAsia="仿宋" w:cs="仿宋"/>
          <w:color w:val="auto"/>
          <w:lang w:eastAsia="zh-CN"/>
        </w:rPr>
        <w:t>区级储备粮是区政府调控粮食市场的重要物资。为使区级储备粮的轮换工作规范化、制</w:t>
      </w:r>
      <w:r>
        <w:rPr>
          <w:rFonts w:hint="eastAsia" w:ascii="仿宋" w:hAnsi="仿宋" w:eastAsia="仿宋" w:cs="仿宋"/>
          <w:color w:val="auto"/>
          <w:highlight w:val="none"/>
          <w:lang w:eastAsia="zh-CN"/>
        </w:rPr>
        <w:t>度化，确保</w:t>
      </w:r>
      <w:r>
        <w:rPr>
          <w:rFonts w:hint="eastAsia" w:ascii="仿宋" w:hAnsi="仿宋" w:eastAsia="仿宋" w:cs="仿宋"/>
          <w:color w:val="auto"/>
          <w:lang w:eastAsia="zh-CN"/>
        </w:rPr>
        <w:t>粮食储备规模、储存安全、质量良好，提高政府调控市场的能力，根据《四川省地方粮食储备管理办法》《乐山市金口河区区级储备粮管理办法》《乐山市金口河区区级储备粮轮换管理办法》的相关要求，乐山市金口河区发展和政革局(以下简称区发展改革局)、乐山市金口河区财政局(以下简称区财政局)、乐山市金口河区粮食和物资储备中心(以下简称区粮储中心)、中国农业发展银行峨眉山市支行(以下简称峨眉农发行)共同研究决定，同意按程序组织实施区级储备粮(稻谷)的轮换工作</w:t>
      </w:r>
      <w:r>
        <w:rPr>
          <w:rFonts w:hint="eastAsia" w:ascii="仿宋" w:hAnsi="仿宋" w:eastAsia="仿宋" w:cs="仿宋"/>
          <w:bCs/>
          <w:kern w:val="2"/>
          <w:szCs w:val="32"/>
          <w:lang w:eastAsia="zh-CN" w:bidi="ar-SA"/>
        </w:rPr>
        <w:t>。</w:t>
      </w:r>
    </w:p>
    <w:bookmarkEnd w:id="82"/>
    <w:bookmarkEnd w:id="83"/>
    <w:bookmarkEnd w:id="84"/>
    <w:bookmarkEnd w:id="85"/>
    <w:bookmarkEnd w:id="86"/>
    <w:bookmarkEnd w:id="87"/>
    <w:bookmarkEnd w:id="88"/>
    <w:p w14:paraId="14804B4B">
      <w:pPr>
        <w:pStyle w:val="3"/>
        <w:spacing w:before="0" w:beforeLines="0" w:after="0" w:afterLines="0" w:line="600" w:lineRule="exact"/>
        <w:ind w:firstLineChars="0"/>
        <w:rPr>
          <w:rFonts w:hint="eastAsia" w:ascii="仿宋" w:hAnsi="仿宋" w:eastAsia="仿宋" w:cs="仿宋"/>
          <w:b w:val="0"/>
          <w:bCs/>
          <w:szCs w:val="32"/>
          <w:lang w:eastAsia="zh-CN"/>
        </w:rPr>
      </w:pPr>
      <w:bookmarkStart w:id="89" w:name="_Toc15651"/>
      <w:bookmarkStart w:id="90" w:name="_Toc28877"/>
      <w:bookmarkStart w:id="91" w:name="_Toc133498028"/>
      <w:bookmarkStart w:id="92" w:name="_Toc24844"/>
      <w:bookmarkStart w:id="93" w:name="_Toc15203"/>
      <w:bookmarkStart w:id="94" w:name="_Toc1491763895"/>
      <w:bookmarkStart w:id="95" w:name="_Toc1372691542"/>
      <w:bookmarkStart w:id="96" w:name="_Toc17740"/>
      <w:bookmarkStart w:id="97" w:name="_Toc17270"/>
      <w:bookmarkStart w:id="98" w:name="_Toc12980"/>
      <w:bookmarkStart w:id="99" w:name="_Toc865934723"/>
      <w:bookmarkStart w:id="100" w:name="_Toc1093480860_WPSOffice_Level3"/>
      <w:bookmarkStart w:id="101" w:name="_Toc130033880"/>
      <w:bookmarkStart w:id="102" w:name="_Toc5685"/>
      <w:bookmarkStart w:id="103" w:name="_Toc153907914"/>
      <w:r>
        <w:rPr>
          <w:rFonts w:hint="eastAsia" w:ascii="仿宋" w:hAnsi="仿宋" w:eastAsia="仿宋" w:cs="仿宋"/>
          <w:b w:val="0"/>
          <w:bCs/>
          <w:szCs w:val="32"/>
          <w:lang w:eastAsia="zh-CN"/>
        </w:rPr>
        <w:t>（二）项目主要内容</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0CA6A75C">
      <w:pPr>
        <w:widowControl/>
        <w:spacing w:line="600" w:lineRule="exact"/>
        <w:ind w:firstLine="640"/>
        <w:rPr>
          <w:rFonts w:hint="eastAsia" w:ascii="仿宋" w:hAnsi="仿宋" w:eastAsia="仿宋" w:cs="仿宋"/>
          <w:bCs/>
          <w:szCs w:val="32"/>
          <w:lang w:val="zh-CN" w:eastAsia="zh-CN"/>
        </w:rPr>
      </w:pPr>
      <w:r>
        <w:rPr>
          <w:rFonts w:hint="eastAsia" w:ascii="仿宋" w:hAnsi="仿宋" w:eastAsia="仿宋" w:cs="仿宋"/>
          <w:bCs/>
          <w:szCs w:val="32"/>
          <w:lang w:val="zh-CN" w:eastAsia="zh-CN"/>
        </w:rPr>
        <w:t>1.项目基本情况：</w:t>
      </w:r>
    </w:p>
    <w:p w14:paraId="35FEEDB8">
      <w:pPr>
        <w:widowControl/>
        <w:spacing w:line="600" w:lineRule="exact"/>
        <w:ind w:firstLine="640"/>
        <w:rPr>
          <w:rFonts w:hint="eastAsia" w:ascii="仿宋" w:hAnsi="仿宋" w:eastAsia="仿宋" w:cs="仿宋"/>
          <w:color w:val="auto"/>
          <w:lang w:val="zh-CN" w:eastAsia="zh-CN"/>
        </w:rPr>
      </w:pPr>
      <w:r>
        <w:rPr>
          <w:rFonts w:hint="eastAsia" w:ascii="仿宋" w:hAnsi="仿宋" w:eastAsia="仿宋" w:cs="仿宋"/>
          <w:bCs/>
          <w:szCs w:val="32"/>
          <w:lang w:val="zh-CN" w:eastAsia="zh-CN"/>
        </w:rPr>
        <w:t>项目名称：</w:t>
      </w:r>
      <w:r>
        <w:rPr>
          <w:rFonts w:hint="eastAsia" w:ascii="仿宋" w:hAnsi="仿宋" w:eastAsia="仿宋" w:cs="仿宋"/>
          <w:color w:val="auto"/>
          <w:lang w:val="zh-CN" w:eastAsia="zh-CN"/>
        </w:rPr>
        <w:t>储备粮油费用补贴</w:t>
      </w:r>
    </w:p>
    <w:p w14:paraId="141FF53F">
      <w:pPr>
        <w:widowControl/>
        <w:spacing w:line="600" w:lineRule="exact"/>
        <w:ind w:firstLine="640"/>
        <w:rPr>
          <w:rFonts w:hint="eastAsia" w:ascii="仿宋" w:hAnsi="仿宋" w:eastAsia="仿宋" w:cs="仿宋"/>
          <w:color w:val="auto"/>
          <w:lang w:val="zh-CN" w:eastAsia="zh-CN"/>
        </w:rPr>
      </w:pPr>
      <w:r>
        <w:rPr>
          <w:rFonts w:hint="eastAsia" w:ascii="仿宋" w:hAnsi="仿宋" w:eastAsia="仿宋" w:cs="仿宋"/>
          <w:bCs/>
          <w:szCs w:val="32"/>
          <w:lang w:val="zh-CN" w:eastAsia="zh-CN"/>
        </w:rPr>
        <w:t>项目单位：</w:t>
      </w:r>
      <w:r>
        <w:rPr>
          <w:rFonts w:hint="eastAsia" w:ascii="仿宋" w:hAnsi="仿宋" w:eastAsia="仿宋" w:cs="仿宋"/>
          <w:color w:val="auto"/>
          <w:lang w:val="zh-CN" w:eastAsia="zh-CN"/>
        </w:rPr>
        <w:t>乐山市金口河区粮食和物资储备中心</w:t>
      </w:r>
    </w:p>
    <w:p w14:paraId="70458B8E">
      <w:pPr>
        <w:widowControl/>
        <w:spacing w:line="600" w:lineRule="exact"/>
        <w:ind w:firstLine="640"/>
        <w:rPr>
          <w:rFonts w:hint="eastAsia" w:ascii="仿宋" w:hAnsi="仿宋" w:eastAsia="仿宋" w:cs="仿宋"/>
          <w:szCs w:val="32"/>
          <w:lang w:val="zh-CN" w:eastAsia="zh-CN"/>
        </w:rPr>
      </w:pPr>
      <w:r>
        <w:rPr>
          <w:rFonts w:hint="eastAsia" w:ascii="仿宋_GB2312"/>
          <w:szCs w:val="32"/>
          <w:lang w:eastAsia="zh-CN"/>
        </w:rPr>
        <w:t>主管部门：</w:t>
      </w:r>
      <w:r>
        <w:rPr>
          <w:rFonts w:hint="eastAsia" w:ascii="仿宋" w:hAnsi="仿宋" w:eastAsia="仿宋" w:cs="仿宋"/>
          <w:color w:val="auto"/>
          <w:lang w:val="zh-CN" w:eastAsia="zh-CN"/>
        </w:rPr>
        <w:t>乐山市金口河区粮食和物资储备中心</w:t>
      </w:r>
    </w:p>
    <w:p w14:paraId="65DB9A0C">
      <w:pPr>
        <w:widowControl/>
        <w:spacing w:line="600" w:lineRule="exact"/>
        <w:ind w:firstLine="640"/>
        <w:rPr>
          <w:rFonts w:hint="eastAsia" w:ascii="仿宋" w:hAnsi="仿宋" w:eastAsia="仿宋" w:cs="仿宋"/>
          <w:bCs/>
          <w:szCs w:val="32"/>
          <w:lang w:eastAsia="zh-CN"/>
        </w:rPr>
      </w:pPr>
      <w:r>
        <w:rPr>
          <w:rFonts w:hint="eastAsia" w:ascii="仿宋" w:hAnsi="仿宋" w:eastAsia="仿宋" w:cs="仿宋"/>
          <w:bCs/>
          <w:szCs w:val="32"/>
          <w:lang w:val="zh-CN" w:eastAsia="zh-CN"/>
        </w:rPr>
        <w:t>项目属性（新增/延续）：</w:t>
      </w:r>
      <w:r>
        <w:rPr>
          <w:rFonts w:hint="eastAsia" w:ascii="仿宋" w:hAnsi="仿宋" w:eastAsia="仿宋" w:cs="仿宋"/>
          <w:color w:val="auto"/>
          <w:lang w:val="zh-CN" w:eastAsia="zh-CN"/>
        </w:rPr>
        <w:t>新增性项目</w:t>
      </w:r>
    </w:p>
    <w:p w14:paraId="5CAB8175">
      <w:pPr>
        <w:widowControl/>
        <w:spacing w:line="600" w:lineRule="exact"/>
        <w:ind w:firstLine="640"/>
        <w:rPr>
          <w:rFonts w:hint="eastAsia" w:ascii="仿宋" w:hAnsi="仿宋" w:eastAsia="仿宋" w:cs="仿宋"/>
          <w:bCs/>
          <w:szCs w:val="32"/>
          <w:lang w:val="zh-CN" w:eastAsia="zh-CN"/>
        </w:rPr>
      </w:pPr>
      <w:r>
        <w:rPr>
          <w:rFonts w:hint="eastAsia" w:ascii="仿宋" w:hAnsi="仿宋" w:eastAsia="仿宋" w:cs="仿宋"/>
          <w:bCs/>
          <w:szCs w:val="32"/>
          <w:lang w:val="zh-CN" w:eastAsia="zh-CN"/>
        </w:rPr>
        <w:t>2.项目绩效目标：</w:t>
      </w:r>
    </w:p>
    <w:p w14:paraId="76E22081">
      <w:pPr>
        <w:widowControl/>
        <w:spacing w:line="600" w:lineRule="exact"/>
        <w:ind w:firstLine="640"/>
        <w:rPr>
          <w:rFonts w:hint="eastAsia" w:ascii="仿宋" w:hAnsi="仿宋" w:eastAsia="仿宋" w:cs="仿宋"/>
          <w:color w:val="auto"/>
          <w:lang w:val="zh-CN" w:eastAsia="zh-CN"/>
        </w:rPr>
      </w:pPr>
      <w:r>
        <w:rPr>
          <w:rFonts w:hint="eastAsia" w:ascii="仿宋" w:hAnsi="仿宋" w:eastAsia="仿宋" w:cs="仿宋"/>
          <w:color w:val="auto"/>
          <w:lang w:val="zh-CN" w:eastAsia="zh-CN"/>
        </w:rPr>
        <w:t>保证金口河区居民口粮供应，应对自然灾害和保障粮油市场稳定工作，维护全区粮食流通秩序，保障城乡居民、部队、学校口粮供应，保障全区粮食原粮的卫生安全及全区粮食供应总量平衡，维护社会稳定。</w:t>
      </w:r>
    </w:p>
    <w:p w14:paraId="219BDCF9">
      <w:pPr>
        <w:widowControl/>
        <w:spacing w:line="600" w:lineRule="exact"/>
        <w:ind w:firstLine="640"/>
        <w:rPr>
          <w:rFonts w:hint="eastAsia" w:ascii="仿宋" w:hAnsi="仿宋" w:eastAsia="仿宋" w:cs="仿宋"/>
          <w:bCs/>
          <w:szCs w:val="32"/>
          <w:lang w:val="zh-CN" w:eastAsia="zh-CN"/>
        </w:rPr>
      </w:pPr>
      <w:r>
        <w:rPr>
          <w:rFonts w:hint="eastAsia" w:ascii="仿宋" w:hAnsi="仿宋" w:eastAsia="仿宋" w:cs="仿宋"/>
          <w:bCs/>
          <w:szCs w:val="32"/>
          <w:lang w:val="zh-CN" w:eastAsia="zh-CN"/>
        </w:rPr>
        <w:t>3.项目概况：</w:t>
      </w:r>
    </w:p>
    <w:p w14:paraId="0422AB75">
      <w:pPr>
        <w:spacing w:line="600" w:lineRule="exact"/>
        <w:ind w:firstLine="640"/>
        <w:rPr>
          <w:rFonts w:hint="eastAsia" w:ascii="仿宋" w:hAnsi="仿宋" w:eastAsia="仿宋" w:cs="仿宋"/>
          <w:bCs/>
          <w:szCs w:val="32"/>
          <w:lang w:eastAsia="zh-CN"/>
        </w:rPr>
      </w:pPr>
      <w:bookmarkStart w:id="104" w:name="_Toc16114"/>
      <w:bookmarkStart w:id="105" w:name="_Toc8112"/>
      <w:bookmarkStart w:id="106" w:name="_Toc300186741"/>
      <w:bookmarkStart w:id="107" w:name="_Toc386835874"/>
      <w:bookmarkStart w:id="108" w:name="_Toc510053535"/>
      <w:bookmarkStart w:id="109" w:name="_Toc1256897804"/>
      <w:bookmarkStart w:id="110" w:name="_Toc20677"/>
      <w:bookmarkStart w:id="111" w:name="_Toc132480960"/>
      <w:bookmarkStart w:id="112" w:name="_Toc2001376203_WPSOffice_Level2"/>
      <w:r>
        <w:rPr>
          <w:rFonts w:hint="eastAsia" w:ascii="仿宋" w:hAnsi="仿宋" w:eastAsia="仿宋" w:cs="仿宋"/>
          <w:color w:val="auto"/>
          <w:lang w:val="zh-CN" w:eastAsia="zh-CN"/>
        </w:rPr>
        <w:t>区级储备粮轮换周期原则上执行稻谷3年、小麦4年、玉米2年、散装菜籽油2年，成品粮油原则上每年至少轮换1次，且至少在保质期到期前3个月进行轮换</w:t>
      </w:r>
      <w:r>
        <w:rPr>
          <w:rFonts w:hint="eastAsia" w:ascii="仿宋" w:hAnsi="仿宋" w:eastAsia="仿宋" w:cs="仿宋"/>
          <w:bCs/>
          <w:szCs w:val="32"/>
          <w:lang w:eastAsia="zh-CN"/>
        </w:rPr>
        <w:t>。</w:t>
      </w:r>
    </w:p>
    <w:p w14:paraId="21F4B67B">
      <w:pPr>
        <w:spacing w:line="600" w:lineRule="exact"/>
        <w:ind w:firstLine="640"/>
        <w:rPr>
          <w:rFonts w:hint="eastAsia" w:ascii="仿宋" w:hAnsi="仿宋" w:eastAsia="仿宋" w:cs="仿宋"/>
          <w:bCs/>
          <w:kern w:val="2"/>
          <w:szCs w:val="32"/>
          <w:lang w:eastAsia="zh-CN" w:bidi="ar-SA"/>
        </w:rPr>
      </w:pPr>
      <w:r>
        <w:rPr>
          <w:rFonts w:hint="eastAsia" w:ascii="仿宋" w:hAnsi="仿宋" w:eastAsia="仿宋" w:cs="仿宋"/>
          <w:color w:val="auto"/>
          <w:lang w:val="zh-CN" w:eastAsia="zh-CN"/>
        </w:rPr>
        <w:t>区粮储中心承担全区粮油和物资储备任务。为了保证金口河区居民口粮供应，应对自然灾害和保障粮油市场稳定工作，区储备中心在2025年部门预算中，预算储备粮油费用70.5万元，主要用于粮食2000吨、菜籽油10吨的保管费、轮换费及银行借款利息</w:t>
      </w:r>
      <w:r>
        <w:rPr>
          <w:rFonts w:hint="eastAsia" w:ascii="仿宋" w:hAnsi="仿宋" w:eastAsia="仿宋" w:cs="仿宋"/>
          <w:bCs/>
          <w:kern w:val="2"/>
          <w:szCs w:val="32"/>
          <w:lang w:eastAsia="zh-CN" w:bidi="ar-SA"/>
        </w:rPr>
        <w:t>。</w:t>
      </w:r>
    </w:p>
    <w:p w14:paraId="0226220D">
      <w:pPr>
        <w:spacing w:line="600" w:lineRule="exact"/>
        <w:ind w:firstLine="640"/>
        <w:rPr>
          <w:rFonts w:hint="eastAsia" w:ascii="仿宋" w:hAnsi="仿宋" w:eastAsia="仿宋" w:cs="仿宋"/>
          <w:bCs/>
          <w:kern w:val="2"/>
          <w:szCs w:val="32"/>
          <w:lang w:eastAsia="zh-CN" w:bidi="ar-SA"/>
        </w:rPr>
      </w:pPr>
      <w:r>
        <w:rPr>
          <w:rFonts w:hint="eastAsia" w:ascii="仿宋" w:hAnsi="仿宋" w:eastAsia="仿宋" w:cs="仿宋"/>
          <w:bCs/>
          <w:kern w:val="2"/>
          <w:szCs w:val="32"/>
          <w:lang w:eastAsia="zh-CN" w:bidi="ar-SA"/>
        </w:rPr>
        <w:t>4.</w:t>
      </w:r>
      <w:r>
        <w:rPr>
          <w:rFonts w:hint="eastAsia" w:ascii="仿宋" w:hAnsi="仿宋" w:eastAsia="仿宋" w:cs="仿宋"/>
          <w:bCs/>
          <w:szCs w:val="32"/>
          <w:lang w:eastAsia="zh-CN"/>
        </w:rPr>
        <w:t>项目实施过程</w:t>
      </w:r>
    </w:p>
    <w:p w14:paraId="5C9E0E6B">
      <w:pPr>
        <w:spacing w:line="600" w:lineRule="exact"/>
        <w:ind w:firstLine="640"/>
        <w:rPr>
          <w:rFonts w:hint="eastAsia" w:ascii="仿宋" w:hAnsi="仿宋" w:eastAsia="仿宋" w:cs="仿宋"/>
          <w:bCs/>
          <w:kern w:val="2"/>
          <w:szCs w:val="32"/>
          <w:lang w:eastAsia="zh-CN" w:bidi="ar-SA"/>
        </w:rPr>
      </w:pPr>
      <w:r>
        <w:rPr>
          <w:rFonts w:hint="eastAsia" w:ascii="仿宋" w:hAnsi="仿宋" w:eastAsia="仿宋" w:cs="仿宋"/>
          <w:color w:val="auto"/>
          <w:lang w:val="zh-CN" w:eastAsia="zh-CN"/>
        </w:rPr>
        <w:t>保管费、轮换费依据《乐山市金口河区级储备粮油管理办法》(金发改[2022]109号)第七章第三十六条:区级储备粮的储备费用按储备总量(原粮)每年0.06元/斤补贴,轮换费用按储备总量(原粮)每年0.06元/斤补贴;第三十八条:区级储备粮、油的借款利息按农业发展银行同期农副产品收购贷款利率，由区财政局据实拔付。区级储备粮费用利息的拨付实行按季预发，并在次年第一季度内进行清算</w:t>
      </w:r>
      <w:r>
        <w:rPr>
          <w:rFonts w:hint="eastAsia" w:ascii="仿宋" w:hAnsi="仿宋" w:eastAsia="仿宋" w:cs="仿宋"/>
          <w:szCs w:val="32"/>
          <w:lang w:eastAsia="zh-CN"/>
        </w:rPr>
        <w:t>。</w:t>
      </w:r>
    </w:p>
    <w:p w14:paraId="24962829">
      <w:pPr>
        <w:pStyle w:val="3"/>
        <w:spacing w:before="0" w:beforeLines="0" w:after="0" w:afterLines="0" w:line="600" w:lineRule="exact"/>
        <w:ind w:firstLineChars="0"/>
        <w:rPr>
          <w:rFonts w:hint="eastAsia" w:ascii="仿宋" w:hAnsi="仿宋" w:eastAsia="仿宋" w:cs="仿宋"/>
          <w:b w:val="0"/>
          <w:bCs/>
          <w:szCs w:val="32"/>
          <w:lang w:eastAsia="zh-CN"/>
        </w:rPr>
      </w:pPr>
      <w:bookmarkStart w:id="113" w:name="_Toc31055"/>
      <w:r>
        <w:rPr>
          <w:rFonts w:hint="eastAsia" w:ascii="仿宋" w:hAnsi="仿宋" w:eastAsia="仿宋" w:cs="仿宋"/>
          <w:b w:val="0"/>
          <w:bCs/>
          <w:szCs w:val="32"/>
          <w:lang w:eastAsia="zh-CN"/>
        </w:rPr>
        <w:t>（三）项目预算构成</w:t>
      </w:r>
      <w:bookmarkEnd w:id="104"/>
      <w:bookmarkEnd w:id="105"/>
      <w:bookmarkEnd w:id="106"/>
      <w:bookmarkEnd w:id="107"/>
      <w:bookmarkEnd w:id="108"/>
      <w:bookmarkEnd w:id="109"/>
      <w:bookmarkEnd w:id="110"/>
      <w:bookmarkEnd w:id="111"/>
      <w:bookmarkEnd w:id="112"/>
      <w:bookmarkEnd w:id="113"/>
    </w:p>
    <w:p w14:paraId="5ED64F7E">
      <w:pPr>
        <w:spacing w:line="600" w:lineRule="exact"/>
        <w:ind w:firstLine="640"/>
        <w:rPr>
          <w:rFonts w:hint="eastAsia" w:ascii="仿宋" w:hAnsi="仿宋" w:eastAsia="仿宋" w:cs="仿宋"/>
          <w:color w:val="auto"/>
          <w:lang w:val="zh-CN" w:eastAsia="zh-CN"/>
        </w:rPr>
      </w:pPr>
      <w:r>
        <w:rPr>
          <w:rFonts w:hint="eastAsia" w:ascii="仿宋" w:hAnsi="仿宋" w:eastAsia="仿宋" w:cs="仿宋"/>
          <w:color w:val="auto"/>
          <w:lang w:val="zh-CN" w:eastAsia="zh-CN"/>
        </w:rPr>
        <w:t>根据区粮储中心提供的《金口河区储备粮油费用补贴预算及明细》《项目收支统计明细表》，区粮储中心2025年储备粮油费用补贴预算资金70.5万元。</w:t>
      </w:r>
    </w:p>
    <w:p w14:paraId="450A5688">
      <w:pPr>
        <w:spacing w:line="600" w:lineRule="exact"/>
        <w:ind w:firstLine="640"/>
        <w:rPr>
          <w:rFonts w:hint="eastAsia" w:ascii="仿宋" w:hAnsi="仿宋" w:eastAsia="仿宋" w:cs="仿宋"/>
          <w:bCs/>
          <w:szCs w:val="32"/>
          <w:lang w:eastAsia="zh-CN"/>
        </w:rPr>
      </w:pPr>
      <w:r>
        <w:rPr>
          <w:rFonts w:hint="eastAsia" w:ascii="仿宋" w:hAnsi="仿宋" w:eastAsia="仿宋" w:cs="仿宋"/>
          <w:color w:val="auto"/>
          <w:lang w:val="zh-CN" w:eastAsia="zh-CN"/>
        </w:rPr>
        <w:t>预算资金主要用于粮食2000吨、菜籽油10吨的保管费、轮换费及银行借款利息。其依据为《乐山市金口河区级储备粮油管理办法》(金发改[2022]109号)第七章第三十六条:区级储备粮的储备费用按储备总量(原粮)每年0.06元/斤补贴,轮换费用按储备总量(原粮)每年0.06元/斤补贴;第三十八条:区级储备粮、油的借款利息按农业发展银行同期农副产品收购贷款利率，由区财政局据实拔付。区级储备粮费用利息的拨付实行按季预发，并在次年第一季度内进行清算</w:t>
      </w:r>
      <w:r>
        <w:rPr>
          <w:rFonts w:hint="eastAsia" w:ascii="仿宋" w:hAnsi="仿宋" w:eastAsia="仿宋" w:cs="仿宋"/>
          <w:bCs/>
          <w:szCs w:val="32"/>
          <w:lang w:eastAsia="zh-CN"/>
        </w:rPr>
        <w:t>。</w:t>
      </w:r>
    </w:p>
    <w:p w14:paraId="4718337C">
      <w:pPr>
        <w:pStyle w:val="2"/>
        <w:numPr>
          <w:ilvl w:val="0"/>
          <w:numId w:val="1"/>
        </w:numPr>
        <w:spacing w:before="0" w:beforeLines="0" w:after="0" w:afterLines="0"/>
        <w:rPr>
          <w:rFonts w:hint="eastAsia" w:ascii="仿宋" w:hAnsi="仿宋" w:eastAsia="仿宋" w:cs="仿宋"/>
          <w:b w:val="0"/>
          <w:bCs/>
          <w:szCs w:val="32"/>
          <w:lang w:eastAsia="zh-CN"/>
        </w:rPr>
      </w:pPr>
      <w:bookmarkStart w:id="114" w:name="_Toc9538"/>
      <w:bookmarkStart w:id="115" w:name="_Toc8033"/>
      <w:bookmarkStart w:id="116" w:name="_Toc23154"/>
      <w:bookmarkStart w:id="117" w:name="_Toc326378840"/>
      <w:bookmarkStart w:id="118" w:name="_Toc338550202"/>
      <w:bookmarkStart w:id="119" w:name="_Toc1396703300"/>
      <w:bookmarkStart w:id="120" w:name="_Toc1093480860_WPSOffice_Level1"/>
      <w:bookmarkStart w:id="121" w:name="_Toc132480961"/>
      <w:bookmarkStart w:id="122" w:name="_Toc451760287"/>
      <w:bookmarkStart w:id="123" w:name="_Toc1939"/>
      <w:bookmarkStart w:id="124" w:name="_Toc4357"/>
      <w:r>
        <w:rPr>
          <w:rFonts w:hint="eastAsia" w:ascii="仿宋" w:hAnsi="仿宋" w:eastAsia="仿宋" w:cs="仿宋"/>
          <w:b w:val="0"/>
          <w:bCs/>
          <w:szCs w:val="32"/>
          <w:lang w:eastAsia="zh-CN"/>
        </w:rPr>
        <w:t>绩效评价工作开展情况</w:t>
      </w:r>
      <w:bookmarkEnd w:id="114"/>
      <w:bookmarkEnd w:id="115"/>
      <w:bookmarkEnd w:id="116"/>
      <w:bookmarkEnd w:id="117"/>
      <w:bookmarkEnd w:id="118"/>
      <w:bookmarkEnd w:id="119"/>
      <w:bookmarkEnd w:id="120"/>
      <w:bookmarkEnd w:id="121"/>
      <w:bookmarkEnd w:id="122"/>
      <w:bookmarkEnd w:id="123"/>
      <w:bookmarkEnd w:id="124"/>
    </w:p>
    <w:p w14:paraId="2124F4A1">
      <w:pPr>
        <w:pStyle w:val="3"/>
        <w:numPr>
          <w:ilvl w:val="1"/>
          <w:numId w:val="2"/>
        </w:numPr>
        <w:spacing w:before="0" w:beforeLines="0" w:after="0" w:afterLines="0"/>
        <w:ind w:left="0" w:firstLine="709" w:firstLineChars="0"/>
        <w:rPr>
          <w:rFonts w:hint="eastAsia" w:ascii="仿宋" w:hAnsi="仿宋" w:eastAsia="仿宋" w:cs="仿宋"/>
          <w:b w:val="0"/>
          <w:bCs/>
          <w:szCs w:val="32"/>
          <w:lang w:eastAsia="zh-CN"/>
        </w:rPr>
      </w:pPr>
      <w:bookmarkStart w:id="125" w:name="_Toc29934"/>
      <w:bookmarkStart w:id="126" w:name="_Toc132480962"/>
      <w:bookmarkStart w:id="127" w:name="_Toc20456"/>
      <w:bookmarkStart w:id="128" w:name="_Toc6302"/>
      <w:bookmarkStart w:id="129" w:name="_Toc1380451464"/>
      <w:bookmarkStart w:id="130" w:name="_Toc1329064111"/>
      <w:bookmarkStart w:id="131" w:name="_Toc24814"/>
      <w:bookmarkStart w:id="132" w:name="_Toc775929442"/>
      <w:bookmarkStart w:id="133" w:name="_Toc26870"/>
      <w:bookmarkStart w:id="134" w:name="_Toc248617743"/>
      <w:r>
        <w:rPr>
          <w:rFonts w:hint="eastAsia" w:ascii="仿宋" w:hAnsi="仿宋" w:eastAsia="仿宋" w:cs="仿宋"/>
          <w:b w:val="0"/>
          <w:bCs/>
          <w:szCs w:val="32"/>
          <w:lang w:eastAsia="zh-CN"/>
        </w:rPr>
        <w:t>绩效评价目的</w:t>
      </w:r>
      <w:bookmarkEnd w:id="125"/>
      <w:bookmarkEnd w:id="126"/>
      <w:bookmarkEnd w:id="127"/>
      <w:bookmarkEnd w:id="128"/>
      <w:bookmarkEnd w:id="129"/>
      <w:bookmarkEnd w:id="130"/>
      <w:bookmarkEnd w:id="131"/>
      <w:bookmarkEnd w:id="132"/>
      <w:bookmarkEnd w:id="133"/>
      <w:bookmarkEnd w:id="134"/>
    </w:p>
    <w:p w14:paraId="2D4FB16D">
      <w:pPr>
        <w:ind w:firstLine="640"/>
        <w:rPr>
          <w:rFonts w:hint="eastAsia" w:ascii="仿宋" w:hAnsi="仿宋" w:eastAsia="仿宋" w:cs="仿宋"/>
          <w:color w:val="auto"/>
          <w:lang w:val="zh-CN" w:eastAsia="zh-CN"/>
        </w:rPr>
      </w:pPr>
      <w:r>
        <w:rPr>
          <w:rFonts w:hint="eastAsia" w:ascii="仿宋" w:hAnsi="仿宋" w:eastAsia="仿宋" w:cs="仿宋"/>
          <w:color w:val="auto"/>
          <w:lang w:val="zh-CN" w:eastAsia="zh-CN"/>
        </w:rPr>
        <w:t>根据《乐山市金口河区财政局关于委托金口河区财政投资评价审核中心开展2025年事前绩效评估工作的函》，金口河区财政局在各预算单位对2025年年初预算资金进行事前自评的基础上，按照“资金量较大、代表性较强、社会关注度较高、资金分配覆盖广且连续实施”的原则，委托我中心对储备粮油费用补贴项目进行评估。本项目的绩效评估主要判断项目申请资金支持的必要性和可行性；重点论证项目实施的必要性、公益性、收益性；项目</w:t>
      </w:r>
      <w:r>
        <w:rPr>
          <w:rFonts w:hint="eastAsia" w:ascii="仿宋" w:hAnsi="仿宋" w:eastAsia="仿宋" w:cs="仿宋"/>
          <w:color w:val="auto"/>
          <w:lang w:val="en-US" w:eastAsia="zh-CN"/>
        </w:rPr>
        <w:t>实施</w:t>
      </w:r>
      <w:r>
        <w:rPr>
          <w:rFonts w:hint="eastAsia" w:ascii="仿宋" w:hAnsi="仿宋" w:eastAsia="仿宋" w:cs="仿宋"/>
          <w:color w:val="auto"/>
          <w:lang w:val="zh-CN" w:eastAsia="zh-CN"/>
        </w:rPr>
        <w:t>合规性与项目成熟度；项目资金来源和到位可行性；项目绩效目标合理性、事前绩效评估论证结果。</w:t>
      </w:r>
    </w:p>
    <w:p w14:paraId="1A1977CA">
      <w:pPr>
        <w:pStyle w:val="3"/>
        <w:numPr>
          <w:ilvl w:val="0"/>
          <w:numId w:val="2"/>
        </w:numPr>
        <w:spacing w:before="0" w:beforeLines="0" w:after="0" w:afterLines="0"/>
        <w:ind w:left="0" w:firstLine="709" w:firstLineChars="0"/>
        <w:rPr>
          <w:rFonts w:hint="eastAsia" w:ascii="仿宋" w:hAnsi="仿宋" w:eastAsia="仿宋" w:cs="仿宋"/>
          <w:b w:val="0"/>
          <w:bCs/>
          <w:szCs w:val="32"/>
          <w:lang w:eastAsia="zh-CN"/>
        </w:rPr>
      </w:pPr>
      <w:bookmarkStart w:id="135" w:name="_Toc166470150"/>
      <w:bookmarkStart w:id="136" w:name="_Toc32534"/>
      <w:bookmarkStart w:id="137" w:name="_Toc2011308256"/>
      <w:bookmarkStart w:id="138" w:name="_Toc15142"/>
      <w:bookmarkStart w:id="139" w:name="_Toc132480963"/>
      <w:bookmarkStart w:id="140" w:name="_Toc1343165574"/>
      <w:bookmarkStart w:id="141" w:name="_Toc8572"/>
      <w:bookmarkStart w:id="142" w:name="_Toc1814348475"/>
      <w:bookmarkStart w:id="143" w:name="_Toc6017"/>
      <w:bookmarkStart w:id="144" w:name="_Toc6919"/>
      <w:r>
        <w:rPr>
          <w:rFonts w:hint="eastAsia" w:ascii="仿宋" w:hAnsi="仿宋" w:eastAsia="仿宋" w:cs="仿宋"/>
          <w:b w:val="0"/>
          <w:bCs/>
          <w:szCs w:val="32"/>
          <w:lang w:eastAsia="zh-CN"/>
        </w:rPr>
        <w:t>绩效评价</w:t>
      </w:r>
      <w:bookmarkEnd w:id="135"/>
      <w:bookmarkEnd w:id="136"/>
      <w:bookmarkEnd w:id="137"/>
      <w:bookmarkEnd w:id="138"/>
      <w:bookmarkEnd w:id="139"/>
      <w:bookmarkEnd w:id="140"/>
      <w:bookmarkEnd w:id="141"/>
      <w:bookmarkEnd w:id="142"/>
      <w:r>
        <w:rPr>
          <w:rFonts w:hint="eastAsia" w:ascii="仿宋" w:hAnsi="仿宋" w:eastAsia="仿宋" w:cs="仿宋"/>
          <w:b w:val="0"/>
          <w:bCs/>
          <w:szCs w:val="32"/>
          <w:lang w:eastAsia="zh-CN"/>
        </w:rPr>
        <w:t>指标</w:t>
      </w:r>
      <w:bookmarkEnd w:id="143"/>
      <w:bookmarkEnd w:id="144"/>
    </w:p>
    <w:p w14:paraId="567F24FB">
      <w:pPr>
        <w:ind w:firstLine="640"/>
        <w:rPr>
          <w:rFonts w:hint="eastAsia" w:ascii="仿宋" w:hAnsi="仿宋" w:eastAsia="仿宋" w:cs="仿宋"/>
          <w:bCs/>
          <w:szCs w:val="32"/>
          <w:lang w:eastAsia="zh-CN"/>
        </w:rPr>
      </w:pPr>
      <w:r>
        <w:rPr>
          <w:rFonts w:hint="eastAsia" w:ascii="仿宋" w:hAnsi="仿宋" w:eastAsia="仿宋" w:cs="仿宋"/>
          <w:color w:val="auto"/>
          <w:lang w:val="zh-CN" w:eastAsia="zh-CN"/>
        </w:rPr>
        <w:t>储备粮油费用补贴事前绩效评估指标直接影响绩效评估结果的有效性，设计和选择评估指标时，评估工作小组遵循“相关性、经济性、可比性、重要性”的原则，通过对储备粮油费用补贴相关文件的学习理解、对项目特点的深入研究以及对项目资料的整理分析的基础上，设计形成事前绩效评估体系。绩效评估总分100分，共设置一级指标8个，分值分别为16分、18分、12分、12分、13分、8分、</w:t>
      </w:r>
      <w:r>
        <w:rPr>
          <w:rFonts w:hint="eastAsia" w:ascii="仿宋" w:hAnsi="仿宋" w:eastAsia="仿宋" w:cs="仿宋"/>
          <w:color w:val="auto"/>
          <w:lang w:val="en-US" w:eastAsia="zh-CN"/>
        </w:rPr>
        <w:t>12</w:t>
      </w:r>
      <w:r>
        <w:rPr>
          <w:rFonts w:hint="eastAsia" w:ascii="仿宋" w:hAnsi="仿宋" w:eastAsia="仿宋" w:cs="仿宋"/>
          <w:color w:val="auto"/>
          <w:lang w:val="zh-CN" w:eastAsia="zh-CN"/>
        </w:rPr>
        <w:t>分和</w:t>
      </w:r>
      <w:r>
        <w:rPr>
          <w:rFonts w:hint="eastAsia" w:ascii="仿宋" w:hAnsi="仿宋" w:eastAsia="仿宋" w:cs="仿宋"/>
          <w:color w:val="auto"/>
          <w:lang w:val="en-US" w:eastAsia="zh-CN"/>
        </w:rPr>
        <w:t>9</w:t>
      </w:r>
      <w:r>
        <w:rPr>
          <w:rFonts w:hint="eastAsia" w:ascii="仿宋" w:hAnsi="仿宋" w:eastAsia="仿宋" w:cs="仿宋"/>
          <w:color w:val="auto"/>
          <w:lang w:val="zh-CN" w:eastAsia="zh-CN"/>
        </w:rPr>
        <w:t>分，设置二级指标1</w:t>
      </w:r>
      <w:r>
        <w:rPr>
          <w:rFonts w:hint="eastAsia" w:ascii="仿宋" w:hAnsi="仿宋" w:eastAsia="仿宋" w:cs="仿宋"/>
          <w:color w:val="auto"/>
          <w:lang w:val="en-US" w:eastAsia="zh-CN"/>
        </w:rPr>
        <w:t>6</w:t>
      </w:r>
      <w:r>
        <w:rPr>
          <w:rFonts w:hint="eastAsia" w:ascii="仿宋" w:hAnsi="仿宋" w:eastAsia="仿宋" w:cs="仿宋"/>
          <w:color w:val="auto"/>
          <w:lang w:val="zh-CN" w:eastAsia="zh-CN"/>
        </w:rPr>
        <w:t>个，重点论证立项必要性、绩效目标合理性、</w:t>
      </w:r>
      <w:r>
        <w:rPr>
          <w:rFonts w:hint="eastAsia" w:ascii="仿宋" w:hAnsi="仿宋" w:eastAsia="仿宋" w:cs="仿宋"/>
          <w:color w:val="auto"/>
          <w:lang w:val="en-US" w:eastAsia="zh-CN"/>
        </w:rPr>
        <w:t>管理办法执行的有效</w:t>
      </w:r>
      <w:r>
        <w:rPr>
          <w:rFonts w:hint="eastAsia" w:ascii="仿宋" w:hAnsi="仿宋" w:eastAsia="仿宋" w:cs="仿宋"/>
          <w:color w:val="auto"/>
          <w:lang w:val="zh-CN" w:eastAsia="zh-CN"/>
        </w:rPr>
        <w:t>性、</w:t>
      </w:r>
      <w:r>
        <w:rPr>
          <w:rFonts w:hint="eastAsia" w:ascii="仿宋" w:hAnsi="仿宋" w:eastAsia="仿宋" w:cs="仿宋"/>
          <w:color w:val="auto"/>
          <w:lang w:val="en-US" w:eastAsia="zh-CN"/>
        </w:rPr>
        <w:t>实施成果</w:t>
      </w:r>
      <w:r>
        <w:rPr>
          <w:rFonts w:hint="eastAsia" w:ascii="仿宋" w:hAnsi="仿宋" w:eastAsia="仿宋" w:cs="仿宋"/>
          <w:color w:val="auto"/>
          <w:lang w:val="zh-CN" w:eastAsia="zh-CN"/>
        </w:rPr>
        <w:t>合</w:t>
      </w:r>
      <w:r>
        <w:rPr>
          <w:rFonts w:hint="eastAsia" w:ascii="仿宋" w:hAnsi="仿宋" w:eastAsia="仿宋" w:cs="仿宋"/>
          <w:color w:val="auto"/>
          <w:lang w:val="en-US" w:eastAsia="zh-CN"/>
        </w:rPr>
        <w:t>格</w:t>
      </w:r>
      <w:r>
        <w:rPr>
          <w:rFonts w:hint="eastAsia" w:ascii="仿宋" w:hAnsi="仿宋" w:eastAsia="仿宋" w:cs="仿宋"/>
          <w:color w:val="auto"/>
          <w:lang w:val="zh-CN" w:eastAsia="zh-CN"/>
        </w:rPr>
        <w:t>性等方面，全面评估该项目的的预期绩效情况</w:t>
      </w:r>
      <w:r>
        <w:rPr>
          <w:rFonts w:ascii="仿宋" w:hAnsi="仿宋" w:eastAsia="仿宋" w:cs="仿宋"/>
          <w:bCs/>
          <w:szCs w:val="32"/>
          <w:lang w:eastAsia="zh-CN"/>
        </w:rPr>
        <w:t>。</w:t>
      </w:r>
    </w:p>
    <w:p w14:paraId="5CD2910D">
      <w:pPr>
        <w:pStyle w:val="3"/>
        <w:numPr>
          <w:ilvl w:val="0"/>
          <w:numId w:val="2"/>
        </w:numPr>
        <w:spacing w:before="0" w:beforeLines="0" w:after="0" w:afterLines="0"/>
        <w:ind w:left="0" w:firstLine="709" w:firstLineChars="0"/>
        <w:rPr>
          <w:rFonts w:hint="eastAsia" w:ascii="仿宋" w:hAnsi="仿宋" w:eastAsia="仿宋" w:cs="仿宋"/>
          <w:b w:val="0"/>
          <w:bCs/>
          <w:szCs w:val="32"/>
          <w:lang w:eastAsia="zh-CN"/>
        </w:rPr>
      </w:pPr>
      <w:bookmarkStart w:id="145" w:name="_Toc27238"/>
      <w:bookmarkStart w:id="146" w:name="_Toc133498040"/>
      <w:bookmarkStart w:id="147" w:name="_Toc9410"/>
      <w:bookmarkStart w:id="148" w:name="_Toc9540"/>
      <w:bookmarkStart w:id="149" w:name="_Toc11904"/>
      <w:bookmarkStart w:id="150" w:name="_Toc20949"/>
      <w:bookmarkStart w:id="151" w:name="_Toc22272"/>
      <w:bookmarkStart w:id="152" w:name="_Toc130033892"/>
      <w:r>
        <w:rPr>
          <w:rFonts w:hint="eastAsia" w:ascii="仿宋" w:hAnsi="仿宋" w:eastAsia="仿宋" w:cs="仿宋"/>
          <w:b w:val="0"/>
          <w:bCs/>
          <w:szCs w:val="32"/>
        </w:rPr>
        <w:t>评价依据</w:t>
      </w:r>
      <w:bookmarkEnd w:id="145"/>
      <w:bookmarkEnd w:id="146"/>
      <w:bookmarkEnd w:id="147"/>
      <w:bookmarkEnd w:id="148"/>
      <w:bookmarkEnd w:id="149"/>
      <w:bookmarkEnd w:id="150"/>
      <w:bookmarkEnd w:id="151"/>
      <w:bookmarkEnd w:id="152"/>
    </w:p>
    <w:p w14:paraId="7A464565">
      <w:pPr>
        <w:ind w:firstLine="640"/>
        <w:rPr>
          <w:rFonts w:hint="eastAsia" w:ascii="仿宋" w:hAnsi="仿宋" w:eastAsia="仿宋" w:cs="仿宋"/>
          <w:bCs/>
          <w:szCs w:val="32"/>
          <w:lang w:eastAsia="zh-CN"/>
        </w:rPr>
      </w:pPr>
      <w:r>
        <w:rPr>
          <w:rFonts w:hint="eastAsia" w:ascii="仿宋" w:hAnsi="仿宋" w:eastAsia="仿宋" w:cs="仿宋"/>
          <w:bCs/>
          <w:szCs w:val="32"/>
          <w:lang w:eastAsia="zh-CN"/>
        </w:rPr>
        <w:t>1.《</w:t>
      </w:r>
      <w:r>
        <w:rPr>
          <w:rFonts w:hint="eastAsia" w:ascii="仿宋" w:hAnsi="仿宋" w:eastAsia="仿宋" w:cs="仿宋"/>
          <w:color w:val="auto"/>
          <w:lang w:val="zh-CN" w:eastAsia="zh-CN"/>
        </w:rPr>
        <w:t>关于印发&lt;乐山市金口河区区级储备粮管理办法&gt;的通知》(金发改〔2022〕109号)；</w:t>
      </w:r>
    </w:p>
    <w:p w14:paraId="4ADA23CA">
      <w:pPr>
        <w:ind w:firstLine="640"/>
        <w:rPr>
          <w:rFonts w:hint="eastAsia" w:ascii="仿宋" w:hAnsi="仿宋" w:eastAsia="仿宋" w:cs="仿宋"/>
          <w:bCs/>
          <w:szCs w:val="32"/>
          <w:lang w:eastAsia="zh-CN"/>
        </w:rPr>
      </w:pPr>
      <w:r>
        <w:rPr>
          <w:rFonts w:hint="eastAsia" w:ascii="仿宋" w:hAnsi="仿宋" w:eastAsia="仿宋" w:cs="仿宋"/>
          <w:bCs/>
          <w:szCs w:val="32"/>
          <w:lang w:eastAsia="zh-CN"/>
        </w:rPr>
        <w:t>2.</w:t>
      </w:r>
      <w:r>
        <w:rPr>
          <w:rFonts w:hint="eastAsia" w:ascii="仿宋" w:hAnsi="仿宋" w:eastAsia="仿宋" w:cs="仿宋"/>
          <w:color w:val="auto"/>
          <w:lang w:val="zh-CN" w:eastAsia="zh-CN"/>
        </w:rPr>
        <w:t>项目单位提供的相关资料；</w:t>
      </w:r>
    </w:p>
    <w:p w14:paraId="366EB6BA">
      <w:pPr>
        <w:ind w:firstLine="640"/>
        <w:rPr>
          <w:rFonts w:hint="eastAsia" w:ascii="仿宋" w:hAnsi="仿宋" w:eastAsia="仿宋" w:cs="仿宋"/>
          <w:bCs/>
          <w:szCs w:val="32"/>
          <w:lang w:eastAsia="zh-CN"/>
        </w:rPr>
      </w:pPr>
      <w:r>
        <w:rPr>
          <w:rFonts w:hint="eastAsia" w:ascii="仿宋" w:hAnsi="仿宋" w:eastAsia="仿宋" w:cs="仿宋"/>
          <w:bCs/>
          <w:szCs w:val="32"/>
          <w:lang w:eastAsia="zh-CN"/>
        </w:rPr>
        <w:t>3.</w:t>
      </w:r>
      <w:r>
        <w:rPr>
          <w:rFonts w:hint="eastAsia" w:ascii="仿宋" w:hAnsi="仿宋" w:eastAsia="仿宋" w:cs="仿宋"/>
          <w:color w:val="auto"/>
          <w:lang w:val="zh-CN" w:eastAsia="zh-CN"/>
        </w:rPr>
        <w:t>《粮食流通管理条例》（国务院令第407号）；</w:t>
      </w:r>
    </w:p>
    <w:p w14:paraId="45D6FF47">
      <w:pPr>
        <w:ind w:firstLine="640"/>
        <w:rPr>
          <w:rFonts w:hint="eastAsia" w:ascii="仿宋" w:hAnsi="仿宋" w:eastAsia="仿宋" w:cs="仿宋"/>
          <w:bCs/>
          <w:szCs w:val="32"/>
          <w:lang w:eastAsia="zh-CN"/>
        </w:rPr>
      </w:pPr>
      <w:r>
        <w:rPr>
          <w:rFonts w:hint="eastAsia" w:ascii="仿宋" w:hAnsi="仿宋" w:eastAsia="仿宋" w:cs="仿宋"/>
          <w:bCs/>
          <w:szCs w:val="32"/>
          <w:lang w:eastAsia="zh-CN"/>
        </w:rPr>
        <w:t>4.《</w:t>
      </w:r>
      <w:r>
        <w:rPr>
          <w:rFonts w:hint="eastAsia" w:ascii="仿宋" w:hAnsi="仿宋" w:eastAsia="仿宋" w:cs="仿宋"/>
          <w:color w:val="auto"/>
          <w:lang w:val="zh-CN" w:eastAsia="zh-CN"/>
        </w:rPr>
        <w:t>中共中央国务院关于全面实施预算绩效管理的意见》（中发〔2018〕34号）；</w:t>
      </w:r>
    </w:p>
    <w:p w14:paraId="564964D1">
      <w:pPr>
        <w:ind w:firstLine="640"/>
        <w:rPr>
          <w:rFonts w:hint="eastAsia" w:ascii="仿宋" w:hAnsi="仿宋" w:eastAsia="仿宋" w:cs="仿宋"/>
          <w:bCs/>
          <w:szCs w:val="32"/>
          <w:lang w:eastAsia="zh-CN"/>
        </w:rPr>
      </w:pPr>
      <w:r>
        <w:rPr>
          <w:rFonts w:hint="eastAsia" w:ascii="仿宋" w:hAnsi="仿宋" w:eastAsia="仿宋" w:cs="仿宋"/>
          <w:bCs/>
          <w:szCs w:val="32"/>
          <w:lang w:eastAsia="zh-CN"/>
        </w:rPr>
        <w:t>5.</w:t>
      </w:r>
      <w:r>
        <w:rPr>
          <w:rFonts w:hint="eastAsia" w:ascii="仿宋" w:hAnsi="仿宋" w:eastAsia="仿宋" w:cs="仿宋"/>
          <w:color w:val="auto"/>
          <w:lang w:val="zh-CN" w:eastAsia="zh-CN"/>
        </w:rPr>
        <w:t>《中共四川省委四川省人民政府关于全面实施预算绩效管理的实施意见》（川委发〔2019〕8号）；</w:t>
      </w:r>
    </w:p>
    <w:p w14:paraId="14B08D54">
      <w:pPr>
        <w:ind w:firstLine="640"/>
        <w:rPr>
          <w:rFonts w:hint="eastAsia" w:ascii="仿宋" w:hAnsi="仿宋" w:eastAsia="仿宋" w:cs="仿宋"/>
          <w:bCs/>
          <w:kern w:val="2"/>
          <w:szCs w:val="32"/>
          <w:lang w:eastAsia="zh-CN" w:bidi="ar-SA"/>
        </w:rPr>
      </w:pPr>
      <w:r>
        <w:rPr>
          <w:rFonts w:hint="eastAsia" w:ascii="仿宋" w:hAnsi="仿宋" w:eastAsia="仿宋" w:cs="仿宋"/>
          <w:bCs/>
          <w:szCs w:val="32"/>
          <w:lang w:eastAsia="zh-CN"/>
        </w:rPr>
        <w:t>6.</w:t>
      </w:r>
      <w:r>
        <w:rPr>
          <w:rFonts w:hint="eastAsia" w:ascii="仿宋" w:hAnsi="仿宋" w:eastAsia="仿宋" w:cs="仿宋"/>
          <w:bCs/>
          <w:kern w:val="2"/>
          <w:szCs w:val="32"/>
          <w:lang w:eastAsia="zh-CN" w:bidi="ar-SA"/>
        </w:rPr>
        <w:t>《</w:t>
      </w:r>
      <w:r>
        <w:rPr>
          <w:rFonts w:hint="eastAsia" w:ascii="仿宋" w:hAnsi="仿宋" w:eastAsia="仿宋" w:cs="仿宋"/>
          <w:color w:val="auto"/>
          <w:lang w:val="zh-CN" w:eastAsia="zh-CN"/>
        </w:rPr>
        <w:t>四川省地方粮食储备管理办法》(四川省政府令第〔2021〕348号)；</w:t>
      </w:r>
    </w:p>
    <w:p w14:paraId="722FF4AC">
      <w:pPr>
        <w:ind w:firstLine="640"/>
        <w:rPr>
          <w:rFonts w:hint="eastAsia" w:ascii="仿宋" w:hAnsi="仿宋" w:eastAsia="仿宋" w:cs="仿宋"/>
          <w:color w:val="auto"/>
          <w:lang w:val="zh-CN" w:eastAsia="zh-CN"/>
        </w:rPr>
      </w:pPr>
      <w:r>
        <w:rPr>
          <w:rFonts w:hint="eastAsia" w:ascii="仿宋" w:hAnsi="仿宋" w:eastAsia="仿宋" w:cs="仿宋"/>
          <w:bCs/>
          <w:szCs w:val="32"/>
          <w:lang w:eastAsia="zh-CN"/>
        </w:rPr>
        <w:t>7.《</w:t>
      </w:r>
      <w:r>
        <w:rPr>
          <w:rFonts w:hint="eastAsia" w:ascii="仿宋" w:hAnsi="仿宋" w:eastAsia="仿宋" w:cs="仿宋"/>
          <w:color w:val="auto"/>
          <w:lang w:val="zh-CN" w:eastAsia="zh-CN"/>
        </w:rPr>
        <w:t>中共乐山市委办公室乐山市人民政府办公室&lt;关于印发全面实施预算绩效管理实施方案&gt;的通知》（乐委办发〔2020〕12号）；</w:t>
      </w:r>
    </w:p>
    <w:p w14:paraId="6401C565">
      <w:pPr>
        <w:ind w:firstLine="640"/>
        <w:rPr>
          <w:rFonts w:hint="eastAsia" w:ascii="仿宋" w:hAnsi="仿宋" w:eastAsia="仿宋" w:cs="仿宋"/>
          <w:color w:val="auto"/>
          <w:lang w:val="zh-CN" w:eastAsia="zh-CN"/>
        </w:rPr>
      </w:pPr>
      <w:r>
        <w:rPr>
          <w:rFonts w:hint="eastAsia" w:ascii="仿宋" w:hAnsi="仿宋" w:eastAsia="仿宋" w:cs="仿宋"/>
          <w:bCs/>
          <w:szCs w:val="32"/>
          <w:lang w:eastAsia="zh-CN"/>
        </w:rPr>
        <w:t>8.</w:t>
      </w:r>
      <w:r>
        <w:rPr>
          <w:rFonts w:hint="eastAsia" w:ascii="仿宋" w:hAnsi="仿宋" w:eastAsia="仿宋" w:cs="仿宋"/>
          <w:color w:val="auto"/>
          <w:lang w:val="zh-CN" w:eastAsia="zh-CN"/>
        </w:rPr>
        <w:t>《</w:t>
      </w:r>
      <w:r>
        <w:rPr>
          <w:rFonts w:hint="eastAsia" w:ascii="仿宋" w:hAnsi="仿宋" w:eastAsia="仿宋" w:cs="仿宋"/>
          <w:color w:val="auto"/>
          <w:lang w:val="en-US" w:eastAsia="zh-CN"/>
        </w:rPr>
        <w:t>关于印发&lt;</w:t>
      </w:r>
      <w:r>
        <w:rPr>
          <w:rFonts w:hint="eastAsia" w:ascii="仿宋" w:hAnsi="仿宋" w:eastAsia="仿宋" w:cs="仿宋"/>
          <w:color w:val="auto"/>
          <w:lang w:val="zh-CN" w:eastAsia="zh-CN"/>
        </w:rPr>
        <w:t>乐山市金口河区区级储备粮轮换管理办法</w:t>
      </w:r>
      <w:r>
        <w:rPr>
          <w:rFonts w:hint="eastAsia" w:ascii="仿宋" w:hAnsi="仿宋" w:eastAsia="仿宋" w:cs="仿宋"/>
          <w:color w:val="auto"/>
          <w:lang w:val="en-US" w:eastAsia="zh-CN"/>
        </w:rPr>
        <w:t>&gt;的通知</w:t>
      </w:r>
      <w:r>
        <w:rPr>
          <w:rFonts w:hint="eastAsia" w:ascii="仿宋" w:hAnsi="仿宋" w:eastAsia="仿宋" w:cs="仿宋"/>
          <w:color w:val="auto"/>
          <w:lang w:val="zh-CN" w:eastAsia="zh-CN"/>
        </w:rPr>
        <w:t>》(金发改〔2022〕10</w:t>
      </w:r>
      <w:r>
        <w:rPr>
          <w:rFonts w:hint="eastAsia" w:ascii="仿宋" w:hAnsi="仿宋" w:eastAsia="仿宋" w:cs="仿宋"/>
          <w:color w:val="auto"/>
          <w:lang w:val="en-US" w:eastAsia="zh-CN"/>
        </w:rPr>
        <w:t>8</w:t>
      </w:r>
      <w:r>
        <w:rPr>
          <w:rFonts w:hint="eastAsia" w:ascii="仿宋" w:hAnsi="仿宋" w:eastAsia="仿宋" w:cs="仿宋"/>
          <w:color w:val="auto"/>
          <w:lang w:val="zh-CN" w:eastAsia="zh-CN"/>
        </w:rPr>
        <w:t>号)；</w:t>
      </w:r>
    </w:p>
    <w:p w14:paraId="3FEE7EF7">
      <w:pPr>
        <w:ind w:firstLine="640"/>
        <w:rPr>
          <w:rFonts w:hint="eastAsia" w:ascii="仿宋" w:hAnsi="仿宋" w:eastAsia="仿宋" w:cs="仿宋"/>
          <w:color w:val="auto"/>
          <w:lang w:val="zh-CN" w:eastAsia="zh-CN"/>
        </w:rPr>
      </w:pPr>
      <w:r>
        <w:rPr>
          <w:rFonts w:hint="eastAsia" w:ascii="仿宋" w:hAnsi="仿宋" w:eastAsia="仿宋" w:cs="仿宋"/>
          <w:bCs/>
          <w:szCs w:val="32"/>
          <w:lang w:eastAsia="zh-CN"/>
        </w:rPr>
        <w:t>9.</w:t>
      </w:r>
      <w:r>
        <w:rPr>
          <w:rFonts w:hint="eastAsia" w:ascii="仿宋" w:hAnsi="仿宋" w:eastAsia="仿宋" w:cs="仿宋"/>
          <w:color w:val="auto"/>
          <w:lang w:val="zh-CN" w:eastAsia="zh-CN"/>
        </w:rPr>
        <w:t>《乐山市金口河区粮食风险金管理办法》(金财政〔2022〕62号)；</w:t>
      </w:r>
    </w:p>
    <w:p w14:paraId="51B3686F">
      <w:pPr>
        <w:ind w:firstLine="640"/>
        <w:rPr>
          <w:rFonts w:hint="eastAsia" w:ascii="仿宋" w:hAnsi="仿宋" w:eastAsia="仿宋" w:cs="仿宋"/>
          <w:color w:val="auto"/>
          <w:lang w:val="zh-CN" w:eastAsia="zh-CN"/>
        </w:rPr>
      </w:pPr>
      <w:r>
        <w:rPr>
          <w:rFonts w:hint="eastAsia" w:ascii="仿宋" w:hAnsi="仿宋" w:eastAsia="仿宋" w:cs="仿宋"/>
          <w:bCs/>
          <w:szCs w:val="32"/>
          <w:lang w:eastAsia="zh-CN"/>
        </w:rPr>
        <w:t>10.</w:t>
      </w:r>
      <w:bookmarkStart w:id="153" w:name="_Toc8759"/>
      <w:bookmarkStart w:id="154" w:name="_Toc13032"/>
      <w:bookmarkStart w:id="155" w:name="_Toc4268"/>
      <w:r>
        <w:rPr>
          <w:rFonts w:hint="eastAsia" w:ascii="仿宋" w:hAnsi="仿宋" w:eastAsia="仿宋" w:cs="仿宋"/>
          <w:color w:val="auto"/>
          <w:lang w:val="zh-CN" w:eastAsia="zh-CN"/>
        </w:rPr>
        <w:t>《金口河区区级预算事前绩效评估管理暂行办法》；</w:t>
      </w:r>
    </w:p>
    <w:p w14:paraId="4F6785FC">
      <w:pPr>
        <w:ind w:firstLine="640"/>
        <w:rPr>
          <w:rFonts w:hint="eastAsia" w:ascii="仿宋" w:hAnsi="仿宋" w:eastAsia="仿宋" w:cs="仿宋"/>
          <w:bCs/>
          <w:szCs w:val="32"/>
          <w:lang w:eastAsia="zh-CN"/>
        </w:rPr>
      </w:pPr>
      <w:r>
        <w:rPr>
          <w:rFonts w:hint="eastAsia" w:ascii="仿宋" w:hAnsi="仿宋" w:eastAsia="仿宋" w:cs="仿宋"/>
          <w:bCs/>
          <w:szCs w:val="32"/>
          <w:lang w:eastAsia="zh-CN"/>
        </w:rPr>
        <w:t>11.其</w:t>
      </w:r>
      <w:r>
        <w:rPr>
          <w:rFonts w:hint="eastAsia" w:ascii="仿宋" w:hAnsi="仿宋" w:eastAsia="仿宋" w:cs="仿宋"/>
          <w:color w:val="auto"/>
          <w:lang w:val="zh-CN" w:eastAsia="zh-CN"/>
        </w:rPr>
        <w:t>他与本次评价相关的制度、文件等资料。</w:t>
      </w:r>
      <w:bookmarkEnd w:id="153"/>
      <w:bookmarkEnd w:id="154"/>
      <w:bookmarkEnd w:id="155"/>
    </w:p>
    <w:p w14:paraId="7372748E">
      <w:pPr>
        <w:pStyle w:val="3"/>
        <w:numPr>
          <w:ilvl w:val="0"/>
          <w:numId w:val="2"/>
        </w:numPr>
        <w:spacing w:before="0" w:beforeLines="0" w:after="0" w:afterLines="0"/>
        <w:ind w:left="0" w:firstLine="709" w:firstLineChars="0"/>
        <w:rPr>
          <w:rFonts w:hint="eastAsia" w:ascii="仿宋" w:hAnsi="仿宋" w:eastAsia="仿宋" w:cs="仿宋"/>
          <w:b w:val="0"/>
          <w:bCs/>
          <w:szCs w:val="32"/>
        </w:rPr>
      </w:pPr>
      <w:bookmarkStart w:id="156" w:name="_Toc13724"/>
      <w:bookmarkStart w:id="157" w:name="_Toc2097"/>
      <w:bookmarkStart w:id="158" w:name="_Toc24196"/>
      <w:bookmarkStart w:id="159" w:name="_Toc6680"/>
      <w:bookmarkStart w:id="160" w:name="_Toc1840102656"/>
      <w:bookmarkStart w:id="161" w:name="_Toc235704954"/>
      <w:bookmarkStart w:id="162" w:name="_Toc28796"/>
      <w:bookmarkStart w:id="163" w:name="_Toc517771165"/>
      <w:bookmarkStart w:id="164" w:name="_Toc1492000300_WPSOffice_Level3"/>
      <w:bookmarkStart w:id="165" w:name="_Toc1634515572"/>
      <w:bookmarkStart w:id="166" w:name="_Toc133498039"/>
      <w:bookmarkStart w:id="167" w:name="_Toc15390"/>
      <w:bookmarkStart w:id="168" w:name="_Toc5444"/>
      <w:bookmarkStart w:id="169" w:name="_Toc130033891"/>
      <w:bookmarkStart w:id="170" w:name="_Toc576232511"/>
      <w:bookmarkStart w:id="171" w:name="_Toc2029979728_WPSOffice_Level3"/>
      <w:bookmarkStart w:id="172" w:name="_Toc30726"/>
      <w:bookmarkStart w:id="173" w:name="_Toc1533316810"/>
      <w:bookmarkStart w:id="174" w:name="_Toc692406180"/>
      <w:bookmarkStart w:id="175" w:name="_Toc9201"/>
      <w:bookmarkStart w:id="176" w:name="_Toc130033893"/>
      <w:bookmarkStart w:id="177" w:name="_Toc693338945"/>
      <w:bookmarkStart w:id="178" w:name="_Toc6461"/>
      <w:bookmarkStart w:id="179" w:name="_Toc15014"/>
      <w:bookmarkStart w:id="180" w:name="_Toc24488"/>
      <w:bookmarkStart w:id="181" w:name="_Toc133498041"/>
      <w:r>
        <w:rPr>
          <w:rFonts w:hint="eastAsia" w:ascii="仿宋" w:hAnsi="仿宋" w:eastAsia="仿宋" w:cs="仿宋"/>
          <w:b w:val="0"/>
          <w:bCs/>
          <w:szCs w:val="32"/>
        </w:rPr>
        <w:t>绩效评价原则</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77C32770">
      <w:pPr>
        <w:ind w:firstLine="640"/>
        <w:rPr>
          <w:rFonts w:hint="eastAsia" w:ascii="仿宋" w:hAnsi="仿宋" w:eastAsia="仿宋" w:cs="仿宋"/>
          <w:color w:val="auto"/>
          <w:lang w:val="zh-CN" w:eastAsia="zh-CN"/>
        </w:rPr>
      </w:pPr>
      <w:r>
        <w:rPr>
          <w:rFonts w:hint="eastAsia" w:ascii="仿宋" w:hAnsi="仿宋" w:eastAsia="仿宋" w:cs="仿宋"/>
          <w:bCs/>
          <w:szCs w:val="32"/>
          <w:lang w:eastAsia="zh-CN"/>
        </w:rPr>
        <w:t>1.</w:t>
      </w:r>
      <w:r>
        <w:rPr>
          <w:rFonts w:hint="eastAsia" w:ascii="仿宋" w:hAnsi="仿宋" w:eastAsia="仿宋" w:cs="仿宋"/>
          <w:color w:val="auto"/>
          <w:lang w:val="zh-CN" w:eastAsia="zh-CN"/>
        </w:rPr>
        <w:t>科学规范原则。绩效评价应当严格执行规定的程序，按科学可行的要求，采用定量与定性分析相结合、理论与实践相结合的方法设计合理的评估指标体系。</w:t>
      </w:r>
    </w:p>
    <w:p w14:paraId="4710FCFE">
      <w:pPr>
        <w:ind w:firstLine="640"/>
        <w:rPr>
          <w:rFonts w:hint="eastAsia" w:ascii="仿宋" w:hAnsi="仿宋" w:eastAsia="仿宋" w:cs="仿宋"/>
          <w:color w:val="auto"/>
          <w:lang w:val="zh-CN" w:eastAsia="zh-CN"/>
        </w:rPr>
      </w:pPr>
      <w:r>
        <w:rPr>
          <w:rFonts w:hint="eastAsia" w:ascii="仿宋" w:hAnsi="仿宋" w:eastAsia="仿宋" w:cs="仿宋"/>
          <w:color w:val="auto"/>
          <w:lang w:val="zh-CN" w:eastAsia="zh-CN"/>
        </w:rPr>
        <w:t>2.公正公开原则。绩效评价应当符合真实、客观、公正的要求，依法公开并接受监督。</w:t>
      </w:r>
    </w:p>
    <w:p w14:paraId="1B20FA63">
      <w:pPr>
        <w:ind w:firstLine="640"/>
        <w:rPr>
          <w:rFonts w:hint="eastAsia" w:ascii="仿宋" w:hAnsi="仿宋" w:eastAsia="仿宋" w:cs="仿宋"/>
          <w:color w:val="auto"/>
          <w:lang w:val="zh-CN" w:eastAsia="zh-CN"/>
        </w:rPr>
      </w:pPr>
      <w:r>
        <w:rPr>
          <w:rFonts w:hint="eastAsia" w:ascii="仿宋" w:hAnsi="仿宋" w:eastAsia="仿宋" w:cs="仿宋"/>
          <w:color w:val="auto"/>
          <w:lang w:val="zh-CN" w:eastAsia="zh-CN"/>
        </w:rPr>
        <w:t>3.利害关系回避原则。绩效评价工作由乐山市金口河区财政投资评价审核中心进行实施。</w:t>
      </w:r>
    </w:p>
    <w:p w14:paraId="1AD1A640">
      <w:pPr>
        <w:ind w:firstLine="640"/>
        <w:rPr>
          <w:rFonts w:hint="eastAsia" w:ascii="仿宋" w:hAnsi="仿宋" w:eastAsia="仿宋" w:cs="仿宋"/>
          <w:bCs/>
          <w:spacing w:val="-5"/>
          <w:szCs w:val="32"/>
          <w:lang w:eastAsia="zh-CN"/>
        </w:rPr>
      </w:pPr>
      <w:r>
        <w:rPr>
          <w:rFonts w:hint="eastAsia" w:ascii="仿宋" w:hAnsi="仿宋" w:eastAsia="仿宋" w:cs="仿宋"/>
          <w:color w:val="auto"/>
          <w:lang w:val="zh-CN" w:eastAsia="zh-CN"/>
        </w:rPr>
        <w:t>4.绩效相关原则。本次事前绩效评估针对储备粮油费用补贴预算金额及其预期绩效进行，评价结果清晰地反映两者之间的紧密对应关系</w:t>
      </w:r>
      <w:r>
        <w:rPr>
          <w:rFonts w:hint="eastAsia" w:ascii="仿宋" w:hAnsi="仿宋" w:eastAsia="仿宋" w:cs="仿宋"/>
          <w:bCs/>
          <w:szCs w:val="32"/>
          <w:lang w:eastAsia="zh-CN"/>
        </w:rPr>
        <w:t>。</w:t>
      </w:r>
    </w:p>
    <w:p w14:paraId="1D91C878">
      <w:pPr>
        <w:pStyle w:val="3"/>
        <w:numPr>
          <w:ilvl w:val="0"/>
          <w:numId w:val="2"/>
        </w:numPr>
        <w:spacing w:before="0" w:beforeLines="0" w:after="0" w:afterLines="0"/>
        <w:ind w:left="0" w:firstLine="709" w:firstLineChars="0"/>
        <w:rPr>
          <w:rFonts w:hint="eastAsia" w:ascii="仿宋" w:hAnsi="仿宋" w:eastAsia="仿宋" w:cs="仿宋"/>
          <w:b w:val="0"/>
          <w:bCs/>
          <w:szCs w:val="32"/>
        </w:rPr>
      </w:pPr>
      <w:bookmarkStart w:id="182" w:name="_Toc16442"/>
      <w:bookmarkStart w:id="183" w:name="_Toc4046"/>
      <w:r>
        <w:rPr>
          <w:rFonts w:hint="eastAsia" w:ascii="仿宋" w:hAnsi="仿宋" w:eastAsia="仿宋" w:cs="仿宋"/>
          <w:b w:val="0"/>
          <w:bCs/>
          <w:szCs w:val="32"/>
        </w:rPr>
        <w:t>评价</w:t>
      </w:r>
      <w:r>
        <w:rPr>
          <w:rFonts w:hint="eastAsia" w:ascii="仿宋" w:hAnsi="仿宋" w:eastAsia="仿宋" w:cs="仿宋"/>
          <w:b w:val="0"/>
          <w:bCs/>
          <w:szCs w:val="32"/>
          <w:lang w:eastAsia="zh-CN"/>
        </w:rPr>
        <w:t>方法和等级设定</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4BB1DF52">
      <w:pPr>
        <w:ind w:firstLine="640"/>
        <w:rPr>
          <w:rFonts w:hint="eastAsia" w:ascii="仿宋" w:hAnsi="仿宋" w:eastAsia="仿宋" w:cs="仿宋"/>
          <w:bCs/>
          <w:szCs w:val="32"/>
          <w:lang w:eastAsia="zh-CN"/>
        </w:rPr>
      </w:pPr>
      <w:r>
        <w:rPr>
          <w:rFonts w:hint="eastAsia" w:ascii="仿宋" w:hAnsi="仿宋" w:eastAsia="仿宋" w:cs="仿宋"/>
          <w:color w:val="auto"/>
          <w:lang w:val="zh-CN" w:eastAsia="zh-CN"/>
        </w:rPr>
        <w:t>本次绩效评估通过实施单位的数据填报,辅以评价工作小组实地调查、查阅问卷、听取汇报、查看项目管理及财务管理资料等方式收集信息，对拟使用资金项目的必要性、</w:t>
      </w:r>
      <w:r>
        <w:rPr>
          <w:rFonts w:hint="eastAsia" w:ascii="仿宋" w:hAnsi="仿宋" w:eastAsia="仿宋" w:cs="仿宋"/>
          <w:color w:val="auto"/>
          <w:lang w:val="en-US" w:eastAsia="zh-CN"/>
        </w:rPr>
        <w:t>资金来源</w:t>
      </w:r>
      <w:r>
        <w:rPr>
          <w:rFonts w:hint="eastAsia" w:ascii="仿宋" w:hAnsi="仿宋" w:eastAsia="仿宋" w:cs="仿宋"/>
          <w:color w:val="auto"/>
          <w:lang w:val="zh-CN" w:eastAsia="zh-CN"/>
        </w:rPr>
        <w:t>的可行性、绩效目标的合理性、资金使用</w:t>
      </w:r>
      <w:r>
        <w:rPr>
          <w:rFonts w:hint="eastAsia" w:ascii="仿宋" w:hAnsi="仿宋" w:eastAsia="仿宋" w:cs="仿宋"/>
          <w:color w:val="auto"/>
          <w:lang w:val="en-US" w:eastAsia="zh-CN"/>
        </w:rPr>
        <w:t>计划的合理性</w:t>
      </w:r>
      <w:r>
        <w:rPr>
          <w:rFonts w:hint="eastAsia" w:ascii="仿宋" w:hAnsi="仿宋" w:eastAsia="仿宋" w:cs="仿宋"/>
          <w:color w:val="auto"/>
          <w:lang w:val="zh-CN" w:eastAsia="zh-CN"/>
        </w:rPr>
        <w:t>、</w:t>
      </w:r>
      <w:r>
        <w:rPr>
          <w:rFonts w:hint="eastAsia" w:ascii="仿宋" w:hAnsi="仿宋" w:eastAsia="仿宋" w:cs="仿宋"/>
          <w:color w:val="auto"/>
          <w:lang w:val="en-US" w:eastAsia="zh-CN"/>
        </w:rPr>
        <w:t>管理办法执行的有效</w:t>
      </w:r>
      <w:r>
        <w:rPr>
          <w:rFonts w:hint="eastAsia" w:ascii="仿宋" w:hAnsi="仿宋" w:eastAsia="仿宋" w:cs="仿宋"/>
          <w:color w:val="auto"/>
          <w:lang w:val="zh-CN" w:eastAsia="zh-CN"/>
        </w:rPr>
        <w:t>性等方面进行评判、论证和审查。以定量考核与定性分析相结合，汇总形成评估综合得分。评估结论分为建议实施、建议调整后实施、建议不予实施三个等级，根据各项指标得分合计分数，确定综合评估结论。具体如下</w:t>
      </w:r>
      <w:r>
        <w:rPr>
          <w:rFonts w:hint="eastAsia" w:ascii="仿宋" w:hAnsi="仿宋" w:eastAsia="仿宋" w:cs="仿宋"/>
          <w:bCs/>
          <w:szCs w:val="32"/>
          <w:lang w:eastAsia="zh-CN"/>
        </w:rPr>
        <w:t>:</w:t>
      </w:r>
    </w:p>
    <w:p w14:paraId="170D199B">
      <w:pPr>
        <w:ind w:firstLine="0" w:firstLineChars="0"/>
        <w:jc w:val="center"/>
        <w:rPr>
          <w:rFonts w:hint="eastAsia" w:ascii="仿宋" w:hAnsi="仿宋" w:eastAsia="仿宋" w:cs="仿宋"/>
          <w:bCs/>
          <w:szCs w:val="32"/>
          <w:lang w:eastAsia="zh-CN"/>
        </w:rPr>
      </w:pPr>
      <w:r>
        <w:rPr>
          <w:rFonts w:hint="eastAsia" w:ascii="仿宋" w:hAnsi="仿宋" w:eastAsia="仿宋" w:cs="仿宋"/>
          <w:bCs/>
          <w:szCs w:val="32"/>
          <w:lang w:eastAsia="zh-CN"/>
        </w:rPr>
        <w:t>事前绩效评估结论等级表</w:t>
      </w:r>
    </w:p>
    <w:tbl>
      <w:tblPr>
        <w:tblStyle w:val="22"/>
        <w:tblW w:w="8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1854"/>
        <w:gridCol w:w="2490"/>
        <w:gridCol w:w="2191"/>
      </w:tblGrid>
      <w:tr w14:paraId="0BE8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Pr>
          <w:p w14:paraId="048A4039">
            <w:pPr>
              <w:ind w:firstLine="0" w:firstLineChars="0"/>
              <w:jc w:val="center"/>
              <w:rPr>
                <w:rFonts w:hint="eastAsia" w:ascii="仿宋" w:hAnsi="仿宋" w:eastAsia="仿宋" w:cs="仿宋"/>
                <w:bCs/>
                <w:szCs w:val="32"/>
                <w:lang w:eastAsia="zh-CN"/>
              </w:rPr>
            </w:pPr>
            <w:r>
              <w:rPr>
                <w:rFonts w:hint="eastAsia" w:ascii="仿宋" w:hAnsi="仿宋" w:eastAsia="仿宋" w:cs="仿宋"/>
                <w:bCs/>
                <w:szCs w:val="32"/>
                <w:lang w:eastAsia="zh-CN"/>
              </w:rPr>
              <w:t>评估结论</w:t>
            </w:r>
          </w:p>
        </w:tc>
        <w:tc>
          <w:tcPr>
            <w:tcW w:w="1854" w:type="dxa"/>
          </w:tcPr>
          <w:p w14:paraId="11D84400">
            <w:pPr>
              <w:ind w:firstLine="0" w:firstLineChars="0"/>
              <w:jc w:val="center"/>
              <w:rPr>
                <w:rFonts w:hint="eastAsia" w:ascii="仿宋" w:hAnsi="仿宋" w:eastAsia="仿宋" w:cs="仿宋"/>
                <w:bCs/>
                <w:szCs w:val="32"/>
                <w:lang w:eastAsia="zh-CN"/>
              </w:rPr>
            </w:pPr>
            <w:r>
              <w:rPr>
                <w:rFonts w:hint="eastAsia" w:ascii="仿宋" w:hAnsi="仿宋" w:eastAsia="仿宋" w:cs="仿宋"/>
                <w:bCs/>
                <w:szCs w:val="32"/>
                <w:lang w:eastAsia="zh-CN"/>
              </w:rPr>
              <w:t>建议实施</w:t>
            </w:r>
          </w:p>
        </w:tc>
        <w:tc>
          <w:tcPr>
            <w:tcW w:w="2490" w:type="dxa"/>
          </w:tcPr>
          <w:p w14:paraId="5065E9B1">
            <w:pPr>
              <w:ind w:firstLine="0" w:firstLineChars="0"/>
              <w:jc w:val="center"/>
              <w:rPr>
                <w:rFonts w:hint="eastAsia" w:ascii="仿宋" w:hAnsi="仿宋" w:eastAsia="仿宋" w:cs="仿宋"/>
                <w:bCs/>
                <w:szCs w:val="32"/>
                <w:lang w:eastAsia="zh-CN"/>
              </w:rPr>
            </w:pPr>
            <w:r>
              <w:rPr>
                <w:rFonts w:hint="eastAsia" w:ascii="仿宋" w:hAnsi="仿宋" w:eastAsia="仿宋" w:cs="仿宋"/>
                <w:bCs/>
                <w:szCs w:val="32"/>
                <w:lang w:eastAsia="zh-CN"/>
              </w:rPr>
              <w:t>建议调整后实施</w:t>
            </w:r>
          </w:p>
        </w:tc>
        <w:tc>
          <w:tcPr>
            <w:tcW w:w="2191" w:type="dxa"/>
          </w:tcPr>
          <w:p w14:paraId="15D8294C">
            <w:pPr>
              <w:ind w:firstLine="0" w:firstLineChars="0"/>
              <w:jc w:val="center"/>
              <w:rPr>
                <w:rFonts w:hint="eastAsia" w:ascii="仿宋" w:hAnsi="仿宋" w:eastAsia="仿宋" w:cs="仿宋"/>
                <w:bCs/>
                <w:szCs w:val="32"/>
                <w:lang w:eastAsia="zh-CN"/>
              </w:rPr>
            </w:pPr>
            <w:r>
              <w:rPr>
                <w:rFonts w:hint="eastAsia" w:ascii="仿宋" w:hAnsi="仿宋" w:eastAsia="仿宋" w:cs="仿宋"/>
                <w:bCs/>
                <w:szCs w:val="32"/>
                <w:lang w:eastAsia="zh-CN"/>
              </w:rPr>
              <w:t>建议不予实施</w:t>
            </w:r>
          </w:p>
        </w:tc>
      </w:tr>
      <w:tr w14:paraId="701A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Pr>
          <w:p w14:paraId="4B57CC26">
            <w:pPr>
              <w:ind w:firstLine="0" w:firstLineChars="0"/>
              <w:jc w:val="center"/>
              <w:rPr>
                <w:rFonts w:hint="eastAsia" w:ascii="仿宋" w:hAnsi="仿宋" w:eastAsia="仿宋" w:cs="仿宋"/>
                <w:bCs/>
                <w:szCs w:val="32"/>
                <w:lang w:eastAsia="zh-CN"/>
              </w:rPr>
            </w:pPr>
            <w:r>
              <w:rPr>
                <w:rFonts w:hint="eastAsia" w:ascii="仿宋" w:hAnsi="仿宋" w:eastAsia="仿宋" w:cs="仿宋"/>
                <w:bCs/>
                <w:szCs w:val="32"/>
                <w:lang w:eastAsia="zh-CN"/>
              </w:rPr>
              <w:t>参考分值S</w:t>
            </w:r>
          </w:p>
        </w:tc>
        <w:tc>
          <w:tcPr>
            <w:tcW w:w="1854" w:type="dxa"/>
          </w:tcPr>
          <w:p w14:paraId="48BB9ACD">
            <w:pPr>
              <w:ind w:firstLine="0" w:firstLineChars="0"/>
              <w:jc w:val="center"/>
              <w:rPr>
                <w:rFonts w:hint="eastAsia" w:ascii="仿宋" w:hAnsi="仿宋" w:eastAsia="仿宋" w:cs="仿宋"/>
                <w:bCs/>
                <w:szCs w:val="32"/>
                <w:lang w:eastAsia="zh-CN"/>
              </w:rPr>
            </w:pPr>
            <w:r>
              <w:rPr>
                <w:rFonts w:hint="eastAsia" w:ascii="仿宋" w:hAnsi="仿宋" w:eastAsia="仿宋" w:cs="仿宋"/>
                <w:bCs/>
                <w:szCs w:val="32"/>
                <w:lang w:eastAsia="zh-CN"/>
              </w:rPr>
              <w:t>S≥90</w:t>
            </w:r>
          </w:p>
        </w:tc>
        <w:tc>
          <w:tcPr>
            <w:tcW w:w="2490" w:type="dxa"/>
          </w:tcPr>
          <w:p w14:paraId="22B63526">
            <w:pPr>
              <w:ind w:firstLine="0" w:firstLineChars="0"/>
              <w:jc w:val="center"/>
              <w:rPr>
                <w:rFonts w:hint="eastAsia" w:ascii="仿宋" w:hAnsi="仿宋" w:eastAsia="仿宋" w:cs="仿宋"/>
                <w:bCs/>
                <w:szCs w:val="32"/>
                <w:lang w:eastAsia="zh-CN"/>
              </w:rPr>
            </w:pPr>
            <w:r>
              <w:rPr>
                <w:rFonts w:hint="eastAsia" w:ascii="仿宋" w:hAnsi="仿宋" w:eastAsia="仿宋" w:cs="仿宋"/>
                <w:bCs/>
                <w:szCs w:val="32"/>
                <w:lang w:eastAsia="zh-CN"/>
              </w:rPr>
              <w:t>90&gt;S&gt;75</w:t>
            </w:r>
          </w:p>
        </w:tc>
        <w:tc>
          <w:tcPr>
            <w:tcW w:w="2191" w:type="dxa"/>
          </w:tcPr>
          <w:p w14:paraId="6AE09BA3">
            <w:pPr>
              <w:ind w:firstLine="0" w:firstLineChars="0"/>
              <w:jc w:val="center"/>
              <w:rPr>
                <w:rFonts w:hint="eastAsia" w:ascii="仿宋" w:hAnsi="仿宋" w:eastAsia="仿宋" w:cs="仿宋"/>
                <w:bCs/>
                <w:szCs w:val="32"/>
                <w:lang w:eastAsia="zh-CN"/>
              </w:rPr>
            </w:pPr>
            <w:r>
              <w:rPr>
                <w:rFonts w:hint="eastAsia" w:ascii="仿宋" w:hAnsi="仿宋" w:eastAsia="仿宋" w:cs="仿宋"/>
                <w:bCs/>
                <w:szCs w:val="32"/>
                <w:lang w:eastAsia="zh-CN"/>
              </w:rPr>
              <w:t>S&lt;75</w:t>
            </w:r>
          </w:p>
        </w:tc>
      </w:tr>
    </w:tbl>
    <w:p w14:paraId="20225E18">
      <w:pPr>
        <w:pStyle w:val="3"/>
        <w:numPr>
          <w:ilvl w:val="0"/>
          <w:numId w:val="2"/>
        </w:numPr>
        <w:spacing w:before="0" w:beforeLines="0" w:after="0" w:afterLines="0"/>
        <w:ind w:left="0" w:firstLine="709" w:firstLineChars="0"/>
        <w:rPr>
          <w:rFonts w:hint="eastAsia" w:ascii="仿宋" w:hAnsi="仿宋" w:eastAsia="仿宋" w:cs="仿宋"/>
          <w:b w:val="0"/>
          <w:bCs/>
          <w:szCs w:val="32"/>
          <w:lang w:eastAsia="zh-CN"/>
        </w:rPr>
      </w:pPr>
      <w:bookmarkStart w:id="184" w:name="_Toc16964"/>
      <w:bookmarkStart w:id="185" w:name="_Toc21368"/>
      <w:r>
        <w:rPr>
          <w:rFonts w:hint="eastAsia" w:ascii="仿宋" w:hAnsi="仿宋" w:eastAsia="仿宋" w:cs="仿宋"/>
          <w:b w:val="0"/>
          <w:bCs/>
          <w:szCs w:val="32"/>
          <w:lang w:eastAsia="zh-CN"/>
        </w:rPr>
        <w:t>评价程序</w:t>
      </w:r>
      <w:bookmarkEnd w:id="184"/>
      <w:bookmarkEnd w:id="185"/>
    </w:p>
    <w:p w14:paraId="20344293">
      <w:pPr>
        <w:ind w:firstLine="640"/>
        <w:rPr>
          <w:rFonts w:hint="eastAsia" w:ascii="仿宋" w:hAnsi="仿宋" w:eastAsia="仿宋" w:cs="仿宋"/>
          <w:bCs/>
          <w:szCs w:val="32"/>
          <w:lang w:eastAsia="zh-CN"/>
        </w:rPr>
      </w:pPr>
      <w:r>
        <w:rPr>
          <w:rFonts w:hint="eastAsia" w:ascii="仿宋" w:hAnsi="仿宋" w:eastAsia="仿宋" w:cs="仿宋"/>
          <w:bCs/>
          <w:szCs w:val="32"/>
          <w:lang w:eastAsia="zh-CN"/>
        </w:rPr>
        <w:t>1.</w:t>
      </w:r>
      <w:r>
        <w:rPr>
          <w:rFonts w:hint="eastAsia" w:ascii="仿宋" w:hAnsi="仿宋" w:eastAsia="仿宋" w:cs="仿宋"/>
          <w:color w:val="auto"/>
          <w:lang w:val="zh-CN" w:eastAsia="zh-CN"/>
        </w:rPr>
        <w:t>下达评估入户通知。绩效考评中心以入户通知书的形式通知项目单位，并明确评估的依据、内容、目的、任务、时间、要求等事项</w:t>
      </w:r>
      <w:r>
        <w:rPr>
          <w:rFonts w:hint="eastAsia" w:ascii="仿宋" w:hAnsi="仿宋" w:eastAsia="仿宋" w:cs="仿宋"/>
          <w:bCs/>
          <w:szCs w:val="32"/>
          <w:lang w:eastAsia="zh-CN"/>
        </w:rPr>
        <w:t>。</w:t>
      </w:r>
    </w:p>
    <w:p w14:paraId="51F53030">
      <w:pPr>
        <w:ind w:firstLine="640"/>
        <w:rPr>
          <w:rFonts w:hint="eastAsia" w:ascii="仿宋" w:hAnsi="仿宋" w:eastAsia="仿宋" w:cs="仿宋"/>
          <w:bCs/>
          <w:szCs w:val="32"/>
          <w:lang w:eastAsia="zh-CN"/>
        </w:rPr>
      </w:pPr>
      <w:r>
        <w:rPr>
          <w:rFonts w:hint="eastAsia" w:ascii="仿宋" w:hAnsi="仿宋" w:eastAsia="仿宋" w:cs="仿宋"/>
          <w:bCs/>
          <w:szCs w:val="32"/>
          <w:lang w:eastAsia="zh-CN"/>
        </w:rPr>
        <w:t>2.</w:t>
      </w:r>
      <w:r>
        <w:rPr>
          <w:rFonts w:hint="eastAsia" w:ascii="仿宋" w:hAnsi="仿宋" w:eastAsia="仿宋" w:cs="仿宋"/>
          <w:color w:val="auto"/>
          <w:lang w:val="zh-CN" w:eastAsia="zh-CN"/>
        </w:rPr>
        <w:t>拟定工作方案。评估工作组结合事前绩效评估工作要求，拟定《事前绩效评估工作方案》，包括评估对象、内容、方法、专家、时间安排等</w:t>
      </w:r>
      <w:r>
        <w:rPr>
          <w:rFonts w:hint="eastAsia" w:ascii="仿宋" w:hAnsi="仿宋" w:eastAsia="仿宋" w:cs="仿宋"/>
          <w:bCs/>
          <w:szCs w:val="32"/>
          <w:lang w:eastAsia="zh-CN"/>
        </w:rPr>
        <w:t>。</w:t>
      </w:r>
    </w:p>
    <w:p w14:paraId="2E91D0B3">
      <w:pPr>
        <w:ind w:firstLine="640"/>
        <w:rPr>
          <w:rFonts w:hint="eastAsia" w:ascii="仿宋" w:hAnsi="仿宋" w:eastAsia="仿宋" w:cs="仿宋"/>
          <w:bCs/>
          <w:szCs w:val="32"/>
          <w:lang w:eastAsia="zh-CN"/>
        </w:rPr>
      </w:pPr>
      <w:r>
        <w:rPr>
          <w:rFonts w:hint="eastAsia" w:ascii="仿宋" w:hAnsi="仿宋" w:eastAsia="仿宋" w:cs="仿宋"/>
          <w:bCs/>
          <w:szCs w:val="32"/>
          <w:lang w:eastAsia="zh-CN"/>
        </w:rPr>
        <w:t>3.</w:t>
      </w:r>
      <w:r>
        <w:rPr>
          <w:rFonts w:hint="eastAsia" w:ascii="仿宋" w:hAnsi="仿宋" w:eastAsia="仿宋" w:cs="仿宋"/>
          <w:color w:val="auto"/>
          <w:lang w:val="zh-CN" w:eastAsia="zh-CN"/>
        </w:rPr>
        <w:t>组成评估小组。评估工作组遴选相关人员组成评估专家组，并适时开展业务培训</w:t>
      </w:r>
      <w:r>
        <w:rPr>
          <w:rFonts w:hint="eastAsia" w:ascii="仿宋" w:hAnsi="仿宋" w:eastAsia="仿宋" w:cs="仿宋"/>
          <w:bCs/>
          <w:szCs w:val="32"/>
          <w:lang w:eastAsia="zh-CN"/>
        </w:rPr>
        <w:t>。</w:t>
      </w:r>
    </w:p>
    <w:p w14:paraId="794640EE">
      <w:pPr>
        <w:ind w:firstLine="640"/>
        <w:rPr>
          <w:rFonts w:hint="eastAsia" w:ascii="仿宋" w:hAnsi="仿宋" w:eastAsia="仿宋" w:cs="仿宋"/>
          <w:bCs/>
          <w:szCs w:val="32"/>
          <w:lang w:eastAsia="zh-CN"/>
        </w:rPr>
      </w:pPr>
      <w:r>
        <w:rPr>
          <w:rFonts w:hint="eastAsia" w:ascii="仿宋" w:hAnsi="仿宋" w:eastAsia="仿宋" w:cs="仿宋"/>
          <w:bCs/>
          <w:szCs w:val="32"/>
          <w:lang w:eastAsia="zh-CN"/>
        </w:rPr>
        <w:t>4.</w:t>
      </w:r>
      <w:r>
        <w:rPr>
          <w:rFonts w:hint="eastAsia" w:ascii="仿宋" w:hAnsi="仿宋" w:eastAsia="仿宋" w:cs="仿宋"/>
          <w:color w:val="auto"/>
          <w:lang w:val="zh-CN" w:eastAsia="zh-CN"/>
        </w:rPr>
        <w:t>入户调研。评估工作组入户与被评估单位沟通，进一步熟悉项目内容;向项目单位出示《项目支出事前绩效评估资料准备清单》，指导项目单位填报《事前绩效评估项目申报书》、《项目支出绩效目标申报</w:t>
      </w:r>
      <w:r>
        <w:rPr>
          <w:rFonts w:hint="eastAsia" w:ascii="仿宋" w:hAnsi="仿宋" w:eastAsia="仿宋" w:cs="仿宋"/>
          <w:bCs/>
          <w:szCs w:val="32"/>
          <w:lang w:eastAsia="zh-CN"/>
        </w:rPr>
        <w:t>表》。</w:t>
      </w:r>
    </w:p>
    <w:p w14:paraId="247A2096">
      <w:pPr>
        <w:ind w:firstLine="640"/>
        <w:rPr>
          <w:rFonts w:hint="eastAsia" w:ascii="仿宋" w:hAnsi="仿宋" w:eastAsia="仿宋" w:cs="仿宋"/>
          <w:bCs/>
          <w:szCs w:val="32"/>
          <w:lang w:eastAsia="zh-CN"/>
        </w:rPr>
      </w:pPr>
      <w:r>
        <w:rPr>
          <w:rFonts w:hint="eastAsia" w:ascii="仿宋" w:hAnsi="仿宋" w:eastAsia="仿宋" w:cs="仿宋"/>
          <w:bCs/>
          <w:szCs w:val="32"/>
          <w:lang w:eastAsia="zh-CN"/>
        </w:rPr>
        <w:t>5.</w:t>
      </w:r>
      <w:r>
        <w:rPr>
          <w:rFonts w:hint="eastAsia" w:ascii="仿宋" w:hAnsi="仿宋" w:eastAsia="仿宋" w:cs="仿宋"/>
          <w:color w:val="auto"/>
          <w:lang w:val="zh-CN" w:eastAsia="zh-CN"/>
        </w:rPr>
        <w:t>现场调研。评估工作组在收集审核项目资料基础上进入现场进行调研。通过查阅资料、实地勘察、核实、了解项目具体内容、申报理由和项目实施的具体做法、依据等,将现场情况与上报资料进行对比,对项目疑点问题进行询问，听取并记录项目单位对有关问题的解释和答复</w:t>
      </w:r>
      <w:r>
        <w:rPr>
          <w:rFonts w:hint="eastAsia" w:ascii="仿宋" w:hAnsi="仿宋" w:eastAsia="仿宋" w:cs="仿宋"/>
          <w:bCs/>
          <w:szCs w:val="32"/>
          <w:lang w:eastAsia="zh-CN"/>
        </w:rPr>
        <w:t>。</w:t>
      </w:r>
    </w:p>
    <w:p w14:paraId="57812244">
      <w:pPr>
        <w:ind w:firstLine="640"/>
        <w:rPr>
          <w:rFonts w:hint="eastAsia" w:ascii="仿宋" w:hAnsi="仿宋" w:eastAsia="仿宋" w:cs="仿宋"/>
          <w:bCs/>
          <w:szCs w:val="32"/>
          <w:lang w:eastAsia="zh-CN"/>
        </w:rPr>
      </w:pPr>
      <w:r>
        <w:rPr>
          <w:rFonts w:hint="eastAsia" w:ascii="仿宋" w:hAnsi="仿宋" w:eastAsia="仿宋" w:cs="仿宋"/>
          <w:bCs/>
          <w:szCs w:val="32"/>
          <w:lang w:eastAsia="zh-CN"/>
        </w:rPr>
        <w:t>6.</w:t>
      </w:r>
      <w:r>
        <w:rPr>
          <w:rFonts w:hint="eastAsia" w:ascii="仿宋" w:hAnsi="仿宋" w:eastAsia="仿宋" w:cs="仿宋"/>
          <w:color w:val="auto"/>
          <w:lang w:val="zh-CN" w:eastAsia="zh-CN"/>
        </w:rPr>
        <w:t>组织实施评估。绩效考评组召开评估会议，了解项目基本情况，听取项目单位情况介绍，进行现场评议</w:t>
      </w:r>
      <w:r>
        <w:rPr>
          <w:rFonts w:hint="eastAsia" w:ascii="仿宋" w:hAnsi="仿宋" w:eastAsia="仿宋" w:cs="仿宋"/>
          <w:bCs/>
          <w:szCs w:val="32"/>
          <w:lang w:eastAsia="zh-CN"/>
        </w:rPr>
        <w:t>。</w:t>
      </w:r>
    </w:p>
    <w:p w14:paraId="231932E2">
      <w:pPr>
        <w:ind w:firstLine="640"/>
        <w:rPr>
          <w:rFonts w:hint="eastAsia" w:ascii="仿宋" w:hAnsi="仿宋" w:eastAsia="仿宋" w:cs="仿宋"/>
          <w:bCs/>
          <w:szCs w:val="32"/>
          <w:lang w:eastAsia="zh-CN"/>
        </w:rPr>
      </w:pPr>
      <w:r>
        <w:rPr>
          <w:rFonts w:hint="eastAsia" w:ascii="仿宋" w:hAnsi="仿宋" w:eastAsia="仿宋" w:cs="仿宋"/>
          <w:bCs/>
          <w:szCs w:val="32"/>
          <w:lang w:eastAsia="zh-CN"/>
        </w:rPr>
        <w:t>(1)</w:t>
      </w:r>
      <w:r>
        <w:rPr>
          <w:rFonts w:hint="eastAsia" w:ascii="仿宋" w:hAnsi="仿宋" w:eastAsia="仿宋" w:cs="仿宋"/>
          <w:color w:val="auto"/>
          <w:lang w:val="zh-CN" w:eastAsia="zh-CN"/>
        </w:rPr>
        <w:t>采取多种方式，多方获取信息。通过咨询专家、查阅资料、问卷调查、电话采访、集中座谈等方式，全面了解并收集项目信息</w:t>
      </w:r>
      <w:r>
        <w:rPr>
          <w:rFonts w:hint="eastAsia" w:ascii="仿宋" w:hAnsi="仿宋" w:eastAsia="仿宋" w:cs="仿宋"/>
          <w:bCs/>
          <w:szCs w:val="32"/>
          <w:lang w:eastAsia="zh-CN"/>
        </w:rPr>
        <w:t>。</w:t>
      </w:r>
    </w:p>
    <w:p w14:paraId="1F24BD61">
      <w:pPr>
        <w:ind w:firstLine="640"/>
        <w:rPr>
          <w:rFonts w:hint="eastAsia" w:ascii="仿宋" w:hAnsi="仿宋" w:eastAsia="仿宋" w:cs="仿宋"/>
          <w:bCs/>
          <w:szCs w:val="32"/>
          <w:lang w:eastAsia="zh-CN"/>
        </w:rPr>
      </w:pPr>
      <w:r>
        <w:rPr>
          <w:rFonts w:hint="eastAsia" w:ascii="仿宋" w:hAnsi="仿宋" w:eastAsia="仿宋" w:cs="仿宋"/>
          <w:bCs/>
          <w:szCs w:val="32"/>
          <w:lang w:eastAsia="zh-CN"/>
        </w:rPr>
        <w:t>(2)</w:t>
      </w:r>
      <w:r>
        <w:rPr>
          <w:rFonts w:hint="eastAsia" w:ascii="仿宋" w:hAnsi="仿宋" w:eastAsia="仿宋" w:cs="仿宋"/>
          <w:color w:val="auto"/>
          <w:lang w:val="zh-CN" w:eastAsia="zh-CN"/>
        </w:rPr>
        <w:t>评估人员出具个人意见，评估工作组形成初步意见。开评估成员会，项目单位汇报项目计划内容和实施方案情况，由评估工作组组织评估人员进行充分论证，出具评估人员个人意见，填写《项目支出事前绩效评估意见》。评估工作组综合调查分析结果，形成工作组初步意见</w:t>
      </w:r>
      <w:r>
        <w:rPr>
          <w:rFonts w:hint="eastAsia" w:ascii="仿宋" w:hAnsi="仿宋" w:eastAsia="仿宋" w:cs="仿宋"/>
          <w:bCs/>
          <w:szCs w:val="32"/>
          <w:lang w:eastAsia="zh-CN"/>
        </w:rPr>
        <w:t>。</w:t>
      </w:r>
    </w:p>
    <w:p w14:paraId="1601700A">
      <w:pPr>
        <w:ind w:firstLine="640"/>
        <w:rPr>
          <w:rFonts w:hint="eastAsia" w:ascii="仿宋" w:hAnsi="仿宋" w:eastAsia="仿宋" w:cs="仿宋"/>
          <w:bCs/>
          <w:szCs w:val="32"/>
          <w:lang w:eastAsia="zh-CN"/>
        </w:rPr>
      </w:pPr>
      <w:r>
        <w:rPr>
          <w:rFonts w:hint="eastAsia" w:ascii="仿宋" w:hAnsi="仿宋" w:eastAsia="仿宋" w:cs="仿宋"/>
          <w:bCs/>
          <w:szCs w:val="32"/>
          <w:lang w:eastAsia="zh-CN"/>
        </w:rPr>
        <w:t>(3)</w:t>
      </w:r>
      <w:r>
        <w:rPr>
          <w:rFonts w:hint="eastAsia" w:ascii="仿宋" w:hAnsi="仿宋" w:eastAsia="仿宋" w:cs="仿宋"/>
          <w:color w:val="auto"/>
          <w:lang w:val="zh-CN" w:eastAsia="zh-CN"/>
        </w:rPr>
        <w:t>确认工作组意见，得出评估结论。评估工作组将评估个人初步意见报送评估工作组征求意见，评估工作组综合完善意见后，得出最终评估结论，填写《项目支出事前绩效评估工作组汇总意见》</w:t>
      </w:r>
      <w:r>
        <w:rPr>
          <w:rFonts w:hint="eastAsia" w:ascii="仿宋" w:hAnsi="仿宋" w:eastAsia="仿宋" w:cs="仿宋"/>
          <w:bCs/>
          <w:szCs w:val="32"/>
          <w:lang w:eastAsia="zh-CN"/>
        </w:rPr>
        <w:t>。</w:t>
      </w:r>
    </w:p>
    <w:p w14:paraId="38231472">
      <w:pPr>
        <w:ind w:firstLine="640"/>
        <w:rPr>
          <w:rFonts w:hint="eastAsia" w:ascii="仿宋" w:hAnsi="仿宋" w:eastAsia="仿宋" w:cs="仿宋"/>
          <w:color w:val="auto"/>
          <w:lang w:val="zh-CN" w:eastAsia="zh-CN"/>
        </w:rPr>
      </w:pPr>
      <w:r>
        <w:rPr>
          <w:rFonts w:hint="eastAsia" w:ascii="仿宋" w:hAnsi="仿宋" w:eastAsia="仿宋" w:cs="仿宋"/>
          <w:bCs/>
          <w:szCs w:val="32"/>
          <w:lang w:eastAsia="zh-CN"/>
        </w:rPr>
        <w:t>7.</w:t>
      </w:r>
      <w:r>
        <w:rPr>
          <w:rFonts w:hint="eastAsia" w:ascii="仿宋" w:hAnsi="仿宋" w:eastAsia="仿宋" w:cs="仿宋"/>
          <w:color w:val="auto"/>
          <w:lang w:val="zh-CN" w:eastAsia="zh-CN"/>
        </w:rPr>
        <w:t>汇报绩效评估结论。完成最终评价报告，提出评估结论意见。</w:t>
      </w:r>
    </w:p>
    <w:p w14:paraId="5B2540E8">
      <w:pPr>
        <w:pStyle w:val="3"/>
        <w:numPr>
          <w:ilvl w:val="0"/>
          <w:numId w:val="2"/>
        </w:numPr>
        <w:spacing w:before="0" w:beforeLines="0" w:after="0" w:afterLines="0"/>
        <w:ind w:left="0" w:firstLine="709" w:firstLineChars="0"/>
        <w:rPr>
          <w:rFonts w:hint="eastAsia" w:ascii="仿宋" w:hAnsi="仿宋" w:eastAsia="仿宋" w:cs="仿宋"/>
          <w:b w:val="0"/>
          <w:bCs/>
          <w:szCs w:val="32"/>
          <w:lang w:eastAsia="zh-CN"/>
        </w:rPr>
      </w:pPr>
      <w:bookmarkStart w:id="186" w:name="_Toc19270"/>
      <w:bookmarkStart w:id="187" w:name="_Toc28492"/>
      <w:r>
        <w:rPr>
          <w:rFonts w:hint="eastAsia" w:ascii="仿宋" w:hAnsi="仿宋" w:eastAsia="仿宋" w:cs="仿宋"/>
          <w:b w:val="0"/>
          <w:bCs/>
          <w:szCs w:val="32"/>
          <w:lang w:eastAsia="zh-CN"/>
        </w:rPr>
        <w:t>论证思路及方法</w:t>
      </w:r>
      <w:bookmarkEnd w:id="186"/>
      <w:bookmarkEnd w:id="187"/>
    </w:p>
    <w:p w14:paraId="1184FB84">
      <w:pPr>
        <w:ind w:firstLine="640"/>
        <w:rPr>
          <w:rFonts w:hint="eastAsia" w:ascii="仿宋" w:hAnsi="仿宋" w:eastAsia="仿宋" w:cs="仿宋"/>
          <w:color w:val="auto"/>
          <w:lang w:val="zh-CN" w:eastAsia="zh-CN"/>
        </w:rPr>
      </w:pPr>
      <w:r>
        <w:rPr>
          <w:rFonts w:hint="eastAsia" w:ascii="仿宋" w:hAnsi="仿宋" w:eastAsia="仿宋" w:cs="仿宋"/>
          <w:color w:val="auto"/>
          <w:lang w:val="zh-CN" w:eastAsia="zh-CN"/>
        </w:rPr>
        <w:t>本次事前绩效评估主要针对项目</w:t>
      </w:r>
      <w:r>
        <w:rPr>
          <w:rFonts w:hint="eastAsia" w:ascii="仿宋" w:hAnsi="仿宋" w:eastAsia="仿宋" w:cs="仿宋"/>
          <w:color w:val="auto"/>
          <w:lang w:val="en-US" w:eastAsia="zh-CN"/>
        </w:rPr>
        <w:t>实施的必要</w:t>
      </w:r>
      <w:r>
        <w:rPr>
          <w:rFonts w:hint="eastAsia" w:ascii="仿宋" w:hAnsi="仿宋" w:eastAsia="仿宋" w:cs="仿宋"/>
          <w:color w:val="auto"/>
          <w:lang w:val="zh-CN" w:eastAsia="zh-CN"/>
        </w:rPr>
        <w:t>性、</w:t>
      </w:r>
      <w:r>
        <w:rPr>
          <w:rFonts w:hint="eastAsia" w:ascii="仿宋" w:hAnsi="仿宋" w:eastAsia="仿宋" w:cs="仿宋"/>
          <w:color w:val="auto"/>
          <w:lang w:val="en-US" w:eastAsia="zh-CN"/>
        </w:rPr>
        <w:t>资金来源的可行性</w:t>
      </w:r>
      <w:r>
        <w:rPr>
          <w:rFonts w:hint="eastAsia" w:ascii="仿宋" w:hAnsi="仿宋" w:eastAsia="仿宋" w:cs="仿宋"/>
          <w:color w:val="auto"/>
          <w:lang w:val="zh-CN" w:eastAsia="zh-CN"/>
        </w:rPr>
        <w:t>、项</w:t>
      </w:r>
      <w:r>
        <w:rPr>
          <w:rFonts w:hint="eastAsia" w:ascii="仿宋" w:hAnsi="仿宋" w:eastAsia="仿宋" w:cs="仿宋"/>
          <w:color w:val="auto"/>
          <w:lang w:val="en-US" w:eastAsia="zh-CN"/>
        </w:rPr>
        <w:t>绩效目标明确性</w:t>
      </w:r>
      <w:r>
        <w:rPr>
          <w:rFonts w:hint="eastAsia" w:ascii="仿宋" w:hAnsi="仿宋" w:eastAsia="仿宋" w:cs="仿宋"/>
          <w:color w:val="auto"/>
          <w:lang w:val="zh-CN" w:eastAsia="zh-CN"/>
        </w:rPr>
        <w:t>、</w:t>
      </w:r>
      <w:r>
        <w:rPr>
          <w:rFonts w:hint="eastAsia" w:ascii="仿宋" w:hAnsi="仿宋" w:eastAsia="仿宋" w:cs="仿宋"/>
          <w:color w:val="auto"/>
          <w:lang w:val="en-US" w:eastAsia="zh-CN"/>
        </w:rPr>
        <w:t>管理办法执行的有效性</w:t>
      </w:r>
      <w:r>
        <w:rPr>
          <w:rFonts w:hint="eastAsia" w:ascii="仿宋" w:hAnsi="仿宋" w:eastAsia="仿宋" w:cs="仿宋"/>
          <w:color w:val="auto"/>
          <w:lang w:val="zh-CN" w:eastAsia="zh-CN"/>
        </w:rPr>
        <w:t>、</w:t>
      </w:r>
      <w:r>
        <w:rPr>
          <w:rFonts w:hint="eastAsia" w:ascii="仿宋" w:hAnsi="仿宋" w:eastAsia="仿宋" w:cs="仿宋"/>
          <w:color w:val="auto"/>
          <w:lang w:val="en-US" w:eastAsia="zh-CN"/>
        </w:rPr>
        <w:t>实施成果合格性</w:t>
      </w:r>
      <w:r>
        <w:rPr>
          <w:rFonts w:hint="eastAsia" w:ascii="仿宋" w:hAnsi="仿宋" w:eastAsia="仿宋" w:cs="仿宋"/>
          <w:color w:val="auto"/>
          <w:lang w:val="zh-CN" w:eastAsia="zh-CN"/>
        </w:rPr>
        <w:t>等五方面进行综合评估、分析与论证，并提出相关建议。</w:t>
      </w:r>
    </w:p>
    <w:p w14:paraId="5F99ADD2">
      <w:pPr>
        <w:ind w:firstLine="640"/>
        <w:rPr>
          <w:rFonts w:hint="eastAsia" w:ascii="仿宋" w:hAnsi="仿宋" w:eastAsia="仿宋" w:cs="仿宋"/>
          <w:bCs/>
          <w:szCs w:val="32"/>
          <w:lang w:eastAsia="zh-CN"/>
        </w:rPr>
      </w:pPr>
      <w:r>
        <w:rPr>
          <w:rFonts w:hint="eastAsia" w:ascii="仿宋" w:hAnsi="仿宋" w:eastAsia="仿宋" w:cs="仿宋"/>
          <w:color w:val="auto"/>
          <w:lang w:val="zh-CN" w:eastAsia="zh-CN"/>
        </w:rPr>
        <w:t>本次事前绩效评估主要采用效益分析、比较分析、因素分析、历史分析等方法进行论证</w:t>
      </w:r>
      <w:r>
        <w:rPr>
          <w:rFonts w:hint="eastAsia" w:ascii="仿宋" w:hAnsi="仿宋" w:eastAsia="仿宋" w:cs="仿宋"/>
          <w:bCs/>
          <w:szCs w:val="32"/>
          <w:lang w:eastAsia="zh-CN"/>
        </w:rPr>
        <w:t>。</w:t>
      </w:r>
    </w:p>
    <w:p w14:paraId="4102DC17">
      <w:pPr>
        <w:pStyle w:val="3"/>
        <w:numPr>
          <w:ilvl w:val="0"/>
          <w:numId w:val="2"/>
        </w:numPr>
        <w:spacing w:before="0" w:beforeLines="0" w:after="0" w:afterLines="0"/>
        <w:ind w:left="0" w:firstLine="709" w:firstLineChars="0"/>
        <w:rPr>
          <w:rFonts w:hint="eastAsia" w:ascii="仿宋" w:hAnsi="仿宋" w:eastAsia="仿宋" w:cs="仿宋"/>
          <w:b w:val="0"/>
          <w:bCs/>
          <w:szCs w:val="32"/>
          <w:lang w:eastAsia="zh-CN"/>
        </w:rPr>
      </w:pPr>
      <w:bookmarkStart w:id="188" w:name="_Toc32146"/>
      <w:bookmarkStart w:id="189" w:name="_Toc17481"/>
      <w:r>
        <w:rPr>
          <w:rFonts w:hint="eastAsia" w:ascii="仿宋" w:hAnsi="仿宋" w:eastAsia="仿宋" w:cs="仿宋"/>
          <w:b w:val="0"/>
          <w:bCs/>
          <w:szCs w:val="32"/>
          <w:lang w:eastAsia="zh-CN"/>
        </w:rPr>
        <w:t>评估方式</w:t>
      </w:r>
      <w:bookmarkEnd w:id="188"/>
      <w:bookmarkEnd w:id="189"/>
    </w:p>
    <w:p w14:paraId="27CF8B9C">
      <w:pPr>
        <w:ind w:firstLine="640"/>
        <w:rPr>
          <w:rFonts w:hint="eastAsia" w:ascii="仿宋" w:hAnsi="仿宋" w:eastAsia="仿宋" w:cs="仿宋"/>
          <w:bCs/>
          <w:szCs w:val="32"/>
          <w:lang w:eastAsia="zh-CN"/>
        </w:rPr>
      </w:pPr>
      <w:r>
        <w:rPr>
          <w:rFonts w:hint="eastAsia" w:ascii="仿宋" w:hAnsi="仿宋" w:eastAsia="仿宋" w:cs="仿宋"/>
          <w:color w:val="auto"/>
          <w:lang w:val="zh-CN" w:eastAsia="zh-CN"/>
        </w:rPr>
        <w:t>本次事前绩效评估遵循全面考虑、重点突出的原则，主要采用比较分析的方式，同时辅之以资料分析、集中座谈、网络查询、电话采访、抽样调查等评估方式或手段，对项目的相关性、可行性、持续性等方面进行全面评估</w:t>
      </w:r>
      <w:r>
        <w:rPr>
          <w:rFonts w:hint="eastAsia" w:ascii="仿宋" w:hAnsi="仿宋" w:eastAsia="仿宋" w:cs="仿宋"/>
          <w:bCs/>
          <w:szCs w:val="32"/>
          <w:lang w:eastAsia="zh-CN"/>
        </w:rPr>
        <w:t>。</w:t>
      </w:r>
    </w:p>
    <w:p w14:paraId="312A2C90">
      <w:pPr>
        <w:pStyle w:val="2"/>
        <w:numPr>
          <w:ilvl w:val="0"/>
          <w:numId w:val="1"/>
        </w:numPr>
        <w:spacing w:before="0" w:beforeLines="0" w:after="0" w:afterLines="0"/>
        <w:rPr>
          <w:rFonts w:hint="eastAsia" w:ascii="仿宋" w:hAnsi="仿宋" w:eastAsia="仿宋" w:cs="仿宋"/>
          <w:b w:val="0"/>
          <w:bCs/>
          <w:szCs w:val="32"/>
          <w:lang w:eastAsia="zh-CN"/>
        </w:rPr>
      </w:pPr>
      <w:bookmarkStart w:id="190" w:name="_Toc1232831072"/>
      <w:bookmarkStart w:id="191" w:name="_Toc29976"/>
      <w:bookmarkStart w:id="192" w:name="_Toc20132"/>
      <w:bookmarkStart w:id="193" w:name="_Toc2810"/>
      <w:bookmarkStart w:id="194" w:name="_Toc709323845"/>
      <w:bookmarkStart w:id="195" w:name="_Toc5234"/>
      <w:bookmarkStart w:id="196" w:name="_Toc132480965"/>
      <w:bookmarkStart w:id="197" w:name="_Toc1850422540"/>
      <w:bookmarkStart w:id="198" w:name="_Toc27103"/>
      <w:bookmarkStart w:id="199" w:name="_Toc5665919"/>
      <w:bookmarkStart w:id="200" w:name="_Toc2115246641_WPSOffice_Level1"/>
      <w:r>
        <w:rPr>
          <w:rFonts w:hint="eastAsia" w:ascii="仿宋" w:hAnsi="仿宋" w:eastAsia="仿宋" w:cs="仿宋"/>
          <w:b w:val="0"/>
          <w:bCs/>
          <w:szCs w:val="32"/>
          <w:lang w:eastAsia="zh-CN"/>
        </w:rPr>
        <w:t>事前绩效评估指标体系及得分情况</w:t>
      </w:r>
      <w:bookmarkEnd w:id="190"/>
      <w:bookmarkEnd w:id="191"/>
      <w:bookmarkEnd w:id="192"/>
      <w:bookmarkEnd w:id="193"/>
      <w:bookmarkEnd w:id="194"/>
      <w:bookmarkEnd w:id="195"/>
      <w:bookmarkEnd w:id="196"/>
      <w:bookmarkEnd w:id="197"/>
      <w:bookmarkEnd w:id="198"/>
      <w:bookmarkEnd w:id="199"/>
      <w:bookmarkEnd w:id="200"/>
    </w:p>
    <w:p w14:paraId="0BF24B17">
      <w:pPr>
        <w:ind w:firstLine="640"/>
        <w:rPr>
          <w:rFonts w:hint="eastAsia" w:ascii="仿宋" w:hAnsi="仿宋" w:eastAsia="仿宋" w:cs="仿宋"/>
          <w:bCs/>
          <w:szCs w:val="32"/>
          <w:lang w:eastAsia="zh-CN"/>
        </w:rPr>
      </w:pPr>
      <w:r>
        <w:rPr>
          <w:rFonts w:hint="eastAsia" w:ascii="仿宋" w:hAnsi="仿宋" w:eastAsia="仿宋" w:cs="仿宋"/>
          <w:color w:val="auto"/>
          <w:lang w:val="zh-CN" w:eastAsia="zh-CN"/>
        </w:rPr>
        <w:t>评估工作小组按照相关性、经济性、可行性、重要性、可比性、系统性及合理性原则，设置项目事前绩效评估指标体系，其中共包含8个一级指标、1</w:t>
      </w:r>
      <w:r>
        <w:rPr>
          <w:rFonts w:hint="eastAsia" w:ascii="仿宋" w:hAnsi="仿宋" w:eastAsia="仿宋" w:cs="仿宋"/>
          <w:color w:val="auto"/>
          <w:lang w:val="en-US" w:eastAsia="zh-CN"/>
        </w:rPr>
        <w:t>6</w:t>
      </w:r>
      <w:r>
        <w:rPr>
          <w:rFonts w:hint="eastAsia" w:ascii="仿宋" w:hAnsi="仿宋" w:eastAsia="仿宋" w:cs="仿宋"/>
          <w:color w:val="auto"/>
          <w:lang w:val="zh-CN" w:eastAsia="zh-CN"/>
        </w:rPr>
        <w:t>个二级指标以及3</w:t>
      </w:r>
      <w:r>
        <w:rPr>
          <w:rFonts w:hint="eastAsia" w:ascii="仿宋" w:hAnsi="仿宋" w:eastAsia="仿宋" w:cs="仿宋"/>
          <w:color w:val="auto"/>
          <w:lang w:val="en-US" w:eastAsia="zh-CN"/>
        </w:rPr>
        <w:t>1</w:t>
      </w:r>
      <w:r>
        <w:rPr>
          <w:rFonts w:hint="eastAsia" w:ascii="仿宋" w:hAnsi="仿宋" w:eastAsia="仿宋" w:cs="仿宋"/>
          <w:color w:val="auto"/>
          <w:lang w:val="zh-CN" w:eastAsia="zh-CN"/>
        </w:rPr>
        <w:t>个三级指标，各项指标内容及得分情况详见下表</w:t>
      </w:r>
      <w:r>
        <w:rPr>
          <w:rFonts w:hint="eastAsia" w:ascii="仿宋" w:hAnsi="仿宋" w:eastAsia="仿宋" w:cs="仿宋"/>
          <w:bCs/>
          <w:szCs w:val="32"/>
          <w:lang w:eastAsia="zh-CN"/>
        </w:rPr>
        <w:t>：</w:t>
      </w:r>
    </w:p>
    <w:p w14:paraId="78776ECB">
      <w:pPr>
        <w:ind w:firstLine="0" w:firstLineChars="0"/>
        <w:jc w:val="center"/>
        <w:rPr>
          <w:rFonts w:hint="eastAsia" w:ascii="仿宋" w:hAnsi="仿宋" w:eastAsia="仿宋" w:cs="仿宋"/>
          <w:bCs/>
          <w:szCs w:val="32"/>
          <w:lang w:eastAsia="zh-CN"/>
        </w:rPr>
      </w:pPr>
      <w:r>
        <w:rPr>
          <w:rFonts w:hint="eastAsia" w:ascii="仿宋" w:hAnsi="仿宋" w:eastAsia="仿宋" w:cs="仿宋"/>
          <w:color w:val="auto"/>
          <w:lang w:val="zh-CN" w:eastAsia="zh-CN"/>
        </w:rPr>
        <w:t>储备粮油费用补贴</w:t>
      </w:r>
    </w:p>
    <w:p w14:paraId="4FDE3CFB">
      <w:pPr>
        <w:ind w:firstLine="0" w:firstLineChars="0"/>
        <w:jc w:val="center"/>
        <w:rPr>
          <w:rFonts w:hint="eastAsia" w:ascii="仿宋" w:hAnsi="仿宋" w:eastAsia="仿宋" w:cs="仿宋"/>
          <w:bCs/>
          <w:szCs w:val="32"/>
          <w:lang w:eastAsia="zh-CN"/>
        </w:rPr>
      </w:pPr>
      <w:r>
        <w:rPr>
          <w:rFonts w:hint="eastAsia" w:ascii="仿宋" w:hAnsi="仿宋" w:eastAsia="仿宋" w:cs="仿宋"/>
          <w:bCs/>
          <w:szCs w:val="32"/>
          <w:lang w:eastAsia="zh-CN"/>
        </w:rPr>
        <w:t>事前绩效评估指标体系</w:t>
      </w:r>
    </w:p>
    <w:tbl>
      <w:tblPr>
        <w:tblStyle w:val="21"/>
        <w:tblW w:w="8487"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7"/>
        <w:gridCol w:w="1296"/>
        <w:gridCol w:w="4737"/>
        <w:gridCol w:w="540"/>
        <w:gridCol w:w="541"/>
        <w:gridCol w:w="496"/>
      </w:tblGrid>
      <w:tr w14:paraId="48655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blHeader/>
        </w:trPr>
        <w:tc>
          <w:tcPr>
            <w:tcW w:w="877" w:type="dxa"/>
            <w:shd w:val="clear" w:color="auto" w:fill="auto"/>
            <w:noWrap w:val="0"/>
            <w:vAlign w:val="center"/>
          </w:tcPr>
          <w:p w14:paraId="53B360D4">
            <w:pPr>
              <w:pStyle w:val="67"/>
              <w:ind w:firstLine="0" w:firstLineChars="0"/>
              <w:jc w:val="center"/>
              <w:rPr>
                <w:rFonts w:ascii="Arial" w:hAnsi="Arial" w:cs="Arial"/>
                <w:b/>
                <w:snapToGrid w:val="0"/>
                <w:sz w:val="21"/>
              </w:rPr>
            </w:pPr>
            <w:r>
              <w:rPr>
                <w:rFonts w:ascii="Arial" w:hAnsi="Arial" w:cs="Arial"/>
                <w:b/>
                <w:snapToGrid w:val="0"/>
                <w:sz w:val="21"/>
              </w:rPr>
              <w:t>一级指标</w:t>
            </w:r>
          </w:p>
        </w:tc>
        <w:tc>
          <w:tcPr>
            <w:tcW w:w="1296" w:type="dxa"/>
            <w:shd w:val="clear" w:color="auto" w:fill="auto"/>
            <w:noWrap w:val="0"/>
            <w:vAlign w:val="center"/>
          </w:tcPr>
          <w:p w14:paraId="1B8EB841">
            <w:pPr>
              <w:pStyle w:val="67"/>
              <w:ind w:right="6" w:firstLine="0" w:firstLineChars="0"/>
              <w:jc w:val="center"/>
              <w:rPr>
                <w:rFonts w:ascii="Arial" w:hAnsi="Arial" w:cs="Arial"/>
                <w:b/>
                <w:snapToGrid w:val="0"/>
                <w:sz w:val="21"/>
              </w:rPr>
            </w:pPr>
            <w:r>
              <w:rPr>
                <w:rFonts w:ascii="Arial" w:hAnsi="Arial" w:cs="Arial"/>
                <w:b/>
                <w:snapToGrid w:val="0"/>
                <w:sz w:val="21"/>
              </w:rPr>
              <w:t>二级指标</w:t>
            </w:r>
          </w:p>
        </w:tc>
        <w:tc>
          <w:tcPr>
            <w:tcW w:w="4737" w:type="dxa"/>
            <w:shd w:val="clear" w:color="auto" w:fill="auto"/>
            <w:noWrap w:val="0"/>
            <w:vAlign w:val="center"/>
          </w:tcPr>
          <w:p w14:paraId="54AD672F">
            <w:pPr>
              <w:pStyle w:val="67"/>
              <w:ind w:right="2325" w:firstLine="0" w:firstLineChars="0"/>
              <w:jc w:val="center"/>
              <w:rPr>
                <w:rFonts w:ascii="Arial" w:hAnsi="Arial" w:cs="Arial"/>
                <w:b/>
                <w:snapToGrid w:val="0"/>
                <w:sz w:val="21"/>
              </w:rPr>
            </w:pPr>
            <w:r>
              <w:rPr>
                <w:rFonts w:ascii="Arial" w:hAnsi="Arial" w:cs="Arial"/>
                <w:b/>
                <w:snapToGrid w:val="0"/>
                <w:sz w:val="21"/>
              </w:rPr>
              <w:t>评估要点</w:t>
            </w:r>
          </w:p>
        </w:tc>
        <w:tc>
          <w:tcPr>
            <w:tcW w:w="1081" w:type="dxa"/>
            <w:gridSpan w:val="2"/>
            <w:shd w:val="clear" w:color="auto" w:fill="auto"/>
            <w:noWrap w:val="0"/>
            <w:vAlign w:val="center"/>
          </w:tcPr>
          <w:p w14:paraId="10870B0D">
            <w:pPr>
              <w:pStyle w:val="67"/>
              <w:ind w:firstLine="0" w:firstLineChars="0"/>
              <w:jc w:val="center"/>
              <w:rPr>
                <w:rFonts w:ascii="Arial" w:hAnsi="Arial" w:cs="Arial"/>
                <w:b/>
                <w:snapToGrid w:val="0"/>
                <w:sz w:val="21"/>
                <w:lang w:eastAsia="zh-CN"/>
              </w:rPr>
            </w:pPr>
            <w:r>
              <w:rPr>
                <w:rFonts w:hint="eastAsia" w:ascii="Arial" w:hAnsi="Arial" w:cs="Arial"/>
                <w:b/>
                <w:snapToGrid w:val="0"/>
                <w:sz w:val="21"/>
                <w:lang w:eastAsia="zh-CN"/>
              </w:rPr>
              <w:t>分值</w:t>
            </w:r>
          </w:p>
        </w:tc>
        <w:tc>
          <w:tcPr>
            <w:tcW w:w="496" w:type="dxa"/>
            <w:shd w:val="clear" w:color="auto" w:fill="auto"/>
            <w:noWrap w:val="0"/>
            <w:vAlign w:val="center"/>
          </w:tcPr>
          <w:p w14:paraId="49424D2E">
            <w:pPr>
              <w:pStyle w:val="67"/>
              <w:ind w:right="9" w:firstLine="0" w:firstLineChars="0"/>
              <w:jc w:val="center"/>
              <w:rPr>
                <w:rFonts w:ascii="Arial" w:hAnsi="Arial" w:cs="Arial"/>
                <w:b/>
                <w:snapToGrid w:val="0"/>
                <w:sz w:val="21"/>
              </w:rPr>
            </w:pPr>
            <w:r>
              <w:rPr>
                <w:rFonts w:ascii="Arial" w:hAnsi="Arial" w:cs="Arial"/>
                <w:b/>
                <w:snapToGrid w:val="0"/>
                <w:sz w:val="21"/>
              </w:rPr>
              <w:t>得分</w:t>
            </w:r>
          </w:p>
        </w:tc>
      </w:tr>
      <w:tr w14:paraId="4F93F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877" w:type="dxa"/>
            <w:vMerge w:val="restart"/>
            <w:shd w:val="clear" w:color="auto" w:fill="auto"/>
            <w:noWrap w:val="0"/>
            <w:vAlign w:val="center"/>
          </w:tcPr>
          <w:p w14:paraId="0D589D10">
            <w:pPr>
              <w:pStyle w:val="67"/>
              <w:ind w:firstLine="0" w:firstLineChars="0"/>
              <w:jc w:val="left"/>
              <w:rPr>
                <w:rFonts w:ascii="Arial" w:hAnsi="Arial" w:cs="Arial"/>
                <w:bCs/>
                <w:snapToGrid w:val="0"/>
                <w:sz w:val="20"/>
                <w:lang w:eastAsia="zh-CN"/>
              </w:rPr>
            </w:pPr>
            <w:r>
              <w:rPr>
                <w:rFonts w:hint="eastAsia" w:ascii="Arial" w:hAnsi="Arial" w:cs="Arial"/>
                <w:bCs/>
                <w:snapToGrid w:val="0"/>
                <w:sz w:val="20"/>
                <w:lang w:eastAsia="zh-CN"/>
              </w:rPr>
              <w:t>项目实施的必要性、公益性、收益性</w:t>
            </w:r>
          </w:p>
        </w:tc>
        <w:tc>
          <w:tcPr>
            <w:tcW w:w="1296" w:type="dxa"/>
            <w:shd w:val="clear" w:color="auto" w:fill="auto"/>
            <w:noWrap w:val="0"/>
            <w:vAlign w:val="center"/>
          </w:tcPr>
          <w:p w14:paraId="337EA1EE">
            <w:pPr>
              <w:pStyle w:val="67"/>
              <w:ind w:firstLine="0" w:firstLineChars="0"/>
              <w:jc w:val="center"/>
              <w:rPr>
                <w:rFonts w:ascii="Arial" w:hAnsi="Arial" w:cs="Arial"/>
                <w:bCs/>
                <w:snapToGrid w:val="0"/>
                <w:sz w:val="20"/>
              </w:rPr>
            </w:pPr>
            <w:r>
              <w:rPr>
                <w:rFonts w:hint="eastAsia" w:ascii="Arial" w:hAnsi="Arial" w:cs="Arial"/>
                <w:bCs/>
                <w:snapToGrid w:val="0"/>
                <w:sz w:val="20"/>
              </w:rPr>
              <w:t>必要性</w:t>
            </w:r>
          </w:p>
        </w:tc>
        <w:tc>
          <w:tcPr>
            <w:tcW w:w="4737" w:type="dxa"/>
            <w:shd w:val="clear" w:color="auto" w:fill="auto"/>
            <w:noWrap w:val="0"/>
            <w:vAlign w:val="center"/>
          </w:tcPr>
          <w:p w14:paraId="2CE36CB5">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①项目是否符合国情需要，是否在国家统一部署下开展。</w:t>
            </w:r>
          </w:p>
        </w:tc>
        <w:tc>
          <w:tcPr>
            <w:tcW w:w="540" w:type="dxa"/>
            <w:shd w:val="clear" w:color="auto" w:fill="auto"/>
            <w:noWrap w:val="0"/>
            <w:vAlign w:val="center"/>
          </w:tcPr>
          <w:p w14:paraId="1895FB42">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c>
          <w:tcPr>
            <w:tcW w:w="541" w:type="dxa"/>
            <w:vMerge w:val="restart"/>
            <w:shd w:val="clear" w:color="auto" w:fill="auto"/>
            <w:noWrap w:val="0"/>
            <w:vAlign w:val="center"/>
          </w:tcPr>
          <w:p w14:paraId="7A9E4249">
            <w:pPr>
              <w:pStyle w:val="67"/>
              <w:ind w:firstLine="0" w:firstLineChars="0"/>
              <w:jc w:val="center"/>
              <w:rPr>
                <w:rFonts w:ascii="Arial" w:hAnsi="Arial" w:cs="Arial"/>
                <w:bCs/>
                <w:snapToGrid w:val="0"/>
                <w:sz w:val="20"/>
                <w:lang w:eastAsia="zh-CN"/>
              </w:rPr>
            </w:pPr>
            <w:r>
              <w:rPr>
                <w:rFonts w:hint="eastAsia" w:ascii="Arial" w:hAnsi="Arial" w:cs="Arial"/>
                <w:bCs/>
                <w:snapToGrid w:val="0"/>
                <w:sz w:val="20"/>
              </w:rPr>
              <w:t>1</w:t>
            </w:r>
            <w:r>
              <w:rPr>
                <w:rFonts w:hint="eastAsia" w:ascii="Arial" w:hAnsi="Arial" w:cs="Arial"/>
                <w:bCs/>
                <w:snapToGrid w:val="0"/>
                <w:sz w:val="20"/>
                <w:lang w:eastAsia="zh-CN"/>
              </w:rPr>
              <w:t>6</w:t>
            </w:r>
          </w:p>
        </w:tc>
        <w:tc>
          <w:tcPr>
            <w:tcW w:w="496" w:type="dxa"/>
            <w:shd w:val="clear" w:color="auto" w:fill="auto"/>
            <w:noWrap w:val="0"/>
            <w:vAlign w:val="center"/>
          </w:tcPr>
          <w:p w14:paraId="465DE289">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r>
      <w:tr w14:paraId="742E8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877" w:type="dxa"/>
            <w:vMerge w:val="continue"/>
            <w:tcBorders>
              <w:top w:val="nil"/>
            </w:tcBorders>
            <w:shd w:val="clear" w:color="auto" w:fill="auto"/>
            <w:noWrap w:val="0"/>
            <w:vAlign w:val="center"/>
          </w:tcPr>
          <w:p w14:paraId="73368E1E">
            <w:pPr>
              <w:pStyle w:val="67"/>
              <w:ind w:firstLine="0" w:firstLineChars="0"/>
              <w:rPr>
                <w:rFonts w:ascii="Arial" w:hAnsi="Arial" w:cs="Arial"/>
                <w:bCs/>
                <w:snapToGrid w:val="0"/>
                <w:sz w:val="20"/>
              </w:rPr>
            </w:pPr>
          </w:p>
        </w:tc>
        <w:tc>
          <w:tcPr>
            <w:tcW w:w="1296" w:type="dxa"/>
            <w:shd w:val="clear" w:color="auto" w:fill="auto"/>
            <w:noWrap w:val="0"/>
            <w:vAlign w:val="center"/>
          </w:tcPr>
          <w:p w14:paraId="06444960">
            <w:pPr>
              <w:pStyle w:val="67"/>
              <w:ind w:firstLine="0" w:firstLineChars="0"/>
              <w:jc w:val="center"/>
              <w:rPr>
                <w:rFonts w:ascii="Arial" w:hAnsi="Arial" w:cs="Arial"/>
                <w:bCs/>
                <w:snapToGrid w:val="0"/>
                <w:sz w:val="20"/>
              </w:rPr>
            </w:pPr>
            <w:r>
              <w:rPr>
                <w:rFonts w:hint="eastAsia" w:ascii="Arial" w:hAnsi="Arial" w:cs="Arial"/>
                <w:bCs/>
                <w:snapToGrid w:val="0"/>
                <w:sz w:val="20"/>
              </w:rPr>
              <w:t>公益性</w:t>
            </w:r>
          </w:p>
        </w:tc>
        <w:tc>
          <w:tcPr>
            <w:tcW w:w="4737" w:type="dxa"/>
            <w:shd w:val="clear" w:color="auto" w:fill="auto"/>
            <w:noWrap w:val="0"/>
            <w:vAlign w:val="center"/>
          </w:tcPr>
          <w:p w14:paraId="2A0548CB">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②项目是否具有公益性。</w:t>
            </w:r>
          </w:p>
        </w:tc>
        <w:tc>
          <w:tcPr>
            <w:tcW w:w="540" w:type="dxa"/>
            <w:shd w:val="clear" w:color="auto" w:fill="auto"/>
            <w:noWrap w:val="0"/>
            <w:vAlign w:val="center"/>
          </w:tcPr>
          <w:p w14:paraId="5FF34D35">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c>
          <w:tcPr>
            <w:tcW w:w="541" w:type="dxa"/>
            <w:vMerge w:val="continue"/>
            <w:tcBorders>
              <w:top w:val="nil"/>
            </w:tcBorders>
            <w:shd w:val="clear" w:color="auto" w:fill="auto"/>
            <w:noWrap w:val="0"/>
            <w:vAlign w:val="center"/>
          </w:tcPr>
          <w:p w14:paraId="1AF349C0">
            <w:pPr>
              <w:pStyle w:val="67"/>
              <w:ind w:firstLine="0" w:firstLineChars="0"/>
              <w:jc w:val="center"/>
              <w:rPr>
                <w:rFonts w:ascii="Arial" w:hAnsi="Arial" w:cs="Arial"/>
                <w:bCs/>
                <w:snapToGrid w:val="0"/>
                <w:sz w:val="20"/>
              </w:rPr>
            </w:pPr>
          </w:p>
        </w:tc>
        <w:tc>
          <w:tcPr>
            <w:tcW w:w="496" w:type="dxa"/>
            <w:shd w:val="clear" w:color="auto" w:fill="auto"/>
            <w:noWrap w:val="0"/>
            <w:vAlign w:val="center"/>
          </w:tcPr>
          <w:p w14:paraId="13398EB1">
            <w:pPr>
              <w:pStyle w:val="67"/>
              <w:ind w:firstLine="0" w:firstLineChars="0"/>
              <w:jc w:val="center"/>
              <w:rPr>
                <w:rFonts w:ascii="Arial" w:hAnsi="Arial" w:cs="Arial"/>
                <w:bCs/>
                <w:snapToGrid w:val="0"/>
                <w:sz w:val="20"/>
              </w:rPr>
            </w:pPr>
            <w:r>
              <w:rPr>
                <w:rFonts w:hint="eastAsia" w:ascii="Arial" w:hAnsi="Arial" w:cs="Arial"/>
                <w:bCs/>
                <w:snapToGrid w:val="0"/>
                <w:sz w:val="20"/>
              </w:rPr>
              <w:t>4</w:t>
            </w:r>
          </w:p>
        </w:tc>
      </w:tr>
      <w:tr w14:paraId="6B444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77" w:type="dxa"/>
            <w:vMerge w:val="continue"/>
            <w:tcBorders>
              <w:top w:val="nil"/>
            </w:tcBorders>
            <w:shd w:val="clear" w:color="auto" w:fill="auto"/>
            <w:noWrap w:val="0"/>
            <w:vAlign w:val="center"/>
          </w:tcPr>
          <w:p w14:paraId="04A24A4F">
            <w:pPr>
              <w:pStyle w:val="67"/>
              <w:ind w:firstLine="0" w:firstLineChars="0"/>
              <w:rPr>
                <w:rFonts w:ascii="Arial" w:hAnsi="Arial" w:cs="Arial"/>
                <w:bCs/>
                <w:snapToGrid w:val="0"/>
                <w:sz w:val="20"/>
              </w:rPr>
            </w:pPr>
          </w:p>
        </w:tc>
        <w:tc>
          <w:tcPr>
            <w:tcW w:w="1296" w:type="dxa"/>
            <w:vMerge w:val="restart"/>
            <w:shd w:val="clear" w:color="auto" w:fill="auto"/>
            <w:noWrap w:val="0"/>
            <w:vAlign w:val="center"/>
          </w:tcPr>
          <w:p w14:paraId="4CE7D975">
            <w:pPr>
              <w:pStyle w:val="67"/>
              <w:ind w:firstLine="0" w:firstLineChars="0"/>
              <w:jc w:val="center"/>
              <w:rPr>
                <w:rFonts w:ascii="Arial" w:hAnsi="Arial" w:cs="Arial"/>
                <w:bCs/>
                <w:snapToGrid w:val="0"/>
                <w:sz w:val="20"/>
              </w:rPr>
            </w:pPr>
            <w:r>
              <w:rPr>
                <w:rFonts w:hint="eastAsia" w:ascii="Arial" w:hAnsi="Arial" w:cs="Arial"/>
                <w:bCs/>
                <w:snapToGrid w:val="0"/>
                <w:sz w:val="20"/>
                <w:lang w:val="en-US" w:eastAsia="zh-CN"/>
              </w:rPr>
              <w:t>收</w:t>
            </w:r>
            <w:r>
              <w:rPr>
                <w:rFonts w:hint="eastAsia" w:ascii="Arial" w:hAnsi="Arial" w:cs="Arial"/>
                <w:bCs/>
                <w:snapToGrid w:val="0"/>
                <w:sz w:val="20"/>
              </w:rPr>
              <w:t>益性</w:t>
            </w:r>
          </w:p>
        </w:tc>
        <w:tc>
          <w:tcPr>
            <w:tcW w:w="4737" w:type="dxa"/>
            <w:shd w:val="clear" w:color="auto" w:fill="auto"/>
            <w:noWrap w:val="0"/>
            <w:vAlign w:val="center"/>
          </w:tcPr>
          <w:p w14:paraId="0E2E110E">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①项目是否具有减少市场波动带来经济损失的能力；</w:t>
            </w:r>
          </w:p>
        </w:tc>
        <w:tc>
          <w:tcPr>
            <w:tcW w:w="540" w:type="dxa"/>
            <w:shd w:val="clear" w:color="auto" w:fill="auto"/>
            <w:noWrap w:val="0"/>
            <w:vAlign w:val="center"/>
          </w:tcPr>
          <w:p w14:paraId="2110F6F3">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c>
          <w:tcPr>
            <w:tcW w:w="541" w:type="dxa"/>
            <w:vMerge w:val="continue"/>
            <w:tcBorders>
              <w:top w:val="nil"/>
            </w:tcBorders>
            <w:shd w:val="clear" w:color="auto" w:fill="auto"/>
            <w:noWrap w:val="0"/>
            <w:vAlign w:val="center"/>
          </w:tcPr>
          <w:p w14:paraId="7163DAA0">
            <w:pPr>
              <w:pStyle w:val="67"/>
              <w:ind w:firstLine="0" w:firstLineChars="0"/>
              <w:jc w:val="center"/>
              <w:rPr>
                <w:rFonts w:ascii="Arial" w:hAnsi="Arial" w:cs="Arial"/>
                <w:bCs/>
                <w:snapToGrid w:val="0"/>
                <w:sz w:val="20"/>
              </w:rPr>
            </w:pPr>
          </w:p>
        </w:tc>
        <w:tc>
          <w:tcPr>
            <w:tcW w:w="496" w:type="dxa"/>
            <w:shd w:val="clear" w:color="auto" w:fill="auto"/>
            <w:noWrap w:val="0"/>
            <w:vAlign w:val="center"/>
          </w:tcPr>
          <w:p w14:paraId="16A89246">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r>
      <w:tr w14:paraId="6467A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77" w:type="dxa"/>
            <w:vMerge w:val="continue"/>
            <w:tcBorders>
              <w:top w:val="nil"/>
            </w:tcBorders>
            <w:shd w:val="clear" w:color="auto" w:fill="auto"/>
            <w:noWrap w:val="0"/>
            <w:vAlign w:val="center"/>
          </w:tcPr>
          <w:p w14:paraId="71257BCE">
            <w:pPr>
              <w:pStyle w:val="67"/>
              <w:ind w:firstLine="0" w:firstLineChars="0"/>
              <w:rPr>
                <w:rFonts w:ascii="Arial" w:hAnsi="Arial" w:cs="Arial"/>
                <w:bCs/>
                <w:snapToGrid w:val="0"/>
                <w:sz w:val="20"/>
              </w:rPr>
            </w:pPr>
          </w:p>
        </w:tc>
        <w:tc>
          <w:tcPr>
            <w:tcW w:w="1296" w:type="dxa"/>
            <w:vMerge w:val="continue"/>
            <w:tcBorders>
              <w:top w:val="nil"/>
            </w:tcBorders>
            <w:shd w:val="clear" w:color="auto" w:fill="auto"/>
            <w:noWrap w:val="0"/>
            <w:vAlign w:val="center"/>
          </w:tcPr>
          <w:p w14:paraId="1696B3D7">
            <w:pPr>
              <w:pStyle w:val="67"/>
              <w:ind w:firstLine="0" w:firstLineChars="0"/>
              <w:jc w:val="center"/>
              <w:rPr>
                <w:rFonts w:ascii="Arial" w:hAnsi="Arial" w:cs="Arial"/>
                <w:bCs/>
                <w:snapToGrid w:val="0"/>
                <w:sz w:val="20"/>
              </w:rPr>
            </w:pPr>
          </w:p>
        </w:tc>
        <w:tc>
          <w:tcPr>
            <w:tcW w:w="4737" w:type="dxa"/>
            <w:shd w:val="clear" w:color="auto" w:fill="auto"/>
            <w:noWrap w:val="0"/>
            <w:vAlign w:val="center"/>
          </w:tcPr>
          <w:p w14:paraId="00793AE5">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②项目是否具有保护生态环境，促进农业生态系统的平衡和稳定的能力。</w:t>
            </w:r>
          </w:p>
        </w:tc>
        <w:tc>
          <w:tcPr>
            <w:tcW w:w="540" w:type="dxa"/>
            <w:shd w:val="clear" w:color="auto" w:fill="auto"/>
            <w:noWrap w:val="0"/>
            <w:vAlign w:val="center"/>
          </w:tcPr>
          <w:p w14:paraId="6A0AEBBC">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c>
          <w:tcPr>
            <w:tcW w:w="541" w:type="dxa"/>
            <w:vMerge w:val="continue"/>
            <w:tcBorders>
              <w:top w:val="nil"/>
            </w:tcBorders>
            <w:shd w:val="clear" w:color="auto" w:fill="auto"/>
            <w:noWrap w:val="0"/>
            <w:vAlign w:val="center"/>
          </w:tcPr>
          <w:p w14:paraId="3D5B453B">
            <w:pPr>
              <w:pStyle w:val="67"/>
              <w:ind w:firstLine="0" w:firstLineChars="0"/>
              <w:jc w:val="center"/>
              <w:rPr>
                <w:rFonts w:ascii="Arial" w:hAnsi="Arial" w:cs="Arial"/>
                <w:bCs/>
                <w:snapToGrid w:val="0"/>
                <w:sz w:val="20"/>
              </w:rPr>
            </w:pPr>
          </w:p>
        </w:tc>
        <w:tc>
          <w:tcPr>
            <w:tcW w:w="496" w:type="dxa"/>
            <w:shd w:val="clear" w:color="auto" w:fill="auto"/>
            <w:noWrap w:val="0"/>
            <w:vAlign w:val="center"/>
          </w:tcPr>
          <w:p w14:paraId="34424CBF">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r>
      <w:tr w14:paraId="2FE74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877" w:type="dxa"/>
            <w:vMerge w:val="restart"/>
            <w:shd w:val="clear" w:color="auto" w:fill="auto"/>
            <w:noWrap w:val="0"/>
            <w:vAlign w:val="center"/>
          </w:tcPr>
          <w:p w14:paraId="5F1597E7">
            <w:pPr>
              <w:pStyle w:val="67"/>
              <w:ind w:firstLine="0" w:firstLineChars="0"/>
              <w:jc w:val="left"/>
              <w:rPr>
                <w:rFonts w:ascii="Arial" w:hAnsi="Arial" w:cs="Arial"/>
                <w:bCs/>
                <w:snapToGrid w:val="0"/>
                <w:sz w:val="20"/>
                <w:lang w:eastAsia="zh-CN"/>
              </w:rPr>
            </w:pPr>
            <w:r>
              <w:rPr>
                <w:rFonts w:hint="eastAsia" w:ascii="Arial" w:hAnsi="Arial" w:cs="Arial"/>
                <w:bCs/>
                <w:snapToGrid w:val="0"/>
                <w:sz w:val="20"/>
                <w:lang w:eastAsia="zh-CN"/>
              </w:rPr>
              <w:t>项目</w:t>
            </w:r>
            <w:r>
              <w:rPr>
                <w:rFonts w:hint="eastAsia" w:ascii="Arial" w:hAnsi="Arial" w:cs="Arial"/>
                <w:bCs/>
                <w:snapToGrid w:val="0"/>
                <w:sz w:val="20"/>
                <w:lang w:val="en-US" w:eastAsia="zh-CN"/>
              </w:rPr>
              <w:t>实施合规性</w:t>
            </w:r>
            <w:r>
              <w:rPr>
                <w:rFonts w:hint="eastAsia" w:ascii="Arial" w:hAnsi="Arial" w:cs="Arial"/>
                <w:bCs/>
                <w:snapToGrid w:val="0"/>
                <w:sz w:val="20"/>
                <w:lang w:eastAsia="zh-CN"/>
              </w:rPr>
              <w:t>与项目成熟度</w:t>
            </w:r>
          </w:p>
        </w:tc>
        <w:tc>
          <w:tcPr>
            <w:tcW w:w="1296" w:type="dxa"/>
            <w:vMerge w:val="restart"/>
            <w:shd w:val="clear" w:color="auto" w:fill="auto"/>
            <w:noWrap w:val="0"/>
            <w:vAlign w:val="center"/>
          </w:tcPr>
          <w:p w14:paraId="165ADDF3">
            <w:pPr>
              <w:pStyle w:val="67"/>
              <w:ind w:firstLine="0" w:firstLineChars="0"/>
              <w:jc w:val="center"/>
              <w:rPr>
                <w:rFonts w:ascii="Arial" w:hAnsi="Arial" w:cs="Arial"/>
                <w:bCs/>
                <w:snapToGrid w:val="0"/>
                <w:sz w:val="20"/>
              </w:rPr>
            </w:pPr>
            <w:r>
              <w:rPr>
                <w:rFonts w:hint="eastAsia" w:ascii="Arial" w:hAnsi="Arial" w:cs="Arial"/>
                <w:bCs/>
                <w:snapToGrid w:val="0"/>
                <w:sz w:val="20"/>
                <w:lang w:val="en-US" w:eastAsia="zh-CN"/>
              </w:rPr>
              <w:t>实施</w:t>
            </w:r>
            <w:r>
              <w:rPr>
                <w:rFonts w:hint="eastAsia" w:ascii="Arial" w:hAnsi="Arial" w:cs="Arial"/>
                <w:bCs/>
                <w:snapToGrid w:val="0"/>
                <w:sz w:val="20"/>
              </w:rPr>
              <w:t>合规性</w:t>
            </w:r>
          </w:p>
        </w:tc>
        <w:tc>
          <w:tcPr>
            <w:tcW w:w="4737" w:type="dxa"/>
            <w:shd w:val="clear" w:color="auto" w:fill="auto"/>
            <w:noWrap w:val="0"/>
            <w:vAlign w:val="center"/>
          </w:tcPr>
          <w:p w14:paraId="72E6D547">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①项目立项过程是否合规；</w:t>
            </w:r>
          </w:p>
        </w:tc>
        <w:tc>
          <w:tcPr>
            <w:tcW w:w="540" w:type="dxa"/>
            <w:shd w:val="clear" w:color="auto" w:fill="auto"/>
            <w:noWrap w:val="0"/>
            <w:vAlign w:val="center"/>
          </w:tcPr>
          <w:p w14:paraId="2430E78A">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c>
          <w:tcPr>
            <w:tcW w:w="541" w:type="dxa"/>
            <w:vMerge w:val="restart"/>
            <w:shd w:val="clear" w:color="auto" w:fill="auto"/>
            <w:noWrap w:val="0"/>
            <w:vAlign w:val="center"/>
          </w:tcPr>
          <w:p w14:paraId="7671711C">
            <w:pPr>
              <w:pStyle w:val="67"/>
              <w:ind w:firstLine="0" w:firstLineChars="0"/>
              <w:jc w:val="center"/>
              <w:rPr>
                <w:rFonts w:ascii="Arial" w:hAnsi="Arial" w:cs="Arial"/>
                <w:bCs/>
                <w:snapToGrid w:val="0"/>
                <w:sz w:val="20"/>
                <w:lang w:eastAsia="zh-CN"/>
              </w:rPr>
            </w:pPr>
            <w:r>
              <w:rPr>
                <w:rFonts w:hint="eastAsia" w:ascii="Arial" w:hAnsi="Arial" w:cs="Arial"/>
                <w:bCs/>
                <w:snapToGrid w:val="0"/>
                <w:sz w:val="20"/>
              </w:rPr>
              <w:t>1</w:t>
            </w:r>
            <w:r>
              <w:rPr>
                <w:rFonts w:hint="eastAsia" w:ascii="Arial" w:hAnsi="Arial" w:cs="Arial"/>
                <w:bCs/>
                <w:snapToGrid w:val="0"/>
                <w:sz w:val="20"/>
                <w:lang w:eastAsia="zh-CN"/>
              </w:rPr>
              <w:t>8</w:t>
            </w:r>
          </w:p>
        </w:tc>
        <w:tc>
          <w:tcPr>
            <w:tcW w:w="496" w:type="dxa"/>
            <w:shd w:val="clear" w:color="auto" w:fill="auto"/>
            <w:noWrap w:val="0"/>
            <w:vAlign w:val="center"/>
          </w:tcPr>
          <w:p w14:paraId="5D8FDA63">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14:paraId="6BF46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7" w:type="dxa"/>
            <w:vMerge w:val="continue"/>
            <w:shd w:val="clear" w:color="auto" w:fill="auto"/>
            <w:noWrap w:val="0"/>
            <w:vAlign w:val="center"/>
          </w:tcPr>
          <w:p w14:paraId="12B154C8">
            <w:pPr>
              <w:pStyle w:val="67"/>
              <w:ind w:firstLine="0" w:firstLineChars="0"/>
              <w:rPr>
                <w:rFonts w:ascii="Arial" w:hAnsi="Arial" w:cs="Arial"/>
                <w:bCs/>
                <w:snapToGrid w:val="0"/>
                <w:sz w:val="20"/>
              </w:rPr>
            </w:pPr>
          </w:p>
        </w:tc>
        <w:tc>
          <w:tcPr>
            <w:tcW w:w="1296" w:type="dxa"/>
            <w:vMerge w:val="continue"/>
            <w:tcBorders>
              <w:top w:val="nil"/>
            </w:tcBorders>
            <w:shd w:val="clear" w:color="auto" w:fill="auto"/>
            <w:noWrap w:val="0"/>
            <w:vAlign w:val="center"/>
          </w:tcPr>
          <w:p w14:paraId="56DC0369">
            <w:pPr>
              <w:pStyle w:val="67"/>
              <w:ind w:firstLine="0" w:firstLineChars="0"/>
              <w:jc w:val="center"/>
              <w:rPr>
                <w:rFonts w:ascii="Arial" w:hAnsi="Arial" w:cs="Arial"/>
                <w:bCs/>
                <w:snapToGrid w:val="0"/>
                <w:sz w:val="20"/>
              </w:rPr>
            </w:pPr>
          </w:p>
        </w:tc>
        <w:tc>
          <w:tcPr>
            <w:tcW w:w="4737" w:type="dxa"/>
            <w:shd w:val="clear" w:color="auto" w:fill="auto"/>
            <w:noWrap w:val="0"/>
            <w:vAlign w:val="center"/>
          </w:tcPr>
          <w:p w14:paraId="34D3F064">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②项目立项依据是否充分；</w:t>
            </w:r>
          </w:p>
        </w:tc>
        <w:tc>
          <w:tcPr>
            <w:tcW w:w="540" w:type="dxa"/>
            <w:shd w:val="clear" w:color="auto" w:fill="auto"/>
            <w:noWrap w:val="0"/>
            <w:vAlign w:val="center"/>
          </w:tcPr>
          <w:p w14:paraId="405F5A4F">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continue"/>
            <w:shd w:val="clear" w:color="auto" w:fill="auto"/>
            <w:noWrap w:val="0"/>
            <w:vAlign w:val="center"/>
          </w:tcPr>
          <w:p w14:paraId="273E6890">
            <w:pPr>
              <w:pStyle w:val="67"/>
              <w:ind w:firstLine="0" w:firstLineChars="0"/>
              <w:jc w:val="center"/>
              <w:rPr>
                <w:rFonts w:ascii="Arial" w:hAnsi="Arial" w:cs="Arial"/>
                <w:bCs/>
                <w:snapToGrid w:val="0"/>
                <w:sz w:val="20"/>
              </w:rPr>
            </w:pPr>
          </w:p>
        </w:tc>
        <w:tc>
          <w:tcPr>
            <w:tcW w:w="496" w:type="dxa"/>
            <w:shd w:val="clear" w:color="auto" w:fill="auto"/>
            <w:noWrap w:val="0"/>
            <w:vAlign w:val="center"/>
          </w:tcPr>
          <w:p w14:paraId="7956802F">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r>
      <w:tr w14:paraId="70D35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877" w:type="dxa"/>
            <w:vMerge w:val="continue"/>
            <w:shd w:val="clear" w:color="auto" w:fill="auto"/>
            <w:noWrap w:val="0"/>
            <w:vAlign w:val="center"/>
          </w:tcPr>
          <w:p w14:paraId="2BBCFF3C">
            <w:pPr>
              <w:pStyle w:val="67"/>
              <w:ind w:firstLine="0" w:firstLineChars="0"/>
              <w:rPr>
                <w:rFonts w:ascii="Arial" w:hAnsi="Arial" w:cs="Arial"/>
                <w:bCs/>
                <w:snapToGrid w:val="0"/>
                <w:sz w:val="20"/>
              </w:rPr>
            </w:pPr>
          </w:p>
        </w:tc>
        <w:tc>
          <w:tcPr>
            <w:tcW w:w="1296" w:type="dxa"/>
            <w:vMerge w:val="continue"/>
            <w:tcBorders>
              <w:top w:val="nil"/>
            </w:tcBorders>
            <w:shd w:val="clear" w:color="auto" w:fill="auto"/>
            <w:noWrap w:val="0"/>
            <w:vAlign w:val="center"/>
          </w:tcPr>
          <w:p w14:paraId="05B1CE75">
            <w:pPr>
              <w:pStyle w:val="67"/>
              <w:ind w:firstLine="0" w:firstLineChars="0"/>
              <w:jc w:val="center"/>
              <w:rPr>
                <w:rFonts w:ascii="Arial" w:hAnsi="Arial" w:cs="Arial"/>
                <w:bCs/>
                <w:snapToGrid w:val="0"/>
                <w:sz w:val="20"/>
              </w:rPr>
            </w:pPr>
          </w:p>
        </w:tc>
        <w:tc>
          <w:tcPr>
            <w:tcW w:w="4737" w:type="dxa"/>
            <w:shd w:val="clear" w:color="auto" w:fill="auto"/>
            <w:noWrap w:val="0"/>
            <w:vAlign w:val="center"/>
          </w:tcPr>
          <w:p w14:paraId="6A3956E2">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③项目是否</w:t>
            </w:r>
            <w:r>
              <w:rPr>
                <w:rFonts w:hint="eastAsia" w:ascii="Arial" w:hAnsi="Arial" w:cs="Arial"/>
                <w:bCs/>
                <w:snapToGrid w:val="0"/>
                <w:sz w:val="20"/>
                <w:lang w:val="en-US" w:eastAsia="zh-CN"/>
              </w:rPr>
              <w:t>为</w:t>
            </w:r>
            <w:r>
              <w:rPr>
                <w:rFonts w:hint="eastAsia" w:ascii="Arial" w:hAnsi="Arial" w:cs="Arial"/>
                <w:bCs/>
                <w:snapToGrid w:val="0"/>
                <w:sz w:val="20"/>
                <w:lang w:eastAsia="zh-CN"/>
              </w:rPr>
              <w:t>国家确定的发展项目。</w:t>
            </w:r>
          </w:p>
        </w:tc>
        <w:tc>
          <w:tcPr>
            <w:tcW w:w="540" w:type="dxa"/>
            <w:shd w:val="clear" w:color="auto" w:fill="auto"/>
            <w:noWrap w:val="0"/>
            <w:vAlign w:val="center"/>
          </w:tcPr>
          <w:p w14:paraId="1F28A570">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shd w:val="clear" w:color="auto" w:fill="auto"/>
            <w:noWrap w:val="0"/>
            <w:vAlign w:val="center"/>
          </w:tcPr>
          <w:p w14:paraId="1C7B801D">
            <w:pPr>
              <w:pStyle w:val="67"/>
              <w:ind w:firstLine="0" w:firstLineChars="0"/>
              <w:jc w:val="center"/>
              <w:rPr>
                <w:rFonts w:ascii="Arial" w:hAnsi="Arial" w:cs="Arial"/>
                <w:bCs/>
                <w:snapToGrid w:val="0"/>
                <w:sz w:val="20"/>
              </w:rPr>
            </w:pPr>
          </w:p>
        </w:tc>
        <w:tc>
          <w:tcPr>
            <w:tcW w:w="496" w:type="dxa"/>
            <w:shd w:val="clear" w:color="auto" w:fill="auto"/>
            <w:noWrap w:val="0"/>
            <w:vAlign w:val="center"/>
          </w:tcPr>
          <w:p w14:paraId="1CFC93D0">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14:paraId="0E6F6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877" w:type="dxa"/>
            <w:vMerge w:val="continue"/>
            <w:shd w:val="clear" w:color="auto" w:fill="auto"/>
            <w:noWrap w:val="0"/>
            <w:vAlign w:val="center"/>
          </w:tcPr>
          <w:p w14:paraId="4F65635B">
            <w:pPr>
              <w:pStyle w:val="67"/>
              <w:ind w:firstLine="0" w:firstLineChars="0"/>
              <w:rPr>
                <w:rFonts w:ascii="Arial" w:hAnsi="Arial" w:cs="Arial"/>
                <w:bCs/>
                <w:snapToGrid w:val="0"/>
                <w:sz w:val="20"/>
              </w:rPr>
            </w:pPr>
          </w:p>
        </w:tc>
        <w:tc>
          <w:tcPr>
            <w:tcW w:w="1296" w:type="dxa"/>
            <w:vMerge w:val="restart"/>
            <w:shd w:val="clear" w:color="auto" w:fill="auto"/>
            <w:noWrap w:val="0"/>
            <w:vAlign w:val="center"/>
          </w:tcPr>
          <w:p w14:paraId="63ECD48A">
            <w:pPr>
              <w:pStyle w:val="67"/>
              <w:ind w:firstLine="0" w:firstLineChars="0"/>
              <w:jc w:val="center"/>
              <w:rPr>
                <w:rFonts w:ascii="Arial" w:hAnsi="Arial" w:cs="Arial"/>
                <w:bCs/>
                <w:snapToGrid w:val="0"/>
                <w:sz w:val="20"/>
              </w:rPr>
            </w:pPr>
            <w:r>
              <w:rPr>
                <w:rFonts w:hint="eastAsia" w:ascii="Arial" w:hAnsi="Arial" w:cs="Arial"/>
                <w:bCs/>
                <w:snapToGrid w:val="0"/>
                <w:sz w:val="20"/>
              </w:rPr>
              <w:t>项目成熟度</w:t>
            </w:r>
          </w:p>
        </w:tc>
        <w:tc>
          <w:tcPr>
            <w:tcW w:w="4737" w:type="dxa"/>
            <w:shd w:val="clear" w:color="auto" w:fill="auto"/>
            <w:noWrap w:val="0"/>
            <w:vAlign w:val="center"/>
          </w:tcPr>
          <w:p w14:paraId="22F0DC61">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①项目审批手续</w:t>
            </w:r>
            <w:r>
              <w:rPr>
                <w:rFonts w:hint="eastAsia" w:ascii="Arial" w:hAnsi="Arial" w:cs="Arial"/>
                <w:bCs/>
                <w:snapToGrid w:val="0"/>
                <w:sz w:val="20"/>
                <w:lang w:val="en-US" w:eastAsia="zh-CN"/>
              </w:rPr>
              <w:t>是</w:t>
            </w:r>
            <w:r>
              <w:rPr>
                <w:rFonts w:hint="eastAsia" w:ascii="Arial" w:hAnsi="Arial" w:cs="Arial"/>
                <w:bCs/>
                <w:snapToGrid w:val="0"/>
                <w:sz w:val="20"/>
                <w:lang w:eastAsia="zh-CN"/>
              </w:rPr>
              <w:t>否完备齐全；</w:t>
            </w:r>
          </w:p>
        </w:tc>
        <w:tc>
          <w:tcPr>
            <w:tcW w:w="540" w:type="dxa"/>
            <w:shd w:val="clear" w:color="auto" w:fill="auto"/>
            <w:noWrap w:val="0"/>
            <w:vAlign w:val="center"/>
          </w:tcPr>
          <w:p w14:paraId="1A9B01E8">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continue"/>
            <w:shd w:val="clear" w:color="auto" w:fill="auto"/>
            <w:noWrap w:val="0"/>
            <w:vAlign w:val="center"/>
          </w:tcPr>
          <w:p w14:paraId="37AC0035">
            <w:pPr>
              <w:pStyle w:val="67"/>
              <w:ind w:firstLine="0" w:firstLineChars="0"/>
              <w:jc w:val="center"/>
              <w:rPr>
                <w:rFonts w:ascii="Arial" w:hAnsi="Arial" w:cs="Arial"/>
                <w:bCs/>
                <w:snapToGrid w:val="0"/>
                <w:sz w:val="20"/>
                <w:lang w:eastAsia="zh-CN"/>
              </w:rPr>
            </w:pPr>
          </w:p>
        </w:tc>
        <w:tc>
          <w:tcPr>
            <w:tcW w:w="496" w:type="dxa"/>
            <w:shd w:val="clear" w:color="auto" w:fill="auto"/>
            <w:noWrap w:val="0"/>
            <w:vAlign w:val="center"/>
          </w:tcPr>
          <w:p w14:paraId="7CFE3461">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14:paraId="04DFC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877" w:type="dxa"/>
            <w:vMerge w:val="continue"/>
            <w:shd w:val="clear" w:color="auto" w:fill="auto"/>
            <w:noWrap w:val="0"/>
            <w:vAlign w:val="center"/>
          </w:tcPr>
          <w:p w14:paraId="563840BB">
            <w:pPr>
              <w:pStyle w:val="67"/>
              <w:ind w:firstLine="0" w:firstLineChars="0"/>
              <w:rPr>
                <w:rFonts w:ascii="Arial" w:hAnsi="Arial" w:cs="Arial"/>
                <w:bCs/>
                <w:snapToGrid w:val="0"/>
                <w:sz w:val="20"/>
              </w:rPr>
            </w:pPr>
          </w:p>
        </w:tc>
        <w:tc>
          <w:tcPr>
            <w:tcW w:w="1296" w:type="dxa"/>
            <w:vMerge w:val="continue"/>
            <w:tcBorders>
              <w:top w:val="nil"/>
            </w:tcBorders>
            <w:shd w:val="clear" w:color="auto" w:fill="auto"/>
            <w:noWrap w:val="0"/>
            <w:vAlign w:val="center"/>
          </w:tcPr>
          <w:p w14:paraId="65022AAD">
            <w:pPr>
              <w:pStyle w:val="67"/>
              <w:ind w:firstLine="0" w:firstLineChars="0"/>
              <w:jc w:val="center"/>
              <w:rPr>
                <w:rFonts w:ascii="Arial" w:hAnsi="Arial" w:cs="Arial"/>
                <w:bCs/>
                <w:snapToGrid w:val="0"/>
                <w:sz w:val="20"/>
              </w:rPr>
            </w:pPr>
          </w:p>
        </w:tc>
        <w:tc>
          <w:tcPr>
            <w:tcW w:w="4737" w:type="dxa"/>
            <w:shd w:val="clear" w:color="auto" w:fill="auto"/>
            <w:noWrap w:val="0"/>
            <w:vAlign w:val="center"/>
          </w:tcPr>
          <w:p w14:paraId="3E9C77E5">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②项目属于新增/延续项目；</w:t>
            </w:r>
          </w:p>
        </w:tc>
        <w:tc>
          <w:tcPr>
            <w:tcW w:w="540" w:type="dxa"/>
            <w:shd w:val="clear" w:color="auto" w:fill="auto"/>
            <w:noWrap w:val="0"/>
            <w:vAlign w:val="center"/>
          </w:tcPr>
          <w:p w14:paraId="31E3B7EA">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shd w:val="clear" w:color="auto" w:fill="auto"/>
            <w:noWrap w:val="0"/>
            <w:vAlign w:val="center"/>
          </w:tcPr>
          <w:p w14:paraId="3FBB90A0">
            <w:pPr>
              <w:pStyle w:val="67"/>
              <w:ind w:firstLine="0" w:firstLineChars="0"/>
              <w:jc w:val="center"/>
              <w:rPr>
                <w:rFonts w:ascii="Arial" w:hAnsi="Arial" w:cs="Arial"/>
                <w:bCs/>
                <w:snapToGrid w:val="0"/>
                <w:sz w:val="20"/>
              </w:rPr>
            </w:pPr>
          </w:p>
        </w:tc>
        <w:tc>
          <w:tcPr>
            <w:tcW w:w="496" w:type="dxa"/>
            <w:shd w:val="clear" w:color="auto" w:fill="auto"/>
            <w:noWrap w:val="0"/>
            <w:vAlign w:val="center"/>
          </w:tcPr>
          <w:p w14:paraId="6EDC8A10">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14:paraId="38BDC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877" w:type="dxa"/>
            <w:vMerge w:val="continue"/>
            <w:shd w:val="clear" w:color="auto" w:fill="auto"/>
            <w:noWrap w:val="0"/>
            <w:vAlign w:val="center"/>
          </w:tcPr>
          <w:p w14:paraId="6F0559CB">
            <w:pPr>
              <w:pStyle w:val="67"/>
              <w:ind w:firstLine="0" w:firstLineChars="0"/>
              <w:rPr>
                <w:rFonts w:ascii="Arial" w:hAnsi="Arial" w:cs="Arial"/>
                <w:bCs/>
                <w:snapToGrid w:val="0"/>
                <w:sz w:val="20"/>
              </w:rPr>
            </w:pPr>
          </w:p>
        </w:tc>
        <w:tc>
          <w:tcPr>
            <w:tcW w:w="1296" w:type="dxa"/>
            <w:vMerge w:val="continue"/>
            <w:tcBorders>
              <w:top w:val="nil"/>
            </w:tcBorders>
            <w:shd w:val="clear" w:color="auto" w:fill="auto"/>
            <w:noWrap w:val="0"/>
            <w:vAlign w:val="center"/>
          </w:tcPr>
          <w:p w14:paraId="78C91EBD">
            <w:pPr>
              <w:pStyle w:val="67"/>
              <w:ind w:firstLine="0" w:firstLineChars="0"/>
              <w:jc w:val="center"/>
              <w:rPr>
                <w:rFonts w:ascii="Arial" w:hAnsi="Arial" w:cs="Arial"/>
                <w:bCs/>
                <w:snapToGrid w:val="0"/>
                <w:sz w:val="20"/>
              </w:rPr>
            </w:pPr>
          </w:p>
        </w:tc>
        <w:tc>
          <w:tcPr>
            <w:tcW w:w="4737" w:type="dxa"/>
            <w:shd w:val="clear" w:color="auto" w:fill="auto"/>
            <w:noWrap w:val="0"/>
            <w:vAlign w:val="center"/>
          </w:tcPr>
          <w:p w14:paraId="090D956C">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③是否具备明确的政策依据和管理办法。</w:t>
            </w:r>
          </w:p>
        </w:tc>
        <w:tc>
          <w:tcPr>
            <w:tcW w:w="540" w:type="dxa"/>
            <w:shd w:val="clear" w:color="auto" w:fill="auto"/>
            <w:noWrap w:val="0"/>
            <w:vAlign w:val="center"/>
          </w:tcPr>
          <w:p w14:paraId="057B83FA">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shd w:val="clear" w:color="auto" w:fill="auto"/>
            <w:noWrap w:val="0"/>
            <w:vAlign w:val="center"/>
          </w:tcPr>
          <w:p w14:paraId="5541EDF8">
            <w:pPr>
              <w:pStyle w:val="67"/>
              <w:ind w:firstLine="0" w:firstLineChars="0"/>
              <w:jc w:val="center"/>
              <w:rPr>
                <w:rFonts w:ascii="Arial" w:hAnsi="Arial" w:cs="Arial"/>
                <w:bCs/>
                <w:snapToGrid w:val="0"/>
                <w:sz w:val="20"/>
              </w:rPr>
            </w:pPr>
          </w:p>
        </w:tc>
        <w:tc>
          <w:tcPr>
            <w:tcW w:w="496" w:type="dxa"/>
            <w:shd w:val="clear" w:color="auto" w:fill="auto"/>
            <w:noWrap w:val="0"/>
            <w:vAlign w:val="center"/>
          </w:tcPr>
          <w:p w14:paraId="56CE70F2">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14:paraId="43702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877" w:type="dxa"/>
            <w:vMerge w:val="restart"/>
            <w:shd w:val="clear" w:color="auto" w:fill="auto"/>
            <w:noWrap w:val="0"/>
            <w:vAlign w:val="center"/>
          </w:tcPr>
          <w:p w14:paraId="3EDB7D0B">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项目资金来源、</w:t>
            </w:r>
            <w:r>
              <w:rPr>
                <w:rFonts w:hint="eastAsia" w:ascii="Arial" w:hAnsi="Arial" w:cs="Arial"/>
                <w:bCs/>
                <w:snapToGrid w:val="0"/>
                <w:sz w:val="20"/>
                <w:lang w:val="en-US" w:eastAsia="zh-CN"/>
              </w:rPr>
              <w:t>资金到</w:t>
            </w:r>
            <w:r>
              <w:rPr>
                <w:rFonts w:hint="eastAsia" w:ascii="Arial" w:hAnsi="Arial" w:cs="Arial"/>
                <w:bCs/>
                <w:snapToGrid w:val="0"/>
                <w:sz w:val="20"/>
                <w:lang w:eastAsia="zh-CN"/>
              </w:rPr>
              <w:t>位可行性</w:t>
            </w:r>
          </w:p>
        </w:tc>
        <w:tc>
          <w:tcPr>
            <w:tcW w:w="1296" w:type="dxa"/>
            <w:shd w:val="clear" w:color="auto" w:fill="auto"/>
            <w:noWrap w:val="0"/>
            <w:vAlign w:val="center"/>
          </w:tcPr>
          <w:p w14:paraId="7E515C79">
            <w:pPr>
              <w:pStyle w:val="67"/>
              <w:ind w:firstLine="0" w:firstLineChars="0"/>
              <w:jc w:val="center"/>
              <w:rPr>
                <w:rFonts w:ascii="Arial" w:hAnsi="Arial" w:cs="Arial"/>
                <w:bCs/>
                <w:snapToGrid w:val="0"/>
                <w:sz w:val="20"/>
              </w:rPr>
            </w:pPr>
            <w:r>
              <w:rPr>
                <w:rFonts w:hint="eastAsia" w:ascii="Arial" w:hAnsi="Arial" w:cs="Arial"/>
                <w:bCs/>
                <w:snapToGrid w:val="0"/>
                <w:sz w:val="20"/>
              </w:rPr>
              <w:t>资金来源可行性</w:t>
            </w:r>
          </w:p>
        </w:tc>
        <w:tc>
          <w:tcPr>
            <w:tcW w:w="4737" w:type="dxa"/>
            <w:shd w:val="clear" w:color="auto" w:fill="auto"/>
            <w:noWrap w:val="0"/>
            <w:vAlign w:val="center"/>
          </w:tcPr>
          <w:p w14:paraId="17D67297">
            <w:pPr>
              <w:pStyle w:val="67"/>
              <w:ind w:firstLine="0" w:firstLineChars="0"/>
              <w:rPr>
                <w:rFonts w:hint="default" w:ascii="Arial" w:hAnsi="Arial" w:cs="Arial"/>
                <w:bCs/>
                <w:snapToGrid w:val="0"/>
                <w:sz w:val="20"/>
                <w:lang w:val="en-US" w:eastAsia="zh-CN"/>
              </w:rPr>
            </w:pPr>
            <w:r>
              <w:rPr>
                <w:rFonts w:hint="eastAsia" w:ascii="Arial" w:hAnsi="Arial" w:cs="Arial"/>
                <w:bCs/>
                <w:snapToGrid w:val="0"/>
                <w:sz w:val="20"/>
                <w:lang w:eastAsia="zh-CN"/>
              </w:rPr>
              <w:t>①资金来源渠道是否符合相关规定。</w:t>
            </w:r>
          </w:p>
        </w:tc>
        <w:tc>
          <w:tcPr>
            <w:tcW w:w="540" w:type="dxa"/>
            <w:shd w:val="clear" w:color="auto" w:fill="auto"/>
            <w:noWrap w:val="0"/>
            <w:vAlign w:val="center"/>
          </w:tcPr>
          <w:p w14:paraId="49AD496F">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restart"/>
            <w:shd w:val="clear" w:color="auto" w:fill="auto"/>
            <w:noWrap w:val="0"/>
            <w:vAlign w:val="center"/>
          </w:tcPr>
          <w:p w14:paraId="7259C115">
            <w:pPr>
              <w:pStyle w:val="67"/>
              <w:ind w:firstLine="0" w:firstLineChars="0"/>
              <w:jc w:val="center"/>
              <w:rPr>
                <w:rFonts w:ascii="Arial" w:hAnsi="Arial" w:cs="Arial"/>
                <w:bCs/>
                <w:snapToGrid w:val="0"/>
                <w:sz w:val="20"/>
                <w:lang w:eastAsia="zh-CN"/>
              </w:rPr>
            </w:pPr>
            <w:r>
              <w:rPr>
                <w:rFonts w:hint="eastAsia" w:ascii="Arial" w:hAnsi="Arial" w:cs="Arial"/>
                <w:bCs/>
                <w:snapToGrid w:val="0"/>
                <w:sz w:val="20"/>
              </w:rPr>
              <w:t>1</w:t>
            </w:r>
            <w:r>
              <w:rPr>
                <w:rFonts w:hint="eastAsia" w:ascii="Arial" w:hAnsi="Arial" w:cs="Arial"/>
                <w:bCs/>
                <w:snapToGrid w:val="0"/>
                <w:sz w:val="20"/>
                <w:lang w:eastAsia="zh-CN"/>
              </w:rPr>
              <w:t>2</w:t>
            </w:r>
          </w:p>
        </w:tc>
        <w:tc>
          <w:tcPr>
            <w:tcW w:w="496" w:type="dxa"/>
            <w:shd w:val="clear" w:color="auto" w:fill="auto"/>
            <w:noWrap w:val="0"/>
            <w:vAlign w:val="center"/>
          </w:tcPr>
          <w:p w14:paraId="5B3648D5">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r>
      <w:tr w14:paraId="55807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877" w:type="dxa"/>
            <w:vMerge w:val="continue"/>
            <w:tcBorders>
              <w:top w:val="nil"/>
            </w:tcBorders>
            <w:shd w:val="clear" w:color="auto" w:fill="auto"/>
            <w:noWrap w:val="0"/>
            <w:vAlign w:val="center"/>
          </w:tcPr>
          <w:p w14:paraId="18CD035A">
            <w:pPr>
              <w:pStyle w:val="67"/>
              <w:ind w:firstLine="0" w:firstLineChars="0"/>
              <w:rPr>
                <w:rFonts w:ascii="Arial" w:hAnsi="Arial" w:cs="Arial"/>
                <w:bCs/>
                <w:snapToGrid w:val="0"/>
                <w:sz w:val="20"/>
              </w:rPr>
            </w:pPr>
          </w:p>
        </w:tc>
        <w:tc>
          <w:tcPr>
            <w:tcW w:w="1296" w:type="dxa"/>
            <w:vMerge w:val="restart"/>
            <w:shd w:val="clear" w:color="auto" w:fill="auto"/>
            <w:noWrap w:val="0"/>
            <w:vAlign w:val="center"/>
          </w:tcPr>
          <w:p w14:paraId="1803802B">
            <w:pPr>
              <w:pStyle w:val="67"/>
              <w:ind w:firstLine="0" w:firstLineChars="0"/>
              <w:jc w:val="center"/>
              <w:rPr>
                <w:rFonts w:ascii="Arial" w:hAnsi="Arial" w:cs="Arial"/>
                <w:bCs/>
                <w:snapToGrid w:val="0"/>
                <w:sz w:val="20"/>
              </w:rPr>
            </w:pPr>
            <w:r>
              <w:rPr>
                <w:rFonts w:hint="eastAsia" w:ascii="Arial" w:hAnsi="Arial" w:cs="Arial"/>
                <w:bCs/>
                <w:snapToGrid w:val="0"/>
                <w:sz w:val="20"/>
              </w:rPr>
              <w:t>资金到位可行性</w:t>
            </w:r>
          </w:p>
        </w:tc>
        <w:tc>
          <w:tcPr>
            <w:tcW w:w="4737" w:type="dxa"/>
            <w:shd w:val="clear" w:color="auto" w:fill="auto"/>
            <w:noWrap w:val="0"/>
            <w:vAlign w:val="center"/>
          </w:tcPr>
          <w:p w14:paraId="7969A0B2">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①资金</w:t>
            </w:r>
            <w:r>
              <w:rPr>
                <w:rFonts w:hint="eastAsia" w:ascii="Arial" w:hAnsi="Arial" w:cs="Arial"/>
                <w:bCs/>
                <w:snapToGrid w:val="0"/>
                <w:sz w:val="20"/>
                <w:lang w:val="en-US" w:eastAsia="zh-CN"/>
              </w:rPr>
              <w:t>到位</w:t>
            </w:r>
            <w:r>
              <w:rPr>
                <w:rFonts w:hint="eastAsia" w:ascii="Arial" w:hAnsi="Arial" w:cs="Arial"/>
                <w:bCs/>
                <w:snapToGrid w:val="0"/>
                <w:sz w:val="20"/>
                <w:lang w:eastAsia="zh-CN"/>
              </w:rPr>
              <w:t>是否已</w:t>
            </w:r>
            <w:r>
              <w:rPr>
                <w:rFonts w:hint="eastAsia" w:ascii="Arial" w:hAnsi="Arial" w:cs="Arial"/>
                <w:bCs/>
                <w:snapToGrid w:val="0"/>
                <w:sz w:val="20"/>
                <w:lang w:val="en-US" w:eastAsia="zh-CN"/>
              </w:rPr>
              <w:t>具备</w:t>
            </w:r>
            <w:r>
              <w:rPr>
                <w:rFonts w:hint="eastAsia" w:ascii="Arial" w:hAnsi="Arial" w:cs="Arial"/>
                <w:bCs/>
                <w:snapToGrid w:val="0"/>
                <w:sz w:val="20"/>
                <w:lang w:eastAsia="zh-CN"/>
              </w:rPr>
              <w:t>相关手续；</w:t>
            </w:r>
          </w:p>
        </w:tc>
        <w:tc>
          <w:tcPr>
            <w:tcW w:w="540" w:type="dxa"/>
            <w:shd w:val="clear" w:color="auto" w:fill="auto"/>
            <w:noWrap w:val="0"/>
            <w:vAlign w:val="center"/>
          </w:tcPr>
          <w:p w14:paraId="5ECB8557">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tcBorders>
              <w:top w:val="nil"/>
            </w:tcBorders>
            <w:shd w:val="clear" w:color="auto" w:fill="auto"/>
            <w:noWrap w:val="0"/>
            <w:vAlign w:val="center"/>
          </w:tcPr>
          <w:p w14:paraId="17540C65">
            <w:pPr>
              <w:pStyle w:val="67"/>
              <w:ind w:firstLine="0" w:firstLineChars="0"/>
              <w:jc w:val="center"/>
              <w:rPr>
                <w:rFonts w:ascii="Arial" w:hAnsi="Arial" w:cs="Arial"/>
                <w:bCs/>
                <w:snapToGrid w:val="0"/>
                <w:sz w:val="20"/>
              </w:rPr>
            </w:pPr>
          </w:p>
        </w:tc>
        <w:tc>
          <w:tcPr>
            <w:tcW w:w="496" w:type="dxa"/>
            <w:shd w:val="clear" w:color="auto" w:fill="auto"/>
            <w:noWrap w:val="0"/>
            <w:vAlign w:val="center"/>
          </w:tcPr>
          <w:p w14:paraId="560F30BC">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14:paraId="55297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877" w:type="dxa"/>
            <w:vMerge w:val="continue"/>
            <w:tcBorders>
              <w:top w:val="nil"/>
            </w:tcBorders>
            <w:shd w:val="clear" w:color="auto" w:fill="auto"/>
            <w:noWrap w:val="0"/>
            <w:vAlign w:val="center"/>
          </w:tcPr>
          <w:p w14:paraId="5011532C">
            <w:pPr>
              <w:pStyle w:val="67"/>
              <w:ind w:firstLine="0" w:firstLineChars="0"/>
              <w:rPr>
                <w:rFonts w:ascii="Arial" w:hAnsi="Arial" w:cs="Arial"/>
                <w:bCs/>
                <w:snapToGrid w:val="0"/>
                <w:sz w:val="20"/>
              </w:rPr>
            </w:pPr>
          </w:p>
        </w:tc>
        <w:tc>
          <w:tcPr>
            <w:tcW w:w="1296" w:type="dxa"/>
            <w:vMerge w:val="continue"/>
            <w:shd w:val="clear" w:color="auto" w:fill="auto"/>
            <w:noWrap w:val="0"/>
            <w:vAlign w:val="center"/>
          </w:tcPr>
          <w:p w14:paraId="46E577A6">
            <w:pPr>
              <w:pStyle w:val="67"/>
              <w:ind w:firstLine="0" w:firstLineChars="0"/>
              <w:jc w:val="center"/>
              <w:rPr>
                <w:rFonts w:hint="eastAsia" w:ascii="Arial" w:hAnsi="Arial" w:cs="Arial"/>
                <w:bCs/>
                <w:snapToGrid w:val="0"/>
                <w:sz w:val="20"/>
              </w:rPr>
            </w:pPr>
          </w:p>
        </w:tc>
        <w:tc>
          <w:tcPr>
            <w:tcW w:w="4737" w:type="dxa"/>
            <w:shd w:val="clear" w:color="auto" w:fill="auto"/>
            <w:noWrap w:val="0"/>
            <w:vAlign w:val="center"/>
          </w:tcPr>
          <w:p w14:paraId="18A4A4AF">
            <w:pPr>
              <w:pStyle w:val="67"/>
              <w:ind w:firstLine="0" w:firstLineChars="0"/>
              <w:rPr>
                <w:rFonts w:hint="eastAsia" w:ascii="Arial" w:hAnsi="Arial" w:cs="Arial"/>
                <w:bCs/>
                <w:snapToGrid w:val="0"/>
                <w:sz w:val="20"/>
                <w:lang w:eastAsia="zh-CN"/>
              </w:rPr>
            </w:pPr>
            <w:r>
              <w:rPr>
                <w:rFonts w:hint="eastAsia" w:ascii="Arial" w:hAnsi="Arial" w:cs="Arial"/>
                <w:bCs/>
                <w:snapToGrid w:val="0"/>
                <w:sz w:val="20"/>
                <w:lang w:eastAsia="zh-CN"/>
              </w:rPr>
              <w:t>②是否有明确的计算依据；</w:t>
            </w:r>
          </w:p>
        </w:tc>
        <w:tc>
          <w:tcPr>
            <w:tcW w:w="540" w:type="dxa"/>
            <w:shd w:val="clear" w:color="auto" w:fill="auto"/>
            <w:noWrap w:val="0"/>
            <w:vAlign w:val="center"/>
          </w:tcPr>
          <w:p w14:paraId="2D7B538A">
            <w:pPr>
              <w:pStyle w:val="67"/>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3</w:t>
            </w:r>
          </w:p>
        </w:tc>
        <w:tc>
          <w:tcPr>
            <w:tcW w:w="541" w:type="dxa"/>
            <w:vMerge w:val="continue"/>
            <w:tcBorders>
              <w:top w:val="nil"/>
            </w:tcBorders>
            <w:shd w:val="clear" w:color="auto" w:fill="auto"/>
            <w:noWrap w:val="0"/>
            <w:vAlign w:val="center"/>
          </w:tcPr>
          <w:p w14:paraId="40C48ABC">
            <w:pPr>
              <w:pStyle w:val="67"/>
              <w:ind w:firstLine="0" w:firstLineChars="0"/>
              <w:jc w:val="center"/>
              <w:rPr>
                <w:rFonts w:ascii="Arial" w:hAnsi="Arial" w:cs="Arial"/>
                <w:bCs/>
                <w:snapToGrid w:val="0"/>
                <w:sz w:val="20"/>
              </w:rPr>
            </w:pPr>
          </w:p>
        </w:tc>
        <w:tc>
          <w:tcPr>
            <w:tcW w:w="496" w:type="dxa"/>
            <w:shd w:val="clear" w:color="auto" w:fill="auto"/>
            <w:noWrap w:val="0"/>
            <w:vAlign w:val="center"/>
          </w:tcPr>
          <w:p w14:paraId="3F531D47">
            <w:pPr>
              <w:pStyle w:val="67"/>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3</w:t>
            </w:r>
          </w:p>
        </w:tc>
      </w:tr>
      <w:tr w14:paraId="1DAAB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77" w:type="dxa"/>
            <w:vMerge w:val="continue"/>
            <w:tcBorders>
              <w:top w:val="nil"/>
            </w:tcBorders>
            <w:shd w:val="clear" w:color="auto" w:fill="auto"/>
            <w:noWrap w:val="0"/>
            <w:vAlign w:val="center"/>
          </w:tcPr>
          <w:p w14:paraId="24784E51">
            <w:pPr>
              <w:pStyle w:val="67"/>
              <w:ind w:firstLine="0" w:firstLineChars="0"/>
              <w:rPr>
                <w:rFonts w:ascii="Arial" w:hAnsi="Arial" w:cs="Arial"/>
                <w:bCs/>
                <w:snapToGrid w:val="0"/>
                <w:sz w:val="20"/>
              </w:rPr>
            </w:pPr>
          </w:p>
        </w:tc>
        <w:tc>
          <w:tcPr>
            <w:tcW w:w="1296" w:type="dxa"/>
            <w:vMerge w:val="continue"/>
            <w:tcBorders>
              <w:top w:val="nil"/>
            </w:tcBorders>
            <w:shd w:val="clear" w:color="auto" w:fill="auto"/>
            <w:noWrap w:val="0"/>
            <w:vAlign w:val="center"/>
          </w:tcPr>
          <w:p w14:paraId="120417C0">
            <w:pPr>
              <w:pStyle w:val="67"/>
              <w:ind w:firstLine="0" w:firstLineChars="0"/>
              <w:jc w:val="center"/>
              <w:rPr>
                <w:rFonts w:ascii="Arial" w:hAnsi="Arial" w:cs="Arial"/>
                <w:bCs/>
                <w:snapToGrid w:val="0"/>
                <w:sz w:val="20"/>
              </w:rPr>
            </w:pPr>
          </w:p>
        </w:tc>
        <w:tc>
          <w:tcPr>
            <w:tcW w:w="4737" w:type="dxa"/>
            <w:shd w:val="clear" w:color="auto" w:fill="auto"/>
            <w:noWrap w:val="0"/>
            <w:vAlign w:val="center"/>
          </w:tcPr>
          <w:p w14:paraId="0126AFFE">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③项目是否已具备资金拨付相关条件。</w:t>
            </w:r>
          </w:p>
        </w:tc>
        <w:tc>
          <w:tcPr>
            <w:tcW w:w="540" w:type="dxa"/>
            <w:shd w:val="clear" w:color="auto" w:fill="auto"/>
            <w:noWrap w:val="0"/>
            <w:vAlign w:val="center"/>
          </w:tcPr>
          <w:p w14:paraId="6B50CF5A">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continue"/>
            <w:tcBorders>
              <w:top w:val="nil"/>
            </w:tcBorders>
            <w:shd w:val="clear" w:color="auto" w:fill="auto"/>
            <w:noWrap w:val="0"/>
            <w:vAlign w:val="center"/>
          </w:tcPr>
          <w:p w14:paraId="2FC765B9">
            <w:pPr>
              <w:pStyle w:val="67"/>
              <w:ind w:firstLine="0" w:firstLineChars="0"/>
              <w:jc w:val="center"/>
              <w:rPr>
                <w:rFonts w:ascii="Arial" w:hAnsi="Arial" w:cs="Arial"/>
                <w:bCs/>
                <w:snapToGrid w:val="0"/>
                <w:sz w:val="20"/>
              </w:rPr>
            </w:pPr>
          </w:p>
        </w:tc>
        <w:tc>
          <w:tcPr>
            <w:tcW w:w="496" w:type="dxa"/>
            <w:shd w:val="clear" w:color="auto" w:fill="auto"/>
            <w:noWrap w:val="0"/>
            <w:vAlign w:val="center"/>
          </w:tcPr>
          <w:p w14:paraId="74FE6E91">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r>
      <w:tr w14:paraId="7C4FA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877" w:type="dxa"/>
            <w:vMerge w:val="restart"/>
            <w:shd w:val="clear" w:color="auto" w:fill="auto"/>
            <w:noWrap w:val="0"/>
            <w:vAlign w:val="center"/>
          </w:tcPr>
          <w:p w14:paraId="6523F4C1">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资金使用计划合理性、资金到位及时性</w:t>
            </w:r>
          </w:p>
        </w:tc>
        <w:tc>
          <w:tcPr>
            <w:tcW w:w="1296" w:type="dxa"/>
            <w:vMerge w:val="restart"/>
            <w:shd w:val="clear" w:color="auto" w:fill="auto"/>
            <w:noWrap w:val="0"/>
            <w:vAlign w:val="center"/>
          </w:tcPr>
          <w:p w14:paraId="1B8CA973">
            <w:pPr>
              <w:pStyle w:val="67"/>
              <w:ind w:firstLine="0" w:firstLineChars="0"/>
              <w:jc w:val="center"/>
              <w:rPr>
                <w:rFonts w:ascii="Arial" w:hAnsi="Arial" w:cs="Arial"/>
                <w:bCs/>
                <w:snapToGrid w:val="0"/>
                <w:sz w:val="20"/>
              </w:rPr>
            </w:pPr>
            <w:r>
              <w:rPr>
                <w:rFonts w:hint="eastAsia" w:ascii="Arial" w:hAnsi="Arial" w:cs="Arial"/>
                <w:bCs/>
                <w:snapToGrid w:val="0"/>
                <w:sz w:val="20"/>
              </w:rPr>
              <w:t>资金使用计划合理性</w:t>
            </w:r>
          </w:p>
        </w:tc>
        <w:tc>
          <w:tcPr>
            <w:tcW w:w="4737" w:type="dxa"/>
            <w:shd w:val="clear" w:color="auto" w:fill="auto"/>
            <w:noWrap w:val="0"/>
            <w:vAlign w:val="center"/>
          </w:tcPr>
          <w:p w14:paraId="67369E62">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①资金使用计划测算依据是否充分；</w:t>
            </w:r>
          </w:p>
        </w:tc>
        <w:tc>
          <w:tcPr>
            <w:tcW w:w="540" w:type="dxa"/>
            <w:shd w:val="clear" w:color="auto" w:fill="auto"/>
            <w:noWrap w:val="0"/>
            <w:vAlign w:val="center"/>
          </w:tcPr>
          <w:p w14:paraId="51363C0D">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restart"/>
            <w:shd w:val="clear" w:color="auto" w:fill="auto"/>
            <w:noWrap w:val="0"/>
            <w:vAlign w:val="center"/>
          </w:tcPr>
          <w:p w14:paraId="1594D910">
            <w:pPr>
              <w:pStyle w:val="67"/>
              <w:ind w:firstLine="0" w:firstLineChars="0"/>
              <w:jc w:val="center"/>
              <w:rPr>
                <w:rFonts w:ascii="Arial" w:hAnsi="Arial" w:cs="Arial"/>
                <w:bCs/>
                <w:snapToGrid w:val="0"/>
                <w:sz w:val="20"/>
                <w:lang w:eastAsia="zh-CN"/>
              </w:rPr>
            </w:pPr>
            <w:r>
              <w:rPr>
                <w:rFonts w:hint="eastAsia" w:ascii="Arial" w:hAnsi="Arial" w:cs="Arial"/>
                <w:bCs/>
                <w:snapToGrid w:val="0"/>
                <w:sz w:val="20"/>
              </w:rPr>
              <w:t>1</w:t>
            </w:r>
            <w:r>
              <w:rPr>
                <w:rFonts w:hint="eastAsia" w:ascii="Arial" w:hAnsi="Arial" w:cs="Arial"/>
                <w:bCs/>
                <w:snapToGrid w:val="0"/>
                <w:sz w:val="20"/>
                <w:lang w:eastAsia="zh-CN"/>
              </w:rPr>
              <w:t>2</w:t>
            </w:r>
          </w:p>
        </w:tc>
        <w:tc>
          <w:tcPr>
            <w:tcW w:w="496" w:type="dxa"/>
            <w:shd w:val="clear" w:color="auto" w:fill="auto"/>
            <w:noWrap w:val="0"/>
            <w:vAlign w:val="center"/>
          </w:tcPr>
          <w:p w14:paraId="097D72AC">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0</w:t>
            </w:r>
          </w:p>
        </w:tc>
      </w:tr>
      <w:tr w14:paraId="41375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877" w:type="dxa"/>
            <w:vMerge w:val="continue"/>
            <w:tcBorders>
              <w:top w:val="nil"/>
            </w:tcBorders>
            <w:shd w:val="clear" w:color="auto" w:fill="auto"/>
            <w:noWrap w:val="0"/>
            <w:vAlign w:val="center"/>
          </w:tcPr>
          <w:p w14:paraId="32756611">
            <w:pPr>
              <w:pStyle w:val="67"/>
              <w:ind w:firstLine="0" w:firstLineChars="0"/>
              <w:jc w:val="center"/>
              <w:rPr>
                <w:rFonts w:ascii="Arial" w:hAnsi="Arial" w:cs="Arial"/>
                <w:bCs/>
                <w:snapToGrid w:val="0"/>
                <w:sz w:val="20"/>
              </w:rPr>
            </w:pPr>
          </w:p>
        </w:tc>
        <w:tc>
          <w:tcPr>
            <w:tcW w:w="1296" w:type="dxa"/>
            <w:vMerge w:val="continue"/>
            <w:tcBorders>
              <w:top w:val="nil"/>
            </w:tcBorders>
            <w:shd w:val="clear" w:color="auto" w:fill="auto"/>
            <w:noWrap w:val="0"/>
            <w:vAlign w:val="center"/>
          </w:tcPr>
          <w:p w14:paraId="011ACABC">
            <w:pPr>
              <w:pStyle w:val="67"/>
              <w:ind w:firstLine="0" w:firstLineChars="0"/>
              <w:jc w:val="center"/>
              <w:rPr>
                <w:rFonts w:ascii="Arial" w:hAnsi="Arial" w:cs="Arial"/>
                <w:bCs/>
                <w:snapToGrid w:val="0"/>
                <w:sz w:val="20"/>
              </w:rPr>
            </w:pPr>
          </w:p>
        </w:tc>
        <w:tc>
          <w:tcPr>
            <w:tcW w:w="4737" w:type="dxa"/>
            <w:shd w:val="clear" w:color="auto" w:fill="auto"/>
            <w:noWrap w:val="0"/>
            <w:vAlign w:val="center"/>
          </w:tcPr>
          <w:p w14:paraId="1B45A4B5">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②资金使用是否按计划安排。</w:t>
            </w:r>
          </w:p>
        </w:tc>
        <w:tc>
          <w:tcPr>
            <w:tcW w:w="540" w:type="dxa"/>
            <w:shd w:val="clear" w:color="auto" w:fill="auto"/>
            <w:noWrap w:val="0"/>
            <w:vAlign w:val="center"/>
          </w:tcPr>
          <w:p w14:paraId="4F88595C">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continue"/>
            <w:tcBorders>
              <w:top w:val="nil"/>
            </w:tcBorders>
            <w:shd w:val="clear" w:color="auto" w:fill="auto"/>
            <w:noWrap w:val="0"/>
            <w:vAlign w:val="center"/>
          </w:tcPr>
          <w:p w14:paraId="7794D931">
            <w:pPr>
              <w:pStyle w:val="67"/>
              <w:ind w:firstLine="0" w:firstLineChars="0"/>
              <w:jc w:val="center"/>
              <w:rPr>
                <w:rFonts w:ascii="Arial" w:hAnsi="Arial" w:cs="Arial"/>
                <w:bCs/>
                <w:snapToGrid w:val="0"/>
                <w:sz w:val="20"/>
              </w:rPr>
            </w:pPr>
          </w:p>
        </w:tc>
        <w:tc>
          <w:tcPr>
            <w:tcW w:w="496" w:type="dxa"/>
            <w:shd w:val="clear" w:color="auto" w:fill="auto"/>
            <w:noWrap w:val="0"/>
            <w:vAlign w:val="center"/>
          </w:tcPr>
          <w:p w14:paraId="2928F242">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r>
      <w:tr w14:paraId="29073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continue"/>
            <w:tcBorders>
              <w:top w:val="nil"/>
            </w:tcBorders>
            <w:shd w:val="clear" w:color="auto" w:fill="auto"/>
            <w:noWrap w:val="0"/>
            <w:vAlign w:val="center"/>
          </w:tcPr>
          <w:p w14:paraId="5CED5ACD">
            <w:pPr>
              <w:pStyle w:val="67"/>
              <w:ind w:firstLine="0" w:firstLineChars="0"/>
              <w:jc w:val="center"/>
              <w:rPr>
                <w:rFonts w:ascii="Arial" w:hAnsi="Arial" w:cs="Arial"/>
                <w:bCs/>
                <w:snapToGrid w:val="0"/>
                <w:sz w:val="20"/>
              </w:rPr>
            </w:pPr>
          </w:p>
        </w:tc>
        <w:tc>
          <w:tcPr>
            <w:tcW w:w="1296" w:type="dxa"/>
            <w:vMerge w:val="restart"/>
            <w:shd w:val="clear" w:color="auto" w:fill="auto"/>
            <w:noWrap w:val="0"/>
            <w:vAlign w:val="center"/>
          </w:tcPr>
          <w:p w14:paraId="04D83513">
            <w:pPr>
              <w:pStyle w:val="67"/>
              <w:ind w:firstLine="0" w:firstLineChars="0"/>
              <w:jc w:val="center"/>
              <w:rPr>
                <w:rFonts w:ascii="Arial" w:hAnsi="Arial" w:cs="Arial"/>
                <w:bCs/>
                <w:snapToGrid w:val="0"/>
                <w:sz w:val="20"/>
              </w:rPr>
            </w:pPr>
            <w:r>
              <w:rPr>
                <w:rFonts w:hint="eastAsia" w:ascii="Arial" w:hAnsi="Arial" w:cs="Arial"/>
                <w:bCs/>
                <w:snapToGrid w:val="0"/>
                <w:sz w:val="20"/>
              </w:rPr>
              <w:t>资金到位及时性</w:t>
            </w:r>
          </w:p>
        </w:tc>
        <w:tc>
          <w:tcPr>
            <w:tcW w:w="4737" w:type="dxa"/>
            <w:shd w:val="clear" w:color="auto" w:fill="auto"/>
            <w:noWrap w:val="0"/>
            <w:vAlign w:val="center"/>
          </w:tcPr>
          <w:p w14:paraId="1FB90997">
            <w:pPr>
              <w:pStyle w:val="67"/>
              <w:ind w:firstLine="0" w:firstLineChars="0"/>
              <w:rPr>
                <w:rFonts w:ascii="Arial" w:hAnsi="Arial" w:cs="Arial"/>
                <w:bCs/>
                <w:snapToGrid w:val="0"/>
                <w:sz w:val="20"/>
              </w:rPr>
            </w:pPr>
            <w:r>
              <w:rPr>
                <w:rFonts w:hint="eastAsia" w:ascii="Arial" w:hAnsi="Arial" w:cs="Arial"/>
                <w:bCs/>
                <w:snapToGrid w:val="0"/>
                <w:sz w:val="20"/>
              </w:rPr>
              <w:t>①</w:t>
            </w:r>
            <w:r>
              <w:rPr>
                <w:rFonts w:hint="eastAsia" w:ascii="Arial" w:hAnsi="Arial" w:cs="Arial"/>
                <w:bCs/>
                <w:snapToGrid w:val="0"/>
                <w:sz w:val="20"/>
                <w:lang w:eastAsia="zh-CN"/>
              </w:rPr>
              <w:t>资金是否到位；</w:t>
            </w:r>
          </w:p>
        </w:tc>
        <w:tc>
          <w:tcPr>
            <w:tcW w:w="540" w:type="dxa"/>
            <w:shd w:val="clear" w:color="auto" w:fill="auto"/>
            <w:noWrap w:val="0"/>
            <w:vAlign w:val="center"/>
          </w:tcPr>
          <w:p w14:paraId="646AF33C">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tcBorders>
              <w:top w:val="nil"/>
            </w:tcBorders>
            <w:shd w:val="clear" w:color="auto" w:fill="auto"/>
            <w:noWrap w:val="0"/>
            <w:vAlign w:val="center"/>
          </w:tcPr>
          <w:p w14:paraId="2860B657">
            <w:pPr>
              <w:pStyle w:val="67"/>
              <w:ind w:firstLine="0" w:firstLineChars="0"/>
              <w:jc w:val="center"/>
              <w:rPr>
                <w:rFonts w:ascii="Arial" w:hAnsi="Arial" w:cs="Arial"/>
                <w:bCs/>
                <w:snapToGrid w:val="0"/>
                <w:sz w:val="20"/>
              </w:rPr>
            </w:pPr>
          </w:p>
        </w:tc>
        <w:tc>
          <w:tcPr>
            <w:tcW w:w="496" w:type="dxa"/>
            <w:shd w:val="clear" w:color="auto" w:fill="auto"/>
            <w:noWrap w:val="0"/>
            <w:vAlign w:val="center"/>
          </w:tcPr>
          <w:p w14:paraId="18328884">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14:paraId="613E0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77" w:type="dxa"/>
            <w:vMerge w:val="continue"/>
            <w:tcBorders>
              <w:top w:val="nil"/>
            </w:tcBorders>
            <w:shd w:val="clear" w:color="auto" w:fill="auto"/>
            <w:noWrap w:val="0"/>
            <w:vAlign w:val="center"/>
          </w:tcPr>
          <w:p w14:paraId="522977DF">
            <w:pPr>
              <w:pStyle w:val="67"/>
              <w:ind w:firstLine="0" w:firstLineChars="0"/>
              <w:rPr>
                <w:rFonts w:ascii="Arial" w:hAnsi="Arial" w:cs="Arial"/>
                <w:bCs/>
                <w:snapToGrid w:val="0"/>
                <w:sz w:val="20"/>
              </w:rPr>
            </w:pPr>
          </w:p>
        </w:tc>
        <w:tc>
          <w:tcPr>
            <w:tcW w:w="1296" w:type="dxa"/>
            <w:vMerge w:val="continue"/>
            <w:tcBorders>
              <w:top w:val="nil"/>
            </w:tcBorders>
            <w:shd w:val="clear" w:color="auto" w:fill="auto"/>
            <w:noWrap w:val="0"/>
            <w:vAlign w:val="center"/>
          </w:tcPr>
          <w:p w14:paraId="5A6750AD">
            <w:pPr>
              <w:pStyle w:val="67"/>
              <w:ind w:firstLine="0" w:firstLineChars="0"/>
              <w:jc w:val="center"/>
              <w:rPr>
                <w:rFonts w:ascii="Arial" w:hAnsi="Arial" w:cs="Arial"/>
                <w:bCs/>
                <w:snapToGrid w:val="0"/>
                <w:sz w:val="20"/>
              </w:rPr>
            </w:pPr>
          </w:p>
        </w:tc>
        <w:tc>
          <w:tcPr>
            <w:tcW w:w="4737" w:type="dxa"/>
            <w:shd w:val="clear" w:color="auto" w:fill="auto"/>
            <w:noWrap w:val="0"/>
            <w:vAlign w:val="center"/>
          </w:tcPr>
          <w:p w14:paraId="24091B03">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②资金到位的及时性。</w:t>
            </w:r>
          </w:p>
        </w:tc>
        <w:tc>
          <w:tcPr>
            <w:tcW w:w="540" w:type="dxa"/>
            <w:shd w:val="clear" w:color="auto" w:fill="auto"/>
            <w:noWrap w:val="0"/>
            <w:vAlign w:val="center"/>
          </w:tcPr>
          <w:p w14:paraId="62A7DF68">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tcBorders>
              <w:top w:val="nil"/>
            </w:tcBorders>
            <w:shd w:val="clear" w:color="auto" w:fill="auto"/>
            <w:noWrap w:val="0"/>
            <w:vAlign w:val="center"/>
          </w:tcPr>
          <w:p w14:paraId="4CD9D323">
            <w:pPr>
              <w:pStyle w:val="67"/>
              <w:ind w:firstLine="0" w:firstLineChars="0"/>
              <w:jc w:val="center"/>
              <w:rPr>
                <w:rFonts w:ascii="Arial" w:hAnsi="Arial" w:cs="Arial"/>
                <w:bCs/>
                <w:snapToGrid w:val="0"/>
                <w:sz w:val="20"/>
              </w:rPr>
            </w:pPr>
          </w:p>
        </w:tc>
        <w:tc>
          <w:tcPr>
            <w:tcW w:w="496" w:type="dxa"/>
            <w:shd w:val="clear" w:color="auto" w:fill="auto"/>
            <w:noWrap w:val="0"/>
            <w:vAlign w:val="center"/>
          </w:tcPr>
          <w:p w14:paraId="19C9A78D">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14:paraId="49931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restart"/>
            <w:shd w:val="clear" w:color="auto" w:fill="auto"/>
            <w:noWrap w:val="0"/>
            <w:vAlign w:val="center"/>
          </w:tcPr>
          <w:p w14:paraId="193C5622">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项目绩效目标明确性、合理性</w:t>
            </w:r>
          </w:p>
        </w:tc>
        <w:tc>
          <w:tcPr>
            <w:tcW w:w="1296" w:type="dxa"/>
            <w:vMerge w:val="restart"/>
            <w:shd w:val="clear" w:color="auto" w:fill="auto"/>
            <w:noWrap w:val="0"/>
            <w:vAlign w:val="center"/>
          </w:tcPr>
          <w:p w14:paraId="0866DE58">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目标明确性</w:t>
            </w:r>
          </w:p>
        </w:tc>
        <w:tc>
          <w:tcPr>
            <w:tcW w:w="4737" w:type="dxa"/>
            <w:shd w:val="clear" w:color="auto" w:fill="auto"/>
            <w:noWrap w:val="0"/>
            <w:vAlign w:val="center"/>
          </w:tcPr>
          <w:p w14:paraId="6912260F">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①绩效目</w:t>
            </w:r>
            <w:r>
              <w:rPr>
                <w:rFonts w:hint="eastAsia" w:ascii="Arial" w:hAnsi="Arial" w:cs="Arial"/>
                <w:bCs/>
                <w:snapToGrid w:val="0"/>
                <w:sz w:val="20"/>
                <w:lang w:val="en-US" w:eastAsia="zh-CN"/>
              </w:rPr>
              <w:t>标</w:t>
            </w:r>
            <w:r>
              <w:rPr>
                <w:rFonts w:hint="eastAsia" w:ascii="Arial" w:hAnsi="Arial" w:cs="Arial"/>
                <w:bCs/>
                <w:snapToGrid w:val="0"/>
                <w:sz w:val="20"/>
                <w:lang w:eastAsia="zh-CN"/>
              </w:rPr>
              <w:t>的设</w:t>
            </w:r>
            <w:r>
              <w:rPr>
                <w:rFonts w:hint="eastAsia" w:ascii="Arial" w:hAnsi="Arial" w:cs="Arial"/>
                <w:bCs/>
                <w:snapToGrid w:val="0"/>
                <w:sz w:val="20"/>
                <w:lang w:val="en-US" w:eastAsia="zh-CN"/>
              </w:rPr>
              <w:t>定</w:t>
            </w:r>
            <w:r>
              <w:rPr>
                <w:rFonts w:hint="eastAsia" w:ascii="Arial" w:hAnsi="Arial" w:cs="Arial"/>
                <w:bCs/>
                <w:snapToGrid w:val="0"/>
                <w:sz w:val="20"/>
                <w:lang w:eastAsia="zh-CN"/>
              </w:rPr>
              <w:t>是否符合相关规定；</w:t>
            </w:r>
          </w:p>
        </w:tc>
        <w:tc>
          <w:tcPr>
            <w:tcW w:w="540" w:type="dxa"/>
            <w:shd w:val="clear" w:color="auto" w:fill="auto"/>
            <w:noWrap w:val="0"/>
            <w:vAlign w:val="center"/>
          </w:tcPr>
          <w:p w14:paraId="3C575B66">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restart"/>
            <w:shd w:val="clear" w:color="auto" w:fill="auto"/>
            <w:noWrap w:val="0"/>
            <w:vAlign w:val="center"/>
          </w:tcPr>
          <w:p w14:paraId="7C26A399">
            <w:pPr>
              <w:pStyle w:val="67"/>
              <w:ind w:firstLine="0" w:firstLineChars="0"/>
              <w:jc w:val="center"/>
              <w:rPr>
                <w:rFonts w:ascii="Arial" w:hAnsi="Arial" w:cs="Arial"/>
                <w:bCs/>
                <w:snapToGrid w:val="0"/>
                <w:sz w:val="20"/>
                <w:lang w:eastAsia="zh-CN"/>
              </w:rPr>
            </w:pPr>
            <w:r>
              <w:rPr>
                <w:rFonts w:hint="eastAsia" w:ascii="Arial" w:hAnsi="Arial" w:cs="Arial"/>
                <w:bCs/>
                <w:snapToGrid w:val="0"/>
                <w:sz w:val="20"/>
              </w:rPr>
              <w:t>1</w:t>
            </w:r>
            <w:r>
              <w:rPr>
                <w:rFonts w:hint="eastAsia" w:ascii="Arial" w:hAnsi="Arial" w:cs="Arial"/>
                <w:bCs/>
                <w:snapToGrid w:val="0"/>
                <w:sz w:val="20"/>
                <w:lang w:eastAsia="zh-CN"/>
              </w:rPr>
              <w:t>3</w:t>
            </w:r>
          </w:p>
        </w:tc>
        <w:tc>
          <w:tcPr>
            <w:tcW w:w="496" w:type="dxa"/>
            <w:shd w:val="clear" w:color="auto" w:fill="auto"/>
            <w:noWrap w:val="0"/>
            <w:vAlign w:val="center"/>
          </w:tcPr>
          <w:p w14:paraId="052EECA6">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r>
      <w:tr w14:paraId="7EBC3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877" w:type="dxa"/>
            <w:vMerge w:val="continue"/>
            <w:shd w:val="clear" w:color="auto" w:fill="auto"/>
            <w:noWrap w:val="0"/>
            <w:vAlign w:val="center"/>
          </w:tcPr>
          <w:p w14:paraId="6140EB52">
            <w:pPr>
              <w:pStyle w:val="67"/>
              <w:ind w:firstLine="0" w:firstLineChars="0"/>
              <w:rPr>
                <w:rFonts w:ascii="Arial" w:hAnsi="Arial" w:cs="Arial"/>
                <w:bCs/>
                <w:snapToGrid w:val="0"/>
                <w:sz w:val="20"/>
              </w:rPr>
            </w:pPr>
          </w:p>
        </w:tc>
        <w:tc>
          <w:tcPr>
            <w:tcW w:w="1296" w:type="dxa"/>
            <w:vMerge w:val="continue"/>
            <w:tcBorders>
              <w:top w:val="nil"/>
            </w:tcBorders>
            <w:shd w:val="clear" w:color="auto" w:fill="auto"/>
            <w:noWrap w:val="0"/>
            <w:vAlign w:val="center"/>
          </w:tcPr>
          <w:p w14:paraId="07F7D930">
            <w:pPr>
              <w:pStyle w:val="67"/>
              <w:ind w:firstLine="0" w:firstLineChars="0"/>
              <w:jc w:val="center"/>
              <w:rPr>
                <w:rFonts w:ascii="Arial" w:hAnsi="Arial" w:cs="Arial"/>
                <w:bCs/>
                <w:snapToGrid w:val="0"/>
                <w:sz w:val="20"/>
              </w:rPr>
            </w:pPr>
          </w:p>
        </w:tc>
        <w:tc>
          <w:tcPr>
            <w:tcW w:w="4737" w:type="dxa"/>
            <w:shd w:val="clear" w:color="auto" w:fill="auto"/>
            <w:noWrap w:val="0"/>
            <w:vAlign w:val="center"/>
          </w:tcPr>
          <w:p w14:paraId="45B3DB66">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②绩效目标设定是否明确，是否与年度工作目标一致；</w:t>
            </w:r>
          </w:p>
        </w:tc>
        <w:tc>
          <w:tcPr>
            <w:tcW w:w="540" w:type="dxa"/>
            <w:shd w:val="clear" w:color="auto" w:fill="auto"/>
            <w:noWrap w:val="0"/>
            <w:vAlign w:val="center"/>
          </w:tcPr>
          <w:p w14:paraId="45717F9A">
            <w:pPr>
              <w:pStyle w:val="67"/>
              <w:ind w:firstLine="0" w:firstLineChars="0"/>
              <w:jc w:val="center"/>
              <w:rPr>
                <w:rFonts w:ascii="Arial" w:hAnsi="Arial" w:cs="Arial"/>
                <w:bCs/>
                <w:snapToGrid w:val="0"/>
                <w:sz w:val="20"/>
              </w:rPr>
            </w:pPr>
            <w:r>
              <w:rPr>
                <w:rFonts w:hint="eastAsia" w:ascii="Arial" w:hAnsi="Arial" w:cs="Arial"/>
                <w:bCs/>
                <w:snapToGrid w:val="0"/>
                <w:sz w:val="20"/>
              </w:rPr>
              <w:t>4</w:t>
            </w:r>
          </w:p>
        </w:tc>
        <w:tc>
          <w:tcPr>
            <w:tcW w:w="541" w:type="dxa"/>
            <w:vMerge w:val="continue"/>
            <w:tcBorders>
              <w:top w:val="nil"/>
            </w:tcBorders>
            <w:shd w:val="clear" w:color="auto" w:fill="auto"/>
            <w:noWrap w:val="0"/>
            <w:vAlign w:val="center"/>
          </w:tcPr>
          <w:p w14:paraId="7B7D283C">
            <w:pPr>
              <w:pStyle w:val="67"/>
              <w:ind w:firstLine="0" w:firstLineChars="0"/>
              <w:jc w:val="center"/>
              <w:rPr>
                <w:rFonts w:ascii="Arial" w:hAnsi="Arial" w:cs="Arial"/>
                <w:bCs/>
                <w:snapToGrid w:val="0"/>
                <w:sz w:val="20"/>
              </w:rPr>
            </w:pPr>
          </w:p>
        </w:tc>
        <w:tc>
          <w:tcPr>
            <w:tcW w:w="496" w:type="dxa"/>
            <w:shd w:val="clear" w:color="auto" w:fill="auto"/>
            <w:noWrap w:val="0"/>
            <w:vAlign w:val="center"/>
          </w:tcPr>
          <w:p w14:paraId="346491EE">
            <w:pPr>
              <w:pStyle w:val="67"/>
              <w:ind w:firstLine="0" w:firstLineChars="0"/>
              <w:jc w:val="center"/>
              <w:rPr>
                <w:rFonts w:ascii="Arial" w:hAnsi="Arial" w:cs="Arial"/>
                <w:bCs/>
                <w:snapToGrid w:val="0"/>
                <w:sz w:val="20"/>
              </w:rPr>
            </w:pPr>
            <w:r>
              <w:rPr>
                <w:rFonts w:hint="eastAsia" w:ascii="Arial" w:hAnsi="Arial" w:cs="Arial"/>
                <w:bCs/>
                <w:snapToGrid w:val="0"/>
                <w:sz w:val="20"/>
              </w:rPr>
              <w:t>4</w:t>
            </w:r>
          </w:p>
        </w:tc>
      </w:tr>
      <w:tr w14:paraId="6A225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continue"/>
            <w:shd w:val="clear" w:color="auto" w:fill="auto"/>
            <w:noWrap w:val="0"/>
            <w:vAlign w:val="center"/>
          </w:tcPr>
          <w:p w14:paraId="2EC40AD6">
            <w:pPr>
              <w:pStyle w:val="67"/>
              <w:ind w:firstLine="0" w:firstLineChars="0"/>
              <w:rPr>
                <w:rFonts w:ascii="Arial" w:hAnsi="Arial" w:cs="Arial"/>
                <w:bCs/>
                <w:snapToGrid w:val="0"/>
                <w:sz w:val="20"/>
              </w:rPr>
            </w:pPr>
          </w:p>
        </w:tc>
        <w:tc>
          <w:tcPr>
            <w:tcW w:w="1296" w:type="dxa"/>
            <w:vMerge w:val="restart"/>
            <w:shd w:val="clear" w:color="auto" w:fill="auto"/>
            <w:noWrap w:val="0"/>
            <w:vAlign w:val="center"/>
          </w:tcPr>
          <w:p w14:paraId="21BFEB8F">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目标合理性</w:t>
            </w:r>
          </w:p>
        </w:tc>
        <w:tc>
          <w:tcPr>
            <w:tcW w:w="4737" w:type="dxa"/>
            <w:shd w:val="clear" w:color="auto" w:fill="auto"/>
            <w:noWrap w:val="0"/>
            <w:vAlign w:val="center"/>
          </w:tcPr>
          <w:p w14:paraId="10E3EB19">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①设定的绩效目</w:t>
            </w:r>
            <w:r>
              <w:rPr>
                <w:rFonts w:hint="eastAsia" w:ascii="Arial" w:hAnsi="Arial" w:cs="Arial"/>
                <w:bCs/>
                <w:snapToGrid w:val="0"/>
                <w:sz w:val="20"/>
                <w:lang w:val="en-US" w:eastAsia="zh-CN"/>
              </w:rPr>
              <w:t>标</w:t>
            </w:r>
            <w:r>
              <w:rPr>
                <w:rFonts w:hint="eastAsia" w:ascii="Arial" w:hAnsi="Arial" w:cs="Arial"/>
                <w:bCs/>
                <w:snapToGrid w:val="0"/>
                <w:sz w:val="20"/>
                <w:lang w:eastAsia="zh-CN"/>
              </w:rPr>
              <w:t>是否完整；</w:t>
            </w:r>
          </w:p>
        </w:tc>
        <w:tc>
          <w:tcPr>
            <w:tcW w:w="540" w:type="dxa"/>
            <w:shd w:val="clear" w:color="auto" w:fill="auto"/>
            <w:noWrap w:val="0"/>
            <w:vAlign w:val="center"/>
          </w:tcPr>
          <w:p w14:paraId="1A5184F4">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tcBorders>
              <w:top w:val="nil"/>
            </w:tcBorders>
            <w:shd w:val="clear" w:color="auto" w:fill="auto"/>
            <w:noWrap w:val="0"/>
            <w:vAlign w:val="center"/>
          </w:tcPr>
          <w:p w14:paraId="47622F8C">
            <w:pPr>
              <w:pStyle w:val="67"/>
              <w:ind w:firstLine="0" w:firstLineChars="0"/>
              <w:jc w:val="center"/>
              <w:rPr>
                <w:rFonts w:ascii="Arial" w:hAnsi="Arial" w:cs="Arial"/>
                <w:bCs/>
                <w:snapToGrid w:val="0"/>
                <w:sz w:val="20"/>
              </w:rPr>
            </w:pPr>
          </w:p>
        </w:tc>
        <w:tc>
          <w:tcPr>
            <w:tcW w:w="496" w:type="dxa"/>
            <w:shd w:val="clear" w:color="auto" w:fill="auto"/>
            <w:noWrap w:val="0"/>
            <w:vAlign w:val="center"/>
          </w:tcPr>
          <w:p w14:paraId="3B7216FA">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r>
      <w:tr w14:paraId="01319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continue"/>
            <w:shd w:val="clear" w:color="auto" w:fill="auto"/>
            <w:noWrap w:val="0"/>
            <w:vAlign w:val="center"/>
          </w:tcPr>
          <w:p w14:paraId="0322EC23">
            <w:pPr>
              <w:pStyle w:val="67"/>
              <w:ind w:firstLine="0" w:firstLineChars="0"/>
              <w:rPr>
                <w:rFonts w:ascii="Arial" w:hAnsi="Arial" w:cs="Arial"/>
                <w:bCs/>
                <w:snapToGrid w:val="0"/>
                <w:sz w:val="20"/>
              </w:rPr>
            </w:pPr>
          </w:p>
        </w:tc>
        <w:tc>
          <w:tcPr>
            <w:tcW w:w="1296" w:type="dxa"/>
            <w:vMerge w:val="continue"/>
            <w:tcBorders>
              <w:top w:val="nil"/>
            </w:tcBorders>
            <w:shd w:val="clear" w:color="auto" w:fill="auto"/>
            <w:noWrap w:val="0"/>
            <w:vAlign w:val="center"/>
          </w:tcPr>
          <w:p w14:paraId="5A39A165">
            <w:pPr>
              <w:pStyle w:val="67"/>
              <w:ind w:firstLine="0" w:firstLineChars="0"/>
              <w:jc w:val="center"/>
              <w:rPr>
                <w:rFonts w:ascii="Arial" w:hAnsi="Arial" w:cs="Arial"/>
                <w:bCs/>
                <w:snapToGrid w:val="0"/>
                <w:sz w:val="20"/>
              </w:rPr>
            </w:pPr>
          </w:p>
        </w:tc>
        <w:tc>
          <w:tcPr>
            <w:tcW w:w="4737" w:type="dxa"/>
            <w:shd w:val="clear" w:color="auto" w:fill="auto"/>
            <w:noWrap w:val="0"/>
            <w:vAlign w:val="center"/>
          </w:tcPr>
          <w:p w14:paraId="49E18E13">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②设定的绩效目</w:t>
            </w:r>
            <w:r>
              <w:rPr>
                <w:rFonts w:hint="eastAsia" w:ascii="Arial" w:hAnsi="Arial" w:cs="Arial"/>
                <w:bCs/>
                <w:snapToGrid w:val="0"/>
                <w:sz w:val="20"/>
                <w:lang w:val="en-US" w:eastAsia="zh-CN"/>
              </w:rPr>
              <w:t>标</w:t>
            </w:r>
            <w:r>
              <w:rPr>
                <w:rFonts w:hint="eastAsia" w:ascii="Arial" w:hAnsi="Arial" w:cs="Arial"/>
                <w:bCs/>
                <w:snapToGrid w:val="0"/>
                <w:sz w:val="20"/>
                <w:lang w:eastAsia="zh-CN"/>
              </w:rPr>
              <w:t>是否合理。</w:t>
            </w:r>
          </w:p>
        </w:tc>
        <w:tc>
          <w:tcPr>
            <w:tcW w:w="540" w:type="dxa"/>
            <w:shd w:val="clear" w:color="auto" w:fill="auto"/>
            <w:noWrap w:val="0"/>
            <w:vAlign w:val="center"/>
          </w:tcPr>
          <w:p w14:paraId="00257201">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tcBorders>
              <w:top w:val="nil"/>
            </w:tcBorders>
            <w:shd w:val="clear" w:color="auto" w:fill="auto"/>
            <w:noWrap w:val="0"/>
            <w:vAlign w:val="center"/>
          </w:tcPr>
          <w:p w14:paraId="15EA6C23">
            <w:pPr>
              <w:pStyle w:val="67"/>
              <w:ind w:firstLine="0" w:firstLineChars="0"/>
              <w:jc w:val="center"/>
              <w:rPr>
                <w:rFonts w:ascii="Arial" w:hAnsi="Arial" w:cs="Arial"/>
                <w:bCs/>
                <w:snapToGrid w:val="0"/>
                <w:sz w:val="20"/>
              </w:rPr>
            </w:pPr>
          </w:p>
        </w:tc>
        <w:tc>
          <w:tcPr>
            <w:tcW w:w="496" w:type="dxa"/>
            <w:shd w:val="clear" w:color="auto" w:fill="auto"/>
            <w:noWrap w:val="0"/>
            <w:vAlign w:val="center"/>
          </w:tcPr>
          <w:p w14:paraId="1621FEF0">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14:paraId="3EECF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restart"/>
            <w:shd w:val="clear" w:color="auto" w:fill="auto"/>
            <w:noWrap w:val="0"/>
            <w:vAlign w:val="center"/>
          </w:tcPr>
          <w:p w14:paraId="02459E85">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项</w:t>
            </w:r>
            <w:r>
              <w:rPr>
                <w:rFonts w:ascii="Arial" w:hAnsi="Arial" w:cs="Arial"/>
                <w:bCs/>
                <w:snapToGrid w:val="0"/>
                <w:sz w:val="20"/>
                <w:lang w:eastAsia="zh-CN"/>
              </w:rPr>
              <w:t>目</w:t>
            </w:r>
            <w:r>
              <w:rPr>
                <w:rFonts w:hint="eastAsia" w:ascii="Arial" w:hAnsi="Arial" w:cs="Arial"/>
                <w:bCs/>
                <w:snapToGrid w:val="0"/>
                <w:sz w:val="20"/>
                <w:lang w:eastAsia="zh-CN"/>
              </w:rPr>
              <w:t>管理办法执行</w:t>
            </w:r>
            <w:r>
              <w:rPr>
                <w:rFonts w:ascii="Arial" w:hAnsi="Arial" w:cs="Arial"/>
                <w:bCs/>
                <w:snapToGrid w:val="0"/>
                <w:sz w:val="20"/>
                <w:lang w:eastAsia="zh-CN"/>
              </w:rPr>
              <w:t>的有效性</w:t>
            </w:r>
          </w:p>
        </w:tc>
        <w:tc>
          <w:tcPr>
            <w:tcW w:w="1296" w:type="dxa"/>
            <w:vMerge w:val="restart"/>
            <w:tcBorders>
              <w:top w:val="nil"/>
            </w:tcBorders>
            <w:shd w:val="clear" w:color="auto" w:fill="auto"/>
            <w:noWrap w:val="0"/>
            <w:vAlign w:val="center"/>
          </w:tcPr>
          <w:p w14:paraId="08B4C25C">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项</w:t>
            </w:r>
            <w:r>
              <w:rPr>
                <w:rFonts w:ascii="Arial" w:hAnsi="Arial" w:cs="Arial"/>
                <w:bCs/>
                <w:snapToGrid w:val="0"/>
                <w:sz w:val="20"/>
                <w:lang w:eastAsia="zh-CN"/>
              </w:rPr>
              <w:t>目</w:t>
            </w:r>
            <w:r>
              <w:rPr>
                <w:rFonts w:hint="eastAsia" w:ascii="Arial" w:hAnsi="Arial" w:cs="Arial"/>
                <w:bCs/>
                <w:snapToGrid w:val="0"/>
                <w:sz w:val="20"/>
                <w:lang w:val="en-US" w:eastAsia="zh-CN"/>
              </w:rPr>
              <w:t>管理办法执行</w:t>
            </w:r>
            <w:r>
              <w:rPr>
                <w:rFonts w:ascii="Arial" w:hAnsi="Arial" w:cs="Arial"/>
                <w:bCs/>
                <w:snapToGrid w:val="0"/>
                <w:sz w:val="20"/>
                <w:lang w:eastAsia="zh-CN"/>
              </w:rPr>
              <w:t>的有效性</w:t>
            </w:r>
          </w:p>
        </w:tc>
        <w:tc>
          <w:tcPr>
            <w:tcW w:w="4737" w:type="dxa"/>
            <w:shd w:val="clear" w:color="auto" w:fill="auto"/>
            <w:noWrap w:val="0"/>
            <w:vAlign w:val="center"/>
          </w:tcPr>
          <w:p w14:paraId="1AE8355C">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①项目</w:t>
            </w:r>
            <w:r>
              <w:rPr>
                <w:rFonts w:hint="eastAsia" w:ascii="Arial" w:hAnsi="Arial" w:cs="Arial"/>
                <w:bCs/>
                <w:snapToGrid w:val="0"/>
                <w:sz w:val="20"/>
                <w:lang w:val="en-US" w:eastAsia="zh-CN"/>
              </w:rPr>
              <w:t>执行办法</w:t>
            </w:r>
            <w:r>
              <w:rPr>
                <w:rFonts w:hint="eastAsia" w:ascii="Arial" w:hAnsi="Arial" w:cs="Arial"/>
                <w:bCs/>
                <w:snapToGrid w:val="0"/>
                <w:sz w:val="20"/>
                <w:lang w:eastAsia="zh-CN"/>
              </w:rPr>
              <w:t>是否经过批复；</w:t>
            </w:r>
          </w:p>
        </w:tc>
        <w:tc>
          <w:tcPr>
            <w:tcW w:w="540" w:type="dxa"/>
            <w:shd w:val="clear" w:color="auto" w:fill="auto"/>
            <w:noWrap w:val="0"/>
            <w:vAlign w:val="center"/>
          </w:tcPr>
          <w:p w14:paraId="149CCA73">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c>
          <w:tcPr>
            <w:tcW w:w="541" w:type="dxa"/>
            <w:vMerge w:val="restart"/>
            <w:tcBorders>
              <w:top w:val="nil"/>
            </w:tcBorders>
            <w:shd w:val="clear" w:color="auto" w:fill="auto"/>
            <w:noWrap w:val="0"/>
            <w:vAlign w:val="center"/>
          </w:tcPr>
          <w:p w14:paraId="49D376A1">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8</w:t>
            </w:r>
          </w:p>
        </w:tc>
        <w:tc>
          <w:tcPr>
            <w:tcW w:w="496" w:type="dxa"/>
            <w:shd w:val="clear" w:color="auto" w:fill="auto"/>
            <w:noWrap w:val="0"/>
            <w:vAlign w:val="center"/>
          </w:tcPr>
          <w:p w14:paraId="6C95003E">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r>
      <w:tr w14:paraId="7E512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continue"/>
            <w:shd w:val="clear" w:color="auto" w:fill="auto"/>
            <w:noWrap w:val="0"/>
            <w:vAlign w:val="center"/>
          </w:tcPr>
          <w:p w14:paraId="688D6396">
            <w:pPr>
              <w:pStyle w:val="67"/>
              <w:ind w:firstLine="0" w:firstLineChars="0"/>
              <w:rPr>
                <w:rFonts w:ascii="Arial" w:hAnsi="Arial" w:cs="Arial"/>
                <w:bCs/>
                <w:snapToGrid w:val="0"/>
                <w:sz w:val="20"/>
                <w:lang w:eastAsia="zh-CN"/>
              </w:rPr>
            </w:pPr>
          </w:p>
        </w:tc>
        <w:tc>
          <w:tcPr>
            <w:tcW w:w="1296" w:type="dxa"/>
            <w:vMerge w:val="continue"/>
            <w:shd w:val="clear" w:color="auto" w:fill="auto"/>
            <w:noWrap w:val="0"/>
            <w:vAlign w:val="center"/>
          </w:tcPr>
          <w:p w14:paraId="55352042">
            <w:pPr>
              <w:pStyle w:val="67"/>
              <w:ind w:firstLine="0" w:firstLineChars="0"/>
              <w:jc w:val="center"/>
              <w:rPr>
                <w:rFonts w:ascii="Arial" w:hAnsi="Arial" w:cs="Arial"/>
                <w:bCs/>
                <w:snapToGrid w:val="0"/>
                <w:sz w:val="20"/>
                <w:lang w:eastAsia="zh-CN"/>
              </w:rPr>
            </w:pPr>
          </w:p>
        </w:tc>
        <w:tc>
          <w:tcPr>
            <w:tcW w:w="4737" w:type="dxa"/>
            <w:shd w:val="clear" w:color="auto" w:fill="auto"/>
            <w:noWrap w:val="0"/>
            <w:vAlign w:val="center"/>
          </w:tcPr>
          <w:p w14:paraId="1D6BD34B">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②项目</w:t>
            </w:r>
            <w:r>
              <w:rPr>
                <w:rFonts w:hint="eastAsia" w:ascii="Arial" w:hAnsi="Arial" w:cs="Arial"/>
                <w:bCs/>
                <w:snapToGrid w:val="0"/>
                <w:sz w:val="20"/>
                <w:lang w:val="en-US" w:eastAsia="zh-CN"/>
              </w:rPr>
              <w:t>是否严格按照执行办法实施</w:t>
            </w:r>
            <w:r>
              <w:rPr>
                <w:rFonts w:hint="eastAsia" w:ascii="Arial" w:hAnsi="Arial" w:cs="Arial"/>
                <w:bCs/>
                <w:snapToGrid w:val="0"/>
                <w:sz w:val="20"/>
                <w:lang w:eastAsia="zh-CN"/>
              </w:rPr>
              <w:t>。</w:t>
            </w:r>
          </w:p>
        </w:tc>
        <w:tc>
          <w:tcPr>
            <w:tcW w:w="540" w:type="dxa"/>
            <w:shd w:val="clear" w:color="auto" w:fill="auto"/>
            <w:noWrap w:val="0"/>
            <w:vAlign w:val="center"/>
          </w:tcPr>
          <w:p w14:paraId="216C53A7">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c>
          <w:tcPr>
            <w:tcW w:w="541" w:type="dxa"/>
            <w:vMerge w:val="continue"/>
            <w:shd w:val="clear" w:color="auto" w:fill="auto"/>
            <w:noWrap w:val="0"/>
            <w:vAlign w:val="center"/>
          </w:tcPr>
          <w:p w14:paraId="59C1AD69">
            <w:pPr>
              <w:pStyle w:val="67"/>
              <w:ind w:firstLine="0" w:firstLineChars="0"/>
              <w:jc w:val="center"/>
              <w:rPr>
                <w:rFonts w:ascii="Arial" w:hAnsi="Arial" w:cs="Arial"/>
                <w:bCs/>
                <w:snapToGrid w:val="0"/>
                <w:sz w:val="20"/>
                <w:lang w:eastAsia="zh-CN"/>
              </w:rPr>
            </w:pPr>
          </w:p>
        </w:tc>
        <w:tc>
          <w:tcPr>
            <w:tcW w:w="496" w:type="dxa"/>
            <w:shd w:val="clear" w:color="auto" w:fill="auto"/>
            <w:noWrap w:val="0"/>
            <w:vAlign w:val="center"/>
          </w:tcPr>
          <w:p w14:paraId="4E476223">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r>
      <w:tr w14:paraId="0713E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877" w:type="dxa"/>
            <w:vMerge w:val="restart"/>
            <w:shd w:val="clear" w:color="auto" w:fill="auto"/>
            <w:noWrap w:val="0"/>
            <w:vAlign w:val="center"/>
          </w:tcPr>
          <w:p w14:paraId="7565ACFF">
            <w:pPr>
              <w:pStyle w:val="67"/>
              <w:ind w:firstLine="0" w:firstLineChars="0"/>
              <w:rPr>
                <w:rFonts w:ascii="Arial" w:hAnsi="Arial" w:cs="Arial"/>
                <w:bCs/>
                <w:snapToGrid w:val="0"/>
                <w:sz w:val="20"/>
                <w:lang w:eastAsia="zh-CN"/>
              </w:rPr>
            </w:pPr>
            <w:r>
              <w:rPr>
                <w:rFonts w:ascii="Arial" w:hAnsi="Arial" w:cs="Arial"/>
                <w:bCs/>
                <w:snapToGrid w:val="0"/>
                <w:sz w:val="20"/>
                <w:lang w:eastAsia="zh-CN"/>
              </w:rPr>
              <w:t>项目</w:t>
            </w:r>
            <w:r>
              <w:rPr>
                <w:rFonts w:hint="eastAsia" w:ascii="Arial" w:hAnsi="Arial" w:cs="Arial"/>
                <w:bCs/>
                <w:snapToGrid w:val="0"/>
                <w:sz w:val="20"/>
                <w:lang w:eastAsia="zh-CN"/>
              </w:rPr>
              <w:t>实施成果合格性</w:t>
            </w:r>
          </w:p>
        </w:tc>
        <w:tc>
          <w:tcPr>
            <w:tcW w:w="1296" w:type="dxa"/>
            <w:shd w:val="clear" w:color="auto" w:fill="auto"/>
            <w:noWrap w:val="0"/>
            <w:vAlign w:val="center"/>
          </w:tcPr>
          <w:p w14:paraId="21D7D9EE">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val="en-US" w:eastAsia="zh-CN"/>
              </w:rPr>
              <w:t>服务数量</w:t>
            </w:r>
            <w:r>
              <w:rPr>
                <w:rFonts w:hint="eastAsia" w:ascii="Arial" w:hAnsi="Arial" w:cs="Arial"/>
                <w:bCs/>
                <w:snapToGrid w:val="0"/>
                <w:sz w:val="20"/>
                <w:lang w:eastAsia="zh-CN"/>
              </w:rPr>
              <w:t>合格性</w:t>
            </w:r>
          </w:p>
        </w:tc>
        <w:tc>
          <w:tcPr>
            <w:tcW w:w="4737" w:type="dxa"/>
            <w:shd w:val="clear" w:color="auto" w:fill="auto"/>
            <w:noWrap w:val="0"/>
            <w:vAlign w:val="center"/>
          </w:tcPr>
          <w:p w14:paraId="7C9C8CD6">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①项目实施</w:t>
            </w:r>
            <w:r>
              <w:rPr>
                <w:rFonts w:hint="eastAsia" w:ascii="Arial" w:hAnsi="Arial" w:cs="Arial"/>
                <w:bCs/>
                <w:snapToGrid w:val="0"/>
                <w:sz w:val="20"/>
                <w:lang w:val="en-US" w:eastAsia="zh-CN"/>
              </w:rPr>
              <w:t>数量是否与实际数量、批复数量一致</w:t>
            </w:r>
            <w:r>
              <w:rPr>
                <w:rFonts w:hint="eastAsia" w:ascii="Arial" w:hAnsi="Arial" w:cs="Arial"/>
                <w:bCs/>
                <w:snapToGrid w:val="0"/>
                <w:sz w:val="20"/>
                <w:lang w:eastAsia="zh-CN"/>
              </w:rPr>
              <w:t>。</w:t>
            </w:r>
          </w:p>
        </w:tc>
        <w:tc>
          <w:tcPr>
            <w:tcW w:w="540" w:type="dxa"/>
            <w:shd w:val="clear" w:color="auto" w:fill="auto"/>
            <w:noWrap w:val="0"/>
            <w:vAlign w:val="center"/>
          </w:tcPr>
          <w:p w14:paraId="1CAEB1A6">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restart"/>
            <w:shd w:val="clear" w:color="auto" w:fill="auto"/>
            <w:noWrap w:val="0"/>
            <w:vAlign w:val="center"/>
          </w:tcPr>
          <w:p w14:paraId="03CF744E">
            <w:pPr>
              <w:pStyle w:val="67"/>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12</w:t>
            </w:r>
          </w:p>
        </w:tc>
        <w:tc>
          <w:tcPr>
            <w:tcW w:w="496" w:type="dxa"/>
            <w:shd w:val="clear" w:color="auto" w:fill="auto"/>
            <w:noWrap w:val="0"/>
            <w:vAlign w:val="center"/>
          </w:tcPr>
          <w:p w14:paraId="4B1ACC4D">
            <w:pPr>
              <w:pStyle w:val="67"/>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3</w:t>
            </w:r>
          </w:p>
        </w:tc>
      </w:tr>
      <w:tr w14:paraId="44B78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877" w:type="dxa"/>
            <w:vMerge w:val="continue"/>
            <w:shd w:val="clear" w:color="auto" w:fill="auto"/>
            <w:noWrap w:val="0"/>
            <w:vAlign w:val="center"/>
          </w:tcPr>
          <w:p w14:paraId="1F9EF976">
            <w:pPr>
              <w:pStyle w:val="67"/>
              <w:ind w:firstLine="0" w:firstLineChars="0"/>
              <w:rPr>
                <w:rFonts w:ascii="Arial" w:hAnsi="Arial" w:cs="Arial"/>
                <w:bCs/>
                <w:snapToGrid w:val="0"/>
                <w:sz w:val="20"/>
                <w:lang w:eastAsia="zh-CN"/>
              </w:rPr>
            </w:pPr>
          </w:p>
        </w:tc>
        <w:tc>
          <w:tcPr>
            <w:tcW w:w="1296" w:type="dxa"/>
            <w:vMerge w:val="restart"/>
            <w:shd w:val="clear" w:color="auto" w:fill="auto"/>
            <w:noWrap w:val="0"/>
            <w:vAlign w:val="center"/>
          </w:tcPr>
          <w:p w14:paraId="29872F0C">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val="en-US" w:eastAsia="zh-CN"/>
              </w:rPr>
              <w:t>服务</w:t>
            </w:r>
            <w:r>
              <w:rPr>
                <w:rFonts w:hint="eastAsia" w:ascii="Arial" w:hAnsi="Arial" w:cs="Arial"/>
                <w:bCs/>
                <w:snapToGrid w:val="0"/>
                <w:sz w:val="20"/>
                <w:lang w:eastAsia="zh-CN"/>
              </w:rPr>
              <w:t>质量合格性</w:t>
            </w:r>
          </w:p>
        </w:tc>
        <w:tc>
          <w:tcPr>
            <w:tcW w:w="4737" w:type="dxa"/>
            <w:shd w:val="clear" w:color="auto" w:fill="auto"/>
            <w:noWrap w:val="0"/>
            <w:vAlign w:val="center"/>
          </w:tcPr>
          <w:p w14:paraId="7C64ADF4">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w:t>
            </w:r>
            <w:r>
              <w:rPr>
                <w:rFonts w:hint="eastAsia" w:ascii="Arial" w:hAnsi="Arial" w:cs="Arial"/>
                <w:bCs/>
                <w:snapToGrid w:val="0"/>
                <w:sz w:val="20"/>
                <w:lang w:val="en-US" w:eastAsia="zh-CN"/>
              </w:rPr>
              <w:t>存储粮油质量是否符合相关规定；</w:t>
            </w:r>
          </w:p>
        </w:tc>
        <w:tc>
          <w:tcPr>
            <w:tcW w:w="540" w:type="dxa"/>
            <w:shd w:val="clear" w:color="auto" w:fill="auto"/>
            <w:noWrap w:val="0"/>
            <w:vAlign w:val="center"/>
          </w:tcPr>
          <w:p w14:paraId="426BBD32">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continue"/>
            <w:shd w:val="clear" w:color="auto" w:fill="auto"/>
            <w:noWrap w:val="0"/>
            <w:vAlign w:val="center"/>
          </w:tcPr>
          <w:p w14:paraId="77B11EBA">
            <w:pPr>
              <w:pStyle w:val="67"/>
              <w:ind w:firstLine="0" w:firstLineChars="0"/>
              <w:jc w:val="center"/>
              <w:rPr>
                <w:rFonts w:ascii="Arial" w:hAnsi="Arial" w:cs="Arial"/>
                <w:bCs/>
                <w:snapToGrid w:val="0"/>
                <w:sz w:val="20"/>
              </w:rPr>
            </w:pPr>
          </w:p>
        </w:tc>
        <w:tc>
          <w:tcPr>
            <w:tcW w:w="496" w:type="dxa"/>
            <w:shd w:val="clear" w:color="auto" w:fill="auto"/>
            <w:noWrap w:val="0"/>
            <w:vAlign w:val="center"/>
          </w:tcPr>
          <w:p w14:paraId="26FC586E">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r>
      <w:tr w14:paraId="05FB8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877" w:type="dxa"/>
            <w:vMerge w:val="continue"/>
            <w:shd w:val="clear" w:color="auto" w:fill="auto"/>
            <w:noWrap w:val="0"/>
            <w:vAlign w:val="center"/>
          </w:tcPr>
          <w:p w14:paraId="12659876">
            <w:pPr>
              <w:pStyle w:val="67"/>
              <w:ind w:firstLine="0" w:firstLineChars="0"/>
              <w:rPr>
                <w:rFonts w:ascii="Arial" w:hAnsi="Arial" w:cs="Arial"/>
                <w:bCs/>
                <w:snapToGrid w:val="0"/>
                <w:sz w:val="20"/>
              </w:rPr>
            </w:pPr>
          </w:p>
        </w:tc>
        <w:tc>
          <w:tcPr>
            <w:tcW w:w="1296" w:type="dxa"/>
            <w:vMerge w:val="continue"/>
            <w:tcBorders>
              <w:top w:val="nil"/>
            </w:tcBorders>
            <w:shd w:val="clear" w:color="auto" w:fill="auto"/>
            <w:noWrap w:val="0"/>
            <w:vAlign w:val="center"/>
          </w:tcPr>
          <w:p w14:paraId="65072321">
            <w:pPr>
              <w:pStyle w:val="67"/>
              <w:ind w:firstLine="0" w:firstLineChars="0"/>
              <w:jc w:val="center"/>
              <w:rPr>
                <w:rFonts w:ascii="Arial" w:hAnsi="Arial" w:cs="Arial"/>
                <w:bCs/>
                <w:snapToGrid w:val="0"/>
                <w:sz w:val="20"/>
              </w:rPr>
            </w:pPr>
          </w:p>
        </w:tc>
        <w:tc>
          <w:tcPr>
            <w:tcW w:w="4737" w:type="dxa"/>
            <w:shd w:val="clear" w:color="auto" w:fill="auto"/>
            <w:noWrap w:val="0"/>
            <w:vAlign w:val="center"/>
          </w:tcPr>
          <w:p w14:paraId="2337ED2A">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w:t>
            </w:r>
            <w:r>
              <w:rPr>
                <w:rFonts w:hint="eastAsia" w:ascii="Arial" w:hAnsi="Arial" w:cs="Arial"/>
                <w:bCs/>
                <w:snapToGrid w:val="0"/>
                <w:sz w:val="20"/>
                <w:lang w:val="en-US" w:eastAsia="zh-CN"/>
              </w:rPr>
              <w:t>粮油入库前是否经过检验。</w:t>
            </w:r>
          </w:p>
        </w:tc>
        <w:tc>
          <w:tcPr>
            <w:tcW w:w="540" w:type="dxa"/>
            <w:shd w:val="clear" w:color="auto" w:fill="auto"/>
            <w:noWrap w:val="0"/>
            <w:vAlign w:val="center"/>
          </w:tcPr>
          <w:p w14:paraId="499ECFEA">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continue"/>
            <w:shd w:val="clear" w:color="auto" w:fill="auto"/>
            <w:noWrap w:val="0"/>
            <w:vAlign w:val="center"/>
          </w:tcPr>
          <w:p w14:paraId="4EE74173">
            <w:pPr>
              <w:pStyle w:val="67"/>
              <w:ind w:firstLine="0" w:firstLineChars="0"/>
              <w:jc w:val="center"/>
              <w:rPr>
                <w:rFonts w:ascii="Arial" w:hAnsi="Arial" w:cs="Arial"/>
                <w:bCs/>
                <w:snapToGrid w:val="0"/>
                <w:sz w:val="20"/>
              </w:rPr>
            </w:pPr>
          </w:p>
        </w:tc>
        <w:tc>
          <w:tcPr>
            <w:tcW w:w="496" w:type="dxa"/>
            <w:shd w:val="clear" w:color="auto" w:fill="auto"/>
            <w:noWrap w:val="0"/>
            <w:vAlign w:val="center"/>
          </w:tcPr>
          <w:p w14:paraId="48994CC3">
            <w:pPr>
              <w:pStyle w:val="67"/>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3</w:t>
            </w:r>
          </w:p>
        </w:tc>
      </w:tr>
      <w:tr w14:paraId="4C436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877" w:type="dxa"/>
            <w:vMerge w:val="continue"/>
            <w:shd w:val="clear" w:color="auto" w:fill="auto"/>
            <w:noWrap w:val="0"/>
            <w:vAlign w:val="center"/>
          </w:tcPr>
          <w:p w14:paraId="2876C2D5">
            <w:pPr>
              <w:pStyle w:val="67"/>
              <w:ind w:firstLine="0" w:firstLineChars="0"/>
              <w:rPr>
                <w:rFonts w:ascii="Arial" w:hAnsi="Arial" w:cs="Arial"/>
                <w:bCs/>
                <w:snapToGrid w:val="0"/>
                <w:sz w:val="20"/>
              </w:rPr>
            </w:pPr>
          </w:p>
        </w:tc>
        <w:tc>
          <w:tcPr>
            <w:tcW w:w="1296" w:type="dxa"/>
            <w:tcBorders>
              <w:top w:val="nil"/>
            </w:tcBorders>
            <w:shd w:val="clear" w:color="auto" w:fill="auto"/>
            <w:noWrap w:val="0"/>
            <w:vAlign w:val="center"/>
          </w:tcPr>
          <w:p w14:paraId="6721E950">
            <w:pPr>
              <w:pStyle w:val="67"/>
              <w:ind w:firstLine="0" w:firstLineChars="0"/>
              <w:jc w:val="center"/>
              <w:rPr>
                <w:rFonts w:hint="default" w:ascii="Arial" w:hAnsi="Arial" w:eastAsia="仿宋_GB2312" w:cs="Arial"/>
                <w:bCs/>
                <w:snapToGrid w:val="0"/>
                <w:sz w:val="20"/>
                <w:lang w:val="en-US" w:eastAsia="zh-CN"/>
              </w:rPr>
            </w:pPr>
            <w:r>
              <w:rPr>
                <w:rFonts w:hint="eastAsia" w:ascii="Arial" w:hAnsi="Arial" w:cs="Arial"/>
                <w:bCs/>
                <w:snapToGrid w:val="0"/>
                <w:sz w:val="20"/>
                <w:lang w:val="en-US" w:eastAsia="zh-CN"/>
              </w:rPr>
              <w:t>服务时效合格性</w:t>
            </w:r>
          </w:p>
        </w:tc>
        <w:tc>
          <w:tcPr>
            <w:tcW w:w="4737" w:type="dxa"/>
            <w:shd w:val="clear" w:color="auto" w:fill="auto"/>
            <w:noWrap w:val="0"/>
            <w:vAlign w:val="center"/>
          </w:tcPr>
          <w:p w14:paraId="6C85EDBF">
            <w:pPr>
              <w:pStyle w:val="67"/>
              <w:ind w:firstLine="0" w:firstLineChars="0"/>
              <w:rPr>
                <w:rFonts w:hint="default" w:ascii="Arial" w:hAnsi="Arial" w:cs="Arial"/>
                <w:bCs/>
                <w:snapToGrid w:val="0"/>
                <w:sz w:val="20"/>
                <w:lang w:val="en-US" w:eastAsia="zh-CN"/>
              </w:rPr>
            </w:pPr>
            <w:r>
              <w:rPr>
                <w:rFonts w:hint="eastAsia" w:ascii="Arial" w:hAnsi="Arial" w:cs="Arial"/>
                <w:bCs/>
                <w:snapToGrid w:val="0"/>
                <w:sz w:val="20"/>
                <w:lang w:eastAsia="zh-CN"/>
              </w:rPr>
              <w:t>①</w:t>
            </w:r>
            <w:r>
              <w:rPr>
                <w:rFonts w:hint="eastAsia" w:ascii="Arial" w:hAnsi="Arial" w:cs="Arial"/>
                <w:bCs/>
                <w:snapToGrid w:val="0"/>
                <w:sz w:val="20"/>
                <w:lang w:val="en-US" w:eastAsia="zh-CN"/>
              </w:rPr>
              <w:t>存储粮油服务时效是否符合相关规定。</w:t>
            </w:r>
          </w:p>
        </w:tc>
        <w:tc>
          <w:tcPr>
            <w:tcW w:w="540" w:type="dxa"/>
            <w:shd w:val="clear" w:color="auto" w:fill="auto"/>
            <w:noWrap w:val="0"/>
            <w:vAlign w:val="center"/>
          </w:tcPr>
          <w:p w14:paraId="39FA3009">
            <w:pPr>
              <w:pStyle w:val="67"/>
              <w:ind w:firstLine="0" w:firstLineChars="0"/>
              <w:jc w:val="center"/>
              <w:rPr>
                <w:rFonts w:hint="eastAsia" w:ascii="Arial" w:hAnsi="Arial" w:eastAsia="仿宋_GB2312" w:cs="Arial"/>
                <w:bCs/>
                <w:snapToGrid w:val="0"/>
                <w:sz w:val="20"/>
                <w:lang w:val="en-US" w:eastAsia="zh-CN"/>
              </w:rPr>
            </w:pPr>
            <w:r>
              <w:rPr>
                <w:rFonts w:hint="eastAsia" w:ascii="Arial" w:hAnsi="Arial" w:cs="Arial"/>
                <w:bCs/>
                <w:snapToGrid w:val="0"/>
                <w:sz w:val="20"/>
                <w:lang w:val="en-US" w:eastAsia="zh-CN"/>
              </w:rPr>
              <w:t>3</w:t>
            </w:r>
          </w:p>
        </w:tc>
        <w:tc>
          <w:tcPr>
            <w:tcW w:w="541" w:type="dxa"/>
            <w:vMerge w:val="continue"/>
            <w:shd w:val="clear" w:color="auto" w:fill="auto"/>
            <w:noWrap w:val="0"/>
            <w:vAlign w:val="center"/>
          </w:tcPr>
          <w:p w14:paraId="79FE5BF0">
            <w:pPr>
              <w:pStyle w:val="67"/>
              <w:ind w:firstLine="0" w:firstLineChars="0"/>
              <w:jc w:val="center"/>
              <w:rPr>
                <w:rFonts w:ascii="Arial" w:hAnsi="Arial" w:cs="Arial"/>
                <w:bCs/>
                <w:snapToGrid w:val="0"/>
                <w:sz w:val="20"/>
              </w:rPr>
            </w:pPr>
          </w:p>
        </w:tc>
        <w:tc>
          <w:tcPr>
            <w:tcW w:w="496" w:type="dxa"/>
            <w:shd w:val="clear" w:color="auto" w:fill="auto"/>
            <w:noWrap w:val="0"/>
            <w:vAlign w:val="center"/>
          </w:tcPr>
          <w:p w14:paraId="3F84FB0A">
            <w:pPr>
              <w:pStyle w:val="67"/>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3</w:t>
            </w:r>
          </w:p>
        </w:tc>
      </w:tr>
      <w:tr w14:paraId="2EC2E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77" w:type="dxa"/>
            <w:vMerge w:val="restart"/>
            <w:shd w:val="clear" w:color="auto" w:fill="auto"/>
            <w:noWrap w:val="0"/>
            <w:vAlign w:val="center"/>
          </w:tcPr>
          <w:p w14:paraId="1C46E4B7">
            <w:pPr>
              <w:pStyle w:val="67"/>
              <w:ind w:firstLine="0" w:firstLineChars="0"/>
              <w:jc w:val="center"/>
              <w:rPr>
                <w:rFonts w:ascii="Arial" w:hAnsi="Arial" w:cs="Arial"/>
                <w:bCs/>
                <w:snapToGrid w:val="0"/>
                <w:sz w:val="20"/>
              </w:rPr>
            </w:pPr>
            <w:r>
              <w:rPr>
                <w:rFonts w:hint="eastAsia" w:ascii="Arial" w:hAnsi="Arial" w:cs="Arial"/>
                <w:bCs/>
                <w:snapToGrid w:val="0"/>
                <w:sz w:val="20"/>
              </w:rPr>
              <w:t>项目实施的可持续性</w:t>
            </w:r>
          </w:p>
        </w:tc>
        <w:tc>
          <w:tcPr>
            <w:tcW w:w="1296" w:type="dxa"/>
            <w:vMerge w:val="restart"/>
            <w:shd w:val="clear" w:color="auto" w:fill="auto"/>
            <w:noWrap w:val="0"/>
            <w:vAlign w:val="center"/>
          </w:tcPr>
          <w:p w14:paraId="365F35B9">
            <w:pPr>
              <w:pStyle w:val="67"/>
              <w:ind w:firstLine="0" w:firstLineChars="0"/>
              <w:jc w:val="center"/>
              <w:rPr>
                <w:rFonts w:ascii="Arial" w:hAnsi="Arial" w:cs="Arial"/>
                <w:bCs/>
                <w:snapToGrid w:val="0"/>
                <w:sz w:val="20"/>
              </w:rPr>
            </w:pPr>
            <w:r>
              <w:rPr>
                <w:rFonts w:hint="eastAsia" w:ascii="Arial" w:hAnsi="Arial" w:cs="Arial"/>
                <w:bCs/>
                <w:snapToGrid w:val="0"/>
                <w:sz w:val="20"/>
              </w:rPr>
              <w:t>可持续性</w:t>
            </w:r>
          </w:p>
        </w:tc>
        <w:tc>
          <w:tcPr>
            <w:tcW w:w="4737" w:type="dxa"/>
            <w:shd w:val="clear" w:color="auto" w:fill="auto"/>
            <w:noWrap w:val="0"/>
            <w:vAlign w:val="center"/>
          </w:tcPr>
          <w:p w14:paraId="5A26678C">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①国家或地方对该项目的重视程度；</w:t>
            </w:r>
          </w:p>
        </w:tc>
        <w:tc>
          <w:tcPr>
            <w:tcW w:w="540" w:type="dxa"/>
            <w:shd w:val="clear" w:color="auto" w:fill="auto"/>
            <w:noWrap w:val="0"/>
            <w:vAlign w:val="center"/>
          </w:tcPr>
          <w:p w14:paraId="0571CFF8">
            <w:pPr>
              <w:pStyle w:val="67"/>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3</w:t>
            </w:r>
          </w:p>
        </w:tc>
        <w:tc>
          <w:tcPr>
            <w:tcW w:w="541" w:type="dxa"/>
            <w:vMerge w:val="restart"/>
            <w:shd w:val="clear" w:color="auto" w:fill="auto"/>
            <w:noWrap w:val="0"/>
            <w:vAlign w:val="center"/>
          </w:tcPr>
          <w:p w14:paraId="5BD43593">
            <w:pPr>
              <w:pStyle w:val="67"/>
              <w:ind w:firstLine="0" w:firstLineChars="0"/>
              <w:jc w:val="center"/>
              <w:rPr>
                <w:rFonts w:hint="eastAsia" w:ascii="Arial" w:hAnsi="Arial" w:eastAsia="仿宋_GB2312" w:cs="Arial"/>
                <w:bCs/>
                <w:snapToGrid w:val="0"/>
                <w:sz w:val="20"/>
                <w:lang w:val="en-US" w:eastAsia="zh-CN"/>
              </w:rPr>
            </w:pPr>
            <w:r>
              <w:rPr>
                <w:rFonts w:hint="eastAsia" w:ascii="Arial" w:hAnsi="Arial" w:cs="Arial"/>
                <w:bCs/>
                <w:snapToGrid w:val="0"/>
                <w:sz w:val="20"/>
                <w:lang w:val="en-US" w:eastAsia="zh-CN"/>
              </w:rPr>
              <w:t>9</w:t>
            </w:r>
          </w:p>
        </w:tc>
        <w:tc>
          <w:tcPr>
            <w:tcW w:w="496" w:type="dxa"/>
            <w:shd w:val="clear" w:color="auto" w:fill="auto"/>
            <w:noWrap w:val="0"/>
            <w:vAlign w:val="center"/>
          </w:tcPr>
          <w:p w14:paraId="27607F1A">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val="en-US" w:eastAsia="zh-CN"/>
              </w:rPr>
              <w:t>3</w:t>
            </w:r>
          </w:p>
        </w:tc>
      </w:tr>
      <w:tr w14:paraId="3CAF3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877" w:type="dxa"/>
            <w:vMerge w:val="continue"/>
            <w:tcBorders>
              <w:top w:val="nil"/>
            </w:tcBorders>
            <w:shd w:val="clear" w:color="auto" w:fill="auto"/>
            <w:noWrap w:val="0"/>
            <w:vAlign w:val="center"/>
          </w:tcPr>
          <w:p w14:paraId="7853ACAF">
            <w:pPr>
              <w:pStyle w:val="67"/>
              <w:ind w:firstLine="0" w:firstLineChars="0"/>
              <w:rPr>
                <w:rFonts w:ascii="Arial" w:hAnsi="Arial" w:cs="Arial"/>
                <w:bCs/>
                <w:snapToGrid w:val="0"/>
                <w:sz w:val="20"/>
              </w:rPr>
            </w:pPr>
          </w:p>
        </w:tc>
        <w:tc>
          <w:tcPr>
            <w:tcW w:w="1296" w:type="dxa"/>
            <w:vMerge w:val="continue"/>
            <w:tcBorders>
              <w:top w:val="nil"/>
            </w:tcBorders>
            <w:shd w:val="clear" w:color="auto" w:fill="auto"/>
            <w:noWrap w:val="0"/>
            <w:vAlign w:val="center"/>
          </w:tcPr>
          <w:p w14:paraId="29334F42">
            <w:pPr>
              <w:pStyle w:val="67"/>
              <w:ind w:firstLine="0" w:firstLineChars="0"/>
              <w:jc w:val="center"/>
              <w:rPr>
                <w:rFonts w:ascii="Arial" w:hAnsi="Arial" w:cs="Arial"/>
                <w:bCs/>
                <w:snapToGrid w:val="0"/>
                <w:sz w:val="20"/>
              </w:rPr>
            </w:pPr>
          </w:p>
        </w:tc>
        <w:tc>
          <w:tcPr>
            <w:tcW w:w="4737" w:type="dxa"/>
            <w:shd w:val="clear" w:color="auto" w:fill="auto"/>
            <w:noWrap w:val="0"/>
            <w:vAlign w:val="center"/>
          </w:tcPr>
          <w:p w14:paraId="0AE9655E">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w:t>
            </w:r>
            <w:r>
              <w:rPr>
                <w:rFonts w:hint="eastAsia" w:ascii="Arial" w:hAnsi="Arial" w:cs="Arial"/>
                <w:bCs/>
                <w:snapToGrid w:val="0"/>
                <w:sz w:val="20"/>
                <w:lang w:val="en-US" w:eastAsia="zh-CN"/>
              </w:rPr>
              <w:t>是否有长期有效的政策依据</w:t>
            </w:r>
            <w:r>
              <w:rPr>
                <w:rFonts w:hint="eastAsia" w:ascii="Arial" w:hAnsi="Arial" w:cs="Arial"/>
                <w:bCs/>
                <w:snapToGrid w:val="0"/>
                <w:sz w:val="20"/>
                <w:lang w:eastAsia="zh-CN"/>
              </w:rPr>
              <w:t>；</w:t>
            </w:r>
          </w:p>
        </w:tc>
        <w:tc>
          <w:tcPr>
            <w:tcW w:w="540" w:type="dxa"/>
            <w:shd w:val="clear" w:color="auto" w:fill="auto"/>
            <w:noWrap w:val="0"/>
            <w:vAlign w:val="center"/>
          </w:tcPr>
          <w:p w14:paraId="2F77CD44">
            <w:pPr>
              <w:pStyle w:val="67"/>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3</w:t>
            </w:r>
          </w:p>
        </w:tc>
        <w:tc>
          <w:tcPr>
            <w:tcW w:w="541" w:type="dxa"/>
            <w:vMerge w:val="continue"/>
            <w:tcBorders>
              <w:top w:val="nil"/>
            </w:tcBorders>
            <w:shd w:val="clear" w:color="auto" w:fill="auto"/>
            <w:noWrap w:val="0"/>
            <w:vAlign w:val="center"/>
          </w:tcPr>
          <w:p w14:paraId="4DB6A5BA">
            <w:pPr>
              <w:pStyle w:val="67"/>
              <w:ind w:firstLine="0" w:firstLineChars="0"/>
              <w:jc w:val="center"/>
              <w:rPr>
                <w:rFonts w:ascii="Arial" w:hAnsi="Arial" w:cs="Arial"/>
                <w:bCs/>
                <w:snapToGrid w:val="0"/>
                <w:sz w:val="20"/>
              </w:rPr>
            </w:pPr>
          </w:p>
        </w:tc>
        <w:tc>
          <w:tcPr>
            <w:tcW w:w="496" w:type="dxa"/>
            <w:shd w:val="clear" w:color="auto" w:fill="auto"/>
            <w:noWrap w:val="0"/>
            <w:vAlign w:val="center"/>
          </w:tcPr>
          <w:p w14:paraId="484061D9">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val="en-US" w:eastAsia="zh-CN"/>
              </w:rPr>
              <w:t>3</w:t>
            </w:r>
          </w:p>
        </w:tc>
      </w:tr>
      <w:tr w14:paraId="0999D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877" w:type="dxa"/>
            <w:vMerge w:val="continue"/>
            <w:tcBorders>
              <w:top w:val="nil"/>
            </w:tcBorders>
            <w:shd w:val="clear" w:color="auto" w:fill="auto"/>
            <w:noWrap w:val="0"/>
            <w:vAlign w:val="center"/>
          </w:tcPr>
          <w:p w14:paraId="6CD24481">
            <w:pPr>
              <w:pStyle w:val="67"/>
              <w:ind w:firstLine="0" w:firstLineChars="0"/>
              <w:rPr>
                <w:rFonts w:ascii="Arial" w:hAnsi="Arial" w:cs="Arial"/>
                <w:bCs/>
                <w:snapToGrid w:val="0"/>
                <w:sz w:val="20"/>
              </w:rPr>
            </w:pPr>
          </w:p>
        </w:tc>
        <w:tc>
          <w:tcPr>
            <w:tcW w:w="1296" w:type="dxa"/>
            <w:vMerge w:val="continue"/>
            <w:tcBorders>
              <w:top w:val="nil"/>
            </w:tcBorders>
            <w:shd w:val="clear" w:color="auto" w:fill="auto"/>
            <w:noWrap w:val="0"/>
            <w:vAlign w:val="center"/>
          </w:tcPr>
          <w:p w14:paraId="4FB92CFE">
            <w:pPr>
              <w:pStyle w:val="67"/>
              <w:ind w:firstLine="0" w:firstLineChars="0"/>
              <w:jc w:val="center"/>
              <w:rPr>
                <w:rFonts w:ascii="Arial" w:hAnsi="Arial" w:cs="Arial"/>
                <w:bCs/>
                <w:snapToGrid w:val="0"/>
                <w:sz w:val="20"/>
              </w:rPr>
            </w:pPr>
          </w:p>
        </w:tc>
        <w:tc>
          <w:tcPr>
            <w:tcW w:w="4737" w:type="dxa"/>
            <w:shd w:val="clear" w:color="auto" w:fill="auto"/>
            <w:noWrap w:val="0"/>
            <w:vAlign w:val="center"/>
          </w:tcPr>
          <w:p w14:paraId="1802CB0F">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③项目的实施</w:t>
            </w:r>
            <w:r>
              <w:rPr>
                <w:rFonts w:hint="eastAsia" w:ascii="Arial" w:hAnsi="Arial" w:cs="Arial"/>
                <w:bCs/>
                <w:snapToGrid w:val="0"/>
                <w:sz w:val="20"/>
                <w:lang w:val="en-US" w:eastAsia="zh-CN"/>
              </w:rPr>
              <w:t>是否有利于</w:t>
            </w:r>
            <w:r>
              <w:rPr>
                <w:rFonts w:hint="eastAsia" w:ascii="Arial" w:hAnsi="Arial" w:cs="Arial"/>
                <w:bCs/>
                <w:snapToGrid w:val="0"/>
                <w:sz w:val="20"/>
                <w:lang w:eastAsia="zh-CN"/>
              </w:rPr>
              <w:t>社会稳定。</w:t>
            </w:r>
          </w:p>
        </w:tc>
        <w:tc>
          <w:tcPr>
            <w:tcW w:w="540" w:type="dxa"/>
            <w:shd w:val="clear" w:color="auto" w:fill="auto"/>
            <w:noWrap w:val="0"/>
            <w:vAlign w:val="center"/>
          </w:tcPr>
          <w:p w14:paraId="18DA8DFE">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val="en-US" w:eastAsia="zh-CN"/>
              </w:rPr>
              <w:t>3</w:t>
            </w:r>
          </w:p>
        </w:tc>
        <w:tc>
          <w:tcPr>
            <w:tcW w:w="541" w:type="dxa"/>
            <w:vMerge w:val="continue"/>
            <w:tcBorders>
              <w:top w:val="nil"/>
            </w:tcBorders>
            <w:shd w:val="clear" w:color="auto" w:fill="auto"/>
            <w:noWrap w:val="0"/>
            <w:vAlign w:val="center"/>
          </w:tcPr>
          <w:p w14:paraId="74BE30F4">
            <w:pPr>
              <w:pStyle w:val="67"/>
              <w:ind w:firstLine="0" w:firstLineChars="0"/>
              <w:jc w:val="center"/>
              <w:rPr>
                <w:rFonts w:ascii="Arial" w:hAnsi="Arial" w:cs="Arial"/>
                <w:bCs/>
                <w:snapToGrid w:val="0"/>
                <w:sz w:val="20"/>
              </w:rPr>
            </w:pPr>
          </w:p>
        </w:tc>
        <w:tc>
          <w:tcPr>
            <w:tcW w:w="496" w:type="dxa"/>
            <w:shd w:val="clear" w:color="auto" w:fill="auto"/>
            <w:noWrap w:val="0"/>
            <w:vAlign w:val="center"/>
          </w:tcPr>
          <w:p w14:paraId="5695DF9E">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val="en-US" w:eastAsia="zh-CN"/>
              </w:rPr>
              <w:t>3</w:t>
            </w:r>
          </w:p>
        </w:tc>
      </w:tr>
      <w:tr w14:paraId="1035E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910" w:type="dxa"/>
            <w:gridSpan w:val="3"/>
            <w:shd w:val="clear" w:color="auto" w:fill="auto"/>
            <w:noWrap w:val="0"/>
            <w:vAlign w:val="center"/>
          </w:tcPr>
          <w:p w14:paraId="71B7610B">
            <w:pPr>
              <w:pStyle w:val="67"/>
              <w:ind w:firstLine="0" w:firstLineChars="0"/>
              <w:jc w:val="center"/>
              <w:rPr>
                <w:rFonts w:ascii="Arial" w:hAnsi="Arial" w:cs="Arial"/>
                <w:bCs/>
                <w:snapToGrid w:val="0"/>
                <w:sz w:val="20"/>
              </w:rPr>
            </w:pPr>
            <w:r>
              <w:rPr>
                <w:rFonts w:hint="eastAsia" w:ascii="Arial" w:hAnsi="Arial" w:cs="Arial"/>
                <w:bCs/>
                <w:snapToGrid w:val="0"/>
                <w:sz w:val="20"/>
              </w:rPr>
              <w:t>合计</w:t>
            </w:r>
          </w:p>
        </w:tc>
        <w:tc>
          <w:tcPr>
            <w:tcW w:w="540" w:type="dxa"/>
            <w:shd w:val="clear" w:color="auto" w:fill="auto"/>
            <w:noWrap w:val="0"/>
            <w:vAlign w:val="center"/>
          </w:tcPr>
          <w:p w14:paraId="3FCC3EF3">
            <w:pPr>
              <w:pStyle w:val="67"/>
              <w:ind w:firstLine="0" w:firstLineChars="0"/>
              <w:jc w:val="center"/>
              <w:rPr>
                <w:rFonts w:hint="default" w:ascii="Arial" w:hAnsi="Arial" w:eastAsia="仿宋_GB2312" w:cs="Arial"/>
                <w:bCs/>
                <w:snapToGrid w:val="0"/>
                <w:sz w:val="20"/>
                <w:lang w:val="en-US" w:eastAsia="zh-CN"/>
              </w:rPr>
            </w:pPr>
            <w:r>
              <w:rPr>
                <w:rFonts w:hint="eastAsia" w:ascii="Arial" w:hAnsi="Arial" w:cs="Arial"/>
                <w:bCs/>
                <w:snapToGrid w:val="0"/>
                <w:sz w:val="20"/>
                <w:lang w:val="en-US" w:eastAsia="zh-CN"/>
              </w:rPr>
              <w:t>100</w:t>
            </w:r>
          </w:p>
        </w:tc>
        <w:tc>
          <w:tcPr>
            <w:tcW w:w="541" w:type="dxa"/>
            <w:shd w:val="clear" w:color="auto" w:fill="auto"/>
            <w:noWrap w:val="0"/>
            <w:vAlign w:val="center"/>
          </w:tcPr>
          <w:p w14:paraId="3A628EBD">
            <w:pPr>
              <w:pStyle w:val="67"/>
              <w:ind w:firstLine="0" w:firstLineChars="0"/>
              <w:jc w:val="center"/>
              <w:rPr>
                <w:rFonts w:ascii="Arial" w:hAnsi="Arial" w:cs="Arial"/>
                <w:bCs/>
                <w:snapToGrid w:val="0"/>
                <w:sz w:val="20"/>
              </w:rPr>
            </w:pPr>
          </w:p>
        </w:tc>
        <w:tc>
          <w:tcPr>
            <w:tcW w:w="496" w:type="dxa"/>
            <w:shd w:val="clear" w:color="auto" w:fill="auto"/>
            <w:noWrap w:val="0"/>
            <w:vAlign w:val="center"/>
          </w:tcPr>
          <w:p w14:paraId="533EAAA9">
            <w:pPr>
              <w:pStyle w:val="67"/>
              <w:ind w:firstLine="0" w:firstLineChars="0"/>
              <w:jc w:val="center"/>
              <w:rPr>
                <w:rFonts w:hint="default" w:ascii="Arial" w:hAnsi="Arial" w:eastAsia="仿宋_GB2312" w:cs="Arial"/>
                <w:bCs/>
                <w:snapToGrid w:val="0"/>
                <w:sz w:val="20"/>
                <w:lang w:val="en-US" w:eastAsia="zh-CN"/>
              </w:rPr>
            </w:pPr>
            <w:r>
              <w:rPr>
                <w:rFonts w:hint="eastAsia" w:ascii="Arial" w:hAnsi="Arial" w:cs="Arial"/>
                <w:bCs/>
                <w:snapToGrid w:val="0"/>
                <w:sz w:val="20"/>
                <w:lang w:val="en-US" w:eastAsia="zh-CN"/>
              </w:rPr>
              <w:t>97</w:t>
            </w:r>
          </w:p>
        </w:tc>
      </w:tr>
    </w:tbl>
    <w:p w14:paraId="30104DAD">
      <w:pPr>
        <w:pStyle w:val="2"/>
        <w:numPr>
          <w:ilvl w:val="0"/>
          <w:numId w:val="1"/>
        </w:numPr>
        <w:spacing w:before="0" w:beforeLines="0" w:after="0" w:afterLines="0"/>
        <w:rPr>
          <w:rFonts w:hint="eastAsia" w:ascii="仿宋" w:hAnsi="仿宋" w:eastAsia="仿宋" w:cs="仿宋"/>
          <w:b w:val="0"/>
          <w:szCs w:val="32"/>
          <w:lang w:eastAsia="zh-CN"/>
        </w:rPr>
      </w:pPr>
      <w:bookmarkStart w:id="201" w:name="_Toc20649"/>
      <w:bookmarkStart w:id="202" w:name="_Toc7074"/>
      <w:bookmarkStart w:id="203" w:name="_Toc924138418"/>
      <w:bookmarkStart w:id="204" w:name="_Toc737820165"/>
      <w:bookmarkStart w:id="205" w:name="_Toc193453926"/>
      <w:bookmarkStart w:id="206" w:name="_Toc1506002849_WPSOffice_Level1"/>
      <w:bookmarkStart w:id="207" w:name="_Toc1269600848"/>
      <w:bookmarkStart w:id="208" w:name="_Toc10752"/>
      <w:bookmarkStart w:id="209" w:name="_Toc132480966"/>
      <w:bookmarkStart w:id="210" w:name="_Toc6088"/>
      <w:bookmarkStart w:id="211" w:name="_Toc29627"/>
      <w:r>
        <w:rPr>
          <w:rFonts w:hint="eastAsia" w:ascii="仿宋" w:hAnsi="仿宋" w:eastAsia="仿宋" w:cs="仿宋"/>
          <w:b w:val="0"/>
          <w:szCs w:val="32"/>
          <w:lang w:eastAsia="zh-CN"/>
        </w:rPr>
        <w:t>绩效评价</w:t>
      </w:r>
      <w:bookmarkEnd w:id="201"/>
      <w:bookmarkEnd w:id="202"/>
      <w:bookmarkEnd w:id="203"/>
      <w:bookmarkEnd w:id="204"/>
      <w:bookmarkEnd w:id="205"/>
      <w:bookmarkEnd w:id="206"/>
      <w:bookmarkEnd w:id="207"/>
      <w:bookmarkEnd w:id="208"/>
      <w:bookmarkEnd w:id="209"/>
      <w:r>
        <w:rPr>
          <w:rFonts w:hint="eastAsia" w:ascii="仿宋" w:hAnsi="仿宋" w:eastAsia="仿宋" w:cs="仿宋"/>
          <w:b w:val="0"/>
          <w:szCs w:val="32"/>
          <w:lang w:eastAsia="zh-CN"/>
        </w:rPr>
        <w:t>内容与结论</w:t>
      </w:r>
      <w:bookmarkEnd w:id="210"/>
      <w:bookmarkEnd w:id="211"/>
    </w:p>
    <w:p w14:paraId="2F2D2D2F">
      <w:pPr>
        <w:pStyle w:val="3"/>
        <w:numPr>
          <w:ilvl w:val="0"/>
          <w:numId w:val="3"/>
        </w:numPr>
        <w:spacing w:before="0" w:beforeLines="0" w:after="0" w:afterLines="0"/>
        <w:ind w:firstLineChars="0"/>
        <w:rPr>
          <w:rFonts w:hint="eastAsia" w:ascii="仿宋" w:hAnsi="仿宋" w:eastAsia="仿宋" w:cs="仿宋"/>
          <w:b w:val="0"/>
          <w:szCs w:val="32"/>
          <w:lang w:eastAsia="zh-CN"/>
        </w:rPr>
      </w:pPr>
      <w:bookmarkStart w:id="212" w:name="_Toc785"/>
      <w:bookmarkStart w:id="213" w:name="_Toc2815"/>
      <w:r>
        <w:rPr>
          <w:rFonts w:hint="eastAsia" w:ascii="仿宋" w:hAnsi="仿宋" w:eastAsia="仿宋" w:cs="仿宋"/>
          <w:b w:val="0"/>
          <w:kern w:val="44"/>
          <w:szCs w:val="32"/>
          <w:lang w:eastAsia="zh-CN"/>
        </w:rPr>
        <w:t>项目实施的必要性、公益性、收益性</w:t>
      </w:r>
      <w:bookmarkEnd w:id="212"/>
      <w:bookmarkEnd w:id="213"/>
    </w:p>
    <w:p w14:paraId="1460E613">
      <w:pPr>
        <w:ind w:firstLine="640"/>
        <w:rPr>
          <w:rFonts w:hint="eastAsia" w:ascii="仿宋" w:hAnsi="仿宋" w:eastAsia="仿宋" w:cs="仿宋"/>
          <w:szCs w:val="32"/>
          <w:lang w:eastAsia="zh-CN"/>
        </w:rPr>
      </w:pPr>
      <w:r>
        <w:rPr>
          <w:rFonts w:hint="eastAsia" w:ascii="仿宋" w:hAnsi="仿宋" w:eastAsia="仿宋" w:cs="仿宋"/>
          <w:color w:val="auto"/>
          <w:lang w:val="zh-CN" w:eastAsia="zh-CN"/>
        </w:rPr>
        <w:t>项目实施的必要性、公益性、收益性方面，指标总分16分，评估得分16分。具体如下</w:t>
      </w:r>
      <w:r>
        <w:rPr>
          <w:rFonts w:hint="eastAsia" w:ascii="仿宋" w:hAnsi="仿宋" w:eastAsia="仿宋" w:cs="仿宋"/>
          <w:szCs w:val="32"/>
          <w:lang w:eastAsia="zh-CN"/>
        </w:rPr>
        <w:t>：</w:t>
      </w:r>
    </w:p>
    <w:p w14:paraId="350F829A">
      <w:pPr>
        <w:ind w:firstLine="640" w:firstLineChars="0"/>
        <w:rPr>
          <w:rFonts w:hint="eastAsia" w:ascii="仿宋" w:hAnsi="仿宋" w:eastAsia="仿宋" w:cs="仿宋"/>
          <w:szCs w:val="32"/>
          <w:lang w:eastAsia="zh-CN"/>
        </w:rPr>
      </w:pPr>
      <w:r>
        <w:rPr>
          <w:rFonts w:hint="eastAsia" w:ascii="仿宋" w:hAnsi="仿宋" w:eastAsia="仿宋" w:cs="仿宋"/>
          <w:szCs w:val="32"/>
          <w:lang w:eastAsia="zh-CN"/>
        </w:rPr>
        <w:t>1.项</w:t>
      </w:r>
      <w:bookmarkStart w:id="214" w:name="OLE_LINK3"/>
      <w:r>
        <w:rPr>
          <w:rFonts w:hint="eastAsia" w:ascii="仿宋" w:hAnsi="仿宋" w:eastAsia="仿宋" w:cs="仿宋"/>
          <w:szCs w:val="32"/>
          <w:lang w:eastAsia="zh-CN"/>
        </w:rPr>
        <w:t>目实施的必要性</w:t>
      </w:r>
      <w:bookmarkEnd w:id="214"/>
    </w:p>
    <w:p w14:paraId="5CEBA630">
      <w:pPr>
        <w:ind w:firstLine="640"/>
        <w:rPr>
          <w:rFonts w:hint="eastAsia" w:ascii="仿宋" w:hAnsi="仿宋" w:eastAsia="仿宋" w:cs="仿宋"/>
          <w:szCs w:val="32"/>
          <w:lang w:eastAsia="zh-CN"/>
        </w:rPr>
      </w:pPr>
      <w:bookmarkStart w:id="215" w:name="OLE_LINK1"/>
      <w:r>
        <w:rPr>
          <w:rFonts w:hint="eastAsia" w:ascii="仿宋" w:hAnsi="仿宋" w:eastAsia="仿宋" w:cs="仿宋"/>
          <w:color w:val="auto"/>
          <w:lang w:val="zh-CN" w:eastAsia="zh-CN"/>
        </w:rPr>
        <w:t>金口河区地处山区，粮食生产受自然条件限制较大。储备粮油可在自然灾害、市场波动等特殊时期保障区域内粮油的稳定供应，避免出现供应短缺和价格大幅波动，确保居民基本生活需求得到满足。建立储备粮油体系并给予费用补贴，能有效增强区域应对突发事件的能力。如在疫情防控、地震等紧急情况下，储备粮油可迅速投放市场，维持社会稳定。当市场上粮油价格因供求关系失衡出现大幅上涨或下跌时，政府可通过投放或收购储备粮油来调节市场供求，稳定粮油价格，保护消费者和农民的利益。储备粮油的存在以及相关补贴政策的实施，向市场传递出政府稳定粮油市场的决心和能力，有助于稳定市场参与者的预期，避免因恐慌性抢购或抛售导致市场秩序混乱。补贴项目有助于稳定当地粮油市场价格，保障农民收入，从而激励农民种粮积极性，促进区域内农业生产的稳定发展，推动农业产业结构优化升级</w:t>
      </w:r>
      <w:r>
        <w:rPr>
          <w:rFonts w:hint="eastAsia" w:ascii="仿宋" w:hAnsi="仿宋" w:eastAsia="仿宋" w:cs="仿宋"/>
          <w:szCs w:val="32"/>
          <w:lang w:eastAsia="zh-CN"/>
        </w:rPr>
        <w:t>。</w:t>
      </w:r>
      <w:bookmarkEnd w:id="215"/>
    </w:p>
    <w:p w14:paraId="44132879">
      <w:pPr>
        <w:ind w:firstLine="640"/>
        <w:rPr>
          <w:rFonts w:hint="eastAsia" w:ascii="仿宋" w:hAnsi="仿宋" w:eastAsia="仿宋" w:cs="仿宋"/>
          <w:szCs w:val="32"/>
          <w:lang w:eastAsia="zh-CN"/>
        </w:rPr>
      </w:pPr>
      <w:r>
        <w:rPr>
          <w:rFonts w:hint="eastAsia" w:ascii="仿宋" w:hAnsi="仿宋" w:eastAsia="仿宋" w:cs="仿宋"/>
          <w:color w:val="auto"/>
          <w:lang w:val="zh-CN" w:eastAsia="zh-CN"/>
        </w:rPr>
        <w:t>通过储备粮油费用补贴，确保其供应稳定和价格合理是保障民生的重要内容。储备粮油费用补贴项目的实施有助于解决低收入群体的生活困难，减少社会不稳定因素。储备粮油费用补贴</w:t>
      </w:r>
      <w:r>
        <w:rPr>
          <w:rFonts w:hint="eastAsia" w:ascii="仿宋" w:hAnsi="仿宋" w:eastAsia="仿宋" w:cs="仿宋"/>
          <w:color w:val="auto"/>
          <w:lang w:val="en-US" w:eastAsia="zh-CN"/>
        </w:rPr>
        <w:t>项目</w:t>
      </w:r>
      <w:r>
        <w:rPr>
          <w:rFonts w:hint="eastAsia" w:ascii="仿宋" w:hAnsi="仿宋" w:eastAsia="仿宋" w:cs="仿宋"/>
          <w:color w:val="auto"/>
          <w:lang w:val="zh-CN" w:eastAsia="zh-CN"/>
        </w:rPr>
        <w:t>符合国情需要，在国家统一部署下开展。根据评分标准，总分4分，得4分</w:t>
      </w:r>
      <w:r>
        <w:rPr>
          <w:rFonts w:hint="eastAsia" w:ascii="仿宋" w:hAnsi="仿宋" w:eastAsia="仿宋" w:cs="仿宋"/>
          <w:szCs w:val="32"/>
          <w:lang w:eastAsia="zh-CN"/>
        </w:rPr>
        <w:t>。</w:t>
      </w:r>
    </w:p>
    <w:p w14:paraId="1276A1E9">
      <w:pPr>
        <w:ind w:firstLineChars="0"/>
        <w:rPr>
          <w:rFonts w:hint="eastAsia" w:ascii="仿宋" w:hAnsi="仿宋" w:eastAsia="仿宋" w:cs="仿宋"/>
          <w:bCs/>
          <w:kern w:val="2"/>
          <w:szCs w:val="32"/>
          <w:lang w:eastAsia="zh-CN" w:bidi="ar-SA"/>
        </w:rPr>
      </w:pPr>
      <w:r>
        <w:rPr>
          <w:rFonts w:hint="eastAsia" w:ascii="仿宋" w:hAnsi="仿宋" w:eastAsia="仿宋" w:cs="仿宋"/>
          <w:bCs/>
          <w:kern w:val="2"/>
          <w:szCs w:val="32"/>
          <w:lang w:eastAsia="zh-CN" w:bidi="ar-SA"/>
        </w:rPr>
        <w:t>2.项</w:t>
      </w:r>
      <w:r>
        <w:rPr>
          <w:rFonts w:hint="eastAsia" w:ascii="仿宋" w:hAnsi="仿宋" w:eastAsia="仿宋" w:cs="仿宋"/>
          <w:szCs w:val="32"/>
          <w:lang w:eastAsia="zh-CN"/>
        </w:rPr>
        <w:t>目实施的公益性</w:t>
      </w:r>
    </w:p>
    <w:p w14:paraId="2120A2BE">
      <w:pPr>
        <w:ind w:firstLineChars="0"/>
        <w:rPr>
          <w:rFonts w:hint="eastAsia" w:ascii="仿宋" w:hAnsi="仿宋" w:eastAsia="仿宋" w:cs="仿宋"/>
          <w:szCs w:val="32"/>
          <w:lang w:eastAsia="zh-CN"/>
        </w:rPr>
      </w:pPr>
      <w:r>
        <w:rPr>
          <w:rFonts w:hint="eastAsia" w:ascii="仿宋" w:hAnsi="仿宋" w:eastAsia="仿宋" w:cs="仿宋"/>
          <w:color w:val="auto"/>
          <w:lang w:val="zh-CN" w:eastAsia="zh-CN"/>
        </w:rPr>
        <w:t>粮油是居民生活的必需品，储备粮油费用补贴项目的实施，能够确保在各种情况下，金口河区居民都有充足且稳定的粮油供应，满足人们的基本生活需求，维持正常的生活秩序。通过补贴维持合理的粮油储备，在市场供应不足时投放储备粮油，增加市场供给，平抑物价，防止因供求关系失衡导致粮油价格大幅上涨，让广大消费者能够以合理的价格购买到粮油，保障了消费者的利益</w:t>
      </w:r>
      <w:r>
        <w:rPr>
          <w:rFonts w:hint="eastAsia" w:ascii="仿宋" w:hAnsi="仿宋" w:eastAsia="仿宋" w:cs="仿宋"/>
          <w:szCs w:val="32"/>
          <w:lang w:eastAsia="zh-CN"/>
        </w:rPr>
        <w:t>。</w:t>
      </w:r>
    </w:p>
    <w:p w14:paraId="3B9ADA7D">
      <w:pPr>
        <w:ind w:firstLineChars="0"/>
        <w:rPr>
          <w:rFonts w:hint="eastAsia" w:ascii="仿宋" w:hAnsi="仿宋" w:eastAsia="仿宋" w:cs="仿宋"/>
          <w:szCs w:val="32"/>
          <w:lang w:eastAsia="zh-CN"/>
        </w:rPr>
      </w:pPr>
      <w:r>
        <w:rPr>
          <w:rFonts w:hint="eastAsia" w:ascii="仿宋" w:hAnsi="仿宋" w:eastAsia="仿宋" w:cs="仿宋"/>
          <w:color w:val="auto"/>
          <w:lang w:val="zh-CN" w:eastAsia="zh-CN"/>
        </w:rPr>
        <w:t>稳定的粮油供应和合理的价格是社会稳定的重要基础。该项目的实施能够避免因粮油供应短缺或价格大幅波动引发的社会不稳定因素，增强社会公众对政府保障民生能力的信心，维护社会的和谐稳定。根据评分标准，总分4分，得4分</w:t>
      </w:r>
      <w:r>
        <w:rPr>
          <w:rFonts w:hint="eastAsia" w:ascii="仿宋" w:hAnsi="仿宋" w:eastAsia="仿宋" w:cs="仿宋"/>
          <w:szCs w:val="32"/>
          <w:lang w:eastAsia="zh-CN"/>
        </w:rPr>
        <w:t>。</w:t>
      </w:r>
    </w:p>
    <w:p w14:paraId="6EC72A0A">
      <w:pPr>
        <w:ind w:firstLineChars="0"/>
        <w:rPr>
          <w:rFonts w:hint="eastAsia" w:ascii="仿宋" w:hAnsi="仿宋" w:eastAsia="仿宋" w:cs="仿宋"/>
          <w:szCs w:val="32"/>
          <w:lang w:eastAsia="zh-CN"/>
        </w:rPr>
      </w:pPr>
      <w:r>
        <w:rPr>
          <w:rFonts w:hint="eastAsia" w:ascii="仿宋" w:hAnsi="仿宋" w:eastAsia="仿宋" w:cs="仿宋"/>
          <w:szCs w:val="32"/>
          <w:lang w:eastAsia="zh-CN"/>
        </w:rPr>
        <w:t>3.项目实施的收益性</w:t>
      </w:r>
    </w:p>
    <w:p w14:paraId="16EF850D">
      <w:pPr>
        <w:ind w:firstLineChars="0"/>
        <w:rPr>
          <w:rFonts w:hint="eastAsia" w:ascii="仿宋" w:hAnsi="仿宋" w:eastAsia="仿宋" w:cs="仿宋"/>
          <w:szCs w:val="32"/>
          <w:lang w:eastAsia="zh-CN"/>
        </w:rPr>
      </w:pPr>
      <w:r>
        <w:rPr>
          <w:rFonts w:hint="eastAsia" w:ascii="仿宋" w:hAnsi="仿宋" w:eastAsia="仿宋" w:cs="仿宋"/>
          <w:color w:val="auto"/>
          <w:lang w:val="zh-CN" w:eastAsia="zh-CN"/>
        </w:rPr>
        <w:t>通过补贴维持合理的储备规模，在粮油市场供应紧张时投放储备，缓解供需矛盾，防止价格过度上涨；在供大于求时收购，避免价格大幅下跌，稳定市场价格，减少市场波动带来的经济损失。补贴项目使储备粮油业务得以顺利开展，能带动仓储、物流、加工等相关产业发展，为当地创造更多的经济增长点和就业机会，促进区域经济繁荣。完善的储备体系和补贴政策，增强了地区应对各种风险的能力，在紧急状态下能快速响应，保障人民群众的生命财产安全，减少灾害对社会的影响。补贴政策稳定了粮油价格和种植收益，激励农民采用更环保、可持续的种植方式，有助于保护生态环境，促进农业生态系统的平衡和稳定</w:t>
      </w:r>
      <w:r>
        <w:rPr>
          <w:rFonts w:hint="eastAsia" w:ascii="仿宋" w:hAnsi="仿宋" w:eastAsia="仿宋" w:cs="仿宋"/>
          <w:szCs w:val="32"/>
          <w:lang w:eastAsia="zh-CN"/>
        </w:rPr>
        <w:t>。</w:t>
      </w:r>
    </w:p>
    <w:p w14:paraId="676D6B2E">
      <w:pPr>
        <w:ind w:firstLineChars="0"/>
        <w:rPr>
          <w:rFonts w:hint="eastAsia" w:ascii="仿宋" w:hAnsi="仿宋" w:eastAsia="仿宋" w:cs="仿宋"/>
          <w:szCs w:val="32"/>
          <w:lang w:eastAsia="zh-CN"/>
        </w:rPr>
      </w:pPr>
      <w:r>
        <w:rPr>
          <w:rFonts w:hint="eastAsia" w:ascii="仿宋" w:hAnsi="仿宋" w:eastAsia="仿宋" w:cs="仿宋"/>
          <w:color w:val="auto"/>
          <w:lang w:val="zh-CN" w:eastAsia="zh-CN"/>
        </w:rPr>
        <w:t>合理的储备和补贴机制可避免因市场供需失衡导致的粮油过度生产或浪费现象，提高资源利用效率，减少在生产、储存和运输过程中的资源消耗和环境污染。根据评分标准，总分8分，得8分</w:t>
      </w:r>
      <w:r>
        <w:rPr>
          <w:rFonts w:hint="eastAsia" w:ascii="仿宋" w:hAnsi="仿宋" w:eastAsia="仿宋" w:cs="仿宋"/>
          <w:szCs w:val="32"/>
          <w:lang w:eastAsia="zh-CN"/>
        </w:rPr>
        <w:t>。</w:t>
      </w:r>
    </w:p>
    <w:p w14:paraId="3B84A6E9">
      <w:pPr>
        <w:pStyle w:val="3"/>
        <w:numPr>
          <w:ilvl w:val="0"/>
          <w:numId w:val="3"/>
        </w:numPr>
        <w:spacing w:before="0" w:beforeLines="0" w:after="0" w:afterLines="0"/>
        <w:ind w:firstLineChars="0"/>
        <w:rPr>
          <w:rFonts w:hint="eastAsia" w:ascii="仿宋" w:hAnsi="仿宋" w:eastAsia="仿宋" w:cs="仿宋"/>
          <w:b w:val="0"/>
          <w:szCs w:val="32"/>
          <w:lang w:eastAsia="zh-CN"/>
        </w:rPr>
      </w:pPr>
      <w:bookmarkStart w:id="216" w:name="_Toc12059"/>
      <w:bookmarkStart w:id="217" w:name="_Toc841"/>
      <w:r>
        <w:rPr>
          <w:rFonts w:hint="eastAsia" w:ascii="仿宋" w:hAnsi="仿宋" w:eastAsia="仿宋" w:cs="仿宋"/>
          <w:b w:val="0"/>
          <w:kern w:val="44"/>
          <w:szCs w:val="32"/>
          <w:lang w:eastAsia="zh-CN"/>
        </w:rPr>
        <w:t>项目实施合规性与</w:t>
      </w:r>
      <w:r>
        <w:rPr>
          <w:rFonts w:hint="eastAsia" w:ascii="仿宋" w:hAnsi="仿宋" w:eastAsia="仿宋" w:cs="仿宋"/>
          <w:b w:val="0"/>
          <w:kern w:val="44"/>
          <w:szCs w:val="32"/>
          <w:lang w:val="en-US" w:eastAsia="zh-CN"/>
        </w:rPr>
        <w:t>项目</w:t>
      </w:r>
      <w:r>
        <w:rPr>
          <w:rFonts w:hint="eastAsia" w:ascii="仿宋" w:hAnsi="仿宋" w:eastAsia="仿宋" w:cs="仿宋"/>
          <w:b w:val="0"/>
          <w:kern w:val="44"/>
          <w:szCs w:val="32"/>
          <w:lang w:eastAsia="zh-CN"/>
        </w:rPr>
        <w:t>成熟度</w:t>
      </w:r>
      <w:bookmarkEnd w:id="216"/>
      <w:bookmarkEnd w:id="217"/>
    </w:p>
    <w:p w14:paraId="08B647DF">
      <w:pPr>
        <w:ind w:firstLine="640"/>
        <w:rPr>
          <w:rFonts w:hint="eastAsia" w:ascii="仿宋" w:hAnsi="仿宋" w:eastAsia="仿宋" w:cs="仿宋"/>
          <w:szCs w:val="32"/>
          <w:lang w:eastAsia="zh-CN"/>
        </w:rPr>
      </w:pPr>
      <w:r>
        <w:rPr>
          <w:rFonts w:hint="eastAsia" w:ascii="仿宋" w:hAnsi="仿宋" w:eastAsia="仿宋" w:cs="仿宋"/>
          <w:color w:val="auto"/>
          <w:lang w:val="zh-CN" w:eastAsia="zh-CN"/>
        </w:rPr>
        <w:t>项目实施合规性与项目成熟度方面，指标总分18分，评估得分18分。具体如下</w:t>
      </w:r>
      <w:r>
        <w:rPr>
          <w:rFonts w:hint="eastAsia" w:ascii="仿宋" w:hAnsi="仿宋" w:eastAsia="仿宋" w:cs="仿宋"/>
          <w:szCs w:val="32"/>
          <w:lang w:eastAsia="zh-CN"/>
        </w:rPr>
        <w:t>：</w:t>
      </w:r>
    </w:p>
    <w:p w14:paraId="07374DF9">
      <w:pPr>
        <w:ind w:firstLine="640"/>
        <w:rPr>
          <w:rFonts w:hint="eastAsia" w:ascii="仿宋" w:hAnsi="仿宋" w:eastAsia="仿宋" w:cs="仿宋"/>
          <w:szCs w:val="32"/>
          <w:lang w:eastAsia="zh-CN"/>
        </w:rPr>
      </w:pPr>
      <w:r>
        <w:rPr>
          <w:rFonts w:hint="eastAsia" w:ascii="仿宋" w:hAnsi="仿宋" w:eastAsia="仿宋" w:cs="仿宋"/>
          <w:szCs w:val="32"/>
          <w:lang w:eastAsia="zh-CN"/>
        </w:rPr>
        <w:t>1.实施合规性</w:t>
      </w:r>
    </w:p>
    <w:p w14:paraId="7B1B9DF5">
      <w:pPr>
        <w:ind w:firstLine="640"/>
        <w:rPr>
          <w:rFonts w:hint="eastAsia" w:ascii="仿宋" w:hAnsi="仿宋" w:eastAsia="仿宋" w:cs="仿宋"/>
          <w:szCs w:val="32"/>
          <w:lang w:eastAsia="zh-CN"/>
        </w:rPr>
      </w:pPr>
      <w:r>
        <w:rPr>
          <w:rFonts w:hint="eastAsia" w:ascii="仿宋" w:hAnsi="仿宋" w:eastAsia="仿宋" w:cs="仿宋"/>
          <w:color w:val="auto"/>
          <w:lang w:val="zh-CN" w:eastAsia="zh-CN"/>
        </w:rPr>
        <w:t>项目为新增性项目。根据《乐山市金口河区区级储备粮轮换管理办法》，区级储备粮轮换周期原则上执行稻谷3年、小麦4年、玉米2年、散装菜籽油2年，成品粮油原则上每年至少轮换1次，且至少在保质期到期前3个月进行轮换</w:t>
      </w:r>
      <w:r>
        <w:rPr>
          <w:rFonts w:hint="eastAsia" w:ascii="仿宋" w:hAnsi="仿宋" w:eastAsia="仿宋" w:cs="仿宋"/>
          <w:bCs/>
          <w:szCs w:val="32"/>
          <w:lang w:eastAsia="zh-CN"/>
        </w:rPr>
        <w:t>。</w:t>
      </w:r>
    </w:p>
    <w:p w14:paraId="667ECEDA">
      <w:pPr>
        <w:ind w:firstLine="640"/>
        <w:rPr>
          <w:rFonts w:hint="eastAsia" w:ascii="仿宋" w:hAnsi="仿宋" w:eastAsia="仿宋" w:cs="仿宋"/>
          <w:color w:val="auto"/>
          <w:lang w:val="zh-CN" w:eastAsia="zh-CN"/>
        </w:rPr>
      </w:pPr>
      <w:r>
        <w:rPr>
          <w:rFonts w:hint="eastAsia" w:ascii="仿宋" w:hAnsi="仿宋" w:eastAsia="仿宋" w:cs="仿宋"/>
          <w:color w:val="auto"/>
          <w:lang w:val="zh-CN" w:eastAsia="zh-CN"/>
        </w:rPr>
        <w:t>根据区粮储中心提供的2024年粮油</w:t>
      </w:r>
      <w:r>
        <w:rPr>
          <w:rFonts w:hint="eastAsia" w:ascii="仿宋" w:hAnsi="仿宋" w:eastAsia="仿宋" w:cs="仿宋"/>
          <w:color w:val="auto"/>
          <w:lang w:val="en-US" w:eastAsia="zh-CN"/>
        </w:rPr>
        <w:t>存储、</w:t>
      </w:r>
      <w:r>
        <w:rPr>
          <w:rFonts w:hint="eastAsia" w:ascii="仿宋" w:hAnsi="仿宋" w:eastAsia="仿宋" w:cs="仿宋"/>
          <w:color w:val="auto"/>
          <w:lang w:val="zh-CN" w:eastAsia="zh-CN"/>
        </w:rPr>
        <w:t>轮换相关资料，由区粮储中心根据粮油储存年限和品质情况提出申请，区发改局、区粮储中心审核提出年度轮换计划，会同区财政局、峨眉农发行下达执行。</w:t>
      </w:r>
    </w:p>
    <w:p w14:paraId="730BFD04">
      <w:pPr>
        <w:ind w:firstLine="640"/>
        <w:rPr>
          <w:rFonts w:hint="eastAsia" w:ascii="仿宋" w:hAnsi="仿宋" w:eastAsia="仿宋" w:cs="仿宋"/>
          <w:szCs w:val="32"/>
          <w:lang w:eastAsia="zh-CN"/>
        </w:rPr>
      </w:pPr>
      <w:r>
        <w:rPr>
          <w:rFonts w:hint="eastAsia" w:ascii="仿宋" w:hAnsi="仿宋" w:eastAsia="仿宋" w:cs="仿宋"/>
          <w:color w:val="auto"/>
          <w:lang w:val="zh-CN" w:eastAsia="zh-CN"/>
        </w:rPr>
        <w:t>综上，该项目立项过程合规、立项依据充分，项目资金来源渠道符合相关规定，资金筹措程序科学规范。根据评分标准，总分9分，得9分</w:t>
      </w:r>
      <w:r>
        <w:rPr>
          <w:rFonts w:hint="eastAsia" w:ascii="仿宋" w:hAnsi="仿宋" w:eastAsia="仿宋" w:cs="仿宋"/>
          <w:szCs w:val="32"/>
          <w:lang w:eastAsia="zh-CN"/>
        </w:rPr>
        <w:t>。</w:t>
      </w:r>
    </w:p>
    <w:p w14:paraId="41E6B786">
      <w:pPr>
        <w:ind w:firstLine="640"/>
        <w:rPr>
          <w:rFonts w:hint="eastAsia" w:ascii="仿宋" w:hAnsi="仿宋" w:eastAsia="仿宋" w:cs="仿宋"/>
          <w:szCs w:val="32"/>
          <w:lang w:eastAsia="zh-CN"/>
        </w:rPr>
      </w:pPr>
      <w:r>
        <w:rPr>
          <w:rFonts w:hint="eastAsia" w:ascii="仿宋" w:hAnsi="仿宋" w:eastAsia="仿宋" w:cs="仿宋"/>
          <w:szCs w:val="32"/>
          <w:lang w:eastAsia="zh-CN"/>
        </w:rPr>
        <w:t>2.项目成熟度</w:t>
      </w:r>
    </w:p>
    <w:p w14:paraId="02CE1325">
      <w:pPr>
        <w:ind w:firstLine="640"/>
        <w:rPr>
          <w:rFonts w:hint="eastAsia" w:ascii="仿宋" w:hAnsi="仿宋" w:eastAsia="仿宋" w:cs="仿宋"/>
          <w:bCs/>
          <w:kern w:val="2"/>
          <w:szCs w:val="32"/>
          <w:lang w:eastAsia="zh-CN" w:bidi="ar-SA"/>
        </w:rPr>
      </w:pPr>
      <w:r>
        <w:rPr>
          <w:rFonts w:hint="eastAsia" w:ascii="仿宋" w:hAnsi="仿宋" w:eastAsia="仿宋" w:cs="仿宋"/>
          <w:color w:val="auto"/>
          <w:lang w:val="zh-CN" w:eastAsia="zh-CN"/>
        </w:rPr>
        <w:t>《四川省地方粮食储备管理办法》为金口河区储备粮油费用补贴项目提供了明确的政策依据和指导方向。金口河区政府根据当地实际情况，制定了《关于印发&lt;乐山市金口河区区级储备粮管理办法&gt;的通知》、《乐山市金口河区粮食风险金管理办法》、《乐山市金口河区区级储备粮轮换管理办法》等具体的储备粮油管理办法和补贴政策，对项目的实施流程、补贴标准等进行了规范，这表明该项目在政策层面具有一定的成熟度。金口河区相关部门在长期的粮油储备管理工作中，逐渐建立了一套较为完善的管理体系，包括储备粮油的收储、轮换、储存管理以及补贴资金的申报、审核和发放等环节。同时，工作人员在实践中积累了丰富的经验，能够熟练应对各种问题，确保项目的顺利实施，体现出项目在管理方面的成熟性</w:t>
      </w:r>
      <w:r>
        <w:rPr>
          <w:rFonts w:hint="eastAsia" w:ascii="仿宋" w:hAnsi="仿宋" w:eastAsia="仿宋" w:cs="仿宋"/>
          <w:bCs/>
          <w:kern w:val="2"/>
          <w:szCs w:val="32"/>
          <w:lang w:eastAsia="zh-CN" w:bidi="ar-SA"/>
        </w:rPr>
        <w:t>。</w:t>
      </w:r>
    </w:p>
    <w:p w14:paraId="39983443">
      <w:pPr>
        <w:ind w:firstLine="640"/>
        <w:rPr>
          <w:rFonts w:hint="eastAsia" w:ascii="仿宋" w:hAnsi="仿宋" w:eastAsia="仿宋" w:cs="仿宋"/>
          <w:color w:val="auto"/>
          <w:lang w:val="zh-CN" w:eastAsia="zh-CN"/>
        </w:rPr>
      </w:pPr>
      <w:r>
        <w:rPr>
          <w:rFonts w:hint="eastAsia" w:ascii="仿宋" w:hAnsi="仿宋" w:eastAsia="仿宋" w:cs="仿宋"/>
          <w:color w:val="auto"/>
          <w:lang w:val="zh-CN" w:eastAsia="zh-CN"/>
        </w:rPr>
        <w:t>政府在财政预算中专门安排了储备粮油费用补贴资金，并且建立了相应的资金管理制度，确保补贴资金能够按时、足额到位，为项目的持续开展提供了有力的资金保障。稳定的资金来源和规范的资金管理是项目成熟度的重要体现。金口河区拥有一定规模的粮油储备仓库等基础设施，并且不断进行升级改造，以满足现代粮油储备的要求。</w:t>
      </w:r>
    </w:p>
    <w:p w14:paraId="13ED9F83">
      <w:pPr>
        <w:ind w:firstLine="640"/>
        <w:rPr>
          <w:rFonts w:hint="eastAsia" w:ascii="仿宋" w:hAnsi="仿宋" w:eastAsia="仿宋" w:cs="仿宋"/>
          <w:szCs w:val="32"/>
          <w:lang w:eastAsia="zh-CN"/>
        </w:rPr>
      </w:pPr>
      <w:r>
        <w:rPr>
          <w:rFonts w:hint="eastAsia" w:ascii="仿宋" w:hAnsi="仿宋" w:eastAsia="仿宋" w:cs="仿宋"/>
          <w:color w:val="auto"/>
          <w:lang w:val="zh-CN" w:eastAsia="zh-CN"/>
        </w:rPr>
        <w:t>综上，该项目审批手续完善，项目成熟度高。根据评分标准，总分9分，得9分</w:t>
      </w:r>
      <w:r>
        <w:rPr>
          <w:rFonts w:hint="eastAsia" w:ascii="仿宋" w:hAnsi="仿宋" w:eastAsia="仿宋" w:cs="仿宋"/>
          <w:szCs w:val="32"/>
          <w:lang w:eastAsia="zh-CN"/>
        </w:rPr>
        <w:t>。</w:t>
      </w:r>
    </w:p>
    <w:p w14:paraId="3DC07EC8">
      <w:pPr>
        <w:pStyle w:val="3"/>
        <w:numPr>
          <w:ilvl w:val="0"/>
          <w:numId w:val="3"/>
        </w:numPr>
        <w:spacing w:before="0" w:beforeLines="0" w:after="0" w:afterLines="0"/>
        <w:ind w:left="0" w:firstLine="658" w:firstLineChars="0"/>
        <w:rPr>
          <w:rFonts w:hint="eastAsia" w:ascii="仿宋" w:hAnsi="仿宋" w:eastAsia="仿宋" w:cs="仿宋"/>
          <w:b w:val="0"/>
          <w:kern w:val="44"/>
          <w:szCs w:val="32"/>
          <w:lang w:eastAsia="zh-CN"/>
        </w:rPr>
      </w:pPr>
      <w:bookmarkStart w:id="218" w:name="_Toc11035"/>
      <w:bookmarkStart w:id="219" w:name="_Toc27007"/>
      <w:r>
        <w:rPr>
          <w:rFonts w:ascii="仿宋" w:hAnsi="仿宋" w:eastAsia="仿宋" w:cs="仿宋"/>
          <w:b w:val="0"/>
          <w:kern w:val="44"/>
          <w:szCs w:val="32"/>
          <w:lang w:eastAsia="zh-CN"/>
        </w:rPr>
        <w:t>项目资金来源</w:t>
      </w:r>
      <w:r>
        <w:rPr>
          <w:rFonts w:hint="eastAsia" w:ascii="仿宋" w:hAnsi="仿宋" w:eastAsia="仿宋" w:cs="仿宋"/>
          <w:b w:val="0"/>
          <w:kern w:val="44"/>
          <w:szCs w:val="32"/>
          <w:lang w:eastAsia="zh-CN"/>
        </w:rPr>
        <w:t>、</w:t>
      </w:r>
      <w:r>
        <w:rPr>
          <w:rFonts w:hint="eastAsia" w:ascii="仿宋" w:hAnsi="仿宋" w:eastAsia="仿宋" w:cs="仿宋"/>
          <w:b w:val="0"/>
          <w:kern w:val="44"/>
          <w:szCs w:val="32"/>
          <w:lang w:val="en-US" w:eastAsia="zh-CN"/>
        </w:rPr>
        <w:t>资金</w:t>
      </w:r>
      <w:r>
        <w:rPr>
          <w:rFonts w:ascii="仿宋" w:hAnsi="仿宋" w:eastAsia="仿宋" w:cs="仿宋"/>
          <w:b w:val="0"/>
          <w:kern w:val="44"/>
          <w:szCs w:val="32"/>
          <w:lang w:eastAsia="zh-CN"/>
        </w:rPr>
        <w:t>到位可行性</w:t>
      </w:r>
      <w:bookmarkEnd w:id="218"/>
      <w:bookmarkEnd w:id="219"/>
    </w:p>
    <w:p w14:paraId="4614D311">
      <w:pPr>
        <w:ind w:firstLine="640"/>
        <w:rPr>
          <w:rFonts w:hint="eastAsia" w:ascii="仿宋" w:hAnsi="仿宋" w:eastAsia="仿宋" w:cs="仿宋"/>
          <w:szCs w:val="32"/>
          <w:lang w:eastAsia="zh-CN"/>
        </w:rPr>
      </w:pPr>
      <w:r>
        <w:rPr>
          <w:rFonts w:hint="eastAsia" w:ascii="仿宋" w:hAnsi="仿宋" w:eastAsia="仿宋" w:cs="仿宋"/>
          <w:color w:val="auto"/>
          <w:lang w:val="zh-CN" w:eastAsia="zh-CN"/>
        </w:rPr>
        <w:t>项目资金来源、资金到位可行性方面，指标总分12分，评估得分12分。具体如下</w:t>
      </w:r>
      <w:r>
        <w:rPr>
          <w:rFonts w:ascii="仿宋" w:hAnsi="仿宋" w:eastAsia="仿宋" w:cs="仿宋"/>
          <w:szCs w:val="32"/>
          <w:lang w:eastAsia="zh-CN"/>
        </w:rPr>
        <w:t>：</w:t>
      </w:r>
    </w:p>
    <w:p w14:paraId="6AD6FCA1">
      <w:pPr>
        <w:ind w:firstLine="640"/>
        <w:rPr>
          <w:rFonts w:hint="eastAsia" w:ascii="仿宋" w:hAnsi="仿宋" w:eastAsia="仿宋" w:cs="仿宋"/>
          <w:szCs w:val="32"/>
          <w:lang w:eastAsia="zh-CN"/>
        </w:rPr>
      </w:pPr>
      <w:r>
        <w:rPr>
          <w:rFonts w:hint="eastAsia" w:ascii="仿宋" w:hAnsi="仿宋" w:eastAsia="仿宋" w:cs="仿宋"/>
          <w:szCs w:val="32"/>
          <w:lang w:eastAsia="zh-CN"/>
        </w:rPr>
        <w:t>1.资金来源可行性</w:t>
      </w:r>
    </w:p>
    <w:p w14:paraId="08597D23">
      <w:pPr>
        <w:ind w:firstLine="640"/>
        <w:rPr>
          <w:rFonts w:hint="eastAsia" w:ascii="仿宋" w:hAnsi="仿宋" w:eastAsia="仿宋" w:cs="仿宋"/>
          <w:szCs w:val="32"/>
          <w:lang w:eastAsia="zh-CN"/>
        </w:rPr>
      </w:pPr>
      <w:r>
        <w:rPr>
          <w:rFonts w:hint="eastAsia" w:ascii="仿宋" w:hAnsi="仿宋" w:eastAsia="仿宋" w:cs="仿宋"/>
          <w:color w:val="auto"/>
          <w:lang w:val="zh-CN" w:eastAsia="zh-CN"/>
        </w:rPr>
        <w:t>储备粮油费用在财政预算中安排，补贴资金经区发展改革局、区财政局、区粮储中心、峨眉农发行共同批复，资金来源为财政资金，资金来源渠道符合相关规定。资金筹措程序科学规范。根据评分标准，总分3分，得3分</w:t>
      </w:r>
      <w:r>
        <w:rPr>
          <w:rFonts w:hint="eastAsia" w:ascii="仿宋" w:hAnsi="仿宋" w:eastAsia="仿宋" w:cs="仿宋"/>
          <w:szCs w:val="32"/>
          <w:lang w:eastAsia="zh-CN"/>
        </w:rPr>
        <w:t>。</w:t>
      </w:r>
    </w:p>
    <w:p w14:paraId="309C0D0D">
      <w:pPr>
        <w:ind w:firstLine="640"/>
        <w:rPr>
          <w:rFonts w:hint="eastAsia" w:ascii="仿宋" w:hAnsi="仿宋" w:eastAsia="仿宋" w:cs="仿宋"/>
          <w:szCs w:val="32"/>
          <w:lang w:eastAsia="zh-CN"/>
        </w:rPr>
      </w:pPr>
      <w:r>
        <w:rPr>
          <w:rFonts w:hint="eastAsia" w:ascii="仿宋" w:hAnsi="仿宋" w:eastAsia="仿宋" w:cs="仿宋"/>
          <w:szCs w:val="32"/>
          <w:lang w:eastAsia="zh-CN"/>
        </w:rPr>
        <w:t>2.资金到位可行性</w:t>
      </w:r>
    </w:p>
    <w:p w14:paraId="16C5F5C7">
      <w:pPr>
        <w:ind w:firstLine="640"/>
        <w:rPr>
          <w:rFonts w:hint="eastAsia" w:ascii="仿宋" w:hAnsi="仿宋" w:eastAsia="仿宋" w:cs="仿宋"/>
          <w:szCs w:val="32"/>
          <w:lang w:eastAsia="zh-CN"/>
        </w:rPr>
      </w:pPr>
      <w:r>
        <w:rPr>
          <w:rFonts w:hint="eastAsia" w:ascii="仿宋" w:hAnsi="仿宋" w:eastAsia="仿宋" w:cs="仿宋"/>
          <w:color w:val="auto"/>
          <w:lang w:val="zh-CN" w:eastAsia="zh-CN"/>
        </w:rPr>
        <w:t>储备粮油费用项目资金来源为政府资金，主要用于粮食2000吨、菜籽油10吨的保管费、轮换费及银行借款利息。保管费、轮换费依据为《乐山市金口河区级储备粮油管理办法》(金发改[2022]109号)第七章第三十六条:区级储备粮的储备费用按储备总量(原粮)每年0.06元/斤补贴,轮换费用按储备总量(原粮)每年0.06元/斤补贴;第三十八条:区级储备粮、油的借款利息按农业发展银行同期农副产品收购贷款利率，由区财政局据实拔付。区级储备粮费用利息的拨付实行按季预发，并在次年第一季度内进行清算。资金能足额及时到位，</w:t>
      </w:r>
      <w:r>
        <w:rPr>
          <w:rFonts w:hint="eastAsia" w:ascii="仿宋" w:hAnsi="仿宋" w:eastAsia="仿宋" w:cs="仿宋"/>
          <w:color w:val="auto"/>
          <w:lang w:val="en-US" w:eastAsia="zh-CN"/>
        </w:rPr>
        <w:t>资金拨付符合相关规定</w:t>
      </w:r>
      <w:r>
        <w:rPr>
          <w:rFonts w:hint="eastAsia" w:ascii="仿宋" w:hAnsi="仿宋" w:eastAsia="仿宋" w:cs="仿宋"/>
          <w:color w:val="auto"/>
          <w:lang w:val="zh-CN" w:eastAsia="zh-CN"/>
        </w:rPr>
        <w:t>。根据评分标准，总分9分，得9分</w:t>
      </w:r>
      <w:r>
        <w:rPr>
          <w:rFonts w:hint="eastAsia" w:ascii="仿宋" w:hAnsi="仿宋" w:eastAsia="仿宋" w:cs="仿宋"/>
          <w:szCs w:val="32"/>
          <w:lang w:eastAsia="zh-CN"/>
        </w:rPr>
        <w:t>。</w:t>
      </w:r>
    </w:p>
    <w:p w14:paraId="31DE8375">
      <w:pPr>
        <w:pStyle w:val="3"/>
        <w:numPr>
          <w:ilvl w:val="0"/>
          <w:numId w:val="3"/>
        </w:numPr>
        <w:spacing w:before="0" w:beforeLines="0" w:after="0" w:afterLines="0"/>
        <w:ind w:left="0" w:firstLine="658" w:firstLineChars="0"/>
        <w:rPr>
          <w:rFonts w:hint="eastAsia" w:ascii="仿宋" w:hAnsi="仿宋" w:eastAsia="仿宋" w:cs="仿宋"/>
          <w:b w:val="0"/>
          <w:kern w:val="44"/>
          <w:szCs w:val="32"/>
          <w:lang w:eastAsia="zh-CN"/>
        </w:rPr>
      </w:pPr>
      <w:bookmarkStart w:id="220" w:name="OLE_LINK5"/>
      <w:bookmarkStart w:id="221" w:name="_Toc24779"/>
      <w:bookmarkStart w:id="222" w:name="_Toc9784"/>
      <w:r>
        <w:rPr>
          <w:rFonts w:hint="eastAsia" w:ascii="仿宋" w:hAnsi="仿宋" w:eastAsia="仿宋" w:cs="仿宋"/>
          <w:b w:val="0"/>
          <w:kern w:val="44"/>
          <w:szCs w:val="32"/>
          <w:lang w:eastAsia="zh-CN"/>
        </w:rPr>
        <w:t>资金使用计划合理性</w:t>
      </w:r>
      <w:bookmarkEnd w:id="220"/>
      <w:r>
        <w:rPr>
          <w:rFonts w:hint="eastAsia" w:ascii="仿宋" w:hAnsi="仿宋" w:eastAsia="仿宋" w:cs="仿宋"/>
          <w:b w:val="0"/>
          <w:kern w:val="44"/>
          <w:szCs w:val="32"/>
          <w:lang w:eastAsia="zh-CN"/>
        </w:rPr>
        <w:t>、资金到位及时性</w:t>
      </w:r>
      <w:bookmarkEnd w:id="221"/>
      <w:bookmarkEnd w:id="222"/>
    </w:p>
    <w:p w14:paraId="439A8F45">
      <w:pPr>
        <w:ind w:firstLine="640"/>
        <w:rPr>
          <w:rFonts w:hint="eastAsia" w:ascii="仿宋" w:hAnsi="仿宋" w:eastAsia="仿宋" w:cs="仿宋"/>
          <w:szCs w:val="32"/>
          <w:lang w:eastAsia="zh-CN"/>
        </w:rPr>
      </w:pPr>
      <w:r>
        <w:rPr>
          <w:rFonts w:hint="eastAsia" w:ascii="仿宋" w:hAnsi="仿宋" w:eastAsia="仿宋" w:cs="仿宋"/>
          <w:color w:val="auto"/>
          <w:lang w:val="zh-CN" w:eastAsia="zh-CN"/>
        </w:rPr>
        <w:t>资金使用计划合理性、资金到位及时性方面，指标总分12分，评估得分9分。具体如下</w:t>
      </w:r>
      <w:r>
        <w:rPr>
          <w:rFonts w:ascii="仿宋" w:hAnsi="仿宋" w:eastAsia="仿宋" w:cs="仿宋"/>
          <w:szCs w:val="32"/>
          <w:lang w:eastAsia="zh-CN"/>
        </w:rPr>
        <w:t>：</w:t>
      </w:r>
    </w:p>
    <w:p w14:paraId="0270AEBB">
      <w:pPr>
        <w:ind w:firstLine="640"/>
        <w:rPr>
          <w:rFonts w:hint="eastAsia" w:ascii="仿宋" w:hAnsi="仿宋" w:eastAsia="仿宋" w:cs="仿宋"/>
          <w:szCs w:val="32"/>
          <w:lang w:eastAsia="zh-CN"/>
        </w:rPr>
      </w:pPr>
      <w:r>
        <w:rPr>
          <w:rFonts w:hint="eastAsia" w:ascii="仿宋" w:hAnsi="仿宋" w:eastAsia="仿宋" w:cs="仿宋"/>
          <w:szCs w:val="32"/>
          <w:lang w:eastAsia="zh-CN"/>
        </w:rPr>
        <w:t>1.资金使用计划合理性</w:t>
      </w:r>
    </w:p>
    <w:p w14:paraId="6F2E9C61">
      <w:pPr>
        <w:ind w:firstLine="640"/>
        <w:rPr>
          <w:rFonts w:hint="eastAsia" w:ascii="仿宋" w:hAnsi="仿宋" w:eastAsia="仿宋" w:cs="仿宋"/>
          <w:color w:val="auto"/>
          <w:lang w:val="zh-CN" w:eastAsia="zh-CN"/>
        </w:rPr>
      </w:pPr>
      <w:r>
        <w:rPr>
          <w:rFonts w:hint="eastAsia" w:ascii="仿宋" w:hAnsi="仿宋" w:eastAsia="仿宋" w:cs="仿宋"/>
          <w:color w:val="auto"/>
          <w:lang w:val="zh-CN" w:eastAsia="zh-CN"/>
        </w:rPr>
        <w:t>区粮储中心提供的《金口河区储备粮油费用补贴预算及明细》仅列示了轮换费用、保管费用的测算金额，未对利息费用进行测算。</w:t>
      </w:r>
    </w:p>
    <w:p w14:paraId="62F5C0D1">
      <w:pPr>
        <w:ind w:firstLine="640"/>
        <w:rPr>
          <w:rFonts w:hint="eastAsia" w:ascii="仿宋" w:hAnsi="仿宋" w:eastAsia="仿宋" w:cs="仿宋"/>
          <w:color w:val="auto"/>
          <w:lang w:val="zh-CN" w:eastAsia="zh-CN"/>
        </w:rPr>
      </w:pPr>
      <w:r>
        <w:rPr>
          <w:rFonts w:hint="eastAsia" w:ascii="仿宋" w:hAnsi="仿宋" w:eastAsia="仿宋" w:cs="仿宋"/>
          <w:color w:val="auto"/>
          <w:lang w:val="zh-CN" w:eastAsia="zh-CN"/>
        </w:rPr>
        <w:t>2023年、2024年本项目收到的财政拨付金额分别为705,755.71元、698,887.04元，区粮储中心选择金额较高</w:t>
      </w:r>
      <w:r>
        <w:rPr>
          <w:rFonts w:hint="eastAsia" w:ascii="仿宋" w:hAnsi="仿宋" w:eastAsia="仿宋" w:cs="仿宋"/>
          <w:color w:val="auto"/>
          <w:lang w:val="en-US" w:eastAsia="zh-CN"/>
        </w:rPr>
        <w:t>的</w:t>
      </w:r>
      <w:r>
        <w:rPr>
          <w:rFonts w:hint="eastAsia" w:ascii="仿宋" w:hAnsi="仿宋" w:eastAsia="仿宋" w:cs="仿宋"/>
          <w:color w:val="auto"/>
          <w:lang w:val="zh-CN" w:eastAsia="zh-CN"/>
        </w:rPr>
        <w:t>2023年70.5</w:t>
      </w:r>
      <w:r>
        <w:rPr>
          <w:rFonts w:hint="eastAsia" w:ascii="仿宋" w:hAnsi="仿宋" w:eastAsia="仿宋" w:cs="仿宋"/>
          <w:color w:val="auto"/>
          <w:lang w:val="en-US" w:eastAsia="zh-CN"/>
        </w:rPr>
        <w:t>0</w:t>
      </w:r>
      <w:r>
        <w:rPr>
          <w:rFonts w:hint="eastAsia" w:ascii="仿宋" w:hAnsi="仿宋" w:eastAsia="仿宋" w:cs="仿宋"/>
          <w:color w:val="auto"/>
          <w:lang w:val="zh-CN" w:eastAsia="zh-CN"/>
        </w:rPr>
        <w:t>万元为本项目2025年资金使用计划金额。</w:t>
      </w:r>
    </w:p>
    <w:p w14:paraId="2D2CA8FC">
      <w:pPr>
        <w:ind w:firstLine="640"/>
        <w:rPr>
          <w:rFonts w:hint="eastAsia" w:ascii="仿宋" w:hAnsi="仿宋" w:eastAsia="仿宋" w:cs="仿宋"/>
          <w:color w:val="auto"/>
          <w:lang w:val="zh-CN" w:eastAsia="zh-CN"/>
        </w:rPr>
      </w:pPr>
      <w:r>
        <w:rPr>
          <w:rFonts w:hint="eastAsia" w:ascii="仿宋" w:hAnsi="仿宋" w:eastAsia="仿宋" w:cs="仿宋"/>
          <w:color w:val="auto"/>
          <w:lang w:val="zh-CN" w:eastAsia="zh-CN"/>
        </w:rPr>
        <w:t>资金使用计划中贷款利息的编制依据不够充分合理，资金拨付计划安排按《乐山市金口河区级储备粮油管理办法》(金发改[2022]109号)规定执行。根据评分标准，总分6分，得3分。</w:t>
      </w:r>
    </w:p>
    <w:p w14:paraId="3DED1BFB">
      <w:pPr>
        <w:ind w:firstLine="640"/>
        <w:rPr>
          <w:rFonts w:hint="eastAsia" w:ascii="仿宋" w:hAnsi="仿宋" w:eastAsia="仿宋" w:cs="仿宋"/>
          <w:szCs w:val="32"/>
          <w:lang w:eastAsia="zh-CN"/>
        </w:rPr>
      </w:pPr>
      <w:r>
        <w:rPr>
          <w:rFonts w:hint="eastAsia" w:ascii="仿宋" w:hAnsi="仿宋" w:eastAsia="仿宋" w:cs="仿宋"/>
          <w:szCs w:val="32"/>
          <w:lang w:eastAsia="zh-CN"/>
        </w:rPr>
        <w:t>2.资金到位及时性</w:t>
      </w:r>
    </w:p>
    <w:p w14:paraId="4FDF3A86">
      <w:pPr>
        <w:ind w:firstLine="640"/>
        <w:rPr>
          <w:rFonts w:hint="eastAsia" w:ascii="仿宋" w:hAnsi="仿宋" w:eastAsia="仿宋" w:cs="仿宋"/>
          <w:color w:val="auto"/>
          <w:lang w:val="zh-CN" w:eastAsia="zh-CN"/>
        </w:rPr>
      </w:pPr>
      <w:r>
        <w:rPr>
          <w:rFonts w:hint="eastAsia" w:ascii="仿宋" w:hAnsi="仿宋" w:eastAsia="仿宋" w:cs="仿宋"/>
          <w:color w:val="auto"/>
          <w:lang w:val="zh-CN" w:eastAsia="zh-CN"/>
        </w:rPr>
        <w:t>项目资金全部为政府资金，总投资估算70.5</w:t>
      </w:r>
      <w:r>
        <w:rPr>
          <w:rFonts w:hint="eastAsia" w:ascii="仿宋" w:hAnsi="仿宋" w:eastAsia="仿宋" w:cs="仿宋"/>
          <w:color w:val="auto"/>
          <w:lang w:val="en-US" w:eastAsia="zh-CN"/>
        </w:rPr>
        <w:t>0</w:t>
      </w:r>
      <w:r>
        <w:rPr>
          <w:rFonts w:hint="eastAsia" w:ascii="仿宋" w:hAnsi="仿宋" w:eastAsia="仿宋" w:cs="仿宋"/>
          <w:color w:val="auto"/>
          <w:lang w:val="zh-CN" w:eastAsia="zh-CN"/>
        </w:rPr>
        <w:t>万元。</w:t>
      </w:r>
    </w:p>
    <w:p w14:paraId="0D4F28B4">
      <w:pPr>
        <w:ind w:firstLine="640"/>
        <w:rPr>
          <w:rFonts w:hint="eastAsia" w:ascii="仿宋" w:hAnsi="仿宋" w:eastAsia="仿宋" w:cs="仿宋"/>
          <w:szCs w:val="32"/>
          <w:lang w:eastAsia="zh-CN"/>
        </w:rPr>
      </w:pPr>
      <w:r>
        <w:rPr>
          <w:rFonts w:hint="eastAsia" w:ascii="仿宋" w:hAnsi="仿宋" w:eastAsia="仿宋" w:cs="仿宋"/>
          <w:color w:val="auto"/>
          <w:lang w:val="zh-CN" w:eastAsia="zh-CN"/>
        </w:rPr>
        <w:t>根据《乐山市金口河区级储备粮油管理办法》(金发改[2022]109号)第三十八条:区级储备粮、油的借款利息按农业发展银行同期农副产品收购贷款利率，由区财政局据实拔付。区级储备粮费用利息的拨付实行按季预发，并在次年第一季度内进行清算。根据区粮储中心提供的</w:t>
      </w:r>
      <w:r>
        <w:rPr>
          <w:rFonts w:hint="eastAsia" w:ascii="仿宋" w:hAnsi="仿宋" w:eastAsia="仿宋" w:cs="仿宋"/>
          <w:color w:val="auto"/>
          <w:lang w:val="en-US" w:eastAsia="zh-CN"/>
        </w:rPr>
        <w:t>2023年、2024年财政拨付资金等</w:t>
      </w:r>
      <w:r>
        <w:rPr>
          <w:rFonts w:hint="eastAsia" w:ascii="仿宋" w:hAnsi="仿宋" w:eastAsia="仿宋" w:cs="仿宋"/>
          <w:color w:val="auto"/>
          <w:lang w:val="zh-CN" w:eastAsia="zh-CN"/>
        </w:rPr>
        <w:t>相关资料显示，资金</w:t>
      </w:r>
      <w:r>
        <w:rPr>
          <w:rFonts w:hint="eastAsia" w:ascii="仿宋" w:hAnsi="仿宋" w:eastAsia="仿宋" w:cs="仿宋"/>
          <w:color w:val="auto"/>
          <w:lang w:val="en-US" w:eastAsia="zh-CN"/>
        </w:rPr>
        <w:t>足额到位且</w:t>
      </w:r>
      <w:r>
        <w:rPr>
          <w:rFonts w:hint="eastAsia" w:ascii="仿宋" w:hAnsi="仿宋" w:eastAsia="仿宋" w:cs="仿宋"/>
          <w:color w:val="auto"/>
          <w:lang w:val="zh-CN" w:eastAsia="zh-CN"/>
        </w:rPr>
        <w:t>到位及时。根据评分标准，总分6分，得6分</w:t>
      </w:r>
      <w:r>
        <w:rPr>
          <w:rFonts w:hint="eastAsia" w:ascii="仿宋" w:hAnsi="仿宋" w:eastAsia="仿宋" w:cs="仿宋"/>
          <w:szCs w:val="32"/>
          <w:lang w:eastAsia="zh-CN"/>
        </w:rPr>
        <w:t>。</w:t>
      </w:r>
    </w:p>
    <w:p w14:paraId="6BF4923B">
      <w:pPr>
        <w:pStyle w:val="3"/>
        <w:numPr>
          <w:ilvl w:val="0"/>
          <w:numId w:val="3"/>
        </w:numPr>
        <w:spacing w:before="0" w:beforeLines="0" w:after="0" w:afterLines="0"/>
        <w:ind w:firstLineChars="0"/>
        <w:rPr>
          <w:rFonts w:hint="eastAsia" w:ascii="仿宋" w:hAnsi="仿宋" w:eastAsia="仿宋" w:cs="仿宋"/>
          <w:b w:val="0"/>
          <w:szCs w:val="32"/>
          <w:lang w:eastAsia="zh-CN"/>
        </w:rPr>
      </w:pPr>
      <w:bookmarkStart w:id="223" w:name="_Toc30218"/>
      <w:bookmarkStart w:id="224" w:name="_Toc23225"/>
      <w:r>
        <w:rPr>
          <w:rFonts w:hint="eastAsia" w:ascii="仿宋" w:hAnsi="仿宋" w:eastAsia="仿宋" w:cs="仿宋"/>
          <w:b w:val="0"/>
          <w:kern w:val="44"/>
          <w:szCs w:val="32"/>
          <w:lang w:eastAsia="zh-CN"/>
        </w:rPr>
        <w:t>项目绩效目标明确性、合理性</w:t>
      </w:r>
      <w:bookmarkEnd w:id="223"/>
      <w:bookmarkEnd w:id="224"/>
    </w:p>
    <w:p w14:paraId="4361F878">
      <w:pPr>
        <w:ind w:firstLine="640"/>
        <w:rPr>
          <w:rFonts w:hint="eastAsia" w:ascii="仿宋" w:hAnsi="仿宋" w:eastAsia="仿宋" w:cs="仿宋"/>
          <w:szCs w:val="32"/>
          <w:lang w:eastAsia="zh-CN"/>
        </w:rPr>
      </w:pPr>
      <w:r>
        <w:rPr>
          <w:rFonts w:hint="eastAsia" w:ascii="仿宋" w:hAnsi="仿宋" w:eastAsia="仿宋" w:cs="仿宋"/>
          <w:color w:val="auto"/>
          <w:lang w:val="en-US" w:eastAsia="zh-CN"/>
        </w:rPr>
        <w:t>项目</w:t>
      </w:r>
      <w:r>
        <w:rPr>
          <w:rFonts w:hint="eastAsia" w:ascii="仿宋" w:hAnsi="仿宋" w:eastAsia="仿宋" w:cs="仿宋"/>
          <w:color w:val="auto"/>
          <w:lang w:val="zh-CN" w:eastAsia="zh-CN"/>
        </w:rPr>
        <w:t>绩效目标</w:t>
      </w:r>
      <w:r>
        <w:rPr>
          <w:rFonts w:hint="eastAsia" w:ascii="仿宋" w:hAnsi="仿宋" w:eastAsia="仿宋" w:cs="仿宋"/>
          <w:color w:val="auto"/>
          <w:lang w:val="en-US" w:eastAsia="zh-CN"/>
        </w:rPr>
        <w:t>明确性、</w:t>
      </w:r>
      <w:r>
        <w:rPr>
          <w:rFonts w:hint="eastAsia" w:ascii="仿宋" w:hAnsi="仿宋" w:eastAsia="仿宋" w:cs="仿宋"/>
          <w:color w:val="auto"/>
          <w:lang w:val="zh-CN" w:eastAsia="zh-CN"/>
        </w:rPr>
        <w:t>合理性</w:t>
      </w:r>
      <w:bookmarkStart w:id="225" w:name="OLE_LINK6"/>
      <w:r>
        <w:rPr>
          <w:rFonts w:hint="eastAsia" w:ascii="仿宋" w:hAnsi="仿宋" w:eastAsia="仿宋" w:cs="仿宋"/>
          <w:color w:val="auto"/>
          <w:lang w:val="zh-CN" w:eastAsia="zh-CN"/>
        </w:rPr>
        <w:t>方面，指标总分13分，评估得分13分。具体如下</w:t>
      </w:r>
      <w:r>
        <w:rPr>
          <w:rFonts w:hint="eastAsia" w:ascii="仿宋" w:hAnsi="仿宋" w:eastAsia="仿宋" w:cs="仿宋"/>
          <w:szCs w:val="32"/>
          <w:lang w:eastAsia="zh-CN"/>
        </w:rPr>
        <w:t>：</w:t>
      </w:r>
      <w:bookmarkEnd w:id="225"/>
    </w:p>
    <w:p w14:paraId="4527CFAB">
      <w:pPr>
        <w:ind w:firstLine="640"/>
        <w:rPr>
          <w:rFonts w:hint="eastAsia" w:ascii="仿宋" w:hAnsi="仿宋" w:eastAsia="仿宋" w:cs="仿宋"/>
          <w:szCs w:val="32"/>
          <w:lang w:eastAsia="zh-CN"/>
        </w:rPr>
      </w:pPr>
      <w:r>
        <w:rPr>
          <w:rFonts w:hint="eastAsia" w:ascii="仿宋" w:hAnsi="仿宋" w:eastAsia="仿宋" w:cs="仿宋"/>
          <w:szCs w:val="32"/>
          <w:lang w:eastAsia="zh-CN"/>
        </w:rPr>
        <w:t>1.绩效目标明确性</w:t>
      </w:r>
    </w:p>
    <w:p w14:paraId="058FCE36">
      <w:pPr>
        <w:ind w:firstLine="640"/>
        <w:rPr>
          <w:rFonts w:hint="eastAsia" w:ascii="仿宋" w:hAnsi="仿宋" w:eastAsia="仿宋" w:cs="仿宋"/>
          <w:color w:val="auto"/>
          <w:lang w:val="zh-CN" w:eastAsia="zh-CN"/>
        </w:rPr>
      </w:pPr>
      <w:r>
        <w:rPr>
          <w:rFonts w:hint="eastAsia" w:ascii="仿宋" w:hAnsi="仿宋" w:eastAsia="仿宋" w:cs="仿宋"/>
          <w:color w:val="auto"/>
          <w:lang w:val="zh-CN" w:eastAsia="zh-CN"/>
        </w:rPr>
        <w:t>本次事前绩效评估根据《</w:t>
      </w:r>
      <w:r>
        <w:rPr>
          <w:rFonts w:hint="eastAsia" w:ascii="仿宋" w:hAnsi="仿宋" w:eastAsia="仿宋" w:cs="仿宋"/>
          <w:color w:val="auto"/>
          <w:lang w:val="zh-CN" w:eastAsia="zh-CN"/>
        </w:rPr>
        <w:fldChar w:fldCharType="begin"/>
      </w:r>
      <w:r>
        <w:rPr>
          <w:rFonts w:hint="eastAsia" w:ascii="仿宋" w:hAnsi="仿宋" w:eastAsia="仿宋" w:cs="仿宋"/>
          <w:color w:val="auto"/>
          <w:lang w:val="zh-CN" w:eastAsia="zh-CN"/>
        </w:rPr>
        <w:instrText xml:space="preserve"> HYPERLINK "https://www.chinawestagr.com/UpFile/ckeditor/tjcwc/2018/11/files/%E5%9B%9B%E5%B7%9D%E7%9C%81%E7%9C%81%E7%BA%A7%E9%A2%84%E7%AE%97%E4%BA%8B%E5%89%8D%E7%BB%A9%E6%95%88%E8%AF%84%E4%BC%B0%E7%AE%A1%E7%90%86%E6%9A%82%E8%A1%8C%E5%8A%9E%E6%B3%95.pdf" </w:instrText>
      </w:r>
      <w:r>
        <w:rPr>
          <w:rFonts w:hint="eastAsia" w:ascii="仿宋" w:hAnsi="仿宋" w:eastAsia="仿宋" w:cs="仿宋"/>
          <w:color w:val="auto"/>
          <w:lang w:val="zh-CN" w:eastAsia="zh-CN"/>
        </w:rPr>
        <w:fldChar w:fldCharType="separate"/>
      </w:r>
      <w:r>
        <w:rPr>
          <w:rFonts w:hint="eastAsia" w:ascii="仿宋" w:hAnsi="仿宋" w:eastAsia="仿宋" w:cs="仿宋"/>
          <w:color w:val="auto"/>
          <w:lang w:val="zh-CN" w:eastAsia="zh-CN"/>
        </w:rPr>
        <w:t>四川省财政厅关于印发&lt;四川省预算评审管理实施细则（试行）&gt;的通知》（川财预〔2024〕38号）</w:t>
      </w:r>
      <w:r>
        <w:rPr>
          <w:rFonts w:hint="eastAsia" w:ascii="仿宋" w:hAnsi="仿宋" w:eastAsia="仿宋" w:cs="仿宋"/>
          <w:color w:val="auto"/>
          <w:lang w:val="zh-CN" w:eastAsia="zh-CN"/>
        </w:rPr>
        <w:fldChar w:fldCharType="end"/>
      </w:r>
      <w:r>
        <w:rPr>
          <w:rFonts w:hint="eastAsia" w:ascii="仿宋" w:hAnsi="仿宋" w:eastAsia="仿宋" w:cs="仿宋"/>
          <w:color w:val="auto"/>
          <w:lang w:val="zh-CN" w:eastAsia="zh-CN"/>
        </w:rPr>
        <w:t>进行，按照事前评估应当遵守的基本内容设计本项目个性评价指标，确保绩效目标可评、可量、可用于指导项目实施阶段绩效评价。</w:t>
      </w:r>
    </w:p>
    <w:p w14:paraId="3C6C102D">
      <w:pPr>
        <w:ind w:firstLine="640"/>
        <w:rPr>
          <w:rFonts w:hint="eastAsia" w:ascii="仿宋" w:hAnsi="仿宋" w:eastAsia="仿宋" w:cs="仿宋"/>
          <w:szCs w:val="32"/>
          <w:lang w:eastAsia="zh-CN"/>
        </w:rPr>
      </w:pPr>
      <w:r>
        <w:rPr>
          <w:rFonts w:hint="eastAsia" w:ascii="仿宋" w:hAnsi="仿宋" w:eastAsia="仿宋" w:cs="仿宋"/>
          <w:color w:val="auto"/>
          <w:lang w:val="zh-CN" w:eastAsia="zh-CN"/>
        </w:rPr>
        <w:t>该项目绩效目标设定明确，与年度工作目标一致，并且绩效目标的编制内容符合《项目支出绩效评价管理办法》（财预〔2020〕10号）政策规定，与项目内容高度相关。根据评分标准，总分7分，得7分</w:t>
      </w:r>
      <w:r>
        <w:rPr>
          <w:rFonts w:hint="eastAsia" w:ascii="仿宋" w:hAnsi="仿宋" w:eastAsia="仿宋" w:cs="仿宋"/>
          <w:szCs w:val="32"/>
          <w:lang w:eastAsia="zh-CN"/>
        </w:rPr>
        <w:t>。</w:t>
      </w:r>
    </w:p>
    <w:p w14:paraId="023FA81A">
      <w:pPr>
        <w:ind w:firstLine="640"/>
        <w:rPr>
          <w:rFonts w:hint="eastAsia" w:ascii="仿宋" w:hAnsi="仿宋" w:eastAsia="仿宋" w:cs="仿宋"/>
          <w:szCs w:val="32"/>
          <w:lang w:eastAsia="zh-CN"/>
        </w:rPr>
      </w:pPr>
      <w:r>
        <w:rPr>
          <w:rFonts w:hint="eastAsia" w:ascii="仿宋" w:hAnsi="仿宋" w:eastAsia="仿宋" w:cs="仿宋"/>
          <w:szCs w:val="32"/>
          <w:lang w:eastAsia="zh-CN"/>
        </w:rPr>
        <w:t>2.目标合理性</w:t>
      </w:r>
    </w:p>
    <w:p w14:paraId="60A10B06">
      <w:pPr>
        <w:ind w:firstLine="640"/>
        <w:rPr>
          <w:rFonts w:hint="eastAsia" w:ascii="仿宋" w:hAnsi="仿宋" w:eastAsia="仿宋" w:cs="仿宋"/>
          <w:color w:val="auto"/>
          <w:lang w:val="zh-CN" w:eastAsia="zh-CN"/>
        </w:rPr>
      </w:pPr>
      <w:r>
        <w:rPr>
          <w:rFonts w:hint="eastAsia" w:ascii="仿宋" w:hAnsi="仿宋" w:eastAsia="仿宋" w:cs="仿宋"/>
          <w:color w:val="auto"/>
          <w:lang w:val="zh-CN" w:eastAsia="zh-CN"/>
        </w:rPr>
        <w:t>根据《</w:t>
      </w:r>
      <w:r>
        <w:rPr>
          <w:rFonts w:hint="eastAsia" w:ascii="仿宋" w:hAnsi="仿宋" w:eastAsia="仿宋" w:cs="仿宋"/>
          <w:color w:val="auto"/>
          <w:lang w:val="zh-CN" w:eastAsia="zh-CN"/>
        </w:rPr>
        <w:fldChar w:fldCharType="begin"/>
      </w:r>
      <w:r>
        <w:rPr>
          <w:rFonts w:hint="eastAsia" w:ascii="仿宋" w:hAnsi="仿宋" w:eastAsia="仿宋" w:cs="仿宋"/>
          <w:color w:val="auto"/>
          <w:lang w:val="zh-CN" w:eastAsia="zh-CN"/>
        </w:rPr>
        <w:instrText xml:space="preserve"> HYPERLINK "https://www.chinawestagr.com/UpFile/ckeditor/tjcwc/2018/11/files/%E5%9B%9B%E5%B7%9D%E7%9C%81%E7%9C%81%E7%BA%A7%E9%A2%84%E7%AE%97%E4%BA%8B%E5%89%8D%E7%BB%A9%E6%95%88%E8%AF%84%E4%BC%B0%E7%AE%A1%E7%90%86%E6%9A%82%E8%A1%8C%E5%8A%9E%E6%B3%95.pdf" </w:instrText>
      </w:r>
      <w:r>
        <w:rPr>
          <w:rFonts w:hint="eastAsia" w:ascii="仿宋" w:hAnsi="仿宋" w:eastAsia="仿宋" w:cs="仿宋"/>
          <w:color w:val="auto"/>
          <w:lang w:val="zh-CN" w:eastAsia="zh-CN"/>
        </w:rPr>
        <w:fldChar w:fldCharType="separate"/>
      </w:r>
      <w:r>
        <w:rPr>
          <w:rFonts w:hint="eastAsia" w:ascii="仿宋" w:hAnsi="仿宋" w:eastAsia="仿宋" w:cs="仿宋"/>
          <w:color w:val="auto"/>
          <w:lang w:val="zh-CN" w:eastAsia="zh-CN"/>
        </w:rPr>
        <w:t>四川省财政厅关于印发&lt;四川省预算评审管理实施细则（试行）&gt;的通知》（川财预〔2024〕38号）</w:t>
      </w:r>
      <w:r>
        <w:rPr>
          <w:rFonts w:hint="eastAsia" w:ascii="仿宋" w:hAnsi="仿宋" w:eastAsia="仿宋" w:cs="仿宋"/>
          <w:color w:val="auto"/>
          <w:lang w:val="zh-CN" w:eastAsia="zh-CN"/>
        </w:rPr>
        <w:fldChar w:fldCharType="end"/>
      </w:r>
      <w:r>
        <w:rPr>
          <w:rFonts w:hint="eastAsia" w:ascii="仿宋" w:hAnsi="仿宋" w:eastAsia="仿宋" w:cs="仿宋"/>
          <w:color w:val="auto"/>
          <w:lang w:val="zh-CN" w:eastAsia="zh-CN"/>
        </w:rPr>
        <w:t>，本项目绩效目标重点反映了储备粮油费用补贴的产出数量、质量、时效、成本，还包括满意度绩效指标。</w:t>
      </w:r>
    </w:p>
    <w:p w14:paraId="583C90D2">
      <w:pPr>
        <w:ind w:firstLine="640"/>
        <w:rPr>
          <w:rFonts w:hint="eastAsia" w:ascii="仿宋" w:hAnsi="仿宋" w:eastAsia="仿宋" w:cs="仿宋"/>
          <w:color w:val="auto"/>
          <w:lang w:val="zh-CN" w:eastAsia="zh-CN"/>
        </w:rPr>
      </w:pPr>
      <w:r>
        <w:rPr>
          <w:rFonts w:hint="eastAsia" w:ascii="仿宋" w:hAnsi="仿宋" w:eastAsia="仿宋" w:cs="仿宋"/>
          <w:color w:val="auto"/>
          <w:lang w:val="zh-CN" w:eastAsia="zh-CN"/>
        </w:rPr>
        <w:t>通过项目的实施，可在自然灾害、市场波动等特殊时期保障区域内粮油的稳定供应，避免出现供应短缺和价格大幅波动，确保居民基本生活需求得到满足。可在疫情防控、地震等紧急情况下，储备粮油可迅速投放市场，维持社会稳定。政府可通过投放或收购储备粮油来调节市场供求，稳定粮油价格，保护消费者和农民的利益。有助于稳定市场参与者的预期，避免因恐慌性抢购或抛售导致市场秩序混乱。有助于稳定当地粮油市场价格，保障农民收入，从而激励农民种粮积极性，促进区域内农业生产的稳定发展，推动农业产业结构优化升级。</w:t>
      </w:r>
    </w:p>
    <w:p w14:paraId="3844EF28">
      <w:pPr>
        <w:ind w:firstLine="640"/>
        <w:rPr>
          <w:rFonts w:hint="eastAsia" w:ascii="仿宋" w:hAnsi="仿宋" w:eastAsia="仿宋" w:cs="仿宋"/>
          <w:szCs w:val="32"/>
          <w:lang w:eastAsia="zh-CN"/>
        </w:rPr>
      </w:pPr>
      <w:r>
        <w:rPr>
          <w:rFonts w:hint="eastAsia" w:ascii="仿宋" w:hAnsi="仿宋" w:eastAsia="仿宋" w:cs="仿宋"/>
          <w:color w:val="auto"/>
          <w:lang w:val="zh-CN" w:eastAsia="zh-CN"/>
        </w:rPr>
        <w:t>因此，本项目的绩效目标合理，指标细化、量化、合理可考核且与申报预算的资金量相匹配。根据评分标准，总分6分，得6分</w:t>
      </w:r>
      <w:r>
        <w:rPr>
          <w:rFonts w:hint="eastAsia" w:ascii="仿宋" w:hAnsi="仿宋" w:eastAsia="仿宋" w:cs="仿宋"/>
          <w:szCs w:val="32"/>
          <w:lang w:eastAsia="zh-CN"/>
        </w:rPr>
        <w:t>。</w:t>
      </w:r>
    </w:p>
    <w:p w14:paraId="61ED424B">
      <w:pPr>
        <w:pStyle w:val="3"/>
        <w:numPr>
          <w:ilvl w:val="0"/>
          <w:numId w:val="3"/>
        </w:numPr>
        <w:spacing w:before="0" w:beforeLines="0" w:after="0" w:afterLines="0"/>
        <w:ind w:firstLineChars="0"/>
        <w:rPr>
          <w:rFonts w:hint="eastAsia" w:ascii="仿宋" w:hAnsi="仿宋" w:eastAsia="仿宋" w:cs="仿宋"/>
          <w:b w:val="0"/>
          <w:kern w:val="44"/>
          <w:szCs w:val="32"/>
          <w:lang w:eastAsia="zh-CN"/>
        </w:rPr>
      </w:pPr>
      <w:bookmarkStart w:id="226" w:name="_Toc29858"/>
      <w:bookmarkStart w:id="227" w:name="_Toc22418"/>
      <w:r>
        <w:rPr>
          <w:rFonts w:ascii="仿宋" w:hAnsi="仿宋" w:eastAsia="仿宋" w:cs="仿宋"/>
          <w:b w:val="0"/>
          <w:kern w:val="44"/>
          <w:szCs w:val="32"/>
          <w:lang w:eastAsia="zh-CN"/>
        </w:rPr>
        <w:t>项目</w:t>
      </w:r>
      <w:r>
        <w:rPr>
          <w:rFonts w:hint="eastAsia" w:ascii="仿宋" w:hAnsi="仿宋" w:eastAsia="仿宋" w:cs="仿宋"/>
          <w:b w:val="0"/>
          <w:kern w:val="44"/>
          <w:szCs w:val="32"/>
          <w:lang w:eastAsia="zh-CN"/>
        </w:rPr>
        <w:t>管理办法执行</w:t>
      </w:r>
      <w:r>
        <w:rPr>
          <w:rFonts w:ascii="仿宋" w:hAnsi="仿宋" w:eastAsia="仿宋" w:cs="仿宋"/>
          <w:b w:val="0"/>
          <w:kern w:val="44"/>
          <w:szCs w:val="32"/>
          <w:lang w:eastAsia="zh-CN"/>
        </w:rPr>
        <w:t>的有效性</w:t>
      </w:r>
      <w:bookmarkEnd w:id="226"/>
      <w:bookmarkEnd w:id="227"/>
    </w:p>
    <w:p w14:paraId="11587033">
      <w:pPr>
        <w:ind w:firstLine="640"/>
        <w:rPr>
          <w:rFonts w:hint="eastAsia" w:ascii="仿宋" w:hAnsi="仿宋" w:eastAsia="仿宋" w:cs="仿宋"/>
          <w:color w:val="auto"/>
          <w:lang w:val="zh-CN" w:eastAsia="zh-CN"/>
        </w:rPr>
      </w:pPr>
      <w:r>
        <w:rPr>
          <w:rFonts w:hint="eastAsia" w:ascii="仿宋" w:hAnsi="仿宋" w:eastAsia="仿宋" w:cs="仿宋"/>
          <w:color w:val="auto"/>
          <w:lang w:val="zh-CN" w:eastAsia="zh-CN"/>
        </w:rPr>
        <w:t>项目管理办法执行的有效性方面，指标总分8分，评估得分8分。具体如下：</w:t>
      </w:r>
    </w:p>
    <w:p w14:paraId="74AD1A03">
      <w:pPr>
        <w:ind w:firstLine="640"/>
        <w:rPr>
          <w:rFonts w:hint="eastAsia" w:ascii="仿宋" w:hAnsi="仿宋" w:eastAsia="仿宋" w:cs="仿宋"/>
          <w:color w:val="auto"/>
          <w:lang w:val="zh-CN" w:eastAsia="zh-CN"/>
        </w:rPr>
      </w:pPr>
      <w:r>
        <w:rPr>
          <w:rFonts w:hint="eastAsia" w:ascii="仿宋" w:hAnsi="仿宋" w:eastAsia="仿宋" w:cs="仿宋"/>
          <w:color w:val="auto"/>
          <w:lang w:val="zh-CN" w:eastAsia="zh-CN"/>
        </w:rPr>
        <w:t>《乐山市金口河区区级储备粮管理办法》</w:t>
      </w:r>
      <w:r>
        <w:rPr>
          <w:rFonts w:hint="eastAsia" w:ascii="仿宋" w:hAnsi="仿宋" w:eastAsia="仿宋" w:cs="仿宋"/>
          <w:color w:val="auto"/>
          <w:lang w:val="en-US" w:eastAsia="zh-CN"/>
        </w:rPr>
        <w:t>经</w:t>
      </w:r>
      <w:r>
        <w:rPr>
          <w:rFonts w:hint="eastAsia" w:ascii="仿宋" w:hAnsi="仿宋" w:eastAsia="仿宋" w:cs="仿宋"/>
          <w:color w:val="auto"/>
          <w:lang w:val="zh-CN" w:eastAsia="zh-CN"/>
        </w:rPr>
        <w:t>区发展改革局、区财政局、区粮储中心、峨眉农发行</w:t>
      </w:r>
      <w:r>
        <w:rPr>
          <w:rFonts w:hint="eastAsia" w:ascii="仿宋" w:hAnsi="仿宋" w:eastAsia="仿宋" w:cs="仿宋"/>
          <w:color w:val="auto"/>
          <w:lang w:val="en-US" w:eastAsia="zh-CN"/>
        </w:rPr>
        <w:t>共同印发。该办法</w:t>
      </w:r>
      <w:r>
        <w:rPr>
          <w:rFonts w:hint="eastAsia" w:ascii="仿宋" w:hAnsi="仿宋" w:eastAsia="仿宋" w:cs="仿宋"/>
          <w:color w:val="auto"/>
          <w:lang w:val="zh-CN" w:eastAsia="zh-CN"/>
        </w:rPr>
        <w:t>对地方粮食储备的计划、储存、轮换、动用、监督管理等活动进行了全面规范，明确了地方粮食储备管理各方主体责任，健全了地方政府粮食储备管理体系，严格了地方政府粮食储备动用程序，加强了地方粮食储备监督管理力度，对于保障区域粮食安全具有重要意义。</w:t>
      </w:r>
    </w:p>
    <w:p w14:paraId="4D6919AF">
      <w:pPr>
        <w:ind w:firstLine="640"/>
        <w:rPr>
          <w:rFonts w:hint="eastAsia" w:ascii="仿宋" w:hAnsi="仿宋" w:eastAsia="仿宋" w:cs="仿宋"/>
          <w:szCs w:val="32"/>
          <w:lang w:eastAsia="zh-CN"/>
        </w:rPr>
      </w:pPr>
      <w:r>
        <w:rPr>
          <w:rFonts w:hint="eastAsia" w:ascii="仿宋" w:hAnsi="仿宋" w:eastAsia="仿宋" w:cs="仿宋"/>
          <w:color w:val="auto"/>
          <w:lang w:val="zh-CN" w:eastAsia="zh-CN"/>
        </w:rPr>
        <w:t>在项目实施过程中，区粮储中心严格按照《乐山市金口河区区级储备粮管理办法》对轮换粮油进行</w:t>
      </w:r>
      <w:r>
        <w:rPr>
          <w:rFonts w:hint="eastAsia" w:ascii="仿宋" w:hAnsi="仿宋" w:eastAsia="仿宋" w:cs="仿宋"/>
          <w:color w:val="auto"/>
          <w:lang w:val="en-US" w:eastAsia="zh-CN"/>
        </w:rPr>
        <w:t>存储、</w:t>
      </w:r>
      <w:r>
        <w:rPr>
          <w:rFonts w:hint="eastAsia" w:ascii="仿宋" w:hAnsi="仿宋" w:eastAsia="仿宋" w:cs="仿宋"/>
          <w:color w:val="auto"/>
          <w:lang w:val="zh-CN" w:eastAsia="zh-CN"/>
        </w:rPr>
        <w:t>管理、监督和轮换，在项目实施过程中执行到位。根据评分标准，总分8分，得8分</w:t>
      </w:r>
      <w:r>
        <w:rPr>
          <w:rFonts w:hint="eastAsia" w:ascii="仿宋" w:hAnsi="仿宋" w:eastAsia="仿宋" w:cs="仿宋"/>
          <w:szCs w:val="32"/>
          <w:lang w:eastAsia="zh-CN"/>
        </w:rPr>
        <w:t>。</w:t>
      </w:r>
    </w:p>
    <w:p w14:paraId="5BCFAB46">
      <w:pPr>
        <w:pStyle w:val="3"/>
        <w:numPr>
          <w:ilvl w:val="0"/>
          <w:numId w:val="3"/>
        </w:numPr>
        <w:spacing w:before="0" w:beforeLines="0" w:after="0" w:afterLines="0"/>
        <w:ind w:firstLineChars="0"/>
        <w:rPr>
          <w:rFonts w:hint="eastAsia" w:ascii="仿宋" w:hAnsi="仿宋" w:eastAsia="仿宋" w:cs="仿宋"/>
          <w:b w:val="0"/>
          <w:kern w:val="44"/>
          <w:szCs w:val="32"/>
          <w:lang w:eastAsia="zh-CN"/>
        </w:rPr>
      </w:pPr>
      <w:bookmarkStart w:id="228" w:name="_Toc22324"/>
      <w:bookmarkStart w:id="229" w:name="_Toc17849"/>
      <w:r>
        <w:rPr>
          <w:rFonts w:ascii="仿宋" w:hAnsi="仿宋" w:eastAsia="仿宋" w:cs="仿宋"/>
          <w:b w:val="0"/>
          <w:kern w:val="44"/>
          <w:szCs w:val="32"/>
          <w:lang w:eastAsia="zh-CN"/>
        </w:rPr>
        <w:t>项目</w:t>
      </w:r>
      <w:r>
        <w:rPr>
          <w:rFonts w:hint="eastAsia" w:ascii="仿宋" w:hAnsi="仿宋" w:eastAsia="仿宋" w:cs="仿宋"/>
          <w:b w:val="0"/>
          <w:kern w:val="44"/>
          <w:szCs w:val="32"/>
          <w:lang w:eastAsia="zh-CN"/>
        </w:rPr>
        <w:t>实施成果合格性</w:t>
      </w:r>
      <w:bookmarkEnd w:id="228"/>
      <w:bookmarkEnd w:id="229"/>
    </w:p>
    <w:p w14:paraId="51748241">
      <w:pPr>
        <w:ind w:firstLine="640"/>
        <w:rPr>
          <w:rFonts w:hint="eastAsia" w:ascii="仿宋" w:hAnsi="仿宋" w:eastAsia="仿宋" w:cs="仿宋"/>
          <w:szCs w:val="32"/>
          <w:lang w:eastAsia="zh-CN"/>
        </w:rPr>
      </w:pPr>
      <w:r>
        <w:rPr>
          <w:rFonts w:hint="eastAsia" w:ascii="仿宋" w:hAnsi="仿宋" w:eastAsia="仿宋" w:cs="仿宋"/>
          <w:color w:val="auto"/>
          <w:lang w:val="zh-CN" w:eastAsia="zh-CN"/>
        </w:rPr>
        <w:t>项目实施成果合格情况方面，指标总分</w:t>
      </w:r>
      <w:r>
        <w:rPr>
          <w:rFonts w:hint="eastAsia" w:ascii="仿宋" w:hAnsi="仿宋" w:eastAsia="仿宋" w:cs="仿宋"/>
          <w:color w:val="auto"/>
          <w:lang w:val="en-US" w:eastAsia="zh-CN"/>
        </w:rPr>
        <w:t>12</w:t>
      </w:r>
      <w:r>
        <w:rPr>
          <w:rFonts w:hint="eastAsia" w:ascii="仿宋" w:hAnsi="仿宋" w:eastAsia="仿宋" w:cs="仿宋"/>
          <w:color w:val="auto"/>
          <w:lang w:val="zh-CN" w:eastAsia="zh-CN"/>
        </w:rPr>
        <w:t>分，评估得分</w:t>
      </w:r>
      <w:r>
        <w:rPr>
          <w:rFonts w:hint="eastAsia" w:ascii="仿宋" w:hAnsi="仿宋" w:eastAsia="仿宋" w:cs="仿宋"/>
          <w:color w:val="auto"/>
          <w:lang w:val="en-US" w:eastAsia="zh-CN"/>
        </w:rPr>
        <w:t>12</w:t>
      </w:r>
      <w:r>
        <w:rPr>
          <w:rFonts w:hint="eastAsia" w:ascii="仿宋" w:hAnsi="仿宋" w:eastAsia="仿宋" w:cs="仿宋"/>
          <w:color w:val="auto"/>
          <w:lang w:val="zh-CN" w:eastAsia="zh-CN"/>
        </w:rPr>
        <w:t>分。具体如下</w:t>
      </w:r>
      <w:r>
        <w:rPr>
          <w:rFonts w:hint="eastAsia" w:ascii="仿宋" w:hAnsi="仿宋" w:eastAsia="仿宋" w:cs="仿宋"/>
          <w:szCs w:val="32"/>
          <w:lang w:eastAsia="zh-CN"/>
        </w:rPr>
        <w:t>：</w:t>
      </w:r>
    </w:p>
    <w:p w14:paraId="03FCE2CB">
      <w:pPr>
        <w:ind w:firstLine="640"/>
        <w:rPr>
          <w:rFonts w:hint="eastAsia" w:ascii="仿宋" w:hAnsi="仿宋" w:eastAsia="仿宋" w:cs="仿宋"/>
          <w:szCs w:val="32"/>
          <w:lang w:eastAsia="zh-CN"/>
        </w:rPr>
      </w:pPr>
      <w:r>
        <w:rPr>
          <w:rFonts w:hint="eastAsia" w:ascii="仿宋" w:hAnsi="仿宋" w:eastAsia="仿宋" w:cs="仿宋"/>
          <w:szCs w:val="32"/>
          <w:lang w:eastAsia="zh-CN"/>
        </w:rPr>
        <w:t>1.服务数量合格性</w:t>
      </w:r>
    </w:p>
    <w:p w14:paraId="69395539">
      <w:pPr>
        <w:ind w:firstLine="640"/>
        <w:rPr>
          <w:rFonts w:hint="eastAsia" w:ascii="仿宋" w:hAnsi="仿宋" w:eastAsia="仿宋" w:cs="仿宋"/>
          <w:szCs w:val="32"/>
          <w:lang w:eastAsia="zh-CN"/>
        </w:rPr>
      </w:pPr>
      <w:r>
        <w:rPr>
          <w:rFonts w:hint="eastAsia" w:ascii="仿宋" w:hAnsi="仿宋" w:eastAsia="仿宋" w:cs="仿宋"/>
          <w:color w:val="auto"/>
          <w:lang w:val="zh-CN" w:eastAsia="zh-CN"/>
        </w:rPr>
        <w:t>经《乐山市金口河区人民政府关于2012年度新增1000吨区级储备粮食的请示的批复》文件同意，2012年度新增1000吨区级储备粮食，使全区地方储备粮规模达到2000吨。</w:t>
      </w:r>
      <w:r>
        <w:rPr>
          <w:rFonts w:hint="eastAsia" w:ascii="仿宋" w:hAnsi="仿宋" w:eastAsia="仿宋" w:cs="仿宋"/>
          <w:color w:val="auto"/>
          <w:highlight w:val="none"/>
          <w:lang w:val="en-US" w:eastAsia="zh-CN"/>
        </w:rPr>
        <w:t>截止2024年底</w:t>
      </w:r>
      <w:r>
        <w:rPr>
          <w:rFonts w:hint="eastAsia" w:ascii="仿宋" w:hAnsi="仿宋" w:eastAsia="仿宋" w:cs="仿宋"/>
          <w:color w:val="auto"/>
          <w:highlight w:val="none"/>
          <w:lang w:val="zh-CN" w:eastAsia="zh-CN"/>
        </w:rPr>
        <w:t>区粮储中心仓库存</w:t>
      </w:r>
      <w:r>
        <w:rPr>
          <w:rFonts w:hint="eastAsia" w:ascii="仿宋" w:hAnsi="仿宋" w:eastAsia="仿宋" w:cs="仿宋"/>
          <w:color w:val="auto"/>
          <w:highlight w:val="none"/>
          <w:lang w:val="en-US" w:eastAsia="zh-CN"/>
        </w:rPr>
        <w:t>储</w:t>
      </w:r>
      <w:r>
        <w:rPr>
          <w:rFonts w:hint="eastAsia" w:ascii="仿宋" w:hAnsi="仿宋" w:eastAsia="仿宋" w:cs="仿宋"/>
          <w:color w:val="auto"/>
          <w:highlight w:val="none"/>
          <w:lang w:val="zh-CN" w:eastAsia="zh-CN"/>
        </w:rPr>
        <w:t>粮食2000吨、菜籽油10吨，已完成既定储备数量。</w:t>
      </w:r>
      <w:r>
        <w:rPr>
          <w:rFonts w:hint="eastAsia" w:ascii="仿宋" w:hAnsi="仿宋" w:eastAsia="仿宋" w:cs="仿宋"/>
          <w:color w:val="auto"/>
          <w:lang w:val="zh-CN" w:eastAsia="zh-CN"/>
        </w:rPr>
        <w:t>在保管、轮换过程中，严格按照《乐山市金口河区区级储备粮管理办法》执行。保管、轮换数量与实际数</w:t>
      </w:r>
      <w:r>
        <w:rPr>
          <w:rFonts w:hint="eastAsia" w:ascii="仿宋" w:hAnsi="仿宋" w:eastAsia="仿宋" w:cs="仿宋"/>
          <w:color w:val="auto"/>
          <w:lang w:val="en-US" w:eastAsia="zh-CN"/>
        </w:rPr>
        <w:t>量、批复数量</w:t>
      </w:r>
      <w:r>
        <w:rPr>
          <w:rFonts w:hint="eastAsia" w:ascii="仿宋" w:hAnsi="仿宋" w:eastAsia="仿宋" w:cs="仿宋"/>
          <w:color w:val="auto"/>
          <w:lang w:val="zh-CN" w:eastAsia="zh-CN"/>
        </w:rPr>
        <w:t>相符。</w:t>
      </w:r>
      <w:bookmarkStart w:id="230" w:name="OLE_LINK8"/>
      <w:r>
        <w:rPr>
          <w:rFonts w:hint="eastAsia" w:ascii="仿宋" w:hAnsi="仿宋" w:eastAsia="仿宋" w:cs="仿宋"/>
          <w:color w:val="auto"/>
          <w:lang w:val="zh-CN" w:eastAsia="zh-CN"/>
        </w:rPr>
        <w:t>根据评分标准，总分3分，得3分</w:t>
      </w:r>
      <w:r>
        <w:rPr>
          <w:rFonts w:hint="eastAsia" w:ascii="仿宋" w:hAnsi="仿宋" w:eastAsia="仿宋" w:cs="仿宋"/>
          <w:szCs w:val="32"/>
          <w:lang w:eastAsia="zh-CN"/>
        </w:rPr>
        <w:t>。</w:t>
      </w:r>
      <w:bookmarkEnd w:id="230"/>
    </w:p>
    <w:p w14:paraId="27641721">
      <w:pPr>
        <w:ind w:firstLine="640"/>
        <w:rPr>
          <w:rFonts w:hint="eastAsia" w:ascii="仿宋" w:hAnsi="仿宋" w:eastAsia="仿宋" w:cs="仿宋"/>
          <w:szCs w:val="32"/>
          <w:lang w:eastAsia="zh-CN"/>
        </w:rPr>
      </w:pPr>
      <w:r>
        <w:rPr>
          <w:rFonts w:hint="eastAsia" w:ascii="仿宋" w:hAnsi="仿宋" w:eastAsia="仿宋" w:cs="仿宋"/>
          <w:szCs w:val="32"/>
          <w:lang w:eastAsia="zh-CN"/>
        </w:rPr>
        <w:t>2.服务质量合格性</w:t>
      </w:r>
    </w:p>
    <w:p w14:paraId="7D47B1F9">
      <w:pPr>
        <w:ind w:firstLine="640"/>
        <w:rPr>
          <w:rFonts w:hint="eastAsia" w:ascii="仿宋" w:hAnsi="仿宋" w:eastAsia="仿宋" w:cs="仿宋"/>
          <w:color w:val="auto"/>
          <w:lang w:val="zh-CN" w:eastAsia="zh-CN"/>
        </w:rPr>
      </w:pPr>
      <w:r>
        <w:rPr>
          <w:rFonts w:hint="eastAsia" w:ascii="仿宋" w:hAnsi="仿宋" w:eastAsia="仿宋" w:cs="仿宋"/>
          <w:color w:val="auto"/>
          <w:lang w:val="zh-CN" w:eastAsia="zh-CN"/>
        </w:rPr>
        <w:t>区粮储中心按照《乐山市金口河区区级储备粮管理办法》第二十一条承储企业入库的区级储备粮，应当是最近粮食生产季生产的新粮。原粮须符合国家标准三级及以上，菜籽油须符合国家标准二级及以上，大米须符合国家标准二级及以上，采购的成品粮油原则上应为签订采购合同后30天内加工的产品，各项常规质量指标及包装标签标识符合国家标准要求，符合食品卫生安全标准。第二十二条区级储备粮入库前需进行空仓(罐)容验收入库后需进行数量、质量验收，验收均合格后方可确认为区级储备粮。</w:t>
      </w:r>
    </w:p>
    <w:p w14:paraId="7F3C481C">
      <w:pPr>
        <w:ind w:firstLine="640"/>
        <w:rPr>
          <w:rFonts w:hint="eastAsia" w:ascii="仿宋" w:hAnsi="仿宋" w:eastAsia="仿宋" w:cs="仿宋"/>
          <w:szCs w:val="32"/>
          <w:lang w:eastAsia="zh-CN"/>
        </w:rPr>
      </w:pPr>
      <w:bookmarkStart w:id="231" w:name="OLE_LINK7"/>
      <w:r>
        <w:rPr>
          <w:rFonts w:hint="eastAsia" w:ascii="仿宋" w:hAnsi="仿宋" w:eastAsia="仿宋" w:cs="仿宋"/>
          <w:color w:val="auto"/>
          <w:lang w:val="zh-CN" w:eastAsia="zh-CN"/>
        </w:rPr>
        <w:t>区粮储中心严格按照《四川省地方粮食储备管理办法》及相关规定执行，采购的储备粮油均通过乐山市粮油食品监测站进行检验，达到第二十一条之规定。根据评分标准，总分</w:t>
      </w:r>
      <w:r>
        <w:rPr>
          <w:rFonts w:hint="eastAsia" w:ascii="仿宋" w:hAnsi="仿宋" w:eastAsia="仿宋" w:cs="仿宋"/>
          <w:color w:val="auto"/>
          <w:lang w:val="en-US" w:eastAsia="zh-CN"/>
        </w:rPr>
        <w:t>6</w:t>
      </w:r>
      <w:r>
        <w:rPr>
          <w:rFonts w:hint="eastAsia" w:ascii="仿宋" w:hAnsi="仿宋" w:eastAsia="仿宋" w:cs="仿宋"/>
          <w:color w:val="auto"/>
          <w:lang w:val="zh-CN" w:eastAsia="zh-CN"/>
        </w:rPr>
        <w:t>分，得</w:t>
      </w:r>
      <w:r>
        <w:rPr>
          <w:rFonts w:hint="eastAsia" w:ascii="仿宋" w:hAnsi="仿宋" w:eastAsia="仿宋" w:cs="仿宋"/>
          <w:color w:val="auto"/>
          <w:lang w:val="en-US" w:eastAsia="zh-CN"/>
        </w:rPr>
        <w:t>6</w:t>
      </w:r>
      <w:r>
        <w:rPr>
          <w:rFonts w:hint="eastAsia" w:ascii="仿宋" w:hAnsi="仿宋" w:eastAsia="仿宋" w:cs="仿宋"/>
          <w:color w:val="auto"/>
          <w:lang w:val="zh-CN" w:eastAsia="zh-CN"/>
        </w:rPr>
        <w:t>分</w:t>
      </w:r>
      <w:r>
        <w:rPr>
          <w:rFonts w:hint="eastAsia" w:ascii="仿宋" w:hAnsi="仿宋" w:eastAsia="仿宋" w:cs="仿宋"/>
          <w:szCs w:val="32"/>
          <w:lang w:eastAsia="zh-CN"/>
        </w:rPr>
        <w:t>。</w:t>
      </w:r>
      <w:bookmarkEnd w:id="231"/>
    </w:p>
    <w:p w14:paraId="6721B93A">
      <w:pPr>
        <w:ind w:firstLine="640"/>
        <w:rPr>
          <w:rFonts w:hint="eastAsia" w:ascii="仿宋" w:hAnsi="仿宋" w:eastAsia="仿宋" w:cs="仿宋"/>
          <w:szCs w:val="32"/>
          <w:lang w:eastAsia="zh-CN"/>
        </w:rPr>
      </w:pPr>
      <w:r>
        <w:rPr>
          <w:rFonts w:hint="eastAsia" w:ascii="仿宋" w:hAnsi="仿宋" w:eastAsia="仿宋" w:cs="仿宋"/>
          <w:szCs w:val="32"/>
          <w:lang w:eastAsia="zh-CN"/>
        </w:rPr>
        <w:t>3.服务时效合格性</w:t>
      </w:r>
    </w:p>
    <w:p w14:paraId="7D7FE7B4">
      <w:pPr>
        <w:ind w:firstLine="640"/>
        <w:rPr>
          <w:rFonts w:hint="eastAsia" w:ascii="仿宋" w:hAnsi="仿宋" w:eastAsia="仿宋" w:cs="仿宋"/>
          <w:color w:val="auto"/>
          <w:lang w:val="zh-CN" w:eastAsia="zh-CN"/>
        </w:rPr>
      </w:pPr>
      <w:r>
        <w:rPr>
          <w:rFonts w:hint="eastAsia" w:ascii="仿宋" w:hAnsi="仿宋" w:eastAsia="仿宋" w:cs="仿宋"/>
          <w:color w:val="auto"/>
          <w:lang w:val="zh-CN" w:eastAsia="zh-CN"/>
        </w:rPr>
        <w:t>区粮储中心按照《乐山市金口河区区级储备粮管理办法》第二十六条区级储备粮轮换周期原则上执行稻谷3年、小麦4年、玉米2年、散装菜籽油2年。成品粮油原则上每年至少轮换1次，且至少在保质期到期前3个月进行轮换。</w:t>
      </w:r>
    </w:p>
    <w:p w14:paraId="3A90C7EA">
      <w:pPr>
        <w:ind w:firstLine="640"/>
        <w:rPr>
          <w:rFonts w:hint="eastAsia" w:ascii="仿宋" w:hAnsi="仿宋" w:eastAsia="仿宋" w:cs="仿宋"/>
          <w:szCs w:val="32"/>
          <w:lang w:eastAsia="zh-CN"/>
        </w:rPr>
      </w:pPr>
      <w:r>
        <w:rPr>
          <w:rFonts w:hint="eastAsia" w:ascii="仿宋" w:hAnsi="仿宋" w:eastAsia="仿宋" w:cs="仿宋"/>
          <w:color w:val="auto"/>
          <w:lang w:val="zh-CN" w:eastAsia="zh-CN"/>
        </w:rPr>
        <w:t>区粮储中心严格按照《乐山市金口河区区级储备粮管理办法》及相关规定执行，采购的储备粮油轮换周期均在规定时间内。根据评分标准，总分3分，得3分</w:t>
      </w:r>
      <w:r>
        <w:rPr>
          <w:rFonts w:hint="eastAsia" w:ascii="仿宋" w:hAnsi="仿宋" w:eastAsia="仿宋" w:cs="仿宋"/>
          <w:szCs w:val="32"/>
          <w:lang w:eastAsia="zh-CN"/>
        </w:rPr>
        <w:t>。</w:t>
      </w:r>
    </w:p>
    <w:p w14:paraId="4AEF2048">
      <w:pPr>
        <w:pStyle w:val="3"/>
        <w:numPr>
          <w:ilvl w:val="0"/>
          <w:numId w:val="3"/>
        </w:numPr>
        <w:spacing w:before="0" w:beforeLines="0" w:after="0" w:afterLines="0"/>
        <w:ind w:firstLineChars="0"/>
        <w:rPr>
          <w:rFonts w:hint="eastAsia" w:ascii="仿宋" w:hAnsi="仿宋" w:eastAsia="仿宋" w:cs="仿宋"/>
          <w:b w:val="0"/>
          <w:kern w:val="44"/>
          <w:szCs w:val="32"/>
          <w:lang w:eastAsia="zh-CN"/>
        </w:rPr>
      </w:pPr>
      <w:bookmarkStart w:id="232" w:name="_Toc26124"/>
      <w:bookmarkStart w:id="233" w:name="_Toc5168"/>
      <w:r>
        <w:rPr>
          <w:rFonts w:hint="eastAsia" w:ascii="仿宋" w:hAnsi="仿宋" w:eastAsia="仿宋" w:cs="仿宋"/>
          <w:b w:val="0"/>
          <w:kern w:val="44"/>
          <w:szCs w:val="32"/>
          <w:lang w:eastAsia="zh-CN"/>
        </w:rPr>
        <w:t>项目实施的可持续性</w:t>
      </w:r>
      <w:bookmarkEnd w:id="232"/>
      <w:bookmarkEnd w:id="233"/>
    </w:p>
    <w:p w14:paraId="22B946A7">
      <w:pPr>
        <w:ind w:firstLine="640"/>
        <w:rPr>
          <w:rFonts w:hint="eastAsia" w:ascii="仿宋" w:hAnsi="仿宋" w:eastAsia="仿宋" w:cs="仿宋"/>
          <w:color w:val="auto"/>
          <w:lang w:val="zh-CN" w:eastAsia="zh-CN"/>
        </w:rPr>
      </w:pPr>
      <w:r>
        <w:rPr>
          <w:rFonts w:hint="eastAsia" w:ascii="仿宋" w:hAnsi="仿宋" w:eastAsia="仿宋" w:cs="仿宋"/>
          <w:color w:val="auto"/>
          <w:lang w:val="zh-CN" w:eastAsia="zh-CN"/>
        </w:rPr>
        <w:t>项目实施的可持续性方面，指标总分</w:t>
      </w:r>
      <w:r>
        <w:rPr>
          <w:rFonts w:hint="eastAsia" w:ascii="仿宋" w:hAnsi="仿宋" w:eastAsia="仿宋" w:cs="仿宋"/>
          <w:color w:val="auto"/>
          <w:lang w:val="en-US" w:eastAsia="zh-CN"/>
        </w:rPr>
        <w:t>9</w:t>
      </w:r>
      <w:r>
        <w:rPr>
          <w:rFonts w:hint="eastAsia" w:ascii="仿宋" w:hAnsi="仿宋" w:eastAsia="仿宋" w:cs="仿宋"/>
          <w:color w:val="auto"/>
          <w:lang w:val="zh-CN" w:eastAsia="zh-CN"/>
        </w:rPr>
        <w:t>分，评估得分</w:t>
      </w:r>
      <w:r>
        <w:rPr>
          <w:rFonts w:hint="eastAsia" w:ascii="仿宋" w:hAnsi="仿宋" w:eastAsia="仿宋" w:cs="仿宋"/>
          <w:color w:val="auto"/>
          <w:lang w:val="en-US" w:eastAsia="zh-CN"/>
        </w:rPr>
        <w:t>9</w:t>
      </w:r>
      <w:r>
        <w:rPr>
          <w:rFonts w:hint="eastAsia" w:ascii="仿宋" w:hAnsi="仿宋" w:eastAsia="仿宋" w:cs="仿宋"/>
          <w:color w:val="auto"/>
          <w:lang w:val="zh-CN" w:eastAsia="zh-CN"/>
        </w:rPr>
        <w:t>分。具体如下：</w:t>
      </w:r>
    </w:p>
    <w:p w14:paraId="02DE11EB">
      <w:pPr>
        <w:ind w:firstLine="640"/>
        <w:rPr>
          <w:rFonts w:hint="eastAsia" w:ascii="仿宋" w:hAnsi="仿宋" w:eastAsia="仿宋" w:cs="仿宋"/>
          <w:color w:val="auto"/>
          <w:lang w:val="zh-CN" w:eastAsia="zh-CN"/>
        </w:rPr>
      </w:pPr>
      <w:r>
        <w:rPr>
          <w:rFonts w:hint="eastAsia" w:ascii="仿宋" w:hAnsi="仿宋" w:eastAsia="仿宋" w:cs="仿宋"/>
          <w:color w:val="auto"/>
          <w:lang w:val="zh-CN" w:eastAsia="zh-CN"/>
        </w:rPr>
        <w:t>储备粮油费用补贴项目有《乐山市金口河区区级储备粮管理办法》等政策文件为依据，明确了储备粮油的管理规范和费用补贴标准，为项目实施提供了政策层面的保障。从资金来源看，储备粮油费用补贴由区财政承担，有相对稳定的财政资金来源渠道，能够为项目的持续实施提供资金支持。储备粮油对于保障金口河区居民、部队、学校口粮供应，维护全区粮食流通秩序，保障粮食供应总量平衡和社会稳定具有重要意义，社会对储备粮油有持续的需求，这是项目可持续实施的内在动力。</w:t>
      </w:r>
    </w:p>
    <w:p w14:paraId="4B53DE1E">
      <w:pPr>
        <w:ind w:firstLine="640"/>
        <w:rPr>
          <w:rFonts w:hint="eastAsia" w:ascii="仿宋" w:hAnsi="仿宋" w:eastAsia="仿宋" w:cs="仿宋"/>
          <w:szCs w:val="32"/>
          <w:lang w:eastAsia="zh-CN"/>
        </w:rPr>
      </w:pPr>
      <w:r>
        <w:rPr>
          <w:rFonts w:hint="eastAsia" w:ascii="仿宋" w:hAnsi="仿宋" w:eastAsia="仿宋" w:cs="仿宋"/>
          <w:color w:val="auto"/>
          <w:lang w:val="zh-CN" w:eastAsia="zh-CN"/>
        </w:rPr>
        <w:t>金口河区在储备粮油管理方面有明确的规定，包括对承储企业的要求、储备粮油的质量监管等，如承储企业需按规定对库存进行质量和品质检验，建立质量安全档案等，规范的管理有助于提高项目实施的效率和效果，保障项目的可持续性。根据评分标准，总分</w:t>
      </w:r>
      <w:r>
        <w:rPr>
          <w:rFonts w:hint="eastAsia" w:ascii="仿宋" w:hAnsi="仿宋" w:eastAsia="仿宋" w:cs="仿宋"/>
          <w:color w:val="auto"/>
          <w:lang w:val="en-US" w:eastAsia="zh-CN"/>
        </w:rPr>
        <w:t>9</w:t>
      </w:r>
      <w:r>
        <w:rPr>
          <w:rFonts w:hint="eastAsia" w:ascii="仿宋" w:hAnsi="仿宋" w:eastAsia="仿宋" w:cs="仿宋"/>
          <w:color w:val="auto"/>
          <w:lang w:val="zh-CN" w:eastAsia="zh-CN"/>
        </w:rPr>
        <w:t>分，得</w:t>
      </w:r>
      <w:r>
        <w:rPr>
          <w:rFonts w:hint="eastAsia" w:ascii="仿宋" w:hAnsi="仿宋" w:eastAsia="仿宋" w:cs="仿宋"/>
          <w:color w:val="auto"/>
          <w:lang w:val="en-US" w:eastAsia="zh-CN"/>
        </w:rPr>
        <w:t>9</w:t>
      </w:r>
      <w:r>
        <w:rPr>
          <w:rFonts w:hint="eastAsia" w:ascii="仿宋" w:hAnsi="仿宋" w:eastAsia="仿宋" w:cs="仿宋"/>
          <w:color w:val="auto"/>
          <w:lang w:val="zh-CN" w:eastAsia="zh-CN"/>
        </w:rPr>
        <w:t>分</w:t>
      </w:r>
      <w:r>
        <w:rPr>
          <w:rFonts w:hint="eastAsia" w:ascii="仿宋" w:hAnsi="仿宋" w:eastAsia="仿宋" w:cs="仿宋"/>
          <w:szCs w:val="32"/>
          <w:lang w:eastAsia="zh-CN"/>
        </w:rPr>
        <w:t>。</w:t>
      </w:r>
    </w:p>
    <w:p w14:paraId="73640F5C">
      <w:pPr>
        <w:pStyle w:val="3"/>
        <w:numPr>
          <w:ilvl w:val="0"/>
          <w:numId w:val="3"/>
        </w:numPr>
        <w:spacing w:before="0" w:beforeLines="0" w:after="0" w:afterLines="0"/>
        <w:ind w:firstLineChars="0"/>
        <w:rPr>
          <w:rFonts w:hint="eastAsia" w:ascii="仿宋" w:hAnsi="仿宋" w:eastAsia="仿宋" w:cs="仿宋"/>
          <w:b w:val="0"/>
          <w:kern w:val="44"/>
          <w:szCs w:val="32"/>
          <w:lang w:eastAsia="zh-CN"/>
        </w:rPr>
      </w:pPr>
      <w:bookmarkStart w:id="234" w:name="_Toc18699"/>
      <w:bookmarkStart w:id="235" w:name="_Toc24831"/>
      <w:r>
        <w:rPr>
          <w:rFonts w:ascii="仿宋" w:hAnsi="仿宋" w:eastAsia="仿宋" w:cs="仿宋"/>
          <w:b w:val="0"/>
          <w:kern w:val="44"/>
          <w:szCs w:val="32"/>
          <w:lang w:eastAsia="zh-CN"/>
        </w:rPr>
        <w:t>总体结论</w:t>
      </w:r>
      <w:bookmarkEnd w:id="234"/>
      <w:bookmarkEnd w:id="235"/>
    </w:p>
    <w:p w14:paraId="2E3FCFE1">
      <w:pPr>
        <w:ind w:firstLine="640"/>
        <w:rPr>
          <w:rFonts w:hint="eastAsia" w:ascii="仿宋" w:hAnsi="仿宋" w:eastAsia="仿宋" w:cs="仿宋"/>
          <w:szCs w:val="32"/>
          <w:lang w:eastAsia="zh-CN"/>
        </w:rPr>
      </w:pPr>
      <w:r>
        <w:rPr>
          <w:rFonts w:hint="eastAsia" w:ascii="仿宋" w:hAnsi="仿宋" w:eastAsia="仿宋" w:cs="仿宋"/>
          <w:color w:val="auto"/>
          <w:lang w:val="zh-CN" w:eastAsia="zh-CN"/>
        </w:rPr>
        <w:t>评估小组通过对前述8个一级指标、1</w:t>
      </w:r>
      <w:r>
        <w:rPr>
          <w:rFonts w:hint="eastAsia" w:ascii="仿宋" w:hAnsi="仿宋" w:eastAsia="仿宋" w:cs="仿宋"/>
          <w:color w:val="auto"/>
          <w:lang w:val="en-US" w:eastAsia="zh-CN"/>
        </w:rPr>
        <w:t>6</w:t>
      </w:r>
      <w:r>
        <w:rPr>
          <w:rFonts w:hint="eastAsia" w:ascii="仿宋" w:hAnsi="仿宋" w:eastAsia="仿宋" w:cs="仿宋"/>
          <w:color w:val="auto"/>
          <w:lang w:val="zh-CN" w:eastAsia="zh-CN"/>
        </w:rPr>
        <w:t>个二级指标以及3</w:t>
      </w:r>
      <w:r>
        <w:rPr>
          <w:rFonts w:hint="eastAsia" w:ascii="仿宋" w:hAnsi="仿宋" w:eastAsia="仿宋" w:cs="仿宋"/>
          <w:color w:val="auto"/>
          <w:lang w:val="en-US" w:eastAsia="zh-CN"/>
        </w:rPr>
        <w:t>1</w:t>
      </w:r>
      <w:r>
        <w:rPr>
          <w:rFonts w:hint="eastAsia" w:ascii="仿宋" w:hAnsi="仿宋" w:eastAsia="仿宋" w:cs="仿宋"/>
          <w:color w:val="auto"/>
          <w:lang w:val="zh-CN" w:eastAsia="zh-CN"/>
        </w:rPr>
        <w:t>个三级指标评分的分析评估，全面评估该项目的预期绩效情况，评估总分9</w:t>
      </w:r>
      <w:r>
        <w:rPr>
          <w:rFonts w:hint="eastAsia" w:ascii="仿宋" w:hAnsi="仿宋" w:eastAsia="仿宋" w:cs="仿宋"/>
          <w:color w:val="auto"/>
          <w:lang w:val="en-US" w:eastAsia="zh-CN"/>
        </w:rPr>
        <w:t>7</w:t>
      </w:r>
      <w:r>
        <w:rPr>
          <w:rFonts w:hint="eastAsia" w:ascii="仿宋" w:hAnsi="仿宋" w:eastAsia="仿宋" w:cs="仿宋"/>
          <w:color w:val="auto"/>
          <w:lang w:val="zh-CN" w:eastAsia="zh-CN"/>
        </w:rPr>
        <w:t>分。储备粮油费用补贴项目的实施，能够确保在各种情况下，金口河区居民都有充足且稳定的粮油供应，满足人们的基本生活需求，维持正常的生活秩序。通过补贴维持合理的粮油储备，在市场供应不足时投放储备粮油，增加市场供给，平抑物价，防止因供求关系失衡导致粮油价格大幅上涨，让广大消费者能够以合理的价格购买到粮油，保障了消费者的利益。本项目通过社会调查、效益分析、对比分析等方法评估，综合考虑项目绩效目标和项目实际情况，预期绩效可实现性强，满足《</w:t>
      </w:r>
      <w:r>
        <w:rPr>
          <w:rFonts w:hint="eastAsia" w:ascii="仿宋" w:hAnsi="仿宋" w:eastAsia="仿宋" w:cs="仿宋"/>
          <w:color w:val="auto"/>
          <w:lang w:val="zh-CN" w:eastAsia="zh-CN"/>
        </w:rPr>
        <w:fldChar w:fldCharType="begin"/>
      </w:r>
      <w:r>
        <w:rPr>
          <w:rFonts w:hint="eastAsia" w:ascii="仿宋" w:hAnsi="仿宋" w:eastAsia="仿宋" w:cs="仿宋"/>
          <w:color w:val="auto"/>
          <w:lang w:val="zh-CN" w:eastAsia="zh-CN"/>
        </w:rPr>
        <w:instrText xml:space="preserve"> HYPERLINK "https://www.chinawestagr.com/UpFile/ckeditor/tjcwc/2018/11/files/%E5%9B%9B%E5%B7%9D%E7%9C%81%E7%9C%81%E7%BA%A7%E9%A2%84%E7%AE%97%E4%BA%8B%E5%89%8D%E7%BB%A9%E6%95%88%E8%AF%84%E4%BC%B0%E7%AE%A1%E7%90%86%E6%9A%82%E8%A1%8C%E5%8A%9E%E6%B3%95.pdf" </w:instrText>
      </w:r>
      <w:r>
        <w:rPr>
          <w:rFonts w:hint="eastAsia" w:ascii="仿宋" w:hAnsi="仿宋" w:eastAsia="仿宋" w:cs="仿宋"/>
          <w:color w:val="auto"/>
          <w:lang w:val="zh-CN" w:eastAsia="zh-CN"/>
        </w:rPr>
        <w:fldChar w:fldCharType="separate"/>
      </w:r>
      <w:r>
        <w:rPr>
          <w:rFonts w:hint="eastAsia" w:ascii="仿宋" w:hAnsi="仿宋" w:eastAsia="仿宋" w:cs="仿宋"/>
          <w:color w:val="auto"/>
          <w:lang w:val="zh-CN" w:eastAsia="zh-CN"/>
        </w:rPr>
        <w:t>四川省财政厅关于印发&lt;四川省预算评审管理实施细则（试行）&gt;的通知》（川财预〔2024〕38号）</w:t>
      </w:r>
      <w:r>
        <w:rPr>
          <w:rFonts w:hint="eastAsia" w:ascii="仿宋" w:hAnsi="仿宋" w:eastAsia="仿宋" w:cs="仿宋"/>
          <w:color w:val="auto"/>
          <w:lang w:val="zh-CN" w:eastAsia="zh-CN"/>
        </w:rPr>
        <w:fldChar w:fldCharType="end"/>
      </w:r>
      <w:r>
        <w:rPr>
          <w:rFonts w:hint="eastAsia" w:ascii="仿宋" w:hAnsi="仿宋" w:eastAsia="仿宋" w:cs="仿宋"/>
          <w:color w:val="auto"/>
          <w:lang w:val="zh-CN" w:eastAsia="zh-CN"/>
        </w:rPr>
        <w:t>要求，综合绩效评估结论为“建议实施”</w:t>
      </w:r>
      <w:r>
        <w:rPr>
          <w:rFonts w:ascii="仿宋" w:hAnsi="仿宋" w:eastAsia="仿宋" w:cs="仿宋"/>
          <w:szCs w:val="32"/>
          <w:lang w:eastAsia="zh-CN"/>
        </w:rPr>
        <w:t>。</w:t>
      </w:r>
    </w:p>
    <w:p w14:paraId="1B981BBE">
      <w:pPr>
        <w:pStyle w:val="2"/>
        <w:numPr>
          <w:ilvl w:val="0"/>
          <w:numId w:val="1"/>
        </w:numPr>
        <w:spacing w:before="0" w:beforeLines="0" w:after="0" w:afterLines="0"/>
        <w:rPr>
          <w:rFonts w:hint="eastAsia" w:ascii="仿宋" w:hAnsi="仿宋" w:eastAsia="仿宋" w:cs="仿宋"/>
          <w:b w:val="0"/>
          <w:szCs w:val="32"/>
          <w:lang w:eastAsia="zh-CN"/>
        </w:rPr>
      </w:pPr>
      <w:bookmarkStart w:id="236" w:name="_Toc18341"/>
      <w:bookmarkStart w:id="237" w:name="_Toc22888"/>
      <w:r>
        <w:rPr>
          <w:rFonts w:ascii="仿宋" w:hAnsi="仿宋" w:eastAsia="仿宋" w:cs="仿宋"/>
          <w:b w:val="0"/>
          <w:szCs w:val="32"/>
          <w:lang w:eastAsia="zh-CN"/>
        </w:rPr>
        <w:t>相关建议</w:t>
      </w:r>
      <w:bookmarkEnd w:id="236"/>
      <w:bookmarkEnd w:id="237"/>
    </w:p>
    <w:p w14:paraId="58448638">
      <w:pPr>
        <w:pStyle w:val="3"/>
        <w:numPr>
          <w:ilvl w:val="0"/>
          <w:numId w:val="4"/>
        </w:numPr>
        <w:spacing w:before="120" w:after="120"/>
        <w:ind w:firstLine="640"/>
        <w:rPr>
          <w:rFonts w:hint="default" w:ascii="仿宋" w:hAnsi="仿宋" w:eastAsia="仿宋" w:cs="仿宋"/>
          <w:b w:val="0"/>
          <w:color w:val="auto"/>
          <w:sz w:val="32"/>
          <w:szCs w:val="24"/>
          <w:lang w:val="en-US" w:eastAsia="zh-CN" w:bidi="en-US"/>
        </w:rPr>
      </w:pPr>
      <w:bookmarkStart w:id="238" w:name="_Toc11379"/>
      <w:r>
        <w:rPr>
          <w:rFonts w:hint="eastAsia" w:ascii="仿宋" w:hAnsi="仿宋" w:eastAsia="仿宋" w:cs="仿宋"/>
          <w:b w:val="0"/>
          <w:color w:val="auto"/>
          <w:sz w:val="32"/>
          <w:szCs w:val="24"/>
          <w:lang w:val="en-US" w:eastAsia="zh-CN" w:bidi="en-US"/>
        </w:rPr>
        <w:t>储备粮、油借款利息测算依据不充分</w:t>
      </w:r>
      <w:bookmarkEnd w:id="238"/>
    </w:p>
    <w:p w14:paraId="2DCC4476">
      <w:pPr>
        <w:ind w:firstLine="640"/>
        <w:rPr>
          <w:rFonts w:hint="eastAsia" w:ascii="仿宋" w:hAnsi="仿宋" w:eastAsia="仿宋" w:cs="仿宋"/>
          <w:szCs w:val="32"/>
          <w:lang w:eastAsia="zh-CN"/>
        </w:rPr>
      </w:pPr>
      <w:r>
        <w:rPr>
          <w:rFonts w:hint="eastAsia" w:ascii="仿宋" w:hAnsi="仿宋" w:eastAsia="仿宋" w:cs="仿宋"/>
          <w:color w:val="auto"/>
          <w:lang w:val="zh-CN" w:eastAsia="zh-CN"/>
        </w:rPr>
        <w:t>根据《乐山市金口河区级储备粮油管理办法》(金发改[2022]109号)第三十八条:区级储备粮、油的借款利息按农业发展银行同期农副产品收购贷款利率，由区财政局据实拔付。区级储备粮费用利息的拨付实行按季预发，并在次年第一季度内进行清算。</w:t>
      </w:r>
      <w:r>
        <w:rPr>
          <w:rFonts w:hint="eastAsia" w:ascii="仿宋" w:hAnsi="仿宋" w:eastAsia="仿宋" w:cs="仿宋"/>
          <w:color w:val="auto"/>
          <w:lang w:val="en-US" w:eastAsia="zh-CN"/>
        </w:rPr>
        <w:t>在年初报财政预算时，区粮储中心应按</w:t>
      </w:r>
      <w:r>
        <w:rPr>
          <w:rFonts w:hint="eastAsia" w:ascii="仿宋" w:hAnsi="仿宋" w:eastAsia="仿宋" w:cs="仿宋"/>
          <w:color w:val="auto"/>
          <w:lang w:val="zh-CN" w:eastAsia="zh-CN"/>
        </w:rPr>
        <w:t>农业发展银行同期农副产品收购贷款利率</w:t>
      </w:r>
      <w:r>
        <w:rPr>
          <w:rFonts w:hint="eastAsia" w:ascii="仿宋" w:hAnsi="仿宋" w:eastAsia="仿宋" w:cs="仿宋"/>
          <w:color w:val="auto"/>
          <w:lang w:val="en-US" w:eastAsia="zh-CN"/>
        </w:rPr>
        <w:t>测算当年利息费用，应有明确的测算过程</w:t>
      </w:r>
      <w:r>
        <w:rPr>
          <w:rFonts w:hint="eastAsia" w:ascii="仿宋" w:hAnsi="仿宋" w:eastAsia="仿宋" w:cs="仿宋"/>
          <w:szCs w:val="32"/>
          <w:lang w:eastAsia="zh-CN"/>
        </w:rPr>
        <w:t>。</w:t>
      </w:r>
    </w:p>
    <w:p w14:paraId="273177B9">
      <w:pPr>
        <w:pStyle w:val="2"/>
        <w:numPr>
          <w:ilvl w:val="0"/>
          <w:numId w:val="1"/>
        </w:numPr>
        <w:spacing w:before="0" w:beforeLines="0" w:after="0" w:afterLines="0"/>
        <w:rPr>
          <w:rFonts w:hint="eastAsia" w:ascii="仿宋" w:hAnsi="仿宋" w:eastAsia="仿宋" w:cs="仿宋"/>
          <w:b w:val="0"/>
          <w:szCs w:val="32"/>
          <w:lang w:eastAsia="zh-CN"/>
        </w:rPr>
      </w:pPr>
      <w:bookmarkStart w:id="239" w:name="_Toc2492"/>
      <w:bookmarkStart w:id="240" w:name="_Toc13340"/>
      <w:r>
        <w:rPr>
          <w:rFonts w:ascii="仿宋" w:hAnsi="仿宋" w:eastAsia="仿宋" w:cs="仿宋"/>
          <w:b w:val="0"/>
          <w:szCs w:val="32"/>
          <w:lang w:eastAsia="zh-CN"/>
        </w:rPr>
        <w:t>其他需要说明的问题</w:t>
      </w:r>
      <w:bookmarkEnd w:id="239"/>
      <w:bookmarkEnd w:id="240"/>
    </w:p>
    <w:p w14:paraId="3471B635">
      <w:pPr>
        <w:ind w:firstLine="640"/>
        <w:rPr>
          <w:rFonts w:hint="eastAsia" w:ascii="仿宋" w:hAnsi="仿宋" w:eastAsia="仿宋" w:cs="仿宋"/>
          <w:szCs w:val="32"/>
          <w:lang w:eastAsia="zh-CN"/>
        </w:rPr>
      </w:pPr>
      <w:r>
        <w:rPr>
          <w:rFonts w:hint="eastAsia" w:ascii="仿宋" w:hAnsi="仿宋" w:eastAsia="仿宋" w:cs="仿宋"/>
          <w:color w:val="auto"/>
          <w:lang w:val="zh-CN" w:eastAsia="zh-CN"/>
        </w:rPr>
        <w:t>本报告是评价机构根据对项目主管单位所提供的材料进行全面分析与评估，结合现场考察情况，在评价人员评价意见的基础上综合形成</w:t>
      </w:r>
      <w:r>
        <w:rPr>
          <w:rFonts w:hint="eastAsia" w:ascii="仿宋" w:hAnsi="仿宋" w:eastAsia="仿宋" w:cs="仿宋"/>
          <w:color w:val="auto"/>
          <w:lang w:val="en-US" w:eastAsia="zh-CN"/>
        </w:rPr>
        <w:t>的</w:t>
      </w:r>
      <w:r>
        <w:rPr>
          <w:rFonts w:hint="eastAsia" w:ascii="仿宋" w:hAnsi="仿宋" w:eastAsia="仿宋" w:cs="仿宋"/>
          <w:color w:val="auto"/>
          <w:lang w:val="zh-CN" w:eastAsia="zh-CN"/>
        </w:rPr>
        <w:t>。报告重点针对项目2025年的预算申报进行评估。本报告的结论与意见是参考性的，仅供财政部门批复预算时使用，不做其他用途</w:t>
      </w:r>
      <w:r>
        <w:rPr>
          <w:rFonts w:ascii="仿宋" w:hAnsi="仿宋" w:eastAsia="仿宋" w:cs="仿宋"/>
          <w:szCs w:val="32"/>
          <w:lang w:eastAsia="zh-CN"/>
        </w:rPr>
        <w:t>。</w:t>
      </w:r>
    </w:p>
    <w:p w14:paraId="08E58630">
      <w:pPr>
        <w:ind w:firstLine="640"/>
        <w:rPr>
          <w:rFonts w:hint="eastAsia" w:ascii="仿宋" w:hAnsi="仿宋" w:eastAsia="仿宋" w:cs="仿宋"/>
          <w:szCs w:val="32"/>
          <w:lang w:eastAsia="zh-CN"/>
        </w:rPr>
      </w:pPr>
    </w:p>
    <w:p w14:paraId="33560E80">
      <w:pPr>
        <w:pStyle w:val="2"/>
        <w:numPr>
          <w:ilvl w:val="0"/>
          <w:numId w:val="1"/>
        </w:numPr>
        <w:spacing w:before="0" w:beforeLines="0" w:after="0" w:afterLines="0"/>
        <w:rPr>
          <w:rFonts w:hint="eastAsia" w:ascii="仿宋" w:hAnsi="仿宋" w:eastAsia="仿宋" w:cs="仿宋"/>
          <w:szCs w:val="32"/>
          <w:lang w:eastAsia="zh-CN"/>
        </w:rPr>
      </w:pPr>
      <w:bookmarkStart w:id="241" w:name="_Toc13104"/>
      <w:bookmarkStart w:id="242" w:name="_Toc23361"/>
      <w:r>
        <w:rPr>
          <w:rFonts w:ascii="仿宋" w:hAnsi="仿宋" w:eastAsia="仿宋" w:cs="仿宋"/>
          <w:b w:val="0"/>
          <w:szCs w:val="32"/>
          <w:lang w:eastAsia="zh-CN"/>
        </w:rPr>
        <w:t>附件</w:t>
      </w:r>
      <w:bookmarkEnd w:id="241"/>
      <w:bookmarkEnd w:id="242"/>
    </w:p>
    <w:p w14:paraId="6F5D79E2">
      <w:pPr>
        <w:ind w:firstLine="640"/>
        <w:rPr>
          <w:rFonts w:hint="eastAsia" w:ascii="仿宋" w:hAnsi="仿宋" w:eastAsia="仿宋" w:cs="仿宋"/>
          <w:szCs w:val="32"/>
          <w:lang w:eastAsia="zh-CN"/>
        </w:rPr>
      </w:pPr>
      <w:r>
        <w:rPr>
          <w:rFonts w:ascii="仿宋" w:hAnsi="仿宋" w:eastAsia="仿宋" w:cs="仿宋"/>
          <w:szCs w:val="32"/>
          <w:lang w:eastAsia="zh-CN"/>
        </w:rPr>
        <w:t>附件1:</w:t>
      </w:r>
      <w:r>
        <w:rPr>
          <w:rFonts w:hint="eastAsia" w:ascii="仿宋" w:hAnsi="仿宋" w:eastAsia="仿宋" w:cs="仿宋"/>
          <w:color w:val="auto"/>
          <w:lang w:val="zh-CN" w:eastAsia="zh-CN"/>
        </w:rPr>
        <w:t>事前评估项目情况报告</w:t>
      </w:r>
    </w:p>
    <w:p w14:paraId="7EB03B6E">
      <w:pPr>
        <w:ind w:firstLine="640"/>
        <w:rPr>
          <w:rFonts w:hint="eastAsia" w:ascii="仿宋" w:hAnsi="仿宋" w:eastAsia="仿宋" w:cs="仿宋"/>
          <w:szCs w:val="32"/>
          <w:lang w:eastAsia="zh-CN"/>
        </w:rPr>
      </w:pPr>
      <w:r>
        <w:rPr>
          <w:rFonts w:ascii="仿宋" w:hAnsi="仿宋" w:eastAsia="仿宋" w:cs="仿宋"/>
          <w:szCs w:val="32"/>
          <w:lang w:eastAsia="zh-CN"/>
        </w:rPr>
        <w:t>附件2:</w:t>
      </w:r>
      <w:r>
        <w:rPr>
          <w:rFonts w:hint="eastAsia" w:ascii="仿宋" w:hAnsi="仿宋" w:eastAsia="仿宋" w:cs="仿宋"/>
          <w:color w:val="auto"/>
          <w:lang w:val="zh-CN" w:eastAsia="zh-CN"/>
        </w:rPr>
        <w:t>项目支出绩效目标申报表</w:t>
      </w:r>
    </w:p>
    <w:p w14:paraId="1C4139E6">
      <w:pPr>
        <w:ind w:firstLine="640"/>
        <w:rPr>
          <w:rFonts w:hint="eastAsia" w:ascii="仿宋" w:hAnsi="仿宋" w:eastAsia="仿宋" w:cs="仿宋"/>
          <w:szCs w:val="32"/>
          <w:lang w:eastAsia="zh-CN"/>
        </w:rPr>
      </w:pPr>
    </w:p>
    <w:p w14:paraId="75AFC9DD">
      <w:pPr>
        <w:ind w:firstLine="640"/>
        <w:rPr>
          <w:rFonts w:hint="eastAsia" w:ascii="仿宋" w:hAnsi="仿宋" w:eastAsia="仿宋" w:cs="仿宋"/>
          <w:bCs/>
          <w:szCs w:val="32"/>
          <w:highlight w:val="yellow"/>
          <w:lang w:eastAsia="zh-CN"/>
        </w:rPr>
      </w:pPr>
    </w:p>
    <w:p w14:paraId="1F832598">
      <w:pPr>
        <w:spacing w:before="65" w:line="226" w:lineRule="auto"/>
        <w:ind w:firstLine="0" w:firstLineChars="0"/>
        <w:jc w:val="righ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乐山市金口河区财政投资评价审核中心</w:t>
      </w:r>
    </w:p>
    <w:p w14:paraId="493999FD">
      <w:pPr>
        <w:spacing w:before="65" w:line="226" w:lineRule="auto"/>
        <w:ind w:firstLine="0" w:firstLineChars="0"/>
        <w:jc w:val="center"/>
        <w:rPr>
          <w:rFonts w:hint="default"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 xml:space="preserve">                2025年1月10日</w:t>
      </w:r>
    </w:p>
    <w:p w14:paraId="09EF2380">
      <w:pPr>
        <w:spacing w:before="65" w:line="226" w:lineRule="auto"/>
        <w:ind w:firstLine="0" w:firstLineChars="0"/>
        <w:rPr>
          <w:rFonts w:eastAsia="仿宋"/>
          <w:sz w:val="28"/>
          <w:szCs w:val="28"/>
          <w:lang w:eastAsia="zh-CN"/>
        </w:rPr>
      </w:pPr>
      <w:bookmarkStart w:id="243" w:name="_GoBack"/>
      <w:bookmarkEnd w:id="243"/>
    </w:p>
    <w:sectPr>
      <w:headerReference r:id="rId17" w:type="default"/>
      <w:footerReference r:id="rId18" w:type="default"/>
      <w:pgSz w:w="11906" w:h="16838"/>
      <w:pgMar w:top="837" w:right="1687" w:bottom="1421" w:left="1686" w:header="0" w:footer="559" w:gutter="0"/>
      <w:pgNumType w:start="1"/>
      <w:cols w:equalWidth="0" w:num="1">
        <w:col w:w="8533"/>
      </w:cols>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612DDB8-B921-4772-A150-8882307207D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D35BFED-3017-47DC-8174-C75C4D236521}"/>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DejaVu Sans">
    <w:altName w:val="Courier New"/>
    <w:panose1 w:val="00000000000000000000"/>
    <w:charset w:val="00"/>
    <w:family w:val="roman"/>
    <w:pitch w:val="default"/>
    <w:sig w:usb0="00000000" w:usb1="00000000" w:usb2="00000008" w:usb3="00000000" w:csb0="000001FF" w:csb1="00000000"/>
  </w:font>
  <w:font w:name="方正小标宋">
    <w:altName w:val="宋体"/>
    <w:panose1 w:val="00000000000000000000"/>
    <w:charset w:val="86"/>
    <w:family w:val="roman"/>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font-weight : 400">
    <w:altName w:val="Courier New"/>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38838C45-BECB-4F9B-AA41-F9252D212D91}"/>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8EBC992D-7713-4CEA-BE05-24577F181F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C0693">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B8DC6">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4BC43">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F4DAA">
    <w:pPr>
      <w:pStyle w:val="7"/>
      <w:spacing w:before="0" w:line="14" w:lineRule="auto"/>
      <w:ind w:left="0" w:firstLine="400"/>
      <w:rPr>
        <w:rFonts w:hint="eastAsia"/>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3825B">
    <w:pPr>
      <w:pStyle w:val="1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F1A8C">
    <w:pPr>
      <w:pStyle w:val="12"/>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4F814">
    <w:pPr>
      <w:pStyle w:val="12"/>
      <w:spacing w:after="120"/>
      <w:ind w:firstLine="360"/>
      <w:jc w:val="center"/>
      <w:rPr>
        <w:rFonts w:hint="eastAsia"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0247"/>
                          </w:sdtPr>
                          <w:sdtEndPr>
                            <w:rPr>
                              <w:rFonts w:ascii="宋体" w:hAnsi="宋体" w:eastAsia="宋体"/>
                            </w:rPr>
                          </w:sdtEndPr>
                          <w:sdtContent>
                            <w:p w14:paraId="39E3AEED">
                              <w:pPr>
                                <w:pStyle w:val="12"/>
                                <w:spacing w:after="120"/>
                                <w:ind w:firstLine="360"/>
                                <w:jc w:val="center"/>
                                <w:rPr>
                                  <w:rFonts w:hint="eastAsia"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eastAsia="zh-CN"/>
                                </w:rPr>
                                <w:t>2</w:t>
                              </w:r>
                              <w:r>
                                <w:rPr>
                                  <w:rFonts w:ascii="宋体" w:hAnsi="宋体" w:eastAsia="宋体"/>
                                </w:rPr>
                                <w:fldChar w:fldCharType="end"/>
                              </w:r>
                            </w:p>
                          </w:sdtContent>
                        </w:sdt>
                        <w:p w14:paraId="25F11831">
                          <w:pPr>
                            <w:ind w:firstLine="640"/>
                            <w:rPr>
                              <w:rFonts w:hint="eastAsia" w:ascii="宋体" w:hAnsi="宋体" w:eastAsia="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47480247"/>
                    </w:sdtPr>
                    <w:sdtEndPr>
                      <w:rPr>
                        <w:rFonts w:ascii="宋体" w:hAnsi="宋体" w:eastAsia="宋体"/>
                      </w:rPr>
                    </w:sdtEndPr>
                    <w:sdtContent>
                      <w:p w14:paraId="39E3AEED">
                        <w:pPr>
                          <w:pStyle w:val="12"/>
                          <w:spacing w:after="120"/>
                          <w:ind w:firstLine="360"/>
                          <w:jc w:val="center"/>
                          <w:rPr>
                            <w:rFonts w:hint="eastAsia"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eastAsia="zh-CN"/>
                          </w:rPr>
                          <w:t>2</w:t>
                        </w:r>
                        <w:r>
                          <w:rPr>
                            <w:rFonts w:ascii="宋体" w:hAnsi="宋体" w:eastAsia="宋体"/>
                          </w:rPr>
                          <w:fldChar w:fldCharType="end"/>
                        </w:r>
                      </w:p>
                    </w:sdtContent>
                  </w:sdt>
                  <w:p w14:paraId="25F11831">
                    <w:pPr>
                      <w:ind w:firstLine="640"/>
                      <w:rPr>
                        <w:rFonts w:hint="eastAsia" w:ascii="宋体" w:hAnsi="宋体" w:eastAsia="宋体"/>
                      </w:rPr>
                    </w:pPr>
                  </w:p>
                </w:txbxContent>
              </v:textbox>
            </v:shape>
          </w:pict>
        </mc:Fallback>
      </mc:AlternateContent>
    </w:r>
  </w:p>
  <w:p w14:paraId="035A6895">
    <w:pPr>
      <w:pStyle w:val="12"/>
      <w:ind w:firstLine="360"/>
    </w:pPr>
  </w:p>
  <w:p w14:paraId="03245FCE">
    <w:pPr>
      <w:ind w:firstLine="6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33374">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A9EA7">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E7E1B">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2559D">
    <w:pPr>
      <w:pStyle w:val="13"/>
      <w:ind w:firstLine="0" w:firstLineChars="0"/>
      <w:rPr>
        <w:lang w:eastAsia="zh-CN"/>
      </w:rPr>
    </w:pPr>
  </w:p>
  <w:p w14:paraId="5EF7C452">
    <w:pPr>
      <w:pStyle w:val="13"/>
      <w:ind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F61D9">
    <w:pPr>
      <w:pStyle w:val="1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CC93F">
    <w:pPr>
      <w:pStyle w:val="13"/>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8E9AE">
    <w:pPr>
      <w:pStyle w:val="13"/>
      <w:ind w:firstLine="0" w:firstLineChars="0"/>
      <w:rPr>
        <w:lang w:eastAsia="zh-CN"/>
      </w:rPr>
    </w:pPr>
  </w:p>
  <w:p w14:paraId="31AFBF21">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F8DBCB"/>
    <w:multiLevelType w:val="singleLevel"/>
    <w:tmpl w:val="E5F8DBCB"/>
    <w:lvl w:ilvl="0" w:tentative="0">
      <w:start w:val="1"/>
      <w:numFmt w:val="chineseCounting"/>
      <w:suff w:val="space"/>
      <w:lvlText w:val="(%1)"/>
      <w:lvlJc w:val="left"/>
      <w:rPr>
        <w:rFonts w:hint="eastAsia"/>
      </w:rPr>
    </w:lvl>
  </w:abstractNum>
  <w:abstractNum w:abstractNumId="1">
    <w:nsid w:val="15AF195D"/>
    <w:multiLevelType w:val="multilevel"/>
    <w:tmpl w:val="15AF195D"/>
    <w:lvl w:ilvl="0" w:tentative="0">
      <w:start w:val="1"/>
      <w:numFmt w:val="chineseCountingThousand"/>
      <w:lvlText w:val="(%1)"/>
      <w:lvlJc w:val="left"/>
      <w:pPr>
        <w:ind w:left="1083" w:hanging="440"/>
      </w:p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abstractNum w:abstractNumId="2">
    <w:nsid w:val="3F295697"/>
    <w:multiLevelType w:val="multilevel"/>
    <w:tmpl w:val="3F295697"/>
    <w:lvl w:ilvl="0" w:tentative="0">
      <w:start w:val="1"/>
      <w:numFmt w:val="chineseCountingThousand"/>
      <w:lvlText w:val="(%1)"/>
      <w:lvlJc w:val="left"/>
      <w:pPr>
        <w:ind w:left="1083" w:hanging="440"/>
      </w:pPr>
    </w:lvl>
    <w:lvl w:ilvl="1" w:tentative="0">
      <w:start w:val="1"/>
      <w:numFmt w:val="chineseCountingThousand"/>
      <w:lvlText w:val="(%2)"/>
      <w:lvlJc w:val="left"/>
      <w:pPr>
        <w:ind w:left="1083" w:hanging="440"/>
      </w:pPr>
    </w:lvl>
    <w:lvl w:ilvl="2" w:tentative="0">
      <w:start w:val="1"/>
      <w:numFmt w:val="decimal"/>
      <w:lvlText w:val="%3."/>
      <w:lvlJc w:val="left"/>
      <w:pPr>
        <w:ind w:left="1883" w:hanging="360"/>
      </w:pPr>
      <w:rPr>
        <w:rFonts w:hint="default"/>
      </w:r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abstractNum w:abstractNumId="3">
    <w:nsid w:val="6A7601A5"/>
    <w:multiLevelType w:val="multilevel"/>
    <w:tmpl w:val="6A7601A5"/>
    <w:lvl w:ilvl="0" w:tentative="0">
      <w:start w:val="1"/>
      <w:numFmt w:val="chineseCountingThousand"/>
      <w:lvlText w:val="%1、"/>
      <w:lvlJc w:val="left"/>
      <w:pPr>
        <w:ind w:left="440" w:hanging="440"/>
      </w:pPr>
    </w:lvl>
    <w:lvl w:ilvl="1" w:tentative="0">
      <w:start w:val="1"/>
      <w:numFmt w:val="japaneseCounting"/>
      <w:lvlText w:val="（%2）"/>
      <w:lvlJc w:val="left"/>
      <w:pPr>
        <w:ind w:left="1520" w:hanging="108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iODQzM2I1NzU0ZGVlMjE0M2FlOGJkZGNlZDg2ZjQifQ=="/>
  </w:docVars>
  <w:rsids>
    <w:rsidRoot w:val="4F7A8AD3"/>
    <w:rsid w:val="00007DFF"/>
    <w:rsid w:val="000107C4"/>
    <w:rsid w:val="00012E9F"/>
    <w:rsid w:val="0001313D"/>
    <w:rsid w:val="00020499"/>
    <w:rsid w:val="000312C5"/>
    <w:rsid w:val="00033CBF"/>
    <w:rsid w:val="00052F16"/>
    <w:rsid w:val="00057533"/>
    <w:rsid w:val="00063830"/>
    <w:rsid w:val="000668C0"/>
    <w:rsid w:val="00073A2B"/>
    <w:rsid w:val="00076A1E"/>
    <w:rsid w:val="00083F6C"/>
    <w:rsid w:val="0009180B"/>
    <w:rsid w:val="0009558B"/>
    <w:rsid w:val="000A3242"/>
    <w:rsid w:val="000A3653"/>
    <w:rsid w:val="000B7188"/>
    <w:rsid w:val="000C0153"/>
    <w:rsid w:val="000C3325"/>
    <w:rsid w:val="000C52C3"/>
    <w:rsid w:val="000C57FC"/>
    <w:rsid w:val="000D3A16"/>
    <w:rsid w:val="000D55E1"/>
    <w:rsid w:val="000D5EC8"/>
    <w:rsid w:val="000E57B2"/>
    <w:rsid w:val="000F6A24"/>
    <w:rsid w:val="000F74DF"/>
    <w:rsid w:val="001010D1"/>
    <w:rsid w:val="00103D39"/>
    <w:rsid w:val="001041AF"/>
    <w:rsid w:val="00106871"/>
    <w:rsid w:val="0010788A"/>
    <w:rsid w:val="001126B2"/>
    <w:rsid w:val="001136E1"/>
    <w:rsid w:val="001203E9"/>
    <w:rsid w:val="001220D3"/>
    <w:rsid w:val="001232D4"/>
    <w:rsid w:val="00132AF2"/>
    <w:rsid w:val="00141341"/>
    <w:rsid w:val="0015093C"/>
    <w:rsid w:val="00150C9D"/>
    <w:rsid w:val="00151587"/>
    <w:rsid w:val="00152B89"/>
    <w:rsid w:val="00167A83"/>
    <w:rsid w:val="001701A0"/>
    <w:rsid w:val="00170314"/>
    <w:rsid w:val="0017238A"/>
    <w:rsid w:val="00173F6A"/>
    <w:rsid w:val="00176CA0"/>
    <w:rsid w:val="00195636"/>
    <w:rsid w:val="00196271"/>
    <w:rsid w:val="001A1092"/>
    <w:rsid w:val="001A2041"/>
    <w:rsid w:val="001A43B3"/>
    <w:rsid w:val="001A550D"/>
    <w:rsid w:val="001B2B74"/>
    <w:rsid w:val="001C6994"/>
    <w:rsid w:val="001D402C"/>
    <w:rsid w:val="001D4786"/>
    <w:rsid w:val="001D4787"/>
    <w:rsid w:val="001D5160"/>
    <w:rsid w:val="001D7093"/>
    <w:rsid w:val="001E3428"/>
    <w:rsid w:val="001F23E2"/>
    <w:rsid w:val="00202F15"/>
    <w:rsid w:val="002133D0"/>
    <w:rsid w:val="002135B2"/>
    <w:rsid w:val="00214FA9"/>
    <w:rsid w:val="00244786"/>
    <w:rsid w:val="00245809"/>
    <w:rsid w:val="00247CE2"/>
    <w:rsid w:val="002544DA"/>
    <w:rsid w:val="00256286"/>
    <w:rsid w:val="002751AB"/>
    <w:rsid w:val="00293F28"/>
    <w:rsid w:val="002C14AD"/>
    <w:rsid w:val="002D0937"/>
    <w:rsid w:val="002E0922"/>
    <w:rsid w:val="002E795B"/>
    <w:rsid w:val="002F140C"/>
    <w:rsid w:val="002F2675"/>
    <w:rsid w:val="00314544"/>
    <w:rsid w:val="00321992"/>
    <w:rsid w:val="0032225C"/>
    <w:rsid w:val="00326F73"/>
    <w:rsid w:val="00341AC7"/>
    <w:rsid w:val="003423E2"/>
    <w:rsid w:val="00347A06"/>
    <w:rsid w:val="00347BEB"/>
    <w:rsid w:val="00350221"/>
    <w:rsid w:val="0035212A"/>
    <w:rsid w:val="00355358"/>
    <w:rsid w:val="00355F1B"/>
    <w:rsid w:val="00363A2E"/>
    <w:rsid w:val="00364643"/>
    <w:rsid w:val="00367660"/>
    <w:rsid w:val="003677CB"/>
    <w:rsid w:val="00371A0A"/>
    <w:rsid w:val="0037460A"/>
    <w:rsid w:val="003757C7"/>
    <w:rsid w:val="0037607E"/>
    <w:rsid w:val="00377310"/>
    <w:rsid w:val="00391E0A"/>
    <w:rsid w:val="003949FD"/>
    <w:rsid w:val="003B66F1"/>
    <w:rsid w:val="003C6D05"/>
    <w:rsid w:val="003C72DF"/>
    <w:rsid w:val="003E74AB"/>
    <w:rsid w:val="003F0644"/>
    <w:rsid w:val="003F5A52"/>
    <w:rsid w:val="003F786F"/>
    <w:rsid w:val="004014DE"/>
    <w:rsid w:val="0041363A"/>
    <w:rsid w:val="004136A6"/>
    <w:rsid w:val="00420D23"/>
    <w:rsid w:val="00421DDA"/>
    <w:rsid w:val="00426FAD"/>
    <w:rsid w:val="004272C9"/>
    <w:rsid w:val="00427E7E"/>
    <w:rsid w:val="00436A9C"/>
    <w:rsid w:val="0043777C"/>
    <w:rsid w:val="00452E8E"/>
    <w:rsid w:val="00460E18"/>
    <w:rsid w:val="00466D5D"/>
    <w:rsid w:val="004707FC"/>
    <w:rsid w:val="00470A91"/>
    <w:rsid w:val="00475575"/>
    <w:rsid w:val="004A0673"/>
    <w:rsid w:val="004D1A6F"/>
    <w:rsid w:val="004D3208"/>
    <w:rsid w:val="004D6F41"/>
    <w:rsid w:val="004D72EC"/>
    <w:rsid w:val="004E1959"/>
    <w:rsid w:val="004E5660"/>
    <w:rsid w:val="004E7C5F"/>
    <w:rsid w:val="004F2C0E"/>
    <w:rsid w:val="004F70C3"/>
    <w:rsid w:val="004F7B5F"/>
    <w:rsid w:val="00505188"/>
    <w:rsid w:val="005071ED"/>
    <w:rsid w:val="00512270"/>
    <w:rsid w:val="005234A4"/>
    <w:rsid w:val="00531809"/>
    <w:rsid w:val="00534E15"/>
    <w:rsid w:val="00542744"/>
    <w:rsid w:val="0054287F"/>
    <w:rsid w:val="00561720"/>
    <w:rsid w:val="00564F44"/>
    <w:rsid w:val="00565333"/>
    <w:rsid w:val="00581297"/>
    <w:rsid w:val="00584E01"/>
    <w:rsid w:val="00585E14"/>
    <w:rsid w:val="005943B7"/>
    <w:rsid w:val="00596E4B"/>
    <w:rsid w:val="005B33BF"/>
    <w:rsid w:val="005B61F9"/>
    <w:rsid w:val="005D4E52"/>
    <w:rsid w:val="005D5B2D"/>
    <w:rsid w:val="005F2438"/>
    <w:rsid w:val="005F2469"/>
    <w:rsid w:val="005F3A2E"/>
    <w:rsid w:val="005F3E21"/>
    <w:rsid w:val="005F4EF0"/>
    <w:rsid w:val="005F5F8C"/>
    <w:rsid w:val="006026DD"/>
    <w:rsid w:val="00611013"/>
    <w:rsid w:val="00611594"/>
    <w:rsid w:val="006120CC"/>
    <w:rsid w:val="006334FD"/>
    <w:rsid w:val="00633B49"/>
    <w:rsid w:val="00640EE8"/>
    <w:rsid w:val="00642C97"/>
    <w:rsid w:val="00644555"/>
    <w:rsid w:val="006502B1"/>
    <w:rsid w:val="00655989"/>
    <w:rsid w:val="00661510"/>
    <w:rsid w:val="00670A27"/>
    <w:rsid w:val="00670ACD"/>
    <w:rsid w:val="00672DE2"/>
    <w:rsid w:val="00681686"/>
    <w:rsid w:val="00683371"/>
    <w:rsid w:val="00685C8B"/>
    <w:rsid w:val="00691377"/>
    <w:rsid w:val="00696C5A"/>
    <w:rsid w:val="00697FDE"/>
    <w:rsid w:val="006A145F"/>
    <w:rsid w:val="006B4C2E"/>
    <w:rsid w:val="006B6F56"/>
    <w:rsid w:val="006C034F"/>
    <w:rsid w:val="006C57E3"/>
    <w:rsid w:val="006C781F"/>
    <w:rsid w:val="006D07D2"/>
    <w:rsid w:val="006D22EE"/>
    <w:rsid w:val="006D5A88"/>
    <w:rsid w:val="006E0036"/>
    <w:rsid w:val="006E2DAF"/>
    <w:rsid w:val="006E7D6F"/>
    <w:rsid w:val="00702086"/>
    <w:rsid w:val="00712171"/>
    <w:rsid w:val="00717083"/>
    <w:rsid w:val="00721F20"/>
    <w:rsid w:val="0074220B"/>
    <w:rsid w:val="007435C8"/>
    <w:rsid w:val="00750F13"/>
    <w:rsid w:val="007523D9"/>
    <w:rsid w:val="0075322B"/>
    <w:rsid w:val="00762CDA"/>
    <w:rsid w:val="007748E4"/>
    <w:rsid w:val="007762C2"/>
    <w:rsid w:val="007771FB"/>
    <w:rsid w:val="0078204B"/>
    <w:rsid w:val="00782C16"/>
    <w:rsid w:val="00783B80"/>
    <w:rsid w:val="00784593"/>
    <w:rsid w:val="00784A18"/>
    <w:rsid w:val="0079415A"/>
    <w:rsid w:val="007B6431"/>
    <w:rsid w:val="007C2905"/>
    <w:rsid w:val="007C43E4"/>
    <w:rsid w:val="007C5302"/>
    <w:rsid w:val="007C6DAD"/>
    <w:rsid w:val="007D0612"/>
    <w:rsid w:val="007D1081"/>
    <w:rsid w:val="007D673A"/>
    <w:rsid w:val="007E3140"/>
    <w:rsid w:val="007E7A2D"/>
    <w:rsid w:val="007F6143"/>
    <w:rsid w:val="00804579"/>
    <w:rsid w:val="00804C84"/>
    <w:rsid w:val="0081088F"/>
    <w:rsid w:val="00815148"/>
    <w:rsid w:val="00822580"/>
    <w:rsid w:val="00824BBC"/>
    <w:rsid w:val="0082560C"/>
    <w:rsid w:val="008358F2"/>
    <w:rsid w:val="00866DCA"/>
    <w:rsid w:val="00867A58"/>
    <w:rsid w:val="0087318D"/>
    <w:rsid w:val="0087750F"/>
    <w:rsid w:val="00882EE7"/>
    <w:rsid w:val="00883FF8"/>
    <w:rsid w:val="00884DE4"/>
    <w:rsid w:val="00886BA4"/>
    <w:rsid w:val="008955B2"/>
    <w:rsid w:val="008A5B82"/>
    <w:rsid w:val="008C09A9"/>
    <w:rsid w:val="008C22C6"/>
    <w:rsid w:val="008D08A7"/>
    <w:rsid w:val="008D3757"/>
    <w:rsid w:val="008E4453"/>
    <w:rsid w:val="008E4841"/>
    <w:rsid w:val="008E521D"/>
    <w:rsid w:val="00902C3A"/>
    <w:rsid w:val="00910D0D"/>
    <w:rsid w:val="009478AA"/>
    <w:rsid w:val="0095131C"/>
    <w:rsid w:val="009536E1"/>
    <w:rsid w:val="009540EF"/>
    <w:rsid w:val="009552D7"/>
    <w:rsid w:val="00955DC5"/>
    <w:rsid w:val="009566FB"/>
    <w:rsid w:val="009675C1"/>
    <w:rsid w:val="00971D21"/>
    <w:rsid w:val="00974403"/>
    <w:rsid w:val="00976C76"/>
    <w:rsid w:val="009819BC"/>
    <w:rsid w:val="00983A95"/>
    <w:rsid w:val="0098592B"/>
    <w:rsid w:val="00986911"/>
    <w:rsid w:val="00994E19"/>
    <w:rsid w:val="009A0B4B"/>
    <w:rsid w:val="009A5640"/>
    <w:rsid w:val="009A7F42"/>
    <w:rsid w:val="009B4C64"/>
    <w:rsid w:val="009B5A96"/>
    <w:rsid w:val="009B5F8C"/>
    <w:rsid w:val="009B680D"/>
    <w:rsid w:val="009C170A"/>
    <w:rsid w:val="009C5740"/>
    <w:rsid w:val="009C58C9"/>
    <w:rsid w:val="009C5B69"/>
    <w:rsid w:val="009D39E2"/>
    <w:rsid w:val="009D437F"/>
    <w:rsid w:val="009D6D66"/>
    <w:rsid w:val="009E1F1E"/>
    <w:rsid w:val="009E35D6"/>
    <w:rsid w:val="009E3863"/>
    <w:rsid w:val="009E4B25"/>
    <w:rsid w:val="009F07B4"/>
    <w:rsid w:val="009F5799"/>
    <w:rsid w:val="009F5D01"/>
    <w:rsid w:val="009F5F16"/>
    <w:rsid w:val="00A05220"/>
    <w:rsid w:val="00A12D33"/>
    <w:rsid w:val="00A170E7"/>
    <w:rsid w:val="00A20676"/>
    <w:rsid w:val="00A3140D"/>
    <w:rsid w:val="00A3572F"/>
    <w:rsid w:val="00A369F0"/>
    <w:rsid w:val="00A400DB"/>
    <w:rsid w:val="00A42946"/>
    <w:rsid w:val="00A554A1"/>
    <w:rsid w:val="00A6361D"/>
    <w:rsid w:val="00A644C7"/>
    <w:rsid w:val="00A71B61"/>
    <w:rsid w:val="00A73A2A"/>
    <w:rsid w:val="00A771AE"/>
    <w:rsid w:val="00AA1B98"/>
    <w:rsid w:val="00AB2B00"/>
    <w:rsid w:val="00AC01DF"/>
    <w:rsid w:val="00AC2452"/>
    <w:rsid w:val="00AC51B2"/>
    <w:rsid w:val="00AD2849"/>
    <w:rsid w:val="00AE0E69"/>
    <w:rsid w:val="00AE4E78"/>
    <w:rsid w:val="00AE5E6B"/>
    <w:rsid w:val="00AE7253"/>
    <w:rsid w:val="00AF0A51"/>
    <w:rsid w:val="00AF42B4"/>
    <w:rsid w:val="00B00467"/>
    <w:rsid w:val="00B00F10"/>
    <w:rsid w:val="00B03E44"/>
    <w:rsid w:val="00B042EC"/>
    <w:rsid w:val="00B0588D"/>
    <w:rsid w:val="00B14C98"/>
    <w:rsid w:val="00B17C4C"/>
    <w:rsid w:val="00B17CA8"/>
    <w:rsid w:val="00B2239F"/>
    <w:rsid w:val="00B24D5B"/>
    <w:rsid w:val="00B42992"/>
    <w:rsid w:val="00B520E3"/>
    <w:rsid w:val="00B526D3"/>
    <w:rsid w:val="00B55A72"/>
    <w:rsid w:val="00B56F27"/>
    <w:rsid w:val="00B647E1"/>
    <w:rsid w:val="00B70772"/>
    <w:rsid w:val="00B72471"/>
    <w:rsid w:val="00B757C6"/>
    <w:rsid w:val="00B82C97"/>
    <w:rsid w:val="00B82EA7"/>
    <w:rsid w:val="00B83BE2"/>
    <w:rsid w:val="00B930F2"/>
    <w:rsid w:val="00B9431F"/>
    <w:rsid w:val="00BB07A4"/>
    <w:rsid w:val="00BB0E1D"/>
    <w:rsid w:val="00BB30FE"/>
    <w:rsid w:val="00BB6B9F"/>
    <w:rsid w:val="00C0248E"/>
    <w:rsid w:val="00C06AFC"/>
    <w:rsid w:val="00C07264"/>
    <w:rsid w:val="00C12E6F"/>
    <w:rsid w:val="00C21C0D"/>
    <w:rsid w:val="00C21DB7"/>
    <w:rsid w:val="00C26858"/>
    <w:rsid w:val="00C30660"/>
    <w:rsid w:val="00C323F4"/>
    <w:rsid w:val="00C40C1F"/>
    <w:rsid w:val="00C4300A"/>
    <w:rsid w:val="00C440BC"/>
    <w:rsid w:val="00C53DE5"/>
    <w:rsid w:val="00C558D9"/>
    <w:rsid w:val="00C56A00"/>
    <w:rsid w:val="00C6176D"/>
    <w:rsid w:val="00C6266B"/>
    <w:rsid w:val="00C7136B"/>
    <w:rsid w:val="00C72083"/>
    <w:rsid w:val="00C75092"/>
    <w:rsid w:val="00C75A80"/>
    <w:rsid w:val="00C8301B"/>
    <w:rsid w:val="00C83D2B"/>
    <w:rsid w:val="00C87E01"/>
    <w:rsid w:val="00C910C3"/>
    <w:rsid w:val="00C91569"/>
    <w:rsid w:val="00CA74BF"/>
    <w:rsid w:val="00CB6FFC"/>
    <w:rsid w:val="00CB7679"/>
    <w:rsid w:val="00CB7CD5"/>
    <w:rsid w:val="00CC161B"/>
    <w:rsid w:val="00CD0DBD"/>
    <w:rsid w:val="00CD19EC"/>
    <w:rsid w:val="00CD5883"/>
    <w:rsid w:val="00CD6026"/>
    <w:rsid w:val="00CD7EDB"/>
    <w:rsid w:val="00CE2157"/>
    <w:rsid w:val="00CE6ED6"/>
    <w:rsid w:val="00CF3350"/>
    <w:rsid w:val="00CF53A5"/>
    <w:rsid w:val="00D02678"/>
    <w:rsid w:val="00D0603A"/>
    <w:rsid w:val="00D14209"/>
    <w:rsid w:val="00D15D0E"/>
    <w:rsid w:val="00D26CDD"/>
    <w:rsid w:val="00D30272"/>
    <w:rsid w:val="00D319E1"/>
    <w:rsid w:val="00D47AD7"/>
    <w:rsid w:val="00D503E5"/>
    <w:rsid w:val="00D546E0"/>
    <w:rsid w:val="00D60049"/>
    <w:rsid w:val="00D64060"/>
    <w:rsid w:val="00D64367"/>
    <w:rsid w:val="00D6747B"/>
    <w:rsid w:val="00D869EB"/>
    <w:rsid w:val="00D86CE4"/>
    <w:rsid w:val="00D9501C"/>
    <w:rsid w:val="00D965A3"/>
    <w:rsid w:val="00DA3EAC"/>
    <w:rsid w:val="00DB3489"/>
    <w:rsid w:val="00DC513A"/>
    <w:rsid w:val="00DC518C"/>
    <w:rsid w:val="00DD3165"/>
    <w:rsid w:val="00DE3E24"/>
    <w:rsid w:val="00DE4CCA"/>
    <w:rsid w:val="00DF196E"/>
    <w:rsid w:val="00DF62A7"/>
    <w:rsid w:val="00E012B6"/>
    <w:rsid w:val="00E03433"/>
    <w:rsid w:val="00E072FA"/>
    <w:rsid w:val="00E12F0E"/>
    <w:rsid w:val="00E1337B"/>
    <w:rsid w:val="00E14DAD"/>
    <w:rsid w:val="00E1775E"/>
    <w:rsid w:val="00E17C01"/>
    <w:rsid w:val="00E200F2"/>
    <w:rsid w:val="00E207E5"/>
    <w:rsid w:val="00E2525D"/>
    <w:rsid w:val="00E33445"/>
    <w:rsid w:val="00E45310"/>
    <w:rsid w:val="00E476B3"/>
    <w:rsid w:val="00E5269E"/>
    <w:rsid w:val="00E73530"/>
    <w:rsid w:val="00E779D6"/>
    <w:rsid w:val="00E84623"/>
    <w:rsid w:val="00E873C0"/>
    <w:rsid w:val="00E93860"/>
    <w:rsid w:val="00EA09C3"/>
    <w:rsid w:val="00EA76C4"/>
    <w:rsid w:val="00EB10D3"/>
    <w:rsid w:val="00EB1FD7"/>
    <w:rsid w:val="00EB4F17"/>
    <w:rsid w:val="00EB7BC8"/>
    <w:rsid w:val="00EC0BDD"/>
    <w:rsid w:val="00EC542D"/>
    <w:rsid w:val="00ED54C7"/>
    <w:rsid w:val="00EE667E"/>
    <w:rsid w:val="00F00013"/>
    <w:rsid w:val="00F03024"/>
    <w:rsid w:val="00F05FCC"/>
    <w:rsid w:val="00F0623C"/>
    <w:rsid w:val="00F10340"/>
    <w:rsid w:val="00F14A5D"/>
    <w:rsid w:val="00F160BA"/>
    <w:rsid w:val="00F17B08"/>
    <w:rsid w:val="00F17EB0"/>
    <w:rsid w:val="00F20713"/>
    <w:rsid w:val="00F20A3E"/>
    <w:rsid w:val="00F256BF"/>
    <w:rsid w:val="00F36748"/>
    <w:rsid w:val="00F36D63"/>
    <w:rsid w:val="00F40E0B"/>
    <w:rsid w:val="00F4232F"/>
    <w:rsid w:val="00F50504"/>
    <w:rsid w:val="00F5404D"/>
    <w:rsid w:val="00F609E9"/>
    <w:rsid w:val="00F7197F"/>
    <w:rsid w:val="00F7251B"/>
    <w:rsid w:val="00F72ABA"/>
    <w:rsid w:val="00F7344E"/>
    <w:rsid w:val="00F7344F"/>
    <w:rsid w:val="00F77C12"/>
    <w:rsid w:val="00F90D69"/>
    <w:rsid w:val="00F9691B"/>
    <w:rsid w:val="00FA36D3"/>
    <w:rsid w:val="00FA542C"/>
    <w:rsid w:val="00FA6D36"/>
    <w:rsid w:val="00FB13E1"/>
    <w:rsid w:val="00FB593D"/>
    <w:rsid w:val="00FC7DDA"/>
    <w:rsid w:val="00FD49A6"/>
    <w:rsid w:val="00FD6538"/>
    <w:rsid w:val="00FE6F85"/>
    <w:rsid w:val="00FF70D4"/>
    <w:rsid w:val="00FF7FEC"/>
    <w:rsid w:val="010D7F30"/>
    <w:rsid w:val="01117D6F"/>
    <w:rsid w:val="014F4774"/>
    <w:rsid w:val="01626EA9"/>
    <w:rsid w:val="01B41827"/>
    <w:rsid w:val="01FE6FC6"/>
    <w:rsid w:val="025E7212"/>
    <w:rsid w:val="026C0CB3"/>
    <w:rsid w:val="02DA2B5C"/>
    <w:rsid w:val="031A1D53"/>
    <w:rsid w:val="034F46D6"/>
    <w:rsid w:val="047C7B07"/>
    <w:rsid w:val="053562A4"/>
    <w:rsid w:val="059D5B4A"/>
    <w:rsid w:val="05C5173A"/>
    <w:rsid w:val="060D4527"/>
    <w:rsid w:val="062F578F"/>
    <w:rsid w:val="070A234B"/>
    <w:rsid w:val="07364783"/>
    <w:rsid w:val="07587466"/>
    <w:rsid w:val="07A80859"/>
    <w:rsid w:val="07B0009E"/>
    <w:rsid w:val="07DB3825"/>
    <w:rsid w:val="084E08CF"/>
    <w:rsid w:val="08747CBA"/>
    <w:rsid w:val="08815D8B"/>
    <w:rsid w:val="0932556D"/>
    <w:rsid w:val="095A32C1"/>
    <w:rsid w:val="096C6DF1"/>
    <w:rsid w:val="0994152E"/>
    <w:rsid w:val="09CA4A49"/>
    <w:rsid w:val="0A263634"/>
    <w:rsid w:val="0A6174F1"/>
    <w:rsid w:val="0A786C09"/>
    <w:rsid w:val="0A9052A5"/>
    <w:rsid w:val="0B964365"/>
    <w:rsid w:val="0BC41224"/>
    <w:rsid w:val="0BDF4B42"/>
    <w:rsid w:val="0C871385"/>
    <w:rsid w:val="0C961EA1"/>
    <w:rsid w:val="0CDF57F4"/>
    <w:rsid w:val="0D874AFD"/>
    <w:rsid w:val="0E460DCC"/>
    <w:rsid w:val="0E483F00"/>
    <w:rsid w:val="0E511842"/>
    <w:rsid w:val="0FB50233"/>
    <w:rsid w:val="0FB608BC"/>
    <w:rsid w:val="1050467E"/>
    <w:rsid w:val="10CD4389"/>
    <w:rsid w:val="11195595"/>
    <w:rsid w:val="11270A41"/>
    <w:rsid w:val="11326EB7"/>
    <w:rsid w:val="11EE00D5"/>
    <w:rsid w:val="12911695"/>
    <w:rsid w:val="129D460C"/>
    <w:rsid w:val="12A7171D"/>
    <w:rsid w:val="12C53952"/>
    <w:rsid w:val="12F164E1"/>
    <w:rsid w:val="13397BCE"/>
    <w:rsid w:val="13640E5B"/>
    <w:rsid w:val="13A726E2"/>
    <w:rsid w:val="144A13CC"/>
    <w:rsid w:val="14B86A5E"/>
    <w:rsid w:val="16574ED9"/>
    <w:rsid w:val="168E25CD"/>
    <w:rsid w:val="16F75866"/>
    <w:rsid w:val="16FA78CA"/>
    <w:rsid w:val="17397720"/>
    <w:rsid w:val="17F71489"/>
    <w:rsid w:val="183C78CE"/>
    <w:rsid w:val="18B52DD6"/>
    <w:rsid w:val="191537C8"/>
    <w:rsid w:val="19166917"/>
    <w:rsid w:val="1A807E46"/>
    <w:rsid w:val="1A807E56"/>
    <w:rsid w:val="1AA80D1D"/>
    <w:rsid w:val="1AE16358"/>
    <w:rsid w:val="1B063A1F"/>
    <w:rsid w:val="1B5F2753"/>
    <w:rsid w:val="1BD15AF4"/>
    <w:rsid w:val="1BD92985"/>
    <w:rsid w:val="1CD3289A"/>
    <w:rsid w:val="1D615742"/>
    <w:rsid w:val="1D7019C1"/>
    <w:rsid w:val="1D971EF3"/>
    <w:rsid w:val="1DBD8960"/>
    <w:rsid w:val="1E5410D3"/>
    <w:rsid w:val="1E776B18"/>
    <w:rsid w:val="1EAC0D7B"/>
    <w:rsid w:val="1EC12CF5"/>
    <w:rsid w:val="1F500934"/>
    <w:rsid w:val="1F5B4370"/>
    <w:rsid w:val="1FAA5120"/>
    <w:rsid w:val="1FB42712"/>
    <w:rsid w:val="1FBF3DD5"/>
    <w:rsid w:val="1FD941DA"/>
    <w:rsid w:val="1FEA5825"/>
    <w:rsid w:val="1FF73375"/>
    <w:rsid w:val="20665273"/>
    <w:rsid w:val="20DB35F6"/>
    <w:rsid w:val="216319C4"/>
    <w:rsid w:val="2173382E"/>
    <w:rsid w:val="220E3E9E"/>
    <w:rsid w:val="22696E4A"/>
    <w:rsid w:val="228A52D3"/>
    <w:rsid w:val="22A7A1EE"/>
    <w:rsid w:val="23815F46"/>
    <w:rsid w:val="23A00FD0"/>
    <w:rsid w:val="23A368F7"/>
    <w:rsid w:val="23D46DC8"/>
    <w:rsid w:val="23F5677C"/>
    <w:rsid w:val="24526CBD"/>
    <w:rsid w:val="245D6F1C"/>
    <w:rsid w:val="24A227D3"/>
    <w:rsid w:val="250C005C"/>
    <w:rsid w:val="25200AD8"/>
    <w:rsid w:val="255D282B"/>
    <w:rsid w:val="257C4A65"/>
    <w:rsid w:val="25D9458E"/>
    <w:rsid w:val="25EE29B2"/>
    <w:rsid w:val="260A429C"/>
    <w:rsid w:val="260C1F4B"/>
    <w:rsid w:val="264F0E19"/>
    <w:rsid w:val="2699450E"/>
    <w:rsid w:val="26B33C0B"/>
    <w:rsid w:val="26E7E34E"/>
    <w:rsid w:val="26F539E8"/>
    <w:rsid w:val="275B2D9A"/>
    <w:rsid w:val="27E47234"/>
    <w:rsid w:val="27FA547A"/>
    <w:rsid w:val="27FB2575"/>
    <w:rsid w:val="289E713B"/>
    <w:rsid w:val="28DD1D90"/>
    <w:rsid w:val="296F084C"/>
    <w:rsid w:val="297B6A7D"/>
    <w:rsid w:val="29FE4B95"/>
    <w:rsid w:val="2A455781"/>
    <w:rsid w:val="2A7A3965"/>
    <w:rsid w:val="2A80787C"/>
    <w:rsid w:val="2A8F3EC9"/>
    <w:rsid w:val="2A93505E"/>
    <w:rsid w:val="2B7FCBC1"/>
    <w:rsid w:val="2B9777BC"/>
    <w:rsid w:val="2C002159"/>
    <w:rsid w:val="2DD75DC8"/>
    <w:rsid w:val="2DE73540"/>
    <w:rsid w:val="2DEF151A"/>
    <w:rsid w:val="2DF769DC"/>
    <w:rsid w:val="2DFDCA5F"/>
    <w:rsid w:val="2DFDEF9D"/>
    <w:rsid w:val="2DFE9ED2"/>
    <w:rsid w:val="2E570E39"/>
    <w:rsid w:val="2E8C65BF"/>
    <w:rsid w:val="2EA92E66"/>
    <w:rsid w:val="2ECA0CB3"/>
    <w:rsid w:val="2ED50269"/>
    <w:rsid w:val="2EEA0EAE"/>
    <w:rsid w:val="2EED128A"/>
    <w:rsid w:val="2F33419E"/>
    <w:rsid w:val="2F453EFD"/>
    <w:rsid w:val="2F7A4177"/>
    <w:rsid w:val="2FBB8AD3"/>
    <w:rsid w:val="2FF9E8AA"/>
    <w:rsid w:val="2FFF36BE"/>
    <w:rsid w:val="3115529C"/>
    <w:rsid w:val="31B76384"/>
    <w:rsid w:val="320B1AE3"/>
    <w:rsid w:val="32165B50"/>
    <w:rsid w:val="326B0E40"/>
    <w:rsid w:val="32B03984"/>
    <w:rsid w:val="33C67647"/>
    <w:rsid w:val="33D04B10"/>
    <w:rsid w:val="34151D3E"/>
    <w:rsid w:val="34727F6D"/>
    <w:rsid w:val="35745447"/>
    <w:rsid w:val="35950425"/>
    <w:rsid w:val="362E341B"/>
    <w:rsid w:val="36533F02"/>
    <w:rsid w:val="377F486E"/>
    <w:rsid w:val="37813EA9"/>
    <w:rsid w:val="378B2B5D"/>
    <w:rsid w:val="37F9916F"/>
    <w:rsid w:val="381B47D2"/>
    <w:rsid w:val="386FACB3"/>
    <w:rsid w:val="38AE7080"/>
    <w:rsid w:val="38FB2CC8"/>
    <w:rsid w:val="390262E6"/>
    <w:rsid w:val="391D56C6"/>
    <w:rsid w:val="39240A2E"/>
    <w:rsid w:val="39A77F9D"/>
    <w:rsid w:val="39BFDD17"/>
    <w:rsid w:val="3A4A6576"/>
    <w:rsid w:val="3A648840"/>
    <w:rsid w:val="3A723551"/>
    <w:rsid w:val="3AC07947"/>
    <w:rsid w:val="3AEC1CA2"/>
    <w:rsid w:val="3AEF411A"/>
    <w:rsid w:val="3AFF01EF"/>
    <w:rsid w:val="3B2D5FC6"/>
    <w:rsid w:val="3B3DC2A9"/>
    <w:rsid w:val="3B777999"/>
    <w:rsid w:val="3BB165B1"/>
    <w:rsid w:val="3BD78CFD"/>
    <w:rsid w:val="3BED365B"/>
    <w:rsid w:val="3BEFD7D2"/>
    <w:rsid w:val="3BFDE29B"/>
    <w:rsid w:val="3D6BF3A2"/>
    <w:rsid w:val="3DB521D7"/>
    <w:rsid w:val="3DFFC46E"/>
    <w:rsid w:val="3E363529"/>
    <w:rsid w:val="3E520203"/>
    <w:rsid w:val="3E6EBE7D"/>
    <w:rsid w:val="3EA606BD"/>
    <w:rsid w:val="3EB76EA9"/>
    <w:rsid w:val="3EBC1B98"/>
    <w:rsid w:val="3EEF565A"/>
    <w:rsid w:val="3EF7E3D7"/>
    <w:rsid w:val="3F4C367C"/>
    <w:rsid w:val="3F6CBBE6"/>
    <w:rsid w:val="3F7D186B"/>
    <w:rsid w:val="3FB86B84"/>
    <w:rsid w:val="3FCF0EA0"/>
    <w:rsid w:val="3FDDF602"/>
    <w:rsid w:val="3FE9ABA6"/>
    <w:rsid w:val="3FED9C1C"/>
    <w:rsid w:val="3FF03EED"/>
    <w:rsid w:val="3FF6647C"/>
    <w:rsid w:val="3FF7E6AC"/>
    <w:rsid w:val="3FFDF530"/>
    <w:rsid w:val="3FFF5B84"/>
    <w:rsid w:val="3FFF8AEA"/>
    <w:rsid w:val="3FFF953A"/>
    <w:rsid w:val="401B5E64"/>
    <w:rsid w:val="40C4166B"/>
    <w:rsid w:val="40D500DF"/>
    <w:rsid w:val="40E774C7"/>
    <w:rsid w:val="426C502D"/>
    <w:rsid w:val="42FA07E7"/>
    <w:rsid w:val="436810AE"/>
    <w:rsid w:val="437F7043"/>
    <w:rsid w:val="444563D4"/>
    <w:rsid w:val="44EF1B00"/>
    <w:rsid w:val="45CF4E46"/>
    <w:rsid w:val="46515BFC"/>
    <w:rsid w:val="46C45511"/>
    <w:rsid w:val="46D935A6"/>
    <w:rsid w:val="46EB2E89"/>
    <w:rsid w:val="46F570F1"/>
    <w:rsid w:val="4778447E"/>
    <w:rsid w:val="47CC73F7"/>
    <w:rsid w:val="47FBC172"/>
    <w:rsid w:val="48391F39"/>
    <w:rsid w:val="487B71DD"/>
    <w:rsid w:val="48867AAB"/>
    <w:rsid w:val="48E24C72"/>
    <w:rsid w:val="492E4DD9"/>
    <w:rsid w:val="498A77E3"/>
    <w:rsid w:val="49BF4FB3"/>
    <w:rsid w:val="49DF7A74"/>
    <w:rsid w:val="49EFDA04"/>
    <w:rsid w:val="49FA2929"/>
    <w:rsid w:val="4A1E73E6"/>
    <w:rsid w:val="4A635F53"/>
    <w:rsid w:val="4AF773D7"/>
    <w:rsid w:val="4B3B3F0F"/>
    <w:rsid w:val="4B895879"/>
    <w:rsid w:val="4B974077"/>
    <w:rsid w:val="4BA90D67"/>
    <w:rsid w:val="4BFD0804"/>
    <w:rsid w:val="4BFFF00D"/>
    <w:rsid w:val="4C35155C"/>
    <w:rsid w:val="4CB90AB7"/>
    <w:rsid w:val="4CB92AAE"/>
    <w:rsid w:val="4D5325E2"/>
    <w:rsid w:val="4D9329DF"/>
    <w:rsid w:val="4DBF65EB"/>
    <w:rsid w:val="4DFC2D90"/>
    <w:rsid w:val="4E050DB4"/>
    <w:rsid w:val="4E25488F"/>
    <w:rsid w:val="4E7B1F42"/>
    <w:rsid w:val="4F1B0E49"/>
    <w:rsid w:val="4F3877D4"/>
    <w:rsid w:val="4F786B55"/>
    <w:rsid w:val="4F7A8AD3"/>
    <w:rsid w:val="4F7FF4D7"/>
    <w:rsid w:val="4F8A1DA6"/>
    <w:rsid w:val="4FD940E8"/>
    <w:rsid w:val="4FDF282B"/>
    <w:rsid w:val="4FEB9FB4"/>
    <w:rsid w:val="50885837"/>
    <w:rsid w:val="50A1286C"/>
    <w:rsid w:val="50AB1B35"/>
    <w:rsid w:val="51E1787A"/>
    <w:rsid w:val="51F80DD4"/>
    <w:rsid w:val="523E68B0"/>
    <w:rsid w:val="52AD5656"/>
    <w:rsid w:val="52D4EA7B"/>
    <w:rsid w:val="52DC22B4"/>
    <w:rsid w:val="53205C12"/>
    <w:rsid w:val="533D5BE8"/>
    <w:rsid w:val="538958EC"/>
    <w:rsid w:val="53CA0723"/>
    <w:rsid w:val="542D7105"/>
    <w:rsid w:val="55830218"/>
    <w:rsid w:val="558980E0"/>
    <w:rsid w:val="55E705A4"/>
    <w:rsid w:val="56203A0C"/>
    <w:rsid w:val="56383DB0"/>
    <w:rsid w:val="56530FA2"/>
    <w:rsid w:val="56AD6CAF"/>
    <w:rsid w:val="56E53ADB"/>
    <w:rsid w:val="571B7CCD"/>
    <w:rsid w:val="575F1FD6"/>
    <w:rsid w:val="577C8E54"/>
    <w:rsid w:val="57B34FD7"/>
    <w:rsid w:val="57ECB103"/>
    <w:rsid w:val="57EF0FD8"/>
    <w:rsid w:val="57F7833A"/>
    <w:rsid w:val="57F7A4BC"/>
    <w:rsid w:val="57FB75FC"/>
    <w:rsid w:val="57FD7CF3"/>
    <w:rsid w:val="583F79EB"/>
    <w:rsid w:val="585A70CD"/>
    <w:rsid w:val="58E262A4"/>
    <w:rsid w:val="58F5D9DD"/>
    <w:rsid w:val="5948147C"/>
    <w:rsid w:val="59573EF3"/>
    <w:rsid w:val="5A894C16"/>
    <w:rsid w:val="5AB756DD"/>
    <w:rsid w:val="5AFCBC6B"/>
    <w:rsid w:val="5B669575"/>
    <w:rsid w:val="5BDB3721"/>
    <w:rsid w:val="5C18763C"/>
    <w:rsid w:val="5C3E3948"/>
    <w:rsid w:val="5C4F6BDD"/>
    <w:rsid w:val="5C7E18E6"/>
    <w:rsid w:val="5C7F7B4E"/>
    <w:rsid w:val="5CD834DE"/>
    <w:rsid w:val="5CDA0FE8"/>
    <w:rsid w:val="5CE7B0FA"/>
    <w:rsid w:val="5D242C88"/>
    <w:rsid w:val="5D6B5466"/>
    <w:rsid w:val="5D7921C9"/>
    <w:rsid w:val="5DAD7E49"/>
    <w:rsid w:val="5DD56DEE"/>
    <w:rsid w:val="5DEFCEC9"/>
    <w:rsid w:val="5DFB97BE"/>
    <w:rsid w:val="5DFE3F84"/>
    <w:rsid w:val="5DFFA384"/>
    <w:rsid w:val="5E7A9A9A"/>
    <w:rsid w:val="5E7FBC5C"/>
    <w:rsid w:val="5E7FDF2E"/>
    <w:rsid w:val="5EDD6377"/>
    <w:rsid w:val="5EEBD77D"/>
    <w:rsid w:val="5EED101E"/>
    <w:rsid w:val="5EF76024"/>
    <w:rsid w:val="5EFF59D6"/>
    <w:rsid w:val="5EFF974D"/>
    <w:rsid w:val="5F374DB3"/>
    <w:rsid w:val="5F6F9EA4"/>
    <w:rsid w:val="5F8A68FB"/>
    <w:rsid w:val="5FA911F0"/>
    <w:rsid w:val="5FB6F504"/>
    <w:rsid w:val="5FC3061C"/>
    <w:rsid w:val="5FE1BD42"/>
    <w:rsid w:val="5FEE76E6"/>
    <w:rsid w:val="5FF6065B"/>
    <w:rsid w:val="5FF68925"/>
    <w:rsid w:val="5FF9FE18"/>
    <w:rsid w:val="5FFE7695"/>
    <w:rsid w:val="5FFF5101"/>
    <w:rsid w:val="5FFFBFA9"/>
    <w:rsid w:val="604734C2"/>
    <w:rsid w:val="60800E50"/>
    <w:rsid w:val="609B78A2"/>
    <w:rsid w:val="61178030"/>
    <w:rsid w:val="621C3AE7"/>
    <w:rsid w:val="622A5268"/>
    <w:rsid w:val="62A16A3A"/>
    <w:rsid w:val="635380E9"/>
    <w:rsid w:val="63A72136"/>
    <w:rsid w:val="63BEF433"/>
    <w:rsid w:val="63E76A66"/>
    <w:rsid w:val="642B56B0"/>
    <w:rsid w:val="647B5B72"/>
    <w:rsid w:val="649B339C"/>
    <w:rsid w:val="64EFA138"/>
    <w:rsid w:val="65CF4325"/>
    <w:rsid w:val="65D33E68"/>
    <w:rsid w:val="65ED1F71"/>
    <w:rsid w:val="65FDAEE0"/>
    <w:rsid w:val="65FFC3A4"/>
    <w:rsid w:val="65FFEC08"/>
    <w:rsid w:val="66573B66"/>
    <w:rsid w:val="66AD4262"/>
    <w:rsid w:val="66B71094"/>
    <w:rsid w:val="66CB19B2"/>
    <w:rsid w:val="66FECB51"/>
    <w:rsid w:val="675B5A36"/>
    <w:rsid w:val="6763D5B0"/>
    <w:rsid w:val="67871415"/>
    <w:rsid w:val="67DFDD99"/>
    <w:rsid w:val="685E3EBD"/>
    <w:rsid w:val="687B3CF3"/>
    <w:rsid w:val="69A521C6"/>
    <w:rsid w:val="69AF24F6"/>
    <w:rsid w:val="69AF5125"/>
    <w:rsid w:val="69BC2895"/>
    <w:rsid w:val="69DD1E00"/>
    <w:rsid w:val="69E414DD"/>
    <w:rsid w:val="69FBDDC7"/>
    <w:rsid w:val="6A660B83"/>
    <w:rsid w:val="6A7F6D13"/>
    <w:rsid w:val="6AB867A9"/>
    <w:rsid w:val="6AE0106A"/>
    <w:rsid w:val="6AFAC7B1"/>
    <w:rsid w:val="6B1F2D84"/>
    <w:rsid w:val="6B675079"/>
    <w:rsid w:val="6B7DE963"/>
    <w:rsid w:val="6B9F922F"/>
    <w:rsid w:val="6BCC579C"/>
    <w:rsid w:val="6BCFABFB"/>
    <w:rsid w:val="6BE173F2"/>
    <w:rsid w:val="6BEDDD7D"/>
    <w:rsid w:val="6C5B06F6"/>
    <w:rsid w:val="6C8E09D2"/>
    <w:rsid w:val="6CEB0DBC"/>
    <w:rsid w:val="6D410C09"/>
    <w:rsid w:val="6D7FBAFD"/>
    <w:rsid w:val="6D7FD33D"/>
    <w:rsid w:val="6D8707CD"/>
    <w:rsid w:val="6D99C997"/>
    <w:rsid w:val="6DA809BC"/>
    <w:rsid w:val="6DBB907A"/>
    <w:rsid w:val="6DFEA535"/>
    <w:rsid w:val="6DFFA9F6"/>
    <w:rsid w:val="6E159DA2"/>
    <w:rsid w:val="6E5DDBDC"/>
    <w:rsid w:val="6E6901BA"/>
    <w:rsid w:val="6E9E9F2D"/>
    <w:rsid w:val="6EBD7952"/>
    <w:rsid w:val="6EC60388"/>
    <w:rsid w:val="6F014DEF"/>
    <w:rsid w:val="6F705A5C"/>
    <w:rsid w:val="6F880F97"/>
    <w:rsid w:val="6FA369DD"/>
    <w:rsid w:val="6FD3808E"/>
    <w:rsid w:val="6FD9D43E"/>
    <w:rsid w:val="6FDE616D"/>
    <w:rsid w:val="6FDFD0C5"/>
    <w:rsid w:val="6FED74AE"/>
    <w:rsid w:val="6FFCE334"/>
    <w:rsid w:val="6FFE7508"/>
    <w:rsid w:val="6FFFF4AF"/>
    <w:rsid w:val="70E78717"/>
    <w:rsid w:val="7170414E"/>
    <w:rsid w:val="71DF0AF3"/>
    <w:rsid w:val="71E82352"/>
    <w:rsid w:val="71FB2FE3"/>
    <w:rsid w:val="72211E04"/>
    <w:rsid w:val="722B3E46"/>
    <w:rsid w:val="724759C2"/>
    <w:rsid w:val="733F4938"/>
    <w:rsid w:val="73AE4630"/>
    <w:rsid w:val="73EB24A3"/>
    <w:rsid w:val="73EF23B4"/>
    <w:rsid w:val="73EF394F"/>
    <w:rsid w:val="73F1677E"/>
    <w:rsid w:val="73FF29DC"/>
    <w:rsid w:val="748FE1E7"/>
    <w:rsid w:val="74DC1816"/>
    <w:rsid w:val="755961C5"/>
    <w:rsid w:val="758C6643"/>
    <w:rsid w:val="75CB4C31"/>
    <w:rsid w:val="75F820E8"/>
    <w:rsid w:val="75FB9FF3"/>
    <w:rsid w:val="75FE5A48"/>
    <w:rsid w:val="75FF56C0"/>
    <w:rsid w:val="765F4657"/>
    <w:rsid w:val="76F25A9D"/>
    <w:rsid w:val="76FB0E00"/>
    <w:rsid w:val="76FEB484"/>
    <w:rsid w:val="77304047"/>
    <w:rsid w:val="775A16EB"/>
    <w:rsid w:val="775DCAF6"/>
    <w:rsid w:val="777FFB87"/>
    <w:rsid w:val="77AB2709"/>
    <w:rsid w:val="77B72734"/>
    <w:rsid w:val="77BA91FC"/>
    <w:rsid w:val="77CD59C0"/>
    <w:rsid w:val="77DF124C"/>
    <w:rsid w:val="77EDFFAF"/>
    <w:rsid w:val="77FD9252"/>
    <w:rsid w:val="77FE32EC"/>
    <w:rsid w:val="77FE8B6E"/>
    <w:rsid w:val="791743F7"/>
    <w:rsid w:val="797F8114"/>
    <w:rsid w:val="798031CF"/>
    <w:rsid w:val="79FB5FAF"/>
    <w:rsid w:val="7A2FB116"/>
    <w:rsid w:val="7A376519"/>
    <w:rsid w:val="7A3F6EB8"/>
    <w:rsid w:val="7A67D8E4"/>
    <w:rsid w:val="7AA41EB8"/>
    <w:rsid w:val="7AF1EB58"/>
    <w:rsid w:val="7AF71059"/>
    <w:rsid w:val="7AFCBFBD"/>
    <w:rsid w:val="7B2F27DC"/>
    <w:rsid w:val="7B5D6E41"/>
    <w:rsid w:val="7B6E6DF3"/>
    <w:rsid w:val="7B7E918F"/>
    <w:rsid w:val="7B7F2C31"/>
    <w:rsid w:val="7BB66289"/>
    <w:rsid w:val="7BCCCAA1"/>
    <w:rsid w:val="7BD9CB31"/>
    <w:rsid w:val="7BE3C6C4"/>
    <w:rsid w:val="7BE70D0A"/>
    <w:rsid w:val="7BED67F5"/>
    <w:rsid w:val="7BF9018F"/>
    <w:rsid w:val="7BFDA313"/>
    <w:rsid w:val="7BFF3E46"/>
    <w:rsid w:val="7C137A81"/>
    <w:rsid w:val="7C292323"/>
    <w:rsid w:val="7C423ACB"/>
    <w:rsid w:val="7C774249"/>
    <w:rsid w:val="7C9E5EE6"/>
    <w:rsid w:val="7CBBCED2"/>
    <w:rsid w:val="7CBD0039"/>
    <w:rsid w:val="7CCE6F60"/>
    <w:rsid w:val="7CCF4580"/>
    <w:rsid w:val="7CDF64C7"/>
    <w:rsid w:val="7D79DF34"/>
    <w:rsid w:val="7D7EABE1"/>
    <w:rsid w:val="7D7F419E"/>
    <w:rsid w:val="7D7FB7BE"/>
    <w:rsid w:val="7DAB4387"/>
    <w:rsid w:val="7DBD8EB2"/>
    <w:rsid w:val="7DBF075B"/>
    <w:rsid w:val="7DD97AA7"/>
    <w:rsid w:val="7DDB05A4"/>
    <w:rsid w:val="7DDD2722"/>
    <w:rsid w:val="7DDFA753"/>
    <w:rsid w:val="7DEAA60B"/>
    <w:rsid w:val="7DEB5413"/>
    <w:rsid w:val="7DEE0B18"/>
    <w:rsid w:val="7DEE768A"/>
    <w:rsid w:val="7DF514E7"/>
    <w:rsid w:val="7DF9577A"/>
    <w:rsid w:val="7DF98B02"/>
    <w:rsid w:val="7DFF5D72"/>
    <w:rsid w:val="7DFF6D6E"/>
    <w:rsid w:val="7DFF74AD"/>
    <w:rsid w:val="7DFFE1BD"/>
    <w:rsid w:val="7E3B3277"/>
    <w:rsid w:val="7E5F1FD6"/>
    <w:rsid w:val="7E7D8ABF"/>
    <w:rsid w:val="7E9B1278"/>
    <w:rsid w:val="7EB1EA29"/>
    <w:rsid w:val="7EBDE22E"/>
    <w:rsid w:val="7EBF4E53"/>
    <w:rsid w:val="7EBF6762"/>
    <w:rsid w:val="7EBF841F"/>
    <w:rsid w:val="7EF1BD9C"/>
    <w:rsid w:val="7EFB3B17"/>
    <w:rsid w:val="7EFCFAD4"/>
    <w:rsid w:val="7EFD0516"/>
    <w:rsid w:val="7EFF3B41"/>
    <w:rsid w:val="7EFF6CE0"/>
    <w:rsid w:val="7F3217A8"/>
    <w:rsid w:val="7F434F43"/>
    <w:rsid w:val="7F6F325F"/>
    <w:rsid w:val="7F75E46A"/>
    <w:rsid w:val="7F7D4D66"/>
    <w:rsid w:val="7F8D69DE"/>
    <w:rsid w:val="7F923854"/>
    <w:rsid w:val="7F9D2CC6"/>
    <w:rsid w:val="7FAA92EA"/>
    <w:rsid w:val="7FAB964F"/>
    <w:rsid w:val="7FADC894"/>
    <w:rsid w:val="7FADCEB7"/>
    <w:rsid w:val="7FAF8E99"/>
    <w:rsid w:val="7FAF9BEF"/>
    <w:rsid w:val="7FAFECCB"/>
    <w:rsid w:val="7FB5AD8E"/>
    <w:rsid w:val="7FB70309"/>
    <w:rsid w:val="7FBEA4D8"/>
    <w:rsid w:val="7FC71DFA"/>
    <w:rsid w:val="7FCE9B4A"/>
    <w:rsid w:val="7FD74590"/>
    <w:rsid w:val="7FDED9E5"/>
    <w:rsid w:val="7FE37818"/>
    <w:rsid w:val="7FEAA9AB"/>
    <w:rsid w:val="7FFD73C0"/>
    <w:rsid w:val="7FFDE014"/>
    <w:rsid w:val="7FFEC443"/>
    <w:rsid w:val="7FFF351D"/>
    <w:rsid w:val="7FFF8137"/>
    <w:rsid w:val="7FFFD4F9"/>
    <w:rsid w:val="87EFB873"/>
    <w:rsid w:val="8BBD71C6"/>
    <w:rsid w:val="8BDB5640"/>
    <w:rsid w:val="8BF73B00"/>
    <w:rsid w:val="8CFAC852"/>
    <w:rsid w:val="8DD50D56"/>
    <w:rsid w:val="939FA03F"/>
    <w:rsid w:val="96BFCB2F"/>
    <w:rsid w:val="973F25DC"/>
    <w:rsid w:val="97EF25B5"/>
    <w:rsid w:val="992FC3A9"/>
    <w:rsid w:val="99FDBB83"/>
    <w:rsid w:val="9B77CB3B"/>
    <w:rsid w:val="9B8B32CE"/>
    <w:rsid w:val="9BDBED88"/>
    <w:rsid w:val="9BF5DD3C"/>
    <w:rsid w:val="9D7A5340"/>
    <w:rsid w:val="9DEE0AF2"/>
    <w:rsid w:val="9F1BAF19"/>
    <w:rsid w:val="9F6FCCBD"/>
    <w:rsid w:val="9F7B353E"/>
    <w:rsid w:val="9F97ABBB"/>
    <w:rsid w:val="9FB59D1C"/>
    <w:rsid w:val="9FCD91C3"/>
    <w:rsid w:val="9FE392F3"/>
    <w:rsid w:val="9FEFA79E"/>
    <w:rsid w:val="A6CD27B8"/>
    <w:rsid w:val="A6FB25A1"/>
    <w:rsid w:val="A77FBB3D"/>
    <w:rsid w:val="A7DE9939"/>
    <w:rsid w:val="ABEBF671"/>
    <w:rsid w:val="ACD7FBCE"/>
    <w:rsid w:val="AD5FC3D8"/>
    <w:rsid w:val="ADFCDA63"/>
    <w:rsid w:val="AEFE2613"/>
    <w:rsid w:val="AF6D42D8"/>
    <w:rsid w:val="AF7B5CBD"/>
    <w:rsid w:val="AFF2AFD8"/>
    <w:rsid w:val="B0DD6782"/>
    <w:rsid w:val="B1BC1CFE"/>
    <w:rsid w:val="B3F789F3"/>
    <w:rsid w:val="B5E6287B"/>
    <w:rsid w:val="B5FFA584"/>
    <w:rsid w:val="B67F43DA"/>
    <w:rsid w:val="B7AAC7AB"/>
    <w:rsid w:val="B7BA8507"/>
    <w:rsid w:val="B7BD6C08"/>
    <w:rsid w:val="B7BF2100"/>
    <w:rsid w:val="B7BF928E"/>
    <w:rsid w:val="B7DB7E02"/>
    <w:rsid w:val="B7EFE48C"/>
    <w:rsid w:val="B7FB4104"/>
    <w:rsid w:val="B8F1D304"/>
    <w:rsid w:val="B9DFF72D"/>
    <w:rsid w:val="B9FE2322"/>
    <w:rsid w:val="BA9D2B5C"/>
    <w:rsid w:val="BB2DFF0C"/>
    <w:rsid w:val="BBB73ED3"/>
    <w:rsid w:val="BBDDE668"/>
    <w:rsid w:val="BBF976E4"/>
    <w:rsid w:val="BCFD65E9"/>
    <w:rsid w:val="BD1FFFD0"/>
    <w:rsid w:val="BD574E1A"/>
    <w:rsid w:val="BDD35FA2"/>
    <w:rsid w:val="BDFED098"/>
    <w:rsid w:val="BEFF32EE"/>
    <w:rsid w:val="BF3DD8EC"/>
    <w:rsid w:val="BF66D87B"/>
    <w:rsid w:val="BF7FA6A8"/>
    <w:rsid w:val="BF86A395"/>
    <w:rsid w:val="BF8B3571"/>
    <w:rsid w:val="BFAFE011"/>
    <w:rsid w:val="BFBED802"/>
    <w:rsid w:val="BFD7166A"/>
    <w:rsid w:val="BFE91E89"/>
    <w:rsid w:val="BFFDEDCF"/>
    <w:rsid w:val="BFFE8C2C"/>
    <w:rsid w:val="BFFFD4F7"/>
    <w:rsid w:val="C76F1B9F"/>
    <w:rsid w:val="CB7716C7"/>
    <w:rsid w:val="CBA5DAA6"/>
    <w:rsid w:val="CC6DE0F8"/>
    <w:rsid w:val="CCDD67D1"/>
    <w:rsid w:val="CD7F210F"/>
    <w:rsid w:val="D2BFFCB1"/>
    <w:rsid w:val="D3DF06DD"/>
    <w:rsid w:val="D3FDADCA"/>
    <w:rsid w:val="D5BF67B5"/>
    <w:rsid w:val="D5FFDDD5"/>
    <w:rsid w:val="D6EF683A"/>
    <w:rsid w:val="D74F8C7A"/>
    <w:rsid w:val="D8F1B670"/>
    <w:rsid w:val="D9BD4245"/>
    <w:rsid w:val="D9BF9829"/>
    <w:rsid w:val="DB5C880C"/>
    <w:rsid w:val="DB9D06EC"/>
    <w:rsid w:val="DBFA615B"/>
    <w:rsid w:val="DC676154"/>
    <w:rsid w:val="DCED8BC2"/>
    <w:rsid w:val="DD750548"/>
    <w:rsid w:val="DDEF21EF"/>
    <w:rsid w:val="DDFE3EC8"/>
    <w:rsid w:val="DDFEE100"/>
    <w:rsid w:val="DDFF03F5"/>
    <w:rsid w:val="DE3A4BE9"/>
    <w:rsid w:val="DE7B74E6"/>
    <w:rsid w:val="DEB67C06"/>
    <w:rsid w:val="DEB75CB5"/>
    <w:rsid w:val="DEB8D6C0"/>
    <w:rsid w:val="DEC755C4"/>
    <w:rsid w:val="DEE5F43D"/>
    <w:rsid w:val="DF5E709F"/>
    <w:rsid w:val="DFB7B065"/>
    <w:rsid w:val="DFE722C8"/>
    <w:rsid w:val="DFEADEEC"/>
    <w:rsid w:val="DFED96F5"/>
    <w:rsid w:val="DFF5BE25"/>
    <w:rsid w:val="DFFDF294"/>
    <w:rsid w:val="DFFE36F4"/>
    <w:rsid w:val="DFFF83D7"/>
    <w:rsid w:val="E1AE537B"/>
    <w:rsid w:val="E377CAD3"/>
    <w:rsid w:val="E5D7312E"/>
    <w:rsid w:val="E6EFE6B2"/>
    <w:rsid w:val="E75F346D"/>
    <w:rsid w:val="E77B90FD"/>
    <w:rsid w:val="E77EE8BD"/>
    <w:rsid w:val="E7FDD106"/>
    <w:rsid w:val="E7FF509E"/>
    <w:rsid w:val="E9EC7ED8"/>
    <w:rsid w:val="E9FD7CB3"/>
    <w:rsid w:val="EABE1C3F"/>
    <w:rsid w:val="EAFB901F"/>
    <w:rsid w:val="EB1ED3A4"/>
    <w:rsid w:val="EB76BA0A"/>
    <w:rsid w:val="EBA3F109"/>
    <w:rsid w:val="EBBE8894"/>
    <w:rsid w:val="EBDB85E2"/>
    <w:rsid w:val="EBDFAC8B"/>
    <w:rsid w:val="EBF58581"/>
    <w:rsid w:val="EBFAD5A7"/>
    <w:rsid w:val="ECFD547B"/>
    <w:rsid w:val="EDBB1478"/>
    <w:rsid w:val="EDDE5DAF"/>
    <w:rsid w:val="EDE12409"/>
    <w:rsid w:val="EDFB5EF7"/>
    <w:rsid w:val="EE7F1E85"/>
    <w:rsid w:val="EE8FF47B"/>
    <w:rsid w:val="EEFE3F12"/>
    <w:rsid w:val="EF36B7FB"/>
    <w:rsid w:val="EF3E4456"/>
    <w:rsid w:val="EF6AC498"/>
    <w:rsid w:val="EF6F0BE8"/>
    <w:rsid w:val="EF7DDF33"/>
    <w:rsid w:val="EF7E72E2"/>
    <w:rsid w:val="EFAF4FD4"/>
    <w:rsid w:val="EFE7B20E"/>
    <w:rsid w:val="EFEFB4B1"/>
    <w:rsid w:val="EFF5C566"/>
    <w:rsid w:val="EFFB1BAC"/>
    <w:rsid w:val="EFFD145D"/>
    <w:rsid w:val="EFFD8CFF"/>
    <w:rsid w:val="F1F5D3C4"/>
    <w:rsid w:val="F275DA76"/>
    <w:rsid w:val="F2DF2013"/>
    <w:rsid w:val="F32FB4EF"/>
    <w:rsid w:val="F3B33006"/>
    <w:rsid w:val="F3D90753"/>
    <w:rsid w:val="F3FFE6B5"/>
    <w:rsid w:val="F4FA30E7"/>
    <w:rsid w:val="F53FC911"/>
    <w:rsid w:val="F5750987"/>
    <w:rsid w:val="F5E75DD7"/>
    <w:rsid w:val="F5F30E22"/>
    <w:rsid w:val="F5FF5345"/>
    <w:rsid w:val="F64BCF72"/>
    <w:rsid w:val="F65D0F29"/>
    <w:rsid w:val="F66F9C62"/>
    <w:rsid w:val="F6B7E99E"/>
    <w:rsid w:val="F6B93B3E"/>
    <w:rsid w:val="F6DA814B"/>
    <w:rsid w:val="F6FCA072"/>
    <w:rsid w:val="F6FE3890"/>
    <w:rsid w:val="F6FE4781"/>
    <w:rsid w:val="F767787F"/>
    <w:rsid w:val="F7779F5E"/>
    <w:rsid w:val="F77B79BE"/>
    <w:rsid w:val="F77FFFC8"/>
    <w:rsid w:val="F7AD5629"/>
    <w:rsid w:val="F7AF4754"/>
    <w:rsid w:val="F7AF6DC5"/>
    <w:rsid w:val="F7BF4DCB"/>
    <w:rsid w:val="F7CB1098"/>
    <w:rsid w:val="F7D35C9B"/>
    <w:rsid w:val="F7D62FCE"/>
    <w:rsid w:val="F7DEBAE4"/>
    <w:rsid w:val="F7FEBCDB"/>
    <w:rsid w:val="F7FF8ABD"/>
    <w:rsid w:val="F7FFB081"/>
    <w:rsid w:val="F87F1A3D"/>
    <w:rsid w:val="F9BB8E09"/>
    <w:rsid w:val="F9BF68F8"/>
    <w:rsid w:val="F9CC6249"/>
    <w:rsid w:val="F9DE41CD"/>
    <w:rsid w:val="F9E751BA"/>
    <w:rsid w:val="FA3DCC22"/>
    <w:rsid w:val="FA6EA470"/>
    <w:rsid w:val="FAD6E1AF"/>
    <w:rsid w:val="FAEF69FA"/>
    <w:rsid w:val="FAFD2248"/>
    <w:rsid w:val="FAFDF4F8"/>
    <w:rsid w:val="FBAF6E9B"/>
    <w:rsid w:val="FBBF6130"/>
    <w:rsid w:val="FBEB7BF2"/>
    <w:rsid w:val="FBEBB3ED"/>
    <w:rsid w:val="FBFB0CD5"/>
    <w:rsid w:val="FBFC2E41"/>
    <w:rsid w:val="FBFD30AE"/>
    <w:rsid w:val="FBFEC197"/>
    <w:rsid w:val="FBFF6FD8"/>
    <w:rsid w:val="FBFFEA55"/>
    <w:rsid w:val="FC5E3D7D"/>
    <w:rsid w:val="FCFD6AF8"/>
    <w:rsid w:val="FCFFE151"/>
    <w:rsid w:val="FD679674"/>
    <w:rsid w:val="FD77CD95"/>
    <w:rsid w:val="FD7EE6D9"/>
    <w:rsid w:val="FD7F22E7"/>
    <w:rsid w:val="FDAD20B2"/>
    <w:rsid w:val="FDBD51EA"/>
    <w:rsid w:val="FDFB85B4"/>
    <w:rsid w:val="FDFF4920"/>
    <w:rsid w:val="FDFF96AE"/>
    <w:rsid w:val="FDFFF909"/>
    <w:rsid w:val="FE3F8F48"/>
    <w:rsid w:val="FE4FC563"/>
    <w:rsid w:val="FE539E0F"/>
    <w:rsid w:val="FE62886C"/>
    <w:rsid w:val="FEBF1833"/>
    <w:rsid w:val="FED61A61"/>
    <w:rsid w:val="FEDF65FC"/>
    <w:rsid w:val="FEE92AFA"/>
    <w:rsid w:val="FEEBB54D"/>
    <w:rsid w:val="FEEDE71C"/>
    <w:rsid w:val="FEF57FE0"/>
    <w:rsid w:val="FEF74162"/>
    <w:rsid w:val="FEF8F85A"/>
    <w:rsid w:val="FEFF5102"/>
    <w:rsid w:val="FF54E895"/>
    <w:rsid w:val="FF679C78"/>
    <w:rsid w:val="FF7780DB"/>
    <w:rsid w:val="FF7E1B76"/>
    <w:rsid w:val="FF7F1B75"/>
    <w:rsid w:val="FF7F442F"/>
    <w:rsid w:val="FF7F9012"/>
    <w:rsid w:val="FF7FBE0A"/>
    <w:rsid w:val="FFACB62B"/>
    <w:rsid w:val="FFBAE316"/>
    <w:rsid w:val="FFBB3092"/>
    <w:rsid w:val="FFBBC91E"/>
    <w:rsid w:val="FFBD2A63"/>
    <w:rsid w:val="FFBE8556"/>
    <w:rsid w:val="FFBEFFA5"/>
    <w:rsid w:val="FFBF6667"/>
    <w:rsid w:val="FFBFA54E"/>
    <w:rsid w:val="FFCBAC21"/>
    <w:rsid w:val="FFD2F072"/>
    <w:rsid w:val="FFD79819"/>
    <w:rsid w:val="FFD7D42B"/>
    <w:rsid w:val="FFDA555F"/>
    <w:rsid w:val="FFDF70C2"/>
    <w:rsid w:val="FFE703E8"/>
    <w:rsid w:val="FFEF3CED"/>
    <w:rsid w:val="FFF50D13"/>
    <w:rsid w:val="FFF77383"/>
    <w:rsid w:val="FFF93375"/>
    <w:rsid w:val="FFFAFFCB"/>
    <w:rsid w:val="FFFC772F"/>
    <w:rsid w:val="FFFDE791"/>
    <w:rsid w:val="FFFE2390"/>
    <w:rsid w:val="FFFF02D3"/>
    <w:rsid w:val="FFFF0B70"/>
    <w:rsid w:val="FFFF22AA"/>
    <w:rsid w:val="FFFF754C"/>
    <w:rsid w:val="FFFF9E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560" w:firstLineChars="200"/>
      <w:jc w:val="both"/>
    </w:pPr>
    <w:rPr>
      <w:rFonts w:ascii="Times New Roman" w:hAnsi="Times New Roman" w:eastAsia="仿宋_GB2312" w:cs="Times New Roman"/>
      <w:color w:val="000000"/>
      <w:sz w:val="32"/>
      <w:szCs w:val="24"/>
      <w:lang w:val="en-US" w:eastAsia="en-US" w:bidi="en-US"/>
    </w:rPr>
  </w:style>
  <w:style w:type="paragraph" w:styleId="2">
    <w:name w:val="heading 1"/>
    <w:basedOn w:val="1"/>
    <w:next w:val="1"/>
    <w:qFormat/>
    <w:uiPriority w:val="0"/>
    <w:pPr>
      <w:keepNext/>
      <w:keepLines/>
      <w:spacing w:before="50" w:beforeLines="50" w:after="50" w:afterLines="50"/>
      <w:ind w:firstLine="0" w:firstLineChars="0"/>
      <w:outlineLvl w:val="0"/>
    </w:pPr>
    <w:rPr>
      <w:rFonts w:eastAsia="黑体"/>
      <w:b/>
      <w:kern w:val="44"/>
    </w:rPr>
  </w:style>
  <w:style w:type="paragraph" w:styleId="3">
    <w:name w:val="heading 2"/>
    <w:basedOn w:val="1"/>
    <w:next w:val="1"/>
    <w:link w:val="26"/>
    <w:unhideWhenUsed/>
    <w:qFormat/>
    <w:uiPriority w:val="0"/>
    <w:pPr>
      <w:keepNext/>
      <w:keepLines/>
      <w:spacing w:before="50" w:beforeLines="50" w:after="50" w:afterLines="50"/>
      <w:outlineLvl w:val="1"/>
    </w:pPr>
    <w:rPr>
      <w:rFonts w:ascii="华文楷体" w:hAnsi="华文楷体" w:eastAsia="楷体"/>
      <w:b/>
    </w:rPr>
  </w:style>
  <w:style w:type="paragraph" w:styleId="4">
    <w:name w:val="heading 3"/>
    <w:basedOn w:val="1"/>
    <w:next w:val="1"/>
    <w:link w:val="27"/>
    <w:unhideWhenUsed/>
    <w:qFormat/>
    <w:uiPriority w:val="0"/>
    <w:pPr>
      <w:keepNext/>
      <w:keepLines/>
      <w:ind w:firstLine="200"/>
      <w:outlineLvl w:val="2"/>
    </w:pPr>
    <w:rPr>
      <w:b/>
    </w:rPr>
  </w:style>
  <w:style w:type="paragraph" w:styleId="5">
    <w:name w:val="heading 4"/>
    <w:basedOn w:val="1"/>
    <w:next w:val="1"/>
    <w:unhideWhenUsed/>
    <w:qFormat/>
    <w:uiPriority w:val="0"/>
    <w:pPr>
      <w:keepNext/>
      <w:keepLines/>
      <w:outlineLvl w:val="3"/>
    </w:pPr>
    <w:rPr>
      <w:b/>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920"/>
      <w:jc w:val="left"/>
    </w:pPr>
    <w:rPr>
      <w:rFonts w:asciiTheme="minorHAnsi" w:hAnsiTheme="minorHAnsi" w:cstheme="minorHAnsi"/>
      <w:sz w:val="18"/>
      <w:szCs w:val="18"/>
    </w:rPr>
  </w:style>
  <w:style w:type="paragraph" w:styleId="7">
    <w:name w:val="Body Text"/>
    <w:basedOn w:val="1"/>
    <w:link w:val="53"/>
    <w:qFormat/>
    <w:uiPriority w:val="0"/>
    <w:pPr>
      <w:spacing w:before="240"/>
      <w:ind w:left="1160"/>
    </w:pPr>
    <w:rPr>
      <w:rFonts w:ascii="仿宋_GB2312" w:hAnsi="仿宋_GB2312" w:cs="仿宋_GB2312"/>
      <w:sz w:val="30"/>
      <w:szCs w:val="30"/>
      <w:lang w:val="zh-CN" w:eastAsia="zh-CN" w:bidi="zh-CN"/>
    </w:rPr>
  </w:style>
  <w:style w:type="paragraph" w:styleId="8">
    <w:name w:val="toc 5"/>
    <w:basedOn w:val="1"/>
    <w:next w:val="1"/>
    <w:qFormat/>
    <w:uiPriority w:val="0"/>
    <w:pPr>
      <w:ind w:left="1280"/>
      <w:jc w:val="left"/>
    </w:pPr>
    <w:rPr>
      <w:rFonts w:asciiTheme="minorHAnsi" w:hAnsiTheme="minorHAnsi" w:cstheme="minorHAnsi"/>
      <w:sz w:val="18"/>
      <w:szCs w:val="18"/>
    </w:rPr>
  </w:style>
  <w:style w:type="paragraph" w:styleId="9">
    <w:name w:val="toc 3"/>
    <w:basedOn w:val="1"/>
    <w:next w:val="1"/>
    <w:qFormat/>
    <w:uiPriority w:val="39"/>
    <w:pPr>
      <w:ind w:left="640"/>
      <w:jc w:val="left"/>
    </w:pPr>
    <w:rPr>
      <w:rFonts w:asciiTheme="minorHAnsi" w:hAnsiTheme="minorHAnsi" w:cstheme="minorHAnsi"/>
      <w:i/>
      <w:iCs/>
      <w:sz w:val="20"/>
      <w:szCs w:val="20"/>
    </w:rPr>
  </w:style>
  <w:style w:type="paragraph" w:styleId="10">
    <w:name w:val="toc 8"/>
    <w:basedOn w:val="1"/>
    <w:next w:val="1"/>
    <w:qFormat/>
    <w:uiPriority w:val="0"/>
    <w:pPr>
      <w:ind w:left="2240"/>
      <w:jc w:val="left"/>
    </w:pPr>
    <w:rPr>
      <w:rFonts w:asciiTheme="minorHAnsi" w:hAnsiTheme="minorHAnsi" w:cstheme="minorHAnsi"/>
      <w:sz w:val="18"/>
      <w:szCs w:val="18"/>
    </w:rPr>
  </w:style>
  <w:style w:type="paragraph" w:styleId="11">
    <w:name w:val="Balloon Text"/>
    <w:basedOn w:val="1"/>
    <w:link w:val="52"/>
    <w:qFormat/>
    <w:uiPriority w:val="0"/>
    <w:pPr>
      <w:spacing w:line="240" w:lineRule="auto"/>
    </w:pPr>
    <w:rPr>
      <w:sz w:val="18"/>
      <w:szCs w:val="18"/>
    </w:rPr>
  </w:style>
  <w:style w:type="paragraph" w:styleId="12">
    <w:name w:val="footer"/>
    <w:basedOn w:val="1"/>
    <w:link w:val="54"/>
    <w:qFormat/>
    <w:uiPriority w:val="99"/>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DejaVu Sans" w:hAnsi="DejaVu Sans"/>
      <w:sz w:val="18"/>
    </w:rPr>
  </w:style>
  <w:style w:type="paragraph" w:styleId="14">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15">
    <w:name w:val="toc 4"/>
    <w:basedOn w:val="1"/>
    <w:next w:val="1"/>
    <w:qFormat/>
    <w:uiPriority w:val="0"/>
    <w:pPr>
      <w:ind w:left="960"/>
      <w:jc w:val="left"/>
    </w:pPr>
    <w:rPr>
      <w:rFonts w:asciiTheme="minorHAnsi" w:hAnsiTheme="minorHAnsi" w:cstheme="minorHAnsi"/>
      <w:sz w:val="18"/>
      <w:szCs w:val="18"/>
    </w:rPr>
  </w:style>
  <w:style w:type="paragraph" w:styleId="16">
    <w:name w:val="toc 6"/>
    <w:basedOn w:val="1"/>
    <w:next w:val="1"/>
    <w:qFormat/>
    <w:uiPriority w:val="0"/>
    <w:pPr>
      <w:ind w:left="1600"/>
      <w:jc w:val="left"/>
    </w:pPr>
    <w:rPr>
      <w:rFonts w:asciiTheme="minorHAnsi" w:hAnsiTheme="minorHAnsi" w:cstheme="minorHAnsi"/>
      <w:sz w:val="18"/>
      <w:szCs w:val="18"/>
    </w:rPr>
  </w:style>
  <w:style w:type="paragraph" w:styleId="17">
    <w:name w:val="toc 2"/>
    <w:basedOn w:val="1"/>
    <w:next w:val="1"/>
    <w:qFormat/>
    <w:uiPriority w:val="39"/>
    <w:pPr>
      <w:ind w:left="320"/>
      <w:jc w:val="left"/>
    </w:pPr>
    <w:rPr>
      <w:rFonts w:asciiTheme="minorHAnsi" w:hAnsiTheme="minorHAnsi" w:cstheme="minorHAnsi"/>
      <w:smallCaps/>
      <w:sz w:val="20"/>
      <w:szCs w:val="20"/>
    </w:rPr>
  </w:style>
  <w:style w:type="paragraph" w:styleId="18">
    <w:name w:val="toc 9"/>
    <w:basedOn w:val="1"/>
    <w:next w:val="1"/>
    <w:qFormat/>
    <w:uiPriority w:val="0"/>
    <w:pPr>
      <w:ind w:left="2560"/>
      <w:jc w:val="left"/>
    </w:pPr>
    <w:rPr>
      <w:rFonts w:asciiTheme="minorHAnsi" w:hAnsiTheme="minorHAnsi" w:cstheme="minorHAnsi"/>
      <w:sz w:val="18"/>
      <w:szCs w:val="18"/>
    </w:rPr>
  </w:style>
  <w:style w:type="paragraph" w:styleId="19">
    <w:name w:val="Normal (Web)"/>
    <w:basedOn w:val="1"/>
    <w:qFormat/>
    <w:uiPriority w:val="0"/>
    <w:pPr>
      <w:spacing w:beforeAutospacing="1" w:afterAutospacing="1"/>
    </w:pPr>
    <w:rPr>
      <w:sz w:val="24"/>
      <w:lang w:eastAsia="zh-CN" w:bidi="ar-SA"/>
    </w:rPr>
  </w:style>
  <w:style w:type="paragraph" w:styleId="20">
    <w:name w:val="Title"/>
    <w:basedOn w:val="1"/>
    <w:next w:val="1"/>
    <w:link w:val="57"/>
    <w:qFormat/>
    <w:uiPriority w:val="0"/>
    <w:pPr>
      <w:spacing w:before="100" w:beforeLines="100" w:after="100" w:afterLines="100" w:line="360" w:lineRule="auto"/>
      <w:ind w:firstLine="0" w:firstLineChars="0"/>
      <w:jc w:val="center"/>
      <w:outlineLvl w:val="0"/>
    </w:pPr>
    <w:rPr>
      <w:rFonts w:eastAsia="方正小标宋" w:cstheme="majorBidi"/>
      <w:b/>
      <w:bCs/>
      <w:sz w:val="44"/>
      <w:szCs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Hyperlink"/>
    <w:basedOn w:val="23"/>
    <w:qFormat/>
    <w:uiPriority w:val="99"/>
    <w:rPr>
      <w:color w:val="0000FF"/>
      <w:u w:val="single"/>
    </w:rPr>
  </w:style>
  <w:style w:type="character" w:customStyle="1" w:styleId="26">
    <w:name w:val="标题 2 字符"/>
    <w:link w:val="3"/>
    <w:qFormat/>
    <w:uiPriority w:val="0"/>
    <w:rPr>
      <w:rFonts w:ascii="华文楷体" w:hAnsi="华文楷体" w:eastAsia="楷体"/>
      <w:b/>
    </w:rPr>
  </w:style>
  <w:style w:type="character" w:customStyle="1" w:styleId="27">
    <w:name w:val="标题 3 字符"/>
    <w:link w:val="4"/>
    <w:qFormat/>
    <w:uiPriority w:val="0"/>
    <w:rPr>
      <w:rFonts w:eastAsia="仿宋_GB2312"/>
      <w:b/>
      <w:color w:val="000000"/>
      <w:sz w:val="32"/>
      <w:szCs w:val="24"/>
      <w:lang w:eastAsia="en-US" w:bidi="en-US"/>
    </w:rPr>
  </w:style>
  <w:style w:type="paragraph" w:customStyle="1" w:styleId="28">
    <w:name w:val="Body text|2"/>
    <w:basedOn w:val="1"/>
    <w:qFormat/>
    <w:uiPriority w:val="0"/>
    <w:pPr>
      <w:spacing w:line="322" w:lineRule="exact"/>
      <w:ind w:firstLine="400"/>
    </w:pPr>
    <w:rPr>
      <w:rFonts w:ascii="宋体" w:hAnsi="宋体" w:eastAsia="宋体" w:cs="宋体"/>
      <w:sz w:val="19"/>
      <w:szCs w:val="19"/>
      <w:lang w:val="zh-TW" w:eastAsia="zh-TW" w:bidi="zh-TW"/>
    </w:rPr>
  </w:style>
  <w:style w:type="paragraph" w:customStyle="1" w:styleId="29">
    <w:name w:val="Header or footer|1"/>
    <w:basedOn w:val="1"/>
    <w:qFormat/>
    <w:uiPriority w:val="0"/>
    <w:rPr>
      <w:lang w:val="zh-TW" w:eastAsia="zh-TW" w:bidi="zh-TW"/>
    </w:rPr>
  </w:style>
  <w:style w:type="paragraph" w:customStyle="1" w:styleId="30">
    <w:name w:val="标题4"/>
    <w:basedOn w:val="28"/>
    <w:qFormat/>
    <w:uiPriority w:val="0"/>
    <w:pPr>
      <w:spacing w:line="360" w:lineRule="auto"/>
      <w:ind w:firstLine="881"/>
    </w:pPr>
    <w:rPr>
      <w:rFonts w:eastAsia="华文仿宋"/>
      <w:b/>
      <w:sz w:val="32"/>
    </w:rPr>
  </w:style>
  <w:style w:type="paragraph" w:customStyle="1" w:styleId="31">
    <w:name w:val="Body text|1"/>
    <w:basedOn w:val="1"/>
    <w:qFormat/>
    <w:uiPriority w:val="0"/>
    <w:pPr>
      <w:spacing w:line="360" w:lineRule="auto"/>
      <w:ind w:firstLine="400"/>
    </w:pPr>
    <w:rPr>
      <w:rFonts w:ascii="宋体" w:hAnsi="宋体" w:eastAsia="宋体" w:cs="宋体"/>
      <w:lang w:val="zh-TW" w:eastAsia="zh-TW" w:bidi="zh-TW"/>
    </w:rPr>
  </w:style>
  <w:style w:type="character" w:customStyle="1" w:styleId="32">
    <w:name w:val="font01"/>
    <w:basedOn w:val="23"/>
    <w:qFormat/>
    <w:uiPriority w:val="0"/>
    <w:rPr>
      <w:rFonts w:ascii="Arial" w:hAnsi="Arial" w:cs="Arial"/>
      <w:color w:val="000000"/>
      <w:sz w:val="22"/>
      <w:szCs w:val="22"/>
      <w:u w:val="none"/>
    </w:rPr>
  </w:style>
  <w:style w:type="character" w:customStyle="1" w:styleId="33">
    <w:name w:val="font11"/>
    <w:basedOn w:val="23"/>
    <w:qFormat/>
    <w:uiPriority w:val="0"/>
    <w:rPr>
      <w:rFonts w:ascii="font-weight : 400" w:hAnsi="font-weight : 400" w:eastAsia="font-weight : 400" w:cs="font-weight : 400"/>
      <w:color w:val="000000"/>
      <w:sz w:val="22"/>
      <w:szCs w:val="22"/>
      <w:u w:val="none"/>
    </w:rPr>
  </w:style>
  <w:style w:type="character" w:customStyle="1" w:styleId="34">
    <w:name w:val="font51"/>
    <w:basedOn w:val="23"/>
    <w:autoRedefine/>
    <w:qFormat/>
    <w:uiPriority w:val="0"/>
    <w:rPr>
      <w:rFonts w:hint="eastAsia" w:ascii="宋体" w:hAnsi="宋体" w:eastAsia="宋体" w:cs="宋体"/>
      <w:color w:val="000000"/>
      <w:sz w:val="22"/>
      <w:szCs w:val="22"/>
      <w:u w:val="none"/>
    </w:rPr>
  </w:style>
  <w:style w:type="character" w:customStyle="1" w:styleId="35">
    <w:name w:val="正文 + Arial Char"/>
    <w:link w:val="36"/>
    <w:autoRedefine/>
    <w:qFormat/>
    <w:locked/>
    <w:uiPriority w:val="0"/>
    <w:rPr>
      <w:rFonts w:ascii="Arial"/>
      <w:kern w:val="0"/>
      <w:sz w:val="24"/>
    </w:rPr>
  </w:style>
  <w:style w:type="paragraph" w:customStyle="1" w:styleId="36">
    <w:name w:val="正文 + Arial"/>
    <w:basedOn w:val="1"/>
    <w:link w:val="35"/>
    <w:autoRedefine/>
    <w:qFormat/>
    <w:uiPriority w:val="0"/>
    <w:pPr>
      <w:spacing w:afterLines="50" w:line="360" w:lineRule="auto"/>
      <w:ind w:firstLine="420"/>
    </w:pPr>
    <w:rPr>
      <w:rFonts w:ascii="Arial"/>
      <w:sz w:val="24"/>
    </w:rPr>
  </w:style>
  <w:style w:type="paragraph" w:customStyle="1" w:styleId="37">
    <w:name w:val="列出段落1"/>
    <w:basedOn w:val="1"/>
    <w:qFormat/>
    <w:uiPriority w:val="1"/>
    <w:pPr>
      <w:spacing w:before="3"/>
      <w:ind w:left="2332" w:hanging="753"/>
    </w:pPr>
    <w:rPr>
      <w:rFonts w:ascii="仿宋_GB2312" w:hAnsi="仿宋_GB2312" w:cs="仿宋_GB2312"/>
      <w:lang w:val="zh-CN" w:eastAsia="zh-CN" w:bidi="zh-CN"/>
    </w:rPr>
  </w:style>
  <w:style w:type="paragraph" w:customStyle="1" w:styleId="38">
    <w:name w:val="分类号"/>
    <w:basedOn w:val="1"/>
    <w:qFormat/>
    <w:uiPriority w:val="0"/>
    <w:pPr>
      <w:spacing w:line="240" w:lineRule="auto"/>
      <w:ind w:firstLine="0" w:firstLineChars="0"/>
    </w:pPr>
    <w:rPr>
      <w:rFonts w:ascii="仿宋_GB2312"/>
      <w:kern w:val="2"/>
      <w:sz w:val="28"/>
      <w:szCs w:val="28"/>
      <w:lang w:eastAsia="zh-CN" w:bidi="ar-SA"/>
    </w:rPr>
  </w:style>
  <w:style w:type="paragraph" w:customStyle="1" w:styleId="39">
    <w:name w:val="硕士学位论文"/>
    <w:basedOn w:val="1"/>
    <w:qFormat/>
    <w:uiPriority w:val="0"/>
    <w:pPr>
      <w:spacing w:before="240" w:line="240" w:lineRule="auto"/>
      <w:ind w:firstLine="0" w:firstLineChars="0"/>
      <w:jc w:val="center"/>
    </w:pPr>
    <w:rPr>
      <w:rFonts w:eastAsia="宋体"/>
      <w:kern w:val="2"/>
      <w:sz w:val="44"/>
      <w:szCs w:val="44"/>
      <w:lang w:eastAsia="zh-CN" w:bidi="ar-SA"/>
    </w:rPr>
  </w:style>
  <w:style w:type="paragraph" w:customStyle="1" w:styleId="40">
    <w:name w:val="论文标题"/>
    <w:basedOn w:val="1"/>
    <w:qFormat/>
    <w:uiPriority w:val="0"/>
    <w:pPr>
      <w:spacing w:line="240" w:lineRule="auto"/>
      <w:ind w:firstLine="0" w:firstLineChars="0"/>
      <w:jc w:val="center"/>
    </w:pPr>
    <w:rPr>
      <w:rFonts w:eastAsia="楷体_GB2312"/>
      <w:b/>
      <w:kern w:val="36"/>
      <w:sz w:val="52"/>
      <w:szCs w:val="52"/>
      <w:lang w:eastAsia="zh-CN" w:bidi="ar-SA"/>
    </w:rPr>
  </w:style>
  <w:style w:type="paragraph" w:customStyle="1" w:styleId="41">
    <w:name w:val="研究生姓名"/>
    <w:basedOn w:val="1"/>
    <w:qFormat/>
    <w:uiPriority w:val="0"/>
    <w:pPr>
      <w:spacing w:line="240" w:lineRule="auto"/>
      <w:ind w:firstLine="700" w:firstLineChars="700"/>
    </w:pPr>
    <w:rPr>
      <w:rFonts w:eastAsia="宋体"/>
      <w:kern w:val="2"/>
      <w:sz w:val="28"/>
      <w:szCs w:val="28"/>
      <w:lang w:eastAsia="zh-CN" w:bidi="ar-SA"/>
    </w:rPr>
  </w:style>
  <w:style w:type="paragraph" w:customStyle="1" w:styleId="42">
    <w:name w:val="封面日期"/>
    <w:basedOn w:val="1"/>
    <w:qFormat/>
    <w:uiPriority w:val="0"/>
    <w:pPr>
      <w:spacing w:line="240" w:lineRule="auto"/>
      <w:ind w:firstLine="0" w:firstLineChars="0"/>
      <w:jc w:val="center"/>
    </w:pPr>
    <w:rPr>
      <w:rFonts w:ascii="黑体" w:eastAsia="黑体"/>
      <w:kern w:val="2"/>
      <w:szCs w:val="32"/>
      <w:lang w:eastAsia="zh-CN" w:bidi="ar-SA"/>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6">
    <w:name w:val="font21"/>
    <w:basedOn w:val="23"/>
    <w:qFormat/>
    <w:uiPriority w:val="0"/>
    <w:rPr>
      <w:rFonts w:ascii="宋体" w:hAnsi="宋体" w:eastAsia="宋体" w:cs="宋体"/>
      <w:color w:val="000000"/>
      <w:sz w:val="22"/>
      <w:szCs w:val="22"/>
      <w:u w:val="none"/>
    </w:rPr>
  </w:style>
  <w:style w:type="character" w:customStyle="1" w:styleId="47">
    <w:name w:val="font81"/>
    <w:basedOn w:val="23"/>
    <w:qFormat/>
    <w:uiPriority w:val="0"/>
    <w:rPr>
      <w:rFonts w:hint="eastAsia" w:ascii="宋体" w:hAnsi="宋体" w:eastAsia="宋体" w:cs="宋体"/>
      <w:color w:val="000000"/>
      <w:sz w:val="22"/>
      <w:szCs w:val="22"/>
      <w:u w:val="none"/>
    </w:rPr>
  </w:style>
  <w:style w:type="character" w:customStyle="1" w:styleId="48">
    <w:name w:val="font31"/>
    <w:basedOn w:val="23"/>
    <w:qFormat/>
    <w:uiPriority w:val="0"/>
    <w:rPr>
      <w:rFonts w:hint="eastAsia" w:ascii="宋体" w:hAnsi="宋体" w:eastAsia="宋体" w:cs="宋体"/>
      <w:color w:val="000000"/>
      <w:sz w:val="22"/>
      <w:szCs w:val="22"/>
      <w:u w:val="none"/>
    </w:rPr>
  </w:style>
  <w:style w:type="character" w:customStyle="1" w:styleId="49">
    <w:name w:val="font61"/>
    <w:basedOn w:val="23"/>
    <w:qFormat/>
    <w:uiPriority w:val="0"/>
    <w:rPr>
      <w:rFonts w:ascii="宋体" w:hAnsi="宋体" w:eastAsia="宋体" w:cs="宋体"/>
      <w:color w:val="000000"/>
      <w:sz w:val="22"/>
      <w:szCs w:val="22"/>
      <w:u w:val="none"/>
    </w:rPr>
  </w:style>
  <w:style w:type="character" w:customStyle="1" w:styleId="50">
    <w:name w:val="font71"/>
    <w:basedOn w:val="23"/>
    <w:qFormat/>
    <w:uiPriority w:val="0"/>
    <w:rPr>
      <w:rFonts w:hint="eastAsia" w:ascii="宋体" w:hAnsi="宋体" w:eastAsia="宋体" w:cs="宋体"/>
      <w:color w:val="FF0000"/>
      <w:sz w:val="24"/>
      <w:szCs w:val="24"/>
      <w:u w:val="none"/>
    </w:rPr>
  </w:style>
  <w:style w:type="character" w:customStyle="1" w:styleId="51">
    <w:name w:val="font41"/>
    <w:basedOn w:val="23"/>
    <w:qFormat/>
    <w:uiPriority w:val="0"/>
    <w:rPr>
      <w:rFonts w:hint="eastAsia" w:ascii="宋体" w:hAnsi="宋体" w:eastAsia="宋体" w:cs="宋体"/>
      <w:color w:val="000000"/>
      <w:sz w:val="24"/>
      <w:szCs w:val="24"/>
      <w:u w:val="none"/>
    </w:rPr>
  </w:style>
  <w:style w:type="character" w:customStyle="1" w:styleId="52">
    <w:name w:val="批注框文本 字符"/>
    <w:basedOn w:val="23"/>
    <w:link w:val="11"/>
    <w:qFormat/>
    <w:uiPriority w:val="0"/>
    <w:rPr>
      <w:rFonts w:eastAsia="华文仿宋"/>
      <w:color w:val="000000"/>
      <w:sz w:val="18"/>
      <w:szCs w:val="18"/>
      <w:lang w:eastAsia="en-US" w:bidi="en-US"/>
    </w:rPr>
  </w:style>
  <w:style w:type="character" w:customStyle="1" w:styleId="53">
    <w:name w:val="正文文本 字符"/>
    <w:basedOn w:val="23"/>
    <w:link w:val="7"/>
    <w:qFormat/>
    <w:uiPriority w:val="0"/>
    <w:rPr>
      <w:rFonts w:ascii="仿宋_GB2312" w:hAnsi="仿宋_GB2312" w:eastAsia="仿宋_GB2312" w:cs="仿宋_GB2312"/>
      <w:color w:val="000000"/>
      <w:sz w:val="30"/>
      <w:szCs w:val="30"/>
      <w:lang w:val="zh-CN" w:bidi="zh-CN"/>
    </w:rPr>
  </w:style>
  <w:style w:type="character" w:customStyle="1" w:styleId="54">
    <w:name w:val="页脚 字符"/>
    <w:basedOn w:val="23"/>
    <w:link w:val="12"/>
    <w:qFormat/>
    <w:uiPriority w:val="99"/>
    <w:rPr>
      <w:rFonts w:eastAsia="仿宋_GB2312"/>
      <w:color w:val="000000"/>
      <w:sz w:val="18"/>
      <w:szCs w:val="24"/>
      <w:lang w:eastAsia="en-US" w:bidi="en-US"/>
    </w:rPr>
  </w:style>
  <w:style w:type="paragraph" w:styleId="55">
    <w:name w:val="List Paragraph"/>
    <w:basedOn w:val="1"/>
    <w:qFormat/>
    <w:uiPriority w:val="1"/>
    <w:pPr>
      <w:ind w:firstLine="420"/>
    </w:pPr>
  </w:style>
  <w:style w:type="table" w:customStyle="1" w:styleId="56">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character" w:customStyle="1" w:styleId="57">
    <w:name w:val="标题 字符"/>
    <w:basedOn w:val="23"/>
    <w:link w:val="20"/>
    <w:qFormat/>
    <w:uiPriority w:val="0"/>
    <w:rPr>
      <w:rFonts w:eastAsia="方正小标宋" w:cstheme="majorBidi"/>
      <w:b/>
      <w:bCs/>
      <w:color w:val="000000"/>
      <w:sz w:val="44"/>
      <w:szCs w:val="32"/>
      <w:lang w:eastAsia="en-US" w:bidi="en-US"/>
    </w:rPr>
  </w:style>
  <w:style w:type="character" w:customStyle="1" w:styleId="58">
    <w:name w:val="font91"/>
    <w:basedOn w:val="23"/>
    <w:qFormat/>
    <w:uiPriority w:val="0"/>
    <w:rPr>
      <w:rFonts w:hint="eastAsia" w:ascii="宋体" w:hAnsi="宋体" w:eastAsia="宋体" w:cs="宋体"/>
      <w:b/>
      <w:bCs/>
      <w:color w:val="000000"/>
      <w:sz w:val="24"/>
      <w:szCs w:val="24"/>
      <w:u w:val="none"/>
    </w:rPr>
  </w:style>
  <w:style w:type="character" w:customStyle="1" w:styleId="59">
    <w:name w:val="font101"/>
    <w:basedOn w:val="23"/>
    <w:qFormat/>
    <w:uiPriority w:val="0"/>
    <w:rPr>
      <w:rFonts w:ascii="方正书宋_GBK" w:hAnsi="方正书宋_GBK" w:eastAsia="方正书宋_GBK" w:cs="方正书宋_GBK"/>
      <w:b/>
      <w:bCs/>
      <w:color w:val="000000"/>
      <w:sz w:val="24"/>
      <w:szCs w:val="24"/>
      <w:u w:val="none"/>
    </w:rPr>
  </w:style>
  <w:style w:type="character" w:customStyle="1" w:styleId="60">
    <w:name w:val="font112"/>
    <w:basedOn w:val="23"/>
    <w:qFormat/>
    <w:uiPriority w:val="0"/>
    <w:rPr>
      <w:rFonts w:hint="eastAsia" w:ascii="宋体" w:hAnsi="宋体" w:eastAsia="宋体" w:cs="宋体"/>
      <w:b/>
      <w:bCs/>
      <w:color w:val="000000"/>
      <w:sz w:val="24"/>
      <w:szCs w:val="24"/>
      <w:u w:val="none"/>
    </w:rPr>
  </w:style>
  <w:style w:type="character" w:customStyle="1" w:styleId="61">
    <w:name w:val="font121"/>
    <w:basedOn w:val="23"/>
    <w:qFormat/>
    <w:uiPriority w:val="0"/>
    <w:rPr>
      <w:rFonts w:hint="eastAsia" w:ascii="宋体" w:hAnsi="宋体" w:eastAsia="宋体" w:cs="宋体"/>
      <w:color w:val="000000"/>
      <w:sz w:val="24"/>
      <w:szCs w:val="24"/>
      <w:u w:val="none"/>
    </w:rPr>
  </w:style>
  <w:style w:type="character" w:customStyle="1" w:styleId="62">
    <w:name w:val="font131"/>
    <w:basedOn w:val="23"/>
    <w:qFormat/>
    <w:uiPriority w:val="0"/>
    <w:rPr>
      <w:rFonts w:hint="default" w:ascii="Times New Roman" w:hAnsi="Times New Roman" w:cs="Times New Roman"/>
      <w:color w:val="000000"/>
      <w:sz w:val="24"/>
      <w:szCs w:val="24"/>
      <w:u w:val="none"/>
    </w:rPr>
  </w:style>
  <w:style w:type="character" w:customStyle="1" w:styleId="63">
    <w:name w:val="font141"/>
    <w:basedOn w:val="23"/>
    <w:qFormat/>
    <w:uiPriority w:val="0"/>
    <w:rPr>
      <w:rFonts w:hint="eastAsia" w:ascii="宋体" w:hAnsi="宋体" w:eastAsia="宋体" w:cs="宋体"/>
      <w:color w:val="000000"/>
      <w:sz w:val="24"/>
      <w:szCs w:val="24"/>
      <w:u w:val="none"/>
    </w:rPr>
  </w:style>
  <w:style w:type="character" w:customStyle="1" w:styleId="64">
    <w:name w:val="font151"/>
    <w:basedOn w:val="23"/>
    <w:qFormat/>
    <w:uiPriority w:val="0"/>
    <w:rPr>
      <w:rFonts w:hint="default" w:ascii="Times New Roman" w:hAnsi="Times New Roman" w:cs="Times New Roman"/>
      <w:color w:val="000000"/>
      <w:sz w:val="24"/>
      <w:szCs w:val="24"/>
      <w:u w:val="none"/>
    </w:rPr>
  </w:style>
  <w:style w:type="paragraph" w:customStyle="1" w:styleId="65">
    <w:name w:val="TOC 标题1"/>
    <w:basedOn w:val="2"/>
    <w:next w:val="1"/>
    <w:unhideWhenUsed/>
    <w:qFormat/>
    <w:uiPriority w:val="39"/>
    <w:pPr>
      <w:widowControl/>
      <w:spacing w:before="240" w:beforeLines="0" w:after="0" w:afterLines="0" w:line="259" w:lineRule="auto"/>
      <w:jc w:val="left"/>
      <w:outlineLvl w:val="9"/>
    </w:pPr>
    <w:rPr>
      <w:rFonts w:asciiTheme="majorHAnsi" w:hAnsiTheme="majorHAnsi" w:eastAsiaTheme="majorEastAsia" w:cstheme="majorBidi"/>
      <w:b w:val="0"/>
      <w:color w:val="2E75B6" w:themeColor="accent1" w:themeShade="BF"/>
      <w:kern w:val="0"/>
      <w:szCs w:val="32"/>
      <w:lang w:eastAsia="zh-CN" w:bidi="ar-SA"/>
    </w:rPr>
  </w:style>
  <w:style w:type="character" w:customStyle="1" w:styleId="66">
    <w:name w:val="CharAttribute37"/>
    <w:qFormat/>
    <w:uiPriority w:val="99"/>
    <w:rPr>
      <w:rFonts w:ascii="宋体" w:hAnsi="宋体" w:eastAsia="Times New Roman"/>
      <w:sz w:val="24"/>
    </w:rPr>
  </w:style>
  <w:style w:type="paragraph" w:customStyle="1" w:styleId="67">
    <w:name w:val="Table Paragraph"/>
    <w:basedOn w:val="1"/>
    <w:qFormat/>
    <w:uiPriority w:val="1"/>
  </w:style>
  <w:style w:type="character" w:customStyle="1" w:styleId="68">
    <w:name w:val="未处理的提及1"/>
    <w:basedOn w:val="23"/>
    <w:semiHidden/>
    <w:unhideWhenUsed/>
    <w:qFormat/>
    <w:uiPriority w:val="99"/>
    <w:rPr>
      <w:color w:val="605E5C"/>
      <w:shd w:val="clear" w:color="auto" w:fill="E1DFDD"/>
    </w:rPr>
  </w:style>
  <w:style w:type="paragraph" w:customStyle="1" w:styleId="69">
    <w:name w:val="〖A08〗公文标题"/>
    <w:next w:val="1"/>
    <w:qFormat/>
    <w:uiPriority w:val="0"/>
    <w:pPr>
      <w:widowControl w:val="0"/>
      <w:topLinePunct/>
      <w:spacing w:line="700" w:lineRule="exact"/>
      <w:jc w:val="center"/>
    </w:pPr>
    <w:rPr>
      <w:rFonts w:ascii="方正小标宋简体" w:hAnsi="Calibri" w:eastAsia="方正小标宋简体" w:cs="Times New Roman"/>
      <w:kern w:val="2"/>
      <w:sz w:val="4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25</Pages>
  <Words>10678</Words>
  <Characters>11022</Characters>
  <Lines>10</Lines>
  <Paragraphs>21</Paragraphs>
  <TotalTime>0</TotalTime>
  <ScaleCrop>false</ScaleCrop>
  <LinksUpToDate>false</LinksUpToDate>
  <CharactersWithSpaces>11050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2025-03-13T14:53:00Z</dcterms:created>
  <dc:creator>cll</dc:creator>
  <cp:lastModifiedBy>Admin</cp:lastModifiedBy>
  <cp:lastPrinted>2025-04-02T01:59:00Z</cp:lastPrinted>
  <dcterms:modified xsi:type="dcterms:W3CDTF">2025-05-12T08:36:12Z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58CB3AE3722C4C8CA167D2F3944BF467_13</vt:lpwstr>
  </property>
  <property fmtid="{D5CDD505-2E9C-101B-9397-08002B2CF9AE}" pid="4" name="KSOTemplateDocerSaveRecord">
    <vt:lpwstr>eyJoZGlkIjoiMDdkYmU2ZmQ1YmVlNmFhZjk2NzRhYTcxODZkZDY3YTAifQ==</vt:lpwstr>
  </property>
</Properties>
</file>