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Autospacing="0" w:afterAutospacing="0" w:line="820" w:lineRule="exact"/>
        <w:ind w:firstLine="0" w:firstLineChars="0"/>
        <w:jc w:val="center"/>
        <w:outlineLvl w:val="0"/>
        <w:rPr>
          <w:rFonts w:eastAsia="微软雅黑"/>
          <w:b/>
          <w:bCs/>
          <w:sz w:val="44"/>
          <w:szCs w:val="44"/>
        </w:rPr>
      </w:pPr>
      <w:bookmarkStart w:id="0" w:name="_Toc21168"/>
      <w:bookmarkStart w:id="1" w:name="_Toc16439"/>
      <w:bookmarkStart w:id="2" w:name="_Toc4482"/>
      <w:bookmarkStart w:id="3" w:name="_Toc27923"/>
      <w:r>
        <w:rPr>
          <w:rFonts w:hint="eastAsia" w:eastAsia="微软雅黑"/>
          <w:b/>
          <w:bCs/>
          <w:sz w:val="44"/>
          <w:szCs w:val="44"/>
        </w:rPr>
        <w:t>乐山市金口河区自然资源局</w:t>
      </w:r>
      <w:bookmarkEnd w:id="0"/>
    </w:p>
    <w:p>
      <w:pPr>
        <w:pStyle w:val="19"/>
        <w:spacing w:beforeAutospacing="0" w:afterAutospacing="0" w:line="820" w:lineRule="exact"/>
        <w:ind w:leftChars="-44" w:right="-480" w:rightChars="-150" w:hanging="141" w:hangingChars="32"/>
        <w:jc w:val="center"/>
        <w:outlineLvl w:val="0"/>
        <w:rPr>
          <w:rFonts w:eastAsia="微软雅黑"/>
          <w:b/>
          <w:bCs/>
          <w:sz w:val="44"/>
          <w:szCs w:val="44"/>
        </w:rPr>
      </w:pPr>
      <w:bookmarkStart w:id="4" w:name="_Toc530"/>
      <w:r>
        <w:rPr>
          <w:rFonts w:hint="eastAsia" w:eastAsia="微软雅黑"/>
          <w:b/>
          <w:bCs/>
          <w:sz w:val="44"/>
          <w:szCs w:val="44"/>
        </w:rPr>
        <w:t>森林火灾风险普查专项经费</w:t>
      </w:r>
      <w:bookmarkEnd w:id="4"/>
    </w:p>
    <w:bookmarkEnd w:id="1"/>
    <w:bookmarkEnd w:id="2"/>
    <w:bookmarkEnd w:id="3"/>
    <w:p>
      <w:pPr>
        <w:pStyle w:val="19"/>
        <w:spacing w:beforeAutospacing="0" w:afterAutospacing="0" w:line="820" w:lineRule="exact"/>
        <w:ind w:right="83" w:rightChars="26" w:firstLine="0" w:firstLineChars="0"/>
        <w:jc w:val="center"/>
        <w:outlineLvl w:val="0"/>
        <w:rPr>
          <w:rFonts w:eastAsia="微软雅黑"/>
          <w:b/>
          <w:bCs/>
          <w:sz w:val="44"/>
          <w:szCs w:val="44"/>
        </w:rPr>
      </w:pPr>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5" w:name="_Toc24858"/>
      <w:r>
        <w:rPr>
          <w:rFonts w:hint="eastAsia" w:eastAsia="微软雅黑"/>
          <w:b/>
          <w:bCs/>
          <w:sz w:val="44"/>
          <w:szCs w:val="44"/>
        </w:rPr>
        <w:t>事</w:t>
      </w:r>
      <w:bookmarkEnd w:id="5"/>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6" w:name="_Toc19435"/>
      <w:r>
        <w:rPr>
          <w:rFonts w:hint="eastAsia" w:eastAsia="微软雅黑"/>
          <w:b/>
          <w:bCs/>
          <w:sz w:val="44"/>
          <w:szCs w:val="44"/>
        </w:rPr>
        <w:t>前</w:t>
      </w:r>
      <w:bookmarkEnd w:id="6"/>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7" w:name="_Toc17772"/>
      <w:r>
        <w:rPr>
          <w:rFonts w:eastAsia="微软雅黑"/>
          <w:b/>
          <w:bCs/>
          <w:sz w:val="44"/>
          <w:szCs w:val="44"/>
        </w:rPr>
        <w:t>绩</w:t>
      </w:r>
      <w:bookmarkEnd w:id="7"/>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8" w:name="_Toc30199"/>
      <w:r>
        <w:rPr>
          <w:rFonts w:eastAsia="微软雅黑"/>
          <w:b/>
          <w:bCs/>
          <w:sz w:val="44"/>
          <w:szCs w:val="44"/>
        </w:rPr>
        <w:t>效</w:t>
      </w:r>
      <w:bookmarkEnd w:id="8"/>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9" w:name="_Toc27740"/>
      <w:r>
        <w:rPr>
          <w:rFonts w:eastAsia="微软雅黑"/>
          <w:b/>
          <w:bCs/>
          <w:sz w:val="44"/>
          <w:szCs w:val="44"/>
        </w:rPr>
        <w:t>评</w:t>
      </w:r>
      <w:bookmarkEnd w:id="9"/>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0" w:name="_Toc5005"/>
      <w:r>
        <w:rPr>
          <w:rFonts w:eastAsia="微软雅黑"/>
          <w:b/>
          <w:bCs/>
          <w:sz w:val="44"/>
          <w:szCs w:val="44"/>
        </w:rPr>
        <w:t>价</w:t>
      </w:r>
      <w:bookmarkEnd w:id="10"/>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1" w:name="_Toc22413"/>
      <w:r>
        <w:rPr>
          <w:rFonts w:eastAsia="微软雅黑"/>
          <w:b/>
          <w:bCs/>
          <w:sz w:val="44"/>
          <w:szCs w:val="44"/>
        </w:rPr>
        <w:t>报</w:t>
      </w:r>
      <w:bookmarkEnd w:id="11"/>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2" w:name="_Toc5311"/>
      <w:r>
        <w:rPr>
          <w:rFonts w:eastAsia="微软雅黑"/>
          <w:b/>
          <w:bCs/>
          <w:sz w:val="44"/>
          <w:szCs w:val="44"/>
        </w:rPr>
        <w:t>告</w:t>
      </w:r>
      <w:bookmarkEnd w:id="12"/>
    </w:p>
    <w:p>
      <w:pPr>
        <w:snapToGrid w:val="0"/>
        <w:spacing w:line="600" w:lineRule="exact"/>
        <w:rPr>
          <w:rStyle w:val="66"/>
          <w:rFonts w:hint="eastAsia" w:eastAsia="仿宋_GB2312"/>
          <w:bCs/>
          <w:sz w:val="28"/>
          <w:szCs w:val="28"/>
          <w:lang w:eastAsia="zh-CN"/>
        </w:rPr>
      </w:pP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项目编号：</w:t>
      </w:r>
      <w:r>
        <w:rPr>
          <w:rStyle w:val="66"/>
          <w:rFonts w:hint="eastAsia" w:ascii="仿宋" w:hAnsi="仿宋" w:eastAsia="仿宋" w:cs="仿宋"/>
          <w:bCs/>
          <w:sz w:val="28"/>
          <w:szCs w:val="28"/>
          <w:highlight w:val="none"/>
          <w:lang w:eastAsia="zh-CN"/>
        </w:rPr>
        <w:t>金财绩评（2025）03号</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主管部门：乐山市金口河区自然资源局</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实施单位：乐山市金口河区自然资源局</w:t>
      </w:r>
    </w:p>
    <w:p>
      <w:pPr>
        <w:rPr>
          <w:rFonts w:hint="eastAsia" w:ascii="仿宋" w:hAnsi="仿宋" w:eastAsia="仿宋" w:cs="仿宋"/>
          <w:b/>
          <w:sz w:val="28"/>
          <w:szCs w:val="28"/>
          <w:lang w:eastAsia="zh-CN"/>
        </w:rPr>
      </w:pPr>
      <w:r>
        <w:rPr>
          <w:rStyle w:val="66"/>
          <w:rFonts w:hint="eastAsia" w:ascii="仿宋" w:hAnsi="仿宋" w:eastAsia="仿宋" w:cs="仿宋"/>
          <w:bCs/>
          <w:sz w:val="28"/>
          <w:szCs w:val="28"/>
          <w:lang w:eastAsia="zh-CN"/>
        </w:rPr>
        <w:t>评价单位：乐山市金口河区财政投资评价审核中心</w:t>
      </w:r>
    </w:p>
    <w:p>
      <w:pPr>
        <w:pStyle w:val="19"/>
        <w:widowControl/>
        <w:ind w:firstLine="880"/>
        <w:jc w:val="center"/>
        <w:rPr>
          <w:rFonts w:hint="eastAsia" w:ascii="仿宋" w:hAnsi="仿宋" w:eastAsia="仿宋" w:cs="仿宋"/>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13" w:name="_Toc24517"/>
      <w:r>
        <w:rPr>
          <w:rFonts w:hint="eastAsia" w:ascii="方正小标宋简体" w:hAnsi="方正小标宋简体" w:eastAsia="方正小标宋简体" w:cs="方正小标宋简体"/>
          <w:b w:val="0"/>
          <w:bCs w:val="0"/>
          <w:lang w:eastAsia="zh-CN"/>
        </w:rPr>
        <w:t>乐山市金口河区自然资源局</w:t>
      </w:r>
      <w:bookmarkEnd w:id="13"/>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14" w:name="_Toc23634"/>
      <w:r>
        <w:rPr>
          <w:rFonts w:hint="eastAsia" w:ascii="方正小标宋简体" w:hAnsi="方正小标宋简体" w:eastAsia="方正小标宋简体" w:cs="方正小标宋简体"/>
          <w:b w:val="0"/>
          <w:bCs w:val="0"/>
          <w:lang w:eastAsia="zh-CN"/>
        </w:rPr>
        <w:t>森林火灾风险普查专项经费</w:t>
      </w:r>
      <w:bookmarkEnd w:id="14"/>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15" w:name="_Toc23933"/>
      <w:r>
        <w:rPr>
          <w:rFonts w:hint="eastAsia" w:ascii="方正小标宋简体" w:hAnsi="方正小标宋简体" w:eastAsia="方正小标宋简体" w:cs="方正小标宋简体"/>
          <w:b w:val="0"/>
          <w:bCs w:val="0"/>
          <w:lang w:eastAsia="zh-CN"/>
        </w:rPr>
        <w:t>事前绩效评价结论</w:t>
      </w:r>
      <w:bookmarkEnd w:id="15"/>
    </w:p>
    <w:p>
      <w:pPr>
        <w:pStyle w:val="2"/>
        <w:numPr>
          <w:ilvl w:val="0"/>
          <w:numId w:val="0"/>
        </w:numPr>
        <w:spacing w:before="0" w:beforeLines="0" w:after="0" w:afterLines="0"/>
        <w:ind w:leftChars="0"/>
        <w:rPr>
          <w:rFonts w:hint="eastAsia" w:ascii="仿宋" w:hAnsi="仿宋" w:eastAsia="仿宋" w:cs="仿宋"/>
          <w:b w:val="0"/>
          <w:bCs w:val="0"/>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b w:val="0"/>
          <w:bCs w:val="0"/>
          <w:color w:val="auto"/>
          <w:lang w:val="en-US" w:eastAsia="zh-CN"/>
        </w:rPr>
      </w:pPr>
      <w:r>
        <w:rPr>
          <w:rFonts w:hint="eastAsia" w:ascii="仿宋" w:hAnsi="仿宋" w:eastAsia="仿宋" w:cs="仿宋"/>
          <w:b w:val="0"/>
          <w:bCs w:val="0"/>
          <w:color w:val="auto"/>
          <w:lang w:eastAsia="zh-CN"/>
        </w:rPr>
        <w:t>我中心对森林火灾风险普查专项经费</w:t>
      </w:r>
      <w:r>
        <w:rPr>
          <w:rFonts w:hint="eastAsia" w:ascii="仿宋" w:hAnsi="仿宋" w:eastAsia="仿宋" w:cs="仿宋"/>
          <w:b w:val="0"/>
          <w:bCs w:val="0"/>
          <w:color w:val="auto"/>
          <w:lang w:val="en-US" w:eastAsia="zh-CN"/>
        </w:rPr>
        <w:t>事前</w:t>
      </w:r>
      <w:r>
        <w:rPr>
          <w:rFonts w:hint="eastAsia" w:ascii="仿宋" w:hAnsi="仿宋" w:eastAsia="仿宋" w:cs="仿宋"/>
          <w:b w:val="0"/>
          <w:bCs w:val="0"/>
          <w:color w:val="auto"/>
          <w:lang w:eastAsia="zh-CN"/>
        </w:rPr>
        <w:t>绩效评价综合得分为</w:t>
      </w:r>
      <w:r>
        <w:rPr>
          <w:rFonts w:hint="eastAsia" w:ascii="仿宋" w:hAnsi="仿宋" w:eastAsia="仿宋" w:cs="仿宋"/>
          <w:b w:val="0"/>
          <w:bCs w:val="0"/>
          <w:color w:val="auto"/>
          <w:lang w:val="en-US" w:eastAsia="zh-CN"/>
        </w:rPr>
        <w:t>92</w:t>
      </w:r>
      <w:r>
        <w:rPr>
          <w:rFonts w:hint="eastAsia" w:ascii="仿宋" w:hAnsi="仿宋" w:eastAsia="仿宋" w:cs="仿宋"/>
          <w:b w:val="0"/>
          <w:bCs w:val="0"/>
          <w:color w:val="auto"/>
          <w:lang w:eastAsia="zh-CN"/>
        </w:rPr>
        <w:t>分</w:t>
      </w:r>
      <w:r>
        <w:rPr>
          <w:rFonts w:hint="eastAsia" w:ascii="仿宋" w:hAnsi="仿宋" w:eastAsia="仿宋" w:cs="仿宋"/>
          <w:szCs w:val="32"/>
          <w:lang w:eastAsia="zh-CN"/>
        </w:rPr>
        <w:t>，</w:t>
      </w:r>
      <w:r>
        <w:rPr>
          <w:rFonts w:ascii="仿宋" w:hAnsi="仿宋" w:eastAsia="仿宋" w:cs="仿宋"/>
          <w:szCs w:val="32"/>
          <w:lang w:eastAsia="zh-CN"/>
        </w:rPr>
        <w:t>综合绩效评估结论为“</w:t>
      </w:r>
      <w:r>
        <w:rPr>
          <w:rFonts w:hint="eastAsia" w:ascii="仿宋" w:hAnsi="仿宋" w:eastAsia="仿宋" w:cs="仿宋"/>
          <w:b/>
          <w:bCs/>
          <w:szCs w:val="32"/>
          <w:lang w:eastAsia="zh-CN"/>
        </w:rPr>
        <w:t>建议</w:t>
      </w:r>
      <w:r>
        <w:rPr>
          <w:rFonts w:ascii="仿宋" w:hAnsi="仿宋" w:eastAsia="仿宋" w:cs="仿宋"/>
          <w:b/>
          <w:bCs/>
          <w:szCs w:val="32"/>
          <w:lang w:eastAsia="zh-CN"/>
        </w:rPr>
        <w:t>实施</w:t>
      </w:r>
      <w:r>
        <w:rPr>
          <w:rFonts w:ascii="仿宋" w:hAnsi="仿宋" w:eastAsia="仿宋" w:cs="仿宋"/>
          <w:szCs w:val="32"/>
          <w:lang w:eastAsia="zh-CN"/>
        </w:rPr>
        <w:t>”</w:t>
      </w:r>
      <w:r>
        <w:rPr>
          <w:rFonts w:hint="eastAsia" w:ascii="仿宋" w:hAnsi="仿宋" w:eastAsia="仿宋" w:cs="仿宋"/>
          <w:szCs w:val="32"/>
          <w:lang w:eastAsia="zh-CN"/>
        </w:rPr>
        <w:t>。</w:t>
      </w:r>
      <w:r>
        <w:rPr>
          <w:rFonts w:hint="eastAsia" w:ascii="仿宋" w:hAnsi="仿宋" w:eastAsia="仿宋" w:cs="仿宋"/>
          <w:b w:val="0"/>
          <w:bCs w:val="0"/>
          <w:color w:val="auto"/>
          <w:lang w:eastAsia="zh-CN"/>
        </w:rPr>
        <w:t>（具体评分情况见</w:t>
      </w:r>
      <w:r>
        <w:rPr>
          <w:rFonts w:hint="eastAsia" w:ascii="仿宋" w:hAnsi="仿宋" w:eastAsia="仿宋" w:cs="仿宋"/>
          <w:b w:val="0"/>
          <w:bCs w:val="0"/>
          <w:color w:val="auto"/>
          <w:lang w:val="en-US" w:eastAsia="zh-CN"/>
        </w:rPr>
        <w:t>三、</w:t>
      </w:r>
      <w:r>
        <w:rPr>
          <w:rFonts w:hint="eastAsia" w:ascii="仿宋" w:hAnsi="仿宋" w:eastAsia="仿宋" w:cs="仿宋"/>
          <w:b w:val="0"/>
          <w:bCs/>
          <w:szCs w:val="32"/>
          <w:lang w:eastAsia="zh-CN"/>
        </w:rPr>
        <w:t>事前绩效评估指标体系及得分情况</w:t>
      </w:r>
      <w:r>
        <w:rPr>
          <w:rFonts w:hint="eastAsia" w:ascii="仿宋" w:hAnsi="仿宋" w:eastAsia="仿宋" w:cs="仿宋"/>
          <w:b w:val="0"/>
          <w:bCs w:val="0"/>
          <w:color w:val="auto"/>
          <w:lang w:eastAsia="zh-CN"/>
        </w:rPr>
        <w:t>）</w:t>
      </w:r>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16" w:name="_Toc1661"/>
      <w:r>
        <w:rPr>
          <w:rFonts w:hint="eastAsia" w:ascii="仿宋" w:hAnsi="仿宋" w:eastAsia="仿宋" w:cs="仿宋"/>
          <w:b w:val="0"/>
          <w:bCs w:val="0"/>
          <w:color w:val="auto"/>
          <w:lang w:eastAsia="zh-CN"/>
        </w:rPr>
        <w:t>森林火灾风险普查专项经费</w:t>
      </w:r>
      <w:bookmarkEnd w:id="16"/>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17" w:name="_Toc4904"/>
      <w:bookmarkStart w:id="18" w:name="_Toc13519"/>
      <w:bookmarkStart w:id="19" w:name="_Toc29428"/>
      <w:bookmarkStart w:id="20" w:name="_Toc25829"/>
      <w:r>
        <w:rPr>
          <w:rFonts w:hint="eastAsia" w:ascii="仿宋" w:hAnsi="仿宋" w:eastAsia="仿宋" w:cs="仿宋"/>
          <w:b w:val="0"/>
          <w:bCs w:val="0"/>
          <w:color w:val="auto"/>
          <w:lang w:eastAsia="zh-CN"/>
        </w:rPr>
        <w:t>事前绩效评价结论一览</w:t>
      </w:r>
      <w:r>
        <w:rPr>
          <w:rFonts w:hint="eastAsia" w:ascii="仿宋" w:hAnsi="仿宋" w:eastAsia="仿宋" w:cs="仿宋"/>
          <w:b w:val="0"/>
          <w:bCs w:val="0"/>
          <w:szCs w:val="32"/>
          <w:lang w:eastAsia="zh-CN"/>
        </w:rPr>
        <w:t>表</w:t>
      </w:r>
      <w:bookmarkEnd w:id="17"/>
      <w:bookmarkEnd w:id="18"/>
      <w:bookmarkEnd w:id="19"/>
      <w:bookmarkEnd w:id="20"/>
    </w:p>
    <w:tbl>
      <w:tblPr>
        <w:tblStyle w:val="21"/>
        <w:tblW w:w="4923" w:type="pct"/>
        <w:tblInd w:w="0" w:type="dxa"/>
        <w:tblLayout w:type="fixed"/>
        <w:tblCellMar>
          <w:top w:w="0" w:type="dxa"/>
          <w:left w:w="108" w:type="dxa"/>
          <w:bottom w:w="0" w:type="dxa"/>
          <w:right w:w="108" w:type="dxa"/>
        </w:tblCellMar>
      </w:tblPr>
      <w:tblGrid>
        <w:gridCol w:w="4860"/>
        <w:gridCol w:w="1836"/>
        <w:gridCol w:w="1695"/>
      </w:tblGrid>
      <w:tr>
        <w:tblPrEx>
          <w:tblCellMar>
            <w:top w:w="0" w:type="dxa"/>
            <w:left w:w="108" w:type="dxa"/>
            <w:bottom w:w="0" w:type="dxa"/>
            <w:right w:w="108" w:type="dxa"/>
          </w:tblCellMar>
        </w:tblPrEx>
        <w:trPr>
          <w:trHeight w:val="624" w:hRule="exact"/>
        </w:trPr>
        <w:tc>
          <w:tcPr>
            <w:tcW w:w="2895"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评价内容</w:t>
            </w:r>
          </w:p>
        </w:tc>
        <w:tc>
          <w:tcPr>
            <w:tcW w:w="1094"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分值</w:t>
            </w:r>
          </w:p>
        </w:tc>
        <w:tc>
          <w:tcPr>
            <w:tcW w:w="1010"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评价得分</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项目实施的必要性、公益性、收益性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项目实施合规性与项目成熟度</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项目资金来源和到位可行性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val="en-US" w:eastAsia="zh-CN"/>
              </w:rPr>
              <w:t>资金使用</w:t>
            </w:r>
            <w:r>
              <w:rPr>
                <w:rFonts w:hint="eastAsia" w:ascii="仿宋" w:hAnsi="仿宋" w:eastAsia="仿宋" w:cs="仿宋"/>
                <w:bCs/>
                <w:snapToGrid w:val="0"/>
                <w:sz w:val="28"/>
                <w:szCs w:val="28"/>
                <w:lang w:eastAsia="zh-CN"/>
              </w:rPr>
              <w:t>计划合理性、资金到位及时性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项目绩效目标明确性、合理性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项目实施方案的有效性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项目实施成果合格性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rPr>
              <w:t>项目实施的可持续性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bidi="ar"/>
              </w:rPr>
              <w:t>综合得分</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fldChar w:fldCharType="begin"/>
            </w:r>
            <w:r>
              <w:rPr>
                <w:rFonts w:hint="default" w:ascii="仿宋" w:hAnsi="仿宋" w:eastAsia="仿宋" w:cs="仿宋"/>
                <w:b/>
                <w:bCs/>
                <w:color w:val="auto"/>
                <w:sz w:val="28"/>
                <w:szCs w:val="28"/>
                <w:highlight w:val="none"/>
              </w:rPr>
              <w:instrText xml:space="preserve"> =SUM(ABOVE) \* MERGEFORMAT </w:instrText>
            </w:r>
            <w:r>
              <w:rPr>
                <w:rFonts w:hint="default" w:ascii="仿宋" w:hAnsi="仿宋" w:eastAsia="仿宋" w:cs="仿宋"/>
                <w:b/>
                <w:bCs/>
                <w:color w:val="auto"/>
                <w:sz w:val="28"/>
                <w:szCs w:val="28"/>
                <w:highlight w:val="none"/>
              </w:rPr>
              <w:fldChar w:fldCharType="separate"/>
            </w:r>
            <w:r>
              <w:rPr>
                <w:rFonts w:hint="default" w:ascii="仿宋" w:hAnsi="仿宋" w:eastAsia="仿宋" w:cs="仿宋"/>
                <w:b/>
                <w:bCs/>
                <w:color w:val="auto"/>
                <w:sz w:val="28"/>
                <w:szCs w:val="28"/>
                <w:highlight w:val="none"/>
              </w:rPr>
              <w:t>100</w:t>
            </w:r>
            <w:r>
              <w:rPr>
                <w:rFonts w:hint="default" w:ascii="仿宋" w:hAnsi="仿宋" w:eastAsia="仿宋" w:cs="仿宋"/>
                <w:b/>
                <w:bCs/>
                <w:color w:val="auto"/>
                <w:sz w:val="28"/>
                <w:szCs w:val="28"/>
                <w:highlight w:val="none"/>
              </w:rPr>
              <w:fldChar w:fldCharType="end"/>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eastAsia="zh-CN"/>
              </w:rPr>
              <w:fldChar w:fldCharType="begin"/>
            </w:r>
            <w:r>
              <w:rPr>
                <w:rFonts w:hint="default" w:ascii="仿宋" w:hAnsi="仿宋" w:eastAsia="仿宋" w:cs="仿宋"/>
                <w:b/>
                <w:bCs/>
                <w:color w:val="auto"/>
                <w:sz w:val="28"/>
                <w:szCs w:val="28"/>
                <w:highlight w:val="none"/>
                <w:lang w:eastAsia="zh-CN"/>
              </w:rPr>
              <w:instrText xml:space="preserve"> =SUM(ABOVE) \* MERGEFORMAT </w:instrText>
            </w:r>
            <w:r>
              <w:rPr>
                <w:rFonts w:hint="default" w:ascii="仿宋" w:hAnsi="仿宋" w:eastAsia="仿宋" w:cs="仿宋"/>
                <w:b/>
                <w:bCs/>
                <w:color w:val="auto"/>
                <w:sz w:val="28"/>
                <w:szCs w:val="28"/>
                <w:highlight w:val="none"/>
                <w:lang w:eastAsia="zh-CN"/>
              </w:rPr>
              <w:fldChar w:fldCharType="separate"/>
            </w:r>
            <w:r>
              <w:rPr>
                <w:rFonts w:hint="default" w:ascii="仿宋" w:hAnsi="仿宋" w:eastAsia="仿宋" w:cs="仿宋"/>
                <w:b/>
                <w:bCs/>
                <w:color w:val="auto"/>
                <w:sz w:val="28"/>
                <w:szCs w:val="28"/>
                <w:highlight w:val="none"/>
                <w:lang w:eastAsia="zh-CN"/>
              </w:rPr>
              <w:t>92</w:t>
            </w:r>
            <w:r>
              <w:rPr>
                <w:rFonts w:hint="default" w:ascii="仿宋" w:hAnsi="仿宋" w:eastAsia="仿宋" w:cs="仿宋"/>
                <w:b/>
                <w:bCs/>
                <w:color w:val="auto"/>
                <w:sz w:val="28"/>
                <w:szCs w:val="28"/>
                <w:highlight w:val="none"/>
                <w:lang w:eastAsia="zh-CN"/>
              </w:rPr>
              <w:fldChar w:fldCharType="end"/>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lang w:eastAsia="zh-CN" w:bidi="ar"/>
              </w:rPr>
            </w:pPr>
            <w:r>
              <w:rPr>
                <w:rFonts w:hint="eastAsia" w:ascii="仿宋" w:hAnsi="仿宋" w:eastAsia="仿宋" w:cs="仿宋"/>
                <w:sz w:val="28"/>
                <w:szCs w:val="28"/>
                <w:lang w:eastAsia="zh-CN"/>
              </w:rPr>
              <w:t>综合绩效评估结论</w:t>
            </w:r>
          </w:p>
        </w:tc>
        <w:tc>
          <w:tcPr>
            <w:tcW w:w="210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szCs w:val="32"/>
                <w:lang w:eastAsia="zh-CN"/>
              </w:rPr>
              <w:t>建议</w:t>
            </w:r>
            <w:r>
              <w:rPr>
                <w:rFonts w:ascii="仿宋" w:hAnsi="仿宋" w:eastAsia="仿宋" w:cs="仿宋"/>
                <w:b/>
                <w:bCs/>
                <w:szCs w:val="32"/>
                <w:lang w:eastAsia="zh-CN"/>
              </w:rPr>
              <w:t>实施</w:t>
            </w:r>
          </w:p>
        </w:tc>
      </w:tr>
    </w:tbl>
    <w:p>
      <w:pPr>
        <w:rPr>
          <w:rFonts w:hint="eastAsia" w:ascii="宋体" w:hAnsi="宋体" w:eastAsia="宋体" w:cs="宋体"/>
          <w:b w:val="0"/>
          <w:bCs w:val="0"/>
          <w:lang w:eastAsia="zh-CN"/>
        </w:rPr>
      </w:pPr>
    </w:p>
    <w:p>
      <w:pPr>
        <w:rPr>
          <w:rFonts w:eastAsia="宋体"/>
          <w:szCs w:val="32"/>
          <w:lang w:eastAsia="zh-CN"/>
        </w:rPr>
      </w:pPr>
      <w:r>
        <w:rPr>
          <w:rFonts w:eastAsia="宋体"/>
          <w:szCs w:val="32"/>
          <w:lang w:eastAsia="zh-CN"/>
        </w:rPr>
        <w:br w:type="pag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ind w:firstLine="562"/>
        <w:jc w:val="center"/>
        <w:textAlignment w:val="auto"/>
        <w:rPr>
          <w:rFonts w:hint="eastAsia" w:ascii="仿宋" w:hAnsi="仿宋" w:eastAsia="仿宋" w:cs="仿宋"/>
          <w:b/>
          <w:bCs/>
          <w:caps/>
          <w:color w:val="000000"/>
          <w:sz w:val="24"/>
          <w:szCs w:val="24"/>
          <w:lang w:val="en-US" w:eastAsia="en-US" w:bidi="en-US"/>
        </w:rPr>
      </w:pPr>
      <w:r>
        <w:rPr>
          <w:rFonts w:hint="eastAsia" w:ascii="仿宋" w:hAnsi="仿宋" w:eastAsia="仿宋" w:cs="仿宋"/>
          <w:sz w:val="44"/>
          <w:szCs w:val="44"/>
          <w:lang w:eastAsia="zh-CN"/>
        </w:rPr>
        <w:t>目录</w:t>
      </w:r>
      <w:r>
        <w:rPr>
          <w:rFonts w:hint="eastAsia" w:ascii="仿宋" w:hAnsi="仿宋" w:eastAsia="仿宋" w:cs="仿宋"/>
          <w:sz w:val="24"/>
          <w:szCs w:val="24"/>
        </w:rPr>
        <w:fldChar w:fldCharType="begin"/>
      </w:r>
      <w:r>
        <w:rPr>
          <w:rFonts w:hint="eastAsia" w:ascii="仿宋" w:hAnsi="仿宋" w:eastAsia="仿宋" w:cs="仿宋"/>
          <w:sz w:val="24"/>
          <w:szCs w:val="24"/>
          <w:lang w:eastAsia="zh-CN"/>
        </w:rPr>
        <w:instrText xml:space="preserve"> TOC \o "1-2" \h \u </w:instrText>
      </w:r>
      <w:r>
        <w:rPr>
          <w:rFonts w:hint="eastAsia" w:ascii="仿宋" w:hAnsi="仿宋" w:eastAsia="仿宋" w:cs="仿宋"/>
          <w:sz w:val="24"/>
          <w:szCs w:val="24"/>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_Toc9247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_Toc9247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_Toc12884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（一）项目建设背景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_Toc28877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_Toc28877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_Toc4357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_Toc4357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_Toc6302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_Toc6302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_Toc6017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(二)绩效评价指标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_Toc11904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rPr>
        <w:t>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_Toc11904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_Toc28796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(四)绩效评价原则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_Toc28796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_Toc4046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(五)评价</w:t>
      </w:r>
      <w:r>
        <w:rPr>
          <w:rFonts w:hint="eastAsia" w:ascii="仿宋" w:hAnsi="仿宋" w:eastAsia="仿宋" w:cs="仿宋"/>
          <w:bCs/>
          <w:sz w:val="24"/>
          <w:szCs w:val="24"/>
          <w:lang w:eastAsia="zh-CN"/>
        </w:rPr>
        <w:t>方法和等级设定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_Toc4046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_Toc21368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(六)评价程序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_Toc21368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_Toc28492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(七)论证思路及方法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_Toc28492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_Toc17481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(八)评估方式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_Toc29976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三、事前绩效评估指标体系及得分情况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_Toc29976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_Toc6088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四、绩效评价内容与结论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_Toc6088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kern w:val="44"/>
          <w:sz w:val="24"/>
          <w:szCs w:val="24"/>
          <w:lang w:eastAsia="zh-CN"/>
        </w:rPr>
        <w:t>项目实施的必要性、公益性、收益性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_Toc785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_Toc12059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kern w:val="44"/>
          <w:sz w:val="24"/>
          <w:szCs w:val="24"/>
          <w:lang w:eastAsia="zh-CN"/>
        </w:rPr>
        <w:t>项目实施合规性与成熟度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_Toc12059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_Toc27007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(三)项目资金来源、资金到位可行性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_Toc27007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_Toc9784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(四)资金使用计划合理性、资金到位及时性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_Toc9784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_Toc30218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kern w:val="44"/>
          <w:sz w:val="24"/>
          <w:szCs w:val="24"/>
          <w:lang w:eastAsia="zh-CN"/>
        </w:rPr>
        <w:t>项目绩效目标明确性、合理性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_Toc30218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_Toc22418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(六)项目实施方案的有效性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_Toc22418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_Toc22324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(七)项目实施成果合格性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_Toc22324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_Toc26124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(八)项目实施的可持续性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_Toc26124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_Toc24831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(九)总体结论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_Toc24831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_Toc18341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_Toc18341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_Toc25444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lang w:val="en-US" w:eastAsia="zh-CN"/>
        </w:rPr>
        <w:t>未</w:t>
      </w:r>
      <w:r>
        <w:rPr>
          <w:rFonts w:hint="eastAsia" w:ascii="仿宋" w:hAnsi="仿宋" w:eastAsia="仿宋" w:cs="仿宋"/>
          <w:bCs/>
          <w:sz w:val="24"/>
          <w:szCs w:val="24"/>
          <w:lang w:eastAsia="zh-CN"/>
        </w:rPr>
        <w:t>按照</w:t>
      </w:r>
      <w:r>
        <w:rPr>
          <w:rFonts w:hint="eastAsia" w:ascii="仿宋" w:hAnsi="仿宋" w:eastAsia="仿宋" w:cs="仿宋"/>
          <w:bCs/>
          <w:sz w:val="24"/>
          <w:szCs w:val="24"/>
          <w:lang w:val="en-US" w:eastAsia="zh-CN"/>
        </w:rPr>
        <w:t>合同约定</w:t>
      </w:r>
      <w:r>
        <w:rPr>
          <w:rFonts w:hint="eastAsia" w:ascii="仿宋" w:hAnsi="仿宋" w:eastAsia="仿宋" w:cs="仿宋"/>
          <w:bCs/>
          <w:sz w:val="24"/>
          <w:szCs w:val="24"/>
          <w:lang w:eastAsia="zh-CN"/>
        </w:rPr>
        <w:t>完成工作进度</w:t>
      </w:r>
      <w:r>
        <w:rPr>
          <w:rFonts w:hint="eastAsia" w:ascii="仿宋" w:hAnsi="仿宋" w:eastAsia="仿宋" w:cs="仿宋"/>
          <w:bCs/>
          <w:sz w:val="24"/>
          <w:szCs w:val="24"/>
          <w:lang w:val="en-US" w:eastAsia="zh-CN"/>
        </w:rPr>
        <w:t>及支付经费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_Toc25444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_Toc24195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w:t>
      </w:r>
      <w:r>
        <w:rPr>
          <w:rFonts w:hint="eastAsia" w:ascii="仿宋" w:hAnsi="仿宋" w:eastAsia="仿宋" w:cs="仿宋"/>
          <w:bCs/>
          <w:sz w:val="24"/>
          <w:szCs w:val="24"/>
          <w:lang w:val="en-US" w:eastAsia="zh-CN"/>
        </w:rPr>
        <w:t>未提供</w:t>
      </w:r>
      <w:r>
        <w:rPr>
          <w:rFonts w:hint="eastAsia" w:ascii="仿宋" w:hAnsi="仿宋" w:eastAsia="仿宋" w:cs="仿宋"/>
          <w:bCs/>
          <w:sz w:val="24"/>
          <w:szCs w:val="24"/>
          <w:lang w:eastAsia="zh-CN"/>
        </w:rPr>
        <w:t>完善建议</w:t>
      </w:r>
      <w:r>
        <w:rPr>
          <w:rFonts w:hint="eastAsia" w:ascii="仿宋" w:hAnsi="仿宋" w:eastAsia="仿宋" w:cs="仿宋"/>
          <w:bCs/>
          <w:sz w:val="24"/>
          <w:szCs w:val="24"/>
          <w:lang w:val="en-US" w:eastAsia="zh-CN"/>
        </w:rPr>
        <w:t>内容</w:t>
      </w:r>
      <w:r>
        <w:rPr>
          <w:rFonts w:hint="eastAsia" w:ascii="仿宋" w:hAnsi="仿宋" w:eastAsia="仿宋" w:cs="仿宋"/>
          <w:bCs/>
          <w:sz w:val="24"/>
          <w:szCs w:val="24"/>
          <w:lang w:eastAsia="zh-CN"/>
        </w:rPr>
        <w:t>的</w:t>
      </w:r>
      <w:r>
        <w:rPr>
          <w:rFonts w:hint="eastAsia" w:ascii="仿宋" w:hAnsi="仿宋" w:eastAsia="仿宋" w:cs="仿宋"/>
          <w:bCs/>
          <w:sz w:val="24"/>
          <w:szCs w:val="24"/>
          <w:lang w:val="en-US" w:eastAsia="zh-CN"/>
        </w:rPr>
        <w:t>后续档案</w:t>
      </w:r>
      <w:r>
        <w:rPr>
          <w:rFonts w:hint="eastAsia" w:ascii="仿宋" w:hAnsi="仿宋" w:eastAsia="仿宋" w:cs="仿宋"/>
          <w:bCs/>
          <w:sz w:val="24"/>
          <w:szCs w:val="24"/>
          <w:lang w:eastAsia="zh-CN"/>
        </w:rPr>
        <w:t>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_Toc24195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六、其他需要说明的问题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_Toc2492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_Toc23361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七、附件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_Toc23361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40"/>
        <w:jc w:val="center"/>
        <w:textAlignment w:val="auto"/>
        <w:rPr>
          <w:rFonts w:eastAsia="宋体"/>
          <w:sz w:val="28"/>
          <w:szCs w:val="28"/>
          <w:lang w:eastAsia="zh-CN"/>
        </w:rPr>
      </w:pPr>
      <w:r>
        <w:rPr>
          <w:rFonts w:hint="eastAsia" w:ascii="仿宋" w:hAnsi="仿宋" w:eastAsia="仿宋" w:cs="仿宋"/>
          <w:sz w:val="24"/>
          <w:szCs w:val="24"/>
        </w:rPr>
        <w:fldChar w:fldCharType="end"/>
      </w:r>
    </w:p>
    <w:p>
      <w:pPr>
        <w:pStyle w:val="14"/>
        <w:tabs>
          <w:tab w:val="right" w:leader="dot" w:pos="8306"/>
        </w:tabs>
        <w:ind w:firstLine="562"/>
        <w:rPr>
          <w:rFonts w:ascii="Times New Roman" w:hAnsi="Times New Roman" w:eastAsia="宋体" w:cs="Times New Roman"/>
          <w:sz w:val="28"/>
          <w:szCs w:val="28"/>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宋体" w:cs="Times New Roman"/>
          <w:sz w:val="28"/>
          <w:szCs w:val="28"/>
          <w:lang w:eastAsia="zh-CN"/>
        </w:rPr>
        <w:br w:type="page"/>
      </w:r>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21" w:name="_Toc28307"/>
      <w:bookmarkStart w:id="22" w:name="_Toc11127"/>
      <w:bookmarkStart w:id="23" w:name="_Toc18501"/>
      <w:bookmarkStart w:id="24" w:name="_Toc28591"/>
      <w:bookmarkStart w:id="25" w:name="_Toc22608"/>
      <w:bookmarkStart w:id="26" w:name="_Toc562319121"/>
      <w:bookmarkStart w:id="27" w:name="_Toc130033874"/>
      <w:bookmarkStart w:id="28" w:name="_Toc1675062758"/>
      <w:bookmarkStart w:id="29" w:name="_Toc13216"/>
      <w:bookmarkStart w:id="30" w:name="_Toc1902724683"/>
      <w:bookmarkStart w:id="31" w:name="_Toc17291"/>
      <w:bookmarkStart w:id="32" w:name="_Toc400713784"/>
      <w:bookmarkStart w:id="33" w:name="_Toc1042875910_WPSOffice_Level1"/>
      <w:bookmarkStart w:id="34" w:name="_Toc132480957"/>
      <w:bookmarkStart w:id="35" w:name="_Toc792595118"/>
      <w:bookmarkStart w:id="36" w:name="_Toc132480512"/>
      <w:bookmarkStart w:id="37" w:name="_Toc133498022"/>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r>
        <w:rPr>
          <w:rFonts w:hint="eastAsia" w:ascii="方正小标宋简体" w:hAnsi="方正小标宋简体" w:eastAsia="方正小标宋简体" w:cs="方正小标宋简体"/>
          <w:b w:val="0"/>
          <w:bCs w:val="0"/>
          <w:lang w:eastAsia="zh-CN"/>
        </w:rPr>
        <w:t>乐山市金口河区自然资源局</w:t>
      </w:r>
      <w:bookmarkEnd w:id="21"/>
    </w:p>
    <w:bookmarkEnd w:id="22"/>
    <w:bookmarkEnd w:id="23"/>
    <w:bookmarkEnd w:id="24"/>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38" w:name="_Toc20154"/>
      <w:bookmarkStart w:id="39" w:name="_Toc32549"/>
      <w:bookmarkStart w:id="40" w:name="_Toc25169"/>
      <w:bookmarkStart w:id="41" w:name="_Toc18917"/>
      <w:r>
        <w:rPr>
          <w:rFonts w:hint="eastAsia" w:ascii="方正小标宋简体" w:hAnsi="方正小标宋简体" w:eastAsia="方正小标宋简体" w:cs="方正小标宋简体"/>
          <w:b w:val="0"/>
          <w:bCs w:val="0"/>
          <w:lang w:eastAsia="zh-CN"/>
        </w:rPr>
        <w:t>森林火灾风险普查专项经费</w:t>
      </w:r>
      <w:bookmarkEnd w:id="38"/>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42" w:name="_Toc13059"/>
      <w:r>
        <w:rPr>
          <w:rFonts w:hint="eastAsia" w:ascii="方正小标宋简体" w:hAnsi="方正小标宋简体" w:eastAsia="方正小标宋简体" w:cs="方正小标宋简体"/>
          <w:b w:val="0"/>
          <w:bCs w:val="0"/>
          <w:lang w:eastAsia="zh-CN"/>
        </w:rPr>
        <w:t>事前绩效评价报告</w:t>
      </w:r>
      <w:bookmarkEnd w:id="25"/>
      <w:bookmarkEnd w:id="26"/>
      <w:bookmarkEnd w:id="27"/>
      <w:bookmarkEnd w:id="28"/>
      <w:bookmarkEnd w:id="29"/>
      <w:bookmarkEnd w:id="30"/>
      <w:bookmarkEnd w:id="31"/>
      <w:bookmarkEnd w:id="32"/>
      <w:bookmarkEnd w:id="33"/>
      <w:bookmarkEnd w:id="34"/>
      <w:bookmarkEnd w:id="35"/>
      <w:bookmarkEnd w:id="36"/>
      <w:bookmarkEnd w:id="37"/>
      <w:bookmarkEnd w:id="39"/>
      <w:bookmarkEnd w:id="40"/>
      <w:bookmarkEnd w:id="41"/>
      <w:bookmarkEnd w:id="42"/>
    </w:p>
    <w:p>
      <w:pPr>
        <w:ind w:firstLine="640"/>
        <w:rPr>
          <w:lang w:eastAsia="zh-CN"/>
        </w:rPr>
      </w:pPr>
    </w:p>
    <w:p>
      <w:pPr>
        <w:keepNext w:val="0"/>
        <w:keepLines w:val="0"/>
        <w:pageBreakBefore w:val="0"/>
        <w:numPr>
          <w:numId w:val="0"/>
        </w:numPr>
        <w:kinsoku/>
        <w:wordWrap/>
        <w:overflowPunct/>
        <w:topLinePunct w:val="0"/>
        <w:autoSpaceDE/>
        <w:autoSpaceDN/>
        <w:bidi w:val="0"/>
        <w:adjustRightInd w:val="0"/>
        <w:snapToGrid w:val="0"/>
        <w:spacing w:before="0" w:after="0" w:line="600" w:lineRule="exact"/>
        <w:ind w:leftChars="0" w:firstLine="640" w:firstLineChars="200"/>
        <w:textAlignment w:val="auto"/>
        <w:outlineLvl w:val="9"/>
        <w:rPr>
          <w:rFonts w:hint="eastAsia" w:ascii="黑体" w:hAnsi="黑体" w:eastAsia="黑体" w:cs="黑体"/>
          <w:b w:val="0"/>
          <w:bCs/>
          <w:szCs w:val="32"/>
          <w:lang w:eastAsia="zh-CN"/>
        </w:rPr>
      </w:pPr>
      <w:bookmarkStart w:id="43" w:name="_Toc1969419847"/>
      <w:bookmarkStart w:id="44" w:name="_Toc132480958"/>
      <w:bookmarkStart w:id="45" w:name="_Toc287850696"/>
      <w:bookmarkStart w:id="46" w:name="_Toc1416645183"/>
      <w:bookmarkStart w:id="47" w:name="_Toc2001376203_WPSOffice_Level1"/>
      <w:bookmarkStart w:id="48" w:name="_Toc4405"/>
      <w:bookmarkStart w:id="49" w:name="_Toc2225"/>
      <w:bookmarkStart w:id="50" w:name="_Toc305085885"/>
      <w:bookmarkStart w:id="51" w:name="_Toc9247"/>
      <w:bookmarkStart w:id="52" w:name="_Toc7797"/>
      <w:r>
        <w:rPr>
          <w:rFonts w:hint="eastAsia" w:ascii="黑体" w:hAnsi="黑体" w:eastAsia="黑体" w:cs="黑体"/>
          <w:b w:val="0"/>
          <w:bCs/>
          <w:szCs w:val="32"/>
          <w:lang w:eastAsia="zh-CN"/>
        </w:rPr>
        <w:t>一、</w:t>
      </w:r>
      <w:bookmarkStart w:id="207" w:name="_GoBack"/>
      <w:bookmarkEnd w:id="207"/>
      <w:r>
        <w:rPr>
          <w:rFonts w:hint="eastAsia" w:ascii="黑体" w:hAnsi="黑体" w:eastAsia="黑体" w:cs="黑体"/>
          <w:b w:val="0"/>
          <w:bCs/>
          <w:szCs w:val="32"/>
          <w:lang w:eastAsia="zh-CN"/>
        </w:rPr>
        <w:t>项目基本情况</w:t>
      </w:r>
      <w:bookmarkEnd w:id="43"/>
      <w:bookmarkEnd w:id="44"/>
      <w:bookmarkEnd w:id="45"/>
      <w:bookmarkEnd w:id="46"/>
      <w:bookmarkEnd w:id="47"/>
      <w:bookmarkEnd w:id="48"/>
      <w:bookmarkEnd w:id="49"/>
      <w:bookmarkEnd w:id="50"/>
      <w:bookmarkEnd w:id="51"/>
      <w:bookmarkEnd w:id="52"/>
    </w:p>
    <w:p>
      <w:pPr>
        <w:keepNext w:val="0"/>
        <w:keepLines w:val="0"/>
        <w:pageBreakBefore w:val="0"/>
        <w:kinsoku/>
        <w:wordWrap/>
        <w:overflowPunct/>
        <w:topLinePunct w:val="0"/>
        <w:autoSpaceDE/>
        <w:autoSpaceDN/>
        <w:bidi w:val="0"/>
        <w:adjustRightInd w:val="0"/>
        <w:snapToGrid w:val="0"/>
        <w:spacing w:before="0" w:after="0" w:line="600" w:lineRule="exact"/>
        <w:ind w:left="0" w:leftChars="0" w:firstLine="640" w:firstLineChars="200"/>
        <w:textAlignment w:val="auto"/>
        <w:outlineLvl w:val="9"/>
        <w:rPr>
          <w:rFonts w:hint="eastAsia" w:ascii="楷体" w:hAnsi="楷体" w:eastAsia="楷体" w:cs="楷体"/>
          <w:b w:val="0"/>
          <w:bCs/>
          <w:szCs w:val="32"/>
          <w:lang w:eastAsia="zh-CN"/>
        </w:rPr>
      </w:pPr>
      <w:bookmarkStart w:id="53" w:name="_Toc19438"/>
      <w:bookmarkStart w:id="54" w:name="_Toc1535003806"/>
      <w:bookmarkStart w:id="55" w:name="_Toc873917318"/>
      <w:bookmarkStart w:id="56" w:name="_Toc14550"/>
      <w:bookmarkStart w:id="57" w:name="_Toc1773474628"/>
      <w:bookmarkStart w:id="58" w:name="_Toc132480959"/>
      <w:bookmarkStart w:id="59" w:name="_Toc27921"/>
      <w:bookmarkStart w:id="60" w:name="_Toc1042875910_WPSOffice_Level2"/>
      <w:bookmarkStart w:id="61" w:name="_Toc404396392"/>
      <w:bookmarkStart w:id="62" w:name="_Toc12884"/>
      <w:r>
        <w:rPr>
          <w:rFonts w:hint="eastAsia" w:ascii="楷体" w:hAnsi="楷体" w:eastAsia="楷体" w:cs="楷体"/>
          <w:b w:val="0"/>
          <w:bCs/>
          <w:szCs w:val="32"/>
          <w:lang w:eastAsia="zh-CN"/>
        </w:rPr>
        <w:t>（一）项目建设</w:t>
      </w:r>
      <w:bookmarkEnd w:id="53"/>
      <w:bookmarkEnd w:id="54"/>
      <w:bookmarkEnd w:id="55"/>
      <w:bookmarkEnd w:id="56"/>
      <w:bookmarkEnd w:id="57"/>
      <w:bookmarkEnd w:id="58"/>
      <w:bookmarkEnd w:id="59"/>
      <w:bookmarkEnd w:id="60"/>
      <w:bookmarkEnd w:id="61"/>
      <w:bookmarkStart w:id="63" w:name="_Toc12111"/>
      <w:bookmarkStart w:id="64" w:name="_Toc27403"/>
      <w:bookmarkStart w:id="65" w:name="_Toc133498025"/>
      <w:bookmarkStart w:id="66" w:name="_Toc20062"/>
      <w:bookmarkStart w:id="67" w:name="_Toc18961"/>
      <w:bookmarkStart w:id="68" w:name="_Toc23032"/>
      <w:bookmarkStart w:id="69" w:name="_Toc1042875910_WPSOffice_Level3"/>
      <w:bookmarkStart w:id="70" w:name="_Toc2051901236"/>
      <w:bookmarkStart w:id="71" w:name="_Toc1287701793"/>
      <w:bookmarkStart w:id="72" w:name="_Toc9639"/>
      <w:bookmarkStart w:id="73" w:name="_Toc1087916031"/>
      <w:bookmarkStart w:id="74" w:name="_Toc130033877"/>
      <w:bookmarkStart w:id="75" w:name="_Toc1862536083"/>
      <w:r>
        <w:rPr>
          <w:rFonts w:hint="eastAsia" w:ascii="楷体" w:hAnsi="楷体" w:eastAsia="楷体" w:cs="楷体"/>
          <w:b w:val="0"/>
          <w:bCs/>
          <w:szCs w:val="32"/>
          <w:lang w:eastAsia="zh-CN"/>
        </w:rPr>
        <w:t>背景</w:t>
      </w:r>
      <w:bookmarkEnd w:id="62"/>
      <w:bookmarkEnd w:id="63"/>
      <w:bookmarkEnd w:id="64"/>
      <w:bookmarkEnd w:id="65"/>
      <w:bookmarkEnd w:id="66"/>
      <w:bookmarkEnd w:id="67"/>
      <w:bookmarkEnd w:id="68"/>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我国是世界上自然灾害最为严重的国家之一，灾害种类多,分布地域广,发生频率高，造成</w:t>
      </w:r>
      <w:r>
        <w:rPr>
          <w:rFonts w:hint="eastAsia" w:ascii="仿宋" w:hAnsi="仿宋" w:eastAsia="仿宋" w:cs="仿宋"/>
          <w:bCs/>
          <w:kern w:val="2"/>
          <w:szCs w:val="32"/>
          <w:lang w:val="en-US" w:eastAsia="zh-CN" w:bidi="ar-SA"/>
        </w:rPr>
        <w:t>严</w:t>
      </w:r>
      <w:r>
        <w:rPr>
          <w:rFonts w:hint="eastAsia" w:ascii="仿宋" w:hAnsi="仿宋" w:eastAsia="仿宋" w:cs="仿宋"/>
          <w:bCs/>
          <w:kern w:val="2"/>
          <w:szCs w:val="32"/>
          <w:lang w:eastAsia="zh-CN" w:bidi="ar-SA"/>
        </w:rPr>
        <w:t>重损失。2018年10月，习近平总书记主持召开中央财经委员会第三次会议，专题研究我国自然灾害防治能力建设问题。会议将实施“自然灾害综合风险普查”列为提高自然灾害防治能力9项重点工程的第一项重点工程。2020年5月，国务院组建了第一次全国自然灾害综合风险普查工作领导小组。2020年6月，国务院办公厅印发《国务院办公厅关于开展第一次全国自然灾害综合风险普查的通知》，全面部署第一次全国自然灾害综合风险普查工作，普查时间为2020年至2022年。</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pacing w:val="8"/>
          <w:szCs w:val="32"/>
          <w:lang w:eastAsia="zh-CN"/>
        </w:rPr>
      </w:pPr>
      <w:r>
        <w:rPr>
          <w:rFonts w:hint="eastAsia" w:ascii="仿宋" w:hAnsi="仿宋" w:eastAsia="仿宋" w:cs="仿宋"/>
          <w:bCs/>
          <w:kern w:val="2"/>
          <w:szCs w:val="32"/>
          <w:lang w:eastAsia="zh-CN" w:bidi="ar-SA"/>
        </w:rPr>
        <w:t>金口河区属于森林火灾中</w:t>
      </w:r>
      <w:r>
        <w:rPr>
          <w:rFonts w:hint="eastAsia" w:ascii="仿宋" w:hAnsi="仿宋" w:eastAsia="仿宋" w:cs="仿宋"/>
          <w:bCs/>
          <w:kern w:val="2"/>
          <w:szCs w:val="32"/>
          <w:lang w:val="en-US" w:eastAsia="zh-CN" w:bidi="ar-SA"/>
        </w:rPr>
        <w:t>的</w:t>
      </w:r>
      <w:r>
        <w:rPr>
          <w:rFonts w:hint="eastAsia" w:ascii="仿宋" w:hAnsi="仿宋" w:eastAsia="仿宋" w:cs="仿宋"/>
          <w:bCs/>
          <w:kern w:val="2"/>
          <w:szCs w:val="32"/>
          <w:lang w:eastAsia="zh-CN" w:bidi="ar-SA"/>
        </w:rPr>
        <w:t>火险区，位于四川西南部峨眉山南麓，小凉山脉腹地，地处乐山市、雅安市、眉山市和凉山彝族自治州四市州交界处，东与峨眉山市接壤，东南与峨边彝族自治区相邻，西与凉山彝族自治州甘洛县、雅安市汉源县交界，北接眉山市洪雅县，幅员面积59863公顷，林地面积47831公顷，森林面积39064公顷，森林覆盖率达65.25%。</w:t>
      </w:r>
      <w:bookmarkStart w:id="76" w:name="OLE_LINK2"/>
      <w:r>
        <w:rPr>
          <w:rFonts w:hint="eastAsia" w:ascii="仿宋" w:hAnsi="仿宋" w:eastAsia="仿宋" w:cs="仿宋"/>
          <w:bCs/>
          <w:kern w:val="2"/>
          <w:szCs w:val="32"/>
          <w:lang w:eastAsia="zh-CN" w:bidi="ar-SA"/>
        </w:rPr>
        <w:t>金口河区人民政府按照</w:t>
      </w:r>
      <w:bookmarkStart w:id="77" w:name="OLE_LINK4"/>
      <w:r>
        <w:rPr>
          <w:rFonts w:hint="eastAsia" w:ascii="仿宋" w:hAnsi="仿宋" w:eastAsia="仿宋" w:cs="仿宋"/>
          <w:bCs/>
          <w:kern w:val="2"/>
          <w:szCs w:val="32"/>
          <w:lang w:eastAsia="zh-CN" w:bidi="ar-SA"/>
        </w:rPr>
        <w:t>《国务院办公厅关于开展第一次全国自然灾害综合风险普查的通知》(国办发(2020)12号)、《四川省人民政府办公厅关于开展四川省第一次全国自然灾害综合风险普查的通知》(川办发(2020)58号)、《四川省林业和草原局关于开展四川省第一次森林和草原火灾风险普查工作的通知》(川林发(2020)46号)和《乐山市林业和园林局关于开展乐山市第一次森林火灾风险普查工作的通知》(乐市林发(2021)70号)</w:t>
      </w:r>
      <w:bookmarkEnd w:id="77"/>
      <w:r>
        <w:rPr>
          <w:rFonts w:hint="eastAsia" w:ascii="仿宋" w:hAnsi="仿宋" w:eastAsia="仿宋" w:cs="仿宋"/>
          <w:bCs/>
          <w:kern w:val="2"/>
          <w:szCs w:val="32"/>
          <w:lang w:eastAsia="zh-CN" w:bidi="ar-SA"/>
        </w:rPr>
        <w:t>文件要求，为全区有效开展火灾防治和应急管理、切实保障经济社会高质量发展提供权威的风险信息和科学决策依据，按照上级的安排和部署，决定启动金口河区第一次森林火灾(以下简称“火灾”)风险普查工作</w:t>
      </w:r>
      <w:bookmarkEnd w:id="76"/>
      <w:r>
        <w:rPr>
          <w:rFonts w:hint="eastAsia" w:ascii="仿宋" w:hAnsi="仿宋" w:eastAsia="仿宋" w:cs="仿宋"/>
          <w:bCs/>
          <w:kern w:val="2"/>
          <w:szCs w:val="32"/>
          <w:lang w:eastAsia="zh-CN" w:bidi="ar-SA"/>
        </w:rPr>
        <w:t>。</w:t>
      </w:r>
    </w:p>
    <w:bookmarkEnd w:id="69"/>
    <w:bookmarkEnd w:id="70"/>
    <w:bookmarkEnd w:id="71"/>
    <w:bookmarkEnd w:id="72"/>
    <w:bookmarkEnd w:id="73"/>
    <w:bookmarkEnd w:id="74"/>
    <w:bookmarkEnd w:id="75"/>
    <w:p>
      <w:pPr>
        <w:keepNext w:val="0"/>
        <w:keepLines w:val="0"/>
        <w:pageBreakBefore w:val="0"/>
        <w:kinsoku/>
        <w:wordWrap/>
        <w:overflowPunct/>
        <w:topLinePunct w:val="0"/>
        <w:autoSpaceDE/>
        <w:autoSpaceDN/>
        <w:bidi w:val="0"/>
        <w:adjustRightInd w:val="0"/>
        <w:snapToGrid w:val="0"/>
        <w:spacing w:before="0" w:after="0" w:line="600" w:lineRule="exact"/>
        <w:ind w:left="0" w:leftChars="0" w:firstLine="640" w:firstLineChars="200"/>
        <w:textAlignment w:val="auto"/>
        <w:outlineLvl w:val="9"/>
        <w:rPr>
          <w:rFonts w:hint="eastAsia" w:ascii="楷体" w:hAnsi="楷体" w:eastAsia="楷体" w:cs="楷体"/>
          <w:b w:val="0"/>
          <w:bCs/>
          <w:szCs w:val="32"/>
          <w:lang w:eastAsia="zh-CN"/>
        </w:rPr>
      </w:pPr>
      <w:bookmarkStart w:id="78" w:name="_Toc133498028"/>
      <w:bookmarkStart w:id="79" w:name="_Toc24844"/>
      <w:bookmarkStart w:id="80" w:name="_Toc28877"/>
      <w:bookmarkStart w:id="81" w:name="_Toc12980"/>
      <w:bookmarkStart w:id="82" w:name="_Toc865934723"/>
      <w:bookmarkStart w:id="83" w:name="_Toc1372691542"/>
      <w:bookmarkStart w:id="84" w:name="_Toc1491763895"/>
      <w:bookmarkStart w:id="85" w:name="_Toc1093480860_WPSOffice_Level3"/>
      <w:bookmarkStart w:id="86" w:name="_Toc130033880"/>
      <w:bookmarkStart w:id="87" w:name="_Toc15651"/>
      <w:bookmarkStart w:id="88" w:name="_Toc15203"/>
      <w:bookmarkStart w:id="89" w:name="_Toc153907914"/>
      <w:bookmarkStart w:id="90" w:name="_Toc17740"/>
      <w:bookmarkStart w:id="91" w:name="_Toc17270"/>
      <w:r>
        <w:rPr>
          <w:rFonts w:hint="eastAsia" w:ascii="楷体" w:hAnsi="楷体" w:eastAsia="楷体" w:cs="楷体"/>
          <w:b w:val="0"/>
          <w:bCs/>
          <w:szCs w:val="32"/>
          <w:lang w:eastAsia="zh-CN"/>
        </w:rPr>
        <w:t>（二）项目主要内容</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1.项目基本情况：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项目名称：森林火灾风险普查专项经费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bCs/>
          <w:szCs w:val="32"/>
          <w:lang w:val="zh-CN" w:eastAsia="zh-CN"/>
        </w:rPr>
        <w:t>项目单位：</w:t>
      </w:r>
      <w:r>
        <w:rPr>
          <w:rFonts w:hint="eastAsia" w:ascii="仿宋" w:hAnsi="仿宋" w:eastAsia="仿宋" w:cs="仿宋"/>
          <w:szCs w:val="32"/>
          <w:lang w:val="zh-CN" w:eastAsia="zh-CN"/>
        </w:rPr>
        <w:t>乐山市金口河区自然资源局</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_GB2312"/>
          <w:szCs w:val="32"/>
          <w:lang w:eastAsia="zh-CN"/>
        </w:rPr>
        <w:t>主管部门：乐山市金口河区自然资源局</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zh-CN" w:eastAsia="zh-CN"/>
        </w:rPr>
        <w:t>项目属性（新增/延续）：延续</w:t>
      </w:r>
      <w:r>
        <w:rPr>
          <w:rFonts w:hint="eastAsia" w:ascii="仿宋" w:hAnsi="仿宋" w:eastAsia="仿宋" w:cs="仿宋"/>
          <w:bCs/>
          <w:szCs w:val="32"/>
          <w:lang w:eastAsia="zh-CN"/>
        </w:rPr>
        <w:t>性项目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2.项目绩效目标：</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通过开展森林火灾风险普查，全面获取金口河区森林火灾可燃物、野外火源、气象条件等致灾信息，森林资源、生态环境、林区产业、林区居民人口及房屋建筑、基础设施等重要承灾体信息，历史森林火灾信息，掌握重点隐患情况，分析评估区域森林火灾预防、扑救、保障、应急等综合能力。以调查为基础、评估为支撑，客观认识当前金口河区森林火灾致灾风险水平、承灾体脆弱性水平、防灾减灾救灾能力，科学预判今后一段时期灾害风险变化趋势和特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3.项目概况：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(1)普查范围</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color w:val="333333"/>
          <w:szCs w:val="32"/>
          <w:shd w:val="clear" w:color="auto" w:fill="FFFFFF"/>
          <w:lang w:val="zh-CN" w:eastAsia="zh-CN"/>
        </w:rPr>
      </w:pPr>
      <w:bookmarkStart w:id="92" w:name="_Toc8112"/>
      <w:bookmarkStart w:id="93" w:name="_Toc132480960"/>
      <w:bookmarkStart w:id="94" w:name="_Toc1256897804"/>
      <w:bookmarkStart w:id="95" w:name="_Toc20677"/>
      <w:bookmarkStart w:id="96" w:name="_Toc16114"/>
      <w:bookmarkStart w:id="97" w:name="_Toc386835874"/>
      <w:bookmarkStart w:id="98" w:name="_Toc300186741"/>
      <w:bookmarkStart w:id="99" w:name="_Toc2001376203_WPSOffice_Level2"/>
      <w:bookmarkStart w:id="100" w:name="_Toc510053535"/>
      <w:r>
        <w:rPr>
          <w:rFonts w:hint="eastAsia" w:ascii="仿宋" w:hAnsi="仿宋" w:eastAsia="仿宋" w:cs="仿宋"/>
          <w:color w:val="333333"/>
          <w:szCs w:val="32"/>
          <w:shd w:val="clear" w:color="auto" w:fill="FFFFFF"/>
          <w:lang w:val="zh-CN" w:eastAsia="zh-CN"/>
        </w:rPr>
        <w:t>火灾风险普查对象包括森林资源，林区人员及设施，以及与火灾密切相关的其他自然和人文地理要素，</w:t>
      </w:r>
      <w:r>
        <w:rPr>
          <w:rFonts w:hint="eastAsia" w:ascii="仿宋" w:hAnsi="仿宋" w:eastAsia="仿宋" w:cs="仿宋"/>
          <w:color w:val="333333"/>
          <w:szCs w:val="32"/>
          <w:shd w:val="clear" w:color="auto" w:fill="FFFFFF"/>
          <w:lang w:val="en-US" w:eastAsia="zh-CN"/>
        </w:rPr>
        <w:t>区</w:t>
      </w:r>
      <w:r>
        <w:rPr>
          <w:rFonts w:hint="eastAsia" w:ascii="仿宋" w:hAnsi="仿宋" w:eastAsia="仿宋" w:cs="仿宋"/>
          <w:color w:val="333333"/>
          <w:szCs w:val="32"/>
          <w:shd w:val="clear" w:color="auto" w:fill="FFFFFF"/>
          <w:lang w:val="zh-CN" w:eastAsia="zh-CN"/>
        </w:rPr>
        <w:t>级人民政府及有关部门，乡镇人民政府和街道办事处，村民委员会和居民委员会，重点企事业单位和社会组织，林业经营单位,部分居民等。普查地域覆盖全区5个乡镇和国有林区。</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color w:val="333333"/>
          <w:szCs w:val="32"/>
          <w:shd w:val="clear" w:color="auto" w:fill="FFFFFF"/>
          <w:lang w:val="zh-CN" w:eastAsia="zh-CN"/>
        </w:rPr>
      </w:pPr>
      <w:r>
        <w:rPr>
          <w:rFonts w:hint="eastAsia" w:ascii="仿宋" w:hAnsi="仿宋" w:eastAsia="仿宋" w:cs="仿宋"/>
          <w:color w:val="333333"/>
          <w:szCs w:val="32"/>
          <w:shd w:val="clear" w:color="auto" w:fill="FFFFFF"/>
          <w:lang w:eastAsia="zh-CN"/>
        </w:rPr>
        <w:t>(2)</w:t>
      </w:r>
      <w:r>
        <w:rPr>
          <w:rFonts w:hint="eastAsia" w:ascii="仿宋" w:hAnsi="仿宋" w:eastAsia="仿宋" w:cs="仿宋"/>
          <w:color w:val="333333"/>
          <w:szCs w:val="32"/>
          <w:shd w:val="clear" w:color="auto" w:fill="FFFFFF"/>
          <w:lang w:val="zh-CN" w:eastAsia="zh-CN"/>
        </w:rPr>
        <w:t>普查内容</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一是火灾危险性调查与评估，主要完成可燃物类型及载量调查、可燃物样品实验室测定，获取野外火源分布情况、收集与分析气象资料等。二是火灾承灾体调查。三是火灾历史灾害调查。四是火灾综合减灾能力调查。五是火灾重点隐患调查与评估。六是火灾风险评估与区划。</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(3)普查时间安排</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本次火灾风险普查标准时点为2020年12月31日。2020年为普查前期准备阶段，主要完成普查工作方案、实施细则编制，经费预算，落实普查人员和队伍、机构，开展普查宣传和培训等工作。2021-2022年为全面调查、评估与区划阶段，其中2021年12月31日前应完成外业调查，通过质检验收;2022年8月31日前应完成风险评估与区划并通过验收;12月31日前完成全省火灾普查成果汇总、编制和上报。</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4.项目实施过程</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ascii="仿宋" w:hAnsi="仿宋" w:eastAsia="仿宋" w:cs="仿宋"/>
          <w:bCs/>
          <w:szCs w:val="32"/>
          <w:lang w:eastAsia="zh-CN"/>
        </w:rPr>
        <w:t>2021年10月15日乐山市金口河区自然资源局</w:t>
      </w:r>
      <w:r>
        <w:rPr>
          <w:rFonts w:hint="eastAsia" w:ascii="仿宋" w:hAnsi="仿宋" w:eastAsia="仿宋" w:cs="仿宋"/>
          <w:bCs/>
          <w:szCs w:val="32"/>
          <w:lang w:eastAsia="zh-CN"/>
        </w:rPr>
        <w:t>委托四川宜林招标代理有限公司对</w:t>
      </w:r>
      <w:r>
        <w:rPr>
          <w:rFonts w:ascii="仿宋" w:hAnsi="仿宋" w:eastAsia="仿宋" w:cs="仿宋"/>
          <w:bCs/>
          <w:szCs w:val="32"/>
          <w:lang w:eastAsia="zh-CN"/>
        </w:rPr>
        <w:t>“金口河区第一次森林火灾风险普查(采购编号:511113202100001)”采用竞争性磋商的方式开标评审，</w:t>
      </w:r>
      <w:r>
        <w:rPr>
          <w:rFonts w:hint="eastAsia" w:ascii="仿宋" w:hAnsi="仿宋" w:eastAsia="仿宋" w:cs="仿宋"/>
          <w:bCs/>
          <w:szCs w:val="32"/>
          <w:lang w:eastAsia="zh-CN"/>
        </w:rPr>
        <w:t>确定</w:t>
      </w:r>
      <w:r>
        <w:rPr>
          <w:rFonts w:ascii="仿宋" w:hAnsi="仿宋" w:eastAsia="仿宋" w:cs="仿宋"/>
          <w:bCs/>
          <w:szCs w:val="32"/>
          <w:lang w:eastAsia="zh-CN"/>
        </w:rPr>
        <w:t>四川吉星林业规划设计有限公司</w:t>
      </w:r>
      <w:r>
        <w:rPr>
          <w:rFonts w:hint="eastAsia" w:ascii="仿宋" w:hAnsi="仿宋" w:eastAsia="仿宋" w:cs="仿宋"/>
          <w:bCs/>
          <w:szCs w:val="32"/>
          <w:lang w:eastAsia="zh-CN"/>
        </w:rPr>
        <w:t>为成交供应商，成交金额</w:t>
      </w:r>
      <w:r>
        <w:rPr>
          <w:rFonts w:ascii="仿宋" w:hAnsi="仿宋" w:eastAsia="仿宋" w:cs="仿宋"/>
          <w:bCs/>
          <w:szCs w:val="32"/>
          <w:lang w:eastAsia="zh-CN"/>
        </w:rPr>
        <w:t>98万元(大写:玖拾捌万元整)</w:t>
      </w:r>
      <w:r>
        <w:rPr>
          <w:rFonts w:hint="eastAsia" w:ascii="仿宋" w:hAnsi="仿宋" w:eastAsia="仿宋" w:cs="仿宋"/>
          <w:bCs/>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2021年10月26日</w:t>
      </w:r>
      <w:r>
        <w:rPr>
          <w:rFonts w:ascii="仿宋" w:hAnsi="仿宋" w:eastAsia="仿宋" w:cs="仿宋"/>
          <w:bCs/>
          <w:szCs w:val="32"/>
          <w:lang w:eastAsia="zh-CN"/>
        </w:rPr>
        <w:t>乐山市金口河区自然资源局</w:t>
      </w:r>
      <w:r>
        <w:rPr>
          <w:rFonts w:hint="eastAsia" w:ascii="仿宋" w:hAnsi="仿宋" w:eastAsia="仿宋" w:cs="仿宋"/>
          <w:bCs/>
          <w:szCs w:val="32"/>
          <w:lang w:eastAsia="zh-CN"/>
        </w:rPr>
        <w:t>与</w:t>
      </w:r>
      <w:r>
        <w:rPr>
          <w:rFonts w:ascii="仿宋" w:hAnsi="仿宋" w:eastAsia="仿宋" w:cs="仿宋"/>
          <w:bCs/>
          <w:szCs w:val="32"/>
          <w:lang w:eastAsia="zh-CN"/>
        </w:rPr>
        <w:t>四川吉星林业规划设计有限公司</w:t>
      </w:r>
      <w:r>
        <w:rPr>
          <w:rFonts w:hint="eastAsia" w:ascii="仿宋" w:hAnsi="仿宋" w:eastAsia="仿宋" w:cs="仿宋"/>
          <w:bCs/>
          <w:szCs w:val="32"/>
          <w:lang w:eastAsia="zh-CN"/>
        </w:rPr>
        <w:t>签订《</w:t>
      </w:r>
      <w:r>
        <w:rPr>
          <w:rFonts w:ascii="仿宋" w:hAnsi="仿宋" w:eastAsia="仿宋" w:cs="仿宋"/>
          <w:bCs/>
          <w:szCs w:val="32"/>
          <w:lang w:eastAsia="zh-CN"/>
        </w:rPr>
        <w:t>金口河区第一次森林火灾风险普查</w:t>
      </w:r>
      <w:r>
        <w:rPr>
          <w:rFonts w:hint="eastAsia" w:ascii="仿宋" w:hAnsi="仿宋" w:eastAsia="仿宋" w:cs="仿宋"/>
          <w:bCs/>
          <w:szCs w:val="32"/>
          <w:lang w:eastAsia="zh-CN"/>
        </w:rPr>
        <w:t>政府采购合同》</w:t>
      </w:r>
      <w:r>
        <w:rPr>
          <w:rFonts w:ascii="仿宋" w:hAnsi="仿宋" w:eastAsia="仿宋" w:cs="仿宋"/>
          <w:bCs/>
          <w:szCs w:val="32"/>
          <w:lang w:eastAsia="zh-CN"/>
        </w:rPr>
        <w:t>(采购编号:511113202100001)</w:t>
      </w:r>
      <w:r>
        <w:rPr>
          <w:rFonts w:hint="eastAsia" w:ascii="仿宋" w:hAnsi="仿宋" w:eastAsia="仿宋" w:cs="仿宋"/>
          <w:bCs/>
          <w:szCs w:val="32"/>
          <w:lang w:eastAsia="zh-CN"/>
        </w:rPr>
        <w:t>。合同约定项目服务费用：98万元。服务期限：2021年12月31日前完成外业调查，通过质检验收；2022年6月31日前完成全区评估与区划，提交各项普查成果资料，并通过验收。2022年12月10日前完成全区火灾普查成果汇总、编制和上报。</w:t>
      </w:r>
    </w:p>
    <w:p>
      <w:pPr>
        <w:keepNext w:val="0"/>
        <w:keepLines w:val="0"/>
        <w:pageBreakBefore w:val="0"/>
        <w:kinsoku/>
        <w:wordWrap/>
        <w:overflowPunct/>
        <w:topLinePunct w:val="0"/>
        <w:autoSpaceDE/>
        <w:autoSpaceDN/>
        <w:bidi w:val="0"/>
        <w:adjustRightInd w:val="0"/>
        <w:snapToGrid w:val="0"/>
        <w:spacing w:before="0" w:after="0" w:line="600" w:lineRule="exact"/>
        <w:ind w:left="0" w:leftChars="0" w:firstLine="640" w:firstLineChars="200"/>
        <w:textAlignment w:val="auto"/>
        <w:outlineLvl w:val="9"/>
        <w:rPr>
          <w:rFonts w:hint="eastAsia" w:ascii="楷体" w:hAnsi="楷体" w:eastAsia="楷体" w:cs="楷体"/>
          <w:b w:val="0"/>
          <w:bCs/>
          <w:szCs w:val="32"/>
          <w:lang w:eastAsia="zh-CN"/>
        </w:rPr>
      </w:pPr>
      <w:r>
        <w:rPr>
          <w:rFonts w:hint="eastAsia" w:ascii="楷体" w:hAnsi="楷体" w:eastAsia="楷体" w:cs="楷体"/>
          <w:b w:val="0"/>
          <w:bCs/>
          <w:szCs w:val="32"/>
          <w:lang w:eastAsia="zh-CN"/>
        </w:rPr>
        <w:t>（三）项目预算构成</w:t>
      </w:r>
      <w:bookmarkEnd w:id="92"/>
      <w:bookmarkEnd w:id="93"/>
      <w:bookmarkEnd w:id="94"/>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经《乐山市金口河区人民政府关于&lt;关于解决金口河区第一次森林火灾风险普查资金缺口的请示&gt;的批复》(金府复〔2021〕148号)文件，金口河区人民政府批复本项目资金控制在100万元以内实施，经竞争性磋商确认项目资金98万元，全部为财政资金。2025年项目预算资金为24.5万元。</w:t>
      </w:r>
    </w:p>
    <w:p>
      <w:pPr>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bCs/>
          <w:szCs w:val="32"/>
          <w:lang w:eastAsia="zh-CN"/>
        </w:rPr>
      </w:pPr>
      <w:r>
        <w:rPr>
          <w:rFonts w:hint="eastAsia" w:ascii="仿宋" w:hAnsi="仿宋" w:eastAsia="仿宋" w:cs="仿宋"/>
          <w:bCs/>
          <w:szCs w:val="32"/>
          <w:lang w:eastAsia="zh-CN"/>
        </w:rPr>
        <w:t>项目资金支出计划表</w:t>
      </w:r>
    </w:p>
    <w:tbl>
      <w:tblPr>
        <w:tblStyle w:val="21"/>
        <w:tblpPr w:leftFromText="180" w:rightFromText="180" w:vertAnchor="text" w:horzAnchor="page" w:tblpX="1765" w:tblpY="222"/>
        <w:tblOverlap w:val="never"/>
        <w:tblW w:w="8842" w:type="dxa"/>
        <w:tblInd w:w="0" w:type="dxa"/>
        <w:tblLayout w:type="fixed"/>
        <w:tblCellMar>
          <w:top w:w="0" w:type="dxa"/>
          <w:left w:w="108" w:type="dxa"/>
          <w:bottom w:w="0" w:type="dxa"/>
          <w:right w:w="108" w:type="dxa"/>
        </w:tblCellMar>
      </w:tblPr>
      <w:tblGrid>
        <w:gridCol w:w="562"/>
        <w:gridCol w:w="1843"/>
        <w:gridCol w:w="1459"/>
        <w:gridCol w:w="6"/>
        <w:gridCol w:w="3515"/>
        <w:gridCol w:w="12"/>
        <w:gridCol w:w="1445"/>
      </w:tblGrid>
      <w:tr>
        <w:tblPrEx>
          <w:tblCellMar>
            <w:top w:w="0" w:type="dxa"/>
            <w:left w:w="108" w:type="dxa"/>
            <w:bottom w:w="0" w:type="dxa"/>
            <w:right w:w="108" w:type="dxa"/>
          </w:tblCellMar>
        </w:tblPrEx>
        <w:trPr>
          <w:trHeight w:val="698"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项目内容</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应支付金额（万元）</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合同约定应支付时间</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发票开具</w:t>
            </w:r>
          </w:p>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时间</w:t>
            </w:r>
          </w:p>
        </w:tc>
      </w:tr>
      <w:tr>
        <w:tblPrEx>
          <w:tblCellMar>
            <w:top w:w="0" w:type="dxa"/>
            <w:left w:w="108" w:type="dxa"/>
            <w:bottom w:w="0" w:type="dxa"/>
            <w:right w:w="108" w:type="dxa"/>
          </w:tblCellMar>
        </w:tblPrEx>
        <w:trPr>
          <w:trHeight w:val="129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金口河区第一次森林火灾风险普查服务费（第1笔）</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4.9</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合同签订后乙方提供合法有效的支付凭证后，甲方在15个工作日内支付合同总额的5％。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2021.12.17</w:t>
            </w:r>
          </w:p>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(支付时间，未见发票)</w:t>
            </w:r>
          </w:p>
        </w:tc>
      </w:tr>
      <w:tr>
        <w:tblPrEx>
          <w:tblCellMar>
            <w:top w:w="0" w:type="dxa"/>
            <w:left w:w="108" w:type="dxa"/>
            <w:bottom w:w="0" w:type="dxa"/>
            <w:right w:w="108" w:type="dxa"/>
          </w:tblCellMar>
        </w:tblPrEx>
        <w:trPr>
          <w:trHeight w:val="98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金口河区第一次森林火灾风险普查服务费（第2笔）</w:t>
            </w:r>
          </w:p>
        </w:tc>
        <w:tc>
          <w:tcPr>
            <w:tcW w:w="1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39.2</w:t>
            </w:r>
          </w:p>
        </w:tc>
        <w:tc>
          <w:tcPr>
            <w:tcW w:w="3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外业调查完成后并通过质检验收合格，乙方提供合法有效的支付凭证后，甲方在15个工作日内支付合同总额的40％。</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2022.7.11</w:t>
            </w:r>
          </w:p>
        </w:tc>
      </w:tr>
      <w:tr>
        <w:tblPrEx>
          <w:tblCellMar>
            <w:top w:w="0" w:type="dxa"/>
            <w:left w:w="108" w:type="dxa"/>
            <w:bottom w:w="0" w:type="dxa"/>
            <w:right w:w="108" w:type="dxa"/>
          </w:tblCellMar>
        </w:tblPrEx>
        <w:trPr>
          <w:trHeight w:val="2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p>
        </w:tc>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p>
        </w:tc>
        <w:tc>
          <w:tcPr>
            <w:tcW w:w="3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p>
        </w:tc>
      </w:tr>
      <w:tr>
        <w:tblPrEx>
          <w:tblCellMar>
            <w:top w:w="0" w:type="dxa"/>
            <w:left w:w="108" w:type="dxa"/>
            <w:bottom w:w="0" w:type="dxa"/>
            <w:right w:w="108" w:type="dxa"/>
          </w:tblCellMar>
        </w:tblPrEx>
        <w:trPr>
          <w:trHeight w:val="1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金口河区第一次森林火灾风险普查服务费（第3笔）</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29.4</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完成全区评估与区划，提交各项普查成果资料，并通过验收，乙方提供合法有效的支付凭证后，甲方在15个工作日内支付合同总额的30％。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2022.10.24</w:t>
            </w:r>
          </w:p>
        </w:tc>
      </w:tr>
      <w:tr>
        <w:tblPrEx>
          <w:tblCellMar>
            <w:top w:w="0" w:type="dxa"/>
            <w:left w:w="108" w:type="dxa"/>
            <w:bottom w:w="0" w:type="dxa"/>
            <w:right w:w="108" w:type="dxa"/>
          </w:tblCellMar>
        </w:tblPrEx>
        <w:trPr>
          <w:trHeight w:val="22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金口河区第一次森林火灾风险普查服务费（第4笔）</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24.5</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普查项目完成后，提交纸质材料和数据库等电子材料通过四川省森林和草原火灾风险普查办公室验收合格，乙方提供合法有效的支付凭证后，甲方在15个工作日内支付合同总额的25％。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2023.7.24</w:t>
            </w:r>
          </w:p>
        </w:tc>
      </w:tr>
      <w:tr>
        <w:tblPrEx>
          <w:tblCellMar>
            <w:top w:w="0" w:type="dxa"/>
            <w:left w:w="108" w:type="dxa"/>
            <w:bottom w:w="0" w:type="dxa"/>
            <w:right w:w="108" w:type="dxa"/>
          </w:tblCellMar>
        </w:tblPrEx>
        <w:trPr>
          <w:trHeight w:val="520" w:hRule="atLeast"/>
        </w:trPr>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合计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98</w:t>
            </w:r>
          </w:p>
        </w:tc>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p>
        </w:tc>
      </w:tr>
    </w:tbl>
    <w:p>
      <w:pPr>
        <w:pStyle w:val="2"/>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bCs/>
          <w:szCs w:val="32"/>
          <w:lang w:eastAsia="zh-CN"/>
        </w:rPr>
      </w:pPr>
      <w:bookmarkStart w:id="101" w:name="_Toc451760287"/>
      <w:bookmarkStart w:id="102" w:name="_Toc9538"/>
      <w:bookmarkStart w:id="103" w:name="_Toc132480961"/>
      <w:bookmarkStart w:id="104" w:name="_Toc1939"/>
      <w:bookmarkStart w:id="105" w:name="_Toc338550202"/>
      <w:bookmarkStart w:id="106" w:name="_Toc1093480860_WPSOffice_Level1"/>
      <w:bookmarkStart w:id="107" w:name="_Toc1396703300"/>
      <w:bookmarkStart w:id="108" w:name="_Toc23154"/>
      <w:bookmarkStart w:id="109" w:name="_Toc4357"/>
      <w:bookmarkStart w:id="110" w:name="_Toc326378840"/>
      <w:r>
        <w:rPr>
          <w:rFonts w:hint="eastAsia" w:ascii="黑体" w:hAnsi="黑体" w:cs="黑体"/>
          <w:b w:val="0"/>
          <w:bCs/>
          <w:szCs w:val="32"/>
          <w:lang w:eastAsia="zh-CN"/>
        </w:rPr>
        <w:t>二、</w:t>
      </w:r>
      <w:r>
        <w:rPr>
          <w:rFonts w:hint="eastAsia" w:ascii="黑体" w:hAnsi="黑体" w:eastAsia="黑体" w:cs="黑体"/>
          <w:b w:val="0"/>
          <w:bCs/>
          <w:szCs w:val="32"/>
          <w:lang w:eastAsia="zh-CN"/>
        </w:rPr>
        <w:t>绩效评价工作开展情况</w:t>
      </w:r>
      <w:bookmarkEnd w:id="101"/>
      <w:bookmarkEnd w:id="102"/>
      <w:bookmarkEnd w:id="103"/>
      <w:bookmarkEnd w:id="104"/>
      <w:bookmarkEnd w:id="105"/>
      <w:bookmarkEnd w:id="106"/>
      <w:bookmarkEnd w:id="107"/>
      <w:bookmarkEnd w:id="108"/>
      <w:bookmarkEnd w:id="109"/>
      <w:bookmarkEnd w:id="110"/>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11" w:name="_Toc20456"/>
      <w:bookmarkStart w:id="112" w:name="_Toc248617743"/>
      <w:bookmarkStart w:id="113" w:name="_Toc132480962"/>
      <w:bookmarkStart w:id="114" w:name="_Toc29934"/>
      <w:bookmarkStart w:id="115" w:name="_Toc6302"/>
      <w:bookmarkStart w:id="116" w:name="_Toc775929442"/>
      <w:bookmarkStart w:id="117" w:name="_Toc1329064111"/>
      <w:bookmarkStart w:id="118" w:name="_Toc24814"/>
      <w:bookmarkStart w:id="119" w:name="_Toc1380451464"/>
      <w:r>
        <w:rPr>
          <w:rFonts w:hint="eastAsia" w:ascii="楷体" w:hAnsi="楷体" w:cs="楷体"/>
          <w:b w:val="0"/>
          <w:bCs/>
          <w:szCs w:val="32"/>
          <w:lang w:eastAsia="zh-CN"/>
        </w:rPr>
        <w:t>（一）</w:t>
      </w:r>
      <w:r>
        <w:rPr>
          <w:rFonts w:hint="eastAsia" w:ascii="楷体" w:hAnsi="楷体" w:eastAsia="楷体" w:cs="楷体"/>
          <w:b w:val="0"/>
          <w:bCs/>
          <w:szCs w:val="32"/>
          <w:lang w:eastAsia="zh-CN"/>
        </w:rPr>
        <w:t>绩效评价目的</w:t>
      </w:r>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ascii="仿宋" w:hAnsi="仿宋" w:eastAsia="仿宋" w:cs="仿宋"/>
          <w:bCs/>
          <w:szCs w:val="32"/>
          <w:lang w:eastAsia="zh-CN"/>
        </w:rPr>
        <w:t>根据《</w:t>
      </w:r>
      <w:r>
        <w:rPr>
          <w:rFonts w:hint="eastAsia"/>
          <w:lang w:val="en-US" w:eastAsia="zh-CN"/>
        </w:rPr>
        <w:t>乐山市金口河区财政局关于委托金口河区财政投资评价审核中心开展2025年事前绩效评估工作的函</w:t>
      </w:r>
      <w:r>
        <w:rPr>
          <w:rFonts w:ascii="仿宋" w:hAnsi="仿宋" w:eastAsia="仿宋" w:cs="仿宋"/>
          <w:bCs/>
          <w:szCs w:val="32"/>
          <w:lang w:eastAsia="zh-CN"/>
        </w:rPr>
        <w:t>》，</w:t>
      </w:r>
      <w:r>
        <w:rPr>
          <w:rFonts w:hint="eastAsia" w:ascii="仿宋" w:hAnsi="仿宋" w:eastAsia="仿宋" w:cs="仿宋"/>
          <w:bCs/>
          <w:szCs w:val="32"/>
          <w:lang w:val="en-US" w:eastAsia="zh-CN"/>
        </w:rPr>
        <w:t>金口河区财政局在各预算单位对2025年年初预算资金进行事前自评的基础上，按照“资金量较大、代表性较强、社会关注度较高、资金分配覆盖广且连续实施”的原则，委托我中心对森林火灾风险普查项目进行评估。</w:t>
      </w:r>
      <w:r>
        <w:rPr>
          <w:rFonts w:ascii="仿宋" w:hAnsi="仿宋" w:eastAsia="仿宋" w:cs="仿宋"/>
          <w:bCs/>
          <w:szCs w:val="32"/>
          <w:lang w:eastAsia="zh-CN"/>
        </w:rPr>
        <w:t>本项目的绩效评估主要判断项目申请资金支持的必要性和可行性，重点论证项目实施</w:t>
      </w:r>
      <w:r>
        <w:rPr>
          <w:rFonts w:ascii="仿宋" w:hAnsi="仿宋" w:eastAsia="仿宋" w:cs="仿宋"/>
          <w:bCs/>
          <w:szCs w:val="32"/>
          <w:highlight w:val="none"/>
          <w:lang w:eastAsia="zh-CN"/>
        </w:rPr>
        <w:t>的必要性、公益性、收益性；</w:t>
      </w:r>
      <w:r>
        <w:rPr>
          <w:rFonts w:ascii="仿宋" w:hAnsi="仿宋" w:eastAsia="仿宋" w:cs="仿宋"/>
          <w:bCs/>
          <w:szCs w:val="32"/>
          <w:lang w:eastAsia="zh-CN"/>
        </w:rPr>
        <w:t>项目建设投资合规性与项目成熟度；项目资金来源和到位可行性；项目绩效目标合理性、事前绩效评估论证结果。</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20" w:name="_Toc2011308256"/>
      <w:bookmarkStart w:id="121" w:name="_Toc1343165574"/>
      <w:bookmarkStart w:id="122" w:name="_Toc15142"/>
      <w:bookmarkStart w:id="123" w:name="_Toc132480963"/>
      <w:bookmarkStart w:id="124" w:name="_Toc1814348475"/>
      <w:bookmarkStart w:id="125" w:name="_Toc32534"/>
      <w:bookmarkStart w:id="126" w:name="_Toc8572"/>
      <w:bookmarkStart w:id="127" w:name="_Toc166470150"/>
      <w:bookmarkStart w:id="128" w:name="_Toc6017"/>
      <w:r>
        <w:rPr>
          <w:rFonts w:hint="eastAsia" w:ascii="楷体" w:hAnsi="楷体" w:cs="楷体"/>
          <w:b w:val="0"/>
          <w:bCs/>
          <w:szCs w:val="32"/>
          <w:lang w:eastAsia="zh-CN"/>
        </w:rPr>
        <w:t>（二）</w:t>
      </w:r>
      <w:r>
        <w:rPr>
          <w:rFonts w:hint="eastAsia" w:ascii="楷体" w:hAnsi="楷体" w:eastAsia="楷体" w:cs="楷体"/>
          <w:b w:val="0"/>
          <w:bCs/>
          <w:szCs w:val="32"/>
          <w:lang w:eastAsia="zh-CN"/>
        </w:rPr>
        <w:t>绩效评价</w:t>
      </w:r>
      <w:bookmarkEnd w:id="120"/>
      <w:bookmarkEnd w:id="121"/>
      <w:bookmarkEnd w:id="122"/>
      <w:bookmarkEnd w:id="123"/>
      <w:bookmarkEnd w:id="124"/>
      <w:bookmarkEnd w:id="125"/>
      <w:bookmarkEnd w:id="126"/>
      <w:bookmarkEnd w:id="127"/>
      <w:r>
        <w:rPr>
          <w:rFonts w:hint="eastAsia" w:ascii="楷体" w:hAnsi="楷体" w:eastAsia="楷体" w:cs="楷体"/>
          <w:b w:val="0"/>
          <w:bCs/>
          <w:szCs w:val="32"/>
          <w:lang w:eastAsia="zh-CN"/>
        </w:rPr>
        <w:t>指标</w:t>
      </w:r>
      <w:bookmarkEnd w:id="128"/>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ascii="仿宋" w:hAnsi="仿宋" w:eastAsia="仿宋" w:cs="仿宋"/>
          <w:bCs/>
          <w:szCs w:val="32"/>
          <w:highlight w:val="none"/>
          <w:lang w:eastAsia="zh-CN"/>
        </w:rPr>
      </w:pPr>
      <w:r>
        <w:rPr>
          <w:rFonts w:hint="eastAsia" w:ascii="仿宋" w:hAnsi="仿宋" w:eastAsia="仿宋" w:cs="仿宋"/>
          <w:bCs/>
          <w:szCs w:val="32"/>
          <w:lang w:eastAsia="zh-CN"/>
        </w:rPr>
        <w:t>森林火灾风险普查专项经费</w:t>
      </w:r>
      <w:r>
        <w:rPr>
          <w:rFonts w:ascii="仿宋" w:hAnsi="仿宋" w:eastAsia="仿宋" w:cs="仿宋"/>
          <w:bCs/>
          <w:szCs w:val="32"/>
          <w:lang w:eastAsia="zh-CN"/>
        </w:rPr>
        <w:t>事前绩效评估指标直接影响绩效评估结果的有效性，设计和选择评估指标时，评估工作小组遵循“相关性、经济性、可比性、重要性”的原则，通过对</w:t>
      </w:r>
      <w:r>
        <w:rPr>
          <w:rFonts w:hint="eastAsia" w:ascii="仿宋" w:hAnsi="仿宋" w:eastAsia="仿宋" w:cs="仿宋"/>
          <w:bCs/>
          <w:szCs w:val="32"/>
          <w:lang w:eastAsia="zh-CN"/>
        </w:rPr>
        <w:t>森林火灾风险普查专项经费</w:t>
      </w:r>
      <w:r>
        <w:rPr>
          <w:rFonts w:ascii="仿宋" w:hAnsi="仿宋" w:eastAsia="仿宋" w:cs="仿宋"/>
          <w:bCs/>
          <w:szCs w:val="32"/>
          <w:lang w:eastAsia="zh-CN"/>
        </w:rPr>
        <w:t>相关文件的学习理解、对项目特点的深入研究以及对项目资料的整理分析的基础上，设计形成事前绩效评估</w:t>
      </w:r>
      <w:r>
        <w:rPr>
          <w:rFonts w:ascii="仿宋" w:hAnsi="仿宋" w:eastAsia="仿宋" w:cs="仿宋"/>
          <w:bCs/>
          <w:szCs w:val="32"/>
          <w:highlight w:val="none"/>
          <w:lang w:eastAsia="zh-CN"/>
        </w:rPr>
        <w:t>体系。绩效评估总分100分，共设置一级指标</w:t>
      </w:r>
      <w:r>
        <w:rPr>
          <w:rFonts w:hint="eastAsia" w:ascii="仿宋" w:hAnsi="仿宋" w:eastAsia="仿宋" w:cs="仿宋"/>
          <w:bCs/>
          <w:szCs w:val="32"/>
          <w:highlight w:val="none"/>
          <w:lang w:val="en-US" w:eastAsia="zh-CN"/>
        </w:rPr>
        <w:t>8</w:t>
      </w:r>
      <w:r>
        <w:rPr>
          <w:rFonts w:ascii="仿宋" w:hAnsi="仿宋" w:eastAsia="仿宋" w:cs="仿宋"/>
          <w:bCs/>
          <w:szCs w:val="32"/>
          <w:highlight w:val="none"/>
          <w:lang w:eastAsia="zh-CN"/>
        </w:rPr>
        <w:t>个，分值分别为1</w:t>
      </w:r>
      <w:r>
        <w:rPr>
          <w:rFonts w:hint="eastAsia" w:ascii="仿宋" w:hAnsi="仿宋" w:eastAsia="仿宋" w:cs="仿宋"/>
          <w:bCs/>
          <w:szCs w:val="32"/>
          <w:highlight w:val="none"/>
          <w:lang w:val="en-US" w:eastAsia="zh-CN"/>
        </w:rPr>
        <w:t>6</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8</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2</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2</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3</w:t>
      </w:r>
      <w:r>
        <w:rPr>
          <w:rFonts w:ascii="仿宋" w:hAnsi="仿宋" w:eastAsia="仿宋" w:cs="仿宋"/>
          <w:bCs/>
          <w:szCs w:val="32"/>
          <w:highlight w:val="none"/>
          <w:lang w:eastAsia="zh-CN"/>
        </w:rPr>
        <w:t>分、</w:t>
      </w:r>
      <w:r>
        <w:rPr>
          <w:rFonts w:hint="eastAsia" w:ascii="仿宋" w:hAnsi="仿宋" w:eastAsia="仿宋" w:cs="仿宋"/>
          <w:bCs/>
          <w:szCs w:val="32"/>
          <w:highlight w:val="none"/>
          <w:lang w:val="en-US" w:eastAsia="zh-CN"/>
        </w:rPr>
        <w:t>8</w:t>
      </w:r>
      <w:r>
        <w:rPr>
          <w:rFonts w:ascii="仿宋" w:hAnsi="仿宋" w:eastAsia="仿宋" w:cs="仿宋"/>
          <w:bCs/>
          <w:szCs w:val="32"/>
          <w:highlight w:val="none"/>
          <w:lang w:eastAsia="zh-CN"/>
        </w:rPr>
        <w:t>分</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lang w:val="en-US" w:eastAsia="zh-CN"/>
        </w:rPr>
        <w:t>9分</w:t>
      </w:r>
      <w:r>
        <w:rPr>
          <w:rFonts w:ascii="仿宋" w:hAnsi="仿宋" w:eastAsia="仿宋" w:cs="仿宋"/>
          <w:bCs/>
          <w:szCs w:val="32"/>
          <w:highlight w:val="none"/>
          <w:lang w:eastAsia="zh-CN"/>
        </w:rPr>
        <w:t>和12分，设置二级指标15个，重点论证立项必要性、绩效目标合理性、实施方案可行性、</w:t>
      </w:r>
      <w:r>
        <w:rPr>
          <w:rFonts w:hint="eastAsia" w:ascii="仿宋" w:hAnsi="仿宋" w:eastAsia="仿宋" w:cs="仿宋"/>
          <w:bCs/>
          <w:szCs w:val="32"/>
          <w:highlight w:val="none"/>
          <w:lang w:val="en-US" w:eastAsia="zh-CN"/>
        </w:rPr>
        <w:t>实施成果</w:t>
      </w:r>
      <w:r>
        <w:rPr>
          <w:rFonts w:ascii="仿宋" w:hAnsi="仿宋" w:eastAsia="仿宋" w:cs="仿宋"/>
          <w:bCs/>
          <w:szCs w:val="32"/>
          <w:highlight w:val="none"/>
          <w:lang w:eastAsia="zh-CN"/>
        </w:rPr>
        <w:t>合规性等方面，全面评估该项目的的预期绩效情况。</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29" w:name="_Toc27238"/>
      <w:bookmarkStart w:id="130" w:name="_Toc9410"/>
      <w:bookmarkStart w:id="131" w:name="_Toc22272"/>
      <w:bookmarkStart w:id="132" w:name="_Toc130033892"/>
      <w:bookmarkStart w:id="133" w:name="_Toc133498040"/>
      <w:bookmarkStart w:id="134" w:name="_Toc11904"/>
      <w:bookmarkStart w:id="135" w:name="_Toc9540"/>
      <w:r>
        <w:rPr>
          <w:rFonts w:hint="eastAsia" w:ascii="楷体" w:hAnsi="楷体" w:cs="楷体"/>
          <w:b w:val="0"/>
          <w:bCs/>
          <w:szCs w:val="32"/>
          <w:lang w:eastAsia="zh-CN"/>
        </w:rPr>
        <w:t>（三）</w:t>
      </w:r>
      <w:r>
        <w:rPr>
          <w:rFonts w:hint="eastAsia" w:ascii="楷体" w:hAnsi="楷体" w:eastAsia="楷体" w:cs="楷体"/>
          <w:b w:val="0"/>
          <w:bCs/>
          <w:szCs w:val="32"/>
          <w:lang w:eastAsia="zh-CN"/>
        </w:rPr>
        <w:t>评价依据</w:t>
      </w:r>
      <w:bookmarkEnd w:id="129"/>
      <w:bookmarkEnd w:id="130"/>
      <w:bookmarkEnd w:id="131"/>
      <w:bookmarkEnd w:id="132"/>
      <w:bookmarkEnd w:id="133"/>
      <w:bookmarkEnd w:id="134"/>
      <w:bookmarkEnd w:id="135"/>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1.</w:t>
      </w:r>
      <w:r>
        <w:rPr>
          <w:rFonts w:hint="eastAsia" w:ascii="仿宋" w:hAnsi="仿宋" w:eastAsia="仿宋" w:cs="仿宋"/>
          <w:bCs/>
          <w:szCs w:val="32"/>
          <w:lang w:eastAsia="zh-CN"/>
        </w:rPr>
        <w:t>乐山市</w:t>
      </w:r>
      <w:r>
        <w:rPr>
          <w:rFonts w:hint="eastAsia" w:ascii="仿宋" w:hAnsi="仿宋" w:eastAsia="仿宋" w:cs="仿宋"/>
          <w:bCs/>
          <w:szCs w:val="32"/>
          <w:highlight w:val="none"/>
          <w:lang w:eastAsia="zh-CN"/>
        </w:rPr>
        <w:t>金口河区</w:t>
      </w:r>
      <w:r>
        <w:rPr>
          <w:rFonts w:hint="eastAsia" w:ascii="仿宋" w:hAnsi="仿宋" w:eastAsia="仿宋" w:cs="仿宋"/>
          <w:bCs/>
          <w:szCs w:val="32"/>
          <w:lang w:eastAsia="zh-CN"/>
        </w:rPr>
        <w:t>第一次森林火灾风险普查工作方案；</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2.</w:t>
      </w:r>
      <w:r>
        <w:rPr>
          <w:rFonts w:hint="eastAsia" w:ascii="仿宋" w:hAnsi="仿宋" w:eastAsia="仿宋" w:cs="仿宋"/>
          <w:bCs/>
          <w:szCs w:val="32"/>
          <w:lang w:eastAsia="zh-CN"/>
        </w:rPr>
        <w:t>项目单位提供的相关资料；</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《中共中央国务院关于全面实施预算绩效管理的意见》（中发〔2018〕34号）；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4.</w:t>
      </w:r>
      <w:r>
        <w:rPr>
          <w:rFonts w:hint="eastAsia" w:ascii="仿宋" w:hAnsi="仿宋" w:eastAsia="仿宋" w:cs="仿宋"/>
          <w:bCs/>
          <w:szCs w:val="32"/>
          <w:lang w:eastAsia="zh-CN"/>
        </w:rPr>
        <w:t>《国务院办公厅关于开展第一次全国自然灾害综合风险普查的通知》（国办发〔2020〕12号）；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5.</w:t>
      </w:r>
      <w:r>
        <w:rPr>
          <w:rFonts w:hint="eastAsia" w:ascii="仿宋" w:hAnsi="仿宋" w:eastAsia="仿宋" w:cs="仿宋"/>
          <w:bCs/>
          <w:szCs w:val="32"/>
          <w:lang w:eastAsia="zh-CN"/>
        </w:rPr>
        <w:t>《中共四川省委四川省人民政府关于全面实施预算绩效管理的实施意见》（川委发〔2019〕8号）；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6.</w:t>
      </w:r>
      <w:r>
        <w:rPr>
          <w:rFonts w:hint="eastAsia" w:ascii="仿宋" w:hAnsi="仿宋" w:eastAsia="仿宋" w:cs="仿宋"/>
          <w:bCs/>
          <w:szCs w:val="32"/>
          <w:lang w:eastAsia="zh-CN"/>
        </w:rPr>
        <w:t>《四川省人民政府办公厅关于开展四川省第一次全国自然灾害综合风险普查的通知》(川办发〔2020〕58号)；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7.</w:t>
      </w:r>
      <w:r>
        <w:rPr>
          <w:rFonts w:hint="eastAsia" w:ascii="仿宋" w:hAnsi="仿宋" w:eastAsia="仿宋" w:cs="仿宋"/>
          <w:bCs/>
          <w:szCs w:val="32"/>
          <w:lang w:eastAsia="zh-CN"/>
        </w:rPr>
        <w:t>《四川省林业和草原局关于开展第一次森林草原火灾风险普查工作的通知》</w:t>
      </w:r>
      <w:bookmarkStart w:id="136" w:name="OLE_LINK1"/>
      <w:r>
        <w:rPr>
          <w:rFonts w:hint="eastAsia" w:ascii="仿宋" w:hAnsi="仿宋" w:eastAsia="仿宋" w:cs="仿宋"/>
          <w:bCs/>
          <w:szCs w:val="32"/>
          <w:lang w:eastAsia="zh-CN"/>
        </w:rPr>
        <w:t>（川林发〔2020〕46号）</w:t>
      </w:r>
      <w:bookmarkEnd w:id="136"/>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8.</w:t>
      </w:r>
      <w:r>
        <w:rPr>
          <w:rFonts w:hint="eastAsia" w:ascii="仿宋" w:hAnsi="仿宋" w:eastAsia="仿宋" w:cs="仿宋"/>
          <w:bCs/>
          <w:szCs w:val="32"/>
          <w:lang w:eastAsia="zh-CN"/>
        </w:rPr>
        <w:t>《四川省第一次森林和草原火灾风险普查工作领导小组办公室关于&lt;山市金口河区第一次森林火灾风险普查工作方案&gt;的批复》（川火普办审〔2021〕146号）；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9.</w:t>
      </w:r>
      <w:r>
        <w:rPr>
          <w:rFonts w:hint="eastAsia" w:ascii="仿宋" w:hAnsi="仿宋" w:eastAsia="仿宋" w:cs="仿宋"/>
          <w:bCs/>
          <w:szCs w:val="32"/>
          <w:lang w:eastAsia="zh-CN"/>
        </w:rPr>
        <w:t>《中共乐山市委办公室乐山市人民政府办公室&lt;关于印发全面实施预算绩效管理实施方案&gt;的通知》（乐委办发〔2020〕12号）；</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bookmarkStart w:id="137" w:name="_Toc8759"/>
      <w:bookmarkStart w:id="138" w:name="_Toc13032"/>
      <w:bookmarkStart w:id="139" w:name="_Toc4268"/>
      <w:r>
        <w:rPr>
          <w:rFonts w:hint="eastAsia" w:ascii="仿宋" w:hAnsi="仿宋" w:eastAsia="仿宋" w:cs="仿宋"/>
          <w:bCs/>
          <w:szCs w:val="32"/>
          <w:lang w:val="en-US" w:eastAsia="zh-CN"/>
        </w:rPr>
        <w:t>10.</w:t>
      </w:r>
      <w:r>
        <w:rPr>
          <w:rFonts w:hint="eastAsia" w:ascii="仿宋" w:hAnsi="仿宋" w:eastAsia="仿宋" w:cs="仿宋"/>
          <w:bCs/>
          <w:szCs w:val="32"/>
          <w:lang w:eastAsia="zh-CN"/>
        </w:rPr>
        <w:t>《金口河区区级预算事前绩效评估管理暂行办法》；</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11.</w:t>
      </w:r>
      <w:r>
        <w:rPr>
          <w:rFonts w:hint="eastAsia" w:ascii="仿宋" w:hAnsi="仿宋" w:eastAsia="仿宋" w:cs="仿宋"/>
          <w:bCs/>
          <w:szCs w:val="32"/>
          <w:lang w:eastAsia="zh-CN"/>
        </w:rPr>
        <w:t>其他与本次评价相关的制度、文件等资料。</w:t>
      </w:r>
      <w:bookmarkEnd w:id="137"/>
      <w:bookmarkEnd w:id="138"/>
      <w:bookmarkEnd w:id="139"/>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40" w:name="_Toc5444"/>
      <w:bookmarkStart w:id="141" w:name="_Toc13724"/>
      <w:bookmarkStart w:id="142" w:name="_Toc1492000300_WPSOffice_Level3"/>
      <w:bookmarkStart w:id="143" w:name="_Toc1634515572"/>
      <w:bookmarkStart w:id="144" w:name="_Toc15390"/>
      <w:bookmarkStart w:id="145" w:name="_Toc130033891"/>
      <w:bookmarkStart w:id="146" w:name="_Toc517771165"/>
      <w:bookmarkStart w:id="147" w:name="_Toc28796"/>
      <w:bookmarkStart w:id="148" w:name="_Toc1840102656"/>
      <w:bookmarkStart w:id="149" w:name="_Toc24196"/>
      <w:bookmarkStart w:id="150" w:name="_Toc133498039"/>
      <w:bookmarkStart w:id="151" w:name="_Toc2097"/>
      <w:bookmarkStart w:id="152" w:name="_Toc235704954"/>
      <w:bookmarkStart w:id="153" w:name="_Toc15014"/>
      <w:bookmarkStart w:id="154" w:name="_Toc6461"/>
      <w:bookmarkStart w:id="155" w:name="_Toc24488"/>
      <w:bookmarkStart w:id="156" w:name="_Toc130033893"/>
      <w:bookmarkStart w:id="157" w:name="_Toc1533316810"/>
      <w:bookmarkStart w:id="158" w:name="_Toc576232511"/>
      <w:bookmarkStart w:id="159" w:name="_Toc30726"/>
      <w:bookmarkStart w:id="160" w:name="_Toc2029979728_WPSOffice_Level3"/>
      <w:bookmarkStart w:id="161" w:name="_Toc692406180"/>
      <w:bookmarkStart w:id="162" w:name="_Toc693338945"/>
      <w:bookmarkStart w:id="163" w:name="_Toc9201"/>
      <w:bookmarkStart w:id="164" w:name="_Toc133498041"/>
      <w:r>
        <w:rPr>
          <w:rFonts w:hint="eastAsia" w:ascii="楷体" w:hAnsi="楷体" w:cs="楷体"/>
          <w:b w:val="0"/>
          <w:bCs/>
          <w:szCs w:val="32"/>
          <w:lang w:eastAsia="zh-CN"/>
        </w:rPr>
        <w:t>（四）</w:t>
      </w:r>
      <w:r>
        <w:rPr>
          <w:rFonts w:hint="eastAsia" w:ascii="楷体" w:hAnsi="楷体" w:eastAsia="楷体" w:cs="楷体"/>
          <w:b w:val="0"/>
          <w:bCs/>
          <w:szCs w:val="32"/>
          <w:lang w:eastAsia="zh-CN"/>
        </w:rPr>
        <w:t>绩效评价原则</w:t>
      </w:r>
      <w:bookmarkEnd w:id="140"/>
      <w:bookmarkEnd w:id="141"/>
      <w:bookmarkEnd w:id="142"/>
      <w:bookmarkEnd w:id="143"/>
      <w:bookmarkEnd w:id="144"/>
      <w:bookmarkEnd w:id="145"/>
      <w:bookmarkEnd w:id="146"/>
      <w:bookmarkEnd w:id="147"/>
      <w:bookmarkEnd w:id="148"/>
      <w:bookmarkEnd w:id="149"/>
      <w:bookmarkEnd w:id="150"/>
      <w:bookmarkEnd w:id="151"/>
      <w:bookmarkEnd w:id="152"/>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1.</w:t>
      </w:r>
      <w:r>
        <w:rPr>
          <w:rFonts w:hint="eastAsia" w:ascii="仿宋" w:hAnsi="仿宋" w:eastAsia="仿宋" w:cs="仿宋"/>
          <w:bCs/>
          <w:szCs w:val="32"/>
          <w:lang w:eastAsia="zh-CN"/>
        </w:rPr>
        <w:t>科学规范原则。绩效评价应当严格执行规定的程序，</w:t>
      </w:r>
      <w:r>
        <w:rPr>
          <w:rFonts w:hint="eastAsia" w:ascii="仿宋" w:hAnsi="仿宋" w:eastAsia="仿宋" w:cs="仿宋"/>
          <w:bCs/>
          <w:spacing w:val="1"/>
          <w:szCs w:val="32"/>
          <w:lang w:eastAsia="zh-CN"/>
        </w:rPr>
        <w:t>按科学可行的要求，</w:t>
      </w:r>
      <w:r>
        <w:rPr>
          <w:rFonts w:hint="eastAsia" w:ascii="仿宋" w:hAnsi="仿宋" w:eastAsia="仿宋" w:cs="仿宋"/>
          <w:bCs/>
          <w:szCs w:val="32"/>
          <w:lang w:eastAsia="zh-CN"/>
        </w:rPr>
        <w:t>采用定量与定性分析相结合、理论与实践相结合的方法设计合理的评估指标体系。</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2.</w:t>
      </w:r>
      <w:r>
        <w:rPr>
          <w:rFonts w:hint="eastAsia" w:ascii="仿宋" w:hAnsi="仿宋" w:eastAsia="仿宋" w:cs="仿宋"/>
          <w:bCs/>
          <w:szCs w:val="32"/>
          <w:lang w:eastAsia="zh-CN"/>
        </w:rPr>
        <w:t>公正公开原则。绩效评价应当符合真实、客观、公正</w:t>
      </w:r>
      <w:r>
        <w:rPr>
          <w:rFonts w:hint="eastAsia" w:ascii="仿宋" w:hAnsi="仿宋" w:eastAsia="仿宋" w:cs="仿宋"/>
          <w:bCs/>
          <w:spacing w:val="-2"/>
          <w:szCs w:val="32"/>
          <w:lang w:eastAsia="zh-CN"/>
        </w:rPr>
        <w:t>的要求，依法公开并接</w:t>
      </w:r>
      <w:r>
        <w:rPr>
          <w:rFonts w:hint="eastAsia" w:ascii="仿宋" w:hAnsi="仿宋" w:eastAsia="仿宋" w:cs="仿宋"/>
          <w:bCs/>
          <w:spacing w:val="-1"/>
          <w:szCs w:val="32"/>
          <w:lang w:eastAsia="zh-CN"/>
        </w:rPr>
        <w:t>受监督。</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利害关系回避原则。绩效评价工作由</w:t>
      </w:r>
      <w:r>
        <w:rPr>
          <w:rFonts w:ascii="仿宋" w:hAnsi="仿宋" w:eastAsia="仿宋" w:cs="仿宋"/>
          <w:szCs w:val="32"/>
          <w:lang w:eastAsia="zh-CN"/>
        </w:rPr>
        <w:t>乐山市金口河区财政投资评价审核中心</w:t>
      </w:r>
      <w:r>
        <w:rPr>
          <w:rFonts w:hint="eastAsia" w:ascii="仿宋" w:hAnsi="仿宋" w:eastAsia="仿宋" w:cs="仿宋"/>
          <w:bCs/>
          <w:szCs w:val="32"/>
          <w:lang w:eastAsia="zh-CN"/>
        </w:rPr>
        <w:t>进行实施。</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pacing w:val="-5"/>
          <w:szCs w:val="32"/>
          <w:lang w:eastAsia="zh-CN"/>
        </w:rPr>
      </w:pPr>
      <w:r>
        <w:rPr>
          <w:rFonts w:hint="eastAsia" w:ascii="仿宋" w:hAnsi="仿宋" w:eastAsia="仿宋" w:cs="仿宋"/>
          <w:bCs/>
          <w:szCs w:val="32"/>
          <w:lang w:val="en-US" w:eastAsia="zh-CN"/>
        </w:rPr>
        <w:t>4.</w:t>
      </w:r>
      <w:r>
        <w:rPr>
          <w:rFonts w:hint="eastAsia" w:ascii="仿宋" w:hAnsi="仿宋" w:eastAsia="仿宋" w:cs="仿宋"/>
          <w:bCs/>
          <w:szCs w:val="32"/>
          <w:lang w:eastAsia="zh-CN"/>
        </w:rPr>
        <w:t>绩效相关原则。本次事前绩效评估针对森林火灾风险普查专项经费预算金额及其预期绩效进行，评价结果清晰地反映两者之间的紧密对应关系。</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65" w:name="_Toc4046"/>
      <w:r>
        <w:rPr>
          <w:rFonts w:hint="eastAsia" w:ascii="楷体" w:hAnsi="楷体" w:cs="楷体"/>
          <w:b w:val="0"/>
          <w:bCs/>
          <w:szCs w:val="32"/>
          <w:lang w:eastAsia="zh-CN"/>
        </w:rPr>
        <w:t>（五）</w:t>
      </w:r>
      <w:r>
        <w:rPr>
          <w:rFonts w:hint="eastAsia" w:ascii="楷体" w:hAnsi="楷体" w:eastAsia="楷体" w:cs="楷体"/>
          <w:b w:val="0"/>
          <w:bCs/>
          <w:szCs w:val="32"/>
          <w:lang w:eastAsia="zh-CN"/>
        </w:rPr>
        <w:t>评价方法和等级设定</w:t>
      </w:r>
      <w:bookmarkEnd w:id="153"/>
      <w:bookmarkEnd w:id="154"/>
      <w:bookmarkEnd w:id="155"/>
      <w:bookmarkEnd w:id="156"/>
      <w:bookmarkEnd w:id="157"/>
      <w:bookmarkEnd w:id="158"/>
      <w:bookmarkEnd w:id="159"/>
      <w:bookmarkEnd w:id="160"/>
      <w:bookmarkEnd w:id="161"/>
      <w:bookmarkEnd w:id="162"/>
      <w:bookmarkEnd w:id="163"/>
      <w:bookmarkEnd w:id="164"/>
      <w:bookmarkEnd w:id="165"/>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ascii="仿宋" w:hAnsi="仿宋" w:eastAsia="仿宋" w:cs="仿宋"/>
          <w:bCs/>
          <w:szCs w:val="32"/>
          <w:lang w:eastAsia="zh-CN"/>
        </w:rPr>
      </w:pPr>
      <w:r>
        <w:rPr>
          <w:rFonts w:hint="eastAsia" w:ascii="仿宋" w:hAnsi="仿宋" w:eastAsia="仿宋" w:cs="仿宋"/>
          <w:bCs/>
          <w:szCs w:val="32"/>
          <w:lang w:eastAsia="zh-CN"/>
        </w:rPr>
        <w:t>本次绩效评估通过实施单位的数据填报,辅以评价工作小组实地调查、查阅问卷、听取汇报、查看项目管理及财务管理资料等方式收集信息，对拟使用资金项目的必要性、</w:t>
      </w:r>
      <w:r>
        <w:rPr>
          <w:rFonts w:hint="eastAsia" w:ascii="仿宋" w:hAnsi="仿宋" w:eastAsia="仿宋" w:cs="仿宋"/>
          <w:bCs/>
          <w:szCs w:val="32"/>
          <w:lang w:val="en-US" w:eastAsia="zh-CN"/>
        </w:rPr>
        <w:t>项目建设投资合规性、</w:t>
      </w:r>
      <w:r>
        <w:rPr>
          <w:rFonts w:hint="eastAsia" w:ascii="仿宋" w:hAnsi="仿宋" w:eastAsia="仿宋" w:cs="仿宋"/>
          <w:bCs/>
          <w:szCs w:val="32"/>
          <w:lang w:eastAsia="zh-CN"/>
        </w:rPr>
        <w:t>绩效目标的合理性、实施方案的</w:t>
      </w:r>
      <w:r>
        <w:rPr>
          <w:rFonts w:hint="eastAsia" w:ascii="仿宋" w:hAnsi="仿宋" w:eastAsia="仿宋" w:cs="仿宋"/>
          <w:bCs/>
          <w:szCs w:val="32"/>
          <w:lang w:val="en-US" w:eastAsia="zh-CN"/>
        </w:rPr>
        <w:t>有效</w:t>
      </w:r>
      <w:r>
        <w:rPr>
          <w:rFonts w:hint="eastAsia" w:ascii="仿宋" w:hAnsi="仿宋" w:eastAsia="仿宋" w:cs="仿宋"/>
          <w:bCs/>
          <w:szCs w:val="32"/>
          <w:lang w:eastAsia="zh-CN"/>
        </w:rPr>
        <w:t>性等方面进行评判、论证和审查。以定量考核与定性分析相结合，汇总形成评估综合得分。评估结论分为建议实施、建议调整后实施、建议不予实施三个等级，根据各项指标得分合计分数，确定综合评估结论。具体如下:</w:t>
      </w:r>
    </w:p>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事前绩效评估结论等级表</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54"/>
        <w:gridCol w:w="24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评估结论</w:t>
            </w:r>
          </w:p>
        </w:tc>
        <w:tc>
          <w:tcPr>
            <w:tcW w:w="1854"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建议实施</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建议调整后实施</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建议不予实施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参考分值S</w:t>
            </w:r>
          </w:p>
        </w:tc>
        <w:tc>
          <w:tcPr>
            <w:tcW w:w="1854" w:type="dxa"/>
          </w:tcPr>
          <w:p>
            <w:pPr>
              <w:ind w:firstLine="0" w:firstLineChars="0"/>
              <w:jc w:val="center"/>
              <w:rPr>
                <w:rFonts w:hint="default" w:ascii="仿宋" w:hAnsi="仿宋" w:eastAsia="仿宋" w:cs="仿宋"/>
                <w:b w:val="0"/>
                <w:bCs/>
                <w:szCs w:val="32"/>
                <w:lang w:val="en-US" w:eastAsia="zh-CN"/>
              </w:rPr>
            </w:pPr>
            <w:r>
              <w:rPr>
                <w:rFonts w:hint="eastAsia" w:ascii="仿宋" w:hAnsi="仿宋" w:eastAsia="仿宋" w:cs="仿宋"/>
                <w:b w:val="0"/>
                <w:bCs/>
                <w:szCs w:val="32"/>
                <w:lang w:eastAsia="zh-CN"/>
              </w:rPr>
              <w:t>S≥9</w:t>
            </w:r>
            <w:r>
              <w:rPr>
                <w:rFonts w:hint="eastAsia" w:ascii="仿宋" w:hAnsi="仿宋" w:eastAsia="仿宋" w:cs="仿宋"/>
                <w:b w:val="0"/>
                <w:bCs/>
                <w:szCs w:val="32"/>
                <w:lang w:val="en-US" w:eastAsia="zh-CN"/>
              </w:rPr>
              <w:t>0</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90&gt;S&gt;75</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S&lt;75</w:t>
            </w:r>
          </w:p>
        </w:tc>
      </w:tr>
    </w:tbl>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楷体" w:hAnsi="楷体" w:eastAsia="楷体" w:cs="楷体"/>
          <w:b w:val="0"/>
          <w:bCs/>
          <w:szCs w:val="32"/>
          <w:lang w:eastAsia="zh-CN"/>
        </w:rPr>
      </w:pPr>
      <w:bookmarkStart w:id="166" w:name="_Toc21368"/>
      <w:r>
        <w:rPr>
          <w:rFonts w:hint="eastAsia" w:ascii="楷体" w:hAnsi="楷体" w:cs="楷体"/>
          <w:b w:val="0"/>
          <w:bCs/>
          <w:szCs w:val="32"/>
          <w:lang w:eastAsia="zh-CN"/>
        </w:rPr>
        <w:t>（六）</w:t>
      </w:r>
      <w:r>
        <w:rPr>
          <w:rFonts w:hint="eastAsia" w:ascii="楷体" w:hAnsi="楷体" w:eastAsia="楷体" w:cs="楷体"/>
          <w:b w:val="0"/>
          <w:bCs/>
          <w:szCs w:val="32"/>
          <w:lang w:eastAsia="zh-CN"/>
        </w:rPr>
        <w:t>评价程序</w:t>
      </w:r>
      <w:bookmarkEnd w:id="166"/>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highlight w:val="none"/>
          <w:lang w:eastAsia="zh-CN"/>
        </w:rPr>
        <w:t>1.下达评估入户通</w:t>
      </w:r>
      <w:r>
        <w:rPr>
          <w:rFonts w:hint="eastAsia" w:ascii="仿宋" w:hAnsi="仿宋" w:eastAsia="仿宋" w:cs="仿宋"/>
          <w:bCs/>
          <w:szCs w:val="32"/>
          <w:lang w:eastAsia="zh-CN"/>
        </w:rPr>
        <w:t>知。绩效考评中心以入户通知书的形式通知项目单位，并明确评估的依据、内容、目的、任务、时间、要求等事项。</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2.拟定工作方案。评估工作组结合事前绩效评估工作要求，拟定《事前绩效评估工作方案》，包括评估对象、内容、方法、专家、时间安排等。</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3.组成评估小组。评估工作组遴选相关人员组成评估专家组，并适时开展业务培训。</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4.入户调研。评估工作组入户与被评估单位沟通，进一步熟悉项目内容;向项目单位出示《项目支出事前绩效评估资料准备清单》，指导项目单位填报《事前绩效评估项目申报书》、《项目支出绩效目标申报表》。</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5.现场调研。评估工作组在收集审核项目资料基础上进入现场进行调研。通过查阅资料、实地勘察、核实、了解项目具体内容、申报理由和项目实施的具体做法、依据等,将现场情况与上报资料进行对比,对项目疑点问题进行询问，听取并记录项目单位对有关问题的解释和答复。</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6.组织实施评估。绩效考评组召开评估会议，了解项目基本情况，听取项目单位情况介绍，进行现场评议。</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(1)采取多种方式，多方获取信息。通过咨询专家、查阅资料、问卷调查、电话采访、集中座谈等方式，全面了解并收集项目信息。</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(2)评估人员出具个人意见，评估工作组形成初步意见。开评估成员会，项目单位汇报项目计划内容和实施方案情况，由评估工作组组织评估人员进行充分论证，出具评估人员个人意见，填写《项目支出事前绩效评估意见》。评估工作组综合调查分析结果，形成工作组初步意见。</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(3)确认工作组意见，得出评估结论。评估工作组将评估个人初步意见报送评估工作组征求意见，评估工作组综合完善意见后，得出最终评估结论，填写《项目支出事前绩效评估工作组汇总意见》。</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7.汇报绩效评估结论。完成最终评价报告，提出评估结论意见。</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楷体" w:hAnsi="楷体" w:eastAsia="楷体" w:cs="楷体"/>
          <w:b w:val="0"/>
          <w:bCs/>
          <w:szCs w:val="32"/>
          <w:lang w:eastAsia="zh-CN"/>
        </w:rPr>
      </w:pPr>
      <w:bookmarkStart w:id="167" w:name="_Toc28492"/>
      <w:r>
        <w:rPr>
          <w:rFonts w:hint="eastAsia" w:ascii="楷体" w:hAnsi="楷体" w:cs="楷体"/>
          <w:b w:val="0"/>
          <w:bCs/>
          <w:szCs w:val="32"/>
          <w:lang w:eastAsia="zh-CN"/>
        </w:rPr>
        <w:t>（七）</w:t>
      </w:r>
      <w:r>
        <w:rPr>
          <w:rFonts w:hint="eastAsia" w:ascii="楷体" w:hAnsi="楷体" w:eastAsia="楷体" w:cs="楷体"/>
          <w:b w:val="0"/>
          <w:bCs/>
          <w:szCs w:val="32"/>
          <w:lang w:eastAsia="zh-CN"/>
        </w:rPr>
        <w:t>论证思路及方法</w:t>
      </w:r>
      <w:bookmarkEnd w:id="167"/>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本次事前绩效评估主要针对项目</w:t>
      </w:r>
      <w:r>
        <w:rPr>
          <w:rFonts w:hint="eastAsia" w:ascii="仿宋" w:hAnsi="仿宋" w:eastAsia="仿宋" w:cs="仿宋"/>
          <w:bCs/>
          <w:szCs w:val="32"/>
          <w:lang w:val="en-US" w:eastAsia="zh-CN"/>
        </w:rPr>
        <w:t>实施的必要</w:t>
      </w:r>
      <w:r>
        <w:rPr>
          <w:rFonts w:hint="eastAsia" w:ascii="仿宋" w:hAnsi="仿宋" w:eastAsia="仿宋" w:cs="仿宋"/>
          <w:bCs/>
          <w:szCs w:val="32"/>
          <w:lang w:eastAsia="zh-CN"/>
        </w:rPr>
        <w:t>性、项目</w:t>
      </w:r>
      <w:r>
        <w:rPr>
          <w:rFonts w:hint="eastAsia" w:ascii="仿宋" w:hAnsi="仿宋" w:eastAsia="仿宋" w:cs="仿宋"/>
          <w:bCs/>
          <w:szCs w:val="32"/>
          <w:lang w:val="en-US" w:eastAsia="zh-CN"/>
        </w:rPr>
        <w:t>实施的合规性、</w:t>
      </w:r>
      <w:r>
        <w:rPr>
          <w:rFonts w:hint="eastAsia" w:ascii="仿宋" w:hAnsi="仿宋" w:eastAsia="仿宋" w:cs="仿宋"/>
          <w:bCs/>
          <w:szCs w:val="32"/>
          <w:lang w:eastAsia="zh-CN"/>
        </w:rPr>
        <w:t>项目实施方案的有效性、</w:t>
      </w:r>
      <w:r>
        <w:rPr>
          <w:rFonts w:hint="eastAsia" w:ascii="仿宋" w:hAnsi="仿宋" w:eastAsia="仿宋" w:cs="仿宋"/>
          <w:bCs/>
          <w:szCs w:val="32"/>
          <w:lang w:val="en-US" w:eastAsia="zh-CN"/>
        </w:rPr>
        <w:t>项目实施成果合格性、</w:t>
      </w:r>
      <w:r>
        <w:rPr>
          <w:rFonts w:hint="eastAsia" w:ascii="仿宋" w:hAnsi="仿宋" w:eastAsia="仿宋" w:cs="仿宋"/>
          <w:bCs/>
          <w:szCs w:val="32"/>
          <w:lang w:eastAsia="zh-CN"/>
        </w:rPr>
        <w:t>项目</w:t>
      </w:r>
      <w:r>
        <w:rPr>
          <w:rFonts w:hint="eastAsia" w:ascii="仿宋" w:hAnsi="仿宋" w:eastAsia="仿宋" w:cs="仿宋"/>
          <w:bCs/>
          <w:szCs w:val="32"/>
          <w:lang w:val="en-US" w:eastAsia="zh-CN"/>
        </w:rPr>
        <w:t>实施的</w:t>
      </w:r>
      <w:r>
        <w:rPr>
          <w:rFonts w:hint="eastAsia" w:ascii="仿宋" w:hAnsi="仿宋" w:eastAsia="仿宋" w:cs="仿宋"/>
          <w:bCs/>
          <w:szCs w:val="32"/>
          <w:lang w:eastAsia="zh-CN"/>
        </w:rPr>
        <w:t>可持续性等五方面进行综合评估、分析与论证，并提出相关建议。</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本次事前绩效评估主要采用效益分析、比较分析、因素分析、历史分析等方法进行论证。</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楷体" w:hAnsi="楷体" w:eastAsia="楷体" w:cs="楷体"/>
          <w:b w:val="0"/>
          <w:bCs/>
          <w:szCs w:val="32"/>
          <w:lang w:eastAsia="zh-CN"/>
        </w:rPr>
      </w:pPr>
      <w:bookmarkStart w:id="168" w:name="_Toc17481"/>
      <w:r>
        <w:rPr>
          <w:rFonts w:hint="eastAsia" w:ascii="楷体" w:hAnsi="楷体" w:cs="楷体"/>
          <w:b w:val="0"/>
          <w:bCs/>
          <w:szCs w:val="32"/>
          <w:lang w:eastAsia="zh-CN"/>
        </w:rPr>
        <w:t>（八）</w:t>
      </w:r>
      <w:r>
        <w:rPr>
          <w:rFonts w:hint="eastAsia" w:ascii="楷体" w:hAnsi="楷体" w:eastAsia="楷体" w:cs="楷体"/>
          <w:b w:val="0"/>
          <w:bCs/>
          <w:szCs w:val="32"/>
          <w:lang w:eastAsia="zh-CN"/>
        </w:rPr>
        <w:t>评估方式</w:t>
      </w:r>
      <w:bookmarkEnd w:id="168"/>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本次事前绩效评估遵循全面考虑、重点突出的原则，主要采用比较分析的方式，同时辅之以资料分析、集中座谈、网络查询、电话采访、抽样调查等评估方式或手段，对项目的相关性、可行性、持续性等方面进行全面评估。</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黑体" w:hAnsi="黑体" w:eastAsia="黑体" w:cs="黑体"/>
          <w:b w:val="0"/>
          <w:bCs/>
          <w:szCs w:val="32"/>
          <w:lang w:eastAsia="zh-CN"/>
        </w:rPr>
      </w:pPr>
      <w:bookmarkStart w:id="169" w:name="_Toc27103"/>
      <w:bookmarkStart w:id="170" w:name="_Toc132480965"/>
      <w:bookmarkStart w:id="171" w:name="_Toc5665919"/>
      <w:bookmarkStart w:id="172" w:name="_Toc1850422540"/>
      <w:bookmarkStart w:id="173" w:name="_Toc2115246641_WPSOffice_Level1"/>
      <w:bookmarkStart w:id="174" w:name="_Toc2810"/>
      <w:bookmarkStart w:id="175" w:name="_Toc29976"/>
      <w:bookmarkStart w:id="176" w:name="_Toc5234"/>
      <w:bookmarkStart w:id="177" w:name="_Toc709323845"/>
      <w:bookmarkStart w:id="178" w:name="_Toc1232831072"/>
      <w:r>
        <w:rPr>
          <w:rFonts w:hint="eastAsia" w:ascii="黑体" w:hAnsi="黑体" w:cs="黑体"/>
          <w:b w:val="0"/>
          <w:bCs/>
          <w:szCs w:val="32"/>
          <w:lang w:eastAsia="zh-CN"/>
        </w:rPr>
        <w:t>三、</w:t>
      </w:r>
      <w:r>
        <w:rPr>
          <w:rFonts w:hint="eastAsia" w:ascii="黑体" w:hAnsi="黑体" w:eastAsia="黑体" w:cs="黑体"/>
          <w:b w:val="0"/>
          <w:bCs/>
          <w:szCs w:val="32"/>
          <w:lang w:eastAsia="zh-CN"/>
        </w:rPr>
        <w:t>事前绩效评估指标体系及得分情况</w:t>
      </w:r>
      <w:bookmarkEnd w:id="169"/>
      <w:bookmarkEnd w:id="170"/>
      <w:bookmarkEnd w:id="171"/>
      <w:bookmarkEnd w:id="172"/>
      <w:bookmarkEnd w:id="173"/>
      <w:bookmarkEnd w:id="174"/>
      <w:bookmarkEnd w:id="175"/>
      <w:bookmarkEnd w:id="176"/>
      <w:bookmarkEnd w:id="177"/>
      <w:bookmarkEnd w:id="178"/>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评估工作小组按照相关性、经济性、可行性、重要性、可比性、系统性及合理性原则，设置项目事前绩效评估指标体系，其中共包含</w:t>
      </w:r>
      <w:r>
        <w:rPr>
          <w:rFonts w:hint="eastAsia" w:ascii="仿宋" w:hAnsi="仿宋" w:eastAsia="仿宋" w:cs="仿宋"/>
          <w:szCs w:val="32"/>
          <w:lang w:eastAsia="zh-CN"/>
        </w:rPr>
        <w:t>8</w:t>
      </w:r>
      <w:r>
        <w:rPr>
          <w:rFonts w:ascii="仿宋" w:hAnsi="仿宋" w:eastAsia="仿宋" w:cs="仿宋"/>
          <w:szCs w:val="32"/>
          <w:lang w:eastAsia="zh-CN"/>
        </w:rPr>
        <w:t>个一级指标、15个二级指标以及</w:t>
      </w:r>
      <w:r>
        <w:rPr>
          <w:rFonts w:hint="eastAsia" w:ascii="仿宋" w:hAnsi="仿宋" w:eastAsia="仿宋" w:cs="仿宋"/>
          <w:szCs w:val="32"/>
          <w:lang w:val="en-US" w:eastAsia="zh-CN"/>
        </w:rPr>
        <w:t>30个</w:t>
      </w:r>
      <w:r>
        <w:rPr>
          <w:rFonts w:hint="eastAsia" w:ascii="仿宋" w:hAnsi="仿宋" w:eastAsia="仿宋" w:cs="仿宋"/>
          <w:bCs/>
          <w:szCs w:val="32"/>
          <w:lang w:eastAsia="zh-CN"/>
        </w:rPr>
        <w:t>三级指标，各项指标内容及得分情况详见下表：</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森林火灾风险普查专项经费</w:t>
      </w:r>
    </w:p>
    <w:p>
      <w:pPr>
        <w:ind w:firstLine="0" w:firstLineChars="0"/>
        <w:jc w:val="center"/>
        <w:rPr>
          <w:rFonts w:ascii="仿宋" w:hAnsi="仿宋" w:eastAsia="仿宋" w:cs="仿宋"/>
          <w:bCs/>
          <w:szCs w:val="32"/>
          <w:lang w:eastAsia="zh-CN"/>
        </w:rPr>
      </w:pPr>
      <w:r>
        <w:rPr>
          <w:rFonts w:hint="eastAsia" w:ascii="仿宋" w:hAnsi="仿宋" w:eastAsia="仿宋" w:cs="仿宋"/>
          <w:bCs/>
          <w:szCs w:val="32"/>
          <w:lang w:eastAsia="zh-CN"/>
        </w:rPr>
        <w:t>事前绩效评估指标体系</w:t>
      </w:r>
    </w:p>
    <w:tbl>
      <w:tblPr>
        <w:tblStyle w:val="56"/>
        <w:tblW w:w="88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296"/>
        <w:gridCol w:w="5276"/>
        <w:gridCol w:w="377"/>
        <w:gridCol w:w="541"/>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blHeader/>
        </w:trPr>
        <w:tc>
          <w:tcPr>
            <w:tcW w:w="877" w:type="dxa"/>
            <w:vAlign w:val="center"/>
          </w:tcPr>
          <w:p>
            <w:pPr>
              <w:pStyle w:val="67"/>
              <w:ind w:firstLine="0" w:firstLineChars="0"/>
              <w:jc w:val="center"/>
              <w:rPr>
                <w:rFonts w:ascii="Arial" w:hAnsi="Arial" w:cs="Arial"/>
                <w:b/>
                <w:snapToGrid w:val="0"/>
                <w:sz w:val="21"/>
              </w:rPr>
            </w:pPr>
            <w:r>
              <w:rPr>
                <w:rFonts w:ascii="Arial" w:hAnsi="Arial" w:cs="Arial"/>
                <w:b/>
                <w:snapToGrid w:val="0"/>
                <w:sz w:val="21"/>
              </w:rPr>
              <w:t>一级指标</w:t>
            </w:r>
          </w:p>
        </w:tc>
        <w:tc>
          <w:tcPr>
            <w:tcW w:w="1296" w:type="dxa"/>
            <w:vAlign w:val="center"/>
          </w:tcPr>
          <w:p>
            <w:pPr>
              <w:pStyle w:val="67"/>
              <w:ind w:right="6" w:firstLine="0" w:firstLineChars="0"/>
              <w:jc w:val="center"/>
              <w:rPr>
                <w:rFonts w:ascii="Arial" w:hAnsi="Arial" w:cs="Arial"/>
                <w:b/>
                <w:snapToGrid w:val="0"/>
                <w:sz w:val="21"/>
              </w:rPr>
            </w:pPr>
            <w:r>
              <w:rPr>
                <w:rFonts w:ascii="Arial" w:hAnsi="Arial" w:cs="Arial"/>
                <w:b/>
                <w:snapToGrid w:val="0"/>
                <w:sz w:val="21"/>
              </w:rPr>
              <w:t>二级指标</w:t>
            </w:r>
          </w:p>
        </w:tc>
        <w:tc>
          <w:tcPr>
            <w:tcW w:w="5276" w:type="dxa"/>
            <w:vAlign w:val="center"/>
          </w:tcPr>
          <w:p>
            <w:pPr>
              <w:pStyle w:val="67"/>
              <w:ind w:right="2325" w:firstLine="0" w:firstLineChars="0"/>
              <w:jc w:val="center"/>
              <w:rPr>
                <w:rFonts w:ascii="Arial" w:hAnsi="Arial" w:cs="Arial"/>
                <w:b/>
                <w:snapToGrid w:val="0"/>
                <w:sz w:val="21"/>
              </w:rPr>
            </w:pPr>
            <w:r>
              <w:rPr>
                <w:rFonts w:ascii="Arial" w:hAnsi="Arial" w:cs="Arial"/>
                <w:b/>
                <w:snapToGrid w:val="0"/>
                <w:sz w:val="21"/>
              </w:rPr>
              <w:t>评估要点</w:t>
            </w:r>
          </w:p>
        </w:tc>
        <w:tc>
          <w:tcPr>
            <w:tcW w:w="918" w:type="dxa"/>
            <w:gridSpan w:val="2"/>
            <w:vAlign w:val="center"/>
          </w:tcPr>
          <w:p>
            <w:pPr>
              <w:pStyle w:val="67"/>
              <w:ind w:firstLine="0" w:firstLineChars="0"/>
              <w:jc w:val="center"/>
              <w:rPr>
                <w:rFonts w:hint="eastAsia" w:ascii="Arial" w:hAnsi="Arial" w:cs="Arial"/>
                <w:b/>
                <w:snapToGrid w:val="0"/>
                <w:sz w:val="21"/>
                <w:lang w:eastAsia="zh-CN"/>
              </w:rPr>
            </w:pPr>
            <w:r>
              <w:rPr>
                <w:rFonts w:hint="eastAsia" w:ascii="Arial" w:hAnsi="Arial" w:cs="Arial"/>
                <w:b/>
                <w:snapToGrid w:val="0"/>
                <w:sz w:val="21"/>
                <w:lang w:eastAsia="zh-CN"/>
              </w:rPr>
              <w:t>分值</w:t>
            </w:r>
          </w:p>
        </w:tc>
        <w:tc>
          <w:tcPr>
            <w:tcW w:w="496" w:type="dxa"/>
          </w:tcPr>
          <w:p>
            <w:pPr>
              <w:pStyle w:val="67"/>
              <w:ind w:right="9" w:firstLine="0" w:firstLineChars="0"/>
              <w:jc w:val="center"/>
              <w:rPr>
                <w:rFonts w:ascii="Arial" w:hAnsi="Arial" w:cs="Arial"/>
                <w:b/>
                <w:snapToGrid w:val="0"/>
                <w:sz w:val="21"/>
              </w:rPr>
            </w:pPr>
            <w:r>
              <w:rPr>
                <w:rFonts w:ascii="Arial" w:hAnsi="Arial" w:cs="Arial"/>
                <w:b/>
                <w:snapToGrid w:val="0"/>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7" w:type="dxa"/>
            <w:vMerge w:val="restart"/>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项目实施的必要性、公益性、收益性</w:t>
            </w: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必要性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①项目是否属于符合国情需要，是否在国家统一部署下开展。</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6</w:t>
            </w: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公益性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②项目是否具有公益性。</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效益性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①项目是否具有保障经济稳定增长的能力；</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②项目是否具有保护资源，促进产业发展的能力。</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项目实施合规性与项目成熟度</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投资合规性和可行性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①项目立项过程是否合规；</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8</w:t>
            </w: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②项目立项依据是否充分；</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③项目是否符合国家确定的发展项目。</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项目成熟度</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①项目审批手续</w:t>
            </w:r>
            <w:r>
              <w:rPr>
                <w:rFonts w:hint="eastAsia" w:ascii="Arial" w:hAnsi="Arial" w:cs="Arial"/>
                <w:bCs/>
                <w:snapToGrid w:val="0"/>
                <w:sz w:val="20"/>
                <w:lang w:val="en-US" w:eastAsia="zh-CN"/>
              </w:rPr>
              <w:t>是</w:t>
            </w:r>
            <w:r>
              <w:rPr>
                <w:rFonts w:hint="eastAsia" w:ascii="Arial" w:hAnsi="Arial" w:cs="Arial"/>
                <w:bCs/>
                <w:snapToGrid w:val="0"/>
                <w:sz w:val="20"/>
                <w:lang w:eastAsia="zh-CN"/>
              </w:rPr>
              <w:t>否完备齐全；</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vAlign w:val="center"/>
          </w:tcPr>
          <w:p>
            <w:pPr>
              <w:pStyle w:val="67"/>
              <w:ind w:firstLine="0" w:firstLineChars="0"/>
              <w:jc w:val="center"/>
              <w:rPr>
                <w:rFonts w:hint="eastAsia" w:ascii="Arial" w:hAnsi="Arial" w:cs="Arial"/>
                <w:bCs/>
                <w:snapToGrid w:val="0"/>
                <w:sz w:val="20"/>
                <w:lang w:eastAsia="zh-CN"/>
              </w:rPr>
            </w:pPr>
          </w:p>
        </w:tc>
        <w:tc>
          <w:tcPr>
            <w:tcW w:w="496" w:type="dxa"/>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②项目属于新增/延续项目；</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③是否具备成熟的技术体系、健全的标准规范。</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项目资金来源和到位可行性</w:t>
            </w: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资金来源可行性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①资金来源渠道是否符合相关规定；</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资金到位可行性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w:t>
            </w:r>
            <w:r>
              <w:rPr>
                <w:rFonts w:hint="eastAsia" w:ascii="Arial" w:hAnsi="Arial" w:cs="Arial"/>
                <w:bCs/>
                <w:snapToGrid w:val="0"/>
                <w:sz w:val="20"/>
                <w:lang w:val="en-US" w:eastAsia="zh-CN"/>
              </w:rPr>
              <w:t>支付</w:t>
            </w:r>
            <w:r>
              <w:rPr>
                <w:rFonts w:hint="eastAsia" w:ascii="Arial" w:hAnsi="Arial" w:cs="Arial"/>
                <w:bCs/>
                <w:snapToGrid w:val="0"/>
                <w:sz w:val="20"/>
                <w:lang w:eastAsia="zh-CN"/>
              </w:rPr>
              <w:t>是否已完成相关手续；</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②是否有明确的到位时间；</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③项目是否已具备资金拨付相关条件。</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资金使用计划合理性、资金到位及时性</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资金使用计划合理性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①资金使用计划是否经相关单位确认；</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tcBorders>
              <w:top w:val="nil"/>
            </w:tcBorders>
            <w:vAlign w:val="center"/>
          </w:tcPr>
          <w:p>
            <w:pPr>
              <w:pStyle w:val="67"/>
              <w:ind w:firstLine="0" w:firstLineChars="0"/>
              <w:jc w:val="center"/>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②资金使用是否按计划安排。</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vAlign w:val="center"/>
          </w:tcPr>
          <w:p>
            <w:pPr>
              <w:pStyle w:val="67"/>
              <w:ind w:firstLine="0" w:firstLineChars="0"/>
              <w:jc w:val="center"/>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资金到位及时性</w:t>
            </w:r>
          </w:p>
        </w:tc>
        <w:tc>
          <w:tcPr>
            <w:tcW w:w="5276" w:type="dxa"/>
            <w:vAlign w:val="center"/>
          </w:tcPr>
          <w:p>
            <w:pPr>
              <w:pStyle w:val="67"/>
              <w:ind w:firstLine="0" w:firstLineChars="0"/>
              <w:rPr>
                <w:rFonts w:ascii="Arial" w:hAnsi="Arial" w:cs="Arial"/>
                <w:bCs/>
                <w:snapToGrid w:val="0"/>
                <w:sz w:val="20"/>
              </w:rPr>
            </w:pPr>
            <w:r>
              <w:rPr>
                <w:rFonts w:hint="eastAsia" w:ascii="Arial" w:hAnsi="Arial" w:cs="Arial"/>
                <w:bCs/>
                <w:snapToGrid w:val="0"/>
                <w:sz w:val="20"/>
              </w:rPr>
              <w:t>①</w:t>
            </w:r>
            <w:r>
              <w:rPr>
                <w:rFonts w:hint="eastAsia" w:ascii="Arial" w:hAnsi="Arial" w:cs="Arial"/>
                <w:bCs/>
                <w:snapToGrid w:val="0"/>
                <w:sz w:val="20"/>
                <w:lang w:eastAsia="zh-CN"/>
              </w:rPr>
              <w:t>资金是否到位；</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②资金到位的及时性。</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项目绩效目标明确性、合理性</w:t>
            </w:r>
          </w:p>
        </w:tc>
        <w:tc>
          <w:tcPr>
            <w:tcW w:w="1296"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目标明确性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的设</w:t>
            </w:r>
            <w:r>
              <w:rPr>
                <w:rFonts w:hint="eastAsia" w:ascii="Arial" w:hAnsi="Arial" w:cs="Arial"/>
                <w:bCs/>
                <w:snapToGrid w:val="0"/>
                <w:sz w:val="20"/>
                <w:lang w:val="en-US" w:eastAsia="zh-CN"/>
              </w:rPr>
              <w:t>定</w:t>
            </w:r>
            <w:r>
              <w:rPr>
                <w:rFonts w:hint="eastAsia" w:ascii="Arial" w:hAnsi="Arial" w:cs="Arial"/>
                <w:bCs/>
                <w:snapToGrid w:val="0"/>
                <w:sz w:val="20"/>
                <w:lang w:eastAsia="zh-CN"/>
              </w:rPr>
              <w:t>是否符合相关规定；</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3</w:t>
            </w: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②绩效目标设定是否明确，是否与年度工作目标一致；</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目标合理性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是否完整；</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是否合理。</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目实施方案的有效性</w:t>
            </w:r>
          </w:p>
        </w:tc>
        <w:tc>
          <w:tcPr>
            <w:tcW w:w="1296" w:type="dxa"/>
            <w:vMerge w:val="restart"/>
            <w:tcBorders>
              <w:top w:val="nil"/>
            </w:tcBorders>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目实施方案的有效性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①项目实施方案是否经过</w:t>
            </w:r>
            <w:r>
              <w:rPr>
                <w:rFonts w:hint="eastAsia" w:ascii="Arial" w:hAnsi="Arial" w:cs="Arial"/>
                <w:bCs/>
                <w:snapToGrid w:val="0"/>
                <w:sz w:val="20"/>
                <w:lang w:val="en-US" w:eastAsia="zh-CN"/>
              </w:rPr>
              <w:t>领导</w:t>
            </w:r>
            <w:r>
              <w:rPr>
                <w:rFonts w:hint="eastAsia" w:ascii="Arial" w:hAnsi="Arial" w:cs="Arial"/>
                <w:bCs/>
                <w:snapToGrid w:val="0"/>
                <w:sz w:val="20"/>
                <w:lang w:eastAsia="zh-CN"/>
              </w:rPr>
              <w:t>批复；</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tcBorders>
              <w:top w:val="nil"/>
            </w:tcBorders>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8</w:t>
            </w:r>
          </w:p>
        </w:tc>
        <w:tc>
          <w:tcPr>
            <w:tcW w:w="496" w:type="dxa"/>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lang w:eastAsia="zh-CN"/>
              </w:rPr>
            </w:pPr>
          </w:p>
        </w:tc>
        <w:tc>
          <w:tcPr>
            <w:tcW w:w="1296" w:type="dxa"/>
            <w:vMerge w:val="continue"/>
            <w:vAlign w:val="center"/>
          </w:tcPr>
          <w:p>
            <w:pPr>
              <w:pStyle w:val="67"/>
              <w:ind w:firstLine="0" w:firstLineChars="0"/>
              <w:jc w:val="center"/>
              <w:rPr>
                <w:rFonts w:ascii="Arial" w:hAnsi="Arial" w:cs="Arial"/>
                <w:bCs/>
                <w:snapToGrid w:val="0"/>
                <w:sz w:val="20"/>
                <w:lang w:eastAsia="zh-CN"/>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②项目实施过程中是否按经批复的方案进行。</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vAlign w:val="center"/>
          </w:tcPr>
          <w:p>
            <w:pPr>
              <w:pStyle w:val="67"/>
              <w:ind w:firstLine="0" w:firstLineChars="0"/>
              <w:jc w:val="center"/>
              <w:rPr>
                <w:rFonts w:ascii="Arial" w:hAnsi="Arial" w:cs="Arial"/>
                <w:bCs/>
                <w:snapToGrid w:val="0"/>
                <w:sz w:val="20"/>
                <w:lang w:eastAsia="zh-CN"/>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ascii="Arial" w:hAnsi="Arial" w:cs="Arial"/>
                <w:bCs/>
                <w:snapToGrid w:val="0"/>
                <w:sz w:val="20"/>
                <w:lang w:eastAsia="zh-CN"/>
              </w:rPr>
              <w:t>项目</w:t>
            </w:r>
            <w:r>
              <w:rPr>
                <w:rFonts w:hint="eastAsia" w:ascii="Arial" w:hAnsi="Arial" w:cs="Arial"/>
                <w:bCs/>
                <w:snapToGrid w:val="0"/>
                <w:sz w:val="20"/>
                <w:lang w:eastAsia="zh-CN"/>
              </w:rPr>
              <w:t>实施成果合格性</w:t>
            </w:r>
          </w:p>
        </w:tc>
        <w:tc>
          <w:tcPr>
            <w:tcW w:w="12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期限合格性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①项目实施期限是否与约定期限一致。</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9</w:t>
            </w:r>
          </w:p>
        </w:tc>
        <w:tc>
          <w:tcPr>
            <w:tcW w:w="496"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continue"/>
            <w:tcBorders>
              <w:top w:val="nil"/>
            </w:tcBorders>
            <w:vAlign w:val="center"/>
          </w:tcPr>
          <w:p>
            <w:pPr>
              <w:pStyle w:val="67"/>
              <w:ind w:firstLine="0" w:firstLineChars="0"/>
              <w:rPr>
                <w:rFonts w:ascii="Arial" w:hAnsi="Arial" w:cs="Arial"/>
                <w:bCs/>
                <w:snapToGrid w:val="0"/>
                <w:sz w:val="20"/>
                <w:lang w:eastAsia="zh-CN"/>
              </w:rPr>
            </w:pPr>
          </w:p>
        </w:tc>
        <w:tc>
          <w:tcPr>
            <w:tcW w:w="1296"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质量合格性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①各实施单位对项目存在的风险是否清楚了解，项目实施质量是否经过评审；</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②项目是否按评审意见进行修改。</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项目实施的可持续性</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可持续性</w:t>
            </w: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①国家或地方对该项目的重视程度；</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12</w:t>
            </w: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②项目的实施对预防措施的制定意义；</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5276"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③通过项目的实施民众对环境保护意识的提高。</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449" w:type="dxa"/>
            <w:gridSpan w:val="3"/>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合计</w:t>
            </w:r>
          </w:p>
        </w:tc>
        <w:tc>
          <w:tcPr>
            <w:tcW w:w="377" w:type="dxa"/>
            <w:vAlign w:val="center"/>
          </w:tcPr>
          <w:p>
            <w:pPr>
              <w:pStyle w:val="67"/>
              <w:ind w:firstLine="0" w:firstLineChars="0"/>
              <w:jc w:val="center"/>
              <w:rPr>
                <w:rFonts w:ascii="Arial" w:hAnsi="Arial" w:cs="Arial"/>
                <w:bCs/>
                <w:snapToGrid w:val="0"/>
                <w:sz w:val="20"/>
              </w:rPr>
            </w:pPr>
            <w:r>
              <w:rPr>
                <w:rFonts w:ascii="Arial" w:hAnsi="Arial" w:cs="Arial"/>
                <w:bCs/>
                <w:snapToGrid w:val="0"/>
                <w:sz w:val="20"/>
              </w:rPr>
              <w:fldChar w:fldCharType="begin"/>
            </w:r>
            <w:r>
              <w:rPr>
                <w:rFonts w:ascii="Arial" w:hAnsi="Arial" w:cs="Arial"/>
                <w:bCs/>
                <w:snapToGrid w:val="0"/>
                <w:sz w:val="20"/>
              </w:rPr>
              <w:instrText xml:space="preserve"> =SUM(ABOVE) </w:instrText>
            </w:r>
            <w:r>
              <w:rPr>
                <w:rFonts w:ascii="Arial" w:hAnsi="Arial" w:cs="Arial"/>
                <w:bCs/>
                <w:snapToGrid w:val="0"/>
                <w:sz w:val="20"/>
              </w:rPr>
              <w:fldChar w:fldCharType="separate"/>
            </w:r>
            <w:r>
              <w:rPr>
                <w:rFonts w:ascii="Arial" w:hAnsi="Arial" w:cs="Arial"/>
                <w:bCs/>
                <w:snapToGrid w:val="0"/>
                <w:sz w:val="20"/>
              </w:rPr>
              <w:t>100</w:t>
            </w:r>
            <w:r>
              <w:rPr>
                <w:rFonts w:ascii="Arial" w:hAnsi="Arial" w:cs="Arial"/>
                <w:bCs/>
                <w:snapToGrid w:val="0"/>
                <w:sz w:val="20"/>
              </w:rPr>
              <w:fldChar w:fldCharType="end"/>
            </w:r>
          </w:p>
        </w:tc>
        <w:tc>
          <w:tcPr>
            <w:tcW w:w="541" w:type="dxa"/>
            <w:vAlign w:val="center"/>
          </w:tcPr>
          <w:p>
            <w:pPr>
              <w:pStyle w:val="67"/>
              <w:ind w:firstLine="0" w:firstLineChars="0"/>
              <w:jc w:val="center"/>
              <w:rPr>
                <w:rFonts w:ascii="Arial" w:hAnsi="Arial" w:cs="Arial"/>
                <w:bCs/>
                <w:snapToGrid w:val="0"/>
                <w:sz w:val="20"/>
              </w:rPr>
            </w:pPr>
          </w:p>
        </w:tc>
        <w:tc>
          <w:tcPr>
            <w:tcW w:w="496" w:type="dxa"/>
          </w:tcPr>
          <w:p>
            <w:pPr>
              <w:pStyle w:val="67"/>
              <w:ind w:firstLine="0" w:firstLineChars="0"/>
              <w:jc w:val="center"/>
              <w:rPr>
                <w:rFonts w:ascii="Arial" w:hAnsi="Arial" w:cs="Arial"/>
                <w:bCs/>
                <w:snapToGrid w:val="0"/>
                <w:sz w:val="20"/>
              </w:rPr>
            </w:pPr>
            <w:r>
              <w:rPr>
                <w:rFonts w:ascii="Arial" w:hAnsi="Arial" w:cs="Arial"/>
                <w:bCs/>
                <w:snapToGrid w:val="0"/>
                <w:sz w:val="20"/>
              </w:rPr>
              <w:fldChar w:fldCharType="begin"/>
            </w:r>
            <w:r>
              <w:rPr>
                <w:rFonts w:ascii="Arial" w:hAnsi="Arial" w:cs="Arial"/>
                <w:bCs/>
                <w:snapToGrid w:val="0"/>
                <w:sz w:val="20"/>
              </w:rPr>
              <w:instrText xml:space="preserve"> =SUM(ABOVE) </w:instrText>
            </w:r>
            <w:r>
              <w:rPr>
                <w:rFonts w:ascii="Arial" w:hAnsi="Arial" w:cs="Arial"/>
                <w:bCs/>
                <w:snapToGrid w:val="0"/>
                <w:sz w:val="20"/>
              </w:rPr>
              <w:fldChar w:fldCharType="separate"/>
            </w:r>
            <w:r>
              <w:rPr>
                <w:rFonts w:ascii="Arial" w:hAnsi="Arial" w:cs="Arial"/>
                <w:bCs/>
                <w:snapToGrid w:val="0"/>
                <w:sz w:val="20"/>
              </w:rPr>
              <w:t>92</w:t>
            </w:r>
            <w:r>
              <w:rPr>
                <w:rFonts w:ascii="Arial" w:hAnsi="Arial" w:cs="Arial"/>
                <w:bCs/>
                <w:snapToGrid w:val="0"/>
                <w:sz w:val="20"/>
              </w:rPr>
              <w:fldChar w:fldCharType="end"/>
            </w:r>
          </w:p>
        </w:tc>
      </w:tr>
    </w:tbl>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黑体" w:hAnsi="黑体" w:eastAsia="黑体" w:cs="黑体"/>
          <w:b w:val="0"/>
          <w:szCs w:val="32"/>
          <w:lang w:eastAsia="zh-CN"/>
        </w:rPr>
      </w:pPr>
      <w:bookmarkStart w:id="179" w:name="_Toc1269600848"/>
      <w:bookmarkStart w:id="180" w:name="_Toc10752"/>
      <w:bookmarkStart w:id="181" w:name="_Toc132480966"/>
      <w:bookmarkStart w:id="182" w:name="_Toc193453926"/>
      <w:bookmarkStart w:id="183" w:name="_Toc737820165"/>
      <w:bookmarkStart w:id="184" w:name="_Toc7074"/>
      <w:bookmarkStart w:id="185" w:name="_Toc924138418"/>
      <w:bookmarkStart w:id="186" w:name="_Toc1506002849_WPSOffice_Level1"/>
      <w:bookmarkStart w:id="187" w:name="_Toc20649"/>
      <w:bookmarkStart w:id="188" w:name="_Toc6088"/>
      <w:r>
        <w:rPr>
          <w:rFonts w:hint="eastAsia" w:ascii="黑体" w:hAnsi="黑体" w:eastAsia="黑体" w:cs="黑体"/>
          <w:b w:val="0"/>
          <w:szCs w:val="32"/>
          <w:lang w:eastAsia="zh-CN"/>
        </w:rPr>
        <w:t>四、绩效评价</w:t>
      </w:r>
      <w:bookmarkEnd w:id="179"/>
      <w:bookmarkEnd w:id="180"/>
      <w:bookmarkEnd w:id="181"/>
      <w:bookmarkEnd w:id="182"/>
      <w:bookmarkEnd w:id="183"/>
      <w:bookmarkEnd w:id="184"/>
      <w:bookmarkEnd w:id="185"/>
      <w:bookmarkEnd w:id="186"/>
      <w:bookmarkEnd w:id="187"/>
      <w:r>
        <w:rPr>
          <w:rFonts w:hint="eastAsia" w:ascii="黑体" w:hAnsi="黑体" w:eastAsia="黑体" w:cs="黑体"/>
          <w:b w:val="0"/>
          <w:szCs w:val="32"/>
          <w:lang w:eastAsia="zh-CN"/>
        </w:rPr>
        <w:t>内容与结论</w:t>
      </w:r>
      <w:bookmarkEnd w:id="188"/>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楷体" w:hAnsi="楷体" w:eastAsia="楷体" w:cs="楷体"/>
          <w:b w:val="0"/>
          <w:bCs/>
          <w:szCs w:val="32"/>
          <w:lang w:eastAsia="zh-CN"/>
        </w:rPr>
      </w:pPr>
      <w:bookmarkStart w:id="189" w:name="_Toc785"/>
      <w:r>
        <w:rPr>
          <w:rFonts w:hint="eastAsia" w:ascii="楷体" w:hAnsi="楷体" w:cs="楷体"/>
          <w:b w:val="0"/>
          <w:bCs/>
          <w:szCs w:val="32"/>
          <w:lang w:eastAsia="zh-CN"/>
        </w:rPr>
        <w:t>（一）</w:t>
      </w:r>
      <w:r>
        <w:rPr>
          <w:rFonts w:hint="eastAsia" w:ascii="楷体" w:hAnsi="楷体" w:eastAsia="楷体" w:cs="楷体"/>
          <w:b w:val="0"/>
          <w:bCs/>
          <w:szCs w:val="32"/>
          <w:lang w:eastAsia="zh-CN"/>
        </w:rPr>
        <w:t>项目实施的必要性、公益性、收益性</w:t>
      </w:r>
      <w:bookmarkEnd w:id="189"/>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项目实施的必要性、公益性、收益性方面，指标总分16分，评估得分16分。具体如下：</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1.项</w:t>
      </w:r>
      <w:bookmarkStart w:id="190" w:name="OLE_LINK3"/>
      <w:r>
        <w:rPr>
          <w:rFonts w:hint="eastAsia" w:ascii="仿宋" w:hAnsi="仿宋" w:eastAsia="仿宋" w:cs="仿宋"/>
          <w:szCs w:val="32"/>
          <w:lang w:eastAsia="zh-CN"/>
        </w:rPr>
        <w:t>目实施的必要性</w:t>
      </w:r>
      <w:bookmarkEnd w:id="190"/>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我国是世界上自然灾害最为严重的国家之一，灾害种类多,分布地域广,发生频率高，造成损失重。2018年10月，习近平总书记主持召开的中央财经委员会第三次会议，将实施“自然灾害综合风险普查”列为提高自然灾害防治能力9项重点工程的第一项重点工程。2020年6月，国务院办公厅印发《国务院办公厅关于开展第一次全国自然灾害综合风险普查的通知》(国办发(2020)12号)，全面部署第一次全国自然灾害综合风险普查工作。</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通过普查，能够准确掌握森林中可燃物的分布、类型、载量等情况，也能了解气象条件、地形地貌对火灾发生的影响。同时提升应急救援能力，保护森林资源和生态环境，完善灾害管理体系，增强公众安全意识等。</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本项目的实施符合国情需要，在国家统一部署下开展自然灾害综合风险普查,全面获取主要灾害致灾信息、承灾体信息、历史灾害信息,摸清灾害风险隐患底数,查明重点区域抗灾能力,建立分类型、分区域的国家自然灾害综合风险与减灾能力省级数据库。根据评分标准，总分4分，得4分。</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2.项</w:t>
      </w:r>
      <w:r>
        <w:rPr>
          <w:rFonts w:hint="eastAsia" w:ascii="仿宋" w:hAnsi="仿宋" w:eastAsia="仿宋" w:cs="仿宋"/>
          <w:szCs w:val="32"/>
          <w:lang w:eastAsia="zh-CN"/>
        </w:rPr>
        <w:t>目实施的公益性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通过普查，能够保障生命财产安全，降低火灾发生概率，减少火灾对林区居民生命和财产的威胁；优化应急救援布局，在火灾发生时实现快速响应和有效扑救，减少人员伤亡和财产损失；保护生态环境、森林资源，避免因火灾导致大面积森林被毁，维护生物多样性和生态平衡；减少生态破坏，降低水土流失、空气污染等次生生态问题的发生风险。</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本项目的实施为有效开展自然灾害防治和应急管理、切实保障经济社会高质量发展提供权威的灾害风险信息和科学决策依据。根据评分标准，总分4分，得4分。</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3.项目实施的收益性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普查工作的开展，有利于经济社会可持续发展。一是保障林业产业发展，为林业部门开展森林经营、采伐等活动提供风险信息，使其能科学规划，合理安排生产，降低火灾对林业产业的影响，保障林业经济的稳定增长。二是促进旅游业发展，许多森林区域是重要的旅游景点，减少森林火灾风险，可保护旅游资源，为游客提供安全的旅游环境，促进森林旅游等相关产业的健康发展。三是提供科学决策依据，建立森林火灾风险普查数据库，形成风险评估与区划等成果，为政府部门制定森林火灾防治政策、规划等提供权威的科学依据，提高公共决策的科学性和合理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在普查过程中，宣传森林火灾风险知识，提高公众对森林火灾危害的认识和防火意识，促进全社会形成共同参与森林火灾防控的良好氛围。根据评分标准，总分8分，得8分。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outlineLvl w:val="9"/>
        <w:rPr>
          <w:rFonts w:hint="eastAsia" w:ascii="楷体" w:hAnsi="楷体" w:eastAsia="楷体" w:cs="楷体"/>
          <w:b w:val="0"/>
          <w:szCs w:val="32"/>
          <w:lang w:eastAsia="zh-CN"/>
        </w:rPr>
      </w:pPr>
      <w:bookmarkStart w:id="191" w:name="_Toc12059"/>
      <w:r>
        <w:rPr>
          <w:rFonts w:hint="eastAsia" w:ascii="楷体" w:hAnsi="楷体" w:cs="楷体"/>
          <w:b w:val="0"/>
          <w:kern w:val="44"/>
          <w:szCs w:val="32"/>
          <w:lang w:eastAsia="zh-CN"/>
        </w:rPr>
        <w:t>（二）</w:t>
      </w:r>
      <w:r>
        <w:rPr>
          <w:rFonts w:hint="eastAsia" w:ascii="楷体" w:hAnsi="楷体" w:eastAsia="楷体" w:cs="楷体"/>
          <w:b w:val="0"/>
          <w:kern w:val="44"/>
          <w:szCs w:val="32"/>
          <w:lang w:eastAsia="zh-CN"/>
        </w:rPr>
        <w:t>项目实施合规性与</w:t>
      </w:r>
      <w:r>
        <w:rPr>
          <w:rFonts w:hint="eastAsia" w:ascii="楷体" w:hAnsi="楷体" w:eastAsia="楷体" w:cs="楷体"/>
          <w:b w:val="0"/>
          <w:kern w:val="44"/>
          <w:szCs w:val="32"/>
          <w:lang w:val="en-US" w:eastAsia="zh-CN"/>
        </w:rPr>
        <w:t>项目</w:t>
      </w:r>
      <w:r>
        <w:rPr>
          <w:rFonts w:hint="eastAsia" w:ascii="楷体" w:hAnsi="楷体" w:eastAsia="楷体" w:cs="楷体"/>
          <w:b w:val="0"/>
          <w:kern w:val="44"/>
          <w:szCs w:val="32"/>
          <w:lang w:eastAsia="zh-CN"/>
        </w:rPr>
        <w:t>成熟度</w:t>
      </w:r>
      <w:bookmarkEnd w:id="191"/>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项目实施合规性与项目成熟度方面，指标总分18分，评估得分18分。具体如下：</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1.实施合规性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项目为延续性项目，于2022年实施完毕。</w:t>
      </w:r>
      <w:r>
        <w:rPr>
          <w:rFonts w:hint="eastAsia" w:ascii="仿宋" w:hAnsi="仿宋" w:eastAsia="仿宋" w:cs="仿宋"/>
          <w:szCs w:val="32"/>
          <w:lang w:val="en-US" w:eastAsia="zh-CN"/>
        </w:rPr>
        <w:t>截止2024年底</w:t>
      </w:r>
      <w:r>
        <w:rPr>
          <w:rFonts w:hint="eastAsia" w:ascii="仿宋" w:hAnsi="仿宋" w:eastAsia="仿宋" w:cs="仿宋"/>
          <w:szCs w:val="32"/>
          <w:lang w:eastAsia="zh-CN"/>
        </w:rPr>
        <w:t>项目已支付73.5万元，2025年需支付尾款24.5万元。</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项目经《四川省第一次森林和草原火灾风险普查工作领导小组办公室关于&lt;山市金口河区第一次森林火灾风险普查工作方案&gt;的批复》（川火普办审〔2021〕146号）文件批复实施。</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经《乐山市金口河区自然资源局关于解决金口河区第一次森林火灾风险普查资金缺口的请示》（金自然资〔2021〕128号）文件批复预算资金100万元，</w:t>
      </w:r>
      <w:r>
        <w:rPr>
          <w:rFonts w:hint="eastAsia" w:ascii="仿宋" w:hAnsi="仿宋" w:eastAsia="仿宋" w:cs="仿宋"/>
          <w:bCs/>
          <w:szCs w:val="32"/>
          <w:lang w:val="en-US" w:eastAsia="zh-CN"/>
        </w:rPr>
        <w:t>经</w:t>
      </w:r>
      <w:r>
        <w:rPr>
          <w:rFonts w:ascii="仿宋" w:hAnsi="仿宋" w:eastAsia="仿宋" w:cs="仿宋"/>
          <w:bCs/>
          <w:szCs w:val="32"/>
          <w:lang w:eastAsia="zh-CN"/>
        </w:rPr>
        <w:t>竞争性磋商</w:t>
      </w:r>
      <w:r>
        <w:rPr>
          <w:rFonts w:hint="eastAsia" w:ascii="仿宋" w:hAnsi="仿宋" w:eastAsia="仿宋" w:cs="仿宋"/>
          <w:bCs/>
          <w:szCs w:val="32"/>
          <w:lang w:val="en-US" w:eastAsia="zh-CN"/>
        </w:rPr>
        <w:t>确定成交价98万元，</w:t>
      </w:r>
      <w:r>
        <w:rPr>
          <w:rFonts w:hint="eastAsia" w:ascii="仿宋" w:hAnsi="仿宋" w:eastAsia="仿宋" w:cs="仿宋"/>
          <w:bCs/>
          <w:szCs w:val="32"/>
          <w:lang w:eastAsia="zh-CN"/>
        </w:rPr>
        <w:t>资金来源为财政资金。具体资金筹措情况如下：</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资金筹措表</w:t>
      </w:r>
    </w:p>
    <w:tbl>
      <w:tblPr>
        <w:tblStyle w:val="21"/>
        <w:tblpPr w:leftFromText="180" w:rightFromText="180" w:vertAnchor="text" w:horzAnchor="page" w:tblpX="2051" w:tblpY="222"/>
        <w:tblOverlap w:val="never"/>
        <w:tblW w:w="8217" w:type="dxa"/>
        <w:tblInd w:w="0" w:type="dxa"/>
        <w:tblLayout w:type="fixed"/>
        <w:tblCellMar>
          <w:top w:w="0" w:type="dxa"/>
          <w:left w:w="108" w:type="dxa"/>
          <w:bottom w:w="0" w:type="dxa"/>
          <w:right w:w="108" w:type="dxa"/>
        </w:tblCellMar>
      </w:tblPr>
      <w:tblGrid>
        <w:gridCol w:w="704"/>
        <w:gridCol w:w="3118"/>
        <w:gridCol w:w="2176"/>
        <w:gridCol w:w="2219"/>
      </w:tblGrid>
      <w:tr>
        <w:tblPrEx>
          <w:tblCellMar>
            <w:top w:w="0" w:type="dxa"/>
            <w:left w:w="108" w:type="dxa"/>
            <w:bottom w:w="0" w:type="dxa"/>
            <w:right w:w="108" w:type="dxa"/>
          </w:tblCellMar>
        </w:tblPrEx>
        <w:trPr>
          <w:trHeight w:val="567" w:hRule="atLeast"/>
          <w:tblHead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项目内容</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支付金额（万元）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实际支付时间</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金口河区第一次森林火灾风险普查服务费（第1笔）</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4.9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2021.12.17</w:t>
            </w:r>
          </w:p>
        </w:tc>
      </w:tr>
      <w:tr>
        <w:tblPrEx>
          <w:tblCellMar>
            <w:top w:w="0" w:type="dxa"/>
            <w:left w:w="108" w:type="dxa"/>
            <w:bottom w:w="0" w:type="dxa"/>
            <w:right w:w="108" w:type="dxa"/>
          </w:tblCellMar>
        </w:tblPrEx>
        <w:trPr>
          <w:trHeight w:val="570" w:hRule="atLeast"/>
        </w:trPr>
        <w:tc>
          <w:tcPr>
            <w:tcW w:w="704"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w:t>
            </w:r>
          </w:p>
        </w:tc>
        <w:tc>
          <w:tcPr>
            <w:tcW w:w="3119"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金口河区第一次森林火灾风险普查服务费（第2笔）</w:t>
            </w:r>
          </w:p>
        </w:tc>
        <w:tc>
          <w:tcPr>
            <w:tcW w:w="2174"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2023.1.19</w:t>
            </w:r>
          </w:p>
        </w:tc>
      </w:tr>
      <w:tr>
        <w:tblPrEx>
          <w:tblCellMar>
            <w:top w:w="0" w:type="dxa"/>
            <w:left w:w="108" w:type="dxa"/>
            <w:bottom w:w="0" w:type="dxa"/>
            <w:right w:w="108" w:type="dxa"/>
          </w:tblCellMar>
        </w:tblPrEx>
        <w:trPr>
          <w:trHeight w:val="570" w:hRule="atLeast"/>
        </w:trPr>
        <w:tc>
          <w:tcPr>
            <w:tcW w:w="70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p>
        </w:tc>
        <w:tc>
          <w:tcPr>
            <w:tcW w:w="3119"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p>
        </w:tc>
        <w:tc>
          <w:tcPr>
            <w:tcW w:w="2174"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19.2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2024.2.8</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金口河区第一次森林火灾风险普查服务费（第3笔）</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29.4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2024.2.8</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金口河区第一次森林火灾风险普查服务费（第4笔）</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24.5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2025.1.24</w:t>
            </w:r>
          </w:p>
        </w:tc>
      </w:tr>
      <w:tr>
        <w:tblPrEx>
          <w:tblCellMar>
            <w:top w:w="0" w:type="dxa"/>
            <w:left w:w="108" w:type="dxa"/>
            <w:bottom w:w="0" w:type="dxa"/>
            <w:right w:w="108" w:type="dxa"/>
          </w:tblCellMar>
        </w:tblPrEx>
        <w:trPr>
          <w:trHeight w:val="567" w:hRule="atLeast"/>
        </w:trPr>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合计</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98</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118" w:leftChars="-37" w:right="-128" w:rightChars="-40" w:firstLine="0" w:firstLineChars="0"/>
              <w:jc w:val="center"/>
              <w:rPr>
                <w:rFonts w:hint="eastAsia" w:ascii="仿宋" w:hAnsi="仿宋" w:eastAsia="仿宋" w:cs="仿宋"/>
                <w:bCs/>
                <w:sz w:val="24"/>
                <w:lang w:eastAsia="zh-CN"/>
              </w:rPr>
            </w:pPr>
          </w:p>
        </w:tc>
      </w:tr>
    </w:tbl>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综上，该项目立项过程合规、立项依据充分，项目资金来源渠道符合相关规定，资金筹措程序科学规范。根据评分标准，总分9分，得9分。</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2.项目成熟度</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bCs/>
          <w:kern w:val="2"/>
          <w:szCs w:val="32"/>
          <w:lang w:eastAsia="zh-CN" w:bidi="ar-SA"/>
        </w:rPr>
        <w:t>项目经(国办发</w:t>
      </w:r>
      <w:r>
        <w:rPr>
          <w:rFonts w:hint="eastAsia" w:ascii="仿宋" w:hAnsi="仿宋" w:eastAsia="仿宋" w:cs="仿宋"/>
          <w:bCs/>
          <w:szCs w:val="32"/>
          <w:lang w:eastAsia="zh-CN"/>
        </w:rPr>
        <w:t>〔2020〕</w:t>
      </w:r>
      <w:r>
        <w:rPr>
          <w:rFonts w:hint="eastAsia" w:ascii="仿宋" w:hAnsi="仿宋" w:eastAsia="仿宋" w:cs="仿宋"/>
          <w:bCs/>
          <w:kern w:val="2"/>
          <w:szCs w:val="32"/>
          <w:lang w:eastAsia="zh-CN" w:bidi="ar-SA"/>
        </w:rPr>
        <w:t>12号)、（川办发</w:t>
      </w:r>
      <w:r>
        <w:rPr>
          <w:rFonts w:hint="eastAsia" w:ascii="仿宋" w:hAnsi="仿宋" w:eastAsia="仿宋" w:cs="仿宋"/>
          <w:bCs/>
          <w:szCs w:val="32"/>
          <w:lang w:eastAsia="zh-CN"/>
        </w:rPr>
        <w:t>〔2020〕</w:t>
      </w:r>
      <w:r>
        <w:rPr>
          <w:rFonts w:hint="eastAsia" w:ascii="仿宋" w:hAnsi="仿宋" w:eastAsia="仿宋" w:cs="仿宋"/>
          <w:bCs/>
          <w:kern w:val="2"/>
          <w:szCs w:val="32"/>
          <w:lang w:eastAsia="zh-CN" w:bidi="ar-SA"/>
        </w:rPr>
        <w:t>58号）、（川林发</w:t>
      </w:r>
      <w:r>
        <w:rPr>
          <w:rFonts w:hint="eastAsia" w:ascii="仿宋" w:hAnsi="仿宋" w:eastAsia="仿宋" w:cs="仿宋"/>
          <w:bCs/>
          <w:szCs w:val="32"/>
          <w:lang w:eastAsia="zh-CN"/>
        </w:rPr>
        <w:t>〔2020〕</w:t>
      </w:r>
      <w:r>
        <w:rPr>
          <w:rFonts w:hint="eastAsia" w:ascii="仿宋" w:hAnsi="仿宋" w:eastAsia="仿宋" w:cs="仿宋"/>
          <w:bCs/>
          <w:kern w:val="2"/>
          <w:szCs w:val="32"/>
          <w:lang w:eastAsia="zh-CN" w:bidi="ar-SA"/>
        </w:rPr>
        <w:t>46号）和（乐市林发</w:t>
      </w:r>
      <w:r>
        <w:rPr>
          <w:rFonts w:hint="eastAsia" w:ascii="仿宋" w:hAnsi="仿宋" w:eastAsia="仿宋" w:cs="仿宋"/>
          <w:bCs/>
          <w:szCs w:val="32"/>
          <w:lang w:eastAsia="zh-CN"/>
        </w:rPr>
        <w:t>〔2021〕</w:t>
      </w:r>
      <w:r>
        <w:rPr>
          <w:rFonts w:hint="eastAsia" w:ascii="仿宋" w:hAnsi="仿宋" w:eastAsia="仿宋" w:cs="仿宋"/>
          <w:bCs/>
          <w:kern w:val="2"/>
          <w:szCs w:val="32"/>
          <w:lang w:eastAsia="zh-CN" w:bidi="ar-SA"/>
        </w:rPr>
        <w:t>70号）批准实施，并于2022年实施完毕。</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该项目在实施过程中，具有成熟的技术体系、火灾风险评估模型和算法，能够科学评估森林火灾发生的可能性和危害程度；具有健全的标准规范，从数据采集的内容、方法、精度要求，到数据处理、分析、存储和共享等各个环节，都有明确的标准可依；在全国范围内开展森林火灾风险普查，积累了丰富的组织实施经验。各级政府和相关部门建立了有效的组织协调机制，明确了职责分工，形成了高效的工作流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综上，该项目审批手续完善，项目成熟度高。根据评分标准，总分9分，得9分。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192" w:name="_Toc27007"/>
      <w:r>
        <w:rPr>
          <w:rFonts w:hint="eastAsia" w:ascii="楷体" w:hAnsi="楷体" w:eastAsia="楷体" w:cs="楷体"/>
          <w:b w:val="0"/>
          <w:kern w:val="44"/>
          <w:szCs w:val="32"/>
          <w:lang w:eastAsia="zh-CN"/>
        </w:rPr>
        <w:t>（三）项目资金来源、资金到位可行性</w:t>
      </w:r>
      <w:bookmarkEnd w:id="192"/>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ascii="仿宋" w:hAnsi="仿宋" w:eastAsia="仿宋" w:cs="仿宋"/>
          <w:szCs w:val="32"/>
          <w:lang w:eastAsia="zh-CN"/>
        </w:rPr>
        <w:t>项目资金来源和资金到位可行性方面，指标总分</w:t>
      </w:r>
      <w:r>
        <w:rPr>
          <w:rFonts w:hint="eastAsia" w:ascii="仿宋" w:hAnsi="仿宋" w:eastAsia="仿宋" w:cs="仿宋"/>
          <w:szCs w:val="32"/>
          <w:lang w:eastAsia="zh-CN"/>
        </w:rPr>
        <w:t>12</w:t>
      </w:r>
      <w:r>
        <w:rPr>
          <w:rFonts w:ascii="仿宋" w:hAnsi="仿宋" w:eastAsia="仿宋" w:cs="仿宋"/>
          <w:szCs w:val="32"/>
          <w:lang w:eastAsia="zh-CN"/>
        </w:rPr>
        <w:t>分，评估得分</w:t>
      </w:r>
      <w:r>
        <w:rPr>
          <w:rFonts w:hint="eastAsia" w:ascii="仿宋" w:hAnsi="仿宋" w:eastAsia="仿宋" w:cs="仿宋"/>
          <w:szCs w:val="32"/>
          <w:lang w:eastAsia="zh-CN"/>
        </w:rPr>
        <w:t>12</w:t>
      </w:r>
      <w:r>
        <w:rPr>
          <w:rFonts w:ascii="仿宋" w:hAnsi="仿宋" w:eastAsia="仿宋" w:cs="仿宋"/>
          <w:szCs w:val="32"/>
          <w:lang w:eastAsia="zh-CN"/>
        </w:rPr>
        <w:t>分。具体如下：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1.资金来源可行性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森林火灾风险普查专项经费资金经</w:t>
      </w:r>
      <w:r>
        <w:rPr>
          <w:rFonts w:hint="eastAsia" w:ascii="仿宋" w:hAnsi="仿宋" w:eastAsia="仿宋" w:cs="仿宋"/>
          <w:bCs/>
          <w:szCs w:val="32"/>
          <w:lang w:eastAsia="zh-CN"/>
        </w:rPr>
        <w:t>《乐山市金口河区人民政府关于</w:t>
      </w:r>
      <w:r>
        <w:rPr>
          <w:rFonts w:hint="eastAsia" w:ascii="仿宋" w:hAnsi="仿宋" w:eastAsia="仿宋" w:cs="仿宋"/>
          <w:b/>
          <w:bCs/>
          <w:szCs w:val="32"/>
          <w:lang w:eastAsia="zh-CN"/>
        </w:rPr>
        <w:t>&lt;</w:t>
      </w:r>
      <w:r>
        <w:rPr>
          <w:rFonts w:hint="eastAsia" w:ascii="仿宋" w:hAnsi="仿宋" w:eastAsia="仿宋" w:cs="仿宋"/>
          <w:bCs/>
          <w:szCs w:val="32"/>
          <w:lang w:eastAsia="zh-CN"/>
        </w:rPr>
        <w:t>关于解决金口河区第一次森林火灾风险普查资金缺口的请示</w:t>
      </w:r>
      <w:r>
        <w:rPr>
          <w:rFonts w:hint="eastAsia" w:ascii="仿宋" w:hAnsi="仿宋" w:eastAsia="仿宋" w:cs="仿宋"/>
          <w:b/>
          <w:bCs/>
          <w:szCs w:val="32"/>
          <w:lang w:eastAsia="zh-CN"/>
        </w:rPr>
        <w:t>&gt;</w:t>
      </w:r>
      <w:r>
        <w:rPr>
          <w:rFonts w:hint="eastAsia" w:ascii="仿宋" w:hAnsi="仿宋" w:eastAsia="仿宋" w:cs="仿宋"/>
          <w:bCs/>
          <w:szCs w:val="32"/>
          <w:lang w:eastAsia="zh-CN"/>
        </w:rPr>
        <w:t>的批复》（金府复〔2021〕148号）同意，资金</w:t>
      </w:r>
      <w:r>
        <w:rPr>
          <w:rFonts w:hint="eastAsia" w:ascii="仿宋" w:hAnsi="仿宋" w:eastAsia="仿宋" w:cs="仿宋"/>
          <w:szCs w:val="32"/>
          <w:lang w:eastAsia="zh-CN"/>
        </w:rPr>
        <w:t>来源为财政资金，资金来源渠道符合相关规定，得3分。资金筹措程序符合科学规范，资金申请额度经过科学测算，得3分。根据评分标准，总分3分，得3分。</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2.资金到位可行性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本项目资金来源为政府资金，经</w:t>
      </w:r>
      <w:r>
        <w:rPr>
          <w:rFonts w:hint="eastAsia" w:ascii="仿宋" w:hAnsi="仿宋" w:eastAsia="仿宋" w:cs="仿宋"/>
          <w:bCs/>
          <w:szCs w:val="32"/>
          <w:lang w:eastAsia="zh-CN"/>
        </w:rPr>
        <w:t>《乐山市金口河区人民政府关于</w:t>
      </w:r>
      <w:r>
        <w:rPr>
          <w:rFonts w:hint="eastAsia" w:ascii="仿宋" w:hAnsi="仿宋" w:eastAsia="仿宋" w:cs="仿宋"/>
          <w:b/>
          <w:bCs/>
          <w:szCs w:val="32"/>
          <w:lang w:eastAsia="zh-CN"/>
        </w:rPr>
        <w:t>&lt;</w:t>
      </w:r>
      <w:r>
        <w:rPr>
          <w:rFonts w:hint="eastAsia" w:ascii="仿宋" w:hAnsi="仿宋" w:eastAsia="仿宋" w:cs="仿宋"/>
          <w:bCs/>
          <w:szCs w:val="32"/>
          <w:lang w:eastAsia="zh-CN"/>
        </w:rPr>
        <w:t>关于解决金口河区第一次森林火灾风险普查资金缺口的请示</w:t>
      </w:r>
      <w:r>
        <w:rPr>
          <w:rFonts w:hint="eastAsia" w:ascii="仿宋" w:hAnsi="仿宋" w:eastAsia="仿宋" w:cs="仿宋"/>
          <w:b/>
          <w:bCs/>
          <w:szCs w:val="32"/>
          <w:lang w:eastAsia="zh-CN"/>
        </w:rPr>
        <w:t>&gt;</w:t>
      </w:r>
      <w:r>
        <w:rPr>
          <w:rFonts w:hint="eastAsia" w:ascii="仿宋" w:hAnsi="仿宋" w:eastAsia="仿宋" w:cs="仿宋"/>
          <w:bCs/>
          <w:szCs w:val="32"/>
          <w:lang w:eastAsia="zh-CN"/>
        </w:rPr>
        <w:t>的批复》（金府复〔2021〕148号）</w:t>
      </w:r>
      <w:r>
        <w:rPr>
          <w:rFonts w:hint="eastAsia" w:ascii="仿宋" w:hAnsi="仿宋" w:eastAsia="仿宋" w:cs="仿宋"/>
          <w:bCs/>
          <w:szCs w:val="32"/>
          <w:lang w:val="en-US" w:eastAsia="zh-CN"/>
        </w:rPr>
        <w:t>同意</w:t>
      </w:r>
      <w:r>
        <w:rPr>
          <w:rFonts w:hint="eastAsia" w:ascii="仿宋" w:hAnsi="仿宋" w:eastAsia="仿宋" w:cs="仿宋"/>
          <w:bCs/>
          <w:szCs w:val="32"/>
          <w:lang w:eastAsia="zh-CN"/>
        </w:rPr>
        <w:t>，</w:t>
      </w:r>
      <w:r>
        <w:rPr>
          <w:rFonts w:hint="eastAsia" w:ascii="仿宋" w:hAnsi="仿宋" w:eastAsia="仿宋" w:cs="仿宋"/>
          <w:szCs w:val="32"/>
          <w:lang w:eastAsia="zh-CN"/>
        </w:rPr>
        <w:t>总投资98万元。截止绩效评价前项目资金已全部到位，有明确的到位时间。通过财政资金支付凭证，经相关人员签字确定后通过国库集中支付，具备资金拨付相关条件。根据评分标准，总分9分，得9分。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193" w:name="OLE_LINK5"/>
      <w:bookmarkStart w:id="194" w:name="_Toc9784"/>
      <w:r>
        <w:rPr>
          <w:rFonts w:hint="eastAsia" w:ascii="楷体" w:hAnsi="楷体" w:eastAsia="楷体" w:cs="楷体"/>
          <w:b w:val="0"/>
          <w:kern w:val="44"/>
          <w:szCs w:val="32"/>
          <w:lang w:eastAsia="zh-CN"/>
        </w:rPr>
        <w:t>（四）资金使用计划合理性</w:t>
      </w:r>
      <w:bookmarkEnd w:id="193"/>
      <w:r>
        <w:rPr>
          <w:rFonts w:hint="eastAsia" w:ascii="楷体" w:hAnsi="楷体" w:eastAsia="楷体" w:cs="楷体"/>
          <w:b w:val="0"/>
          <w:kern w:val="44"/>
          <w:szCs w:val="32"/>
          <w:lang w:eastAsia="zh-CN"/>
        </w:rPr>
        <w:t>、资金到位及时性</w:t>
      </w:r>
      <w:bookmarkEnd w:id="194"/>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资金使用计划合理性、资金到位及时性方面，</w:t>
      </w:r>
      <w:r>
        <w:rPr>
          <w:rFonts w:ascii="仿宋" w:hAnsi="仿宋" w:eastAsia="仿宋" w:cs="仿宋"/>
          <w:szCs w:val="32"/>
          <w:lang w:eastAsia="zh-CN"/>
        </w:rPr>
        <w:t>指标总分</w:t>
      </w:r>
      <w:r>
        <w:rPr>
          <w:rFonts w:hint="eastAsia" w:ascii="仿宋" w:hAnsi="仿宋" w:eastAsia="仿宋" w:cs="仿宋"/>
          <w:szCs w:val="32"/>
          <w:lang w:eastAsia="zh-CN"/>
        </w:rPr>
        <w:t>12</w:t>
      </w:r>
      <w:r>
        <w:rPr>
          <w:rFonts w:ascii="仿宋" w:hAnsi="仿宋" w:eastAsia="仿宋" w:cs="仿宋"/>
          <w:szCs w:val="32"/>
          <w:lang w:eastAsia="zh-CN"/>
        </w:rPr>
        <w:t>分，评估得分</w:t>
      </w:r>
      <w:r>
        <w:rPr>
          <w:rFonts w:hint="eastAsia" w:ascii="仿宋" w:hAnsi="仿宋" w:eastAsia="仿宋" w:cs="仿宋"/>
          <w:szCs w:val="32"/>
          <w:lang w:eastAsia="zh-CN"/>
        </w:rPr>
        <w:t>9</w:t>
      </w:r>
      <w:r>
        <w:rPr>
          <w:rFonts w:ascii="仿宋" w:hAnsi="仿宋" w:eastAsia="仿宋" w:cs="仿宋"/>
          <w:szCs w:val="32"/>
          <w:lang w:eastAsia="zh-CN"/>
        </w:rPr>
        <w:t>分。具体如下：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1.资金使用计划合理性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本项目资金使用计划在乐山市金口河区自然资源局与四川吉星林业规划设计有限公司双方商定的《政府采购合同》中约定，按项目完成进度安排使用资金，使用计划合理。根据</w:t>
      </w:r>
      <w:r>
        <w:rPr>
          <w:rFonts w:hint="eastAsia" w:ascii="仿宋" w:hAnsi="仿宋" w:eastAsia="仿宋" w:cs="仿宋"/>
          <w:szCs w:val="32"/>
          <w:highlight w:val="none"/>
          <w:lang w:eastAsia="zh-CN"/>
        </w:rPr>
        <w:t>评</w:t>
      </w:r>
      <w:r>
        <w:rPr>
          <w:rFonts w:hint="eastAsia" w:ascii="仿宋" w:hAnsi="仿宋" w:eastAsia="仿宋" w:cs="仿宋"/>
          <w:szCs w:val="32"/>
          <w:lang w:eastAsia="zh-CN"/>
        </w:rPr>
        <w:t>分标准，总分6分，得6分。</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2.资金到位及时性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项目资金全部为政府资金，总投资98万元。截止绩效评价前项目资金已全部到位。具体到位时间如下：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资金到位时间表</w:t>
      </w:r>
    </w:p>
    <w:tbl>
      <w:tblPr>
        <w:tblStyle w:val="21"/>
        <w:tblpPr w:leftFromText="180" w:rightFromText="180" w:vertAnchor="text" w:horzAnchor="page" w:tblpX="1838" w:tblpY="222"/>
        <w:tblOverlap w:val="never"/>
        <w:tblW w:w="8642" w:type="dxa"/>
        <w:tblInd w:w="0" w:type="dxa"/>
        <w:tblLayout w:type="fixed"/>
        <w:tblCellMar>
          <w:top w:w="0" w:type="dxa"/>
          <w:left w:w="108" w:type="dxa"/>
          <w:bottom w:w="0" w:type="dxa"/>
          <w:right w:w="108" w:type="dxa"/>
        </w:tblCellMar>
      </w:tblPr>
      <w:tblGrid>
        <w:gridCol w:w="704"/>
        <w:gridCol w:w="2126"/>
        <w:gridCol w:w="1134"/>
        <w:gridCol w:w="1559"/>
        <w:gridCol w:w="1843"/>
        <w:gridCol w:w="1276"/>
      </w:tblGrid>
      <w:tr>
        <w:tblPrEx>
          <w:tblCellMar>
            <w:top w:w="0" w:type="dxa"/>
            <w:left w:w="108" w:type="dxa"/>
            <w:bottom w:w="0" w:type="dxa"/>
            <w:right w:w="108" w:type="dxa"/>
          </w:tblCellMar>
        </w:tblPrEx>
        <w:trPr>
          <w:trHeight w:val="567" w:hRule="atLeast"/>
          <w:tblHead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项目内容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支付金额</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（万元）</w:t>
            </w:r>
          </w:p>
        </w:tc>
        <w:tc>
          <w:tcPr>
            <w:tcW w:w="1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发票开</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具时间</w:t>
            </w:r>
          </w:p>
        </w:tc>
        <w:tc>
          <w:tcPr>
            <w:tcW w:w="18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合同约定最晚</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支付时间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实际支付时间</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金口河区第一次森林火灾风险普查服务费（第1笔）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4.9</w:t>
            </w:r>
          </w:p>
        </w:tc>
        <w:tc>
          <w:tcPr>
            <w:tcW w:w="1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未提供发票</w:t>
            </w:r>
          </w:p>
        </w:tc>
        <w:tc>
          <w:tcPr>
            <w:tcW w:w="18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2021.12.17</w:t>
            </w:r>
          </w:p>
        </w:tc>
      </w:tr>
      <w:tr>
        <w:tblPrEx>
          <w:tblCellMar>
            <w:top w:w="0" w:type="dxa"/>
            <w:left w:w="108" w:type="dxa"/>
            <w:bottom w:w="0" w:type="dxa"/>
            <w:right w:w="108" w:type="dxa"/>
          </w:tblCellMar>
        </w:tblPrEx>
        <w:trPr>
          <w:trHeight w:val="570" w:hRule="atLeast"/>
        </w:trPr>
        <w:tc>
          <w:tcPr>
            <w:tcW w:w="704" w:type="dxa"/>
            <w:vMerge w:val="restart"/>
            <w:tcBorders>
              <w:top w:val="single" w:color="000000" w:sz="4" w:space="0"/>
              <w:left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w:t>
            </w:r>
          </w:p>
        </w:tc>
        <w:tc>
          <w:tcPr>
            <w:tcW w:w="2126" w:type="dxa"/>
            <w:vMerge w:val="restart"/>
            <w:tcBorders>
              <w:top w:val="single" w:color="000000" w:sz="4" w:space="0"/>
              <w:left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金口河区第一次森林火灾风险普查服务费（第2笔）</w:t>
            </w:r>
          </w:p>
        </w:tc>
        <w:tc>
          <w:tcPr>
            <w:tcW w:w="1134" w:type="dxa"/>
            <w:tcBorders>
              <w:top w:val="single" w:color="000000" w:sz="4" w:space="0"/>
              <w:left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w:t>
            </w:r>
          </w:p>
        </w:tc>
        <w:tc>
          <w:tcPr>
            <w:tcW w:w="1559" w:type="dxa"/>
            <w:vMerge w:val="restart"/>
            <w:tcBorders>
              <w:top w:val="single" w:color="000000" w:sz="4" w:space="0"/>
              <w:left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2022.7.11</w:t>
            </w:r>
          </w:p>
        </w:tc>
        <w:tc>
          <w:tcPr>
            <w:tcW w:w="1843" w:type="dxa"/>
            <w:vMerge w:val="restart"/>
            <w:tcBorders>
              <w:top w:val="single" w:color="000000" w:sz="4" w:space="0"/>
              <w:left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ascii="仿宋" w:hAnsi="仿宋" w:eastAsia="仿宋" w:cs="仿宋"/>
                <w:bCs/>
                <w:sz w:val="24"/>
                <w:lang w:eastAsia="zh-CN"/>
              </w:rPr>
              <w:t>2022.7.29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2023.1.19</w:t>
            </w:r>
          </w:p>
        </w:tc>
      </w:tr>
      <w:tr>
        <w:tblPrEx>
          <w:tblCellMar>
            <w:top w:w="0" w:type="dxa"/>
            <w:left w:w="108" w:type="dxa"/>
            <w:bottom w:w="0" w:type="dxa"/>
            <w:right w:w="108" w:type="dxa"/>
          </w:tblCellMar>
        </w:tblPrEx>
        <w:trPr>
          <w:trHeight w:val="570" w:hRule="atLeast"/>
        </w:trPr>
        <w:tc>
          <w:tcPr>
            <w:tcW w:w="704"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2126"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134" w:type="dxa"/>
            <w:tcBorders>
              <w:top w:val="single" w:color="000000" w:sz="4" w:space="0"/>
              <w:left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19.2</w:t>
            </w:r>
          </w:p>
        </w:tc>
        <w:tc>
          <w:tcPr>
            <w:tcW w:w="1559"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843"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2024.2.8</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金口河区第一次森林火灾风险普查服务费（第3笔）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29.4</w:t>
            </w:r>
          </w:p>
        </w:tc>
        <w:tc>
          <w:tcPr>
            <w:tcW w:w="1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2022.10.24</w:t>
            </w:r>
          </w:p>
        </w:tc>
        <w:tc>
          <w:tcPr>
            <w:tcW w:w="18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2022.11.4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2024.2.8</w:t>
            </w:r>
          </w:p>
        </w:tc>
      </w:tr>
      <w:tr>
        <w:tblPrEx>
          <w:tblCellMar>
            <w:top w:w="0" w:type="dxa"/>
            <w:left w:w="108" w:type="dxa"/>
            <w:bottom w:w="0" w:type="dxa"/>
            <w:right w:w="108" w:type="dxa"/>
          </w:tblCellMar>
        </w:tblPrEx>
        <w:trPr>
          <w:trHeight w:val="56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金口河区第一次森林火灾风险普查服务费（第4笔）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24.5</w:t>
            </w:r>
          </w:p>
        </w:tc>
        <w:tc>
          <w:tcPr>
            <w:tcW w:w="1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2023.7.24</w:t>
            </w:r>
          </w:p>
        </w:tc>
        <w:tc>
          <w:tcPr>
            <w:tcW w:w="18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2023.8.4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2025.1.24</w:t>
            </w:r>
          </w:p>
        </w:tc>
      </w:tr>
      <w:tr>
        <w:tblPrEx>
          <w:tblCellMar>
            <w:top w:w="0" w:type="dxa"/>
            <w:left w:w="108" w:type="dxa"/>
            <w:bottom w:w="0" w:type="dxa"/>
            <w:right w:w="108" w:type="dxa"/>
          </w:tblCellMar>
        </w:tblPrEx>
        <w:trPr>
          <w:trHeight w:val="567" w:hRule="atLeast"/>
        </w:trPr>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r>
              <w:rPr>
                <w:rFonts w:hint="eastAsia" w:ascii="仿宋" w:hAnsi="仿宋" w:eastAsia="仿宋" w:cs="仿宋"/>
                <w:bCs/>
                <w:sz w:val="24"/>
                <w:lang w:eastAsia="zh-CN"/>
              </w:rPr>
              <w:t>98</w:t>
            </w:r>
          </w:p>
        </w:tc>
        <w:tc>
          <w:tcPr>
            <w:tcW w:w="1559"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仿宋" w:hAnsi="仿宋" w:eastAsia="仿宋" w:cs="仿宋"/>
                <w:bCs/>
                <w:sz w:val="24"/>
                <w:lang w:eastAsia="zh-CN"/>
              </w:rPr>
            </w:pPr>
          </w:p>
        </w:tc>
      </w:tr>
    </w:tbl>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根据《政府采购合同》约定，资金支付以合同签订或完成任务后由四川吉星林业规划设计有限公司提供合法有效的支付凭证后15个工作日内支付进度款。由上表可知，除第一笔资金因项目单位未提供发票外，其余三笔均未按合同约定时间付款。根据评分标准，总分6分，得3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szCs w:val="32"/>
          <w:lang w:eastAsia="zh-CN"/>
        </w:rPr>
      </w:pPr>
      <w:bookmarkStart w:id="195" w:name="_Toc30218"/>
      <w:r>
        <w:rPr>
          <w:rFonts w:hint="eastAsia" w:ascii="楷体" w:hAnsi="楷体" w:eastAsia="楷体" w:cs="楷体"/>
          <w:b w:val="0"/>
          <w:kern w:val="44"/>
          <w:szCs w:val="32"/>
          <w:lang w:eastAsia="zh-CN"/>
        </w:rPr>
        <w:t>（五）项目绩效目标明确性、合理性</w:t>
      </w:r>
      <w:bookmarkEnd w:id="195"/>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val="en-US" w:eastAsia="zh-CN"/>
        </w:rPr>
        <w:t>项目</w:t>
      </w:r>
      <w:r>
        <w:rPr>
          <w:rFonts w:hint="eastAsia" w:ascii="仿宋" w:hAnsi="仿宋" w:eastAsia="仿宋" w:cs="仿宋"/>
          <w:szCs w:val="32"/>
          <w:lang w:eastAsia="zh-CN"/>
        </w:rPr>
        <w:t>绩效目标</w:t>
      </w:r>
      <w:r>
        <w:rPr>
          <w:rFonts w:hint="eastAsia" w:ascii="仿宋" w:hAnsi="仿宋" w:eastAsia="仿宋" w:cs="仿宋"/>
          <w:szCs w:val="32"/>
          <w:lang w:val="en-US" w:eastAsia="zh-CN"/>
        </w:rPr>
        <w:t>明确性、</w:t>
      </w:r>
      <w:r>
        <w:rPr>
          <w:rFonts w:hint="eastAsia" w:ascii="仿宋" w:hAnsi="仿宋" w:eastAsia="仿宋" w:cs="仿宋"/>
          <w:szCs w:val="32"/>
          <w:lang w:eastAsia="zh-CN"/>
        </w:rPr>
        <w:t>合理性</w:t>
      </w:r>
      <w:bookmarkStart w:id="196" w:name="OLE_LINK6"/>
      <w:r>
        <w:rPr>
          <w:rFonts w:hint="eastAsia" w:ascii="仿宋" w:hAnsi="仿宋" w:eastAsia="仿宋" w:cs="仿宋"/>
          <w:szCs w:val="32"/>
          <w:lang w:eastAsia="zh-CN"/>
        </w:rPr>
        <w:t>方面，指标总分13分，评估得分13分。具体如下：</w:t>
      </w:r>
      <w:bookmarkEnd w:id="196"/>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1.绩效目标明确性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本次事前绩效评估根据《</w:t>
      </w:r>
      <w:r>
        <w:fldChar w:fldCharType="begin"/>
      </w:r>
      <w:r>
        <w:instrText xml:space="preserve"> HYPERLINK "https://www.chinawestagr.com/UpFile/ckeditor/tjcwc/2018/11/files/%E5%9B%9B%E5%B7%9D%E7%9C%81%E7%9C%81%E7%BA%A7%E9%A2%84%E7%AE%97%E4%BA%8B%E5%89%8D%E7%BB%A9%E6%95%88%E8%AF%84%E4%BC%B0%E7%AE%A1%E7%90%86%E6%9A%82%E8%A1%8C%E5%8A%9E%E6%B3%95.pdf" </w:instrText>
      </w:r>
      <w:r>
        <w:fldChar w:fldCharType="separate"/>
      </w:r>
      <w:r>
        <w:rPr>
          <w:rFonts w:hint="eastAsia" w:ascii="仿宋" w:hAnsi="仿宋" w:eastAsia="仿宋" w:cs="仿宋"/>
          <w:szCs w:val="32"/>
          <w:lang w:eastAsia="zh-CN"/>
        </w:rPr>
        <w:t>四川省财政厅关于印发&lt;四川省预算评审管理实施细则（试行）&gt;的通知》（川财预〔2024〕38号）</w:t>
      </w:r>
      <w:r>
        <w:rPr>
          <w:rFonts w:hint="eastAsia" w:ascii="仿宋" w:hAnsi="仿宋" w:eastAsia="仿宋" w:cs="仿宋"/>
          <w:szCs w:val="32"/>
          <w:lang w:eastAsia="zh-CN"/>
        </w:rPr>
        <w:fldChar w:fldCharType="end"/>
      </w:r>
      <w:r>
        <w:rPr>
          <w:rFonts w:hint="eastAsia" w:ascii="仿宋" w:hAnsi="仿宋" w:eastAsia="仿宋" w:cs="仿宋"/>
          <w:szCs w:val="32"/>
          <w:lang w:eastAsia="zh-CN"/>
        </w:rPr>
        <w:t>进行，按照事前评估应当遵守的基本内容设计本项目个性评价指标，确保绩效目标可评、可量、可用于指导项目实施阶段绩效评价。</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该项目绩效目标设定明确，与年度工作目标一致，并且绩效目标的编制内容符合《项目支出绩效评价管理办法》（财预〔2020〕1</w:t>
      </w:r>
      <w:r>
        <w:rPr>
          <w:rFonts w:hint="eastAsia" w:ascii="仿宋" w:hAnsi="仿宋" w:eastAsia="仿宋" w:cs="仿宋"/>
          <w:szCs w:val="32"/>
          <w:highlight w:val="none"/>
          <w:lang w:eastAsia="zh-CN"/>
        </w:rPr>
        <w:t>0号）</w:t>
      </w:r>
      <w:r>
        <w:rPr>
          <w:rFonts w:hint="eastAsia" w:ascii="仿宋" w:hAnsi="仿宋" w:eastAsia="仿宋" w:cs="仿宋"/>
          <w:szCs w:val="32"/>
          <w:lang w:eastAsia="zh-CN"/>
        </w:rPr>
        <w:t>政策规定，与项目内容高度相关。根据评分标准，总分7分，得7分。</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2.目标合理性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根据《</w:t>
      </w:r>
      <w:r>
        <w:fldChar w:fldCharType="begin"/>
      </w:r>
      <w:r>
        <w:instrText xml:space="preserve"> HYPERLINK "https://www.chinawestagr.com/UpFile/ckeditor/tjcwc/2018/11/files/%E5%9B%9B%E5%B7%9D%E7%9C%81%E7%9C%81%E7%BA%A7%E9%A2%84%E7%AE%97%E4%BA%8B%E5%89%8D%E7%BB%A9%E6%95%88%E8%AF%84%E4%BC%B0%E7%AE%A1%E7%90%86%E6%9A%82%E8%A1%8C%E5%8A%9E%E6%B3%95.pdf" </w:instrText>
      </w:r>
      <w:r>
        <w:fldChar w:fldCharType="separate"/>
      </w:r>
      <w:r>
        <w:rPr>
          <w:rFonts w:hint="eastAsia" w:ascii="仿宋" w:hAnsi="仿宋" w:eastAsia="仿宋" w:cs="仿宋"/>
          <w:szCs w:val="32"/>
          <w:lang w:eastAsia="zh-CN"/>
        </w:rPr>
        <w:t>四川省财政厅关于印发&lt;四川省预算评审管理实施细则（试行）&gt;的通知》（川财预〔2024〕38号）</w:t>
      </w:r>
      <w:r>
        <w:rPr>
          <w:rFonts w:hint="eastAsia" w:ascii="仿宋" w:hAnsi="仿宋" w:eastAsia="仿宋" w:cs="仿宋"/>
          <w:szCs w:val="32"/>
          <w:lang w:eastAsia="zh-CN"/>
        </w:rPr>
        <w:fldChar w:fldCharType="end"/>
      </w:r>
      <w:r>
        <w:rPr>
          <w:rFonts w:hint="eastAsia" w:ascii="仿宋" w:hAnsi="仿宋" w:eastAsia="仿宋" w:cs="仿宋"/>
          <w:szCs w:val="32"/>
          <w:lang w:eastAsia="zh-CN"/>
        </w:rPr>
        <w:t>，本项目绩效目标重点反映了森林火灾风险普查专项经费的产出数量、质量、时效、成本，还包括社会效益、可持续影响、满意度等绩效指标。</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通过项目的实施，有利于降低火灾对林业产业的影响，保障林业经济的稳定增长。减少森林火灾风险，可保护旅游资源，为游客提供安全的旅游环境，促进森林旅游等相关产业的健康发展。建立森林火灾风险普查数据库，形成风险评估与区划等成果。通过宣传森林火灾风险知识，提高公众对森林火灾危害的认识和防火意识，促进全社会形成共同参与森林火灾防控的良好氛围。</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因此，本项目的绩效目标合理，指标细化、量化、合理可考核且与申报预算的资金量相匹配。根据评分标准，总分6分，得6分。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197" w:name="_Toc22418"/>
      <w:r>
        <w:rPr>
          <w:rFonts w:hint="eastAsia" w:ascii="楷体" w:hAnsi="楷体" w:eastAsia="楷体" w:cs="楷体"/>
          <w:b w:val="0"/>
          <w:kern w:val="44"/>
          <w:szCs w:val="32"/>
          <w:lang w:eastAsia="zh-CN"/>
        </w:rPr>
        <w:t>（六）项目实施方案的有效性</w:t>
      </w:r>
      <w:bookmarkEnd w:id="197"/>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ascii="仿宋" w:hAnsi="仿宋" w:eastAsia="仿宋" w:cs="仿宋"/>
          <w:szCs w:val="32"/>
          <w:lang w:eastAsia="zh-CN"/>
        </w:rPr>
        <w:t>项目实施方案的有效性</w:t>
      </w:r>
      <w:r>
        <w:rPr>
          <w:rFonts w:hint="eastAsia" w:ascii="仿宋" w:hAnsi="仿宋" w:eastAsia="仿宋" w:cs="仿宋"/>
          <w:szCs w:val="32"/>
          <w:lang w:eastAsia="zh-CN"/>
        </w:rPr>
        <w:t>方面，指标总分8分，评估得分8分。具体如下：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2021年12月2日金口河区自然资源局向四川省第一次森林和草原火灾风险普查工作领导小组办公室提交《乐山市金口河区自然资源局关于审定&lt;乐山市金口河区第一次森林火灾风险普查实施方案&gt;的请示》(金自然资〔2021〕196号)，2021年12月6日省林草局火灾普查办给予通过批复。</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在项目实施过程中，金口河区自然资源局严格按照实施方案对四川吉星林业规划设计有限公司的工作开展监督检查，以保障工作按时完成。根据评分标准，总分8分，得8分。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198" w:name="_Toc22324"/>
      <w:r>
        <w:rPr>
          <w:rFonts w:hint="eastAsia" w:ascii="楷体" w:hAnsi="楷体" w:eastAsia="楷体" w:cs="楷体"/>
          <w:b w:val="0"/>
          <w:kern w:val="44"/>
          <w:szCs w:val="32"/>
          <w:lang w:eastAsia="zh-CN"/>
        </w:rPr>
        <w:t>（七）项目实施成果合格性</w:t>
      </w:r>
      <w:bookmarkEnd w:id="198"/>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ascii="仿宋" w:hAnsi="仿宋" w:eastAsia="仿宋" w:cs="仿宋"/>
          <w:szCs w:val="32"/>
          <w:lang w:eastAsia="zh-CN"/>
        </w:rPr>
        <w:t>项目</w:t>
      </w:r>
      <w:r>
        <w:rPr>
          <w:rFonts w:hint="eastAsia" w:ascii="仿宋" w:hAnsi="仿宋" w:eastAsia="仿宋" w:cs="仿宋"/>
          <w:szCs w:val="32"/>
          <w:lang w:eastAsia="zh-CN"/>
        </w:rPr>
        <w:t>实施成果合格</w:t>
      </w:r>
      <w:r>
        <w:rPr>
          <w:rFonts w:hint="eastAsia" w:ascii="仿宋" w:hAnsi="仿宋" w:eastAsia="仿宋" w:cs="仿宋"/>
          <w:szCs w:val="32"/>
          <w:lang w:val="en-US" w:eastAsia="zh-CN"/>
        </w:rPr>
        <w:t>性</w:t>
      </w:r>
      <w:r>
        <w:rPr>
          <w:rFonts w:hint="eastAsia" w:ascii="仿宋" w:hAnsi="仿宋" w:eastAsia="仿宋" w:cs="仿宋"/>
          <w:szCs w:val="32"/>
          <w:lang w:eastAsia="zh-CN"/>
        </w:rPr>
        <w:t>方面，指标总分9分，评估得分4分。具体如下：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1.服务期限合格性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bCs/>
          <w:szCs w:val="32"/>
          <w:lang w:eastAsia="zh-CN"/>
        </w:rPr>
        <w:t>《政府采购合同》约定的服务期限为：2021年12月31日前完成外业调查，通过质检验收；2022年6月31日前完成全区评估与区划，提交各项普查成果资料，并通过验收。2022年12月10日前完成全区火灾普查成果汇总、编制和上报。</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实际完成限期为：</w:t>
      </w:r>
      <w:bookmarkStart w:id="199" w:name="OLE_LINK7"/>
      <w:r>
        <w:rPr>
          <w:rFonts w:hint="eastAsia" w:ascii="仿宋" w:hAnsi="仿宋" w:eastAsia="仿宋" w:cs="仿宋"/>
          <w:szCs w:val="32"/>
          <w:lang w:eastAsia="zh-CN"/>
        </w:rPr>
        <w:t>2022年3月15日前，完成外业调查；2022年3月17日通过省级质量检查。2022年9月27日评估与区划成果数据通过省级评审。2022年11月30日通过四川省第一次森林和草原火灾风险普查工作领导小组办公室质量审核，普查工作全面完成。</w:t>
      </w:r>
      <w:bookmarkEnd w:id="199"/>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综上，外业调查、评估与区划成果两项工作未在合同规定期限内完成。</w:t>
      </w:r>
      <w:bookmarkStart w:id="200" w:name="OLE_LINK8"/>
      <w:r>
        <w:rPr>
          <w:rFonts w:hint="eastAsia" w:ascii="仿宋" w:hAnsi="仿宋" w:eastAsia="仿宋" w:cs="仿宋"/>
          <w:szCs w:val="32"/>
          <w:lang w:eastAsia="zh-CN"/>
        </w:rPr>
        <w:t>根据评分标准，总分3分，得1分。</w:t>
      </w:r>
      <w:bookmarkEnd w:id="200"/>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2.服务质量合格性</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2022年3月17日外业调查通过省级质量检查；2022年9月27日评估与区划成果数据通过省级评审。2022年11月30日通过四川省第一次森林和草原火灾风险普查工作领导小组办公室质量审核，普查工作全面完成。</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外业调查、评估与区划成果审核报告评定均为“良”。其中评估与区划成果的审查意见中，提出了待完善建议。在项目单位提供的资料中，未</w:t>
      </w:r>
      <w:r>
        <w:rPr>
          <w:rFonts w:hint="eastAsia" w:ascii="仿宋" w:hAnsi="仿宋" w:eastAsia="仿宋" w:cs="仿宋"/>
          <w:szCs w:val="32"/>
          <w:lang w:val="en-US" w:eastAsia="zh-CN"/>
        </w:rPr>
        <w:t>提供</w:t>
      </w:r>
      <w:r>
        <w:rPr>
          <w:rFonts w:hint="eastAsia" w:ascii="仿宋" w:hAnsi="仿宋" w:eastAsia="仿宋" w:cs="仿宋"/>
          <w:szCs w:val="32"/>
          <w:lang w:eastAsia="zh-CN"/>
        </w:rPr>
        <w:t>完善建议</w:t>
      </w:r>
      <w:r>
        <w:rPr>
          <w:rFonts w:hint="eastAsia" w:ascii="仿宋" w:hAnsi="仿宋" w:eastAsia="仿宋" w:cs="仿宋"/>
          <w:szCs w:val="32"/>
          <w:lang w:val="en-US" w:eastAsia="zh-CN"/>
        </w:rPr>
        <w:t>内容</w:t>
      </w:r>
      <w:r>
        <w:rPr>
          <w:rFonts w:hint="eastAsia" w:ascii="仿宋" w:hAnsi="仿宋" w:eastAsia="仿宋" w:cs="仿宋"/>
          <w:szCs w:val="32"/>
          <w:lang w:eastAsia="zh-CN"/>
        </w:rPr>
        <w:t>的</w:t>
      </w:r>
      <w:r>
        <w:rPr>
          <w:rFonts w:hint="eastAsia" w:ascii="仿宋" w:hAnsi="仿宋" w:eastAsia="仿宋" w:cs="仿宋"/>
          <w:szCs w:val="32"/>
          <w:lang w:val="en-US" w:eastAsia="zh-CN"/>
        </w:rPr>
        <w:t>后续档案</w:t>
      </w:r>
      <w:r>
        <w:rPr>
          <w:rFonts w:hint="eastAsia" w:ascii="仿宋" w:hAnsi="仿宋" w:eastAsia="仿宋" w:cs="仿宋"/>
          <w:szCs w:val="32"/>
          <w:lang w:eastAsia="zh-CN"/>
        </w:rPr>
        <w:t>资料。根据评分标准，总分6分，得3分。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201" w:name="_Toc26124"/>
      <w:r>
        <w:rPr>
          <w:rFonts w:hint="eastAsia" w:ascii="楷体" w:hAnsi="楷体" w:eastAsia="楷体" w:cs="楷体"/>
          <w:b w:val="0"/>
          <w:kern w:val="44"/>
          <w:szCs w:val="32"/>
          <w:lang w:eastAsia="zh-CN"/>
        </w:rPr>
        <w:t>（八）项目实施的可持续性</w:t>
      </w:r>
      <w:bookmarkEnd w:id="201"/>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lang w:eastAsia="zh-CN"/>
        </w:rPr>
      </w:pPr>
      <w:r>
        <w:rPr>
          <w:rFonts w:hint="eastAsia" w:ascii="仿宋" w:hAnsi="仿宋" w:eastAsia="仿宋" w:cs="仿宋"/>
          <w:szCs w:val="32"/>
          <w:lang w:eastAsia="zh-CN"/>
        </w:rPr>
        <w:t>项目实施的可持续性方面，指标总分12分，评估得分12分。具体如下：</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从国家到地方，各级政府都高度重视森林防火工作，出台了一系列政策法规，要求定期开展森林火灾风险普查。森林火灾风险普查所获取的数据，对于森林防火规划、预防措施制定等意义重大。随着森林资源动态变化、气候变化等因素影响，数据需要不断更新以保证其时效性和准确性，这就促使普查项目持续开展。随着科技的不断发展，无人机、卫星遥感、物联网等先进技术在森林火灾风险普查中得到广泛应用。随着人们对生态环境的重视和森林资源保护意识的提高，社会对森林火灾预防和应急管理的需求也日益增强。</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森林火灾风险普查作为森林防火工作的重要基础，其成果能够为社会提供科学的决策依据，保障人民生命财产安全和生态环境稳定，因此项目的实施具有持续的社会需求。根据评分标准，总分12分，得12分。</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楷体" w:hAnsi="楷体" w:eastAsia="楷体" w:cs="楷体"/>
          <w:b w:val="0"/>
          <w:kern w:val="44"/>
          <w:szCs w:val="32"/>
          <w:lang w:eastAsia="zh-CN"/>
        </w:rPr>
      </w:pPr>
      <w:bookmarkStart w:id="202" w:name="_Toc24831"/>
      <w:r>
        <w:rPr>
          <w:rFonts w:hint="eastAsia" w:ascii="楷体" w:hAnsi="楷体" w:eastAsia="楷体" w:cs="楷体"/>
          <w:b w:val="0"/>
          <w:kern w:val="44"/>
          <w:szCs w:val="32"/>
          <w:lang w:eastAsia="zh-CN"/>
        </w:rPr>
        <w:t>（九）总体结论</w:t>
      </w:r>
      <w:bookmarkEnd w:id="202"/>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ascii="仿宋" w:hAnsi="仿宋" w:eastAsia="仿宋" w:cs="仿宋"/>
          <w:szCs w:val="32"/>
          <w:lang w:eastAsia="zh-CN"/>
        </w:rPr>
        <w:t>评估小组通过对前述</w:t>
      </w:r>
      <w:r>
        <w:rPr>
          <w:rFonts w:hint="eastAsia" w:ascii="仿宋" w:hAnsi="仿宋" w:eastAsia="仿宋" w:cs="仿宋"/>
          <w:szCs w:val="32"/>
          <w:lang w:eastAsia="zh-CN"/>
        </w:rPr>
        <w:t>8</w:t>
      </w:r>
      <w:r>
        <w:rPr>
          <w:rFonts w:ascii="仿宋" w:hAnsi="仿宋" w:eastAsia="仿宋" w:cs="仿宋"/>
          <w:szCs w:val="32"/>
          <w:lang w:eastAsia="zh-CN"/>
        </w:rPr>
        <w:t>个一级指标、15个二级指标以及3</w:t>
      </w:r>
      <w:r>
        <w:rPr>
          <w:rFonts w:hint="eastAsia" w:ascii="仿宋" w:hAnsi="仿宋" w:eastAsia="仿宋" w:cs="仿宋"/>
          <w:szCs w:val="32"/>
          <w:lang w:eastAsia="zh-CN"/>
        </w:rPr>
        <w:t>0</w:t>
      </w:r>
      <w:r>
        <w:rPr>
          <w:rFonts w:ascii="仿宋" w:hAnsi="仿宋" w:eastAsia="仿宋" w:cs="仿宋"/>
          <w:szCs w:val="32"/>
          <w:lang w:eastAsia="zh-CN"/>
        </w:rPr>
        <w:t>个三级指标评分的分析评估，全面评估该项目的预期绩效情况，评估总分</w:t>
      </w:r>
      <w:r>
        <w:rPr>
          <w:rFonts w:hint="eastAsia" w:ascii="仿宋" w:hAnsi="仿宋" w:eastAsia="仿宋" w:cs="仿宋"/>
          <w:szCs w:val="32"/>
          <w:lang w:eastAsia="zh-CN"/>
        </w:rPr>
        <w:t>92</w:t>
      </w:r>
      <w:r>
        <w:rPr>
          <w:rFonts w:ascii="仿宋" w:hAnsi="仿宋" w:eastAsia="仿宋" w:cs="仿宋"/>
          <w:szCs w:val="32"/>
          <w:lang w:eastAsia="zh-CN"/>
        </w:rPr>
        <w:t>分。</w:t>
      </w:r>
      <w:r>
        <w:rPr>
          <w:rFonts w:hint="eastAsia" w:ascii="仿宋" w:hAnsi="仿宋" w:eastAsia="仿宋" w:cs="仿宋"/>
          <w:szCs w:val="32"/>
          <w:lang w:eastAsia="zh-CN"/>
        </w:rPr>
        <w:t>全国自然灾害综合风险普查是一项重大的国情国力调查，是提升自然灾害防治能力的基础性工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r>
        <w:rPr>
          <w:rFonts w:ascii="仿宋" w:hAnsi="仿宋" w:eastAsia="仿宋" w:cs="仿宋"/>
          <w:szCs w:val="32"/>
          <w:lang w:eastAsia="zh-CN"/>
        </w:rPr>
        <w:t>本项目通过社会调查、效益分析、对比分析等方法评估，综合考虑项目绩效目标和项目实际情况，预期绩效可实现性强，满足</w:t>
      </w:r>
      <w:r>
        <w:rPr>
          <w:rFonts w:hint="eastAsia" w:ascii="仿宋" w:hAnsi="仿宋" w:eastAsia="仿宋" w:cs="仿宋"/>
          <w:szCs w:val="32"/>
          <w:lang w:eastAsia="zh-CN"/>
        </w:rPr>
        <w:t>《</w:t>
      </w:r>
      <w:r>
        <w:fldChar w:fldCharType="begin"/>
      </w:r>
      <w:r>
        <w:instrText xml:space="preserve"> HYPERLINK "https://www.chinawestagr.com/UpFile/ckeditor/tjcwc/2018/11/files/%E5%9B%9B%E5%B7%9D%E7%9C%81%E7%9C%81%E7%BA%A7%E9%A2%84%E7%AE%97%E4%BA%8B%E5%89%8D%E7%BB%A9%E6%95%88%E8%AF%84%E4%BC%B0%E7%AE%A1%E7%90%86%E6%9A%82%E8%A1%8C%E5%8A%9E%E6%B3%95.pdf" </w:instrText>
      </w:r>
      <w:r>
        <w:fldChar w:fldCharType="separate"/>
      </w:r>
      <w:r>
        <w:rPr>
          <w:rFonts w:hint="eastAsia" w:ascii="仿宋" w:hAnsi="仿宋" w:eastAsia="仿宋" w:cs="仿宋"/>
          <w:szCs w:val="32"/>
          <w:lang w:eastAsia="zh-CN"/>
        </w:rPr>
        <w:t>四川省财政厅关于印发&lt;四川省预算评审管理实施细则（试行）&gt;的通知》（川财预〔2024〕38号）</w:t>
      </w:r>
      <w:r>
        <w:rPr>
          <w:rFonts w:hint="eastAsia" w:ascii="仿宋" w:hAnsi="仿宋" w:eastAsia="仿宋" w:cs="仿宋"/>
          <w:szCs w:val="32"/>
          <w:lang w:eastAsia="zh-CN"/>
        </w:rPr>
        <w:fldChar w:fldCharType="end"/>
      </w:r>
      <w:r>
        <w:rPr>
          <w:rFonts w:ascii="仿宋" w:hAnsi="仿宋" w:eastAsia="仿宋" w:cs="仿宋"/>
          <w:szCs w:val="32"/>
          <w:lang w:eastAsia="zh-CN"/>
        </w:rPr>
        <w:t>要求</w:t>
      </w:r>
      <w:r>
        <w:rPr>
          <w:rFonts w:hint="eastAsia" w:ascii="仿宋" w:hAnsi="仿宋" w:eastAsia="仿宋" w:cs="仿宋"/>
          <w:szCs w:val="32"/>
          <w:lang w:eastAsia="zh-CN"/>
        </w:rPr>
        <w:t>，</w:t>
      </w:r>
      <w:r>
        <w:rPr>
          <w:rFonts w:ascii="仿宋" w:hAnsi="仿宋" w:eastAsia="仿宋" w:cs="仿宋"/>
          <w:szCs w:val="32"/>
          <w:lang w:eastAsia="zh-CN"/>
        </w:rPr>
        <w:t>综合绩效评估结论为“</w:t>
      </w:r>
      <w:r>
        <w:rPr>
          <w:rFonts w:hint="eastAsia" w:ascii="仿宋" w:hAnsi="仿宋" w:eastAsia="仿宋" w:cs="仿宋"/>
          <w:szCs w:val="32"/>
          <w:lang w:eastAsia="zh-CN"/>
        </w:rPr>
        <w:t>建议</w:t>
      </w:r>
      <w:r>
        <w:rPr>
          <w:rFonts w:ascii="仿宋" w:hAnsi="仿宋" w:eastAsia="仿宋" w:cs="仿宋"/>
          <w:szCs w:val="32"/>
          <w:lang w:eastAsia="zh-CN"/>
        </w:rPr>
        <w:t>实施”。</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b w:val="0"/>
          <w:szCs w:val="32"/>
          <w:lang w:eastAsia="zh-CN"/>
        </w:rPr>
      </w:pPr>
      <w:bookmarkStart w:id="203" w:name="_Toc18341"/>
      <w:r>
        <w:rPr>
          <w:rFonts w:hint="eastAsia" w:ascii="黑体" w:hAnsi="黑体" w:eastAsia="黑体" w:cs="黑体"/>
          <w:b w:val="0"/>
          <w:szCs w:val="32"/>
          <w:lang w:eastAsia="zh-CN"/>
        </w:rPr>
        <w:t>五、相关建议</w:t>
      </w:r>
      <w:bookmarkEnd w:id="203"/>
    </w:p>
    <w:p>
      <w:pPr>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default"/>
          <w:b w:val="0"/>
          <w:bCs/>
          <w:lang w:val="en-US" w:eastAsia="zh-CN"/>
        </w:rPr>
      </w:pPr>
      <w:bookmarkStart w:id="204" w:name="_Toc25444"/>
      <w:r>
        <w:rPr>
          <w:b w:val="0"/>
          <w:bCs/>
          <w:lang w:eastAsia="zh-CN"/>
        </w:rPr>
        <w:t>(一)</w:t>
      </w:r>
      <w:r>
        <w:rPr>
          <w:rFonts w:hint="eastAsia"/>
          <w:b w:val="0"/>
          <w:bCs/>
          <w:lang w:val="en-US" w:eastAsia="zh-CN"/>
        </w:rPr>
        <w:t>未</w:t>
      </w:r>
      <w:r>
        <w:rPr>
          <w:rFonts w:hint="eastAsia"/>
          <w:b w:val="0"/>
          <w:bCs/>
          <w:lang w:eastAsia="zh-CN"/>
        </w:rPr>
        <w:t>按照</w:t>
      </w:r>
      <w:r>
        <w:rPr>
          <w:rFonts w:hint="eastAsia"/>
          <w:b w:val="0"/>
          <w:bCs/>
          <w:lang w:val="en-US" w:eastAsia="zh-CN"/>
        </w:rPr>
        <w:t>合同约定</w:t>
      </w:r>
      <w:r>
        <w:rPr>
          <w:rFonts w:hint="eastAsia"/>
          <w:b w:val="0"/>
          <w:bCs/>
          <w:lang w:eastAsia="zh-CN"/>
        </w:rPr>
        <w:t>完成工作进度</w:t>
      </w:r>
      <w:r>
        <w:rPr>
          <w:rFonts w:hint="eastAsia"/>
          <w:b w:val="0"/>
          <w:bCs/>
          <w:lang w:val="en-US" w:eastAsia="zh-CN"/>
        </w:rPr>
        <w:t>及支付经费</w:t>
      </w:r>
      <w:bookmarkEnd w:id="204"/>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highlight w:val="none"/>
          <w:lang w:eastAsia="zh-CN"/>
        </w:rPr>
      </w:pPr>
      <w:r>
        <w:rPr>
          <w:rFonts w:hint="eastAsia" w:ascii="仿宋" w:hAnsi="仿宋" w:eastAsia="仿宋" w:cs="仿宋"/>
          <w:szCs w:val="32"/>
          <w:lang w:eastAsia="zh-CN"/>
        </w:rPr>
        <w:t>对照合同条款，结合实际情况，确定双方各自应承担的责任比例，分析是一方还是双方的原因导致进度延误。</w:t>
      </w:r>
      <w:r>
        <w:rPr>
          <w:rFonts w:hint="eastAsia" w:ascii="仿宋" w:hAnsi="仿宋" w:eastAsia="仿宋" w:cs="仿宋"/>
          <w:szCs w:val="32"/>
          <w:lang w:val="en-US" w:eastAsia="zh-CN"/>
        </w:rPr>
        <w:t>合同双方应充分沟通，</w:t>
      </w:r>
      <w:r>
        <w:rPr>
          <w:rFonts w:hint="eastAsia" w:ascii="仿宋" w:hAnsi="仿宋" w:eastAsia="仿宋" w:cs="仿宋"/>
          <w:szCs w:val="32"/>
          <w:lang w:eastAsia="zh-CN"/>
        </w:rPr>
        <w:t>梳理</w:t>
      </w:r>
      <w:r>
        <w:rPr>
          <w:rFonts w:hint="eastAsia" w:ascii="仿宋" w:hAnsi="仿宋" w:eastAsia="仿宋" w:cs="仿宋"/>
          <w:szCs w:val="32"/>
          <w:lang w:val="en-US" w:eastAsia="zh-CN"/>
        </w:rPr>
        <w:t>及时</w:t>
      </w:r>
      <w:r>
        <w:rPr>
          <w:rFonts w:hint="eastAsia" w:ascii="仿宋" w:hAnsi="仿宋" w:eastAsia="仿宋" w:cs="仿宋"/>
          <w:szCs w:val="32"/>
          <w:lang w:eastAsia="zh-CN"/>
        </w:rPr>
        <w:t>未完成进度的具体工作、原因及责任人，明确自身存在的问题和可改进的方向。可调整工作分配或重新制定工作步骤，将调整后的计划以补充协议的形式固定下来，明确双方的权利和义务，确保具有法律效力。双方共同建立监督小组或指定专人负责，定期检查工作进度，及时发现问题并督促整改。完善文档管理工作，对工作成果、沟通记录、变更事项等进行详细记录和归档，为后续的评估和纠纷处理提供依据</w:t>
      </w:r>
      <w:r>
        <w:rPr>
          <w:rFonts w:hint="eastAsia" w:ascii="仿宋" w:hAnsi="仿宋" w:eastAsia="仿宋" w:cs="仿宋"/>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加</w:t>
      </w:r>
      <w:r>
        <w:rPr>
          <w:rFonts w:hint="eastAsia" w:ascii="仿宋" w:hAnsi="仿宋" w:eastAsia="仿宋" w:cs="仿宋"/>
          <w:szCs w:val="32"/>
          <w:lang w:eastAsia="zh-CN"/>
        </w:rPr>
        <w:t>强预算管理，协助财政部门做好项目预算编制和管理工作，确保项目经费预算合理、足额，并与财政资金安排相衔接。推动建立健全财政资金支付的监督机制，加强对财政资金使用和支付情况的监督检查，及时发现和解决问题</w:t>
      </w:r>
      <w:r>
        <w:rPr>
          <w:rFonts w:hint="eastAsia" w:ascii="仿宋" w:hAnsi="仿宋" w:eastAsia="仿宋" w:cs="仿宋"/>
          <w:szCs w:val="32"/>
          <w:highlight w:val="none"/>
          <w:lang w:eastAsia="zh-CN"/>
        </w:rPr>
        <w:t>。</w:t>
      </w:r>
    </w:p>
    <w:p>
      <w:pPr>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b w:val="0"/>
          <w:bCs/>
          <w:lang w:eastAsia="zh-CN"/>
        </w:rPr>
      </w:pPr>
      <w:bookmarkStart w:id="205" w:name="_Toc24195"/>
      <w:r>
        <w:rPr>
          <w:rFonts w:hint="eastAsia" w:ascii="楷体" w:hAnsi="楷体" w:eastAsia="楷体" w:cs="楷体"/>
          <w:b w:val="0"/>
          <w:bCs/>
          <w:lang w:eastAsia="zh-CN"/>
        </w:rPr>
        <w:t>(二)</w:t>
      </w:r>
      <w:r>
        <w:rPr>
          <w:rFonts w:hint="eastAsia" w:ascii="楷体" w:hAnsi="楷体" w:eastAsia="楷体" w:cs="楷体"/>
          <w:b w:val="0"/>
          <w:bCs/>
          <w:lang w:val="en-US" w:eastAsia="zh-CN"/>
        </w:rPr>
        <w:t>未提供</w:t>
      </w:r>
      <w:r>
        <w:rPr>
          <w:rFonts w:hint="eastAsia" w:ascii="楷体" w:hAnsi="楷体" w:eastAsia="楷体" w:cs="楷体"/>
          <w:b w:val="0"/>
          <w:bCs/>
          <w:lang w:eastAsia="zh-CN"/>
        </w:rPr>
        <w:t>完善建议</w:t>
      </w:r>
      <w:r>
        <w:rPr>
          <w:rFonts w:hint="eastAsia" w:ascii="楷体" w:hAnsi="楷体" w:eastAsia="楷体" w:cs="楷体"/>
          <w:b w:val="0"/>
          <w:bCs/>
          <w:lang w:val="en-US" w:eastAsia="zh-CN"/>
        </w:rPr>
        <w:t>内容</w:t>
      </w:r>
      <w:r>
        <w:rPr>
          <w:rFonts w:hint="eastAsia" w:ascii="楷体" w:hAnsi="楷体" w:eastAsia="楷体" w:cs="楷体"/>
          <w:b w:val="0"/>
          <w:bCs/>
          <w:lang w:eastAsia="zh-CN"/>
        </w:rPr>
        <w:t>的</w:t>
      </w:r>
      <w:r>
        <w:rPr>
          <w:rFonts w:hint="eastAsia" w:ascii="楷体" w:hAnsi="楷体" w:eastAsia="楷体" w:cs="楷体"/>
          <w:b w:val="0"/>
          <w:bCs/>
          <w:lang w:val="en-US" w:eastAsia="zh-CN"/>
        </w:rPr>
        <w:t>后续档案</w:t>
      </w:r>
      <w:r>
        <w:rPr>
          <w:rFonts w:hint="eastAsia" w:ascii="楷体" w:hAnsi="楷体" w:eastAsia="楷体" w:cs="楷体"/>
          <w:b w:val="0"/>
          <w:bCs/>
          <w:lang w:eastAsia="zh-CN"/>
        </w:rPr>
        <w:t>资料</w:t>
      </w:r>
      <w:bookmarkEnd w:id="205"/>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应根据</w:t>
      </w:r>
      <w:r>
        <w:rPr>
          <w:rFonts w:hint="eastAsia" w:ascii="仿宋" w:hAnsi="仿宋" w:eastAsia="仿宋" w:cs="仿宋"/>
          <w:szCs w:val="32"/>
          <w:lang w:eastAsia="zh-CN"/>
        </w:rPr>
        <w:t>评估与区划成果的审查意见提出</w:t>
      </w:r>
      <w:r>
        <w:rPr>
          <w:rFonts w:hint="eastAsia" w:ascii="仿宋" w:hAnsi="仿宋" w:eastAsia="仿宋" w:cs="仿宋"/>
          <w:szCs w:val="32"/>
          <w:lang w:val="en-US" w:eastAsia="zh-CN"/>
        </w:rPr>
        <w:t>的</w:t>
      </w:r>
      <w:r>
        <w:rPr>
          <w:rFonts w:hint="eastAsia" w:ascii="仿宋" w:hAnsi="仿宋" w:eastAsia="仿宋" w:cs="仿宋"/>
          <w:szCs w:val="32"/>
          <w:lang w:eastAsia="zh-CN"/>
        </w:rPr>
        <w:t>待完善建议</w:t>
      </w:r>
      <w:r>
        <w:rPr>
          <w:rFonts w:hint="eastAsia" w:ascii="仿宋" w:hAnsi="仿宋" w:eastAsia="仿宋" w:cs="仿宋"/>
          <w:szCs w:val="32"/>
          <w:lang w:val="en-US" w:eastAsia="zh-CN"/>
        </w:rPr>
        <w:t>内容，双方充分沟通，</w:t>
      </w:r>
      <w:r>
        <w:rPr>
          <w:rFonts w:hint="eastAsia" w:ascii="仿宋" w:hAnsi="仿宋" w:eastAsia="仿宋" w:cs="仿宋"/>
          <w:szCs w:val="32"/>
          <w:lang w:eastAsia="zh-CN"/>
        </w:rPr>
        <w:t>弄清楚档案资料需要达到什么样的完善程度，明确各个环节的责任人和时间节点，</w:t>
      </w:r>
      <w:r>
        <w:rPr>
          <w:rFonts w:hint="eastAsia" w:ascii="仿宋" w:hAnsi="仿宋" w:eastAsia="仿宋" w:cs="仿宋"/>
          <w:szCs w:val="32"/>
          <w:lang w:val="en-US" w:eastAsia="zh-CN"/>
        </w:rPr>
        <w:t>对沟通记录、完善事项、责任人等进行详细记录和归档。</w:t>
      </w:r>
    </w:p>
    <w:p>
      <w:pPr>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b w:val="0"/>
          <w:szCs w:val="32"/>
          <w:lang w:eastAsia="zh-CN"/>
        </w:rPr>
      </w:pPr>
      <w:bookmarkStart w:id="206" w:name="_Toc2492"/>
      <w:r>
        <w:rPr>
          <w:rFonts w:hint="eastAsia" w:ascii="黑体" w:hAnsi="黑体" w:eastAsia="黑体" w:cs="黑体"/>
          <w:b w:val="0"/>
          <w:szCs w:val="32"/>
          <w:lang w:eastAsia="zh-CN"/>
        </w:rPr>
        <w:t>六、其他需要说明的问题</w:t>
      </w:r>
      <w:bookmarkEnd w:id="206"/>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Cs w:val="32"/>
          <w:lang w:eastAsia="zh-CN"/>
        </w:rPr>
      </w:pPr>
      <w:r>
        <w:rPr>
          <w:rFonts w:ascii="仿宋" w:hAnsi="仿宋" w:eastAsia="仿宋" w:cs="仿宋"/>
          <w:szCs w:val="32"/>
          <w:lang w:eastAsia="zh-CN"/>
        </w:rPr>
        <w:t>本报告是评价机构根据对项目主管单位所提供的材料进行全面分析与评估，结合现场考察情况，在</w:t>
      </w:r>
      <w:r>
        <w:rPr>
          <w:rFonts w:hint="eastAsia" w:ascii="仿宋" w:hAnsi="仿宋" w:eastAsia="仿宋" w:cs="仿宋"/>
          <w:szCs w:val="32"/>
          <w:lang w:val="en-US" w:eastAsia="zh-CN"/>
        </w:rPr>
        <w:t>评价人员</w:t>
      </w:r>
      <w:r>
        <w:rPr>
          <w:rFonts w:ascii="仿宋" w:hAnsi="仿宋" w:eastAsia="仿宋" w:cs="仿宋"/>
          <w:szCs w:val="32"/>
          <w:lang w:eastAsia="zh-CN"/>
        </w:rPr>
        <w:t>评价意见的基础上综合形成</w:t>
      </w:r>
      <w:r>
        <w:rPr>
          <w:rFonts w:hint="eastAsia" w:ascii="仿宋" w:hAnsi="仿宋" w:eastAsia="仿宋" w:cs="仿宋"/>
          <w:szCs w:val="32"/>
          <w:lang w:val="en-US" w:eastAsia="zh-CN"/>
        </w:rPr>
        <w:t>的</w:t>
      </w:r>
      <w:r>
        <w:rPr>
          <w:rFonts w:ascii="仿宋" w:hAnsi="仿宋" w:eastAsia="仿宋" w:cs="仿宋"/>
          <w:szCs w:val="32"/>
          <w:lang w:eastAsia="zh-CN"/>
        </w:rPr>
        <w:t>。报告重点针对项目20</w:t>
      </w:r>
      <w:r>
        <w:rPr>
          <w:rFonts w:hint="eastAsia" w:ascii="仿宋" w:hAnsi="仿宋" w:eastAsia="仿宋" w:cs="仿宋"/>
          <w:szCs w:val="32"/>
          <w:lang w:eastAsia="zh-CN"/>
        </w:rPr>
        <w:t>25</w:t>
      </w:r>
      <w:r>
        <w:rPr>
          <w:rFonts w:ascii="仿宋" w:hAnsi="仿宋" w:eastAsia="仿宋" w:cs="仿宋"/>
          <w:szCs w:val="32"/>
          <w:lang w:eastAsia="zh-CN"/>
        </w:rPr>
        <w:t>年的预算申报进行评估。本报告的结论与意见是参考性的，仅供财政部门批复预算时使用，不做其他用途。</w:t>
      </w:r>
    </w:p>
    <w:sectPr>
      <w:headerReference r:id="rId17" w:type="default"/>
      <w:footerReference r:id="rId18" w:type="default"/>
      <w:pgSz w:w="11906" w:h="16838"/>
      <w:pgMar w:top="837" w:right="1687" w:bottom="1421" w:left="1686" w:header="0" w:footer="559" w:gutter="0"/>
      <w:pgNumType w:fmt="decimal" w:start="1"/>
      <w:cols w:equalWidth="0" w:num="1">
        <w:col w:w="8533"/>
      </w:cols>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94CF690-AF8A-45AC-8AC4-D410929C606F}"/>
  </w:font>
  <w:font w:name="黑体">
    <w:panose1 w:val="02010609060101010101"/>
    <w:charset w:val="86"/>
    <w:family w:val="auto"/>
    <w:pitch w:val="default"/>
    <w:sig w:usb0="800002BF" w:usb1="38CF7CFA" w:usb2="00000016" w:usb3="00000000" w:csb0="00040001" w:csb1="00000000"/>
    <w:embedRegular r:id="rId2" w:fontKey="{F0E958FB-E5C4-4C35-ACCF-17CCB33911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8CA4F45-68A7-4FA2-8B62-3E0926EF9336}"/>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24649514-7F33-44E8-AEED-5EB1E1A6AD83}"/>
  </w:font>
  <w:font w:name="DejaVu Sans">
    <w:altName w:val="Courier New"/>
    <w:panose1 w:val="00000000000000000000"/>
    <w:charset w:val="00"/>
    <w:family w:val="roman"/>
    <w:pitch w:val="default"/>
    <w:sig w:usb0="00000000" w:usb1="00000000" w:usb2="00000008" w:usb3="00000000" w:csb0="000001FF" w:csb1="00000000"/>
  </w:font>
  <w:font w:name="方正小标宋">
    <w:altName w:val="宋体"/>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ont-weight : 400">
    <w:altName w:val="Courier New"/>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5" w:fontKey="{108B966E-436D-484A-B71C-3BF1E9AAB71F}"/>
  </w:font>
  <w:font w:name="仿宋">
    <w:panose1 w:val="02010609060101010101"/>
    <w:charset w:val="86"/>
    <w:family w:val="modern"/>
    <w:pitch w:val="default"/>
    <w:sig w:usb0="800002BF" w:usb1="38CF7CFA" w:usb2="00000016" w:usb3="00000000" w:csb0="00040001" w:csb1="00000000"/>
    <w:embedRegular r:id="rId6" w:fontKey="{9BBC9668-D1A9-4490-95DE-BCEE4D53206C}"/>
  </w:font>
  <w:font w:name="方正小标宋简体">
    <w:panose1 w:val="02000000000000000000"/>
    <w:charset w:val="86"/>
    <w:family w:val="auto"/>
    <w:pitch w:val="default"/>
    <w:sig w:usb0="A00002BF" w:usb1="184F6CFA" w:usb2="00000012" w:usb3="00000000" w:csb0="00040001" w:csb1="00000000"/>
    <w:embedRegular r:id="rId7" w:fontKey="{05481B54-DD9F-4950-BCBD-87614F9B54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firstLine="400"/>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ind w:firstLine="360"/>
      <w:jc w:val="center"/>
      <w:rPr>
        <w:rFonts w:hint="eastAsia"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v:textbox>
            </v:shape>
          </w:pict>
        </mc:Fallback>
      </mc:AlternateContent>
    </w:r>
  </w:p>
  <w:p>
    <w:pPr>
      <w:pStyle w:val="12"/>
      <w:ind w:firstLine="360"/>
    </w:pPr>
  </w:p>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pStyle w:val="13"/>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ODQzM2I1NzU0ZGVlMjE0M2FlOGJkZGNlZDg2ZjQifQ=="/>
  </w:docVars>
  <w:rsids>
    <w:rsidRoot w:val="4F7A8AD3"/>
    <w:rsid w:val="00007DFF"/>
    <w:rsid w:val="000107C4"/>
    <w:rsid w:val="00012E9F"/>
    <w:rsid w:val="0001313D"/>
    <w:rsid w:val="00020499"/>
    <w:rsid w:val="000312C5"/>
    <w:rsid w:val="00052F16"/>
    <w:rsid w:val="00057533"/>
    <w:rsid w:val="00063830"/>
    <w:rsid w:val="000668C0"/>
    <w:rsid w:val="00073A2B"/>
    <w:rsid w:val="00076A1E"/>
    <w:rsid w:val="00083F6C"/>
    <w:rsid w:val="0009180B"/>
    <w:rsid w:val="0009558B"/>
    <w:rsid w:val="000A3242"/>
    <w:rsid w:val="000A3653"/>
    <w:rsid w:val="000B7188"/>
    <w:rsid w:val="000C0153"/>
    <w:rsid w:val="000C3325"/>
    <w:rsid w:val="000C52C3"/>
    <w:rsid w:val="000C57FC"/>
    <w:rsid w:val="000D3A16"/>
    <w:rsid w:val="000D55E1"/>
    <w:rsid w:val="000D5EC8"/>
    <w:rsid w:val="000E57B2"/>
    <w:rsid w:val="000F6A24"/>
    <w:rsid w:val="001010D1"/>
    <w:rsid w:val="00103D39"/>
    <w:rsid w:val="001041AF"/>
    <w:rsid w:val="00106871"/>
    <w:rsid w:val="0010788A"/>
    <w:rsid w:val="001126B2"/>
    <w:rsid w:val="001136E1"/>
    <w:rsid w:val="001203E9"/>
    <w:rsid w:val="001220D3"/>
    <w:rsid w:val="001232D4"/>
    <w:rsid w:val="00132AF2"/>
    <w:rsid w:val="00141341"/>
    <w:rsid w:val="0015093C"/>
    <w:rsid w:val="00150C9D"/>
    <w:rsid w:val="00151587"/>
    <w:rsid w:val="00152B89"/>
    <w:rsid w:val="00167A83"/>
    <w:rsid w:val="001701A0"/>
    <w:rsid w:val="00170314"/>
    <w:rsid w:val="0017238A"/>
    <w:rsid w:val="00173F6A"/>
    <w:rsid w:val="00176CA0"/>
    <w:rsid w:val="00195636"/>
    <w:rsid w:val="00196271"/>
    <w:rsid w:val="001A1092"/>
    <w:rsid w:val="001A2041"/>
    <w:rsid w:val="001A43B3"/>
    <w:rsid w:val="001A550D"/>
    <w:rsid w:val="001B2B74"/>
    <w:rsid w:val="001C6994"/>
    <w:rsid w:val="001D4786"/>
    <w:rsid w:val="001D4787"/>
    <w:rsid w:val="001D5160"/>
    <w:rsid w:val="001D7093"/>
    <w:rsid w:val="001E3428"/>
    <w:rsid w:val="00202F15"/>
    <w:rsid w:val="002133D0"/>
    <w:rsid w:val="002135B2"/>
    <w:rsid w:val="00214FA9"/>
    <w:rsid w:val="00244786"/>
    <w:rsid w:val="00245809"/>
    <w:rsid w:val="00247CE2"/>
    <w:rsid w:val="002544DA"/>
    <w:rsid w:val="00256286"/>
    <w:rsid w:val="002751AB"/>
    <w:rsid w:val="00293F28"/>
    <w:rsid w:val="002C14AD"/>
    <w:rsid w:val="002D0937"/>
    <w:rsid w:val="002E795B"/>
    <w:rsid w:val="002F140C"/>
    <w:rsid w:val="002F2675"/>
    <w:rsid w:val="00314544"/>
    <w:rsid w:val="00321992"/>
    <w:rsid w:val="0032225C"/>
    <w:rsid w:val="00326F73"/>
    <w:rsid w:val="00341AC7"/>
    <w:rsid w:val="003423E2"/>
    <w:rsid w:val="00347A06"/>
    <w:rsid w:val="00347BEB"/>
    <w:rsid w:val="00350221"/>
    <w:rsid w:val="0035212A"/>
    <w:rsid w:val="00355358"/>
    <w:rsid w:val="00355F1B"/>
    <w:rsid w:val="00363A2E"/>
    <w:rsid w:val="00364643"/>
    <w:rsid w:val="00367660"/>
    <w:rsid w:val="003677CB"/>
    <w:rsid w:val="00371A0A"/>
    <w:rsid w:val="0037460A"/>
    <w:rsid w:val="003757C7"/>
    <w:rsid w:val="0037607E"/>
    <w:rsid w:val="00377310"/>
    <w:rsid w:val="00391E0A"/>
    <w:rsid w:val="003949FD"/>
    <w:rsid w:val="003C6D05"/>
    <w:rsid w:val="003C72DF"/>
    <w:rsid w:val="003E74AB"/>
    <w:rsid w:val="003F0644"/>
    <w:rsid w:val="003F5A52"/>
    <w:rsid w:val="004014DE"/>
    <w:rsid w:val="0041363A"/>
    <w:rsid w:val="004136A6"/>
    <w:rsid w:val="00420D23"/>
    <w:rsid w:val="00421DDA"/>
    <w:rsid w:val="00426FAD"/>
    <w:rsid w:val="004272C9"/>
    <w:rsid w:val="00427E7E"/>
    <w:rsid w:val="00436A9C"/>
    <w:rsid w:val="00452E8E"/>
    <w:rsid w:val="00460E18"/>
    <w:rsid w:val="00466D5D"/>
    <w:rsid w:val="004707FC"/>
    <w:rsid w:val="00470A91"/>
    <w:rsid w:val="00475575"/>
    <w:rsid w:val="004A0673"/>
    <w:rsid w:val="004D1A6F"/>
    <w:rsid w:val="004D3208"/>
    <w:rsid w:val="004D6F41"/>
    <w:rsid w:val="004D72EC"/>
    <w:rsid w:val="004E1959"/>
    <w:rsid w:val="004E5660"/>
    <w:rsid w:val="004E7C5F"/>
    <w:rsid w:val="004F2C0E"/>
    <w:rsid w:val="004F70C3"/>
    <w:rsid w:val="004F7B5F"/>
    <w:rsid w:val="00505188"/>
    <w:rsid w:val="005071ED"/>
    <w:rsid w:val="00512270"/>
    <w:rsid w:val="005234A4"/>
    <w:rsid w:val="00531809"/>
    <w:rsid w:val="00534E15"/>
    <w:rsid w:val="00542744"/>
    <w:rsid w:val="0054287F"/>
    <w:rsid w:val="00561720"/>
    <w:rsid w:val="00564F44"/>
    <w:rsid w:val="00565333"/>
    <w:rsid w:val="00581297"/>
    <w:rsid w:val="00584E01"/>
    <w:rsid w:val="00585E14"/>
    <w:rsid w:val="005943B7"/>
    <w:rsid w:val="00596E4B"/>
    <w:rsid w:val="005B33BF"/>
    <w:rsid w:val="005B61F9"/>
    <w:rsid w:val="005D4E52"/>
    <w:rsid w:val="005D5B2D"/>
    <w:rsid w:val="005F2438"/>
    <w:rsid w:val="005F2469"/>
    <w:rsid w:val="005F3A2E"/>
    <w:rsid w:val="005F3E21"/>
    <w:rsid w:val="005F4EF0"/>
    <w:rsid w:val="005F5F8C"/>
    <w:rsid w:val="006026DD"/>
    <w:rsid w:val="00611013"/>
    <w:rsid w:val="006120CC"/>
    <w:rsid w:val="006334FD"/>
    <w:rsid w:val="00633B49"/>
    <w:rsid w:val="00640EE8"/>
    <w:rsid w:val="00642C97"/>
    <w:rsid w:val="00644555"/>
    <w:rsid w:val="006502B1"/>
    <w:rsid w:val="00655989"/>
    <w:rsid w:val="00661510"/>
    <w:rsid w:val="00670A27"/>
    <w:rsid w:val="00670ACD"/>
    <w:rsid w:val="00672DE2"/>
    <w:rsid w:val="00681686"/>
    <w:rsid w:val="00683371"/>
    <w:rsid w:val="00685C8B"/>
    <w:rsid w:val="00691377"/>
    <w:rsid w:val="00696C5A"/>
    <w:rsid w:val="00697FDE"/>
    <w:rsid w:val="006A145F"/>
    <w:rsid w:val="006B4C2E"/>
    <w:rsid w:val="006B6F56"/>
    <w:rsid w:val="006C034F"/>
    <w:rsid w:val="006C57E3"/>
    <w:rsid w:val="006C781F"/>
    <w:rsid w:val="006D07D2"/>
    <w:rsid w:val="006D22EE"/>
    <w:rsid w:val="006D5A88"/>
    <w:rsid w:val="006E0036"/>
    <w:rsid w:val="006E2DAF"/>
    <w:rsid w:val="006E7D6F"/>
    <w:rsid w:val="00702086"/>
    <w:rsid w:val="00712171"/>
    <w:rsid w:val="00717083"/>
    <w:rsid w:val="00721F20"/>
    <w:rsid w:val="0074220B"/>
    <w:rsid w:val="007435C8"/>
    <w:rsid w:val="00750F13"/>
    <w:rsid w:val="007523D9"/>
    <w:rsid w:val="0075322B"/>
    <w:rsid w:val="00762CDA"/>
    <w:rsid w:val="007748E4"/>
    <w:rsid w:val="007762C2"/>
    <w:rsid w:val="007771FB"/>
    <w:rsid w:val="0078204B"/>
    <w:rsid w:val="00782C16"/>
    <w:rsid w:val="00783B80"/>
    <w:rsid w:val="00784593"/>
    <w:rsid w:val="0079415A"/>
    <w:rsid w:val="007B6431"/>
    <w:rsid w:val="007C2905"/>
    <w:rsid w:val="007C43E4"/>
    <w:rsid w:val="007C5302"/>
    <w:rsid w:val="007C6DAD"/>
    <w:rsid w:val="007D1081"/>
    <w:rsid w:val="007D673A"/>
    <w:rsid w:val="007E3140"/>
    <w:rsid w:val="007E7A2D"/>
    <w:rsid w:val="007F6143"/>
    <w:rsid w:val="00804579"/>
    <w:rsid w:val="00804C84"/>
    <w:rsid w:val="0081088F"/>
    <w:rsid w:val="00815148"/>
    <w:rsid w:val="00822580"/>
    <w:rsid w:val="00824BBC"/>
    <w:rsid w:val="0082560C"/>
    <w:rsid w:val="00866DCA"/>
    <w:rsid w:val="00867A58"/>
    <w:rsid w:val="0087318D"/>
    <w:rsid w:val="0087750F"/>
    <w:rsid w:val="00882EE7"/>
    <w:rsid w:val="00883FF8"/>
    <w:rsid w:val="00884DE4"/>
    <w:rsid w:val="00886BA4"/>
    <w:rsid w:val="008955B2"/>
    <w:rsid w:val="008A5B82"/>
    <w:rsid w:val="008C09A9"/>
    <w:rsid w:val="008C22C6"/>
    <w:rsid w:val="008D08A7"/>
    <w:rsid w:val="008D3757"/>
    <w:rsid w:val="008E4453"/>
    <w:rsid w:val="008E4841"/>
    <w:rsid w:val="008E521D"/>
    <w:rsid w:val="00902C3A"/>
    <w:rsid w:val="00910D0D"/>
    <w:rsid w:val="009478AA"/>
    <w:rsid w:val="0095131C"/>
    <w:rsid w:val="009536E1"/>
    <w:rsid w:val="009540EF"/>
    <w:rsid w:val="009552D7"/>
    <w:rsid w:val="00955DC5"/>
    <w:rsid w:val="009566FB"/>
    <w:rsid w:val="009675C1"/>
    <w:rsid w:val="00971D21"/>
    <w:rsid w:val="00974403"/>
    <w:rsid w:val="00976C76"/>
    <w:rsid w:val="009819BC"/>
    <w:rsid w:val="00983A95"/>
    <w:rsid w:val="0098592B"/>
    <w:rsid w:val="00986911"/>
    <w:rsid w:val="00994E19"/>
    <w:rsid w:val="009A0B4B"/>
    <w:rsid w:val="009A5640"/>
    <w:rsid w:val="009A7F42"/>
    <w:rsid w:val="009B4C64"/>
    <w:rsid w:val="009B5A96"/>
    <w:rsid w:val="009B5F8C"/>
    <w:rsid w:val="009B680D"/>
    <w:rsid w:val="009C170A"/>
    <w:rsid w:val="009C5740"/>
    <w:rsid w:val="009C58C9"/>
    <w:rsid w:val="009C5B69"/>
    <w:rsid w:val="009D437F"/>
    <w:rsid w:val="009D6D66"/>
    <w:rsid w:val="009E1F1E"/>
    <w:rsid w:val="009E35D6"/>
    <w:rsid w:val="009E3863"/>
    <w:rsid w:val="009E4B25"/>
    <w:rsid w:val="009F07B4"/>
    <w:rsid w:val="009F5799"/>
    <w:rsid w:val="009F5D01"/>
    <w:rsid w:val="009F5F16"/>
    <w:rsid w:val="00A05220"/>
    <w:rsid w:val="00A12D33"/>
    <w:rsid w:val="00A170E7"/>
    <w:rsid w:val="00A20676"/>
    <w:rsid w:val="00A3140D"/>
    <w:rsid w:val="00A3572F"/>
    <w:rsid w:val="00A369F0"/>
    <w:rsid w:val="00A400DB"/>
    <w:rsid w:val="00A42946"/>
    <w:rsid w:val="00A554A1"/>
    <w:rsid w:val="00A6361D"/>
    <w:rsid w:val="00A644C7"/>
    <w:rsid w:val="00A71B61"/>
    <w:rsid w:val="00A73A2A"/>
    <w:rsid w:val="00A771AE"/>
    <w:rsid w:val="00AA1B98"/>
    <w:rsid w:val="00AB2B00"/>
    <w:rsid w:val="00AC01DF"/>
    <w:rsid w:val="00AC2452"/>
    <w:rsid w:val="00AC51B2"/>
    <w:rsid w:val="00AD2849"/>
    <w:rsid w:val="00AE0E69"/>
    <w:rsid w:val="00AE5E6B"/>
    <w:rsid w:val="00AE7253"/>
    <w:rsid w:val="00AF42B4"/>
    <w:rsid w:val="00B00467"/>
    <w:rsid w:val="00B00F10"/>
    <w:rsid w:val="00B03E44"/>
    <w:rsid w:val="00B042EC"/>
    <w:rsid w:val="00B0588D"/>
    <w:rsid w:val="00B14C98"/>
    <w:rsid w:val="00B17C4C"/>
    <w:rsid w:val="00B2239F"/>
    <w:rsid w:val="00B24D5B"/>
    <w:rsid w:val="00B42992"/>
    <w:rsid w:val="00B520E3"/>
    <w:rsid w:val="00B526D3"/>
    <w:rsid w:val="00B55A72"/>
    <w:rsid w:val="00B56F27"/>
    <w:rsid w:val="00B647E1"/>
    <w:rsid w:val="00B70772"/>
    <w:rsid w:val="00B72471"/>
    <w:rsid w:val="00B757C6"/>
    <w:rsid w:val="00B82C97"/>
    <w:rsid w:val="00B82EA7"/>
    <w:rsid w:val="00B83BE2"/>
    <w:rsid w:val="00B9431F"/>
    <w:rsid w:val="00BB07A4"/>
    <w:rsid w:val="00BB0E1D"/>
    <w:rsid w:val="00BB30FE"/>
    <w:rsid w:val="00BB6B9F"/>
    <w:rsid w:val="00C0248E"/>
    <w:rsid w:val="00C06AFC"/>
    <w:rsid w:val="00C07264"/>
    <w:rsid w:val="00C12E6F"/>
    <w:rsid w:val="00C21C0D"/>
    <w:rsid w:val="00C21DB7"/>
    <w:rsid w:val="00C26858"/>
    <w:rsid w:val="00C30660"/>
    <w:rsid w:val="00C40C1F"/>
    <w:rsid w:val="00C4300A"/>
    <w:rsid w:val="00C440BC"/>
    <w:rsid w:val="00C53DE5"/>
    <w:rsid w:val="00C558D9"/>
    <w:rsid w:val="00C56A00"/>
    <w:rsid w:val="00C6266B"/>
    <w:rsid w:val="00C7136B"/>
    <w:rsid w:val="00C75092"/>
    <w:rsid w:val="00C75A80"/>
    <w:rsid w:val="00C8301B"/>
    <w:rsid w:val="00C83D2B"/>
    <w:rsid w:val="00C87E01"/>
    <w:rsid w:val="00C910C3"/>
    <w:rsid w:val="00C91569"/>
    <w:rsid w:val="00CA74BF"/>
    <w:rsid w:val="00CB6FFC"/>
    <w:rsid w:val="00CB7679"/>
    <w:rsid w:val="00CB7CD5"/>
    <w:rsid w:val="00CC161B"/>
    <w:rsid w:val="00CD0DBD"/>
    <w:rsid w:val="00CD19EC"/>
    <w:rsid w:val="00CD5883"/>
    <w:rsid w:val="00CD6026"/>
    <w:rsid w:val="00CD7EDB"/>
    <w:rsid w:val="00CE2157"/>
    <w:rsid w:val="00CE6ED6"/>
    <w:rsid w:val="00CF3350"/>
    <w:rsid w:val="00CF53A5"/>
    <w:rsid w:val="00D02678"/>
    <w:rsid w:val="00D0603A"/>
    <w:rsid w:val="00D14209"/>
    <w:rsid w:val="00D15D0E"/>
    <w:rsid w:val="00D26CDD"/>
    <w:rsid w:val="00D30272"/>
    <w:rsid w:val="00D319E1"/>
    <w:rsid w:val="00D47AD7"/>
    <w:rsid w:val="00D503E5"/>
    <w:rsid w:val="00D546E0"/>
    <w:rsid w:val="00D60049"/>
    <w:rsid w:val="00D64060"/>
    <w:rsid w:val="00D64367"/>
    <w:rsid w:val="00D6747B"/>
    <w:rsid w:val="00D869EB"/>
    <w:rsid w:val="00D86CE4"/>
    <w:rsid w:val="00D9501C"/>
    <w:rsid w:val="00D965A3"/>
    <w:rsid w:val="00DA3EAC"/>
    <w:rsid w:val="00DB3489"/>
    <w:rsid w:val="00DC513A"/>
    <w:rsid w:val="00DC518C"/>
    <w:rsid w:val="00DD3165"/>
    <w:rsid w:val="00DE4CCA"/>
    <w:rsid w:val="00DF196E"/>
    <w:rsid w:val="00DF62A7"/>
    <w:rsid w:val="00E012B6"/>
    <w:rsid w:val="00E03433"/>
    <w:rsid w:val="00E072FA"/>
    <w:rsid w:val="00E12F0E"/>
    <w:rsid w:val="00E1337B"/>
    <w:rsid w:val="00E14DAD"/>
    <w:rsid w:val="00E1775E"/>
    <w:rsid w:val="00E17C01"/>
    <w:rsid w:val="00E200F2"/>
    <w:rsid w:val="00E207E5"/>
    <w:rsid w:val="00E2525D"/>
    <w:rsid w:val="00E33445"/>
    <w:rsid w:val="00E45310"/>
    <w:rsid w:val="00E476B3"/>
    <w:rsid w:val="00E5269E"/>
    <w:rsid w:val="00E73530"/>
    <w:rsid w:val="00E779D6"/>
    <w:rsid w:val="00E84623"/>
    <w:rsid w:val="00E873C0"/>
    <w:rsid w:val="00E93860"/>
    <w:rsid w:val="00EA09C3"/>
    <w:rsid w:val="00EA76C4"/>
    <w:rsid w:val="00EB10D3"/>
    <w:rsid w:val="00EB1FD7"/>
    <w:rsid w:val="00EB4F17"/>
    <w:rsid w:val="00EB7BC8"/>
    <w:rsid w:val="00EC0BDD"/>
    <w:rsid w:val="00EC542D"/>
    <w:rsid w:val="00ED54C7"/>
    <w:rsid w:val="00EE667E"/>
    <w:rsid w:val="00F00013"/>
    <w:rsid w:val="00F03024"/>
    <w:rsid w:val="00F05FCC"/>
    <w:rsid w:val="00F0623C"/>
    <w:rsid w:val="00F10340"/>
    <w:rsid w:val="00F14A5D"/>
    <w:rsid w:val="00F160BA"/>
    <w:rsid w:val="00F17B08"/>
    <w:rsid w:val="00F17EB0"/>
    <w:rsid w:val="00F20713"/>
    <w:rsid w:val="00F20A3E"/>
    <w:rsid w:val="00F256BF"/>
    <w:rsid w:val="00F36748"/>
    <w:rsid w:val="00F36D63"/>
    <w:rsid w:val="00F40E0B"/>
    <w:rsid w:val="00F4232F"/>
    <w:rsid w:val="00F50504"/>
    <w:rsid w:val="00F5404D"/>
    <w:rsid w:val="00F609E9"/>
    <w:rsid w:val="00F7197F"/>
    <w:rsid w:val="00F7251B"/>
    <w:rsid w:val="00F72ABA"/>
    <w:rsid w:val="00F7344E"/>
    <w:rsid w:val="00F7344F"/>
    <w:rsid w:val="00F77C12"/>
    <w:rsid w:val="00F90D69"/>
    <w:rsid w:val="00F9691B"/>
    <w:rsid w:val="00FA36D3"/>
    <w:rsid w:val="00FA542C"/>
    <w:rsid w:val="00FA6D36"/>
    <w:rsid w:val="00FB13E1"/>
    <w:rsid w:val="00FB593D"/>
    <w:rsid w:val="00FC7DDA"/>
    <w:rsid w:val="00FD49A6"/>
    <w:rsid w:val="00FD6538"/>
    <w:rsid w:val="00FE6F85"/>
    <w:rsid w:val="00FF70D4"/>
    <w:rsid w:val="00FF7FEC"/>
    <w:rsid w:val="010D7F30"/>
    <w:rsid w:val="01117D6F"/>
    <w:rsid w:val="014F4774"/>
    <w:rsid w:val="01B41827"/>
    <w:rsid w:val="01FE6FC6"/>
    <w:rsid w:val="025E7212"/>
    <w:rsid w:val="026C0CB3"/>
    <w:rsid w:val="02DA2B5C"/>
    <w:rsid w:val="031A1D53"/>
    <w:rsid w:val="034F46D6"/>
    <w:rsid w:val="047C7B07"/>
    <w:rsid w:val="059D5B4A"/>
    <w:rsid w:val="05C5173A"/>
    <w:rsid w:val="060D4527"/>
    <w:rsid w:val="062F578F"/>
    <w:rsid w:val="070A234B"/>
    <w:rsid w:val="07364783"/>
    <w:rsid w:val="07587466"/>
    <w:rsid w:val="07A80859"/>
    <w:rsid w:val="07DB3825"/>
    <w:rsid w:val="084E08CF"/>
    <w:rsid w:val="08747CBA"/>
    <w:rsid w:val="08815D8B"/>
    <w:rsid w:val="0932556D"/>
    <w:rsid w:val="095A32C1"/>
    <w:rsid w:val="096C6DF1"/>
    <w:rsid w:val="09872284"/>
    <w:rsid w:val="0994152E"/>
    <w:rsid w:val="09CA4A49"/>
    <w:rsid w:val="0A263634"/>
    <w:rsid w:val="0A6174F1"/>
    <w:rsid w:val="0A786C09"/>
    <w:rsid w:val="0A9052A5"/>
    <w:rsid w:val="0B964365"/>
    <w:rsid w:val="0BC41224"/>
    <w:rsid w:val="0BDF4B42"/>
    <w:rsid w:val="0C871385"/>
    <w:rsid w:val="0C961EA1"/>
    <w:rsid w:val="0CDF57F4"/>
    <w:rsid w:val="0D874AFD"/>
    <w:rsid w:val="0E460DCC"/>
    <w:rsid w:val="0E483F00"/>
    <w:rsid w:val="0E511842"/>
    <w:rsid w:val="0FB50233"/>
    <w:rsid w:val="0FB608BC"/>
    <w:rsid w:val="1050467E"/>
    <w:rsid w:val="10CD4389"/>
    <w:rsid w:val="11195595"/>
    <w:rsid w:val="11270A41"/>
    <w:rsid w:val="11326EB7"/>
    <w:rsid w:val="11EE00D5"/>
    <w:rsid w:val="12902BD1"/>
    <w:rsid w:val="12911695"/>
    <w:rsid w:val="129D460C"/>
    <w:rsid w:val="12C53952"/>
    <w:rsid w:val="13397BCE"/>
    <w:rsid w:val="13640E5B"/>
    <w:rsid w:val="13A726E2"/>
    <w:rsid w:val="144A13CC"/>
    <w:rsid w:val="14B86A5E"/>
    <w:rsid w:val="16574ED9"/>
    <w:rsid w:val="168E25CD"/>
    <w:rsid w:val="16F75866"/>
    <w:rsid w:val="16FA78CA"/>
    <w:rsid w:val="17397720"/>
    <w:rsid w:val="17F71489"/>
    <w:rsid w:val="183C78CE"/>
    <w:rsid w:val="18B52DD6"/>
    <w:rsid w:val="191537C8"/>
    <w:rsid w:val="19166917"/>
    <w:rsid w:val="1A807E46"/>
    <w:rsid w:val="1A807E56"/>
    <w:rsid w:val="1AA80D1D"/>
    <w:rsid w:val="1AE16358"/>
    <w:rsid w:val="1B063A1F"/>
    <w:rsid w:val="1B5F2753"/>
    <w:rsid w:val="1BD15AF4"/>
    <w:rsid w:val="1BD92985"/>
    <w:rsid w:val="1CD3289A"/>
    <w:rsid w:val="1D615742"/>
    <w:rsid w:val="1D7019C1"/>
    <w:rsid w:val="1D971EF3"/>
    <w:rsid w:val="1DBD8960"/>
    <w:rsid w:val="1E5410D3"/>
    <w:rsid w:val="1E776B18"/>
    <w:rsid w:val="1EAC0D7B"/>
    <w:rsid w:val="1EC12CF5"/>
    <w:rsid w:val="1F500934"/>
    <w:rsid w:val="1F5B4370"/>
    <w:rsid w:val="1FAA5120"/>
    <w:rsid w:val="1FB42712"/>
    <w:rsid w:val="1FBF3DD5"/>
    <w:rsid w:val="1FD941DA"/>
    <w:rsid w:val="1FEA5825"/>
    <w:rsid w:val="1FF73375"/>
    <w:rsid w:val="20665273"/>
    <w:rsid w:val="20DB35F6"/>
    <w:rsid w:val="216319C4"/>
    <w:rsid w:val="2173382E"/>
    <w:rsid w:val="220E3E9E"/>
    <w:rsid w:val="22696E4A"/>
    <w:rsid w:val="228A52D3"/>
    <w:rsid w:val="22A7A1EE"/>
    <w:rsid w:val="23815F46"/>
    <w:rsid w:val="23A00FD0"/>
    <w:rsid w:val="23A368F7"/>
    <w:rsid w:val="23D46DC8"/>
    <w:rsid w:val="23F5677C"/>
    <w:rsid w:val="24526CBD"/>
    <w:rsid w:val="245D6F1C"/>
    <w:rsid w:val="24A227D3"/>
    <w:rsid w:val="250C005C"/>
    <w:rsid w:val="255D282B"/>
    <w:rsid w:val="257C4A65"/>
    <w:rsid w:val="25D9458E"/>
    <w:rsid w:val="25EE29B2"/>
    <w:rsid w:val="260A429C"/>
    <w:rsid w:val="260C1F4B"/>
    <w:rsid w:val="2699450E"/>
    <w:rsid w:val="26B33C0B"/>
    <w:rsid w:val="26E7E34E"/>
    <w:rsid w:val="26F539E8"/>
    <w:rsid w:val="275B2D9A"/>
    <w:rsid w:val="27E47234"/>
    <w:rsid w:val="27FA547A"/>
    <w:rsid w:val="27FB2575"/>
    <w:rsid w:val="289E713B"/>
    <w:rsid w:val="28DD1D90"/>
    <w:rsid w:val="296F084C"/>
    <w:rsid w:val="297B6A7D"/>
    <w:rsid w:val="29FE4B95"/>
    <w:rsid w:val="2A455781"/>
    <w:rsid w:val="2A7A3965"/>
    <w:rsid w:val="2A80787C"/>
    <w:rsid w:val="2A8F3EC9"/>
    <w:rsid w:val="2A93505E"/>
    <w:rsid w:val="2B7FCBC1"/>
    <w:rsid w:val="2B9777BC"/>
    <w:rsid w:val="2C002159"/>
    <w:rsid w:val="2DD75DC8"/>
    <w:rsid w:val="2DE73540"/>
    <w:rsid w:val="2DEF151A"/>
    <w:rsid w:val="2DF769DC"/>
    <w:rsid w:val="2DFDCA5F"/>
    <w:rsid w:val="2DFDEF9D"/>
    <w:rsid w:val="2DFE9ED2"/>
    <w:rsid w:val="2E570E39"/>
    <w:rsid w:val="2EA92E66"/>
    <w:rsid w:val="2ECA0CB3"/>
    <w:rsid w:val="2ED50269"/>
    <w:rsid w:val="2EEA0EAE"/>
    <w:rsid w:val="2EED128A"/>
    <w:rsid w:val="2F33419E"/>
    <w:rsid w:val="2F453EFD"/>
    <w:rsid w:val="2F7A4177"/>
    <w:rsid w:val="2FBB8AD3"/>
    <w:rsid w:val="2FF9E8AA"/>
    <w:rsid w:val="2FFF36BE"/>
    <w:rsid w:val="3115529C"/>
    <w:rsid w:val="31B76384"/>
    <w:rsid w:val="320B1AE3"/>
    <w:rsid w:val="32165B50"/>
    <w:rsid w:val="326B0E40"/>
    <w:rsid w:val="32B03984"/>
    <w:rsid w:val="33BA3B16"/>
    <w:rsid w:val="33C67647"/>
    <w:rsid w:val="33D04B10"/>
    <w:rsid w:val="34151D3E"/>
    <w:rsid w:val="34727F6D"/>
    <w:rsid w:val="35745447"/>
    <w:rsid w:val="35950425"/>
    <w:rsid w:val="36533F02"/>
    <w:rsid w:val="377F486E"/>
    <w:rsid w:val="37813EA9"/>
    <w:rsid w:val="378B2B5D"/>
    <w:rsid w:val="37F9916F"/>
    <w:rsid w:val="381B47D2"/>
    <w:rsid w:val="386FACB3"/>
    <w:rsid w:val="38AE7080"/>
    <w:rsid w:val="38FB2CC8"/>
    <w:rsid w:val="390262E6"/>
    <w:rsid w:val="391D56C6"/>
    <w:rsid w:val="39240A2E"/>
    <w:rsid w:val="39A77F9D"/>
    <w:rsid w:val="39BFDD17"/>
    <w:rsid w:val="3A4A6576"/>
    <w:rsid w:val="3A648840"/>
    <w:rsid w:val="3A723551"/>
    <w:rsid w:val="3AC07947"/>
    <w:rsid w:val="3AEC1CA2"/>
    <w:rsid w:val="3AEF411A"/>
    <w:rsid w:val="3AFF01EF"/>
    <w:rsid w:val="3B2D5FC6"/>
    <w:rsid w:val="3B3DC2A9"/>
    <w:rsid w:val="3B777999"/>
    <w:rsid w:val="3BB165B1"/>
    <w:rsid w:val="3BD78CFD"/>
    <w:rsid w:val="3BEFD7D2"/>
    <w:rsid w:val="3BFDE29B"/>
    <w:rsid w:val="3D6BF3A2"/>
    <w:rsid w:val="3DB521D7"/>
    <w:rsid w:val="3DFFC46E"/>
    <w:rsid w:val="3E363529"/>
    <w:rsid w:val="3E520203"/>
    <w:rsid w:val="3E6EBE7D"/>
    <w:rsid w:val="3EA606BD"/>
    <w:rsid w:val="3EB76EA9"/>
    <w:rsid w:val="3EBC1B98"/>
    <w:rsid w:val="3EEF565A"/>
    <w:rsid w:val="3EF7E3D7"/>
    <w:rsid w:val="3F4C367C"/>
    <w:rsid w:val="3F6CBBE6"/>
    <w:rsid w:val="3F7D186B"/>
    <w:rsid w:val="3FB86B84"/>
    <w:rsid w:val="3FCF0EA0"/>
    <w:rsid w:val="3FDDF602"/>
    <w:rsid w:val="3FE9ABA6"/>
    <w:rsid w:val="3FED9C1C"/>
    <w:rsid w:val="3FF03EED"/>
    <w:rsid w:val="3FF6647C"/>
    <w:rsid w:val="3FF7E6AC"/>
    <w:rsid w:val="3FFDF530"/>
    <w:rsid w:val="3FFF5B84"/>
    <w:rsid w:val="3FFF8AEA"/>
    <w:rsid w:val="3FFF953A"/>
    <w:rsid w:val="401B5E64"/>
    <w:rsid w:val="40C4166B"/>
    <w:rsid w:val="40D500DF"/>
    <w:rsid w:val="40E774C7"/>
    <w:rsid w:val="426C502D"/>
    <w:rsid w:val="42FA07E7"/>
    <w:rsid w:val="436810AE"/>
    <w:rsid w:val="437F7043"/>
    <w:rsid w:val="44EF1B00"/>
    <w:rsid w:val="45207D90"/>
    <w:rsid w:val="45CF4E46"/>
    <w:rsid w:val="46515BFC"/>
    <w:rsid w:val="46C45511"/>
    <w:rsid w:val="46EB2E89"/>
    <w:rsid w:val="46F570F1"/>
    <w:rsid w:val="4778447E"/>
    <w:rsid w:val="47CC73F7"/>
    <w:rsid w:val="47FBC172"/>
    <w:rsid w:val="48391F39"/>
    <w:rsid w:val="487B71DD"/>
    <w:rsid w:val="48867AAB"/>
    <w:rsid w:val="48E24C72"/>
    <w:rsid w:val="492E4DD9"/>
    <w:rsid w:val="498A77E3"/>
    <w:rsid w:val="49BF4FB3"/>
    <w:rsid w:val="49DF7A74"/>
    <w:rsid w:val="49EFDA04"/>
    <w:rsid w:val="49FA2929"/>
    <w:rsid w:val="4A1E73E6"/>
    <w:rsid w:val="4A635F53"/>
    <w:rsid w:val="4AF773D7"/>
    <w:rsid w:val="4B3B3F0F"/>
    <w:rsid w:val="4B974077"/>
    <w:rsid w:val="4BA90D67"/>
    <w:rsid w:val="4BFD0804"/>
    <w:rsid w:val="4BFFF00D"/>
    <w:rsid w:val="4C35155C"/>
    <w:rsid w:val="4CB90AB7"/>
    <w:rsid w:val="4CB92AAE"/>
    <w:rsid w:val="4D5325E2"/>
    <w:rsid w:val="4D9329DF"/>
    <w:rsid w:val="4DBF65EB"/>
    <w:rsid w:val="4DFC2D90"/>
    <w:rsid w:val="4E050DB4"/>
    <w:rsid w:val="4E25488F"/>
    <w:rsid w:val="4E7B1F42"/>
    <w:rsid w:val="4F1B0E49"/>
    <w:rsid w:val="4F3877D4"/>
    <w:rsid w:val="4F786B55"/>
    <w:rsid w:val="4F7A8AD3"/>
    <w:rsid w:val="4F7FF4D7"/>
    <w:rsid w:val="4F8A1DA6"/>
    <w:rsid w:val="4FD940E8"/>
    <w:rsid w:val="4FDF282B"/>
    <w:rsid w:val="4FEB9FB4"/>
    <w:rsid w:val="50885837"/>
    <w:rsid w:val="50A1286C"/>
    <w:rsid w:val="50AB1B35"/>
    <w:rsid w:val="51BA2E70"/>
    <w:rsid w:val="51E1787A"/>
    <w:rsid w:val="51F80DD4"/>
    <w:rsid w:val="523E68B0"/>
    <w:rsid w:val="52AD5656"/>
    <w:rsid w:val="52D4EA7B"/>
    <w:rsid w:val="52DC22B4"/>
    <w:rsid w:val="53205C12"/>
    <w:rsid w:val="533D5BE8"/>
    <w:rsid w:val="538958EC"/>
    <w:rsid w:val="53CA0723"/>
    <w:rsid w:val="542D7105"/>
    <w:rsid w:val="55830218"/>
    <w:rsid w:val="558980E0"/>
    <w:rsid w:val="55E705A4"/>
    <w:rsid w:val="56203A0C"/>
    <w:rsid w:val="56383DB0"/>
    <w:rsid w:val="56530FA2"/>
    <w:rsid w:val="56AD6CAF"/>
    <w:rsid w:val="56E53ADB"/>
    <w:rsid w:val="571B7CCD"/>
    <w:rsid w:val="575F1FD6"/>
    <w:rsid w:val="577C8E54"/>
    <w:rsid w:val="57B34FD7"/>
    <w:rsid w:val="57ECB103"/>
    <w:rsid w:val="57EF0FD8"/>
    <w:rsid w:val="57F7833A"/>
    <w:rsid w:val="57F7A4BC"/>
    <w:rsid w:val="57FB75FC"/>
    <w:rsid w:val="57FD7CF3"/>
    <w:rsid w:val="583F79EB"/>
    <w:rsid w:val="585A70CD"/>
    <w:rsid w:val="58E262A4"/>
    <w:rsid w:val="58F5D9DD"/>
    <w:rsid w:val="5948147C"/>
    <w:rsid w:val="59573EF3"/>
    <w:rsid w:val="5A894C16"/>
    <w:rsid w:val="5AB756DD"/>
    <w:rsid w:val="5AFCBC6B"/>
    <w:rsid w:val="5B669575"/>
    <w:rsid w:val="5B8C4784"/>
    <w:rsid w:val="5BDB3721"/>
    <w:rsid w:val="5C18763C"/>
    <w:rsid w:val="5C3E3948"/>
    <w:rsid w:val="5C4F6BDD"/>
    <w:rsid w:val="5C7E18E6"/>
    <w:rsid w:val="5C7F7B4E"/>
    <w:rsid w:val="5CD834DE"/>
    <w:rsid w:val="5CDA0FE8"/>
    <w:rsid w:val="5CE7B0FA"/>
    <w:rsid w:val="5D242C88"/>
    <w:rsid w:val="5D6B5466"/>
    <w:rsid w:val="5D7921C9"/>
    <w:rsid w:val="5DAD7E49"/>
    <w:rsid w:val="5DEFCEC9"/>
    <w:rsid w:val="5DFB97BE"/>
    <w:rsid w:val="5DFE3F84"/>
    <w:rsid w:val="5DFFA384"/>
    <w:rsid w:val="5E7A9A9A"/>
    <w:rsid w:val="5E7FBC5C"/>
    <w:rsid w:val="5E7FDF2E"/>
    <w:rsid w:val="5EDD6377"/>
    <w:rsid w:val="5EEBD77D"/>
    <w:rsid w:val="5EED101E"/>
    <w:rsid w:val="5EF76024"/>
    <w:rsid w:val="5EFF59D6"/>
    <w:rsid w:val="5EFF974D"/>
    <w:rsid w:val="5F374DB3"/>
    <w:rsid w:val="5F6F9EA4"/>
    <w:rsid w:val="5F8A68FB"/>
    <w:rsid w:val="5FA911F0"/>
    <w:rsid w:val="5FB6F504"/>
    <w:rsid w:val="5FC3061C"/>
    <w:rsid w:val="5FE1BD42"/>
    <w:rsid w:val="5FEE76E6"/>
    <w:rsid w:val="5FF6065B"/>
    <w:rsid w:val="5FF68925"/>
    <w:rsid w:val="5FF9FE18"/>
    <w:rsid w:val="5FFE7695"/>
    <w:rsid w:val="5FFF5101"/>
    <w:rsid w:val="5FFFBFA9"/>
    <w:rsid w:val="604734C2"/>
    <w:rsid w:val="60800E50"/>
    <w:rsid w:val="609B78A2"/>
    <w:rsid w:val="61178030"/>
    <w:rsid w:val="621C3AE7"/>
    <w:rsid w:val="622A5268"/>
    <w:rsid w:val="62A16A3A"/>
    <w:rsid w:val="635380E9"/>
    <w:rsid w:val="63A72136"/>
    <w:rsid w:val="63BEF433"/>
    <w:rsid w:val="63E76A66"/>
    <w:rsid w:val="642B56B0"/>
    <w:rsid w:val="647B5B72"/>
    <w:rsid w:val="649B339C"/>
    <w:rsid w:val="64EFA138"/>
    <w:rsid w:val="65CF4325"/>
    <w:rsid w:val="65D33E68"/>
    <w:rsid w:val="65ED1F71"/>
    <w:rsid w:val="65FDAEE0"/>
    <w:rsid w:val="65FFC3A4"/>
    <w:rsid w:val="65FFEC08"/>
    <w:rsid w:val="664E14AB"/>
    <w:rsid w:val="66573B66"/>
    <w:rsid w:val="66AD4262"/>
    <w:rsid w:val="66B71094"/>
    <w:rsid w:val="66CB19B2"/>
    <w:rsid w:val="66FECB51"/>
    <w:rsid w:val="673D2491"/>
    <w:rsid w:val="675B5A36"/>
    <w:rsid w:val="6763D5B0"/>
    <w:rsid w:val="67871415"/>
    <w:rsid w:val="67DFDD99"/>
    <w:rsid w:val="685E3EBD"/>
    <w:rsid w:val="687B3CF3"/>
    <w:rsid w:val="69A521C6"/>
    <w:rsid w:val="69AF24F6"/>
    <w:rsid w:val="69AF5125"/>
    <w:rsid w:val="69BC2895"/>
    <w:rsid w:val="69E414DD"/>
    <w:rsid w:val="69FBDDC7"/>
    <w:rsid w:val="6A660B83"/>
    <w:rsid w:val="6A7F6D13"/>
    <w:rsid w:val="6AB867A9"/>
    <w:rsid w:val="6AE0106A"/>
    <w:rsid w:val="6AFAC7B1"/>
    <w:rsid w:val="6B1F2D84"/>
    <w:rsid w:val="6B675079"/>
    <w:rsid w:val="6B7DE963"/>
    <w:rsid w:val="6B9F922F"/>
    <w:rsid w:val="6BCC579C"/>
    <w:rsid w:val="6BCFABFB"/>
    <w:rsid w:val="6BE173F2"/>
    <w:rsid w:val="6BEDDD7D"/>
    <w:rsid w:val="6C5B06F6"/>
    <w:rsid w:val="6C8E09D2"/>
    <w:rsid w:val="6CEB0DBC"/>
    <w:rsid w:val="6D410C09"/>
    <w:rsid w:val="6D7FBAFD"/>
    <w:rsid w:val="6D7FD33D"/>
    <w:rsid w:val="6D8707CD"/>
    <w:rsid w:val="6D99C997"/>
    <w:rsid w:val="6DA809BC"/>
    <w:rsid w:val="6DBB907A"/>
    <w:rsid w:val="6DFEA535"/>
    <w:rsid w:val="6DFFA9F6"/>
    <w:rsid w:val="6E159DA2"/>
    <w:rsid w:val="6E5DDBDC"/>
    <w:rsid w:val="6E6901BA"/>
    <w:rsid w:val="6E9E9F2D"/>
    <w:rsid w:val="6EBD7952"/>
    <w:rsid w:val="6EC60388"/>
    <w:rsid w:val="6F014DEF"/>
    <w:rsid w:val="6F705A5C"/>
    <w:rsid w:val="6F880F97"/>
    <w:rsid w:val="6FA369DD"/>
    <w:rsid w:val="6FD3808E"/>
    <w:rsid w:val="6FD9D43E"/>
    <w:rsid w:val="6FDE616D"/>
    <w:rsid w:val="6FDFD0C5"/>
    <w:rsid w:val="6FED74AE"/>
    <w:rsid w:val="6FF3179A"/>
    <w:rsid w:val="6FFCE334"/>
    <w:rsid w:val="6FFE7508"/>
    <w:rsid w:val="6FFFF4AF"/>
    <w:rsid w:val="70E78717"/>
    <w:rsid w:val="71DF0AF3"/>
    <w:rsid w:val="71E82352"/>
    <w:rsid w:val="71FB2FE3"/>
    <w:rsid w:val="72211E04"/>
    <w:rsid w:val="722B3E46"/>
    <w:rsid w:val="724759C2"/>
    <w:rsid w:val="733F4938"/>
    <w:rsid w:val="73AE4630"/>
    <w:rsid w:val="73EF23B4"/>
    <w:rsid w:val="73EF394F"/>
    <w:rsid w:val="73FF29DC"/>
    <w:rsid w:val="748FE1E7"/>
    <w:rsid w:val="74DC1816"/>
    <w:rsid w:val="755961C5"/>
    <w:rsid w:val="75CB4C31"/>
    <w:rsid w:val="75F820E8"/>
    <w:rsid w:val="75FB9FF3"/>
    <w:rsid w:val="75FE5A48"/>
    <w:rsid w:val="75FF56C0"/>
    <w:rsid w:val="765F4657"/>
    <w:rsid w:val="76F25A9D"/>
    <w:rsid w:val="76FB0E00"/>
    <w:rsid w:val="76FEB484"/>
    <w:rsid w:val="77304047"/>
    <w:rsid w:val="775A16EB"/>
    <w:rsid w:val="775DCAF6"/>
    <w:rsid w:val="777FFB87"/>
    <w:rsid w:val="77AB2709"/>
    <w:rsid w:val="77B72734"/>
    <w:rsid w:val="77BA91FC"/>
    <w:rsid w:val="77CD59C0"/>
    <w:rsid w:val="77DF124C"/>
    <w:rsid w:val="77EDFFAF"/>
    <w:rsid w:val="77FD9252"/>
    <w:rsid w:val="77FE32EC"/>
    <w:rsid w:val="77FE8B6E"/>
    <w:rsid w:val="791743F7"/>
    <w:rsid w:val="797F8114"/>
    <w:rsid w:val="798031CF"/>
    <w:rsid w:val="79FB5FAF"/>
    <w:rsid w:val="7A2FB116"/>
    <w:rsid w:val="7A376519"/>
    <w:rsid w:val="7A3F6EB8"/>
    <w:rsid w:val="7A67D8E4"/>
    <w:rsid w:val="7AA41EB8"/>
    <w:rsid w:val="7AF1EB58"/>
    <w:rsid w:val="7AF71059"/>
    <w:rsid w:val="7AFCBFBD"/>
    <w:rsid w:val="7B2F27DC"/>
    <w:rsid w:val="7B5D6E41"/>
    <w:rsid w:val="7B6E6DF3"/>
    <w:rsid w:val="7B7E918F"/>
    <w:rsid w:val="7B7F2C31"/>
    <w:rsid w:val="7BB66289"/>
    <w:rsid w:val="7BCCCAA1"/>
    <w:rsid w:val="7BD9CB31"/>
    <w:rsid w:val="7BE3C6C4"/>
    <w:rsid w:val="7BE62C07"/>
    <w:rsid w:val="7BE70D0A"/>
    <w:rsid w:val="7BED67F5"/>
    <w:rsid w:val="7BF9018F"/>
    <w:rsid w:val="7BFDA313"/>
    <w:rsid w:val="7BFF3E46"/>
    <w:rsid w:val="7C137A81"/>
    <w:rsid w:val="7C292323"/>
    <w:rsid w:val="7C423ACB"/>
    <w:rsid w:val="7C774249"/>
    <w:rsid w:val="7C9E5EE6"/>
    <w:rsid w:val="7CBBCED2"/>
    <w:rsid w:val="7CBD0039"/>
    <w:rsid w:val="7CCE6F60"/>
    <w:rsid w:val="7CCF4580"/>
    <w:rsid w:val="7CDF64C7"/>
    <w:rsid w:val="7D79DF34"/>
    <w:rsid w:val="7D7EABE1"/>
    <w:rsid w:val="7D7F419E"/>
    <w:rsid w:val="7D7FB7BE"/>
    <w:rsid w:val="7DAB4387"/>
    <w:rsid w:val="7DBD8EB2"/>
    <w:rsid w:val="7DBF075B"/>
    <w:rsid w:val="7DD97AA7"/>
    <w:rsid w:val="7DDB05A4"/>
    <w:rsid w:val="7DDD2722"/>
    <w:rsid w:val="7DDFA753"/>
    <w:rsid w:val="7DEAA60B"/>
    <w:rsid w:val="7DEB5413"/>
    <w:rsid w:val="7DEE0B18"/>
    <w:rsid w:val="7DEE768A"/>
    <w:rsid w:val="7DF514E7"/>
    <w:rsid w:val="7DF9577A"/>
    <w:rsid w:val="7DF98B02"/>
    <w:rsid w:val="7DFF5D72"/>
    <w:rsid w:val="7DFF6D6E"/>
    <w:rsid w:val="7DFF74AD"/>
    <w:rsid w:val="7DFFE1BD"/>
    <w:rsid w:val="7E3B3277"/>
    <w:rsid w:val="7E5F1FD6"/>
    <w:rsid w:val="7E7D8ABF"/>
    <w:rsid w:val="7E9B1278"/>
    <w:rsid w:val="7EB1EA29"/>
    <w:rsid w:val="7EBDE22E"/>
    <w:rsid w:val="7EBF4E53"/>
    <w:rsid w:val="7EBF6762"/>
    <w:rsid w:val="7EBF841F"/>
    <w:rsid w:val="7EF1BD9C"/>
    <w:rsid w:val="7EFB3B17"/>
    <w:rsid w:val="7EFCFAD4"/>
    <w:rsid w:val="7EFD0516"/>
    <w:rsid w:val="7EFF3B41"/>
    <w:rsid w:val="7EFF6CE0"/>
    <w:rsid w:val="7F3217A8"/>
    <w:rsid w:val="7F434F43"/>
    <w:rsid w:val="7F6F325F"/>
    <w:rsid w:val="7F75E46A"/>
    <w:rsid w:val="7F7D4D66"/>
    <w:rsid w:val="7F8D69DE"/>
    <w:rsid w:val="7F923854"/>
    <w:rsid w:val="7F9D2CC6"/>
    <w:rsid w:val="7FAA92EA"/>
    <w:rsid w:val="7FAB964F"/>
    <w:rsid w:val="7FADC894"/>
    <w:rsid w:val="7FADCEB7"/>
    <w:rsid w:val="7FAF8E99"/>
    <w:rsid w:val="7FAF9BEF"/>
    <w:rsid w:val="7FAFECCB"/>
    <w:rsid w:val="7FB5AD8E"/>
    <w:rsid w:val="7FB70309"/>
    <w:rsid w:val="7FBEA4D8"/>
    <w:rsid w:val="7FC71DFA"/>
    <w:rsid w:val="7FCE9B4A"/>
    <w:rsid w:val="7FD74590"/>
    <w:rsid w:val="7FDED9E5"/>
    <w:rsid w:val="7FE37818"/>
    <w:rsid w:val="7FEAA9AB"/>
    <w:rsid w:val="7FFD73C0"/>
    <w:rsid w:val="7FFDE014"/>
    <w:rsid w:val="7FFEC443"/>
    <w:rsid w:val="7FFF351D"/>
    <w:rsid w:val="7FFF8137"/>
    <w:rsid w:val="7FFFD4F9"/>
    <w:rsid w:val="87EFB873"/>
    <w:rsid w:val="8BBD71C6"/>
    <w:rsid w:val="8BDB5640"/>
    <w:rsid w:val="8BF73B00"/>
    <w:rsid w:val="8CFAC852"/>
    <w:rsid w:val="8DD50D56"/>
    <w:rsid w:val="939FA03F"/>
    <w:rsid w:val="96BFCB2F"/>
    <w:rsid w:val="973F25DC"/>
    <w:rsid w:val="97EF25B5"/>
    <w:rsid w:val="992FC3A9"/>
    <w:rsid w:val="99FDBB83"/>
    <w:rsid w:val="9B77CB3B"/>
    <w:rsid w:val="9B8B32CE"/>
    <w:rsid w:val="9BDBED88"/>
    <w:rsid w:val="9BF5DD3C"/>
    <w:rsid w:val="9D7A5340"/>
    <w:rsid w:val="9DEE0AF2"/>
    <w:rsid w:val="9F1BAF19"/>
    <w:rsid w:val="9F6FCCBD"/>
    <w:rsid w:val="9F7B353E"/>
    <w:rsid w:val="9F97ABBB"/>
    <w:rsid w:val="9FB59D1C"/>
    <w:rsid w:val="9FCD91C3"/>
    <w:rsid w:val="9FE392F3"/>
    <w:rsid w:val="9FEFA79E"/>
    <w:rsid w:val="A6CD27B8"/>
    <w:rsid w:val="A6FB25A1"/>
    <w:rsid w:val="A77FBB3D"/>
    <w:rsid w:val="A7DE9939"/>
    <w:rsid w:val="ABEBF671"/>
    <w:rsid w:val="ACD7FBCE"/>
    <w:rsid w:val="AD5FC3D8"/>
    <w:rsid w:val="ADFCDA63"/>
    <w:rsid w:val="AEFE2613"/>
    <w:rsid w:val="AF6D42D8"/>
    <w:rsid w:val="AF7B5CBD"/>
    <w:rsid w:val="AFF2AFD8"/>
    <w:rsid w:val="B0DD6782"/>
    <w:rsid w:val="B1BC1CFE"/>
    <w:rsid w:val="B3F789F3"/>
    <w:rsid w:val="B5E6287B"/>
    <w:rsid w:val="B5FFA584"/>
    <w:rsid w:val="B67F43DA"/>
    <w:rsid w:val="B7AAC7AB"/>
    <w:rsid w:val="B7BA8507"/>
    <w:rsid w:val="B7BD6C08"/>
    <w:rsid w:val="B7BF2100"/>
    <w:rsid w:val="B7BF928E"/>
    <w:rsid w:val="B7DB7E02"/>
    <w:rsid w:val="B7EFE48C"/>
    <w:rsid w:val="B7FB4104"/>
    <w:rsid w:val="B8F1D304"/>
    <w:rsid w:val="B9DFF72D"/>
    <w:rsid w:val="B9FE2322"/>
    <w:rsid w:val="BA9D2B5C"/>
    <w:rsid w:val="BB2DFF0C"/>
    <w:rsid w:val="BBB73ED3"/>
    <w:rsid w:val="BBDDE668"/>
    <w:rsid w:val="BBF976E4"/>
    <w:rsid w:val="BCFD65E9"/>
    <w:rsid w:val="BD1FFFD0"/>
    <w:rsid w:val="BD574E1A"/>
    <w:rsid w:val="BDD35FA2"/>
    <w:rsid w:val="BDFED098"/>
    <w:rsid w:val="BEFF32EE"/>
    <w:rsid w:val="BF3DD8EC"/>
    <w:rsid w:val="BF66D87B"/>
    <w:rsid w:val="BF7FA6A8"/>
    <w:rsid w:val="BF86A395"/>
    <w:rsid w:val="BF8B3571"/>
    <w:rsid w:val="BFAFE011"/>
    <w:rsid w:val="BFBED802"/>
    <w:rsid w:val="BFD7166A"/>
    <w:rsid w:val="BFE91E89"/>
    <w:rsid w:val="BFFDEDCF"/>
    <w:rsid w:val="BFFE8C2C"/>
    <w:rsid w:val="BFFFD4F7"/>
    <w:rsid w:val="C76F1B9F"/>
    <w:rsid w:val="CB7716C7"/>
    <w:rsid w:val="CBA5DAA6"/>
    <w:rsid w:val="CC6DE0F8"/>
    <w:rsid w:val="CCDD67D1"/>
    <w:rsid w:val="CD7F210F"/>
    <w:rsid w:val="D2BFFCB1"/>
    <w:rsid w:val="D3DF06DD"/>
    <w:rsid w:val="D3FDADCA"/>
    <w:rsid w:val="D5BF67B5"/>
    <w:rsid w:val="D5FFDDD5"/>
    <w:rsid w:val="D6EF683A"/>
    <w:rsid w:val="D74F8C7A"/>
    <w:rsid w:val="D8F1B670"/>
    <w:rsid w:val="D9BD4245"/>
    <w:rsid w:val="D9BF9829"/>
    <w:rsid w:val="DB5C880C"/>
    <w:rsid w:val="DB9D06EC"/>
    <w:rsid w:val="DBFA615B"/>
    <w:rsid w:val="DC676154"/>
    <w:rsid w:val="DCED8BC2"/>
    <w:rsid w:val="DD750548"/>
    <w:rsid w:val="DDEF21EF"/>
    <w:rsid w:val="DDFE3EC8"/>
    <w:rsid w:val="DDFEE100"/>
    <w:rsid w:val="DDFF03F5"/>
    <w:rsid w:val="DE3A4BE9"/>
    <w:rsid w:val="DE7B74E6"/>
    <w:rsid w:val="DEB67C06"/>
    <w:rsid w:val="DEB75CB5"/>
    <w:rsid w:val="DEB8D6C0"/>
    <w:rsid w:val="DEC755C4"/>
    <w:rsid w:val="DEE5F43D"/>
    <w:rsid w:val="DF5E709F"/>
    <w:rsid w:val="DFB7B065"/>
    <w:rsid w:val="DFE722C8"/>
    <w:rsid w:val="DFEADEEC"/>
    <w:rsid w:val="DFED96F5"/>
    <w:rsid w:val="DFF5BE25"/>
    <w:rsid w:val="DFFDF294"/>
    <w:rsid w:val="DFFE36F4"/>
    <w:rsid w:val="DFFF83D7"/>
    <w:rsid w:val="E1AE537B"/>
    <w:rsid w:val="E377CAD3"/>
    <w:rsid w:val="E5D7312E"/>
    <w:rsid w:val="E6EFE6B2"/>
    <w:rsid w:val="E75F346D"/>
    <w:rsid w:val="E77B90FD"/>
    <w:rsid w:val="E77EE8BD"/>
    <w:rsid w:val="E7FDD106"/>
    <w:rsid w:val="E7FF509E"/>
    <w:rsid w:val="E9EC7ED8"/>
    <w:rsid w:val="E9FD7CB3"/>
    <w:rsid w:val="EABE1C3F"/>
    <w:rsid w:val="EAFB901F"/>
    <w:rsid w:val="EB1ED3A4"/>
    <w:rsid w:val="EB76BA0A"/>
    <w:rsid w:val="EBA3F109"/>
    <w:rsid w:val="EBBE8894"/>
    <w:rsid w:val="EBDB85E2"/>
    <w:rsid w:val="EBDFAC8B"/>
    <w:rsid w:val="EBF58581"/>
    <w:rsid w:val="EBFAD5A7"/>
    <w:rsid w:val="ECFD547B"/>
    <w:rsid w:val="EDBB1478"/>
    <w:rsid w:val="EDDE5DAF"/>
    <w:rsid w:val="EDE12409"/>
    <w:rsid w:val="EDFB5EF7"/>
    <w:rsid w:val="EE7F1E85"/>
    <w:rsid w:val="EE8FF47B"/>
    <w:rsid w:val="EEFE3F12"/>
    <w:rsid w:val="EF36B7FB"/>
    <w:rsid w:val="EF3E4456"/>
    <w:rsid w:val="EF6AC498"/>
    <w:rsid w:val="EF6F0BE8"/>
    <w:rsid w:val="EF7DDF33"/>
    <w:rsid w:val="EF7E72E2"/>
    <w:rsid w:val="EFAF4FD4"/>
    <w:rsid w:val="EFE7B20E"/>
    <w:rsid w:val="EFEFB4B1"/>
    <w:rsid w:val="EFF5C566"/>
    <w:rsid w:val="EFFB1BAC"/>
    <w:rsid w:val="EFFD145D"/>
    <w:rsid w:val="EFFD8CFF"/>
    <w:rsid w:val="F1F5D3C4"/>
    <w:rsid w:val="F275DA76"/>
    <w:rsid w:val="F2DF2013"/>
    <w:rsid w:val="F32FB4EF"/>
    <w:rsid w:val="F3B33006"/>
    <w:rsid w:val="F3D90753"/>
    <w:rsid w:val="F3FFE6B5"/>
    <w:rsid w:val="F4FA30E7"/>
    <w:rsid w:val="F53FC911"/>
    <w:rsid w:val="F5750987"/>
    <w:rsid w:val="F5E75DD7"/>
    <w:rsid w:val="F5F30E22"/>
    <w:rsid w:val="F5FF5345"/>
    <w:rsid w:val="F64BCF72"/>
    <w:rsid w:val="F65D0F29"/>
    <w:rsid w:val="F66F9C62"/>
    <w:rsid w:val="F6B7E99E"/>
    <w:rsid w:val="F6B93B3E"/>
    <w:rsid w:val="F6DA814B"/>
    <w:rsid w:val="F6FCA072"/>
    <w:rsid w:val="F6FE3890"/>
    <w:rsid w:val="F6FE4781"/>
    <w:rsid w:val="F767787F"/>
    <w:rsid w:val="F7779F5E"/>
    <w:rsid w:val="F77B79BE"/>
    <w:rsid w:val="F77FFFC8"/>
    <w:rsid w:val="F7AD5629"/>
    <w:rsid w:val="F7AF4754"/>
    <w:rsid w:val="F7AF6DC5"/>
    <w:rsid w:val="F7BF4DCB"/>
    <w:rsid w:val="F7CB1098"/>
    <w:rsid w:val="F7D35C9B"/>
    <w:rsid w:val="F7D62FCE"/>
    <w:rsid w:val="F7DEBAE4"/>
    <w:rsid w:val="F7FEBCDB"/>
    <w:rsid w:val="F7FF8ABD"/>
    <w:rsid w:val="F7FFB081"/>
    <w:rsid w:val="F87F1A3D"/>
    <w:rsid w:val="F9BB8E09"/>
    <w:rsid w:val="F9BF68F8"/>
    <w:rsid w:val="F9CC6249"/>
    <w:rsid w:val="F9DE41CD"/>
    <w:rsid w:val="F9E751BA"/>
    <w:rsid w:val="FA3DCC22"/>
    <w:rsid w:val="FA6EA470"/>
    <w:rsid w:val="FAD6E1AF"/>
    <w:rsid w:val="FAEF69FA"/>
    <w:rsid w:val="FAFD2248"/>
    <w:rsid w:val="FAFDF4F8"/>
    <w:rsid w:val="FBAF6E9B"/>
    <w:rsid w:val="FBBF6130"/>
    <w:rsid w:val="FBEB7BF2"/>
    <w:rsid w:val="FBEBB3ED"/>
    <w:rsid w:val="FBFB0CD5"/>
    <w:rsid w:val="FBFC2E41"/>
    <w:rsid w:val="FBFD30AE"/>
    <w:rsid w:val="FBFEC197"/>
    <w:rsid w:val="FBFF6FD8"/>
    <w:rsid w:val="FBFFEA55"/>
    <w:rsid w:val="FC5E3D7D"/>
    <w:rsid w:val="FCFD6AF8"/>
    <w:rsid w:val="FCFFE151"/>
    <w:rsid w:val="FD679674"/>
    <w:rsid w:val="FD77CD95"/>
    <w:rsid w:val="FD7EE6D9"/>
    <w:rsid w:val="FD7F22E7"/>
    <w:rsid w:val="FDAD20B2"/>
    <w:rsid w:val="FDBD51EA"/>
    <w:rsid w:val="FDFB85B4"/>
    <w:rsid w:val="FDFF4920"/>
    <w:rsid w:val="FDFF96AE"/>
    <w:rsid w:val="FDFFF909"/>
    <w:rsid w:val="FE3F8F48"/>
    <w:rsid w:val="FE4FC563"/>
    <w:rsid w:val="FE539E0F"/>
    <w:rsid w:val="FE62886C"/>
    <w:rsid w:val="FEBF1833"/>
    <w:rsid w:val="FED61A61"/>
    <w:rsid w:val="FEDF65FC"/>
    <w:rsid w:val="FEE92AFA"/>
    <w:rsid w:val="FEEBB54D"/>
    <w:rsid w:val="FEEDE71C"/>
    <w:rsid w:val="FEF57FE0"/>
    <w:rsid w:val="FEF74162"/>
    <w:rsid w:val="FEF8F85A"/>
    <w:rsid w:val="FEFF5102"/>
    <w:rsid w:val="FF54E895"/>
    <w:rsid w:val="FF679C78"/>
    <w:rsid w:val="FF7780DB"/>
    <w:rsid w:val="FF7E1B76"/>
    <w:rsid w:val="FF7F1B75"/>
    <w:rsid w:val="FF7F442F"/>
    <w:rsid w:val="FF7F9012"/>
    <w:rsid w:val="FF7FBE0A"/>
    <w:rsid w:val="FFACB62B"/>
    <w:rsid w:val="FFBAE316"/>
    <w:rsid w:val="FFBB3092"/>
    <w:rsid w:val="FFBBC91E"/>
    <w:rsid w:val="FFBD2A63"/>
    <w:rsid w:val="FFBE8556"/>
    <w:rsid w:val="FFBEFFA5"/>
    <w:rsid w:val="FFBF6667"/>
    <w:rsid w:val="FFBFA54E"/>
    <w:rsid w:val="FFCBAC21"/>
    <w:rsid w:val="FFD2F072"/>
    <w:rsid w:val="FFD79819"/>
    <w:rsid w:val="FFD7D42B"/>
    <w:rsid w:val="FFDA555F"/>
    <w:rsid w:val="FFDF70C2"/>
    <w:rsid w:val="FFE703E8"/>
    <w:rsid w:val="FFEF3CED"/>
    <w:rsid w:val="FFF50D13"/>
    <w:rsid w:val="FFF77383"/>
    <w:rsid w:val="FFF93375"/>
    <w:rsid w:val="FFFAFFCB"/>
    <w:rsid w:val="FFFC772F"/>
    <w:rsid w:val="FFFDE791"/>
    <w:rsid w:val="FFFE2390"/>
    <w:rsid w:val="FFFF02D3"/>
    <w:rsid w:val="FFFF0B70"/>
    <w:rsid w:val="FFFF22AA"/>
    <w:rsid w:val="FFFF754C"/>
    <w:rsid w:val="FFFF9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仿宋_GB2312" w:cs="Times New Roman"/>
      <w:color w:val="000000"/>
      <w:sz w:val="32"/>
      <w:szCs w:val="24"/>
      <w:lang w:val="en-US" w:eastAsia="en-US" w:bidi="en-US"/>
    </w:rPr>
  </w:style>
  <w:style w:type="paragraph" w:styleId="2">
    <w:name w:val="heading 1"/>
    <w:basedOn w:val="1"/>
    <w:next w:val="1"/>
    <w:qFormat/>
    <w:uiPriority w:val="0"/>
    <w:pPr>
      <w:keepNext/>
      <w:keepLines/>
      <w:spacing w:before="50" w:beforeLines="50" w:after="50" w:afterLines="50"/>
      <w:ind w:firstLine="0" w:firstLineChars="0"/>
      <w:outlineLvl w:val="0"/>
    </w:pPr>
    <w:rPr>
      <w:rFonts w:eastAsia="黑体"/>
      <w:b/>
      <w:kern w:val="44"/>
    </w:rPr>
  </w:style>
  <w:style w:type="paragraph" w:styleId="3">
    <w:name w:val="heading 2"/>
    <w:basedOn w:val="1"/>
    <w:next w:val="1"/>
    <w:link w:val="26"/>
    <w:unhideWhenUsed/>
    <w:qFormat/>
    <w:uiPriority w:val="0"/>
    <w:pPr>
      <w:keepNext/>
      <w:keepLines/>
      <w:spacing w:before="50" w:beforeLines="50" w:after="50" w:afterLines="50"/>
      <w:outlineLvl w:val="1"/>
    </w:pPr>
    <w:rPr>
      <w:rFonts w:ascii="华文楷体" w:hAnsi="华文楷体" w:eastAsia="楷体"/>
      <w:b/>
    </w:rPr>
  </w:style>
  <w:style w:type="paragraph" w:styleId="4">
    <w:name w:val="heading 3"/>
    <w:basedOn w:val="1"/>
    <w:next w:val="1"/>
    <w:link w:val="27"/>
    <w:unhideWhenUsed/>
    <w:qFormat/>
    <w:uiPriority w:val="0"/>
    <w:pPr>
      <w:keepNext/>
      <w:keepLines/>
      <w:ind w:firstLine="200"/>
      <w:outlineLvl w:val="2"/>
    </w:pPr>
    <w:rPr>
      <w:b/>
    </w:rPr>
  </w:style>
  <w:style w:type="paragraph" w:styleId="5">
    <w:name w:val="heading 4"/>
    <w:basedOn w:val="1"/>
    <w:next w:val="1"/>
    <w:unhideWhenUsed/>
    <w:qFormat/>
    <w:uiPriority w:val="0"/>
    <w:pPr>
      <w:keepNext/>
      <w:keepLines/>
      <w:outlineLvl w:val="3"/>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Body Text"/>
    <w:basedOn w:val="1"/>
    <w:link w:val="53"/>
    <w:qFormat/>
    <w:uiPriority w:val="0"/>
    <w:pPr>
      <w:spacing w:before="240"/>
      <w:ind w:left="1160"/>
    </w:pPr>
    <w:rPr>
      <w:rFonts w:ascii="仿宋_GB2312" w:hAnsi="仿宋_GB2312" w:cs="仿宋_GB2312"/>
      <w:sz w:val="30"/>
      <w:szCs w:val="30"/>
      <w:lang w:val="zh-CN" w:eastAsia="zh-CN" w:bidi="zh-CN"/>
    </w:rPr>
  </w:style>
  <w:style w:type="paragraph" w:styleId="8">
    <w:name w:val="toc 5"/>
    <w:basedOn w:val="1"/>
    <w:next w:val="1"/>
    <w:qFormat/>
    <w:uiPriority w:val="0"/>
    <w:pPr>
      <w:ind w:left="1280"/>
      <w:jc w:val="left"/>
    </w:pPr>
    <w:rPr>
      <w:rFonts w:asciiTheme="minorHAnsi" w:hAnsiTheme="minorHAnsi" w:cstheme="minorHAnsi"/>
      <w:sz w:val="18"/>
      <w:szCs w:val="18"/>
    </w:rPr>
  </w:style>
  <w:style w:type="paragraph" w:styleId="9">
    <w:name w:val="toc 3"/>
    <w:basedOn w:val="1"/>
    <w:next w:val="1"/>
    <w:qFormat/>
    <w:uiPriority w:val="39"/>
    <w:pPr>
      <w:ind w:left="640"/>
      <w:jc w:val="left"/>
    </w:pPr>
    <w:rPr>
      <w:rFonts w:asciiTheme="minorHAnsi" w:hAnsiTheme="minorHAnsi" w:cstheme="minorHAnsi"/>
      <w:i/>
      <w:iCs/>
      <w:sz w:val="20"/>
      <w:szCs w:val="20"/>
    </w:rPr>
  </w:style>
  <w:style w:type="paragraph" w:styleId="10">
    <w:name w:val="toc 8"/>
    <w:basedOn w:val="1"/>
    <w:next w:val="1"/>
    <w:qFormat/>
    <w:uiPriority w:val="0"/>
    <w:pPr>
      <w:ind w:left="2240"/>
      <w:jc w:val="left"/>
    </w:pPr>
    <w:rPr>
      <w:rFonts w:asciiTheme="minorHAnsi" w:hAnsiTheme="minorHAnsi" w:cstheme="minorHAnsi"/>
      <w:sz w:val="18"/>
      <w:szCs w:val="18"/>
    </w:rPr>
  </w:style>
  <w:style w:type="paragraph" w:styleId="11">
    <w:name w:val="Balloon Text"/>
    <w:basedOn w:val="1"/>
    <w:link w:val="52"/>
    <w:qFormat/>
    <w:uiPriority w:val="0"/>
    <w:pPr>
      <w:spacing w:line="240" w:lineRule="auto"/>
    </w:pPr>
    <w:rPr>
      <w:sz w:val="18"/>
      <w:szCs w:val="18"/>
    </w:rPr>
  </w:style>
  <w:style w:type="paragraph" w:styleId="12">
    <w:name w:val="footer"/>
    <w:basedOn w:val="1"/>
    <w:link w:val="54"/>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qFormat/>
    <w:uiPriority w:val="0"/>
    <w:pPr>
      <w:ind w:left="960"/>
      <w:jc w:val="left"/>
    </w:pPr>
    <w:rPr>
      <w:rFonts w:asciiTheme="minorHAnsi" w:hAnsiTheme="minorHAnsi" w:cstheme="minorHAnsi"/>
      <w:sz w:val="18"/>
      <w:szCs w:val="18"/>
    </w:rPr>
  </w:style>
  <w:style w:type="paragraph" w:styleId="16">
    <w:name w:val="toc 6"/>
    <w:basedOn w:val="1"/>
    <w:next w:val="1"/>
    <w:qFormat/>
    <w:uiPriority w:val="0"/>
    <w:pPr>
      <w:ind w:left="1600"/>
      <w:jc w:val="left"/>
    </w:pPr>
    <w:rPr>
      <w:rFonts w:asciiTheme="minorHAnsi" w:hAnsiTheme="minorHAnsi" w:cstheme="minorHAnsi"/>
      <w:sz w:val="18"/>
      <w:szCs w:val="18"/>
    </w:rPr>
  </w:style>
  <w:style w:type="paragraph" w:styleId="17">
    <w:name w:val="toc 2"/>
    <w:basedOn w:val="1"/>
    <w:next w:val="1"/>
    <w:qFormat/>
    <w:uiPriority w:val="39"/>
    <w:pPr>
      <w:ind w:left="320"/>
      <w:jc w:val="left"/>
    </w:pPr>
    <w:rPr>
      <w:rFonts w:asciiTheme="minorHAnsi" w:hAnsiTheme="minorHAnsi" w:cstheme="minorHAnsi"/>
      <w:smallCaps/>
      <w:sz w:val="20"/>
      <w:szCs w:val="20"/>
    </w:rPr>
  </w:style>
  <w:style w:type="paragraph" w:styleId="18">
    <w:name w:val="toc 9"/>
    <w:basedOn w:val="1"/>
    <w:next w:val="1"/>
    <w:qFormat/>
    <w:uiPriority w:val="0"/>
    <w:pPr>
      <w:ind w:left="2560"/>
      <w:jc w:val="left"/>
    </w:pPr>
    <w:rPr>
      <w:rFonts w:asciiTheme="minorHAnsi" w:hAnsiTheme="minorHAnsi" w:cstheme="minorHAnsi"/>
      <w:sz w:val="18"/>
      <w:szCs w:val="18"/>
    </w:rPr>
  </w:style>
  <w:style w:type="paragraph" w:styleId="19">
    <w:name w:val="Normal (Web)"/>
    <w:basedOn w:val="1"/>
    <w:qFormat/>
    <w:uiPriority w:val="0"/>
    <w:pPr>
      <w:spacing w:beforeAutospacing="1" w:afterAutospacing="1"/>
    </w:pPr>
    <w:rPr>
      <w:sz w:val="24"/>
      <w:lang w:eastAsia="zh-CN" w:bidi="ar-SA"/>
    </w:rPr>
  </w:style>
  <w:style w:type="paragraph" w:styleId="20">
    <w:name w:val="Title"/>
    <w:basedOn w:val="1"/>
    <w:next w:val="1"/>
    <w:link w:val="57"/>
    <w:qFormat/>
    <w:uiPriority w:val="0"/>
    <w:pPr>
      <w:spacing w:before="100" w:beforeLines="100" w:after="100" w:afterLines="100" w:line="360" w:lineRule="auto"/>
      <w:ind w:firstLine="0" w:firstLineChars="0"/>
      <w:jc w:val="center"/>
      <w:outlineLvl w:val="0"/>
    </w:pPr>
    <w:rPr>
      <w:rFonts w:eastAsia="方正小标宋" w:cstheme="majorBidi"/>
      <w:b/>
      <w:bCs/>
      <w:sz w:val="44"/>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FF"/>
      <w:u w:val="single"/>
    </w:rPr>
  </w:style>
  <w:style w:type="character" w:customStyle="1" w:styleId="26">
    <w:name w:val="标题 2 字符"/>
    <w:link w:val="3"/>
    <w:qFormat/>
    <w:uiPriority w:val="0"/>
    <w:rPr>
      <w:rFonts w:ascii="华文楷体" w:hAnsi="华文楷体" w:eastAsia="楷体"/>
      <w:b/>
    </w:rPr>
  </w:style>
  <w:style w:type="character" w:customStyle="1" w:styleId="27">
    <w:name w:val="标题 3 字符"/>
    <w:link w:val="4"/>
    <w:qFormat/>
    <w:uiPriority w:val="0"/>
    <w:rPr>
      <w:rFonts w:eastAsia="仿宋_GB2312"/>
      <w:b/>
      <w:color w:val="000000"/>
      <w:sz w:val="32"/>
      <w:szCs w:val="24"/>
      <w:lang w:eastAsia="en-US" w:bidi="en-US"/>
    </w:rPr>
  </w:style>
  <w:style w:type="paragraph" w:customStyle="1" w:styleId="28">
    <w:name w:val="Body text|2"/>
    <w:basedOn w:val="1"/>
    <w:qFormat/>
    <w:uiPriority w:val="0"/>
    <w:pPr>
      <w:spacing w:line="322" w:lineRule="exact"/>
      <w:ind w:firstLine="400"/>
    </w:pPr>
    <w:rPr>
      <w:rFonts w:ascii="宋体" w:hAnsi="宋体" w:eastAsia="宋体" w:cs="宋体"/>
      <w:sz w:val="19"/>
      <w:szCs w:val="19"/>
      <w:lang w:val="zh-TW" w:eastAsia="zh-TW" w:bidi="zh-TW"/>
    </w:rPr>
  </w:style>
  <w:style w:type="paragraph" w:customStyle="1" w:styleId="29">
    <w:name w:val="Header or footer|1"/>
    <w:basedOn w:val="1"/>
    <w:qFormat/>
    <w:uiPriority w:val="0"/>
    <w:rPr>
      <w:lang w:val="zh-TW" w:eastAsia="zh-TW" w:bidi="zh-TW"/>
    </w:rPr>
  </w:style>
  <w:style w:type="paragraph" w:customStyle="1" w:styleId="30">
    <w:name w:val="标题4"/>
    <w:basedOn w:val="28"/>
    <w:qFormat/>
    <w:uiPriority w:val="0"/>
    <w:pPr>
      <w:spacing w:line="360" w:lineRule="auto"/>
      <w:ind w:firstLine="881"/>
    </w:pPr>
    <w:rPr>
      <w:rFonts w:eastAsia="华文仿宋"/>
      <w:b/>
      <w:sz w:val="32"/>
    </w:rPr>
  </w:style>
  <w:style w:type="paragraph" w:customStyle="1" w:styleId="31">
    <w:name w:val="Body text|1"/>
    <w:basedOn w:val="1"/>
    <w:qFormat/>
    <w:uiPriority w:val="0"/>
    <w:pPr>
      <w:spacing w:line="360" w:lineRule="auto"/>
      <w:ind w:firstLine="400"/>
    </w:pPr>
    <w:rPr>
      <w:rFonts w:ascii="宋体" w:hAnsi="宋体" w:eastAsia="宋体" w:cs="宋体"/>
      <w:lang w:val="zh-TW" w:eastAsia="zh-TW" w:bidi="zh-TW"/>
    </w:rPr>
  </w:style>
  <w:style w:type="character" w:customStyle="1" w:styleId="32">
    <w:name w:val="font01"/>
    <w:basedOn w:val="23"/>
    <w:qFormat/>
    <w:uiPriority w:val="0"/>
    <w:rPr>
      <w:rFonts w:ascii="Arial" w:hAnsi="Arial" w:cs="Arial"/>
      <w:color w:val="000000"/>
      <w:sz w:val="22"/>
      <w:szCs w:val="22"/>
      <w:u w:val="none"/>
    </w:rPr>
  </w:style>
  <w:style w:type="character" w:customStyle="1" w:styleId="33">
    <w:name w:val="font11"/>
    <w:basedOn w:val="23"/>
    <w:qFormat/>
    <w:uiPriority w:val="0"/>
    <w:rPr>
      <w:rFonts w:ascii="font-weight : 400" w:hAnsi="font-weight : 400" w:eastAsia="font-weight : 400" w:cs="font-weight : 400"/>
      <w:color w:val="000000"/>
      <w:sz w:val="22"/>
      <w:szCs w:val="22"/>
      <w:u w:val="none"/>
    </w:rPr>
  </w:style>
  <w:style w:type="character" w:customStyle="1" w:styleId="34">
    <w:name w:val="font51"/>
    <w:basedOn w:val="23"/>
    <w:qFormat/>
    <w:uiPriority w:val="0"/>
    <w:rPr>
      <w:rFonts w:hint="eastAsia" w:ascii="宋体" w:hAnsi="宋体" w:eastAsia="宋体" w:cs="宋体"/>
      <w:color w:val="000000"/>
      <w:sz w:val="22"/>
      <w:szCs w:val="22"/>
      <w:u w:val="none"/>
    </w:rPr>
  </w:style>
  <w:style w:type="character" w:customStyle="1" w:styleId="35">
    <w:name w:val="正文 + Arial Char"/>
    <w:link w:val="36"/>
    <w:qFormat/>
    <w:locked/>
    <w:uiPriority w:val="0"/>
    <w:rPr>
      <w:rFonts w:ascii="Arial"/>
      <w:kern w:val="0"/>
      <w:sz w:val="24"/>
    </w:rPr>
  </w:style>
  <w:style w:type="paragraph" w:customStyle="1" w:styleId="36">
    <w:name w:val="正文 + Arial"/>
    <w:basedOn w:val="1"/>
    <w:link w:val="35"/>
    <w:qFormat/>
    <w:uiPriority w:val="0"/>
    <w:pPr>
      <w:spacing w:afterLines="50" w:line="360" w:lineRule="auto"/>
      <w:ind w:firstLine="420"/>
    </w:pPr>
    <w:rPr>
      <w:rFonts w:ascii="Arial"/>
      <w:sz w:val="24"/>
    </w:rPr>
  </w:style>
  <w:style w:type="paragraph" w:customStyle="1" w:styleId="37">
    <w:name w:val="列出段落1"/>
    <w:basedOn w:val="1"/>
    <w:qFormat/>
    <w:uiPriority w:val="1"/>
    <w:pPr>
      <w:spacing w:before="3"/>
      <w:ind w:left="2332" w:hanging="753"/>
    </w:pPr>
    <w:rPr>
      <w:rFonts w:ascii="仿宋_GB2312" w:hAnsi="仿宋_GB2312" w:cs="仿宋_GB2312"/>
      <w:lang w:val="zh-CN" w:eastAsia="zh-CN" w:bidi="zh-CN"/>
    </w:rPr>
  </w:style>
  <w:style w:type="paragraph" w:customStyle="1" w:styleId="38">
    <w:name w:val="分类号"/>
    <w:basedOn w:val="1"/>
    <w:qFormat/>
    <w:uiPriority w:val="0"/>
    <w:pPr>
      <w:spacing w:line="240" w:lineRule="auto"/>
      <w:ind w:firstLine="0" w:firstLineChars="0"/>
    </w:pPr>
    <w:rPr>
      <w:rFonts w:ascii="仿宋_GB2312"/>
      <w:kern w:val="2"/>
      <w:sz w:val="28"/>
      <w:szCs w:val="28"/>
      <w:lang w:eastAsia="zh-CN" w:bidi="ar-SA"/>
    </w:rPr>
  </w:style>
  <w:style w:type="paragraph" w:customStyle="1" w:styleId="39">
    <w:name w:val="硕士学位论文"/>
    <w:basedOn w:val="1"/>
    <w:qFormat/>
    <w:uiPriority w:val="0"/>
    <w:pPr>
      <w:spacing w:before="240" w:line="240" w:lineRule="auto"/>
      <w:ind w:firstLine="0" w:firstLineChars="0"/>
      <w:jc w:val="center"/>
    </w:pPr>
    <w:rPr>
      <w:rFonts w:eastAsia="宋体"/>
      <w:kern w:val="2"/>
      <w:sz w:val="44"/>
      <w:szCs w:val="44"/>
      <w:lang w:eastAsia="zh-CN" w:bidi="ar-SA"/>
    </w:rPr>
  </w:style>
  <w:style w:type="paragraph" w:customStyle="1" w:styleId="40">
    <w:name w:val="论文标题"/>
    <w:basedOn w:val="1"/>
    <w:qFormat/>
    <w:uiPriority w:val="0"/>
    <w:pPr>
      <w:spacing w:line="240" w:lineRule="auto"/>
      <w:ind w:firstLine="0" w:firstLineChars="0"/>
      <w:jc w:val="center"/>
    </w:pPr>
    <w:rPr>
      <w:rFonts w:eastAsia="楷体_GB2312"/>
      <w:b/>
      <w:kern w:val="36"/>
      <w:sz w:val="52"/>
      <w:szCs w:val="52"/>
      <w:lang w:eastAsia="zh-CN" w:bidi="ar-SA"/>
    </w:rPr>
  </w:style>
  <w:style w:type="paragraph" w:customStyle="1" w:styleId="41">
    <w:name w:val="研究生姓名"/>
    <w:basedOn w:val="1"/>
    <w:qFormat/>
    <w:uiPriority w:val="0"/>
    <w:pPr>
      <w:spacing w:line="240" w:lineRule="auto"/>
      <w:ind w:firstLine="700" w:firstLineChars="700"/>
    </w:pPr>
    <w:rPr>
      <w:rFonts w:eastAsia="宋体"/>
      <w:kern w:val="2"/>
      <w:sz w:val="28"/>
      <w:szCs w:val="28"/>
      <w:lang w:eastAsia="zh-CN" w:bidi="ar-SA"/>
    </w:rPr>
  </w:style>
  <w:style w:type="paragraph" w:customStyle="1" w:styleId="42">
    <w:name w:val="封面日期"/>
    <w:basedOn w:val="1"/>
    <w:qFormat/>
    <w:uiPriority w:val="0"/>
    <w:pPr>
      <w:spacing w:line="240" w:lineRule="auto"/>
      <w:ind w:firstLine="0" w:firstLineChars="0"/>
      <w:jc w:val="center"/>
    </w:pPr>
    <w:rPr>
      <w:rFonts w:ascii="黑体" w:eastAsia="黑体"/>
      <w:kern w:val="2"/>
      <w:szCs w:val="32"/>
      <w:lang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font21"/>
    <w:basedOn w:val="23"/>
    <w:qFormat/>
    <w:uiPriority w:val="0"/>
    <w:rPr>
      <w:rFonts w:ascii="宋体" w:hAnsi="宋体" w:eastAsia="宋体" w:cs="宋体"/>
      <w:color w:val="000000"/>
      <w:sz w:val="22"/>
      <w:szCs w:val="22"/>
      <w:u w:val="none"/>
    </w:rPr>
  </w:style>
  <w:style w:type="character" w:customStyle="1" w:styleId="47">
    <w:name w:val="font8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61"/>
    <w:basedOn w:val="23"/>
    <w:qFormat/>
    <w:uiPriority w:val="0"/>
    <w:rPr>
      <w:rFonts w:ascii="宋体" w:hAnsi="宋体" w:eastAsia="宋体" w:cs="宋体"/>
      <w:color w:val="000000"/>
      <w:sz w:val="22"/>
      <w:szCs w:val="22"/>
      <w:u w:val="none"/>
    </w:rPr>
  </w:style>
  <w:style w:type="character" w:customStyle="1" w:styleId="50">
    <w:name w:val="font71"/>
    <w:basedOn w:val="23"/>
    <w:qFormat/>
    <w:uiPriority w:val="0"/>
    <w:rPr>
      <w:rFonts w:hint="eastAsia" w:ascii="宋体" w:hAnsi="宋体" w:eastAsia="宋体" w:cs="宋体"/>
      <w:color w:val="FF0000"/>
      <w:sz w:val="24"/>
      <w:szCs w:val="24"/>
      <w:u w:val="none"/>
    </w:rPr>
  </w:style>
  <w:style w:type="character" w:customStyle="1" w:styleId="51">
    <w:name w:val="font41"/>
    <w:basedOn w:val="23"/>
    <w:qFormat/>
    <w:uiPriority w:val="0"/>
    <w:rPr>
      <w:rFonts w:hint="eastAsia" w:ascii="宋体" w:hAnsi="宋体" w:eastAsia="宋体" w:cs="宋体"/>
      <w:color w:val="000000"/>
      <w:sz w:val="24"/>
      <w:szCs w:val="24"/>
      <w:u w:val="none"/>
    </w:rPr>
  </w:style>
  <w:style w:type="character" w:customStyle="1" w:styleId="52">
    <w:name w:val="批注框文本 字符"/>
    <w:basedOn w:val="23"/>
    <w:link w:val="11"/>
    <w:qFormat/>
    <w:uiPriority w:val="0"/>
    <w:rPr>
      <w:rFonts w:eastAsia="华文仿宋"/>
      <w:color w:val="000000"/>
      <w:sz w:val="18"/>
      <w:szCs w:val="18"/>
      <w:lang w:eastAsia="en-US" w:bidi="en-US"/>
    </w:rPr>
  </w:style>
  <w:style w:type="character" w:customStyle="1" w:styleId="53">
    <w:name w:val="正文文本 字符"/>
    <w:basedOn w:val="23"/>
    <w:link w:val="7"/>
    <w:qFormat/>
    <w:uiPriority w:val="0"/>
    <w:rPr>
      <w:rFonts w:ascii="仿宋_GB2312" w:hAnsi="仿宋_GB2312" w:eastAsia="仿宋_GB2312" w:cs="仿宋_GB2312"/>
      <w:color w:val="000000"/>
      <w:sz w:val="30"/>
      <w:szCs w:val="30"/>
      <w:lang w:val="zh-CN" w:bidi="zh-CN"/>
    </w:rPr>
  </w:style>
  <w:style w:type="character" w:customStyle="1" w:styleId="54">
    <w:name w:val="页脚 字符"/>
    <w:basedOn w:val="23"/>
    <w:link w:val="12"/>
    <w:qFormat/>
    <w:uiPriority w:val="99"/>
    <w:rPr>
      <w:rFonts w:eastAsia="仿宋_GB2312"/>
      <w:color w:val="000000"/>
      <w:sz w:val="18"/>
      <w:szCs w:val="24"/>
      <w:lang w:eastAsia="en-US" w:bidi="en-US"/>
    </w:rPr>
  </w:style>
  <w:style w:type="paragraph" w:styleId="55">
    <w:name w:val="List Paragraph"/>
    <w:basedOn w:val="1"/>
    <w:qFormat/>
    <w:uiPriority w:val="1"/>
    <w:pPr>
      <w:ind w:firstLine="420"/>
    </w:pPr>
  </w:style>
  <w:style w:type="table" w:customStyle="1" w:styleId="5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7">
    <w:name w:val="标题 字符"/>
    <w:basedOn w:val="23"/>
    <w:link w:val="20"/>
    <w:qFormat/>
    <w:uiPriority w:val="0"/>
    <w:rPr>
      <w:rFonts w:eastAsia="方正小标宋" w:cstheme="majorBidi"/>
      <w:b/>
      <w:bCs/>
      <w:color w:val="000000"/>
      <w:sz w:val="44"/>
      <w:szCs w:val="32"/>
      <w:lang w:eastAsia="en-US" w:bidi="en-US"/>
    </w:rPr>
  </w:style>
  <w:style w:type="character" w:customStyle="1" w:styleId="58">
    <w:name w:val="font91"/>
    <w:basedOn w:val="23"/>
    <w:qFormat/>
    <w:uiPriority w:val="0"/>
    <w:rPr>
      <w:rFonts w:hint="eastAsia" w:ascii="宋体" w:hAnsi="宋体" w:eastAsia="宋体" w:cs="宋体"/>
      <w:b/>
      <w:bCs/>
      <w:color w:val="000000"/>
      <w:sz w:val="24"/>
      <w:szCs w:val="24"/>
      <w:u w:val="none"/>
    </w:rPr>
  </w:style>
  <w:style w:type="character" w:customStyle="1" w:styleId="59">
    <w:name w:val="font101"/>
    <w:basedOn w:val="23"/>
    <w:qFormat/>
    <w:uiPriority w:val="0"/>
    <w:rPr>
      <w:rFonts w:ascii="方正书宋_GBK" w:hAnsi="方正书宋_GBK" w:eastAsia="方正书宋_GBK" w:cs="方正书宋_GBK"/>
      <w:b/>
      <w:bCs/>
      <w:color w:val="000000"/>
      <w:sz w:val="24"/>
      <w:szCs w:val="24"/>
      <w:u w:val="none"/>
    </w:rPr>
  </w:style>
  <w:style w:type="character" w:customStyle="1" w:styleId="60">
    <w:name w:val="font112"/>
    <w:basedOn w:val="23"/>
    <w:qFormat/>
    <w:uiPriority w:val="0"/>
    <w:rPr>
      <w:rFonts w:hint="eastAsia" w:ascii="宋体" w:hAnsi="宋体" w:eastAsia="宋体" w:cs="宋体"/>
      <w:b/>
      <w:bCs/>
      <w:color w:val="000000"/>
      <w:sz w:val="24"/>
      <w:szCs w:val="24"/>
      <w:u w:val="none"/>
    </w:rPr>
  </w:style>
  <w:style w:type="character" w:customStyle="1" w:styleId="61">
    <w:name w:val="font121"/>
    <w:basedOn w:val="23"/>
    <w:qFormat/>
    <w:uiPriority w:val="0"/>
    <w:rPr>
      <w:rFonts w:hint="eastAsia" w:ascii="宋体" w:hAnsi="宋体" w:eastAsia="宋体" w:cs="宋体"/>
      <w:color w:val="000000"/>
      <w:sz w:val="24"/>
      <w:szCs w:val="24"/>
      <w:u w:val="none"/>
    </w:rPr>
  </w:style>
  <w:style w:type="character" w:customStyle="1" w:styleId="62">
    <w:name w:val="font131"/>
    <w:basedOn w:val="23"/>
    <w:qFormat/>
    <w:uiPriority w:val="0"/>
    <w:rPr>
      <w:rFonts w:hint="default" w:ascii="Times New Roman" w:hAnsi="Times New Roman" w:cs="Times New Roman"/>
      <w:color w:val="000000"/>
      <w:sz w:val="24"/>
      <w:szCs w:val="24"/>
      <w:u w:val="none"/>
    </w:rPr>
  </w:style>
  <w:style w:type="character" w:customStyle="1" w:styleId="63">
    <w:name w:val="font141"/>
    <w:basedOn w:val="23"/>
    <w:qFormat/>
    <w:uiPriority w:val="0"/>
    <w:rPr>
      <w:rFonts w:hint="eastAsia" w:ascii="宋体" w:hAnsi="宋体" w:eastAsia="宋体" w:cs="宋体"/>
      <w:color w:val="000000"/>
      <w:sz w:val="24"/>
      <w:szCs w:val="24"/>
      <w:u w:val="none"/>
    </w:rPr>
  </w:style>
  <w:style w:type="character" w:customStyle="1" w:styleId="64">
    <w:name w:val="font151"/>
    <w:basedOn w:val="23"/>
    <w:qFormat/>
    <w:uiPriority w:val="0"/>
    <w:rPr>
      <w:rFonts w:hint="default" w:ascii="Times New Roman" w:hAnsi="Times New Roman" w:cs="Times New Roman"/>
      <w:color w:val="000000"/>
      <w:sz w:val="24"/>
      <w:szCs w:val="24"/>
      <w:u w:val="none"/>
    </w:rPr>
  </w:style>
  <w:style w:type="paragraph" w:customStyle="1" w:styleId="65">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lang w:eastAsia="zh-CN" w:bidi="ar-SA"/>
    </w:rPr>
  </w:style>
  <w:style w:type="character" w:customStyle="1" w:styleId="66">
    <w:name w:val="CharAttribute37"/>
    <w:qFormat/>
    <w:uiPriority w:val="99"/>
    <w:rPr>
      <w:rFonts w:ascii="宋体" w:hAnsi="宋体" w:eastAsia="Times New Roman"/>
      <w:sz w:val="24"/>
    </w:rPr>
  </w:style>
  <w:style w:type="paragraph" w:customStyle="1" w:styleId="67">
    <w:name w:val="Table Paragraph"/>
    <w:basedOn w:val="1"/>
    <w:qFormat/>
    <w:uiPriority w:val="1"/>
  </w:style>
  <w:style w:type="character" w:customStyle="1" w:styleId="68">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27</Pages>
  <Words>11593</Words>
  <Characters>12281</Characters>
  <Lines>89</Lines>
  <Paragraphs>25</Paragraphs>
  <TotalTime>12</TotalTime>
  <ScaleCrop>false</ScaleCrop>
  <LinksUpToDate>false</LinksUpToDate>
  <CharactersWithSpaces>12309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2023-03-18T02:57:00Z</dcterms:created>
  <dc:creator>cll</dc:creator>
  <cp:lastModifiedBy>薄荷与橙</cp:lastModifiedBy>
  <cp:lastPrinted>2025-04-01T08:17:00Z</cp:lastPrinted>
  <dcterms:modified xsi:type="dcterms:W3CDTF">2025-07-17T03:42:33Z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58CB3AE3722C4C8CA167D2F3944BF467_13</vt:lpwstr>
  </property>
  <property fmtid="{D5CDD505-2E9C-101B-9397-08002B2CF9AE}" pid="4" name="KSOTemplateDocerSaveRecord">
    <vt:lpwstr>eyJoZGlkIjoiMDdkYmU2ZmQ1YmVlNmFhZjk2NzRhYTcxODZkZDY3YTAifQ==</vt:lpwstr>
  </property>
</Properties>
</file>