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203EC">
      <w:pPr>
        <w:pStyle w:val="20"/>
        <w:spacing w:beforeAutospacing="0" w:afterAutospacing="0" w:line="820" w:lineRule="exact"/>
        <w:ind w:firstLine="0" w:firstLineChars="0"/>
        <w:jc w:val="center"/>
        <w:outlineLvl w:val="0"/>
        <w:rPr>
          <w:rFonts w:hint="eastAsia" w:eastAsia="微软雅黑"/>
          <w:b/>
          <w:bCs/>
          <w:sz w:val="44"/>
          <w:szCs w:val="44"/>
          <w:lang w:eastAsia="zh-CN"/>
        </w:rPr>
      </w:pPr>
      <w:bookmarkStart w:id="0" w:name="_Toc15541"/>
      <w:bookmarkStart w:id="1" w:name="_Toc25721"/>
      <w:bookmarkStart w:id="2" w:name="_Toc27923"/>
      <w:bookmarkStart w:id="3" w:name="_Toc4482"/>
      <w:bookmarkStart w:id="4" w:name="_Toc16439"/>
      <w:r>
        <w:rPr>
          <w:rFonts w:hint="eastAsia" w:eastAsia="微软雅黑"/>
          <w:b/>
          <w:bCs/>
          <w:sz w:val="44"/>
          <w:szCs w:val="44"/>
          <w:lang w:eastAsia="zh-CN"/>
        </w:rPr>
        <w:t>乐山市金口河区住房和城乡建设局</w:t>
      </w:r>
      <w:bookmarkEnd w:id="0"/>
      <w:bookmarkEnd w:id="1"/>
    </w:p>
    <w:p w14:paraId="634C021C">
      <w:pPr>
        <w:pStyle w:val="20"/>
        <w:spacing w:beforeAutospacing="0" w:afterAutospacing="0" w:line="820" w:lineRule="exact"/>
        <w:ind w:leftChars="-44" w:right="-480" w:rightChars="-150" w:hanging="141" w:hangingChars="32"/>
        <w:jc w:val="center"/>
        <w:outlineLvl w:val="0"/>
        <w:rPr>
          <w:rFonts w:hint="eastAsia" w:eastAsia="微软雅黑"/>
          <w:b/>
          <w:bCs/>
          <w:sz w:val="44"/>
          <w:szCs w:val="44"/>
          <w:lang w:eastAsia="zh-CN"/>
        </w:rPr>
      </w:pPr>
      <w:bookmarkStart w:id="5" w:name="_Toc13356"/>
      <w:bookmarkStart w:id="6" w:name="_Toc11319"/>
      <w:r>
        <w:rPr>
          <w:rFonts w:hint="eastAsia" w:eastAsia="微软雅黑"/>
          <w:b/>
          <w:bCs/>
          <w:sz w:val="44"/>
          <w:szCs w:val="44"/>
          <w:lang w:eastAsia="zh-CN"/>
        </w:rPr>
        <w:t>城区园林绿化购买社会养护服务项目</w:t>
      </w:r>
      <w:bookmarkEnd w:id="5"/>
      <w:bookmarkEnd w:id="6"/>
    </w:p>
    <w:bookmarkEnd w:id="2"/>
    <w:bookmarkEnd w:id="3"/>
    <w:bookmarkEnd w:id="4"/>
    <w:p w14:paraId="09CF63F3">
      <w:pPr>
        <w:pStyle w:val="20"/>
        <w:spacing w:beforeAutospacing="0" w:afterAutospacing="0" w:line="820" w:lineRule="exact"/>
        <w:ind w:right="83" w:rightChars="26" w:firstLine="0" w:firstLineChars="0"/>
        <w:jc w:val="center"/>
        <w:outlineLvl w:val="0"/>
        <w:rPr>
          <w:rFonts w:eastAsia="微软雅黑"/>
          <w:b/>
          <w:bCs/>
          <w:sz w:val="44"/>
          <w:szCs w:val="44"/>
        </w:rPr>
      </w:pPr>
    </w:p>
    <w:p w14:paraId="35862D12">
      <w:pPr>
        <w:pStyle w:val="20"/>
        <w:spacing w:beforeAutospacing="0" w:afterAutospacing="0" w:line="820" w:lineRule="exact"/>
        <w:ind w:right="83" w:rightChars="26" w:firstLine="0" w:firstLineChars="0"/>
        <w:jc w:val="center"/>
        <w:outlineLvl w:val="0"/>
        <w:rPr>
          <w:rFonts w:eastAsia="微软雅黑"/>
          <w:b/>
          <w:bCs/>
          <w:sz w:val="44"/>
          <w:szCs w:val="44"/>
        </w:rPr>
      </w:pPr>
      <w:bookmarkStart w:id="7" w:name="_Toc7418"/>
      <w:bookmarkStart w:id="8" w:name="_Toc24858"/>
      <w:bookmarkStart w:id="9" w:name="_Toc27502"/>
      <w:r>
        <w:rPr>
          <w:rFonts w:hint="eastAsia" w:eastAsia="微软雅黑"/>
          <w:b/>
          <w:bCs/>
          <w:sz w:val="44"/>
          <w:szCs w:val="44"/>
        </w:rPr>
        <w:t>事</w:t>
      </w:r>
      <w:bookmarkEnd w:id="7"/>
      <w:bookmarkEnd w:id="8"/>
      <w:bookmarkEnd w:id="9"/>
    </w:p>
    <w:p w14:paraId="040B8CFD">
      <w:pPr>
        <w:pStyle w:val="20"/>
        <w:spacing w:beforeAutospacing="0" w:afterAutospacing="0" w:line="820" w:lineRule="exact"/>
        <w:ind w:right="83" w:rightChars="26" w:firstLine="0" w:firstLineChars="0"/>
        <w:jc w:val="center"/>
        <w:outlineLvl w:val="0"/>
        <w:rPr>
          <w:rFonts w:eastAsia="微软雅黑"/>
          <w:b/>
          <w:bCs/>
          <w:sz w:val="44"/>
          <w:szCs w:val="44"/>
        </w:rPr>
      </w:pPr>
      <w:bookmarkStart w:id="10" w:name="_Toc19435"/>
      <w:bookmarkStart w:id="11" w:name="_Toc7915"/>
      <w:bookmarkStart w:id="12" w:name="_Toc30631"/>
      <w:r>
        <w:rPr>
          <w:rFonts w:hint="eastAsia" w:eastAsia="微软雅黑"/>
          <w:b/>
          <w:bCs/>
          <w:sz w:val="44"/>
          <w:szCs w:val="44"/>
        </w:rPr>
        <w:t>前</w:t>
      </w:r>
      <w:bookmarkEnd w:id="10"/>
      <w:bookmarkEnd w:id="11"/>
      <w:bookmarkEnd w:id="12"/>
    </w:p>
    <w:p w14:paraId="16AFED66">
      <w:pPr>
        <w:pStyle w:val="20"/>
        <w:spacing w:beforeAutospacing="0" w:afterAutospacing="0" w:line="820" w:lineRule="exact"/>
        <w:ind w:right="83" w:rightChars="26" w:firstLine="0" w:firstLineChars="0"/>
        <w:jc w:val="center"/>
        <w:outlineLvl w:val="0"/>
        <w:rPr>
          <w:rFonts w:eastAsia="微软雅黑"/>
          <w:b/>
          <w:bCs/>
          <w:sz w:val="44"/>
          <w:szCs w:val="44"/>
        </w:rPr>
      </w:pPr>
      <w:bookmarkStart w:id="13" w:name="_Toc23600"/>
      <w:bookmarkStart w:id="14" w:name="_Toc17772"/>
      <w:bookmarkStart w:id="15" w:name="_Toc22494"/>
      <w:r>
        <w:rPr>
          <w:rFonts w:eastAsia="微软雅黑"/>
          <w:b/>
          <w:bCs/>
          <w:sz w:val="44"/>
          <w:szCs w:val="44"/>
        </w:rPr>
        <w:t>绩</w:t>
      </w:r>
      <w:bookmarkEnd w:id="13"/>
      <w:bookmarkEnd w:id="14"/>
      <w:bookmarkEnd w:id="15"/>
    </w:p>
    <w:p w14:paraId="6930E572">
      <w:pPr>
        <w:pStyle w:val="20"/>
        <w:spacing w:beforeAutospacing="0" w:afterAutospacing="0" w:line="820" w:lineRule="exact"/>
        <w:ind w:right="83" w:rightChars="26" w:firstLine="0" w:firstLineChars="0"/>
        <w:jc w:val="center"/>
        <w:outlineLvl w:val="0"/>
        <w:rPr>
          <w:rFonts w:eastAsia="微软雅黑"/>
          <w:b/>
          <w:bCs/>
          <w:sz w:val="44"/>
          <w:szCs w:val="44"/>
        </w:rPr>
      </w:pPr>
      <w:bookmarkStart w:id="16" w:name="_Toc30052"/>
      <w:bookmarkStart w:id="17" w:name="_Toc32352"/>
      <w:bookmarkStart w:id="18" w:name="_Toc30199"/>
      <w:r>
        <w:rPr>
          <w:rFonts w:eastAsia="微软雅黑"/>
          <w:b/>
          <w:bCs/>
          <w:sz w:val="44"/>
          <w:szCs w:val="44"/>
        </w:rPr>
        <w:t>效</w:t>
      </w:r>
      <w:bookmarkEnd w:id="16"/>
      <w:bookmarkEnd w:id="17"/>
      <w:bookmarkEnd w:id="18"/>
    </w:p>
    <w:p w14:paraId="65094A8B">
      <w:pPr>
        <w:pStyle w:val="20"/>
        <w:spacing w:beforeAutospacing="0" w:afterAutospacing="0" w:line="820" w:lineRule="exact"/>
        <w:ind w:right="83" w:rightChars="26" w:firstLine="0" w:firstLineChars="0"/>
        <w:jc w:val="center"/>
        <w:outlineLvl w:val="0"/>
        <w:rPr>
          <w:rFonts w:eastAsia="微软雅黑"/>
          <w:b/>
          <w:bCs/>
          <w:sz w:val="44"/>
          <w:szCs w:val="44"/>
        </w:rPr>
      </w:pPr>
      <w:bookmarkStart w:id="19" w:name="_Toc27740"/>
      <w:bookmarkStart w:id="20" w:name="_Toc28172"/>
      <w:bookmarkStart w:id="21" w:name="_Toc11710"/>
      <w:r>
        <w:rPr>
          <w:rFonts w:eastAsia="微软雅黑"/>
          <w:b/>
          <w:bCs/>
          <w:sz w:val="44"/>
          <w:szCs w:val="44"/>
        </w:rPr>
        <w:t>评</w:t>
      </w:r>
      <w:bookmarkEnd w:id="19"/>
      <w:bookmarkEnd w:id="20"/>
      <w:bookmarkEnd w:id="21"/>
    </w:p>
    <w:p w14:paraId="7414074C">
      <w:pPr>
        <w:pStyle w:val="20"/>
        <w:spacing w:beforeAutospacing="0" w:afterAutospacing="0" w:line="820" w:lineRule="exact"/>
        <w:ind w:right="83" w:rightChars="26" w:firstLine="0" w:firstLineChars="0"/>
        <w:jc w:val="center"/>
        <w:outlineLvl w:val="0"/>
        <w:rPr>
          <w:rFonts w:eastAsia="微软雅黑"/>
          <w:b/>
          <w:bCs/>
          <w:sz w:val="44"/>
          <w:szCs w:val="44"/>
        </w:rPr>
      </w:pPr>
      <w:bookmarkStart w:id="22" w:name="_Toc11575"/>
      <w:bookmarkStart w:id="23" w:name="_Toc12838"/>
      <w:bookmarkStart w:id="24" w:name="_Toc5005"/>
      <w:r>
        <w:rPr>
          <w:rFonts w:eastAsia="微软雅黑"/>
          <w:b/>
          <w:bCs/>
          <w:sz w:val="44"/>
          <w:szCs w:val="44"/>
        </w:rPr>
        <w:t>价</w:t>
      </w:r>
      <w:bookmarkEnd w:id="22"/>
      <w:bookmarkEnd w:id="23"/>
      <w:bookmarkEnd w:id="24"/>
    </w:p>
    <w:p w14:paraId="3F2A68BB">
      <w:pPr>
        <w:pStyle w:val="20"/>
        <w:spacing w:beforeAutospacing="0" w:afterAutospacing="0" w:line="820" w:lineRule="exact"/>
        <w:ind w:right="83" w:rightChars="26" w:firstLine="0" w:firstLineChars="0"/>
        <w:jc w:val="center"/>
        <w:outlineLvl w:val="0"/>
        <w:rPr>
          <w:rFonts w:eastAsia="微软雅黑"/>
          <w:b/>
          <w:bCs/>
          <w:sz w:val="44"/>
          <w:szCs w:val="44"/>
        </w:rPr>
      </w:pPr>
      <w:bookmarkStart w:id="25" w:name="_Toc22413"/>
      <w:bookmarkStart w:id="26" w:name="_Toc15323"/>
      <w:bookmarkStart w:id="27" w:name="_Toc21119"/>
      <w:r>
        <w:rPr>
          <w:rFonts w:eastAsia="微软雅黑"/>
          <w:b/>
          <w:bCs/>
          <w:sz w:val="44"/>
          <w:szCs w:val="44"/>
        </w:rPr>
        <w:t>报</w:t>
      </w:r>
      <w:bookmarkEnd w:id="25"/>
      <w:bookmarkEnd w:id="26"/>
      <w:bookmarkEnd w:id="27"/>
    </w:p>
    <w:p w14:paraId="319BDECE">
      <w:pPr>
        <w:pStyle w:val="20"/>
        <w:spacing w:beforeAutospacing="0" w:afterAutospacing="0" w:line="820" w:lineRule="exact"/>
        <w:ind w:right="83" w:rightChars="26" w:firstLine="0" w:firstLineChars="0"/>
        <w:jc w:val="center"/>
        <w:outlineLvl w:val="0"/>
        <w:rPr>
          <w:rFonts w:eastAsia="微软雅黑"/>
          <w:b/>
          <w:bCs/>
          <w:sz w:val="44"/>
          <w:szCs w:val="44"/>
        </w:rPr>
      </w:pPr>
      <w:bookmarkStart w:id="28" w:name="_Toc24504"/>
      <w:bookmarkStart w:id="29" w:name="_Toc11939"/>
      <w:bookmarkStart w:id="30" w:name="_Toc5311"/>
      <w:r>
        <w:rPr>
          <w:rFonts w:eastAsia="微软雅黑"/>
          <w:b/>
          <w:bCs/>
          <w:sz w:val="44"/>
          <w:szCs w:val="44"/>
        </w:rPr>
        <w:t>告</w:t>
      </w:r>
      <w:bookmarkEnd w:id="28"/>
      <w:bookmarkEnd w:id="29"/>
      <w:bookmarkEnd w:id="30"/>
    </w:p>
    <w:p w14:paraId="7CCC4CED">
      <w:pPr>
        <w:snapToGrid w:val="0"/>
        <w:spacing w:line="600" w:lineRule="exact"/>
        <w:rPr>
          <w:rStyle w:val="67"/>
          <w:rFonts w:hint="eastAsia" w:eastAsia="仿宋_GB2312"/>
          <w:bCs/>
          <w:sz w:val="28"/>
          <w:szCs w:val="28"/>
          <w:lang w:eastAsia="zh-CN"/>
        </w:rPr>
      </w:pPr>
    </w:p>
    <w:p w14:paraId="2C61E1C6">
      <w:pPr>
        <w:snapToGrid w:val="0"/>
        <w:spacing w:line="600" w:lineRule="exact"/>
        <w:rPr>
          <w:rStyle w:val="67"/>
          <w:rFonts w:hint="eastAsia" w:eastAsia="仿宋_GB2312"/>
          <w:bCs/>
          <w:sz w:val="28"/>
          <w:szCs w:val="28"/>
          <w:lang w:eastAsia="zh-CN"/>
        </w:rPr>
      </w:pPr>
      <w:r>
        <w:rPr>
          <w:rStyle w:val="67"/>
          <w:rFonts w:eastAsia="仿宋_GB2312"/>
          <w:bCs/>
          <w:sz w:val="28"/>
          <w:szCs w:val="28"/>
          <w:lang w:eastAsia="zh-CN"/>
        </w:rPr>
        <w:t>项目编号：</w:t>
      </w:r>
      <w:r>
        <w:rPr>
          <w:rStyle w:val="67"/>
          <w:rFonts w:eastAsia="仿宋_GB2312"/>
          <w:bCs/>
          <w:sz w:val="28"/>
          <w:szCs w:val="28"/>
          <w:highlight w:val="none"/>
          <w:lang w:eastAsia="zh-CN"/>
        </w:rPr>
        <w:t>金财绩评（202</w:t>
      </w:r>
      <w:r>
        <w:rPr>
          <w:rStyle w:val="67"/>
          <w:rFonts w:hint="eastAsia" w:eastAsia="仿宋_GB2312"/>
          <w:bCs/>
          <w:sz w:val="28"/>
          <w:szCs w:val="28"/>
          <w:highlight w:val="none"/>
          <w:lang w:eastAsia="zh-CN"/>
        </w:rPr>
        <w:t>5</w:t>
      </w:r>
      <w:r>
        <w:rPr>
          <w:rStyle w:val="67"/>
          <w:rFonts w:eastAsia="仿宋_GB2312"/>
          <w:bCs/>
          <w:sz w:val="28"/>
          <w:szCs w:val="28"/>
          <w:highlight w:val="none"/>
          <w:lang w:eastAsia="zh-CN"/>
        </w:rPr>
        <w:t>）0</w:t>
      </w:r>
      <w:r>
        <w:rPr>
          <w:rStyle w:val="67"/>
          <w:rFonts w:hint="eastAsia"/>
          <w:bCs/>
          <w:sz w:val="28"/>
          <w:szCs w:val="28"/>
          <w:highlight w:val="none"/>
          <w:lang w:val="en-US" w:eastAsia="zh-CN"/>
        </w:rPr>
        <w:t>5</w:t>
      </w:r>
      <w:r>
        <w:rPr>
          <w:rStyle w:val="67"/>
          <w:rFonts w:eastAsia="仿宋_GB2312"/>
          <w:bCs/>
          <w:sz w:val="28"/>
          <w:szCs w:val="28"/>
          <w:highlight w:val="none"/>
          <w:lang w:eastAsia="zh-CN"/>
        </w:rPr>
        <w:t>号</w:t>
      </w:r>
    </w:p>
    <w:p w14:paraId="52ED5FAB">
      <w:pPr>
        <w:snapToGrid w:val="0"/>
        <w:spacing w:line="600" w:lineRule="exact"/>
        <w:rPr>
          <w:rStyle w:val="67"/>
          <w:rFonts w:hint="eastAsia" w:eastAsia="仿宋_GB2312"/>
          <w:bCs/>
          <w:sz w:val="28"/>
          <w:szCs w:val="28"/>
          <w:lang w:eastAsia="zh-CN"/>
        </w:rPr>
      </w:pPr>
      <w:r>
        <w:rPr>
          <w:rStyle w:val="67"/>
          <w:rFonts w:eastAsia="仿宋_GB2312"/>
          <w:bCs/>
          <w:sz w:val="28"/>
          <w:szCs w:val="28"/>
          <w:lang w:eastAsia="zh-CN"/>
        </w:rPr>
        <w:t>主管部门：</w:t>
      </w:r>
      <w:r>
        <w:rPr>
          <w:rStyle w:val="67"/>
          <w:rFonts w:hint="eastAsia"/>
          <w:bCs/>
          <w:sz w:val="28"/>
          <w:szCs w:val="28"/>
          <w:lang w:eastAsia="zh-CN"/>
        </w:rPr>
        <w:t>乐山市金口河区住房和城乡建设局</w:t>
      </w:r>
    </w:p>
    <w:p w14:paraId="59C008DF">
      <w:pPr>
        <w:snapToGrid w:val="0"/>
        <w:spacing w:line="600" w:lineRule="exact"/>
        <w:rPr>
          <w:rStyle w:val="67"/>
          <w:rFonts w:hint="eastAsia" w:eastAsia="仿宋_GB2312"/>
          <w:bCs/>
          <w:sz w:val="28"/>
          <w:szCs w:val="28"/>
          <w:lang w:eastAsia="zh-CN"/>
        </w:rPr>
      </w:pPr>
      <w:r>
        <w:rPr>
          <w:rStyle w:val="67"/>
          <w:rFonts w:eastAsia="仿宋_GB2312"/>
          <w:bCs/>
          <w:sz w:val="28"/>
          <w:szCs w:val="28"/>
          <w:lang w:eastAsia="zh-CN"/>
        </w:rPr>
        <w:t>实施单位：</w:t>
      </w:r>
      <w:r>
        <w:rPr>
          <w:rStyle w:val="67"/>
          <w:rFonts w:hint="eastAsia"/>
          <w:bCs/>
          <w:sz w:val="28"/>
          <w:szCs w:val="28"/>
          <w:lang w:eastAsia="zh-CN"/>
        </w:rPr>
        <w:t>乐山市金口河区住房和城乡建设局</w:t>
      </w:r>
    </w:p>
    <w:p w14:paraId="7B50E48F">
      <w:pPr>
        <w:snapToGrid w:val="0"/>
        <w:spacing w:line="600" w:lineRule="exact"/>
        <w:rPr>
          <w:rStyle w:val="67"/>
          <w:rFonts w:hint="eastAsia"/>
          <w:bCs/>
          <w:sz w:val="28"/>
          <w:szCs w:val="28"/>
          <w:lang w:eastAsia="zh-CN"/>
        </w:rPr>
      </w:pPr>
      <w:r>
        <w:rPr>
          <w:rStyle w:val="67"/>
          <w:rFonts w:eastAsia="仿宋_GB2312"/>
          <w:bCs/>
          <w:sz w:val="28"/>
          <w:szCs w:val="28"/>
          <w:lang w:eastAsia="zh-CN"/>
        </w:rPr>
        <w:t>评价</w:t>
      </w:r>
      <w:r>
        <w:rPr>
          <w:rStyle w:val="67"/>
          <w:rFonts w:hint="eastAsia"/>
          <w:bCs/>
          <w:sz w:val="28"/>
          <w:szCs w:val="28"/>
          <w:lang w:eastAsia="zh-CN"/>
        </w:rPr>
        <w:t>单位：乐山市金口河区财政投资评价审核中心</w:t>
      </w:r>
    </w:p>
    <w:p w14:paraId="7EE50107">
      <w:pPr>
        <w:snapToGrid w:val="0"/>
        <w:spacing w:line="600" w:lineRule="exact"/>
        <w:rPr>
          <w:rStyle w:val="67"/>
          <w:rFonts w:hint="eastAsia"/>
          <w:bCs/>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p>
    <w:p w14:paraId="63ACDBF1">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31" w:name="_Toc4237"/>
      <w:bookmarkStart w:id="32" w:name="_Toc26754"/>
      <w:r>
        <w:rPr>
          <w:rFonts w:hint="eastAsia" w:ascii="宋体" w:hAnsi="宋体" w:eastAsia="宋体" w:cs="宋体"/>
          <w:b w:val="0"/>
          <w:bCs w:val="0"/>
          <w:lang w:eastAsia="zh-CN"/>
        </w:rPr>
        <w:t>乐山市金口河区住房和城乡建设局</w:t>
      </w:r>
      <w:bookmarkEnd w:id="31"/>
      <w:bookmarkEnd w:id="32"/>
    </w:p>
    <w:p w14:paraId="129B1592">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33" w:name="_Toc17791"/>
      <w:bookmarkStart w:id="34" w:name="_Toc32364"/>
      <w:r>
        <w:rPr>
          <w:rFonts w:hint="eastAsia" w:ascii="宋体" w:hAnsi="宋体" w:eastAsia="宋体" w:cs="宋体"/>
          <w:b w:val="0"/>
          <w:bCs w:val="0"/>
          <w:lang w:eastAsia="zh-CN"/>
        </w:rPr>
        <w:t>城区园林绿化购买社会养护服务项目</w:t>
      </w:r>
      <w:bookmarkEnd w:id="33"/>
      <w:bookmarkEnd w:id="34"/>
    </w:p>
    <w:p w14:paraId="69789417">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35" w:name="_Toc23933"/>
      <w:bookmarkStart w:id="36" w:name="_Toc17293"/>
      <w:bookmarkStart w:id="37" w:name="_Toc7557"/>
      <w:r>
        <w:rPr>
          <w:rFonts w:hint="eastAsia" w:ascii="宋体" w:hAnsi="宋体" w:eastAsia="宋体" w:cs="宋体"/>
          <w:b w:val="0"/>
          <w:bCs w:val="0"/>
          <w:lang w:eastAsia="zh-CN"/>
        </w:rPr>
        <w:t>事前绩效评价结论</w:t>
      </w:r>
      <w:bookmarkEnd w:id="35"/>
      <w:bookmarkEnd w:id="36"/>
      <w:bookmarkEnd w:id="37"/>
    </w:p>
    <w:p w14:paraId="0BCB1965">
      <w:pPr>
        <w:pStyle w:val="2"/>
        <w:spacing w:before="0" w:beforeLines="0" w:after="0" w:afterLines="0"/>
        <w:rPr>
          <w:rFonts w:hint="eastAsia" w:ascii="仿宋" w:hAnsi="仿宋" w:eastAsia="仿宋" w:cs="仿宋"/>
          <w:b w:val="0"/>
          <w:color w:val="auto"/>
          <w:lang w:eastAsia="zh-CN"/>
        </w:rPr>
      </w:pPr>
    </w:p>
    <w:p w14:paraId="27E18DE2">
      <w:pPr>
        <w:ind w:firstLine="640"/>
        <w:rPr>
          <w:rFonts w:hint="eastAsia" w:ascii="仿宋" w:hAnsi="仿宋" w:eastAsia="仿宋" w:cs="仿宋"/>
          <w:color w:val="auto"/>
          <w:lang w:eastAsia="zh-CN"/>
        </w:rPr>
      </w:pPr>
      <w:r>
        <w:rPr>
          <w:rFonts w:hint="eastAsia" w:ascii="仿宋" w:hAnsi="仿宋" w:eastAsia="仿宋" w:cs="仿宋"/>
          <w:color w:val="auto"/>
          <w:lang w:eastAsia="zh-CN"/>
        </w:rPr>
        <w:t>我中心对城区园林绿化购买社会养护服务项目事前绩效评价综合得分为9</w:t>
      </w:r>
      <w:r>
        <w:rPr>
          <w:rFonts w:hint="eastAsia" w:ascii="仿宋" w:hAnsi="仿宋" w:eastAsia="仿宋" w:cs="仿宋"/>
          <w:color w:val="auto"/>
          <w:lang w:val="en-US" w:eastAsia="zh-CN"/>
        </w:rPr>
        <w:t>0</w:t>
      </w:r>
      <w:r>
        <w:rPr>
          <w:rFonts w:hint="eastAsia" w:ascii="仿宋" w:hAnsi="仿宋" w:eastAsia="仿宋" w:cs="仿宋"/>
          <w:color w:val="auto"/>
          <w:lang w:eastAsia="zh-CN"/>
        </w:rPr>
        <w:t>分，综合绩效评估结论为</w:t>
      </w:r>
      <w:r>
        <w:rPr>
          <w:rFonts w:ascii="仿宋" w:hAnsi="仿宋" w:eastAsia="仿宋" w:cs="仿宋"/>
          <w:szCs w:val="32"/>
          <w:lang w:eastAsia="zh-CN"/>
        </w:rPr>
        <w:t>“</w:t>
      </w:r>
      <w:r>
        <w:rPr>
          <w:rFonts w:hint="eastAsia" w:ascii="仿宋" w:hAnsi="仿宋" w:eastAsia="仿宋" w:cs="仿宋"/>
          <w:b/>
          <w:bCs/>
          <w:szCs w:val="32"/>
          <w:lang w:eastAsia="zh-CN"/>
        </w:rPr>
        <w:t>建议</w:t>
      </w:r>
      <w:r>
        <w:rPr>
          <w:rFonts w:ascii="仿宋" w:hAnsi="仿宋" w:eastAsia="仿宋" w:cs="仿宋"/>
          <w:b/>
          <w:bCs/>
          <w:szCs w:val="32"/>
          <w:lang w:eastAsia="zh-CN"/>
        </w:rPr>
        <w:t>实施</w:t>
      </w:r>
      <w:r>
        <w:rPr>
          <w:rFonts w:ascii="仿宋" w:hAnsi="仿宋" w:eastAsia="仿宋" w:cs="仿宋"/>
          <w:szCs w:val="32"/>
          <w:lang w:eastAsia="zh-CN"/>
        </w:rPr>
        <w:t>”</w:t>
      </w:r>
      <w:r>
        <w:rPr>
          <w:rFonts w:hint="eastAsia" w:ascii="仿宋" w:hAnsi="仿宋" w:eastAsia="仿宋" w:cs="仿宋"/>
          <w:szCs w:val="32"/>
          <w:lang w:eastAsia="zh-CN"/>
        </w:rPr>
        <w:t>。</w:t>
      </w:r>
      <w:r>
        <w:rPr>
          <w:rFonts w:hint="eastAsia" w:ascii="仿宋" w:hAnsi="仿宋" w:eastAsia="仿宋" w:cs="仿宋"/>
          <w:color w:val="auto"/>
          <w:lang w:eastAsia="zh-CN"/>
        </w:rPr>
        <w:t>（具体评分情况见三、事前绩效评估指标体系及得分情况）</w:t>
      </w:r>
    </w:p>
    <w:p w14:paraId="180FB08F">
      <w:pPr>
        <w:ind w:firstLine="640"/>
        <w:jc w:val="center"/>
        <w:rPr>
          <w:rFonts w:hint="eastAsia" w:ascii="仿宋" w:hAnsi="仿宋" w:eastAsia="仿宋" w:cs="仿宋"/>
          <w:color w:val="auto"/>
          <w:lang w:eastAsia="zh-CN"/>
        </w:rPr>
      </w:pPr>
      <w:bookmarkStart w:id="38" w:name="_Toc11068"/>
      <w:bookmarkStart w:id="39" w:name="_Toc2386"/>
      <w:r>
        <w:rPr>
          <w:rFonts w:hint="eastAsia" w:ascii="仿宋" w:hAnsi="仿宋" w:eastAsia="仿宋" w:cs="仿宋"/>
          <w:color w:val="auto"/>
          <w:lang w:eastAsia="zh-CN"/>
        </w:rPr>
        <w:t>城区园林绿化购买社会养护服务项目</w:t>
      </w:r>
      <w:bookmarkEnd w:id="38"/>
      <w:bookmarkEnd w:id="39"/>
    </w:p>
    <w:p w14:paraId="517EDB8D">
      <w:pPr>
        <w:tabs>
          <w:tab w:val="left" w:pos="1336"/>
        </w:tabs>
        <w:spacing w:line="480" w:lineRule="exact"/>
        <w:ind w:firstLine="0" w:firstLineChars="0"/>
        <w:jc w:val="center"/>
        <w:outlineLvl w:val="0"/>
        <w:rPr>
          <w:rFonts w:hint="eastAsia" w:ascii="仿宋" w:hAnsi="仿宋" w:eastAsia="仿宋" w:cs="仿宋"/>
          <w:szCs w:val="32"/>
          <w:lang w:eastAsia="zh-CN"/>
        </w:rPr>
      </w:pPr>
      <w:bookmarkStart w:id="40" w:name="_Toc8449"/>
      <w:bookmarkStart w:id="41" w:name="_Toc13519"/>
      <w:bookmarkStart w:id="42" w:name="_Toc29428"/>
      <w:bookmarkStart w:id="43" w:name="_Toc25829"/>
      <w:bookmarkStart w:id="44" w:name="_Toc4904"/>
      <w:bookmarkStart w:id="45" w:name="_Toc11241"/>
      <w:r>
        <w:rPr>
          <w:rFonts w:hint="eastAsia" w:ascii="仿宋" w:hAnsi="仿宋" w:eastAsia="仿宋" w:cs="仿宋"/>
          <w:color w:val="auto"/>
          <w:lang w:eastAsia="zh-CN"/>
        </w:rPr>
        <w:t>事前绩效评价结论一览</w:t>
      </w:r>
      <w:r>
        <w:rPr>
          <w:rFonts w:hint="eastAsia" w:ascii="仿宋" w:hAnsi="仿宋" w:eastAsia="仿宋" w:cs="仿宋"/>
          <w:szCs w:val="32"/>
          <w:lang w:eastAsia="zh-CN"/>
        </w:rPr>
        <w:t>表</w:t>
      </w:r>
      <w:bookmarkEnd w:id="40"/>
      <w:bookmarkEnd w:id="41"/>
      <w:bookmarkEnd w:id="42"/>
      <w:bookmarkEnd w:id="43"/>
      <w:bookmarkEnd w:id="44"/>
      <w:bookmarkEnd w:id="45"/>
    </w:p>
    <w:tbl>
      <w:tblPr>
        <w:tblStyle w:val="22"/>
        <w:tblW w:w="4923" w:type="pct"/>
        <w:tblInd w:w="0" w:type="dxa"/>
        <w:tblLayout w:type="fixed"/>
        <w:tblCellMar>
          <w:top w:w="0" w:type="dxa"/>
          <w:left w:w="108" w:type="dxa"/>
          <w:bottom w:w="0" w:type="dxa"/>
          <w:right w:w="108" w:type="dxa"/>
        </w:tblCellMar>
      </w:tblPr>
      <w:tblGrid>
        <w:gridCol w:w="4860"/>
        <w:gridCol w:w="1836"/>
        <w:gridCol w:w="1695"/>
      </w:tblGrid>
      <w:tr w14:paraId="00711106">
        <w:tblPrEx>
          <w:tblCellMar>
            <w:top w:w="0" w:type="dxa"/>
            <w:left w:w="108" w:type="dxa"/>
            <w:bottom w:w="0" w:type="dxa"/>
            <w:right w:w="108" w:type="dxa"/>
          </w:tblCellMar>
        </w:tblPrEx>
        <w:trPr>
          <w:trHeight w:val="624" w:hRule="exact"/>
        </w:trPr>
        <w:tc>
          <w:tcPr>
            <w:tcW w:w="2895"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398C6A7B">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评价内容</w:t>
            </w:r>
          </w:p>
        </w:tc>
        <w:tc>
          <w:tcPr>
            <w:tcW w:w="1094"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51EC4692">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分值</w:t>
            </w:r>
          </w:p>
        </w:tc>
        <w:tc>
          <w:tcPr>
            <w:tcW w:w="1010"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5FD925E2">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评价得分</w:t>
            </w:r>
          </w:p>
        </w:tc>
      </w:tr>
      <w:tr w14:paraId="1D625409">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27259B19">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项目实施的必要性、公益性、</w:t>
            </w:r>
            <w:r>
              <w:rPr>
                <w:rFonts w:hint="eastAsia" w:ascii="仿宋" w:hAnsi="仿宋" w:eastAsia="仿宋" w:cs="仿宋"/>
                <w:bCs/>
                <w:snapToGrid w:val="0"/>
                <w:sz w:val="28"/>
                <w:szCs w:val="28"/>
                <w:lang w:val="en-US" w:eastAsia="zh-CN"/>
              </w:rPr>
              <w:t>经济</w:t>
            </w:r>
            <w:r>
              <w:rPr>
                <w:rFonts w:hint="eastAsia" w:ascii="仿宋" w:hAnsi="仿宋" w:eastAsia="仿宋" w:cs="仿宋"/>
                <w:bCs/>
                <w:snapToGrid w:val="0"/>
                <w:sz w:val="28"/>
                <w:szCs w:val="28"/>
                <w:lang w:eastAsia="zh-CN"/>
              </w:rPr>
              <w:t>性</w:t>
            </w:r>
          </w:p>
        </w:tc>
        <w:tc>
          <w:tcPr>
            <w:tcW w:w="1094" w:type="pct"/>
            <w:tcBorders>
              <w:top w:val="nil"/>
              <w:left w:val="nil"/>
              <w:bottom w:val="single" w:color="auto" w:sz="4" w:space="0"/>
              <w:right w:val="single" w:color="auto" w:sz="4" w:space="0"/>
            </w:tcBorders>
            <w:shd w:val="clear" w:color="auto" w:fill="auto"/>
            <w:noWrap/>
            <w:vAlign w:val="center"/>
          </w:tcPr>
          <w:p w14:paraId="176E0C6D">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16</w:t>
            </w:r>
          </w:p>
        </w:tc>
        <w:tc>
          <w:tcPr>
            <w:tcW w:w="1010" w:type="pct"/>
            <w:tcBorders>
              <w:top w:val="nil"/>
              <w:left w:val="nil"/>
              <w:bottom w:val="single" w:color="auto" w:sz="4" w:space="0"/>
              <w:right w:val="single" w:color="auto" w:sz="4" w:space="0"/>
            </w:tcBorders>
            <w:shd w:val="clear" w:color="auto" w:fill="auto"/>
            <w:noWrap/>
            <w:vAlign w:val="center"/>
          </w:tcPr>
          <w:p w14:paraId="791F988A">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16</w:t>
            </w:r>
          </w:p>
        </w:tc>
      </w:tr>
      <w:tr w14:paraId="02D19E89">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6C9DD579">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项目建设投资合规性与项目成熟度</w:t>
            </w:r>
          </w:p>
        </w:tc>
        <w:tc>
          <w:tcPr>
            <w:tcW w:w="1094" w:type="pct"/>
            <w:tcBorders>
              <w:top w:val="nil"/>
              <w:left w:val="nil"/>
              <w:bottom w:val="single" w:color="auto" w:sz="4" w:space="0"/>
              <w:right w:val="single" w:color="auto" w:sz="4" w:space="0"/>
            </w:tcBorders>
            <w:shd w:val="clear" w:color="auto" w:fill="auto"/>
            <w:noWrap/>
            <w:vAlign w:val="center"/>
          </w:tcPr>
          <w:p w14:paraId="7B9E6D2D">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5</w:t>
            </w:r>
          </w:p>
        </w:tc>
        <w:tc>
          <w:tcPr>
            <w:tcW w:w="1010" w:type="pct"/>
            <w:tcBorders>
              <w:top w:val="nil"/>
              <w:left w:val="nil"/>
              <w:bottom w:val="single" w:color="auto" w:sz="4" w:space="0"/>
              <w:right w:val="single" w:color="auto" w:sz="4" w:space="0"/>
            </w:tcBorders>
            <w:shd w:val="clear" w:color="auto" w:fill="auto"/>
            <w:noWrap/>
            <w:vAlign w:val="center"/>
          </w:tcPr>
          <w:p w14:paraId="1FF8C0B8">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5</w:t>
            </w:r>
          </w:p>
        </w:tc>
      </w:tr>
      <w:tr w14:paraId="5AC17A47">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4927294A">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eastAsia="zh-CN"/>
              </w:rPr>
              <w:t>项目资金来源和到位可行性</w:t>
            </w:r>
          </w:p>
        </w:tc>
        <w:tc>
          <w:tcPr>
            <w:tcW w:w="1094" w:type="pct"/>
            <w:tcBorders>
              <w:top w:val="nil"/>
              <w:left w:val="nil"/>
              <w:bottom w:val="single" w:color="auto" w:sz="4" w:space="0"/>
              <w:right w:val="single" w:color="auto" w:sz="4" w:space="0"/>
            </w:tcBorders>
            <w:shd w:val="clear" w:color="auto" w:fill="auto"/>
            <w:noWrap/>
            <w:vAlign w:val="center"/>
          </w:tcPr>
          <w:p w14:paraId="6BBDE865">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5</w:t>
            </w:r>
          </w:p>
        </w:tc>
        <w:tc>
          <w:tcPr>
            <w:tcW w:w="1010" w:type="pct"/>
            <w:tcBorders>
              <w:top w:val="nil"/>
              <w:left w:val="nil"/>
              <w:bottom w:val="single" w:color="auto" w:sz="4" w:space="0"/>
              <w:right w:val="single" w:color="auto" w:sz="4" w:space="0"/>
            </w:tcBorders>
            <w:shd w:val="clear" w:color="auto" w:fill="auto"/>
            <w:noWrap/>
            <w:vAlign w:val="center"/>
          </w:tcPr>
          <w:p w14:paraId="43324A97">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5</w:t>
            </w:r>
          </w:p>
        </w:tc>
      </w:tr>
      <w:tr w14:paraId="43BEF648">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1C678553">
            <w:pPr>
              <w:widowControl/>
              <w:ind w:firstLine="0" w:firstLineChars="0"/>
              <w:jc w:val="center"/>
              <w:textAlignment w:val="bottom"/>
              <w:rPr>
                <w:rFonts w:hint="eastAsia" w:ascii="仿宋" w:hAnsi="仿宋" w:eastAsia="仿宋" w:cs="仿宋"/>
                <w:sz w:val="28"/>
                <w:szCs w:val="28"/>
                <w:lang w:eastAsia="zh-CN"/>
              </w:rPr>
            </w:pPr>
            <w:r>
              <w:rPr>
                <w:rFonts w:hint="eastAsia" w:ascii="仿宋" w:hAnsi="仿宋" w:eastAsia="仿宋" w:cs="仿宋"/>
                <w:bCs/>
                <w:snapToGrid w:val="0"/>
                <w:sz w:val="28"/>
                <w:szCs w:val="28"/>
                <w:lang w:val="en-US" w:eastAsia="zh-CN"/>
              </w:rPr>
              <w:t>资金使用</w:t>
            </w:r>
            <w:r>
              <w:rPr>
                <w:rFonts w:hint="eastAsia" w:ascii="仿宋" w:hAnsi="仿宋" w:eastAsia="仿宋" w:cs="仿宋"/>
                <w:bCs/>
                <w:snapToGrid w:val="0"/>
                <w:sz w:val="28"/>
                <w:szCs w:val="28"/>
                <w:lang w:eastAsia="zh-CN"/>
              </w:rPr>
              <w:t>计划合理性、资金到位及时性</w:t>
            </w:r>
          </w:p>
        </w:tc>
        <w:tc>
          <w:tcPr>
            <w:tcW w:w="1094" w:type="pct"/>
            <w:tcBorders>
              <w:top w:val="nil"/>
              <w:left w:val="nil"/>
              <w:bottom w:val="single" w:color="auto" w:sz="4" w:space="0"/>
              <w:right w:val="single" w:color="auto" w:sz="4" w:space="0"/>
            </w:tcBorders>
            <w:shd w:val="clear" w:color="auto" w:fill="auto"/>
            <w:noWrap/>
            <w:vAlign w:val="center"/>
          </w:tcPr>
          <w:p w14:paraId="731E2590">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w:t>
            </w:r>
          </w:p>
        </w:tc>
        <w:tc>
          <w:tcPr>
            <w:tcW w:w="1010" w:type="pct"/>
            <w:tcBorders>
              <w:top w:val="nil"/>
              <w:left w:val="nil"/>
              <w:bottom w:val="single" w:color="auto" w:sz="4" w:space="0"/>
              <w:right w:val="single" w:color="auto" w:sz="4" w:space="0"/>
            </w:tcBorders>
            <w:shd w:val="clear" w:color="auto" w:fill="auto"/>
            <w:noWrap/>
            <w:vAlign w:val="center"/>
          </w:tcPr>
          <w:p w14:paraId="0D0E575B">
            <w:pPr>
              <w:widowControl/>
              <w:ind w:firstLine="0" w:firstLineChars="0"/>
              <w:jc w:val="center"/>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r>
      <w:tr w14:paraId="4DAAF02C">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276B9347">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项目绩效目标明确性、合理性</w:t>
            </w:r>
          </w:p>
        </w:tc>
        <w:tc>
          <w:tcPr>
            <w:tcW w:w="1094" w:type="pct"/>
            <w:tcBorders>
              <w:top w:val="nil"/>
              <w:left w:val="nil"/>
              <w:bottom w:val="single" w:color="auto" w:sz="4" w:space="0"/>
              <w:right w:val="single" w:color="auto" w:sz="4" w:space="0"/>
            </w:tcBorders>
            <w:shd w:val="clear" w:color="auto" w:fill="auto"/>
            <w:noWrap/>
            <w:vAlign w:val="center"/>
          </w:tcPr>
          <w:p w14:paraId="5A535FFA">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w:t>
            </w:r>
          </w:p>
        </w:tc>
        <w:tc>
          <w:tcPr>
            <w:tcW w:w="1010" w:type="pct"/>
            <w:tcBorders>
              <w:top w:val="nil"/>
              <w:left w:val="nil"/>
              <w:bottom w:val="single" w:color="auto" w:sz="4" w:space="0"/>
              <w:right w:val="single" w:color="auto" w:sz="4" w:space="0"/>
            </w:tcBorders>
            <w:shd w:val="clear" w:color="auto" w:fill="auto"/>
            <w:noWrap/>
            <w:vAlign w:val="center"/>
          </w:tcPr>
          <w:p w14:paraId="0815FD25">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13</w:t>
            </w:r>
          </w:p>
        </w:tc>
      </w:tr>
      <w:tr w14:paraId="4A55856C">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5D55CD36">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项目实施方案的有效性</w:t>
            </w:r>
          </w:p>
        </w:tc>
        <w:tc>
          <w:tcPr>
            <w:tcW w:w="1094" w:type="pct"/>
            <w:tcBorders>
              <w:top w:val="nil"/>
              <w:left w:val="nil"/>
              <w:bottom w:val="single" w:color="auto" w:sz="4" w:space="0"/>
              <w:right w:val="single" w:color="auto" w:sz="4" w:space="0"/>
            </w:tcBorders>
            <w:shd w:val="clear" w:color="auto" w:fill="auto"/>
            <w:noWrap/>
            <w:vAlign w:val="center"/>
          </w:tcPr>
          <w:p w14:paraId="6C6ACB54">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w:t>
            </w:r>
          </w:p>
        </w:tc>
        <w:tc>
          <w:tcPr>
            <w:tcW w:w="1010" w:type="pct"/>
            <w:tcBorders>
              <w:top w:val="nil"/>
              <w:left w:val="nil"/>
              <w:bottom w:val="single" w:color="auto" w:sz="4" w:space="0"/>
              <w:right w:val="single" w:color="auto" w:sz="4" w:space="0"/>
            </w:tcBorders>
            <w:shd w:val="clear" w:color="auto" w:fill="auto"/>
            <w:noWrap/>
            <w:vAlign w:val="center"/>
          </w:tcPr>
          <w:p w14:paraId="32BF3DF8">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8</w:t>
            </w:r>
          </w:p>
        </w:tc>
      </w:tr>
      <w:tr w14:paraId="61650481">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0C1F55FE">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项目实施成果合格性</w:t>
            </w:r>
          </w:p>
        </w:tc>
        <w:tc>
          <w:tcPr>
            <w:tcW w:w="1094" w:type="pct"/>
            <w:tcBorders>
              <w:top w:val="nil"/>
              <w:left w:val="nil"/>
              <w:bottom w:val="single" w:color="auto" w:sz="4" w:space="0"/>
              <w:right w:val="single" w:color="auto" w:sz="4" w:space="0"/>
            </w:tcBorders>
            <w:shd w:val="clear" w:color="auto" w:fill="auto"/>
            <w:noWrap/>
            <w:vAlign w:val="center"/>
          </w:tcPr>
          <w:p w14:paraId="38CEE5F7">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9</w:t>
            </w:r>
          </w:p>
        </w:tc>
        <w:tc>
          <w:tcPr>
            <w:tcW w:w="1010" w:type="pct"/>
            <w:tcBorders>
              <w:top w:val="nil"/>
              <w:left w:val="nil"/>
              <w:bottom w:val="single" w:color="auto" w:sz="4" w:space="0"/>
              <w:right w:val="single" w:color="auto" w:sz="4" w:space="0"/>
            </w:tcBorders>
            <w:shd w:val="clear" w:color="auto" w:fill="auto"/>
            <w:noWrap/>
            <w:vAlign w:val="center"/>
          </w:tcPr>
          <w:p w14:paraId="23500D4F">
            <w:pPr>
              <w:widowControl/>
              <w:ind w:firstLine="0" w:firstLineChars="0"/>
              <w:jc w:val="center"/>
              <w:textAlignment w:val="center"/>
              <w:rPr>
                <w:rFonts w:hint="default" w:ascii="仿宋" w:hAnsi="仿宋" w:eastAsia="仿宋" w:cs="仿宋"/>
                <w:color w:val="auto"/>
                <w:sz w:val="28"/>
                <w:szCs w:val="28"/>
                <w:lang w:val="en-US" w:eastAsia="zh-CN" w:bidi="ar"/>
              </w:rPr>
            </w:pPr>
            <w:r>
              <w:rPr>
                <w:rFonts w:hint="eastAsia" w:ascii="仿宋" w:hAnsi="仿宋" w:eastAsia="仿宋" w:cs="仿宋"/>
                <w:color w:val="auto"/>
                <w:sz w:val="28"/>
                <w:szCs w:val="28"/>
                <w:lang w:val="en-US" w:eastAsia="zh-CN" w:bidi="ar"/>
              </w:rPr>
              <w:t>5</w:t>
            </w:r>
          </w:p>
        </w:tc>
      </w:tr>
      <w:tr w14:paraId="74CC7CE7">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0927A924">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rPr>
              <w:t>项目实施的可持续性</w:t>
            </w:r>
          </w:p>
        </w:tc>
        <w:tc>
          <w:tcPr>
            <w:tcW w:w="1094" w:type="pct"/>
            <w:tcBorders>
              <w:top w:val="nil"/>
              <w:left w:val="nil"/>
              <w:bottom w:val="single" w:color="auto" w:sz="4" w:space="0"/>
              <w:right w:val="single" w:color="auto" w:sz="4" w:space="0"/>
            </w:tcBorders>
            <w:shd w:val="clear" w:color="auto" w:fill="auto"/>
            <w:noWrap/>
            <w:vAlign w:val="center"/>
          </w:tcPr>
          <w:p w14:paraId="705BB13D">
            <w:pPr>
              <w:widowControl/>
              <w:ind w:firstLine="0" w:firstLineChars="0"/>
              <w:jc w:val="center"/>
              <w:textAlignment w:val="bottom"/>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w:t>
            </w:r>
          </w:p>
        </w:tc>
        <w:tc>
          <w:tcPr>
            <w:tcW w:w="1010" w:type="pct"/>
            <w:tcBorders>
              <w:top w:val="nil"/>
              <w:left w:val="nil"/>
              <w:bottom w:val="single" w:color="auto" w:sz="4" w:space="0"/>
              <w:right w:val="single" w:color="auto" w:sz="4" w:space="0"/>
            </w:tcBorders>
            <w:shd w:val="clear" w:color="auto" w:fill="auto"/>
            <w:noWrap/>
            <w:vAlign w:val="center"/>
          </w:tcPr>
          <w:p w14:paraId="4372A452">
            <w:pPr>
              <w:widowControl/>
              <w:ind w:firstLine="0" w:firstLineChars="0"/>
              <w:jc w:val="center"/>
              <w:textAlignment w:val="center"/>
              <w:rPr>
                <w:rFonts w:hint="eastAsia"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12</w:t>
            </w:r>
          </w:p>
        </w:tc>
      </w:tr>
      <w:tr w14:paraId="674329CA">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78342B19">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sz w:val="28"/>
                <w:szCs w:val="28"/>
                <w:lang w:eastAsia="zh-CN" w:bidi="ar"/>
              </w:rPr>
              <w:t>综合得分</w:t>
            </w:r>
          </w:p>
        </w:tc>
        <w:tc>
          <w:tcPr>
            <w:tcW w:w="1094" w:type="pct"/>
            <w:tcBorders>
              <w:top w:val="nil"/>
              <w:left w:val="nil"/>
              <w:bottom w:val="single" w:color="auto" w:sz="4" w:space="0"/>
              <w:right w:val="single" w:color="auto" w:sz="4" w:space="0"/>
            </w:tcBorders>
            <w:shd w:val="clear" w:color="auto" w:fill="auto"/>
            <w:noWrap/>
            <w:vAlign w:val="center"/>
          </w:tcPr>
          <w:p w14:paraId="2F215040">
            <w:pPr>
              <w:widowControl/>
              <w:ind w:firstLine="0" w:firstLineChars="0"/>
              <w:jc w:val="center"/>
              <w:textAlignment w:val="bottom"/>
              <w:rPr>
                <w:rFonts w:hint="default" w:ascii="仿宋" w:hAnsi="仿宋" w:eastAsia="仿宋" w:cs="仿宋"/>
                <w:b/>
                <w:bCs/>
                <w:color w:val="auto"/>
                <w:sz w:val="28"/>
                <w:szCs w:val="28"/>
              </w:rPr>
            </w:pPr>
            <w:r>
              <w:rPr>
                <w:rFonts w:hint="default" w:ascii="仿宋" w:hAnsi="仿宋" w:eastAsia="仿宋" w:cs="仿宋"/>
                <w:b/>
                <w:bCs/>
                <w:color w:val="auto"/>
                <w:sz w:val="28"/>
                <w:szCs w:val="28"/>
              </w:rPr>
              <w:fldChar w:fldCharType="begin"/>
            </w:r>
            <w:r>
              <w:rPr>
                <w:rFonts w:hint="default" w:ascii="仿宋" w:hAnsi="仿宋" w:eastAsia="仿宋" w:cs="仿宋"/>
                <w:b/>
                <w:bCs/>
                <w:color w:val="auto"/>
                <w:sz w:val="28"/>
                <w:szCs w:val="28"/>
              </w:rPr>
              <w:instrText xml:space="preserve"> =SUM(ABOVE) \* MERGEFORMAT </w:instrText>
            </w:r>
            <w:r>
              <w:rPr>
                <w:rFonts w:hint="default" w:ascii="仿宋" w:hAnsi="仿宋" w:eastAsia="仿宋" w:cs="仿宋"/>
                <w:b/>
                <w:bCs/>
                <w:color w:val="auto"/>
                <w:sz w:val="28"/>
                <w:szCs w:val="28"/>
              </w:rPr>
              <w:fldChar w:fldCharType="separate"/>
            </w:r>
            <w:r>
              <w:rPr>
                <w:rFonts w:hint="default" w:ascii="仿宋" w:hAnsi="仿宋" w:eastAsia="仿宋" w:cs="仿宋"/>
                <w:b/>
                <w:bCs/>
                <w:color w:val="auto"/>
                <w:sz w:val="28"/>
                <w:szCs w:val="28"/>
              </w:rPr>
              <w:t>100</w:t>
            </w:r>
            <w:r>
              <w:rPr>
                <w:rFonts w:hint="default" w:ascii="仿宋" w:hAnsi="仿宋" w:eastAsia="仿宋" w:cs="仿宋"/>
                <w:b/>
                <w:bCs/>
                <w:color w:val="auto"/>
                <w:sz w:val="28"/>
                <w:szCs w:val="28"/>
              </w:rPr>
              <w:fldChar w:fldCharType="end"/>
            </w:r>
          </w:p>
        </w:tc>
        <w:tc>
          <w:tcPr>
            <w:tcW w:w="1010" w:type="pct"/>
            <w:tcBorders>
              <w:top w:val="nil"/>
              <w:left w:val="nil"/>
              <w:bottom w:val="single" w:color="auto" w:sz="4" w:space="0"/>
              <w:right w:val="single" w:color="auto" w:sz="4" w:space="0"/>
            </w:tcBorders>
            <w:shd w:val="clear" w:color="auto" w:fill="auto"/>
            <w:noWrap/>
            <w:vAlign w:val="center"/>
          </w:tcPr>
          <w:p w14:paraId="0A8C05B7">
            <w:pPr>
              <w:widowControl/>
              <w:ind w:firstLine="0" w:firstLineChars="0"/>
              <w:jc w:val="center"/>
              <w:textAlignment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90</w:t>
            </w:r>
          </w:p>
        </w:tc>
      </w:tr>
      <w:tr w14:paraId="624235FB">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14:paraId="0F289AF4">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sz w:val="28"/>
                <w:szCs w:val="28"/>
                <w:lang w:eastAsia="zh-CN"/>
              </w:rPr>
              <w:t>综合绩效评估结论</w:t>
            </w:r>
          </w:p>
        </w:tc>
        <w:tc>
          <w:tcPr>
            <w:tcW w:w="2104" w:type="pct"/>
            <w:gridSpan w:val="2"/>
            <w:tcBorders>
              <w:top w:val="nil"/>
              <w:left w:val="nil"/>
              <w:bottom w:val="single" w:color="auto" w:sz="4" w:space="0"/>
              <w:right w:val="single" w:color="auto" w:sz="4" w:space="0"/>
            </w:tcBorders>
            <w:shd w:val="clear" w:color="auto" w:fill="auto"/>
            <w:noWrap/>
            <w:vAlign w:val="center"/>
          </w:tcPr>
          <w:p w14:paraId="68E87B46">
            <w:pPr>
              <w:widowControl/>
              <w:ind w:firstLine="0" w:firstLineChars="0"/>
              <w:jc w:val="center"/>
              <w:textAlignment w:val="center"/>
              <w:rPr>
                <w:rFonts w:hint="eastAsia" w:ascii="仿宋" w:hAnsi="仿宋" w:eastAsia="仿宋" w:cs="仿宋"/>
                <w:b/>
                <w:bCs/>
                <w:sz w:val="28"/>
                <w:szCs w:val="28"/>
                <w:lang w:eastAsia="zh-CN" w:bidi="ar"/>
              </w:rPr>
            </w:pPr>
            <w:r>
              <w:rPr>
                <w:rFonts w:hint="eastAsia" w:ascii="仿宋" w:hAnsi="仿宋" w:eastAsia="仿宋" w:cs="仿宋"/>
                <w:b/>
                <w:bCs/>
                <w:szCs w:val="32"/>
                <w:lang w:eastAsia="zh-CN"/>
              </w:rPr>
              <w:t>建议</w:t>
            </w:r>
            <w:r>
              <w:rPr>
                <w:rFonts w:ascii="仿宋" w:hAnsi="仿宋" w:eastAsia="仿宋" w:cs="仿宋"/>
                <w:b/>
                <w:bCs/>
                <w:szCs w:val="32"/>
                <w:lang w:eastAsia="zh-CN"/>
              </w:rPr>
              <w:t>实施</w:t>
            </w:r>
          </w:p>
        </w:tc>
      </w:tr>
    </w:tbl>
    <w:p w14:paraId="38D47854">
      <w:pPr>
        <w:ind w:firstLine="640"/>
        <w:rPr>
          <w:rFonts w:hint="eastAsia" w:ascii="宋体" w:hAnsi="宋体" w:eastAsia="宋体" w:cs="宋体"/>
          <w:lang w:eastAsia="zh-CN"/>
        </w:rPr>
      </w:pPr>
    </w:p>
    <w:p w14:paraId="785EFEF5">
      <w:pPr>
        <w:ind w:firstLine="640"/>
        <w:rPr>
          <w:rFonts w:eastAsia="宋体"/>
          <w:szCs w:val="32"/>
          <w:lang w:eastAsia="zh-CN"/>
        </w:rPr>
      </w:pPr>
      <w:r>
        <w:rPr>
          <w:rFonts w:eastAsia="宋体"/>
          <w:szCs w:val="32"/>
          <w:lang w:eastAsia="zh-CN"/>
        </w:rPr>
        <w:br w:type="page"/>
      </w:r>
    </w:p>
    <w:p w14:paraId="0BD7FA0E">
      <w:pPr>
        <w:pStyle w:val="15"/>
        <w:tabs>
          <w:tab w:val="right" w:leader="dot" w:pos="8306"/>
        </w:tabs>
        <w:spacing w:before="0" w:after="0" w:line="500" w:lineRule="exact"/>
        <w:ind w:firstLine="883"/>
        <w:jc w:val="center"/>
        <w:rPr>
          <w:rFonts w:hint="eastAsia" w:ascii="仿宋" w:hAnsi="仿宋" w:eastAsia="仿宋" w:cs="仿宋"/>
          <w:b/>
          <w:bCs/>
          <w:caps/>
          <w:color w:val="000000"/>
          <w:sz w:val="24"/>
          <w:szCs w:val="20"/>
          <w:lang w:val="en-US" w:eastAsia="en-US" w:bidi="en-US"/>
        </w:rPr>
      </w:pPr>
      <w:r>
        <w:rPr>
          <w:rFonts w:hint="eastAsia" w:ascii="仿宋" w:hAnsi="仿宋" w:eastAsia="仿宋" w:cs="仿宋"/>
          <w:sz w:val="44"/>
          <w:szCs w:val="44"/>
          <w:lang w:eastAsia="zh-CN"/>
        </w:rPr>
        <w:t>目录</w:t>
      </w:r>
      <w:r>
        <w:rPr>
          <w:rFonts w:hint="eastAsia" w:ascii="仿宋" w:hAnsi="仿宋" w:eastAsia="仿宋" w:cs="仿宋"/>
          <w:sz w:val="24"/>
          <w:szCs w:val="24"/>
        </w:rPr>
        <w:fldChar w:fldCharType="begin"/>
      </w:r>
      <w:r>
        <w:rPr>
          <w:rFonts w:hint="eastAsia" w:ascii="仿宋" w:hAnsi="仿宋" w:eastAsia="仿宋" w:cs="仿宋"/>
          <w:sz w:val="24"/>
          <w:szCs w:val="24"/>
          <w:lang w:eastAsia="zh-CN"/>
        </w:rPr>
        <w:instrText xml:space="preserve"> TOC \o "1-2" \h \u </w:instrText>
      </w:r>
      <w:r>
        <w:rPr>
          <w:rFonts w:hint="eastAsia" w:ascii="仿宋" w:hAnsi="仿宋" w:eastAsia="仿宋" w:cs="仿宋"/>
          <w:sz w:val="24"/>
          <w:szCs w:val="24"/>
        </w:rPr>
        <w:fldChar w:fldCharType="separate"/>
      </w:r>
    </w:p>
    <w:p w14:paraId="05E51F55">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_Toc18561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_Toc18561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9ABBE72">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_Toc5791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（一）项目建设背景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_Toc5791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944C42">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_Toc12727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_Toc12727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DD5C91">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_Toc24204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（三）项目预算构成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_Toc24204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E47FA0F">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_Toc29285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_Toc29285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15B65D">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_Toc27074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_Toc27074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29DF9A">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_Toc9504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(二)绩效评价指标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_Toc9504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17257A">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_Toc8214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rPr>
        <w:t>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_Toc8214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7B9605">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_Toc13239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(四)绩效评价原则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_Toc13239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CBB688">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_Toc2109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(五)评价</w:t>
      </w:r>
      <w:r>
        <w:rPr>
          <w:rFonts w:hint="eastAsia" w:ascii="仿宋" w:hAnsi="仿宋" w:eastAsia="仿宋" w:cs="仿宋"/>
          <w:bCs/>
          <w:sz w:val="24"/>
          <w:szCs w:val="24"/>
          <w:lang w:eastAsia="zh-CN"/>
        </w:rPr>
        <w:t>方法和等级设定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_Toc2109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64187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_Toc17824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(六)评价程序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_Toc17824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77D01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_Toc24834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(七)论证思路及方法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_Toc24834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5289AA6">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_Toc18151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(八)评估方式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_Toc18151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E10ADD">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_Toc5389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三、事前绩效评估指标体系及得分情况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_Toc5389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0C9A697">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_Toc29516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四、绩效评价内容与结论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_Toc29516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22F5020">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_Toc26088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kern w:val="44"/>
          <w:sz w:val="24"/>
          <w:szCs w:val="24"/>
          <w:lang w:eastAsia="zh-CN"/>
        </w:rPr>
        <w:t>项目实施的必要性、公益性、</w:t>
      </w:r>
      <w:r>
        <w:rPr>
          <w:rFonts w:hint="eastAsia" w:ascii="仿宋" w:hAnsi="仿宋" w:eastAsia="仿宋" w:cs="仿宋"/>
          <w:kern w:val="44"/>
          <w:sz w:val="24"/>
          <w:szCs w:val="24"/>
          <w:lang w:val="en-US" w:eastAsia="zh-CN"/>
        </w:rPr>
        <w:t>经济</w:t>
      </w:r>
      <w:r>
        <w:rPr>
          <w:rFonts w:hint="eastAsia" w:ascii="仿宋" w:hAnsi="仿宋" w:eastAsia="仿宋" w:cs="仿宋"/>
          <w:kern w:val="44"/>
          <w:sz w:val="24"/>
          <w:szCs w:val="24"/>
          <w:lang w:eastAsia="zh-CN"/>
        </w:rPr>
        <w:t>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_Toc26088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FBC54E">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_Toc28607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kern w:val="44"/>
          <w:sz w:val="24"/>
          <w:szCs w:val="24"/>
          <w:lang w:eastAsia="zh-CN"/>
        </w:rPr>
        <w:t>项目实施合规性与成熟度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_Toc28607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E7A7AD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_Toc20517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(三)项目资金来源、资金到位可行性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_Toc20517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8E1E80">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_Toc3169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(四)资金使用计划合理性、资金到位及时性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4BA155">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_Toc31193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kern w:val="44"/>
          <w:sz w:val="24"/>
          <w:szCs w:val="24"/>
          <w:lang w:eastAsia="zh-CN"/>
        </w:rPr>
        <w:t>项目绩效目标明确性、合理性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_Toc31193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EB0F33">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_Toc23450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(六)项目实施方案的有效性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_Toc23450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5C842C">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_Toc17864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(七)项目实施成果合格性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_Toc17864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786D03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_Toc28447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(八)项目实施的可持续性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_Toc28447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2EE2FB">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_Toc14568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(九)总体结论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_Toc14568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15F0D4">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_Toc20945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sz w:val="24"/>
          <w:szCs w:val="24"/>
          <w:highlight w:val="none"/>
          <w:lang w:eastAsia="zh-CN"/>
        </w:rPr>
        <w:t>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_Toc20945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4DB1DF">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_Toc3382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lang w:eastAsia="zh-CN"/>
        </w:rPr>
        <w:t>(一)未按照合同约定支付经费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_Toc3382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A7BE67">
      <w:pPr>
        <w:pStyle w:val="18"/>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_Toc19930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w:t>
      </w:r>
      <w:r>
        <w:rPr>
          <w:rFonts w:hint="eastAsia" w:ascii="仿宋" w:hAnsi="仿宋" w:eastAsia="仿宋" w:cs="仿宋"/>
          <w:bCs/>
          <w:sz w:val="24"/>
          <w:szCs w:val="24"/>
          <w:lang w:val="en-US" w:eastAsia="zh-CN"/>
        </w:rPr>
        <w:t>园林养护等实施成果存在的不足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_Toc19930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AAF542A">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_Toc25577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六、其他需要说明的问题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_Toc25577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175F0B">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_Toc18551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七、附件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_Toc18551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C2C5FB">
      <w:pPr>
        <w:tabs>
          <w:tab w:val="right" w:leader="dot" w:pos="8306"/>
        </w:tabs>
        <w:spacing w:before="0" w:after="0" w:line="500" w:lineRule="exact"/>
        <w:ind w:firstLine="480"/>
        <w:jc w:val="center"/>
        <w:rPr>
          <w:rFonts w:eastAsia="宋体"/>
          <w:sz w:val="28"/>
          <w:szCs w:val="28"/>
          <w:lang w:eastAsia="zh-CN"/>
        </w:rPr>
      </w:pPr>
      <w:r>
        <w:rPr>
          <w:rFonts w:hint="eastAsia" w:ascii="仿宋" w:hAnsi="仿宋" w:eastAsia="仿宋" w:cs="仿宋"/>
          <w:sz w:val="24"/>
        </w:rPr>
        <w:fldChar w:fldCharType="end"/>
      </w:r>
    </w:p>
    <w:p w14:paraId="5109E6E7">
      <w:pPr>
        <w:pStyle w:val="15"/>
        <w:tabs>
          <w:tab w:val="right" w:leader="dot" w:pos="8306"/>
        </w:tabs>
        <w:ind w:firstLine="562"/>
        <w:rPr>
          <w:rFonts w:ascii="Times New Roman" w:hAnsi="Times New Roman" w:eastAsia="宋体" w:cs="Times New Roman"/>
          <w:sz w:val="28"/>
          <w:szCs w:val="28"/>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宋体" w:cs="Times New Roman"/>
          <w:sz w:val="28"/>
          <w:szCs w:val="28"/>
          <w:lang w:eastAsia="zh-CN"/>
        </w:rPr>
        <w:br w:type="page"/>
      </w:r>
    </w:p>
    <w:p w14:paraId="3CD1E8FA">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46" w:name="_Toc27205"/>
      <w:bookmarkStart w:id="47" w:name="_Toc25760"/>
      <w:bookmarkStart w:id="48" w:name="_Toc18501"/>
      <w:bookmarkStart w:id="49" w:name="_Toc28591"/>
      <w:bookmarkStart w:id="50" w:name="_Toc11127"/>
      <w:bookmarkStart w:id="51" w:name="_Toc792595118"/>
      <w:bookmarkStart w:id="52" w:name="_Toc1042875910_WPSOffice_Level1"/>
      <w:bookmarkStart w:id="53" w:name="_Toc130033874"/>
      <w:bookmarkStart w:id="54" w:name="_Toc22608"/>
      <w:bookmarkStart w:id="55" w:name="_Toc562319121"/>
      <w:bookmarkStart w:id="56" w:name="_Toc400713784"/>
      <w:bookmarkStart w:id="57" w:name="_Toc17291"/>
      <w:bookmarkStart w:id="58" w:name="_Toc133498022"/>
      <w:bookmarkStart w:id="59" w:name="_Toc132480512"/>
      <w:bookmarkStart w:id="60" w:name="_Toc1675062758"/>
      <w:bookmarkStart w:id="61" w:name="_Toc1902724683"/>
      <w:bookmarkStart w:id="62" w:name="_Toc13216"/>
      <w:bookmarkStart w:id="63" w:name="_Toc132480957"/>
      <w:r>
        <w:rPr>
          <w:rFonts w:hint="eastAsia" w:ascii="宋体" w:hAnsi="宋体" w:eastAsia="宋体" w:cs="宋体"/>
          <w:b w:val="0"/>
          <w:bCs w:val="0"/>
          <w:lang w:eastAsia="zh-CN"/>
        </w:rPr>
        <w:t>乐山市金口河区住房和城乡建设局</w:t>
      </w:r>
      <w:bookmarkEnd w:id="46"/>
      <w:bookmarkEnd w:id="47"/>
    </w:p>
    <w:bookmarkEnd w:id="48"/>
    <w:bookmarkEnd w:id="49"/>
    <w:bookmarkEnd w:id="50"/>
    <w:p w14:paraId="4D9BC15D">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64" w:name="_Toc26091"/>
      <w:bookmarkStart w:id="65" w:name="_Toc26314"/>
      <w:bookmarkStart w:id="66" w:name="_Toc18917"/>
      <w:bookmarkStart w:id="67" w:name="_Toc25169"/>
      <w:bookmarkStart w:id="68" w:name="_Toc32549"/>
      <w:r>
        <w:rPr>
          <w:rFonts w:hint="eastAsia" w:ascii="宋体" w:hAnsi="宋体" w:eastAsia="宋体" w:cs="宋体"/>
          <w:b w:val="0"/>
          <w:bCs w:val="0"/>
          <w:lang w:eastAsia="zh-CN"/>
        </w:rPr>
        <w:t>城区园林绿化购买社会养护服务项目</w:t>
      </w:r>
      <w:bookmarkEnd w:id="64"/>
      <w:bookmarkEnd w:id="65"/>
    </w:p>
    <w:p w14:paraId="0B933B00">
      <w:pPr>
        <w:pStyle w:val="21"/>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69" w:name="_Toc30980"/>
      <w:bookmarkStart w:id="70" w:name="_Toc12896"/>
      <w:bookmarkStart w:id="71" w:name="_Toc13059"/>
      <w:r>
        <w:rPr>
          <w:rFonts w:hint="eastAsia" w:ascii="宋体" w:hAnsi="宋体" w:eastAsia="宋体" w:cs="宋体"/>
          <w:b w:val="0"/>
          <w:bCs w:val="0"/>
          <w:lang w:eastAsia="zh-CN"/>
        </w:rPr>
        <w:t>事前绩效评价报告</w:t>
      </w:r>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bookmarkEnd w:id="70"/>
      <w:bookmarkEnd w:id="71"/>
    </w:p>
    <w:p w14:paraId="1D1AE6FE">
      <w:pPr>
        <w:ind w:firstLine="640"/>
        <w:rPr>
          <w:lang w:eastAsia="zh-CN"/>
        </w:rPr>
      </w:pPr>
    </w:p>
    <w:p w14:paraId="5082ADBD">
      <w:pPr>
        <w:pStyle w:val="2"/>
        <w:numPr>
          <w:ilvl w:val="0"/>
          <w:numId w:val="1"/>
        </w:numPr>
        <w:spacing w:before="0" w:beforeLines="0" w:after="0" w:afterLines="0"/>
        <w:rPr>
          <w:rFonts w:hint="eastAsia" w:ascii="仿宋" w:hAnsi="仿宋" w:eastAsia="仿宋" w:cs="仿宋"/>
          <w:b w:val="0"/>
          <w:color w:val="auto"/>
          <w:kern w:val="0"/>
          <w:sz w:val="32"/>
          <w:szCs w:val="24"/>
          <w:lang w:val="en-US" w:eastAsia="zh-CN" w:bidi="en-US"/>
        </w:rPr>
      </w:pPr>
      <w:bookmarkStart w:id="72" w:name="_Toc305085885"/>
      <w:bookmarkStart w:id="73" w:name="_Toc1416645183"/>
      <w:bookmarkStart w:id="74" w:name="_Toc2001376203_WPSOffice_Level1"/>
      <w:bookmarkStart w:id="75" w:name="_Toc287850696"/>
      <w:bookmarkStart w:id="76" w:name="_Toc4405"/>
      <w:bookmarkStart w:id="77" w:name="_Toc1969419847"/>
      <w:bookmarkStart w:id="78" w:name="_Toc18561"/>
      <w:bookmarkStart w:id="79" w:name="_Toc7797"/>
      <w:bookmarkStart w:id="80" w:name="_Toc2225"/>
      <w:bookmarkStart w:id="81" w:name="_Toc132480958"/>
      <w:r>
        <w:rPr>
          <w:rFonts w:hint="eastAsia" w:ascii="仿宋" w:hAnsi="仿宋" w:eastAsia="仿宋" w:cs="仿宋"/>
          <w:b w:val="0"/>
          <w:color w:val="auto"/>
          <w:kern w:val="0"/>
          <w:sz w:val="32"/>
          <w:szCs w:val="24"/>
          <w:lang w:val="en-US" w:eastAsia="zh-CN" w:bidi="en-US"/>
        </w:rPr>
        <w:t>项目基本情况</w:t>
      </w:r>
      <w:bookmarkEnd w:id="72"/>
      <w:bookmarkEnd w:id="73"/>
      <w:bookmarkEnd w:id="74"/>
      <w:bookmarkEnd w:id="75"/>
      <w:bookmarkEnd w:id="76"/>
      <w:bookmarkEnd w:id="77"/>
      <w:bookmarkEnd w:id="78"/>
      <w:bookmarkEnd w:id="79"/>
      <w:bookmarkEnd w:id="80"/>
      <w:bookmarkEnd w:id="81"/>
    </w:p>
    <w:p w14:paraId="4AE2D741">
      <w:pPr>
        <w:pStyle w:val="3"/>
        <w:spacing w:before="0" w:beforeLines="0" w:after="0" w:afterLines="0" w:line="580" w:lineRule="exact"/>
        <w:ind w:firstLineChars="0"/>
        <w:rPr>
          <w:rFonts w:hint="eastAsia" w:ascii="仿宋" w:hAnsi="仿宋" w:eastAsia="仿宋" w:cs="仿宋"/>
          <w:b w:val="0"/>
          <w:bCs/>
          <w:szCs w:val="32"/>
          <w:lang w:eastAsia="zh-CN"/>
        </w:rPr>
      </w:pPr>
      <w:bookmarkStart w:id="82" w:name="_Toc1535003806"/>
      <w:bookmarkStart w:id="83" w:name="_Toc19438"/>
      <w:bookmarkStart w:id="84" w:name="_Toc132480959"/>
      <w:bookmarkStart w:id="85" w:name="_Toc27921"/>
      <w:bookmarkStart w:id="86" w:name="_Toc873917318"/>
      <w:bookmarkStart w:id="87" w:name="_Toc1773474628"/>
      <w:bookmarkStart w:id="88" w:name="_Toc1042875910_WPSOffice_Level2"/>
      <w:bookmarkStart w:id="89" w:name="_Toc404396392"/>
      <w:bookmarkStart w:id="90" w:name="_Toc14550"/>
      <w:bookmarkStart w:id="91" w:name="_Toc5791"/>
      <w:r>
        <w:rPr>
          <w:rFonts w:hint="eastAsia" w:ascii="仿宋" w:hAnsi="仿宋" w:eastAsia="仿宋" w:cs="仿宋"/>
          <w:b w:val="0"/>
          <w:bCs/>
          <w:szCs w:val="32"/>
          <w:lang w:eastAsia="zh-CN"/>
        </w:rPr>
        <w:t>（一）</w:t>
      </w:r>
      <w:r>
        <w:rPr>
          <w:rFonts w:hint="eastAsia" w:ascii="仿宋" w:hAnsi="仿宋" w:eastAsia="仿宋" w:cs="仿宋"/>
          <w:b w:val="0"/>
          <w:color w:val="auto"/>
          <w:kern w:val="0"/>
          <w:sz w:val="32"/>
          <w:szCs w:val="24"/>
          <w:lang w:val="en-US" w:eastAsia="zh-CN" w:bidi="en-US"/>
        </w:rPr>
        <w:t>项目建设</w:t>
      </w:r>
      <w:bookmarkEnd w:id="82"/>
      <w:bookmarkEnd w:id="83"/>
      <w:bookmarkEnd w:id="84"/>
      <w:bookmarkEnd w:id="85"/>
      <w:bookmarkEnd w:id="86"/>
      <w:bookmarkEnd w:id="87"/>
      <w:bookmarkEnd w:id="88"/>
      <w:bookmarkEnd w:id="89"/>
      <w:bookmarkEnd w:id="90"/>
      <w:bookmarkStart w:id="92" w:name="_Toc23032"/>
      <w:bookmarkStart w:id="93" w:name="_Toc12111"/>
      <w:bookmarkStart w:id="94" w:name="_Toc20062"/>
      <w:bookmarkStart w:id="95" w:name="_Toc27403"/>
      <w:bookmarkStart w:id="96" w:name="_Toc18961"/>
      <w:bookmarkStart w:id="97" w:name="_Toc133498025"/>
      <w:bookmarkStart w:id="98" w:name="_Toc9639"/>
      <w:bookmarkStart w:id="99" w:name="_Toc1862536083"/>
      <w:bookmarkStart w:id="100" w:name="_Toc1087916031"/>
      <w:bookmarkStart w:id="101" w:name="_Toc130033877"/>
      <w:bookmarkStart w:id="102" w:name="_Toc1287701793"/>
      <w:bookmarkStart w:id="103" w:name="_Toc1042875910_WPSOffice_Level3"/>
      <w:bookmarkStart w:id="104" w:name="_Toc2051901236"/>
      <w:r>
        <w:rPr>
          <w:rFonts w:hint="eastAsia" w:ascii="仿宋" w:hAnsi="仿宋" w:eastAsia="仿宋" w:cs="仿宋"/>
          <w:b w:val="0"/>
          <w:color w:val="auto"/>
          <w:kern w:val="0"/>
          <w:sz w:val="32"/>
          <w:szCs w:val="24"/>
          <w:lang w:val="en-US" w:eastAsia="zh-CN" w:bidi="en-US"/>
        </w:rPr>
        <w:t>背景</w:t>
      </w:r>
      <w:bookmarkEnd w:id="91"/>
      <w:bookmarkEnd w:id="92"/>
      <w:bookmarkEnd w:id="93"/>
      <w:bookmarkEnd w:id="94"/>
      <w:bookmarkEnd w:id="95"/>
      <w:bookmarkEnd w:id="96"/>
      <w:bookmarkEnd w:id="97"/>
    </w:p>
    <w:p w14:paraId="62ACC044">
      <w:pPr>
        <w:adjustRightInd w:val="0"/>
        <w:snapToGrid w:val="0"/>
        <w:spacing w:line="520" w:lineRule="exact"/>
        <w:ind w:left="0" w:leftChars="0" w:firstLine="640" w:firstLineChars="200"/>
        <w:rPr>
          <w:rFonts w:hint="eastAsia" w:ascii="仿宋" w:hAnsi="仿宋" w:eastAsia="仿宋" w:cs="仿宋"/>
          <w:b w:val="0"/>
          <w:color w:val="auto"/>
          <w:kern w:val="0"/>
          <w:sz w:val="32"/>
          <w:szCs w:val="24"/>
          <w:lang w:val="en-US" w:eastAsia="zh-CN" w:bidi="en-US"/>
        </w:rPr>
      </w:pPr>
      <w:r>
        <w:rPr>
          <w:rFonts w:hint="eastAsia" w:ascii="仿宋" w:hAnsi="仿宋" w:eastAsia="仿宋" w:cs="仿宋"/>
          <w:b w:val="0"/>
          <w:color w:val="auto"/>
          <w:kern w:val="0"/>
          <w:sz w:val="32"/>
          <w:szCs w:val="24"/>
          <w:lang w:val="en-US" w:eastAsia="zh-CN" w:bidi="en-US"/>
        </w:rPr>
        <w:t>城区园林绿化购买社会养护服务项目经金口河区人民政府同意，通过政府采购，确定第三方服务机构养护管理城市园林绿化，不仅优化了政府职能，减少了资金投入。同时，通过借助引进专业园林绿化养护队伍，提高了金口河区城市绿化环境，满足了人民群众日益增加的精神文明需求。</w:t>
      </w:r>
    </w:p>
    <w:p w14:paraId="069A01B5">
      <w:pPr>
        <w:spacing w:line="600" w:lineRule="exact"/>
        <w:ind w:firstLine="640"/>
        <w:rPr>
          <w:rFonts w:hint="eastAsia" w:ascii="仿宋" w:hAnsi="仿宋" w:eastAsia="仿宋" w:cs="仿宋"/>
          <w:bCs/>
          <w:spacing w:val="8"/>
          <w:szCs w:val="32"/>
          <w:lang w:eastAsia="zh-CN"/>
        </w:rPr>
      </w:pPr>
      <w:r>
        <w:rPr>
          <w:rFonts w:hint="eastAsia" w:ascii="仿宋" w:hAnsi="仿宋" w:eastAsia="仿宋" w:cs="仿宋"/>
          <w:b w:val="0"/>
          <w:color w:val="auto"/>
          <w:kern w:val="0"/>
          <w:sz w:val="32"/>
          <w:szCs w:val="24"/>
          <w:lang w:val="en-US" w:eastAsia="zh-CN" w:bidi="en-US"/>
        </w:rPr>
        <w:t>为了进一步提升城区园林绿化景观效果，提高园林绿化养护质量，使其继续得到更专业的养护，保持国家卫生城市形象，将金口河区打造成环境优美的旅游城市。乐山市金口河区住房和城乡建设局继续通过购买第三方服务机构养护管理城市园林绿化，将新增绿地、公园、停车场一并纳入管护范围，引进专业的园林绿化养护队伍，借助其优质先进的园林绿化养护管理技术，把金口河区打造成环境优美、生态良好、人居和谐的宜居城市</w:t>
      </w:r>
      <w:r>
        <w:rPr>
          <w:rFonts w:hint="eastAsia" w:ascii="仿宋" w:hAnsi="仿宋" w:eastAsia="仿宋" w:cs="仿宋"/>
          <w:bCs/>
          <w:kern w:val="2"/>
          <w:szCs w:val="32"/>
          <w:lang w:eastAsia="zh-CN" w:bidi="ar-SA"/>
        </w:rPr>
        <w:t>。</w:t>
      </w:r>
    </w:p>
    <w:bookmarkEnd w:id="98"/>
    <w:bookmarkEnd w:id="99"/>
    <w:bookmarkEnd w:id="100"/>
    <w:bookmarkEnd w:id="101"/>
    <w:bookmarkEnd w:id="102"/>
    <w:bookmarkEnd w:id="103"/>
    <w:bookmarkEnd w:id="104"/>
    <w:p w14:paraId="7F20B5B5">
      <w:pPr>
        <w:pStyle w:val="3"/>
        <w:spacing w:before="0" w:beforeLines="0" w:after="0" w:afterLines="0" w:line="600" w:lineRule="exact"/>
        <w:ind w:firstLineChars="0"/>
        <w:rPr>
          <w:rFonts w:hint="eastAsia" w:ascii="仿宋" w:hAnsi="仿宋" w:eastAsia="仿宋" w:cs="仿宋"/>
          <w:b w:val="0"/>
          <w:bCs/>
          <w:szCs w:val="32"/>
          <w:lang w:eastAsia="zh-CN"/>
        </w:rPr>
      </w:pPr>
      <w:bookmarkStart w:id="105" w:name="_Toc17740"/>
      <w:bookmarkStart w:id="106" w:name="_Toc130033880"/>
      <w:bookmarkStart w:id="107" w:name="_Toc865934723"/>
      <w:bookmarkStart w:id="108" w:name="_Toc15203"/>
      <w:bookmarkStart w:id="109" w:name="_Toc12980"/>
      <w:bookmarkStart w:id="110" w:name="_Toc1093480860_WPSOffice_Level3"/>
      <w:bookmarkStart w:id="111" w:name="_Toc15651"/>
      <w:bookmarkStart w:id="112" w:name="_Toc24844"/>
      <w:bookmarkStart w:id="113" w:name="_Toc17270"/>
      <w:bookmarkStart w:id="114" w:name="_Toc12727"/>
      <w:bookmarkStart w:id="115" w:name="_Toc1491763895"/>
      <w:bookmarkStart w:id="116" w:name="_Toc153907914"/>
      <w:bookmarkStart w:id="117" w:name="_Toc133498028"/>
      <w:bookmarkStart w:id="118" w:name="_Toc1372691542"/>
      <w:r>
        <w:rPr>
          <w:rFonts w:hint="eastAsia" w:ascii="仿宋" w:hAnsi="仿宋" w:eastAsia="仿宋" w:cs="仿宋"/>
          <w:b w:val="0"/>
          <w:bCs/>
          <w:szCs w:val="32"/>
          <w:lang w:eastAsia="zh-CN"/>
        </w:rPr>
        <w:t>（二）</w:t>
      </w:r>
      <w:r>
        <w:rPr>
          <w:rFonts w:hint="eastAsia" w:ascii="仿宋" w:hAnsi="仿宋" w:eastAsia="仿宋" w:cs="仿宋"/>
          <w:b w:val="0"/>
          <w:color w:val="auto"/>
          <w:kern w:val="0"/>
          <w:sz w:val="32"/>
          <w:szCs w:val="24"/>
          <w:lang w:val="en-US" w:eastAsia="zh-CN" w:bidi="en-US"/>
        </w:rPr>
        <w:t>项目主要内容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BCDC72B">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1.</w:t>
      </w:r>
      <w:r>
        <w:rPr>
          <w:rFonts w:hint="eastAsia" w:ascii="仿宋" w:hAnsi="仿宋" w:eastAsia="仿宋" w:cs="仿宋"/>
          <w:b w:val="0"/>
          <w:color w:val="auto"/>
          <w:kern w:val="0"/>
          <w:sz w:val="32"/>
          <w:szCs w:val="24"/>
          <w:lang w:val="zh-CN" w:eastAsia="zh-CN" w:bidi="en-US"/>
        </w:rPr>
        <w:t>项目基本情况</w:t>
      </w:r>
      <w:r>
        <w:rPr>
          <w:rFonts w:hint="eastAsia" w:ascii="仿宋" w:hAnsi="仿宋" w:eastAsia="仿宋" w:cs="仿宋"/>
          <w:bCs/>
          <w:szCs w:val="32"/>
          <w:lang w:val="zh-CN" w:eastAsia="zh-CN"/>
        </w:rPr>
        <w:t>：</w:t>
      </w:r>
    </w:p>
    <w:p w14:paraId="1E10E869">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项目名称：城</w:t>
      </w:r>
      <w:r>
        <w:rPr>
          <w:rFonts w:hint="eastAsia" w:ascii="仿宋" w:hAnsi="仿宋" w:eastAsia="仿宋" w:cs="仿宋"/>
          <w:b w:val="0"/>
          <w:color w:val="auto"/>
          <w:kern w:val="0"/>
          <w:sz w:val="32"/>
          <w:szCs w:val="24"/>
          <w:lang w:val="zh-CN" w:eastAsia="zh-CN" w:bidi="en-US"/>
        </w:rPr>
        <w:t>区园林绿化购买社会养护服务项目</w:t>
      </w:r>
    </w:p>
    <w:p w14:paraId="1612348A">
      <w:pPr>
        <w:widowControl/>
        <w:spacing w:line="600" w:lineRule="exact"/>
        <w:ind w:firstLine="640"/>
        <w:rPr>
          <w:rFonts w:hint="eastAsia" w:ascii="仿宋" w:hAnsi="仿宋" w:eastAsia="仿宋" w:cs="仿宋"/>
          <w:szCs w:val="32"/>
          <w:lang w:val="zh-CN" w:eastAsia="zh-CN"/>
        </w:rPr>
      </w:pPr>
      <w:r>
        <w:rPr>
          <w:rFonts w:hint="eastAsia" w:ascii="仿宋" w:hAnsi="仿宋" w:eastAsia="仿宋" w:cs="仿宋"/>
          <w:bCs/>
          <w:szCs w:val="32"/>
          <w:lang w:val="zh-CN" w:eastAsia="zh-CN"/>
        </w:rPr>
        <w:t>项目单位：</w:t>
      </w:r>
      <w:r>
        <w:rPr>
          <w:rFonts w:hint="eastAsia" w:ascii="仿宋" w:hAnsi="仿宋" w:eastAsia="仿宋" w:cs="仿宋"/>
          <w:b w:val="0"/>
          <w:color w:val="auto"/>
          <w:kern w:val="0"/>
          <w:sz w:val="32"/>
          <w:szCs w:val="24"/>
          <w:lang w:val="zh-CN" w:eastAsia="zh-CN" w:bidi="en-US"/>
        </w:rPr>
        <w:t>乐山市金口河区住房和城乡建设</w:t>
      </w:r>
      <w:r>
        <w:rPr>
          <w:rFonts w:hint="eastAsia" w:ascii="仿宋" w:hAnsi="仿宋" w:eastAsia="仿宋" w:cs="仿宋"/>
          <w:szCs w:val="32"/>
          <w:lang w:val="zh-CN" w:eastAsia="zh-CN"/>
        </w:rPr>
        <w:t>局</w:t>
      </w:r>
    </w:p>
    <w:p w14:paraId="70C48E69">
      <w:pPr>
        <w:widowControl/>
        <w:spacing w:line="600" w:lineRule="exact"/>
        <w:ind w:firstLine="640"/>
        <w:rPr>
          <w:rFonts w:hint="eastAsia" w:ascii="仿宋" w:hAnsi="仿宋" w:eastAsia="仿宋" w:cs="仿宋"/>
          <w:szCs w:val="32"/>
          <w:lang w:val="zh-CN" w:eastAsia="zh-CN"/>
        </w:rPr>
      </w:pPr>
      <w:r>
        <w:rPr>
          <w:rFonts w:hint="eastAsia" w:ascii="仿宋_GB2312"/>
          <w:szCs w:val="32"/>
          <w:lang w:eastAsia="zh-CN"/>
        </w:rPr>
        <w:t>主管部门：乐山市金口河区住房和城乡建设局</w:t>
      </w:r>
    </w:p>
    <w:p w14:paraId="22541188">
      <w:pPr>
        <w:widowControl/>
        <w:spacing w:line="600" w:lineRule="exact"/>
        <w:ind w:firstLine="640"/>
        <w:rPr>
          <w:rFonts w:hint="eastAsia" w:ascii="仿宋" w:hAnsi="仿宋" w:eastAsia="仿宋" w:cs="仿宋"/>
          <w:bCs/>
          <w:szCs w:val="32"/>
          <w:lang w:eastAsia="zh-CN"/>
        </w:rPr>
      </w:pPr>
      <w:r>
        <w:rPr>
          <w:rFonts w:hint="eastAsia" w:ascii="仿宋" w:hAnsi="仿宋" w:eastAsia="仿宋" w:cs="仿宋"/>
          <w:b w:val="0"/>
          <w:color w:val="auto"/>
          <w:kern w:val="0"/>
          <w:sz w:val="32"/>
          <w:szCs w:val="24"/>
          <w:lang w:val="zh-CN" w:eastAsia="zh-CN" w:bidi="en-US"/>
        </w:rPr>
        <w:t>项目属性（新增/延续）：</w:t>
      </w:r>
      <w:r>
        <w:rPr>
          <w:rFonts w:hint="eastAsia" w:ascii="仿宋" w:hAnsi="仿宋" w:eastAsia="仿宋" w:cs="仿宋"/>
          <w:b w:val="0"/>
          <w:color w:val="auto"/>
          <w:kern w:val="0"/>
          <w:sz w:val="32"/>
          <w:szCs w:val="24"/>
          <w:lang w:val="en-US" w:eastAsia="zh-CN" w:bidi="en-US"/>
        </w:rPr>
        <w:t>延续</w:t>
      </w:r>
      <w:r>
        <w:rPr>
          <w:rFonts w:hint="eastAsia" w:ascii="仿宋" w:hAnsi="仿宋" w:eastAsia="仿宋" w:cs="仿宋"/>
          <w:b w:val="0"/>
          <w:color w:val="auto"/>
          <w:kern w:val="0"/>
          <w:sz w:val="32"/>
          <w:szCs w:val="24"/>
          <w:lang w:val="zh-CN" w:eastAsia="zh-CN" w:bidi="en-US"/>
        </w:rPr>
        <w:t>性项目</w:t>
      </w:r>
    </w:p>
    <w:p w14:paraId="75F0EF50">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2.</w:t>
      </w:r>
      <w:r>
        <w:rPr>
          <w:rFonts w:hint="eastAsia" w:ascii="仿宋_GB2312"/>
          <w:szCs w:val="32"/>
          <w:lang w:val="zh-CN" w:eastAsia="zh-CN"/>
        </w:rPr>
        <w:t>项目绩效目标</w:t>
      </w:r>
      <w:r>
        <w:rPr>
          <w:rFonts w:hint="eastAsia" w:ascii="仿宋" w:hAnsi="仿宋" w:eastAsia="仿宋" w:cs="仿宋"/>
          <w:bCs/>
          <w:szCs w:val="32"/>
          <w:lang w:val="zh-CN" w:eastAsia="zh-CN"/>
        </w:rPr>
        <w:t>：</w:t>
      </w:r>
    </w:p>
    <w:p w14:paraId="102A09FD">
      <w:pPr>
        <w:widowControl/>
        <w:spacing w:line="600" w:lineRule="exact"/>
        <w:ind w:firstLine="640"/>
        <w:rPr>
          <w:rFonts w:hint="default" w:ascii="仿宋_GB2312" w:hAnsi="宋体" w:eastAsia="仿宋_GB2312"/>
          <w:sz w:val="32"/>
          <w:szCs w:val="32"/>
          <w:lang w:val="en-US" w:eastAsia="zh-CN"/>
        </w:rPr>
      </w:pPr>
      <w:r>
        <w:rPr>
          <w:rFonts w:hint="eastAsia" w:ascii="仿宋_GB2312" w:hAnsi="宋体"/>
          <w:sz w:val="32"/>
          <w:szCs w:val="32"/>
          <w:lang w:val="en-US" w:eastAsia="zh-CN"/>
        </w:rPr>
        <w:t>(1)</w:t>
      </w:r>
      <w:r>
        <w:rPr>
          <w:rFonts w:hint="eastAsia" w:ascii="仿宋_GB2312"/>
          <w:szCs w:val="32"/>
          <w:lang w:val="en-US" w:eastAsia="zh-CN"/>
        </w:rPr>
        <w:t>中长期目标</w:t>
      </w:r>
    </w:p>
    <w:p w14:paraId="0350F67A">
      <w:pPr>
        <w:widowControl/>
        <w:spacing w:line="600" w:lineRule="exact"/>
        <w:ind w:firstLine="640"/>
        <w:rPr>
          <w:rFonts w:hint="eastAsia" w:ascii="仿宋_GB2312" w:hAnsi="宋体" w:eastAsia="仿宋_GB2312"/>
          <w:sz w:val="32"/>
          <w:szCs w:val="32"/>
          <w:lang w:val="en-US" w:eastAsia="zh-CN"/>
        </w:rPr>
      </w:pPr>
      <w:r>
        <w:rPr>
          <w:rFonts w:hint="eastAsia" w:ascii="仿宋_GB2312"/>
          <w:szCs w:val="32"/>
          <w:lang w:val="en-US" w:eastAsia="zh-CN"/>
        </w:rPr>
        <w:t>通过三年购买第三方服务，提升城区园林绿化景观效果，提高园林绿化养护质量</w:t>
      </w:r>
      <w:r>
        <w:rPr>
          <w:rFonts w:hint="eastAsia" w:ascii="仿宋_GB2312" w:hAnsi="宋体" w:eastAsia="仿宋_GB2312"/>
          <w:sz w:val="32"/>
          <w:szCs w:val="32"/>
          <w:lang w:val="en-US" w:eastAsia="zh-CN"/>
        </w:rPr>
        <w:t>。</w:t>
      </w:r>
    </w:p>
    <w:p w14:paraId="68BC6A7F">
      <w:pPr>
        <w:widowControl/>
        <w:spacing w:line="600" w:lineRule="exact"/>
        <w:ind w:firstLine="64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szCs w:val="32"/>
          <w:lang w:val="en-US" w:eastAsia="zh-CN"/>
        </w:rPr>
        <w:t>年度目标</w:t>
      </w:r>
    </w:p>
    <w:p w14:paraId="08E6CCC5">
      <w:pPr>
        <w:widowControl/>
        <w:spacing w:line="600" w:lineRule="exact"/>
        <w:ind w:firstLine="640"/>
        <w:rPr>
          <w:rFonts w:hint="eastAsia" w:ascii="仿宋" w:hAnsi="仿宋" w:eastAsia="仿宋" w:cs="仿宋"/>
          <w:bCs/>
          <w:szCs w:val="32"/>
          <w:lang w:val="zh-CN" w:eastAsia="zh-CN"/>
        </w:rPr>
      </w:pPr>
      <w:r>
        <w:rPr>
          <w:rFonts w:hint="eastAsia" w:ascii="仿宋_GB2312"/>
          <w:szCs w:val="32"/>
          <w:lang w:val="en-US" w:eastAsia="zh-CN"/>
        </w:rPr>
        <w:t>对绿地、公园、广场和区政府楼前后的绿化带、行道树、3个停车场及三个公厕等园林绿化进行管理，提升园林绿化景观效果，提高园林绿化养护质量。向广大人民群众提供环境优美、干净整洁的休闲场所</w:t>
      </w:r>
      <w:r>
        <w:rPr>
          <w:rFonts w:hint="eastAsia" w:ascii="仿宋_GB2312" w:hAnsi="仿宋_GB2312" w:eastAsia="仿宋_GB2312" w:cs="仿宋_GB2312"/>
          <w:sz w:val="32"/>
          <w:szCs w:val="32"/>
        </w:rPr>
        <w:t>。</w:t>
      </w:r>
    </w:p>
    <w:p w14:paraId="74538FDE">
      <w:pPr>
        <w:widowControl/>
        <w:spacing w:line="600" w:lineRule="exact"/>
        <w:ind w:firstLine="640"/>
        <w:rPr>
          <w:rFonts w:hint="eastAsia" w:ascii="仿宋" w:hAnsi="仿宋" w:eastAsia="仿宋" w:cs="仿宋"/>
          <w:bCs/>
          <w:szCs w:val="32"/>
          <w:lang w:val="zh-CN" w:eastAsia="zh-CN"/>
        </w:rPr>
      </w:pPr>
      <w:r>
        <w:rPr>
          <w:rFonts w:hint="eastAsia" w:ascii="仿宋" w:hAnsi="仿宋" w:eastAsia="仿宋" w:cs="仿宋"/>
          <w:bCs/>
          <w:szCs w:val="32"/>
          <w:lang w:val="zh-CN" w:eastAsia="zh-CN"/>
        </w:rPr>
        <w:t>3.</w:t>
      </w:r>
      <w:r>
        <w:rPr>
          <w:rFonts w:hint="eastAsia" w:ascii="仿宋_GB2312"/>
          <w:szCs w:val="32"/>
          <w:lang w:val="zh-CN" w:eastAsia="zh-CN"/>
        </w:rPr>
        <w:t>项目概况</w:t>
      </w:r>
      <w:r>
        <w:rPr>
          <w:rFonts w:hint="eastAsia" w:ascii="仿宋" w:hAnsi="仿宋" w:eastAsia="仿宋" w:cs="仿宋"/>
          <w:bCs/>
          <w:szCs w:val="32"/>
          <w:lang w:val="zh-CN" w:eastAsia="zh-CN"/>
        </w:rPr>
        <w:t>：</w:t>
      </w:r>
    </w:p>
    <w:p w14:paraId="4BBD8CB7">
      <w:pPr>
        <w:spacing w:line="600" w:lineRule="exact"/>
        <w:ind w:firstLine="640"/>
        <w:rPr>
          <w:rFonts w:hint="default" w:ascii="仿宋" w:hAnsi="仿宋" w:eastAsia="仿宋" w:cs="仿宋"/>
          <w:bCs/>
          <w:szCs w:val="32"/>
          <w:lang w:val="en-US" w:eastAsia="zh-CN"/>
        </w:rPr>
      </w:pPr>
      <w:bookmarkStart w:id="119" w:name="_Toc16114"/>
      <w:bookmarkStart w:id="120" w:name="_Toc1256897804"/>
      <w:bookmarkStart w:id="121" w:name="_Toc300186741"/>
      <w:bookmarkStart w:id="122" w:name="_Toc8112"/>
      <w:bookmarkStart w:id="123" w:name="_Toc2001376203_WPSOffice_Level2"/>
      <w:bookmarkStart w:id="124" w:name="_Toc386835874"/>
      <w:bookmarkStart w:id="125" w:name="_Toc20677"/>
      <w:bookmarkStart w:id="126" w:name="_Toc132480960"/>
      <w:bookmarkStart w:id="127" w:name="_Toc510053535"/>
      <w:r>
        <w:rPr>
          <w:rFonts w:hint="eastAsia" w:ascii="仿宋_GB2312"/>
          <w:szCs w:val="32"/>
          <w:lang w:val="en-US" w:eastAsia="zh-CN"/>
        </w:rPr>
        <w:t>城区园林绿化购买社会服务养护</w:t>
      </w:r>
      <w:r>
        <w:rPr>
          <w:rFonts w:hint="eastAsia" w:ascii="仿宋_GB2312"/>
          <w:szCs w:val="32"/>
          <w:lang w:val="zh-CN" w:eastAsia="zh-CN"/>
        </w:rPr>
        <w:t>项目主要包括:绿化养护面积34146.40平方米，公园、广场3处，养护城区行道树845株，古树名木2株，公共厕所保洁3处，箱栽植物养护263处，金韵广场喷泉设施维护2项。按照《CJJ/T287-2018园林绿化养护标准》标准执行</w:t>
      </w:r>
      <w:r>
        <w:rPr>
          <w:rFonts w:hint="eastAsia" w:ascii="仿宋" w:hAnsi="仿宋" w:eastAsia="仿宋" w:cs="仿宋"/>
          <w:bCs/>
          <w:szCs w:val="32"/>
          <w:lang w:val="zh-CN" w:eastAsia="zh-CN"/>
        </w:rPr>
        <w:t>。</w:t>
      </w:r>
    </w:p>
    <w:p w14:paraId="4B8844F8">
      <w:pPr>
        <w:spacing w:line="600" w:lineRule="exact"/>
        <w:ind w:firstLine="640"/>
        <w:rPr>
          <w:rFonts w:hint="eastAsia" w:ascii="仿宋" w:hAnsi="仿宋" w:eastAsia="仿宋" w:cs="仿宋"/>
          <w:bCs/>
          <w:szCs w:val="32"/>
          <w:lang w:eastAsia="zh-CN"/>
        </w:rPr>
      </w:pPr>
      <w:r>
        <w:rPr>
          <w:rFonts w:hint="eastAsia" w:ascii="仿宋" w:hAnsi="仿宋" w:eastAsia="仿宋" w:cs="仿宋"/>
          <w:bCs/>
          <w:szCs w:val="32"/>
          <w:lang w:eastAsia="zh-CN"/>
        </w:rPr>
        <w:t>4.</w:t>
      </w:r>
      <w:r>
        <w:rPr>
          <w:rFonts w:hint="eastAsia" w:ascii="仿宋_GB2312"/>
          <w:szCs w:val="32"/>
          <w:lang w:val="zh-CN" w:eastAsia="zh-CN"/>
        </w:rPr>
        <w:t>项目实施过程</w:t>
      </w:r>
    </w:p>
    <w:p w14:paraId="30DA5B66">
      <w:pPr>
        <w:spacing w:line="600" w:lineRule="exact"/>
        <w:ind w:firstLine="640"/>
        <w:rPr>
          <w:rFonts w:hint="default" w:ascii="仿宋" w:hAnsi="仿宋" w:eastAsia="仿宋" w:cs="仿宋"/>
          <w:bCs/>
          <w:szCs w:val="32"/>
          <w:lang w:val="en-US" w:eastAsia="zh-CN"/>
        </w:rPr>
      </w:pPr>
      <w:r>
        <w:rPr>
          <w:rFonts w:hint="eastAsia" w:ascii="仿宋_GB2312"/>
          <w:szCs w:val="32"/>
          <w:lang w:val="en-US" w:eastAsia="zh-CN"/>
        </w:rPr>
        <w:t>2024年1月26日，经金口河区人民政府关于《关于解决城区园林绿化购买社会服务养护经费的请求》</w:t>
      </w:r>
      <w:r>
        <w:rPr>
          <w:rFonts w:hint="eastAsia" w:ascii="仿宋_GB2312"/>
          <w:szCs w:val="32"/>
          <w:lang w:val="zh-CN" w:eastAsia="zh-CN"/>
        </w:rPr>
        <w:t>(金府复〔202</w:t>
      </w:r>
      <w:r>
        <w:rPr>
          <w:rFonts w:hint="eastAsia" w:ascii="仿宋_GB2312"/>
          <w:szCs w:val="32"/>
          <w:lang w:val="en-US" w:eastAsia="zh-CN"/>
        </w:rPr>
        <w:t>4</w:t>
      </w:r>
      <w:r>
        <w:rPr>
          <w:rFonts w:hint="eastAsia" w:ascii="仿宋_GB2312"/>
          <w:szCs w:val="32"/>
          <w:lang w:val="zh-CN" w:eastAsia="zh-CN"/>
        </w:rPr>
        <w:t>〕</w:t>
      </w:r>
      <w:r>
        <w:rPr>
          <w:rFonts w:hint="eastAsia" w:ascii="仿宋_GB2312"/>
          <w:szCs w:val="32"/>
          <w:lang w:val="en-US" w:eastAsia="zh-CN"/>
        </w:rPr>
        <w:t>13</w:t>
      </w:r>
      <w:r>
        <w:rPr>
          <w:rFonts w:hint="eastAsia" w:ascii="仿宋_GB2312"/>
          <w:szCs w:val="32"/>
          <w:lang w:val="zh-CN" w:eastAsia="zh-CN"/>
        </w:rPr>
        <w:t>号)</w:t>
      </w:r>
      <w:r>
        <w:rPr>
          <w:rFonts w:hint="eastAsia" w:ascii="仿宋_GB2312"/>
          <w:szCs w:val="32"/>
          <w:lang w:val="en-US" w:eastAsia="zh-CN"/>
        </w:rPr>
        <w:t>文件批复，同意解决该项经费，资金控制在370.44万元以内</w:t>
      </w:r>
      <w:r>
        <w:rPr>
          <w:rFonts w:hint="eastAsia" w:ascii="仿宋" w:hAnsi="仿宋" w:eastAsia="仿宋" w:cs="仿宋"/>
          <w:bCs/>
          <w:szCs w:val="32"/>
          <w:lang w:val="en-US" w:eastAsia="zh-CN"/>
        </w:rPr>
        <w:t>。</w:t>
      </w:r>
    </w:p>
    <w:p w14:paraId="091F18AD">
      <w:pPr>
        <w:spacing w:line="600" w:lineRule="exact"/>
        <w:ind w:firstLine="640"/>
        <w:rPr>
          <w:rFonts w:hint="eastAsia" w:ascii="仿宋" w:hAnsi="仿宋" w:eastAsia="仿宋" w:cs="仿宋"/>
          <w:bCs/>
          <w:szCs w:val="32"/>
          <w:lang w:eastAsia="zh-CN"/>
        </w:rPr>
      </w:pPr>
      <w:r>
        <w:rPr>
          <w:rFonts w:hint="eastAsia" w:ascii="仿宋_GB2312"/>
          <w:szCs w:val="32"/>
          <w:lang w:val="en-US" w:eastAsia="zh-CN"/>
        </w:rPr>
        <w:t>通过政府采购，确认</w:t>
      </w:r>
      <w:r>
        <w:rPr>
          <w:rFonts w:hint="eastAsia" w:ascii="仿宋_GB2312"/>
          <w:szCs w:val="32"/>
          <w:highlight w:val="none"/>
          <w:lang w:val="en-US" w:eastAsia="zh-CN"/>
        </w:rPr>
        <w:t>四川省金和盛建设有限公司</w:t>
      </w:r>
      <w:r>
        <w:rPr>
          <w:rFonts w:hint="eastAsia" w:ascii="仿宋_GB2312"/>
          <w:szCs w:val="32"/>
          <w:lang w:val="en-US" w:eastAsia="zh-CN"/>
        </w:rPr>
        <w:t>为本项目的供应商，2024年4月金口河区住房和城乡建设局与供应商签订《乐山市金口河区城区园林绿化购买社会服务养护项目采购合同》。服务期限：自2024年4月25日起至2027年4月24日止，服务期限为三年。三年服务费总计354.56万元，每年支付118.1866万元</w:t>
      </w:r>
      <w:r>
        <w:rPr>
          <w:rFonts w:hint="eastAsia" w:ascii="仿宋" w:hAnsi="仿宋" w:eastAsia="仿宋" w:cs="仿宋"/>
          <w:bCs/>
          <w:szCs w:val="32"/>
          <w:lang w:eastAsia="zh-CN"/>
        </w:rPr>
        <w:t>。</w:t>
      </w:r>
    </w:p>
    <w:p w14:paraId="38AE4B14">
      <w:pPr>
        <w:pStyle w:val="3"/>
        <w:spacing w:before="0" w:beforeLines="0" w:after="0" w:afterLines="0" w:line="600" w:lineRule="exact"/>
        <w:ind w:firstLineChars="0"/>
        <w:rPr>
          <w:rFonts w:hint="eastAsia" w:ascii="仿宋" w:hAnsi="仿宋" w:eastAsia="仿宋" w:cs="仿宋"/>
          <w:b w:val="0"/>
          <w:bCs/>
          <w:szCs w:val="32"/>
          <w:lang w:eastAsia="zh-CN"/>
        </w:rPr>
      </w:pPr>
      <w:bookmarkStart w:id="128" w:name="_Toc24204"/>
      <w:r>
        <w:rPr>
          <w:rFonts w:hint="eastAsia" w:ascii="仿宋" w:hAnsi="仿宋" w:eastAsia="仿宋" w:cs="仿宋"/>
          <w:b w:val="0"/>
          <w:bCs/>
          <w:szCs w:val="32"/>
          <w:lang w:eastAsia="zh-CN"/>
        </w:rPr>
        <w:t>（三）</w:t>
      </w:r>
      <w:r>
        <w:rPr>
          <w:rFonts w:hint="eastAsia" w:ascii="仿宋_GB2312" w:hAnsi="Times New Roman" w:eastAsia="仿宋_GB2312" w:cs="Times New Roman"/>
          <w:b w:val="0"/>
          <w:color w:val="000000"/>
          <w:sz w:val="32"/>
          <w:szCs w:val="32"/>
          <w:lang w:val="en-US" w:eastAsia="zh-CN" w:bidi="en-US"/>
        </w:rPr>
        <w:t>项目预算构成</w:t>
      </w:r>
      <w:bookmarkEnd w:id="119"/>
      <w:bookmarkEnd w:id="120"/>
      <w:bookmarkEnd w:id="121"/>
      <w:bookmarkEnd w:id="122"/>
      <w:bookmarkEnd w:id="123"/>
      <w:bookmarkEnd w:id="124"/>
      <w:bookmarkEnd w:id="125"/>
      <w:bookmarkEnd w:id="126"/>
      <w:bookmarkEnd w:id="127"/>
      <w:bookmarkEnd w:id="128"/>
    </w:p>
    <w:p w14:paraId="146C2186">
      <w:pPr>
        <w:ind w:firstLine="640"/>
        <w:rPr>
          <w:rFonts w:hint="eastAsia" w:ascii="仿宋_GB2312" w:hAnsi="Times New Roman" w:eastAsia="仿宋_GB2312" w:cs="Times New Roman"/>
          <w:b w:val="0"/>
          <w:color w:val="000000"/>
          <w:sz w:val="32"/>
          <w:szCs w:val="32"/>
          <w:lang w:val="en-US" w:eastAsia="zh-CN" w:bidi="en-US"/>
        </w:rPr>
      </w:pPr>
      <w:r>
        <w:rPr>
          <w:rFonts w:hint="eastAsia" w:ascii="仿宋_GB2312" w:hAnsi="Times New Roman" w:eastAsia="仿宋_GB2312" w:cs="Times New Roman"/>
          <w:b w:val="0"/>
          <w:color w:val="000000"/>
          <w:sz w:val="32"/>
          <w:szCs w:val="32"/>
          <w:lang w:val="en-US" w:eastAsia="zh-CN" w:bidi="en-US"/>
        </w:rPr>
        <w:t>城区园林绿化购买社会养护服务项目经乐山市金口河区人民政府关于《关于解决城区园林绿化购买社会服务养护经费的请求》(金府复〔2024〕13号)文件，同意本项目资金控制在370.44万元以内，通过政府采购确认项目资金354.56万元，每年支付118.1866万元，全部为财政资金。</w:t>
      </w:r>
    </w:p>
    <w:p w14:paraId="70185466">
      <w:pPr>
        <w:ind w:firstLine="640"/>
        <w:jc w:val="both"/>
        <w:rPr>
          <w:rFonts w:hint="default" w:ascii="仿宋" w:hAnsi="仿宋" w:eastAsia="仿宋" w:cs="仿宋"/>
          <w:bCs/>
          <w:szCs w:val="32"/>
          <w:highlight w:val="none"/>
          <w:lang w:val="en-US" w:eastAsia="zh-CN"/>
        </w:rPr>
      </w:pPr>
      <w:r>
        <w:rPr>
          <w:rFonts w:hint="eastAsia" w:ascii="仿宋_GB2312" w:hAnsi="Times New Roman" w:eastAsia="仿宋_GB2312" w:cs="Times New Roman"/>
          <w:b w:val="0"/>
          <w:color w:val="000000"/>
          <w:sz w:val="32"/>
          <w:szCs w:val="32"/>
          <w:lang w:val="en-US" w:eastAsia="zh-CN" w:bidi="en-US"/>
        </w:rPr>
        <w:t>2024年5-12月城区园林绿化购买社会服务养护经费78.79万元，该笔资金2024年未支付，顺延至2025年；2025年项目预算资金为118.1866万元。合计196.98万元</w:t>
      </w:r>
      <w:r>
        <w:rPr>
          <w:rFonts w:hint="eastAsia" w:ascii="仿宋" w:hAnsi="仿宋" w:eastAsia="仿宋" w:cs="仿宋"/>
          <w:bCs/>
          <w:szCs w:val="32"/>
          <w:highlight w:val="none"/>
          <w:lang w:val="en-US" w:eastAsia="zh-CN"/>
        </w:rPr>
        <w:t>。</w:t>
      </w:r>
    </w:p>
    <w:p w14:paraId="08760E31">
      <w:pPr>
        <w:spacing w:line="580" w:lineRule="exact"/>
        <w:ind w:firstLine="0" w:firstLineChars="0"/>
        <w:jc w:val="center"/>
        <w:rPr>
          <w:rFonts w:hint="eastAsia" w:ascii="仿宋" w:hAnsi="仿宋" w:eastAsia="仿宋" w:cs="仿宋"/>
          <w:bCs/>
          <w:szCs w:val="32"/>
          <w:lang w:eastAsia="zh-CN"/>
        </w:rPr>
      </w:pPr>
      <w:r>
        <w:rPr>
          <w:rFonts w:hint="eastAsia" w:ascii="仿宋_GB2312" w:hAnsi="Times New Roman" w:eastAsia="仿宋_GB2312" w:cs="Times New Roman"/>
          <w:b w:val="0"/>
          <w:color w:val="000000"/>
          <w:sz w:val="32"/>
          <w:szCs w:val="32"/>
          <w:lang w:val="en-US" w:eastAsia="zh-CN" w:bidi="en-US"/>
        </w:rPr>
        <w:t>项目资金支出计划表</w:t>
      </w:r>
    </w:p>
    <w:tbl>
      <w:tblPr>
        <w:tblStyle w:val="22"/>
        <w:tblpPr w:leftFromText="180" w:rightFromText="180" w:vertAnchor="text" w:horzAnchor="page" w:tblpX="1765" w:tblpY="222"/>
        <w:tblOverlap w:val="never"/>
        <w:tblW w:w="8586" w:type="dxa"/>
        <w:tblInd w:w="0" w:type="dxa"/>
        <w:tblLayout w:type="fixed"/>
        <w:tblCellMar>
          <w:top w:w="0" w:type="dxa"/>
          <w:left w:w="108" w:type="dxa"/>
          <w:bottom w:w="0" w:type="dxa"/>
          <w:right w:w="108" w:type="dxa"/>
        </w:tblCellMar>
      </w:tblPr>
      <w:tblGrid>
        <w:gridCol w:w="562"/>
        <w:gridCol w:w="1843"/>
        <w:gridCol w:w="2691"/>
        <w:gridCol w:w="1459"/>
        <w:gridCol w:w="6"/>
        <w:gridCol w:w="2025"/>
      </w:tblGrid>
      <w:tr w14:paraId="2FDF3EC1">
        <w:tblPrEx>
          <w:tblCellMar>
            <w:top w:w="0" w:type="dxa"/>
            <w:left w:w="108" w:type="dxa"/>
            <w:bottom w:w="0" w:type="dxa"/>
            <w:right w:w="108" w:type="dxa"/>
          </w:tblCellMar>
        </w:tblPrEx>
        <w:trPr>
          <w:trHeight w:val="698" w:hRule="atLeast"/>
          <w:tblHead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C29C">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9C67">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项目内容</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25AA">
            <w:pPr>
              <w:spacing w:line="240" w:lineRule="exact"/>
              <w:ind w:firstLine="0" w:firstLineChars="0"/>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资金支付计划</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BCABA">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支付金额（万元）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926F">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合同约定应支付时间</w:t>
            </w:r>
          </w:p>
        </w:tc>
      </w:tr>
      <w:tr w14:paraId="12CFA381">
        <w:tblPrEx>
          <w:tblCellMar>
            <w:top w:w="0" w:type="dxa"/>
            <w:left w:w="108" w:type="dxa"/>
            <w:bottom w:w="0" w:type="dxa"/>
            <w:right w:w="108" w:type="dxa"/>
          </w:tblCellMar>
        </w:tblPrEx>
        <w:trPr>
          <w:trHeight w:val="581"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826B">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1</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0DDE485D">
            <w:pPr>
              <w:spacing w:line="240" w:lineRule="exact"/>
              <w:ind w:firstLine="0" w:firstLineChars="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城区园林绿化购买社会服务养护项目</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06D">
            <w:pPr>
              <w:spacing w:line="240" w:lineRule="exact"/>
              <w:ind w:firstLine="0" w:firstLineChars="0"/>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2024.4.25-2025.4.24</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AB406">
            <w:pPr>
              <w:spacing w:line="240" w:lineRule="exact"/>
              <w:ind w:firstLine="0" w:firstLineChars="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118.1866</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14:paraId="543F66AB">
            <w:pPr>
              <w:spacing w:line="240" w:lineRule="exact"/>
              <w:ind w:firstLine="0" w:firstLineChars="0"/>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按季度支付，每季度结束后次月10日前凭增值税专用发票支付</w:t>
            </w:r>
            <w:r>
              <w:rPr>
                <w:rFonts w:hint="eastAsia" w:ascii="仿宋" w:hAnsi="仿宋" w:eastAsia="仿宋" w:cs="仿宋"/>
                <w:bCs/>
                <w:sz w:val="24"/>
                <w:highlight w:val="none"/>
                <w:lang w:eastAsia="zh-CN"/>
              </w:rPr>
              <w:t>。</w:t>
            </w:r>
          </w:p>
        </w:tc>
      </w:tr>
      <w:tr w14:paraId="4E8F78E1">
        <w:tblPrEx>
          <w:tblCellMar>
            <w:top w:w="0" w:type="dxa"/>
            <w:left w:w="108" w:type="dxa"/>
            <w:bottom w:w="0" w:type="dxa"/>
            <w:right w:w="108" w:type="dxa"/>
          </w:tblCellMar>
        </w:tblPrEx>
        <w:trPr>
          <w:trHeight w:val="56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A24">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2</w:t>
            </w:r>
          </w:p>
        </w:tc>
        <w:tc>
          <w:tcPr>
            <w:tcW w:w="1843" w:type="dxa"/>
            <w:vMerge w:val="continue"/>
            <w:tcBorders>
              <w:left w:val="single" w:color="000000" w:sz="4" w:space="0"/>
              <w:right w:val="single" w:color="000000" w:sz="4" w:space="0"/>
            </w:tcBorders>
            <w:shd w:val="clear" w:color="auto" w:fill="auto"/>
            <w:vAlign w:val="center"/>
          </w:tcPr>
          <w:p w14:paraId="070900DE">
            <w:pPr>
              <w:spacing w:line="240" w:lineRule="exact"/>
              <w:ind w:firstLine="0" w:firstLineChars="0"/>
              <w:rPr>
                <w:rFonts w:hint="eastAsia" w:ascii="仿宋" w:hAnsi="仿宋" w:eastAsia="仿宋" w:cs="仿宋"/>
                <w:bCs/>
                <w:sz w:val="24"/>
                <w:highlight w:val="none"/>
                <w:lang w:eastAsia="zh-CN"/>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7CB">
            <w:pPr>
              <w:spacing w:line="240" w:lineRule="exact"/>
              <w:ind w:firstLine="0" w:firstLineChars="0"/>
              <w:jc w:val="center"/>
              <w:rPr>
                <w:rFonts w:hint="eastAsia" w:ascii="仿宋" w:hAnsi="仿宋" w:eastAsia="仿宋" w:cs="仿宋"/>
                <w:bCs/>
                <w:color w:val="000000"/>
                <w:sz w:val="24"/>
                <w:szCs w:val="24"/>
                <w:highlight w:val="none"/>
                <w:lang w:val="en-US" w:eastAsia="zh-CN" w:bidi="en-US"/>
              </w:rPr>
            </w:pPr>
            <w:r>
              <w:rPr>
                <w:rFonts w:hint="eastAsia" w:ascii="仿宋" w:hAnsi="仿宋" w:eastAsia="仿宋" w:cs="仿宋"/>
                <w:bCs/>
                <w:sz w:val="24"/>
                <w:highlight w:val="none"/>
                <w:lang w:val="en-US" w:eastAsia="zh-CN"/>
              </w:rPr>
              <w:t>2025.4.25-2026.4.24</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B42EB">
            <w:pPr>
              <w:spacing w:line="240" w:lineRule="exact"/>
              <w:ind w:firstLine="0" w:firstLineChars="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118.1866</w:t>
            </w:r>
          </w:p>
        </w:tc>
        <w:tc>
          <w:tcPr>
            <w:tcW w:w="2025" w:type="dxa"/>
            <w:vMerge w:val="continue"/>
            <w:tcBorders>
              <w:left w:val="single" w:color="000000" w:sz="4" w:space="0"/>
              <w:right w:val="single" w:color="000000" w:sz="4" w:space="0"/>
            </w:tcBorders>
            <w:shd w:val="clear" w:color="auto" w:fill="auto"/>
            <w:vAlign w:val="center"/>
          </w:tcPr>
          <w:p w14:paraId="31AE3853">
            <w:pPr>
              <w:spacing w:line="240" w:lineRule="exact"/>
              <w:ind w:firstLine="0" w:firstLineChars="0"/>
              <w:rPr>
                <w:rFonts w:hint="eastAsia" w:ascii="仿宋" w:hAnsi="仿宋" w:eastAsia="仿宋" w:cs="仿宋"/>
                <w:bCs/>
                <w:sz w:val="24"/>
                <w:highlight w:val="none"/>
                <w:lang w:eastAsia="zh-CN"/>
              </w:rPr>
            </w:pPr>
          </w:p>
        </w:tc>
      </w:tr>
      <w:tr w14:paraId="7FDD34C5">
        <w:tblPrEx>
          <w:tblCellMar>
            <w:top w:w="0" w:type="dxa"/>
            <w:left w:w="108" w:type="dxa"/>
            <w:bottom w:w="0" w:type="dxa"/>
            <w:right w:w="108" w:type="dxa"/>
          </w:tblCellMar>
        </w:tblPrEx>
        <w:trPr>
          <w:trHeight w:val="573"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DBD">
            <w:pPr>
              <w:spacing w:line="240" w:lineRule="exact"/>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3</w:t>
            </w: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43FFFC57">
            <w:pPr>
              <w:spacing w:line="240" w:lineRule="exact"/>
              <w:ind w:firstLine="0" w:firstLineChars="0"/>
              <w:rPr>
                <w:rFonts w:hint="eastAsia" w:ascii="仿宋" w:hAnsi="仿宋" w:eastAsia="仿宋" w:cs="仿宋"/>
                <w:bCs/>
                <w:sz w:val="24"/>
                <w:highlight w:val="none"/>
                <w:lang w:eastAsia="zh-CN"/>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543D">
            <w:pPr>
              <w:spacing w:line="240" w:lineRule="exact"/>
              <w:ind w:firstLine="0" w:firstLineChars="0"/>
              <w:jc w:val="center"/>
              <w:rPr>
                <w:rFonts w:hint="eastAsia" w:ascii="仿宋" w:hAnsi="仿宋" w:eastAsia="仿宋" w:cs="仿宋"/>
                <w:bCs/>
                <w:color w:val="000000"/>
                <w:sz w:val="24"/>
                <w:szCs w:val="24"/>
                <w:highlight w:val="none"/>
                <w:lang w:val="en-US" w:eastAsia="zh-CN" w:bidi="en-US"/>
              </w:rPr>
            </w:pPr>
            <w:r>
              <w:rPr>
                <w:rFonts w:hint="eastAsia" w:ascii="仿宋" w:hAnsi="仿宋" w:eastAsia="仿宋" w:cs="仿宋"/>
                <w:bCs/>
                <w:sz w:val="24"/>
                <w:highlight w:val="none"/>
                <w:lang w:val="en-US" w:eastAsia="zh-CN"/>
              </w:rPr>
              <w:t>2026.4.25-2027.4.24</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0AB87">
            <w:pPr>
              <w:spacing w:line="240" w:lineRule="exact"/>
              <w:ind w:firstLine="0" w:firstLineChars="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118.1866</w:t>
            </w: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14:paraId="0930A260">
            <w:pPr>
              <w:spacing w:line="240" w:lineRule="exact"/>
              <w:ind w:firstLine="0" w:firstLineChars="0"/>
              <w:rPr>
                <w:rFonts w:hint="eastAsia" w:ascii="仿宋" w:hAnsi="仿宋" w:eastAsia="仿宋" w:cs="仿宋"/>
                <w:bCs/>
                <w:sz w:val="24"/>
                <w:highlight w:val="none"/>
                <w:lang w:eastAsia="zh-CN"/>
              </w:rPr>
            </w:pPr>
          </w:p>
        </w:tc>
      </w:tr>
      <w:tr w14:paraId="002540AE">
        <w:tblPrEx>
          <w:tblCellMar>
            <w:top w:w="0" w:type="dxa"/>
            <w:left w:w="108" w:type="dxa"/>
            <w:bottom w:w="0" w:type="dxa"/>
            <w:right w:w="108" w:type="dxa"/>
          </w:tblCellMar>
        </w:tblPrEx>
        <w:trPr>
          <w:trHeight w:val="615" w:hRule="atLeast"/>
        </w:trPr>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7D420">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合计</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306">
            <w:pPr>
              <w:spacing w:line="240" w:lineRule="exact"/>
              <w:ind w:firstLine="0" w:firstLineChars="0"/>
              <w:jc w:val="center"/>
              <w:rPr>
                <w:rFonts w:hint="eastAsia" w:ascii="仿宋" w:hAnsi="仿宋" w:eastAsia="仿宋" w:cs="仿宋"/>
                <w:bCs/>
                <w:sz w:val="24"/>
                <w:lang w:eastAsia="zh-CN"/>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719C">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highlight w:val="none"/>
                <w:lang w:val="en-US" w:eastAsia="zh-CN"/>
              </w:rPr>
              <w:t>354.56</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07686">
            <w:pPr>
              <w:spacing w:line="240" w:lineRule="exact"/>
              <w:ind w:firstLine="0" w:firstLineChars="0"/>
              <w:rPr>
                <w:rFonts w:hint="eastAsia" w:ascii="仿宋" w:hAnsi="仿宋" w:eastAsia="仿宋" w:cs="仿宋"/>
                <w:bCs/>
                <w:sz w:val="24"/>
                <w:lang w:eastAsia="zh-CN"/>
              </w:rPr>
            </w:pPr>
          </w:p>
        </w:tc>
      </w:tr>
    </w:tbl>
    <w:p w14:paraId="26817FD2">
      <w:pPr>
        <w:pStyle w:val="2"/>
        <w:numPr>
          <w:ilvl w:val="0"/>
          <w:numId w:val="1"/>
        </w:numPr>
        <w:spacing w:before="0" w:beforeLines="0" w:after="0" w:afterLines="0"/>
        <w:rPr>
          <w:rFonts w:hint="eastAsia" w:ascii="仿宋" w:hAnsi="仿宋" w:eastAsia="仿宋" w:cs="仿宋"/>
          <w:b w:val="0"/>
          <w:bCs/>
          <w:szCs w:val="32"/>
          <w:lang w:eastAsia="zh-CN"/>
        </w:rPr>
      </w:pPr>
      <w:bookmarkStart w:id="129" w:name="_Toc1396703300"/>
      <w:bookmarkStart w:id="130" w:name="_Toc9538"/>
      <w:bookmarkStart w:id="131" w:name="_Toc338550202"/>
      <w:bookmarkStart w:id="132" w:name="_Toc1939"/>
      <w:bookmarkStart w:id="133" w:name="_Toc29285"/>
      <w:bookmarkStart w:id="134" w:name="_Toc1093480860_WPSOffice_Level1"/>
      <w:bookmarkStart w:id="135" w:name="_Toc132480961"/>
      <w:bookmarkStart w:id="136" w:name="_Toc326378840"/>
      <w:bookmarkStart w:id="137" w:name="_Toc451760287"/>
      <w:bookmarkStart w:id="138" w:name="_Toc23154"/>
      <w:r>
        <w:rPr>
          <w:rFonts w:hint="eastAsia" w:ascii="仿宋_GB2312" w:hAnsi="Times New Roman" w:eastAsia="仿宋_GB2312" w:cs="Times New Roman"/>
          <w:b w:val="0"/>
          <w:color w:val="000000"/>
          <w:kern w:val="0"/>
          <w:sz w:val="32"/>
          <w:szCs w:val="32"/>
          <w:lang w:val="en-US" w:eastAsia="zh-CN" w:bidi="en-US"/>
        </w:rPr>
        <w:t>绩效评价工作开展情况</w:t>
      </w:r>
      <w:bookmarkEnd w:id="129"/>
      <w:bookmarkEnd w:id="130"/>
      <w:bookmarkEnd w:id="131"/>
      <w:bookmarkEnd w:id="132"/>
      <w:bookmarkEnd w:id="133"/>
      <w:bookmarkEnd w:id="134"/>
      <w:bookmarkEnd w:id="135"/>
      <w:bookmarkEnd w:id="136"/>
      <w:bookmarkEnd w:id="137"/>
      <w:bookmarkEnd w:id="138"/>
    </w:p>
    <w:p w14:paraId="4F9DA99D">
      <w:pPr>
        <w:pStyle w:val="3"/>
        <w:numPr>
          <w:ilvl w:val="1"/>
          <w:numId w:val="2"/>
        </w:numPr>
        <w:spacing w:before="0" w:beforeLines="0" w:after="0" w:afterLines="0"/>
        <w:ind w:left="0" w:firstLine="709" w:firstLineChars="0"/>
        <w:rPr>
          <w:rFonts w:hint="eastAsia" w:ascii="仿宋" w:hAnsi="仿宋" w:eastAsia="仿宋" w:cs="仿宋"/>
          <w:b w:val="0"/>
          <w:bCs/>
          <w:szCs w:val="32"/>
          <w:lang w:eastAsia="zh-CN"/>
        </w:rPr>
      </w:pPr>
      <w:bookmarkStart w:id="139" w:name="_Toc775929442"/>
      <w:bookmarkStart w:id="140" w:name="_Toc27074"/>
      <w:bookmarkStart w:id="141" w:name="_Toc20456"/>
      <w:bookmarkStart w:id="142" w:name="_Toc132480962"/>
      <w:bookmarkStart w:id="143" w:name="_Toc29934"/>
      <w:bookmarkStart w:id="144" w:name="_Toc248617743"/>
      <w:bookmarkStart w:id="145" w:name="_Toc1329064111"/>
      <w:bookmarkStart w:id="146" w:name="_Toc1380451464"/>
      <w:bookmarkStart w:id="147" w:name="_Toc24814"/>
      <w:r>
        <w:rPr>
          <w:rFonts w:hint="eastAsia" w:ascii="仿宋" w:hAnsi="仿宋" w:eastAsia="仿宋" w:cs="仿宋"/>
          <w:b w:val="0"/>
          <w:bCs/>
          <w:szCs w:val="32"/>
          <w:lang w:eastAsia="zh-CN"/>
        </w:rPr>
        <w:t>绩</w:t>
      </w:r>
      <w:r>
        <w:rPr>
          <w:rFonts w:hint="eastAsia" w:ascii="仿宋_GB2312" w:hAnsi="Times New Roman" w:eastAsia="仿宋_GB2312" w:cs="Times New Roman"/>
          <w:b w:val="0"/>
          <w:color w:val="000000"/>
          <w:kern w:val="0"/>
          <w:sz w:val="32"/>
          <w:szCs w:val="32"/>
          <w:lang w:val="en-US" w:eastAsia="zh-CN" w:bidi="en-US"/>
        </w:rPr>
        <w:t>效评价目的</w:t>
      </w:r>
      <w:bookmarkEnd w:id="139"/>
      <w:bookmarkEnd w:id="140"/>
      <w:bookmarkEnd w:id="141"/>
      <w:bookmarkEnd w:id="142"/>
      <w:bookmarkEnd w:id="143"/>
      <w:bookmarkEnd w:id="144"/>
      <w:bookmarkEnd w:id="145"/>
      <w:bookmarkEnd w:id="146"/>
      <w:bookmarkEnd w:id="147"/>
    </w:p>
    <w:p w14:paraId="3C128996">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根据《乐山市金口河区财政局关于委托金口河区财政投资评价审核中心开展2025年事前绩效评估工作的函》，金口河区财政局在各预算单位对2025年年初预算资金进行事前自评的基础上，按照“资金量较大、代表性较强、社会关注度较高、资金分配覆盖广且连续实施”的原则，委托我中心对城区园林绿化购买社会服务养护服务项目进行评估。本项目的绩效评估主要判断项目申请资金支持的必要性和可行性，重点论证项目实施的必要性、公益性、</w:t>
      </w:r>
      <w:r>
        <w:rPr>
          <w:rFonts w:hint="eastAsia" w:ascii="仿宋_GB2312" w:cs="Times New Roman"/>
          <w:b w:val="0"/>
          <w:color w:val="000000"/>
          <w:kern w:val="0"/>
          <w:sz w:val="32"/>
          <w:szCs w:val="32"/>
          <w:lang w:val="en-US" w:eastAsia="zh-CN" w:bidi="en-US"/>
        </w:rPr>
        <w:t>经济</w:t>
      </w:r>
      <w:r>
        <w:rPr>
          <w:rFonts w:hint="eastAsia" w:ascii="仿宋_GB2312" w:hAnsi="Times New Roman" w:eastAsia="仿宋_GB2312" w:cs="Times New Roman"/>
          <w:b w:val="0"/>
          <w:color w:val="000000"/>
          <w:kern w:val="0"/>
          <w:sz w:val="32"/>
          <w:szCs w:val="32"/>
          <w:lang w:val="en-US" w:eastAsia="zh-CN" w:bidi="en-US"/>
        </w:rPr>
        <w:t>性；项目建设投资合规性与项目成熟度；项目资金来源和到位可行性；项目绩效目标合理性、事前绩效评估论证结果</w:t>
      </w:r>
      <w:r>
        <w:rPr>
          <w:rFonts w:ascii="仿宋" w:hAnsi="仿宋" w:eastAsia="仿宋" w:cs="仿宋"/>
          <w:bCs/>
          <w:szCs w:val="32"/>
          <w:lang w:eastAsia="zh-CN"/>
        </w:rPr>
        <w:t>。</w:t>
      </w:r>
    </w:p>
    <w:p w14:paraId="6D8D3E98">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48" w:name="_Toc32534"/>
      <w:bookmarkStart w:id="149" w:name="_Toc1343165574"/>
      <w:bookmarkStart w:id="150" w:name="_Toc8572"/>
      <w:bookmarkStart w:id="151" w:name="_Toc132480963"/>
      <w:bookmarkStart w:id="152" w:name="_Toc166470150"/>
      <w:bookmarkStart w:id="153" w:name="_Toc1814348475"/>
      <w:bookmarkStart w:id="154" w:name="_Toc2011308256"/>
      <w:bookmarkStart w:id="155" w:name="_Toc15142"/>
      <w:bookmarkStart w:id="156" w:name="_Toc9504"/>
      <w:r>
        <w:rPr>
          <w:rFonts w:hint="eastAsia" w:ascii="仿宋_GB2312" w:hAnsi="Times New Roman" w:eastAsia="仿宋_GB2312" w:cs="Times New Roman"/>
          <w:b w:val="0"/>
          <w:color w:val="000000"/>
          <w:kern w:val="0"/>
          <w:sz w:val="32"/>
          <w:szCs w:val="32"/>
          <w:lang w:val="en-US" w:eastAsia="zh-CN" w:bidi="en-US"/>
        </w:rPr>
        <w:t>绩效评价</w:t>
      </w:r>
      <w:bookmarkEnd w:id="148"/>
      <w:bookmarkEnd w:id="149"/>
      <w:bookmarkEnd w:id="150"/>
      <w:bookmarkEnd w:id="151"/>
      <w:bookmarkEnd w:id="152"/>
      <w:bookmarkEnd w:id="153"/>
      <w:bookmarkEnd w:id="154"/>
      <w:bookmarkEnd w:id="155"/>
      <w:r>
        <w:rPr>
          <w:rFonts w:hint="eastAsia" w:ascii="仿宋_GB2312" w:hAnsi="Times New Roman" w:eastAsia="仿宋_GB2312" w:cs="Times New Roman"/>
          <w:b w:val="0"/>
          <w:color w:val="000000"/>
          <w:kern w:val="0"/>
          <w:sz w:val="32"/>
          <w:szCs w:val="32"/>
          <w:lang w:val="en-US" w:eastAsia="zh-CN" w:bidi="en-US"/>
        </w:rPr>
        <w:t>指标</w:t>
      </w:r>
      <w:bookmarkEnd w:id="156"/>
    </w:p>
    <w:p w14:paraId="22634537">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城区园林绿化购买社会养护服务项目事前绩效评估指标直接影响绩效评估结果的有效性，设计和选择评估指标时，评估工作小组遵循“相关性、经济性、可比性、重要性”的原则，通过对城区园林绿化购买社会养护服务项目相关文件的学习理解、对项目特点的深入研究以及对项目资料的整理分析的基础上，设计形成事前绩效评估体系。绩效评估总分100分，共设置一级指标8个，分值分别为16分、15分、15分、12分、13分、8分、9分和12分，设置二级指标17个，重点论证立项必要性、绩效目标合理性、实施方案可行性、</w:t>
      </w:r>
      <w:r>
        <w:rPr>
          <w:rFonts w:hint="eastAsia" w:ascii="仿宋_GB2312" w:cs="Times New Roman"/>
          <w:b w:val="0"/>
          <w:color w:val="000000"/>
          <w:kern w:val="0"/>
          <w:sz w:val="32"/>
          <w:szCs w:val="32"/>
          <w:lang w:val="en-US" w:eastAsia="zh-CN" w:bidi="en-US"/>
        </w:rPr>
        <w:t>实施成果合格性</w:t>
      </w:r>
      <w:r>
        <w:rPr>
          <w:rFonts w:hint="eastAsia" w:ascii="仿宋_GB2312" w:hAnsi="Times New Roman" w:eastAsia="仿宋_GB2312" w:cs="Times New Roman"/>
          <w:b w:val="0"/>
          <w:color w:val="000000"/>
          <w:kern w:val="0"/>
          <w:sz w:val="32"/>
          <w:szCs w:val="32"/>
          <w:lang w:val="en-US" w:eastAsia="zh-CN" w:bidi="en-US"/>
        </w:rPr>
        <w:t>等方面，全面评估该项目的的预期绩效情况</w:t>
      </w:r>
      <w:r>
        <w:rPr>
          <w:rFonts w:ascii="仿宋" w:hAnsi="仿宋" w:eastAsia="仿宋" w:cs="仿宋"/>
          <w:bCs/>
          <w:szCs w:val="32"/>
          <w:lang w:eastAsia="zh-CN"/>
        </w:rPr>
        <w:t>。</w:t>
      </w:r>
    </w:p>
    <w:p w14:paraId="0CC39AC5">
      <w:pPr>
        <w:pStyle w:val="3"/>
        <w:numPr>
          <w:ilvl w:val="0"/>
          <w:numId w:val="2"/>
        </w:numPr>
        <w:spacing w:before="0" w:beforeLines="0" w:after="0" w:afterLines="0"/>
        <w:ind w:left="0" w:firstLine="709" w:firstLineChars="0"/>
        <w:rPr>
          <w:rFonts w:hint="eastAsia" w:ascii="仿宋_GB2312" w:hAnsi="Times New Roman" w:eastAsia="仿宋_GB2312" w:cs="Times New Roman"/>
          <w:b w:val="0"/>
          <w:color w:val="000000"/>
          <w:kern w:val="0"/>
          <w:sz w:val="32"/>
          <w:szCs w:val="32"/>
          <w:lang w:val="en-US" w:eastAsia="zh-CN" w:bidi="en-US"/>
        </w:rPr>
      </w:pPr>
      <w:bookmarkStart w:id="157" w:name="_Toc27238"/>
      <w:bookmarkStart w:id="158" w:name="_Toc8214"/>
      <w:bookmarkStart w:id="159" w:name="_Toc9410"/>
      <w:bookmarkStart w:id="160" w:name="_Toc9540"/>
      <w:bookmarkStart w:id="161" w:name="_Toc22272"/>
      <w:bookmarkStart w:id="162" w:name="_Toc130033892"/>
      <w:bookmarkStart w:id="163" w:name="_Toc133498040"/>
      <w:r>
        <w:rPr>
          <w:rFonts w:hint="eastAsia" w:ascii="仿宋_GB2312" w:hAnsi="Times New Roman" w:eastAsia="仿宋_GB2312" w:cs="Times New Roman"/>
          <w:b w:val="0"/>
          <w:color w:val="000000"/>
          <w:kern w:val="0"/>
          <w:sz w:val="32"/>
          <w:szCs w:val="32"/>
          <w:lang w:val="en-US" w:eastAsia="zh-CN" w:bidi="en-US"/>
        </w:rPr>
        <w:t>评价依据</w:t>
      </w:r>
      <w:bookmarkEnd w:id="157"/>
      <w:bookmarkEnd w:id="158"/>
      <w:bookmarkEnd w:id="159"/>
      <w:bookmarkEnd w:id="160"/>
      <w:bookmarkEnd w:id="161"/>
      <w:bookmarkEnd w:id="162"/>
      <w:bookmarkEnd w:id="163"/>
    </w:p>
    <w:p w14:paraId="1FB39616">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_GB2312" w:hAnsi="Times New Roman" w:eastAsia="仿宋_GB2312" w:cs="Times New Roman"/>
          <w:b w:val="0"/>
          <w:color w:val="000000"/>
          <w:kern w:val="0"/>
          <w:sz w:val="32"/>
          <w:szCs w:val="32"/>
          <w:lang w:val="en-US" w:eastAsia="zh-CN" w:bidi="en-US"/>
        </w:rPr>
        <w:t>《乐山市金口河区城区园林绿化购买社会服务养护项目采购合同》</w:t>
      </w:r>
      <w:r>
        <w:rPr>
          <w:rFonts w:hint="eastAsia" w:ascii="仿宋_GB2312" w:cs="Times New Roman"/>
          <w:b w:val="0"/>
          <w:color w:val="000000"/>
          <w:kern w:val="0"/>
          <w:sz w:val="32"/>
          <w:szCs w:val="32"/>
          <w:lang w:val="en-US" w:eastAsia="zh-CN" w:bidi="en-US"/>
        </w:rPr>
        <w:t>；</w:t>
      </w:r>
    </w:p>
    <w:p w14:paraId="57631350">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_GB2312" w:hAnsi="Times New Roman" w:eastAsia="仿宋_GB2312" w:cs="Times New Roman"/>
          <w:b w:val="0"/>
          <w:color w:val="000000"/>
          <w:kern w:val="0"/>
          <w:sz w:val="32"/>
          <w:szCs w:val="32"/>
          <w:lang w:val="en-US" w:eastAsia="zh-CN" w:bidi="en-US"/>
        </w:rPr>
        <w:t>项目单位提供的相关资料</w:t>
      </w:r>
      <w:r>
        <w:rPr>
          <w:rFonts w:hint="eastAsia" w:ascii="仿宋_GB2312" w:cs="Times New Roman"/>
          <w:b w:val="0"/>
          <w:color w:val="000000"/>
          <w:kern w:val="0"/>
          <w:sz w:val="32"/>
          <w:szCs w:val="32"/>
          <w:lang w:val="en-US" w:eastAsia="zh-CN" w:bidi="en-US"/>
        </w:rPr>
        <w:t>；</w:t>
      </w:r>
    </w:p>
    <w:p w14:paraId="2839AE77">
      <w:pPr>
        <w:ind w:firstLine="640"/>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w:t>
      </w:r>
      <w:r>
        <w:rPr>
          <w:rFonts w:hint="eastAsia" w:ascii="仿宋_GB2312" w:hAnsi="Times New Roman" w:eastAsia="仿宋_GB2312" w:cs="Times New Roman"/>
          <w:b w:val="0"/>
          <w:color w:val="000000"/>
          <w:kern w:val="0"/>
          <w:sz w:val="32"/>
          <w:szCs w:val="32"/>
          <w:lang w:val="en-US" w:eastAsia="zh-CN" w:bidi="en-US"/>
        </w:rPr>
        <w:t>《中共中央国务院关于全面实施预算绩效管理的意见》（中发〔2018〕34号）</w:t>
      </w:r>
      <w:r>
        <w:rPr>
          <w:rFonts w:hint="eastAsia" w:ascii="仿宋_GB2312" w:cs="Times New Roman"/>
          <w:b w:val="0"/>
          <w:color w:val="000000"/>
          <w:kern w:val="0"/>
          <w:sz w:val="32"/>
          <w:szCs w:val="32"/>
          <w:lang w:val="en-US" w:eastAsia="zh-CN" w:bidi="en-US"/>
        </w:rPr>
        <w:t>；</w:t>
      </w:r>
    </w:p>
    <w:p w14:paraId="7AF22680">
      <w:pPr>
        <w:ind w:firstLine="640"/>
        <w:rPr>
          <w:rFonts w:hint="eastAsia" w:ascii="仿宋" w:hAnsi="仿宋" w:eastAsia="仿宋" w:cs="仿宋"/>
          <w:bCs/>
          <w:szCs w:val="32"/>
          <w:lang w:eastAsia="zh-CN"/>
        </w:rPr>
      </w:pPr>
      <w:r>
        <w:rPr>
          <w:rFonts w:hint="eastAsia" w:ascii="仿宋" w:hAnsi="仿宋" w:eastAsia="仿宋" w:cs="仿宋"/>
          <w:bCs/>
          <w:szCs w:val="32"/>
          <w:lang w:val="en-US" w:eastAsia="zh-CN"/>
        </w:rPr>
        <w:t>4</w:t>
      </w:r>
      <w:r>
        <w:rPr>
          <w:rFonts w:hint="eastAsia" w:ascii="仿宋" w:hAnsi="仿宋" w:eastAsia="仿宋" w:cs="仿宋"/>
          <w:bCs/>
          <w:szCs w:val="32"/>
          <w:lang w:eastAsia="zh-CN"/>
        </w:rPr>
        <w:t>.</w:t>
      </w:r>
      <w:r>
        <w:rPr>
          <w:rFonts w:hint="eastAsia" w:ascii="仿宋_GB2312" w:hAnsi="Times New Roman" w:eastAsia="仿宋_GB2312" w:cs="Times New Roman"/>
          <w:b w:val="0"/>
          <w:color w:val="000000"/>
          <w:kern w:val="0"/>
          <w:sz w:val="32"/>
          <w:szCs w:val="32"/>
          <w:lang w:val="en-US" w:eastAsia="zh-CN" w:bidi="en-US"/>
        </w:rPr>
        <w:t>《中共四川省委四川省人民政府关于全面实施预算绩效管理的实施意见》（川委发〔2019〕8号）</w:t>
      </w:r>
      <w:r>
        <w:rPr>
          <w:rFonts w:hint="eastAsia" w:ascii="仿宋_GB2312" w:cs="Times New Roman"/>
          <w:b w:val="0"/>
          <w:color w:val="000000"/>
          <w:kern w:val="0"/>
          <w:sz w:val="32"/>
          <w:szCs w:val="32"/>
          <w:lang w:val="en-US" w:eastAsia="zh-CN" w:bidi="en-US"/>
        </w:rPr>
        <w:t>；</w:t>
      </w:r>
    </w:p>
    <w:p w14:paraId="28F70D91">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bCs/>
          <w:szCs w:val="32"/>
          <w:lang w:val="en-US" w:eastAsia="zh-CN"/>
        </w:rPr>
        <w:t>5</w:t>
      </w:r>
      <w:r>
        <w:rPr>
          <w:rFonts w:hint="eastAsia" w:ascii="仿宋" w:hAnsi="仿宋" w:eastAsia="仿宋" w:cs="仿宋"/>
          <w:bCs/>
          <w:szCs w:val="32"/>
          <w:lang w:eastAsia="zh-CN"/>
        </w:rPr>
        <w:t>.《</w:t>
      </w:r>
      <w:r>
        <w:rPr>
          <w:rFonts w:hint="eastAsia" w:ascii="仿宋_GB2312" w:hAnsi="Times New Roman" w:eastAsia="仿宋_GB2312" w:cs="Times New Roman"/>
          <w:b w:val="0"/>
          <w:color w:val="000000"/>
          <w:kern w:val="0"/>
          <w:sz w:val="32"/>
          <w:szCs w:val="32"/>
          <w:lang w:val="en-US" w:eastAsia="zh-CN" w:bidi="en-US"/>
        </w:rPr>
        <w:t>中共乐山市委办公室乐山市人民政府办公室&lt;关于印发全面实施预算绩效管理实施方案&gt;的通知》（乐委办发〔2020〕12号）</w:t>
      </w:r>
      <w:r>
        <w:rPr>
          <w:rFonts w:hint="eastAsia" w:ascii="仿宋_GB2312" w:cs="Times New Roman"/>
          <w:b w:val="0"/>
          <w:color w:val="000000"/>
          <w:kern w:val="0"/>
          <w:sz w:val="32"/>
          <w:szCs w:val="32"/>
          <w:lang w:val="en-US" w:eastAsia="zh-CN" w:bidi="en-US"/>
        </w:rPr>
        <w:t>；</w:t>
      </w:r>
    </w:p>
    <w:p w14:paraId="65B5B415">
      <w:pPr>
        <w:ind w:firstLine="640"/>
        <w:rPr>
          <w:rFonts w:hint="eastAsia" w:ascii="仿宋_GB2312" w:cs="Times New Roman"/>
          <w:b w:val="0"/>
          <w:color w:val="000000"/>
          <w:kern w:val="0"/>
          <w:sz w:val="32"/>
          <w:szCs w:val="32"/>
          <w:lang w:val="en-US" w:eastAsia="zh-CN" w:bidi="en-US"/>
        </w:rPr>
      </w:pPr>
      <w:r>
        <w:rPr>
          <w:rFonts w:hint="eastAsia" w:ascii="仿宋" w:hAnsi="仿宋" w:eastAsia="仿宋" w:cs="仿宋"/>
          <w:bCs/>
          <w:szCs w:val="32"/>
          <w:highlight w:val="none"/>
          <w:lang w:val="en-US" w:eastAsia="zh-CN"/>
        </w:rPr>
        <w:t>6</w:t>
      </w:r>
      <w:r>
        <w:rPr>
          <w:rFonts w:hint="eastAsia" w:ascii="仿宋" w:hAnsi="仿宋" w:eastAsia="仿宋" w:cs="仿宋"/>
          <w:bCs/>
          <w:szCs w:val="32"/>
          <w:highlight w:val="none"/>
          <w:lang w:eastAsia="zh-CN"/>
        </w:rPr>
        <w:t>.</w:t>
      </w:r>
      <w:r>
        <w:rPr>
          <w:rFonts w:hint="eastAsia" w:ascii="仿宋_GB2312" w:hAnsi="Times New Roman" w:eastAsia="仿宋_GB2312" w:cs="Times New Roman"/>
          <w:b w:val="0"/>
          <w:color w:val="000000"/>
          <w:kern w:val="0"/>
          <w:sz w:val="32"/>
          <w:szCs w:val="32"/>
          <w:lang w:val="en-US" w:eastAsia="zh-CN" w:bidi="en-US"/>
        </w:rPr>
        <w:t>《乐山市金口河区人民政府关于&lt;关于解决城区园林绿化购买社会服务养护经费的请求&gt;》(金府复〔2024〕13号)</w:t>
      </w:r>
      <w:bookmarkStart w:id="164" w:name="_Toc8759"/>
      <w:bookmarkStart w:id="165" w:name="_Toc4268"/>
      <w:bookmarkStart w:id="166" w:name="_Toc13032"/>
      <w:r>
        <w:rPr>
          <w:rFonts w:hint="eastAsia" w:ascii="仿宋_GB2312" w:cs="Times New Roman"/>
          <w:b w:val="0"/>
          <w:color w:val="000000"/>
          <w:kern w:val="0"/>
          <w:sz w:val="32"/>
          <w:szCs w:val="32"/>
          <w:lang w:val="en-US" w:eastAsia="zh-CN" w:bidi="en-US"/>
        </w:rPr>
        <w:t xml:space="preserve">； </w:t>
      </w:r>
    </w:p>
    <w:p w14:paraId="2F9A1A71">
      <w:pPr>
        <w:ind w:firstLine="640"/>
        <w:rPr>
          <w:rFonts w:hint="eastAsia" w:ascii="仿宋" w:hAnsi="仿宋" w:eastAsia="仿宋" w:cs="仿宋"/>
          <w:bCs/>
          <w:szCs w:val="32"/>
          <w:lang w:eastAsia="zh-CN"/>
        </w:rPr>
      </w:pPr>
      <w:r>
        <w:rPr>
          <w:rFonts w:hint="eastAsia" w:ascii="仿宋" w:hAnsi="仿宋" w:eastAsia="仿宋" w:cs="仿宋"/>
          <w:bCs/>
          <w:szCs w:val="32"/>
          <w:lang w:val="en-US" w:eastAsia="zh-CN"/>
        </w:rPr>
        <w:t>7</w:t>
      </w:r>
      <w:r>
        <w:rPr>
          <w:rFonts w:hint="eastAsia" w:ascii="仿宋" w:hAnsi="仿宋" w:eastAsia="仿宋" w:cs="仿宋"/>
          <w:bCs/>
          <w:szCs w:val="32"/>
          <w:lang w:eastAsia="zh-CN"/>
        </w:rPr>
        <w:t>.</w:t>
      </w:r>
      <w:r>
        <w:rPr>
          <w:rFonts w:hint="eastAsia" w:ascii="仿宋_GB2312" w:hAnsi="Times New Roman" w:eastAsia="仿宋_GB2312" w:cs="Times New Roman"/>
          <w:b w:val="0"/>
          <w:color w:val="000000"/>
          <w:kern w:val="0"/>
          <w:sz w:val="32"/>
          <w:szCs w:val="32"/>
          <w:lang w:val="en-US" w:eastAsia="zh-CN" w:bidi="en-US"/>
        </w:rPr>
        <w:t>《金口河区区级预算事前绩效评估管理暂行办法》</w:t>
      </w:r>
      <w:r>
        <w:rPr>
          <w:rFonts w:hint="eastAsia" w:ascii="仿宋_GB2312" w:cs="Times New Roman"/>
          <w:b w:val="0"/>
          <w:color w:val="000000"/>
          <w:kern w:val="0"/>
          <w:sz w:val="32"/>
          <w:szCs w:val="32"/>
          <w:lang w:val="en-US" w:eastAsia="zh-CN" w:bidi="en-US"/>
        </w:rPr>
        <w:t>；</w:t>
      </w:r>
    </w:p>
    <w:p w14:paraId="265F62B6">
      <w:pPr>
        <w:ind w:firstLine="640"/>
        <w:rPr>
          <w:rFonts w:hint="eastAsia" w:ascii="仿宋" w:hAnsi="仿宋" w:eastAsia="仿宋" w:cs="仿宋"/>
          <w:bCs/>
          <w:szCs w:val="32"/>
          <w:lang w:eastAsia="zh-CN"/>
        </w:rPr>
      </w:pPr>
      <w:r>
        <w:rPr>
          <w:rFonts w:hint="eastAsia" w:ascii="仿宋" w:hAnsi="仿宋" w:eastAsia="仿宋" w:cs="仿宋"/>
          <w:bCs/>
          <w:szCs w:val="32"/>
          <w:lang w:val="en-US" w:eastAsia="zh-CN"/>
        </w:rPr>
        <w:t>8</w:t>
      </w:r>
      <w:r>
        <w:rPr>
          <w:rFonts w:hint="eastAsia" w:ascii="仿宋" w:hAnsi="仿宋" w:eastAsia="仿宋" w:cs="仿宋"/>
          <w:bCs/>
          <w:szCs w:val="32"/>
          <w:lang w:eastAsia="zh-CN"/>
        </w:rPr>
        <w:t>.</w:t>
      </w:r>
      <w:r>
        <w:rPr>
          <w:rFonts w:hint="eastAsia" w:ascii="仿宋_GB2312" w:hAnsi="Times New Roman" w:eastAsia="仿宋_GB2312" w:cs="Times New Roman"/>
          <w:b w:val="0"/>
          <w:color w:val="000000"/>
          <w:kern w:val="0"/>
          <w:sz w:val="32"/>
          <w:szCs w:val="32"/>
          <w:lang w:val="en-US" w:eastAsia="zh-CN" w:bidi="en-US"/>
        </w:rPr>
        <w:t>其他与本次评价相关的制度、文件等资料</w:t>
      </w:r>
      <w:r>
        <w:rPr>
          <w:rFonts w:hint="eastAsia" w:ascii="仿宋" w:hAnsi="仿宋" w:eastAsia="仿宋" w:cs="仿宋"/>
          <w:bCs/>
          <w:szCs w:val="32"/>
          <w:lang w:eastAsia="zh-CN"/>
        </w:rPr>
        <w:t>。</w:t>
      </w:r>
      <w:bookmarkEnd w:id="164"/>
      <w:bookmarkEnd w:id="165"/>
      <w:bookmarkEnd w:id="166"/>
    </w:p>
    <w:p w14:paraId="2E37C191">
      <w:pPr>
        <w:pStyle w:val="3"/>
        <w:numPr>
          <w:ilvl w:val="0"/>
          <w:numId w:val="2"/>
        </w:numPr>
        <w:spacing w:before="0" w:beforeLines="0" w:after="0" w:afterLines="0"/>
        <w:ind w:left="0" w:firstLine="709" w:firstLineChars="0"/>
        <w:rPr>
          <w:rFonts w:hint="eastAsia" w:ascii="仿宋" w:hAnsi="仿宋" w:eastAsia="仿宋" w:cs="仿宋"/>
          <w:b w:val="0"/>
          <w:bCs/>
          <w:szCs w:val="32"/>
        </w:rPr>
      </w:pPr>
      <w:bookmarkStart w:id="167" w:name="_Toc133498039"/>
      <w:bookmarkStart w:id="168" w:name="_Toc13239"/>
      <w:bookmarkStart w:id="169" w:name="_Toc13724"/>
      <w:bookmarkStart w:id="170" w:name="_Toc5444"/>
      <w:bookmarkStart w:id="171" w:name="_Toc235704954"/>
      <w:bookmarkStart w:id="172" w:name="_Toc1840102656"/>
      <w:bookmarkStart w:id="173" w:name="_Toc517771165"/>
      <w:bookmarkStart w:id="174" w:name="_Toc24196"/>
      <w:bookmarkStart w:id="175" w:name="_Toc15390"/>
      <w:bookmarkStart w:id="176" w:name="_Toc130033891"/>
      <w:bookmarkStart w:id="177" w:name="_Toc1634515572"/>
      <w:bookmarkStart w:id="178" w:name="_Toc1492000300_WPSOffice_Level3"/>
      <w:bookmarkStart w:id="179" w:name="_Toc2097"/>
      <w:bookmarkStart w:id="180" w:name="_Toc24488"/>
      <w:bookmarkStart w:id="181" w:name="_Toc6461"/>
      <w:bookmarkStart w:id="182" w:name="_Toc15014"/>
      <w:bookmarkStart w:id="183" w:name="_Toc133498041"/>
      <w:bookmarkStart w:id="184" w:name="_Toc130033893"/>
      <w:bookmarkStart w:id="185" w:name="_Toc30726"/>
      <w:bookmarkStart w:id="186" w:name="_Toc9201"/>
      <w:bookmarkStart w:id="187" w:name="_Toc692406180"/>
      <w:bookmarkStart w:id="188" w:name="_Toc693338945"/>
      <w:bookmarkStart w:id="189" w:name="_Toc576232511"/>
      <w:bookmarkStart w:id="190" w:name="_Toc1533316810"/>
      <w:bookmarkStart w:id="191" w:name="_Toc2029979728_WPSOffice_Level3"/>
      <w:r>
        <w:rPr>
          <w:rFonts w:hint="eastAsia" w:ascii="仿宋_GB2312" w:hAnsi="Times New Roman" w:eastAsia="仿宋_GB2312" w:cs="Times New Roman"/>
          <w:b w:val="0"/>
          <w:color w:val="000000"/>
          <w:kern w:val="0"/>
          <w:sz w:val="32"/>
          <w:szCs w:val="32"/>
          <w:lang w:val="en-US" w:eastAsia="zh-CN" w:bidi="en-US"/>
        </w:rPr>
        <w:t>绩效评价原则</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24163A6">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_GB2312" w:hAnsi="Times New Roman" w:eastAsia="仿宋_GB2312" w:cs="Times New Roman"/>
          <w:b w:val="0"/>
          <w:color w:val="000000"/>
          <w:kern w:val="0"/>
          <w:sz w:val="32"/>
          <w:szCs w:val="32"/>
          <w:lang w:val="en-US" w:eastAsia="zh-CN" w:bidi="en-US"/>
        </w:rPr>
        <w:t>科学规范原则。绩效评价应当严格执行规定的程序，按科学可行的要求，采用定量与定性分析相结合、理论与实践相结合的方法设计合理的评估指标体系</w:t>
      </w:r>
      <w:r>
        <w:rPr>
          <w:rFonts w:hint="eastAsia" w:ascii="仿宋" w:hAnsi="仿宋" w:eastAsia="仿宋" w:cs="仿宋"/>
          <w:bCs/>
          <w:szCs w:val="32"/>
          <w:lang w:eastAsia="zh-CN"/>
        </w:rPr>
        <w:t>。</w:t>
      </w:r>
    </w:p>
    <w:p w14:paraId="35BF60AF">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_GB2312" w:hAnsi="Times New Roman" w:eastAsia="仿宋_GB2312" w:cs="Times New Roman"/>
          <w:b w:val="0"/>
          <w:color w:val="000000"/>
          <w:kern w:val="0"/>
          <w:sz w:val="32"/>
          <w:szCs w:val="32"/>
          <w:lang w:val="en-US" w:eastAsia="zh-CN" w:bidi="en-US"/>
        </w:rPr>
        <w:t>公正公开原则。绩效评价应当符合真实、客观、公正的要求，依法公开并接受监督</w:t>
      </w:r>
      <w:r>
        <w:rPr>
          <w:rFonts w:hint="eastAsia" w:ascii="仿宋" w:hAnsi="仿宋" w:eastAsia="仿宋" w:cs="仿宋"/>
          <w:bCs/>
          <w:spacing w:val="-1"/>
          <w:szCs w:val="32"/>
          <w:lang w:eastAsia="zh-CN"/>
        </w:rPr>
        <w:t>。</w:t>
      </w:r>
    </w:p>
    <w:p w14:paraId="0DB54722">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_GB2312" w:hAnsi="Times New Roman" w:eastAsia="仿宋_GB2312" w:cs="Times New Roman"/>
          <w:b w:val="0"/>
          <w:color w:val="000000"/>
          <w:kern w:val="0"/>
          <w:sz w:val="32"/>
          <w:szCs w:val="32"/>
          <w:lang w:val="en-US" w:eastAsia="zh-CN" w:bidi="en-US"/>
        </w:rPr>
        <w:t>利害关系回避原则。绩效评价工作由乐山市金口河区财政投资评价审核中心进行实施</w:t>
      </w:r>
      <w:r>
        <w:rPr>
          <w:rFonts w:hint="eastAsia" w:ascii="仿宋" w:hAnsi="仿宋" w:eastAsia="仿宋" w:cs="仿宋"/>
          <w:bCs/>
          <w:szCs w:val="32"/>
          <w:lang w:eastAsia="zh-CN"/>
        </w:rPr>
        <w:t>。</w:t>
      </w:r>
    </w:p>
    <w:p w14:paraId="243A634F">
      <w:pPr>
        <w:ind w:firstLine="640"/>
        <w:rPr>
          <w:rFonts w:hint="eastAsia" w:ascii="仿宋" w:hAnsi="仿宋" w:eastAsia="仿宋" w:cs="仿宋"/>
          <w:bCs/>
          <w:spacing w:val="-5"/>
          <w:szCs w:val="32"/>
          <w:lang w:eastAsia="zh-CN"/>
        </w:rPr>
      </w:pPr>
      <w:r>
        <w:rPr>
          <w:rFonts w:hint="eastAsia" w:ascii="仿宋" w:hAnsi="仿宋" w:eastAsia="仿宋" w:cs="仿宋"/>
          <w:bCs/>
          <w:szCs w:val="32"/>
          <w:lang w:eastAsia="zh-CN"/>
        </w:rPr>
        <w:t>4.</w:t>
      </w:r>
      <w:r>
        <w:rPr>
          <w:rFonts w:hint="eastAsia" w:ascii="仿宋_GB2312" w:hAnsi="Times New Roman" w:eastAsia="仿宋_GB2312" w:cs="Times New Roman"/>
          <w:b w:val="0"/>
          <w:color w:val="000000"/>
          <w:kern w:val="0"/>
          <w:sz w:val="32"/>
          <w:szCs w:val="32"/>
          <w:lang w:val="en-US" w:eastAsia="zh-CN" w:bidi="en-US"/>
        </w:rPr>
        <w:t>绩效相关原则。本次事前绩效评估针对城区园林绿化购买社会养护服务项目预算金额及其预期绩效进行，评价结果清晰地反映两者之间的紧密对应关系</w:t>
      </w:r>
      <w:r>
        <w:rPr>
          <w:rFonts w:hint="eastAsia" w:ascii="仿宋" w:hAnsi="仿宋" w:eastAsia="仿宋" w:cs="仿宋"/>
          <w:bCs/>
          <w:szCs w:val="32"/>
          <w:lang w:eastAsia="zh-CN"/>
        </w:rPr>
        <w:t>。</w:t>
      </w:r>
    </w:p>
    <w:p w14:paraId="58E837B9">
      <w:pPr>
        <w:pStyle w:val="3"/>
        <w:numPr>
          <w:ilvl w:val="0"/>
          <w:numId w:val="2"/>
        </w:numPr>
        <w:spacing w:before="0" w:beforeLines="0" w:after="0" w:afterLines="0"/>
        <w:ind w:left="0" w:firstLine="709" w:firstLineChars="0"/>
        <w:rPr>
          <w:rFonts w:hint="eastAsia" w:ascii="仿宋" w:hAnsi="仿宋" w:eastAsia="仿宋" w:cs="仿宋"/>
          <w:b w:val="0"/>
          <w:bCs/>
          <w:szCs w:val="32"/>
        </w:rPr>
      </w:pPr>
      <w:bookmarkStart w:id="192" w:name="_Toc2109"/>
      <w:r>
        <w:rPr>
          <w:rFonts w:hint="eastAsia" w:ascii="仿宋_GB2312" w:hAnsi="Times New Roman" w:eastAsia="仿宋_GB2312" w:cs="Times New Roman"/>
          <w:b w:val="0"/>
          <w:color w:val="000000"/>
          <w:kern w:val="0"/>
          <w:sz w:val="32"/>
          <w:szCs w:val="32"/>
          <w:lang w:val="en-US" w:eastAsia="zh-CN" w:bidi="en-US"/>
        </w:rPr>
        <w:t>评价方法和等级设定</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45FFBBD4">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本次绩效评估通过实施单位的数据填报,辅以评价工作小组实地调查、查阅问卷、听取汇报、查看项目管理及财务管理资料等方式收集信息，对拟使用资金项目的必要性、</w:t>
      </w:r>
      <w:r>
        <w:rPr>
          <w:rFonts w:hint="eastAsia" w:ascii="仿宋_GB2312" w:cs="Times New Roman"/>
          <w:b w:val="0"/>
          <w:color w:val="000000"/>
          <w:kern w:val="0"/>
          <w:sz w:val="32"/>
          <w:szCs w:val="32"/>
          <w:lang w:val="en-US" w:eastAsia="zh-CN" w:bidi="en-US"/>
        </w:rPr>
        <w:t>建设投资合规性</w:t>
      </w:r>
      <w:r>
        <w:rPr>
          <w:rFonts w:hint="eastAsia" w:ascii="仿宋_GB2312" w:hAnsi="Times New Roman" w:eastAsia="仿宋_GB2312" w:cs="Times New Roman"/>
          <w:b w:val="0"/>
          <w:color w:val="000000"/>
          <w:kern w:val="0"/>
          <w:sz w:val="32"/>
          <w:szCs w:val="32"/>
          <w:lang w:val="en-US" w:eastAsia="zh-CN" w:bidi="en-US"/>
        </w:rPr>
        <w:t>、绩效目标的合理性、实施方案的</w:t>
      </w:r>
      <w:r>
        <w:rPr>
          <w:rFonts w:hint="eastAsia" w:ascii="仿宋_GB2312" w:cs="Times New Roman"/>
          <w:b w:val="0"/>
          <w:color w:val="000000"/>
          <w:kern w:val="0"/>
          <w:sz w:val="32"/>
          <w:szCs w:val="32"/>
          <w:lang w:val="en-US" w:eastAsia="zh-CN" w:bidi="en-US"/>
        </w:rPr>
        <w:t>有效</w:t>
      </w:r>
      <w:r>
        <w:rPr>
          <w:rFonts w:hint="eastAsia" w:ascii="仿宋_GB2312" w:hAnsi="Times New Roman" w:eastAsia="仿宋_GB2312" w:cs="Times New Roman"/>
          <w:b w:val="0"/>
          <w:color w:val="000000"/>
          <w:kern w:val="0"/>
          <w:sz w:val="32"/>
          <w:szCs w:val="32"/>
          <w:lang w:val="en-US" w:eastAsia="zh-CN" w:bidi="en-US"/>
        </w:rPr>
        <w:t>性、</w:t>
      </w:r>
      <w:r>
        <w:rPr>
          <w:rFonts w:hint="eastAsia" w:ascii="仿宋_GB2312" w:cs="Times New Roman"/>
          <w:b w:val="0"/>
          <w:color w:val="000000"/>
          <w:kern w:val="0"/>
          <w:sz w:val="32"/>
          <w:szCs w:val="32"/>
          <w:lang w:val="en-US" w:eastAsia="zh-CN" w:bidi="en-US"/>
        </w:rPr>
        <w:t>实施成果合格性</w:t>
      </w:r>
      <w:r>
        <w:rPr>
          <w:rFonts w:hint="eastAsia" w:ascii="仿宋_GB2312" w:hAnsi="Times New Roman" w:eastAsia="仿宋_GB2312" w:cs="Times New Roman"/>
          <w:b w:val="0"/>
          <w:color w:val="000000"/>
          <w:kern w:val="0"/>
          <w:sz w:val="32"/>
          <w:szCs w:val="32"/>
          <w:lang w:val="en-US" w:eastAsia="zh-CN" w:bidi="en-US"/>
        </w:rPr>
        <w:t>等方面进行评判、论证和审查。以定量考核与定性分析相结合，汇总形成评估综合得分。评估结论分为建议实施、建议调整后实施、建议不予实施三个等级，根据各项指标得分合计分数，确定综合评估结论。具体如下</w:t>
      </w:r>
      <w:r>
        <w:rPr>
          <w:rFonts w:hint="eastAsia" w:ascii="仿宋" w:hAnsi="仿宋" w:eastAsia="仿宋" w:cs="仿宋"/>
          <w:bCs/>
          <w:szCs w:val="32"/>
          <w:lang w:eastAsia="zh-CN"/>
        </w:rPr>
        <w:t>:</w:t>
      </w:r>
    </w:p>
    <w:p w14:paraId="52F648D7">
      <w:pPr>
        <w:ind w:firstLine="640"/>
        <w:jc w:val="center"/>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事前绩效评估结论等级表</w:t>
      </w:r>
    </w:p>
    <w:tbl>
      <w:tblPr>
        <w:tblStyle w:val="23"/>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54"/>
        <w:gridCol w:w="2490"/>
        <w:gridCol w:w="2191"/>
      </w:tblGrid>
      <w:tr w14:paraId="71B5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14:paraId="1661F6BD">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评估结论</w:t>
            </w:r>
          </w:p>
        </w:tc>
        <w:tc>
          <w:tcPr>
            <w:tcW w:w="1854" w:type="dxa"/>
          </w:tcPr>
          <w:p w14:paraId="51A27474">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建议实施</w:t>
            </w:r>
          </w:p>
        </w:tc>
        <w:tc>
          <w:tcPr>
            <w:tcW w:w="2490" w:type="dxa"/>
          </w:tcPr>
          <w:p w14:paraId="427BCC60">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建议调整后实施</w:t>
            </w:r>
          </w:p>
        </w:tc>
        <w:tc>
          <w:tcPr>
            <w:tcW w:w="2191" w:type="dxa"/>
          </w:tcPr>
          <w:p w14:paraId="6AC61BC6">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建议不予实施</w:t>
            </w:r>
          </w:p>
        </w:tc>
      </w:tr>
      <w:tr w14:paraId="2D2D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14:paraId="4F7A5CE5">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参考分值S</w:t>
            </w:r>
          </w:p>
        </w:tc>
        <w:tc>
          <w:tcPr>
            <w:tcW w:w="1854" w:type="dxa"/>
          </w:tcPr>
          <w:p w14:paraId="43EE35D2">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S≥90</w:t>
            </w:r>
          </w:p>
        </w:tc>
        <w:tc>
          <w:tcPr>
            <w:tcW w:w="2490" w:type="dxa"/>
          </w:tcPr>
          <w:p w14:paraId="0A261949">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90&gt;S&gt;75</w:t>
            </w:r>
          </w:p>
        </w:tc>
        <w:tc>
          <w:tcPr>
            <w:tcW w:w="2191" w:type="dxa"/>
          </w:tcPr>
          <w:p w14:paraId="36C6F026">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S&lt;75</w:t>
            </w:r>
          </w:p>
        </w:tc>
      </w:tr>
    </w:tbl>
    <w:p w14:paraId="253D197F">
      <w:pPr>
        <w:pStyle w:val="3"/>
        <w:numPr>
          <w:ilvl w:val="0"/>
          <w:numId w:val="2"/>
        </w:numPr>
        <w:spacing w:before="0" w:beforeLines="0" w:after="0" w:afterLines="0"/>
        <w:ind w:left="0" w:firstLine="709" w:firstLineChars="0"/>
        <w:rPr>
          <w:rFonts w:hint="eastAsia" w:ascii="仿宋" w:hAnsi="仿宋" w:eastAsia="仿宋" w:cs="仿宋"/>
          <w:b w:val="0"/>
          <w:bCs/>
          <w:szCs w:val="32"/>
          <w:lang w:eastAsia="zh-CN"/>
        </w:rPr>
      </w:pPr>
      <w:bookmarkStart w:id="193" w:name="_Toc17824"/>
      <w:r>
        <w:rPr>
          <w:rFonts w:hint="eastAsia" w:ascii="仿宋_GB2312" w:hAnsi="Times New Roman" w:eastAsia="仿宋_GB2312" w:cs="Times New Roman"/>
          <w:b w:val="0"/>
          <w:color w:val="000000"/>
          <w:kern w:val="0"/>
          <w:sz w:val="32"/>
          <w:szCs w:val="32"/>
          <w:lang w:val="en-US" w:eastAsia="zh-CN" w:bidi="en-US"/>
        </w:rPr>
        <w:t>评价程序</w:t>
      </w:r>
      <w:bookmarkEnd w:id="193"/>
    </w:p>
    <w:p w14:paraId="1094CF16">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_GB2312" w:hAnsi="Times New Roman" w:eastAsia="仿宋_GB2312" w:cs="Times New Roman"/>
          <w:b w:val="0"/>
          <w:color w:val="000000"/>
          <w:kern w:val="0"/>
          <w:sz w:val="32"/>
          <w:szCs w:val="32"/>
          <w:lang w:val="en-US" w:eastAsia="zh-CN" w:bidi="en-US"/>
        </w:rPr>
        <w:t>下达评估入户通知。绩效考评中心以入户通知书的形式通知项目单位，并明确评估的依据、内容、目的、任务、时间、要求等事项</w:t>
      </w:r>
      <w:r>
        <w:rPr>
          <w:rFonts w:hint="eastAsia" w:ascii="仿宋" w:hAnsi="仿宋" w:eastAsia="仿宋" w:cs="仿宋"/>
          <w:bCs/>
          <w:szCs w:val="32"/>
          <w:lang w:eastAsia="zh-CN"/>
        </w:rPr>
        <w:t>。</w:t>
      </w:r>
    </w:p>
    <w:p w14:paraId="0C3016DC">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_GB2312" w:hAnsi="Times New Roman" w:eastAsia="仿宋_GB2312" w:cs="Times New Roman"/>
          <w:b w:val="0"/>
          <w:color w:val="000000"/>
          <w:kern w:val="0"/>
          <w:sz w:val="32"/>
          <w:szCs w:val="32"/>
          <w:lang w:val="en-US" w:eastAsia="zh-CN" w:bidi="en-US"/>
        </w:rPr>
        <w:t>拟定工作方案。评估工作组结合事前绩效评估工作要求，拟定《事前绩效评估工作方案》，包括评估对象、内容、方法、专家、时间安排等</w:t>
      </w:r>
      <w:r>
        <w:rPr>
          <w:rFonts w:hint="eastAsia" w:ascii="仿宋" w:hAnsi="仿宋" w:eastAsia="仿宋" w:cs="仿宋"/>
          <w:bCs/>
          <w:szCs w:val="32"/>
          <w:lang w:eastAsia="zh-CN"/>
        </w:rPr>
        <w:t>。</w:t>
      </w:r>
    </w:p>
    <w:p w14:paraId="5A2AD7E7">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_GB2312" w:hAnsi="Times New Roman" w:eastAsia="仿宋_GB2312" w:cs="Times New Roman"/>
          <w:b w:val="0"/>
          <w:color w:val="000000"/>
          <w:kern w:val="0"/>
          <w:sz w:val="32"/>
          <w:szCs w:val="32"/>
          <w:lang w:val="en-US" w:eastAsia="zh-CN" w:bidi="en-US"/>
        </w:rPr>
        <w:t>组成评估小组。评估工作组遴选相关人员组成评估专家组，并适时开展业务培训</w:t>
      </w:r>
      <w:r>
        <w:rPr>
          <w:rFonts w:hint="eastAsia" w:ascii="仿宋" w:hAnsi="仿宋" w:eastAsia="仿宋" w:cs="仿宋"/>
          <w:bCs/>
          <w:szCs w:val="32"/>
          <w:lang w:eastAsia="zh-CN"/>
        </w:rPr>
        <w:t>。</w:t>
      </w:r>
    </w:p>
    <w:p w14:paraId="7EB7FB47">
      <w:pPr>
        <w:ind w:firstLine="640"/>
        <w:rPr>
          <w:rFonts w:hint="eastAsia" w:ascii="仿宋" w:hAnsi="仿宋" w:eastAsia="仿宋" w:cs="仿宋"/>
          <w:bCs/>
          <w:szCs w:val="32"/>
          <w:lang w:eastAsia="zh-CN"/>
        </w:rPr>
      </w:pPr>
      <w:r>
        <w:rPr>
          <w:rFonts w:hint="eastAsia" w:ascii="仿宋" w:hAnsi="仿宋" w:eastAsia="仿宋" w:cs="仿宋"/>
          <w:bCs/>
          <w:szCs w:val="32"/>
          <w:lang w:eastAsia="zh-CN"/>
        </w:rPr>
        <w:t>4.</w:t>
      </w:r>
      <w:r>
        <w:rPr>
          <w:rFonts w:hint="eastAsia" w:ascii="仿宋_GB2312" w:hAnsi="Times New Roman" w:eastAsia="仿宋_GB2312" w:cs="Times New Roman"/>
          <w:b w:val="0"/>
          <w:color w:val="000000"/>
          <w:kern w:val="0"/>
          <w:sz w:val="32"/>
          <w:szCs w:val="32"/>
          <w:lang w:val="en-US" w:eastAsia="zh-CN" w:bidi="en-US"/>
        </w:rPr>
        <w:t>入户调研。评估工作组入户与被评估单位沟通，进一步熟悉项目内容;向项目单位出示《项目支出事前绩效评估资料准备清单》，指导项目单位填报《事前绩效评估项目申报书》、《项目支出绩效目标申报表》</w:t>
      </w:r>
      <w:r>
        <w:rPr>
          <w:rFonts w:hint="eastAsia" w:ascii="仿宋" w:hAnsi="仿宋" w:eastAsia="仿宋" w:cs="仿宋"/>
          <w:bCs/>
          <w:szCs w:val="32"/>
          <w:lang w:eastAsia="zh-CN"/>
        </w:rPr>
        <w:t>。</w:t>
      </w:r>
    </w:p>
    <w:p w14:paraId="190FCE63">
      <w:pPr>
        <w:ind w:firstLine="640"/>
        <w:rPr>
          <w:rFonts w:hint="eastAsia" w:ascii="仿宋" w:hAnsi="仿宋" w:eastAsia="仿宋" w:cs="仿宋"/>
          <w:bCs/>
          <w:szCs w:val="32"/>
          <w:lang w:eastAsia="zh-CN"/>
        </w:rPr>
      </w:pPr>
      <w:r>
        <w:rPr>
          <w:rFonts w:hint="eastAsia" w:ascii="仿宋" w:hAnsi="仿宋" w:eastAsia="仿宋" w:cs="仿宋"/>
          <w:bCs/>
          <w:szCs w:val="32"/>
          <w:lang w:eastAsia="zh-CN"/>
        </w:rPr>
        <w:t>5.</w:t>
      </w:r>
      <w:r>
        <w:rPr>
          <w:rFonts w:hint="eastAsia" w:ascii="仿宋_GB2312" w:hAnsi="Times New Roman" w:eastAsia="仿宋_GB2312" w:cs="Times New Roman"/>
          <w:b w:val="0"/>
          <w:color w:val="000000"/>
          <w:kern w:val="0"/>
          <w:sz w:val="32"/>
          <w:szCs w:val="32"/>
          <w:lang w:val="en-US" w:eastAsia="zh-CN" w:bidi="en-US"/>
        </w:rPr>
        <w:t>现场调研。评估工作组在收集审核项目资料基础上进入现场进行调研。通过查阅资料、实地勘察、核实、了解项目具体内容、申报理由和项目实施的具体做法、依据等,将现场情况与上报资料进行对比,对项目疑点问题进行询问，听取并记录项目单位对有关问题的解释和答复</w:t>
      </w:r>
      <w:r>
        <w:rPr>
          <w:rFonts w:hint="eastAsia" w:ascii="仿宋" w:hAnsi="仿宋" w:eastAsia="仿宋" w:cs="仿宋"/>
          <w:bCs/>
          <w:szCs w:val="32"/>
          <w:lang w:eastAsia="zh-CN"/>
        </w:rPr>
        <w:t>。</w:t>
      </w:r>
    </w:p>
    <w:p w14:paraId="33BC7199">
      <w:pPr>
        <w:ind w:firstLine="640"/>
        <w:rPr>
          <w:rFonts w:hint="eastAsia" w:ascii="仿宋" w:hAnsi="仿宋" w:eastAsia="仿宋" w:cs="仿宋"/>
          <w:bCs/>
          <w:szCs w:val="32"/>
          <w:lang w:eastAsia="zh-CN"/>
        </w:rPr>
      </w:pPr>
      <w:r>
        <w:rPr>
          <w:rFonts w:hint="eastAsia" w:ascii="仿宋" w:hAnsi="仿宋" w:eastAsia="仿宋" w:cs="仿宋"/>
          <w:bCs/>
          <w:szCs w:val="32"/>
          <w:lang w:eastAsia="zh-CN"/>
        </w:rPr>
        <w:t>6.</w:t>
      </w:r>
      <w:r>
        <w:rPr>
          <w:rFonts w:hint="eastAsia" w:ascii="仿宋_GB2312" w:hAnsi="Times New Roman" w:eastAsia="仿宋_GB2312" w:cs="Times New Roman"/>
          <w:b w:val="0"/>
          <w:color w:val="000000"/>
          <w:kern w:val="0"/>
          <w:sz w:val="32"/>
          <w:szCs w:val="32"/>
          <w:lang w:val="en-US" w:eastAsia="zh-CN" w:bidi="en-US"/>
        </w:rPr>
        <w:t>组织实施评估。绩效考评组召开评估会议，了解项目基本情况，听取项目单位情况介绍，进行现场评议</w:t>
      </w:r>
      <w:r>
        <w:rPr>
          <w:rFonts w:hint="eastAsia" w:ascii="仿宋" w:hAnsi="仿宋" w:eastAsia="仿宋" w:cs="仿宋"/>
          <w:bCs/>
          <w:szCs w:val="32"/>
          <w:lang w:eastAsia="zh-CN"/>
        </w:rPr>
        <w:t>。</w:t>
      </w:r>
    </w:p>
    <w:p w14:paraId="12A7ACE8">
      <w:pPr>
        <w:ind w:firstLine="640"/>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_GB2312" w:hAnsi="Times New Roman" w:eastAsia="仿宋_GB2312" w:cs="Times New Roman"/>
          <w:b w:val="0"/>
          <w:color w:val="000000"/>
          <w:kern w:val="0"/>
          <w:sz w:val="32"/>
          <w:szCs w:val="32"/>
          <w:lang w:val="en-US" w:eastAsia="zh-CN" w:bidi="en-US"/>
        </w:rPr>
        <w:t>采取多种方式，多方获取信息。通过咨询专家、查阅资料、问卷调查、电话采访、集中座谈等方式，全面了解并收集项目信息</w:t>
      </w:r>
      <w:r>
        <w:rPr>
          <w:rFonts w:hint="eastAsia" w:ascii="仿宋" w:hAnsi="仿宋" w:eastAsia="仿宋" w:cs="仿宋"/>
          <w:bCs/>
          <w:szCs w:val="32"/>
          <w:lang w:eastAsia="zh-CN"/>
        </w:rPr>
        <w:t>。</w:t>
      </w:r>
    </w:p>
    <w:p w14:paraId="75168F95">
      <w:pPr>
        <w:ind w:firstLine="640"/>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_GB2312" w:hAnsi="Times New Roman" w:eastAsia="仿宋_GB2312" w:cs="Times New Roman"/>
          <w:b w:val="0"/>
          <w:color w:val="000000"/>
          <w:kern w:val="0"/>
          <w:sz w:val="32"/>
          <w:szCs w:val="32"/>
          <w:lang w:val="en-US" w:eastAsia="zh-CN" w:bidi="en-US"/>
        </w:rPr>
        <w:t>评估人员出具个人意见，评估工作组形成初步意见。开评估成员会，项目单位汇报项目计划内容和实施方案情况，由评估工作组组织评估人员进行充分论证，出具评估人员个人意见，填写《项目支出事前绩效评估意见》。评估工作组综合调查分析结果，形成工作组初步意见</w:t>
      </w:r>
      <w:r>
        <w:rPr>
          <w:rFonts w:hint="eastAsia" w:ascii="仿宋" w:hAnsi="仿宋" w:eastAsia="仿宋" w:cs="仿宋"/>
          <w:bCs/>
          <w:szCs w:val="32"/>
          <w:lang w:eastAsia="zh-CN"/>
        </w:rPr>
        <w:t>。</w:t>
      </w:r>
    </w:p>
    <w:p w14:paraId="541B99EA">
      <w:pPr>
        <w:ind w:firstLine="640"/>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_GB2312" w:hAnsi="Times New Roman" w:eastAsia="仿宋_GB2312" w:cs="Times New Roman"/>
          <w:b w:val="0"/>
          <w:color w:val="000000"/>
          <w:kern w:val="0"/>
          <w:sz w:val="32"/>
          <w:szCs w:val="32"/>
          <w:lang w:val="en-US" w:eastAsia="zh-CN" w:bidi="en-US"/>
        </w:rPr>
        <w:t>确认工作组意见，得出评估结论。评估工作组将评估个人初步意见报送评估工作组征求意见，评估工作组综合完善意见后，得出最终评估结论，填写《项目支出事前绩效评估工作组汇总意见》</w:t>
      </w:r>
      <w:r>
        <w:rPr>
          <w:rFonts w:hint="eastAsia" w:ascii="仿宋" w:hAnsi="仿宋" w:eastAsia="仿宋" w:cs="仿宋"/>
          <w:bCs/>
          <w:szCs w:val="32"/>
          <w:lang w:eastAsia="zh-CN"/>
        </w:rPr>
        <w:t>。</w:t>
      </w:r>
    </w:p>
    <w:p w14:paraId="5A3E265E">
      <w:pPr>
        <w:ind w:firstLine="640"/>
        <w:rPr>
          <w:rFonts w:hint="eastAsia" w:ascii="仿宋" w:hAnsi="仿宋" w:eastAsia="仿宋" w:cs="仿宋"/>
          <w:bCs/>
          <w:szCs w:val="32"/>
          <w:lang w:eastAsia="zh-CN"/>
        </w:rPr>
      </w:pPr>
      <w:r>
        <w:rPr>
          <w:rFonts w:hint="eastAsia" w:ascii="仿宋" w:hAnsi="仿宋" w:eastAsia="仿宋" w:cs="仿宋"/>
          <w:bCs/>
          <w:szCs w:val="32"/>
          <w:lang w:eastAsia="zh-CN"/>
        </w:rPr>
        <w:t>7.</w:t>
      </w:r>
      <w:r>
        <w:rPr>
          <w:rFonts w:hint="eastAsia" w:ascii="仿宋_GB2312" w:hAnsi="Times New Roman" w:eastAsia="仿宋_GB2312" w:cs="Times New Roman"/>
          <w:b w:val="0"/>
          <w:color w:val="000000"/>
          <w:kern w:val="0"/>
          <w:sz w:val="32"/>
          <w:szCs w:val="32"/>
          <w:lang w:val="en-US" w:eastAsia="zh-CN" w:bidi="en-US"/>
        </w:rPr>
        <w:t>汇报绩效评估结论。完成最终评价报告，提出评估结论意见</w:t>
      </w:r>
      <w:r>
        <w:rPr>
          <w:rFonts w:hint="eastAsia" w:ascii="仿宋" w:hAnsi="仿宋" w:eastAsia="仿宋" w:cs="仿宋"/>
          <w:bCs/>
          <w:szCs w:val="32"/>
          <w:lang w:eastAsia="zh-CN"/>
        </w:rPr>
        <w:t>。</w:t>
      </w:r>
    </w:p>
    <w:p w14:paraId="3591679C">
      <w:pPr>
        <w:pStyle w:val="3"/>
        <w:numPr>
          <w:ilvl w:val="0"/>
          <w:numId w:val="2"/>
        </w:numPr>
        <w:spacing w:before="0" w:beforeLines="0" w:after="0" w:afterLines="0"/>
        <w:ind w:left="0" w:firstLine="709" w:firstLineChars="0"/>
        <w:rPr>
          <w:rFonts w:hint="eastAsia" w:ascii="仿宋_GB2312" w:hAnsi="Times New Roman" w:eastAsia="仿宋_GB2312" w:cs="Times New Roman"/>
          <w:b w:val="0"/>
          <w:color w:val="000000"/>
          <w:kern w:val="0"/>
          <w:sz w:val="32"/>
          <w:szCs w:val="32"/>
          <w:lang w:val="en-US" w:eastAsia="zh-CN" w:bidi="en-US"/>
        </w:rPr>
      </w:pPr>
      <w:bookmarkStart w:id="194" w:name="_Toc24834"/>
      <w:r>
        <w:rPr>
          <w:rFonts w:hint="eastAsia" w:ascii="仿宋_GB2312" w:hAnsi="Times New Roman" w:eastAsia="仿宋_GB2312" w:cs="Times New Roman"/>
          <w:b w:val="0"/>
          <w:color w:val="000000"/>
          <w:kern w:val="0"/>
          <w:sz w:val="32"/>
          <w:szCs w:val="32"/>
          <w:lang w:val="en-US" w:eastAsia="zh-CN" w:bidi="en-US"/>
        </w:rPr>
        <w:t>论证思路及方法</w:t>
      </w:r>
      <w:bookmarkEnd w:id="194"/>
    </w:p>
    <w:p w14:paraId="47DD5211">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本次事前绩效评估主要针对项目的</w:t>
      </w:r>
      <w:r>
        <w:rPr>
          <w:rFonts w:hint="eastAsia" w:ascii="仿宋_GB2312" w:cs="Times New Roman"/>
          <w:b w:val="0"/>
          <w:color w:val="000000"/>
          <w:kern w:val="0"/>
          <w:sz w:val="32"/>
          <w:szCs w:val="32"/>
          <w:lang w:val="en-US" w:eastAsia="zh-CN" w:bidi="en-US"/>
        </w:rPr>
        <w:t>必要</w:t>
      </w:r>
      <w:r>
        <w:rPr>
          <w:rFonts w:hint="eastAsia" w:ascii="仿宋_GB2312" w:hAnsi="Times New Roman" w:eastAsia="仿宋_GB2312" w:cs="Times New Roman"/>
          <w:b w:val="0"/>
          <w:color w:val="000000"/>
          <w:kern w:val="0"/>
          <w:sz w:val="32"/>
          <w:szCs w:val="32"/>
          <w:lang w:val="en-US" w:eastAsia="zh-CN" w:bidi="en-US"/>
        </w:rPr>
        <w:t>性、</w:t>
      </w:r>
      <w:r>
        <w:rPr>
          <w:rFonts w:hint="eastAsia" w:ascii="仿宋_GB2312" w:cs="Times New Roman"/>
          <w:b w:val="0"/>
          <w:color w:val="000000"/>
          <w:kern w:val="0"/>
          <w:sz w:val="32"/>
          <w:szCs w:val="32"/>
          <w:lang w:val="en-US" w:eastAsia="zh-CN" w:bidi="en-US"/>
        </w:rPr>
        <w:t>建设投资合规性、</w:t>
      </w:r>
      <w:r>
        <w:rPr>
          <w:rFonts w:hint="eastAsia" w:ascii="仿宋_GB2312" w:hAnsi="Times New Roman" w:eastAsia="仿宋_GB2312" w:cs="Times New Roman"/>
          <w:b w:val="0"/>
          <w:color w:val="000000"/>
          <w:kern w:val="0"/>
          <w:sz w:val="32"/>
          <w:szCs w:val="32"/>
          <w:lang w:val="en-US" w:eastAsia="zh-CN" w:bidi="en-US"/>
        </w:rPr>
        <w:t>项目绩效</w:t>
      </w:r>
      <w:r>
        <w:rPr>
          <w:rFonts w:hint="eastAsia" w:ascii="仿宋_GB2312" w:cs="Times New Roman"/>
          <w:b w:val="0"/>
          <w:color w:val="000000"/>
          <w:kern w:val="0"/>
          <w:sz w:val="32"/>
          <w:szCs w:val="32"/>
          <w:lang w:val="en-US" w:eastAsia="zh-CN" w:bidi="en-US"/>
        </w:rPr>
        <w:t>目标明确</w:t>
      </w:r>
      <w:r>
        <w:rPr>
          <w:rFonts w:hint="eastAsia" w:ascii="仿宋_GB2312" w:hAnsi="Times New Roman" w:eastAsia="仿宋_GB2312" w:cs="Times New Roman"/>
          <w:b w:val="0"/>
          <w:color w:val="000000"/>
          <w:kern w:val="0"/>
          <w:sz w:val="32"/>
          <w:szCs w:val="32"/>
          <w:lang w:val="en-US" w:eastAsia="zh-CN" w:bidi="en-US"/>
        </w:rPr>
        <w:t>性、项目实施方案的有效性、项目</w:t>
      </w:r>
      <w:r>
        <w:rPr>
          <w:rFonts w:hint="eastAsia" w:ascii="仿宋_GB2312" w:cs="Times New Roman"/>
          <w:b w:val="0"/>
          <w:color w:val="000000"/>
          <w:kern w:val="0"/>
          <w:sz w:val="32"/>
          <w:szCs w:val="32"/>
          <w:lang w:val="en-US" w:eastAsia="zh-CN" w:bidi="en-US"/>
        </w:rPr>
        <w:t>实施</w:t>
      </w:r>
      <w:r>
        <w:rPr>
          <w:rFonts w:hint="eastAsia" w:ascii="仿宋_GB2312" w:hAnsi="Times New Roman" w:eastAsia="仿宋_GB2312" w:cs="Times New Roman"/>
          <w:b w:val="0"/>
          <w:color w:val="000000"/>
          <w:kern w:val="0"/>
          <w:sz w:val="32"/>
          <w:szCs w:val="32"/>
          <w:lang w:val="en-US" w:eastAsia="zh-CN" w:bidi="en-US"/>
        </w:rPr>
        <w:t>的可持续性等五方面进行综合评估、分析与论证，并提出相关建议</w:t>
      </w:r>
      <w:r>
        <w:rPr>
          <w:rFonts w:hint="eastAsia" w:ascii="仿宋" w:hAnsi="仿宋" w:eastAsia="仿宋" w:cs="仿宋"/>
          <w:bCs/>
          <w:szCs w:val="32"/>
          <w:lang w:eastAsia="zh-CN"/>
        </w:rPr>
        <w:t>。</w:t>
      </w:r>
    </w:p>
    <w:p w14:paraId="5D11D918">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本次事前绩效评估主要采用效益分析、比较分析、因素分析、历史分析等方法进行论证</w:t>
      </w:r>
      <w:r>
        <w:rPr>
          <w:rFonts w:hint="eastAsia" w:ascii="仿宋" w:hAnsi="仿宋" w:eastAsia="仿宋" w:cs="仿宋"/>
          <w:bCs/>
          <w:szCs w:val="32"/>
          <w:lang w:eastAsia="zh-CN"/>
        </w:rPr>
        <w:t>。</w:t>
      </w:r>
    </w:p>
    <w:p w14:paraId="54E3B680">
      <w:pPr>
        <w:pStyle w:val="3"/>
        <w:numPr>
          <w:ilvl w:val="0"/>
          <w:numId w:val="2"/>
        </w:numPr>
        <w:spacing w:before="0" w:beforeLines="0" w:after="0" w:afterLines="0"/>
        <w:ind w:left="0" w:firstLine="709" w:firstLineChars="0"/>
        <w:rPr>
          <w:rFonts w:hint="eastAsia" w:ascii="仿宋_GB2312" w:hAnsi="Times New Roman" w:eastAsia="仿宋_GB2312" w:cs="Times New Roman"/>
          <w:b w:val="0"/>
          <w:color w:val="000000"/>
          <w:kern w:val="0"/>
          <w:sz w:val="32"/>
          <w:szCs w:val="32"/>
          <w:lang w:val="en-US" w:eastAsia="zh-CN" w:bidi="en-US"/>
        </w:rPr>
      </w:pPr>
      <w:bookmarkStart w:id="195" w:name="_Toc18151"/>
      <w:r>
        <w:rPr>
          <w:rFonts w:hint="eastAsia" w:ascii="仿宋_GB2312" w:hAnsi="Times New Roman" w:eastAsia="仿宋_GB2312" w:cs="Times New Roman"/>
          <w:b w:val="0"/>
          <w:color w:val="000000"/>
          <w:kern w:val="0"/>
          <w:sz w:val="32"/>
          <w:szCs w:val="32"/>
          <w:lang w:val="en-US" w:eastAsia="zh-CN" w:bidi="en-US"/>
        </w:rPr>
        <w:t>评估方式</w:t>
      </w:r>
      <w:bookmarkEnd w:id="195"/>
    </w:p>
    <w:p w14:paraId="50E71A69">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本次事前绩效评估遵循全面考虑、重点突出的原则，主要采用比较分析的方式，同时辅之以资料分析、集中座谈、网络查询、电话采访、抽样调查等评估方式或手段，对项目的相关性、可行性、持续性等方面进行全面评估</w:t>
      </w:r>
      <w:r>
        <w:rPr>
          <w:rFonts w:hint="eastAsia" w:ascii="仿宋" w:hAnsi="仿宋" w:eastAsia="仿宋" w:cs="仿宋"/>
          <w:bCs/>
          <w:szCs w:val="32"/>
          <w:lang w:eastAsia="zh-CN"/>
        </w:rPr>
        <w:t>。</w:t>
      </w:r>
    </w:p>
    <w:p w14:paraId="57FDFFBA">
      <w:pPr>
        <w:pStyle w:val="2"/>
        <w:numPr>
          <w:ilvl w:val="0"/>
          <w:numId w:val="1"/>
        </w:numPr>
        <w:spacing w:before="0" w:beforeLines="0" w:after="0" w:afterLines="0"/>
        <w:rPr>
          <w:rFonts w:hint="eastAsia" w:ascii="仿宋" w:hAnsi="仿宋" w:eastAsia="仿宋" w:cs="仿宋"/>
          <w:b w:val="0"/>
          <w:bCs/>
          <w:szCs w:val="32"/>
          <w:lang w:eastAsia="zh-CN"/>
        </w:rPr>
      </w:pPr>
      <w:bookmarkStart w:id="196" w:name="_Toc5389"/>
      <w:bookmarkStart w:id="197" w:name="_Toc2115246641_WPSOffice_Level1"/>
      <w:bookmarkStart w:id="198" w:name="_Toc27103"/>
      <w:bookmarkStart w:id="199" w:name="_Toc5234"/>
      <w:bookmarkStart w:id="200" w:name="_Toc1850422540"/>
      <w:bookmarkStart w:id="201" w:name="_Toc2810"/>
      <w:bookmarkStart w:id="202" w:name="_Toc132480965"/>
      <w:bookmarkStart w:id="203" w:name="_Toc1232831072"/>
      <w:bookmarkStart w:id="204" w:name="_Toc709323845"/>
      <w:bookmarkStart w:id="205" w:name="_Toc5665919"/>
      <w:r>
        <w:rPr>
          <w:rFonts w:hint="eastAsia" w:ascii="仿宋_GB2312" w:hAnsi="Times New Roman" w:eastAsia="仿宋_GB2312" w:cs="Times New Roman"/>
          <w:b w:val="0"/>
          <w:color w:val="000000"/>
          <w:kern w:val="0"/>
          <w:sz w:val="32"/>
          <w:szCs w:val="32"/>
          <w:lang w:val="en-US" w:eastAsia="zh-CN" w:bidi="en-US"/>
        </w:rPr>
        <w:t>事前绩效评估指标体系及得分情况</w:t>
      </w:r>
      <w:bookmarkEnd w:id="196"/>
      <w:bookmarkEnd w:id="197"/>
      <w:bookmarkEnd w:id="198"/>
      <w:bookmarkEnd w:id="199"/>
      <w:bookmarkEnd w:id="200"/>
      <w:bookmarkEnd w:id="201"/>
      <w:bookmarkEnd w:id="202"/>
      <w:bookmarkEnd w:id="203"/>
      <w:bookmarkEnd w:id="204"/>
      <w:bookmarkEnd w:id="205"/>
    </w:p>
    <w:p w14:paraId="277E36E1">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评估工作小组按照相关性、经济性、可行性、重要性、可比性、系统性及合理性原则，设置项目事前绩效评估指标体系，其中共包含8个一级指标、17个二级指标以及31个三级指标，各项指标内容及得分情况详见下表</w:t>
      </w:r>
      <w:r>
        <w:rPr>
          <w:rFonts w:hint="eastAsia" w:ascii="仿宋" w:hAnsi="仿宋" w:eastAsia="仿宋" w:cs="仿宋"/>
          <w:bCs/>
          <w:szCs w:val="32"/>
          <w:lang w:eastAsia="zh-CN"/>
        </w:rPr>
        <w:t>：</w:t>
      </w:r>
    </w:p>
    <w:p w14:paraId="79DCF775">
      <w:pPr>
        <w:ind w:firstLine="0" w:firstLineChars="0"/>
        <w:jc w:val="center"/>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城区园林绿化购买社会养护服务项目</w:t>
      </w:r>
    </w:p>
    <w:p w14:paraId="5C88E58B">
      <w:pPr>
        <w:ind w:firstLine="0" w:firstLineChars="0"/>
        <w:jc w:val="center"/>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事前绩效评估指标体系</w:t>
      </w:r>
    </w:p>
    <w:tbl>
      <w:tblPr>
        <w:tblStyle w:val="57"/>
        <w:tblW w:w="88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296"/>
        <w:gridCol w:w="5276"/>
        <w:gridCol w:w="377"/>
        <w:gridCol w:w="541"/>
        <w:gridCol w:w="496"/>
      </w:tblGrid>
      <w:tr w14:paraId="52F8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tblHeader/>
        </w:trPr>
        <w:tc>
          <w:tcPr>
            <w:tcW w:w="877" w:type="dxa"/>
            <w:noWrap w:val="0"/>
            <w:vAlign w:val="center"/>
          </w:tcPr>
          <w:p w14:paraId="56EF517C">
            <w:pPr>
              <w:pStyle w:val="68"/>
              <w:ind w:firstLine="0" w:firstLineChars="0"/>
              <w:jc w:val="center"/>
              <w:rPr>
                <w:rFonts w:ascii="Arial" w:hAnsi="Arial" w:cs="Arial"/>
                <w:b/>
                <w:snapToGrid w:val="0"/>
                <w:sz w:val="21"/>
              </w:rPr>
            </w:pPr>
            <w:r>
              <w:rPr>
                <w:rFonts w:ascii="Arial" w:hAnsi="Arial" w:cs="Arial"/>
                <w:b/>
                <w:snapToGrid w:val="0"/>
                <w:sz w:val="21"/>
              </w:rPr>
              <w:t>一级指标</w:t>
            </w:r>
          </w:p>
        </w:tc>
        <w:tc>
          <w:tcPr>
            <w:tcW w:w="1296" w:type="dxa"/>
            <w:noWrap w:val="0"/>
            <w:vAlign w:val="center"/>
          </w:tcPr>
          <w:p w14:paraId="7D582A79">
            <w:pPr>
              <w:pStyle w:val="68"/>
              <w:ind w:right="6" w:firstLine="0" w:firstLineChars="0"/>
              <w:jc w:val="center"/>
              <w:rPr>
                <w:rFonts w:ascii="Arial" w:hAnsi="Arial" w:cs="Arial"/>
                <w:b/>
                <w:snapToGrid w:val="0"/>
                <w:sz w:val="21"/>
              </w:rPr>
            </w:pPr>
            <w:r>
              <w:rPr>
                <w:rFonts w:ascii="Arial" w:hAnsi="Arial" w:cs="Arial"/>
                <w:b/>
                <w:snapToGrid w:val="0"/>
                <w:sz w:val="21"/>
              </w:rPr>
              <w:t>二级指标</w:t>
            </w:r>
          </w:p>
        </w:tc>
        <w:tc>
          <w:tcPr>
            <w:tcW w:w="5276" w:type="dxa"/>
            <w:noWrap w:val="0"/>
            <w:vAlign w:val="center"/>
          </w:tcPr>
          <w:p w14:paraId="7295D23F">
            <w:pPr>
              <w:pStyle w:val="68"/>
              <w:ind w:right="2325" w:firstLine="0" w:firstLineChars="0"/>
              <w:jc w:val="center"/>
              <w:rPr>
                <w:rFonts w:ascii="Arial" w:hAnsi="Arial" w:cs="Arial"/>
                <w:b/>
                <w:snapToGrid w:val="0"/>
                <w:sz w:val="21"/>
              </w:rPr>
            </w:pPr>
            <w:r>
              <w:rPr>
                <w:rFonts w:ascii="Arial" w:hAnsi="Arial" w:cs="Arial"/>
                <w:b/>
                <w:snapToGrid w:val="0"/>
                <w:sz w:val="21"/>
              </w:rPr>
              <w:t>评估要点</w:t>
            </w:r>
          </w:p>
        </w:tc>
        <w:tc>
          <w:tcPr>
            <w:tcW w:w="918" w:type="dxa"/>
            <w:gridSpan w:val="2"/>
            <w:noWrap w:val="0"/>
            <w:vAlign w:val="center"/>
          </w:tcPr>
          <w:p w14:paraId="22CC243A">
            <w:pPr>
              <w:pStyle w:val="68"/>
              <w:ind w:firstLine="0" w:firstLineChars="0"/>
              <w:jc w:val="center"/>
              <w:rPr>
                <w:rFonts w:ascii="Arial" w:hAnsi="Arial" w:cs="Arial"/>
                <w:b/>
                <w:snapToGrid w:val="0"/>
                <w:sz w:val="21"/>
                <w:lang w:eastAsia="zh-CN"/>
              </w:rPr>
            </w:pPr>
            <w:r>
              <w:rPr>
                <w:rFonts w:hint="eastAsia" w:ascii="Arial" w:hAnsi="Arial" w:cs="Arial"/>
                <w:b/>
                <w:snapToGrid w:val="0"/>
                <w:sz w:val="21"/>
                <w:lang w:eastAsia="zh-CN"/>
              </w:rPr>
              <w:t>分值</w:t>
            </w:r>
          </w:p>
        </w:tc>
        <w:tc>
          <w:tcPr>
            <w:tcW w:w="496" w:type="dxa"/>
            <w:noWrap w:val="0"/>
            <w:vAlign w:val="top"/>
          </w:tcPr>
          <w:p w14:paraId="18574112">
            <w:pPr>
              <w:pStyle w:val="68"/>
              <w:ind w:right="9" w:firstLine="0" w:firstLineChars="0"/>
              <w:jc w:val="center"/>
              <w:rPr>
                <w:rFonts w:ascii="Arial" w:hAnsi="Arial" w:cs="Arial"/>
                <w:b/>
                <w:snapToGrid w:val="0"/>
                <w:sz w:val="21"/>
              </w:rPr>
            </w:pPr>
            <w:r>
              <w:rPr>
                <w:rFonts w:ascii="Arial" w:hAnsi="Arial" w:cs="Arial"/>
                <w:b/>
                <w:snapToGrid w:val="0"/>
                <w:sz w:val="21"/>
              </w:rPr>
              <w:t>得分</w:t>
            </w:r>
          </w:p>
        </w:tc>
      </w:tr>
      <w:tr w14:paraId="471F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7" w:type="dxa"/>
            <w:vMerge w:val="restart"/>
            <w:noWrap w:val="0"/>
            <w:vAlign w:val="center"/>
          </w:tcPr>
          <w:p w14:paraId="7E520202">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项目实施的必要性、公益性、</w:t>
            </w:r>
            <w:r>
              <w:rPr>
                <w:rFonts w:hint="eastAsia" w:ascii="Arial" w:hAnsi="Arial" w:cs="Arial"/>
                <w:bCs/>
                <w:snapToGrid w:val="0"/>
                <w:sz w:val="20"/>
                <w:lang w:val="en-US" w:eastAsia="zh-CN"/>
              </w:rPr>
              <w:t>经济</w:t>
            </w:r>
            <w:r>
              <w:rPr>
                <w:rFonts w:hint="eastAsia" w:ascii="Arial" w:hAnsi="Arial" w:cs="Arial"/>
                <w:bCs/>
                <w:snapToGrid w:val="0"/>
                <w:sz w:val="20"/>
                <w:lang w:eastAsia="zh-CN"/>
              </w:rPr>
              <w:t>性</w:t>
            </w:r>
          </w:p>
        </w:tc>
        <w:tc>
          <w:tcPr>
            <w:tcW w:w="1296" w:type="dxa"/>
            <w:noWrap w:val="0"/>
            <w:vAlign w:val="center"/>
          </w:tcPr>
          <w:p w14:paraId="4AD25709">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lang w:eastAsia="zh-CN"/>
              </w:rPr>
              <w:t>必要性</w:t>
            </w:r>
          </w:p>
        </w:tc>
        <w:tc>
          <w:tcPr>
            <w:tcW w:w="5276" w:type="dxa"/>
            <w:noWrap w:val="0"/>
            <w:vAlign w:val="center"/>
          </w:tcPr>
          <w:p w14:paraId="0BEC308E">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left"/>
              <w:textAlignment w:val="auto"/>
              <w:rPr>
                <w:rFonts w:ascii="Arial" w:hAnsi="Arial" w:cs="Arial"/>
                <w:bCs/>
                <w:snapToGrid w:val="0"/>
                <w:sz w:val="20"/>
                <w:lang w:eastAsia="zh-CN"/>
              </w:rPr>
            </w:pPr>
            <w:r>
              <w:rPr>
                <w:rFonts w:hint="eastAsia" w:ascii="Arial" w:hAnsi="Arial" w:cs="Arial"/>
                <w:bCs/>
                <w:snapToGrid w:val="0"/>
                <w:sz w:val="20"/>
                <w:lang w:eastAsia="zh-CN"/>
              </w:rPr>
              <w:t>①项目是否属于符合</w:t>
            </w:r>
            <w:r>
              <w:rPr>
                <w:rFonts w:hint="eastAsia" w:ascii="Arial" w:hAnsi="Arial" w:cs="Arial"/>
                <w:bCs/>
                <w:snapToGrid w:val="0"/>
                <w:sz w:val="20"/>
                <w:lang w:val="en-US" w:eastAsia="zh-CN"/>
              </w:rPr>
              <w:t>社会环境</w:t>
            </w:r>
            <w:r>
              <w:rPr>
                <w:rFonts w:hint="eastAsia" w:ascii="Arial" w:hAnsi="Arial" w:cs="Arial"/>
                <w:bCs/>
                <w:snapToGrid w:val="0"/>
                <w:sz w:val="20"/>
                <w:lang w:eastAsia="zh-CN"/>
              </w:rPr>
              <w:t>需要，是否</w:t>
            </w:r>
            <w:r>
              <w:rPr>
                <w:rFonts w:hint="eastAsia" w:ascii="Arial" w:hAnsi="Arial" w:cs="Arial"/>
                <w:bCs/>
                <w:snapToGrid w:val="0"/>
                <w:sz w:val="20"/>
                <w:lang w:val="en-US" w:eastAsia="zh-CN"/>
              </w:rPr>
              <w:t>有利于提高城市形象</w:t>
            </w:r>
            <w:r>
              <w:rPr>
                <w:rFonts w:hint="eastAsia" w:ascii="Arial" w:hAnsi="Arial" w:cs="Arial"/>
                <w:bCs/>
                <w:snapToGrid w:val="0"/>
                <w:sz w:val="20"/>
                <w:lang w:eastAsia="zh-CN"/>
              </w:rPr>
              <w:t>。</w:t>
            </w:r>
          </w:p>
        </w:tc>
        <w:tc>
          <w:tcPr>
            <w:tcW w:w="377" w:type="dxa"/>
            <w:noWrap w:val="0"/>
            <w:vAlign w:val="center"/>
          </w:tcPr>
          <w:p w14:paraId="79D2CF40">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noWrap w:val="0"/>
            <w:vAlign w:val="center"/>
          </w:tcPr>
          <w:p w14:paraId="088D9913">
            <w:pPr>
              <w:pStyle w:val="68"/>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6</w:t>
            </w:r>
          </w:p>
        </w:tc>
        <w:tc>
          <w:tcPr>
            <w:tcW w:w="496" w:type="dxa"/>
            <w:noWrap w:val="0"/>
            <w:vAlign w:val="center"/>
          </w:tcPr>
          <w:p w14:paraId="515FD79C">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778C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tcBorders>
              <w:top w:val="nil"/>
            </w:tcBorders>
            <w:noWrap w:val="0"/>
            <w:vAlign w:val="center"/>
          </w:tcPr>
          <w:p w14:paraId="2F37DB1A">
            <w:pPr>
              <w:pStyle w:val="68"/>
              <w:ind w:firstLine="0" w:firstLineChars="0"/>
              <w:jc w:val="center"/>
              <w:rPr>
                <w:rFonts w:ascii="Arial" w:hAnsi="Arial" w:cs="Arial"/>
                <w:bCs/>
                <w:snapToGrid w:val="0"/>
                <w:sz w:val="20"/>
              </w:rPr>
            </w:pPr>
          </w:p>
        </w:tc>
        <w:tc>
          <w:tcPr>
            <w:tcW w:w="1296" w:type="dxa"/>
            <w:noWrap w:val="0"/>
            <w:vAlign w:val="center"/>
          </w:tcPr>
          <w:p w14:paraId="72189D75">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lang w:eastAsia="zh-CN"/>
              </w:rPr>
              <w:t>公益性</w:t>
            </w:r>
          </w:p>
        </w:tc>
        <w:tc>
          <w:tcPr>
            <w:tcW w:w="5276" w:type="dxa"/>
            <w:noWrap w:val="0"/>
            <w:vAlign w:val="center"/>
          </w:tcPr>
          <w:p w14:paraId="51D4BAFA">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①项目是否具有公益性。</w:t>
            </w:r>
          </w:p>
        </w:tc>
        <w:tc>
          <w:tcPr>
            <w:tcW w:w="377" w:type="dxa"/>
            <w:noWrap w:val="0"/>
            <w:vAlign w:val="center"/>
          </w:tcPr>
          <w:p w14:paraId="69181C5E">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14:paraId="7D0AC4CF">
            <w:pPr>
              <w:pStyle w:val="68"/>
              <w:ind w:firstLine="0" w:firstLineChars="0"/>
              <w:jc w:val="center"/>
              <w:rPr>
                <w:rFonts w:ascii="Arial" w:hAnsi="Arial" w:cs="Arial"/>
                <w:bCs/>
                <w:snapToGrid w:val="0"/>
                <w:sz w:val="20"/>
              </w:rPr>
            </w:pPr>
          </w:p>
        </w:tc>
        <w:tc>
          <w:tcPr>
            <w:tcW w:w="496" w:type="dxa"/>
            <w:noWrap w:val="0"/>
            <w:vAlign w:val="center"/>
          </w:tcPr>
          <w:p w14:paraId="230CD3FA">
            <w:pPr>
              <w:pStyle w:val="68"/>
              <w:ind w:firstLine="0" w:firstLineChars="0"/>
              <w:jc w:val="center"/>
              <w:rPr>
                <w:rFonts w:ascii="Arial" w:hAnsi="Arial" w:cs="Arial"/>
                <w:bCs/>
                <w:snapToGrid w:val="0"/>
                <w:sz w:val="20"/>
              </w:rPr>
            </w:pPr>
            <w:r>
              <w:rPr>
                <w:rFonts w:hint="eastAsia" w:ascii="Arial" w:hAnsi="Arial" w:cs="Arial"/>
                <w:bCs/>
                <w:snapToGrid w:val="0"/>
                <w:sz w:val="20"/>
              </w:rPr>
              <w:t>4</w:t>
            </w:r>
          </w:p>
        </w:tc>
      </w:tr>
      <w:tr w14:paraId="401DE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14:paraId="6E3015D3">
            <w:pPr>
              <w:pStyle w:val="68"/>
              <w:ind w:firstLine="0" w:firstLineChars="0"/>
              <w:jc w:val="center"/>
              <w:rPr>
                <w:rFonts w:ascii="Arial" w:hAnsi="Arial" w:cs="Arial"/>
                <w:bCs/>
                <w:snapToGrid w:val="0"/>
                <w:sz w:val="20"/>
              </w:rPr>
            </w:pPr>
          </w:p>
        </w:tc>
        <w:tc>
          <w:tcPr>
            <w:tcW w:w="1296" w:type="dxa"/>
            <w:vMerge w:val="restart"/>
            <w:noWrap w:val="0"/>
            <w:vAlign w:val="center"/>
          </w:tcPr>
          <w:p w14:paraId="6BD09667">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lang w:val="en-US" w:eastAsia="zh-CN"/>
              </w:rPr>
              <w:t>经济</w:t>
            </w:r>
            <w:r>
              <w:rPr>
                <w:rFonts w:hint="eastAsia" w:ascii="Arial" w:hAnsi="Arial" w:cs="Arial"/>
                <w:bCs/>
                <w:snapToGrid w:val="0"/>
                <w:sz w:val="20"/>
                <w:lang w:eastAsia="zh-CN"/>
              </w:rPr>
              <w:t>性</w:t>
            </w:r>
          </w:p>
        </w:tc>
        <w:tc>
          <w:tcPr>
            <w:tcW w:w="5276" w:type="dxa"/>
            <w:noWrap w:val="0"/>
            <w:vAlign w:val="center"/>
          </w:tcPr>
          <w:p w14:paraId="1FD7E8A8">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w:t>
            </w:r>
            <w:r>
              <w:rPr>
                <w:rFonts w:hint="eastAsia" w:ascii="Arial" w:hAnsi="Arial" w:cs="Arial"/>
                <w:bCs/>
                <w:snapToGrid w:val="0"/>
                <w:sz w:val="20"/>
                <w:lang w:val="en-US" w:eastAsia="zh-CN"/>
              </w:rPr>
              <w:t>有利于降低成本</w:t>
            </w:r>
            <w:r>
              <w:rPr>
                <w:rFonts w:hint="eastAsia" w:ascii="Arial" w:hAnsi="Arial" w:cs="Arial"/>
                <w:bCs/>
                <w:snapToGrid w:val="0"/>
                <w:sz w:val="20"/>
                <w:lang w:eastAsia="zh-CN"/>
              </w:rPr>
              <w:t>；</w:t>
            </w:r>
          </w:p>
        </w:tc>
        <w:tc>
          <w:tcPr>
            <w:tcW w:w="377" w:type="dxa"/>
            <w:noWrap w:val="0"/>
            <w:vAlign w:val="center"/>
          </w:tcPr>
          <w:p w14:paraId="368DD83B">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14:paraId="12A5EF9E">
            <w:pPr>
              <w:pStyle w:val="68"/>
              <w:ind w:firstLine="0" w:firstLineChars="0"/>
              <w:jc w:val="center"/>
              <w:rPr>
                <w:rFonts w:ascii="Arial" w:hAnsi="Arial" w:cs="Arial"/>
                <w:bCs/>
                <w:snapToGrid w:val="0"/>
                <w:sz w:val="20"/>
              </w:rPr>
            </w:pPr>
          </w:p>
        </w:tc>
        <w:tc>
          <w:tcPr>
            <w:tcW w:w="496" w:type="dxa"/>
            <w:noWrap w:val="0"/>
            <w:vAlign w:val="center"/>
          </w:tcPr>
          <w:p w14:paraId="3740E579">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45AE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14:paraId="12975BF9">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206CADCC">
            <w:pPr>
              <w:pStyle w:val="68"/>
              <w:ind w:firstLine="0" w:firstLineChars="0"/>
              <w:jc w:val="center"/>
              <w:rPr>
                <w:rFonts w:ascii="Arial" w:hAnsi="Arial" w:cs="Arial"/>
                <w:bCs/>
                <w:snapToGrid w:val="0"/>
                <w:sz w:val="20"/>
              </w:rPr>
            </w:pPr>
          </w:p>
        </w:tc>
        <w:tc>
          <w:tcPr>
            <w:tcW w:w="5276" w:type="dxa"/>
            <w:noWrap w:val="0"/>
            <w:vAlign w:val="center"/>
          </w:tcPr>
          <w:p w14:paraId="3414EE2F">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w:t>
            </w:r>
            <w:r>
              <w:rPr>
                <w:rFonts w:hint="eastAsia" w:ascii="Arial" w:hAnsi="Arial" w:cs="Arial"/>
                <w:bCs/>
                <w:snapToGrid w:val="0"/>
                <w:sz w:val="20"/>
                <w:lang w:val="en-US" w:eastAsia="zh-CN"/>
              </w:rPr>
              <w:t>能</w:t>
            </w:r>
            <w:r>
              <w:rPr>
                <w:rFonts w:hint="eastAsia" w:ascii="Arial" w:hAnsi="Arial" w:cs="Arial"/>
                <w:bCs/>
                <w:snapToGrid w:val="0"/>
                <w:sz w:val="20"/>
                <w:lang w:eastAsia="zh-CN"/>
              </w:rPr>
              <w:t>提高资源整体利用效率，</w:t>
            </w:r>
            <w:r>
              <w:rPr>
                <w:rFonts w:hint="eastAsia" w:ascii="Arial" w:hAnsi="Arial" w:cs="Arial"/>
                <w:bCs/>
                <w:snapToGrid w:val="0"/>
                <w:sz w:val="20"/>
                <w:lang w:val="en-US" w:eastAsia="zh-CN"/>
              </w:rPr>
              <w:t>提高</w:t>
            </w:r>
            <w:r>
              <w:rPr>
                <w:rFonts w:hint="eastAsia" w:ascii="Arial" w:hAnsi="Arial" w:cs="Arial"/>
                <w:bCs/>
                <w:snapToGrid w:val="0"/>
                <w:sz w:val="20"/>
                <w:lang w:eastAsia="zh-CN"/>
              </w:rPr>
              <w:t>园林绿化养护效果。</w:t>
            </w:r>
          </w:p>
        </w:tc>
        <w:tc>
          <w:tcPr>
            <w:tcW w:w="377" w:type="dxa"/>
            <w:noWrap w:val="0"/>
            <w:vAlign w:val="center"/>
          </w:tcPr>
          <w:p w14:paraId="2E8AEB95">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14:paraId="325E5570">
            <w:pPr>
              <w:pStyle w:val="68"/>
              <w:ind w:firstLine="0" w:firstLineChars="0"/>
              <w:jc w:val="center"/>
              <w:rPr>
                <w:rFonts w:ascii="Arial" w:hAnsi="Arial" w:cs="Arial"/>
                <w:bCs/>
                <w:snapToGrid w:val="0"/>
                <w:sz w:val="20"/>
              </w:rPr>
            </w:pPr>
          </w:p>
        </w:tc>
        <w:tc>
          <w:tcPr>
            <w:tcW w:w="496" w:type="dxa"/>
            <w:noWrap w:val="0"/>
            <w:vAlign w:val="center"/>
          </w:tcPr>
          <w:p w14:paraId="7CED0AA9">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08BC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noWrap w:val="0"/>
            <w:vAlign w:val="center"/>
          </w:tcPr>
          <w:p w14:paraId="6BCA33AE">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项目建设投资合规性与项目成熟度</w:t>
            </w:r>
          </w:p>
        </w:tc>
        <w:tc>
          <w:tcPr>
            <w:tcW w:w="1296" w:type="dxa"/>
            <w:vMerge w:val="restart"/>
            <w:noWrap w:val="0"/>
            <w:vAlign w:val="center"/>
          </w:tcPr>
          <w:p w14:paraId="42E3F394">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lang w:val="en-US" w:eastAsia="zh-CN"/>
              </w:rPr>
              <w:t>建设</w:t>
            </w:r>
            <w:r>
              <w:rPr>
                <w:rFonts w:hint="eastAsia" w:ascii="Arial" w:hAnsi="Arial" w:cs="Arial"/>
                <w:bCs/>
                <w:snapToGrid w:val="0"/>
                <w:sz w:val="20"/>
              </w:rPr>
              <w:t>投资合规性</w:t>
            </w:r>
          </w:p>
        </w:tc>
        <w:tc>
          <w:tcPr>
            <w:tcW w:w="5276" w:type="dxa"/>
            <w:noWrap w:val="0"/>
            <w:vAlign w:val="center"/>
          </w:tcPr>
          <w:p w14:paraId="41F3EE22">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①项目立项过程是否合规；</w:t>
            </w:r>
          </w:p>
        </w:tc>
        <w:tc>
          <w:tcPr>
            <w:tcW w:w="377" w:type="dxa"/>
            <w:noWrap w:val="0"/>
            <w:vAlign w:val="center"/>
          </w:tcPr>
          <w:p w14:paraId="41A2070B">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restart"/>
            <w:noWrap w:val="0"/>
            <w:vAlign w:val="center"/>
          </w:tcPr>
          <w:p w14:paraId="3FF023B5">
            <w:pPr>
              <w:pStyle w:val="68"/>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rPr>
              <w:t>1</w:t>
            </w:r>
            <w:r>
              <w:rPr>
                <w:rFonts w:hint="eastAsia" w:ascii="Arial" w:hAnsi="Arial" w:cs="Arial"/>
                <w:bCs/>
                <w:snapToGrid w:val="0"/>
                <w:sz w:val="20"/>
                <w:lang w:val="en-US" w:eastAsia="zh-CN"/>
              </w:rPr>
              <w:t>5</w:t>
            </w:r>
          </w:p>
        </w:tc>
        <w:tc>
          <w:tcPr>
            <w:tcW w:w="496" w:type="dxa"/>
            <w:noWrap w:val="0"/>
            <w:vAlign w:val="top"/>
          </w:tcPr>
          <w:p w14:paraId="7414351E">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45AD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14:paraId="4F5241BB">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51168EC2">
            <w:pPr>
              <w:pStyle w:val="68"/>
              <w:ind w:firstLine="0" w:firstLineChars="0"/>
              <w:jc w:val="center"/>
              <w:rPr>
                <w:rFonts w:ascii="Arial" w:hAnsi="Arial" w:cs="Arial"/>
                <w:bCs/>
                <w:snapToGrid w:val="0"/>
                <w:sz w:val="20"/>
              </w:rPr>
            </w:pPr>
          </w:p>
        </w:tc>
        <w:tc>
          <w:tcPr>
            <w:tcW w:w="5276" w:type="dxa"/>
            <w:noWrap w:val="0"/>
            <w:vAlign w:val="center"/>
          </w:tcPr>
          <w:p w14:paraId="332AAD6C">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②项目立项依据是否充分；</w:t>
            </w:r>
          </w:p>
        </w:tc>
        <w:tc>
          <w:tcPr>
            <w:tcW w:w="377" w:type="dxa"/>
            <w:noWrap w:val="0"/>
            <w:vAlign w:val="center"/>
          </w:tcPr>
          <w:p w14:paraId="09FE5DB4">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noWrap w:val="0"/>
            <w:vAlign w:val="center"/>
          </w:tcPr>
          <w:p w14:paraId="2E1A7058">
            <w:pPr>
              <w:pStyle w:val="68"/>
              <w:ind w:firstLine="0" w:firstLineChars="0"/>
              <w:jc w:val="center"/>
              <w:rPr>
                <w:rFonts w:ascii="Arial" w:hAnsi="Arial" w:cs="Arial"/>
                <w:bCs/>
                <w:snapToGrid w:val="0"/>
                <w:sz w:val="20"/>
              </w:rPr>
            </w:pPr>
          </w:p>
        </w:tc>
        <w:tc>
          <w:tcPr>
            <w:tcW w:w="496" w:type="dxa"/>
            <w:noWrap w:val="0"/>
            <w:vAlign w:val="top"/>
          </w:tcPr>
          <w:p w14:paraId="213D8FEC">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41B1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noWrap w:val="0"/>
            <w:vAlign w:val="center"/>
          </w:tcPr>
          <w:p w14:paraId="0D7FC4C7">
            <w:pPr>
              <w:pStyle w:val="68"/>
              <w:ind w:firstLine="0" w:firstLineChars="0"/>
              <w:jc w:val="center"/>
              <w:rPr>
                <w:rFonts w:ascii="Arial" w:hAnsi="Arial" w:cs="Arial"/>
                <w:bCs/>
                <w:snapToGrid w:val="0"/>
                <w:sz w:val="20"/>
              </w:rPr>
            </w:pPr>
          </w:p>
        </w:tc>
        <w:tc>
          <w:tcPr>
            <w:tcW w:w="1296" w:type="dxa"/>
            <w:vMerge w:val="restart"/>
            <w:noWrap w:val="0"/>
            <w:vAlign w:val="center"/>
          </w:tcPr>
          <w:p w14:paraId="5C9C65F6">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rPr>
              <w:t>项目</w:t>
            </w:r>
            <w:r>
              <w:rPr>
                <w:rFonts w:hint="eastAsia" w:ascii="Arial" w:hAnsi="Arial" w:cs="Arial"/>
                <w:bCs/>
                <w:snapToGrid w:val="0"/>
                <w:sz w:val="20"/>
                <w:lang w:eastAsia="zh-CN"/>
              </w:rPr>
              <w:t>成熟度</w:t>
            </w:r>
          </w:p>
        </w:tc>
        <w:tc>
          <w:tcPr>
            <w:tcW w:w="5276" w:type="dxa"/>
            <w:noWrap w:val="0"/>
            <w:vAlign w:val="center"/>
          </w:tcPr>
          <w:p w14:paraId="65EF3E8C">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①项目审批手续</w:t>
            </w:r>
            <w:r>
              <w:rPr>
                <w:rFonts w:hint="eastAsia" w:ascii="Arial" w:hAnsi="Arial" w:cs="Arial"/>
                <w:bCs/>
                <w:snapToGrid w:val="0"/>
                <w:sz w:val="20"/>
                <w:lang w:val="en-US" w:eastAsia="zh-CN"/>
              </w:rPr>
              <w:t>是</w:t>
            </w:r>
            <w:r>
              <w:rPr>
                <w:rFonts w:hint="eastAsia" w:ascii="Arial" w:hAnsi="Arial" w:cs="Arial"/>
                <w:bCs/>
                <w:snapToGrid w:val="0"/>
                <w:sz w:val="20"/>
                <w:lang w:eastAsia="zh-CN"/>
              </w:rPr>
              <w:t>否完备齐全；</w:t>
            </w:r>
          </w:p>
        </w:tc>
        <w:tc>
          <w:tcPr>
            <w:tcW w:w="377" w:type="dxa"/>
            <w:noWrap w:val="0"/>
            <w:vAlign w:val="center"/>
          </w:tcPr>
          <w:p w14:paraId="7905C142">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noWrap w:val="0"/>
            <w:vAlign w:val="center"/>
          </w:tcPr>
          <w:p w14:paraId="75FFD580">
            <w:pPr>
              <w:pStyle w:val="68"/>
              <w:ind w:firstLine="0" w:firstLineChars="0"/>
              <w:jc w:val="center"/>
              <w:rPr>
                <w:rFonts w:ascii="Arial" w:hAnsi="Arial" w:cs="Arial"/>
                <w:bCs/>
                <w:snapToGrid w:val="0"/>
                <w:sz w:val="20"/>
                <w:lang w:eastAsia="zh-CN"/>
              </w:rPr>
            </w:pPr>
          </w:p>
        </w:tc>
        <w:tc>
          <w:tcPr>
            <w:tcW w:w="496" w:type="dxa"/>
            <w:noWrap w:val="0"/>
            <w:vAlign w:val="top"/>
          </w:tcPr>
          <w:p w14:paraId="7E7DEA7F">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2E7D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77" w:type="dxa"/>
            <w:vMerge w:val="continue"/>
            <w:noWrap w:val="0"/>
            <w:vAlign w:val="center"/>
          </w:tcPr>
          <w:p w14:paraId="25FE059E">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59FDCFE3">
            <w:pPr>
              <w:pStyle w:val="68"/>
              <w:ind w:firstLine="0" w:firstLineChars="0"/>
              <w:jc w:val="center"/>
              <w:rPr>
                <w:rFonts w:ascii="Arial" w:hAnsi="Arial" w:cs="Arial"/>
                <w:bCs/>
                <w:snapToGrid w:val="0"/>
                <w:sz w:val="20"/>
              </w:rPr>
            </w:pPr>
          </w:p>
        </w:tc>
        <w:tc>
          <w:tcPr>
            <w:tcW w:w="5276" w:type="dxa"/>
            <w:noWrap w:val="0"/>
            <w:vAlign w:val="center"/>
          </w:tcPr>
          <w:p w14:paraId="164F87E9">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②项目属于新增/延续项目；</w:t>
            </w:r>
          </w:p>
        </w:tc>
        <w:tc>
          <w:tcPr>
            <w:tcW w:w="377" w:type="dxa"/>
            <w:noWrap w:val="0"/>
            <w:vAlign w:val="center"/>
          </w:tcPr>
          <w:p w14:paraId="200C5E78">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14:paraId="6896C017">
            <w:pPr>
              <w:pStyle w:val="68"/>
              <w:ind w:firstLine="0" w:firstLineChars="0"/>
              <w:jc w:val="center"/>
              <w:rPr>
                <w:rFonts w:ascii="Arial" w:hAnsi="Arial" w:cs="Arial"/>
                <w:bCs/>
                <w:snapToGrid w:val="0"/>
                <w:sz w:val="20"/>
              </w:rPr>
            </w:pPr>
          </w:p>
        </w:tc>
        <w:tc>
          <w:tcPr>
            <w:tcW w:w="496" w:type="dxa"/>
            <w:noWrap w:val="0"/>
            <w:vAlign w:val="top"/>
          </w:tcPr>
          <w:p w14:paraId="215B02BB">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7F951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7" w:type="dxa"/>
            <w:vMerge w:val="continue"/>
            <w:noWrap w:val="0"/>
            <w:vAlign w:val="center"/>
          </w:tcPr>
          <w:p w14:paraId="072B6C24">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554E8AA7">
            <w:pPr>
              <w:pStyle w:val="68"/>
              <w:ind w:firstLine="0" w:firstLineChars="0"/>
              <w:jc w:val="center"/>
              <w:rPr>
                <w:rFonts w:ascii="Arial" w:hAnsi="Arial" w:cs="Arial"/>
                <w:bCs/>
                <w:snapToGrid w:val="0"/>
                <w:sz w:val="20"/>
              </w:rPr>
            </w:pPr>
          </w:p>
        </w:tc>
        <w:tc>
          <w:tcPr>
            <w:tcW w:w="5276" w:type="dxa"/>
            <w:noWrap w:val="0"/>
            <w:vAlign w:val="center"/>
          </w:tcPr>
          <w:p w14:paraId="2153A0FF">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③是否</w:t>
            </w:r>
            <w:r>
              <w:rPr>
                <w:rFonts w:hint="eastAsia" w:ascii="Arial" w:hAnsi="Arial" w:cs="Arial"/>
                <w:bCs/>
                <w:snapToGrid w:val="0"/>
                <w:sz w:val="20"/>
                <w:lang w:val="en-US" w:eastAsia="zh-CN"/>
              </w:rPr>
              <w:t>履行监管制度，是否有利于提高</w:t>
            </w:r>
            <w:r>
              <w:rPr>
                <w:rFonts w:hint="eastAsia" w:ascii="Arial" w:hAnsi="Arial" w:cs="Arial"/>
                <w:bCs/>
                <w:snapToGrid w:val="0"/>
                <w:sz w:val="20"/>
                <w:lang w:eastAsia="zh-CN"/>
              </w:rPr>
              <w:t>园林绿化养护</w:t>
            </w:r>
            <w:r>
              <w:rPr>
                <w:rFonts w:hint="eastAsia" w:ascii="Arial" w:hAnsi="Arial" w:cs="Arial"/>
                <w:bCs/>
                <w:snapToGrid w:val="0"/>
                <w:sz w:val="20"/>
                <w:lang w:val="en-US" w:eastAsia="zh-CN"/>
              </w:rPr>
              <w:t>经验</w:t>
            </w:r>
            <w:r>
              <w:rPr>
                <w:rFonts w:hint="eastAsia" w:ascii="Arial" w:hAnsi="Arial" w:cs="Arial"/>
                <w:bCs/>
                <w:snapToGrid w:val="0"/>
                <w:sz w:val="20"/>
                <w:lang w:eastAsia="zh-CN"/>
              </w:rPr>
              <w:t>。</w:t>
            </w:r>
          </w:p>
        </w:tc>
        <w:tc>
          <w:tcPr>
            <w:tcW w:w="377" w:type="dxa"/>
            <w:noWrap w:val="0"/>
            <w:vAlign w:val="center"/>
          </w:tcPr>
          <w:p w14:paraId="1792DD96">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14:paraId="192553B8">
            <w:pPr>
              <w:pStyle w:val="68"/>
              <w:ind w:firstLine="0" w:firstLineChars="0"/>
              <w:jc w:val="center"/>
              <w:rPr>
                <w:rFonts w:ascii="Arial" w:hAnsi="Arial" w:cs="Arial"/>
                <w:bCs/>
                <w:snapToGrid w:val="0"/>
                <w:sz w:val="20"/>
              </w:rPr>
            </w:pPr>
          </w:p>
        </w:tc>
        <w:tc>
          <w:tcPr>
            <w:tcW w:w="496" w:type="dxa"/>
            <w:noWrap w:val="0"/>
            <w:vAlign w:val="top"/>
          </w:tcPr>
          <w:p w14:paraId="51054280">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35D7A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7" w:type="dxa"/>
            <w:vMerge w:val="restart"/>
            <w:noWrap w:val="0"/>
            <w:vAlign w:val="center"/>
          </w:tcPr>
          <w:p w14:paraId="194EFE81">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hint="eastAsia" w:ascii="Arial" w:hAnsi="Arial" w:cs="Arial"/>
                <w:bCs/>
                <w:snapToGrid w:val="0"/>
                <w:sz w:val="20"/>
                <w:lang w:eastAsia="zh-CN"/>
              </w:rPr>
            </w:pPr>
            <w:r>
              <w:rPr>
                <w:rFonts w:hint="eastAsia" w:ascii="Arial" w:hAnsi="Arial" w:cs="Arial"/>
                <w:bCs/>
                <w:snapToGrid w:val="0"/>
                <w:sz w:val="20"/>
                <w:lang w:eastAsia="zh-CN"/>
              </w:rPr>
              <w:t>项目资金来源和到位可行性</w:t>
            </w:r>
          </w:p>
        </w:tc>
        <w:tc>
          <w:tcPr>
            <w:tcW w:w="1296" w:type="dxa"/>
            <w:noWrap w:val="0"/>
            <w:vAlign w:val="center"/>
          </w:tcPr>
          <w:p w14:paraId="36400C5C">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rPr>
              <w:t>资金</w:t>
            </w:r>
            <w:r>
              <w:rPr>
                <w:rFonts w:hint="eastAsia" w:ascii="Arial" w:hAnsi="Arial" w:cs="Arial"/>
                <w:bCs/>
                <w:snapToGrid w:val="0"/>
                <w:sz w:val="20"/>
                <w:lang w:eastAsia="zh-CN"/>
              </w:rPr>
              <w:t>来源</w:t>
            </w:r>
            <w:r>
              <w:rPr>
                <w:rFonts w:hint="eastAsia" w:ascii="Arial" w:hAnsi="Arial" w:cs="Arial"/>
                <w:bCs/>
                <w:snapToGrid w:val="0"/>
                <w:sz w:val="20"/>
              </w:rPr>
              <w:t>可行性</w:t>
            </w:r>
          </w:p>
        </w:tc>
        <w:tc>
          <w:tcPr>
            <w:tcW w:w="5276" w:type="dxa"/>
            <w:noWrap w:val="0"/>
            <w:vAlign w:val="center"/>
          </w:tcPr>
          <w:p w14:paraId="180E1B45">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①资金来源渠道是否符合相关规定；</w:t>
            </w:r>
          </w:p>
        </w:tc>
        <w:tc>
          <w:tcPr>
            <w:tcW w:w="377" w:type="dxa"/>
            <w:noWrap w:val="0"/>
            <w:vAlign w:val="center"/>
          </w:tcPr>
          <w:p w14:paraId="000ECAC9">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14:paraId="05353471">
            <w:pPr>
              <w:pStyle w:val="68"/>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rPr>
              <w:t>1</w:t>
            </w:r>
            <w:r>
              <w:rPr>
                <w:rFonts w:hint="eastAsia" w:ascii="Arial" w:hAnsi="Arial" w:cs="Arial"/>
                <w:bCs/>
                <w:snapToGrid w:val="0"/>
                <w:sz w:val="20"/>
                <w:lang w:val="en-US" w:eastAsia="zh-CN"/>
              </w:rPr>
              <w:t>5</w:t>
            </w:r>
          </w:p>
        </w:tc>
        <w:tc>
          <w:tcPr>
            <w:tcW w:w="496" w:type="dxa"/>
            <w:noWrap w:val="0"/>
            <w:vAlign w:val="top"/>
          </w:tcPr>
          <w:p w14:paraId="79F38554">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0D4E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noWrap w:val="0"/>
            <w:vAlign w:val="center"/>
          </w:tcPr>
          <w:p w14:paraId="66680710">
            <w:pPr>
              <w:pStyle w:val="68"/>
              <w:ind w:firstLine="0" w:firstLineChars="0"/>
              <w:jc w:val="center"/>
              <w:rPr>
                <w:rFonts w:ascii="Arial" w:hAnsi="Arial" w:cs="Arial"/>
                <w:bCs/>
                <w:snapToGrid w:val="0"/>
                <w:sz w:val="20"/>
              </w:rPr>
            </w:pPr>
          </w:p>
        </w:tc>
        <w:tc>
          <w:tcPr>
            <w:tcW w:w="1296" w:type="dxa"/>
            <w:vMerge w:val="restart"/>
            <w:noWrap w:val="0"/>
            <w:vAlign w:val="center"/>
          </w:tcPr>
          <w:p w14:paraId="51FD4F07">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rPr>
              <w:t>资金到位</w:t>
            </w:r>
            <w:r>
              <w:rPr>
                <w:rFonts w:hint="eastAsia" w:ascii="Arial" w:hAnsi="Arial" w:cs="Arial"/>
                <w:bCs/>
                <w:snapToGrid w:val="0"/>
                <w:sz w:val="20"/>
                <w:lang w:eastAsia="zh-CN"/>
              </w:rPr>
              <w:t>可行性</w:t>
            </w:r>
          </w:p>
        </w:tc>
        <w:tc>
          <w:tcPr>
            <w:tcW w:w="5276" w:type="dxa"/>
            <w:noWrap w:val="0"/>
            <w:vAlign w:val="center"/>
          </w:tcPr>
          <w:p w14:paraId="0490A96E">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①资金</w:t>
            </w:r>
            <w:r>
              <w:rPr>
                <w:rFonts w:hint="eastAsia" w:ascii="Arial" w:hAnsi="Arial" w:cs="Arial"/>
                <w:bCs/>
                <w:snapToGrid w:val="0"/>
                <w:sz w:val="20"/>
                <w:lang w:val="en-US" w:eastAsia="zh-CN"/>
              </w:rPr>
              <w:t>到位</w:t>
            </w:r>
            <w:r>
              <w:rPr>
                <w:rFonts w:hint="eastAsia" w:ascii="Arial" w:hAnsi="Arial" w:cs="Arial"/>
                <w:bCs/>
                <w:snapToGrid w:val="0"/>
                <w:sz w:val="20"/>
                <w:lang w:eastAsia="zh-CN"/>
              </w:rPr>
              <w:t>是否已办理完成相关手续；</w:t>
            </w:r>
          </w:p>
        </w:tc>
        <w:tc>
          <w:tcPr>
            <w:tcW w:w="377" w:type="dxa"/>
            <w:noWrap w:val="0"/>
            <w:vAlign w:val="center"/>
          </w:tcPr>
          <w:p w14:paraId="008F3A05">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14:paraId="5DD0DEDA">
            <w:pPr>
              <w:pStyle w:val="68"/>
              <w:ind w:firstLine="0" w:firstLineChars="0"/>
              <w:jc w:val="center"/>
              <w:rPr>
                <w:rFonts w:ascii="Arial" w:hAnsi="Arial" w:cs="Arial"/>
                <w:bCs/>
                <w:snapToGrid w:val="0"/>
                <w:sz w:val="20"/>
              </w:rPr>
            </w:pPr>
          </w:p>
        </w:tc>
        <w:tc>
          <w:tcPr>
            <w:tcW w:w="496" w:type="dxa"/>
            <w:noWrap w:val="0"/>
            <w:vAlign w:val="top"/>
          </w:tcPr>
          <w:p w14:paraId="1D63430C">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5D96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noWrap w:val="0"/>
            <w:vAlign w:val="center"/>
          </w:tcPr>
          <w:p w14:paraId="7D676A4A">
            <w:pPr>
              <w:pStyle w:val="68"/>
              <w:ind w:firstLine="0" w:firstLineChars="0"/>
              <w:jc w:val="center"/>
              <w:rPr>
                <w:rFonts w:ascii="Arial" w:hAnsi="Arial" w:cs="Arial"/>
                <w:bCs/>
                <w:snapToGrid w:val="0"/>
                <w:sz w:val="20"/>
              </w:rPr>
            </w:pPr>
          </w:p>
        </w:tc>
        <w:tc>
          <w:tcPr>
            <w:tcW w:w="1296" w:type="dxa"/>
            <w:vMerge w:val="continue"/>
            <w:noWrap w:val="0"/>
            <w:vAlign w:val="center"/>
          </w:tcPr>
          <w:p w14:paraId="35FF9A41">
            <w:pPr>
              <w:pStyle w:val="68"/>
              <w:ind w:firstLine="0" w:firstLineChars="0"/>
              <w:jc w:val="center"/>
              <w:rPr>
                <w:rFonts w:ascii="Arial" w:hAnsi="Arial" w:cs="Arial"/>
                <w:bCs/>
                <w:snapToGrid w:val="0"/>
                <w:sz w:val="20"/>
              </w:rPr>
            </w:pPr>
          </w:p>
        </w:tc>
        <w:tc>
          <w:tcPr>
            <w:tcW w:w="5276" w:type="dxa"/>
            <w:noWrap w:val="0"/>
            <w:vAlign w:val="center"/>
          </w:tcPr>
          <w:p w14:paraId="72368927">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②是否有明确的到位时间；</w:t>
            </w:r>
          </w:p>
        </w:tc>
        <w:tc>
          <w:tcPr>
            <w:tcW w:w="377" w:type="dxa"/>
            <w:noWrap w:val="0"/>
            <w:vAlign w:val="center"/>
          </w:tcPr>
          <w:p w14:paraId="7BCC8BCA">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14:paraId="4DAC7158">
            <w:pPr>
              <w:pStyle w:val="68"/>
              <w:ind w:firstLine="0" w:firstLineChars="0"/>
              <w:jc w:val="center"/>
              <w:rPr>
                <w:rFonts w:ascii="Arial" w:hAnsi="Arial" w:cs="Arial"/>
                <w:bCs/>
                <w:snapToGrid w:val="0"/>
                <w:sz w:val="20"/>
              </w:rPr>
            </w:pPr>
          </w:p>
        </w:tc>
        <w:tc>
          <w:tcPr>
            <w:tcW w:w="496" w:type="dxa"/>
            <w:noWrap w:val="0"/>
            <w:vAlign w:val="top"/>
          </w:tcPr>
          <w:p w14:paraId="2A3240EB">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2E34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noWrap w:val="0"/>
            <w:vAlign w:val="center"/>
          </w:tcPr>
          <w:p w14:paraId="0B724FBE">
            <w:pPr>
              <w:pStyle w:val="68"/>
              <w:ind w:firstLine="0" w:firstLineChars="0"/>
              <w:jc w:val="center"/>
              <w:rPr>
                <w:rFonts w:ascii="Arial" w:hAnsi="Arial" w:cs="Arial"/>
                <w:bCs/>
                <w:snapToGrid w:val="0"/>
                <w:sz w:val="20"/>
              </w:rPr>
            </w:pPr>
          </w:p>
        </w:tc>
        <w:tc>
          <w:tcPr>
            <w:tcW w:w="1296" w:type="dxa"/>
            <w:vMerge w:val="continue"/>
            <w:noWrap w:val="0"/>
            <w:vAlign w:val="center"/>
          </w:tcPr>
          <w:p w14:paraId="56553D78">
            <w:pPr>
              <w:pStyle w:val="68"/>
              <w:ind w:firstLine="0" w:firstLineChars="0"/>
              <w:jc w:val="center"/>
              <w:rPr>
                <w:rFonts w:ascii="Arial" w:hAnsi="Arial" w:cs="Arial"/>
                <w:bCs/>
                <w:snapToGrid w:val="0"/>
                <w:sz w:val="20"/>
              </w:rPr>
            </w:pPr>
          </w:p>
        </w:tc>
        <w:tc>
          <w:tcPr>
            <w:tcW w:w="5276" w:type="dxa"/>
            <w:noWrap w:val="0"/>
            <w:vAlign w:val="center"/>
          </w:tcPr>
          <w:p w14:paraId="61835FE9">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③项目是否已具备资金拨付相关条件；</w:t>
            </w:r>
          </w:p>
        </w:tc>
        <w:tc>
          <w:tcPr>
            <w:tcW w:w="377" w:type="dxa"/>
            <w:noWrap w:val="0"/>
            <w:vAlign w:val="center"/>
          </w:tcPr>
          <w:p w14:paraId="307476BA">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noWrap w:val="0"/>
            <w:vAlign w:val="center"/>
          </w:tcPr>
          <w:p w14:paraId="742EBB4E">
            <w:pPr>
              <w:pStyle w:val="68"/>
              <w:ind w:firstLine="0" w:firstLineChars="0"/>
              <w:jc w:val="center"/>
              <w:rPr>
                <w:rFonts w:ascii="Arial" w:hAnsi="Arial" w:cs="Arial"/>
                <w:bCs/>
                <w:snapToGrid w:val="0"/>
                <w:sz w:val="20"/>
              </w:rPr>
            </w:pPr>
          </w:p>
        </w:tc>
        <w:tc>
          <w:tcPr>
            <w:tcW w:w="496" w:type="dxa"/>
            <w:noWrap w:val="0"/>
            <w:vAlign w:val="top"/>
          </w:tcPr>
          <w:p w14:paraId="150B5C2F">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51556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noWrap w:val="0"/>
            <w:vAlign w:val="center"/>
          </w:tcPr>
          <w:p w14:paraId="73385E38">
            <w:pPr>
              <w:pStyle w:val="68"/>
              <w:ind w:firstLine="0" w:firstLineChars="0"/>
              <w:jc w:val="center"/>
              <w:rPr>
                <w:rFonts w:ascii="Arial" w:hAnsi="Arial" w:cs="Arial"/>
                <w:bCs/>
                <w:snapToGrid w:val="0"/>
                <w:sz w:val="20"/>
              </w:rPr>
            </w:pPr>
          </w:p>
        </w:tc>
        <w:tc>
          <w:tcPr>
            <w:tcW w:w="1296" w:type="dxa"/>
            <w:vMerge w:val="continue"/>
            <w:noWrap w:val="0"/>
            <w:vAlign w:val="center"/>
          </w:tcPr>
          <w:p w14:paraId="6B16263B">
            <w:pPr>
              <w:pStyle w:val="68"/>
              <w:ind w:firstLine="0" w:firstLineChars="0"/>
              <w:jc w:val="center"/>
              <w:rPr>
                <w:rFonts w:ascii="Arial" w:hAnsi="Arial" w:cs="Arial"/>
                <w:bCs/>
                <w:snapToGrid w:val="0"/>
                <w:sz w:val="20"/>
              </w:rPr>
            </w:pPr>
          </w:p>
        </w:tc>
        <w:tc>
          <w:tcPr>
            <w:tcW w:w="5276" w:type="dxa"/>
            <w:noWrap w:val="0"/>
            <w:vAlign w:val="center"/>
          </w:tcPr>
          <w:p w14:paraId="7CE7394B">
            <w:pPr>
              <w:pStyle w:val="68"/>
              <w:ind w:firstLine="0" w:firstLineChars="0"/>
              <w:rPr>
                <w:rFonts w:hint="eastAsia" w:ascii="Arial" w:hAnsi="Arial" w:cs="Arial"/>
                <w:bCs/>
                <w:snapToGrid w:val="0"/>
                <w:sz w:val="20"/>
                <w:lang w:eastAsia="zh-CN"/>
              </w:rPr>
            </w:pPr>
            <w:r>
              <w:rPr>
                <w:rFonts w:hint="eastAsia" w:ascii="Arial" w:hAnsi="Arial" w:cs="Arial"/>
                <w:bCs/>
                <w:snapToGrid w:val="0"/>
                <w:sz w:val="20"/>
                <w:lang w:val="en-US" w:eastAsia="zh-CN"/>
              </w:rPr>
              <w:fldChar w:fldCharType="begin"/>
            </w:r>
            <w:r>
              <w:rPr>
                <w:rFonts w:hint="eastAsia" w:ascii="Arial" w:hAnsi="Arial" w:cs="Arial"/>
                <w:bCs/>
                <w:snapToGrid w:val="0"/>
                <w:sz w:val="20"/>
                <w:lang w:val="en-US" w:eastAsia="zh-CN"/>
              </w:rPr>
              <w:instrText xml:space="preserve"> = 4 \* GB3 \* MERGEFORMAT </w:instrText>
            </w:r>
            <w:r>
              <w:rPr>
                <w:rFonts w:hint="eastAsia" w:ascii="Arial" w:hAnsi="Arial" w:cs="Arial"/>
                <w:bCs/>
                <w:snapToGrid w:val="0"/>
                <w:sz w:val="20"/>
                <w:lang w:val="en-US" w:eastAsia="zh-CN"/>
              </w:rPr>
              <w:fldChar w:fldCharType="separate"/>
            </w:r>
            <w:r>
              <w:rPr>
                <w:rFonts w:hint="eastAsia" w:ascii="Arial" w:hAnsi="Arial" w:cs="Arial"/>
                <w:bCs/>
                <w:snapToGrid w:val="0"/>
                <w:sz w:val="20"/>
                <w:lang w:eastAsia="zh-CN"/>
              </w:rPr>
              <w:t>④</w:t>
            </w:r>
            <w:r>
              <w:rPr>
                <w:rFonts w:hint="eastAsia" w:ascii="Arial" w:hAnsi="Arial" w:cs="Arial"/>
                <w:bCs/>
                <w:snapToGrid w:val="0"/>
                <w:sz w:val="20"/>
                <w:lang w:val="en-US" w:eastAsia="zh-CN"/>
              </w:rPr>
              <w:fldChar w:fldCharType="end"/>
            </w:r>
            <w:r>
              <w:rPr>
                <w:rFonts w:hint="eastAsia" w:ascii="Arial" w:hAnsi="Arial" w:cs="Arial"/>
                <w:bCs/>
                <w:snapToGrid w:val="0"/>
                <w:sz w:val="20"/>
                <w:lang w:val="en-US" w:eastAsia="zh-CN"/>
              </w:rPr>
              <w:t>资金到位是否具有相应保障。</w:t>
            </w:r>
          </w:p>
        </w:tc>
        <w:tc>
          <w:tcPr>
            <w:tcW w:w="377" w:type="dxa"/>
            <w:noWrap w:val="0"/>
            <w:vAlign w:val="center"/>
          </w:tcPr>
          <w:p w14:paraId="300ABAC1">
            <w:pPr>
              <w:pStyle w:val="68"/>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noWrap w:val="0"/>
            <w:vAlign w:val="center"/>
          </w:tcPr>
          <w:p w14:paraId="6FE6E848">
            <w:pPr>
              <w:pStyle w:val="68"/>
              <w:ind w:firstLine="0" w:firstLineChars="0"/>
              <w:jc w:val="center"/>
              <w:rPr>
                <w:rFonts w:ascii="Arial" w:hAnsi="Arial" w:cs="Arial"/>
                <w:bCs/>
                <w:snapToGrid w:val="0"/>
                <w:sz w:val="20"/>
              </w:rPr>
            </w:pPr>
          </w:p>
        </w:tc>
        <w:tc>
          <w:tcPr>
            <w:tcW w:w="496" w:type="dxa"/>
            <w:noWrap w:val="0"/>
            <w:vAlign w:val="top"/>
          </w:tcPr>
          <w:p w14:paraId="7CF10E1E">
            <w:pPr>
              <w:pStyle w:val="68"/>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3</w:t>
            </w:r>
          </w:p>
        </w:tc>
      </w:tr>
      <w:tr w14:paraId="2D86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noWrap w:val="0"/>
            <w:vAlign w:val="center"/>
          </w:tcPr>
          <w:p w14:paraId="5610A48E">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资金使用计划合理性、资金到位及时性</w:t>
            </w:r>
          </w:p>
        </w:tc>
        <w:tc>
          <w:tcPr>
            <w:tcW w:w="1296" w:type="dxa"/>
            <w:vMerge w:val="restart"/>
            <w:noWrap w:val="0"/>
            <w:vAlign w:val="center"/>
          </w:tcPr>
          <w:p w14:paraId="3CA64486">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rPr>
              <w:t>资金使用计划合理性</w:t>
            </w:r>
          </w:p>
        </w:tc>
        <w:tc>
          <w:tcPr>
            <w:tcW w:w="5276" w:type="dxa"/>
            <w:noWrap w:val="0"/>
            <w:vAlign w:val="center"/>
          </w:tcPr>
          <w:p w14:paraId="259595A7">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①资金使用计划是否经相关单位确认；</w:t>
            </w:r>
          </w:p>
        </w:tc>
        <w:tc>
          <w:tcPr>
            <w:tcW w:w="377" w:type="dxa"/>
            <w:noWrap w:val="0"/>
            <w:vAlign w:val="center"/>
          </w:tcPr>
          <w:p w14:paraId="59B87A94">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14:paraId="216F0E0A">
            <w:pPr>
              <w:pStyle w:val="68"/>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noWrap w:val="0"/>
            <w:vAlign w:val="top"/>
          </w:tcPr>
          <w:p w14:paraId="0E9A44EA">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5AD5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tcBorders>
              <w:top w:val="nil"/>
            </w:tcBorders>
            <w:noWrap w:val="0"/>
            <w:vAlign w:val="center"/>
          </w:tcPr>
          <w:p w14:paraId="797E0F7E">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14D52506">
            <w:pPr>
              <w:pStyle w:val="68"/>
              <w:ind w:firstLine="0" w:firstLineChars="0"/>
              <w:jc w:val="center"/>
              <w:rPr>
                <w:rFonts w:ascii="Arial" w:hAnsi="Arial" w:cs="Arial"/>
                <w:bCs/>
                <w:snapToGrid w:val="0"/>
                <w:sz w:val="20"/>
              </w:rPr>
            </w:pPr>
          </w:p>
        </w:tc>
        <w:tc>
          <w:tcPr>
            <w:tcW w:w="5276" w:type="dxa"/>
            <w:noWrap w:val="0"/>
            <w:vAlign w:val="center"/>
          </w:tcPr>
          <w:p w14:paraId="58911C64">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②资金使用是否按计划安排。</w:t>
            </w:r>
          </w:p>
        </w:tc>
        <w:tc>
          <w:tcPr>
            <w:tcW w:w="377" w:type="dxa"/>
            <w:noWrap w:val="0"/>
            <w:vAlign w:val="center"/>
          </w:tcPr>
          <w:p w14:paraId="46A3408F">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noWrap w:val="0"/>
            <w:vAlign w:val="center"/>
          </w:tcPr>
          <w:p w14:paraId="74A13616">
            <w:pPr>
              <w:pStyle w:val="68"/>
              <w:ind w:firstLine="0" w:firstLineChars="0"/>
              <w:jc w:val="center"/>
              <w:rPr>
                <w:rFonts w:ascii="Arial" w:hAnsi="Arial" w:cs="Arial"/>
                <w:bCs/>
                <w:snapToGrid w:val="0"/>
                <w:sz w:val="20"/>
              </w:rPr>
            </w:pPr>
          </w:p>
        </w:tc>
        <w:tc>
          <w:tcPr>
            <w:tcW w:w="496" w:type="dxa"/>
            <w:noWrap w:val="0"/>
            <w:vAlign w:val="top"/>
          </w:tcPr>
          <w:p w14:paraId="542981FD">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4D0E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noWrap w:val="0"/>
            <w:vAlign w:val="center"/>
          </w:tcPr>
          <w:p w14:paraId="23310BBF">
            <w:pPr>
              <w:pStyle w:val="68"/>
              <w:ind w:firstLine="0" w:firstLineChars="0"/>
              <w:jc w:val="center"/>
              <w:rPr>
                <w:rFonts w:ascii="Arial" w:hAnsi="Arial" w:cs="Arial"/>
                <w:bCs/>
                <w:snapToGrid w:val="0"/>
                <w:sz w:val="20"/>
              </w:rPr>
            </w:pPr>
          </w:p>
        </w:tc>
        <w:tc>
          <w:tcPr>
            <w:tcW w:w="1296" w:type="dxa"/>
            <w:vMerge w:val="restart"/>
            <w:noWrap w:val="0"/>
            <w:vAlign w:val="center"/>
          </w:tcPr>
          <w:p w14:paraId="12C2EE49">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rPr>
              <w:t>资金到位</w:t>
            </w:r>
            <w:r>
              <w:rPr>
                <w:rFonts w:hint="eastAsia" w:ascii="Arial" w:hAnsi="Arial" w:cs="Arial"/>
                <w:bCs/>
                <w:snapToGrid w:val="0"/>
                <w:sz w:val="20"/>
                <w:lang w:eastAsia="zh-CN"/>
              </w:rPr>
              <w:t>及时性</w:t>
            </w:r>
          </w:p>
        </w:tc>
        <w:tc>
          <w:tcPr>
            <w:tcW w:w="5276" w:type="dxa"/>
            <w:noWrap w:val="0"/>
            <w:vAlign w:val="center"/>
          </w:tcPr>
          <w:p w14:paraId="726DCB8B">
            <w:pPr>
              <w:pStyle w:val="68"/>
              <w:ind w:firstLine="0" w:firstLineChars="0"/>
              <w:rPr>
                <w:rFonts w:ascii="Arial" w:hAnsi="Arial" w:cs="Arial"/>
                <w:bCs/>
                <w:snapToGrid w:val="0"/>
                <w:sz w:val="20"/>
              </w:rPr>
            </w:pPr>
            <w:r>
              <w:rPr>
                <w:rFonts w:hint="eastAsia" w:ascii="Arial" w:hAnsi="Arial" w:cs="Arial"/>
                <w:bCs/>
                <w:snapToGrid w:val="0"/>
                <w:sz w:val="20"/>
              </w:rPr>
              <w:t>①</w:t>
            </w:r>
            <w:r>
              <w:rPr>
                <w:rFonts w:hint="eastAsia" w:ascii="Arial" w:hAnsi="Arial" w:cs="Arial"/>
                <w:bCs/>
                <w:snapToGrid w:val="0"/>
                <w:sz w:val="20"/>
                <w:lang w:eastAsia="zh-CN"/>
              </w:rPr>
              <w:t>资金是否</w:t>
            </w:r>
            <w:r>
              <w:rPr>
                <w:rFonts w:hint="eastAsia" w:ascii="Arial" w:hAnsi="Arial" w:cs="Arial"/>
                <w:bCs/>
                <w:snapToGrid w:val="0"/>
                <w:sz w:val="20"/>
                <w:lang w:val="en-US" w:eastAsia="zh-CN"/>
              </w:rPr>
              <w:t>足额</w:t>
            </w:r>
            <w:r>
              <w:rPr>
                <w:rFonts w:hint="eastAsia" w:ascii="Arial" w:hAnsi="Arial" w:cs="Arial"/>
                <w:bCs/>
                <w:snapToGrid w:val="0"/>
                <w:sz w:val="20"/>
                <w:lang w:eastAsia="zh-CN"/>
              </w:rPr>
              <w:t>到位；</w:t>
            </w:r>
          </w:p>
        </w:tc>
        <w:tc>
          <w:tcPr>
            <w:tcW w:w="377" w:type="dxa"/>
            <w:noWrap w:val="0"/>
            <w:vAlign w:val="center"/>
          </w:tcPr>
          <w:p w14:paraId="6C13BABF">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14:paraId="5035B57F">
            <w:pPr>
              <w:pStyle w:val="68"/>
              <w:ind w:firstLine="0" w:firstLineChars="0"/>
              <w:jc w:val="center"/>
              <w:rPr>
                <w:rFonts w:ascii="Arial" w:hAnsi="Arial" w:cs="Arial"/>
                <w:bCs/>
                <w:snapToGrid w:val="0"/>
                <w:sz w:val="20"/>
              </w:rPr>
            </w:pPr>
          </w:p>
        </w:tc>
        <w:tc>
          <w:tcPr>
            <w:tcW w:w="496" w:type="dxa"/>
            <w:noWrap w:val="0"/>
            <w:vAlign w:val="center"/>
          </w:tcPr>
          <w:p w14:paraId="520291BE">
            <w:pPr>
              <w:pStyle w:val="68"/>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0</w:t>
            </w:r>
          </w:p>
        </w:tc>
      </w:tr>
      <w:tr w14:paraId="4FF3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14:paraId="70E4014B">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4138E0BD">
            <w:pPr>
              <w:pStyle w:val="68"/>
              <w:ind w:firstLine="0" w:firstLineChars="0"/>
              <w:jc w:val="center"/>
              <w:rPr>
                <w:rFonts w:ascii="Arial" w:hAnsi="Arial" w:cs="Arial"/>
                <w:bCs/>
                <w:snapToGrid w:val="0"/>
                <w:sz w:val="20"/>
              </w:rPr>
            </w:pPr>
          </w:p>
        </w:tc>
        <w:tc>
          <w:tcPr>
            <w:tcW w:w="5276" w:type="dxa"/>
            <w:noWrap w:val="0"/>
            <w:vAlign w:val="center"/>
          </w:tcPr>
          <w:p w14:paraId="20AB8DB0">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②资金到位的及时性。</w:t>
            </w:r>
          </w:p>
        </w:tc>
        <w:tc>
          <w:tcPr>
            <w:tcW w:w="377" w:type="dxa"/>
            <w:noWrap w:val="0"/>
            <w:vAlign w:val="center"/>
          </w:tcPr>
          <w:p w14:paraId="0700C8F3">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14:paraId="37B8CD4C">
            <w:pPr>
              <w:pStyle w:val="68"/>
              <w:ind w:firstLine="0" w:firstLineChars="0"/>
              <w:jc w:val="center"/>
              <w:rPr>
                <w:rFonts w:ascii="Arial" w:hAnsi="Arial" w:cs="Arial"/>
                <w:bCs/>
                <w:snapToGrid w:val="0"/>
                <w:sz w:val="20"/>
              </w:rPr>
            </w:pPr>
          </w:p>
        </w:tc>
        <w:tc>
          <w:tcPr>
            <w:tcW w:w="496" w:type="dxa"/>
            <w:noWrap w:val="0"/>
            <w:vAlign w:val="center"/>
          </w:tcPr>
          <w:p w14:paraId="5E094EFB">
            <w:pPr>
              <w:pStyle w:val="68"/>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0</w:t>
            </w:r>
          </w:p>
        </w:tc>
      </w:tr>
      <w:tr w14:paraId="2033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noWrap w:val="0"/>
            <w:vAlign w:val="center"/>
          </w:tcPr>
          <w:p w14:paraId="2C172890">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项目绩效目标明确性、合理性</w:t>
            </w:r>
          </w:p>
        </w:tc>
        <w:tc>
          <w:tcPr>
            <w:tcW w:w="1296" w:type="dxa"/>
            <w:vMerge w:val="restart"/>
            <w:noWrap w:val="0"/>
            <w:vAlign w:val="center"/>
          </w:tcPr>
          <w:p w14:paraId="2CC46988">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目标明确性</w:t>
            </w:r>
          </w:p>
        </w:tc>
        <w:tc>
          <w:tcPr>
            <w:tcW w:w="5276" w:type="dxa"/>
            <w:noWrap w:val="0"/>
            <w:vAlign w:val="center"/>
          </w:tcPr>
          <w:p w14:paraId="32454F88">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的设</w:t>
            </w:r>
            <w:r>
              <w:rPr>
                <w:rFonts w:hint="eastAsia" w:ascii="Arial" w:hAnsi="Arial" w:cs="Arial"/>
                <w:bCs/>
                <w:snapToGrid w:val="0"/>
                <w:sz w:val="20"/>
                <w:lang w:val="en-US" w:eastAsia="zh-CN"/>
              </w:rPr>
              <w:t>定</w:t>
            </w:r>
            <w:r>
              <w:rPr>
                <w:rFonts w:hint="eastAsia" w:ascii="Arial" w:hAnsi="Arial" w:cs="Arial"/>
                <w:bCs/>
                <w:snapToGrid w:val="0"/>
                <w:sz w:val="20"/>
                <w:lang w:eastAsia="zh-CN"/>
              </w:rPr>
              <w:t>是否符合相关规定；</w:t>
            </w:r>
          </w:p>
        </w:tc>
        <w:tc>
          <w:tcPr>
            <w:tcW w:w="377" w:type="dxa"/>
            <w:noWrap w:val="0"/>
            <w:vAlign w:val="center"/>
          </w:tcPr>
          <w:p w14:paraId="1C89429B">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14:paraId="1F7005EC">
            <w:pPr>
              <w:pStyle w:val="68"/>
              <w:ind w:firstLine="0" w:firstLineChars="0"/>
              <w:jc w:val="center"/>
              <w:rPr>
                <w:rFonts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3</w:t>
            </w:r>
          </w:p>
        </w:tc>
        <w:tc>
          <w:tcPr>
            <w:tcW w:w="496" w:type="dxa"/>
            <w:noWrap w:val="0"/>
            <w:vAlign w:val="center"/>
          </w:tcPr>
          <w:p w14:paraId="3CA7E13C">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22BA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noWrap w:val="0"/>
            <w:vAlign w:val="center"/>
          </w:tcPr>
          <w:p w14:paraId="0E53CC73">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61346528">
            <w:pPr>
              <w:pStyle w:val="68"/>
              <w:ind w:firstLine="0" w:firstLineChars="0"/>
              <w:jc w:val="center"/>
              <w:rPr>
                <w:rFonts w:ascii="Arial" w:hAnsi="Arial" w:cs="Arial"/>
                <w:bCs/>
                <w:snapToGrid w:val="0"/>
                <w:sz w:val="20"/>
              </w:rPr>
            </w:pPr>
          </w:p>
        </w:tc>
        <w:tc>
          <w:tcPr>
            <w:tcW w:w="5276" w:type="dxa"/>
            <w:noWrap w:val="0"/>
            <w:vAlign w:val="center"/>
          </w:tcPr>
          <w:p w14:paraId="68000D79">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②绩效目标</w:t>
            </w:r>
            <w:r>
              <w:rPr>
                <w:rFonts w:hint="eastAsia" w:ascii="Arial" w:hAnsi="Arial" w:cs="Arial"/>
                <w:bCs/>
                <w:snapToGrid w:val="0"/>
                <w:sz w:val="20"/>
                <w:lang w:val="en-US" w:eastAsia="zh-CN"/>
              </w:rPr>
              <w:t>的</w:t>
            </w:r>
            <w:r>
              <w:rPr>
                <w:rFonts w:hint="eastAsia" w:ascii="Arial" w:hAnsi="Arial" w:cs="Arial"/>
                <w:bCs/>
                <w:snapToGrid w:val="0"/>
                <w:sz w:val="20"/>
                <w:lang w:eastAsia="zh-CN"/>
              </w:rPr>
              <w:t>设定是否明确，是否与年度工作目标一致；</w:t>
            </w:r>
          </w:p>
        </w:tc>
        <w:tc>
          <w:tcPr>
            <w:tcW w:w="377" w:type="dxa"/>
            <w:noWrap w:val="0"/>
            <w:vAlign w:val="center"/>
          </w:tcPr>
          <w:p w14:paraId="65AB6454">
            <w:pPr>
              <w:pStyle w:val="68"/>
              <w:ind w:firstLine="0" w:firstLineChars="0"/>
              <w:jc w:val="center"/>
              <w:rPr>
                <w:rFonts w:ascii="Arial" w:hAnsi="Arial" w:cs="Arial"/>
                <w:bCs/>
                <w:snapToGrid w:val="0"/>
                <w:sz w:val="20"/>
              </w:rPr>
            </w:pPr>
            <w:r>
              <w:rPr>
                <w:rFonts w:hint="eastAsia" w:ascii="Arial" w:hAnsi="Arial" w:cs="Arial"/>
                <w:bCs/>
                <w:snapToGrid w:val="0"/>
                <w:sz w:val="20"/>
              </w:rPr>
              <w:t>4</w:t>
            </w:r>
          </w:p>
        </w:tc>
        <w:tc>
          <w:tcPr>
            <w:tcW w:w="541" w:type="dxa"/>
            <w:vMerge w:val="continue"/>
            <w:tcBorders>
              <w:top w:val="nil"/>
            </w:tcBorders>
            <w:noWrap w:val="0"/>
            <w:vAlign w:val="center"/>
          </w:tcPr>
          <w:p w14:paraId="7E8EA5AD">
            <w:pPr>
              <w:pStyle w:val="68"/>
              <w:ind w:firstLine="0" w:firstLineChars="0"/>
              <w:jc w:val="center"/>
              <w:rPr>
                <w:rFonts w:ascii="Arial" w:hAnsi="Arial" w:cs="Arial"/>
                <w:bCs/>
                <w:snapToGrid w:val="0"/>
                <w:sz w:val="20"/>
              </w:rPr>
            </w:pPr>
          </w:p>
        </w:tc>
        <w:tc>
          <w:tcPr>
            <w:tcW w:w="496" w:type="dxa"/>
            <w:noWrap w:val="0"/>
            <w:vAlign w:val="center"/>
          </w:tcPr>
          <w:p w14:paraId="33592806">
            <w:pPr>
              <w:pStyle w:val="68"/>
              <w:ind w:firstLine="0" w:firstLineChars="0"/>
              <w:jc w:val="center"/>
              <w:rPr>
                <w:rFonts w:ascii="Arial" w:hAnsi="Arial" w:cs="Arial"/>
                <w:bCs/>
                <w:snapToGrid w:val="0"/>
                <w:sz w:val="20"/>
              </w:rPr>
            </w:pPr>
            <w:r>
              <w:rPr>
                <w:rFonts w:hint="eastAsia" w:ascii="Arial" w:hAnsi="Arial" w:cs="Arial"/>
                <w:bCs/>
                <w:snapToGrid w:val="0"/>
                <w:sz w:val="20"/>
              </w:rPr>
              <w:t>4</w:t>
            </w:r>
          </w:p>
        </w:tc>
      </w:tr>
      <w:tr w14:paraId="6392B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14:paraId="0F976566">
            <w:pPr>
              <w:pStyle w:val="68"/>
              <w:ind w:firstLine="0" w:firstLineChars="0"/>
              <w:jc w:val="center"/>
              <w:rPr>
                <w:rFonts w:ascii="Arial" w:hAnsi="Arial" w:cs="Arial"/>
                <w:bCs/>
                <w:snapToGrid w:val="0"/>
                <w:sz w:val="20"/>
              </w:rPr>
            </w:pPr>
          </w:p>
        </w:tc>
        <w:tc>
          <w:tcPr>
            <w:tcW w:w="1296" w:type="dxa"/>
            <w:vMerge w:val="restart"/>
            <w:noWrap w:val="0"/>
            <w:vAlign w:val="center"/>
          </w:tcPr>
          <w:p w14:paraId="2130CAB2">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目标合理性</w:t>
            </w:r>
          </w:p>
        </w:tc>
        <w:tc>
          <w:tcPr>
            <w:tcW w:w="5276" w:type="dxa"/>
            <w:noWrap w:val="0"/>
            <w:vAlign w:val="center"/>
          </w:tcPr>
          <w:p w14:paraId="5206FDE6">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是否完整；</w:t>
            </w:r>
          </w:p>
        </w:tc>
        <w:tc>
          <w:tcPr>
            <w:tcW w:w="377" w:type="dxa"/>
            <w:noWrap w:val="0"/>
            <w:vAlign w:val="center"/>
          </w:tcPr>
          <w:p w14:paraId="1836C2CE">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14:paraId="51A26A77">
            <w:pPr>
              <w:pStyle w:val="68"/>
              <w:ind w:firstLine="0" w:firstLineChars="0"/>
              <w:jc w:val="center"/>
              <w:rPr>
                <w:rFonts w:ascii="Arial" w:hAnsi="Arial" w:cs="Arial"/>
                <w:bCs/>
                <w:snapToGrid w:val="0"/>
                <w:sz w:val="20"/>
              </w:rPr>
            </w:pPr>
          </w:p>
        </w:tc>
        <w:tc>
          <w:tcPr>
            <w:tcW w:w="496" w:type="dxa"/>
            <w:noWrap w:val="0"/>
            <w:vAlign w:val="center"/>
          </w:tcPr>
          <w:p w14:paraId="389632C9">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r>
      <w:tr w14:paraId="68AF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14:paraId="5F767A80">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5829B35F">
            <w:pPr>
              <w:pStyle w:val="68"/>
              <w:ind w:firstLine="0" w:firstLineChars="0"/>
              <w:jc w:val="center"/>
              <w:rPr>
                <w:rFonts w:ascii="Arial" w:hAnsi="Arial" w:cs="Arial"/>
                <w:bCs/>
                <w:snapToGrid w:val="0"/>
                <w:sz w:val="20"/>
              </w:rPr>
            </w:pPr>
          </w:p>
        </w:tc>
        <w:tc>
          <w:tcPr>
            <w:tcW w:w="5276" w:type="dxa"/>
            <w:noWrap w:val="0"/>
            <w:vAlign w:val="center"/>
          </w:tcPr>
          <w:p w14:paraId="34E1775E">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是否合理。</w:t>
            </w:r>
          </w:p>
        </w:tc>
        <w:tc>
          <w:tcPr>
            <w:tcW w:w="377" w:type="dxa"/>
            <w:noWrap w:val="0"/>
            <w:vAlign w:val="center"/>
          </w:tcPr>
          <w:p w14:paraId="61388883">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14:paraId="1FCAD7D5">
            <w:pPr>
              <w:pStyle w:val="68"/>
              <w:ind w:firstLine="0" w:firstLineChars="0"/>
              <w:jc w:val="center"/>
              <w:rPr>
                <w:rFonts w:ascii="Arial" w:hAnsi="Arial" w:cs="Arial"/>
                <w:bCs/>
                <w:snapToGrid w:val="0"/>
                <w:sz w:val="20"/>
              </w:rPr>
            </w:pPr>
          </w:p>
        </w:tc>
        <w:tc>
          <w:tcPr>
            <w:tcW w:w="496" w:type="dxa"/>
            <w:noWrap w:val="0"/>
            <w:vAlign w:val="center"/>
          </w:tcPr>
          <w:p w14:paraId="474630F1">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14:paraId="59356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noWrap w:val="0"/>
            <w:vAlign w:val="center"/>
          </w:tcPr>
          <w:p w14:paraId="23D943BA">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w:t>
            </w:r>
            <w:r>
              <w:rPr>
                <w:rFonts w:hint="eastAsia" w:ascii="Arial" w:hAnsi="Arial" w:cs="Arial"/>
                <w:bCs/>
                <w:snapToGrid w:val="0"/>
                <w:sz w:val="20"/>
                <w:lang w:eastAsia="zh-CN"/>
              </w:rPr>
              <w:t>方案</w:t>
            </w:r>
            <w:r>
              <w:rPr>
                <w:rFonts w:ascii="Arial" w:hAnsi="Arial" w:cs="Arial"/>
                <w:bCs/>
                <w:snapToGrid w:val="0"/>
                <w:sz w:val="20"/>
                <w:lang w:eastAsia="zh-CN"/>
              </w:rPr>
              <w:t>的有效性</w:t>
            </w:r>
          </w:p>
        </w:tc>
        <w:tc>
          <w:tcPr>
            <w:tcW w:w="1296" w:type="dxa"/>
            <w:vMerge w:val="restart"/>
            <w:tcBorders>
              <w:top w:val="nil"/>
            </w:tcBorders>
            <w:noWrap w:val="0"/>
            <w:vAlign w:val="center"/>
          </w:tcPr>
          <w:p w14:paraId="21E7E919">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目实施方案的有效性</w:t>
            </w:r>
          </w:p>
        </w:tc>
        <w:tc>
          <w:tcPr>
            <w:tcW w:w="5276" w:type="dxa"/>
            <w:noWrap w:val="0"/>
            <w:vAlign w:val="center"/>
          </w:tcPr>
          <w:p w14:paraId="60C266A7">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①项目实施方案是否经过批复；</w:t>
            </w:r>
          </w:p>
        </w:tc>
        <w:tc>
          <w:tcPr>
            <w:tcW w:w="377" w:type="dxa"/>
            <w:noWrap w:val="0"/>
            <w:vAlign w:val="center"/>
          </w:tcPr>
          <w:p w14:paraId="0E5A779A">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tcBorders>
              <w:top w:val="nil"/>
            </w:tcBorders>
            <w:noWrap w:val="0"/>
            <w:vAlign w:val="center"/>
          </w:tcPr>
          <w:p w14:paraId="7547CBCD">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8</w:t>
            </w:r>
          </w:p>
        </w:tc>
        <w:tc>
          <w:tcPr>
            <w:tcW w:w="496" w:type="dxa"/>
            <w:noWrap w:val="0"/>
            <w:vAlign w:val="center"/>
          </w:tcPr>
          <w:p w14:paraId="1F0D5868">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3D8A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14:paraId="138BE30E">
            <w:pPr>
              <w:pStyle w:val="68"/>
              <w:ind w:firstLine="0" w:firstLineChars="0"/>
              <w:jc w:val="center"/>
              <w:rPr>
                <w:rFonts w:ascii="Arial" w:hAnsi="Arial" w:cs="Arial"/>
                <w:bCs/>
                <w:snapToGrid w:val="0"/>
                <w:sz w:val="20"/>
                <w:lang w:eastAsia="zh-CN"/>
              </w:rPr>
            </w:pPr>
          </w:p>
        </w:tc>
        <w:tc>
          <w:tcPr>
            <w:tcW w:w="1296" w:type="dxa"/>
            <w:vMerge w:val="continue"/>
            <w:noWrap w:val="0"/>
            <w:vAlign w:val="center"/>
          </w:tcPr>
          <w:p w14:paraId="439F572B">
            <w:pPr>
              <w:pStyle w:val="68"/>
              <w:ind w:firstLine="0" w:firstLineChars="0"/>
              <w:jc w:val="center"/>
              <w:rPr>
                <w:rFonts w:ascii="Arial" w:hAnsi="Arial" w:cs="Arial"/>
                <w:bCs/>
                <w:snapToGrid w:val="0"/>
                <w:sz w:val="20"/>
                <w:lang w:eastAsia="zh-CN"/>
              </w:rPr>
            </w:pPr>
          </w:p>
        </w:tc>
        <w:tc>
          <w:tcPr>
            <w:tcW w:w="5276" w:type="dxa"/>
            <w:noWrap w:val="0"/>
            <w:vAlign w:val="center"/>
          </w:tcPr>
          <w:p w14:paraId="198D42B3">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②项目实施过程中是否按经批复的方案进行。</w:t>
            </w:r>
          </w:p>
        </w:tc>
        <w:tc>
          <w:tcPr>
            <w:tcW w:w="377" w:type="dxa"/>
            <w:noWrap w:val="0"/>
            <w:vAlign w:val="center"/>
          </w:tcPr>
          <w:p w14:paraId="732EDA72">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noWrap w:val="0"/>
            <w:vAlign w:val="center"/>
          </w:tcPr>
          <w:p w14:paraId="42D3ECF0">
            <w:pPr>
              <w:pStyle w:val="68"/>
              <w:ind w:firstLine="0" w:firstLineChars="0"/>
              <w:jc w:val="center"/>
              <w:rPr>
                <w:rFonts w:ascii="Arial" w:hAnsi="Arial" w:cs="Arial"/>
                <w:bCs/>
                <w:snapToGrid w:val="0"/>
                <w:sz w:val="20"/>
                <w:lang w:eastAsia="zh-CN"/>
              </w:rPr>
            </w:pPr>
          </w:p>
        </w:tc>
        <w:tc>
          <w:tcPr>
            <w:tcW w:w="496" w:type="dxa"/>
            <w:noWrap w:val="0"/>
            <w:vAlign w:val="center"/>
          </w:tcPr>
          <w:p w14:paraId="7C774844">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19F4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77" w:type="dxa"/>
            <w:vMerge w:val="restart"/>
            <w:noWrap w:val="0"/>
            <w:vAlign w:val="center"/>
          </w:tcPr>
          <w:p w14:paraId="1C3D92D0">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ascii="Arial" w:hAnsi="Arial" w:cs="Arial"/>
                <w:bCs/>
                <w:snapToGrid w:val="0"/>
                <w:sz w:val="20"/>
                <w:lang w:eastAsia="zh-CN"/>
              </w:rPr>
              <w:t>项目</w:t>
            </w:r>
            <w:r>
              <w:rPr>
                <w:rFonts w:hint="eastAsia" w:ascii="Arial" w:hAnsi="Arial" w:cs="Arial"/>
                <w:bCs/>
                <w:snapToGrid w:val="0"/>
                <w:sz w:val="20"/>
                <w:lang w:eastAsia="zh-CN"/>
              </w:rPr>
              <w:t>实施成果合格性</w:t>
            </w:r>
          </w:p>
        </w:tc>
        <w:tc>
          <w:tcPr>
            <w:tcW w:w="1296" w:type="dxa"/>
            <w:noWrap w:val="0"/>
            <w:vAlign w:val="center"/>
          </w:tcPr>
          <w:p w14:paraId="3CD1A20A">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val="en-US" w:eastAsia="zh-CN"/>
              </w:rPr>
              <w:t>园林</w:t>
            </w:r>
            <w:r>
              <w:rPr>
                <w:rFonts w:hint="eastAsia" w:ascii="Arial" w:hAnsi="Arial" w:cs="Arial"/>
                <w:bCs/>
                <w:snapToGrid w:val="0"/>
                <w:sz w:val="20"/>
                <w:lang w:eastAsia="zh-CN"/>
              </w:rPr>
              <w:t>绿化养护</w:t>
            </w:r>
            <w:r>
              <w:rPr>
                <w:rFonts w:hint="eastAsia" w:ascii="Arial" w:hAnsi="Arial" w:cs="Arial"/>
                <w:bCs/>
                <w:snapToGrid w:val="0"/>
                <w:sz w:val="20"/>
                <w:lang w:val="en-US" w:eastAsia="zh-CN"/>
              </w:rPr>
              <w:t>考评合格性</w:t>
            </w:r>
          </w:p>
        </w:tc>
        <w:tc>
          <w:tcPr>
            <w:tcW w:w="5276" w:type="dxa"/>
            <w:noWrap w:val="0"/>
            <w:vAlign w:val="center"/>
          </w:tcPr>
          <w:p w14:paraId="1959EF19">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left"/>
              <w:textAlignment w:val="auto"/>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是否按照《乐山市金口河区城区园林绿化购买社会服务养护项目实施方案》中的养护执行标准及具体养护要求对园林绿化进行养护考评。</w:t>
            </w:r>
          </w:p>
        </w:tc>
        <w:tc>
          <w:tcPr>
            <w:tcW w:w="377" w:type="dxa"/>
            <w:noWrap w:val="0"/>
            <w:vAlign w:val="center"/>
          </w:tcPr>
          <w:p w14:paraId="4BF156E4">
            <w:pPr>
              <w:pStyle w:val="68"/>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14:paraId="1000B75B">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9</w:t>
            </w:r>
          </w:p>
        </w:tc>
        <w:tc>
          <w:tcPr>
            <w:tcW w:w="496" w:type="dxa"/>
            <w:noWrap w:val="0"/>
            <w:vAlign w:val="center"/>
          </w:tcPr>
          <w:p w14:paraId="4753063A">
            <w:pPr>
              <w:pStyle w:val="68"/>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2</w:t>
            </w:r>
          </w:p>
        </w:tc>
      </w:tr>
      <w:tr w14:paraId="64DE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continue"/>
            <w:tcBorders>
              <w:top w:val="nil"/>
            </w:tcBorders>
            <w:noWrap w:val="0"/>
            <w:vAlign w:val="center"/>
          </w:tcPr>
          <w:p w14:paraId="3A1D5E8E">
            <w:pPr>
              <w:pStyle w:val="68"/>
              <w:ind w:firstLine="0" w:firstLineChars="0"/>
              <w:jc w:val="center"/>
              <w:rPr>
                <w:rFonts w:ascii="Arial" w:hAnsi="Arial" w:cs="Arial"/>
                <w:bCs/>
                <w:snapToGrid w:val="0"/>
                <w:sz w:val="20"/>
                <w:lang w:eastAsia="zh-CN"/>
              </w:rPr>
            </w:pPr>
          </w:p>
        </w:tc>
        <w:tc>
          <w:tcPr>
            <w:tcW w:w="1296" w:type="dxa"/>
            <w:noWrap w:val="0"/>
            <w:vAlign w:val="center"/>
          </w:tcPr>
          <w:p w14:paraId="51CCD8EA">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lang w:eastAsia="zh-CN"/>
              </w:rPr>
            </w:pPr>
            <w:r>
              <w:rPr>
                <w:rFonts w:hint="eastAsia" w:ascii="Arial" w:hAnsi="Arial" w:cs="Arial"/>
                <w:bCs/>
                <w:snapToGrid w:val="0"/>
                <w:sz w:val="20"/>
                <w:lang w:val="en-US" w:eastAsia="zh-CN"/>
              </w:rPr>
              <w:t>城市公厕考评合格性</w:t>
            </w:r>
          </w:p>
        </w:tc>
        <w:tc>
          <w:tcPr>
            <w:tcW w:w="5276" w:type="dxa"/>
            <w:noWrap w:val="0"/>
            <w:vAlign w:val="center"/>
          </w:tcPr>
          <w:p w14:paraId="3E9C8562">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left"/>
              <w:textAlignment w:val="auto"/>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是否按照《乐山市金口河区城区园林绿化购买社会服务养护项目实施方案》中的养护执行标准及具体养护要求对城市公厕进行养护考评。</w:t>
            </w:r>
          </w:p>
        </w:tc>
        <w:tc>
          <w:tcPr>
            <w:tcW w:w="377" w:type="dxa"/>
            <w:noWrap w:val="0"/>
            <w:vAlign w:val="center"/>
          </w:tcPr>
          <w:p w14:paraId="39EF6E48">
            <w:pPr>
              <w:pStyle w:val="68"/>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2</w:t>
            </w:r>
          </w:p>
        </w:tc>
        <w:tc>
          <w:tcPr>
            <w:tcW w:w="541" w:type="dxa"/>
            <w:vMerge w:val="continue"/>
            <w:tcBorders>
              <w:top w:val="nil"/>
            </w:tcBorders>
            <w:noWrap w:val="0"/>
            <w:vAlign w:val="center"/>
          </w:tcPr>
          <w:p w14:paraId="1875801F">
            <w:pPr>
              <w:pStyle w:val="68"/>
              <w:ind w:firstLine="0" w:firstLineChars="0"/>
              <w:jc w:val="center"/>
              <w:rPr>
                <w:rFonts w:ascii="Arial" w:hAnsi="Arial" w:cs="Arial"/>
                <w:bCs/>
                <w:snapToGrid w:val="0"/>
                <w:sz w:val="20"/>
              </w:rPr>
            </w:pPr>
          </w:p>
        </w:tc>
        <w:tc>
          <w:tcPr>
            <w:tcW w:w="496" w:type="dxa"/>
            <w:noWrap w:val="0"/>
            <w:vAlign w:val="center"/>
          </w:tcPr>
          <w:p w14:paraId="42907BCB">
            <w:pPr>
              <w:pStyle w:val="68"/>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1</w:t>
            </w:r>
          </w:p>
        </w:tc>
      </w:tr>
      <w:tr w14:paraId="66FE5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continue"/>
            <w:tcBorders>
              <w:top w:val="nil"/>
            </w:tcBorders>
            <w:noWrap w:val="0"/>
            <w:vAlign w:val="center"/>
          </w:tcPr>
          <w:p w14:paraId="605C25AF">
            <w:pPr>
              <w:pStyle w:val="68"/>
              <w:ind w:firstLine="0" w:firstLineChars="0"/>
              <w:jc w:val="center"/>
              <w:rPr>
                <w:rFonts w:ascii="Arial" w:hAnsi="Arial" w:cs="Arial"/>
                <w:bCs/>
                <w:snapToGrid w:val="0"/>
                <w:sz w:val="20"/>
                <w:lang w:eastAsia="zh-CN"/>
              </w:rPr>
            </w:pPr>
          </w:p>
        </w:tc>
        <w:tc>
          <w:tcPr>
            <w:tcW w:w="1296" w:type="dxa"/>
            <w:noWrap w:val="0"/>
            <w:vAlign w:val="center"/>
          </w:tcPr>
          <w:p w14:paraId="651EB1C0">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hint="eastAsia" w:ascii="Arial" w:hAnsi="Arial" w:cs="Arial"/>
                <w:bCs/>
                <w:snapToGrid w:val="0"/>
                <w:sz w:val="20"/>
                <w:lang w:eastAsia="zh-CN"/>
              </w:rPr>
            </w:pPr>
            <w:r>
              <w:rPr>
                <w:rFonts w:hint="eastAsia" w:ascii="Arial" w:hAnsi="Arial" w:cs="Arial"/>
                <w:bCs/>
                <w:snapToGrid w:val="0"/>
                <w:sz w:val="20"/>
                <w:lang w:val="en-US" w:eastAsia="zh-CN"/>
              </w:rPr>
              <w:t>喷泉景观及公园内电力市政设施考评合格性</w:t>
            </w:r>
          </w:p>
        </w:tc>
        <w:tc>
          <w:tcPr>
            <w:tcW w:w="5276" w:type="dxa"/>
            <w:noWrap w:val="0"/>
            <w:vAlign w:val="center"/>
          </w:tcPr>
          <w:p w14:paraId="4A7E9D9D">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left"/>
              <w:textAlignment w:val="auto"/>
              <w:rPr>
                <w:rFonts w:hint="eastAsia"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是否按照《乐山市金口河区城区园林绿化购买社会服务养护项目实施方案》中的养护执行标准及具体养护要求对喷泉景观及公园内电力市政设施进行养护考评。</w:t>
            </w:r>
          </w:p>
        </w:tc>
        <w:tc>
          <w:tcPr>
            <w:tcW w:w="377" w:type="dxa"/>
            <w:noWrap w:val="0"/>
            <w:vAlign w:val="center"/>
          </w:tcPr>
          <w:p w14:paraId="30D8AA83">
            <w:pPr>
              <w:pStyle w:val="68"/>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2</w:t>
            </w:r>
          </w:p>
        </w:tc>
        <w:tc>
          <w:tcPr>
            <w:tcW w:w="541" w:type="dxa"/>
            <w:vMerge w:val="continue"/>
            <w:tcBorders>
              <w:top w:val="nil"/>
            </w:tcBorders>
            <w:noWrap w:val="0"/>
            <w:vAlign w:val="center"/>
          </w:tcPr>
          <w:p w14:paraId="5856BB3C">
            <w:pPr>
              <w:pStyle w:val="68"/>
              <w:ind w:firstLine="0" w:firstLineChars="0"/>
              <w:jc w:val="center"/>
              <w:rPr>
                <w:rFonts w:ascii="Arial" w:hAnsi="Arial" w:cs="Arial"/>
                <w:bCs/>
                <w:snapToGrid w:val="0"/>
                <w:sz w:val="20"/>
              </w:rPr>
            </w:pPr>
          </w:p>
        </w:tc>
        <w:tc>
          <w:tcPr>
            <w:tcW w:w="496" w:type="dxa"/>
            <w:noWrap w:val="0"/>
            <w:vAlign w:val="center"/>
          </w:tcPr>
          <w:p w14:paraId="17E949A6">
            <w:pPr>
              <w:pStyle w:val="68"/>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1</w:t>
            </w:r>
          </w:p>
        </w:tc>
      </w:tr>
      <w:tr w14:paraId="42AA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noWrap w:val="0"/>
            <w:vAlign w:val="center"/>
          </w:tcPr>
          <w:p w14:paraId="347730B8">
            <w:pPr>
              <w:pStyle w:val="68"/>
              <w:ind w:firstLine="0" w:firstLineChars="0"/>
              <w:jc w:val="center"/>
              <w:rPr>
                <w:rFonts w:ascii="Arial" w:hAnsi="Arial" w:cs="Arial"/>
                <w:bCs/>
                <w:snapToGrid w:val="0"/>
                <w:sz w:val="20"/>
              </w:rPr>
            </w:pPr>
          </w:p>
        </w:tc>
        <w:tc>
          <w:tcPr>
            <w:tcW w:w="1296" w:type="dxa"/>
            <w:tcBorders>
              <w:top w:val="nil"/>
            </w:tcBorders>
            <w:noWrap w:val="0"/>
            <w:vAlign w:val="center"/>
          </w:tcPr>
          <w:p w14:paraId="4E50D73A">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ascii="Arial" w:hAnsi="Arial" w:cs="Arial"/>
                <w:bCs/>
                <w:snapToGrid w:val="0"/>
                <w:sz w:val="20"/>
              </w:rPr>
            </w:pPr>
            <w:r>
              <w:rPr>
                <w:rFonts w:hint="eastAsia" w:ascii="Arial" w:hAnsi="Arial" w:cs="Arial"/>
                <w:bCs/>
                <w:snapToGrid w:val="0"/>
                <w:sz w:val="20"/>
                <w:lang w:val="en-US" w:eastAsia="zh-CN"/>
              </w:rPr>
              <w:t>停车场考评合格性</w:t>
            </w:r>
          </w:p>
        </w:tc>
        <w:tc>
          <w:tcPr>
            <w:tcW w:w="5276" w:type="dxa"/>
            <w:noWrap w:val="0"/>
            <w:vAlign w:val="center"/>
          </w:tcPr>
          <w:p w14:paraId="65C80A86">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left"/>
              <w:textAlignment w:val="auto"/>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是否按照《乐山市金口河区城区园林绿化购买社会服务养护项目实施方案》中的养护执行标准及具体养护要求对停车场进行养护考评。</w:t>
            </w:r>
          </w:p>
        </w:tc>
        <w:tc>
          <w:tcPr>
            <w:tcW w:w="377" w:type="dxa"/>
            <w:noWrap w:val="0"/>
            <w:vAlign w:val="center"/>
          </w:tcPr>
          <w:p w14:paraId="1F8A73F6">
            <w:pPr>
              <w:pStyle w:val="68"/>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2</w:t>
            </w:r>
          </w:p>
        </w:tc>
        <w:tc>
          <w:tcPr>
            <w:tcW w:w="541" w:type="dxa"/>
            <w:vMerge w:val="continue"/>
            <w:tcBorders>
              <w:top w:val="nil"/>
            </w:tcBorders>
            <w:noWrap w:val="0"/>
            <w:vAlign w:val="center"/>
          </w:tcPr>
          <w:p w14:paraId="0CE89EFD">
            <w:pPr>
              <w:pStyle w:val="68"/>
              <w:ind w:firstLine="0" w:firstLineChars="0"/>
              <w:jc w:val="center"/>
              <w:rPr>
                <w:rFonts w:ascii="Arial" w:hAnsi="Arial" w:cs="Arial"/>
                <w:bCs/>
                <w:snapToGrid w:val="0"/>
                <w:sz w:val="20"/>
              </w:rPr>
            </w:pPr>
          </w:p>
        </w:tc>
        <w:tc>
          <w:tcPr>
            <w:tcW w:w="496" w:type="dxa"/>
            <w:noWrap w:val="0"/>
            <w:vAlign w:val="center"/>
          </w:tcPr>
          <w:p w14:paraId="4AE5CD04">
            <w:pPr>
              <w:pStyle w:val="68"/>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1</w:t>
            </w:r>
          </w:p>
        </w:tc>
      </w:tr>
      <w:tr w14:paraId="1197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77" w:type="dxa"/>
            <w:vMerge w:val="restart"/>
            <w:noWrap w:val="0"/>
            <w:vAlign w:val="center"/>
          </w:tcPr>
          <w:p w14:paraId="13CBD93C">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hint="eastAsia" w:ascii="Arial" w:hAnsi="Arial" w:cs="Arial"/>
                <w:bCs/>
                <w:snapToGrid w:val="0"/>
                <w:sz w:val="20"/>
                <w:lang w:eastAsia="zh-CN"/>
              </w:rPr>
            </w:pPr>
            <w:r>
              <w:rPr>
                <w:rFonts w:hint="eastAsia" w:ascii="Arial" w:hAnsi="Arial" w:cs="Arial"/>
                <w:bCs/>
                <w:snapToGrid w:val="0"/>
                <w:sz w:val="20"/>
                <w:lang w:eastAsia="zh-CN"/>
              </w:rPr>
              <w:t>项目实施的可持续性</w:t>
            </w:r>
          </w:p>
        </w:tc>
        <w:tc>
          <w:tcPr>
            <w:tcW w:w="1296" w:type="dxa"/>
            <w:vMerge w:val="restart"/>
            <w:noWrap w:val="0"/>
            <w:vAlign w:val="center"/>
          </w:tcPr>
          <w:p w14:paraId="49DF9EF2">
            <w:pPr>
              <w:keepNext w:val="0"/>
              <w:keepLines w:val="0"/>
              <w:pageBreakBefore w:val="0"/>
              <w:widowControl w:val="0"/>
              <w:tabs>
                <w:tab w:val="left" w:pos="860"/>
                <w:tab w:val="left" w:pos="1280"/>
              </w:tabs>
              <w:kinsoku/>
              <w:wordWrap/>
              <w:overflowPunct/>
              <w:topLinePunct w:val="0"/>
              <w:autoSpaceDE/>
              <w:autoSpaceDN/>
              <w:bidi w:val="0"/>
              <w:adjustRightInd/>
              <w:snapToGrid/>
              <w:spacing w:line="400" w:lineRule="exact"/>
              <w:ind w:left="58" w:leftChars="12" w:right="64" w:rightChars="20" w:hanging="20" w:hangingChars="10"/>
              <w:jc w:val="center"/>
              <w:textAlignment w:val="auto"/>
              <w:rPr>
                <w:rFonts w:hint="eastAsia" w:ascii="Arial" w:hAnsi="Arial" w:cs="Arial"/>
                <w:bCs/>
                <w:snapToGrid w:val="0"/>
                <w:sz w:val="20"/>
                <w:lang w:eastAsia="zh-CN"/>
              </w:rPr>
            </w:pPr>
            <w:r>
              <w:rPr>
                <w:rFonts w:hint="eastAsia" w:ascii="Arial" w:hAnsi="Arial" w:cs="Arial"/>
                <w:bCs/>
                <w:snapToGrid w:val="0"/>
                <w:sz w:val="20"/>
                <w:lang w:eastAsia="zh-CN"/>
              </w:rPr>
              <w:t>可持续性</w:t>
            </w:r>
          </w:p>
        </w:tc>
        <w:tc>
          <w:tcPr>
            <w:tcW w:w="5276" w:type="dxa"/>
            <w:noWrap w:val="0"/>
            <w:vAlign w:val="center"/>
          </w:tcPr>
          <w:p w14:paraId="7764A3D3">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①项目的实施</w:t>
            </w:r>
            <w:r>
              <w:rPr>
                <w:rFonts w:hint="eastAsia" w:ascii="Arial" w:hAnsi="Arial" w:cs="Arial"/>
                <w:bCs/>
                <w:snapToGrid w:val="0"/>
                <w:sz w:val="20"/>
                <w:lang w:val="en-US" w:eastAsia="zh-CN"/>
              </w:rPr>
              <w:t>对环境的影响</w:t>
            </w:r>
            <w:r>
              <w:rPr>
                <w:rFonts w:hint="eastAsia" w:ascii="Arial" w:hAnsi="Arial" w:cs="Arial"/>
                <w:bCs/>
                <w:snapToGrid w:val="0"/>
                <w:sz w:val="20"/>
                <w:lang w:eastAsia="zh-CN"/>
              </w:rPr>
              <w:t>；</w:t>
            </w:r>
          </w:p>
        </w:tc>
        <w:tc>
          <w:tcPr>
            <w:tcW w:w="377" w:type="dxa"/>
            <w:noWrap w:val="0"/>
            <w:vAlign w:val="center"/>
          </w:tcPr>
          <w:p w14:paraId="2141C7D9">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noWrap w:val="0"/>
            <w:vAlign w:val="center"/>
          </w:tcPr>
          <w:p w14:paraId="0AAC359B">
            <w:pPr>
              <w:pStyle w:val="68"/>
              <w:ind w:firstLine="0" w:firstLineChars="0"/>
              <w:jc w:val="center"/>
              <w:rPr>
                <w:rFonts w:ascii="Arial" w:hAnsi="Arial" w:cs="Arial"/>
                <w:bCs/>
                <w:snapToGrid w:val="0"/>
                <w:sz w:val="20"/>
              </w:rPr>
            </w:pPr>
            <w:r>
              <w:rPr>
                <w:rFonts w:hint="eastAsia" w:ascii="Arial" w:hAnsi="Arial" w:cs="Arial"/>
                <w:bCs/>
                <w:snapToGrid w:val="0"/>
                <w:sz w:val="20"/>
              </w:rPr>
              <w:t>12</w:t>
            </w:r>
          </w:p>
        </w:tc>
        <w:tc>
          <w:tcPr>
            <w:tcW w:w="496" w:type="dxa"/>
            <w:noWrap w:val="0"/>
            <w:vAlign w:val="center"/>
          </w:tcPr>
          <w:p w14:paraId="1DB1DF4E">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1814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77" w:type="dxa"/>
            <w:vMerge w:val="continue"/>
            <w:tcBorders>
              <w:top w:val="nil"/>
            </w:tcBorders>
            <w:noWrap w:val="0"/>
            <w:vAlign w:val="center"/>
          </w:tcPr>
          <w:p w14:paraId="28D5546C">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23C56CF2">
            <w:pPr>
              <w:pStyle w:val="68"/>
              <w:ind w:firstLine="0" w:firstLineChars="0"/>
              <w:jc w:val="center"/>
              <w:rPr>
                <w:rFonts w:ascii="Arial" w:hAnsi="Arial" w:cs="Arial"/>
                <w:bCs/>
                <w:snapToGrid w:val="0"/>
                <w:sz w:val="20"/>
              </w:rPr>
            </w:pPr>
          </w:p>
        </w:tc>
        <w:tc>
          <w:tcPr>
            <w:tcW w:w="5276" w:type="dxa"/>
            <w:noWrap w:val="0"/>
            <w:vAlign w:val="center"/>
          </w:tcPr>
          <w:p w14:paraId="734BE8FF">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②项目的实施对</w:t>
            </w:r>
            <w:r>
              <w:rPr>
                <w:rFonts w:hint="eastAsia" w:ascii="Arial" w:hAnsi="Arial" w:cs="Arial"/>
                <w:bCs/>
                <w:snapToGrid w:val="0"/>
                <w:sz w:val="20"/>
                <w:lang w:val="en-US" w:eastAsia="zh-CN"/>
              </w:rPr>
              <w:t>成本控制的意义</w:t>
            </w:r>
            <w:r>
              <w:rPr>
                <w:rFonts w:hint="eastAsia" w:ascii="Arial" w:hAnsi="Arial" w:cs="Arial"/>
                <w:bCs/>
                <w:snapToGrid w:val="0"/>
                <w:sz w:val="20"/>
                <w:lang w:eastAsia="zh-CN"/>
              </w:rPr>
              <w:t>；</w:t>
            </w:r>
          </w:p>
        </w:tc>
        <w:tc>
          <w:tcPr>
            <w:tcW w:w="377" w:type="dxa"/>
            <w:noWrap w:val="0"/>
            <w:vAlign w:val="center"/>
          </w:tcPr>
          <w:p w14:paraId="37977CC7">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14:paraId="5C84A783">
            <w:pPr>
              <w:pStyle w:val="68"/>
              <w:ind w:firstLine="0" w:firstLineChars="0"/>
              <w:jc w:val="center"/>
              <w:rPr>
                <w:rFonts w:ascii="Arial" w:hAnsi="Arial" w:cs="Arial"/>
                <w:bCs/>
                <w:snapToGrid w:val="0"/>
                <w:sz w:val="20"/>
              </w:rPr>
            </w:pPr>
          </w:p>
        </w:tc>
        <w:tc>
          <w:tcPr>
            <w:tcW w:w="496" w:type="dxa"/>
            <w:noWrap w:val="0"/>
            <w:vAlign w:val="center"/>
          </w:tcPr>
          <w:p w14:paraId="66750FC8">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6AD7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77" w:type="dxa"/>
            <w:vMerge w:val="continue"/>
            <w:tcBorders>
              <w:top w:val="nil"/>
            </w:tcBorders>
            <w:noWrap w:val="0"/>
            <w:vAlign w:val="center"/>
          </w:tcPr>
          <w:p w14:paraId="413DB041">
            <w:pPr>
              <w:pStyle w:val="68"/>
              <w:ind w:firstLine="0" w:firstLineChars="0"/>
              <w:jc w:val="center"/>
              <w:rPr>
                <w:rFonts w:ascii="Arial" w:hAnsi="Arial" w:cs="Arial"/>
                <w:bCs/>
                <w:snapToGrid w:val="0"/>
                <w:sz w:val="20"/>
              </w:rPr>
            </w:pPr>
          </w:p>
        </w:tc>
        <w:tc>
          <w:tcPr>
            <w:tcW w:w="1296" w:type="dxa"/>
            <w:vMerge w:val="continue"/>
            <w:tcBorders>
              <w:top w:val="nil"/>
            </w:tcBorders>
            <w:noWrap w:val="0"/>
            <w:vAlign w:val="center"/>
          </w:tcPr>
          <w:p w14:paraId="27935D06">
            <w:pPr>
              <w:pStyle w:val="68"/>
              <w:ind w:firstLine="0" w:firstLineChars="0"/>
              <w:jc w:val="center"/>
              <w:rPr>
                <w:rFonts w:ascii="Arial" w:hAnsi="Arial" w:cs="Arial"/>
                <w:bCs/>
                <w:snapToGrid w:val="0"/>
                <w:sz w:val="20"/>
              </w:rPr>
            </w:pPr>
          </w:p>
        </w:tc>
        <w:tc>
          <w:tcPr>
            <w:tcW w:w="5276" w:type="dxa"/>
            <w:noWrap w:val="0"/>
            <w:vAlign w:val="center"/>
          </w:tcPr>
          <w:p w14:paraId="1E0E6D73">
            <w:pPr>
              <w:pStyle w:val="68"/>
              <w:ind w:firstLine="0" w:firstLineChars="0"/>
              <w:rPr>
                <w:rFonts w:ascii="Arial" w:hAnsi="Arial" w:cs="Arial"/>
                <w:bCs/>
                <w:snapToGrid w:val="0"/>
                <w:sz w:val="20"/>
                <w:lang w:eastAsia="zh-CN"/>
              </w:rPr>
            </w:pPr>
            <w:r>
              <w:rPr>
                <w:rFonts w:hint="eastAsia" w:ascii="Arial" w:hAnsi="Arial" w:cs="Arial"/>
                <w:bCs/>
                <w:snapToGrid w:val="0"/>
                <w:sz w:val="20"/>
                <w:lang w:eastAsia="zh-CN"/>
              </w:rPr>
              <w:t>③通过项目的实施</w:t>
            </w:r>
            <w:r>
              <w:rPr>
                <w:rFonts w:hint="eastAsia" w:ascii="Arial" w:hAnsi="Arial" w:cs="Arial"/>
                <w:bCs/>
                <w:snapToGrid w:val="0"/>
                <w:sz w:val="20"/>
                <w:lang w:val="en-US" w:eastAsia="zh-CN"/>
              </w:rPr>
              <w:t>对社会稳定的影响</w:t>
            </w:r>
            <w:r>
              <w:rPr>
                <w:rFonts w:hint="eastAsia" w:ascii="Arial" w:hAnsi="Arial" w:cs="Arial"/>
                <w:bCs/>
                <w:snapToGrid w:val="0"/>
                <w:sz w:val="20"/>
                <w:lang w:eastAsia="zh-CN"/>
              </w:rPr>
              <w:t>。</w:t>
            </w:r>
          </w:p>
        </w:tc>
        <w:tc>
          <w:tcPr>
            <w:tcW w:w="377" w:type="dxa"/>
            <w:noWrap w:val="0"/>
            <w:vAlign w:val="center"/>
          </w:tcPr>
          <w:p w14:paraId="0B934EB5">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14:paraId="104B257E">
            <w:pPr>
              <w:pStyle w:val="68"/>
              <w:ind w:firstLine="0" w:firstLineChars="0"/>
              <w:jc w:val="center"/>
              <w:rPr>
                <w:rFonts w:ascii="Arial" w:hAnsi="Arial" w:cs="Arial"/>
                <w:bCs/>
                <w:snapToGrid w:val="0"/>
                <w:sz w:val="20"/>
              </w:rPr>
            </w:pPr>
          </w:p>
        </w:tc>
        <w:tc>
          <w:tcPr>
            <w:tcW w:w="496" w:type="dxa"/>
            <w:noWrap w:val="0"/>
            <w:vAlign w:val="center"/>
          </w:tcPr>
          <w:p w14:paraId="3FDB1B38">
            <w:pPr>
              <w:pStyle w:val="68"/>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14:paraId="04F7C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449" w:type="dxa"/>
            <w:gridSpan w:val="3"/>
            <w:noWrap w:val="0"/>
            <w:vAlign w:val="center"/>
          </w:tcPr>
          <w:p w14:paraId="50361C55">
            <w:pPr>
              <w:pStyle w:val="68"/>
              <w:ind w:firstLine="0" w:firstLineChars="0"/>
              <w:jc w:val="center"/>
              <w:rPr>
                <w:rFonts w:ascii="Arial" w:hAnsi="Arial" w:cs="Arial"/>
                <w:bCs/>
                <w:snapToGrid w:val="0"/>
                <w:sz w:val="20"/>
              </w:rPr>
            </w:pPr>
            <w:r>
              <w:rPr>
                <w:rFonts w:hint="eastAsia" w:ascii="Arial" w:hAnsi="Arial" w:cs="Arial"/>
                <w:bCs/>
                <w:snapToGrid w:val="0"/>
                <w:sz w:val="20"/>
              </w:rPr>
              <w:t>合计</w:t>
            </w:r>
          </w:p>
        </w:tc>
        <w:tc>
          <w:tcPr>
            <w:tcW w:w="377" w:type="dxa"/>
            <w:noWrap w:val="0"/>
            <w:vAlign w:val="center"/>
          </w:tcPr>
          <w:p w14:paraId="199ECAF2">
            <w:pPr>
              <w:pStyle w:val="68"/>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100</w:t>
            </w:r>
          </w:p>
        </w:tc>
        <w:tc>
          <w:tcPr>
            <w:tcW w:w="541" w:type="dxa"/>
            <w:noWrap w:val="0"/>
            <w:vAlign w:val="center"/>
          </w:tcPr>
          <w:p w14:paraId="5D6892BD">
            <w:pPr>
              <w:pStyle w:val="68"/>
              <w:ind w:firstLine="0" w:firstLineChars="0"/>
              <w:jc w:val="center"/>
              <w:rPr>
                <w:rFonts w:ascii="Arial" w:hAnsi="Arial" w:cs="Arial"/>
                <w:bCs/>
                <w:snapToGrid w:val="0"/>
                <w:sz w:val="20"/>
              </w:rPr>
            </w:pPr>
          </w:p>
        </w:tc>
        <w:tc>
          <w:tcPr>
            <w:tcW w:w="496" w:type="dxa"/>
            <w:noWrap w:val="0"/>
            <w:vAlign w:val="center"/>
          </w:tcPr>
          <w:p w14:paraId="2C218F38">
            <w:pPr>
              <w:pStyle w:val="68"/>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90</w:t>
            </w:r>
          </w:p>
        </w:tc>
      </w:tr>
    </w:tbl>
    <w:p w14:paraId="45A668A7">
      <w:pPr>
        <w:pStyle w:val="2"/>
        <w:numPr>
          <w:ilvl w:val="0"/>
          <w:numId w:val="1"/>
        </w:numPr>
        <w:spacing w:before="0" w:beforeLines="0" w:after="0" w:afterLines="0"/>
        <w:rPr>
          <w:rFonts w:hint="eastAsia" w:ascii="仿宋_GB2312" w:hAnsi="Times New Roman" w:eastAsia="仿宋_GB2312" w:cs="Times New Roman"/>
          <w:b w:val="0"/>
          <w:color w:val="000000"/>
          <w:kern w:val="0"/>
          <w:sz w:val="32"/>
          <w:szCs w:val="32"/>
          <w:lang w:val="en-US" w:eastAsia="zh-CN" w:bidi="en-US"/>
        </w:rPr>
      </w:pPr>
      <w:bookmarkStart w:id="206" w:name="_Toc1506002849_WPSOffice_Level1"/>
      <w:bookmarkStart w:id="207" w:name="_Toc20649"/>
      <w:bookmarkStart w:id="208" w:name="_Toc1269600848"/>
      <w:bookmarkStart w:id="209" w:name="_Toc924138418"/>
      <w:bookmarkStart w:id="210" w:name="_Toc193453926"/>
      <w:bookmarkStart w:id="211" w:name="_Toc7074"/>
      <w:bookmarkStart w:id="212" w:name="_Toc132480966"/>
      <w:bookmarkStart w:id="213" w:name="_Toc10752"/>
      <w:bookmarkStart w:id="214" w:name="_Toc737820165"/>
      <w:bookmarkStart w:id="215" w:name="_Toc29516"/>
      <w:r>
        <w:rPr>
          <w:rFonts w:hint="eastAsia" w:ascii="仿宋_GB2312" w:hAnsi="Times New Roman" w:eastAsia="仿宋_GB2312" w:cs="Times New Roman"/>
          <w:b w:val="0"/>
          <w:color w:val="000000"/>
          <w:kern w:val="0"/>
          <w:sz w:val="32"/>
          <w:szCs w:val="32"/>
          <w:lang w:val="en-US" w:eastAsia="zh-CN" w:bidi="en-US"/>
        </w:rPr>
        <w:t>绩效评价</w:t>
      </w:r>
      <w:bookmarkEnd w:id="206"/>
      <w:bookmarkEnd w:id="207"/>
      <w:bookmarkEnd w:id="208"/>
      <w:bookmarkEnd w:id="209"/>
      <w:bookmarkEnd w:id="210"/>
      <w:bookmarkEnd w:id="211"/>
      <w:bookmarkEnd w:id="212"/>
      <w:bookmarkEnd w:id="213"/>
      <w:bookmarkEnd w:id="214"/>
      <w:r>
        <w:rPr>
          <w:rFonts w:hint="eastAsia" w:ascii="仿宋_GB2312" w:hAnsi="Times New Roman" w:eastAsia="仿宋_GB2312" w:cs="Times New Roman"/>
          <w:b w:val="0"/>
          <w:color w:val="000000"/>
          <w:kern w:val="0"/>
          <w:sz w:val="32"/>
          <w:szCs w:val="32"/>
          <w:lang w:val="en-US" w:eastAsia="zh-CN" w:bidi="en-US"/>
        </w:rPr>
        <w:t>内容与结论</w:t>
      </w:r>
      <w:bookmarkEnd w:id="215"/>
    </w:p>
    <w:p w14:paraId="7DB60FA3">
      <w:pPr>
        <w:pStyle w:val="3"/>
        <w:numPr>
          <w:ilvl w:val="0"/>
          <w:numId w:val="3"/>
        </w:numPr>
        <w:spacing w:before="0" w:beforeLines="0" w:after="0" w:afterLines="0"/>
        <w:ind w:firstLineChars="0"/>
        <w:rPr>
          <w:rFonts w:hint="eastAsia" w:ascii="仿宋" w:hAnsi="仿宋" w:eastAsia="仿宋" w:cs="仿宋"/>
          <w:b w:val="0"/>
          <w:szCs w:val="32"/>
          <w:lang w:eastAsia="zh-CN"/>
        </w:rPr>
      </w:pPr>
      <w:bookmarkStart w:id="216" w:name="_Toc26088"/>
      <w:r>
        <w:rPr>
          <w:rFonts w:hint="eastAsia" w:ascii="仿宋_GB2312" w:hAnsi="Times New Roman" w:eastAsia="仿宋_GB2312" w:cs="Times New Roman"/>
          <w:b w:val="0"/>
          <w:color w:val="000000"/>
          <w:kern w:val="0"/>
          <w:sz w:val="32"/>
          <w:szCs w:val="32"/>
          <w:lang w:val="en-US" w:eastAsia="zh-CN" w:bidi="en-US"/>
        </w:rPr>
        <w:t>项目实施的必要性、公益性、经济性</w:t>
      </w:r>
      <w:bookmarkEnd w:id="216"/>
    </w:p>
    <w:p w14:paraId="01157337">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项目实施的必要性、公益性、收益性方面，指标总分16分，评估得分16分。具体如下</w:t>
      </w:r>
      <w:r>
        <w:rPr>
          <w:rFonts w:hint="eastAsia" w:ascii="仿宋" w:hAnsi="仿宋" w:eastAsia="仿宋" w:cs="仿宋"/>
          <w:szCs w:val="32"/>
          <w:lang w:eastAsia="zh-CN"/>
        </w:rPr>
        <w:t>：</w:t>
      </w:r>
    </w:p>
    <w:p w14:paraId="31AE0B8D">
      <w:pPr>
        <w:ind w:firstLine="640" w:firstLineChars="0"/>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项</w:t>
      </w:r>
      <w:bookmarkStart w:id="217" w:name="OLE_LINK3"/>
      <w:r>
        <w:rPr>
          <w:rFonts w:hint="eastAsia" w:ascii="仿宋_GB2312" w:hAnsi="Times New Roman" w:eastAsia="仿宋_GB2312" w:cs="Times New Roman"/>
          <w:b w:val="0"/>
          <w:color w:val="000000"/>
          <w:kern w:val="0"/>
          <w:sz w:val="32"/>
          <w:szCs w:val="32"/>
          <w:lang w:val="en-US" w:eastAsia="zh-CN" w:bidi="en-US"/>
        </w:rPr>
        <w:t>目实施的必要性</w:t>
      </w:r>
      <w:bookmarkEnd w:id="217"/>
    </w:p>
    <w:p w14:paraId="285AFFE4">
      <w:pPr>
        <w:adjustRightInd w:val="0"/>
        <w:snapToGrid w:val="0"/>
        <w:spacing w:line="520" w:lineRule="exact"/>
        <w:ind w:left="0" w:leftChars="0" w:firstLine="640" w:firstLineChars="200"/>
        <w:rPr>
          <w:rFonts w:hint="eastAsia" w:ascii="仿宋_GB2312" w:hAnsi="宋体" w:cs="宋体"/>
          <w:color w:val="393939"/>
          <w:kern w:val="0"/>
          <w:sz w:val="32"/>
          <w:szCs w:val="32"/>
          <w:shd w:val="clear" w:color="auto" w:fill="FFFFFF"/>
          <w:lang w:val="en-US" w:eastAsia="zh-CN"/>
        </w:rPr>
      </w:pPr>
      <w:r>
        <w:rPr>
          <w:rFonts w:hint="eastAsia" w:ascii="仿宋_GB2312" w:hAnsi="Times New Roman" w:eastAsia="仿宋_GB2312" w:cs="Times New Roman"/>
          <w:b w:val="0"/>
          <w:color w:val="000000"/>
          <w:kern w:val="0"/>
          <w:sz w:val="32"/>
          <w:szCs w:val="32"/>
          <w:lang w:val="en-US" w:eastAsia="zh-CN" w:bidi="en-US"/>
        </w:rPr>
        <w:t>自2019年经金口河区人民政府同意，首次通过政府采购，确定了第三方服务机构养护管理城市园林绿化以来，金口河区城区园林养护得到不断提升。为进一步提升城区园林绿化景观效果，提高园林绿化养护质量，使其继续得到更专业的养护，保持国家卫生城市形象，将金口河区打造成环境优美的旅游城市</w:t>
      </w:r>
      <w:r>
        <w:rPr>
          <w:rFonts w:hint="eastAsia" w:ascii="仿宋_GB2312" w:cs="Times New Roman"/>
          <w:b w:val="0"/>
          <w:color w:val="000000"/>
          <w:kern w:val="0"/>
          <w:sz w:val="32"/>
          <w:szCs w:val="32"/>
          <w:lang w:val="en-US" w:eastAsia="zh-CN" w:bidi="en-US"/>
        </w:rPr>
        <w:t>，</w:t>
      </w:r>
      <w:r>
        <w:rPr>
          <w:rFonts w:hint="eastAsia" w:ascii="仿宋_GB2312" w:hAnsi="Times New Roman" w:eastAsia="仿宋_GB2312" w:cs="Times New Roman"/>
          <w:b w:val="0"/>
          <w:color w:val="000000"/>
          <w:kern w:val="0"/>
          <w:sz w:val="32"/>
          <w:szCs w:val="32"/>
          <w:lang w:val="en-US" w:eastAsia="zh-CN" w:bidi="en-US"/>
        </w:rPr>
        <w:t>2024年区住建局继续通过购买第三方服务机构养护管理城市园林绿化，同时将新增绿地、公园、停车场一并纳入管护范围，引进专业的园林绿化养护队伍，借助其优质先进的园林绿化养护管理技术，把金口河区打造成环境优美、生态良好、人居和谐的宜居城市。根据评分标准，总分4分，得4分</w:t>
      </w:r>
      <w:r>
        <w:rPr>
          <w:rFonts w:hint="eastAsia" w:ascii="仿宋_GB2312" w:hAnsi="宋体" w:cs="宋体"/>
          <w:color w:val="393939"/>
          <w:kern w:val="0"/>
          <w:sz w:val="32"/>
          <w:szCs w:val="32"/>
          <w:shd w:val="clear" w:color="auto" w:fill="FFFFFF"/>
          <w:lang w:val="en-US" w:eastAsia="zh-CN"/>
        </w:rPr>
        <w:t>。</w:t>
      </w:r>
    </w:p>
    <w:p w14:paraId="11ABA00C">
      <w:pPr>
        <w:ind w:firstLineChars="0"/>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2.</w:t>
      </w:r>
      <w:r>
        <w:rPr>
          <w:rFonts w:hint="eastAsia" w:ascii="仿宋_GB2312" w:hAnsi="Times New Roman" w:eastAsia="仿宋_GB2312" w:cs="Times New Roman"/>
          <w:b w:val="0"/>
          <w:color w:val="000000"/>
          <w:kern w:val="0"/>
          <w:sz w:val="32"/>
          <w:szCs w:val="32"/>
          <w:lang w:val="en-US" w:eastAsia="zh-CN" w:bidi="en-US"/>
        </w:rPr>
        <w:t>项目实施的公益性</w:t>
      </w:r>
    </w:p>
    <w:p w14:paraId="358C2A5A">
      <w:pPr>
        <w:adjustRightInd w:val="0"/>
        <w:snapToGrid w:val="0"/>
        <w:spacing w:line="520" w:lineRule="exact"/>
        <w:ind w:left="0" w:leftChars="0" w:firstLine="640" w:firstLineChars="200"/>
        <w:rPr>
          <w:rFonts w:hint="eastAsia" w:ascii="仿宋_GB2312" w:hAnsi="宋体" w:cs="宋体"/>
          <w:color w:val="393939"/>
          <w:kern w:val="0"/>
          <w:sz w:val="32"/>
          <w:szCs w:val="32"/>
          <w:shd w:val="clear" w:color="auto" w:fill="FFFFFF"/>
          <w:lang w:val="en-US" w:eastAsia="zh-CN"/>
        </w:rPr>
      </w:pPr>
      <w:r>
        <w:rPr>
          <w:rFonts w:hint="eastAsia" w:ascii="仿宋_GB2312" w:hAnsi="Times New Roman" w:eastAsia="仿宋_GB2312" w:cs="Times New Roman"/>
          <w:b w:val="0"/>
          <w:color w:val="000000"/>
          <w:kern w:val="0"/>
          <w:sz w:val="32"/>
          <w:szCs w:val="32"/>
          <w:lang w:val="en-US" w:eastAsia="zh-CN" w:bidi="en-US"/>
        </w:rPr>
        <w:t>第三方服务机构凭借专业的养护技术与丰富经验，对城区的各类绿地、花草树木进行科学管理；城市园林绿化区域为居民提供了休闲娱乐的好去处，如公园、广场绿地等，成为居民日常散步、锻炼、亲子活动的理想场所；该项目助力提升金口河区的城市形象与竞争力，良好的园林绿化景观是城市的名片，能展示城市的特色与魅力，吸引更多游客前来观光旅游，带动旅游业发展，增加旅游收入</w:t>
      </w:r>
      <w:r>
        <w:rPr>
          <w:rFonts w:hint="eastAsia" w:ascii="仿宋_GB2312" w:hAnsi="宋体" w:cs="宋体"/>
          <w:color w:val="393939"/>
          <w:kern w:val="0"/>
          <w:sz w:val="32"/>
          <w:szCs w:val="32"/>
          <w:shd w:val="clear" w:color="auto" w:fill="FFFFFF"/>
          <w:lang w:val="en-US" w:eastAsia="zh-CN"/>
        </w:rPr>
        <w:t>。</w:t>
      </w:r>
    </w:p>
    <w:p w14:paraId="320B6FDA">
      <w:pPr>
        <w:adjustRightInd w:val="0"/>
        <w:snapToGrid w:val="0"/>
        <w:spacing w:line="520" w:lineRule="exact"/>
        <w:ind w:left="0" w:leftChars="0" w:firstLine="640" w:firstLineChars="200"/>
        <w:rPr>
          <w:rFonts w:hint="eastAsia" w:ascii="仿宋_GB2312" w:hAnsi="宋体" w:cs="宋体"/>
          <w:color w:val="393939"/>
          <w:kern w:val="0"/>
          <w:sz w:val="32"/>
          <w:szCs w:val="32"/>
          <w:shd w:val="clear" w:color="auto" w:fill="FFFFFF"/>
          <w:lang w:val="en-US" w:eastAsia="zh-CN"/>
        </w:rPr>
      </w:pPr>
      <w:r>
        <w:rPr>
          <w:rFonts w:hint="eastAsia" w:ascii="仿宋_GB2312" w:hAnsi="Times New Roman" w:eastAsia="仿宋_GB2312" w:cs="Times New Roman"/>
          <w:b w:val="0"/>
          <w:color w:val="000000"/>
          <w:kern w:val="0"/>
          <w:sz w:val="32"/>
          <w:szCs w:val="32"/>
          <w:lang w:val="en-US" w:eastAsia="zh-CN" w:bidi="en-US"/>
        </w:rPr>
        <w:t>通过项目的实施，能吸引投资，为城市的经济发展创造有利条件，促进区域经济的繁荣，从长远看，为城市可持续发展奠定坚实基础，造福子孙后代，让金口河区在生态、经济、社会等多方面实现协调发展，充分体现了其公益属性。根据评分标准，总分4分，得4分</w:t>
      </w:r>
      <w:r>
        <w:rPr>
          <w:rFonts w:hint="eastAsia" w:ascii="仿宋_GB2312" w:hAnsi="宋体" w:cs="宋体"/>
          <w:color w:val="393939"/>
          <w:kern w:val="0"/>
          <w:sz w:val="32"/>
          <w:szCs w:val="32"/>
          <w:shd w:val="clear" w:color="auto" w:fill="FFFFFF"/>
          <w:lang w:val="en-US" w:eastAsia="zh-CN"/>
        </w:rPr>
        <w:t>。</w:t>
      </w:r>
    </w:p>
    <w:p w14:paraId="05A4CD26">
      <w:pPr>
        <w:ind w:firstLineChars="0"/>
        <w:rPr>
          <w:rFonts w:hint="eastAsia" w:ascii="仿宋" w:hAnsi="仿宋" w:eastAsia="仿宋" w:cs="仿宋"/>
          <w:szCs w:val="32"/>
          <w:lang w:eastAsia="zh-CN"/>
        </w:rPr>
      </w:pPr>
      <w:r>
        <w:rPr>
          <w:rFonts w:hint="eastAsia" w:ascii="仿宋" w:hAnsi="仿宋" w:eastAsia="仿宋" w:cs="仿宋"/>
          <w:szCs w:val="32"/>
          <w:lang w:eastAsia="zh-CN"/>
        </w:rPr>
        <w:t>3.</w:t>
      </w:r>
      <w:r>
        <w:rPr>
          <w:rFonts w:hint="eastAsia" w:ascii="仿宋_GB2312" w:hAnsi="Times New Roman" w:eastAsia="仿宋_GB2312" w:cs="Times New Roman"/>
          <w:b w:val="0"/>
          <w:color w:val="000000"/>
          <w:kern w:val="0"/>
          <w:sz w:val="32"/>
          <w:szCs w:val="32"/>
          <w:lang w:val="en-US" w:eastAsia="zh-CN" w:bidi="en-US"/>
        </w:rPr>
        <w:t>项目实施的经济性</w:t>
      </w:r>
    </w:p>
    <w:p w14:paraId="4A091392">
      <w:pPr>
        <w:ind w:firstLineChars="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项目的实施，有效的降低了人力成本的同时减少了设备的投入。若自行组建团队进行园林绿化养护，需长期雇佣大量专业人员，包括绿化工人、园艺师、管理人员等，涉及招聘、培训、薪酬福利等诸多成本；园林绿化养护需修剪机、洒水车、农药喷洒设备等专业设备，购买和维护这些设备成本高昂。通过</w:t>
      </w:r>
      <w:r>
        <w:rPr>
          <w:rFonts w:hint="eastAsia" w:ascii="仿宋_GB2312" w:cs="Times New Roman"/>
          <w:b w:val="0"/>
          <w:color w:val="000000"/>
          <w:kern w:val="0"/>
          <w:sz w:val="32"/>
          <w:szCs w:val="32"/>
          <w:lang w:val="en-US" w:eastAsia="zh-CN" w:bidi="en-US"/>
        </w:rPr>
        <w:t>购</w:t>
      </w:r>
      <w:r>
        <w:rPr>
          <w:rFonts w:hint="eastAsia" w:ascii="仿宋_GB2312" w:hAnsi="Times New Roman" w:eastAsia="仿宋_GB2312" w:cs="Times New Roman"/>
          <w:b w:val="0"/>
          <w:color w:val="000000"/>
          <w:kern w:val="0"/>
          <w:sz w:val="32"/>
          <w:szCs w:val="32"/>
          <w:lang w:val="en-US" w:eastAsia="zh-CN" w:bidi="en-US"/>
        </w:rPr>
        <w:t>买第三方服务，可按需支付服务费用，避免人员闲置时的成本浪费也可省去设备购置、存放、维修等费用。第三方服务机构具有专业的资源整合能力和丰富的行业经验，能根据金口河区园林绿化实际需求，合理调配人力、物力和财力资源，避免资源过度集中或不足，提高资源整体利用效率。能带动当地园林绿化产业及上下游相关产业发展，如苗木种植、花卉培育、园林设备制造等，形成产业集群效应，增加产业附加值，为当地创造更多经济效益。良好的园林绿化能提升周边土地和房产价值，吸引更多投资和居民入住，促进房地产市场发展，增加土地出让金收入，为地方财政带来长期收益。第三方服务机构注重专业技术和服务质量，可确保园林绿化养护效果，减少因养护不当导致的植物死亡、景观损坏等问题，避免重复建设和修复带来的额外成本，实现长期成本节约。</w:t>
      </w:r>
    </w:p>
    <w:p w14:paraId="49CB77FC">
      <w:pPr>
        <w:ind w:firstLineChars="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通过提升城市形象和环境品质，吸引更多企业入驻和人才流入，推动城市经济多元化发展，为城市长期经济增长奠定基础，创造更广泛的经济效益。根据评分标准，总分8分，得8分</w:t>
      </w:r>
      <w:r>
        <w:rPr>
          <w:rFonts w:hint="eastAsia" w:ascii="仿宋" w:hAnsi="仿宋" w:eastAsia="仿宋" w:cs="仿宋"/>
          <w:szCs w:val="32"/>
          <w:lang w:eastAsia="zh-CN"/>
        </w:rPr>
        <w:t>。</w:t>
      </w:r>
    </w:p>
    <w:p w14:paraId="6569049E">
      <w:pPr>
        <w:pStyle w:val="3"/>
        <w:numPr>
          <w:ilvl w:val="0"/>
          <w:numId w:val="3"/>
        </w:numPr>
        <w:spacing w:before="0" w:beforeLines="0" w:after="0" w:afterLines="0"/>
        <w:ind w:firstLineChars="0"/>
        <w:rPr>
          <w:rFonts w:hint="eastAsia" w:ascii="仿宋_GB2312" w:hAnsi="Times New Roman" w:eastAsia="仿宋_GB2312" w:cs="Times New Roman"/>
          <w:b w:val="0"/>
          <w:color w:val="000000"/>
          <w:kern w:val="0"/>
          <w:sz w:val="32"/>
          <w:szCs w:val="32"/>
          <w:lang w:val="en-US" w:eastAsia="zh-CN" w:bidi="en-US"/>
        </w:rPr>
      </w:pPr>
      <w:bookmarkStart w:id="218" w:name="_Toc28607"/>
      <w:r>
        <w:rPr>
          <w:rFonts w:hint="eastAsia" w:ascii="仿宋_GB2312" w:hAnsi="Times New Roman" w:eastAsia="仿宋_GB2312" w:cs="Times New Roman"/>
          <w:b w:val="0"/>
          <w:color w:val="000000"/>
          <w:kern w:val="0"/>
          <w:sz w:val="32"/>
          <w:szCs w:val="32"/>
          <w:lang w:val="en-US" w:eastAsia="zh-CN" w:bidi="en-US"/>
        </w:rPr>
        <w:t>项目实施合规性与项目成熟度</w:t>
      </w:r>
      <w:bookmarkEnd w:id="218"/>
    </w:p>
    <w:p w14:paraId="27FC90E1">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项目实施合规性与项目成熟度方面，指标总分15分，评估得分15分。具体如下</w:t>
      </w:r>
      <w:r>
        <w:rPr>
          <w:rFonts w:hint="eastAsia" w:ascii="仿宋" w:hAnsi="仿宋" w:eastAsia="仿宋" w:cs="仿宋"/>
          <w:szCs w:val="32"/>
          <w:lang w:eastAsia="zh-CN"/>
        </w:rPr>
        <w:t>：</w:t>
      </w:r>
    </w:p>
    <w:p w14:paraId="49842C60">
      <w:pPr>
        <w:ind w:firstLine="640"/>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实施合规性</w:t>
      </w:r>
    </w:p>
    <w:p w14:paraId="4FC51B16">
      <w:pPr>
        <w:ind w:firstLine="640"/>
        <w:rPr>
          <w:rFonts w:hint="default"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项目经区十一届人民政府第65次常务会议研究，并报十届区委常委会第80次会议审议，原则同意解决城区园林绿化购买社会服务养护经费。</w:t>
      </w:r>
    </w:p>
    <w:p w14:paraId="66BD8D0B">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项目经《乐山市金口河区人民政府关于&lt;关于解决城区园林绿化购买社会服务养护经费的请求&gt;》(金府复〔2024〕13号)文件批复预算资金370.44万元，通过政府采购，确定服务费总额为354.56万元。资金来源为财政资金。</w:t>
      </w:r>
    </w:p>
    <w:p w14:paraId="726B2F5A">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综上，该项目立项过程合规、立项依据充分，项目资金来源渠道符合相关规定，资金筹措程序科学规范。根据评分标准，总分6分，得6分</w:t>
      </w:r>
      <w:r>
        <w:rPr>
          <w:rFonts w:hint="eastAsia" w:ascii="仿宋_GB2312" w:hAnsi="宋体" w:eastAsia="仿宋_GB2312" w:cs="宋体"/>
          <w:b w:val="0"/>
          <w:color w:val="393939"/>
          <w:kern w:val="0"/>
          <w:sz w:val="32"/>
          <w:szCs w:val="32"/>
          <w:shd w:val="clear" w:color="auto" w:fill="FFFFFF"/>
          <w:lang w:val="en-US" w:eastAsia="zh-CN" w:bidi="en-US"/>
        </w:rPr>
        <w:t>。</w:t>
      </w:r>
    </w:p>
    <w:p w14:paraId="508C42DD">
      <w:pPr>
        <w:ind w:firstLine="640"/>
        <w:rPr>
          <w:rFonts w:hint="eastAsia" w:ascii="仿宋" w:hAnsi="仿宋" w:eastAsia="仿宋" w:cs="仿宋"/>
          <w:szCs w:val="32"/>
          <w:lang w:eastAsia="zh-CN"/>
        </w:rPr>
      </w:pPr>
      <w:r>
        <w:rPr>
          <w:rFonts w:hint="eastAsia" w:ascii="仿宋" w:hAnsi="仿宋" w:eastAsia="仿宋" w:cs="仿宋"/>
          <w:szCs w:val="32"/>
          <w:lang w:eastAsia="zh-CN"/>
        </w:rPr>
        <w:t>2.</w:t>
      </w:r>
      <w:r>
        <w:rPr>
          <w:rFonts w:hint="eastAsia" w:ascii="仿宋_GB2312" w:hAnsi="Times New Roman" w:eastAsia="仿宋_GB2312" w:cs="Times New Roman"/>
          <w:b w:val="0"/>
          <w:color w:val="000000"/>
          <w:kern w:val="0"/>
          <w:sz w:val="32"/>
          <w:szCs w:val="32"/>
          <w:lang w:val="en-US" w:eastAsia="zh-CN" w:bidi="en-US"/>
        </w:rPr>
        <w:t>项目成熟度</w:t>
      </w:r>
    </w:p>
    <w:p w14:paraId="66929210">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项目属于延续性项目。2019年区住建局通过购买社会服务的方式引入四川九蓉环境服务有限公司进行城市园林绿化管理维护，实现政府部门从“划桨”到“掌舵”的转变。自2020年起区住建局实行管护企业“常督查”“月考核”双制度，日常看管理、月底看成果，实现园林绿化建设科学有序推进，管理高水平高标准推进。2023年城区园林绿化购买社会服务养护经费预算金额73.66万元，2024年乐山市金口河区城区园林绿化购买社会服务养护项目</w:t>
      </w:r>
      <w:r>
        <w:rPr>
          <w:rFonts w:hint="eastAsia" w:ascii="仿宋_GB2312" w:cs="Times New Roman"/>
          <w:b w:val="0"/>
          <w:color w:val="000000"/>
          <w:kern w:val="0"/>
          <w:sz w:val="32"/>
          <w:szCs w:val="32"/>
          <w:lang w:val="en-US" w:eastAsia="zh-CN" w:bidi="en-US"/>
        </w:rPr>
        <w:t>三</w:t>
      </w:r>
      <w:r>
        <w:rPr>
          <w:rFonts w:hint="eastAsia" w:ascii="仿宋_GB2312" w:hAnsi="Times New Roman" w:eastAsia="仿宋_GB2312" w:cs="Times New Roman"/>
          <w:b w:val="0"/>
          <w:color w:val="000000"/>
          <w:kern w:val="0"/>
          <w:sz w:val="32"/>
          <w:szCs w:val="32"/>
          <w:lang w:val="en-US" w:eastAsia="zh-CN" w:bidi="en-US"/>
        </w:rPr>
        <w:t>年预算金额提高到370.44万元，体现了对该项目的重视和资金支持力度的加大。区住建局建立了较为完善的预算绩效管理机制，对资金使用情况进行跟踪、监督和评价，确保资金使用规范、高效</w:t>
      </w:r>
      <w:r>
        <w:rPr>
          <w:rFonts w:hint="eastAsia" w:ascii="仿宋_GB2312" w:hAnsi="宋体" w:eastAsia="仿宋_GB2312" w:cs="宋体"/>
          <w:b w:val="0"/>
          <w:color w:val="393939"/>
          <w:kern w:val="0"/>
          <w:sz w:val="32"/>
          <w:szCs w:val="32"/>
          <w:shd w:val="clear" w:color="auto" w:fill="FFFFFF"/>
          <w:lang w:val="en-US" w:eastAsia="zh-CN" w:bidi="en-US"/>
        </w:rPr>
        <w:t>。</w:t>
      </w:r>
    </w:p>
    <w:p w14:paraId="024DF103">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经过多年的实施，区住建局和第三方服务机构在项目实施过程中积累了一定的经验，对园林绿化养护的各个环节，如植物修剪、病虫害防治、浇水施肥等有了更深入的了解和掌握，能够更好地应对各种问题和挑战。</w:t>
      </w:r>
    </w:p>
    <w:p w14:paraId="0F5666B2">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综上，该项目审批手续完善，项目成熟度高。根据评分标准，总分9分，得9分</w:t>
      </w:r>
      <w:r>
        <w:rPr>
          <w:rFonts w:hint="eastAsia" w:ascii="仿宋_GB2312" w:hAnsi="宋体" w:eastAsia="仿宋_GB2312" w:cs="宋体"/>
          <w:b w:val="0"/>
          <w:color w:val="393939"/>
          <w:kern w:val="0"/>
          <w:sz w:val="32"/>
          <w:szCs w:val="32"/>
          <w:shd w:val="clear" w:color="auto" w:fill="FFFFFF"/>
          <w:lang w:val="en-US" w:eastAsia="zh-CN" w:bidi="en-US"/>
        </w:rPr>
        <w:t>。</w:t>
      </w:r>
    </w:p>
    <w:p w14:paraId="59FFB9B8">
      <w:pPr>
        <w:pStyle w:val="3"/>
        <w:numPr>
          <w:ilvl w:val="0"/>
          <w:numId w:val="3"/>
        </w:numPr>
        <w:spacing w:before="0" w:beforeLines="0" w:after="0" w:afterLines="0"/>
        <w:ind w:left="0" w:firstLine="658" w:firstLineChars="0"/>
        <w:rPr>
          <w:rFonts w:hint="eastAsia" w:ascii="仿宋_GB2312" w:hAnsi="宋体" w:eastAsia="仿宋_GB2312" w:cs="宋体"/>
          <w:b w:val="0"/>
          <w:color w:val="393939"/>
          <w:kern w:val="0"/>
          <w:sz w:val="32"/>
          <w:szCs w:val="32"/>
          <w:shd w:val="clear" w:color="auto" w:fill="FFFFFF"/>
          <w:lang w:val="en-US" w:eastAsia="zh-CN" w:bidi="en-US"/>
        </w:rPr>
      </w:pPr>
      <w:bookmarkStart w:id="219" w:name="_Toc20517"/>
      <w:r>
        <w:rPr>
          <w:rFonts w:hint="eastAsia" w:ascii="仿宋_GB2312" w:hAnsi="Times New Roman" w:eastAsia="仿宋_GB2312" w:cs="Times New Roman"/>
          <w:b w:val="0"/>
          <w:color w:val="000000"/>
          <w:kern w:val="0"/>
          <w:sz w:val="32"/>
          <w:szCs w:val="32"/>
          <w:lang w:val="en-US" w:eastAsia="zh-CN" w:bidi="en-US"/>
        </w:rPr>
        <w:t>项目资金来源和到位可行性</w:t>
      </w:r>
      <w:bookmarkEnd w:id="219"/>
    </w:p>
    <w:p w14:paraId="62D9F3E8">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项目资金来源和到位可行性方面，指标总分15分，评估得分15分。具体如下</w:t>
      </w:r>
      <w:r>
        <w:rPr>
          <w:rFonts w:ascii="仿宋" w:hAnsi="仿宋" w:eastAsia="仿宋" w:cs="仿宋"/>
          <w:szCs w:val="32"/>
          <w:lang w:eastAsia="zh-CN"/>
        </w:rPr>
        <w:t>：</w:t>
      </w:r>
    </w:p>
    <w:p w14:paraId="7BBB6B7F">
      <w:pPr>
        <w:ind w:firstLine="640"/>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资金来源可行性</w:t>
      </w:r>
    </w:p>
    <w:p w14:paraId="3A38119B">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城区园林绿化购买社会养护服务项目资金经《乐山市金口河区人民政府关于&lt;关于解决城区园林绿化购买社会服务养护经费的请求&gt;》(金府复〔2024〕13号)文件批复，资金来源为财政资金，资金来源渠道符合相关规定。资金筹措程序符合科学规范，资金申请额度经过科学测算。根据评分标准，总分3分，得3分</w:t>
      </w:r>
      <w:r>
        <w:rPr>
          <w:rFonts w:hint="eastAsia" w:ascii="仿宋_GB2312" w:hAnsi="宋体" w:eastAsia="仿宋_GB2312" w:cs="宋体"/>
          <w:b w:val="0"/>
          <w:color w:val="393939"/>
          <w:kern w:val="0"/>
          <w:sz w:val="32"/>
          <w:szCs w:val="32"/>
          <w:shd w:val="clear" w:color="auto" w:fill="FFFFFF"/>
          <w:lang w:val="en-US" w:eastAsia="zh-CN" w:bidi="en-US"/>
        </w:rPr>
        <w:t>。</w:t>
      </w:r>
    </w:p>
    <w:p w14:paraId="50D83560">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 w:hAnsi="仿宋" w:eastAsia="仿宋" w:cs="仿宋"/>
          <w:szCs w:val="32"/>
          <w:lang w:eastAsia="zh-CN"/>
        </w:rPr>
        <w:t>2.</w:t>
      </w:r>
      <w:r>
        <w:rPr>
          <w:rFonts w:hint="eastAsia" w:ascii="仿宋_GB2312" w:hAnsi="Times New Roman" w:eastAsia="仿宋_GB2312" w:cs="Times New Roman"/>
          <w:b w:val="0"/>
          <w:color w:val="000000"/>
          <w:kern w:val="0"/>
          <w:sz w:val="32"/>
          <w:szCs w:val="32"/>
          <w:lang w:val="en-US" w:eastAsia="zh-CN" w:bidi="en-US"/>
        </w:rPr>
        <w:t>资金到位可行性</w:t>
      </w:r>
    </w:p>
    <w:p w14:paraId="5D7A4030">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本项目资金来源为政府资金，经《乐山市金口河区人民政府关于&lt;关于解决城区园林绿化购买社会服务养护经费的请求&gt;》(金府复〔2024〕13号)文件批复，总投资估算370.44万元。截止</w:t>
      </w:r>
      <w:r>
        <w:rPr>
          <w:rFonts w:hint="eastAsia" w:ascii="仿宋_GB2312" w:cs="Times New Roman"/>
          <w:b w:val="0"/>
          <w:color w:val="000000"/>
          <w:kern w:val="0"/>
          <w:sz w:val="32"/>
          <w:szCs w:val="32"/>
          <w:lang w:val="en-US" w:eastAsia="zh-CN" w:bidi="en-US"/>
        </w:rPr>
        <w:t>2025年</w:t>
      </w:r>
      <w:r>
        <w:rPr>
          <w:rFonts w:hint="eastAsia" w:ascii="仿宋_GB2312" w:cs="Times New Roman"/>
          <w:b w:val="0"/>
          <w:color w:val="000000"/>
          <w:kern w:val="0"/>
          <w:sz w:val="32"/>
          <w:szCs w:val="32"/>
          <w:highlight w:val="none"/>
          <w:lang w:val="en-US" w:eastAsia="zh-CN" w:bidi="en-US"/>
        </w:rPr>
        <w:t>1</w:t>
      </w:r>
      <w:r>
        <w:rPr>
          <w:rFonts w:hint="eastAsia" w:ascii="仿宋_GB2312" w:hAnsi="Times New Roman" w:eastAsia="仿宋_GB2312" w:cs="Times New Roman"/>
          <w:b w:val="0"/>
          <w:color w:val="000000"/>
          <w:kern w:val="0"/>
          <w:sz w:val="32"/>
          <w:szCs w:val="32"/>
          <w:highlight w:val="none"/>
          <w:lang w:val="en-US" w:eastAsia="zh-CN" w:bidi="en-US"/>
        </w:rPr>
        <w:t>月</w:t>
      </w:r>
      <w:r>
        <w:rPr>
          <w:rFonts w:hint="eastAsia" w:ascii="仿宋_GB2312" w:cs="Times New Roman"/>
          <w:b w:val="0"/>
          <w:color w:val="000000"/>
          <w:kern w:val="0"/>
          <w:sz w:val="32"/>
          <w:szCs w:val="32"/>
          <w:highlight w:val="none"/>
          <w:lang w:val="en-US" w:eastAsia="zh-CN" w:bidi="en-US"/>
        </w:rPr>
        <w:t>26</w:t>
      </w:r>
      <w:r>
        <w:rPr>
          <w:rFonts w:hint="eastAsia" w:ascii="仿宋_GB2312" w:hAnsi="Times New Roman" w:eastAsia="仿宋_GB2312" w:cs="Times New Roman"/>
          <w:b w:val="0"/>
          <w:color w:val="000000"/>
          <w:kern w:val="0"/>
          <w:sz w:val="32"/>
          <w:szCs w:val="32"/>
          <w:highlight w:val="none"/>
          <w:lang w:val="en-US" w:eastAsia="zh-CN" w:bidi="en-US"/>
        </w:rPr>
        <w:t>日项目资金到位40万元，有明确的到位时间，虽未足额到位，但该项目由财政资金支付，资金到位有保障。项目资金通过财政资金支付凭</w:t>
      </w:r>
      <w:r>
        <w:rPr>
          <w:rFonts w:hint="eastAsia" w:ascii="仿宋_GB2312" w:hAnsi="Times New Roman" w:eastAsia="仿宋_GB2312" w:cs="Times New Roman"/>
          <w:b w:val="0"/>
          <w:color w:val="000000"/>
          <w:kern w:val="0"/>
          <w:sz w:val="32"/>
          <w:szCs w:val="32"/>
          <w:lang w:val="en-US" w:eastAsia="zh-CN" w:bidi="en-US"/>
        </w:rPr>
        <w:t>证，经相关人员签字确定后通过国库集中支付，具备资金拨付相关条件。根据评分标准，总分12分，得12分</w:t>
      </w:r>
      <w:r>
        <w:rPr>
          <w:rFonts w:hint="eastAsia" w:ascii="仿宋_GB2312" w:hAnsi="宋体" w:eastAsia="仿宋_GB2312" w:cs="宋体"/>
          <w:b w:val="0"/>
          <w:color w:val="393939"/>
          <w:kern w:val="0"/>
          <w:sz w:val="32"/>
          <w:szCs w:val="32"/>
          <w:shd w:val="clear" w:color="auto" w:fill="FFFFFF"/>
          <w:lang w:val="en-US" w:eastAsia="zh-CN" w:bidi="en-US"/>
        </w:rPr>
        <w:t>。</w:t>
      </w:r>
    </w:p>
    <w:p w14:paraId="1348D9EF">
      <w:pPr>
        <w:pStyle w:val="3"/>
        <w:numPr>
          <w:ilvl w:val="0"/>
          <w:numId w:val="3"/>
        </w:numPr>
        <w:spacing w:before="0" w:beforeLines="0" w:after="0" w:afterLines="0"/>
        <w:ind w:left="0" w:firstLine="658" w:firstLineChars="0"/>
        <w:rPr>
          <w:rFonts w:hint="eastAsia" w:ascii="仿宋_GB2312" w:hAnsi="Times New Roman" w:eastAsia="仿宋_GB2312" w:cs="Times New Roman"/>
          <w:b w:val="0"/>
          <w:color w:val="000000"/>
          <w:kern w:val="0"/>
          <w:sz w:val="32"/>
          <w:szCs w:val="32"/>
          <w:lang w:val="en-US" w:eastAsia="zh-CN" w:bidi="en-US"/>
        </w:rPr>
      </w:pPr>
      <w:bookmarkStart w:id="220" w:name="OLE_LINK5"/>
      <w:bookmarkStart w:id="221" w:name="_Toc3169"/>
      <w:r>
        <w:rPr>
          <w:rFonts w:hint="eastAsia" w:ascii="仿宋_GB2312" w:hAnsi="Times New Roman" w:eastAsia="仿宋_GB2312" w:cs="Times New Roman"/>
          <w:b w:val="0"/>
          <w:color w:val="000000"/>
          <w:kern w:val="0"/>
          <w:sz w:val="32"/>
          <w:szCs w:val="32"/>
          <w:lang w:val="en-US" w:eastAsia="zh-CN" w:bidi="en-US"/>
        </w:rPr>
        <w:t>资金使用计划合理性</w:t>
      </w:r>
      <w:bookmarkEnd w:id="220"/>
      <w:r>
        <w:rPr>
          <w:rFonts w:hint="eastAsia" w:ascii="仿宋_GB2312" w:hAnsi="Times New Roman" w:eastAsia="仿宋_GB2312" w:cs="Times New Roman"/>
          <w:b w:val="0"/>
          <w:color w:val="000000"/>
          <w:kern w:val="0"/>
          <w:sz w:val="32"/>
          <w:szCs w:val="32"/>
          <w:lang w:val="en-US" w:eastAsia="zh-CN" w:bidi="en-US"/>
        </w:rPr>
        <w:t>、资金到位及时性</w:t>
      </w:r>
      <w:bookmarkEnd w:id="221"/>
    </w:p>
    <w:p w14:paraId="152A5942">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资金使用计划合理性、资金到位及时性方面，指标总分12分，评估得分6分。具体如下</w:t>
      </w:r>
      <w:r>
        <w:rPr>
          <w:rFonts w:ascii="仿宋" w:hAnsi="仿宋" w:eastAsia="仿宋" w:cs="仿宋"/>
          <w:szCs w:val="32"/>
          <w:lang w:eastAsia="zh-CN"/>
        </w:rPr>
        <w:t>：</w:t>
      </w:r>
    </w:p>
    <w:p w14:paraId="1DF4417E">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资金使用计划合理性</w:t>
      </w:r>
    </w:p>
    <w:p w14:paraId="133246DA">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本项目资金使用计划在乐山市金口河区住房和城乡建设局与四川省金和盛建设投资有限公司双方签定的《乐山市金口河区城区园林绿化购买社会服务养护项目采购合同》中约定，结合考评、考核结果，按季度支付服务费用，在每季度结束后次月10日前凭开具的增值税专用发票支付，使用计划合理。根据评分标准，总分6分，得6分</w:t>
      </w:r>
      <w:r>
        <w:rPr>
          <w:rFonts w:hint="eastAsia" w:ascii="仿宋" w:hAnsi="仿宋" w:eastAsia="仿宋" w:cs="仿宋"/>
          <w:szCs w:val="32"/>
          <w:lang w:eastAsia="zh-CN"/>
        </w:rPr>
        <w:t>。</w:t>
      </w:r>
    </w:p>
    <w:p w14:paraId="616439F2">
      <w:pPr>
        <w:ind w:firstLine="640"/>
        <w:rPr>
          <w:rFonts w:hint="eastAsia" w:ascii="仿宋" w:hAnsi="仿宋" w:eastAsia="仿宋" w:cs="仿宋"/>
          <w:szCs w:val="32"/>
          <w:lang w:eastAsia="zh-CN"/>
        </w:rPr>
      </w:pPr>
      <w:r>
        <w:rPr>
          <w:rFonts w:hint="eastAsia" w:ascii="仿宋" w:hAnsi="仿宋" w:eastAsia="仿宋" w:cs="仿宋"/>
          <w:szCs w:val="32"/>
          <w:lang w:eastAsia="zh-CN"/>
        </w:rPr>
        <w:t>2.</w:t>
      </w:r>
      <w:r>
        <w:rPr>
          <w:rFonts w:hint="eastAsia" w:ascii="仿宋_GB2312" w:hAnsi="Times New Roman" w:eastAsia="仿宋_GB2312" w:cs="Times New Roman"/>
          <w:b w:val="0"/>
          <w:color w:val="000000"/>
          <w:kern w:val="0"/>
          <w:sz w:val="32"/>
          <w:szCs w:val="32"/>
          <w:lang w:val="en-US" w:eastAsia="zh-CN" w:bidi="en-US"/>
        </w:rPr>
        <w:t>资金到位及时性</w:t>
      </w:r>
    </w:p>
    <w:p w14:paraId="5B4B9083">
      <w:pPr>
        <w:ind w:firstLine="640"/>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项目资金为政府资金，总投资估算354.56万元。截止2025年1月26日项目资金到位40万元。具体到位时间如下</w:t>
      </w:r>
      <w:r>
        <w:rPr>
          <w:rFonts w:hint="eastAsia" w:ascii="仿宋" w:hAnsi="仿宋" w:eastAsia="仿宋" w:cs="仿宋"/>
          <w:szCs w:val="32"/>
          <w:lang w:eastAsia="zh-CN"/>
        </w:rPr>
        <w:t>：</w:t>
      </w:r>
    </w:p>
    <w:p w14:paraId="2A29944E">
      <w:pPr>
        <w:ind w:firstLine="0" w:firstLineChars="0"/>
        <w:jc w:val="center"/>
        <w:rPr>
          <w:rFonts w:hint="eastAsia" w:ascii="仿宋" w:hAnsi="仿宋" w:eastAsia="仿宋" w:cs="仿宋"/>
          <w:bCs/>
          <w:szCs w:val="32"/>
          <w:lang w:eastAsia="zh-CN"/>
        </w:rPr>
      </w:pPr>
      <w:r>
        <w:rPr>
          <w:rFonts w:hint="eastAsia" w:ascii="仿宋_GB2312" w:hAnsi="Times New Roman" w:eastAsia="仿宋_GB2312" w:cs="Times New Roman"/>
          <w:b w:val="0"/>
          <w:color w:val="000000"/>
          <w:kern w:val="0"/>
          <w:sz w:val="32"/>
          <w:szCs w:val="32"/>
          <w:lang w:val="en-US" w:eastAsia="zh-CN" w:bidi="en-US"/>
        </w:rPr>
        <w:t>资金到位时间表</w:t>
      </w:r>
    </w:p>
    <w:tbl>
      <w:tblPr>
        <w:tblStyle w:val="22"/>
        <w:tblpPr w:leftFromText="180" w:rightFromText="180" w:vertAnchor="text" w:horzAnchor="page" w:tblpX="2051" w:tblpY="222"/>
        <w:tblOverlap w:val="never"/>
        <w:tblW w:w="8716" w:type="dxa"/>
        <w:tblInd w:w="0" w:type="dxa"/>
        <w:tblLayout w:type="fixed"/>
        <w:tblCellMar>
          <w:top w:w="0" w:type="dxa"/>
          <w:left w:w="108" w:type="dxa"/>
          <w:bottom w:w="0" w:type="dxa"/>
          <w:right w:w="108" w:type="dxa"/>
        </w:tblCellMar>
      </w:tblPr>
      <w:tblGrid>
        <w:gridCol w:w="514"/>
        <w:gridCol w:w="985"/>
        <w:gridCol w:w="1125"/>
        <w:gridCol w:w="1230"/>
        <w:gridCol w:w="1159"/>
        <w:gridCol w:w="1181"/>
        <w:gridCol w:w="1268"/>
        <w:gridCol w:w="1254"/>
      </w:tblGrid>
      <w:tr w14:paraId="090BAC0E">
        <w:tblPrEx>
          <w:tblCellMar>
            <w:top w:w="0" w:type="dxa"/>
            <w:left w:w="108" w:type="dxa"/>
            <w:bottom w:w="0" w:type="dxa"/>
            <w:right w:w="108" w:type="dxa"/>
          </w:tblCellMar>
        </w:tblPrEx>
        <w:trPr>
          <w:trHeight w:val="567" w:hRule="atLeast"/>
          <w:tblHeader/>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D50">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132D">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项目内容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F34">
            <w:pPr>
              <w:spacing w:line="240" w:lineRule="exact"/>
              <w:ind w:left="-58" w:leftChars="-18" w:right="-96" w:rightChars="-3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服务费所属期间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EC8">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合同约定服务费用</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1397">
            <w:pPr>
              <w:spacing w:line="240" w:lineRule="exact"/>
              <w:ind w:firstLine="0" w:firstLineChars="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发票</w:t>
            </w:r>
          </w:p>
          <w:p w14:paraId="232174B0">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金额</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FE1">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val="en-US" w:eastAsia="zh-CN"/>
              </w:rPr>
              <w:t>实际到位</w:t>
            </w:r>
            <w:r>
              <w:rPr>
                <w:rFonts w:hint="eastAsia" w:ascii="仿宋" w:hAnsi="仿宋" w:eastAsia="仿宋" w:cs="仿宋"/>
                <w:bCs/>
                <w:sz w:val="24"/>
                <w:lang w:eastAsia="zh-CN"/>
              </w:rPr>
              <w:t>（万元）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1785">
            <w:pPr>
              <w:spacing w:line="240" w:lineRule="exact"/>
              <w:ind w:left="-118" w:leftChars="-37" w:right="-128" w:rightChars="-4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开票时间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1833">
            <w:pPr>
              <w:spacing w:line="240" w:lineRule="exact"/>
              <w:ind w:left="-118" w:leftChars="-37" w:right="-128" w:rightChars="-40"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支付时间</w:t>
            </w:r>
          </w:p>
        </w:tc>
      </w:tr>
      <w:tr w14:paraId="6002A136">
        <w:tblPrEx>
          <w:tblCellMar>
            <w:top w:w="0" w:type="dxa"/>
            <w:left w:w="108" w:type="dxa"/>
            <w:bottom w:w="0" w:type="dxa"/>
            <w:right w:w="108" w:type="dxa"/>
          </w:tblCellMar>
        </w:tblPrEx>
        <w:trPr>
          <w:trHeight w:val="567"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8E9">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1</w:t>
            </w:r>
          </w:p>
        </w:tc>
        <w:tc>
          <w:tcPr>
            <w:tcW w:w="985" w:type="dxa"/>
            <w:vMerge w:val="restart"/>
            <w:tcBorders>
              <w:top w:val="single" w:color="000000" w:sz="4" w:space="0"/>
              <w:left w:val="single" w:color="000000" w:sz="4" w:space="0"/>
              <w:right w:val="single" w:color="000000" w:sz="4" w:space="0"/>
            </w:tcBorders>
            <w:shd w:val="clear" w:color="auto" w:fill="auto"/>
            <w:vAlign w:val="center"/>
          </w:tcPr>
          <w:p w14:paraId="04721963">
            <w:pPr>
              <w:spacing w:line="240" w:lineRule="exact"/>
              <w:ind w:firstLine="0" w:firstLineChars="0"/>
              <w:rPr>
                <w:rFonts w:hint="eastAsia" w:ascii="仿宋" w:hAnsi="仿宋" w:eastAsia="仿宋" w:cs="仿宋"/>
                <w:bCs/>
                <w:sz w:val="24"/>
                <w:lang w:eastAsia="zh-CN"/>
              </w:rPr>
            </w:pPr>
            <w:r>
              <w:rPr>
                <w:rFonts w:hint="eastAsia" w:ascii="仿宋" w:hAnsi="仿宋" w:eastAsia="仿宋" w:cs="仿宋"/>
                <w:bCs/>
                <w:sz w:val="24"/>
                <w:highlight w:val="none"/>
                <w:lang w:val="en-US" w:eastAsia="zh-CN"/>
              </w:rPr>
              <w:t>城区园林绿化购买社会服务养护项目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E47">
            <w:pPr>
              <w:spacing w:line="240" w:lineRule="exact"/>
              <w:ind w:left="-118" w:leftChars="-37" w:right="-128" w:rightChars="-40" w:firstLine="0" w:firstLineChars="0"/>
              <w:jc w:val="center"/>
              <w:rPr>
                <w:rFonts w:hint="eastAsia" w:ascii="仿宋" w:hAnsi="仿宋" w:eastAsia="仿宋" w:cs="仿宋"/>
                <w:bCs/>
                <w:color w:val="000000"/>
                <w:sz w:val="24"/>
                <w:szCs w:val="24"/>
                <w:lang w:val="en-US" w:eastAsia="zh-CN" w:bidi="en-US"/>
              </w:rPr>
            </w:pPr>
            <w:r>
              <w:rPr>
                <w:rFonts w:hint="eastAsia" w:ascii="仿宋" w:hAnsi="仿宋" w:eastAsia="仿宋" w:cs="仿宋"/>
                <w:bCs/>
                <w:sz w:val="24"/>
                <w:lang w:val="en-US" w:eastAsia="zh-CN"/>
              </w:rPr>
              <w:t>2024.5月至10月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3F1">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59.0933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62D">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57.3178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6A8">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407">
            <w:pPr>
              <w:spacing w:line="240" w:lineRule="exact"/>
              <w:ind w:left="-118" w:leftChars="-37" w:right="-128" w:rightChars="-4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2025.1.20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A4F3">
            <w:pPr>
              <w:spacing w:line="240" w:lineRule="exact"/>
              <w:ind w:left="-118" w:leftChars="-37" w:right="-128" w:rightChars="-4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eastAsia="zh-CN"/>
              </w:rPr>
              <w:t>202</w:t>
            </w:r>
            <w:r>
              <w:rPr>
                <w:rFonts w:hint="eastAsia" w:ascii="仿宋" w:hAnsi="仿宋" w:eastAsia="仿宋" w:cs="仿宋"/>
                <w:bCs/>
                <w:sz w:val="24"/>
                <w:lang w:val="en-US" w:eastAsia="zh-CN"/>
              </w:rPr>
              <w:t>5</w:t>
            </w: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lang w:val="en-US" w:eastAsia="zh-CN"/>
              </w:rPr>
              <w:t>26</w:t>
            </w:r>
          </w:p>
        </w:tc>
      </w:tr>
      <w:tr w14:paraId="27F85043">
        <w:tblPrEx>
          <w:tblCellMar>
            <w:top w:w="0" w:type="dxa"/>
            <w:left w:w="108" w:type="dxa"/>
            <w:bottom w:w="0" w:type="dxa"/>
            <w:right w:w="108" w:type="dxa"/>
          </w:tblCellMar>
        </w:tblPrEx>
        <w:trPr>
          <w:trHeight w:val="567"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3E8E">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w:t>
            </w:r>
          </w:p>
        </w:tc>
        <w:tc>
          <w:tcPr>
            <w:tcW w:w="985" w:type="dxa"/>
            <w:vMerge w:val="continue"/>
            <w:tcBorders>
              <w:left w:val="single" w:color="000000" w:sz="4" w:space="0"/>
              <w:bottom w:val="single" w:color="000000" w:sz="4" w:space="0"/>
              <w:right w:val="single" w:color="000000" w:sz="4" w:space="0"/>
            </w:tcBorders>
            <w:shd w:val="clear" w:color="auto" w:fill="auto"/>
            <w:vAlign w:val="center"/>
          </w:tcPr>
          <w:p w14:paraId="30EB8240">
            <w:pPr>
              <w:spacing w:line="240" w:lineRule="exact"/>
              <w:ind w:firstLine="0" w:firstLineChars="0"/>
              <w:rPr>
                <w:rFonts w:hint="eastAsia" w:ascii="仿宋" w:hAnsi="仿宋" w:eastAsia="仿宋" w:cs="仿宋"/>
                <w:bCs/>
                <w:sz w:val="24"/>
                <w:highlight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5BD">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2024.10至2025.1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233E">
            <w:pPr>
              <w:spacing w:line="240" w:lineRule="exact"/>
              <w:ind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29.5467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09C">
            <w:pPr>
              <w:spacing w:line="240" w:lineRule="exact"/>
              <w:ind w:firstLine="0" w:firstLineChars="0"/>
              <w:jc w:val="center"/>
              <w:rPr>
                <w:rFonts w:hint="default" w:ascii="仿宋" w:hAnsi="仿宋" w:eastAsia="仿宋" w:cs="仿宋"/>
                <w:bCs/>
                <w:sz w:val="24"/>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4EA0">
            <w:pPr>
              <w:spacing w:line="240" w:lineRule="exact"/>
              <w:ind w:firstLine="0" w:firstLineChars="0"/>
              <w:jc w:val="center"/>
              <w:rPr>
                <w:rFonts w:hint="eastAsia" w:ascii="仿宋" w:hAnsi="仿宋" w:eastAsia="仿宋" w:cs="仿宋"/>
                <w:bCs/>
                <w:sz w:val="24"/>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BBB1">
            <w:pPr>
              <w:spacing w:line="240" w:lineRule="exact"/>
              <w:ind w:left="-118" w:leftChars="-37" w:right="-128" w:rightChars="-40" w:firstLine="0" w:firstLineChars="0"/>
              <w:jc w:val="center"/>
              <w:rPr>
                <w:rFonts w:hint="eastAsia" w:ascii="仿宋" w:hAnsi="仿宋" w:eastAsia="仿宋" w:cs="仿宋"/>
                <w:bCs/>
                <w:sz w:val="24"/>
                <w:lang w:val="en-US" w:eastAsia="zh-CN"/>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102">
            <w:pPr>
              <w:spacing w:line="240" w:lineRule="exact"/>
              <w:ind w:left="-118" w:leftChars="-37" w:right="-128" w:rightChars="-40" w:firstLine="0" w:firstLineChars="0"/>
              <w:jc w:val="center"/>
              <w:rPr>
                <w:rFonts w:hint="eastAsia" w:ascii="仿宋" w:hAnsi="仿宋" w:eastAsia="仿宋" w:cs="仿宋"/>
                <w:bCs/>
                <w:sz w:val="24"/>
                <w:lang w:eastAsia="zh-CN"/>
              </w:rPr>
            </w:pPr>
          </w:p>
        </w:tc>
      </w:tr>
      <w:tr w14:paraId="377CC2FD">
        <w:tblPrEx>
          <w:tblCellMar>
            <w:top w:w="0" w:type="dxa"/>
            <w:left w:w="108" w:type="dxa"/>
            <w:bottom w:w="0" w:type="dxa"/>
            <w:right w:w="108" w:type="dxa"/>
          </w:tblCellMar>
        </w:tblPrEx>
        <w:trPr>
          <w:trHeight w:val="567"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513C">
            <w:pPr>
              <w:spacing w:line="240" w:lineRule="exact"/>
              <w:ind w:firstLine="0" w:firstLineChars="0"/>
              <w:jc w:val="center"/>
              <w:rPr>
                <w:rFonts w:hint="eastAsia" w:ascii="仿宋" w:hAnsi="仿宋" w:eastAsia="仿宋" w:cs="仿宋"/>
                <w:bCs/>
                <w:sz w:val="24"/>
                <w:lang w:eastAsia="zh-CN"/>
              </w:rPr>
            </w:pPr>
            <w:r>
              <w:rPr>
                <w:rFonts w:hint="eastAsia" w:ascii="仿宋" w:hAnsi="仿宋" w:eastAsia="仿宋" w:cs="仿宋"/>
                <w:bCs/>
                <w:sz w:val="24"/>
                <w:lang w:eastAsia="zh-CN"/>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EFB">
            <w:pPr>
              <w:spacing w:line="240" w:lineRule="exact"/>
              <w:ind w:left="-118" w:leftChars="-37" w:right="-128" w:rightChars="-40" w:firstLine="0" w:firstLineChars="0"/>
              <w:jc w:val="center"/>
              <w:rPr>
                <w:rFonts w:hint="eastAsia" w:ascii="仿宋" w:hAnsi="仿宋" w:eastAsia="仿宋" w:cs="仿宋"/>
                <w:bCs/>
                <w:sz w:val="24"/>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EA11">
            <w:pPr>
              <w:spacing w:line="240" w:lineRule="exact"/>
              <w:ind w:left="-118" w:leftChars="-37" w:right="-128" w:rightChars="-4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88.64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D44E">
            <w:pPr>
              <w:spacing w:line="240" w:lineRule="exact"/>
              <w:ind w:left="-118" w:leftChars="-37" w:right="-128" w:rightChars="-40" w:firstLine="0" w:firstLineChars="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57.3178</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95CD">
            <w:pPr>
              <w:spacing w:line="240" w:lineRule="exact"/>
              <w:ind w:left="-118" w:leftChars="-37" w:right="-128" w:rightChars="-40" w:firstLine="0" w:firstLineChars="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51E2">
            <w:pPr>
              <w:spacing w:line="240" w:lineRule="exact"/>
              <w:ind w:left="-118" w:leftChars="-37" w:right="-128" w:rightChars="-40" w:firstLine="0" w:firstLineChars="0"/>
              <w:jc w:val="center"/>
              <w:rPr>
                <w:rFonts w:hint="eastAsia" w:ascii="仿宋" w:hAnsi="仿宋" w:eastAsia="仿宋" w:cs="仿宋"/>
                <w:bCs/>
                <w:sz w:val="24"/>
                <w:lang w:eastAsia="zh-CN"/>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89CD">
            <w:pPr>
              <w:spacing w:line="240" w:lineRule="exact"/>
              <w:ind w:left="-118" w:leftChars="-37" w:right="-128" w:rightChars="-40" w:firstLine="0" w:firstLineChars="0"/>
              <w:jc w:val="center"/>
              <w:rPr>
                <w:rFonts w:hint="eastAsia" w:ascii="仿宋" w:hAnsi="仿宋" w:eastAsia="仿宋" w:cs="仿宋"/>
                <w:bCs/>
                <w:sz w:val="24"/>
                <w:lang w:eastAsia="zh-CN"/>
              </w:rPr>
            </w:pPr>
          </w:p>
        </w:tc>
      </w:tr>
    </w:tbl>
    <w:p w14:paraId="5D367DCF">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根据《乐山市金口河区城区园林绿化购买社会服务养护项目采购合同》第三条约定，按季度支付服务费用，在每季度结束后次月10日前凭开具的增值税专用发票支付。由上表可知，截止2025年2月10日合同约定应到位88.64万元，发票开具金额57.3178万元，截止2月10日项目资金实际到位40万元，资金未足额到位。根据评分标准，总分6分，得0分</w:t>
      </w:r>
      <w:r>
        <w:rPr>
          <w:rFonts w:hint="eastAsia" w:ascii="仿宋_GB2312" w:hAnsi="宋体" w:eastAsia="仿宋_GB2312" w:cs="宋体"/>
          <w:b w:val="0"/>
          <w:color w:val="393939"/>
          <w:kern w:val="0"/>
          <w:sz w:val="32"/>
          <w:szCs w:val="32"/>
          <w:shd w:val="clear" w:color="auto" w:fill="FFFFFF"/>
          <w:lang w:val="en-US" w:eastAsia="zh-CN" w:bidi="en-US"/>
        </w:rPr>
        <w:t>。</w:t>
      </w:r>
    </w:p>
    <w:p w14:paraId="2A0580CD">
      <w:pPr>
        <w:pStyle w:val="3"/>
        <w:numPr>
          <w:ilvl w:val="0"/>
          <w:numId w:val="3"/>
        </w:numPr>
        <w:spacing w:before="0" w:beforeLines="0" w:after="0" w:afterLines="0"/>
        <w:ind w:firstLineChars="0"/>
        <w:rPr>
          <w:rFonts w:hint="eastAsia" w:ascii="仿宋" w:hAnsi="仿宋" w:eastAsia="仿宋" w:cs="仿宋"/>
          <w:b w:val="0"/>
          <w:szCs w:val="32"/>
          <w:lang w:eastAsia="zh-CN"/>
        </w:rPr>
      </w:pPr>
      <w:bookmarkStart w:id="222" w:name="_Toc31193"/>
      <w:r>
        <w:rPr>
          <w:rFonts w:hint="eastAsia" w:ascii="仿宋_GB2312" w:hAnsi="Times New Roman" w:eastAsia="仿宋_GB2312" w:cs="Times New Roman"/>
          <w:b w:val="0"/>
          <w:color w:val="000000"/>
          <w:kern w:val="0"/>
          <w:sz w:val="32"/>
          <w:szCs w:val="32"/>
          <w:lang w:val="en-US" w:eastAsia="zh-CN" w:bidi="en-US"/>
        </w:rPr>
        <w:t>项目绩效目标明确性、合理性</w:t>
      </w:r>
      <w:bookmarkEnd w:id="222"/>
    </w:p>
    <w:p w14:paraId="20608ADA">
      <w:pPr>
        <w:ind w:firstLine="640"/>
        <w:rPr>
          <w:rFonts w:hint="eastAsia" w:ascii="仿宋" w:hAnsi="仿宋" w:eastAsia="仿宋" w:cs="仿宋"/>
          <w:szCs w:val="32"/>
          <w:lang w:eastAsia="zh-CN"/>
        </w:rPr>
      </w:pPr>
      <w:bookmarkStart w:id="223" w:name="OLE_LINK6"/>
      <w:r>
        <w:rPr>
          <w:rFonts w:hint="eastAsia" w:ascii="仿宋_GB2312" w:hAnsi="Times New Roman" w:eastAsia="仿宋_GB2312" w:cs="Times New Roman"/>
          <w:b w:val="0"/>
          <w:color w:val="000000"/>
          <w:kern w:val="0"/>
          <w:sz w:val="32"/>
          <w:szCs w:val="32"/>
          <w:lang w:val="en-US" w:eastAsia="zh-CN" w:bidi="en-US"/>
        </w:rPr>
        <w:t>项目绩效目标明确性、合理性方面，指标总分13分，评估得分13分。具体如下</w:t>
      </w:r>
      <w:r>
        <w:rPr>
          <w:rFonts w:hint="eastAsia" w:ascii="仿宋" w:hAnsi="仿宋" w:eastAsia="仿宋" w:cs="仿宋"/>
          <w:szCs w:val="32"/>
          <w:lang w:eastAsia="zh-CN"/>
        </w:rPr>
        <w:t>：</w:t>
      </w:r>
      <w:bookmarkEnd w:id="223"/>
    </w:p>
    <w:p w14:paraId="3197872C">
      <w:pPr>
        <w:ind w:firstLine="640"/>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绩效目标明确性</w:t>
      </w:r>
    </w:p>
    <w:p w14:paraId="263C24D2">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本次事前绩效评估根据《</w:t>
      </w:r>
      <w:r>
        <w:rPr>
          <w:rFonts w:hint="eastAsia" w:ascii="仿宋_GB2312" w:hAnsi="Times New Roman" w:eastAsia="仿宋_GB2312" w:cs="Times New Roman"/>
          <w:b w:val="0"/>
          <w:color w:val="000000"/>
          <w:kern w:val="0"/>
          <w:sz w:val="32"/>
          <w:szCs w:val="32"/>
          <w:lang w:val="en-US" w:eastAsia="zh-CN" w:bidi="en-US"/>
        </w:rPr>
        <w:fldChar w:fldCharType="begin"/>
      </w:r>
      <w:r>
        <w:rPr>
          <w:rFonts w:hint="eastAsia" w:ascii="仿宋_GB2312" w:hAnsi="Times New Roman" w:eastAsia="仿宋_GB2312" w:cs="Times New Roman"/>
          <w:b w:val="0"/>
          <w:color w:val="000000"/>
          <w:kern w:val="0"/>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_GB2312" w:hAnsi="Times New Roman" w:eastAsia="仿宋_GB2312" w:cs="Times New Roman"/>
          <w:b w:val="0"/>
          <w:color w:val="000000"/>
          <w:kern w:val="0"/>
          <w:sz w:val="32"/>
          <w:szCs w:val="32"/>
          <w:lang w:val="en-US" w:eastAsia="zh-CN" w:bidi="en-US"/>
        </w:rPr>
        <w:fldChar w:fldCharType="separate"/>
      </w:r>
      <w:r>
        <w:rPr>
          <w:rFonts w:hint="eastAsia" w:ascii="仿宋_GB2312" w:hAnsi="Times New Roman" w:eastAsia="仿宋_GB2312" w:cs="Times New Roman"/>
          <w:b w:val="0"/>
          <w:color w:val="000000"/>
          <w:kern w:val="0"/>
          <w:sz w:val="32"/>
          <w:szCs w:val="32"/>
          <w:lang w:val="en-US" w:eastAsia="zh-CN" w:bidi="en-US"/>
        </w:rPr>
        <w:t>四川省财政厅关于印发&lt;四川省预算评审管理实施细则（试行）&gt;的通知》（川财预〔2024〕38号）</w:t>
      </w:r>
      <w:r>
        <w:rPr>
          <w:rFonts w:hint="eastAsia" w:ascii="仿宋_GB2312" w:hAnsi="Times New Roman" w:eastAsia="仿宋_GB2312" w:cs="Times New Roman"/>
          <w:b w:val="0"/>
          <w:color w:val="000000"/>
          <w:kern w:val="0"/>
          <w:sz w:val="32"/>
          <w:szCs w:val="32"/>
          <w:lang w:val="en-US" w:eastAsia="zh-CN" w:bidi="en-US"/>
        </w:rPr>
        <w:fldChar w:fldCharType="end"/>
      </w:r>
      <w:r>
        <w:rPr>
          <w:rFonts w:hint="eastAsia" w:ascii="仿宋_GB2312" w:hAnsi="Times New Roman" w:eastAsia="仿宋_GB2312" w:cs="Times New Roman"/>
          <w:b w:val="0"/>
          <w:color w:val="000000"/>
          <w:kern w:val="0"/>
          <w:sz w:val="32"/>
          <w:szCs w:val="32"/>
          <w:lang w:val="en-US" w:eastAsia="zh-CN" w:bidi="en-US"/>
        </w:rPr>
        <w:t>进行，按照事前评估应当遵守的基本内容设计本项目个性评价指标，确保绩效目标可评、可量、可用于指导项目实施阶段绩效评价。</w:t>
      </w:r>
    </w:p>
    <w:p w14:paraId="5782286F">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该项目绩效目标设定明确，与年度工作目标一致，并且绩效目标的编制内容符合《项目支出绩效评价管理办法》（财预〔2020〕10号）政策规定，与项目内容高度相关。根据评分标准，总分7分，得7分</w:t>
      </w:r>
      <w:r>
        <w:rPr>
          <w:rFonts w:hint="eastAsia" w:ascii="仿宋" w:hAnsi="仿宋" w:eastAsia="仿宋" w:cs="仿宋"/>
          <w:szCs w:val="32"/>
          <w:lang w:eastAsia="zh-CN"/>
        </w:rPr>
        <w:t>。</w:t>
      </w:r>
    </w:p>
    <w:p w14:paraId="7BC386AC">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 w:hAnsi="仿宋" w:eastAsia="仿宋" w:cs="仿宋"/>
          <w:szCs w:val="32"/>
          <w:lang w:eastAsia="zh-CN"/>
        </w:rPr>
        <w:t>2.</w:t>
      </w:r>
      <w:r>
        <w:rPr>
          <w:rFonts w:hint="eastAsia" w:ascii="仿宋_GB2312" w:hAnsi="Times New Roman" w:eastAsia="仿宋_GB2312" w:cs="Times New Roman"/>
          <w:b w:val="0"/>
          <w:color w:val="000000"/>
          <w:kern w:val="0"/>
          <w:sz w:val="32"/>
          <w:szCs w:val="32"/>
          <w:lang w:val="en-US" w:eastAsia="zh-CN" w:bidi="en-US"/>
        </w:rPr>
        <w:t>目标合理性</w:t>
      </w:r>
    </w:p>
    <w:p w14:paraId="1ACABCEF">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根据《</w:t>
      </w:r>
      <w:r>
        <w:rPr>
          <w:rFonts w:hint="eastAsia" w:ascii="仿宋_GB2312" w:hAnsi="Times New Roman" w:eastAsia="仿宋_GB2312" w:cs="Times New Roman"/>
          <w:b w:val="0"/>
          <w:color w:val="000000"/>
          <w:kern w:val="0"/>
          <w:sz w:val="32"/>
          <w:szCs w:val="32"/>
          <w:lang w:val="en-US" w:eastAsia="zh-CN" w:bidi="en-US"/>
        </w:rPr>
        <w:fldChar w:fldCharType="begin"/>
      </w:r>
      <w:r>
        <w:rPr>
          <w:rFonts w:hint="eastAsia" w:ascii="仿宋_GB2312" w:hAnsi="Times New Roman" w:eastAsia="仿宋_GB2312" w:cs="Times New Roman"/>
          <w:b w:val="0"/>
          <w:color w:val="000000"/>
          <w:kern w:val="0"/>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_GB2312" w:hAnsi="Times New Roman" w:eastAsia="仿宋_GB2312" w:cs="Times New Roman"/>
          <w:b w:val="0"/>
          <w:color w:val="000000"/>
          <w:kern w:val="0"/>
          <w:sz w:val="32"/>
          <w:szCs w:val="32"/>
          <w:lang w:val="en-US" w:eastAsia="zh-CN" w:bidi="en-US"/>
        </w:rPr>
        <w:fldChar w:fldCharType="separate"/>
      </w:r>
      <w:r>
        <w:rPr>
          <w:rFonts w:hint="eastAsia" w:ascii="仿宋_GB2312" w:hAnsi="Times New Roman" w:eastAsia="仿宋_GB2312" w:cs="Times New Roman"/>
          <w:b w:val="0"/>
          <w:color w:val="000000"/>
          <w:kern w:val="0"/>
          <w:sz w:val="32"/>
          <w:szCs w:val="32"/>
          <w:lang w:val="en-US" w:eastAsia="zh-CN" w:bidi="en-US"/>
        </w:rPr>
        <w:t>四川省财政厅关于印发&lt;四川省预算评审管理实施细则（试行）&gt;的通知》（川财预〔2024〕38号）</w:t>
      </w:r>
      <w:r>
        <w:rPr>
          <w:rFonts w:hint="eastAsia" w:ascii="仿宋_GB2312" w:hAnsi="Times New Roman" w:eastAsia="仿宋_GB2312" w:cs="Times New Roman"/>
          <w:b w:val="0"/>
          <w:color w:val="000000"/>
          <w:kern w:val="0"/>
          <w:sz w:val="32"/>
          <w:szCs w:val="32"/>
          <w:lang w:val="en-US" w:eastAsia="zh-CN" w:bidi="en-US"/>
        </w:rPr>
        <w:fldChar w:fldCharType="end"/>
      </w:r>
      <w:r>
        <w:rPr>
          <w:rFonts w:hint="eastAsia" w:ascii="仿宋_GB2312" w:hAnsi="Times New Roman" w:eastAsia="仿宋_GB2312" w:cs="Times New Roman"/>
          <w:b w:val="0"/>
          <w:color w:val="000000"/>
          <w:kern w:val="0"/>
          <w:sz w:val="32"/>
          <w:szCs w:val="32"/>
          <w:lang w:val="en-US" w:eastAsia="zh-CN" w:bidi="en-US"/>
        </w:rPr>
        <w:t>，本项目绩效目标重点反映了城区园林绿化购买社会养护服务项目的产出数量、质量、时效、成本，还包括社会效益、可持续影响、满意度等绩效指标。</w:t>
      </w:r>
    </w:p>
    <w:p w14:paraId="44108F61">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项目实施优化了政府职能，减少了资金投入；借助引进专业园林绿化养护队伍，提高金口河区城市绿化环境，满足了人民群众日益增加的精神文明需求。</w:t>
      </w:r>
    </w:p>
    <w:p w14:paraId="17BA8BFB">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因此，本项目的绩效目标合理，指标细化、量化、合理可考核且与申报预算的资金量相匹配。根据评分标准，总分6分，得6分</w:t>
      </w:r>
      <w:r>
        <w:rPr>
          <w:rFonts w:hint="eastAsia" w:ascii="仿宋_GB2312" w:hAnsi="宋体" w:eastAsia="仿宋_GB2312" w:cs="宋体"/>
          <w:b w:val="0"/>
          <w:color w:val="393939"/>
          <w:kern w:val="0"/>
          <w:sz w:val="32"/>
          <w:szCs w:val="32"/>
          <w:shd w:val="clear" w:color="auto" w:fill="FFFFFF"/>
          <w:lang w:val="en-US" w:eastAsia="zh-CN" w:bidi="en-US"/>
        </w:rPr>
        <w:t>。</w:t>
      </w:r>
    </w:p>
    <w:p w14:paraId="7E4C883B">
      <w:pPr>
        <w:pStyle w:val="3"/>
        <w:numPr>
          <w:ilvl w:val="0"/>
          <w:numId w:val="3"/>
        </w:numPr>
        <w:spacing w:before="0" w:beforeLines="0" w:after="0" w:afterLines="0"/>
        <w:ind w:firstLineChars="0"/>
        <w:rPr>
          <w:rFonts w:hint="eastAsia" w:ascii="仿宋_GB2312" w:hAnsi="Times New Roman" w:eastAsia="仿宋_GB2312" w:cs="Times New Roman"/>
          <w:b w:val="0"/>
          <w:color w:val="000000"/>
          <w:kern w:val="0"/>
          <w:sz w:val="32"/>
          <w:szCs w:val="32"/>
          <w:lang w:val="en-US" w:eastAsia="zh-CN" w:bidi="en-US"/>
        </w:rPr>
      </w:pPr>
      <w:bookmarkStart w:id="224" w:name="_Toc23450"/>
      <w:r>
        <w:rPr>
          <w:rFonts w:hint="eastAsia" w:ascii="仿宋_GB2312" w:hAnsi="Times New Roman" w:eastAsia="仿宋_GB2312" w:cs="Times New Roman"/>
          <w:b w:val="0"/>
          <w:color w:val="000000"/>
          <w:kern w:val="0"/>
          <w:sz w:val="32"/>
          <w:szCs w:val="32"/>
          <w:lang w:val="en-US" w:eastAsia="zh-CN" w:bidi="en-US"/>
        </w:rPr>
        <w:t>项目实施方案的有效性</w:t>
      </w:r>
      <w:bookmarkEnd w:id="224"/>
    </w:p>
    <w:p w14:paraId="3C19E08A">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项目实施方案的有效性方面，指标总分8分，评估得分8分。具体如下</w:t>
      </w:r>
      <w:r>
        <w:rPr>
          <w:rFonts w:hint="eastAsia" w:ascii="仿宋" w:hAnsi="仿宋" w:eastAsia="仿宋" w:cs="仿宋"/>
          <w:szCs w:val="32"/>
          <w:lang w:eastAsia="zh-CN"/>
        </w:rPr>
        <w:t>：</w:t>
      </w:r>
    </w:p>
    <w:p w14:paraId="56DFD6D3">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项目实施经过严密部署，制定实施方案，组织机构健全，职责分工明确，严格按照服务类采购项目流程进行。通过政府采购确定符合要求的资质公司，并签订服务合同。合同包括项目基本情况、合同期限、服务内容与质量标准、</w:t>
      </w:r>
      <w:r>
        <w:rPr>
          <w:rFonts w:hint="eastAsia" w:ascii="仿宋_GB2312" w:cs="Times New Roman"/>
          <w:b w:val="0"/>
          <w:color w:val="000000"/>
          <w:kern w:val="0"/>
          <w:sz w:val="32"/>
          <w:szCs w:val="32"/>
          <w:lang w:val="en-US" w:eastAsia="zh-CN" w:bidi="en-US"/>
        </w:rPr>
        <w:t>服务</w:t>
      </w:r>
      <w:r>
        <w:rPr>
          <w:rFonts w:hint="eastAsia" w:ascii="仿宋_GB2312" w:hAnsi="Times New Roman" w:eastAsia="仿宋_GB2312" w:cs="Times New Roman"/>
          <w:b w:val="0"/>
          <w:color w:val="000000"/>
          <w:kern w:val="0"/>
          <w:sz w:val="32"/>
          <w:szCs w:val="32"/>
          <w:lang w:val="en-US" w:eastAsia="zh-CN" w:bidi="en-US"/>
        </w:rPr>
        <w:t>费用及支付方式、履约保证金、双方权利和义务、考评办法和违约责任等</w:t>
      </w:r>
      <w:r>
        <w:rPr>
          <w:rFonts w:hint="eastAsia" w:ascii="仿宋_GB2312" w:hAnsi="宋体" w:eastAsia="仿宋_GB2312" w:cs="宋体"/>
          <w:b w:val="0"/>
          <w:color w:val="393939"/>
          <w:kern w:val="0"/>
          <w:sz w:val="32"/>
          <w:szCs w:val="32"/>
          <w:shd w:val="clear" w:color="auto" w:fill="FFFFFF"/>
          <w:lang w:val="en-US" w:eastAsia="zh-CN" w:bidi="en-US"/>
        </w:rPr>
        <w:t>。</w:t>
      </w:r>
    </w:p>
    <w:p w14:paraId="06D2DD14">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在项目实施过程中，区住建局安排专门经办人员严格按照实施方案对四川省金和盛建设投资有限公司的工作进行监督。平时不定时巡查和月末绩效考核检查相结合，制定打分细则并严格执行，以保障项目顺利完成。根据评分标准，总分8分，得8分</w:t>
      </w:r>
      <w:r>
        <w:rPr>
          <w:rFonts w:hint="eastAsia" w:ascii="仿宋" w:hAnsi="仿宋" w:eastAsia="仿宋" w:cs="仿宋"/>
          <w:szCs w:val="32"/>
          <w:lang w:eastAsia="zh-CN"/>
        </w:rPr>
        <w:t>。</w:t>
      </w:r>
    </w:p>
    <w:p w14:paraId="6B5E7B3B">
      <w:pPr>
        <w:pStyle w:val="3"/>
        <w:numPr>
          <w:ilvl w:val="0"/>
          <w:numId w:val="3"/>
        </w:numPr>
        <w:spacing w:before="0" w:beforeLines="0" w:after="0" w:afterLines="0"/>
        <w:ind w:firstLineChars="0"/>
        <w:rPr>
          <w:rFonts w:hint="eastAsia" w:ascii="仿宋_GB2312" w:hAnsi="Times New Roman" w:eastAsia="仿宋_GB2312" w:cs="Times New Roman"/>
          <w:b w:val="0"/>
          <w:color w:val="000000"/>
          <w:kern w:val="0"/>
          <w:sz w:val="32"/>
          <w:szCs w:val="32"/>
          <w:lang w:val="en-US" w:eastAsia="zh-CN" w:bidi="en-US"/>
        </w:rPr>
      </w:pPr>
      <w:bookmarkStart w:id="225" w:name="_Toc17864"/>
      <w:r>
        <w:rPr>
          <w:rFonts w:hint="eastAsia" w:ascii="仿宋_GB2312" w:hAnsi="Times New Roman" w:eastAsia="仿宋_GB2312" w:cs="Times New Roman"/>
          <w:b w:val="0"/>
          <w:color w:val="000000"/>
          <w:kern w:val="0"/>
          <w:sz w:val="32"/>
          <w:szCs w:val="32"/>
          <w:lang w:val="en-US" w:eastAsia="zh-CN" w:bidi="en-US"/>
        </w:rPr>
        <w:t>项目实施成果合格性</w:t>
      </w:r>
      <w:bookmarkEnd w:id="225"/>
    </w:p>
    <w:p w14:paraId="13B15E1A">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项目实施成果合格</w:t>
      </w:r>
      <w:r>
        <w:rPr>
          <w:rFonts w:hint="eastAsia" w:ascii="仿宋_GB2312" w:cs="Times New Roman"/>
          <w:b w:val="0"/>
          <w:color w:val="000000"/>
          <w:kern w:val="0"/>
          <w:sz w:val="32"/>
          <w:szCs w:val="32"/>
          <w:lang w:val="en-US" w:eastAsia="zh-CN" w:bidi="en-US"/>
        </w:rPr>
        <w:t>性</w:t>
      </w:r>
      <w:r>
        <w:rPr>
          <w:rFonts w:hint="eastAsia" w:ascii="仿宋_GB2312" w:hAnsi="Times New Roman" w:eastAsia="仿宋_GB2312" w:cs="Times New Roman"/>
          <w:b w:val="0"/>
          <w:color w:val="000000"/>
          <w:kern w:val="0"/>
          <w:sz w:val="32"/>
          <w:szCs w:val="32"/>
          <w:lang w:val="en-US" w:eastAsia="zh-CN" w:bidi="en-US"/>
        </w:rPr>
        <w:t>方面，指标总分9分，评估得分5分。具体如下</w:t>
      </w:r>
      <w:r>
        <w:rPr>
          <w:rFonts w:hint="eastAsia" w:ascii="仿宋" w:hAnsi="仿宋" w:eastAsia="仿宋" w:cs="仿宋"/>
          <w:szCs w:val="32"/>
          <w:lang w:eastAsia="zh-CN"/>
        </w:rPr>
        <w:t>：</w:t>
      </w:r>
    </w:p>
    <w:p w14:paraId="6040A861">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 w:hAnsi="仿宋" w:eastAsia="仿宋" w:cs="仿宋"/>
          <w:szCs w:val="32"/>
          <w:lang w:val="en-US" w:eastAsia="zh-CN"/>
        </w:rPr>
        <w:t>1.</w:t>
      </w:r>
      <w:r>
        <w:rPr>
          <w:rFonts w:hint="eastAsia" w:ascii="仿宋_GB2312" w:hAnsi="Times New Roman" w:eastAsia="仿宋_GB2312" w:cs="Times New Roman"/>
          <w:b w:val="0"/>
          <w:color w:val="000000"/>
          <w:kern w:val="0"/>
          <w:sz w:val="32"/>
          <w:szCs w:val="32"/>
          <w:lang w:val="en-US" w:eastAsia="zh-CN" w:bidi="en-US"/>
        </w:rPr>
        <w:t>园林绿化养护考评合格性</w:t>
      </w:r>
    </w:p>
    <w:p w14:paraId="5A9F42A3">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从植物生长状况来看，大部分区域的草地青绿，修剪较为及时，基本能保持规定草高，杂草控制较好；绿化带植物长势总体旺盛，弱株情况较少，修剪后的带面较为平整顺直；行道树树干粗壮，截干及时，分枝整形均匀合理，树身端正，符合相关标准要求。但仍存在部分区域花草树木浇灌不足、补植不及时的现象。</w:t>
      </w:r>
    </w:p>
    <w:p w14:paraId="38742032">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从景观效果来看，通过第三方服务机构的养护管理，城市园林绿化景观效果得到一定提升，道路沿线与公园绿化景观更加美观，形成了良好的视觉效果，为市民提供了舒适的休闲环境。</w:t>
      </w:r>
    </w:p>
    <w:p w14:paraId="1EE563A6">
      <w:pPr>
        <w:ind w:firstLine="640"/>
        <w:rPr>
          <w:rFonts w:hint="eastAsia" w:ascii="仿宋_GB2312" w:hAnsi="宋体" w:eastAsia="仿宋_GB2312" w:cs="宋体"/>
          <w:b w:val="0"/>
          <w:color w:val="393939"/>
          <w:kern w:val="0"/>
          <w:sz w:val="32"/>
          <w:szCs w:val="32"/>
          <w:shd w:val="clear" w:color="auto" w:fill="FFFFFF"/>
          <w:lang w:val="en-US" w:eastAsia="zh-CN" w:bidi="en-US"/>
        </w:rPr>
      </w:pPr>
      <w:r>
        <w:rPr>
          <w:rFonts w:hint="eastAsia" w:ascii="仿宋_GB2312" w:hAnsi="Times New Roman" w:eastAsia="仿宋_GB2312" w:cs="Times New Roman"/>
          <w:b w:val="0"/>
          <w:color w:val="000000"/>
          <w:kern w:val="0"/>
          <w:sz w:val="32"/>
          <w:szCs w:val="32"/>
          <w:lang w:val="en-US" w:eastAsia="zh-CN" w:bidi="en-US"/>
        </w:rPr>
        <w:t>因此，按照《乐山市金口河区城区园林绿化购买社会服务养护项目实施方案》中的养护执行标准及具体养护要求，在园林绿化养护考评合格性方面，根据评分标准，总分3分，得2分。</w:t>
      </w:r>
    </w:p>
    <w:p w14:paraId="74B4F655">
      <w:pPr>
        <w:ind w:firstLine="640"/>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2.</w:t>
      </w:r>
      <w:r>
        <w:rPr>
          <w:rFonts w:hint="eastAsia" w:ascii="仿宋_GB2312" w:hAnsi="Times New Roman" w:eastAsia="仿宋_GB2312" w:cs="Times New Roman"/>
          <w:b w:val="0"/>
          <w:color w:val="000000"/>
          <w:kern w:val="0"/>
          <w:sz w:val="32"/>
          <w:szCs w:val="32"/>
          <w:lang w:val="en-US" w:eastAsia="zh-CN" w:bidi="en-US"/>
        </w:rPr>
        <w:t>城市公厕考评合格性</w:t>
      </w:r>
    </w:p>
    <w:p w14:paraId="3F8CAC47">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w:t>
      </w:r>
      <w:r>
        <w:rPr>
          <w:rFonts w:hint="eastAsia" w:ascii="仿宋_GB2312" w:hAnsi="Times New Roman" w:eastAsia="仿宋_GB2312" w:cs="Times New Roman"/>
          <w:b w:val="0"/>
          <w:color w:val="000000"/>
          <w:kern w:val="0"/>
          <w:sz w:val="32"/>
          <w:szCs w:val="32"/>
          <w:lang w:val="en-US" w:eastAsia="zh-CN" w:bidi="en-US"/>
        </w:rPr>
        <w:t>设施设备情况：多数公厕设施设备较为齐全，但存在个别问题。部分公厕水龙头有漏水现象，维修更换不够及时；少数通风设备老化，换气效果不佳，导致公厕内异味较大。不过总体来看，大部分设施设备能满足日常使用需求。</w:t>
      </w:r>
    </w:p>
    <w:p w14:paraId="1F8C862B">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w:t>
      </w:r>
      <w:r>
        <w:rPr>
          <w:rFonts w:hint="eastAsia" w:ascii="仿宋_GB2312" w:hAnsi="Times New Roman" w:eastAsia="仿宋_GB2312" w:cs="Times New Roman"/>
          <w:b w:val="0"/>
          <w:color w:val="000000"/>
          <w:kern w:val="0"/>
          <w:sz w:val="32"/>
          <w:szCs w:val="32"/>
          <w:lang w:val="en-US" w:eastAsia="zh-CN" w:bidi="en-US"/>
        </w:rPr>
        <w:t>卫生清洁情况：在卫生清洁方面，大部分公厕地面、墙面保持干净，便器清洁度较高，消毒工作也能按要求开展。但在高峰时段后，部分公厕地面会出现积水，清洁不及时；个别角落存在卫生死角，杂物清理不彻底。</w:t>
      </w:r>
    </w:p>
    <w:p w14:paraId="737EE88E">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szCs w:val="32"/>
          <w:highlight w:val="none"/>
          <w:lang w:val="en-US" w:eastAsia="zh-CN"/>
        </w:rPr>
        <w:t>(3)</w:t>
      </w:r>
      <w:r>
        <w:rPr>
          <w:rFonts w:hint="eastAsia" w:ascii="仿宋_GB2312" w:hAnsi="Times New Roman" w:eastAsia="仿宋_GB2312" w:cs="Times New Roman"/>
          <w:b w:val="0"/>
          <w:color w:val="000000"/>
          <w:kern w:val="0"/>
          <w:sz w:val="32"/>
          <w:szCs w:val="32"/>
          <w:lang w:val="en-US" w:eastAsia="zh-CN" w:bidi="en-US"/>
        </w:rPr>
        <w:t>服务管理情况：第三方服务机构基本能保证公厕开放时间，管理人员也能履行基本职责。然而，在服务态度上参差不齐，部分管理人员服务不够热情；意见箱存在信件处理不及时的情况，影响市民反馈问题的积极性。</w:t>
      </w:r>
    </w:p>
    <w:p w14:paraId="0063D286">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因此，按照《乐山市金口河区城区园林绿化购买社会服务养护项目实施方案》中的养护执行标准及具体养护要求，在城市公厕考评合格性方面，根据评分标准，总分2分，得1分。</w:t>
      </w:r>
    </w:p>
    <w:p w14:paraId="545F8B81">
      <w:pPr>
        <w:ind w:firstLine="640"/>
        <w:rPr>
          <w:rFonts w:hint="default"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szCs w:val="32"/>
          <w:highlight w:val="none"/>
          <w:lang w:val="en-US" w:eastAsia="zh-CN"/>
        </w:rPr>
        <w:t>3.</w:t>
      </w:r>
      <w:r>
        <w:rPr>
          <w:rFonts w:hint="eastAsia" w:ascii="仿宋_GB2312" w:hAnsi="Times New Roman" w:eastAsia="仿宋_GB2312" w:cs="Times New Roman"/>
          <w:b w:val="0"/>
          <w:color w:val="000000"/>
          <w:kern w:val="0"/>
          <w:sz w:val="32"/>
          <w:szCs w:val="32"/>
          <w:lang w:val="en-US" w:eastAsia="zh-CN" w:bidi="en-US"/>
        </w:rPr>
        <w:t>喷泉景观及公园内电力市政设施考评合格性</w:t>
      </w:r>
    </w:p>
    <w:p w14:paraId="1A4EBE1C">
      <w:pPr>
        <w:ind w:firstLine="64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w:t>
      </w:r>
      <w:r>
        <w:rPr>
          <w:rFonts w:hint="eastAsia" w:ascii="仿宋_GB2312" w:hAnsi="Times New Roman" w:eastAsia="仿宋_GB2312" w:cs="Times New Roman"/>
          <w:b w:val="0"/>
          <w:color w:val="000000"/>
          <w:kern w:val="0"/>
          <w:sz w:val="32"/>
          <w:szCs w:val="32"/>
          <w:lang w:val="en-US" w:eastAsia="zh-CN" w:bidi="en-US"/>
        </w:rPr>
        <w:t>喷泉景观：部分喷泉喷头出现不同程度堵塞，导致喷水形状不规则，影响观赏效果；水质净化处理有时不及时，出现轻微浑浊和异味。周边防护栏杆虽无严重损坏，但部分存在松动，警示标识有褪色情况。</w:t>
      </w:r>
    </w:p>
    <w:p w14:paraId="68CF0716">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szCs w:val="32"/>
          <w:highlight w:val="none"/>
          <w:lang w:val="en-US" w:eastAsia="zh-CN"/>
        </w:rPr>
        <w:t>(2)</w:t>
      </w:r>
      <w:r>
        <w:rPr>
          <w:rFonts w:hint="eastAsia" w:ascii="仿宋_GB2312" w:hAnsi="Times New Roman" w:eastAsia="仿宋_GB2312" w:cs="Times New Roman"/>
          <w:b w:val="0"/>
          <w:color w:val="000000"/>
          <w:kern w:val="0"/>
          <w:sz w:val="32"/>
          <w:szCs w:val="32"/>
          <w:lang w:val="en-US" w:eastAsia="zh-CN" w:bidi="en-US"/>
        </w:rPr>
        <w:t>公园内电力市政设施：电力设备整体运行较稳定，但个别配电箱存在箱门闭合不严的问题；路灯亮灯率约为93%，少数路灯存在灯泡损坏未及时更换现象，部分线路有老化迹象。园内道路部分区域出现裂缝，虽不影响通行但有损美观；排水系统在大雨时排水速度较慢，局部有积水。</w:t>
      </w:r>
    </w:p>
    <w:p w14:paraId="1BA0277D">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因此，按照《乐山市金口河区城区园林绿化购买社会服务养护项目实施方案》中的养护执行标准及具体养护要求，在喷泉景观及公园内电力市政设施考评合格性方面，根据评分标准，总分2分，得1分。</w:t>
      </w:r>
    </w:p>
    <w:p w14:paraId="2494CCE0">
      <w:pPr>
        <w:ind w:firstLine="640"/>
        <w:rPr>
          <w:rFonts w:hint="default" w:ascii="仿宋" w:hAnsi="仿宋" w:eastAsia="仿宋" w:cs="仿宋"/>
          <w:szCs w:val="32"/>
          <w:highlight w:val="none"/>
          <w:lang w:val="en-US" w:eastAsia="zh-CN"/>
        </w:rPr>
      </w:pPr>
      <w:r>
        <w:rPr>
          <w:rFonts w:hint="eastAsia" w:ascii="仿宋" w:hAnsi="仿宋" w:eastAsia="仿宋" w:cs="仿宋"/>
          <w:szCs w:val="32"/>
          <w:highlight w:val="none"/>
          <w:lang w:val="en-US" w:eastAsia="zh-CN"/>
        </w:rPr>
        <w:t>4.</w:t>
      </w:r>
      <w:r>
        <w:rPr>
          <w:rFonts w:hint="eastAsia" w:ascii="仿宋_GB2312" w:hAnsi="Times New Roman" w:eastAsia="仿宋_GB2312" w:cs="Times New Roman"/>
          <w:b w:val="0"/>
          <w:color w:val="000000"/>
          <w:kern w:val="0"/>
          <w:sz w:val="32"/>
          <w:szCs w:val="32"/>
          <w:lang w:val="en-US" w:eastAsia="zh-CN" w:bidi="en-US"/>
        </w:rPr>
        <w:t>停车场考评合格性</w:t>
      </w:r>
    </w:p>
    <w:p w14:paraId="770865B4">
      <w:pPr>
        <w:ind w:firstLine="640"/>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(1)</w:t>
      </w:r>
      <w:r>
        <w:rPr>
          <w:rFonts w:hint="eastAsia" w:ascii="仿宋_GB2312" w:hAnsi="Times New Roman" w:eastAsia="仿宋_GB2312" w:cs="Times New Roman"/>
          <w:b w:val="0"/>
          <w:color w:val="000000"/>
          <w:kern w:val="0"/>
          <w:sz w:val="32"/>
          <w:szCs w:val="32"/>
          <w:lang w:val="en-US" w:eastAsia="zh-CN" w:bidi="en-US"/>
        </w:rPr>
        <w:t>设施完整性：部分停车线因磨损变得模糊，道闸系统偶尔出现故障，反应迟缓，影响车辆进出。照明设备整体运行正常，但有少数灯泡损坏未及时更换。地面有少量坑洼，排水系统基本正常，不过暴雨后会有短暂积水。防护栏和减速带存在个别松动、损坏情况。</w:t>
      </w:r>
    </w:p>
    <w:p w14:paraId="3CC0854B">
      <w:pPr>
        <w:ind w:firstLine="640"/>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(2)</w:t>
      </w:r>
      <w:r>
        <w:rPr>
          <w:rFonts w:hint="eastAsia" w:ascii="仿宋_GB2312" w:hAnsi="Times New Roman" w:eastAsia="仿宋_GB2312" w:cs="Times New Roman"/>
          <w:b w:val="0"/>
          <w:color w:val="000000"/>
          <w:kern w:val="0"/>
          <w:sz w:val="32"/>
          <w:szCs w:val="32"/>
          <w:lang w:val="en-US" w:eastAsia="zh-CN" w:bidi="en-US"/>
        </w:rPr>
        <w:t>运营管理：高峰时段车辆进出时引导不足，存在一定拥堵。收费管理较为规范，公示了收费标准。开放时间能按规定执行，但遇到特殊情况时，未能及时通知车主。</w:t>
      </w:r>
    </w:p>
    <w:p w14:paraId="22D2CFE6">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 w:hAnsi="仿宋" w:eastAsia="仿宋" w:cs="仿宋"/>
          <w:szCs w:val="32"/>
          <w:highlight w:val="none"/>
          <w:lang w:val="en-US" w:eastAsia="zh-CN"/>
        </w:rPr>
        <w:t>(3)</w:t>
      </w:r>
      <w:r>
        <w:rPr>
          <w:rFonts w:hint="eastAsia" w:ascii="仿宋_GB2312" w:hAnsi="Times New Roman" w:eastAsia="仿宋_GB2312" w:cs="Times New Roman"/>
          <w:b w:val="0"/>
          <w:color w:val="000000"/>
          <w:kern w:val="0"/>
          <w:sz w:val="32"/>
          <w:szCs w:val="32"/>
          <w:lang w:val="en-US" w:eastAsia="zh-CN" w:bidi="en-US"/>
        </w:rPr>
        <w:t>环境卫生：停车场地面整体较干净，但角落处偶尔有垃圾堆积。垃圾桶清理频次基本达标，不过在使用高峰期有满溢风险，消毒工作执行不够到位，有轻微异味。</w:t>
      </w:r>
    </w:p>
    <w:p w14:paraId="2FEBCD6E">
      <w:pPr>
        <w:ind w:firstLine="640"/>
        <w:rPr>
          <w:rFonts w:hint="eastAsia"/>
          <w:lang w:val="en-US" w:eastAsia="zh-CN"/>
        </w:rPr>
      </w:pPr>
      <w:r>
        <w:rPr>
          <w:rFonts w:hint="eastAsia" w:ascii="仿宋_GB2312" w:hAnsi="Times New Roman" w:eastAsia="仿宋_GB2312" w:cs="Times New Roman"/>
          <w:b w:val="0"/>
          <w:color w:val="000000"/>
          <w:kern w:val="0"/>
          <w:sz w:val="32"/>
          <w:szCs w:val="32"/>
          <w:lang w:val="en-US" w:eastAsia="zh-CN" w:bidi="en-US"/>
        </w:rPr>
        <w:t>因此，按照《乐山市金口河区城区园林绿化购买社会服务养护项目实施方案》中的养护执行标准及具体养护要求，在停车场考评合格性方面，根据评分标准，总分2分，得1分。</w:t>
      </w:r>
    </w:p>
    <w:p w14:paraId="010F89F1">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26" w:name="_Toc28447"/>
      <w:r>
        <w:rPr>
          <w:rFonts w:hint="eastAsia" w:ascii="仿宋_GB2312" w:hAnsi="Times New Roman" w:eastAsia="仿宋_GB2312" w:cs="Times New Roman"/>
          <w:b w:val="0"/>
          <w:color w:val="000000"/>
          <w:kern w:val="0"/>
          <w:sz w:val="32"/>
          <w:szCs w:val="32"/>
          <w:lang w:val="en-US" w:eastAsia="zh-CN" w:bidi="en-US"/>
        </w:rPr>
        <w:t>项目实施的可持续性</w:t>
      </w:r>
      <w:bookmarkEnd w:id="226"/>
    </w:p>
    <w:p w14:paraId="1DE14DE5">
      <w:pPr>
        <w:ind w:firstLine="640"/>
        <w:rPr>
          <w:lang w:eastAsia="zh-CN"/>
        </w:rPr>
      </w:pPr>
      <w:r>
        <w:rPr>
          <w:rFonts w:hint="eastAsia" w:ascii="仿宋_GB2312" w:hAnsi="Times New Roman" w:eastAsia="仿宋_GB2312" w:cs="Times New Roman"/>
          <w:b w:val="0"/>
          <w:color w:val="000000"/>
          <w:kern w:val="0"/>
          <w:sz w:val="32"/>
          <w:szCs w:val="32"/>
          <w:lang w:val="en-US" w:eastAsia="zh-CN" w:bidi="en-US"/>
        </w:rPr>
        <w:t>项目实施的可持续性方面，指标总分12分，评估得分12分。具体如下</w:t>
      </w:r>
      <w:r>
        <w:rPr>
          <w:rFonts w:hint="eastAsia" w:ascii="仿宋" w:hAnsi="仿宋" w:eastAsia="仿宋" w:cs="仿宋"/>
          <w:szCs w:val="32"/>
          <w:lang w:eastAsia="zh-CN"/>
        </w:rPr>
        <w:t>：</w:t>
      </w:r>
    </w:p>
    <w:p w14:paraId="76555CA1">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通过招标等方式选择第三方服务机构，可引入市场竞争，实现资源优化配置，降低养护成本。同时，第三方机构凭借专业优势和规模效应，能更高效地利用资源，减少浪费。良好的城市园林绿化能美化环境、净化空气、降低噪音，为居民提供舒适的休闲空间，提升居民的生活质量和幸福感，得到社会各界的支持，有利于项目长期实施。第三方服务机构在养护管理过程中需要雇佣一定数量的工作人员，包括园艺工人、技术人员等，这为当地居民提供了就业机会，促进了社会稳定。第三方服务机构通常拥有专业的园艺团队和技术设备，能够根据不同植物的生长习性进行科学养护，提高植物的成活率和生长质量，有利于城市生态环境的稳定和改善。</w:t>
      </w:r>
    </w:p>
    <w:p w14:paraId="408EEA0B">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随着环保意识的提高，第三方服务机构在养护过程中会越来越注重生态理念的贯彻，采用环保的养护方法和材料，减少对环境的负面影响，实现城市园林绿化的生态可持续发展。根据评分标准，总分12分，得12分</w:t>
      </w:r>
      <w:r>
        <w:rPr>
          <w:rFonts w:hint="eastAsia" w:ascii="仿宋" w:hAnsi="仿宋" w:eastAsia="仿宋" w:cs="仿宋"/>
          <w:szCs w:val="32"/>
          <w:lang w:eastAsia="zh-CN"/>
        </w:rPr>
        <w:t>。</w:t>
      </w:r>
    </w:p>
    <w:p w14:paraId="7C9BA468">
      <w:pPr>
        <w:pStyle w:val="3"/>
        <w:numPr>
          <w:ilvl w:val="0"/>
          <w:numId w:val="3"/>
        </w:numPr>
        <w:spacing w:before="0" w:beforeLines="0" w:after="0" w:afterLines="0"/>
        <w:ind w:firstLineChars="0"/>
        <w:rPr>
          <w:rFonts w:hint="eastAsia" w:ascii="仿宋" w:hAnsi="仿宋" w:eastAsia="仿宋" w:cs="仿宋"/>
          <w:b w:val="0"/>
          <w:kern w:val="44"/>
          <w:szCs w:val="32"/>
          <w:lang w:eastAsia="zh-CN"/>
        </w:rPr>
      </w:pPr>
      <w:bookmarkStart w:id="227" w:name="_Toc14568"/>
      <w:r>
        <w:rPr>
          <w:rFonts w:hint="eastAsia" w:ascii="仿宋_GB2312" w:hAnsi="Times New Roman" w:eastAsia="仿宋_GB2312" w:cs="Times New Roman"/>
          <w:b w:val="0"/>
          <w:color w:val="000000"/>
          <w:kern w:val="0"/>
          <w:sz w:val="32"/>
          <w:szCs w:val="32"/>
          <w:lang w:val="en-US" w:eastAsia="zh-CN" w:bidi="en-US"/>
        </w:rPr>
        <w:t>总体结论</w:t>
      </w:r>
      <w:bookmarkEnd w:id="227"/>
    </w:p>
    <w:p w14:paraId="44910AD5">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评估小组通过对前述8个一级指标、17个二级指标以及31个三级指标评分的分析评估，全面评估该项目的预期绩效情况，评估总分90分。通过项目的实施，可实现资源优化配置，降低养护成本，能更高效地利用资源，减少浪费。良好的城市园林绿化能美化环境、净化空气、降低噪音，有利于城市生态环境的稳定和改善，为居民提供舒适的休闲空间，提升居民的生活质量和幸福感。本项目通过社会调查、效益分析、对比分析等方法评估，综合考虑项目绩效目标和项目实际情况，预期绩效可实现性强，满足《</w:t>
      </w:r>
      <w:r>
        <w:rPr>
          <w:rFonts w:hint="eastAsia" w:ascii="仿宋_GB2312" w:hAnsi="Times New Roman" w:eastAsia="仿宋_GB2312" w:cs="Times New Roman"/>
          <w:b w:val="0"/>
          <w:color w:val="000000"/>
          <w:kern w:val="0"/>
          <w:sz w:val="32"/>
          <w:szCs w:val="32"/>
          <w:lang w:val="en-US" w:eastAsia="zh-CN" w:bidi="en-US"/>
        </w:rPr>
        <w:fldChar w:fldCharType="begin"/>
      </w:r>
      <w:r>
        <w:rPr>
          <w:rFonts w:hint="eastAsia" w:ascii="仿宋_GB2312" w:hAnsi="Times New Roman" w:eastAsia="仿宋_GB2312" w:cs="Times New Roman"/>
          <w:b w:val="0"/>
          <w:color w:val="000000"/>
          <w:kern w:val="0"/>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_GB2312" w:hAnsi="Times New Roman" w:eastAsia="仿宋_GB2312" w:cs="Times New Roman"/>
          <w:b w:val="0"/>
          <w:color w:val="000000"/>
          <w:kern w:val="0"/>
          <w:sz w:val="32"/>
          <w:szCs w:val="32"/>
          <w:lang w:val="en-US" w:eastAsia="zh-CN" w:bidi="en-US"/>
        </w:rPr>
        <w:fldChar w:fldCharType="separate"/>
      </w:r>
      <w:r>
        <w:rPr>
          <w:rFonts w:hint="eastAsia" w:ascii="仿宋_GB2312" w:hAnsi="Times New Roman" w:eastAsia="仿宋_GB2312" w:cs="Times New Roman"/>
          <w:b w:val="0"/>
          <w:color w:val="000000"/>
          <w:kern w:val="0"/>
          <w:sz w:val="32"/>
          <w:szCs w:val="32"/>
          <w:lang w:val="en-US" w:eastAsia="zh-CN" w:bidi="en-US"/>
        </w:rPr>
        <w:t>四川省财政厅关于印发&lt;四川省预算评审管理实施细则（试行）&gt;的通知》（川财预〔2024〕38号）</w:t>
      </w:r>
      <w:r>
        <w:rPr>
          <w:rFonts w:hint="eastAsia" w:ascii="仿宋_GB2312" w:hAnsi="Times New Roman" w:eastAsia="仿宋_GB2312" w:cs="Times New Roman"/>
          <w:b w:val="0"/>
          <w:color w:val="000000"/>
          <w:kern w:val="0"/>
          <w:sz w:val="32"/>
          <w:szCs w:val="32"/>
          <w:lang w:val="en-US" w:eastAsia="zh-CN" w:bidi="en-US"/>
        </w:rPr>
        <w:fldChar w:fldCharType="end"/>
      </w:r>
      <w:r>
        <w:rPr>
          <w:rFonts w:hint="eastAsia" w:ascii="仿宋_GB2312" w:hAnsi="Times New Roman" w:eastAsia="仿宋_GB2312" w:cs="Times New Roman"/>
          <w:b w:val="0"/>
          <w:color w:val="000000"/>
          <w:kern w:val="0"/>
          <w:sz w:val="32"/>
          <w:szCs w:val="32"/>
          <w:lang w:val="en-US" w:eastAsia="zh-CN" w:bidi="en-US"/>
        </w:rPr>
        <w:t>要求，综合绩效评估结论为“建议实施”</w:t>
      </w:r>
      <w:r>
        <w:rPr>
          <w:rFonts w:hint="eastAsia" w:ascii="仿宋" w:hAnsi="仿宋" w:eastAsia="仿宋" w:cs="仿宋"/>
          <w:szCs w:val="32"/>
          <w:lang w:eastAsia="zh-CN"/>
        </w:rPr>
        <w:t>。</w:t>
      </w:r>
    </w:p>
    <w:p w14:paraId="2BF8CD98">
      <w:pPr>
        <w:pStyle w:val="2"/>
        <w:numPr>
          <w:ilvl w:val="0"/>
          <w:numId w:val="1"/>
        </w:numPr>
        <w:spacing w:before="0" w:beforeLines="0" w:after="0" w:afterLines="0"/>
        <w:rPr>
          <w:rFonts w:hint="eastAsia" w:ascii="仿宋_GB2312" w:hAnsi="Times New Roman" w:eastAsia="仿宋_GB2312" w:cs="Times New Roman"/>
          <w:b w:val="0"/>
          <w:color w:val="000000"/>
          <w:kern w:val="0"/>
          <w:sz w:val="32"/>
          <w:szCs w:val="32"/>
          <w:lang w:val="en-US" w:eastAsia="zh-CN" w:bidi="en-US"/>
        </w:rPr>
      </w:pPr>
      <w:bookmarkStart w:id="228" w:name="_Toc20945"/>
      <w:r>
        <w:rPr>
          <w:rFonts w:hint="eastAsia" w:ascii="仿宋_GB2312" w:hAnsi="Times New Roman" w:eastAsia="仿宋_GB2312" w:cs="Times New Roman"/>
          <w:b w:val="0"/>
          <w:color w:val="000000"/>
          <w:kern w:val="0"/>
          <w:sz w:val="32"/>
          <w:szCs w:val="32"/>
          <w:lang w:val="en-US" w:eastAsia="zh-CN" w:bidi="en-US"/>
        </w:rPr>
        <w:t>相关建议</w:t>
      </w:r>
      <w:bookmarkEnd w:id="228"/>
    </w:p>
    <w:p w14:paraId="49D65FE0">
      <w:pPr>
        <w:pStyle w:val="3"/>
        <w:spacing w:before="120" w:after="120"/>
        <w:ind w:firstLine="640"/>
        <w:rPr>
          <w:rFonts w:hint="eastAsia" w:ascii="仿宋_GB2312" w:hAnsi="宋体" w:eastAsia="仿宋_GB2312" w:cs="宋体"/>
          <w:b w:val="0"/>
          <w:color w:val="393939"/>
          <w:kern w:val="0"/>
          <w:sz w:val="32"/>
          <w:szCs w:val="32"/>
          <w:shd w:val="clear" w:color="auto" w:fill="FFFFFF"/>
          <w:lang w:val="en-US" w:eastAsia="zh-CN" w:bidi="en-US"/>
        </w:rPr>
      </w:pPr>
      <w:bookmarkStart w:id="229" w:name="_Toc3382"/>
      <w:r>
        <w:rPr>
          <w:b w:val="0"/>
          <w:bCs/>
          <w:highlight w:val="none"/>
          <w:lang w:eastAsia="zh-CN"/>
        </w:rPr>
        <w:t>(一)</w:t>
      </w:r>
      <w:r>
        <w:rPr>
          <w:rFonts w:hint="eastAsia" w:ascii="仿宋_GB2312" w:hAnsi="Times New Roman" w:eastAsia="仿宋_GB2312" w:cs="Times New Roman"/>
          <w:b w:val="0"/>
          <w:color w:val="000000"/>
          <w:kern w:val="0"/>
          <w:sz w:val="32"/>
          <w:szCs w:val="32"/>
          <w:lang w:val="en-US" w:eastAsia="zh-CN" w:bidi="en-US"/>
        </w:rPr>
        <w:t>未按照合同约定支付经费</w:t>
      </w:r>
      <w:bookmarkEnd w:id="229"/>
    </w:p>
    <w:p w14:paraId="315D377D">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加强预算管理，协助财政部门做好项目预算编制和管理工作，确保项目经费预算合理、足额，并与财政资金安排相衔接。推动建立健全财政资金支付的监督机制，加强对财政资金使用和支付情况的监督检查，及时发现和解决问题。</w:t>
      </w:r>
    </w:p>
    <w:p w14:paraId="2C359FD5">
      <w:pPr>
        <w:pStyle w:val="3"/>
        <w:spacing w:before="120" w:after="120"/>
        <w:ind w:firstLine="640"/>
        <w:rPr>
          <w:rFonts w:hint="default" w:ascii="仿宋_GB2312" w:hAnsi="宋体" w:eastAsia="仿宋_GB2312" w:cs="宋体"/>
          <w:b w:val="0"/>
          <w:color w:val="393939"/>
          <w:kern w:val="0"/>
          <w:sz w:val="32"/>
          <w:szCs w:val="32"/>
          <w:shd w:val="clear" w:color="auto" w:fill="FFFFFF"/>
          <w:lang w:val="en-US" w:eastAsia="zh-CN" w:bidi="en-US"/>
        </w:rPr>
      </w:pPr>
      <w:bookmarkStart w:id="230" w:name="_Toc19930"/>
      <w:r>
        <w:rPr>
          <w:b w:val="0"/>
          <w:bCs/>
          <w:lang w:eastAsia="zh-CN"/>
        </w:rPr>
        <w:t>(二)</w:t>
      </w:r>
      <w:r>
        <w:rPr>
          <w:rFonts w:hint="eastAsia" w:ascii="仿宋_GB2312" w:hAnsi="Times New Roman" w:eastAsia="仿宋_GB2312" w:cs="Times New Roman"/>
          <w:b w:val="0"/>
          <w:color w:val="000000"/>
          <w:kern w:val="0"/>
          <w:sz w:val="32"/>
          <w:szCs w:val="32"/>
          <w:lang w:val="en-US" w:eastAsia="zh-CN" w:bidi="en-US"/>
        </w:rPr>
        <w:t>园林养护等实施成果存在不足</w:t>
      </w:r>
      <w:bookmarkEnd w:id="230"/>
    </w:p>
    <w:p w14:paraId="57AC0A6B">
      <w:pPr>
        <w:ind w:firstLine="640"/>
        <w:rPr>
          <w:rFonts w:hint="eastAsia"/>
          <w:lang w:eastAsia="zh-CN"/>
        </w:rPr>
      </w:pPr>
      <w:r>
        <w:rPr>
          <w:rFonts w:hint="eastAsia" w:ascii="仿宋_GB2312" w:hAnsi="Times New Roman" w:eastAsia="仿宋_GB2312" w:cs="Times New Roman"/>
          <w:b w:val="0"/>
          <w:color w:val="000000"/>
          <w:kern w:val="0"/>
          <w:sz w:val="32"/>
          <w:szCs w:val="32"/>
          <w:lang w:val="en-US" w:eastAsia="zh-CN" w:bidi="en-US"/>
        </w:rPr>
        <w:t>项目实施过程中，园林绿化养护、城市公厕、喷泉景观及公园内电力市政设施、停车场均存在一定问题，我们建议依据不同区域的环境特点和功能需求，与第三方服务机构共同优化植物品种搭配，增加色彩丰富度和层次感，打造特色景观节点。在公园、广场等重要区域，结合地域文化和城市特色，与第三方合作设置园林小品，如雕塑、亭台等，提升园林艺术氛围。要求第三方服务机构建立植物养护档案，根据不同植物的生长习性，制定精准的浇水、施肥、修剪计划，提高植物的生长态势和抗病虫害能力。定期检查园路、座椅、路灯等基础设施，及时修复损坏部分，保持其良好的使用功能和美观度。设立意见箱、在线留言平台等，广泛收集公众对园林绿化养护工作的意见和建议，及时调整养护管理措施，满足公众需求。</w:t>
      </w:r>
    </w:p>
    <w:p w14:paraId="0FC8F14A">
      <w:pPr>
        <w:pStyle w:val="2"/>
        <w:numPr>
          <w:ilvl w:val="0"/>
          <w:numId w:val="1"/>
        </w:numPr>
        <w:spacing w:before="0" w:beforeLines="0" w:after="0" w:afterLines="0"/>
        <w:rPr>
          <w:rFonts w:hint="eastAsia" w:ascii="仿宋" w:hAnsi="仿宋" w:eastAsia="仿宋" w:cs="仿宋"/>
          <w:b w:val="0"/>
          <w:szCs w:val="32"/>
          <w:lang w:eastAsia="zh-CN"/>
        </w:rPr>
      </w:pPr>
      <w:bookmarkStart w:id="231" w:name="_Toc25577"/>
      <w:r>
        <w:rPr>
          <w:rFonts w:hint="eastAsia" w:ascii="仿宋_GB2312" w:hAnsi="Times New Roman" w:eastAsia="仿宋_GB2312" w:cs="Times New Roman"/>
          <w:b w:val="0"/>
          <w:color w:val="000000"/>
          <w:kern w:val="0"/>
          <w:sz w:val="32"/>
          <w:szCs w:val="32"/>
          <w:lang w:val="en-US" w:eastAsia="zh-CN" w:bidi="en-US"/>
        </w:rPr>
        <w:t>其他需要说明的问题</w:t>
      </w:r>
      <w:bookmarkEnd w:id="231"/>
    </w:p>
    <w:p w14:paraId="24DD3EE0">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本报告是评价机构根据对项目主管单位所提供的材料进行全面分析与评估，结合现场考察情况，在评价人员评价意见的基础上综合形成的。报告重点针对项目2025年的预算申报进行评估。本报告的结论与意见是参考性的，仅供财政部门批复预算时使用，不做其他用途。</w:t>
      </w:r>
    </w:p>
    <w:p w14:paraId="3DCAEE28">
      <w:pPr>
        <w:pStyle w:val="2"/>
        <w:numPr>
          <w:ilvl w:val="0"/>
          <w:numId w:val="1"/>
        </w:numPr>
        <w:spacing w:before="0" w:beforeLines="0" w:after="0" w:afterLines="0"/>
        <w:rPr>
          <w:rFonts w:hint="eastAsia" w:ascii="仿宋_GB2312" w:hAnsi="宋体" w:eastAsia="仿宋_GB2312" w:cs="宋体"/>
          <w:b w:val="0"/>
          <w:color w:val="393939"/>
          <w:kern w:val="0"/>
          <w:sz w:val="32"/>
          <w:szCs w:val="32"/>
          <w:shd w:val="clear" w:color="auto" w:fill="FFFFFF"/>
          <w:lang w:val="en-US" w:eastAsia="zh-CN" w:bidi="en-US"/>
        </w:rPr>
      </w:pPr>
      <w:bookmarkStart w:id="232" w:name="_Toc18551"/>
      <w:r>
        <w:rPr>
          <w:rFonts w:hint="eastAsia" w:ascii="仿宋_GB2312" w:hAnsi="Times New Roman" w:eastAsia="仿宋_GB2312" w:cs="Times New Roman"/>
          <w:b w:val="0"/>
          <w:color w:val="000000"/>
          <w:kern w:val="0"/>
          <w:sz w:val="32"/>
          <w:szCs w:val="32"/>
          <w:lang w:val="en-US" w:eastAsia="zh-CN" w:bidi="en-US"/>
        </w:rPr>
        <w:t>附件</w:t>
      </w:r>
      <w:bookmarkEnd w:id="232"/>
    </w:p>
    <w:p w14:paraId="34B60E34">
      <w:pPr>
        <w:ind w:firstLine="640"/>
        <w:rPr>
          <w:rFonts w:hint="eastAsia" w:ascii="仿宋" w:hAnsi="仿宋" w:eastAsia="仿宋" w:cs="仿宋"/>
          <w:szCs w:val="32"/>
          <w:lang w:eastAsia="zh-CN"/>
        </w:rPr>
      </w:pPr>
      <w:r>
        <w:rPr>
          <w:rFonts w:hint="eastAsia" w:ascii="仿宋_GB2312" w:hAnsi="Times New Roman" w:eastAsia="仿宋_GB2312" w:cs="Times New Roman"/>
          <w:b w:val="0"/>
          <w:color w:val="000000"/>
          <w:kern w:val="0"/>
          <w:sz w:val="32"/>
          <w:szCs w:val="32"/>
          <w:lang w:val="en-US" w:eastAsia="zh-CN" w:bidi="en-US"/>
        </w:rPr>
        <w:t>附件</w:t>
      </w:r>
      <w:r>
        <w:rPr>
          <w:rFonts w:ascii="仿宋" w:hAnsi="仿宋" w:eastAsia="仿宋" w:cs="仿宋"/>
          <w:szCs w:val="32"/>
          <w:lang w:eastAsia="zh-CN"/>
        </w:rPr>
        <w:t>1:</w:t>
      </w:r>
      <w:r>
        <w:rPr>
          <w:rFonts w:hint="eastAsia" w:ascii="仿宋_GB2312" w:hAnsi="Times New Roman" w:eastAsia="仿宋_GB2312" w:cs="Times New Roman"/>
          <w:b w:val="0"/>
          <w:color w:val="000000"/>
          <w:kern w:val="0"/>
          <w:sz w:val="32"/>
          <w:szCs w:val="32"/>
          <w:lang w:val="en-US" w:eastAsia="zh-CN" w:bidi="en-US"/>
        </w:rPr>
        <w:t>事前评估项目情况报告</w:t>
      </w:r>
    </w:p>
    <w:p w14:paraId="1B1F9D3A">
      <w:pPr>
        <w:ind w:firstLine="640"/>
        <w:rPr>
          <w:rFonts w:hint="eastAsia" w:ascii="仿宋_GB2312" w:hAnsi="Times New Roman" w:eastAsia="仿宋_GB2312" w:cs="Times New Roman"/>
          <w:b w:val="0"/>
          <w:color w:val="000000"/>
          <w:kern w:val="0"/>
          <w:sz w:val="32"/>
          <w:szCs w:val="32"/>
          <w:lang w:val="en-US" w:eastAsia="zh-CN" w:bidi="en-US"/>
        </w:rPr>
      </w:pPr>
      <w:r>
        <w:rPr>
          <w:rFonts w:hint="eastAsia" w:ascii="仿宋_GB2312" w:hAnsi="Times New Roman" w:eastAsia="仿宋_GB2312" w:cs="Times New Roman"/>
          <w:b w:val="0"/>
          <w:color w:val="000000"/>
          <w:kern w:val="0"/>
          <w:sz w:val="32"/>
          <w:szCs w:val="32"/>
          <w:lang w:val="en-US" w:eastAsia="zh-CN" w:bidi="en-US"/>
        </w:rPr>
        <w:t>附件</w:t>
      </w:r>
      <w:r>
        <w:rPr>
          <w:rFonts w:ascii="仿宋" w:hAnsi="仿宋" w:eastAsia="仿宋" w:cs="仿宋"/>
          <w:szCs w:val="32"/>
          <w:lang w:eastAsia="zh-CN"/>
        </w:rPr>
        <w:t>2:</w:t>
      </w:r>
      <w:r>
        <w:rPr>
          <w:rFonts w:hint="eastAsia" w:ascii="仿宋_GB2312" w:hAnsi="Times New Roman" w:eastAsia="仿宋_GB2312" w:cs="Times New Roman"/>
          <w:b w:val="0"/>
          <w:color w:val="000000"/>
          <w:kern w:val="0"/>
          <w:sz w:val="32"/>
          <w:szCs w:val="32"/>
          <w:lang w:val="en-US" w:eastAsia="zh-CN" w:bidi="en-US"/>
        </w:rPr>
        <w:t>项目支出绩效目标申报表</w:t>
      </w:r>
    </w:p>
    <w:p w14:paraId="092F0E1D">
      <w:pPr>
        <w:spacing w:before="65" w:line="226" w:lineRule="auto"/>
        <w:ind w:firstLine="0" w:firstLineChars="0"/>
        <w:jc w:val="right"/>
        <w:rPr>
          <w:rFonts w:hint="eastAsia" w:ascii="仿宋_GB2312" w:hAnsi="仿宋_GB2312" w:eastAsia="仿宋_GB2312" w:cs="仿宋_GB2312"/>
          <w:b w:val="0"/>
          <w:bCs w:val="0"/>
          <w:sz w:val="32"/>
          <w:szCs w:val="32"/>
          <w:lang w:val="en-US" w:eastAsia="zh-CN"/>
        </w:rPr>
      </w:pPr>
    </w:p>
    <w:p w14:paraId="26D5E336">
      <w:pPr>
        <w:spacing w:before="65" w:line="226" w:lineRule="auto"/>
        <w:ind w:firstLine="0" w:firstLineChars="0"/>
        <w:jc w:val="right"/>
        <w:rPr>
          <w:rFonts w:hint="eastAsia" w:ascii="仿宋_GB2312" w:hAnsi="仿宋_GB2312" w:eastAsia="仿宋_GB2312" w:cs="仿宋_GB2312"/>
          <w:b w:val="0"/>
          <w:bCs w:val="0"/>
          <w:sz w:val="32"/>
          <w:szCs w:val="32"/>
          <w:lang w:val="en-US" w:eastAsia="zh-CN"/>
        </w:rPr>
      </w:pPr>
    </w:p>
    <w:p w14:paraId="1E768B6A">
      <w:pPr>
        <w:spacing w:before="65" w:line="226" w:lineRule="auto"/>
        <w:ind w:firstLine="0" w:firstLineChars="0"/>
        <w:jc w:val="right"/>
        <w:rPr>
          <w:rFonts w:hint="eastAsia" w:ascii="仿宋_GB2312" w:hAnsi="仿宋_GB2312" w:eastAsia="仿宋_GB2312" w:cs="仿宋_GB2312"/>
          <w:b w:val="0"/>
          <w:bCs w:val="0"/>
          <w:sz w:val="32"/>
          <w:szCs w:val="32"/>
          <w:lang w:val="en-US" w:eastAsia="zh-CN"/>
        </w:rPr>
      </w:pPr>
    </w:p>
    <w:p w14:paraId="1F832598">
      <w:pPr>
        <w:spacing w:before="65" w:line="226" w:lineRule="auto"/>
        <w:ind w:firstLine="0" w:firstLineChars="0"/>
        <w:jc w:val="right"/>
        <w:rPr>
          <w:rFonts w:hint="eastAsia" w:ascii="仿宋_GB2312" w:hAnsi="仿宋_GB2312" w:eastAsia="仿宋_GB2312" w:cs="仿宋_GB2312"/>
          <w:b w:val="0"/>
          <w:bCs w:val="0"/>
          <w:sz w:val="32"/>
          <w:szCs w:val="32"/>
          <w:lang w:val="en-US" w:eastAsia="zh-CN"/>
        </w:rPr>
      </w:pPr>
      <w:bookmarkStart w:id="233" w:name="_GoBack"/>
      <w:bookmarkEnd w:id="233"/>
      <w:r>
        <w:rPr>
          <w:rFonts w:hint="eastAsia" w:ascii="仿宋_GB2312" w:hAnsi="仿宋_GB2312" w:eastAsia="仿宋_GB2312" w:cs="仿宋_GB2312"/>
          <w:b w:val="0"/>
          <w:bCs w:val="0"/>
          <w:sz w:val="32"/>
          <w:szCs w:val="32"/>
          <w:lang w:val="en-US" w:eastAsia="zh-CN"/>
        </w:rPr>
        <w:t>乐山市金口河区财政投资评价审核中心</w:t>
      </w:r>
    </w:p>
    <w:p w14:paraId="493999FD">
      <w:pPr>
        <w:spacing w:before="65" w:line="226" w:lineRule="auto"/>
        <w:ind w:firstLine="0" w:firstLineChars="0"/>
        <w:jc w:val="center"/>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2025年1月10日</w:t>
      </w:r>
    </w:p>
    <w:p w14:paraId="7AA6CBAA">
      <w:pPr>
        <w:pStyle w:val="7"/>
        <w:rPr>
          <w:rFonts w:hint="eastAsia"/>
          <w:lang w:val="en-US" w:eastAsia="zh-CN"/>
        </w:rPr>
      </w:pPr>
    </w:p>
    <w:sectPr>
      <w:headerReference r:id="rId17" w:type="default"/>
      <w:footerReference r:id="rId18" w:type="default"/>
      <w:pgSz w:w="11906" w:h="16838"/>
      <w:pgMar w:top="837" w:right="1687" w:bottom="1421" w:left="1686" w:header="0" w:footer="559" w:gutter="0"/>
      <w:pgNumType w:start="1"/>
      <w:cols w:equalWidth="0" w:num="1">
        <w:col w:w="8533"/>
      </w:cols>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BF014B-0F3C-4F1A-9824-21C98E42B1C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7415F57-29DF-4DCD-B212-92B60E4BFDE9}"/>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DejaVu Sans">
    <w:altName w:val="Courier New"/>
    <w:panose1 w:val="00000000000000000000"/>
    <w:charset w:val="00"/>
    <w:family w:val="roman"/>
    <w:pitch w:val="default"/>
    <w:sig w:usb0="00000000" w:usb1="00000000" w:usb2="00000008" w:usb3="00000000" w:csb0="000001FF" w:csb1="00000000"/>
  </w:font>
  <w:font w:name="方正小标宋">
    <w:altName w:val="宋体"/>
    <w:panose1 w:val="00000000000000000000"/>
    <w:charset w:val="86"/>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font-weight : 400">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3DAB499A-E819-4FA0-A210-05D49AB62399}"/>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A78048C2-0A1A-4466-801C-D7D6AA273A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6BEB">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F396">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43F7">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825D">
    <w:pPr>
      <w:pStyle w:val="8"/>
      <w:spacing w:before="0" w:line="14" w:lineRule="auto"/>
      <w:ind w:left="0" w:firstLine="400"/>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8754D">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F322">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42C2">
    <w:pPr>
      <w:pStyle w:val="13"/>
      <w:spacing w:after="120"/>
      <w:ind w:firstLine="360"/>
      <w:jc w:val="center"/>
      <w:rPr>
        <w:rFonts w:hint="eastAsia"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sdtPr>
                          <w:sdtEndPr>
                            <w:rPr>
                              <w:rFonts w:ascii="宋体" w:hAnsi="宋体" w:eastAsia="宋体"/>
                            </w:rPr>
                          </w:sdtEndPr>
                          <w:sdtContent>
                            <w:p w14:paraId="797EF0E9">
                              <w:pPr>
                                <w:pStyle w:val="13"/>
                                <w:spacing w:after="120"/>
                                <w:ind w:firstLine="360"/>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14:paraId="2E9CB4DF">
                          <w:pPr>
                            <w:ind w:firstLine="640"/>
                            <w:rPr>
                              <w:rFonts w:hint="eastAsia" w:ascii="宋体" w:hAnsi="宋体"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80247"/>
                    </w:sdtPr>
                    <w:sdtEndPr>
                      <w:rPr>
                        <w:rFonts w:ascii="宋体" w:hAnsi="宋体" w:eastAsia="宋体"/>
                      </w:rPr>
                    </w:sdtEndPr>
                    <w:sdtContent>
                      <w:p w14:paraId="797EF0E9">
                        <w:pPr>
                          <w:pStyle w:val="13"/>
                          <w:spacing w:after="120"/>
                          <w:ind w:firstLine="360"/>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14:paraId="2E9CB4DF">
                    <w:pPr>
                      <w:ind w:firstLine="640"/>
                      <w:rPr>
                        <w:rFonts w:hint="eastAsia" w:ascii="宋体" w:hAnsi="宋体" w:eastAsia="宋体"/>
                      </w:rPr>
                    </w:pPr>
                  </w:p>
                </w:txbxContent>
              </v:textbox>
            </v:shape>
          </w:pict>
        </mc:Fallback>
      </mc:AlternateContent>
    </w:r>
  </w:p>
  <w:p w14:paraId="5BA0CB2D">
    <w:pPr>
      <w:pStyle w:val="13"/>
      <w:ind w:firstLine="360"/>
    </w:pPr>
  </w:p>
  <w:p w14:paraId="56E15721">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3364">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5816">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0057">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4202">
    <w:pPr>
      <w:pStyle w:val="14"/>
      <w:ind w:firstLine="0" w:firstLineChars="0"/>
      <w:rPr>
        <w:lang w:eastAsia="zh-CN"/>
      </w:rPr>
    </w:pPr>
  </w:p>
  <w:p w14:paraId="688222D0">
    <w:pPr>
      <w:pStyle w:val="14"/>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F1CF">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ED97">
    <w:pPr>
      <w:pStyle w:val="1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B9EF">
    <w:pPr>
      <w:pStyle w:val="14"/>
      <w:ind w:firstLine="0" w:firstLineChars="0"/>
      <w:rPr>
        <w:lang w:eastAsia="zh-CN"/>
      </w:rPr>
    </w:pPr>
  </w:p>
  <w:p w14:paraId="571A658A">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F195D"/>
    <w:multiLevelType w:val="multilevel"/>
    <w:tmpl w:val="15AF195D"/>
    <w:lvl w:ilvl="0" w:tentative="0">
      <w:start w:val="1"/>
      <w:numFmt w:val="chineseCountingThousand"/>
      <w:lvlText w:val="(%1)"/>
      <w:lvlJc w:val="left"/>
      <w:pPr>
        <w:ind w:left="1083" w:hanging="440"/>
      </w:p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1">
    <w:nsid w:val="3F295697"/>
    <w:multiLevelType w:val="multilevel"/>
    <w:tmpl w:val="3F295697"/>
    <w:lvl w:ilvl="0" w:tentative="0">
      <w:start w:val="1"/>
      <w:numFmt w:val="chineseCountingThousand"/>
      <w:lvlText w:val="(%1)"/>
      <w:lvlJc w:val="left"/>
      <w:pPr>
        <w:ind w:left="1083" w:hanging="440"/>
      </w:pPr>
    </w:lvl>
    <w:lvl w:ilvl="1" w:tentative="0">
      <w:start w:val="1"/>
      <w:numFmt w:val="chineseCountingThousand"/>
      <w:lvlText w:val="(%2)"/>
      <w:lvlJc w:val="left"/>
      <w:pPr>
        <w:ind w:left="1083" w:hanging="440"/>
      </w:pPr>
    </w:lvl>
    <w:lvl w:ilvl="2" w:tentative="0">
      <w:start w:val="1"/>
      <w:numFmt w:val="decimal"/>
      <w:lvlText w:val="%3."/>
      <w:lvlJc w:val="left"/>
      <w:pPr>
        <w:ind w:left="1883" w:hanging="360"/>
      </w:pPr>
      <w:rPr>
        <w:rFonts w:hint="default"/>
      </w:r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6A7601A5"/>
    <w:multiLevelType w:val="multilevel"/>
    <w:tmpl w:val="6A7601A5"/>
    <w:lvl w:ilvl="0" w:tentative="0">
      <w:start w:val="1"/>
      <w:numFmt w:val="chineseCountingThousand"/>
      <w:lvlText w:val="%1、"/>
      <w:lvlJc w:val="left"/>
      <w:pPr>
        <w:ind w:left="440" w:hanging="440"/>
      </w:pPr>
    </w:lvl>
    <w:lvl w:ilvl="1" w:tentative="0">
      <w:start w:val="1"/>
      <w:numFmt w:val="japaneseCounting"/>
      <w:lvlText w:val="（%2）"/>
      <w:lvlJc w:val="left"/>
      <w:pPr>
        <w:ind w:left="1520" w:hanging="108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ODQzM2I1NzU0ZGVlMjE0M2FlOGJkZGNlZDg2ZjQifQ=="/>
  </w:docVars>
  <w:rsids>
    <w:rsidRoot w:val="4F7A8AD3"/>
    <w:rsid w:val="00007DFF"/>
    <w:rsid w:val="000107C4"/>
    <w:rsid w:val="00012E9F"/>
    <w:rsid w:val="0001313D"/>
    <w:rsid w:val="00020499"/>
    <w:rsid w:val="000312C5"/>
    <w:rsid w:val="00052F16"/>
    <w:rsid w:val="00057533"/>
    <w:rsid w:val="00063830"/>
    <w:rsid w:val="000668C0"/>
    <w:rsid w:val="00073A2B"/>
    <w:rsid w:val="00076A1E"/>
    <w:rsid w:val="00083F6C"/>
    <w:rsid w:val="0009180B"/>
    <w:rsid w:val="0009558B"/>
    <w:rsid w:val="000A3242"/>
    <w:rsid w:val="000A3653"/>
    <w:rsid w:val="000B7188"/>
    <w:rsid w:val="000C0153"/>
    <w:rsid w:val="000C3325"/>
    <w:rsid w:val="000C52C3"/>
    <w:rsid w:val="000C57FC"/>
    <w:rsid w:val="000D3A16"/>
    <w:rsid w:val="000D55E1"/>
    <w:rsid w:val="000D5EC8"/>
    <w:rsid w:val="000E57B2"/>
    <w:rsid w:val="000F6A24"/>
    <w:rsid w:val="001010D1"/>
    <w:rsid w:val="00103D39"/>
    <w:rsid w:val="001041AF"/>
    <w:rsid w:val="00106871"/>
    <w:rsid w:val="0010788A"/>
    <w:rsid w:val="001126B2"/>
    <w:rsid w:val="001136E1"/>
    <w:rsid w:val="001203E9"/>
    <w:rsid w:val="001220D3"/>
    <w:rsid w:val="001232D4"/>
    <w:rsid w:val="00132AF2"/>
    <w:rsid w:val="00141341"/>
    <w:rsid w:val="0015093C"/>
    <w:rsid w:val="00150C9D"/>
    <w:rsid w:val="00151587"/>
    <w:rsid w:val="00152B89"/>
    <w:rsid w:val="00167A83"/>
    <w:rsid w:val="001701A0"/>
    <w:rsid w:val="00170314"/>
    <w:rsid w:val="0017238A"/>
    <w:rsid w:val="00173F6A"/>
    <w:rsid w:val="00176CA0"/>
    <w:rsid w:val="00195636"/>
    <w:rsid w:val="00196271"/>
    <w:rsid w:val="001A1092"/>
    <w:rsid w:val="001A2041"/>
    <w:rsid w:val="001A43B3"/>
    <w:rsid w:val="001A550D"/>
    <w:rsid w:val="001B2B74"/>
    <w:rsid w:val="001C6994"/>
    <w:rsid w:val="001D402C"/>
    <w:rsid w:val="001D4786"/>
    <w:rsid w:val="001D4787"/>
    <w:rsid w:val="001D5160"/>
    <w:rsid w:val="001D7093"/>
    <w:rsid w:val="001E3428"/>
    <w:rsid w:val="00202F15"/>
    <w:rsid w:val="002133D0"/>
    <w:rsid w:val="002135B2"/>
    <w:rsid w:val="00214FA9"/>
    <w:rsid w:val="00244786"/>
    <w:rsid w:val="00245809"/>
    <w:rsid w:val="00247CE2"/>
    <w:rsid w:val="002544DA"/>
    <w:rsid w:val="00256286"/>
    <w:rsid w:val="002751AB"/>
    <w:rsid w:val="00293F28"/>
    <w:rsid w:val="002C14AD"/>
    <w:rsid w:val="002D0937"/>
    <w:rsid w:val="002E795B"/>
    <w:rsid w:val="002F140C"/>
    <w:rsid w:val="002F2675"/>
    <w:rsid w:val="00314544"/>
    <w:rsid w:val="00321992"/>
    <w:rsid w:val="0032225C"/>
    <w:rsid w:val="00326F73"/>
    <w:rsid w:val="00341AC7"/>
    <w:rsid w:val="003423E2"/>
    <w:rsid w:val="00347A06"/>
    <w:rsid w:val="00347BEB"/>
    <w:rsid w:val="00350221"/>
    <w:rsid w:val="0035212A"/>
    <w:rsid w:val="00355358"/>
    <w:rsid w:val="00355F1B"/>
    <w:rsid w:val="00363A2E"/>
    <w:rsid w:val="00364643"/>
    <w:rsid w:val="00367660"/>
    <w:rsid w:val="003677CB"/>
    <w:rsid w:val="00371A0A"/>
    <w:rsid w:val="0037460A"/>
    <w:rsid w:val="003757C7"/>
    <w:rsid w:val="0037607E"/>
    <w:rsid w:val="00377310"/>
    <w:rsid w:val="00391E0A"/>
    <w:rsid w:val="003949FD"/>
    <w:rsid w:val="003C6D05"/>
    <w:rsid w:val="003C72DF"/>
    <w:rsid w:val="003E74AB"/>
    <w:rsid w:val="003F0644"/>
    <w:rsid w:val="003F5A52"/>
    <w:rsid w:val="004014DE"/>
    <w:rsid w:val="0041363A"/>
    <w:rsid w:val="004136A6"/>
    <w:rsid w:val="00420D23"/>
    <w:rsid w:val="00421DDA"/>
    <w:rsid w:val="00426FAD"/>
    <w:rsid w:val="004272C9"/>
    <w:rsid w:val="00427E7E"/>
    <w:rsid w:val="00436A9C"/>
    <w:rsid w:val="00452E8E"/>
    <w:rsid w:val="00460E18"/>
    <w:rsid w:val="00466D5D"/>
    <w:rsid w:val="004707FC"/>
    <w:rsid w:val="00470A91"/>
    <w:rsid w:val="00475575"/>
    <w:rsid w:val="004A0673"/>
    <w:rsid w:val="004D1A6F"/>
    <w:rsid w:val="004D3208"/>
    <w:rsid w:val="004D6F41"/>
    <w:rsid w:val="004D72EC"/>
    <w:rsid w:val="004E1959"/>
    <w:rsid w:val="004E5660"/>
    <w:rsid w:val="004E7C5F"/>
    <w:rsid w:val="004F2C0E"/>
    <w:rsid w:val="004F70C3"/>
    <w:rsid w:val="004F7B5F"/>
    <w:rsid w:val="00505188"/>
    <w:rsid w:val="005071ED"/>
    <w:rsid w:val="00512270"/>
    <w:rsid w:val="005234A4"/>
    <w:rsid w:val="00531809"/>
    <w:rsid w:val="00534E15"/>
    <w:rsid w:val="00542744"/>
    <w:rsid w:val="0054287F"/>
    <w:rsid w:val="00561720"/>
    <w:rsid w:val="00564F44"/>
    <w:rsid w:val="00565333"/>
    <w:rsid w:val="00581297"/>
    <w:rsid w:val="00584E01"/>
    <w:rsid w:val="00585E14"/>
    <w:rsid w:val="005943B7"/>
    <w:rsid w:val="00596E4B"/>
    <w:rsid w:val="005B33BF"/>
    <w:rsid w:val="005B61F9"/>
    <w:rsid w:val="005D4E52"/>
    <w:rsid w:val="005D5B2D"/>
    <w:rsid w:val="005F2438"/>
    <w:rsid w:val="005F2469"/>
    <w:rsid w:val="005F3A2E"/>
    <w:rsid w:val="005F3E21"/>
    <w:rsid w:val="005F4EF0"/>
    <w:rsid w:val="005F5F8C"/>
    <w:rsid w:val="006026DD"/>
    <w:rsid w:val="00611013"/>
    <w:rsid w:val="00611594"/>
    <w:rsid w:val="006120CC"/>
    <w:rsid w:val="006334FD"/>
    <w:rsid w:val="00633B49"/>
    <w:rsid w:val="00640EE8"/>
    <w:rsid w:val="00642C97"/>
    <w:rsid w:val="00644555"/>
    <w:rsid w:val="006502B1"/>
    <w:rsid w:val="00655989"/>
    <w:rsid w:val="00661510"/>
    <w:rsid w:val="00670A27"/>
    <w:rsid w:val="00670ACD"/>
    <w:rsid w:val="00672DE2"/>
    <w:rsid w:val="00681686"/>
    <w:rsid w:val="00683371"/>
    <w:rsid w:val="00685C8B"/>
    <w:rsid w:val="00691377"/>
    <w:rsid w:val="00696C5A"/>
    <w:rsid w:val="00697FDE"/>
    <w:rsid w:val="006A145F"/>
    <w:rsid w:val="006B4C2E"/>
    <w:rsid w:val="006B6F56"/>
    <w:rsid w:val="006C034F"/>
    <w:rsid w:val="006C57E3"/>
    <w:rsid w:val="006C781F"/>
    <w:rsid w:val="006D07D2"/>
    <w:rsid w:val="006D22EE"/>
    <w:rsid w:val="006D5A88"/>
    <w:rsid w:val="006E0036"/>
    <w:rsid w:val="006E2DAF"/>
    <w:rsid w:val="006E7D6F"/>
    <w:rsid w:val="00702086"/>
    <w:rsid w:val="00712171"/>
    <w:rsid w:val="00717083"/>
    <w:rsid w:val="00721F20"/>
    <w:rsid w:val="0074220B"/>
    <w:rsid w:val="007435C8"/>
    <w:rsid w:val="00750F13"/>
    <w:rsid w:val="007523D9"/>
    <w:rsid w:val="0075322B"/>
    <w:rsid w:val="00762CDA"/>
    <w:rsid w:val="007748E4"/>
    <w:rsid w:val="007762C2"/>
    <w:rsid w:val="007771FB"/>
    <w:rsid w:val="0078204B"/>
    <w:rsid w:val="00782C16"/>
    <w:rsid w:val="00783B80"/>
    <w:rsid w:val="00784593"/>
    <w:rsid w:val="00784A18"/>
    <w:rsid w:val="0079415A"/>
    <w:rsid w:val="007B6431"/>
    <w:rsid w:val="007C2905"/>
    <w:rsid w:val="007C43E4"/>
    <w:rsid w:val="007C5302"/>
    <w:rsid w:val="007C6DAD"/>
    <w:rsid w:val="007D1081"/>
    <w:rsid w:val="007D673A"/>
    <w:rsid w:val="007E3140"/>
    <w:rsid w:val="007E7A2D"/>
    <w:rsid w:val="007F6143"/>
    <w:rsid w:val="00804579"/>
    <w:rsid w:val="00804C84"/>
    <w:rsid w:val="0081088F"/>
    <w:rsid w:val="00815148"/>
    <w:rsid w:val="00822580"/>
    <w:rsid w:val="00824BBC"/>
    <w:rsid w:val="0082560C"/>
    <w:rsid w:val="00866DCA"/>
    <w:rsid w:val="00867A58"/>
    <w:rsid w:val="0087318D"/>
    <w:rsid w:val="0087750F"/>
    <w:rsid w:val="00882EE7"/>
    <w:rsid w:val="00883FF8"/>
    <w:rsid w:val="00884DE4"/>
    <w:rsid w:val="00886BA4"/>
    <w:rsid w:val="008955B2"/>
    <w:rsid w:val="008A5B82"/>
    <w:rsid w:val="008C09A9"/>
    <w:rsid w:val="008C22C6"/>
    <w:rsid w:val="008D08A7"/>
    <w:rsid w:val="008D3757"/>
    <w:rsid w:val="008E4453"/>
    <w:rsid w:val="008E4841"/>
    <w:rsid w:val="008E521D"/>
    <w:rsid w:val="00902C3A"/>
    <w:rsid w:val="00910D0D"/>
    <w:rsid w:val="009478AA"/>
    <w:rsid w:val="0095131C"/>
    <w:rsid w:val="009536E1"/>
    <w:rsid w:val="009540EF"/>
    <w:rsid w:val="009552D7"/>
    <w:rsid w:val="00955DC5"/>
    <w:rsid w:val="009566FB"/>
    <w:rsid w:val="009675C1"/>
    <w:rsid w:val="00971D21"/>
    <w:rsid w:val="00974403"/>
    <w:rsid w:val="00976C76"/>
    <w:rsid w:val="009819BC"/>
    <w:rsid w:val="00983A95"/>
    <w:rsid w:val="0098592B"/>
    <w:rsid w:val="00986911"/>
    <w:rsid w:val="00994E19"/>
    <w:rsid w:val="009A0B4B"/>
    <w:rsid w:val="009A5640"/>
    <w:rsid w:val="009A7F42"/>
    <w:rsid w:val="009B4C64"/>
    <w:rsid w:val="009B5A96"/>
    <w:rsid w:val="009B5F8C"/>
    <w:rsid w:val="009B680D"/>
    <w:rsid w:val="009C170A"/>
    <w:rsid w:val="009C5740"/>
    <w:rsid w:val="009C58C9"/>
    <w:rsid w:val="009C5B69"/>
    <w:rsid w:val="009D437F"/>
    <w:rsid w:val="009D6D66"/>
    <w:rsid w:val="009E1F1E"/>
    <w:rsid w:val="009E35D6"/>
    <w:rsid w:val="009E3863"/>
    <w:rsid w:val="009E4B25"/>
    <w:rsid w:val="009F07B4"/>
    <w:rsid w:val="009F5799"/>
    <w:rsid w:val="009F5D01"/>
    <w:rsid w:val="009F5F16"/>
    <w:rsid w:val="00A05220"/>
    <w:rsid w:val="00A12D33"/>
    <w:rsid w:val="00A170E7"/>
    <w:rsid w:val="00A20676"/>
    <w:rsid w:val="00A3140D"/>
    <w:rsid w:val="00A3572F"/>
    <w:rsid w:val="00A369F0"/>
    <w:rsid w:val="00A400DB"/>
    <w:rsid w:val="00A42946"/>
    <w:rsid w:val="00A554A1"/>
    <w:rsid w:val="00A6361D"/>
    <w:rsid w:val="00A644C7"/>
    <w:rsid w:val="00A71B61"/>
    <w:rsid w:val="00A73A2A"/>
    <w:rsid w:val="00A771AE"/>
    <w:rsid w:val="00AA1B98"/>
    <w:rsid w:val="00AB2B00"/>
    <w:rsid w:val="00AC01DF"/>
    <w:rsid w:val="00AC2452"/>
    <w:rsid w:val="00AC51B2"/>
    <w:rsid w:val="00AD2849"/>
    <w:rsid w:val="00AE0E69"/>
    <w:rsid w:val="00AE5E6B"/>
    <w:rsid w:val="00AE7253"/>
    <w:rsid w:val="00AF42B4"/>
    <w:rsid w:val="00B00467"/>
    <w:rsid w:val="00B00F10"/>
    <w:rsid w:val="00B03E44"/>
    <w:rsid w:val="00B042EC"/>
    <w:rsid w:val="00B0588D"/>
    <w:rsid w:val="00B14C98"/>
    <w:rsid w:val="00B17C4C"/>
    <w:rsid w:val="00B2239F"/>
    <w:rsid w:val="00B24D5B"/>
    <w:rsid w:val="00B42992"/>
    <w:rsid w:val="00B520E3"/>
    <w:rsid w:val="00B526D3"/>
    <w:rsid w:val="00B55A72"/>
    <w:rsid w:val="00B56F27"/>
    <w:rsid w:val="00B647E1"/>
    <w:rsid w:val="00B70772"/>
    <w:rsid w:val="00B72471"/>
    <w:rsid w:val="00B757C6"/>
    <w:rsid w:val="00B82C97"/>
    <w:rsid w:val="00B82EA7"/>
    <w:rsid w:val="00B83BE2"/>
    <w:rsid w:val="00B9431F"/>
    <w:rsid w:val="00BB07A4"/>
    <w:rsid w:val="00BB0E1D"/>
    <w:rsid w:val="00BB30FE"/>
    <w:rsid w:val="00BB6B9F"/>
    <w:rsid w:val="00C0248E"/>
    <w:rsid w:val="00C06AFC"/>
    <w:rsid w:val="00C07264"/>
    <w:rsid w:val="00C12E6F"/>
    <w:rsid w:val="00C21C0D"/>
    <w:rsid w:val="00C21DB7"/>
    <w:rsid w:val="00C26858"/>
    <w:rsid w:val="00C30660"/>
    <w:rsid w:val="00C40C1F"/>
    <w:rsid w:val="00C4300A"/>
    <w:rsid w:val="00C440BC"/>
    <w:rsid w:val="00C53DE5"/>
    <w:rsid w:val="00C558D9"/>
    <w:rsid w:val="00C56A00"/>
    <w:rsid w:val="00C6266B"/>
    <w:rsid w:val="00C7136B"/>
    <w:rsid w:val="00C75092"/>
    <w:rsid w:val="00C75A80"/>
    <w:rsid w:val="00C8301B"/>
    <w:rsid w:val="00C83D2B"/>
    <w:rsid w:val="00C87E01"/>
    <w:rsid w:val="00C910C3"/>
    <w:rsid w:val="00C91569"/>
    <w:rsid w:val="00CA74BF"/>
    <w:rsid w:val="00CB6FFC"/>
    <w:rsid w:val="00CB7679"/>
    <w:rsid w:val="00CB7CD5"/>
    <w:rsid w:val="00CC161B"/>
    <w:rsid w:val="00CD0DBD"/>
    <w:rsid w:val="00CD19EC"/>
    <w:rsid w:val="00CD5883"/>
    <w:rsid w:val="00CD6026"/>
    <w:rsid w:val="00CD7EDB"/>
    <w:rsid w:val="00CE2157"/>
    <w:rsid w:val="00CE6ED6"/>
    <w:rsid w:val="00CF3350"/>
    <w:rsid w:val="00CF53A5"/>
    <w:rsid w:val="00D02678"/>
    <w:rsid w:val="00D0603A"/>
    <w:rsid w:val="00D14209"/>
    <w:rsid w:val="00D15D0E"/>
    <w:rsid w:val="00D26CDD"/>
    <w:rsid w:val="00D30272"/>
    <w:rsid w:val="00D319E1"/>
    <w:rsid w:val="00D47AD7"/>
    <w:rsid w:val="00D503E5"/>
    <w:rsid w:val="00D546E0"/>
    <w:rsid w:val="00D60049"/>
    <w:rsid w:val="00D64060"/>
    <w:rsid w:val="00D64367"/>
    <w:rsid w:val="00D6747B"/>
    <w:rsid w:val="00D869EB"/>
    <w:rsid w:val="00D86CE4"/>
    <w:rsid w:val="00D9501C"/>
    <w:rsid w:val="00D965A3"/>
    <w:rsid w:val="00DA3EAC"/>
    <w:rsid w:val="00DB3489"/>
    <w:rsid w:val="00DC513A"/>
    <w:rsid w:val="00DC518C"/>
    <w:rsid w:val="00DD3165"/>
    <w:rsid w:val="00DE4CCA"/>
    <w:rsid w:val="00DF196E"/>
    <w:rsid w:val="00DF62A7"/>
    <w:rsid w:val="00E012B6"/>
    <w:rsid w:val="00E03433"/>
    <w:rsid w:val="00E072FA"/>
    <w:rsid w:val="00E12F0E"/>
    <w:rsid w:val="00E1337B"/>
    <w:rsid w:val="00E14DAD"/>
    <w:rsid w:val="00E1775E"/>
    <w:rsid w:val="00E17C01"/>
    <w:rsid w:val="00E200F2"/>
    <w:rsid w:val="00E207E5"/>
    <w:rsid w:val="00E2525D"/>
    <w:rsid w:val="00E33445"/>
    <w:rsid w:val="00E45310"/>
    <w:rsid w:val="00E476B3"/>
    <w:rsid w:val="00E5269E"/>
    <w:rsid w:val="00E73530"/>
    <w:rsid w:val="00E779D6"/>
    <w:rsid w:val="00E84623"/>
    <w:rsid w:val="00E873C0"/>
    <w:rsid w:val="00E93860"/>
    <w:rsid w:val="00EA09C3"/>
    <w:rsid w:val="00EA76C4"/>
    <w:rsid w:val="00EB10D3"/>
    <w:rsid w:val="00EB1FD7"/>
    <w:rsid w:val="00EB4F17"/>
    <w:rsid w:val="00EB7BC8"/>
    <w:rsid w:val="00EC0BDD"/>
    <w:rsid w:val="00EC542D"/>
    <w:rsid w:val="00ED54C7"/>
    <w:rsid w:val="00EE667E"/>
    <w:rsid w:val="00F00013"/>
    <w:rsid w:val="00F03024"/>
    <w:rsid w:val="00F05FCC"/>
    <w:rsid w:val="00F0623C"/>
    <w:rsid w:val="00F10340"/>
    <w:rsid w:val="00F14A5D"/>
    <w:rsid w:val="00F160BA"/>
    <w:rsid w:val="00F17B08"/>
    <w:rsid w:val="00F17EB0"/>
    <w:rsid w:val="00F20713"/>
    <w:rsid w:val="00F20A3E"/>
    <w:rsid w:val="00F256BF"/>
    <w:rsid w:val="00F36748"/>
    <w:rsid w:val="00F36D63"/>
    <w:rsid w:val="00F40E0B"/>
    <w:rsid w:val="00F4232F"/>
    <w:rsid w:val="00F50504"/>
    <w:rsid w:val="00F5404D"/>
    <w:rsid w:val="00F609E9"/>
    <w:rsid w:val="00F7197F"/>
    <w:rsid w:val="00F7251B"/>
    <w:rsid w:val="00F72ABA"/>
    <w:rsid w:val="00F7344E"/>
    <w:rsid w:val="00F7344F"/>
    <w:rsid w:val="00F77C12"/>
    <w:rsid w:val="00F90D69"/>
    <w:rsid w:val="00F9691B"/>
    <w:rsid w:val="00FA36D3"/>
    <w:rsid w:val="00FA542C"/>
    <w:rsid w:val="00FA6D36"/>
    <w:rsid w:val="00FB13E1"/>
    <w:rsid w:val="00FB593D"/>
    <w:rsid w:val="00FC7DDA"/>
    <w:rsid w:val="00FD49A6"/>
    <w:rsid w:val="00FD6538"/>
    <w:rsid w:val="00FE6F85"/>
    <w:rsid w:val="00FF70D4"/>
    <w:rsid w:val="00FF7FEC"/>
    <w:rsid w:val="010D7F30"/>
    <w:rsid w:val="01117D6F"/>
    <w:rsid w:val="014F4774"/>
    <w:rsid w:val="01B41827"/>
    <w:rsid w:val="01FE6FC6"/>
    <w:rsid w:val="025E7212"/>
    <w:rsid w:val="026C0CB3"/>
    <w:rsid w:val="02DA2B5C"/>
    <w:rsid w:val="031A1D53"/>
    <w:rsid w:val="034F46D6"/>
    <w:rsid w:val="047C7B07"/>
    <w:rsid w:val="059D5B4A"/>
    <w:rsid w:val="05C5173A"/>
    <w:rsid w:val="05E63281"/>
    <w:rsid w:val="060D4527"/>
    <w:rsid w:val="062F578F"/>
    <w:rsid w:val="070A234B"/>
    <w:rsid w:val="07291AB2"/>
    <w:rsid w:val="07364783"/>
    <w:rsid w:val="07587466"/>
    <w:rsid w:val="07A80859"/>
    <w:rsid w:val="07B0009E"/>
    <w:rsid w:val="07DB3825"/>
    <w:rsid w:val="084E08CF"/>
    <w:rsid w:val="08747CBA"/>
    <w:rsid w:val="08815D8B"/>
    <w:rsid w:val="0932556D"/>
    <w:rsid w:val="095A32C1"/>
    <w:rsid w:val="096C6DF1"/>
    <w:rsid w:val="0994152E"/>
    <w:rsid w:val="09CA4A49"/>
    <w:rsid w:val="0A263634"/>
    <w:rsid w:val="0A6174F1"/>
    <w:rsid w:val="0A786C09"/>
    <w:rsid w:val="0A9052A5"/>
    <w:rsid w:val="0B964365"/>
    <w:rsid w:val="0BC41224"/>
    <w:rsid w:val="0BDF4B42"/>
    <w:rsid w:val="0C871385"/>
    <w:rsid w:val="0C961EA1"/>
    <w:rsid w:val="0CDF57F4"/>
    <w:rsid w:val="0D874AFD"/>
    <w:rsid w:val="0E460DCC"/>
    <w:rsid w:val="0E483F00"/>
    <w:rsid w:val="0E511842"/>
    <w:rsid w:val="0FB50233"/>
    <w:rsid w:val="0FB608BC"/>
    <w:rsid w:val="1050467E"/>
    <w:rsid w:val="10CD4389"/>
    <w:rsid w:val="11195595"/>
    <w:rsid w:val="11270A41"/>
    <w:rsid w:val="11326EB7"/>
    <w:rsid w:val="11EE00D5"/>
    <w:rsid w:val="12911695"/>
    <w:rsid w:val="129D460C"/>
    <w:rsid w:val="12C53952"/>
    <w:rsid w:val="13385BCC"/>
    <w:rsid w:val="13397BCE"/>
    <w:rsid w:val="13640E5B"/>
    <w:rsid w:val="13A726E2"/>
    <w:rsid w:val="144A13CC"/>
    <w:rsid w:val="14B86A5E"/>
    <w:rsid w:val="16574ED9"/>
    <w:rsid w:val="168E25CD"/>
    <w:rsid w:val="16F75866"/>
    <w:rsid w:val="16FA78CA"/>
    <w:rsid w:val="17397720"/>
    <w:rsid w:val="17F71489"/>
    <w:rsid w:val="183C78CE"/>
    <w:rsid w:val="18B52DD6"/>
    <w:rsid w:val="191537C8"/>
    <w:rsid w:val="19166917"/>
    <w:rsid w:val="1A807E46"/>
    <w:rsid w:val="1A807E56"/>
    <w:rsid w:val="1AA80D1D"/>
    <w:rsid w:val="1AE16358"/>
    <w:rsid w:val="1B063A1F"/>
    <w:rsid w:val="1B5F2753"/>
    <w:rsid w:val="1BD15AF4"/>
    <w:rsid w:val="1BD92985"/>
    <w:rsid w:val="1CD3289A"/>
    <w:rsid w:val="1D615742"/>
    <w:rsid w:val="1D7019C1"/>
    <w:rsid w:val="1D833669"/>
    <w:rsid w:val="1D971EF3"/>
    <w:rsid w:val="1DBD8960"/>
    <w:rsid w:val="1E5410D3"/>
    <w:rsid w:val="1E776B18"/>
    <w:rsid w:val="1EAC0D7B"/>
    <w:rsid w:val="1EC12CF5"/>
    <w:rsid w:val="1F500934"/>
    <w:rsid w:val="1F5B4370"/>
    <w:rsid w:val="1FAA5120"/>
    <w:rsid w:val="1FB42712"/>
    <w:rsid w:val="1FBF3DD5"/>
    <w:rsid w:val="1FD941DA"/>
    <w:rsid w:val="1FEA5825"/>
    <w:rsid w:val="1FF73375"/>
    <w:rsid w:val="20665273"/>
    <w:rsid w:val="20DB35F6"/>
    <w:rsid w:val="21235661"/>
    <w:rsid w:val="216319C4"/>
    <w:rsid w:val="2173382E"/>
    <w:rsid w:val="220E3E9E"/>
    <w:rsid w:val="22696E4A"/>
    <w:rsid w:val="228A52D3"/>
    <w:rsid w:val="22A7A1EE"/>
    <w:rsid w:val="23815F46"/>
    <w:rsid w:val="23A00FD0"/>
    <w:rsid w:val="23A368F7"/>
    <w:rsid w:val="23D46DC8"/>
    <w:rsid w:val="23F5677C"/>
    <w:rsid w:val="24526CBD"/>
    <w:rsid w:val="245D6F1C"/>
    <w:rsid w:val="24A227D3"/>
    <w:rsid w:val="250C005C"/>
    <w:rsid w:val="255D282B"/>
    <w:rsid w:val="257C4A65"/>
    <w:rsid w:val="25D9458E"/>
    <w:rsid w:val="25EE29B2"/>
    <w:rsid w:val="260A429C"/>
    <w:rsid w:val="260C1F4B"/>
    <w:rsid w:val="2699450E"/>
    <w:rsid w:val="26B33C0B"/>
    <w:rsid w:val="26E7E34E"/>
    <w:rsid w:val="26F539E8"/>
    <w:rsid w:val="275B2D9A"/>
    <w:rsid w:val="27E47234"/>
    <w:rsid w:val="27FA547A"/>
    <w:rsid w:val="27FB2575"/>
    <w:rsid w:val="289E713B"/>
    <w:rsid w:val="28DD1D90"/>
    <w:rsid w:val="296F084C"/>
    <w:rsid w:val="297B6A7D"/>
    <w:rsid w:val="29FE4B95"/>
    <w:rsid w:val="2A455781"/>
    <w:rsid w:val="2A7A3965"/>
    <w:rsid w:val="2A80787C"/>
    <w:rsid w:val="2A8F3EC9"/>
    <w:rsid w:val="2A93505E"/>
    <w:rsid w:val="2B7FCBC1"/>
    <w:rsid w:val="2B9777BC"/>
    <w:rsid w:val="2C002159"/>
    <w:rsid w:val="2DD75DC8"/>
    <w:rsid w:val="2DE73540"/>
    <w:rsid w:val="2DEF151A"/>
    <w:rsid w:val="2DF769DC"/>
    <w:rsid w:val="2DFDCA5F"/>
    <w:rsid w:val="2DFDEF9D"/>
    <w:rsid w:val="2DFE9ED2"/>
    <w:rsid w:val="2E570E39"/>
    <w:rsid w:val="2EA92E66"/>
    <w:rsid w:val="2ECA0CB3"/>
    <w:rsid w:val="2ED50269"/>
    <w:rsid w:val="2EEA0EAE"/>
    <w:rsid w:val="2EED128A"/>
    <w:rsid w:val="2F33419E"/>
    <w:rsid w:val="2F453EFD"/>
    <w:rsid w:val="2F7A4177"/>
    <w:rsid w:val="2FBB8AD3"/>
    <w:rsid w:val="2FF9E8AA"/>
    <w:rsid w:val="2FFF36BE"/>
    <w:rsid w:val="3113102A"/>
    <w:rsid w:val="3115529C"/>
    <w:rsid w:val="31B76384"/>
    <w:rsid w:val="320B1AE3"/>
    <w:rsid w:val="32165B50"/>
    <w:rsid w:val="326B0E40"/>
    <w:rsid w:val="32B03984"/>
    <w:rsid w:val="33C67647"/>
    <w:rsid w:val="33D04B10"/>
    <w:rsid w:val="34151D3E"/>
    <w:rsid w:val="34727F6D"/>
    <w:rsid w:val="35745447"/>
    <w:rsid w:val="35950425"/>
    <w:rsid w:val="36533F02"/>
    <w:rsid w:val="369239E3"/>
    <w:rsid w:val="377F486E"/>
    <w:rsid w:val="37813EA9"/>
    <w:rsid w:val="378B2B5D"/>
    <w:rsid w:val="37F9916F"/>
    <w:rsid w:val="381B47D2"/>
    <w:rsid w:val="386FACB3"/>
    <w:rsid w:val="38AE7080"/>
    <w:rsid w:val="38FB2CC8"/>
    <w:rsid w:val="390262E6"/>
    <w:rsid w:val="391D56C6"/>
    <w:rsid w:val="39240A2E"/>
    <w:rsid w:val="39A77F9D"/>
    <w:rsid w:val="39BFDD17"/>
    <w:rsid w:val="3A4A6576"/>
    <w:rsid w:val="3A648840"/>
    <w:rsid w:val="3A723551"/>
    <w:rsid w:val="3AC07947"/>
    <w:rsid w:val="3AEC1CA2"/>
    <w:rsid w:val="3AEF411A"/>
    <w:rsid w:val="3AFF01EF"/>
    <w:rsid w:val="3B2D5FC6"/>
    <w:rsid w:val="3B3DC2A9"/>
    <w:rsid w:val="3B777999"/>
    <w:rsid w:val="3BB165B1"/>
    <w:rsid w:val="3BD78CFD"/>
    <w:rsid w:val="3BEFD7D2"/>
    <w:rsid w:val="3BFDE29B"/>
    <w:rsid w:val="3D6BF3A2"/>
    <w:rsid w:val="3DB521D7"/>
    <w:rsid w:val="3DFFC46E"/>
    <w:rsid w:val="3E363529"/>
    <w:rsid w:val="3E4B3781"/>
    <w:rsid w:val="3E520203"/>
    <w:rsid w:val="3E6EBE7D"/>
    <w:rsid w:val="3EA606BD"/>
    <w:rsid w:val="3EB76EA9"/>
    <w:rsid w:val="3EBC1B98"/>
    <w:rsid w:val="3EEF565A"/>
    <w:rsid w:val="3EF7E3D7"/>
    <w:rsid w:val="3F4C367C"/>
    <w:rsid w:val="3F6CBBE6"/>
    <w:rsid w:val="3F7D186B"/>
    <w:rsid w:val="3FB86B84"/>
    <w:rsid w:val="3FCF0EA0"/>
    <w:rsid w:val="3FDDF602"/>
    <w:rsid w:val="3FE9ABA6"/>
    <w:rsid w:val="3FED9C1C"/>
    <w:rsid w:val="3FF03EED"/>
    <w:rsid w:val="3FF6647C"/>
    <w:rsid w:val="3FF7E6AC"/>
    <w:rsid w:val="3FFDF530"/>
    <w:rsid w:val="3FFF5B84"/>
    <w:rsid w:val="3FFF8AEA"/>
    <w:rsid w:val="3FFF953A"/>
    <w:rsid w:val="401B5E64"/>
    <w:rsid w:val="40C4166B"/>
    <w:rsid w:val="40D500DF"/>
    <w:rsid w:val="40E774C7"/>
    <w:rsid w:val="426C502D"/>
    <w:rsid w:val="42FA07E7"/>
    <w:rsid w:val="436810AE"/>
    <w:rsid w:val="437F7043"/>
    <w:rsid w:val="44EF1B00"/>
    <w:rsid w:val="45CF4E46"/>
    <w:rsid w:val="46515BFC"/>
    <w:rsid w:val="46C45511"/>
    <w:rsid w:val="46EB2E89"/>
    <w:rsid w:val="46F570F1"/>
    <w:rsid w:val="4778447E"/>
    <w:rsid w:val="47CC73F7"/>
    <w:rsid w:val="47FBC172"/>
    <w:rsid w:val="480E23EA"/>
    <w:rsid w:val="48391F39"/>
    <w:rsid w:val="487B71DD"/>
    <w:rsid w:val="48867AAB"/>
    <w:rsid w:val="48E24C72"/>
    <w:rsid w:val="492E4DD9"/>
    <w:rsid w:val="498A77E3"/>
    <w:rsid w:val="49BF4FB3"/>
    <w:rsid w:val="49DF7A74"/>
    <w:rsid w:val="49EFDA04"/>
    <w:rsid w:val="49FA2929"/>
    <w:rsid w:val="4A1E73E6"/>
    <w:rsid w:val="4A635F53"/>
    <w:rsid w:val="4AF773D7"/>
    <w:rsid w:val="4B3B3F0F"/>
    <w:rsid w:val="4B895879"/>
    <w:rsid w:val="4B974077"/>
    <w:rsid w:val="4BA90D67"/>
    <w:rsid w:val="4BFD0804"/>
    <w:rsid w:val="4BFFF00D"/>
    <w:rsid w:val="4C35155C"/>
    <w:rsid w:val="4CB90AB7"/>
    <w:rsid w:val="4CB92AAE"/>
    <w:rsid w:val="4D5325E2"/>
    <w:rsid w:val="4D9329DF"/>
    <w:rsid w:val="4DBF65EB"/>
    <w:rsid w:val="4DFC2D90"/>
    <w:rsid w:val="4E050DB4"/>
    <w:rsid w:val="4E25488F"/>
    <w:rsid w:val="4E7B1F42"/>
    <w:rsid w:val="4F1B0E49"/>
    <w:rsid w:val="4F3877D4"/>
    <w:rsid w:val="4F786B55"/>
    <w:rsid w:val="4F7A8AD3"/>
    <w:rsid w:val="4F7FF4D7"/>
    <w:rsid w:val="4F862FFE"/>
    <w:rsid w:val="4F8A1DA6"/>
    <w:rsid w:val="4FD940E8"/>
    <w:rsid w:val="4FDF282B"/>
    <w:rsid w:val="4FEB9FB4"/>
    <w:rsid w:val="50885837"/>
    <w:rsid w:val="50A1286C"/>
    <w:rsid w:val="50AB1B35"/>
    <w:rsid w:val="51E1787A"/>
    <w:rsid w:val="51F80DD4"/>
    <w:rsid w:val="523E68B0"/>
    <w:rsid w:val="52AD5656"/>
    <w:rsid w:val="52D4EA7B"/>
    <w:rsid w:val="52DC22B4"/>
    <w:rsid w:val="53205C12"/>
    <w:rsid w:val="533D5BE8"/>
    <w:rsid w:val="538958EC"/>
    <w:rsid w:val="53CA0723"/>
    <w:rsid w:val="542D7105"/>
    <w:rsid w:val="55830218"/>
    <w:rsid w:val="558980E0"/>
    <w:rsid w:val="55E705A4"/>
    <w:rsid w:val="56203A0C"/>
    <w:rsid w:val="56383DB0"/>
    <w:rsid w:val="56530FA2"/>
    <w:rsid w:val="56AD6CAF"/>
    <w:rsid w:val="56E53ADB"/>
    <w:rsid w:val="571B7CCD"/>
    <w:rsid w:val="575F1FD6"/>
    <w:rsid w:val="577C8E54"/>
    <w:rsid w:val="57B34FD7"/>
    <w:rsid w:val="57ECB103"/>
    <w:rsid w:val="57EF0FD8"/>
    <w:rsid w:val="57F7833A"/>
    <w:rsid w:val="57F7A4BC"/>
    <w:rsid w:val="57FB75FC"/>
    <w:rsid w:val="57FD7CF3"/>
    <w:rsid w:val="583F79EB"/>
    <w:rsid w:val="585A70CD"/>
    <w:rsid w:val="589C52AB"/>
    <w:rsid w:val="58E262A4"/>
    <w:rsid w:val="58F5D9DD"/>
    <w:rsid w:val="5948147C"/>
    <w:rsid w:val="59573EF3"/>
    <w:rsid w:val="59575B04"/>
    <w:rsid w:val="5A894C16"/>
    <w:rsid w:val="5AB756DD"/>
    <w:rsid w:val="5AFCBC6B"/>
    <w:rsid w:val="5B669575"/>
    <w:rsid w:val="5BDB3721"/>
    <w:rsid w:val="5C18763C"/>
    <w:rsid w:val="5C3E3948"/>
    <w:rsid w:val="5C4F6BDD"/>
    <w:rsid w:val="5C7E18E6"/>
    <w:rsid w:val="5C7F7B4E"/>
    <w:rsid w:val="5CD834DE"/>
    <w:rsid w:val="5CDA0FE8"/>
    <w:rsid w:val="5CE7B0FA"/>
    <w:rsid w:val="5D242C88"/>
    <w:rsid w:val="5D6B5466"/>
    <w:rsid w:val="5D7921C9"/>
    <w:rsid w:val="5DAD7E49"/>
    <w:rsid w:val="5DEFCEC9"/>
    <w:rsid w:val="5DFB97BE"/>
    <w:rsid w:val="5DFE3F84"/>
    <w:rsid w:val="5DFFA384"/>
    <w:rsid w:val="5E7A9A9A"/>
    <w:rsid w:val="5E7FBC5C"/>
    <w:rsid w:val="5E7FDF2E"/>
    <w:rsid w:val="5EDD6377"/>
    <w:rsid w:val="5EEBD77D"/>
    <w:rsid w:val="5EED101E"/>
    <w:rsid w:val="5EF76024"/>
    <w:rsid w:val="5EFF59D6"/>
    <w:rsid w:val="5EFF974D"/>
    <w:rsid w:val="5F374DB3"/>
    <w:rsid w:val="5F6F9EA4"/>
    <w:rsid w:val="5F8A68FB"/>
    <w:rsid w:val="5FA911F0"/>
    <w:rsid w:val="5FB6F504"/>
    <w:rsid w:val="5FC3061C"/>
    <w:rsid w:val="5FE1BD42"/>
    <w:rsid w:val="5FEE76E6"/>
    <w:rsid w:val="5FF6065B"/>
    <w:rsid w:val="5FF68925"/>
    <w:rsid w:val="5FF9FE18"/>
    <w:rsid w:val="5FFE7695"/>
    <w:rsid w:val="5FFF5101"/>
    <w:rsid w:val="5FFFBFA9"/>
    <w:rsid w:val="604734C2"/>
    <w:rsid w:val="60800E50"/>
    <w:rsid w:val="609B78A2"/>
    <w:rsid w:val="61178030"/>
    <w:rsid w:val="621C3AE7"/>
    <w:rsid w:val="622A5268"/>
    <w:rsid w:val="62A16A3A"/>
    <w:rsid w:val="635380E9"/>
    <w:rsid w:val="638804EE"/>
    <w:rsid w:val="63A72136"/>
    <w:rsid w:val="63BEF433"/>
    <w:rsid w:val="63E76A66"/>
    <w:rsid w:val="642B56B0"/>
    <w:rsid w:val="647B5B72"/>
    <w:rsid w:val="649B339C"/>
    <w:rsid w:val="64EFA138"/>
    <w:rsid w:val="65CF4325"/>
    <w:rsid w:val="65D33E68"/>
    <w:rsid w:val="65ED1F71"/>
    <w:rsid w:val="65FDAEE0"/>
    <w:rsid w:val="65FFC3A4"/>
    <w:rsid w:val="65FFEC08"/>
    <w:rsid w:val="66573B66"/>
    <w:rsid w:val="66AD4262"/>
    <w:rsid w:val="66B71094"/>
    <w:rsid w:val="66CB19B2"/>
    <w:rsid w:val="66FECB51"/>
    <w:rsid w:val="675B5A36"/>
    <w:rsid w:val="6763D5B0"/>
    <w:rsid w:val="67871415"/>
    <w:rsid w:val="67DFDD99"/>
    <w:rsid w:val="67E75D98"/>
    <w:rsid w:val="685E3EBD"/>
    <w:rsid w:val="687B3CF3"/>
    <w:rsid w:val="69A521C6"/>
    <w:rsid w:val="69AF24F6"/>
    <w:rsid w:val="69AF5125"/>
    <w:rsid w:val="69BC2895"/>
    <w:rsid w:val="69DD1E00"/>
    <w:rsid w:val="69E414DD"/>
    <w:rsid w:val="69FBDDC7"/>
    <w:rsid w:val="6A660B83"/>
    <w:rsid w:val="6A7F6D13"/>
    <w:rsid w:val="6AB867A9"/>
    <w:rsid w:val="6AE0106A"/>
    <w:rsid w:val="6AFAC7B1"/>
    <w:rsid w:val="6B1F2D84"/>
    <w:rsid w:val="6B675079"/>
    <w:rsid w:val="6B7DE963"/>
    <w:rsid w:val="6B9F922F"/>
    <w:rsid w:val="6BCC579C"/>
    <w:rsid w:val="6BCFABFB"/>
    <w:rsid w:val="6BE173F2"/>
    <w:rsid w:val="6BEDDD7D"/>
    <w:rsid w:val="6C5B06F6"/>
    <w:rsid w:val="6C8E09D2"/>
    <w:rsid w:val="6CEB0DBC"/>
    <w:rsid w:val="6D410C09"/>
    <w:rsid w:val="6D7FBAFD"/>
    <w:rsid w:val="6D7FD33D"/>
    <w:rsid w:val="6D8707CD"/>
    <w:rsid w:val="6D99C997"/>
    <w:rsid w:val="6DA809BC"/>
    <w:rsid w:val="6DBB907A"/>
    <w:rsid w:val="6DFEA535"/>
    <w:rsid w:val="6DFFA9F6"/>
    <w:rsid w:val="6E159DA2"/>
    <w:rsid w:val="6E5DDBDC"/>
    <w:rsid w:val="6E6901BA"/>
    <w:rsid w:val="6E9E9F2D"/>
    <w:rsid w:val="6EBD7952"/>
    <w:rsid w:val="6EC60388"/>
    <w:rsid w:val="6F014DEF"/>
    <w:rsid w:val="6F705A5C"/>
    <w:rsid w:val="6F880F97"/>
    <w:rsid w:val="6FA369DD"/>
    <w:rsid w:val="6FD3808E"/>
    <w:rsid w:val="6FD9D43E"/>
    <w:rsid w:val="6FDE616D"/>
    <w:rsid w:val="6FDFD0C5"/>
    <w:rsid w:val="6FED74AE"/>
    <w:rsid w:val="6FFCE334"/>
    <w:rsid w:val="6FFE7508"/>
    <w:rsid w:val="6FFFF4AF"/>
    <w:rsid w:val="70E78717"/>
    <w:rsid w:val="70F17C47"/>
    <w:rsid w:val="71DF0AF3"/>
    <w:rsid w:val="71E82352"/>
    <w:rsid w:val="71FB2FE3"/>
    <w:rsid w:val="72211E04"/>
    <w:rsid w:val="722B3E46"/>
    <w:rsid w:val="723F696E"/>
    <w:rsid w:val="724759C2"/>
    <w:rsid w:val="733F4938"/>
    <w:rsid w:val="73AE4630"/>
    <w:rsid w:val="73EB24A3"/>
    <w:rsid w:val="73EF23B4"/>
    <w:rsid w:val="73EF394F"/>
    <w:rsid w:val="73FF29DC"/>
    <w:rsid w:val="748FE1E7"/>
    <w:rsid w:val="74DC1816"/>
    <w:rsid w:val="750730BA"/>
    <w:rsid w:val="755961C5"/>
    <w:rsid w:val="75CB4C31"/>
    <w:rsid w:val="75F820E8"/>
    <w:rsid w:val="75FB9FF3"/>
    <w:rsid w:val="75FE5A48"/>
    <w:rsid w:val="75FF56C0"/>
    <w:rsid w:val="761C22AB"/>
    <w:rsid w:val="765F4657"/>
    <w:rsid w:val="76801CDA"/>
    <w:rsid w:val="76F25A9D"/>
    <w:rsid w:val="76FB0E00"/>
    <w:rsid w:val="76FEB484"/>
    <w:rsid w:val="77304047"/>
    <w:rsid w:val="775A16EB"/>
    <w:rsid w:val="775DCAF6"/>
    <w:rsid w:val="777FFB87"/>
    <w:rsid w:val="77AB2709"/>
    <w:rsid w:val="77B72734"/>
    <w:rsid w:val="77BA91FC"/>
    <w:rsid w:val="77CD59C0"/>
    <w:rsid w:val="77DF124C"/>
    <w:rsid w:val="77EDFFAF"/>
    <w:rsid w:val="77FD9252"/>
    <w:rsid w:val="77FE32EC"/>
    <w:rsid w:val="77FE8B6E"/>
    <w:rsid w:val="791743F7"/>
    <w:rsid w:val="797F8114"/>
    <w:rsid w:val="798031CF"/>
    <w:rsid w:val="79FB5FAF"/>
    <w:rsid w:val="7A2FB116"/>
    <w:rsid w:val="7A352DFF"/>
    <w:rsid w:val="7A376519"/>
    <w:rsid w:val="7A3F6EB8"/>
    <w:rsid w:val="7A67D8E4"/>
    <w:rsid w:val="7AA41EB8"/>
    <w:rsid w:val="7AF1EB58"/>
    <w:rsid w:val="7AF71059"/>
    <w:rsid w:val="7AFCBFBD"/>
    <w:rsid w:val="7B2F27DC"/>
    <w:rsid w:val="7B5D6E41"/>
    <w:rsid w:val="7B6E6DF3"/>
    <w:rsid w:val="7B7E918F"/>
    <w:rsid w:val="7B7F2C31"/>
    <w:rsid w:val="7BB66289"/>
    <w:rsid w:val="7BCCCAA1"/>
    <w:rsid w:val="7BD9CB31"/>
    <w:rsid w:val="7BE3C6C4"/>
    <w:rsid w:val="7BE70D0A"/>
    <w:rsid w:val="7BED67F5"/>
    <w:rsid w:val="7BF9018F"/>
    <w:rsid w:val="7BFDA313"/>
    <w:rsid w:val="7BFF3E46"/>
    <w:rsid w:val="7C137A81"/>
    <w:rsid w:val="7C292323"/>
    <w:rsid w:val="7C423ACB"/>
    <w:rsid w:val="7C774249"/>
    <w:rsid w:val="7C850C3F"/>
    <w:rsid w:val="7C9E5EE6"/>
    <w:rsid w:val="7CBBCED2"/>
    <w:rsid w:val="7CBD0039"/>
    <w:rsid w:val="7CCE6F60"/>
    <w:rsid w:val="7CCF4580"/>
    <w:rsid w:val="7CDF64C7"/>
    <w:rsid w:val="7D79DF34"/>
    <w:rsid w:val="7D7EABE1"/>
    <w:rsid w:val="7D7F419E"/>
    <w:rsid w:val="7D7FB7BE"/>
    <w:rsid w:val="7DAB4387"/>
    <w:rsid w:val="7DBD8EB2"/>
    <w:rsid w:val="7DBF075B"/>
    <w:rsid w:val="7DD97AA7"/>
    <w:rsid w:val="7DDB05A4"/>
    <w:rsid w:val="7DDD2722"/>
    <w:rsid w:val="7DDFA753"/>
    <w:rsid w:val="7DEAA60B"/>
    <w:rsid w:val="7DEB5413"/>
    <w:rsid w:val="7DEE0B18"/>
    <w:rsid w:val="7DEE768A"/>
    <w:rsid w:val="7DF514E7"/>
    <w:rsid w:val="7DF9577A"/>
    <w:rsid w:val="7DF98B02"/>
    <w:rsid w:val="7DFF5D72"/>
    <w:rsid w:val="7DFF6D6E"/>
    <w:rsid w:val="7DFF74AD"/>
    <w:rsid w:val="7DFFE1BD"/>
    <w:rsid w:val="7E3B3277"/>
    <w:rsid w:val="7E5F1FD6"/>
    <w:rsid w:val="7E7D8ABF"/>
    <w:rsid w:val="7E9B1278"/>
    <w:rsid w:val="7EB1EA29"/>
    <w:rsid w:val="7EBDE22E"/>
    <w:rsid w:val="7EBF4E53"/>
    <w:rsid w:val="7EBF6762"/>
    <w:rsid w:val="7EBF841F"/>
    <w:rsid w:val="7EF1BD9C"/>
    <w:rsid w:val="7EFB3B17"/>
    <w:rsid w:val="7EFCFAD4"/>
    <w:rsid w:val="7EFD0516"/>
    <w:rsid w:val="7EFF3B41"/>
    <w:rsid w:val="7EFF6CE0"/>
    <w:rsid w:val="7F3217A8"/>
    <w:rsid w:val="7F434F43"/>
    <w:rsid w:val="7F6F325F"/>
    <w:rsid w:val="7F75E46A"/>
    <w:rsid w:val="7F7D4D66"/>
    <w:rsid w:val="7F8D69DE"/>
    <w:rsid w:val="7F923854"/>
    <w:rsid w:val="7F9D2CC6"/>
    <w:rsid w:val="7FAA92EA"/>
    <w:rsid w:val="7FAB964F"/>
    <w:rsid w:val="7FADC894"/>
    <w:rsid w:val="7FADCEB7"/>
    <w:rsid w:val="7FAF8E99"/>
    <w:rsid w:val="7FAF9BEF"/>
    <w:rsid w:val="7FAFECCB"/>
    <w:rsid w:val="7FB5AD8E"/>
    <w:rsid w:val="7FB70309"/>
    <w:rsid w:val="7FBEA4D8"/>
    <w:rsid w:val="7FC71DFA"/>
    <w:rsid w:val="7FCE9B4A"/>
    <w:rsid w:val="7FD74590"/>
    <w:rsid w:val="7FDED9E5"/>
    <w:rsid w:val="7FE37818"/>
    <w:rsid w:val="7FEAA9AB"/>
    <w:rsid w:val="7FFD73C0"/>
    <w:rsid w:val="7FFDE014"/>
    <w:rsid w:val="7FFEC443"/>
    <w:rsid w:val="7FFF351D"/>
    <w:rsid w:val="7FFF8137"/>
    <w:rsid w:val="7FFFD4F9"/>
    <w:rsid w:val="87EFB873"/>
    <w:rsid w:val="8BBD71C6"/>
    <w:rsid w:val="8BDB5640"/>
    <w:rsid w:val="8BF73B00"/>
    <w:rsid w:val="8CFAC852"/>
    <w:rsid w:val="8DD50D56"/>
    <w:rsid w:val="939FA03F"/>
    <w:rsid w:val="96BFCB2F"/>
    <w:rsid w:val="973F25DC"/>
    <w:rsid w:val="97EF25B5"/>
    <w:rsid w:val="992FC3A9"/>
    <w:rsid w:val="99FDBB83"/>
    <w:rsid w:val="9B77CB3B"/>
    <w:rsid w:val="9B8B32CE"/>
    <w:rsid w:val="9BDBED88"/>
    <w:rsid w:val="9BF5DD3C"/>
    <w:rsid w:val="9D7A5340"/>
    <w:rsid w:val="9DEE0AF2"/>
    <w:rsid w:val="9F1BAF19"/>
    <w:rsid w:val="9F6FCCBD"/>
    <w:rsid w:val="9F7B353E"/>
    <w:rsid w:val="9F97ABBB"/>
    <w:rsid w:val="9FB59D1C"/>
    <w:rsid w:val="9FCD91C3"/>
    <w:rsid w:val="9FE392F3"/>
    <w:rsid w:val="9FEFA79E"/>
    <w:rsid w:val="A6CD27B8"/>
    <w:rsid w:val="A6FB25A1"/>
    <w:rsid w:val="A77FBB3D"/>
    <w:rsid w:val="A7DE9939"/>
    <w:rsid w:val="ABEBF671"/>
    <w:rsid w:val="ACD7FBCE"/>
    <w:rsid w:val="AD5FC3D8"/>
    <w:rsid w:val="ADFCDA63"/>
    <w:rsid w:val="AEFE2613"/>
    <w:rsid w:val="AF6D42D8"/>
    <w:rsid w:val="AF7B5CBD"/>
    <w:rsid w:val="AFF2AFD8"/>
    <w:rsid w:val="B0DD6782"/>
    <w:rsid w:val="B1BC1CFE"/>
    <w:rsid w:val="B3F789F3"/>
    <w:rsid w:val="B5E6287B"/>
    <w:rsid w:val="B5FFA584"/>
    <w:rsid w:val="B67F43DA"/>
    <w:rsid w:val="B7AAC7AB"/>
    <w:rsid w:val="B7BA8507"/>
    <w:rsid w:val="B7BD6C08"/>
    <w:rsid w:val="B7BF2100"/>
    <w:rsid w:val="B7BF928E"/>
    <w:rsid w:val="B7DB7E02"/>
    <w:rsid w:val="B7EFE48C"/>
    <w:rsid w:val="B7FB4104"/>
    <w:rsid w:val="B8F1D304"/>
    <w:rsid w:val="B9DFF72D"/>
    <w:rsid w:val="B9FE2322"/>
    <w:rsid w:val="BA9D2B5C"/>
    <w:rsid w:val="BB2DFF0C"/>
    <w:rsid w:val="BBB73ED3"/>
    <w:rsid w:val="BBDDE668"/>
    <w:rsid w:val="BBF976E4"/>
    <w:rsid w:val="BCFD65E9"/>
    <w:rsid w:val="BD1FFFD0"/>
    <w:rsid w:val="BD574E1A"/>
    <w:rsid w:val="BDD35FA2"/>
    <w:rsid w:val="BDFED098"/>
    <w:rsid w:val="BEFF32EE"/>
    <w:rsid w:val="BF3DD8EC"/>
    <w:rsid w:val="BF66D87B"/>
    <w:rsid w:val="BF7FA6A8"/>
    <w:rsid w:val="BF86A395"/>
    <w:rsid w:val="BF8B3571"/>
    <w:rsid w:val="BFAFE011"/>
    <w:rsid w:val="BFBED802"/>
    <w:rsid w:val="BFD7166A"/>
    <w:rsid w:val="BFE91E89"/>
    <w:rsid w:val="BFFDEDCF"/>
    <w:rsid w:val="BFFE8C2C"/>
    <w:rsid w:val="BFFFD4F7"/>
    <w:rsid w:val="C76F1B9F"/>
    <w:rsid w:val="CB7716C7"/>
    <w:rsid w:val="CBA5DAA6"/>
    <w:rsid w:val="CC6DE0F8"/>
    <w:rsid w:val="CCDD67D1"/>
    <w:rsid w:val="CD7F210F"/>
    <w:rsid w:val="D2BFFCB1"/>
    <w:rsid w:val="D3DF06DD"/>
    <w:rsid w:val="D3FDADCA"/>
    <w:rsid w:val="D5BF67B5"/>
    <w:rsid w:val="D5FFDDD5"/>
    <w:rsid w:val="D6EF683A"/>
    <w:rsid w:val="D74F8C7A"/>
    <w:rsid w:val="D8F1B670"/>
    <w:rsid w:val="D9BD4245"/>
    <w:rsid w:val="D9BF9829"/>
    <w:rsid w:val="DB5C880C"/>
    <w:rsid w:val="DB9D06EC"/>
    <w:rsid w:val="DBFA615B"/>
    <w:rsid w:val="DC676154"/>
    <w:rsid w:val="DCED8BC2"/>
    <w:rsid w:val="DD750548"/>
    <w:rsid w:val="DDEF21EF"/>
    <w:rsid w:val="DDFE3EC8"/>
    <w:rsid w:val="DDFEE100"/>
    <w:rsid w:val="DDFF03F5"/>
    <w:rsid w:val="DE3A4BE9"/>
    <w:rsid w:val="DE7B74E6"/>
    <w:rsid w:val="DEB67C06"/>
    <w:rsid w:val="DEB75CB5"/>
    <w:rsid w:val="DEB8D6C0"/>
    <w:rsid w:val="DEC755C4"/>
    <w:rsid w:val="DEE5F43D"/>
    <w:rsid w:val="DF5E709F"/>
    <w:rsid w:val="DFB7B065"/>
    <w:rsid w:val="DFE722C8"/>
    <w:rsid w:val="DFEADEEC"/>
    <w:rsid w:val="DFED96F5"/>
    <w:rsid w:val="DFF5BE25"/>
    <w:rsid w:val="DFFDF294"/>
    <w:rsid w:val="DFFE36F4"/>
    <w:rsid w:val="DFFF83D7"/>
    <w:rsid w:val="E1AE537B"/>
    <w:rsid w:val="E377CAD3"/>
    <w:rsid w:val="E5D7312E"/>
    <w:rsid w:val="E6EFE6B2"/>
    <w:rsid w:val="E75F346D"/>
    <w:rsid w:val="E77B90FD"/>
    <w:rsid w:val="E77EE8BD"/>
    <w:rsid w:val="E7FDD106"/>
    <w:rsid w:val="E7FF509E"/>
    <w:rsid w:val="E9EC7ED8"/>
    <w:rsid w:val="E9FD7CB3"/>
    <w:rsid w:val="EABE1C3F"/>
    <w:rsid w:val="EAFB901F"/>
    <w:rsid w:val="EB1ED3A4"/>
    <w:rsid w:val="EB76BA0A"/>
    <w:rsid w:val="EBA3F109"/>
    <w:rsid w:val="EBBE8894"/>
    <w:rsid w:val="EBDB85E2"/>
    <w:rsid w:val="EBDFAC8B"/>
    <w:rsid w:val="EBF58581"/>
    <w:rsid w:val="EBFAD5A7"/>
    <w:rsid w:val="ECFD547B"/>
    <w:rsid w:val="EDBB1478"/>
    <w:rsid w:val="EDDE5DAF"/>
    <w:rsid w:val="EDE12409"/>
    <w:rsid w:val="EDFB5EF7"/>
    <w:rsid w:val="EE7F1E85"/>
    <w:rsid w:val="EE8FF47B"/>
    <w:rsid w:val="EEFE3F12"/>
    <w:rsid w:val="EF36B7FB"/>
    <w:rsid w:val="EF3E4456"/>
    <w:rsid w:val="EF6AC498"/>
    <w:rsid w:val="EF6F0BE8"/>
    <w:rsid w:val="EF7DDF33"/>
    <w:rsid w:val="EF7E72E2"/>
    <w:rsid w:val="EFAF4FD4"/>
    <w:rsid w:val="EFE7B20E"/>
    <w:rsid w:val="EFEFB4B1"/>
    <w:rsid w:val="EFF5C566"/>
    <w:rsid w:val="EFFB1BAC"/>
    <w:rsid w:val="EFFD145D"/>
    <w:rsid w:val="EFFD8CFF"/>
    <w:rsid w:val="F1F5D3C4"/>
    <w:rsid w:val="F275DA76"/>
    <w:rsid w:val="F2DF2013"/>
    <w:rsid w:val="F32FB4EF"/>
    <w:rsid w:val="F3B33006"/>
    <w:rsid w:val="F3D90753"/>
    <w:rsid w:val="F3FFE6B5"/>
    <w:rsid w:val="F4FA30E7"/>
    <w:rsid w:val="F53FC911"/>
    <w:rsid w:val="F5750987"/>
    <w:rsid w:val="F5E75DD7"/>
    <w:rsid w:val="F5F30E22"/>
    <w:rsid w:val="F5FF5345"/>
    <w:rsid w:val="F64BCF72"/>
    <w:rsid w:val="F65D0F29"/>
    <w:rsid w:val="F66F9C62"/>
    <w:rsid w:val="F6B7E99E"/>
    <w:rsid w:val="F6B93B3E"/>
    <w:rsid w:val="F6DA814B"/>
    <w:rsid w:val="F6FCA072"/>
    <w:rsid w:val="F6FE3890"/>
    <w:rsid w:val="F6FE4781"/>
    <w:rsid w:val="F767787F"/>
    <w:rsid w:val="F7779F5E"/>
    <w:rsid w:val="F77B79BE"/>
    <w:rsid w:val="F77FFFC8"/>
    <w:rsid w:val="F7AD5629"/>
    <w:rsid w:val="F7AF4754"/>
    <w:rsid w:val="F7AF6DC5"/>
    <w:rsid w:val="F7BF4DCB"/>
    <w:rsid w:val="F7CB1098"/>
    <w:rsid w:val="F7D35C9B"/>
    <w:rsid w:val="F7D62FCE"/>
    <w:rsid w:val="F7DEBAE4"/>
    <w:rsid w:val="F7FEBCDB"/>
    <w:rsid w:val="F7FF8ABD"/>
    <w:rsid w:val="F7FFB081"/>
    <w:rsid w:val="F87F1A3D"/>
    <w:rsid w:val="F9BB8E09"/>
    <w:rsid w:val="F9BF68F8"/>
    <w:rsid w:val="F9CC6249"/>
    <w:rsid w:val="F9DE41CD"/>
    <w:rsid w:val="F9E751BA"/>
    <w:rsid w:val="FA3DCC22"/>
    <w:rsid w:val="FA6EA470"/>
    <w:rsid w:val="FAD6E1AF"/>
    <w:rsid w:val="FAEF69FA"/>
    <w:rsid w:val="FAFD2248"/>
    <w:rsid w:val="FAFDF4F8"/>
    <w:rsid w:val="FBAF6E9B"/>
    <w:rsid w:val="FBBF6130"/>
    <w:rsid w:val="FBEB7BF2"/>
    <w:rsid w:val="FBEBB3ED"/>
    <w:rsid w:val="FBFB0CD5"/>
    <w:rsid w:val="FBFC2E41"/>
    <w:rsid w:val="FBFD30AE"/>
    <w:rsid w:val="FBFEC197"/>
    <w:rsid w:val="FBFF6FD8"/>
    <w:rsid w:val="FBFFEA55"/>
    <w:rsid w:val="FC5E3D7D"/>
    <w:rsid w:val="FCFD6AF8"/>
    <w:rsid w:val="FCFFE151"/>
    <w:rsid w:val="FD679674"/>
    <w:rsid w:val="FD77CD95"/>
    <w:rsid w:val="FD7EE6D9"/>
    <w:rsid w:val="FD7F22E7"/>
    <w:rsid w:val="FDAD20B2"/>
    <w:rsid w:val="FDBD51EA"/>
    <w:rsid w:val="FDFB85B4"/>
    <w:rsid w:val="FDFF4920"/>
    <w:rsid w:val="FDFF96AE"/>
    <w:rsid w:val="FDFFF909"/>
    <w:rsid w:val="FE3F8F48"/>
    <w:rsid w:val="FE4FC563"/>
    <w:rsid w:val="FE539E0F"/>
    <w:rsid w:val="FE62886C"/>
    <w:rsid w:val="FEBF1833"/>
    <w:rsid w:val="FED61A61"/>
    <w:rsid w:val="FEDF65FC"/>
    <w:rsid w:val="FEE92AFA"/>
    <w:rsid w:val="FEEBB54D"/>
    <w:rsid w:val="FEEDE71C"/>
    <w:rsid w:val="FEF57FE0"/>
    <w:rsid w:val="FEF74162"/>
    <w:rsid w:val="FEF8F85A"/>
    <w:rsid w:val="FEFF5102"/>
    <w:rsid w:val="FF54E895"/>
    <w:rsid w:val="FF679C78"/>
    <w:rsid w:val="FF7780DB"/>
    <w:rsid w:val="FF7E1B76"/>
    <w:rsid w:val="FF7F1B75"/>
    <w:rsid w:val="FF7F442F"/>
    <w:rsid w:val="FF7F9012"/>
    <w:rsid w:val="FF7FBE0A"/>
    <w:rsid w:val="FFACB62B"/>
    <w:rsid w:val="FFBAE316"/>
    <w:rsid w:val="FFBB3092"/>
    <w:rsid w:val="FFBBC91E"/>
    <w:rsid w:val="FFBD2A63"/>
    <w:rsid w:val="FFBE8556"/>
    <w:rsid w:val="FFBEFFA5"/>
    <w:rsid w:val="FFBF6667"/>
    <w:rsid w:val="FFBFA54E"/>
    <w:rsid w:val="FFCBAC21"/>
    <w:rsid w:val="FFD2F072"/>
    <w:rsid w:val="FFD79819"/>
    <w:rsid w:val="FFD7D42B"/>
    <w:rsid w:val="FFDA555F"/>
    <w:rsid w:val="FFDF70C2"/>
    <w:rsid w:val="FFE703E8"/>
    <w:rsid w:val="FFEF3CED"/>
    <w:rsid w:val="FFF50D13"/>
    <w:rsid w:val="FFF77383"/>
    <w:rsid w:val="FFF93375"/>
    <w:rsid w:val="FFFAFFCB"/>
    <w:rsid w:val="FFFC772F"/>
    <w:rsid w:val="FFFDE791"/>
    <w:rsid w:val="FFFE2390"/>
    <w:rsid w:val="FFFF02D3"/>
    <w:rsid w:val="FFFF0B70"/>
    <w:rsid w:val="FFFF22AA"/>
    <w:rsid w:val="FFFF754C"/>
    <w:rsid w:val="FFFF9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仿宋_GB2312" w:cs="Times New Roman"/>
      <w:color w:val="000000"/>
      <w:sz w:val="32"/>
      <w:szCs w:val="24"/>
      <w:lang w:val="en-US" w:eastAsia="en-US" w:bidi="en-US"/>
    </w:rPr>
  </w:style>
  <w:style w:type="paragraph" w:styleId="2">
    <w:name w:val="heading 1"/>
    <w:basedOn w:val="1"/>
    <w:next w:val="1"/>
    <w:qFormat/>
    <w:uiPriority w:val="0"/>
    <w:pPr>
      <w:keepNext/>
      <w:keepLines/>
      <w:spacing w:before="50" w:beforeLines="50" w:after="50" w:afterLines="50"/>
      <w:ind w:firstLine="0" w:firstLineChars="0"/>
      <w:outlineLvl w:val="0"/>
    </w:pPr>
    <w:rPr>
      <w:rFonts w:eastAsia="黑体"/>
      <w:b/>
      <w:kern w:val="44"/>
    </w:rPr>
  </w:style>
  <w:style w:type="paragraph" w:styleId="3">
    <w:name w:val="heading 2"/>
    <w:basedOn w:val="1"/>
    <w:next w:val="1"/>
    <w:link w:val="27"/>
    <w:unhideWhenUsed/>
    <w:qFormat/>
    <w:uiPriority w:val="0"/>
    <w:pPr>
      <w:keepNext/>
      <w:keepLines/>
      <w:spacing w:before="50" w:beforeLines="50" w:after="50" w:afterLines="50"/>
      <w:outlineLvl w:val="1"/>
    </w:pPr>
    <w:rPr>
      <w:rFonts w:ascii="华文楷体" w:hAnsi="华文楷体" w:eastAsia="楷体"/>
      <w:b/>
    </w:rPr>
  </w:style>
  <w:style w:type="paragraph" w:styleId="4">
    <w:name w:val="heading 3"/>
    <w:basedOn w:val="1"/>
    <w:link w:val="28"/>
    <w:unhideWhenUsed/>
    <w:qFormat/>
    <w:uiPriority w:val="0"/>
    <w:pPr>
      <w:keepNext/>
      <w:keepLines/>
      <w:ind w:firstLine="200"/>
      <w:outlineLvl w:val="2"/>
    </w:pPr>
    <w:rPr>
      <w:b/>
    </w:rPr>
  </w:style>
  <w:style w:type="paragraph" w:styleId="5">
    <w:name w:val="heading 4"/>
    <w:basedOn w:val="1"/>
    <w:next w:val="1"/>
    <w:unhideWhenUsed/>
    <w:qFormat/>
    <w:uiPriority w:val="0"/>
    <w:pPr>
      <w:keepNext/>
      <w:keepLines/>
      <w:outlineLvl w:val="3"/>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Salutation"/>
    <w:basedOn w:val="1"/>
    <w:next w:val="1"/>
    <w:qFormat/>
    <w:uiPriority w:val="0"/>
  </w:style>
  <w:style w:type="paragraph" w:styleId="8">
    <w:name w:val="Body Text"/>
    <w:basedOn w:val="1"/>
    <w:link w:val="54"/>
    <w:qFormat/>
    <w:uiPriority w:val="0"/>
    <w:pPr>
      <w:spacing w:before="240"/>
      <w:ind w:left="1160"/>
    </w:pPr>
    <w:rPr>
      <w:rFonts w:ascii="仿宋_GB2312" w:hAnsi="仿宋_GB2312" w:cs="仿宋_GB2312"/>
      <w:sz w:val="30"/>
      <w:szCs w:val="30"/>
      <w:lang w:val="zh-CN" w:eastAsia="zh-CN" w:bidi="zh-CN"/>
    </w:rPr>
  </w:style>
  <w:style w:type="paragraph" w:styleId="9">
    <w:name w:val="toc 5"/>
    <w:basedOn w:val="1"/>
    <w:next w:val="1"/>
    <w:qFormat/>
    <w:uiPriority w:val="0"/>
    <w:pPr>
      <w:ind w:left="1280"/>
      <w:jc w:val="left"/>
    </w:pPr>
    <w:rPr>
      <w:rFonts w:asciiTheme="minorHAnsi" w:hAnsiTheme="minorHAnsi" w:cstheme="minorHAnsi"/>
      <w:sz w:val="18"/>
      <w:szCs w:val="18"/>
    </w:rPr>
  </w:style>
  <w:style w:type="paragraph" w:styleId="10">
    <w:name w:val="toc 3"/>
    <w:basedOn w:val="1"/>
    <w:next w:val="1"/>
    <w:qFormat/>
    <w:uiPriority w:val="39"/>
    <w:pPr>
      <w:ind w:left="640"/>
      <w:jc w:val="left"/>
    </w:pPr>
    <w:rPr>
      <w:rFonts w:asciiTheme="minorHAnsi" w:hAnsiTheme="minorHAnsi" w:cstheme="minorHAnsi"/>
      <w:i/>
      <w:iCs/>
      <w:sz w:val="20"/>
      <w:szCs w:val="20"/>
    </w:rPr>
  </w:style>
  <w:style w:type="paragraph" w:styleId="11">
    <w:name w:val="toc 8"/>
    <w:basedOn w:val="1"/>
    <w:next w:val="1"/>
    <w:qFormat/>
    <w:uiPriority w:val="0"/>
    <w:pPr>
      <w:ind w:left="2240"/>
      <w:jc w:val="left"/>
    </w:pPr>
    <w:rPr>
      <w:rFonts w:asciiTheme="minorHAnsi" w:hAnsiTheme="minorHAnsi" w:cstheme="minorHAnsi"/>
      <w:sz w:val="18"/>
      <w:szCs w:val="18"/>
    </w:rPr>
  </w:style>
  <w:style w:type="paragraph" w:styleId="12">
    <w:name w:val="Balloon Text"/>
    <w:basedOn w:val="1"/>
    <w:link w:val="53"/>
    <w:qFormat/>
    <w:uiPriority w:val="0"/>
    <w:pPr>
      <w:spacing w:line="240" w:lineRule="auto"/>
    </w:pPr>
    <w:rPr>
      <w:sz w:val="18"/>
      <w:szCs w:val="18"/>
    </w:rPr>
  </w:style>
  <w:style w:type="paragraph" w:styleId="13">
    <w:name w:val="footer"/>
    <w:basedOn w:val="1"/>
    <w:link w:val="55"/>
    <w:qFormat/>
    <w:uiPriority w:val="99"/>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6">
    <w:name w:val="toc 4"/>
    <w:basedOn w:val="1"/>
    <w:next w:val="1"/>
    <w:qFormat/>
    <w:uiPriority w:val="0"/>
    <w:pPr>
      <w:ind w:left="960"/>
      <w:jc w:val="left"/>
    </w:pPr>
    <w:rPr>
      <w:rFonts w:asciiTheme="minorHAnsi" w:hAnsiTheme="minorHAnsi" w:cstheme="minorHAnsi"/>
      <w:sz w:val="18"/>
      <w:szCs w:val="18"/>
    </w:rPr>
  </w:style>
  <w:style w:type="paragraph" w:styleId="17">
    <w:name w:val="toc 6"/>
    <w:basedOn w:val="1"/>
    <w:next w:val="1"/>
    <w:qFormat/>
    <w:uiPriority w:val="0"/>
    <w:pPr>
      <w:ind w:left="1600"/>
      <w:jc w:val="left"/>
    </w:pPr>
    <w:rPr>
      <w:rFonts w:asciiTheme="minorHAnsi" w:hAnsiTheme="minorHAnsi" w:cstheme="minorHAnsi"/>
      <w:sz w:val="18"/>
      <w:szCs w:val="18"/>
    </w:rPr>
  </w:style>
  <w:style w:type="paragraph" w:styleId="18">
    <w:name w:val="toc 2"/>
    <w:basedOn w:val="1"/>
    <w:next w:val="1"/>
    <w:qFormat/>
    <w:uiPriority w:val="39"/>
    <w:pPr>
      <w:ind w:left="320"/>
      <w:jc w:val="left"/>
    </w:pPr>
    <w:rPr>
      <w:rFonts w:asciiTheme="minorHAnsi" w:hAnsiTheme="minorHAnsi" w:cstheme="minorHAnsi"/>
      <w:smallCaps/>
      <w:sz w:val="20"/>
      <w:szCs w:val="20"/>
    </w:rPr>
  </w:style>
  <w:style w:type="paragraph" w:styleId="19">
    <w:name w:val="toc 9"/>
    <w:basedOn w:val="1"/>
    <w:next w:val="1"/>
    <w:qFormat/>
    <w:uiPriority w:val="0"/>
    <w:pPr>
      <w:ind w:left="2560"/>
      <w:jc w:val="left"/>
    </w:pPr>
    <w:rPr>
      <w:rFonts w:asciiTheme="minorHAnsi" w:hAnsiTheme="minorHAnsi" w:cstheme="minorHAnsi"/>
      <w:sz w:val="18"/>
      <w:szCs w:val="18"/>
    </w:rPr>
  </w:style>
  <w:style w:type="paragraph" w:styleId="20">
    <w:name w:val="Normal (Web)"/>
    <w:basedOn w:val="1"/>
    <w:qFormat/>
    <w:uiPriority w:val="0"/>
    <w:pPr>
      <w:spacing w:beforeAutospacing="1" w:afterAutospacing="1"/>
    </w:pPr>
    <w:rPr>
      <w:sz w:val="24"/>
      <w:lang w:eastAsia="zh-CN" w:bidi="ar-SA"/>
    </w:rPr>
  </w:style>
  <w:style w:type="paragraph" w:styleId="21">
    <w:name w:val="Title"/>
    <w:basedOn w:val="1"/>
    <w:next w:val="1"/>
    <w:link w:val="58"/>
    <w:qFormat/>
    <w:uiPriority w:val="0"/>
    <w:pPr>
      <w:spacing w:before="100" w:beforeLines="100" w:after="100" w:afterLines="100" w:line="360" w:lineRule="auto"/>
      <w:ind w:firstLine="0" w:firstLineChars="0"/>
      <w:jc w:val="center"/>
      <w:outlineLvl w:val="0"/>
    </w:pPr>
    <w:rPr>
      <w:rFonts w:eastAsia="方正小标宋" w:cstheme="majorBidi"/>
      <w:b/>
      <w:bCs/>
      <w:sz w:val="44"/>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FF"/>
      <w:u w:val="single"/>
    </w:rPr>
  </w:style>
  <w:style w:type="character" w:customStyle="1" w:styleId="27">
    <w:name w:val="标题 2 字符"/>
    <w:link w:val="3"/>
    <w:qFormat/>
    <w:uiPriority w:val="0"/>
    <w:rPr>
      <w:rFonts w:ascii="华文楷体" w:hAnsi="华文楷体" w:eastAsia="楷体"/>
      <w:b/>
    </w:rPr>
  </w:style>
  <w:style w:type="character" w:customStyle="1" w:styleId="28">
    <w:name w:val="标题 3 字符"/>
    <w:link w:val="4"/>
    <w:qFormat/>
    <w:uiPriority w:val="0"/>
    <w:rPr>
      <w:rFonts w:eastAsia="仿宋_GB2312"/>
      <w:b/>
      <w:color w:val="000000"/>
      <w:sz w:val="32"/>
      <w:szCs w:val="24"/>
      <w:lang w:eastAsia="en-US" w:bidi="en-US"/>
    </w:rPr>
  </w:style>
  <w:style w:type="paragraph" w:customStyle="1" w:styleId="29">
    <w:name w:val="Body text|2"/>
    <w:basedOn w:val="1"/>
    <w:qFormat/>
    <w:uiPriority w:val="0"/>
    <w:pPr>
      <w:spacing w:line="322" w:lineRule="exact"/>
      <w:ind w:firstLine="400"/>
    </w:pPr>
    <w:rPr>
      <w:rFonts w:ascii="宋体" w:hAnsi="宋体" w:eastAsia="宋体" w:cs="宋体"/>
      <w:sz w:val="19"/>
      <w:szCs w:val="19"/>
      <w:lang w:val="zh-TW" w:eastAsia="zh-TW" w:bidi="zh-TW"/>
    </w:rPr>
  </w:style>
  <w:style w:type="paragraph" w:customStyle="1" w:styleId="30">
    <w:name w:val="Header or footer|1"/>
    <w:basedOn w:val="1"/>
    <w:qFormat/>
    <w:uiPriority w:val="0"/>
    <w:rPr>
      <w:lang w:val="zh-TW" w:eastAsia="zh-TW" w:bidi="zh-TW"/>
    </w:rPr>
  </w:style>
  <w:style w:type="paragraph" w:customStyle="1" w:styleId="31">
    <w:name w:val="标题4"/>
    <w:basedOn w:val="29"/>
    <w:qFormat/>
    <w:uiPriority w:val="0"/>
    <w:pPr>
      <w:spacing w:line="360" w:lineRule="auto"/>
      <w:ind w:firstLine="881"/>
    </w:pPr>
    <w:rPr>
      <w:rFonts w:eastAsia="华文仿宋"/>
      <w:b/>
      <w:sz w:val="32"/>
    </w:rPr>
  </w:style>
  <w:style w:type="paragraph" w:customStyle="1" w:styleId="32">
    <w:name w:val="Body text|1"/>
    <w:basedOn w:val="1"/>
    <w:qFormat/>
    <w:uiPriority w:val="0"/>
    <w:pPr>
      <w:spacing w:line="360" w:lineRule="auto"/>
      <w:ind w:firstLine="400"/>
    </w:pPr>
    <w:rPr>
      <w:rFonts w:ascii="宋体" w:hAnsi="宋体" w:eastAsia="宋体" w:cs="宋体"/>
      <w:lang w:val="zh-TW" w:eastAsia="zh-TW" w:bidi="zh-TW"/>
    </w:rPr>
  </w:style>
  <w:style w:type="character" w:customStyle="1" w:styleId="33">
    <w:name w:val="font01"/>
    <w:basedOn w:val="24"/>
    <w:qFormat/>
    <w:uiPriority w:val="0"/>
    <w:rPr>
      <w:rFonts w:ascii="Arial" w:hAnsi="Arial" w:cs="Arial"/>
      <w:color w:val="000000"/>
      <w:sz w:val="22"/>
      <w:szCs w:val="22"/>
      <w:u w:val="none"/>
    </w:rPr>
  </w:style>
  <w:style w:type="character" w:customStyle="1" w:styleId="34">
    <w:name w:val="font11"/>
    <w:basedOn w:val="24"/>
    <w:qFormat/>
    <w:uiPriority w:val="0"/>
    <w:rPr>
      <w:rFonts w:ascii="font-weight : 400" w:hAnsi="font-weight : 400" w:eastAsia="font-weight : 400" w:cs="font-weight : 400"/>
      <w:color w:val="000000"/>
      <w:sz w:val="22"/>
      <w:szCs w:val="22"/>
      <w:u w:val="none"/>
    </w:rPr>
  </w:style>
  <w:style w:type="character" w:customStyle="1" w:styleId="35">
    <w:name w:val="font51"/>
    <w:basedOn w:val="24"/>
    <w:qFormat/>
    <w:uiPriority w:val="0"/>
    <w:rPr>
      <w:rFonts w:hint="eastAsia" w:ascii="宋体" w:hAnsi="宋体" w:eastAsia="宋体" w:cs="宋体"/>
      <w:color w:val="000000"/>
      <w:sz w:val="22"/>
      <w:szCs w:val="22"/>
      <w:u w:val="none"/>
    </w:rPr>
  </w:style>
  <w:style w:type="character" w:customStyle="1" w:styleId="36">
    <w:name w:val="正文 + Arial Char"/>
    <w:link w:val="37"/>
    <w:qFormat/>
    <w:locked/>
    <w:uiPriority w:val="0"/>
    <w:rPr>
      <w:rFonts w:ascii="Arial"/>
      <w:kern w:val="0"/>
      <w:sz w:val="24"/>
    </w:rPr>
  </w:style>
  <w:style w:type="paragraph" w:customStyle="1" w:styleId="37">
    <w:name w:val="正文 + Arial"/>
    <w:basedOn w:val="1"/>
    <w:link w:val="36"/>
    <w:autoRedefine/>
    <w:qFormat/>
    <w:uiPriority w:val="0"/>
    <w:pPr>
      <w:spacing w:afterLines="50" w:line="360" w:lineRule="auto"/>
      <w:ind w:firstLine="420"/>
    </w:pPr>
    <w:rPr>
      <w:rFonts w:ascii="Arial"/>
      <w:sz w:val="24"/>
    </w:rPr>
  </w:style>
  <w:style w:type="paragraph" w:customStyle="1" w:styleId="38">
    <w:name w:val="列出段落1"/>
    <w:basedOn w:val="1"/>
    <w:autoRedefine/>
    <w:qFormat/>
    <w:uiPriority w:val="1"/>
    <w:pPr>
      <w:spacing w:before="3"/>
      <w:ind w:left="2332" w:hanging="753"/>
    </w:pPr>
    <w:rPr>
      <w:rFonts w:ascii="仿宋_GB2312" w:hAnsi="仿宋_GB2312" w:cs="仿宋_GB2312"/>
      <w:lang w:val="zh-CN" w:eastAsia="zh-CN" w:bidi="zh-CN"/>
    </w:rPr>
  </w:style>
  <w:style w:type="paragraph" w:customStyle="1" w:styleId="39">
    <w:name w:val="分类号"/>
    <w:basedOn w:val="1"/>
    <w:autoRedefine/>
    <w:qFormat/>
    <w:uiPriority w:val="0"/>
    <w:pPr>
      <w:spacing w:line="240" w:lineRule="auto"/>
      <w:ind w:firstLine="0" w:firstLineChars="0"/>
    </w:pPr>
    <w:rPr>
      <w:rFonts w:ascii="仿宋_GB2312"/>
      <w:kern w:val="2"/>
      <w:sz w:val="28"/>
      <w:szCs w:val="28"/>
      <w:lang w:eastAsia="zh-CN" w:bidi="ar-SA"/>
    </w:rPr>
  </w:style>
  <w:style w:type="paragraph" w:customStyle="1" w:styleId="40">
    <w:name w:val="硕士学位论文"/>
    <w:basedOn w:val="1"/>
    <w:autoRedefine/>
    <w:qFormat/>
    <w:uiPriority w:val="0"/>
    <w:pPr>
      <w:spacing w:before="240" w:line="240" w:lineRule="auto"/>
      <w:ind w:firstLine="0" w:firstLineChars="0"/>
      <w:jc w:val="center"/>
    </w:pPr>
    <w:rPr>
      <w:rFonts w:eastAsia="宋体"/>
      <w:kern w:val="2"/>
      <w:sz w:val="44"/>
      <w:szCs w:val="44"/>
      <w:lang w:eastAsia="zh-CN" w:bidi="ar-SA"/>
    </w:rPr>
  </w:style>
  <w:style w:type="paragraph" w:customStyle="1" w:styleId="41">
    <w:name w:val="论文标题"/>
    <w:basedOn w:val="1"/>
    <w:autoRedefine/>
    <w:qFormat/>
    <w:uiPriority w:val="0"/>
    <w:pPr>
      <w:spacing w:line="240" w:lineRule="auto"/>
      <w:ind w:firstLine="0" w:firstLineChars="0"/>
      <w:jc w:val="center"/>
    </w:pPr>
    <w:rPr>
      <w:rFonts w:eastAsia="楷体_GB2312"/>
      <w:b/>
      <w:kern w:val="36"/>
      <w:sz w:val="52"/>
      <w:szCs w:val="52"/>
      <w:lang w:eastAsia="zh-CN" w:bidi="ar-SA"/>
    </w:rPr>
  </w:style>
  <w:style w:type="paragraph" w:customStyle="1" w:styleId="42">
    <w:name w:val="研究生姓名"/>
    <w:basedOn w:val="1"/>
    <w:autoRedefine/>
    <w:qFormat/>
    <w:uiPriority w:val="0"/>
    <w:pPr>
      <w:spacing w:line="240" w:lineRule="auto"/>
      <w:ind w:firstLine="700" w:firstLineChars="700"/>
    </w:pPr>
    <w:rPr>
      <w:rFonts w:eastAsia="宋体"/>
      <w:kern w:val="2"/>
      <w:sz w:val="28"/>
      <w:szCs w:val="28"/>
      <w:lang w:eastAsia="zh-CN" w:bidi="ar-SA"/>
    </w:rPr>
  </w:style>
  <w:style w:type="paragraph" w:customStyle="1" w:styleId="43">
    <w:name w:val="封面日期"/>
    <w:basedOn w:val="1"/>
    <w:autoRedefine/>
    <w:qFormat/>
    <w:uiPriority w:val="0"/>
    <w:pPr>
      <w:spacing w:line="240" w:lineRule="auto"/>
      <w:ind w:firstLine="0" w:firstLineChars="0"/>
      <w:jc w:val="center"/>
    </w:pPr>
    <w:rPr>
      <w:rFonts w:ascii="黑体" w:eastAsia="黑体"/>
      <w:kern w:val="2"/>
      <w:szCs w:val="32"/>
      <w:lang w:eastAsia="zh-CN" w:bidi="ar-SA"/>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47">
    <w:name w:val="font21"/>
    <w:basedOn w:val="24"/>
    <w:autoRedefine/>
    <w:qFormat/>
    <w:uiPriority w:val="0"/>
    <w:rPr>
      <w:rFonts w:ascii="宋体" w:hAnsi="宋体" w:eastAsia="宋体" w:cs="宋体"/>
      <w:color w:val="000000"/>
      <w:sz w:val="22"/>
      <w:szCs w:val="22"/>
      <w:u w:val="none"/>
    </w:rPr>
  </w:style>
  <w:style w:type="character" w:customStyle="1" w:styleId="48">
    <w:name w:val="font81"/>
    <w:basedOn w:val="24"/>
    <w:autoRedefine/>
    <w:qFormat/>
    <w:uiPriority w:val="0"/>
    <w:rPr>
      <w:rFonts w:hint="eastAsia" w:ascii="宋体" w:hAnsi="宋体" w:eastAsia="宋体" w:cs="宋体"/>
      <w:color w:val="000000"/>
      <w:sz w:val="22"/>
      <w:szCs w:val="22"/>
      <w:u w:val="none"/>
    </w:rPr>
  </w:style>
  <w:style w:type="character" w:customStyle="1" w:styleId="49">
    <w:name w:val="font31"/>
    <w:basedOn w:val="24"/>
    <w:autoRedefine/>
    <w:qFormat/>
    <w:uiPriority w:val="0"/>
    <w:rPr>
      <w:rFonts w:hint="eastAsia" w:ascii="宋体" w:hAnsi="宋体" w:eastAsia="宋体" w:cs="宋体"/>
      <w:color w:val="000000"/>
      <w:sz w:val="22"/>
      <w:szCs w:val="22"/>
      <w:u w:val="none"/>
    </w:rPr>
  </w:style>
  <w:style w:type="character" w:customStyle="1" w:styleId="50">
    <w:name w:val="font61"/>
    <w:basedOn w:val="24"/>
    <w:autoRedefine/>
    <w:qFormat/>
    <w:uiPriority w:val="0"/>
    <w:rPr>
      <w:rFonts w:ascii="宋体" w:hAnsi="宋体" w:eastAsia="宋体" w:cs="宋体"/>
      <w:color w:val="000000"/>
      <w:sz w:val="22"/>
      <w:szCs w:val="22"/>
      <w:u w:val="none"/>
    </w:rPr>
  </w:style>
  <w:style w:type="character" w:customStyle="1" w:styleId="51">
    <w:name w:val="font71"/>
    <w:basedOn w:val="24"/>
    <w:autoRedefine/>
    <w:qFormat/>
    <w:uiPriority w:val="0"/>
    <w:rPr>
      <w:rFonts w:hint="eastAsia" w:ascii="宋体" w:hAnsi="宋体" w:eastAsia="宋体" w:cs="宋体"/>
      <w:color w:val="FF0000"/>
      <w:sz w:val="24"/>
      <w:szCs w:val="24"/>
      <w:u w:val="none"/>
    </w:rPr>
  </w:style>
  <w:style w:type="character" w:customStyle="1" w:styleId="52">
    <w:name w:val="font41"/>
    <w:basedOn w:val="24"/>
    <w:autoRedefine/>
    <w:qFormat/>
    <w:uiPriority w:val="0"/>
    <w:rPr>
      <w:rFonts w:hint="eastAsia" w:ascii="宋体" w:hAnsi="宋体" w:eastAsia="宋体" w:cs="宋体"/>
      <w:color w:val="000000"/>
      <w:sz w:val="24"/>
      <w:szCs w:val="24"/>
      <w:u w:val="none"/>
    </w:rPr>
  </w:style>
  <w:style w:type="character" w:customStyle="1" w:styleId="53">
    <w:name w:val="批注框文本 字符"/>
    <w:basedOn w:val="24"/>
    <w:link w:val="12"/>
    <w:autoRedefine/>
    <w:qFormat/>
    <w:uiPriority w:val="0"/>
    <w:rPr>
      <w:rFonts w:eastAsia="华文仿宋"/>
      <w:color w:val="000000"/>
      <w:sz w:val="18"/>
      <w:szCs w:val="18"/>
      <w:lang w:eastAsia="en-US" w:bidi="en-US"/>
    </w:rPr>
  </w:style>
  <w:style w:type="character" w:customStyle="1" w:styleId="54">
    <w:name w:val="正文文本 字符"/>
    <w:basedOn w:val="24"/>
    <w:link w:val="8"/>
    <w:autoRedefine/>
    <w:qFormat/>
    <w:uiPriority w:val="0"/>
    <w:rPr>
      <w:rFonts w:ascii="仿宋_GB2312" w:hAnsi="仿宋_GB2312" w:eastAsia="仿宋_GB2312" w:cs="仿宋_GB2312"/>
      <w:color w:val="000000"/>
      <w:sz w:val="30"/>
      <w:szCs w:val="30"/>
      <w:lang w:val="zh-CN" w:bidi="zh-CN"/>
    </w:rPr>
  </w:style>
  <w:style w:type="character" w:customStyle="1" w:styleId="55">
    <w:name w:val="页脚 字符"/>
    <w:basedOn w:val="24"/>
    <w:link w:val="13"/>
    <w:autoRedefine/>
    <w:qFormat/>
    <w:uiPriority w:val="99"/>
    <w:rPr>
      <w:rFonts w:eastAsia="仿宋_GB2312"/>
      <w:color w:val="000000"/>
      <w:sz w:val="18"/>
      <w:szCs w:val="24"/>
      <w:lang w:eastAsia="en-US" w:bidi="en-US"/>
    </w:rPr>
  </w:style>
  <w:style w:type="paragraph" w:styleId="56">
    <w:name w:val="List Paragraph"/>
    <w:basedOn w:val="1"/>
    <w:autoRedefine/>
    <w:qFormat/>
    <w:uiPriority w:val="1"/>
    <w:pPr>
      <w:ind w:firstLine="420"/>
    </w:pPr>
  </w:style>
  <w:style w:type="table" w:customStyle="1" w:styleId="57">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8">
    <w:name w:val="标题 字符"/>
    <w:basedOn w:val="24"/>
    <w:link w:val="21"/>
    <w:autoRedefine/>
    <w:qFormat/>
    <w:uiPriority w:val="0"/>
    <w:rPr>
      <w:rFonts w:eastAsia="方正小标宋" w:cstheme="majorBidi"/>
      <w:b/>
      <w:bCs/>
      <w:color w:val="000000"/>
      <w:sz w:val="44"/>
      <w:szCs w:val="32"/>
      <w:lang w:eastAsia="en-US" w:bidi="en-US"/>
    </w:rPr>
  </w:style>
  <w:style w:type="character" w:customStyle="1" w:styleId="59">
    <w:name w:val="font91"/>
    <w:basedOn w:val="24"/>
    <w:autoRedefine/>
    <w:qFormat/>
    <w:uiPriority w:val="0"/>
    <w:rPr>
      <w:rFonts w:hint="eastAsia" w:ascii="宋体" w:hAnsi="宋体" w:eastAsia="宋体" w:cs="宋体"/>
      <w:b/>
      <w:bCs/>
      <w:color w:val="000000"/>
      <w:sz w:val="24"/>
      <w:szCs w:val="24"/>
      <w:u w:val="none"/>
    </w:rPr>
  </w:style>
  <w:style w:type="character" w:customStyle="1" w:styleId="60">
    <w:name w:val="font101"/>
    <w:basedOn w:val="24"/>
    <w:autoRedefine/>
    <w:qFormat/>
    <w:uiPriority w:val="0"/>
    <w:rPr>
      <w:rFonts w:ascii="方正书宋_GBK" w:hAnsi="方正书宋_GBK" w:eastAsia="方正书宋_GBK" w:cs="方正书宋_GBK"/>
      <w:b/>
      <w:bCs/>
      <w:color w:val="000000"/>
      <w:sz w:val="24"/>
      <w:szCs w:val="24"/>
      <w:u w:val="none"/>
    </w:rPr>
  </w:style>
  <w:style w:type="character" w:customStyle="1" w:styleId="61">
    <w:name w:val="font112"/>
    <w:basedOn w:val="24"/>
    <w:autoRedefine/>
    <w:qFormat/>
    <w:uiPriority w:val="0"/>
    <w:rPr>
      <w:rFonts w:hint="eastAsia" w:ascii="宋体" w:hAnsi="宋体" w:eastAsia="宋体" w:cs="宋体"/>
      <w:b/>
      <w:bCs/>
      <w:color w:val="000000"/>
      <w:sz w:val="24"/>
      <w:szCs w:val="24"/>
      <w:u w:val="none"/>
    </w:rPr>
  </w:style>
  <w:style w:type="character" w:customStyle="1" w:styleId="62">
    <w:name w:val="font121"/>
    <w:basedOn w:val="24"/>
    <w:autoRedefine/>
    <w:qFormat/>
    <w:uiPriority w:val="0"/>
    <w:rPr>
      <w:rFonts w:hint="eastAsia" w:ascii="宋体" w:hAnsi="宋体" w:eastAsia="宋体" w:cs="宋体"/>
      <w:color w:val="000000"/>
      <w:sz w:val="24"/>
      <w:szCs w:val="24"/>
      <w:u w:val="none"/>
    </w:rPr>
  </w:style>
  <w:style w:type="character" w:customStyle="1" w:styleId="63">
    <w:name w:val="font131"/>
    <w:basedOn w:val="24"/>
    <w:autoRedefine/>
    <w:qFormat/>
    <w:uiPriority w:val="0"/>
    <w:rPr>
      <w:rFonts w:hint="default" w:ascii="Times New Roman" w:hAnsi="Times New Roman" w:cs="Times New Roman"/>
      <w:color w:val="000000"/>
      <w:sz w:val="24"/>
      <w:szCs w:val="24"/>
      <w:u w:val="none"/>
    </w:rPr>
  </w:style>
  <w:style w:type="character" w:customStyle="1" w:styleId="64">
    <w:name w:val="font141"/>
    <w:basedOn w:val="24"/>
    <w:autoRedefine/>
    <w:qFormat/>
    <w:uiPriority w:val="0"/>
    <w:rPr>
      <w:rFonts w:hint="eastAsia" w:ascii="宋体" w:hAnsi="宋体" w:eastAsia="宋体" w:cs="宋体"/>
      <w:color w:val="000000"/>
      <w:sz w:val="24"/>
      <w:szCs w:val="24"/>
      <w:u w:val="none"/>
    </w:rPr>
  </w:style>
  <w:style w:type="character" w:customStyle="1" w:styleId="65">
    <w:name w:val="font151"/>
    <w:basedOn w:val="24"/>
    <w:autoRedefine/>
    <w:qFormat/>
    <w:uiPriority w:val="0"/>
    <w:rPr>
      <w:rFonts w:hint="default" w:ascii="Times New Roman" w:hAnsi="Times New Roman" w:cs="Times New Roman"/>
      <w:color w:val="000000"/>
      <w:sz w:val="24"/>
      <w:szCs w:val="24"/>
      <w:u w:val="none"/>
    </w:rPr>
  </w:style>
  <w:style w:type="paragraph" w:customStyle="1" w:styleId="66">
    <w:name w:val="TOC 标题1"/>
    <w:basedOn w:val="2"/>
    <w:next w:val="1"/>
    <w:autoRedefine/>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lang w:eastAsia="zh-CN" w:bidi="ar-SA"/>
    </w:rPr>
  </w:style>
  <w:style w:type="character" w:customStyle="1" w:styleId="67">
    <w:name w:val="CharAttribute37"/>
    <w:autoRedefine/>
    <w:qFormat/>
    <w:uiPriority w:val="99"/>
    <w:rPr>
      <w:rFonts w:ascii="宋体" w:hAnsi="宋体" w:eastAsia="Times New Roman"/>
      <w:sz w:val="24"/>
    </w:rPr>
  </w:style>
  <w:style w:type="paragraph" w:customStyle="1" w:styleId="68">
    <w:name w:val="Table Paragraph"/>
    <w:basedOn w:val="1"/>
    <w:autoRedefine/>
    <w:qFormat/>
    <w:uiPriority w:val="1"/>
  </w:style>
  <w:style w:type="character" w:customStyle="1" w:styleId="69">
    <w:name w:val="未处理的提及1"/>
    <w:basedOn w:val="24"/>
    <w:autoRedefine/>
    <w:semiHidden/>
    <w:unhideWhenUsed/>
    <w:qFormat/>
    <w:uiPriority w:val="99"/>
    <w:rPr>
      <w:color w:val="605E5C"/>
      <w:shd w:val="clear" w:color="auto" w:fill="E1DFDD"/>
    </w:rPr>
  </w:style>
  <w:style w:type="paragraph" w:customStyle="1" w:styleId="70">
    <w:name w:val="〖A08〗公文标题"/>
    <w:next w:val="1"/>
    <w:autoRedefine/>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27</Pages>
  <Words>11643</Words>
  <Characters>12177</Characters>
  <Lines>30</Lines>
  <Paragraphs>30</Paragraphs>
  <TotalTime>0</TotalTime>
  <ScaleCrop>false</ScaleCrop>
  <LinksUpToDate>false</LinksUpToDate>
  <CharactersWithSpaces>12207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2023-03-18T02:57:00Z</dcterms:created>
  <dc:creator>cll</dc:creator>
  <cp:lastModifiedBy>Admin</cp:lastModifiedBy>
  <cp:lastPrinted>2025-04-02T02:48:00Z</cp:lastPrinted>
  <dcterms:modified xsi:type="dcterms:W3CDTF">2025-05-12T08:36:37Z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58CB3AE3722C4C8CA167D2F3944BF467_13</vt:lpwstr>
  </property>
  <property fmtid="{D5CDD505-2E9C-101B-9397-08002B2CF9AE}" pid="4" name="KSOTemplateDocerSaveRecord">
    <vt:lpwstr>eyJoZGlkIjoiMDdkYmU2ZmQ1YmVlNmFhZjk2NzRhYTcxODZkZDY3YTAifQ==</vt:lpwstr>
  </property>
</Properties>
</file>