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D37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jc w:val="center"/>
        <w:textAlignment w:val="auto"/>
        <w:rPr>
          <w:rFonts w:hint="default" w:ascii="黑体" w:hAnsi="黑体" w:eastAsia="黑体" w:cs="黑体"/>
          <w:color w:val="000000" w:themeColor="text1"/>
          <w:sz w:val="32"/>
          <w:szCs w:val="32"/>
          <w:lang w:val="en-US" w:eastAsia="zh-CN"/>
          <w14:textFill>
            <w14:solidFill>
              <w14:schemeClr w14:val="tx1"/>
            </w14:solidFill>
          </w14:textFill>
        </w:rPr>
      </w:pPr>
      <w:bookmarkStart w:id="0" w:name="_GoBack"/>
      <w:r>
        <w:rPr>
          <w:rFonts w:hint="eastAsia" w:ascii="黑体" w:hAnsi="黑体" w:eastAsia="黑体" w:cs="黑体"/>
          <w:color w:val="000000" w:themeColor="text1"/>
          <w:sz w:val="32"/>
          <w:szCs w:val="32"/>
          <w:lang w:val="en-US" w:eastAsia="zh-CN"/>
          <w14:textFill>
            <w14:solidFill>
              <w14:schemeClr w14:val="tx1"/>
            </w14:solidFill>
          </w14:textFill>
        </w:rPr>
        <w:t>金口河区自然资源局仓储货架项目询价公告</w:t>
      </w:r>
      <w:bookmarkEnd w:id="0"/>
    </w:p>
    <w:p w14:paraId="072FE49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乐山市金口河区自然资源局拟对乐山市金口河区自然资源局仓储货架项目采用询价方式进行采购，特邀请符合本次采购要求的供应商参加询价。</w:t>
      </w:r>
    </w:p>
    <w:p w14:paraId="547193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一、项目名称</w:t>
      </w:r>
    </w:p>
    <w:p w14:paraId="2855C3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金口河区自然资源局仓储货架项目</w:t>
      </w:r>
    </w:p>
    <w:p w14:paraId="326FB0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二、采购预算：29536.00元</w:t>
      </w:r>
    </w:p>
    <w:p w14:paraId="20947FD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三、采购数量及规格要求</w:t>
      </w:r>
    </w:p>
    <w:p w14:paraId="04233BF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（一）货架数量：52个。</w:t>
      </w:r>
    </w:p>
    <w:p w14:paraId="627913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（二）每个货架的规格要求：</w:t>
      </w:r>
    </w:p>
    <w:p w14:paraId="115C50F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1、层数：</w:t>
      </w:r>
      <w:r>
        <w:rPr>
          <w:rFonts w:hint="default"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4层。</w:t>
      </w:r>
    </w:p>
    <w:p w14:paraId="5842004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2、单层承载：</w:t>
      </w:r>
      <w:r>
        <w:rPr>
          <w:rFonts w:hint="default"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240kg。</w:t>
      </w:r>
    </w:p>
    <w:p w14:paraId="7FA0238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3、货架主体框架尺寸：长*宽*高</w:t>
      </w:r>
      <w:r>
        <w:rPr>
          <w:rFonts w:hint="default"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200cm*60cm*200cm。</w:t>
      </w:r>
    </w:p>
    <w:p w14:paraId="44DFEA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4、材质：钢。</w:t>
      </w:r>
    </w:p>
    <w:p w14:paraId="3B2136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default"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5、表面涂层：蓝色防锈涂层。</w:t>
      </w:r>
    </w:p>
    <w:p w14:paraId="41AABA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default"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6、组装方式：采用卡扣设计，方便安装和拆卸，可调节层高；</w:t>
      </w:r>
    </w:p>
    <w:p w14:paraId="4547473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default"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7、货架能够独立使用。</w:t>
      </w:r>
    </w:p>
    <w:p w14:paraId="3CBBE0C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四、资格要求</w:t>
      </w:r>
    </w:p>
    <w:p w14:paraId="49782EE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1、具有独立承担民事责任的能力；</w:t>
      </w:r>
    </w:p>
    <w:p w14:paraId="686D33E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2、具有良好的商业信誉和健全的财务</w:t>
      </w:r>
      <w:r>
        <w:rPr>
          <w:rFonts w:hint="eastAsia" w:ascii="仿宋_GB2312" w:hAnsi="仿宋_GB2312" w:eastAsia="仿宋_GB2312" w:cs="仿宋_GB2312"/>
          <w:i w:val="0"/>
          <w:iCs w:val="0"/>
          <w:caps w:val="0"/>
          <w:color w:val="000000" w:themeColor="text1"/>
          <w:spacing w:val="0"/>
          <w:kern w:val="2"/>
          <w:sz w:val="28"/>
          <w:szCs w:val="28"/>
          <w:shd w:val="clear" w:fill="FFFFFF"/>
          <w:lang w:val="en-US" w:eastAsia="zh-CN" w:bidi="ar-SA"/>
          <w14:textFill>
            <w14:solidFill>
              <w14:schemeClr w14:val="tx1"/>
            </w14:solidFill>
          </w14:textFill>
        </w:rPr>
        <w:t>会计制度；</w:t>
      </w:r>
    </w:p>
    <w:p w14:paraId="222A90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57" w:beforeLines="50" w:beforeAutospacing="0" w:after="157" w:afterLines="50" w:afterAutospacing="0" w:line="360" w:lineRule="exact"/>
        <w:ind w:right="0" w:firstLine="560" w:firstLineChars="200"/>
        <w:jc w:val="both"/>
        <w:textAlignment w:val="auto"/>
        <w:rPr>
          <w:rFonts w:hint="eastAsia" w:ascii="仿宋_GB2312" w:hAnsi="仿宋_GB2312" w:eastAsia="仿宋_GB2312" w:cs="仿宋_GB2312"/>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shd w:val="clear" w:fill="FFFFFF"/>
          <w:lang w:val="en-US" w:eastAsia="zh-CN" w:bidi="ar-SA"/>
          <w14:textFill>
            <w14:solidFill>
              <w14:schemeClr w14:val="tx1"/>
            </w14:solidFill>
          </w14:textFill>
        </w:rPr>
        <w:t>3、具有履行合同所必需的设备和专业技术能力；</w:t>
      </w:r>
    </w:p>
    <w:p w14:paraId="59FBD6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57" w:beforeLines="50" w:beforeAutospacing="0" w:after="157" w:afterLines="50" w:afterAutospacing="0" w:line="360" w:lineRule="exact"/>
        <w:ind w:right="0" w:firstLine="560" w:firstLineChars="200"/>
        <w:jc w:val="both"/>
        <w:textAlignment w:val="auto"/>
        <w:rPr>
          <w:rFonts w:hint="eastAsia" w:ascii="仿宋_GB2312" w:hAnsi="仿宋_GB2312" w:eastAsia="仿宋_GB2312" w:cs="仿宋_GB2312"/>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shd w:val="clear" w:fill="FFFFFF"/>
          <w:lang w:val="en-US" w:eastAsia="zh-CN" w:bidi="ar-SA"/>
          <w14:textFill>
            <w14:solidFill>
              <w14:schemeClr w14:val="tx1"/>
            </w14:solidFill>
          </w14:textFill>
        </w:rPr>
        <w:t>4、具有依法缴纳税收和社会保障资金的良好记录；</w:t>
      </w:r>
    </w:p>
    <w:p w14:paraId="4882D9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57" w:beforeLines="50" w:beforeAutospacing="0" w:after="157" w:afterLines="50" w:afterAutospacing="0" w:line="360" w:lineRule="exact"/>
        <w:ind w:right="0" w:firstLine="560" w:firstLineChars="200"/>
        <w:jc w:val="both"/>
        <w:textAlignment w:val="auto"/>
        <w:rPr>
          <w:rFonts w:hint="eastAsia" w:ascii="仿宋_GB2312" w:hAnsi="仿宋_GB2312" w:eastAsia="仿宋_GB2312" w:cs="仿宋_GB2312"/>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shd w:val="clear" w:fill="FFFFFF"/>
          <w:lang w:val="en-US" w:eastAsia="zh-CN" w:bidi="ar-SA"/>
          <w14:textFill>
            <w14:solidFill>
              <w14:schemeClr w14:val="tx1"/>
            </w14:solidFill>
          </w14:textFill>
        </w:rPr>
        <w:t>5、参加本次采购活动前三年内，在经营活动中没有重大违法记录；</w:t>
      </w:r>
    </w:p>
    <w:p w14:paraId="5586244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default"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6、具有办公用品或机械设备或家具经营范围。</w:t>
      </w:r>
    </w:p>
    <w:p w14:paraId="73A4D6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五、报价要求</w:t>
      </w:r>
    </w:p>
    <w:p w14:paraId="266408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default"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本项目采用一次性报价，项目最高限价为29536.00元，项目报价包含产品设计费、制作费、运输费、搬运费、税费等。</w:t>
      </w:r>
    </w:p>
    <w:p w14:paraId="55BC4D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7" w:beforeLines="50" w:beforeAutospacing="0" w:after="157" w:afterLines="50" w:afterAutospacing="0" w:line="360" w:lineRule="exact"/>
        <w:ind w:right="0" w:firstLine="560" w:firstLineChars="200"/>
        <w:jc w:val="both"/>
        <w:textAlignment w:val="auto"/>
        <w:rPr>
          <w:rFonts w:hint="default" w:ascii="仿宋_GB2312" w:hAnsi="仿宋_GB2312" w:eastAsia="仿宋_GB2312" w:cs="仿宋_GB2312"/>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shd w:val="clear" w:fill="FFFFFF"/>
          <w:lang w:val="en-US" w:eastAsia="zh-CN" w:bidi="ar-SA"/>
          <w14:textFill>
            <w14:solidFill>
              <w14:schemeClr w14:val="tx1"/>
            </w14:solidFill>
          </w14:textFill>
        </w:rPr>
        <w:t>六、评审方式</w:t>
      </w:r>
    </w:p>
    <w:p w14:paraId="7F9FA0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7" w:beforeLines="50" w:beforeAutospacing="0" w:after="157" w:afterLines="50" w:afterAutospacing="0" w:line="360" w:lineRule="exact"/>
        <w:ind w:right="0" w:firstLine="560" w:firstLineChars="200"/>
        <w:jc w:val="both"/>
        <w:textAlignment w:val="auto"/>
        <w:rPr>
          <w:rFonts w:hint="eastAsia" w:ascii="仿宋_GB2312" w:hAnsi="仿宋_GB2312" w:eastAsia="仿宋_GB2312" w:cs="仿宋_GB2312"/>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shd w:val="clear" w:fill="FFFFFF"/>
          <w:lang w:val="en-US" w:eastAsia="zh-CN" w:bidi="ar-SA"/>
          <w14:textFill>
            <w14:solidFill>
              <w14:schemeClr w14:val="tx1"/>
            </w14:solidFill>
          </w14:textFill>
        </w:rPr>
        <w:t>1、本项目最低要求：符合资格条件，报价不超过最高限价。</w:t>
      </w:r>
    </w:p>
    <w:p w14:paraId="154ECB1C">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shd w:val="clear" w:fill="FFFFFF"/>
          <w:lang w:val="en-US" w:eastAsia="zh-CN" w:bidi="ar-SA"/>
          <w14:textFill>
            <w14:solidFill>
              <w14:schemeClr w14:val="tx1"/>
            </w14:solidFill>
          </w14:textFill>
        </w:rPr>
        <w:t>2、本项目采用一次性报价，以最低报价来确定成交供应商。如遇报价相同时，则从候选人中随机抽取1家单位确定为中选单位。</w:t>
      </w:r>
    </w:p>
    <w:p w14:paraId="7E6CE4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7" w:beforeLines="50" w:beforeAutospacing="0" w:after="157" w:afterLines="50" w:afterAutospacing="0" w:line="360" w:lineRule="exact"/>
        <w:ind w:right="0" w:firstLine="560" w:firstLineChars="200"/>
        <w:jc w:val="both"/>
        <w:textAlignment w:val="auto"/>
        <w:rPr>
          <w:rFonts w:hint="eastAsia" w:ascii="仿宋_GB2312" w:hAnsi="仿宋_GB2312" w:eastAsia="仿宋_GB2312" w:cs="仿宋_GB2312"/>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shd w:val="clear" w:fill="FFFFFF"/>
          <w:lang w:val="en-US" w:eastAsia="zh-CN" w:bidi="ar-SA"/>
          <w14:textFill>
            <w14:solidFill>
              <w14:schemeClr w14:val="tx1"/>
            </w14:solidFill>
          </w14:textFill>
        </w:rPr>
        <w:t>3、有效报价不足三家做流标处理。</w:t>
      </w:r>
    </w:p>
    <w:p w14:paraId="55787D85">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shd w:val="clear" w:fill="FFFFFF"/>
          <w:lang w:val="en-US" w:eastAsia="zh-CN" w:bidi="ar-SA"/>
          <w14:textFill>
            <w14:solidFill>
              <w14:schemeClr w14:val="tx1"/>
            </w14:solidFill>
          </w14:textFill>
        </w:rPr>
        <w:t>七、报价须提交的纸质资料</w:t>
      </w:r>
    </w:p>
    <w:p w14:paraId="77E2653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1、报价表；</w:t>
      </w:r>
    </w:p>
    <w:p w14:paraId="2BE1A1F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2、营业执照或三证合一证书复印件；</w:t>
      </w:r>
    </w:p>
    <w:p w14:paraId="272540C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default"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3、法定代表人身份证复印件；</w:t>
      </w:r>
    </w:p>
    <w:p w14:paraId="56D79C9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default"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4、如法定代表人不能直接参加询价活动的，请提供授权委托书和被委托人身份证复印件；</w:t>
      </w:r>
    </w:p>
    <w:p w14:paraId="57E7480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5、针对“报价单位资格要求”的承诺函。</w:t>
      </w:r>
    </w:p>
    <w:p w14:paraId="1E458B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default"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注：以上纸质材料均需加盖鲜章。</w:t>
      </w:r>
    </w:p>
    <w:p w14:paraId="316CD7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八、时间安排</w:t>
      </w:r>
    </w:p>
    <w:p w14:paraId="03575A6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公告时间：2024年12月3日至2024年12月5日。</w:t>
      </w:r>
    </w:p>
    <w:p w14:paraId="72122E9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凡有意愿且符合条件的供应商，请将密封好的纸质报价资料在2024年12月6日下午15:00（工作日上班时间）前递交至乐山市金口河区自然资源局。凡是未在规定时限前送达的，一律拒收，视为主动放弃本项目询价活动。</w:t>
      </w:r>
    </w:p>
    <w:p w14:paraId="516737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九、报价资料递交信息</w:t>
      </w:r>
    </w:p>
    <w:p w14:paraId="644B4F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default"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收件地址:乐山市金口河区滨河路四段133号金口河区自然资源局6楼606室</w:t>
      </w:r>
    </w:p>
    <w:p w14:paraId="5FB527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default"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联系人：陈老师，联系电话：13408245410</w:t>
      </w:r>
    </w:p>
    <w:p w14:paraId="66913E3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十、其他说明</w:t>
      </w:r>
    </w:p>
    <w:p w14:paraId="386EAF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1.货物接收地点为乐山市金口河区共安彝族乡新河村为农服务中心仓库。</w:t>
      </w:r>
    </w:p>
    <w:p w14:paraId="0ED67A2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default"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2.供货时间要求为合同签订后15日内完成。</w:t>
      </w:r>
    </w:p>
    <w:p w14:paraId="5B78E13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p>
    <w:p w14:paraId="6D13872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附件：1、金口河区自然资源局仓储货架采购项目报价表</w:t>
      </w:r>
    </w:p>
    <w:p w14:paraId="32D8B4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1400" w:firstLineChars="5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2、承诺函</w:t>
      </w:r>
    </w:p>
    <w:p w14:paraId="28F1A57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1400" w:firstLineChars="5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3、法定代表人/单位负责人授权书</w:t>
      </w:r>
    </w:p>
    <w:p w14:paraId="674CE61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3920" w:firstLineChars="14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p>
    <w:p w14:paraId="4DD1A98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3920" w:firstLineChars="14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乐山市金口河区自然资源局</w:t>
      </w:r>
    </w:p>
    <w:p w14:paraId="1705D9E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4760" w:firstLineChars="17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2024年12月2日</w:t>
      </w:r>
    </w:p>
    <w:p w14:paraId="4AA8F7E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p>
    <w:p w14:paraId="361BCEE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left="0" w:leftChars="0" w:firstLine="560" w:firstLineChars="200"/>
        <w:textAlignment w:val="auto"/>
        <w:rPr>
          <w:rFonts w:hint="default"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附件1</w:t>
      </w:r>
    </w:p>
    <w:p w14:paraId="2D3DA6CA">
      <w:pPr>
        <w:jc w:val="center"/>
        <w:rPr>
          <w:rFonts w:hint="eastAsia" w:ascii="黑体" w:hAnsi="黑体" w:eastAsia="黑体" w:cs="黑体"/>
          <w:color w:val="000000" w:themeColor="text1"/>
          <w:sz w:val="44"/>
          <w:szCs w:val="44"/>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金口河区自然资源局仓储货架采购项目报价表</w:t>
      </w:r>
    </w:p>
    <w:tbl>
      <w:tblPr>
        <w:tblStyle w:val="5"/>
        <w:tblW w:w="89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57"/>
        <w:gridCol w:w="4398"/>
        <w:gridCol w:w="695"/>
        <w:gridCol w:w="927"/>
        <w:gridCol w:w="955"/>
        <w:gridCol w:w="961"/>
      </w:tblGrid>
      <w:tr w14:paraId="567D9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11DA">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名称</w:t>
            </w:r>
          </w:p>
        </w:tc>
        <w:tc>
          <w:tcPr>
            <w:tcW w:w="4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EE7E">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规格要求</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C220D">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1A65">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B847">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单价（元）</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995E">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总价（元）</w:t>
            </w:r>
          </w:p>
        </w:tc>
      </w:tr>
      <w:tr w14:paraId="2A83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D5A3">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仓储货架</w:t>
            </w:r>
          </w:p>
        </w:tc>
        <w:tc>
          <w:tcPr>
            <w:tcW w:w="4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CE9B">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1、层数：</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4层。</w:t>
            </w:r>
          </w:p>
          <w:p w14:paraId="1750D069">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2、单层承载：</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240kg。</w:t>
            </w:r>
          </w:p>
          <w:p w14:paraId="0B0F4C6A">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3、货架主体框架尺寸：长*宽*高</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200cm*60cm*200cm。</w:t>
            </w:r>
          </w:p>
          <w:p w14:paraId="4EF43219">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4、材质：钢。</w:t>
            </w:r>
          </w:p>
          <w:p w14:paraId="7359821E">
            <w:pPr>
              <w:keepNext w:val="0"/>
              <w:keepLines w:val="0"/>
              <w:widowControl/>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5、表面涂层：蓝色防锈涂层。</w:t>
            </w:r>
          </w:p>
          <w:p w14:paraId="51F4DA56">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6、组装方式：采用卡扣设计，方便安装和拆卸，可调节层高；</w:t>
            </w:r>
          </w:p>
          <w:p w14:paraId="2E21041A">
            <w:pPr>
              <w:keepNext w:val="0"/>
              <w:keepLines w:val="0"/>
              <w:widowControl/>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7、货架能够独立使用。</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8DE7B">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BB64F">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6438">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59BA">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r>
      <w:tr w14:paraId="1A8F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6" w:hRule="atLeast"/>
        </w:trPr>
        <w:tc>
          <w:tcPr>
            <w:tcW w:w="899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043FF">
            <w:pPr>
              <w:keepNext w:val="0"/>
              <w:keepLines w:val="0"/>
              <w:widowControl/>
              <w:suppressLineNumbers w:val="0"/>
              <w:jc w:val="center"/>
              <w:textAlignment w:val="center"/>
              <w:rPr>
                <w:rFonts w:hint="default" w:ascii="宋体" w:hAnsi="宋体" w:cs="宋体"/>
                <w:i w:val="0"/>
                <w:color w:val="000000" w:themeColor="text1"/>
                <w:sz w:val="18"/>
                <w:szCs w:val="18"/>
                <w:u w:val="no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总价：大写（人民币）     万     仟     佰     拾     元     角     分</w:t>
            </w:r>
          </w:p>
        </w:tc>
      </w:tr>
    </w:tbl>
    <w:p w14:paraId="56FDD7AD">
      <w:pP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57DB1304">
      <w:pPr>
        <w:ind w:firstLine="3840" w:firstLineChars="1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单位盖章：</w:t>
      </w:r>
    </w:p>
    <w:p w14:paraId="16EC10A1">
      <w:pPr>
        <w:ind w:firstLine="3840" w:firstLineChars="1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日    期：    年   月   日</w:t>
      </w:r>
    </w:p>
    <w:p w14:paraId="63EBC751">
      <w:pPr>
        <w:ind w:firstLine="3840" w:firstLineChars="1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13473678">
      <w:pPr>
        <w:ind w:firstLine="3840" w:firstLineChars="1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29B546DB">
      <w:pPr>
        <w:ind w:firstLine="3840" w:firstLineChars="1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3F7EDEEA">
      <w:pPr>
        <w:ind w:firstLine="3840" w:firstLineChars="1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54DA29B7">
      <w:pPr>
        <w:ind w:firstLine="3840" w:firstLineChars="1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1F95C27B">
      <w:pPr>
        <w:ind w:firstLine="3840" w:firstLineChars="1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46217728">
      <w:pPr>
        <w:ind w:firstLine="3840" w:firstLineChars="1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43EA471D">
      <w:pPr>
        <w:pStyle w:val="2"/>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3A3BADDB">
      <w:pPr>
        <w:rPr>
          <w:rFonts w:hint="eastAsia"/>
          <w:lang w:val="en-US" w:eastAsia="zh-CN"/>
        </w:rPr>
      </w:pPr>
    </w:p>
    <w:p w14:paraId="37331B02">
      <w:pPr>
        <w:ind w:firstLine="3840" w:firstLineChars="1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54F745F3">
      <w:pPr>
        <w:ind w:firstLine="3840" w:firstLineChars="1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68236311">
      <w:pPr>
        <w:pStyle w:val="2"/>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0571E0A2">
      <w:pPr>
        <w:rPr>
          <w:rFonts w:hint="eastAsia"/>
          <w:lang w:val="en-US" w:eastAsia="zh-CN"/>
        </w:rPr>
      </w:pPr>
    </w:p>
    <w:p w14:paraId="6CCAA2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23" w:lineRule="atLeast"/>
        <w:ind w:right="0"/>
        <w:jc w:val="left"/>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附件2</w:t>
      </w:r>
    </w:p>
    <w:p w14:paraId="08BD82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23" w:lineRule="atLeast"/>
        <w:ind w:right="0"/>
        <w:jc w:val="cente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承诺函</w:t>
      </w:r>
    </w:p>
    <w:p w14:paraId="7BF478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00" w:lineRule="exact"/>
        <w:ind w:right="0" w:firstLine="560" w:firstLineChars="200"/>
        <w:jc w:val="both"/>
        <w:textAlignment w:val="auto"/>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我单位作为参加</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金口河区自然资源局仓储货架</w:t>
      </w:r>
      <w:r>
        <w:rPr>
          <w:rFonts w:ascii="仿宋" w:hAnsi="仿宋" w:eastAsia="仿宋" w:cs="仿宋"/>
          <w:i w:val="0"/>
          <w:iCs w:val="0"/>
          <w:caps w:val="0"/>
          <w:color w:val="000000" w:themeColor="text1"/>
          <w:spacing w:val="0"/>
          <w:sz w:val="28"/>
          <w:szCs w:val="28"/>
          <w:shd w:val="clear" w:fill="FFFFFF"/>
          <w14:textFill>
            <w14:solidFill>
              <w14:schemeClr w14:val="tx1"/>
            </w14:solidFill>
          </w14:textFill>
        </w:rPr>
        <w:t>采购</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项目询价</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活动的投标单位，现郑重承诺我单位具备如下条件:</w:t>
      </w:r>
    </w:p>
    <w:p w14:paraId="24714C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00" w:lineRule="exact"/>
        <w:ind w:right="0" w:firstLine="560" w:firstLineChars="200"/>
        <w:jc w:val="both"/>
        <w:textAlignment w:val="auto"/>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(一)具有独立承担民事责任的能力;</w:t>
      </w:r>
    </w:p>
    <w:p w14:paraId="52A358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00" w:lineRule="exact"/>
        <w:ind w:right="0" w:firstLine="560" w:firstLineChars="200"/>
        <w:jc w:val="both"/>
        <w:textAlignment w:val="auto"/>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(二)具有良好的商业信誉和健全的财务会计制度;</w:t>
      </w:r>
    </w:p>
    <w:p w14:paraId="3A2CE3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00" w:lineRule="exact"/>
        <w:ind w:right="0" w:firstLine="560" w:firstLineChars="200"/>
        <w:jc w:val="both"/>
        <w:textAlignment w:val="auto"/>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(三)具有履行合同所必需的设备和专业技术能力;</w:t>
      </w:r>
    </w:p>
    <w:p w14:paraId="6E50B8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00" w:lineRule="exact"/>
        <w:ind w:right="0" w:firstLine="560" w:firstLineChars="200"/>
        <w:jc w:val="both"/>
        <w:textAlignment w:val="auto"/>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(四)</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具</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有依法缴纳税收和社会保障资金的良好记录;</w:t>
      </w:r>
    </w:p>
    <w:p w14:paraId="2972A3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00" w:lineRule="exact"/>
        <w:ind w:right="0" w:firstLine="560" w:firstLineChars="200"/>
        <w:jc w:val="both"/>
        <w:textAlignment w:val="auto"/>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(五)参加</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本次</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采购活动前三年内，在经营活动中没有重大违法记录</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w:t>
      </w:r>
    </w:p>
    <w:p w14:paraId="008954F7">
      <w:pPr>
        <w:keepNext w:val="0"/>
        <w:keepLines w:val="0"/>
        <w:pageBreakBefore w:val="0"/>
        <w:kinsoku/>
        <w:wordWrap/>
        <w:overflowPunct/>
        <w:topLinePunct w:val="0"/>
        <w:autoSpaceDE/>
        <w:autoSpaceDN/>
        <w:bidi w:val="0"/>
        <w:adjustRightInd/>
        <w:snapToGrid/>
        <w:spacing w:before="157" w:beforeLines="50" w:after="157" w:afterLines="50" w:line="5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14:paraId="2A23C2A3">
      <w:pPr>
        <w:pStyle w:val="2"/>
        <w:keepNext w:val="0"/>
        <w:keepLines w:val="0"/>
        <w:pageBreakBefore w:val="0"/>
        <w:kinsoku/>
        <w:wordWrap/>
        <w:overflowPunct/>
        <w:topLinePunct w:val="0"/>
        <w:autoSpaceDE/>
        <w:autoSpaceDN/>
        <w:bidi w:val="0"/>
        <w:adjustRightInd/>
        <w:snapToGrid/>
        <w:spacing w:before="157" w:beforeLines="50" w:after="157" w:afterLines="50" w:line="500" w:lineRule="exact"/>
        <w:ind w:firstLine="3920" w:firstLineChars="1400"/>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承诺人：（单位盖章）</w:t>
      </w:r>
    </w:p>
    <w:p w14:paraId="326C7321">
      <w:pPr>
        <w:keepNext w:val="0"/>
        <w:keepLines w:val="0"/>
        <w:pageBreakBefore w:val="0"/>
        <w:kinsoku/>
        <w:wordWrap/>
        <w:overflowPunct/>
        <w:topLinePunct w:val="0"/>
        <w:autoSpaceDE/>
        <w:autoSpaceDN/>
        <w:bidi w:val="0"/>
        <w:adjustRightInd/>
        <w:snapToGrid/>
        <w:spacing w:before="157" w:beforeLines="50" w:after="157" w:afterLines="50" w:line="500" w:lineRule="exact"/>
        <w:ind w:firstLine="5040" w:firstLineChars="1800"/>
        <w:textAlignment w:val="auto"/>
        <w:rPr>
          <w:rFonts w:hint="default"/>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年   月   日</w:t>
      </w:r>
    </w:p>
    <w:p w14:paraId="283B34FF">
      <w:pP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186A880B">
      <w:pP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50432E8B">
      <w:pP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064753FC">
      <w:pP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1195EDC9">
      <w:pP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7E65ADA8">
      <w:pPr>
        <w:pStyle w:val="2"/>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40C984D1">
      <w:pP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0CF8AFF1">
      <w:pPr>
        <w:pStyle w:val="2"/>
        <w:rPr>
          <w:rFonts w:hint="default"/>
          <w:lang w:val="en-US" w:eastAsia="zh-CN"/>
        </w:rPr>
      </w:pPr>
    </w:p>
    <w:p w14:paraId="3DD903C4">
      <w:pP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6D29CAFE">
      <w:pP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66BBF4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23" w:lineRule="atLeast"/>
        <w:ind w:right="0"/>
        <w:jc w:val="left"/>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附件3</w:t>
      </w:r>
    </w:p>
    <w:p w14:paraId="0D4745B1">
      <w:pPr>
        <w:jc w:val="center"/>
        <w:outlineLvl w:val="2"/>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法定代表人/单位负责人授权书</w:t>
      </w:r>
    </w:p>
    <w:p w14:paraId="4723326A">
      <w:pPr>
        <w:spacing w:line="360" w:lineRule="auto"/>
        <w:rPr>
          <w:rFonts w:hint="eastAsia" w:ascii="仿宋" w:hAnsi="仿宋" w:eastAsia="仿宋" w:cs="仿宋"/>
          <w:color w:val="auto"/>
          <w:highlight w:val="none"/>
        </w:rPr>
      </w:pPr>
    </w:p>
    <w:p w14:paraId="556A33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乐山市金口河区自然资源局：</w:t>
      </w:r>
    </w:p>
    <w:p w14:paraId="2D5F77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本授权声明：XXXX（单位名称）,XXXX（法定代表人姓名、职务）授权XXXX（被授权人姓名、职务）为我方参加金口河区自然资源局仓储货架项目采购活动的合法代表，以我方名义全权处理该项目有关报价、签订合同以及执行合同等一切事宜。</w:t>
      </w:r>
    </w:p>
    <w:p w14:paraId="2DA2738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特此声明。</w:t>
      </w:r>
    </w:p>
    <w:p w14:paraId="32278C1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p>
    <w:p w14:paraId="19090A9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供应商名称：XXX（盖单位公章）</w:t>
      </w:r>
    </w:p>
    <w:p w14:paraId="585F3F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法定代表人（签字或盖章）：XXX</w:t>
      </w:r>
    </w:p>
    <w:p w14:paraId="5E44D9F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职    务：XXX</w:t>
      </w:r>
    </w:p>
    <w:p w14:paraId="28E2AF6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p>
    <w:p w14:paraId="5C82E5C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授权代表签字：XXX</w:t>
      </w:r>
    </w:p>
    <w:p w14:paraId="208591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职    务：XXX</w:t>
      </w:r>
    </w:p>
    <w:p w14:paraId="4B64EA6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日    期：XXX年XXX月XXX日</w:t>
      </w:r>
    </w:p>
    <w:p w14:paraId="040CE87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0" w:leftChars="0" w:firstLine="560" w:firstLineChars="200"/>
        <w:textAlignment w:val="auto"/>
        <w:rPr>
          <w:rFonts w:hint="default"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p>
    <w:sectPr>
      <w:pgSz w:w="11906" w:h="16838"/>
      <w:pgMar w:top="850" w:right="1468" w:bottom="850" w:left="146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13B1"/>
    <w:rsid w:val="015B7CFF"/>
    <w:rsid w:val="01FA7AA7"/>
    <w:rsid w:val="03A96127"/>
    <w:rsid w:val="03FD54C6"/>
    <w:rsid w:val="073862B0"/>
    <w:rsid w:val="074628C6"/>
    <w:rsid w:val="07C22D47"/>
    <w:rsid w:val="08326CD4"/>
    <w:rsid w:val="091F420F"/>
    <w:rsid w:val="0A623A38"/>
    <w:rsid w:val="0B6556F1"/>
    <w:rsid w:val="0CE83206"/>
    <w:rsid w:val="0E975370"/>
    <w:rsid w:val="12F60DF5"/>
    <w:rsid w:val="151874F8"/>
    <w:rsid w:val="151A398B"/>
    <w:rsid w:val="168D0B13"/>
    <w:rsid w:val="17870C70"/>
    <w:rsid w:val="1CE061EF"/>
    <w:rsid w:val="1ED4454C"/>
    <w:rsid w:val="1F821F7D"/>
    <w:rsid w:val="20075B68"/>
    <w:rsid w:val="20731577"/>
    <w:rsid w:val="20847C5E"/>
    <w:rsid w:val="20E74F8E"/>
    <w:rsid w:val="22C34341"/>
    <w:rsid w:val="23A66054"/>
    <w:rsid w:val="23D31331"/>
    <w:rsid w:val="254B6F9C"/>
    <w:rsid w:val="25A466AC"/>
    <w:rsid w:val="25A9254F"/>
    <w:rsid w:val="26FB7BC9"/>
    <w:rsid w:val="29506FBB"/>
    <w:rsid w:val="2A213671"/>
    <w:rsid w:val="2ADD2FED"/>
    <w:rsid w:val="2B480177"/>
    <w:rsid w:val="2C03600B"/>
    <w:rsid w:val="2CC64E0F"/>
    <w:rsid w:val="32111BDB"/>
    <w:rsid w:val="34060532"/>
    <w:rsid w:val="36807C3A"/>
    <w:rsid w:val="36A22D08"/>
    <w:rsid w:val="36C22E36"/>
    <w:rsid w:val="36F94228"/>
    <w:rsid w:val="372331E9"/>
    <w:rsid w:val="38C554C9"/>
    <w:rsid w:val="3AA864C8"/>
    <w:rsid w:val="3AD153F6"/>
    <w:rsid w:val="3B186DA1"/>
    <w:rsid w:val="41957FDA"/>
    <w:rsid w:val="424E1CBC"/>
    <w:rsid w:val="44776140"/>
    <w:rsid w:val="449753BF"/>
    <w:rsid w:val="45CD093B"/>
    <w:rsid w:val="4A061283"/>
    <w:rsid w:val="4A9D3476"/>
    <w:rsid w:val="4BA24D84"/>
    <w:rsid w:val="4CE02A96"/>
    <w:rsid w:val="4D931641"/>
    <w:rsid w:val="4FDA63EA"/>
    <w:rsid w:val="537E2EA2"/>
    <w:rsid w:val="548F234C"/>
    <w:rsid w:val="55245917"/>
    <w:rsid w:val="57A671D0"/>
    <w:rsid w:val="585B5C1B"/>
    <w:rsid w:val="5AAC2F70"/>
    <w:rsid w:val="5DDC52DD"/>
    <w:rsid w:val="5E7B0BF2"/>
    <w:rsid w:val="61B30193"/>
    <w:rsid w:val="620322C9"/>
    <w:rsid w:val="626248B1"/>
    <w:rsid w:val="64906093"/>
    <w:rsid w:val="66765593"/>
    <w:rsid w:val="69A022B3"/>
    <w:rsid w:val="6A2C2DFB"/>
    <w:rsid w:val="6B9B2E98"/>
    <w:rsid w:val="6C336FDD"/>
    <w:rsid w:val="6E33426E"/>
    <w:rsid w:val="6ECC249F"/>
    <w:rsid w:val="6F290023"/>
    <w:rsid w:val="6FE95DE3"/>
    <w:rsid w:val="702A1A1F"/>
    <w:rsid w:val="706A537D"/>
    <w:rsid w:val="72E55C8B"/>
    <w:rsid w:val="753A369D"/>
    <w:rsid w:val="75AE6AE8"/>
    <w:rsid w:val="77E56D99"/>
    <w:rsid w:val="782F1D63"/>
    <w:rsid w:val="7A547659"/>
    <w:rsid w:val="7AC47C3C"/>
    <w:rsid w:val="7B591D51"/>
    <w:rsid w:val="7BED7018"/>
    <w:rsid w:val="7CB3202A"/>
    <w:rsid w:val="7CD67397"/>
    <w:rsid w:val="7E4E6ED7"/>
    <w:rsid w:val="7EB17168"/>
    <w:rsid w:val="7FA95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Calibri" w:hAnsi="Calibri"/>
    </w:rPr>
  </w:style>
  <w:style w:type="paragraph" w:styleId="3">
    <w:name w:val="footer"/>
    <w:basedOn w:val="1"/>
    <w:qFormat/>
    <w:uiPriority w:val="6"/>
    <w:pPr>
      <w:keepNext w:val="0"/>
      <w:keepLines w:val="0"/>
      <w:widowControl w:val="0"/>
      <w:suppressLineNumbers w:val="0"/>
      <w:snapToGrid w:val="0"/>
      <w:spacing w:before="0" w:beforeAutospacing="0" w:after="0" w:afterAutospacing="0"/>
      <w:ind w:left="0" w:right="0"/>
      <w:jc w:val="left"/>
    </w:pPr>
    <w:rPr>
      <w:rFonts w:hint="default" w:ascii="Times New Roman" w:hAnsi="Times New Roman" w:cs="Times New Roman"/>
      <w:kern w:val="0"/>
      <w:sz w:val="18"/>
      <w:szCs w:val="18"/>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595</Words>
  <Characters>629</Characters>
  <Lines>0</Lines>
  <Paragraphs>0</Paragraphs>
  <TotalTime>7</TotalTime>
  <ScaleCrop>false</ScaleCrop>
  <LinksUpToDate>false</LinksUpToDate>
  <CharactersWithSpaces>629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峡谷玩核</cp:lastModifiedBy>
  <cp:lastPrinted>2024-12-02T06:05:30Z</cp:lastPrinted>
  <dcterms:modified xsi:type="dcterms:W3CDTF">2024-12-02T06:07:14Z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39AE66E641F94F91A27E5A5DA68EAFFF</vt:lpwstr>
  </property>
</Properties>
</file>