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214" w:rsidRDefault="00E35214">
      <w:pPr>
        <w:snapToGrid w:val="0"/>
        <w:spacing w:line="580" w:lineRule="exact"/>
        <w:ind w:firstLineChars="200" w:firstLine="960"/>
        <w:jc w:val="center"/>
        <w:textAlignment w:val="baseline"/>
        <w:rPr>
          <w:rFonts w:ascii="仿宋" w:eastAsia="仿宋" w:hAnsi="仿宋" w:cs="仿宋"/>
          <w:sz w:val="48"/>
          <w:szCs w:val="48"/>
        </w:rPr>
      </w:pPr>
    </w:p>
    <w:p w:rsidR="00E35214" w:rsidRDefault="00E35214">
      <w:pPr>
        <w:snapToGrid w:val="0"/>
        <w:spacing w:line="580" w:lineRule="exact"/>
        <w:ind w:firstLineChars="200" w:firstLine="960"/>
        <w:jc w:val="center"/>
        <w:textAlignment w:val="baseline"/>
        <w:rPr>
          <w:rFonts w:ascii="仿宋" w:eastAsia="仿宋" w:hAnsi="仿宋" w:cs="仿宋"/>
          <w:sz w:val="48"/>
          <w:szCs w:val="48"/>
        </w:rPr>
      </w:pPr>
    </w:p>
    <w:p w:rsidR="00E35214" w:rsidRDefault="00E35214">
      <w:pPr>
        <w:snapToGrid w:val="0"/>
        <w:spacing w:line="580" w:lineRule="exact"/>
        <w:ind w:firstLineChars="200" w:firstLine="960"/>
        <w:jc w:val="center"/>
        <w:textAlignment w:val="baseline"/>
        <w:rPr>
          <w:rFonts w:ascii="仿宋" w:eastAsia="仿宋" w:hAnsi="仿宋" w:cs="仿宋"/>
          <w:sz w:val="48"/>
          <w:szCs w:val="48"/>
        </w:rPr>
      </w:pPr>
    </w:p>
    <w:p w:rsidR="00E35214" w:rsidRDefault="00E35214">
      <w:pPr>
        <w:snapToGrid w:val="0"/>
        <w:spacing w:line="580" w:lineRule="exact"/>
        <w:ind w:firstLineChars="200" w:firstLine="960"/>
        <w:jc w:val="center"/>
        <w:textAlignment w:val="baseline"/>
        <w:rPr>
          <w:rFonts w:ascii="仿宋" w:eastAsia="仿宋" w:hAnsi="仿宋" w:cs="仿宋"/>
          <w:sz w:val="48"/>
          <w:szCs w:val="48"/>
        </w:rPr>
      </w:pPr>
    </w:p>
    <w:p w:rsidR="00E35214" w:rsidRDefault="006F7231">
      <w:pPr>
        <w:snapToGrid w:val="0"/>
        <w:spacing w:line="360" w:lineRule="auto"/>
        <w:jc w:val="center"/>
        <w:textAlignment w:val="baseline"/>
        <w:rPr>
          <w:rFonts w:ascii="黑体" w:eastAsia="黑体" w:hAnsi="黑体" w:cs="黑体"/>
          <w:b/>
          <w:bCs/>
          <w:sz w:val="52"/>
          <w:szCs w:val="52"/>
        </w:rPr>
      </w:pPr>
      <w:r>
        <w:rPr>
          <w:rFonts w:ascii="黑体" w:eastAsia="黑体" w:hAnsi="黑体" w:cs="黑体" w:hint="eastAsia"/>
          <w:b/>
          <w:bCs/>
          <w:sz w:val="52"/>
          <w:szCs w:val="52"/>
        </w:rPr>
        <w:t>乐山市金口河区国民经济和社会发展第十四个五年规划和</w:t>
      </w:r>
      <w:r w:rsidR="00950EE9">
        <w:rPr>
          <w:rFonts w:ascii="黑体" w:eastAsia="黑体" w:hAnsi="黑体" w:cs="黑体" w:hint="eastAsia"/>
          <w:b/>
          <w:bCs/>
          <w:sz w:val="52"/>
          <w:szCs w:val="52"/>
        </w:rPr>
        <w:t>二〇</w:t>
      </w:r>
      <w:r>
        <w:rPr>
          <w:rFonts w:ascii="黑体" w:eastAsia="黑体" w:hAnsi="黑体" w:cs="黑体" w:hint="eastAsia"/>
          <w:b/>
          <w:bCs/>
          <w:sz w:val="52"/>
          <w:szCs w:val="52"/>
        </w:rPr>
        <w:t>三五远景目标纲要</w:t>
      </w:r>
    </w:p>
    <w:p w:rsidR="00E35214" w:rsidRDefault="00E35214">
      <w:pPr>
        <w:snapToGrid w:val="0"/>
        <w:spacing w:line="580" w:lineRule="exact"/>
        <w:ind w:firstLineChars="200" w:firstLine="720"/>
        <w:jc w:val="center"/>
        <w:textAlignment w:val="baseline"/>
        <w:rPr>
          <w:rFonts w:ascii="仿宋" w:eastAsia="仿宋" w:hAnsi="仿宋" w:cs="仿宋"/>
          <w:sz w:val="36"/>
          <w:szCs w:val="36"/>
        </w:rPr>
      </w:pPr>
    </w:p>
    <w:p w:rsidR="00E35214" w:rsidRDefault="00E35214">
      <w:pPr>
        <w:snapToGrid w:val="0"/>
        <w:jc w:val="center"/>
        <w:textAlignment w:val="baseline"/>
        <w:rPr>
          <w:rFonts w:ascii="仿宋" w:eastAsia="仿宋" w:hAnsi="仿宋" w:cs="仿宋"/>
          <w:sz w:val="36"/>
          <w:szCs w:val="36"/>
        </w:rPr>
      </w:pPr>
    </w:p>
    <w:p w:rsidR="00E35214" w:rsidRDefault="00E35214">
      <w:pPr>
        <w:snapToGrid w:val="0"/>
        <w:spacing w:line="580" w:lineRule="exact"/>
        <w:jc w:val="center"/>
        <w:textAlignment w:val="baseline"/>
        <w:rPr>
          <w:rFonts w:ascii="楷体" w:eastAsia="楷体" w:hAnsi="楷体" w:cs="楷体"/>
          <w:kern w:val="0"/>
          <w:sz w:val="44"/>
          <w:szCs w:val="44"/>
        </w:rPr>
      </w:pPr>
    </w:p>
    <w:p w:rsidR="00E35214" w:rsidRDefault="00E35214">
      <w:pPr>
        <w:snapToGrid w:val="0"/>
        <w:spacing w:line="580" w:lineRule="exact"/>
        <w:jc w:val="center"/>
        <w:textAlignment w:val="baseline"/>
        <w:rPr>
          <w:rFonts w:ascii="楷体" w:eastAsia="楷体" w:hAnsi="楷体" w:cs="楷体"/>
          <w:kern w:val="0"/>
          <w:sz w:val="44"/>
          <w:szCs w:val="44"/>
        </w:rPr>
      </w:pPr>
    </w:p>
    <w:p w:rsidR="00E35214" w:rsidRDefault="00E35214">
      <w:pPr>
        <w:snapToGrid w:val="0"/>
        <w:spacing w:line="580" w:lineRule="exact"/>
        <w:jc w:val="center"/>
        <w:textAlignment w:val="baseline"/>
        <w:rPr>
          <w:rFonts w:ascii="楷体" w:eastAsia="楷体" w:hAnsi="楷体" w:cs="楷体"/>
          <w:kern w:val="0"/>
          <w:sz w:val="44"/>
          <w:szCs w:val="44"/>
        </w:rPr>
      </w:pPr>
    </w:p>
    <w:p w:rsidR="00E35214" w:rsidRDefault="00E35214">
      <w:pPr>
        <w:snapToGrid w:val="0"/>
        <w:spacing w:line="580" w:lineRule="exact"/>
        <w:jc w:val="center"/>
        <w:textAlignment w:val="baseline"/>
        <w:rPr>
          <w:rFonts w:ascii="楷体" w:eastAsia="楷体" w:hAnsi="楷体" w:cs="楷体"/>
          <w:kern w:val="0"/>
          <w:sz w:val="44"/>
          <w:szCs w:val="44"/>
        </w:rPr>
      </w:pPr>
    </w:p>
    <w:p w:rsidR="00E35214" w:rsidRDefault="00E35214">
      <w:pPr>
        <w:snapToGrid w:val="0"/>
        <w:spacing w:line="580" w:lineRule="exact"/>
        <w:jc w:val="center"/>
        <w:textAlignment w:val="baseline"/>
        <w:rPr>
          <w:rFonts w:ascii="楷体" w:eastAsia="楷体" w:hAnsi="楷体" w:cs="楷体"/>
          <w:kern w:val="0"/>
          <w:sz w:val="44"/>
          <w:szCs w:val="44"/>
        </w:rPr>
      </w:pPr>
    </w:p>
    <w:p w:rsidR="00E35214" w:rsidRDefault="00E35214">
      <w:pPr>
        <w:snapToGrid w:val="0"/>
        <w:spacing w:line="580" w:lineRule="exact"/>
        <w:jc w:val="center"/>
        <w:textAlignment w:val="baseline"/>
        <w:rPr>
          <w:rFonts w:ascii="楷体" w:eastAsia="楷体" w:hAnsi="楷体" w:cs="楷体"/>
          <w:kern w:val="0"/>
          <w:sz w:val="44"/>
          <w:szCs w:val="44"/>
        </w:rPr>
      </w:pPr>
    </w:p>
    <w:p w:rsidR="00E35214" w:rsidRDefault="00E35214">
      <w:pPr>
        <w:snapToGrid w:val="0"/>
        <w:spacing w:line="580" w:lineRule="exact"/>
        <w:jc w:val="center"/>
        <w:textAlignment w:val="baseline"/>
        <w:rPr>
          <w:rFonts w:ascii="楷体" w:eastAsia="楷体" w:hAnsi="楷体" w:cs="楷体"/>
          <w:kern w:val="0"/>
          <w:sz w:val="44"/>
          <w:szCs w:val="44"/>
        </w:rPr>
      </w:pPr>
    </w:p>
    <w:p w:rsidR="00E35214" w:rsidRDefault="006F7231">
      <w:pPr>
        <w:snapToGrid w:val="0"/>
        <w:spacing w:line="580" w:lineRule="exact"/>
        <w:jc w:val="center"/>
        <w:textAlignment w:val="baseline"/>
        <w:rPr>
          <w:rFonts w:ascii="楷体" w:eastAsia="楷体" w:hAnsi="楷体" w:cs="楷体"/>
          <w:kern w:val="0"/>
          <w:sz w:val="44"/>
          <w:szCs w:val="44"/>
        </w:rPr>
      </w:pPr>
      <w:r>
        <w:rPr>
          <w:rFonts w:ascii="楷体" w:eastAsia="楷体" w:hAnsi="楷体" w:cs="楷体" w:hint="eastAsia"/>
          <w:kern w:val="0"/>
          <w:sz w:val="44"/>
          <w:szCs w:val="44"/>
        </w:rPr>
        <w:t>乐山市金口河区人民政府</w:t>
      </w:r>
    </w:p>
    <w:p w:rsidR="00E35214" w:rsidRDefault="006F7231">
      <w:pPr>
        <w:pStyle w:val="af4"/>
        <w:snapToGrid w:val="0"/>
        <w:spacing w:line="580" w:lineRule="exact"/>
        <w:jc w:val="center"/>
        <w:rPr>
          <w:rFonts w:ascii="楷体" w:eastAsia="楷体" w:hAnsi="楷体" w:cs="楷体"/>
          <w:sz w:val="44"/>
          <w:szCs w:val="44"/>
        </w:rPr>
      </w:pPr>
      <w:r>
        <w:rPr>
          <w:rFonts w:ascii="楷体" w:eastAsia="楷体" w:hAnsi="楷体" w:cs="楷体" w:hint="eastAsia"/>
          <w:sz w:val="44"/>
          <w:szCs w:val="44"/>
        </w:rPr>
        <w:t>2021年5月</w:t>
      </w:r>
    </w:p>
    <w:p w:rsidR="00E35214" w:rsidRDefault="00E35214">
      <w:pPr>
        <w:pStyle w:val="af4"/>
        <w:snapToGrid w:val="0"/>
        <w:spacing w:line="580" w:lineRule="exact"/>
        <w:jc w:val="center"/>
        <w:rPr>
          <w:rFonts w:ascii="楷体" w:eastAsia="楷体" w:hAnsi="楷体" w:cs="楷体"/>
          <w:sz w:val="44"/>
          <w:szCs w:val="44"/>
        </w:rPr>
        <w:sectPr w:rsidR="00E35214">
          <w:pgSz w:w="11906" w:h="16838"/>
          <w:pgMar w:top="1440" w:right="1800" w:bottom="1440" w:left="1800" w:header="851" w:footer="992" w:gutter="0"/>
          <w:cols w:space="425"/>
          <w:docGrid w:type="lines" w:linePitch="312"/>
        </w:sectPr>
      </w:pPr>
    </w:p>
    <w:p w:rsidR="00E35214" w:rsidRDefault="00E35214">
      <w:pPr>
        <w:snapToGrid w:val="0"/>
        <w:spacing w:line="580" w:lineRule="exact"/>
        <w:jc w:val="center"/>
        <w:textAlignment w:val="baseline"/>
        <w:rPr>
          <w:rFonts w:ascii="黑体" w:eastAsia="黑体" w:hAnsi="黑体" w:cs="黑体"/>
          <w:b/>
          <w:bCs/>
          <w:sz w:val="44"/>
          <w:szCs w:val="44"/>
        </w:rPr>
      </w:pPr>
    </w:p>
    <w:p w:rsidR="00E35214" w:rsidRDefault="006F7231">
      <w:pPr>
        <w:snapToGrid w:val="0"/>
        <w:spacing w:line="580" w:lineRule="exact"/>
        <w:jc w:val="center"/>
        <w:textAlignment w:val="baseline"/>
        <w:rPr>
          <w:rFonts w:ascii="黑体" w:eastAsia="黑体" w:hAnsi="黑体" w:cs="黑体"/>
          <w:b/>
          <w:bCs/>
          <w:sz w:val="44"/>
          <w:szCs w:val="44"/>
        </w:rPr>
      </w:pPr>
      <w:r>
        <w:rPr>
          <w:rFonts w:ascii="黑体" w:eastAsia="黑体" w:hAnsi="黑体" w:cs="黑体" w:hint="eastAsia"/>
          <w:b/>
          <w:bCs/>
          <w:sz w:val="44"/>
          <w:szCs w:val="44"/>
        </w:rPr>
        <w:t>目  录</w:t>
      </w:r>
    </w:p>
    <w:p w:rsidR="00E35214" w:rsidRDefault="00E35214">
      <w:pPr>
        <w:pStyle w:val="20"/>
        <w:snapToGrid w:val="0"/>
        <w:textAlignment w:val="baseline"/>
        <w:rPr>
          <w:sz w:val="21"/>
        </w:rPr>
      </w:pPr>
    </w:p>
    <w:p w:rsidR="00E35214" w:rsidRDefault="00E35214">
      <w:pPr>
        <w:pStyle w:val="10"/>
        <w:tabs>
          <w:tab w:val="right" w:leader="dot" w:pos="9390"/>
        </w:tabs>
        <w:snapToGrid w:val="0"/>
        <w:spacing w:line="360" w:lineRule="auto"/>
        <w:textAlignment w:val="baseline"/>
        <w:rPr>
          <w:rFonts w:ascii="仿宋" w:eastAsia="仿宋" w:hAnsi="仿宋" w:cs="仿宋"/>
          <w:sz w:val="32"/>
          <w:szCs w:val="32"/>
          <w:shd w:val="clear" w:color="auto" w:fill="FFFFFF"/>
        </w:rPr>
      </w:pPr>
    </w:p>
    <w:p w:rsidR="00E35214" w:rsidRDefault="00F32E25">
      <w:pPr>
        <w:pStyle w:val="10"/>
        <w:tabs>
          <w:tab w:val="right" w:leader="dot" w:pos="9390"/>
        </w:tabs>
        <w:snapToGrid w:val="0"/>
        <w:spacing w:line="360" w:lineRule="auto"/>
        <w:textAlignment w:val="baseline"/>
        <w:rPr>
          <w:rFonts w:ascii="黑体" w:eastAsia="黑体" w:hAnsi="黑体" w:cs="黑体"/>
          <w:sz w:val="30"/>
          <w:szCs w:val="30"/>
          <w:shd w:val="clear" w:color="auto" w:fill="FFFFFF"/>
        </w:rPr>
      </w:pPr>
      <w:r>
        <w:rPr>
          <w:rFonts w:ascii="仿宋" w:eastAsia="仿宋" w:hAnsi="仿宋" w:cs="仿宋"/>
          <w:sz w:val="30"/>
          <w:szCs w:val="30"/>
          <w:shd w:val="clear" w:color="auto" w:fill="FFFFFF"/>
        </w:rPr>
        <w:fldChar w:fldCharType="begin"/>
      </w:r>
      <w:r w:rsidR="006F7231">
        <w:rPr>
          <w:rFonts w:ascii="仿宋" w:eastAsia="仿宋" w:hAnsi="仿宋" w:cs="仿宋"/>
          <w:sz w:val="30"/>
          <w:szCs w:val="30"/>
          <w:shd w:val="clear" w:color="auto" w:fill="FFFFFF"/>
        </w:rPr>
        <w:instrText xml:space="preserve">TOC \o "1-2" \h \u </w:instrText>
      </w:r>
      <w:r>
        <w:rPr>
          <w:rFonts w:ascii="仿宋" w:eastAsia="仿宋" w:hAnsi="仿宋" w:cs="仿宋"/>
          <w:sz w:val="30"/>
          <w:szCs w:val="30"/>
          <w:shd w:val="clear" w:color="auto" w:fill="FFFFFF"/>
        </w:rPr>
        <w:fldChar w:fldCharType="separate"/>
      </w:r>
      <w:hyperlink w:anchor="_Toc1206" w:history="1">
        <w:r w:rsidR="006F7231">
          <w:rPr>
            <w:rFonts w:ascii="黑体" w:eastAsia="黑体" w:hAnsi="黑体" w:cs="黑体" w:hint="eastAsia"/>
            <w:sz w:val="30"/>
            <w:szCs w:val="30"/>
          </w:rPr>
          <w:t>第一篇 继往开来，开启建设社会主义现代化金口河</w:t>
        </w:r>
      </w:hyperlink>
    </w:p>
    <w:p w:rsidR="00E35214" w:rsidRDefault="00F32E25">
      <w:pPr>
        <w:pStyle w:val="10"/>
        <w:tabs>
          <w:tab w:val="right" w:leader="dot" w:pos="9390"/>
        </w:tabs>
        <w:snapToGrid w:val="0"/>
        <w:spacing w:line="360" w:lineRule="auto"/>
        <w:textAlignment w:val="baseline"/>
        <w:rPr>
          <w:sz w:val="30"/>
          <w:szCs w:val="30"/>
        </w:rPr>
      </w:pPr>
      <w:hyperlink w:anchor="_Toc28638" w:history="1">
        <w:r w:rsidR="006F7231">
          <w:rPr>
            <w:rFonts w:hint="eastAsia"/>
            <w:sz w:val="30"/>
            <w:szCs w:val="30"/>
          </w:rPr>
          <w:t>第一章</w:t>
        </w:r>
        <w:r w:rsidR="006F7231">
          <w:rPr>
            <w:rFonts w:hint="eastAsia"/>
            <w:sz w:val="30"/>
            <w:szCs w:val="30"/>
          </w:rPr>
          <w:t xml:space="preserve"> </w:t>
        </w:r>
        <w:r w:rsidR="006F7231">
          <w:rPr>
            <w:rFonts w:hint="eastAsia"/>
            <w:sz w:val="30"/>
            <w:szCs w:val="30"/>
          </w:rPr>
          <w:t>发展的基础和环境</w:t>
        </w:r>
        <w:r w:rsidR="006F7231">
          <w:rPr>
            <w:sz w:val="30"/>
            <w:szCs w:val="30"/>
          </w:rPr>
          <w:tab/>
        </w:r>
        <w:r>
          <w:rPr>
            <w:sz w:val="30"/>
            <w:szCs w:val="30"/>
          </w:rPr>
          <w:fldChar w:fldCharType="begin"/>
        </w:r>
        <w:r w:rsidR="006F7231">
          <w:rPr>
            <w:sz w:val="30"/>
            <w:szCs w:val="30"/>
          </w:rPr>
          <w:instrText xml:space="preserve"> PAGEREF _Toc28638 </w:instrText>
        </w:r>
        <w:r>
          <w:rPr>
            <w:sz w:val="30"/>
            <w:szCs w:val="30"/>
          </w:rPr>
          <w:fldChar w:fldCharType="separate"/>
        </w:r>
        <w:r w:rsidR="006F7231">
          <w:rPr>
            <w:sz w:val="30"/>
            <w:szCs w:val="30"/>
          </w:rPr>
          <w:t>6</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0432" w:history="1">
        <w:r w:rsidR="006F7231">
          <w:rPr>
            <w:rFonts w:hint="eastAsia"/>
            <w:sz w:val="30"/>
            <w:szCs w:val="30"/>
          </w:rPr>
          <w:t>第二章</w:t>
        </w:r>
        <w:r w:rsidR="006F7231">
          <w:rPr>
            <w:rFonts w:hint="eastAsia"/>
            <w:sz w:val="30"/>
            <w:szCs w:val="30"/>
          </w:rPr>
          <w:t xml:space="preserve"> </w:t>
        </w:r>
        <w:r w:rsidR="006F7231">
          <w:rPr>
            <w:rFonts w:hint="eastAsia"/>
            <w:sz w:val="30"/>
            <w:szCs w:val="30"/>
          </w:rPr>
          <w:t>指导思想和基本原则</w:t>
        </w:r>
        <w:r w:rsidR="006F7231">
          <w:rPr>
            <w:sz w:val="30"/>
            <w:szCs w:val="30"/>
          </w:rPr>
          <w:tab/>
        </w:r>
        <w:r>
          <w:rPr>
            <w:sz w:val="30"/>
            <w:szCs w:val="30"/>
          </w:rPr>
          <w:fldChar w:fldCharType="begin"/>
        </w:r>
        <w:r w:rsidR="006F7231">
          <w:rPr>
            <w:sz w:val="30"/>
            <w:szCs w:val="30"/>
          </w:rPr>
          <w:instrText xml:space="preserve"> PAGEREF _Toc10432 </w:instrText>
        </w:r>
        <w:r>
          <w:rPr>
            <w:sz w:val="30"/>
            <w:szCs w:val="30"/>
          </w:rPr>
          <w:fldChar w:fldCharType="separate"/>
        </w:r>
        <w:r w:rsidR="006F7231">
          <w:rPr>
            <w:sz w:val="30"/>
            <w:szCs w:val="30"/>
          </w:rPr>
          <w:t>14</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7063" w:history="1">
        <w:r w:rsidR="006F7231">
          <w:rPr>
            <w:rFonts w:hint="eastAsia"/>
            <w:sz w:val="30"/>
            <w:szCs w:val="30"/>
          </w:rPr>
          <w:t>第三章战略定位和发展目标</w:t>
        </w:r>
        <w:r w:rsidR="006F7231">
          <w:rPr>
            <w:sz w:val="30"/>
            <w:szCs w:val="30"/>
          </w:rPr>
          <w:tab/>
        </w:r>
        <w:r>
          <w:rPr>
            <w:sz w:val="30"/>
            <w:szCs w:val="30"/>
          </w:rPr>
          <w:fldChar w:fldCharType="begin"/>
        </w:r>
        <w:r w:rsidR="006F7231">
          <w:rPr>
            <w:sz w:val="30"/>
            <w:szCs w:val="30"/>
          </w:rPr>
          <w:instrText xml:space="preserve"> PAGEREF _Toc7063 </w:instrText>
        </w:r>
        <w:r>
          <w:rPr>
            <w:sz w:val="30"/>
            <w:szCs w:val="30"/>
          </w:rPr>
          <w:fldChar w:fldCharType="separate"/>
        </w:r>
        <w:r w:rsidR="006F7231">
          <w:rPr>
            <w:sz w:val="30"/>
            <w:szCs w:val="30"/>
          </w:rPr>
          <w:t>17</w:t>
        </w:r>
        <w:r>
          <w:rPr>
            <w:sz w:val="30"/>
            <w:szCs w:val="30"/>
          </w:rPr>
          <w:fldChar w:fldCharType="end"/>
        </w:r>
      </w:hyperlink>
    </w:p>
    <w:p w:rsidR="00E35214" w:rsidRDefault="00F32E25">
      <w:pPr>
        <w:pStyle w:val="10"/>
        <w:tabs>
          <w:tab w:val="right" w:leader="dot" w:pos="9390"/>
        </w:tabs>
        <w:snapToGrid w:val="0"/>
        <w:spacing w:line="360" w:lineRule="auto"/>
        <w:textAlignment w:val="baseline"/>
        <w:rPr>
          <w:sz w:val="30"/>
          <w:szCs w:val="30"/>
        </w:rPr>
      </w:pPr>
      <w:hyperlink w:anchor="_Toc21842" w:history="1">
        <w:r w:rsidR="006F7231">
          <w:rPr>
            <w:rFonts w:eastAsia="黑体" w:hint="eastAsia"/>
            <w:bCs/>
            <w:kern w:val="44"/>
            <w:sz w:val="30"/>
            <w:szCs w:val="30"/>
          </w:rPr>
          <w:t>第二篇突出比较优势，构建适宜区情的金口河现代产业体系</w:t>
        </w:r>
      </w:hyperlink>
    </w:p>
    <w:p w:rsidR="00E35214" w:rsidRDefault="00F32E25">
      <w:pPr>
        <w:pStyle w:val="22"/>
        <w:tabs>
          <w:tab w:val="right" w:leader="dot" w:pos="9390"/>
        </w:tabs>
        <w:snapToGrid w:val="0"/>
        <w:spacing w:line="360" w:lineRule="auto"/>
        <w:textAlignment w:val="baseline"/>
        <w:rPr>
          <w:sz w:val="30"/>
          <w:szCs w:val="30"/>
        </w:rPr>
      </w:pPr>
      <w:hyperlink w:anchor="_Toc29010" w:history="1">
        <w:r w:rsidR="006F7231">
          <w:rPr>
            <w:rFonts w:hint="eastAsia"/>
            <w:sz w:val="30"/>
            <w:szCs w:val="30"/>
          </w:rPr>
          <w:t>第四章构建现代工业体系</w:t>
        </w:r>
        <w:r w:rsidR="006F7231">
          <w:rPr>
            <w:sz w:val="30"/>
            <w:szCs w:val="30"/>
          </w:rPr>
          <w:tab/>
        </w:r>
        <w:r>
          <w:rPr>
            <w:sz w:val="30"/>
            <w:szCs w:val="30"/>
          </w:rPr>
          <w:fldChar w:fldCharType="begin"/>
        </w:r>
        <w:r w:rsidR="006F7231">
          <w:rPr>
            <w:sz w:val="30"/>
            <w:szCs w:val="30"/>
          </w:rPr>
          <w:instrText xml:space="preserve"> PAGEREF _Toc29010 </w:instrText>
        </w:r>
        <w:r>
          <w:rPr>
            <w:sz w:val="30"/>
            <w:szCs w:val="30"/>
          </w:rPr>
          <w:fldChar w:fldCharType="separate"/>
        </w:r>
        <w:r w:rsidR="006F7231">
          <w:rPr>
            <w:sz w:val="30"/>
            <w:szCs w:val="30"/>
          </w:rPr>
          <w:t>23</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489" w:history="1">
        <w:r w:rsidR="006F7231">
          <w:rPr>
            <w:rFonts w:hint="eastAsia"/>
            <w:sz w:val="30"/>
            <w:szCs w:val="30"/>
          </w:rPr>
          <w:t>第五章</w:t>
        </w:r>
        <w:r w:rsidR="006F7231">
          <w:rPr>
            <w:rFonts w:hint="eastAsia"/>
            <w:sz w:val="30"/>
            <w:szCs w:val="30"/>
          </w:rPr>
          <w:t xml:space="preserve"> </w:t>
        </w:r>
        <w:r w:rsidR="006F7231">
          <w:rPr>
            <w:rFonts w:hint="eastAsia"/>
            <w:sz w:val="30"/>
            <w:szCs w:val="30"/>
          </w:rPr>
          <w:t>构建绿色农产品供应地</w:t>
        </w:r>
        <w:r w:rsidR="006F7231">
          <w:rPr>
            <w:sz w:val="30"/>
            <w:szCs w:val="30"/>
          </w:rPr>
          <w:tab/>
        </w:r>
        <w:r>
          <w:rPr>
            <w:sz w:val="30"/>
            <w:szCs w:val="30"/>
          </w:rPr>
          <w:fldChar w:fldCharType="begin"/>
        </w:r>
        <w:r w:rsidR="006F7231">
          <w:rPr>
            <w:sz w:val="30"/>
            <w:szCs w:val="30"/>
          </w:rPr>
          <w:instrText xml:space="preserve"> PAGEREF _Toc489 </w:instrText>
        </w:r>
        <w:r>
          <w:rPr>
            <w:sz w:val="30"/>
            <w:szCs w:val="30"/>
          </w:rPr>
          <w:fldChar w:fldCharType="separate"/>
        </w:r>
        <w:r w:rsidR="006F7231">
          <w:rPr>
            <w:sz w:val="30"/>
            <w:szCs w:val="30"/>
          </w:rPr>
          <w:t>26</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8649" w:history="1">
        <w:r w:rsidR="006F7231">
          <w:rPr>
            <w:rFonts w:hint="eastAsia"/>
            <w:sz w:val="30"/>
            <w:szCs w:val="30"/>
          </w:rPr>
          <w:t>第六章</w:t>
        </w:r>
        <w:r w:rsidR="006F7231">
          <w:rPr>
            <w:rFonts w:hint="eastAsia"/>
            <w:sz w:val="30"/>
            <w:szCs w:val="30"/>
          </w:rPr>
          <w:t xml:space="preserve"> </w:t>
        </w:r>
        <w:r w:rsidR="006F7231">
          <w:rPr>
            <w:rFonts w:hint="eastAsia"/>
            <w:sz w:val="30"/>
            <w:szCs w:val="30"/>
          </w:rPr>
          <w:t>建设世界旅游目的地重要增长极</w:t>
        </w:r>
        <w:r w:rsidR="006F7231">
          <w:rPr>
            <w:sz w:val="30"/>
            <w:szCs w:val="30"/>
          </w:rPr>
          <w:tab/>
        </w:r>
        <w:r>
          <w:rPr>
            <w:sz w:val="30"/>
            <w:szCs w:val="30"/>
          </w:rPr>
          <w:fldChar w:fldCharType="begin"/>
        </w:r>
        <w:r w:rsidR="006F7231">
          <w:rPr>
            <w:sz w:val="30"/>
            <w:szCs w:val="30"/>
          </w:rPr>
          <w:instrText xml:space="preserve"> PAGEREF _Toc8649 </w:instrText>
        </w:r>
        <w:r>
          <w:rPr>
            <w:sz w:val="30"/>
            <w:szCs w:val="30"/>
          </w:rPr>
          <w:fldChar w:fldCharType="separate"/>
        </w:r>
        <w:r w:rsidR="006F7231">
          <w:rPr>
            <w:sz w:val="30"/>
            <w:szCs w:val="30"/>
          </w:rPr>
          <w:t>29</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3819" w:history="1">
        <w:r w:rsidR="006F7231">
          <w:rPr>
            <w:rFonts w:hint="eastAsia"/>
            <w:sz w:val="30"/>
            <w:szCs w:val="30"/>
          </w:rPr>
          <w:t>第七章</w:t>
        </w:r>
        <w:r w:rsidR="006F7231">
          <w:rPr>
            <w:rFonts w:hint="eastAsia"/>
            <w:sz w:val="30"/>
            <w:szCs w:val="30"/>
          </w:rPr>
          <w:t xml:space="preserve"> </w:t>
        </w:r>
        <w:r w:rsidR="006F7231">
          <w:rPr>
            <w:rFonts w:hint="eastAsia"/>
            <w:sz w:val="30"/>
            <w:szCs w:val="30"/>
          </w:rPr>
          <w:t>促进服务业转型升级</w:t>
        </w:r>
        <w:r w:rsidR="006F7231">
          <w:rPr>
            <w:sz w:val="30"/>
            <w:szCs w:val="30"/>
          </w:rPr>
          <w:tab/>
        </w:r>
        <w:r>
          <w:rPr>
            <w:sz w:val="30"/>
            <w:szCs w:val="30"/>
          </w:rPr>
          <w:fldChar w:fldCharType="begin"/>
        </w:r>
        <w:r w:rsidR="006F7231">
          <w:rPr>
            <w:sz w:val="30"/>
            <w:szCs w:val="30"/>
          </w:rPr>
          <w:instrText xml:space="preserve"> PAGEREF _Toc3819 </w:instrText>
        </w:r>
        <w:r>
          <w:rPr>
            <w:sz w:val="30"/>
            <w:szCs w:val="30"/>
          </w:rPr>
          <w:fldChar w:fldCharType="separate"/>
        </w:r>
        <w:r w:rsidR="006F7231">
          <w:rPr>
            <w:sz w:val="30"/>
            <w:szCs w:val="30"/>
          </w:rPr>
          <w:t>34</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23599" w:history="1">
        <w:r w:rsidR="006F7231">
          <w:rPr>
            <w:rFonts w:hint="eastAsia"/>
            <w:sz w:val="30"/>
            <w:szCs w:val="30"/>
          </w:rPr>
          <w:t>第八章大力发展数字经济</w:t>
        </w:r>
        <w:r w:rsidR="006F7231">
          <w:rPr>
            <w:sz w:val="30"/>
            <w:szCs w:val="30"/>
          </w:rPr>
          <w:tab/>
        </w:r>
        <w:r>
          <w:rPr>
            <w:sz w:val="30"/>
            <w:szCs w:val="30"/>
          </w:rPr>
          <w:fldChar w:fldCharType="begin"/>
        </w:r>
        <w:r w:rsidR="006F7231">
          <w:rPr>
            <w:sz w:val="30"/>
            <w:szCs w:val="30"/>
          </w:rPr>
          <w:instrText xml:space="preserve"> PAGEREF _Toc23599 </w:instrText>
        </w:r>
        <w:r>
          <w:rPr>
            <w:sz w:val="30"/>
            <w:szCs w:val="30"/>
          </w:rPr>
          <w:fldChar w:fldCharType="separate"/>
        </w:r>
        <w:r w:rsidR="006F7231">
          <w:rPr>
            <w:sz w:val="30"/>
            <w:szCs w:val="30"/>
          </w:rPr>
          <w:t>38</w:t>
        </w:r>
        <w:r>
          <w:rPr>
            <w:sz w:val="30"/>
            <w:szCs w:val="30"/>
          </w:rPr>
          <w:fldChar w:fldCharType="end"/>
        </w:r>
      </w:hyperlink>
    </w:p>
    <w:p w:rsidR="00E35214" w:rsidRDefault="00F32E25">
      <w:pPr>
        <w:pStyle w:val="22"/>
        <w:tabs>
          <w:tab w:val="right" w:leader="dot" w:pos="9390"/>
        </w:tabs>
        <w:snapToGrid w:val="0"/>
        <w:spacing w:line="360" w:lineRule="auto"/>
        <w:textAlignment w:val="baseline"/>
        <w:rPr>
          <w:rFonts w:ascii="仿宋" w:eastAsia="仿宋" w:hAnsi="仿宋" w:cs="仿宋"/>
          <w:sz w:val="30"/>
          <w:szCs w:val="30"/>
          <w:shd w:val="clear" w:color="auto" w:fill="FFFFFF"/>
        </w:rPr>
      </w:pPr>
      <w:hyperlink w:anchor="_Toc1430" w:history="1">
        <w:r w:rsidR="006F7231">
          <w:rPr>
            <w:rFonts w:hint="eastAsia"/>
            <w:sz w:val="30"/>
            <w:szCs w:val="30"/>
          </w:rPr>
          <w:t>第九章推进园区高质量发展</w:t>
        </w:r>
        <w:r w:rsidR="006F7231">
          <w:rPr>
            <w:sz w:val="30"/>
            <w:szCs w:val="30"/>
          </w:rPr>
          <w:tab/>
        </w:r>
        <w:r>
          <w:rPr>
            <w:sz w:val="30"/>
            <w:szCs w:val="30"/>
          </w:rPr>
          <w:fldChar w:fldCharType="begin"/>
        </w:r>
        <w:r w:rsidR="006F7231">
          <w:rPr>
            <w:sz w:val="30"/>
            <w:szCs w:val="30"/>
          </w:rPr>
          <w:instrText xml:space="preserve"> PAGEREF _Toc1430 </w:instrText>
        </w:r>
        <w:r>
          <w:rPr>
            <w:sz w:val="30"/>
            <w:szCs w:val="30"/>
          </w:rPr>
          <w:fldChar w:fldCharType="separate"/>
        </w:r>
        <w:r w:rsidR="006F7231">
          <w:rPr>
            <w:sz w:val="30"/>
            <w:szCs w:val="30"/>
          </w:rPr>
          <w:t>40</w:t>
        </w:r>
        <w:r>
          <w:rPr>
            <w:sz w:val="30"/>
            <w:szCs w:val="30"/>
          </w:rPr>
          <w:fldChar w:fldCharType="end"/>
        </w:r>
      </w:hyperlink>
    </w:p>
    <w:p w:rsidR="00E35214" w:rsidRDefault="006F7231">
      <w:pPr>
        <w:pStyle w:val="22"/>
        <w:tabs>
          <w:tab w:val="right" w:leader="dot" w:pos="9390"/>
        </w:tabs>
        <w:snapToGrid w:val="0"/>
        <w:spacing w:line="360" w:lineRule="auto"/>
        <w:ind w:leftChars="0" w:left="0"/>
        <w:textAlignment w:val="baseline"/>
        <w:rPr>
          <w:rFonts w:eastAsia="黑体"/>
          <w:bCs/>
          <w:kern w:val="44"/>
          <w:sz w:val="30"/>
          <w:szCs w:val="30"/>
        </w:rPr>
      </w:pPr>
      <w:r>
        <w:rPr>
          <w:rFonts w:eastAsia="黑体" w:hint="eastAsia"/>
          <w:bCs/>
          <w:kern w:val="44"/>
          <w:sz w:val="30"/>
          <w:szCs w:val="30"/>
        </w:rPr>
        <w:t>第三篇固本强基，提升完善现代基础设施建设</w:t>
      </w:r>
    </w:p>
    <w:p w:rsidR="00E35214" w:rsidRDefault="00F32E25">
      <w:pPr>
        <w:pStyle w:val="22"/>
        <w:tabs>
          <w:tab w:val="right" w:leader="dot" w:pos="9390"/>
        </w:tabs>
        <w:snapToGrid w:val="0"/>
        <w:spacing w:line="360" w:lineRule="auto"/>
        <w:textAlignment w:val="baseline"/>
        <w:rPr>
          <w:sz w:val="30"/>
          <w:szCs w:val="30"/>
        </w:rPr>
      </w:pPr>
      <w:hyperlink w:anchor="_Toc11374" w:history="1">
        <w:r w:rsidR="006F7231">
          <w:rPr>
            <w:rFonts w:ascii="仿宋" w:hAnsi="仿宋" w:cs="仿宋" w:hint="eastAsia"/>
            <w:kern w:val="0"/>
            <w:sz w:val="30"/>
            <w:szCs w:val="30"/>
          </w:rPr>
          <w:t>第十章全面实施交通强区建设</w:t>
        </w:r>
        <w:r w:rsidR="006F7231">
          <w:rPr>
            <w:sz w:val="30"/>
            <w:szCs w:val="30"/>
          </w:rPr>
          <w:tab/>
        </w:r>
        <w:r>
          <w:rPr>
            <w:sz w:val="30"/>
            <w:szCs w:val="30"/>
          </w:rPr>
          <w:fldChar w:fldCharType="begin"/>
        </w:r>
        <w:r w:rsidR="006F7231">
          <w:rPr>
            <w:sz w:val="30"/>
            <w:szCs w:val="30"/>
          </w:rPr>
          <w:instrText xml:space="preserve"> PAGEREF _Toc11374 </w:instrText>
        </w:r>
        <w:r>
          <w:rPr>
            <w:sz w:val="30"/>
            <w:szCs w:val="30"/>
          </w:rPr>
          <w:fldChar w:fldCharType="separate"/>
        </w:r>
        <w:r w:rsidR="006F7231">
          <w:rPr>
            <w:sz w:val="30"/>
            <w:szCs w:val="30"/>
          </w:rPr>
          <w:t>43</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6740" w:history="1">
        <w:r w:rsidR="006F7231">
          <w:rPr>
            <w:rFonts w:hint="eastAsia"/>
            <w:sz w:val="30"/>
            <w:szCs w:val="30"/>
          </w:rPr>
          <w:t>第十一章加强能源基础设施建设</w:t>
        </w:r>
        <w:r w:rsidR="006F7231">
          <w:rPr>
            <w:sz w:val="30"/>
            <w:szCs w:val="30"/>
          </w:rPr>
          <w:tab/>
        </w:r>
        <w:r>
          <w:rPr>
            <w:sz w:val="30"/>
            <w:szCs w:val="30"/>
          </w:rPr>
          <w:fldChar w:fldCharType="begin"/>
        </w:r>
        <w:r w:rsidR="006F7231">
          <w:rPr>
            <w:sz w:val="30"/>
            <w:szCs w:val="30"/>
          </w:rPr>
          <w:instrText xml:space="preserve"> PAGEREF _Toc16740 </w:instrText>
        </w:r>
        <w:r>
          <w:rPr>
            <w:sz w:val="30"/>
            <w:szCs w:val="30"/>
          </w:rPr>
          <w:fldChar w:fldCharType="separate"/>
        </w:r>
        <w:r w:rsidR="006F7231">
          <w:rPr>
            <w:sz w:val="30"/>
            <w:szCs w:val="30"/>
          </w:rPr>
          <w:t>47</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1272" w:history="1">
        <w:r w:rsidR="006F7231">
          <w:rPr>
            <w:rFonts w:hint="eastAsia"/>
            <w:sz w:val="30"/>
            <w:szCs w:val="30"/>
          </w:rPr>
          <w:t>第十二章强化水利基础设施建设</w:t>
        </w:r>
        <w:r w:rsidR="006F7231">
          <w:rPr>
            <w:sz w:val="30"/>
            <w:szCs w:val="30"/>
          </w:rPr>
          <w:tab/>
        </w:r>
        <w:r>
          <w:rPr>
            <w:sz w:val="30"/>
            <w:szCs w:val="30"/>
          </w:rPr>
          <w:fldChar w:fldCharType="begin"/>
        </w:r>
        <w:r w:rsidR="006F7231">
          <w:rPr>
            <w:sz w:val="30"/>
            <w:szCs w:val="30"/>
          </w:rPr>
          <w:instrText xml:space="preserve"> PAGEREF _Toc11272 </w:instrText>
        </w:r>
        <w:r>
          <w:rPr>
            <w:sz w:val="30"/>
            <w:szCs w:val="30"/>
          </w:rPr>
          <w:fldChar w:fldCharType="separate"/>
        </w:r>
        <w:r w:rsidR="006F7231">
          <w:rPr>
            <w:sz w:val="30"/>
            <w:szCs w:val="30"/>
          </w:rPr>
          <w:t>49</w:t>
        </w:r>
        <w:r>
          <w:rPr>
            <w:sz w:val="30"/>
            <w:szCs w:val="30"/>
          </w:rPr>
          <w:fldChar w:fldCharType="end"/>
        </w:r>
      </w:hyperlink>
    </w:p>
    <w:p w:rsidR="00E35214" w:rsidRDefault="00F32E25">
      <w:pPr>
        <w:pStyle w:val="10"/>
        <w:tabs>
          <w:tab w:val="right" w:leader="dot" w:pos="9390"/>
        </w:tabs>
        <w:snapToGrid w:val="0"/>
        <w:spacing w:line="360" w:lineRule="auto"/>
        <w:textAlignment w:val="baseline"/>
        <w:rPr>
          <w:sz w:val="30"/>
          <w:szCs w:val="30"/>
        </w:rPr>
      </w:pPr>
      <w:hyperlink w:anchor="_Toc1271" w:history="1">
        <w:r w:rsidR="006F7231">
          <w:rPr>
            <w:rFonts w:eastAsia="黑体" w:hint="eastAsia"/>
            <w:bCs/>
            <w:kern w:val="44"/>
            <w:sz w:val="30"/>
            <w:szCs w:val="30"/>
          </w:rPr>
          <w:t>第四篇深度融入发展，建设开明开放金口河</w:t>
        </w:r>
        <w:r w:rsidR="006F7231">
          <w:rPr>
            <w:sz w:val="30"/>
            <w:szCs w:val="30"/>
          </w:rPr>
          <w:tab/>
        </w:r>
        <w:r>
          <w:rPr>
            <w:sz w:val="30"/>
            <w:szCs w:val="30"/>
          </w:rPr>
          <w:fldChar w:fldCharType="begin"/>
        </w:r>
        <w:r w:rsidR="006F7231">
          <w:rPr>
            <w:sz w:val="30"/>
            <w:szCs w:val="30"/>
          </w:rPr>
          <w:instrText xml:space="preserve"> PAGEREF _Toc1271 </w:instrText>
        </w:r>
        <w:r>
          <w:rPr>
            <w:sz w:val="30"/>
            <w:szCs w:val="30"/>
          </w:rPr>
          <w:fldChar w:fldCharType="separate"/>
        </w:r>
        <w:r w:rsidR="006F7231">
          <w:rPr>
            <w:sz w:val="30"/>
            <w:szCs w:val="30"/>
          </w:rPr>
          <w:t>51</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2101" w:history="1">
        <w:r w:rsidR="006F7231">
          <w:rPr>
            <w:rFonts w:hint="eastAsia"/>
            <w:sz w:val="30"/>
            <w:szCs w:val="30"/>
          </w:rPr>
          <w:t>第十三章融入区域发展大格局</w:t>
        </w:r>
        <w:r w:rsidR="006F7231">
          <w:rPr>
            <w:sz w:val="30"/>
            <w:szCs w:val="30"/>
          </w:rPr>
          <w:tab/>
        </w:r>
        <w:r>
          <w:rPr>
            <w:sz w:val="30"/>
            <w:szCs w:val="30"/>
          </w:rPr>
          <w:fldChar w:fldCharType="begin"/>
        </w:r>
        <w:r w:rsidR="006F7231">
          <w:rPr>
            <w:sz w:val="30"/>
            <w:szCs w:val="30"/>
          </w:rPr>
          <w:instrText xml:space="preserve"> PAGEREF _Toc12101 </w:instrText>
        </w:r>
        <w:r>
          <w:rPr>
            <w:sz w:val="30"/>
            <w:szCs w:val="30"/>
          </w:rPr>
          <w:fldChar w:fldCharType="separate"/>
        </w:r>
        <w:r w:rsidR="006F7231">
          <w:rPr>
            <w:sz w:val="30"/>
            <w:szCs w:val="30"/>
          </w:rPr>
          <w:t>51</w:t>
        </w:r>
        <w:r>
          <w:rPr>
            <w:sz w:val="30"/>
            <w:szCs w:val="30"/>
          </w:rPr>
          <w:fldChar w:fldCharType="end"/>
        </w:r>
      </w:hyperlink>
    </w:p>
    <w:p w:rsidR="00E35214" w:rsidRDefault="00F32E25">
      <w:pPr>
        <w:pStyle w:val="10"/>
        <w:tabs>
          <w:tab w:val="right" w:leader="dot" w:pos="9390"/>
        </w:tabs>
        <w:snapToGrid w:val="0"/>
        <w:spacing w:line="360" w:lineRule="auto"/>
        <w:textAlignment w:val="baseline"/>
        <w:rPr>
          <w:sz w:val="30"/>
          <w:szCs w:val="30"/>
        </w:rPr>
      </w:pPr>
      <w:hyperlink w:anchor="_Toc20985" w:history="1">
        <w:r w:rsidR="006F7231">
          <w:rPr>
            <w:rFonts w:eastAsia="黑体" w:hint="eastAsia"/>
            <w:bCs/>
            <w:kern w:val="44"/>
            <w:sz w:val="30"/>
            <w:szCs w:val="30"/>
          </w:rPr>
          <w:t>第五篇筑牢生态屏障，建设绿色金口河</w:t>
        </w:r>
        <w:r w:rsidR="006F7231">
          <w:rPr>
            <w:sz w:val="30"/>
            <w:szCs w:val="30"/>
          </w:rPr>
          <w:tab/>
        </w:r>
        <w:r>
          <w:rPr>
            <w:sz w:val="30"/>
            <w:szCs w:val="30"/>
          </w:rPr>
          <w:fldChar w:fldCharType="begin"/>
        </w:r>
        <w:r w:rsidR="006F7231">
          <w:rPr>
            <w:sz w:val="30"/>
            <w:szCs w:val="30"/>
          </w:rPr>
          <w:instrText xml:space="preserve"> PAGEREF _Toc20985 </w:instrText>
        </w:r>
        <w:r>
          <w:rPr>
            <w:sz w:val="30"/>
            <w:szCs w:val="30"/>
          </w:rPr>
          <w:fldChar w:fldCharType="separate"/>
        </w:r>
        <w:r w:rsidR="006F7231">
          <w:rPr>
            <w:sz w:val="30"/>
            <w:szCs w:val="30"/>
          </w:rPr>
          <w:t>54</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564" w:history="1">
        <w:r w:rsidR="006F7231">
          <w:rPr>
            <w:rFonts w:hint="eastAsia"/>
            <w:sz w:val="30"/>
            <w:szCs w:val="30"/>
          </w:rPr>
          <w:t>第十四章统筹国土空间开发与保护</w:t>
        </w:r>
        <w:r w:rsidR="006F7231">
          <w:rPr>
            <w:sz w:val="30"/>
            <w:szCs w:val="30"/>
          </w:rPr>
          <w:tab/>
        </w:r>
        <w:r>
          <w:rPr>
            <w:sz w:val="30"/>
            <w:szCs w:val="30"/>
          </w:rPr>
          <w:fldChar w:fldCharType="begin"/>
        </w:r>
        <w:r w:rsidR="006F7231">
          <w:rPr>
            <w:sz w:val="30"/>
            <w:szCs w:val="30"/>
          </w:rPr>
          <w:instrText xml:space="preserve"> PAGEREF _Toc564 </w:instrText>
        </w:r>
        <w:r>
          <w:rPr>
            <w:sz w:val="30"/>
            <w:szCs w:val="30"/>
          </w:rPr>
          <w:fldChar w:fldCharType="separate"/>
        </w:r>
        <w:r w:rsidR="006F7231">
          <w:rPr>
            <w:sz w:val="30"/>
            <w:szCs w:val="30"/>
          </w:rPr>
          <w:t>54</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28909" w:history="1">
        <w:r w:rsidR="006F7231">
          <w:rPr>
            <w:rFonts w:hint="eastAsia"/>
            <w:sz w:val="30"/>
            <w:szCs w:val="30"/>
          </w:rPr>
          <w:t>第十五章增强生态系统功能</w:t>
        </w:r>
        <w:r w:rsidR="006F7231">
          <w:rPr>
            <w:sz w:val="30"/>
            <w:szCs w:val="30"/>
          </w:rPr>
          <w:tab/>
        </w:r>
        <w:r>
          <w:rPr>
            <w:sz w:val="30"/>
            <w:szCs w:val="30"/>
          </w:rPr>
          <w:fldChar w:fldCharType="begin"/>
        </w:r>
        <w:r w:rsidR="006F7231">
          <w:rPr>
            <w:sz w:val="30"/>
            <w:szCs w:val="30"/>
          </w:rPr>
          <w:instrText xml:space="preserve"> PAGEREF _Toc28909 </w:instrText>
        </w:r>
        <w:r>
          <w:rPr>
            <w:sz w:val="30"/>
            <w:szCs w:val="30"/>
          </w:rPr>
          <w:fldChar w:fldCharType="separate"/>
        </w:r>
        <w:r w:rsidR="006F7231">
          <w:rPr>
            <w:sz w:val="30"/>
            <w:szCs w:val="30"/>
          </w:rPr>
          <w:t>56</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3381" w:history="1">
        <w:r w:rsidR="006F7231">
          <w:rPr>
            <w:rFonts w:hint="eastAsia"/>
            <w:sz w:val="30"/>
            <w:szCs w:val="30"/>
          </w:rPr>
          <w:t>第十六章促进生态产品价值转化</w:t>
        </w:r>
        <w:r w:rsidR="006F7231">
          <w:rPr>
            <w:sz w:val="30"/>
            <w:szCs w:val="30"/>
          </w:rPr>
          <w:tab/>
        </w:r>
        <w:r>
          <w:rPr>
            <w:sz w:val="30"/>
            <w:szCs w:val="30"/>
          </w:rPr>
          <w:fldChar w:fldCharType="begin"/>
        </w:r>
        <w:r w:rsidR="006F7231">
          <w:rPr>
            <w:sz w:val="30"/>
            <w:szCs w:val="30"/>
          </w:rPr>
          <w:instrText xml:space="preserve"> PAGEREF _Toc3381 </w:instrText>
        </w:r>
        <w:r>
          <w:rPr>
            <w:sz w:val="30"/>
            <w:szCs w:val="30"/>
          </w:rPr>
          <w:fldChar w:fldCharType="separate"/>
        </w:r>
        <w:r w:rsidR="006F7231">
          <w:rPr>
            <w:sz w:val="30"/>
            <w:szCs w:val="30"/>
          </w:rPr>
          <w:t>58</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2805" w:history="1">
        <w:r w:rsidR="006F7231">
          <w:rPr>
            <w:rFonts w:hint="eastAsia"/>
            <w:sz w:val="30"/>
            <w:szCs w:val="30"/>
          </w:rPr>
          <w:t>第十七章持续改善环境质量</w:t>
        </w:r>
        <w:r w:rsidR="006F7231">
          <w:rPr>
            <w:sz w:val="30"/>
            <w:szCs w:val="30"/>
          </w:rPr>
          <w:tab/>
        </w:r>
        <w:r>
          <w:rPr>
            <w:sz w:val="30"/>
            <w:szCs w:val="30"/>
          </w:rPr>
          <w:fldChar w:fldCharType="begin"/>
        </w:r>
        <w:r w:rsidR="006F7231">
          <w:rPr>
            <w:sz w:val="30"/>
            <w:szCs w:val="30"/>
          </w:rPr>
          <w:instrText xml:space="preserve"> PAGEREF _Toc2805 </w:instrText>
        </w:r>
        <w:r>
          <w:rPr>
            <w:sz w:val="30"/>
            <w:szCs w:val="30"/>
          </w:rPr>
          <w:fldChar w:fldCharType="separate"/>
        </w:r>
        <w:r w:rsidR="006F7231">
          <w:rPr>
            <w:sz w:val="30"/>
            <w:szCs w:val="30"/>
          </w:rPr>
          <w:t>59</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3849" w:history="1">
        <w:r w:rsidR="006F7231">
          <w:rPr>
            <w:rFonts w:hint="eastAsia"/>
            <w:sz w:val="30"/>
            <w:szCs w:val="30"/>
          </w:rPr>
          <w:t>第十八章发展绿色循环经济体系</w:t>
        </w:r>
        <w:r w:rsidR="006F7231">
          <w:rPr>
            <w:sz w:val="30"/>
            <w:szCs w:val="30"/>
          </w:rPr>
          <w:tab/>
        </w:r>
        <w:r>
          <w:rPr>
            <w:sz w:val="30"/>
            <w:szCs w:val="30"/>
          </w:rPr>
          <w:fldChar w:fldCharType="begin"/>
        </w:r>
        <w:r w:rsidR="006F7231">
          <w:rPr>
            <w:sz w:val="30"/>
            <w:szCs w:val="30"/>
          </w:rPr>
          <w:instrText xml:space="preserve"> PAGEREF _Toc13849 </w:instrText>
        </w:r>
        <w:r>
          <w:rPr>
            <w:sz w:val="30"/>
            <w:szCs w:val="30"/>
          </w:rPr>
          <w:fldChar w:fldCharType="separate"/>
        </w:r>
        <w:r w:rsidR="006F7231">
          <w:rPr>
            <w:sz w:val="30"/>
            <w:szCs w:val="30"/>
          </w:rPr>
          <w:t>61</w:t>
        </w:r>
        <w:r>
          <w:rPr>
            <w:sz w:val="30"/>
            <w:szCs w:val="30"/>
          </w:rPr>
          <w:fldChar w:fldCharType="end"/>
        </w:r>
      </w:hyperlink>
    </w:p>
    <w:p w:rsidR="00E35214" w:rsidRDefault="00F32E25">
      <w:pPr>
        <w:pStyle w:val="10"/>
        <w:tabs>
          <w:tab w:val="right" w:leader="dot" w:pos="9390"/>
        </w:tabs>
        <w:snapToGrid w:val="0"/>
        <w:spacing w:line="360" w:lineRule="auto"/>
        <w:textAlignment w:val="baseline"/>
        <w:rPr>
          <w:sz w:val="30"/>
          <w:szCs w:val="30"/>
        </w:rPr>
      </w:pPr>
      <w:hyperlink w:anchor="_Toc13042" w:history="1">
        <w:r w:rsidR="006F7231">
          <w:rPr>
            <w:rFonts w:eastAsia="黑体" w:hint="eastAsia"/>
            <w:bCs/>
            <w:kern w:val="44"/>
            <w:sz w:val="30"/>
            <w:szCs w:val="30"/>
          </w:rPr>
          <w:t>第六篇优化公共服务，建设和谐金口河</w:t>
        </w:r>
        <w:r w:rsidR="006F7231">
          <w:rPr>
            <w:sz w:val="30"/>
            <w:szCs w:val="30"/>
          </w:rPr>
          <w:tab/>
        </w:r>
        <w:r>
          <w:rPr>
            <w:sz w:val="30"/>
            <w:szCs w:val="30"/>
          </w:rPr>
          <w:fldChar w:fldCharType="begin"/>
        </w:r>
        <w:r w:rsidR="006F7231">
          <w:rPr>
            <w:sz w:val="30"/>
            <w:szCs w:val="30"/>
          </w:rPr>
          <w:instrText xml:space="preserve"> PAGEREF _Toc13042 </w:instrText>
        </w:r>
        <w:r>
          <w:rPr>
            <w:sz w:val="30"/>
            <w:szCs w:val="30"/>
          </w:rPr>
          <w:fldChar w:fldCharType="separate"/>
        </w:r>
        <w:r w:rsidR="006F7231">
          <w:rPr>
            <w:sz w:val="30"/>
            <w:szCs w:val="30"/>
          </w:rPr>
          <w:t>64</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6204" w:history="1">
        <w:r w:rsidR="006F7231">
          <w:rPr>
            <w:rFonts w:hint="eastAsia"/>
            <w:sz w:val="30"/>
            <w:szCs w:val="30"/>
          </w:rPr>
          <w:t>第十九章大力促进就业创业</w:t>
        </w:r>
        <w:r w:rsidR="006F7231">
          <w:rPr>
            <w:sz w:val="30"/>
            <w:szCs w:val="30"/>
          </w:rPr>
          <w:tab/>
        </w:r>
        <w:r>
          <w:rPr>
            <w:sz w:val="30"/>
            <w:szCs w:val="30"/>
          </w:rPr>
          <w:fldChar w:fldCharType="begin"/>
        </w:r>
        <w:r w:rsidR="006F7231">
          <w:rPr>
            <w:sz w:val="30"/>
            <w:szCs w:val="30"/>
          </w:rPr>
          <w:instrText xml:space="preserve"> PAGEREF _Toc16204 </w:instrText>
        </w:r>
        <w:r>
          <w:rPr>
            <w:sz w:val="30"/>
            <w:szCs w:val="30"/>
          </w:rPr>
          <w:fldChar w:fldCharType="separate"/>
        </w:r>
        <w:r w:rsidR="006F7231">
          <w:rPr>
            <w:sz w:val="30"/>
            <w:szCs w:val="30"/>
          </w:rPr>
          <w:t>64</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shd w:val="clear" w:color="auto" w:fill="FFFFFF"/>
        </w:rPr>
      </w:pPr>
      <w:hyperlink w:anchor="_Toc22656" w:history="1">
        <w:r w:rsidR="006F7231">
          <w:rPr>
            <w:rFonts w:hint="eastAsia"/>
            <w:sz w:val="30"/>
            <w:szCs w:val="30"/>
            <w:shd w:val="clear" w:color="auto" w:fill="FFFFFF"/>
          </w:rPr>
          <w:t>第二十章</w:t>
        </w:r>
        <w:r w:rsidR="006F7231">
          <w:rPr>
            <w:rFonts w:hint="eastAsia"/>
            <w:sz w:val="30"/>
            <w:szCs w:val="30"/>
            <w:shd w:val="clear" w:color="auto" w:fill="FFFFFF"/>
          </w:rPr>
          <w:t xml:space="preserve">  </w:t>
        </w:r>
        <w:r w:rsidR="006F7231">
          <w:rPr>
            <w:rFonts w:hint="eastAsia"/>
            <w:sz w:val="30"/>
            <w:szCs w:val="30"/>
            <w:shd w:val="clear" w:color="auto" w:fill="FFFFFF"/>
          </w:rPr>
          <w:t>建设民族地区团结教育示范区</w:t>
        </w:r>
        <w:r w:rsidR="006F7231">
          <w:rPr>
            <w:rFonts w:hint="eastAsia"/>
            <w:sz w:val="30"/>
            <w:szCs w:val="30"/>
            <w:shd w:val="clear" w:color="auto" w:fill="FFFFFF"/>
          </w:rPr>
          <w:tab/>
        </w:r>
        <w:r>
          <w:rPr>
            <w:rFonts w:hint="eastAsia"/>
            <w:sz w:val="30"/>
            <w:szCs w:val="30"/>
            <w:shd w:val="clear" w:color="auto" w:fill="FFFFFF"/>
          </w:rPr>
          <w:fldChar w:fldCharType="begin"/>
        </w:r>
        <w:r w:rsidR="006F7231">
          <w:rPr>
            <w:rFonts w:hint="eastAsia"/>
            <w:sz w:val="30"/>
            <w:szCs w:val="30"/>
            <w:shd w:val="clear" w:color="auto" w:fill="FFFFFF"/>
          </w:rPr>
          <w:instrText xml:space="preserve"> PAGEREF _Toc22656 </w:instrText>
        </w:r>
        <w:r>
          <w:rPr>
            <w:rFonts w:hint="eastAsia"/>
            <w:sz w:val="30"/>
            <w:szCs w:val="30"/>
            <w:shd w:val="clear" w:color="auto" w:fill="FFFFFF"/>
          </w:rPr>
          <w:fldChar w:fldCharType="separate"/>
        </w:r>
        <w:r w:rsidR="006F7231">
          <w:rPr>
            <w:rFonts w:hint="eastAsia"/>
            <w:sz w:val="30"/>
            <w:szCs w:val="30"/>
            <w:shd w:val="clear" w:color="auto" w:fill="FFFFFF"/>
          </w:rPr>
          <w:t>66</w:t>
        </w:r>
        <w:r>
          <w:rPr>
            <w:rFonts w:hint="eastAsia"/>
            <w:sz w:val="30"/>
            <w:szCs w:val="30"/>
            <w:shd w:val="clear" w:color="auto" w:fill="FFFFFF"/>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5696" w:history="1">
        <w:r w:rsidR="006F7231">
          <w:rPr>
            <w:rFonts w:hint="eastAsia"/>
            <w:sz w:val="30"/>
            <w:szCs w:val="30"/>
          </w:rPr>
          <w:t>第二十一章全面推进健康金口河建设</w:t>
        </w:r>
        <w:r w:rsidR="006F7231">
          <w:rPr>
            <w:sz w:val="30"/>
            <w:szCs w:val="30"/>
          </w:rPr>
          <w:tab/>
        </w:r>
        <w:r>
          <w:rPr>
            <w:sz w:val="30"/>
            <w:szCs w:val="30"/>
          </w:rPr>
          <w:fldChar w:fldCharType="begin"/>
        </w:r>
        <w:r w:rsidR="006F7231">
          <w:rPr>
            <w:sz w:val="30"/>
            <w:szCs w:val="30"/>
          </w:rPr>
          <w:instrText xml:space="preserve"> PAGEREF _Toc15696 </w:instrText>
        </w:r>
        <w:r>
          <w:rPr>
            <w:sz w:val="30"/>
            <w:szCs w:val="30"/>
          </w:rPr>
          <w:fldChar w:fldCharType="separate"/>
        </w:r>
        <w:r w:rsidR="006F7231">
          <w:rPr>
            <w:sz w:val="30"/>
            <w:szCs w:val="30"/>
          </w:rPr>
          <w:t>68</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31752" w:history="1">
        <w:r w:rsidR="006F7231">
          <w:rPr>
            <w:rFonts w:hint="eastAsia"/>
            <w:sz w:val="30"/>
            <w:szCs w:val="30"/>
          </w:rPr>
          <w:t>第二十二章促进文化繁荣发展</w:t>
        </w:r>
        <w:r w:rsidR="006F7231">
          <w:rPr>
            <w:sz w:val="30"/>
            <w:szCs w:val="30"/>
          </w:rPr>
          <w:tab/>
        </w:r>
        <w:r>
          <w:rPr>
            <w:sz w:val="30"/>
            <w:szCs w:val="30"/>
          </w:rPr>
          <w:fldChar w:fldCharType="begin"/>
        </w:r>
        <w:r w:rsidR="006F7231">
          <w:rPr>
            <w:sz w:val="30"/>
            <w:szCs w:val="30"/>
          </w:rPr>
          <w:instrText xml:space="preserve"> PAGEREF _Toc31752 </w:instrText>
        </w:r>
        <w:r>
          <w:rPr>
            <w:sz w:val="30"/>
            <w:szCs w:val="30"/>
          </w:rPr>
          <w:fldChar w:fldCharType="separate"/>
        </w:r>
        <w:r w:rsidR="006F7231">
          <w:rPr>
            <w:sz w:val="30"/>
            <w:szCs w:val="30"/>
          </w:rPr>
          <w:t>71</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5636" w:history="1">
        <w:r w:rsidR="006F7231">
          <w:rPr>
            <w:rFonts w:hint="eastAsia"/>
            <w:sz w:val="30"/>
            <w:szCs w:val="30"/>
          </w:rPr>
          <w:t>第二十三章全面提高社会保障水平</w:t>
        </w:r>
        <w:r w:rsidR="006F7231">
          <w:rPr>
            <w:sz w:val="30"/>
            <w:szCs w:val="30"/>
          </w:rPr>
          <w:tab/>
        </w:r>
        <w:r>
          <w:rPr>
            <w:sz w:val="30"/>
            <w:szCs w:val="30"/>
          </w:rPr>
          <w:fldChar w:fldCharType="begin"/>
        </w:r>
        <w:r w:rsidR="006F7231">
          <w:rPr>
            <w:sz w:val="30"/>
            <w:szCs w:val="30"/>
          </w:rPr>
          <w:instrText xml:space="preserve"> PAGEREF _Toc15636 </w:instrText>
        </w:r>
        <w:r>
          <w:rPr>
            <w:sz w:val="30"/>
            <w:szCs w:val="30"/>
          </w:rPr>
          <w:fldChar w:fldCharType="separate"/>
        </w:r>
        <w:r w:rsidR="006F7231">
          <w:rPr>
            <w:sz w:val="30"/>
            <w:szCs w:val="30"/>
          </w:rPr>
          <w:t>73</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29765" w:history="1">
        <w:r w:rsidR="006F7231">
          <w:rPr>
            <w:rFonts w:hint="eastAsia"/>
            <w:sz w:val="30"/>
            <w:szCs w:val="30"/>
          </w:rPr>
          <w:t>第二十四章保障重点群体基本权益</w:t>
        </w:r>
        <w:r w:rsidR="006F7231">
          <w:rPr>
            <w:sz w:val="30"/>
            <w:szCs w:val="30"/>
          </w:rPr>
          <w:tab/>
        </w:r>
        <w:r>
          <w:rPr>
            <w:sz w:val="30"/>
            <w:szCs w:val="30"/>
          </w:rPr>
          <w:fldChar w:fldCharType="begin"/>
        </w:r>
        <w:r w:rsidR="006F7231">
          <w:rPr>
            <w:sz w:val="30"/>
            <w:szCs w:val="30"/>
          </w:rPr>
          <w:instrText xml:space="preserve"> PAGEREF _Toc29765 </w:instrText>
        </w:r>
        <w:r>
          <w:rPr>
            <w:sz w:val="30"/>
            <w:szCs w:val="30"/>
          </w:rPr>
          <w:fldChar w:fldCharType="separate"/>
        </w:r>
        <w:r w:rsidR="006F7231">
          <w:rPr>
            <w:sz w:val="30"/>
            <w:szCs w:val="30"/>
          </w:rPr>
          <w:t>75</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8917" w:history="1">
        <w:r w:rsidR="006F7231">
          <w:rPr>
            <w:rFonts w:hint="eastAsia"/>
            <w:sz w:val="30"/>
            <w:szCs w:val="30"/>
          </w:rPr>
          <w:t>第二十五章积极应对人口老龄化</w:t>
        </w:r>
        <w:r w:rsidR="006F7231">
          <w:rPr>
            <w:sz w:val="30"/>
            <w:szCs w:val="30"/>
          </w:rPr>
          <w:tab/>
        </w:r>
        <w:r>
          <w:rPr>
            <w:sz w:val="30"/>
            <w:szCs w:val="30"/>
          </w:rPr>
          <w:fldChar w:fldCharType="begin"/>
        </w:r>
        <w:r w:rsidR="006F7231">
          <w:rPr>
            <w:sz w:val="30"/>
            <w:szCs w:val="30"/>
          </w:rPr>
          <w:instrText xml:space="preserve"> PAGEREF _Toc18917 </w:instrText>
        </w:r>
        <w:r>
          <w:rPr>
            <w:sz w:val="30"/>
            <w:szCs w:val="30"/>
          </w:rPr>
          <w:fldChar w:fldCharType="separate"/>
        </w:r>
        <w:r w:rsidR="006F7231">
          <w:rPr>
            <w:sz w:val="30"/>
            <w:szCs w:val="30"/>
          </w:rPr>
          <w:t>77</w:t>
        </w:r>
        <w:r>
          <w:rPr>
            <w:sz w:val="30"/>
            <w:szCs w:val="30"/>
          </w:rPr>
          <w:fldChar w:fldCharType="end"/>
        </w:r>
      </w:hyperlink>
    </w:p>
    <w:p w:rsidR="00E35214" w:rsidRDefault="00F32E25">
      <w:pPr>
        <w:pStyle w:val="10"/>
        <w:tabs>
          <w:tab w:val="right" w:leader="dot" w:pos="9390"/>
        </w:tabs>
        <w:snapToGrid w:val="0"/>
        <w:spacing w:line="360" w:lineRule="auto"/>
        <w:textAlignment w:val="baseline"/>
        <w:rPr>
          <w:sz w:val="30"/>
          <w:szCs w:val="30"/>
        </w:rPr>
      </w:pPr>
      <w:hyperlink w:anchor="_Toc22752" w:history="1">
        <w:r w:rsidR="006F7231">
          <w:rPr>
            <w:rFonts w:eastAsia="黑体" w:hint="eastAsia"/>
            <w:bCs/>
            <w:kern w:val="44"/>
            <w:sz w:val="30"/>
            <w:szCs w:val="30"/>
          </w:rPr>
          <w:t>第七篇</w:t>
        </w:r>
        <w:r w:rsidR="006F7231">
          <w:rPr>
            <w:rFonts w:eastAsia="黑体" w:hint="eastAsia"/>
            <w:bCs/>
            <w:kern w:val="44"/>
            <w:sz w:val="30"/>
            <w:szCs w:val="30"/>
          </w:rPr>
          <w:t xml:space="preserve">  </w:t>
        </w:r>
        <w:r w:rsidR="006F7231">
          <w:rPr>
            <w:rFonts w:eastAsia="黑体" w:hint="eastAsia"/>
            <w:bCs/>
            <w:kern w:val="44"/>
            <w:sz w:val="30"/>
            <w:szCs w:val="30"/>
          </w:rPr>
          <w:t>推进新型城镇化，建设宜居金口河</w:t>
        </w:r>
        <w:r w:rsidR="006F7231">
          <w:rPr>
            <w:sz w:val="30"/>
            <w:szCs w:val="30"/>
          </w:rPr>
          <w:tab/>
        </w:r>
        <w:r>
          <w:rPr>
            <w:sz w:val="30"/>
            <w:szCs w:val="30"/>
          </w:rPr>
          <w:fldChar w:fldCharType="begin"/>
        </w:r>
        <w:r w:rsidR="006F7231">
          <w:rPr>
            <w:sz w:val="30"/>
            <w:szCs w:val="30"/>
          </w:rPr>
          <w:instrText xml:space="preserve"> PAGEREF _Toc22752 </w:instrText>
        </w:r>
        <w:r>
          <w:rPr>
            <w:sz w:val="30"/>
            <w:szCs w:val="30"/>
          </w:rPr>
          <w:fldChar w:fldCharType="separate"/>
        </w:r>
        <w:r w:rsidR="006F7231">
          <w:rPr>
            <w:sz w:val="30"/>
            <w:szCs w:val="30"/>
          </w:rPr>
          <w:t>80</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4349" w:history="1">
        <w:r w:rsidR="006F7231">
          <w:rPr>
            <w:rFonts w:hint="eastAsia"/>
            <w:sz w:val="30"/>
            <w:szCs w:val="30"/>
          </w:rPr>
          <w:t>第二十六章提高新型城镇化质量</w:t>
        </w:r>
        <w:r w:rsidR="006F7231">
          <w:rPr>
            <w:sz w:val="30"/>
            <w:szCs w:val="30"/>
          </w:rPr>
          <w:tab/>
        </w:r>
        <w:r>
          <w:rPr>
            <w:sz w:val="30"/>
            <w:szCs w:val="30"/>
          </w:rPr>
          <w:fldChar w:fldCharType="begin"/>
        </w:r>
        <w:r w:rsidR="006F7231">
          <w:rPr>
            <w:sz w:val="30"/>
            <w:szCs w:val="30"/>
          </w:rPr>
          <w:instrText xml:space="preserve"> PAGEREF _Toc14349 </w:instrText>
        </w:r>
        <w:r>
          <w:rPr>
            <w:sz w:val="30"/>
            <w:szCs w:val="30"/>
          </w:rPr>
          <w:fldChar w:fldCharType="separate"/>
        </w:r>
        <w:r w:rsidR="006F7231">
          <w:rPr>
            <w:sz w:val="30"/>
            <w:szCs w:val="30"/>
          </w:rPr>
          <w:t>80</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794" w:history="1">
        <w:r w:rsidR="006F7231">
          <w:rPr>
            <w:rFonts w:hint="eastAsia"/>
            <w:sz w:val="30"/>
            <w:szCs w:val="30"/>
          </w:rPr>
          <w:t>第二十七章深入推进乡村振兴发展</w:t>
        </w:r>
        <w:r w:rsidR="006F7231">
          <w:rPr>
            <w:sz w:val="30"/>
            <w:szCs w:val="30"/>
          </w:rPr>
          <w:tab/>
        </w:r>
        <w:r>
          <w:rPr>
            <w:sz w:val="30"/>
            <w:szCs w:val="30"/>
          </w:rPr>
          <w:fldChar w:fldCharType="begin"/>
        </w:r>
        <w:r w:rsidR="006F7231">
          <w:rPr>
            <w:sz w:val="30"/>
            <w:szCs w:val="30"/>
          </w:rPr>
          <w:instrText xml:space="preserve"> PAGEREF _Toc794 </w:instrText>
        </w:r>
        <w:r>
          <w:rPr>
            <w:sz w:val="30"/>
            <w:szCs w:val="30"/>
          </w:rPr>
          <w:fldChar w:fldCharType="separate"/>
        </w:r>
        <w:r w:rsidR="006F7231">
          <w:rPr>
            <w:sz w:val="30"/>
            <w:szCs w:val="30"/>
          </w:rPr>
          <w:t>82</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23709" w:history="1">
        <w:r w:rsidR="006F7231">
          <w:rPr>
            <w:rFonts w:hint="eastAsia"/>
            <w:sz w:val="30"/>
            <w:szCs w:val="30"/>
          </w:rPr>
          <w:t>第二十八章促进城乡融合发展</w:t>
        </w:r>
        <w:r w:rsidR="006F7231">
          <w:rPr>
            <w:sz w:val="30"/>
            <w:szCs w:val="30"/>
          </w:rPr>
          <w:tab/>
        </w:r>
        <w:r>
          <w:rPr>
            <w:sz w:val="30"/>
            <w:szCs w:val="30"/>
          </w:rPr>
          <w:fldChar w:fldCharType="begin"/>
        </w:r>
        <w:r w:rsidR="006F7231">
          <w:rPr>
            <w:sz w:val="30"/>
            <w:szCs w:val="30"/>
          </w:rPr>
          <w:instrText xml:space="preserve"> PAGEREF _Toc23709 </w:instrText>
        </w:r>
        <w:r>
          <w:rPr>
            <w:sz w:val="30"/>
            <w:szCs w:val="30"/>
          </w:rPr>
          <w:fldChar w:fldCharType="separate"/>
        </w:r>
        <w:r w:rsidR="006F7231">
          <w:rPr>
            <w:sz w:val="30"/>
            <w:szCs w:val="30"/>
          </w:rPr>
          <w:t>84</w:t>
        </w:r>
        <w:r>
          <w:rPr>
            <w:sz w:val="30"/>
            <w:szCs w:val="30"/>
          </w:rPr>
          <w:fldChar w:fldCharType="end"/>
        </w:r>
      </w:hyperlink>
    </w:p>
    <w:p w:rsidR="00E35214" w:rsidRDefault="00F32E25">
      <w:pPr>
        <w:pStyle w:val="10"/>
        <w:tabs>
          <w:tab w:val="right" w:leader="dot" w:pos="9390"/>
        </w:tabs>
        <w:snapToGrid w:val="0"/>
        <w:spacing w:line="360" w:lineRule="auto"/>
        <w:textAlignment w:val="baseline"/>
        <w:rPr>
          <w:sz w:val="30"/>
          <w:szCs w:val="30"/>
        </w:rPr>
      </w:pPr>
      <w:hyperlink w:anchor="_Toc11098" w:history="1">
        <w:r w:rsidR="006F7231">
          <w:rPr>
            <w:rFonts w:eastAsia="黑体" w:hint="eastAsia"/>
            <w:bCs/>
            <w:kern w:val="44"/>
            <w:sz w:val="30"/>
            <w:szCs w:val="30"/>
          </w:rPr>
          <w:t>第八篇强化创新驱动，建设活力金口河</w:t>
        </w:r>
        <w:r w:rsidR="006F7231">
          <w:rPr>
            <w:sz w:val="30"/>
            <w:szCs w:val="30"/>
          </w:rPr>
          <w:tab/>
        </w:r>
        <w:r>
          <w:rPr>
            <w:sz w:val="30"/>
            <w:szCs w:val="30"/>
          </w:rPr>
          <w:fldChar w:fldCharType="begin"/>
        </w:r>
        <w:r w:rsidR="006F7231">
          <w:rPr>
            <w:sz w:val="30"/>
            <w:szCs w:val="30"/>
          </w:rPr>
          <w:instrText xml:space="preserve"> PAGEREF _Toc11098 </w:instrText>
        </w:r>
        <w:r>
          <w:rPr>
            <w:sz w:val="30"/>
            <w:szCs w:val="30"/>
          </w:rPr>
          <w:fldChar w:fldCharType="separate"/>
        </w:r>
        <w:r w:rsidR="006F7231">
          <w:rPr>
            <w:sz w:val="30"/>
            <w:szCs w:val="30"/>
          </w:rPr>
          <w:t>87</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3795" w:history="1">
        <w:r w:rsidR="006F7231">
          <w:rPr>
            <w:rFonts w:hint="eastAsia"/>
            <w:sz w:val="30"/>
            <w:szCs w:val="30"/>
          </w:rPr>
          <w:t>第二十九章深化重点领域改革</w:t>
        </w:r>
        <w:r w:rsidR="006F7231">
          <w:rPr>
            <w:sz w:val="30"/>
            <w:szCs w:val="30"/>
          </w:rPr>
          <w:tab/>
        </w:r>
        <w:r>
          <w:rPr>
            <w:sz w:val="30"/>
            <w:szCs w:val="30"/>
          </w:rPr>
          <w:fldChar w:fldCharType="begin"/>
        </w:r>
        <w:r w:rsidR="006F7231">
          <w:rPr>
            <w:sz w:val="30"/>
            <w:szCs w:val="30"/>
          </w:rPr>
          <w:instrText xml:space="preserve"> PAGEREF _Toc13795 </w:instrText>
        </w:r>
        <w:r>
          <w:rPr>
            <w:sz w:val="30"/>
            <w:szCs w:val="30"/>
          </w:rPr>
          <w:fldChar w:fldCharType="separate"/>
        </w:r>
        <w:r w:rsidR="006F7231">
          <w:rPr>
            <w:sz w:val="30"/>
            <w:szCs w:val="30"/>
          </w:rPr>
          <w:t>87</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0808" w:history="1">
        <w:r w:rsidR="006F7231">
          <w:rPr>
            <w:rFonts w:hint="eastAsia"/>
            <w:sz w:val="30"/>
            <w:szCs w:val="30"/>
          </w:rPr>
          <w:t>第三十章健全现代市场体系</w:t>
        </w:r>
        <w:r w:rsidR="006F7231">
          <w:rPr>
            <w:sz w:val="30"/>
            <w:szCs w:val="30"/>
          </w:rPr>
          <w:tab/>
        </w:r>
        <w:r>
          <w:rPr>
            <w:sz w:val="30"/>
            <w:szCs w:val="30"/>
          </w:rPr>
          <w:fldChar w:fldCharType="begin"/>
        </w:r>
        <w:r w:rsidR="006F7231">
          <w:rPr>
            <w:sz w:val="30"/>
            <w:szCs w:val="30"/>
          </w:rPr>
          <w:instrText xml:space="preserve"> PAGEREF _Toc10808 </w:instrText>
        </w:r>
        <w:r>
          <w:rPr>
            <w:sz w:val="30"/>
            <w:szCs w:val="30"/>
          </w:rPr>
          <w:fldChar w:fldCharType="separate"/>
        </w:r>
        <w:r w:rsidR="006F7231">
          <w:rPr>
            <w:sz w:val="30"/>
            <w:szCs w:val="30"/>
          </w:rPr>
          <w:t>89</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5051" w:history="1">
        <w:r w:rsidR="006F7231">
          <w:rPr>
            <w:rFonts w:hint="eastAsia"/>
            <w:sz w:val="30"/>
            <w:szCs w:val="30"/>
          </w:rPr>
          <w:t>第三十一章实施人才强区战略</w:t>
        </w:r>
        <w:r w:rsidR="006F7231">
          <w:rPr>
            <w:sz w:val="30"/>
            <w:szCs w:val="30"/>
          </w:rPr>
          <w:tab/>
        </w:r>
        <w:r>
          <w:rPr>
            <w:sz w:val="30"/>
            <w:szCs w:val="30"/>
          </w:rPr>
          <w:fldChar w:fldCharType="begin"/>
        </w:r>
        <w:r w:rsidR="006F7231">
          <w:rPr>
            <w:sz w:val="30"/>
            <w:szCs w:val="30"/>
          </w:rPr>
          <w:instrText xml:space="preserve"> PAGEREF _Toc5051 </w:instrText>
        </w:r>
        <w:r>
          <w:rPr>
            <w:sz w:val="30"/>
            <w:szCs w:val="30"/>
          </w:rPr>
          <w:fldChar w:fldCharType="separate"/>
        </w:r>
        <w:r w:rsidR="006F7231">
          <w:rPr>
            <w:sz w:val="30"/>
            <w:szCs w:val="30"/>
          </w:rPr>
          <w:t>90</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29107" w:history="1">
        <w:r w:rsidR="006F7231">
          <w:rPr>
            <w:rFonts w:hint="eastAsia"/>
            <w:sz w:val="30"/>
            <w:szCs w:val="30"/>
          </w:rPr>
          <w:t>第三十二章大力推进科技创新</w:t>
        </w:r>
        <w:r w:rsidR="006F7231">
          <w:rPr>
            <w:sz w:val="30"/>
            <w:szCs w:val="30"/>
          </w:rPr>
          <w:tab/>
        </w:r>
        <w:r>
          <w:rPr>
            <w:sz w:val="30"/>
            <w:szCs w:val="30"/>
          </w:rPr>
          <w:fldChar w:fldCharType="begin"/>
        </w:r>
        <w:r w:rsidR="006F7231">
          <w:rPr>
            <w:sz w:val="30"/>
            <w:szCs w:val="30"/>
          </w:rPr>
          <w:instrText xml:space="preserve"> PAGEREF _Toc29107 </w:instrText>
        </w:r>
        <w:r>
          <w:rPr>
            <w:sz w:val="30"/>
            <w:szCs w:val="30"/>
          </w:rPr>
          <w:fldChar w:fldCharType="separate"/>
        </w:r>
        <w:r w:rsidR="006F7231">
          <w:rPr>
            <w:sz w:val="30"/>
            <w:szCs w:val="30"/>
          </w:rPr>
          <w:t>92</w:t>
        </w:r>
        <w:r>
          <w:rPr>
            <w:sz w:val="30"/>
            <w:szCs w:val="30"/>
          </w:rPr>
          <w:fldChar w:fldCharType="end"/>
        </w:r>
      </w:hyperlink>
    </w:p>
    <w:p w:rsidR="00E35214" w:rsidRDefault="00F32E25">
      <w:pPr>
        <w:pStyle w:val="10"/>
        <w:tabs>
          <w:tab w:val="right" w:leader="dot" w:pos="9390"/>
        </w:tabs>
        <w:snapToGrid w:val="0"/>
        <w:spacing w:line="360" w:lineRule="auto"/>
        <w:textAlignment w:val="baseline"/>
        <w:rPr>
          <w:sz w:val="30"/>
          <w:szCs w:val="30"/>
        </w:rPr>
      </w:pPr>
      <w:hyperlink w:anchor="_Toc17201" w:history="1">
        <w:r w:rsidR="006F7231">
          <w:rPr>
            <w:rFonts w:eastAsia="黑体" w:hint="eastAsia"/>
            <w:bCs/>
            <w:kern w:val="44"/>
            <w:sz w:val="30"/>
            <w:szCs w:val="30"/>
          </w:rPr>
          <w:t>第九篇</w:t>
        </w:r>
        <w:r w:rsidR="006F7231">
          <w:rPr>
            <w:rFonts w:eastAsia="黑体" w:hint="eastAsia"/>
            <w:bCs/>
            <w:kern w:val="44"/>
            <w:sz w:val="30"/>
            <w:szCs w:val="30"/>
          </w:rPr>
          <w:t xml:space="preserve">  </w:t>
        </w:r>
        <w:bookmarkStart w:id="0" w:name="_GoBack"/>
        <w:r w:rsidR="006F7231">
          <w:rPr>
            <w:rFonts w:eastAsia="黑体" w:hint="eastAsia"/>
            <w:bCs/>
            <w:kern w:val="44"/>
            <w:sz w:val="30"/>
            <w:szCs w:val="30"/>
          </w:rPr>
          <w:t>完善应急体系，建设韧</w:t>
        </w:r>
        <w:bookmarkEnd w:id="0"/>
        <w:r w:rsidR="006F7231">
          <w:rPr>
            <w:rFonts w:eastAsia="黑体" w:hint="eastAsia"/>
            <w:bCs/>
            <w:kern w:val="44"/>
            <w:sz w:val="30"/>
            <w:szCs w:val="30"/>
          </w:rPr>
          <w:t>性金口河</w:t>
        </w:r>
        <w:r w:rsidR="006F7231">
          <w:rPr>
            <w:sz w:val="30"/>
            <w:szCs w:val="30"/>
          </w:rPr>
          <w:tab/>
        </w:r>
        <w:r>
          <w:rPr>
            <w:sz w:val="30"/>
            <w:szCs w:val="30"/>
          </w:rPr>
          <w:fldChar w:fldCharType="begin"/>
        </w:r>
        <w:r w:rsidR="006F7231">
          <w:rPr>
            <w:sz w:val="30"/>
            <w:szCs w:val="30"/>
          </w:rPr>
          <w:instrText xml:space="preserve"> PAGEREF _Toc17201 </w:instrText>
        </w:r>
        <w:r>
          <w:rPr>
            <w:sz w:val="30"/>
            <w:szCs w:val="30"/>
          </w:rPr>
          <w:fldChar w:fldCharType="separate"/>
        </w:r>
        <w:r w:rsidR="006F7231">
          <w:rPr>
            <w:sz w:val="30"/>
            <w:szCs w:val="30"/>
          </w:rPr>
          <w:t>95</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4064" w:history="1">
        <w:r w:rsidR="006F7231">
          <w:rPr>
            <w:rFonts w:hint="eastAsia"/>
            <w:sz w:val="30"/>
            <w:szCs w:val="30"/>
          </w:rPr>
          <w:t>第三十三章加强防灾减灾能力建设</w:t>
        </w:r>
        <w:r w:rsidR="006F7231">
          <w:rPr>
            <w:sz w:val="30"/>
            <w:szCs w:val="30"/>
          </w:rPr>
          <w:tab/>
        </w:r>
        <w:r>
          <w:rPr>
            <w:sz w:val="30"/>
            <w:szCs w:val="30"/>
          </w:rPr>
          <w:fldChar w:fldCharType="begin"/>
        </w:r>
        <w:r w:rsidR="006F7231">
          <w:rPr>
            <w:sz w:val="30"/>
            <w:szCs w:val="30"/>
          </w:rPr>
          <w:instrText xml:space="preserve"> PAGEREF _Toc14064 </w:instrText>
        </w:r>
        <w:r>
          <w:rPr>
            <w:sz w:val="30"/>
            <w:szCs w:val="30"/>
          </w:rPr>
          <w:fldChar w:fldCharType="separate"/>
        </w:r>
        <w:r w:rsidR="006F7231">
          <w:rPr>
            <w:sz w:val="30"/>
            <w:szCs w:val="30"/>
          </w:rPr>
          <w:t>95</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25531" w:history="1">
        <w:r w:rsidR="006F7231">
          <w:rPr>
            <w:rFonts w:hint="eastAsia"/>
            <w:sz w:val="30"/>
            <w:szCs w:val="30"/>
          </w:rPr>
          <w:t>第三十四章加强应急抢险救援能力建设</w:t>
        </w:r>
        <w:r w:rsidR="006F7231">
          <w:rPr>
            <w:sz w:val="30"/>
            <w:szCs w:val="30"/>
          </w:rPr>
          <w:tab/>
        </w:r>
        <w:r>
          <w:rPr>
            <w:sz w:val="30"/>
            <w:szCs w:val="30"/>
          </w:rPr>
          <w:fldChar w:fldCharType="begin"/>
        </w:r>
        <w:r w:rsidR="006F7231">
          <w:rPr>
            <w:sz w:val="30"/>
            <w:szCs w:val="30"/>
          </w:rPr>
          <w:instrText xml:space="preserve"> PAGEREF _Toc25531 </w:instrText>
        </w:r>
        <w:r>
          <w:rPr>
            <w:sz w:val="30"/>
            <w:szCs w:val="30"/>
          </w:rPr>
          <w:fldChar w:fldCharType="separate"/>
        </w:r>
        <w:r w:rsidR="006F7231">
          <w:rPr>
            <w:sz w:val="30"/>
            <w:szCs w:val="30"/>
          </w:rPr>
          <w:t>96</w:t>
        </w:r>
        <w:r>
          <w:rPr>
            <w:sz w:val="30"/>
            <w:szCs w:val="30"/>
          </w:rPr>
          <w:fldChar w:fldCharType="end"/>
        </w:r>
      </w:hyperlink>
    </w:p>
    <w:p w:rsidR="00E35214" w:rsidRDefault="00F32E25">
      <w:pPr>
        <w:pStyle w:val="10"/>
        <w:tabs>
          <w:tab w:val="right" w:leader="dot" w:pos="9390"/>
        </w:tabs>
        <w:snapToGrid w:val="0"/>
        <w:spacing w:line="360" w:lineRule="auto"/>
        <w:textAlignment w:val="baseline"/>
        <w:rPr>
          <w:sz w:val="30"/>
          <w:szCs w:val="30"/>
        </w:rPr>
      </w:pPr>
      <w:hyperlink w:anchor="_Toc17205" w:history="1">
        <w:r w:rsidR="006F7231">
          <w:rPr>
            <w:rFonts w:eastAsia="黑体" w:hint="eastAsia"/>
            <w:bCs/>
            <w:kern w:val="44"/>
            <w:sz w:val="30"/>
            <w:szCs w:val="30"/>
          </w:rPr>
          <w:t>第十篇创新社会治理，建设平安金口河</w:t>
        </w:r>
        <w:r w:rsidR="006F7231">
          <w:rPr>
            <w:sz w:val="30"/>
            <w:szCs w:val="30"/>
          </w:rPr>
          <w:tab/>
        </w:r>
        <w:r>
          <w:rPr>
            <w:sz w:val="30"/>
            <w:szCs w:val="30"/>
          </w:rPr>
          <w:fldChar w:fldCharType="begin"/>
        </w:r>
        <w:r w:rsidR="006F7231">
          <w:rPr>
            <w:sz w:val="30"/>
            <w:szCs w:val="30"/>
          </w:rPr>
          <w:instrText xml:space="preserve"> PAGEREF _Toc17205 </w:instrText>
        </w:r>
        <w:r>
          <w:rPr>
            <w:sz w:val="30"/>
            <w:szCs w:val="30"/>
          </w:rPr>
          <w:fldChar w:fldCharType="separate"/>
        </w:r>
        <w:r w:rsidR="006F7231">
          <w:rPr>
            <w:sz w:val="30"/>
            <w:szCs w:val="30"/>
          </w:rPr>
          <w:t>99</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4692" w:history="1">
        <w:r w:rsidR="006F7231">
          <w:rPr>
            <w:rFonts w:hint="eastAsia"/>
            <w:sz w:val="30"/>
            <w:szCs w:val="30"/>
          </w:rPr>
          <w:t>第三十五章夯实基层治理基础</w:t>
        </w:r>
        <w:r w:rsidR="006F7231">
          <w:rPr>
            <w:sz w:val="30"/>
            <w:szCs w:val="30"/>
          </w:rPr>
          <w:tab/>
        </w:r>
        <w:r>
          <w:rPr>
            <w:sz w:val="30"/>
            <w:szCs w:val="30"/>
          </w:rPr>
          <w:fldChar w:fldCharType="begin"/>
        </w:r>
        <w:r w:rsidR="006F7231">
          <w:rPr>
            <w:sz w:val="30"/>
            <w:szCs w:val="30"/>
          </w:rPr>
          <w:instrText xml:space="preserve"> PAGEREF _Toc14692 </w:instrText>
        </w:r>
        <w:r>
          <w:rPr>
            <w:sz w:val="30"/>
            <w:szCs w:val="30"/>
          </w:rPr>
          <w:fldChar w:fldCharType="separate"/>
        </w:r>
        <w:r w:rsidR="006F7231">
          <w:rPr>
            <w:sz w:val="30"/>
            <w:szCs w:val="30"/>
          </w:rPr>
          <w:t>99</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1649" w:history="1">
        <w:r w:rsidR="006F7231">
          <w:rPr>
            <w:rFonts w:hint="eastAsia"/>
            <w:sz w:val="30"/>
            <w:szCs w:val="30"/>
          </w:rPr>
          <w:t>第三十六章积极防范和化解各种风险</w:t>
        </w:r>
        <w:r w:rsidR="006F7231">
          <w:rPr>
            <w:sz w:val="30"/>
            <w:szCs w:val="30"/>
          </w:rPr>
          <w:tab/>
        </w:r>
        <w:r>
          <w:rPr>
            <w:sz w:val="30"/>
            <w:szCs w:val="30"/>
          </w:rPr>
          <w:fldChar w:fldCharType="begin"/>
        </w:r>
        <w:r w:rsidR="006F7231">
          <w:rPr>
            <w:sz w:val="30"/>
            <w:szCs w:val="30"/>
          </w:rPr>
          <w:instrText xml:space="preserve"> PAGEREF _Toc1649 </w:instrText>
        </w:r>
        <w:r>
          <w:rPr>
            <w:sz w:val="30"/>
            <w:szCs w:val="30"/>
          </w:rPr>
          <w:fldChar w:fldCharType="separate"/>
        </w:r>
        <w:r w:rsidR="006F7231">
          <w:rPr>
            <w:sz w:val="30"/>
            <w:szCs w:val="30"/>
          </w:rPr>
          <w:t>101</w:t>
        </w:r>
        <w:r>
          <w:rPr>
            <w:sz w:val="30"/>
            <w:szCs w:val="30"/>
          </w:rPr>
          <w:fldChar w:fldCharType="end"/>
        </w:r>
      </w:hyperlink>
    </w:p>
    <w:p w:rsidR="00E35214" w:rsidRDefault="00F32E25">
      <w:pPr>
        <w:pStyle w:val="22"/>
        <w:tabs>
          <w:tab w:val="right" w:leader="dot" w:pos="9390"/>
        </w:tabs>
        <w:snapToGrid w:val="0"/>
        <w:spacing w:line="360" w:lineRule="auto"/>
        <w:textAlignment w:val="baseline"/>
        <w:rPr>
          <w:sz w:val="30"/>
          <w:szCs w:val="30"/>
        </w:rPr>
      </w:pPr>
      <w:hyperlink w:anchor="_Toc2091" w:history="1">
        <w:r w:rsidR="006F7231">
          <w:rPr>
            <w:rFonts w:hint="eastAsia"/>
            <w:sz w:val="30"/>
            <w:szCs w:val="30"/>
          </w:rPr>
          <w:t>第三十七章促进民族团结进步</w:t>
        </w:r>
        <w:r w:rsidR="006F7231">
          <w:rPr>
            <w:sz w:val="30"/>
            <w:szCs w:val="30"/>
          </w:rPr>
          <w:tab/>
        </w:r>
        <w:r>
          <w:rPr>
            <w:sz w:val="30"/>
            <w:szCs w:val="30"/>
          </w:rPr>
          <w:fldChar w:fldCharType="begin"/>
        </w:r>
        <w:r w:rsidR="006F7231">
          <w:rPr>
            <w:sz w:val="30"/>
            <w:szCs w:val="30"/>
          </w:rPr>
          <w:instrText xml:space="preserve"> PAGEREF _Toc2091 </w:instrText>
        </w:r>
        <w:r>
          <w:rPr>
            <w:sz w:val="30"/>
            <w:szCs w:val="30"/>
          </w:rPr>
          <w:fldChar w:fldCharType="separate"/>
        </w:r>
        <w:r w:rsidR="006F7231">
          <w:rPr>
            <w:sz w:val="30"/>
            <w:szCs w:val="30"/>
          </w:rPr>
          <w:t>105</w:t>
        </w:r>
        <w:r>
          <w:rPr>
            <w:sz w:val="30"/>
            <w:szCs w:val="30"/>
          </w:rPr>
          <w:fldChar w:fldCharType="end"/>
        </w:r>
      </w:hyperlink>
    </w:p>
    <w:p w:rsidR="00E35214" w:rsidRDefault="00F32E25">
      <w:pPr>
        <w:pStyle w:val="10"/>
        <w:tabs>
          <w:tab w:val="right" w:leader="dot" w:pos="9390"/>
        </w:tabs>
        <w:snapToGrid w:val="0"/>
        <w:spacing w:line="360" w:lineRule="auto"/>
        <w:textAlignment w:val="baseline"/>
        <w:rPr>
          <w:rFonts w:ascii="黑体" w:eastAsia="黑体" w:hAnsi="黑体" w:cs="黑体"/>
          <w:sz w:val="30"/>
          <w:szCs w:val="30"/>
        </w:rPr>
      </w:pPr>
      <w:hyperlink w:anchor="_Toc8523" w:history="1">
        <w:r w:rsidR="006F7231">
          <w:rPr>
            <w:rFonts w:ascii="黑体" w:eastAsia="黑体" w:hAnsi="黑体" w:cs="黑体" w:hint="eastAsia"/>
            <w:sz w:val="30"/>
            <w:szCs w:val="30"/>
          </w:rPr>
          <w:t>第十一篇  强化保障，凝聚发展合力</w:t>
        </w:r>
        <w:r w:rsidR="006F7231">
          <w:rPr>
            <w:rFonts w:ascii="黑体" w:eastAsia="黑体" w:hAnsi="黑体" w:cs="黑体" w:hint="eastAsia"/>
            <w:sz w:val="30"/>
            <w:szCs w:val="30"/>
          </w:rPr>
          <w:tab/>
        </w:r>
        <w:r>
          <w:rPr>
            <w:rFonts w:ascii="黑体" w:eastAsia="黑体" w:hAnsi="黑体" w:cs="黑体" w:hint="eastAsia"/>
            <w:sz w:val="30"/>
            <w:szCs w:val="30"/>
          </w:rPr>
          <w:fldChar w:fldCharType="begin"/>
        </w:r>
        <w:r w:rsidR="006F7231">
          <w:rPr>
            <w:rFonts w:ascii="黑体" w:eastAsia="黑体" w:hAnsi="黑体" w:cs="黑体" w:hint="eastAsia"/>
            <w:sz w:val="30"/>
            <w:szCs w:val="30"/>
          </w:rPr>
          <w:instrText xml:space="preserve"> PAGEREF _Toc8523 </w:instrText>
        </w:r>
        <w:r>
          <w:rPr>
            <w:rFonts w:ascii="黑体" w:eastAsia="黑体" w:hAnsi="黑体" w:cs="黑体" w:hint="eastAsia"/>
            <w:sz w:val="30"/>
            <w:szCs w:val="30"/>
          </w:rPr>
          <w:fldChar w:fldCharType="separate"/>
        </w:r>
        <w:r w:rsidR="006F7231">
          <w:rPr>
            <w:rFonts w:ascii="黑体" w:eastAsia="黑体" w:hAnsi="黑体" w:cs="黑体" w:hint="eastAsia"/>
            <w:sz w:val="30"/>
            <w:szCs w:val="30"/>
          </w:rPr>
          <w:t>106</w:t>
        </w:r>
        <w:r>
          <w:rPr>
            <w:rFonts w:ascii="黑体" w:eastAsia="黑体" w:hAnsi="黑体" w:cs="黑体" w:hint="eastAsia"/>
            <w:sz w:val="30"/>
            <w:szCs w:val="30"/>
          </w:rPr>
          <w:fldChar w:fldCharType="end"/>
        </w:r>
      </w:hyperlink>
    </w:p>
    <w:p w:rsidR="00E35214" w:rsidRDefault="00F32E25">
      <w:pPr>
        <w:pStyle w:val="a5"/>
        <w:snapToGrid w:val="0"/>
        <w:spacing w:after="0" w:line="360" w:lineRule="auto"/>
        <w:ind w:right="525"/>
        <w:textAlignment w:val="baseline"/>
        <w:rPr>
          <w:rFonts w:ascii="仿宋" w:eastAsia="仿宋" w:hAnsi="仿宋" w:cs="仿宋"/>
          <w:sz w:val="30"/>
          <w:szCs w:val="30"/>
          <w:shd w:val="clear" w:color="auto" w:fill="FFFFFF"/>
        </w:rPr>
      </w:pPr>
      <w:r>
        <w:rPr>
          <w:rFonts w:ascii="仿宋" w:eastAsia="仿宋" w:hAnsi="仿宋" w:cs="仿宋"/>
          <w:sz w:val="30"/>
          <w:szCs w:val="30"/>
          <w:shd w:val="clear" w:color="auto" w:fill="FFFFFF"/>
        </w:rPr>
        <w:fldChar w:fldCharType="end"/>
      </w:r>
    </w:p>
    <w:p w:rsidR="00E35214" w:rsidRDefault="00E35214">
      <w:pPr>
        <w:pStyle w:val="a9"/>
        <w:spacing w:before="1" w:line="350" w:lineRule="auto"/>
        <w:ind w:right="525" w:firstLineChars="200" w:firstLine="600"/>
        <w:textAlignment w:val="baseline"/>
        <w:rPr>
          <w:sz w:val="30"/>
          <w:szCs w:val="30"/>
        </w:rPr>
      </w:pPr>
    </w:p>
    <w:p w:rsidR="00E35214" w:rsidRDefault="006F7231">
      <w:pPr>
        <w:pStyle w:val="a9"/>
        <w:spacing w:before="1" w:line="350" w:lineRule="auto"/>
        <w:ind w:right="525" w:firstLineChars="200" w:firstLine="600"/>
        <w:textAlignment w:val="baseline"/>
        <w:rPr>
          <w:sz w:val="30"/>
          <w:szCs w:val="30"/>
        </w:rPr>
      </w:pPr>
      <w:r>
        <w:rPr>
          <w:rFonts w:hint="eastAsia"/>
          <w:sz w:val="30"/>
          <w:szCs w:val="30"/>
        </w:rPr>
        <w:br w:type="page"/>
      </w:r>
    </w:p>
    <w:p w:rsidR="00E35214" w:rsidRDefault="00E35214">
      <w:pPr>
        <w:pStyle w:val="a5"/>
        <w:snapToGrid w:val="0"/>
        <w:spacing w:before="1" w:line="350" w:lineRule="auto"/>
        <w:ind w:right="525" w:firstLineChars="200" w:firstLine="420"/>
        <w:textAlignment w:val="baseline"/>
        <w:rPr>
          <w:rFonts w:ascii="仿宋" w:eastAsia="仿宋" w:hAnsi="仿宋" w:cs="仿宋"/>
          <w:szCs w:val="36"/>
          <w:shd w:val="clear" w:color="auto" w:fill="FFFFFF"/>
        </w:rPr>
      </w:pPr>
    </w:p>
    <w:p w:rsidR="00E35214" w:rsidRDefault="00E35214">
      <w:pPr>
        <w:pStyle w:val="a5"/>
        <w:snapToGrid w:val="0"/>
        <w:spacing w:before="1" w:line="350" w:lineRule="auto"/>
        <w:ind w:right="525"/>
        <w:textAlignment w:val="baseline"/>
        <w:rPr>
          <w:rFonts w:ascii="仿宋" w:eastAsia="仿宋" w:hAnsi="仿宋" w:cs="仿宋"/>
          <w:sz w:val="36"/>
          <w:szCs w:val="36"/>
          <w:shd w:val="clear" w:color="auto" w:fill="FFFFFF"/>
        </w:rPr>
      </w:pPr>
    </w:p>
    <w:p w:rsidR="00E35214" w:rsidRDefault="00E35214">
      <w:pPr>
        <w:pStyle w:val="a5"/>
        <w:snapToGrid w:val="0"/>
        <w:spacing w:before="1" w:line="350" w:lineRule="auto"/>
        <w:ind w:right="525"/>
        <w:textAlignment w:val="baseline"/>
        <w:rPr>
          <w:rFonts w:ascii="仿宋" w:eastAsia="仿宋" w:hAnsi="仿宋" w:cs="仿宋"/>
          <w:sz w:val="36"/>
          <w:szCs w:val="36"/>
          <w:shd w:val="clear" w:color="auto" w:fill="FFFFFF"/>
        </w:rPr>
      </w:pPr>
    </w:p>
    <w:p w:rsidR="00E35214" w:rsidRDefault="006F7231">
      <w:pPr>
        <w:pStyle w:val="a5"/>
        <w:snapToGrid w:val="0"/>
        <w:spacing w:before="1" w:line="350" w:lineRule="auto"/>
        <w:ind w:right="525" w:firstLineChars="200" w:firstLine="720"/>
        <w:textAlignment w:val="baseline"/>
        <w:rPr>
          <w:rFonts w:ascii="仿宋" w:eastAsia="仿宋" w:hAnsi="仿宋" w:cs="仿宋"/>
          <w:sz w:val="32"/>
          <w:szCs w:val="32"/>
          <w:shd w:val="clear" w:color="auto" w:fill="FFFFFF"/>
        </w:rPr>
      </w:pPr>
      <w:r>
        <w:rPr>
          <w:rFonts w:ascii="仿宋" w:eastAsia="仿宋" w:hAnsi="仿宋" w:cs="仿宋" w:hint="eastAsia"/>
          <w:sz w:val="36"/>
          <w:szCs w:val="36"/>
          <w:shd w:val="clear" w:color="auto" w:fill="FFFFFF"/>
        </w:rPr>
        <w:t>乐山市金口河区国民经济和社会发展第十四个五年规划和二</w:t>
      </w:r>
      <w:r>
        <w:rPr>
          <w:rFonts w:ascii="仿宋" w:eastAsia="仿宋" w:hAnsi="仿宋" w:cs="仿宋" w:hint="eastAsia"/>
          <w:kern w:val="0"/>
          <w:sz w:val="32"/>
          <w:szCs w:val="32"/>
          <w:shd w:val="clear" w:color="auto" w:fill="FFFFFF"/>
        </w:rPr>
        <w:t>〇</w:t>
      </w:r>
      <w:r>
        <w:rPr>
          <w:rFonts w:ascii="仿宋" w:eastAsia="仿宋" w:hAnsi="仿宋" w:cs="仿宋" w:hint="eastAsia"/>
          <w:sz w:val="36"/>
          <w:szCs w:val="36"/>
          <w:shd w:val="clear" w:color="auto" w:fill="FFFFFF"/>
        </w:rPr>
        <w:t>三五远景目标纲要（以下简称《纲要》），贯彻落实党的十九届五中全会、省委十一届八次全会和市委七届十一次全会精神，根据《中共乐山市金口河区委关于制定国民经济和社会发展第十四个五年规划和二○三五年远景目标的建议》编制。《纲要》明确了未来五年经济社会发展的战略目标、主要任务和重要举措，是全区各族人民的行动纲领，是引导资源配置的重要工具，是政府履行职责的重要依据，是约束政府行为和市场行为的“第二准则”。</w:t>
      </w:r>
    </w:p>
    <w:p w:rsidR="00E35214" w:rsidRDefault="00E35214">
      <w:pPr>
        <w:pStyle w:val="a5"/>
        <w:snapToGrid w:val="0"/>
        <w:textAlignment w:val="baseline"/>
      </w:pPr>
    </w:p>
    <w:p w:rsidR="00E35214" w:rsidRDefault="00E35214">
      <w:pPr>
        <w:snapToGrid w:val="0"/>
        <w:textAlignment w:val="baseline"/>
        <w:rPr>
          <w:sz w:val="20"/>
        </w:rPr>
      </w:pPr>
    </w:p>
    <w:p w:rsidR="00E35214" w:rsidRDefault="00E35214">
      <w:pPr>
        <w:pStyle w:val="a5"/>
        <w:snapToGrid w:val="0"/>
        <w:textAlignment w:val="baseline"/>
        <w:sectPr w:rsidR="00E35214">
          <w:footerReference w:type="default" r:id="rId8"/>
          <w:pgSz w:w="11910" w:h="16840"/>
          <w:pgMar w:top="1580" w:right="1260" w:bottom="1360" w:left="1260" w:header="0" w:footer="1163" w:gutter="0"/>
          <w:cols w:space="720"/>
        </w:sectPr>
      </w:pPr>
    </w:p>
    <w:p w:rsidR="00E35214" w:rsidRDefault="00E35214">
      <w:pPr>
        <w:pStyle w:val="20"/>
        <w:snapToGrid w:val="0"/>
        <w:textAlignment w:val="baseline"/>
        <w:rPr>
          <w:sz w:val="21"/>
        </w:rPr>
      </w:pPr>
    </w:p>
    <w:bookmarkStart w:id="1" w:name="_Toc30125"/>
    <w:bookmarkStart w:id="2" w:name="_Toc18314"/>
    <w:bookmarkStart w:id="3" w:name="_Toc5958"/>
    <w:bookmarkStart w:id="4" w:name="_Toc18106"/>
    <w:bookmarkStart w:id="5" w:name="_Toc28471"/>
    <w:bookmarkStart w:id="6" w:name="_Toc32764"/>
    <w:p w:rsidR="00E35214" w:rsidRDefault="00F32E25">
      <w:pPr>
        <w:pStyle w:val="a5"/>
        <w:snapToGrid w:val="0"/>
        <w:spacing w:before="1" w:line="350" w:lineRule="auto"/>
        <w:ind w:right="525"/>
        <w:textAlignment w:val="baseline"/>
        <w:rPr>
          <w:rFonts w:ascii="黑体" w:eastAsia="黑体" w:hAnsi="黑体" w:cs="黑体"/>
          <w:sz w:val="30"/>
          <w:szCs w:val="30"/>
          <w:shd w:val="clear" w:color="auto" w:fill="FFFFFF"/>
        </w:rPr>
      </w:pPr>
      <w:r>
        <w:rPr>
          <w:rFonts w:ascii="黑体" w:eastAsia="黑体" w:hAnsi="黑体" w:cs="黑体" w:hint="eastAsia"/>
          <w:sz w:val="30"/>
          <w:szCs w:val="30"/>
          <w:shd w:val="clear" w:color="auto" w:fill="FFFFFF"/>
        </w:rPr>
        <w:fldChar w:fldCharType="begin"/>
      </w:r>
      <w:r w:rsidR="006F7231">
        <w:rPr>
          <w:rFonts w:ascii="黑体" w:eastAsia="黑体" w:hAnsi="黑体" w:cs="黑体" w:hint="eastAsia"/>
          <w:sz w:val="30"/>
          <w:szCs w:val="30"/>
          <w:shd w:val="clear" w:color="auto" w:fill="FFFFFF"/>
        </w:rPr>
        <w:instrText xml:space="preserve"> HYPERLINK \l _Toc1206 </w:instrText>
      </w:r>
      <w:r>
        <w:rPr>
          <w:rFonts w:ascii="黑体" w:eastAsia="黑体" w:hAnsi="黑体" w:cs="黑体" w:hint="eastAsia"/>
          <w:sz w:val="30"/>
          <w:szCs w:val="30"/>
          <w:shd w:val="clear" w:color="auto" w:fill="FFFFFF"/>
        </w:rPr>
        <w:fldChar w:fldCharType="separate"/>
      </w:r>
      <w:r w:rsidR="006F7231">
        <w:rPr>
          <w:rFonts w:ascii="黑体" w:eastAsia="黑体" w:hAnsi="黑体" w:cs="黑体" w:hint="eastAsia"/>
          <w:sz w:val="30"/>
          <w:szCs w:val="30"/>
        </w:rPr>
        <w:t>第一篇 继往开来，开启建设社会主义现代化金口河</w:t>
      </w:r>
      <w:r>
        <w:rPr>
          <w:rFonts w:ascii="黑体" w:eastAsia="黑体" w:hAnsi="黑体" w:cs="黑体" w:hint="eastAsia"/>
          <w:sz w:val="30"/>
          <w:szCs w:val="30"/>
          <w:shd w:val="clear" w:color="auto" w:fill="FFFFFF"/>
        </w:rPr>
        <w:fldChar w:fldCharType="end"/>
      </w:r>
      <w:r w:rsidR="006F7231">
        <w:rPr>
          <w:rFonts w:ascii="黑体" w:eastAsia="黑体" w:hAnsi="黑体" w:cs="黑体" w:hint="eastAsia"/>
          <w:sz w:val="30"/>
          <w:szCs w:val="30"/>
          <w:shd w:val="clear" w:color="auto" w:fill="FFFFFF"/>
        </w:rPr>
        <w:t>新征程</w:t>
      </w:r>
    </w:p>
    <w:p w:rsidR="00E35214" w:rsidRDefault="006F7231">
      <w:pPr>
        <w:pStyle w:val="a5"/>
        <w:snapToGrid w:val="0"/>
        <w:spacing w:before="1" w:line="350" w:lineRule="auto"/>
        <w:ind w:right="525" w:firstLineChars="200" w:firstLine="640"/>
        <w:textAlignment w:val="baseline"/>
        <w:rPr>
          <w:rFonts w:ascii="仿宋" w:eastAsia="仿宋" w:hAnsi="仿宋" w:cs="仿宋"/>
          <w:sz w:val="32"/>
          <w:szCs w:val="32"/>
        </w:rPr>
      </w:pPr>
      <w:r>
        <w:rPr>
          <w:rFonts w:ascii="仿宋" w:eastAsia="仿宋" w:hAnsi="仿宋" w:cs="仿宋" w:hint="eastAsia"/>
          <w:bCs/>
          <w:kern w:val="0"/>
          <w:sz w:val="32"/>
          <w:szCs w:val="44"/>
        </w:rPr>
        <w:t>“十四五”时期是我国全面建成小康社会、实现第一个百年奋斗目标之后，乘势而上开启全面建设社会主义现代化国家新征程、向第二个百年奋斗目标进军的第一个五年。要主动适应国内外发展环境和条件的深刻变</w:t>
      </w:r>
      <w:r>
        <w:rPr>
          <w:rFonts w:ascii="仿宋" w:eastAsia="仿宋" w:hAnsi="仿宋" w:cs="仿宋" w:hint="eastAsia"/>
          <w:sz w:val="32"/>
          <w:szCs w:val="32"/>
        </w:rPr>
        <w:t>化，紧密结合金口河发展基础和条件、特色与优势、发展需求以及未来趋势，认真践行新发展理念，全方位推动高质量发展，开启全面建设社会主义现代化金口河新征程。</w:t>
      </w:r>
    </w:p>
    <w:p w:rsidR="00E35214" w:rsidRDefault="00E35214">
      <w:pPr>
        <w:snapToGrid w:val="0"/>
        <w:ind w:firstLineChars="200" w:firstLine="400"/>
        <w:jc w:val="left"/>
        <w:textAlignment w:val="baseline"/>
        <w:rPr>
          <w:rFonts w:ascii="仿宋" w:eastAsia="仿宋" w:hAnsi="仿宋" w:cs="仿宋"/>
          <w:sz w:val="20"/>
        </w:rPr>
      </w:pPr>
    </w:p>
    <w:p w:rsidR="00E35214" w:rsidRDefault="006F7231">
      <w:pPr>
        <w:pStyle w:val="2"/>
        <w:snapToGrid w:val="0"/>
        <w:textAlignment w:val="baseline"/>
        <w:rPr>
          <w:sz w:val="30"/>
          <w:szCs w:val="30"/>
        </w:rPr>
      </w:pPr>
      <w:bookmarkStart w:id="7" w:name="_Toc32319"/>
      <w:bookmarkStart w:id="8" w:name="_Toc26932"/>
      <w:bookmarkStart w:id="9" w:name="_Toc29437"/>
      <w:bookmarkStart w:id="10" w:name="_Toc24805"/>
      <w:bookmarkStart w:id="11" w:name="_Toc28638"/>
      <w:r>
        <w:rPr>
          <w:rFonts w:hint="eastAsia"/>
          <w:sz w:val="30"/>
          <w:szCs w:val="30"/>
        </w:rPr>
        <w:t>第一章</w:t>
      </w:r>
      <w:r>
        <w:rPr>
          <w:rFonts w:hint="eastAsia"/>
          <w:sz w:val="30"/>
          <w:szCs w:val="30"/>
        </w:rPr>
        <w:t xml:space="preserve"> </w:t>
      </w:r>
      <w:bookmarkEnd w:id="1"/>
      <w:bookmarkEnd w:id="2"/>
      <w:bookmarkEnd w:id="3"/>
      <w:bookmarkEnd w:id="4"/>
      <w:bookmarkEnd w:id="5"/>
      <w:bookmarkEnd w:id="6"/>
      <w:bookmarkEnd w:id="7"/>
      <w:bookmarkEnd w:id="8"/>
      <w:bookmarkEnd w:id="9"/>
      <w:bookmarkEnd w:id="10"/>
      <w:r>
        <w:rPr>
          <w:rFonts w:hint="eastAsia"/>
          <w:sz w:val="30"/>
          <w:szCs w:val="30"/>
        </w:rPr>
        <w:t>发展的基础和环境</w:t>
      </w:r>
      <w:bookmarkEnd w:id="11"/>
    </w:p>
    <w:p w:rsidR="00E35214" w:rsidRDefault="006F7231">
      <w:pPr>
        <w:pStyle w:val="a5"/>
        <w:snapToGrid w:val="0"/>
        <w:spacing w:before="1" w:line="350" w:lineRule="auto"/>
        <w:ind w:right="525" w:firstLineChars="200" w:firstLine="640"/>
        <w:textAlignment w:val="baseline"/>
        <w:rPr>
          <w:rFonts w:ascii="仿宋" w:eastAsia="仿宋" w:hAnsi="仿宋" w:cs="仿宋"/>
          <w:bCs/>
          <w:kern w:val="0"/>
          <w:sz w:val="32"/>
          <w:szCs w:val="44"/>
        </w:rPr>
      </w:pPr>
      <w:bookmarkStart w:id="12" w:name="_Toc19522"/>
      <w:bookmarkStart w:id="13" w:name="_Toc1146"/>
      <w:bookmarkStart w:id="14" w:name="_Toc26424"/>
      <w:bookmarkStart w:id="15" w:name="_Toc17536"/>
      <w:bookmarkStart w:id="16" w:name="_Toc23206"/>
      <w:bookmarkStart w:id="17" w:name="_Toc16706"/>
      <w:r>
        <w:rPr>
          <w:rFonts w:ascii="仿宋" w:eastAsia="仿宋" w:hAnsi="仿宋" w:cs="仿宋" w:hint="eastAsia"/>
          <w:bCs/>
          <w:kern w:val="0"/>
          <w:sz w:val="32"/>
          <w:szCs w:val="44"/>
        </w:rPr>
        <w:t>梳理“十三五”发展脉络，深刻认识当前发展外部环境，准确研判“十四五”发展形势，积极主动应对机遇与挑战，为迈进新阶段、开启新征程奠定坚实基础。</w:t>
      </w:r>
    </w:p>
    <w:p w:rsidR="00E35214" w:rsidRDefault="006F7231">
      <w:pPr>
        <w:pStyle w:val="3"/>
        <w:snapToGrid w:val="0"/>
        <w:spacing w:line="580" w:lineRule="exact"/>
        <w:ind w:firstLineChars="200" w:firstLine="643"/>
        <w:textAlignment w:val="baseline"/>
        <w:rPr>
          <w:rFonts w:ascii="仿宋" w:eastAsia="仿宋" w:hAnsi="仿宋" w:cs="仿宋"/>
          <w:szCs w:val="22"/>
        </w:rPr>
      </w:pPr>
      <w:bookmarkStart w:id="18" w:name="_Toc5751"/>
      <w:bookmarkStart w:id="19" w:name="_Toc10214"/>
      <w:r>
        <w:rPr>
          <w:rFonts w:ascii="仿宋" w:eastAsia="仿宋" w:hAnsi="仿宋" w:cs="仿宋" w:hint="eastAsia"/>
          <w:szCs w:val="22"/>
        </w:rPr>
        <w:t>第一节</w:t>
      </w:r>
      <w:bookmarkEnd w:id="12"/>
      <w:r>
        <w:rPr>
          <w:rFonts w:ascii="仿宋" w:eastAsia="仿宋" w:hAnsi="仿宋" w:cs="仿宋" w:hint="eastAsia"/>
          <w:szCs w:val="22"/>
        </w:rPr>
        <w:t>“十三五”取得的成就</w:t>
      </w:r>
      <w:bookmarkEnd w:id="13"/>
      <w:bookmarkEnd w:id="14"/>
      <w:bookmarkEnd w:id="15"/>
      <w:bookmarkEnd w:id="16"/>
      <w:bookmarkEnd w:id="17"/>
      <w:bookmarkEnd w:id="18"/>
      <w:bookmarkEnd w:id="19"/>
    </w:p>
    <w:p w:rsidR="00E35214" w:rsidRDefault="006F7231">
      <w:pPr>
        <w:snapToGrid w:val="0"/>
        <w:spacing w:line="580" w:lineRule="exact"/>
        <w:ind w:firstLineChars="200" w:firstLine="640"/>
        <w:textAlignment w:val="baseline"/>
        <w:rPr>
          <w:rFonts w:ascii="仿宋" w:eastAsia="仿宋" w:hAnsi="仿宋" w:cs="仿宋"/>
          <w:kern w:val="0"/>
          <w:sz w:val="32"/>
          <w:szCs w:val="32"/>
        </w:rPr>
      </w:pPr>
      <w:r>
        <w:rPr>
          <w:rFonts w:ascii="仿宋" w:eastAsia="仿宋" w:hAnsi="仿宋" w:cs="仿宋" w:hint="eastAsia"/>
          <w:bCs/>
          <w:kern w:val="0"/>
          <w:sz w:val="32"/>
          <w:szCs w:val="44"/>
        </w:rPr>
        <w:t>“十三五”时期是金口河决战脱贫攻坚、决胜全面小康取得决定性成就的五年。全区上下坚定践行</w:t>
      </w:r>
      <w:r>
        <w:rPr>
          <w:rFonts w:ascii="仿宋" w:eastAsia="仿宋" w:hAnsi="仿宋" w:cs="仿宋" w:hint="eastAsia"/>
          <w:kern w:val="0"/>
          <w:sz w:val="32"/>
          <w:szCs w:val="32"/>
          <w:shd w:val="clear" w:color="auto" w:fill="FFFFFF"/>
        </w:rPr>
        <w:t>习近平新时</w:t>
      </w:r>
      <w:r>
        <w:rPr>
          <w:rFonts w:ascii="仿宋" w:eastAsia="仿宋" w:hAnsi="仿宋" w:cs="仿宋" w:hint="eastAsia"/>
          <w:bCs/>
          <w:kern w:val="0"/>
          <w:sz w:val="32"/>
          <w:szCs w:val="44"/>
        </w:rPr>
        <w:t>代中国特色社会主义思想，全面落实中央和省委、市委各项决策部署，</w:t>
      </w:r>
      <w:r>
        <w:rPr>
          <w:rFonts w:ascii="仿宋" w:eastAsia="仿宋" w:hAnsi="仿宋" w:cs="仿宋" w:hint="eastAsia"/>
          <w:sz w:val="32"/>
          <w:szCs w:val="32"/>
        </w:rPr>
        <w:t>统筹推进“五位一体”总体布局、协调推进“四个全面”战略布局，</w:t>
      </w:r>
      <w:r>
        <w:rPr>
          <w:rFonts w:ascii="仿宋" w:eastAsia="仿宋" w:hAnsi="仿宋" w:cs="仿宋" w:hint="eastAsia"/>
          <w:bCs/>
          <w:kern w:val="0"/>
          <w:sz w:val="32"/>
          <w:szCs w:val="44"/>
        </w:rPr>
        <w:t>团结带领全区人民</w:t>
      </w:r>
      <w:r>
        <w:rPr>
          <w:rFonts w:ascii="仿宋" w:eastAsia="仿宋" w:hAnsi="仿宋" w:cs="仿宋" w:hint="eastAsia"/>
          <w:kern w:val="0"/>
          <w:sz w:val="32"/>
          <w:szCs w:val="32"/>
          <w:shd w:val="clear" w:color="auto" w:fill="FFFFFF"/>
        </w:rPr>
        <w:t>攻坚克难、破浪前行，</w:t>
      </w:r>
      <w:r>
        <w:rPr>
          <w:rFonts w:ascii="仿宋" w:eastAsia="仿宋" w:hAnsi="仿宋" w:cs="仿宋" w:hint="eastAsia"/>
          <w:bCs/>
          <w:kern w:val="0"/>
          <w:sz w:val="32"/>
          <w:szCs w:val="44"/>
        </w:rPr>
        <w:t>完成了一系列打基础、解难题、利长远、惠民生的大事要事，</w:t>
      </w:r>
      <w:r>
        <w:rPr>
          <w:rFonts w:ascii="仿宋" w:eastAsia="仿宋" w:hAnsi="仿宋" w:cs="仿宋" w:hint="eastAsia"/>
          <w:bCs/>
          <w:kern w:val="0"/>
          <w:sz w:val="32"/>
          <w:szCs w:val="44"/>
        </w:rPr>
        <w:lastRenderedPageBreak/>
        <w:t>积极应对发展环境复杂变化和新冠肺炎疫情、特大暴雨洪涝灾害等风险挑战。经过全</w:t>
      </w:r>
      <w:r>
        <w:rPr>
          <w:rFonts w:ascii="仿宋" w:eastAsia="仿宋" w:hAnsi="仿宋" w:cs="仿宋" w:hint="eastAsia"/>
          <w:kern w:val="0"/>
          <w:sz w:val="32"/>
          <w:szCs w:val="32"/>
        </w:rPr>
        <w:t>区人民共同努力，新发展理念得到贯彻落实，呈现出经济较快增长、产业加速推进、民生持续改善、社会和谐稳定的良好局面</w:t>
      </w:r>
      <w:r>
        <w:rPr>
          <w:rFonts w:ascii="仿宋" w:eastAsia="仿宋" w:hAnsi="仿宋" w:cs="仿宋" w:hint="eastAsia"/>
          <w:sz w:val="32"/>
          <w:szCs w:val="32"/>
        </w:rPr>
        <w:t>，</w:t>
      </w:r>
      <w:r>
        <w:rPr>
          <w:rFonts w:ascii="仿宋" w:eastAsia="仿宋" w:hAnsi="仿宋" w:cs="仿宋" w:hint="eastAsia"/>
          <w:kern w:val="0"/>
          <w:sz w:val="32"/>
          <w:szCs w:val="32"/>
        </w:rPr>
        <w:t>为新阶段建设社会主义现代化金口河奠定了坚实基础。</w:t>
      </w:r>
    </w:p>
    <w:p w:rsidR="00E35214" w:rsidRDefault="00E35214">
      <w:pPr>
        <w:pStyle w:val="a5"/>
        <w:snapToGrid w:val="0"/>
        <w:textAlignment w:val="baseline"/>
      </w:pPr>
    </w:p>
    <w:p w:rsidR="00E35214" w:rsidRDefault="006F7231">
      <w:pPr>
        <w:pStyle w:val="20"/>
        <w:snapToGrid w:val="0"/>
        <w:ind w:firstLineChars="0" w:firstLine="0"/>
        <w:jc w:val="center"/>
        <w:textAlignment w:val="baseline"/>
        <w:rPr>
          <w:rFonts w:ascii="仿宋" w:eastAsia="仿宋" w:hAnsi="仿宋" w:cs="仿宋"/>
          <w:sz w:val="21"/>
        </w:rPr>
      </w:pPr>
      <w:r>
        <w:rPr>
          <w:rFonts w:ascii="仿宋" w:eastAsia="仿宋" w:hAnsi="仿宋" w:cs="仿宋" w:hint="eastAsia"/>
          <w:noProof/>
          <w:sz w:val="21"/>
        </w:rPr>
        <w:drawing>
          <wp:inline distT="0" distB="0" distL="114300" distR="114300">
            <wp:extent cx="4428490" cy="2907665"/>
            <wp:effectExtent l="0" t="0" r="10160" b="6985"/>
            <wp:docPr id="1" name="图片 1" descr="1610250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0250953(1)"/>
                    <pic:cNvPicPr>
                      <a:picLocks noChangeAspect="1"/>
                    </pic:cNvPicPr>
                  </pic:nvPicPr>
                  <pic:blipFill>
                    <a:blip r:embed="rId9" cstate="print"/>
                    <a:stretch>
                      <a:fillRect/>
                    </a:stretch>
                  </pic:blipFill>
                  <pic:spPr>
                    <a:xfrm>
                      <a:off x="0" y="0"/>
                      <a:ext cx="4428490" cy="2907665"/>
                    </a:xfrm>
                    <a:prstGeom prst="rect">
                      <a:avLst/>
                    </a:prstGeom>
                  </pic:spPr>
                </pic:pic>
              </a:graphicData>
            </a:graphic>
          </wp:inline>
        </w:drawing>
      </w:r>
    </w:p>
    <w:p w:rsidR="00E35214" w:rsidRDefault="006F7231">
      <w:pPr>
        <w:pStyle w:val="a4"/>
        <w:snapToGrid w:val="0"/>
        <w:jc w:val="center"/>
        <w:textAlignment w:val="baseline"/>
        <w:rPr>
          <w:rFonts w:ascii="楷体" w:eastAsia="楷体" w:hAnsi="楷体" w:cs="楷体"/>
          <w:b/>
          <w:kern w:val="0"/>
          <w:sz w:val="32"/>
          <w:szCs w:val="44"/>
        </w:rPr>
      </w:pPr>
      <w:r>
        <w:rPr>
          <w:rFonts w:ascii="楷体" w:eastAsia="楷体" w:hAnsi="楷体" w:cs="楷体" w:hint="eastAsia"/>
          <w:b/>
          <w:kern w:val="0"/>
          <w:sz w:val="32"/>
          <w:szCs w:val="44"/>
        </w:rPr>
        <w:t>图1 金口河区位图</w:t>
      </w:r>
    </w:p>
    <w:p w:rsidR="00E35214" w:rsidRDefault="006F7231">
      <w:pPr>
        <w:snapToGrid w:val="0"/>
        <w:spacing w:line="580" w:lineRule="exact"/>
        <w:ind w:firstLineChars="200" w:firstLine="643"/>
        <w:textAlignment w:val="baseline"/>
        <w:rPr>
          <w:rFonts w:ascii="仿宋" w:eastAsia="仿宋" w:hAnsi="仿宋" w:cs="仿宋"/>
          <w:kern w:val="0"/>
          <w:sz w:val="32"/>
          <w:szCs w:val="32"/>
          <w:shd w:val="clear" w:color="auto" w:fill="FFFFFF"/>
        </w:rPr>
      </w:pPr>
      <w:r>
        <w:rPr>
          <w:rFonts w:ascii="仿宋_GB2312" w:eastAsia="仿宋_GB2312" w:hAnsi="仿宋_GB2312" w:cs="仿宋_GB2312"/>
          <w:b/>
          <w:kern w:val="0"/>
          <w:sz w:val="32"/>
          <w:szCs w:val="44"/>
        </w:rPr>
        <w:t>脱贫奔康取得决定性胜利。</w:t>
      </w:r>
      <w:r>
        <w:rPr>
          <w:rFonts w:ascii="仿宋_GB2312" w:eastAsia="仿宋_GB2312" w:hAnsi="黑体"/>
          <w:bCs/>
          <w:kern w:val="0"/>
          <w:sz w:val="32"/>
          <w:szCs w:val="44"/>
        </w:rPr>
        <w:t>累计投入扶贫资金37亿元，如期完成</w:t>
      </w:r>
      <w:r>
        <w:rPr>
          <w:rFonts w:ascii="仿宋_GB2312" w:eastAsia="仿宋_GB2312" w:hAnsi="黑体"/>
          <w:bCs/>
          <w:kern w:val="0"/>
          <w:sz w:val="32"/>
          <w:szCs w:val="44"/>
        </w:rPr>
        <w:t>“</w:t>
      </w:r>
      <w:r>
        <w:rPr>
          <w:rFonts w:ascii="仿宋_GB2312" w:eastAsia="仿宋_GB2312" w:hAnsi="黑体"/>
          <w:bCs/>
          <w:kern w:val="0"/>
          <w:sz w:val="32"/>
          <w:szCs w:val="44"/>
        </w:rPr>
        <w:t>户脱贫、村退出、县摘帽</w:t>
      </w:r>
      <w:r>
        <w:rPr>
          <w:rFonts w:ascii="仿宋_GB2312" w:eastAsia="仿宋_GB2312" w:hAnsi="黑体" w:hint="eastAsia"/>
          <w:bCs/>
          <w:kern w:val="0"/>
          <w:sz w:val="32"/>
          <w:szCs w:val="44"/>
        </w:rPr>
        <w:t>”</w:t>
      </w:r>
      <w:r>
        <w:rPr>
          <w:rFonts w:ascii="仿宋_GB2312" w:eastAsia="仿宋_GB2312" w:hAnsi="黑体"/>
          <w:bCs/>
          <w:kern w:val="0"/>
          <w:sz w:val="32"/>
          <w:szCs w:val="44"/>
        </w:rPr>
        <w:t>目标任务，贫困发生率从12.3%降至零，实现从基本温饱到吃穿不愁、从交通闭塞到内外联通、从医教不足到全面保障、从产业落后到百业竞兴、从陈规陋习到文明新风的</w:t>
      </w:r>
      <w:r>
        <w:rPr>
          <w:rFonts w:ascii="仿宋_GB2312" w:eastAsia="仿宋_GB2312" w:hAnsi="黑体"/>
          <w:bCs/>
          <w:kern w:val="0"/>
          <w:sz w:val="32"/>
          <w:szCs w:val="44"/>
        </w:rPr>
        <w:t>“</w:t>
      </w:r>
      <w:r>
        <w:rPr>
          <w:rFonts w:ascii="仿宋_GB2312" w:eastAsia="仿宋_GB2312" w:hAnsi="黑体"/>
          <w:bCs/>
          <w:kern w:val="0"/>
          <w:sz w:val="32"/>
          <w:szCs w:val="44"/>
        </w:rPr>
        <w:t>五个巨大变化</w:t>
      </w:r>
      <w:r>
        <w:rPr>
          <w:rFonts w:ascii="仿宋_GB2312" w:eastAsia="仿宋_GB2312" w:hAnsi="黑体"/>
          <w:bCs/>
          <w:kern w:val="0"/>
          <w:sz w:val="32"/>
          <w:szCs w:val="44"/>
        </w:rPr>
        <w:t>”</w:t>
      </w:r>
      <w:r>
        <w:rPr>
          <w:rFonts w:ascii="仿宋_GB2312" w:eastAsia="仿宋_GB2312" w:hAnsi="黑体"/>
          <w:bCs/>
          <w:kern w:val="0"/>
          <w:sz w:val="32"/>
          <w:szCs w:val="44"/>
        </w:rPr>
        <w:t>，成为大小凉山彝区首个高质量摘帽县，连续</w:t>
      </w:r>
      <w:r>
        <w:rPr>
          <w:rFonts w:ascii="仿宋_GB2312" w:eastAsia="仿宋_GB2312" w:hAnsi="黑体" w:hint="eastAsia"/>
          <w:bCs/>
          <w:kern w:val="0"/>
          <w:sz w:val="32"/>
          <w:szCs w:val="44"/>
        </w:rPr>
        <w:t>五</w:t>
      </w:r>
      <w:r>
        <w:rPr>
          <w:rFonts w:ascii="仿宋_GB2312" w:eastAsia="仿宋_GB2312" w:hAnsi="黑体"/>
          <w:bCs/>
          <w:kern w:val="0"/>
          <w:sz w:val="32"/>
          <w:szCs w:val="44"/>
        </w:rPr>
        <w:t>年被评为全省脱贫攻坚先进县。</w:t>
      </w:r>
      <w:r>
        <w:rPr>
          <w:rFonts w:ascii="仿宋_GB2312" w:eastAsia="仿宋_GB2312" w:hAnsi="仿宋_GB2312" w:cs="仿宋_GB2312"/>
          <w:b/>
          <w:kern w:val="0"/>
          <w:sz w:val="32"/>
          <w:szCs w:val="44"/>
        </w:rPr>
        <w:t>产业发展取得</w:t>
      </w:r>
      <w:r>
        <w:rPr>
          <w:rFonts w:ascii="仿宋_GB2312" w:eastAsia="仿宋_GB2312" w:hAnsi="仿宋_GB2312" w:cs="仿宋_GB2312" w:hint="eastAsia"/>
          <w:b/>
          <w:kern w:val="0"/>
          <w:sz w:val="32"/>
          <w:szCs w:val="44"/>
        </w:rPr>
        <w:t>突破性进展</w:t>
      </w:r>
      <w:r>
        <w:rPr>
          <w:rFonts w:ascii="仿宋_GB2312" w:eastAsia="仿宋_GB2312" w:hAnsi="仿宋_GB2312" w:cs="仿宋_GB2312"/>
          <w:b/>
          <w:kern w:val="0"/>
          <w:sz w:val="32"/>
          <w:szCs w:val="44"/>
        </w:rPr>
        <w:t>。</w:t>
      </w:r>
      <w:r>
        <w:rPr>
          <w:rFonts w:ascii="仿宋_GB2312" w:eastAsia="仿宋_GB2312" w:hAnsi="仿宋_GB2312" w:cs="仿宋_GB2312"/>
          <w:bCs/>
          <w:kern w:val="0"/>
          <w:sz w:val="32"/>
          <w:szCs w:val="44"/>
        </w:rPr>
        <w:t>特色优势产业加速发展，</w:t>
      </w:r>
      <w:r>
        <w:rPr>
          <w:rFonts w:ascii="仿宋_GB2312" w:eastAsia="仿宋_GB2312" w:hAnsi="黑体"/>
          <w:bCs/>
          <w:kern w:val="0"/>
          <w:sz w:val="32"/>
          <w:szCs w:val="44"/>
        </w:rPr>
        <w:t>大峡谷成功创建国家AAAA级景区，大瓦山成功创建国家湿地公园，建区以来最大文旅项目</w:t>
      </w:r>
      <w:r>
        <w:rPr>
          <w:rFonts w:ascii="仿宋_GB2312" w:eastAsia="仿宋_GB2312" w:hAnsi="黑体"/>
          <w:bCs/>
          <w:kern w:val="0"/>
          <w:sz w:val="32"/>
          <w:szCs w:val="44"/>
        </w:rPr>
        <w:t>——</w:t>
      </w:r>
      <w:r>
        <w:rPr>
          <w:rFonts w:ascii="仿宋_GB2312" w:eastAsia="仿宋_GB2312" w:hAnsi="黑体"/>
          <w:bCs/>
          <w:kern w:val="0"/>
          <w:sz w:val="32"/>
          <w:szCs w:val="44"/>
        </w:rPr>
        <w:t>总投资</w:t>
      </w:r>
      <w:r>
        <w:rPr>
          <w:rFonts w:ascii="仿宋_GB2312" w:eastAsia="仿宋_GB2312" w:hAnsi="黑体" w:hint="eastAsia"/>
          <w:bCs/>
          <w:kern w:val="0"/>
          <w:sz w:val="32"/>
          <w:szCs w:val="44"/>
        </w:rPr>
        <w:t>45</w:t>
      </w:r>
      <w:r>
        <w:rPr>
          <w:rFonts w:ascii="仿宋_GB2312" w:eastAsia="仿宋_GB2312" w:hAnsi="黑体"/>
          <w:bCs/>
          <w:kern w:val="0"/>
          <w:sz w:val="32"/>
          <w:szCs w:val="44"/>
        </w:rPr>
        <w:t>亿元的</w:t>
      </w:r>
      <w:r>
        <w:rPr>
          <w:rFonts w:ascii="仿宋_GB2312" w:eastAsia="仿宋_GB2312" w:hAnsi="黑体"/>
          <w:bCs/>
          <w:kern w:val="0"/>
          <w:sz w:val="32"/>
          <w:szCs w:val="44"/>
        </w:rPr>
        <w:lastRenderedPageBreak/>
        <w:t>大瓦山旅游开发项目顺利签约落地，红色旅游、民俗旅游、康养旅游等多元旅游业态逐步形成，</w:t>
      </w:r>
      <w:r>
        <w:rPr>
          <w:rFonts w:ascii="仿宋_GB2312" w:eastAsia="仿宋_GB2312" w:hAnsi="黑体" w:hint="eastAsia"/>
          <w:bCs/>
          <w:kern w:val="0"/>
          <w:sz w:val="32"/>
          <w:szCs w:val="44"/>
        </w:rPr>
        <w:t>“</w:t>
      </w:r>
      <w:r>
        <w:rPr>
          <w:rFonts w:ascii="仿宋_GB2312" w:eastAsia="仿宋_GB2312" w:hAnsi="黑体"/>
          <w:bCs/>
          <w:kern w:val="0"/>
          <w:sz w:val="32"/>
          <w:szCs w:val="44"/>
        </w:rPr>
        <w:t>云上大瓦山、最美大峡谷</w:t>
      </w:r>
      <w:r>
        <w:rPr>
          <w:rFonts w:ascii="仿宋_GB2312" w:eastAsia="仿宋_GB2312" w:hAnsi="黑体" w:hint="eastAsia"/>
          <w:bCs/>
          <w:kern w:val="0"/>
          <w:sz w:val="32"/>
          <w:szCs w:val="44"/>
        </w:rPr>
        <w:t>”</w:t>
      </w:r>
      <w:r>
        <w:rPr>
          <w:rFonts w:ascii="仿宋_GB2312" w:eastAsia="仿宋_GB2312" w:hAnsi="黑体"/>
          <w:bCs/>
          <w:kern w:val="0"/>
          <w:sz w:val="32"/>
          <w:szCs w:val="44"/>
        </w:rPr>
        <w:t>全域旅游品牌效应日益凸显；</w:t>
      </w:r>
      <w:r>
        <w:rPr>
          <w:rFonts w:ascii="仿宋_GB2312" w:eastAsia="仿宋_GB2312" w:hAnsi="仿宋"/>
          <w:kern w:val="0"/>
          <w:sz w:val="32"/>
          <w:szCs w:val="32"/>
        </w:rPr>
        <w:t>枕头坝一级水电站建成投用，枕头坝二级、沙坪一级水电站即将开工建设，水电装机总容量即将突破180万千瓦，</w:t>
      </w:r>
      <w:r>
        <w:rPr>
          <w:rFonts w:ascii="仿宋_GB2312" w:eastAsia="仿宋_GB2312" w:hAnsi="仿宋" w:hint="eastAsia"/>
          <w:kern w:val="0"/>
          <w:sz w:val="32"/>
          <w:szCs w:val="32"/>
        </w:rPr>
        <w:t>“电冶结合”发展成效显著，</w:t>
      </w:r>
      <w:r>
        <w:rPr>
          <w:rFonts w:ascii="仿宋_GB2312" w:eastAsia="仿宋_GB2312" w:hAnsi="仿宋"/>
          <w:kern w:val="0"/>
          <w:sz w:val="32"/>
          <w:szCs w:val="32"/>
        </w:rPr>
        <w:t>水电能源综合开发基地建设成效初显；</w:t>
      </w:r>
      <w:r>
        <w:rPr>
          <w:rFonts w:ascii="仿宋_GB2312" w:eastAsia="仿宋_GB2312" w:hAnsi="仿宋" w:hint="eastAsia"/>
          <w:kern w:val="0"/>
          <w:sz w:val="32"/>
          <w:szCs w:val="32"/>
        </w:rPr>
        <w:t>初步</w:t>
      </w:r>
      <w:r>
        <w:rPr>
          <w:rFonts w:ascii="仿宋_GB2312" w:eastAsia="仿宋_GB2312" w:hAnsi="仿宋"/>
          <w:kern w:val="0"/>
          <w:sz w:val="32"/>
          <w:szCs w:val="32"/>
        </w:rPr>
        <w:t>建成特色产业基地5.2万亩，生态食品加工园一期、二期全面竣工，</w:t>
      </w:r>
      <w:r>
        <w:rPr>
          <w:rFonts w:ascii="仿宋_GB2312" w:eastAsia="仿宋_GB2312" w:hAnsi="仿宋"/>
          <w:kern w:val="0"/>
          <w:sz w:val="32"/>
          <w:szCs w:val="32"/>
        </w:rPr>
        <w:t>“</w:t>
      </w:r>
      <w:r>
        <w:rPr>
          <w:rFonts w:ascii="仿宋_GB2312" w:eastAsia="仿宋_GB2312" w:hAnsi="仿宋"/>
          <w:kern w:val="0"/>
          <w:sz w:val="32"/>
          <w:szCs w:val="32"/>
        </w:rPr>
        <w:t>金口金品</w:t>
      </w:r>
      <w:r>
        <w:rPr>
          <w:rFonts w:ascii="仿宋_GB2312" w:eastAsia="仿宋_GB2312" w:hAnsi="仿宋"/>
          <w:kern w:val="0"/>
          <w:sz w:val="32"/>
          <w:szCs w:val="32"/>
        </w:rPr>
        <w:t>”</w:t>
      </w:r>
      <w:r>
        <w:rPr>
          <w:rFonts w:ascii="仿宋_GB2312" w:eastAsia="仿宋_GB2312" w:hAnsi="仿宋"/>
          <w:kern w:val="0"/>
          <w:sz w:val="32"/>
          <w:szCs w:val="32"/>
        </w:rPr>
        <w:t>农特产品走出深山、远销各地。</w:t>
      </w:r>
      <w:r>
        <w:rPr>
          <w:rFonts w:ascii="仿宋_GB2312" w:eastAsia="仿宋_GB2312" w:hAnsi="仿宋_GB2312" w:cs="仿宋_GB2312"/>
          <w:b/>
          <w:kern w:val="0"/>
          <w:sz w:val="32"/>
          <w:szCs w:val="44"/>
        </w:rPr>
        <w:t>交通条件取得根本性</w:t>
      </w:r>
      <w:r>
        <w:rPr>
          <w:rFonts w:ascii="仿宋_GB2312" w:eastAsia="仿宋_GB2312" w:hAnsi="仿宋_GB2312" w:cs="仿宋_GB2312" w:hint="eastAsia"/>
          <w:b/>
          <w:kern w:val="0"/>
          <w:sz w:val="32"/>
          <w:szCs w:val="44"/>
        </w:rPr>
        <w:t>改善</w:t>
      </w:r>
      <w:r>
        <w:rPr>
          <w:rFonts w:ascii="仿宋_GB2312" w:eastAsia="仿宋_GB2312" w:hAnsi="仿宋_GB2312" w:cs="仿宋_GB2312"/>
          <w:b/>
          <w:kern w:val="0"/>
          <w:sz w:val="32"/>
          <w:szCs w:val="44"/>
        </w:rPr>
        <w:t>。</w:t>
      </w:r>
      <w:r>
        <w:rPr>
          <w:rFonts w:ascii="仿宋_GB2312" w:eastAsia="仿宋_GB2312" w:hAnsi="仿宋"/>
          <w:kern w:val="0"/>
          <w:sz w:val="32"/>
          <w:szCs w:val="32"/>
        </w:rPr>
        <w:t>累计完成交通投资57亿元，峨汉高速、成昆复线全速推进，即将开启</w:t>
      </w:r>
      <w:r>
        <w:rPr>
          <w:rFonts w:ascii="仿宋_GB2312" w:eastAsia="仿宋_GB2312" w:hAnsi="仿宋"/>
          <w:kern w:val="0"/>
          <w:sz w:val="32"/>
          <w:szCs w:val="32"/>
        </w:rPr>
        <w:t>“</w:t>
      </w:r>
      <w:r>
        <w:rPr>
          <w:rFonts w:ascii="仿宋_GB2312" w:eastAsia="仿宋_GB2312" w:hAnsi="仿宋"/>
          <w:kern w:val="0"/>
          <w:sz w:val="32"/>
          <w:szCs w:val="32"/>
        </w:rPr>
        <w:t>高速时代</w:t>
      </w:r>
      <w:r>
        <w:rPr>
          <w:rFonts w:ascii="仿宋_GB2312" w:eastAsia="仿宋_GB2312" w:hAnsi="仿宋"/>
          <w:kern w:val="0"/>
          <w:sz w:val="32"/>
          <w:szCs w:val="32"/>
        </w:rPr>
        <w:t>”“</w:t>
      </w:r>
      <w:r>
        <w:rPr>
          <w:rFonts w:ascii="仿宋_GB2312" w:eastAsia="仿宋_GB2312" w:hAnsi="仿宋"/>
          <w:kern w:val="0"/>
          <w:sz w:val="32"/>
          <w:szCs w:val="32"/>
        </w:rPr>
        <w:t>高铁时代</w:t>
      </w:r>
      <w:r>
        <w:rPr>
          <w:rFonts w:ascii="仿宋_GB2312" w:eastAsia="仿宋_GB2312" w:hAnsi="仿宋"/>
          <w:kern w:val="0"/>
          <w:sz w:val="32"/>
          <w:szCs w:val="32"/>
        </w:rPr>
        <w:t>”</w:t>
      </w:r>
      <w:r>
        <w:rPr>
          <w:rFonts w:ascii="仿宋_GB2312" w:eastAsia="仿宋_GB2312" w:hAnsi="仿宋"/>
          <w:kern w:val="0"/>
          <w:sz w:val="32"/>
          <w:szCs w:val="32"/>
        </w:rPr>
        <w:t>，全面融入</w:t>
      </w:r>
      <w:r>
        <w:rPr>
          <w:rFonts w:ascii="仿宋_GB2312" w:eastAsia="仿宋_GB2312" w:hAnsi="仿宋"/>
          <w:kern w:val="0"/>
          <w:sz w:val="32"/>
          <w:szCs w:val="32"/>
        </w:rPr>
        <w:t>“</w:t>
      </w:r>
      <w:r>
        <w:rPr>
          <w:rFonts w:ascii="仿宋_GB2312" w:eastAsia="仿宋_GB2312" w:hAnsi="仿宋"/>
          <w:kern w:val="0"/>
          <w:sz w:val="32"/>
          <w:szCs w:val="32"/>
        </w:rPr>
        <w:t>乐山一小时经济圈</w:t>
      </w:r>
      <w:r>
        <w:rPr>
          <w:rFonts w:ascii="仿宋_GB2312" w:eastAsia="仿宋_GB2312" w:hAnsi="仿宋"/>
          <w:kern w:val="0"/>
          <w:sz w:val="32"/>
          <w:szCs w:val="32"/>
        </w:rPr>
        <w:t>”“</w:t>
      </w:r>
      <w:r>
        <w:rPr>
          <w:rFonts w:ascii="仿宋_GB2312" w:eastAsia="仿宋_GB2312" w:hAnsi="仿宋"/>
          <w:kern w:val="0"/>
          <w:sz w:val="32"/>
          <w:szCs w:val="32"/>
        </w:rPr>
        <w:t>成都两小时经济圈</w:t>
      </w:r>
      <w:r>
        <w:rPr>
          <w:rFonts w:ascii="仿宋_GB2312" w:eastAsia="仿宋_GB2312" w:hAnsi="仿宋"/>
          <w:kern w:val="0"/>
          <w:sz w:val="32"/>
          <w:szCs w:val="32"/>
        </w:rPr>
        <w:t>”</w:t>
      </w:r>
      <w:r>
        <w:rPr>
          <w:rFonts w:ascii="仿宋_GB2312" w:eastAsia="仿宋_GB2312" w:hAnsi="仿宋"/>
          <w:kern w:val="0"/>
          <w:sz w:val="32"/>
          <w:szCs w:val="32"/>
        </w:rPr>
        <w:t>。完成交通道路建设338公里，通村、通组公路实现100%硬化，大瓦山旅游环线、大渡河二桥等项目加快推进，交通运输投放力度和运输服务能力得到大幅提升，成功评为全省第三批</w:t>
      </w:r>
      <w:r>
        <w:rPr>
          <w:rFonts w:ascii="仿宋_GB2312" w:eastAsia="仿宋_GB2312" w:hAnsi="仿宋"/>
          <w:kern w:val="0"/>
          <w:sz w:val="32"/>
          <w:szCs w:val="32"/>
        </w:rPr>
        <w:t>“</w:t>
      </w:r>
      <w:r>
        <w:rPr>
          <w:rFonts w:ascii="仿宋_GB2312" w:eastAsia="仿宋_GB2312" w:hAnsi="仿宋"/>
          <w:kern w:val="0"/>
          <w:sz w:val="32"/>
          <w:szCs w:val="32"/>
        </w:rPr>
        <w:t>四好农村路</w:t>
      </w:r>
      <w:r>
        <w:rPr>
          <w:rFonts w:ascii="仿宋_GB2312" w:eastAsia="仿宋_GB2312" w:hAnsi="仿宋"/>
          <w:kern w:val="0"/>
          <w:sz w:val="32"/>
          <w:szCs w:val="32"/>
        </w:rPr>
        <w:t>”</w:t>
      </w:r>
      <w:r>
        <w:rPr>
          <w:rFonts w:ascii="仿宋_GB2312" w:eastAsia="仿宋_GB2312" w:hAnsi="仿宋"/>
          <w:kern w:val="0"/>
          <w:sz w:val="32"/>
          <w:szCs w:val="32"/>
        </w:rPr>
        <w:t>示范县。</w:t>
      </w:r>
      <w:r>
        <w:rPr>
          <w:rFonts w:ascii="仿宋_GB2312" w:eastAsia="仿宋_GB2312" w:hAnsi="仿宋_GB2312" w:cs="仿宋_GB2312"/>
          <w:b/>
          <w:kern w:val="0"/>
          <w:sz w:val="32"/>
          <w:szCs w:val="44"/>
        </w:rPr>
        <w:t>城乡建设取得</w:t>
      </w:r>
      <w:r>
        <w:rPr>
          <w:rFonts w:ascii="仿宋_GB2312" w:eastAsia="仿宋_GB2312" w:hAnsi="仿宋_GB2312" w:cs="仿宋_GB2312" w:hint="eastAsia"/>
          <w:b/>
          <w:kern w:val="0"/>
          <w:sz w:val="32"/>
          <w:szCs w:val="44"/>
        </w:rPr>
        <w:t>阶段性成绩</w:t>
      </w:r>
      <w:r>
        <w:rPr>
          <w:rFonts w:ascii="仿宋_GB2312" w:eastAsia="仿宋_GB2312" w:hAnsi="仿宋_GB2312" w:cs="仿宋_GB2312"/>
          <w:b/>
          <w:kern w:val="0"/>
          <w:sz w:val="32"/>
          <w:szCs w:val="44"/>
        </w:rPr>
        <w:t>。</w:t>
      </w:r>
      <w:r>
        <w:rPr>
          <w:rFonts w:ascii="仿宋_GB2312" w:eastAsia="仿宋_GB2312" w:hAnsi="仿宋"/>
          <w:kern w:val="0"/>
          <w:sz w:val="32"/>
          <w:szCs w:val="32"/>
        </w:rPr>
        <w:t>累计完成城市建设投资8.5亿元</w:t>
      </w:r>
      <w:r>
        <w:rPr>
          <w:rFonts w:ascii="仿宋_GB2312" w:eastAsia="仿宋_GB2312" w:hAnsi="仿宋" w:hint="eastAsia"/>
          <w:kern w:val="0"/>
          <w:sz w:val="32"/>
          <w:szCs w:val="32"/>
        </w:rPr>
        <w:t>。</w:t>
      </w:r>
      <w:r>
        <w:rPr>
          <w:rFonts w:ascii="仿宋_GB2312" w:eastAsia="仿宋_GB2312" w:hAnsi="仿宋"/>
          <w:kern w:val="0"/>
          <w:sz w:val="32"/>
          <w:szCs w:val="32"/>
        </w:rPr>
        <w:t>新建公共租赁住房100套，</w:t>
      </w:r>
      <w:r>
        <w:rPr>
          <w:rFonts w:ascii="仿宋_GB2312" w:eastAsia="仿宋_GB2312" w:hAnsi="仿宋" w:hint="eastAsia"/>
          <w:kern w:val="0"/>
          <w:sz w:val="32"/>
          <w:szCs w:val="32"/>
        </w:rPr>
        <w:t>缓解</w:t>
      </w:r>
      <w:r>
        <w:rPr>
          <w:rFonts w:ascii="仿宋_GB2312" w:eastAsia="仿宋_GB2312" w:hAnsi="仿宋"/>
          <w:kern w:val="0"/>
          <w:sz w:val="32"/>
          <w:szCs w:val="32"/>
        </w:rPr>
        <w:t>城镇低收入群体以及进城务工</w:t>
      </w:r>
      <w:r>
        <w:rPr>
          <w:rFonts w:ascii="仿宋_GB2312" w:eastAsia="仿宋_GB2312" w:hAnsi="仿宋" w:hint="eastAsia"/>
          <w:kern w:val="0"/>
          <w:sz w:val="32"/>
          <w:szCs w:val="32"/>
        </w:rPr>
        <w:t>群体</w:t>
      </w:r>
      <w:r>
        <w:rPr>
          <w:rFonts w:ascii="仿宋_GB2312" w:eastAsia="仿宋_GB2312" w:hAnsi="仿宋"/>
          <w:kern w:val="0"/>
          <w:sz w:val="32"/>
          <w:szCs w:val="32"/>
        </w:rPr>
        <w:t>住房困难</w:t>
      </w:r>
      <w:r>
        <w:rPr>
          <w:rFonts w:ascii="仿宋_GB2312" w:eastAsia="仿宋_GB2312" w:hAnsi="仿宋" w:hint="eastAsia"/>
          <w:kern w:val="0"/>
          <w:sz w:val="32"/>
          <w:szCs w:val="32"/>
        </w:rPr>
        <w:t>等</w:t>
      </w:r>
      <w:r>
        <w:rPr>
          <w:rFonts w:ascii="仿宋_GB2312" w:eastAsia="仿宋_GB2312" w:hAnsi="仿宋"/>
          <w:kern w:val="0"/>
          <w:sz w:val="32"/>
          <w:szCs w:val="32"/>
        </w:rPr>
        <w:t>问题</w:t>
      </w:r>
      <w:r>
        <w:rPr>
          <w:rFonts w:ascii="仿宋_GB2312" w:eastAsia="仿宋_GB2312" w:hAnsi="仿宋" w:hint="eastAsia"/>
          <w:kern w:val="0"/>
          <w:sz w:val="32"/>
          <w:szCs w:val="32"/>
        </w:rPr>
        <w:t>。</w:t>
      </w:r>
      <w:r>
        <w:rPr>
          <w:rFonts w:ascii="仿宋_GB2312" w:eastAsia="仿宋_GB2312" w:hAnsi="仿宋"/>
          <w:kern w:val="0"/>
          <w:sz w:val="32"/>
          <w:szCs w:val="32"/>
        </w:rPr>
        <w:t>滨河路特色街区、红华老旧小区改造、金韵广场等一批标志性惠民工程</w:t>
      </w:r>
      <w:r>
        <w:rPr>
          <w:rFonts w:ascii="仿宋_GB2312" w:eastAsia="仿宋_GB2312" w:hAnsi="仿宋" w:hint="eastAsia"/>
          <w:kern w:val="0"/>
          <w:sz w:val="32"/>
          <w:szCs w:val="32"/>
        </w:rPr>
        <w:t>顺利完成</w:t>
      </w:r>
      <w:r>
        <w:rPr>
          <w:rFonts w:ascii="仿宋_GB2312" w:eastAsia="仿宋_GB2312" w:hAnsi="仿宋"/>
          <w:kern w:val="0"/>
          <w:sz w:val="32"/>
          <w:szCs w:val="32"/>
        </w:rPr>
        <w:t>，全区城镇化率达49.6%，城市绿化率达37%。</w:t>
      </w:r>
      <w:r>
        <w:rPr>
          <w:rFonts w:ascii="仿宋_GB2312" w:eastAsia="仿宋_GB2312" w:hAnsi="仿宋" w:hint="eastAsia"/>
          <w:kern w:val="0"/>
          <w:sz w:val="32"/>
          <w:szCs w:val="32"/>
        </w:rPr>
        <w:t>实施彝家新寨、易地扶贫搬迁项目，新建桠溪、曙光村、金星村、建设村等集中安置点17个，彻底改造1702户4865人住房。</w:t>
      </w:r>
      <w:r>
        <w:rPr>
          <w:rFonts w:ascii="仿宋_GB2312" w:eastAsia="仿宋_GB2312" w:hAnsi="仿宋"/>
          <w:kern w:val="0"/>
          <w:sz w:val="32"/>
          <w:szCs w:val="32"/>
        </w:rPr>
        <w:t>成功打造</w:t>
      </w:r>
      <w:r>
        <w:rPr>
          <w:rFonts w:ascii="仿宋_GB2312" w:eastAsia="仿宋_GB2312" w:hAnsi="仿宋"/>
          <w:kern w:val="0"/>
          <w:sz w:val="32"/>
          <w:szCs w:val="32"/>
        </w:rPr>
        <w:t>“</w:t>
      </w:r>
      <w:r>
        <w:rPr>
          <w:rFonts w:ascii="仿宋_GB2312" w:eastAsia="仿宋_GB2312" w:hAnsi="仿宋"/>
          <w:kern w:val="0"/>
          <w:sz w:val="32"/>
          <w:szCs w:val="32"/>
        </w:rPr>
        <w:t>花漾安居</w:t>
      </w:r>
      <w:r>
        <w:rPr>
          <w:rFonts w:ascii="仿宋_GB2312" w:eastAsia="仿宋_GB2312" w:hAnsi="仿宋"/>
          <w:kern w:val="0"/>
          <w:sz w:val="32"/>
          <w:szCs w:val="32"/>
        </w:rPr>
        <w:t>”</w:t>
      </w:r>
      <w:r>
        <w:rPr>
          <w:rFonts w:ascii="仿宋_GB2312" w:eastAsia="仿宋_GB2312" w:hAnsi="仿宋"/>
          <w:kern w:val="0"/>
          <w:sz w:val="32"/>
          <w:szCs w:val="32"/>
        </w:rPr>
        <w:t>顺河村等美丽宜居乡村26个，林丰村等5个村入选</w:t>
      </w:r>
      <w:r>
        <w:rPr>
          <w:rFonts w:ascii="仿宋_GB2312" w:eastAsia="仿宋_GB2312" w:hAnsi="仿宋"/>
          <w:kern w:val="0"/>
          <w:sz w:val="32"/>
          <w:szCs w:val="32"/>
        </w:rPr>
        <w:t>“</w:t>
      </w:r>
      <w:r>
        <w:rPr>
          <w:rFonts w:ascii="仿宋_GB2312" w:eastAsia="仿宋_GB2312" w:hAnsi="仿宋"/>
          <w:kern w:val="0"/>
          <w:sz w:val="32"/>
          <w:szCs w:val="32"/>
        </w:rPr>
        <w:t>中国少数民族特色村寨</w:t>
      </w:r>
      <w:r>
        <w:rPr>
          <w:rFonts w:ascii="仿宋_GB2312" w:eastAsia="仿宋_GB2312" w:hAnsi="仿宋"/>
          <w:kern w:val="0"/>
          <w:sz w:val="32"/>
          <w:szCs w:val="32"/>
        </w:rPr>
        <w:t>”</w:t>
      </w:r>
      <w:r>
        <w:rPr>
          <w:rFonts w:ascii="仿宋_GB2312" w:eastAsia="仿宋_GB2312" w:hAnsi="仿宋"/>
          <w:kern w:val="0"/>
          <w:sz w:val="32"/>
          <w:szCs w:val="32"/>
        </w:rPr>
        <w:t>，曙光村连续两年被评为全省乡村振兴示范村，胜利村被命名为国家森林乡</w:t>
      </w:r>
      <w:r>
        <w:rPr>
          <w:rFonts w:ascii="仿宋_GB2312" w:eastAsia="仿宋_GB2312" w:hAnsi="仿宋"/>
          <w:kern w:val="0"/>
          <w:sz w:val="32"/>
          <w:szCs w:val="32"/>
        </w:rPr>
        <w:lastRenderedPageBreak/>
        <w:t>村、成功入选全省乡村旅游重点村。</w:t>
      </w:r>
      <w:r>
        <w:rPr>
          <w:rFonts w:ascii="仿宋_GB2312" w:eastAsia="仿宋_GB2312" w:hAnsi="仿宋_GB2312" w:cs="仿宋_GB2312"/>
          <w:b/>
          <w:kern w:val="0"/>
          <w:sz w:val="32"/>
          <w:szCs w:val="44"/>
        </w:rPr>
        <w:t>生态建设取得</w:t>
      </w:r>
      <w:r>
        <w:rPr>
          <w:rFonts w:ascii="仿宋_GB2312" w:eastAsia="仿宋_GB2312" w:hAnsi="仿宋_GB2312" w:cs="仿宋_GB2312" w:hint="eastAsia"/>
          <w:b/>
          <w:kern w:val="0"/>
          <w:sz w:val="32"/>
          <w:szCs w:val="44"/>
        </w:rPr>
        <w:t>持续性成效</w:t>
      </w:r>
      <w:r>
        <w:rPr>
          <w:rFonts w:ascii="仿宋_GB2312" w:eastAsia="仿宋_GB2312" w:hAnsi="仿宋_GB2312" w:cs="仿宋_GB2312"/>
          <w:b/>
          <w:kern w:val="0"/>
          <w:sz w:val="32"/>
          <w:szCs w:val="44"/>
        </w:rPr>
        <w:t>。</w:t>
      </w:r>
      <w:r>
        <w:rPr>
          <w:rFonts w:ascii="仿宋_GB2312" w:eastAsia="仿宋_GB2312" w:hAnsi="仿宋"/>
          <w:kern w:val="0"/>
          <w:sz w:val="32"/>
          <w:szCs w:val="32"/>
        </w:rPr>
        <w:t>聚焦国家生态文明建设示范区目标，持续打好污染防治</w:t>
      </w:r>
      <w:r>
        <w:rPr>
          <w:rFonts w:ascii="仿宋_GB2312" w:eastAsia="仿宋_GB2312" w:hAnsi="仿宋"/>
          <w:kern w:val="0"/>
          <w:sz w:val="32"/>
          <w:szCs w:val="32"/>
        </w:rPr>
        <w:t>“</w:t>
      </w:r>
      <w:r>
        <w:rPr>
          <w:rFonts w:ascii="仿宋_GB2312" w:eastAsia="仿宋_GB2312" w:hAnsi="仿宋"/>
          <w:kern w:val="0"/>
          <w:sz w:val="32"/>
          <w:szCs w:val="32"/>
        </w:rPr>
        <w:t>八大战役</w:t>
      </w:r>
      <w:r>
        <w:rPr>
          <w:rFonts w:ascii="仿宋_GB2312" w:eastAsia="仿宋_GB2312" w:hAnsi="仿宋"/>
          <w:kern w:val="0"/>
          <w:sz w:val="32"/>
          <w:szCs w:val="32"/>
        </w:rPr>
        <w:t>”</w:t>
      </w:r>
      <w:r>
        <w:rPr>
          <w:rFonts w:ascii="仿宋_GB2312" w:eastAsia="仿宋_GB2312" w:hAnsi="仿宋"/>
          <w:kern w:val="0"/>
          <w:sz w:val="32"/>
          <w:szCs w:val="32"/>
        </w:rPr>
        <w:t>，深入推进</w:t>
      </w:r>
      <w:r>
        <w:rPr>
          <w:rFonts w:ascii="仿宋_GB2312" w:eastAsia="仿宋_GB2312" w:hAnsi="仿宋"/>
          <w:kern w:val="0"/>
          <w:sz w:val="32"/>
          <w:szCs w:val="32"/>
        </w:rPr>
        <w:t>“</w:t>
      </w:r>
      <w:r>
        <w:rPr>
          <w:rFonts w:ascii="仿宋_GB2312" w:eastAsia="仿宋_GB2312" w:hAnsi="仿宋"/>
          <w:kern w:val="0"/>
          <w:sz w:val="32"/>
          <w:szCs w:val="32"/>
        </w:rPr>
        <w:t>绿秀嘉州</w:t>
      </w:r>
      <w:r>
        <w:rPr>
          <w:rFonts w:ascii="仿宋_GB2312" w:eastAsia="仿宋_GB2312" w:hAnsi="仿宋"/>
          <w:kern w:val="0"/>
          <w:sz w:val="32"/>
          <w:szCs w:val="32"/>
        </w:rPr>
        <w:t>·</w:t>
      </w:r>
      <w:r>
        <w:rPr>
          <w:rFonts w:ascii="仿宋_GB2312" w:eastAsia="仿宋_GB2312" w:hAnsi="仿宋"/>
          <w:kern w:val="0"/>
          <w:sz w:val="32"/>
          <w:szCs w:val="32"/>
        </w:rPr>
        <w:t>多彩金口河</w:t>
      </w:r>
      <w:r>
        <w:rPr>
          <w:rFonts w:ascii="仿宋_GB2312" w:eastAsia="仿宋_GB2312" w:hAnsi="仿宋"/>
          <w:kern w:val="0"/>
          <w:sz w:val="32"/>
          <w:szCs w:val="32"/>
        </w:rPr>
        <w:t>”</w:t>
      </w:r>
      <w:r>
        <w:rPr>
          <w:rFonts w:ascii="仿宋_GB2312" w:eastAsia="仿宋_GB2312" w:hAnsi="仿宋"/>
          <w:kern w:val="0"/>
          <w:sz w:val="32"/>
          <w:szCs w:val="32"/>
        </w:rPr>
        <w:t>行动，全区空气质量优良天数逐年上升，森林覆盖率提升至64.92%，大渡河出入境断面水质常年达到并优于</w:t>
      </w:r>
      <w:r>
        <w:rPr>
          <w:rFonts w:ascii="仿宋_GB2312" w:eastAsia="仿宋_GB2312" w:hAnsi="仿宋"/>
          <w:kern w:val="0"/>
          <w:sz w:val="32"/>
          <w:szCs w:val="32"/>
        </w:rPr>
        <w:t>Ⅱ</w:t>
      </w:r>
      <w:r>
        <w:rPr>
          <w:rFonts w:ascii="仿宋_GB2312" w:eastAsia="仿宋_GB2312" w:hAnsi="仿宋"/>
          <w:kern w:val="0"/>
          <w:sz w:val="32"/>
          <w:szCs w:val="32"/>
        </w:rPr>
        <w:t>类，绿色成为金口河最靓的名片和永久的底色。</w:t>
      </w:r>
      <w:r>
        <w:rPr>
          <w:rFonts w:ascii="仿宋_GB2312" w:eastAsia="仿宋_GB2312" w:hAnsi="仿宋_GB2312" w:cs="仿宋_GB2312"/>
          <w:b/>
          <w:kern w:val="0"/>
          <w:sz w:val="32"/>
          <w:szCs w:val="44"/>
        </w:rPr>
        <w:t>社会事业取得全面性</w:t>
      </w:r>
      <w:r>
        <w:rPr>
          <w:rFonts w:ascii="仿宋_GB2312" w:eastAsia="仿宋_GB2312" w:hAnsi="仿宋_GB2312" w:cs="仿宋_GB2312" w:hint="eastAsia"/>
          <w:b/>
          <w:kern w:val="0"/>
          <w:sz w:val="32"/>
          <w:szCs w:val="44"/>
        </w:rPr>
        <w:t>进步</w:t>
      </w:r>
      <w:r>
        <w:rPr>
          <w:rFonts w:ascii="仿宋_GB2312" w:eastAsia="仿宋_GB2312" w:hAnsi="仿宋_GB2312" w:cs="仿宋_GB2312"/>
          <w:b/>
          <w:kern w:val="0"/>
          <w:sz w:val="32"/>
          <w:szCs w:val="44"/>
        </w:rPr>
        <w:t>。</w:t>
      </w:r>
      <w:r>
        <w:rPr>
          <w:rFonts w:ascii="仿宋_GB2312" w:eastAsia="仿宋_GB2312" w:hAnsi="仿宋"/>
          <w:kern w:val="0"/>
          <w:sz w:val="32"/>
          <w:szCs w:val="32"/>
        </w:rPr>
        <w:t>致力解决群众急难愁盼问题，文化教育、医疗卫生、就业创业等民生</w:t>
      </w:r>
      <w:r>
        <w:rPr>
          <w:rFonts w:ascii="仿宋_GB2312" w:eastAsia="仿宋_GB2312" w:hAnsi="仿宋" w:hint="eastAsia"/>
          <w:kern w:val="0"/>
          <w:sz w:val="32"/>
          <w:szCs w:val="32"/>
        </w:rPr>
        <w:t>发展</w:t>
      </w:r>
      <w:r>
        <w:rPr>
          <w:rFonts w:ascii="仿宋_GB2312" w:eastAsia="仿宋_GB2312" w:hAnsi="仿宋"/>
          <w:kern w:val="0"/>
          <w:sz w:val="32"/>
          <w:szCs w:val="32"/>
        </w:rPr>
        <w:t>成效显著，城乡居民人均可支配收入大幅提升，年均民生支出占财政支出比例达73%以上，</w:t>
      </w:r>
      <w:r>
        <w:rPr>
          <w:rFonts w:ascii="仿宋_GB2312" w:eastAsia="仿宋_GB2312" w:hAnsi="Times New Roman" w:hint="eastAsia"/>
          <w:kern w:val="0"/>
          <w:sz w:val="32"/>
          <w:szCs w:val="32"/>
          <w:shd w:val="clear" w:color="auto" w:fill="FFFFFF"/>
        </w:rPr>
        <w:t>巡回法庭、未检工作室、“峡谷情</w:t>
      </w:r>
      <w:r>
        <w:rPr>
          <w:rFonts w:ascii="仿宋_GB2312" w:eastAsia="仿宋_GB2312" w:hAnsi="Times New Roman" w:hint="cs"/>
          <w:kern w:val="0"/>
          <w:sz w:val="32"/>
          <w:szCs w:val="32"/>
          <w:shd w:val="clear" w:color="auto" w:fill="FFFFFF"/>
        </w:rPr>
        <w:t>·</w:t>
      </w:r>
      <w:r>
        <w:rPr>
          <w:rFonts w:ascii="仿宋_GB2312" w:eastAsia="仿宋_GB2312" w:hAnsi="Times New Roman" w:hint="eastAsia"/>
          <w:kern w:val="0"/>
          <w:sz w:val="32"/>
          <w:szCs w:val="32"/>
          <w:shd w:val="clear" w:color="auto" w:fill="FFFFFF"/>
        </w:rPr>
        <w:t>心连心”服务平台等工作创新获得一致好评，人民群众获得感幸福感安全感更加充实、更有保障、更可持续。</w:t>
      </w:r>
      <w:r>
        <w:rPr>
          <w:rFonts w:ascii="仿宋_GB2312" w:eastAsia="仿宋_GB2312" w:hAnsi="仿宋_GB2312" w:cs="仿宋_GB2312"/>
          <w:b/>
          <w:kern w:val="0"/>
          <w:sz w:val="32"/>
          <w:szCs w:val="44"/>
        </w:rPr>
        <w:t>全面从严治党取得战略性成果。</w:t>
      </w:r>
      <w:r>
        <w:rPr>
          <w:rFonts w:ascii="仿宋_GB2312" w:eastAsia="仿宋_GB2312" w:hAnsi="仿宋"/>
          <w:kern w:val="0"/>
          <w:sz w:val="32"/>
          <w:szCs w:val="32"/>
        </w:rPr>
        <w:t>创新党员亮身、召回管理、阳光问政等工作，政治生态</w:t>
      </w:r>
      <w:r>
        <w:rPr>
          <w:rFonts w:ascii="仿宋_GB2312" w:eastAsia="仿宋_GB2312" w:hAnsi="仿宋"/>
          <w:kern w:val="0"/>
          <w:sz w:val="32"/>
          <w:szCs w:val="32"/>
        </w:rPr>
        <w:t>“</w:t>
      </w:r>
      <w:r>
        <w:rPr>
          <w:rFonts w:ascii="仿宋_GB2312" w:eastAsia="仿宋_GB2312" w:hAnsi="仿宋"/>
          <w:kern w:val="0"/>
          <w:sz w:val="32"/>
          <w:szCs w:val="32"/>
        </w:rPr>
        <w:t>两个体系</w:t>
      </w:r>
      <w:r>
        <w:rPr>
          <w:rFonts w:ascii="仿宋_GB2312" w:eastAsia="仿宋_GB2312" w:hAnsi="仿宋"/>
          <w:kern w:val="0"/>
          <w:sz w:val="32"/>
          <w:szCs w:val="32"/>
        </w:rPr>
        <w:t>”</w:t>
      </w:r>
      <w:r>
        <w:rPr>
          <w:rFonts w:ascii="仿宋_GB2312" w:eastAsia="仿宋_GB2312" w:hAnsi="仿宋"/>
          <w:kern w:val="0"/>
          <w:sz w:val="32"/>
          <w:szCs w:val="32"/>
        </w:rPr>
        <w:t>建设纵深推进，基层战斗堡垒</w:t>
      </w:r>
      <w:r>
        <w:rPr>
          <w:rFonts w:ascii="仿宋_GB2312" w:eastAsia="仿宋_GB2312" w:hAnsi="仿宋" w:hint="eastAsia"/>
          <w:kern w:val="0"/>
          <w:sz w:val="32"/>
          <w:szCs w:val="32"/>
        </w:rPr>
        <w:t>筑牢筑强</w:t>
      </w:r>
      <w:r>
        <w:rPr>
          <w:rFonts w:ascii="仿宋_GB2312" w:eastAsia="仿宋_GB2312" w:hAnsi="仿宋"/>
          <w:kern w:val="0"/>
          <w:sz w:val="32"/>
          <w:szCs w:val="32"/>
        </w:rPr>
        <w:t>，干部队伍和党风廉政建设全面过硬，政治生态持续净化。</w:t>
      </w:r>
      <w:r>
        <w:rPr>
          <w:rFonts w:ascii="仿宋_GB2312" w:eastAsia="仿宋_GB2312" w:hAnsi="Times New Roman" w:hint="eastAsia"/>
          <w:kern w:val="0"/>
          <w:sz w:val="32"/>
          <w:szCs w:val="32"/>
          <w:shd w:val="clear" w:color="auto" w:fill="FFFFFF"/>
        </w:rPr>
        <w:t>五年来攻坚克难、砥砺奋进，“十三五”规划执行情况总体良好，金口河即将与全国、全省、全市同步全面建成小康社会，全区经济社会发展站上了新的历史起点。</w:t>
      </w:r>
    </w:p>
    <w:p w:rsidR="00E35214" w:rsidRDefault="006F7231">
      <w:pPr>
        <w:snapToGrid w:val="0"/>
        <w:spacing w:line="580" w:lineRule="exact"/>
        <w:ind w:firstLineChars="200" w:firstLine="640"/>
        <w:jc w:val="left"/>
        <w:textAlignment w:val="baseline"/>
        <w:rPr>
          <w:rFonts w:ascii="仿宋" w:eastAsia="仿宋" w:hAnsi="仿宋" w:cs="仿宋"/>
          <w:kern w:val="0"/>
          <w:sz w:val="32"/>
          <w:szCs w:val="32"/>
          <w:shd w:val="clear" w:color="auto" w:fill="FFFFFF"/>
        </w:rPr>
      </w:pPr>
      <w:r>
        <w:rPr>
          <w:rFonts w:ascii="仿宋" w:eastAsia="仿宋" w:hAnsi="仿宋" w:cs="仿宋" w:hint="eastAsia"/>
          <w:kern w:val="0"/>
          <w:sz w:val="32"/>
          <w:szCs w:val="32"/>
          <w:shd w:val="clear" w:color="auto" w:fill="FFFFFF"/>
        </w:rPr>
        <w:t>区第九次党代会以来，我区主动融入全国、全省、全市发展格局，以“小区”大作为、“老区”新作为的奋斗姿态，紧扣“绿色崛起、美丽发展”主题，坚持“干在实处、走在前列”工作取向，形成“1168</w:t>
      </w:r>
      <w:r>
        <w:rPr>
          <w:rFonts w:ascii="仿宋" w:eastAsia="仿宋" w:hAnsi="仿宋" w:cs="仿宋"/>
          <w:kern w:val="0"/>
          <w:sz w:val="32"/>
          <w:szCs w:val="32"/>
          <w:shd w:val="clear" w:color="auto" w:fill="FFFFFF"/>
        </w:rPr>
        <w:t>”发展思路，</w:t>
      </w:r>
      <w:r>
        <w:rPr>
          <w:rFonts w:ascii="仿宋" w:eastAsia="仿宋" w:hAnsi="仿宋" w:cs="仿宋" w:hint="eastAsia"/>
          <w:kern w:val="0"/>
          <w:sz w:val="32"/>
          <w:szCs w:val="32"/>
          <w:shd w:val="clear" w:color="auto" w:fill="FFFFFF"/>
        </w:rPr>
        <w:t>立足发展基础和条件，突出区域特色和资源比较优势，</w:t>
      </w:r>
      <w:r>
        <w:rPr>
          <w:rFonts w:ascii="仿宋" w:eastAsia="仿宋" w:hAnsi="仿宋" w:cs="仿宋"/>
          <w:kern w:val="0"/>
          <w:sz w:val="32"/>
          <w:szCs w:val="32"/>
          <w:shd w:val="clear" w:color="auto" w:fill="FFFFFF"/>
        </w:rPr>
        <w:t>走出了一条绿色转型、美丽发展、跨越提升的新路子，乘</w:t>
      </w:r>
      <w:r>
        <w:rPr>
          <w:rFonts w:ascii="仿宋" w:eastAsia="仿宋" w:hAnsi="仿宋" w:cs="仿宋" w:hint="eastAsia"/>
          <w:kern w:val="0"/>
          <w:sz w:val="32"/>
          <w:szCs w:val="32"/>
          <w:shd w:val="clear" w:color="auto" w:fill="FFFFFF"/>
        </w:rPr>
        <w:t>势而上开启全面建设社会</w:t>
      </w:r>
      <w:r>
        <w:rPr>
          <w:rFonts w:ascii="仿宋" w:eastAsia="仿宋" w:hAnsi="仿宋" w:cs="仿宋" w:hint="eastAsia"/>
          <w:kern w:val="0"/>
          <w:sz w:val="32"/>
          <w:szCs w:val="32"/>
          <w:shd w:val="clear" w:color="auto" w:fill="FFFFFF"/>
        </w:rPr>
        <w:lastRenderedPageBreak/>
        <w:t>主义现代化金口河新征程奠定了坚实基础。</w:t>
      </w:r>
    </w:p>
    <w:p w:rsidR="00E35214" w:rsidRDefault="006F7231">
      <w:pPr>
        <w:snapToGrid w:val="0"/>
        <w:spacing w:line="600" w:lineRule="exact"/>
        <w:jc w:val="center"/>
        <w:textAlignment w:val="baseline"/>
        <w:rPr>
          <w:rFonts w:ascii="楷体" w:eastAsia="楷体" w:hAnsi="楷体" w:cs="楷体"/>
          <w:b/>
          <w:sz w:val="28"/>
        </w:rPr>
      </w:pPr>
      <w:bookmarkStart w:id="20" w:name="_Toc24637"/>
      <w:bookmarkStart w:id="21" w:name="_Toc1879"/>
      <w:bookmarkStart w:id="22" w:name="_Toc18601"/>
      <w:bookmarkStart w:id="23" w:name="_Toc1523"/>
      <w:bookmarkStart w:id="24" w:name="_Toc21794"/>
      <w:bookmarkStart w:id="25" w:name="_Toc6021"/>
      <w:bookmarkStart w:id="26" w:name="_Toc11393"/>
      <w:bookmarkStart w:id="27" w:name="_Toc24765"/>
      <w:r>
        <w:rPr>
          <w:rFonts w:ascii="楷体" w:eastAsia="楷体" w:hAnsi="楷体" w:cs="楷体" w:hint="eastAsia"/>
          <w:b/>
          <w:sz w:val="28"/>
        </w:rPr>
        <w:t>专栏1 “十三五”期间经济社会发展的主要目标</w:t>
      </w:r>
    </w:p>
    <w:tbl>
      <w:tblPr>
        <w:tblW w:w="87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83"/>
        <w:gridCol w:w="3262"/>
        <w:gridCol w:w="974"/>
        <w:gridCol w:w="1320"/>
        <w:gridCol w:w="1676"/>
        <w:gridCol w:w="1034"/>
      </w:tblGrid>
      <w:tr w:rsidR="00E35214">
        <w:trPr>
          <w:trHeight w:val="474"/>
          <w:tblHeader/>
          <w:jc w:val="center"/>
        </w:trPr>
        <w:tc>
          <w:tcPr>
            <w:tcW w:w="3745" w:type="dxa"/>
            <w:gridSpan w:val="2"/>
            <w:tcBorders>
              <w:top w:val="single" w:sz="8"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b/>
                <w:kern w:val="0"/>
                <w:sz w:val="24"/>
              </w:rPr>
            </w:pPr>
            <w:r>
              <w:rPr>
                <w:rFonts w:eastAsia="仿宋"/>
                <w:b/>
                <w:kern w:val="0"/>
                <w:sz w:val="24"/>
              </w:rPr>
              <w:t>指</w:t>
            </w:r>
            <w:r>
              <w:rPr>
                <w:rFonts w:eastAsia="仿宋"/>
                <w:b/>
                <w:kern w:val="0"/>
                <w:sz w:val="24"/>
              </w:rPr>
              <w:t xml:space="preserve">  </w:t>
            </w:r>
            <w:r>
              <w:rPr>
                <w:rFonts w:eastAsia="仿宋"/>
                <w:b/>
                <w:kern w:val="0"/>
                <w:sz w:val="24"/>
              </w:rPr>
              <w:t>标</w:t>
            </w:r>
          </w:p>
        </w:tc>
        <w:tc>
          <w:tcPr>
            <w:tcW w:w="974" w:type="dxa"/>
            <w:tcBorders>
              <w:top w:val="single" w:sz="8"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b/>
                <w:kern w:val="0"/>
                <w:sz w:val="24"/>
              </w:rPr>
            </w:pPr>
            <w:r>
              <w:rPr>
                <w:rFonts w:eastAsia="仿宋"/>
                <w:b/>
                <w:kern w:val="0"/>
                <w:sz w:val="24"/>
              </w:rPr>
              <w:t>2015</w:t>
            </w:r>
            <w:r>
              <w:rPr>
                <w:rFonts w:eastAsia="仿宋"/>
                <w:b/>
                <w:kern w:val="0"/>
                <w:sz w:val="24"/>
              </w:rPr>
              <w:t>年</w:t>
            </w:r>
          </w:p>
        </w:tc>
        <w:tc>
          <w:tcPr>
            <w:tcW w:w="1320" w:type="dxa"/>
            <w:tcBorders>
              <w:top w:val="single" w:sz="8"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b/>
                <w:kern w:val="0"/>
                <w:sz w:val="24"/>
              </w:rPr>
            </w:pPr>
            <w:r>
              <w:rPr>
                <w:rFonts w:eastAsia="仿宋"/>
                <w:b/>
                <w:kern w:val="0"/>
                <w:sz w:val="24"/>
              </w:rPr>
              <w:t>2020</w:t>
            </w:r>
            <w:r>
              <w:rPr>
                <w:rFonts w:eastAsia="仿宋"/>
                <w:b/>
                <w:kern w:val="0"/>
                <w:sz w:val="24"/>
              </w:rPr>
              <w:t>年</w:t>
            </w:r>
          </w:p>
        </w:tc>
        <w:tc>
          <w:tcPr>
            <w:tcW w:w="1676" w:type="dxa"/>
            <w:tcBorders>
              <w:top w:val="single" w:sz="8"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b/>
                <w:kern w:val="0"/>
                <w:sz w:val="24"/>
              </w:rPr>
            </w:pPr>
            <w:r>
              <w:rPr>
                <w:rFonts w:eastAsia="仿宋"/>
                <w:b/>
                <w:kern w:val="0"/>
                <w:sz w:val="24"/>
              </w:rPr>
              <w:t>年均增长</w:t>
            </w:r>
          </w:p>
        </w:tc>
        <w:tc>
          <w:tcPr>
            <w:tcW w:w="1034" w:type="dxa"/>
            <w:tcBorders>
              <w:top w:val="single" w:sz="8"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b/>
                <w:kern w:val="0"/>
                <w:sz w:val="24"/>
              </w:rPr>
            </w:pPr>
            <w:r>
              <w:rPr>
                <w:rFonts w:eastAsia="仿宋"/>
                <w:b/>
                <w:kern w:val="0"/>
                <w:sz w:val="24"/>
              </w:rPr>
              <w:t>指标属性</w:t>
            </w:r>
          </w:p>
        </w:tc>
      </w:tr>
      <w:tr w:rsidR="00E35214">
        <w:trPr>
          <w:trHeight w:val="458"/>
          <w:jc w:val="center"/>
        </w:trPr>
        <w:tc>
          <w:tcPr>
            <w:tcW w:w="483" w:type="dxa"/>
            <w:vMerge w:val="restart"/>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经</w:t>
            </w:r>
          </w:p>
          <w:p w:rsidR="00E35214" w:rsidRDefault="006F7231">
            <w:pPr>
              <w:snapToGrid w:val="0"/>
              <w:spacing w:line="360" w:lineRule="auto"/>
              <w:jc w:val="center"/>
              <w:textAlignment w:val="baseline"/>
              <w:rPr>
                <w:rFonts w:eastAsia="仿宋"/>
                <w:kern w:val="0"/>
                <w:sz w:val="24"/>
              </w:rPr>
            </w:pPr>
            <w:r>
              <w:rPr>
                <w:rFonts w:eastAsia="仿宋"/>
                <w:kern w:val="0"/>
                <w:sz w:val="24"/>
              </w:rPr>
              <w:t>济</w:t>
            </w:r>
          </w:p>
          <w:p w:rsidR="00E35214" w:rsidRDefault="006F7231">
            <w:pPr>
              <w:snapToGrid w:val="0"/>
              <w:spacing w:line="360" w:lineRule="auto"/>
              <w:jc w:val="center"/>
              <w:textAlignment w:val="baseline"/>
              <w:rPr>
                <w:rFonts w:eastAsia="仿宋"/>
                <w:kern w:val="0"/>
                <w:sz w:val="24"/>
              </w:rPr>
            </w:pPr>
            <w:r>
              <w:rPr>
                <w:rFonts w:eastAsia="仿宋"/>
                <w:kern w:val="0"/>
                <w:sz w:val="24"/>
              </w:rPr>
              <w:t>发</w:t>
            </w:r>
          </w:p>
          <w:p w:rsidR="00E35214" w:rsidRDefault="006F7231">
            <w:pPr>
              <w:snapToGrid w:val="0"/>
              <w:spacing w:line="360" w:lineRule="auto"/>
              <w:jc w:val="center"/>
              <w:textAlignment w:val="baseline"/>
              <w:rPr>
                <w:rFonts w:eastAsia="仿宋"/>
                <w:kern w:val="0"/>
                <w:sz w:val="24"/>
              </w:rPr>
            </w:pPr>
            <w:r>
              <w:rPr>
                <w:rFonts w:eastAsia="仿宋"/>
                <w:kern w:val="0"/>
                <w:sz w:val="24"/>
              </w:rPr>
              <w:t>展</w:t>
            </w: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地区生产总值</w:t>
            </w:r>
            <w:r>
              <w:rPr>
                <w:rFonts w:eastAsia="仿宋" w:hint="eastAsia"/>
                <w:kern w:val="0"/>
                <w:sz w:val="24"/>
              </w:rPr>
              <w:t>（</w:t>
            </w:r>
            <w:r>
              <w:rPr>
                <w:rFonts w:eastAsia="仿宋"/>
                <w:kern w:val="0"/>
                <w:sz w:val="24"/>
              </w:rPr>
              <w:t>亿元</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31.9</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33.</w:t>
            </w:r>
            <w:r>
              <w:rPr>
                <w:rFonts w:eastAsia="仿宋" w:hint="eastAsia"/>
                <w:kern w:val="0"/>
                <w:sz w:val="24"/>
              </w:rPr>
              <w:t xml:space="preserve">8 </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5.4%</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人均地区生产总值</w:t>
            </w:r>
            <w:r>
              <w:rPr>
                <w:rFonts w:eastAsia="仿宋" w:hint="eastAsia"/>
                <w:kern w:val="0"/>
                <w:sz w:val="24"/>
              </w:rPr>
              <w:t>（元）</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65600</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79700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5.4%</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其中：第一产业增加值</w:t>
            </w:r>
            <w:r>
              <w:rPr>
                <w:rFonts w:eastAsia="仿宋" w:hint="eastAsia"/>
                <w:kern w:val="0"/>
                <w:sz w:val="24"/>
              </w:rPr>
              <w:t>（</w:t>
            </w:r>
            <w:r>
              <w:rPr>
                <w:rFonts w:eastAsia="仿宋"/>
                <w:kern w:val="0"/>
                <w:sz w:val="24"/>
              </w:rPr>
              <w:t>亿元</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1.8</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3.3</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3.1%</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第二产业增加值</w:t>
            </w:r>
            <w:r>
              <w:rPr>
                <w:rFonts w:eastAsia="仿宋" w:hint="eastAsia"/>
                <w:kern w:val="0"/>
                <w:sz w:val="24"/>
              </w:rPr>
              <w:t>（</w:t>
            </w:r>
            <w:r>
              <w:rPr>
                <w:rFonts w:eastAsia="仿宋"/>
                <w:kern w:val="0"/>
                <w:sz w:val="24"/>
              </w:rPr>
              <w:t>亿元</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24.7</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16.7</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5.8%</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第三产业增加值</w:t>
            </w:r>
            <w:r>
              <w:rPr>
                <w:rFonts w:eastAsia="仿宋" w:hint="eastAsia"/>
                <w:kern w:val="0"/>
                <w:sz w:val="24"/>
              </w:rPr>
              <w:t>（</w:t>
            </w:r>
            <w:r>
              <w:rPr>
                <w:rFonts w:eastAsia="仿宋"/>
                <w:kern w:val="0"/>
                <w:sz w:val="24"/>
              </w:rPr>
              <w:t>亿元</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5.4</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13.5</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5.2%</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509"/>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pacing w:val="-20"/>
                <w:kern w:val="0"/>
                <w:sz w:val="24"/>
              </w:rPr>
            </w:pPr>
            <w:r>
              <w:rPr>
                <w:rFonts w:eastAsia="仿宋"/>
                <w:spacing w:val="-20"/>
                <w:kern w:val="0"/>
                <w:sz w:val="24"/>
              </w:rPr>
              <w:t>第三产业增加值占</w:t>
            </w:r>
            <w:r>
              <w:rPr>
                <w:rFonts w:eastAsia="仿宋"/>
                <w:spacing w:val="-20"/>
                <w:kern w:val="0"/>
                <w:sz w:val="24"/>
              </w:rPr>
              <w:t>GDP</w:t>
            </w:r>
            <w:r>
              <w:rPr>
                <w:rFonts w:eastAsia="仿宋"/>
                <w:spacing w:val="-20"/>
                <w:kern w:val="0"/>
                <w:sz w:val="24"/>
              </w:rPr>
              <w:t>比重</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16.9</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40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地方公共财政收入</w:t>
            </w:r>
            <w:r>
              <w:rPr>
                <w:rFonts w:eastAsia="仿宋" w:hint="eastAsia"/>
                <w:kern w:val="0"/>
                <w:sz w:val="24"/>
              </w:rPr>
              <w:t>（</w:t>
            </w:r>
            <w:r>
              <w:rPr>
                <w:rFonts w:eastAsia="仿宋"/>
                <w:kern w:val="0"/>
                <w:sz w:val="24"/>
              </w:rPr>
              <w:t>亿元</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1.5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2.4</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0</w:t>
            </w:r>
            <w:r>
              <w:rPr>
                <w:rFonts w:eastAsia="仿宋" w:hint="eastAsia"/>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757"/>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全社会固定资产投资</w:t>
            </w:r>
            <w:r>
              <w:rPr>
                <w:rFonts w:eastAsia="仿宋"/>
                <w:kern w:val="0"/>
                <w:sz w:val="24"/>
              </w:rPr>
              <w:t>5</w:t>
            </w:r>
            <w:r>
              <w:rPr>
                <w:rFonts w:eastAsia="仿宋"/>
                <w:kern w:val="0"/>
                <w:sz w:val="24"/>
              </w:rPr>
              <w:t>年累计</w:t>
            </w:r>
            <w:r>
              <w:rPr>
                <w:rFonts w:eastAsia="仿宋" w:hint="eastAsia"/>
                <w:kern w:val="0"/>
                <w:sz w:val="24"/>
              </w:rPr>
              <w:t>（</w:t>
            </w:r>
            <w:r>
              <w:rPr>
                <w:rFonts w:eastAsia="仿宋"/>
                <w:kern w:val="0"/>
                <w:sz w:val="24"/>
              </w:rPr>
              <w:t>亿元</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5</w:t>
            </w:r>
            <w:r>
              <w:rPr>
                <w:rFonts w:eastAsia="仿宋"/>
                <w:kern w:val="0"/>
                <w:sz w:val="24"/>
              </w:rPr>
              <w:t>年累计</w:t>
            </w:r>
            <w:r>
              <w:rPr>
                <w:rFonts w:eastAsia="仿宋"/>
                <w:kern w:val="0"/>
                <w:sz w:val="24"/>
              </w:rPr>
              <w:t>:107</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5</w:t>
            </w:r>
            <w:r>
              <w:rPr>
                <w:rFonts w:eastAsia="仿宋"/>
                <w:kern w:val="0"/>
                <w:sz w:val="24"/>
              </w:rPr>
              <w:t>年累</w:t>
            </w:r>
          </w:p>
          <w:p w:rsidR="00E35214" w:rsidRDefault="006F7231">
            <w:pPr>
              <w:snapToGrid w:val="0"/>
              <w:spacing w:line="360" w:lineRule="auto"/>
              <w:jc w:val="center"/>
              <w:textAlignment w:val="baseline"/>
              <w:rPr>
                <w:rFonts w:eastAsia="仿宋"/>
                <w:kern w:val="0"/>
                <w:sz w:val="24"/>
              </w:rPr>
            </w:pPr>
            <w:r>
              <w:rPr>
                <w:rFonts w:eastAsia="仿宋"/>
                <w:kern w:val="0"/>
                <w:sz w:val="24"/>
              </w:rPr>
              <w:t>计</w:t>
            </w:r>
            <w:r>
              <w:rPr>
                <w:rFonts w:eastAsia="仿宋"/>
                <w:kern w:val="0"/>
                <w:sz w:val="24"/>
              </w:rPr>
              <w:t>:162</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w:t>
            </w:r>
            <w:r>
              <w:rPr>
                <w:rFonts w:eastAsia="仿宋" w:hint="eastAsia"/>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530"/>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社会消费品零售总额</w:t>
            </w:r>
            <w:r>
              <w:rPr>
                <w:rFonts w:eastAsia="仿宋" w:hint="eastAsia"/>
                <w:kern w:val="0"/>
                <w:sz w:val="24"/>
              </w:rPr>
              <w:t>（</w:t>
            </w:r>
            <w:r>
              <w:rPr>
                <w:rFonts w:eastAsia="仿宋"/>
                <w:kern w:val="0"/>
                <w:sz w:val="24"/>
              </w:rPr>
              <w:t>亿元</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4.6</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7</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10.8%</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405"/>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城镇化率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47</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50%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1.2%</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导向性</w:t>
            </w:r>
          </w:p>
        </w:tc>
      </w:tr>
      <w:tr w:rsidR="00E35214">
        <w:trPr>
          <w:trHeight w:val="51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科技经费支出占</w:t>
            </w:r>
            <w:r>
              <w:rPr>
                <w:rFonts w:eastAsia="仿宋"/>
                <w:kern w:val="0"/>
                <w:sz w:val="24"/>
              </w:rPr>
              <w:t>GDP</w:t>
            </w:r>
            <w:r>
              <w:rPr>
                <w:rFonts w:eastAsia="仿宋"/>
                <w:kern w:val="0"/>
                <w:sz w:val="24"/>
              </w:rPr>
              <w:t>比重</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1</w:t>
            </w:r>
            <w:r>
              <w:rPr>
                <w:rFonts w:eastAsia="仿宋"/>
                <w:sz w:val="24"/>
              </w:rPr>
              <w:t>.12</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2</w:t>
            </w:r>
            <w:r>
              <w:rPr>
                <w:rFonts w:eastAsia="仿宋"/>
                <w:sz w:val="24"/>
              </w:rPr>
              <w:t>.5</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7.4%</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682"/>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生态建设经费支出</w:t>
            </w:r>
          </w:p>
          <w:p w:rsidR="00E35214" w:rsidRDefault="006F7231">
            <w:pPr>
              <w:snapToGrid w:val="0"/>
              <w:spacing w:line="360" w:lineRule="auto"/>
              <w:jc w:val="center"/>
              <w:textAlignment w:val="baseline"/>
              <w:rPr>
                <w:rFonts w:eastAsia="仿宋"/>
                <w:kern w:val="0"/>
                <w:sz w:val="24"/>
              </w:rPr>
            </w:pPr>
            <w:r>
              <w:rPr>
                <w:rFonts w:eastAsia="仿宋"/>
                <w:kern w:val="0"/>
                <w:sz w:val="24"/>
              </w:rPr>
              <w:t>占</w:t>
            </w:r>
            <w:r>
              <w:rPr>
                <w:rFonts w:eastAsia="仿宋"/>
                <w:kern w:val="0"/>
                <w:sz w:val="24"/>
              </w:rPr>
              <w:t>GDP</w:t>
            </w:r>
            <w:r>
              <w:rPr>
                <w:rFonts w:eastAsia="仿宋"/>
                <w:kern w:val="0"/>
                <w:sz w:val="24"/>
              </w:rPr>
              <w:t>比重</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sz w:val="24"/>
              </w:rPr>
              <w:t>2.1</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sz w:val="24"/>
              </w:rPr>
              <w:t>3</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7.4%</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val="restart"/>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民</w:t>
            </w:r>
          </w:p>
          <w:p w:rsidR="00E35214" w:rsidRDefault="006F7231">
            <w:pPr>
              <w:snapToGrid w:val="0"/>
              <w:spacing w:line="360" w:lineRule="auto"/>
              <w:jc w:val="center"/>
              <w:textAlignment w:val="baseline"/>
              <w:rPr>
                <w:rFonts w:eastAsia="仿宋"/>
                <w:kern w:val="0"/>
                <w:sz w:val="24"/>
              </w:rPr>
            </w:pPr>
            <w:r>
              <w:rPr>
                <w:rFonts w:eastAsia="仿宋"/>
                <w:kern w:val="0"/>
                <w:sz w:val="24"/>
              </w:rPr>
              <w:t>主</w:t>
            </w:r>
          </w:p>
          <w:p w:rsidR="00E35214" w:rsidRDefault="006F7231">
            <w:pPr>
              <w:snapToGrid w:val="0"/>
              <w:spacing w:line="360" w:lineRule="auto"/>
              <w:jc w:val="center"/>
              <w:textAlignment w:val="baseline"/>
              <w:rPr>
                <w:rFonts w:eastAsia="仿宋"/>
                <w:kern w:val="0"/>
                <w:sz w:val="24"/>
              </w:rPr>
            </w:pPr>
            <w:r>
              <w:rPr>
                <w:rFonts w:eastAsia="仿宋"/>
                <w:kern w:val="0"/>
                <w:sz w:val="24"/>
              </w:rPr>
              <w:t>法</w:t>
            </w:r>
          </w:p>
          <w:p w:rsidR="00E35214" w:rsidRDefault="006F7231">
            <w:pPr>
              <w:snapToGrid w:val="0"/>
              <w:spacing w:line="360" w:lineRule="auto"/>
              <w:jc w:val="center"/>
              <w:textAlignment w:val="baseline"/>
              <w:rPr>
                <w:rFonts w:eastAsia="仿宋"/>
                <w:kern w:val="0"/>
                <w:sz w:val="24"/>
              </w:rPr>
            </w:pPr>
            <w:r>
              <w:rPr>
                <w:rFonts w:eastAsia="仿宋"/>
                <w:kern w:val="0"/>
                <w:sz w:val="24"/>
              </w:rPr>
              <w:t>治</w:t>
            </w: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基层民主参选率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7</w:t>
            </w:r>
            <w:r>
              <w:rPr>
                <w:rFonts w:eastAsia="仿宋"/>
                <w:sz w:val="24"/>
              </w:rPr>
              <w:t>0</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9</w:t>
            </w:r>
            <w:r>
              <w:rPr>
                <w:rFonts w:eastAsia="仿宋"/>
                <w:sz w:val="24"/>
              </w:rPr>
              <w:t>5</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6</w:t>
            </w:r>
            <w:r>
              <w:rPr>
                <w:rFonts w:eastAsia="仿宋"/>
                <w:kern w:val="0"/>
                <w:sz w:val="24"/>
              </w:rPr>
              <w:t>.3%</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394"/>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廉政指数</w:t>
            </w:r>
            <w:r>
              <w:rPr>
                <w:rFonts w:eastAsia="仿宋"/>
                <w:sz w:val="32"/>
                <w:vertAlign w:val="superscript"/>
              </w:rPr>
              <w:t>(9)</w:t>
            </w:r>
            <w:r>
              <w:rPr>
                <w:rFonts w:eastAsia="仿宋" w:hint="eastAsia"/>
                <w:kern w:val="0"/>
                <w:sz w:val="24"/>
              </w:rPr>
              <w:t>（</w:t>
            </w:r>
            <w:r>
              <w:rPr>
                <w:rFonts w:eastAsia="仿宋"/>
                <w:kern w:val="0"/>
                <w:sz w:val="24"/>
              </w:rPr>
              <w:t>人</w:t>
            </w:r>
            <w:r>
              <w:rPr>
                <w:rFonts w:eastAsia="仿宋"/>
                <w:kern w:val="0"/>
                <w:sz w:val="24"/>
              </w:rPr>
              <w:t>/</w:t>
            </w:r>
            <w:r>
              <w:rPr>
                <w:rFonts w:eastAsia="仿宋"/>
                <w:kern w:val="0"/>
                <w:sz w:val="24"/>
              </w:rPr>
              <w:t>万人</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8</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8</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75"/>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社会安全指数</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00</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00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val="restart"/>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文</w:t>
            </w:r>
          </w:p>
          <w:p w:rsidR="00E35214" w:rsidRDefault="006F7231">
            <w:pPr>
              <w:snapToGrid w:val="0"/>
              <w:spacing w:line="360" w:lineRule="auto"/>
              <w:jc w:val="center"/>
              <w:textAlignment w:val="baseline"/>
              <w:rPr>
                <w:rFonts w:eastAsia="仿宋"/>
                <w:kern w:val="0"/>
                <w:sz w:val="24"/>
              </w:rPr>
            </w:pPr>
            <w:r>
              <w:rPr>
                <w:rFonts w:eastAsia="仿宋"/>
                <w:kern w:val="0"/>
                <w:sz w:val="24"/>
              </w:rPr>
              <w:t>化</w:t>
            </w:r>
          </w:p>
          <w:p w:rsidR="00E35214" w:rsidRDefault="006F7231">
            <w:pPr>
              <w:snapToGrid w:val="0"/>
              <w:spacing w:line="360" w:lineRule="auto"/>
              <w:jc w:val="center"/>
              <w:textAlignment w:val="baseline"/>
              <w:rPr>
                <w:rFonts w:eastAsia="仿宋"/>
                <w:kern w:val="0"/>
                <w:sz w:val="24"/>
              </w:rPr>
            </w:pPr>
            <w:r>
              <w:rPr>
                <w:rFonts w:eastAsia="仿宋"/>
                <w:kern w:val="0"/>
                <w:sz w:val="24"/>
              </w:rPr>
              <w:t>建</w:t>
            </w:r>
          </w:p>
          <w:p w:rsidR="00E35214" w:rsidRDefault="006F7231">
            <w:pPr>
              <w:snapToGrid w:val="0"/>
              <w:spacing w:line="360" w:lineRule="auto"/>
              <w:jc w:val="center"/>
              <w:textAlignment w:val="baseline"/>
              <w:rPr>
                <w:rFonts w:eastAsia="仿宋"/>
                <w:kern w:val="0"/>
                <w:sz w:val="24"/>
              </w:rPr>
            </w:pPr>
            <w:r>
              <w:rPr>
                <w:rFonts w:eastAsia="仿宋"/>
                <w:kern w:val="0"/>
                <w:sz w:val="24"/>
              </w:rPr>
              <w:t>设</w:t>
            </w: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人均公共文化</w:t>
            </w:r>
          </w:p>
          <w:p w:rsidR="00E35214" w:rsidRDefault="006F7231">
            <w:pPr>
              <w:snapToGrid w:val="0"/>
              <w:spacing w:line="360" w:lineRule="auto"/>
              <w:jc w:val="center"/>
              <w:textAlignment w:val="baseline"/>
              <w:rPr>
                <w:rFonts w:eastAsia="仿宋"/>
                <w:kern w:val="0"/>
                <w:sz w:val="24"/>
              </w:rPr>
            </w:pPr>
            <w:r>
              <w:rPr>
                <w:rFonts w:eastAsia="仿宋"/>
                <w:kern w:val="0"/>
                <w:sz w:val="24"/>
              </w:rPr>
              <w:t>财政支出</w:t>
            </w:r>
            <w:r>
              <w:rPr>
                <w:rFonts w:eastAsia="仿宋" w:hint="eastAsia"/>
                <w:kern w:val="0"/>
                <w:sz w:val="24"/>
              </w:rPr>
              <w:t>（元）</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9</w:t>
            </w:r>
            <w:r>
              <w:rPr>
                <w:rFonts w:eastAsia="仿宋"/>
                <w:kern w:val="0"/>
                <w:sz w:val="24"/>
              </w:rPr>
              <w:t>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1</w:t>
            </w:r>
            <w:r>
              <w:rPr>
                <w:rFonts w:eastAsia="仿宋"/>
                <w:sz w:val="24"/>
              </w:rPr>
              <w:t>50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9</w:t>
            </w:r>
            <w:r>
              <w:rPr>
                <w:rFonts w:eastAsia="仿宋"/>
                <w:kern w:val="0"/>
                <w:sz w:val="24"/>
              </w:rPr>
              <w:t>.6%</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每万人口拥有</w:t>
            </w:r>
            <w:r>
              <w:rPr>
                <w:rFonts w:eastAsia="仿宋"/>
                <w:kern w:val="0"/>
                <w:sz w:val="24"/>
              </w:rPr>
              <w:t>“</w:t>
            </w:r>
            <w:r>
              <w:rPr>
                <w:rFonts w:eastAsia="仿宋"/>
                <w:kern w:val="0"/>
                <w:sz w:val="24"/>
              </w:rPr>
              <w:t>三馆一站</w:t>
            </w:r>
            <w:r>
              <w:rPr>
                <w:rFonts w:eastAsia="仿宋"/>
                <w:kern w:val="0"/>
                <w:sz w:val="24"/>
              </w:rPr>
              <w:t>”</w:t>
            </w:r>
          </w:p>
          <w:p w:rsidR="00E35214" w:rsidRDefault="006F7231">
            <w:pPr>
              <w:snapToGrid w:val="0"/>
              <w:spacing w:line="360" w:lineRule="auto"/>
              <w:jc w:val="center"/>
              <w:textAlignment w:val="baseline"/>
              <w:rPr>
                <w:rFonts w:eastAsia="仿宋"/>
                <w:kern w:val="0"/>
                <w:sz w:val="24"/>
              </w:rPr>
            </w:pPr>
            <w:r>
              <w:rPr>
                <w:rFonts w:eastAsia="仿宋"/>
                <w:kern w:val="0"/>
                <w:sz w:val="24"/>
              </w:rPr>
              <w:t>建筑面积</w:t>
            </w:r>
            <w:r>
              <w:rPr>
                <w:rFonts w:eastAsia="仿宋" w:hint="eastAsia"/>
                <w:kern w:val="0"/>
                <w:sz w:val="24"/>
              </w:rPr>
              <w:t>（平方米）</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6</w:t>
            </w:r>
            <w:r>
              <w:rPr>
                <w:rFonts w:eastAsia="仿宋"/>
                <w:kern w:val="0"/>
                <w:sz w:val="24"/>
              </w:rPr>
              <w:t>60</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6</w:t>
            </w:r>
            <w:r>
              <w:rPr>
                <w:rFonts w:eastAsia="仿宋"/>
                <w:sz w:val="24"/>
              </w:rPr>
              <w:t>60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397"/>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有线广播电视入户率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9</w:t>
            </w:r>
            <w:r>
              <w:rPr>
                <w:rFonts w:eastAsia="仿宋"/>
                <w:kern w:val="0"/>
                <w:sz w:val="24"/>
              </w:rPr>
              <w:t>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1</w:t>
            </w:r>
            <w:r>
              <w:rPr>
                <w:rFonts w:eastAsia="仿宋"/>
                <w:sz w:val="24"/>
              </w:rPr>
              <w:t>00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导向性</w:t>
            </w:r>
          </w:p>
        </w:tc>
      </w:tr>
      <w:tr w:rsidR="00E35214">
        <w:trPr>
          <w:trHeight w:val="458"/>
          <w:jc w:val="center"/>
        </w:trPr>
        <w:tc>
          <w:tcPr>
            <w:tcW w:w="483" w:type="dxa"/>
            <w:vMerge w:val="restart"/>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资</w:t>
            </w:r>
          </w:p>
          <w:p w:rsidR="00E35214" w:rsidRDefault="006F7231">
            <w:pPr>
              <w:snapToGrid w:val="0"/>
              <w:spacing w:line="360" w:lineRule="auto"/>
              <w:jc w:val="center"/>
              <w:textAlignment w:val="baseline"/>
              <w:rPr>
                <w:rFonts w:eastAsia="仿宋"/>
                <w:kern w:val="0"/>
                <w:sz w:val="24"/>
              </w:rPr>
            </w:pPr>
            <w:r>
              <w:rPr>
                <w:rFonts w:eastAsia="仿宋"/>
                <w:kern w:val="0"/>
                <w:sz w:val="24"/>
              </w:rPr>
              <w:t>源</w:t>
            </w:r>
          </w:p>
          <w:p w:rsidR="00E35214" w:rsidRDefault="006F7231">
            <w:pPr>
              <w:snapToGrid w:val="0"/>
              <w:spacing w:line="360" w:lineRule="auto"/>
              <w:jc w:val="center"/>
              <w:textAlignment w:val="baseline"/>
              <w:rPr>
                <w:rFonts w:eastAsia="仿宋"/>
                <w:kern w:val="0"/>
                <w:sz w:val="24"/>
              </w:rPr>
            </w:pPr>
            <w:r>
              <w:rPr>
                <w:rFonts w:eastAsia="仿宋"/>
                <w:kern w:val="0"/>
                <w:sz w:val="24"/>
              </w:rPr>
              <w:lastRenderedPageBreak/>
              <w:t>环</w:t>
            </w:r>
          </w:p>
          <w:p w:rsidR="00E35214" w:rsidRDefault="006F7231">
            <w:pPr>
              <w:snapToGrid w:val="0"/>
              <w:spacing w:line="360" w:lineRule="auto"/>
              <w:jc w:val="center"/>
              <w:textAlignment w:val="baseline"/>
              <w:rPr>
                <w:rFonts w:eastAsia="仿宋"/>
                <w:kern w:val="0"/>
                <w:sz w:val="24"/>
              </w:rPr>
            </w:pPr>
            <w:r>
              <w:rPr>
                <w:rFonts w:eastAsia="仿宋"/>
                <w:kern w:val="0"/>
                <w:sz w:val="24"/>
              </w:rPr>
              <w:t>境</w:t>
            </w: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lastRenderedPageBreak/>
              <w:t>万元地区生产总值能耗下降</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累计</w:t>
            </w:r>
            <w:r>
              <w:rPr>
                <w:rFonts w:eastAsia="仿宋"/>
                <w:kern w:val="0"/>
                <w:sz w:val="24"/>
              </w:rPr>
              <w:t>20</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kern w:val="0"/>
                <w:sz w:val="24"/>
              </w:rPr>
              <w:t>累计</w:t>
            </w:r>
            <w:r>
              <w:rPr>
                <w:rFonts w:eastAsia="仿宋"/>
                <w:kern w:val="0"/>
                <w:sz w:val="24"/>
              </w:rPr>
              <w:t>17</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万元工业增加值能耗下降</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累计</w:t>
            </w:r>
            <w:r>
              <w:rPr>
                <w:rFonts w:eastAsia="仿宋"/>
                <w:kern w:val="0"/>
                <w:sz w:val="24"/>
              </w:rPr>
              <w:t>25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累计</w:t>
            </w:r>
            <w:r>
              <w:rPr>
                <w:rFonts w:eastAsia="仿宋"/>
                <w:kern w:val="0"/>
                <w:sz w:val="24"/>
              </w:rPr>
              <w:t>20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城市建成区绿化覆盖率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3</w:t>
            </w:r>
            <w:r>
              <w:rPr>
                <w:rFonts w:eastAsia="仿宋"/>
                <w:kern w:val="0"/>
                <w:sz w:val="24"/>
              </w:rPr>
              <w:t>6.5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3</w:t>
            </w:r>
            <w:r>
              <w:rPr>
                <w:rFonts w:eastAsia="仿宋"/>
                <w:kern w:val="0"/>
                <w:sz w:val="24"/>
              </w:rPr>
              <w:t>7</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森林覆盖率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5</w:t>
            </w:r>
            <w:r>
              <w:rPr>
                <w:rFonts w:eastAsia="仿宋"/>
                <w:kern w:val="0"/>
                <w:sz w:val="24"/>
              </w:rPr>
              <w:t>6.3</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5</w:t>
            </w:r>
            <w:r>
              <w:rPr>
                <w:rFonts w:eastAsia="仿宋"/>
                <w:kern w:val="0"/>
                <w:sz w:val="24"/>
              </w:rPr>
              <w:t>7.8</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水资源环境达标率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9</w:t>
            </w:r>
            <w:r>
              <w:rPr>
                <w:rFonts w:eastAsia="仿宋"/>
                <w:kern w:val="0"/>
                <w:sz w:val="24"/>
              </w:rPr>
              <w:t>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00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大气环境质量达标率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00</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00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城乡垃圾无害化处理率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8</w:t>
            </w:r>
            <w:r>
              <w:rPr>
                <w:rFonts w:eastAsia="仿宋"/>
                <w:kern w:val="0"/>
                <w:sz w:val="24"/>
              </w:rPr>
              <w:t>2.5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8</w:t>
            </w:r>
            <w:r>
              <w:rPr>
                <w:rFonts w:eastAsia="仿宋"/>
                <w:kern w:val="0"/>
                <w:sz w:val="24"/>
              </w:rPr>
              <w:t>5</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val="restart"/>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人</w:t>
            </w:r>
          </w:p>
          <w:p w:rsidR="00E35214" w:rsidRDefault="006F7231">
            <w:pPr>
              <w:snapToGrid w:val="0"/>
              <w:spacing w:line="360" w:lineRule="auto"/>
              <w:jc w:val="center"/>
              <w:textAlignment w:val="baseline"/>
              <w:rPr>
                <w:rFonts w:eastAsia="仿宋"/>
                <w:kern w:val="0"/>
                <w:sz w:val="24"/>
              </w:rPr>
            </w:pPr>
            <w:r>
              <w:rPr>
                <w:rFonts w:eastAsia="仿宋"/>
                <w:kern w:val="0"/>
                <w:sz w:val="24"/>
              </w:rPr>
              <w:t>民</w:t>
            </w:r>
          </w:p>
          <w:p w:rsidR="00E35214" w:rsidRDefault="006F7231">
            <w:pPr>
              <w:snapToGrid w:val="0"/>
              <w:spacing w:line="360" w:lineRule="auto"/>
              <w:jc w:val="center"/>
              <w:textAlignment w:val="baseline"/>
              <w:rPr>
                <w:rFonts w:eastAsia="仿宋"/>
                <w:kern w:val="0"/>
                <w:sz w:val="24"/>
              </w:rPr>
            </w:pPr>
            <w:r>
              <w:rPr>
                <w:rFonts w:eastAsia="仿宋"/>
                <w:kern w:val="0"/>
                <w:sz w:val="24"/>
              </w:rPr>
              <w:t>生</w:t>
            </w:r>
          </w:p>
          <w:p w:rsidR="00E35214" w:rsidRDefault="006F7231">
            <w:pPr>
              <w:snapToGrid w:val="0"/>
              <w:spacing w:line="360" w:lineRule="auto"/>
              <w:jc w:val="center"/>
              <w:textAlignment w:val="baseline"/>
              <w:rPr>
                <w:rFonts w:eastAsia="仿宋"/>
                <w:kern w:val="0"/>
                <w:sz w:val="24"/>
              </w:rPr>
            </w:pPr>
            <w:r>
              <w:rPr>
                <w:rFonts w:eastAsia="仿宋"/>
                <w:kern w:val="0"/>
                <w:sz w:val="24"/>
              </w:rPr>
              <w:t>活</w:t>
            </w: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城镇居民人均可支配收入</w:t>
            </w:r>
            <w:r>
              <w:rPr>
                <w:rFonts w:eastAsia="仿宋" w:hint="eastAsia"/>
                <w:kern w:val="0"/>
                <w:sz w:val="24"/>
              </w:rPr>
              <w:t>（</w:t>
            </w:r>
            <w:r>
              <w:rPr>
                <w:rFonts w:eastAsia="仿宋"/>
                <w:kern w:val="0"/>
                <w:sz w:val="24"/>
              </w:rPr>
              <w:t>元</w:t>
            </w:r>
            <w:r>
              <w:rPr>
                <w:rFonts w:eastAsia="仿宋"/>
                <w:kern w:val="0"/>
                <w:sz w:val="24"/>
              </w:rPr>
              <w:t>/</w:t>
            </w:r>
            <w:r>
              <w:rPr>
                <w:rFonts w:eastAsia="仿宋"/>
                <w:kern w:val="0"/>
                <w:sz w:val="24"/>
              </w:rPr>
              <w:t>人</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26197</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39564</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8.5%</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458"/>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农村居民人均可支配收入</w:t>
            </w:r>
            <w:r>
              <w:rPr>
                <w:rFonts w:eastAsia="仿宋" w:hint="eastAsia"/>
                <w:kern w:val="0"/>
                <w:sz w:val="24"/>
              </w:rPr>
              <w:t>（</w:t>
            </w:r>
            <w:r>
              <w:rPr>
                <w:rFonts w:eastAsia="仿宋"/>
                <w:kern w:val="0"/>
                <w:sz w:val="24"/>
              </w:rPr>
              <w:t>元</w:t>
            </w:r>
            <w:r>
              <w:rPr>
                <w:rFonts w:eastAsia="仿宋"/>
                <w:kern w:val="0"/>
                <w:sz w:val="24"/>
              </w:rPr>
              <w:t>/</w:t>
            </w:r>
            <w:r>
              <w:rPr>
                <w:rFonts w:eastAsia="仿宋"/>
                <w:kern w:val="0"/>
                <w:sz w:val="24"/>
              </w:rPr>
              <w:t>人</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10902</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17260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9.5%</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预期性</w:t>
            </w:r>
          </w:p>
        </w:tc>
      </w:tr>
      <w:tr w:rsidR="00E35214">
        <w:trPr>
          <w:trHeight w:val="612"/>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城镇（农村）恩格尔系数</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45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sz w:val="24"/>
              </w:rPr>
              <w:t>42</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导向性</w:t>
            </w:r>
          </w:p>
        </w:tc>
      </w:tr>
      <w:tr w:rsidR="00E35214">
        <w:trPr>
          <w:trHeight w:val="277"/>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城乡居民收入比</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2.4</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sz w:val="24"/>
              </w:rPr>
              <w:t>2.3</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导向性</w:t>
            </w:r>
          </w:p>
        </w:tc>
      </w:tr>
      <w:tr w:rsidR="00E35214">
        <w:trPr>
          <w:trHeight w:val="65"/>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城乡居民人均住房面积</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2</w:t>
            </w:r>
            <w:r>
              <w:rPr>
                <w:rFonts w:eastAsia="仿宋"/>
                <w:kern w:val="0"/>
                <w:sz w:val="24"/>
              </w:rPr>
              <w:t>8.6</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3</w:t>
            </w:r>
            <w:r>
              <w:rPr>
                <w:rFonts w:eastAsia="仿宋"/>
                <w:sz w:val="24"/>
              </w:rPr>
              <w:t>5</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4</w:t>
            </w:r>
            <w:r>
              <w:rPr>
                <w:rFonts w:eastAsia="仿宋"/>
                <w:kern w:val="0"/>
                <w:sz w:val="24"/>
              </w:rPr>
              <w:t>.1%</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导向性</w:t>
            </w:r>
          </w:p>
        </w:tc>
      </w:tr>
      <w:tr w:rsidR="00E35214">
        <w:trPr>
          <w:trHeight w:val="446"/>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基本社会保险覆盖率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9</w:t>
            </w:r>
            <w:r>
              <w:rPr>
                <w:rFonts w:eastAsia="仿宋"/>
                <w:kern w:val="0"/>
                <w:sz w:val="24"/>
              </w:rPr>
              <w:t>4</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9</w:t>
            </w:r>
            <w:r>
              <w:rPr>
                <w:rFonts w:eastAsia="仿宋"/>
                <w:sz w:val="24"/>
              </w:rPr>
              <w:t>5</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19"/>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高中阶段学生毛入学率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9</w:t>
            </w:r>
            <w:r>
              <w:rPr>
                <w:rFonts w:eastAsia="仿宋"/>
                <w:kern w:val="0"/>
                <w:sz w:val="24"/>
              </w:rPr>
              <w:t>0.5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9</w:t>
            </w:r>
            <w:r>
              <w:rPr>
                <w:rFonts w:eastAsia="仿宋"/>
                <w:sz w:val="24"/>
              </w:rPr>
              <w:t>5</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导向性</w:t>
            </w:r>
          </w:p>
        </w:tc>
      </w:tr>
      <w:tr w:rsidR="00E35214">
        <w:trPr>
          <w:trHeight w:val="537"/>
          <w:jc w:val="center"/>
        </w:trPr>
        <w:tc>
          <w:tcPr>
            <w:tcW w:w="483" w:type="dxa"/>
            <w:vMerge/>
            <w:tcBorders>
              <w:top w:val="single" w:sz="6" w:space="0" w:color="auto"/>
              <w:left w:val="single" w:sz="8" w:space="0" w:color="auto"/>
              <w:bottom w:val="single" w:sz="6"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农村自来水普及率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8</w:t>
            </w:r>
            <w:r>
              <w:rPr>
                <w:rFonts w:eastAsia="仿宋"/>
                <w:kern w:val="0"/>
                <w:sz w:val="24"/>
              </w:rPr>
              <w:t>5</w:t>
            </w:r>
          </w:p>
        </w:tc>
        <w:tc>
          <w:tcPr>
            <w:tcW w:w="1320"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hint="eastAsia"/>
                <w:sz w:val="24"/>
              </w:rPr>
              <w:t>9</w:t>
            </w:r>
            <w:r>
              <w:rPr>
                <w:rFonts w:eastAsia="仿宋"/>
                <w:sz w:val="24"/>
              </w:rPr>
              <w:t>0</w:t>
            </w:r>
          </w:p>
        </w:tc>
        <w:tc>
          <w:tcPr>
            <w:tcW w:w="1676" w:type="dxa"/>
            <w:tcBorders>
              <w:top w:val="single" w:sz="6" w:space="0" w:color="auto"/>
              <w:left w:val="single" w:sz="6" w:space="0" w:color="auto"/>
              <w:bottom w:val="single" w:sz="6"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w:t>
            </w:r>
          </w:p>
        </w:tc>
        <w:tc>
          <w:tcPr>
            <w:tcW w:w="1034" w:type="dxa"/>
            <w:tcBorders>
              <w:top w:val="single" w:sz="6" w:space="0" w:color="auto"/>
              <w:left w:val="single" w:sz="6" w:space="0" w:color="auto"/>
              <w:bottom w:val="single" w:sz="6"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r w:rsidR="00E35214">
        <w:trPr>
          <w:trHeight w:val="458"/>
          <w:jc w:val="center"/>
        </w:trPr>
        <w:tc>
          <w:tcPr>
            <w:tcW w:w="483" w:type="dxa"/>
            <w:vMerge/>
            <w:tcBorders>
              <w:top w:val="single" w:sz="6" w:space="0" w:color="auto"/>
              <w:left w:val="single" w:sz="8" w:space="0" w:color="auto"/>
              <w:bottom w:val="single" w:sz="8" w:space="0" w:color="auto"/>
              <w:right w:val="single" w:sz="6" w:space="0" w:color="auto"/>
              <w:tl2br w:val="nil"/>
              <w:tr2bl w:val="nil"/>
            </w:tcBorders>
            <w:tcMar>
              <w:left w:w="28" w:type="dxa"/>
              <w:right w:w="28" w:type="dxa"/>
            </w:tcMar>
            <w:vAlign w:val="center"/>
          </w:tcPr>
          <w:p w:rsidR="00E35214" w:rsidRDefault="00E35214">
            <w:pPr>
              <w:snapToGrid w:val="0"/>
              <w:spacing w:line="360" w:lineRule="auto"/>
              <w:jc w:val="center"/>
              <w:textAlignment w:val="baseline"/>
              <w:rPr>
                <w:rFonts w:eastAsia="仿宋"/>
                <w:kern w:val="0"/>
                <w:sz w:val="24"/>
              </w:rPr>
            </w:pPr>
          </w:p>
        </w:tc>
        <w:tc>
          <w:tcPr>
            <w:tcW w:w="3262" w:type="dxa"/>
            <w:tcBorders>
              <w:top w:val="single" w:sz="6" w:space="0" w:color="auto"/>
              <w:left w:val="single" w:sz="6" w:space="0" w:color="auto"/>
              <w:bottom w:val="single" w:sz="8"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农村卫生厕所普及率</w:t>
            </w:r>
            <w:r>
              <w:rPr>
                <w:rFonts w:eastAsia="仿宋" w:hint="eastAsia"/>
                <w:kern w:val="0"/>
                <w:sz w:val="24"/>
              </w:rPr>
              <w:t>（</w:t>
            </w:r>
            <w:r>
              <w:rPr>
                <w:rFonts w:eastAsia="仿宋" w:hint="eastAsia"/>
                <w:kern w:val="0"/>
                <w:sz w:val="24"/>
              </w:rPr>
              <w:t>%</w:t>
            </w:r>
            <w:r>
              <w:rPr>
                <w:rFonts w:eastAsia="仿宋" w:hint="eastAsia"/>
                <w:kern w:val="0"/>
                <w:sz w:val="24"/>
              </w:rPr>
              <w:t>）</w:t>
            </w:r>
          </w:p>
        </w:tc>
        <w:tc>
          <w:tcPr>
            <w:tcW w:w="974" w:type="dxa"/>
            <w:tcBorders>
              <w:top w:val="single" w:sz="6" w:space="0" w:color="auto"/>
              <w:left w:val="single" w:sz="6" w:space="0" w:color="auto"/>
              <w:bottom w:val="single" w:sz="8"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8</w:t>
            </w:r>
            <w:r>
              <w:rPr>
                <w:rFonts w:eastAsia="仿宋"/>
                <w:kern w:val="0"/>
                <w:sz w:val="24"/>
              </w:rPr>
              <w:t>5</w:t>
            </w:r>
          </w:p>
        </w:tc>
        <w:tc>
          <w:tcPr>
            <w:tcW w:w="1320" w:type="dxa"/>
            <w:tcBorders>
              <w:top w:val="single" w:sz="6" w:space="0" w:color="auto"/>
              <w:left w:val="single" w:sz="6" w:space="0" w:color="auto"/>
              <w:bottom w:val="single" w:sz="8"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sz w:val="24"/>
              </w:rPr>
            </w:pPr>
            <w:r>
              <w:rPr>
                <w:rFonts w:eastAsia="仿宋"/>
                <w:sz w:val="24"/>
              </w:rPr>
              <w:t>90</w:t>
            </w:r>
          </w:p>
        </w:tc>
        <w:tc>
          <w:tcPr>
            <w:tcW w:w="1676" w:type="dxa"/>
            <w:tcBorders>
              <w:top w:val="single" w:sz="6" w:space="0" w:color="auto"/>
              <w:left w:val="single" w:sz="6" w:space="0" w:color="auto"/>
              <w:bottom w:val="single" w:sz="8" w:space="0" w:color="auto"/>
              <w:right w:val="single" w:sz="6"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hint="eastAsia"/>
                <w:kern w:val="0"/>
                <w:sz w:val="24"/>
              </w:rPr>
              <w:t>1</w:t>
            </w:r>
            <w:r>
              <w:rPr>
                <w:rFonts w:eastAsia="仿宋"/>
                <w:kern w:val="0"/>
                <w:sz w:val="24"/>
              </w:rPr>
              <w:t>%</w:t>
            </w:r>
          </w:p>
        </w:tc>
        <w:tc>
          <w:tcPr>
            <w:tcW w:w="1034" w:type="dxa"/>
            <w:tcBorders>
              <w:top w:val="single" w:sz="6" w:space="0" w:color="auto"/>
              <w:left w:val="single" w:sz="6" w:space="0" w:color="auto"/>
              <w:bottom w:val="single" w:sz="8" w:space="0" w:color="auto"/>
              <w:right w:val="single" w:sz="8" w:space="0" w:color="auto"/>
              <w:tl2br w:val="nil"/>
              <w:tr2bl w:val="nil"/>
            </w:tcBorders>
            <w:tcMar>
              <w:left w:w="28" w:type="dxa"/>
              <w:right w:w="28" w:type="dxa"/>
            </w:tcMar>
            <w:vAlign w:val="center"/>
          </w:tcPr>
          <w:p w:rsidR="00E35214" w:rsidRDefault="006F7231">
            <w:pPr>
              <w:snapToGrid w:val="0"/>
              <w:spacing w:line="360" w:lineRule="auto"/>
              <w:jc w:val="center"/>
              <w:textAlignment w:val="baseline"/>
              <w:rPr>
                <w:rFonts w:eastAsia="仿宋"/>
                <w:kern w:val="0"/>
                <w:sz w:val="24"/>
              </w:rPr>
            </w:pPr>
            <w:r>
              <w:rPr>
                <w:rFonts w:eastAsia="仿宋"/>
                <w:kern w:val="0"/>
                <w:sz w:val="24"/>
              </w:rPr>
              <w:t>约束性</w:t>
            </w:r>
          </w:p>
        </w:tc>
      </w:tr>
    </w:tbl>
    <w:p w:rsidR="00E35214" w:rsidRDefault="00E35214">
      <w:pPr>
        <w:snapToGrid w:val="0"/>
        <w:jc w:val="left"/>
        <w:textAlignment w:val="baseline"/>
        <w:rPr>
          <w:sz w:val="20"/>
        </w:rPr>
      </w:pPr>
    </w:p>
    <w:p w:rsidR="00E35214" w:rsidRDefault="00E35214">
      <w:pPr>
        <w:snapToGrid w:val="0"/>
        <w:jc w:val="left"/>
        <w:textAlignment w:val="baseline"/>
        <w:rPr>
          <w:sz w:val="20"/>
        </w:rPr>
      </w:pPr>
    </w:p>
    <w:p w:rsidR="00E35214" w:rsidRDefault="006F7231">
      <w:pPr>
        <w:pStyle w:val="3"/>
        <w:snapToGrid w:val="0"/>
        <w:spacing w:line="580" w:lineRule="exact"/>
        <w:ind w:firstLineChars="200" w:firstLine="643"/>
        <w:textAlignment w:val="baseline"/>
        <w:rPr>
          <w:rFonts w:ascii="仿宋" w:eastAsia="仿宋" w:hAnsi="仿宋" w:cs="仿宋"/>
          <w:szCs w:val="22"/>
        </w:rPr>
      </w:pPr>
      <w:r>
        <w:rPr>
          <w:rFonts w:ascii="仿宋" w:eastAsia="仿宋" w:hAnsi="仿宋" w:cs="仿宋" w:hint="eastAsia"/>
          <w:szCs w:val="22"/>
        </w:rPr>
        <w:t>第二节“十四五”面临形势和发展态势</w:t>
      </w:r>
      <w:bookmarkEnd w:id="20"/>
      <w:bookmarkEnd w:id="21"/>
      <w:bookmarkEnd w:id="22"/>
      <w:bookmarkEnd w:id="23"/>
      <w:bookmarkEnd w:id="24"/>
      <w:bookmarkEnd w:id="25"/>
      <w:bookmarkEnd w:id="26"/>
    </w:p>
    <w:p w:rsidR="00E35214" w:rsidRDefault="006F7231">
      <w:pPr>
        <w:snapToGrid w:val="0"/>
        <w:spacing w:line="580" w:lineRule="atLeas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十四五”是全球经济、科技、文化、安全、政治格局大变革大调整的窗口期，是我国在全面建成小康社会基础上加快推进社会主义现代化建设的关键期，是金口河发挥比较优势实现新一轮高质量跨越提升的机遇期。</w:t>
      </w:r>
    </w:p>
    <w:p w:rsidR="00E35214" w:rsidRDefault="006F7231">
      <w:pPr>
        <w:snapToGrid w:val="0"/>
        <w:spacing w:line="580" w:lineRule="atLeast"/>
        <w:ind w:firstLineChars="200" w:firstLine="643"/>
        <w:textAlignment w:val="baseline"/>
        <w:rPr>
          <w:rFonts w:ascii="仿宋" w:eastAsia="仿宋" w:hAnsi="仿宋" w:cs="仿宋"/>
          <w:kern w:val="0"/>
          <w:sz w:val="32"/>
          <w:szCs w:val="32"/>
          <w:shd w:val="clear" w:color="auto" w:fill="FFFFFF"/>
        </w:rPr>
      </w:pPr>
      <w:r>
        <w:rPr>
          <w:rFonts w:ascii="仿宋" w:eastAsia="仿宋" w:hAnsi="仿宋" w:cs="仿宋" w:hint="eastAsia"/>
          <w:b/>
          <w:bCs/>
          <w:sz w:val="32"/>
          <w:szCs w:val="32"/>
        </w:rPr>
        <w:t>从国际看，</w:t>
      </w:r>
      <w:r>
        <w:rPr>
          <w:rFonts w:ascii="仿宋" w:eastAsia="仿宋" w:hAnsi="仿宋" w:cs="仿宋" w:hint="eastAsia"/>
          <w:sz w:val="32"/>
          <w:szCs w:val="32"/>
        </w:rPr>
        <w:t>和平与发展仍然是时代主题，经济全球化根</w:t>
      </w:r>
      <w:r>
        <w:rPr>
          <w:rFonts w:ascii="仿宋" w:eastAsia="仿宋" w:hAnsi="仿宋" w:cs="仿宋" w:hint="eastAsia"/>
          <w:sz w:val="32"/>
          <w:szCs w:val="32"/>
        </w:rPr>
        <w:lastRenderedPageBreak/>
        <w:t>本方向、多边主义规则体系、人类社会对公平正义的追求不会改变。当今世界正经历百年未有之大变局，国际环境日趋错综复杂，随着我国综合国力提升，中美战略博弈更趋激烈，世界经济不稳定不确定性明显增加。全球政治格局、经济体系、贸易规则等重组步伐加快、调整力度加大。传统经济增长动能持续减弱，加上新冠肺炎疫情影响广泛深远，全球经济衰退风险日益加大。新一轮科技革命和产业变革深入发展，加快国际产业分工版图重塑。</w:t>
      </w:r>
      <w:r>
        <w:rPr>
          <w:rFonts w:ascii="仿宋" w:eastAsia="仿宋" w:hAnsi="仿宋" w:cs="仿宋" w:hint="eastAsia"/>
          <w:b/>
          <w:bCs/>
          <w:sz w:val="32"/>
          <w:szCs w:val="32"/>
        </w:rPr>
        <w:t>从国内看，</w:t>
      </w:r>
      <w:r>
        <w:rPr>
          <w:rFonts w:ascii="仿宋" w:eastAsia="仿宋" w:hAnsi="仿宋" w:cs="仿宋" w:hint="eastAsia"/>
          <w:kern w:val="0"/>
          <w:sz w:val="32"/>
          <w:szCs w:val="32"/>
          <w:shd w:val="clear" w:color="auto" w:fill="FFFFFF"/>
        </w:rPr>
        <w:t>我国成为中低端产业“世界工厂”，</w:t>
      </w:r>
      <w:r>
        <w:rPr>
          <w:rFonts w:ascii="仿宋" w:eastAsia="仿宋" w:hAnsi="仿宋" w:cs="仿宋"/>
          <w:kern w:val="0"/>
          <w:sz w:val="32"/>
          <w:szCs w:val="32"/>
          <w:shd w:val="clear" w:color="auto" w:fill="FFFFFF"/>
        </w:rPr>
        <w:t>2020年全球唯一实现经济正增长的主要经济体，</w:t>
      </w:r>
      <w:r>
        <w:rPr>
          <w:rFonts w:ascii="仿宋" w:eastAsia="仿宋" w:hAnsi="仿宋" w:cs="仿宋" w:hint="eastAsia"/>
          <w:sz w:val="32"/>
          <w:szCs w:val="32"/>
        </w:rPr>
        <w:t>大国消费的韧性、完整的产业体系、高效的治理能力，为我国经济社会转型升级再上新台阶奠定坚实基础。坚定实施扩大内需战略，使供给和需求有机衔接、消费和投资共同发力、宏观调控政策和改革举措协同联动，国内大循环为主体、国内国际双循环相互促进的新发展格局加快形成。战略性产业供应体系加速重构，持续强化固链、补链、强链能力，将成为新时代我国产业转型升级的主线。数字经济引领新旧动能转换的主引擎作用进一步凸显，区域经济社会将呈现多元化发展态势。我国经济稳中向好、长期向好的基本面没有变，经济潜力足、韧性大、活力强、回旋空间大、政策工具多的基本特点没有变，我国发展具有的多方面优势和条件没有变。</w:t>
      </w:r>
      <w:r>
        <w:rPr>
          <w:rFonts w:ascii="仿宋" w:eastAsia="仿宋" w:hAnsi="仿宋" w:cs="仿宋" w:hint="eastAsia"/>
          <w:b/>
          <w:bCs/>
          <w:kern w:val="0"/>
          <w:sz w:val="32"/>
          <w:szCs w:val="32"/>
          <w:shd w:val="clear" w:color="auto" w:fill="FFFFFF"/>
        </w:rPr>
        <w:t>从全省看，</w:t>
      </w:r>
      <w:r>
        <w:rPr>
          <w:rFonts w:ascii="仿宋" w:eastAsia="仿宋" w:hAnsi="仿宋" w:cs="仿宋" w:hint="eastAsia"/>
          <w:sz w:val="32"/>
          <w:szCs w:val="32"/>
        </w:rPr>
        <w:t>随着“一带一路”建设、长江经济带发展、新一轮西部大开发、成渝地区双城经济圈建设等国家战略在四川深入实施，</w:t>
      </w:r>
      <w:r>
        <w:rPr>
          <w:rFonts w:ascii="仿宋" w:eastAsia="仿宋" w:hAnsi="仿宋" w:cs="仿宋" w:hint="eastAsia"/>
          <w:kern w:val="0"/>
          <w:sz w:val="32"/>
          <w:szCs w:val="32"/>
          <w:shd w:val="clear" w:color="auto" w:fill="FFFFFF"/>
        </w:rPr>
        <w:t>四川的战略位势更加凸显、战略动能更加强劲、战略支撑更加有力。</w:t>
      </w:r>
      <w:r>
        <w:rPr>
          <w:rFonts w:ascii="仿宋" w:eastAsia="仿宋" w:hAnsi="仿宋" w:cs="仿宋" w:hint="eastAsia"/>
          <w:sz w:val="32"/>
          <w:szCs w:val="32"/>
        </w:rPr>
        <w:t>区域空间布局整体优化，</w:t>
      </w:r>
      <w:r>
        <w:rPr>
          <w:rFonts w:ascii="仿宋" w:eastAsia="仿宋" w:hAnsi="仿宋" w:cs="仿宋" w:hint="eastAsia"/>
          <w:sz w:val="32"/>
          <w:szCs w:val="32"/>
        </w:rPr>
        <w:lastRenderedPageBreak/>
        <w:t>创新驱动新优势加快培育，内陆开放战略高地加速形成，现代产业体系发展壮大，基础设施建设迎来重大突破，高质量发展的牵引力推动力支撑力显著增强。治理体系和治理能力现代化加快推进，生态环境明显好转，底线民生、基本民生、质量民生持续改善，人均地区生产总值将突破1万美元，人民生活水平实现新跨越。</w:t>
      </w:r>
      <w:r>
        <w:rPr>
          <w:rFonts w:ascii="仿宋" w:eastAsia="仿宋" w:hAnsi="仿宋" w:cs="仿宋" w:hint="eastAsia"/>
          <w:b/>
          <w:kern w:val="0"/>
          <w:sz w:val="32"/>
          <w:szCs w:val="44"/>
        </w:rPr>
        <w:t>从全市看，</w:t>
      </w:r>
      <w:r>
        <w:rPr>
          <w:rFonts w:ascii="仿宋" w:eastAsia="仿宋" w:hAnsi="仿宋" w:cs="仿宋" w:hint="eastAsia"/>
          <w:sz w:val="32"/>
          <w:szCs w:val="32"/>
        </w:rPr>
        <w:t>乐山纳入成都平原经济区，融入发展、协同发展、创新发展引领市场化改革、制度型开放、绿色化转型的发展导向更加鲜明，为乐山高质量发展带来东部产业西移、基础设施升级、产品市场扩大、区域合作加强等新的重大机遇。从我区看，立足资源优势，旅游、水电开发加快，将形成新的支柱产业。国家加大半导体产业扶持，我区工业硅产业将迎来5年左右黄金发展期。随着玄武岩新材料开发利用，硅材料及玄武岩将成为我区新的支柱产业，为全区经济社会跨越式发展积蓄了强大后劲；“大通道”建设催生“高速时代”，将极大改善交通区位条件，有利于金口河开明开放发展、融合发展、协同发展、创新发展，推动金口河融入乐山区域中心城市、成都平原经济区和成渝经济圈，</w:t>
      </w:r>
      <w:r>
        <w:rPr>
          <w:rFonts w:ascii="仿宋" w:eastAsia="仿宋" w:hAnsi="仿宋" w:cs="仿宋" w:hint="eastAsia"/>
          <w:kern w:val="0"/>
          <w:sz w:val="32"/>
          <w:szCs w:val="32"/>
        </w:rPr>
        <w:t>发展空间更广，发展潜力更大</w:t>
      </w:r>
      <w:r>
        <w:rPr>
          <w:rFonts w:ascii="仿宋" w:eastAsia="仿宋" w:hAnsi="仿宋" w:cs="仿宋" w:hint="eastAsia"/>
          <w:sz w:val="32"/>
          <w:szCs w:val="32"/>
        </w:rPr>
        <w:t>；五年来同心同德、战贫奔康，历练了过硬的铁军队伍，收获了宝贵的民心拥戴，激发了</w:t>
      </w:r>
      <w:r>
        <w:rPr>
          <w:rFonts w:ascii="仿宋" w:eastAsia="仿宋" w:hAnsi="仿宋" w:cs="仿宋" w:hint="eastAsia"/>
          <w:kern w:val="0"/>
          <w:sz w:val="32"/>
          <w:szCs w:val="32"/>
          <w:shd w:val="clear" w:color="auto" w:fill="FFFFFF"/>
        </w:rPr>
        <w:t>昂扬的拼搏斗志，为乘势而上开启全面建设社会主义现代化金口河新征程提供了强大保障。</w:t>
      </w:r>
      <w:r>
        <w:rPr>
          <w:rFonts w:ascii="仿宋" w:eastAsia="仿宋" w:hAnsi="仿宋" w:cs="仿宋" w:hint="eastAsia"/>
          <w:b/>
          <w:bCs/>
          <w:kern w:val="0"/>
          <w:sz w:val="32"/>
          <w:szCs w:val="32"/>
          <w:shd w:val="clear" w:color="auto" w:fill="FFFFFF"/>
        </w:rPr>
        <w:t>同时也要清醒认识：</w:t>
      </w:r>
      <w:r>
        <w:rPr>
          <w:rFonts w:ascii="仿宋" w:eastAsia="仿宋" w:hAnsi="仿宋" w:cs="仿宋" w:hint="eastAsia"/>
          <w:kern w:val="0"/>
          <w:sz w:val="32"/>
          <w:szCs w:val="32"/>
          <w:shd w:val="clear" w:color="auto" w:fill="FFFFFF"/>
        </w:rPr>
        <w:t>底子薄、欠发达的区情没有根本改变。</w:t>
      </w:r>
      <w:r>
        <w:rPr>
          <w:rFonts w:ascii="仿宋" w:eastAsia="仿宋" w:hAnsi="仿宋" w:cs="仿宋" w:hint="eastAsia"/>
          <w:b/>
          <w:bCs/>
          <w:kern w:val="0"/>
          <w:sz w:val="32"/>
          <w:szCs w:val="32"/>
          <w:shd w:val="clear" w:color="auto" w:fill="FFFFFF"/>
        </w:rPr>
        <w:t>发展受限方面</w:t>
      </w:r>
      <w:r>
        <w:rPr>
          <w:rFonts w:ascii="仿宋" w:eastAsia="仿宋" w:hAnsi="仿宋" w:cs="仿宋" w:hint="eastAsia"/>
          <w:kern w:val="0"/>
          <w:sz w:val="32"/>
          <w:szCs w:val="32"/>
          <w:shd w:val="clear" w:color="auto" w:fill="FFFFFF"/>
        </w:rPr>
        <w:t>，区位不优，自然环境较差，灾害频发，建设成本高，开发建设受生态红线政策、土地要素等约束强，发展空间和前景堪忧。</w:t>
      </w:r>
      <w:r>
        <w:rPr>
          <w:rFonts w:ascii="仿宋" w:eastAsia="仿宋" w:hAnsi="仿宋" w:cs="仿宋" w:hint="eastAsia"/>
          <w:b/>
          <w:bCs/>
          <w:kern w:val="0"/>
          <w:sz w:val="32"/>
          <w:szCs w:val="32"/>
          <w:shd w:val="clear" w:color="auto" w:fill="FFFFFF"/>
        </w:rPr>
        <w:lastRenderedPageBreak/>
        <w:t>发展基础方面，</w:t>
      </w:r>
      <w:r>
        <w:rPr>
          <w:rFonts w:ascii="仿宋" w:eastAsia="仿宋" w:hAnsi="仿宋" w:cs="仿宋" w:hint="eastAsia"/>
          <w:kern w:val="0"/>
          <w:sz w:val="32"/>
          <w:szCs w:val="32"/>
          <w:shd w:val="clear" w:color="auto" w:fill="FFFFFF"/>
        </w:rPr>
        <w:t>体量不大、产业不强、民生欠账较多，财力薄弱，自我发展能力不足，“小马拉大车”效应更加凸显。</w:t>
      </w:r>
      <w:r>
        <w:rPr>
          <w:rFonts w:ascii="仿宋" w:eastAsia="仿宋" w:hAnsi="仿宋" w:cs="仿宋" w:hint="eastAsia"/>
          <w:b/>
          <w:bCs/>
          <w:kern w:val="0"/>
          <w:sz w:val="32"/>
          <w:szCs w:val="32"/>
          <w:shd w:val="clear" w:color="auto" w:fill="FFFFFF"/>
        </w:rPr>
        <w:t>发展能力方面，</w:t>
      </w:r>
      <w:r>
        <w:rPr>
          <w:rFonts w:ascii="仿宋" w:eastAsia="仿宋" w:hAnsi="仿宋" w:cs="仿宋" w:hint="eastAsia"/>
          <w:kern w:val="0"/>
          <w:sz w:val="32"/>
          <w:szCs w:val="32"/>
          <w:shd w:val="clear" w:color="auto" w:fill="FFFFFF"/>
        </w:rPr>
        <w:t>服务经济力量薄弱，质量不高，市场机制不活、协调发展不足、服务意识不强，营商环境不优等问题仍不同程度存在，公共服务、生态环保、社会治理等领域还有短板弱项。</w:t>
      </w:r>
      <w:r>
        <w:rPr>
          <w:rFonts w:ascii="仿宋" w:eastAsia="仿宋" w:hAnsi="仿宋" w:cs="仿宋" w:hint="eastAsia"/>
          <w:b/>
          <w:bCs/>
          <w:kern w:val="0"/>
          <w:sz w:val="32"/>
          <w:szCs w:val="32"/>
          <w:shd w:val="clear" w:color="auto" w:fill="FFFFFF"/>
        </w:rPr>
        <w:t>发展动力方面，</w:t>
      </w:r>
      <w:r>
        <w:rPr>
          <w:rFonts w:ascii="仿宋" w:eastAsia="仿宋" w:hAnsi="仿宋" w:cs="仿宋" w:hint="eastAsia"/>
          <w:kern w:val="0"/>
          <w:sz w:val="32"/>
          <w:szCs w:val="32"/>
          <w:shd w:val="clear" w:color="auto" w:fill="FFFFFF"/>
        </w:rPr>
        <w:t>科技投入不足，人才短缺，深化改革推进滞后，制约发展的体制、机制还未健全，谋发展、促改革、倡创新能力依然不足。</w:t>
      </w:r>
      <w:r>
        <w:rPr>
          <w:rFonts w:ascii="仿宋" w:eastAsia="仿宋" w:hAnsi="仿宋" w:cs="仿宋" w:hint="eastAsia"/>
          <w:b/>
          <w:bCs/>
          <w:kern w:val="0"/>
          <w:sz w:val="32"/>
          <w:szCs w:val="32"/>
          <w:shd w:val="clear" w:color="auto" w:fill="FFFFFF"/>
        </w:rPr>
        <w:t>发展风险方面，</w:t>
      </w:r>
      <w:r>
        <w:rPr>
          <w:rFonts w:ascii="仿宋" w:eastAsia="仿宋" w:hAnsi="仿宋" w:cs="仿宋" w:hint="eastAsia"/>
          <w:kern w:val="0"/>
          <w:sz w:val="32"/>
          <w:szCs w:val="32"/>
          <w:shd w:val="clear" w:color="auto" w:fill="FFFFFF"/>
        </w:rPr>
        <w:t>历史遗留问题和改革发展中的新问题相互交织，风险积累叠加。资源开发与环境保护存在冲突，大环境变化导致优惠政策逐步丧失，发展与保护矛盾需要逐步化解。</w:t>
      </w:r>
    </w:p>
    <w:p w:rsidR="00E35214" w:rsidRDefault="006F7231">
      <w:pPr>
        <w:snapToGrid w:val="0"/>
        <w:spacing w:line="580" w:lineRule="atLeast"/>
        <w:ind w:firstLineChars="200" w:firstLine="640"/>
        <w:textAlignment w:val="baseline"/>
        <w:rPr>
          <w:rFonts w:ascii="仿宋" w:eastAsia="仿宋" w:hAnsi="仿宋" w:cs="仿宋"/>
          <w:kern w:val="0"/>
          <w:sz w:val="32"/>
          <w:szCs w:val="32"/>
          <w:shd w:val="clear" w:color="auto" w:fill="FFFFFF"/>
        </w:rPr>
      </w:pPr>
      <w:r>
        <w:rPr>
          <w:rFonts w:ascii="仿宋" w:eastAsia="仿宋" w:hAnsi="仿宋" w:cs="仿宋" w:hint="eastAsia"/>
          <w:kern w:val="0"/>
          <w:sz w:val="32"/>
          <w:szCs w:val="32"/>
          <w:shd w:val="clear" w:color="auto" w:fill="FFFFFF"/>
        </w:rPr>
        <w:t>面向未来，全区上下必须胸怀“两个大局”，辩证看待新发展阶段面临的新机遇新挑战，深刻认识社会主要矛盾变化，把握发展规律，保持发展定力，切实增强机遇意识、进取意识和斗争意识，努力在危机中育先机、于变局中开新局。</w:t>
      </w:r>
    </w:p>
    <w:p w:rsidR="00E35214" w:rsidRDefault="00E35214">
      <w:pPr>
        <w:snapToGrid w:val="0"/>
        <w:ind w:firstLineChars="200" w:firstLine="640"/>
        <w:textAlignment w:val="baseline"/>
        <w:rPr>
          <w:rFonts w:ascii="仿宋" w:eastAsia="仿宋" w:hAnsi="仿宋" w:cs="仿宋"/>
          <w:kern w:val="0"/>
          <w:sz w:val="32"/>
          <w:szCs w:val="32"/>
          <w:shd w:val="clear" w:color="auto" w:fill="FFFFFF"/>
        </w:rPr>
      </w:pPr>
    </w:p>
    <w:p w:rsidR="00E35214" w:rsidRDefault="006F7231">
      <w:pPr>
        <w:pStyle w:val="2"/>
        <w:snapToGrid w:val="0"/>
        <w:textAlignment w:val="baseline"/>
      </w:pPr>
      <w:bookmarkStart w:id="28" w:name="_Toc13586"/>
      <w:bookmarkStart w:id="29" w:name="_Toc21942"/>
      <w:bookmarkStart w:id="30" w:name="_Toc9839"/>
      <w:bookmarkStart w:id="31" w:name="_Toc10471"/>
      <w:bookmarkStart w:id="32" w:name="_Toc3285"/>
      <w:bookmarkStart w:id="33" w:name="_Toc14110"/>
      <w:bookmarkStart w:id="34" w:name="_Toc20022"/>
      <w:bookmarkStart w:id="35" w:name="_Toc27065"/>
      <w:bookmarkStart w:id="36" w:name="_Toc637"/>
      <w:bookmarkStart w:id="37" w:name="_Toc10432"/>
      <w:r>
        <w:rPr>
          <w:rFonts w:hint="eastAsia"/>
        </w:rPr>
        <w:t>第二章</w:t>
      </w:r>
      <w:r>
        <w:rPr>
          <w:rFonts w:hint="eastAsia"/>
        </w:rPr>
        <w:t xml:space="preserve">  </w:t>
      </w:r>
      <w:bookmarkEnd w:id="27"/>
      <w:bookmarkEnd w:id="28"/>
      <w:bookmarkEnd w:id="29"/>
      <w:bookmarkEnd w:id="30"/>
      <w:bookmarkEnd w:id="31"/>
      <w:bookmarkEnd w:id="32"/>
      <w:bookmarkEnd w:id="33"/>
      <w:bookmarkEnd w:id="34"/>
      <w:bookmarkEnd w:id="35"/>
      <w:bookmarkEnd w:id="36"/>
      <w:r>
        <w:rPr>
          <w:rFonts w:hint="eastAsia"/>
        </w:rPr>
        <w:t>指导思想和基本原则</w:t>
      </w:r>
      <w:bookmarkEnd w:id="37"/>
    </w:p>
    <w:p w:rsidR="00E35214" w:rsidRDefault="006F7231">
      <w:pPr>
        <w:pStyle w:val="3"/>
        <w:snapToGrid w:val="0"/>
        <w:spacing w:line="580" w:lineRule="exact"/>
        <w:textAlignment w:val="baseline"/>
        <w:rPr>
          <w:rFonts w:ascii="仿宋" w:eastAsia="仿宋" w:hAnsi="仿宋" w:cs="仿宋"/>
          <w:szCs w:val="22"/>
        </w:rPr>
      </w:pPr>
      <w:bookmarkStart w:id="38" w:name="_Toc20311"/>
      <w:bookmarkStart w:id="39" w:name="_Toc3463"/>
      <w:bookmarkStart w:id="40" w:name="_Toc17781"/>
      <w:bookmarkStart w:id="41" w:name="_Toc9636"/>
      <w:bookmarkStart w:id="42" w:name="_Toc25595"/>
      <w:bookmarkStart w:id="43" w:name="_Toc2142"/>
      <w:bookmarkStart w:id="44" w:name="_Toc30244"/>
      <w:bookmarkStart w:id="45" w:name="_Toc29859"/>
      <w:r>
        <w:rPr>
          <w:rFonts w:ascii="仿宋" w:eastAsia="仿宋" w:hAnsi="仿宋" w:cs="仿宋" w:hint="eastAsia"/>
          <w:szCs w:val="22"/>
        </w:rPr>
        <w:t>第一节指导思想</w:t>
      </w:r>
      <w:bookmarkEnd w:id="38"/>
      <w:bookmarkEnd w:id="39"/>
      <w:bookmarkEnd w:id="40"/>
      <w:bookmarkEnd w:id="41"/>
      <w:bookmarkEnd w:id="42"/>
      <w:bookmarkEnd w:id="43"/>
      <w:bookmarkEnd w:id="44"/>
      <w:bookmarkEnd w:id="45"/>
    </w:p>
    <w:p w:rsidR="00E35214" w:rsidRDefault="006F7231">
      <w:pPr>
        <w:snapToGrid w:val="0"/>
        <w:spacing w:line="597" w:lineRule="exact"/>
        <w:ind w:firstLineChars="200" w:firstLine="640"/>
        <w:textAlignment w:val="baseline"/>
        <w:rPr>
          <w:rFonts w:ascii="仿宋" w:eastAsia="仿宋" w:hAnsi="仿宋" w:cs="仿宋"/>
          <w:kern w:val="0"/>
          <w:sz w:val="32"/>
          <w:szCs w:val="32"/>
          <w:shd w:val="clear" w:color="auto" w:fill="FFFFFF"/>
        </w:rPr>
      </w:pPr>
      <w:r>
        <w:rPr>
          <w:rFonts w:ascii="仿宋" w:eastAsia="仿宋" w:hAnsi="仿宋" w:cs="仿宋" w:hint="eastAsia"/>
          <w:kern w:val="0"/>
          <w:sz w:val="32"/>
          <w:szCs w:val="32"/>
          <w:shd w:val="clear" w:color="auto" w:fill="FFFFFF"/>
        </w:rPr>
        <w:t>坚持以习近平新时代中国特色社会主义思想为指导，全面贯彻党的十九大及全会精神，全面落实省市工作部署，突出共同富裕这个新的时代课题，坚持稳中求进工作总基调，立足新发展阶段、贯彻新发展理念、融入新发展格局，坚持</w:t>
      </w:r>
      <w:r>
        <w:rPr>
          <w:rFonts w:ascii="仿宋" w:eastAsia="仿宋" w:hAnsi="仿宋" w:cs="仿宋" w:hint="eastAsia"/>
          <w:kern w:val="0"/>
          <w:sz w:val="32"/>
          <w:szCs w:val="32"/>
          <w:shd w:val="clear" w:color="auto" w:fill="FFFFFF"/>
        </w:rPr>
        <w:lastRenderedPageBreak/>
        <w:t>“干在实处、走在前列”取向，按照“一个主题、一条主线、六个加快、八大行动”“1168”发展思路，奋力推进与区位优势相匹配、与省市要求相适应、与人民愿望相契合的高质量发展，为全面建设社会主义现代化金口河开好局、起好步。</w:t>
      </w:r>
    </w:p>
    <w:p w:rsidR="00E35214" w:rsidRDefault="006F7231">
      <w:pPr>
        <w:pStyle w:val="3"/>
        <w:snapToGrid w:val="0"/>
        <w:spacing w:line="580" w:lineRule="exact"/>
        <w:ind w:firstLineChars="200" w:firstLine="643"/>
        <w:textAlignment w:val="baseline"/>
        <w:rPr>
          <w:rFonts w:ascii="仿宋" w:eastAsia="仿宋" w:hAnsi="仿宋" w:cs="仿宋"/>
          <w:szCs w:val="22"/>
        </w:rPr>
      </w:pPr>
      <w:bookmarkStart w:id="46" w:name="_Toc17477"/>
      <w:bookmarkStart w:id="47" w:name="_Toc17249"/>
      <w:bookmarkStart w:id="48" w:name="_Toc16518"/>
      <w:bookmarkStart w:id="49" w:name="_Toc20617"/>
      <w:bookmarkStart w:id="50" w:name="_Toc19105"/>
      <w:bookmarkStart w:id="51" w:name="_Toc23314"/>
      <w:bookmarkStart w:id="52" w:name="_Toc27504"/>
      <w:bookmarkStart w:id="53" w:name="_Toc13763"/>
      <w:r>
        <w:rPr>
          <w:rFonts w:ascii="仿宋" w:eastAsia="仿宋" w:hAnsi="仿宋" w:cs="仿宋" w:hint="eastAsia"/>
          <w:szCs w:val="22"/>
        </w:rPr>
        <w:t>第二节基本</w:t>
      </w:r>
      <w:bookmarkEnd w:id="46"/>
      <w:bookmarkEnd w:id="47"/>
      <w:bookmarkEnd w:id="48"/>
      <w:bookmarkEnd w:id="49"/>
      <w:bookmarkEnd w:id="50"/>
      <w:bookmarkEnd w:id="51"/>
      <w:bookmarkEnd w:id="52"/>
      <w:bookmarkEnd w:id="53"/>
      <w:r>
        <w:rPr>
          <w:rFonts w:ascii="仿宋" w:eastAsia="仿宋" w:hAnsi="仿宋" w:cs="仿宋" w:hint="eastAsia"/>
          <w:szCs w:val="22"/>
        </w:rPr>
        <w:t>原则</w:t>
      </w:r>
    </w:p>
    <w:p w:rsidR="00E35214" w:rsidRDefault="006F7231">
      <w:pPr>
        <w:snapToGrid w:val="0"/>
        <w:spacing w:line="597" w:lineRule="exact"/>
        <w:ind w:firstLineChars="200" w:firstLine="640"/>
        <w:textAlignment w:val="baseline"/>
        <w:rPr>
          <w:rFonts w:ascii="仿宋" w:eastAsia="仿宋" w:hAnsi="仿宋" w:cs="仿宋"/>
          <w:b/>
          <w:bCs/>
          <w:kern w:val="0"/>
          <w:sz w:val="32"/>
          <w:szCs w:val="44"/>
        </w:rPr>
      </w:pPr>
      <w:r>
        <w:rPr>
          <w:rFonts w:ascii="仿宋" w:eastAsia="仿宋" w:hAnsi="仿宋" w:cs="仿宋" w:hint="eastAsia"/>
          <w:kern w:val="0"/>
          <w:sz w:val="32"/>
          <w:szCs w:val="32"/>
          <w:shd w:val="clear" w:color="auto" w:fill="FFFFFF"/>
        </w:rPr>
        <w:t>推动“十四五”时期金口河经济社会发展，必须坚持党的全面领导、坚持以人民为中心、坚持新发展理念、坚持深化改革开放、坚持系统观念，在具体工作中把握以下基本原则。</w:t>
      </w:r>
    </w:p>
    <w:p w:rsidR="00E35214" w:rsidRDefault="006F7231">
      <w:pPr>
        <w:snapToGrid w:val="0"/>
        <w:spacing w:line="597" w:lineRule="exact"/>
        <w:ind w:firstLineChars="200" w:firstLine="643"/>
        <w:textAlignment w:val="baseline"/>
        <w:rPr>
          <w:rFonts w:ascii="仿宋" w:eastAsia="仿宋" w:hAnsi="仿宋" w:cs="仿宋"/>
          <w:kern w:val="0"/>
          <w:sz w:val="32"/>
          <w:szCs w:val="32"/>
          <w:shd w:val="clear" w:color="auto" w:fill="FFFFFF"/>
        </w:rPr>
      </w:pPr>
      <w:r>
        <w:rPr>
          <w:rFonts w:ascii="仿宋" w:eastAsia="仿宋" w:hAnsi="仿宋" w:cs="仿宋" w:hint="eastAsia"/>
          <w:b/>
          <w:bCs/>
          <w:kern w:val="0"/>
          <w:sz w:val="32"/>
          <w:szCs w:val="32"/>
          <w:shd w:val="clear" w:color="auto" w:fill="FFFFFF"/>
        </w:rPr>
        <w:t>——坚持发展导向原则。</w:t>
      </w:r>
      <w:r>
        <w:rPr>
          <w:rFonts w:ascii="仿宋" w:eastAsia="仿宋" w:hAnsi="仿宋" w:cs="仿宋" w:hint="eastAsia"/>
          <w:kern w:val="0"/>
          <w:sz w:val="32"/>
          <w:szCs w:val="32"/>
          <w:shd w:val="clear" w:color="auto" w:fill="FFFFFF"/>
        </w:rPr>
        <w:t>坚持问题导向，正视发展中的问题和矛盾，研究落实措施趋利避害。坚持目标导向，以全面建设社会主义现代化金口河统揽经济社会发展全局，推动全面深化改革、全面依法治区、全面从严治党向纵深发展。更加注重发展、治理、民生之间的相互联系，统筹推进经济建设、政治建设、文化建设、社会建设、生态文明建设，促进全区现代化建设各个环节、各个方面相互协调。</w:t>
      </w:r>
    </w:p>
    <w:p w:rsidR="00E35214" w:rsidRDefault="006F7231">
      <w:pPr>
        <w:snapToGrid w:val="0"/>
        <w:spacing w:line="597" w:lineRule="exact"/>
        <w:ind w:firstLineChars="200" w:firstLine="643"/>
        <w:textAlignment w:val="baseline"/>
        <w:rPr>
          <w:rFonts w:ascii="仿宋" w:eastAsia="仿宋" w:hAnsi="仿宋" w:cs="仿宋"/>
          <w:kern w:val="0"/>
          <w:sz w:val="32"/>
          <w:szCs w:val="32"/>
          <w:shd w:val="clear" w:color="auto" w:fill="FFFFFF"/>
        </w:rPr>
      </w:pPr>
      <w:r>
        <w:rPr>
          <w:rFonts w:ascii="仿宋" w:eastAsia="仿宋" w:hAnsi="仿宋" w:cs="仿宋" w:hint="eastAsia"/>
          <w:b/>
          <w:bCs/>
          <w:kern w:val="0"/>
          <w:sz w:val="32"/>
          <w:szCs w:val="32"/>
          <w:shd w:val="clear" w:color="auto" w:fill="FFFFFF"/>
        </w:rPr>
        <w:t>——突出发展主题原则。</w:t>
      </w:r>
      <w:r>
        <w:rPr>
          <w:rFonts w:ascii="仿宋" w:eastAsia="仿宋" w:hAnsi="仿宋" w:cs="仿宋" w:hint="eastAsia"/>
          <w:kern w:val="0"/>
          <w:sz w:val="32"/>
          <w:szCs w:val="32"/>
          <w:shd w:val="clear" w:color="auto" w:fill="FFFFFF"/>
        </w:rPr>
        <w:t>始终把推动绿色高质量发展作为主题，把发展作为第一要务，坚定不移贯彻新发展理念，切实转变发展方式，推动质量变革、效率变革、动力变革，使创新成为第一动力、协调成为内生特点、绿色成为普遍形态、开放成为必由之路、共享成为根本目的，努力实现更高质量、更有效率、更加公平、更可持续、更为安全的发展。</w:t>
      </w:r>
    </w:p>
    <w:p w:rsidR="00E35214" w:rsidRDefault="006F7231">
      <w:pPr>
        <w:snapToGrid w:val="0"/>
        <w:spacing w:line="597" w:lineRule="exact"/>
        <w:ind w:firstLineChars="200" w:firstLine="643"/>
        <w:textAlignment w:val="baseline"/>
        <w:rPr>
          <w:rFonts w:ascii="仿宋" w:eastAsia="仿宋" w:hAnsi="仿宋" w:cs="仿宋"/>
          <w:kern w:val="0"/>
          <w:sz w:val="32"/>
          <w:szCs w:val="32"/>
          <w:shd w:val="clear" w:color="auto" w:fill="FFFFFF"/>
        </w:rPr>
      </w:pPr>
      <w:r>
        <w:rPr>
          <w:rFonts w:ascii="仿宋" w:eastAsia="仿宋" w:hAnsi="仿宋" w:cs="仿宋" w:hint="eastAsia"/>
          <w:b/>
          <w:bCs/>
          <w:kern w:val="0"/>
          <w:sz w:val="32"/>
          <w:szCs w:val="32"/>
          <w:shd w:val="clear" w:color="auto" w:fill="FFFFFF"/>
        </w:rPr>
        <w:lastRenderedPageBreak/>
        <w:t>——注重发展主线原则。</w:t>
      </w:r>
      <w:r>
        <w:rPr>
          <w:rFonts w:ascii="仿宋" w:eastAsia="仿宋" w:hAnsi="仿宋" w:cs="仿宋" w:hint="eastAsia"/>
          <w:bCs/>
          <w:kern w:val="0"/>
          <w:sz w:val="32"/>
          <w:szCs w:val="44"/>
        </w:rPr>
        <w:t>坚持把生态作为立区之基、旅游作为兴区之要、产业作为强区之本，坚持全域化、品质化、特色化、融合化、智慧化“五化发展”，推进碧水守护、蓝天保卫、净土攻坚、大地增绿、城乡洁净“五大行动”，做好山、水、文、城“四篇文章”，壮大文化旅游、清洁能源、绿色冶炼、特优加工“四大产业”，</w:t>
      </w:r>
      <w:r>
        <w:rPr>
          <w:rFonts w:ascii="仿宋" w:eastAsia="仿宋" w:hAnsi="仿宋" w:cs="仿宋" w:hint="eastAsia"/>
          <w:kern w:val="0"/>
          <w:sz w:val="32"/>
          <w:szCs w:val="32"/>
          <w:shd w:val="clear" w:color="auto" w:fill="FFFFFF"/>
        </w:rPr>
        <w:t>加快构建具有金口河特色的现代产业体系。</w:t>
      </w:r>
    </w:p>
    <w:p w:rsidR="00E35214" w:rsidRDefault="006F7231">
      <w:pPr>
        <w:pStyle w:val="a0"/>
        <w:rPr>
          <w:rFonts w:eastAsia="仿宋"/>
        </w:rPr>
      </w:pPr>
      <w:r>
        <w:rPr>
          <w:rFonts w:ascii="仿宋" w:eastAsia="仿宋" w:hAnsi="仿宋" w:cs="仿宋" w:hint="eastAsia"/>
          <w:b/>
          <w:bCs/>
          <w:kern w:val="0"/>
          <w:szCs w:val="32"/>
          <w:shd w:val="clear" w:color="auto" w:fill="FFFFFF"/>
        </w:rPr>
        <w:t>——统筹开发保护原则。树立开发利用是最好的保护、绿色发展是最终的保护途径理念，下大力气统筹化解环境保护与资源开发的矛盾，有序推进水电、旅游矿产等资源开发，促进资源优势向经济优势转化，通过绿色发展积累保护资本和经验，在发展中化解矛盾，解决问题，促使保护与发展良性循环，互为促进。</w:t>
      </w:r>
    </w:p>
    <w:p w:rsidR="00E35214" w:rsidRDefault="006F7231">
      <w:pPr>
        <w:snapToGrid w:val="0"/>
        <w:spacing w:line="597" w:lineRule="exact"/>
        <w:ind w:firstLineChars="100" w:firstLine="321"/>
        <w:textAlignment w:val="baseline"/>
        <w:rPr>
          <w:rFonts w:ascii="仿宋" w:eastAsia="仿宋" w:hAnsi="仿宋" w:cs="仿宋"/>
          <w:bCs/>
          <w:kern w:val="0"/>
          <w:sz w:val="32"/>
          <w:szCs w:val="44"/>
        </w:rPr>
      </w:pPr>
      <w:r>
        <w:rPr>
          <w:rFonts w:ascii="仿宋" w:eastAsia="仿宋" w:hAnsi="仿宋" w:cs="仿宋" w:hint="eastAsia"/>
          <w:b/>
          <w:bCs/>
          <w:kern w:val="0"/>
          <w:sz w:val="32"/>
          <w:szCs w:val="32"/>
          <w:shd w:val="clear" w:color="auto" w:fill="FFFFFF"/>
        </w:rPr>
        <w:t>——倡导工作取向原则。</w:t>
      </w:r>
      <w:r>
        <w:rPr>
          <w:rFonts w:ascii="仿宋" w:eastAsia="仿宋" w:hAnsi="仿宋" w:cs="仿宋" w:hint="eastAsia"/>
          <w:kern w:val="0"/>
          <w:sz w:val="32"/>
          <w:szCs w:val="32"/>
          <w:shd w:val="clear" w:color="auto" w:fill="FFFFFF"/>
        </w:rPr>
        <w:t>坚持把“干在实处”作为根本要求、“走在前列”作为检验标准，大力弘扬“逢山开路、遇水架桥”的铁道兵精神，心无旁骛谋实策、出实招、办实事，奋力在社会主义现代化新征程上走在全市前列，交出无愧于时代、无愧于历史、无愧于人民的崭新答卷。</w:t>
      </w:r>
    </w:p>
    <w:p w:rsidR="00E35214" w:rsidRDefault="00E35214">
      <w:pPr>
        <w:snapToGrid w:val="0"/>
        <w:textAlignment w:val="baseline"/>
        <w:rPr>
          <w:sz w:val="20"/>
        </w:rPr>
      </w:pPr>
    </w:p>
    <w:p w:rsidR="00E35214" w:rsidRDefault="006F7231">
      <w:pPr>
        <w:pStyle w:val="2"/>
        <w:snapToGrid w:val="0"/>
        <w:textAlignment w:val="baseline"/>
      </w:pPr>
      <w:bookmarkStart w:id="54" w:name="_Toc28935"/>
      <w:bookmarkStart w:id="55" w:name="_Toc7063"/>
      <w:bookmarkStart w:id="56" w:name="_Toc14823"/>
      <w:bookmarkStart w:id="57" w:name="_Toc7069"/>
      <w:bookmarkStart w:id="58" w:name="_Toc21485"/>
      <w:bookmarkStart w:id="59" w:name="_Toc32310"/>
      <w:bookmarkStart w:id="60" w:name="_Toc4514"/>
      <w:bookmarkStart w:id="61" w:name="_Toc19026"/>
      <w:bookmarkStart w:id="62" w:name="_Toc25913"/>
      <w:bookmarkStart w:id="63" w:name="_Toc25468"/>
      <w:bookmarkStart w:id="64" w:name="_Toc17641"/>
      <w:r>
        <w:rPr>
          <w:rFonts w:hint="eastAsia"/>
        </w:rPr>
        <w:lastRenderedPageBreak/>
        <w:t>第三章战略定位和发展目标</w:t>
      </w:r>
      <w:bookmarkEnd w:id="54"/>
      <w:bookmarkEnd w:id="55"/>
      <w:bookmarkEnd w:id="56"/>
      <w:bookmarkEnd w:id="57"/>
      <w:bookmarkEnd w:id="58"/>
      <w:bookmarkEnd w:id="59"/>
      <w:bookmarkEnd w:id="60"/>
      <w:bookmarkEnd w:id="61"/>
      <w:bookmarkEnd w:id="62"/>
      <w:bookmarkEnd w:id="63"/>
      <w:bookmarkEnd w:id="64"/>
    </w:p>
    <w:p w:rsidR="00E35214" w:rsidRDefault="006F7231">
      <w:pPr>
        <w:pStyle w:val="3"/>
        <w:snapToGrid w:val="0"/>
        <w:ind w:firstLineChars="200" w:firstLine="643"/>
        <w:textAlignment w:val="baseline"/>
        <w:rPr>
          <w:rFonts w:ascii="仿宋" w:eastAsia="仿宋" w:hAnsi="仿宋" w:cs="仿宋"/>
          <w:szCs w:val="22"/>
        </w:rPr>
      </w:pPr>
      <w:bookmarkStart w:id="65" w:name="_Toc53"/>
      <w:bookmarkStart w:id="66" w:name="_Toc24651"/>
      <w:r>
        <w:rPr>
          <w:rFonts w:ascii="仿宋" w:eastAsia="仿宋" w:hAnsi="仿宋" w:cs="仿宋" w:hint="eastAsia"/>
          <w:szCs w:val="22"/>
        </w:rPr>
        <w:t>第一节战略定位</w:t>
      </w:r>
      <w:bookmarkEnd w:id="65"/>
      <w:bookmarkEnd w:id="66"/>
    </w:p>
    <w:p w:rsidR="00E35214" w:rsidRDefault="006F7231">
      <w:pPr>
        <w:snapToGrid w:val="0"/>
        <w:spacing w:line="597" w:lineRule="exact"/>
        <w:ind w:firstLineChars="200" w:firstLine="640"/>
        <w:textAlignment w:val="baseline"/>
        <w:rPr>
          <w:rFonts w:ascii="仿宋" w:eastAsia="仿宋" w:hAnsi="仿宋" w:cs="仿宋"/>
          <w:kern w:val="0"/>
          <w:sz w:val="32"/>
          <w:szCs w:val="32"/>
          <w:shd w:val="clear" w:color="auto" w:fill="FFFFFF"/>
        </w:rPr>
      </w:pPr>
      <w:r>
        <w:rPr>
          <w:rFonts w:ascii="仿宋" w:eastAsia="仿宋" w:hAnsi="仿宋" w:cs="仿宋" w:hint="eastAsia"/>
          <w:kern w:val="0"/>
          <w:sz w:val="32"/>
          <w:szCs w:val="32"/>
          <w:shd w:val="clear" w:color="auto" w:fill="FFFFFF"/>
        </w:rPr>
        <w:t>以全面建设社会主义现代化金口河为目标统揽，抢抓成渝地区双城经济圈建设等带来的战略机遇，坚持传承与创新相结合，统筹短期和长远，兼顾需要和可能，既一张蓝图绘到底，又与时俱进谋新篇，全面落实“1168”发展思路，突出地方特色和比较优势，奋力打造乐山重点生态功能区“一级两区三基地”。</w:t>
      </w:r>
    </w:p>
    <w:p w:rsidR="00E35214" w:rsidRDefault="006F7231">
      <w:pPr>
        <w:pStyle w:val="3"/>
        <w:snapToGrid w:val="0"/>
        <w:ind w:firstLineChars="200" w:firstLine="643"/>
        <w:jc w:val="both"/>
        <w:textAlignment w:val="baseline"/>
        <w:rPr>
          <w:rFonts w:ascii="仿宋" w:eastAsia="仿宋" w:hAnsi="仿宋" w:cs="仿宋"/>
          <w:b w:val="0"/>
          <w:kern w:val="0"/>
          <w:shd w:val="clear" w:color="auto" w:fill="FFFFFF"/>
        </w:rPr>
      </w:pPr>
      <w:bookmarkStart w:id="67" w:name="_Toc19231"/>
      <w:bookmarkStart w:id="68" w:name="_Toc31149"/>
      <w:r>
        <w:rPr>
          <w:rFonts w:ascii="仿宋" w:eastAsia="仿宋" w:hAnsi="仿宋" w:cs="仿宋" w:hint="eastAsia"/>
          <w:kern w:val="0"/>
          <w:shd w:val="clear" w:color="auto" w:fill="FFFFFF"/>
        </w:rPr>
        <w:t>——</w:t>
      </w:r>
      <w:r>
        <w:rPr>
          <w:rFonts w:ascii="仿宋" w:eastAsia="仿宋" w:hAnsi="仿宋" w:cs="仿宋" w:hint="eastAsia"/>
          <w:b w:val="0"/>
          <w:kern w:val="0"/>
          <w:shd w:val="clear" w:color="auto" w:fill="FFFFFF"/>
        </w:rPr>
        <w:t>建设重要旅游目的地增长极。全面融入乐山重要旅游目的地建设，持续做强大瓦山、大峡谷两大级核，深化“山、水、文城”四篇文章，力争完成文旅投资100亿元，建成国家AAAA级景区2处，年接待游客量突破400万人次，旅游综合收入达到20亿元以上，争创全省全域旅游示范区。</w:t>
      </w:r>
    </w:p>
    <w:p w:rsidR="00E35214" w:rsidRDefault="006F7231">
      <w:pPr>
        <w:pStyle w:val="3"/>
        <w:snapToGrid w:val="0"/>
        <w:ind w:firstLineChars="200" w:firstLine="643"/>
        <w:jc w:val="both"/>
        <w:textAlignment w:val="baseline"/>
      </w:pPr>
      <w:r>
        <w:rPr>
          <w:rFonts w:ascii="仿宋" w:eastAsia="仿宋" w:hAnsi="仿宋" w:cs="仿宋" w:hint="eastAsia"/>
          <w:kern w:val="0"/>
          <w:shd w:val="clear" w:color="auto" w:fill="FFFFFF"/>
        </w:rPr>
        <w:t>——</w:t>
      </w:r>
      <w:r>
        <w:rPr>
          <w:rFonts w:ascii="仿宋" w:eastAsia="仿宋" w:hAnsi="仿宋" w:cs="仿宋" w:hint="eastAsia"/>
          <w:b w:val="0"/>
          <w:kern w:val="0"/>
          <w:shd w:val="clear" w:color="auto" w:fill="FFFFFF"/>
        </w:rPr>
        <w:t>建设大小凉山乡村振兴示范区。立足金口河扎实的脱贫攻坚基础，用好全省乡村振兴帮扶县政策，切实抓好有效衔接、统筹推进五大振兴，力争打造省级乡村振兴示范村10个、省级先进乡镇3个，乡村振兴成效走在省市前列。</w:t>
      </w:r>
    </w:p>
    <w:p w:rsidR="00E35214" w:rsidRDefault="006F7231">
      <w:pPr>
        <w:ind w:firstLineChars="200" w:firstLine="643"/>
      </w:pPr>
      <w:r>
        <w:rPr>
          <w:rFonts w:ascii="仿宋" w:eastAsia="仿宋" w:hAnsi="仿宋" w:cs="仿宋" w:hint="eastAsia"/>
          <w:b/>
          <w:bCs/>
          <w:kern w:val="0"/>
          <w:sz w:val="32"/>
          <w:szCs w:val="32"/>
          <w:shd w:val="clear" w:color="auto" w:fill="FFFFFF"/>
        </w:rPr>
        <w:t>——</w:t>
      </w:r>
      <w:r>
        <w:rPr>
          <w:rFonts w:ascii="仿宋" w:eastAsia="仿宋" w:hAnsi="仿宋" w:cs="仿宋" w:hint="eastAsia"/>
          <w:kern w:val="0"/>
          <w:sz w:val="32"/>
          <w:szCs w:val="32"/>
          <w:shd w:val="clear" w:color="auto" w:fill="FFFFFF"/>
        </w:rPr>
        <w:t>建设乐山西向开明开放门户区。力争金口河地处乐山西大门、连接攀西藏彝的特殊区位，发挥景城一体、山水</w:t>
      </w:r>
      <w:r>
        <w:rPr>
          <w:rFonts w:ascii="仿宋" w:eastAsia="仿宋" w:hAnsi="仿宋" w:cs="仿宋" w:hint="eastAsia"/>
          <w:kern w:val="0"/>
          <w:sz w:val="32"/>
          <w:szCs w:val="32"/>
          <w:shd w:val="clear" w:color="auto" w:fill="FFFFFF"/>
        </w:rPr>
        <w:lastRenderedPageBreak/>
        <w:t>相融、文化厚重的自然人文优势，进一步优化交通布局、破除峡谷思维，主动承接成都平原经济区和攀西经济区协同发展带来的辐射带动，着力把金口河建设成为乐山西向连南贯北、开明开放的重要门户。</w:t>
      </w:r>
    </w:p>
    <w:p w:rsidR="00E35214" w:rsidRDefault="006F7231">
      <w:pPr>
        <w:pStyle w:val="3"/>
        <w:snapToGrid w:val="0"/>
        <w:ind w:firstLineChars="200" w:firstLine="643"/>
        <w:jc w:val="both"/>
        <w:textAlignment w:val="baseline"/>
        <w:rPr>
          <w:rFonts w:ascii="仿宋" w:eastAsia="仿宋" w:hAnsi="仿宋" w:cs="仿宋"/>
          <w:b w:val="0"/>
          <w:kern w:val="0"/>
          <w:shd w:val="clear" w:color="auto" w:fill="FFFFFF"/>
        </w:rPr>
      </w:pPr>
      <w:r>
        <w:rPr>
          <w:rFonts w:ascii="仿宋" w:eastAsia="仿宋" w:hAnsi="仿宋" w:cs="仿宋" w:hint="eastAsia"/>
          <w:kern w:val="0"/>
          <w:shd w:val="clear" w:color="auto" w:fill="FFFFFF"/>
        </w:rPr>
        <w:t>——</w:t>
      </w:r>
      <w:r>
        <w:rPr>
          <w:rFonts w:ascii="仿宋" w:eastAsia="仿宋" w:hAnsi="仿宋" w:cs="仿宋" w:hint="eastAsia"/>
          <w:b w:val="0"/>
          <w:kern w:val="0"/>
          <w:shd w:val="clear" w:color="auto" w:fill="FFFFFF"/>
        </w:rPr>
        <w:t>建设“中国绿色硅谷”上游产业配套基地。深入推进工业硅企业技改升级、扩能提质，大力发展水电清洁能源产业，力争工业硅产能超过20万吨、达到全省有效产能的30%，水电装机容量突破180万千瓦，为乐山建设“中国绿色硅谷”提供支撑。</w:t>
      </w:r>
    </w:p>
    <w:p w:rsidR="00E35214" w:rsidRDefault="006F7231">
      <w:pPr>
        <w:pStyle w:val="3"/>
        <w:snapToGrid w:val="0"/>
        <w:ind w:firstLineChars="200" w:firstLine="720"/>
        <w:jc w:val="both"/>
        <w:textAlignment w:val="baseline"/>
        <w:rPr>
          <w:rFonts w:ascii="仿宋" w:eastAsia="仿宋" w:hAnsi="仿宋" w:cs="仿宋"/>
          <w:b w:val="0"/>
          <w:kern w:val="0"/>
          <w:shd w:val="clear" w:color="auto" w:fill="FFFFFF"/>
        </w:rPr>
      </w:pPr>
      <w:r>
        <w:rPr>
          <w:rFonts w:ascii="仿宋" w:eastAsia="仿宋" w:hAnsi="仿宋" w:cs="仿宋" w:hint="eastAsia"/>
          <w:b w:val="0"/>
          <w:kern w:val="0"/>
          <w:sz w:val="36"/>
          <w:szCs w:val="36"/>
          <w:shd w:val="clear" w:color="auto" w:fill="FFFFFF"/>
        </w:rPr>
        <w:t>——</w:t>
      </w:r>
      <w:r>
        <w:rPr>
          <w:rFonts w:ascii="仿宋" w:eastAsia="仿宋" w:hAnsi="仿宋" w:cs="仿宋" w:hint="eastAsia"/>
          <w:b w:val="0"/>
          <w:kern w:val="0"/>
          <w:shd w:val="clear" w:color="auto" w:fill="FFFFFF"/>
        </w:rPr>
        <w:t>建设乐山特殊有机农产品基地。依托山区独特的资源禀赋，持续壮大道地中药材、高山有机蔬菜等特色优势产业，因地制宜建设现代农业产业园区，加快发展与生态产业相匹配的加工业，推动一二三产业融合发展，力争建成特色产业基地6万亩，创建省级现代农业园2个，市级园区5个、县级园区4个，建成标准化养殖场20个。</w:t>
      </w:r>
    </w:p>
    <w:p w:rsidR="00E35214" w:rsidRDefault="006F7231">
      <w:pPr>
        <w:pStyle w:val="a0"/>
        <w:ind w:firstLineChars="200" w:firstLine="643"/>
      </w:pPr>
      <w:r>
        <w:rPr>
          <w:rFonts w:ascii="仿宋" w:eastAsia="仿宋" w:hAnsi="仿宋" w:cs="仿宋" w:hint="eastAsia"/>
          <w:b/>
          <w:bCs/>
          <w:kern w:val="0"/>
          <w:szCs w:val="32"/>
          <w:shd w:val="clear" w:color="auto" w:fill="FFFFFF"/>
        </w:rPr>
        <w:t>——</w:t>
      </w:r>
      <w:r>
        <w:rPr>
          <w:rFonts w:ascii="仿宋" w:eastAsia="仿宋" w:hAnsi="仿宋" w:cs="仿宋" w:hint="eastAsia"/>
          <w:kern w:val="0"/>
          <w:szCs w:val="32"/>
          <w:shd w:val="clear" w:color="auto" w:fill="FFFFFF"/>
        </w:rPr>
        <w:t>建设“绿水青山就是金山银山”实践创新基地。认真落实全省重点生态功能区定位，巩固深化国家生态文明建设示范区创建成果，协调推进生态高水平保护和经济高质量发展，不断拓宽“绿水青山”与“金山银山”双向转化通道，</w:t>
      </w:r>
      <w:r>
        <w:rPr>
          <w:rFonts w:ascii="仿宋" w:eastAsia="仿宋" w:hAnsi="仿宋" w:cs="仿宋" w:hint="eastAsia"/>
          <w:kern w:val="0"/>
          <w:szCs w:val="32"/>
          <w:shd w:val="clear" w:color="auto" w:fill="FFFFFF"/>
        </w:rPr>
        <w:lastRenderedPageBreak/>
        <w:t>力争文旅、水电、生态农业等绿色经济占GDP的比重达到60%以上。</w:t>
      </w:r>
    </w:p>
    <w:p w:rsidR="00E35214" w:rsidRDefault="006F7231">
      <w:pPr>
        <w:pStyle w:val="3"/>
        <w:snapToGrid w:val="0"/>
        <w:ind w:firstLineChars="200" w:firstLine="643"/>
        <w:textAlignment w:val="baseline"/>
        <w:rPr>
          <w:rFonts w:ascii="仿宋" w:eastAsia="仿宋" w:hAnsi="仿宋" w:cs="仿宋"/>
          <w:szCs w:val="22"/>
        </w:rPr>
      </w:pPr>
      <w:r>
        <w:rPr>
          <w:rFonts w:ascii="仿宋" w:eastAsia="仿宋" w:hAnsi="仿宋" w:cs="仿宋" w:hint="eastAsia"/>
          <w:szCs w:val="22"/>
        </w:rPr>
        <w:t>第二节发展目标</w:t>
      </w:r>
      <w:bookmarkEnd w:id="67"/>
      <w:bookmarkEnd w:id="68"/>
    </w:p>
    <w:p w:rsidR="00E35214" w:rsidRDefault="006F7231">
      <w:pPr>
        <w:snapToGrid w:val="0"/>
        <w:spacing w:line="597" w:lineRule="exact"/>
        <w:ind w:firstLineChars="200" w:firstLine="640"/>
        <w:textAlignment w:val="baseline"/>
        <w:rPr>
          <w:rFonts w:ascii="仿宋" w:eastAsia="仿宋" w:hAnsi="仿宋" w:cs="仿宋"/>
          <w:kern w:val="0"/>
          <w:sz w:val="32"/>
          <w:szCs w:val="32"/>
          <w:shd w:val="clear" w:color="auto" w:fill="FFFFFF"/>
        </w:rPr>
      </w:pPr>
      <w:r>
        <w:rPr>
          <w:rFonts w:ascii="仿宋" w:eastAsia="仿宋" w:hAnsi="仿宋" w:cs="仿宋" w:hint="eastAsia"/>
          <w:kern w:val="0"/>
          <w:sz w:val="32"/>
          <w:szCs w:val="32"/>
          <w:shd w:val="clear" w:color="auto" w:fill="FFFFFF"/>
        </w:rPr>
        <w:t>锚定到二〇三五年与全国同步基本实现社会主义现代化，综合考虑金口河发展环境和阶段性特征，坚持目标导向和问题导向相结合，坚持守正和创新相统一，今后五年全区经济社会发展努力实现以下主要目标：全区地区生产总值突破50亿元，年均增长7.0%；规模以上工业增加值年均增长9.5%，全社会固定资产投资年均增长12%；地方公共预算收入年均增长9%；社会消费品零售总额年均增长12%；城乡居民可支配收入年均增长10%、13%。</w:t>
      </w:r>
    </w:p>
    <w:p w:rsidR="00E35214" w:rsidRDefault="006F7231">
      <w:pPr>
        <w:snapToGrid w:val="0"/>
        <w:spacing w:line="597" w:lineRule="exact"/>
        <w:ind w:firstLineChars="200" w:firstLine="643"/>
        <w:jc w:val="left"/>
        <w:textAlignment w:val="baseline"/>
        <w:rPr>
          <w:rFonts w:ascii="仿宋" w:eastAsia="仿宋" w:hAnsi="仿宋" w:cs="仿宋"/>
          <w:kern w:val="0"/>
          <w:sz w:val="32"/>
          <w:szCs w:val="32"/>
          <w:shd w:val="clear" w:color="auto" w:fill="FFFFFF"/>
        </w:rPr>
      </w:pPr>
      <w:r>
        <w:rPr>
          <w:rFonts w:ascii="仿宋" w:eastAsia="仿宋" w:hAnsi="仿宋" w:cs="仿宋" w:hint="eastAsia"/>
          <w:b/>
          <w:bCs/>
          <w:kern w:val="0"/>
          <w:sz w:val="32"/>
          <w:szCs w:val="32"/>
          <w:shd w:val="clear" w:color="auto" w:fill="FFFFFF"/>
        </w:rPr>
        <w:t>——生态功能区经济强区。</w:t>
      </w:r>
      <w:r>
        <w:rPr>
          <w:rFonts w:ascii="仿宋" w:eastAsia="仿宋" w:hAnsi="仿宋" w:cs="仿宋" w:hint="eastAsia"/>
          <w:kern w:val="0"/>
          <w:sz w:val="32"/>
          <w:szCs w:val="32"/>
          <w:shd w:val="clear" w:color="auto" w:fill="FFFFFF"/>
        </w:rPr>
        <w:t>围绕建设绿色硅谷上游产业配套基地和乐山特色有机农产品基地，经济增速高于全国、全省、全市平均水平，水电、旅游、工业硅形成支柱产业，特色农产品种植加工及玄武岩新材料产业形成新兴产业。力争地方公共预算收入及服务业增加值实现倍增。传统经济完成转型升级，产业融合、协调发展进一步加强，经济信息化及数字</w:t>
      </w:r>
      <w:r>
        <w:rPr>
          <w:rFonts w:ascii="仿宋" w:eastAsia="仿宋" w:hAnsi="仿宋" w:cs="仿宋"/>
          <w:kern w:val="0"/>
          <w:sz w:val="32"/>
          <w:szCs w:val="32"/>
          <w:shd w:val="clear" w:color="auto" w:fill="FFFFFF"/>
        </w:rPr>
        <w:t>经济</w:t>
      </w:r>
      <w:r>
        <w:rPr>
          <w:rFonts w:ascii="仿宋" w:eastAsia="仿宋" w:hAnsi="仿宋" w:cs="仿宋" w:hint="eastAsia"/>
          <w:kern w:val="0"/>
          <w:sz w:val="32"/>
          <w:szCs w:val="32"/>
          <w:shd w:val="clear" w:color="auto" w:fill="FFFFFF"/>
        </w:rPr>
        <w:t>发展等取得新进展，经济</w:t>
      </w:r>
      <w:r>
        <w:rPr>
          <w:rFonts w:ascii="仿宋" w:eastAsia="仿宋" w:hAnsi="仿宋" w:cs="仿宋"/>
          <w:kern w:val="0"/>
          <w:sz w:val="32"/>
          <w:szCs w:val="32"/>
          <w:shd w:val="clear" w:color="auto" w:fill="FFFFFF"/>
        </w:rPr>
        <w:t>发展质量和效益</w:t>
      </w:r>
      <w:r>
        <w:rPr>
          <w:rFonts w:ascii="仿宋" w:eastAsia="仿宋" w:hAnsi="仿宋" w:cs="仿宋" w:hint="eastAsia"/>
          <w:kern w:val="0"/>
          <w:sz w:val="32"/>
          <w:szCs w:val="32"/>
          <w:shd w:val="clear" w:color="auto" w:fill="FFFFFF"/>
        </w:rPr>
        <w:t>明显</w:t>
      </w:r>
      <w:r>
        <w:rPr>
          <w:rFonts w:ascii="仿宋" w:eastAsia="仿宋" w:hAnsi="仿宋" w:cs="仿宋"/>
          <w:kern w:val="0"/>
          <w:sz w:val="32"/>
          <w:szCs w:val="32"/>
          <w:shd w:val="clear" w:color="auto" w:fill="FFFFFF"/>
        </w:rPr>
        <w:t>提升，</w:t>
      </w:r>
      <w:r>
        <w:rPr>
          <w:rFonts w:ascii="仿宋" w:eastAsia="仿宋" w:hAnsi="仿宋" w:cs="仿宋" w:hint="eastAsia"/>
          <w:kern w:val="0"/>
          <w:sz w:val="32"/>
          <w:szCs w:val="32"/>
          <w:shd w:val="clear" w:color="auto" w:fill="FFFFFF"/>
        </w:rPr>
        <w:t>区域自我发展能力显著增强</w:t>
      </w:r>
      <w:r>
        <w:rPr>
          <w:rFonts w:ascii="仿宋" w:eastAsia="仿宋" w:hAnsi="仿宋" w:cs="仿宋"/>
          <w:kern w:val="0"/>
          <w:sz w:val="32"/>
          <w:szCs w:val="32"/>
          <w:shd w:val="clear" w:color="auto" w:fill="FFFFFF"/>
        </w:rPr>
        <w:t>。</w:t>
      </w:r>
    </w:p>
    <w:p w:rsidR="00E35214" w:rsidRDefault="006F7231">
      <w:pPr>
        <w:snapToGrid w:val="0"/>
        <w:spacing w:line="597" w:lineRule="exact"/>
        <w:ind w:firstLineChars="200" w:firstLine="643"/>
        <w:textAlignment w:val="baseline"/>
        <w:rPr>
          <w:rFonts w:ascii="仿宋" w:eastAsia="仿宋" w:hAnsi="仿宋" w:cs="仿宋"/>
          <w:kern w:val="0"/>
          <w:sz w:val="32"/>
          <w:szCs w:val="32"/>
          <w:shd w:val="clear" w:color="auto" w:fill="FFFFFF"/>
        </w:rPr>
      </w:pPr>
      <w:r>
        <w:rPr>
          <w:rFonts w:ascii="仿宋" w:eastAsia="仿宋" w:hAnsi="仿宋" w:cs="仿宋" w:hint="eastAsia"/>
          <w:b/>
          <w:bCs/>
          <w:kern w:val="0"/>
          <w:sz w:val="32"/>
          <w:szCs w:val="32"/>
          <w:shd w:val="clear" w:color="auto" w:fill="FFFFFF"/>
        </w:rPr>
        <w:t>——乐山新兴宜居旅游城市。</w:t>
      </w:r>
      <w:r>
        <w:rPr>
          <w:rFonts w:ascii="仿宋" w:eastAsia="仿宋" w:hAnsi="仿宋" w:cs="仿宋" w:hint="eastAsia"/>
          <w:kern w:val="0"/>
          <w:sz w:val="32"/>
          <w:szCs w:val="32"/>
          <w:shd w:val="clear" w:color="auto" w:fill="FFFFFF"/>
        </w:rPr>
        <w:t>围绕建设乐山国际旅游目的地增长极，按照旅游兴区战略，落实旅游融合规划任务，重点完成大峡谷AAAA级旅游景区建设，加快乡村旅游、工</w:t>
      </w:r>
      <w:r>
        <w:rPr>
          <w:rFonts w:ascii="仿宋" w:eastAsia="仿宋" w:hAnsi="仿宋" w:cs="仿宋" w:hint="eastAsia"/>
          <w:kern w:val="0"/>
          <w:sz w:val="32"/>
          <w:szCs w:val="32"/>
          <w:shd w:val="clear" w:color="auto" w:fill="FFFFFF"/>
        </w:rPr>
        <w:lastRenderedPageBreak/>
        <w:t>业遗迹旅游，推进农旅、工旅融合发展。加快张村沟片区开发及红华片区改造，提升城市功能及旅游接待能力，促进人口集聚和旅游带动发展，常住人口城镇化率达到55.0%左右，打造美丽宜居新兴旅游城市。</w:t>
      </w:r>
    </w:p>
    <w:p w:rsidR="00E35214" w:rsidRDefault="006F7231">
      <w:pPr>
        <w:snapToGrid w:val="0"/>
        <w:spacing w:line="597" w:lineRule="exact"/>
        <w:ind w:firstLineChars="200" w:firstLine="643"/>
        <w:jc w:val="left"/>
        <w:textAlignment w:val="baseline"/>
        <w:rPr>
          <w:rFonts w:ascii="仿宋" w:eastAsia="仿宋" w:hAnsi="仿宋" w:cs="仿宋"/>
          <w:kern w:val="0"/>
          <w:sz w:val="32"/>
          <w:szCs w:val="32"/>
          <w:shd w:val="clear" w:color="auto" w:fill="FFFFFF"/>
        </w:rPr>
      </w:pPr>
      <w:r>
        <w:rPr>
          <w:rFonts w:ascii="仿宋" w:eastAsia="仿宋" w:hAnsi="仿宋" w:cs="仿宋" w:hint="eastAsia"/>
          <w:b/>
          <w:bCs/>
          <w:kern w:val="0"/>
          <w:sz w:val="32"/>
          <w:szCs w:val="32"/>
          <w:shd w:val="clear" w:color="auto" w:fill="FFFFFF"/>
        </w:rPr>
        <w:t>——绿色生态文明示范区。</w:t>
      </w:r>
      <w:r>
        <w:rPr>
          <w:rFonts w:ascii="仿宋" w:eastAsia="仿宋" w:hAnsi="仿宋" w:cs="仿宋" w:hint="eastAsia"/>
          <w:kern w:val="0"/>
          <w:sz w:val="32"/>
          <w:szCs w:val="32"/>
          <w:shd w:val="clear" w:color="auto" w:fill="FFFFFF"/>
        </w:rPr>
        <w:t>围绕创建大小凉山彝区乡村振兴示范区，“绿水青山就是金山银山”实践新基地，巩固提升国家生态文明示范区创建成果，统筹推进乡村振兴建设和生态文明建设。落实行政片区发展方案要求，促进人口、资金及生产要素向集镇产业集聚，集中力量打造宜居环境及特色产业，拓展增收渠道，通过带动发展实现共同富裕。围绕建设绿色家园，重点推进清洁能源开发、污染物防治和森林提升改造项目建设，主要污染物排放总量持续减少，森林覆盖率稳步提升，自然灾害得到有效控制，大渡河生态安全屏障更加牢固，绿色生产生活方式加快形成，“绿水青山”与“金山银山”的转化机制基本形成。为实现碳达峰碳中和目标奠定基础。</w:t>
      </w:r>
    </w:p>
    <w:p w:rsidR="00E35214" w:rsidRDefault="006F7231">
      <w:pPr>
        <w:pStyle w:val="a0"/>
      </w:pPr>
      <w:r>
        <w:rPr>
          <w:rFonts w:ascii="仿宋" w:eastAsia="仿宋" w:hAnsi="仿宋" w:cs="仿宋" w:hint="eastAsia"/>
          <w:b/>
          <w:bCs/>
          <w:kern w:val="0"/>
          <w:szCs w:val="32"/>
          <w:shd w:val="clear" w:color="auto" w:fill="FFFFFF"/>
        </w:rPr>
        <w:t>——改革开放创新实践地</w:t>
      </w:r>
      <w:r>
        <w:rPr>
          <w:rFonts w:ascii="仿宋" w:eastAsia="仿宋" w:hAnsi="仿宋" w:cs="仿宋" w:hint="eastAsia"/>
          <w:kern w:val="0"/>
          <w:szCs w:val="32"/>
          <w:shd w:val="clear" w:color="auto" w:fill="FFFFFF"/>
        </w:rPr>
        <w:t>。围绕加快建设乐山西向开明开放门户区，树立发展是第一要务意识，破除峡谷思维，妥善处理开发与保护关系，重点强化土地、能源等要素保障，落实人才兴区战略，深化改革与科技创新，深入推进协调、协同发展，不断增强发展的活力与动力，形成区域特色、与区位优势相匹配、与省市要求相适宜、与人民愿望相契合的改革开放与创新体制、机制，为开放创新发展提供金口河样板。</w:t>
      </w:r>
    </w:p>
    <w:p w:rsidR="00E35214" w:rsidRDefault="006F7231">
      <w:pPr>
        <w:snapToGrid w:val="0"/>
        <w:spacing w:line="600" w:lineRule="exact"/>
        <w:jc w:val="center"/>
        <w:textAlignment w:val="baseline"/>
        <w:rPr>
          <w:rFonts w:ascii="仿宋" w:eastAsia="仿宋" w:hAnsi="仿宋"/>
          <w:b/>
          <w:sz w:val="28"/>
        </w:rPr>
      </w:pPr>
      <w:r>
        <w:rPr>
          <w:rFonts w:ascii="仿宋" w:eastAsia="仿宋" w:hAnsi="仿宋" w:hint="eastAsia"/>
          <w:b/>
          <w:sz w:val="28"/>
        </w:rPr>
        <w:lastRenderedPageBreak/>
        <w:t>专栏2 “十四五”期间经济社会发展的主要目标</w:t>
      </w:r>
    </w:p>
    <w:tbl>
      <w:tblPr>
        <w:tblpPr w:leftFromText="180" w:rightFromText="180" w:vertAnchor="text" w:horzAnchor="page" w:tblpX="1906" w:tblpY="639"/>
        <w:tblOverlap w:val="never"/>
        <w:tblW w:w="8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05"/>
        <w:gridCol w:w="3223"/>
        <w:gridCol w:w="1370"/>
        <w:gridCol w:w="970"/>
        <w:gridCol w:w="1279"/>
        <w:gridCol w:w="789"/>
      </w:tblGrid>
      <w:tr w:rsidR="00E35214">
        <w:trPr>
          <w:trHeight w:val="638"/>
        </w:trPr>
        <w:tc>
          <w:tcPr>
            <w:tcW w:w="705" w:type="dxa"/>
            <w:vAlign w:val="center"/>
          </w:tcPr>
          <w:p w:rsidR="00E35214" w:rsidRDefault="006F7231">
            <w:pPr>
              <w:pStyle w:val="TableParagraph"/>
              <w:snapToGrid w:val="0"/>
              <w:ind w:left="141"/>
              <w:textAlignment w:val="baseline"/>
              <w:rPr>
                <w:rFonts w:ascii="Times New Roman" w:eastAsia="仿宋" w:hAnsi="Times New Roman" w:cs="Times New Roman"/>
                <w:szCs w:val="21"/>
              </w:rPr>
            </w:pPr>
            <w:r>
              <w:rPr>
                <w:rFonts w:ascii="Times New Roman" w:eastAsia="仿宋" w:hAnsi="Times New Roman" w:cs="Times New Roman"/>
                <w:szCs w:val="21"/>
              </w:rPr>
              <w:t>类别</w:t>
            </w:r>
          </w:p>
        </w:tc>
        <w:tc>
          <w:tcPr>
            <w:tcW w:w="3223"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6F7231">
            <w:pPr>
              <w:pStyle w:val="TableParagraph"/>
              <w:tabs>
                <w:tab w:val="left" w:pos="425"/>
              </w:tabs>
              <w:snapToGrid w:val="0"/>
              <w:ind w:left="5"/>
              <w:jc w:val="center"/>
              <w:textAlignment w:val="baseline"/>
              <w:rPr>
                <w:rFonts w:ascii="Times New Roman" w:eastAsia="仿宋" w:hAnsi="Times New Roman" w:cs="Times New Roman"/>
                <w:szCs w:val="21"/>
              </w:rPr>
            </w:pPr>
            <w:r>
              <w:rPr>
                <w:rFonts w:ascii="Times New Roman" w:eastAsia="仿宋" w:hAnsi="Times New Roman" w:cs="Times New Roman"/>
                <w:szCs w:val="21"/>
              </w:rPr>
              <w:t>指</w:t>
            </w:r>
            <w:r>
              <w:rPr>
                <w:rFonts w:ascii="Times New Roman" w:eastAsia="仿宋" w:hAnsi="Times New Roman" w:cs="Times New Roman"/>
                <w:szCs w:val="21"/>
              </w:rPr>
              <w:tab/>
            </w:r>
            <w:r>
              <w:rPr>
                <w:rFonts w:ascii="Times New Roman" w:eastAsia="仿宋" w:hAnsi="Times New Roman" w:cs="Times New Roman"/>
                <w:szCs w:val="21"/>
              </w:rPr>
              <w:t>标</w:t>
            </w:r>
          </w:p>
        </w:tc>
        <w:tc>
          <w:tcPr>
            <w:tcW w:w="1370" w:type="dxa"/>
            <w:vAlign w:val="center"/>
          </w:tcPr>
          <w:p w:rsidR="00E35214" w:rsidRDefault="006F7231">
            <w:pPr>
              <w:pStyle w:val="TableParagraph"/>
              <w:snapToGrid w:val="0"/>
              <w:spacing w:before="192"/>
              <w:textAlignment w:val="baseline"/>
              <w:rPr>
                <w:rFonts w:ascii="Times New Roman" w:eastAsia="仿宋" w:hAnsi="Times New Roman" w:cs="Times New Roman"/>
                <w:szCs w:val="21"/>
              </w:rPr>
            </w:pPr>
            <w:r>
              <w:rPr>
                <w:rFonts w:ascii="Times New Roman" w:eastAsia="仿宋" w:hAnsi="Times New Roman" w:cs="Times New Roman"/>
                <w:szCs w:val="21"/>
              </w:rPr>
              <w:t>2020</w:t>
            </w:r>
            <w:r>
              <w:rPr>
                <w:rFonts w:ascii="Times New Roman" w:eastAsia="仿宋" w:hAnsi="Times New Roman" w:cs="Times New Roman"/>
                <w:szCs w:val="21"/>
              </w:rPr>
              <w:t>年预计</w:t>
            </w:r>
          </w:p>
        </w:tc>
        <w:tc>
          <w:tcPr>
            <w:tcW w:w="970" w:type="dxa"/>
            <w:vAlign w:val="center"/>
          </w:tcPr>
          <w:p w:rsidR="00E35214" w:rsidRDefault="006F7231">
            <w:pPr>
              <w:pStyle w:val="TableParagraph"/>
              <w:snapToGrid w:val="0"/>
              <w:spacing w:before="192"/>
              <w:ind w:left="9"/>
              <w:jc w:val="center"/>
              <w:textAlignment w:val="baseline"/>
              <w:rPr>
                <w:rFonts w:ascii="Times New Roman" w:eastAsia="仿宋" w:hAnsi="Times New Roman" w:cs="Times New Roman"/>
                <w:szCs w:val="21"/>
              </w:rPr>
            </w:pPr>
            <w:r>
              <w:rPr>
                <w:rFonts w:ascii="Times New Roman" w:eastAsia="仿宋" w:hAnsi="Times New Roman" w:cs="Times New Roman"/>
                <w:szCs w:val="21"/>
              </w:rPr>
              <w:t>2025</w:t>
            </w:r>
            <w:r>
              <w:rPr>
                <w:rFonts w:ascii="Times New Roman" w:eastAsia="仿宋" w:hAnsi="Times New Roman" w:cs="Times New Roman"/>
                <w:szCs w:val="21"/>
              </w:rPr>
              <w:t>年目标</w:t>
            </w:r>
          </w:p>
        </w:tc>
        <w:tc>
          <w:tcPr>
            <w:tcW w:w="1279" w:type="dxa"/>
            <w:vAlign w:val="center"/>
          </w:tcPr>
          <w:p w:rsidR="00E35214" w:rsidRDefault="006F7231">
            <w:pPr>
              <w:pStyle w:val="TableParagraph"/>
              <w:snapToGrid w:val="0"/>
              <w:spacing w:before="36"/>
              <w:ind w:left="93" w:right="86"/>
              <w:jc w:val="center"/>
              <w:textAlignment w:val="baseline"/>
              <w:rPr>
                <w:rFonts w:ascii="Times New Roman" w:eastAsia="仿宋" w:hAnsi="Times New Roman" w:cs="Times New Roman"/>
                <w:szCs w:val="21"/>
              </w:rPr>
            </w:pPr>
            <w:r>
              <w:rPr>
                <w:rFonts w:ascii="Times New Roman" w:eastAsia="仿宋" w:hAnsi="Times New Roman" w:cs="Times New Roman"/>
                <w:szCs w:val="21"/>
              </w:rPr>
              <w:t>年均增速或</w:t>
            </w:r>
          </w:p>
          <w:p w:rsidR="00E35214" w:rsidRDefault="006F7231">
            <w:pPr>
              <w:pStyle w:val="TableParagraph"/>
              <w:snapToGrid w:val="0"/>
              <w:spacing w:before="43"/>
              <w:ind w:left="93" w:right="83"/>
              <w:jc w:val="center"/>
              <w:textAlignment w:val="baseline"/>
              <w:rPr>
                <w:rFonts w:ascii="Times New Roman" w:eastAsia="仿宋" w:hAnsi="Times New Roman" w:cs="Times New Roman"/>
                <w:szCs w:val="21"/>
              </w:rPr>
            </w:pPr>
            <w:r>
              <w:rPr>
                <w:rFonts w:ascii="Times New Roman" w:eastAsia="仿宋" w:hAnsi="Times New Roman" w:cs="Times New Roman"/>
                <w:szCs w:val="21"/>
              </w:rPr>
              <w:t>[</w:t>
            </w:r>
            <w:r>
              <w:rPr>
                <w:rFonts w:ascii="Times New Roman" w:eastAsia="仿宋" w:hAnsi="Times New Roman" w:cs="Times New Roman"/>
                <w:szCs w:val="21"/>
              </w:rPr>
              <w:t>累计数</w:t>
            </w:r>
            <w:r>
              <w:rPr>
                <w:rFonts w:ascii="Times New Roman" w:eastAsia="仿宋" w:hAnsi="Times New Roman" w:cs="Times New Roman"/>
                <w:szCs w:val="21"/>
              </w:rPr>
              <w:t>]</w:t>
            </w:r>
          </w:p>
        </w:tc>
        <w:tc>
          <w:tcPr>
            <w:tcW w:w="789"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6F7231">
            <w:pPr>
              <w:pStyle w:val="TableParagraph"/>
              <w:snapToGrid w:val="0"/>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属性</w:t>
            </w:r>
          </w:p>
        </w:tc>
      </w:tr>
      <w:tr w:rsidR="00E35214">
        <w:trPr>
          <w:trHeight w:val="327"/>
        </w:trPr>
        <w:tc>
          <w:tcPr>
            <w:tcW w:w="705" w:type="dxa"/>
            <w:vMerge w:val="restart"/>
            <w:vAlign w:val="center"/>
          </w:tcPr>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6F7231">
            <w:pPr>
              <w:pStyle w:val="TableParagraph"/>
              <w:snapToGrid w:val="0"/>
              <w:spacing w:before="129" w:line="278" w:lineRule="auto"/>
              <w:ind w:left="141" w:right="130"/>
              <w:jc w:val="center"/>
              <w:textAlignment w:val="baseline"/>
              <w:rPr>
                <w:rFonts w:ascii="Times New Roman" w:eastAsia="仿宋" w:hAnsi="Times New Roman" w:cs="Times New Roman"/>
                <w:b/>
                <w:szCs w:val="21"/>
              </w:rPr>
            </w:pPr>
            <w:r>
              <w:rPr>
                <w:rFonts w:ascii="Times New Roman" w:eastAsia="仿宋" w:hAnsi="Times New Roman" w:cs="Times New Roman"/>
                <w:b/>
                <w:szCs w:val="21"/>
              </w:rPr>
              <w:t>经济发展</w:t>
            </w:r>
          </w:p>
        </w:tc>
        <w:tc>
          <w:tcPr>
            <w:tcW w:w="3223" w:type="dxa"/>
            <w:vAlign w:val="center"/>
          </w:tcPr>
          <w:p w:rsidR="00E35214" w:rsidRDefault="006F7231">
            <w:pPr>
              <w:pStyle w:val="TableParagraph"/>
              <w:snapToGrid w:val="0"/>
              <w:spacing w:before="37"/>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1.</w:t>
            </w:r>
            <w:r>
              <w:rPr>
                <w:rFonts w:ascii="Times New Roman" w:eastAsia="仿宋" w:hAnsi="Times New Roman" w:cs="Times New Roman"/>
                <w:szCs w:val="21"/>
              </w:rPr>
              <w:t>地区生产总值增长（</w:t>
            </w:r>
            <w:r>
              <w:rPr>
                <w:rFonts w:ascii="Times New Roman" w:eastAsia="仿宋" w:hAnsi="Times New Roman" w:cs="Times New Roman" w:hint="eastAsia"/>
                <w:szCs w:val="21"/>
              </w:rPr>
              <w:t>亿元</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spacing w:before="51"/>
              <w:ind w:right="403"/>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 xml:space="preserve">   33.8</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50</w:t>
            </w:r>
          </w:p>
        </w:tc>
        <w:tc>
          <w:tcPr>
            <w:tcW w:w="1279" w:type="dxa"/>
            <w:vAlign w:val="center"/>
          </w:tcPr>
          <w:p w:rsidR="00E35214" w:rsidRDefault="006F7231">
            <w:pPr>
              <w:pStyle w:val="TableParagraph"/>
              <w:snapToGrid w:val="0"/>
              <w:spacing w:before="51"/>
              <w:ind w:left="93" w:right="84"/>
              <w:jc w:val="center"/>
              <w:textAlignment w:val="baseline"/>
              <w:rPr>
                <w:rFonts w:ascii="Times New Roman" w:eastAsia="仿宋" w:hAnsi="Times New Roman" w:cs="Times New Roman"/>
                <w:szCs w:val="21"/>
                <w:highlight w:val="yellow"/>
                <w:lang w:val="en-US"/>
              </w:rPr>
            </w:pPr>
            <w:r>
              <w:rPr>
                <w:rFonts w:ascii="Times New Roman" w:eastAsia="仿宋" w:hAnsi="Times New Roman" w:cs="Times New Roman" w:hint="eastAsia"/>
                <w:szCs w:val="21"/>
                <w:lang w:val="en-US"/>
              </w:rPr>
              <w:t>7.0%</w:t>
            </w:r>
          </w:p>
        </w:tc>
        <w:tc>
          <w:tcPr>
            <w:tcW w:w="789" w:type="dxa"/>
            <w:vAlign w:val="center"/>
          </w:tcPr>
          <w:p w:rsidR="00E35214" w:rsidRDefault="006F7231">
            <w:pPr>
              <w:pStyle w:val="TableParagraph"/>
              <w:snapToGrid w:val="0"/>
              <w:spacing w:before="35"/>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6"/>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6"/>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2.</w:t>
            </w:r>
            <w:r>
              <w:rPr>
                <w:rFonts w:ascii="Times New Roman" w:eastAsia="仿宋" w:hAnsi="Times New Roman" w:cs="Times New Roman"/>
                <w:szCs w:val="21"/>
              </w:rPr>
              <w:t>全员劳动生产率（万元</w:t>
            </w:r>
            <w:r>
              <w:rPr>
                <w:rFonts w:ascii="Times New Roman" w:eastAsia="仿宋" w:hAnsi="Times New Roman" w:cs="Times New Roman"/>
                <w:szCs w:val="21"/>
              </w:rPr>
              <w:t>/</w:t>
            </w:r>
            <w:r>
              <w:rPr>
                <w:rFonts w:ascii="Times New Roman" w:eastAsia="仿宋" w:hAnsi="Times New Roman" w:cs="Times New Roman"/>
                <w:szCs w:val="21"/>
              </w:rPr>
              <w:t>人）</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789" w:type="dxa"/>
            <w:vAlign w:val="center"/>
          </w:tcPr>
          <w:p w:rsidR="00E35214" w:rsidRDefault="006F7231">
            <w:pPr>
              <w:pStyle w:val="TableParagraph"/>
              <w:snapToGrid w:val="0"/>
              <w:spacing w:before="36"/>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7"/>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8" w:line="269" w:lineRule="exact"/>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3.</w:t>
            </w:r>
            <w:r>
              <w:rPr>
                <w:rFonts w:ascii="Times New Roman" w:eastAsia="仿宋" w:hAnsi="Times New Roman" w:cs="Times New Roman"/>
                <w:szCs w:val="21"/>
              </w:rPr>
              <w:t>常住人口城镇化率（</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kern w:val="0"/>
                <w:szCs w:val="21"/>
                <w:lang w:val="en-US"/>
              </w:rPr>
              <w:t>49.6</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szCs w:val="21"/>
                <w:lang w:val="en-US"/>
              </w:rPr>
              <w:t>55</w:t>
            </w:r>
          </w:p>
        </w:tc>
        <w:tc>
          <w:tcPr>
            <w:tcW w:w="1279"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tc>
        <w:tc>
          <w:tcPr>
            <w:tcW w:w="789" w:type="dxa"/>
            <w:vAlign w:val="center"/>
          </w:tcPr>
          <w:p w:rsidR="00E35214" w:rsidRDefault="006F7231">
            <w:pPr>
              <w:pStyle w:val="TableParagraph"/>
              <w:snapToGrid w:val="0"/>
              <w:spacing w:before="36"/>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7"/>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7"/>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4.</w:t>
            </w:r>
            <w:r>
              <w:rPr>
                <w:rFonts w:ascii="Times New Roman" w:eastAsia="仿宋" w:hAnsi="Times New Roman" w:cs="Times New Roman"/>
                <w:szCs w:val="21"/>
              </w:rPr>
              <w:t>旅游综合收入（亿元）</w:t>
            </w:r>
          </w:p>
        </w:tc>
        <w:tc>
          <w:tcPr>
            <w:tcW w:w="1370" w:type="dxa"/>
            <w:vAlign w:val="center"/>
          </w:tcPr>
          <w:p w:rsidR="00E35214" w:rsidRDefault="006F7231">
            <w:pPr>
              <w:pStyle w:val="TableParagraph"/>
              <w:snapToGrid w:val="0"/>
              <w:spacing w:before="51"/>
              <w:jc w:val="center"/>
              <w:textAlignment w:val="baseline"/>
              <w:rPr>
                <w:rFonts w:ascii="Times New Roman" w:eastAsia="仿宋" w:hAnsi="Times New Roman" w:cs="Times New Roman"/>
                <w:szCs w:val="21"/>
              </w:rPr>
            </w:pPr>
            <w:r>
              <w:rPr>
                <w:rFonts w:ascii="Times New Roman" w:eastAsia="仿宋" w:hAnsi="Times New Roman" w:cs="Times New Roman"/>
                <w:szCs w:val="21"/>
              </w:rPr>
              <w:t>4.2</w:t>
            </w:r>
          </w:p>
        </w:tc>
        <w:tc>
          <w:tcPr>
            <w:tcW w:w="970" w:type="dxa"/>
            <w:vAlign w:val="center"/>
          </w:tcPr>
          <w:p w:rsidR="00E35214" w:rsidRDefault="006F7231">
            <w:pPr>
              <w:pStyle w:val="TableParagraph"/>
              <w:snapToGrid w:val="0"/>
              <w:spacing w:before="51"/>
              <w:ind w:left="10"/>
              <w:jc w:val="center"/>
              <w:textAlignment w:val="baseline"/>
              <w:rPr>
                <w:rFonts w:ascii="Times New Roman" w:eastAsia="仿宋" w:hAnsi="Times New Roman" w:cs="Times New Roman"/>
                <w:szCs w:val="21"/>
              </w:rPr>
            </w:pPr>
            <w:r>
              <w:rPr>
                <w:rFonts w:ascii="Times New Roman" w:eastAsia="仿宋" w:hAnsi="Times New Roman" w:cs="Times New Roman"/>
                <w:szCs w:val="21"/>
              </w:rPr>
              <w:t>35</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33%</w:t>
            </w:r>
          </w:p>
        </w:tc>
        <w:tc>
          <w:tcPr>
            <w:tcW w:w="789"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tc>
      </w:tr>
      <w:tr w:rsidR="00E35214">
        <w:trPr>
          <w:trHeight w:val="638"/>
        </w:trPr>
        <w:tc>
          <w:tcPr>
            <w:tcW w:w="705" w:type="dxa"/>
            <w:vMerge w:val="restart"/>
            <w:vAlign w:val="center"/>
          </w:tcPr>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6F7231">
            <w:pPr>
              <w:pStyle w:val="TableParagraph"/>
              <w:snapToGrid w:val="0"/>
              <w:spacing w:before="171" w:line="278" w:lineRule="auto"/>
              <w:ind w:left="141" w:right="130"/>
              <w:jc w:val="center"/>
              <w:textAlignment w:val="baseline"/>
              <w:rPr>
                <w:rFonts w:ascii="Times New Roman" w:eastAsia="仿宋" w:hAnsi="Times New Roman" w:cs="Times New Roman"/>
                <w:b/>
                <w:szCs w:val="21"/>
              </w:rPr>
            </w:pPr>
            <w:r>
              <w:rPr>
                <w:rFonts w:ascii="Times New Roman" w:eastAsia="仿宋" w:hAnsi="Times New Roman" w:cs="Times New Roman"/>
                <w:b/>
                <w:szCs w:val="21"/>
              </w:rPr>
              <w:t>创新驱动</w:t>
            </w:r>
          </w:p>
        </w:tc>
        <w:tc>
          <w:tcPr>
            <w:tcW w:w="3223" w:type="dxa"/>
            <w:vAlign w:val="center"/>
          </w:tcPr>
          <w:p w:rsidR="00E35214" w:rsidRDefault="006F7231">
            <w:pPr>
              <w:pStyle w:val="TableParagraph"/>
              <w:snapToGrid w:val="0"/>
              <w:spacing w:before="36"/>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5.</w:t>
            </w:r>
            <w:r>
              <w:rPr>
                <w:rFonts w:ascii="Times New Roman" w:eastAsia="仿宋" w:hAnsi="Times New Roman" w:cs="Times New Roman"/>
                <w:szCs w:val="21"/>
              </w:rPr>
              <w:t>研究与试验发展经费投入强度</w:t>
            </w:r>
          </w:p>
          <w:p w:rsidR="00E35214" w:rsidRDefault="006F7231">
            <w:pPr>
              <w:pStyle w:val="TableParagraph"/>
              <w:snapToGrid w:val="0"/>
              <w:spacing w:before="43"/>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789"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6F7231">
            <w:pPr>
              <w:pStyle w:val="TableParagraph"/>
              <w:snapToGrid w:val="0"/>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638"/>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7"/>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6.</w:t>
            </w:r>
            <w:r>
              <w:rPr>
                <w:rFonts w:ascii="Times New Roman" w:eastAsia="仿宋" w:hAnsi="Times New Roman" w:cs="Times New Roman"/>
                <w:szCs w:val="21"/>
              </w:rPr>
              <w:t>每万人口拥有发明专利拥有量</w:t>
            </w:r>
          </w:p>
          <w:p w:rsidR="00E35214" w:rsidRDefault="006F7231">
            <w:pPr>
              <w:pStyle w:val="TableParagraph"/>
              <w:snapToGrid w:val="0"/>
              <w:spacing w:before="41"/>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（件）</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2</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2.85</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8%</w:t>
            </w:r>
            <w:r>
              <w:rPr>
                <w:rFonts w:ascii="Times New Roman" w:eastAsia="仿宋" w:hAnsi="Times New Roman" w:cs="Times New Roman"/>
                <w:szCs w:val="21"/>
              </w:rPr>
              <w:t>以上</w:t>
            </w:r>
          </w:p>
        </w:tc>
        <w:tc>
          <w:tcPr>
            <w:tcW w:w="789" w:type="dxa"/>
            <w:vAlign w:val="center"/>
          </w:tcPr>
          <w:p w:rsidR="00E35214" w:rsidRDefault="00E35214">
            <w:pPr>
              <w:pStyle w:val="TableParagraph"/>
              <w:snapToGrid w:val="0"/>
              <w:spacing w:before="11"/>
              <w:jc w:val="center"/>
              <w:textAlignment w:val="baseline"/>
              <w:rPr>
                <w:rFonts w:ascii="Times New Roman" w:eastAsia="仿宋" w:hAnsi="Times New Roman" w:cs="Times New Roman"/>
                <w:szCs w:val="21"/>
              </w:rPr>
            </w:pPr>
          </w:p>
          <w:p w:rsidR="00E35214" w:rsidRDefault="006F7231">
            <w:pPr>
              <w:pStyle w:val="TableParagraph"/>
              <w:snapToGrid w:val="0"/>
              <w:spacing w:before="1"/>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638"/>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6"/>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7.</w:t>
            </w:r>
            <w:r>
              <w:rPr>
                <w:rFonts w:ascii="Times New Roman" w:eastAsia="仿宋" w:hAnsi="Times New Roman" w:cs="Times New Roman"/>
                <w:spacing w:val="-5"/>
                <w:szCs w:val="21"/>
              </w:rPr>
              <w:t>数字经济核心产业增加值占</w:t>
            </w:r>
            <w:r>
              <w:rPr>
                <w:rFonts w:ascii="Times New Roman" w:eastAsia="仿宋" w:hAnsi="Times New Roman" w:cs="Times New Roman"/>
                <w:spacing w:val="-5"/>
                <w:szCs w:val="21"/>
              </w:rPr>
              <w:t xml:space="preserve"> </w:t>
            </w:r>
            <w:r>
              <w:rPr>
                <w:rFonts w:ascii="Times New Roman" w:eastAsia="仿宋" w:hAnsi="Times New Roman" w:cs="Times New Roman"/>
                <w:szCs w:val="21"/>
              </w:rPr>
              <w:t>GDP</w:t>
            </w:r>
          </w:p>
          <w:p w:rsidR="00E35214" w:rsidRDefault="006F7231">
            <w:pPr>
              <w:pStyle w:val="TableParagraph"/>
              <w:snapToGrid w:val="0"/>
              <w:spacing w:before="43"/>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比重（</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1.5</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789"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6F7231">
            <w:pPr>
              <w:pStyle w:val="TableParagraph"/>
              <w:snapToGrid w:val="0"/>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7"/>
        </w:trPr>
        <w:tc>
          <w:tcPr>
            <w:tcW w:w="705" w:type="dxa"/>
            <w:vMerge w:val="restart"/>
            <w:vAlign w:val="center"/>
          </w:tcPr>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E35214">
            <w:pPr>
              <w:pStyle w:val="TableParagraph"/>
              <w:snapToGrid w:val="0"/>
              <w:spacing w:before="12"/>
              <w:jc w:val="center"/>
              <w:textAlignment w:val="baseline"/>
              <w:rPr>
                <w:rFonts w:ascii="Times New Roman" w:eastAsia="仿宋" w:hAnsi="Times New Roman" w:cs="Times New Roman"/>
                <w:szCs w:val="21"/>
              </w:rPr>
            </w:pPr>
          </w:p>
          <w:p w:rsidR="00E35214" w:rsidRDefault="006F7231">
            <w:pPr>
              <w:pStyle w:val="TableParagraph"/>
              <w:snapToGrid w:val="0"/>
              <w:spacing w:line="278" w:lineRule="auto"/>
              <w:ind w:left="141" w:right="130"/>
              <w:jc w:val="center"/>
              <w:textAlignment w:val="baseline"/>
              <w:rPr>
                <w:rFonts w:ascii="Times New Roman" w:eastAsia="仿宋" w:hAnsi="Times New Roman" w:cs="Times New Roman"/>
                <w:b/>
                <w:szCs w:val="21"/>
              </w:rPr>
            </w:pPr>
            <w:r>
              <w:rPr>
                <w:rFonts w:ascii="Times New Roman" w:eastAsia="仿宋" w:hAnsi="Times New Roman" w:cs="Times New Roman"/>
                <w:b/>
                <w:szCs w:val="21"/>
              </w:rPr>
              <w:t>民生福祉</w:t>
            </w:r>
          </w:p>
        </w:tc>
        <w:tc>
          <w:tcPr>
            <w:tcW w:w="3223" w:type="dxa"/>
            <w:vAlign w:val="center"/>
          </w:tcPr>
          <w:p w:rsidR="00E35214" w:rsidRDefault="006F7231">
            <w:pPr>
              <w:pStyle w:val="TableParagraph"/>
              <w:snapToGrid w:val="0"/>
              <w:spacing w:before="38"/>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8.</w:t>
            </w:r>
            <w:r>
              <w:rPr>
                <w:rFonts w:ascii="Times New Roman" w:eastAsia="仿宋" w:hAnsi="Times New Roman" w:cs="Times New Roman"/>
                <w:szCs w:val="21"/>
              </w:rPr>
              <w:t>居民人均可支配收入增长率（</w:t>
            </w:r>
            <w:r>
              <w:rPr>
                <w:rFonts w:ascii="Times New Roman" w:eastAsia="仿宋" w:hAnsi="Times New Roman" w:cs="Times New Roman"/>
                <w:szCs w:val="21"/>
              </w:rPr>
              <w:t>%</w:t>
            </w:r>
          </w:p>
        </w:tc>
        <w:tc>
          <w:tcPr>
            <w:tcW w:w="1370" w:type="dxa"/>
            <w:vAlign w:val="center"/>
          </w:tcPr>
          <w:p w:rsidR="00E35214" w:rsidRDefault="006F7231">
            <w:pPr>
              <w:pStyle w:val="TableParagraph"/>
              <w:tabs>
                <w:tab w:val="left" w:pos="562"/>
              </w:tabs>
              <w:snapToGrid w:val="0"/>
              <w:spacing w:before="38"/>
              <w:ind w:left="-146"/>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8.8</w:t>
            </w:r>
          </w:p>
        </w:tc>
        <w:tc>
          <w:tcPr>
            <w:tcW w:w="970" w:type="dxa"/>
            <w:vAlign w:val="center"/>
          </w:tcPr>
          <w:p w:rsidR="00E35214" w:rsidRDefault="006F7231">
            <w:pPr>
              <w:pStyle w:val="TableParagraph"/>
              <w:snapToGrid w:val="0"/>
              <w:spacing w:before="52"/>
              <w:ind w:left="5"/>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9.0</w:t>
            </w:r>
          </w:p>
        </w:tc>
        <w:tc>
          <w:tcPr>
            <w:tcW w:w="1279" w:type="dxa"/>
            <w:vAlign w:val="center"/>
          </w:tcPr>
          <w:p w:rsidR="00E35214" w:rsidRDefault="00E35214">
            <w:pPr>
              <w:pStyle w:val="TableParagraph"/>
              <w:snapToGrid w:val="0"/>
              <w:spacing w:before="49"/>
              <w:ind w:left="9"/>
              <w:jc w:val="center"/>
              <w:textAlignment w:val="baseline"/>
              <w:rPr>
                <w:rFonts w:ascii="Times New Roman" w:eastAsia="仿宋" w:hAnsi="Times New Roman" w:cs="Times New Roman"/>
                <w:szCs w:val="21"/>
              </w:rPr>
            </w:pPr>
          </w:p>
        </w:tc>
        <w:tc>
          <w:tcPr>
            <w:tcW w:w="789" w:type="dxa"/>
            <w:vAlign w:val="center"/>
          </w:tcPr>
          <w:p w:rsidR="00E35214" w:rsidRDefault="006F7231">
            <w:pPr>
              <w:pStyle w:val="TableParagraph"/>
              <w:snapToGrid w:val="0"/>
              <w:spacing w:before="35"/>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6"/>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7"/>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9.</w:t>
            </w:r>
            <w:r>
              <w:rPr>
                <w:rFonts w:ascii="Times New Roman" w:eastAsia="仿宋" w:hAnsi="Times New Roman" w:cs="Times New Roman"/>
                <w:szCs w:val="21"/>
              </w:rPr>
              <w:t>城镇登记失业率（</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spacing w:before="51"/>
              <w:ind w:left="411" w:right="403"/>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3.9</w:t>
            </w:r>
          </w:p>
        </w:tc>
        <w:tc>
          <w:tcPr>
            <w:tcW w:w="970" w:type="dxa"/>
            <w:vAlign w:val="center"/>
          </w:tcPr>
          <w:p w:rsidR="00E35214" w:rsidRDefault="006F7231">
            <w:pPr>
              <w:pStyle w:val="TableParagraph"/>
              <w:snapToGrid w:val="0"/>
              <w:spacing w:before="51"/>
              <w:ind w:left="1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3.8</w:t>
            </w:r>
          </w:p>
        </w:tc>
        <w:tc>
          <w:tcPr>
            <w:tcW w:w="1279"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tc>
        <w:tc>
          <w:tcPr>
            <w:tcW w:w="789" w:type="dxa"/>
            <w:vAlign w:val="center"/>
          </w:tcPr>
          <w:p w:rsidR="00E35214" w:rsidRDefault="006F7231">
            <w:pPr>
              <w:pStyle w:val="TableParagraph"/>
              <w:snapToGrid w:val="0"/>
              <w:spacing w:before="37"/>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638"/>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6"/>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10.</w:t>
            </w:r>
            <w:r>
              <w:rPr>
                <w:rFonts w:ascii="Times New Roman" w:eastAsia="仿宋" w:hAnsi="Times New Roman" w:cs="Times New Roman"/>
                <w:szCs w:val="21"/>
              </w:rPr>
              <w:t>劳动年龄人口平均受教育年限</w:t>
            </w:r>
          </w:p>
          <w:p w:rsidR="00E35214" w:rsidRDefault="006F7231">
            <w:pPr>
              <w:pStyle w:val="TableParagraph"/>
              <w:snapToGrid w:val="0"/>
              <w:spacing w:before="43"/>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（年）</w:t>
            </w:r>
          </w:p>
        </w:tc>
        <w:tc>
          <w:tcPr>
            <w:tcW w:w="1370" w:type="dxa"/>
            <w:vAlign w:val="center"/>
          </w:tcPr>
          <w:p w:rsidR="00E35214" w:rsidRDefault="006F7231">
            <w:pPr>
              <w:pStyle w:val="TableParagraph"/>
              <w:snapToGrid w:val="0"/>
              <w:spacing w:before="1"/>
              <w:ind w:left="38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9</w:t>
            </w:r>
          </w:p>
        </w:tc>
        <w:tc>
          <w:tcPr>
            <w:tcW w:w="970" w:type="dxa"/>
            <w:vAlign w:val="center"/>
          </w:tcPr>
          <w:p w:rsidR="00E35214" w:rsidRDefault="006F7231">
            <w:pPr>
              <w:pStyle w:val="TableParagraph"/>
              <w:snapToGrid w:val="0"/>
              <w:spacing w:before="1"/>
              <w:ind w:left="1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11</w:t>
            </w:r>
          </w:p>
        </w:tc>
        <w:tc>
          <w:tcPr>
            <w:tcW w:w="1279" w:type="dxa"/>
            <w:vAlign w:val="center"/>
          </w:tcPr>
          <w:p w:rsidR="00E35214" w:rsidRDefault="006F7231">
            <w:pPr>
              <w:pStyle w:val="TableParagraph"/>
              <w:snapToGrid w:val="0"/>
              <w:spacing w:before="1"/>
              <w:ind w:left="9"/>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789" w:type="dxa"/>
            <w:vAlign w:val="center"/>
          </w:tcPr>
          <w:p w:rsidR="00E35214" w:rsidRDefault="00E35214">
            <w:pPr>
              <w:pStyle w:val="TableParagraph"/>
              <w:snapToGrid w:val="0"/>
              <w:spacing w:before="12"/>
              <w:jc w:val="center"/>
              <w:textAlignment w:val="baseline"/>
              <w:rPr>
                <w:rFonts w:ascii="Times New Roman" w:eastAsia="仿宋" w:hAnsi="Times New Roman" w:cs="Times New Roman"/>
                <w:szCs w:val="21"/>
              </w:rPr>
            </w:pPr>
          </w:p>
          <w:p w:rsidR="00E35214" w:rsidRDefault="006F7231">
            <w:pPr>
              <w:pStyle w:val="TableParagraph"/>
              <w:snapToGrid w:val="0"/>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约束性</w:t>
            </w:r>
          </w:p>
        </w:tc>
      </w:tr>
      <w:tr w:rsidR="00E35214">
        <w:trPr>
          <w:trHeight w:val="638"/>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7"/>
              <w:ind w:left="15"/>
              <w:jc w:val="center"/>
              <w:textAlignment w:val="baseline"/>
              <w:rPr>
                <w:rFonts w:ascii="Times New Roman" w:eastAsia="仿宋" w:hAnsi="Times New Roman" w:cs="Times New Roman"/>
                <w:szCs w:val="21"/>
              </w:rPr>
            </w:pPr>
            <w:r>
              <w:rPr>
                <w:rFonts w:ascii="Times New Roman" w:eastAsia="仿宋" w:hAnsi="Times New Roman" w:cs="Times New Roman"/>
                <w:w w:val="95"/>
                <w:szCs w:val="21"/>
              </w:rPr>
              <w:t>11.</w:t>
            </w:r>
            <w:r>
              <w:rPr>
                <w:rFonts w:ascii="Times New Roman" w:eastAsia="仿宋" w:hAnsi="Times New Roman" w:cs="Times New Roman"/>
                <w:w w:val="95"/>
                <w:szCs w:val="21"/>
              </w:rPr>
              <w:t>每千人口拥有执业（助理）医师</w:t>
            </w:r>
          </w:p>
          <w:p w:rsidR="00E35214" w:rsidRDefault="006F7231">
            <w:pPr>
              <w:pStyle w:val="TableParagraph"/>
              <w:snapToGrid w:val="0"/>
              <w:spacing w:before="41"/>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数（人）</w:t>
            </w:r>
          </w:p>
        </w:tc>
        <w:tc>
          <w:tcPr>
            <w:tcW w:w="1370" w:type="dxa"/>
            <w:vAlign w:val="center"/>
          </w:tcPr>
          <w:p w:rsidR="00E35214" w:rsidRDefault="006F7231">
            <w:pPr>
              <w:pStyle w:val="TableParagraph"/>
              <w:snapToGrid w:val="0"/>
              <w:ind w:left="411" w:right="403"/>
              <w:jc w:val="center"/>
              <w:textAlignment w:val="baseline"/>
              <w:rPr>
                <w:rFonts w:ascii="Times New Roman" w:eastAsia="仿宋" w:hAnsi="Times New Roman" w:cs="Times New Roman"/>
                <w:szCs w:val="21"/>
              </w:rPr>
            </w:pPr>
            <w:r>
              <w:rPr>
                <w:rFonts w:ascii="Times New Roman" w:eastAsia="仿宋" w:hAnsi="Times New Roman" w:cs="Times New Roman" w:hint="eastAsia"/>
                <w:szCs w:val="21"/>
              </w:rPr>
              <w:t>2</w:t>
            </w:r>
            <w:r>
              <w:rPr>
                <w:rFonts w:ascii="Times New Roman" w:eastAsia="仿宋" w:hAnsi="Times New Roman" w:cs="Times New Roman"/>
                <w:szCs w:val="21"/>
              </w:rPr>
              <w:t>.15</w:t>
            </w:r>
          </w:p>
        </w:tc>
        <w:tc>
          <w:tcPr>
            <w:tcW w:w="970" w:type="dxa"/>
            <w:vAlign w:val="center"/>
          </w:tcPr>
          <w:p w:rsidR="00E35214" w:rsidRDefault="006F7231">
            <w:pPr>
              <w:pStyle w:val="TableParagraph"/>
              <w:snapToGrid w:val="0"/>
              <w:ind w:left="5"/>
              <w:jc w:val="center"/>
              <w:textAlignment w:val="baseline"/>
              <w:rPr>
                <w:rFonts w:ascii="Times New Roman" w:eastAsia="仿宋" w:hAnsi="Times New Roman" w:cs="Times New Roman"/>
                <w:szCs w:val="21"/>
              </w:rPr>
            </w:pPr>
            <w:r>
              <w:rPr>
                <w:rFonts w:ascii="Times New Roman" w:eastAsia="仿宋" w:hAnsi="Times New Roman" w:cs="Times New Roman" w:hint="eastAsia"/>
                <w:szCs w:val="21"/>
              </w:rPr>
              <w:t>2</w:t>
            </w:r>
            <w:r>
              <w:rPr>
                <w:rFonts w:ascii="Times New Roman" w:eastAsia="仿宋" w:hAnsi="Times New Roman" w:cs="Times New Roman"/>
                <w:szCs w:val="21"/>
              </w:rPr>
              <w:t>.5</w:t>
            </w:r>
          </w:p>
        </w:tc>
        <w:tc>
          <w:tcPr>
            <w:tcW w:w="1279" w:type="dxa"/>
            <w:vAlign w:val="center"/>
          </w:tcPr>
          <w:p w:rsidR="00E35214" w:rsidRDefault="006F7231">
            <w:pPr>
              <w:pStyle w:val="TableParagraph"/>
              <w:snapToGrid w:val="0"/>
              <w:ind w:left="93" w:right="84"/>
              <w:jc w:val="center"/>
              <w:textAlignment w:val="baseline"/>
              <w:rPr>
                <w:rFonts w:ascii="Times New Roman" w:eastAsia="仿宋" w:hAnsi="Times New Roman" w:cs="Times New Roman"/>
                <w:szCs w:val="21"/>
              </w:rPr>
            </w:pPr>
            <w:r>
              <w:rPr>
                <w:rFonts w:ascii="Times New Roman" w:eastAsia="仿宋" w:hAnsi="Times New Roman" w:cs="Times New Roman" w:hint="eastAsia"/>
                <w:szCs w:val="21"/>
              </w:rPr>
              <w:t>3</w:t>
            </w:r>
            <w:r>
              <w:rPr>
                <w:rFonts w:ascii="Times New Roman" w:eastAsia="仿宋" w:hAnsi="Times New Roman" w:cs="Times New Roman"/>
                <w:szCs w:val="21"/>
              </w:rPr>
              <w:t>.1%</w:t>
            </w:r>
          </w:p>
        </w:tc>
        <w:tc>
          <w:tcPr>
            <w:tcW w:w="789" w:type="dxa"/>
            <w:vAlign w:val="center"/>
          </w:tcPr>
          <w:p w:rsidR="00E35214" w:rsidRDefault="00E35214">
            <w:pPr>
              <w:pStyle w:val="TableParagraph"/>
              <w:snapToGrid w:val="0"/>
              <w:spacing w:before="11"/>
              <w:jc w:val="center"/>
              <w:textAlignment w:val="baseline"/>
              <w:rPr>
                <w:rFonts w:ascii="Times New Roman" w:eastAsia="仿宋" w:hAnsi="Times New Roman" w:cs="Times New Roman"/>
                <w:szCs w:val="21"/>
              </w:rPr>
            </w:pPr>
          </w:p>
          <w:p w:rsidR="00E35214" w:rsidRDefault="006F7231">
            <w:pPr>
              <w:pStyle w:val="TableParagraph"/>
              <w:snapToGrid w:val="0"/>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7"/>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6"/>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12.</w:t>
            </w:r>
            <w:r>
              <w:rPr>
                <w:rFonts w:ascii="Times New Roman" w:eastAsia="仿宋" w:hAnsi="Times New Roman" w:cs="Times New Roman"/>
                <w:szCs w:val="21"/>
              </w:rPr>
              <w:t>基本养老保险参保率（</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spacing w:before="50"/>
              <w:ind w:left="411" w:right="403"/>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95</w:t>
            </w:r>
          </w:p>
        </w:tc>
        <w:tc>
          <w:tcPr>
            <w:tcW w:w="970" w:type="dxa"/>
            <w:vAlign w:val="center"/>
          </w:tcPr>
          <w:p w:rsidR="00E35214" w:rsidRDefault="006F7231">
            <w:pPr>
              <w:pStyle w:val="TableParagraph"/>
              <w:snapToGrid w:val="0"/>
              <w:spacing w:before="50"/>
              <w:ind w:left="1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96</w:t>
            </w:r>
          </w:p>
        </w:tc>
        <w:tc>
          <w:tcPr>
            <w:tcW w:w="1279" w:type="dxa"/>
            <w:vAlign w:val="center"/>
          </w:tcPr>
          <w:p w:rsidR="00E35214" w:rsidRDefault="00E35214">
            <w:pPr>
              <w:pStyle w:val="TableParagraph"/>
              <w:snapToGrid w:val="0"/>
              <w:spacing w:before="50"/>
              <w:ind w:left="9"/>
              <w:jc w:val="center"/>
              <w:textAlignment w:val="baseline"/>
              <w:rPr>
                <w:rFonts w:ascii="Times New Roman" w:eastAsia="仿宋" w:hAnsi="Times New Roman" w:cs="Times New Roman"/>
                <w:szCs w:val="21"/>
              </w:rPr>
            </w:pPr>
          </w:p>
        </w:tc>
        <w:tc>
          <w:tcPr>
            <w:tcW w:w="789" w:type="dxa"/>
            <w:vAlign w:val="center"/>
          </w:tcPr>
          <w:p w:rsidR="00E35214" w:rsidRDefault="006F7231">
            <w:pPr>
              <w:pStyle w:val="TableParagraph"/>
              <w:snapToGrid w:val="0"/>
              <w:spacing w:before="36"/>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639"/>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line="310" w:lineRule="exact"/>
              <w:ind w:left="15" w:right="3"/>
              <w:jc w:val="center"/>
              <w:textAlignment w:val="baseline"/>
              <w:rPr>
                <w:rFonts w:ascii="Times New Roman" w:eastAsia="仿宋" w:hAnsi="Times New Roman" w:cs="Times New Roman"/>
                <w:szCs w:val="21"/>
              </w:rPr>
            </w:pPr>
            <w:r>
              <w:rPr>
                <w:rFonts w:ascii="Times New Roman" w:eastAsia="仿宋" w:hAnsi="Times New Roman" w:cs="Times New Roman"/>
                <w:szCs w:val="21"/>
              </w:rPr>
              <w:t>13.</w:t>
            </w:r>
            <w:r>
              <w:rPr>
                <w:rFonts w:ascii="Times New Roman" w:eastAsia="仿宋" w:hAnsi="Times New Roman" w:cs="Times New Roman"/>
                <w:spacing w:val="-9"/>
                <w:szCs w:val="21"/>
              </w:rPr>
              <w:t>每千人口拥有</w:t>
            </w:r>
            <w:r>
              <w:rPr>
                <w:rFonts w:ascii="Times New Roman" w:eastAsia="仿宋" w:hAnsi="Times New Roman" w:cs="Times New Roman"/>
                <w:spacing w:val="-9"/>
                <w:szCs w:val="21"/>
              </w:rPr>
              <w:t xml:space="preserve"> </w:t>
            </w:r>
            <w:r>
              <w:rPr>
                <w:rFonts w:ascii="Times New Roman" w:eastAsia="仿宋" w:hAnsi="Times New Roman" w:cs="Times New Roman"/>
                <w:szCs w:val="21"/>
              </w:rPr>
              <w:t xml:space="preserve">3 </w:t>
            </w:r>
            <w:r>
              <w:rPr>
                <w:rFonts w:ascii="Times New Roman" w:eastAsia="仿宋" w:hAnsi="Times New Roman" w:cs="Times New Roman"/>
                <w:szCs w:val="21"/>
              </w:rPr>
              <w:t>岁以下婴幼儿的托位数（个）</w:t>
            </w:r>
          </w:p>
        </w:tc>
        <w:tc>
          <w:tcPr>
            <w:tcW w:w="1370" w:type="dxa"/>
            <w:vAlign w:val="center"/>
          </w:tcPr>
          <w:p w:rsidR="00E35214" w:rsidRDefault="006F7231">
            <w:pPr>
              <w:pStyle w:val="TableParagraph"/>
              <w:snapToGrid w:val="0"/>
              <w:ind w:left="411" w:right="403"/>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1590</w:t>
            </w:r>
          </w:p>
        </w:tc>
        <w:tc>
          <w:tcPr>
            <w:tcW w:w="970" w:type="dxa"/>
            <w:vAlign w:val="center"/>
          </w:tcPr>
          <w:p w:rsidR="00E35214" w:rsidRDefault="006F7231">
            <w:pPr>
              <w:pStyle w:val="TableParagraph"/>
              <w:snapToGrid w:val="0"/>
              <w:ind w:left="5"/>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2100</w:t>
            </w:r>
          </w:p>
        </w:tc>
        <w:tc>
          <w:tcPr>
            <w:tcW w:w="1279"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tc>
        <w:tc>
          <w:tcPr>
            <w:tcW w:w="789" w:type="dxa"/>
            <w:vAlign w:val="center"/>
          </w:tcPr>
          <w:p w:rsidR="00E35214" w:rsidRDefault="00E35214">
            <w:pPr>
              <w:pStyle w:val="TableParagraph"/>
              <w:snapToGrid w:val="0"/>
              <w:spacing w:before="12"/>
              <w:jc w:val="center"/>
              <w:textAlignment w:val="baseline"/>
              <w:rPr>
                <w:rFonts w:ascii="Times New Roman" w:eastAsia="仿宋" w:hAnsi="Times New Roman" w:cs="Times New Roman"/>
                <w:szCs w:val="21"/>
              </w:rPr>
            </w:pPr>
          </w:p>
          <w:p w:rsidR="00E35214" w:rsidRDefault="006F7231">
            <w:pPr>
              <w:pStyle w:val="TableParagraph"/>
              <w:snapToGrid w:val="0"/>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7"/>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6"/>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14.</w:t>
            </w:r>
            <w:r>
              <w:rPr>
                <w:rFonts w:ascii="Times New Roman" w:eastAsia="仿宋" w:hAnsi="Times New Roman" w:cs="Times New Roman"/>
                <w:szCs w:val="21"/>
              </w:rPr>
              <w:t>人均预期寿命（岁）</w:t>
            </w:r>
          </w:p>
        </w:tc>
        <w:tc>
          <w:tcPr>
            <w:tcW w:w="1370" w:type="dxa"/>
            <w:vAlign w:val="center"/>
          </w:tcPr>
          <w:p w:rsidR="00E35214" w:rsidRDefault="006F7231">
            <w:pPr>
              <w:pStyle w:val="TableParagraph"/>
              <w:snapToGrid w:val="0"/>
              <w:spacing w:before="50"/>
              <w:ind w:left="380"/>
              <w:textAlignment w:val="baseline"/>
              <w:rPr>
                <w:rFonts w:ascii="Times New Roman" w:eastAsia="仿宋" w:hAnsi="Times New Roman" w:cs="Times New Roman"/>
                <w:szCs w:val="21"/>
              </w:rPr>
            </w:pPr>
            <w:r>
              <w:rPr>
                <w:rFonts w:ascii="Times New Roman" w:eastAsia="仿宋" w:hAnsi="Times New Roman" w:cs="Times New Roman" w:hint="eastAsia"/>
                <w:szCs w:val="21"/>
              </w:rPr>
              <w:t>7</w:t>
            </w:r>
            <w:r>
              <w:rPr>
                <w:rFonts w:ascii="Times New Roman" w:eastAsia="仿宋" w:hAnsi="Times New Roman" w:cs="Times New Roman"/>
                <w:szCs w:val="21"/>
              </w:rPr>
              <w:t>8.4</w:t>
            </w:r>
          </w:p>
        </w:tc>
        <w:tc>
          <w:tcPr>
            <w:tcW w:w="970" w:type="dxa"/>
            <w:vAlign w:val="center"/>
          </w:tcPr>
          <w:p w:rsidR="00E35214" w:rsidRDefault="006F7231">
            <w:pPr>
              <w:pStyle w:val="TableParagraph"/>
              <w:snapToGrid w:val="0"/>
              <w:spacing w:before="50"/>
              <w:ind w:left="10"/>
              <w:jc w:val="center"/>
              <w:textAlignment w:val="baseline"/>
              <w:rPr>
                <w:rFonts w:ascii="Times New Roman" w:eastAsia="仿宋" w:hAnsi="Times New Roman" w:cs="Times New Roman"/>
                <w:szCs w:val="21"/>
              </w:rPr>
            </w:pPr>
            <w:r>
              <w:rPr>
                <w:rFonts w:ascii="Times New Roman" w:eastAsia="仿宋" w:hAnsi="Times New Roman" w:cs="Times New Roman" w:hint="eastAsia"/>
                <w:szCs w:val="21"/>
              </w:rPr>
              <w:t>8</w:t>
            </w:r>
            <w:r>
              <w:rPr>
                <w:rFonts w:ascii="Times New Roman" w:eastAsia="仿宋" w:hAnsi="Times New Roman" w:cs="Times New Roman"/>
                <w:szCs w:val="21"/>
              </w:rPr>
              <w:t>0.5</w:t>
            </w:r>
          </w:p>
        </w:tc>
        <w:tc>
          <w:tcPr>
            <w:tcW w:w="1279" w:type="dxa"/>
            <w:vAlign w:val="center"/>
          </w:tcPr>
          <w:p w:rsidR="00E35214" w:rsidRDefault="006F7231">
            <w:pPr>
              <w:pStyle w:val="TableParagraph"/>
              <w:snapToGrid w:val="0"/>
              <w:spacing w:before="50"/>
              <w:ind w:left="10"/>
              <w:jc w:val="center"/>
              <w:textAlignment w:val="baseline"/>
              <w:rPr>
                <w:rFonts w:ascii="Times New Roman" w:eastAsia="仿宋" w:hAnsi="Times New Roman" w:cs="Times New Roman"/>
                <w:szCs w:val="21"/>
              </w:rPr>
            </w:pPr>
            <w:r>
              <w:rPr>
                <w:rFonts w:ascii="Times New Roman" w:eastAsia="仿宋" w:hAnsi="Times New Roman" w:cs="Times New Roman" w:hint="eastAsia"/>
                <w:szCs w:val="21"/>
              </w:rPr>
              <w:t>0</w:t>
            </w:r>
            <w:r>
              <w:rPr>
                <w:rFonts w:ascii="Times New Roman" w:eastAsia="仿宋" w:hAnsi="Times New Roman" w:cs="Times New Roman"/>
                <w:szCs w:val="21"/>
              </w:rPr>
              <w:t>.5%</w:t>
            </w:r>
          </w:p>
        </w:tc>
        <w:tc>
          <w:tcPr>
            <w:tcW w:w="789" w:type="dxa"/>
            <w:vAlign w:val="center"/>
          </w:tcPr>
          <w:p w:rsidR="00E35214" w:rsidRDefault="006F7231">
            <w:pPr>
              <w:pStyle w:val="TableParagraph"/>
              <w:snapToGrid w:val="0"/>
              <w:spacing w:before="36"/>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6"/>
        </w:trPr>
        <w:tc>
          <w:tcPr>
            <w:tcW w:w="705" w:type="dxa"/>
            <w:vMerge w:val="restart"/>
            <w:vAlign w:val="center"/>
          </w:tcPr>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E35214">
            <w:pPr>
              <w:pStyle w:val="TableParagraph"/>
              <w:snapToGrid w:val="0"/>
              <w:spacing w:before="10"/>
              <w:jc w:val="center"/>
              <w:textAlignment w:val="baseline"/>
              <w:rPr>
                <w:rFonts w:ascii="Times New Roman" w:eastAsia="仿宋" w:hAnsi="Times New Roman" w:cs="Times New Roman"/>
                <w:szCs w:val="21"/>
              </w:rPr>
            </w:pPr>
          </w:p>
          <w:p w:rsidR="00E35214" w:rsidRDefault="006F7231">
            <w:pPr>
              <w:pStyle w:val="TableParagraph"/>
              <w:snapToGrid w:val="0"/>
              <w:spacing w:line="278" w:lineRule="auto"/>
              <w:ind w:left="141" w:right="130"/>
              <w:jc w:val="center"/>
              <w:textAlignment w:val="baseline"/>
              <w:rPr>
                <w:rFonts w:ascii="Times New Roman" w:eastAsia="仿宋" w:hAnsi="Times New Roman" w:cs="Times New Roman"/>
                <w:b/>
                <w:szCs w:val="21"/>
              </w:rPr>
            </w:pPr>
            <w:r>
              <w:rPr>
                <w:rFonts w:ascii="Times New Roman" w:eastAsia="仿宋" w:hAnsi="Times New Roman" w:cs="Times New Roman"/>
                <w:b/>
                <w:szCs w:val="21"/>
              </w:rPr>
              <w:t>绿色转型</w:t>
            </w:r>
          </w:p>
        </w:tc>
        <w:tc>
          <w:tcPr>
            <w:tcW w:w="3223" w:type="dxa"/>
            <w:vAlign w:val="center"/>
          </w:tcPr>
          <w:p w:rsidR="00E35214" w:rsidRDefault="006F7231">
            <w:pPr>
              <w:pStyle w:val="TableParagraph"/>
              <w:snapToGrid w:val="0"/>
              <w:spacing w:before="38" w:line="269" w:lineRule="exact"/>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15.</w:t>
            </w:r>
            <w:r>
              <w:rPr>
                <w:rFonts w:ascii="Times New Roman" w:eastAsia="仿宋" w:hAnsi="Times New Roman" w:cs="Times New Roman"/>
                <w:szCs w:val="21"/>
              </w:rPr>
              <w:t>单位</w:t>
            </w:r>
            <w:r>
              <w:rPr>
                <w:rFonts w:ascii="Times New Roman" w:eastAsia="仿宋" w:hAnsi="Times New Roman" w:cs="Times New Roman"/>
                <w:szCs w:val="21"/>
              </w:rPr>
              <w:t xml:space="preserve"> GDP </w:t>
            </w:r>
            <w:r>
              <w:rPr>
                <w:rFonts w:ascii="Times New Roman" w:eastAsia="仿宋" w:hAnsi="Times New Roman" w:cs="Times New Roman"/>
                <w:szCs w:val="21"/>
              </w:rPr>
              <w:t>能源消耗降低（</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-5.0</w:t>
            </w:r>
          </w:p>
        </w:tc>
        <w:tc>
          <w:tcPr>
            <w:tcW w:w="970" w:type="dxa"/>
            <w:vAlign w:val="center"/>
          </w:tcPr>
          <w:p w:rsidR="00E35214" w:rsidRDefault="006F7231">
            <w:pPr>
              <w:pStyle w:val="TableParagraph"/>
              <w:snapToGrid w:val="0"/>
              <w:spacing w:before="49"/>
              <w:ind w:left="1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-5.0</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-1.0%</w:t>
            </w:r>
          </w:p>
        </w:tc>
        <w:tc>
          <w:tcPr>
            <w:tcW w:w="789" w:type="dxa"/>
            <w:vAlign w:val="center"/>
          </w:tcPr>
          <w:p w:rsidR="00E35214" w:rsidRDefault="006F7231">
            <w:pPr>
              <w:pStyle w:val="TableParagraph"/>
              <w:snapToGrid w:val="0"/>
              <w:spacing w:before="36"/>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约束性</w:t>
            </w:r>
          </w:p>
        </w:tc>
      </w:tr>
      <w:tr w:rsidR="00E35214">
        <w:trPr>
          <w:trHeight w:val="639"/>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7"/>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16.</w:t>
            </w:r>
            <w:r>
              <w:rPr>
                <w:rFonts w:ascii="Times New Roman" w:eastAsia="仿宋" w:hAnsi="Times New Roman" w:cs="Times New Roman"/>
                <w:szCs w:val="21"/>
              </w:rPr>
              <w:t>单位</w:t>
            </w:r>
            <w:r>
              <w:rPr>
                <w:rFonts w:ascii="Times New Roman" w:eastAsia="仿宋" w:hAnsi="Times New Roman" w:cs="Times New Roman"/>
                <w:szCs w:val="21"/>
              </w:rPr>
              <w:t xml:space="preserve"> GDP </w:t>
            </w:r>
            <w:r>
              <w:rPr>
                <w:rFonts w:ascii="Times New Roman" w:eastAsia="仿宋" w:hAnsi="Times New Roman" w:cs="Times New Roman"/>
                <w:szCs w:val="21"/>
              </w:rPr>
              <w:t>二氧化碳排放降低</w:t>
            </w:r>
          </w:p>
          <w:p w:rsidR="00E35214" w:rsidRDefault="006F7231">
            <w:pPr>
              <w:pStyle w:val="TableParagraph"/>
              <w:snapToGrid w:val="0"/>
              <w:spacing w:before="43"/>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970" w:type="dxa"/>
            <w:vAlign w:val="center"/>
          </w:tcPr>
          <w:p w:rsidR="00E35214" w:rsidRDefault="006F7231">
            <w:pPr>
              <w:pStyle w:val="TableParagraph"/>
              <w:snapToGrid w:val="0"/>
              <w:ind w:left="10"/>
              <w:jc w:val="center"/>
              <w:textAlignment w:val="baseline"/>
              <w:rPr>
                <w:rFonts w:ascii="Times New Roman" w:eastAsia="仿宋" w:hAnsi="Times New Roman" w:cs="Times New Roman"/>
                <w:szCs w:val="21"/>
              </w:rPr>
            </w:pPr>
            <w:r>
              <w:rPr>
                <w:rFonts w:ascii="Times New Roman" w:eastAsia="仿宋" w:hAnsi="Times New Roman" w:cs="Times New Roman"/>
                <w:szCs w:val="21"/>
              </w:rPr>
              <w:t>-18</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-3.6%</w:t>
            </w:r>
          </w:p>
        </w:tc>
        <w:tc>
          <w:tcPr>
            <w:tcW w:w="789" w:type="dxa"/>
            <w:vAlign w:val="center"/>
          </w:tcPr>
          <w:p w:rsidR="00E35214" w:rsidRDefault="00E35214">
            <w:pPr>
              <w:pStyle w:val="TableParagraph"/>
              <w:snapToGrid w:val="0"/>
              <w:spacing w:before="1"/>
              <w:jc w:val="center"/>
              <w:textAlignment w:val="baseline"/>
              <w:rPr>
                <w:rFonts w:ascii="Times New Roman" w:eastAsia="仿宋" w:hAnsi="Times New Roman" w:cs="Times New Roman"/>
                <w:szCs w:val="21"/>
              </w:rPr>
            </w:pPr>
          </w:p>
          <w:p w:rsidR="00E35214" w:rsidRDefault="006F7231">
            <w:pPr>
              <w:pStyle w:val="TableParagraph"/>
              <w:snapToGrid w:val="0"/>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约束性</w:t>
            </w:r>
          </w:p>
        </w:tc>
      </w:tr>
      <w:tr w:rsidR="00E35214">
        <w:trPr>
          <w:trHeight w:val="639"/>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6"/>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17.</w:t>
            </w:r>
            <w:r>
              <w:rPr>
                <w:rFonts w:ascii="Times New Roman" w:eastAsia="仿宋" w:hAnsi="Times New Roman" w:cs="Times New Roman"/>
                <w:szCs w:val="21"/>
              </w:rPr>
              <w:t>地级及以上城市空气质量优良</w:t>
            </w:r>
          </w:p>
          <w:p w:rsidR="00E35214" w:rsidRDefault="006F7231">
            <w:pPr>
              <w:pStyle w:val="TableParagraph"/>
              <w:snapToGrid w:val="0"/>
              <w:spacing w:before="43"/>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天数比例（</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94</w:t>
            </w:r>
          </w:p>
        </w:tc>
        <w:tc>
          <w:tcPr>
            <w:tcW w:w="970" w:type="dxa"/>
            <w:vAlign w:val="center"/>
          </w:tcPr>
          <w:p w:rsidR="00E35214" w:rsidRDefault="006F7231">
            <w:pPr>
              <w:pStyle w:val="TableParagraph"/>
              <w:snapToGrid w:val="0"/>
              <w:ind w:left="10"/>
              <w:jc w:val="center"/>
              <w:textAlignment w:val="baseline"/>
              <w:rPr>
                <w:rFonts w:ascii="Times New Roman" w:eastAsia="仿宋" w:hAnsi="Times New Roman" w:cs="Times New Roman"/>
                <w:szCs w:val="21"/>
              </w:rPr>
            </w:pPr>
            <w:r>
              <w:rPr>
                <w:rFonts w:ascii="Times New Roman" w:eastAsia="仿宋" w:hAnsi="Times New Roman" w:cs="Times New Roman"/>
                <w:szCs w:val="21"/>
              </w:rPr>
              <w:t>95</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0.2%</w:t>
            </w:r>
          </w:p>
        </w:tc>
        <w:tc>
          <w:tcPr>
            <w:tcW w:w="789"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p w:rsidR="00E35214" w:rsidRDefault="006F7231">
            <w:pPr>
              <w:pStyle w:val="TableParagraph"/>
              <w:snapToGrid w:val="0"/>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约束性</w:t>
            </w:r>
          </w:p>
        </w:tc>
      </w:tr>
      <w:tr w:rsidR="00E35214">
        <w:trPr>
          <w:trHeight w:val="638"/>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7"/>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18.</w:t>
            </w:r>
            <w:r>
              <w:rPr>
                <w:rFonts w:ascii="Times New Roman" w:eastAsia="仿宋" w:hAnsi="Times New Roman" w:cs="Times New Roman"/>
                <w:szCs w:val="21"/>
              </w:rPr>
              <w:t>地表水质量达到或好于</w:t>
            </w:r>
            <w:r>
              <w:rPr>
                <w:rFonts w:ascii="Times New Roman" w:eastAsia="仿宋" w:hAnsi="Times New Roman" w:cs="Times New Roman"/>
                <w:szCs w:val="21"/>
              </w:rPr>
              <w:t>Ⅲ</w:t>
            </w:r>
            <w:r>
              <w:rPr>
                <w:rFonts w:ascii="Times New Roman" w:eastAsia="仿宋" w:hAnsi="Times New Roman" w:cs="Times New Roman"/>
                <w:szCs w:val="21"/>
              </w:rPr>
              <w:t>类水</w:t>
            </w:r>
          </w:p>
          <w:p w:rsidR="00E35214" w:rsidRDefault="006F7231">
            <w:pPr>
              <w:pStyle w:val="TableParagraph"/>
              <w:snapToGrid w:val="0"/>
              <w:spacing w:before="43"/>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体比例（</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100</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100</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szCs w:val="21"/>
              </w:rPr>
              <w:t>-</w:t>
            </w:r>
          </w:p>
        </w:tc>
        <w:tc>
          <w:tcPr>
            <w:tcW w:w="789" w:type="dxa"/>
            <w:vAlign w:val="center"/>
          </w:tcPr>
          <w:p w:rsidR="00E35214" w:rsidRDefault="00E35214">
            <w:pPr>
              <w:pStyle w:val="TableParagraph"/>
              <w:snapToGrid w:val="0"/>
              <w:spacing w:before="11"/>
              <w:jc w:val="center"/>
              <w:textAlignment w:val="baseline"/>
              <w:rPr>
                <w:rFonts w:ascii="Times New Roman" w:eastAsia="仿宋" w:hAnsi="Times New Roman" w:cs="Times New Roman"/>
                <w:szCs w:val="21"/>
              </w:rPr>
            </w:pPr>
          </w:p>
          <w:p w:rsidR="00E35214" w:rsidRDefault="006F7231">
            <w:pPr>
              <w:pStyle w:val="TableParagraph"/>
              <w:snapToGrid w:val="0"/>
              <w:spacing w:before="1"/>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约束性</w:t>
            </w:r>
          </w:p>
        </w:tc>
      </w:tr>
      <w:tr w:rsidR="00E35214">
        <w:trPr>
          <w:trHeight w:val="327"/>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50"/>
              <w:ind w:left="10"/>
              <w:jc w:val="center"/>
              <w:textAlignment w:val="baseline"/>
              <w:rPr>
                <w:rFonts w:ascii="Times New Roman" w:eastAsia="仿宋" w:hAnsi="Times New Roman" w:cs="Times New Roman"/>
                <w:szCs w:val="21"/>
              </w:rPr>
            </w:pPr>
            <w:r>
              <w:rPr>
                <w:rFonts w:ascii="Times New Roman" w:eastAsia="仿宋" w:hAnsi="Times New Roman" w:cs="Times New Roman"/>
                <w:szCs w:val="21"/>
              </w:rPr>
              <w:t>19.</w:t>
            </w:r>
            <w:r>
              <w:rPr>
                <w:rFonts w:ascii="Times New Roman" w:eastAsia="仿宋" w:hAnsi="Times New Roman" w:cs="Times New Roman"/>
                <w:szCs w:val="21"/>
              </w:rPr>
              <w:t>森林覆盖率（</w:t>
            </w:r>
            <w:r>
              <w:rPr>
                <w:rFonts w:ascii="Times New Roman" w:eastAsia="仿宋" w:hAnsi="Times New Roman" w:cs="Times New Roman"/>
                <w:szCs w:val="21"/>
              </w:rPr>
              <w:t>%</w:t>
            </w:r>
            <w:r>
              <w:rPr>
                <w:rFonts w:ascii="Times New Roman" w:eastAsia="仿宋" w:hAnsi="Times New Roman" w:cs="Times New Roman"/>
                <w:szCs w:val="21"/>
              </w:rPr>
              <w:t>）</w:t>
            </w:r>
          </w:p>
        </w:tc>
        <w:tc>
          <w:tcPr>
            <w:tcW w:w="1370" w:type="dxa"/>
            <w:vAlign w:val="center"/>
          </w:tcPr>
          <w:p w:rsidR="00E35214" w:rsidRDefault="006F7231">
            <w:pPr>
              <w:pStyle w:val="TableParagraph"/>
              <w:snapToGrid w:val="0"/>
              <w:spacing w:before="50"/>
              <w:ind w:left="10" w:right="403"/>
              <w:jc w:val="center"/>
              <w:textAlignment w:val="baseline"/>
              <w:rPr>
                <w:rFonts w:ascii="Times New Roman" w:eastAsia="仿宋" w:hAnsi="Times New Roman" w:cs="Times New Roman"/>
                <w:szCs w:val="21"/>
              </w:rPr>
            </w:pPr>
            <w:r>
              <w:rPr>
                <w:rFonts w:ascii="Times New Roman" w:eastAsia="仿宋" w:hAnsi="Times New Roman" w:cs="Times New Roman"/>
                <w:szCs w:val="21"/>
              </w:rPr>
              <w:t>64.92</w:t>
            </w:r>
          </w:p>
        </w:tc>
        <w:tc>
          <w:tcPr>
            <w:tcW w:w="970" w:type="dxa"/>
            <w:vAlign w:val="center"/>
          </w:tcPr>
          <w:p w:rsidR="00E35214" w:rsidRDefault="006F7231">
            <w:pPr>
              <w:pStyle w:val="TableParagraph"/>
              <w:snapToGrid w:val="0"/>
              <w:spacing w:before="50"/>
              <w:ind w:left="1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70</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11.6</w:t>
            </w:r>
            <w:r>
              <w:rPr>
                <w:rFonts w:ascii="Times New Roman" w:eastAsia="仿宋" w:hAnsi="Times New Roman" w:cs="Times New Roman"/>
                <w:szCs w:val="21"/>
                <w:lang w:val="en-US"/>
              </w:rPr>
              <w:t>%</w:t>
            </w:r>
          </w:p>
        </w:tc>
        <w:tc>
          <w:tcPr>
            <w:tcW w:w="789" w:type="dxa"/>
            <w:vAlign w:val="center"/>
          </w:tcPr>
          <w:p w:rsidR="00E35214" w:rsidRDefault="006F7231">
            <w:pPr>
              <w:pStyle w:val="TableParagraph"/>
              <w:snapToGrid w:val="0"/>
              <w:spacing w:before="36"/>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约束性</w:t>
            </w:r>
          </w:p>
        </w:tc>
      </w:tr>
      <w:tr w:rsidR="00E35214">
        <w:trPr>
          <w:trHeight w:val="327"/>
        </w:trPr>
        <w:tc>
          <w:tcPr>
            <w:tcW w:w="705" w:type="dxa"/>
            <w:vMerge w:val="restart"/>
            <w:vAlign w:val="center"/>
          </w:tcPr>
          <w:p w:rsidR="00E35214" w:rsidRDefault="006F7231">
            <w:pPr>
              <w:pStyle w:val="TableParagraph"/>
              <w:snapToGrid w:val="0"/>
              <w:spacing w:before="6" w:line="310" w:lineRule="atLeast"/>
              <w:ind w:left="141" w:right="130"/>
              <w:jc w:val="center"/>
              <w:textAlignment w:val="baseline"/>
              <w:rPr>
                <w:rFonts w:ascii="Times New Roman" w:eastAsia="仿宋" w:hAnsi="Times New Roman" w:cs="Times New Roman"/>
                <w:b/>
                <w:szCs w:val="21"/>
              </w:rPr>
            </w:pPr>
            <w:r>
              <w:rPr>
                <w:rFonts w:ascii="Times New Roman" w:eastAsia="仿宋" w:hAnsi="Times New Roman" w:cs="Times New Roman"/>
                <w:b/>
                <w:szCs w:val="21"/>
              </w:rPr>
              <w:t>安全保障</w:t>
            </w:r>
          </w:p>
        </w:tc>
        <w:tc>
          <w:tcPr>
            <w:tcW w:w="3223" w:type="dxa"/>
            <w:vAlign w:val="center"/>
          </w:tcPr>
          <w:p w:rsidR="00E35214" w:rsidRDefault="006F7231">
            <w:pPr>
              <w:pStyle w:val="TableParagraph"/>
              <w:snapToGrid w:val="0"/>
              <w:spacing w:before="38"/>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20.</w:t>
            </w:r>
            <w:r>
              <w:rPr>
                <w:rFonts w:ascii="Times New Roman" w:eastAsia="仿宋" w:hAnsi="Times New Roman" w:cs="Times New Roman"/>
                <w:szCs w:val="21"/>
              </w:rPr>
              <w:t>粮食综合生产能力（万吨）</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2.1</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2.4</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789" w:type="dxa"/>
            <w:vAlign w:val="center"/>
          </w:tcPr>
          <w:p w:rsidR="00E35214" w:rsidRDefault="006F7231">
            <w:pPr>
              <w:pStyle w:val="TableParagraph"/>
              <w:snapToGrid w:val="0"/>
              <w:spacing w:before="35"/>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5"/>
        </w:trPr>
        <w:tc>
          <w:tcPr>
            <w:tcW w:w="705" w:type="dxa"/>
            <w:vMerge/>
            <w:tcBorders>
              <w:top w:val="nil"/>
            </w:tcBorders>
            <w:vAlign w:val="center"/>
          </w:tcPr>
          <w:p w:rsidR="00E35214" w:rsidRDefault="00E35214">
            <w:pPr>
              <w:snapToGrid w:val="0"/>
              <w:jc w:val="center"/>
              <w:textAlignment w:val="baseline"/>
              <w:rPr>
                <w:rFonts w:ascii="Times New Roman" w:eastAsia="仿宋" w:hAnsi="Times New Roman"/>
                <w:sz w:val="20"/>
                <w:szCs w:val="21"/>
              </w:rPr>
            </w:pPr>
          </w:p>
        </w:tc>
        <w:tc>
          <w:tcPr>
            <w:tcW w:w="3223" w:type="dxa"/>
            <w:vAlign w:val="center"/>
          </w:tcPr>
          <w:p w:rsidR="00E35214" w:rsidRDefault="006F7231">
            <w:pPr>
              <w:pStyle w:val="TableParagraph"/>
              <w:snapToGrid w:val="0"/>
              <w:spacing w:before="37" w:line="268" w:lineRule="exact"/>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21.</w:t>
            </w:r>
            <w:r>
              <w:rPr>
                <w:rFonts w:ascii="Times New Roman" w:eastAsia="仿宋" w:hAnsi="Times New Roman" w:cs="Times New Roman"/>
                <w:szCs w:val="21"/>
              </w:rPr>
              <w:t>天然气储备能力（立方米）</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szCs w:val="21"/>
                <w:lang w:val="en-US"/>
              </w:rPr>
              <w:t>3800</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szCs w:val="21"/>
                <w:lang w:val="en-US"/>
              </w:rPr>
              <w:t>10000</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rPr>
            </w:pPr>
            <w:r>
              <w:rPr>
                <w:rFonts w:ascii="Times New Roman" w:eastAsia="仿宋" w:hAnsi="Times New Roman" w:cs="Times New Roman" w:hint="eastAsia"/>
                <w:szCs w:val="21"/>
              </w:rPr>
              <w:t>2</w:t>
            </w:r>
            <w:r>
              <w:rPr>
                <w:rFonts w:ascii="Times New Roman" w:eastAsia="仿宋" w:hAnsi="Times New Roman" w:cs="Times New Roman"/>
                <w:szCs w:val="21"/>
              </w:rPr>
              <w:t>1.4%</w:t>
            </w:r>
          </w:p>
        </w:tc>
        <w:tc>
          <w:tcPr>
            <w:tcW w:w="789" w:type="dxa"/>
            <w:vAlign w:val="center"/>
          </w:tcPr>
          <w:p w:rsidR="00E35214" w:rsidRDefault="006F7231">
            <w:pPr>
              <w:pStyle w:val="TableParagraph"/>
              <w:snapToGrid w:val="0"/>
              <w:spacing w:before="37" w:line="268" w:lineRule="exact"/>
              <w:ind w:left="57" w:right="51"/>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r w:rsidR="00E35214">
        <w:trPr>
          <w:trHeight w:val="327"/>
        </w:trPr>
        <w:tc>
          <w:tcPr>
            <w:tcW w:w="705" w:type="dxa"/>
            <w:vAlign w:val="center"/>
          </w:tcPr>
          <w:p w:rsidR="00E35214" w:rsidRDefault="00E35214">
            <w:pPr>
              <w:pStyle w:val="TableParagraph"/>
              <w:snapToGrid w:val="0"/>
              <w:jc w:val="center"/>
              <w:textAlignment w:val="baseline"/>
              <w:rPr>
                <w:rFonts w:ascii="Times New Roman" w:eastAsia="仿宋" w:hAnsi="Times New Roman" w:cs="Times New Roman"/>
                <w:szCs w:val="21"/>
              </w:rPr>
            </w:pPr>
          </w:p>
        </w:tc>
        <w:tc>
          <w:tcPr>
            <w:tcW w:w="3223" w:type="dxa"/>
            <w:vAlign w:val="center"/>
          </w:tcPr>
          <w:p w:rsidR="00E35214" w:rsidRDefault="006F7231">
            <w:pPr>
              <w:pStyle w:val="TableParagraph"/>
              <w:snapToGrid w:val="0"/>
              <w:spacing w:before="38"/>
              <w:ind w:left="15"/>
              <w:jc w:val="center"/>
              <w:textAlignment w:val="baseline"/>
              <w:rPr>
                <w:rFonts w:ascii="Times New Roman" w:eastAsia="仿宋" w:hAnsi="Times New Roman" w:cs="Times New Roman"/>
                <w:szCs w:val="21"/>
              </w:rPr>
            </w:pPr>
            <w:r>
              <w:rPr>
                <w:rFonts w:ascii="Times New Roman" w:eastAsia="仿宋" w:hAnsi="Times New Roman" w:cs="Times New Roman"/>
                <w:szCs w:val="21"/>
              </w:rPr>
              <w:t>22.</w:t>
            </w:r>
            <w:r>
              <w:rPr>
                <w:rFonts w:ascii="Times New Roman" w:eastAsia="仿宋" w:hAnsi="Times New Roman" w:cs="Times New Roman"/>
                <w:szCs w:val="21"/>
              </w:rPr>
              <w:t>煤炭储备能力（万吨）</w:t>
            </w:r>
          </w:p>
        </w:tc>
        <w:tc>
          <w:tcPr>
            <w:tcW w:w="13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970"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1279" w:type="dxa"/>
            <w:vAlign w:val="center"/>
          </w:tcPr>
          <w:p w:rsidR="00E35214" w:rsidRDefault="006F7231">
            <w:pPr>
              <w:pStyle w:val="TableParagraph"/>
              <w:snapToGrid w:val="0"/>
              <w:jc w:val="center"/>
              <w:textAlignment w:val="baseline"/>
              <w:rPr>
                <w:rFonts w:ascii="Times New Roman" w:eastAsia="仿宋" w:hAnsi="Times New Roman" w:cs="Times New Roman"/>
                <w:szCs w:val="21"/>
                <w:lang w:val="en-US"/>
              </w:rPr>
            </w:pPr>
            <w:r>
              <w:rPr>
                <w:rFonts w:ascii="Times New Roman" w:eastAsia="仿宋" w:hAnsi="Times New Roman" w:cs="Times New Roman" w:hint="eastAsia"/>
                <w:szCs w:val="21"/>
                <w:lang w:val="en-US"/>
              </w:rPr>
              <w:t>-</w:t>
            </w:r>
          </w:p>
        </w:tc>
        <w:tc>
          <w:tcPr>
            <w:tcW w:w="789" w:type="dxa"/>
            <w:vAlign w:val="center"/>
          </w:tcPr>
          <w:p w:rsidR="00E35214" w:rsidRDefault="006F7231">
            <w:pPr>
              <w:pStyle w:val="TableParagraph"/>
              <w:snapToGrid w:val="0"/>
              <w:spacing w:before="35"/>
              <w:ind w:left="78"/>
              <w:jc w:val="center"/>
              <w:textAlignment w:val="baseline"/>
              <w:rPr>
                <w:rFonts w:ascii="Times New Roman" w:eastAsia="仿宋" w:hAnsi="Times New Roman" w:cs="Times New Roman"/>
                <w:szCs w:val="21"/>
              </w:rPr>
            </w:pPr>
            <w:r>
              <w:rPr>
                <w:rFonts w:ascii="Times New Roman" w:eastAsia="仿宋" w:hAnsi="Times New Roman" w:cs="Times New Roman"/>
                <w:szCs w:val="21"/>
              </w:rPr>
              <w:t>预期性</w:t>
            </w:r>
          </w:p>
        </w:tc>
      </w:tr>
    </w:tbl>
    <w:p w:rsidR="00E35214" w:rsidRDefault="00E35214">
      <w:pPr>
        <w:snapToGrid w:val="0"/>
        <w:textAlignment w:val="baseline"/>
        <w:rPr>
          <w:sz w:val="20"/>
        </w:rPr>
      </w:pPr>
    </w:p>
    <w:p w:rsidR="00E35214" w:rsidRDefault="00E35214">
      <w:pPr>
        <w:pStyle w:val="20"/>
        <w:snapToGrid w:val="0"/>
        <w:ind w:firstLineChars="0" w:firstLine="0"/>
        <w:textAlignment w:val="baseline"/>
        <w:rPr>
          <w:sz w:val="21"/>
        </w:rPr>
      </w:pPr>
    </w:p>
    <w:p w:rsidR="00E35214" w:rsidRDefault="006F7231">
      <w:pPr>
        <w:snapToGrid w:val="0"/>
        <w:spacing w:line="597" w:lineRule="exact"/>
        <w:ind w:firstLineChars="200" w:firstLine="640"/>
        <w:textAlignment w:val="baseline"/>
        <w:rPr>
          <w:rFonts w:ascii="仿宋" w:eastAsia="仿宋" w:hAnsi="仿宋" w:cs="仿宋"/>
          <w:kern w:val="0"/>
          <w:sz w:val="32"/>
          <w:szCs w:val="32"/>
          <w:shd w:val="clear" w:color="auto" w:fill="FFFFFF"/>
        </w:rPr>
      </w:pPr>
      <w:r>
        <w:rPr>
          <w:rFonts w:ascii="仿宋" w:eastAsia="仿宋" w:hAnsi="仿宋" w:cs="仿宋" w:hint="eastAsia"/>
          <w:kern w:val="0"/>
          <w:sz w:val="32"/>
          <w:szCs w:val="32"/>
          <w:shd w:val="clear" w:color="auto" w:fill="FFFFFF"/>
        </w:rPr>
        <w:t>到二〇三五年，与全国、全省、全市同步基本实现社会主义现代化。经济总量和城乡居民人均收入迈上新台阶，新</w:t>
      </w:r>
      <w:r>
        <w:rPr>
          <w:rFonts w:ascii="仿宋" w:eastAsia="仿宋" w:hAnsi="仿宋" w:cs="仿宋" w:hint="eastAsia"/>
          <w:kern w:val="0"/>
          <w:sz w:val="32"/>
          <w:szCs w:val="32"/>
          <w:shd w:val="clear" w:color="auto" w:fill="FFFFFF"/>
        </w:rPr>
        <w:lastRenderedPageBreak/>
        <w:t>型工业化、信息化、城镇化、农业现代化水平得到较大提升，初步建成现代化经济体系。发展动能实现转换，科技进步对经济增长的贡献率明显提升。基本实现治理体系和治理能力现代化。对外开放新优势明显增强，社会文明程度不断加深，生态环境持续优化，基本公共服务实现均等化，人民平等参与、平等发展权利得到充分保障，国民素质和社会文明程度达到新高度，全面建成产业兴旺繁荣金口河，山清水秀生态金口河、文旅兴盛魅力金口河、和谐温馨宜居金口河。</w:t>
      </w:r>
    </w:p>
    <w:p w:rsidR="00E35214" w:rsidRDefault="00E35214">
      <w:pPr>
        <w:snapToGrid w:val="0"/>
        <w:ind w:firstLineChars="200" w:firstLine="640"/>
        <w:textAlignment w:val="baseline"/>
        <w:rPr>
          <w:rFonts w:ascii="仿宋" w:eastAsia="仿宋" w:hAnsi="仿宋" w:cs="仿宋"/>
          <w:sz w:val="32"/>
          <w:szCs w:val="22"/>
        </w:rPr>
      </w:pPr>
    </w:p>
    <w:p w:rsidR="00E35214" w:rsidRDefault="006F7231">
      <w:pPr>
        <w:numPr>
          <w:ilvl w:val="0"/>
          <w:numId w:val="1"/>
        </w:numPr>
        <w:snapToGrid w:val="0"/>
        <w:spacing w:before="340" w:after="330"/>
        <w:jc w:val="center"/>
        <w:textAlignment w:val="baseline"/>
        <w:rPr>
          <w:sz w:val="30"/>
          <w:szCs w:val="30"/>
        </w:rPr>
      </w:pPr>
      <w:r>
        <w:rPr>
          <w:rFonts w:eastAsia="黑体" w:hint="eastAsia"/>
          <w:bCs/>
          <w:kern w:val="44"/>
          <w:sz w:val="30"/>
          <w:szCs w:val="30"/>
        </w:rPr>
        <w:t>突出比较优势，构建适宜区情的金口河现代产业体系</w:t>
      </w:r>
      <w:r>
        <w:rPr>
          <w:sz w:val="30"/>
          <w:szCs w:val="30"/>
        </w:rPr>
        <w:tab/>
      </w:r>
      <w:bookmarkStart w:id="69" w:name="_Toc14675"/>
      <w:bookmarkStart w:id="70" w:name="_Toc1008"/>
      <w:bookmarkStart w:id="71" w:name="_Toc29530"/>
      <w:bookmarkStart w:id="72" w:name="_Toc373"/>
      <w:bookmarkStart w:id="73" w:name="_Toc29010"/>
      <w:bookmarkStart w:id="74" w:name="_Toc2879"/>
      <w:bookmarkStart w:id="75" w:name="_Toc5747"/>
      <w:bookmarkStart w:id="76" w:name="_Toc9536"/>
      <w:bookmarkStart w:id="77" w:name="_Toc11573"/>
      <w:bookmarkStart w:id="78" w:name="_Toc17086"/>
      <w:bookmarkStart w:id="79" w:name="_Toc15477"/>
    </w:p>
    <w:p w:rsidR="00E35214" w:rsidRDefault="006F7231">
      <w:pPr>
        <w:snapToGrid w:val="0"/>
        <w:spacing w:before="340" w:after="330"/>
        <w:ind w:firstLineChars="600" w:firstLine="1807"/>
        <w:textAlignment w:val="baseline"/>
        <w:rPr>
          <w:rFonts w:eastAsia="黑体"/>
          <w:b/>
          <w:sz w:val="30"/>
          <w:szCs w:val="30"/>
        </w:rPr>
      </w:pPr>
      <w:r>
        <w:rPr>
          <w:rFonts w:hint="eastAsia"/>
          <w:b/>
          <w:sz w:val="30"/>
          <w:szCs w:val="30"/>
        </w:rPr>
        <w:t>第四章构建现代工业体系</w:t>
      </w:r>
      <w:bookmarkEnd w:id="69"/>
      <w:bookmarkEnd w:id="70"/>
      <w:bookmarkEnd w:id="71"/>
      <w:bookmarkEnd w:id="72"/>
      <w:bookmarkEnd w:id="73"/>
    </w:p>
    <w:p w:rsidR="00E35214" w:rsidRDefault="006F7231" w:rsidP="00950EE9">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坚持工业强区，在产业结构调整、发展方式转变、增长动力转换等领域集中发力</w:t>
      </w:r>
      <w:r>
        <w:rPr>
          <w:rFonts w:ascii="仿宋" w:eastAsia="仿宋" w:hAnsi="仿宋" w:cs="仿宋"/>
          <w:kern w:val="0"/>
          <w:sz w:val="32"/>
          <w:szCs w:val="32"/>
        </w:rPr>
        <w:t>,</w:t>
      </w:r>
      <w:r>
        <w:rPr>
          <w:rFonts w:ascii="仿宋" w:eastAsia="仿宋" w:hAnsi="仿宋" w:cs="仿宋" w:hint="eastAsia"/>
          <w:kern w:val="0"/>
          <w:sz w:val="32"/>
          <w:szCs w:val="32"/>
        </w:rPr>
        <w:t>突出抓好清洁水电能源开发、传统产业转型升级和特色新兴产业培育，全面提升金口河区工业的核心竞争力和可持续发展能力。</w:t>
      </w:r>
    </w:p>
    <w:p w:rsidR="00E35214" w:rsidRDefault="006F7231">
      <w:pPr>
        <w:pStyle w:val="3"/>
        <w:keepLines w:val="0"/>
        <w:snapToGrid w:val="0"/>
        <w:spacing w:line="580" w:lineRule="exact"/>
        <w:ind w:firstLineChars="600" w:firstLine="1928"/>
        <w:jc w:val="both"/>
        <w:textAlignment w:val="baseline"/>
        <w:rPr>
          <w:rFonts w:ascii="仿宋" w:eastAsia="仿宋" w:hAnsi="仿宋" w:cs="仿宋"/>
          <w:szCs w:val="22"/>
        </w:rPr>
      </w:pPr>
      <w:bookmarkStart w:id="80" w:name="_Toc32282"/>
      <w:bookmarkStart w:id="81" w:name="_Toc21532"/>
      <w:r>
        <w:rPr>
          <w:rFonts w:ascii="仿宋" w:eastAsia="仿宋" w:hAnsi="仿宋" w:cs="仿宋" w:hint="eastAsia"/>
          <w:szCs w:val="22"/>
        </w:rPr>
        <w:t>第一节持续推动</w:t>
      </w:r>
      <w:bookmarkStart w:id="82" w:name="_Toc9510"/>
      <w:bookmarkStart w:id="83" w:name="_Toc9542"/>
      <w:bookmarkEnd w:id="80"/>
      <w:bookmarkEnd w:id="81"/>
      <w:r>
        <w:rPr>
          <w:rFonts w:ascii="仿宋" w:eastAsia="仿宋" w:hAnsi="仿宋" w:cs="仿宋" w:hint="eastAsia"/>
          <w:szCs w:val="22"/>
        </w:rPr>
        <w:t>转型升级</w:t>
      </w:r>
      <w:bookmarkEnd w:id="82"/>
      <w:bookmarkEnd w:id="83"/>
    </w:p>
    <w:p w:rsidR="00E35214" w:rsidRDefault="006F7231">
      <w:pPr>
        <w:snapToGrid w:val="0"/>
        <w:spacing w:line="60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实施存量工业“优旧”工程，支持东岳、金洋、商舟等企业技改升级，并通过与国内行业优秀企业合作，推动产业上档升级。立足工业硅现有产业基础，首先加快东岳公司4*35000kv</w:t>
      </w:r>
      <w:r>
        <w:rPr>
          <w:rFonts w:ascii="仿宋" w:eastAsia="仿宋" w:hAnsi="仿宋" w:cs="仿宋"/>
          <w:kern w:val="0"/>
          <w:sz w:val="32"/>
          <w:szCs w:val="32"/>
        </w:rPr>
        <w:t>工业硅</w:t>
      </w:r>
      <w:r>
        <w:rPr>
          <w:rFonts w:ascii="仿宋" w:eastAsia="仿宋" w:hAnsi="仿宋" w:cs="仿宋" w:hint="eastAsia"/>
          <w:kern w:val="0"/>
          <w:sz w:val="32"/>
          <w:szCs w:val="32"/>
        </w:rPr>
        <w:t>续建生产线建设，增加产能10万吨；整合现有产能，采用大炉体、节能环保型对东岳、金洋康宁现有</w:t>
      </w:r>
      <w:r>
        <w:rPr>
          <w:rFonts w:ascii="仿宋" w:eastAsia="仿宋" w:hAnsi="仿宋" w:cs="仿宋" w:hint="eastAsia"/>
          <w:kern w:val="0"/>
          <w:sz w:val="32"/>
          <w:szCs w:val="32"/>
        </w:rPr>
        <w:lastRenderedPageBreak/>
        <w:t>工业硅生产线信息化、自动化和节能减排技术改造，增加产能、节能降耗，力争到“十四五”末，硅基材料年生产能力突破</w:t>
      </w:r>
      <w:r>
        <w:rPr>
          <w:rFonts w:ascii="仿宋" w:eastAsia="仿宋" w:hAnsi="仿宋" w:cs="仿宋"/>
          <w:kern w:val="0"/>
          <w:sz w:val="32"/>
          <w:szCs w:val="32"/>
        </w:rPr>
        <w:t>30</w:t>
      </w:r>
      <w:r>
        <w:rPr>
          <w:rFonts w:ascii="仿宋" w:eastAsia="仿宋" w:hAnsi="仿宋" w:cs="仿宋" w:hint="eastAsia"/>
          <w:kern w:val="0"/>
          <w:sz w:val="32"/>
          <w:szCs w:val="32"/>
        </w:rPr>
        <w:t>万吨。加快建设“中国绿色硅谷”上游产业配套基地。抢抓枕头坝二级、沙坪一级水电站建设机遇，大力发展水电清洁能源产业，力争全区水电装机总容量突破</w:t>
      </w:r>
      <w:r>
        <w:rPr>
          <w:rFonts w:ascii="仿宋" w:eastAsia="仿宋" w:hAnsi="仿宋" w:cs="仿宋"/>
          <w:kern w:val="0"/>
          <w:sz w:val="32"/>
          <w:szCs w:val="32"/>
        </w:rPr>
        <w:t>180万千瓦，全面建成乐山水电能源综合开发基地。</w:t>
      </w:r>
      <w:r>
        <w:rPr>
          <w:rFonts w:ascii="仿宋" w:eastAsia="仿宋" w:hAnsi="仿宋" w:cs="仿宋" w:hint="eastAsia"/>
          <w:kern w:val="0"/>
          <w:sz w:val="32"/>
          <w:szCs w:val="32"/>
        </w:rPr>
        <w:t>以优化棉纺织产业结构和转型升级为主导方向，深化落实“三品”战略，打造符合棉纺织产业特点的自主品牌体系，强化市场营销，促进金源纺织产能充分释放。加强矿山资源整合，支持商舟、拓达公司采选业技改扩建提高产能及效益。</w:t>
      </w:r>
      <w:bookmarkStart w:id="84" w:name="_Toc27662"/>
      <w:bookmarkStart w:id="85" w:name="_Toc18503"/>
    </w:p>
    <w:p w:rsidR="00E35214" w:rsidRDefault="006F7231">
      <w:pPr>
        <w:snapToGrid w:val="0"/>
        <w:spacing w:line="600" w:lineRule="exact"/>
        <w:ind w:firstLineChars="500" w:firstLine="1606"/>
        <w:textAlignment w:val="baseline"/>
        <w:rPr>
          <w:rFonts w:ascii="仿宋" w:eastAsia="仿宋" w:hAnsi="仿宋" w:cs="仿宋"/>
          <w:b/>
          <w:sz w:val="32"/>
          <w:szCs w:val="22"/>
        </w:rPr>
      </w:pPr>
      <w:r>
        <w:rPr>
          <w:rFonts w:ascii="仿宋" w:eastAsia="仿宋" w:hAnsi="仿宋" w:cs="仿宋" w:hint="eastAsia"/>
          <w:b/>
          <w:sz w:val="32"/>
          <w:szCs w:val="22"/>
        </w:rPr>
        <w:t>第二节</w:t>
      </w:r>
      <w:bookmarkEnd w:id="84"/>
      <w:bookmarkEnd w:id="85"/>
      <w:r>
        <w:rPr>
          <w:rFonts w:ascii="仿宋" w:eastAsia="仿宋" w:hAnsi="仿宋" w:cs="仿宋" w:hint="eastAsia"/>
          <w:b/>
          <w:sz w:val="32"/>
          <w:szCs w:val="22"/>
        </w:rPr>
        <w:t>积极培育新的</w:t>
      </w:r>
      <w:r>
        <w:rPr>
          <w:rFonts w:ascii="仿宋" w:eastAsia="仿宋" w:hAnsi="仿宋" w:cs="仿宋" w:hint="eastAsia"/>
          <w:kern w:val="0"/>
          <w:sz w:val="32"/>
          <w:szCs w:val="32"/>
        </w:rPr>
        <w:t>经济</w:t>
      </w:r>
      <w:r>
        <w:rPr>
          <w:rFonts w:ascii="仿宋" w:eastAsia="仿宋" w:hAnsi="仿宋" w:cs="仿宋" w:hint="eastAsia"/>
          <w:b/>
          <w:sz w:val="32"/>
          <w:szCs w:val="22"/>
        </w:rPr>
        <w:t>增长点</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立足矿产资源优势，加快推进玄武岩、硅石等矿产资源勘探，重点做好玄武岩纤维及复合材料产业招引工作，积极培育玄武岩采选、深加工，加快发展玄武岩纤维及复合材料新兴产业。同时，积极培育玄武岩、硅石、石英及砂石采选企业，发展壮大玄武岩、硅石等高档建材产业。加快磷矿二采区资源拍卖进程，进一步发展壮大磷矿采选业。用好用活生态食品加工园发展平台，培育发展特色农产品加工产业。拓展为农服务中心职能，推进工业质量品牌提升行动，引导企业争创中国质量奖、四川省天府质量奖、中国驰名商标等，打造一批名企、全面融入乐山千亿级光伏产业集群全产业链，助力全市打造“中国绿色硅谷”。名牌。深入实施企业梯次培育计划，建立“微成长、小新高、高壮大”培育机制，</w:t>
      </w:r>
      <w:r>
        <w:rPr>
          <w:rFonts w:ascii="仿宋" w:eastAsia="仿宋" w:hAnsi="仿宋" w:cs="仿宋" w:hint="eastAsia"/>
          <w:kern w:val="0"/>
          <w:sz w:val="32"/>
          <w:szCs w:val="32"/>
        </w:rPr>
        <w:lastRenderedPageBreak/>
        <w:t>分类指导，强化精准服务，壮大一批主业优势突出，特色鲜明，可持续发展能力强的大企业、大产业，力争新增过亿企业</w:t>
      </w:r>
      <w:r>
        <w:rPr>
          <w:rFonts w:ascii="仿宋" w:eastAsia="仿宋" w:hAnsi="仿宋" w:cs="仿宋"/>
          <w:kern w:val="0"/>
          <w:sz w:val="32"/>
          <w:szCs w:val="32"/>
        </w:rPr>
        <w:t>3</w:t>
      </w:r>
      <w:r>
        <w:rPr>
          <w:rFonts w:ascii="仿宋" w:eastAsia="仿宋" w:hAnsi="仿宋" w:cs="仿宋" w:hint="eastAsia"/>
          <w:kern w:val="0"/>
          <w:sz w:val="32"/>
          <w:szCs w:val="32"/>
        </w:rPr>
        <w:t>户以上，实现工业增加值翻番。进一步规划整合现有企业，建立有序的资源开发体系，建设规模、绿色、安全的现代化矿山。</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第三节</w:t>
      </w:r>
      <w:bookmarkStart w:id="86" w:name="_Toc3422"/>
      <w:bookmarkStart w:id="87" w:name="_Toc16391"/>
      <w:r>
        <w:rPr>
          <w:rFonts w:ascii="仿宋" w:eastAsia="仿宋" w:hAnsi="仿宋" w:cs="仿宋" w:hint="eastAsia"/>
          <w:szCs w:val="22"/>
        </w:rPr>
        <w:t>优化产业发展环境</w:t>
      </w:r>
      <w:bookmarkEnd w:id="86"/>
      <w:bookmarkEnd w:id="87"/>
    </w:p>
    <w:p w:rsidR="00E35214" w:rsidRDefault="006F7231">
      <w:pPr>
        <w:snapToGrid w:val="0"/>
        <w:spacing w:line="597" w:lineRule="exact"/>
        <w:ind w:firstLineChars="200" w:firstLine="640"/>
        <w:textAlignment w:val="baseline"/>
        <w:rPr>
          <w:rFonts w:ascii="楷体" w:eastAsia="楷体" w:hAnsi="楷体" w:cs="仿宋"/>
          <w:b/>
          <w:sz w:val="28"/>
        </w:rPr>
      </w:pPr>
      <w:r>
        <w:rPr>
          <w:rFonts w:ascii="仿宋" w:eastAsia="仿宋" w:hAnsi="仿宋" w:cs="仿宋" w:hint="eastAsia"/>
          <w:kern w:val="0"/>
          <w:sz w:val="32"/>
          <w:szCs w:val="32"/>
        </w:rPr>
        <w:t>强化人才、资金、土地、环境等要素支撑，破除妨碍生产要素市场化配置和商品服务流通的体制机制障碍。大力发展供需直连型数字供应链，优化产业链供应链发展环境，积极完善商品流通体系。大力提升产融结合水平，打造多层次产业投融资机制，引入省级资金、市级资金和社会资本建立重点产业发展基金，鼓励社会资本参与各类发展基金组建。推行双向兼职、短期工作、项目合作、联合聘用、人才驿站、周末工程师等高层次人才柔性流动方式，增强产业招商与人才引进的联动，建立留才用才的常态化机制。</w:t>
      </w:r>
      <w:bookmarkEnd w:id="74"/>
      <w:bookmarkEnd w:id="75"/>
      <w:bookmarkEnd w:id="76"/>
      <w:bookmarkEnd w:id="77"/>
      <w:bookmarkEnd w:id="78"/>
      <w:bookmarkEnd w:id="79"/>
    </w:p>
    <w:p w:rsidR="00E35214" w:rsidRDefault="00E35214">
      <w:pPr>
        <w:snapToGrid w:val="0"/>
        <w:spacing w:before="144" w:after="39"/>
        <w:ind w:left="788" w:right="788"/>
        <w:jc w:val="center"/>
        <w:textAlignment w:val="baseline"/>
        <w:rPr>
          <w:rFonts w:ascii="楷体" w:eastAsia="楷体" w:hAnsi="楷体" w:cs="仿宋"/>
          <w:b/>
          <w:sz w:val="28"/>
        </w:rPr>
      </w:pPr>
    </w:p>
    <w:p w:rsidR="00E35214" w:rsidRDefault="006F7231">
      <w:pPr>
        <w:snapToGrid w:val="0"/>
        <w:spacing w:before="144" w:after="39"/>
        <w:ind w:left="788" w:right="788"/>
        <w:jc w:val="center"/>
        <w:textAlignment w:val="baseline"/>
        <w:rPr>
          <w:rFonts w:ascii="楷体" w:eastAsia="楷体" w:hAnsi="楷体" w:cs="仿宋"/>
          <w:b/>
          <w:sz w:val="28"/>
        </w:rPr>
      </w:pPr>
      <w:r>
        <w:rPr>
          <w:rFonts w:ascii="楷体" w:eastAsia="楷体" w:hAnsi="楷体" w:cs="仿宋" w:hint="eastAsia"/>
          <w:b/>
          <w:sz w:val="28"/>
        </w:rPr>
        <w:t>专栏3新型绿色工业发展重点项目</w:t>
      </w:r>
    </w:p>
    <w:tbl>
      <w:tblPr>
        <w:tblStyle w:val="ae"/>
        <w:tblW w:w="8522" w:type="dxa"/>
        <w:tblLayout w:type="fixed"/>
        <w:tblLook w:val="04A0"/>
      </w:tblPr>
      <w:tblGrid>
        <w:gridCol w:w="8522"/>
      </w:tblGrid>
      <w:tr w:rsidR="00E35214">
        <w:trPr>
          <w:trHeight w:val="90"/>
        </w:trPr>
        <w:tc>
          <w:tcPr>
            <w:tcW w:w="8522" w:type="dxa"/>
          </w:tcPr>
          <w:p w:rsidR="00E35214" w:rsidRDefault="006F7231">
            <w:pPr>
              <w:pStyle w:val="a5"/>
              <w:snapToGrid w:val="0"/>
              <w:spacing w:after="0" w:line="400" w:lineRule="atLeas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rPr>
              <w:t>技改扩能工程。</w:t>
            </w:r>
            <w:r>
              <w:rPr>
                <w:rFonts w:ascii="楷体" w:eastAsia="楷体" w:hAnsi="楷体" w:cs="楷体" w:hint="eastAsia"/>
                <w:kern w:val="0"/>
                <w:sz w:val="24"/>
              </w:rPr>
              <w:t>推动四川乐山鑫河电力综合开发有限公司续建年产</w:t>
            </w:r>
            <w:r>
              <w:rPr>
                <w:rFonts w:ascii="楷体" w:eastAsia="楷体" w:hAnsi="楷体" w:cs="楷体"/>
                <w:kern w:val="0"/>
                <w:sz w:val="24"/>
              </w:rPr>
              <w:t>10万吨工业硅生产线。引导</w:t>
            </w:r>
            <w:r>
              <w:rPr>
                <w:rFonts w:ascii="楷体" w:eastAsia="楷体" w:hAnsi="楷体" w:cs="楷体" w:hint="eastAsia"/>
                <w:kern w:val="0"/>
                <w:sz w:val="24"/>
              </w:rPr>
              <w:t>四川金洋投资集团有限责任公司金河硅业分公司、四川金洋康宁硅业有限责任公司、川辉炉料公司实施硅材料技改扩能项目。推动四川商舟实业有限公司磷矿扩建技改工程。</w:t>
            </w:r>
          </w:p>
          <w:p w:rsidR="00E35214" w:rsidRDefault="006F7231">
            <w:pPr>
              <w:pStyle w:val="a5"/>
              <w:snapToGrid w:val="0"/>
              <w:spacing w:after="0" w:line="400" w:lineRule="atLeast"/>
              <w:ind w:firstLineChars="200" w:firstLine="482"/>
              <w:jc w:val="left"/>
              <w:textAlignment w:val="baseline"/>
              <w:rPr>
                <w:rFonts w:ascii="楷体" w:eastAsia="楷体" w:hAnsi="楷体" w:cs="楷体"/>
                <w:kern w:val="0"/>
                <w:sz w:val="24"/>
              </w:rPr>
            </w:pPr>
            <w:r>
              <w:rPr>
                <w:rFonts w:ascii="楷体" w:eastAsia="楷体" w:hAnsi="楷体" w:cs="楷体" w:hint="eastAsia"/>
                <w:b/>
                <w:bCs/>
                <w:kern w:val="0"/>
                <w:sz w:val="24"/>
              </w:rPr>
              <w:t>特色产业培育工程。</w:t>
            </w:r>
            <w:r>
              <w:rPr>
                <w:rFonts w:ascii="楷体" w:eastAsia="楷体" w:hAnsi="楷体" w:cs="楷体" w:hint="eastAsia"/>
                <w:kern w:val="0"/>
                <w:sz w:val="24"/>
              </w:rPr>
              <w:t>依托农产品加工园区配套及产地优势，加快引入一批农产精深加工龙头企业，力争新增规模以上农产品加工企业</w:t>
            </w:r>
            <w:r>
              <w:rPr>
                <w:rFonts w:ascii="楷体" w:eastAsia="楷体" w:hAnsi="楷体" w:cs="楷体"/>
                <w:kern w:val="0"/>
                <w:sz w:val="24"/>
              </w:rPr>
              <w:t>3户以上。</w:t>
            </w:r>
          </w:p>
          <w:p w:rsidR="00E35214" w:rsidRDefault="006F7231">
            <w:pPr>
              <w:pStyle w:val="a5"/>
              <w:snapToGrid w:val="0"/>
              <w:spacing w:after="0" w:line="400" w:lineRule="atLeas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rPr>
              <w:t>新兴产业培育工程。</w:t>
            </w:r>
            <w:r>
              <w:rPr>
                <w:rFonts w:ascii="楷体" w:eastAsia="楷体" w:hAnsi="楷体" w:cs="楷体" w:hint="eastAsia"/>
                <w:kern w:val="0"/>
                <w:sz w:val="24"/>
              </w:rPr>
              <w:t>支持新建年产</w:t>
            </w:r>
            <w:r>
              <w:rPr>
                <w:rFonts w:ascii="楷体" w:eastAsia="楷体" w:hAnsi="楷体" w:cs="楷体"/>
                <w:kern w:val="0"/>
                <w:sz w:val="24"/>
              </w:rPr>
              <w:t>50万吨玄武岩材料</w:t>
            </w:r>
            <w:r>
              <w:rPr>
                <w:rFonts w:ascii="楷体" w:eastAsia="楷体" w:hAnsi="楷体" w:cs="楷体" w:hint="eastAsia"/>
                <w:kern w:val="0"/>
                <w:sz w:val="24"/>
              </w:rPr>
              <w:t>产业园项目。</w:t>
            </w:r>
          </w:p>
          <w:p w:rsidR="00E35214" w:rsidRDefault="006F7231">
            <w:pPr>
              <w:pStyle w:val="a5"/>
              <w:snapToGrid w:val="0"/>
              <w:spacing w:after="0" w:line="400" w:lineRule="atLeas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rPr>
              <w:t>品牌创建工程。</w:t>
            </w:r>
            <w:r>
              <w:rPr>
                <w:rFonts w:ascii="楷体" w:eastAsia="楷体" w:hAnsi="楷体" w:cs="楷体" w:hint="eastAsia"/>
                <w:kern w:val="0"/>
                <w:sz w:val="24"/>
              </w:rPr>
              <w:t>加大工业品牌打造力度，建立品牌培育公共服务平台，加大</w:t>
            </w:r>
            <w:r>
              <w:rPr>
                <w:rFonts w:ascii="楷体" w:eastAsia="楷体" w:hAnsi="楷体" w:cs="楷体" w:hint="eastAsia"/>
                <w:kern w:val="0"/>
                <w:sz w:val="24"/>
              </w:rPr>
              <w:lastRenderedPageBreak/>
              <w:t>金源棉纺等品牌的影响力。</w:t>
            </w:r>
          </w:p>
          <w:p w:rsidR="00E35214" w:rsidRDefault="006F7231">
            <w:pPr>
              <w:pStyle w:val="a5"/>
              <w:snapToGrid w:val="0"/>
              <w:spacing w:after="0" w:line="400" w:lineRule="atLeas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rPr>
              <w:t>企业技术中心建设工程。</w:t>
            </w:r>
            <w:r>
              <w:rPr>
                <w:rFonts w:ascii="楷体" w:eastAsia="楷体" w:hAnsi="楷体" w:cs="楷体" w:hint="eastAsia"/>
                <w:kern w:val="0"/>
                <w:sz w:val="24"/>
              </w:rPr>
              <w:t>支持鑫河公司、金洋集团公司、川辉炉料公司创建企业技术中心。加强乐山师院硅材料研究院合作，创建硅材料研发中心。</w:t>
            </w:r>
          </w:p>
          <w:p w:rsidR="00E35214" w:rsidRDefault="006F7231">
            <w:pPr>
              <w:pStyle w:val="a5"/>
              <w:snapToGrid w:val="0"/>
              <w:spacing w:after="0" w:line="400" w:lineRule="atLeas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rPr>
              <w:t>工业硅自动化改造项目。</w:t>
            </w:r>
            <w:r>
              <w:rPr>
                <w:rFonts w:ascii="楷体" w:eastAsia="楷体" w:hAnsi="楷体" w:cs="楷体" w:hint="eastAsia"/>
                <w:kern w:val="0"/>
                <w:sz w:val="24"/>
              </w:rPr>
              <w:t>在金洋康宁配料自动化项目基础上，应用互联网及数字经济技术成果，鼓励、引导企业实施工业硅生产线自动化改造，推进工业信息化建设。</w:t>
            </w:r>
          </w:p>
          <w:p w:rsidR="00E35214" w:rsidRDefault="00E35214">
            <w:pPr>
              <w:pStyle w:val="a5"/>
              <w:snapToGrid w:val="0"/>
              <w:spacing w:after="0" w:line="400" w:lineRule="atLeast"/>
              <w:ind w:firstLineChars="200" w:firstLine="422"/>
              <w:textAlignment w:val="baseline"/>
              <w:rPr>
                <w:rFonts w:ascii="楷体" w:eastAsia="楷体" w:hAnsi="楷体" w:cs="楷体"/>
                <w:b/>
                <w:bCs/>
                <w:kern w:val="0"/>
                <w:szCs w:val="21"/>
              </w:rPr>
            </w:pPr>
          </w:p>
        </w:tc>
      </w:tr>
    </w:tbl>
    <w:p w:rsidR="00E35214" w:rsidRDefault="00E35214">
      <w:pPr>
        <w:snapToGrid w:val="0"/>
        <w:spacing w:line="360" w:lineRule="auto"/>
        <w:textAlignment w:val="baseline"/>
        <w:rPr>
          <w:sz w:val="20"/>
        </w:rPr>
      </w:pPr>
      <w:bookmarkStart w:id="88" w:name="_Toc23490"/>
      <w:bookmarkStart w:id="89" w:name="_Toc28123"/>
    </w:p>
    <w:p w:rsidR="00E35214" w:rsidRDefault="006F7231">
      <w:pPr>
        <w:pStyle w:val="2"/>
        <w:snapToGrid w:val="0"/>
        <w:textAlignment w:val="baseline"/>
      </w:pPr>
      <w:bookmarkStart w:id="90" w:name="_Toc489"/>
      <w:r>
        <w:rPr>
          <w:rFonts w:hint="eastAsia"/>
        </w:rPr>
        <w:t>第五章</w:t>
      </w:r>
      <w:r>
        <w:rPr>
          <w:rFonts w:hint="eastAsia"/>
        </w:rPr>
        <w:t xml:space="preserve"> </w:t>
      </w:r>
      <w:r>
        <w:rPr>
          <w:rFonts w:hint="eastAsia"/>
        </w:rPr>
        <w:t>构建绿色农产品供应地</w:t>
      </w:r>
      <w:bookmarkEnd w:id="88"/>
      <w:bookmarkEnd w:id="89"/>
      <w:bookmarkEnd w:id="90"/>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深化农业供给侧结构性改革，优化农业生产结构和区域布局，提高农业质量效益和竞争力，以规模化、标准化、信息化、市场化、品牌化为方向，转变传统农业发展方式，大力推进现代农业园区建设，促进产业结构深度优化调整，融入成渝都市现代高效特色农业示范区建设。</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第一节 提高农业综合生产能力</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坚持把保障粮食安全放在突出位置，稳定粮食生产能力</w:t>
      </w:r>
      <w:r>
        <w:rPr>
          <w:rFonts w:ascii="仿宋" w:eastAsia="仿宋" w:hAnsi="仿宋" w:cs="仿宋"/>
          <w:kern w:val="0"/>
          <w:sz w:val="32"/>
          <w:szCs w:val="32"/>
        </w:rPr>
        <w:t>,</w:t>
      </w:r>
      <w:r>
        <w:rPr>
          <w:rFonts w:ascii="仿宋" w:eastAsia="仿宋" w:hAnsi="仿宋" w:cs="仿宋" w:hint="eastAsia"/>
          <w:kern w:val="0"/>
          <w:sz w:val="32"/>
          <w:szCs w:val="32"/>
        </w:rPr>
        <w:t>到</w:t>
      </w:r>
      <w:r>
        <w:rPr>
          <w:rFonts w:ascii="仿宋" w:eastAsia="仿宋" w:hAnsi="仿宋" w:cs="仿宋"/>
          <w:kern w:val="0"/>
          <w:sz w:val="32"/>
          <w:szCs w:val="32"/>
        </w:rPr>
        <w:t>2025年，</w:t>
      </w:r>
      <w:r>
        <w:rPr>
          <w:rFonts w:ascii="仿宋" w:eastAsia="仿宋" w:hAnsi="仿宋" w:cs="仿宋" w:hint="eastAsia"/>
          <w:kern w:val="0"/>
          <w:sz w:val="32"/>
          <w:szCs w:val="32"/>
        </w:rPr>
        <w:t>全区耕地保有量不低于3.6万亩，确保粮食生产面积稳定在7.8万亩、粮食产量达到2.4万吨以上，生猪出栏稳定在4万头左右，猪肉产量达到0.32万吨左右，中药材、蔬菜、茶叶水果等主要农产品产量保持稳定增长，土地适度规模经营率达到85%以上，主要农作物、畜禽良种覆盖率达到98%，主要农作物耕种收综合机械化率达到60%。实施藏粮于地、藏粮于技战略，坚守耕地红线，加大农业水利设施建设力度，实施高标准农田建设工程，建成高标准农</w:t>
      </w:r>
      <w:r>
        <w:rPr>
          <w:rFonts w:ascii="仿宋" w:eastAsia="仿宋" w:hAnsi="仿宋" w:cs="仿宋" w:hint="eastAsia"/>
          <w:kern w:val="0"/>
          <w:sz w:val="32"/>
          <w:szCs w:val="32"/>
        </w:rPr>
        <w:lastRenderedPageBreak/>
        <w:t>田1万亩，新增有效灌溉面积0.5万亩以上。大力推广运用农业机械装备，提高农业良种化水平。</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第二节 发展特色效益农业</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深化农业供给侧结构性改革，大力推动金口河区“5+</w:t>
      </w:r>
      <w:r>
        <w:rPr>
          <w:rFonts w:ascii="仿宋" w:eastAsia="仿宋" w:hAnsi="仿宋" w:cs="仿宋"/>
          <w:kern w:val="0"/>
          <w:sz w:val="32"/>
          <w:szCs w:val="32"/>
        </w:rPr>
        <w:t>2</w:t>
      </w:r>
      <w:r>
        <w:rPr>
          <w:rFonts w:ascii="仿宋" w:eastAsia="仿宋" w:hAnsi="仿宋" w:cs="仿宋" w:hint="eastAsia"/>
          <w:kern w:val="0"/>
          <w:sz w:val="32"/>
          <w:szCs w:val="32"/>
        </w:rPr>
        <w:t>”现代农业产业体系建设，围绕“优、绿、特、强、新、实”目标，培育壮大道地中药材、高山蔬菜、食用菌等特色优势产业。全面完成永胜乡民主村中药材园区创省级星级园区提升项目、万亩黄柏现代农业产业园(田园综合体项目)、江沟现代农业示范园、生猪养殖产业园区项目建设。依托已有生态食品加工园，立足乌天麻、老鹰茶、川牛膝、藤椒等特色农业资源，做好特色农产品精深加工业。大力实施“农业+”工程，探索“接二连三”融合发展新模式，推动业态、文态、形态深度融合。</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第三节 建设现代农业园区</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注重科技创新对农业现代化的支撑引领作用，壮大一批创新能力强、加工水平高、辐射带动作用大的农业产业化重点龙头企业，梯次培育一批国家、省、市级现代农业园区。加快发展与生态产业相关配套的加工业，依托生态食品加工园发展特色农产品精深加工和鲜活农产品冷链仓储建设，推动特色精致农业生产与现代化大生产对接，全面建成省级农产品精深加工产业园区。</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lastRenderedPageBreak/>
        <w:t>第四节 实施品牌兴农战略</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大力培育“金口金品”特色品牌，实施“区域品牌+企业品牌+产业品牌+产品品牌”发展战略，支持龙头企业、专合组织积极申报绿色、有机食品认证。到</w:t>
      </w:r>
      <w:r>
        <w:rPr>
          <w:rFonts w:ascii="仿宋" w:eastAsia="仿宋" w:hAnsi="仿宋" w:cs="仿宋"/>
          <w:kern w:val="0"/>
          <w:sz w:val="32"/>
          <w:szCs w:val="32"/>
        </w:rPr>
        <w:t>2025年</w:t>
      </w:r>
      <w:r>
        <w:rPr>
          <w:rFonts w:ascii="仿宋" w:eastAsia="仿宋" w:hAnsi="仿宋" w:cs="仿宋" w:hint="eastAsia"/>
          <w:kern w:val="0"/>
          <w:sz w:val="32"/>
          <w:szCs w:val="32"/>
        </w:rPr>
        <w:t>，绿色食品、有机农产品、地理标志农产品数量达到20个。探索组建特色农产品公用品牌运营平台，不断提升一杯茶(老鹰茶)、一块肉(永胜腊肉)、一瓶酒(天麻酒)、一勺蜜(峡谷蜜)、一朵花(油用牡丹花)、一剂药(川牛膝)等特色农产品知名度和美誉度，建设一批重点网货生产基地和产地直播基地，畅通“线上+线下”产品销售渠道。</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第五节 促进农业规模经营</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支持发展农民专业合作社、家庭农场、农业企业等多种经营主体，健全农业农村社会化服务体系。推广“龙头企业+合作社+基地+农户”“专业市场+合作社+农户”“供销社+小农户”等经营模式，推进家庭经营、集体经营、合作经营、企业经营等多种经营方式共同发展。加快高山农业产业发展，强化原产地、绿色有机食品认证，以金河镇原吉星片区五个村核心区</w:t>
      </w:r>
      <w:r>
        <w:rPr>
          <w:rFonts w:ascii="仿宋" w:eastAsia="仿宋" w:hAnsi="仿宋" w:cs="仿宋"/>
          <w:kern w:val="0"/>
          <w:sz w:val="32"/>
          <w:szCs w:val="32"/>
        </w:rPr>
        <w:t>3000亩蔬菜为中心成立高山蔬菜联盟，逐步覆盖金河镇、永胜乡其他村。</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第六节 完善农业服务体系</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加强农业技术创新与推广应用，围绕农产品直供直销、</w:t>
      </w:r>
      <w:r>
        <w:rPr>
          <w:rFonts w:ascii="仿宋" w:eastAsia="仿宋" w:hAnsi="仿宋" w:cs="仿宋" w:hint="eastAsia"/>
          <w:kern w:val="0"/>
          <w:sz w:val="32"/>
          <w:szCs w:val="32"/>
        </w:rPr>
        <w:lastRenderedPageBreak/>
        <w:t>农产品精深加工、冷链物流、数字农业等重点领域展开科技攻关。强化农产品质量安全监管，坚持源头治理与过程监管、阶段性整治与长效性防治相结合，建立健全农产品全过程管理体系。完善农作物病虫害测报和防治体系与动物防疫体系。健全农资和农产品流通体系，支持优势产区专业批发市场建设，鼓励发展农超、农企、农旅等多种形式的产销对接。积极发展智慧农业，建设农业物联网应用示范基地。</w:t>
      </w:r>
    </w:p>
    <w:p w:rsidR="00E35214" w:rsidRDefault="006F7231">
      <w:pPr>
        <w:snapToGrid w:val="0"/>
        <w:spacing w:before="144" w:after="39"/>
        <w:ind w:left="788" w:right="788"/>
        <w:jc w:val="center"/>
        <w:textAlignment w:val="baseline"/>
        <w:rPr>
          <w:rFonts w:ascii="楷体" w:eastAsia="楷体" w:hAnsi="楷体" w:cs="仿宋"/>
          <w:b/>
          <w:sz w:val="28"/>
        </w:rPr>
      </w:pPr>
      <w:r>
        <w:rPr>
          <w:rFonts w:ascii="楷体" w:eastAsia="楷体" w:hAnsi="楷体" w:cs="仿宋" w:hint="eastAsia"/>
          <w:b/>
          <w:sz w:val="28"/>
        </w:rPr>
        <w:t>专栏4现代农业发展重点项目</w:t>
      </w:r>
    </w:p>
    <w:tbl>
      <w:tblPr>
        <w:tblStyle w:val="ae"/>
        <w:tblW w:w="8522" w:type="dxa"/>
        <w:tblLayout w:type="fixed"/>
        <w:tblLook w:val="04A0"/>
      </w:tblPr>
      <w:tblGrid>
        <w:gridCol w:w="8522"/>
      </w:tblGrid>
      <w:tr w:rsidR="00E35214">
        <w:trPr>
          <w:trHeight w:val="1545"/>
        </w:trPr>
        <w:tc>
          <w:tcPr>
            <w:tcW w:w="8522" w:type="dxa"/>
          </w:tcPr>
          <w:p w:rsidR="00E35214" w:rsidRDefault="006F7231">
            <w:pPr>
              <w:snapToGrid w:val="0"/>
              <w:spacing w:line="400" w:lineRule="atLeast"/>
              <w:ind w:firstLine="480"/>
              <w:textAlignment w:val="baseline"/>
              <w:rPr>
                <w:rFonts w:ascii="楷体" w:eastAsia="楷体" w:hAnsi="楷体" w:cs="楷体"/>
                <w:kern w:val="0"/>
                <w:sz w:val="24"/>
              </w:rPr>
            </w:pPr>
            <w:r>
              <w:rPr>
                <w:rFonts w:ascii="楷体" w:eastAsia="楷体" w:hAnsi="楷体" w:cs="楷体" w:hint="eastAsia"/>
                <w:b/>
                <w:bCs/>
                <w:kern w:val="0"/>
                <w:sz w:val="24"/>
              </w:rPr>
              <w:t>农业基础设施建设工程。</w:t>
            </w:r>
            <w:r>
              <w:rPr>
                <w:rFonts w:ascii="楷体" w:eastAsia="楷体" w:hAnsi="楷体" w:cs="楷体" w:hint="eastAsia"/>
                <w:kern w:val="0"/>
                <w:sz w:val="24"/>
              </w:rPr>
              <w:t>重点抓好0.8万亩高标准农田建设项目，2025年前新建高标准农田1万亩以上。优先开展金河镇、永胜乡产业路建设。推进园区智慧农业基础设施建设。</w:t>
            </w:r>
          </w:p>
          <w:p w:rsidR="00E35214" w:rsidRDefault="006F7231">
            <w:pPr>
              <w:snapToGrid w:val="0"/>
              <w:spacing w:line="400" w:lineRule="atLeast"/>
              <w:ind w:firstLine="480"/>
              <w:textAlignment w:val="baseline"/>
              <w:rPr>
                <w:rFonts w:ascii="楷体" w:eastAsia="楷体" w:hAnsi="楷体" w:cs="楷体"/>
                <w:kern w:val="0"/>
                <w:sz w:val="24"/>
              </w:rPr>
            </w:pPr>
            <w:r>
              <w:rPr>
                <w:rFonts w:ascii="楷体" w:eastAsia="楷体" w:hAnsi="楷体" w:cs="楷体" w:hint="eastAsia"/>
                <w:b/>
                <w:bCs/>
                <w:kern w:val="0"/>
                <w:sz w:val="24"/>
              </w:rPr>
              <w:t>特色农业强优工程。</w:t>
            </w:r>
            <w:r>
              <w:rPr>
                <w:rFonts w:ascii="楷体" w:eastAsia="楷体" w:hAnsi="楷体" w:cs="楷体" w:hint="eastAsia"/>
                <w:kern w:val="0"/>
                <w:sz w:val="24"/>
              </w:rPr>
              <w:t>大力发展川牛膝、天麻、黄柏、曼迪亚红豆</w:t>
            </w:r>
            <w:r w:rsidR="00AE1851">
              <w:rPr>
                <w:rFonts w:ascii="楷体" w:eastAsia="楷体" w:hAnsi="楷体" w:hint="eastAsia"/>
                <w:color w:val="000000"/>
                <w:shd w:val="clear" w:color="auto" w:fill="FFFFFF"/>
              </w:rPr>
              <w:t>杉</w:t>
            </w:r>
            <w:r>
              <w:rPr>
                <w:rFonts w:ascii="楷体" w:eastAsia="楷体" w:hAnsi="楷体" w:cs="楷体" w:hint="eastAsia"/>
                <w:kern w:val="0"/>
                <w:sz w:val="24"/>
              </w:rPr>
              <w:t>等中药材产业，到2025年，全区中药村在地面积稳定在24万亩，重点打造永胜乡川牛膝、金河镇乌天麻、黄柏中药村产业基地。重点建设分别以金河镇和永胜乡为核心的中高山蔬</w:t>
            </w:r>
            <w:r w:rsidR="00AE1851">
              <w:rPr>
                <w:rFonts w:ascii="楷体" w:eastAsia="楷体" w:hAnsi="楷体" w:cs="楷体" w:hint="eastAsia"/>
                <w:kern w:val="0"/>
                <w:sz w:val="24"/>
              </w:rPr>
              <w:t>菜</w:t>
            </w:r>
            <w:r>
              <w:rPr>
                <w:rFonts w:ascii="楷体" w:eastAsia="楷体" w:hAnsi="楷体" w:cs="楷体" w:hint="eastAsia"/>
                <w:kern w:val="0"/>
                <w:sz w:val="24"/>
              </w:rPr>
              <w:t>生产区，到2025年全区蔬</w:t>
            </w:r>
            <w:r w:rsidR="00AE1851">
              <w:rPr>
                <w:rFonts w:ascii="楷体" w:eastAsia="楷体" w:hAnsi="楷体" w:cs="楷体" w:hint="eastAsia"/>
                <w:kern w:val="0"/>
                <w:sz w:val="24"/>
              </w:rPr>
              <w:t>菜</w:t>
            </w:r>
            <w:r>
              <w:rPr>
                <w:rFonts w:ascii="楷体" w:eastAsia="楷体" w:hAnsi="楷体" w:cs="楷体" w:hint="eastAsia"/>
                <w:kern w:val="0"/>
                <w:sz w:val="24"/>
              </w:rPr>
              <w:t>总播种面积稳定在1.5万亩，产量11万吨。全面开展畜禽标准化养殖场建设，鼓励新型经营主体扩大养殖规模，帮助中小养殖场(户)提高生产经营管理水平，支持养殖场(户)新改扩建全环控、低耗能、环保型的高标准圈舍，到2025年，</w:t>
            </w:r>
            <w:r w:rsidR="00AE1851">
              <w:rPr>
                <w:rFonts w:ascii="楷体" w:eastAsia="楷体" w:hAnsi="楷体" w:cs="楷体" w:hint="eastAsia"/>
                <w:kern w:val="0"/>
                <w:sz w:val="24"/>
              </w:rPr>
              <w:t>全</w:t>
            </w:r>
            <w:r>
              <w:rPr>
                <w:rFonts w:ascii="楷体" w:eastAsia="楷体" w:hAnsi="楷体" w:cs="楷体" w:hint="eastAsia"/>
                <w:kern w:val="0"/>
                <w:sz w:val="24"/>
              </w:rPr>
              <w:t>区标准化养殖场达到20个，新增出栏生猪1万头。</w:t>
            </w:r>
          </w:p>
          <w:p w:rsidR="00E35214" w:rsidRDefault="006F7231">
            <w:pPr>
              <w:snapToGrid w:val="0"/>
              <w:spacing w:line="400" w:lineRule="atLeast"/>
              <w:ind w:firstLine="480"/>
              <w:textAlignment w:val="baseline"/>
              <w:rPr>
                <w:rFonts w:ascii="楷体" w:eastAsia="楷体" w:hAnsi="楷体" w:cs="楷体"/>
                <w:kern w:val="0"/>
                <w:sz w:val="24"/>
              </w:rPr>
            </w:pPr>
            <w:r>
              <w:rPr>
                <w:rFonts w:ascii="楷体" w:eastAsia="楷体" w:hAnsi="楷体" w:cs="楷体" w:hint="eastAsia"/>
                <w:b/>
                <w:bCs/>
                <w:kern w:val="0"/>
                <w:sz w:val="24"/>
              </w:rPr>
              <w:t>现代农业园区建设工程。</w:t>
            </w:r>
            <w:r>
              <w:rPr>
                <w:rFonts w:ascii="楷体" w:eastAsia="楷体" w:hAnsi="楷体" w:cs="楷体" w:hint="eastAsia"/>
                <w:kern w:val="0"/>
                <w:sz w:val="24"/>
              </w:rPr>
              <w:t>培育现代农业园区共计</w:t>
            </w:r>
            <w:r>
              <w:rPr>
                <w:rFonts w:ascii="楷体" w:eastAsia="楷体" w:hAnsi="楷体" w:cs="楷体"/>
                <w:kern w:val="0"/>
                <w:sz w:val="24"/>
              </w:rPr>
              <w:t>13个，分别为金口河区川牛膝现代农业园区、金河镇吉星村中药材现代农业园区、金河镇板厂坪乌天麻现代农业园区、和平彝族乡蓝莓现代农业园区、金河镇同心村高山蔬菜现代农业园区、永胜乡大瓦山油用牡丹现代农业园区、永胜乡瓦山村高山蔬菜现代农业园区、永和镇大峡谷老鹰茶现代农业园区、永胜乡桅杆村高山云</w:t>
            </w:r>
            <w:r>
              <w:rPr>
                <w:rFonts w:ascii="楷体" w:eastAsia="楷体" w:hAnsi="楷体" w:cs="楷体" w:hint="eastAsia"/>
                <w:kern w:val="0"/>
                <w:sz w:val="24"/>
              </w:rPr>
              <w:t>雾茶现代农业园区、永胜乡桅杆村花椒现代农业园区、和平彝族乡桠溪村高山有机花椒现代农业园区、金口河永胜乡曼地亚红豆杉现代农业园区、智慧种猪现代农业园区。力争创建省级现代农业园区</w:t>
            </w:r>
            <w:r>
              <w:rPr>
                <w:rFonts w:ascii="楷体" w:eastAsia="楷体" w:hAnsi="楷体" w:cs="楷体"/>
                <w:kern w:val="0"/>
                <w:sz w:val="24"/>
              </w:rPr>
              <w:t>4个、市级园区5个、县级园区4个。</w:t>
            </w:r>
          </w:p>
          <w:p w:rsidR="00E35214" w:rsidRDefault="006F7231">
            <w:pPr>
              <w:snapToGrid w:val="0"/>
              <w:spacing w:line="400" w:lineRule="atLeast"/>
              <w:ind w:firstLine="480"/>
              <w:textAlignment w:val="baseline"/>
              <w:rPr>
                <w:rFonts w:ascii="楷体" w:eastAsia="楷体" w:hAnsi="楷体" w:cs="楷体"/>
                <w:kern w:val="0"/>
                <w:sz w:val="24"/>
              </w:rPr>
            </w:pPr>
            <w:r>
              <w:rPr>
                <w:rFonts w:ascii="楷体" w:eastAsia="楷体" w:hAnsi="楷体" w:cs="楷体" w:hint="eastAsia"/>
                <w:b/>
                <w:bCs/>
                <w:kern w:val="0"/>
                <w:sz w:val="24"/>
              </w:rPr>
              <w:t>农业品牌培育工程。</w:t>
            </w:r>
            <w:r>
              <w:rPr>
                <w:rFonts w:ascii="楷体" w:eastAsia="楷体" w:hAnsi="楷体" w:cs="楷体" w:hint="eastAsia"/>
                <w:kern w:val="0"/>
                <w:sz w:val="24"/>
              </w:rPr>
              <w:t>有效期内“三品一标”达20个，其中无公害农产品10个，绿色食品2个，地理标志保护产品2个，有机产品6个。</w:t>
            </w:r>
          </w:p>
          <w:p w:rsidR="00E35214" w:rsidRDefault="006F7231">
            <w:pPr>
              <w:snapToGrid w:val="0"/>
              <w:spacing w:line="400" w:lineRule="atLeast"/>
              <w:ind w:firstLineChars="200" w:firstLine="482"/>
              <w:textAlignment w:val="baseline"/>
              <w:rPr>
                <w:sz w:val="20"/>
              </w:rPr>
            </w:pPr>
            <w:r>
              <w:rPr>
                <w:rFonts w:ascii="楷体" w:eastAsia="楷体" w:hAnsi="楷体" w:cs="楷体" w:hint="eastAsia"/>
                <w:b/>
                <w:bCs/>
                <w:kern w:val="0"/>
                <w:sz w:val="24"/>
              </w:rPr>
              <w:t>农业经营主体培育工程。</w:t>
            </w:r>
            <w:r>
              <w:rPr>
                <w:rFonts w:ascii="楷体" w:eastAsia="楷体" w:hAnsi="楷体" w:cs="楷体" w:hint="eastAsia"/>
                <w:kern w:val="0"/>
                <w:sz w:val="24"/>
              </w:rPr>
              <w:t>培育市级以上农业产业化龙头企业</w:t>
            </w:r>
            <w:r>
              <w:rPr>
                <w:rFonts w:ascii="楷体" w:eastAsia="楷体" w:hAnsi="楷体" w:cs="楷体"/>
                <w:kern w:val="0"/>
                <w:sz w:val="24"/>
              </w:rPr>
              <w:t>5家。市级专业合作社20家</w:t>
            </w:r>
            <w:r>
              <w:rPr>
                <w:rFonts w:ascii="楷体" w:eastAsia="楷体" w:hAnsi="楷体" w:cs="楷体" w:hint="eastAsia"/>
                <w:kern w:val="0"/>
                <w:sz w:val="24"/>
              </w:rPr>
              <w:t>，市级家庭农场</w:t>
            </w:r>
            <w:r>
              <w:rPr>
                <w:rFonts w:ascii="楷体" w:eastAsia="楷体" w:hAnsi="楷体" w:cs="楷体"/>
                <w:kern w:val="0"/>
                <w:sz w:val="24"/>
              </w:rPr>
              <w:t>30家</w:t>
            </w:r>
            <w:r>
              <w:rPr>
                <w:rFonts w:ascii="楷体" w:eastAsia="楷体" w:hAnsi="楷体" w:cs="楷体" w:hint="eastAsia"/>
                <w:kern w:val="0"/>
                <w:sz w:val="24"/>
              </w:rPr>
              <w:t>，省级专业合作社</w:t>
            </w:r>
            <w:r>
              <w:rPr>
                <w:rFonts w:ascii="楷体" w:eastAsia="楷体" w:hAnsi="楷体" w:cs="楷体"/>
                <w:kern w:val="0"/>
                <w:sz w:val="24"/>
              </w:rPr>
              <w:t>8家</w:t>
            </w:r>
            <w:r>
              <w:rPr>
                <w:rFonts w:ascii="楷体" w:eastAsia="楷体" w:hAnsi="楷体" w:cs="楷体" w:hint="eastAsia"/>
                <w:kern w:val="0"/>
                <w:sz w:val="24"/>
              </w:rPr>
              <w:t>，家庭农场</w:t>
            </w:r>
            <w:r>
              <w:rPr>
                <w:rFonts w:ascii="楷体" w:eastAsia="楷体" w:hAnsi="楷体" w:cs="楷体"/>
                <w:kern w:val="0"/>
                <w:sz w:val="24"/>
              </w:rPr>
              <w:t>10家</w:t>
            </w:r>
            <w:r>
              <w:rPr>
                <w:rFonts w:ascii="楷体" w:eastAsia="楷体" w:hAnsi="楷体" w:cs="楷体" w:hint="eastAsia"/>
                <w:kern w:val="0"/>
                <w:sz w:val="24"/>
              </w:rPr>
              <w:t>。</w:t>
            </w:r>
          </w:p>
        </w:tc>
      </w:tr>
    </w:tbl>
    <w:p w:rsidR="00E35214" w:rsidRDefault="00E35214">
      <w:pPr>
        <w:pStyle w:val="a5"/>
        <w:snapToGrid w:val="0"/>
        <w:spacing w:after="0" w:line="580" w:lineRule="exact"/>
        <w:textAlignment w:val="baseline"/>
        <w:rPr>
          <w:rFonts w:ascii="仿宋" w:eastAsia="仿宋" w:hAnsi="仿宋" w:cs="仿宋"/>
          <w:bCs/>
          <w:sz w:val="32"/>
          <w:szCs w:val="32"/>
        </w:rPr>
      </w:pPr>
    </w:p>
    <w:p w:rsidR="00E35214" w:rsidRDefault="006F7231">
      <w:pPr>
        <w:pStyle w:val="2"/>
        <w:snapToGrid w:val="0"/>
        <w:textAlignment w:val="baseline"/>
        <w:rPr>
          <w:sz w:val="30"/>
          <w:szCs w:val="30"/>
        </w:rPr>
      </w:pPr>
      <w:bookmarkStart w:id="91" w:name="_Toc8649"/>
      <w:bookmarkStart w:id="92" w:name="_Toc12067"/>
      <w:bookmarkStart w:id="93" w:name="_Toc9037"/>
      <w:r>
        <w:rPr>
          <w:rFonts w:hint="eastAsia"/>
          <w:sz w:val="30"/>
          <w:szCs w:val="30"/>
        </w:rPr>
        <w:t>第六章</w:t>
      </w:r>
      <w:r>
        <w:rPr>
          <w:rFonts w:hint="eastAsia"/>
          <w:sz w:val="30"/>
          <w:szCs w:val="30"/>
        </w:rPr>
        <w:t xml:space="preserve"> </w:t>
      </w:r>
      <w:r>
        <w:rPr>
          <w:rFonts w:hint="eastAsia"/>
          <w:sz w:val="30"/>
          <w:szCs w:val="30"/>
        </w:rPr>
        <w:t>建设世界旅游目的地重要增长极</w:t>
      </w:r>
      <w:bookmarkEnd w:id="91"/>
      <w:bookmarkEnd w:id="92"/>
      <w:bookmarkEnd w:id="93"/>
    </w:p>
    <w:p w:rsidR="00E35214" w:rsidRDefault="006F7231">
      <w:pPr>
        <w:pStyle w:val="a5"/>
        <w:snapToGrid w:val="0"/>
        <w:spacing w:after="0" w:line="580" w:lineRule="exact"/>
        <w:ind w:firstLineChars="200" w:firstLine="640"/>
        <w:textAlignment w:val="baseline"/>
        <w:rPr>
          <w:rFonts w:ascii="仿宋" w:eastAsia="仿宋" w:hAnsi="仿宋" w:cs="仿宋"/>
          <w:bCs/>
          <w:sz w:val="32"/>
          <w:szCs w:val="32"/>
        </w:rPr>
      </w:pPr>
      <w:r>
        <w:rPr>
          <w:rFonts w:ascii="仿宋" w:eastAsia="仿宋" w:hAnsi="仿宋" w:cs="仿宋" w:hint="eastAsia"/>
          <w:bCs/>
          <w:sz w:val="32"/>
          <w:szCs w:val="32"/>
        </w:rPr>
        <w:t>深化全域旅游突破行动，充分挖掘金口河自然生态之美、多彩人文之美和红色记忆之美，融入全省文化旅游“一核五带”、全市“两核两圈两带九组团”布局，初步建成巴蜀文化旅游走廊世界旅游目的地重要增长极，小凉山旅游经济圈旅游强县第一方阵，将旅游业基本建设成为金口河区的战略性主导产业，积极争创天府旅游名县和全域旅游示范县。</w:t>
      </w:r>
    </w:p>
    <w:p w:rsidR="00E35214" w:rsidRDefault="006F7231">
      <w:pPr>
        <w:pStyle w:val="3"/>
        <w:snapToGrid w:val="0"/>
        <w:spacing w:line="580" w:lineRule="exact"/>
        <w:textAlignment w:val="baseline"/>
        <w:rPr>
          <w:rFonts w:ascii="仿宋" w:eastAsia="仿宋" w:hAnsi="仿宋" w:cs="仿宋"/>
          <w:bCs w:val="0"/>
          <w:szCs w:val="22"/>
        </w:rPr>
      </w:pPr>
      <w:r>
        <w:rPr>
          <w:rFonts w:ascii="仿宋" w:eastAsia="仿宋" w:hAnsi="仿宋" w:cs="仿宋" w:hint="eastAsia"/>
          <w:szCs w:val="22"/>
        </w:rPr>
        <w:t>第一节优化全域旅游发展格局</w:t>
      </w:r>
    </w:p>
    <w:p w:rsidR="00E35214" w:rsidRDefault="006F7231">
      <w:pPr>
        <w:pStyle w:val="a5"/>
        <w:snapToGrid w:val="0"/>
        <w:spacing w:after="0" w:line="580" w:lineRule="exact"/>
        <w:ind w:firstLineChars="200" w:firstLine="640"/>
        <w:textAlignment w:val="baseline"/>
        <w:rPr>
          <w:rFonts w:ascii="仿宋" w:eastAsia="仿宋" w:hAnsi="仿宋" w:cs="仿宋"/>
          <w:bCs/>
          <w:sz w:val="32"/>
          <w:szCs w:val="32"/>
        </w:rPr>
      </w:pPr>
      <w:r>
        <w:rPr>
          <w:rFonts w:ascii="仿宋" w:eastAsia="仿宋" w:hAnsi="仿宋" w:cs="仿宋" w:hint="eastAsia"/>
          <w:bCs/>
          <w:sz w:val="32"/>
          <w:szCs w:val="32"/>
        </w:rPr>
        <w:t>围绕“两核三带四组团</w:t>
      </w:r>
      <w:r>
        <w:rPr>
          <w:rFonts w:ascii="仿宋" w:eastAsia="仿宋" w:hAnsi="仿宋" w:cs="仿宋"/>
          <w:bCs/>
          <w:sz w:val="32"/>
          <w:szCs w:val="32"/>
        </w:rPr>
        <w:t>N节点”的旅游空间布局，聚力做强核心景区、做优集镇、做靓乡村，强化资源整合和深度开发，推动旅游区域化集群化发展。</w:t>
      </w:r>
      <w:r>
        <w:rPr>
          <w:rFonts w:ascii="仿宋" w:eastAsia="仿宋" w:hAnsi="仿宋" w:cs="仿宋" w:hint="eastAsia"/>
          <w:bCs/>
          <w:sz w:val="32"/>
          <w:szCs w:val="32"/>
        </w:rPr>
        <w:t>加快布局大峡谷休闲体验观光带、大瓦山山地运动康养度假带、八月林生态民俗文化旅游带。统筹协调威尔逊特色小镇（北）、红华记忆小镇（中）、铁道兵文化特色小镇（西）、象鼻彝乡特色小镇（南）四组团。充分发挥核心景区对全域旅游带动作用，推动大峡谷、大瓦山两大核心景区扩容提质，唱响“云上大瓦山、最美大峡谷”全域旅游品牌。做大做强以大渡河观光游览、休闲体验为特色亮点，集夜间旅游、餐饮美食、城市游憩、旅游集散、旅游咨询、旅游救援等功能于一体的旅游休闲度假片区。大力发展乡村旅游多节点，支持各乡镇依托不同旅游</w:t>
      </w:r>
      <w:r>
        <w:rPr>
          <w:rFonts w:ascii="仿宋" w:eastAsia="仿宋" w:hAnsi="仿宋" w:cs="仿宋" w:hint="eastAsia"/>
          <w:bCs/>
          <w:sz w:val="32"/>
          <w:szCs w:val="32"/>
        </w:rPr>
        <w:lastRenderedPageBreak/>
        <w:t>资源发展特色文化旅游，支持相关企业、农户发展各具特色的康养民宿和文旅娱乐项目。全域打造“峡谷山水长卷”，构建全域旅游发展的“金口河样本”。</w:t>
      </w:r>
    </w:p>
    <w:p w:rsidR="00E35214" w:rsidRDefault="006F7231">
      <w:pPr>
        <w:pStyle w:val="a5"/>
        <w:snapToGrid w:val="0"/>
        <w:spacing w:after="0"/>
        <w:jc w:val="center"/>
        <w:textAlignment w:val="baseline"/>
        <w:rPr>
          <w:rFonts w:ascii="楷体" w:eastAsia="楷体" w:hAnsi="楷体" w:cs="楷体"/>
          <w:b/>
          <w:sz w:val="32"/>
          <w:szCs w:val="32"/>
        </w:rPr>
      </w:pPr>
      <w:r>
        <w:rPr>
          <w:rFonts w:ascii="楷体" w:eastAsia="楷体" w:hAnsi="楷体" w:cs="楷体" w:hint="eastAsia"/>
          <w:b/>
          <w:noProof/>
          <w:sz w:val="32"/>
          <w:szCs w:val="32"/>
        </w:rPr>
        <w:drawing>
          <wp:inline distT="0" distB="0" distL="114300" distR="114300">
            <wp:extent cx="5266055" cy="6260465"/>
            <wp:effectExtent l="0" t="0" r="10795" b="698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cstate="print"/>
                    <a:stretch>
                      <a:fillRect/>
                    </a:stretch>
                  </pic:blipFill>
                  <pic:spPr>
                    <a:xfrm>
                      <a:off x="0" y="0"/>
                      <a:ext cx="5266055" cy="6260465"/>
                    </a:xfrm>
                    <a:prstGeom prst="rect">
                      <a:avLst/>
                    </a:prstGeom>
                  </pic:spPr>
                </pic:pic>
              </a:graphicData>
            </a:graphic>
          </wp:inline>
        </w:drawing>
      </w:r>
      <w:r>
        <w:rPr>
          <w:rFonts w:ascii="楷体" w:eastAsia="楷体" w:hAnsi="楷体" w:cs="楷体" w:hint="eastAsia"/>
          <w:b/>
          <w:sz w:val="32"/>
          <w:szCs w:val="32"/>
        </w:rPr>
        <w:t>图2 金口河旅游空间布局图</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第二节丰富旅游产品供给</w:t>
      </w:r>
    </w:p>
    <w:p w:rsidR="00E35214" w:rsidRDefault="006F7231">
      <w:pPr>
        <w:pStyle w:val="a5"/>
        <w:snapToGrid w:val="0"/>
        <w:spacing w:after="0" w:line="580" w:lineRule="exact"/>
        <w:ind w:firstLineChars="200" w:firstLine="640"/>
        <w:textAlignment w:val="baseline"/>
        <w:rPr>
          <w:rFonts w:ascii="仿宋" w:eastAsia="仿宋" w:hAnsi="仿宋" w:cs="仿宋"/>
          <w:bCs/>
          <w:sz w:val="32"/>
          <w:szCs w:val="32"/>
        </w:rPr>
      </w:pPr>
      <w:r>
        <w:rPr>
          <w:rFonts w:ascii="仿宋" w:eastAsia="仿宋" w:hAnsi="仿宋" w:cs="仿宋" w:hint="eastAsia"/>
          <w:bCs/>
          <w:sz w:val="32"/>
          <w:szCs w:val="32"/>
        </w:rPr>
        <w:t>对接川渝都市人群的亲子休闲度假需求，发展民族文化</w:t>
      </w:r>
      <w:r>
        <w:rPr>
          <w:rFonts w:ascii="仿宋" w:eastAsia="仿宋" w:hAnsi="仿宋" w:cs="仿宋" w:hint="eastAsia"/>
          <w:bCs/>
          <w:sz w:val="32"/>
          <w:szCs w:val="32"/>
        </w:rPr>
        <w:lastRenderedPageBreak/>
        <w:t>体验游、亲子休闲游、生态康养游等差异化产品体系。发展体育旅游，开发推出一批休闲健身型、文化体验型、互动参与型体育旅游产品。发展登山揽胜、中医药疗养康复、避暑养生、膳食疗养等康养旅游产品，打造绿色生态康养基地。推动金口河文化为主题的精品影视作品、文学作品、歌舞小品等创作，打造具备金口河文化特质的文化</w:t>
      </w:r>
      <w:r>
        <w:rPr>
          <w:rFonts w:ascii="仿宋" w:eastAsia="仿宋" w:hAnsi="仿宋" w:cs="仿宋"/>
          <w:bCs/>
          <w:sz w:val="32"/>
          <w:szCs w:val="32"/>
        </w:rPr>
        <w:t>IP。实施数字化战略，挖掘短视频、视频直播等新媒体潜力，创作一批精品短视频，培养一批网红主播</w:t>
      </w:r>
      <w:r>
        <w:rPr>
          <w:rFonts w:ascii="仿宋" w:eastAsia="仿宋" w:hAnsi="仿宋" w:cs="仿宋" w:hint="eastAsia"/>
          <w:bCs/>
          <w:sz w:val="32"/>
          <w:szCs w:val="32"/>
        </w:rPr>
        <w:t>。借力古风、仙侠、动漫、汉服等时下流行元素，灵活开发会展旅游、研学旅游等多种产品。</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第三节建立立体营销体系</w:t>
      </w:r>
    </w:p>
    <w:p w:rsidR="00E35214" w:rsidRDefault="006F7231">
      <w:pPr>
        <w:pStyle w:val="a5"/>
        <w:snapToGrid w:val="0"/>
        <w:spacing w:after="0" w:line="580" w:lineRule="exact"/>
        <w:ind w:firstLineChars="200" w:firstLine="640"/>
        <w:textAlignment w:val="baseline"/>
        <w:rPr>
          <w:rFonts w:ascii="仿宋" w:eastAsia="仿宋" w:hAnsi="仿宋" w:cs="仿宋"/>
          <w:bCs/>
          <w:sz w:val="32"/>
          <w:szCs w:val="32"/>
        </w:rPr>
      </w:pPr>
      <w:r>
        <w:rPr>
          <w:rFonts w:ascii="仿宋" w:eastAsia="仿宋" w:hAnsi="仿宋" w:cs="仿宋" w:hint="eastAsia"/>
          <w:bCs/>
          <w:sz w:val="32"/>
          <w:szCs w:val="32"/>
        </w:rPr>
        <w:t>加强线上线下相结合、传统媒体与新媒体相结合的旅游宣传营销，进一步提升金口河美誉度、知名度。综合运用整合宣传、事件营销、节庆活动、展览促销等多种形式，善用各类社交媒体和网络平台，在成渝、京津冀、长三角、珠三角等重点客源地建立旅游营销分中心，融入国内各大旅游推广联盟和国际旅游营销渠道体系。灵活运用短视频、数据图、漫画、</w:t>
      </w:r>
      <w:r>
        <w:rPr>
          <w:rFonts w:ascii="仿宋" w:eastAsia="仿宋" w:hAnsi="仿宋" w:cs="仿宋"/>
          <w:bCs/>
          <w:sz w:val="32"/>
          <w:szCs w:val="32"/>
        </w:rPr>
        <w:t>3D</w:t>
      </w:r>
      <w:r>
        <w:rPr>
          <w:rFonts w:ascii="仿宋" w:eastAsia="仿宋" w:hAnsi="仿宋" w:cs="仿宋" w:hint="eastAsia"/>
          <w:bCs/>
          <w:sz w:val="32"/>
          <w:szCs w:val="32"/>
        </w:rPr>
        <w:t>交互新闻等多元宣传方式，开展“春赏花采茶、夏避暑摘果、秋彩林观光、冬玩雪温泉”的四季营销。</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第四节深化文旅开放合作</w:t>
      </w:r>
    </w:p>
    <w:p w:rsidR="00E35214" w:rsidRDefault="006F7231">
      <w:pPr>
        <w:pStyle w:val="a5"/>
        <w:snapToGrid w:val="0"/>
        <w:spacing w:after="0" w:line="580" w:lineRule="exact"/>
        <w:ind w:firstLineChars="200" w:firstLine="640"/>
        <w:textAlignment w:val="baseline"/>
        <w:rPr>
          <w:rFonts w:ascii="仿宋" w:eastAsia="仿宋" w:hAnsi="仿宋" w:cs="仿宋"/>
          <w:bCs/>
          <w:sz w:val="32"/>
          <w:szCs w:val="32"/>
        </w:rPr>
      </w:pPr>
      <w:r>
        <w:rPr>
          <w:rFonts w:ascii="仿宋" w:eastAsia="仿宋" w:hAnsi="仿宋" w:cs="仿宋" w:hint="eastAsia"/>
          <w:bCs/>
          <w:sz w:val="32"/>
          <w:szCs w:val="32"/>
        </w:rPr>
        <w:t>深度挖掘“三线建设”文化、国防工业文化、国防战备库遗迹文化、乐西抗战公路遗迹及铁道兵文化、“诺亚方舟”文化和民族文化，参与共建巴蜀文化旅游走廊和藏羌彝文化</w:t>
      </w:r>
      <w:r>
        <w:rPr>
          <w:rFonts w:ascii="仿宋" w:eastAsia="仿宋" w:hAnsi="仿宋" w:cs="仿宋" w:hint="eastAsia"/>
          <w:bCs/>
          <w:sz w:val="32"/>
          <w:szCs w:val="32"/>
        </w:rPr>
        <w:lastRenderedPageBreak/>
        <w:t>产业走廊。</w:t>
      </w:r>
      <w:r>
        <w:rPr>
          <w:rFonts w:ascii="仿宋" w:eastAsia="仿宋" w:hAnsi="仿宋" w:cs="仿宋" w:hint="eastAsia"/>
          <w:kern w:val="0"/>
          <w:sz w:val="32"/>
          <w:szCs w:val="32"/>
        </w:rPr>
        <w:t>聚焦成渝“后花园”目标，依托大峨眉文旅发展联盟，与重庆、成都、眉山、雅安、宜宾、自贡等</w:t>
      </w:r>
      <w:r>
        <w:rPr>
          <w:rFonts w:ascii="仿宋" w:eastAsia="仿宋" w:hAnsi="仿宋" w:cs="仿宋" w:hint="eastAsia"/>
          <w:bCs/>
          <w:kern w:val="0"/>
          <w:sz w:val="32"/>
          <w:szCs w:val="44"/>
        </w:rPr>
        <w:t>地深化交流合作，共同抓好旅游线路共建、资源同享、品牌联创，以更加积极主动的姿态融入成渝乐旅游联盟。</w:t>
      </w:r>
      <w:r>
        <w:rPr>
          <w:rFonts w:ascii="仿宋" w:eastAsia="仿宋" w:hAnsi="仿宋" w:cs="仿宋" w:hint="eastAsia"/>
          <w:kern w:val="0"/>
          <w:sz w:val="32"/>
          <w:szCs w:val="32"/>
        </w:rPr>
        <w:t>聚焦乐山旅游第三极目标，拓展小凉山旅游圈层，与峨边县、马边县等地共同整合优质旅游资源，放大转转花、火把节、“三雄夺魁”、彝织彝绣等民族文化特色，合作共建小凉山特色旅游区。</w:t>
      </w:r>
      <w:r>
        <w:rPr>
          <w:rFonts w:ascii="仿宋" w:eastAsia="仿宋" w:hAnsi="仿宋" w:cs="仿宋" w:hint="eastAsia"/>
          <w:sz w:val="32"/>
          <w:szCs w:val="32"/>
          <w:shd w:val="clear" w:color="auto" w:fill="FFFFFF"/>
        </w:rPr>
        <w:t>打造金口河文旅主题演艺品牌，促进文化演艺产业提档升级。</w:t>
      </w:r>
      <w:r>
        <w:rPr>
          <w:rFonts w:ascii="仿宋" w:eastAsia="仿宋" w:hAnsi="仿宋" w:cs="仿宋" w:hint="eastAsia"/>
          <w:bCs/>
          <w:sz w:val="32"/>
          <w:szCs w:val="32"/>
        </w:rPr>
        <w:t>加快发展“文创</w:t>
      </w:r>
      <w:r>
        <w:rPr>
          <w:rFonts w:ascii="仿宋" w:eastAsia="仿宋" w:hAnsi="仿宋" w:cs="仿宋"/>
          <w:bCs/>
          <w:sz w:val="32"/>
          <w:szCs w:val="32"/>
        </w:rPr>
        <w:t>+会展”“旅游+会展”等新模式新业态。</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第五节营造良好旅游环境</w:t>
      </w:r>
    </w:p>
    <w:p w:rsidR="00E35214" w:rsidRDefault="006F7231">
      <w:pPr>
        <w:pStyle w:val="a5"/>
        <w:snapToGrid w:val="0"/>
        <w:spacing w:after="0" w:line="580" w:lineRule="exact"/>
        <w:ind w:firstLineChars="200" w:firstLine="640"/>
        <w:textAlignment w:val="baseline"/>
        <w:rPr>
          <w:rFonts w:ascii="仿宋" w:eastAsia="仿宋" w:hAnsi="仿宋" w:cs="仿宋"/>
          <w:bCs/>
          <w:sz w:val="32"/>
          <w:szCs w:val="32"/>
        </w:rPr>
      </w:pPr>
      <w:r>
        <w:rPr>
          <w:rFonts w:ascii="仿宋" w:eastAsia="仿宋" w:hAnsi="仿宋" w:cs="仿宋" w:hint="eastAsia"/>
          <w:bCs/>
          <w:sz w:val="32"/>
          <w:szCs w:val="32"/>
        </w:rPr>
        <w:t>强化景区景点和旅游村镇道路、水电、通信等配套设施建设，加快发展星级酒店、主题酒店、精品民宿、购物场所等，完善游客接待中心、停车场、栈道游步道、休憩设施等，提升旅游接待服务能力。加强旅游市场监管，建立健全志愿者服务机制，提升旅游服务水平。实施智慧文旅建设，加快全域旅游大数据中心、智慧管理平台、智慧服务平台、智慧营销平台“一中心三平台”体系建设，完善旅游数据采集管理、分析应用、产业监测等智慧化功能，强化在线旅游服务。</w:t>
      </w:r>
    </w:p>
    <w:p w:rsidR="00E35214" w:rsidRDefault="00E35214">
      <w:pPr>
        <w:pStyle w:val="a0"/>
        <w:snapToGrid w:val="0"/>
        <w:textAlignment w:val="baseline"/>
      </w:pPr>
    </w:p>
    <w:p w:rsidR="00E35214" w:rsidRDefault="006F7231">
      <w:pPr>
        <w:snapToGrid w:val="0"/>
        <w:spacing w:before="144" w:after="39"/>
        <w:ind w:left="788" w:right="788"/>
        <w:jc w:val="center"/>
        <w:textAlignment w:val="baseline"/>
        <w:rPr>
          <w:rFonts w:ascii="楷体" w:eastAsia="楷体" w:hAnsi="楷体" w:cs="仿宋"/>
          <w:b/>
          <w:sz w:val="28"/>
        </w:rPr>
      </w:pPr>
      <w:r>
        <w:rPr>
          <w:rFonts w:ascii="楷体" w:eastAsia="楷体" w:hAnsi="楷体" w:cs="仿宋" w:hint="eastAsia"/>
          <w:b/>
          <w:sz w:val="28"/>
        </w:rPr>
        <w:t>专栏5文化旅游业重点项目</w:t>
      </w:r>
    </w:p>
    <w:tbl>
      <w:tblPr>
        <w:tblStyle w:val="ae"/>
        <w:tblW w:w="8522" w:type="dxa"/>
        <w:tblLayout w:type="fixed"/>
        <w:tblLook w:val="04A0"/>
      </w:tblPr>
      <w:tblGrid>
        <w:gridCol w:w="8522"/>
      </w:tblGrid>
      <w:tr w:rsidR="00E35214">
        <w:trPr>
          <w:trHeight w:val="1355"/>
        </w:trPr>
        <w:tc>
          <w:tcPr>
            <w:tcW w:w="8522" w:type="dxa"/>
          </w:tcPr>
          <w:p w:rsidR="00E35214" w:rsidRDefault="006F7231">
            <w:pPr>
              <w:pStyle w:val="a5"/>
              <w:snapToGrid w:val="0"/>
              <w:spacing w:line="380" w:lineRule="atLeast"/>
              <w:ind w:firstLineChars="200" w:firstLine="482"/>
              <w:jc w:val="left"/>
              <w:textAlignment w:val="baseline"/>
              <w:rPr>
                <w:rFonts w:ascii="楷体" w:eastAsia="楷体" w:hAnsi="楷体" w:cs="楷体"/>
                <w:kern w:val="0"/>
                <w:sz w:val="24"/>
              </w:rPr>
            </w:pPr>
            <w:r>
              <w:rPr>
                <w:rFonts w:ascii="楷体" w:eastAsia="楷体" w:hAnsi="楷体" w:cs="楷体" w:hint="eastAsia"/>
                <w:b/>
                <w:kern w:val="0"/>
                <w:sz w:val="24"/>
              </w:rPr>
              <w:t>景区景点建设。</w:t>
            </w:r>
            <w:r>
              <w:rPr>
                <w:rFonts w:ascii="楷体" w:eastAsia="楷体" w:hAnsi="楷体" w:cs="楷体" w:hint="eastAsia"/>
                <w:kern w:val="0"/>
                <w:sz w:val="24"/>
              </w:rPr>
              <w:t>创建大瓦山湿地旅游区</w:t>
            </w:r>
            <w:r>
              <w:rPr>
                <w:rFonts w:ascii="楷体" w:eastAsia="楷体" w:hAnsi="楷体" w:cs="楷体"/>
                <w:kern w:val="0"/>
                <w:sz w:val="24"/>
              </w:rPr>
              <w:t>4A级景区（同步创建生态旅游示范区、山地康养旅游度假区）1个</w:t>
            </w:r>
            <w:r>
              <w:rPr>
                <w:rFonts w:ascii="楷体" w:eastAsia="楷体" w:hAnsi="楷体" w:cs="楷体" w:hint="eastAsia"/>
                <w:kern w:val="0"/>
                <w:sz w:val="24"/>
              </w:rPr>
              <w:t>。抓好大瓦山旅游综合项目建成运营，为大瓦山景区创建</w:t>
            </w:r>
            <w:r>
              <w:rPr>
                <w:rFonts w:ascii="楷体" w:eastAsia="楷体" w:hAnsi="楷体" w:cs="楷体"/>
                <w:kern w:val="0"/>
                <w:sz w:val="24"/>
              </w:rPr>
              <w:t>5A级景区做好前期准备。创建胜利村为全国乡村旅游重点村，永胜乡为四川乡村旅游特色乡镇，推进建设乡村旅游特色乡镇永和镇。建设完善旅游风景廊道3处（大瓦山旅游环线、顺河村至瓦山坪、瓦山村至瓦山坪旅游道路）。</w:t>
            </w:r>
            <w:r>
              <w:rPr>
                <w:rFonts w:ascii="楷体" w:eastAsia="楷体" w:hAnsi="楷体" w:cs="楷体"/>
                <w:kern w:val="0"/>
                <w:sz w:val="24"/>
              </w:rPr>
              <w:lastRenderedPageBreak/>
              <w:t>建设特色旅游村寨4个（曙光村、胜利村、顺河村、象鼻村）。</w:t>
            </w:r>
          </w:p>
          <w:p w:rsidR="00E35214" w:rsidRDefault="006F7231">
            <w:pPr>
              <w:pStyle w:val="a5"/>
              <w:snapToGrid w:val="0"/>
              <w:spacing w:line="380" w:lineRule="atLeast"/>
              <w:ind w:firstLineChars="200" w:firstLine="482"/>
              <w:jc w:val="left"/>
              <w:textAlignment w:val="baseline"/>
              <w:rPr>
                <w:rFonts w:ascii="楷体" w:eastAsia="楷体" w:hAnsi="楷体" w:cs="楷体"/>
                <w:kern w:val="0"/>
                <w:sz w:val="24"/>
              </w:rPr>
            </w:pPr>
            <w:r>
              <w:rPr>
                <w:rFonts w:ascii="楷体" w:eastAsia="楷体" w:hAnsi="楷体" w:cs="楷体" w:hint="eastAsia"/>
                <w:b/>
                <w:kern w:val="0"/>
                <w:sz w:val="24"/>
              </w:rPr>
              <w:t>重点文旅项目建设。</w:t>
            </w:r>
            <w:r>
              <w:rPr>
                <w:rFonts w:ascii="楷体" w:eastAsia="楷体" w:hAnsi="楷体" w:cs="楷体" w:hint="eastAsia"/>
                <w:kern w:val="0"/>
                <w:sz w:val="24"/>
              </w:rPr>
              <w:t>将大瓦山旅游综合开发项目作为重中之重，同步完成大瓦山片区配套基础设施项目，包括旅游观光电梯、户外扶梯、索道、桥梁、崖边栈道、山地运动休闲项目、文化创意性项目、酒店、民宿、度假村等。大峡谷景区持续扩容提质，建设景区多功能停车场、升级丁木沟景观栈道、打造白熊沟户外探险精品线路、打造大峡谷景区精品名宿等。完成大瓦山农旅综合体项目建设，完成威尔逊小镇、芳华系列文创项目建设，完成乡村田园综合体农旅项目（第一批）建设，争取建设寿屏山国际山地康养度假区、转转花植物科普园。</w:t>
            </w:r>
          </w:p>
          <w:p w:rsidR="00E35214" w:rsidRDefault="006F7231">
            <w:pPr>
              <w:pStyle w:val="a5"/>
              <w:snapToGrid w:val="0"/>
              <w:spacing w:line="380" w:lineRule="atLeast"/>
              <w:ind w:firstLineChars="200" w:firstLine="482"/>
              <w:jc w:val="left"/>
              <w:textAlignment w:val="baseline"/>
              <w:rPr>
                <w:rFonts w:ascii="楷体" w:eastAsia="楷体" w:hAnsi="楷体" w:cs="楷体"/>
                <w:kern w:val="0"/>
                <w:sz w:val="20"/>
                <w:szCs w:val="21"/>
              </w:rPr>
            </w:pPr>
            <w:r>
              <w:rPr>
                <w:rFonts w:ascii="楷体" w:eastAsia="楷体" w:hAnsi="楷体" w:cs="楷体" w:hint="eastAsia"/>
                <w:b/>
                <w:kern w:val="0"/>
                <w:sz w:val="24"/>
              </w:rPr>
              <w:t>重要旅游服务设施建设。</w:t>
            </w:r>
            <w:r>
              <w:rPr>
                <w:rFonts w:ascii="楷体" w:eastAsia="楷体" w:hAnsi="楷体" w:cs="楷体" w:hint="eastAsia"/>
                <w:kern w:val="0"/>
                <w:sz w:val="24"/>
              </w:rPr>
              <w:t>四星级达标酒店</w:t>
            </w:r>
            <w:r>
              <w:rPr>
                <w:rFonts w:ascii="楷体" w:eastAsia="楷体" w:hAnsi="楷体" w:cs="楷体"/>
                <w:kern w:val="0"/>
                <w:sz w:val="24"/>
              </w:rPr>
              <w:t>2家（库区风光带1家、大瓦山景区1家）</w:t>
            </w:r>
            <w:r>
              <w:rPr>
                <w:rFonts w:ascii="楷体" w:eastAsia="楷体" w:hAnsi="楷体" w:cs="楷体" w:hint="eastAsia"/>
                <w:kern w:val="0"/>
                <w:sz w:val="24"/>
              </w:rPr>
              <w:t>，三星级达标酒店</w:t>
            </w:r>
            <w:r>
              <w:rPr>
                <w:rFonts w:ascii="楷体" w:eastAsia="楷体" w:hAnsi="楷体" w:cs="楷体"/>
                <w:kern w:val="0"/>
                <w:sz w:val="24"/>
              </w:rPr>
              <w:t>2家（城区1家、大瓦山景区1家）</w:t>
            </w:r>
            <w:r>
              <w:rPr>
                <w:rFonts w:ascii="楷体" w:eastAsia="楷体" w:hAnsi="楷体" w:cs="楷体" w:hint="eastAsia"/>
                <w:kern w:val="0"/>
                <w:sz w:val="24"/>
              </w:rPr>
              <w:t>，主题酒店</w:t>
            </w:r>
            <w:r>
              <w:rPr>
                <w:rFonts w:ascii="楷体" w:eastAsia="楷体" w:hAnsi="楷体" w:cs="楷体"/>
                <w:kern w:val="0"/>
                <w:sz w:val="24"/>
              </w:rPr>
              <w:t>2家（红华记忆小镇主题酒店、乐汉高速金口河站区彝族文化主题酒店）</w:t>
            </w:r>
            <w:r>
              <w:rPr>
                <w:rFonts w:ascii="楷体" w:eastAsia="楷体" w:hAnsi="楷体" w:cs="楷体" w:hint="eastAsia"/>
                <w:kern w:val="0"/>
                <w:sz w:val="24"/>
              </w:rPr>
              <w:t>。</w:t>
            </w:r>
            <w:r>
              <w:rPr>
                <w:rFonts w:ascii="楷体" w:eastAsia="楷体" w:hAnsi="楷体" w:cs="楷体"/>
                <w:kern w:val="0"/>
                <w:sz w:val="24"/>
              </w:rPr>
              <w:t>3星级以上或精品民宿6家（大峡谷景区1家、大瓦山景区2家、顺河村威尔逊小镇1家、引导胜利村或瓦山村村民建设2家）</w:t>
            </w:r>
            <w:r>
              <w:rPr>
                <w:rFonts w:ascii="楷体" w:eastAsia="楷体" w:hAnsi="楷体" w:cs="楷体" w:hint="eastAsia"/>
                <w:kern w:val="0"/>
                <w:sz w:val="24"/>
              </w:rPr>
              <w:t>。自驾营地</w:t>
            </w:r>
            <w:r>
              <w:rPr>
                <w:rFonts w:ascii="楷体" w:eastAsia="楷体" w:hAnsi="楷体" w:cs="楷体"/>
                <w:kern w:val="0"/>
                <w:sz w:val="24"/>
              </w:rPr>
              <w:t xml:space="preserve">2个（鹿儿坪1个，配套建设停车场3000 </w:t>
            </w:r>
            <w:r>
              <w:rPr>
                <w:rFonts w:ascii="楷体" w:eastAsia="楷体" w:hAnsi="楷体" w:cs="楷体" w:hint="eastAsia"/>
                <w:kern w:val="0"/>
                <w:sz w:val="24"/>
              </w:rPr>
              <w:t>㎡</w:t>
            </w:r>
            <w:r>
              <w:rPr>
                <w:rFonts w:ascii="楷体" w:eastAsia="楷体" w:hAnsi="楷体" w:cs="楷体"/>
                <w:kern w:val="0"/>
                <w:sz w:val="24"/>
              </w:rPr>
              <w:t>，2A级旅游厕所1座；象鼻村或林丰村1个，配套建设停车场2000</w:t>
            </w:r>
            <w:r>
              <w:rPr>
                <w:rFonts w:ascii="楷体" w:eastAsia="楷体" w:hAnsi="楷体" w:cs="楷体" w:hint="eastAsia"/>
                <w:kern w:val="0"/>
                <w:sz w:val="24"/>
              </w:rPr>
              <w:t>㎡</w:t>
            </w:r>
            <w:r>
              <w:rPr>
                <w:rFonts w:ascii="楷体" w:eastAsia="楷体" w:hAnsi="楷体" w:cs="楷体"/>
                <w:kern w:val="0"/>
                <w:sz w:val="24"/>
              </w:rPr>
              <w:t xml:space="preserve"> ，2A级旅游厕所1座）</w:t>
            </w:r>
            <w:r>
              <w:rPr>
                <w:rFonts w:ascii="楷体" w:eastAsia="楷体" w:hAnsi="楷体" w:cs="楷体" w:hint="eastAsia"/>
                <w:kern w:val="0"/>
                <w:sz w:val="24"/>
              </w:rPr>
              <w:t>。大型游客服务中心（包括游客服务咨询中心、旅游购物中心、游客广场、停车场、旅游厕所）</w:t>
            </w:r>
            <w:r>
              <w:rPr>
                <w:rFonts w:ascii="楷体" w:eastAsia="楷体" w:hAnsi="楷体" w:cs="楷体"/>
                <w:kern w:val="0"/>
                <w:sz w:val="24"/>
              </w:rPr>
              <w:t>3个（大瓦山湿地旅游区1个、乐汉高速金口河站区1个、大峡谷景区1个）</w:t>
            </w:r>
            <w:r>
              <w:rPr>
                <w:rFonts w:ascii="楷体" w:eastAsia="楷体" w:hAnsi="楷体" w:cs="楷体" w:hint="eastAsia"/>
                <w:kern w:val="0"/>
                <w:sz w:val="24"/>
              </w:rPr>
              <w:t>。重点特色餐饮区</w:t>
            </w:r>
            <w:r>
              <w:rPr>
                <w:rFonts w:ascii="楷体" w:eastAsia="楷体" w:hAnsi="楷体" w:cs="楷体"/>
                <w:kern w:val="0"/>
                <w:sz w:val="24"/>
              </w:rPr>
              <w:t xml:space="preserve">4个（大峡谷景区1个、大瓦山景区1个、乐汉高速金口河站区1个、红华记忆小镇1个）。    </w:t>
            </w:r>
          </w:p>
        </w:tc>
      </w:tr>
    </w:tbl>
    <w:p w:rsidR="00E35214" w:rsidRDefault="00E35214">
      <w:pPr>
        <w:pStyle w:val="2"/>
        <w:snapToGrid w:val="0"/>
        <w:textAlignment w:val="baseline"/>
      </w:pPr>
      <w:bookmarkStart w:id="94" w:name="_Toc9309"/>
      <w:bookmarkStart w:id="95" w:name="_Toc19871"/>
      <w:bookmarkStart w:id="96" w:name="_Toc5652"/>
      <w:bookmarkStart w:id="97" w:name="_Toc12992"/>
      <w:bookmarkStart w:id="98" w:name="_Toc18118"/>
      <w:bookmarkStart w:id="99" w:name="_Toc10186"/>
      <w:bookmarkStart w:id="100" w:name="_Toc3819"/>
      <w:bookmarkStart w:id="101" w:name="_Toc11053"/>
      <w:bookmarkStart w:id="102" w:name="_Toc26848"/>
      <w:bookmarkStart w:id="103" w:name="_Toc31723"/>
      <w:bookmarkStart w:id="104" w:name="_Toc15168"/>
    </w:p>
    <w:p w:rsidR="00E35214" w:rsidRDefault="006F7231">
      <w:pPr>
        <w:pStyle w:val="2"/>
        <w:snapToGrid w:val="0"/>
        <w:textAlignment w:val="baseline"/>
      </w:pPr>
      <w:r>
        <w:rPr>
          <w:rFonts w:hint="eastAsia"/>
        </w:rPr>
        <w:t>第七章</w:t>
      </w:r>
      <w:r>
        <w:rPr>
          <w:rFonts w:hint="eastAsia"/>
        </w:rPr>
        <w:t xml:space="preserve"> </w:t>
      </w:r>
      <w:bookmarkEnd w:id="94"/>
      <w:bookmarkEnd w:id="95"/>
      <w:r>
        <w:rPr>
          <w:rFonts w:hint="eastAsia"/>
        </w:rPr>
        <w:t xml:space="preserve"> </w:t>
      </w:r>
      <w:r>
        <w:rPr>
          <w:rFonts w:hint="eastAsia"/>
        </w:rPr>
        <w:t>促进服务业转型升级</w:t>
      </w:r>
      <w:bookmarkEnd w:id="96"/>
      <w:bookmarkEnd w:id="97"/>
      <w:bookmarkEnd w:id="98"/>
      <w:bookmarkEnd w:id="99"/>
      <w:bookmarkEnd w:id="100"/>
      <w:bookmarkEnd w:id="101"/>
      <w:bookmarkEnd w:id="102"/>
      <w:bookmarkEnd w:id="103"/>
      <w:bookmarkEnd w:id="104"/>
    </w:p>
    <w:p w:rsidR="00E35214" w:rsidRDefault="006F7231">
      <w:pPr>
        <w:pStyle w:val="a5"/>
        <w:snapToGrid w:val="0"/>
        <w:spacing w:line="350" w:lineRule="auto"/>
        <w:ind w:right="420" w:firstLineChars="200" w:firstLine="640"/>
        <w:textAlignment w:val="baseline"/>
        <w:rPr>
          <w:rFonts w:ascii="仿宋" w:eastAsia="仿宋" w:hAnsi="仿宋" w:cs="仿宋"/>
          <w:bCs/>
          <w:sz w:val="32"/>
          <w:szCs w:val="32"/>
        </w:rPr>
      </w:pPr>
      <w:r>
        <w:rPr>
          <w:rFonts w:ascii="仿宋" w:eastAsia="仿宋" w:hAnsi="仿宋" w:cs="仿宋" w:hint="eastAsia"/>
          <w:bCs/>
          <w:sz w:val="32"/>
          <w:szCs w:val="32"/>
        </w:rPr>
        <w:t>聚焦优结构、增主体、强供给、提质效，推动传统服务业提升质效、现代服务业加快发展，打造现代服务业新的增长点，建设绿色生态型服务业强县。</w:t>
      </w:r>
    </w:p>
    <w:p w:rsidR="00E35214" w:rsidRDefault="006F7231">
      <w:pPr>
        <w:pStyle w:val="3"/>
        <w:snapToGrid w:val="0"/>
        <w:spacing w:line="580" w:lineRule="exact"/>
        <w:ind w:firstLineChars="200" w:firstLine="643"/>
        <w:textAlignment w:val="baseline"/>
        <w:rPr>
          <w:rFonts w:ascii="仿宋" w:eastAsia="仿宋" w:hAnsi="仿宋" w:cs="仿宋"/>
          <w:bCs w:val="0"/>
          <w:szCs w:val="22"/>
        </w:rPr>
      </w:pPr>
      <w:bookmarkStart w:id="105" w:name="_Toc21815"/>
      <w:bookmarkStart w:id="106" w:name="_Toc17585"/>
      <w:bookmarkStart w:id="107" w:name="_Toc22790"/>
      <w:bookmarkStart w:id="108" w:name="_Toc15030"/>
      <w:bookmarkStart w:id="109" w:name="_Toc32546"/>
      <w:bookmarkStart w:id="110" w:name="_Toc20379"/>
      <w:r>
        <w:rPr>
          <w:rFonts w:ascii="仿宋" w:eastAsia="仿宋" w:hAnsi="仿宋" w:cs="仿宋" w:hint="eastAsia"/>
          <w:szCs w:val="22"/>
        </w:rPr>
        <w:t>第一节加快发展现代物流业</w:t>
      </w:r>
      <w:bookmarkEnd w:id="105"/>
      <w:bookmarkEnd w:id="106"/>
      <w:bookmarkEnd w:id="107"/>
      <w:bookmarkEnd w:id="108"/>
      <w:bookmarkEnd w:id="109"/>
      <w:bookmarkEnd w:id="110"/>
    </w:p>
    <w:p w:rsidR="00E35214" w:rsidRDefault="006F7231">
      <w:pPr>
        <w:pStyle w:val="a5"/>
        <w:snapToGrid w:val="0"/>
        <w:spacing w:after="0" w:line="580" w:lineRule="exact"/>
        <w:ind w:firstLineChars="200" w:firstLine="640"/>
        <w:textAlignment w:val="baseline"/>
        <w:rPr>
          <w:rFonts w:ascii="仿宋" w:eastAsia="仿宋" w:hAnsi="仿宋" w:cs="仿宋"/>
          <w:bCs/>
          <w:sz w:val="32"/>
          <w:szCs w:val="32"/>
        </w:rPr>
      </w:pPr>
      <w:r>
        <w:rPr>
          <w:rFonts w:ascii="仿宋" w:eastAsia="仿宋" w:hAnsi="仿宋" w:cs="仿宋" w:hint="eastAsia"/>
          <w:bCs/>
          <w:sz w:val="32"/>
          <w:szCs w:val="32"/>
        </w:rPr>
        <w:t>尽快出台《金口河区加快服务业高质量发展二十条政策措施》。通过“邮快合作”，整合“四通一达”等社会快递</w:t>
      </w:r>
      <w:r>
        <w:rPr>
          <w:rFonts w:ascii="仿宋" w:eastAsia="仿宋" w:hAnsi="仿宋" w:cs="仿宋" w:hint="eastAsia"/>
          <w:bCs/>
          <w:sz w:val="32"/>
          <w:szCs w:val="32"/>
        </w:rPr>
        <w:lastRenderedPageBreak/>
        <w:t>公司，打造区、乡、村三级物流体系，加快发展物流配送产业。积极构建集仓储流通、装卸搬运、机械设备租赁、配送、加工为一体的现代物流体系。大力发展智慧物流、冷链物流、多式联运等服务模式。加快推进市区配送中心和配送网点建设，启动建设智慧物流配送体系，促进物流业集约集群发展。鼓励传统物流、仓储企业、连锁商业企业使用集成</w:t>
      </w:r>
      <w:r>
        <w:rPr>
          <w:rFonts w:ascii="仿宋" w:eastAsia="仿宋" w:hAnsi="仿宋" w:cs="仿宋"/>
          <w:bCs/>
          <w:sz w:val="32"/>
          <w:szCs w:val="32"/>
          <w:shd w:val="clear" w:color="auto" w:fill="FFFFFF"/>
        </w:rPr>
        <w:t>RFID</w:t>
      </w:r>
      <w:r>
        <w:rPr>
          <w:rFonts w:ascii="仿宋" w:eastAsia="仿宋" w:hAnsi="仿宋" w:cs="仿宋" w:hint="eastAsia"/>
          <w:bCs/>
          <w:sz w:val="32"/>
          <w:szCs w:val="32"/>
        </w:rPr>
        <w:t>、</w:t>
      </w:r>
      <w:r>
        <w:rPr>
          <w:rFonts w:ascii="仿宋" w:eastAsia="仿宋" w:hAnsi="仿宋" w:cs="仿宋"/>
          <w:bCs/>
          <w:sz w:val="32"/>
          <w:szCs w:val="32"/>
          <w:shd w:val="clear" w:color="auto" w:fill="FFFFFF"/>
        </w:rPr>
        <w:t>GPS</w:t>
      </w:r>
      <w:r>
        <w:rPr>
          <w:rFonts w:ascii="仿宋" w:eastAsia="仿宋" w:hAnsi="仿宋" w:cs="仿宋" w:hint="eastAsia"/>
          <w:bCs/>
          <w:sz w:val="32"/>
          <w:szCs w:val="32"/>
        </w:rPr>
        <w:t>、</w:t>
      </w:r>
      <w:r>
        <w:rPr>
          <w:rFonts w:ascii="仿宋" w:eastAsia="仿宋" w:hAnsi="仿宋" w:cs="仿宋"/>
          <w:bCs/>
          <w:sz w:val="32"/>
          <w:szCs w:val="32"/>
        </w:rPr>
        <w:t>GIS等现代物流技术，实现更高层次的全程物流服务。支持物流企业在</w:t>
      </w:r>
      <w:r>
        <w:rPr>
          <w:rFonts w:ascii="仿宋" w:eastAsia="仿宋" w:hAnsi="仿宋" w:cs="仿宋" w:hint="eastAsia"/>
          <w:bCs/>
          <w:sz w:val="32"/>
          <w:szCs w:val="32"/>
        </w:rPr>
        <w:t>我区建设区域分拨中心。</w:t>
      </w:r>
    </w:p>
    <w:p w:rsidR="00E35214" w:rsidRDefault="006F7231">
      <w:pPr>
        <w:pStyle w:val="3"/>
        <w:snapToGrid w:val="0"/>
        <w:spacing w:line="580" w:lineRule="exact"/>
        <w:ind w:firstLineChars="200" w:firstLine="643"/>
        <w:textAlignment w:val="baseline"/>
        <w:rPr>
          <w:rFonts w:ascii="仿宋" w:eastAsia="仿宋" w:hAnsi="仿宋" w:cs="仿宋"/>
          <w:bCs w:val="0"/>
          <w:szCs w:val="22"/>
        </w:rPr>
      </w:pPr>
      <w:bookmarkStart w:id="111" w:name="_Toc15580"/>
      <w:bookmarkStart w:id="112" w:name="_Toc20766"/>
      <w:bookmarkStart w:id="113" w:name="_Toc584"/>
      <w:bookmarkStart w:id="114" w:name="_Toc27168"/>
      <w:bookmarkStart w:id="115" w:name="_Toc24477"/>
      <w:bookmarkStart w:id="116" w:name="_Toc19103"/>
      <w:r>
        <w:rPr>
          <w:rFonts w:ascii="仿宋" w:eastAsia="仿宋" w:hAnsi="仿宋" w:cs="仿宋" w:hint="eastAsia"/>
          <w:szCs w:val="22"/>
        </w:rPr>
        <w:t>第二节加快发展商贸服务业</w:t>
      </w:r>
      <w:bookmarkEnd w:id="111"/>
      <w:bookmarkEnd w:id="112"/>
      <w:bookmarkEnd w:id="113"/>
      <w:bookmarkEnd w:id="114"/>
      <w:bookmarkEnd w:id="115"/>
      <w:bookmarkEnd w:id="116"/>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通过旅游带动发展批发零售、餐饮住宿、</w:t>
      </w:r>
      <w:r w:rsidR="00FB7DFA">
        <w:rPr>
          <w:rFonts w:ascii="仿宋" w:eastAsia="仿宋" w:hAnsi="仿宋" w:cs="仿宋" w:hint="eastAsia"/>
          <w:sz w:val="32"/>
          <w:szCs w:val="32"/>
        </w:rPr>
        <w:t>文化</w:t>
      </w:r>
      <w:r>
        <w:rPr>
          <w:rFonts w:ascii="仿宋" w:eastAsia="仿宋" w:hAnsi="仿宋" w:cs="仿宋" w:hint="eastAsia"/>
          <w:sz w:val="32"/>
          <w:szCs w:val="32"/>
        </w:rPr>
        <w:t>娱乐等商贸服务。加强对金口河乌天麻、永胜腊肉、红豆杉、老鹰茶、玫瑰酒等特色农产品的商业包装与推广，将特色农产品转化为旅游商品。</w:t>
      </w:r>
      <w:r>
        <w:rPr>
          <w:rFonts w:ascii="仿宋" w:eastAsia="仿宋" w:hAnsi="仿宋" w:cs="仿宋"/>
          <w:sz w:val="32"/>
          <w:szCs w:val="32"/>
        </w:rPr>
        <w:t>支持瓦山村、胜利村、象鼻村、林丰村等做精特色药膳养生宴、彝族宴等，推动金口河特色餐饮研发创新</w:t>
      </w:r>
      <w:r>
        <w:rPr>
          <w:rFonts w:ascii="仿宋" w:eastAsia="仿宋" w:hAnsi="仿宋" w:cs="仿宋" w:hint="eastAsia"/>
          <w:sz w:val="32"/>
          <w:szCs w:val="32"/>
        </w:rPr>
        <w:t>。</w:t>
      </w:r>
      <w:r>
        <w:rPr>
          <w:rFonts w:ascii="仿宋" w:eastAsia="仿宋" w:hAnsi="仿宋" w:cs="仿宋"/>
          <w:sz w:val="32"/>
          <w:szCs w:val="32"/>
        </w:rPr>
        <w:t>打造大渡河滨河特色商业与餐饮街区、滨河特色商业和餐饮夜市街。积极发展特色民宿、主题酒店、自驾车营地等商贸服务新业态。</w:t>
      </w:r>
    </w:p>
    <w:p w:rsidR="00E35214" w:rsidRDefault="006F7231">
      <w:pPr>
        <w:pStyle w:val="3"/>
        <w:snapToGrid w:val="0"/>
        <w:spacing w:line="580" w:lineRule="exact"/>
        <w:ind w:firstLineChars="200" w:firstLine="643"/>
        <w:textAlignment w:val="baseline"/>
        <w:rPr>
          <w:rFonts w:ascii="仿宋" w:eastAsia="仿宋" w:hAnsi="仿宋" w:cs="仿宋"/>
          <w:bCs w:val="0"/>
          <w:szCs w:val="22"/>
        </w:rPr>
      </w:pPr>
      <w:bookmarkStart w:id="117" w:name="_Toc27969"/>
      <w:bookmarkStart w:id="118" w:name="_Toc5984"/>
      <w:bookmarkStart w:id="119" w:name="_Toc3410"/>
      <w:bookmarkStart w:id="120" w:name="_Toc28447"/>
      <w:bookmarkStart w:id="121" w:name="_Toc28611"/>
      <w:bookmarkStart w:id="122" w:name="_Toc19772"/>
      <w:r>
        <w:rPr>
          <w:rFonts w:ascii="仿宋" w:eastAsia="仿宋" w:hAnsi="仿宋" w:cs="仿宋" w:hint="eastAsia"/>
          <w:szCs w:val="22"/>
        </w:rPr>
        <w:t>第三节加快发展电子商务业</w:t>
      </w:r>
      <w:bookmarkEnd w:id="117"/>
      <w:bookmarkEnd w:id="118"/>
      <w:bookmarkEnd w:id="119"/>
      <w:bookmarkEnd w:id="120"/>
      <w:bookmarkEnd w:id="121"/>
      <w:bookmarkEnd w:id="122"/>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shd w:val="clear" w:color="auto" w:fill="FFFFFF"/>
        </w:rPr>
        <w:t>争取并建设国家级电子商务进农村综合示范项目，推进东西部扶贫协作共建电商中心等重点项目。</w:t>
      </w:r>
      <w:r>
        <w:rPr>
          <w:rFonts w:ascii="仿宋" w:eastAsia="仿宋" w:hAnsi="仿宋" w:cs="仿宋" w:hint="eastAsia"/>
          <w:sz w:val="32"/>
          <w:szCs w:val="32"/>
        </w:rPr>
        <w:t>推进直播电商数字经济基地建设。</w:t>
      </w:r>
      <w:r>
        <w:rPr>
          <w:rFonts w:ascii="仿宋" w:eastAsia="仿宋" w:hAnsi="仿宋" w:cs="仿宋" w:hint="eastAsia"/>
          <w:sz w:val="32"/>
          <w:szCs w:val="32"/>
          <w:shd w:val="clear" w:color="auto" w:fill="FFFFFF"/>
        </w:rPr>
        <w:t>加强农村地区电子商务普及培训，引导社会资金和电子商务平台企业加大在农产品电子商务中的投</w:t>
      </w:r>
      <w:r>
        <w:rPr>
          <w:rFonts w:ascii="仿宋" w:eastAsia="仿宋" w:hAnsi="仿宋" w:cs="仿宋" w:hint="eastAsia"/>
          <w:sz w:val="32"/>
          <w:szCs w:val="32"/>
          <w:shd w:val="clear" w:color="auto" w:fill="FFFFFF"/>
        </w:rPr>
        <w:lastRenderedPageBreak/>
        <w:t>入，支持农产品电子商务平台建设，</w:t>
      </w:r>
      <w:r>
        <w:rPr>
          <w:rFonts w:ascii="仿宋" w:eastAsia="仿宋" w:hAnsi="仿宋" w:cs="仿宋" w:hint="eastAsia"/>
          <w:sz w:val="32"/>
          <w:szCs w:val="32"/>
        </w:rPr>
        <w:t>推动金口河产、金口河造产品“走出去”。以区级电商服务中心为引导，发展短视频、直播带货等新型电商模式。积极培育本地网红，开展线上促销活动，带动全区农特产品销售。积极培育网上消费、夜间经济、健康消费等新业态。</w:t>
      </w:r>
    </w:p>
    <w:p w:rsidR="00E35214" w:rsidRDefault="006F7231">
      <w:pPr>
        <w:pStyle w:val="3"/>
        <w:snapToGrid w:val="0"/>
        <w:spacing w:line="580" w:lineRule="exact"/>
        <w:ind w:firstLineChars="200" w:firstLine="643"/>
        <w:textAlignment w:val="baseline"/>
        <w:rPr>
          <w:rFonts w:ascii="仿宋" w:eastAsia="仿宋" w:hAnsi="仿宋" w:cs="仿宋"/>
          <w:szCs w:val="22"/>
        </w:rPr>
      </w:pPr>
      <w:bookmarkStart w:id="123" w:name="_Toc20105"/>
      <w:bookmarkStart w:id="124" w:name="_Toc23767"/>
      <w:bookmarkStart w:id="125" w:name="_Toc12060"/>
      <w:bookmarkStart w:id="126" w:name="_Toc14848"/>
      <w:bookmarkStart w:id="127" w:name="_Toc28073"/>
      <w:bookmarkStart w:id="128" w:name="_Toc14888"/>
      <w:r>
        <w:rPr>
          <w:rFonts w:ascii="仿宋" w:eastAsia="仿宋" w:hAnsi="仿宋" w:cs="仿宋" w:hint="eastAsia"/>
          <w:szCs w:val="22"/>
        </w:rPr>
        <w:t>第四节加快发展科技信息服务业</w:t>
      </w:r>
      <w:bookmarkEnd w:id="123"/>
      <w:bookmarkEnd w:id="124"/>
      <w:bookmarkEnd w:id="125"/>
      <w:bookmarkEnd w:id="126"/>
      <w:bookmarkEnd w:id="127"/>
      <w:bookmarkEnd w:id="128"/>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抓好科技服务企业和软件信息服务业培育，围绕农业、旅游业等重点产业，发展专业科技服务和综合科技服务。加强产学研用对接，支持本地企业与高校、科研院所合作，共建企业技术中心、博士工作站等科研平台。建立以快速应用为导向的创新成果持续改进提高机制，加快核心技术成果的转化。加强产业联盟建设，探索完善共同参与、成果共享、风险共担机制，强化协同创新攻关。发挥开源社区对创新的支撑促进作用，强化开源技术成果在创新中的应用，构建有利于创新的开放式、协作化、国际化开源生态。</w:t>
      </w:r>
    </w:p>
    <w:p w:rsidR="00E35214" w:rsidRDefault="006F7231">
      <w:pPr>
        <w:pStyle w:val="3"/>
        <w:snapToGrid w:val="0"/>
        <w:spacing w:line="580" w:lineRule="exact"/>
        <w:textAlignment w:val="baseline"/>
        <w:rPr>
          <w:rFonts w:ascii="仿宋" w:eastAsia="仿宋" w:hAnsi="仿宋" w:cs="仿宋"/>
          <w:bCs w:val="0"/>
          <w:szCs w:val="22"/>
        </w:rPr>
      </w:pPr>
      <w:bookmarkStart w:id="129" w:name="_Toc4943"/>
      <w:bookmarkStart w:id="130" w:name="_Toc13545"/>
      <w:bookmarkStart w:id="131" w:name="_Toc12273"/>
      <w:bookmarkStart w:id="132" w:name="_Toc14956"/>
      <w:bookmarkStart w:id="133" w:name="_Toc26872"/>
      <w:bookmarkStart w:id="134" w:name="_Toc4082"/>
      <w:r>
        <w:rPr>
          <w:rFonts w:ascii="仿宋" w:eastAsia="仿宋" w:hAnsi="仿宋" w:cs="仿宋" w:hint="eastAsia"/>
          <w:szCs w:val="22"/>
        </w:rPr>
        <w:t>第五节加快发展健康养老服务业</w:t>
      </w:r>
      <w:bookmarkEnd w:id="129"/>
      <w:bookmarkEnd w:id="130"/>
      <w:bookmarkEnd w:id="131"/>
      <w:bookmarkEnd w:id="132"/>
      <w:bookmarkEnd w:id="133"/>
      <w:bookmarkEnd w:id="134"/>
    </w:p>
    <w:p w:rsidR="00E35214" w:rsidRDefault="006F7231">
      <w:pPr>
        <w:pStyle w:val="ad"/>
        <w:snapToGrid w:val="0"/>
        <w:spacing w:before="0" w:beforeAutospacing="0" w:after="0" w:afterAutospacing="0" w:line="580" w:lineRule="atLeast"/>
        <w:ind w:firstLine="420"/>
        <w:jc w:val="both"/>
        <w:textAlignment w:val="baseline"/>
        <w:rPr>
          <w:rFonts w:ascii="仿宋" w:eastAsia="仿宋" w:hAnsi="仿宋" w:cs="仿宋"/>
          <w:sz w:val="32"/>
          <w:szCs w:val="32"/>
        </w:rPr>
      </w:pPr>
      <w:r>
        <w:rPr>
          <w:rFonts w:ascii="仿宋" w:eastAsia="仿宋" w:hAnsi="仿宋" w:cs="仿宋" w:hint="eastAsia"/>
          <w:sz w:val="32"/>
          <w:szCs w:val="32"/>
        </w:rPr>
        <w:t>利用金口河优质自然资源，发展田园养生、中医药养生、食疗养生等产业。加强与成都中医药大学、华西医院、省人民医院等合作，打造以高山中药材为特色的医学研究和健康产业创新中心。支持社会资本建设医养结合的医疗卫生网点和多种形式的健康养老服务中心。推广智慧健康养老服务，</w:t>
      </w:r>
      <w:r>
        <w:rPr>
          <w:rFonts w:ascii="仿宋" w:eastAsia="仿宋" w:hAnsi="仿宋" w:cs="仿宋" w:hint="eastAsia"/>
          <w:sz w:val="32"/>
          <w:szCs w:val="32"/>
          <w:shd w:val="clear" w:color="auto" w:fill="FFFFFF"/>
        </w:rPr>
        <w:t>培育智慧健康养老服务新业态。支持智慧健康养老领域众</w:t>
      </w:r>
      <w:r>
        <w:rPr>
          <w:rFonts w:ascii="仿宋" w:eastAsia="仿宋" w:hAnsi="仿宋" w:cs="仿宋" w:hint="eastAsia"/>
          <w:sz w:val="32"/>
          <w:szCs w:val="32"/>
          <w:shd w:val="clear" w:color="auto" w:fill="FFFFFF"/>
        </w:rPr>
        <w:lastRenderedPageBreak/>
        <w:t>创、众包、众扶、众筹等创业支撑平台建设，推动建立一批智慧健康养老产业生态孵化器、加速器，为初创企业提供资金、技术、市场应用及推广等方面的扶持。</w:t>
      </w:r>
    </w:p>
    <w:p w:rsidR="00E35214" w:rsidRDefault="006F7231">
      <w:pPr>
        <w:pStyle w:val="3"/>
        <w:snapToGrid w:val="0"/>
        <w:spacing w:line="580" w:lineRule="exact"/>
        <w:ind w:firstLineChars="200" w:firstLine="643"/>
        <w:textAlignment w:val="baseline"/>
        <w:rPr>
          <w:rFonts w:ascii="仿宋" w:eastAsia="仿宋" w:hAnsi="仿宋" w:cs="仿宋"/>
          <w:bCs w:val="0"/>
          <w:szCs w:val="22"/>
        </w:rPr>
      </w:pPr>
      <w:bookmarkStart w:id="135" w:name="_Toc6418"/>
      <w:bookmarkStart w:id="136" w:name="_Toc1701"/>
      <w:bookmarkStart w:id="137" w:name="_Toc16757"/>
      <w:bookmarkStart w:id="138" w:name="_Toc880"/>
      <w:bookmarkStart w:id="139" w:name="_Toc15342"/>
      <w:bookmarkStart w:id="140" w:name="_Toc27364"/>
      <w:r>
        <w:rPr>
          <w:rFonts w:ascii="仿宋" w:eastAsia="仿宋" w:hAnsi="仿宋" w:cs="仿宋" w:hint="eastAsia"/>
          <w:szCs w:val="22"/>
        </w:rPr>
        <w:t>第六</w:t>
      </w:r>
      <w:bookmarkStart w:id="141" w:name="_Toc7651"/>
      <w:bookmarkStart w:id="142" w:name="_Toc16399"/>
      <w:bookmarkStart w:id="143" w:name="_Toc8989"/>
      <w:bookmarkStart w:id="144" w:name="_Toc2584"/>
      <w:bookmarkStart w:id="145" w:name="_Toc10663"/>
      <w:bookmarkStart w:id="146" w:name="_Toc15608"/>
      <w:bookmarkEnd w:id="135"/>
      <w:bookmarkEnd w:id="136"/>
      <w:bookmarkEnd w:id="137"/>
      <w:bookmarkEnd w:id="138"/>
      <w:bookmarkEnd w:id="139"/>
      <w:bookmarkEnd w:id="140"/>
      <w:r>
        <w:rPr>
          <w:rFonts w:ascii="仿宋" w:eastAsia="仿宋" w:hAnsi="仿宋" w:cs="仿宋" w:hint="eastAsia"/>
          <w:szCs w:val="22"/>
        </w:rPr>
        <w:t>节拓展服务业发展领域</w:t>
      </w:r>
      <w:bookmarkEnd w:id="141"/>
      <w:bookmarkEnd w:id="142"/>
      <w:bookmarkEnd w:id="143"/>
      <w:bookmarkEnd w:id="144"/>
      <w:bookmarkEnd w:id="145"/>
      <w:bookmarkEnd w:id="146"/>
    </w:p>
    <w:p w:rsidR="00E35214" w:rsidRDefault="006F7231">
      <w:pPr>
        <w:pStyle w:val="a5"/>
        <w:snapToGrid w:val="0"/>
        <w:spacing w:after="0" w:line="58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以培育网络化、智能化、协同化的服务新业态为抓手，鼓励传统服务领域通过产业链整合、供应链集成、价值链提升及生态链维护，不断衍生叠加出新的服务环节和服务内容，推动创意设计、网络视听、数字娱乐、互联网金融、电子商务、知识产权服务、人力资源服务、征信服务、检验检测、精准营销、远程医疗、智慧社区等新兴服务业大发展。适应消费结构升级，鼓励服务企业开展体验式消费服务、群体共享式消费服务、个性需求定制服务，推动形成多层次、多形式的服务市场</w:t>
      </w:r>
    </w:p>
    <w:p w:rsidR="00E35214" w:rsidRDefault="006F7231">
      <w:pPr>
        <w:snapToGrid w:val="0"/>
        <w:spacing w:before="144" w:after="39"/>
        <w:ind w:left="788" w:right="788"/>
        <w:jc w:val="center"/>
        <w:textAlignment w:val="baseline"/>
        <w:rPr>
          <w:rFonts w:ascii="楷体" w:eastAsia="楷体" w:hAnsi="楷体" w:cs="仿宋"/>
          <w:b/>
          <w:sz w:val="24"/>
        </w:rPr>
      </w:pPr>
      <w:r>
        <w:rPr>
          <w:rFonts w:ascii="楷体" w:eastAsia="楷体" w:hAnsi="楷体" w:cs="仿宋" w:hint="eastAsia"/>
          <w:b/>
          <w:sz w:val="24"/>
        </w:rPr>
        <w:t>专栏6服务业重点项目</w:t>
      </w:r>
    </w:p>
    <w:tbl>
      <w:tblPr>
        <w:tblStyle w:val="ae"/>
        <w:tblW w:w="8522" w:type="dxa"/>
        <w:tblLayout w:type="fixed"/>
        <w:tblLook w:val="04A0"/>
      </w:tblPr>
      <w:tblGrid>
        <w:gridCol w:w="8522"/>
      </w:tblGrid>
      <w:tr w:rsidR="00E35214">
        <w:trPr>
          <w:trHeight w:val="1355"/>
        </w:trPr>
        <w:tc>
          <w:tcPr>
            <w:tcW w:w="8522" w:type="dxa"/>
          </w:tcPr>
          <w:p w:rsidR="00E35214" w:rsidRDefault="006F7231">
            <w:pPr>
              <w:pStyle w:val="a5"/>
              <w:snapToGrid w:val="0"/>
              <w:spacing w:line="380" w:lineRule="atLeast"/>
              <w:ind w:firstLineChars="200" w:firstLine="482"/>
              <w:jc w:val="left"/>
              <w:textAlignment w:val="baseline"/>
              <w:rPr>
                <w:rFonts w:ascii="楷体" w:eastAsia="楷体" w:hAnsi="楷体" w:cs="楷体"/>
                <w:sz w:val="24"/>
                <w:shd w:val="clear" w:color="auto" w:fill="FFFFFF"/>
              </w:rPr>
            </w:pPr>
            <w:r>
              <w:rPr>
                <w:rStyle w:val="af1"/>
                <w:rFonts w:ascii="楷体" w:eastAsia="楷体" w:hAnsi="楷体" w:cs="楷体" w:hint="eastAsia"/>
                <w:b/>
                <w:bCs/>
                <w:i w:val="0"/>
                <w:iCs w:val="0"/>
                <w:sz w:val="24"/>
                <w:shd w:val="clear" w:color="auto" w:fill="FFFFFF"/>
              </w:rPr>
              <w:t>信息技术服务能力跃升工程。</w:t>
            </w:r>
            <w:r>
              <w:rPr>
                <w:rFonts w:ascii="楷体" w:eastAsia="楷体" w:hAnsi="楷体" w:cs="楷体" w:hint="eastAsia"/>
                <w:sz w:val="24"/>
                <w:shd w:val="clear" w:color="auto" w:fill="FFFFFF"/>
              </w:rPr>
              <w:t>支持提升信息技术咨询、信息系统方案设计、集成实施、远程运维等服务能力，鼓励相关企业建立信息技术服务管理体系。建设完善一批公共技术服务平台，提升测试验证、集成适配等服务保障能力。加快培育各类新型服务模式和业态，促进信息服务资源的共享和利用。支持重点行业企业发挥基础优势，加速提升信息技术的应用水平，发展基于云计算、大数据分析的新型服务业务。</w:t>
            </w:r>
          </w:p>
          <w:p w:rsidR="00E35214" w:rsidRDefault="006F7231">
            <w:pPr>
              <w:pStyle w:val="a5"/>
              <w:snapToGrid w:val="0"/>
              <w:spacing w:line="380" w:lineRule="atLeast"/>
              <w:ind w:firstLineChars="200" w:firstLine="482"/>
              <w:jc w:val="left"/>
              <w:textAlignment w:val="baseline"/>
              <w:rPr>
                <w:rFonts w:ascii="楷体" w:eastAsia="楷体" w:hAnsi="楷体" w:cs="楷体"/>
                <w:sz w:val="24"/>
                <w:shd w:val="clear" w:color="auto" w:fill="FFFFFF"/>
              </w:rPr>
            </w:pPr>
            <w:r>
              <w:rPr>
                <w:rFonts w:ascii="楷体" w:eastAsia="楷体" w:hAnsi="楷体" w:cs="楷体" w:hint="eastAsia"/>
                <w:b/>
                <w:bCs/>
                <w:sz w:val="24"/>
                <w:shd w:val="clear" w:color="auto" w:fill="FFFFFF"/>
              </w:rPr>
              <w:t>云计算能力提升工程。</w:t>
            </w:r>
            <w:r>
              <w:rPr>
                <w:rFonts w:ascii="楷体" w:eastAsia="楷体" w:hAnsi="楷体" w:cs="楷体" w:hint="eastAsia"/>
                <w:sz w:val="24"/>
                <w:shd w:val="clear" w:color="auto" w:fill="FFFFFF"/>
              </w:rPr>
              <w:t>支持发展云计算产品、服务和解决方案，推动各行业领域信息系统向云平台迁移，促进基于云计算的业务模式和商业模式创新。支持云计算与大数据、物联网、移动互联网等融合发展与创新应用，积极培育新产品新业态。发展安全可信云计算外包服务，推动政府业务外包。引导建立面向个人信息存储、在线开发工具、学习娱乐的云服务平台，培育信息消费新热点。</w:t>
            </w:r>
          </w:p>
        </w:tc>
      </w:tr>
    </w:tbl>
    <w:p w:rsidR="00E35214" w:rsidRDefault="00E35214">
      <w:pPr>
        <w:pStyle w:val="2"/>
        <w:snapToGrid w:val="0"/>
        <w:textAlignment w:val="baseline"/>
      </w:pPr>
      <w:bookmarkStart w:id="147" w:name="_Toc23599"/>
      <w:bookmarkStart w:id="148" w:name="_Toc1556"/>
      <w:bookmarkStart w:id="149" w:name="_Toc30684"/>
      <w:bookmarkStart w:id="150" w:name="_Toc6683"/>
      <w:bookmarkStart w:id="151" w:name="_Toc10490"/>
    </w:p>
    <w:p w:rsidR="00E35214" w:rsidRDefault="006F7231">
      <w:pPr>
        <w:pStyle w:val="2"/>
        <w:snapToGrid w:val="0"/>
        <w:textAlignment w:val="baseline"/>
      </w:pPr>
      <w:r>
        <w:rPr>
          <w:rFonts w:hint="eastAsia"/>
        </w:rPr>
        <w:t>第八章大力发展数字经济</w:t>
      </w:r>
      <w:bookmarkEnd w:id="147"/>
      <w:bookmarkEnd w:id="148"/>
      <w:bookmarkEnd w:id="149"/>
      <w:bookmarkEnd w:id="150"/>
      <w:bookmarkEnd w:id="151"/>
    </w:p>
    <w:p w:rsidR="00E35214" w:rsidRDefault="006F7231">
      <w:pPr>
        <w:pStyle w:val="ad"/>
        <w:shd w:val="clear" w:color="auto" w:fill="FFFFFF"/>
        <w:snapToGrid w:val="0"/>
        <w:spacing w:line="580" w:lineRule="atLeast"/>
        <w:ind w:firstLineChars="200" w:firstLine="640"/>
        <w:textAlignment w:val="baseline"/>
        <w:rPr>
          <w:rFonts w:ascii="仿宋" w:eastAsia="仿宋" w:hAnsi="仿宋" w:cs="仿宋"/>
          <w:sz w:val="32"/>
          <w:szCs w:val="32"/>
        </w:rPr>
      </w:pPr>
      <w:r>
        <w:rPr>
          <w:rFonts w:ascii="仿宋" w:eastAsia="仿宋" w:hAnsi="仿宋" w:cs="仿宋" w:hint="eastAsia"/>
          <w:kern w:val="2"/>
          <w:sz w:val="32"/>
          <w:szCs w:val="32"/>
          <w:shd w:val="clear" w:color="auto" w:fill="FFFFFF"/>
        </w:rPr>
        <w:t>把数字牵引作为推动高质量发展的强劲动能，聚焦激活新要素、推进新治理、营造新生态，加速促进经济社会各领域数字化转型，</w:t>
      </w:r>
      <w:r>
        <w:rPr>
          <w:rFonts w:ascii="仿宋" w:eastAsia="仿宋" w:hAnsi="仿宋" w:cs="仿宋" w:hint="eastAsia"/>
          <w:kern w:val="2"/>
          <w:sz w:val="32"/>
          <w:szCs w:val="32"/>
        </w:rPr>
        <w:t>建设智慧城市。</w:t>
      </w:r>
    </w:p>
    <w:p w:rsidR="00E35214" w:rsidRDefault="006F7231">
      <w:pPr>
        <w:pStyle w:val="3"/>
        <w:snapToGrid w:val="0"/>
        <w:spacing w:line="580" w:lineRule="exact"/>
        <w:textAlignment w:val="baseline"/>
        <w:rPr>
          <w:rFonts w:ascii="仿宋" w:eastAsia="仿宋" w:hAnsi="仿宋" w:cs="仿宋"/>
          <w:szCs w:val="22"/>
        </w:rPr>
      </w:pPr>
      <w:bookmarkStart w:id="152" w:name="_Toc112"/>
      <w:bookmarkStart w:id="153" w:name="_Toc28488"/>
      <w:r>
        <w:rPr>
          <w:rFonts w:ascii="仿宋" w:eastAsia="仿宋" w:hAnsi="仿宋" w:cs="仿宋" w:hint="eastAsia"/>
          <w:szCs w:val="22"/>
        </w:rPr>
        <w:t>第一节加快推进数字产业化</w:t>
      </w:r>
      <w:bookmarkEnd w:id="152"/>
      <w:bookmarkEnd w:id="153"/>
    </w:p>
    <w:p w:rsidR="00E35214" w:rsidRDefault="006F7231">
      <w:pPr>
        <w:pStyle w:val="a7"/>
        <w:snapToGrid w:val="0"/>
        <w:spacing w:line="580" w:lineRule="atLeast"/>
        <w:ind w:firstLine="641"/>
        <w:textAlignment w:val="baseline"/>
        <w:rPr>
          <w:rFonts w:ascii="仿宋" w:eastAsia="仿宋" w:hAnsi="仿宋" w:cs="仿宋"/>
          <w:sz w:val="32"/>
          <w:szCs w:val="32"/>
        </w:rPr>
      </w:pPr>
      <w:r>
        <w:rPr>
          <w:rFonts w:ascii="仿宋" w:eastAsia="仿宋" w:hAnsi="仿宋" w:cs="仿宋" w:hint="eastAsia"/>
          <w:sz w:val="32"/>
          <w:szCs w:val="32"/>
        </w:rPr>
        <w:t>以第五代移动通信、工业互联网、大数据中心等建设为重点，加快推进高速、安全、先进、泛在新型基础设施建设。发展信创产业，依托光电信息产业优势，大力发展集成电路、智能硬件、基础软件。发展3D打印产业，培育3D打印、高端模具制造、检测中心、应用研究等，打造新型制造模式，促进产业升级和技术转型。发展软件产业，立足制造业优势，支持研发设计类、过程控制类、业务管理类等工业软件。发展文旅大数据产业，运用推广云计算、5G、区块链、人工智能等技术，培育数字文创、电竞游戏、网红直播、数字内容生产等新业态新模式。</w:t>
      </w:r>
    </w:p>
    <w:p w:rsidR="00E35214" w:rsidRDefault="006F7231">
      <w:pPr>
        <w:pStyle w:val="3"/>
        <w:snapToGrid w:val="0"/>
        <w:spacing w:line="580" w:lineRule="exact"/>
        <w:textAlignment w:val="baseline"/>
        <w:rPr>
          <w:rFonts w:ascii="仿宋" w:eastAsia="仿宋" w:hAnsi="仿宋" w:cs="仿宋"/>
          <w:b w:val="0"/>
          <w:bCs w:val="0"/>
          <w:szCs w:val="22"/>
        </w:rPr>
      </w:pPr>
      <w:bookmarkStart w:id="154" w:name="_Toc10888"/>
      <w:bookmarkStart w:id="155" w:name="_Toc3677"/>
      <w:r>
        <w:rPr>
          <w:rFonts w:ascii="仿宋" w:eastAsia="仿宋" w:hAnsi="仿宋" w:cs="仿宋" w:hint="eastAsia"/>
          <w:szCs w:val="22"/>
        </w:rPr>
        <w:t>第二节大力促进产业数字化</w:t>
      </w:r>
      <w:bookmarkEnd w:id="154"/>
      <w:bookmarkEnd w:id="155"/>
    </w:p>
    <w:p w:rsidR="00E35214" w:rsidRDefault="006F7231">
      <w:pPr>
        <w:widowControl/>
        <w:shd w:val="clear" w:color="auto" w:fill="FFFFFF"/>
        <w:snapToGrid w:val="0"/>
        <w:spacing w:before="420" w:after="105" w:line="580" w:lineRule="atLeast"/>
        <w:ind w:firstLine="641"/>
        <w:textAlignment w:val="baseline"/>
        <w:rPr>
          <w:rStyle w:val="NormalCharacter"/>
          <w:rFonts w:ascii="仿宋" w:eastAsia="仿宋" w:hAnsi="仿宋" w:cs="仿宋"/>
          <w:sz w:val="32"/>
          <w:szCs w:val="32"/>
        </w:rPr>
      </w:pPr>
      <w:r>
        <w:rPr>
          <w:rStyle w:val="NormalCharacter"/>
          <w:rFonts w:ascii="仿宋" w:eastAsia="仿宋" w:hAnsi="仿宋" w:cs="仿宋" w:hint="eastAsia"/>
          <w:sz w:val="32"/>
          <w:szCs w:val="32"/>
          <w:shd w:val="clear" w:color="auto" w:fill="FFFFFF"/>
        </w:rPr>
        <w:t>实施数字技术融合应用计划，</w:t>
      </w:r>
      <w:r>
        <w:rPr>
          <w:rStyle w:val="NormalCharacter"/>
          <w:rFonts w:ascii="仿宋" w:eastAsia="仿宋" w:hAnsi="仿宋" w:cs="仿宋" w:hint="eastAsia"/>
          <w:sz w:val="32"/>
          <w:szCs w:val="32"/>
        </w:rPr>
        <w:t>带动工业、农业、服务业数字化、网络化、智能化转变，</w:t>
      </w:r>
      <w:r>
        <w:rPr>
          <w:rStyle w:val="NormalCharacter"/>
          <w:rFonts w:ascii="仿宋" w:eastAsia="仿宋" w:hAnsi="仿宋" w:cs="仿宋" w:hint="eastAsia"/>
          <w:sz w:val="32"/>
          <w:szCs w:val="32"/>
          <w:shd w:val="clear" w:color="auto" w:fill="FFFFFF"/>
        </w:rPr>
        <w:t>推进新一代信息技术与实体经济深度融合发展，带动制造业、农业、服务业提质增效升</w:t>
      </w:r>
      <w:r>
        <w:rPr>
          <w:rStyle w:val="NormalCharacter"/>
          <w:rFonts w:ascii="仿宋" w:eastAsia="仿宋" w:hAnsi="仿宋" w:cs="仿宋" w:hint="eastAsia"/>
          <w:sz w:val="32"/>
          <w:szCs w:val="32"/>
          <w:shd w:val="clear" w:color="auto" w:fill="FFFFFF"/>
        </w:rPr>
        <w:lastRenderedPageBreak/>
        <w:t>级。加快推进工业制造体系建设与工业互联网升级改造有机融合，培育全产业链追溯、规模化定制、智能检测等工业互联网应用新模式。积极推动现代服务业数字化转型，构建线上线下联动服务网络，大力培育智能零售、平台经济</w:t>
      </w:r>
      <w:r>
        <w:rPr>
          <w:rStyle w:val="NormalCharacter"/>
          <w:rFonts w:ascii="仿宋" w:eastAsia="仿宋" w:hAnsi="仿宋" w:cs="仿宋" w:hint="eastAsia"/>
          <w:sz w:val="32"/>
          <w:szCs w:val="32"/>
        </w:rPr>
        <w:t>、数字文旅、游戏竞技、在线教育、在线医疗、智慧物流和智慧社区</w:t>
      </w:r>
      <w:r>
        <w:rPr>
          <w:rStyle w:val="NormalCharacter"/>
          <w:rFonts w:ascii="仿宋" w:eastAsia="仿宋" w:hAnsi="仿宋" w:cs="仿宋" w:hint="eastAsia"/>
          <w:sz w:val="32"/>
          <w:szCs w:val="32"/>
          <w:shd w:val="clear" w:color="auto" w:fill="FFFFFF"/>
        </w:rPr>
        <w:t>等新模式新业态。加快物联网、地理信息系统、大数据等信息技术在农业全产业链的广泛应用，开展数字农业、智能农机应用试点示范。</w:t>
      </w:r>
    </w:p>
    <w:p w:rsidR="00E35214" w:rsidRDefault="006F7231">
      <w:pPr>
        <w:pStyle w:val="3"/>
        <w:snapToGrid w:val="0"/>
        <w:spacing w:line="580" w:lineRule="exact"/>
        <w:ind w:firstLineChars="200" w:firstLine="643"/>
        <w:textAlignment w:val="baseline"/>
        <w:rPr>
          <w:rFonts w:ascii="仿宋" w:eastAsia="仿宋" w:hAnsi="仿宋" w:cs="仿宋"/>
          <w:b w:val="0"/>
          <w:bCs w:val="0"/>
          <w:szCs w:val="22"/>
        </w:rPr>
      </w:pPr>
      <w:bookmarkStart w:id="156" w:name="_Toc1761"/>
      <w:bookmarkStart w:id="157" w:name="_Toc1756"/>
      <w:r>
        <w:rPr>
          <w:rFonts w:ascii="仿宋" w:eastAsia="仿宋" w:hAnsi="仿宋" w:cs="仿宋" w:hint="eastAsia"/>
          <w:szCs w:val="22"/>
        </w:rPr>
        <w:t>第三节推进智慧城市建设</w:t>
      </w:r>
      <w:bookmarkEnd w:id="156"/>
      <w:bookmarkEnd w:id="157"/>
    </w:p>
    <w:p w:rsidR="00E35214" w:rsidRDefault="006F7231">
      <w:pPr>
        <w:snapToGrid w:val="0"/>
        <w:spacing w:line="580" w:lineRule="atLeast"/>
        <w:ind w:firstLine="641"/>
        <w:textAlignment w:val="baseline"/>
        <w:rPr>
          <w:rFonts w:ascii="仿宋" w:eastAsia="仿宋" w:hAnsi="仿宋" w:cs="仿宋"/>
          <w:sz w:val="32"/>
          <w:szCs w:val="32"/>
        </w:rPr>
      </w:pPr>
      <w:r>
        <w:rPr>
          <w:rFonts w:ascii="仿宋" w:eastAsia="仿宋" w:hAnsi="仿宋" w:cs="仿宋" w:hint="eastAsia"/>
          <w:sz w:val="32"/>
          <w:szCs w:val="32"/>
        </w:rPr>
        <w:t>推动物联网、人工智能、云计算、区块链新一代信息技术在交通运输、环境保护、政府工作、公共安全、平安家居、公共服务、民生保障等方面的应用，实现政务服务“一网通办”、城市运行“一网统管”、风险防控“一体联动”、产业发展“赋能提质”。加强城市智控中心、智控管理系统等新型基础设施建设，建设并完善智慧医疗、智慧教育、智慧商业和智慧社区等功能体系。加强网络信息安全建设，保障数据安全，保护个人信息。</w:t>
      </w:r>
    </w:p>
    <w:p w:rsidR="00E35214" w:rsidRDefault="00E35214">
      <w:pPr>
        <w:pBdr>
          <w:top w:val="single" w:sz="4" w:space="2" w:color="FFFFFF"/>
          <w:left w:val="single" w:sz="4" w:space="31" w:color="FFFFFF"/>
          <w:bottom w:val="single" w:sz="4" w:space="31" w:color="FFFFFF"/>
          <w:right w:val="single" w:sz="4" w:space="13" w:color="FFFFFF"/>
        </w:pBdr>
        <w:snapToGrid w:val="0"/>
        <w:spacing w:line="600" w:lineRule="exact"/>
        <w:ind w:firstLineChars="200" w:firstLine="640"/>
        <w:textAlignment w:val="baseline"/>
        <w:rPr>
          <w:rStyle w:val="NormalCharacter"/>
          <w:rFonts w:ascii="仿宋" w:eastAsia="仿宋" w:hAnsi="仿宋" w:cs="仿宋"/>
          <w:sz w:val="32"/>
          <w:szCs w:val="32"/>
        </w:rPr>
      </w:pPr>
    </w:p>
    <w:p w:rsidR="00E35214" w:rsidRDefault="006F7231">
      <w:pPr>
        <w:pBdr>
          <w:top w:val="single" w:sz="4" w:space="2" w:color="FFFFFF"/>
          <w:left w:val="single" w:sz="4" w:space="31" w:color="FFFFFF"/>
          <w:bottom w:val="single" w:sz="4" w:space="31" w:color="FFFFFF"/>
          <w:right w:val="single" w:sz="4" w:space="13" w:color="FFFFFF"/>
        </w:pBdr>
        <w:snapToGrid w:val="0"/>
        <w:spacing w:line="600" w:lineRule="exact"/>
        <w:jc w:val="center"/>
        <w:textAlignment w:val="baseline"/>
        <w:rPr>
          <w:rFonts w:ascii="楷体" w:eastAsia="楷体" w:hAnsi="楷体" w:cs="仿宋"/>
          <w:b/>
          <w:sz w:val="28"/>
        </w:rPr>
      </w:pPr>
      <w:r>
        <w:rPr>
          <w:rFonts w:ascii="楷体" w:eastAsia="楷体" w:hAnsi="楷体" w:cs="仿宋" w:hint="eastAsia"/>
          <w:b/>
          <w:sz w:val="28"/>
        </w:rPr>
        <w:br w:type="page"/>
      </w:r>
    </w:p>
    <w:p w:rsidR="00E35214" w:rsidRDefault="006F7231">
      <w:pPr>
        <w:pBdr>
          <w:top w:val="single" w:sz="4" w:space="2" w:color="FFFFFF"/>
          <w:left w:val="single" w:sz="4" w:space="31" w:color="FFFFFF"/>
          <w:bottom w:val="single" w:sz="4" w:space="31" w:color="FFFFFF"/>
          <w:right w:val="single" w:sz="4" w:space="13" w:color="FFFFFF"/>
        </w:pBdr>
        <w:snapToGrid w:val="0"/>
        <w:spacing w:line="600" w:lineRule="exact"/>
        <w:jc w:val="center"/>
        <w:textAlignment w:val="baseline"/>
        <w:rPr>
          <w:rFonts w:ascii="楷体" w:eastAsia="楷体" w:hAnsi="楷体" w:cs="仿宋"/>
          <w:b/>
          <w:sz w:val="28"/>
        </w:rPr>
      </w:pPr>
      <w:r>
        <w:rPr>
          <w:rFonts w:ascii="楷体" w:eastAsia="楷体" w:hAnsi="楷体" w:cs="仿宋" w:hint="eastAsia"/>
          <w:b/>
          <w:sz w:val="28"/>
        </w:rPr>
        <w:lastRenderedPageBreak/>
        <w:t>专栏7信息化建设重点项目</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E35214">
        <w:tc>
          <w:tcPr>
            <w:tcW w:w="8522" w:type="dxa"/>
          </w:tcPr>
          <w:p w:rsidR="00E35214" w:rsidRDefault="006F7231">
            <w:pPr>
              <w:pStyle w:val="20"/>
              <w:snapToGrid w:val="0"/>
              <w:spacing w:line="400" w:lineRule="exact"/>
              <w:ind w:firstLine="458"/>
              <w:textAlignment w:val="baseline"/>
              <w:rPr>
                <w:rFonts w:ascii="楷体" w:eastAsia="楷体" w:hAnsi="楷体" w:cs="楷体"/>
                <w:spacing w:val="-6"/>
                <w:sz w:val="24"/>
              </w:rPr>
            </w:pPr>
            <w:r>
              <w:rPr>
                <w:rFonts w:ascii="楷体" w:eastAsia="楷体" w:hAnsi="楷体" w:cs="楷体" w:hint="eastAsia"/>
                <w:b/>
                <w:bCs/>
                <w:spacing w:val="-6"/>
                <w:sz w:val="24"/>
              </w:rPr>
              <w:t>铁塔公司5G综合建设。</w:t>
            </w:r>
            <w:r>
              <w:rPr>
                <w:rFonts w:ascii="楷体" w:eastAsia="楷体" w:hAnsi="楷体" w:cs="楷体" w:hint="eastAsia"/>
                <w:spacing w:val="-6"/>
                <w:sz w:val="24"/>
              </w:rPr>
              <w:t>在乐山市金口河区全域范围内建设基于5G相关的基站、微站、室分、传输线路、管道及智慧信息化等项目。</w:t>
            </w:r>
          </w:p>
          <w:p w:rsidR="00E35214" w:rsidRDefault="006F7231">
            <w:pPr>
              <w:pStyle w:val="20"/>
              <w:snapToGrid w:val="0"/>
              <w:spacing w:line="400" w:lineRule="exact"/>
              <w:ind w:firstLine="458"/>
              <w:textAlignment w:val="baseline"/>
              <w:rPr>
                <w:rFonts w:ascii="仿宋" w:eastAsia="仿宋" w:hAnsi="仿宋" w:cs="仿宋"/>
                <w:sz w:val="32"/>
                <w:szCs w:val="32"/>
              </w:rPr>
            </w:pPr>
            <w:r>
              <w:rPr>
                <w:rFonts w:ascii="楷体" w:eastAsia="楷体" w:hAnsi="楷体" w:cs="楷体" w:hint="eastAsia"/>
                <w:b/>
                <w:bCs/>
                <w:spacing w:val="-6"/>
                <w:sz w:val="24"/>
              </w:rPr>
              <w:t>“数字金口河”智慧城市</w:t>
            </w:r>
            <w:r>
              <w:rPr>
                <w:rFonts w:ascii="楷体" w:eastAsia="楷体" w:hAnsi="楷体" w:cs="楷体" w:hint="eastAsia"/>
                <w:spacing w:val="-6"/>
                <w:sz w:val="24"/>
              </w:rPr>
              <w:t>。建成新型智慧城市体系“1+1+N”，即“一套信息基础设施、一个城市大脑、N个智慧应用”。一是建设一套“云-网-端”基础信息设施，使城市具备“多维、高频、高精度”的采集和传输数据的能力；二是建设“城市大脑能力基底”，即一套物联网感知中枢、数据中台、AI智能中台、应用中台，全方位支持并优化城市科学决策、管理、服务，实现城市运行全景展示和决策指挥；三是建设惠民服务、城市治理、产业经济和生态宜居四大类智慧应用，重点建设民生、治理、生产和生态板块应用。</w:t>
            </w:r>
          </w:p>
        </w:tc>
      </w:tr>
    </w:tbl>
    <w:p w:rsidR="00E35214" w:rsidRDefault="00E35214">
      <w:pPr>
        <w:pStyle w:val="2"/>
        <w:snapToGrid w:val="0"/>
        <w:textAlignment w:val="baseline"/>
      </w:pPr>
      <w:bookmarkStart w:id="158" w:name="_Toc6672"/>
      <w:bookmarkStart w:id="159" w:name="_Toc2896"/>
      <w:bookmarkStart w:id="160" w:name="_Toc1430"/>
    </w:p>
    <w:p w:rsidR="00E35214" w:rsidRDefault="006F7231">
      <w:pPr>
        <w:pStyle w:val="2"/>
        <w:snapToGrid w:val="0"/>
        <w:textAlignment w:val="baseline"/>
      </w:pPr>
      <w:r>
        <w:rPr>
          <w:rFonts w:hint="eastAsia"/>
        </w:rPr>
        <w:t>第九章推进园区高质量发展</w:t>
      </w:r>
      <w:bookmarkEnd w:id="158"/>
      <w:bookmarkEnd w:id="159"/>
      <w:bookmarkEnd w:id="160"/>
    </w:p>
    <w:p w:rsidR="00E35214" w:rsidRDefault="006F7231">
      <w:pPr>
        <w:snapToGrid w:val="0"/>
        <w:spacing w:line="580" w:lineRule="atLeast"/>
        <w:ind w:firstLineChars="200" w:firstLine="640"/>
        <w:textAlignment w:val="baseline"/>
        <w:rPr>
          <w:rFonts w:ascii="仿宋" w:eastAsia="仿宋" w:hAnsi="仿宋" w:cs="仿宋"/>
          <w:bCs/>
          <w:sz w:val="32"/>
          <w:szCs w:val="32"/>
        </w:rPr>
      </w:pPr>
      <w:r>
        <w:rPr>
          <w:rFonts w:ascii="仿宋" w:eastAsia="仿宋" w:hAnsi="仿宋" w:cs="仿宋" w:hint="eastAsia"/>
          <w:bCs/>
          <w:sz w:val="32"/>
          <w:szCs w:val="32"/>
        </w:rPr>
        <w:t>以产业功能区为载体</w:t>
      </w:r>
      <w:r>
        <w:rPr>
          <w:rFonts w:ascii="仿宋" w:eastAsia="仿宋" w:hAnsi="仿宋" w:cs="仿宋"/>
          <w:bCs/>
          <w:sz w:val="32"/>
          <w:szCs w:val="32"/>
        </w:rPr>
        <w:t>,加快</w:t>
      </w:r>
      <w:r>
        <w:rPr>
          <w:rFonts w:ascii="仿宋" w:eastAsia="仿宋" w:hAnsi="仿宋" w:cs="仿宋" w:hint="eastAsia"/>
          <w:bCs/>
          <w:sz w:val="32"/>
          <w:szCs w:val="32"/>
        </w:rPr>
        <w:t>构建产业生态圈、创新生态链，</w:t>
      </w:r>
      <w:r>
        <w:rPr>
          <w:rFonts w:ascii="仿宋" w:eastAsia="仿宋" w:hAnsi="仿宋" w:cs="仿宋"/>
          <w:bCs/>
          <w:sz w:val="32"/>
          <w:szCs w:val="32"/>
        </w:rPr>
        <w:t>做到</w:t>
      </w:r>
      <w:r>
        <w:rPr>
          <w:rFonts w:ascii="仿宋" w:eastAsia="仿宋" w:hAnsi="仿宋" w:cs="仿宋" w:hint="eastAsia"/>
          <w:bCs/>
          <w:sz w:val="32"/>
          <w:szCs w:val="32"/>
        </w:rPr>
        <w:t>核心技术主导、生产要素高效协同、产业链完整可控、优势产业集群集聚，构建引领高质量发展的增长极和动力源。</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第一节优化园区空间布局</w:t>
      </w:r>
    </w:p>
    <w:p w:rsidR="00E35214" w:rsidRDefault="006F7231">
      <w:pPr>
        <w:snapToGrid w:val="0"/>
        <w:spacing w:line="580" w:lineRule="atLeas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强化产业链分工配套和区域协同，统筹三产互动发展，以金口河、犍为为核心，在人才、资金、土地、能源、物流和专业支持政策上精准发力，规划构建“</w:t>
      </w:r>
      <w:r>
        <w:rPr>
          <w:rFonts w:ascii="仿宋" w:eastAsia="仿宋" w:hAnsi="仿宋" w:cs="仿宋"/>
          <w:sz w:val="32"/>
          <w:szCs w:val="32"/>
        </w:rPr>
        <w:t>2（金口河、犍为）+4（工业园区+农业产业园区+物流配送园区+特色园区（“飞地”园区、</w:t>
      </w:r>
      <w:r>
        <w:rPr>
          <w:rFonts w:ascii="仿宋" w:eastAsia="仿宋" w:hAnsi="仿宋" w:cs="仿宋" w:hint="eastAsia"/>
          <w:sz w:val="32"/>
          <w:szCs w:val="32"/>
        </w:rPr>
        <w:t>文旅特色产业园区））</w:t>
      </w:r>
      <w:r>
        <w:rPr>
          <w:rFonts w:ascii="仿宋" w:eastAsia="仿宋" w:hAnsi="仿宋" w:cs="仿宋"/>
          <w:sz w:val="32"/>
          <w:szCs w:val="32"/>
        </w:rPr>
        <w:t>+N”的发展格局，形成主题鲜明、要素可及、资源共享、协作协同的产业生态圈</w:t>
      </w:r>
      <w:r>
        <w:rPr>
          <w:rFonts w:ascii="仿宋" w:eastAsia="仿宋" w:hAnsi="仿宋" w:cs="仿宋" w:hint="eastAsia"/>
          <w:sz w:val="32"/>
          <w:szCs w:val="32"/>
        </w:rPr>
        <w:t>。推</w:t>
      </w:r>
      <w:r>
        <w:rPr>
          <w:rFonts w:ascii="仿宋" w:eastAsia="仿宋" w:hAnsi="仿宋" w:cs="仿宋" w:hint="eastAsia"/>
          <w:sz w:val="32"/>
          <w:szCs w:val="32"/>
        </w:rPr>
        <w:lastRenderedPageBreak/>
        <w:t>进产城相融发展模式</w:t>
      </w:r>
      <w:r>
        <w:rPr>
          <w:rFonts w:ascii="仿宋" w:eastAsia="仿宋" w:hAnsi="仿宋" w:cs="仿宋"/>
          <w:sz w:val="32"/>
          <w:szCs w:val="32"/>
        </w:rPr>
        <w:t>,</w:t>
      </w:r>
      <w:r>
        <w:rPr>
          <w:rFonts w:ascii="仿宋" w:eastAsia="仿宋" w:hAnsi="仿宋" w:cs="仿宋" w:hint="eastAsia"/>
          <w:sz w:val="32"/>
          <w:szCs w:val="32"/>
        </w:rPr>
        <w:t>合理确定园区边界、建设时序、产业和配套服务用地比例。</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第二节健全园区发展模式</w:t>
      </w:r>
    </w:p>
    <w:p w:rsidR="00E35214" w:rsidRDefault="006F7231">
      <w:pPr>
        <w:pStyle w:val="a5"/>
        <w:snapToGrid w:val="0"/>
        <w:spacing w:after="0" w:line="58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推进传统工业园区向产业功能区转型升级，积极探索金—犍飞地园区建设模式。按照“资源集约、统筹兼顾、智慧灵动”原则，积极承接省内外发达地区产业转移，</w:t>
      </w:r>
      <w:r>
        <w:rPr>
          <w:rFonts w:ascii="仿宋" w:eastAsia="仿宋" w:hAnsi="仿宋" w:cs="仿宋" w:hint="eastAsia"/>
          <w:sz w:val="32"/>
          <w:szCs w:val="32"/>
        </w:rPr>
        <w:t>推进重点产业集中布局、集聚集群发展、资源集约利用，</w:t>
      </w:r>
      <w:r>
        <w:rPr>
          <w:rFonts w:ascii="仿宋" w:eastAsia="仿宋" w:hAnsi="仿宋" w:cs="仿宋" w:hint="eastAsia"/>
          <w:kern w:val="0"/>
          <w:sz w:val="32"/>
          <w:szCs w:val="32"/>
        </w:rPr>
        <w:t>加快形成园区纵向上下游产业链和横向配套服务链</w:t>
      </w:r>
      <w:r>
        <w:rPr>
          <w:rFonts w:ascii="仿宋" w:eastAsia="仿宋" w:hAnsi="仿宋" w:cs="仿宋" w:hint="eastAsia"/>
          <w:sz w:val="32"/>
          <w:szCs w:val="32"/>
        </w:rPr>
        <w:t>，</w:t>
      </w:r>
      <w:r>
        <w:rPr>
          <w:rFonts w:ascii="仿宋" w:eastAsia="仿宋" w:hAnsi="仿宋" w:cs="仿宋" w:hint="eastAsia"/>
          <w:kern w:val="0"/>
          <w:sz w:val="32"/>
          <w:szCs w:val="32"/>
        </w:rPr>
        <w:t>打造百亿级产业园区和产业集群。</w:t>
      </w:r>
      <w:r>
        <w:rPr>
          <w:rFonts w:ascii="仿宋" w:eastAsia="仿宋" w:hAnsi="仿宋" w:cs="仿宋" w:hint="eastAsia"/>
          <w:spacing w:val="-6"/>
          <w:sz w:val="32"/>
          <w:szCs w:val="32"/>
        </w:rPr>
        <w:t>鼓励引入市场化园区管理机构，以资源共享、要素畅通、配合紧密为目标，完善园区管理、协作、服务、运行等体制机制。</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第三节强化园区要素供给</w:t>
      </w:r>
    </w:p>
    <w:p w:rsidR="00E35214" w:rsidRDefault="006F7231">
      <w:pPr>
        <w:pStyle w:val="ad"/>
        <w:snapToGrid w:val="0"/>
        <w:spacing w:line="580" w:lineRule="atLeast"/>
        <w:ind w:firstLineChars="200" w:firstLine="616"/>
        <w:textAlignment w:val="baseline"/>
        <w:rPr>
          <w:rFonts w:ascii="仿宋" w:eastAsia="仿宋" w:hAnsi="仿宋" w:cs="仿宋"/>
          <w:sz w:val="32"/>
          <w:szCs w:val="32"/>
        </w:rPr>
      </w:pPr>
      <w:r>
        <w:rPr>
          <w:rFonts w:ascii="仿宋" w:eastAsia="仿宋" w:hAnsi="仿宋" w:cs="仿宋" w:hint="eastAsia"/>
          <w:spacing w:val="-6"/>
          <w:sz w:val="32"/>
          <w:szCs w:val="32"/>
          <w:shd w:val="clear" w:color="auto" w:fill="FFFFFF"/>
        </w:rPr>
        <w:t>引导科技、信息、人才、资金等创新要素向园区高度集聚。</w:t>
      </w:r>
      <w:r>
        <w:rPr>
          <w:rFonts w:ascii="仿宋" w:eastAsia="仿宋" w:hAnsi="仿宋" w:cs="仿宋" w:hint="eastAsia"/>
          <w:spacing w:val="-6"/>
          <w:sz w:val="32"/>
          <w:szCs w:val="32"/>
        </w:rPr>
        <w:t>坚持高起点、高标准、高水平，建设完善标准化厂房、园区路网、电网、给排水管网、通信、排污设施等基础设施，推动形成更加社会化、市场化、专业化的公共服务支撑体系，提高园区承载能力和发展水平。鼓励支持园区企业加大研发投入力度，加强技</w:t>
      </w:r>
      <w:r>
        <w:rPr>
          <w:rFonts w:ascii="仿宋" w:eastAsia="仿宋" w:hAnsi="仿宋" w:cs="仿宋" w:hint="eastAsia"/>
          <w:sz w:val="32"/>
          <w:szCs w:val="32"/>
        </w:rPr>
        <w:t>术改造，引进先进适用技术、工艺和设备，优化生产流程，提升产品竞争力。</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lastRenderedPageBreak/>
        <w:t>第四节优化园区保障机制</w:t>
      </w:r>
    </w:p>
    <w:p w:rsidR="00E35214" w:rsidRDefault="006F7231">
      <w:pPr>
        <w:pBdr>
          <w:top w:val="single" w:sz="4" w:space="2" w:color="FFFFFF"/>
          <w:left w:val="single" w:sz="4" w:space="31" w:color="FFFFFF"/>
          <w:bottom w:val="single" w:sz="4" w:space="31" w:color="FFFFFF"/>
          <w:right w:val="single" w:sz="4" w:space="13" w:color="FFFFFF"/>
        </w:pBdr>
        <w:snapToGrid w:val="0"/>
        <w:spacing w:line="600" w:lineRule="exact"/>
        <w:ind w:firstLineChars="200" w:firstLine="640"/>
        <w:textAlignment w:val="baseline"/>
        <w:rPr>
          <w:rFonts w:ascii="仿宋" w:eastAsia="仿宋" w:hAnsi="仿宋" w:cs="仿宋"/>
          <w:sz w:val="20"/>
        </w:rPr>
      </w:pPr>
      <w:r>
        <w:rPr>
          <w:rFonts w:ascii="仿宋" w:eastAsia="仿宋" w:hAnsi="仿宋" w:cs="仿宋" w:hint="eastAsia"/>
          <w:kern w:val="0"/>
          <w:sz w:val="32"/>
          <w:szCs w:val="32"/>
        </w:rPr>
        <w:t>加强对园区规划建设管理组织领导，优化完善园区管理、协作、服务、运行等体制机制，统筹做好园区建设、经济运行、项目推进、投资服务、招商引资等工作。完善园区人才选拔、任用、管理机制，建立健全责权匹配的财政管理体制。建设综合评价信息平台，对全区所有工业企业和规模以上服务业企业以及现代农业园区、工业集中区全面实施“亩产效益”评价。加强园区环境风险管控，加快生态环境监测监管网络和预警指挥体系建设，推动构建产业园区现代环境治理体系。</w:t>
      </w:r>
    </w:p>
    <w:p w:rsidR="00E35214" w:rsidRDefault="006F7231">
      <w:pPr>
        <w:snapToGrid w:val="0"/>
        <w:spacing w:before="144" w:after="39"/>
        <w:ind w:left="788" w:right="788"/>
        <w:jc w:val="center"/>
        <w:textAlignment w:val="baseline"/>
        <w:rPr>
          <w:rFonts w:ascii="楷体" w:eastAsia="楷体" w:hAnsi="楷体" w:cs="仿宋"/>
          <w:b/>
          <w:sz w:val="28"/>
        </w:rPr>
      </w:pPr>
      <w:r>
        <w:rPr>
          <w:rFonts w:ascii="楷体" w:eastAsia="楷体" w:hAnsi="楷体" w:cs="仿宋" w:hint="eastAsia"/>
          <w:b/>
          <w:sz w:val="28"/>
        </w:rPr>
        <w:t>专栏8产业园区建设重点项目</w:t>
      </w:r>
    </w:p>
    <w:tbl>
      <w:tblPr>
        <w:tblStyle w:val="ae"/>
        <w:tblW w:w="8522" w:type="dxa"/>
        <w:tblLayout w:type="fixed"/>
        <w:tblLook w:val="04A0"/>
      </w:tblPr>
      <w:tblGrid>
        <w:gridCol w:w="8522"/>
      </w:tblGrid>
      <w:tr w:rsidR="00E35214">
        <w:tc>
          <w:tcPr>
            <w:tcW w:w="8522" w:type="dxa"/>
          </w:tcPr>
          <w:p w:rsidR="00E35214" w:rsidRDefault="006F7231">
            <w:pPr>
              <w:pStyle w:val="a5"/>
              <w:snapToGrid w:val="0"/>
              <w:spacing w:after="0" w:line="400" w:lineRule="atLeas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rPr>
              <w:t>工业园区规划建设项目。</w:t>
            </w:r>
            <w:r>
              <w:rPr>
                <w:rFonts w:ascii="楷体" w:eastAsia="楷体" w:hAnsi="楷体" w:cs="楷体" w:hint="eastAsia"/>
                <w:kern w:val="0"/>
                <w:sz w:val="24"/>
              </w:rPr>
              <w:t>在完成工业园区总规基础上，加快工业园区控制性规划。完成硅材料园区建设，动工建设玄武岩加工园区及，启动红华绿色制造产业园建设。</w:t>
            </w:r>
          </w:p>
          <w:p w:rsidR="00E35214" w:rsidRDefault="006F7231">
            <w:pPr>
              <w:pStyle w:val="a5"/>
              <w:snapToGrid w:val="0"/>
              <w:spacing w:after="0" w:line="420" w:lineRule="exac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rPr>
              <w:t>工业园区。</w:t>
            </w:r>
            <w:r>
              <w:rPr>
                <w:rFonts w:ascii="楷体" w:eastAsia="楷体" w:hAnsi="楷体" w:cs="楷体" w:hint="eastAsia"/>
                <w:kern w:val="0"/>
                <w:sz w:val="24"/>
              </w:rPr>
              <w:t>建设生态食品加工园、玄武岩产业园区、硅基材料产业园区、。</w:t>
            </w:r>
          </w:p>
          <w:p w:rsidR="00E35214" w:rsidRDefault="006F7231">
            <w:pPr>
              <w:pStyle w:val="a5"/>
              <w:snapToGrid w:val="0"/>
              <w:spacing w:after="0" w:line="420" w:lineRule="exac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rPr>
              <w:t>农业产业园区。</w:t>
            </w:r>
            <w:r>
              <w:rPr>
                <w:rFonts w:ascii="楷体" w:eastAsia="楷体" w:hAnsi="楷体" w:cs="楷体" w:hint="eastAsia"/>
                <w:kern w:val="0"/>
                <w:sz w:val="24"/>
              </w:rPr>
              <w:t>优先完成重点产业园区5个：永胜和平川牛膝现代农业园区、永胜瓦山高山食用菌园区、高山蔬菜园区，金河镇联合“三黄”中药材园区、金河镇同心高山蔬菜园区。启动有基础有投资意向园区：养殖业1个，选址共安彝族乡，新建规划现代生猪养殖园区。特色产业园区8个：永胜（瓦山、民主）红豆杉种植加工与康养度假现代园区、永胜瓦山油用牡丹种植园区、永和胜利老鹰茶种植园区、和平迎春中山核桃干果园区、金河铜河金丝黄菊种植园区、和平桠溪高山蓝莓种植园区、金河镇板厂坪林下种植乌天麻园区、金河镇大杠高山茶叶种植园区。</w:t>
            </w:r>
          </w:p>
          <w:p w:rsidR="00E35214" w:rsidRDefault="006F7231">
            <w:pPr>
              <w:pStyle w:val="a5"/>
              <w:snapToGrid w:val="0"/>
              <w:spacing w:after="0" w:line="420" w:lineRule="exac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rPr>
              <w:t>服务业园区。</w:t>
            </w:r>
            <w:r>
              <w:rPr>
                <w:rFonts w:ascii="楷体" w:eastAsia="楷体" w:hAnsi="楷体" w:cs="楷体" w:hint="eastAsia"/>
                <w:kern w:val="0"/>
                <w:sz w:val="24"/>
              </w:rPr>
              <w:t>依托峨汉高速和成昆复线，选择和平彝族乡解放村，规划现代物流配送园区。</w:t>
            </w:r>
          </w:p>
          <w:p w:rsidR="00E35214" w:rsidRDefault="006F7231">
            <w:pPr>
              <w:pStyle w:val="a5"/>
              <w:snapToGrid w:val="0"/>
              <w:spacing w:after="0" w:line="420" w:lineRule="exact"/>
              <w:ind w:firstLineChars="200" w:firstLine="482"/>
              <w:textAlignment w:val="baseline"/>
              <w:rPr>
                <w:rFonts w:ascii="仿宋" w:eastAsia="仿宋" w:hAnsi="仿宋" w:cs="仿宋"/>
                <w:kern w:val="0"/>
                <w:sz w:val="20"/>
              </w:rPr>
            </w:pPr>
            <w:r>
              <w:rPr>
                <w:rFonts w:ascii="楷体" w:eastAsia="楷体" w:hAnsi="楷体" w:cs="楷体" w:hint="eastAsia"/>
                <w:b/>
                <w:bCs/>
                <w:kern w:val="0"/>
                <w:sz w:val="24"/>
              </w:rPr>
              <w:t>产业园区环保基础设施提升工程</w:t>
            </w:r>
            <w:r>
              <w:rPr>
                <w:rFonts w:ascii="楷体" w:eastAsia="楷体" w:hAnsi="楷体" w:cs="楷体" w:hint="eastAsia"/>
                <w:kern w:val="0"/>
                <w:sz w:val="24"/>
              </w:rPr>
              <w:t>。建设园区监控体系，包括：重点点位视频</w:t>
            </w:r>
            <w:r>
              <w:rPr>
                <w:rFonts w:ascii="楷体" w:eastAsia="楷体" w:hAnsi="楷体" w:cs="楷体" w:hint="eastAsia"/>
                <w:kern w:val="0"/>
                <w:sz w:val="24"/>
              </w:rPr>
              <w:lastRenderedPageBreak/>
              <w:t>监控、大气特征污染物在线监控。配套建设给水、排水、污水治理设施等工程。</w:t>
            </w:r>
          </w:p>
        </w:tc>
      </w:tr>
    </w:tbl>
    <w:p w:rsidR="00E35214" w:rsidRDefault="00E35214">
      <w:pPr>
        <w:pStyle w:val="a5"/>
        <w:snapToGrid w:val="0"/>
        <w:textAlignment w:val="baseline"/>
      </w:pPr>
    </w:p>
    <w:p w:rsidR="00E35214" w:rsidRDefault="006F7231">
      <w:pPr>
        <w:pStyle w:val="a5"/>
        <w:snapToGrid w:val="0"/>
        <w:textAlignment w:val="baseline"/>
      </w:pPr>
      <w:bookmarkStart w:id="161" w:name="_Toc16128"/>
      <w:bookmarkStart w:id="162" w:name="_Toc4985"/>
      <w:bookmarkStart w:id="163" w:name="_Toc3439"/>
      <w:bookmarkStart w:id="164" w:name="_Toc23122"/>
      <w:bookmarkStart w:id="165" w:name="_Toc1227"/>
      <w:bookmarkStart w:id="166" w:name="_Toc10194"/>
      <w:r>
        <w:rPr>
          <w:kern w:val="44"/>
        </w:rPr>
        <w:br w:type="page"/>
      </w:r>
    </w:p>
    <w:bookmarkEnd w:id="161"/>
    <w:bookmarkEnd w:id="162"/>
    <w:bookmarkEnd w:id="163"/>
    <w:bookmarkEnd w:id="164"/>
    <w:bookmarkEnd w:id="165"/>
    <w:bookmarkEnd w:id="166"/>
    <w:p w:rsidR="00E35214" w:rsidRDefault="006F7231">
      <w:pPr>
        <w:pStyle w:val="21"/>
        <w:widowControl/>
        <w:numPr>
          <w:ilvl w:val="0"/>
          <w:numId w:val="1"/>
        </w:numPr>
        <w:snapToGrid w:val="0"/>
        <w:spacing w:line="580" w:lineRule="exact"/>
        <w:ind w:leftChars="0" w:left="0"/>
        <w:jc w:val="center"/>
        <w:textAlignment w:val="baseline"/>
        <w:rPr>
          <w:rFonts w:eastAsia="黑体"/>
          <w:bCs/>
          <w:kern w:val="44"/>
          <w:sz w:val="30"/>
          <w:szCs w:val="30"/>
        </w:rPr>
      </w:pPr>
      <w:r>
        <w:rPr>
          <w:rFonts w:eastAsia="黑体" w:hint="eastAsia"/>
          <w:bCs/>
          <w:kern w:val="44"/>
          <w:sz w:val="30"/>
          <w:szCs w:val="30"/>
        </w:rPr>
        <w:lastRenderedPageBreak/>
        <w:t>固本强基，提升完善现代基础设施建设</w:t>
      </w:r>
    </w:p>
    <w:p w:rsidR="00E35214" w:rsidRDefault="006F7231">
      <w:pPr>
        <w:pStyle w:val="21"/>
        <w:widowControl/>
        <w:snapToGrid w:val="0"/>
        <w:spacing w:line="580" w:lineRule="exact"/>
        <w:ind w:leftChars="0" w:left="0" w:firstLineChars="200" w:firstLine="640"/>
        <w:jc w:val="left"/>
        <w:textAlignment w:val="baseline"/>
        <w:rPr>
          <w:rFonts w:ascii="仿宋" w:eastAsia="仿宋" w:hAnsi="仿宋" w:cs="仿宋"/>
          <w:sz w:val="32"/>
          <w:szCs w:val="32"/>
        </w:rPr>
      </w:pPr>
      <w:r>
        <w:rPr>
          <w:rFonts w:ascii="仿宋" w:eastAsia="仿宋" w:hAnsi="仿宋" w:cs="仿宋" w:hint="eastAsia"/>
          <w:sz w:val="32"/>
          <w:szCs w:val="32"/>
        </w:rPr>
        <w:t>深入实施基础设施补短板行动，统筹新型基础设施和传统基础设施建设，加快推进</w:t>
      </w:r>
      <w:r>
        <w:rPr>
          <w:rFonts w:ascii="仿宋" w:eastAsia="仿宋" w:hAnsi="仿宋" w:cs="仿宋" w:hint="eastAsia"/>
          <w:spacing w:val="-4"/>
          <w:sz w:val="32"/>
          <w:szCs w:val="32"/>
        </w:rPr>
        <w:t>交通、信息、水利、能源等基础设施建设，全面增强经济社会发展基础支撑能力。</w:t>
      </w:r>
    </w:p>
    <w:p w:rsidR="00E35214" w:rsidRDefault="00E35214">
      <w:pPr>
        <w:pStyle w:val="2"/>
        <w:snapToGrid w:val="0"/>
        <w:spacing w:line="580" w:lineRule="exact"/>
        <w:ind w:firstLineChars="200" w:firstLine="643"/>
        <w:textAlignment w:val="baseline"/>
        <w:rPr>
          <w:rFonts w:ascii="仿宋" w:hAnsi="仿宋" w:cs="仿宋"/>
          <w:kern w:val="0"/>
          <w:szCs w:val="22"/>
        </w:rPr>
      </w:pPr>
      <w:bookmarkStart w:id="167" w:name="_Toc9507"/>
      <w:bookmarkStart w:id="168" w:name="_Toc8310"/>
      <w:bookmarkStart w:id="169" w:name="_Toc15134"/>
      <w:bookmarkStart w:id="170" w:name="_Toc11374"/>
    </w:p>
    <w:p w:rsidR="00E35214" w:rsidRDefault="006F7231">
      <w:pPr>
        <w:pStyle w:val="2"/>
        <w:snapToGrid w:val="0"/>
        <w:spacing w:line="580" w:lineRule="exact"/>
        <w:ind w:firstLineChars="200" w:firstLine="602"/>
        <w:textAlignment w:val="baseline"/>
        <w:rPr>
          <w:rFonts w:ascii="仿宋" w:hAnsi="仿宋" w:cs="仿宋"/>
          <w:kern w:val="0"/>
          <w:szCs w:val="22"/>
        </w:rPr>
      </w:pPr>
      <w:r>
        <w:rPr>
          <w:rFonts w:ascii="仿宋" w:hAnsi="仿宋" w:cs="仿宋" w:hint="eastAsia"/>
          <w:kern w:val="0"/>
          <w:sz w:val="30"/>
          <w:szCs w:val="30"/>
        </w:rPr>
        <w:t>第十章全面实施交通强区建设</w:t>
      </w:r>
      <w:bookmarkEnd w:id="167"/>
      <w:bookmarkEnd w:id="168"/>
      <w:bookmarkEnd w:id="169"/>
      <w:bookmarkEnd w:id="170"/>
    </w:p>
    <w:p w:rsidR="00E35214" w:rsidRDefault="006F7231">
      <w:pPr>
        <w:pStyle w:val="21"/>
        <w:widowControl/>
        <w:snapToGrid w:val="0"/>
        <w:spacing w:line="580" w:lineRule="exact"/>
        <w:ind w:leftChars="0" w:left="0" w:firstLineChars="200" w:firstLine="640"/>
        <w:jc w:val="left"/>
        <w:textAlignment w:val="baseline"/>
        <w:rPr>
          <w:rFonts w:ascii="Times New Roman" w:eastAsia="仿宋_GB2312" w:hAnsi="Times New Roman"/>
          <w:sz w:val="32"/>
          <w:szCs w:val="36"/>
        </w:rPr>
      </w:pPr>
      <w:r>
        <w:rPr>
          <w:rFonts w:ascii="Times New Roman" w:eastAsia="仿宋_GB2312" w:hAnsi="Times New Roman" w:hint="eastAsia"/>
          <w:sz w:val="32"/>
          <w:szCs w:val="36"/>
        </w:rPr>
        <w:t>充分</w:t>
      </w:r>
      <w:r>
        <w:rPr>
          <w:rFonts w:ascii="Times New Roman" w:eastAsia="仿宋_GB2312" w:hAnsi="Times New Roman" w:hint="eastAsia"/>
          <w:sz w:val="32"/>
          <w:szCs w:val="32"/>
        </w:rPr>
        <w:t>发挥</w:t>
      </w:r>
      <w:r>
        <w:rPr>
          <w:rFonts w:ascii="Times New Roman" w:eastAsia="仿宋_GB2312" w:hAnsi="Times New Roman" w:hint="eastAsia"/>
          <w:sz w:val="32"/>
          <w:szCs w:val="36"/>
        </w:rPr>
        <w:t>交通扩内需、稳增长、促就业的重要作用，增强交通对县域区域经济发展的支撑和引领作用，实施交通先行战略，推进交通强区，奋力打造“川滇藏彝走廊</w:t>
      </w:r>
      <w:r>
        <w:rPr>
          <w:rFonts w:ascii="Times New Roman" w:eastAsia="仿宋_GB2312" w:hAnsi="Times New Roman" w:hint="cs"/>
          <w:sz w:val="32"/>
          <w:szCs w:val="36"/>
        </w:rPr>
        <w:t>”</w:t>
      </w:r>
      <w:r>
        <w:rPr>
          <w:rFonts w:ascii="Times New Roman" w:eastAsia="仿宋_GB2312" w:hAnsi="Times New Roman" w:hint="eastAsia"/>
          <w:sz w:val="32"/>
          <w:szCs w:val="36"/>
        </w:rPr>
        <w:t>的重要节点，构建全域开放的综合立体交通网络格局。</w:t>
      </w:r>
    </w:p>
    <w:p w:rsidR="00E35214" w:rsidRDefault="00E35214">
      <w:pPr>
        <w:snapToGrid w:val="0"/>
        <w:textAlignment w:val="baseline"/>
        <w:rPr>
          <w:rFonts w:ascii="仿宋" w:eastAsia="仿宋" w:hAnsi="仿宋" w:cs="仿宋"/>
          <w:sz w:val="20"/>
        </w:rPr>
      </w:pPr>
    </w:p>
    <w:p w:rsidR="00E35214" w:rsidRDefault="006F7231">
      <w:pPr>
        <w:pStyle w:val="3"/>
        <w:snapToGrid w:val="0"/>
        <w:spacing w:line="580" w:lineRule="exact"/>
        <w:ind w:firstLineChars="200" w:firstLine="643"/>
        <w:textAlignment w:val="baseline"/>
        <w:rPr>
          <w:rFonts w:ascii="仿宋" w:eastAsia="仿宋" w:hAnsi="仿宋" w:cs="仿宋"/>
          <w:szCs w:val="22"/>
        </w:rPr>
      </w:pPr>
      <w:bookmarkStart w:id="171" w:name="_Toc1364"/>
      <w:r>
        <w:rPr>
          <w:rFonts w:ascii="仿宋" w:eastAsia="仿宋" w:hAnsi="仿宋" w:cs="仿宋" w:hint="eastAsia"/>
          <w:szCs w:val="22"/>
        </w:rPr>
        <w:t>第一节</w:t>
      </w:r>
      <w:bookmarkEnd w:id="171"/>
      <w:r>
        <w:rPr>
          <w:rFonts w:ascii="仿宋" w:eastAsia="仿宋" w:hAnsi="仿宋" w:cs="仿宋" w:hint="eastAsia"/>
          <w:szCs w:val="22"/>
        </w:rPr>
        <w:t>畅通向外战略通道</w:t>
      </w:r>
    </w:p>
    <w:p w:rsidR="00E35214" w:rsidRDefault="006F7231">
      <w:pPr>
        <w:snapToGrid w:val="0"/>
        <w:spacing w:line="580" w:lineRule="atLeast"/>
        <w:ind w:firstLineChars="200" w:firstLine="640"/>
        <w:textAlignment w:val="baseline"/>
        <w:rPr>
          <w:rFonts w:ascii="仿宋" w:eastAsia="仿宋" w:hAnsi="仿宋" w:cs="仿宋"/>
          <w:b/>
          <w:bCs/>
          <w:sz w:val="32"/>
          <w:szCs w:val="32"/>
        </w:rPr>
      </w:pPr>
      <w:r>
        <w:rPr>
          <w:rFonts w:ascii="仿宋" w:eastAsia="仿宋" w:hAnsi="仿宋" w:cs="仿宋" w:hint="eastAsia"/>
          <w:kern w:val="0"/>
          <w:sz w:val="32"/>
          <w:szCs w:val="32"/>
        </w:rPr>
        <w:t>以提升外通内联水平为导向，</w:t>
      </w:r>
      <w:r>
        <w:rPr>
          <w:rFonts w:ascii="仿宋" w:eastAsia="仿宋" w:hAnsi="仿宋" w:cs="仿宋" w:hint="eastAsia"/>
          <w:sz w:val="32"/>
          <w:szCs w:val="32"/>
        </w:rPr>
        <w:t>以开放大通道建设为重点，</w:t>
      </w:r>
      <w:r>
        <w:rPr>
          <w:rFonts w:ascii="Times New Roman" w:eastAsia="仿宋_GB2312" w:hAnsi="Times New Roman" w:hint="eastAsia"/>
          <w:sz w:val="32"/>
          <w:szCs w:val="36"/>
        </w:rPr>
        <w:t>加快打通铁路、高速对外大通道，加速提质优化普通国省干线，积极谋划快速路建设，实现北向联系乐山、眉山、成都，西向联系雅安，南向联系西昌、攀枝花，东向联系宜宾、泸州的快速交通网，</w:t>
      </w:r>
      <w:r>
        <w:rPr>
          <w:rFonts w:ascii="仿宋" w:eastAsia="仿宋" w:hAnsi="仿宋" w:cs="仿宋" w:hint="eastAsia"/>
          <w:kern w:val="0"/>
          <w:sz w:val="32"/>
          <w:szCs w:val="32"/>
        </w:rPr>
        <w:t>全面融入乐山</w:t>
      </w:r>
      <w:r>
        <w:rPr>
          <w:rFonts w:ascii="仿宋" w:eastAsia="仿宋" w:hAnsi="仿宋" w:cs="仿宋"/>
          <w:kern w:val="0"/>
          <w:sz w:val="32"/>
          <w:szCs w:val="32"/>
        </w:rPr>
        <w:t>1小时、成都2小时经济圈和</w:t>
      </w:r>
      <w:r>
        <w:rPr>
          <w:rFonts w:ascii="Times New Roman" w:eastAsia="仿宋_GB2312" w:hAnsi="Times New Roman"/>
          <w:sz w:val="32"/>
          <w:szCs w:val="36"/>
        </w:rPr>
        <w:t>3</w:t>
      </w:r>
      <w:r>
        <w:rPr>
          <w:rFonts w:ascii="Times New Roman" w:eastAsia="仿宋_GB2312" w:hAnsi="Times New Roman" w:hint="eastAsia"/>
          <w:sz w:val="32"/>
          <w:szCs w:val="36"/>
        </w:rPr>
        <w:t>小时到达攀西的快速交通圈，形成</w:t>
      </w:r>
      <w:r>
        <w:rPr>
          <w:rFonts w:ascii="Times New Roman" w:eastAsia="仿宋_GB2312" w:hAnsi="Times New Roman" w:hint="cs"/>
          <w:sz w:val="32"/>
          <w:szCs w:val="36"/>
        </w:rPr>
        <w:t>“</w:t>
      </w:r>
      <w:r>
        <w:rPr>
          <w:rFonts w:ascii="Times New Roman" w:eastAsia="仿宋_GB2312" w:hAnsi="Times New Roman" w:hint="eastAsia"/>
          <w:sz w:val="32"/>
          <w:szCs w:val="36"/>
        </w:rPr>
        <w:t>互联互通、畅达高效、安全便捷、绿色智能</w:t>
      </w:r>
      <w:r>
        <w:rPr>
          <w:rFonts w:ascii="Times New Roman" w:eastAsia="仿宋_GB2312" w:hAnsi="Times New Roman" w:hint="cs"/>
          <w:sz w:val="32"/>
          <w:szCs w:val="36"/>
        </w:rPr>
        <w:t>”</w:t>
      </w:r>
      <w:r>
        <w:rPr>
          <w:rFonts w:ascii="Times New Roman" w:eastAsia="仿宋_GB2312" w:hAnsi="Times New Roman" w:hint="eastAsia"/>
          <w:sz w:val="32"/>
          <w:szCs w:val="36"/>
        </w:rPr>
        <w:t>的综合交通运输体系</w:t>
      </w:r>
      <w:r>
        <w:rPr>
          <w:rFonts w:ascii="仿宋" w:eastAsia="仿宋" w:hAnsi="仿宋" w:cs="仿宋" w:hint="eastAsia"/>
          <w:kern w:val="0"/>
          <w:sz w:val="32"/>
          <w:szCs w:val="32"/>
        </w:rPr>
        <w:t>。加快普通国道提质改造，实施金口河境内</w:t>
      </w:r>
      <w:r>
        <w:rPr>
          <w:rFonts w:ascii="仿宋" w:eastAsia="仿宋" w:hAnsi="仿宋" w:cs="仿宋"/>
          <w:kern w:val="0"/>
          <w:sz w:val="32"/>
          <w:szCs w:val="32"/>
        </w:rPr>
        <w:t>G245国道改建工程、水电站段复建</w:t>
      </w:r>
      <w:r>
        <w:rPr>
          <w:rFonts w:ascii="仿宋" w:eastAsia="仿宋" w:hAnsi="仿宋" w:cs="仿宋" w:hint="eastAsia"/>
          <w:sz w:val="32"/>
          <w:szCs w:val="36"/>
        </w:rPr>
        <w:t>工程，保障道路安全、通畅。</w:t>
      </w:r>
      <w:r>
        <w:rPr>
          <w:rFonts w:ascii="仿宋" w:eastAsia="仿宋" w:hAnsi="仿宋" w:cs="仿宋" w:hint="eastAsia"/>
          <w:sz w:val="32"/>
          <w:szCs w:val="32"/>
        </w:rPr>
        <w:t>加快金口河通用机</w:t>
      </w:r>
      <w:r>
        <w:rPr>
          <w:rFonts w:ascii="仿宋" w:eastAsia="仿宋" w:hAnsi="仿宋" w:cs="仿宋" w:hint="eastAsia"/>
          <w:sz w:val="32"/>
          <w:szCs w:val="32"/>
        </w:rPr>
        <w:lastRenderedPageBreak/>
        <w:t>场建设前期工作。</w:t>
      </w:r>
    </w:p>
    <w:p w:rsidR="00E35214" w:rsidRDefault="006F7231">
      <w:pPr>
        <w:pStyle w:val="3"/>
        <w:snapToGrid w:val="0"/>
        <w:spacing w:line="580" w:lineRule="exact"/>
        <w:ind w:firstLineChars="200" w:firstLine="643"/>
        <w:textAlignment w:val="baseline"/>
        <w:rPr>
          <w:rFonts w:ascii="仿宋" w:eastAsia="仿宋" w:hAnsi="仿宋" w:cs="仿宋"/>
          <w:szCs w:val="22"/>
        </w:rPr>
      </w:pPr>
      <w:bookmarkStart w:id="172" w:name="_Toc17624"/>
      <w:r>
        <w:rPr>
          <w:rFonts w:ascii="仿宋" w:eastAsia="仿宋" w:hAnsi="仿宋" w:cs="仿宋" w:hint="eastAsia"/>
          <w:szCs w:val="22"/>
        </w:rPr>
        <w:t>第二节完善内部交通网络</w:t>
      </w:r>
      <w:bookmarkEnd w:id="172"/>
    </w:p>
    <w:p w:rsidR="00E35214" w:rsidRDefault="006F7231">
      <w:pPr>
        <w:snapToGrid w:val="0"/>
        <w:spacing w:line="580" w:lineRule="atLeast"/>
        <w:ind w:firstLine="645"/>
        <w:textAlignment w:val="baseline"/>
        <w:rPr>
          <w:rFonts w:ascii="Times New Roman" w:eastAsia="仿宋_GB2312" w:hAnsi="Times New Roman"/>
          <w:sz w:val="32"/>
          <w:szCs w:val="36"/>
        </w:rPr>
      </w:pPr>
      <w:r>
        <w:rPr>
          <w:rFonts w:ascii="Times New Roman" w:eastAsia="仿宋_GB2312" w:hAnsi="Times New Roman" w:hint="eastAsia"/>
          <w:sz w:val="32"/>
          <w:szCs w:val="36"/>
        </w:rPr>
        <w:t>巩固交通脱贫成果，助推乡村振兴发展，深化</w:t>
      </w:r>
      <w:r>
        <w:rPr>
          <w:rFonts w:ascii="Times New Roman" w:eastAsia="仿宋_GB2312" w:hAnsi="Times New Roman" w:hint="cs"/>
          <w:sz w:val="32"/>
          <w:szCs w:val="36"/>
        </w:rPr>
        <w:t>“</w:t>
      </w:r>
      <w:r>
        <w:rPr>
          <w:rFonts w:ascii="Times New Roman" w:eastAsia="仿宋_GB2312" w:hAnsi="Times New Roman" w:hint="eastAsia"/>
          <w:sz w:val="32"/>
          <w:szCs w:val="36"/>
        </w:rPr>
        <w:t>四好农村路</w:t>
      </w:r>
      <w:r>
        <w:rPr>
          <w:rFonts w:ascii="Times New Roman" w:eastAsia="仿宋_GB2312" w:hAnsi="Times New Roman" w:hint="cs"/>
          <w:sz w:val="32"/>
          <w:szCs w:val="36"/>
        </w:rPr>
        <w:t>”</w:t>
      </w:r>
      <w:r>
        <w:rPr>
          <w:rFonts w:ascii="Times New Roman" w:eastAsia="仿宋_GB2312" w:hAnsi="Times New Roman" w:hint="eastAsia"/>
          <w:sz w:val="32"/>
          <w:szCs w:val="36"/>
        </w:rPr>
        <w:t>建设，</w:t>
      </w:r>
      <w:r>
        <w:rPr>
          <w:rFonts w:ascii="仿宋" w:eastAsia="仿宋" w:hAnsi="仿宋" w:cs="仿宋" w:hint="eastAsia"/>
          <w:sz w:val="32"/>
          <w:szCs w:val="32"/>
        </w:rPr>
        <w:t>优化农村公路路网等级结构，加快推动县道、乡道提档升级建设，实施峨汉路、和金路、金共路、金永路、永和路等县道改建项目。扩大农村公路覆盖范围，推动农村公路向进村入户延伸，推进断头路、联网路建设，实施村道建设</w:t>
      </w:r>
      <w:r>
        <w:rPr>
          <w:rFonts w:ascii="仿宋" w:eastAsia="仿宋" w:hAnsi="仿宋" w:cs="仿宋"/>
          <w:sz w:val="32"/>
          <w:szCs w:val="32"/>
        </w:rPr>
        <w:t>200公里，畅通农村公路“毛细血管”，</w:t>
      </w:r>
      <w:r>
        <w:rPr>
          <w:rFonts w:ascii="仿宋" w:eastAsia="仿宋" w:hAnsi="仿宋" w:cs="仿宋" w:hint="eastAsia"/>
          <w:sz w:val="32"/>
          <w:szCs w:val="36"/>
        </w:rPr>
        <w:t>构建高质量农村公路网</w:t>
      </w:r>
      <w:r>
        <w:rPr>
          <w:rFonts w:ascii="仿宋" w:eastAsia="仿宋" w:hAnsi="仿宋" w:cs="仿宋" w:hint="eastAsia"/>
          <w:sz w:val="32"/>
          <w:szCs w:val="32"/>
        </w:rPr>
        <w:t>。提高农村公路安全水平，扎实推进渡改桥任务，实施峨永大渡河大桥、双凤溪桥新建工程，实施危桥改造</w:t>
      </w:r>
      <w:r>
        <w:rPr>
          <w:rFonts w:ascii="仿宋" w:eastAsia="仿宋" w:hAnsi="仿宋" w:cs="仿宋"/>
          <w:sz w:val="32"/>
          <w:szCs w:val="32"/>
        </w:rPr>
        <w:t>6座，定期对桥梁进行安全性检测,提升农村路网安全保障能力。</w:t>
      </w:r>
      <w:r>
        <w:rPr>
          <w:rFonts w:ascii="Times New Roman" w:eastAsia="仿宋_GB2312" w:hAnsi="Times New Roman" w:hint="eastAsia"/>
          <w:sz w:val="32"/>
          <w:szCs w:val="36"/>
        </w:rPr>
        <w:t>完成大瓦山旅游环线建设，开工建设大瓦山景区环线公路（五池至白熊沟段）、（花茨至瓦山坪段），永胜乡农业园区道路及矿产资源路等。利用大渡河水运资源，开工建设“大峡谷”、“大瓦山”</w:t>
      </w:r>
      <w:r>
        <w:rPr>
          <w:rFonts w:ascii="Times New Roman" w:eastAsia="仿宋_GB2312" w:hAnsi="Times New Roman"/>
          <w:sz w:val="32"/>
          <w:szCs w:val="36"/>
        </w:rPr>
        <w:t>2</w:t>
      </w:r>
      <w:r>
        <w:rPr>
          <w:rFonts w:ascii="Times New Roman" w:eastAsia="仿宋_GB2312" w:hAnsi="Times New Roman"/>
          <w:sz w:val="32"/>
          <w:szCs w:val="36"/>
        </w:rPr>
        <w:t>个水运旅游港口及水上一体化救援平台。</w:t>
      </w:r>
    </w:p>
    <w:p w:rsidR="00E35214" w:rsidRDefault="00E35214">
      <w:pPr>
        <w:snapToGrid w:val="0"/>
        <w:spacing w:line="580" w:lineRule="atLeast"/>
        <w:ind w:firstLine="645"/>
        <w:textAlignment w:val="baseline"/>
        <w:rPr>
          <w:rFonts w:ascii="Times New Roman" w:eastAsia="仿宋_GB2312" w:hAnsi="Times New Roman"/>
          <w:sz w:val="32"/>
          <w:szCs w:val="36"/>
        </w:rPr>
      </w:pPr>
    </w:p>
    <w:p w:rsidR="00E35214" w:rsidRDefault="006F7231">
      <w:pPr>
        <w:pStyle w:val="3"/>
        <w:snapToGrid w:val="0"/>
        <w:spacing w:line="580" w:lineRule="exact"/>
        <w:ind w:firstLineChars="200" w:firstLine="643"/>
        <w:textAlignment w:val="baseline"/>
        <w:rPr>
          <w:rFonts w:ascii="仿宋" w:eastAsia="仿宋" w:hAnsi="仿宋" w:cs="仿宋"/>
          <w:szCs w:val="22"/>
        </w:rPr>
      </w:pPr>
      <w:r>
        <w:rPr>
          <w:rFonts w:ascii="仿宋" w:eastAsia="仿宋" w:hAnsi="仿宋" w:cs="仿宋" w:hint="eastAsia"/>
          <w:szCs w:val="22"/>
        </w:rPr>
        <w:t>第三节  提升道路客运服务能力</w:t>
      </w:r>
    </w:p>
    <w:p w:rsidR="00E35214" w:rsidRDefault="006F7231">
      <w:pPr>
        <w:snapToGrid w:val="0"/>
        <w:spacing w:line="580" w:lineRule="atLeast"/>
        <w:ind w:firstLineChars="200" w:firstLine="640"/>
        <w:textAlignment w:val="baseline"/>
        <w:rPr>
          <w:rFonts w:ascii="仿宋" w:eastAsia="仿宋" w:hAnsi="仿宋" w:cs="仿宋"/>
          <w:sz w:val="32"/>
          <w:szCs w:val="32"/>
        </w:rPr>
      </w:pPr>
      <w:r>
        <w:rPr>
          <w:rFonts w:ascii="Times New Roman" w:eastAsia="仿宋_GB2312" w:hAnsi="Times New Roman" w:hint="eastAsia"/>
          <w:sz w:val="32"/>
          <w:szCs w:val="36"/>
        </w:rPr>
        <w:t>强化道路客运与枢纽站、景区的衔接，优化客运线路及模式，提升道路运输装备水平，建设</w:t>
      </w:r>
      <w:r>
        <w:rPr>
          <w:rFonts w:ascii="Times New Roman" w:eastAsia="仿宋_GB2312" w:hAnsi="Times New Roman" w:hint="cs"/>
          <w:sz w:val="32"/>
          <w:szCs w:val="36"/>
        </w:rPr>
        <w:t>“</w:t>
      </w:r>
      <w:r>
        <w:rPr>
          <w:rFonts w:ascii="Times New Roman" w:eastAsia="仿宋_GB2312" w:hAnsi="Times New Roman" w:hint="eastAsia"/>
          <w:sz w:val="32"/>
          <w:szCs w:val="36"/>
        </w:rPr>
        <w:t>换乘便捷、安全舒适、经济高效</w:t>
      </w:r>
      <w:r>
        <w:rPr>
          <w:rFonts w:ascii="Times New Roman" w:eastAsia="仿宋_GB2312" w:hAnsi="Times New Roman" w:hint="cs"/>
          <w:sz w:val="32"/>
          <w:szCs w:val="36"/>
        </w:rPr>
        <w:t>”</w:t>
      </w:r>
      <w:r>
        <w:rPr>
          <w:rFonts w:ascii="Times New Roman" w:eastAsia="仿宋_GB2312" w:hAnsi="Times New Roman" w:hint="eastAsia"/>
          <w:sz w:val="32"/>
          <w:szCs w:val="36"/>
        </w:rPr>
        <w:t>的客运网络。增设金口河至乐山跨县班线高铁站，建成金口河枢纽站、金口河旅游客运站，探索开行高速互通</w:t>
      </w:r>
      <w:r>
        <w:rPr>
          <w:rFonts w:ascii="Times New Roman" w:eastAsia="仿宋_GB2312" w:hAnsi="Times New Roman" w:hint="eastAsia"/>
          <w:sz w:val="32"/>
          <w:szCs w:val="36"/>
        </w:rPr>
        <w:lastRenderedPageBreak/>
        <w:t>服务区、铁路配套客运站直达景区的旅游班线。按需增加城市公交、城乡公交线路，扩大公交服务范围，支持网约车、定制公交等多元化客运模式。以</w:t>
      </w:r>
      <w:r>
        <w:rPr>
          <w:rFonts w:ascii="Times New Roman" w:eastAsia="仿宋_GB2312" w:hAnsi="Times New Roman" w:hint="cs"/>
          <w:sz w:val="32"/>
          <w:szCs w:val="36"/>
        </w:rPr>
        <w:t>“</w:t>
      </w:r>
      <w:r>
        <w:rPr>
          <w:rFonts w:ascii="Times New Roman" w:eastAsia="仿宋_GB2312" w:hAnsi="Times New Roman" w:hint="eastAsia"/>
          <w:sz w:val="32"/>
          <w:szCs w:val="36"/>
        </w:rPr>
        <w:t>开得通、留得住、有效益</w:t>
      </w:r>
      <w:r>
        <w:rPr>
          <w:rFonts w:ascii="Times New Roman" w:eastAsia="仿宋_GB2312" w:hAnsi="Times New Roman" w:hint="cs"/>
          <w:sz w:val="32"/>
          <w:szCs w:val="36"/>
        </w:rPr>
        <w:t>”</w:t>
      </w:r>
      <w:r>
        <w:rPr>
          <w:rFonts w:ascii="Times New Roman" w:eastAsia="仿宋_GB2312" w:hAnsi="Times New Roman" w:hint="eastAsia"/>
          <w:sz w:val="32"/>
          <w:szCs w:val="36"/>
        </w:rPr>
        <w:t>为目标，加快推进农村</w:t>
      </w:r>
      <w:r>
        <w:rPr>
          <w:rFonts w:ascii="Times New Roman" w:eastAsia="仿宋_GB2312" w:hAnsi="Times New Roman" w:hint="cs"/>
          <w:sz w:val="32"/>
          <w:szCs w:val="36"/>
        </w:rPr>
        <w:t>“</w:t>
      </w:r>
      <w:r>
        <w:rPr>
          <w:rFonts w:ascii="Times New Roman" w:eastAsia="仿宋_GB2312" w:hAnsi="Times New Roman" w:hint="eastAsia"/>
          <w:sz w:val="32"/>
          <w:szCs w:val="36"/>
        </w:rPr>
        <w:t>金通工程</w:t>
      </w:r>
      <w:r>
        <w:rPr>
          <w:rFonts w:ascii="Times New Roman" w:eastAsia="仿宋_GB2312" w:hAnsi="Times New Roman" w:hint="cs"/>
          <w:sz w:val="32"/>
          <w:szCs w:val="36"/>
        </w:rPr>
        <w:t>”</w:t>
      </w:r>
      <w:r>
        <w:rPr>
          <w:rFonts w:ascii="Times New Roman" w:eastAsia="仿宋_GB2312" w:hAnsi="Times New Roman" w:hint="eastAsia"/>
          <w:sz w:val="32"/>
          <w:szCs w:val="36"/>
        </w:rPr>
        <w:t>实施，提升城乡道路客运均等化水平。支持跨市、跨县等中长途客运车辆升级，提高清洁能源车辆比重，结合山区地形，发展适用于农村客运的安全、经济型车辆。</w:t>
      </w:r>
      <w:r>
        <w:rPr>
          <w:rFonts w:ascii="仿宋" w:eastAsia="仿宋" w:hAnsi="仿宋" w:cs="仿宋" w:hint="eastAsia"/>
          <w:sz w:val="32"/>
          <w:szCs w:val="36"/>
        </w:rPr>
        <w:t>加强交通数据采集工作，加强交通信息共享，推进安监、交管、国土等行业部门信息资源共享交换。探索交通数据应用，建立交通统一指挥平台，及时了解及查询路况，实现路段信息可追溯。</w:t>
      </w:r>
      <w:r>
        <w:rPr>
          <w:rFonts w:ascii="仿宋" w:eastAsia="仿宋" w:hAnsi="仿宋" w:cs="仿宋" w:hint="eastAsia"/>
          <w:sz w:val="32"/>
          <w:szCs w:val="32"/>
        </w:rPr>
        <w:t>实施“智慧交通”工程，加快智能充电桩、智能调度、智能管理、智能服务等设施体系建设。</w:t>
      </w:r>
    </w:p>
    <w:p w:rsidR="00E35214" w:rsidRDefault="006F7231">
      <w:pPr>
        <w:snapToGrid w:val="0"/>
        <w:ind w:firstLineChars="200" w:firstLine="640"/>
        <w:textAlignment w:val="baseline"/>
        <w:rPr>
          <w:rFonts w:ascii="仿宋" w:eastAsia="仿宋" w:hAnsi="仿宋" w:cs="仿宋"/>
          <w:sz w:val="32"/>
          <w:szCs w:val="32"/>
        </w:rPr>
      </w:pPr>
      <w:r>
        <w:rPr>
          <w:rFonts w:ascii="仿宋" w:eastAsia="仿宋" w:hAnsi="仿宋" w:cs="仿宋" w:hint="eastAsia"/>
          <w:sz w:val="32"/>
          <w:szCs w:val="32"/>
        </w:rPr>
        <w:br w:type="page"/>
      </w:r>
    </w:p>
    <w:p w:rsidR="00E35214" w:rsidRDefault="00E35214">
      <w:pPr>
        <w:snapToGrid w:val="0"/>
        <w:ind w:firstLineChars="200" w:firstLine="640"/>
        <w:textAlignment w:val="baseline"/>
        <w:rPr>
          <w:rFonts w:ascii="仿宋" w:eastAsia="仿宋" w:hAnsi="仿宋" w:cs="仿宋"/>
          <w:sz w:val="32"/>
          <w:szCs w:val="32"/>
        </w:rPr>
      </w:pPr>
    </w:p>
    <w:p w:rsidR="00E35214" w:rsidRDefault="006F7231">
      <w:pPr>
        <w:snapToGrid w:val="0"/>
        <w:spacing w:before="144" w:after="39"/>
        <w:ind w:left="788" w:right="788"/>
        <w:jc w:val="center"/>
        <w:textAlignment w:val="baseline"/>
        <w:rPr>
          <w:rFonts w:ascii="楷体" w:eastAsia="楷体" w:hAnsi="楷体" w:cs="仿宋"/>
          <w:b/>
          <w:sz w:val="28"/>
        </w:rPr>
      </w:pPr>
      <w:r>
        <w:rPr>
          <w:rFonts w:ascii="楷体" w:eastAsia="楷体" w:hAnsi="楷体" w:cs="仿宋" w:hint="eastAsia"/>
          <w:b/>
          <w:sz w:val="28"/>
        </w:rPr>
        <w:t>专栏9  综合交通建设重点项目</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E35214">
        <w:trPr>
          <w:trHeight w:val="422"/>
        </w:trPr>
        <w:tc>
          <w:tcPr>
            <w:tcW w:w="8522" w:type="dxa"/>
          </w:tcPr>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机场。</w:t>
            </w:r>
            <w:r>
              <w:rPr>
                <w:rFonts w:ascii="楷体" w:eastAsia="楷体" w:hAnsi="楷体" w:cs="楷体" w:hint="eastAsia"/>
                <w:spacing w:val="-6"/>
                <w:sz w:val="24"/>
                <w:szCs w:val="24"/>
              </w:rPr>
              <w:t>加快金口河永胜通用机场建设前期工作，力争开通与成渝地区区域性中心城市低空航线。</w:t>
            </w:r>
          </w:p>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铁路。</w:t>
            </w:r>
            <w:r>
              <w:rPr>
                <w:rFonts w:ascii="楷体" w:eastAsia="楷体" w:hAnsi="楷体" w:cs="楷体" w:hint="eastAsia"/>
                <w:spacing w:val="-6"/>
                <w:sz w:val="24"/>
                <w:szCs w:val="24"/>
              </w:rPr>
              <w:t>完成成昆铁路复线建设。</w:t>
            </w:r>
          </w:p>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高速公路。</w:t>
            </w:r>
            <w:r>
              <w:rPr>
                <w:rFonts w:ascii="楷体" w:eastAsia="楷体" w:hAnsi="楷体" w:cs="楷体" w:hint="eastAsia"/>
                <w:spacing w:val="-6"/>
                <w:sz w:val="24"/>
                <w:szCs w:val="24"/>
              </w:rPr>
              <w:t>完成峨汉高速建设。</w:t>
            </w:r>
          </w:p>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普通国道。提升国道通行能力，</w:t>
            </w:r>
            <w:r>
              <w:rPr>
                <w:rFonts w:ascii="楷体" w:eastAsia="楷体" w:hAnsi="楷体" w:cs="楷体" w:hint="eastAsia"/>
                <w:spacing w:val="-6"/>
                <w:sz w:val="24"/>
                <w:szCs w:val="24"/>
              </w:rPr>
              <w:t>重点实施金口河G245过境段改建、水电站段复建工程，具体为（1）G245线过境段。金口河城镇过境段改造工程，建设里程4.9公里，标准为二级公路。（2）G245线永和镇、和平乡部分路段。枕头坝水电站、沙坪水电站开发复建路段，建设里程约3.84公里，标准为二级公路。（3）G245线宝水溪二号桥。损毁修复工程，建设里程约20延米，标准为二级公路。</w:t>
            </w:r>
          </w:p>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县道。</w:t>
            </w:r>
            <w:r>
              <w:rPr>
                <w:rFonts w:ascii="楷体" w:eastAsia="楷体" w:hAnsi="楷体" w:cs="楷体" w:hint="eastAsia"/>
                <w:spacing w:val="-6"/>
                <w:sz w:val="24"/>
                <w:szCs w:val="24"/>
              </w:rPr>
              <w:t>改建X042峨汉路峨边县界至大坪村段、X043和金路桃子坝至金河大桥段、X044金共路金口墩至金口河大桥段、X044金共路永久桥至林丰村段、X046金永路铜河四队至民主村段、X047永和路瓦山坪至五池村段段、X047永和路五池村至雅安市界段。</w:t>
            </w:r>
          </w:p>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乡道。</w:t>
            </w:r>
            <w:r>
              <w:rPr>
                <w:rFonts w:ascii="楷体" w:eastAsia="楷体" w:hAnsi="楷体" w:cs="楷体" w:hint="eastAsia"/>
                <w:spacing w:val="-6"/>
                <w:sz w:val="24"/>
                <w:szCs w:val="24"/>
              </w:rPr>
              <w:t>新建峨汉高速连接线；改建Y003和新路解放村至新村二队段、Y004永新路林河源至永和镇政府段、Y005吉金路小伙夹至斑鸠嘴段、Y006吉联路吉星场镇至联合村委会段、Y007永花路花茨村至胜利村段、Y008永胜至和平公路红豆杉基地至永胜乡</w:t>
            </w:r>
            <w:r w:rsidR="00950EE9">
              <w:rPr>
                <w:rFonts w:ascii="楷体" w:eastAsia="楷体" w:hAnsi="楷体" w:cs="楷体" w:hint="eastAsia"/>
                <w:spacing w:val="-6"/>
                <w:sz w:val="24"/>
                <w:szCs w:val="24"/>
              </w:rPr>
              <w:t>政府</w:t>
            </w:r>
            <w:r>
              <w:rPr>
                <w:rFonts w:ascii="楷体" w:eastAsia="楷体" w:hAnsi="楷体" w:cs="楷体" w:hint="eastAsia"/>
                <w:spacing w:val="-6"/>
                <w:sz w:val="24"/>
                <w:szCs w:val="24"/>
              </w:rPr>
              <w:t>段、Y009廖顺路廖坪村委会至顺河村委会段。</w:t>
            </w:r>
          </w:p>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景区旅游路。</w:t>
            </w:r>
            <w:r>
              <w:rPr>
                <w:rFonts w:ascii="楷体" w:eastAsia="楷体" w:hAnsi="楷体" w:cs="楷体" w:hint="eastAsia"/>
                <w:spacing w:val="-6"/>
                <w:sz w:val="24"/>
                <w:szCs w:val="24"/>
              </w:rPr>
              <w:t>改建大瓦山景区环线公路（五池至白熊沟段）、大瓦山景区环线公路（花茨至瓦山坪段）。</w:t>
            </w:r>
          </w:p>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村道及危桥改造。</w:t>
            </w:r>
            <w:r>
              <w:rPr>
                <w:rFonts w:ascii="楷体" w:eastAsia="楷体" w:hAnsi="楷体" w:cs="楷体" w:hint="eastAsia"/>
                <w:spacing w:val="-6"/>
                <w:sz w:val="24"/>
                <w:szCs w:val="24"/>
              </w:rPr>
              <w:t>新改建提升村道100公里；拆除重建天星桥、大杠村一号桥、大杠村二号桥；维修加固新村桥、象鼻桥、林丰桥。</w:t>
            </w:r>
          </w:p>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水运。</w:t>
            </w:r>
            <w:r>
              <w:rPr>
                <w:rFonts w:ascii="楷体" w:eastAsia="楷体" w:hAnsi="楷体" w:cs="楷体" w:hint="eastAsia"/>
                <w:spacing w:val="-6"/>
                <w:sz w:val="24"/>
                <w:szCs w:val="24"/>
              </w:rPr>
              <w:t>新建大峡谷旅游码头，水上安全救助一体化建设。</w:t>
            </w:r>
          </w:p>
          <w:p w:rsidR="00E35214" w:rsidRDefault="006F7231">
            <w:pPr>
              <w:pStyle w:val="NewNewNewNewNewNewNewNewNewNewNewNewNewNewNewNew"/>
              <w:snapToGrid w:val="0"/>
              <w:spacing w:line="420" w:lineRule="exac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桥梁。</w:t>
            </w:r>
            <w:r>
              <w:rPr>
                <w:rFonts w:ascii="楷体" w:eastAsia="楷体" w:hAnsi="楷体" w:cs="楷体" w:hint="eastAsia"/>
                <w:spacing w:val="-6"/>
                <w:sz w:val="24"/>
                <w:szCs w:val="24"/>
              </w:rPr>
              <w:t>新建峨永公路大渡河大桥、双凤溪桥。</w:t>
            </w:r>
          </w:p>
          <w:p w:rsidR="00E35214" w:rsidRDefault="006F7231" w:rsidP="00950EE9">
            <w:pPr>
              <w:pStyle w:val="ac"/>
              <w:snapToGrid w:val="0"/>
              <w:spacing w:line="420" w:lineRule="exact"/>
              <w:ind w:leftChars="0" w:left="458" w:hanging="458"/>
              <w:jc w:val="left"/>
              <w:textAlignment w:val="baseline"/>
              <w:rPr>
                <w:rFonts w:ascii="仿宋" w:eastAsia="仿宋" w:hAnsi="仿宋" w:cs="仿宋"/>
              </w:rPr>
            </w:pPr>
            <w:r>
              <w:rPr>
                <w:rFonts w:ascii="楷体" w:eastAsia="楷体" w:hAnsi="楷体" w:cs="楷体" w:hint="eastAsia"/>
                <w:b/>
                <w:bCs/>
                <w:spacing w:val="-6"/>
                <w:sz w:val="24"/>
              </w:rPr>
              <w:t>运输站场及服务设施。</w:t>
            </w:r>
            <w:r>
              <w:rPr>
                <w:rFonts w:ascii="楷体" w:eastAsia="楷体" w:hAnsi="楷体" w:cs="楷体" w:hint="eastAsia"/>
                <w:spacing w:val="-6"/>
                <w:sz w:val="24"/>
              </w:rPr>
              <w:t>新建金口河枢纽站、金口河旅游客运站和顺河服务区。</w:t>
            </w:r>
          </w:p>
        </w:tc>
      </w:tr>
    </w:tbl>
    <w:p w:rsidR="00E35214" w:rsidRDefault="00E35214">
      <w:pPr>
        <w:widowControl/>
        <w:snapToGrid w:val="0"/>
        <w:ind w:firstLine="640"/>
        <w:jc w:val="left"/>
        <w:textAlignment w:val="baseline"/>
        <w:rPr>
          <w:rFonts w:ascii="仿宋" w:eastAsia="仿宋" w:hAnsi="仿宋" w:cs="仿宋"/>
          <w:sz w:val="32"/>
          <w:szCs w:val="32"/>
        </w:rPr>
      </w:pPr>
    </w:p>
    <w:p w:rsidR="00E35214" w:rsidRDefault="00E35214">
      <w:pPr>
        <w:pStyle w:val="NewNewNewNewNewNewNewNewNewNewNewNewNewNewNewNew"/>
        <w:snapToGrid w:val="0"/>
        <w:spacing w:line="420" w:lineRule="exact"/>
        <w:ind w:firstLineChars="0" w:firstLine="0"/>
        <w:jc w:val="center"/>
        <w:textAlignment w:val="baseline"/>
        <w:rPr>
          <w:rFonts w:ascii="仿宋" w:eastAsia="仿宋" w:hAnsi="仿宋" w:cs="仿宋"/>
          <w:b/>
          <w:bCs/>
          <w:spacing w:val="-6"/>
          <w:sz w:val="28"/>
          <w:szCs w:val="28"/>
        </w:rPr>
      </w:pPr>
    </w:p>
    <w:p w:rsidR="00E35214" w:rsidRDefault="00E35214">
      <w:pPr>
        <w:pStyle w:val="2"/>
        <w:snapToGrid w:val="0"/>
        <w:textAlignment w:val="baseline"/>
      </w:pPr>
      <w:bookmarkStart w:id="173" w:name="_Toc4893"/>
      <w:bookmarkStart w:id="174" w:name="_Toc30005"/>
      <w:bookmarkStart w:id="175" w:name="_Toc667"/>
      <w:bookmarkStart w:id="176" w:name="_Toc2290"/>
      <w:bookmarkStart w:id="177" w:name="_Toc17174"/>
      <w:bookmarkStart w:id="178" w:name="_Toc24426"/>
      <w:bookmarkStart w:id="179" w:name="_Toc31793"/>
      <w:bookmarkStart w:id="180" w:name="_Toc16740"/>
      <w:bookmarkStart w:id="181" w:name="_Toc14850"/>
      <w:bookmarkStart w:id="182" w:name="_Toc2671"/>
      <w:bookmarkStart w:id="183" w:name="_Toc29278"/>
    </w:p>
    <w:p w:rsidR="00E35214" w:rsidRDefault="006F7231">
      <w:pPr>
        <w:pStyle w:val="2"/>
        <w:snapToGrid w:val="0"/>
        <w:textAlignment w:val="baseline"/>
      </w:pPr>
      <w:r>
        <w:rPr>
          <w:rFonts w:hint="eastAsia"/>
        </w:rPr>
        <w:t>第十一章加强能源基础设施建设</w:t>
      </w:r>
      <w:bookmarkEnd w:id="173"/>
      <w:bookmarkEnd w:id="174"/>
      <w:bookmarkEnd w:id="175"/>
      <w:bookmarkEnd w:id="176"/>
      <w:bookmarkEnd w:id="177"/>
      <w:bookmarkEnd w:id="178"/>
      <w:bookmarkEnd w:id="179"/>
      <w:bookmarkEnd w:id="180"/>
      <w:bookmarkEnd w:id="181"/>
      <w:bookmarkEnd w:id="182"/>
      <w:bookmarkEnd w:id="183"/>
    </w:p>
    <w:p w:rsidR="00E35214" w:rsidRDefault="006F7231">
      <w:pPr>
        <w:snapToGrid w:val="0"/>
        <w:spacing w:line="580" w:lineRule="exact"/>
        <w:ind w:firstLineChars="200" w:firstLine="640"/>
        <w:textAlignment w:val="baseline"/>
        <w:rPr>
          <w:rFonts w:ascii="仿宋" w:eastAsia="仿宋" w:hAnsi="仿宋" w:cs="仿宋"/>
          <w:b/>
          <w:bCs/>
          <w:sz w:val="32"/>
          <w:szCs w:val="32"/>
        </w:rPr>
      </w:pPr>
      <w:r>
        <w:rPr>
          <w:rFonts w:ascii="仿宋" w:eastAsia="仿宋" w:hAnsi="仿宋" w:cs="仿宋" w:hint="eastAsia"/>
          <w:sz w:val="32"/>
          <w:szCs w:val="32"/>
        </w:rPr>
        <w:t>以高效、安全、智慧为方向，改造提升城乡能源基础设施，布局完善新能源设施，建设智慧能源系统，增强能源供给保障能力。</w:t>
      </w:r>
    </w:p>
    <w:p w:rsidR="00E35214" w:rsidRDefault="006F7231">
      <w:pPr>
        <w:pStyle w:val="3"/>
        <w:snapToGrid w:val="0"/>
        <w:spacing w:line="580" w:lineRule="exact"/>
        <w:ind w:firstLineChars="200" w:firstLine="643"/>
        <w:textAlignment w:val="baseline"/>
        <w:rPr>
          <w:rFonts w:ascii="仿宋" w:eastAsia="仿宋" w:hAnsi="仿宋" w:cs="仿宋"/>
          <w:b w:val="0"/>
          <w:bCs w:val="0"/>
          <w:szCs w:val="22"/>
        </w:rPr>
      </w:pPr>
      <w:bookmarkStart w:id="184" w:name="_Toc27760"/>
      <w:bookmarkStart w:id="185" w:name="_Toc6096"/>
      <w:bookmarkStart w:id="186" w:name="_Toc6076"/>
      <w:bookmarkStart w:id="187" w:name="_Toc6196"/>
      <w:bookmarkStart w:id="188" w:name="_Toc18286"/>
      <w:bookmarkStart w:id="189" w:name="_Toc30543"/>
      <w:r>
        <w:rPr>
          <w:rFonts w:ascii="仿宋" w:eastAsia="仿宋" w:hAnsi="仿宋" w:cs="仿宋" w:hint="eastAsia"/>
          <w:szCs w:val="22"/>
        </w:rPr>
        <w:t>第一节优化燃气管网站点布局</w:t>
      </w:r>
      <w:bookmarkEnd w:id="184"/>
      <w:bookmarkEnd w:id="185"/>
      <w:bookmarkEnd w:id="186"/>
      <w:bookmarkEnd w:id="187"/>
      <w:bookmarkEnd w:id="188"/>
      <w:bookmarkEnd w:id="189"/>
    </w:p>
    <w:p w:rsidR="00E35214" w:rsidRDefault="006F7231">
      <w:pPr>
        <w:pStyle w:val="ad"/>
        <w:shd w:val="clear" w:color="auto" w:fill="FFFFFF"/>
        <w:snapToGrid w:val="0"/>
        <w:spacing w:before="420" w:beforeAutospacing="0" w:after="105" w:afterAutospacing="0" w:line="360" w:lineRule="auto"/>
        <w:ind w:firstLine="420"/>
        <w:jc w:val="both"/>
        <w:textAlignment w:val="baseline"/>
        <w:rPr>
          <w:rFonts w:ascii="仿宋" w:eastAsia="仿宋" w:hAnsi="仿宋" w:cs="仿宋"/>
          <w:sz w:val="32"/>
          <w:szCs w:val="32"/>
        </w:rPr>
      </w:pPr>
      <w:r>
        <w:rPr>
          <w:rFonts w:ascii="仿宋" w:eastAsia="仿宋" w:hAnsi="仿宋" w:cs="仿宋" w:hint="eastAsia"/>
          <w:sz w:val="32"/>
          <w:szCs w:val="32"/>
        </w:rPr>
        <w:t>加强中石油西南油气燃气分公司对接支持，力争完成峨边-金口河天然气管道建设。</w:t>
      </w:r>
      <w:r w:rsidR="00ED473C">
        <w:rPr>
          <w:rFonts w:ascii="仿宋" w:eastAsia="仿宋" w:hAnsi="仿宋" w:cs="仿宋" w:hint="eastAsia"/>
          <w:sz w:val="32"/>
          <w:szCs w:val="32"/>
        </w:rPr>
        <w:t>加快</w:t>
      </w:r>
      <w:r>
        <w:rPr>
          <w:rFonts w:ascii="仿宋" w:eastAsia="仿宋" w:hAnsi="仿宋" w:cs="仿宋" w:hint="eastAsia"/>
          <w:sz w:val="32"/>
          <w:szCs w:val="32"/>
        </w:rPr>
        <w:t>完成城镇、重要交通沿线成品油站点布局建设，推进加气综合服务体建设，配套完善加油加气储备设施。推进天然气管道、LNG供气站建设，推动供气设施向农村延伸，逐步实现天然气向农村覆盖。</w:t>
      </w:r>
    </w:p>
    <w:p w:rsidR="00E35214" w:rsidRDefault="006F7231">
      <w:pPr>
        <w:pStyle w:val="3"/>
        <w:snapToGrid w:val="0"/>
        <w:spacing w:line="580" w:lineRule="exact"/>
        <w:ind w:firstLineChars="200" w:firstLine="643"/>
        <w:textAlignment w:val="baseline"/>
        <w:rPr>
          <w:rFonts w:ascii="仿宋" w:eastAsia="仿宋" w:hAnsi="仿宋" w:cs="仿宋"/>
          <w:b w:val="0"/>
          <w:bCs w:val="0"/>
          <w:szCs w:val="22"/>
        </w:rPr>
      </w:pPr>
      <w:bookmarkStart w:id="190" w:name="_Toc28989"/>
      <w:bookmarkStart w:id="191" w:name="_Toc4694"/>
      <w:bookmarkStart w:id="192" w:name="_Toc4083"/>
      <w:bookmarkStart w:id="193" w:name="_Toc13501"/>
      <w:bookmarkStart w:id="194" w:name="_Toc20906"/>
      <w:bookmarkStart w:id="195" w:name="_Toc17406"/>
      <w:r>
        <w:rPr>
          <w:rFonts w:ascii="仿宋" w:eastAsia="仿宋" w:hAnsi="仿宋" w:cs="仿宋" w:hint="eastAsia"/>
          <w:szCs w:val="22"/>
        </w:rPr>
        <w:t>第二节有序推进可再生能源开发</w:t>
      </w:r>
      <w:bookmarkEnd w:id="190"/>
      <w:bookmarkEnd w:id="191"/>
      <w:bookmarkEnd w:id="192"/>
      <w:bookmarkEnd w:id="193"/>
      <w:bookmarkEnd w:id="194"/>
      <w:bookmarkEnd w:id="195"/>
    </w:p>
    <w:p w:rsidR="00E35214" w:rsidRDefault="006F7231">
      <w:pPr>
        <w:snapToGrid w:val="0"/>
        <w:spacing w:line="580" w:lineRule="atLeast"/>
        <w:ind w:firstLineChars="200" w:firstLine="640"/>
        <w:textAlignment w:val="baseline"/>
        <w:rPr>
          <w:rFonts w:ascii="仿宋" w:eastAsia="仿宋" w:hAnsi="仿宋" w:cs="仿宋"/>
          <w:sz w:val="32"/>
          <w:szCs w:val="32"/>
        </w:rPr>
      </w:pPr>
      <w:r>
        <w:rPr>
          <w:rFonts w:ascii="仿宋" w:eastAsia="仿宋" w:hAnsi="仿宋" w:cs="仿宋" w:hint="eastAsia"/>
          <w:kern w:val="0"/>
          <w:sz w:val="32"/>
          <w:szCs w:val="32"/>
        </w:rPr>
        <w:t>抢抓枕头坝二级、沙坪一级水电站建设机遇，大力发展水电清洁能源产业，力争全区水电装机总容量突破</w:t>
      </w:r>
      <w:r>
        <w:rPr>
          <w:rFonts w:ascii="仿宋" w:eastAsia="仿宋" w:hAnsi="仿宋" w:cs="仿宋"/>
          <w:kern w:val="0"/>
          <w:sz w:val="32"/>
          <w:szCs w:val="32"/>
        </w:rPr>
        <w:t>180万千瓦，全面建成乐山水电能源综合开发基地。采取流域统筹、点线结合、以点到面的原则，对主要流域中的梯级电站、骨干电站全面开展国家绿色水电认证。科学有序推进小水电清理整改工作，认真开展绿色小水电站创建，推动小水电科学发展。</w:t>
      </w:r>
    </w:p>
    <w:p w:rsidR="00E35214" w:rsidRDefault="006F7231">
      <w:pPr>
        <w:pStyle w:val="3"/>
        <w:snapToGrid w:val="0"/>
        <w:spacing w:line="580" w:lineRule="exact"/>
        <w:ind w:firstLineChars="200" w:firstLine="643"/>
        <w:textAlignment w:val="baseline"/>
        <w:rPr>
          <w:rFonts w:ascii="仿宋" w:eastAsia="仿宋" w:hAnsi="仿宋" w:cs="仿宋"/>
          <w:b w:val="0"/>
          <w:bCs w:val="0"/>
          <w:szCs w:val="22"/>
        </w:rPr>
      </w:pPr>
      <w:bookmarkStart w:id="196" w:name="_Toc3447"/>
      <w:bookmarkStart w:id="197" w:name="_Toc9845"/>
      <w:bookmarkStart w:id="198" w:name="_Toc30306"/>
      <w:bookmarkStart w:id="199" w:name="_Toc9351"/>
      <w:bookmarkStart w:id="200" w:name="_Toc14643"/>
      <w:bookmarkStart w:id="201" w:name="_Toc8177"/>
      <w:r>
        <w:rPr>
          <w:rFonts w:ascii="仿宋" w:eastAsia="仿宋" w:hAnsi="仿宋" w:cs="仿宋" w:hint="eastAsia"/>
          <w:szCs w:val="22"/>
        </w:rPr>
        <w:lastRenderedPageBreak/>
        <w:t>第三节加强电网设施建设</w:t>
      </w:r>
      <w:bookmarkEnd w:id="196"/>
      <w:bookmarkEnd w:id="197"/>
      <w:bookmarkEnd w:id="198"/>
      <w:bookmarkEnd w:id="199"/>
      <w:bookmarkEnd w:id="200"/>
      <w:bookmarkEnd w:id="201"/>
    </w:p>
    <w:p w:rsidR="00E35214" w:rsidRDefault="006F7231">
      <w:pPr>
        <w:pStyle w:val="a5"/>
        <w:snapToGrid w:val="0"/>
        <w:spacing w:after="0" w:line="580" w:lineRule="exact"/>
        <w:ind w:firstLineChars="200" w:firstLine="640"/>
        <w:textAlignment w:val="baseline"/>
        <w:rPr>
          <w:rFonts w:ascii="仿宋" w:eastAsia="仿宋" w:hAnsi="仿宋" w:cs="仿宋"/>
          <w:sz w:val="32"/>
          <w:szCs w:val="32"/>
          <w:highlight w:val="yellow"/>
        </w:rPr>
      </w:pPr>
      <w:r>
        <w:rPr>
          <w:rFonts w:ascii="仿宋" w:eastAsia="仿宋" w:hAnsi="仿宋" w:cs="仿宋" w:hint="eastAsia"/>
          <w:sz w:val="32"/>
          <w:szCs w:val="32"/>
        </w:rPr>
        <w:t>推进城网改造升级，深入实施重点输配电网和强弱电线路迁改入地工程，推进老城区电网改造，完善园区配送电网。实施农网改造升级和弱电迁改工程，巩固农村电网改造升级工程建设成果。大力发展“互联网＋”智慧能源，积极创建农村新能源试验示范区。稳步推进城区、重点乡镇、重点旅游景区等充电桩建设，提高新能源供应保障能力。适时推进</w:t>
      </w:r>
      <w:r>
        <w:rPr>
          <w:rFonts w:ascii="仿宋" w:eastAsia="仿宋" w:hAnsi="仿宋" w:cs="仿宋"/>
          <w:kern w:val="0"/>
          <w:sz w:val="32"/>
          <w:szCs w:val="32"/>
        </w:rPr>
        <w:t>抽水蓄能、新型储能等调节性电源建设</w:t>
      </w:r>
      <w:r>
        <w:rPr>
          <w:rFonts w:ascii="仿宋" w:eastAsia="仿宋" w:hAnsi="仿宋" w:cs="仿宋" w:hint="eastAsia"/>
          <w:sz w:val="32"/>
          <w:szCs w:val="32"/>
        </w:rPr>
        <w:t>。推进以智能电网为基础的智能电力系统建设，有效对接油气管网、热力管网、电动交通网络，发展成“源—网—荷—储”协调发展、集成互补的“能源互联网”新模式新业态。</w:t>
      </w:r>
    </w:p>
    <w:p w:rsidR="00E35214" w:rsidRDefault="00E35214">
      <w:pPr>
        <w:snapToGrid w:val="0"/>
        <w:textAlignment w:val="baseline"/>
        <w:rPr>
          <w:sz w:val="20"/>
        </w:rPr>
      </w:pPr>
    </w:p>
    <w:p w:rsidR="00E35214" w:rsidRDefault="006F7231">
      <w:pPr>
        <w:snapToGrid w:val="0"/>
        <w:spacing w:before="144" w:after="39"/>
        <w:ind w:left="788" w:right="788"/>
        <w:jc w:val="center"/>
        <w:textAlignment w:val="baseline"/>
        <w:rPr>
          <w:rFonts w:ascii="楷体" w:eastAsia="楷体" w:hAnsi="楷体" w:cs="仿宋"/>
          <w:b/>
          <w:sz w:val="28"/>
        </w:rPr>
      </w:pPr>
      <w:r>
        <w:rPr>
          <w:rFonts w:ascii="楷体" w:eastAsia="楷体" w:hAnsi="楷体" w:cs="仿宋" w:hint="eastAsia"/>
          <w:b/>
          <w:sz w:val="28"/>
        </w:rPr>
        <w:t>专栏10能源建设重点项目</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E35214">
        <w:trPr>
          <w:trHeight w:val="422"/>
        </w:trPr>
        <w:tc>
          <w:tcPr>
            <w:tcW w:w="8522" w:type="dxa"/>
          </w:tcPr>
          <w:p w:rsidR="00E35214" w:rsidRDefault="006F7231">
            <w:pPr>
              <w:pStyle w:val="a5"/>
              <w:snapToGrid w:val="0"/>
              <w:spacing w:line="400" w:lineRule="exact"/>
              <w:ind w:firstLineChars="200" w:firstLine="482"/>
              <w:textAlignment w:val="baseline"/>
              <w:rPr>
                <w:rFonts w:ascii="Times New Roman" w:eastAsia="楷体_GB2312" w:hAnsi="Times New Roman"/>
                <w:sz w:val="24"/>
              </w:rPr>
            </w:pPr>
            <w:r>
              <w:rPr>
                <w:rFonts w:ascii="Times New Roman" w:eastAsia="楷体_GB2312" w:hAnsi="Times New Roman" w:hint="eastAsia"/>
                <w:b/>
                <w:bCs/>
                <w:sz w:val="24"/>
              </w:rPr>
              <w:t>城乡电网改造。</w:t>
            </w:r>
            <w:r>
              <w:rPr>
                <w:rFonts w:ascii="Times New Roman" w:eastAsia="楷体_GB2312" w:hAnsi="Times New Roman" w:hint="eastAsia"/>
                <w:sz w:val="24"/>
              </w:rPr>
              <w:t>推进城网改造升级，深入实施重点输配电网和强弱电线路迁改入地工程，推进老城区电网改造，完善园区配送电网。实施农网改造升级和弱电迁改工程。</w:t>
            </w:r>
          </w:p>
          <w:p w:rsidR="00E35214" w:rsidRDefault="006F7231">
            <w:pPr>
              <w:pStyle w:val="a5"/>
              <w:snapToGrid w:val="0"/>
              <w:spacing w:line="400" w:lineRule="exact"/>
              <w:ind w:firstLine="482"/>
              <w:textAlignment w:val="baseline"/>
              <w:rPr>
                <w:rFonts w:ascii="Times New Roman" w:eastAsia="楷体_GB2312" w:hAnsi="Times New Roman"/>
                <w:sz w:val="24"/>
              </w:rPr>
            </w:pPr>
            <w:r>
              <w:rPr>
                <w:rFonts w:ascii="Times New Roman" w:eastAsia="楷体_GB2312" w:hAnsi="Times New Roman" w:hint="eastAsia"/>
                <w:sz w:val="24"/>
              </w:rPr>
              <w:t>水电能源综合开发基地</w:t>
            </w:r>
            <w:r>
              <w:rPr>
                <w:rFonts w:ascii="Times New Roman" w:eastAsia="楷体_GB2312" w:hAnsi="Times New Roman" w:hint="eastAsia"/>
                <w:b/>
                <w:bCs/>
                <w:sz w:val="24"/>
              </w:rPr>
              <w:t>。</w:t>
            </w:r>
            <w:r>
              <w:rPr>
                <w:rFonts w:ascii="Times New Roman" w:eastAsia="楷体_GB2312" w:hAnsi="Times New Roman" w:hint="eastAsia"/>
                <w:sz w:val="24"/>
              </w:rPr>
              <w:t>抢抓枕头坝二级、沙坪一级水电站建设机遇，大力发展水电清洁能源产业，力争全区水电装机总容量突破</w:t>
            </w:r>
            <w:r>
              <w:rPr>
                <w:rFonts w:ascii="Times New Roman" w:eastAsia="楷体_GB2312" w:hAnsi="Times New Roman" w:hint="eastAsia"/>
                <w:sz w:val="24"/>
              </w:rPr>
              <w:t>180</w:t>
            </w:r>
            <w:r>
              <w:rPr>
                <w:rFonts w:ascii="Times New Roman" w:eastAsia="楷体_GB2312" w:hAnsi="Times New Roman" w:hint="eastAsia"/>
                <w:sz w:val="24"/>
              </w:rPr>
              <w:t>万千瓦，全面建成乐山水电能源综合开发基地。</w:t>
            </w:r>
          </w:p>
          <w:p w:rsidR="00E35214" w:rsidRDefault="006F7231">
            <w:pPr>
              <w:pStyle w:val="a5"/>
              <w:snapToGrid w:val="0"/>
              <w:spacing w:line="400" w:lineRule="exact"/>
              <w:ind w:firstLine="482"/>
              <w:textAlignment w:val="baseline"/>
              <w:rPr>
                <w:rFonts w:ascii="Times New Roman" w:eastAsia="楷体_GB2312" w:hAnsi="Times New Roman"/>
                <w:sz w:val="24"/>
              </w:rPr>
            </w:pPr>
            <w:r>
              <w:rPr>
                <w:rFonts w:ascii="Times New Roman" w:eastAsia="楷体_GB2312" w:hAnsi="Times New Roman" w:hint="eastAsia"/>
                <w:b/>
                <w:bCs/>
                <w:sz w:val="24"/>
              </w:rPr>
              <w:t>智能电力系统。</w:t>
            </w:r>
            <w:r>
              <w:rPr>
                <w:rFonts w:ascii="Times New Roman" w:eastAsia="楷体_GB2312" w:hAnsi="Times New Roman" w:hint="eastAsia"/>
                <w:sz w:val="24"/>
              </w:rPr>
              <w:t>建设以智能电网为基础的智能电力系统，有效对接油气管网、热力管网、电动交通网络，发展成“源—网—荷—储”协调发展、集成互补的“能源互联网”新模式新业态。</w:t>
            </w:r>
          </w:p>
          <w:p w:rsidR="00E35214" w:rsidRDefault="006F7231">
            <w:pPr>
              <w:pStyle w:val="a5"/>
              <w:snapToGrid w:val="0"/>
              <w:spacing w:line="400" w:lineRule="exact"/>
              <w:ind w:firstLine="482"/>
              <w:textAlignment w:val="baseline"/>
              <w:rPr>
                <w:rFonts w:ascii="Times New Roman" w:eastAsia="楷体_GB2312" w:hAnsi="Times New Roman"/>
                <w:sz w:val="24"/>
              </w:rPr>
            </w:pPr>
            <w:r>
              <w:rPr>
                <w:rFonts w:ascii="Times New Roman" w:eastAsia="楷体_GB2312" w:hAnsi="Times New Roman" w:hint="eastAsia"/>
                <w:b/>
                <w:bCs/>
                <w:sz w:val="24"/>
              </w:rPr>
              <w:t>峨边</w:t>
            </w:r>
            <w:r>
              <w:rPr>
                <w:rFonts w:ascii="Times New Roman" w:eastAsia="楷体_GB2312" w:hAnsi="Times New Roman" w:hint="eastAsia"/>
                <w:b/>
                <w:bCs/>
                <w:sz w:val="24"/>
              </w:rPr>
              <w:t>-</w:t>
            </w:r>
            <w:r>
              <w:rPr>
                <w:rFonts w:ascii="Times New Roman" w:eastAsia="楷体_GB2312" w:hAnsi="Times New Roman" w:hint="eastAsia"/>
                <w:b/>
                <w:bCs/>
                <w:sz w:val="24"/>
              </w:rPr>
              <w:t>金口河天然气管道建设</w:t>
            </w:r>
            <w:r>
              <w:rPr>
                <w:rFonts w:ascii="Times New Roman" w:eastAsia="楷体_GB2312" w:hAnsi="Times New Roman" w:hint="eastAsia"/>
                <w:sz w:val="24"/>
              </w:rPr>
              <w:t>。争取中石油西南油气燃气分公司支持，完成</w:t>
            </w:r>
            <w:r>
              <w:rPr>
                <w:rFonts w:ascii="Times New Roman" w:eastAsia="楷体_GB2312" w:hAnsi="Times New Roman" w:hint="eastAsia"/>
                <w:sz w:val="24"/>
              </w:rPr>
              <w:t>30</w:t>
            </w:r>
            <w:r>
              <w:rPr>
                <w:rFonts w:ascii="Times New Roman" w:eastAsia="楷体_GB2312" w:hAnsi="Times New Roman" w:hint="eastAsia"/>
                <w:sz w:val="24"/>
              </w:rPr>
              <w:t>公里天然气管道建设。</w:t>
            </w:r>
          </w:p>
          <w:p w:rsidR="00E35214" w:rsidRDefault="006F7231">
            <w:pPr>
              <w:pStyle w:val="a5"/>
              <w:snapToGrid w:val="0"/>
              <w:spacing w:line="400" w:lineRule="exact"/>
              <w:ind w:firstLine="482"/>
              <w:textAlignment w:val="baseline"/>
              <w:rPr>
                <w:rFonts w:ascii="仿宋" w:eastAsia="仿宋" w:hAnsi="仿宋" w:cs="仿宋"/>
                <w:sz w:val="32"/>
                <w:szCs w:val="32"/>
              </w:rPr>
            </w:pPr>
            <w:r>
              <w:rPr>
                <w:rFonts w:ascii="Times New Roman" w:eastAsia="楷体_GB2312" w:hAnsi="Times New Roman" w:hint="eastAsia"/>
                <w:b/>
                <w:bCs/>
                <w:sz w:val="24"/>
              </w:rPr>
              <w:t>城区天然气管网建设。</w:t>
            </w:r>
            <w:r>
              <w:rPr>
                <w:rFonts w:ascii="Times New Roman" w:eastAsia="楷体_GB2312" w:hAnsi="Times New Roman" w:hint="eastAsia"/>
                <w:sz w:val="24"/>
              </w:rPr>
              <w:t>扩建城区天然气输配站，新建覆盖主城区天然气管网，新建输配站至红华厂区、旅游集散中心天然气管网。</w:t>
            </w:r>
          </w:p>
        </w:tc>
      </w:tr>
    </w:tbl>
    <w:p w:rsidR="00E35214" w:rsidRDefault="00E35214">
      <w:pPr>
        <w:widowControl/>
        <w:snapToGrid w:val="0"/>
        <w:ind w:firstLine="640"/>
        <w:jc w:val="left"/>
        <w:textAlignment w:val="baseline"/>
        <w:rPr>
          <w:rFonts w:ascii="仿宋" w:eastAsia="仿宋" w:hAnsi="仿宋" w:cs="仿宋"/>
          <w:sz w:val="32"/>
          <w:szCs w:val="32"/>
        </w:rPr>
      </w:pPr>
      <w:bookmarkStart w:id="202" w:name="_Toc22476"/>
      <w:bookmarkStart w:id="203" w:name="_Toc42"/>
      <w:bookmarkStart w:id="204" w:name="_Toc15413"/>
      <w:bookmarkStart w:id="205" w:name="_Toc31640"/>
      <w:bookmarkStart w:id="206" w:name="_Toc25853"/>
    </w:p>
    <w:p w:rsidR="00E35214" w:rsidRDefault="00E35214">
      <w:pPr>
        <w:pStyle w:val="2"/>
        <w:snapToGrid w:val="0"/>
        <w:textAlignment w:val="baseline"/>
      </w:pPr>
      <w:bookmarkStart w:id="207" w:name="_Toc11272"/>
      <w:bookmarkStart w:id="208" w:name="_Toc16177"/>
      <w:bookmarkStart w:id="209" w:name="_Toc1251"/>
      <w:bookmarkStart w:id="210" w:name="_Toc24359"/>
      <w:bookmarkStart w:id="211" w:name="_Toc12677"/>
      <w:bookmarkStart w:id="212" w:name="_Toc23746"/>
    </w:p>
    <w:p w:rsidR="00E35214" w:rsidRDefault="006F7231">
      <w:pPr>
        <w:pStyle w:val="2"/>
        <w:snapToGrid w:val="0"/>
        <w:textAlignment w:val="baseline"/>
      </w:pPr>
      <w:r>
        <w:rPr>
          <w:rFonts w:hint="eastAsia"/>
        </w:rPr>
        <w:t>第十二章强化水利基础设施建设</w:t>
      </w:r>
      <w:bookmarkEnd w:id="202"/>
      <w:bookmarkEnd w:id="203"/>
      <w:bookmarkEnd w:id="204"/>
      <w:bookmarkEnd w:id="205"/>
      <w:bookmarkEnd w:id="206"/>
      <w:bookmarkEnd w:id="207"/>
      <w:bookmarkEnd w:id="208"/>
      <w:bookmarkEnd w:id="209"/>
      <w:bookmarkEnd w:id="210"/>
      <w:bookmarkEnd w:id="211"/>
      <w:bookmarkEnd w:id="212"/>
    </w:p>
    <w:p w:rsidR="00E35214" w:rsidRDefault="006F7231">
      <w:pPr>
        <w:widowControl/>
        <w:snapToGrid w:val="0"/>
        <w:spacing w:line="580" w:lineRule="exact"/>
        <w:ind w:firstLineChars="200" w:firstLine="640"/>
        <w:jc w:val="left"/>
        <w:textAlignment w:val="baseline"/>
        <w:rPr>
          <w:rFonts w:ascii="仿宋" w:eastAsia="仿宋" w:hAnsi="仿宋" w:cs="仿宋"/>
          <w:sz w:val="32"/>
          <w:szCs w:val="32"/>
        </w:rPr>
      </w:pPr>
      <w:r>
        <w:rPr>
          <w:rFonts w:ascii="仿宋" w:eastAsia="仿宋" w:hAnsi="仿宋" w:cs="仿宋" w:hint="eastAsia"/>
          <w:sz w:val="32"/>
          <w:szCs w:val="32"/>
        </w:rPr>
        <w:t>树立“系统谋划，项目布局，综合治理”思维，以优化配置水资源和提高水资源利用效率为重点，统筹生活生产生态用水，推动建立以供水安全、防洪安全、生态安全为核心的水安全保障体系。</w:t>
      </w:r>
    </w:p>
    <w:p w:rsidR="00E35214" w:rsidRDefault="006F7231">
      <w:pPr>
        <w:pStyle w:val="3"/>
        <w:snapToGrid w:val="0"/>
        <w:spacing w:line="580" w:lineRule="exact"/>
        <w:textAlignment w:val="baseline"/>
        <w:rPr>
          <w:rFonts w:ascii="仿宋" w:eastAsia="仿宋" w:hAnsi="仿宋" w:cs="仿宋"/>
          <w:b w:val="0"/>
          <w:bCs w:val="0"/>
          <w:szCs w:val="22"/>
        </w:rPr>
      </w:pPr>
      <w:bookmarkStart w:id="213" w:name="_Toc21577"/>
      <w:bookmarkStart w:id="214" w:name="_Toc22017"/>
      <w:bookmarkStart w:id="215" w:name="_Toc29887"/>
      <w:bookmarkStart w:id="216" w:name="_Toc27057"/>
      <w:bookmarkStart w:id="217" w:name="_Toc15021"/>
      <w:bookmarkStart w:id="218" w:name="_Toc29658"/>
      <w:r>
        <w:rPr>
          <w:rFonts w:ascii="仿宋" w:eastAsia="仿宋" w:hAnsi="仿宋" w:cs="仿宋" w:hint="eastAsia"/>
          <w:szCs w:val="22"/>
        </w:rPr>
        <w:t>第一节形成良性规范水事秩序</w:t>
      </w:r>
      <w:bookmarkEnd w:id="213"/>
      <w:bookmarkEnd w:id="214"/>
      <w:bookmarkEnd w:id="215"/>
      <w:bookmarkEnd w:id="216"/>
      <w:bookmarkEnd w:id="217"/>
      <w:bookmarkEnd w:id="218"/>
    </w:p>
    <w:p w:rsidR="00E35214" w:rsidRDefault="006F7231">
      <w:pPr>
        <w:widowControl/>
        <w:snapToGrid w:val="0"/>
        <w:spacing w:line="580" w:lineRule="exact"/>
        <w:ind w:firstLineChars="200" w:firstLine="640"/>
        <w:jc w:val="left"/>
        <w:textAlignment w:val="baseline"/>
        <w:rPr>
          <w:rStyle w:val="af"/>
          <w:rFonts w:ascii="仿宋" w:eastAsia="仿宋" w:hAnsi="仿宋" w:cs="仿宋"/>
          <w:bCs/>
          <w:sz w:val="32"/>
          <w:szCs w:val="32"/>
          <w:shd w:val="clear" w:color="auto" w:fill="FFFFFF"/>
        </w:rPr>
      </w:pPr>
      <w:r>
        <w:rPr>
          <w:rStyle w:val="af"/>
          <w:rFonts w:ascii="仿宋" w:eastAsia="仿宋" w:hAnsi="仿宋" w:cs="仿宋" w:hint="eastAsia"/>
          <w:b w:val="0"/>
          <w:bCs/>
          <w:sz w:val="32"/>
          <w:szCs w:val="32"/>
          <w:shd w:val="clear" w:color="auto" w:fill="FFFFFF"/>
        </w:rPr>
        <w:t>强化《水法》《防洪法》等涉水法律法规的宣传，增强对水环境、水工程、水生态环境的保护意识。加强河湖管理，全面推进“一河一策”管理保护方案，落实清河、护岸、净水、保水四项巡河行动。加大违规行为处置力度，确保全区良好的水事秩序再上新台阶。</w:t>
      </w:r>
    </w:p>
    <w:p w:rsidR="00E35214" w:rsidRDefault="006F7231">
      <w:pPr>
        <w:pStyle w:val="3"/>
        <w:snapToGrid w:val="0"/>
        <w:spacing w:line="580" w:lineRule="exact"/>
        <w:ind w:firstLineChars="200" w:firstLine="643"/>
        <w:textAlignment w:val="baseline"/>
        <w:rPr>
          <w:rFonts w:ascii="仿宋" w:eastAsia="仿宋" w:hAnsi="仿宋" w:cs="仿宋"/>
          <w:b w:val="0"/>
          <w:bCs w:val="0"/>
          <w:szCs w:val="22"/>
        </w:rPr>
      </w:pPr>
      <w:bookmarkStart w:id="219" w:name="_Toc30606"/>
      <w:bookmarkStart w:id="220" w:name="_Toc3939"/>
      <w:bookmarkStart w:id="221" w:name="_Toc24132"/>
      <w:bookmarkStart w:id="222" w:name="_Toc196"/>
      <w:bookmarkStart w:id="223" w:name="_Toc7955"/>
      <w:bookmarkStart w:id="224" w:name="_Toc1582"/>
      <w:r>
        <w:rPr>
          <w:rFonts w:ascii="仿宋" w:eastAsia="仿宋" w:hAnsi="仿宋" w:cs="仿宋" w:hint="eastAsia"/>
          <w:szCs w:val="22"/>
        </w:rPr>
        <w:t>第二节提升用水安全保障能力</w:t>
      </w:r>
      <w:bookmarkEnd w:id="219"/>
      <w:bookmarkEnd w:id="220"/>
      <w:bookmarkEnd w:id="221"/>
      <w:bookmarkEnd w:id="222"/>
      <w:bookmarkEnd w:id="223"/>
      <w:bookmarkEnd w:id="224"/>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加强民生水利工程建设，采取以大带小、以城带乡、以大并小、小小联合的方式，以新建、扩建、配套、改造、联网等措施，精准到户，确保自来水普及率维持</w:t>
      </w:r>
      <w:r>
        <w:rPr>
          <w:rFonts w:ascii="仿宋" w:eastAsia="仿宋" w:hAnsi="仿宋" w:cs="仿宋"/>
          <w:sz w:val="32"/>
          <w:szCs w:val="32"/>
        </w:rPr>
        <w:t>100%，用水保证率达到95%。注重灌区现代化改造，推进金口河区小河堰节水配套改造项目。加强农村智慧水务工程建设，提高农村供水信息化智慧化水平。</w:t>
      </w:r>
    </w:p>
    <w:p w:rsidR="00E35214" w:rsidRDefault="006F7231">
      <w:pPr>
        <w:pStyle w:val="3"/>
        <w:snapToGrid w:val="0"/>
        <w:spacing w:line="580" w:lineRule="exact"/>
        <w:ind w:firstLineChars="200" w:firstLine="643"/>
        <w:textAlignment w:val="baseline"/>
        <w:rPr>
          <w:rFonts w:ascii="仿宋" w:eastAsia="仿宋" w:hAnsi="仿宋" w:cs="仿宋"/>
          <w:b w:val="0"/>
          <w:bCs w:val="0"/>
          <w:szCs w:val="22"/>
        </w:rPr>
      </w:pPr>
      <w:bookmarkStart w:id="225" w:name="_Toc15779"/>
      <w:bookmarkStart w:id="226" w:name="_Toc3488"/>
      <w:bookmarkStart w:id="227" w:name="_Toc21864"/>
      <w:bookmarkStart w:id="228" w:name="_Toc26587"/>
      <w:bookmarkStart w:id="229" w:name="_Toc17072"/>
      <w:bookmarkStart w:id="230" w:name="_Toc18221"/>
      <w:r>
        <w:rPr>
          <w:rFonts w:ascii="仿宋" w:eastAsia="仿宋" w:hAnsi="仿宋" w:cs="仿宋" w:hint="eastAsia"/>
          <w:szCs w:val="22"/>
        </w:rPr>
        <w:lastRenderedPageBreak/>
        <w:t>第三节加强防洪减灾工程建设</w:t>
      </w:r>
      <w:bookmarkEnd w:id="225"/>
      <w:bookmarkEnd w:id="226"/>
      <w:bookmarkEnd w:id="227"/>
      <w:bookmarkEnd w:id="228"/>
      <w:bookmarkEnd w:id="229"/>
      <w:bookmarkEnd w:id="230"/>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实施中小河流防洪治理工程，加强中小河流防洪堤建设，完成关村坝二期堤防工程、检金坝堤防工程、鲤鱼浩堤防工程、月儿坝堤防工程。强化山洪沟和水土流失综合治理，</w:t>
      </w:r>
      <w:r>
        <w:rPr>
          <w:rFonts w:ascii="仿宋" w:eastAsia="仿宋" w:hAnsi="仿宋" w:cs="仿宋" w:hint="eastAsia"/>
          <w:kern w:val="0"/>
          <w:sz w:val="32"/>
          <w:szCs w:val="32"/>
        </w:rPr>
        <w:t>开展金口河区乡镇</w:t>
      </w:r>
      <w:bookmarkStart w:id="231" w:name="_Toc5977"/>
      <w:r>
        <w:rPr>
          <w:rFonts w:ascii="仿宋" w:eastAsia="仿宋" w:hAnsi="仿宋" w:cs="仿宋" w:hint="eastAsia"/>
          <w:kern w:val="0"/>
          <w:sz w:val="32"/>
          <w:szCs w:val="32"/>
        </w:rPr>
        <w:t>沟堤防及环境综合治理项目，包括万丈沟、小河、天星桥沟等共规划</w:t>
      </w:r>
      <w:r>
        <w:rPr>
          <w:rFonts w:ascii="仿宋" w:eastAsia="仿宋" w:hAnsi="仿宋" w:cs="仿宋"/>
          <w:kern w:val="0"/>
          <w:sz w:val="32"/>
          <w:szCs w:val="32"/>
        </w:rPr>
        <w:t>8条山洪沟开展防洪</w:t>
      </w:r>
      <w:r>
        <w:rPr>
          <w:rFonts w:ascii="仿宋" w:eastAsia="仿宋" w:hAnsi="仿宋" w:cs="仿宋" w:hint="eastAsia"/>
          <w:kern w:val="0"/>
          <w:sz w:val="32"/>
          <w:szCs w:val="32"/>
        </w:rPr>
        <w:t>堤防及环境综合</w:t>
      </w:r>
      <w:r>
        <w:rPr>
          <w:rFonts w:ascii="仿宋" w:eastAsia="仿宋" w:hAnsi="仿宋" w:cs="仿宋"/>
          <w:kern w:val="0"/>
          <w:sz w:val="32"/>
          <w:szCs w:val="32"/>
        </w:rPr>
        <w:t>治理工程。</w:t>
      </w:r>
      <w:r>
        <w:rPr>
          <w:rFonts w:ascii="仿宋" w:eastAsia="仿宋" w:hAnsi="仿宋" w:cs="仿宋" w:hint="eastAsia"/>
          <w:sz w:val="32"/>
          <w:szCs w:val="32"/>
        </w:rPr>
        <w:t>推进智慧水利、智慧水务工程建设，健全基层水利服务体系，促进水利工程长期良性运行。</w:t>
      </w:r>
      <w:r>
        <w:rPr>
          <w:rFonts w:ascii="仿宋" w:eastAsia="仿宋" w:hAnsi="仿宋" w:cs="仿宋" w:hint="eastAsia"/>
          <w:sz w:val="32"/>
          <w:szCs w:val="32"/>
          <w:shd w:val="clear" w:color="auto" w:fill="FFFFFF"/>
        </w:rPr>
        <w:t>完善预警预报系统</w:t>
      </w:r>
      <w:r>
        <w:rPr>
          <w:rFonts w:ascii="仿宋" w:eastAsia="仿宋" w:hAnsi="仿宋" w:cs="仿宋" w:hint="eastAsia"/>
          <w:sz w:val="32"/>
          <w:szCs w:val="32"/>
        </w:rPr>
        <w:t>、群测群防系统，编制</w:t>
      </w:r>
      <w:r>
        <w:rPr>
          <w:rFonts w:ascii="仿宋" w:eastAsia="仿宋" w:hAnsi="仿宋" w:cs="仿宋" w:hint="eastAsia"/>
          <w:sz w:val="32"/>
          <w:szCs w:val="32"/>
          <w:shd w:val="clear" w:color="auto" w:fill="FFFFFF"/>
        </w:rPr>
        <w:t>重点河道、电站库区、在建水利工程</w:t>
      </w:r>
      <w:r>
        <w:rPr>
          <w:rFonts w:ascii="仿宋" w:eastAsia="仿宋" w:hAnsi="仿宋" w:cs="仿宋" w:hint="eastAsia"/>
          <w:sz w:val="32"/>
          <w:szCs w:val="32"/>
        </w:rPr>
        <w:t>等重点部位的</w:t>
      </w:r>
      <w:r>
        <w:rPr>
          <w:rFonts w:ascii="仿宋" w:eastAsia="仿宋" w:hAnsi="仿宋" w:cs="仿宋" w:hint="eastAsia"/>
          <w:sz w:val="32"/>
          <w:szCs w:val="32"/>
          <w:shd w:val="clear" w:color="auto" w:fill="FFFFFF"/>
        </w:rPr>
        <w:t>应急</w:t>
      </w:r>
      <w:r>
        <w:rPr>
          <w:rFonts w:ascii="仿宋" w:eastAsia="仿宋" w:hAnsi="仿宋" w:cs="仿宋" w:hint="eastAsia"/>
          <w:sz w:val="32"/>
          <w:szCs w:val="32"/>
        </w:rPr>
        <w:t>防灾</w:t>
      </w:r>
      <w:r>
        <w:rPr>
          <w:rFonts w:ascii="仿宋" w:eastAsia="仿宋" w:hAnsi="仿宋" w:cs="仿宋" w:hint="eastAsia"/>
          <w:sz w:val="32"/>
          <w:szCs w:val="32"/>
          <w:shd w:val="clear" w:color="auto" w:fill="FFFFFF"/>
        </w:rPr>
        <w:t>预案</w:t>
      </w:r>
      <w:r>
        <w:rPr>
          <w:rFonts w:ascii="仿宋" w:eastAsia="仿宋" w:hAnsi="仿宋" w:cs="仿宋" w:hint="eastAsia"/>
          <w:sz w:val="32"/>
          <w:szCs w:val="32"/>
        </w:rPr>
        <w:t>。</w:t>
      </w:r>
    </w:p>
    <w:p w:rsidR="00E35214" w:rsidRDefault="006F7231">
      <w:pPr>
        <w:snapToGrid w:val="0"/>
        <w:spacing w:before="144" w:after="39"/>
        <w:ind w:left="788" w:right="788"/>
        <w:jc w:val="center"/>
        <w:textAlignment w:val="baseline"/>
        <w:rPr>
          <w:rFonts w:ascii="楷体" w:eastAsia="楷体" w:hAnsi="楷体" w:cs="仿宋"/>
          <w:b/>
          <w:sz w:val="28"/>
        </w:rPr>
      </w:pPr>
      <w:r>
        <w:rPr>
          <w:rFonts w:ascii="楷体" w:eastAsia="楷体" w:hAnsi="楷体" w:cs="仿宋" w:hint="eastAsia"/>
          <w:b/>
          <w:sz w:val="28"/>
        </w:rPr>
        <w:t>专栏11水利建设重点项目</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E35214">
        <w:tc>
          <w:tcPr>
            <w:tcW w:w="8522" w:type="dxa"/>
          </w:tcPr>
          <w:p w:rsidR="00E35214" w:rsidRDefault="006F7231" w:rsidP="00950EE9">
            <w:pPr>
              <w:pStyle w:val="ac"/>
              <w:snapToGrid w:val="0"/>
              <w:spacing w:line="420" w:lineRule="exact"/>
              <w:ind w:leftChars="0" w:left="458" w:hanging="458"/>
              <w:jc w:val="left"/>
              <w:textAlignment w:val="baseline"/>
              <w:rPr>
                <w:rFonts w:ascii="楷体" w:eastAsia="楷体" w:hAnsi="楷体" w:cs="楷体"/>
                <w:spacing w:val="-6"/>
                <w:sz w:val="24"/>
              </w:rPr>
            </w:pPr>
            <w:r>
              <w:rPr>
                <w:rFonts w:ascii="楷体" w:eastAsia="楷体" w:hAnsi="楷体" w:cs="楷体" w:hint="eastAsia"/>
                <w:b/>
                <w:bCs/>
                <w:spacing w:val="-6"/>
                <w:sz w:val="24"/>
              </w:rPr>
              <w:t>重点水源工程</w:t>
            </w:r>
            <w:r>
              <w:rPr>
                <w:rFonts w:ascii="楷体" w:eastAsia="楷体" w:hAnsi="楷体" w:cs="楷体" w:hint="eastAsia"/>
                <w:spacing w:val="-6"/>
                <w:sz w:val="24"/>
              </w:rPr>
              <w:t>。推进小（一）型水库-大瓦山水库、小（二）型水库-梁河坝水库建设。</w:t>
            </w:r>
          </w:p>
          <w:p w:rsidR="00E35214" w:rsidRDefault="006F7231" w:rsidP="00950EE9">
            <w:pPr>
              <w:pStyle w:val="ac"/>
              <w:snapToGrid w:val="0"/>
              <w:spacing w:line="420" w:lineRule="exact"/>
              <w:ind w:leftChars="0" w:left="458" w:hanging="458"/>
              <w:jc w:val="left"/>
              <w:textAlignment w:val="baseline"/>
              <w:rPr>
                <w:rFonts w:ascii="楷体" w:eastAsia="楷体" w:hAnsi="楷体" w:cs="楷体"/>
                <w:spacing w:val="-6"/>
                <w:sz w:val="24"/>
              </w:rPr>
            </w:pPr>
            <w:r>
              <w:rPr>
                <w:rFonts w:ascii="楷体" w:eastAsia="楷体" w:hAnsi="楷体" w:cs="楷体" w:hint="eastAsia"/>
                <w:b/>
                <w:bCs/>
                <w:spacing w:val="-6"/>
                <w:sz w:val="24"/>
              </w:rPr>
              <w:t>农村饮水安全巩固提升工程。推进</w:t>
            </w:r>
            <w:r>
              <w:rPr>
                <w:rFonts w:ascii="楷体" w:eastAsia="楷体" w:hAnsi="楷体" w:cs="楷体" w:hint="eastAsia"/>
                <w:spacing w:val="-6"/>
                <w:sz w:val="24"/>
              </w:rPr>
              <w:t>金口河区城乡一体化自来水厂提升工程、永胜片区供水工程、吉星片区供水工程，加强城乡饮水安全工程维修养护，提升饮水安全保障水平。</w:t>
            </w:r>
          </w:p>
          <w:p w:rsidR="00E35214" w:rsidRDefault="006F7231" w:rsidP="00950EE9">
            <w:pPr>
              <w:pStyle w:val="ac"/>
              <w:snapToGrid w:val="0"/>
              <w:spacing w:line="420" w:lineRule="exact"/>
              <w:ind w:leftChars="0" w:left="458" w:hanging="458"/>
              <w:jc w:val="left"/>
              <w:textAlignment w:val="baseline"/>
              <w:rPr>
                <w:rFonts w:ascii="楷体" w:eastAsia="楷体" w:hAnsi="楷体" w:cs="楷体"/>
                <w:b/>
                <w:bCs/>
                <w:spacing w:val="-6"/>
                <w:sz w:val="24"/>
              </w:rPr>
            </w:pPr>
            <w:r>
              <w:rPr>
                <w:rFonts w:ascii="楷体" w:eastAsia="楷体" w:hAnsi="楷体" w:cs="楷体" w:hint="eastAsia"/>
                <w:b/>
                <w:bCs/>
                <w:spacing w:val="-6"/>
                <w:sz w:val="24"/>
              </w:rPr>
              <w:t>重点中型灌区续建配套与现代化改造工程。</w:t>
            </w:r>
            <w:r>
              <w:rPr>
                <w:rFonts w:ascii="楷体" w:eastAsia="楷体" w:hAnsi="楷体" w:cs="楷体" w:hint="eastAsia"/>
                <w:spacing w:val="-6"/>
                <w:sz w:val="24"/>
              </w:rPr>
              <w:t>开展金口河区小河堰节水配套改造项目，整治干渠、支渠等。</w:t>
            </w:r>
          </w:p>
          <w:p w:rsidR="00E35214" w:rsidRDefault="006F7231" w:rsidP="00950EE9">
            <w:pPr>
              <w:pStyle w:val="ac"/>
              <w:snapToGrid w:val="0"/>
              <w:spacing w:line="420" w:lineRule="exact"/>
              <w:ind w:leftChars="0" w:left="458" w:hanging="458"/>
              <w:jc w:val="left"/>
              <w:textAlignment w:val="baseline"/>
              <w:rPr>
                <w:rFonts w:ascii="楷体" w:eastAsia="楷体" w:hAnsi="楷体" w:cs="楷体"/>
                <w:b/>
                <w:bCs/>
                <w:spacing w:val="-6"/>
                <w:sz w:val="24"/>
              </w:rPr>
            </w:pPr>
            <w:r>
              <w:rPr>
                <w:rFonts w:ascii="楷体" w:eastAsia="楷体" w:hAnsi="楷体" w:cs="楷体" w:hint="eastAsia"/>
                <w:b/>
                <w:bCs/>
                <w:spacing w:val="-6"/>
                <w:sz w:val="24"/>
              </w:rPr>
              <w:t>防洪减灾工程</w:t>
            </w:r>
            <w:r>
              <w:rPr>
                <w:rFonts w:ascii="楷体" w:eastAsia="楷体" w:hAnsi="楷体" w:cs="楷体" w:hint="eastAsia"/>
                <w:spacing w:val="-6"/>
                <w:sz w:val="24"/>
              </w:rPr>
              <w:t>。万丈沟、张村沟、天星桥沟、桠溪沟、小河、王村河、野牛河等防洪治理工程（河道堤防及环境综合治理），建设金口河山洪灾害监测系统。</w:t>
            </w:r>
          </w:p>
          <w:p w:rsidR="00E35214" w:rsidRDefault="006F7231" w:rsidP="00950EE9">
            <w:pPr>
              <w:pStyle w:val="ac"/>
              <w:snapToGrid w:val="0"/>
              <w:spacing w:line="420" w:lineRule="exact"/>
              <w:ind w:leftChars="0" w:left="458" w:hanging="458"/>
              <w:jc w:val="left"/>
              <w:textAlignment w:val="baseline"/>
              <w:rPr>
                <w:rFonts w:ascii="仿宋" w:eastAsia="仿宋" w:hAnsi="仿宋" w:cs="仿宋"/>
                <w:sz w:val="32"/>
                <w:szCs w:val="32"/>
              </w:rPr>
            </w:pPr>
            <w:r>
              <w:rPr>
                <w:rFonts w:ascii="楷体" w:eastAsia="楷体" w:hAnsi="楷体" w:cs="楷体" w:hint="eastAsia"/>
                <w:b/>
                <w:bCs/>
                <w:spacing w:val="-6"/>
                <w:sz w:val="24"/>
              </w:rPr>
              <w:t>智慧水利工程</w:t>
            </w:r>
            <w:r>
              <w:rPr>
                <w:rFonts w:ascii="楷体" w:eastAsia="楷体" w:hAnsi="楷体" w:cs="楷体" w:hint="eastAsia"/>
                <w:spacing w:val="-6"/>
                <w:sz w:val="24"/>
              </w:rPr>
              <w:t>。实施金口河区水土保持监测站、金口河区水政执法能力建设等水利信息化、水资源监测项目。</w:t>
            </w:r>
          </w:p>
        </w:tc>
      </w:tr>
    </w:tbl>
    <w:p w:rsidR="00E35214" w:rsidRDefault="006F7231">
      <w:pPr>
        <w:snapToGrid w:val="0"/>
        <w:spacing w:before="340" w:after="330" w:line="576" w:lineRule="auto"/>
        <w:jc w:val="center"/>
        <w:textAlignment w:val="baseline"/>
        <w:rPr>
          <w:rFonts w:eastAsia="黑体"/>
          <w:b/>
          <w:bCs/>
          <w:kern w:val="44"/>
          <w:sz w:val="36"/>
          <w:szCs w:val="44"/>
        </w:rPr>
      </w:pPr>
      <w:r>
        <w:rPr>
          <w:rFonts w:ascii="仿宋" w:eastAsia="仿宋" w:hAnsi="仿宋" w:cs="仿宋"/>
          <w:bCs/>
          <w:sz w:val="32"/>
          <w:szCs w:val="32"/>
        </w:rPr>
        <w:br w:type="page"/>
      </w:r>
    </w:p>
    <w:p w:rsidR="00E35214" w:rsidRDefault="006F7231">
      <w:pPr>
        <w:snapToGrid w:val="0"/>
        <w:spacing w:before="340" w:after="330" w:line="576" w:lineRule="auto"/>
        <w:jc w:val="center"/>
        <w:textAlignment w:val="baseline"/>
        <w:rPr>
          <w:rFonts w:eastAsia="黑体"/>
          <w:b/>
          <w:sz w:val="30"/>
          <w:szCs w:val="30"/>
        </w:rPr>
      </w:pPr>
      <w:bookmarkStart w:id="232" w:name="_Toc11457"/>
      <w:bookmarkStart w:id="233" w:name="_Toc13353"/>
      <w:bookmarkStart w:id="234" w:name="_Toc28522"/>
      <w:bookmarkStart w:id="235" w:name="_Toc10451"/>
      <w:bookmarkStart w:id="236" w:name="_Toc17731"/>
      <w:bookmarkStart w:id="237" w:name="_Toc1271"/>
      <w:bookmarkStart w:id="238" w:name="_Toc12659"/>
      <w:bookmarkStart w:id="239" w:name="_Toc11929"/>
      <w:bookmarkStart w:id="240" w:name="_Toc30719"/>
      <w:r>
        <w:rPr>
          <w:rFonts w:eastAsia="黑体" w:hint="eastAsia"/>
          <w:b/>
          <w:bCs/>
          <w:kern w:val="44"/>
          <w:sz w:val="30"/>
          <w:szCs w:val="30"/>
        </w:rPr>
        <w:lastRenderedPageBreak/>
        <w:t>第四篇深度融入发展，建设开明开放</w:t>
      </w:r>
      <w:bookmarkEnd w:id="231"/>
      <w:bookmarkEnd w:id="232"/>
      <w:bookmarkEnd w:id="233"/>
      <w:bookmarkEnd w:id="234"/>
      <w:bookmarkEnd w:id="235"/>
      <w:r>
        <w:rPr>
          <w:rFonts w:eastAsia="黑体" w:hint="eastAsia"/>
          <w:b/>
          <w:bCs/>
          <w:kern w:val="44"/>
          <w:sz w:val="30"/>
          <w:szCs w:val="30"/>
        </w:rPr>
        <w:t>金口河</w:t>
      </w:r>
      <w:bookmarkEnd w:id="236"/>
      <w:bookmarkEnd w:id="237"/>
      <w:bookmarkEnd w:id="238"/>
      <w:bookmarkEnd w:id="239"/>
      <w:bookmarkEnd w:id="240"/>
    </w:p>
    <w:p w:rsidR="00E35214" w:rsidRDefault="006F7231">
      <w:pPr>
        <w:snapToGrid w:val="0"/>
        <w:spacing w:line="580" w:lineRule="exact"/>
        <w:ind w:firstLine="640"/>
        <w:textAlignment w:val="baseline"/>
        <w:rPr>
          <w:rFonts w:ascii="仿宋" w:eastAsia="仿宋" w:hAnsi="仿宋" w:cs="仿宋"/>
          <w:kern w:val="0"/>
          <w:sz w:val="32"/>
          <w:szCs w:val="32"/>
        </w:rPr>
      </w:pPr>
      <w:r>
        <w:rPr>
          <w:rFonts w:ascii="仿宋" w:eastAsia="仿宋" w:hAnsi="仿宋" w:cs="仿宋" w:hint="eastAsia"/>
          <w:kern w:val="0"/>
          <w:sz w:val="32"/>
          <w:szCs w:val="32"/>
        </w:rPr>
        <w:t>打破峡谷山区地域空间桎梏，</w:t>
      </w:r>
      <w:r>
        <w:rPr>
          <w:rFonts w:ascii="仿宋" w:eastAsia="仿宋" w:hAnsi="仿宋" w:cs="仿宋" w:hint="eastAsia"/>
          <w:sz w:val="32"/>
          <w:szCs w:val="32"/>
        </w:rPr>
        <w:t>顺应区域一体化发展趋势，立足比较优势，创造竞争优势，</w:t>
      </w:r>
      <w:r>
        <w:rPr>
          <w:rFonts w:ascii="仿宋" w:eastAsia="仿宋" w:hAnsi="仿宋" w:cs="仿宋" w:hint="eastAsia"/>
          <w:kern w:val="0"/>
          <w:sz w:val="32"/>
          <w:szCs w:val="32"/>
        </w:rPr>
        <w:t>积极承接东部沿海和成渝地区产业转移，</w:t>
      </w:r>
      <w:r>
        <w:rPr>
          <w:rFonts w:ascii="仿宋" w:eastAsia="仿宋" w:hAnsi="仿宋" w:cs="仿宋" w:hint="eastAsia"/>
          <w:sz w:val="32"/>
          <w:szCs w:val="32"/>
        </w:rPr>
        <w:t>不断深化区域合作和对外开放，</w:t>
      </w:r>
      <w:r>
        <w:rPr>
          <w:rFonts w:ascii="仿宋" w:eastAsia="仿宋" w:hAnsi="仿宋" w:cs="仿宋" w:hint="eastAsia"/>
          <w:spacing w:val="-6"/>
          <w:sz w:val="32"/>
          <w:szCs w:val="32"/>
        </w:rPr>
        <w:t>加快融入双循环新发展格局，</w:t>
      </w:r>
      <w:r>
        <w:rPr>
          <w:rFonts w:ascii="仿宋" w:eastAsia="仿宋" w:hAnsi="仿宋" w:cs="仿宋" w:hint="eastAsia"/>
          <w:kern w:val="0"/>
          <w:sz w:val="32"/>
          <w:szCs w:val="32"/>
        </w:rPr>
        <w:t>建设川滇藏彝走廊开明开放门户区。</w:t>
      </w:r>
    </w:p>
    <w:p w:rsidR="00E35214" w:rsidRDefault="00E35214">
      <w:pPr>
        <w:pStyle w:val="2"/>
        <w:snapToGrid w:val="0"/>
        <w:textAlignment w:val="baseline"/>
      </w:pPr>
      <w:bookmarkStart w:id="241" w:name="_Toc8051"/>
      <w:bookmarkStart w:id="242" w:name="_Toc8969"/>
      <w:bookmarkStart w:id="243" w:name="_Toc12101"/>
      <w:bookmarkStart w:id="244" w:name="_Toc18200"/>
      <w:bookmarkStart w:id="245" w:name="_Toc7350"/>
      <w:bookmarkStart w:id="246" w:name="_Toc12186"/>
      <w:bookmarkStart w:id="247" w:name="_Toc30358"/>
      <w:bookmarkStart w:id="248" w:name="_Toc13364"/>
      <w:bookmarkStart w:id="249" w:name="_Toc6680"/>
      <w:bookmarkStart w:id="250" w:name="_Toc20902"/>
    </w:p>
    <w:p w:rsidR="00E35214" w:rsidRDefault="006F7231">
      <w:pPr>
        <w:pStyle w:val="2"/>
        <w:snapToGrid w:val="0"/>
        <w:textAlignment w:val="baseline"/>
      </w:pPr>
      <w:r>
        <w:rPr>
          <w:rFonts w:hint="eastAsia"/>
        </w:rPr>
        <w:t>第十三章融入区域发展大格局</w:t>
      </w:r>
      <w:bookmarkEnd w:id="241"/>
      <w:bookmarkEnd w:id="242"/>
      <w:bookmarkEnd w:id="243"/>
      <w:bookmarkEnd w:id="244"/>
      <w:bookmarkEnd w:id="245"/>
      <w:bookmarkEnd w:id="246"/>
      <w:bookmarkEnd w:id="247"/>
      <w:bookmarkEnd w:id="248"/>
      <w:bookmarkEnd w:id="249"/>
      <w:bookmarkEnd w:id="250"/>
    </w:p>
    <w:p w:rsidR="00E35214" w:rsidRDefault="006F7231">
      <w:pPr>
        <w:pBdr>
          <w:top w:val="single" w:sz="4" w:space="2" w:color="FFFFFF"/>
          <w:left w:val="single" w:sz="4" w:space="31" w:color="FFFFFF"/>
          <w:bottom w:val="single" w:sz="4" w:space="31" w:color="FFFFFF"/>
          <w:right w:val="single" w:sz="4" w:space="13" w:color="FFFFFF"/>
        </w:pBdr>
        <w:snapToGrid w:val="0"/>
        <w:spacing w:line="600" w:lineRule="exact"/>
        <w:ind w:firstLineChars="200" w:firstLine="640"/>
        <w:textAlignment w:val="baseline"/>
        <w:rPr>
          <w:rFonts w:ascii="仿宋" w:eastAsia="仿宋" w:hAnsi="仿宋" w:cs="仿宋"/>
          <w:sz w:val="20"/>
          <w:szCs w:val="22"/>
        </w:rPr>
      </w:pPr>
      <w:r>
        <w:rPr>
          <w:rFonts w:ascii="仿宋" w:eastAsia="仿宋" w:hAnsi="仿宋" w:cs="仿宋" w:hint="eastAsia"/>
          <w:kern w:val="0"/>
          <w:sz w:val="32"/>
          <w:szCs w:val="32"/>
        </w:rPr>
        <w:t>抢抓“一带一路”建设、长江经济带发展、成渝地区双城经济圈建设等重大战略机遇，</w:t>
      </w:r>
      <w:r>
        <w:rPr>
          <w:rFonts w:ascii="仿宋" w:eastAsia="仿宋" w:hAnsi="仿宋" w:cs="仿宋" w:hint="eastAsia"/>
          <w:spacing w:val="-6"/>
          <w:sz w:val="32"/>
          <w:szCs w:val="32"/>
        </w:rPr>
        <w:t>推动金口河与周边区域交通互联、产业融合、市场共享、生态共治，做强区域合作平台，更好融入区域发展大格局。</w:t>
      </w:r>
      <w:bookmarkStart w:id="251" w:name="_Toc20309"/>
      <w:bookmarkStart w:id="252" w:name="_Toc20869"/>
      <w:bookmarkStart w:id="253" w:name="_Toc17708"/>
      <w:bookmarkStart w:id="254" w:name="_Toc31675"/>
      <w:bookmarkStart w:id="255" w:name="_Toc14282"/>
      <w:bookmarkStart w:id="256" w:name="_Toc2796"/>
    </w:p>
    <w:p w:rsidR="00E35214" w:rsidRDefault="006F7231">
      <w:pPr>
        <w:pStyle w:val="3"/>
        <w:snapToGrid w:val="0"/>
        <w:spacing w:line="580" w:lineRule="exact"/>
        <w:ind w:right="525" w:firstLineChars="200" w:firstLine="643"/>
        <w:textAlignment w:val="baseline"/>
        <w:rPr>
          <w:rFonts w:ascii="仿宋" w:eastAsia="仿宋" w:hAnsi="仿宋" w:cs="仿宋"/>
          <w:kern w:val="0"/>
          <w:szCs w:val="22"/>
        </w:rPr>
      </w:pPr>
      <w:r>
        <w:rPr>
          <w:rFonts w:ascii="仿宋" w:eastAsia="仿宋" w:hAnsi="仿宋" w:cs="仿宋" w:hint="eastAsia"/>
          <w:szCs w:val="22"/>
        </w:rPr>
        <w:t>第一节深度融入成乐一体化发展</w:t>
      </w:r>
      <w:bookmarkEnd w:id="251"/>
      <w:bookmarkEnd w:id="252"/>
    </w:p>
    <w:p w:rsidR="00E35214" w:rsidRDefault="006F7231">
      <w:pPr>
        <w:pBdr>
          <w:top w:val="single" w:sz="4" w:space="2" w:color="FFFFFF"/>
          <w:left w:val="single" w:sz="4" w:space="31" w:color="FFFFFF"/>
          <w:bottom w:val="single" w:sz="4" w:space="31" w:color="FFFFFF"/>
          <w:right w:val="single" w:sz="4" w:space="13" w:color="FFFFFF"/>
        </w:pBdr>
        <w:snapToGrid w:val="0"/>
        <w:spacing w:line="600" w:lineRule="exact"/>
        <w:ind w:right="525"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以更大力度、更高标准承接成都、乐山等外部地区产业链条和关联产业转移，补齐建强自身产业链条，争创承接产业转移带动彝区脱贫振兴示范区。突出抓好“飞地”产业园区共建，建立跨区域承接产业转移协调机制，完善信息对接、权益分享、税收分成等政策体系，引进一批先</w:t>
      </w:r>
      <w:r>
        <w:rPr>
          <w:rFonts w:ascii="仿宋" w:eastAsia="仿宋" w:hAnsi="仿宋" w:cs="仿宋" w:hint="eastAsia"/>
          <w:spacing w:val="-6"/>
          <w:sz w:val="32"/>
          <w:szCs w:val="32"/>
        </w:rPr>
        <w:lastRenderedPageBreak/>
        <w:t>导型、牵引性重大产业项目落地。推动建立和完善多层次、常态化务实合作长效机制，共同推动合作事项落地落实。</w:t>
      </w:r>
    </w:p>
    <w:p w:rsidR="00E35214" w:rsidRDefault="006F7231">
      <w:pPr>
        <w:pStyle w:val="3"/>
        <w:snapToGrid w:val="0"/>
        <w:spacing w:line="580" w:lineRule="exact"/>
        <w:ind w:firstLineChars="200" w:firstLine="643"/>
        <w:textAlignment w:val="baseline"/>
        <w:rPr>
          <w:rFonts w:ascii="仿宋" w:eastAsia="仿宋" w:hAnsi="仿宋" w:cs="仿宋"/>
          <w:b w:val="0"/>
          <w:bCs w:val="0"/>
          <w:spacing w:val="-6"/>
          <w:szCs w:val="22"/>
        </w:rPr>
      </w:pPr>
      <w:bookmarkStart w:id="257" w:name="_Toc29093"/>
      <w:bookmarkStart w:id="258" w:name="_Toc18583"/>
      <w:r>
        <w:rPr>
          <w:rFonts w:ascii="仿宋" w:eastAsia="仿宋" w:hAnsi="仿宋" w:cs="仿宋" w:hint="eastAsia"/>
          <w:szCs w:val="22"/>
        </w:rPr>
        <w:t>第二节</w:t>
      </w:r>
      <w:r>
        <w:rPr>
          <w:rFonts w:ascii="仿宋" w:eastAsia="仿宋" w:hAnsi="仿宋" w:cs="仿宋" w:hint="eastAsia"/>
          <w:spacing w:val="-6"/>
          <w:szCs w:val="22"/>
        </w:rPr>
        <w:t>全面融入成渝地区双城经济圈发展</w:t>
      </w:r>
      <w:bookmarkEnd w:id="253"/>
      <w:bookmarkEnd w:id="254"/>
      <w:bookmarkEnd w:id="255"/>
      <w:bookmarkEnd w:id="256"/>
      <w:bookmarkEnd w:id="257"/>
      <w:bookmarkEnd w:id="258"/>
    </w:p>
    <w:p w:rsidR="00E35214" w:rsidRDefault="006F7231">
      <w:pPr>
        <w:snapToGrid w:val="0"/>
        <w:spacing w:line="58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融入成渝地区制造业产业体系，加快培育新材料、电子信息等先进制造业，积极承接产业转移和发展飞地经济，强化与成渝地区先进制造业协同发展。融入成渝供应链，打造建筑新材料供应基地，做大做强新材料产业。建设成渝绿色农产品供应地，深入实施“品牌先导”战略，加快实施“金口金品”进万家，推动金口河特色农产品进入成渝地区消费市场，加快建设成渝地区绿色农产品供应地。全面融入成渝地区文旅大走廊，依托优美的自然环境和深厚文化底蕴，加速与“三九大”品牌合作，参与共建巴蜀文化旅游走廊和藏羌彝文化产业走廊，加强资源整合、整体推广和市场开拓，加速融入成渝地区文化旅游圈。高质量构建内畅外联通道，加快全域开放立体交通网络建设，加速融入成渝地区双城经济圈核心区。全面融入成渝地区双城经济圈协同创新体系，积极承接全面创新改革试验任务，加强与成渝地区高校和研发机构合作，全面提升创新能力。全面融入成渝地区双城经济圈公共服务体系，加大力度引入优质医疗资源，推动教育补齐发展短板，不断提升公共服务水平。</w:t>
      </w:r>
    </w:p>
    <w:p w:rsidR="00E35214" w:rsidRDefault="006F7231">
      <w:pPr>
        <w:pStyle w:val="3"/>
        <w:snapToGrid w:val="0"/>
        <w:spacing w:line="580" w:lineRule="exact"/>
        <w:ind w:firstLineChars="200" w:firstLine="643"/>
        <w:textAlignment w:val="baseline"/>
        <w:rPr>
          <w:rFonts w:ascii="仿宋" w:eastAsia="仿宋" w:hAnsi="仿宋" w:cs="仿宋"/>
          <w:szCs w:val="22"/>
        </w:rPr>
      </w:pPr>
      <w:bookmarkStart w:id="259" w:name="_Toc3582"/>
      <w:bookmarkStart w:id="260" w:name="_Toc2321"/>
      <w:r>
        <w:rPr>
          <w:rFonts w:ascii="仿宋" w:eastAsia="仿宋" w:hAnsi="仿宋" w:cs="仿宋" w:hint="eastAsia"/>
          <w:szCs w:val="22"/>
        </w:rPr>
        <w:lastRenderedPageBreak/>
        <w:t>第三节全方位扩大开放合作</w:t>
      </w:r>
      <w:bookmarkEnd w:id="259"/>
      <w:bookmarkEnd w:id="260"/>
    </w:p>
    <w:p w:rsidR="00E35214" w:rsidRDefault="006F7231">
      <w:pPr>
        <w:snapToGrid w:val="0"/>
        <w:spacing w:line="580" w:lineRule="atLeast"/>
        <w:ind w:firstLineChars="200" w:firstLine="616"/>
        <w:textAlignment w:val="baseline"/>
        <w:rPr>
          <w:rFonts w:ascii="仿宋" w:eastAsia="仿宋" w:hAnsi="仿宋" w:cs="仿宋"/>
          <w:sz w:val="32"/>
          <w:szCs w:val="22"/>
        </w:rPr>
      </w:pPr>
      <w:r>
        <w:rPr>
          <w:rFonts w:ascii="仿宋" w:eastAsia="仿宋" w:hAnsi="仿宋" w:cs="仿宋" w:hint="eastAsia"/>
          <w:spacing w:val="-6"/>
          <w:sz w:val="32"/>
          <w:szCs w:val="32"/>
        </w:rPr>
        <w:t>发挥比较优势，坚持实施更大范围、更宽领域、更深层次对外开放和区域合作，不断拓展经济发展新空间。以项目质量为中心，健全选商引资机制，加大招商引资力度，提高招商引资质量和水平。</w:t>
      </w:r>
      <w:r>
        <w:rPr>
          <w:rFonts w:ascii="仿宋" w:eastAsia="仿宋" w:hAnsi="仿宋" w:cs="仿宋" w:hint="eastAsia"/>
          <w:kern w:val="0"/>
          <w:sz w:val="32"/>
          <w:szCs w:val="32"/>
        </w:rPr>
        <w:t>抢抓产业承接等政策机遇和西博会、旅博会等节会契机，精准开展招大引优、资源招商、以商招商、产业链招商，加快引进一批辐射带动能力强的龙头企业和完善产业链条的核心项目。严格实行招商引资目标管理，建立重大招商项目跟踪服务机制，积极加强与意向合作企业的沟通联系，及时处置项目进展中遇到的困难和问题，切实增强工作实效。</w:t>
      </w:r>
      <w:r>
        <w:rPr>
          <w:rFonts w:ascii="仿宋" w:eastAsia="仿宋" w:hAnsi="仿宋" w:cs="仿宋" w:hint="eastAsia"/>
          <w:spacing w:val="-6"/>
          <w:sz w:val="32"/>
          <w:szCs w:val="32"/>
        </w:rPr>
        <w:t>推动对外招商从“引资”到“引智”的转变，将技术、管理、优质商业模式引入金口河。</w:t>
      </w:r>
      <w:r>
        <w:rPr>
          <w:rFonts w:ascii="仿宋" w:eastAsia="仿宋" w:hAnsi="仿宋" w:cs="仿宋" w:hint="eastAsia"/>
          <w:kern w:val="0"/>
          <w:sz w:val="32"/>
          <w:szCs w:val="32"/>
        </w:rPr>
        <w:t>探索建立跨区域一体化管理服务协调和利益分享等合作机制，在专项规划编制、重大政策制定、重大体制创新方面常态化开展区域交流合作和统筹联动，全面加强“双边”“多边”合作。探索跨行政区域的公共资源配置机制，推动金融、能源、电信、医疗等共建共享。支持区属企业积极参与外界资本和项目合作，在基础设施、产业发展、生态环境保护、公共服务等领域发挥作用。</w:t>
      </w:r>
    </w:p>
    <w:p w:rsidR="00E35214" w:rsidRDefault="00E35214">
      <w:pPr>
        <w:snapToGrid w:val="0"/>
        <w:spacing w:line="240" w:lineRule="exact"/>
        <w:ind w:firstLineChars="200" w:firstLine="723"/>
        <w:textAlignment w:val="baseline"/>
        <w:rPr>
          <w:rFonts w:eastAsia="黑体"/>
          <w:b/>
          <w:bCs/>
          <w:kern w:val="44"/>
          <w:sz w:val="36"/>
          <w:szCs w:val="44"/>
        </w:rPr>
      </w:pPr>
    </w:p>
    <w:p w:rsidR="00E35214" w:rsidRDefault="00E35214">
      <w:pPr>
        <w:pStyle w:val="a5"/>
        <w:snapToGrid w:val="0"/>
        <w:textAlignment w:val="baseline"/>
        <w:rPr>
          <w:rFonts w:eastAsia="黑体"/>
          <w:b/>
          <w:bCs/>
          <w:kern w:val="44"/>
          <w:sz w:val="36"/>
          <w:szCs w:val="44"/>
        </w:rPr>
      </w:pPr>
    </w:p>
    <w:p w:rsidR="00E35214" w:rsidRDefault="00E35214">
      <w:pPr>
        <w:snapToGrid w:val="0"/>
        <w:textAlignment w:val="baseline"/>
        <w:rPr>
          <w:rFonts w:eastAsia="黑体"/>
          <w:b/>
          <w:bCs/>
          <w:kern w:val="44"/>
          <w:sz w:val="36"/>
          <w:szCs w:val="44"/>
        </w:rPr>
      </w:pPr>
    </w:p>
    <w:p w:rsidR="00E35214" w:rsidRDefault="00E35214">
      <w:pPr>
        <w:pStyle w:val="a0"/>
        <w:rPr>
          <w:rFonts w:eastAsia="黑体"/>
          <w:b/>
          <w:bCs/>
          <w:kern w:val="44"/>
          <w:sz w:val="36"/>
          <w:szCs w:val="44"/>
        </w:rPr>
      </w:pPr>
    </w:p>
    <w:p w:rsidR="00E35214" w:rsidRDefault="00E35214"/>
    <w:p w:rsidR="00E35214" w:rsidRDefault="00E35214">
      <w:pPr>
        <w:pStyle w:val="20"/>
        <w:snapToGrid w:val="0"/>
        <w:ind w:firstLine="723"/>
        <w:textAlignment w:val="baseline"/>
        <w:rPr>
          <w:rFonts w:eastAsia="黑体"/>
          <w:b/>
          <w:bCs/>
          <w:kern w:val="44"/>
          <w:sz w:val="36"/>
          <w:szCs w:val="44"/>
        </w:rPr>
      </w:pPr>
    </w:p>
    <w:p w:rsidR="00E35214" w:rsidRDefault="006F7231">
      <w:pPr>
        <w:snapToGrid w:val="0"/>
        <w:spacing w:before="340" w:after="330" w:line="580" w:lineRule="atLeast"/>
        <w:jc w:val="center"/>
        <w:textAlignment w:val="baseline"/>
        <w:rPr>
          <w:rFonts w:eastAsia="黑体"/>
          <w:b/>
          <w:bCs/>
          <w:kern w:val="44"/>
          <w:sz w:val="36"/>
          <w:szCs w:val="44"/>
        </w:rPr>
      </w:pPr>
      <w:bookmarkStart w:id="261" w:name="_Toc19236"/>
      <w:bookmarkStart w:id="262" w:name="_Toc11102"/>
      <w:bookmarkStart w:id="263" w:name="_Toc20985"/>
      <w:r>
        <w:rPr>
          <w:rFonts w:eastAsia="黑体" w:hint="eastAsia"/>
          <w:b/>
          <w:bCs/>
          <w:kern w:val="44"/>
          <w:sz w:val="36"/>
          <w:szCs w:val="44"/>
        </w:rPr>
        <w:lastRenderedPageBreak/>
        <w:t>第五篇筑牢生态屏障，建设绿色金口河</w:t>
      </w:r>
    </w:p>
    <w:bookmarkEnd w:id="261"/>
    <w:bookmarkEnd w:id="262"/>
    <w:bookmarkEnd w:id="263"/>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kern w:val="0"/>
          <w:sz w:val="32"/>
          <w:szCs w:val="32"/>
        </w:rPr>
        <w:t>坚持把良好生态环境作为人民生活质量的支撑点、经济社会发展的增长点、展示金口河形象的发力点，统筹推进污染防治、生态治理、新风培育，让守护绿水青山切实转化为思想自觉、行动自觉，建设颜值更高、气质更佳的多彩金口河，创建全国生态文明示范区</w:t>
      </w:r>
      <w:r>
        <w:rPr>
          <w:rFonts w:ascii="仿宋" w:eastAsia="仿宋" w:hAnsi="仿宋" w:cs="仿宋" w:hint="eastAsia"/>
          <w:sz w:val="32"/>
          <w:szCs w:val="32"/>
        </w:rPr>
        <w:t>，夯实高质量发展的生态底色。</w:t>
      </w:r>
    </w:p>
    <w:p w:rsidR="00E35214" w:rsidRDefault="00E35214">
      <w:pPr>
        <w:pStyle w:val="2"/>
        <w:snapToGrid w:val="0"/>
        <w:textAlignment w:val="baseline"/>
      </w:pPr>
      <w:bookmarkStart w:id="264" w:name="_Toc11013"/>
      <w:bookmarkStart w:id="265" w:name="_Toc26976"/>
      <w:bookmarkStart w:id="266" w:name="_Toc564"/>
    </w:p>
    <w:p w:rsidR="00E35214" w:rsidRDefault="006F7231">
      <w:pPr>
        <w:pStyle w:val="2"/>
        <w:snapToGrid w:val="0"/>
        <w:textAlignment w:val="baseline"/>
      </w:pPr>
      <w:r>
        <w:rPr>
          <w:rFonts w:hint="eastAsia"/>
        </w:rPr>
        <w:t>第十四章统筹国土空间开发与保护</w:t>
      </w:r>
      <w:bookmarkEnd w:id="264"/>
      <w:bookmarkEnd w:id="265"/>
      <w:bookmarkEnd w:id="266"/>
    </w:p>
    <w:p w:rsidR="00E35214" w:rsidRDefault="006F7231">
      <w:pPr>
        <w:snapToGrid w:val="0"/>
        <w:spacing w:line="360" w:lineRule="auto"/>
        <w:ind w:firstLineChars="200" w:firstLine="640"/>
        <w:textAlignment w:val="baseline"/>
        <w:rPr>
          <w:rFonts w:ascii="仿宋" w:eastAsia="仿宋" w:hAnsi="仿宋" w:cs="仿宋"/>
          <w:kern w:val="0"/>
          <w:sz w:val="32"/>
          <w:szCs w:val="32"/>
          <w:lang w:val="zh-CN"/>
        </w:rPr>
      </w:pPr>
      <w:r>
        <w:rPr>
          <w:rFonts w:ascii="仿宋" w:eastAsia="仿宋" w:hAnsi="仿宋" w:cs="仿宋" w:hint="eastAsia"/>
          <w:kern w:val="0"/>
          <w:sz w:val="32"/>
          <w:szCs w:val="32"/>
          <w:lang w:val="zh-CN"/>
        </w:rPr>
        <w:t>加快构建覆盖全域、分区分类的空间管控体系，合理划定</w:t>
      </w:r>
      <w:r>
        <w:rPr>
          <w:rFonts w:ascii="仿宋" w:eastAsia="仿宋" w:hAnsi="仿宋" w:cs="仿宋"/>
          <w:kern w:val="0"/>
          <w:sz w:val="32"/>
          <w:szCs w:val="32"/>
          <w:lang w:val="zh-CN"/>
        </w:rPr>
        <w:t>“</w:t>
      </w:r>
      <w:r>
        <w:rPr>
          <w:rFonts w:ascii="仿宋" w:eastAsia="仿宋" w:hAnsi="仿宋" w:cs="仿宋" w:hint="eastAsia"/>
          <w:kern w:val="0"/>
          <w:sz w:val="32"/>
          <w:szCs w:val="32"/>
          <w:lang w:val="zh-CN"/>
        </w:rPr>
        <w:t>三区三线</w:t>
      </w:r>
      <w:r>
        <w:rPr>
          <w:rFonts w:ascii="仿宋" w:eastAsia="仿宋" w:hAnsi="仿宋" w:cs="仿宋"/>
          <w:kern w:val="0"/>
          <w:sz w:val="32"/>
          <w:szCs w:val="32"/>
          <w:lang w:val="zh-CN"/>
        </w:rPr>
        <w:t>”</w:t>
      </w:r>
      <w:r>
        <w:rPr>
          <w:rFonts w:ascii="仿宋" w:eastAsia="仿宋" w:hAnsi="仿宋" w:cs="仿宋" w:hint="eastAsia"/>
          <w:kern w:val="0"/>
          <w:sz w:val="32"/>
          <w:szCs w:val="32"/>
          <w:lang w:val="zh-CN"/>
        </w:rPr>
        <w:t>，注重三类空间和三条主要控制线的衔接协调，全面支撑</w:t>
      </w:r>
      <w:r>
        <w:rPr>
          <w:rFonts w:ascii="仿宋" w:eastAsia="仿宋" w:hAnsi="仿宋" w:cs="仿宋"/>
          <w:kern w:val="0"/>
          <w:sz w:val="32"/>
          <w:szCs w:val="32"/>
          <w:lang w:val="zh-CN"/>
        </w:rPr>
        <w:t>“</w:t>
      </w:r>
      <w:r>
        <w:rPr>
          <w:rFonts w:ascii="仿宋" w:eastAsia="仿宋" w:hAnsi="仿宋" w:cs="仿宋" w:hint="eastAsia"/>
          <w:kern w:val="0"/>
          <w:sz w:val="32"/>
          <w:szCs w:val="32"/>
          <w:lang w:val="zh-CN"/>
        </w:rPr>
        <w:t>一核、三带、三区</w:t>
      </w:r>
      <w:r>
        <w:rPr>
          <w:rFonts w:ascii="仿宋" w:eastAsia="仿宋" w:hAnsi="仿宋" w:cs="仿宋"/>
          <w:kern w:val="0"/>
          <w:sz w:val="32"/>
          <w:szCs w:val="32"/>
          <w:lang w:val="zh-CN"/>
        </w:rPr>
        <w:t>”</w:t>
      </w:r>
      <w:r>
        <w:rPr>
          <w:rFonts w:ascii="仿宋" w:eastAsia="仿宋" w:hAnsi="仿宋" w:cs="仿宋" w:hint="eastAsia"/>
          <w:kern w:val="0"/>
          <w:sz w:val="32"/>
          <w:szCs w:val="32"/>
          <w:lang w:val="zh-CN"/>
        </w:rPr>
        <w:t>国土空间格局。</w:t>
      </w:r>
    </w:p>
    <w:p w:rsidR="00E35214" w:rsidRDefault="006F7231">
      <w:pPr>
        <w:pStyle w:val="20"/>
        <w:snapToGrid w:val="0"/>
        <w:ind w:firstLineChars="0" w:firstLine="0"/>
        <w:jc w:val="center"/>
        <w:textAlignment w:val="baseline"/>
        <w:rPr>
          <w:rFonts w:ascii="楷体" w:eastAsia="楷体" w:hAnsi="楷体" w:cs="楷体"/>
          <w:b/>
          <w:bCs/>
          <w:sz w:val="24"/>
          <w:szCs w:val="24"/>
        </w:rPr>
      </w:pPr>
      <w:r>
        <w:rPr>
          <w:rFonts w:ascii="楷体" w:eastAsia="楷体" w:hAnsi="楷体" w:cs="楷体" w:hint="eastAsia"/>
          <w:b/>
          <w:bCs/>
          <w:sz w:val="24"/>
          <w:szCs w:val="24"/>
        </w:rPr>
        <w:t>专栏12  “一核、三区、三带” 国土空间开发保护总体格局</w:t>
      </w:r>
    </w:p>
    <w:p w:rsidR="00E35214" w:rsidRDefault="00E35214">
      <w:pPr>
        <w:snapToGrid w:val="0"/>
        <w:textAlignment w:val="baseline"/>
        <w:rPr>
          <w:sz w:val="20"/>
          <w:lang w:val="zh-CN"/>
        </w:rPr>
      </w:pP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4678"/>
        <w:gridCol w:w="2774"/>
      </w:tblGrid>
      <w:tr w:rsidR="00E35214">
        <w:trPr>
          <w:trHeight w:val="114"/>
        </w:trPr>
        <w:tc>
          <w:tcPr>
            <w:tcW w:w="5524" w:type="dxa"/>
            <w:gridSpan w:val="2"/>
            <w:vAlign w:val="center"/>
          </w:tcPr>
          <w:p w:rsidR="00E35214" w:rsidRDefault="006F7231">
            <w:pPr>
              <w:pStyle w:val="ad"/>
              <w:snapToGrid w:val="0"/>
              <w:spacing w:before="0" w:beforeAutospacing="0" w:after="225" w:afterAutospacing="0"/>
              <w:jc w:val="center"/>
              <w:textAlignment w:val="baseline"/>
              <w:rPr>
                <w:rFonts w:ascii="楷体" w:eastAsia="楷体" w:hAnsi="楷体" w:cs="楷体"/>
                <w:b/>
                <w:bCs/>
                <w:kern w:val="2"/>
              </w:rPr>
            </w:pPr>
            <w:r>
              <w:rPr>
                <w:rFonts w:ascii="楷体" w:eastAsia="楷体" w:hAnsi="楷体" w:cs="楷体" w:hint="eastAsia"/>
                <w:b/>
                <w:bCs/>
                <w:kern w:val="2"/>
              </w:rPr>
              <w:t>格局涵义</w:t>
            </w:r>
          </w:p>
        </w:tc>
        <w:tc>
          <w:tcPr>
            <w:tcW w:w="2774" w:type="dxa"/>
            <w:vAlign w:val="center"/>
          </w:tcPr>
          <w:p w:rsidR="00E35214" w:rsidRDefault="006F7231">
            <w:pPr>
              <w:pStyle w:val="ad"/>
              <w:snapToGrid w:val="0"/>
              <w:spacing w:before="0" w:beforeAutospacing="0" w:after="225" w:afterAutospacing="0"/>
              <w:jc w:val="center"/>
              <w:textAlignment w:val="baseline"/>
              <w:rPr>
                <w:rFonts w:ascii="楷体" w:eastAsia="楷体" w:hAnsi="楷体" w:cs="楷体"/>
                <w:b/>
                <w:bCs/>
                <w:kern w:val="2"/>
              </w:rPr>
            </w:pPr>
            <w:r>
              <w:rPr>
                <w:rFonts w:ascii="楷体" w:eastAsia="楷体" w:hAnsi="楷体" w:cs="楷体" w:hint="eastAsia"/>
                <w:b/>
                <w:bCs/>
                <w:kern w:val="2"/>
              </w:rPr>
              <w:t>开发保护模式</w:t>
            </w:r>
          </w:p>
        </w:tc>
      </w:tr>
      <w:tr w:rsidR="00E35214">
        <w:trPr>
          <w:trHeight w:val="486"/>
        </w:trPr>
        <w:tc>
          <w:tcPr>
            <w:tcW w:w="846" w:type="dxa"/>
          </w:tcPr>
          <w:p w:rsidR="00E35214" w:rsidRDefault="006F7231">
            <w:pPr>
              <w:pStyle w:val="ad"/>
              <w:snapToGrid w:val="0"/>
              <w:spacing w:before="0" w:beforeAutospacing="0" w:after="225" w:afterAutospacing="0"/>
              <w:jc w:val="both"/>
              <w:textAlignment w:val="baseline"/>
              <w:rPr>
                <w:rFonts w:ascii="楷体" w:eastAsia="楷体" w:hAnsi="楷体" w:cs="楷体"/>
                <w:kern w:val="2"/>
              </w:rPr>
            </w:pPr>
            <w:r>
              <w:rPr>
                <w:rFonts w:ascii="楷体" w:eastAsia="楷体" w:hAnsi="楷体" w:cs="楷体" w:hint="eastAsia"/>
                <w:kern w:val="2"/>
              </w:rPr>
              <w:t>1、一核</w:t>
            </w:r>
          </w:p>
        </w:tc>
        <w:tc>
          <w:tcPr>
            <w:tcW w:w="4678" w:type="dxa"/>
          </w:tcPr>
          <w:p w:rsidR="00E35214" w:rsidRDefault="006F7231">
            <w:pPr>
              <w:pStyle w:val="ad"/>
              <w:snapToGrid w:val="0"/>
              <w:spacing w:before="0" w:beforeAutospacing="0" w:after="225" w:afterAutospacing="0"/>
              <w:jc w:val="both"/>
              <w:textAlignment w:val="baseline"/>
              <w:rPr>
                <w:rFonts w:ascii="楷体" w:eastAsia="楷体" w:hAnsi="楷体" w:cs="楷体"/>
                <w:kern w:val="2"/>
              </w:rPr>
            </w:pPr>
            <w:r>
              <w:rPr>
                <w:rFonts w:ascii="楷体" w:eastAsia="楷体" w:hAnsi="楷体" w:cs="楷体" w:hint="eastAsia"/>
                <w:kern w:val="2"/>
              </w:rPr>
              <w:t>金口河中心城区，全区的政治、经济、文化中心，以及辐射和带动全区发展的核心。</w:t>
            </w:r>
          </w:p>
        </w:tc>
        <w:tc>
          <w:tcPr>
            <w:tcW w:w="2774" w:type="dxa"/>
          </w:tcPr>
          <w:p w:rsidR="00E35214" w:rsidRDefault="006F7231">
            <w:pPr>
              <w:pStyle w:val="ad"/>
              <w:snapToGrid w:val="0"/>
              <w:spacing w:before="0" w:beforeAutospacing="0" w:after="225" w:afterAutospacing="0"/>
              <w:jc w:val="both"/>
              <w:textAlignment w:val="baseline"/>
              <w:rPr>
                <w:rFonts w:ascii="楷体" w:eastAsia="楷体" w:hAnsi="楷体" w:cs="楷体"/>
                <w:kern w:val="2"/>
              </w:rPr>
            </w:pPr>
            <w:r>
              <w:rPr>
                <w:rFonts w:ascii="楷体" w:eastAsia="楷体" w:hAnsi="楷体" w:cs="楷体" w:hint="eastAsia"/>
                <w:kern w:val="2"/>
              </w:rPr>
              <w:t>重点发展</w:t>
            </w:r>
          </w:p>
        </w:tc>
      </w:tr>
      <w:tr w:rsidR="00E35214">
        <w:trPr>
          <w:trHeight w:val="65"/>
        </w:trPr>
        <w:tc>
          <w:tcPr>
            <w:tcW w:w="846" w:type="dxa"/>
          </w:tcPr>
          <w:p w:rsidR="00E35214" w:rsidRDefault="006F7231">
            <w:pPr>
              <w:pStyle w:val="ad"/>
              <w:snapToGrid w:val="0"/>
              <w:spacing w:before="0" w:beforeAutospacing="0" w:after="225" w:afterAutospacing="0"/>
              <w:jc w:val="both"/>
              <w:textAlignment w:val="baseline"/>
              <w:rPr>
                <w:rFonts w:ascii="楷体" w:eastAsia="楷体" w:hAnsi="楷体" w:cs="楷体"/>
                <w:kern w:val="2"/>
              </w:rPr>
            </w:pPr>
            <w:r>
              <w:rPr>
                <w:rFonts w:ascii="楷体" w:eastAsia="楷体" w:hAnsi="楷体" w:cs="楷体" w:hint="eastAsia"/>
                <w:kern w:val="2"/>
              </w:rPr>
              <w:t>2、三带</w:t>
            </w:r>
          </w:p>
        </w:tc>
        <w:tc>
          <w:tcPr>
            <w:tcW w:w="4678" w:type="dxa"/>
          </w:tcPr>
          <w:p w:rsidR="00E35214" w:rsidRDefault="006F7231">
            <w:pPr>
              <w:pStyle w:val="ad"/>
              <w:snapToGrid w:val="0"/>
              <w:spacing w:before="0" w:beforeAutospacing="0" w:after="225" w:afterAutospacing="0"/>
              <w:jc w:val="both"/>
              <w:textAlignment w:val="baseline"/>
              <w:rPr>
                <w:rFonts w:ascii="楷体" w:eastAsia="楷体" w:hAnsi="楷体" w:cs="楷体"/>
                <w:kern w:val="2"/>
              </w:rPr>
            </w:pPr>
            <w:r>
              <w:rPr>
                <w:rFonts w:ascii="楷体" w:eastAsia="楷体" w:hAnsi="楷体" w:cs="楷体" w:hint="eastAsia"/>
                <w:kern w:val="2"/>
              </w:rPr>
              <w:t>沿大渡河、顺水河和小河河谷，包括沿线的城镇、村庄以及河谷两侧中低山农业区所形成的带状区域，是金口河主要的农业开发空间。</w:t>
            </w:r>
          </w:p>
        </w:tc>
        <w:tc>
          <w:tcPr>
            <w:tcW w:w="2774" w:type="dxa"/>
          </w:tcPr>
          <w:p w:rsidR="00E35214" w:rsidRDefault="006F7231">
            <w:pPr>
              <w:pStyle w:val="ad"/>
              <w:snapToGrid w:val="0"/>
              <w:spacing w:before="0" w:beforeAutospacing="0" w:after="225" w:afterAutospacing="0"/>
              <w:jc w:val="both"/>
              <w:textAlignment w:val="baseline"/>
              <w:rPr>
                <w:rFonts w:ascii="楷体" w:eastAsia="楷体" w:hAnsi="楷体" w:cs="楷体"/>
                <w:kern w:val="2"/>
              </w:rPr>
            </w:pPr>
            <w:r>
              <w:rPr>
                <w:rFonts w:ascii="楷体" w:eastAsia="楷体" w:hAnsi="楷体" w:cs="楷体" w:hint="eastAsia"/>
                <w:kern w:val="2"/>
              </w:rPr>
              <w:t>面上开发利用，局部生态保护</w:t>
            </w:r>
          </w:p>
        </w:tc>
      </w:tr>
      <w:tr w:rsidR="00E35214">
        <w:trPr>
          <w:trHeight w:val="65"/>
        </w:trPr>
        <w:tc>
          <w:tcPr>
            <w:tcW w:w="846" w:type="dxa"/>
          </w:tcPr>
          <w:p w:rsidR="00E35214" w:rsidRDefault="006F7231">
            <w:pPr>
              <w:pStyle w:val="ad"/>
              <w:snapToGrid w:val="0"/>
              <w:spacing w:before="0" w:beforeAutospacing="0" w:after="225" w:afterAutospacing="0"/>
              <w:jc w:val="both"/>
              <w:textAlignment w:val="baseline"/>
              <w:rPr>
                <w:rFonts w:ascii="楷体" w:eastAsia="楷体" w:hAnsi="楷体" w:cs="楷体"/>
                <w:kern w:val="2"/>
              </w:rPr>
            </w:pPr>
            <w:r>
              <w:rPr>
                <w:rFonts w:ascii="楷体" w:eastAsia="楷体" w:hAnsi="楷体" w:cs="楷体" w:hint="eastAsia"/>
                <w:kern w:val="2"/>
              </w:rPr>
              <w:t>3、三区</w:t>
            </w:r>
          </w:p>
        </w:tc>
        <w:tc>
          <w:tcPr>
            <w:tcW w:w="4678" w:type="dxa"/>
          </w:tcPr>
          <w:p w:rsidR="00E35214" w:rsidRDefault="006F7231">
            <w:pPr>
              <w:pStyle w:val="ad"/>
              <w:snapToGrid w:val="0"/>
              <w:spacing w:before="0" w:beforeAutospacing="0" w:after="225" w:afterAutospacing="0"/>
              <w:jc w:val="both"/>
              <w:textAlignment w:val="baseline"/>
              <w:rPr>
                <w:rFonts w:ascii="楷体" w:eastAsia="楷体" w:hAnsi="楷体" w:cs="楷体"/>
                <w:kern w:val="2"/>
              </w:rPr>
            </w:pPr>
            <w:r>
              <w:rPr>
                <w:rFonts w:ascii="楷体" w:eastAsia="楷体" w:hAnsi="楷体" w:cs="楷体" w:hint="eastAsia"/>
                <w:kern w:val="2"/>
              </w:rPr>
              <w:t>包括八月林、大峡谷-大瓦山、野牛河3个自然生态保护片区，是金口河生物多样性保护和生态修复的主要区域。</w:t>
            </w:r>
          </w:p>
        </w:tc>
        <w:tc>
          <w:tcPr>
            <w:tcW w:w="2774" w:type="dxa"/>
          </w:tcPr>
          <w:p w:rsidR="00E35214" w:rsidRDefault="006F7231">
            <w:pPr>
              <w:pStyle w:val="ad"/>
              <w:snapToGrid w:val="0"/>
              <w:spacing w:before="0" w:beforeAutospacing="0" w:after="225" w:afterAutospacing="0"/>
              <w:jc w:val="both"/>
              <w:textAlignment w:val="baseline"/>
              <w:rPr>
                <w:rFonts w:ascii="楷体" w:eastAsia="楷体" w:hAnsi="楷体" w:cs="楷体"/>
                <w:kern w:val="2"/>
              </w:rPr>
            </w:pPr>
            <w:r>
              <w:rPr>
                <w:rFonts w:ascii="楷体" w:eastAsia="楷体" w:hAnsi="楷体" w:cs="楷体" w:hint="eastAsia"/>
                <w:kern w:val="2"/>
              </w:rPr>
              <w:t>面上生态保护，配套观光型旅游开发利用</w:t>
            </w:r>
          </w:p>
        </w:tc>
      </w:tr>
    </w:tbl>
    <w:p w:rsidR="00E35214" w:rsidRDefault="00E35214">
      <w:pPr>
        <w:pStyle w:val="20"/>
        <w:snapToGrid w:val="0"/>
        <w:textAlignment w:val="baseline"/>
        <w:rPr>
          <w:sz w:val="21"/>
        </w:rPr>
      </w:pPr>
    </w:p>
    <w:p w:rsidR="00E35214" w:rsidRDefault="006F7231">
      <w:pPr>
        <w:pStyle w:val="3"/>
        <w:snapToGrid w:val="0"/>
        <w:spacing w:line="580" w:lineRule="exact"/>
        <w:textAlignment w:val="baseline"/>
        <w:rPr>
          <w:rFonts w:ascii="仿宋" w:eastAsia="仿宋" w:hAnsi="仿宋" w:cs="仿宋"/>
          <w:b w:val="0"/>
          <w:szCs w:val="22"/>
        </w:rPr>
      </w:pPr>
      <w:r>
        <w:rPr>
          <w:rFonts w:ascii="仿宋" w:eastAsia="仿宋" w:hAnsi="仿宋" w:cs="仿宋" w:hint="eastAsia"/>
          <w:szCs w:val="22"/>
        </w:rPr>
        <w:lastRenderedPageBreak/>
        <w:t>第一节优化国土空间布局</w:t>
      </w:r>
    </w:p>
    <w:p w:rsidR="00E35214" w:rsidRDefault="006F7231">
      <w:pPr>
        <w:snapToGrid w:val="0"/>
        <w:spacing w:line="360" w:lineRule="auto"/>
        <w:ind w:firstLineChars="200" w:firstLine="640"/>
        <w:textAlignment w:val="baseline"/>
        <w:rPr>
          <w:rFonts w:ascii="仿宋" w:eastAsia="仿宋" w:hAnsi="仿宋" w:cs="仿宋"/>
          <w:kern w:val="0"/>
          <w:sz w:val="32"/>
          <w:szCs w:val="32"/>
          <w:lang w:val="zh-CN"/>
        </w:rPr>
      </w:pPr>
      <w:r>
        <w:rPr>
          <w:rFonts w:ascii="仿宋" w:eastAsia="仿宋" w:hAnsi="仿宋" w:cs="仿宋" w:hint="eastAsia"/>
          <w:kern w:val="0"/>
          <w:sz w:val="32"/>
          <w:szCs w:val="32"/>
          <w:lang w:val="zh-CN"/>
        </w:rPr>
        <w:t>按照“优势区域重点发展、生态区域重点保护”要求，落实重点生态保护区的主体功能区战略，规划形成科学合理的生产空间、生活空间和生态空间。严格划定生态保护红线、永久基本农田、城镇开发边界，形成主体功能明显、优势互补、高质量发展的国土空间开发保护新格局。规划山清水秀的生态空间、集约高效的农业空间、宜居适度的城镇空间。严格控制资源环境开发强度，确保其功能不降低、面积不减少、性质不改变、资源使用不超限。对具有特殊生态功能的区域实施严格保护。</w:t>
      </w:r>
    </w:p>
    <w:p w:rsidR="00E35214" w:rsidRDefault="006F7231">
      <w:pPr>
        <w:pStyle w:val="3"/>
        <w:snapToGrid w:val="0"/>
        <w:spacing w:line="580" w:lineRule="exact"/>
        <w:textAlignment w:val="baseline"/>
        <w:rPr>
          <w:rFonts w:ascii="仿宋" w:eastAsia="仿宋" w:hAnsi="仿宋" w:cs="仿宋"/>
          <w:b w:val="0"/>
          <w:szCs w:val="22"/>
        </w:rPr>
      </w:pPr>
      <w:r>
        <w:rPr>
          <w:rFonts w:ascii="仿宋" w:eastAsia="仿宋" w:hAnsi="仿宋" w:cs="仿宋" w:hint="eastAsia"/>
          <w:szCs w:val="22"/>
        </w:rPr>
        <w:t>第二节严格国土用途管控</w:t>
      </w:r>
    </w:p>
    <w:p w:rsidR="00E35214" w:rsidRDefault="006F7231">
      <w:pPr>
        <w:pStyle w:val="20"/>
        <w:snapToGrid w:val="0"/>
        <w:spacing w:line="580" w:lineRule="atLeast"/>
        <w:ind w:firstLine="640"/>
        <w:textAlignment w:val="baseline"/>
        <w:rPr>
          <w:sz w:val="21"/>
        </w:rPr>
      </w:pPr>
      <w:r>
        <w:rPr>
          <w:rFonts w:ascii="仿宋" w:eastAsia="仿宋" w:hAnsi="仿宋" w:cs="仿宋" w:hint="eastAsia"/>
          <w:kern w:val="0"/>
          <w:sz w:val="32"/>
          <w:szCs w:val="32"/>
          <w:lang w:val="zh-CN"/>
        </w:rPr>
        <w:t>严守耕地红线，划定永久基本农田，完善耕地占补平衡制度。严禁一般建设项目占用永久基本农田，重大建设项目确实难以避让的，严格履行相关审批手续，并按照“数量不减、质量不降、布局稳定”的原则进行补划。城镇集中建设区实行“详细规划</w:t>
      </w:r>
      <w:r>
        <w:rPr>
          <w:rFonts w:ascii="仿宋" w:eastAsia="仿宋" w:hAnsi="仿宋" w:cs="仿宋"/>
          <w:kern w:val="0"/>
          <w:sz w:val="32"/>
          <w:szCs w:val="32"/>
          <w:lang w:val="zh-CN"/>
        </w:rPr>
        <w:t>+规划许可”的管制方式，在开发建设上要严格遵循国土空间规划确定的用地规模与指标，不得突破建设用地总规模以及建筑限高和容积率等开发强度管控要求。严格管控江河岸线开发利用，</w:t>
      </w:r>
      <w:r>
        <w:rPr>
          <w:rFonts w:ascii="仿宋" w:eastAsia="仿宋" w:hAnsi="仿宋" w:cs="仿宋" w:hint="eastAsia"/>
          <w:kern w:val="0"/>
          <w:sz w:val="32"/>
          <w:szCs w:val="32"/>
        </w:rPr>
        <w:t>参考《长江岸线开发利用与保护规划》相关要求划定岸线保护区、岸线保留区、岸线控制利用区和岸线开发利用区，有效保护自然岸线生态环境，提升开发利用区岸线使用效率。严禁在大渡河岸线</w:t>
      </w:r>
      <w:r>
        <w:rPr>
          <w:rFonts w:ascii="仿宋" w:eastAsia="仿宋" w:hAnsi="仿宋" w:cs="仿宋"/>
          <w:kern w:val="0"/>
          <w:sz w:val="32"/>
          <w:szCs w:val="32"/>
        </w:rPr>
        <w:t>1公</w:t>
      </w:r>
      <w:r>
        <w:rPr>
          <w:rFonts w:ascii="仿宋" w:eastAsia="仿宋" w:hAnsi="仿宋" w:cs="仿宋"/>
          <w:kern w:val="0"/>
          <w:sz w:val="32"/>
          <w:szCs w:val="32"/>
        </w:rPr>
        <w:lastRenderedPageBreak/>
        <w:t>里范围内新建布局化工园区，严控沿岸地区新建化工、涉磷等项目。</w:t>
      </w:r>
    </w:p>
    <w:p w:rsidR="00E35214" w:rsidRDefault="006F7231">
      <w:pPr>
        <w:pStyle w:val="2"/>
        <w:snapToGrid w:val="0"/>
        <w:textAlignment w:val="baseline"/>
      </w:pPr>
      <w:bookmarkStart w:id="267" w:name="_Toc8393"/>
      <w:bookmarkStart w:id="268" w:name="_Toc8075"/>
      <w:bookmarkStart w:id="269" w:name="_Toc28909"/>
      <w:r>
        <w:rPr>
          <w:rFonts w:hint="eastAsia"/>
        </w:rPr>
        <w:t>第十五章增强生态系统功能</w:t>
      </w:r>
      <w:bookmarkEnd w:id="267"/>
      <w:bookmarkEnd w:id="268"/>
      <w:bookmarkEnd w:id="269"/>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统筹山水林田湖草系统保护，实施重点生态工程建设，强化生物多样性保护，健全生态保护补偿机制，筑牢长江上游重要生态屏障，加快建设山清水秀美丽之地。</w:t>
      </w:r>
    </w:p>
    <w:p w:rsidR="00E35214" w:rsidRDefault="006F7231">
      <w:pPr>
        <w:pStyle w:val="3"/>
        <w:snapToGrid w:val="0"/>
        <w:spacing w:line="580" w:lineRule="exact"/>
        <w:textAlignment w:val="baseline"/>
        <w:rPr>
          <w:rFonts w:ascii="仿宋" w:eastAsia="仿宋" w:hAnsi="仿宋" w:cs="仿宋"/>
          <w:b w:val="0"/>
          <w:szCs w:val="22"/>
        </w:rPr>
      </w:pPr>
      <w:r>
        <w:rPr>
          <w:rFonts w:ascii="仿宋" w:eastAsia="仿宋" w:hAnsi="仿宋" w:cs="仿宋" w:hint="eastAsia"/>
          <w:szCs w:val="22"/>
        </w:rPr>
        <w:t>第一节构筑全域生态屏障</w:t>
      </w:r>
    </w:p>
    <w:p w:rsidR="00E35214" w:rsidRDefault="006F7231">
      <w:pPr>
        <w:snapToGrid w:val="0"/>
        <w:spacing w:line="360" w:lineRule="auto"/>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坚持尊重自然、顺应自然、保护自然，坚持节约优先、保护优先、自然恢复为主，推进水源涵养林、生态公益林、湿地和道路廊道建设，全面提升生态系统质量和稳定性。建立全面保护、系统恢复、用途管控、权责明确的天然林保护修复制度体系，维护天然林生态系统的原真性、完整性。</w:t>
      </w:r>
      <w:r>
        <w:rPr>
          <w:rFonts w:ascii="仿宋" w:eastAsia="仿宋" w:hAnsi="仿宋" w:cs="仿宋"/>
          <w:sz w:val="32"/>
          <w:szCs w:val="32"/>
        </w:rPr>
        <w:t>推进金口河区特色</w:t>
      </w:r>
      <w:r>
        <w:rPr>
          <w:rFonts w:ascii="仿宋" w:eastAsia="仿宋" w:hAnsi="仿宋" w:cs="仿宋" w:hint="eastAsia"/>
          <w:sz w:val="32"/>
          <w:szCs w:val="32"/>
        </w:rPr>
        <w:t>森林</w:t>
      </w:r>
      <w:r>
        <w:rPr>
          <w:rFonts w:ascii="仿宋" w:eastAsia="仿宋" w:hAnsi="仿宋" w:cs="仿宋"/>
          <w:sz w:val="32"/>
          <w:szCs w:val="32"/>
        </w:rPr>
        <w:t>资源产业综合开发建设</w:t>
      </w:r>
      <w:r>
        <w:rPr>
          <w:rFonts w:ascii="仿宋" w:eastAsia="仿宋" w:hAnsi="仿宋" w:cs="仿宋" w:hint="eastAsia"/>
          <w:sz w:val="32"/>
          <w:szCs w:val="32"/>
        </w:rPr>
        <w:t>。加强森林防灭火综合防治、森林病虫害防治、、林地管理和野生动植物资源保护等。加强水资源保护、土地资源保护、湿地资源保护。</w:t>
      </w:r>
    </w:p>
    <w:p w:rsidR="00E35214" w:rsidRDefault="006F7231">
      <w:pPr>
        <w:pStyle w:val="3"/>
        <w:snapToGrid w:val="0"/>
        <w:spacing w:line="580" w:lineRule="exact"/>
        <w:textAlignment w:val="baseline"/>
        <w:rPr>
          <w:rFonts w:ascii="仿宋" w:eastAsia="仿宋" w:hAnsi="仿宋" w:cs="仿宋"/>
          <w:spacing w:val="-6"/>
          <w:szCs w:val="22"/>
        </w:rPr>
      </w:pPr>
      <w:r>
        <w:rPr>
          <w:rFonts w:ascii="仿宋" w:eastAsia="仿宋" w:hAnsi="仿宋" w:cs="仿宋" w:hint="eastAsia"/>
          <w:spacing w:val="-6"/>
          <w:szCs w:val="22"/>
        </w:rPr>
        <w:t>第二节加强水土流失治理</w:t>
      </w:r>
    </w:p>
    <w:p w:rsidR="00E35214" w:rsidRDefault="006F7231">
      <w:pPr>
        <w:snapToGrid w:val="0"/>
        <w:spacing w:line="360" w:lineRule="auto"/>
        <w:ind w:firstLineChars="200" w:firstLine="640"/>
        <w:textAlignment w:val="baseline"/>
        <w:rPr>
          <w:rFonts w:ascii="仿宋" w:eastAsia="仿宋" w:hAnsi="仿宋" w:cs="仿宋"/>
          <w:sz w:val="32"/>
          <w:szCs w:val="32"/>
        </w:rPr>
      </w:pPr>
      <w:r>
        <w:rPr>
          <w:rFonts w:ascii="仿宋" w:eastAsia="仿宋" w:hAnsi="仿宋" w:cs="仿宋" w:hint="eastAsia"/>
          <w:sz w:val="32"/>
          <w:szCs w:val="32"/>
        </w:rPr>
        <w:t>以预防为主，避让与治理相结合，分重点分区推进地质灾害治理。以小流域治理为重点，采取生物措施和工程措施相结合的方式治理水土流失，重点开展大渡河左岸以金河镇五一村为中心辐射野牛河、顺水河流域以及以金口河大峡谷</w:t>
      </w:r>
      <w:r>
        <w:rPr>
          <w:rFonts w:ascii="仿宋" w:eastAsia="仿宋" w:hAnsi="仿宋" w:cs="仿宋" w:hint="eastAsia"/>
          <w:sz w:val="32"/>
          <w:szCs w:val="32"/>
        </w:rPr>
        <w:lastRenderedPageBreak/>
        <w:t>为核心辐射白熊沟瓦山神泉区域，和以共安乡小河村为中心辐射小河流域和大渡河右岸上游区域的小流域治理工程。建立地质灾害气象预警预报系统，在地质灾害易发区实施建设用地地质灾害危险性评估制度。</w:t>
      </w:r>
    </w:p>
    <w:p w:rsidR="00E35214" w:rsidRDefault="006F7231">
      <w:pPr>
        <w:pStyle w:val="3"/>
        <w:snapToGrid w:val="0"/>
        <w:spacing w:line="580" w:lineRule="exact"/>
        <w:textAlignment w:val="baseline"/>
        <w:rPr>
          <w:rFonts w:ascii="仿宋" w:eastAsia="仿宋" w:hAnsi="仿宋" w:cs="仿宋"/>
          <w:b w:val="0"/>
          <w:spacing w:val="-6"/>
          <w:szCs w:val="22"/>
        </w:rPr>
      </w:pPr>
      <w:r>
        <w:rPr>
          <w:rFonts w:ascii="仿宋" w:eastAsia="仿宋" w:hAnsi="仿宋" w:cs="仿宋" w:hint="eastAsia"/>
          <w:spacing w:val="-6"/>
          <w:szCs w:val="22"/>
        </w:rPr>
        <w:t>第三节  加强生物多样性保护</w:t>
      </w:r>
    </w:p>
    <w:p w:rsidR="00E35214" w:rsidRDefault="006F7231">
      <w:pPr>
        <w:snapToGrid w:val="0"/>
        <w:spacing w:line="56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开展生物多样性资源本底调查，制定金口河区重点保护陆生野生动物名录。加强野生动植物生境保护，加大对八月林自然保护区、大瓦山湿地公园、大峡谷地质公园等野生动植物重要栖息地的保护力度。开展全区林业及农业外来物种普查，对重点区域开展外来入侵物种阻截带建设。针对现有外来入侵植物情况，制定以生物和物理方法为主的入侵生物治理工作方案。建立外来物种入侵的早期预警机制和跟踪监控体系，建立健全金口河区外来物种应急、联动机制。加强生态监测和监管，严厉打击各种破坏动植物保护的违法犯罪行为。</w:t>
      </w:r>
    </w:p>
    <w:p w:rsidR="00E35214" w:rsidRDefault="006F7231">
      <w:pPr>
        <w:numPr>
          <w:ilvl w:val="0"/>
          <w:numId w:val="2"/>
        </w:numPr>
        <w:snapToGrid w:val="0"/>
        <w:spacing w:before="144" w:after="39"/>
        <w:ind w:right="788"/>
        <w:textAlignment w:val="baseline"/>
        <w:rPr>
          <w:rFonts w:ascii="楷体" w:eastAsia="楷体" w:hAnsi="楷体" w:cs="仿宋"/>
          <w:b/>
          <w:sz w:val="28"/>
        </w:rPr>
      </w:pPr>
      <w:r>
        <w:rPr>
          <w:rFonts w:ascii="楷体" w:eastAsia="楷体" w:hAnsi="楷体" w:cs="仿宋" w:hint="eastAsia"/>
          <w:b/>
          <w:sz w:val="28"/>
        </w:rPr>
        <w:t xml:space="preserve"> 大力推进节能减排</w:t>
      </w:r>
    </w:p>
    <w:p w:rsidR="00E35214" w:rsidRDefault="006F7231">
      <w:pPr>
        <w:pStyle w:val="a0"/>
      </w:pPr>
      <w:r>
        <w:rPr>
          <w:rFonts w:hint="eastAsia"/>
        </w:rPr>
        <w:t xml:space="preserve">  </w:t>
      </w:r>
      <w:r>
        <w:rPr>
          <w:rFonts w:hint="eastAsia"/>
        </w:rPr>
        <w:t>全面落实碳达峰、碳中和政策，引进利用最新节能技术，全面推进工业企业、城市用电节能改造，严格能耗考核，降低单位能耗水平，提高用能效能。积极应对碳达峰挑战，强化能源利用协调，在控制单位能耗基础上，积极争取能源总量指标。持续推进荒山造林，启动地产林改造，进一步提升森林覆盖率。加快清洁能源开发，进一步提升清洁能源利用</w:t>
      </w:r>
      <w:r>
        <w:rPr>
          <w:rFonts w:hint="eastAsia"/>
        </w:rPr>
        <w:lastRenderedPageBreak/>
        <w:t>比例，为早日实现碳中和奠定基础。</w:t>
      </w:r>
    </w:p>
    <w:p w:rsidR="00E35214" w:rsidRDefault="006F7231">
      <w:pPr>
        <w:snapToGrid w:val="0"/>
        <w:spacing w:before="144" w:after="39"/>
        <w:ind w:left="788" w:right="788"/>
        <w:jc w:val="center"/>
        <w:textAlignment w:val="baseline"/>
        <w:rPr>
          <w:rFonts w:ascii="楷体" w:eastAsia="楷体" w:hAnsi="楷体" w:cs="仿宋"/>
          <w:b/>
          <w:sz w:val="28"/>
        </w:rPr>
      </w:pPr>
      <w:r>
        <w:rPr>
          <w:rFonts w:ascii="楷体" w:eastAsia="楷体" w:hAnsi="楷体" w:cs="仿宋" w:hint="eastAsia"/>
          <w:b/>
          <w:sz w:val="28"/>
        </w:rPr>
        <w:t>专栏13生态保护重点项目</w:t>
      </w:r>
    </w:p>
    <w:tbl>
      <w:tblPr>
        <w:tblW w:w="8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62"/>
      </w:tblGrid>
      <w:tr w:rsidR="00E35214">
        <w:trPr>
          <w:trHeight w:val="492"/>
        </w:trPr>
        <w:tc>
          <w:tcPr>
            <w:tcW w:w="8462" w:type="dxa"/>
          </w:tcPr>
          <w:p w:rsidR="00E35214" w:rsidRDefault="006F7231">
            <w:pPr>
              <w:snapToGrid w:val="0"/>
              <w:spacing w:line="400" w:lineRule="atLeast"/>
              <w:ind w:firstLineChars="200" w:firstLine="482"/>
              <w:textAlignment w:val="baseline"/>
              <w:rPr>
                <w:rFonts w:ascii="楷体" w:eastAsia="楷体" w:hAnsi="楷体" w:cs="楷体"/>
                <w:sz w:val="24"/>
              </w:rPr>
            </w:pPr>
            <w:r>
              <w:rPr>
                <w:rFonts w:ascii="楷体" w:eastAsia="楷体" w:hAnsi="楷体" w:cs="楷体" w:hint="eastAsia"/>
                <w:b/>
                <w:bCs/>
                <w:sz w:val="24"/>
              </w:rPr>
              <w:t>统筹山水林田湖草一体化保护和修复。</w:t>
            </w:r>
            <w:r>
              <w:rPr>
                <w:rFonts w:ascii="楷体" w:eastAsia="楷体" w:hAnsi="楷体" w:cs="楷体" w:hint="eastAsia"/>
                <w:sz w:val="24"/>
              </w:rPr>
              <w:t>实施世行贷款长江上游森林生态系统恢复及森林质量精准提升项目</w:t>
            </w:r>
            <w:r>
              <w:rPr>
                <w:rFonts w:ascii="楷体" w:eastAsia="楷体" w:hAnsi="楷体" w:cs="楷体" w:hint="eastAsia"/>
                <w:b/>
                <w:bCs/>
                <w:sz w:val="24"/>
              </w:rPr>
              <w:t>。</w:t>
            </w:r>
            <w:r>
              <w:rPr>
                <w:rFonts w:ascii="楷体" w:eastAsia="楷体" w:hAnsi="楷体" w:cs="楷体" w:hint="eastAsia"/>
                <w:sz w:val="24"/>
              </w:rPr>
              <w:t>编制天然林保护修复制度。启动自然保护地优化及勘界定标、生态保护红线勘界定标。开展森林防灭火综合防治及地质灾害综合治理、避险搬迁项目。</w:t>
            </w:r>
          </w:p>
          <w:p w:rsidR="00E35214" w:rsidRDefault="006F7231">
            <w:pPr>
              <w:snapToGrid w:val="0"/>
              <w:spacing w:line="400" w:lineRule="atLeast"/>
              <w:ind w:firstLineChars="200" w:firstLine="482"/>
              <w:textAlignment w:val="baseline"/>
              <w:rPr>
                <w:rFonts w:ascii="楷体" w:eastAsia="楷体" w:hAnsi="楷体" w:cs="楷体"/>
                <w:sz w:val="24"/>
              </w:rPr>
            </w:pPr>
            <w:r>
              <w:rPr>
                <w:rFonts w:ascii="楷体" w:eastAsia="楷体" w:hAnsi="楷体" w:cs="楷体" w:hint="eastAsia"/>
                <w:b/>
                <w:bCs/>
                <w:sz w:val="24"/>
              </w:rPr>
              <w:t>水土流失治理工程。</w:t>
            </w:r>
            <w:r>
              <w:rPr>
                <w:rFonts w:ascii="楷体" w:eastAsia="楷体" w:hAnsi="楷体" w:cs="楷体" w:hint="eastAsia"/>
                <w:sz w:val="24"/>
              </w:rPr>
              <w:t>实施大峡谷国家地质公园、大瓦山国家湿地公园生态保护修复。</w:t>
            </w:r>
          </w:p>
          <w:p w:rsidR="00E35214" w:rsidRDefault="006F7231">
            <w:pPr>
              <w:snapToGrid w:val="0"/>
              <w:spacing w:line="400" w:lineRule="atLeast"/>
              <w:ind w:firstLineChars="200" w:firstLine="482"/>
              <w:textAlignment w:val="baseline"/>
              <w:rPr>
                <w:rFonts w:ascii="仿宋" w:eastAsia="仿宋" w:hAnsi="仿宋" w:cs="仿宋"/>
                <w:b/>
                <w:sz w:val="20"/>
              </w:rPr>
            </w:pPr>
            <w:r>
              <w:rPr>
                <w:rFonts w:ascii="楷体" w:eastAsia="楷体" w:hAnsi="楷体" w:cs="楷体" w:hint="eastAsia"/>
                <w:b/>
                <w:bCs/>
                <w:sz w:val="24"/>
              </w:rPr>
              <w:t>生态保护科普工程。</w:t>
            </w:r>
            <w:r>
              <w:rPr>
                <w:rFonts w:ascii="楷体" w:eastAsia="楷体" w:hAnsi="楷体" w:cs="楷体"/>
                <w:sz w:val="24"/>
              </w:rPr>
              <w:t>湿地公园科普宣教设施</w:t>
            </w:r>
            <w:r>
              <w:rPr>
                <w:rFonts w:ascii="楷体" w:eastAsia="楷体" w:hAnsi="楷体" w:cs="楷体" w:hint="eastAsia"/>
                <w:sz w:val="24"/>
              </w:rPr>
              <w:t>建设。</w:t>
            </w:r>
          </w:p>
        </w:tc>
      </w:tr>
    </w:tbl>
    <w:p w:rsidR="00E35214" w:rsidRDefault="00E35214">
      <w:pPr>
        <w:pStyle w:val="2"/>
        <w:snapToGrid w:val="0"/>
        <w:textAlignment w:val="baseline"/>
      </w:pPr>
      <w:bookmarkStart w:id="270" w:name="_Toc3381"/>
      <w:bookmarkStart w:id="271" w:name="_Toc23138"/>
      <w:bookmarkStart w:id="272" w:name="_Toc18681"/>
    </w:p>
    <w:p w:rsidR="00E35214" w:rsidRDefault="006F7231">
      <w:pPr>
        <w:pStyle w:val="2"/>
        <w:snapToGrid w:val="0"/>
        <w:textAlignment w:val="baseline"/>
      </w:pPr>
      <w:r>
        <w:rPr>
          <w:rFonts w:hint="eastAsia"/>
        </w:rPr>
        <w:t>第十六章促进生态产品价值转化</w:t>
      </w:r>
      <w:bookmarkEnd w:id="270"/>
      <w:bookmarkEnd w:id="271"/>
      <w:bookmarkEnd w:id="272"/>
    </w:p>
    <w:p w:rsidR="00E35214" w:rsidRDefault="006F7231">
      <w:pPr>
        <w:snapToGrid w:val="0"/>
        <w:spacing w:line="56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充分发挥金口河生态资源优势，完善生态产品价值实现机制，积极探索生态产品价值实现路径和转化模式。</w:t>
      </w:r>
    </w:p>
    <w:p w:rsidR="00E35214" w:rsidRDefault="006F7231">
      <w:pPr>
        <w:pStyle w:val="3"/>
        <w:snapToGrid w:val="0"/>
        <w:spacing w:line="580" w:lineRule="exact"/>
        <w:textAlignment w:val="baseline"/>
        <w:rPr>
          <w:rFonts w:ascii="仿宋" w:eastAsia="仿宋" w:hAnsi="仿宋" w:cs="仿宋"/>
          <w:b w:val="0"/>
          <w:bCs w:val="0"/>
          <w:szCs w:val="22"/>
        </w:rPr>
      </w:pPr>
      <w:r>
        <w:rPr>
          <w:rFonts w:ascii="仿宋" w:eastAsia="仿宋" w:hAnsi="仿宋" w:cs="仿宋" w:hint="eastAsia"/>
          <w:szCs w:val="22"/>
        </w:rPr>
        <w:t>第一节健全生态保护补偿机制</w:t>
      </w:r>
    </w:p>
    <w:p w:rsidR="00E35214" w:rsidRDefault="006F7231">
      <w:pPr>
        <w:snapToGrid w:val="0"/>
        <w:spacing w:line="56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完善森林生态效益补偿制度，提高集体经济组织补偿比例，探索商业化绿化造林补偿。完善生态补偿资金使用机制，整合生态补偿相关资金和项目，提升资金使用绩效。构建生态补偿长效机制，探索建立多元化生态保护补偿机制，推进流域上下游横向生态保护补偿合作。</w:t>
      </w:r>
    </w:p>
    <w:p w:rsidR="00E35214" w:rsidRDefault="006F7231">
      <w:pPr>
        <w:pStyle w:val="3"/>
        <w:snapToGrid w:val="0"/>
        <w:spacing w:line="580" w:lineRule="exact"/>
        <w:textAlignment w:val="baseline"/>
        <w:rPr>
          <w:rFonts w:ascii="仿宋" w:eastAsia="仿宋" w:hAnsi="仿宋" w:cs="仿宋"/>
          <w:b w:val="0"/>
          <w:bCs w:val="0"/>
          <w:szCs w:val="22"/>
        </w:rPr>
      </w:pPr>
      <w:r>
        <w:rPr>
          <w:rFonts w:ascii="仿宋" w:eastAsia="仿宋" w:hAnsi="仿宋" w:cs="仿宋" w:hint="eastAsia"/>
          <w:szCs w:val="22"/>
        </w:rPr>
        <w:t>第二节培育发展生态保护和环境治理市场</w:t>
      </w:r>
    </w:p>
    <w:p w:rsidR="00E35214" w:rsidRDefault="006F7231">
      <w:pPr>
        <w:snapToGrid w:val="0"/>
        <w:spacing w:line="56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积极发展环境污染第三方治理、合同能源管理、合同节水管理、资源循环利用服务业、环境综合治理服务托管等服务业，推进实行排污权交易、碳排放权交易、用能权交易、</w:t>
      </w:r>
      <w:r>
        <w:rPr>
          <w:rFonts w:ascii="仿宋" w:eastAsia="仿宋" w:hAnsi="仿宋" w:cs="仿宋" w:hint="eastAsia"/>
          <w:sz w:val="32"/>
          <w:szCs w:val="32"/>
        </w:rPr>
        <w:lastRenderedPageBreak/>
        <w:t>水权交易以及环境污染责任保险、企业环境信用评价、绿色信贷等环境政策。加快建立全面准确反映市场供求关系、资源稀缺程度、生态环境损害成本和修复效益的资源有偿使用制度。</w:t>
      </w:r>
    </w:p>
    <w:p w:rsidR="00E35214" w:rsidRDefault="00E35214">
      <w:pPr>
        <w:snapToGrid w:val="0"/>
        <w:textAlignment w:val="baseline"/>
        <w:rPr>
          <w:sz w:val="20"/>
        </w:rPr>
      </w:pPr>
    </w:p>
    <w:p w:rsidR="00E35214" w:rsidRDefault="00E35214">
      <w:pPr>
        <w:pStyle w:val="20"/>
        <w:snapToGrid w:val="0"/>
        <w:textAlignment w:val="baseline"/>
        <w:rPr>
          <w:sz w:val="21"/>
        </w:rPr>
      </w:pPr>
    </w:p>
    <w:p w:rsidR="00E35214" w:rsidRDefault="00E35214">
      <w:pPr>
        <w:snapToGrid w:val="0"/>
        <w:textAlignment w:val="baseline"/>
        <w:rPr>
          <w:sz w:val="20"/>
        </w:rPr>
      </w:pPr>
    </w:p>
    <w:p w:rsidR="00E35214" w:rsidRDefault="00E35214">
      <w:pPr>
        <w:snapToGrid w:val="0"/>
        <w:textAlignment w:val="baseline"/>
        <w:rPr>
          <w:sz w:val="20"/>
        </w:rPr>
      </w:pPr>
    </w:p>
    <w:p w:rsidR="00E35214" w:rsidRDefault="00E35214">
      <w:pPr>
        <w:pStyle w:val="2"/>
        <w:snapToGrid w:val="0"/>
        <w:textAlignment w:val="baseline"/>
      </w:pPr>
      <w:bookmarkStart w:id="273" w:name="_Toc2805"/>
      <w:bookmarkStart w:id="274" w:name="_Toc18438"/>
      <w:bookmarkStart w:id="275" w:name="_Toc29001"/>
    </w:p>
    <w:p w:rsidR="00E35214" w:rsidRDefault="006F7231">
      <w:pPr>
        <w:pStyle w:val="2"/>
        <w:snapToGrid w:val="0"/>
        <w:textAlignment w:val="baseline"/>
      </w:pPr>
      <w:r>
        <w:rPr>
          <w:rFonts w:hint="eastAsia"/>
        </w:rPr>
        <w:t>第十七章持续改善环境质量</w:t>
      </w:r>
      <w:bookmarkEnd w:id="273"/>
      <w:bookmarkEnd w:id="274"/>
      <w:bookmarkEnd w:id="275"/>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突出依法治污、科学治污、精准治污，建立地上地下统筹的生态环境治理制度，增强全社会生态环保意识，坚决打好生态环境治理持久战。</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第一节  实施污染防治攻坚战</w:t>
      </w:r>
    </w:p>
    <w:p w:rsidR="00E35214" w:rsidRDefault="006F7231">
      <w:pPr>
        <w:snapToGrid w:val="0"/>
        <w:spacing w:line="580" w:lineRule="atLeast"/>
        <w:ind w:firstLine="641"/>
        <w:textAlignment w:val="baseline"/>
        <w:rPr>
          <w:rFonts w:ascii="Times New Roman" w:hAnsi="Times New Roman"/>
          <w:sz w:val="20"/>
        </w:rPr>
      </w:pPr>
      <w:r>
        <w:rPr>
          <w:rFonts w:ascii="仿宋" w:eastAsia="仿宋" w:hAnsi="仿宋" w:cs="仿宋" w:hint="eastAsia"/>
          <w:kern w:val="0"/>
          <w:sz w:val="32"/>
          <w:szCs w:val="32"/>
        </w:rPr>
        <w:t>实施科学治污、精准治污，</w:t>
      </w:r>
      <w:r>
        <w:rPr>
          <w:rFonts w:ascii="仿宋" w:eastAsia="仿宋" w:hAnsi="仿宋" w:cs="仿宋"/>
          <w:kern w:val="0"/>
          <w:sz w:val="32"/>
          <w:szCs w:val="32"/>
        </w:rPr>
        <w:t>建设“城市高空智能降尘降霾设备系统”“ 智能灯杆喷雾降尘系统”，</w:t>
      </w:r>
      <w:r>
        <w:rPr>
          <w:rFonts w:ascii="仿宋" w:eastAsia="仿宋" w:hAnsi="仿宋" w:cs="仿宋" w:hint="eastAsia"/>
          <w:kern w:val="0"/>
          <w:sz w:val="32"/>
          <w:szCs w:val="32"/>
        </w:rPr>
        <w:t>深化大气、水、土壤、固废污染防治，基本消除重污染天气和黑臭水体。加强工业企业结构减排和深度治理，强力推进工业硅企业全煤冶炼、烟气深度治理和脱硝治理工作。严格控制煤炭使用增量，积极推进炭排放总量控制，加强挥发性有机物的管控，降低臭氧污染，加强农村面源污染治理，确保城乡污水稳定达标排放，推动城乡空气质量、江河湖库水质全面改善。严格实施农用地分类管控，持续推进重点监管对象周边土壤环</w:t>
      </w:r>
      <w:r>
        <w:rPr>
          <w:rFonts w:ascii="仿宋" w:eastAsia="仿宋" w:hAnsi="仿宋" w:cs="仿宋" w:hint="eastAsia"/>
          <w:kern w:val="0"/>
          <w:sz w:val="32"/>
          <w:szCs w:val="32"/>
        </w:rPr>
        <w:lastRenderedPageBreak/>
        <w:t>境监管，确保土壤环境安全。持续推进长江经济带固体废物大排查大整治，消除固废隐患。大力实施造林绿化“一带一路”行动，深入推进大渡河生态廊道、大瓦山天池生态系统保护修复等工程，健全耕地森林河流湖泊休养生息制度。厚植自然生态底本，创新生态产品形式，探索价值转化途径，推进生态价值向经济价值转化，推动“两山”实践创新基地建设。完成碳达峰、碳中和相关任务，积极应对气候变化。</w:t>
      </w:r>
    </w:p>
    <w:p w:rsidR="00E35214" w:rsidRDefault="00E35214">
      <w:pPr>
        <w:snapToGrid w:val="0"/>
        <w:spacing w:line="580" w:lineRule="exact"/>
        <w:ind w:firstLineChars="200" w:firstLine="640"/>
        <w:textAlignment w:val="baseline"/>
        <w:rPr>
          <w:rFonts w:ascii="仿宋" w:eastAsia="仿宋" w:hAnsi="仿宋" w:cs="仿宋"/>
          <w:kern w:val="0"/>
          <w:sz w:val="32"/>
          <w:szCs w:val="32"/>
        </w:rPr>
      </w:pP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第二节  推进城乡环境综合治理</w:t>
      </w:r>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深化城乡环境卫生整治行动，实施城市生态修补工程。抓好农业面源污染防治攻坚，推进农村生活垃圾治理、污水治理。实施农村生活垃圾转运工程、废弃垃圾填埋场环境治理、畜禽养殖环境污染治理工程建设，推进农村生活垃圾集中处理建制村全覆盖，建制村生活污水治理覆盖率达到</w:t>
      </w:r>
      <w:r>
        <w:rPr>
          <w:rFonts w:ascii="仿宋" w:eastAsia="仿宋" w:hAnsi="仿宋" w:cs="仿宋"/>
          <w:sz w:val="32"/>
          <w:szCs w:val="32"/>
        </w:rPr>
        <w:t>85%，畜禽粪污综合利用、无害化处理率达到80%。</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第三节  加强环境污染治理能力建设</w:t>
      </w:r>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加强环境质量监测体系建设，建立健全重点污染源信息数据库和自动监控系统，建设生态环境监测预警智慧平台，强化对主要江河、重点区域水质、重点城镇和自然保护区环境监测，力争达到国家环境监测三级站标准。完善环境突发性事件应急体系。落实生态环境保护督查制度，推进生态环境综合行政执法。健全环保信用评价、信息强制性披露、严</w:t>
      </w:r>
      <w:r>
        <w:rPr>
          <w:rFonts w:ascii="仿宋" w:eastAsia="仿宋" w:hAnsi="仿宋" w:cs="仿宋" w:hint="eastAsia"/>
          <w:sz w:val="32"/>
          <w:szCs w:val="32"/>
        </w:rPr>
        <w:lastRenderedPageBreak/>
        <w:t>惩重罚等制度。</w:t>
      </w:r>
    </w:p>
    <w:p w:rsidR="00E35214" w:rsidRDefault="00E35214">
      <w:pPr>
        <w:pStyle w:val="2"/>
        <w:snapToGrid w:val="0"/>
        <w:textAlignment w:val="baseline"/>
      </w:pPr>
      <w:bookmarkStart w:id="276" w:name="_Toc22759"/>
      <w:bookmarkStart w:id="277" w:name="_Toc13849"/>
      <w:bookmarkStart w:id="278" w:name="_Toc16912"/>
    </w:p>
    <w:p w:rsidR="00E35214" w:rsidRDefault="00E35214">
      <w:pPr>
        <w:snapToGrid w:val="0"/>
        <w:textAlignment w:val="baseline"/>
        <w:rPr>
          <w:sz w:val="20"/>
        </w:rPr>
      </w:pPr>
    </w:p>
    <w:p w:rsidR="00E35214" w:rsidRDefault="006F7231">
      <w:pPr>
        <w:pStyle w:val="2"/>
        <w:snapToGrid w:val="0"/>
        <w:textAlignment w:val="baseline"/>
      </w:pPr>
      <w:r>
        <w:rPr>
          <w:rFonts w:hint="eastAsia"/>
        </w:rPr>
        <w:t>第十八章发展绿色循环经济体系</w:t>
      </w:r>
      <w:bookmarkEnd w:id="276"/>
      <w:bookmarkEnd w:id="277"/>
      <w:bookmarkEnd w:id="278"/>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积极推动资源利用方式根本转变，建立健全绿色低碳发展的经济体系。</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第一节实施传统产业绿色化改造</w:t>
      </w:r>
    </w:p>
    <w:p w:rsidR="00E35214" w:rsidRDefault="006F7231">
      <w:pPr>
        <w:snapToGrid w:val="0"/>
        <w:spacing w:line="360" w:lineRule="auto"/>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加大供给侧结构性改革力度，</w:t>
      </w:r>
      <w:r>
        <w:rPr>
          <w:rFonts w:ascii="仿宋" w:eastAsia="仿宋" w:hAnsi="仿宋" w:cs="仿宋" w:hint="eastAsia"/>
          <w:spacing w:val="2"/>
          <w:kern w:val="0"/>
          <w:sz w:val="32"/>
        </w:rPr>
        <w:t>坚持采用国际、国内一流的生产技术、清洁生产技术改造现有工业，</w:t>
      </w:r>
      <w:r>
        <w:rPr>
          <w:rFonts w:ascii="仿宋" w:eastAsia="仿宋" w:hAnsi="仿宋" w:cs="仿宋" w:hint="eastAsia"/>
          <w:sz w:val="32"/>
          <w:szCs w:val="32"/>
        </w:rPr>
        <w:t>加快区内铁合金等高耗能产业实施绿色化改造，实施能效提升、节水治污、循环利用等改造。</w:t>
      </w:r>
      <w:r>
        <w:rPr>
          <w:rFonts w:ascii="仿宋" w:eastAsia="仿宋" w:hAnsi="仿宋" w:cs="仿宋" w:hint="eastAsia"/>
          <w:kern w:val="0"/>
          <w:sz w:val="32"/>
        </w:rPr>
        <w:t>引导企业向“产业高端、产品高端”的方向发展，推进传统行业升级，拓展下游深加工，延伸产品链和技术链。</w:t>
      </w:r>
      <w:r>
        <w:rPr>
          <w:rFonts w:ascii="仿宋" w:eastAsia="仿宋" w:hAnsi="仿宋" w:cs="仿宋" w:hint="eastAsia"/>
          <w:sz w:val="32"/>
          <w:szCs w:val="32"/>
        </w:rPr>
        <w:t>全面推行循环型生产和服务方式，推进工业废气、废水、废物的综合治理和回收再利用，加快建立循环型农业、服务业体系。推动餐厨废弃物资源化利用和无害化处理，加强秸秆等农业废弃物和建筑废弃物资源化综合利用。</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第二节  加强节能减排工作</w:t>
      </w:r>
    </w:p>
    <w:p w:rsidR="00E35214" w:rsidRDefault="006F7231">
      <w:pPr>
        <w:pStyle w:val="a5"/>
        <w:snapToGrid w:val="0"/>
        <w:spacing w:after="0" w:line="580" w:lineRule="exact"/>
        <w:ind w:firstLineChars="200" w:firstLine="640"/>
        <w:textAlignment w:val="baseline"/>
        <w:rPr>
          <w:rFonts w:ascii="仿宋" w:eastAsia="仿宋" w:hAnsi="仿宋" w:cs="仿宋"/>
          <w:b/>
          <w:spacing w:val="-6"/>
          <w:sz w:val="32"/>
          <w:szCs w:val="32"/>
        </w:rPr>
      </w:pPr>
      <w:r>
        <w:rPr>
          <w:rFonts w:ascii="仿宋" w:eastAsia="仿宋" w:hAnsi="仿宋" w:cs="仿宋" w:hint="eastAsia"/>
          <w:sz w:val="32"/>
          <w:szCs w:val="32"/>
        </w:rPr>
        <w:t>强化能源和水资源消耗、建设用地等总量和强度“双控”，加强约束性指标管理，建立健全用能权、用水权、排污权分配管理制度。实施节能改造示范工程，推广节水、节</w:t>
      </w:r>
      <w:r>
        <w:rPr>
          <w:rFonts w:ascii="仿宋" w:eastAsia="仿宋" w:hAnsi="仿宋" w:cs="仿宋" w:hint="eastAsia"/>
          <w:sz w:val="32"/>
          <w:szCs w:val="32"/>
        </w:rPr>
        <w:lastRenderedPageBreak/>
        <w:t>材、节地、节矿技术，鼓励和引导企业采用新设备新材料新工艺，降低单位产品能耗水平。</w:t>
      </w:r>
      <w:r>
        <w:rPr>
          <w:rFonts w:ascii="仿宋" w:eastAsia="仿宋" w:hAnsi="仿宋" w:cs="仿宋" w:hint="eastAsia"/>
          <w:spacing w:val="2"/>
          <w:kern w:val="0"/>
          <w:sz w:val="32"/>
        </w:rPr>
        <w:t>大力推进清洁生产，除强制清洁生产审核外鼓励企业开展自</w:t>
      </w:r>
      <w:r>
        <w:rPr>
          <w:rFonts w:ascii="仿宋" w:eastAsia="仿宋" w:hAnsi="仿宋" w:cs="仿宋" w:hint="eastAsia"/>
          <w:sz w:val="32"/>
          <w:szCs w:val="32"/>
        </w:rPr>
        <w:t>行清洁生产审核并完成清洁生产改造。实施“清洁能源替代”工程，积极推进挥发性有机物、氮氧化物、碳排放减排，促进太阳能、生物质能等新能源开发利用。健全节能市场化机制，发展环境污染第三方治理、合同能源管理、合同节水管理、资源循环利用服务业、环境综合治理服务托管等服务业。</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第三节  倡导绿色低碳生活方式</w:t>
      </w:r>
    </w:p>
    <w:p w:rsidR="00E35214" w:rsidRDefault="006F7231">
      <w:pPr>
        <w:snapToGrid w:val="0"/>
        <w:spacing w:line="560" w:lineRule="exact"/>
        <w:ind w:firstLineChars="200" w:firstLine="640"/>
        <w:textAlignment w:val="baseline"/>
        <w:rPr>
          <w:rFonts w:ascii="仿宋" w:eastAsia="仿宋" w:hAnsi="仿宋" w:cs="仿宋"/>
          <w:sz w:val="20"/>
        </w:rPr>
      </w:pPr>
      <w:r>
        <w:rPr>
          <w:rFonts w:ascii="仿宋" w:eastAsia="仿宋" w:hAnsi="仿宋" w:cs="仿宋" w:hint="eastAsia"/>
          <w:sz w:val="32"/>
          <w:szCs w:val="32"/>
        </w:rPr>
        <w:t>发展绿色建筑，</w:t>
      </w:r>
      <w:r>
        <w:rPr>
          <w:rFonts w:ascii="仿宋" w:eastAsia="仿宋" w:hAnsi="仿宋" w:cs="仿宋" w:hint="eastAsia"/>
          <w:kern w:val="0"/>
          <w:sz w:val="32"/>
          <w:szCs w:val="32"/>
        </w:rPr>
        <w:t>以“四城联创”为抓手，加强生态文明宣传教育</w:t>
      </w:r>
      <w:r>
        <w:rPr>
          <w:rFonts w:ascii="仿宋" w:eastAsia="仿宋" w:hAnsi="仿宋" w:cs="仿宋"/>
          <w:kern w:val="0"/>
          <w:sz w:val="32"/>
          <w:szCs w:val="32"/>
        </w:rPr>
        <w:t>,强化公民环境意识,推动形成节约适度、绿色低碳、文明健康的生活方式和消费模式。推广绿色建筑、装配式建筑，</w:t>
      </w:r>
      <w:r>
        <w:rPr>
          <w:rFonts w:ascii="仿宋" w:eastAsia="仿宋" w:hAnsi="仿宋" w:cs="仿宋" w:hint="eastAsia"/>
          <w:sz w:val="32"/>
          <w:szCs w:val="32"/>
        </w:rPr>
        <w:t>对现有住宅实施节能、保温技术改造，</w:t>
      </w:r>
      <w:r>
        <w:rPr>
          <w:rFonts w:ascii="仿宋" w:eastAsia="仿宋" w:hAnsi="仿宋" w:cs="仿宋" w:hint="eastAsia"/>
          <w:kern w:val="0"/>
          <w:sz w:val="32"/>
          <w:szCs w:val="32"/>
        </w:rPr>
        <w:t>推动建筑业转型升级</w:t>
      </w:r>
      <w:r>
        <w:rPr>
          <w:rFonts w:ascii="仿宋" w:eastAsia="仿宋" w:hAnsi="仿宋" w:cs="仿宋" w:hint="eastAsia"/>
          <w:sz w:val="32"/>
          <w:szCs w:val="32"/>
        </w:rPr>
        <w:t>。</w:t>
      </w:r>
      <w:r>
        <w:rPr>
          <w:rFonts w:ascii="仿宋" w:eastAsia="仿宋" w:hAnsi="仿宋" w:cs="仿宋" w:hint="eastAsia"/>
          <w:kern w:val="0"/>
          <w:sz w:val="32"/>
          <w:szCs w:val="32"/>
        </w:rPr>
        <w:t>加强资源节约集约和循环利用，实行节能节水行动，推行垃圾分类和减量化、资源化，加快构建废旧物资利用体系。</w:t>
      </w:r>
      <w:r>
        <w:rPr>
          <w:rFonts w:ascii="仿宋" w:eastAsia="仿宋" w:hAnsi="仿宋" w:cs="仿宋" w:hint="eastAsia"/>
          <w:sz w:val="32"/>
          <w:szCs w:val="32"/>
        </w:rPr>
        <w:t>开展绿色生活创建活动，加强生态文明宣传教育，倡导简约适度、绿色低碳的生活方式，倡导绿色出行。</w:t>
      </w:r>
    </w:p>
    <w:p w:rsidR="00E35214" w:rsidRDefault="006F7231">
      <w:pPr>
        <w:snapToGrid w:val="0"/>
        <w:spacing w:before="144" w:after="39"/>
        <w:ind w:left="788" w:right="788"/>
        <w:jc w:val="center"/>
        <w:textAlignment w:val="baseline"/>
        <w:rPr>
          <w:rFonts w:ascii="楷体" w:eastAsia="楷体" w:hAnsi="楷体" w:cs="仿宋"/>
          <w:b/>
          <w:sz w:val="28"/>
        </w:rPr>
      </w:pPr>
      <w:r>
        <w:rPr>
          <w:rFonts w:ascii="楷体" w:eastAsia="楷体" w:hAnsi="楷体" w:cs="仿宋" w:hint="eastAsia"/>
          <w:b/>
          <w:sz w:val="28"/>
        </w:rPr>
        <w:t>专栏14生态保护重点项目</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E35214">
        <w:tc>
          <w:tcPr>
            <w:tcW w:w="8522" w:type="dxa"/>
          </w:tcPr>
          <w:p w:rsidR="00E35214" w:rsidRDefault="006F7231">
            <w:pPr>
              <w:snapToGrid w:val="0"/>
              <w:spacing w:line="320" w:lineRule="atLeast"/>
              <w:ind w:firstLineChars="200" w:firstLine="482"/>
              <w:textAlignment w:val="baseline"/>
              <w:rPr>
                <w:rFonts w:ascii="楷体" w:eastAsia="楷体" w:hAnsi="楷体" w:cs="楷体"/>
                <w:sz w:val="24"/>
              </w:rPr>
            </w:pPr>
            <w:r>
              <w:rPr>
                <w:rFonts w:ascii="楷体" w:eastAsia="楷体" w:hAnsi="楷体" w:cs="楷体" w:hint="eastAsia"/>
                <w:b/>
                <w:bCs/>
                <w:sz w:val="24"/>
              </w:rPr>
              <w:t>大气污染防治工程。</w:t>
            </w:r>
            <w:r>
              <w:rPr>
                <w:rFonts w:ascii="楷体" w:eastAsia="楷体" w:hAnsi="楷体" w:cs="楷体" w:hint="eastAsia"/>
                <w:sz w:val="24"/>
              </w:rPr>
              <w:t>建设“城市高空智能降尘降霾设备系统”和“ 智能灯杆喷雾降尘系统”，推进工业硅企业全煤冶炼、烟气深度治理和脱硝治理工作。</w:t>
            </w:r>
          </w:p>
          <w:p w:rsidR="00E35214" w:rsidRDefault="006F7231">
            <w:pPr>
              <w:snapToGrid w:val="0"/>
              <w:spacing w:line="320" w:lineRule="atLeast"/>
              <w:ind w:firstLineChars="200" w:firstLine="482"/>
              <w:textAlignment w:val="baseline"/>
              <w:rPr>
                <w:rFonts w:ascii="楷体" w:eastAsia="楷体" w:hAnsi="楷体" w:cs="楷体"/>
                <w:sz w:val="24"/>
              </w:rPr>
            </w:pPr>
            <w:r>
              <w:rPr>
                <w:rFonts w:ascii="楷体" w:eastAsia="楷体" w:hAnsi="楷体" w:cs="楷体" w:hint="eastAsia"/>
                <w:b/>
                <w:bCs/>
                <w:sz w:val="24"/>
              </w:rPr>
              <w:t>大渡河流域（乐山段）良好水体保护工程</w:t>
            </w:r>
            <w:r>
              <w:rPr>
                <w:rFonts w:ascii="楷体" w:eastAsia="楷体" w:hAnsi="楷体" w:cs="楷体" w:hint="eastAsia"/>
                <w:sz w:val="24"/>
              </w:rPr>
              <w:t>。完成城市污水处理厂、乡镇污水处理设施提标改造及配套管网建设；开展农村污水治理工程；开展入河排污口整治。</w:t>
            </w:r>
          </w:p>
          <w:p w:rsidR="00E35214" w:rsidRDefault="006F7231">
            <w:pPr>
              <w:snapToGrid w:val="0"/>
              <w:spacing w:line="320" w:lineRule="atLeast"/>
              <w:ind w:firstLineChars="200" w:firstLine="482"/>
              <w:textAlignment w:val="baseline"/>
              <w:rPr>
                <w:rFonts w:ascii="楷体" w:eastAsia="楷体" w:hAnsi="楷体" w:cs="楷体"/>
                <w:sz w:val="24"/>
              </w:rPr>
            </w:pPr>
            <w:r>
              <w:rPr>
                <w:rFonts w:ascii="楷体" w:eastAsia="楷体" w:hAnsi="楷体" w:cs="楷体" w:hint="eastAsia"/>
                <w:b/>
                <w:bCs/>
                <w:sz w:val="24"/>
              </w:rPr>
              <w:t>生态保护红线管控工程</w:t>
            </w:r>
            <w:r>
              <w:rPr>
                <w:rFonts w:ascii="楷体" w:eastAsia="楷体" w:hAnsi="楷体" w:cs="楷体" w:hint="eastAsia"/>
                <w:sz w:val="24"/>
              </w:rPr>
              <w:t>。核定生态保护红线边界，在重点地段（部位）、重要拐点等关键控制点设立界桩，在醒目位置竖立统一规范的标识牌，并将有关信息登记入库，确保生态红线精准落地，为生态保护红线长效管理奠定基础。</w:t>
            </w:r>
          </w:p>
          <w:p w:rsidR="00E35214" w:rsidRDefault="006F7231">
            <w:pPr>
              <w:snapToGrid w:val="0"/>
              <w:spacing w:line="320" w:lineRule="atLeast"/>
              <w:ind w:firstLineChars="200" w:firstLine="482"/>
              <w:textAlignment w:val="baseline"/>
              <w:rPr>
                <w:rFonts w:ascii="楷体" w:eastAsia="楷体" w:hAnsi="楷体" w:cs="楷体"/>
                <w:sz w:val="24"/>
              </w:rPr>
            </w:pPr>
            <w:r>
              <w:rPr>
                <w:rFonts w:ascii="楷体" w:eastAsia="楷体" w:hAnsi="楷体" w:cs="楷体" w:hint="eastAsia"/>
                <w:b/>
                <w:bCs/>
                <w:sz w:val="24"/>
              </w:rPr>
              <w:t>自然保护地管控工程</w:t>
            </w:r>
            <w:r>
              <w:rPr>
                <w:rFonts w:ascii="楷体" w:eastAsia="楷体" w:hAnsi="楷体" w:cs="楷体" w:hint="eastAsia"/>
                <w:sz w:val="24"/>
              </w:rPr>
              <w:t>。核定自然保护地边界，在重点地段（部位）、重要拐</w:t>
            </w:r>
            <w:r>
              <w:rPr>
                <w:rFonts w:ascii="楷体" w:eastAsia="楷体" w:hAnsi="楷体" w:cs="楷体" w:hint="eastAsia"/>
                <w:sz w:val="24"/>
              </w:rPr>
              <w:lastRenderedPageBreak/>
              <w:t>点等关键控制点设立界桩，在醒目位置竖立统一规范的标识牌，并将有关信息登记入库。</w:t>
            </w:r>
          </w:p>
          <w:p w:rsidR="00E35214" w:rsidRDefault="006F7231">
            <w:pPr>
              <w:snapToGrid w:val="0"/>
              <w:spacing w:line="320" w:lineRule="atLeast"/>
              <w:ind w:firstLineChars="200" w:firstLine="482"/>
              <w:textAlignment w:val="baseline"/>
              <w:rPr>
                <w:rFonts w:ascii="楷体" w:eastAsia="楷体" w:hAnsi="楷体" w:cs="楷体"/>
                <w:sz w:val="24"/>
              </w:rPr>
            </w:pPr>
            <w:r>
              <w:rPr>
                <w:rFonts w:ascii="楷体" w:eastAsia="楷体" w:hAnsi="楷体" w:cs="楷体" w:hint="eastAsia"/>
                <w:b/>
                <w:bCs/>
                <w:sz w:val="24"/>
              </w:rPr>
              <w:t>大瓦山国家湿地公园天池生态修复工程</w:t>
            </w:r>
            <w:r>
              <w:rPr>
                <w:rFonts w:ascii="楷体" w:eastAsia="楷体" w:hAnsi="楷体" w:cs="楷体" w:hint="eastAsia"/>
                <w:sz w:val="24"/>
              </w:rPr>
              <w:t>。建设活水循环系统，进行环保清淤、种植生态浮岛、水生植物以及采用喷泉、射流进行人工增氧。</w:t>
            </w:r>
          </w:p>
          <w:p w:rsidR="00E35214" w:rsidRDefault="006F7231">
            <w:pPr>
              <w:snapToGrid w:val="0"/>
              <w:spacing w:line="320" w:lineRule="atLeast"/>
              <w:ind w:firstLineChars="200" w:firstLine="482"/>
              <w:textAlignment w:val="baseline"/>
              <w:rPr>
                <w:rFonts w:ascii="仿宋" w:eastAsia="仿宋" w:hAnsi="仿宋" w:cs="仿宋"/>
                <w:sz w:val="20"/>
              </w:rPr>
            </w:pPr>
            <w:r>
              <w:rPr>
                <w:rFonts w:ascii="楷体" w:eastAsia="楷体" w:hAnsi="楷体" w:cs="楷体" w:hint="eastAsia"/>
                <w:b/>
                <w:bCs/>
                <w:sz w:val="24"/>
              </w:rPr>
              <w:t>八月林自然保护区生态状况调查与评估工程</w:t>
            </w:r>
            <w:r>
              <w:rPr>
                <w:rFonts w:ascii="楷体" w:eastAsia="楷体" w:hAnsi="楷体" w:cs="楷体" w:hint="eastAsia"/>
                <w:sz w:val="24"/>
              </w:rPr>
              <w:t>。开展八月林自然保护区生态状况调查与评估。</w:t>
            </w:r>
          </w:p>
        </w:tc>
      </w:tr>
    </w:tbl>
    <w:p w:rsidR="00E35214" w:rsidRDefault="006F7231">
      <w:pPr>
        <w:snapToGrid w:val="0"/>
        <w:textAlignment w:val="baseline"/>
        <w:rPr>
          <w:sz w:val="20"/>
        </w:rPr>
      </w:pPr>
      <w:r>
        <w:lastRenderedPageBreak/>
        <w:br w:type="page"/>
      </w:r>
    </w:p>
    <w:p w:rsidR="00E35214" w:rsidRDefault="00E35214">
      <w:pPr>
        <w:snapToGrid w:val="0"/>
        <w:textAlignment w:val="baseline"/>
        <w:rPr>
          <w:sz w:val="20"/>
        </w:rPr>
      </w:pPr>
    </w:p>
    <w:p w:rsidR="00E35214" w:rsidRDefault="006F7231">
      <w:pPr>
        <w:snapToGrid w:val="0"/>
        <w:spacing w:before="340" w:after="330" w:line="576" w:lineRule="auto"/>
        <w:jc w:val="center"/>
        <w:textAlignment w:val="baseline"/>
        <w:rPr>
          <w:rFonts w:eastAsia="黑体"/>
          <w:b/>
          <w:bCs/>
          <w:kern w:val="44"/>
          <w:sz w:val="36"/>
          <w:szCs w:val="44"/>
        </w:rPr>
      </w:pPr>
      <w:bookmarkStart w:id="279" w:name="_Toc23457"/>
      <w:bookmarkStart w:id="280" w:name="_Toc19369"/>
      <w:bookmarkStart w:id="281" w:name="_Toc28716"/>
      <w:bookmarkStart w:id="282" w:name="_Toc1193"/>
      <w:bookmarkStart w:id="283" w:name="_Toc8055"/>
      <w:bookmarkStart w:id="284" w:name="_Toc2744"/>
      <w:bookmarkStart w:id="285" w:name="_Toc28727"/>
      <w:bookmarkStart w:id="286" w:name="_Toc8774"/>
      <w:bookmarkStart w:id="287" w:name="_Toc13042"/>
      <w:bookmarkStart w:id="288" w:name="_Toc29376"/>
      <w:bookmarkStart w:id="289" w:name="_Toc4287"/>
      <w:r>
        <w:rPr>
          <w:rFonts w:eastAsia="黑体" w:hint="eastAsia"/>
          <w:b/>
          <w:bCs/>
          <w:kern w:val="44"/>
          <w:sz w:val="36"/>
          <w:szCs w:val="44"/>
        </w:rPr>
        <w:t>第六篇优化公共服务，建设和谐金口河</w:t>
      </w:r>
      <w:bookmarkEnd w:id="279"/>
      <w:bookmarkEnd w:id="280"/>
      <w:bookmarkEnd w:id="281"/>
      <w:bookmarkEnd w:id="282"/>
      <w:bookmarkEnd w:id="283"/>
      <w:bookmarkEnd w:id="284"/>
      <w:bookmarkEnd w:id="285"/>
      <w:bookmarkEnd w:id="286"/>
      <w:bookmarkEnd w:id="287"/>
      <w:bookmarkEnd w:id="288"/>
    </w:p>
    <w:p w:rsidR="00E35214" w:rsidRDefault="006F7231">
      <w:pPr>
        <w:pStyle w:val="a5"/>
        <w:widowControl/>
        <w:shd w:val="clear" w:color="auto" w:fill="FFFFFF"/>
        <w:snapToGrid w:val="0"/>
        <w:spacing w:before="132" w:after="0" w:line="580" w:lineRule="exact"/>
        <w:ind w:firstLineChars="200" w:firstLine="640"/>
        <w:jc w:val="left"/>
        <w:textAlignment w:val="baseline"/>
        <w:rPr>
          <w:rFonts w:ascii="仿宋" w:eastAsia="仿宋" w:hAnsi="仿宋" w:cs="仿宋"/>
          <w:spacing w:val="-6"/>
          <w:sz w:val="32"/>
          <w:szCs w:val="32"/>
          <w:shd w:val="clear" w:color="auto" w:fill="FFFFFF"/>
        </w:rPr>
      </w:pPr>
      <w:r>
        <w:rPr>
          <w:rFonts w:ascii="仿宋" w:eastAsia="仿宋" w:hAnsi="仿宋" w:cs="仿宋" w:hint="eastAsia"/>
          <w:kern w:val="0"/>
          <w:sz w:val="32"/>
          <w:szCs w:val="32"/>
        </w:rPr>
        <w:t>坚持把保障和改善民生作为一切工作的出发点和落脚点，</w:t>
      </w:r>
      <w:r>
        <w:rPr>
          <w:rFonts w:ascii="仿宋" w:eastAsia="仿宋" w:hAnsi="仿宋" w:cs="仿宋" w:hint="eastAsia"/>
          <w:spacing w:val="-6"/>
          <w:sz w:val="32"/>
          <w:szCs w:val="32"/>
          <w:shd w:val="clear" w:color="auto" w:fill="FFFFFF"/>
        </w:rPr>
        <w:t>尽力而为、量力而行，健全基本公共服务体系，扎实推动共同富裕，</w:t>
      </w:r>
      <w:r>
        <w:rPr>
          <w:rFonts w:ascii="仿宋" w:eastAsia="仿宋" w:hAnsi="仿宋" w:cs="仿宋" w:hint="eastAsia"/>
          <w:kern w:val="0"/>
          <w:sz w:val="32"/>
          <w:szCs w:val="32"/>
        </w:rPr>
        <w:t>推动高质量发展成果更好地惠及民生，</w:t>
      </w:r>
      <w:r>
        <w:rPr>
          <w:rFonts w:ascii="仿宋" w:eastAsia="仿宋" w:hAnsi="仿宋" w:cs="仿宋" w:hint="eastAsia"/>
          <w:spacing w:val="-6"/>
          <w:sz w:val="32"/>
          <w:szCs w:val="32"/>
          <w:shd w:val="clear" w:color="auto" w:fill="FFFFFF"/>
        </w:rPr>
        <w:t>不断增强人民群众获得感、幸福感、安全感</w:t>
      </w:r>
      <w:r>
        <w:rPr>
          <w:rFonts w:ascii="仿宋" w:eastAsia="仿宋" w:hAnsi="仿宋" w:cs="仿宋" w:hint="eastAsia"/>
          <w:kern w:val="0"/>
          <w:sz w:val="32"/>
          <w:szCs w:val="32"/>
        </w:rPr>
        <w:t>。</w:t>
      </w:r>
    </w:p>
    <w:p w:rsidR="00E35214" w:rsidRDefault="00E35214">
      <w:pPr>
        <w:pStyle w:val="2"/>
        <w:snapToGrid w:val="0"/>
        <w:textAlignment w:val="baseline"/>
      </w:pPr>
      <w:bookmarkStart w:id="290" w:name="_Toc9402"/>
      <w:bookmarkStart w:id="291" w:name="_Toc15919"/>
      <w:bookmarkStart w:id="292" w:name="_Toc24442"/>
      <w:bookmarkStart w:id="293" w:name="_Toc25123"/>
      <w:bookmarkStart w:id="294" w:name="_Toc17926"/>
      <w:bookmarkStart w:id="295" w:name="_Toc29355"/>
      <w:bookmarkStart w:id="296" w:name="_Toc411"/>
      <w:bookmarkStart w:id="297" w:name="_Toc21761"/>
      <w:bookmarkStart w:id="298" w:name="_Toc3385"/>
      <w:bookmarkStart w:id="299" w:name="_Toc16204"/>
    </w:p>
    <w:p w:rsidR="00E35214" w:rsidRDefault="006F7231">
      <w:pPr>
        <w:pStyle w:val="2"/>
        <w:snapToGrid w:val="0"/>
        <w:textAlignment w:val="baseline"/>
      </w:pPr>
      <w:r>
        <w:rPr>
          <w:rFonts w:hint="eastAsia"/>
        </w:rPr>
        <w:t>第十九章</w:t>
      </w:r>
      <w:bookmarkEnd w:id="290"/>
      <w:bookmarkEnd w:id="291"/>
      <w:bookmarkEnd w:id="292"/>
      <w:bookmarkEnd w:id="293"/>
      <w:bookmarkEnd w:id="294"/>
      <w:r>
        <w:rPr>
          <w:rFonts w:hint="eastAsia"/>
        </w:rPr>
        <w:t>大力促进就业创业</w:t>
      </w:r>
      <w:bookmarkEnd w:id="295"/>
      <w:bookmarkEnd w:id="296"/>
      <w:bookmarkEnd w:id="297"/>
      <w:bookmarkEnd w:id="298"/>
      <w:bookmarkEnd w:id="299"/>
    </w:p>
    <w:p w:rsidR="00E35214" w:rsidRDefault="006F7231">
      <w:pPr>
        <w:pStyle w:val="a5"/>
        <w:snapToGrid w:val="0"/>
        <w:spacing w:after="0"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千方百计稳定和扩大就业，坚持经济发展就业导向，扩大就业容量，完善就业公共服务体系，保障劳动者待遇和权益，推动更加充分更高质量就业。</w:t>
      </w:r>
    </w:p>
    <w:p w:rsidR="00E35214" w:rsidRDefault="006F7231">
      <w:pPr>
        <w:pStyle w:val="3"/>
        <w:snapToGrid w:val="0"/>
        <w:spacing w:line="580" w:lineRule="exact"/>
        <w:textAlignment w:val="baseline"/>
        <w:rPr>
          <w:rFonts w:ascii="仿宋" w:eastAsia="仿宋" w:hAnsi="仿宋" w:cs="仿宋"/>
          <w:szCs w:val="22"/>
        </w:rPr>
      </w:pPr>
      <w:bookmarkStart w:id="300" w:name="_Toc29663"/>
      <w:bookmarkStart w:id="301" w:name="_Toc27761"/>
      <w:bookmarkStart w:id="302" w:name="_Toc30548"/>
      <w:bookmarkStart w:id="303" w:name="_Toc30320"/>
      <w:bookmarkStart w:id="304" w:name="_Toc12340"/>
      <w:bookmarkStart w:id="305" w:name="_Toc24256"/>
      <w:r>
        <w:rPr>
          <w:rFonts w:ascii="仿宋" w:eastAsia="仿宋" w:hAnsi="仿宋" w:cs="仿宋" w:hint="eastAsia"/>
          <w:szCs w:val="22"/>
        </w:rPr>
        <w:t>第一节完善公共就业服务体系</w:t>
      </w:r>
      <w:bookmarkEnd w:id="300"/>
      <w:bookmarkEnd w:id="301"/>
    </w:p>
    <w:p w:rsidR="00E35214" w:rsidRDefault="006F7231">
      <w:pPr>
        <w:pStyle w:val="a5"/>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加强街道（乡镇）、社区（村）基层就业服务平台建设，扎实推进村级劳务合作社“一村一社”创建工作，构建覆盖城乡的公共就业服务网络。打造“公共</w:t>
      </w:r>
      <w:r>
        <w:rPr>
          <w:rFonts w:ascii="仿宋" w:eastAsia="仿宋" w:hAnsi="仿宋" w:cs="仿宋"/>
          <w:spacing w:val="-6"/>
          <w:sz w:val="32"/>
          <w:szCs w:val="32"/>
        </w:rPr>
        <w:t xml:space="preserve">+市场”融合的就业服务信息化平台，大力推广线下“15 </w:t>
      </w:r>
      <w:r>
        <w:rPr>
          <w:rFonts w:ascii="仿宋" w:eastAsia="仿宋" w:hAnsi="仿宋" w:cs="仿宋" w:hint="eastAsia"/>
          <w:spacing w:val="-6"/>
          <w:sz w:val="32"/>
          <w:szCs w:val="32"/>
        </w:rPr>
        <w:t>分钟”、线上“零距离”服务生态。完善人力资源市场，实现职业介绍、职业指导、技能培训、就业援助等一站式服务。健全终身职业技能培训制度，加强高技能人才培养。健全就业需求调查和失业监测预警机</w:t>
      </w:r>
      <w:r>
        <w:rPr>
          <w:rFonts w:ascii="仿宋" w:eastAsia="仿宋" w:hAnsi="仿宋" w:cs="仿宋" w:hint="eastAsia"/>
          <w:spacing w:val="-6"/>
          <w:sz w:val="32"/>
          <w:szCs w:val="32"/>
        </w:rPr>
        <w:lastRenderedPageBreak/>
        <w:t>制。鼓励社会资本参与公共就业服务设施建设和运营管理。</w:t>
      </w:r>
    </w:p>
    <w:p w:rsidR="00E35214" w:rsidRDefault="00E35214">
      <w:pPr>
        <w:pStyle w:val="a5"/>
        <w:snapToGrid w:val="0"/>
        <w:spacing w:line="580" w:lineRule="exact"/>
        <w:ind w:firstLineChars="200" w:firstLine="420"/>
        <w:textAlignment w:val="baseline"/>
        <w:rPr>
          <w:rFonts w:ascii="仿宋" w:eastAsia="仿宋" w:hAnsi="仿宋" w:cs="仿宋"/>
        </w:rPr>
      </w:pPr>
    </w:p>
    <w:p w:rsidR="00E35214" w:rsidRDefault="006F7231">
      <w:pPr>
        <w:pStyle w:val="3"/>
        <w:snapToGrid w:val="0"/>
        <w:spacing w:line="580" w:lineRule="exact"/>
        <w:textAlignment w:val="baseline"/>
        <w:rPr>
          <w:rFonts w:ascii="仿宋" w:eastAsia="仿宋" w:hAnsi="仿宋" w:cs="仿宋"/>
          <w:szCs w:val="22"/>
        </w:rPr>
      </w:pPr>
      <w:bookmarkStart w:id="306" w:name="_Toc109"/>
      <w:bookmarkStart w:id="307" w:name="_Toc710"/>
      <w:r>
        <w:rPr>
          <w:rFonts w:ascii="仿宋" w:eastAsia="仿宋" w:hAnsi="仿宋" w:cs="仿宋" w:hint="eastAsia"/>
          <w:szCs w:val="22"/>
        </w:rPr>
        <w:t>第二节</w:t>
      </w:r>
      <w:bookmarkEnd w:id="302"/>
      <w:bookmarkEnd w:id="303"/>
      <w:bookmarkEnd w:id="304"/>
      <w:bookmarkEnd w:id="305"/>
      <w:r>
        <w:rPr>
          <w:rFonts w:ascii="仿宋" w:eastAsia="仿宋" w:hAnsi="仿宋" w:cs="仿宋" w:hint="eastAsia"/>
          <w:szCs w:val="22"/>
        </w:rPr>
        <w:t>促进重点群体就业创业</w:t>
      </w:r>
      <w:bookmarkEnd w:id="306"/>
      <w:bookmarkEnd w:id="307"/>
    </w:p>
    <w:p w:rsidR="00E35214" w:rsidRDefault="006F7231">
      <w:pPr>
        <w:pStyle w:val="a5"/>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落实高校毕业生就业创业促进政策措施，鼓励到城乡基层和中小微企业就业，加强城乡新增劳动力、高校毕业生、城镇就业困难人员、农村富余劳动力等群体创业就业服务，大力支持自主创业，鼓励多渠道灵活就业。兴办环境友好型和劳动密集型企业，提升中小微企业吸纳就业能力，开发一批基层公共管理和社会服务岗位，拓宽居民就业空间。推进农民工服务保障战略性工程，构建完善农民工服务平台功能，加强用工供需统筹，完善返乡入乡创业支持政策，鼓励就近就地创业就业。积极开发公益性岗位，加强就业困难人员托底帮扶，确保零就业家庭动态清零。积极开展残疾人、低保户就业援助。支持和规范发展新就业形态。</w:t>
      </w:r>
    </w:p>
    <w:p w:rsidR="00E35214" w:rsidRDefault="006F7231">
      <w:pPr>
        <w:pStyle w:val="3"/>
        <w:snapToGrid w:val="0"/>
        <w:spacing w:line="580" w:lineRule="exact"/>
        <w:textAlignment w:val="baseline"/>
        <w:rPr>
          <w:rFonts w:ascii="仿宋" w:eastAsia="仿宋" w:hAnsi="仿宋" w:cs="仿宋"/>
          <w:szCs w:val="22"/>
        </w:rPr>
      </w:pPr>
      <w:bookmarkStart w:id="308" w:name="_Toc17813"/>
      <w:bookmarkStart w:id="309" w:name="_Toc31569"/>
      <w:bookmarkStart w:id="310" w:name="_Toc6785"/>
      <w:bookmarkStart w:id="311" w:name="_Toc24349"/>
      <w:bookmarkStart w:id="312" w:name="_Toc2439"/>
      <w:bookmarkStart w:id="313" w:name="_Toc12732"/>
      <w:r>
        <w:rPr>
          <w:rFonts w:ascii="仿宋" w:eastAsia="仿宋" w:hAnsi="仿宋" w:cs="仿宋" w:hint="eastAsia"/>
          <w:szCs w:val="22"/>
        </w:rPr>
        <w:t>第三节引导扶持大众创业</w:t>
      </w:r>
      <w:bookmarkEnd w:id="308"/>
      <w:bookmarkEnd w:id="309"/>
      <w:bookmarkEnd w:id="310"/>
      <w:bookmarkEnd w:id="311"/>
      <w:bookmarkEnd w:id="312"/>
      <w:bookmarkEnd w:id="313"/>
    </w:p>
    <w:p w:rsidR="00E35214" w:rsidRDefault="006F7231">
      <w:pPr>
        <w:pStyle w:val="a5"/>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推进返乡创业就业基地、就业创业示范点和创业孵化园建设，打造创业服务信息化智能化平台，提升创业孵化服务功能，完善创业培训和创业服务体系。实施自主创业扶持工程，加大返乡农民、大学生等创业群体支持力度。举办创新创业大赛，激发全民创新创业热情。</w:t>
      </w:r>
      <w:r>
        <w:rPr>
          <w:rFonts w:ascii="仿宋" w:eastAsia="仿宋" w:hAnsi="仿宋" w:cs="仿宋" w:hint="eastAsia"/>
          <w:kern w:val="0"/>
          <w:sz w:val="32"/>
          <w:szCs w:val="32"/>
        </w:rPr>
        <w:t>引导发展一批创业社区、众创空间，实现创新与创业、线上与线下有机融合。</w:t>
      </w:r>
    </w:p>
    <w:p w:rsidR="00E35214" w:rsidRDefault="006F7231">
      <w:pPr>
        <w:pStyle w:val="3"/>
        <w:snapToGrid w:val="0"/>
        <w:spacing w:line="580" w:lineRule="exact"/>
        <w:textAlignment w:val="baseline"/>
        <w:rPr>
          <w:rFonts w:ascii="仿宋" w:eastAsia="仿宋" w:hAnsi="仿宋" w:cs="仿宋"/>
          <w:szCs w:val="22"/>
        </w:rPr>
      </w:pPr>
      <w:bookmarkStart w:id="314" w:name="_Toc27679"/>
      <w:bookmarkStart w:id="315" w:name="_Toc6351"/>
      <w:bookmarkStart w:id="316" w:name="_Toc32179"/>
      <w:bookmarkStart w:id="317" w:name="_Toc3357"/>
      <w:bookmarkStart w:id="318" w:name="_Toc31839"/>
      <w:bookmarkStart w:id="319" w:name="_Toc32292"/>
      <w:r>
        <w:rPr>
          <w:rFonts w:ascii="仿宋" w:eastAsia="仿宋" w:hAnsi="仿宋" w:cs="仿宋" w:hint="eastAsia"/>
          <w:szCs w:val="22"/>
        </w:rPr>
        <w:lastRenderedPageBreak/>
        <w:t>第四节构建和谐劳动关系</w:t>
      </w:r>
      <w:bookmarkEnd w:id="314"/>
      <w:bookmarkEnd w:id="315"/>
      <w:bookmarkEnd w:id="316"/>
      <w:bookmarkEnd w:id="317"/>
      <w:bookmarkEnd w:id="318"/>
      <w:bookmarkEnd w:id="319"/>
    </w:p>
    <w:p w:rsidR="00E35214" w:rsidRDefault="006F7231">
      <w:pPr>
        <w:pStyle w:val="a5"/>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全面推行劳动合同制度，保障劳动者基本权益、经济权益、休息休假、劳动安全保障等各种合法权益。健全劳动关系协调机制和矛盾调处机制，加强劳动仲裁组织机构建设，推行“互联网</w:t>
      </w:r>
      <w:r>
        <w:rPr>
          <w:rFonts w:ascii="仿宋" w:eastAsia="仿宋" w:hAnsi="仿宋" w:cs="仿宋"/>
          <w:spacing w:val="-6"/>
          <w:sz w:val="32"/>
          <w:szCs w:val="32"/>
        </w:rPr>
        <w:t xml:space="preserve">+仲裁”工作模式，提升劳动人事争议处理效能。加大劳动保障监察执法力度，提高劳动保障监察“两网化”管理实效，全面落实以欠薪处理责任制、工资支付责任制和属地政府责任制为核心的欠薪治理体系，完善农民工工资支付保障长效机制。加强劳动保障诚信评价制度建设，开展“双随机、一公开” </w:t>
      </w:r>
      <w:r>
        <w:rPr>
          <w:rFonts w:ascii="仿宋" w:eastAsia="仿宋" w:hAnsi="仿宋" w:cs="仿宋" w:hint="eastAsia"/>
          <w:spacing w:val="-6"/>
          <w:sz w:val="32"/>
          <w:szCs w:val="32"/>
        </w:rPr>
        <w:t>工作，切实维护农民工合法权益。完善劳动关系相关舆情分析研判，畅通信息沟通渠道。建立健全群体性应急联动处置机制。</w:t>
      </w:r>
    </w:p>
    <w:p w:rsidR="00E35214" w:rsidRDefault="00E35214">
      <w:pPr>
        <w:pStyle w:val="20"/>
        <w:snapToGrid w:val="0"/>
        <w:textAlignment w:val="baseline"/>
        <w:rPr>
          <w:sz w:val="21"/>
        </w:rPr>
      </w:pPr>
    </w:p>
    <w:p w:rsidR="00E35214" w:rsidRDefault="006F7231">
      <w:pPr>
        <w:pStyle w:val="2"/>
        <w:snapToGrid w:val="0"/>
        <w:textAlignment w:val="baseline"/>
      </w:pPr>
      <w:bookmarkStart w:id="320" w:name="_Toc22656"/>
      <w:bookmarkStart w:id="321" w:name="_Toc11097"/>
      <w:r>
        <w:rPr>
          <w:rFonts w:hint="eastAsia"/>
        </w:rPr>
        <w:t>第二十章建设民族地区团结教育示范区</w:t>
      </w:r>
      <w:bookmarkEnd w:id="320"/>
    </w:p>
    <w:p w:rsidR="00E35214" w:rsidRDefault="006F7231">
      <w:pPr>
        <w:pStyle w:val="a5"/>
        <w:snapToGrid w:val="0"/>
        <w:spacing w:line="580" w:lineRule="exact"/>
        <w:ind w:firstLineChars="200" w:firstLine="640"/>
        <w:textAlignment w:val="baseline"/>
        <w:rPr>
          <w:rFonts w:ascii="仿宋" w:eastAsia="仿宋" w:hAnsi="仿宋" w:cs="仿宋"/>
          <w:kern w:val="0"/>
        </w:rPr>
      </w:pPr>
      <w:r>
        <w:rPr>
          <w:rFonts w:ascii="仿宋" w:eastAsia="仿宋" w:hAnsi="仿宋" w:cs="仿宋" w:hint="eastAsia"/>
          <w:kern w:val="0"/>
          <w:sz w:val="32"/>
          <w:szCs w:val="32"/>
        </w:rPr>
        <w:t>聚焦人民满意的教育，进一步优化配置城乡教育资源，推进义务教育优质均衡发展、学前教育提质发展、特色高中特色发展，</w:t>
      </w:r>
      <w:r>
        <w:rPr>
          <w:rFonts w:ascii="仿宋" w:eastAsia="仿宋" w:hAnsi="仿宋" w:cs="仿宋" w:hint="eastAsia"/>
          <w:sz w:val="32"/>
          <w:szCs w:val="32"/>
        </w:rPr>
        <w:t>推进民族地区团结教育示范区建设。</w:t>
      </w:r>
    </w:p>
    <w:p w:rsidR="00E35214" w:rsidRDefault="006F7231">
      <w:pPr>
        <w:pStyle w:val="3"/>
        <w:snapToGrid w:val="0"/>
        <w:spacing w:line="580" w:lineRule="exact"/>
        <w:textAlignment w:val="baseline"/>
        <w:rPr>
          <w:rFonts w:ascii="仿宋" w:eastAsia="仿宋" w:hAnsi="仿宋" w:cs="仿宋"/>
          <w:szCs w:val="22"/>
        </w:rPr>
      </w:pPr>
      <w:bookmarkStart w:id="322" w:name="_Toc32712"/>
      <w:bookmarkStart w:id="323" w:name="_Toc3501"/>
      <w:r>
        <w:rPr>
          <w:rFonts w:ascii="仿宋" w:eastAsia="仿宋" w:hAnsi="仿宋" w:cs="仿宋" w:hint="eastAsia"/>
          <w:szCs w:val="22"/>
        </w:rPr>
        <w:t>第一节 推进教育现代化发展</w:t>
      </w:r>
      <w:bookmarkEnd w:id="322"/>
      <w:bookmarkEnd w:id="323"/>
    </w:p>
    <w:p w:rsidR="00E35214" w:rsidRDefault="006F7231">
      <w:pPr>
        <w:pStyle w:val="a5"/>
        <w:snapToGrid w:val="0"/>
        <w:spacing w:line="58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实施“五大发展争先计划”，优化配置城乡教育资源。推进义务教育、学前教育、特色高中更好更快发展。健全学校、家庭、社会协同育人机制，重视青少年身体素质和心理</w:t>
      </w:r>
      <w:r>
        <w:rPr>
          <w:rFonts w:ascii="仿宋" w:eastAsia="仿宋" w:hAnsi="仿宋" w:cs="仿宋" w:hint="eastAsia"/>
          <w:kern w:val="0"/>
          <w:sz w:val="32"/>
          <w:szCs w:val="32"/>
        </w:rPr>
        <w:lastRenderedPageBreak/>
        <w:t>健康教育。大力发展现代职业教育，深化职普融通、产教融合、校企合作，巩固提升民族地区教育质量和水平。</w:t>
      </w:r>
    </w:p>
    <w:p w:rsidR="00E35214" w:rsidRDefault="006F7231">
      <w:pPr>
        <w:pStyle w:val="3"/>
        <w:snapToGrid w:val="0"/>
        <w:spacing w:line="580" w:lineRule="exact"/>
        <w:textAlignment w:val="baseline"/>
        <w:rPr>
          <w:rFonts w:ascii="仿宋" w:eastAsia="仿宋" w:hAnsi="仿宋" w:cs="仿宋"/>
          <w:szCs w:val="22"/>
        </w:rPr>
      </w:pPr>
      <w:bookmarkStart w:id="324" w:name="_Toc15723"/>
      <w:bookmarkStart w:id="325" w:name="_Toc16439"/>
      <w:r>
        <w:rPr>
          <w:rFonts w:ascii="仿宋" w:eastAsia="仿宋" w:hAnsi="仿宋" w:cs="仿宋" w:hint="eastAsia"/>
          <w:szCs w:val="22"/>
        </w:rPr>
        <w:t>第二节 保障教育事业优先发展</w:t>
      </w:r>
      <w:bookmarkEnd w:id="324"/>
      <w:bookmarkEnd w:id="325"/>
    </w:p>
    <w:p w:rsidR="00E35214" w:rsidRDefault="006F7231">
      <w:pPr>
        <w:pStyle w:val="a5"/>
        <w:snapToGrid w:val="0"/>
        <w:spacing w:line="58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进一步理顺和健全教育管理体制机制，强化政府提供公共教育服务职责，确保教育经费投入“两个只增不减”。构建“区管校用”“跨校兼课”“交流轮岗”“结对帮扶”等用人机制，增加教师编制总量。推进教育信息化2.0行动计划，实现薄弱学校普遍共享优质教育资源。加快推进学校食堂、学生宿舍、厕所等后勤服务设施标准化智能化建设，提升后勤服务保障水平，加大校园人防、物防、技防投入，继续创建一批平安校园。</w:t>
      </w:r>
    </w:p>
    <w:p w:rsidR="00E35214" w:rsidRDefault="006F7231">
      <w:pPr>
        <w:pStyle w:val="3"/>
        <w:snapToGrid w:val="0"/>
        <w:spacing w:line="580" w:lineRule="exact"/>
        <w:textAlignment w:val="baseline"/>
        <w:rPr>
          <w:rFonts w:ascii="仿宋" w:eastAsia="仿宋" w:hAnsi="仿宋" w:cs="仿宋"/>
          <w:szCs w:val="22"/>
        </w:rPr>
      </w:pPr>
      <w:bookmarkStart w:id="326" w:name="_Toc26136"/>
      <w:bookmarkStart w:id="327" w:name="_Toc15027"/>
      <w:r>
        <w:rPr>
          <w:rFonts w:ascii="仿宋" w:eastAsia="仿宋" w:hAnsi="仿宋" w:cs="仿宋" w:hint="eastAsia"/>
          <w:szCs w:val="22"/>
        </w:rPr>
        <w:t>第三节 提升和完善教育治理能力和体系</w:t>
      </w:r>
      <w:bookmarkEnd w:id="326"/>
      <w:bookmarkEnd w:id="327"/>
    </w:p>
    <w:p w:rsidR="00E35214" w:rsidRDefault="006F7231">
      <w:pPr>
        <w:pStyle w:val="a5"/>
        <w:snapToGrid w:val="0"/>
        <w:spacing w:line="58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深化教育“放管服”改革，落实中小学办学主体地位，保障学校办学自主权。加强议事协商，发挥教职工（代表） 大会、校务委员会等作用，保障师生知情权、参与权、表达权和监督权。积极扩大社会参与学校办学与管理的渠道和方式，深入推进家长委员会建设，完善学校、家庭、社会三位一体的教育体系。深化教育评价改革，加强督导评估，提高教育治理能力和水平。</w:t>
      </w:r>
    </w:p>
    <w:p w:rsidR="00E35214" w:rsidRDefault="00E35214">
      <w:pPr>
        <w:pStyle w:val="a5"/>
        <w:snapToGrid w:val="0"/>
        <w:spacing w:line="580" w:lineRule="exact"/>
        <w:ind w:firstLineChars="200" w:firstLine="640"/>
        <w:textAlignment w:val="baseline"/>
        <w:rPr>
          <w:rFonts w:ascii="仿宋" w:eastAsia="仿宋" w:hAnsi="仿宋" w:cs="仿宋"/>
          <w:kern w:val="0"/>
          <w:sz w:val="32"/>
          <w:szCs w:val="32"/>
        </w:rPr>
      </w:pPr>
    </w:p>
    <w:p w:rsidR="00E35214" w:rsidRDefault="00E35214">
      <w:pPr>
        <w:pStyle w:val="a5"/>
        <w:snapToGrid w:val="0"/>
        <w:spacing w:line="580" w:lineRule="exact"/>
        <w:ind w:firstLineChars="200" w:firstLine="640"/>
        <w:textAlignment w:val="baseline"/>
        <w:rPr>
          <w:rFonts w:ascii="仿宋" w:eastAsia="仿宋" w:hAnsi="仿宋" w:cs="仿宋"/>
          <w:kern w:val="0"/>
          <w:sz w:val="32"/>
          <w:szCs w:val="32"/>
        </w:rPr>
      </w:pPr>
    </w:p>
    <w:p w:rsidR="00E35214" w:rsidRDefault="00E35214">
      <w:pPr>
        <w:pStyle w:val="a5"/>
        <w:snapToGrid w:val="0"/>
        <w:spacing w:line="580" w:lineRule="exact"/>
        <w:ind w:firstLineChars="200" w:firstLine="640"/>
        <w:textAlignment w:val="baseline"/>
        <w:rPr>
          <w:rFonts w:ascii="仿宋" w:eastAsia="仿宋" w:hAnsi="仿宋" w:cs="仿宋"/>
          <w:kern w:val="0"/>
          <w:sz w:val="32"/>
          <w:szCs w:val="32"/>
        </w:rPr>
      </w:pPr>
    </w:p>
    <w:p w:rsidR="00E35214" w:rsidRDefault="006F7231">
      <w:pPr>
        <w:pStyle w:val="NewNewNewNewNewNewNewNewNewNewNewNewNewNewNewNew"/>
        <w:snapToGrid w:val="0"/>
        <w:spacing w:line="240" w:lineRule="auto"/>
        <w:ind w:firstLineChars="0" w:firstLine="0"/>
        <w:jc w:val="center"/>
        <w:textAlignment w:val="baseline"/>
        <w:rPr>
          <w:rFonts w:ascii="楷体" w:eastAsia="楷体" w:hAnsi="楷体" w:cs="仿宋"/>
        </w:rPr>
      </w:pPr>
      <w:r>
        <w:rPr>
          <w:rFonts w:ascii="楷体" w:eastAsia="楷体" w:hAnsi="楷体" w:cs="仿宋" w:hint="eastAsia"/>
          <w:b/>
          <w:bCs/>
          <w:spacing w:val="-6"/>
          <w:sz w:val="28"/>
          <w:szCs w:val="28"/>
        </w:rPr>
        <w:t>专栏15教育事业重点项目</w:t>
      </w:r>
    </w:p>
    <w:tbl>
      <w:tblPr>
        <w:tblStyle w:val="ae"/>
        <w:tblW w:w="8522" w:type="dxa"/>
        <w:tblLayout w:type="fixed"/>
        <w:tblLook w:val="04A0"/>
      </w:tblPr>
      <w:tblGrid>
        <w:gridCol w:w="8522"/>
      </w:tblGrid>
      <w:tr w:rsidR="00E35214">
        <w:tc>
          <w:tcPr>
            <w:tcW w:w="8522" w:type="dxa"/>
          </w:tcPr>
          <w:p w:rsidR="00E35214" w:rsidRDefault="006F7231">
            <w:pPr>
              <w:pStyle w:val="ac"/>
              <w:snapToGrid w:val="0"/>
              <w:spacing w:line="420" w:lineRule="exact"/>
              <w:ind w:leftChars="219" w:left="460" w:firstLineChars="0" w:firstLine="0"/>
              <w:jc w:val="left"/>
              <w:textAlignment w:val="baseline"/>
              <w:rPr>
                <w:rFonts w:ascii="楷体" w:eastAsia="楷体" w:hAnsi="楷体" w:cs="楷体"/>
                <w:spacing w:val="-6"/>
                <w:kern w:val="0"/>
                <w:sz w:val="24"/>
              </w:rPr>
            </w:pPr>
            <w:r>
              <w:rPr>
                <w:rFonts w:ascii="楷体" w:eastAsia="楷体" w:hAnsi="楷体" w:cs="楷体" w:hint="eastAsia"/>
                <w:b/>
                <w:bCs/>
                <w:spacing w:val="-6"/>
                <w:kern w:val="0"/>
                <w:sz w:val="24"/>
              </w:rPr>
              <w:t>学前教育。</w:t>
            </w:r>
            <w:r>
              <w:rPr>
                <w:rFonts w:ascii="楷体" w:eastAsia="楷体" w:hAnsi="楷体" w:cs="楷体" w:hint="eastAsia"/>
                <w:spacing w:val="-6"/>
                <w:kern w:val="0"/>
                <w:sz w:val="24"/>
              </w:rPr>
              <w:t>续建和平彝族乡中心幼儿园。</w:t>
            </w:r>
          </w:p>
          <w:p w:rsidR="00E35214" w:rsidRDefault="006F7231">
            <w:pPr>
              <w:pStyle w:val="ac"/>
              <w:snapToGrid w:val="0"/>
              <w:spacing w:line="420" w:lineRule="exact"/>
              <w:ind w:leftChars="219" w:left="460" w:firstLineChars="0" w:firstLine="0"/>
              <w:jc w:val="left"/>
              <w:textAlignment w:val="baseline"/>
              <w:rPr>
                <w:rFonts w:ascii="楷体" w:eastAsia="楷体" w:hAnsi="楷体" w:cs="楷体"/>
                <w:spacing w:val="-6"/>
                <w:kern w:val="0"/>
                <w:sz w:val="24"/>
              </w:rPr>
            </w:pPr>
            <w:r>
              <w:rPr>
                <w:rFonts w:ascii="楷体" w:eastAsia="楷体" w:hAnsi="楷体" w:cs="楷体" w:hint="eastAsia"/>
                <w:b/>
                <w:bCs/>
                <w:spacing w:val="-6"/>
                <w:kern w:val="0"/>
                <w:sz w:val="24"/>
              </w:rPr>
              <w:t>义务教育。</w:t>
            </w:r>
            <w:r>
              <w:rPr>
                <w:rFonts w:ascii="楷体" w:eastAsia="楷体" w:hAnsi="楷体" w:cs="楷体" w:hint="eastAsia"/>
                <w:spacing w:val="-6"/>
                <w:kern w:val="0"/>
                <w:sz w:val="24"/>
              </w:rPr>
              <w:t>实施共安彝族乡小学教学楼、学生宿舍楼改扩建工程。永和镇第一小学和永和镇第二小学合并后迁建至永和镇新乐村（原稽征所片区），新建永和镇小学。</w:t>
            </w:r>
          </w:p>
          <w:p w:rsidR="00E35214" w:rsidRDefault="006F7231">
            <w:pPr>
              <w:pStyle w:val="ac"/>
              <w:snapToGrid w:val="0"/>
              <w:spacing w:line="420" w:lineRule="exact"/>
              <w:ind w:leftChars="219" w:left="460" w:firstLineChars="0" w:firstLine="0"/>
              <w:jc w:val="left"/>
              <w:textAlignment w:val="baseline"/>
              <w:rPr>
                <w:rFonts w:ascii="楷体" w:eastAsia="楷体" w:hAnsi="楷体" w:cs="楷体"/>
                <w:b/>
                <w:bCs/>
                <w:spacing w:val="-6"/>
                <w:kern w:val="0"/>
                <w:sz w:val="24"/>
              </w:rPr>
            </w:pPr>
            <w:r>
              <w:rPr>
                <w:rFonts w:ascii="楷体" w:eastAsia="楷体" w:hAnsi="楷体" w:cs="楷体" w:hint="eastAsia"/>
                <w:b/>
                <w:bCs/>
                <w:spacing w:val="-6"/>
                <w:kern w:val="0"/>
                <w:sz w:val="24"/>
              </w:rPr>
              <w:t>高中教育。</w:t>
            </w:r>
            <w:r>
              <w:rPr>
                <w:rFonts w:ascii="楷体" w:eastAsia="楷体" w:hAnsi="楷体" w:cs="楷体" w:hint="eastAsia"/>
                <w:spacing w:val="-6"/>
                <w:kern w:val="0"/>
                <w:sz w:val="24"/>
              </w:rPr>
              <w:t>提升改造延风中学综合楼和学生宿舍楼，绿化美化校园。拆迁校园外相关房屋，扩建运动场。</w:t>
            </w:r>
          </w:p>
          <w:p w:rsidR="00E35214" w:rsidRDefault="006F7231">
            <w:pPr>
              <w:pStyle w:val="ac"/>
              <w:snapToGrid w:val="0"/>
              <w:spacing w:line="420" w:lineRule="exact"/>
              <w:ind w:leftChars="219" w:left="460" w:firstLineChars="0" w:firstLine="0"/>
              <w:jc w:val="left"/>
              <w:textAlignment w:val="baseline"/>
              <w:rPr>
                <w:rFonts w:ascii="仿宋" w:eastAsia="仿宋" w:hAnsi="仿宋" w:cs="仿宋"/>
                <w:b/>
                <w:bCs/>
                <w:spacing w:val="-6"/>
                <w:kern w:val="0"/>
                <w:sz w:val="24"/>
              </w:rPr>
            </w:pPr>
            <w:r>
              <w:rPr>
                <w:rFonts w:ascii="楷体" w:eastAsia="楷体" w:hAnsi="楷体" w:cs="楷体" w:hint="eastAsia"/>
                <w:b/>
                <w:bCs/>
                <w:spacing w:val="-6"/>
                <w:kern w:val="0"/>
                <w:sz w:val="24"/>
              </w:rPr>
              <w:t>教育信息化。</w:t>
            </w:r>
            <w:r>
              <w:rPr>
                <w:rFonts w:ascii="楷体" w:eastAsia="楷体" w:hAnsi="楷体" w:cs="楷体" w:hint="eastAsia"/>
                <w:spacing w:val="-6"/>
                <w:kern w:val="0"/>
                <w:sz w:val="24"/>
              </w:rPr>
              <w:t>深入实施中小学教师信息技术应用能力提升工程，构建智慧校园、智慧课堂，稳步提升智慧教育建设水平。</w:t>
            </w:r>
          </w:p>
        </w:tc>
      </w:tr>
    </w:tbl>
    <w:p w:rsidR="00E35214" w:rsidRDefault="00E35214">
      <w:pPr>
        <w:pStyle w:val="a5"/>
        <w:snapToGrid w:val="0"/>
        <w:spacing w:after="0" w:line="580" w:lineRule="exact"/>
        <w:textAlignment w:val="baseline"/>
        <w:rPr>
          <w:rFonts w:ascii="仿宋" w:eastAsia="仿宋" w:hAnsi="仿宋" w:cs="仿宋"/>
          <w:spacing w:val="-6"/>
          <w:kern w:val="0"/>
          <w:szCs w:val="32"/>
        </w:rPr>
      </w:pPr>
    </w:p>
    <w:p w:rsidR="00E35214" w:rsidRDefault="006F7231">
      <w:pPr>
        <w:pStyle w:val="2"/>
        <w:snapToGrid w:val="0"/>
        <w:textAlignment w:val="baseline"/>
      </w:pPr>
      <w:bookmarkStart w:id="328" w:name="_Toc8630"/>
      <w:bookmarkStart w:id="329" w:name="_Toc2328"/>
      <w:bookmarkStart w:id="330" w:name="_Toc20223"/>
      <w:bookmarkStart w:id="331" w:name="_Toc11229"/>
      <w:bookmarkStart w:id="332" w:name="_Toc22639"/>
      <w:bookmarkStart w:id="333" w:name="_Toc24192"/>
      <w:bookmarkStart w:id="334" w:name="_Toc11794"/>
      <w:bookmarkStart w:id="335" w:name="_Toc8581"/>
      <w:bookmarkStart w:id="336" w:name="_Toc15696"/>
      <w:r>
        <w:rPr>
          <w:rFonts w:hint="eastAsia"/>
        </w:rPr>
        <w:t>第二十一章全面推进健康金口河建设</w:t>
      </w:r>
      <w:bookmarkEnd w:id="321"/>
      <w:bookmarkEnd w:id="328"/>
      <w:bookmarkEnd w:id="329"/>
      <w:bookmarkEnd w:id="330"/>
      <w:bookmarkEnd w:id="331"/>
      <w:bookmarkEnd w:id="332"/>
      <w:bookmarkEnd w:id="333"/>
      <w:bookmarkEnd w:id="334"/>
      <w:bookmarkEnd w:id="335"/>
      <w:bookmarkEnd w:id="336"/>
    </w:p>
    <w:p w:rsidR="00E35214" w:rsidRDefault="006F7231">
      <w:pPr>
        <w:pStyle w:val="a5"/>
        <w:snapToGrid w:val="0"/>
        <w:spacing w:after="0" w:line="580" w:lineRule="exact"/>
        <w:ind w:right="405" w:firstLineChars="200" w:firstLine="640"/>
        <w:textAlignment w:val="baseline"/>
        <w:rPr>
          <w:rFonts w:ascii="仿宋" w:eastAsia="仿宋" w:hAnsi="仿宋" w:cs="仿宋"/>
          <w:spacing w:val="-6"/>
        </w:rPr>
      </w:pPr>
      <w:r>
        <w:rPr>
          <w:rFonts w:ascii="仿宋_GB2312" w:eastAsia="仿宋_GB2312" w:hAnsi="仿宋_GB2312" w:cs="仿宋_GB2312"/>
          <w:sz w:val="32"/>
          <w:szCs w:val="32"/>
          <w:shd w:val="clear" w:color="auto" w:fill="FFFFFF"/>
        </w:rPr>
        <w:t>把保障人民健康放在优先发展的战略位置，坚持预防为主的方针，深入实施健康金口河行动，积极实施健康促进政策，为全区人民提供全方位全周期健康服务。</w:t>
      </w:r>
    </w:p>
    <w:p w:rsidR="00E35214" w:rsidRDefault="006F7231">
      <w:pPr>
        <w:pStyle w:val="3"/>
        <w:snapToGrid w:val="0"/>
        <w:spacing w:line="580" w:lineRule="exact"/>
        <w:textAlignment w:val="baseline"/>
        <w:rPr>
          <w:rFonts w:ascii="仿宋" w:eastAsia="仿宋" w:hAnsi="仿宋" w:cs="仿宋"/>
          <w:szCs w:val="22"/>
        </w:rPr>
      </w:pPr>
      <w:bookmarkStart w:id="337" w:name="_bookmark112"/>
      <w:bookmarkStart w:id="338" w:name="第二节__卫生基础设施建设"/>
      <w:bookmarkStart w:id="339" w:name="_Toc3017"/>
      <w:bookmarkStart w:id="340" w:name="_Toc16423"/>
      <w:bookmarkEnd w:id="337"/>
      <w:bookmarkEnd w:id="338"/>
      <w:r>
        <w:rPr>
          <w:rFonts w:ascii="仿宋" w:eastAsia="仿宋" w:hAnsi="仿宋" w:cs="仿宋" w:hint="eastAsia"/>
          <w:szCs w:val="22"/>
        </w:rPr>
        <w:t>第一节 提升公共卫生能力建设</w:t>
      </w:r>
      <w:bookmarkEnd w:id="339"/>
      <w:bookmarkEnd w:id="340"/>
    </w:p>
    <w:p w:rsidR="00E35214" w:rsidRDefault="006F7231">
      <w:pPr>
        <w:snapToGrid w:val="0"/>
        <w:spacing w:line="580" w:lineRule="atLeast"/>
        <w:ind w:firstLineChars="200" w:firstLine="640"/>
        <w:textAlignment w:val="baseline"/>
        <w:rPr>
          <w:rFonts w:ascii="仿宋" w:eastAsia="仿宋" w:hAnsi="仿宋" w:cs="仿宋"/>
          <w:sz w:val="32"/>
          <w:szCs w:val="32"/>
        </w:rPr>
      </w:pPr>
      <w:r>
        <w:rPr>
          <w:rFonts w:ascii="仿宋_GB2312" w:eastAsia="仿宋_GB2312" w:hAnsi="仿宋_GB2312" w:cs="仿宋_GB2312"/>
          <w:sz w:val="32"/>
          <w:szCs w:val="32"/>
          <w:shd w:val="clear" w:color="auto" w:fill="FFFFFF"/>
        </w:rPr>
        <w:t>提升监测预警、风险评估、流行病学调查、检验检测、应急处置等能力。发展“互联网+健康医疗”服务，5G智慧医联体建设，完善重大疫情防控救治体系和公共卫生应急管理体系，统筹推进全民预防保健、基本公共卫生服务和家庭医生签约服务等基层卫生工作，持续推动医疗机构应急服务能力提升建设。初步建立以全科医生为重点的基层医疗卫生人才培养培训制度，做强区人民医院，做精乡镇卫生院，做实村级卫生室，提升全区医疗机构服务水平。持续推进全区</w:t>
      </w:r>
      <w:r>
        <w:rPr>
          <w:rFonts w:ascii="仿宋_GB2312" w:eastAsia="仿宋_GB2312" w:hAnsi="仿宋_GB2312" w:cs="仿宋_GB2312"/>
          <w:sz w:val="32"/>
          <w:szCs w:val="32"/>
          <w:shd w:val="clear" w:color="auto" w:fill="FFFFFF"/>
        </w:rPr>
        <w:lastRenderedPageBreak/>
        <w:t>6个乡镇卫生院建设中医馆</w:t>
      </w:r>
      <w:r>
        <w:rPr>
          <w:rFonts w:ascii="仿宋_GB2312" w:eastAsia="仿宋_GB2312" w:hAnsi="仿宋_GB2312" w:cs="仿宋_GB2312" w:hint="eastAsia"/>
          <w:sz w:val="32"/>
          <w:szCs w:val="32"/>
          <w:shd w:val="clear" w:color="auto" w:fill="FFFFFF"/>
        </w:rPr>
        <w:t>、或</w:t>
      </w:r>
      <w:r>
        <w:rPr>
          <w:rFonts w:ascii="仿宋_GB2312" w:eastAsia="仿宋_GB2312" w:hAnsi="仿宋_GB2312" w:cs="仿宋_GB2312"/>
          <w:sz w:val="32"/>
          <w:szCs w:val="32"/>
          <w:shd w:val="clear" w:color="auto" w:fill="FFFFFF"/>
        </w:rPr>
        <w:t>设立中医科</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sz w:val="32"/>
          <w:szCs w:val="32"/>
        </w:rPr>
        <w:t>提高中医药服务能力。</w:t>
      </w:r>
      <w:r>
        <w:rPr>
          <w:rFonts w:ascii="仿宋_GB2312" w:eastAsia="仿宋_GB2312" w:hAnsi="仿宋_GB2312" w:cs="仿宋_GB2312" w:hint="eastAsia"/>
          <w:sz w:val="32"/>
          <w:szCs w:val="32"/>
          <w:shd w:val="clear" w:color="auto" w:fill="FFFFFF"/>
        </w:rPr>
        <w:t>深入开展新时代爱国卫生运动，</w:t>
      </w:r>
      <w:r>
        <w:rPr>
          <w:rFonts w:ascii="仿宋_GB2312" w:eastAsia="仿宋_GB2312" w:hAnsi="仿宋_GB2312" w:cs="仿宋_GB2312"/>
          <w:sz w:val="32"/>
          <w:szCs w:val="32"/>
          <w:shd w:val="clear" w:color="auto" w:fill="FFFFFF"/>
        </w:rPr>
        <w:t>开展“三减三健”，倡导健康文明生活方式。提高公共场所、饮用水、</w:t>
      </w:r>
      <w:r>
        <w:rPr>
          <w:rFonts w:ascii="仿宋_GB2312" w:eastAsia="仿宋_GB2312" w:hAnsi="仿宋_GB2312" w:cs="仿宋_GB2312" w:hint="eastAsia"/>
          <w:sz w:val="32"/>
          <w:szCs w:val="32"/>
          <w:shd w:val="clear" w:color="auto" w:fill="FFFFFF"/>
        </w:rPr>
        <w:t>职业卫生</w:t>
      </w:r>
      <w:r>
        <w:rPr>
          <w:rFonts w:ascii="仿宋_GB2312" w:eastAsia="仿宋_GB2312" w:hAnsi="仿宋_GB2312" w:cs="仿宋_GB2312"/>
          <w:sz w:val="32"/>
          <w:szCs w:val="32"/>
          <w:shd w:val="clear" w:color="auto" w:fill="FFFFFF"/>
        </w:rPr>
        <w:t>监督监测技术水平，积极开展建设项目卫生评价，逐步解决危害人民群众健康的突出环境卫生问题。依托综合医院加强职业病防治机构建设，健全职业病防治网络，做好重点职业病、放射病监测工作。加大打击非法行医和非法采供血力度，整顿和规范医疗服务市场秩序。</w:t>
      </w:r>
    </w:p>
    <w:p w:rsidR="00E35214" w:rsidRDefault="006F7231">
      <w:pPr>
        <w:pStyle w:val="3"/>
        <w:snapToGrid w:val="0"/>
        <w:spacing w:line="580" w:lineRule="exact"/>
        <w:textAlignment w:val="baseline"/>
        <w:rPr>
          <w:rFonts w:ascii="仿宋" w:eastAsia="仿宋" w:hAnsi="仿宋" w:cs="仿宋"/>
          <w:szCs w:val="22"/>
        </w:rPr>
      </w:pPr>
      <w:bookmarkStart w:id="341" w:name="_Toc32037"/>
      <w:bookmarkStart w:id="342" w:name="_Toc19634"/>
      <w:r>
        <w:rPr>
          <w:rFonts w:ascii="仿宋" w:eastAsia="仿宋" w:hAnsi="仿宋" w:cs="仿宋" w:hint="eastAsia"/>
          <w:szCs w:val="22"/>
        </w:rPr>
        <w:t>第二节</w:t>
      </w:r>
      <w:r>
        <w:rPr>
          <w:rFonts w:ascii="仿宋" w:eastAsia="仿宋" w:hAnsi="仿宋" w:cs="仿宋" w:hint="eastAsia"/>
          <w:szCs w:val="22"/>
        </w:rPr>
        <w:tab/>
        <w:t>加强卫生基础设施建设</w:t>
      </w:r>
      <w:bookmarkEnd w:id="341"/>
      <w:bookmarkEnd w:id="342"/>
    </w:p>
    <w:p w:rsidR="00E35214" w:rsidRDefault="006F7231">
      <w:pPr>
        <w:snapToGrid w:val="0"/>
        <w:spacing w:line="580" w:lineRule="atLeast"/>
        <w:ind w:firstLineChars="200" w:firstLine="640"/>
        <w:textAlignment w:val="baseline"/>
        <w:rPr>
          <w:rFonts w:ascii="仿宋" w:eastAsia="仿宋" w:hAnsi="仿宋" w:cs="小标宋"/>
          <w:bCs/>
          <w:sz w:val="32"/>
          <w:szCs w:val="32"/>
        </w:rPr>
      </w:pPr>
      <w:r>
        <w:rPr>
          <w:rFonts w:ascii="仿宋_GB2312" w:eastAsia="仿宋_GB2312" w:hAnsi="仿宋_GB2312" w:cs="仿宋_GB2312" w:hint="eastAsia"/>
          <w:kern w:val="21"/>
          <w:sz w:val="32"/>
          <w:szCs w:val="32"/>
        </w:rPr>
        <w:t>构建起以区医院为龙头、医疗卫生次中心为支撑、乡镇卫生院和社区卫生服务中心为骨干、村卫生室为网底的基层医疗卫生新布局。</w:t>
      </w:r>
      <w:r>
        <w:rPr>
          <w:rFonts w:ascii="仿宋_GB2312" w:eastAsia="仿宋_GB2312" w:hAnsi="仿宋_GB2312" w:cs="仿宋_GB2312" w:hint="eastAsia"/>
          <w:sz w:val="32"/>
          <w:szCs w:val="32"/>
        </w:rPr>
        <w:t>到2025年，60%的乡镇卫生院和社区卫生服务中心</w:t>
      </w:r>
      <w:r>
        <w:rPr>
          <w:rFonts w:ascii="仿宋_GB2312" w:eastAsia="仿宋_GB2312" w:hint="eastAsia"/>
          <w:sz w:val="32"/>
          <w:szCs w:val="32"/>
        </w:rPr>
        <w:t>达到</w:t>
      </w:r>
      <w:r>
        <w:rPr>
          <w:rFonts w:ascii="仿宋_GB2312" w:eastAsia="仿宋_GB2312" w:hAnsi="仿宋_GB2312" w:cs="仿宋_GB2312" w:hint="eastAsia"/>
          <w:kern w:val="21"/>
          <w:sz w:val="32"/>
          <w:szCs w:val="32"/>
        </w:rPr>
        <w:t>国家“优质服务基层行”</w:t>
      </w:r>
      <w:r>
        <w:rPr>
          <w:rFonts w:ascii="仿宋_GB2312" w:eastAsia="仿宋_GB2312" w:hint="eastAsia"/>
          <w:sz w:val="32"/>
          <w:szCs w:val="32"/>
        </w:rPr>
        <w:t>基本标准</w:t>
      </w:r>
      <w:r>
        <w:rPr>
          <w:rFonts w:ascii="仿宋_GB2312" w:eastAsia="仿宋_GB2312" w:hAnsi="仿宋_GB2312" w:cs="仿宋_GB2312" w:hint="eastAsia"/>
          <w:sz w:val="32"/>
          <w:szCs w:val="32"/>
        </w:rPr>
        <w:t>，部分乡镇卫生院建设成为县域医疗卫生次中心，基层医疗卫生服务能力整体显著提升，大病不出区、小病不出镇（乡）、群众就近就医的基层医疗卫生服务格局基本形成。继续巩固区人民医院二级甲等综合医院创建成果，加强区域内疑难重症、危急重症诊疗能力，到2025年争创三级综合医院，</w:t>
      </w:r>
      <w:r>
        <w:rPr>
          <w:rFonts w:ascii="仿宋" w:eastAsia="仿宋" w:hAnsi="仿宋" w:cs="小标宋" w:hint="eastAsia"/>
          <w:bCs/>
          <w:sz w:val="32"/>
          <w:szCs w:val="32"/>
        </w:rPr>
        <w:t>建成技术一流、管理一流，服务模式创新的现代化医院。推进“智慧医院”“互联网医院建设”。</w:t>
      </w:r>
      <w:r>
        <w:rPr>
          <w:rFonts w:ascii="仿宋_GB2312" w:eastAsia="仿宋_GB2312" w:hAnsi="仿宋_GB2312" w:cs="仿宋_GB2312"/>
          <w:sz w:val="32"/>
          <w:szCs w:val="32"/>
          <w:shd w:val="clear" w:color="auto" w:fill="FFFFFF"/>
        </w:rPr>
        <w:t>重点建设区人民医院</w:t>
      </w:r>
      <w:r>
        <w:rPr>
          <w:rFonts w:ascii="仿宋_GB2312" w:eastAsia="仿宋_GB2312" w:hAnsi="仿宋_GB2312" w:cs="仿宋_GB2312" w:hint="eastAsia"/>
          <w:sz w:val="32"/>
          <w:szCs w:val="32"/>
          <w:shd w:val="clear" w:color="auto" w:fill="FFFFFF"/>
        </w:rPr>
        <w:t>传染病区建设项目、</w:t>
      </w:r>
    </w:p>
    <w:p w:rsidR="00E35214" w:rsidRDefault="006F7231">
      <w:pPr>
        <w:pStyle w:val="3"/>
        <w:snapToGrid w:val="0"/>
        <w:spacing w:line="580" w:lineRule="exact"/>
        <w:textAlignment w:val="baseline"/>
        <w:rPr>
          <w:rFonts w:ascii="仿宋" w:eastAsia="仿宋" w:hAnsi="仿宋" w:cs="仿宋"/>
          <w:szCs w:val="22"/>
        </w:rPr>
      </w:pPr>
      <w:bookmarkStart w:id="343" w:name="_Toc1807"/>
      <w:bookmarkStart w:id="344" w:name="_Toc31688"/>
      <w:bookmarkStart w:id="345" w:name="_Toc19942"/>
      <w:bookmarkStart w:id="346" w:name="_Toc5703"/>
      <w:bookmarkStart w:id="347" w:name="_Toc13188"/>
      <w:bookmarkStart w:id="348" w:name="_Toc5004"/>
      <w:r>
        <w:rPr>
          <w:rFonts w:ascii="仿宋" w:eastAsia="仿宋" w:hAnsi="仿宋" w:cs="仿宋" w:hint="eastAsia"/>
          <w:szCs w:val="22"/>
        </w:rPr>
        <w:lastRenderedPageBreak/>
        <w:t>第三节发展全民体育事业</w:t>
      </w:r>
      <w:bookmarkEnd w:id="343"/>
      <w:bookmarkEnd w:id="344"/>
      <w:bookmarkEnd w:id="345"/>
      <w:bookmarkEnd w:id="346"/>
      <w:bookmarkEnd w:id="347"/>
      <w:bookmarkEnd w:id="348"/>
    </w:p>
    <w:p w:rsidR="00E35214" w:rsidRDefault="006F7231">
      <w:pPr>
        <w:pStyle w:val="a5"/>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完善体育场、足球场、体育公园、健身步道、健身中心等体育健身设施，推进农村体育健身设施建设。繁荣体育市场，发展竞技体育经营、体育资讯培训、体育休闲、健身服务等体育产业，鼓励社会资本参与体育市场开发，健全体育组织网络。开展全民日常健身体育活动，强化校园体育活动，传承发展民族体育活动。积极承办国家、省、市以上重大赛事活动。</w:t>
      </w:r>
    </w:p>
    <w:p w:rsidR="00E35214" w:rsidRDefault="006F7231">
      <w:pPr>
        <w:pStyle w:val="NewNewNewNewNewNewNewNewNewNewNewNewNewNewNewNew"/>
        <w:snapToGrid w:val="0"/>
        <w:spacing w:line="240" w:lineRule="auto"/>
        <w:ind w:firstLineChars="0" w:firstLine="0"/>
        <w:jc w:val="center"/>
        <w:textAlignment w:val="baseline"/>
        <w:rPr>
          <w:rFonts w:ascii="楷体" w:eastAsia="楷体" w:hAnsi="楷体" w:cs="仿宋"/>
          <w:b/>
          <w:bCs/>
          <w:spacing w:val="-6"/>
          <w:sz w:val="28"/>
          <w:szCs w:val="28"/>
        </w:rPr>
      </w:pPr>
      <w:r>
        <w:rPr>
          <w:rFonts w:ascii="楷体" w:eastAsia="楷体" w:hAnsi="楷体" w:cs="仿宋" w:hint="eastAsia"/>
          <w:b/>
          <w:bCs/>
          <w:spacing w:val="-6"/>
          <w:sz w:val="28"/>
          <w:szCs w:val="28"/>
        </w:rPr>
        <w:t>专栏16健康金口河建设重点项目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E35214">
        <w:tc>
          <w:tcPr>
            <w:tcW w:w="8522" w:type="dxa"/>
          </w:tcPr>
          <w:p w:rsidR="00E35214" w:rsidRDefault="006F7231">
            <w:pPr>
              <w:widowControl/>
              <w:snapToGrid w:val="0"/>
              <w:spacing w:line="400" w:lineRule="atLeast"/>
              <w:ind w:firstLineChars="200" w:firstLine="482"/>
              <w:jc w:val="left"/>
              <w:textAlignment w:val="baseline"/>
              <w:rPr>
                <w:rFonts w:ascii="楷体" w:eastAsia="楷体" w:hAnsi="楷体" w:cs="楷体"/>
                <w:kern w:val="0"/>
                <w:sz w:val="24"/>
              </w:rPr>
            </w:pPr>
            <w:r>
              <w:rPr>
                <w:rFonts w:ascii="楷体" w:eastAsia="楷体" w:hAnsi="楷体" w:cs="楷体" w:hint="eastAsia"/>
                <w:b/>
                <w:bCs/>
                <w:kern w:val="0"/>
                <w:sz w:val="24"/>
              </w:rPr>
              <w:t>金口河区医疗机构服务能力提升建设项目：</w:t>
            </w:r>
            <w:r>
              <w:rPr>
                <w:rFonts w:ascii="楷体" w:eastAsia="楷体" w:hAnsi="楷体" w:cs="楷体" w:hint="eastAsia"/>
                <w:kern w:val="0"/>
                <w:sz w:val="24"/>
              </w:rPr>
              <w:t>5G智慧医联体建设，金口河区医疗废物处理中心建设，金口河区人民医院儿科、产科、ICU、留观病区服务能力提升建设。</w:t>
            </w:r>
          </w:p>
          <w:p w:rsidR="00E35214" w:rsidRDefault="006F7231">
            <w:pPr>
              <w:widowControl/>
              <w:snapToGrid w:val="0"/>
              <w:spacing w:line="400" w:lineRule="atLeast"/>
              <w:ind w:firstLineChars="200" w:firstLine="482"/>
              <w:textAlignment w:val="baseline"/>
              <w:rPr>
                <w:rFonts w:ascii="楷体" w:eastAsia="楷体" w:hAnsi="楷体" w:cs="楷体"/>
                <w:kern w:val="0"/>
                <w:sz w:val="24"/>
              </w:rPr>
            </w:pPr>
            <w:r>
              <w:rPr>
                <w:rFonts w:ascii="楷体" w:eastAsia="楷体" w:hAnsi="楷体" w:cs="楷体" w:hint="eastAsia"/>
                <w:b/>
                <w:bCs/>
                <w:kern w:val="0"/>
                <w:sz w:val="24"/>
                <w:shd w:val="clear" w:color="auto" w:fill="FFFFFF"/>
              </w:rPr>
              <w:t>金口河区人民医院传染病区建设项目：</w:t>
            </w:r>
            <w:r>
              <w:rPr>
                <w:rFonts w:ascii="楷体" w:eastAsia="楷体" w:hAnsi="楷体" w:cs="楷体" w:hint="eastAsia"/>
                <w:kern w:val="0"/>
                <w:sz w:val="24"/>
                <w:shd w:val="clear" w:color="auto" w:fill="FFFFFF"/>
              </w:rPr>
              <w:t>新建传染病业务用房5300平方米，占地13亩，配置配电、污水处理等辅助设施及传染病区周边环境整治，购置</w:t>
            </w:r>
            <w:r>
              <w:rPr>
                <w:rFonts w:ascii="楷体" w:eastAsia="楷体" w:hAnsi="楷体" w:cs="楷体" w:hint="eastAsia"/>
                <w:kern w:val="0"/>
                <w:sz w:val="24"/>
              </w:rPr>
              <w:t>一批</w:t>
            </w:r>
            <w:r>
              <w:rPr>
                <w:rFonts w:ascii="楷体" w:eastAsia="楷体" w:hAnsi="楷体" w:cs="楷体" w:hint="eastAsia"/>
                <w:kern w:val="0"/>
                <w:sz w:val="24"/>
                <w:shd w:val="clear" w:color="auto" w:fill="FFFFFF"/>
              </w:rPr>
              <w:t>负压救护车、检验室设备、CT等配套设备设施。</w:t>
            </w:r>
          </w:p>
          <w:p w:rsidR="00E35214" w:rsidRDefault="006F7231">
            <w:pPr>
              <w:widowControl/>
              <w:snapToGrid w:val="0"/>
              <w:spacing w:line="400" w:lineRule="atLeast"/>
              <w:ind w:firstLineChars="200" w:firstLine="482"/>
              <w:jc w:val="left"/>
              <w:textAlignment w:val="baseline"/>
              <w:rPr>
                <w:rFonts w:ascii="楷体" w:eastAsia="楷体" w:hAnsi="楷体" w:cs="楷体"/>
                <w:kern w:val="0"/>
                <w:sz w:val="24"/>
              </w:rPr>
            </w:pPr>
            <w:r>
              <w:rPr>
                <w:rFonts w:ascii="楷体" w:eastAsia="楷体" w:hAnsi="楷体" w:cs="楷体" w:hint="eastAsia"/>
                <w:b/>
                <w:kern w:val="0"/>
                <w:sz w:val="24"/>
              </w:rPr>
              <w:t>妇幼健康和计划生育服务能力建设：</w:t>
            </w:r>
            <w:r>
              <w:rPr>
                <w:rFonts w:ascii="楷体" w:eastAsia="楷体" w:hAnsi="楷体" w:cs="楷体" w:hint="eastAsia"/>
                <w:kern w:val="0"/>
                <w:sz w:val="24"/>
              </w:rPr>
              <w:t>强化孕产妇和新生儿危急重症救治能力建设，支持区、乡二级妇幼健康服务机构服务能力建设，全面改善妇幼健康服务条件，增加床位数量。</w:t>
            </w:r>
          </w:p>
          <w:p w:rsidR="00E35214" w:rsidRDefault="006F7231">
            <w:pPr>
              <w:snapToGrid w:val="0"/>
              <w:spacing w:line="400" w:lineRule="atLeast"/>
              <w:ind w:firstLineChars="200" w:firstLine="482"/>
              <w:textAlignment w:val="baseline"/>
              <w:rPr>
                <w:rFonts w:ascii="楷体" w:eastAsia="楷体" w:hAnsi="楷体" w:cs="楷体"/>
                <w:kern w:val="0"/>
                <w:sz w:val="24"/>
              </w:rPr>
            </w:pPr>
            <w:r>
              <w:rPr>
                <w:rFonts w:ascii="楷体" w:eastAsia="楷体" w:hAnsi="楷体" w:cs="楷体" w:hint="eastAsia"/>
                <w:b/>
                <w:kern w:val="0"/>
                <w:sz w:val="24"/>
              </w:rPr>
              <w:t>公共卫生服务能力建设：</w:t>
            </w:r>
            <w:r>
              <w:rPr>
                <w:rFonts w:ascii="楷体" w:eastAsia="楷体" w:hAnsi="楷体" w:cs="楷体" w:hint="eastAsia"/>
                <w:kern w:val="0"/>
                <w:sz w:val="24"/>
              </w:rPr>
              <w:t>区级疾病预防控制机构业务用房和实验室建设，配备必要的设施设备。医疗机构设施改造、设备配置和机制创新，提升对重大、新发和不明原因传染病的发现、诊断、检测、隔离治疗能力。完善基层医疗卫生机构设施设备，提升预检分诊、隔离观察、协同转运、应急处置等能力。</w:t>
            </w:r>
          </w:p>
          <w:p w:rsidR="00E35214" w:rsidRDefault="006F7231">
            <w:pPr>
              <w:snapToGrid w:val="0"/>
              <w:spacing w:line="400" w:lineRule="atLeast"/>
              <w:ind w:firstLineChars="200" w:firstLine="482"/>
              <w:textAlignment w:val="baseline"/>
              <w:rPr>
                <w:rFonts w:ascii="仿宋" w:eastAsia="仿宋" w:hAnsi="仿宋" w:cs="仿宋"/>
                <w:b/>
                <w:bCs/>
                <w:spacing w:val="-6"/>
                <w:sz w:val="32"/>
                <w:szCs w:val="32"/>
              </w:rPr>
            </w:pPr>
            <w:r>
              <w:rPr>
                <w:rFonts w:ascii="楷体" w:eastAsia="楷体" w:hAnsi="楷体" w:cs="楷体" w:hint="eastAsia"/>
                <w:b/>
                <w:kern w:val="0"/>
                <w:sz w:val="24"/>
              </w:rPr>
              <w:t>基本公共卫生服务项目：</w:t>
            </w:r>
            <w:r>
              <w:rPr>
                <w:rFonts w:ascii="楷体" w:eastAsia="楷体" w:hAnsi="楷体" w:cs="楷体" w:hint="eastAsia"/>
                <w:kern w:val="0"/>
                <w:sz w:val="24"/>
              </w:rPr>
              <w:t>居民健康档案、健康教育、预防接种、儿童健康管理、孕产妇健康管理、老年人健康管理、慢性病（高血压、Ⅱ型糖尿病）患者健康管理、严重精神障碍患者管理、结核病患者健康管理，中医药健康管理、卫生健康监督协管、传染病和突发公共卫生事件报告和处理等。</w:t>
            </w:r>
          </w:p>
        </w:tc>
      </w:tr>
    </w:tbl>
    <w:p w:rsidR="00E35214" w:rsidRDefault="006F7231">
      <w:pPr>
        <w:snapToGrid w:val="0"/>
        <w:textAlignment w:val="baseline"/>
        <w:rPr>
          <w:sz w:val="20"/>
        </w:rPr>
      </w:pPr>
      <w:bookmarkStart w:id="349" w:name="_Toc32675"/>
      <w:r>
        <w:br w:type="page"/>
      </w:r>
    </w:p>
    <w:p w:rsidR="00E35214" w:rsidRDefault="00E35214">
      <w:pPr>
        <w:pStyle w:val="20"/>
        <w:snapToGrid w:val="0"/>
        <w:textAlignment w:val="baseline"/>
        <w:rPr>
          <w:sz w:val="21"/>
        </w:rPr>
      </w:pPr>
    </w:p>
    <w:p w:rsidR="00E35214" w:rsidRDefault="006F7231">
      <w:pPr>
        <w:pStyle w:val="2"/>
        <w:snapToGrid w:val="0"/>
        <w:textAlignment w:val="baseline"/>
      </w:pPr>
      <w:bookmarkStart w:id="350" w:name="_Toc6646"/>
      <w:bookmarkStart w:id="351" w:name="_Toc9754"/>
      <w:bookmarkStart w:id="352" w:name="_Toc31752"/>
      <w:bookmarkStart w:id="353" w:name="_Toc25985"/>
      <w:bookmarkStart w:id="354" w:name="_Toc21754"/>
      <w:r>
        <w:rPr>
          <w:rFonts w:hint="eastAsia"/>
        </w:rPr>
        <w:t>第二十二章促进文化繁荣发展</w:t>
      </w:r>
      <w:bookmarkEnd w:id="350"/>
      <w:bookmarkEnd w:id="351"/>
      <w:bookmarkEnd w:id="352"/>
      <w:bookmarkEnd w:id="353"/>
      <w:bookmarkEnd w:id="354"/>
    </w:p>
    <w:p w:rsidR="00E35214" w:rsidRDefault="006F7231">
      <w:pPr>
        <w:pStyle w:val="a5"/>
        <w:snapToGrid w:val="0"/>
        <w:spacing w:after="0" w:line="580" w:lineRule="exact"/>
        <w:ind w:firstLineChars="200" w:firstLine="640"/>
        <w:textAlignment w:val="baseline"/>
        <w:rPr>
          <w:rFonts w:ascii="仿宋" w:eastAsia="仿宋" w:hAnsi="仿宋" w:cs="仿宋"/>
          <w:spacing w:val="-6"/>
          <w:sz w:val="32"/>
          <w:szCs w:val="32"/>
        </w:rPr>
      </w:pPr>
      <w:r>
        <w:rPr>
          <w:rFonts w:ascii="仿宋" w:eastAsia="仿宋" w:hAnsi="仿宋" w:cs="仿宋" w:hint="eastAsia"/>
          <w:sz w:val="32"/>
          <w:szCs w:val="32"/>
        </w:rPr>
        <w:t>坚持以社会主义核心价值观引领文化建设，加强社会主义精神文明建设，围绕举旗帜、聚民心、育新人、兴文化、展形象的使命任务，促进满足人民文化需求和增强人民精神力量相统一，推进文化强区建设。</w:t>
      </w:r>
    </w:p>
    <w:p w:rsidR="00E35214" w:rsidRDefault="006F7231">
      <w:pPr>
        <w:pStyle w:val="3"/>
        <w:snapToGrid w:val="0"/>
        <w:spacing w:line="580" w:lineRule="exact"/>
        <w:textAlignment w:val="baseline"/>
        <w:rPr>
          <w:rFonts w:ascii="仿宋" w:eastAsia="仿宋" w:hAnsi="仿宋" w:cs="仿宋"/>
          <w:szCs w:val="22"/>
        </w:rPr>
      </w:pPr>
      <w:bookmarkStart w:id="355" w:name="_Toc3310"/>
      <w:bookmarkStart w:id="356" w:name="_Toc13040"/>
      <w:r>
        <w:rPr>
          <w:rFonts w:ascii="仿宋" w:eastAsia="仿宋" w:hAnsi="仿宋" w:cs="仿宋" w:hint="eastAsia"/>
          <w:szCs w:val="22"/>
        </w:rPr>
        <w:t>第一节 加强社会主义精神文明建设</w:t>
      </w:r>
      <w:bookmarkEnd w:id="355"/>
      <w:bookmarkEnd w:id="356"/>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深入开展习近平新时代中国特色社会主义思想学习教育，践行社会主义核心价值观，</w:t>
      </w:r>
      <w:r>
        <w:rPr>
          <w:rFonts w:ascii="仿宋" w:eastAsia="仿宋" w:hAnsi="仿宋" w:cs="仿宋" w:hint="eastAsia"/>
          <w:bCs/>
          <w:sz w:val="32"/>
          <w:szCs w:val="32"/>
        </w:rPr>
        <w:t>持续开展社会主义核心价值观“七进”活动，</w:t>
      </w:r>
      <w:r>
        <w:rPr>
          <w:rFonts w:ascii="仿宋" w:eastAsia="仿宋" w:hAnsi="仿宋" w:cs="仿宋" w:hint="eastAsia"/>
          <w:sz w:val="32"/>
          <w:szCs w:val="32"/>
        </w:rPr>
        <w:t>建立全员、全程、全方位社会主义</w:t>
      </w:r>
      <w:r w:rsidR="00AE1851">
        <w:rPr>
          <w:rFonts w:ascii="仿宋" w:eastAsia="仿宋" w:hAnsi="仿宋" w:cs="仿宋" w:hint="eastAsia"/>
          <w:sz w:val="32"/>
          <w:szCs w:val="32"/>
        </w:rPr>
        <w:t>核心</w:t>
      </w:r>
      <w:r>
        <w:rPr>
          <w:rFonts w:ascii="仿宋" w:eastAsia="仿宋" w:hAnsi="仿宋" w:cs="仿宋" w:hint="eastAsia"/>
          <w:sz w:val="32"/>
          <w:szCs w:val="32"/>
        </w:rPr>
        <w:t>价值观教育体系。</w:t>
      </w:r>
      <w:r>
        <w:rPr>
          <w:rFonts w:ascii="仿宋" w:eastAsia="仿宋" w:hAnsi="仿宋" w:cs="仿宋" w:hint="eastAsia"/>
          <w:bCs/>
          <w:sz w:val="32"/>
          <w:szCs w:val="32"/>
        </w:rPr>
        <w:t>推动理想信念教育常态化制度化，加强党史、新中国史、改革开放史、社会主义发展史教育，加强爱国主义、集体主义、社会主义教育，加强</w:t>
      </w:r>
      <w:r>
        <w:rPr>
          <w:rFonts w:ascii="仿宋" w:eastAsia="仿宋" w:hAnsi="仿宋" w:cs="仿宋" w:hint="eastAsia"/>
          <w:sz w:val="32"/>
          <w:szCs w:val="32"/>
        </w:rPr>
        <w:t>红色文化、大爱文化、感恩文化教育。加强网上思想阵地建设，发展积极健康的网络文化。推进公民道德建设，弘扬社会公德、职业道德、家庭美德、个人品德，加强家庭、家教、家风建设，加大道德模范和先进典型宣传力度，开展道德领域突出问题专项教育治理，形成扶正祛邪、惩恶扬善的社会风气，夯实城市发展的道德根基。加强未成年人思想道德建设，引导青少年形成正确人生观、价值观和世界观。加强精神文明载体建设，构建区、乡、村三级新时代文明实践体系，开展文明单位、文明学校、文明景区创建活动。</w:t>
      </w:r>
    </w:p>
    <w:p w:rsidR="00E35214" w:rsidRDefault="006F7231">
      <w:pPr>
        <w:pStyle w:val="3"/>
        <w:snapToGrid w:val="0"/>
        <w:spacing w:line="580" w:lineRule="exact"/>
        <w:textAlignment w:val="baseline"/>
        <w:rPr>
          <w:rFonts w:ascii="仿宋" w:eastAsia="仿宋" w:hAnsi="仿宋" w:cs="仿宋"/>
          <w:szCs w:val="22"/>
        </w:rPr>
      </w:pPr>
      <w:bookmarkStart w:id="357" w:name="_Toc14435"/>
      <w:bookmarkStart w:id="358" w:name="_Toc32185"/>
      <w:r>
        <w:rPr>
          <w:rFonts w:ascii="仿宋" w:eastAsia="仿宋" w:hAnsi="仿宋" w:cs="仿宋" w:hint="eastAsia"/>
          <w:szCs w:val="22"/>
        </w:rPr>
        <w:lastRenderedPageBreak/>
        <w:t>第二节完善公共文化服务体系</w:t>
      </w:r>
      <w:bookmarkEnd w:id="357"/>
      <w:bookmarkEnd w:id="358"/>
    </w:p>
    <w:p w:rsidR="00E35214" w:rsidRDefault="006F7231">
      <w:pPr>
        <w:snapToGrid w:val="0"/>
        <w:spacing w:line="580" w:lineRule="atLeast"/>
        <w:ind w:firstLine="640"/>
        <w:textAlignment w:val="baseline"/>
        <w:rPr>
          <w:rFonts w:ascii="仿宋" w:eastAsia="仿宋" w:hAnsi="仿宋" w:cs="仿宋"/>
          <w:spacing w:val="-6"/>
          <w:sz w:val="32"/>
          <w:szCs w:val="32"/>
        </w:rPr>
      </w:pPr>
      <w:r>
        <w:rPr>
          <w:rFonts w:ascii="仿宋" w:eastAsia="仿宋" w:hAnsi="仿宋" w:cs="仿宋" w:hint="eastAsia"/>
          <w:spacing w:val="-6"/>
          <w:sz w:val="32"/>
          <w:szCs w:val="32"/>
        </w:rPr>
        <w:t>推进城乡公共文化设施提档升级，加强区图书馆、文化馆、博物馆、影剧院、乡镇综合文化站、村级文化活动室、农村书屋建设。规范公共文化设施运行管理和服务标准，培育民间文化服务机构，建立健全政府向社会力量购买公共文化服务机制。</w:t>
      </w:r>
      <w:r>
        <w:rPr>
          <w:rFonts w:ascii="仿宋" w:eastAsia="仿宋" w:hAnsi="仿宋" w:cs="仿宋" w:hint="eastAsia"/>
          <w:kern w:val="0"/>
          <w:sz w:val="32"/>
          <w:szCs w:val="32"/>
        </w:rPr>
        <w:t>实施文化惠民工程，广泛开展书香金口河、送文化下乡</w:t>
      </w:r>
      <w:r>
        <w:rPr>
          <w:rFonts w:ascii="仿宋" w:eastAsia="仿宋" w:hAnsi="仿宋" w:cs="仿宋" w:hint="eastAsia"/>
          <w:spacing w:val="-6"/>
          <w:sz w:val="32"/>
          <w:szCs w:val="32"/>
        </w:rPr>
        <w:t>、农村公益电影放映、全民阅读等重点文化惠民工程，</w:t>
      </w:r>
      <w:r>
        <w:rPr>
          <w:rFonts w:ascii="仿宋" w:eastAsia="仿宋" w:hAnsi="仿宋" w:cs="仿宋" w:hint="eastAsia"/>
          <w:kern w:val="0"/>
          <w:sz w:val="32"/>
          <w:szCs w:val="32"/>
        </w:rPr>
        <w:t>不断满足人民群众精神文化需求。探索建设“数字图书馆”“数字文化馆”</w:t>
      </w:r>
      <w:r>
        <w:rPr>
          <w:rFonts w:ascii="仿宋" w:eastAsia="仿宋" w:hAnsi="仿宋" w:cs="仿宋" w:hint="eastAsia"/>
          <w:spacing w:val="-6"/>
          <w:sz w:val="32"/>
          <w:szCs w:val="32"/>
        </w:rPr>
        <w:t>“数字化农家书屋”等。广泛开展群众性精神文明创建活动，深化文明村镇、民主法治示范村镇、文化振兴示范村等创建，培育文明乡风、良好家风、淳朴民风。稳步推进数字档案馆建设。鼓励社会力量参与公共文化服务体系建设。</w:t>
      </w:r>
    </w:p>
    <w:p w:rsidR="00E35214" w:rsidRDefault="006F7231">
      <w:pPr>
        <w:pStyle w:val="3"/>
        <w:snapToGrid w:val="0"/>
        <w:spacing w:line="580" w:lineRule="exact"/>
        <w:textAlignment w:val="baseline"/>
        <w:rPr>
          <w:rFonts w:ascii="仿宋" w:eastAsia="仿宋" w:hAnsi="仿宋" w:cs="仿宋"/>
          <w:szCs w:val="22"/>
        </w:rPr>
      </w:pPr>
      <w:bookmarkStart w:id="359" w:name="_Toc8371"/>
      <w:bookmarkStart w:id="360" w:name="_Toc22264"/>
      <w:r>
        <w:rPr>
          <w:rFonts w:ascii="仿宋" w:eastAsia="仿宋" w:hAnsi="仿宋" w:cs="仿宋" w:hint="eastAsia"/>
          <w:szCs w:val="22"/>
        </w:rPr>
        <w:t>第三节</w:t>
      </w:r>
      <w:bookmarkEnd w:id="359"/>
      <w:bookmarkEnd w:id="360"/>
      <w:r>
        <w:rPr>
          <w:rFonts w:ascii="仿宋" w:eastAsia="仿宋" w:hAnsi="仿宋" w:cs="仿宋" w:hint="eastAsia"/>
          <w:szCs w:val="22"/>
        </w:rPr>
        <w:t>推动媒体融合发展</w:t>
      </w:r>
    </w:p>
    <w:p w:rsidR="00E35214" w:rsidRDefault="006F7231">
      <w:pPr>
        <w:pStyle w:val="ad"/>
        <w:shd w:val="clear" w:color="auto" w:fill="FFFFFF"/>
        <w:snapToGrid w:val="0"/>
        <w:spacing w:before="0" w:beforeAutospacing="0" w:after="0" w:afterAutospacing="0" w:line="580" w:lineRule="atLeast"/>
        <w:ind w:firstLine="420"/>
        <w:jc w:val="both"/>
        <w:textAlignment w:val="baseline"/>
        <w:rPr>
          <w:rFonts w:ascii="仿宋" w:eastAsia="仿宋" w:hAnsi="仿宋" w:cs="仿宋"/>
          <w:spacing w:val="-6"/>
          <w:sz w:val="32"/>
          <w:szCs w:val="32"/>
        </w:rPr>
      </w:pPr>
      <w:r>
        <w:rPr>
          <w:rFonts w:ascii="仿宋" w:eastAsia="仿宋" w:hAnsi="仿宋" w:cs="仿宋" w:hint="eastAsia"/>
          <w:spacing w:val="-6"/>
          <w:sz w:val="32"/>
          <w:szCs w:val="32"/>
        </w:rPr>
        <w:t>推进智慧广电工程，提升改造广电基础网络，建设广电</w:t>
      </w:r>
      <w:r>
        <w:rPr>
          <w:rFonts w:ascii="仿宋" w:eastAsia="仿宋" w:hAnsi="仿宋" w:cs="仿宋"/>
          <w:spacing w:val="-6"/>
          <w:sz w:val="32"/>
          <w:szCs w:val="32"/>
        </w:rPr>
        <w:t>5G网络和公共无线视听网络，推进智慧广电公共文化服务WIFI覆盖，夯实广播电视服务能力。强化广播电视“村村响”“户户通”管理，完善应急广播体系。推进媒体深度融合，提升网络新媒体传播能力，打造新型主流媒体，建强用好</w:t>
      </w:r>
      <w:r>
        <w:rPr>
          <w:rFonts w:ascii="仿宋" w:eastAsia="仿宋" w:hAnsi="仿宋" w:cs="仿宋" w:hint="eastAsia"/>
          <w:spacing w:val="-6"/>
          <w:sz w:val="32"/>
          <w:szCs w:val="32"/>
        </w:rPr>
        <w:t>区级融媒体中心</w:t>
      </w:r>
      <w:r>
        <w:rPr>
          <w:rFonts w:ascii="仿宋" w:eastAsia="仿宋" w:hAnsi="仿宋" w:cs="仿宋"/>
          <w:spacing w:val="-6"/>
          <w:sz w:val="32"/>
          <w:szCs w:val="32"/>
        </w:rPr>
        <w:t>，</w:t>
      </w:r>
      <w:r>
        <w:rPr>
          <w:rFonts w:ascii="仿宋" w:eastAsia="仿宋" w:hAnsi="仿宋" w:cs="仿宋" w:hint="eastAsia"/>
          <w:spacing w:val="-6"/>
          <w:sz w:val="32"/>
          <w:szCs w:val="32"/>
        </w:rPr>
        <w:t>完善</w:t>
      </w:r>
      <w:r>
        <w:rPr>
          <w:rFonts w:ascii="仿宋" w:eastAsia="仿宋" w:hAnsi="仿宋" w:cs="仿宋"/>
          <w:spacing w:val="-6"/>
          <w:sz w:val="32"/>
          <w:szCs w:val="32"/>
        </w:rPr>
        <w:t>县级融媒体中心基层主流舆论阵地、综合服务平台和社区信息枢纽功能。</w:t>
      </w:r>
    </w:p>
    <w:p w:rsidR="00E35214" w:rsidRDefault="00E35214">
      <w:pPr>
        <w:pStyle w:val="a5"/>
        <w:snapToGrid w:val="0"/>
        <w:spacing w:line="580" w:lineRule="exact"/>
        <w:ind w:firstLineChars="200" w:firstLine="616"/>
        <w:textAlignment w:val="baseline"/>
        <w:rPr>
          <w:rFonts w:ascii="仿宋" w:eastAsia="仿宋" w:hAnsi="仿宋" w:cs="仿宋"/>
          <w:spacing w:val="-6"/>
          <w:sz w:val="32"/>
          <w:szCs w:val="32"/>
        </w:rPr>
      </w:pPr>
    </w:p>
    <w:p w:rsidR="00E35214" w:rsidRDefault="00E35214">
      <w:pPr>
        <w:pStyle w:val="a5"/>
        <w:snapToGrid w:val="0"/>
        <w:spacing w:line="580" w:lineRule="exact"/>
        <w:ind w:firstLineChars="200" w:firstLine="616"/>
        <w:textAlignment w:val="baseline"/>
        <w:rPr>
          <w:rFonts w:ascii="仿宋" w:eastAsia="仿宋" w:hAnsi="仿宋" w:cs="仿宋"/>
          <w:spacing w:val="-6"/>
          <w:sz w:val="32"/>
          <w:szCs w:val="32"/>
        </w:rPr>
      </w:pPr>
    </w:p>
    <w:p w:rsidR="00E35214" w:rsidRDefault="00E35214">
      <w:pPr>
        <w:pStyle w:val="a5"/>
        <w:snapToGrid w:val="0"/>
        <w:spacing w:line="580" w:lineRule="exact"/>
        <w:ind w:firstLineChars="200" w:firstLine="616"/>
        <w:textAlignment w:val="baseline"/>
        <w:rPr>
          <w:rFonts w:ascii="仿宋" w:eastAsia="仿宋" w:hAnsi="仿宋" w:cs="仿宋"/>
          <w:spacing w:val="-6"/>
          <w:sz w:val="32"/>
          <w:szCs w:val="32"/>
        </w:rPr>
      </w:pPr>
    </w:p>
    <w:p w:rsidR="00E35214" w:rsidRDefault="006F7231">
      <w:pPr>
        <w:pStyle w:val="NewNewNewNewNewNewNewNewNewNewNewNewNewNewNewNew"/>
        <w:snapToGrid w:val="0"/>
        <w:spacing w:line="240" w:lineRule="auto"/>
        <w:ind w:firstLineChars="0" w:firstLine="0"/>
        <w:jc w:val="center"/>
        <w:textAlignment w:val="baseline"/>
        <w:rPr>
          <w:rFonts w:ascii="仿宋" w:eastAsia="仿宋" w:hAnsi="仿宋" w:cs="仿宋"/>
        </w:rPr>
      </w:pPr>
      <w:r>
        <w:rPr>
          <w:rFonts w:ascii="楷体" w:eastAsia="楷体" w:hAnsi="楷体" w:cs="仿宋" w:hint="eastAsia"/>
          <w:b/>
          <w:bCs/>
          <w:spacing w:val="-6"/>
          <w:sz w:val="28"/>
          <w:szCs w:val="28"/>
        </w:rPr>
        <w:t>专栏17公共文化重点项目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E35214">
        <w:tc>
          <w:tcPr>
            <w:tcW w:w="8522" w:type="dxa"/>
          </w:tcPr>
          <w:p w:rsidR="00E35214" w:rsidRDefault="006F7231">
            <w:pPr>
              <w:pStyle w:val="ac"/>
              <w:snapToGrid w:val="0"/>
              <w:spacing w:line="420" w:lineRule="exact"/>
              <w:ind w:leftChars="219" w:left="460" w:firstLineChars="0" w:firstLine="0"/>
              <w:jc w:val="left"/>
              <w:textAlignment w:val="baseline"/>
              <w:rPr>
                <w:rFonts w:ascii="楷体" w:eastAsia="楷体" w:hAnsi="楷体" w:cs="楷体"/>
                <w:spacing w:val="-6"/>
                <w:sz w:val="24"/>
              </w:rPr>
            </w:pPr>
            <w:r>
              <w:rPr>
                <w:rFonts w:ascii="楷体" w:eastAsia="楷体" w:hAnsi="楷体" w:cs="楷体" w:hint="eastAsia"/>
                <w:b/>
                <w:bCs/>
                <w:spacing w:val="-6"/>
                <w:sz w:val="24"/>
              </w:rPr>
              <w:t>文化基础设施建设与提升工程</w:t>
            </w:r>
            <w:r>
              <w:rPr>
                <w:rFonts w:ascii="楷体" w:eastAsia="楷体" w:hAnsi="楷体" w:cs="楷体" w:hint="eastAsia"/>
                <w:spacing w:val="-6"/>
                <w:sz w:val="24"/>
              </w:rPr>
              <w:t>。图书馆、文化馆、乡镇综合文化站、村活动室、农家书屋等藏书的扩容补充，累计增加50000~60000万册；探索建设“数字图书馆”、“数字文化馆”、“数字化农家书屋”等。</w:t>
            </w:r>
          </w:p>
          <w:p w:rsidR="00E35214" w:rsidRDefault="006F7231">
            <w:pPr>
              <w:pStyle w:val="ac"/>
              <w:snapToGrid w:val="0"/>
              <w:spacing w:line="420" w:lineRule="exact"/>
              <w:ind w:leftChars="219" w:left="460" w:firstLineChars="0" w:firstLine="0"/>
              <w:jc w:val="left"/>
              <w:textAlignment w:val="baseline"/>
              <w:rPr>
                <w:rFonts w:ascii="楷体" w:eastAsia="楷体" w:hAnsi="楷体" w:cs="楷体"/>
                <w:spacing w:val="-6"/>
                <w:sz w:val="24"/>
              </w:rPr>
            </w:pPr>
            <w:r>
              <w:rPr>
                <w:rFonts w:ascii="楷体" w:eastAsia="楷体" w:hAnsi="楷体" w:cs="楷体" w:hint="eastAsia"/>
                <w:b/>
                <w:bCs/>
                <w:spacing w:val="-6"/>
                <w:sz w:val="24"/>
              </w:rPr>
              <w:t>文化产品科技含量提升工程</w:t>
            </w:r>
            <w:r>
              <w:rPr>
                <w:rFonts w:ascii="楷体" w:eastAsia="楷体" w:hAnsi="楷体" w:cs="楷体" w:hint="eastAsia"/>
                <w:spacing w:val="-6"/>
                <w:sz w:val="24"/>
              </w:rPr>
              <w:t>。建设改造一家数字化影院，注重娱乐设施和舞台的高新技术植入；完善广播电视网络、移动通信网络等设施建设；发展网络广播影视、纸质有声读物、电子书、网络出版物等业态。</w:t>
            </w:r>
          </w:p>
          <w:p w:rsidR="00E35214" w:rsidRDefault="006F7231">
            <w:pPr>
              <w:pStyle w:val="ac"/>
              <w:snapToGrid w:val="0"/>
              <w:spacing w:line="420" w:lineRule="exact"/>
              <w:ind w:leftChars="219" w:left="460" w:firstLineChars="0" w:firstLine="0"/>
              <w:jc w:val="left"/>
              <w:textAlignment w:val="baseline"/>
              <w:rPr>
                <w:rFonts w:ascii="楷体" w:eastAsia="楷体" w:hAnsi="楷体" w:cs="楷体"/>
                <w:spacing w:val="-6"/>
                <w:sz w:val="24"/>
              </w:rPr>
            </w:pPr>
            <w:r>
              <w:rPr>
                <w:rFonts w:ascii="楷体" w:eastAsia="楷体" w:hAnsi="楷体" w:cs="楷体" w:hint="eastAsia"/>
                <w:b/>
                <w:bCs/>
                <w:spacing w:val="-6"/>
                <w:sz w:val="24"/>
              </w:rPr>
              <w:t>特色文化产业培育工程</w:t>
            </w:r>
            <w:r>
              <w:rPr>
                <w:rFonts w:ascii="楷体" w:eastAsia="楷体" w:hAnsi="楷体" w:cs="楷体" w:hint="eastAsia"/>
                <w:spacing w:val="-6"/>
                <w:sz w:val="24"/>
              </w:rPr>
              <w:t>。文化创意业（创作反映乐西抗战公路和成昆铁路文化的音乐舞蹈剧或影视剧1部、培育1-2家广告设计和品牌包装公司）、娱乐演出业（鼓励民间演出活动，挖掘民间传统剧目，扶持2-3个演出团体）、文物博物业（注重对铁道兵、成昆铁路、红华公司的文物征集，实行对馆藏文物的数字化管理；利用虚拟现实技术丰富博物馆展示效果，建设铁道兵数字博物馆；注重对文物资源的旅游开发利用、文物旅游产品的开发营销、非物质文化遗产保护与利用，在重要游客集散中心建设集非遗传承、展演、体验和特色旅游商品销售为一体的非遗传习场所）</w:t>
            </w:r>
          </w:p>
          <w:p w:rsidR="00E35214" w:rsidRDefault="006F7231">
            <w:pPr>
              <w:pStyle w:val="ac"/>
              <w:snapToGrid w:val="0"/>
              <w:spacing w:line="420" w:lineRule="exact"/>
              <w:ind w:leftChars="219" w:left="460" w:firstLineChars="0" w:firstLine="0"/>
              <w:jc w:val="left"/>
              <w:textAlignment w:val="baseline"/>
              <w:rPr>
                <w:rFonts w:ascii="仿宋" w:eastAsia="仿宋" w:hAnsi="仿宋" w:cs="仿宋"/>
                <w:spacing w:val="-6"/>
                <w:sz w:val="24"/>
              </w:rPr>
            </w:pPr>
            <w:r>
              <w:rPr>
                <w:rFonts w:ascii="楷体" w:eastAsia="楷体" w:hAnsi="楷体" w:cs="楷体" w:hint="eastAsia"/>
                <w:b/>
                <w:bCs/>
                <w:spacing w:val="-6"/>
                <w:sz w:val="24"/>
              </w:rPr>
              <w:t>全民健身中心改扩建工程</w:t>
            </w:r>
            <w:r>
              <w:rPr>
                <w:rFonts w:ascii="楷体" w:eastAsia="楷体" w:hAnsi="楷体" w:cs="楷体" w:hint="eastAsia"/>
                <w:spacing w:val="-6"/>
                <w:sz w:val="24"/>
              </w:rPr>
              <w:t>。规划总用地面积 6600 平方米，拟对现有区体育场地进行改扩建，拆除现有建筑及操场，新建区文体中心，新建总建筑面积 22000 平方米，其中办公楼 2200 平方米，体育馆 6450 平方米，附属用房 150 平方米，地下停车场 13200 平方米，配套体育健身设备及办公家具。</w:t>
            </w:r>
          </w:p>
        </w:tc>
      </w:tr>
    </w:tbl>
    <w:p w:rsidR="00E35214" w:rsidRDefault="00E35214">
      <w:pPr>
        <w:pStyle w:val="a5"/>
        <w:snapToGrid w:val="0"/>
        <w:spacing w:line="580" w:lineRule="exact"/>
        <w:textAlignment w:val="baseline"/>
        <w:rPr>
          <w:rFonts w:ascii="仿宋" w:eastAsia="仿宋" w:hAnsi="仿宋" w:cs="仿宋"/>
          <w:spacing w:val="-6"/>
          <w:kern w:val="0"/>
          <w:szCs w:val="32"/>
        </w:rPr>
      </w:pPr>
    </w:p>
    <w:p w:rsidR="00E35214" w:rsidRDefault="006F7231">
      <w:pPr>
        <w:pStyle w:val="2"/>
        <w:snapToGrid w:val="0"/>
        <w:textAlignment w:val="baseline"/>
      </w:pPr>
      <w:bookmarkStart w:id="361" w:name="_Toc17655"/>
      <w:bookmarkStart w:id="362" w:name="_Toc32077"/>
      <w:bookmarkStart w:id="363" w:name="_Toc8489"/>
      <w:bookmarkStart w:id="364" w:name="_Toc17884"/>
      <w:bookmarkStart w:id="365" w:name="_Toc25440"/>
      <w:bookmarkStart w:id="366" w:name="_Toc22575"/>
      <w:bookmarkStart w:id="367" w:name="_Toc15636"/>
      <w:bookmarkStart w:id="368" w:name="_Toc30070"/>
      <w:bookmarkStart w:id="369" w:name="_Toc8294"/>
      <w:r>
        <w:rPr>
          <w:rFonts w:hint="eastAsia"/>
        </w:rPr>
        <w:t>第二十三章全面提高社会保障水平</w:t>
      </w:r>
      <w:bookmarkEnd w:id="349"/>
      <w:bookmarkEnd w:id="361"/>
      <w:bookmarkEnd w:id="362"/>
      <w:bookmarkEnd w:id="363"/>
      <w:bookmarkEnd w:id="364"/>
      <w:bookmarkEnd w:id="365"/>
      <w:bookmarkEnd w:id="366"/>
      <w:bookmarkEnd w:id="367"/>
      <w:bookmarkEnd w:id="368"/>
      <w:bookmarkEnd w:id="369"/>
    </w:p>
    <w:p w:rsidR="00E35214" w:rsidRDefault="006F7231">
      <w:pPr>
        <w:pStyle w:val="a5"/>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加强社会保险、医疗保障、社会救助和住房保障能力建设，健全覆盖全民、统筹城乡、公平统一、可持续的多层次社会保障体系。</w:t>
      </w:r>
    </w:p>
    <w:p w:rsidR="00E35214" w:rsidRDefault="006F7231">
      <w:pPr>
        <w:pStyle w:val="3"/>
        <w:snapToGrid w:val="0"/>
        <w:spacing w:line="580" w:lineRule="exact"/>
        <w:textAlignment w:val="baseline"/>
        <w:rPr>
          <w:rFonts w:ascii="仿宋" w:eastAsia="仿宋" w:hAnsi="仿宋" w:cs="仿宋"/>
          <w:szCs w:val="22"/>
        </w:rPr>
      </w:pPr>
      <w:bookmarkStart w:id="370" w:name="_Toc21241"/>
      <w:bookmarkStart w:id="371" w:name="_Toc19802"/>
      <w:bookmarkStart w:id="372" w:name="_Toc10690"/>
      <w:bookmarkStart w:id="373" w:name="_Toc8267"/>
      <w:bookmarkStart w:id="374" w:name="_Toc1911"/>
      <w:bookmarkStart w:id="375" w:name="_Toc2423"/>
      <w:r>
        <w:rPr>
          <w:rFonts w:ascii="仿宋" w:eastAsia="仿宋" w:hAnsi="仿宋" w:cs="仿宋" w:hint="eastAsia"/>
          <w:szCs w:val="22"/>
        </w:rPr>
        <w:t>第一节完善社会保障体系</w:t>
      </w:r>
      <w:bookmarkEnd w:id="370"/>
      <w:bookmarkEnd w:id="371"/>
      <w:bookmarkEnd w:id="372"/>
      <w:bookmarkEnd w:id="373"/>
      <w:bookmarkEnd w:id="374"/>
      <w:bookmarkEnd w:id="375"/>
    </w:p>
    <w:p w:rsidR="00E35214" w:rsidRDefault="006F7231">
      <w:pPr>
        <w:snapToGrid w:val="0"/>
        <w:spacing w:line="560" w:lineRule="exact"/>
        <w:ind w:firstLineChars="200" w:firstLine="640"/>
        <w:textAlignment w:val="baseline"/>
        <w:rPr>
          <w:rFonts w:ascii="仿宋" w:eastAsia="仿宋" w:hAnsi="仿宋" w:cs="仿宋"/>
          <w:spacing w:val="-6"/>
          <w:sz w:val="32"/>
          <w:szCs w:val="32"/>
        </w:rPr>
      </w:pPr>
      <w:r>
        <w:rPr>
          <w:rFonts w:ascii="仿宋" w:eastAsia="仿宋" w:hAnsi="仿宋" w:cs="仿宋" w:hint="eastAsia"/>
          <w:kern w:val="0"/>
          <w:sz w:val="32"/>
          <w:szCs w:val="32"/>
        </w:rPr>
        <w:t>健全多层次社会保障体系，实施全民参保计划，</w:t>
      </w:r>
      <w:r>
        <w:rPr>
          <w:rFonts w:ascii="仿宋" w:eastAsia="仿宋" w:hAnsi="仿宋" w:cs="仿宋" w:hint="eastAsia"/>
          <w:spacing w:val="-6"/>
          <w:sz w:val="32"/>
          <w:szCs w:val="32"/>
        </w:rPr>
        <w:t>健全电</w:t>
      </w:r>
      <w:r>
        <w:rPr>
          <w:rFonts w:ascii="仿宋" w:eastAsia="仿宋" w:hAnsi="仿宋" w:cs="仿宋" w:hint="eastAsia"/>
          <w:spacing w:val="-6"/>
          <w:sz w:val="32"/>
          <w:szCs w:val="32"/>
        </w:rPr>
        <w:lastRenderedPageBreak/>
        <w:t>商、灵活就业人员、</w:t>
      </w:r>
      <w:r>
        <w:rPr>
          <w:rFonts w:ascii="仿宋" w:eastAsia="仿宋" w:hAnsi="仿宋" w:cs="仿宋" w:hint="eastAsia"/>
          <w:bCs/>
          <w:sz w:val="28"/>
          <w:szCs w:val="28"/>
          <w:shd w:val="clear" w:color="auto" w:fill="FFFFFF"/>
        </w:rPr>
        <w:t>新业态从业人员</w:t>
      </w:r>
      <w:r>
        <w:rPr>
          <w:rFonts w:ascii="仿宋" w:eastAsia="仿宋" w:hAnsi="仿宋" w:cs="仿宋" w:hint="eastAsia"/>
          <w:spacing w:val="-6"/>
          <w:sz w:val="32"/>
          <w:szCs w:val="32"/>
        </w:rPr>
        <w:t>社保制度。完善城镇职工基本养老保险、城乡居民基本养老保险等制度，推行职业年金制度，完善多层次养老保险体系。健全失业保险制度，完善工伤保险政策和标准体系，推动工伤保险定点医疗机构直接结算。完善区、乡、村（社区）社会保障服务实体网络，建设社保数据库，加快社保档案电子化进程，促进社会保障服务数字化、信息化转型。</w:t>
      </w:r>
      <w:r>
        <w:rPr>
          <w:rFonts w:ascii="仿宋" w:eastAsia="仿宋" w:hAnsi="仿宋" w:cs="仿宋" w:hint="eastAsia"/>
          <w:spacing w:val="-6"/>
          <w:sz w:val="32"/>
          <w:szCs w:val="32"/>
          <w:shd w:val="clear" w:color="auto" w:fill="FFFFFF"/>
        </w:rPr>
        <w:t>深入开展社保数据稽核，建立制度化、常态化、数据核查机制，构建事前预防控制、事中在线核验、事后稽核检查的风险防控体系。全面推进社会保障卡（含电子社保卡）在社保领域应用。</w:t>
      </w:r>
    </w:p>
    <w:p w:rsidR="00E35214" w:rsidRDefault="006F7231">
      <w:pPr>
        <w:pStyle w:val="3"/>
        <w:snapToGrid w:val="0"/>
        <w:spacing w:line="580" w:lineRule="exact"/>
        <w:textAlignment w:val="baseline"/>
        <w:rPr>
          <w:rFonts w:ascii="仿宋" w:eastAsia="仿宋" w:hAnsi="仿宋" w:cs="仿宋"/>
          <w:szCs w:val="22"/>
        </w:rPr>
      </w:pPr>
      <w:bookmarkStart w:id="376" w:name="_Toc12600"/>
      <w:bookmarkStart w:id="377" w:name="_Toc16910"/>
      <w:bookmarkStart w:id="378" w:name="_Toc28437"/>
      <w:bookmarkStart w:id="379" w:name="_Toc14608"/>
      <w:bookmarkStart w:id="380" w:name="_Toc28234"/>
      <w:bookmarkStart w:id="381" w:name="_Toc15970"/>
      <w:r>
        <w:rPr>
          <w:rFonts w:ascii="仿宋" w:eastAsia="仿宋" w:hAnsi="仿宋" w:cs="仿宋" w:hint="eastAsia"/>
          <w:szCs w:val="22"/>
        </w:rPr>
        <w:t>第二节完善医疗保障体系</w:t>
      </w:r>
      <w:bookmarkEnd w:id="376"/>
      <w:bookmarkEnd w:id="377"/>
      <w:bookmarkEnd w:id="378"/>
      <w:bookmarkEnd w:id="379"/>
      <w:bookmarkEnd w:id="380"/>
      <w:bookmarkEnd w:id="381"/>
    </w:p>
    <w:p w:rsidR="00E35214" w:rsidRDefault="006F7231">
      <w:pPr>
        <w:snapToGrid w:val="0"/>
        <w:spacing w:line="580" w:lineRule="atLeast"/>
        <w:ind w:firstLineChars="200" w:firstLine="640"/>
        <w:textAlignment w:val="baseline"/>
        <w:rPr>
          <w:rFonts w:ascii="仿宋_GB2312" w:eastAsia="仿宋_GB2312" w:hAnsi="仿宋_GB2312" w:cs="仿宋_GB2312"/>
          <w:sz w:val="32"/>
          <w:szCs w:val="32"/>
          <w:shd w:val="clear" w:color="auto" w:fill="FFFFFF"/>
        </w:rPr>
      </w:pPr>
      <w:r>
        <w:rPr>
          <w:rFonts w:ascii="仿宋_GB2312" w:eastAsia="仿宋_GB2312" w:hAnsi="仿宋_GB2312" w:cs="仿宋_GB2312"/>
          <w:sz w:val="32"/>
          <w:szCs w:val="32"/>
          <w:shd w:val="clear" w:color="auto" w:fill="FFFFFF"/>
        </w:rPr>
        <w:t>全面推进城镇居民基本医疗保险制度，积极推进灵活就业人员参加基本医疗保险，解决农民工基本医疗保障问题。</w:t>
      </w:r>
      <w:r>
        <w:rPr>
          <w:rFonts w:ascii="仿宋" w:eastAsia="仿宋" w:hAnsi="仿宋" w:cs="仿宋" w:hint="eastAsia"/>
          <w:spacing w:val="-6"/>
          <w:sz w:val="32"/>
          <w:szCs w:val="32"/>
        </w:rPr>
        <w:t>完善基本医疗保险制度，健全重大疾病医疗保险和救助制度，异地就医直接结算，稳步建立长期护理险制度，积极发展商业医疗保险，提升多元医疗保障水平。</w:t>
      </w:r>
      <w:r>
        <w:rPr>
          <w:rFonts w:ascii="仿宋_GB2312" w:eastAsia="仿宋_GB2312" w:hAnsi="仿宋_GB2312" w:cs="仿宋_GB2312"/>
          <w:sz w:val="32"/>
          <w:szCs w:val="32"/>
          <w:shd w:val="clear" w:color="auto" w:fill="FFFFFF"/>
        </w:rPr>
        <w:t>逐步提高政府医疗保险补助标准和保障水平，逐步提高政策范围内的住院费用报销比例和医保最高支付限额。进一步完善新型农村合作医疗制度，确保参合率达到100%。逐步提高新型农村合作医疗保障水平，在全区开展门诊统筹，积极推进重大疾病医疗保障工作，提高住院费用报销比例。</w:t>
      </w:r>
      <w:r>
        <w:rPr>
          <w:rFonts w:ascii="仿宋_GB2312" w:eastAsia="仿宋_GB2312" w:hAnsi="仿宋" w:cs="仿宋"/>
          <w:sz w:val="32"/>
          <w:szCs w:val="32"/>
        </w:rPr>
        <w:t>采取大病集中救治一批、慢病签约服务一批、重病兜底保障一批的</w:t>
      </w:r>
      <w:r>
        <w:rPr>
          <w:rFonts w:ascii="仿宋_GB2312" w:eastAsia="仿宋_GB2312" w:hAnsi="仿宋" w:cs="仿宋"/>
          <w:sz w:val="32"/>
          <w:szCs w:val="32"/>
        </w:rPr>
        <w:t>“</w:t>
      </w:r>
      <w:r>
        <w:rPr>
          <w:rFonts w:ascii="仿宋_GB2312" w:eastAsia="仿宋_GB2312" w:hAnsi="仿宋" w:cs="仿宋"/>
          <w:sz w:val="32"/>
          <w:szCs w:val="32"/>
        </w:rPr>
        <w:t>三个一批</w:t>
      </w:r>
      <w:r>
        <w:rPr>
          <w:rFonts w:ascii="仿宋_GB2312" w:eastAsia="仿宋_GB2312" w:hAnsi="仿宋" w:cs="仿宋"/>
          <w:sz w:val="32"/>
          <w:szCs w:val="32"/>
        </w:rPr>
        <w:t>”</w:t>
      </w:r>
      <w:r>
        <w:rPr>
          <w:rFonts w:ascii="仿宋_GB2312" w:eastAsia="仿宋_GB2312" w:hAnsi="仿宋" w:cs="仿宋"/>
          <w:sz w:val="32"/>
          <w:szCs w:val="32"/>
        </w:rPr>
        <w:t>分类救治措施，为贫困人口提供救治服务。</w:t>
      </w:r>
    </w:p>
    <w:p w:rsidR="00E35214" w:rsidRDefault="00E35214">
      <w:pPr>
        <w:pStyle w:val="a5"/>
        <w:snapToGrid w:val="0"/>
        <w:spacing w:line="580" w:lineRule="exact"/>
        <w:ind w:firstLineChars="200" w:firstLine="616"/>
        <w:textAlignment w:val="baseline"/>
        <w:rPr>
          <w:rFonts w:ascii="仿宋" w:eastAsia="仿宋" w:hAnsi="仿宋" w:cs="仿宋"/>
          <w:spacing w:val="-6"/>
          <w:sz w:val="32"/>
          <w:szCs w:val="32"/>
        </w:rPr>
      </w:pPr>
    </w:p>
    <w:p w:rsidR="00E35214" w:rsidRDefault="006F7231">
      <w:pPr>
        <w:pStyle w:val="3"/>
        <w:snapToGrid w:val="0"/>
        <w:spacing w:line="580" w:lineRule="exact"/>
        <w:textAlignment w:val="baseline"/>
        <w:rPr>
          <w:rFonts w:ascii="仿宋" w:eastAsia="仿宋" w:hAnsi="仿宋" w:cs="仿宋"/>
          <w:szCs w:val="22"/>
        </w:rPr>
      </w:pPr>
      <w:bookmarkStart w:id="382" w:name="_Toc21800"/>
      <w:bookmarkStart w:id="383" w:name="_Toc23429"/>
      <w:bookmarkStart w:id="384" w:name="_Toc31452"/>
      <w:bookmarkStart w:id="385" w:name="_Toc5362"/>
      <w:bookmarkStart w:id="386" w:name="_Toc3683"/>
      <w:bookmarkStart w:id="387" w:name="_Toc3298"/>
      <w:r>
        <w:rPr>
          <w:rFonts w:ascii="仿宋" w:eastAsia="仿宋" w:hAnsi="仿宋" w:cs="仿宋" w:hint="eastAsia"/>
          <w:szCs w:val="22"/>
        </w:rPr>
        <w:t>第三节完善社会救助体系</w:t>
      </w:r>
      <w:bookmarkEnd w:id="382"/>
      <w:bookmarkEnd w:id="383"/>
      <w:bookmarkEnd w:id="384"/>
      <w:bookmarkEnd w:id="385"/>
      <w:bookmarkEnd w:id="386"/>
      <w:bookmarkEnd w:id="387"/>
    </w:p>
    <w:p w:rsidR="00E35214" w:rsidRDefault="006F7231">
      <w:pPr>
        <w:pStyle w:val="a5"/>
        <w:snapToGrid w:val="0"/>
        <w:spacing w:line="580" w:lineRule="exact"/>
        <w:ind w:firstLineChars="200" w:firstLine="640"/>
        <w:textAlignment w:val="baseline"/>
        <w:rPr>
          <w:rFonts w:ascii="仿宋" w:eastAsia="仿宋" w:hAnsi="仿宋" w:cs="仿宋"/>
          <w:spacing w:val="-6"/>
          <w:sz w:val="32"/>
          <w:szCs w:val="32"/>
        </w:rPr>
      </w:pPr>
      <w:r>
        <w:rPr>
          <w:rFonts w:ascii="仿宋" w:eastAsia="仿宋" w:hAnsi="仿宋" w:cs="仿宋" w:hint="eastAsia"/>
          <w:kern w:val="0"/>
          <w:sz w:val="32"/>
          <w:szCs w:val="32"/>
        </w:rPr>
        <w:t>加强低保等基本生活救助制度与其他社会保障制度的有效衔接，完善老年人、残疾人等重点群体社会救助机制。</w:t>
      </w:r>
      <w:r>
        <w:rPr>
          <w:rFonts w:ascii="仿宋" w:eastAsia="仿宋" w:hAnsi="仿宋" w:cs="仿宋" w:hint="eastAsia"/>
          <w:spacing w:val="-6"/>
          <w:sz w:val="32"/>
          <w:szCs w:val="32"/>
        </w:rPr>
        <w:t>科学调整城乡低保、特困人员救助供养标准，加强特困人员供养服务机构建设，提升特困人员集中供养率。深入落实特殊困难群体优待政策，整合社会救助资源，建设社会救助运行平台，推进社会救助信息共享。 </w:t>
      </w:r>
    </w:p>
    <w:p w:rsidR="00E35214" w:rsidRDefault="006F7231">
      <w:pPr>
        <w:pStyle w:val="NewNewNewNewNewNewNewNewNewNewNewNewNewNewNewNew"/>
        <w:snapToGrid w:val="0"/>
        <w:spacing w:line="240" w:lineRule="auto"/>
        <w:ind w:firstLineChars="0" w:firstLine="0"/>
        <w:jc w:val="center"/>
        <w:textAlignment w:val="baseline"/>
        <w:rPr>
          <w:rFonts w:ascii="楷体" w:eastAsia="楷体" w:hAnsi="楷体" w:cs="仿宋"/>
          <w:b/>
          <w:bCs/>
          <w:spacing w:val="-6"/>
          <w:sz w:val="28"/>
          <w:szCs w:val="28"/>
        </w:rPr>
      </w:pPr>
      <w:r>
        <w:rPr>
          <w:rFonts w:ascii="楷体" w:eastAsia="楷体" w:hAnsi="楷体" w:cs="仿宋" w:hint="eastAsia"/>
          <w:b/>
          <w:bCs/>
          <w:spacing w:val="-6"/>
          <w:sz w:val="28"/>
          <w:szCs w:val="28"/>
        </w:rPr>
        <w:t>专栏18社会保障重点项目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E35214">
        <w:trPr>
          <w:trHeight w:val="1400"/>
        </w:trPr>
        <w:tc>
          <w:tcPr>
            <w:tcW w:w="8522" w:type="dxa"/>
          </w:tcPr>
          <w:p w:rsidR="00E35214" w:rsidRDefault="006F7231">
            <w:pPr>
              <w:pStyle w:val="ad"/>
              <w:snapToGrid w:val="0"/>
              <w:spacing w:before="0" w:after="0" w:line="420" w:lineRule="exact"/>
              <w:ind w:firstLineChars="200" w:firstLine="482"/>
              <w:jc w:val="both"/>
              <w:textAlignment w:val="baseline"/>
              <w:rPr>
                <w:rFonts w:ascii="仿宋" w:eastAsia="仿宋" w:hAnsi="仿宋" w:cs="仿宋"/>
                <w:spacing w:val="-6"/>
              </w:rPr>
            </w:pPr>
            <w:r>
              <w:rPr>
                <w:rFonts w:ascii="楷体" w:eastAsia="楷体" w:hAnsi="楷体" w:cs="楷体" w:hint="eastAsia"/>
                <w:b/>
              </w:rPr>
              <w:t>智能健康养老服务产品供给工程。</w:t>
            </w:r>
            <w:r>
              <w:rPr>
                <w:rFonts w:ascii="楷体" w:eastAsia="楷体" w:hAnsi="楷体" w:cs="楷体" w:hint="eastAsia"/>
              </w:rPr>
              <w:t>重点发展健康手环、健康腕表、可穿戴监护设备等，对血压、血糖、血氧、心电等生理参数和健康状态信息进行实时、连续监测，实现在线即时管理和预警。重点发展用于家庭、家庭医生、社区医疗机构的集成式、分立式智能健康监测应用工具包，便于个人、医护人员和机构在家庭和移动场景中实时监测各项生理指标，并能借助在线管理系统实现远程健康管理等功能。重点发展用于社区机构、公共场所的自助式智能健康检测设备，便于用户在不同社区、机构中随时、随地、自助地完成基础健康状态检测，提升用户自我健康管理的能力水平。重点发展用于家庭养老及机构养老的智能轮椅、监护床等智能监测、康复、看护设备，开发预防老年痴呆症患者走失的高精度室内外定位终端，实现自主自助的养老功能，提高用户自主养老、自主管理的能力，提升社会和家庭养老资源的使用效率。重点发展满足个人和家庭家居作业、情感陪护、娱乐休闲、残障辅助、安防监控等需求的智能服务型机器人，提供轻松愉快、舒适便利、健康安全的现代家庭生活，提高老年人生活质量。</w:t>
            </w:r>
          </w:p>
        </w:tc>
      </w:tr>
    </w:tbl>
    <w:p w:rsidR="00E35214" w:rsidRDefault="006F7231">
      <w:pPr>
        <w:pStyle w:val="2"/>
        <w:snapToGrid w:val="0"/>
        <w:textAlignment w:val="baseline"/>
      </w:pPr>
      <w:bookmarkStart w:id="388" w:name="_Toc16669"/>
      <w:bookmarkStart w:id="389" w:name="_Toc7680"/>
      <w:bookmarkStart w:id="390" w:name="_Toc24276"/>
      <w:bookmarkStart w:id="391" w:name="_Toc29765"/>
      <w:bookmarkStart w:id="392" w:name="_Toc4735"/>
      <w:bookmarkStart w:id="393" w:name="_Toc17827"/>
      <w:r>
        <w:rPr>
          <w:rFonts w:hint="eastAsia"/>
        </w:rPr>
        <w:t>第二十四章保障重点群体基本权益</w:t>
      </w:r>
      <w:bookmarkEnd w:id="388"/>
      <w:bookmarkEnd w:id="389"/>
      <w:bookmarkEnd w:id="390"/>
      <w:bookmarkEnd w:id="391"/>
      <w:bookmarkEnd w:id="392"/>
    </w:p>
    <w:p w:rsidR="00E35214" w:rsidRDefault="006F7231">
      <w:pPr>
        <w:snapToGrid w:val="0"/>
        <w:spacing w:line="580" w:lineRule="atLeas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坚持把人的全面发展摆在重要位置，促进妇女、未成年人、残疾人等重点人群共享发展，进一步提高人口与经济发展、社</w:t>
      </w:r>
      <w:r>
        <w:rPr>
          <w:rFonts w:ascii="仿宋" w:eastAsia="仿宋" w:hAnsi="仿宋" w:cs="仿宋" w:hint="eastAsia"/>
          <w:spacing w:val="-6"/>
          <w:sz w:val="32"/>
          <w:szCs w:val="32"/>
        </w:rPr>
        <w:lastRenderedPageBreak/>
        <w:t>会发展、资源环境的协调程度。</w:t>
      </w:r>
    </w:p>
    <w:p w:rsidR="00E35214" w:rsidRDefault="006F7231">
      <w:pPr>
        <w:pStyle w:val="3"/>
        <w:snapToGrid w:val="0"/>
        <w:spacing w:line="580" w:lineRule="exact"/>
        <w:textAlignment w:val="baseline"/>
        <w:rPr>
          <w:rFonts w:ascii="仿宋" w:eastAsia="仿宋" w:hAnsi="仿宋" w:cs="仿宋"/>
          <w:szCs w:val="22"/>
        </w:rPr>
      </w:pPr>
      <w:bookmarkStart w:id="394" w:name="_Toc3955"/>
      <w:bookmarkStart w:id="395" w:name="_Toc9986"/>
      <w:r>
        <w:rPr>
          <w:rFonts w:ascii="仿宋" w:eastAsia="仿宋" w:hAnsi="仿宋" w:cs="仿宋" w:hint="eastAsia"/>
          <w:szCs w:val="22"/>
        </w:rPr>
        <w:t>第一节 促进妇女全面发展</w:t>
      </w:r>
      <w:bookmarkEnd w:id="394"/>
      <w:bookmarkEnd w:id="395"/>
    </w:p>
    <w:p w:rsidR="00E35214" w:rsidRDefault="006F7231">
      <w:pPr>
        <w:pStyle w:val="3"/>
        <w:snapToGrid w:val="0"/>
        <w:spacing w:line="580" w:lineRule="exact"/>
        <w:textAlignment w:val="baseline"/>
        <w:rPr>
          <w:rFonts w:ascii="仿宋" w:eastAsia="仿宋" w:hAnsi="仿宋" w:cs="仿宋"/>
          <w:b w:val="0"/>
          <w:spacing w:val="-6"/>
        </w:rPr>
      </w:pPr>
      <w:r>
        <w:rPr>
          <w:rFonts w:ascii="仿宋" w:eastAsia="仿宋" w:hAnsi="仿宋" w:cs="仿宋" w:hint="eastAsia"/>
          <w:b w:val="0"/>
          <w:spacing w:val="-6"/>
        </w:rPr>
        <w:t>贯彻落实男女平等基本国策，依法保障妇女合法权益，全面实施妇女发展纲要。增强全社会性别平等意识，推动妇女平等参与经济社会、共享经济社会发展成果。提升妇女就业技能，促进妇女就业创业，推动妇女居家灵活就业。关注困境妇女儿童群体，加大对侵害妇女犯罪的惩治与预防力度。加强妇女法律法规宣传，促进形成社会主义家庭文明新风尚。加强巾帼志愿</w:t>
      </w:r>
    </w:p>
    <w:p w:rsidR="00E35214" w:rsidRDefault="006F7231">
      <w:pPr>
        <w:pStyle w:val="3"/>
        <w:snapToGrid w:val="0"/>
        <w:spacing w:line="580" w:lineRule="exact"/>
        <w:jc w:val="both"/>
        <w:textAlignment w:val="baseline"/>
        <w:rPr>
          <w:rFonts w:ascii="仿宋" w:eastAsia="仿宋" w:hAnsi="仿宋" w:cs="仿宋"/>
          <w:b w:val="0"/>
          <w:spacing w:val="-6"/>
        </w:rPr>
      </w:pPr>
      <w:r>
        <w:rPr>
          <w:rFonts w:ascii="仿宋" w:eastAsia="仿宋" w:hAnsi="仿宋" w:cs="仿宋" w:hint="eastAsia"/>
          <w:b w:val="0"/>
          <w:spacing w:val="-6"/>
        </w:rPr>
        <w:t>者队伍和妇女儿童社会工作专业人才队伍建设。</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第二节 关心关爱未成年人</w:t>
      </w:r>
    </w:p>
    <w:p w:rsidR="00E35214" w:rsidRDefault="006F7231">
      <w:pPr>
        <w:pStyle w:val="a5"/>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健全未成年人关爱服务体系，完善检测预防、强制报告、应急处置、评估帮扶、监护干预“五位一体”未成年人保护机制。加大政府购买儿童关爱服务力度，积极引导社会组织参与儿童工作。注重未成年人思想道德建设和法制教育，关注未成年人心理健康。</w:t>
      </w:r>
      <w:r>
        <w:rPr>
          <w:rFonts w:ascii="仿宋" w:eastAsia="仿宋" w:hAnsi="仿宋" w:cs="仿宋"/>
          <w:spacing w:val="-6"/>
          <w:sz w:val="32"/>
          <w:szCs w:val="32"/>
        </w:rPr>
        <w:t>加强未成年人保护，依法打击侵害未成年人合法权益的行为。</w:t>
      </w:r>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第三节 大力发展残疾人事业</w:t>
      </w:r>
    </w:p>
    <w:p w:rsidR="00E35214" w:rsidRDefault="006F7231">
      <w:pPr>
        <w:pStyle w:val="a5"/>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建立残疾预防和康复工作机制，完善康复托养措施，强化残疾人基本康复服务。提高残疾人基本保障水平，完善残疾人基本养老保险和基本医疗保险资助制度。实施困难残疾人生活</w:t>
      </w:r>
      <w:r>
        <w:rPr>
          <w:rFonts w:ascii="仿宋" w:eastAsia="仿宋" w:hAnsi="仿宋" w:cs="仿宋" w:hint="eastAsia"/>
          <w:spacing w:val="-6"/>
          <w:sz w:val="32"/>
          <w:szCs w:val="32"/>
        </w:rPr>
        <w:lastRenderedPageBreak/>
        <w:t>补贴制度、重度残疾人护理补贴制度。保障残疾人平等教育和就业权利，丰富残疾人精神文化体育生活。深化“量体裁衣”式残疾人服务，加快发展残疾人服务产业。加强残疾人基础设施建设，推进城乡无障碍环境建设。扶持助残社会组织。</w:t>
      </w:r>
    </w:p>
    <w:p w:rsidR="00E35214" w:rsidRDefault="00E35214">
      <w:pPr>
        <w:pStyle w:val="a5"/>
        <w:snapToGrid w:val="0"/>
        <w:spacing w:line="580" w:lineRule="exact"/>
        <w:ind w:firstLineChars="200" w:firstLine="616"/>
        <w:textAlignment w:val="baseline"/>
        <w:rPr>
          <w:rFonts w:ascii="仿宋" w:eastAsia="仿宋" w:hAnsi="仿宋" w:cs="仿宋"/>
          <w:spacing w:val="-6"/>
          <w:sz w:val="32"/>
          <w:szCs w:val="32"/>
        </w:rPr>
      </w:pPr>
    </w:p>
    <w:p w:rsidR="00E35214" w:rsidRDefault="006F7231">
      <w:pPr>
        <w:pStyle w:val="a5"/>
        <w:snapToGrid w:val="0"/>
        <w:spacing w:line="580" w:lineRule="exact"/>
        <w:ind w:firstLineChars="650" w:firstLine="2002"/>
        <w:textAlignment w:val="baseline"/>
        <w:rPr>
          <w:rFonts w:ascii="仿宋" w:eastAsia="仿宋" w:hAnsi="仿宋" w:cs="仿宋"/>
          <w:spacing w:val="-6"/>
          <w:sz w:val="32"/>
          <w:szCs w:val="32"/>
        </w:rPr>
      </w:pPr>
      <w:r>
        <w:rPr>
          <w:rFonts w:ascii="仿宋" w:eastAsia="仿宋" w:hAnsi="仿宋" w:cs="仿宋" w:hint="eastAsia"/>
          <w:spacing w:val="-6"/>
          <w:sz w:val="32"/>
          <w:szCs w:val="32"/>
        </w:rPr>
        <w:t>第四节  优化青年成长环境</w:t>
      </w:r>
    </w:p>
    <w:p w:rsidR="00E35214" w:rsidRDefault="006F7231">
      <w:pPr>
        <w:pStyle w:val="a5"/>
        <w:snapToGrid w:val="0"/>
        <w:spacing w:line="580" w:lineRule="exact"/>
        <w:jc w:val="left"/>
        <w:textAlignment w:val="baseline"/>
        <w:rPr>
          <w:rFonts w:ascii="仿宋" w:eastAsia="仿宋" w:hAnsi="仿宋" w:cs="仿宋"/>
          <w:spacing w:val="-6"/>
          <w:sz w:val="32"/>
          <w:szCs w:val="32"/>
        </w:rPr>
      </w:pPr>
      <w:r>
        <w:rPr>
          <w:rFonts w:ascii="仿宋" w:eastAsia="仿宋" w:hAnsi="仿宋" w:cs="仿宋" w:hint="eastAsia"/>
          <w:spacing w:val="-6"/>
          <w:sz w:val="32"/>
          <w:szCs w:val="32"/>
        </w:rPr>
        <w:t xml:space="preserve">    健全青年工作联席会议机制，认真贯彻实施《四川省中长期青年发展规划（2017-2025年）》，维护青年合法权益，立足青年在就业创业、社会融入、婚恋交友、老人赡养、子女教育方面的需求精准服务，营造良好的青年发展环境，全面促进青年成长发展。聚焦引领青年投身全面建成小康社会实践，动员广大青年在生态文明建设、科技创新、基层治理、社会公共服务等领域施展才华。加强青少年事务社会工作者队伍和青年志愿者队伍建设。</w:t>
      </w:r>
    </w:p>
    <w:p w:rsidR="00E35214" w:rsidRDefault="00E35214">
      <w:pPr>
        <w:rPr>
          <w:rFonts w:ascii="仿宋" w:eastAsia="仿宋" w:hAnsi="仿宋" w:cs="仿宋"/>
          <w:spacing w:val="-6"/>
          <w:sz w:val="32"/>
          <w:szCs w:val="32"/>
        </w:rPr>
      </w:pPr>
    </w:p>
    <w:p w:rsidR="00E35214" w:rsidRDefault="00E35214">
      <w:pPr>
        <w:pStyle w:val="a5"/>
        <w:snapToGrid w:val="0"/>
        <w:spacing w:line="580" w:lineRule="exact"/>
        <w:ind w:firstLineChars="200" w:firstLine="396"/>
        <w:textAlignment w:val="baseline"/>
        <w:rPr>
          <w:rFonts w:ascii="仿宋" w:eastAsia="仿宋" w:hAnsi="仿宋" w:cs="仿宋"/>
          <w:spacing w:val="-6"/>
          <w:kern w:val="0"/>
          <w:szCs w:val="32"/>
        </w:rPr>
      </w:pPr>
    </w:p>
    <w:p w:rsidR="00E35214" w:rsidRDefault="006F7231">
      <w:pPr>
        <w:pStyle w:val="2"/>
        <w:snapToGrid w:val="0"/>
        <w:textAlignment w:val="baseline"/>
      </w:pPr>
      <w:bookmarkStart w:id="396" w:name="_Toc16279"/>
      <w:bookmarkStart w:id="397" w:name="_Toc15533"/>
      <w:bookmarkStart w:id="398" w:name="_Toc10550"/>
      <w:bookmarkStart w:id="399" w:name="_Toc12452"/>
      <w:bookmarkStart w:id="400" w:name="_Toc23661"/>
      <w:bookmarkStart w:id="401" w:name="_Toc17635"/>
      <w:bookmarkStart w:id="402" w:name="_Toc18917"/>
      <w:bookmarkStart w:id="403" w:name="_Toc3459"/>
      <w:bookmarkStart w:id="404" w:name="_Toc27612"/>
      <w:r>
        <w:rPr>
          <w:rFonts w:hint="eastAsia"/>
        </w:rPr>
        <w:t>第二十五章</w:t>
      </w:r>
      <w:bookmarkEnd w:id="393"/>
      <w:bookmarkEnd w:id="396"/>
      <w:bookmarkEnd w:id="397"/>
      <w:bookmarkEnd w:id="398"/>
      <w:bookmarkEnd w:id="399"/>
      <w:r>
        <w:rPr>
          <w:rFonts w:hint="eastAsia"/>
        </w:rPr>
        <w:t>积极应对人口老龄化</w:t>
      </w:r>
      <w:bookmarkEnd w:id="400"/>
      <w:bookmarkEnd w:id="401"/>
      <w:bookmarkEnd w:id="402"/>
      <w:bookmarkEnd w:id="403"/>
      <w:bookmarkEnd w:id="404"/>
    </w:p>
    <w:p w:rsidR="00E35214" w:rsidRDefault="006F7231">
      <w:pPr>
        <w:pStyle w:val="a5"/>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落实国家人口长期发展战略，实施优生优育政策，完善养老服务体系，促进人口长期均衡发展。</w:t>
      </w:r>
      <w:r>
        <w:rPr>
          <w:rFonts w:ascii="仿宋" w:eastAsia="仿宋" w:hAnsi="仿宋" w:cs="仿宋" w:hint="eastAsia"/>
          <w:kern w:val="0"/>
          <w:sz w:val="32"/>
          <w:szCs w:val="32"/>
        </w:rPr>
        <w:t>积极应对人口老龄化</w:t>
      </w:r>
      <w:r>
        <w:rPr>
          <w:rFonts w:ascii="仿宋" w:eastAsia="仿宋" w:hAnsi="仿宋" w:cs="仿宋"/>
          <w:kern w:val="0"/>
          <w:sz w:val="32"/>
          <w:szCs w:val="32"/>
        </w:rPr>
        <w:t>,构建养老、孝老、敬老政策体系和社会环境，加快老龄事业和养老服务产业发展。</w:t>
      </w:r>
    </w:p>
    <w:p w:rsidR="00E35214" w:rsidRDefault="006F7231">
      <w:pPr>
        <w:pStyle w:val="3"/>
        <w:snapToGrid w:val="0"/>
        <w:spacing w:line="580" w:lineRule="exact"/>
        <w:textAlignment w:val="baseline"/>
        <w:rPr>
          <w:rFonts w:ascii="仿宋" w:eastAsia="仿宋" w:hAnsi="仿宋" w:cs="仿宋"/>
          <w:szCs w:val="22"/>
        </w:rPr>
      </w:pPr>
      <w:bookmarkStart w:id="405" w:name="_Toc8449"/>
      <w:bookmarkStart w:id="406" w:name="_Toc31358"/>
      <w:bookmarkStart w:id="407" w:name="_Toc19409"/>
      <w:bookmarkStart w:id="408" w:name="_Toc31496"/>
      <w:bookmarkStart w:id="409" w:name="_Toc27824"/>
      <w:bookmarkStart w:id="410" w:name="_Toc22059"/>
      <w:r>
        <w:rPr>
          <w:rFonts w:ascii="仿宋" w:eastAsia="仿宋" w:hAnsi="仿宋" w:cs="仿宋" w:hint="eastAsia"/>
          <w:szCs w:val="22"/>
        </w:rPr>
        <w:lastRenderedPageBreak/>
        <w:t>第一节</w:t>
      </w:r>
      <w:bookmarkEnd w:id="405"/>
      <w:bookmarkEnd w:id="406"/>
      <w:bookmarkEnd w:id="407"/>
      <w:bookmarkEnd w:id="408"/>
      <w:r>
        <w:rPr>
          <w:rFonts w:ascii="仿宋" w:eastAsia="仿宋" w:hAnsi="仿宋" w:cs="仿宋" w:hint="eastAsia"/>
          <w:szCs w:val="22"/>
        </w:rPr>
        <w:t>推动实现适度生育水平</w:t>
      </w:r>
      <w:bookmarkEnd w:id="409"/>
      <w:bookmarkEnd w:id="410"/>
    </w:p>
    <w:p w:rsidR="00E35214" w:rsidRDefault="006F7231">
      <w:pPr>
        <w:snapToGrid w:val="0"/>
        <w:spacing w:line="580" w:lineRule="exact"/>
        <w:ind w:firstLineChars="200" w:firstLine="616"/>
        <w:jc w:val="left"/>
        <w:textAlignment w:val="baseline"/>
        <w:rPr>
          <w:rFonts w:ascii="仿宋" w:eastAsia="仿宋" w:hAnsi="仿宋" w:cs="仿宋"/>
          <w:spacing w:val="-6"/>
          <w:sz w:val="32"/>
          <w:szCs w:val="32"/>
        </w:rPr>
      </w:pPr>
      <w:r>
        <w:rPr>
          <w:rFonts w:ascii="仿宋" w:eastAsia="仿宋" w:hAnsi="仿宋" w:cs="仿宋" w:hint="eastAsia"/>
          <w:spacing w:val="-6"/>
          <w:sz w:val="32"/>
          <w:szCs w:val="32"/>
        </w:rPr>
        <w:t>完善产休假、生育保险、生育津补贴、免费学前教育等政策措施，提升全区生育水平并稳定在适度区间。健全出生缺陷防治网络，完善出生缺陷三级预防工作机制，规范提供免费婚检和孕前优生健康检查服务，提升出生人口素质。加强孕产妇和儿童系统管理，降低孕产妇和婴儿死亡率，保障母婴安全。完善普惠托育服务体系，降低生育、养育、教育成本。</w:t>
      </w:r>
      <w:bookmarkStart w:id="411" w:name="_Toc19106"/>
      <w:bookmarkStart w:id="412" w:name="_Toc28341"/>
      <w:bookmarkStart w:id="413" w:name="_Toc28891"/>
      <w:bookmarkStart w:id="414" w:name="_Toc495"/>
    </w:p>
    <w:p w:rsidR="00E35214" w:rsidRDefault="006F7231">
      <w:pPr>
        <w:pStyle w:val="3"/>
        <w:snapToGrid w:val="0"/>
        <w:spacing w:line="580" w:lineRule="exact"/>
        <w:textAlignment w:val="baseline"/>
        <w:rPr>
          <w:rFonts w:ascii="仿宋" w:eastAsia="仿宋" w:hAnsi="仿宋" w:cs="仿宋"/>
          <w:szCs w:val="22"/>
        </w:rPr>
      </w:pPr>
      <w:bookmarkStart w:id="415" w:name="_Toc15498"/>
      <w:bookmarkStart w:id="416" w:name="_Toc25100"/>
      <w:r>
        <w:rPr>
          <w:rFonts w:ascii="仿宋" w:eastAsia="仿宋" w:hAnsi="仿宋" w:cs="仿宋" w:hint="eastAsia"/>
          <w:szCs w:val="22"/>
        </w:rPr>
        <w:t>第二节  完善养老服务体系</w:t>
      </w:r>
      <w:bookmarkEnd w:id="411"/>
      <w:bookmarkEnd w:id="412"/>
      <w:bookmarkEnd w:id="413"/>
      <w:bookmarkEnd w:id="414"/>
      <w:bookmarkEnd w:id="415"/>
      <w:bookmarkEnd w:id="416"/>
    </w:p>
    <w:p w:rsidR="00E35214" w:rsidRDefault="006F7231">
      <w:pPr>
        <w:pStyle w:val="a5"/>
        <w:snapToGrid w:val="0"/>
        <w:spacing w:line="580" w:lineRule="exact"/>
        <w:ind w:firstLineChars="200" w:firstLine="616"/>
        <w:jc w:val="left"/>
        <w:textAlignment w:val="baseline"/>
        <w:rPr>
          <w:rFonts w:ascii="仿宋" w:eastAsia="仿宋" w:hAnsi="仿宋" w:cs="仿宋"/>
          <w:spacing w:val="-6"/>
          <w:sz w:val="32"/>
          <w:szCs w:val="32"/>
        </w:rPr>
      </w:pPr>
      <w:r>
        <w:rPr>
          <w:rFonts w:ascii="仿宋" w:eastAsia="仿宋" w:hAnsi="仿宋" w:cs="仿宋" w:hint="eastAsia"/>
          <w:spacing w:val="-6"/>
          <w:sz w:val="32"/>
          <w:szCs w:val="32"/>
        </w:rPr>
        <w:t>健全养老服务体系，推动养老事业和养老产业协同发展，发展普惠型养老服务和互助型养老。完善城乡养老服务基础设施，建设智慧养老院、社区养老服务综合体、康养综合体以及片区区域养老服务中心。发展社会化养老服务，引导和支持社会力量兴建各类健康养老服务设施，促进多层次康养机构发展。加强养老护理人员培养培训，鼓励职业学校增设老年医学、康复、护理、营养、心理等课程，提升医养结合专业人才的整体素质。发展银发经济，研发地方特色老龄产品，促进养老服务市场繁荣。完善养老、敬老、孝老政策体系和社会环境。</w:t>
      </w:r>
      <w:bookmarkStart w:id="417" w:name="_Toc10997"/>
    </w:p>
    <w:p w:rsidR="00E35214" w:rsidRDefault="006F7231">
      <w:pPr>
        <w:pStyle w:val="3"/>
        <w:snapToGrid w:val="0"/>
        <w:spacing w:line="580" w:lineRule="exact"/>
        <w:textAlignment w:val="baseline"/>
        <w:rPr>
          <w:rFonts w:ascii="仿宋" w:eastAsia="仿宋" w:hAnsi="仿宋" w:cs="仿宋"/>
          <w:szCs w:val="22"/>
        </w:rPr>
      </w:pPr>
      <w:r>
        <w:rPr>
          <w:rFonts w:ascii="仿宋" w:eastAsia="仿宋" w:hAnsi="仿宋" w:cs="仿宋" w:hint="eastAsia"/>
          <w:szCs w:val="22"/>
        </w:rPr>
        <w:t>第三节  深化殡葬事业改革</w:t>
      </w:r>
    </w:p>
    <w:p w:rsidR="00E35214" w:rsidRDefault="006F7231">
      <w:pPr>
        <w:pStyle w:val="a5"/>
        <w:snapToGrid w:val="0"/>
        <w:spacing w:after="0" w:line="580" w:lineRule="atLeast"/>
        <w:ind w:firstLine="643"/>
        <w:textAlignment w:val="baseline"/>
        <w:rPr>
          <w:rFonts w:ascii="仿宋" w:eastAsia="仿宋" w:hAnsi="仿宋" w:cs="仿宋"/>
          <w:sz w:val="32"/>
          <w:szCs w:val="22"/>
        </w:rPr>
      </w:pPr>
      <w:r>
        <w:rPr>
          <w:rFonts w:ascii="仿宋" w:eastAsia="仿宋" w:hAnsi="仿宋" w:cs="仿宋" w:hint="eastAsia"/>
          <w:spacing w:val="-6"/>
          <w:sz w:val="32"/>
          <w:szCs w:val="32"/>
        </w:rPr>
        <w:t>坚持“政府主导、统筹规划、节俭节约、功能完善”的原则，以“节约用地、环境保护、移风易俗、减轻负担”为宗旨，进一步深化殡葬服务改革，深入推行绿色殡葬，以惠民殡葬服</w:t>
      </w:r>
      <w:r>
        <w:rPr>
          <w:rFonts w:ascii="仿宋" w:eastAsia="仿宋" w:hAnsi="仿宋" w:cs="仿宋" w:hint="eastAsia"/>
          <w:spacing w:val="-6"/>
          <w:sz w:val="32"/>
          <w:szCs w:val="32"/>
        </w:rPr>
        <w:lastRenderedPageBreak/>
        <w:t>务优质化、殡葬管理规范化、殡葬改革有序化、殡葬习俗文明化为方向，在全区范围营造厚养礼葬、节地生态、文明祭祀的殡葬新风尚。</w:t>
      </w:r>
      <w:bookmarkStart w:id="418" w:name="_Toc16322"/>
      <w:bookmarkStart w:id="419" w:name="_Toc28393"/>
      <w:bookmarkStart w:id="420" w:name="_Toc16648"/>
      <w:bookmarkStart w:id="421" w:name="_Toc23856"/>
      <w:bookmarkStart w:id="422" w:name="_Toc3533"/>
      <w:bookmarkEnd w:id="417"/>
    </w:p>
    <w:p w:rsidR="00E35214" w:rsidRDefault="006F7231">
      <w:pPr>
        <w:pStyle w:val="a5"/>
        <w:snapToGrid w:val="0"/>
        <w:spacing w:line="580" w:lineRule="exact"/>
        <w:ind w:firstLine="643"/>
        <w:textAlignment w:val="baseline"/>
        <w:rPr>
          <w:rStyle w:val="1Char"/>
        </w:rPr>
      </w:pPr>
      <w:r>
        <w:rPr>
          <w:rStyle w:val="1Char"/>
          <w:rFonts w:hint="eastAsia"/>
        </w:rPr>
        <w:br w:type="page"/>
      </w:r>
    </w:p>
    <w:p w:rsidR="00E35214" w:rsidRDefault="006F7231">
      <w:pPr>
        <w:pStyle w:val="1"/>
        <w:snapToGrid w:val="0"/>
        <w:spacing w:line="580" w:lineRule="exact"/>
        <w:jc w:val="center"/>
        <w:textAlignment w:val="baseline"/>
      </w:pPr>
      <w:bookmarkStart w:id="423" w:name="_Toc22752"/>
      <w:r>
        <w:rPr>
          <w:rFonts w:hint="eastAsia"/>
        </w:rPr>
        <w:lastRenderedPageBreak/>
        <w:t>第七篇推进新型城镇化，建设宜居</w:t>
      </w:r>
      <w:bookmarkEnd w:id="418"/>
      <w:bookmarkEnd w:id="419"/>
      <w:bookmarkEnd w:id="420"/>
      <w:bookmarkEnd w:id="421"/>
      <w:bookmarkEnd w:id="422"/>
      <w:r>
        <w:rPr>
          <w:rFonts w:hint="eastAsia"/>
        </w:rPr>
        <w:t>金口河</w:t>
      </w:r>
      <w:bookmarkEnd w:id="423"/>
    </w:p>
    <w:p w:rsidR="00E35214" w:rsidRDefault="006F7231">
      <w:pPr>
        <w:snapToGrid w:val="0"/>
        <w:spacing w:line="600" w:lineRule="exact"/>
        <w:ind w:firstLineChars="200" w:firstLine="640"/>
        <w:jc w:val="left"/>
        <w:textAlignment w:val="baseline"/>
        <w:rPr>
          <w:rFonts w:ascii="仿宋" w:eastAsia="仿宋" w:hAnsi="仿宋" w:cs="仿宋"/>
          <w:sz w:val="32"/>
          <w:szCs w:val="32"/>
        </w:rPr>
      </w:pPr>
      <w:r>
        <w:rPr>
          <w:rFonts w:ascii="仿宋" w:eastAsia="仿宋" w:hAnsi="仿宋" w:cs="仿宋" w:hint="eastAsia"/>
          <w:sz w:val="32"/>
          <w:szCs w:val="32"/>
        </w:rPr>
        <w:t>统筹推进新型城镇化和乡村振兴战略，推动城乡统筹互动共融一体化发展，建设美丽宜居品质金口河。</w:t>
      </w:r>
    </w:p>
    <w:p w:rsidR="00E35214" w:rsidRDefault="00E35214">
      <w:pPr>
        <w:pStyle w:val="2"/>
        <w:snapToGrid w:val="0"/>
        <w:textAlignment w:val="baseline"/>
      </w:pPr>
      <w:bookmarkStart w:id="424" w:name="_Toc10435"/>
      <w:bookmarkStart w:id="425" w:name="_Toc8028"/>
      <w:bookmarkStart w:id="426" w:name="_Toc4124"/>
      <w:bookmarkStart w:id="427" w:name="_Toc26800"/>
      <w:bookmarkStart w:id="428" w:name="_Toc21628"/>
      <w:bookmarkStart w:id="429" w:name="_Toc19787"/>
      <w:bookmarkStart w:id="430" w:name="_Toc30186"/>
      <w:bookmarkStart w:id="431" w:name="_Toc25534"/>
      <w:bookmarkStart w:id="432" w:name="_Toc21549"/>
      <w:bookmarkStart w:id="433" w:name="_Toc14349"/>
    </w:p>
    <w:p w:rsidR="00E35214" w:rsidRDefault="006F7231">
      <w:pPr>
        <w:pStyle w:val="2"/>
        <w:snapToGrid w:val="0"/>
        <w:textAlignment w:val="baseline"/>
      </w:pPr>
      <w:r>
        <w:rPr>
          <w:rFonts w:hint="eastAsia"/>
        </w:rPr>
        <w:t>第二十六章提高新型城镇化质量</w:t>
      </w:r>
      <w:bookmarkEnd w:id="424"/>
      <w:bookmarkEnd w:id="425"/>
      <w:bookmarkEnd w:id="426"/>
      <w:bookmarkEnd w:id="427"/>
      <w:bookmarkEnd w:id="428"/>
      <w:bookmarkEnd w:id="429"/>
      <w:bookmarkEnd w:id="430"/>
      <w:bookmarkEnd w:id="431"/>
      <w:bookmarkEnd w:id="432"/>
      <w:bookmarkEnd w:id="433"/>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kern w:val="0"/>
          <w:sz w:val="32"/>
          <w:szCs w:val="32"/>
        </w:rPr>
        <w:t>坚持内外兼修，深入推进以人为核心的新型城镇化。</w:t>
      </w:r>
      <w:r>
        <w:rPr>
          <w:rFonts w:ascii="仿宋" w:eastAsia="仿宋" w:hAnsi="仿宋" w:cs="仿宋" w:hint="eastAsia"/>
          <w:sz w:val="32"/>
          <w:szCs w:val="32"/>
        </w:rPr>
        <w:t>突出宜居宜业，加快补齐城镇基础设施短板，改造提升城镇公共服务设施</w:t>
      </w:r>
      <w:r>
        <w:rPr>
          <w:rFonts w:ascii="仿宋" w:eastAsia="仿宋" w:hAnsi="仿宋" w:cs="仿宋" w:hint="eastAsia"/>
          <w:kern w:val="0"/>
          <w:sz w:val="32"/>
          <w:szCs w:val="32"/>
        </w:rPr>
        <w:t>。大力发展城镇经济，美化城乡空间环境，塑造城乡特色文化，壮大区域城市和中心城镇基础支撑</w:t>
      </w:r>
      <w:r>
        <w:rPr>
          <w:rFonts w:ascii="仿宋" w:eastAsia="仿宋" w:hAnsi="仿宋" w:cs="仿宋" w:hint="eastAsia"/>
          <w:sz w:val="32"/>
          <w:szCs w:val="32"/>
        </w:rPr>
        <w:t>，全面提升城镇化发展质量和水平。</w:t>
      </w:r>
    </w:p>
    <w:p w:rsidR="00E35214" w:rsidRDefault="006F7231">
      <w:pPr>
        <w:pStyle w:val="3"/>
        <w:snapToGrid w:val="0"/>
        <w:spacing w:line="580" w:lineRule="exact"/>
        <w:textAlignment w:val="baseline"/>
        <w:rPr>
          <w:rFonts w:ascii="仿宋" w:eastAsia="仿宋" w:hAnsi="仿宋" w:cs="仿宋"/>
          <w:szCs w:val="22"/>
        </w:rPr>
      </w:pPr>
      <w:bookmarkStart w:id="434" w:name="_Toc3241"/>
      <w:bookmarkStart w:id="435" w:name="_Toc2024"/>
      <w:bookmarkStart w:id="436" w:name="_Toc10636"/>
      <w:bookmarkStart w:id="437" w:name="_Toc23942"/>
      <w:bookmarkStart w:id="438" w:name="_Toc8514"/>
      <w:bookmarkStart w:id="439" w:name="_Toc2760"/>
      <w:bookmarkStart w:id="440" w:name="_Toc6488"/>
      <w:bookmarkStart w:id="441" w:name="_Toc5456"/>
      <w:bookmarkStart w:id="442" w:name="_Toc26231"/>
      <w:bookmarkStart w:id="443" w:name="_Toc8375"/>
      <w:r>
        <w:rPr>
          <w:rFonts w:ascii="仿宋" w:eastAsia="仿宋" w:hAnsi="仿宋" w:cs="仿宋" w:hint="eastAsia"/>
          <w:szCs w:val="22"/>
        </w:rPr>
        <w:t>第一节 提升城乡功能品质</w:t>
      </w:r>
      <w:bookmarkEnd w:id="434"/>
      <w:bookmarkEnd w:id="435"/>
    </w:p>
    <w:p w:rsidR="00E35214" w:rsidRDefault="006F7231">
      <w:pPr>
        <w:pStyle w:val="a5"/>
        <w:snapToGrid w:val="0"/>
        <w:spacing w:line="580"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统筹城市布局的经济需要、生活需要、生态需要、安全需要，推进城乡路网优化、基础设施提升、品质住房供给、基本公共服务保障，建设宜居城市、绿色城市、韧性城市、海绵城市、智慧城市、人文城市。实施城市功能完善工程，补足城市基础设施短板，加强各类生活服务设施建设，增加公共活动空间，完善和提升城市功能。实施老旧小区改造、社区建设工程，开展和平社区、滨河路社区、金河社区设施补短板行动，因地制宜对居住社区市政配套基础设施、公共服务设施等进行改造建设。</w:t>
      </w:r>
    </w:p>
    <w:p w:rsidR="00E35214" w:rsidRDefault="006F7231">
      <w:pPr>
        <w:pStyle w:val="3"/>
        <w:snapToGrid w:val="0"/>
        <w:spacing w:line="580" w:lineRule="exact"/>
        <w:textAlignment w:val="baseline"/>
        <w:rPr>
          <w:rFonts w:ascii="仿宋" w:eastAsia="仿宋" w:hAnsi="仿宋" w:cs="仿宋"/>
          <w:szCs w:val="22"/>
        </w:rPr>
      </w:pPr>
      <w:bookmarkStart w:id="444" w:name="_Toc18142"/>
      <w:bookmarkStart w:id="445" w:name="_Toc1768"/>
      <w:r>
        <w:rPr>
          <w:rFonts w:ascii="仿宋" w:eastAsia="仿宋" w:hAnsi="仿宋" w:cs="仿宋" w:hint="eastAsia"/>
          <w:szCs w:val="22"/>
        </w:rPr>
        <w:lastRenderedPageBreak/>
        <w:t>第二节 美化城乡空间环境</w:t>
      </w:r>
      <w:bookmarkEnd w:id="444"/>
      <w:bookmarkEnd w:id="445"/>
    </w:p>
    <w:p w:rsidR="00E35214" w:rsidRDefault="006F7231">
      <w:pPr>
        <w:pStyle w:val="20"/>
        <w:snapToGrid w:val="0"/>
        <w:spacing w:line="580" w:lineRule="atLeast"/>
        <w:ind w:firstLine="640"/>
        <w:textAlignment w:val="baseline"/>
        <w:rPr>
          <w:rFonts w:ascii="仿宋" w:eastAsia="仿宋" w:hAnsi="仿宋" w:cs="仿宋"/>
          <w:kern w:val="0"/>
          <w:sz w:val="32"/>
          <w:szCs w:val="32"/>
        </w:rPr>
      </w:pPr>
      <w:r>
        <w:rPr>
          <w:rFonts w:ascii="仿宋" w:eastAsia="仿宋" w:hAnsi="仿宋" w:cs="仿宋" w:hint="eastAsia"/>
          <w:kern w:val="0"/>
          <w:sz w:val="32"/>
          <w:szCs w:val="32"/>
        </w:rPr>
        <w:t>充分融合山体、水系、林地资源，全域实施植绿、增绿、护绿行动，规划建设一批具有鲜明金口河印记的文化地标、文化公园、文化街道和文化景观，亮出天际线、保护山脊线、让出水岸线，打造山水园林生态城，融入川渝森林城市群建设。优化城市空间和建筑布局，加强新建高层建筑管控。</w:t>
      </w:r>
    </w:p>
    <w:p w:rsidR="00E35214" w:rsidRDefault="006F7231">
      <w:pPr>
        <w:pStyle w:val="3"/>
        <w:snapToGrid w:val="0"/>
        <w:spacing w:line="580" w:lineRule="exact"/>
        <w:textAlignment w:val="baseline"/>
        <w:rPr>
          <w:rFonts w:ascii="仿宋" w:eastAsia="仿宋" w:hAnsi="仿宋" w:cs="仿宋"/>
          <w:szCs w:val="22"/>
        </w:rPr>
      </w:pPr>
      <w:bookmarkStart w:id="446" w:name="_Toc18464"/>
      <w:bookmarkStart w:id="447" w:name="_Toc12787"/>
      <w:r>
        <w:rPr>
          <w:rFonts w:ascii="仿宋" w:eastAsia="仿宋" w:hAnsi="仿宋" w:cs="仿宋" w:hint="eastAsia"/>
          <w:szCs w:val="22"/>
        </w:rPr>
        <w:t>第三节 塑造城乡特色文化</w:t>
      </w:r>
      <w:bookmarkEnd w:id="446"/>
      <w:bookmarkEnd w:id="447"/>
    </w:p>
    <w:p w:rsidR="00E35214" w:rsidRDefault="006F7231">
      <w:pPr>
        <w:pStyle w:val="20"/>
        <w:snapToGrid w:val="0"/>
        <w:spacing w:line="580" w:lineRule="atLeast"/>
        <w:ind w:firstLine="640"/>
        <w:textAlignment w:val="baseline"/>
        <w:rPr>
          <w:rFonts w:ascii="仿宋" w:eastAsia="仿宋" w:hAnsi="仿宋" w:cs="仿宋"/>
          <w:sz w:val="21"/>
        </w:rPr>
      </w:pPr>
      <w:r>
        <w:rPr>
          <w:rFonts w:ascii="仿宋" w:eastAsia="仿宋" w:hAnsi="仿宋" w:cs="仿宋" w:hint="eastAsia"/>
          <w:kern w:val="0"/>
          <w:sz w:val="32"/>
          <w:szCs w:val="32"/>
        </w:rPr>
        <w:t>加大红华三线遗址保护力度，修复山水城传统格局，保护具有历史文化价值的红华生活街区、建筑及其影响地段的传统格局和风貌，推进历史文化遗产活化利用。坚持留住城市特色基因，塑造区域空间文化，推进红华记忆小镇建设、铁道兵博物馆扩容提质、乐西抗战公路文化挖掘、小凉山彝族风俗研究与保护，让三线建设文化、铁道兵文化、抗战公路文化和彝风彝韵等特色文化交汇融合，形成具有金口河特色的城市底蕴。</w:t>
      </w:r>
    </w:p>
    <w:p w:rsidR="00E35214" w:rsidRDefault="006F7231">
      <w:pPr>
        <w:pStyle w:val="3"/>
        <w:snapToGrid w:val="0"/>
        <w:spacing w:line="580" w:lineRule="exact"/>
        <w:textAlignment w:val="baseline"/>
        <w:rPr>
          <w:rFonts w:ascii="仿宋" w:eastAsia="仿宋" w:hAnsi="仿宋" w:cs="仿宋"/>
          <w:b w:val="0"/>
          <w:bCs w:val="0"/>
          <w:szCs w:val="22"/>
        </w:rPr>
      </w:pPr>
      <w:bookmarkStart w:id="448" w:name="_Toc3386"/>
      <w:bookmarkStart w:id="449" w:name="_Toc1340"/>
      <w:bookmarkStart w:id="450" w:name="_Toc5513"/>
      <w:bookmarkStart w:id="451" w:name="_Toc30195"/>
      <w:bookmarkStart w:id="452" w:name="_Toc9928"/>
      <w:bookmarkStart w:id="453" w:name="_Toc11706"/>
      <w:r>
        <w:rPr>
          <w:rFonts w:ascii="仿宋" w:eastAsia="仿宋" w:hAnsi="仿宋" w:cs="仿宋" w:hint="eastAsia"/>
          <w:szCs w:val="22"/>
        </w:rPr>
        <w:t>第四节 提高城镇建设品质</w:t>
      </w:r>
      <w:bookmarkEnd w:id="448"/>
      <w:bookmarkEnd w:id="449"/>
      <w:bookmarkEnd w:id="450"/>
      <w:bookmarkEnd w:id="451"/>
      <w:bookmarkEnd w:id="452"/>
      <w:bookmarkEnd w:id="453"/>
    </w:p>
    <w:p w:rsidR="00E35214" w:rsidRDefault="006F7231">
      <w:pPr>
        <w:snapToGrid w:val="0"/>
        <w:spacing w:line="580" w:lineRule="exact"/>
        <w:ind w:firstLineChars="200" w:firstLine="640"/>
        <w:textAlignment w:val="baseline"/>
        <w:rPr>
          <w:rFonts w:ascii="仿宋" w:eastAsia="仿宋" w:hAnsi="仿宋" w:cs="仿宋"/>
          <w:kern w:val="0"/>
          <w:sz w:val="32"/>
          <w:szCs w:val="32"/>
        </w:rPr>
      </w:pPr>
      <w:r>
        <w:rPr>
          <w:rFonts w:ascii="仿宋" w:eastAsia="仿宋" w:hAnsi="仿宋" w:cs="仿宋" w:hint="eastAsia"/>
          <w:sz w:val="32"/>
          <w:szCs w:val="32"/>
        </w:rPr>
        <w:t>推动实施“人城景业”融合发展计划，提升商圈活力，打造精品社区，构建以金融服务、商务办公、观光消费等为主体功能的中央活动区。加强智慧城市建设，推动城市管理由“大开大合”向“精雕细琢”转变，提高城市管理法治化、智能化、专业化水平。</w:t>
      </w:r>
      <w:r>
        <w:rPr>
          <w:rFonts w:ascii="仿宋" w:eastAsia="仿宋" w:hAnsi="仿宋" w:cs="仿宋" w:hint="eastAsia"/>
          <w:kern w:val="0"/>
          <w:sz w:val="32"/>
          <w:szCs w:val="32"/>
        </w:rPr>
        <w:t>全面推进城镇老旧小区改造工作。加</w:t>
      </w:r>
      <w:r>
        <w:rPr>
          <w:rFonts w:ascii="仿宋" w:eastAsia="仿宋" w:hAnsi="仿宋" w:cs="仿宋" w:hint="eastAsia"/>
          <w:kern w:val="0"/>
          <w:sz w:val="32"/>
          <w:szCs w:val="32"/>
        </w:rPr>
        <w:lastRenderedPageBreak/>
        <w:t>强新建住房质量安全监管，提高住房设计和建造水平，建设功能完善、绿色宜居、健康安全的高品质住房，不断改善人民群众住房条件和居住环境。</w:t>
      </w:r>
    </w:p>
    <w:p w:rsidR="00E35214" w:rsidRDefault="00E35214">
      <w:pPr>
        <w:pStyle w:val="a0"/>
      </w:pPr>
    </w:p>
    <w:p w:rsidR="00E35214" w:rsidRDefault="006F7231">
      <w:pPr>
        <w:pStyle w:val="NewNewNewNewNewNewNewNewNewNewNewNewNewNewNewNew"/>
        <w:snapToGrid w:val="0"/>
        <w:spacing w:line="240" w:lineRule="auto"/>
        <w:ind w:firstLineChars="0" w:firstLine="0"/>
        <w:jc w:val="center"/>
        <w:textAlignment w:val="baseline"/>
        <w:rPr>
          <w:rFonts w:ascii="楷体" w:eastAsia="楷体" w:hAnsi="楷体" w:cs="仿宋"/>
          <w:b/>
          <w:bCs/>
          <w:spacing w:val="-6"/>
          <w:sz w:val="28"/>
          <w:szCs w:val="28"/>
        </w:rPr>
      </w:pPr>
      <w:r>
        <w:rPr>
          <w:rFonts w:ascii="楷体" w:eastAsia="楷体" w:hAnsi="楷体" w:cs="仿宋" w:hint="eastAsia"/>
          <w:b/>
          <w:bCs/>
          <w:spacing w:val="-6"/>
          <w:sz w:val="28"/>
          <w:szCs w:val="28"/>
        </w:rPr>
        <w:t>专栏19  城镇化建设重点项目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E35214">
        <w:tc>
          <w:tcPr>
            <w:tcW w:w="8522" w:type="dxa"/>
          </w:tcPr>
          <w:p w:rsidR="00E35214" w:rsidRDefault="006F7231">
            <w:pPr>
              <w:pStyle w:val="ac"/>
              <w:snapToGrid w:val="0"/>
              <w:spacing w:line="420" w:lineRule="exact"/>
              <w:ind w:leftChars="219" w:left="460" w:firstLineChars="0" w:firstLine="0"/>
              <w:jc w:val="left"/>
              <w:textAlignment w:val="baseline"/>
              <w:rPr>
                <w:rFonts w:ascii="楷体" w:eastAsia="楷体" w:hAnsi="楷体" w:cs="楷体"/>
                <w:b/>
                <w:bCs/>
                <w:spacing w:val="-6"/>
                <w:sz w:val="24"/>
              </w:rPr>
            </w:pPr>
            <w:r>
              <w:rPr>
                <w:rFonts w:ascii="楷体" w:eastAsia="楷体" w:hAnsi="楷体" w:cs="楷体" w:hint="eastAsia"/>
                <w:b/>
                <w:bCs/>
                <w:spacing w:val="-6"/>
                <w:sz w:val="24"/>
              </w:rPr>
              <w:t>市政基础设施建设工程。</w:t>
            </w:r>
            <w:r>
              <w:rPr>
                <w:rFonts w:ascii="楷体" w:eastAsia="楷体" w:hAnsi="楷体" w:cs="楷体" w:hint="eastAsia"/>
                <w:spacing w:val="-6"/>
                <w:sz w:val="24"/>
              </w:rPr>
              <w:t>金口河区绿色生态宜居城市基础设施项目、城镇污水提质增效项目、观音寺片区市政基础设施建设、滨河路改造工程、城区主干道风貌改造、城区雨污分流项目、市政基础设施智能化管理平台建设项目。</w:t>
            </w:r>
          </w:p>
          <w:p w:rsidR="00E35214" w:rsidRDefault="006F7231">
            <w:pPr>
              <w:pStyle w:val="ac"/>
              <w:snapToGrid w:val="0"/>
              <w:spacing w:line="420" w:lineRule="exact"/>
              <w:ind w:leftChars="219" w:left="460" w:firstLineChars="0" w:firstLine="0"/>
              <w:jc w:val="left"/>
              <w:textAlignment w:val="baseline"/>
              <w:rPr>
                <w:rFonts w:ascii="楷体" w:eastAsia="楷体" w:hAnsi="楷体" w:cs="楷体"/>
                <w:b/>
                <w:bCs/>
                <w:spacing w:val="-6"/>
                <w:sz w:val="24"/>
              </w:rPr>
            </w:pPr>
            <w:r>
              <w:rPr>
                <w:rFonts w:ascii="楷体" w:eastAsia="楷体" w:hAnsi="楷体" w:cs="楷体" w:hint="eastAsia"/>
                <w:b/>
                <w:bCs/>
                <w:spacing w:val="-6"/>
                <w:sz w:val="24"/>
              </w:rPr>
              <w:t>公共服务设施提升工程。</w:t>
            </w:r>
            <w:r>
              <w:rPr>
                <w:rFonts w:ascii="楷体" w:eastAsia="楷体" w:hAnsi="楷体" w:cs="楷体" w:hint="eastAsia"/>
                <w:spacing w:val="-6"/>
                <w:sz w:val="24"/>
              </w:rPr>
              <w:t>金桥公园改造（地下停车场）项目、红华片区便民市场建设、滨河路段地下停车场项目、新建城区立体停车场等项目。</w:t>
            </w:r>
          </w:p>
          <w:p w:rsidR="00E35214" w:rsidRDefault="006F7231">
            <w:pPr>
              <w:pStyle w:val="ac"/>
              <w:snapToGrid w:val="0"/>
              <w:spacing w:line="420" w:lineRule="exact"/>
              <w:ind w:leftChars="219" w:left="460" w:firstLineChars="0" w:firstLine="0"/>
              <w:jc w:val="left"/>
              <w:textAlignment w:val="baseline"/>
              <w:rPr>
                <w:rFonts w:ascii="仿宋" w:eastAsia="仿宋" w:hAnsi="仿宋" w:cs="仿宋"/>
                <w:bCs/>
                <w:sz w:val="24"/>
              </w:rPr>
            </w:pPr>
            <w:r>
              <w:rPr>
                <w:rFonts w:ascii="楷体" w:eastAsia="楷体" w:hAnsi="楷体" w:cs="楷体" w:hint="eastAsia"/>
                <w:b/>
                <w:bCs/>
                <w:spacing w:val="-6"/>
                <w:sz w:val="24"/>
              </w:rPr>
              <w:t>品质宜居城镇建设工程。</w:t>
            </w:r>
            <w:r>
              <w:rPr>
                <w:rFonts w:ascii="楷体" w:eastAsia="楷体" w:hAnsi="楷体" w:cs="楷体" w:hint="eastAsia"/>
                <w:spacing w:val="-6"/>
                <w:sz w:val="24"/>
              </w:rPr>
              <w:t>观音寺片区综合开发项目、峨汉高速路金口河入口片区人居环境综合整治项目、金口河火车南站站前市政基础设施配套工程项目、老旧小区罗回片区改造、城市阳台提升项目、罗回休闲栈道项目、枕头坝二级水电站、沙坪一级水电站移民安置区建设项目。</w:t>
            </w:r>
          </w:p>
        </w:tc>
      </w:tr>
    </w:tbl>
    <w:p w:rsidR="00E35214" w:rsidRDefault="00E35214">
      <w:pPr>
        <w:pStyle w:val="2"/>
        <w:snapToGrid w:val="0"/>
        <w:textAlignment w:val="baseline"/>
      </w:pPr>
      <w:bookmarkStart w:id="454" w:name="_Toc4638"/>
      <w:bookmarkStart w:id="455" w:name="_Toc794"/>
    </w:p>
    <w:p w:rsidR="00E35214" w:rsidRDefault="006F7231">
      <w:pPr>
        <w:pStyle w:val="2"/>
        <w:snapToGrid w:val="0"/>
        <w:textAlignment w:val="baseline"/>
      </w:pPr>
      <w:r>
        <w:rPr>
          <w:rFonts w:hint="eastAsia"/>
        </w:rPr>
        <w:t>第二十七章深入推进乡村振兴</w:t>
      </w:r>
      <w:bookmarkEnd w:id="436"/>
      <w:bookmarkEnd w:id="437"/>
      <w:bookmarkEnd w:id="438"/>
      <w:bookmarkEnd w:id="439"/>
      <w:bookmarkEnd w:id="440"/>
      <w:bookmarkEnd w:id="441"/>
      <w:bookmarkEnd w:id="442"/>
      <w:bookmarkEnd w:id="443"/>
      <w:bookmarkEnd w:id="454"/>
      <w:bookmarkEnd w:id="455"/>
    </w:p>
    <w:p w:rsidR="00E35214" w:rsidRDefault="006F7231">
      <w:pPr>
        <w:widowControl/>
        <w:snapToGrid w:val="0"/>
        <w:spacing w:line="560" w:lineRule="exact"/>
        <w:ind w:firstLineChars="200" w:firstLine="640"/>
        <w:textAlignment w:val="baseline"/>
        <w:rPr>
          <w:rFonts w:ascii="仿宋" w:eastAsia="仿宋" w:hAnsi="仿宋" w:cs="仿宋"/>
          <w:sz w:val="32"/>
          <w:szCs w:val="32"/>
        </w:rPr>
      </w:pPr>
      <w:r>
        <w:rPr>
          <w:rFonts w:ascii="仿宋" w:eastAsia="仿宋" w:hAnsi="仿宋" w:cs="仿宋" w:hint="eastAsia"/>
          <w:kern w:val="0"/>
          <w:sz w:val="32"/>
          <w:szCs w:val="32"/>
          <w:shd w:val="clear" w:color="auto" w:fill="FFFFFF"/>
        </w:rPr>
        <w:t>贯彻落实《中华人民共和国乡村振兴促进法》，着力推动巩固拓展脱贫攻坚成果与乡村振兴有效衔接，用好用活各方帮扶力量，统筹推进“五大振兴”，确保乡村振兴成效持续走在大小凉山地区前列。</w:t>
      </w:r>
    </w:p>
    <w:p w:rsidR="00E35214" w:rsidRDefault="006F7231">
      <w:pPr>
        <w:pStyle w:val="3"/>
        <w:keepLines w:val="0"/>
        <w:shd w:val="clear" w:color="auto" w:fill="FFFFFF"/>
        <w:snapToGrid w:val="0"/>
        <w:spacing w:before="420" w:after="105" w:line="580" w:lineRule="exact"/>
        <w:textAlignment w:val="baseline"/>
        <w:rPr>
          <w:rFonts w:ascii="仿宋" w:eastAsia="仿宋" w:hAnsi="仿宋" w:cs="仿宋"/>
          <w:szCs w:val="22"/>
          <w:shd w:val="clear" w:color="auto" w:fill="FFFFFF"/>
        </w:rPr>
      </w:pPr>
      <w:r>
        <w:rPr>
          <w:rFonts w:ascii="仿宋" w:eastAsia="仿宋" w:hAnsi="仿宋" w:cs="仿宋"/>
          <w:szCs w:val="22"/>
          <w:shd w:val="clear" w:color="auto" w:fill="FFFFFF"/>
        </w:rPr>
        <w:t>第一节</w:t>
      </w:r>
      <w:r>
        <w:rPr>
          <w:rFonts w:ascii="仿宋" w:eastAsia="仿宋" w:hAnsi="仿宋" w:cs="仿宋"/>
          <w:szCs w:val="22"/>
          <w:shd w:val="clear" w:color="auto" w:fill="FFFFFF"/>
        </w:rPr>
        <w:t> </w:t>
      </w:r>
      <w:r>
        <w:rPr>
          <w:rFonts w:ascii="仿宋" w:eastAsia="仿宋" w:hAnsi="仿宋" w:cs="仿宋"/>
          <w:szCs w:val="22"/>
          <w:shd w:val="clear" w:color="auto" w:fill="FFFFFF"/>
        </w:rPr>
        <w:t>深化农业农村改革</w:t>
      </w:r>
    </w:p>
    <w:p w:rsidR="00E35214" w:rsidRDefault="006F7231">
      <w:pPr>
        <w:widowControl/>
        <w:shd w:val="clear" w:color="auto" w:fill="FFFFFF"/>
        <w:snapToGrid w:val="0"/>
        <w:spacing w:before="420" w:after="105" w:line="580" w:lineRule="exact"/>
        <w:ind w:firstLineChars="200" w:firstLine="640"/>
        <w:textAlignment w:val="baseline"/>
        <w:rPr>
          <w:rFonts w:ascii="仿宋" w:eastAsia="仿宋" w:hAnsi="仿宋" w:cs="仿宋"/>
          <w:kern w:val="0"/>
          <w:sz w:val="32"/>
          <w:szCs w:val="32"/>
          <w:shd w:val="clear" w:color="auto" w:fill="FFFFFF"/>
        </w:rPr>
      </w:pPr>
      <w:r>
        <w:rPr>
          <w:rFonts w:ascii="仿宋" w:eastAsia="仿宋" w:hAnsi="仿宋" w:cs="仿宋" w:hint="eastAsia"/>
          <w:sz w:val="32"/>
          <w:szCs w:val="32"/>
        </w:rPr>
        <w:t>深入</w:t>
      </w:r>
      <w:r>
        <w:rPr>
          <w:rFonts w:ascii="仿宋" w:eastAsia="仿宋" w:hAnsi="仿宋" w:cs="仿宋" w:hint="eastAsia"/>
          <w:kern w:val="0"/>
          <w:sz w:val="32"/>
          <w:szCs w:val="32"/>
          <w:shd w:val="clear" w:color="auto" w:fill="FFFFFF"/>
        </w:rPr>
        <w:t>推进农村集体产权制度改革，探索宅基地所有权、资格权、使用权分置实现形式，盘活用好闲置资产，推动闲</w:t>
      </w:r>
      <w:r>
        <w:rPr>
          <w:rFonts w:ascii="仿宋" w:eastAsia="仿宋" w:hAnsi="仿宋" w:cs="仿宋" w:hint="eastAsia"/>
          <w:kern w:val="0"/>
          <w:sz w:val="32"/>
          <w:szCs w:val="32"/>
          <w:shd w:val="clear" w:color="auto" w:fill="FFFFFF"/>
        </w:rPr>
        <w:lastRenderedPageBreak/>
        <w:t>置宅基地和农房入市。完善城乡建设用地增减挂钩管理制度，有序推进土地综合整治。</w:t>
      </w:r>
      <w:r>
        <w:rPr>
          <w:rFonts w:ascii="仿宋" w:eastAsia="仿宋" w:hAnsi="仿宋" w:cs="仿宋" w:hint="eastAsia"/>
          <w:spacing w:val="-6"/>
          <w:sz w:val="32"/>
          <w:szCs w:val="32"/>
        </w:rPr>
        <w:t>深化农村集体产权制度改革，</w:t>
      </w:r>
      <w:r>
        <w:rPr>
          <w:rFonts w:ascii="仿宋" w:eastAsia="仿宋" w:hAnsi="仿宋" w:cs="仿宋" w:hint="eastAsia"/>
          <w:kern w:val="0"/>
          <w:sz w:val="32"/>
          <w:szCs w:val="32"/>
          <w:shd w:val="clear" w:color="auto" w:fill="FFFFFF"/>
        </w:rPr>
        <w:t>全面落实农村集体资产清产核资，发展壮大新型农村集体经济。引导和支持农村集体经济组织发挥依法管理集体资产、合理开发集体资源、服务集体成员等方面的作用，保障农村集体经济组织的独立运营。推动职称评定向乡村医生、教师倾斜，加强农业职业经理人、新型职业农民、乡村规划师、新乡贤队伍建设，培养一批乡村工匠、文化能人、非物质文化遗产传承人。提升农村金融服务水平，发展农业保险，创新财政投入方式，引导社会资本入乡。</w:t>
      </w:r>
    </w:p>
    <w:p w:rsidR="00E35214" w:rsidRDefault="00E35214">
      <w:pPr>
        <w:widowControl/>
        <w:shd w:val="clear" w:color="auto" w:fill="FFFFFF"/>
        <w:snapToGrid w:val="0"/>
        <w:spacing w:before="420" w:after="105" w:line="30" w:lineRule="atLeast"/>
        <w:ind w:firstLine="420"/>
        <w:textAlignment w:val="baseline"/>
        <w:rPr>
          <w:sz w:val="20"/>
        </w:rPr>
      </w:pPr>
    </w:p>
    <w:p w:rsidR="00E35214" w:rsidRDefault="006F7231">
      <w:pPr>
        <w:pStyle w:val="3"/>
        <w:keepLines w:val="0"/>
        <w:shd w:val="clear" w:color="auto" w:fill="FFFFFF"/>
        <w:snapToGrid w:val="0"/>
        <w:spacing w:before="420" w:after="105" w:line="580" w:lineRule="exact"/>
        <w:textAlignment w:val="baseline"/>
        <w:rPr>
          <w:rFonts w:ascii="仿宋" w:eastAsia="仿宋" w:hAnsi="仿宋" w:cs="仿宋"/>
          <w:szCs w:val="22"/>
          <w:shd w:val="clear" w:color="auto" w:fill="FFFFFF"/>
        </w:rPr>
      </w:pPr>
      <w:r>
        <w:rPr>
          <w:rFonts w:ascii="仿宋" w:eastAsia="仿宋" w:hAnsi="仿宋" w:cs="仿宋"/>
          <w:szCs w:val="22"/>
          <w:shd w:val="clear" w:color="auto" w:fill="FFFFFF"/>
        </w:rPr>
        <w:t>第二节</w:t>
      </w:r>
      <w:r>
        <w:rPr>
          <w:rFonts w:ascii="仿宋" w:eastAsia="仿宋" w:hAnsi="仿宋" w:cs="仿宋"/>
          <w:szCs w:val="22"/>
          <w:shd w:val="clear" w:color="auto" w:fill="FFFFFF"/>
        </w:rPr>
        <w:t> </w:t>
      </w:r>
      <w:r>
        <w:rPr>
          <w:rFonts w:ascii="仿宋" w:eastAsia="仿宋" w:hAnsi="仿宋" w:cs="仿宋"/>
          <w:szCs w:val="22"/>
          <w:shd w:val="clear" w:color="auto" w:fill="FFFFFF"/>
        </w:rPr>
        <w:t>推进美丽宜居乡村建设</w:t>
      </w:r>
    </w:p>
    <w:p w:rsidR="00E35214" w:rsidRDefault="006F7231">
      <w:pPr>
        <w:widowControl/>
        <w:shd w:val="clear" w:color="auto" w:fill="FFFFFF"/>
        <w:snapToGrid w:val="0"/>
        <w:spacing w:before="420" w:after="105" w:line="597" w:lineRule="exact"/>
        <w:ind w:firstLine="640"/>
        <w:textAlignment w:val="baseline"/>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深入推进宜居乡村建设，推广“小规模、组团式、微田园、生态化”模式，提升农房建设质量。</w:t>
      </w:r>
      <w:r>
        <w:rPr>
          <w:rFonts w:ascii="仿宋" w:eastAsia="仿宋" w:hAnsi="仿宋" w:cs="仿宋" w:hint="eastAsia"/>
          <w:sz w:val="32"/>
          <w:szCs w:val="32"/>
        </w:rPr>
        <w:t>统筹开展农村净化、绿化、美化、亮化“四化”行动</w:t>
      </w:r>
      <w:r>
        <w:rPr>
          <w:rFonts w:ascii="仿宋" w:eastAsia="仿宋" w:hAnsi="仿宋" w:cs="仿宋" w:hint="eastAsia"/>
          <w:sz w:val="24"/>
          <w:shd w:val="clear" w:color="auto" w:fill="FFFFFF"/>
        </w:rPr>
        <w:t>，</w:t>
      </w:r>
      <w:r>
        <w:rPr>
          <w:rFonts w:ascii="仿宋" w:eastAsia="仿宋" w:hAnsi="仿宋" w:cs="仿宋" w:hint="eastAsia"/>
          <w:kern w:val="0"/>
          <w:sz w:val="32"/>
          <w:szCs w:val="32"/>
          <w:shd w:val="clear" w:color="auto" w:fill="FFFFFF"/>
        </w:rPr>
        <w:t>深入开展污水、垃圾、厕所、村貌“四大革命”，</w:t>
      </w:r>
      <w:r>
        <w:rPr>
          <w:rFonts w:ascii="仿宋" w:eastAsia="仿宋" w:hAnsi="仿宋" w:cs="仿宋" w:hint="eastAsia"/>
          <w:spacing w:val="-6"/>
          <w:sz w:val="32"/>
          <w:szCs w:val="32"/>
        </w:rPr>
        <w:t>有序推进农村人居环境综合整治行动，</w:t>
      </w:r>
      <w:r>
        <w:rPr>
          <w:rFonts w:ascii="仿宋" w:eastAsia="仿宋" w:hAnsi="仿宋" w:cs="仿宋" w:hint="eastAsia"/>
          <w:sz w:val="32"/>
          <w:szCs w:val="32"/>
        </w:rPr>
        <w:t>全面提升农村人居环境。以村容村貌提升和宜居乡村建设为重点，</w:t>
      </w:r>
      <w:r>
        <w:rPr>
          <w:rFonts w:ascii="仿宋" w:eastAsia="仿宋" w:hAnsi="仿宋" w:cs="仿宋" w:hint="eastAsia"/>
          <w:kern w:val="0"/>
          <w:sz w:val="32"/>
          <w:szCs w:val="32"/>
          <w:shd w:val="clear" w:color="auto" w:fill="FFFFFF"/>
        </w:rPr>
        <w:t>加快补齐基础设施短板，推动花溪曙光、水墨顺河、溪谷象鼻等一批景点式村庄扩容提质，全域打造美丽宜居现代乡村。</w:t>
      </w:r>
    </w:p>
    <w:p w:rsidR="00E35214" w:rsidRDefault="006F7231">
      <w:pPr>
        <w:pStyle w:val="3"/>
        <w:keepLines w:val="0"/>
        <w:shd w:val="clear" w:color="auto" w:fill="FFFFFF"/>
        <w:snapToGrid w:val="0"/>
        <w:spacing w:before="420" w:after="105" w:line="580" w:lineRule="exact"/>
        <w:textAlignment w:val="baseline"/>
        <w:rPr>
          <w:rFonts w:ascii="仿宋" w:eastAsia="仿宋" w:hAnsi="仿宋" w:cs="仿宋"/>
          <w:szCs w:val="22"/>
          <w:shd w:val="clear" w:color="auto" w:fill="FFFFFF"/>
        </w:rPr>
      </w:pPr>
      <w:r>
        <w:rPr>
          <w:rFonts w:ascii="仿宋" w:eastAsia="仿宋" w:hAnsi="仿宋" w:cs="仿宋"/>
          <w:szCs w:val="22"/>
          <w:shd w:val="clear" w:color="auto" w:fill="FFFFFF"/>
        </w:rPr>
        <w:lastRenderedPageBreak/>
        <w:t>第</w:t>
      </w:r>
      <w:r>
        <w:rPr>
          <w:rFonts w:ascii="仿宋" w:eastAsia="仿宋" w:hAnsi="仿宋" w:cs="仿宋" w:hint="eastAsia"/>
          <w:szCs w:val="22"/>
          <w:shd w:val="clear" w:color="auto" w:fill="FFFFFF"/>
        </w:rPr>
        <w:t>三</w:t>
      </w:r>
      <w:r>
        <w:rPr>
          <w:rFonts w:ascii="仿宋" w:eastAsia="仿宋" w:hAnsi="仿宋" w:cs="仿宋"/>
          <w:szCs w:val="22"/>
          <w:shd w:val="clear" w:color="auto" w:fill="FFFFFF"/>
        </w:rPr>
        <w:t>节</w:t>
      </w:r>
      <w:r>
        <w:rPr>
          <w:rFonts w:ascii="仿宋" w:eastAsia="仿宋" w:hAnsi="仿宋" w:cs="仿宋"/>
          <w:szCs w:val="22"/>
          <w:shd w:val="clear" w:color="auto" w:fill="FFFFFF"/>
        </w:rPr>
        <w:t> </w:t>
      </w:r>
      <w:r>
        <w:rPr>
          <w:rFonts w:ascii="仿宋" w:eastAsia="仿宋" w:hAnsi="仿宋" w:cs="仿宋"/>
          <w:szCs w:val="22"/>
          <w:shd w:val="clear" w:color="auto" w:fill="FFFFFF"/>
        </w:rPr>
        <w:t>实现巩固拓展脱贫攻坚成果同乡村振兴有效衔接</w:t>
      </w:r>
    </w:p>
    <w:p w:rsidR="00E35214" w:rsidRDefault="006F7231">
      <w:pPr>
        <w:pStyle w:val="ad"/>
        <w:shd w:val="clear" w:color="auto" w:fill="FFFFFF"/>
        <w:snapToGrid w:val="0"/>
        <w:spacing w:before="420" w:beforeAutospacing="0" w:after="105" w:afterAutospacing="0" w:line="580" w:lineRule="atLeast"/>
        <w:ind w:firstLineChars="200" w:firstLine="640"/>
        <w:jc w:val="both"/>
        <w:textAlignment w:val="baseline"/>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提高低收入人群自我发展和增收致富能力，巩固提升脱贫成果。健全防止返贫监测和帮扶机制，持续关注脱贫不稳定户、边缘易致贫户和其他农村低收入人口，保持脱贫攻坚政策总体稳定，巩固提升低收入人群义务教育、基本医疗、基本住房保障水平，建立产业、就业等后续帮扶机制，完善农村社会保障和救助制度。持续改善欠发达地区发展条件，巩固提升义务教育、基本医疗、基本住房保障水平，提高低收入人口自我发展和增收致富能力。继续加强脱贫地区基础设施建设，支持脱贫地区乡村特色产业发展壮大，促进脱贫人口稳定就业。加强易地搬迁后续扶持，完善集中安置点配套基础设施和公共服务，强化社区治理和社会管理。强化扶贫项目资金资产管理和监督。深化东西部协作和对口支援、定点帮扶、社会力量参与等帮扶工作，完善产业合作、劳务协作、人才交流等协作机制。争取建成巩固拓展脱贫攻坚成果同乡村振兴有效衔接示范区（县）。</w:t>
      </w:r>
    </w:p>
    <w:p w:rsidR="00E35214" w:rsidRDefault="006F7231">
      <w:pPr>
        <w:pStyle w:val="ad"/>
        <w:shd w:val="clear" w:color="auto" w:fill="FFFFFF"/>
        <w:snapToGrid w:val="0"/>
        <w:spacing w:before="420" w:beforeAutospacing="0" w:after="105" w:afterAutospacing="0" w:line="580" w:lineRule="atLeast"/>
        <w:ind w:firstLineChars="200" w:firstLine="643"/>
        <w:jc w:val="both"/>
        <w:textAlignment w:val="baseline"/>
        <w:rPr>
          <w:rFonts w:ascii="仿宋" w:eastAsia="仿宋" w:hAnsi="仿宋" w:cs="仿宋"/>
          <w:b/>
          <w:sz w:val="32"/>
          <w:szCs w:val="22"/>
          <w:shd w:val="clear" w:color="auto" w:fill="FFFFFF"/>
        </w:rPr>
      </w:pPr>
      <w:r>
        <w:rPr>
          <w:rFonts w:ascii="仿宋" w:eastAsia="仿宋" w:hAnsi="仿宋" w:cs="仿宋" w:hint="eastAsia"/>
          <w:b/>
          <w:sz w:val="32"/>
          <w:szCs w:val="22"/>
          <w:shd w:val="clear" w:color="auto" w:fill="FFFFFF"/>
        </w:rPr>
        <w:t>第四节 强化东西协作推进高质量发展</w:t>
      </w:r>
      <w:bookmarkStart w:id="456" w:name="_Toc19621"/>
      <w:bookmarkStart w:id="457" w:name="_Toc16096"/>
      <w:bookmarkStart w:id="458" w:name="_Toc23709"/>
      <w:bookmarkStart w:id="459" w:name="_Toc4467"/>
      <w:bookmarkStart w:id="460" w:name="_Toc7184"/>
      <w:bookmarkStart w:id="461" w:name="_Toc26490"/>
      <w:bookmarkStart w:id="462" w:name="_Toc2684"/>
      <w:bookmarkStart w:id="463" w:name="_Toc18417"/>
      <w:bookmarkStart w:id="464" w:name="_Toc31171"/>
      <w:bookmarkStart w:id="465" w:name="_Toc20807"/>
    </w:p>
    <w:p w:rsidR="00E35214" w:rsidRDefault="006F7231">
      <w:pPr>
        <w:pStyle w:val="ad"/>
        <w:shd w:val="clear" w:color="auto" w:fill="FFFFFF"/>
        <w:snapToGrid w:val="0"/>
        <w:spacing w:before="420" w:beforeAutospacing="0" w:after="105" w:afterAutospacing="0" w:line="580" w:lineRule="atLeast"/>
        <w:ind w:firstLineChars="200" w:firstLine="640"/>
        <w:jc w:val="both"/>
        <w:textAlignment w:val="baseline"/>
        <w:rPr>
          <w:rFonts w:eastAsia="黑体"/>
          <w:b/>
          <w:sz w:val="32"/>
        </w:rPr>
      </w:pPr>
      <w:r>
        <w:rPr>
          <w:rFonts w:ascii="仿宋" w:eastAsia="仿宋" w:hAnsi="仿宋" w:cs="仿宋" w:hint="eastAsia"/>
          <w:sz w:val="32"/>
          <w:szCs w:val="32"/>
          <w:shd w:val="clear" w:color="auto" w:fill="FFFFFF"/>
        </w:rPr>
        <w:t>深化绍兴上虞区与乐山市金口河区东西全面协作发展，重点在产业扶持、资源开发、基础设施建设和人文交流等方面强化沟通协调，扶持帮扶、交流互补。加强省、市层面工作指导和政策对接，力求在创新发展思路、科学管理人才、</w:t>
      </w:r>
      <w:r>
        <w:rPr>
          <w:rFonts w:ascii="仿宋" w:eastAsia="仿宋" w:hAnsi="仿宋" w:cs="仿宋" w:hint="eastAsia"/>
          <w:sz w:val="32"/>
          <w:szCs w:val="32"/>
          <w:shd w:val="clear" w:color="auto" w:fill="FFFFFF"/>
        </w:rPr>
        <w:lastRenderedPageBreak/>
        <w:t>协作推进项目等方面取得突破，为推进金口河区高质量发展提供资金、技术和智力支持。</w:t>
      </w:r>
    </w:p>
    <w:p w:rsidR="00E35214" w:rsidRDefault="006F7231">
      <w:pPr>
        <w:pStyle w:val="2"/>
        <w:snapToGrid w:val="0"/>
        <w:textAlignment w:val="baseline"/>
      </w:pPr>
      <w:r>
        <w:rPr>
          <w:rFonts w:hint="eastAsia"/>
        </w:rPr>
        <w:t>第二十八章促进城乡融合发展</w:t>
      </w:r>
      <w:bookmarkEnd w:id="456"/>
      <w:bookmarkEnd w:id="457"/>
      <w:bookmarkEnd w:id="458"/>
      <w:bookmarkEnd w:id="459"/>
      <w:bookmarkEnd w:id="460"/>
      <w:bookmarkEnd w:id="461"/>
      <w:bookmarkEnd w:id="462"/>
      <w:bookmarkEnd w:id="463"/>
      <w:bookmarkEnd w:id="464"/>
      <w:bookmarkEnd w:id="465"/>
    </w:p>
    <w:p w:rsidR="00E35214" w:rsidRDefault="006F7231">
      <w:pPr>
        <w:snapToGrid w:val="0"/>
        <w:spacing w:line="580" w:lineRule="exact"/>
        <w:ind w:firstLineChars="200" w:firstLine="640"/>
        <w:textAlignment w:val="baseline"/>
        <w:rPr>
          <w:rFonts w:ascii="仿宋" w:eastAsia="仿宋" w:hAnsi="仿宋" w:cs="仿宋"/>
          <w:sz w:val="20"/>
        </w:rPr>
      </w:pPr>
      <w:r>
        <w:rPr>
          <w:rFonts w:ascii="仿宋" w:eastAsia="仿宋" w:hAnsi="仿宋" w:cs="仿宋" w:hint="eastAsia"/>
          <w:sz w:val="32"/>
          <w:szCs w:val="32"/>
        </w:rPr>
        <w:t>统筹推进城乡基础设施一体化、公共服务共享化、资源要素流动自由化，强化以工补农、以城带乡，加快构建工农互促、城乡互补、协调发展、共同繁荣的新型城乡关系。</w:t>
      </w:r>
    </w:p>
    <w:p w:rsidR="00E35214" w:rsidRDefault="006F7231">
      <w:pPr>
        <w:pStyle w:val="3"/>
        <w:snapToGrid w:val="0"/>
        <w:spacing w:line="580" w:lineRule="exact"/>
        <w:textAlignment w:val="baseline"/>
        <w:rPr>
          <w:rFonts w:ascii="仿宋" w:eastAsia="仿宋" w:hAnsi="仿宋" w:cs="仿宋"/>
          <w:spacing w:val="-6"/>
          <w:szCs w:val="22"/>
        </w:rPr>
      </w:pPr>
      <w:bookmarkStart w:id="466" w:name="_Toc4143"/>
      <w:bookmarkStart w:id="467" w:name="_Toc24509"/>
      <w:bookmarkStart w:id="468" w:name="_Toc19149"/>
      <w:bookmarkStart w:id="469" w:name="_Toc17592"/>
      <w:bookmarkStart w:id="470" w:name="_Toc20310"/>
      <w:bookmarkStart w:id="471" w:name="_Toc11379"/>
      <w:r>
        <w:rPr>
          <w:rFonts w:ascii="仿宋" w:eastAsia="仿宋" w:hAnsi="仿宋" w:cs="仿宋" w:hint="eastAsia"/>
          <w:spacing w:val="-6"/>
          <w:szCs w:val="22"/>
        </w:rPr>
        <w:t>第一节  推进城乡基础设施互联互通</w:t>
      </w:r>
      <w:bookmarkEnd w:id="466"/>
      <w:bookmarkEnd w:id="467"/>
      <w:bookmarkEnd w:id="468"/>
      <w:bookmarkEnd w:id="469"/>
      <w:bookmarkEnd w:id="470"/>
      <w:bookmarkEnd w:id="471"/>
    </w:p>
    <w:p w:rsidR="00E35214" w:rsidRDefault="006F7231">
      <w:pPr>
        <w:snapToGrid w:val="0"/>
        <w:spacing w:line="580" w:lineRule="exact"/>
        <w:ind w:firstLineChars="200" w:firstLine="640"/>
        <w:textAlignment w:val="baseline"/>
        <w:rPr>
          <w:rFonts w:ascii="仿宋" w:eastAsia="仿宋" w:hAnsi="仿宋" w:cs="仿宋"/>
          <w:b/>
          <w:bCs/>
          <w:sz w:val="32"/>
          <w:szCs w:val="32"/>
        </w:rPr>
      </w:pPr>
      <w:r>
        <w:rPr>
          <w:rFonts w:ascii="仿宋" w:eastAsia="仿宋" w:hAnsi="仿宋" w:cs="仿宋" w:hint="eastAsia"/>
          <w:sz w:val="32"/>
          <w:szCs w:val="32"/>
        </w:rPr>
        <w:t>统筹城乡交通网络统一规划建设，推动市政公路向城市郊区乡村和规模较大中心镇延伸，实现县乡村（户）道路联通、城乡道路客运一体化。</w:t>
      </w:r>
      <w:r>
        <w:rPr>
          <w:rFonts w:ascii="仿宋" w:eastAsia="仿宋" w:hAnsi="仿宋" w:cs="仿宋" w:hint="eastAsia"/>
          <w:kern w:val="0"/>
          <w:sz w:val="32"/>
          <w:szCs w:val="32"/>
        </w:rPr>
        <w:t>推动城镇供排水管网向周边重点乡村延伸，推动实现城乡水资源供给配置一体化。加强城乡新型基础设施建设，统筹实施“智慧城市”“数字乡村”建设工程。</w:t>
      </w:r>
    </w:p>
    <w:p w:rsidR="00E35214" w:rsidRDefault="006F7231">
      <w:pPr>
        <w:pStyle w:val="3"/>
        <w:snapToGrid w:val="0"/>
        <w:spacing w:line="580" w:lineRule="exact"/>
        <w:textAlignment w:val="baseline"/>
        <w:rPr>
          <w:rFonts w:ascii="仿宋" w:eastAsia="仿宋" w:hAnsi="仿宋" w:cs="仿宋"/>
          <w:spacing w:val="-6"/>
          <w:szCs w:val="22"/>
        </w:rPr>
      </w:pPr>
      <w:bookmarkStart w:id="472" w:name="_Toc5680"/>
      <w:bookmarkStart w:id="473" w:name="_Toc2844"/>
      <w:bookmarkStart w:id="474" w:name="_Toc29421"/>
      <w:bookmarkStart w:id="475" w:name="_Toc10604"/>
      <w:bookmarkStart w:id="476" w:name="_Toc13063"/>
      <w:bookmarkStart w:id="477" w:name="_Toc18514"/>
      <w:r>
        <w:rPr>
          <w:rFonts w:ascii="仿宋" w:eastAsia="仿宋" w:hAnsi="仿宋" w:cs="仿宋" w:hint="eastAsia"/>
          <w:spacing w:val="-6"/>
          <w:szCs w:val="22"/>
        </w:rPr>
        <w:t>第二节  促进城乡公共服务共建共享</w:t>
      </w:r>
      <w:bookmarkEnd w:id="472"/>
      <w:bookmarkEnd w:id="473"/>
      <w:bookmarkEnd w:id="474"/>
      <w:bookmarkEnd w:id="475"/>
      <w:bookmarkEnd w:id="476"/>
      <w:bookmarkEnd w:id="477"/>
    </w:p>
    <w:p w:rsidR="00E35214" w:rsidRDefault="006F7231">
      <w:pPr>
        <w:snapToGrid w:val="0"/>
        <w:spacing w:line="597" w:lineRule="exact"/>
        <w:ind w:firstLineChars="200" w:firstLine="640"/>
        <w:textAlignment w:val="baseline"/>
        <w:rPr>
          <w:rFonts w:ascii="仿宋" w:eastAsia="仿宋" w:hAnsi="仿宋" w:cs="仿宋"/>
          <w:sz w:val="20"/>
        </w:rPr>
      </w:pPr>
      <w:r>
        <w:rPr>
          <w:rFonts w:ascii="仿宋" w:eastAsia="仿宋" w:hAnsi="仿宋" w:cs="仿宋" w:hint="eastAsia"/>
          <w:sz w:val="32"/>
          <w:szCs w:val="32"/>
        </w:rPr>
        <w:t>实施城乡教育信息化、数字化工程，推动城区优质中小学与乡镇联合办学，远程共享优质教育资源，推动实现城乡义务教育均衡发展。深化城乡医疗卫生体制改革，支持区人民医院与乡镇卫生院建立医联体，推动实现优质医疗卫生服务向乡村延伸供给。统筹城乡数字文化图书馆建设，推进乡村两级综合性文化服务中心建设，推动城镇文化资源供给向</w:t>
      </w:r>
      <w:r>
        <w:rPr>
          <w:rFonts w:ascii="仿宋" w:eastAsia="仿宋" w:hAnsi="仿宋" w:cs="仿宋" w:hint="eastAsia"/>
          <w:sz w:val="32"/>
          <w:szCs w:val="32"/>
        </w:rPr>
        <w:lastRenderedPageBreak/>
        <w:t>农村延伸覆盖。健全统一的城乡社会保险、医疗救助、社会救助制度。</w:t>
      </w:r>
      <w:r>
        <w:rPr>
          <w:rFonts w:ascii="仿宋" w:eastAsia="仿宋" w:hAnsi="仿宋" w:cs="仿宋" w:hint="eastAsia"/>
          <w:spacing w:val="-6"/>
          <w:sz w:val="32"/>
          <w:szCs w:val="32"/>
        </w:rPr>
        <w:t>建设数字农村，加快农村地区新型基础设施建设和信息技术应用，弥补城乡数字鸿沟，提升农村社会治理信息化智能化水平。</w:t>
      </w:r>
    </w:p>
    <w:p w:rsidR="00E35214" w:rsidRDefault="00E35214">
      <w:pPr>
        <w:pStyle w:val="NewNewNewNewNewNewNewNewNewNewNewNewNewNewNewNew"/>
        <w:snapToGrid w:val="0"/>
        <w:spacing w:line="580" w:lineRule="exact"/>
        <w:ind w:firstLine="640"/>
        <w:textAlignment w:val="baseline"/>
        <w:rPr>
          <w:rFonts w:ascii="仿宋" w:eastAsia="仿宋" w:hAnsi="仿宋" w:cs="仿宋"/>
          <w:sz w:val="32"/>
          <w:szCs w:val="32"/>
        </w:rPr>
      </w:pPr>
    </w:p>
    <w:p w:rsidR="00E35214" w:rsidRDefault="006F7231">
      <w:pPr>
        <w:pStyle w:val="3"/>
        <w:snapToGrid w:val="0"/>
        <w:spacing w:line="580" w:lineRule="exact"/>
        <w:textAlignment w:val="baseline"/>
        <w:rPr>
          <w:rFonts w:ascii="仿宋" w:eastAsia="仿宋" w:hAnsi="仿宋" w:cs="仿宋"/>
          <w:spacing w:val="-6"/>
          <w:szCs w:val="22"/>
        </w:rPr>
      </w:pPr>
      <w:bookmarkStart w:id="478" w:name="_Toc1751"/>
      <w:bookmarkStart w:id="479" w:name="_Toc21967"/>
      <w:bookmarkStart w:id="480" w:name="_Toc12411"/>
      <w:bookmarkStart w:id="481" w:name="_Toc8496"/>
      <w:bookmarkStart w:id="482" w:name="_Toc28193"/>
      <w:bookmarkStart w:id="483" w:name="_Toc7013"/>
      <w:r>
        <w:rPr>
          <w:rFonts w:ascii="仿宋" w:eastAsia="仿宋" w:hAnsi="仿宋" w:cs="仿宋" w:hint="eastAsia"/>
          <w:spacing w:val="-6"/>
          <w:szCs w:val="22"/>
        </w:rPr>
        <w:t>第三节  完善城乡要素自由流动机制</w:t>
      </w:r>
      <w:bookmarkEnd w:id="478"/>
      <w:bookmarkEnd w:id="479"/>
      <w:bookmarkEnd w:id="480"/>
      <w:bookmarkEnd w:id="481"/>
      <w:bookmarkEnd w:id="482"/>
      <w:bookmarkEnd w:id="483"/>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建立健全农村产权、教育保障、医疗保险、住房保障等制度机制，进一步完善推进户籍制度改革配套措施，积极引导农业人口有序向城镇转移，推进农业转移人口市民化。落实返乡入乡人员创业扶持政策，激励引导城市人才入乡。完善农村承包地“三权分置”制度，推动农村土地有序流转。通过以奖代补、政府和社会资本合作、贷款贴息、风险补偿等方式，撬动各类社会资本参与乡村振兴。</w:t>
      </w:r>
    </w:p>
    <w:p w:rsidR="00E35214" w:rsidRDefault="006F7231">
      <w:pPr>
        <w:pStyle w:val="NewNewNewNewNewNewNewNewNewNewNewNewNewNewNewNew"/>
        <w:snapToGrid w:val="0"/>
        <w:spacing w:line="240" w:lineRule="auto"/>
        <w:ind w:firstLineChars="0" w:firstLine="0"/>
        <w:jc w:val="center"/>
        <w:textAlignment w:val="baseline"/>
        <w:rPr>
          <w:rFonts w:ascii="楷体" w:eastAsia="楷体" w:hAnsi="楷体" w:cs="仿宋"/>
          <w:b/>
          <w:bCs/>
          <w:spacing w:val="-6"/>
          <w:sz w:val="28"/>
          <w:szCs w:val="28"/>
        </w:rPr>
      </w:pPr>
      <w:r>
        <w:rPr>
          <w:rFonts w:ascii="楷体" w:eastAsia="楷体" w:hAnsi="楷体" w:cs="仿宋" w:hint="eastAsia"/>
          <w:b/>
          <w:bCs/>
          <w:spacing w:val="-6"/>
          <w:sz w:val="28"/>
          <w:szCs w:val="28"/>
        </w:rPr>
        <w:t>专栏20乡村振兴重点项目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E35214">
        <w:trPr>
          <w:trHeight w:val="573"/>
        </w:trPr>
        <w:tc>
          <w:tcPr>
            <w:tcW w:w="8522" w:type="dxa"/>
            <w:tcBorders>
              <w:top w:val="single" w:sz="4" w:space="0" w:color="auto"/>
              <w:left w:val="single" w:sz="4" w:space="0" w:color="auto"/>
              <w:bottom w:val="single" w:sz="4" w:space="0" w:color="auto"/>
              <w:right w:val="single" w:sz="4" w:space="0" w:color="auto"/>
            </w:tcBorders>
          </w:tcPr>
          <w:p w:rsidR="00E35214" w:rsidRDefault="006F7231">
            <w:pPr>
              <w:pStyle w:val="ac"/>
              <w:snapToGrid w:val="0"/>
              <w:spacing w:line="420" w:lineRule="exact"/>
              <w:ind w:leftChars="219" w:left="460" w:firstLineChars="0" w:firstLine="0"/>
              <w:jc w:val="left"/>
              <w:textAlignment w:val="baseline"/>
              <w:rPr>
                <w:rFonts w:ascii="楷体" w:eastAsia="楷体" w:hAnsi="楷体" w:cs="楷体"/>
                <w:spacing w:val="-6"/>
                <w:sz w:val="24"/>
              </w:rPr>
            </w:pPr>
            <w:r>
              <w:rPr>
                <w:rFonts w:ascii="楷体" w:eastAsia="楷体" w:hAnsi="楷体" w:cs="楷体" w:hint="eastAsia"/>
                <w:b/>
                <w:bCs/>
                <w:spacing w:val="-6"/>
                <w:sz w:val="24"/>
              </w:rPr>
              <w:t>美丽宜居乡村建设工程。</w:t>
            </w:r>
            <w:r>
              <w:rPr>
                <w:rFonts w:ascii="楷体" w:eastAsia="楷体" w:hAnsi="楷体" w:cs="楷体" w:hint="eastAsia"/>
                <w:spacing w:val="-6"/>
                <w:sz w:val="24"/>
              </w:rPr>
              <w:t>提升“四好村”、美丽新村、旅游扶贫示范村品质，巩固提升农村危旧房改造，因地制宜建设一批特色鲜明、充满魅力的田园综合体、产村融合体和新型业态村。</w:t>
            </w:r>
          </w:p>
          <w:p w:rsidR="00E35214" w:rsidRDefault="006F7231">
            <w:pPr>
              <w:pStyle w:val="ac"/>
              <w:snapToGrid w:val="0"/>
              <w:spacing w:line="420" w:lineRule="exact"/>
              <w:ind w:leftChars="219" w:left="460" w:firstLineChars="0" w:firstLine="0"/>
              <w:jc w:val="left"/>
              <w:textAlignment w:val="baseline"/>
              <w:rPr>
                <w:rFonts w:ascii="楷体" w:eastAsia="楷体" w:hAnsi="楷体" w:cs="楷体"/>
                <w:spacing w:val="-6"/>
                <w:sz w:val="24"/>
              </w:rPr>
            </w:pPr>
            <w:r>
              <w:rPr>
                <w:rFonts w:ascii="楷体" w:eastAsia="楷体" w:hAnsi="楷体" w:cs="楷体" w:hint="eastAsia"/>
                <w:b/>
                <w:bCs/>
                <w:spacing w:val="-6"/>
                <w:sz w:val="24"/>
              </w:rPr>
              <w:t>农村人居环境整治工程。</w:t>
            </w:r>
            <w:r>
              <w:rPr>
                <w:rFonts w:ascii="楷体" w:eastAsia="楷体" w:hAnsi="楷体" w:cs="楷体" w:hint="eastAsia"/>
                <w:spacing w:val="-6"/>
                <w:sz w:val="24"/>
              </w:rPr>
              <w:t>改造升级农村生活垃圾和生活污水处理设施，推进农村生活污水治理，改建改造农村户用厕所、乡村公共厕所和乡村旅游厕所。</w:t>
            </w:r>
          </w:p>
          <w:p w:rsidR="00E35214" w:rsidRDefault="006F7231">
            <w:pPr>
              <w:pStyle w:val="ac"/>
              <w:snapToGrid w:val="0"/>
              <w:spacing w:line="420" w:lineRule="exact"/>
              <w:ind w:leftChars="219" w:left="460" w:firstLineChars="0" w:firstLine="0"/>
              <w:jc w:val="left"/>
              <w:textAlignment w:val="baseline"/>
              <w:rPr>
                <w:rFonts w:ascii="仿宋" w:eastAsia="仿宋" w:hAnsi="仿宋" w:cs="仿宋"/>
                <w:spacing w:val="-6"/>
                <w:sz w:val="24"/>
              </w:rPr>
            </w:pPr>
            <w:r>
              <w:rPr>
                <w:rFonts w:ascii="楷体" w:eastAsia="楷体" w:hAnsi="楷体" w:cs="楷体" w:hint="eastAsia"/>
                <w:b/>
                <w:bCs/>
                <w:spacing w:val="-6"/>
                <w:sz w:val="24"/>
              </w:rPr>
              <w:t>农村公共服务设施提升工程。</w:t>
            </w:r>
            <w:r>
              <w:rPr>
                <w:rFonts w:ascii="楷体" w:eastAsia="楷体" w:hAnsi="楷体" w:cs="楷体" w:hint="eastAsia"/>
                <w:spacing w:val="-6"/>
                <w:sz w:val="24"/>
              </w:rPr>
              <w:t>实施农村教育质量提升工程，新建和改扩建中小学以及幼儿园配套设施。实施健康乡村建设计划，确保每个建制乡镇都有1所乡镇卫生院、每个村完善1所村卫生室。实施农村文化惠民工程，建成10个农村精神文明建设示范点。</w:t>
            </w:r>
          </w:p>
        </w:tc>
      </w:tr>
    </w:tbl>
    <w:p w:rsidR="00E35214" w:rsidRDefault="006F7231">
      <w:pPr>
        <w:snapToGrid w:val="0"/>
        <w:spacing w:before="340" w:after="330" w:line="576" w:lineRule="auto"/>
        <w:jc w:val="center"/>
        <w:textAlignment w:val="baseline"/>
        <w:rPr>
          <w:rFonts w:eastAsia="黑体"/>
          <w:b/>
          <w:bCs/>
          <w:kern w:val="44"/>
          <w:sz w:val="36"/>
          <w:szCs w:val="44"/>
        </w:rPr>
      </w:pPr>
      <w:r>
        <w:rPr>
          <w:rFonts w:ascii="仿宋" w:eastAsia="仿宋" w:hAnsi="仿宋" w:cs="仿宋"/>
          <w:sz w:val="32"/>
          <w:szCs w:val="32"/>
        </w:rPr>
        <w:br w:type="page"/>
      </w:r>
    </w:p>
    <w:p w:rsidR="00E35214" w:rsidRDefault="006F7231">
      <w:pPr>
        <w:snapToGrid w:val="0"/>
        <w:spacing w:before="340" w:after="330" w:line="576" w:lineRule="auto"/>
        <w:jc w:val="center"/>
        <w:textAlignment w:val="baseline"/>
        <w:rPr>
          <w:rFonts w:eastAsia="黑体"/>
          <w:b/>
          <w:sz w:val="36"/>
        </w:rPr>
      </w:pPr>
      <w:bookmarkStart w:id="484" w:name="_Toc5471"/>
      <w:bookmarkStart w:id="485" w:name="_Toc28091"/>
      <w:bookmarkStart w:id="486" w:name="_Toc2859"/>
      <w:bookmarkStart w:id="487" w:name="_Toc11098"/>
      <w:bookmarkStart w:id="488" w:name="_Toc1706"/>
      <w:bookmarkStart w:id="489" w:name="_Toc28649"/>
      <w:bookmarkStart w:id="490" w:name="_Toc4416"/>
      <w:bookmarkStart w:id="491" w:name="_Toc5922"/>
      <w:bookmarkStart w:id="492" w:name="_Toc28785"/>
      <w:bookmarkStart w:id="493" w:name="_Toc30960"/>
      <w:r>
        <w:rPr>
          <w:rFonts w:eastAsia="黑体" w:hint="eastAsia"/>
          <w:b/>
          <w:bCs/>
          <w:kern w:val="44"/>
          <w:sz w:val="36"/>
          <w:szCs w:val="44"/>
        </w:rPr>
        <w:lastRenderedPageBreak/>
        <w:t>第八篇强化创新驱动，建设活力金口河</w:t>
      </w:r>
      <w:bookmarkEnd w:id="484"/>
      <w:bookmarkEnd w:id="485"/>
      <w:bookmarkEnd w:id="486"/>
      <w:bookmarkEnd w:id="487"/>
      <w:bookmarkEnd w:id="488"/>
      <w:bookmarkEnd w:id="489"/>
      <w:bookmarkEnd w:id="490"/>
      <w:bookmarkEnd w:id="491"/>
      <w:bookmarkEnd w:id="492"/>
      <w:bookmarkEnd w:id="493"/>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坚持改革引领、创新驱动、人才支撑，着力破除体制障碍和要素制约，培育高质量发展动力源。</w:t>
      </w:r>
    </w:p>
    <w:p w:rsidR="00E35214" w:rsidRDefault="00E35214">
      <w:pPr>
        <w:pStyle w:val="2"/>
        <w:snapToGrid w:val="0"/>
        <w:textAlignment w:val="baseline"/>
      </w:pPr>
      <w:bookmarkStart w:id="494" w:name="_Toc13795"/>
      <w:bookmarkStart w:id="495" w:name="_Toc6659"/>
      <w:bookmarkStart w:id="496" w:name="_Toc1736"/>
      <w:bookmarkStart w:id="497" w:name="_Toc20192"/>
      <w:bookmarkStart w:id="498" w:name="_Toc23972"/>
      <w:bookmarkStart w:id="499" w:name="_Toc12727"/>
      <w:bookmarkStart w:id="500" w:name="_Toc24931"/>
      <w:bookmarkStart w:id="501" w:name="_Toc28344"/>
      <w:bookmarkStart w:id="502" w:name="_Toc24975"/>
      <w:bookmarkStart w:id="503" w:name="_Toc31256"/>
    </w:p>
    <w:p w:rsidR="00E35214" w:rsidRDefault="006F7231">
      <w:pPr>
        <w:pStyle w:val="2"/>
        <w:snapToGrid w:val="0"/>
        <w:textAlignment w:val="baseline"/>
      </w:pPr>
      <w:r>
        <w:rPr>
          <w:rFonts w:hint="eastAsia"/>
        </w:rPr>
        <w:t>第二十九章深化重点领域改革</w:t>
      </w:r>
      <w:bookmarkEnd w:id="494"/>
      <w:bookmarkEnd w:id="495"/>
      <w:bookmarkEnd w:id="496"/>
      <w:bookmarkEnd w:id="497"/>
      <w:bookmarkEnd w:id="498"/>
      <w:bookmarkEnd w:id="499"/>
      <w:bookmarkEnd w:id="500"/>
      <w:bookmarkEnd w:id="501"/>
      <w:bookmarkEnd w:id="502"/>
      <w:bookmarkEnd w:id="503"/>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深化行政、经济、农业农村等重点领域和关键环节改革，创造新机制、营造新氛围、激发新动能，推动有效市场和有为政府更好结合。</w:t>
      </w:r>
      <w:r>
        <w:rPr>
          <w:rFonts w:ascii="仿宋" w:eastAsia="仿宋" w:hAnsi="仿宋" w:cs="仿宋" w:hint="eastAsia"/>
          <w:kern w:val="0"/>
          <w:sz w:val="32"/>
          <w:szCs w:val="32"/>
        </w:rPr>
        <w:t>全面落实全面深化改革各项部署，积极争取中央、省、市改革试点，探索形成更多“金口河样本”。</w:t>
      </w:r>
    </w:p>
    <w:p w:rsidR="00E35214" w:rsidRDefault="006F7231">
      <w:pPr>
        <w:pStyle w:val="3"/>
        <w:snapToGrid w:val="0"/>
        <w:spacing w:line="580" w:lineRule="exact"/>
        <w:textAlignment w:val="baseline"/>
        <w:rPr>
          <w:rFonts w:ascii="仿宋" w:eastAsia="仿宋" w:hAnsi="仿宋" w:cs="仿宋"/>
          <w:spacing w:val="-6"/>
          <w:szCs w:val="22"/>
        </w:rPr>
      </w:pPr>
      <w:bookmarkStart w:id="504" w:name="_Toc27176"/>
      <w:bookmarkStart w:id="505" w:name="_Toc13741"/>
      <w:bookmarkStart w:id="506" w:name="_Toc10211"/>
      <w:bookmarkStart w:id="507" w:name="_Toc9923"/>
      <w:bookmarkStart w:id="508" w:name="_Toc15616"/>
      <w:bookmarkStart w:id="509" w:name="_Toc26843"/>
      <w:r>
        <w:rPr>
          <w:rFonts w:ascii="仿宋" w:eastAsia="仿宋" w:hAnsi="仿宋" w:cs="仿宋" w:hint="eastAsia"/>
          <w:spacing w:val="-6"/>
          <w:szCs w:val="22"/>
        </w:rPr>
        <w:t>第一节  深化行政体制改革</w:t>
      </w:r>
      <w:bookmarkEnd w:id="504"/>
      <w:bookmarkEnd w:id="505"/>
      <w:bookmarkEnd w:id="506"/>
      <w:bookmarkEnd w:id="507"/>
      <w:bookmarkEnd w:id="508"/>
      <w:bookmarkEnd w:id="509"/>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全面深化“放管服”改革，实施市场准入负面清单制度，进一步精简行政审批事项，压减企业投资项目立项到办理施工许可时间，严肃查处影响、破坏营商环境的行为，着力打造“政策最优、成本最低、服务最好、办事最快”的一流营商环境。推动“互联网</w:t>
      </w:r>
      <w:r>
        <w:rPr>
          <w:rFonts w:ascii="仿宋" w:eastAsia="仿宋" w:hAnsi="仿宋" w:cs="仿宋"/>
          <w:sz w:val="32"/>
          <w:szCs w:val="32"/>
        </w:rPr>
        <w:t>+政务服务”建设，建立集综合治理、市场监管、综合执法、公共服务、政务公开等功能于一体的统一平台，实现政务信息共享，推动政务服务智能化、信息化、云端化，探索实施“无证明城市”改革。</w:t>
      </w:r>
    </w:p>
    <w:p w:rsidR="00E35214" w:rsidRDefault="006F7231">
      <w:pPr>
        <w:pStyle w:val="3"/>
        <w:snapToGrid w:val="0"/>
        <w:spacing w:line="580" w:lineRule="exact"/>
        <w:textAlignment w:val="baseline"/>
        <w:rPr>
          <w:rFonts w:ascii="仿宋" w:eastAsia="仿宋" w:hAnsi="仿宋" w:cs="仿宋"/>
          <w:spacing w:val="-6"/>
          <w:szCs w:val="22"/>
        </w:rPr>
      </w:pPr>
      <w:bookmarkStart w:id="510" w:name="_Toc15681"/>
      <w:bookmarkStart w:id="511" w:name="_Toc20296"/>
      <w:bookmarkStart w:id="512" w:name="_Toc14044"/>
      <w:bookmarkStart w:id="513" w:name="_Toc30559"/>
      <w:bookmarkStart w:id="514" w:name="_Toc12337"/>
      <w:bookmarkStart w:id="515" w:name="_Toc1753"/>
      <w:r>
        <w:rPr>
          <w:rFonts w:ascii="仿宋" w:eastAsia="仿宋" w:hAnsi="仿宋" w:cs="仿宋" w:hint="eastAsia"/>
          <w:spacing w:val="-6"/>
          <w:szCs w:val="22"/>
        </w:rPr>
        <w:lastRenderedPageBreak/>
        <w:t>第二节  深化经济体制改革</w:t>
      </w:r>
      <w:bookmarkEnd w:id="510"/>
      <w:bookmarkEnd w:id="511"/>
      <w:bookmarkEnd w:id="512"/>
      <w:bookmarkEnd w:id="513"/>
      <w:bookmarkEnd w:id="514"/>
      <w:bookmarkEnd w:id="515"/>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深化投融资体制改革，创新投融资体制机制，鼓励民间资本规范有序参与项目建设，促进政府和社会资本合作（</w:t>
      </w:r>
      <w:r>
        <w:rPr>
          <w:rFonts w:ascii="仿宋" w:eastAsia="仿宋" w:hAnsi="仿宋" w:cs="仿宋"/>
          <w:sz w:val="32"/>
          <w:szCs w:val="32"/>
        </w:rPr>
        <w:t>PPP）模式更好发展，不断激发民间投资活力，增强经济内生增长动力。强化财税制度改革，健全预算管理制度，探索建立财政产业类支持资金分配拨付与项目产出效益挂钩机制。深化混合所有制改革，加快完善中国特色现代企业制度，健全市场化经营机制和激励机制，推动国有资本运营平台改革试点，加强国有资产监管。推动金融体制改革，降低中小企业融资隐形成本，健全融资担保体系。推进资源管理改革，探索资源效益与经济社会发展相联接的发展机制，科学有序开发重点资源。</w:t>
      </w:r>
    </w:p>
    <w:p w:rsidR="00E35214" w:rsidRDefault="006F7231">
      <w:pPr>
        <w:pStyle w:val="3"/>
        <w:snapToGrid w:val="0"/>
        <w:spacing w:line="580" w:lineRule="exact"/>
        <w:textAlignment w:val="baseline"/>
        <w:rPr>
          <w:rFonts w:ascii="仿宋" w:eastAsia="仿宋" w:hAnsi="仿宋" w:cs="仿宋"/>
          <w:spacing w:val="-6"/>
          <w:szCs w:val="22"/>
        </w:rPr>
      </w:pPr>
      <w:bookmarkStart w:id="516" w:name="_Toc19852"/>
      <w:bookmarkStart w:id="517" w:name="_Toc10901"/>
      <w:r>
        <w:rPr>
          <w:rFonts w:ascii="仿宋" w:eastAsia="仿宋" w:hAnsi="仿宋" w:cs="仿宋" w:hint="eastAsia"/>
          <w:spacing w:val="-6"/>
          <w:szCs w:val="22"/>
        </w:rPr>
        <w:t>第三节  深化国资国企改革</w:t>
      </w:r>
      <w:bookmarkEnd w:id="516"/>
      <w:bookmarkEnd w:id="517"/>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深化国资国企改革，提高国有企业活力和效率，推动国有资本和国有企业做强做优做大。完善法人治理结构，以建立产权清晰、权责明确、政企分开、管理科学的现代企业制度为目标，健全权责对等、运转协调、有效制衡的决策执行监督机制。推行职业经理人制度，实行内部培养和外部引进相结合，按市场化方式选聘和管理职业经理人。完善企业公开招聘、竞争上岗、择优录用的制度和程序。统筹整合资源，推进优势国有资产集中集聚，引导企业推进内部业务板块整合，提高配置效率。加大与银行、担保公司、证券公司等金</w:t>
      </w:r>
      <w:r>
        <w:rPr>
          <w:rFonts w:ascii="仿宋" w:eastAsia="仿宋" w:hAnsi="仿宋" w:cs="仿宋" w:hint="eastAsia"/>
          <w:sz w:val="32"/>
          <w:szCs w:val="32"/>
        </w:rPr>
        <w:lastRenderedPageBreak/>
        <w:t>融机构的衔接力度，持续开展“政银企对接活动”，创新融资模式，降低融资成本。建立健全覆盖重大决策、人事任免、内部控制、法务、运营管理和激励约束的制度体系，形成权、责、利对等的运行制度。建立健全内部财务审批制度，明确审批程序和审批权限。在保障企业法人财产权和经营自主权基础上，实行财务集中核算和资金统一监管调度。对已建成的有收益性项目，通过资产证券化、政府和社会资本合作等方式，重新进行资产盘活。</w:t>
      </w:r>
    </w:p>
    <w:p w:rsidR="00E35214" w:rsidRDefault="006F7231">
      <w:pPr>
        <w:pStyle w:val="3"/>
        <w:snapToGrid w:val="0"/>
        <w:spacing w:line="580" w:lineRule="exact"/>
        <w:textAlignment w:val="baseline"/>
        <w:rPr>
          <w:rFonts w:ascii="仿宋" w:eastAsia="仿宋" w:hAnsi="仿宋" w:cs="仿宋"/>
          <w:spacing w:val="-6"/>
          <w:szCs w:val="22"/>
        </w:rPr>
      </w:pPr>
      <w:bookmarkStart w:id="518" w:name="_Toc8409"/>
      <w:bookmarkStart w:id="519" w:name="_Toc25142"/>
      <w:r>
        <w:rPr>
          <w:rFonts w:ascii="仿宋" w:eastAsia="仿宋" w:hAnsi="仿宋" w:cs="仿宋" w:hint="eastAsia"/>
          <w:spacing w:val="-6"/>
          <w:szCs w:val="22"/>
        </w:rPr>
        <w:t>第四节  深化财税体制改革</w:t>
      </w:r>
      <w:bookmarkEnd w:id="518"/>
      <w:bookmarkEnd w:id="519"/>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kern w:val="0"/>
          <w:sz w:val="32"/>
          <w:szCs w:val="32"/>
        </w:rPr>
        <w:t>深化财税体制改革，建立产业发展引导基金，加快转变财政支持发展方式。</w:t>
      </w:r>
      <w:r>
        <w:rPr>
          <w:rFonts w:ascii="仿宋" w:eastAsia="仿宋" w:hAnsi="仿宋" w:cs="仿宋" w:hint="eastAsia"/>
          <w:sz w:val="32"/>
          <w:szCs w:val="32"/>
        </w:rPr>
        <w:t>按照系统集成、协同高效的要求，建立现代财税体制。深化预算管理制度改革，强化预算约束和绩效管理，不断提升财政资源配置效率和资金使用效益。建立健全有利于高质量发展、社会公平、市场统一的税收制度体系，优化税制结构，同时提高税收征管效能。进一步健全政府债务管理制度，完善规范、安全、高效的政府举债融资机制。</w:t>
      </w:r>
    </w:p>
    <w:p w:rsidR="00E35214" w:rsidRDefault="00E35214">
      <w:pPr>
        <w:pStyle w:val="2"/>
        <w:snapToGrid w:val="0"/>
        <w:textAlignment w:val="baseline"/>
      </w:pPr>
      <w:bookmarkStart w:id="520" w:name="_Toc31889"/>
      <w:bookmarkStart w:id="521" w:name="_Toc27237"/>
      <w:bookmarkStart w:id="522" w:name="_Toc13397"/>
      <w:bookmarkStart w:id="523" w:name="_Toc3197"/>
      <w:bookmarkStart w:id="524" w:name="_Toc20007"/>
      <w:bookmarkStart w:id="525" w:name="_Toc26912"/>
      <w:bookmarkStart w:id="526" w:name="_Toc14414"/>
      <w:bookmarkStart w:id="527" w:name="_Toc4216"/>
      <w:bookmarkStart w:id="528" w:name="_Toc10808"/>
      <w:bookmarkStart w:id="529" w:name="_Toc16105"/>
    </w:p>
    <w:p w:rsidR="00E35214" w:rsidRDefault="006F7231">
      <w:pPr>
        <w:pStyle w:val="2"/>
        <w:snapToGrid w:val="0"/>
        <w:textAlignment w:val="baseline"/>
      </w:pPr>
      <w:r>
        <w:rPr>
          <w:rFonts w:hint="eastAsia"/>
        </w:rPr>
        <w:t>第三十章健全现代市场体系</w:t>
      </w:r>
      <w:bookmarkEnd w:id="520"/>
      <w:bookmarkEnd w:id="521"/>
      <w:bookmarkEnd w:id="522"/>
      <w:bookmarkEnd w:id="523"/>
      <w:bookmarkEnd w:id="524"/>
      <w:bookmarkEnd w:id="525"/>
      <w:bookmarkEnd w:id="526"/>
      <w:bookmarkEnd w:id="527"/>
      <w:bookmarkEnd w:id="528"/>
      <w:bookmarkEnd w:id="529"/>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充分发挥市场配置资源的决定性作用，营造公平竞争市场环境，健全现代市场体系，进一步激发市场主体活力。</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530" w:name="_Toc13751"/>
      <w:bookmarkStart w:id="531" w:name="_Toc6977"/>
      <w:bookmarkStart w:id="532" w:name="_Toc22205"/>
      <w:bookmarkStart w:id="533" w:name="_Toc5965"/>
      <w:bookmarkStart w:id="534" w:name="_Toc25662"/>
      <w:bookmarkStart w:id="535" w:name="_Toc10925"/>
      <w:r>
        <w:rPr>
          <w:rFonts w:ascii="仿宋" w:eastAsia="仿宋" w:hAnsi="仿宋" w:cs="仿宋" w:hint="eastAsia"/>
          <w:spacing w:val="-6"/>
          <w:szCs w:val="22"/>
        </w:rPr>
        <w:lastRenderedPageBreak/>
        <w:t>第一节  推动要素市场化配置</w:t>
      </w:r>
      <w:bookmarkEnd w:id="530"/>
      <w:bookmarkEnd w:id="531"/>
      <w:bookmarkEnd w:id="532"/>
      <w:bookmarkEnd w:id="533"/>
      <w:bookmarkEnd w:id="534"/>
      <w:bookmarkEnd w:id="535"/>
    </w:p>
    <w:p w:rsidR="00E35214" w:rsidRDefault="006F7231">
      <w:pPr>
        <w:snapToGrid w:val="0"/>
        <w:spacing w:line="580" w:lineRule="atLeas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推进土地要素市场化配置改革，实行分类管理和差异化土地供给，盘活存量土地。</w:t>
      </w:r>
      <w:r>
        <w:rPr>
          <w:rFonts w:ascii="仿宋" w:eastAsia="仿宋" w:hAnsi="仿宋" w:cs="仿宋" w:hint="eastAsia"/>
          <w:spacing w:val="-6"/>
          <w:sz w:val="32"/>
          <w:szCs w:val="32"/>
        </w:rPr>
        <w:t>加快发展资本、技术等关键要素市场，推动要素市场与实体经济需求相适应。健全要素市场运行机制，拓展公共资源交易平台功能，完善要素交易规则和服务体系。</w:t>
      </w:r>
      <w:r>
        <w:rPr>
          <w:rFonts w:ascii="仿宋" w:eastAsia="仿宋" w:hAnsi="仿宋" w:cs="仿宋" w:hint="eastAsia"/>
          <w:kern w:val="0"/>
          <w:sz w:val="32"/>
          <w:szCs w:val="32"/>
        </w:rPr>
        <w:t>加快推进电力体制改革，争取直购电、富余电量、留存电量市场化交易政策。</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536" w:name="_Toc23229"/>
      <w:bookmarkStart w:id="537" w:name="_Toc23239"/>
      <w:bookmarkStart w:id="538" w:name="_Toc30813"/>
      <w:bookmarkStart w:id="539" w:name="_Toc7017"/>
      <w:bookmarkStart w:id="540" w:name="_Toc9433"/>
      <w:bookmarkStart w:id="541" w:name="_Toc27249"/>
      <w:r>
        <w:rPr>
          <w:rFonts w:ascii="仿宋" w:eastAsia="仿宋" w:hAnsi="仿宋" w:cs="仿宋" w:hint="eastAsia"/>
          <w:spacing w:val="-6"/>
          <w:szCs w:val="22"/>
        </w:rPr>
        <w:t>第二节  营造公平竞争市场环境</w:t>
      </w:r>
      <w:bookmarkEnd w:id="536"/>
      <w:bookmarkEnd w:id="537"/>
      <w:bookmarkEnd w:id="538"/>
      <w:bookmarkEnd w:id="539"/>
      <w:bookmarkEnd w:id="540"/>
      <w:bookmarkEnd w:id="541"/>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实施统一的市场准入负面清单制度，建立市场准入评估制度，定期评估、排查、清理各类显性和隐性壁垒，推动“非禁即入”普遍落实，改革生产许可制度。健全产权执法司法保护制度，推动知识产权市场化运营。健全公平竞争审查机制，推动“互联网</w:t>
      </w:r>
      <w:r>
        <w:rPr>
          <w:rFonts w:ascii="仿宋" w:eastAsia="仿宋" w:hAnsi="仿宋" w:cs="仿宋"/>
          <w:spacing w:val="-6"/>
          <w:sz w:val="32"/>
          <w:szCs w:val="32"/>
        </w:rPr>
        <w:t>+监管”，强化不正当竞争行为监管和惩治力度，加强事中事后监管。规范政府市场行为，建立政府失信责任追溯和承担机制，持续整顿“新官不理旧账”、账款拖欠等问题。完善社会信用体系建设，培育和弘扬公平竞争文化，进一步营造公平竞争的社会环境。</w:t>
      </w:r>
    </w:p>
    <w:p w:rsidR="00E35214" w:rsidRDefault="006F7231">
      <w:pPr>
        <w:pStyle w:val="2"/>
        <w:snapToGrid w:val="0"/>
        <w:textAlignment w:val="baseline"/>
      </w:pPr>
      <w:bookmarkStart w:id="542" w:name="_Toc12793"/>
      <w:bookmarkStart w:id="543" w:name="_Toc5051"/>
      <w:bookmarkStart w:id="544" w:name="_Toc29332"/>
      <w:bookmarkStart w:id="545" w:name="_Toc10007"/>
      <w:bookmarkStart w:id="546" w:name="_Toc27477"/>
      <w:bookmarkStart w:id="547" w:name="_Toc3539"/>
      <w:bookmarkStart w:id="548" w:name="_Toc25387"/>
      <w:bookmarkStart w:id="549" w:name="_Toc14908"/>
      <w:bookmarkStart w:id="550" w:name="_Toc4757"/>
      <w:bookmarkStart w:id="551" w:name="_Toc30658"/>
      <w:r>
        <w:rPr>
          <w:rFonts w:hint="eastAsia"/>
        </w:rPr>
        <w:t>第三十一章实施人才强区战略</w:t>
      </w:r>
      <w:bookmarkEnd w:id="542"/>
      <w:bookmarkEnd w:id="543"/>
      <w:bookmarkEnd w:id="544"/>
      <w:bookmarkEnd w:id="545"/>
      <w:bookmarkEnd w:id="546"/>
      <w:bookmarkEnd w:id="547"/>
      <w:bookmarkEnd w:id="548"/>
      <w:bookmarkEnd w:id="549"/>
      <w:bookmarkEnd w:id="550"/>
      <w:bookmarkEnd w:id="551"/>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围绕人才引进、培养、使用、管理等创新体制机制，持续推进系列人才工程，完善人才支持政策，强化人才对经济社会发展支撑力度。</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552" w:name="_Toc12182"/>
      <w:bookmarkStart w:id="553" w:name="_Toc24056"/>
      <w:bookmarkStart w:id="554" w:name="_Toc14755"/>
      <w:bookmarkStart w:id="555" w:name="_Toc7555"/>
      <w:bookmarkStart w:id="556" w:name="_Toc22564"/>
      <w:bookmarkStart w:id="557" w:name="_Toc15462"/>
      <w:r>
        <w:rPr>
          <w:rFonts w:ascii="仿宋" w:eastAsia="仿宋" w:hAnsi="仿宋" w:cs="仿宋" w:hint="eastAsia"/>
          <w:spacing w:val="-6"/>
          <w:szCs w:val="22"/>
        </w:rPr>
        <w:lastRenderedPageBreak/>
        <w:t>第一节  创新高端人才引进机制</w:t>
      </w:r>
      <w:bookmarkEnd w:id="552"/>
      <w:bookmarkEnd w:id="553"/>
      <w:bookmarkEnd w:id="554"/>
      <w:bookmarkEnd w:id="555"/>
      <w:bookmarkEnd w:id="556"/>
      <w:bookmarkEnd w:id="557"/>
    </w:p>
    <w:p w:rsidR="00E35214" w:rsidRDefault="006F7231">
      <w:pPr>
        <w:widowControl/>
        <w:snapToGrid w:val="0"/>
        <w:spacing w:line="580" w:lineRule="exact"/>
        <w:ind w:firstLineChars="200" w:firstLine="616"/>
        <w:textAlignment w:val="baseline"/>
        <w:rPr>
          <w:rFonts w:ascii="仿宋" w:eastAsia="仿宋" w:hAnsi="仿宋" w:cs="仿宋"/>
          <w:spacing w:val="-4"/>
          <w:kern w:val="0"/>
          <w:sz w:val="32"/>
          <w:szCs w:val="32"/>
          <w:shd w:val="clear" w:color="auto" w:fill="FFFFFF"/>
        </w:rPr>
      </w:pPr>
      <w:r>
        <w:rPr>
          <w:rFonts w:ascii="仿宋" w:eastAsia="仿宋" w:hAnsi="仿宋" w:cs="仿宋" w:hint="eastAsia"/>
          <w:spacing w:val="-6"/>
          <w:sz w:val="32"/>
          <w:szCs w:val="32"/>
        </w:rPr>
        <w:t>实施以“人才</w:t>
      </w:r>
      <w:r>
        <w:rPr>
          <w:rFonts w:ascii="仿宋" w:eastAsia="仿宋" w:hAnsi="仿宋" w:cs="仿宋"/>
          <w:spacing w:val="-6"/>
          <w:sz w:val="32"/>
          <w:szCs w:val="32"/>
        </w:rPr>
        <w:t>+”战略为统揽的“智力工程”，充分发挥金口河各类引智平台作用，探索灵活驻地、注重实效的人才引进体制，采用项目合作、技术研究、顾问咨询、特聘岗位等方式实现高层次人才共育共引共用。实施“雁归金口河”、博士后工作站建设等人才吸引和回引工程，注重引进文旅产业、应急产业、电子商务等方面的中高层次人才、高新技术专业人才和复合型人才，创新紧缺人才引进和招录政策。</w:t>
      </w:r>
      <w:r>
        <w:rPr>
          <w:rFonts w:ascii="仿宋" w:eastAsia="仿宋" w:hAnsi="仿宋" w:cs="仿宋" w:hint="eastAsia"/>
          <w:spacing w:val="-4"/>
          <w:kern w:val="0"/>
          <w:sz w:val="32"/>
          <w:szCs w:val="32"/>
          <w:shd w:val="clear" w:color="auto" w:fill="FFFFFF"/>
        </w:rPr>
        <w:t>引导城市工商资本下乡、人才下乡、农民工返乡创业，打造一支乡村振兴的农村领军人才、实用人才和基层干部人才队伍。</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558" w:name="_Toc19070"/>
      <w:bookmarkStart w:id="559" w:name="_Toc9602"/>
      <w:bookmarkStart w:id="560" w:name="_Toc17187"/>
      <w:bookmarkStart w:id="561" w:name="_Toc30466"/>
      <w:bookmarkStart w:id="562" w:name="_Toc25165"/>
      <w:bookmarkStart w:id="563" w:name="_Toc10184"/>
      <w:r>
        <w:rPr>
          <w:rFonts w:ascii="仿宋" w:eastAsia="仿宋" w:hAnsi="仿宋" w:cs="仿宋" w:hint="eastAsia"/>
          <w:spacing w:val="-6"/>
          <w:szCs w:val="22"/>
        </w:rPr>
        <w:t>第二节  大力实施人才培养战略</w:t>
      </w:r>
      <w:bookmarkEnd w:id="558"/>
      <w:bookmarkEnd w:id="559"/>
      <w:bookmarkEnd w:id="560"/>
      <w:bookmarkEnd w:id="561"/>
      <w:bookmarkEnd w:id="562"/>
      <w:bookmarkEnd w:id="563"/>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实施“金口河育才计划”，重点加强党政人才、产业人才、教育人才、卫生人才、专业技术人才和企业经营管理人才的培养力度，推进干部人才递进培养计划。深化对口帮扶干部人才交流合作，有效提升本土党员领导干部人才的专业技能和知识水平。创新人才培养模式，加强人才培养长效机制和基地建设，积极对接省内外高校、优质职业技术学校，构建产教训融合、政企社协同、育选用贯通的技能人才培育体系。</w:t>
      </w:r>
      <w:r>
        <w:rPr>
          <w:rFonts w:ascii="仿宋" w:eastAsia="仿宋" w:hAnsi="仿宋" w:cs="仿宋" w:hint="eastAsia"/>
          <w:spacing w:val="-4"/>
          <w:kern w:val="0"/>
          <w:sz w:val="32"/>
          <w:szCs w:val="32"/>
          <w:shd w:val="clear" w:color="auto" w:fill="FFFFFF"/>
        </w:rPr>
        <w:t>探索农村职业经理人培育模式。完成金口河区委党校迁建项目，对红华公司电大培训中心教学校、单身宿舍进行装修改造，新建一所标准化学员食堂，采购相关配套设备设施。</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564" w:name="_Toc9251"/>
      <w:bookmarkStart w:id="565" w:name="_Toc3440"/>
      <w:bookmarkStart w:id="566" w:name="_Toc20862"/>
      <w:bookmarkStart w:id="567" w:name="_Toc19429"/>
      <w:bookmarkStart w:id="568" w:name="_Toc4919"/>
      <w:bookmarkStart w:id="569" w:name="_Toc19840"/>
      <w:r>
        <w:rPr>
          <w:rFonts w:ascii="仿宋" w:eastAsia="仿宋" w:hAnsi="仿宋" w:cs="仿宋" w:hint="eastAsia"/>
          <w:spacing w:val="-6"/>
          <w:szCs w:val="22"/>
        </w:rPr>
        <w:lastRenderedPageBreak/>
        <w:t>第三节  完善人才使用和管理体制</w:t>
      </w:r>
      <w:bookmarkEnd w:id="564"/>
      <w:bookmarkEnd w:id="565"/>
      <w:bookmarkEnd w:id="566"/>
      <w:bookmarkEnd w:id="567"/>
      <w:bookmarkEnd w:id="568"/>
      <w:bookmarkEnd w:id="569"/>
    </w:p>
    <w:p w:rsidR="00E35214" w:rsidRDefault="006F7231">
      <w:pPr>
        <w:snapToGrid w:val="0"/>
        <w:spacing w:line="580" w:lineRule="exact"/>
        <w:ind w:firstLineChars="200" w:firstLine="616"/>
        <w:textAlignment w:val="baseline"/>
        <w:rPr>
          <w:rFonts w:ascii="仿宋" w:eastAsia="仿宋" w:hAnsi="仿宋" w:cs="仿宋"/>
          <w:sz w:val="20"/>
        </w:rPr>
      </w:pPr>
      <w:r>
        <w:rPr>
          <w:rFonts w:ascii="仿宋" w:eastAsia="仿宋" w:hAnsi="仿宋" w:cs="仿宋" w:hint="eastAsia"/>
          <w:spacing w:val="-6"/>
          <w:sz w:val="32"/>
          <w:szCs w:val="32"/>
        </w:rPr>
        <w:t>打造尊才、爱才、留才、重才的社会氛围，建立人才关爱制度，妥善解决各类人才发展的后顾之忧，形成留得住、用得好的人才环境。优化人才激励机制，实施职业收入、晋升途径、公共服务等综合性人才激励举措，立体式满足人才发展需求。深化人事考核制度改革，分类推进人才评价机制和职称制度改革，破除论资排辈观念，促进优秀人才脱颖而出。创新人才选拔机制，注重在基层、艰苦地区、复杂环境锻炼和选拔人才，改善基层人才工作生活条件，畅通基层人才向上流动渠道。</w:t>
      </w:r>
    </w:p>
    <w:p w:rsidR="00E35214" w:rsidRDefault="00E35214">
      <w:pPr>
        <w:pStyle w:val="2"/>
        <w:snapToGrid w:val="0"/>
        <w:textAlignment w:val="baseline"/>
      </w:pPr>
      <w:bookmarkStart w:id="570" w:name="_Toc22992"/>
      <w:bookmarkStart w:id="571" w:name="_Toc30940"/>
      <w:bookmarkStart w:id="572" w:name="_Toc31129"/>
      <w:bookmarkStart w:id="573" w:name="_Toc3260"/>
      <w:bookmarkStart w:id="574" w:name="_Toc3057"/>
      <w:bookmarkStart w:id="575" w:name="_Toc29107"/>
      <w:bookmarkStart w:id="576" w:name="_Toc984"/>
      <w:bookmarkStart w:id="577" w:name="_Toc18401"/>
      <w:bookmarkStart w:id="578" w:name="_Toc32447"/>
      <w:bookmarkStart w:id="579" w:name="_Toc14843"/>
    </w:p>
    <w:p w:rsidR="00E35214" w:rsidRDefault="006F7231">
      <w:pPr>
        <w:pStyle w:val="2"/>
        <w:snapToGrid w:val="0"/>
        <w:textAlignment w:val="baseline"/>
      </w:pPr>
      <w:r>
        <w:rPr>
          <w:rFonts w:hint="eastAsia"/>
        </w:rPr>
        <w:t>第三十二章大力推进科技</w:t>
      </w:r>
      <w:bookmarkEnd w:id="570"/>
      <w:bookmarkEnd w:id="571"/>
      <w:bookmarkEnd w:id="572"/>
      <w:r>
        <w:rPr>
          <w:rFonts w:hint="eastAsia"/>
        </w:rPr>
        <w:t>创新</w:t>
      </w:r>
      <w:bookmarkEnd w:id="573"/>
      <w:bookmarkEnd w:id="574"/>
      <w:bookmarkEnd w:id="575"/>
      <w:bookmarkEnd w:id="576"/>
      <w:bookmarkEnd w:id="577"/>
      <w:bookmarkEnd w:id="578"/>
      <w:bookmarkEnd w:id="579"/>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推进重点领域科技创新，加快先进适用技术转化应用，完善城乡科技服务体系，提升全区科技创新能力、发展生产力。</w:t>
      </w:r>
    </w:p>
    <w:p w:rsidR="00E35214" w:rsidRDefault="006F7231">
      <w:pPr>
        <w:pStyle w:val="3"/>
        <w:snapToGrid w:val="0"/>
        <w:spacing w:line="580" w:lineRule="exact"/>
        <w:textAlignment w:val="baseline"/>
        <w:rPr>
          <w:rFonts w:ascii="仿宋" w:eastAsia="仿宋" w:hAnsi="仿宋" w:cs="仿宋"/>
          <w:spacing w:val="-6"/>
          <w:szCs w:val="22"/>
        </w:rPr>
      </w:pPr>
      <w:bookmarkStart w:id="580" w:name="_Toc21019"/>
      <w:bookmarkStart w:id="581" w:name="_Toc2452"/>
      <w:bookmarkStart w:id="582" w:name="_Toc27406"/>
      <w:bookmarkStart w:id="583" w:name="_Toc27635"/>
      <w:bookmarkStart w:id="584" w:name="_Toc703"/>
      <w:bookmarkStart w:id="585" w:name="_Toc20529"/>
      <w:r>
        <w:rPr>
          <w:rFonts w:ascii="仿宋" w:eastAsia="仿宋" w:hAnsi="仿宋" w:cs="仿宋" w:hint="eastAsia"/>
          <w:spacing w:val="-6"/>
          <w:szCs w:val="22"/>
        </w:rPr>
        <w:t>第一节  推进重点领域科技创新</w:t>
      </w:r>
      <w:bookmarkEnd w:id="580"/>
      <w:bookmarkEnd w:id="581"/>
      <w:bookmarkEnd w:id="582"/>
      <w:bookmarkEnd w:id="583"/>
      <w:bookmarkEnd w:id="584"/>
      <w:bookmarkEnd w:id="585"/>
    </w:p>
    <w:p w:rsidR="00E35214" w:rsidRDefault="006F7231">
      <w:pPr>
        <w:snapToGrid w:val="0"/>
        <w:spacing w:line="597" w:lineRule="exact"/>
        <w:ind w:firstLineChars="200" w:firstLine="640"/>
        <w:textAlignment w:val="baseline"/>
        <w:rPr>
          <w:rFonts w:ascii="仿宋" w:eastAsia="仿宋" w:hAnsi="仿宋" w:cs="仿宋"/>
          <w:sz w:val="32"/>
          <w:szCs w:val="32"/>
        </w:rPr>
      </w:pPr>
      <w:r>
        <w:rPr>
          <w:rFonts w:ascii="仿宋" w:eastAsia="仿宋" w:hAnsi="仿宋" w:cs="仿宋" w:hint="eastAsia"/>
          <w:kern w:val="0"/>
          <w:sz w:val="32"/>
          <w:szCs w:val="32"/>
        </w:rPr>
        <w:t>加快推进科技创新和技术进步，完善科技奖励政策，建立科研人员创新研发和转化成果的激励机制。</w:t>
      </w:r>
      <w:r>
        <w:rPr>
          <w:rFonts w:ascii="仿宋" w:eastAsia="仿宋" w:hAnsi="仿宋" w:cs="仿宋" w:hint="eastAsia"/>
          <w:sz w:val="32"/>
          <w:szCs w:val="32"/>
        </w:rPr>
        <w:t>深化政产学研用协同融合，</w:t>
      </w:r>
      <w:r>
        <w:rPr>
          <w:rFonts w:ascii="仿宋" w:eastAsia="仿宋" w:hAnsi="仿宋" w:cs="仿宋" w:hint="eastAsia"/>
          <w:kern w:val="0"/>
          <w:sz w:val="32"/>
          <w:szCs w:val="32"/>
        </w:rPr>
        <w:t>支持企业自主研发乌天麻无性繁殖、川牛膝多糖提取工艺等实用技术，支持行业龙头企业积极与四川农业大学、达州技术职业学院等高校院所共建产学研一体基地，</w:t>
      </w:r>
      <w:r>
        <w:rPr>
          <w:rFonts w:ascii="仿宋" w:eastAsia="仿宋" w:hAnsi="仿宋" w:cs="仿宋" w:hint="eastAsia"/>
          <w:sz w:val="32"/>
          <w:szCs w:val="32"/>
        </w:rPr>
        <w:t>支持与成渝地区高校、科研机构合作共建技术研究中心、重</w:t>
      </w:r>
      <w:r>
        <w:rPr>
          <w:rFonts w:ascii="仿宋" w:eastAsia="仿宋" w:hAnsi="仿宋" w:cs="仿宋" w:hint="eastAsia"/>
          <w:sz w:val="32"/>
          <w:szCs w:val="32"/>
        </w:rPr>
        <w:lastRenderedPageBreak/>
        <w:t>点实验室等创新平台及新型研发机构，联合申报重大科研项目，打造出具有影响力的金口河品牌。加强科技创新的制度建设，实施重点领域科技创新专项行动计划，探索重点龙头企业科技创新“一对一”协调对接机制，精准发力重大科技攻关。</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586" w:name="_Toc24656"/>
      <w:bookmarkStart w:id="587" w:name="_Toc23751"/>
      <w:bookmarkStart w:id="588" w:name="_Toc19462"/>
      <w:bookmarkStart w:id="589" w:name="_Toc19879"/>
      <w:bookmarkStart w:id="590" w:name="_Toc22140"/>
      <w:bookmarkStart w:id="591" w:name="_Toc31288"/>
      <w:r>
        <w:rPr>
          <w:rFonts w:ascii="仿宋" w:eastAsia="仿宋" w:hAnsi="仿宋" w:cs="仿宋" w:hint="eastAsia"/>
          <w:spacing w:val="-6"/>
          <w:szCs w:val="22"/>
        </w:rPr>
        <w:t>第二节  强化科技成果应用转化</w:t>
      </w:r>
      <w:bookmarkEnd w:id="586"/>
      <w:bookmarkEnd w:id="587"/>
      <w:bookmarkEnd w:id="588"/>
      <w:bookmarkEnd w:id="589"/>
      <w:bookmarkEnd w:id="590"/>
      <w:bookmarkEnd w:id="591"/>
    </w:p>
    <w:p w:rsidR="00E35214" w:rsidRDefault="006F7231">
      <w:pPr>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建设科技成果应用转化平台，推进科技市场体系建设，引入专业第三方科技服务机构，完善科技成果转化、技术转移、科技咨询、科技金融等科技服务功能，提升科技成果市场化、产业化能力。稳步推进军民技术转化应用，加强军民联合的技术研发，探索研发成本共担、技术成果共享、市场转化共建的制度创新。深化科技成果产权制度改革，建立科技成果、知识产权归属和利益分享机制，完善科技评价机制，推广职务科技成果权属混合所有制改革。</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592" w:name="_Toc8579"/>
      <w:bookmarkStart w:id="593" w:name="_Toc3082"/>
      <w:bookmarkStart w:id="594" w:name="_Toc17154"/>
      <w:bookmarkStart w:id="595" w:name="_Toc22944"/>
      <w:bookmarkStart w:id="596" w:name="_Toc30428"/>
      <w:bookmarkStart w:id="597" w:name="_Toc9517"/>
      <w:r>
        <w:rPr>
          <w:rFonts w:ascii="仿宋" w:eastAsia="仿宋" w:hAnsi="仿宋" w:cs="仿宋" w:hint="eastAsia"/>
          <w:spacing w:val="-6"/>
          <w:szCs w:val="22"/>
        </w:rPr>
        <w:t>第三节完善城乡科技服务体系</w:t>
      </w:r>
      <w:bookmarkEnd w:id="592"/>
      <w:bookmarkEnd w:id="593"/>
      <w:bookmarkEnd w:id="594"/>
      <w:bookmarkEnd w:id="595"/>
      <w:bookmarkEnd w:id="596"/>
      <w:bookmarkEnd w:id="597"/>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实施全民科学素质提升计划，积极开展科技活动周、科技下乡等科普专项活动，加大对中小学生、农民、公务员等重点群体科普宣传和教育力度。丰富科普多元宣传载体，发挥新媒体载体作用，推出精品科普原创作品，加强科技馆、流动科普馆等基础设施建设。推动农技服务提质行动，壮大农技服务人员队伍，完善农技推广体系，探索农技服务特聘计划，支持开展实用技术和人才培训，加快普及农村实用技术。</w:t>
      </w:r>
    </w:p>
    <w:p w:rsidR="00E35214" w:rsidRDefault="00E35214">
      <w:pPr>
        <w:snapToGrid w:val="0"/>
        <w:spacing w:line="580" w:lineRule="exact"/>
        <w:ind w:firstLineChars="200" w:firstLine="616"/>
        <w:textAlignment w:val="baseline"/>
        <w:rPr>
          <w:rFonts w:ascii="仿宋" w:eastAsia="仿宋" w:hAnsi="仿宋" w:cs="仿宋"/>
          <w:spacing w:val="-6"/>
          <w:sz w:val="32"/>
          <w:szCs w:val="32"/>
        </w:rPr>
      </w:pPr>
    </w:p>
    <w:p w:rsidR="00E35214" w:rsidRDefault="006F7231">
      <w:pPr>
        <w:pStyle w:val="1"/>
        <w:snapToGrid w:val="0"/>
        <w:spacing w:line="576" w:lineRule="auto"/>
        <w:jc w:val="center"/>
        <w:textAlignment w:val="baseline"/>
      </w:pPr>
      <w:bookmarkStart w:id="598" w:name="_Toc26637"/>
      <w:r>
        <w:rPr>
          <w:rFonts w:ascii="仿宋" w:eastAsia="仿宋" w:hAnsi="仿宋" w:cs="仿宋"/>
          <w:sz w:val="32"/>
          <w:szCs w:val="22"/>
        </w:rPr>
        <w:br w:type="page"/>
      </w:r>
    </w:p>
    <w:p w:rsidR="00E35214" w:rsidRDefault="006F7231">
      <w:pPr>
        <w:snapToGrid w:val="0"/>
        <w:spacing w:before="240" w:after="210" w:line="576" w:lineRule="auto"/>
        <w:jc w:val="center"/>
        <w:textAlignment w:val="baseline"/>
        <w:rPr>
          <w:rFonts w:eastAsia="黑体"/>
          <w:b/>
          <w:sz w:val="36"/>
        </w:rPr>
      </w:pPr>
      <w:bookmarkStart w:id="599" w:name="_Toc9396"/>
      <w:bookmarkStart w:id="600" w:name="_Toc30453"/>
      <w:bookmarkStart w:id="601" w:name="_Toc1192"/>
      <w:bookmarkStart w:id="602" w:name="_Toc3091"/>
      <w:bookmarkStart w:id="603" w:name="_Toc24065"/>
      <w:bookmarkStart w:id="604" w:name="_Toc26472"/>
      <w:bookmarkStart w:id="605" w:name="_Toc6861"/>
      <w:bookmarkStart w:id="606" w:name="_Toc17201"/>
      <w:bookmarkStart w:id="607" w:name="_Toc21960"/>
      <w:bookmarkStart w:id="608" w:name="_Toc15528"/>
      <w:bookmarkEnd w:id="289"/>
      <w:bookmarkEnd w:id="598"/>
      <w:r>
        <w:rPr>
          <w:rFonts w:eastAsia="黑体" w:hint="eastAsia"/>
          <w:b/>
          <w:bCs/>
          <w:kern w:val="44"/>
          <w:sz w:val="36"/>
          <w:szCs w:val="44"/>
        </w:rPr>
        <w:lastRenderedPageBreak/>
        <w:t>第九篇</w:t>
      </w:r>
      <w:r>
        <w:rPr>
          <w:rFonts w:eastAsia="黑体" w:hint="eastAsia"/>
          <w:b/>
          <w:bCs/>
          <w:kern w:val="44"/>
          <w:sz w:val="36"/>
          <w:szCs w:val="44"/>
        </w:rPr>
        <w:t xml:space="preserve">  </w:t>
      </w:r>
      <w:r>
        <w:rPr>
          <w:rFonts w:eastAsia="黑体" w:hint="eastAsia"/>
          <w:b/>
          <w:bCs/>
          <w:kern w:val="44"/>
          <w:sz w:val="36"/>
          <w:szCs w:val="44"/>
        </w:rPr>
        <w:t>完善应急体系，建设韧性金口河</w:t>
      </w:r>
      <w:bookmarkEnd w:id="599"/>
      <w:bookmarkEnd w:id="600"/>
      <w:bookmarkEnd w:id="601"/>
      <w:bookmarkEnd w:id="602"/>
      <w:bookmarkEnd w:id="603"/>
      <w:bookmarkEnd w:id="604"/>
      <w:bookmarkEnd w:id="605"/>
      <w:bookmarkEnd w:id="606"/>
      <w:bookmarkEnd w:id="607"/>
      <w:bookmarkEnd w:id="608"/>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牢固树立安全发展理念，以科学高效救援为目标，以夯实基层基础为重点，以强化科技创新为支撑，提升重大自然灾害和生产安全事故应急救援能力，全力保障人民群众生命财产安全，积极创建全国综合减灾示范区。</w:t>
      </w:r>
    </w:p>
    <w:p w:rsidR="00E35214" w:rsidRDefault="006F7231">
      <w:pPr>
        <w:pStyle w:val="2"/>
        <w:snapToGrid w:val="0"/>
        <w:textAlignment w:val="baseline"/>
      </w:pPr>
      <w:bookmarkStart w:id="609" w:name="_Toc26335"/>
      <w:bookmarkStart w:id="610" w:name="_Toc22477"/>
      <w:bookmarkStart w:id="611" w:name="_Toc22955"/>
      <w:bookmarkStart w:id="612" w:name="_Toc4026"/>
      <w:bookmarkStart w:id="613" w:name="_Toc7703"/>
      <w:bookmarkStart w:id="614" w:name="_Toc26604"/>
      <w:bookmarkStart w:id="615" w:name="_Toc12336"/>
      <w:bookmarkStart w:id="616" w:name="_Toc1325"/>
      <w:bookmarkStart w:id="617" w:name="_Toc14064"/>
      <w:bookmarkStart w:id="618" w:name="_Toc6381"/>
      <w:r>
        <w:rPr>
          <w:rFonts w:hint="eastAsia"/>
        </w:rPr>
        <w:t>第三十三章加强防灾减灾能力建设</w:t>
      </w:r>
      <w:bookmarkEnd w:id="609"/>
      <w:bookmarkEnd w:id="610"/>
      <w:bookmarkEnd w:id="611"/>
      <w:bookmarkEnd w:id="612"/>
      <w:bookmarkEnd w:id="613"/>
      <w:bookmarkEnd w:id="614"/>
      <w:bookmarkEnd w:id="615"/>
      <w:bookmarkEnd w:id="616"/>
      <w:bookmarkEnd w:id="617"/>
      <w:bookmarkEnd w:id="618"/>
    </w:p>
    <w:p w:rsidR="00E35214" w:rsidRDefault="006F7231">
      <w:pPr>
        <w:snapToGrid w:val="0"/>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坚持源头治理、预防为主，加强防灾减灾能力建设，全面提升应急管理基础能力和水平。</w:t>
      </w:r>
    </w:p>
    <w:p w:rsidR="00E35214" w:rsidRDefault="006F7231">
      <w:pPr>
        <w:pStyle w:val="3"/>
        <w:snapToGrid w:val="0"/>
        <w:spacing w:line="580" w:lineRule="exact"/>
        <w:textAlignment w:val="baseline"/>
        <w:rPr>
          <w:rFonts w:ascii="仿宋" w:eastAsia="仿宋" w:hAnsi="仿宋" w:cs="仿宋"/>
          <w:spacing w:val="-6"/>
          <w:szCs w:val="22"/>
        </w:rPr>
      </w:pPr>
      <w:bookmarkStart w:id="619" w:name="_Toc22607"/>
      <w:bookmarkStart w:id="620" w:name="_Toc10939"/>
      <w:bookmarkStart w:id="621" w:name="_Toc1038"/>
      <w:bookmarkStart w:id="622" w:name="_Toc28326"/>
      <w:bookmarkStart w:id="623" w:name="_Toc1942"/>
      <w:bookmarkStart w:id="624" w:name="_Toc32313"/>
      <w:r>
        <w:rPr>
          <w:rFonts w:ascii="仿宋" w:eastAsia="仿宋" w:hAnsi="仿宋" w:cs="仿宋" w:hint="eastAsia"/>
          <w:spacing w:val="-6"/>
          <w:szCs w:val="22"/>
        </w:rPr>
        <w:t>第一节  完善灾害监测预警体系</w:t>
      </w:r>
      <w:bookmarkEnd w:id="619"/>
      <w:bookmarkEnd w:id="620"/>
      <w:bookmarkEnd w:id="621"/>
      <w:bookmarkEnd w:id="622"/>
      <w:bookmarkEnd w:id="623"/>
      <w:bookmarkEnd w:id="624"/>
    </w:p>
    <w:p w:rsidR="00E35214" w:rsidRDefault="006F7231">
      <w:pPr>
        <w:pStyle w:val="a5"/>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实施自然灾害风险普查，建立健全灾害风险基础数据库。强化山洪、泥石流、滑坡、森林火灾、疫情疫源等重大灾害监测和预警，完善地面站网、遥感监测和数据平台等保护监测设施，健全区、乡（镇）、村三级灾害监测预警体系，实现重大自然灾害防范网络全覆盖。健全灾害信息化管理平台，建设预警信息发布、传输、播报“一键式”发布机制，完善应急广播系统。</w:t>
      </w:r>
    </w:p>
    <w:p w:rsidR="00E35214" w:rsidRDefault="006F7231">
      <w:pPr>
        <w:pStyle w:val="3"/>
        <w:snapToGrid w:val="0"/>
        <w:spacing w:line="580" w:lineRule="exact"/>
        <w:textAlignment w:val="baseline"/>
        <w:rPr>
          <w:rFonts w:ascii="仿宋" w:eastAsia="仿宋" w:hAnsi="仿宋" w:cs="仿宋"/>
          <w:spacing w:val="-6"/>
          <w:szCs w:val="22"/>
        </w:rPr>
      </w:pPr>
      <w:bookmarkStart w:id="625" w:name="_Toc27717"/>
      <w:bookmarkStart w:id="626" w:name="_Toc17445"/>
      <w:bookmarkStart w:id="627" w:name="_Toc27365"/>
      <w:bookmarkStart w:id="628" w:name="_Toc19464"/>
      <w:bookmarkStart w:id="629" w:name="_Toc21275"/>
      <w:bookmarkStart w:id="630" w:name="_Toc3417"/>
      <w:r>
        <w:rPr>
          <w:rFonts w:ascii="仿宋" w:eastAsia="仿宋" w:hAnsi="仿宋" w:cs="仿宋" w:hint="eastAsia"/>
          <w:spacing w:val="-6"/>
          <w:szCs w:val="22"/>
        </w:rPr>
        <w:t>第二节  完善防灾基础设施</w:t>
      </w:r>
      <w:bookmarkEnd w:id="625"/>
      <w:bookmarkEnd w:id="626"/>
      <w:bookmarkEnd w:id="627"/>
      <w:bookmarkEnd w:id="628"/>
      <w:bookmarkEnd w:id="629"/>
      <w:bookmarkEnd w:id="630"/>
    </w:p>
    <w:p w:rsidR="00E35214" w:rsidRDefault="006F7231">
      <w:pPr>
        <w:pStyle w:val="a5"/>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实施山洪地质灾害防治、易灾地区综合治理、森林防火等安全隐患综合治理工程。推进疏散救援通道、应急避难场所、应急水源、救灾物资储备库、备用电源和应急移动通信</w:t>
      </w:r>
      <w:r>
        <w:rPr>
          <w:rFonts w:ascii="仿宋" w:eastAsia="仿宋" w:hAnsi="仿宋" w:cs="仿宋" w:hint="eastAsia"/>
          <w:sz w:val="32"/>
          <w:szCs w:val="32"/>
        </w:rPr>
        <w:lastRenderedPageBreak/>
        <w:t>系统建设，强化公共建筑应急避难功能。推进城镇、园区、社区和农村消防设施建设，建设智慧消防系统。</w:t>
      </w:r>
    </w:p>
    <w:p w:rsidR="00E35214" w:rsidRDefault="006F7231">
      <w:pPr>
        <w:pStyle w:val="3"/>
        <w:snapToGrid w:val="0"/>
        <w:spacing w:line="580" w:lineRule="exact"/>
        <w:textAlignment w:val="baseline"/>
        <w:rPr>
          <w:rFonts w:ascii="仿宋" w:eastAsia="仿宋" w:hAnsi="仿宋" w:cs="仿宋"/>
          <w:spacing w:val="-6"/>
          <w:szCs w:val="22"/>
        </w:rPr>
      </w:pPr>
      <w:bookmarkStart w:id="631" w:name="_Toc10827"/>
      <w:bookmarkStart w:id="632" w:name="_Toc6162"/>
      <w:bookmarkStart w:id="633" w:name="_Toc31052"/>
      <w:bookmarkStart w:id="634" w:name="_Toc27096"/>
      <w:bookmarkStart w:id="635" w:name="_Toc20623"/>
      <w:bookmarkStart w:id="636" w:name="_Toc19831"/>
      <w:r>
        <w:rPr>
          <w:rFonts w:ascii="仿宋" w:eastAsia="仿宋" w:hAnsi="仿宋" w:cs="仿宋" w:hint="eastAsia"/>
          <w:spacing w:val="-6"/>
          <w:szCs w:val="22"/>
        </w:rPr>
        <w:t>第三节  提高公众防灾能力</w:t>
      </w:r>
      <w:bookmarkEnd w:id="631"/>
      <w:bookmarkEnd w:id="632"/>
      <w:bookmarkEnd w:id="633"/>
      <w:bookmarkEnd w:id="634"/>
      <w:bookmarkEnd w:id="635"/>
      <w:bookmarkEnd w:id="636"/>
    </w:p>
    <w:p w:rsidR="00E35214" w:rsidRDefault="006F7231">
      <w:pPr>
        <w:pStyle w:val="a5"/>
        <w:snapToGrid w:val="0"/>
        <w:spacing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开展安全生产和防灾减灾知识“七进”宣传教育，加强大中小学公共安全知识教育和技能培养，开展风险隐患识别和公共安全知识普及活动。实施公众自救互救能力提升工程，常态化举办应急避险、疏散逃生等群众性培训演练。引导公众做好家庭应急物资储备和应急避险知识家庭教育。</w:t>
      </w:r>
    </w:p>
    <w:p w:rsidR="00E35214" w:rsidRDefault="006F7231">
      <w:pPr>
        <w:pStyle w:val="NewNewNewNewNewNewNewNewNewNewNewNewNewNewNewNew"/>
        <w:snapToGrid w:val="0"/>
        <w:spacing w:line="240" w:lineRule="auto"/>
        <w:ind w:firstLineChars="0" w:firstLine="0"/>
        <w:jc w:val="center"/>
        <w:textAlignment w:val="baseline"/>
        <w:rPr>
          <w:rFonts w:ascii="楷体" w:eastAsia="楷体" w:hAnsi="楷体" w:cs="仿宋"/>
          <w:b/>
          <w:bCs/>
          <w:spacing w:val="-6"/>
          <w:sz w:val="28"/>
          <w:szCs w:val="28"/>
        </w:rPr>
      </w:pPr>
      <w:r>
        <w:rPr>
          <w:rFonts w:ascii="楷体" w:eastAsia="楷体" w:hAnsi="楷体" w:cs="仿宋" w:hint="eastAsia"/>
          <w:b/>
          <w:bCs/>
          <w:spacing w:val="-6"/>
          <w:sz w:val="28"/>
          <w:szCs w:val="28"/>
        </w:rPr>
        <w:t>专栏21消防体系建设重点项目</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E35214">
        <w:tc>
          <w:tcPr>
            <w:tcW w:w="8522" w:type="dxa"/>
          </w:tcPr>
          <w:p w:rsidR="00E35214" w:rsidRDefault="006F7231">
            <w:pPr>
              <w:snapToGrid w:val="0"/>
              <w:spacing w:line="400" w:lineRule="atLeast"/>
              <w:ind w:firstLine="454"/>
              <w:textAlignment w:val="baseline"/>
              <w:rPr>
                <w:rFonts w:ascii="楷体" w:eastAsia="楷体" w:hAnsi="楷体" w:cs="楷体"/>
                <w:spacing w:val="-6"/>
                <w:sz w:val="24"/>
                <w:szCs w:val="22"/>
              </w:rPr>
            </w:pPr>
            <w:r>
              <w:rPr>
                <w:rFonts w:ascii="楷体" w:eastAsia="楷体" w:hAnsi="楷体" w:cs="楷体" w:hint="eastAsia"/>
                <w:b/>
                <w:bCs/>
                <w:spacing w:val="-6"/>
                <w:sz w:val="24"/>
                <w:szCs w:val="22"/>
              </w:rPr>
              <w:t>消防设施建设工程</w:t>
            </w:r>
            <w:r>
              <w:rPr>
                <w:rFonts w:ascii="楷体" w:eastAsia="楷体" w:hAnsi="楷体" w:cs="楷体" w:hint="eastAsia"/>
                <w:spacing w:val="-6"/>
                <w:sz w:val="24"/>
                <w:szCs w:val="22"/>
              </w:rPr>
              <w:t>。在滨河路和大峡谷碑分别建设取水码头；每个乡镇至少新建一个消防水池和一个微型消防站（含消防宣教室）；完善市政消火栓建设；购置2辆消防车；新增专职消防员配备使用频率高、易损耗的基本防护装备20套，卫星电话12部、生命探测仪1台等救援设备。</w:t>
            </w:r>
          </w:p>
          <w:p w:rsidR="00E35214" w:rsidRDefault="006F7231">
            <w:pPr>
              <w:snapToGrid w:val="0"/>
              <w:spacing w:line="400" w:lineRule="atLeast"/>
              <w:ind w:firstLine="454"/>
              <w:textAlignment w:val="baseline"/>
              <w:rPr>
                <w:rFonts w:ascii="仿宋" w:eastAsia="仿宋" w:hAnsi="仿宋" w:cs="仿宋"/>
                <w:sz w:val="32"/>
                <w:szCs w:val="32"/>
              </w:rPr>
            </w:pPr>
            <w:r>
              <w:rPr>
                <w:rFonts w:ascii="楷体" w:eastAsia="楷体" w:hAnsi="楷体" w:cs="楷体" w:hint="eastAsia"/>
                <w:b/>
                <w:bCs/>
                <w:spacing w:val="-6"/>
                <w:sz w:val="24"/>
                <w:szCs w:val="22"/>
              </w:rPr>
              <w:t>消防设备完善工程</w:t>
            </w:r>
            <w:r>
              <w:rPr>
                <w:rFonts w:ascii="楷体" w:eastAsia="楷体" w:hAnsi="楷体" w:cs="楷体" w:hint="eastAsia"/>
                <w:spacing w:val="-6"/>
                <w:sz w:val="24"/>
                <w:szCs w:val="22"/>
              </w:rPr>
              <w:t>。为新增专职消防员配备使用频率高、易损耗的基本防护装备20套，卫星电话12部、生命探测仪1台等救援设备。</w:t>
            </w:r>
          </w:p>
        </w:tc>
      </w:tr>
    </w:tbl>
    <w:p w:rsidR="00E35214" w:rsidRDefault="00E35214">
      <w:pPr>
        <w:snapToGrid w:val="0"/>
        <w:textAlignment w:val="baseline"/>
        <w:rPr>
          <w:rFonts w:ascii="仿宋" w:eastAsia="仿宋" w:hAnsi="仿宋" w:cs="仿宋"/>
          <w:sz w:val="20"/>
        </w:rPr>
      </w:pPr>
    </w:p>
    <w:p w:rsidR="00E35214" w:rsidRDefault="00E35214">
      <w:pPr>
        <w:snapToGrid w:val="0"/>
        <w:textAlignment w:val="baseline"/>
        <w:rPr>
          <w:sz w:val="20"/>
        </w:rPr>
      </w:pPr>
      <w:bookmarkStart w:id="637" w:name="_Toc25915"/>
      <w:bookmarkStart w:id="638" w:name="_Toc10390"/>
      <w:bookmarkStart w:id="639" w:name="_Toc14283"/>
      <w:bookmarkStart w:id="640" w:name="_Toc5883"/>
      <w:bookmarkStart w:id="641" w:name="_Toc27152"/>
      <w:bookmarkStart w:id="642" w:name="_Toc15642"/>
      <w:bookmarkStart w:id="643" w:name="_Toc25887"/>
      <w:bookmarkStart w:id="644" w:name="_Toc976"/>
      <w:bookmarkStart w:id="645" w:name="_Toc25089"/>
    </w:p>
    <w:p w:rsidR="00E35214" w:rsidRDefault="006F7231">
      <w:pPr>
        <w:pStyle w:val="2"/>
        <w:snapToGrid w:val="0"/>
        <w:textAlignment w:val="baseline"/>
      </w:pPr>
      <w:bookmarkStart w:id="646" w:name="_Toc25531"/>
      <w:r>
        <w:rPr>
          <w:rFonts w:hint="eastAsia"/>
        </w:rPr>
        <w:t>第三十四章加强应急抢险救援能力建设</w:t>
      </w:r>
      <w:bookmarkEnd w:id="637"/>
      <w:bookmarkEnd w:id="638"/>
      <w:bookmarkEnd w:id="639"/>
      <w:bookmarkEnd w:id="640"/>
      <w:bookmarkEnd w:id="641"/>
      <w:bookmarkEnd w:id="642"/>
      <w:bookmarkEnd w:id="643"/>
      <w:bookmarkEnd w:id="644"/>
      <w:bookmarkEnd w:id="645"/>
      <w:bookmarkEnd w:id="646"/>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以提升应急救援实战能力为目标，强化属地管理、分级负责，注重资源整合、优势互补，坚持专业化与社会化相结合，完善应急指挥体系，加强应急队伍建设，全面提升应急抢险救援能力。</w:t>
      </w:r>
    </w:p>
    <w:p w:rsidR="00E35214" w:rsidRDefault="006F7231">
      <w:pPr>
        <w:pStyle w:val="3"/>
        <w:snapToGrid w:val="0"/>
        <w:spacing w:line="580" w:lineRule="exact"/>
        <w:textAlignment w:val="baseline"/>
        <w:rPr>
          <w:rFonts w:ascii="仿宋" w:eastAsia="仿宋" w:hAnsi="仿宋" w:cs="仿宋"/>
          <w:spacing w:val="-6"/>
          <w:szCs w:val="22"/>
        </w:rPr>
      </w:pPr>
      <w:bookmarkStart w:id="647" w:name="_Toc15844"/>
      <w:bookmarkStart w:id="648" w:name="_Toc16999"/>
      <w:bookmarkStart w:id="649" w:name="_Toc32119"/>
      <w:bookmarkStart w:id="650" w:name="_Toc9590"/>
      <w:bookmarkStart w:id="651" w:name="_Toc22660"/>
      <w:bookmarkStart w:id="652" w:name="_Toc23928"/>
      <w:r>
        <w:rPr>
          <w:rFonts w:ascii="仿宋" w:eastAsia="仿宋" w:hAnsi="仿宋" w:cs="仿宋" w:hint="eastAsia"/>
          <w:spacing w:val="-6"/>
          <w:szCs w:val="22"/>
        </w:rPr>
        <w:t>第一节  完善应急指挥体系</w:t>
      </w:r>
      <w:bookmarkEnd w:id="647"/>
      <w:bookmarkEnd w:id="648"/>
      <w:bookmarkEnd w:id="649"/>
      <w:bookmarkEnd w:id="650"/>
      <w:bookmarkEnd w:id="651"/>
      <w:bookmarkEnd w:id="652"/>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加快区、乡镇、村三级应急指挥联动机制建设，加强部</w:t>
      </w:r>
      <w:r>
        <w:rPr>
          <w:rFonts w:ascii="仿宋" w:eastAsia="仿宋" w:hAnsi="仿宋" w:cs="仿宋" w:hint="eastAsia"/>
          <w:sz w:val="32"/>
          <w:szCs w:val="32"/>
        </w:rPr>
        <w:lastRenderedPageBreak/>
        <w:t>门联动和区域协作，强化“军民联防、警民联防”，形成扁平化、立体化应急救援指挥体系，提高全区应急救援的系统性、整体性、协同性。强化各乡镇、部门、监测点值班值守，保障气象、雨情、灾情等信息及时上传下达。推行现场应急指挥官制度，强化应急指挥能力培训。健全与周边市（州）区域应急协调联动机制。</w:t>
      </w:r>
    </w:p>
    <w:p w:rsidR="00E35214" w:rsidRDefault="006F7231">
      <w:pPr>
        <w:pStyle w:val="3"/>
        <w:snapToGrid w:val="0"/>
        <w:spacing w:line="580" w:lineRule="exact"/>
        <w:textAlignment w:val="baseline"/>
        <w:rPr>
          <w:rFonts w:ascii="仿宋" w:eastAsia="仿宋" w:hAnsi="仿宋" w:cs="仿宋"/>
          <w:spacing w:val="-6"/>
          <w:szCs w:val="22"/>
        </w:rPr>
      </w:pPr>
      <w:bookmarkStart w:id="653" w:name="_Toc26755"/>
      <w:bookmarkStart w:id="654" w:name="_Toc15460"/>
      <w:bookmarkStart w:id="655" w:name="_Toc31317"/>
      <w:bookmarkStart w:id="656" w:name="_Toc19713"/>
      <w:bookmarkStart w:id="657" w:name="_Toc15586"/>
      <w:bookmarkStart w:id="658" w:name="_Toc19537"/>
      <w:r>
        <w:rPr>
          <w:rFonts w:ascii="仿宋" w:eastAsia="仿宋" w:hAnsi="仿宋" w:cs="仿宋" w:hint="eastAsia"/>
          <w:spacing w:val="-6"/>
          <w:szCs w:val="22"/>
        </w:rPr>
        <w:t>第二节  加强应急救援队伍建设</w:t>
      </w:r>
      <w:bookmarkEnd w:id="653"/>
      <w:bookmarkEnd w:id="654"/>
      <w:bookmarkEnd w:id="655"/>
      <w:bookmarkEnd w:id="656"/>
      <w:bookmarkEnd w:id="657"/>
      <w:bookmarkEnd w:id="658"/>
    </w:p>
    <w:p w:rsidR="00E35214" w:rsidRDefault="006F7231">
      <w:pPr>
        <w:pStyle w:val="a5"/>
        <w:snapToGrid w:val="0"/>
        <w:spacing w:after="0" w:line="580" w:lineRule="exact"/>
        <w:ind w:firstLineChars="200" w:firstLine="640"/>
        <w:textAlignment w:val="baseline"/>
        <w:rPr>
          <w:rFonts w:ascii="仿宋" w:eastAsia="仿宋" w:hAnsi="仿宋" w:cs="仿宋"/>
          <w:sz w:val="32"/>
          <w:szCs w:val="32"/>
        </w:rPr>
      </w:pPr>
      <w:r>
        <w:rPr>
          <w:rFonts w:ascii="仿宋" w:eastAsia="仿宋" w:hAnsi="仿宋" w:cs="仿宋" w:hint="eastAsia"/>
          <w:kern w:val="0"/>
          <w:sz w:val="32"/>
          <w:szCs w:val="32"/>
        </w:rPr>
        <w:t>强化民兵、消防</w:t>
      </w:r>
      <w:r>
        <w:rPr>
          <w:rFonts w:ascii="仿宋" w:eastAsia="仿宋" w:hAnsi="仿宋" w:cs="仿宋" w:hint="eastAsia"/>
          <w:sz w:val="32"/>
          <w:szCs w:val="32"/>
        </w:rPr>
        <w:t>、公安民警</w:t>
      </w:r>
      <w:r>
        <w:rPr>
          <w:rFonts w:ascii="仿宋" w:eastAsia="仿宋" w:hAnsi="仿宋" w:cs="仿宋" w:hint="eastAsia"/>
          <w:kern w:val="0"/>
          <w:sz w:val="32"/>
          <w:szCs w:val="32"/>
        </w:rPr>
        <w:t>等应急救援队伍战斗力建设，</w:t>
      </w:r>
      <w:r>
        <w:rPr>
          <w:rFonts w:ascii="仿宋" w:eastAsia="仿宋" w:hAnsi="仿宋" w:cs="仿宋" w:hint="eastAsia"/>
          <w:sz w:val="32"/>
          <w:szCs w:val="32"/>
        </w:rPr>
        <w:t>建立应急救援队伍快速调动机制，</w:t>
      </w:r>
      <w:r>
        <w:rPr>
          <w:rFonts w:ascii="仿宋" w:eastAsia="仿宋" w:hAnsi="仿宋" w:cs="仿宋" w:hint="eastAsia"/>
          <w:kern w:val="0"/>
          <w:sz w:val="32"/>
          <w:szCs w:val="32"/>
        </w:rPr>
        <w:t>积极推进应急管理体系和能力现代化</w:t>
      </w:r>
      <w:r>
        <w:rPr>
          <w:rFonts w:ascii="仿宋" w:eastAsia="仿宋" w:hAnsi="仿宋" w:cs="仿宋" w:hint="eastAsia"/>
          <w:sz w:val="32"/>
          <w:szCs w:val="32"/>
        </w:rPr>
        <w:t>。建设综合应急救援训练基地，开展各类应急队伍联合培训和演练。鼓励危险化学品、非煤矿山、建筑施工等各类企业建立应急救援队伍，建设矿山救援驻训基地。支持应急志愿者队伍建设。</w:t>
      </w:r>
    </w:p>
    <w:p w:rsidR="00E35214" w:rsidRDefault="006F7231">
      <w:pPr>
        <w:pStyle w:val="3"/>
        <w:snapToGrid w:val="0"/>
        <w:spacing w:line="580" w:lineRule="exact"/>
        <w:textAlignment w:val="baseline"/>
        <w:rPr>
          <w:rFonts w:ascii="仿宋" w:eastAsia="仿宋" w:hAnsi="仿宋" w:cs="仿宋"/>
          <w:spacing w:val="-6"/>
          <w:szCs w:val="22"/>
        </w:rPr>
      </w:pPr>
      <w:bookmarkStart w:id="659" w:name="_Toc2592"/>
      <w:bookmarkStart w:id="660" w:name="_Toc26157"/>
      <w:bookmarkStart w:id="661" w:name="_Toc27625"/>
      <w:bookmarkStart w:id="662" w:name="_Toc2017"/>
      <w:bookmarkStart w:id="663" w:name="_Toc15479"/>
      <w:bookmarkStart w:id="664" w:name="_Toc3486"/>
      <w:r>
        <w:rPr>
          <w:rFonts w:ascii="仿宋" w:eastAsia="仿宋" w:hAnsi="仿宋" w:cs="仿宋" w:hint="eastAsia"/>
          <w:spacing w:val="-6"/>
          <w:szCs w:val="22"/>
        </w:rPr>
        <w:t>第三节  完善综合应急保障体系</w:t>
      </w:r>
      <w:bookmarkEnd w:id="659"/>
      <w:bookmarkEnd w:id="660"/>
      <w:bookmarkEnd w:id="661"/>
      <w:bookmarkEnd w:id="662"/>
      <w:bookmarkEnd w:id="663"/>
      <w:bookmarkEnd w:id="664"/>
    </w:p>
    <w:p w:rsidR="00E35214" w:rsidRDefault="006F7231">
      <w:pPr>
        <w:snapToGrid w:val="0"/>
        <w:spacing w:line="560" w:lineRule="exact"/>
        <w:ind w:firstLineChars="200" w:firstLine="640"/>
        <w:textAlignment w:val="baseline"/>
        <w:rPr>
          <w:rFonts w:ascii="仿宋" w:eastAsia="仿宋" w:hAnsi="仿宋" w:cs="仿宋"/>
          <w:sz w:val="32"/>
          <w:szCs w:val="32"/>
        </w:rPr>
      </w:pPr>
      <w:r>
        <w:rPr>
          <w:rFonts w:ascii="仿宋" w:eastAsia="仿宋" w:hAnsi="仿宋" w:cs="仿宋" w:hint="eastAsia"/>
          <w:sz w:val="32"/>
          <w:szCs w:val="32"/>
        </w:rPr>
        <w:t>充分利用和整合现有资源，提高应急救援基础设施和装备使用效率，统筹基地、队伍、信息化、装备等建设，提升综合应急救援能力。推进交通协同保障能力建设，提升道路交通应急抢通能力，建设公铁两用救援和灾备中心。发挥通用航空在抢险救灾、医疗救护等领域作用。加强粮食和物资储备中心建设，完善粮食、救灾物资等生活必需品、药品类应急物资的储备、调拨和紧急配送机制。强化应急科技支撑，建设系统化、智能化应急管理综合应用平台、“一张图”和</w:t>
      </w:r>
      <w:r>
        <w:rPr>
          <w:rFonts w:ascii="仿宋" w:eastAsia="仿宋" w:hAnsi="仿宋" w:cs="仿宋" w:hint="eastAsia"/>
          <w:sz w:val="32"/>
          <w:szCs w:val="32"/>
        </w:rPr>
        <w:lastRenderedPageBreak/>
        <w:t>相关数据治理系统，推进远程传输实时对讲指挥平台建设，加快形成空地一体化通讯网络，建成快速反应、科学决策、高效指挥的应急管理信息化体系。建设数据应用安全防护系统、认证授权与密码服务系统。</w:t>
      </w:r>
    </w:p>
    <w:p w:rsidR="00E35214" w:rsidRDefault="00E35214">
      <w:pPr>
        <w:pStyle w:val="a0"/>
      </w:pPr>
    </w:p>
    <w:p w:rsidR="00E35214" w:rsidRDefault="006F7231">
      <w:pPr>
        <w:pStyle w:val="NewNewNewNewNewNewNewNewNewNewNewNewNewNewNewNew"/>
        <w:snapToGrid w:val="0"/>
        <w:spacing w:line="240" w:lineRule="auto"/>
        <w:ind w:firstLineChars="0" w:firstLine="0"/>
        <w:jc w:val="center"/>
        <w:textAlignment w:val="baseline"/>
        <w:rPr>
          <w:rFonts w:ascii="楷体" w:eastAsia="楷体" w:hAnsi="楷体" w:cs="仿宋"/>
          <w:b/>
          <w:bCs/>
          <w:spacing w:val="-6"/>
          <w:sz w:val="28"/>
          <w:szCs w:val="28"/>
        </w:rPr>
      </w:pPr>
      <w:r>
        <w:rPr>
          <w:rFonts w:ascii="楷体" w:eastAsia="楷体" w:hAnsi="楷体" w:cs="仿宋" w:hint="eastAsia"/>
          <w:b/>
          <w:bCs/>
          <w:spacing w:val="-6"/>
          <w:sz w:val="28"/>
          <w:szCs w:val="28"/>
        </w:rPr>
        <w:t>专栏22应急体系建设重点项目</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E35214">
        <w:trPr>
          <w:trHeight w:val="2961"/>
        </w:trPr>
        <w:tc>
          <w:tcPr>
            <w:tcW w:w="8522" w:type="dxa"/>
          </w:tcPr>
          <w:p w:rsidR="00E35214" w:rsidRDefault="006F7231">
            <w:pPr>
              <w:snapToGrid w:val="0"/>
              <w:spacing w:line="400" w:lineRule="atLeast"/>
              <w:ind w:firstLine="454"/>
              <w:textAlignment w:val="baseline"/>
              <w:rPr>
                <w:rFonts w:ascii="楷体" w:eastAsia="楷体" w:hAnsi="楷体" w:cs="楷体"/>
                <w:spacing w:val="-6"/>
                <w:sz w:val="24"/>
                <w:szCs w:val="22"/>
              </w:rPr>
            </w:pPr>
            <w:r>
              <w:rPr>
                <w:rFonts w:ascii="楷体" w:eastAsia="楷体" w:hAnsi="楷体" w:cs="楷体" w:hint="eastAsia"/>
                <w:b/>
                <w:bCs/>
                <w:spacing w:val="-6"/>
                <w:sz w:val="24"/>
                <w:szCs w:val="22"/>
              </w:rPr>
              <w:t>金口河应急指挥信息系统建设工程</w:t>
            </w:r>
            <w:r>
              <w:rPr>
                <w:rFonts w:ascii="楷体" w:eastAsia="楷体" w:hAnsi="楷体" w:cs="楷体" w:hint="eastAsia"/>
                <w:spacing w:val="-6"/>
                <w:sz w:val="24"/>
                <w:szCs w:val="22"/>
              </w:rPr>
              <w:t>：完成区级应急指挥信息系统部署，包含指挥场所建设及装备配置，计划投资46万元；完成区级应急通信保障队伍装备配备，计划投资205.91万元。</w:t>
            </w:r>
          </w:p>
          <w:p w:rsidR="00E35214" w:rsidRDefault="006F7231">
            <w:pPr>
              <w:snapToGrid w:val="0"/>
              <w:spacing w:line="400" w:lineRule="atLeast"/>
              <w:ind w:firstLine="454"/>
              <w:textAlignment w:val="baseline"/>
              <w:rPr>
                <w:rFonts w:ascii="仿宋" w:eastAsia="仿宋" w:hAnsi="仿宋" w:cs="仿宋"/>
                <w:sz w:val="32"/>
                <w:szCs w:val="32"/>
              </w:rPr>
            </w:pPr>
            <w:r>
              <w:rPr>
                <w:rFonts w:ascii="楷体" w:eastAsia="楷体" w:hAnsi="楷体" w:cs="楷体" w:hint="eastAsia"/>
                <w:b/>
                <w:bCs/>
                <w:spacing w:val="-6"/>
                <w:sz w:val="24"/>
                <w:szCs w:val="22"/>
              </w:rPr>
              <w:t>金口河应急管理综合应用平台建设</w:t>
            </w:r>
            <w:r>
              <w:rPr>
                <w:rFonts w:ascii="楷体" w:eastAsia="楷体" w:hAnsi="楷体" w:cs="楷体" w:hint="eastAsia"/>
                <w:spacing w:val="-6"/>
                <w:sz w:val="24"/>
                <w:szCs w:val="22"/>
              </w:rPr>
              <w:t>工程：完成区应急管理综合应用平台建设，以及突发事件接报、联合指挥、 移动指挥 APP、协同会商、智能预案、应急资源管理、应急体系管理等功能部署。按省综合平台建设标准，2021、2022年，每年投资68.75万元。</w:t>
            </w:r>
          </w:p>
        </w:tc>
      </w:tr>
    </w:tbl>
    <w:p w:rsidR="00E35214" w:rsidRDefault="00E35214">
      <w:pPr>
        <w:snapToGrid w:val="0"/>
        <w:textAlignment w:val="baseline"/>
        <w:rPr>
          <w:rFonts w:ascii="仿宋" w:eastAsia="仿宋" w:hAnsi="仿宋" w:cs="仿宋"/>
          <w:sz w:val="20"/>
        </w:rPr>
      </w:pPr>
    </w:p>
    <w:p w:rsidR="00E35214" w:rsidRDefault="006F7231">
      <w:pPr>
        <w:pStyle w:val="a5"/>
        <w:snapToGrid w:val="0"/>
        <w:textAlignment w:val="baseline"/>
      </w:pPr>
      <w:r>
        <w:br w:type="page"/>
      </w:r>
    </w:p>
    <w:p w:rsidR="00E35214" w:rsidRDefault="00E35214">
      <w:pPr>
        <w:snapToGrid w:val="0"/>
        <w:textAlignment w:val="baseline"/>
        <w:rPr>
          <w:rFonts w:ascii="仿宋" w:eastAsia="仿宋" w:hAnsi="仿宋" w:cs="仿宋"/>
          <w:sz w:val="20"/>
        </w:rPr>
      </w:pPr>
    </w:p>
    <w:p w:rsidR="00E35214" w:rsidRDefault="006F7231">
      <w:pPr>
        <w:snapToGrid w:val="0"/>
        <w:spacing w:before="340" w:after="330" w:line="576" w:lineRule="auto"/>
        <w:jc w:val="center"/>
        <w:textAlignment w:val="baseline"/>
        <w:rPr>
          <w:rFonts w:eastAsia="黑体"/>
          <w:b/>
          <w:bCs/>
          <w:kern w:val="44"/>
          <w:sz w:val="36"/>
          <w:szCs w:val="44"/>
        </w:rPr>
      </w:pPr>
      <w:bookmarkStart w:id="665" w:name="_Toc20138"/>
      <w:bookmarkStart w:id="666" w:name="_Toc23247"/>
      <w:bookmarkStart w:id="667" w:name="_Toc17266"/>
      <w:bookmarkStart w:id="668" w:name="_Toc4084"/>
      <w:bookmarkStart w:id="669" w:name="_Toc12636"/>
      <w:bookmarkStart w:id="670" w:name="_Toc17205"/>
      <w:bookmarkStart w:id="671" w:name="_Toc28378"/>
      <w:bookmarkStart w:id="672" w:name="_Toc3330"/>
      <w:bookmarkStart w:id="673" w:name="_Toc780"/>
      <w:bookmarkStart w:id="674" w:name="_Toc11295"/>
      <w:bookmarkStart w:id="675" w:name="_Toc16273"/>
      <w:r>
        <w:rPr>
          <w:rFonts w:eastAsia="黑体" w:hint="eastAsia"/>
          <w:b/>
          <w:bCs/>
          <w:kern w:val="44"/>
          <w:sz w:val="36"/>
          <w:szCs w:val="44"/>
        </w:rPr>
        <w:t>第十篇创新社会治理，建设平安</w:t>
      </w:r>
      <w:bookmarkEnd w:id="665"/>
      <w:bookmarkEnd w:id="666"/>
      <w:bookmarkEnd w:id="667"/>
      <w:bookmarkEnd w:id="668"/>
      <w:bookmarkEnd w:id="669"/>
      <w:r>
        <w:rPr>
          <w:rFonts w:eastAsia="黑体" w:hint="eastAsia"/>
          <w:b/>
          <w:bCs/>
          <w:kern w:val="44"/>
          <w:sz w:val="36"/>
          <w:szCs w:val="44"/>
        </w:rPr>
        <w:t>金口河</w:t>
      </w:r>
      <w:bookmarkEnd w:id="670"/>
      <w:bookmarkEnd w:id="671"/>
      <w:bookmarkEnd w:id="672"/>
      <w:bookmarkEnd w:id="673"/>
      <w:bookmarkEnd w:id="674"/>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积极推进社会</w:t>
      </w:r>
      <w:r w:rsidR="00AE1851" w:rsidRPr="00AE1851">
        <w:rPr>
          <w:rFonts w:ascii="仿宋" w:eastAsia="仿宋" w:hAnsi="仿宋" w:cs="仿宋"/>
          <w:spacing w:val="-6"/>
          <w:sz w:val="32"/>
          <w:szCs w:val="32"/>
        </w:rPr>
        <w:t>治理体系和治理能力现代化</w:t>
      </w:r>
      <w:r>
        <w:rPr>
          <w:rFonts w:ascii="仿宋" w:eastAsia="仿宋" w:hAnsi="仿宋" w:cs="仿宋" w:hint="eastAsia"/>
          <w:spacing w:val="-6"/>
          <w:sz w:val="32"/>
          <w:szCs w:val="32"/>
        </w:rPr>
        <w:t>建设</w:t>
      </w:r>
      <w:bookmarkEnd w:id="675"/>
      <w:r>
        <w:rPr>
          <w:rFonts w:ascii="仿宋" w:eastAsia="仿宋" w:hAnsi="仿宋" w:cs="仿宋" w:hint="eastAsia"/>
          <w:spacing w:val="-6"/>
          <w:sz w:val="32"/>
          <w:szCs w:val="32"/>
        </w:rPr>
        <w:t>，防范和化解重大风险，全力维护国家安全和民族团结，促进社会和谐稳定。</w:t>
      </w:r>
      <w:r>
        <w:rPr>
          <w:rFonts w:ascii="仿宋" w:eastAsia="仿宋" w:hAnsi="仿宋" w:cs="仿宋" w:hint="eastAsia"/>
          <w:kern w:val="0"/>
          <w:sz w:val="32"/>
          <w:szCs w:val="32"/>
        </w:rPr>
        <w:t>深化法治金口河和平安金口河建设，加快由社会管理向社会治理转变，打造共建共治共享的社会治理新格局。</w:t>
      </w:r>
    </w:p>
    <w:p w:rsidR="00E35214" w:rsidRDefault="00E35214">
      <w:pPr>
        <w:snapToGrid w:val="0"/>
        <w:spacing w:line="580" w:lineRule="exact"/>
        <w:ind w:firstLineChars="200" w:firstLine="616"/>
        <w:textAlignment w:val="baseline"/>
        <w:rPr>
          <w:rFonts w:ascii="仿宋" w:eastAsia="仿宋" w:hAnsi="仿宋" w:cs="仿宋"/>
          <w:spacing w:val="-6"/>
          <w:sz w:val="32"/>
          <w:szCs w:val="32"/>
        </w:rPr>
      </w:pPr>
    </w:p>
    <w:p w:rsidR="00E35214" w:rsidRDefault="006F7231">
      <w:pPr>
        <w:pStyle w:val="2"/>
        <w:snapToGrid w:val="0"/>
        <w:textAlignment w:val="baseline"/>
      </w:pPr>
      <w:bookmarkStart w:id="676" w:name="_Toc9239"/>
      <w:bookmarkStart w:id="677" w:name="_Toc18888"/>
      <w:bookmarkStart w:id="678" w:name="_Toc11507"/>
      <w:bookmarkStart w:id="679" w:name="_Toc4498"/>
      <w:bookmarkStart w:id="680" w:name="_Toc6006"/>
      <w:bookmarkStart w:id="681" w:name="_Toc27415"/>
      <w:bookmarkStart w:id="682" w:name="_Toc17746"/>
      <w:bookmarkStart w:id="683" w:name="_Toc24719"/>
      <w:bookmarkStart w:id="684" w:name="_Toc9853"/>
      <w:bookmarkStart w:id="685" w:name="_Toc14692"/>
      <w:bookmarkStart w:id="686" w:name="_Toc24820"/>
      <w:r>
        <w:rPr>
          <w:rFonts w:hint="eastAsia"/>
        </w:rPr>
        <w:t>第三十五章</w:t>
      </w:r>
      <w:bookmarkEnd w:id="676"/>
      <w:r>
        <w:rPr>
          <w:rFonts w:hint="eastAsia"/>
        </w:rPr>
        <w:t>夯实基层治理基础</w:t>
      </w:r>
      <w:bookmarkEnd w:id="677"/>
      <w:bookmarkEnd w:id="678"/>
      <w:bookmarkEnd w:id="679"/>
      <w:bookmarkEnd w:id="680"/>
      <w:bookmarkEnd w:id="681"/>
      <w:bookmarkEnd w:id="682"/>
      <w:bookmarkEnd w:id="683"/>
      <w:bookmarkEnd w:id="684"/>
      <w:bookmarkEnd w:id="685"/>
      <w:bookmarkEnd w:id="686"/>
    </w:p>
    <w:p w:rsidR="00E35214" w:rsidRDefault="006F7231">
      <w:pPr>
        <w:pStyle w:val="a0"/>
        <w:snapToGrid w:val="0"/>
        <w:spacing w:line="580" w:lineRule="exact"/>
        <w:ind w:firstLineChars="200" w:firstLine="616"/>
        <w:textAlignment w:val="baseline"/>
        <w:rPr>
          <w:rFonts w:ascii="仿宋" w:eastAsia="仿宋" w:hAnsi="仿宋" w:cs="仿宋"/>
          <w:spacing w:val="-6"/>
          <w:szCs w:val="32"/>
        </w:rPr>
      </w:pPr>
      <w:r>
        <w:rPr>
          <w:rFonts w:ascii="仿宋" w:eastAsia="仿宋" w:hAnsi="仿宋" w:cs="仿宋" w:hint="eastAsia"/>
          <w:spacing w:val="-6"/>
          <w:szCs w:val="32"/>
        </w:rPr>
        <w:t>完善基层治理和服务体系，依法有序组织社会力量参与基层治理，促进基层治理制度化、规范化、程序化</w:t>
      </w:r>
      <w:r>
        <w:rPr>
          <w:rFonts w:hint="eastAsia"/>
        </w:rPr>
        <w:t>，实现社会治理质效提升、多元共治、智慧治理。</w:t>
      </w:r>
    </w:p>
    <w:p w:rsidR="00E35214" w:rsidRDefault="006F7231">
      <w:pPr>
        <w:pStyle w:val="3"/>
        <w:snapToGrid w:val="0"/>
        <w:spacing w:line="580" w:lineRule="exact"/>
        <w:textAlignment w:val="baseline"/>
        <w:rPr>
          <w:rFonts w:ascii="仿宋" w:eastAsia="仿宋" w:hAnsi="仿宋" w:cs="仿宋"/>
          <w:spacing w:val="-6"/>
          <w:szCs w:val="22"/>
        </w:rPr>
      </w:pPr>
      <w:bookmarkStart w:id="687" w:name="_Toc28282"/>
      <w:r>
        <w:rPr>
          <w:rFonts w:ascii="仿宋" w:eastAsia="仿宋" w:hAnsi="仿宋" w:cs="仿宋" w:hint="eastAsia"/>
          <w:spacing w:val="-6"/>
          <w:szCs w:val="22"/>
        </w:rPr>
        <w:t>第一节  提升基层治理效能</w:t>
      </w:r>
      <w:bookmarkEnd w:id="687"/>
    </w:p>
    <w:p w:rsidR="00E35214" w:rsidRDefault="006F7231">
      <w:pPr>
        <w:snapToGrid w:val="0"/>
        <w:spacing w:line="580" w:lineRule="atLeast"/>
        <w:ind w:firstLine="641"/>
        <w:textAlignment w:val="baseline"/>
        <w:rPr>
          <w:rFonts w:ascii="仿宋" w:eastAsia="仿宋" w:hAnsi="仿宋" w:cs="仿宋"/>
          <w:spacing w:val="-6"/>
          <w:sz w:val="32"/>
          <w:szCs w:val="32"/>
        </w:rPr>
      </w:pPr>
      <w:r>
        <w:rPr>
          <w:rFonts w:ascii="仿宋" w:eastAsia="仿宋" w:hAnsi="仿宋" w:cs="仿宋" w:hint="eastAsia"/>
          <w:spacing w:val="-6"/>
          <w:sz w:val="32"/>
          <w:szCs w:val="32"/>
        </w:rPr>
        <w:t>做好乡镇行政区划和村级建制调整改革“后半篇”文章，推动社会治理重心向基层下移，深化改革街道和社区管理体制，创新完善现代乡村治理制度。开展党群服务中心“亲民化”改造，建立基层公共服务多元供给机制。着力实施“头雁行动”，推动“固本强基”，提升党建引领能力，建强基层战斗堡垒，探索民族地区、易地扶贫搬迁集中安置点、城乡</w:t>
      </w:r>
      <w:r w:rsidR="00AE1851">
        <w:rPr>
          <w:rFonts w:ascii="仿宋" w:eastAsia="仿宋" w:hAnsi="仿宋" w:cs="仿宋" w:hint="eastAsia"/>
          <w:spacing w:val="-6"/>
          <w:sz w:val="32"/>
          <w:szCs w:val="32"/>
        </w:rPr>
        <w:t>接合</w:t>
      </w:r>
      <w:r>
        <w:rPr>
          <w:rFonts w:ascii="仿宋" w:eastAsia="仿宋" w:hAnsi="仿宋" w:cs="仿宋" w:hint="eastAsia"/>
          <w:spacing w:val="-6"/>
          <w:sz w:val="32"/>
          <w:szCs w:val="32"/>
        </w:rPr>
        <w:t>部新型社区等治理新机制。创新基层监督机制，实现资源配置优化、服务能力增强、治理效能提升。</w:t>
      </w:r>
    </w:p>
    <w:p w:rsidR="00E35214" w:rsidRDefault="006F7231">
      <w:pPr>
        <w:pStyle w:val="3"/>
        <w:snapToGrid w:val="0"/>
        <w:spacing w:line="580" w:lineRule="exact"/>
        <w:textAlignment w:val="baseline"/>
        <w:rPr>
          <w:rFonts w:ascii="仿宋" w:eastAsia="仿宋" w:hAnsi="仿宋" w:cs="仿宋"/>
          <w:spacing w:val="-6"/>
          <w:szCs w:val="22"/>
        </w:rPr>
      </w:pPr>
      <w:bookmarkStart w:id="688" w:name="_Toc25495"/>
      <w:r>
        <w:rPr>
          <w:rFonts w:ascii="仿宋" w:eastAsia="仿宋" w:hAnsi="仿宋" w:cs="仿宋" w:hint="eastAsia"/>
          <w:spacing w:val="-6"/>
          <w:szCs w:val="22"/>
        </w:rPr>
        <w:lastRenderedPageBreak/>
        <w:t>第二节  构建基层治理共同体</w:t>
      </w:r>
      <w:bookmarkEnd w:id="688"/>
    </w:p>
    <w:p w:rsidR="00E35214" w:rsidRDefault="006F7231">
      <w:pPr>
        <w:snapToGrid w:val="0"/>
        <w:spacing w:line="580" w:lineRule="atLeast"/>
        <w:ind w:firstLine="641"/>
        <w:textAlignment w:val="baseline"/>
        <w:rPr>
          <w:rFonts w:ascii="仿宋" w:eastAsia="仿宋" w:hAnsi="仿宋" w:cs="仿宋"/>
          <w:spacing w:val="-6"/>
          <w:sz w:val="32"/>
          <w:szCs w:val="32"/>
        </w:rPr>
      </w:pPr>
      <w:r>
        <w:rPr>
          <w:rFonts w:ascii="仿宋" w:eastAsia="仿宋" w:hAnsi="仿宋" w:cs="仿宋" w:hint="eastAsia"/>
          <w:spacing w:val="-6"/>
          <w:sz w:val="32"/>
          <w:szCs w:val="32"/>
        </w:rPr>
        <w:t>健全党组织领导的自治、法治、德治相结合的城乡基层治理体系。完善基层民主协商制度，实现政府治理同社会调节、居民自治良性互动，建设人人有责、人人尽责、人人享有的社会治理共同体。畅通和规范市场主体、新社会阶层、社会工作者和志愿者等参与社会治理的途径，发挥群团组织和社会组织在社会治理中的作用。深化城乡基层治理示范创建，积极开展乡镇治理现代化试点，培育一批乡村治理示范村镇。</w:t>
      </w:r>
    </w:p>
    <w:p w:rsidR="00E35214" w:rsidRDefault="006F7231">
      <w:pPr>
        <w:pStyle w:val="3"/>
        <w:snapToGrid w:val="0"/>
        <w:spacing w:line="580" w:lineRule="exact"/>
        <w:textAlignment w:val="baseline"/>
        <w:rPr>
          <w:rFonts w:ascii="仿宋" w:eastAsia="仿宋" w:hAnsi="仿宋" w:cs="仿宋"/>
          <w:spacing w:val="-6"/>
          <w:szCs w:val="22"/>
        </w:rPr>
      </w:pPr>
      <w:bookmarkStart w:id="689" w:name="_Toc29081"/>
      <w:r>
        <w:rPr>
          <w:rFonts w:ascii="仿宋" w:eastAsia="仿宋" w:hAnsi="仿宋" w:cs="仿宋" w:hint="eastAsia"/>
          <w:spacing w:val="-6"/>
          <w:szCs w:val="22"/>
        </w:rPr>
        <w:t xml:space="preserve">第三节 </w:t>
      </w:r>
      <w:bookmarkStart w:id="690" w:name="_Toc16441"/>
      <w:bookmarkEnd w:id="689"/>
      <w:r>
        <w:rPr>
          <w:rFonts w:ascii="仿宋" w:eastAsia="仿宋" w:hAnsi="仿宋" w:cs="仿宋" w:hint="eastAsia"/>
          <w:spacing w:val="-6"/>
          <w:szCs w:val="22"/>
        </w:rPr>
        <w:t>深化网格化服务管理</w:t>
      </w:r>
      <w:bookmarkEnd w:id="690"/>
    </w:p>
    <w:p w:rsidR="00E35214" w:rsidRDefault="006F7231">
      <w:pPr>
        <w:snapToGrid w:val="0"/>
        <w:spacing w:line="580" w:lineRule="atLeast"/>
        <w:ind w:firstLine="641"/>
        <w:textAlignment w:val="baseline"/>
        <w:rPr>
          <w:rFonts w:ascii="仿宋" w:eastAsia="仿宋" w:hAnsi="仿宋" w:cs="仿宋"/>
          <w:spacing w:val="-6"/>
          <w:sz w:val="32"/>
          <w:szCs w:val="32"/>
        </w:rPr>
      </w:pPr>
      <w:r>
        <w:rPr>
          <w:rFonts w:ascii="Times New Roman" w:eastAsia="仿宋_GB2312" w:hAnsi="Times New Roman" w:cs="宋体" w:hint="eastAsia"/>
          <w:bCs/>
          <w:kern w:val="0"/>
          <w:sz w:val="32"/>
          <w:szCs w:val="32"/>
        </w:rPr>
        <w:t>按照“网格统一划分、资源统一整合、人员统一调配、信息统一采集、工作统一要求”推进网格建设，实现“多网合一、一网运行”，建立完善“全域覆盖、全网整合、规范高效、常态运行”的网格化服务管理体系，建立网格员职责清单、网格化服务管理事项准入退出机制，落实城镇网格配备专职网格管理员，完善网格化服务管理信息系统应用功能，为基层社会治理提供科技支撑。</w:t>
      </w:r>
      <w:r>
        <w:rPr>
          <w:rFonts w:ascii="仿宋" w:eastAsia="仿宋" w:hAnsi="仿宋" w:cs="仿宋" w:hint="eastAsia"/>
          <w:spacing w:val="-6"/>
          <w:sz w:val="32"/>
          <w:szCs w:val="32"/>
        </w:rPr>
        <w:t>整合现有视频监控、数据业务、运行系统等资源，推动信息网络和数据资源互联互通，构建网格化管理、精细化服务、信息化支撑、开放共享的基层管理服务平台，实现城市运行“一网统管”。</w:t>
      </w:r>
    </w:p>
    <w:p w:rsidR="00E35214" w:rsidRDefault="00E35214">
      <w:pPr>
        <w:pStyle w:val="Style3"/>
        <w:snapToGrid w:val="0"/>
        <w:spacing w:line="580" w:lineRule="atLeast"/>
        <w:ind w:firstLine="641"/>
        <w:textAlignment w:val="baseline"/>
        <w:rPr>
          <w:rFonts w:ascii="Times New Roman" w:eastAsia="仿宋_GB2312" w:hAnsi="Times New Roman" w:cs="宋体"/>
          <w:bCs/>
          <w:kern w:val="0"/>
          <w:sz w:val="32"/>
          <w:szCs w:val="32"/>
        </w:rPr>
      </w:pPr>
    </w:p>
    <w:p w:rsidR="00E35214" w:rsidRDefault="006F7231">
      <w:pPr>
        <w:pStyle w:val="NewNewNewNewNewNewNewNewNewNewNewNewNewNewNewNew"/>
        <w:snapToGrid w:val="0"/>
        <w:spacing w:line="240" w:lineRule="auto"/>
        <w:ind w:firstLineChars="0" w:firstLine="0"/>
        <w:jc w:val="center"/>
        <w:textAlignment w:val="baseline"/>
        <w:rPr>
          <w:rFonts w:ascii="楷体" w:eastAsia="楷体" w:hAnsi="楷体" w:cs="仿宋"/>
          <w:b/>
          <w:bCs/>
          <w:spacing w:val="-6"/>
          <w:sz w:val="28"/>
          <w:szCs w:val="28"/>
        </w:rPr>
      </w:pPr>
      <w:r>
        <w:rPr>
          <w:rFonts w:ascii="楷体" w:eastAsia="楷体" w:hAnsi="楷体" w:cs="仿宋" w:hint="eastAsia"/>
          <w:b/>
          <w:bCs/>
          <w:spacing w:val="-6"/>
          <w:sz w:val="28"/>
          <w:szCs w:val="28"/>
        </w:rPr>
        <w:t>专栏23基层治理重点项目</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E35214">
        <w:trPr>
          <w:trHeight w:val="1562"/>
        </w:trPr>
        <w:tc>
          <w:tcPr>
            <w:tcW w:w="8522" w:type="dxa"/>
          </w:tcPr>
          <w:p w:rsidR="00E35214" w:rsidRDefault="006F7231">
            <w:pPr>
              <w:snapToGrid w:val="0"/>
              <w:spacing w:line="400" w:lineRule="atLeast"/>
              <w:ind w:firstLine="454"/>
              <w:textAlignment w:val="baseline"/>
              <w:rPr>
                <w:rFonts w:ascii="楷体" w:eastAsia="楷体" w:hAnsi="楷体" w:cs="楷体"/>
                <w:b/>
                <w:bCs/>
                <w:spacing w:val="-6"/>
                <w:sz w:val="24"/>
                <w:szCs w:val="22"/>
              </w:rPr>
            </w:pPr>
            <w:r>
              <w:rPr>
                <w:rFonts w:ascii="楷体" w:eastAsia="楷体" w:hAnsi="楷体" w:cs="楷体" w:hint="eastAsia"/>
                <w:b/>
                <w:bCs/>
                <w:spacing w:val="-6"/>
                <w:sz w:val="24"/>
                <w:szCs w:val="22"/>
              </w:rPr>
              <w:lastRenderedPageBreak/>
              <w:t>网格服务管理能力提升工程。</w:t>
            </w:r>
            <w:r>
              <w:rPr>
                <w:rFonts w:ascii="楷体" w:eastAsia="楷体" w:hAnsi="楷体" w:cs="楷体" w:hint="eastAsia"/>
                <w:spacing w:val="-6"/>
                <w:sz w:val="24"/>
                <w:szCs w:val="22"/>
              </w:rPr>
              <w:t>进一步厘清网格员职能，规范网格员事项清单；进一步加强网格员队伍建设，健全完善专兼职网格员招聘、培养、保障与管理机制；加强信息化建设，注重数据融合共享，提升智能化应用水平，不断提升社会治理预测预警预防能力。</w:t>
            </w:r>
          </w:p>
        </w:tc>
      </w:tr>
    </w:tbl>
    <w:p w:rsidR="00E35214" w:rsidRDefault="00E35214">
      <w:pPr>
        <w:pStyle w:val="20"/>
        <w:snapToGrid w:val="0"/>
        <w:textAlignment w:val="baseline"/>
        <w:rPr>
          <w:sz w:val="21"/>
        </w:rPr>
      </w:pPr>
      <w:bookmarkStart w:id="691" w:name="_Toc10289"/>
      <w:bookmarkStart w:id="692" w:name="_Toc10508"/>
    </w:p>
    <w:p w:rsidR="00E35214" w:rsidRDefault="006F7231">
      <w:pPr>
        <w:pStyle w:val="2"/>
        <w:snapToGrid w:val="0"/>
        <w:textAlignment w:val="baseline"/>
      </w:pPr>
      <w:bookmarkStart w:id="693" w:name="_Toc26200"/>
      <w:bookmarkStart w:id="694" w:name="_Toc27912"/>
      <w:bookmarkStart w:id="695" w:name="_Toc30022"/>
      <w:bookmarkStart w:id="696" w:name="_Toc5626"/>
      <w:bookmarkStart w:id="697" w:name="_Toc29290"/>
      <w:bookmarkStart w:id="698" w:name="_Toc32180"/>
      <w:bookmarkStart w:id="699" w:name="_Toc1649"/>
      <w:bookmarkStart w:id="700" w:name="_Toc16618"/>
      <w:bookmarkStart w:id="701" w:name="_Toc18360"/>
      <w:r>
        <w:rPr>
          <w:rFonts w:hint="eastAsia"/>
        </w:rPr>
        <w:t>第三十六章</w:t>
      </w:r>
      <w:bookmarkEnd w:id="691"/>
      <w:r>
        <w:rPr>
          <w:rFonts w:hint="eastAsia"/>
        </w:rPr>
        <w:t>积极防范和化解各种风险</w:t>
      </w:r>
      <w:bookmarkEnd w:id="692"/>
      <w:bookmarkEnd w:id="693"/>
      <w:bookmarkEnd w:id="694"/>
      <w:bookmarkEnd w:id="695"/>
      <w:bookmarkEnd w:id="696"/>
      <w:bookmarkEnd w:id="697"/>
      <w:bookmarkEnd w:id="698"/>
      <w:bookmarkEnd w:id="699"/>
      <w:bookmarkEnd w:id="700"/>
      <w:bookmarkEnd w:id="701"/>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坚持总体国家安全观，统筹传统安全和非传统安全，把安全发展贯穿金口河发展各领域和全过程，完善社会治安防范体系。</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702" w:name="_Toc7305"/>
      <w:bookmarkStart w:id="703" w:name="_Toc787"/>
      <w:bookmarkStart w:id="704" w:name="_Toc23629"/>
      <w:bookmarkStart w:id="705" w:name="_Toc18931"/>
      <w:bookmarkStart w:id="706" w:name="_Toc20612"/>
      <w:bookmarkStart w:id="707" w:name="_Toc18435"/>
      <w:r>
        <w:rPr>
          <w:rFonts w:ascii="仿宋" w:eastAsia="仿宋" w:hAnsi="仿宋" w:cs="仿宋" w:hint="eastAsia"/>
          <w:spacing w:val="-6"/>
          <w:szCs w:val="22"/>
        </w:rPr>
        <w:t>第一节  防范化解经济风险</w:t>
      </w:r>
      <w:bookmarkEnd w:id="702"/>
      <w:bookmarkEnd w:id="703"/>
      <w:bookmarkEnd w:id="704"/>
      <w:bookmarkEnd w:id="705"/>
      <w:bookmarkEnd w:id="706"/>
      <w:bookmarkEnd w:id="707"/>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加强经济安全风险预警、防控机制和能力建设。加强政府性债务管理，用好预算约束手段，加强人大监督，严控一般性支出和隐性债务，分类分级妥善化解存量债务，定期评估债务风险，构建以政府债务率为核心的风险指标体系。坚决打击违法违规金融活动，持续开展互联网金融、非法集资等专项整治，妥善处置重点企业信用风险。确保粮食安全、生态安全、重要基础设施安全。</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708" w:name="_Toc9083"/>
      <w:bookmarkStart w:id="709" w:name="_Toc5058"/>
      <w:bookmarkStart w:id="710" w:name="_Toc5193"/>
      <w:bookmarkStart w:id="711" w:name="_Toc3136"/>
      <w:bookmarkStart w:id="712" w:name="_Toc19829"/>
      <w:bookmarkStart w:id="713" w:name="_Toc3726"/>
      <w:r>
        <w:rPr>
          <w:rFonts w:ascii="仿宋" w:eastAsia="仿宋" w:hAnsi="仿宋" w:cs="仿宋" w:hint="eastAsia"/>
          <w:spacing w:val="-6"/>
          <w:szCs w:val="22"/>
        </w:rPr>
        <w:t>第二节  积极化解社会矛盾</w:t>
      </w:r>
      <w:bookmarkEnd w:id="708"/>
      <w:bookmarkEnd w:id="709"/>
      <w:bookmarkEnd w:id="710"/>
      <w:bookmarkEnd w:id="711"/>
      <w:bookmarkEnd w:id="712"/>
      <w:bookmarkEnd w:id="713"/>
    </w:p>
    <w:p w:rsidR="00E35214" w:rsidRDefault="006F7231">
      <w:pPr>
        <w:snapToGrid w:val="0"/>
        <w:spacing w:line="597" w:lineRule="exact"/>
        <w:ind w:firstLine="640"/>
        <w:textAlignment w:val="baseline"/>
        <w:rPr>
          <w:rFonts w:ascii="仿宋" w:eastAsia="仿宋" w:hAnsi="仿宋" w:cs="仿宋"/>
          <w:sz w:val="20"/>
        </w:rPr>
      </w:pPr>
      <w:r>
        <w:rPr>
          <w:rFonts w:ascii="仿宋" w:eastAsia="仿宋" w:hAnsi="仿宋" w:cs="仿宋" w:hint="eastAsia"/>
          <w:spacing w:val="-6"/>
          <w:sz w:val="32"/>
          <w:szCs w:val="32"/>
        </w:rPr>
        <w:t>深化诉非衔接、公调对接、诉源治理等工作机制，规范化建设乡镇、村（社区）人民调解委员会和专业性行业性人民调解委员会，依托“互联网</w:t>
      </w:r>
      <w:r>
        <w:rPr>
          <w:rFonts w:ascii="仿宋" w:eastAsia="仿宋" w:hAnsi="仿宋" w:cs="仿宋"/>
          <w:spacing w:val="-6"/>
          <w:sz w:val="32"/>
          <w:szCs w:val="32"/>
        </w:rPr>
        <w:t>+人民调解”搭建一批特色调解平台。完善信访制度，畅通和规范群众诉求表达、利益协调、权益保</w:t>
      </w:r>
      <w:r>
        <w:rPr>
          <w:rFonts w:ascii="仿宋" w:eastAsia="仿宋" w:hAnsi="仿宋" w:cs="仿宋"/>
          <w:spacing w:val="-6"/>
          <w:sz w:val="32"/>
          <w:szCs w:val="32"/>
        </w:rPr>
        <w:lastRenderedPageBreak/>
        <w:t>障通道。健全社会心理服务体系和危机干预机制。</w:t>
      </w:r>
      <w:r>
        <w:rPr>
          <w:rFonts w:ascii="仿宋" w:eastAsia="仿宋" w:hAnsi="仿宋" w:cs="仿宋" w:hint="eastAsia"/>
          <w:kern w:val="0"/>
          <w:sz w:val="32"/>
          <w:szCs w:val="32"/>
        </w:rPr>
        <w:t>注重矛盾纠纷多元化解，推动信访积案“清仓见底”。更好发挥“峡谷情</w:t>
      </w:r>
      <w:r>
        <w:rPr>
          <w:rFonts w:ascii="宋体" w:hAnsi="宋体" w:cs="宋体" w:hint="eastAsia"/>
          <w:kern w:val="0"/>
          <w:sz w:val="32"/>
          <w:szCs w:val="32"/>
        </w:rPr>
        <w:t>•</w:t>
      </w:r>
      <w:r>
        <w:rPr>
          <w:rFonts w:ascii="仿宋" w:eastAsia="仿宋" w:hAnsi="仿宋" w:cs="仿宋" w:hint="eastAsia"/>
          <w:kern w:val="0"/>
          <w:sz w:val="32"/>
          <w:szCs w:val="32"/>
        </w:rPr>
        <w:t>心连心”服务平台作用，积极回应群众诉求。全面加强网络安全保障体系和能力建设，强化意识形态安全建设。</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714" w:name="_Toc21177"/>
      <w:bookmarkStart w:id="715" w:name="_Toc13790"/>
      <w:bookmarkStart w:id="716" w:name="_Toc6772"/>
      <w:bookmarkStart w:id="717" w:name="_Toc10420"/>
      <w:bookmarkStart w:id="718" w:name="_Toc31382"/>
      <w:bookmarkStart w:id="719" w:name="_Toc5287"/>
      <w:r>
        <w:rPr>
          <w:rFonts w:ascii="仿宋" w:eastAsia="仿宋" w:hAnsi="仿宋" w:cs="仿宋" w:hint="eastAsia"/>
          <w:spacing w:val="-6"/>
          <w:szCs w:val="22"/>
        </w:rPr>
        <w:t>第三节  加强社会治安综合治理</w:t>
      </w:r>
      <w:bookmarkEnd w:id="714"/>
      <w:bookmarkEnd w:id="715"/>
      <w:bookmarkEnd w:id="716"/>
      <w:bookmarkEnd w:id="717"/>
      <w:bookmarkEnd w:id="718"/>
      <w:bookmarkEnd w:id="719"/>
    </w:p>
    <w:p w:rsidR="00E35214" w:rsidRDefault="006F7231">
      <w:pPr>
        <w:snapToGrid w:val="0"/>
        <w:spacing w:line="580" w:lineRule="exact"/>
        <w:ind w:firstLineChars="200" w:firstLine="640"/>
        <w:textAlignment w:val="baseline"/>
        <w:rPr>
          <w:rFonts w:ascii="仿宋" w:eastAsia="仿宋" w:hAnsi="仿宋" w:cs="仿宋"/>
          <w:spacing w:val="-6"/>
          <w:sz w:val="20"/>
          <w:szCs w:val="22"/>
        </w:rPr>
      </w:pPr>
      <w:r>
        <w:rPr>
          <w:rFonts w:ascii="仿宋" w:eastAsia="仿宋" w:hAnsi="仿宋" w:cs="仿宋" w:hint="eastAsia"/>
          <w:sz w:val="32"/>
          <w:szCs w:val="32"/>
        </w:rPr>
        <w:t>加快社会治安防控实战指挥系统建设，公共安全防控感知源体系建设。加快社会防控资源整合，坚持系统治理、依法治理、综合治理、源头治理，健全点线面结合、网上网下结合、人防物防技防结合、打防管控结合的立体化社会治安防控体系。加强社会面治安防控网、智慧行业场所防控网、智慧社区防控网、智慧内保防控网、网络安全管控网建设、大型活动安全管控网建设和“两所一队”及特巡警大队营区建设。健全公共安全隐患常态化排查整治和预警应急处置机制，加强边界圈层查控、区域单元防控、治安要素管控，提高动态监测与实时预警能力。健全扫黑除恶长效常治机制，深入开展禁毒人民战争，开展社会治安“铁腕铸盾”行动，严密防范打击各类危害国家安全和违法犯罪活动，推动“六无”平安村（社区）建设。推进“雪亮工程”“智慧平安小区建设”，整合“天网”以及社会视频资源，推进全区公共安全视频监控联网应用。加强治安防控大数据建设应用与智慧新警务体系建设，提高社会治安防控体系建设科技水平。建立网络综合治理体系，打击涉网违法犯罪。发展壮大平安志愿者、社区工作者、群防群治队伍等专业化、职业化、社</w:t>
      </w:r>
      <w:r>
        <w:rPr>
          <w:rFonts w:ascii="仿宋" w:eastAsia="仿宋" w:hAnsi="仿宋" w:cs="仿宋" w:hint="eastAsia"/>
          <w:sz w:val="32"/>
          <w:szCs w:val="32"/>
        </w:rPr>
        <w:lastRenderedPageBreak/>
        <w:t>会化力量，积极探索新形势下群防群治工作新机制、新模式。建成治安防控体系标准化城市。</w:t>
      </w:r>
      <w:bookmarkStart w:id="720" w:name="_Toc28502"/>
      <w:bookmarkStart w:id="721" w:name="_Toc30130"/>
      <w:bookmarkStart w:id="722" w:name="_Toc22785"/>
      <w:bookmarkStart w:id="723" w:name="_Toc1632"/>
      <w:bookmarkStart w:id="724" w:name="_Toc28039"/>
      <w:bookmarkStart w:id="725" w:name="_Toc5737"/>
    </w:p>
    <w:p w:rsidR="00E35214" w:rsidRDefault="006F7231">
      <w:pPr>
        <w:pStyle w:val="3"/>
        <w:snapToGrid w:val="0"/>
        <w:spacing w:line="580" w:lineRule="exact"/>
        <w:textAlignment w:val="baseline"/>
        <w:rPr>
          <w:rFonts w:ascii="仿宋" w:eastAsia="仿宋" w:hAnsi="仿宋" w:cs="仿宋"/>
          <w:b w:val="0"/>
          <w:bCs w:val="0"/>
          <w:spacing w:val="-6"/>
          <w:szCs w:val="22"/>
        </w:rPr>
      </w:pPr>
      <w:r>
        <w:rPr>
          <w:rFonts w:ascii="仿宋" w:eastAsia="仿宋" w:hAnsi="仿宋" w:cs="仿宋" w:hint="eastAsia"/>
          <w:spacing w:val="-6"/>
          <w:szCs w:val="22"/>
        </w:rPr>
        <w:t>第四节强化生产安全工作</w:t>
      </w:r>
      <w:bookmarkEnd w:id="720"/>
      <w:bookmarkEnd w:id="721"/>
      <w:bookmarkEnd w:id="722"/>
      <w:bookmarkEnd w:id="723"/>
      <w:bookmarkEnd w:id="724"/>
      <w:bookmarkEnd w:id="725"/>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全面落实安全生产党政同责、一岗双责等基本责任制度。加强安全生产风险防控，建设安全生产风险监测预警信息化系统，提升安全风险研判预警的智能化水平。加强安全生产监管执法，</w:t>
      </w:r>
      <w:r>
        <w:rPr>
          <w:rFonts w:ascii="仿宋" w:eastAsia="仿宋" w:hAnsi="仿宋" w:cs="仿宋" w:hint="eastAsia"/>
          <w:kern w:val="0"/>
          <w:sz w:val="32"/>
          <w:szCs w:val="32"/>
        </w:rPr>
        <w:t>深入推进安全生产专项整治行动，完善和落实安全生产责任制，遏制重特大安全事故，严守食品药品等领域市场安全底线。</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726" w:name="_Toc26277"/>
      <w:bookmarkStart w:id="727" w:name="_Toc357"/>
      <w:bookmarkStart w:id="728" w:name="_Toc7081"/>
      <w:bookmarkStart w:id="729" w:name="_Toc30674"/>
      <w:bookmarkStart w:id="730" w:name="_Toc3126"/>
      <w:bookmarkStart w:id="731" w:name="_Toc17480"/>
      <w:r>
        <w:rPr>
          <w:rFonts w:ascii="仿宋" w:eastAsia="仿宋" w:hAnsi="仿宋" w:cs="仿宋" w:hint="eastAsia"/>
          <w:spacing w:val="-6"/>
          <w:szCs w:val="22"/>
        </w:rPr>
        <w:t>第五节  促进军民协同创新发展</w:t>
      </w:r>
      <w:bookmarkEnd w:id="726"/>
      <w:bookmarkEnd w:id="727"/>
      <w:bookmarkEnd w:id="728"/>
      <w:bookmarkEnd w:id="729"/>
      <w:bookmarkEnd w:id="730"/>
      <w:bookmarkEnd w:id="731"/>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加强国防动员、国防教育和国防后备力量建设，推进应急应战准备动员实践，加大军警民联合训练力度，定期开展实战化训练，提升国防基础设施和基本装备能力。依法加强国防设施保护，优化军民资源配置，推动基础设施军民共建共用、互通互补。深入开展军民共建和“双拥”活动，巩固发展军政军民团结，抓好烈士褒扬工作，统筹规划建设烈士纪念设施。健全退役军人工作体系和保障制度，探索退役军人参与基层社会治理新模式。</w:t>
      </w:r>
    </w:p>
    <w:p w:rsidR="00E35214" w:rsidRDefault="00E35214">
      <w:pPr>
        <w:pStyle w:val="NewNewNewNewNewNewNewNewNewNewNewNewNewNewNewNew"/>
        <w:snapToGrid w:val="0"/>
        <w:spacing w:line="240" w:lineRule="auto"/>
        <w:ind w:firstLineChars="0" w:firstLine="0"/>
        <w:jc w:val="center"/>
        <w:textAlignment w:val="baseline"/>
        <w:rPr>
          <w:rFonts w:ascii="楷体" w:eastAsia="楷体" w:hAnsi="楷体" w:cs="仿宋"/>
          <w:b/>
          <w:bCs/>
          <w:spacing w:val="-6"/>
          <w:sz w:val="28"/>
          <w:szCs w:val="28"/>
        </w:rPr>
      </w:pPr>
    </w:p>
    <w:p w:rsidR="00E35214" w:rsidRDefault="006F7231">
      <w:pPr>
        <w:pStyle w:val="NewNewNewNewNewNewNewNewNewNewNewNewNewNewNewNew"/>
        <w:snapToGrid w:val="0"/>
        <w:spacing w:line="240" w:lineRule="auto"/>
        <w:ind w:firstLineChars="0" w:firstLine="0"/>
        <w:jc w:val="center"/>
        <w:textAlignment w:val="baseline"/>
        <w:rPr>
          <w:rFonts w:ascii="楷体" w:eastAsia="楷体" w:hAnsi="楷体" w:cs="仿宋"/>
          <w:b/>
          <w:bCs/>
          <w:spacing w:val="-6"/>
          <w:sz w:val="28"/>
          <w:szCs w:val="28"/>
        </w:rPr>
      </w:pPr>
      <w:r>
        <w:rPr>
          <w:rFonts w:ascii="楷体" w:eastAsia="楷体" w:hAnsi="楷体" w:cs="仿宋" w:hint="eastAsia"/>
          <w:b/>
          <w:bCs/>
          <w:spacing w:val="-6"/>
          <w:sz w:val="28"/>
          <w:szCs w:val="28"/>
        </w:rPr>
        <w:t>专栏24治安防控体系建设重点项目</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E35214">
        <w:tc>
          <w:tcPr>
            <w:tcW w:w="8522" w:type="dxa"/>
          </w:tcPr>
          <w:p w:rsidR="00E35214" w:rsidRDefault="006F7231">
            <w:pPr>
              <w:pStyle w:val="NewNewNewNewNewNewNewNewNewNewNewNewNewNewNewNew"/>
              <w:snapToGrid w:val="0"/>
              <w:spacing w:line="400" w:lineRule="atLeas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升级社会治安防控实战指挥系统。</w:t>
            </w:r>
            <w:r>
              <w:rPr>
                <w:rFonts w:ascii="楷体" w:eastAsia="楷体" w:hAnsi="楷体" w:cs="楷体" w:hint="eastAsia"/>
                <w:spacing w:val="-6"/>
                <w:sz w:val="24"/>
                <w:szCs w:val="24"/>
              </w:rPr>
              <w:t>区公安分局原址新增一层办公用房，扩容改建完善“110”情指中心。完成110指挥系统硬件基础架构、通信调度平台、指挥中心接处警平台、警情数据分析平台、数据同步管理平台、智能运维监控管理系统、应用集成平台升级。</w:t>
            </w:r>
          </w:p>
          <w:p w:rsidR="00E35214" w:rsidRDefault="006F7231">
            <w:pPr>
              <w:pStyle w:val="NewNewNewNewNewNewNewNewNewNewNewNewNewNewNewNew"/>
              <w:snapToGrid w:val="0"/>
              <w:spacing w:line="400" w:lineRule="atLeas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lastRenderedPageBreak/>
              <w:t>社会面治安防控网建设和新建特巡警大队营区。</w:t>
            </w:r>
            <w:r>
              <w:rPr>
                <w:rFonts w:ascii="楷体" w:eastAsia="楷体" w:hAnsi="楷体" w:cs="楷体" w:hint="eastAsia"/>
                <w:spacing w:val="-6"/>
                <w:sz w:val="24"/>
                <w:szCs w:val="24"/>
              </w:rPr>
              <w:t>建成集指挥调度、综合研判、技能训练、办公、生活及住宿为一体，建筑面积不低于3000平米的特巡警大队营区。增设特巡警大队并招募不低于60人的专业化特巡警队伍，特巡警队员待遇不低于辅警标准。</w:t>
            </w:r>
          </w:p>
          <w:p w:rsidR="00E35214" w:rsidRDefault="006F7231">
            <w:pPr>
              <w:pStyle w:val="NewNewNewNewNewNewNewNewNewNewNewNewNewNewNewNew"/>
              <w:snapToGrid w:val="0"/>
              <w:spacing w:line="400" w:lineRule="atLeast"/>
              <w:ind w:firstLine="458"/>
              <w:textAlignment w:val="baseline"/>
              <w:rPr>
                <w:rFonts w:ascii="楷体" w:eastAsia="楷体" w:hAnsi="楷体" w:cs="楷体"/>
                <w:spacing w:val="-6"/>
                <w:sz w:val="24"/>
                <w:szCs w:val="24"/>
              </w:rPr>
            </w:pPr>
            <w:r>
              <w:rPr>
                <w:rFonts w:ascii="楷体" w:eastAsia="楷体" w:hAnsi="楷体" w:cs="楷体" w:hint="eastAsia"/>
                <w:b/>
                <w:bCs/>
                <w:spacing w:val="-6"/>
                <w:sz w:val="24"/>
                <w:szCs w:val="24"/>
              </w:rPr>
              <w:t>两所一队建设。</w:t>
            </w:r>
            <w:r>
              <w:rPr>
                <w:rFonts w:ascii="楷体" w:eastAsia="楷体" w:hAnsi="楷体" w:cs="楷体" w:hint="eastAsia"/>
                <w:spacing w:val="-6"/>
                <w:sz w:val="24"/>
                <w:szCs w:val="24"/>
              </w:rPr>
              <w:t>建成占地面积约30亩，建筑面积约6000平米的区看守所、拘留所及武警中队监管场所建设并全面投入使用。</w:t>
            </w:r>
          </w:p>
          <w:p w:rsidR="00E35214" w:rsidRDefault="006F7231">
            <w:pPr>
              <w:pStyle w:val="NewNewNewNewNewNewNewNewNewNewNewNewNewNewNewNew"/>
              <w:snapToGrid w:val="0"/>
              <w:spacing w:line="400" w:lineRule="atLeast"/>
              <w:ind w:firstLine="458"/>
              <w:textAlignment w:val="baseline"/>
              <w:rPr>
                <w:rFonts w:ascii="楷体" w:eastAsia="楷体" w:hAnsi="楷体" w:cs="楷体"/>
                <w:b/>
                <w:bCs/>
                <w:spacing w:val="-6"/>
                <w:sz w:val="24"/>
                <w:szCs w:val="24"/>
              </w:rPr>
            </w:pPr>
            <w:r>
              <w:rPr>
                <w:rFonts w:ascii="楷体" w:eastAsia="楷体" w:hAnsi="楷体" w:cs="楷体" w:hint="eastAsia"/>
                <w:b/>
                <w:bCs/>
                <w:spacing w:val="-6"/>
                <w:sz w:val="24"/>
                <w:szCs w:val="24"/>
              </w:rPr>
              <w:t>网络安全管控网建设。</w:t>
            </w:r>
            <w:r>
              <w:rPr>
                <w:rFonts w:ascii="楷体" w:eastAsia="楷体" w:hAnsi="楷体" w:cs="楷体" w:hint="eastAsia"/>
                <w:spacing w:val="-6"/>
                <w:sz w:val="24"/>
                <w:szCs w:val="24"/>
              </w:rPr>
              <w:t>建设移动重点特征采集和无线上网场所审计管控体系，完成网上重点人、网络重点阵地的动态管控。完成计算机网络犯罪案件的侦查取证系统、侦查取证系统、电子物证鉴定和电子鉴定实验室的建设。</w:t>
            </w:r>
          </w:p>
          <w:p w:rsidR="00E35214" w:rsidRDefault="006F7231">
            <w:pPr>
              <w:pStyle w:val="NewNewNewNewNewNewNewNewNewNewNewNewNewNewNewNew"/>
              <w:snapToGrid w:val="0"/>
              <w:spacing w:line="400" w:lineRule="atLeast"/>
              <w:ind w:firstLine="458"/>
              <w:textAlignment w:val="baseline"/>
              <w:rPr>
                <w:rFonts w:ascii="楷体" w:eastAsia="楷体" w:hAnsi="楷体" w:cs="楷体"/>
                <w:b/>
                <w:bCs/>
                <w:spacing w:val="-6"/>
                <w:sz w:val="24"/>
                <w:szCs w:val="24"/>
              </w:rPr>
            </w:pPr>
            <w:r>
              <w:rPr>
                <w:rFonts w:ascii="楷体" w:eastAsia="楷体" w:hAnsi="楷体" w:cs="楷体" w:hint="eastAsia"/>
                <w:b/>
                <w:bCs/>
                <w:spacing w:val="-6"/>
                <w:sz w:val="24"/>
                <w:szCs w:val="24"/>
              </w:rPr>
              <w:t>公共安全防控感知源建设。</w:t>
            </w:r>
            <w:r>
              <w:rPr>
                <w:rFonts w:ascii="楷体" w:eastAsia="楷体" w:hAnsi="楷体" w:cs="楷体" w:hint="eastAsia"/>
                <w:spacing w:val="-6"/>
                <w:sz w:val="24"/>
                <w:szCs w:val="24"/>
              </w:rPr>
              <w:t>每年财政预算专用资金用于感知源建设工程的维护和完善。结合全区经济发展、城乡建设和旅游景区等规划发展情况，2021年起，全区“天网”监控点位逐年新增比例不低于30%并投入使用。</w:t>
            </w:r>
          </w:p>
          <w:p w:rsidR="00E35214" w:rsidRDefault="006F7231">
            <w:pPr>
              <w:pStyle w:val="NewNewNewNewNewNewNewNewNewNewNewNewNewNewNewNew"/>
              <w:snapToGrid w:val="0"/>
              <w:spacing w:line="400" w:lineRule="atLeast"/>
              <w:ind w:firstLine="458"/>
              <w:textAlignment w:val="baseline"/>
              <w:rPr>
                <w:rFonts w:ascii="楷体" w:eastAsia="楷体" w:hAnsi="楷体" w:cs="楷体"/>
                <w:b/>
                <w:bCs/>
                <w:spacing w:val="-6"/>
                <w:sz w:val="24"/>
                <w:szCs w:val="24"/>
              </w:rPr>
            </w:pPr>
            <w:r>
              <w:rPr>
                <w:rFonts w:ascii="楷体" w:eastAsia="楷体" w:hAnsi="楷体" w:cs="楷体" w:hint="eastAsia"/>
                <w:b/>
                <w:bCs/>
                <w:spacing w:val="-6"/>
                <w:sz w:val="24"/>
                <w:szCs w:val="24"/>
              </w:rPr>
              <w:t>智慧新警务建设。</w:t>
            </w:r>
            <w:r>
              <w:rPr>
                <w:rFonts w:ascii="楷体" w:eastAsia="楷体" w:hAnsi="楷体" w:cs="楷体" w:hint="eastAsia"/>
                <w:spacing w:val="-6"/>
                <w:sz w:val="24"/>
                <w:szCs w:val="24"/>
              </w:rPr>
              <w:t>依照《全国公安机关社会治安防控体系建设指南》，完成智慧行业场所防控网建设（特别是新兴业态的治安管理系统及装备建设）；完成在复杂场所、城市自建用房等重点部位和治安复杂地区，全面建成“智慧安防小区”；完成重点内保单位的“智慧内保信息系统”项目建设和大型活动安全管控网建设；完成智慧新指挥、新侦查、新民生系统的软硬件建设和升级。增设行政服务综合审批大队，选址新建集人口管理、出入境管理、交通管理、危化品管理等功能于一体，建筑面积不低于1000平米的“智慧公安便民服务中心”。</w:t>
            </w:r>
          </w:p>
        </w:tc>
      </w:tr>
    </w:tbl>
    <w:p w:rsidR="00E35214" w:rsidRDefault="006F7231">
      <w:pPr>
        <w:pStyle w:val="2"/>
        <w:snapToGrid w:val="0"/>
        <w:textAlignment w:val="baseline"/>
      </w:pPr>
      <w:bookmarkStart w:id="732" w:name="_Toc18298"/>
      <w:bookmarkStart w:id="733" w:name="_Toc1162"/>
      <w:bookmarkStart w:id="734" w:name="_Toc17540"/>
      <w:bookmarkStart w:id="735" w:name="_Toc5026"/>
      <w:bookmarkStart w:id="736" w:name="_Toc10159"/>
      <w:bookmarkStart w:id="737" w:name="_Toc28249"/>
      <w:bookmarkStart w:id="738" w:name="_Toc8400"/>
      <w:bookmarkStart w:id="739" w:name="_Toc4674"/>
      <w:bookmarkStart w:id="740" w:name="_Toc5263"/>
      <w:bookmarkStart w:id="741" w:name="_Toc26893"/>
      <w:r>
        <w:rPr>
          <w:rFonts w:hint="eastAsia"/>
        </w:rPr>
        <w:lastRenderedPageBreak/>
        <w:br w:type="page"/>
      </w:r>
    </w:p>
    <w:p w:rsidR="00E35214" w:rsidRDefault="006F7231">
      <w:pPr>
        <w:snapToGrid w:val="0"/>
        <w:spacing w:before="260" w:after="260" w:line="416" w:lineRule="auto"/>
        <w:jc w:val="center"/>
        <w:textAlignment w:val="baseline"/>
        <w:rPr>
          <w:rFonts w:eastAsia="黑体"/>
          <w:b/>
          <w:sz w:val="32"/>
        </w:rPr>
      </w:pPr>
      <w:bookmarkStart w:id="742" w:name="_Toc2091"/>
      <w:r>
        <w:rPr>
          <w:rFonts w:hint="eastAsia"/>
          <w:b/>
          <w:sz w:val="32"/>
        </w:rPr>
        <w:lastRenderedPageBreak/>
        <w:t>第三十七章促进民族团结进步</w:t>
      </w:r>
      <w:bookmarkEnd w:id="732"/>
      <w:bookmarkEnd w:id="733"/>
      <w:bookmarkEnd w:id="734"/>
      <w:bookmarkEnd w:id="735"/>
      <w:bookmarkEnd w:id="736"/>
      <w:bookmarkEnd w:id="737"/>
      <w:bookmarkEnd w:id="738"/>
      <w:bookmarkEnd w:id="739"/>
      <w:bookmarkEnd w:id="740"/>
      <w:bookmarkEnd w:id="741"/>
      <w:bookmarkEnd w:id="742"/>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深入贯彻党的民族宗教政策，巩固和发展民族大团结，依法加强宗教事务管理，促进各民族共同团结奋斗、共同繁荣发展。</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743" w:name="_Toc13266"/>
      <w:bookmarkStart w:id="744" w:name="_Toc11552"/>
      <w:bookmarkStart w:id="745" w:name="_Toc24234"/>
      <w:bookmarkStart w:id="746" w:name="_Toc19324"/>
      <w:bookmarkStart w:id="747" w:name="_Toc25512"/>
      <w:bookmarkStart w:id="748" w:name="_Toc17479"/>
      <w:r>
        <w:rPr>
          <w:rFonts w:ascii="仿宋" w:eastAsia="仿宋" w:hAnsi="仿宋" w:cs="仿宋" w:hint="eastAsia"/>
          <w:spacing w:val="-6"/>
          <w:szCs w:val="22"/>
        </w:rPr>
        <w:t>第一节  铸牢中华民族共同体意识</w:t>
      </w:r>
      <w:bookmarkEnd w:id="743"/>
      <w:bookmarkEnd w:id="744"/>
      <w:bookmarkEnd w:id="745"/>
      <w:bookmarkEnd w:id="746"/>
      <w:bookmarkEnd w:id="747"/>
      <w:bookmarkEnd w:id="748"/>
    </w:p>
    <w:p w:rsidR="00E35214" w:rsidRDefault="006F7231">
      <w:pPr>
        <w:snapToGrid w:val="0"/>
        <w:spacing w:line="580"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全面贯彻党的民族政策，牢牢把握“两个共同”主题、牢固树立“三个离不开”、增强“五个认同”。开展党史、新中国史、改革开放史、社会主义发展史、民族团结进步史宣传教育，引导各族群众树立正确的国家观、历史观、民族观、文化观、宗教观。持久开展民族团结进步创建工作，拓展民族团结进步宣传教育网络空间，推进“互联网</w:t>
      </w:r>
      <w:r>
        <w:rPr>
          <w:rFonts w:ascii="仿宋" w:eastAsia="仿宋" w:hAnsi="仿宋" w:cs="仿宋"/>
          <w:spacing w:val="-6"/>
          <w:sz w:val="32"/>
          <w:szCs w:val="32"/>
        </w:rPr>
        <w:t>+民族团结”行动，提升民族团结进步成果。</w:t>
      </w:r>
    </w:p>
    <w:p w:rsidR="00E35214" w:rsidRDefault="006F7231">
      <w:pPr>
        <w:pStyle w:val="3"/>
        <w:snapToGrid w:val="0"/>
        <w:spacing w:line="580" w:lineRule="exact"/>
        <w:textAlignment w:val="baseline"/>
        <w:rPr>
          <w:rFonts w:ascii="仿宋" w:eastAsia="仿宋" w:hAnsi="仿宋" w:cs="仿宋"/>
          <w:b w:val="0"/>
          <w:bCs w:val="0"/>
          <w:spacing w:val="-6"/>
          <w:szCs w:val="22"/>
        </w:rPr>
      </w:pPr>
      <w:bookmarkStart w:id="749" w:name="_Toc9136"/>
      <w:bookmarkStart w:id="750" w:name="_Toc32355"/>
      <w:bookmarkStart w:id="751" w:name="_Toc5477"/>
      <w:bookmarkStart w:id="752" w:name="_Toc6239"/>
      <w:bookmarkStart w:id="753" w:name="_Toc23045"/>
      <w:bookmarkStart w:id="754" w:name="_Toc32572"/>
      <w:r>
        <w:rPr>
          <w:rFonts w:ascii="仿宋" w:eastAsia="仿宋" w:hAnsi="仿宋" w:cs="仿宋" w:hint="eastAsia"/>
          <w:spacing w:val="-6"/>
          <w:szCs w:val="22"/>
        </w:rPr>
        <w:t>第二节  依法加强宗教事务管理</w:t>
      </w:r>
      <w:bookmarkEnd w:id="749"/>
      <w:bookmarkEnd w:id="750"/>
      <w:bookmarkEnd w:id="751"/>
      <w:bookmarkEnd w:id="752"/>
      <w:bookmarkEnd w:id="753"/>
      <w:bookmarkEnd w:id="754"/>
    </w:p>
    <w:p w:rsidR="00E35214" w:rsidRDefault="006F7231">
      <w:pPr>
        <w:snapToGrid w:val="0"/>
        <w:spacing w:line="597" w:lineRule="exact"/>
        <w:ind w:firstLineChars="200" w:firstLine="616"/>
        <w:textAlignment w:val="baseline"/>
        <w:rPr>
          <w:rFonts w:ascii="仿宋" w:eastAsia="仿宋" w:hAnsi="仿宋" w:cs="仿宋"/>
          <w:spacing w:val="-6"/>
          <w:sz w:val="32"/>
          <w:szCs w:val="32"/>
        </w:rPr>
      </w:pPr>
      <w:r>
        <w:rPr>
          <w:rFonts w:ascii="仿宋" w:eastAsia="仿宋" w:hAnsi="仿宋" w:cs="仿宋" w:hint="eastAsia"/>
          <w:spacing w:val="-6"/>
          <w:sz w:val="32"/>
          <w:szCs w:val="32"/>
        </w:rPr>
        <w:t>全面落实党的宗教工作基本方针，坚持宗教中国化方向，积极引导宗教与社会主义社会相适应。依法管理宗教事务，开展宗教领域“三大提升”主题活动，</w:t>
      </w:r>
      <w:r>
        <w:rPr>
          <w:rFonts w:ascii="仿宋" w:eastAsia="仿宋" w:hAnsi="仿宋" w:cs="仿宋" w:hint="eastAsia"/>
          <w:bCs/>
          <w:sz w:val="32"/>
          <w:szCs w:val="32"/>
        </w:rPr>
        <w:t>旗帜鲜明反对非法宗教活动，</w:t>
      </w:r>
      <w:r>
        <w:rPr>
          <w:rFonts w:ascii="仿宋" w:eastAsia="仿宋" w:hAnsi="仿宋" w:cs="仿宋" w:hint="eastAsia"/>
          <w:spacing w:val="-6"/>
          <w:sz w:val="32"/>
          <w:szCs w:val="32"/>
        </w:rPr>
        <w:t>加强宗教领域突出问题治理，有力打击非法传教和私设聚会点。做好合法宗教活动场所土地确权工作。建立完善宗教工作三级网络、两级责任制。</w:t>
      </w:r>
    </w:p>
    <w:p w:rsidR="00E35214" w:rsidRDefault="006F7231">
      <w:pPr>
        <w:widowControl/>
        <w:snapToGrid w:val="0"/>
        <w:jc w:val="left"/>
        <w:textAlignment w:val="baseline"/>
        <w:rPr>
          <w:sz w:val="20"/>
        </w:rPr>
      </w:pPr>
      <w:r>
        <w:br w:type="page"/>
      </w:r>
    </w:p>
    <w:p w:rsidR="00E35214" w:rsidRDefault="006F7231">
      <w:pPr>
        <w:pStyle w:val="1"/>
        <w:snapToGrid w:val="0"/>
        <w:jc w:val="center"/>
        <w:textAlignment w:val="baseline"/>
      </w:pPr>
      <w:bookmarkStart w:id="755" w:name="_Toc16675"/>
      <w:bookmarkStart w:id="756" w:name="_Toc8523"/>
      <w:bookmarkStart w:id="757" w:name="_Toc27716"/>
      <w:bookmarkStart w:id="758" w:name="_Toc22445"/>
      <w:bookmarkStart w:id="759" w:name="_Toc428"/>
      <w:r>
        <w:rPr>
          <w:rFonts w:hint="eastAsia"/>
        </w:rPr>
        <w:lastRenderedPageBreak/>
        <w:t>第十一篇强化保障，凝聚发展合力</w:t>
      </w:r>
      <w:bookmarkEnd w:id="755"/>
      <w:bookmarkEnd w:id="756"/>
      <w:bookmarkEnd w:id="757"/>
      <w:bookmarkEnd w:id="758"/>
      <w:bookmarkEnd w:id="759"/>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贯彻落实国家宏观调控政策，正确处理好政府与市场、社会的关系，发挥党的领导核心作用，强化政府主体责任，合理配置资源，充分调动全社会积极性，保障目标和任务顺利完成。</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bookmarkStart w:id="760" w:name="_Toc15018"/>
      <w:bookmarkStart w:id="761" w:name="_Toc7001"/>
      <w:bookmarkStart w:id="762" w:name="_Toc6409"/>
      <w:bookmarkStart w:id="763" w:name="_Toc5023"/>
      <w:r>
        <w:rPr>
          <w:rFonts w:ascii="仿宋" w:eastAsia="仿宋" w:hAnsi="仿宋" w:cs="仿宋" w:hint="eastAsia"/>
          <w:kern w:val="0"/>
          <w:sz w:val="32"/>
          <w:szCs w:val="32"/>
        </w:rPr>
        <w:t>——坚持党的全面领导</w:t>
      </w:r>
      <w:bookmarkEnd w:id="760"/>
      <w:bookmarkEnd w:id="761"/>
      <w:bookmarkEnd w:id="762"/>
      <w:bookmarkEnd w:id="763"/>
      <w:r>
        <w:rPr>
          <w:rFonts w:ascii="仿宋" w:eastAsia="仿宋" w:hAnsi="仿宋" w:cs="仿宋" w:hint="eastAsia"/>
          <w:kern w:val="0"/>
          <w:sz w:val="32"/>
          <w:szCs w:val="32"/>
        </w:rPr>
        <w:t>。坚持用习近平新时代中国特色社会主义思想武装头脑、指导实践、推动工作，增强“四个意识”、坚定“四个自信”、做到“两个维护”，不忘初心、牢记使命，确保中央、省委、市委决策部署落地落实。贯彻党把方向、谋大局、定政策、促改革的要求，完善党委研究经济社会发展战略、定期分析经济形势、研究重大政策措施等工作机制。全面贯彻新时代党的组织路线，以正确用人导向引领干事创业导向，建设高素质专业化干部人才队伍。纵深推进全面从严治党，严格落实中央八项规定精神，持续纠治形式主义、官僚主义，坚定不移惩治腐败，营造风清气正的良好政治生态。</w:t>
      </w:r>
      <w:bookmarkStart w:id="764" w:name="_Toc10332"/>
      <w:bookmarkStart w:id="765" w:name="_Toc29919"/>
      <w:bookmarkStart w:id="766" w:name="_Toc19532"/>
      <w:bookmarkStart w:id="767" w:name="_Toc1021"/>
      <w:bookmarkStart w:id="768" w:name="_Toc26610"/>
      <w:bookmarkStart w:id="769" w:name="_Toc22891"/>
      <w:bookmarkStart w:id="770" w:name="_Toc3428"/>
      <w:bookmarkStart w:id="771" w:name="_Toc20585"/>
      <w:bookmarkStart w:id="772" w:name="_Toc2692"/>
      <w:bookmarkStart w:id="773" w:name="_Toc27348"/>
    </w:p>
    <w:p w:rsidR="00E35214" w:rsidRDefault="006F7231">
      <w:pPr>
        <w:snapToGrid w:val="0"/>
        <w:spacing w:line="597" w:lineRule="exact"/>
        <w:ind w:firstLineChars="200" w:firstLine="640"/>
        <w:textAlignment w:val="baseline"/>
        <w:rPr>
          <w:rFonts w:ascii="仿宋" w:eastAsia="仿宋" w:hAnsi="仿宋" w:cs="仿宋"/>
          <w:kern w:val="0"/>
          <w:sz w:val="32"/>
          <w:szCs w:val="32"/>
        </w:rPr>
      </w:pPr>
      <w:r>
        <w:rPr>
          <w:rFonts w:ascii="仿宋" w:eastAsia="仿宋" w:hAnsi="仿宋" w:cs="仿宋" w:hint="eastAsia"/>
          <w:kern w:val="0"/>
          <w:sz w:val="32"/>
          <w:szCs w:val="32"/>
        </w:rPr>
        <w:t>——完善政策支撑体系</w:t>
      </w:r>
      <w:bookmarkEnd w:id="764"/>
      <w:bookmarkEnd w:id="765"/>
      <w:bookmarkEnd w:id="766"/>
      <w:bookmarkEnd w:id="767"/>
      <w:bookmarkEnd w:id="768"/>
      <w:bookmarkEnd w:id="769"/>
      <w:bookmarkEnd w:id="770"/>
      <w:bookmarkEnd w:id="771"/>
      <w:bookmarkEnd w:id="772"/>
      <w:bookmarkEnd w:id="773"/>
      <w:r>
        <w:rPr>
          <w:rFonts w:ascii="仿宋" w:eastAsia="仿宋" w:hAnsi="仿宋" w:cs="仿宋" w:hint="eastAsia"/>
          <w:kern w:val="0"/>
          <w:sz w:val="32"/>
          <w:szCs w:val="32"/>
        </w:rPr>
        <w:t>。全面贯彻落实中央、省、市系列重大战略和政策措施，针对促进特色产业发展、城乡居民就业创业、鼓励民间资本投资、引进急需人才等关键领域和重点环节制定出台重大政策，营造良好政策环境。加大财政资金整合力度，健全财政资金使用绩效评价机制，提高财政资金使用效率。</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bookmarkStart w:id="774" w:name="_Toc10487"/>
      <w:bookmarkStart w:id="775" w:name="_Toc31116"/>
      <w:bookmarkStart w:id="776" w:name="_Toc5057"/>
      <w:bookmarkStart w:id="777" w:name="_Toc31285"/>
      <w:r>
        <w:rPr>
          <w:rFonts w:ascii="仿宋" w:eastAsia="仿宋" w:hAnsi="仿宋" w:cs="仿宋" w:hint="eastAsia"/>
          <w:kern w:val="0"/>
          <w:sz w:val="32"/>
          <w:szCs w:val="32"/>
        </w:rPr>
        <w:lastRenderedPageBreak/>
        <w:t>——加强重大项目带动</w:t>
      </w:r>
      <w:bookmarkEnd w:id="774"/>
      <w:bookmarkEnd w:id="775"/>
      <w:bookmarkEnd w:id="776"/>
      <w:bookmarkEnd w:id="777"/>
      <w:r>
        <w:rPr>
          <w:rFonts w:ascii="仿宋" w:eastAsia="仿宋" w:hAnsi="仿宋" w:cs="仿宋" w:hint="eastAsia"/>
          <w:kern w:val="0"/>
          <w:sz w:val="32"/>
          <w:szCs w:val="32"/>
        </w:rPr>
        <w:t>。建立完善项目库、政策包、招商图，强化土地、交通、环境等要素保障，营造引商、亲商、安商、富商浓厚氛围，栽下更多“梧桐树”、引来更多“金凤凰”。主动加强与国家、省、市政府和部门沟通衔接，聚焦基础建设、民生短板、产业升级等领域，谋划生成一批带动能力强、投资强度大、环保能达标、发展潜力优、吸纳就业多的大项目、好项目，积极争取重大建设项目纳入中央、省、市规划盘子。建立完善项目推进机制，强化重点项目跟踪服务。推进重点建设项目规范化和法制化管理，强化重点项目稽查。</w:t>
      </w:r>
    </w:p>
    <w:p w:rsidR="00E35214" w:rsidRDefault="006F7231">
      <w:pPr>
        <w:snapToGrid w:val="0"/>
        <w:spacing w:line="597" w:lineRule="exact"/>
        <w:ind w:firstLineChars="200" w:firstLine="640"/>
        <w:textAlignment w:val="baseline"/>
        <w:rPr>
          <w:rFonts w:ascii="仿宋" w:eastAsia="仿宋" w:hAnsi="仿宋" w:cs="仿宋"/>
          <w:kern w:val="0"/>
          <w:sz w:val="32"/>
          <w:szCs w:val="32"/>
        </w:rPr>
      </w:pPr>
      <w:bookmarkStart w:id="778" w:name="_Toc1492"/>
      <w:bookmarkStart w:id="779" w:name="_Toc14987"/>
      <w:bookmarkStart w:id="780" w:name="_Toc7225"/>
      <w:bookmarkStart w:id="781" w:name="_Toc12701"/>
      <w:bookmarkStart w:id="782" w:name="_Toc30002"/>
      <w:bookmarkStart w:id="783" w:name="_Toc31530"/>
      <w:bookmarkStart w:id="784" w:name="_Toc31156"/>
      <w:bookmarkStart w:id="785" w:name="_Toc17297"/>
      <w:bookmarkStart w:id="786" w:name="_Toc19519"/>
      <w:bookmarkStart w:id="787" w:name="_Toc16507"/>
      <w:r>
        <w:rPr>
          <w:rFonts w:ascii="仿宋" w:eastAsia="仿宋" w:hAnsi="仿宋" w:cs="仿宋" w:hint="eastAsia"/>
          <w:kern w:val="0"/>
          <w:sz w:val="32"/>
          <w:szCs w:val="32"/>
        </w:rPr>
        <w:t>——完善规划实施机制</w:t>
      </w:r>
      <w:bookmarkStart w:id="788" w:name="_Toc26444_WPSOffice_Level2"/>
      <w:bookmarkEnd w:id="778"/>
      <w:bookmarkEnd w:id="779"/>
      <w:bookmarkEnd w:id="780"/>
      <w:bookmarkEnd w:id="781"/>
      <w:bookmarkEnd w:id="782"/>
      <w:bookmarkEnd w:id="783"/>
      <w:bookmarkEnd w:id="784"/>
      <w:bookmarkEnd w:id="785"/>
      <w:bookmarkEnd w:id="786"/>
      <w:bookmarkEnd w:id="787"/>
      <w:r>
        <w:rPr>
          <w:rFonts w:ascii="仿宋" w:eastAsia="仿宋" w:hAnsi="仿宋" w:cs="仿宋" w:hint="eastAsia"/>
          <w:kern w:val="0"/>
          <w:sz w:val="32"/>
          <w:szCs w:val="32"/>
        </w:rPr>
        <w:t>。科学编制完善重点专项规划和专题规划，构建各类规划定位清晰、功能互补、统一衔接的规划体系。加强年度计划与本纲要的衔接，按年度分解和细化规划纲要确定的目标和任务。加强规划实施动态管理，定期向报告规划实施情况，适时组织规划中期评估，依照法定程序开展规划修编和调整工作。</w:t>
      </w:r>
      <w:bookmarkEnd w:id="788"/>
    </w:p>
    <w:p w:rsidR="00E35214" w:rsidRDefault="00E35214">
      <w:pPr>
        <w:snapToGrid w:val="0"/>
        <w:spacing w:line="597" w:lineRule="exact"/>
        <w:ind w:firstLineChars="200" w:firstLine="640"/>
        <w:textAlignment w:val="baseline"/>
        <w:rPr>
          <w:rFonts w:ascii="仿宋" w:eastAsia="仿宋" w:hAnsi="仿宋" w:cs="仿宋"/>
          <w:kern w:val="0"/>
          <w:sz w:val="32"/>
          <w:szCs w:val="32"/>
        </w:rPr>
      </w:pPr>
    </w:p>
    <w:p w:rsidR="00E35214" w:rsidRDefault="00E35214">
      <w:pPr>
        <w:snapToGrid w:val="0"/>
        <w:textAlignment w:val="baseline"/>
        <w:rPr>
          <w:sz w:val="20"/>
        </w:rPr>
      </w:pPr>
    </w:p>
    <w:p w:rsidR="00E35214" w:rsidRDefault="00E35214">
      <w:pPr>
        <w:snapToGrid w:val="0"/>
        <w:textAlignment w:val="baseline"/>
        <w:rPr>
          <w:sz w:val="20"/>
        </w:rPr>
      </w:pPr>
    </w:p>
    <w:p w:rsidR="00E35214" w:rsidRDefault="00E35214">
      <w:pPr>
        <w:snapToGrid w:val="0"/>
        <w:textAlignment w:val="baseline"/>
        <w:rPr>
          <w:sz w:val="20"/>
        </w:rPr>
      </w:pPr>
    </w:p>
    <w:sectPr w:rsidR="00E35214" w:rsidSect="00E35214">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021" w:rsidRDefault="00836021" w:rsidP="00E35214">
      <w:r>
        <w:separator/>
      </w:r>
    </w:p>
  </w:endnote>
  <w:endnote w:type="continuationSeparator" w:id="1">
    <w:p w:rsidR="00836021" w:rsidRDefault="00836021" w:rsidP="00E352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小标宋">
    <w:altName w:val="微软雅黑"/>
    <w:charset w:val="86"/>
    <w:family w:val="auto"/>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214" w:rsidRDefault="00F32E25">
    <w:pPr>
      <w:pStyle w:val="a9"/>
    </w:pPr>
    <w:r>
      <w:pict>
        <v:shapetype id="_x0000_t202" coordsize="21600,21600" o:spt="202" path="m,l,21600r21600,l21600,xe">
          <v:stroke joinstyle="miter"/>
          <v:path gradientshapeok="t" o:connecttype="rect"/>
        </v:shapetype>
        <v:shape id="_x0000_s1046"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aHME1LIB&#10;AABZAwAADgAAAAAAAAABACAAAAAeAQAAZHJzL2Uyb0RvYy54bWxQSwUGAAAAAAYABgBZAQAAQgUA&#10;AAAA&#10;" filled="f" stroked="f">
          <v:textbox style="mso-fit-shape-to-text:t" inset="0,0,0,0">
            <w:txbxContent>
              <w:p w:rsidR="00E35214" w:rsidRDefault="00E35214">
                <w:pPr>
                  <w:pStyle w:val="a9"/>
                </w:pPr>
              </w:p>
            </w:txbxContent>
          </v:textbox>
          <w10:wrap anchorx="margin"/>
        </v:shape>
      </w:pict>
    </w:r>
    <w:r>
      <w:pict>
        <v:shape id="_x0000_s1045"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IkaLoOz&#10;AQAAWQMAAA4AAAAAAAAAAQAgAAAAHgEAAGRycy9lMm9Eb2MueG1sUEsFBgAAAAAGAAYAWQEAAEMF&#10;AAAAAA==&#10;" filled="f" stroked="f">
          <v:textbox style="mso-fit-shape-to-text:t" inset="0,0,0,0">
            <w:txbxContent>
              <w:p w:rsidR="00E35214" w:rsidRDefault="00F32E25">
                <w:pPr>
                  <w:pStyle w:val="a9"/>
                  <w:rPr>
                    <w:rFonts w:ascii="Times New Roman" w:hAnsi="Times New Roman"/>
                    <w:sz w:val="28"/>
                    <w:szCs w:val="28"/>
                  </w:rPr>
                </w:pPr>
                <w:r>
                  <w:rPr>
                    <w:rFonts w:ascii="Times New Roman" w:hAnsi="Times New Roman"/>
                    <w:sz w:val="28"/>
                    <w:szCs w:val="28"/>
                  </w:rPr>
                  <w:fldChar w:fldCharType="begin"/>
                </w:r>
                <w:r w:rsidR="006F7231">
                  <w:rPr>
                    <w:rFonts w:ascii="Times New Roman" w:hAnsi="Times New Roman"/>
                    <w:sz w:val="28"/>
                    <w:szCs w:val="28"/>
                  </w:rPr>
                  <w:instrText xml:space="preserve"> PAGE  \* MERGEFORMAT </w:instrText>
                </w:r>
                <w:r>
                  <w:rPr>
                    <w:rFonts w:ascii="Times New Roman" w:hAnsi="Times New Roman"/>
                    <w:sz w:val="28"/>
                    <w:szCs w:val="28"/>
                  </w:rPr>
                  <w:fldChar w:fldCharType="separate"/>
                </w:r>
                <w:r w:rsidR="00ED473C">
                  <w:rPr>
                    <w:rFonts w:ascii="Times New Roman" w:hAnsi="Times New Roman"/>
                    <w:noProof/>
                    <w:sz w:val="28"/>
                    <w:szCs w:val="28"/>
                  </w:rPr>
                  <w:t>2</w:t>
                </w:r>
                <w:r>
                  <w:rPr>
                    <w:rFonts w:ascii="Times New Roman" w:hAnsi="Times New Roman"/>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214" w:rsidRDefault="00F32E25">
    <w:pPr>
      <w:pStyle w:val="a9"/>
    </w:pPr>
    <w:r>
      <w:pict>
        <v:shapetype id="_x0000_t202" coordsize="21600,21600" o:spt="202" path="m,l,21600r21600,l21600,xe">
          <v:stroke joinstyle="miter"/>
          <v:path gradientshapeok="t" o:connecttype="rect"/>
        </v:shapetype>
        <v:shape id="_x0000_s1047" type="#_x0000_t202" style="position:absolute;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uMQpErIB&#10;AABZAwAADgAAAAAAAAABACAAAAAeAQAAZHJzL2Uyb0RvYy54bWxQSwUGAAAAAAYABgBZAQAAQgUA&#10;AAAA&#10;" filled="f" stroked="f">
          <v:textbox style="mso-fit-shape-to-text:t" inset="0,0,0,0">
            <w:txbxContent>
              <w:p w:rsidR="00E35214" w:rsidRDefault="00E35214">
                <w:pPr>
                  <w:pStyle w:val="a9"/>
                </w:pPr>
              </w:p>
            </w:txbxContent>
          </v:textbox>
          <w10:wrap anchorx="margin"/>
        </v:shape>
      </w:pict>
    </w:r>
    <w:r>
      <w:pict>
        <v:shape id="_x0000_s1048" type="#_x0000_t202" style="position:absolute;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S8l6LbIB&#10;AABZAwAADgAAAAAAAAABACAAAAAeAQAAZHJzL2Uyb0RvYy54bWxQSwUGAAAAAAYABgBZAQAAQgUA&#10;AAAA&#10;" filled="f" stroked="f">
          <v:textbox style="mso-fit-shape-to-text:t" inset="0,0,0,0">
            <w:txbxContent>
              <w:p w:rsidR="00E35214" w:rsidRDefault="00F32E25">
                <w:pPr>
                  <w:pStyle w:val="a9"/>
                  <w:rPr>
                    <w:rFonts w:ascii="Times New Roman" w:hAnsi="Times New Roman"/>
                    <w:sz w:val="28"/>
                    <w:szCs w:val="28"/>
                  </w:rPr>
                </w:pPr>
                <w:r>
                  <w:rPr>
                    <w:rFonts w:ascii="Times New Roman" w:hAnsi="Times New Roman"/>
                    <w:sz w:val="28"/>
                    <w:szCs w:val="28"/>
                  </w:rPr>
                  <w:fldChar w:fldCharType="begin"/>
                </w:r>
                <w:r w:rsidR="006F7231">
                  <w:rPr>
                    <w:rFonts w:ascii="Times New Roman" w:hAnsi="Times New Roman"/>
                    <w:sz w:val="28"/>
                    <w:szCs w:val="28"/>
                  </w:rPr>
                  <w:instrText xml:space="preserve"> PAGE  \* MERGEFORMAT </w:instrText>
                </w:r>
                <w:r>
                  <w:rPr>
                    <w:rFonts w:ascii="Times New Roman" w:hAnsi="Times New Roman"/>
                    <w:sz w:val="28"/>
                    <w:szCs w:val="28"/>
                  </w:rPr>
                  <w:fldChar w:fldCharType="separate"/>
                </w:r>
                <w:r w:rsidR="00ED473C">
                  <w:rPr>
                    <w:rFonts w:ascii="Times New Roman" w:hAnsi="Times New Roman"/>
                    <w:noProof/>
                    <w:sz w:val="28"/>
                    <w:szCs w:val="28"/>
                  </w:rPr>
                  <w:t>47</w:t>
                </w:r>
                <w:r>
                  <w:rPr>
                    <w:rFonts w:ascii="Times New Roman" w:hAnsi="Times New Roman"/>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021" w:rsidRDefault="00836021" w:rsidP="00E35214">
      <w:r>
        <w:separator/>
      </w:r>
    </w:p>
  </w:footnote>
  <w:footnote w:type="continuationSeparator" w:id="1">
    <w:p w:rsidR="00836021" w:rsidRDefault="00836021" w:rsidP="00E352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97CC0A"/>
    <w:multiLevelType w:val="singleLevel"/>
    <w:tmpl w:val="AD97CC0A"/>
    <w:lvl w:ilvl="0">
      <w:start w:val="2"/>
      <w:numFmt w:val="chineseCounting"/>
      <w:suff w:val="space"/>
      <w:lvlText w:val="第%1篇"/>
      <w:lvlJc w:val="left"/>
      <w:rPr>
        <w:rFonts w:hint="eastAsia"/>
      </w:rPr>
    </w:lvl>
  </w:abstractNum>
  <w:abstractNum w:abstractNumId="1">
    <w:nsid w:val="72DD8826"/>
    <w:multiLevelType w:val="singleLevel"/>
    <w:tmpl w:val="72DD8826"/>
    <w:lvl w:ilvl="0">
      <w:start w:val="4"/>
      <w:numFmt w:val="chineseCounting"/>
      <w:suff w:val="space"/>
      <w:lvlText w:val="第%1节"/>
      <w:lvlJc w:val="left"/>
      <w:pPr>
        <w:ind w:left="1264" w:firstLine="0"/>
      </w:pPr>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6B042A"/>
    <w:rsid w:val="00125247"/>
    <w:rsid w:val="0013671E"/>
    <w:rsid w:val="001431AA"/>
    <w:rsid w:val="001D76F4"/>
    <w:rsid w:val="001E36FD"/>
    <w:rsid w:val="00292F3C"/>
    <w:rsid w:val="002B03E8"/>
    <w:rsid w:val="002D28D0"/>
    <w:rsid w:val="00482560"/>
    <w:rsid w:val="004C7657"/>
    <w:rsid w:val="004D00CA"/>
    <w:rsid w:val="005073B8"/>
    <w:rsid w:val="005C1C40"/>
    <w:rsid w:val="006A0E24"/>
    <w:rsid w:val="006B042A"/>
    <w:rsid w:val="006C5211"/>
    <w:rsid w:val="006F7231"/>
    <w:rsid w:val="0071000C"/>
    <w:rsid w:val="007461FF"/>
    <w:rsid w:val="00783F30"/>
    <w:rsid w:val="00836021"/>
    <w:rsid w:val="00850993"/>
    <w:rsid w:val="00950EE9"/>
    <w:rsid w:val="009A61C9"/>
    <w:rsid w:val="00A04D25"/>
    <w:rsid w:val="00A27D71"/>
    <w:rsid w:val="00A63762"/>
    <w:rsid w:val="00AE1851"/>
    <w:rsid w:val="00BF0989"/>
    <w:rsid w:val="00C36993"/>
    <w:rsid w:val="00C91670"/>
    <w:rsid w:val="00C94AFB"/>
    <w:rsid w:val="00CD2A86"/>
    <w:rsid w:val="00CD7551"/>
    <w:rsid w:val="00DC3FE1"/>
    <w:rsid w:val="00E35214"/>
    <w:rsid w:val="00E4229C"/>
    <w:rsid w:val="00E647D0"/>
    <w:rsid w:val="00E9142F"/>
    <w:rsid w:val="00E91BA9"/>
    <w:rsid w:val="00ED473C"/>
    <w:rsid w:val="00EE03E7"/>
    <w:rsid w:val="00F11C48"/>
    <w:rsid w:val="00F32E25"/>
    <w:rsid w:val="00F45B9A"/>
    <w:rsid w:val="00FB7DFA"/>
    <w:rsid w:val="036F3000"/>
    <w:rsid w:val="044D1983"/>
    <w:rsid w:val="04F03AE7"/>
    <w:rsid w:val="051003D6"/>
    <w:rsid w:val="054F25C7"/>
    <w:rsid w:val="058220D0"/>
    <w:rsid w:val="065731E5"/>
    <w:rsid w:val="06825571"/>
    <w:rsid w:val="073B590D"/>
    <w:rsid w:val="0798107C"/>
    <w:rsid w:val="08347785"/>
    <w:rsid w:val="08B95F4D"/>
    <w:rsid w:val="09142F81"/>
    <w:rsid w:val="0A9D7FE8"/>
    <w:rsid w:val="0DD5139F"/>
    <w:rsid w:val="0E5A314B"/>
    <w:rsid w:val="0E886FEA"/>
    <w:rsid w:val="0FA56800"/>
    <w:rsid w:val="0FD709F6"/>
    <w:rsid w:val="10B63D40"/>
    <w:rsid w:val="10C64223"/>
    <w:rsid w:val="121960B5"/>
    <w:rsid w:val="133E1ECE"/>
    <w:rsid w:val="13CB55F0"/>
    <w:rsid w:val="141C1558"/>
    <w:rsid w:val="146E41D1"/>
    <w:rsid w:val="14BA07C1"/>
    <w:rsid w:val="15071CC4"/>
    <w:rsid w:val="157C3267"/>
    <w:rsid w:val="164C48AF"/>
    <w:rsid w:val="16E17C1D"/>
    <w:rsid w:val="16E24D47"/>
    <w:rsid w:val="170675E0"/>
    <w:rsid w:val="176D5710"/>
    <w:rsid w:val="18EB0443"/>
    <w:rsid w:val="19C71DEF"/>
    <w:rsid w:val="1A2B07E0"/>
    <w:rsid w:val="1BB01E9B"/>
    <w:rsid w:val="1E17478E"/>
    <w:rsid w:val="1E1840A1"/>
    <w:rsid w:val="1E4D59EA"/>
    <w:rsid w:val="1E8923E3"/>
    <w:rsid w:val="2105048F"/>
    <w:rsid w:val="21862D7E"/>
    <w:rsid w:val="21D152D0"/>
    <w:rsid w:val="2287548B"/>
    <w:rsid w:val="23E62E4C"/>
    <w:rsid w:val="246414B5"/>
    <w:rsid w:val="248F6017"/>
    <w:rsid w:val="24F42E15"/>
    <w:rsid w:val="26A1073E"/>
    <w:rsid w:val="27865F3C"/>
    <w:rsid w:val="287F24CE"/>
    <w:rsid w:val="29F16FA5"/>
    <w:rsid w:val="2A7E5863"/>
    <w:rsid w:val="2B0B1EDD"/>
    <w:rsid w:val="2B80654D"/>
    <w:rsid w:val="2BB95D89"/>
    <w:rsid w:val="2BF3172A"/>
    <w:rsid w:val="2D4E3199"/>
    <w:rsid w:val="2E105098"/>
    <w:rsid w:val="2F59608F"/>
    <w:rsid w:val="305128A4"/>
    <w:rsid w:val="30F34D72"/>
    <w:rsid w:val="32541D48"/>
    <w:rsid w:val="32586A0D"/>
    <w:rsid w:val="32AC46B2"/>
    <w:rsid w:val="32F66A54"/>
    <w:rsid w:val="33383F9C"/>
    <w:rsid w:val="33564D0A"/>
    <w:rsid w:val="38417A5F"/>
    <w:rsid w:val="39A13DC0"/>
    <w:rsid w:val="39A5693B"/>
    <w:rsid w:val="39BE1918"/>
    <w:rsid w:val="3A2C6755"/>
    <w:rsid w:val="3A8D1C34"/>
    <w:rsid w:val="3AA354EF"/>
    <w:rsid w:val="3B130FEC"/>
    <w:rsid w:val="3C277E6F"/>
    <w:rsid w:val="3C9B6832"/>
    <w:rsid w:val="3EE60456"/>
    <w:rsid w:val="3F7B324A"/>
    <w:rsid w:val="3F852F49"/>
    <w:rsid w:val="40954900"/>
    <w:rsid w:val="43400969"/>
    <w:rsid w:val="443B58D8"/>
    <w:rsid w:val="44AC3357"/>
    <w:rsid w:val="44FF1E01"/>
    <w:rsid w:val="450A5038"/>
    <w:rsid w:val="45477A02"/>
    <w:rsid w:val="46EB171B"/>
    <w:rsid w:val="476163DB"/>
    <w:rsid w:val="482164DE"/>
    <w:rsid w:val="48CE400D"/>
    <w:rsid w:val="494A7356"/>
    <w:rsid w:val="49E5695E"/>
    <w:rsid w:val="4A2C7068"/>
    <w:rsid w:val="4BF845D9"/>
    <w:rsid w:val="4C783645"/>
    <w:rsid w:val="4C940B7E"/>
    <w:rsid w:val="4CC42F1B"/>
    <w:rsid w:val="4CDD6DF0"/>
    <w:rsid w:val="4EB21C16"/>
    <w:rsid w:val="5088751F"/>
    <w:rsid w:val="51440D3A"/>
    <w:rsid w:val="51A90A8B"/>
    <w:rsid w:val="544B7E6F"/>
    <w:rsid w:val="54724626"/>
    <w:rsid w:val="54C842BC"/>
    <w:rsid w:val="55136245"/>
    <w:rsid w:val="55554DF9"/>
    <w:rsid w:val="56136BC9"/>
    <w:rsid w:val="564E5D6B"/>
    <w:rsid w:val="56B45D7B"/>
    <w:rsid w:val="57012B0B"/>
    <w:rsid w:val="5784584F"/>
    <w:rsid w:val="59EB718B"/>
    <w:rsid w:val="5A91142B"/>
    <w:rsid w:val="5D31509F"/>
    <w:rsid w:val="5D7212B1"/>
    <w:rsid w:val="5DF86567"/>
    <w:rsid w:val="5EBC3173"/>
    <w:rsid w:val="5F2D1A42"/>
    <w:rsid w:val="5F462637"/>
    <w:rsid w:val="5FE462D0"/>
    <w:rsid w:val="604B5FA7"/>
    <w:rsid w:val="60FF73BF"/>
    <w:rsid w:val="6316756F"/>
    <w:rsid w:val="645544AB"/>
    <w:rsid w:val="66577333"/>
    <w:rsid w:val="67750F5C"/>
    <w:rsid w:val="682138F5"/>
    <w:rsid w:val="682363CA"/>
    <w:rsid w:val="68902BD1"/>
    <w:rsid w:val="68D040A6"/>
    <w:rsid w:val="695B1C77"/>
    <w:rsid w:val="697F5322"/>
    <w:rsid w:val="6A2D4AA0"/>
    <w:rsid w:val="6AA31DE6"/>
    <w:rsid w:val="6B0608C2"/>
    <w:rsid w:val="6B0F60BA"/>
    <w:rsid w:val="6B231113"/>
    <w:rsid w:val="6B323D14"/>
    <w:rsid w:val="6B6C150C"/>
    <w:rsid w:val="6C00711F"/>
    <w:rsid w:val="6CD40315"/>
    <w:rsid w:val="6D77778B"/>
    <w:rsid w:val="6DA24AAA"/>
    <w:rsid w:val="6EA16ED8"/>
    <w:rsid w:val="6F356CFD"/>
    <w:rsid w:val="6F385927"/>
    <w:rsid w:val="6FE23A7E"/>
    <w:rsid w:val="70131A6E"/>
    <w:rsid w:val="727A5F63"/>
    <w:rsid w:val="733E0E65"/>
    <w:rsid w:val="747C76D3"/>
    <w:rsid w:val="75F74A7F"/>
    <w:rsid w:val="765419D7"/>
    <w:rsid w:val="7693147B"/>
    <w:rsid w:val="779854F9"/>
    <w:rsid w:val="77DB1750"/>
    <w:rsid w:val="79242041"/>
    <w:rsid w:val="7BFE6592"/>
    <w:rsid w:val="7C087DC0"/>
    <w:rsid w:val="7C303575"/>
    <w:rsid w:val="7EBA0D24"/>
    <w:rsid w:val="7ED35243"/>
    <w:rsid w:val="7FC95D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qFormat="1"/>
    <w:lsdException w:name="heading 3"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0" w:qFormat="1"/>
    <w:lsdException w:name="annotation text" w:qFormat="1"/>
    <w:lsdException w:name="header" w:uiPriority="0" w:unhideWhenUsed="0" w:qFormat="1"/>
    <w:lsdException w:name="footer" w:qFormat="1"/>
    <w:lsdException w:name="index heading" w:semiHidden="1"/>
    <w:lsdException w:name="caption" w:semiHidden="1" w:uiPriority="35" w:qFormat="1"/>
    <w:lsdException w:name="table of figures" w:uiPriority="0" w:qFormat="1"/>
    <w:lsdException w:name="envelope address" w:semiHidden="1"/>
    <w:lsdException w:name="envelope return" w:semiHidden="1"/>
    <w:lsdException w:name="footnote reference"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qFormat="1"/>
    <w:lsdException w:name="Date" w:semiHidden="1"/>
    <w:lsdException w:name="Body Text First Indent" w:semiHidden="1"/>
    <w:lsdException w:name="Body Text First Indent 2" w:unhideWhenUsed="0" w:qFormat="1"/>
    <w:lsdException w:name="Note Heading" w:semiHidden="1"/>
    <w:lsdException w:name="Body Text 2" w:semiHidden="1"/>
    <w:lsdException w:name="Body Text 3" w:semiHidden="1"/>
    <w:lsdException w:name="Body Text Indent 2" w:uiPriority="0" w:unhideWhenUsed="0" w:qFormat="1"/>
    <w:lsdException w:name="Body Text Indent 3" w:semiHidden="1"/>
    <w:lsdException w:name="Block Text" w:semiHidden="1"/>
    <w:lsdException w:name="Hyperlink" w:qFormat="1"/>
    <w:lsdException w:name="FollowedHyperlink" w:qFormat="1"/>
    <w:lsdException w:name="Strong" w:uiPriority="0" w:unhideWhenUsed="0" w:qFormat="1"/>
    <w:lsdException w:name="Emphasis" w:uiPriority="0" w:unhideWhenUsed="0" w:qFormat="1"/>
    <w:lsdException w:name="Document Map" w:semiHidden="1"/>
    <w:lsdException w:name="Plain Text"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qFormat="1"/>
    <w:lsdException w:name="HTML Code" w:qFormat="1"/>
    <w:lsdException w:name="HTML Definition" w:qFormat="1"/>
    <w:lsdException w:name="HTML Keyboard" w:semiHidden="1"/>
    <w:lsdException w:name="HTML Preformatted" w:semiHidden="1"/>
    <w:lsdException w:name="HTML Sample" w:semiHidden="1"/>
    <w:lsdException w:name="HTML Typewriter" w:semiHidden="1"/>
    <w:lsdException w:name="HTML Variable" w:qFormat="1"/>
    <w:lsdException w:name="Normal Table"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rsid w:val="00E35214"/>
    <w:pPr>
      <w:widowControl w:val="0"/>
      <w:jc w:val="both"/>
    </w:pPr>
    <w:rPr>
      <w:rFonts w:ascii="Calibri" w:hAnsi="Calibri"/>
      <w:kern w:val="2"/>
      <w:sz w:val="21"/>
      <w:szCs w:val="24"/>
    </w:rPr>
  </w:style>
  <w:style w:type="paragraph" w:styleId="1">
    <w:name w:val="heading 1"/>
    <w:basedOn w:val="a"/>
    <w:next w:val="a"/>
    <w:link w:val="1Char"/>
    <w:qFormat/>
    <w:rsid w:val="00E35214"/>
    <w:pPr>
      <w:keepNext/>
      <w:keepLines/>
      <w:spacing w:before="240" w:after="210" w:line="579" w:lineRule="auto"/>
      <w:outlineLvl w:val="0"/>
    </w:pPr>
    <w:rPr>
      <w:rFonts w:eastAsia="黑体"/>
      <w:b/>
      <w:bCs/>
      <w:kern w:val="44"/>
      <w:sz w:val="36"/>
      <w:szCs w:val="44"/>
    </w:rPr>
  </w:style>
  <w:style w:type="paragraph" w:styleId="2">
    <w:name w:val="heading 2"/>
    <w:basedOn w:val="a"/>
    <w:next w:val="a"/>
    <w:link w:val="2Char"/>
    <w:uiPriority w:val="99"/>
    <w:unhideWhenUsed/>
    <w:qFormat/>
    <w:rsid w:val="00E35214"/>
    <w:pPr>
      <w:keepNext/>
      <w:keepLines/>
      <w:spacing w:before="260" w:after="260" w:line="416" w:lineRule="auto"/>
      <w:jc w:val="center"/>
      <w:outlineLvl w:val="1"/>
    </w:pPr>
    <w:rPr>
      <w:rFonts w:asciiTheme="majorHAnsi" w:eastAsia="黑体" w:hAnsiTheme="majorHAnsi" w:cstheme="majorBidi"/>
      <w:b/>
      <w:bCs/>
      <w:sz w:val="32"/>
      <w:szCs w:val="32"/>
    </w:rPr>
  </w:style>
  <w:style w:type="paragraph" w:styleId="3">
    <w:name w:val="heading 3"/>
    <w:basedOn w:val="a"/>
    <w:next w:val="a"/>
    <w:link w:val="3Char"/>
    <w:unhideWhenUsed/>
    <w:qFormat/>
    <w:rsid w:val="00E35214"/>
    <w:pPr>
      <w:keepNext/>
      <w:keepLines/>
      <w:spacing w:before="260" w:after="260" w:line="416" w:lineRule="auto"/>
      <w:jc w:val="center"/>
      <w:outlineLvl w:val="2"/>
    </w:pPr>
    <w:rPr>
      <w:rFonts w:ascii="Times New Roman" w:hAnsi="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alutation"/>
    <w:basedOn w:val="a"/>
    <w:next w:val="a"/>
    <w:uiPriority w:val="99"/>
    <w:unhideWhenUsed/>
    <w:qFormat/>
    <w:rsid w:val="00E35214"/>
    <w:pPr>
      <w:jc w:val="left"/>
    </w:pPr>
    <w:rPr>
      <w:rFonts w:ascii="Times New Roman" w:eastAsia="仿宋_GB2312" w:hAnsi="Times New Roman"/>
      <w:sz w:val="32"/>
    </w:rPr>
  </w:style>
  <w:style w:type="paragraph" w:styleId="a4">
    <w:name w:val="annotation text"/>
    <w:basedOn w:val="a"/>
    <w:uiPriority w:val="99"/>
    <w:unhideWhenUsed/>
    <w:qFormat/>
    <w:rsid w:val="00E35214"/>
    <w:pPr>
      <w:jc w:val="left"/>
    </w:pPr>
  </w:style>
  <w:style w:type="paragraph" w:styleId="a5">
    <w:name w:val="Body Text"/>
    <w:basedOn w:val="a"/>
    <w:link w:val="Char"/>
    <w:uiPriority w:val="99"/>
    <w:unhideWhenUsed/>
    <w:qFormat/>
    <w:rsid w:val="00E35214"/>
    <w:pPr>
      <w:spacing w:after="120"/>
    </w:pPr>
  </w:style>
  <w:style w:type="paragraph" w:styleId="a6">
    <w:name w:val="Body Text Indent"/>
    <w:basedOn w:val="a"/>
    <w:next w:val="20"/>
    <w:link w:val="Char0"/>
    <w:qFormat/>
    <w:rsid w:val="00E35214"/>
    <w:pPr>
      <w:ind w:firstLineChars="200" w:firstLine="549"/>
    </w:pPr>
    <w:rPr>
      <w:sz w:val="28"/>
      <w:szCs w:val="22"/>
    </w:rPr>
  </w:style>
  <w:style w:type="paragraph" w:styleId="20">
    <w:name w:val="Body Text First Indent 2"/>
    <w:basedOn w:val="a6"/>
    <w:next w:val="a"/>
    <w:link w:val="2Char0"/>
    <w:uiPriority w:val="99"/>
    <w:qFormat/>
    <w:rsid w:val="00E35214"/>
    <w:pPr>
      <w:ind w:firstLine="420"/>
    </w:pPr>
    <w:rPr>
      <w:rFonts w:cs="Calibri"/>
    </w:rPr>
  </w:style>
  <w:style w:type="paragraph" w:styleId="30">
    <w:name w:val="toc 3"/>
    <w:basedOn w:val="a"/>
    <w:next w:val="a"/>
    <w:uiPriority w:val="39"/>
    <w:unhideWhenUsed/>
    <w:qFormat/>
    <w:rsid w:val="00E35214"/>
    <w:pPr>
      <w:ind w:leftChars="400" w:left="840"/>
    </w:pPr>
  </w:style>
  <w:style w:type="paragraph" w:styleId="a7">
    <w:name w:val="Plain Text"/>
    <w:basedOn w:val="a"/>
    <w:uiPriority w:val="99"/>
    <w:unhideWhenUsed/>
    <w:qFormat/>
    <w:rsid w:val="00E35214"/>
    <w:rPr>
      <w:rFonts w:ascii="宋体" w:hAnsi="Courier New"/>
      <w:szCs w:val="21"/>
    </w:rPr>
  </w:style>
  <w:style w:type="paragraph" w:styleId="21">
    <w:name w:val="Body Text Indent 2"/>
    <w:basedOn w:val="a"/>
    <w:next w:val="a"/>
    <w:link w:val="2Char1"/>
    <w:qFormat/>
    <w:rsid w:val="00E35214"/>
    <w:pPr>
      <w:spacing w:after="120" w:line="480" w:lineRule="auto"/>
      <w:ind w:leftChars="200" w:left="420"/>
    </w:pPr>
  </w:style>
  <w:style w:type="paragraph" w:styleId="a8">
    <w:name w:val="Balloon Text"/>
    <w:basedOn w:val="a"/>
    <w:link w:val="Char1"/>
    <w:qFormat/>
    <w:rsid w:val="00E35214"/>
    <w:rPr>
      <w:sz w:val="18"/>
      <w:szCs w:val="18"/>
    </w:rPr>
  </w:style>
  <w:style w:type="paragraph" w:styleId="a9">
    <w:name w:val="footer"/>
    <w:basedOn w:val="a"/>
    <w:link w:val="Char2"/>
    <w:uiPriority w:val="99"/>
    <w:unhideWhenUsed/>
    <w:qFormat/>
    <w:rsid w:val="00E35214"/>
    <w:pPr>
      <w:tabs>
        <w:tab w:val="center" w:pos="4153"/>
        <w:tab w:val="right" w:pos="8306"/>
      </w:tabs>
      <w:snapToGrid w:val="0"/>
      <w:jc w:val="left"/>
    </w:pPr>
    <w:rPr>
      <w:sz w:val="18"/>
      <w:szCs w:val="18"/>
    </w:rPr>
  </w:style>
  <w:style w:type="paragraph" w:styleId="aa">
    <w:name w:val="header"/>
    <w:basedOn w:val="a"/>
    <w:link w:val="Char3"/>
    <w:qFormat/>
    <w:rsid w:val="00E3521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rsid w:val="00E35214"/>
  </w:style>
  <w:style w:type="paragraph" w:styleId="ab">
    <w:name w:val="footnote text"/>
    <w:basedOn w:val="a"/>
    <w:link w:val="Char4"/>
    <w:uiPriority w:val="99"/>
    <w:qFormat/>
    <w:rsid w:val="00E35214"/>
    <w:pPr>
      <w:snapToGrid w:val="0"/>
      <w:jc w:val="left"/>
    </w:pPr>
    <w:rPr>
      <w:sz w:val="18"/>
      <w:szCs w:val="18"/>
    </w:rPr>
  </w:style>
  <w:style w:type="paragraph" w:styleId="ac">
    <w:name w:val="table of figures"/>
    <w:basedOn w:val="a"/>
    <w:next w:val="a"/>
    <w:unhideWhenUsed/>
    <w:qFormat/>
    <w:rsid w:val="00E35214"/>
    <w:pPr>
      <w:ind w:leftChars="200" w:left="200" w:hangingChars="200" w:hanging="200"/>
    </w:pPr>
  </w:style>
  <w:style w:type="paragraph" w:styleId="22">
    <w:name w:val="toc 2"/>
    <w:basedOn w:val="a"/>
    <w:next w:val="a"/>
    <w:uiPriority w:val="39"/>
    <w:unhideWhenUsed/>
    <w:qFormat/>
    <w:rsid w:val="00E35214"/>
    <w:pPr>
      <w:ind w:leftChars="200" w:left="420"/>
    </w:pPr>
  </w:style>
  <w:style w:type="paragraph" w:styleId="ad">
    <w:name w:val="Normal (Web)"/>
    <w:basedOn w:val="a"/>
    <w:qFormat/>
    <w:rsid w:val="00E35214"/>
    <w:pPr>
      <w:widowControl/>
      <w:spacing w:before="100" w:beforeAutospacing="1" w:after="100" w:afterAutospacing="1"/>
      <w:jc w:val="left"/>
    </w:pPr>
    <w:rPr>
      <w:rFonts w:ascii="宋体" w:hAnsi="宋体" w:cs="宋体"/>
      <w:kern w:val="0"/>
      <w:sz w:val="24"/>
    </w:rPr>
  </w:style>
  <w:style w:type="table" w:styleId="ae">
    <w:name w:val="Table Grid"/>
    <w:basedOn w:val="a2"/>
    <w:uiPriority w:val="59"/>
    <w:qFormat/>
    <w:rsid w:val="00E3521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E35214"/>
    <w:rPr>
      <w:b/>
    </w:rPr>
  </w:style>
  <w:style w:type="character" w:styleId="af0">
    <w:name w:val="FollowedHyperlink"/>
    <w:basedOn w:val="a1"/>
    <w:uiPriority w:val="99"/>
    <w:unhideWhenUsed/>
    <w:qFormat/>
    <w:rsid w:val="00E35214"/>
    <w:rPr>
      <w:color w:val="000000"/>
      <w:u w:val="none"/>
    </w:rPr>
  </w:style>
  <w:style w:type="character" w:styleId="af1">
    <w:name w:val="Emphasis"/>
    <w:basedOn w:val="a1"/>
    <w:qFormat/>
    <w:rsid w:val="00E35214"/>
    <w:rPr>
      <w:i/>
      <w:iCs/>
    </w:rPr>
  </w:style>
  <w:style w:type="character" w:styleId="HTML">
    <w:name w:val="HTML Definition"/>
    <w:basedOn w:val="a1"/>
    <w:uiPriority w:val="99"/>
    <w:unhideWhenUsed/>
    <w:qFormat/>
    <w:rsid w:val="00E35214"/>
  </w:style>
  <w:style w:type="character" w:styleId="HTML0">
    <w:name w:val="HTML Variable"/>
    <w:basedOn w:val="a1"/>
    <w:uiPriority w:val="99"/>
    <w:unhideWhenUsed/>
    <w:qFormat/>
    <w:rsid w:val="00E35214"/>
  </w:style>
  <w:style w:type="character" w:styleId="af2">
    <w:name w:val="Hyperlink"/>
    <w:basedOn w:val="a1"/>
    <w:uiPriority w:val="99"/>
    <w:unhideWhenUsed/>
    <w:qFormat/>
    <w:rsid w:val="00E35214"/>
    <w:rPr>
      <w:color w:val="000000"/>
      <w:u w:val="none"/>
    </w:rPr>
  </w:style>
  <w:style w:type="character" w:styleId="HTML1">
    <w:name w:val="HTML Code"/>
    <w:basedOn w:val="a1"/>
    <w:uiPriority w:val="99"/>
    <w:unhideWhenUsed/>
    <w:qFormat/>
    <w:rsid w:val="00E35214"/>
    <w:rPr>
      <w:rFonts w:ascii="Courier New" w:hAnsi="Courier New"/>
      <w:sz w:val="20"/>
    </w:rPr>
  </w:style>
  <w:style w:type="character" w:styleId="HTML2">
    <w:name w:val="HTML Cite"/>
    <w:basedOn w:val="a1"/>
    <w:uiPriority w:val="99"/>
    <w:unhideWhenUsed/>
    <w:qFormat/>
    <w:rsid w:val="00E35214"/>
  </w:style>
  <w:style w:type="character" w:styleId="af3">
    <w:name w:val="footnote reference"/>
    <w:basedOn w:val="a1"/>
    <w:uiPriority w:val="99"/>
    <w:unhideWhenUsed/>
    <w:qFormat/>
    <w:rsid w:val="00E35214"/>
    <w:rPr>
      <w:vertAlign w:val="superscript"/>
    </w:rPr>
  </w:style>
  <w:style w:type="character" w:customStyle="1" w:styleId="1Char">
    <w:name w:val="标题 1 Char"/>
    <w:basedOn w:val="a1"/>
    <w:link w:val="1"/>
    <w:qFormat/>
    <w:rsid w:val="00E35214"/>
    <w:rPr>
      <w:rFonts w:ascii="Calibri" w:eastAsia="黑体" w:hAnsi="Calibri" w:cs="Times New Roman"/>
      <w:b/>
      <w:bCs/>
      <w:kern w:val="44"/>
      <w:sz w:val="36"/>
      <w:szCs w:val="44"/>
    </w:rPr>
  </w:style>
  <w:style w:type="character" w:customStyle="1" w:styleId="2Char">
    <w:name w:val="标题 2 Char"/>
    <w:basedOn w:val="a1"/>
    <w:link w:val="2"/>
    <w:uiPriority w:val="99"/>
    <w:qFormat/>
    <w:rsid w:val="00E35214"/>
    <w:rPr>
      <w:rFonts w:asciiTheme="majorHAnsi" w:eastAsia="黑体" w:hAnsiTheme="majorHAnsi" w:cstheme="majorBidi"/>
      <w:b/>
      <w:bCs/>
      <w:sz w:val="32"/>
      <w:szCs w:val="32"/>
    </w:rPr>
  </w:style>
  <w:style w:type="character" w:customStyle="1" w:styleId="3Char">
    <w:name w:val="标题 3 Char"/>
    <w:basedOn w:val="a1"/>
    <w:link w:val="3"/>
    <w:qFormat/>
    <w:rsid w:val="00E35214"/>
    <w:rPr>
      <w:rFonts w:ascii="Times New Roman" w:eastAsia="宋体" w:hAnsi="Times New Roman" w:cs="Times New Roman"/>
      <w:b/>
      <w:bCs/>
      <w:kern w:val="0"/>
      <w:sz w:val="32"/>
      <w:szCs w:val="32"/>
    </w:rPr>
  </w:style>
  <w:style w:type="character" w:customStyle="1" w:styleId="Char">
    <w:name w:val="正文文本 Char"/>
    <w:basedOn w:val="a1"/>
    <w:link w:val="a5"/>
    <w:uiPriority w:val="99"/>
    <w:qFormat/>
    <w:rsid w:val="00E35214"/>
    <w:rPr>
      <w:rFonts w:ascii="Calibri" w:eastAsia="宋体" w:hAnsi="Calibri" w:cs="Times New Roman"/>
      <w:szCs w:val="24"/>
    </w:rPr>
  </w:style>
  <w:style w:type="character" w:customStyle="1" w:styleId="Char0">
    <w:name w:val="正文文本缩进 Char"/>
    <w:basedOn w:val="a1"/>
    <w:link w:val="a6"/>
    <w:qFormat/>
    <w:rsid w:val="00E35214"/>
    <w:rPr>
      <w:rFonts w:ascii="Calibri" w:eastAsia="宋体" w:hAnsi="Calibri" w:cs="Times New Roman"/>
      <w:sz w:val="28"/>
    </w:rPr>
  </w:style>
  <w:style w:type="character" w:customStyle="1" w:styleId="2Char0">
    <w:name w:val="正文首行缩进 2 Char"/>
    <w:basedOn w:val="Char0"/>
    <w:link w:val="20"/>
    <w:uiPriority w:val="99"/>
    <w:qFormat/>
    <w:rsid w:val="00E35214"/>
    <w:rPr>
      <w:rFonts w:cs="Calibri"/>
    </w:rPr>
  </w:style>
  <w:style w:type="character" w:customStyle="1" w:styleId="2Char1">
    <w:name w:val="正文文本缩进 2 Char"/>
    <w:basedOn w:val="a1"/>
    <w:link w:val="21"/>
    <w:qFormat/>
    <w:rsid w:val="00E35214"/>
    <w:rPr>
      <w:rFonts w:ascii="Calibri" w:eastAsia="宋体" w:hAnsi="Calibri" w:cs="Times New Roman"/>
      <w:szCs w:val="24"/>
    </w:rPr>
  </w:style>
  <w:style w:type="character" w:customStyle="1" w:styleId="Char2">
    <w:name w:val="页脚 Char"/>
    <w:basedOn w:val="a1"/>
    <w:link w:val="a9"/>
    <w:uiPriority w:val="99"/>
    <w:qFormat/>
    <w:rsid w:val="00E35214"/>
    <w:rPr>
      <w:rFonts w:ascii="Calibri" w:eastAsia="宋体" w:hAnsi="Calibri" w:cs="Times New Roman"/>
      <w:sz w:val="18"/>
      <w:szCs w:val="18"/>
    </w:rPr>
  </w:style>
  <w:style w:type="character" w:customStyle="1" w:styleId="Char3">
    <w:name w:val="页眉 Char"/>
    <w:basedOn w:val="a1"/>
    <w:link w:val="aa"/>
    <w:qFormat/>
    <w:rsid w:val="00E35214"/>
    <w:rPr>
      <w:rFonts w:ascii="Calibri" w:eastAsia="宋体" w:hAnsi="Calibri" w:cs="Times New Roman"/>
      <w:sz w:val="18"/>
      <w:szCs w:val="24"/>
    </w:rPr>
  </w:style>
  <w:style w:type="character" w:customStyle="1" w:styleId="Char4">
    <w:name w:val="脚注文本 Char"/>
    <w:basedOn w:val="a1"/>
    <w:link w:val="ab"/>
    <w:uiPriority w:val="99"/>
    <w:qFormat/>
    <w:rsid w:val="00E35214"/>
    <w:rPr>
      <w:rFonts w:ascii="Calibri" w:eastAsia="宋体" w:hAnsi="Calibri" w:cs="Times New Roman"/>
      <w:sz w:val="18"/>
      <w:szCs w:val="18"/>
    </w:rPr>
  </w:style>
  <w:style w:type="paragraph" w:customStyle="1" w:styleId="af4">
    <w:name w:val="文档正文"/>
    <w:qFormat/>
    <w:rsid w:val="00E35214"/>
    <w:pPr>
      <w:widowControl w:val="0"/>
      <w:adjustRightInd w:val="0"/>
      <w:spacing w:line="480" w:lineRule="atLeast"/>
      <w:jc w:val="both"/>
      <w:textAlignment w:val="baseline"/>
    </w:pPr>
    <w:rPr>
      <w:rFonts w:ascii="Arial" w:hAnsi="Arial"/>
      <w:sz w:val="21"/>
      <w:szCs w:val="24"/>
    </w:rPr>
  </w:style>
  <w:style w:type="paragraph" w:customStyle="1" w:styleId="TableParagraph">
    <w:name w:val="Table Paragraph"/>
    <w:basedOn w:val="a"/>
    <w:uiPriority w:val="1"/>
    <w:qFormat/>
    <w:rsid w:val="00E35214"/>
    <w:rPr>
      <w:rFonts w:ascii="宋体" w:hAnsi="宋体" w:cs="宋体"/>
      <w:lang w:val="zh-CN" w:bidi="zh-CN"/>
    </w:rPr>
  </w:style>
  <w:style w:type="character" w:customStyle="1" w:styleId="NormalCharacter">
    <w:name w:val="NormalCharacter"/>
    <w:semiHidden/>
    <w:qFormat/>
    <w:rsid w:val="00E35214"/>
  </w:style>
  <w:style w:type="paragraph" w:customStyle="1" w:styleId="NewNewNewNewNewNewNewNewNewNewNewNewNewNewNewNew">
    <w:name w:val="正文 New New New New New New New New New New New New New New New New"/>
    <w:qFormat/>
    <w:rsid w:val="00E35214"/>
    <w:pPr>
      <w:widowControl w:val="0"/>
      <w:spacing w:line="400" w:lineRule="exact"/>
      <w:ind w:firstLineChars="200" w:firstLine="200"/>
      <w:jc w:val="both"/>
    </w:pPr>
    <w:rPr>
      <w:rFonts w:ascii="Calibri" w:hAnsi="Calibri" w:cs="Calibri"/>
      <w:sz w:val="21"/>
      <w:szCs w:val="21"/>
    </w:rPr>
  </w:style>
  <w:style w:type="character" w:customStyle="1" w:styleId="Char1">
    <w:name w:val="批注框文本 Char"/>
    <w:basedOn w:val="a1"/>
    <w:link w:val="a8"/>
    <w:qFormat/>
    <w:rsid w:val="00E35214"/>
    <w:rPr>
      <w:rFonts w:ascii="Calibri" w:eastAsia="宋体" w:hAnsi="Calibri" w:cs="Times New Roman"/>
      <w:sz w:val="18"/>
      <w:szCs w:val="18"/>
    </w:rPr>
  </w:style>
  <w:style w:type="character" w:customStyle="1" w:styleId="place">
    <w:name w:val="place"/>
    <w:basedOn w:val="a1"/>
    <w:qFormat/>
    <w:rsid w:val="00E35214"/>
    <w:rPr>
      <w:rFonts w:ascii="微软雅黑" w:eastAsia="微软雅黑" w:hAnsi="微软雅黑" w:cs="微软雅黑"/>
      <w:color w:val="888888"/>
      <w:sz w:val="25"/>
      <w:szCs w:val="25"/>
    </w:rPr>
  </w:style>
  <w:style w:type="character" w:customStyle="1" w:styleId="place1">
    <w:name w:val="place1"/>
    <w:basedOn w:val="a1"/>
    <w:qFormat/>
    <w:rsid w:val="00E35214"/>
  </w:style>
  <w:style w:type="character" w:customStyle="1" w:styleId="place2">
    <w:name w:val="place2"/>
    <w:basedOn w:val="a1"/>
    <w:qFormat/>
    <w:rsid w:val="00E35214"/>
  </w:style>
  <w:style w:type="character" w:customStyle="1" w:styleId="place3">
    <w:name w:val="place3"/>
    <w:basedOn w:val="a1"/>
    <w:qFormat/>
    <w:rsid w:val="00E35214"/>
  </w:style>
  <w:style w:type="character" w:customStyle="1" w:styleId="gwdsnopic">
    <w:name w:val="gwds_nopic"/>
    <w:basedOn w:val="a1"/>
    <w:qFormat/>
    <w:rsid w:val="00E35214"/>
  </w:style>
  <w:style w:type="character" w:customStyle="1" w:styleId="gwdsnopic1">
    <w:name w:val="gwds_nopic1"/>
    <w:basedOn w:val="a1"/>
    <w:qFormat/>
    <w:rsid w:val="00E35214"/>
  </w:style>
  <w:style w:type="character" w:customStyle="1" w:styleId="gwdsnopic2">
    <w:name w:val="gwds_nopic2"/>
    <w:basedOn w:val="a1"/>
    <w:qFormat/>
    <w:rsid w:val="00E35214"/>
  </w:style>
  <w:style w:type="character" w:customStyle="1" w:styleId="hover18">
    <w:name w:val="hover18"/>
    <w:basedOn w:val="a1"/>
    <w:qFormat/>
    <w:rsid w:val="00E35214"/>
    <w:rPr>
      <w:color w:val="025291"/>
    </w:rPr>
  </w:style>
  <w:style w:type="character" w:customStyle="1" w:styleId="noline">
    <w:name w:val="noline"/>
    <w:basedOn w:val="a1"/>
    <w:qFormat/>
    <w:rsid w:val="00E35214"/>
  </w:style>
  <w:style w:type="character" w:customStyle="1" w:styleId="font">
    <w:name w:val="font"/>
    <w:basedOn w:val="a1"/>
    <w:qFormat/>
    <w:rsid w:val="00E35214"/>
  </w:style>
  <w:style w:type="character" w:customStyle="1" w:styleId="font1">
    <w:name w:val="font1"/>
    <w:basedOn w:val="a1"/>
    <w:qFormat/>
    <w:rsid w:val="00E35214"/>
  </w:style>
  <w:style w:type="character" w:customStyle="1" w:styleId="hover16">
    <w:name w:val="hover16"/>
    <w:basedOn w:val="a1"/>
    <w:qFormat/>
    <w:rsid w:val="00E35214"/>
    <w:rPr>
      <w:color w:val="025291"/>
    </w:rPr>
  </w:style>
  <w:style w:type="character" w:customStyle="1" w:styleId="hover19">
    <w:name w:val="hover19"/>
    <w:basedOn w:val="a1"/>
    <w:qFormat/>
    <w:rsid w:val="00E35214"/>
    <w:rPr>
      <w:color w:val="025291"/>
    </w:rPr>
  </w:style>
  <w:style w:type="character" w:customStyle="1" w:styleId="laypagecurr">
    <w:name w:val="laypage_curr"/>
    <w:basedOn w:val="a1"/>
    <w:qFormat/>
    <w:rsid w:val="00E35214"/>
    <w:rPr>
      <w:color w:val="FFFDF4"/>
      <w:shd w:val="clear" w:color="auto" w:fill="0B67A6"/>
    </w:rPr>
  </w:style>
  <w:style w:type="paragraph" w:customStyle="1" w:styleId="Style3">
    <w:name w:val="_Style 3"/>
    <w:basedOn w:val="a"/>
    <w:uiPriority w:val="99"/>
    <w:qFormat/>
    <w:rsid w:val="00E35214"/>
    <w:pPr>
      <w:ind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46"/>
    <customShpInfo spid="_x0000_s1045"/>
    <customShpInfo spid="_x0000_s1047"/>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107</Pages>
  <Words>8130</Words>
  <Characters>46344</Characters>
  <Application>Microsoft Office Word</Application>
  <DocSecurity>0</DocSecurity>
  <Lines>386</Lines>
  <Paragraphs>108</Paragraphs>
  <ScaleCrop>false</ScaleCrop>
  <Company/>
  <LinksUpToDate>false</LinksUpToDate>
  <CharactersWithSpaces>54366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2021-12-28T11:53:00Z</cp:lastPrinted>
  <dcterms:created xsi:type="dcterms:W3CDTF">2021-01-10T04:23:00Z</dcterms:created>
  <dcterms:modified xsi:type="dcterms:W3CDTF">2022-05-27T09:25:00Z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