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3" w:lineRule="atLeast"/>
        <w:ind w:left="0" w:right="0" w:firstLine="0"/>
        <w:jc w:val="center"/>
        <w:rPr>
          <w:rFonts w:hint="eastAsia" w:ascii="宋体" w:hAnsi="宋体" w:eastAsia="宋体" w:cs="宋体"/>
          <w:b/>
          <w:bCs/>
          <w:i w:val="0"/>
          <w:iCs w:val="0"/>
          <w:caps w:val="0"/>
          <w:color w:val="333333"/>
          <w:spacing w:val="0"/>
          <w:sz w:val="34"/>
          <w:szCs w:val="34"/>
        </w:rPr>
      </w:pPr>
      <w:r>
        <w:rPr>
          <w:rFonts w:hint="eastAsia" w:ascii="宋体" w:hAnsi="宋体" w:eastAsia="宋体" w:cs="宋体"/>
          <w:b/>
          <w:bCs/>
          <w:i w:val="0"/>
          <w:iCs w:val="0"/>
          <w:caps w:val="0"/>
          <w:color w:val="333333"/>
          <w:spacing w:val="0"/>
          <w:sz w:val="34"/>
          <w:szCs w:val="34"/>
          <w:bdr w:val="none" w:color="auto" w:sz="0" w:space="0"/>
          <w:shd w:val="clear" w:fill="FFFFFF"/>
        </w:rPr>
        <w:t xml:space="preserve"> 谈判项目技术、服务、商务及其他要求</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（带“★”的参数需求为实质性要求，供应商必须响应并满足的参数需求，采购人、采购代理机构应当根据项目实际需求合理设定，并明确具体要求。）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3.1、采购项目概况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拟在静雅路、橘园街等次干道、支路的重点路口新建12套违法停车抓拍设备。同时将数据上传到乐山市公安局金口河区分局交通警察大队交通管控指挥中心，再将违法数据上传到乐山市公安交通集成指挥平台。 其中违停抓拍系统使用高清违停抓拍球机，交通管控指挥中心交通管控平台进行升级接入，为前端抓拍系统配置对应存储。 系统网络采用原有已建视频专网扩容建设实现： 1、建设12套违法停车点位，对违法停车情况进行自动抓拍取证, 并上传乐山市公安交通集成指挥平台。 2、新建12套点位专线网络，直接通过新建线路专网接入交通管控指挥中心平台。 3、新建1套存储设备，以保证存储时间为6个月。 4、系统平台升级扩容，以保证新建点位无缝接入原有交警系统平台 5、可视频监控覆盖点位进行任意查看，实时了解道路交通状况。 6、可调取视频监控覆盖点位的视频图像，保证突发事件及重大保障任务的视频图像需求。 7、12处点位明细：①春和路区水务局②春和路荣升苑③新市街区交通运输局门口④橘园街31号⑤环山路42号⑥静雅路46号⑦和平路7号⑧祥和路1号⑨祥和路55号⑩育贤路区幼儿园区门口⑪罗回街131号⑫罗回街240号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3.2、采购内容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3.2.1标的清单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采购包预算金额（元）: 608,200.00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采购包最高限价（元）: 608,200.00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4"/>
        <w:gridCol w:w="1821"/>
        <w:gridCol w:w="741"/>
        <w:gridCol w:w="1330"/>
        <w:gridCol w:w="654"/>
        <w:gridCol w:w="654"/>
        <w:gridCol w:w="611"/>
        <w:gridCol w:w="654"/>
        <w:gridCol w:w="655"/>
        <w:gridCol w:w="7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9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204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136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218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109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109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95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是否涉及核心产品</w:t>
            </w:r>
          </w:p>
        </w:tc>
        <w:tc>
          <w:tcPr>
            <w:tcW w:w="109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是否涉及采购进口产品</w:t>
            </w:r>
          </w:p>
        </w:tc>
        <w:tc>
          <w:tcPr>
            <w:tcW w:w="109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是否涉及采购节能产品</w:t>
            </w:r>
          </w:p>
        </w:tc>
        <w:tc>
          <w:tcPr>
            <w:tcW w:w="136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和平城区第三期交通技术监控设备建设项目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608,200.00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3.3、技术参数及要求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标的名称：和平城区第三期交通技术监控设备建设项目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4"/>
        <w:gridCol w:w="354"/>
        <w:gridCol w:w="7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759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440"/>
              <w:gridCol w:w="6107"/>
              <w:gridCol w:w="350"/>
              <w:gridCol w:w="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single" w:color="000000" w:sz="4" w:space="0"/>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ascii="仿宋_GB2312" w:hAnsi="宋体" w:eastAsia="仿宋_GB2312" w:cs="仿宋_GB2312"/>
                      <w:color w:val="0D0D0D"/>
                      <w:sz w:val="20"/>
                      <w:szCs w:val="20"/>
                      <w:bdr w:val="none" w:color="auto" w:sz="0" w:space="0"/>
                    </w:rPr>
                    <w:t>序号</w:t>
                  </w:r>
                </w:p>
              </w:tc>
              <w:tc>
                <w:tcPr>
                  <w:tcW w:w="1689"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仿宋_GB2312" w:hAnsi="宋体" w:eastAsia="仿宋_GB2312" w:cs="仿宋_GB2312"/>
                      <w:color w:val="0D0D0D"/>
                      <w:sz w:val="20"/>
                      <w:szCs w:val="20"/>
                      <w:bdr w:val="none" w:color="auto" w:sz="0" w:space="0"/>
                    </w:rPr>
                    <w:t>设备名称</w:t>
                  </w:r>
                </w:p>
              </w:tc>
              <w:tc>
                <w:tcPr>
                  <w:tcW w:w="7004"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仿宋_GB2312" w:hAnsi="宋体" w:eastAsia="仿宋_GB2312" w:cs="仿宋_GB2312"/>
                      <w:color w:val="0D0D0D"/>
                      <w:sz w:val="20"/>
                      <w:szCs w:val="20"/>
                      <w:bdr w:val="none" w:color="auto" w:sz="0" w:space="0"/>
                    </w:rPr>
                    <w:t>参数</w:t>
                  </w:r>
                </w:p>
              </w:tc>
              <w:tc>
                <w:tcPr>
                  <w:tcW w:w="851"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仿宋_GB2312" w:hAnsi="宋体" w:eastAsia="仿宋_GB2312" w:cs="仿宋_GB2312"/>
                      <w:color w:val="0D0D0D"/>
                      <w:sz w:val="20"/>
                      <w:szCs w:val="20"/>
                      <w:bdr w:val="none" w:color="auto" w:sz="0" w:space="0"/>
                    </w:rPr>
                    <w:t>数量</w:t>
                  </w:r>
                </w:p>
              </w:tc>
              <w:tc>
                <w:tcPr>
                  <w:tcW w:w="1008"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仿宋_GB2312" w:hAnsi="宋体" w:eastAsia="仿宋_GB2312" w:cs="仿宋_GB2312"/>
                      <w:color w:val="0D0D0D"/>
                      <w:sz w:val="20"/>
                      <w:szCs w:val="20"/>
                      <w:bdr w:val="none" w:color="auto" w:sz="0" w:space="0"/>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89" w:type="dxa"/>
                  <w:gridSpan w:val="5"/>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Style w:val="8"/>
                      <w:rFonts w:hint="eastAsia" w:ascii="宋体" w:hAnsi="宋体" w:eastAsia="宋体" w:cs="宋体"/>
                      <w:color w:val="0D0D0D"/>
                      <w:sz w:val="24"/>
                      <w:szCs w:val="24"/>
                      <w:bdr w:val="none" w:color="auto" w:sz="0" w:space="0"/>
                    </w:rPr>
                    <w:t>一、和平城区第三期交通技术监控前端设备\违法停车抓拍部份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689"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400万像素智能违停球机</w:t>
                  </w:r>
                </w:p>
              </w:tc>
              <w:tc>
                <w:tcPr>
                  <w:tcW w:w="7004" w:type="dxa"/>
                  <w:tcBorders>
                    <w:top w:val="single" w:color="000000" w:sz="4" w:space="0"/>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支持违法停车、压白线、压黄线、逆行、违法变道、车辆加塞、有车占道、黄牌占道、不按车道行驶、超速、欠速、不系安全带、违法掉头、违法倒车、未礼让行人、不按导向箭头行驶等道路违法事件的抓拍</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2.</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支持车牌、车牌颜色、车身颜色、车辆类型、车标、车系、车速、年检标志、纸巾盒、香水盒、挂件、安全带状态、遮阳板状态、人脸抠图、主驾驶抽烟状态、主驾驶打电话状态等车辆结构化信息提取</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3.</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采用不小于400万像素1/1.8英寸CMOS 传感器</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4.</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支持40倍光学变倍，16倍数字变倍；支持H.265编码，实现超低码流传输</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5.</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内置250米红外灯补光，采用倍率与红外灯功率匹配算法，补光效果更均匀</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6.</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水平方向360°连续旋转，垂直方向-30°～90°自动翻转180°后连续监视，无监视盲区；支持300个预置位，8条巡航路径，5条巡迹路径</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7.</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多场景巡航功能检验:多场景分别配置不同智能后,可进行多场景智能巡航,进行不同智能功能的分时复用。切换码流可继续支持原来的智能,支持跟踪抓拍。</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8.</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违法取证功能检验：可准确抓拍车辆压白线、逆行、欠速、超速、不按车道行驶、压黄线、违法变道、加塞、黄牌车辆占道、机动车占非机动车道等可体现违章过程图片，当预置点场景内有违法规则被触发时，设备可联动报警输出和上传图片。</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9.</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可识别正向和反向通过观测画面中的28种机动车车型；支持15种车身颜色识别；支持不小于12种车牌类型识别；机动车子品牌及对应年款不少于5000种。</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10.</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支持1路音频输入和1路音频输出；内置7路报警输入和2路报警输出，支持报警联动功能</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11.</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支持IP67防护等级，8000V防雷、防浪涌和防突波保护；支持AC24V±25%宽电压输入</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12.</w:t>
                  </w:r>
                  <w:r>
                    <w:rPr>
                      <w:rFonts w:hint="eastAsia" w:ascii="宋体" w:hAnsi="宋体" w:eastAsia="宋体" w:cs="宋体"/>
                      <w:color w:val="0D0D0D"/>
                      <w:sz w:val="21"/>
                      <w:szCs w:val="21"/>
                      <w:bdr w:val="none" w:color="auto" w:sz="0" w:space="0"/>
                    </w:rPr>
                    <w:t> </w:t>
                  </w:r>
                  <w:r>
                    <w:rPr>
                      <w:rFonts w:hint="eastAsia" w:ascii="仿宋_GB2312" w:hAnsi="宋体" w:eastAsia="仿宋_GB2312" w:cs="仿宋_GB2312"/>
                      <w:color w:val="0D0D0D"/>
                      <w:sz w:val="18"/>
                      <w:szCs w:val="18"/>
                      <w:bdr w:val="none" w:color="auto" w:sz="0" w:space="0"/>
                    </w:rPr>
                    <w:t>支持国密算法</w:t>
                  </w:r>
                  <w:r>
                    <w:rPr>
                      <w:rFonts w:hint="eastAsia" w:ascii="宋体" w:hAnsi="宋体" w:eastAsia="宋体" w:cs="宋体"/>
                      <w:color w:val="0D0D0D"/>
                      <w:sz w:val="18"/>
                      <w:szCs w:val="18"/>
                      <w:bdr w:val="none" w:color="auto" w:sz="0" w:space="0"/>
                    </w:rPr>
                    <w:t> </w:t>
                  </w:r>
                  <w:r>
                    <w:rPr>
                      <w:rFonts w:hint="eastAsia" w:ascii="仿宋_GB2312" w:hAnsi="宋体" w:eastAsia="仿宋_GB2312" w:cs="仿宋_GB2312"/>
                      <w:color w:val="0D0D0D"/>
                      <w:sz w:val="18"/>
                      <w:szCs w:val="18"/>
                      <w:bdr w:val="none" w:color="auto" w:sz="0" w:space="0"/>
                    </w:rPr>
                    <w:t>SM1、SM2、SM3、SM4，支持GB35114 A级。</w:t>
                  </w:r>
                </w:p>
              </w:tc>
              <w:tc>
                <w:tcPr>
                  <w:tcW w:w="851"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2</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监控立杆</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杆件材质：Q235优质钢材制作；                                               </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2、杆件造型：圆锥杆；                                                          </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3、主杆技术参数：上口80，下口146，厚度3.0mm,高大于6000。       </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支臂</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21"/>
                      <w:szCs w:val="21"/>
                      <w:bdr w:val="none" w:color="auto" w:sz="0" w:space="0"/>
                    </w:rPr>
                    <w:t>横臂技术参数：Ф60，厚度3.0mm,根据现场订制不小于2000</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4</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机箱</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21"/>
                      <w:szCs w:val="21"/>
                      <w:bdr w:val="none" w:color="auto" w:sz="0" w:space="0"/>
                    </w:rPr>
                    <w:t>350mm×300mm×300mm（±5mm）</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5</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基础</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21"/>
                      <w:szCs w:val="21"/>
                      <w:bdr w:val="none" w:color="auto" w:sz="0" w:space="0"/>
                    </w:rPr>
                    <w:t>开挖600mm×600mm×8000mm（±5mm）</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6</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地笼</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21"/>
                      <w:szCs w:val="21"/>
                      <w:bdr w:val="none" w:color="auto" w:sz="0" w:space="0"/>
                    </w:rPr>
                    <w:t>400mm×400mm×600mm（±5mm）</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7</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网线</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RJ45 超五类</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8</w:t>
                  </w:r>
                </w:p>
              </w:tc>
              <w:tc>
                <w:tcPr>
                  <w:tcW w:w="1689"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电源线</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RVV2*1.0</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360</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9</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插座</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多孔</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10</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前端电源线</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RJV2*1.5</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1440</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11</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水晶头</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超五类</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万向头</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材质:不锈钢厚度:1.0MM高度:35MM 长宽:78MMx50MM</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13</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抱筘</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材质:不锈钢厚度:1.0MM高度:不小于20CM</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14</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空开</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16A</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15</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取电施工</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21"/>
                      <w:szCs w:val="21"/>
                      <w:bdr w:val="none" w:color="auto" w:sz="0" w:space="0"/>
                    </w:rPr>
                    <w:t>开挖200mm，不小于300mm，埋PVC管,开挖米数</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1440</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16</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禁停标识牌</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禁停标识，（含立杆，标识牌，施工等）</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17</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辅材</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扎带，胶布，水泥，现场焊接、融接光接头等，现场环境恢复</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宋体" w:hAnsi="宋体" w:eastAsia="宋体" w:cs="宋体"/>
                      <w:color w:val="0D0D0D"/>
                      <w:sz w:val="18"/>
                      <w:szCs w:val="18"/>
                      <w:bdr w:val="none" w:color="auto" w:sz="0" w:space="0"/>
                    </w:rPr>
                    <w:t>18</w:t>
                  </w:r>
                </w:p>
              </w:tc>
              <w:tc>
                <w:tcPr>
                  <w:tcW w:w="10564" w:type="dxa"/>
                  <w:gridSpan w:val="4"/>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宋体" w:hAnsi="宋体" w:eastAsia="宋体" w:cs="宋体"/>
                      <w:color w:val="0D0D0D"/>
                      <w:sz w:val="18"/>
                      <w:szCs w:val="18"/>
                      <w:bdr w:val="none" w:color="auto" w:sz="0" w:space="0"/>
                    </w:rPr>
                    <w:t>小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89" w:type="dxa"/>
                  <w:gridSpan w:val="5"/>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Style w:val="8"/>
                      <w:rFonts w:hint="eastAsia" w:ascii="宋体" w:hAnsi="宋体" w:eastAsia="宋体" w:cs="宋体"/>
                      <w:color w:val="0D0D0D"/>
                      <w:sz w:val="24"/>
                      <w:szCs w:val="24"/>
                      <w:bdr w:val="none" w:color="auto" w:sz="0" w:space="0"/>
                    </w:rPr>
                    <w:t>二、和平城区第三期交通技术监控设备后端部份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689"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00000"/>
                      <w:sz w:val="18"/>
                      <w:szCs w:val="18"/>
                      <w:bdr w:val="none" w:color="auto" w:sz="0" w:space="0"/>
                    </w:rPr>
                    <w:t>后端配套设备</w:t>
                  </w:r>
                </w:p>
              </w:tc>
              <w:tc>
                <w:tcPr>
                  <w:tcW w:w="7004" w:type="dxa"/>
                  <w:tcBorders>
                    <w:top w:val="single" w:color="000000" w:sz="4" w:space="0"/>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 最大支持320路（640Mbps）前端接入、存储、转发，32路（64Mbps）网络回放</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2. 支持单盘，RAID0、1、5、6、JBOD、Hot-Spare（热备）、SRAID；</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3. 支持RAID误操作恢复功能，防止磁盘被误操作导致数据丢失，增加数据安全性；</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4. 支持同个存储服务器和不同存储服务器间的磁盘漫游，保证磁盘中的数据不丢失；</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5. 自动识别磁盘的剩余空间容量，根据用户的数据存储需求，可划分多个容量不同的数据存储空间；</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6. 支持对视音频、图片、智能分析录像的混合直存，无需存储服务器和图片服务器参与；可支持通过浏览器进行视频浏览、回放和下载；并可支持多画面同时段录像同时回放，或不同时段录像同时回放；网络下载录像速度不低于90MBps。</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7. 采用LINUX操作系统，1个64位四核处理器，4G内存，可扩展128G高速缓存；具有2个RJ45网络数据接口、1个RS232接口、16个盘位、1个Mini SAS接口、1个eSATA/USB2.0复用接口、1个USB3.0接口。</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8. IPSAN工作模式下，直写模式：600Mbps；回写模式：900Mbps；支持NAS服务，提供大容量快速存储的功能；支持N+M集群，确保整个集群环境的稳定；</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9. 支持视频流直存功能，减少流媒体服务器的成本；支持标准iSCSI协议存储。</w:t>
                  </w:r>
                </w:p>
              </w:tc>
              <w:tc>
                <w:tcPr>
                  <w:tcW w:w="851"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008"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2</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终端管理设备</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 支持违章图片普通合成和新国标六合一合成功能，合成顺序自定义；支持数据防篡改，录像、图片文件无法直接删除</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2. 支持断网续传，当设备与平台断开，重连后设备将断开时间段的图片继续传给平台</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3. 嵌入式Linux实时操作系统；支持WEB方式、VGA/HDMI显示；支持1路音频输入，1路音频输出；支持12路网络压缩高清视频输入，4路模拟视频输入</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4. 支持4路报警输入，4路报警输出；支持4个SATA接口硬盘，兼容3.5”硬盘/2.5”大小的硬盘；支持1个eSATA接口，2个RS232串口，4个RS485接口，2个USB接口</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5. 支持8个RJ4510M/100M自适应以太网口，2个RJ451000M接口，其中一个为1000M可光电转换SFP接口</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6. 支持12路图片、16路录像实时预览及存储；支持断网续传功能，当设备与平台断开并重连后，可将断开时间内的抓拍图片上传给平台；支持对网络接入和转发流量监控统计；支持硬盘smart自检，显示硬盘状态、故障提示；</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7. 支持白名单自动过滤，支持车牌模糊查询；支持自适应接入H.264、H.265、MPEG4、MJPEG编码格式的视频图像并解码显示；支持视频中叠加通道信息、日期时间信息，支持在图片上叠加车牌、车道、违章类型等信息；支持LCD显示及设置系统时间，显示设备IP、硬盘个数及故障硬盘提示；</w:t>
                  </w:r>
                  <w:r>
                    <w:rPr>
                      <w:rFonts w:hint="eastAsia" w:ascii="宋体" w:hAnsi="宋体" w:eastAsia="宋体" w:cs="宋体"/>
                      <w:color w:val="0D0D0D"/>
                      <w:sz w:val="21"/>
                      <w:szCs w:val="21"/>
                      <w:bdr w:val="none" w:color="auto" w:sz="0" w:space="0"/>
                    </w:rPr>
                    <w:br w:type="textWrapping"/>
                  </w:r>
                  <w:r>
                    <w:rPr>
                      <w:rFonts w:hint="eastAsia" w:ascii="仿宋_GB2312" w:hAnsi="宋体" w:eastAsia="仿宋_GB2312" w:cs="仿宋_GB2312"/>
                      <w:color w:val="0D0D0D"/>
                      <w:sz w:val="18"/>
                      <w:szCs w:val="18"/>
                      <w:bdr w:val="none" w:color="auto" w:sz="0" w:space="0"/>
                    </w:rPr>
                    <w:t>8. 支持选择合成图片的分辨率、支持区分通道分别设置合成图片的大小、支持根据选择的原始图序号进行特写放大、支持根据实际场景分别设置大车和小车的合成特写图片的放大倍数、支持前后套牌抓拍，合成抓拍车头和车尾的卡口图片、支持匹配前端卡口和电警，实现违章与卡口合成，合成方式四合一、六合一可选。</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硬盘</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8T；5400RPM；256M；SATA</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6</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4</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系统平台扩容</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接入原有系统，系统进行划线，标注，调试，测试，运行，LICENSE购买等</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6</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网络接入、设备调试、备案</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接入乐山市公安交通集成指挥平台，设备调试，达到公安网络信息安全标准，完成执法设备备案等</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宋体" w:hAnsi="宋体" w:eastAsia="宋体" w:cs="宋体"/>
                      <w:color w:val="0D0D0D"/>
                      <w:sz w:val="18"/>
                      <w:szCs w:val="18"/>
                      <w:bdr w:val="none" w:color="auto" w:sz="0" w:space="0"/>
                    </w:rPr>
                    <w:t>7</w:t>
                  </w:r>
                </w:p>
              </w:tc>
              <w:tc>
                <w:tcPr>
                  <w:tcW w:w="10564" w:type="dxa"/>
                  <w:gridSpan w:val="4"/>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Style w:val="8"/>
                      <w:rFonts w:hint="eastAsia" w:ascii="宋体" w:hAnsi="宋体" w:eastAsia="宋体" w:cs="宋体"/>
                      <w:color w:val="0D0D0D"/>
                      <w:sz w:val="16"/>
                      <w:szCs w:val="16"/>
                      <w:bdr w:val="none" w:color="auto" w:sz="0" w:space="0"/>
                    </w:rPr>
                    <w:t>小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89" w:type="dxa"/>
                  <w:gridSpan w:val="5"/>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Style w:val="8"/>
                      <w:rFonts w:hint="eastAsia" w:ascii="宋体" w:hAnsi="宋体" w:eastAsia="宋体" w:cs="宋体"/>
                      <w:color w:val="0D0D0D"/>
                      <w:sz w:val="20"/>
                      <w:szCs w:val="20"/>
                      <w:bdr w:val="none" w:color="auto" w:sz="0" w:space="0"/>
                    </w:rPr>
                    <w:t>三、和平城区第三期交通技术监控设备公安视频网络线路租用及电费及运维部份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1</w:t>
                  </w:r>
                </w:p>
              </w:tc>
              <w:tc>
                <w:tcPr>
                  <w:tcW w:w="1689"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线路租用费</w:t>
                  </w:r>
                </w:p>
              </w:tc>
              <w:tc>
                <w:tcPr>
                  <w:tcW w:w="7004" w:type="dxa"/>
                  <w:tcBorders>
                    <w:top w:val="single" w:color="000000" w:sz="4" w:space="0"/>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36个月计算，每条线路带宽全满足传输需求，不小于50M带宽（公安专用视频网络，PON结构）</w:t>
                  </w:r>
                </w:p>
              </w:tc>
              <w:tc>
                <w:tcPr>
                  <w:tcW w:w="851"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12</w:t>
                  </w:r>
                </w:p>
              </w:tc>
              <w:tc>
                <w:tcPr>
                  <w:tcW w:w="1008" w:type="dxa"/>
                  <w:tcBorders>
                    <w:top w:val="single" w:color="000000" w:sz="4" w:space="0"/>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2</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电费</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36个月电费计算（违停球机40W/小时，光猫12W/小时）共计52W/小时，开户费（电表 400元/点）</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3</w:t>
                  </w:r>
                </w:p>
              </w:tc>
              <w:tc>
                <w:tcPr>
                  <w:tcW w:w="1689"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运维</w:t>
                  </w:r>
                </w:p>
              </w:tc>
              <w:tc>
                <w:tcPr>
                  <w:tcW w:w="7004" w:type="dxa"/>
                  <w:tcBorders>
                    <w:top w:val="nil"/>
                    <w:left w:val="nil"/>
                    <w:bottom w:val="single" w:color="000000" w:sz="4" w:space="0"/>
                    <w:right w:val="single" w:color="000000" w:sz="4" w:space="0"/>
                  </w:tcBorders>
                  <w:shd w:val="clear"/>
                  <w:tcMar>
                    <w:left w:w="92" w:type="dxa"/>
                    <w:right w:w="92"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1、36个月实际运维费用（每点每月150元）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2.要求7*24小时运维服务，故障0.5小时响应，4小时到场服务排除故障，24小时解决（特殊情况除外）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3.系统平台要求4小时内全部恢复。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left"/>
                    <w:rPr>
                      <w:rFonts w:hint="eastAsia" w:ascii="宋体" w:hAnsi="宋体" w:eastAsia="宋体" w:cs="宋体"/>
                    </w:rPr>
                  </w:pPr>
                  <w:r>
                    <w:rPr>
                      <w:rFonts w:hint="eastAsia" w:ascii="仿宋_GB2312" w:hAnsi="宋体" w:eastAsia="仿宋_GB2312" w:cs="仿宋_GB2312"/>
                      <w:color w:val="0D0D0D"/>
                      <w:sz w:val="18"/>
                      <w:szCs w:val="18"/>
                      <w:bdr w:val="none" w:color="auto" w:sz="0" w:space="0"/>
                    </w:rPr>
                    <w:t>4、相关备品备件准备</w:t>
                  </w:r>
                </w:p>
              </w:tc>
              <w:tc>
                <w:tcPr>
                  <w:tcW w:w="851"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12</w:t>
                  </w:r>
                </w:p>
              </w:tc>
              <w:tc>
                <w:tcPr>
                  <w:tcW w:w="1008" w:type="dxa"/>
                  <w:tcBorders>
                    <w:top w:val="nil"/>
                    <w:left w:val="nil"/>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92" w:right="0" w:hanging="100"/>
                    <w:jc w:val="center"/>
                    <w:rPr>
                      <w:rFonts w:hint="eastAsia" w:ascii="宋体" w:hAnsi="宋体" w:eastAsia="宋体" w:cs="宋体"/>
                    </w:rPr>
                  </w:pPr>
                  <w:r>
                    <w:rPr>
                      <w:rFonts w:hint="eastAsia" w:ascii="仿宋_GB2312" w:hAnsi="宋体" w:eastAsia="仿宋_GB2312" w:cs="仿宋_GB2312"/>
                      <w:color w:val="0D0D0D"/>
                      <w:sz w:val="20"/>
                      <w:szCs w:val="20"/>
                      <w:bdr w:val="none" w:color="auto" w:sz="0" w:space="0"/>
                    </w:rPr>
                    <w:t>套</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rFonts w:hint="eastAsia" w:ascii="宋体" w:hAnsi="宋体" w:eastAsia="宋体" w:cs="宋体"/>
              </w:rPr>
            </w:pPr>
            <w:r>
              <w:rPr>
                <w:rFonts w:hint="eastAsia" w:ascii="宋体" w:hAnsi="宋体" w:eastAsia="宋体" w:cs="宋体"/>
                <w:bdr w:val="none" w:color="auto" w:sz="0" w:space="0"/>
              </w:rPr>
              <w:t>本项目核心产品为终端管理设备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3.4、商务要求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3.4.1交货时间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自合同签订之日起60日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3.4.2交货地点和方式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（实质性要求）1、自合同签订之日起60日内完成项目建设、平台联网、调试运行及设备备案。 2、交货地点：四川省乐山市金口河区。 3、现场运维服务时间 ：设备进场安装调试完成并验收合格后三年时间。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3.4.3支付方式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分期付款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3.4.4支付约定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签订政府采购合同后，设备进场安装调试完成并验收合格后 ，达到付款条件起 90 日内，支付合同总金额的 70.00%。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现场运维服务时间满一年后 ，达到付款条件起 90 日内，支付合同总金额的 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现场运维服务时间满二年后 ，达到付款条件起 90 日内，支付合同总金额的 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现场运维服务时间满三年后 ，达到付款条件起 90 日内，支付合同总金额的 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3.4.5验收标准和方法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（1）履约验收主体：采购人。 （2）履约验收时间：供应商提出验收申请之日起30日内组织验收。 （3）履约验收程序：一次性验收。 （4）验收组织方式：采购人组织验收。 （5）验收标准：按国家有关规定以及采购人采购文件的质量要求和技术指标、成交供应商的响应文件及承诺与本项目合同约定标准进行验收。 （6）其他未尽事宜，严格按照《财政部关于进一步加强政府采购需求和履约验收管理的指导意见》(财库〔2016〕205 号)和《乐山市财政局关于沿用乐山市政府采购项目需求论证和履约验收管理实施细则的通知》（乐市财政采〔2021〕8号）的要求及国家行业主管部门规定的标准、方法和内容进行验收。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3.4.6包装方式及运输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3.4.7质量保修范围和保修期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（实质性要求）本项目所有硬件设备质保期为验收合格后一年。 （1）项目验收合格后进入现场运维期（三年）。 成交供应商需设置7*24小时值班应急电话，落实前端和中心平台维护人员队伍及总负责人员名单和手机联系方式，并报备采购单位。其中总负责人员不少于1名，如有人员变动的要第一时间主动向采购单位重新提交人员名单和联系方式。在质保期内，所涉及的前端、网络、软硬件等故障、维护和参数设置等采购单位只与成交供应商所提供的总负责人联系，再由总负责人负责运维服务过程中的总协调及其他相关工作。 （2）维护响应要求 成交供应商接到电话后2小时内必须响应（响应包括：2小时内通过电话和邮件向采购方报告落实的人员、处理方案、预计恢复的时间等），需要到场处理的4小时内必须到场进行处理，一般性故障必须在12小时内恢复（由于停电、线路检修或道路施工挖断电缆和光缆等客观因素造成的除外），涉及设备更换的必须24小时内进行更换。 （3）视频质量保证 质保期内，要求视频传输网络、电源供应正常，图像、视频流畅不卡顿。每季度至少进行一次对所有前端监控点位的除尘、树枝和树叶清理或前端参数修改等常规维护；每季度中标单位进行前端清理时应至少提前一天通知采购单位，向采购单位报告清理计划，包括清理开始时间、结束时间、每天清理的任务数量及点位位置等。清理情况要求反映于当月或当季度运维工作报表中。 质保期内，如存在影响前端拍摄效果的，由采购单位通知中标单位进行上杆清理、除尘或前端参数的优化或修改等。成交供应商必须按照采购单位要求对需要清理的点位在24小时内进行清理（地震或雷雨天气等客观因素影响不能进行户外作业的除外），并将清理情况反馈采购方，同时反映于当月或当季度报告中。 （4）施工及维护过程安全要求 前期施工和后期维护期间，户外或室内施工作业须做好安全保障措施，设立施工安全警示，如拉警戒线、警示标志等，因施工和维护期间发生的任何纠纷和安全责任事故等均由成交供应商全权负责和处理。 （5）中心平台运维服务要求 质保期内，成交供应商须配合采购单位保障中心平台（市级平台和乡镇级平台以及村级平台）的上下实时对接在线和畅通运行。平台掉线时，采购单位通知成交供应商，成交供应商按照第2条维护响应要求进行响应。 单个平台所有图像均无法正常运行调用的，须在12小时内排除故障。若出现多个平台所有图像均无法正常运行调用的，须在12小时排除故障。 中心平台功能模块（包括村、镇/乡、市级平台应用模块等功能模块）不能正常运行，须在12小时排除故障。 涉及平台硬件更换的，必须24小时内更换。 （5）特殊任务要求 采购单位有应急保障、大型活动或节假日等保障任务，需要成交供应商配合的，提前通知成交供应商，根据安保任务重要级别，采购单位通知成交供应商是否到场进行协助。成交供应商接到采购单位通知，根据采购单位提供的安保范围，成交供应商须对范围内的前端监控进行检查，保障正常运行，同时须对平台进行检查，必要时（根据采购单位要求）须派人进行现场驻守直到任务结束。 （6）网络服务要求 网络通信中断故障（包括监控中心平台网络设备故障、监控前端、前端至中心平台网络设备之间等网络故障）须在12小时以内排除故障（由于市政施工光缆被挖断所引起的客观因素除外）。 成交供应商主动发现问题或故障时，成交供应商应及时整改或对故障进行处理，并向采购单位报告处理进度和情况。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3.4.8违约责任及解决争议的方法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（1）甲乙双方必须遵守本合同并执行合同中的各项规定，保证本合同的正常履行。 （2）如因成交供应商的工作人员在履行职务过程中的的疏忽、失职、过错等故意或者过失原因给采购单位造成损失或侵害，包括但不限于采购单位本身的财产损失、由此而导致的采购单位对任何第三方的法律责任等，成交供应商对此均应承担全部的赔偿责任。 （3）如因成交供应商在提供服务过程中出现违规、违约等情形，采购单位有权单方终止合同。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3.5其他要求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18"/>
          <w:szCs w:val="18"/>
          <w:bdr w:val="none" w:color="auto" w:sz="0" w:space="0"/>
          <w:shd w:val="clear" w:fill="FFFFFF"/>
        </w:rPr>
        <w:t>（实质性要求）1、本项目核心产品为终端管理设备。 2、本项目需求内容若涉及节能产品政府采购品目清单中政府强制采购产品的，供应商应提供国家确定的认证机构出具的、处于有效期之内的节能产品认证证书复印件加盖供应商公章。 3、本项目需求内容若涉及节能产品、环境标志产品的，严格按照《财政部 发展改革委 生态环境部 市场监管总局 关于调整优化节能产品、环境标志产品政府采购执行机制的通知》(财库[2019]9 号)、《财政部 发展改革委文件 关于 印发节能产品政府采购品目清单的通知》(财库〔2019〕19 号)、《关于印发环 境标志产品政府采购品目清单的通知》(财库〔2019〕19号)、《市场监管总局关于发布参与实施政府采购节能产品、环境标志产品认证机构名录的公告(2019 年第16号)》等文件执行。 4、产品的技术参数描述如与特定品牌或者型号相匹配，仅作为技术参考，不代表特定产品。技术参数值为固定值的，可以理解为等于或优于该参数要求。 5、采购标的技术参数要求表中各项技术参数要求，均为实质性要求。供应商响应若为不满足或负偏离的，均做符合性审查不通过处理。6、报价要求：本次报价采用人民币报价，报价为总价包干，包括完成本项目所需的设备（含硬件、软件）、材料费（包含辅助、配套材料）、人工费、包装费、运杂费（包含装卸车费、人工运输费）、安装费、调试费、相关税费、现场运维服务费用等直至验收合格交付使用的一切费用及质保期内的日常维保费用，以及由于原材料工本或其它条件的价格浮动而导致的全部额外费用。因成交人自身原因造成漏报、少报皆由其自行承担责任，采购人不再补偿。7、知识产权：（1）供应商应保证所提供的服务或其任何一部分均不会侵犯任何第三方的专利权、商标权或著作权。 （2）知识产权属于采购人，工作结束后，所有的数据成果归采购人所有。 （3）此项目实施过程中涉及的图纸、表格、文字等及相关内容等所有工作内容，供应商均应承担保密义务，不得将资料及文件擅自修改、复制或向第三人转让或用于损害国家社会的利益和本合同项目外使用 （4）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8、其他要求：（1）系统总体架构符合《四川省公安视频图像信息联网与共享总体技术方案》，《GB/T28181-2022安全防范视频监控联网系统信息传输、交换、控制技术要求》国标要求，遵循《GB/T25724-2017安全防范监控数字视音频编解码技术要求》标准。服务期内所有功能模块无条件升级至提供商最新版本，各业务应用模块根据采购单位要求可部署于市级平台。 （2）采购文件中的技术参数及要求为最低要求，成交供应商需对项目进行深化设计，并对清单中的缺项自行完善，确保所有技术要求的实现，中标方根据项目现场实际情况进行深化设计，所有视频监控点位由中标方按照一点位一勘察一方案进行深化设计，拟定深化设计方案需采购单位同意通过后中标方才能进行施工。所有深化设计费用均含在本次报价中。 （3）成交供应商需签保密承诺书，涉及本项目的相关人员需签保密协议。 （4）所有存储介质在质保期内维修过程中换下的存储介质交由采购单位保存，不再退还中标单位。 （5）所有软件在质保期内免费升级。 （6）项目在开工前成交供应商应主动为施工人员购买意外伤害保险。所有安全责任由中标单位全权负责，保险费用含在本次中标价格中，不再单独计算。本项目实施必须满足国家相关法规、规范和技术、安全标准，满足消防、环保等行业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zFlYjE1ZDdmMjFhOTNiYjFmMmI1Y2FjZjVjM2EifQ=="/>
  </w:docVars>
  <w:rsids>
    <w:rsidRoot w:val="13AC5CB6"/>
    <w:rsid w:val="00547638"/>
    <w:rsid w:val="010B1CCC"/>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3AC5CB6"/>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2024-05-08T01:31:00Z</dcterms:created>
  <dc:creator>未定义</dc:creator>
  <cp:lastModifiedBy>未定义</cp:lastModifiedBy>
  <dcterms:modified xsi:type="dcterms:W3CDTF">2024-05-08T01:32:25Z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94151C6B5C2B454A8DEB3F1D14212D3E_11</vt:lpwstr>
  </property>
</Properties>
</file>