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bidi w:val="0"/>
        <w:spacing w:line="600" w:lineRule="exact"/>
        <w:ind w:left="0" w:leftChars="0"/>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金口河区</w:t>
      </w:r>
      <w:r>
        <w:rPr>
          <w:rFonts w:hint="eastAsia" w:ascii="方正小标宋简体" w:eastAsia="方正小标宋简体"/>
          <w:sz w:val="44"/>
          <w:szCs w:val="44"/>
          <w:lang w:val="en-US" w:eastAsia="zh-CN"/>
        </w:rPr>
        <w:t>金河镇人民政府</w:t>
      </w:r>
      <w:r>
        <w:rPr>
          <w:rFonts w:hint="eastAsia" w:ascii="方正小标宋简体" w:eastAsia="方正小标宋简体"/>
          <w:sz w:val="44"/>
          <w:szCs w:val="44"/>
        </w:rPr>
        <w:t>部门</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仿宋" w:hAnsi="仿宋" w:eastAsia="仿宋" w:cs="仿宋"/>
          <w:sz w:val="32"/>
          <w:szCs w:val="32"/>
          <w:lang w:val="en-US" w:eastAsia="zh-CN"/>
        </w:rPr>
      </w:pPr>
      <w:r>
        <w:rPr>
          <w:rFonts w:hint="eastAsia" w:ascii="方正小标宋简体" w:eastAsia="方正小标宋简体"/>
          <w:sz w:val="44"/>
          <w:szCs w:val="44"/>
          <w:lang w:eastAsia="zh-CN"/>
        </w:rPr>
        <w:t>2026</w:t>
      </w:r>
      <w:r>
        <w:rPr>
          <w:rFonts w:hint="eastAsia" w:ascii="方正小标宋简体" w:eastAsia="方正小标宋简体"/>
          <w:sz w:val="44"/>
          <w:szCs w:val="44"/>
        </w:rPr>
        <w:t>年部门预算情况说明</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一、基本职能及主要工作.........................1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二、部门预算单位构成...........................4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三、收支预算情况说明...........................5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四、财政拨款收支预算情况说明...................6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五、一般公共预算当年拨款情况说明...............6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六、一般公共预算基本支出情况说明...............9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七、“三公”经费财政拨款预算安排情况说明.......10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八、政府性基金预算支出情况说明................11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九、国有资本经营预算支出情况说明..............11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十、其他重要事项的情况说明....................12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十一、名词解释................................12</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十二、附件：乐山市金口河区金河镇人民政府2026年部门预算公开报表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p>
      <w:pPr>
        <w:pStyle w:val="2"/>
        <w:rPr>
          <w:rFonts w:hint="eastAsia"/>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1.部门收支总表（公开表1）</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2.部门收入总表（公开表1-1）</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3.部门支出总表（公开表1-2）</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4.财政拨款收支预算总表（公开表2）</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5.财政拨款支出预算表（政府经济分类科目）（公开表2-1）</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6.财政拨款支出预算表（部门经济分类科目）（公开表2-2）</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7.一般公共预算支出预算表（公开表3）</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8.一般公共预算基本支出预算表（公开表3-1）</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9.一般公共预算项目支出预算表（公开表3-2）</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10.一般公共预算“三公”经费支出预算表（公开表3-3）</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11.政府性基金支出预算表（公开表4）</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bookmarkStart w:id="1" w:name="_GoBack"/>
      <w:r>
        <w:rPr>
          <w:rFonts w:hint="eastAsia" w:ascii="仿宋_GB2312" w:hAnsi="仿宋_GB2312" w:eastAsia="仿宋_GB2312" w:cs="仿宋_GB2312"/>
          <w:kern w:val="0"/>
          <w:sz w:val="32"/>
          <w:szCs w:val="32"/>
        </w:rPr>
        <w:t>12.政府性基金预算“三公”经费支出预算表（公开表</w:t>
      </w:r>
      <w:bookmarkEnd w:id="1"/>
      <w:r>
        <w:rPr>
          <w:rFonts w:hint="eastAsia" w:ascii="仿宋_GB2312" w:hAnsi="仿宋_GB2312" w:eastAsia="仿宋_GB2312" w:cs="仿宋_GB2312"/>
          <w:kern w:val="0"/>
          <w:sz w:val="32"/>
          <w:szCs w:val="32"/>
        </w:rPr>
        <w:t>4-1）</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13.国有资本经营预算支出预算表（公开表5）</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14.部门预算项目绩效目标申报表（公开表6）</w:t>
      </w:r>
    </w:p>
    <w:p>
      <w:pPr>
        <w:keepNext w:val="0"/>
        <w:keepLines w:val="0"/>
        <w:pageBreakBefore w:val="0"/>
        <w:widowControl w:val="0"/>
        <w:kinsoku/>
        <w:overflowPunct/>
        <w:bidi w:val="0"/>
        <w:spacing w:line="600" w:lineRule="exact"/>
        <w:ind w:left="0" w:leftChars="0" w:firstLine="640" w:firstLineChars="200"/>
        <w:jc w:val="left"/>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15.部门整体支出绩效目标申报表（公开表7）</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16.政府采购预算表（公开表8）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按照预算管理有关规定，目前部门预算的编制实行综合预算制度，即全部收入和支出都反映在预算中。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1．主要职能：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一是贯彻落实党的路线方针政策和国家法律法规以及上级党委、政府的决议、决定和命令，执行镇党委和镇人民代表大会的决议，加强农村基层政权建设，巩固党在农村的执政基础。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二是组织编制本行政区域经济社会发展规划和镇国土空间规划、村（社区）规划等有关规划，负责农村基础设施建设和各项公益事业发展，实施乡村振兴战略，加快经济社会发展，改善群众生产生活环境。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三是指导农村经济发展，推进农业经济结构调整，促进经济增长方式转变，促进农业增效、农民增收。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是加强农村公共服务体系建设，抓好基础教育、科技、文化旅游、体育、卫生健康等工作，做好民政事务、就业培训、社会保障、社会救助、劳动关系协调、民族宗教、退役军人事务等工作，促进农村社会事业健康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五是加强社会管理，负责或配合区级有关部门做好辖区内自然资源、生态环境保护、市场监管、统计、粮食安全、供销合作、脱贫攻坚等工作。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六是推进基层民主法治建设，加强普法依法治理，指导村（居）民委员会工作，维护群众合法权益。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七是承担辖区内基层治理、平安建设、社会治安综合治理、公共安全、安全生产及应急管理等有关工作，处理群众来信来访，化解矛盾纠纷，维护社会安全稳定。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八是负责制定完善权力清单、责任清单、公共服务清单等，建立清单动态调整和公示机制，推进政务公开，接受群众监督，增强政府公信力。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九是负责国防教育、兵役征集、后备力量建设等有关工作。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十是承担法律、法规、规章规定的其他职责和上级党委、政府交办的其他任务。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2、2026年重点工作任务介绍：</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强化党建引领。一是聚焦理论武装，在深学细悟中筑牢思想根基。依托党委会、理论学习中心组、专题党课等载体，组织党员干部深入贯彻党的二十大和二十届历次全会精神以及习近平总书记关于“三农”工作重要指示精神6次，通过集中学习、专题研讨等形式，推动理论学习入脑入心，切实把学习成果转化为推动乡村振兴的行动自觉。二是聚焦强基固本，在提质增效中夯实组织基础。高质量完成村级党组织换届，换届后党组织书记平均年龄下降7.5岁，大专及以上学历和</w:t>
      </w:r>
      <w:r>
        <w:rPr>
          <w:rFonts w:hint="default" w:ascii="仿宋" w:hAnsi="仿宋" w:eastAsia="仿宋" w:cs="仿宋"/>
          <w:b w:val="0"/>
          <w:bCs w:val="0"/>
          <w:kern w:val="2"/>
          <w:sz w:val="32"/>
          <w:szCs w:val="32"/>
          <w:lang w:val="en-US" w:eastAsia="zh-CN" w:bidi="ar-SA"/>
        </w:rPr>
        <w:t>致富带头人占比</w:t>
      </w:r>
      <w:r>
        <w:rPr>
          <w:rFonts w:hint="eastAsia" w:ascii="仿宋" w:hAnsi="仿宋" w:eastAsia="仿宋" w:cs="仿宋"/>
          <w:b w:val="0"/>
          <w:bCs w:val="0"/>
          <w:kern w:val="2"/>
          <w:sz w:val="32"/>
          <w:szCs w:val="32"/>
          <w:lang w:val="en-US" w:eastAsia="zh-CN" w:bidi="ar-SA"/>
        </w:rPr>
        <w:t>达100</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班子结构全面优化。争取360余万元实施村级活动阵地提升改造，完善阵地服务功能，为基层党组织引领乡村振兴、服务群众筑牢保障。三是聚焦履职担当，在压实责任中推动工作落地。建立健全“巡林、巡田、巡河、巡农”四位一体常态化巡查机制，明确镇、村两级15名干部巡查责任，定期对辖区林地、耕地、河流及农业安全空间开展全覆盖巡查，全年开展“四巡”工作195余次，发现整改问题3个，切实把属地管理责任扛在肩上、落到实处，以严实巡查护航乡村振兴发展。</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筑牢产业基础。一是严守粮食安全，稳固乡村振兴“压舱石”。严防死守1.04万亩耕地红线，充分发挥6260亩高标准农田作用，全年完成粮食播种面积XX亩，超区下任务XX%。紧盯生猪产能目标，强化养殖技术指导和政策扶持，全年完成生猪出栏23130头，超区下目标8.2%。二是主攻产业发展，壮大集体经济“主心骨”。持续擦亮“金药、金果、金菜、金猪”特色品牌，圆满全市乡村振兴发展“粮食安全”现场点位接受全市观摩，成功举办枇杷丰收节等活动，同心粮蔬园区争创省级三星级农业产业园区。辐射带动发展黄柏、乌天麻等“金药”2.5万亩、“曙馨”枇杷2000亩、高山蔬菜1万亩。黄柏园区入选全省“天府森林四库”典型案例；曙光村推行枇杷统购统销3万斤，村集体经济增长39.4%，突破40万元。三是狠抓项目建设，夯实产业升级“硬支撑”。坚持项目为王理念，实行“书记领办、镇长挂帅、党员冲锋”项目攻坚机制，</w:t>
      </w:r>
      <w:bookmarkStart w:id="0" w:name="OLE_LINK1"/>
      <w:r>
        <w:rPr>
          <w:rFonts w:hint="eastAsia" w:ascii="仿宋" w:hAnsi="仿宋" w:eastAsia="仿宋" w:cs="仿宋"/>
          <w:b w:val="0"/>
          <w:bCs w:val="0"/>
          <w:kern w:val="2"/>
          <w:sz w:val="32"/>
          <w:szCs w:val="32"/>
          <w:lang w:val="en-US" w:eastAsia="zh-CN" w:bidi="ar-SA"/>
        </w:rPr>
        <w:t>成立项目专班推进项目22个，完成衔接资金拨付XX万元</w:t>
      </w:r>
      <w:bookmarkEnd w:id="0"/>
      <w:r>
        <w:rPr>
          <w:rFonts w:hint="eastAsia" w:ascii="仿宋" w:hAnsi="仿宋" w:eastAsia="仿宋" w:cs="仿宋"/>
          <w:b w:val="0"/>
          <w:bCs w:val="0"/>
          <w:kern w:val="2"/>
          <w:sz w:val="32"/>
          <w:szCs w:val="32"/>
          <w:lang w:val="en-US" w:eastAsia="zh-CN" w:bidi="ar-SA"/>
        </w:rPr>
        <w:t>。聚焦产业提升，重点文旅融合发展、产业设施补短高标准谋划2026年乡村振兴项目12个。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kern w:val="2"/>
          <w:sz w:val="32"/>
          <w:szCs w:val="32"/>
          <w:lang w:val="en-US" w:eastAsia="zh-CN" w:bidi="ar-SA"/>
        </w:rPr>
        <w:t>（三）厚植民生福祉。一是抓实监测帮扶，牢牢守住“巩脱”底线。持续完善防止返贫动态监测网格化管理体系，镇村组三级干部全年入户130余次，识别监测对象21户48人，落实帮扶措施15余条，稳定消除风险9户21人。二是抓实政策兑现，精准释放惠民暖心红利。全面强化惠农政策落地见效，做到应发尽发、不漏一户，全年累计发放农业补贴177.06万元；精准开发公益性岗位174个，重点安置脱贫劳动力（监测对象）157人，落实小型励志增收、务工及交通奖补资金268.98万元，持续助力群众稳定增收，铜河村网点2025年可支配收入达47145.8元，同比增幅21.12%。同时，强化特殊人群保障，实现脱贫户、监测户医保参保率100%。三是深化基层治理，着力涵养文明淳朴新风。投入资金4万余元，精心组织开展“和美庭院、花满金河”人居环境评比活动，充分调动群众参与人居环境常态化治理的积极性与主动性，着力营造和美乡村浓厚氛围。创新党建引领接诉即办“四民工作法”，开展“金河连心”大走访，召开坝坝会60余场，解决群众急难愁盼70余件、化解顽固难题6起，接诉即办工作效率多次获评全市第一，相关做法被乐山日报等报道并在全区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二、部门（单位）预算单位构成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乐山市金口河区金河镇人民政府下辖独立编制机构4个，政府机关1个（内设：党政办公室、党建工作办公室、社会治理和社会事务办公室、经济发展和规划建设办公室、应急办公室、财政所），事业机构3个（农业综合服务中心、便民服务中心、文化旅游服务中心）。乐山市金口河区金河镇人民政府总编制45名，其中：行政编制21名，事业编制24名。在职人员总数41名，其中：行政19名，工勤1名，事业21名，退休19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照综合预算的原则，2026年乐山市金口河区金河镇人民政府所有收入和支出均纳入部门预算管理。收入包括：一般公共预算拨款收入；支出包括：一般公共服务支出、国防支出、社会保障和就业支出、卫生健康支出、城乡社区支出、农林水支出、住房保障支出。2026年乐山市金口河区金河镇人民政府收支总预算1492.51万元，比上年收支预算总数减少360万元，降低19.43％，主要原因一是人员经费预算减少110.97万元；二是项目经费预算减少249.03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金河镇人民政府2026年收入预算1492.51万元，其中：上年结转0万元，占0％；一般公共预算拨款收入1492.51万元，占100％。</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金河镇人民政府2026年支出预算1492.51万元，其中：基本支出1312.01万元，占87.9％；项目支出180.5万元，占12.1％。</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金河镇人民政府2026年财政拨款收支预算总数1492.51万元，比2026年财政拨款收支预算总数减少360万元，主要原因一是人员经费预算减少110.97万元；二是项目经费预算减少249.03万元。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收入包括：本年一般公共预算拨款收入1492.51万元、上年结转一般公共预算拨款收入0万元、本年政府性基金预算拨款收入0万元、上年结转政府性基金预算拨款收入0万元；支出包括：一般公共服务支出670.29万元、国防支出5万元、社会保障和就业支出212.12万元、卫生健康支出24.72万元、城乡社区支出46万元、农林水支出470.71万元、住房保障支出63.66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（一）一般公共预算当年拨款规模变化情况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金河镇人民政府2026年财政拨款收支预算总数1492.51万元，比2026年财政拨款收支预算总数减少360万元，主要原因一是人员经费预算减少110.97万元；二是项目经费预算减少249.03万元。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般公共服务支出670.29万元，约占44.91％；国防支出5万元，约占0.33％；社会保障和就业支出212.12万元，约占14.21％；卫生健康支出24.72万元，约占1.65％；城乡社区支出46万元，约占3.08％；农林水支出470.71万元，约占31.53％；住房保障支出63.66万元，约占4.29％。</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一般公共预算当年拨款具体使用情况</w:t>
      </w:r>
      <w:r>
        <w:rPr>
          <w:rFonts w:hint="eastAsia" w:ascii="楷体_GB2312" w:hAnsi="楷体_GB2312" w:eastAsia="楷体_GB2312" w:cs="楷体_GB2312"/>
          <w:kern w:val="0"/>
          <w:sz w:val="32"/>
          <w:szCs w:val="32"/>
        </w:rPr>
        <w:t>（详细阐述到类、款、项）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1．一般公共服务支出（类）人大事务（款）代表工作（项）：2026年预算数为1万元，主要用于：人大代表调研、选举及日常工作等支出。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2．一般公共服务支出（类）政协联络站（款）其他政协事务支出（项）：2026年预算数为1万元，主要用于：切实保障各级人大代表依法履职、密切联系人民群众等工作的项目支出。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一般公共服务（类）政府办公室及相关机构事务（款）行政运行（项）：2026年预算数为381.26万元，主要用于：机关及参公管理事业单位正常运转的基本支出，包括基本工资、津贴补贴等人员经费以及办公费、印刷费、水电费等日常公用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4．一般公共服务（类）政府办公室及相关机构事务（款）事业运行（项）：2026年预算数为287.03万元，主要用于：事业单位的基本支出。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5．国防支出（类）国防动员（款）兵役征集（项）：2026年预算数为5万元，主要用于：</w:t>
      </w:r>
      <w:r>
        <w:rPr>
          <w:rFonts w:hint="eastAsia" w:ascii="Times New Roman" w:hAnsi="Times New Roman" w:eastAsia="仿宋" w:cs="Times New Roman"/>
          <w:color w:val="000000" w:themeColor="text1"/>
          <w:sz w:val="32"/>
          <w:lang w:val="en-US" w:eastAsia="zh-CN"/>
          <w14:textFill>
            <w14:solidFill>
              <w14:schemeClr w14:val="tx1"/>
            </w14:solidFill>
          </w14:textFill>
        </w:rPr>
        <w:t>用于兵役征集等方面的支出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6．社会保障和就业（类）人力资源和社会保障管理事务（款）其他人力资源和社会保障管理事务支出（项）：2026年预算数为72万元，主要用于：保障三支一扶人员经费支出。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7．社会保障和就业（类）行政事业单位养老支出（款）机关事业单位基本养老保险缴费支出（项）：2026年预算数为70.86万元，主要用于：实施养老保险制度后，部门按规定由单位缴纳的基本养老保险费支出。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8．社会保障和就业（类）行政事业单位养老支出（款）机关事业单位职业年金缴费支出（项）：2026年预算数为35.43万元，主要用于：实施养老保险制度后，部门按规定由单位缴纳的职业年金支出。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9．社会保障和就业（类）行政事业单位养老支出（款）其他行政事业单位养老支出（项）：2026年预算数为10.4万元，主要用于：除上述项目以外其他用于行政事业单位养老方面的支出。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10．社会保障和就业（类）残疾人事业（款）残疾人就业（项）：2025年预算数为7.39万元，主要用于：残保金支出。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11．社会保障和就业（类）其他社会保障和就业支出（款）其他社会保障和就业支出（项）：2026年预算数为16.04万元，主要用于：除上述项目以外其他用于社会保障和就业方面的支出。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12．卫生健康支出（类）行政事业单位医疗（款）行政单位医疗（项）：2026年预算数为9.81万元，主要用于：机关及参公管理事业单位基本医疗保险缴费支出。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13．卫生健康支出（类）行政事业单位医疗（款）事业单位医疗（项）：2026年预算数为11.32万元，主要用于：部门下属事业单位基本医疗保险缴费支出。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14．卫生健康支出（类）行政事业单位医疗补助（款）公务员医疗补助（项）：2026年预算数为3.6万元，主要用于：财政部门安排的公务员医疗补助经费。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15．城乡社区支出（类）城乡社区环境卫生（款）城乡社区环境卫生（项）：2026年预算数为30万元，主要用于：全乡垃圾清运与处理等支出。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16．城乡社区支出（类）其他城乡社区支出（款）其他城乡社区支出（项）：2026年预算数为16万元，主要用于：安全监管工作经费、乡村振兴工作经费等支出。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 w:hAnsi="仿宋" w:eastAsia="仿宋" w:cs="仿宋"/>
          <w:sz w:val="32"/>
          <w:szCs w:val="32"/>
          <w:lang w:val="en-US" w:eastAsia="zh-CN"/>
        </w:rPr>
        <w:t>17．农林水支出（类）巩固脱贫攻坚成果衔接乡村振兴支出（款）其他巩固脱贫攻坚成果衔接乡村振兴支出（项）：2026年预算数为15.5万元，主要用于：驻村工作队经费等支出。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18．农林水支出（类）农村综合改革（款）对村民委员会和村党支部的补助（项）：2026年预算数为455.21万元，主要用于：村组干部补助等支出。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19.住房保障支出（类）住房改革支出（款）住房公积金（项）：2026年预算数为63.66万元，主要用于：部门按人力资源和社会保障部、财政部规定的基本工资和津贴补贴以及规定比例为职工交纳的住房公积金支出。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河镇2026年一般公共预算基本支出1312.01万元，其中：人员经费1207.87万元，主要包括：基本工资、津贴补贴、奖金、其他社会保险缴费、绩效工资、机关事业单位基本养老保险缴费、职业年金缴费、其他工资福利支出、住房公积金、奖励金（独子费）、其他对个人和家庭的补助支出、劳务费、其他商品和服务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公用经费104.14万元，主要包括：办公费、印刷费、电费、邮电费、差旅费、公务接待费、公务用车运行维护费、劳务费、工会经费、福利费、其他交通费。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金河镇人民政府2026年“三公”经费财政拨款预算数7．5万元，其中：因公出国（境）经费0万元，公务接待费0．5万元，公务用车购置及运行维护费7万元。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（一）因公出国（境）经费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2026年乐山市金口河区金河镇人民政府根据工作安排的出国计划，拟安排出国境组0次，出国境组0人，安排出国（境）经费预算0万元，与2025年预算持平。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（二）公务接待费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2026年乐山市金口河区金河镇人民政府安排公务接待费预算0．5万元，预计接待5批，共50人，与2025年预算持平。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（三）公务用车购置及运行维护费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乐山市金口河区金河镇人民政府安排公车购置及运行维护费7万元，其中：购置经费0万元、运行维护费7万元，较2025年预算持平。2026年将新购0辆车，其中：轿车0辆、越野车0辆、客车0辆，单位车辆保有量预计达到6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2026年金河镇人民政府没有使用政府性基金预算拨款安排的支出。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2026年，金河镇人民政府没有使用国有资本经营预算拨款安排的支出。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2026年度，乐山市金口河区金河镇人民政府运行经费支出104.14万元，比上年减少8.74万元，降低7.7％，主要原因是人员调出，基本支出减少。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2026年，金河镇人民政府将安排政府采购预算0万元，其中：政府采购货物预算0万元、政府采购工程预算0万元、政府采购服务预算0万元。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截至2025年12月31日，金河镇人民政府共有车辆8辆，其中：一般公务用车2辆；其他车辆（垃圾车、清洗车）6辆；单价50万元以上通用设备0台（套），单价100万元以上专用设备0台（套）。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（四）预算绩效情况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照预算绩效管理要求，2026年金河镇人民政府开展绩效目标管理的项目43个，涉及预算1492.51万元。其中：人员类项目28个，涉及预算1207.87万元；运转类项目5个，涉及预算104.14万元；特定目标类项目10个，涉及预算180.5万元，因项目内容涉密（敏感），不予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1．财政拨款收支情况：是指一般公共预算、政府性基金预算、国有资本经营预算拨款收支情况。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2．一般公共预算拨款收入：指区级财政当年拨付的资金。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4．事业单位经营收入：指事业单位在专业业务活动及其辅助活动之外开展非独立核算经营活动取得的收入。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5．其他收入：指除上述“一般公共预算拨款收入”“事业收入”“事业单位经营收入”等以外的收入，主要是利息收入、国有资产出租收入等。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8．社会保障和就业（类）行政事业单位养老支出（款）事业单位离退休（项）：指离退休人员的支出。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9．社会保障和就业（类）行政事业单位养老支出（款）未归口管理的行政单位离退休（项）：指离退休人员的支出。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10．社会保障和就业（类）行政事业单位养老支出（款）机关事业单位基本养老保险缴费支出（项）：指部门实施养老保险制度由单位缴纳的养老保险费的支出。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11．社会保障和就业（类）行政事业单位养老支出（款）机关事业单位职业年金缴费支出（项）：指部门实施养老保险制度由单位缴纳的职业年金的支出。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12．社会保障和就业（类）其他社会保障和就业（款）其他社会保障和就业支出（项）：指除上述项目外，其他用于行政事业单位离退休方面的支出。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13．卫生健康支出（类）行政事业单位医疗（款）行政单位医疗（项）：指行政单位及参公管理事业单位用于交纳单位基本医疗保险支出。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14．卫生健康支出（类）行政事业单位医疗（款）事业单位医疗（项）：指事业单位用于交纳单位基本医疗保险支出。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15．卫生健康支出（类）行政事业单位医疗（款）公务员医疗补助（项）：指行政单位及参公管理事业单位用于集中交纳公务员医疗补助支出。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16．住房保障（类）住房改革支出（款）住房公积金（项）：指由单位及其在职职工按规定缴存的住房公积金支出。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17．住房保障（类）城乡社区住宅（款）住房公积金管理费（项）：指经财政部门批准用于住房公积金管理机关的管理费用支出。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18．基本支出：指为保证机构正常运转，完成日常工作任务而发生的人员支出和公用支出。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19．项目支出：指在基本支出之外为完成特定行政任务和事业发展目标所发生的支出。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三公”经费：纳入预决算管理的“三公”经费，是指部门安排的因公出国（境）费、公务用车购置及运行费和公务接待费。因公出国（境）费是指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十二、附件：乐山市金口河区金河镇人民政府2026年部门预算公开报表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7A"/>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87D8F"/>
    <w:multiLevelType w:val="singleLevel"/>
    <w:tmpl w:val="F6D87D8F"/>
    <w:lvl w:ilvl="0" w:tentative="0">
      <w:start w:val="4"/>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7A7A1DEF"/>
    <w:multiLevelType w:val="singleLevel"/>
    <w:tmpl w:val="7A7A1DEF"/>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WY2MDY5NDQ4YjIyNWFkNDRlNDg3ZWNiMmE5ZDMifQ=="/>
    <w:docVar w:name="KSO_WPS_MARK_KEY" w:val="18553473-633b-42ab-849b-8d83c8f94f55"/>
  </w:docVars>
  <w:rsids>
    <w:rsidRoot w:val="2D3F1B05"/>
    <w:rsid w:val="00FD164B"/>
    <w:rsid w:val="018D59D1"/>
    <w:rsid w:val="033F0721"/>
    <w:rsid w:val="04275653"/>
    <w:rsid w:val="17C37281"/>
    <w:rsid w:val="1BFC0423"/>
    <w:rsid w:val="1EA52630"/>
    <w:rsid w:val="25D515F5"/>
    <w:rsid w:val="26010AA5"/>
    <w:rsid w:val="288C4538"/>
    <w:rsid w:val="2D3F1B05"/>
    <w:rsid w:val="36EF34FF"/>
    <w:rsid w:val="39441EC5"/>
    <w:rsid w:val="43445B6A"/>
    <w:rsid w:val="463F5B59"/>
    <w:rsid w:val="483744F6"/>
    <w:rsid w:val="4E090E49"/>
    <w:rsid w:val="618A22B9"/>
    <w:rsid w:val="66EE76CC"/>
    <w:rsid w:val="DDFF04F0"/>
    <w:rsid w:val="DFFF69AB"/>
    <w:rsid w:val="F77BC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3">
    <w:name w:val="正文（绿盟科技）"/>
    <w:qFormat/>
    <w:uiPriority w:val="99"/>
    <w:pPr>
      <w:spacing w:line="300" w:lineRule="auto"/>
    </w:pPr>
    <w:rPr>
      <w:rFonts w:ascii="Arial" w:hAnsi="Arial" w:eastAsia="宋体" w:cs="Arial"/>
      <w:sz w:val="21"/>
      <w:szCs w:val="21"/>
      <w:lang w:val="en-US" w:eastAsia="zh-CN" w:bidi="ar-SA"/>
    </w:rPr>
  </w:style>
  <w:style w:type="paragraph" w:styleId="5">
    <w:name w:val="Body Text"/>
    <w:basedOn w:val="1"/>
    <w:next w:val="1"/>
    <w:qFormat/>
    <w:uiPriority w:val="0"/>
  </w:style>
  <w:style w:type="paragraph" w:styleId="6">
    <w:name w:val="Plain Text"/>
    <w:basedOn w:val="1"/>
    <w:next w:val="1"/>
    <w:qFormat/>
    <w:uiPriority w:val="0"/>
    <w:rPr>
      <w:rFonts w:ascii="宋体" w:hAnsi="Courier New" w:eastAsia="隶书"/>
      <w:sz w:val="3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next w:val="6"/>
    <w:qFormat/>
    <w:uiPriority w:val="0"/>
    <w:pPr>
      <w:spacing w:after="120" w:line="360" w:lineRule="auto"/>
      <w:ind w:firstLine="420" w:firstLineChars="100"/>
    </w:pPr>
    <w:rPr>
      <w:sz w:val="24"/>
    </w:rPr>
  </w:style>
  <w:style w:type="paragraph" w:customStyle="1" w:styleId="13">
    <w:name w:val="常用样式（方正仿宋简）"/>
    <w:qFormat/>
    <w:uiPriority w:val="0"/>
    <w:pPr>
      <w:widowControl w:val="0"/>
      <w:tabs>
        <w:tab w:val="left" w:pos="1675"/>
      </w:tabs>
      <w:spacing w:line="560" w:lineRule="exact"/>
      <w:ind w:firstLine="640" w:firstLineChars="200"/>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7274</Words>
  <Characters>8030</Characters>
  <Lines>0</Lines>
  <Paragraphs>0</Paragraphs>
  <TotalTime>2</TotalTime>
  <ScaleCrop>false</ScaleCrop>
  <LinksUpToDate>false</LinksUpToDate>
  <CharactersWithSpaces>8031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2025-02-01T20:23:00Z</dcterms:created>
  <dc:creator>心扉</dc:creator>
  <cp:lastModifiedBy>ARCHER</cp:lastModifiedBy>
  <dcterms:modified xsi:type="dcterms:W3CDTF">2026-02-12T09:18:27Z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607AFDE3F43446B29C9A31A76FF7DC1E_13</vt:lpwstr>
  </property>
  <property fmtid="{D5CDD505-2E9C-101B-9397-08002B2CF9AE}" pid="4" name="KSOTemplateDocerSaveRecord">
    <vt:lpwstr>eyJoZGlkIjoiMTE0M2YxZjRhZGNkM2QxOTlkNDFjODUxMWE0ODJjZWQiLCJ1c2VySWQiOiIxMzI3NjkyMDMyIn0=</vt:lpwstr>
  </property>
</Properties>
</file>