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459D07">
      <w:pPr>
        <w:widowControl/>
        <w:spacing w:line="578" w:lineRule="exact"/>
        <w:contextualSpacing/>
        <w:rPr>
          <w:rFonts w:eastAsia="宋体"/>
          <w:b/>
          <w:sz w:val="44"/>
          <w:szCs w:val="44"/>
          <w:shd w:val="clear" w:color="auto" w:fill="FFFFFF"/>
        </w:rPr>
      </w:pPr>
    </w:p>
    <w:p w14:paraId="3F97473D">
      <w:pPr>
        <w:widowControl/>
        <w:spacing w:line="580" w:lineRule="exact"/>
        <w:contextualSpacing/>
        <w:jc w:val="center"/>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乐山市金口河区粮食和物资储备中心</w:t>
      </w:r>
    </w:p>
    <w:p w14:paraId="421D3E46">
      <w:pPr>
        <w:widowControl/>
        <w:spacing w:line="580" w:lineRule="exact"/>
        <w:contextualSpacing/>
        <w:jc w:val="center"/>
        <w:rPr>
          <w:rFonts w:ascii="方正小标宋简体" w:eastAsia="方正小标宋简体"/>
          <w:sz w:val="44"/>
          <w:szCs w:val="44"/>
          <w:shd w:val="clear" w:color="auto" w:fill="FFFFFF"/>
        </w:rPr>
      </w:pPr>
      <w:r>
        <w:rPr>
          <w:rFonts w:hint="eastAsia" w:ascii="方正小标宋简体" w:hAnsi="宋体" w:eastAsia="方正小标宋简体"/>
          <w:sz w:val="44"/>
          <w:szCs w:val="44"/>
          <w:shd w:val="clear" w:color="auto" w:fill="FFFFFF"/>
          <w:lang w:val="en-US" w:eastAsia="zh-CN"/>
        </w:rPr>
        <w:t>区</w:t>
      </w:r>
      <w:r>
        <w:rPr>
          <w:rFonts w:hint="eastAsia" w:ascii="方正小标宋简体" w:hAnsi="宋体" w:eastAsia="方正小标宋简体"/>
          <w:sz w:val="44"/>
          <w:szCs w:val="44"/>
          <w:shd w:val="clear" w:color="auto" w:fill="FFFFFF"/>
        </w:rPr>
        <w:t>级部门整体绩效自评报告</w:t>
      </w:r>
    </w:p>
    <w:p w14:paraId="137B3385">
      <w:pPr>
        <w:widowControl/>
        <w:spacing w:line="580" w:lineRule="exact"/>
        <w:contextualSpacing/>
        <w:jc w:val="center"/>
        <w:rPr>
          <w:rFonts w:ascii="方正小标宋简体" w:eastAsia="方正小标宋简体"/>
          <w:sz w:val="44"/>
          <w:szCs w:val="44"/>
          <w:shd w:val="clear" w:color="auto" w:fill="FFFFFF"/>
        </w:rPr>
      </w:pPr>
      <w:r>
        <w:rPr>
          <w:rFonts w:hint="eastAsia" w:ascii="仿宋_GB2312" w:hAnsi="宋体" w:eastAsia="仿宋_GB2312"/>
          <w:szCs w:val="32"/>
          <w:shd w:val="clear" w:color="auto" w:fill="FFFFFF"/>
        </w:rPr>
        <w:t>（报告范围包括机关和下属单位）</w:t>
      </w:r>
    </w:p>
    <w:p w14:paraId="0543751E">
      <w:pPr>
        <w:widowControl/>
        <w:spacing w:line="590" w:lineRule="exact"/>
        <w:ind w:firstLine="660" w:firstLineChars="200"/>
        <w:contextualSpacing/>
        <w:rPr>
          <w:rFonts w:hint="eastAsia" w:eastAsia="黑体"/>
          <w:color w:val="000000"/>
          <w:kern w:val="0"/>
          <w:sz w:val="33"/>
          <w:szCs w:val="33"/>
          <w:shd w:val="clear" w:color="auto" w:fill="FFFFFF"/>
          <w:lang w:eastAsia="zh-CN"/>
        </w:rPr>
      </w:pPr>
    </w:p>
    <w:p w14:paraId="54A852F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sz w:val="32"/>
          <w:szCs w:val="32"/>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部门（单位）基本情况</w:t>
      </w:r>
    </w:p>
    <w:p w14:paraId="03901128">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textAlignment w:val="auto"/>
        <w:rPr>
          <w:rFonts w:hint="default" w:ascii="Nimbus Roman" w:hAnsi="Nimbus Roman" w:cs="Nimbus Roman"/>
          <w:sz w:val="32"/>
          <w:szCs w:val="32"/>
        </w:rPr>
      </w:pPr>
      <w:r>
        <w:rPr>
          <w:rFonts w:hint="eastAsia" w:eastAsia="楷体_GB2312"/>
          <w:b/>
          <w:bCs/>
          <w:color w:val="000000"/>
          <w:kern w:val="0"/>
          <w:sz w:val="32"/>
          <w:szCs w:val="32"/>
          <w:shd w:val="clear" w:color="auto" w:fill="FFFFFF"/>
          <w:lang w:val="zh-CN"/>
        </w:rPr>
        <w:t>（一）</w:t>
      </w:r>
      <w:r>
        <w:rPr>
          <w:rFonts w:eastAsia="楷体_GB2312"/>
          <w:b/>
          <w:bCs/>
          <w:color w:val="000000"/>
          <w:kern w:val="0"/>
          <w:sz w:val="32"/>
          <w:szCs w:val="32"/>
          <w:shd w:val="clear" w:color="auto" w:fill="FFFFFF"/>
          <w:lang w:val="zh-CN"/>
        </w:rPr>
        <w:t>机构组成。</w:t>
      </w:r>
      <w:r>
        <w:rPr>
          <w:rFonts w:hint="default" w:ascii="Nimbus Roman" w:hAnsi="Nimbus Roman" w:cs="Nimbus Roman"/>
          <w:sz w:val="32"/>
          <w:szCs w:val="32"/>
        </w:rPr>
        <w:t>202</w:t>
      </w:r>
      <w:r>
        <w:rPr>
          <w:rFonts w:hint="default" w:ascii="Nimbus Roman" w:hAnsi="Nimbus Roman" w:cs="Nimbus Roman"/>
          <w:sz w:val="32"/>
          <w:szCs w:val="32"/>
          <w:lang w:val="en-US" w:eastAsia="zh-CN"/>
        </w:rPr>
        <w:t>5</w:t>
      </w:r>
      <w:r>
        <w:rPr>
          <w:rFonts w:hint="default" w:ascii="Nimbus Roman" w:hAnsi="Nimbus Roman" w:cs="Nimbus Roman"/>
          <w:sz w:val="32"/>
          <w:szCs w:val="32"/>
        </w:rPr>
        <w:t>年末，我中心独立编制（核算）机构1个，属参公管理的事业单位，内设机构1个,综合业务办公室。</w:t>
      </w:r>
    </w:p>
    <w:p w14:paraId="4096FE3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textAlignment w:val="auto"/>
        <w:rPr>
          <w:rFonts w:hint="eastAsia" w:eastAsia="楷体_GB2312"/>
          <w:b/>
          <w:bCs/>
          <w:color w:val="000000"/>
          <w:kern w:val="0"/>
          <w:sz w:val="32"/>
          <w:szCs w:val="32"/>
          <w:shd w:val="clear" w:color="auto" w:fill="FFFFFF"/>
          <w:lang w:val="zh-CN"/>
        </w:rPr>
      </w:pPr>
      <w:r>
        <w:rPr>
          <w:rFonts w:eastAsia="楷体_GB2312"/>
          <w:b/>
          <w:bCs/>
          <w:color w:val="000000"/>
          <w:kern w:val="0"/>
          <w:sz w:val="32"/>
          <w:szCs w:val="32"/>
          <w:shd w:val="clear" w:color="auto" w:fill="FFFFFF"/>
          <w:lang w:val="zh-CN"/>
        </w:rPr>
        <w:t>（二）机构职能</w:t>
      </w:r>
      <w:r>
        <w:rPr>
          <w:rFonts w:hint="eastAsia" w:eastAsia="楷体_GB2312"/>
          <w:b/>
          <w:bCs/>
          <w:color w:val="000000"/>
          <w:kern w:val="0"/>
          <w:sz w:val="32"/>
          <w:szCs w:val="32"/>
          <w:shd w:val="clear" w:color="auto" w:fill="FFFFFF"/>
          <w:lang w:val="zh-CN"/>
        </w:rPr>
        <w:t>。</w:t>
      </w:r>
    </w:p>
    <w:p w14:paraId="5FD63A6B">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sz w:val="32"/>
          <w:szCs w:val="32"/>
        </w:rPr>
      </w:pPr>
      <w:r>
        <w:rPr>
          <w:rFonts w:hint="default" w:ascii="Nimbus Roman" w:hAnsi="Nimbus Roman" w:cs="Nimbus Roman"/>
          <w:sz w:val="32"/>
          <w:szCs w:val="32"/>
        </w:rPr>
        <w:t>1、组织执行党的路线、方针、政策和国家法律法规。</w:t>
      </w:r>
    </w:p>
    <w:p w14:paraId="331E735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sz w:val="32"/>
          <w:szCs w:val="32"/>
        </w:rPr>
      </w:pPr>
      <w:r>
        <w:rPr>
          <w:rFonts w:hint="default" w:ascii="Nimbus Roman" w:hAnsi="Nimbus Roman" w:cs="Nimbus Roman"/>
          <w:sz w:val="32"/>
          <w:szCs w:val="32"/>
        </w:rPr>
        <w:t>2、贯彻国务院颁布的《粮食流通管理条例》。</w:t>
      </w:r>
    </w:p>
    <w:p w14:paraId="264F996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sz w:val="32"/>
          <w:szCs w:val="32"/>
        </w:rPr>
      </w:pPr>
      <w:r>
        <w:rPr>
          <w:rFonts w:hint="default" w:ascii="Nimbus Roman" w:hAnsi="Nimbus Roman" w:cs="Nimbus Roman"/>
          <w:sz w:val="32"/>
          <w:szCs w:val="32"/>
        </w:rPr>
        <w:t>3、负责全区粮食流通的行政执法和监督检查，保护粮食生产者的积极性，维护经营者和消费者权益，保障全区粮食安全，维护粮食市场秩序。</w:t>
      </w:r>
    </w:p>
    <w:p w14:paraId="49CE848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sz w:val="32"/>
          <w:szCs w:val="32"/>
        </w:rPr>
      </w:pPr>
      <w:r>
        <w:rPr>
          <w:rFonts w:hint="default" w:ascii="Nimbus Roman" w:hAnsi="Nimbus Roman" w:cs="Nimbus Roman"/>
          <w:sz w:val="32"/>
          <w:szCs w:val="32"/>
        </w:rPr>
        <w:t>4、负责全区粮食流通行政监督，行业指导，加强粮食宏观调控，发挥粮食部门的主渠道作用。</w:t>
      </w:r>
    </w:p>
    <w:p w14:paraId="27F134F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eastAsia="楷体_GB2312" w:cs="Nimbus Roman"/>
          <w:b/>
          <w:bCs/>
          <w:color w:val="000000"/>
          <w:kern w:val="0"/>
          <w:sz w:val="32"/>
          <w:szCs w:val="32"/>
          <w:shd w:val="clear" w:color="auto" w:fill="FFFFFF"/>
          <w:lang w:val="zh-CN"/>
        </w:rPr>
      </w:pPr>
      <w:r>
        <w:rPr>
          <w:rFonts w:hint="default" w:ascii="Nimbus Roman" w:hAnsi="Nimbus Roman" w:cs="Nimbus Roman"/>
          <w:sz w:val="32"/>
          <w:szCs w:val="32"/>
        </w:rPr>
        <w:t>5、负责监管区级储备粮油的执行，保障储备粮油的安全，建立粮食应急机制，应对突发事件。。</w:t>
      </w:r>
    </w:p>
    <w:p w14:paraId="46A15E6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sz w:val="32"/>
          <w:szCs w:val="32"/>
        </w:rPr>
      </w:pPr>
      <w:r>
        <w:rPr>
          <w:rFonts w:eastAsia="楷体_GB2312"/>
          <w:b/>
          <w:bCs/>
          <w:color w:val="000000"/>
          <w:kern w:val="0"/>
          <w:sz w:val="32"/>
          <w:szCs w:val="32"/>
          <w:shd w:val="clear" w:color="auto" w:fill="FFFFFF"/>
          <w:lang w:val="zh-CN"/>
        </w:rPr>
        <w:t>（</w:t>
      </w:r>
      <w:r>
        <w:rPr>
          <w:rFonts w:hint="eastAsia" w:eastAsia="楷体_GB2312"/>
          <w:b/>
          <w:bCs/>
          <w:color w:val="000000"/>
          <w:kern w:val="0"/>
          <w:sz w:val="32"/>
          <w:szCs w:val="32"/>
          <w:shd w:val="clear" w:color="auto" w:fill="FFFFFF"/>
          <w:lang w:val="zh-CN"/>
        </w:rPr>
        <w:t>三</w:t>
      </w:r>
      <w:r>
        <w:rPr>
          <w:rFonts w:eastAsia="楷体_GB2312"/>
          <w:b/>
          <w:bCs/>
          <w:color w:val="000000"/>
          <w:kern w:val="0"/>
          <w:sz w:val="32"/>
          <w:szCs w:val="32"/>
          <w:shd w:val="clear" w:color="auto" w:fill="FFFFFF"/>
          <w:lang w:val="zh-CN"/>
        </w:rPr>
        <w:t>）人员概况</w:t>
      </w:r>
      <w:r>
        <w:rPr>
          <w:rFonts w:hint="eastAsia" w:eastAsia="楷体_GB2312"/>
          <w:b/>
          <w:bCs/>
          <w:color w:val="000000"/>
          <w:kern w:val="0"/>
          <w:sz w:val="32"/>
          <w:szCs w:val="32"/>
          <w:shd w:val="clear" w:color="auto" w:fill="FFFFFF"/>
          <w:lang w:val="zh-CN"/>
        </w:rPr>
        <w:t>。</w:t>
      </w:r>
      <w:r>
        <w:rPr>
          <w:rFonts w:hint="default" w:ascii="Nimbus Roman" w:hAnsi="Nimbus Roman" w:cs="Nimbus Roman"/>
          <w:sz w:val="32"/>
          <w:szCs w:val="32"/>
        </w:rPr>
        <w:t>截至2025年末，我中心参公事业编制5人，其中：公务员</w:t>
      </w:r>
      <w:r>
        <w:rPr>
          <w:rFonts w:hint="default" w:ascii="Nimbus Roman" w:hAnsi="Nimbus Roman" w:cs="Nimbus Roman"/>
          <w:sz w:val="32"/>
          <w:szCs w:val="32"/>
          <w:lang w:val="en-US" w:eastAsia="zh-CN"/>
        </w:rPr>
        <w:t>2</w:t>
      </w:r>
      <w:r>
        <w:rPr>
          <w:rFonts w:hint="default" w:ascii="Nimbus Roman" w:hAnsi="Nimbus Roman" w:cs="Nimbus Roman"/>
          <w:sz w:val="32"/>
          <w:szCs w:val="32"/>
        </w:rPr>
        <w:t>人，参公人员</w:t>
      </w:r>
      <w:r>
        <w:rPr>
          <w:rFonts w:hint="default" w:ascii="Nimbus Roman" w:hAnsi="Nimbus Roman" w:cs="Nimbus Roman"/>
          <w:sz w:val="32"/>
          <w:szCs w:val="32"/>
          <w:lang w:val="en-US" w:eastAsia="zh-CN"/>
        </w:rPr>
        <w:t>3</w:t>
      </w:r>
      <w:r>
        <w:rPr>
          <w:rFonts w:hint="default" w:ascii="Nimbus Roman" w:hAnsi="Nimbus Roman" w:cs="Nimbus Roman"/>
          <w:sz w:val="32"/>
          <w:szCs w:val="32"/>
        </w:rPr>
        <w:t>人</w:t>
      </w:r>
      <w:r>
        <w:rPr>
          <w:rFonts w:hint="default" w:ascii="Nimbus Roman" w:hAnsi="Nimbus Roman" w:cs="Nimbus Roman"/>
          <w:sz w:val="32"/>
          <w:szCs w:val="32"/>
          <w:lang w:eastAsia="zh-CN"/>
        </w:rPr>
        <w:t>、</w:t>
      </w:r>
      <w:r>
        <w:rPr>
          <w:rFonts w:hint="default" w:ascii="Nimbus Roman" w:hAnsi="Nimbus Roman" w:cs="Nimbus Roman"/>
          <w:sz w:val="32"/>
          <w:szCs w:val="32"/>
        </w:rPr>
        <w:t>。</w:t>
      </w:r>
    </w:p>
    <w:p w14:paraId="6FADEB2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eastAsia="黑体"/>
          <w:color w:val="000000"/>
          <w:kern w:val="0"/>
          <w:sz w:val="32"/>
          <w:szCs w:val="32"/>
          <w:shd w:val="clear" w:color="auto" w:fill="FFFFFF"/>
        </w:rPr>
      </w:pPr>
      <w:r>
        <w:rPr>
          <w:rFonts w:eastAsia="黑体"/>
          <w:color w:val="000000"/>
          <w:kern w:val="0"/>
          <w:sz w:val="32"/>
          <w:szCs w:val="32"/>
          <w:shd w:val="clear" w:color="auto" w:fill="FFFFFF"/>
        </w:rPr>
        <w:t>二、部门资金收支情况</w:t>
      </w:r>
    </w:p>
    <w:p w14:paraId="7B24A998">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textAlignment w:val="auto"/>
        <w:rPr>
          <w:rFonts w:hint="default" w:ascii="Nimbus Roman" w:hAnsi="Nimbus Roman" w:eastAsia="楷体_GB2312" w:cs="Nimbus Roman"/>
          <w:b/>
          <w:bCs/>
          <w:color w:val="000000"/>
          <w:kern w:val="0"/>
          <w:sz w:val="32"/>
          <w:szCs w:val="32"/>
          <w:shd w:val="clear" w:color="auto" w:fill="FFFFFF"/>
        </w:rPr>
      </w:pPr>
      <w:r>
        <w:rPr>
          <w:rFonts w:hint="default" w:ascii="Nimbus Roman" w:hAnsi="Nimbus Roman" w:eastAsia="楷体_GB2312" w:cs="Nimbus Roman"/>
          <w:b/>
          <w:bCs/>
          <w:color w:val="000000"/>
          <w:kern w:val="0"/>
          <w:sz w:val="32"/>
          <w:szCs w:val="32"/>
          <w:shd w:val="clear" w:color="auto" w:fill="FFFFFF"/>
          <w:lang w:val="zh-CN"/>
        </w:rPr>
        <w:t>（一）收入情况。</w:t>
      </w:r>
      <w:r>
        <w:rPr>
          <w:rFonts w:hint="default" w:ascii="Nimbus Roman" w:hAnsi="Nimbus Roman" w:cs="Nimbus Roman"/>
          <w:sz w:val="32"/>
          <w:szCs w:val="32"/>
        </w:rPr>
        <w:t>区粮食和物资储备中心2025年年初预算收入情况</w:t>
      </w:r>
      <w:r>
        <w:rPr>
          <w:rFonts w:hint="default" w:ascii="Nimbus Roman" w:hAnsi="Nimbus Roman" w:cs="Nimbus Roman"/>
          <w:sz w:val="32"/>
          <w:szCs w:val="32"/>
          <w:lang w:eastAsia="zh-CN"/>
        </w:rPr>
        <w:t>：财政资金收入总额304.5万元。</w:t>
      </w:r>
      <w:r>
        <w:rPr>
          <w:rFonts w:hint="eastAsia" w:ascii="Nimbus Roman" w:hAnsi="Nimbus Roman" w:cs="Nimbus Roman"/>
          <w:sz w:val="32"/>
          <w:szCs w:val="32"/>
          <w:lang w:val="en-US" w:eastAsia="zh-CN"/>
        </w:rPr>
        <w:t>2025年</w:t>
      </w:r>
      <w:r>
        <w:rPr>
          <w:rFonts w:hint="default" w:ascii="Nimbus Roman" w:hAnsi="Nimbus Roman" w:cs="Nimbus Roman"/>
          <w:sz w:val="32"/>
          <w:szCs w:val="32"/>
        </w:rPr>
        <w:t>决算报表收入情况</w:t>
      </w:r>
      <w:r>
        <w:rPr>
          <w:rFonts w:hint="eastAsia" w:ascii="Nimbus Roman" w:hAnsi="Nimbus Roman" w:cs="Nimbus Roman"/>
          <w:sz w:val="32"/>
          <w:szCs w:val="32"/>
          <w:lang w:eastAsia="zh-CN"/>
        </w:rPr>
        <w:t>：</w:t>
      </w:r>
      <w:r>
        <w:rPr>
          <w:rFonts w:hint="default" w:ascii="Nimbus Roman" w:hAnsi="Nimbus Roman" w:cs="Nimbus Roman"/>
          <w:sz w:val="32"/>
          <w:szCs w:val="32"/>
          <w:lang w:eastAsia="zh-CN"/>
        </w:rPr>
        <w:t>财政资金收入总额</w:t>
      </w:r>
      <w:r>
        <w:rPr>
          <w:rFonts w:hint="eastAsia" w:ascii="Nimbus Roman" w:hAnsi="Nimbus Roman" w:cs="Nimbus Roman"/>
          <w:sz w:val="32"/>
          <w:szCs w:val="32"/>
          <w:lang w:val="en-US" w:eastAsia="zh-CN"/>
        </w:rPr>
        <w:t>262.77</w:t>
      </w:r>
      <w:r>
        <w:rPr>
          <w:rFonts w:hint="default" w:ascii="Nimbus Roman" w:hAnsi="Nimbus Roman" w:cs="Nimbus Roman"/>
          <w:sz w:val="32"/>
          <w:szCs w:val="32"/>
          <w:lang w:eastAsia="zh-CN"/>
        </w:rPr>
        <w:t>万元</w:t>
      </w:r>
      <w:r>
        <w:rPr>
          <w:rFonts w:hint="default" w:ascii="Nimbus Roman" w:hAnsi="Nimbus Roman" w:cs="Nimbus Roman"/>
          <w:sz w:val="32"/>
          <w:szCs w:val="32"/>
        </w:rPr>
        <w:t>。</w:t>
      </w:r>
    </w:p>
    <w:p w14:paraId="5E0A5C73">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textAlignment w:val="auto"/>
        <w:rPr>
          <w:rFonts w:hint="default" w:ascii="Nimbus Roman" w:hAnsi="Nimbus Roman" w:eastAsia="仿宋_GB2312" w:cs="Nimbus Roman"/>
          <w:sz w:val="32"/>
          <w:szCs w:val="32"/>
          <w:lang w:val="en-US" w:eastAsia="zh-CN"/>
        </w:rPr>
      </w:pPr>
      <w:r>
        <w:rPr>
          <w:rFonts w:hint="default" w:ascii="Nimbus Roman" w:hAnsi="Nimbus Roman" w:eastAsia="楷体_GB2312" w:cs="Nimbus Roman"/>
          <w:b/>
          <w:bCs/>
          <w:color w:val="000000"/>
          <w:kern w:val="0"/>
          <w:sz w:val="32"/>
          <w:szCs w:val="32"/>
          <w:shd w:val="clear" w:color="auto" w:fill="FFFFFF"/>
          <w:lang w:val="zh-CN"/>
        </w:rPr>
        <w:t>（二）支出情况。</w:t>
      </w:r>
      <w:r>
        <w:rPr>
          <w:rFonts w:hint="default" w:ascii="Nimbus Roman" w:hAnsi="Nimbus Roman" w:cs="Nimbus Roman"/>
          <w:sz w:val="32"/>
          <w:szCs w:val="32"/>
        </w:rPr>
        <w:t>区粮食和物资储备中心2025年年初预算支出情况</w:t>
      </w:r>
      <w:r>
        <w:rPr>
          <w:rFonts w:hint="eastAsia" w:ascii="Nimbus Roman" w:hAnsi="Nimbus Roman" w:cs="Nimbus Roman"/>
          <w:sz w:val="32"/>
          <w:szCs w:val="32"/>
          <w:lang w:eastAsia="zh-CN"/>
        </w:rPr>
        <w:t>：基本支出</w:t>
      </w:r>
      <w:r>
        <w:rPr>
          <w:rFonts w:hint="eastAsia" w:ascii="Nimbus Roman" w:hAnsi="Nimbus Roman" w:cs="Nimbus Roman"/>
          <w:sz w:val="32"/>
          <w:szCs w:val="32"/>
          <w:lang w:val="en-US" w:eastAsia="zh-CN"/>
        </w:rPr>
        <w:t>120.32万元，项目支出184.18万元合计304.5万元。</w:t>
      </w:r>
    </w:p>
    <w:p w14:paraId="5A62AFB9">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sz w:val="32"/>
          <w:szCs w:val="32"/>
          <w:lang w:val="zh-CN"/>
        </w:rPr>
      </w:pPr>
      <w:r>
        <w:rPr>
          <w:rFonts w:hint="default" w:ascii="Nimbus Roman" w:hAnsi="Nimbus Roman" w:cs="Nimbus Roman"/>
          <w:sz w:val="32"/>
          <w:szCs w:val="32"/>
        </w:rPr>
        <w:t>决算报表支出情况</w:t>
      </w:r>
      <w:r>
        <w:rPr>
          <w:rFonts w:hint="eastAsia" w:ascii="Nimbus Roman" w:hAnsi="Nimbus Roman" w:cs="Nimbus Roman"/>
          <w:sz w:val="32"/>
          <w:szCs w:val="32"/>
          <w:lang w:eastAsia="zh-CN"/>
        </w:rPr>
        <w:t>：基本支出：</w:t>
      </w:r>
      <w:r>
        <w:rPr>
          <w:rFonts w:hint="eastAsia" w:ascii="Nimbus Roman" w:hAnsi="Nimbus Roman" w:cs="Nimbus Roman"/>
          <w:sz w:val="32"/>
          <w:szCs w:val="32"/>
          <w:lang w:val="en-US" w:eastAsia="zh-CN"/>
        </w:rPr>
        <w:t>126.02万元，项目支出136.75万元，合计262.77万元</w:t>
      </w:r>
      <w:r>
        <w:rPr>
          <w:rFonts w:hint="default" w:ascii="Nimbus Roman" w:hAnsi="Nimbus Roman" w:cs="Nimbus Roman"/>
          <w:sz w:val="32"/>
          <w:szCs w:val="32"/>
        </w:rPr>
        <w:t>。</w:t>
      </w:r>
    </w:p>
    <w:p w14:paraId="676CAB5C">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eastAsia="楷体_GB2312" w:cs="Nimbus Roman"/>
          <w:b/>
          <w:bCs/>
          <w:color w:val="000000"/>
          <w:kern w:val="0"/>
          <w:sz w:val="32"/>
          <w:szCs w:val="32"/>
          <w:shd w:val="clear" w:color="auto" w:fill="FFFFFF"/>
          <w:lang w:val="zh-CN"/>
        </w:rPr>
        <w:t>（三）</w:t>
      </w:r>
      <w:r>
        <w:rPr>
          <w:rFonts w:hint="default" w:ascii="Nimbus Roman" w:hAnsi="Nimbus Roman" w:eastAsia="楷体_GB2312" w:cs="Nimbus Roman"/>
          <w:b/>
          <w:sz w:val="32"/>
          <w:szCs w:val="32"/>
        </w:rPr>
        <w:t>结余分配和结转结余情况。</w:t>
      </w:r>
      <w:r>
        <w:rPr>
          <w:rFonts w:hint="default" w:ascii="Nimbus Roman" w:hAnsi="Nimbus Roman" w:cs="Nimbus Roman"/>
          <w:sz w:val="32"/>
          <w:szCs w:val="32"/>
        </w:rPr>
        <w:t>区粮食和物资储备中心2025年</w:t>
      </w:r>
      <w:r>
        <w:rPr>
          <w:rFonts w:hint="eastAsia" w:ascii="Nimbus Roman" w:hAnsi="Nimbus Roman" w:cs="Nimbus Roman"/>
          <w:sz w:val="32"/>
          <w:szCs w:val="32"/>
          <w:lang w:eastAsia="zh-CN"/>
        </w:rPr>
        <w:t>无</w:t>
      </w:r>
      <w:r>
        <w:rPr>
          <w:rFonts w:hint="default" w:ascii="Nimbus Roman" w:hAnsi="Nimbus Roman" w:cs="Nimbus Roman"/>
          <w:color w:val="000000"/>
          <w:kern w:val="0"/>
          <w:sz w:val="32"/>
          <w:szCs w:val="32"/>
          <w:shd w:val="clear" w:color="auto" w:fill="FFFFFF"/>
        </w:rPr>
        <w:t>结转结余情况。</w:t>
      </w:r>
    </w:p>
    <w:p w14:paraId="21FEAD8D">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eastAsia="黑体" w:cs="Nimbus Roman"/>
          <w:color w:val="000000" w:themeColor="text1"/>
          <w:kern w:val="0"/>
          <w:sz w:val="32"/>
          <w:szCs w:val="32"/>
          <w:shd w:val="clear" w:color="auto" w:fill="FFFFFF"/>
          <w14:textFill>
            <w14:solidFill>
              <w14:schemeClr w14:val="tx1"/>
            </w14:solidFill>
          </w14:textFill>
        </w:rPr>
      </w:pPr>
      <w:r>
        <w:rPr>
          <w:rFonts w:hint="default" w:ascii="Nimbus Roman" w:hAnsi="Nimbus Roman" w:eastAsia="黑体" w:cs="Nimbus Roman"/>
          <w:color w:val="000000"/>
          <w:kern w:val="0"/>
          <w:sz w:val="32"/>
          <w:szCs w:val="32"/>
          <w:shd w:val="clear" w:color="auto" w:fill="FFFFFF"/>
        </w:rPr>
        <w:t>三、部门预算绩效分析</w:t>
      </w:r>
    </w:p>
    <w:p w14:paraId="313B8642">
      <w:pPr>
        <w:keepNext w:val="0"/>
        <w:keepLines w:val="0"/>
        <w:pageBreakBefore w:val="0"/>
        <w:kinsoku/>
        <w:wordWrap/>
        <w:overflowPunct/>
        <w:topLinePunct w:val="0"/>
        <w:autoSpaceDE/>
        <w:autoSpaceDN/>
        <w:bidi w:val="0"/>
        <w:adjustRightInd/>
        <w:snapToGrid/>
        <w:spacing w:line="560" w:lineRule="exact"/>
        <w:ind w:firstLine="643" w:firstLineChars="200"/>
        <w:contextualSpacing/>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eastAsia="楷体_GB2312" w:cs="Nimbus Roman"/>
          <w:b/>
          <w:bCs/>
          <w:color w:val="000000"/>
          <w:kern w:val="0"/>
          <w:sz w:val="32"/>
          <w:szCs w:val="32"/>
          <w:shd w:val="clear" w:color="auto" w:fill="FFFFFF"/>
          <w:lang w:val="zh-CN"/>
        </w:rPr>
        <w:t>（一）部门预算总体绩效分析。</w:t>
      </w:r>
      <w:r>
        <w:rPr>
          <w:rFonts w:hint="default" w:ascii="Nimbus Roman" w:hAnsi="Nimbus Roman" w:cs="Nimbus Roman"/>
          <w:color w:val="000000"/>
          <w:kern w:val="0"/>
          <w:sz w:val="32"/>
          <w:szCs w:val="32"/>
          <w:shd w:val="clear" w:color="auto" w:fill="FFFFFF"/>
          <w:lang w:val="zh-CN"/>
        </w:rPr>
        <w:t>202</w:t>
      </w:r>
      <w:r>
        <w:rPr>
          <w:rFonts w:hint="eastAsia" w:ascii="Nimbus Roman" w:hAnsi="Nimbus Roman" w:cs="Nimbus Roman"/>
          <w:color w:val="000000"/>
          <w:kern w:val="0"/>
          <w:sz w:val="32"/>
          <w:szCs w:val="32"/>
          <w:shd w:val="clear" w:color="auto" w:fill="FFFFFF"/>
          <w:lang w:val="en-US" w:eastAsia="zh-CN"/>
        </w:rPr>
        <w:t>5</w:t>
      </w:r>
      <w:r>
        <w:rPr>
          <w:rFonts w:hint="default" w:ascii="Nimbus Roman" w:hAnsi="Nimbus Roman" w:cs="Nimbus Roman"/>
          <w:color w:val="000000"/>
          <w:kern w:val="0"/>
          <w:sz w:val="32"/>
          <w:szCs w:val="32"/>
          <w:shd w:val="clear" w:color="auto" w:fill="FFFFFF"/>
          <w:lang w:val="zh-CN"/>
        </w:rPr>
        <w:t>年我中心部门预算的编制按区财政局的要求,精打细算,严格控制,全年支出</w:t>
      </w:r>
      <w:r>
        <w:rPr>
          <w:rFonts w:hint="eastAsia" w:ascii="Nimbus Roman" w:hAnsi="Nimbus Roman" w:cs="Nimbus Roman"/>
          <w:color w:val="000000"/>
          <w:kern w:val="0"/>
          <w:sz w:val="32"/>
          <w:szCs w:val="32"/>
          <w:shd w:val="clear" w:color="auto" w:fill="FFFFFF"/>
          <w:lang w:val="en-US" w:eastAsia="zh-CN"/>
        </w:rPr>
        <w:t>262.77</w:t>
      </w:r>
      <w:r>
        <w:rPr>
          <w:rFonts w:hint="default" w:ascii="Nimbus Roman" w:hAnsi="Nimbus Roman" w:cs="Nimbus Roman"/>
          <w:color w:val="000000"/>
          <w:kern w:val="0"/>
          <w:sz w:val="32"/>
          <w:szCs w:val="32"/>
          <w:shd w:val="clear" w:color="auto" w:fill="FFFFFF"/>
          <w:lang w:val="zh-CN"/>
        </w:rPr>
        <w:t>万元。其中:基本支出预算</w:t>
      </w:r>
      <w:r>
        <w:rPr>
          <w:rFonts w:hint="eastAsia" w:ascii="Nimbus Roman" w:hAnsi="Nimbus Roman" w:cs="Nimbus Roman"/>
          <w:color w:val="000000"/>
          <w:kern w:val="0"/>
          <w:sz w:val="32"/>
          <w:szCs w:val="32"/>
          <w:shd w:val="clear" w:color="auto" w:fill="FFFFFF"/>
          <w:lang w:val="en-US" w:eastAsia="zh-CN"/>
        </w:rPr>
        <w:t>126.02</w:t>
      </w:r>
      <w:r>
        <w:rPr>
          <w:rFonts w:hint="default" w:ascii="Nimbus Roman" w:hAnsi="Nimbus Roman" w:cs="Nimbus Roman"/>
          <w:color w:val="000000"/>
          <w:kern w:val="0"/>
          <w:sz w:val="32"/>
          <w:szCs w:val="32"/>
          <w:shd w:val="clear" w:color="auto" w:fill="FFFFFF"/>
          <w:lang w:val="zh-CN"/>
        </w:rPr>
        <w:t>万元;项目支出预算</w:t>
      </w:r>
      <w:r>
        <w:rPr>
          <w:rFonts w:hint="eastAsia" w:ascii="Nimbus Roman" w:hAnsi="Nimbus Roman" w:cs="Nimbus Roman"/>
          <w:color w:val="000000"/>
          <w:kern w:val="0"/>
          <w:sz w:val="32"/>
          <w:szCs w:val="32"/>
          <w:shd w:val="clear" w:color="auto" w:fill="FFFFFF"/>
          <w:lang w:val="en-US" w:eastAsia="zh-CN"/>
        </w:rPr>
        <w:t>136.75</w:t>
      </w:r>
      <w:r>
        <w:rPr>
          <w:rFonts w:hint="default" w:ascii="Nimbus Roman" w:hAnsi="Nimbus Roman" w:cs="Nimbus Roman"/>
          <w:color w:val="000000"/>
          <w:kern w:val="0"/>
          <w:sz w:val="32"/>
          <w:szCs w:val="32"/>
          <w:shd w:val="clear" w:color="auto" w:fill="FFFFFF"/>
          <w:lang w:val="zh-CN"/>
        </w:rPr>
        <w:t>万元。优质高效完成区级政策性储备原粮、成品大米、菜籽油轮换保管工作。</w:t>
      </w:r>
    </w:p>
    <w:p w14:paraId="10FFDF80">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eastAsia="楷体_GB2312" w:cs="Nimbus Roman"/>
          <w:color w:val="000000"/>
          <w:kern w:val="0"/>
          <w:sz w:val="32"/>
          <w:szCs w:val="32"/>
          <w:shd w:val="clear" w:color="auto" w:fill="FFFFFF"/>
        </w:rPr>
        <w:t>1.</w:t>
      </w:r>
      <w:r>
        <w:rPr>
          <w:rFonts w:hint="default" w:ascii="Nimbus Roman" w:hAnsi="Nimbus Roman" w:eastAsia="楷体_GB2312" w:cs="Nimbus Roman"/>
          <w:color w:val="000000"/>
          <w:kern w:val="0"/>
          <w:sz w:val="32"/>
          <w:szCs w:val="32"/>
          <w:shd w:val="clear" w:color="auto" w:fill="FFFFFF"/>
          <w:lang w:val="zh-CN"/>
        </w:rPr>
        <w:t>履职效能。</w:t>
      </w:r>
      <w:r>
        <w:rPr>
          <w:rFonts w:hint="eastAsia" w:ascii="Nimbus Roman" w:hAnsi="Nimbus Roman" w:eastAsia="楷体_GB2312" w:cs="Nimbus Roman"/>
          <w:color w:val="000000"/>
          <w:kern w:val="0"/>
          <w:sz w:val="32"/>
          <w:szCs w:val="32"/>
          <w:shd w:val="clear" w:color="auto" w:fill="FFFFFF"/>
          <w:lang w:val="zh-CN"/>
        </w:rPr>
        <w:t>一是</w:t>
      </w:r>
      <w:r>
        <w:rPr>
          <w:rFonts w:hint="eastAsia" w:ascii="仿宋_GB2312" w:hAnsi="仿宋_GB2312" w:eastAsia="仿宋_GB2312" w:cs="仿宋_GB2312"/>
          <w:sz w:val="32"/>
          <w:szCs w:val="40"/>
          <w:lang w:val="zh-CN" w:eastAsia="zh-CN"/>
        </w:rPr>
        <w:t>会同区发改局、区财政局、农发行峨眉支行下达了年度1000吨县级储备稻谷、100吨成品大米轮换计划，截至目前，已督促指导国有承储企业全面完成轮换计划并通过验收转为政府政策性储备。</w:t>
      </w:r>
      <w:r>
        <w:rPr>
          <w:rFonts w:hint="eastAsia" w:ascii="Nimbus Roman" w:hAnsi="Nimbus Roman" w:eastAsia="楷体_GB2312" w:cs="Nimbus Roman"/>
          <w:color w:val="000000"/>
          <w:kern w:val="0"/>
          <w:sz w:val="32"/>
          <w:szCs w:val="32"/>
          <w:shd w:val="clear" w:color="auto" w:fill="FFFFFF"/>
          <w:lang w:val="zh-CN"/>
        </w:rPr>
        <w:t>二是</w:t>
      </w:r>
      <w:r>
        <w:rPr>
          <w:rFonts w:hint="eastAsia" w:ascii="仿宋_GB2312" w:hAnsi="仿宋_GB2312" w:eastAsia="仿宋_GB2312" w:cs="仿宋_GB2312"/>
          <w:sz w:val="32"/>
          <w:szCs w:val="40"/>
          <w:lang w:val="en-US" w:eastAsia="zh-CN"/>
        </w:rPr>
        <w:t>完成粮安考核13项指标任务，其中军供串换完成占比19.29%，超额完成市下目标11.29个百分点；4.5万元地方军供补贴落实到位；与“桠溪副食店”签订粮食应急保供协议，填补</w:t>
      </w:r>
      <w:r>
        <w:rPr>
          <w:rFonts w:hint="eastAsia" w:ascii="方正仿宋_GB2312" w:hAnsi="方正仿宋_GB2312" w:eastAsia="方正仿宋_GB2312" w:cs="方正仿宋_GB2312"/>
          <w:sz w:val="32"/>
          <w:szCs w:val="32"/>
          <w:lang w:val="en-US" w:eastAsia="zh-CN"/>
        </w:rPr>
        <w:t>和平乡无应急保供网点空白</w:t>
      </w:r>
      <w:r>
        <w:rPr>
          <w:rFonts w:hint="default" w:ascii="Nimbus Roman" w:hAnsi="Nimbus Roman" w:cs="Nimbus Roman"/>
          <w:color w:val="000000"/>
          <w:kern w:val="0"/>
          <w:sz w:val="32"/>
          <w:szCs w:val="32"/>
          <w:shd w:val="clear" w:color="auto" w:fill="FFFFFF"/>
          <w:lang w:val="zh-CN"/>
        </w:rPr>
        <w:t>。</w:t>
      </w:r>
      <w:r>
        <w:rPr>
          <w:rFonts w:hint="eastAsia" w:ascii="Nimbus Roman" w:hAnsi="Nimbus Roman" w:cs="Nimbus Roman"/>
          <w:color w:val="000000"/>
          <w:kern w:val="0"/>
          <w:sz w:val="32"/>
          <w:szCs w:val="32"/>
          <w:shd w:val="clear" w:color="auto" w:fill="FFFFFF"/>
          <w:lang w:val="zh-CN"/>
        </w:rPr>
        <w:t>三是</w:t>
      </w:r>
      <w:r>
        <w:rPr>
          <w:rFonts w:hint="eastAsia" w:ascii="仿宋_GB2312" w:hAnsi="仿宋_GB2312" w:eastAsia="仿宋_GB2312" w:cs="仿宋_GB2312"/>
          <w:sz w:val="32"/>
          <w:szCs w:val="40"/>
          <w:lang w:val="en-US" w:eastAsia="zh-CN"/>
        </w:rPr>
        <w:t>安全入库中央救灾物资、冬春救灾物资1034件/套，出库1323件/套。</w:t>
      </w:r>
    </w:p>
    <w:p w14:paraId="38C0C87C">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eastAsia="楷体_GB2312" w:cs="Nimbus Roman"/>
          <w:color w:val="000000"/>
          <w:kern w:val="0"/>
          <w:sz w:val="32"/>
          <w:szCs w:val="32"/>
          <w:shd w:val="clear" w:color="auto" w:fill="FFFFFF"/>
          <w:lang w:val="zh-CN"/>
        </w:rPr>
      </w:pPr>
      <w:r>
        <w:rPr>
          <w:rFonts w:hint="default" w:ascii="Nimbus Roman" w:hAnsi="Nimbus Roman" w:eastAsia="楷体_GB2312" w:cs="Nimbus Roman"/>
          <w:color w:val="000000"/>
          <w:kern w:val="0"/>
          <w:sz w:val="32"/>
          <w:szCs w:val="32"/>
          <w:shd w:val="clear" w:color="auto" w:fill="FFFFFF"/>
        </w:rPr>
        <w:t>2.</w:t>
      </w:r>
      <w:r>
        <w:rPr>
          <w:rFonts w:hint="default" w:ascii="Nimbus Roman" w:hAnsi="Nimbus Roman" w:eastAsia="楷体_GB2312" w:cs="Nimbus Roman"/>
          <w:color w:val="000000"/>
          <w:kern w:val="0"/>
          <w:sz w:val="32"/>
          <w:szCs w:val="32"/>
          <w:shd w:val="clear" w:color="auto" w:fill="FFFFFF"/>
          <w:lang w:val="zh-CN"/>
        </w:rPr>
        <w:t>预算管理。</w:t>
      </w:r>
      <w:r>
        <w:rPr>
          <w:rFonts w:hint="default" w:ascii="Nimbus Roman" w:hAnsi="Nimbus Roman" w:cs="Nimbus Roman"/>
          <w:color w:val="000000"/>
          <w:kern w:val="0"/>
          <w:sz w:val="32"/>
          <w:szCs w:val="32"/>
          <w:shd w:val="clear" w:color="auto" w:fill="FFFFFF"/>
          <w:lang w:val="zh-CN"/>
        </w:rPr>
        <w:t>本年度严格落实财政预算管理各项规定，持续提升预算规范化、精细化管理水平。一是严把预算编制关口，结合年度粮食储备、应急物资管护</w:t>
      </w:r>
      <w:r>
        <w:rPr>
          <w:rFonts w:hint="eastAsia" w:ascii="Nimbus Roman" w:hAnsi="Nimbus Roman" w:cs="Nimbus Roman"/>
          <w:color w:val="000000"/>
          <w:kern w:val="0"/>
          <w:sz w:val="32"/>
          <w:szCs w:val="32"/>
          <w:shd w:val="clear" w:color="auto" w:fill="FFFFFF"/>
          <w:lang w:val="zh-CN"/>
        </w:rPr>
        <w:t>、粮食流通统计执法</w:t>
      </w:r>
      <w:r>
        <w:rPr>
          <w:rFonts w:hint="default" w:ascii="Nimbus Roman" w:hAnsi="Nimbus Roman" w:cs="Nimbus Roman"/>
          <w:color w:val="000000"/>
          <w:kern w:val="0"/>
          <w:sz w:val="32"/>
          <w:szCs w:val="32"/>
          <w:shd w:val="clear" w:color="auto" w:fill="FFFFFF"/>
          <w:lang w:val="zh-CN"/>
        </w:rPr>
        <w:t>等重点工作科学编报预算，预算编制贴合实际、依据充分。二是强化收入统筹管理，严格依规统筹各类财政资金，做到专款专用、专户管理，无资金挤占、挪用等问题。三是严控支出执行进度，常态化跟踪预算执行情况，有序推进项目落地实施，保障各项保供工作有序开展。四是从严管控一般性支出，厉行勤俭节约，压减非刚性、非重点支出，将财政资金精准投向粮食安全、应急保供核心领域。五是规范年终结余管理，实现年度资金无结转结余，财政资金使用效益得到充分发挥。。</w:t>
      </w:r>
    </w:p>
    <w:p w14:paraId="19274DFE">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eastAsia="楷体_GB2312" w:cs="Nimbus Roman"/>
          <w:color w:val="000000"/>
          <w:kern w:val="0"/>
          <w:sz w:val="32"/>
          <w:szCs w:val="32"/>
          <w:shd w:val="clear" w:color="auto" w:fill="FFFFFF"/>
          <w:lang w:val="zh-CN"/>
        </w:rPr>
      </w:pPr>
      <w:r>
        <w:rPr>
          <w:rFonts w:hint="default" w:ascii="Nimbus Roman" w:hAnsi="Nimbus Roman" w:eastAsia="楷体_GB2312" w:cs="Nimbus Roman"/>
          <w:color w:val="000000"/>
          <w:kern w:val="0"/>
          <w:sz w:val="32"/>
          <w:szCs w:val="32"/>
          <w:shd w:val="clear" w:color="auto" w:fill="FFFFFF"/>
        </w:rPr>
        <w:t>3.</w:t>
      </w:r>
      <w:r>
        <w:rPr>
          <w:rFonts w:hint="default" w:ascii="Nimbus Roman" w:hAnsi="Nimbus Roman" w:eastAsia="楷体_GB2312" w:cs="Nimbus Roman"/>
          <w:color w:val="000000"/>
          <w:kern w:val="0"/>
          <w:sz w:val="32"/>
          <w:szCs w:val="32"/>
          <w:shd w:val="clear" w:color="auto" w:fill="FFFFFF"/>
          <w:lang w:val="zh-CN"/>
        </w:rPr>
        <w:t>财务管理。</w:t>
      </w:r>
      <w:r>
        <w:rPr>
          <w:rFonts w:hint="default" w:ascii="Nimbus Roman" w:hAnsi="Nimbus Roman" w:cs="Nimbus Roman"/>
          <w:color w:val="000000"/>
          <w:kern w:val="0"/>
          <w:sz w:val="32"/>
          <w:szCs w:val="32"/>
          <w:shd w:val="clear" w:color="auto" w:fill="FFFFFF"/>
          <w:lang w:val="zh-CN"/>
        </w:rPr>
        <w:t>中心严格执行政府会计制度及财经纪律，常态化夯实财务管理基础。一是健全财务管理制度，完善资金审批、费用报销、账务核算等全流程管理制度，形成规范化、制度化的财务运行体系。二是规范财务岗位设置，严格落实岗位分离、相互制约原则，明确岗位职责、细化工作流程，保障财务工作严谨规范。三是严守资金使用规范，所有财政资金支出均履行审批、审核流程，资金使用透明合规，全程可追溯、可监管，有效防范财务风险，保障粮食和物资储备资金安全高效使用。</w:t>
      </w:r>
    </w:p>
    <w:p w14:paraId="2F289106">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eastAsia="楷体_GB2312" w:cs="Nimbus Roman"/>
          <w:color w:val="000000"/>
          <w:kern w:val="0"/>
          <w:sz w:val="32"/>
          <w:szCs w:val="32"/>
          <w:shd w:val="clear" w:color="auto" w:fill="FFFFFF"/>
          <w:lang w:val="zh-CN"/>
        </w:rPr>
      </w:pPr>
      <w:r>
        <w:rPr>
          <w:rFonts w:hint="default" w:ascii="Nimbus Roman" w:hAnsi="Nimbus Roman" w:eastAsia="楷体_GB2312" w:cs="Nimbus Roman"/>
          <w:color w:val="000000"/>
          <w:kern w:val="0"/>
          <w:sz w:val="32"/>
          <w:szCs w:val="32"/>
          <w:shd w:val="clear" w:color="auto" w:fill="FFFFFF"/>
        </w:rPr>
        <w:t>4.</w:t>
      </w:r>
      <w:r>
        <w:rPr>
          <w:rFonts w:hint="default" w:ascii="Nimbus Roman" w:hAnsi="Nimbus Roman" w:eastAsia="楷体_GB2312" w:cs="Nimbus Roman"/>
          <w:color w:val="000000"/>
          <w:kern w:val="0"/>
          <w:sz w:val="32"/>
          <w:szCs w:val="32"/>
          <w:shd w:val="clear" w:color="auto" w:fill="FFFFFF"/>
          <w:lang w:val="zh-CN"/>
        </w:rPr>
        <w:t>资产管理。</w:t>
      </w:r>
      <w:r>
        <w:rPr>
          <w:rFonts w:hint="default" w:ascii="Nimbus Roman" w:hAnsi="Nimbus Roman" w:cs="Nimbus Roman"/>
          <w:color w:val="000000"/>
          <w:kern w:val="0"/>
          <w:sz w:val="32"/>
          <w:szCs w:val="32"/>
          <w:shd w:val="clear" w:color="auto" w:fill="FFFFFF"/>
          <w:lang w:val="zh-CN"/>
        </w:rPr>
        <w:t>一是常态化开展资产清查盘点，动态掌握资产底数，严控人均资产无序变动，确保资产配置科学合理。二是着力提升资产利用率，对应急保供设备、仓储设施、办公资产等分类管理、规范使用，最大限度发挥资产使用价值，杜绝资产闲置浪费。三是积极推进资产盘活增效，对存量资产、闲置设施统筹梳理盘活，优化资产资源配置，切实提升国有资产使用效能，为</w:t>
      </w:r>
      <w:r>
        <w:rPr>
          <w:rFonts w:hint="eastAsia" w:ascii="Nimbus Roman" w:hAnsi="Nimbus Roman" w:cs="Nimbus Roman"/>
          <w:color w:val="000000"/>
          <w:kern w:val="0"/>
          <w:sz w:val="32"/>
          <w:szCs w:val="32"/>
          <w:shd w:val="clear" w:color="auto" w:fill="FFFFFF"/>
          <w:lang w:val="zh-CN"/>
        </w:rPr>
        <w:t>我</w:t>
      </w:r>
      <w:r>
        <w:rPr>
          <w:rFonts w:hint="default" w:ascii="Nimbus Roman" w:hAnsi="Nimbus Roman" w:cs="Nimbus Roman"/>
          <w:color w:val="000000"/>
          <w:kern w:val="0"/>
          <w:sz w:val="32"/>
          <w:szCs w:val="32"/>
          <w:shd w:val="clear" w:color="auto" w:fill="FFFFFF"/>
          <w:lang w:val="zh-CN"/>
        </w:rPr>
        <w:t>区粮食仓储、应急物资储备、日常保供工作提供坚实的资产保障。</w:t>
      </w:r>
    </w:p>
    <w:p w14:paraId="327B06AA">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eastAsia="楷体_GB2312" w:cs="Nimbus Roman"/>
          <w:color w:val="000000"/>
          <w:kern w:val="0"/>
          <w:sz w:val="32"/>
          <w:szCs w:val="32"/>
          <w:shd w:val="clear" w:color="auto" w:fill="FFFFFF"/>
          <w:lang w:val="en-US" w:eastAsia="zh-CN"/>
        </w:rPr>
      </w:pPr>
      <w:r>
        <w:rPr>
          <w:rFonts w:hint="default" w:ascii="Nimbus Roman" w:hAnsi="Nimbus Roman" w:eastAsia="楷体_GB2312" w:cs="Nimbus Roman"/>
          <w:color w:val="000000"/>
          <w:kern w:val="0"/>
          <w:sz w:val="32"/>
          <w:szCs w:val="32"/>
          <w:shd w:val="clear" w:color="auto" w:fill="FFFFFF"/>
        </w:rPr>
        <w:t>5.</w:t>
      </w:r>
      <w:r>
        <w:rPr>
          <w:rFonts w:hint="default" w:ascii="Nimbus Roman" w:hAnsi="Nimbus Roman" w:eastAsia="楷体_GB2312" w:cs="Nimbus Roman"/>
          <w:color w:val="000000"/>
          <w:kern w:val="0"/>
          <w:sz w:val="32"/>
          <w:szCs w:val="32"/>
          <w:shd w:val="clear" w:color="auto" w:fill="FFFFFF"/>
          <w:lang w:val="zh-CN"/>
        </w:rPr>
        <w:t>采购管理。</w:t>
      </w:r>
      <w:r>
        <w:rPr>
          <w:rFonts w:hint="eastAsia" w:ascii="Nimbus Roman" w:hAnsi="Nimbus Roman" w:eastAsia="楷体_GB2312" w:cs="Nimbus Roman"/>
          <w:color w:val="000000"/>
          <w:kern w:val="0"/>
          <w:sz w:val="32"/>
          <w:szCs w:val="32"/>
          <w:shd w:val="clear" w:color="auto" w:fill="FFFFFF"/>
          <w:lang w:val="en-US" w:eastAsia="zh-CN"/>
        </w:rPr>
        <w:t>2025年度无采购项目。</w:t>
      </w:r>
    </w:p>
    <w:p w14:paraId="799170E6">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textAlignment w:val="auto"/>
        <w:rPr>
          <w:rFonts w:hint="default" w:ascii="Nimbus Roman" w:hAnsi="Nimbus Roman" w:cs="Nimbus Roman"/>
          <w:color w:val="000000"/>
          <w:kern w:val="0"/>
          <w:sz w:val="32"/>
          <w:szCs w:val="32"/>
          <w:shd w:val="clear" w:color="auto" w:fill="FFFFFF"/>
        </w:rPr>
      </w:pPr>
      <w:r>
        <w:rPr>
          <w:rFonts w:hint="default" w:ascii="Nimbus Roman" w:hAnsi="Nimbus Roman" w:eastAsia="楷体_GB2312" w:cs="Nimbus Roman"/>
          <w:b/>
          <w:bCs/>
          <w:color w:val="000000"/>
          <w:kern w:val="0"/>
          <w:sz w:val="32"/>
          <w:szCs w:val="32"/>
          <w:shd w:val="clear" w:color="auto" w:fill="FFFFFF"/>
          <w:lang w:val="zh-CN"/>
        </w:rPr>
        <w:t>（二）部门预算项目绩效分析。</w:t>
      </w:r>
    </w:p>
    <w:p w14:paraId="55E1209C">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cs="Nimbus Roman"/>
          <w:color w:val="000000"/>
          <w:kern w:val="0"/>
          <w:sz w:val="32"/>
          <w:szCs w:val="32"/>
          <w:shd w:val="clear" w:color="auto" w:fill="FFFFFF"/>
        </w:rPr>
        <w:t>常年项目绩效分析。</w:t>
      </w:r>
      <w:r>
        <w:rPr>
          <w:rFonts w:hint="default" w:ascii="Nimbus Roman" w:hAnsi="Nimbus Roman" w:cs="Nimbus Roman"/>
          <w:color w:val="000000"/>
          <w:kern w:val="0"/>
          <w:sz w:val="32"/>
          <w:szCs w:val="32"/>
          <w:shd w:val="clear" w:color="auto" w:fill="FFFFFF"/>
          <w:lang w:val="zh-CN"/>
        </w:rPr>
        <w:t>该类项目总数</w:t>
      </w:r>
      <w:r>
        <w:rPr>
          <w:rFonts w:hint="eastAsia" w:ascii="Nimbus Roman" w:hAnsi="Nimbus Roman" w:cs="Nimbus Roman"/>
          <w:color w:val="000000"/>
          <w:kern w:val="0"/>
          <w:sz w:val="32"/>
          <w:szCs w:val="32"/>
          <w:shd w:val="clear" w:color="auto" w:fill="FFFFFF"/>
          <w:lang w:val="en-US" w:eastAsia="zh-CN"/>
        </w:rPr>
        <w:t>9</w:t>
      </w:r>
      <w:r>
        <w:rPr>
          <w:rFonts w:hint="default" w:ascii="Nimbus Roman" w:hAnsi="Nimbus Roman" w:cs="Nimbus Roman"/>
          <w:color w:val="000000"/>
          <w:kern w:val="0"/>
          <w:sz w:val="32"/>
          <w:szCs w:val="32"/>
          <w:shd w:val="clear" w:color="auto" w:fill="FFFFFF"/>
          <w:lang w:val="zh-CN"/>
        </w:rPr>
        <w:t>个，涉及预算总金额</w:t>
      </w:r>
      <w:r>
        <w:rPr>
          <w:rFonts w:hint="eastAsia" w:ascii="Nimbus Roman" w:hAnsi="Nimbus Roman" w:cs="Nimbus Roman"/>
          <w:color w:val="000000"/>
          <w:kern w:val="0"/>
          <w:sz w:val="32"/>
          <w:szCs w:val="32"/>
          <w:shd w:val="clear" w:color="auto" w:fill="FFFFFF"/>
          <w:lang w:val="en-US" w:eastAsia="zh-CN"/>
        </w:rPr>
        <w:t>184.18</w:t>
      </w:r>
      <w:r>
        <w:rPr>
          <w:rFonts w:hint="default" w:ascii="Nimbus Roman" w:hAnsi="Nimbus Roman" w:cs="Nimbus Roman"/>
          <w:color w:val="000000"/>
          <w:kern w:val="0"/>
          <w:sz w:val="32"/>
          <w:szCs w:val="32"/>
          <w:shd w:val="clear" w:color="auto" w:fill="FFFFFF"/>
          <w:lang w:val="zh-CN"/>
        </w:rPr>
        <w:t>万元，1—1</w:t>
      </w:r>
      <w:r>
        <w:rPr>
          <w:rFonts w:hint="default" w:ascii="Nimbus Roman" w:hAnsi="Nimbus Roman" w:cs="Nimbus Roman"/>
          <w:color w:val="000000"/>
          <w:kern w:val="0"/>
          <w:sz w:val="32"/>
          <w:szCs w:val="32"/>
          <w:shd w:val="clear" w:color="auto" w:fill="FFFFFF"/>
        </w:rPr>
        <w:t>2</w:t>
      </w:r>
      <w:r>
        <w:rPr>
          <w:rFonts w:hint="default" w:ascii="Nimbus Roman" w:hAnsi="Nimbus Roman" w:cs="Nimbus Roman"/>
          <w:color w:val="000000"/>
          <w:kern w:val="0"/>
          <w:sz w:val="32"/>
          <w:szCs w:val="32"/>
          <w:shd w:val="clear" w:color="auto" w:fill="FFFFFF"/>
          <w:lang w:val="zh-CN"/>
        </w:rPr>
        <w:t>月预算执行总体进度为</w:t>
      </w:r>
      <w:r>
        <w:rPr>
          <w:rFonts w:hint="eastAsia" w:ascii="Nimbus Roman" w:hAnsi="Nimbus Roman" w:cs="Nimbus Roman"/>
          <w:color w:val="000000"/>
          <w:kern w:val="0"/>
          <w:sz w:val="32"/>
          <w:szCs w:val="32"/>
          <w:shd w:val="clear" w:color="auto" w:fill="FFFFFF"/>
          <w:lang w:val="en-US" w:eastAsia="zh-CN"/>
        </w:rPr>
        <w:t>100</w:t>
      </w:r>
      <w:r>
        <w:rPr>
          <w:rFonts w:hint="default" w:ascii="Nimbus Roman" w:hAnsi="Nimbus Roman" w:cs="Nimbus Roman"/>
          <w:color w:val="000000"/>
          <w:kern w:val="0"/>
          <w:sz w:val="32"/>
          <w:szCs w:val="32"/>
          <w:shd w:val="clear" w:color="auto" w:fill="FFFFFF"/>
          <w:lang w:val="zh-CN"/>
        </w:rPr>
        <w:t>%，其中：预算结余率大于</w:t>
      </w:r>
      <w:r>
        <w:rPr>
          <w:rFonts w:hint="default" w:ascii="Nimbus Roman" w:hAnsi="Nimbus Roman" w:cs="Nimbus Roman"/>
          <w:color w:val="000000"/>
          <w:kern w:val="0"/>
          <w:sz w:val="32"/>
          <w:szCs w:val="32"/>
          <w:shd w:val="clear" w:color="auto" w:fill="FFFFFF"/>
        </w:rPr>
        <w:t>10%</w:t>
      </w:r>
      <w:r>
        <w:rPr>
          <w:rFonts w:hint="default" w:ascii="Nimbus Roman" w:hAnsi="Nimbus Roman" w:cs="Nimbus Roman"/>
          <w:color w:val="000000"/>
          <w:kern w:val="0"/>
          <w:sz w:val="32"/>
          <w:szCs w:val="32"/>
          <w:shd w:val="clear" w:color="auto" w:fill="FFFFFF"/>
          <w:lang w:val="zh-CN"/>
        </w:rPr>
        <w:t>的项目共计</w:t>
      </w:r>
      <w:r>
        <w:rPr>
          <w:rFonts w:hint="eastAsia" w:ascii="Nimbus Roman" w:hAnsi="Nimbus Roman" w:cs="Nimbus Roman"/>
          <w:color w:val="000000"/>
          <w:kern w:val="0"/>
          <w:sz w:val="32"/>
          <w:szCs w:val="32"/>
          <w:shd w:val="clear" w:color="auto" w:fill="FFFFFF"/>
          <w:lang w:val="en-US" w:eastAsia="zh-CN"/>
        </w:rPr>
        <w:t>0</w:t>
      </w:r>
      <w:r>
        <w:rPr>
          <w:rFonts w:hint="default" w:ascii="Nimbus Roman" w:hAnsi="Nimbus Roman" w:cs="Nimbus Roman"/>
          <w:color w:val="000000"/>
          <w:kern w:val="0"/>
          <w:sz w:val="32"/>
          <w:szCs w:val="32"/>
          <w:shd w:val="clear" w:color="auto" w:fill="FFFFFF"/>
          <w:lang w:val="zh-CN"/>
        </w:rPr>
        <w:t>个。</w:t>
      </w:r>
    </w:p>
    <w:p w14:paraId="3B6A3F9F">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cs="Nimbus Roman"/>
          <w:color w:val="000000"/>
          <w:kern w:val="0"/>
          <w:sz w:val="32"/>
          <w:szCs w:val="32"/>
          <w:shd w:val="clear" w:color="auto" w:fill="FFFFFF"/>
        </w:rPr>
        <w:t>阶段（一次性）项目绩效分析。</w:t>
      </w:r>
      <w:r>
        <w:rPr>
          <w:rFonts w:hint="default" w:ascii="Nimbus Roman" w:hAnsi="Nimbus Roman" w:cs="Nimbus Roman"/>
          <w:color w:val="000000"/>
          <w:kern w:val="0"/>
          <w:sz w:val="32"/>
          <w:szCs w:val="32"/>
          <w:shd w:val="clear" w:color="auto" w:fill="FFFFFF"/>
          <w:lang w:val="zh-CN"/>
        </w:rPr>
        <w:t>该类项目总数</w:t>
      </w:r>
      <w:r>
        <w:rPr>
          <w:rFonts w:hint="eastAsia" w:ascii="Nimbus Roman" w:hAnsi="Nimbus Roman" w:cs="Nimbus Roman"/>
          <w:color w:val="000000"/>
          <w:kern w:val="0"/>
          <w:sz w:val="32"/>
          <w:szCs w:val="32"/>
          <w:shd w:val="clear" w:color="auto" w:fill="FFFFFF"/>
          <w:lang w:val="en-US" w:eastAsia="zh-CN"/>
        </w:rPr>
        <w:t>2</w:t>
      </w:r>
      <w:r>
        <w:rPr>
          <w:rFonts w:hint="default" w:ascii="Nimbus Roman" w:hAnsi="Nimbus Roman" w:cs="Nimbus Roman"/>
          <w:color w:val="000000"/>
          <w:kern w:val="0"/>
          <w:sz w:val="32"/>
          <w:szCs w:val="32"/>
          <w:shd w:val="clear" w:color="auto" w:fill="FFFFFF"/>
          <w:lang w:val="zh-CN"/>
        </w:rPr>
        <w:t>个，涉及预算总金额</w:t>
      </w:r>
      <w:r>
        <w:rPr>
          <w:rFonts w:hint="eastAsia" w:ascii="Nimbus Roman" w:hAnsi="Nimbus Roman" w:cs="Nimbus Roman"/>
          <w:color w:val="000000"/>
          <w:kern w:val="0"/>
          <w:sz w:val="32"/>
          <w:szCs w:val="32"/>
          <w:shd w:val="clear" w:color="auto" w:fill="FFFFFF"/>
          <w:lang w:val="en-US" w:eastAsia="zh-CN"/>
        </w:rPr>
        <w:t>6.29</w:t>
      </w:r>
      <w:r>
        <w:rPr>
          <w:rFonts w:hint="default" w:ascii="Nimbus Roman" w:hAnsi="Nimbus Roman" w:cs="Nimbus Roman"/>
          <w:color w:val="000000"/>
          <w:kern w:val="0"/>
          <w:sz w:val="32"/>
          <w:szCs w:val="32"/>
          <w:shd w:val="clear" w:color="auto" w:fill="FFFFFF"/>
          <w:lang w:val="zh-CN"/>
        </w:rPr>
        <w:t>万元，1—1</w:t>
      </w:r>
      <w:r>
        <w:rPr>
          <w:rFonts w:hint="default" w:ascii="Nimbus Roman" w:hAnsi="Nimbus Roman" w:cs="Nimbus Roman"/>
          <w:color w:val="000000"/>
          <w:kern w:val="0"/>
          <w:sz w:val="32"/>
          <w:szCs w:val="32"/>
          <w:shd w:val="clear" w:color="auto" w:fill="FFFFFF"/>
        </w:rPr>
        <w:t>2</w:t>
      </w:r>
      <w:r>
        <w:rPr>
          <w:rFonts w:hint="default" w:ascii="Nimbus Roman" w:hAnsi="Nimbus Roman" w:cs="Nimbus Roman"/>
          <w:color w:val="000000"/>
          <w:kern w:val="0"/>
          <w:sz w:val="32"/>
          <w:szCs w:val="32"/>
          <w:shd w:val="clear" w:color="auto" w:fill="FFFFFF"/>
          <w:lang w:val="zh-CN"/>
        </w:rPr>
        <w:t>月预算执行总体进度为</w:t>
      </w:r>
      <w:r>
        <w:rPr>
          <w:rFonts w:hint="eastAsia" w:ascii="Nimbus Roman" w:hAnsi="Nimbus Roman" w:cs="Nimbus Roman"/>
          <w:color w:val="000000"/>
          <w:kern w:val="0"/>
          <w:sz w:val="32"/>
          <w:szCs w:val="32"/>
          <w:shd w:val="clear" w:color="auto" w:fill="FFFFFF"/>
          <w:lang w:val="en-US" w:eastAsia="zh-CN"/>
        </w:rPr>
        <w:t>100</w:t>
      </w:r>
      <w:r>
        <w:rPr>
          <w:rFonts w:hint="default" w:ascii="Nimbus Roman" w:hAnsi="Nimbus Roman" w:cs="Nimbus Roman"/>
          <w:color w:val="000000"/>
          <w:kern w:val="0"/>
          <w:sz w:val="32"/>
          <w:szCs w:val="32"/>
          <w:shd w:val="clear" w:color="auto" w:fill="FFFFFF"/>
          <w:lang w:val="zh-CN"/>
        </w:rPr>
        <w:t>%，其中：预算结余率大于</w:t>
      </w:r>
      <w:r>
        <w:rPr>
          <w:rFonts w:hint="default" w:ascii="Nimbus Roman" w:hAnsi="Nimbus Roman" w:cs="Nimbus Roman"/>
          <w:color w:val="000000"/>
          <w:kern w:val="0"/>
          <w:sz w:val="32"/>
          <w:szCs w:val="32"/>
          <w:shd w:val="clear" w:color="auto" w:fill="FFFFFF"/>
        </w:rPr>
        <w:t>10%</w:t>
      </w:r>
      <w:r>
        <w:rPr>
          <w:rFonts w:hint="default" w:ascii="Nimbus Roman" w:hAnsi="Nimbus Roman" w:cs="Nimbus Roman"/>
          <w:color w:val="000000"/>
          <w:kern w:val="0"/>
          <w:sz w:val="32"/>
          <w:szCs w:val="32"/>
          <w:shd w:val="clear" w:color="auto" w:fill="FFFFFF"/>
          <w:lang w:val="zh-CN"/>
        </w:rPr>
        <w:t>的项目共计</w:t>
      </w:r>
      <w:r>
        <w:rPr>
          <w:rFonts w:hint="eastAsia" w:ascii="Nimbus Roman" w:hAnsi="Nimbus Roman" w:cs="Nimbus Roman"/>
          <w:color w:val="000000"/>
          <w:kern w:val="0"/>
          <w:sz w:val="32"/>
          <w:szCs w:val="32"/>
          <w:shd w:val="clear" w:color="auto" w:fill="FFFFFF"/>
          <w:lang w:val="en-US" w:eastAsia="zh-CN"/>
        </w:rPr>
        <w:t>0</w:t>
      </w:r>
      <w:r>
        <w:rPr>
          <w:rFonts w:hint="default" w:ascii="Nimbus Roman" w:hAnsi="Nimbus Roman" w:cs="Nimbus Roman"/>
          <w:color w:val="000000"/>
          <w:kern w:val="0"/>
          <w:sz w:val="32"/>
          <w:szCs w:val="32"/>
          <w:shd w:val="clear" w:color="auto" w:fill="FFFFFF"/>
          <w:lang w:val="zh-CN"/>
        </w:rPr>
        <w:t>个。</w:t>
      </w:r>
    </w:p>
    <w:p w14:paraId="2E15CC9B">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eastAsia="楷体_GB2312" w:cs="Nimbus Roman"/>
          <w:color w:val="000000"/>
          <w:kern w:val="0"/>
          <w:sz w:val="32"/>
          <w:szCs w:val="32"/>
          <w:shd w:val="clear" w:color="auto" w:fill="FFFFFF"/>
        </w:rPr>
        <w:t>1.</w:t>
      </w:r>
      <w:r>
        <w:rPr>
          <w:rFonts w:hint="default" w:ascii="Nimbus Roman" w:hAnsi="Nimbus Roman" w:eastAsia="楷体_GB2312" w:cs="Nimbus Roman"/>
          <w:color w:val="000000"/>
          <w:kern w:val="0"/>
          <w:sz w:val="32"/>
          <w:szCs w:val="32"/>
          <w:shd w:val="clear" w:color="auto" w:fill="FFFFFF"/>
          <w:lang w:val="zh-CN"/>
        </w:rPr>
        <w:t>项目决策。</w:t>
      </w:r>
      <w:r>
        <w:rPr>
          <w:rFonts w:hint="default" w:ascii="Nimbus Roman" w:hAnsi="Nimbus Roman" w:cs="Nimbus Roman"/>
          <w:color w:val="000000"/>
          <w:kern w:val="0"/>
          <w:sz w:val="32"/>
          <w:szCs w:val="32"/>
          <w:shd w:val="clear" w:color="auto" w:fill="FFFFFF"/>
          <w:lang w:val="zh-CN"/>
        </w:rPr>
        <w:t>决策程序合规规范：所有项目严格执行预算编制 “三上三下” 工作程序，充分结合部门职能职责与年度粮食安全重点工作任务开展立项。针对储备粮油费用补贴等重大项目，委托区财政投资评价审核中心开展事前绩效评价，项目事前评价综合得分 97 分，评估结论为 “建议实施”，确保项目立项符合政策要求与实际需求，决策流程完整、依据充分。</w:t>
      </w:r>
    </w:p>
    <w:p w14:paraId="0BF6C02F">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cs="Nimbus Roman"/>
          <w:color w:val="000000"/>
          <w:kern w:val="0"/>
          <w:sz w:val="32"/>
          <w:szCs w:val="32"/>
          <w:shd w:val="clear" w:color="auto" w:fill="FFFFFF"/>
          <w:lang w:val="zh-CN"/>
        </w:rPr>
        <w:t>目标设置科学合理：全部项目均按要求设定了可量化、可考核的绩效目标，目标内容与部门年度工作任务高度匹配，如明确了 2000 吨原粮、100 吨成品大米、10 吨食用油的储备保管目标，全区粮食经营主体全覆盖执法检查目标等，既覆盖了产出指标，也明确了效益指标，保障了项目实施的方向明确性。</w:t>
      </w:r>
    </w:p>
    <w:p w14:paraId="4DE9FCBD">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eastAsia="楷体_GB2312" w:cs="Nimbus Roman"/>
          <w:color w:val="000000"/>
          <w:kern w:val="0"/>
          <w:sz w:val="32"/>
          <w:szCs w:val="32"/>
          <w:shd w:val="clear" w:color="auto" w:fill="FFFFFF"/>
          <w:lang w:val="zh-CN"/>
        </w:rPr>
      </w:pPr>
      <w:r>
        <w:rPr>
          <w:rFonts w:hint="default" w:ascii="Nimbus Roman" w:hAnsi="Nimbus Roman" w:cs="Nimbus Roman"/>
          <w:color w:val="000000"/>
          <w:kern w:val="0"/>
          <w:sz w:val="32"/>
          <w:szCs w:val="32"/>
          <w:shd w:val="clear" w:color="auto" w:fill="FFFFFF"/>
          <w:lang w:val="zh-CN"/>
        </w:rPr>
        <w:t>项目入库管理规范：所有项目均按要求纳入部门项目库实行滚动管理，入库前均完成了必要性、可行性论证，严格落实 “先有项目、后有预算” 的管理要求，2025 年实施的所有项目均从已入库项目中选取，未出现无库项目、临时新增项目的情况，保障了项目储备的规范性。。</w:t>
      </w:r>
    </w:p>
    <w:p w14:paraId="68D57E6A">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eastAsia="楷体_GB2312" w:cs="Nimbus Roman"/>
          <w:color w:val="000000"/>
          <w:kern w:val="0"/>
          <w:sz w:val="32"/>
          <w:szCs w:val="32"/>
          <w:shd w:val="clear" w:color="auto" w:fill="FFFFFF"/>
        </w:rPr>
        <w:t>2.项目执行</w:t>
      </w:r>
      <w:r>
        <w:rPr>
          <w:rFonts w:hint="default" w:ascii="Nimbus Roman" w:hAnsi="Nimbus Roman" w:eastAsia="楷体_GB2312" w:cs="Nimbus Roman"/>
          <w:color w:val="000000"/>
          <w:kern w:val="0"/>
          <w:sz w:val="32"/>
          <w:szCs w:val="32"/>
          <w:shd w:val="clear" w:color="auto" w:fill="FFFFFF"/>
          <w:lang w:val="zh-CN"/>
        </w:rPr>
        <w:t>。</w:t>
      </w:r>
      <w:r>
        <w:rPr>
          <w:rFonts w:hint="default" w:ascii="Nimbus Roman" w:hAnsi="Nimbus Roman" w:cs="Nimbus Roman"/>
          <w:color w:val="000000"/>
          <w:kern w:val="0"/>
          <w:sz w:val="32"/>
          <w:szCs w:val="32"/>
          <w:shd w:val="clear" w:color="auto" w:fill="FFFFFF"/>
          <w:lang w:val="zh-CN"/>
        </w:rPr>
        <w:t>资金执行同步匹配：严格落实资金拨付与项目实施进度同向匹配的管理要求，根据项目推进节点及时拨付资金，如储备粮油轮换资金随轮换验收进度拨付、保管费用按季度据实拨付，未出现资金提前拨付、滞后拨付或挤占挪用的情况，保障了资金使用与项目推进的一致性。</w:t>
      </w:r>
    </w:p>
    <w:p w14:paraId="1BF6E076">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cs="Nimbus Roman"/>
          <w:color w:val="000000"/>
          <w:kern w:val="0"/>
          <w:sz w:val="32"/>
          <w:szCs w:val="32"/>
          <w:shd w:val="clear" w:color="auto" w:fill="FFFFFF"/>
          <w:lang w:val="zh-CN"/>
        </w:rPr>
        <w:t>项目执行无调整变动：2025 年度所有项目均严格按照年初批复的预算内容、实施计划推进，未发生项目实施内容调整、预算金额调整的情况，体现了年初预算编制的科学性与准确性，也保障了项目执行的稳定性。</w:t>
      </w:r>
    </w:p>
    <w:p w14:paraId="5A67BAC5">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eastAsia="楷体_GB2312" w:cs="Nimbus Roman"/>
          <w:color w:val="000000"/>
          <w:kern w:val="0"/>
          <w:sz w:val="32"/>
          <w:szCs w:val="32"/>
          <w:shd w:val="clear" w:color="auto" w:fill="FFFFFF"/>
          <w:lang w:val="zh-CN"/>
        </w:rPr>
      </w:pPr>
      <w:r>
        <w:rPr>
          <w:rFonts w:hint="default" w:ascii="Nimbus Roman" w:hAnsi="Nimbus Roman" w:cs="Nimbus Roman"/>
          <w:color w:val="000000"/>
          <w:kern w:val="0"/>
          <w:sz w:val="32"/>
          <w:szCs w:val="32"/>
          <w:shd w:val="clear" w:color="auto" w:fill="FFFFFF"/>
          <w:lang w:val="zh-CN"/>
        </w:rPr>
        <w:t>执行结果全面达标：全部项目预算执行进度均达到 100%，无资金结余、无预算超支情况。资金使用严格遵守财经纪律与财务管理制度，实行专款专用，会计核算规范，未出现违规使用资金的问题，所有项目均按时完成全部实施内容。</w:t>
      </w:r>
    </w:p>
    <w:p w14:paraId="48019D5A">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eastAsia="楷体_GB2312" w:cs="Nimbus Roman"/>
          <w:color w:val="000000"/>
          <w:kern w:val="0"/>
          <w:sz w:val="32"/>
          <w:szCs w:val="32"/>
          <w:shd w:val="clear" w:color="auto" w:fill="FFFFFF"/>
        </w:rPr>
        <w:t>3.</w:t>
      </w:r>
      <w:r>
        <w:rPr>
          <w:rFonts w:hint="default" w:ascii="Nimbus Roman" w:hAnsi="Nimbus Roman" w:eastAsia="楷体_GB2312" w:cs="Nimbus Roman"/>
          <w:color w:val="000000"/>
          <w:kern w:val="0"/>
          <w:sz w:val="32"/>
          <w:szCs w:val="32"/>
          <w:shd w:val="clear" w:color="auto" w:fill="FFFFFF"/>
          <w:lang w:val="zh-CN"/>
        </w:rPr>
        <w:t>目标实现。</w:t>
      </w:r>
      <w:r>
        <w:rPr>
          <w:rFonts w:hint="default" w:ascii="Nimbus Roman" w:hAnsi="Nimbus Roman" w:cs="Nimbus Roman"/>
          <w:color w:val="000000"/>
          <w:kern w:val="0"/>
          <w:sz w:val="32"/>
          <w:szCs w:val="32"/>
          <w:shd w:val="clear" w:color="auto" w:fill="FFFFFF"/>
          <w:lang w:val="zh-CN"/>
        </w:rPr>
        <w:t>目标任务全面完成：所有项目的年度绩效目标均 100% 完成，其中常年项目全面完成了储备粮油安全保管、粮食流通执法监管、物资储备维护等年度任务，阶段项目也按时完成了既定的一次性工作任务，未出现未完成的目标事项。</w:t>
      </w:r>
    </w:p>
    <w:p w14:paraId="3178085A">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cs="Nimbus Roman"/>
          <w:color w:val="000000"/>
          <w:kern w:val="0"/>
          <w:sz w:val="32"/>
          <w:szCs w:val="32"/>
          <w:shd w:val="clear" w:color="auto" w:fill="FFFFFF"/>
          <w:lang w:val="zh-CN"/>
        </w:rPr>
        <w:t>无目标偏离情况：全年所有项目均未出现目标偏离问题，年初设定的绩效指标全部达成，既不存在目标设定过高无法完成的情况，也不存在目标设定过低资源闲置的情况，目标完成度与匹配度均为 100%。</w:t>
      </w:r>
    </w:p>
    <w:p w14:paraId="59F9BD05">
      <w:pPr>
        <w:keepNext w:val="0"/>
        <w:keepLines w:val="0"/>
        <w:pageBreakBefore w:val="0"/>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eastAsia="楷体_GB2312" w:cs="Nimbus Roman"/>
          <w:color w:val="000000"/>
          <w:kern w:val="0"/>
          <w:sz w:val="32"/>
          <w:szCs w:val="32"/>
          <w:shd w:val="clear" w:color="auto" w:fill="FFFFFF"/>
          <w:lang w:val="zh-CN"/>
        </w:rPr>
      </w:pPr>
      <w:r>
        <w:rPr>
          <w:rFonts w:hint="default" w:ascii="Nimbus Roman" w:hAnsi="Nimbus Roman" w:cs="Nimbus Roman"/>
          <w:color w:val="000000"/>
          <w:kern w:val="0"/>
          <w:sz w:val="32"/>
          <w:szCs w:val="32"/>
          <w:shd w:val="clear" w:color="auto" w:fill="FFFFFF"/>
          <w:lang w:val="zh-CN"/>
        </w:rPr>
        <w:t>实施效果达到预期：通过项目实施，全面夯实了全区粮食安全根基，保障了 2000 吨原粮、100 吨成品大米、10 吨食用油的储备安全，实现了储备粮油数量真实、质量良好、储存安全，有效提升了区域粮食应急保障能力，能够有效应对自然灾害、市场波动等突发情况，稳定了区域粮食市场供应；同时通过粮食流通执法监管，规范了粮食流通秩序，保护了粮食生产者、经营者与消费者的合法权益，全面达成了项目的预期实施效果。</w:t>
      </w:r>
    </w:p>
    <w:p w14:paraId="6D9BF2E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sz w:val="32"/>
          <w:szCs w:val="32"/>
        </w:rPr>
      </w:pPr>
      <w:r>
        <w:rPr>
          <w:rFonts w:hint="default" w:ascii="Nimbus Roman" w:hAnsi="Nimbus Roman" w:cs="Nimbus Roman"/>
          <w:sz w:val="32"/>
          <w:szCs w:val="32"/>
        </w:rPr>
        <w:t>2025年度，本部门未涉及国有资本经营预算、社会保险基金预算相关收支及执行内容：</w:t>
      </w:r>
    </w:p>
    <w:p w14:paraId="2FE74654">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sz w:val="32"/>
          <w:szCs w:val="32"/>
        </w:rPr>
      </w:pPr>
      <w:r>
        <w:rPr>
          <w:rFonts w:hint="default" w:ascii="Nimbus Roman" w:hAnsi="Nimbus Roman" w:cs="Nimbus Roman"/>
          <w:sz w:val="32"/>
          <w:szCs w:val="32"/>
        </w:rPr>
        <w:t>1.国有资本经营预算：本年度无国有资本经营预算拨款安排的支出，无相关企业运营、行业发展相关的预算执行事项。</w:t>
      </w:r>
    </w:p>
    <w:p w14:paraId="454D68E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sz w:val="32"/>
          <w:szCs w:val="32"/>
        </w:rPr>
      </w:pPr>
      <w:r>
        <w:rPr>
          <w:rFonts w:hint="default" w:ascii="Nimbus Roman" w:hAnsi="Nimbus Roman" w:cs="Nimbus Roman"/>
          <w:sz w:val="32"/>
          <w:szCs w:val="32"/>
        </w:rPr>
        <w:t>2.社会保险基金预算：本年度无社会保险基金预算相关的收支及管理事项，无基金可持续性、区域安全性相关的管理内容。</w:t>
      </w:r>
    </w:p>
    <w:p w14:paraId="6692CC04">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textAlignment w:val="auto"/>
        <w:rPr>
          <w:rFonts w:hint="default" w:ascii="Nimbus Roman" w:hAnsi="Nimbus Roman" w:eastAsia="楷体_GB2312" w:cs="Nimbus Roman"/>
          <w:b/>
          <w:bCs/>
          <w:color w:val="000000"/>
          <w:kern w:val="0"/>
          <w:sz w:val="32"/>
          <w:szCs w:val="32"/>
          <w:shd w:val="clear" w:color="auto" w:fill="FFFFFF"/>
          <w:lang w:val="zh-CN"/>
        </w:rPr>
      </w:pPr>
      <w:r>
        <w:rPr>
          <w:rFonts w:hint="default" w:ascii="Nimbus Roman" w:hAnsi="Nimbus Roman" w:eastAsia="楷体_GB2312" w:cs="Nimbus Roman"/>
          <w:b/>
          <w:bCs/>
          <w:color w:val="000000"/>
          <w:kern w:val="0"/>
          <w:sz w:val="32"/>
          <w:szCs w:val="32"/>
          <w:shd w:val="clear" w:color="auto" w:fill="FFFFFF"/>
          <w:lang w:val="zh-CN"/>
        </w:rPr>
        <w:t>（三）重点领域绩效分析。</w:t>
      </w:r>
    </w:p>
    <w:p w14:paraId="6E63FDF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sz w:val="32"/>
          <w:szCs w:val="32"/>
        </w:rPr>
      </w:pPr>
      <w:r>
        <w:rPr>
          <w:rFonts w:hint="default" w:ascii="Nimbus Roman" w:hAnsi="Nimbus Roman" w:cs="Nimbus Roman"/>
          <w:sz w:val="32"/>
          <w:szCs w:val="32"/>
        </w:rPr>
        <w:t>1.国有资本相关领域：本年度无涉及国有资本运营、管理相关的预算及执行内容。</w:t>
      </w:r>
    </w:p>
    <w:p w14:paraId="5306293C">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sz w:val="32"/>
          <w:szCs w:val="32"/>
        </w:rPr>
      </w:pPr>
      <w:r>
        <w:rPr>
          <w:rFonts w:hint="default" w:ascii="Nimbus Roman" w:hAnsi="Nimbus Roman" w:cs="Nimbus Roman"/>
          <w:sz w:val="32"/>
          <w:szCs w:val="32"/>
        </w:rPr>
        <w:t>2.行政事业性国有资产：截至 202</w:t>
      </w:r>
      <w:r>
        <w:rPr>
          <w:rFonts w:hint="eastAsia" w:ascii="Nimbus Roman" w:hAnsi="Nimbus Roman" w:cs="Nimbus Roman"/>
          <w:sz w:val="32"/>
          <w:szCs w:val="32"/>
          <w:lang w:val="en-US" w:eastAsia="zh-CN"/>
        </w:rPr>
        <w:t>5</w:t>
      </w:r>
      <w:r>
        <w:rPr>
          <w:rFonts w:hint="default" w:ascii="Nimbus Roman" w:hAnsi="Nimbus Roman" w:cs="Nimbus Roman"/>
          <w:sz w:val="32"/>
          <w:szCs w:val="32"/>
        </w:rPr>
        <w:t>年末，本部门国有资产占有使用规范，无公务用车，无单价 50 万元以上通用设备，无单价 100 万元以上专用设备；2025 年度无新增大额国有资产配置，资产账实相符，管理规范，未出现资产闲置、浪费等情况。</w:t>
      </w:r>
    </w:p>
    <w:p w14:paraId="2694916B">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sz w:val="32"/>
          <w:szCs w:val="32"/>
        </w:rPr>
      </w:pPr>
      <w:r>
        <w:rPr>
          <w:rFonts w:hint="default" w:ascii="Nimbus Roman" w:hAnsi="Nimbus Roman" w:cs="Nimbus Roman"/>
          <w:sz w:val="32"/>
          <w:szCs w:val="32"/>
        </w:rPr>
        <w:t>3.债券资金：本年度未涉及地方政府债券资金的相关收支及执行内容。</w:t>
      </w:r>
    </w:p>
    <w:p w14:paraId="1E5191A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sz w:val="32"/>
          <w:szCs w:val="32"/>
        </w:rPr>
      </w:pPr>
      <w:r>
        <w:rPr>
          <w:rFonts w:hint="default" w:ascii="Nimbus Roman" w:hAnsi="Nimbus Roman" w:cs="Nimbus Roman"/>
          <w:sz w:val="32"/>
          <w:szCs w:val="32"/>
        </w:rPr>
        <w:t>4.政府采购：2025 年度本部门未安排政府采购预算，无政府采购相关的执行事项。</w:t>
      </w:r>
    </w:p>
    <w:p w14:paraId="4131983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cs="Nimbus Roman"/>
          <w:color w:val="000000"/>
          <w:kern w:val="0"/>
          <w:sz w:val="32"/>
          <w:szCs w:val="32"/>
          <w:shd w:val="clear" w:color="auto" w:fill="FFFFFF"/>
        </w:rPr>
      </w:pPr>
      <w:r>
        <w:rPr>
          <w:rFonts w:hint="default" w:ascii="Nimbus Roman" w:hAnsi="Nimbus Roman" w:cs="Nimbus Roman"/>
          <w:sz w:val="32"/>
          <w:szCs w:val="32"/>
        </w:rPr>
        <w:t>5.政府购买服务：本年度未涉及政府购买服务相关的项目及执行内容。</w:t>
      </w:r>
    </w:p>
    <w:p w14:paraId="3A71EEF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Nimbus Roman" w:hAnsi="Nimbus Roman" w:eastAsia="楷体_GB2312" w:cs="Nimbus Roman"/>
          <w:b/>
          <w:bCs/>
          <w:sz w:val="32"/>
          <w:szCs w:val="32"/>
          <w:lang w:val="zh-CN"/>
        </w:rPr>
      </w:pPr>
      <w:r>
        <w:rPr>
          <w:rFonts w:hint="default" w:ascii="Nimbus Roman" w:hAnsi="Nimbus Roman" w:eastAsia="楷体_GB2312" w:cs="Nimbus Roman"/>
          <w:b/>
          <w:bCs/>
          <w:sz w:val="32"/>
          <w:szCs w:val="32"/>
          <w:lang w:val="zh-CN"/>
        </w:rPr>
        <w:t>（四）绩效结果应用情况。</w:t>
      </w:r>
    </w:p>
    <w:p w14:paraId="3D2E511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cs="Nimbus Roman"/>
          <w:color w:val="000000"/>
          <w:kern w:val="0"/>
          <w:sz w:val="32"/>
          <w:szCs w:val="32"/>
          <w:shd w:val="clear" w:color="auto" w:fill="FFFFFF"/>
          <w:lang w:val="zh-CN"/>
        </w:rPr>
        <w:t>1.内部应用情况：将绩效自评结果作为下一年度预算编制的核心依据，结合绩效评价结果优化 2025 年项目设置与预算安排，同时将绩效结果与内部科室工作考核挂钩，强化业务科室的绩效意识。</w:t>
      </w:r>
    </w:p>
    <w:p w14:paraId="2C2F85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cs="Nimbus Roman"/>
          <w:color w:val="000000"/>
          <w:kern w:val="0"/>
          <w:sz w:val="32"/>
          <w:szCs w:val="32"/>
          <w:shd w:val="clear" w:color="auto" w:fill="FFFFFF"/>
          <w:lang w:val="zh-CN"/>
        </w:rPr>
        <w:t>2.信息公开情况：严格按照预算绩效管理信息公开要求，在区政府门户网站及时公开 2025 年部门预算、绩效目标申报表，后续将按要求公开年度决算、绩效自评报告等信息，主动接受社会监督，公开内容完整、规范，符合信息公开的相关规定。</w:t>
      </w:r>
    </w:p>
    <w:p w14:paraId="104B4D5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cs="Nimbus Roman"/>
          <w:b/>
          <w:sz w:val="32"/>
          <w:szCs w:val="32"/>
        </w:rPr>
      </w:pPr>
      <w:r>
        <w:rPr>
          <w:rFonts w:hint="default" w:ascii="Nimbus Roman" w:hAnsi="Nimbus Roman" w:cs="Nimbus Roman"/>
          <w:color w:val="000000"/>
          <w:kern w:val="0"/>
          <w:sz w:val="32"/>
          <w:szCs w:val="32"/>
          <w:shd w:val="clear" w:color="auto" w:fill="FFFFFF"/>
          <w:lang w:val="zh-CN"/>
        </w:rPr>
        <w:t>3.整改反馈情况：针对上一年度绩效自评发现的《粮食流通管理条例》宣传力度不足、工作开展记录不完整等问题，2025 年度制定了专项整改措施，加大了粮食政策宣传力度，完善了工作台账记录制度；同时针对绩效评价中发现的管理短板，进一步完善了内部财务管理制度，加强了预算执行的动态监控，确保问题整改到位，持续提升预算绩效管理水平。</w:t>
      </w:r>
    </w:p>
    <w:p w14:paraId="4D438407">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textAlignment w:val="auto"/>
        <w:rPr>
          <w:rFonts w:hint="default" w:ascii="Nimbus Roman" w:hAnsi="Nimbus Roman" w:eastAsia="黑体" w:cs="Nimbus Roman"/>
          <w:color w:val="000000"/>
          <w:kern w:val="0"/>
          <w:sz w:val="32"/>
          <w:szCs w:val="32"/>
          <w:shd w:val="clear" w:color="auto" w:fill="FFFFFF"/>
        </w:rPr>
      </w:pPr>
      <w:r>
        <w:rPr>
          <w:rFonts w:hint="default" w:ascii="Nimbus Roman" w:hAnsi="Nimbus Roman" w:eastAsia="黑体" w:cs="Nimbus Roman"/>
          <w:color w:val="000000"/>
          <w:kern w:val="0"/>
          <w:sz w:val="32"/>
          <w:szCs w:val="32"/>
          <w:shd w:val="clear" w:color="auto" w:fill="FFFFFF"/>
        </w:rPr>
        <w:t>四、评价结论及建议</w:t>
      </w:r>
    </w:p>
    <w:p w14:paraId="383C9C0F">
      <w:pPr>
        <w:keepNext w:val="0"/>
        <w:keepLines w:val="0"/>
        <w:pageBreakBefore w:val="0"/>
        <w:kinsoku/>
        <w:wordWrap/>
        <w:overflowPunct/>
        <w:topLinePunct w:val="0"/>
        <w:autoSpaceDE/>
        <w:autoSpaceDN/>
        <w:bidi w:val="0"/>
        <w:adjustRightInd/>
        <w:snapToGrid/>
        <w:spacing w:line="560" w:lineRule="exact"/>
        <w:ind w:firstLine="643" w:firstLineChars="200"/>
        <w:contextualSpacing/>
        <w:textAlignment w:val="auto"/>
        <w:rPr>
          <w:rFonts w:hint="default" w:ascii="Nimbus Roman" w:hAnsi="Nimbus Roman" w:eastAsia="楷体_GB2312" w:cs="Nimbus Roman"/>
          <w:b/>
          <w:bCs/>
          <w:color w:val="000000"/>
          <w:kern w:val="0"/>
          <w:sz w:val="32"/>
          <w:szCs w:val="32"/>
          <w:shd w:val="clear" w:color="auto" w:fill="FFFFFF"/>
          <w:lang w:val="zh-CN"/>
        </w:rPr>
      </w:pPr>
      <w:bookmarkStart w:id="0" w:name="_Hlk110546638"/>
      <w:r>
        <w:rPr>
          <w:rFonts w:hint="default" w:ascii="Nimbus Roman" w:hAnsi="Nimbus Roman" w:eastAsia="楷体_GB2312" w:cs="Nimbus Roman"/>
          <w:b/>
          <w:bCs/>
          <w:color w:val="000000"/>
          <w:kern w:val="0"/>
          <w:sz w:val="32"/>
          <w:szCs w:val="32"/>
          <w:shd w:val="clear" w:color="auto" w:fill="FFFFFF"/>
          <w:lang w:val="zh-CN"/>
        </w:rPr>
        <w:t>（一）评价结论。</w:t>
      </w:r>
    </w:p>
    <w:p w14:paraId="04FD20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cs="Nimbus Roman"/>
          <w:color w:val="000000"/>
          <w:kern w:val="0"/>
          <w:sz w:val="32"/>
          <w:szCs w:val="32"/>
          <w:shd w:val="clear" w:color="auto" w:fill="FFFFFF"/>
          <w:lang w:val="zh-CN"/>
        </w:rPr>
        <w:t>根据考核评分细则，我单位严格按照国家的相关财务管理制度规定，财务制度健全、会计核算规范，依照计划管理使用。按照部门整体支出绩效评价指标体系对照打分得出结果，分数为9</w:t>
      </w:r>
      <w:r>
        <w:rPr>
          <w:rFonts w:hint="eastAsia" w:ascii="Nimbus Roman" w:hAnsi="Nimbus Roman" w:cs="Nimbus Roman"/>
          <w:color w:val="000000"/>
          <w:kern w:val="0"/>
          <w:sz w:val="32"/>
          <w:szCs w:val="32"/>
          <w:shd w:val="clear" w:color="auto" w:fill="FFFFFF"/>
          <w:lang w:val="en-US" w:eastAsia="zh-CN"/>
        </w:rPr>
        <w:t>8</w:t>
      </w:r>
      <w:r>
        <w:rPr>
          <w:rFonts w:hint="default" w:ascii="Nimbus Roman" w:hAnsi="Nimbus Roman" w:cs="Nimbus Roman"/>
          <w:color w:val="000000"/>
          <w:kern w:val="0"/>
          <w:sz w:val="32"/>
          <w:szCs w:val="32"/>
          <w:shd w:val="clear" w:color="auto" w:fill="FFFFFF"/>
          <w:lang w:val="zh-CN"/>
        </w:rPr>
        <w:t>分。</w:t>
      </w:r>
    </w:p>
    <w:p w14:paraId="1CC488C9">
      <w:pPr>
        <w:keepNext w:val="0"/>
        <w:keepLines w:val="0"/>
        <w:pageBreakBefore w:val="0"/>
        <w:kinsoku/>
        <w:wordWrap/>
        <w:overflowPunct/>
        <w:topLinePunct w:val="0"/>
        <w:autoSpaceDE/>
        <w:autoSpaceDN/>
        <w:bidi w:val="0"/>
        <w:adjustRightInd/>
        <w:snapToGrid/>
        <w:spacing w:line="560" w:lineRule="exact"/>
        <w:ind w:firstLine="643" w:firstLineChars="200"/>
        <w:contextualSpacing/>
        <w:textAlignment w:val="auto"/>
        <w:rPr>
          <w:rFonts w:hint="default" w:ascii="Nimbus Roman" w:hAnsi="Nimbus Roman" w:eastAsia="楷体_GB2312" w:cs="Nimbus Roman"/>
          <w:b/>
          <w:bCs/>
          <w:color w:val="000000"/>
          <w:kern w:val="0"/>
          <w:sz w:val="32"/>
          <w:szCs w:val="32"/>
          <w:shd w:val="clear" w:color="auto" w:fill="FFFFFF"/>
          <w:lang w:val="zh-CN"/>
        </w:rPr>
      </w:pPr>
      <w:r>
        <w:rPr>
          <w:rFonts w:hint="default" w:ascii="Nimbus Roman" w:hAnsi="Nimbus Roman" w:eastAsia="楷体_GB2312" w:cs="Nimbus Roman"/>
          <w:b/>
          <w:bCs/>
          <w:color w:val="000000"/>
          <w:kern w:val="0"/>
          <w:sz w:val="32"/>
          <w:szCs w:val="32"/>
          <w:shd w:val="clear" w:color="auto" w:fill="FFFFFF"/>
          <w:lang w:val="zh-CN"/>
        </w:rPr>
        <w:t>（二）存在问题。</w:t>
      </w:r>
    </w:p>
    <w:p w14:paraId="673236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cs="Nimbus Roman"/>
          <w:color w:val="000000"/>
          <w:kern w:val="0"/>
          <w:sz w:val="32"/>
          <w:szCs w:val="32"/>
          <w:shd w:val="clear" w:color="auto" w:fill="FFFFFF"/>
          <w:lang w:val="zh-CN"/>
        </w:rPr>
        <w:t>1.《粮食流通管理条例》宣传力度不够，群众特别是个别粮食经营户对粮油行政执法工作不理解。</w:t>
      </w:r>
    </w:p>
    <w:p w14:paraId="533C23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cs="Nimbus Roman"/>
          <w:color w:val="000000"/>
          <w:kern w:val="0"/>
          <w:sz w:val="32"/>
          <w:szCs w:val="32"/>
          <w:shd w:val="clear" w:color="auto" w:fill="FFFFFF"/>
          <w:lang w:val="zh-CN"/>
        </w:rPr>
        <w:t>2.工作开展情况记录不完整。</w:t>
      </w:r>
    </w:p>
    <w:p w14:paraId="4C49B531">
      <w:pPr>
        <w:keepNext w:val="0"/>
        <w:keepLines w:val="0"/>
        <w:pageBreakBefore w:val="0"/>
        <w:kinsoku/>
        <w:wordWrap/>
        <w:overflowPunct/>
        <w:topLinePunct w:val="0"/>
        <w:autoSpaceDE/>
        <w:autoSpaceDN/>
        <w:bidi w:val="0"/>
        <w:adjustRightInd/>
        <w:snapToGrid/>
        <w:spacing w:line="560" w:lineRule="exact"/>
        <w:ind w:firstLine="643" w:firstLineChars="200"/>
        <w:contextualSpacing/>
        <w:textAlignment w:val="auto"/>
        <w:rPr>
          <w:rFonts w:hint="default" w:ascii="Nimbus Roman" w:hAnsi="Nimbus Roman" w:eastAsia="楷体_GB2312" w:cs="Nimbus Roman"/>
          <w:b/>
          <w:bCs/>
          <w:color w:val="000000"/>
          <w:kern w:val="0"/>
          <w:sz w:val="32"/>
          <w:szCs w:val="32"/>
          <w:shd w:val="clear" w:color="auto" w:fill="FFFFFF"/>
          <w:lang w:val="zh-CN"/>
        </w:rPr>
      </w:pPr>
      <w:r>
        <w:rPr>
          <w:rFonts w:hint="default" w:ascii="Nimbus Roman" w:hAnsi="Nimbus Roman" w:eastAsia="楷体_GB2312" w:cs="Nimbus Roman"/>
          <w:b/>
          <w:bCs/>
          <w:color w:val="000000"/>
          <w:kern w:val="0"/>
          <w:sz w:val="32"/>
          <w:szCs w:val="32"/>
          <w:shd w:val="clear" w:color="auto" w:fill="FFFFFF"/>
          <w:lang w:val="zh-CN"/>
        </w:rPr>
        <w:t>（三）改进建议。</w:t>
      </w:r>
    </w:p>
    <w:p w14:paraId="4B6444E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Nimbus Roman" w:hAnsi="Nimbus Roman" w:cs="Nimbus Roman"/>
          <w:color w:val="000000"/>
          <w:kern w:val="0"/>
          <w:sz w:val="32"/>
          <w:szCs w:val="32"/>
          <w:shd w:val="clear" w:color="auto" w:fill="FFFFFF"/>
          <w:lang w:val="zh-CN"/>
        </w:rPr>
      </w:pPr>
      <w:r>
        <w:rPr>
          <w:rFonts w:hint="default" w:ascii="Nimbus Roman" w:hAnsi="Nimbus Roman" w:cs="Nimbus Roman"/>
          <w:color w:val="000000"/>
          <w:kern w:val="0"/>
          <w:sz w:val="32"/>
          <w:szCs w:val="32"/>
          <w:shd w:val="clear" w:color="auto" w:fill="FFFFFF"/>
          <w:lang w:val="zh-CN"/>
        </w:rPr>
        <w:t>1.年初预算时，加强部门与财政的沟通，继续执行预算三上三下程序，既厉行节约，又保证必需。</w:t>
      </w:r>
    </w:p>
    <w:p w14:paraId="744460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eastAsia="黑体"/>
          <w:sz w:val="33"/>
          <w:szCs w:val="33"/>
        </w:rPr>
      </w:pPr>
      <w:r>
        <w:rPr>
          <w:rFonts w:hint="default" w:ascii="Nimbus Roman" w:hAnsi="Nimbus Roman" w:cs="Nimbus Roman"/>
          <w:color w:val="000000"/>
          <w:kern w:val="0"/>
          <w:sz w:val="32"/>
          <w:szCs w:val="32"/>
          <w:shd w:val="clear" w:color="auto" w:fill="FFFFFF"/>
          <w:lang w:val="zh-CN"/>
        </w:rPr>
        <w:t>2.继续完善部门内财政管理方面的制度，加强财务管理，充分发挥财政资金的经济效益和社会效益。</w:t>
      </w:r>
      <w:bookmarkEnd w:id="0"/>
    </w:p>
    <w:p w14:paraId="2002C60E">
      <w:pPr>
        <w:spacing w:line="590" w:lineRule="exact"/>
        <w:ind w:firstLine="660" w:firstLineChars="200"/>
        <w:rPr>
          <w:color w:val="000000"/>
          <w:kern w:val="0"/>
          <w:sz w:val="33"/>
          <w:szCs w:val="33"/>
          <w:shd w:val="clear" w:color="auto" w:fill="FFFFFF"/>
        </w:rPr>
      </w:pPr>
      <w:bookmarkStart w:id="1" w:name="_GoBack"/>
      <w:bookmarkEnd w:id="1"/>
      <w:r>
        <w:rPr>
          <w:rFonts w:hint="eastAsia"/>
          <w:color w:val="000000"/>
          <w:kern w:val="0"/>
          <w:sz w:val="33"/>
          <w:szCs w:val="33"/>
          <w:shd w:val="clear" w:color="auto" w:fill="FFFFFF"/>
        </w:rPr>
        <w:t>附表</w:t>
      </w:r>
      <w:r>
        <w:rPr>
          <w:rFonts w:hint="eastAsia"/>
          <w:color w:val="000000"/>
          <w:kern w:val="0"/>
          <w:sz w:val="33"/>
          <w:szCs w:val="33"/>
          <w:shd w:val="clear" w:color="auto" w:fill="FFFFFF"/>
          <w:lang w:eastAsia="zh-CN"/>
        </w:rPr>
        <w:t>：</w:t>
      </w:r>
      <w:r>
        <w:rPr>
          <w:color w:val="000000"/>
          <w:kern w:val="0"/>
          <w:sz w:val="33"/>
          <w:szCs w:val="33"/>
          <w:shd w:val="clear" w:color="auto" w:fill="FFFFFF"/>
        </w:rPr>
        <w:t>部门整体支出绩效目标完成情况自评表</w:t>
      </w:r>
    </w:p>
    <w:p w14:paraId="4E76E24B">
      <w:pPr>
        <w:spacing w:line="590" w:lineRule="exact"/>
        <w:ind w:firstLine="660" w:firstLineChars="200"/>
        <w:rPr>
          <w:color w:val="000000"/>
          <w:kern w:val="0"/>
          <w:sz w:val="33"/>
          <w:szCs w:val="33"/>
          <w:shd w:val="clear" w:color="auto" w:fill="FFFFFF"/>
        </w:rPr>
      </w:pPr>
    </w:p>
    <w:p w14:paraId="66BD4CAA">
      <w:pPr>
        <w:spacing w:line="590" w:lineRule="exact"/>
        <w:ind w:firstLine="660" w:firstLineChars="200"/>
        <w:jc w:val="right"/>
        <w:rPr>
          <w:rFonts w:hint="eastAsia"/>
          <w:color w:val="000000"/>
          <w:kern w:val="0"/>
          <w:sz w:val="33"/>
          <w:szCs w:val="33"/>
          <w:shd w:val="clear" w:color="auto" w:fill="FFFFFF"/>
          <w:lang w:eastAsia="zh-CN"/>
        </w:rPr>
      </w:pPr>
      <w:r>
        <w:rPr>
          <w:rFonts w:hint="eastAsia"/>
          <w:color w:val="000000"/>
          <w:kern w:val="0"/>
          <w:sz w:val="33"/>
          <w:szCs w:val="33"/>
          <w:shd w:val="clear" w:color="auto" w:fill="FFFFFF"/>
          <w:lang w:eastAsia="zh-CN"/>
        </w:rPr>
        <w:t>乐山市金口河区粮食和物资储备中心</w:t>
      </w:r>
    </w:p>
    <w:p w14:paraId="0950BBA4">
      <w:pPr>
        <w:keepNext w:val="0"/>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default" w:ascii="Nimbus Roman" w:hAnsi="Nimbus Roman" w:cs="Nimbus Roman"/>
          <w:color w:val="000000"/>
          <w:kern w:val="0"/>
          <w:sz w:val="32"/>
          <w:szCs w:val="32"/>
          <w:shd w:val="clear" w:color="auto" w:fill="FFFFFF"/>
          <w:lang w:val="en-US" w:eastAsia="zh-CN"/>
        </w:rPr>
      </w:pPr>
      <w:r>
        <w:rPr>
          <w:rFonts w:hint="eastAsia" w:ascii="Nimbus Roman" w:hAnsi="Nimbus Roman" w:cs="Nimbus Roman"/>
          <w:color w:val="000000"/>
          <w:kern w:val="0"/>
          <w:sz w:val="32"/>
          <w:szCs w:val="32"/>
          <w:shd w:val="clear" w:color="auto" w:fill="FFFFFF"/>
          <w:lang w:val="en-US" w:eastAsia="zh-CN"/>
        </w:rPr>
        <w:t xml:space="preserve">2026年5月18日    </w:t>
      </w:r>
    </w:p>
    <w:p w14:paraId="1ABE1ED6">
      <w:pPr>
        <w:widowControl/>
        <w:jc w:val="left"/>
        <w:rPr>
          <w:rFonts w:hint="eastAsia" w:eastAsia="仿宋_GB2312"/>
          <w:color w:val="000000"/>
          <w:kern w:val="0"/>
          <w:sz w:val="33"/>
          <w:szCs w:val="33"/>
          <w:shd w:val="clear" w:color="auto" w:fill="FFFFFF"/>
          <w:lang w:val="en-US" w:eastAsia="zh-CN"/>
        </w:rPr>
      </w:pPr>
      <w:r>
        <w:rPr>
          <w:color w:val="000000"/>
          <w:kern w:val="0"/>
          <w:sz w:val="33"/>
          <w:szCs w:val="33"/>
          <w:shd w:val="clear" w:color="auto" w:fill="FFFFFF"/>
        </w:rPr>
        <w:br w:type="page"/>
      </w:r>
      <w:r>
        <w:rPr>
          <w:rFonts w:hint="eastAsia"/>
          <w:color w:val="000000"/>
          <w:kern w:val="0"/>
          <w:sz w:val="33"/>
          <w:szCs w:val="33"/>
          <w:shd w:val="clear" w:color="auto" w:fill="FFFFFF"/>
          <w:lang w:val="en-US" w:eastAsia="zh-CN"/>
        </w:rPr>
        <w:t xml:space="preserve"> </w:t>
      </w:r>
    </w:p>
    <w:p w14:paraId="671C289E">
      <w:pPr>
        <w:spacing w:line="590" w:lineRule="exact"/>
        <w:ind w:left="-566" w:leftChars="-177" w:firstLine="640" w:firstLineChars="200"/>
      </w:pPr>
      <w:r>
        <w:rPr>
          <w:rFonts w:hint="eastAsia" w:eastAsia="黑体" w:cs="黑体"/>
        </w:rPr>
        <w:t>附表</w:t>
      </w:r>
    </w:p>
    <w:tbl>
      <w:tblPr>
        <w:tblStyle w:val="11"/>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14:paraId="03E13BB8">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14:paraId="5A88EAB8">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14:paraId="2B0D93A7">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14:paraId="1354F4CF">
            <w:pPr>
              <w:widowControl/>
              <w:spacing w:line="300" w:lineRule="exact"/>
              <w:jc w:val="center"/>
              <w:textAlignment w:val="center"/>
              <w:rPr>
                <w:rFonts w:hint="default" w:ascii="Nimbus Roman" w:hAnsi="Nimbus Roman" w:eastAsia="宋体" w:cs="Nimbus Roman"/>
                <w:color w:val="000000"/>
                <w:sz w:val="28"/>
                <w:szCs w:val="28"/>
              </w:rPr>
            </w:pPr>
            <w:r>
              <w:rPr>
                <w:rFonts w:hint="default" w:ascii="Nimbus Roman" w:hAnsi="Nimbus Roman" w:eastAsia="宋体" w:cs="Nimbus Roman"/>
                <w:color w:val="000000"/>
                <w:kern w:val="0"/>
                <w:sz w:val="28"/>
                <w:szCs w:val="28"/>
                <w:lang w:bidi="ar"/>
              </w:rPr>
              <w:t>（2025年度）</w:t>
            </w:r>
          </w:p>
        </w:tc>
      </w:tr>
      <w:tr w14:paraId="78A943D8">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14:paraId="4A9BE5D9">
            <w:pPr>
              <w:widowControl/>
              <w:spacing w:line="300" w:lineRule="exact"/>
              <w:jc w:val="right"/>
              <w:textAlignment w:val="center"/>
              <w:rPr>
                <w:rFonts w:hint="default" w:ascii="Nimbus Roman" w:hAnsi="Nimbus Roman" w:eastAsia="宋体" w:cs="Nimbus Roman"/>
                <w:color w:val="000000"/>
                <w:sz w:val="21"/>
                <w:szCs w:val="21"/>
              </w:rPr>
            </w:pPr>
            <w:r>
              <w:rPr>
                <w:rFonts w:hint="default" w:ascii="Nimbus Roman" w:hAnsi="Nimbus Roman" w:eastAsia="宋体" w:cs="Nimbus Roman"/>
                <w:color w:val="000000"/>
                <w:kern w:val="0"/>
                <w:sz w:val="21"/>
                <w:szCs w:val="21"/>
                <w:lang w:bidi="ar"/>
              </w:rPr>
              <w:t>单位：万元</w:t>
            </w:r>
          </w:p>
        </w:tc>
      </w:tr>
      <w:tr w14:paraId="7208B424">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C3B1B">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4E44FD">
            <w:pPr>
              <w:widowControl/>
              <w:spacing w:line="300" w:lineRule="exact"/>
              <w:jc w:val="center"/>
              <w:textAlignment w:val="center"/>
              <w:rPr>
                <w:rFonts w:hint="eastAsia" w:ascii="Nimbus Roman" w:hAnsi="Nimbus Roman" w:eastAsia="宋体" w:cs="Nimbus Roman"/>
                <w:color w:val="000000"/>
                <w:sz w:val="24"/>
                <w:lang w:eastAsia="zh-CN"/>
              </w:rPr>
            </w:pPr>
            <w:r>
              <w:rPr>
                <w:rFonts w:hint="eastAsia" w:ascii="Nimbus Roman" w:hAnsi="Nimbus Roman" w:eastAsia="宋体" w:cs="Nimbus Roman"/>
                <w:color w:val="000000"/>
                <w:kern w:val="0"/>
                <w:sz w:val="24"/>
                <w:lang w:eastAsia="zh-CN" w:bidi="ar"/>
              </w:rPr>
              <w:t>乐山市金口河区粮食和物资储备中心</w:t>
            </w:r>
          </w:p>
        </w:tc>
      </w:tr>
      <w:tr w14:paraId="711EA1C5">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D5397">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689C9B">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9C2DE">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35186A">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其他资金</w:t>
            </w:r>
          </w:p>
        </w:tc>
      </w:tr>
      <w:tr w14:paraId="032E4A0B">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029F1">
            <w:pPr>
              <w:widowControl/>
              <w:spacing w:line="300" w:lineRule="exact"/>
              <w:jc w:val="center"/>
              <w:rPr>
                <w:rFonts w:hint="default" w:ascii="Nimbus Roman" w:hAnsi="Nimbus Roman" w:eastAsia="宋体" w:cs="Nimbus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1CB96">
            <w:pPr>
              <w:widowControl/>
              <w:spacing w:line="300" w:lineRule="exact"/>
              <w:jc w:val="center"/>
              <w:textAlignment w:val="center"/>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kern w:val="0"/>
                <w:sz w:val="24"/>
                <w:lang w:val="en-US" w:eastAsia="zh-CN" w:bidi="ar"/>
              </w:rPr>
              <w:t>262.77</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E0E03">
            <w:pPr>
              <w:widowControl/>
              <w:spacing w:line="300" w:lineRule="exact"/>
              <w:jc w:val="center"/>
              <w:textAlignment w:val="center"/>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kern w:val="0"/>
                <w:sz w:val="24"/>
                <w:lang w:val="en-US" w:eastAsia="zh-CN" w:bidi="ar"/>
              </w:rPr>
              <w:t>262.77</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ED38D0">
            <w:pPr>
              <w:widowControl/>
              <w:spacing w:line="300" w:lineRule="exact"/>
              <w:jc w:val="center"/>
              <w:textAlignment w:val="center"/>
              <w:rPr>
                <w:rFonts w:hint="eastAsia" w:ascii="Nimbus Roman" w:hAnsi="Nimbus Roman" w:eastAsia="宋体" w:cs="Nimbus Roman"/>
                <w:color w:val="000000"/>
                <w:sz w:val="24"/>
                <w:lang w:eastAsia="zh-CN"/>
              </w:rPr>
            </w:pPr>
            <w:r>
              <w:rPr>
                <w:rFonts w:hint="eastAsia" w:ascii="Nimbus Roman" w:hAnsi="Nimbus Roman" w:eastAsia="宋体" w:cs="Nimbus Roman"/>
                <w:color w:val="000000"/>
                <w:kern w:val="0"/>
                <w:sz w:val="24"/>
                <w:lang w:val="en-US" w:eastAsia="zh-CN" w:bidi="ar"/>
              </w:rPr>
              <w:t>0</w:t>
            </w:r>
          </w:p>
        </w:tc>
      </w:tr>
      <w:tr w14:paraId="48C60058">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28FD">
            <w:pPr>
              <w:widowControl/>
              <w:spacing w:line="300" w:lineRule="exact"/>
              <w:jc w:val="center"/>
              <w:textAlignment w:val="center"/>
              <w:rPr>
                <w:rFonts w:hint="default" w:ascii="Nimbus Roman" w:hAnsi="Nimbus Roman" w:eastAsia="宋体" w:cs="Nimbus Roman"/>
                <w:color w:val="000000"/>
                <w:kern w:val="0"/>
                <w:sz w:val="24"/>
                <w:lang w:bidi="ar"/>
              </w:rPr>
            </w:pPr>
            <w:r>
              <w:rPr>
                <w:rFonts w:hint="default" w:ascii="Nimbus Roman" w:hAnsi="Nimbus Roman" w:eastAsia="宋体" w:cs="Nimbus Roman"/>
                <w:color w:val="000000"/>
                <w:kern w:val="0"/>
                <w:sz w:val="24"/>
                <w:lang w:bidi="ar"/>
              </w:rPr>
              <w:t>年度总体</w:t>
            </w:r>
          </w:p>
          <w:p w14:paraId="5014F986">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5822E3">
            <w:pPr>
              <w:widowControl/>
              <w:spacing w:line="300" w:lineRule="exact"/>
              <w:jc w:val="left"/>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保管100吨大米、10吨菜籽油、2000吨稻谷。</w:t>
            </w:r>
          </w:p>
        </w:tc>
      </w:tr>
      <w:tr w14:paraId="6A300BE5">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ACBB1B">
            <w:pPr>
              <w:widowControl/>
              <w:spacing w:line="300" w:lineRule="exact"/>
              <w:jc w:val="center"/>
              <w:textAlignment w:val="center"/>
              <w:rPr>
                <w:rFonts w:hint="default" w:ascii="Nimbus Roman" w:hAnsi="Nimbus Roman" w:eastAsia="宋体" w:cs="Nimbus Roman"/>
                <w:color w:val="000000"/>
                <w:kern w:val="0"/>
                <w:sz w:val="24"/>
                <w:lang w:bidi="ar"/>
              </w:rPr>
            </w:pPr>
            <w:r>
              <w:rPr>
                <w:rFonts w:hint="default" w:ascii="Nimbus Roman" w:hAnsi="Nimbus Roman" w:eastAsia="宋体" w:cs="Nimbus Roman"/>
                <w:color w:val="000000"/>
                <w:kern w:val="0"/>
                <w:sz w:val="24"/>
                <w:lang w:bidi="ar"/>
              </w:rPr>
              <w:t>年度主要</w:t>
            </w:r>
          </w:p>
          <w:p w14:paraId="0CF7842D">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D55A6">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5B07BA">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主要内容</w:t>
            </w:r>
          </w:p>
        </w:tc>
      </w:tr>
      <w:tr w14:paraId="19EA9133">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6DE06">
            <w:pPr>
              <w:widowControl/>
              <w:spacing w:line="300" w:lineRule="exact"/>
              <w:jc w:val="center"/>
              <w:rPr>
                <w:rFonts w:hint="default" w:ascii="Nimbus Roman" w:hAnsi="Nimbus Roman" w:eastAsia="宋体" w:cs="Nimbus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B34D1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10吨成品油轮换采购资金及保管费</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FC0AA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采购资金及保管费</w:t>
            </w:r>
          </w:p>
        </w:tc>
      </w:tr>
      <w:tr w14:paraId="2DC9D707">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C61C4">
            <w:pPr>
              <w:widowControl/>
              <w:spacing w:line="300" w:lineRule="exact"/>
              <w:jc w:val="center"/>
              <w:rPr>
                <w:rFonts w:hint="default" w:ascii="Nimbus Roman" w:hAnsi="Nimbus Roman" w:eastAsia="宋体" w:cs="Nimbus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696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100吨大米保管费用</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40E94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大米保管费用</w:t>
            </w:r>
          </w:p>
        </w:tc>
      </w:tr>
      <w:tr w14:paraId="589CBEC4">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2B56F">
            <w:pPr>
              <w:widowControl/>
              <w:spacing w:line="300" w:lineRule="exact"/>
              <w:jc w:val="center"/>
              <w:rPr>
                <w:rFonts w:hint="default" w:ascii="Nimbus Roman" w:hAnsi="Nimbus Roman" w:eastAsia="宋体" w:cs="Nimbus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D70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100吨大米轮换费用</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A61A3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大米轮换费用</w:t>
            </w:r>
          </w:p>
        </w:tc>
      </w:tr>
      <w:tr w14:paraId="2B2448B2">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72334">
            <w:pPr>
              <w:widowControl/>
              <w:spacing w:line="300" w:lineRule="exact"/>
              <w:jc w:val="center"/>
              <w:rPr>
                <w:rFonts w:hint="default" w:ascii="Nimbus Roman" w:hAnsi="Nimbus Roman" w:eastAsia="宋体" w:cs="Nimbus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E2F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储备库租金</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1CB79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储备库租金</w:t>
            </w:r>
          </w:p>
        </w:tc>
      </w:tr>
      <w:tr w14:paraId="3FCEA9BE">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DD9A">
            <w:pPr>
              <w:widowControl/>
              <w:spacing w:line="300" w:lineRule="exact"/>
              <w:jc w:val="center"/>
              <w:rPr>
                <w:rFonts w:hint="default" w:ascii="Nimbus Roman" w:hAnsi="Nimbus Roman" w:eastAsia="宋体" w:cs="Nimbus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C31C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储备粮食费用</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2D129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储备粮食费用</w:t>
            </w:r>
          </w:p>
        </w:tc>
      </w:tr>
      <w:tr w14:paraId="68A301B0">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5F7B6">
            <w:pPr>
              <w:widowControl/>
              <w:spacing w:line="300" w:lineRule="exact"/>
              <w:jc w:val="center"/>
              <w:rPr>
                <w:rFonts w:hint="default" w:ascii="Nimbus Roman" w:hAnsi="Nimbus Roman" w:eastAsia="宋体" w:cs="Nimbus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E2A0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退休人员事务</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B9C73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退休人员事务</w:t>
            </w:r>
          </w:p>
        </w:tc>
      </w:tr>
      <w:tr w14:paraId="6A9B1757">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27680">
            <w:pPr>
              <w:widowControl/>
              <w:spacing w:line="300" w:lineRule="exact"/>
              <w:jc w:val="center"/>
              <w:rPr>
                <w:rFonts w:hint="default" w:ascii="Nimbus Roman" w:hAnsi="Nimbus Roman" w:eastAsia="宋体" w:cs="Nimbus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3FB40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应急物资保管费用</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A4AA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应急物资保管费用</w:t>
            </w:r>
          </w:p>
        </w:tc>
      </w:tr>
      <w:tr w14:paraId="61E2CE35">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69F27">
            <w:pPr>
              <w:widowControl/>
              <w:spacing w:line="300" w:lineRule="exact"/>
              <w:jc w:val="center"/>
              <w:rPr>
                <w:rFonts w:hint="default" w:ascii="Nimbus Roman" w:hAnsi="Nimbus Roman" w:eastAsia="宋体" w:cs="Nimbus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7ADE4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执法、统计事务</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CD29F4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执法、统计事务</w:t>
            </w:r>
          </w:p>
        </w:tc>
      </w:tr>
      <w:tr w14:paraId="4CA769D6">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C8C6A">
            <w:pPr>
              <w:widowControl/>
              <w:spacing w:line="300" w:lineRule="exact"/>
              <w:jc w:val="center"/>
              <w:rPr>
                <w:rFonts w:hint="default" w:ascii="Nimbus Roman" w:hAnsi="Nimbus Roman" w:eastAsia="宋体" w:cs="Nimbus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F2DA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基本支出</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600F3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基本支出</w:t>
            </w:r>
          </w:p>
        </w:tc>
      </w:tr>
      <w:tr w14:paraId="65AE3E2E">
        <w:tblPrEx>
          <w:tblCellMar>
            <w:top w:w="15" w:type="dxa"/>
            <w:left w:w="15" w:type="dxa"/>
            <w:bottom w:w="15" w:type="dxa"/>
            <w:right w:w="15" w:type="dxa"/>
          </w:tblCellMar>
        </w:tblPrEx>
        <w:trPr>
          <w:trHeight w:val="441"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4B3E2">
            <w:pPr>
              <w:widowControl/>
              <w:spacing w:line="300" w:lineRule="exact"/>
              <w:jc w:val="center"/>
              <w:rPr>
                <w:rFonts w:hint="default" w:ascii="Nimbus Roman" w:hAnsi="Nimbus Roman" w:eastAsia="宋体" w:cs="Nimbus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2697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default" w:ascii="Nimbus Roman" w:hAnsi="Nimbus Roman" w:eastAsia="宋体" w:cs="Nimbus Roman"/>
                <w:color w:val="000000"/>
                <w:kern w:val="2"/>
                <w:sz w:val="21"/>
                <w:szCs w:val="21"/>
                <w:lang w:val="en-US" w:eastAsia="zh-CN" w:bidi="ar-SA"/>
              </w:rPr>
              <w:t>军供储备点购置资金</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9F2C8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default" w:ascii="Nimbus Roman" w:hAnsi="Nimbus Roman" w:eastAsia="宋体" w:cs="Nimbus Roman"/>
                <w:color w:val="000000"/>
                <w:kern w:val="2"/>
                <w:sz w:val="21"/>
                <w:szCs w:val="21"/>
                <w:lang w:val="en-US" w:eastAsia="zh-CN" w:bidi="ar-SA"/>
              </w:rPr>
              <w:t>军供储备点购置资金</w:t>
            </w:r>
          </w:p>
        </w:tc>
      </w:tr>
      <w:tr w14:paraId="223EB985">
        <w:tblPrEx>
          <w:tblCellMar>
            <w:top w:w="15" w:type="dxa"/>
            <w:left w:w="15" w:type="dxa"/>
            <w:bottom w:w="15" w:type="dxa"/>
            <w:right w:w="15" w:type="dxa"/>
          </w:tblCellMar>
        </w:tblPrEx>
        <w:trPr>
          <w:trHeight w:val="441"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8F736">
            <w:pPr>
              <w:widowControl/>
              <w:spacing w:line="300" w:lineRule="exact"/>
              <w:jc w:val="center"/>
              <w:rPr>
                <w:rFonts w:hint="default" w:ascii="Nimbus Roman" w:hAnsi="Nimbus Roman" w:eastAsia="宋体" w:cs="Nimbus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43C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default" w:ascii="Nimbus Roman" w:hAnsi="Nimbus Roman" w:eastAsia="宋体" w:cs="Nimbus Roman"/>
                <w:color w:val="000000"/>
                <w:kern w:val="2"/>
                <w:sz w:val="21"/>
                <w:szCs w:val="21"/>
                <w:lang w:val="en-US" w:eastAsia="zh-CN" w:bidi="ar-SA"/>
              </w:rPr>
              <w:t>2025年市级军粮供应费用补贴</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49AC1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kern w:val="2"/>
                <w:sz w:val="21"/>
                <w:szCs w:val="21"/>
                <w:lang w:val="en-US" w:eastAsia="zh-CN" w:bidi="ar-SA"/>
              </w:rPr>
            </w:pPr>
            <w:r>
              <w:rPr>
                <w:rFonts w:hint="default" w:ascii="Nimbus Roman" w:hAnsi="Nimbus Roman" w:eastAsia="宋体" w:cs="Nimbus Roman"/>
                <w:color w:val="000000"/>
                <w:kern w:val="2"/>
                <w:sz w:val="21"/>
                <w:szCs w:val="21"/>
                <w:lang w:val="en-US" w:eastAsia="zh-CN" w:bidi="ar-SA"/>
              </w:rPr>
              <w:t>2025年市级军粮供应费用补贴</w:t>
            </w:r>
          </w:p>
        </w:tc>
      </w:tr>
      <w:tr w14:paraId="1F44CAAB">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7A204">
            <w:pPr>
              <w:widowControl/>
              <w:spacing w:line="300" w:lineRule="exact"/>
              <w:jc w:val="center"/>
              <w:rPr>
                <w:rFonts w:hint="default" w:ascii="Nimbus Roman" w:hAnsi="Nimbus Roman" w:eastAsia="宋体" w:cs="Nimbus Roman"/>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7F87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sz w:val="21"/>
                <w:szCs w:val="21"/>
              </w:rPr>
            </w:pPr>
            <w:r>
              <w:rPr>
                <w:rFonts w:hint="default" w:ascii="Nimbus Roman" w:hAnsi="Nimbus Roman" w:eastAsia="宋体" w:cs="Nimbus Roman"/>
                <w:color w:val="000000"/>
                <w:sz w:val="21"/>
                <w:szCs w:val="21"/>
              </w:rPr>
              <w:t>军粮供应区级补贴资金</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D31D0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Nimbus Roman" w:hAnsi="Nimbus Roman" w:eastAsia="宋体" w:cs="Nimbus Roman"/>
                <w:color w:val="000000"/>
                <w:sz w:val="21"/>
                <w:szCs w:val="21"/>
              </w:rPr>
            </w:pPr>
            <w:r>
              <w:rPr>
                <w:rFonts w:hint="default" w:ascii="Nimbus Roman" w:hAnsi="Nimbus Roman" w:eastAsia="宋体" w:cs="Nimbus Roman"/>
                <w:color w:val="000000"/>
                <w:sz w:val="21"/>
                <w:szCs w:val="21"/>
              </w:rPr>
              <w:t>军粮供应区级补贴资金</w:t>
            </w:r>
          </w:p>
        </w:tc>
      </w:tr>
      <w:tr w14:paraId="7F83500A">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7BEDA">
            <w:pPr>
              <w:widowControl/>
              <w:spacing w:line="300" w:lineRule="exact"/>
              <w:jc w:val="center"/>
              <w:textAlignment w:val="center"/>
              <w:rPr>
                <w:rFonts w:hint="default" w:ascii="Nimbus Roman" w:hAnsi="Nimbus Roman" w:eastAsia="宋体" w:cs="Nimbus Roman"/>
                <w:color w:val="000000"/>
                <w:kern w:val="0"/>
                <w:sz w:val="24"/>
                <w:lang w:bidi="ar"/>
              </w:rPr>
            </w:pPr>
            <w:r>
              <w:rPr>
                <w:rFonts w:hint="default" w:ascii="Nimbus Roman" w:hAnsi="Nimbus Roman" w:eastAsia="宋体" w:cs="Nimbus Roman"/>
                <w:color w:val="000000"/>
                <w:kern w:val="0"/>
                <w:sz w:val="24"/>
                <w:lang w:bidi="ar"/>
              </w:rPr>
              <w:t>年度绩效</w:t>
            </w:r>
          </w:p>
          <w:p w14:paraId="26F7F721">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0056">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11AC">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00D35">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87A0">
            <w:pPr>
              <w:widowControl/>
              <w:spacing w:line="300" w:lineRule="exact"/>
              <w:jc w:val="center"/>
              <w:textAlignment w:val="center"/>
              <w:rPr>
                <w:rFonts w:hint="default" w:ascii="Nimbus Roman" w:hAnsi="Nimbus Roman" w:eastAsia="宋体" w:cs="Nimbus Roman"/>
                <w:color w:val="000000"/>
                <w:kern w:val="0"/>
                <w:sz w:val="24"/>
                <w:lang w:bidi="ar"/>
              </w:rPr>
            </w:pPr>
            <w:r>
              <w:rPr>
                <w:rFonts w:hint="default" w:ascii="Nimbus Roman" w:hAnsi="Nimbus Roman" w:eastAsia="宋体" w:cs="Nimbus Roman"/>
                <w:color w:val="000000"/>
                <w:kern w:val="0"/>
                <w:sz w:val="24"/>
                <w:lang w:bidi="ar"/>
              </w:rPr>
              <w:t>绩效指标</w:t>
            </w:r>
          </w:p>
          <w:p w14:paraId="104817C6">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933D">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D36E">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14:paraId="3DBC85E5">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91CB">
            <w:pPr>
              <w:widowControl/>
              <w:spacing w:line="300" w:lineRule="exact"/>
              <w:jc w:val="center"/>
              <w:textAlignment w:val="center"/>
              <w:rPr>
                <w:rFonts w:hint="default" w:ascii="Nimbus Roman" w:hAnsi="Nimbus Roman" w:eastAsia="宋体" w:cs="Nimbus Roman"/>
                <w:color w:val="000000"/>
                <w:kern w:val="0"/>
                <w:sz w:val="24"/>
                <w:lang w:bidi="ar"/>
              </w:rPr>
            </w:pPr>
            <w:r>
              <w:rPr>
                <w:rFonts w:hint="default" w:ascii="Nimbus Roman" w:hAnsi="Nimbus Roman" w:eastAsia="宋体" w:cs="Nimbus Roman"/>
                <w:color w:val="000000"/>
                <w:kern w:val="0"/>
                <w:sz w:val="24"/>
                <w:lang w:bidi="ar"/>
              </w:rPr>
              <w:t>实际完成</w:t>
            </w:r>
          </w:p>
          <w:p w14:paraId="251A6D20">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指标值</w:t>
            </w:r>
          </w:p>
        </w:tc>
      </w:tr>
      <w:tr w14:paraId="62C5BCA5">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1959D">
            <w:pPr>
              <w:widowControl/>
              <w:spacing w:line="300" w:lineRule="exact"/>
              <w:jc w:val="center"/>
              <w:rPr>
                <w:rFonts w:hint="default" w:ascii="Nimbus Roman" w:hAnsi="Nimbus Roman" w:eastAsia="宋体" w:cs="Nimbus Roman"/>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7E649">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产出指标</w:t>
            </w:r>
          </w:p>
        </w:tc>
        <w:tc>
          <w:tcPr>
            <w:tcW w:w="1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24BB3">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E9DB">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大米轮换</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D4ACD">
            <w:pPr>
              <w:widowControl/>
              <w:spacing w:line="300" w:lineRule="exact"/>
              <w:jc w:val="left"/>
              <w:textAlignment w:val="center"/>
              <w:rPr>
                <w:rFonts w:hint="eastAsia" w:ascii="Nimbus Roman" w:hAnsi="Nimbus Roman" w:eastAsia="宋体" w:cs="Nimbus Roman"/>
                <w:color w:val="000000"/>
                <w:sz w:val="24"/>
                <w:lang w:eastAsia="zh-CN"/>
              </w:rPr>
            </w:pPr>
            <w:r>
              <w:rPr>
                <w:rFonts w:hint="eastAsia" w:ascii="Nimbus Roman" w:hAnsi="Nimbus Roman" w:eastAsia="宋体" w:cs="Nimbus Roman"/>
                <w:color w:val="000000"/>
                <w:sz w:val="24"/>
                <w:lang w:eastAsia="zh-CN"/>
              </w:rPr>
              <w:t>等于</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E5A41">
            <w:pPr>
              <w:widowControl/>
              <w:spacing w:line="300" w:lineRule="exact"/>
              <w:jc w:val="left"/>
              <w:textAlignment w:val="center"/>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kern w:val="0"/>
                <w:sz w:val="24"/>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410E">
            <w:pPr>
              <w:widowControl/>
              <w:spacing w:line="300" w:lineRule="exact"/>
              <w:jc w:val="left"/>
              <w:textAlignment w:val="center"/>
              <w:rPr>
                <w:rFonts w:hint="eastAsia" w:ascii="Nimbus Roman" w:hAnsi="Nimbus Roman" w:eastAsia="宋体" w:cs="Nimbus Roman"/>
                <w:color w:val="000000"/>
                <w:sz w:val="24"/>
                <w:lang w:eastAsia="zh-CN"/>
              </w:rPr>
            </w:pPr>
            <w:r>
              <w:rPr>
                <w:rFonts w:hint="eastAsia" w:ascii="Nimbus Roman" w:hAnsi="Nimbus Roman" w:eastAsia="宋体" w:cs="Nimbus Roman"/>
                <w:color w:val="000000"/>
                <w:kern w:val="0"/>
                <w:sz w:val="24"/>
                <w:lang w:eastAsia="zh-CN" w:bidi="ar"/>
              </w:rPr>
              <w:t>吨</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ECFC">
            <w:pPr>
              <w:widowControl/>
              <w:spacing w:line="300" w:lineRule="exact"/>
              <w:jc w:val="left"/>
              <w:textAlignment w:val="center"/>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5</w:t>
            </w:r>
          </w:p>
        </w:tc>
        <w:tc>
          <w:tcPr>
            <w:tcW w:w="1114" w:type="dxa"/>
            <w:tcBorders>
              <w:left w:val="single" w:color="000000" w:sz="4" w:space="0"/>
              <w:bottom w:val="single" w:color="000000" w:sz="4" w:space="0"/>
              <w:right w:val="single" w:color="000000" w:sz="4" w:space="0"/>
            </w:tcBorders>
            <w:shd w:val="clear" w:color="auto" w:fill="auto"/>
            <w:vAlign w:val="center"/>
          </w:tcPr>
          <w:p w14:paraId="7C11DAB5">
            <w:pPr>
              <w:widowControl/>
              <w:spacing w:line="300" w:lineRule="exact"/>
              <w:jc w:val="left"/>
              <w:textAlignment w:val="center"/>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kern w:val="0"/>
                <w:sz w:val="24"/>
                <w:lang w:val="en-US" w:eastAsia="zh-CN" w:bidi="ar"/>
              </w:rPr>
              <w:t>100</w:t>
            </w:r>
          </w:p>
        </w:tc>
      </w:tr>
      <w:tr w14:paraId="7172873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5C2A79">
            <w:pPr>
              <w:widowControl/>
              <w:spacing w:line="300" w:lineRule="exact"/>
              <w:jc w:val="center"/>
              <w:rPr>
                <w:rFonts w:hint="default" w:ascii="Nimbus Roman" w:hAnsi="Nimbus Roman" w:eastAsia="宋体" w:cs="Nimbus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09D82">
            <w:pPr>
              <w:widowControl/>
              <w:spacing w:line="300" w:lineRule="exact"/>
              <w:jc w:val="center"/>
              <w:rPr>
                <w:rFonts w:hint="default" w:ascii="Nimbus Roman" w:hAnsi="Nimbus Roman" w:eastAsia="宋体" w:cs="Nimbus Roman"/>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CCC7A">
            <w:pPr>
              <w:widowControl/>
              <w:spacing w:line="300" w:lineRule="exact"/>
              <w:jc w:val="center"/>
              <w:rPr>
                <w:rFonts w:hint="default" w:ascii="Nimbus Roman" w:hAnsi="Nimbus Roman" w:eastAsia="宋体" w:cs="Nimbus Roman"/>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765A">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大米保管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A4652">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sz w:val="24"/>
                <w:lang w:eastAsia="zh-CN"/>
              </w:rPr>
              <w:t>等于</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D602D">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kern w:val="0"/>
                <w:sz w:val="24"/>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F5F6">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kern w:val="0"/>
                <w:sz w:val="24"/>
                <w:lang w:eastAsia="zh-CN" w:bidi="ar"/>
              </w:rPr>
              <w:t>吨</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A36C">
            <w:pPr>
              <w:widowControl/>
              <w:spacing w:line="300" w:lineRule="exact"/>
              <w:jc w:val="left"/>
              <w:textAlignment w:val="center"/>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46A7">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kern w:val="0"/>
                <w:sz w:val="24"/>
                <w:lang w:val="en-US" w:eastAsia="zh-CN" w:bidi="ar"/>
              </w:rPr>
              <w:t>100</w:t>
            </w:r>
          </w:p>
        </w:tc>
      </w:tr>
      <w:tr w14:paraId="4191F58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D99A9">
            <w:pPr>
              <w:widowControl/>
              <w:spacing w:line="300" w:lineRule="exact"/>
              <w:jc w:val="center"/>
              <w:rPr>
                <w:rFonts w:hint="default" w:ascii="Nimbus Roman" w:hAnsi="Nimbus Roman" w:eastAsia="宋体" w:cs="Nimbus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5DB29">
            <w:pPr>
              <w:widowControl/>
              <w:spacing w:line="300" w:lineRule="exact"/>
              <w:jc w:val="center"/>
              <w:rPr>
                <w:rFonts w:hint="default" w:ascii="Nimbus Roman" w:hAnsi="Nimbus Roman" w:eastAsia="宋体" w:cs="Nimbus Roman"/>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3CDBC">
            <w:pPr>
              <w:widowControl/>
              <w:spacing w:line="300" w:lineRule="exact"/>
              <w:jc w:val="center"/>
              <w:rPr>
                <w:rFonts w:hint="default" w:ascii="Nimbus Roman" w:hAnsi="Nimbus Roman" w:eastAsia="宋体" w:cs="Nimbus Roman"/>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B423">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菜籽油轮换</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5F31">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sz w:val="24"/>
                <w:lang w:eastAsia="zh-CN"/>
              </w:rPr>
              <w:t>等于</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E84B">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kern w:val="0"/>
                <w:sz w:val="24"/>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F513">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kern w:val="0"/>
                <w:sz w:val="24"/>
                <w:lang w:eastAsia="zh-CN" w:bidi="ar"/>
              </w:rPr>
              <w:t>吨</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0C0B">
            <w:pPr>
              <w:widowControl/>
              <w:spacing w:line="300" w:lineRule="exact"/>
              <w:jc w:val="left"/>
              <w:textAlignment w:val="center"/>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D4A8">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kern w:val="0"/>
                <w:sz w:val="24"/>
                <w:lang w:val="en-US" w:eastAsia="zh-CN" w:bidi="ar"/>
              </w:rPr>
              <w:t>10</w:t>
            </w:r>
          </w:p>
        </w:tc>
      </w:tr>
      <w:tr w14:paraId="258CCCB5">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773D">
            <w:pPr>
              <w:widowControl/>
              <w:spacing w:line="300" w:lineRule="exact"/>
              <w:jc w:val="center"/>
              <w:rPr>
                <w:rFonts w:hint="default" w:ascii="Nimbus Roman" w:hAnsi="Nimbus Roman" w:eastAsia="宋体" w:cs="Nimbus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091AA">
            <w:pPr>
              <w:widowControl/>
              <w:spacing w:line="300" w:lineRule="exact"/>
              <w:jc w:val="center"/>
              <w:rPr>
                <w:rFonts w:hint="default" w:ascii="Nimbus Roman" w:hAnsi="Nimbus Roman" w:eastAsia="宋体" w:cs="Nimbus Roman"/>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5627C">
            <w:pPr>
              <w:widowControl/>
              <w:spacing w:line="300" w:lineRule="exact"/>
              <w:jc w:val="center"/>
              <w:rPr>
                <w:rFonts w:hint="default" w:ascii="Nimbus Roman" w:hAnsi="Nimbus Roman" w:eastAsia="宋体" w:cs="Nimbus Roman"/>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57BC">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菜籽油保管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F3A9">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sz w:val="24"/>
                <w:lang w:eastAsia="zh-CN"/>
              </w:rPr>
              <w:t>等于</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6AFB6">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kern w:val="0"/>
                <w:sz w:val="24"/>
                <w:lang w:val="en-US" w:eastAsia="zh-CN" w:bidi="ar"/>
              </w:rPr>
              <w:t>10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DFD3">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kern w:val="0"/>
                <w:sz w:val="24"/>
                <w:lang w:eastAsia="zh-CN" w:bidi="ar"/>
              </w:rPr>
              <w:t>吨</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1E8A4">
            <w:pPr>
              <w:widowControl/>
              <w:spacing w:line="300" w:lineRule="exact"/>
              <w:jc w:val="left"/>
              <w:textAlignment w:val="center"/>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322A">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kern w:val="0"/>
                <w:sz w:val="24"/>
                <w:lang w:val="en-US" w:eastAsia="zh-CN" w:bidi="ar"/>
              </w:rPr>
              <w:t>10</w:t>
            </w:r>
          </w:p>
        </w:tc>
      </w:tr>
      <w:tr w14:paraId="1D1F7EE8">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E53B6">
            <w:pPr>
              <w:widowControl/>
              <w:spacing w:line="300" w:lineRule="exact"/>
              <w:jc w:val="center"/>
              <w:rPr>
                <w:rFonts w:hint="default" w:ascii="Nimbus Roman" w:hAnsi="Nimbus Roman" w:eastAsia="宋体" w:cs="Nimbus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EE866">
            <w:pPr>
              <w:widowControl/>
              <w:spacing w:line="300" w:lineRule="exact"/>
              <w:jc w:val="center"/>
              <w:rPr>
                <w:rFonts w:hint="default" w:ascii="Nimbus Roman" w:hAnsi="Nimbus Roman" w:eastAsia="宋体" w:cs="Nimbus Roman"/>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B4625">
            <w:pPr>
              <w:widowControl/>
              <w:spacing w:line="300" w:lineRule="exact"/>
              <w:jc w:val="center"/>
              <w:rPr>
                <w:rFonts w:hint="default" w:ascii="Nimbus Roman" w:hAnsi="Nimbus Roman" w:eastAsia="宋体" w:cs="Nimbus Roman"/>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4E3B0">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稻谷轮换</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5720">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sz w:val="24"/>
                <w:lang w:eastAsia="zh-CN"/>
              </w:rPr>
              <w:t>等于</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98F6">
            <w:pPr>
              <w:widowControl/>
              <w:spacing w:line="300" w:lineRule="exact"/>
              <w:jc w:val="left"/>
              <w:textAlignment w:val="center"/>
              <w:rPr>
                <w:rFonts w:hint="default" w:ascii="Nimbus Roman" w:hAnsi="Nimbus Roman" w:eastAsia="宋体" w:cs="Nimbus Roman"/>
                <w:color w:val="000000"/>
                <w:sz w:val="24"/>
                <w:lang w:val="en-US"/>
              </w:rPr>
            </w:pPr>
            <w:r>
              <w:rPr>
                <w:rFonts w:hint="eastAsia" w:ascii="Nimbus Roman" w:hAnsi="Nimbus Roman" w:eastAsia="宋体" w:cs="Nimbus Roman"/>
                <w:color w:val="000000"/>
                <w:kern w:val="0"/>
                <w:sz w:val="24"/>
                <w:lang w:val="en-US" w:eastAsia="zh-CN" w:bidi="ar"/>
              </w:rPr>
              <w:t>2000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0FF7">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kern w:val="0"/>
                <w:sz w:val="24"/>
                <w:lang w:eastAsia="zh-CN" w:bidi="ar"/>
              </w:rPr>
              <w:t>吨</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1395">
            <w:pPr>
              <w:widowControl/>
              <w:spacing w:line="300" w:lineRule="exact"/>
              <w:jc w:val="left"/>
              <w:textAlignment w:val="center"/>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E431">
            <w:pPr>
              <w:widowControl/>
              <w:spacing w:line="300" w:lineRule="exact"/>
              <w:jc w:val="left"/>
              <w:textAlignment w:val="center"/>
              <w:rPr>
                <w:rFonts w:hint="default" w:ascii="Nimbus Roman" w:hAnsi="Nimbus Roman" w:eastAsia="宋体" w:cs="Nimbus Roman"/>
                <w:color w:val="000000"/>
                <w:sz w:val="24"/>
                <w:lang w:val="en-US"/>
              </w:rPr>
            </w:pPr>
            <w:r>
              <w:rPr>
                <w:rFonts w:hint="eastAsia" w:ascii="Nimbus Roman" w:hAnsi="Nimbus Roman" w:eastAsia="宋体" w:cs="Nimbus Roman"/>
                <w:color w:val="000000"/>
                <w:kern w:val="0"/>
                <w:sz w:val="24"/>
                <w:lang w:val="en-US" w:eastAsia="zh-CN" w:bidi="ar"/>
              </w:rPr>
              <w:t>2000</w:t>
            </w:r>
          </w:p>
        </w:tc>
      </w:tr>
      <w:tr w14:paraId="0B5E80D9">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EC828">
            <w:pPr>
              <w:widowControl/>
              <w:spacing w:line="300" w:lineRule="exact"/>
              <w:jc w:val="center"/>
              <w:rPr>
                <w:rFonts w:hint="default" w:ascii="Nimbus Roman" w:hAnsi="Nimbus Roman" w:eastAsia="宋体" w:cs="Nimbus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3FE9">
            <w:pPr>
              <w:widowControl/>
              <w:spacing w:line="300" w:lineRule="exact"/>
              <w:jc w:val="center"/>
              <w:rPr>
                <w:rFonts w:hint="default" w:ascii="Nimbus Roman" w:hAnsi="Nimbus Roman" w:eastAsia="宋体" w:cs="Nimbus Roman"/>
                <w:color w:val="000000"/>
                <w:sz w:val="24"/>
              </w:rPr>
            </w:pPr>
          </w:p>
        </w:tc>
        <w:tc>
          <w:tcPr>
            <w:tcW w:w="1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57B73">
            <w:pPr>
              <w:widowControl/>
              <w:spacing w:line="300" w:lineRule="exact"/>
              <w:jc w:val="center"/>
              <w:rPr>
                <w:rFonts w:hint="default" w:ascii="Nimbus Roman" w:hAnsi="Nimbus Roman" w:eastAsia="宋体" w:cs="Nimbus Roman"/>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D5558">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稻谷保管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741B">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sz w:val="24"/>
                <w:lang w:eastAsia="zh-CN"/>
              </w:rPr>
              <w:t>等于</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B158">
            <w:pPr>
              <w:widowControl/>
              <w:spacing w:line="300" w:lineRule="exact"/>
              <w:jc w:val="left"/>
              <w:textAlignment w:val="center"/>
              <w:rPr>
                <w:rFonts w:hint="default" w:ascii="Nimbus Roman" w:hAnsi="Nimbus Roman" w:eastAsia="宋体" w:cs="Nimbus Roman"/>
                <w:color w:val="000000"/>
                <w:sz w:val="24"/>
                <w:lang w:val="en-US"/>
              </w:rPr>
            </w:pPr>
            <w:r>
              <w:rPr>
                <w:rFonts w:hint="eastAsia" w:ascii="Nimbus Roman" w:hAnsi="Nimbus Roman" w:eastAsia="宋体" w:cs="Nimbus Roman"/>
                <w:color w:val="000000"/>
                <w:kern w:val="0"/>
                <w:sz w:val="24"/>
                <w:lang w:val="en-US" w:eastAsia="zh-CN" w:bidi="ar"/>
              </w:rPr>
              <w:t>2000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EC32A">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kern w:val="0"/>
                <w:sz w:val="24"/>
                <w:lang w:eastAsia="zh-CN" w:bidi="ar"/>
              </w:rPr>
              <w:t>吨</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584A6">
            <w:pPr>
              <w:widowControl/>
              <w:spacing w:line="300" w:lineRule="exact"/>
              <w:jc w:val="left"/>
              <w:textAlignment w:val="center"/>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00F0">
            <w:pPr>
              <w:widowControl/>
              <w:spacing w:line="300" w:lineRule="exact"/>
              <w:jc w:val="left"/>
              <w:textAlignment w:val="center"/>
              <w:rPr>
                <w:rFonts w:hint="default" w:ascii="Nimbus Roman" w:hAnsi="Nimbus Roman" w:eastAsia="宋体" w:cs="Nimbus Roman"/>
                <w:color w:val="000000"/>
                <w:sz w:val="24"/>
                <w:lang w:val="en-US"/>
              </w:rPr>
            </w:pPr>
            <w:r>
              <w:rPr>
                <w:rFonts w:hint="eastAsia" w:ascii="Nimbus Roman" w:hAnsi="Nimbus Roman" w:eastAsia="宋体" w:cs="Nimbus Roman"/>
                <w:color w:val="000000"/>
                <w:kern w:val="0"/>
                <w:sz w:val="24"/>
                <w:lang w:val="en-US" w:eastAsia="zh-CN" w:bidi="ar"/>
              </w:rPr>
              <w:t>2000</w:t>
            </w:r>
          </w:p>
        </w:tc>
      </w:tr>
      <w:tr w14:paraId="558A240B">
        <w:tblPrEx>
          <w:tblCellMar>
            <w:top w:w="15" w:type="dxa"/>
            <w:left w:w="15" w:type="dxa"/>
            <w:bottom w:w="15" w:type="dxa"/>
            <w:right w:w="15" w:type="dxa"/>
          </w:tblCellMar>
        </w:tblPrEx>
        <w:trPr>
          <w:trHeight w:val="451"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2CB9E">
            <w:pPr>
              <w:widowControl/>
              <w:spacing w:line="300" w:lineRule="exact"/>
              <w:jc w:val="center"/>
              <w:rPr>
                <w:rFonts w:hint="default" w:ascii="Nimbus Roman" w:hAnsi="Nimbus Roman" w:eastAsia="宋体" w:cs="Nimbus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0C5DB">
            <w:pPr>
              <w:widowControl/>
              <w:spacing w:line="300" w:lineRule="exact"/>
              <w:jc w:val="center"/>
              <w:rPr>
                <w:rFonts w:hint="default" w:ascii="Nimbus Roman" w:hAnsi="Nimbus Roman" w:eastAsia="宋体" w:cs="Nimbus Roman"/>
                <w:color w:val="000000"/>
                <w:sz w:val="24"/>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4A6649E4">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9E106">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大米质量</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6744">
            <w:pPr>
              <w:widowControl/>
              <w:spacing w:line="300" w:lineRule="exact"/>
              <w:jc w:val="left"/>
              <w:textAlignment w:val="center"/>
              <w:rPr>
                <w:rFonts w:hint="eastAsia" w:ascii="Nimbus Roman" w:hAnsi="Nimbus Roman" w:eastAsia="宋体" w:cs="Nimbus Roman"/>
                <w:color w:val="000000"/>
                <w:sz w:val="24"/>
                <w:lang w:eastAsia="zh-CN"/>
              </w:rPr>
            </w:pPr>
            <w:r>
              <w:rPr>
                <w:rFonts w:hint="eastAsia" w:ascii="Nimbus Roman" w:hAnsi="Nimbus Roman" w:eastAsia="宋体" w:cs="Nimbus Roman"/>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77B6">
            <w:pPr>
              <w:widowControl/>
              <w:spacing w:line="300" w:lineRule="exact"/>
              <w:jc w:val="left"/>
              <w:rPr>
                <w:rFonts w:hint="eastAsia" w:ascii="Nimbus Roman" w:hAnsi="Nimbus Roman" w:eastAsia="宋体" w:cs="Nimbus Roman"/>
                <w:color w:val="000000"/>
                <w:sz w:val="24"/>
                <w:lang w:eastAsia="zh-CN"/>
              </w:rPr>
            </w:pPr>
            <w:r>
              <w:rPr>
                <w:rFonts w:hint="eastAsia" w:ascii="Nimbus Roman" w:hAnsi="Nimbus Roman" w:eastAsia="宋体" w:cs="Nimbus Roman"/>
                <w:color w:val="000000"/>
                <w:sz w:val="24"/>
                <w:lang w:eastAsia="zh-CN"/>
              </w:rPr>
              <w:t>优、中、差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51031">
            <w:pPr>
              <w:widowControl/>
              <w:spacing w:line="300" w:lineRule="exact"/>
              <w:jc w:val="center"/>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9864">
            <w:pPr>
              <w:widowControl/>
              <w:spacing w:line="300" w:lineRule="exact"/>
              <w:jc w:val="left"/>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5D65">
            <w:pPr>
              <w:widowControl/>
              <w:spacing w:line="300" w:lineRule="exact"/>
              <w:jc w:val="left"/>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优</w:t>
            </w:r>
          </w:p>
        </w:tc>
      </w:tr>
      <w:tr w14:paraId="51769D6B">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E566">
            <w:pPr>
              <w:widowControl/>
              <w:spacing w:line="300" w:lineRule="exact"/>
              <w:jc w:val="center"/>
              <w:rPr>
                <w:rFonts w:hint="default" w:ascii="Nimbus Roman" w:hAnsi="Nimbus Roman" w:eastAsia="宋体" w:cs="Nimbus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9474">
            <w:pPr>
              <w:widowControl/>
              <w:spacing w:line="300" w:lineRule="exact"/>
              <w:jc w:val="center"/>
              <w:rPr>
                <w:rFonts w:hint="default" w:ascii="Nimbus Roman" w:hAnsi="Nimbus Roman" w:eastAsia="宋体" w:cs="Nimbus Roman"/>
                <w:color w:val="000000"/>
                <w:sz w:val="24"/>
              </w:rPr>
            </w:pPr>
          </w:p>
        </w:tc>
        <w:tc>
          <w:tcPr>
            <w:tcW w:w="1273" w:type="dxa"/>
            <w:vMerge w:val="continue"/>
            <w:tcBorders>
              <w:left w:val="single" w:color="000000" w:sz="4" w:space="0"/>
              <w:right w:val="single" w:color="000000" w:sz="4" w:space="0"/>
            </w:tcBorders>
            <w:shd w:val="clear" w:color="auto" w:fill="auto"/>
            <w:vAlign w:val="center"/>
          </w:tcPr>
          <w:p w14:paraId="4B35A595">
            <w:pPr>
              <w:widowControl/>
              <w:spacing w:line="300" w:lineRule="exact"/>
              <w:jc w:val="center"/>
              <w:textAlignment w:val="center"/>
              <w:rPr>
                <w:rFonts w:hint="default" w:ascii="Nimbus Roman" w:hAnsi="Nimbus Roman" w:eastAsia="宋体" w:cs="Nimbus Roman"/>
                <w:color w:val="000000"/>
                <w:kern w:val="0"/>
                <w:sz w:val="24"/>
                <w:lang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65DB6">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稻谷质量</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CF57">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75B0">
            <w:pPr>
              <w:widowControl/>
              <w:spacing w:line="300" w:lineRule="exact"/>
              <w:jc w:val="left"/>
              <w:rPr>
                <w:rFonts w:hint="default" w:ascii="Nimbus Roman" w:hAnsi="Nimbus Roman" w:eastAsia="宋体" w:cs="Nimbus Roman"/>
                <w:color w:val="000000"/>
                <w:sz w:val="24"/>
              </w:rPr>
            </w:pPr>
            <w:r>
              <w:rPr>
                <w:rFonts w:hint="eastAsia" w:ascii="Nimbus Roman" w:hAnsi="Nimbus Roman" w:eastAsia="宋体" w:cs="Nimbus Roman"/>
                <w:color w:val="000000"/>
                <w:sz w:val="24"/>
                <w:lang w:eastAsia="zh-CN"/>
              </w:rPr>
              <w:t>优、中、差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8EFD">
            <w:pPr>
              <w:widowControl/>
              <w:spacing w:line="300" w:lineRule="exact"/>
              <w:jc w:val="center"/>
              <w:rPr>
                <w:rFonts w:hint="eastAsia"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FD1F">
            <w:pPr>
              <w:widowControl/>
              <w:spacing w:line="300" w:lineRule="exact"/>
              <w:jc w:val="left"/>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9F84">
            <w:pPr>
              <w:widowControl/>
              <w:spacing w:line="300" w:lineRule="exact"/>
              <w:jc w:val="left"/>
              <w:rPr>
                <w:rFonts w:hint="default" w:ascii="Nimbus Roman" w:hAnsi="Nimbus Roman" w:eastAsia="宋体" w:cs="Nimbus Roman"/>
                <w:color w:val="000000"/>
                <w:sz w:val="24"/>
              </w:rPr>
            </w:pPr>
            <w:r>
              <w:rPr>
                <w:rFonts w:hint="eastAsia" w:ascii="Nimbus Roman" w:hAnsi="Nimbus Roman" w:eastAsia="宋体" w:cs="Nimbus Roman"/>
                <w:color w:val="000000"/>
                <w:sz w:val="24"/>
                <w:lang w:val="en-US" w:eastAsia="zh-CN"/>
              </w:rPr>
              <w:t>优</w:t>
            </w:r>
          </w:p>
        </w:tc>
      </w:tr>
      <w:tr w14:paraId="708C5C8A">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BEDF6">
            <w:pPr>
              <w:widowControl/>
              <w:spacing w:line="300" w:lineRule="exact"/>
              <w:jc w:val="center"/>
              <w:rPr>
                <w:rFonts w:hint="default" w:ascii="Nimbus Roman" w:hAnsi="Nimbus Roman" w:eastAsia="宋体" w:cs="Nimbus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F859FC">
            <w:pPr>
              <w:widowControl/>
              <w:spacing w:line="300" w:lineRule="exact"/>
              <w:jc w:val="center"/>
              <w:rPr>
                <w:rFonts w:hint="default" w:ascii="Nimbus Roman" w:hAnsi="Nimbus Roman" w:eastAsia="宋体" w:cs="Nimbus Roman"/>
                <w:color w:val="000000"/>
                <w:sz w:val="24"/>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14:paraId="55709796">
            <w:pPr>
              <w:widowControl/>
              <w:spacing w:line="300" w:lineRule="exact"/>
              <w:jc w:val="center"/>
              <w:textAlignment w:val="center"/>
              <w:rPr>
                <w:rFonts w:hint="default" w:ascii="Nimbus Roman" w:hAnsi="Nimbus Roman" w:eastAsia="宋体" w:cs="Nimbus Roman"/>
                <w:color w:val="000000"/>
                <w:kern w:val="0"/>
                <w:sz w:val="24"/>
                <w:lang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8CCC8">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菜籽油质量</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2361">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013D8">
            <w:pPr>
              <w:widowControl/>
              <w:spacing w:line="300" w:lineRule="exact"/>
              <w:jc w:val="left"/>
              <w:rPr>
                <w:rFonts w:hint="default" w:ascii="Nimbus Roman" w:hAnsi="Nimbus Roman" w:eastAsia="宋体" w:cs="Nimbus Roman"/>
                <w:color w:val="000000"/>
                <w:sz w:val="24"/>
              </w:rPr>
            </w:pPr>
            <w:r>
              <w:rPr>
                <w:rFonts w:hint="eastAsia" w:ascii="Nimbus Roman" w:hAnsi="Nimbus Roman" w:eastAsia="宋体" w:cs="Nimbus Roman"/>
                <w:color w:val="000000"/>
                <w:sz w:val="24"/>
                <w:lang w:eastAsia="zh-CN"/>
              </w:rPr>
              <w:t>优、中、差</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B835">
            <w:pPr>
              <w:widowControl/>
              <w:spacing w:line="300" w:lineRule="exact"/>
              <w:jc w:val="center"/>
              <w:rPr>
                <w:rFonts w:hint="eastAsia"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91FCA">
            <w:pPr>
              <w:widowControl/>
              <w:spacing w:line="300" w:lineRule="exact"/>
              <w:jc w:val="left"/>
              <w:rPr>
                <w:rFonts w:hint="eastAsia"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A36F0">
            <w:pPr>
              <w:widowControl/>
              <w:spacing w:line="300" w:lineRule="exact"/>
              <w:jc w:val="left"/>
              <w:rPr>
                <w:rFonts w:hint="default" w:ascii="Nimbus Roman" w:hAnsi="Nimbus Roman" w:eastAsia="宋体" w:cs="Nimbus Roman"/>
                <w:color w:val="000000"/>
                <w:sz w:val="24"/>
              </w:rPr>
            </w:pPr>
            <w:r>
              <w:rPr>
                <w:rFonts w:hint="eastAsia" w:ascii="Nimbus Roman" w:hAnsi="Nimbus Roman" w:eastAsia="宋体" w:cs="Nimbus Roman"/>
                <w:color w:val="000000"/>
                <w:sz w:val="24"/>
                <w:lang w:val="en-US" w:eastAsia="zh-CN"/>
              </w:rPr>
              <w:t>优</w:t>
            </w:r>
          </w:p>
        </w:tc>
      </w:tr>
      <w:tr w14:paraId="69EC1540">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A6429">
            <w:pPr>
              <w:widowControl/>
              <w:spacing w:line="300" w:lineRule="exact"/>
              <w:jc w:val="center"/>
              <w:rPr>
                <w:rFonts w:hint="default" w:ascii="Nimbus Roman" w:hAnsi="Nimbus Roman" w:eastAsia="宋体" w:cs="Nimbus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E6F9C9">
            <w:pPr>
              <w:widowControl/>
              <w:spacing w:line="300" w:lineRule="exact"/>
              <w:jc w:val="center"/>
              <w:rPr>
                <w:rFonts w:hint="default" w:ascii="Nimbus Roman" w:hAnsi="Nimbus Roman" w:eastAsia="宋体" w:cs="Nimbus Roman"/>
                <w:color w:val="000000"/>
                <w:sz w:val="24"/>
              </w:rPr>
            </w:pP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01D1C700">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08AE">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大米保管时限</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5AE2">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2F062">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12个月</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F8550">
            <w:pPr>
              <w:widowControl/>
              <w:spacing w:line="300" w:lineRule="exact"/>
              <w:jc w:val="left"/>
              <w:rPr>
                <w:rFonts w:hint="eastAsia" w:ascii="Nimbus Roman" w:hAnsi="Nimbus Roman" w:eastAsia="宋体" w:cs="Nimbus Roman"/>
                <w:color w:val="000000"/>
                <w:sz w:val="24"/>
                <w:lang w:eastAsia="zh-CN"/>
              </w:rPr>
            </w:pPr>
            <w:r>
              <w:rPr>
                <w:rFonts w:hint="eastAsia" w:ascii="Nimbus Roman" w:hAnsi="Nimbus Roman" w:eastAsia="宋体" w:cs="Nimbus Roman"/>
                <w:color w:val="000000"/>
                <w:sz w:val="24"/>
                <w:lang w:eastAsia="zh-CN"/>
              </w:rPr>
              <w:t>月</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9C356">
            <w:pPr>
              <w:widowControl/>
              <w:spacing w:line="300" w:lineRule="exact"/>
              <w:jc w:val="left"/>
              <w:rPr>
                <w:rFonts w:hint="eastAsia"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C34D">
            <w:pPr>
              <w:widowControl/>
              <w:spacing w:line="300" w:lineRule="exact"/>
              <w:jc w:val="left"/>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12</w:t>
            </w:r>
          </w:p>
        </w:tc>
      </w:tr>
      <w:tr w14:paraId="4B637AA8">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6F40D">
            <w:pPr>
              <w:widowControl/>
              <w:spacing w:line="300" w:lineRule="exact"/>
              <w:jc w:val="center"/>
              <w:rPr>
                <w:rFonts w:hint="default" w:ascii="Nimbus Roman" w:hAnsi="Nimbus Roman" w:eastAsia="宋体" w:cs="Nimbus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B2550">
            <w:pPr>
              <w:widowControl/>
              <w:spacing w:line="300" w:lineRule="exact"/>
              <w:jc w:val="center"/>
              <w:rPr>
                <w:rFonts w:hint="default" w:ascii="Nimbus Roman" w:hAnsi="Nimbus Roman" w:eastAsia="宋体" w:cs="Nimbus Roman"/>
                <w:color w:val="000000"/>
                <w:sz w:val="24"/>
              </w:rPr>
            </w:pPr>
          </w:p>
        </w:tc>
        <w:tc>
          <w:tcPr>
            <w:tcW w:w="1273" w:type="dxa"/>
            <w:vMerge w:val="continue"/>
            <w:tcBorders>
              <w:left w:val="single" w:color="000000" w:sz="4" w:space="0"/>
              <w:right w:val="single" w:color="000000" w:sz="4" w:space="0"/>
            </w:tcBorders>
            <w:shd w:val="clear" w:color="auto" w:fill="auto"/>
            <w:vAlign w:val="center"/>
          </w:tcPr>
          <w:p w14:paraId="5137F7A5">
            <w:pPr>
              <w:widowControl/>
              <w:spacing w:line="300" w:lineRule="exact"/>
              <w:jc w:val="center"/>
              <w:textAlignment w:val="center"/>
              <w:rPr>
                <w:rFonts w:hint="default" w:ascii="Nimbus Roman" w:hAnsi="Nimbus Roman" w:eastAsia="宋体" w:cs="Nimbus Roman"/>
                <w:color w:val="000000"/>
                <w:kern w:val="0"/>
                <w:sz w:val="24"/>
                <w:lang w:bidi="ar"/>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84308">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稻谷保管时限</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8FD63">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8DDA">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36个月</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702C">
            <w:pPr>
              <w:widowControl/>
              <w:spacing w:line="300" w:lineRule="exact"/>
              <w:jc w:val="left"/>
              <w:rPr>
                <w:rFonts w:hint="default" w:ascii="Nimbus Roman" w:hAnsi="Nimbus Roman" w:eastAsia="宋体" w:cs="Nimbus Roman"/>
                <w:color w:val="000000"/>
                <w:sz w:val="24"/>
              </w:rPr>
            </w:pPr>
            <w:r>
              <w:rPr>
                <w:rFonts w:hint="eastAsia" w:ascii="Nimbus Roman" w:hAnsi="Nimbus Roman" w:eastAsia="宋体" w:cs="Nimbus Roman"/>
                <w:color w:val="000000"/>
                <w:sz w:val="24"/>
                <w:lang w:eastAsia="zh-CN"/>
              </w:rPr>
              <w:t>月</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3405">
            <w:pPr>
              <w:widowControl/>
              <w:spacing w:line="300" w:lineRule="exact"/>
              <w:jc w:val="left"/>
              <w:rPr>
                <w:rFonts w:hint="eastAsia"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24FAB">
            <w:pPr>
              <w:widowControl/>
              <w:spacing w:line="300" w:lineRule="exact"/>
              <w:jc w:val="left"/>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36</w:t>
            </w:r>
          </w:p>
        </w:tc>
      </w:tr>
      <w:tr w14:paraId="5626A01D">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3D27B">
            <w:pPr>
              <w:widowControl/>
              <w:spacing w:line="300" w:lineRule="exact"/>
              <w:jc w:val="center"/>
              <w:rPr>
                <w:rFonts w:hint="default" w:ascii="Nimbus Roman" w:hAnsi="Nimbus Roman" w:eastAsia="宋体" w:cs="Nimbus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2FEB0D">
            <w:pPr>
              <w:widowControl/>
              <w:spacing w:line="300" w:lineRule="exact"/>
              <w:jc w:val="center"/>
              <w:rPr>
                <w:rFonts w:hint="default" w:ascii="Nimbus Roman" w:hAnsi="Nimbus Roman" w:eastAsia="宋体" w:cs="Nimbus Roman"/>
                <w:color w:val="000000"/>
                <w:sz w:val="24"/>
              </w:rPr>
            </w:pPr>
          </w:p>
        </w:tc>
        <w:tc>
          <w:tcPr>
            <w:tcW w:w="1273" w:type="dxa"/>
            <w:vMerge w:val="continue"/>
            <w:tcBorders>
              <w:left w:val="single" w:color="000000" w:sz="4" w:space="0"/>
              <w:bottom w:val="single" w:color="000000" w:sz="4" w:space="0"/>
              <w:right w:val="single" w:color="000000" w:sz="4" w:space="0"/>
            </w:tcBorders>
            <w:shd w:val="clear" w:color="auto" w:fill="auto"/>
            <w:vAlign w:val="center"/>
          </w:tcPr>
          <w:p w14:paraId="074321A1">
            <w:pPr>
              <w:widowControl/>
              <w:spacing w:line="300" w:lineRule="exact"/>
              <w:jc w:val="both"/>
              <w:textAlignment w:val="center"/>
              <w:rPr>
                <w:rFonts w:hint="eastAsia" w:ascii="Nimbus Roman" w:hAnsi="Nimbus Roman" w:eastAsia="宋体" w:cs="Nimbus Roman"/>
                <w:color w:val="000000"/>
                <w:sz w:val="24"/>
                <w:lang w:eastAsia="zh-CN"/>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9424">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菜籽油保管时限</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B5A8">
            <w:pPr>
              <w:widowControl/>
              <w:spacing w:line="300" w:lineRule="exact"/>
              <w:jc w:val="left"/>
              <w:textAlignment w:val="center"/>
              <w:rPr>
                <w:rFonts w:hint="default" w:ascii="Nimbus Roman" w:hAnsi="Nimbus Roman" w:eastAsia="宋体" w:cs="Nimbus Roman"/>
                <w:color w:val="000000"/>
                <w:sz w:val="24"/>
              </w:rPr>
            </w:pPr>
            <w:r>
              <w:rPr>
                <w:rFonts w:hint="eastAsia" w:ascii="Nimbus Roman" w:hAnsi="Nimbus Roman" w:eastAsia="宋体" w:cs="Nimbus Roman"/>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AC89F">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18个月</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CAA9D">
            <w:pPr>
              <w:widowControl/>
              <w:spacing w:line="300" w:lineRule="exact"/>
              <w:jc w:val="left"/>
              <w:rPr>
                <w:rFonts w:hint="default" w:ascii="Nimbus Roman" w:hAnsi="Nimbus Roman" w:eastAsia="宋体" w:cs="Nimbus Roman"/>
                <w:color w:val="000000"/>
                <w:sz w:val="24"/>
              </w:rPr>
            </w:pPr>
            <w:r>
              <w:rPr>
                <w:rFonts w:hint="eastAsia" w:ascii="Nimbus Roman" w:hAnsi="Nimbus Roman" w:eastAsia="宋体" w:cs="Nimbus Roman"/>
                <w:color w:val="000000"/>
                <w:sz w:val="24"/>
                <w:lang w:eastAsia="zh-CN"/>
              </w:rPr>
              <w:t>月</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B7866">
            <w:pPr>
              <w:widowControl/>
              <w:spacing w:line="300" w:lineRule="exact"/>
              <w:jc w:val="left"/>
              <w:rPr>
                <w:rFonts w:hint="eastAsia"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C4840">
            <w:pPr>
              <w:widowControl/>
              <w:spacing w:line="300" w:lineRule="exact"/>
              <w:jc w:val="left"/>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18</w:t>
            </w:r>
          </w:p>
        </w:tc>
      </w:tr>
      <w:tr w14:paraId="404D440A">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FC71E">
            <w:pPr>
              <w:widowControl/>
              <w:spacing w:line="300" w:lineRule="exact"/>
              <w:jc w:val="center"/>
              <w:rPr>
                <w:rFonts w:hint="default" w:ascii="Nimbus Roman" w:hAnsi="Nimbus Roman" w:eastAsia="宋体" w:cs="Nimbus Roman"/>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F73031">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效益指标</w:t>
            </w:r>
          </w:p>
        </w:tc>
        <w:tc>
          <w:tcPr>
            <w:tcW w:w="1273" w:type="dxa"/>
            <w:vMerge w:val="restart"/>
            <w:tcBorders>
              <w:top w:val="single" w:color="000000" w:sz="4" w:space="0"/>
              <w:left w:val="single" w:color="000000" w:sz="4" w:space="0"/>
              <w:right w:val="single" w:color="000000" w:sz="4" w:space="0"/>
            </w:tcBorders>
            <w:shd w:val="clear" w:color="auto" w:fill="auto"/>
            <w:vAlign w:val="center"/>
          </w:tcPr>
          <w:p w14:paraId="5338BE2C">
            <w:pPr>
              <w:widowControl/>
              <w:spacing w:line="300" w:lineRule="exact"/>
              <w:jc w:val="center"/>
              <w:textAlignment w:val="center"/>
              <w:rPr>
                <w:rFonts w:hint="default" w:ascii="Nimbus Roman" w:hAnsi="Nimbus Roman" w:eastAsia="宋体" w:cs="Nimbus Roman"/>
                <w:color w:val="000000"/>
                <w:kern w:val="0"/>
                <w:sz w:val="24"/>
                <w:lang w:bidi="ar"/>
              </w:rPr>
            </w:pPr>
            <w:r>
              <w:rPr>
                <w:rFonts w:hint="default" w:ascii="Nimbus Roman" w:hAnsi="Nimbus Roman" w:eastAsia="宋体" w:cs="Nimbus Roman"/>
                <w:color w:val="000000"/>
                <w:kern w:val="0"/>
                <w:sz w:val="24"/>
                <w:lang w:bidi="ar"/>
              </w:rPr>
              <w:t>社会效益</w:t>
            </w:r>
          </w:p>
          <w:p w14:paraId="618ED4AF">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3207">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调节金口河供应总量</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E143">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BEFB">
            <w:pPr>
              <w:widowControl/>
              <w:spacing w:line="300" w:lineRule="exact"/>
              <w:jc w:val="left"/>
              <w:rPr>
                <w:rFonts w:hint="eastAsia" w:ascii="Nimbus Roman" w:hAnsi="Nimbus Roman" w:eastAsia="宋体" w:cs="Nimbus Roman"/>
                <w:color w:val="000000"/>
                <w:sz w:val="24"/>
                <w:lang w:eastAsia="zh-CN"/>
              </w:rPr>
            </w:pPr>
            <w:r>
              <w:rPr>
                <w:rFonts w:hint="eastAsia" w:ascii="Nimbus Roman" w:hAnsi="Nimbus Roman" w:eastAsia="宋体" w:cs="Nimbus Roman"/>
                <w:color w:val="000000"/>
                <w:sz w:val="24"/>
                <w:lang w:eastAsia="zh-CN"/>
              </w:rPr>
              <w:t>保障供应平衡</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94DB">
            <w:pPr>
              <w:widowControl/>
              <w:spacing w:line="300" w:lineRule="exact"/>
              <w:jc w:val="left"/>
              <w:rPr>
                <w:rFonts w:hint="default" w:ascii="Nimbus Roman" w:hAnsi="Nimbus Roman" w:eastAsia="宋体" w:cs="Nimbus Roman"/>
                <w:color w:val="000000"/>
                <w:sz w:val="24"/>
              </w:rPr>
            </w:pPr>
            <w:r>
              <w:rPr>
                <w:rFonts w:hint="eastAsia" w:ascii="Nimbus Roman" w:hAnsi="Nimbus Roman" w:eastAsia="宋体" w:cs="Nimbus Roman"/>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56C5">
            <w:pPr>
              <w:widowControl/>
              <w:spacing w:line="300" w:lineRule="exact"/>
              <w:jc w:val="left"/>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E28A">
            <w:pPr>
              <w:widowControl/>
              <w:spacing w:line="300" w:lineRule="exact"/>
              <w:jc w:val="left"/>
              <w:rPr>
                <w:rFonts w:hint="eastAsia" w:ascii="Nimbus Roman" w:hAnsi="Nimbus Roman" w:eastAsia="宋体" w:cs="Nimbus Roman"/>
                <w:color w:val="000000"/>
                <w:sz w:val="24"/>
                <w:lang w:eastAsia="zh-CN"/>
              </w:rPr>
            </w:pPr>
            <w:r>
              <w:rPr>
                <w:rFonts w:hint="eastAsia" w:ascii="Nimbus Roman" w:hAnsi="Nimbus Roman" w:eastAsia="宋体" w:cs="Nimbus Roman"/>
                <w:color w:val="000000"/>
                <w:sz w:val="24"/>
                <w:lang w:eastAsia="zh-CN"/>
              </w:rPr>
              <w:t>保障</w:t>
            </w:r>
          </w:p>
        </w:tc>
      </w:tr>
      <w:tr w14:paraId="74E57A55">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66FBC">
            <w:pPr>
              <w:widowControl/>
              <w:spacing w:line="300" w:lineRule="exact"/>
              <w:jc w:val="center"/>
              <w:rPr>
                <w:rFonts w:hint="default" w:ascii="Nimbus Roman" w:hAnsi="Nimbus Roman" w:eastAsia="宋体" w:cs="Nimbus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7C32D">
            <w:pPr>
              <w:widowControl/>
              <w:spacing w:line="300" w:lineRule="exact"/>
              <w:jc w:val="center"/>
              <w:rPr>
                <w:rFonts w:hint="default" w:ascii="Nimbus Roman" w:hAnsi="Nimbus Roman" w:eastAsia="宋体" w:cs="Nimbus Roman"/>
                <w:color w:val="000000"/>
                <w:sz w:val="24"/>
              </w:rPr>
            </w:pPr>
          </w:p>
        </w:tc>
        <w:tc>
          <w:tcPr>
            <w:tcW w:w="1273" w:type="dxa"/>
            <w:vMerge w:val="continue"/>
            <w:tcBorders>
              <w:top w:val="single" w:color="000000" w:sz="4" w:space="0"/>
              <w:left w:val="single" w:color="000000" w:sz="4" w:space="0"/>
              <w:right w:val="single" w:color="000000" w:sz="4" w:space="0"/>
            </w:tcBorders>
            <w:shd w:val="clear" w:color="auto" w:fill="auto"/>
            <w:vAlign w:val="center"/>
          </w:tcPr>
          <w:p w14:paraId="132BB4F2">
            <w:pPr>
              <w:widowControl/>
              <w:spacing w:line="300" w:lineRule="exact"/>
              <w:jc w:val="center"/>
              <w:rPr>
                <w:rFonts w:hint="default" w:ascii="Nimbus Roman" w:hAnsi="Nimbus Roman" w:eastAsia="宋体" w:cs="Nimbus Roman"/>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171A">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保障基本支出</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1E89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91397">
            <w:pPr>
              <w:widowControl/>
              <w:spacing w:line="300" w:lineRule="exact"/>
              <w:jc w:val="left"/>
              <w:rPr>
                <w:rFonts w:hint="eastAsia" w:ascii="Nimbus Roman" w:hAnsi="Nimbus Roman" w:eastAsia="宋体" w:cs="Nimbus Roman"/>
                <w:color w:val="000000"/>
                <w:sz w:val="24"/>
                <w:lang w:eastAsia="zh-CN"/>
              </w:rPr>
            </w:pPr>
            <w:r>
              <w:rPr>
                <w:rFonts w:hint="eastAsia" w:ascii="Nimbus Roman" w:hAnsi="Nimbus Roman" w:eastAsia="宋体" w:cs="Nimbus Roman"/>
                <w:color w:val="000000"/>
                <w:sz w:val="24"/>
                <w:lang w:eastAsia="zh-CN"/>
              </w:rPr>
              <w:t>保障</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0005">
            <w:pPr>
              <w:widowControl/>
              <w:spacing w:line="300" w:lineRule="exact"/>
              <w:jc w:val="left"/>
              <w:rPr>
                <w:rFonts w:hint="eastAsia"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FE01">
            <w:pPr>
              <w:widowControl/>
              <w:spacing w:line="300" w:lineRule="exact"/>
              <w:jc w:val="left"/>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08BA7">
            <w:pPr>
              <w:widowControl/>
              <w:spacing w:line="300" w:lineRule="exact"/>
              <w:jc w:val="left"/>
              <w:rPr>
                <w:rFonts w:hint="eastAsia" w:ascii="Nimbus Roman" w:hAnsi="Nimbus Roman" w:eastAsia="宋体" w:cs="Nimbus Roman"/>
                <w:color w:val="000000"/>
                <w:sz w:val="24"/>
                <w:lang w:eastAsia="zh-CN"/>
              </w:rPr>
            </w:pPr>
            <w:r>
              <w:rPr>
                <w:rFonts w:hint="eastAsia" w:ascii="Nimbus Roman" w:hAnsi="Nimbus Roman" w:eastAsia="宋体" w:cs="Nimbus Roman"/>
                <w:color w:val="000000"/>
                <w:sz w:val="24"/>
                <w:lang w:eastAsia="zh-CN"/>
              </w:rPr>
              <w:t>保障</w:t>
            </w:r>
          </w:p>
        </w:tc>
      </w:tr>
      <w:tr w14:paraId="5025177C">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60E8C">
            <w:pPr>
              <w:widowControl/>
              <w:spacing w:line="300" w:lineRule="exact"/>
              <w:jc w:val="center"/>
              <w:rPr>
                <w:rFonts w:hint="default" w:ascii="Nimbus Roman" w:hAnsi="Nimbus Roman" w:eastAsia="宋体" w:cs="Nimbus Roman"/>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D33D1">
            <w:pPr>
              <w:widowControl/>
              <w:spacing w:line="300" w:lineRule="exact"/>
              <w:jc w:val="center"/>
              <w:rPr>
                <w:rFonts w:hint="default" w:ascii="Nimbus Roman" w:hAnsi="Nimbus Roman" w:eastAsia="宋体" w:cs="Nimbus Roman"/>
                <w:color w:val="000000"/>
                <w:sz w:val="24"/>
              </w:rPr>
            </w:pPr>
          </w:p>
        </w:tc>
        <w:tc>
          <w:tcPr>
            <w:tcW w:w="1273" w:type="dxa"/>
            <w:vMerge w:val="continue"/>
            <w:tcBorders>
              <w:top w:val="single" w:color="000000" w:sz="4" w:space="0"/>
              <w:left w:val="single" w:color="000000" w:sz="4" w:space="0"/>
              <w:right w:val="single" w:color="000000" w:sz="4" w:space="0"/>
            </w:tcBorders>
            <w:shd w:val="clear" w:color="auto" w:fill="auto"/>
            <w:vAlign w:val="center"/>
          </w:tcPr>
          <w:p w14:paraId="03986FC8">
            <w:pPr>
              <w:widowControl/>
              <w:spacing w:line="300" w:lineRule="exact"/>
              <w:jc w:val="center"/>
              <w:rPr>
                <w:rFonts w:hint="default" w:ascii="Nimbus Roman" w:hAnsi="Nimbus Roman" w:eastAsia="宋体" w:cs="Nimbus Roman"/>
                <w:color w:val="000000"/>
                <w:sz w:val="24"/>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A948">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提供抗灾能力</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0AF13">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D562">
            <w:pPr>
              <w:widowControl/>
              <w:spacing w:line="300" w:lineRule="exact"/>
              <w:jc w:val="left"/>
              <w:rPr>
                <w:rFonts w:hint="eastAsia" w:ascii="Nimbus Roman" w:hAnsi="Nimbus Roman" w:eastAsia="宋体" w:cs="Nimbus Roman"/>
                <w:color w:val="000000"/>
                <w:sz w:val="24"/>
                <w:lang w:eastAsia="zh-CN"/>
              </w:rPr>
            </w:pPr>
            <w:r>
              <w:rPr>
                <w:rFonts w:hint="eastAsia" w:ascii="Nimbus Roman" w:hAnsi="Nimbus Roman" w:eastAsia="宋体" w:cs="Nimbus Roman"/>
                <w:color w:val="000000"/>
                <w:sz w:val="24"/>
                <w:lang w:eastAsia="zh-CN"/>
              </w:rPr>
              <w:t>提供</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1BFF">
            <w:pPr>
              <w:widowControl/>
              <w:spacing w:line="300" w:lineRule="exact"/>
              <w:jc w:val="left"/>
              <w:rPr>
                <w:rFonts w:hint="eastAsia" w:ascii="Nimbus Roman" w:hAnsi="Nimbus Roman" w:eastAsia="宋体" w:cs="Nimbus Roman"/>
                <w:color w:val="000000"/>
                <w:sz w:val="24"/>
                <w:lang w:eastAsia="zh-CN"/>
              </w:rPr>
            </w:pPr>
            <w:r>
              <w:rPr>
                <w:rFonts w:hint="eastAsia" w:ascii="Nimbus Roman" w:hAnsi="Nimbus Roman" w:eastAsia="宋体" w:cs="Nimbus Roman"/>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134E">
            <w:pPr>
              <w:widowControl/>
              <w:spacing w:line="300" w:lineRule="exact"/>
              <w:jc w:val="left"/>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8809">
            <w:pPr>
              <w:widowControl/>
              <w:spacing w:line="300" w:lineRule="exact"/>
              <w:jc w:val="left"/>
              <w:rPr>
                <w:rFonts w:hint="eastAsia" w:ascii="Nimbus Roman" w:hAnsi="Nimbus Roman" w:eastAsia="宋体" w:cs="Nimbus Roman"/>
                <w:color w:val="000000"/>
                <w:sz w:val="24"/>
                <w:lang w:eastAsia="zh-CN"/>
              </w:rPr>
            </w:pPr>
            <w:r>
              <w:rPr>
                <w:rFonts w:hint="eastAsia" w:ascii="Nimbus Roman" w:hAnsi="Nimbus Roman" w:eastAsia="宋体" w:cs="Nimbus Roman"/>
                <w:color w:val="000000"/>
                <w:sz w:val="24"/>
                <w:lang w:eastAsia="zh-CN"/>
              </w:rPr>
              <w:t>提供</w:t>
            </w:r>
          </w:p>
        </w:tc>
      </w:tr>
      <w:tr w14:paraId="1D6F7BDC">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91641">
            <w:pPr>
              <w:widowControl/>
              <w:spacing w:line="300" w:lineRule="exact"/>
              <w:jc w:val="center"/>
              <w:rPr>
                <w:rFonts w:hint="default" w:ascii="Nimbus Roman" w:hAnsi="Nimbus Roman" w:eastAsia="宋体" w:cs="Nimbus Roman"/>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11FA">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674F">
            <w:pPr>
              <w:widowControl/>
              <w:spacing w:line="300" w:lineRule="exact"/>
              <w:jc w:val="center"/>
              <w:textAlignment w:val="center"/>
              <w:rPr>
                <w:rFonts w:hint="default" w:ascii="Nimbus Roman" w:hAnsi="Nimbus Roman" w:eastAsia="宋体" w:cs="Nimbus Roman"/>
                <w:color w:val="000000"/>
                <w:sz w:val="24"/>
              </w:rPr>
            </w:pPr>
            <w:r>
              <w:rPr>
                <w:rFonts w:hint="default" w:ascii="Nimbus Roman" w:hAnsi="Nimbus Roman" w:eastAsia="宋体" w:cs="Nimbus Roman"/>
                <w:color w:val="000000"/>
                <w:kern w:val="0"/>
                <w:sz w:val="24"/>
                <w:lang w:bidi="ar"/>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ACE6">
            <w:pPr>
              <w:keepNext w:val="0"/>
              <w:keepLines w:val="0"/>
              <w:widowControl/>
              <w:suppressLineNumbers w:val="0"/>
              <w:jc w:val="left"/>
              <w:textAlignment w:val="center"/>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群众满意度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0B299">
            <w:pPr>
              <w:keepNext w:val="0"/>
              <w:keepLines w:val="0"/>
              <w:widowControl/>
              <w:suppressLineNumbers w:val="0"/>
              <w:jc w:val="left"/>
              <w:textAlignment w:val="center"/>
              <w:rPr>
                <w:rFonts w:hint="eastAsia" w:ascii="Nimbus Roman" w:hAnsi="Nimbus Roman" w:eastAsia="宋体" w:cs="Nimbus Roman"/>
                <w:color w:val="000000"/>
                <w:sz w:val="24"/>
                <w:lang w:eastAsia="zh-CN"/>
              </w:rPr>
            </w:pPr>
            <w:r>
              <w:rPr>
                <w:rFonts w:hint="eastAsia" w:ascii="Nimbus Roman" w:hAnsi="Nimbus Roman" w:eastAsia="宋体" w:cs="Nimbus Roman"/>
                <w:color w:val="000000"/>
                <w:sz w:val="24"/>
                <w:lang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8602">
            <w:pPr>
              <w:widowControl/>
              <w:spacing w:line="300" w:lineRule="exact"/>
              <w:jc w:val="left"/>
              <w:rPr>
                <w:rFonts w:hint="default" w:ascii="Nimbus Roman" w:hAnsi="Nimbus Roman" w:eastAsia="宋体" w:cs="Nimbus Roman"/>
                <w:color w:val="000000"/>
                <w:sz w:val="24"/>
              </w:rPr>
            </w:pPr>
            <w:r>
              <w:rPr>
                <w:rFonts w:hint="eastAsia" w:ascii="宋体" w:hAnsi="宋体" w:eastAsia="宋体" w:cs="宋体"/>
                <w:i w:val="0"/>
                <w:iCs w:val="0"/>
                <w:color w:val="000000"/>
                <w:kern w:val="0"/>
                <w:sz w:val="24"/>
                <w:szCs w:val="24"/>
                <w:u w:val="none"/>
                <w:lang w:val="en-US" w:eastAsia="zh-CN" w:bidi="ar"/>
              </w:rPr>
              <w:t>90%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4BD1">
            <w:pPr>
              <w:widowControl/>
              <w:spacing w:line="300" w:lineRule="exact"/>
              <w:jc w:val="left"/>
              <w:rPr>
                <w:rFonts w:hint="default" w:ascii="Nimbus Roman" w:hAnsi="Nimbus Roman" w:eastAsia="宋体" w:cs="Nimbus Roman"/>
                <w:color w:val="000000"/>
                <w:sz w:val="24"/>
              </w:rPr>
            </w:pPr>
            <w:r>
              <w:rPr>
                <w:rFonts w:hint="eastAsia" w:ascii="Nimbus Roman" w:hAnsi="Nimbus Roman" w:eastAsia="宋体" w:cs="Nimbus Roman"/>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C8F3F">
            <w:pPr>
              <w:widowControl/>
              <w:spacing w:line="300" w:lineRule="exact"/>
              <w:jc w:val="left"/>
              <w:rPr>
                <w:rFonts w:hint="default" w:ascii="Nimbus Roman" w:hAnsi="Nimbus Roman" w:eastAsia="宋体" w:cs="Nimbus Roman"/>
                <w:color w:val="000000"/>
                <w:sz w:val="24"/>
                <w:lang w:val="en-US" w:eastAsia="zh-CN"/>
              </w:rPr>
            </w:pPr>
            <w:r>
              <w:rPr>
                <w:rFonts w:hint="eastAsia" w:ascii="Nimbus Roman" w:hAnsi="Nimbus Roman" w:eastAsia="宋体" w:cs="Nimbus Roman"/>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FF753">
            <w:pPr>
              <w:widowControl/>
              <w:spacing w:line="300" w:lineRule="exact"/>
              <w:jc w:val="left"/>
              <w:rPr>
                <w:rFonts w:hint="default" w:ascii="Nimbus Roman" w:hAnsi="Nimbus Roman" w:eastAsia="宋体" w:cs="Nimbus Roman"/>
                <w:color w:val="000000"/>
                <w:sz w:val="24"/>
                <w:lang w:val="en-US"/>
              </w:rPr>
            </w:pPr>
            <w:r>
              <w:rPr>
                <w:rFonts w:hint="eastAsia" w:ascii="宋体" w:hAnsi="宋体" w:eastAsia="宋体" w:cs="宋体"/>
                <w:i w:val="0"/>
                <w:iCs w:val="0"/>
                <w:color w:val="000000"/>
                <w:kern w:val="0"/>
                <w:sz w:val="24"/>
                <w:szCs w:val="24"/>
                <w:u w:val="none"/>
                <w:lang w:val="en-US" w:eastAsia="zh-CN" w:bidi="ar"/>
              </w:rPr>
              <w:t>90%</w:t>
            </w:r>
          </w:p>
        </w:tc>
      </w:tr>
    </w:tbl>
    <w:p w14:paraId="1CBE9540">
      <w:pPr>
        <w:pStyle w:val="10"/>
        <w:ind w:left="0" w:leftChars="0" w:firstLine="0" w:firstLineChars="0"/>
        <w:rPr>
          <w:rFonts w:ascii="Times New Roman" w:eastAsia="黑体"/>
          <w:sz w:val="24"/>
          <w:szCs w:val="24"/>
        </w:rPr>
      </w:pPr>
    </w:p>
    <w:p w14:paraId="0090965A">
      <w:pPr>
        <w:pStyle w:val="10"/>
        <w:ind w:left="0" w:leftChars="0" w:firstLine="0" w:firstLineChars="0"/>
        <w:rPr>
          <w:rFonts w:ascii="Times New Roman" w:eastAsia="黑体"/>
          <w:sz w:val="24"/>
          <w:szCs w:val="24"/>
        </w:rPr>
      </w:pPr>
    </w:p>
    <w:p w14:paraId="5E2C314F">
      <w:pPr>
        <w:pStyle w:val="10"/>
        <w:ind w:left="0" w:leftChars="0" w:firstLine="0" w:firstLineChars="0"/>
        <w:rPr>
          <w:rFonts w:ascii="Times New Roman" w:eastAsia="黑体"/>
          <w:sz w:val="24"/>
          <w:szCs w:val="24"/>
        </w:rPr>
      </w:pPr>
    </w:p>
    <w:p w14:paraId="2305357E">
      <w:pPr>
        <w:pStyle w:val="10"/>
        <w:ind w:left="0" w:leftChars="0" w:firstLine="0" w:firstLineChars="0"/>
        <w:rPr>
          <w:rFonts w:ascii="Times New Roman" w:eastAsia="黑体"/>
          <w:sz w:val="24"/>
          <w:szCs w:val="24"/>
        </w:rPr>
      </w:pPr>
    </w:p>
    <w:p w14:paraId="77DCBAAD">
      <w:pPr>
        <w:pStyle w:val="10"/>
        <w:ind w:left="0" w:leftChars="0" w:firstLine="0" w:firstLineChars="0"/>
        <w:rPr>
          <w:rFonts w:ascii="Times New Roman" w:eastAsia="黑体"/>
          <w:sz w:val="24"/>
          <w:szCs w:val="24"/>
        </w:rPr>
      </w:pPr>
    </w:p>
    <w:p w14:paraId="6EEDBBAB">
      <w:pPr>
        <w:spacing w:line="590" w:lineRule="exact"/>
        <w:jc w:val="both"/>
        <w:rPr>
          <w:rFonts w:eastAsia="方正小标宋简体"/>
          <w:color w:val="000000"/>
          <w:kern w:val="0"/>
          <w:sz w:val="44"/>
          <w:szCs w:val="44"/>
          <w:lang w:bidi="ar"/>
        </w:rPr>
      </w:pPr>
    </w:p>
    <w:sectPr>
      <w:headerReference r:id="rId3" w:type="default"/>
      <w:footerReference r:id="rId4" w:type="default"/>
      <w:pgSz w:w="11906" w:h="16838"/>
      <w:pgMar w:top="2041" w:right="1468" w:bottom="1587" w:left="1468" w:header="851" w:footer="1417" w:gutter="0"/>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Nimbus Roman">
    <w:panose1 w:val="00000500000000000000"/>
    <w:charset w:val="00"/>
    <w:family w:val="auto"/>
    <w:pitch w:val="default"/>
    <w:sig w:usb0="00000287" w:usb1="00000800" w:usb2="00000000" w:usb3="00000000" w:csb0="6000009F"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
    <w:altName w:val="C059"/>
    <w:panose1 w:val="00000000000000000000"/>
    <w:charset w:val="00"/>
    <w:family w:val="roman"/>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Wingdings 2">
    <w:altName w:val="Kingsoft UE"/>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7A25C">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6ED55">
                          <w:pPr>
                            <w:snapToGrid w:val="0"/>
                            <w:ind w:left="320" w:leftChars="100" w:right="320" w:rightChars="10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7</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836ED55">
                    <w:pPr>
                      <w:snapToGrid w:val="0"/>
                      <w:ind w:left="320" w:leftChars="100" w:right="320" w:rightChars="100"/>
                      <w:rPr>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7</w:t>
                    </w:r>
                    <w:r>
                      <w:rPr>
                        <w:rFonts w:hint="eastAsia"/>
                        <w:sz w:val="28"/>
                        <w:szCs w:val="28"/>
                      </w:rPr>
                      <w:fldChar w:fldCharType="end"/>
                    </w:r>
                    <w:r>
                      <w:rPr>
                        <w:rFonts w:hint="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5459A">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6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174"/>
    <w:rsid w:val="00006E4D"/>
    <w:rsid w:val="00021652"/>
    <w:rsid w:val="00030311"/>
    <w:rsid w:val="00030782"/>
    <w:rsid w:val="00030B66"/>
    <w:rsid w:val="0006102A"/>
    <w:rsid w:val="00065B0F"/>
    <w:rsid w:val="00065E7E"/>
    <w:rsid w:val="000820BB"/>
    <w:rsid w:val="0008241B"/>
    <w:rsid w:val="00092280"/>
    <w:rsid w:val="00097FAE"/>
    <w:rsid w:val="000A3233"/>
    <w:rsid w:val="000A7CE3"/>
    <w:rsid w:val="000B04D6"/>
    <w:rsid w:val="000B15CE"/>
    <w:rsid w:val="000C40C6"/>
    <w:rsid w:val="000C79C1"/>
    <w:rsid w:val="000D208A"/>
    <w:rsid w:val="000E037E"/>
    <w:rsid w:val="000F659A"/>
    <w:rsid w:val="000F77B0"/>
    <w:rsid w:val="0010235D"/>
    <w:rsid w:val="00103A47"/>
    <w:rsid w:val="00106D4D"/>
    <w:rsid w:val="001119A2"/>
    <w:rsid w:val="001221D6"/>
    <w:rsid w:val="0012510A"/>
    <w:rsid w:val="00125F67"/>
    <w:rsid w:val="001261AE"/>
    <w:rsid w:val="001348A4"/>
    <w:rsid w:val="0014117C"/>
    <w:rsid w:val="00146FE8"/>
    <w:rsid w:val="0014767B"/>
    <w:rsid w:val="00147AED"/>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42AA"/>
    <w:rsid w:val="002B5B34"/>
    <w:rsid w:val="002B6906"/>
    <w:rsid w:val="002B7215"/>
    <w:rsid w:val="002C0AFD"/>
    <w:rsid w:val="002C59D0"/>
    <w:rsid w:val="002D1A18"/>
    <w:rsid w:val="002D6C79"/>
    <w:rsid w:val="002E1104"/>
    <w:rsid w:val="002E3FDD"/>
    <w:rsid w:val="00300EF4"/>
    <w:rsid w:val="00301353"/>
    <w:rsid w:val="00305FF6"/>
    <w:rsid w:val="00307568"/>
    <w:rsid w:val="00311506"/>
    <w:rsid w:val="00316ADB"/>
    <w:rsid w:val="00317623"/>
    <w:rsid w:val="00335F67"/>
    <w:rsid w:val="003361E9"/>
    <w:rsid w:val="00350A65"/>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E752F"/>
    <w:rsid w:val="004F1E37"/>
    <w:rsid w:val="00515198"/>
    <w:rsid w:val="00521C44"/>
    <w:rsid w:val="005274E1"/>
    <w:rsid w:val="00531DDF"/>
    <w:rsid w:val="00535FA6"/>
    <w:rsid w:val="00542AB7"/>
    <w:rsid w:val="0055358D"/>
    <w:rsid w:val="005540C8"/>
    <w:rsid w:val="00555809"/>
    <w:rsid w:val="00562165"/>
    <w:rsid w:val="005756AF"/>
    <w:rsid w:val="00575A4A"/>
    <w:rsid w:val="00591B6F"/>
    <w:rsid w:val="005A1DAF"/>
    <w:rsid w:val="005C17C8"/>
    <w:rsid w:val="005C2098"/>
    <w:rsid w:val="005C2E6C"/>
    <w:rsid w:val="005D0CCF"/>
    <w:rsid w:val="005D1C01"/>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732A1"/>
    <w:rsid w:val="00774C4A"/>
    <w:rsid w:val="00782BBB"/>
    <w:rsid w:val="007A0690"/>
    <w:rsid w:val="007A078F"/>
    <w:rsid w:val="007B34D4"/>
    <w:rsid w:val="007C0633"/>
    <w:rsid w:val="007D086C"/>
    <w:rsid w:val="007F1BE1"/>
    <w:rsid w:val="007F707F"/>
    <w:rsid w:val="007F794C"/>
    <w:rsid w:val="007F7AC9"/>
    <w:rsid w:val="00801BD1"/>
    <w:rsid w:val="00803B42"/>
    <w:rsid w:val="008073EF"/>
    <w:rsid w:val="0081095C"/>
    <w:rsid w:val="00810C41"/>
    <w:rsid w:val="008212FF"/>
    <w:rsid w:val="0082593B"/>
    <w:rsid w:val="00827537"/>
    <w:rsid w:val="008468EA"/>
    <w:rsid w:val="00867140"/>
    <w:rsid w:val="00881134"/>
    <w:rsid w:val="008904F0"/>
    <w:rsid w:val="008B2F27"/>
    <w:rsid w:val="008B4A72"/>
    <w:rsid w:val="008B585E"/>
    <w:rsid w:val="008E6C0C"/>
    <w:rsid w:val="008F1E63"/>
    <w:rsid w:val="008F3052"/>
    <w:rsid w:val="008F70A5"/>
    <w:rsid w:val="00901E19"/>
    <w:rsid w:val="009214F7"/>
    <w:rsid w:val="00921CD7"/>
    <w:rsid w:val="00940EB6"/>
    <w:rsid w:val="00944771"/>
    <w:rsid w:val="009601FC"/>
    <w:rsid w:val="00965426"/>
    <w:rsid w:val="0096654A"/>
    <w:rsid w:val="009711E4"/>
    <w:rsid w:val="00971572"/>
    <w:rsid w:val="00981E55"/>
    <w:rsid w:val="00986CEF"/>
    <w:rsid w:val="00987212"/>
    <w:rsid w:val="009A0E5F"/>
    <w:rsid w:val="009B4C93"/>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6D31"/>
    <w:rsid w:val="00AB7996"/>
    <w:rsid w:val="00AC43C3"/>
    <w:rsid w:val="00AE2EAD"/>
    <w:rsid w:val="00AF77BE"/>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E0305"/>
    <w:rsid w:val="00BF15F0"/>
    <w:rsid w:val="00BF7DF9"/>
    <w:rsid w:val="00C03559"/>
    <w:rsid w:val="00C05395"/>
    <w:rsid w:val="00C22AD7"/>
    <w:rsid w:val="00C272C1"/>
    <w:rsid w:val="00C32A68"/>
    <w:rsid w:val="00C34282"/>
    <w:rsid w:val="00C35350"/>
    <w:rsid w:val="00C3564B"/>
    <w:rsid w:val="00C53721"/>
    <w:rsid w:val="00C64D2E"/>
    <w:rsid w:val="00C70F97"/>
    <w:rsid w:val="00C7497C"/>
    <w:rsid w:val="00C757A2"/>
    <w:rsid w:val="00C75966"/>
    <w:rsid w:val="00C76577"/>
    <w:rsid w:val="00C80225"/>
    <w:rsid w:val="00C81349"/>
    <w:rsid w:val="00C93139"/>
    <w:rsid w:val="00CA08A0"/>
    <w:rsid w:val="00CA32D2"/>
    <w:rsid w:val="00CA498E"/>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55B5"/>
    <w:rsid w:val="00D43DC3"/>
    <w:rsid w:val="00D51791"/>
    <w:rsid w:val="00D5281E"/>
    <w:rsid w:val="00D6531B"/>
    <w:rsid w:val="00D6612D"/>
    <w:rsid w:val="00D71AD9"/>
    <w:rsid w:val="00D73C02"/>
    <w:rsid w:val="00D872ED"/>
    <w:rsid w:val="00D913C6"/>
    <w:rsid w:val="00DA0236"/>
    <w:rsid w:val="00DA5D51"/>
    <w:rsid w:val="00DA5E29"/>
    <w:rsid w:val="00DA61CA"/>
    <w:rsid w:val="00DB66BB"/>
    <w:rsid w:val="00DB73AF"/>
    <w:rsid w:val="00DC1580"/>
    <w:rsid w:val="00DC2865"/>
    <w:rsid w:val="00DD0894"/>
    <w:rsid w:val="00DE1888"/>
    <w:rsid w:val="00DF1250"/>
    <w:rsid w:val="00DF6EF7"/>
    <w:rsid w:val="00E05454"/>
    <w:rsid w:val="00E074C3"/>
    <w:rsid w:val="00E23329"/>
    <w:rsid w:val="00E24D6D"/>
    <w:rsid w:val="00E341B2"/>
    <w:rsid w:val="00E42633"/>
    <w:rsid w:val="00E5699E"/>
    <w:rsid w:val="00E570E1"/>
    <w:rsid w:val="00E72773"/>
    <w:rsid w:val="00E76739"/>
    <w:rsid w:val="00E81946"/>
    <w:rsid w:val="00E82BB7"/>
    <w:rsid w:val="00E86D13"/>
    <w:rsid w:val="00E936C2"/>
    <w:rsid w:val="00E95346"/>
    <w:rsid w:val="00EA0CEF"/>
    <w:rsid w:val="00EA2E2A"/>
    <w:rsid w:val="00EB79D2"/>
    <w:rsid w:val="00EC0174"/>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E71BC"/>
    <w:rsid w:val="00FF2572"/>
    <w:rsid w:val="00FF32AD"/>
    <w:rsid w:val="02197887"/>
    <w:rsid w:val="0DC31556"/>
    <w:rsid w:val="0DE454AF"/>
    <w:rsid w:val="1A3D6143"/>
    <w:rsid w:val="1AC04E66"/>
    <w:rsid w:val="1C013801"/>
    <w:rsid w:val="1DFD8D3B"/>
    <w:rsid w:val="1EEB7A66"/>
    <w:rsid w:val="1FB79DC9"/>
    <w:rsid w:val="1FBFC3F2"/>
    <w:rsid w:val="1FFFE033"/>
    <w:rsid w:val="27F352A6"/>
    <w:rsid w:val="2D527252"/>
    <w:rsid w:val="2DDC1740"/>
    <w:rsid w:val="2EAE55F2"/>
    <w:rsid w:val="2EDF4302"/>
    <w:rsid w:val="2EFE1A04"/>
    <w:rsid w:val="35BBF80F"/>
    <w:rsid w:val="3B736F08"/>
    <w:rsid w:val="3BE3D531"/>
    <w:rsid w:val="3D431A40"/>
    <w:rsid w:val="3EFF42CA"/>
    <w:rsid w:val="3F814436"/>
    <w:rsid w:val="3FD5AF3D"/>
    <w:rsid w:val="3FFA776B"/>
    <w:rsid w:val="3FFED8BE"/>
    <w:rsid w:val="3FFF43BB"/>
    <w:rsid w:val="433DCF8E"/>
    <w:rsid w:val="45FF973D"/>
    <w:rsid w:val="47550EBA"/>
    <w:rsid w:val="4BF7E09D"/>
    <w:rsid w:val="4CF11FC1"/>
    <w:rsid w:val="4EFE0D5A"/>
    <w:rsid w:val="4FD703BD"/>
    <w:rsid w:val="4FFFBD73"/>
    <w:rsid w:val="522F3007"/>
    <w:rsid w:val="53BB74FC"/>
    <w:rsid w:val="55FDDF92"/>
    <w:rsid w:val="55FFBC03"/>
    <w:rsid w:val="56CDA72E"/>
    <w:rsid w:val="56E312A0"/>
    <w:rsid w:val="576F5916"/>
    <w:rsid w:val="577FDAE2"/>
    <w:rsid w:val="57BF0268"/>
    <w:rsid w:val="57FBE2C7"/>
    <w:rsid w:val="58D47500"/>
    <w:rsid w:val="5B335734"/>
    <w:rsid w:val="5B7F322F"/>
    <w:rsid w:val="5BCAB023"/>
    <w:rsid w:val="5CFFE874"/>
    <w:rsid w:val="5DDA9B94"/>
    <w:rsid w:val="5EAB810D"/>
    <w:rsid w:val="5EFF9DA6"/>
    <w:rsid w:val="5F7751B9"/>
    <w:rsid w:val="5F7D0DB2"/>
    <w:rsid w:val="5F9F7232"/>
    <w:rsid w:val="5F9F9588"/>
    <w:rsid w:val="5FBD32D2"/>
    <w:rsid w:val="5FD450B0"/>
    <w:rsid w:val="5FEF60CD"/>
    <w:rsid w:val="5FFB203D"/>
    <w:rsid w:val="5FFB8CF9"/>
    <w:rsid w:val="63DBAF21"/>
    <w:rsid w:val="6636451A"/>
    <w:rsid w:val="670D2EF0"/>
    <w:rsid w:val="67DE80AA"/>
    <w:rsid w:val="696CA2EF"/>
    <w:rsid w:val="697E3B47"/>
    <w:rsid w:val="69BF132E"/>
    <w:rsid w:val="6BFEE5F3"/>
    <w:rsid w:val="6BFFFDF2"/>
    <w:rsid w:val="6CAFF34E"/>
    <w:rsid w:val="6CFFCF4F"/>
    <w:rsid w:val="6DFFF8B6"/>
    <w:rsid w:val="6EEDE807"/>
    <w:rsid w:val="6EEE4BE4"/>
    <w:rsid w:val="6EF65E9C"/>
    <w:rsid w:val="6F3D9197"/>
    <w:rsid w:val="6FAB3EC4"/>
    <w:rsid w:val="6FB6AF41"/>
    <w:rsid w:val="6FBF8AFC"/>
    <w:rsid w:val="6FD894C8"/>
    <w:rsid w:val="6FE36A9E"/>
    <w:rsid w:val="6FEFB2D1"/>
    <w:rsid w:val="6FFF97E6"/>
    <w:rsid w:val="71397E03"/>
    <w:rsid w:val="71FB5B08"/>
    <w:rsid w:val="73BE8CAA"/>
    <w:rsid w:val="73FB87D9"/>
    <w:rsid w:val="757828E1"/>
    <w:rsid w:val="75EF0FBA"/>
    <w:rsid w:val="75FE766D"/>
    <w:rsid w:val="7607C293"/>
    <w:rsid w:val="76DFA4E8"/>
    <w:rsid w:val="778720BD"/>
    <w:rsid w:val="77A7D615"/>
    <w:rsid w:val="77CF4EC7"/>
    <w:rsid w:val="77DA463F"/>
    <w:rsid w:val="77FF366A"/>
    <w:rsid w:val="77FF8C96"/>
    <w:rsid w:val="77FFA8F9"/>
    <w:rsid w:val="7976604B"/>
    <w:rsid w:val="79F3BC78"/>
    <w:rsid w:val="7A5B6CAA"/>
    <w:rsid w:val="7A9314AC"/>
    <w:rsid w:val="7B4F6850"/>
    <w:rsid w:val="7BABD5C4"/>
    <w:rsid w:val="7BB12055"/>
    <w:rsid w:val="7BBFADBA"/>
    <w:rsid w:val="7BFF492D"/>
    <w:rsid w:val="7C631402"/>
    <w:rsid w:val="7C978C63"/>
    <w:rsid w:val="7CA35AD0"/>
    <w:rsid w:val="7CDF8BC3"/>
    <w:rsid w:val="7CEB72A5"/>
    <w:rsid w:val="7D18750B"/>
    <w:rsid w:val="7DDFDC39"/>
    <w:rsid w:val="7E140770"/>
    <w:rsid w:val="7E5D92FB"/>
    <w:rsid w:val="7E7C4F02"/>
    <w:rsid w:val="7EF51D64"/>
    <w:rsid w:val="7EFF652B"/>
    <w:rsid w:val="7EFFF488"/>
    <w:rsid w:val="7F574612"/>
    <w:rsid w:val="7F7F4920"/>
    <w:rsid w:val="7FB7C299"/>
    <w:rsid w:val="7FBFFB92"/>
    <w:rsid w:val="7FD76ACB"/>
    <w:rsid w:val="7FD89DA2"/>
    <w:rsid w:val="7FDBD805"/>
    <w:rsid w:val="7FDEC14D"/>
    <w:rsid w:val="7FDF8B76"/>
    <w:rsid w:val="7FDFE693"/>
    <w:rsid w:val="7FEFB5DD"/>
    <w:rsid w:val="7FEFBBD9"/>
    <w:rsid w:val="7FFD6A57"/>
    <w:rsid w:val="7FFDA7EC"/>
    <w:rsid w:val="7FFDEA1E"/>
    <w:rsid w:val="7FFEC1F6"/>
    <w:rsid w:val="7FFF2F52"/>
    <w:rsid w:val="8F7B4EC8"/>
    <w:rsid w:val="8FBD4480"/>
    <w:rsid w:val="8FF7AE96"/>
    <w:rsid w:val="955F5184"/>
    <w:rsid w:val="9A7E82CE"/>
    <w:rsid w:val="9F6311D7"/>
    <w:rsid w:val="9FF54399"/>
    <w:rsid w:val="A46D76C1"/>
    <w:rsid w:val="A7FF43C2"/>
    <w:rsid w:val="ABF66286"/>
    <w:rsid w:val="AD9E3F04"/>
    <w:rsid w:val="ADA70464"/>
    <w:rsid w:val="AEF767A0"/>
    <w:rsid w:val="AFE97CD3"/>
    <w:rsid w:val="B1BF5C63"/>
    <w:rsid w:val="B1FF3A18"/>
    <w:rsid w:val="B3CDF284"/>
    <w:rsid w:val="B3E8107B"/>
    <w:rsid w:val="B5F66F24"/>
    <w:rsid w:val="B7F5200A"/>
    <w:rsid w:val="BABDA1AA"/>
    <w:rsid w:val="BB1B4BF1"/>
    <w:rsid w:val="BBE5FE68"/>
    <w:rsid w:val="BBFEB9C1"/>
    <w:rsid w:val="BDED9210"/>
    <w:rsid w:val="BDF7406A"/>
    <w:rsid w:val="BE6FD8DB"/>
    <w:rsid w:val="BEEF57C2"/>
    <w:rsid w:val="BF65B287"/>
    <w:rsid w:val="BF6D5596"/>
    <w:rsid w:val="BFBEBB2C"/>
    <w:rsid w:val="BFC68935"/>
    <w:rsid w:val="BFDD0F1D"/>
    <w:rsid w:val="BFDDD096"/>
    <w:rsid w:val="C5B3F496"/>
    <w:rsid w:val="C96F3E49"/>
    <w:rsid w:val="CBBF14F3"/>
    <w:rsid w:val="CBE5DCF2"/>
    <w:rsid w:val="CBEA8F83"/>
    <w:rsid w:val="CCFCC735"/>
    <w:rsid w:val="CEEB8A74"/>
    <w:rsid w:val="D37FB642"/>
    <w:rsid w:val="D7BCD4BF"/>
    <w:rsid w:val="D7F99798"/>
    <w:rsid w:val="D7FF400C"/>
    <w:rsid w:val="D8DFEFE6"/>
    <w:rsid w:val="DB157385"/>
    <w:rsid w:val="DBED1CD4"/>
    <w:rsid w:val="DBFBB328"/>
    <w:rsid w:val="DDD7453A"/>
    <w:rsid w:val="DE3E1FD7"/>
    <w:rsid w:val="DE3ED5FD"/>
    <w:rsid w:val="DFBE1B79"/>
    <w:rsid w:val="DFCF1FEC"/>
    <w:rsid w:val="DFE75A3D"/>
    <w:rsid w:val="DFED2117"/>
    <w:rsid w:val="DFEF594B"/>
    <w:rsid w:val="DFF3F960"/>
    <w:rsid w:val="DFFE0D61"/>
    <w:rsid w:val="E35C4B3C"/>
    <w:rsid w:val="E3A781CA"/>
    <w:rsid w:val="E5DFAB50"/>
    <w:rsid w:val="E6FC647F"/>
    <w:rsid w:val="EBFBC8F1"/>
    <w:rsid w:val="EBFDF757"/>
    <w:rsid w:val="ED758B5D"/>
    <w:rsid w:val="ED76A08D"/>
    <w:rsid w:val="EDBDD81F"/>
    <w:rsid w:val="EDFDB542"/>
    <w:rsid w:val="EF0FCF96"/>
    <w:rsid w:val="EF95E20F"/>
    <w:rsid w:val="EFAF7DFF"/>
    <w:rsid w:val="EFAFB283"/>
    <w:rsid w:val="EFBDA38B"/>
    <w:rsid w:val="EFEE9A76"/>
    <w:rsid w:val="F1BF6FBC"/>
    <w:rsid w:val="F1F9A9B5"/>
    <w:rsid w:val="F3779FC2"/>
    <w:rsid w:val="F3D5C239"/>
    <w:rsid w:val="F3F37DF4"/>
    <w:rsid w:val="F3F96DE6"/>
    <w:rsid w:val="F3FBC54A"/>
    <w:rsid w:val="F47BB68A"/>
    <w:rsid w:val="F47F523E"/>
    <w:rsid w:val="F69FD6B0"/>
    <w:rsid w:val="F7E7F921"/>
    <w:rsid w:val="F7F7AC6A"/>
    <w:rsid w:val="F7FD93B9"/>
    <w:rsid w:val="FABF64A5"/>
    <w:rsid w:val="FABF7411"/>
    <w:rsid w:val="FBA53981"/>
    <w:rsid w:val="FBE4457E"/>
    <w:rsid w:val="FBFC558A"/>
    <w:rsid w:val="FBFF71AC"/>
    <w:rsid w:val="FBFFEA2B"/>
    <w:rsid w:val="FC7EA452"/>
    <w:rsid w:val="FCBB4792"/>
    <w:rsid w:val="FCCB27AA"/>
    <w:rsid w:val="FCFF8F4B"/>
    <w:rsid w:val="FD9595AD"/>
    <w:rsid w:val="FDF797BB"/>
    <w:rsid w:val="FDF9DD9A"/>
    <w:rsid w:val="FDFF2821"/>
    <w:rsid w:val="FDFFA696"/>
    <w:rsid w:val="FE7717D2"/>
    <w:rsid w:val="FE7FB02B"/>
    <w:rsid w:val="FEBD0232"/>
    <w:rsid w:val="FED5A77F"/>
    <w:rsid w:val="FEDFD193"/>
    <w:rsid w:val="FEE7097E"/>
    <w:rsid w:val="FEEF8230"/>
    <w:rsid w:val="FEF1F1BE"/>
    <w:rsid w:val="FEF99316"/>
    <w:rsid w:val="FEFB20CB"/>
    <w:rsid w:val="FEFD95B3"/>
    <w:rsid w:val="FEFE4E93"/>
    <w:rsid w:val="FEFFA483"/>
    <w:rsid w:val="FF29B32D"/>
    <w:rsid w:val="FF2E6944"/>
    <w:rsid w:val="FF5F9D52"/>
    <w:rsid w:val="FF7A0B6A"/>
    <w:rsid w:val="FF7B6DC2"/>
    <w:rsid w:val="FF7FFF75"/>
    <w:rsid w:val="FF921F59"/>
    <w:rsid w:val="FFBB1E09"/>
    <w:rsid w:val="FFBB6A0C"/>
    <w:rsid w:val="FFBD894B"/>
    <w:rsid w:val="FFBF33B3"/>
    <w:rsid w:val="FFD09362"/>
    <w:rsid w:val="FFD1DA08"/>
    <w:rsid w:val="FFD7DEDD"/>
    <w:rsid w:val="FFDE369F"/>
    <w:rsid w:val="FFEF98C9"/>
    <w:rsid w:val="FFEFCE62"/>
    <w:rsid w:val="FFF973B0"/>
    <w:rsid w:val="FFFB4F05"/>
    <w:rsid w:val="FFFEC8F5"/>
    <w:rsid w:val="FFFEF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spacing w:before="156" w:beforeLines="50" w:line="360" w:lineRule="auto"/>
      <w:ind w:firstLine="480" w:firstLineChars="200"/>
    </w:pPr>
    <w:rPr>
      <w:rFonts w:eastAsia="仿宋"/>
      <w:sz w:val="24"/>
      <w:szCs w:val="23"/>
      <w:lang w:eastAsia="ar-SA"/>
    </w:rPr>
  </w:style>
  <w:style w:type="paragraph" w:styleId="3">
    <w:name w:val="Document Map"/>
    <w:basedOn w:val="1"/>
    <w:link w:val="18"/>
    <w:qFormat/>
    <w:uiPriority w:val="0"/>
    <w:rPr>
      <w:rFonts w:ascii="宋体" w:eastAsia="宋体"/>
      <w:sz w:val="18"/>
      <w:szCs w:val="18"/>
    </w:rPr>
  </w:style>
  <w:style w:type="paragraph" w:styleId="4">
    <w:name w:val="Body Text"/>
    <w:basedOn w:val="1"/>
    <w:next w:val="1"/>
    <w:qFormat/>
    <w:uiPriority w:val="0"/>
    <w:pPr>
      <w:spacing w:after="120"/>
    </w:pPr>
  </w:style>
  <w:style w:type="paragraph" w:styleId="5">
    <w:name w:val="Body Text Indent"/>
    <w:basedOn w:val="1"/>
    <w:qFormat/>
    <w:uiPriority w:val="0"/>
    <w:pPr>
      <w:spacing w:after="120"/>
      <w:ind w:left="200" w:leftChars="200"/>
    </w:pPr>
    <w:rPr>
      <w:rFonts w:ascii="仿宋_GB2312"/>
      <w:szCs w:val="32"/>
    </w:rPr>
  </w:style>
  <w:style w:type="paragraph" w:styleId="6">
    <w:name w:val="Balloon Text"/>
    <w:basedOn w:val="1"/>
    <w:semiHidden/>
    <w:qFormat/>
    <w:uiPriority w:val="0"/>
    <w:rPr>
      <w:sz w:val="18"/>
      <w:szCs w:val="18"/>
    </w:rPr>
  </w:style>
  <w:style w:type="paragraph" w:styleId="7">
    <w:name w:val="footer"/>
    <w:basedOn w:val="1"/>
    <w:link w:val="20"/>
    <w:qFormat/>
    <w:uiPriority w:val="99"/>
    <w:pPr>
      <w:tabs>
        <w:tab w:val="center" w:pos="4153"/>
        <w:tab w:val="right" w:pos="8306"/>
      </w:tabs>
      <w:snapToGrid w:val="0"/>
      <w:jc w:val="left"/>
    </w:pPr>
    <w:rPr>
      <w:rFonts w:eastAsia="宋体"/>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eastAsia="宋体"/>
      <w:sz w:val="18"/>
      <w:szCs w:val="18"/>
    </w:rPr>
  </w:style>
  <w:style w:type="paragraph" w:styleId="9">
    <w:name w:val="toc 1"/>
    <w:basedOn w:val="1"/>
    <w:next w:val="1"/>
    <w:qFormat/>
    <w:uiPriority w:val="0"/>
  </w:style>
  <w:style w:type="paragraph" w:styleId="10">
    <w:name w:val="Body Text First Indent 2"/>
    <w:basedOn w:val="5"/>
    <w:unhideWhenUsed/>
    <w:qFormat/>
    <w:uiPriority w:val="99"/>
    <w:pPr>
      <w:ind w:firstLine="420" w:firstLineChars="2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paragraph" w:customStyle="1" w:styleId="15">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16">
    <w:name w:val="四号正文"/>
    <w:basedOn w:val="1"/>
    <w:link w:val="17"/>
    <w:qFormat/>
    <w:uiPriority w:val="0"/>
    <w:pPr>
      <w:spacing w:line="360" w:lineRule="auto"/>
    </w:pPr>
    <w:rPr>
      <w:rFonts w:ascii="??" w:hAnsi="??" w:eastAsia="宋体" w:cs="宋体"/>
      <w:color w:val="000000"/>
      <w:kern w:val="0"/>
      <w:sz w:val="28"/>
      <w:szCs w:val="21"/>
    </w:rPr>
  </w:style>
  <w:style w:type="character" w:customStyle="1" w:styleId="17">
    <w:name w:val="四号正文 Char"/>
    <w:basedOn w:val="13"/>
    <w:link w:val="16"/>
    <w:qFormat/>
    <w:uiPriority w:val="0"/>
    <w:rPr>
      <w:rFonts w:ascii="??" w:hAnsi="??" w:eastAsia="宋体" w:cs="宋体"/>
      <w:color w:val="000000"/>
      <w:sz w:val="28"/>
      <w:szCs w:val="21"/>
      <w:lang w:val="en-US" w:eastAsia="zh-CN" w:bidi="ar-SA"/>
    </w:rPr>
  </w:style>
  <w:style w:type="character" w:customStyle="1" w:styleId="18">
    <w:name w:val="文档结构图 Char"/>
    <w:basedOn w:val="13"/>
    <w:link w:val="3"/>
    <w:qFormat/>
    <w:uiPriority w:val="0"/>
    <w:rPr>
      <w:rFonts w:ascii="宋体"/>
      <w:kern w:val="2"/>
      <w:sz w:val="18"/>
      <w:szCs w:val="18"/>
    </w:rPr>
  </w:style>
  <w:style w:type="paragraph" w:customStyle="1" w:styleId="19">
    <w:name w:val="a"/>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0">
    <w:name w:val="页脚 Char"/>
    <w:basedOn w:val="13"/>
    <w:link w:val="7"/>
    <w:qFormat/>
    <w:uiPriority w:val="99"/>
    <w:rPr>
      <w:kern w:val="2"/>
      <w:sz w:val="18"/>
      <w:szCs w:val="18"/>
    </w:rPr>
  </w:style>
  <w:style w:type="character" w:customStyle="1" w:styleId="21">
    <w:name w:val="font31"/>
    <w:basedOn w:val="13"/>
    <w:qFormat/>
    <w:uiPriority w:val="0"/>
    <w:rPr>
      <w:rFonts w:hint="eastAsia" w:ascii="宋体" w:hAnsi="宋体" w:eastAsia="宋体" w:cs="宋体"/>
      <w:color w:val="000000"/>
      <w:sz w:val="24"/>
      <w:szCs w:val="24"/>
      <w:u w:val="none"/>
    </w:rPr>
  </w:style>
  <w:style w:type="character" w:customStyle="1" w:styleId="22">
    <w:name w:val="font51"/>
    <w:basedOn w:val="13"/>
    <w:qFormat/>
    <w:uiPriority w:val="0"/>
    <w:rPr>
      <w:rFonts w:hint="default" w:ascii="Wingdings 2" w:hAnsi="Wingdings 2" w:eastAsia="Wingdings 2" w:cs="Wingdings 2"/>
      <w:color w:val="000000"/>
      <w:sz w:val="18"/>
      <w:szCs w:val="18"/>
      <w:u w:val="none"/>
    </w:rPr>
  </w:style>
  <w:style w:type="character" w:customStyle="1" w:styleId="23">
    <w:name w:val="font01"/>
    <w:basedOn w:val="13"/>
    <w:qFormat/>
    <w:uiPriority w:val="0"/>
    <w:rPr>
      <w:rFonts w:ascii="宋体" w:hAnsi="宋体" w:eastAsia="宋体" w:cs="宋体"/>
      <w:color w:val="000000"/>
      <w:sz w:val="18"/>
      <w:szCs w:val="18"/>
      <w:u w:val="none"/>
    </w:rPr>
  </w:style>
  <w:style w:type="character" w:customStyle="1" w:styleId="24">
    <w:name w:val="font41"/>
    <w:basedOn w:val="13"/>
    <w:qFormat/>
    <w:uiPriority w:val="0"/>
    <w:rPr>
      <w:rFonts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10</Pages>
  <Words>4476</Words>
  <Characters>4745</Characters>
  <Lines>12</Lines>
  <Paragraphs>3</Paragraphs>
  <TotalTime>0</TotalTime>
  <ScaleCrop>false</ScaleCrop>
  <LinksUpToDate>false</LinksUpToDate>
  <CharactersWithSpaces>4783</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2019-05-31T19:06:00Z</dcterms:created>
  <dc:creator>陈萍</dc:creator>
  <cp:lastModifiedBy>TEENIE</cp:lastModifiedBy>
  <cp:lastPrinted>2016-02-18T08:25:00Z</cp:lastPrinted>
  <dcterms:modified xsi:type="dcterms:W3CDTF">2026-06-17T16:46:36Z</dcterms:modified>
  <dc:title>区域性就业培训基地建设项目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C0FCC9F4C15575AD2FD1F567C9881326</vt:lpwstr>
  </property>
</Properties>
</file>