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ascii="方正黑体_GBK" w:hAnsi="宋体" w:eastAsia="方正黑体_GBK"/>
          <w:sz w:val="33"/>
          <w:szCs w:val="33"/>
          <w:lang w:val="zh-CN"/>
        </w:rPr>
      </w:pPr>
      <w:r>
        <w:rPr>
          <w:rFonts w:hint="eastAsia" w:ascii="方正黑体_GBK" w:hAnsi="宋体" w:eastAsia="方正黑体_GBK"/>
          <w:sz w:val="33"/>
          <w:szCs w:val="33"/>
          <w:lang w:val="zh-CN"/>
        </w:rPr>
        <w:t>附件</w:t>
      </w:r>
      <w:r>
        <w:rPr>
          <w:rFonts w:hint="eastAsia" w:eastAsia="方正黑体_GBK"/>
          <w:sz w:val="33"/>
          <w:szCs w:val="33"/>
        </w:rPr>
        <w:t>1</w:t>
      </w:r>
    </w:p>
    <w:p>
      <w:pPr>
        <w:widowControl/>
        <w:spacing w:line="580" w:lineRule="exact"/>
        <w:ind w:firstLine="883" w:firstLineChars="200"/>
        <w:contextualSpacing/>
        <w:jc w:val="center"/>
        <w:rPr>
          <w:rFonts w:ascii="宋体"/>
          <w:b/>
          <w:sz w:val="44"/>
          <w:szCs w:val="44"/>
          <w:shd w:val="clear" w:color="auto" w:fill="FFFFFF"/>
        </w:rPr>
      </w:pPr>
    </w:p>
    <w:p>
      <w:pPr>
        <w:widowControl/>
        <w:spacing w:line="580" w:lineRule="exact"/>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lang w:val="en-US" w:eastAsia="zh-CN"/>
        </w:rPr>
        <w:t>区</w:t>
      </w:r>
      <w:r>
        <w:rPr>
          <w:rFonts w:hint="eastAsia" w:ascii="方正小标宋简体" w:hAnsi="宋体" w:eastAsia="方正小标宋简体"/>
          <w:sz w:val="44"/>
          <w:szCs w:val="44"/>
          <w:shd w:val="clear" w:color="auto" w:fill="FFFFFF"/>
        </w:rPr>
        <w:t>级部门整体绩效自评报告范本</w:t>
      </w:r>
    </w:p>
    <w:p>
      <w:pPr>
        <w:widowControl/>
        <w:spacing w:line="580" w:lineRule="exact"/>
        <w:contextualSpacing/>
        <w:jc w:val="center"/>
        <w:rPr>
          <w:rFonts w:ascii="方正小标宋简体" w:eastAsia="方正小标宋简体"/>
          <w:sz w:val="44"/>
          <w:szCs w:val="44"/>
          <w:shd w:val="clear" w:color="auto" w:fill="FFFFFF"/>
        </w:rPr>
      </w:pPr>
      <w:r>
        <w:rPr>
          <w:rFonts w:hint="eastAsia" w:ascii="仿宋_GB2312" w:hAnsi="宋体" w:eastAsia="仿宋_GB2312"/>
          <w:szCs w:val="32"/>
          <w:shd w:val="clear" w:color="auto" w:fill="FFFFFF"/>
        </w:rPr>
        <w:t>（</w:t>
      </w:r>
      <w:r>
        <w:rPr>
          <w:rFonts w:hint="eastAsia" w:ascii="仿宋_GB2312" w:hAnsi="宋体" w:eastAsia="仿宋_GB2312"/>
          <w:szCs w:val="32"/>
          <w:shd w:val="clear" w:color="auto" w:fill="FFFFFF"/>
          <w:lang w:val="en-US" w:eastAsia="zh-CN"/>
        </w:rPr>
        <w:t>乐山市</w:t>
      </w:r>
      <w:r>
        <w:rPr>
          <w:rFonts w:hint="eastAsia" w:ascii="仿宋" w:hAnsi="仿宋" w:eastAsia="仿宋" w:cs="宋体"/>
          <w:color w:val="000000"/>
          <w:kern w:val="0"/>
          <w:sz w:val="32"/>
          <w:szCs w:val="32"/>
        </w:rPr>
        <w:t>金口河区公路建设服务中心</w:t>
      </w:r>
      <w:r>
        <w:rPr>
          <w:rFonts w:hint="eastAsia" w:ascii="仿宋_GB2312" w:hAnsi="宋体" w:eastAsia="仿宋_GB2312"/>
          <w:szCs w:val="32"/>
          <w:shd w:val="clear" w:color="auto" w:fill="FFFFFF"/>
        </w:rPr>
        <w:t>）</w:t>
      </w:r>
    </w:p>
    <w:p>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部门基本情况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（一）机构组成。</w:t>
      </w:r>
    </w:p>
    <w:p>
      <w:pPr>
        <w:spacing w:line="600" w:lineRule="exact"/>
        <w:ind w:firstLine="640" w:firstLineChars="200"/>
        <w:outlineLvl w:val="1"/>
        <w:rPr>
          <w:rFonts w:hint="eastAsia" w:ascii="楷体_GB2312" w:hAnsi="宋体" w:eastAsia="楷体_GB2312" w:cs="宋体"/>
          <w:color w:val="000000"/>
          <w:kern w:val="0"/>
          <w:szCs w:val="32"/>
          <w:shd w:val="clear" w:color="auto" w:fill="FFFFFF"/>
          <w:lang w:val="zh-CN"/>
        </w:rPr>
      </w:pPr>
      <w:r>
        <w:rPr>
          <w:rFonts w:hint="eastAsia" w:ascii="仿宋" w:hAnsi="仿宋" w:eastAsia="仿宋" w:cs="宋体"/>
          <w:color w:val="000000"/>
          <w:kern w:val="0"/>
          <w:sz w:val="32"/>
          <w:szCs w:val="32"/>
        </w:rPr>
        <w:t>金口河区公路建设服务中心预算单位1个，其中：行政单位0个，事业单位1个。</w:t>
      </w:r>
    </w:p>
    <w:p>
      <w:pPr>
        <w:widowControl/>
        <w:numPr>
          <w:ilvl w:val="0"/>
          <w:numId w:val="1"/>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机构职能和人员概况。</w:t>
      </w:r>
    </w:p>
    <w:p>
      <w:pPr>
        <w:spacing w:line="600" w:lineRule="exact"/>
        <w:ind w:firstLine="640" w:firstLineChars="200"/>
        <w:outlineLvl w:val="1"/>
        <w:rPr>
          <w:rFonts w:hint="eastAsia" w:ascii="楷体_GB2312" w:hAnsi="宋体" w:eastAsia="楷体_GB2312" w:cs="宋体"/>
          <w:color w:val="000000"/>
          <w:kern w:val="0"/>
          <w:szCs w:val="32"/>
          <w:shd w:val="clear" w:color="auto" w:fill="FFFFFF"/>
          <w:lang w:val="zh-CN"/>
        </w:rPr>
      </w:pPr>
      <w:r>
        <w:rPr>
          <w:rFonts w:hint="eastAsia" w:ascii="仿宋" w:hAnsi="仿宋" w:eastAsia="仿宋" w:cs="宋体"/>
          <w:color w:val="000000"/>
          <w:kern w:val="0"/>
          <w:sz w:val="32"/>
          <w:szCs w:val="32"/>
        </w:rPr>
        <w:t>金口河区公路建设服务中心总编制13名，其中：行政编制0名，工勤编制0名，事业编制13名。在职人员总数12名，其中：行政0名，工勤0名，事业12名。退休73名，离休0名。</w:t>
      </w:r>
    </w:p>
    <w:p>
      <w:pPr>
        <w:widowControl/>
        <w:numPr>
          <w:ilvl w:val="0"/>
          <w:numId w:val="1"/>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年度主要工作任务。</w:t>
      </w:r>
    </w:p>
    <w:p>
      <w:pPr>
        <w:snapToGrid w:val="0"/>
        <w:spacing w:line="520" w:lineRule="exact"/>
        <w:ind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（1）执行国家和各级政府关于公路养护、路政管理的方针、政策。</w:t>
      </w:r>
    </w:p>
    <w:p>
      <w:pPr>
        <w:snapToGrid w:val="0"/>
        <w:spacing w:line="520" w:lineRule="exact"/>
        <w:ind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（2）组织编制全区国道、省道和县乡道公路季度小修保养计划。</w:t>
      </w:r>
    </w:p>
    <w:p>
      <w:pPr>
        <w:snapToGrid w:val="0"/>
        <w:spacing w:line="520" w:lineRule="exact"/>
        <w:ind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（3）负责全区国道、省道、县乡公路大中修工程的施工组织管理。</w:t>
      </w:r>
    </w:p>
    <w:p>
      <w:pPr>
        <w:snapToGrid w:val="0"/>
        <w:spacing w:line="520" w:lineRule="exact"/>
        <w:ind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（4）负责全区范围内公路两侧建筑红线控制及国省道上用公路临时设施的审批工作。</w:t>
      </w:r>
    </w:p>
    <w:p>
      <w:pPr>
        <w:snapToGrid w:val="0"/>
        <w:spacing w:line="520" w:lineRule="exact"/>
        <w:ind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（5）依法查处违反《中华人民共和国公路法》、《浙江省公路路政管理条例》和其他路政管理法规的行为，保护路产路权不受侵犯。</w:t>
      </w:r>
    </w:p>
    <w:p>
      <w:pPr>
        <w:widowControl/>
        <w:numPr>
          <w:ilvl w:val="0"/>
          <w:numId w:val="1"/>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部门整体支出绩效目标。</w:t>
      </w:r>
    </w:p>
    <w:p>
      <w:pPr>
        <w:spacing w:line="600" w:lineRule="exact"/>
        <w:ind w:firstLine="640" w:firstLineChars="200"/>
        <w:outlineLvl w:val="1"/>
        <w:rPr>
          <w:rFonts w:hint="eastAsia" w:ascii="楷体_GB2312" w:hAnsi="宋体" w:eastAsia="楷体_GB2312" w:cs="宋体"/>
          <w:color w:val="000000"/>
          <w:kern w:val="0"/>
          <w:szCs w:val="32"/>
          <w:shd w:val="clear" w:color="auto" w:fill="FFFFFF"/>
          <w:lang w:val="zh-CN"/>
        </w:rPr>
      </w:pPr>
      <w:r>
        <w:rPr>
          <w:rFonts w:hint="eastAsia" w:ascii="仿宋" w:hAnsi="仿宋" w:eastAsia="仿宋" w:cs="宋体"/>
          <w:color w:val="000000"/>
          <w:kern w:val="0"/>
          <w:sz w:val="32"/>
          <w:szCs w:val="32"/>
          <w:lang w:val="zh-CN"/>
        </w:rPr>
        <w:t>对金口河区国道干线G245线降尘作业，每天对27.69公里公路进行洒水降尘工作，按时足额发放聘用人员工资，对G245线公路整治全面覆盖，维修保养全面达标保障群众出行安全，全覆盖排查率达到100%，对共安彝族乡文店村原2组林地及土地租金进行补偿，降低项目建设弃土堆放，提高空气质量与环境。</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（一）部门财政资金收入情况。</w:t>
      </w:r>
    </w:p>
    <w:p>
      <w:pPr>
        <w:spacing w:line="600" w:lineRule="exact"/>
        <w:ind w:firstLine="640" w:firstLineChars="200"/>
        <w:outlineLvl w:val="1"/>
        <w:rPr>
          <w:rFonts w:hint="default"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lang w:val="zh-CN" w:eastAsia="zh-CN"/>
        </w:rPr>
        <w:t>区</w:t>
      </w:r>
      <w:r>
        <w:rPr>
          <w:rFonts w:hint="eastAsia" w:ascii="仿宋" w:hAnsi="仿宋" w:eastAsia="仿宋" w:cs="宋体"/>
          <w:color w:val="000000"/>
          <w:kern w:val="0"/>
          <w:sz w:val="32"/>
          <w:szCs w:val="32"/>
          <w:lang w:val="en-US" w:eastAsia="zh-CN"/>
        </w:rPr>
        <w:t>公路建设服务中心</w:t>
      </w:r>
      <w:r>
        <w:rPr>
          <w:rFonts w:hint="eastAsia" w:ascii="仿宋" w:hAnsi="仿宋" w:eastAsia="仿宋" w:cs="宋体"/>
          <w:color w:val="000000"/>
          <w:kern w:val="0"/>
          <w:sz w:val="32"/>
          <w:szCs w:val="32"/>
          <w:lang w:val="zh-CN" w:eastAsia="zh-CN"/>
        </w:rPr>
        <w:t>202</w:t>
      </w:r>
      <w:r>
        <w:rPr>
          <w:rFonts w:hint="eastAsia" w:ascii="仿宋" w:hAnsi="仿宋" w:eastAsia="仿宋" w:cs="宋体"/>
          <w:color w:val="000000"/>
          <w:kern w:val="0"/>
          <w:sz w:val="32"/>
          <w:szCs w:val="32"/>
          <w:lang w:val="en-US" w:eastAsia="zh-CN"/>
        </w:rPr>
        <w:t>4</w:t>
      </w:r>
      <w:r>
        <w:rPr>
          <w:rFonts w:hint="eastAsia" w:ascii="仿宋" w:hAnsi="仿宋" w:eastAsia="仿宋" w:cs="宋体"/>
          <w:color w:val="000000"/>
          <w:kern w:val="0"/>
          <w:sz w:val="32"/>
          <w:szCs w:val="32"/>
          <w:lang w:val="zh-CN" w:eastAsia="zh-CN"/>
        </w:rPr>
        <w:t xml:space="preserve"> 全年决算总收入为</w:t>
      </w:r>
      <w:r>
        <w:rPr>
          <w:rFonts w:hint="eastAsia" w:ascii="仿宋" w:hAnsi="仿宋" w:eastAsia="仿宋" w:cs="宋体"/>
          <w:color w:val="000000"/>
          <w:kern w:val="0"/>
          <w:sz w:val="32"/>
          <w:szCs w:val="32"/>
          <w:lang w:val="en-US" w:eastAsia="zh-CN"/>
        </w:rPr>
        <w:t>6273.46</w:t>
      </w:r>
      <w:r>
        <w:rPr>
          <w:rFonts w:hint="eastAsia" w:ascii="仿宋" w:hAnsi="仿宋" w:eastAsia="仿宋" w:cs="宋体"/>
          <w:color w:val="000000"/>
          <w:kern w:val="0"/>
          <w:sz w:val="32"/>
          <w:szCs w:val="32"/>
          <w:lang w:val="zh-CN" w:eastAsia="zh-CN"/>
        </w:rPr>
        <w:t>万元，一般公共预算财政拨款收入</w:t>
      </w:r>
      <w:r>
        <w:rPr>
          <w:rFonts w:hint="eastAsia" w:ascii="仿宋" w:hAnsi="仿宋" w:eastAsia="仿宋" w:cs="宋体"/>
          <w:color w:val="000000"/>
          <w:kern w:val="0"/>
          <w:sz w:val="32"/>
          <w:szCs w:val="32"/>
          <w:lang w:val="en-US" w:eastAsia="zh-CN"/>
        </w:rPr>
        <w:t>5453.09万</w:t>
      </w:r>
      <w:r>
        <w:rPr>
          <w:rFonts w:hint="eastAsia" w:ascii="仿宋" w:hAnsi="仿宋" w:eastAsia="仿宋" w:cs="宋体"/>
          <w:color w:val="000000"/>
          <w:kern w:val="0"/>
          <w:sz w:val="32"/>
          <w:szCs w:val="32"/>
          <w:lang w:val="zh-CN" w:eastAsia="zh-CN"/>
        </w:rPr>
        <w:t>元，占</w:t>
      </w:r>
      <w:r>
        <w:rPr>
          <w:rFonts w:hint="eastAsia" w:ascii="仿宋" w:hAnsi="仿宋" w:eastAsia="仿宋" w:cs="宋体"/>
          <w:color w:val="000000"/>
          <w:kern w:val="0"/>
          <w:sz w:val="32"/>
          <w:szCs w:val="32"/>
          <w:lang w:val="en-US" w:eastAsia="zh-CN"/>
        </w:rPr>
        <w:t>86.92</w:t>
      </w:r>
      <w:r>
        <w:rPr>
          <w:rFonts w:hint="eastAsia" w:ascii="仿宋" w:hAnsi="仿宋" w:eastAsia="仿宋" w:cs="宋体"/>
          <w:color w:val="000000"/>
          <w:kern w:val="0"/>
          <w:sz w:val="32"/>
          <w:szCs w:val="32"/>
          <w:lang w:val="zh-CN" w:eastAsia="zh-CN"/>
        </w:rPr>
        <w:t>%；政府性基金预算财政拨款收入</w:t>
      </w:r>
      <w:r>
        <w:rPr>
          <w:rFonts w:hint="eastAsia" w:ascii="仿宋" w:hAnsi="仿宋" w:eastAsia="仿宋" w:cs="宋体"/>
          <w:color w:val="000000"/>
          <w:kern w:val="0"/>
          <w:sz w:val="32"/>
          <w:szCs w:val="32"/>
          <w:lang w:val="en-US" w:eastAsia="zh-CN"/>
        </w:rPr>
        <w:t>24.75万元，</w:t>
      </w:r>
      <w:r>
        <w:rPr>
          <w:rFonts w:hint="eastAsia" w:ascii="仿宋" w:hAnsi="仿宋" w:eastAsia="仿宋" w:cs="宋体"/>
          <w:color w:val="000000"/>
          <w:kern w:val="0"/>
          <w:sz w:val="32"/>
          <w:szCs w:val="32"/>
          <w:lang w:val="zh-CN" w:eastAsia="zh-CN"/>
        </w:rPr>
        <w:t>占</w:t>
      </w:r>
      <w:r>
        <w:rPr>
          <w:rFonts w:hint="eastAsia" w:ascii="仿宋" w:hAnsi="仿宋" w:eastAsia="仿宋" w:cs="宋体"/>
          <w:color w:val="000000"/>
          <w:kern w:val="0"/>
          <w:sz w:val="32"/>
          <w:szCs w:val="32"/>
          <w:lang w:val="en-US" w:eastAsia="zh-CN"/>
        </w:rPr>
        <w:t>0.39</w:t>
      </w:r>
      <w:r>
        <w:rPr>
          <w:rFonts w:hint="eastAsia" w:ascii="仿宋" w:hAnsi="仿宋" w:eastAsia="仿宋" w:cs="宋体"/>
          <w:color w:val="000000"/>
          <w:kern w:val="0"/>
          <w:sz w:val="32"/>
          <w:szCs w:val="32"/>
          <w:lang w:val="zh-CN" w:eastAsia="zh-CN"/>
        </w:rPr>
        <w:t>%；其他收入</w:t>
      </w:r>
      <w:r>
        <w:rPr>
          <w:rFonts w:hint="eastAsia" w:ascii="仿宋" w:hAnsi="仿宋" w:eastAsia="仿宋" w:cs="宋体"/>
          <w:color w:val="000000"/>
          <w:kern w:val="0"/>
          <w:sz w:val="32"/>
          <w:szCs w:val="32"/>
          <w:lang w:val="en-US" w:eastAsia="zh-CN"/>
        </w:rPr>
        <w:t>200</w:t>
      </w:r>
      <w:r>
        <w:rPr>
          <w:rFonts w:hint="eastAsia" w:ascii="仿宋" w:hAnsi="仿宋" w:eastAsia="仿宋" w:cs="宋体"/>
          <w:color w:val="000000"/>
          <w:kern w:val="0"/>
          <w:sz w:val="32"/>
          <w:szCs w:val="32"/>
          <w:lang w:val="zh-CN" w:eastAsia="zh-CN"/>
        </w:rPr>
        <w:t>万元，占</w:t>
      </w:r>
      <w:r>
        <w:rPr>
          <w:rFonts w:hint="eastAsia" w:ascii="仿宋" w:hAnsi="仿宋" w:eastAsia="仿宋" w:cs="宋体"/>
          <w:color w:val="000000"/>
          <w:kern w:val="0"/>
          <w:sz w:val="32"/>
          <w:szCs w:val="32"/>
          <w:lang w:val="en-US" w:eastAsia="zh-CN"/>
        </w:rPr>
        <w:t>3.19</w:t>
      </w:r>
      <w:r>
        <w:rPr>
          <w:rFonts w:hint="eastAsia" w:ascii="仿宋" w:hAnsi="仿宋" w:eastAsia="仿宋" w:cs="宋体"/>
          <w:color w:val="000000"/>
          <w:kern w:val="0"/>
          <w:sz w:val="32"/>
          <w:szCs w:val="32"/>
          <w:lang w:val="zh-CN" w:eastAsia="zh-CN"/>
        </w:rPr>
        <w:t>%；结转结余收入为</w:t>
      </w:r>
      <w:r>
        <w:rPr>
          <w:rFonts w:hint="eastAsia" w:ascii="仿宋" w:hAnsi="仿宋" w:eastAsia="仿宋" w:cs="宋体"/>
          <w:color w:val="000000"/>
          <w:kern w:val="0"/>
          <w:sz w:val="32"/>
          <w:szCs w:val="32"/>
          <w:lang w:val="en-US" w:eastAsia="zh-CN"/>
        </w:rPr>
        <w:t>595.63</w:t>
      </w:r>
      <w:r>
        <w:rPr>
          <w:rFonts w:hint="eastAsia" w:ascii="仿宋" w:hAnsi="仿宋" w:eastAsia="仿宋" w:cs="宋体"/>
          <w:color w:val="000000"/>
          <w:kern w:val="0"/>
          <w:sz w:val="32"/>
          <w:szCs w:val="32"/>
          <w:lang w:val="zh-CN" w:eastAsia="zh-CN"/>
        </w:rPr>
        <w:t>万元，占</w:t>
      </w:r>
      <w:r>
        <w:rPr>
          <w:rFonts w:hint="eastAsia" w:ascii="仿宋" w:hAnsi="仿宋" w:eastAsia="仿宋" w:cs="宋体"/>
          <w:color w:val="000000"/>
          <w:kern w:val="0"/>
          <w:sz w:val="32"/>
          <w:szCs w:val="32"/>
          <w:lang w:val="en-US" w:eastAsia="zh-CN"/>
        </w:rPr>
        <w:t>9.49%。</w:t>
      </w:r>
    </w:p>
    <w:p>
      <w:pPr>
        <w:numPr>
          <w:ilvl w:val="0"/>
          <w:numId w:val="2"/>
        </w:numPr>
        <w:spacing w:line="600" w:lineRule="exact"/>
        <w:ind w:firstLine="640" w:firstLineChars="200"/>
        <w:outlineLvl w:val="1"/>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部门财政资金支出情况。</w:t>
      </w:r>
    </w:p>
    <w:p>
      <w:pPr>
        <w:spacing w:line="600" w:lineRule="exact"/>
        <w:ind w:firstLine="640" w:firstLineChars="200"/>
        <w:outlineLvl w:val="1"/>
        <w:rPr>
          <w:rFonts w:hint="eastAsia" w:ascii="仿宋" w:hAnsi="仿宋" w:eastAsia="仿宋" w:cs="宋体"/>
          <w:color w:val="000000"/>
          <w:kern w:val="0"/>
          <w:sz w:val="32"/>
          <w:szCs w:val="32"/>
          <w:lang w:val="zh-CN" w:eastAsia="zh-CN"/>
        </w:rPr>
      </w:pPr>
      <w:r>
        <w:rPr>
          <w:rFonts w:hint="eastAsia" w:ascii="仿宋" w:hAnsi="仿宋" w:eastAsia="仿宋" w:cs="宋体"/>
          <w:color w:val="000000"/>
          <w:kern w:val="0"/>
          <w:sz w:val="32"/>
          <w:szCs w:val="32"/>
          <w:lang w:val="zh-CN" w:eastAsia="zh-CN"/>
        </w:rPr>
        <w:t>区</w:t>
      </w:r>
      <w:r>
        <w:rPr>
          <w:rFonts w:hint="eastAsia" w:ascii="仿宋" w:hAnsi="仿宋" w:eastAsia="仿宋" w:cs="宋体"/>
          <w:color w:val="000000"/>
          <w:kern w:val="0"/>
          <w:sz w:val="32"/>
          <w:szCs w:val="32"/>
          <w:lang w:val="en-US" w:eastAsia="zh-CN"/>
        </w:rPr>
        <w:t>公路建设服务中心</w:t>
      </w:r>
      <w:r>
        <w:rPr>
          <w:rFonts w:hint="eastAsia" w:ascii="仿宋" w:hAnsi="仿宋" w:eastAsia="仿宋" w:cs="宋体"/>
          <w:color w:val="000000"/>
          <w:kern w:val="0"/>
          <w:sz w:val="32"/>
          <w:szCs w:val="32"/>
          <w:lang w:val="zh-CN" w:eastAsia="zh-CN"/>
        </w:rPr>
        <w:t>202</w:t>
      </w:r>
      <w:r>
        <w:rPr>
          <w:rFonts w:hint="eastAsia" w:ascii="仿宋" w:hAnsi="仿宋" w:eastAsia="仿宋" w:cs="宋体"/>
          <w:color w:val="000000"/>
          <w:kern w:val="0"/>
          <w:sz w:val="32"/>
          <w:szCs w:val="32"/>
          <w:lang w:val="en-US" w:eastAsia="zh-CN"/>
        </w:rPr>
        <w:t>4</w:t>
      </w:r>
      <w:r>
        <w:rPr>
          <w:rFonts w:hint="eastAsia" w:ascii="仿宋" w:hAnsi="仿宋" w:eastAsia="仿宋" w:cs="宋体"/>
          <w:color w:val="000000"/>
          <w:kern w:val="0"/>
          <w:sz w:val="32"/>
          <w:szCs w:val="32"/>
          <w:lang w:val="zh-CN" w:eastAsia="zh-CN"/>
        </w:rPr>
        <w:t>全年决算总支出</w:t>
      </w:r>
      <w:r>
        <w:rPr>
          <w:rFonts w:hint="eastAsia" w:ascii="仿宋" w:hAnsi="仿宋" w:eastAsia="仿宋" w:cs="宋体"/>
          <w:color w:val="000000"/>
          <w:kern w:val="0"/>
          <w:sz w:val="32"/>
          <w:szCs w:val="32"/>
          <w:lang w:val="en-US" w:eastAsia="zh-CN"/>
        </w:rPr>
        <w:t>6273.46万元</w:t>
      </w:r>
      <w:r>
        <w:rPr>
          <w:rFonts w:hint="eastAsia" w:ascii="仿宋" w:hAnsi="仿宋" w:eastAsia="仿宋" w:cs="宋体"/>
          <w:color w:val="000000"/>
          <w:kern w:val="0"/>
          <w:sz w:val="32"/>
          <w:szCs w:val="32"/>
          <w:lang w:val="zh-CN" w:eastAsia="zh-CN"/>
        </w:rPr>
        <w:t>元，其中：基本支出</w:t>
      </w:r>
      <w:r>
        <w:rPr>
          <w:rFonts w:hint="eastAsia" w:ascii="仿宋" w:hAnsi="仿宋" w:eastAsia="仿宋" w:cs="宋体"/>
          <w:color w:val="000000"/>
          <w:kern w:val="0"/>
          <w:sz w:val="32"/>
          <w:szCs w:val="32"/>
          <w:lang w:val="en-US" w:eastAsia="zh-CN"/>
        </w:rPr>
        <w:t>285.11</w:t>
      </w:r>
      <w:r>
        <w:rPr>
          <w:rFonts w:hint="eastAsia" w:ascii="仿宋" w:hAnsi="仿宋" w:eastAsia="仿宋" w:cs="宋体"/>
          <w:color w:val="000000"/>
          <w:kern w:val="0"/>
          <w:sz w:val="32"/>
          <w:szCs w:val="32"/>
          <w:lang w:val="zh-CN" w:eastAsia="zh-CN"/>
        </w:rPr>
        <w:t>元，占</w:t>
      </w:r>
      <w:r>
        <w:rPr>
          <w:rFonts w:hint="eastAsia" w:ascii="仿宋" w:hAnsi="仿宋" w:eastAsia="仿宋" w:cs="宋体"/>
          <w:color w:val="000000"/>
          <w:kern w:val="0"/>
          <w:sz w:val="32"/>
          <w:szCs w:val="32"/>
          <w:lang w:val="en-US" w:eastAsia="zh-CN"/>
        </w:rPr>
        <w:t>4.54</w:t>
      </w:r>
      <w:r>
        <w:rPr>
          <w:rFonts w:hint="eastAsia" w:ascii="仿宋" w:hAnsi="仿宋" w:eastAsia="仿宋" w:cs="宋体"/>
          <w:color w:val="000000"/>
          <w:kern w:val="0"/>
          <w:sz w:val="32"/>
          <w:szCs w:val="32"/>
          <w:lang w:val="zh-CN" w:eastAsia="zh-CN"/>
        </w:rPr>
        <w:t>%；项目支出</w:t>
      </w:r>
      <w:r>
        <w:rPr>
          <w:rFonts w:hint="eastAsia" w:ascii="仿宋" w:hAnsi="仿宋" w:eastAsia="仿宋" w:cs="宋体"/>
          <w:color w:val="000000"/>
          <w:kern w:val="0"/>
          <w:sz w:val="32"/>
          <w:szCs w:val="32"/>
          <w:lang w:val="en-US" w:eastAsia="zh-CN"/>
        </w:rPr>
        <w:t>5432.82</w:t>
      </w:r>
      <w:r>
        <w:rPr>
          <w:rFonts w:hint="eastAsia" w:ascii="仿宋" w:hAnsi="仿宋" w:eastAsia="仿宋" w:cs="宋体"/>
          <w:color w:val="000000"/>
          <w:kern w:val="0"/>
          <w:sz w:val="32"/>
          <w:szCs w:val="32"/>
          <w:lang w:val="zh-CN" w:eastAsia="zh-CN"/>
        </w:rPr>
        <w:t>万元，占</w:t>
      </w:r>
      <w:r>
        <w:rPr>
          <w:rFonts w:hint="eastAsia" w:ascii="仿宋" w:hAnsi="仿宋" w:eastAsia="仿宋" w:cs="宋体"/>
          <w:color w:val="000000"/>
          <w:kern w:val="0"/>
          <w:sz w:val="32"/>
          <w:szCs w:val="32"/>
          <w:lang w:val="en-US" w:eastAsia="zh-CN"/>
        </w:rPr>
        <w:t>86.6</w:t>
      </w:r>
      <w:r>
        <w:rPr>
          <w:rFonts w:hint="eastAsia" w:ascii="仿宋" w:hAnsi="仿宋" w:eastAsia="仿宋" w:cs="宋体"/>
          <w:color w:val="000000"/>
          <w:kern w:val="0"/>
          <w:sz w:val="32"/>
          <w:szCs w:val="32"/>
          <w:lang w:val="zh-CN" w:eastAsia="zh-CN"/>
        </w:rPr>
        <w:t>%；202</w:t>
      </w:r>
      <w:r>
        <w:rPr>
          <w:rFonts w:hint="eastAsia" w:ascii="仿宋" w:hAnsi="仿宋" w:eastAsia="仿宋" w:cs="宋体"/>
          <w:color w:val="000000"/>
          <w:kern w:val="0"/>
          <w:sz w:val="32"/>
          <w:szCs w:val="32"/>
          <w:lang w:val="en-US" w:eastAsia="zh-CN"/>
        </w:rPr>
        <w:t>4</w:t>
      </w:r>
      <w:r>
        <w:rPr>
          <w:rFonts w:hint="eastAsia" w:ascii="仿宋" w:hAnsi="仿宋" w:eastAsia="仿宋" w:cs="宋体"/>
          <w:color w:val="000000"/>
          <w:kern w:val="0"/>
          <w:sz w:val="32"/>
          <w:szCs w:val="32"/>
          <w:lang w:val="zh-CN" w:eastAsia="zh-CN"/>
        </w:rPr>
        <w:t>年末收支结转额度为</w:t>
      </w:r>
      <w:r>
        <w:rPr>
          <w:rFonts w:hint="eastAsia" w:ascii="仿宋" w:hAnsi="仿宋" w:eastAsia="仿宋" w:cs="宋体"/>
          <w:color w:val="000000"/>
          <w:kern w:val="0"/>
          <w:sz w:val="32"/>
          <w:szCs w:val="32"/>
          <w:lang w:val="en-US" w:eastAsia="zh-CN"/>
        </w:rPr>
        <w:t>555.53</w:t>
      </w:r>
      <w:r>
        <w:rPr>
          <w:rFonts w:hint="eastAsia" w:ascii="仿宋" w:hAnsi="仿宋" w:eastAsia="仿宋" w:cs="宋体"/>
          <w:color w:val="000000"/>
          <w:kern w:val="0"/>
          <w:sz w:val="32"/>
          <w:szCs w:val="32"/>
          <w:lang w:val="zh-CN" w:eastAsia="zh-CN"/>
        </w:rPr>
        <w:t>万元，占</w:t>
      </w:r>
      <w:r>
        <w:rPr>
          <w:rFonts w:hint="eastAsia" w:ascii="仿宋" w:hAnsi="仿宋" w:eastAsia="仿宋" w:cs="宋体"/>
          <w:color w:val="000000"/>
          <w:kern w:val="0"/>
          <w:sz w:val="32"/>
          <w:szCs w:val="32"/>
          <w:lang w:val="en-US" w:eastAsia="zh-CN"/>
        </w:rPr>
        <w:t>8.86</w:t>
      </w:r>
      <w:r>
        <w:rPr>
          <w:rFonts w:hint="eastAsia" w:ascii="仿宋" w:hAnsi="仿宋" w:eastAsia="仿宋" w:cs="宋体"/>
          <w:color w:val="000000"/>
          <w:kern w:val="0"/>
          <w:sz w:val="32"/>
          <w:szCs w:val="32"/>
          <w:lang w:val="zh-CN" w:eastAsia="zh-CN"/>
        </w:rPr>
        <w:t>%。</w:t>
      </w:r>
    </w:p>
    <w:p>
      <w:pPr>
        <w:widowControl/>
        <w:numPr>
          <w:ilvl w:val="0"/>
          <w:numId w:val="2"/>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部门财政资金结转结余情况。</w:t>
      </w:r>
    </w:p>
    <w:p>
      <w:pPr>
        <w:spacing w:line="600" w:lineRule="exact"/>
        <w:ind w:firstLine="640" w:firstLineChars="200"/>
        <w:outlineLvl w:val="1"/>
        <w:rPr>
          <w:rFonts w:hint="default"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lang w:val="en-US" w:eastAsia="zh-CN"/>
        </w:rPr>
        <w:t>无，均为非财政拨款结转资金。</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三、部门整体绩效管理情况（根据自评体系进行描述）</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（一）部门整体履职绩效分析。</w:t>
      </w:r>
    </w:p>
    <w:p>
      <w:pPr>
        <w:spacing w:line="600" w:lineRule="exact"/>
        <w:ind w:firstLine="640" w:firstLineChars="200"/>
        <w:outlineLvl w:val="1"/>
        <w:rPr>
          <w:rFonts w:hint="eastAsia"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lang w:val="en-US" w:eastAsia="zh-CN"/>
        </w:rPr>
        <w:t xml:space="preserve">按照区财政局部门预算编制通知要求，按时完成部门年初预 算编制工作。在编制过程中，认真核实单位实际财政供养人数和单位实有编制情况，正确编制人员经费和公用经费等，做到尽量细化项目资金支出预算范围和科目，及时上报经建股进行审核，对所编制的预算予以调整通过。我中心建立健全有效的内控制度，采取定期公开的的财务管理 </w:t>
      </w:r>
    </w:p>
    <w:p>
      <w:pPr>
        <w:spacing w:line="600" w:lineRule="exact"/>
        <w:outlineLvl w:val="1"/>
        <w:rPr>
          <w:rFonts w:hint="eastAsia"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lang w:val="en-US" w:eastAsia="zh-CN"/>
        </w:rPr>
        <w:t>制度，严格执行财务管理制度，强化项目资金管理和使用。同时严格遵守国家、省、市财务管理法律法规，本着勤俭节约原则，管理好用好每笔资金。杜绝违规违法事件的发生。财务活动接受审计、财政、纪检监察等部门的监督检查。中心内所有资产必须实现资产归口管理和明确使用责任，细化到人，每半年对局内资产进行清查盘点，对账实不符的情况及时进行处理；严格按照规定处置资产。</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（二）特定目标类项目绩效分析。</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包括项目绩效目标制定、目标实现、支出控制、及时处置、执行进度、预算完成情况、资金结余率（低效无效率）和违规记录等情况。</w:t>
      </w:r>
    </w:p>
    <w:p>
      <w:pPr>
        <w:spacing w:line="600" w:lineRule="exact"/>
        <w:ind w:firstLine="640" w:firstLineChars="200"/>
        <w:outlineLvl w:val="1"/>
        <w:rPr>
          <w:rFonts w:hint="default"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1.</w:t>
      </w:r>
      <w:r>
        <w:rPr>
          <w:rFonts w:hint="eastAsia" w:ascii="仿宋_GB2312" w:hAnsi="宋体" w:eastAsia="仿宋_GB2312" w:cs="宋体"/>
          <w:color w:val="000000"/>
          <w:kern w:val="0"/>
          <w:szCs w:val="32"/>
          <w:shd w:val="clear" w:color="auto" w:fill="FFFFFF"/>
          <w:lang w:val="zh-CN"/>
        </w:rPr>
        <w:t>整体情况。</w:t>
      </w:r>
      <w:r>
        <w:rPr>
          <w:rFonts w:hint="eastAsia" w:ascii="仿宋_GB2312" w:hAnsi="宋体" w:eastAsia="仿宋_GB2312" w:cs="宋体"/>
          <w:color w:val="000000"/>
          <w:kern w:val="0"/>
          <w:szCs w:val="32"/>
          <w:shd w:val="clear" w:color="auto" w:fill="FFFFFF"/>
          <w:lang w:val="en-US" w:eastAsia="zh-CN"/>
        </w:rPr>
        <w:t>2024年初预算项目共5个。分别为G245线洒水降尘经费、</w:t>
      </w:r>
      <w:r>
        <w:rPr>
          <w:rFonts w:hint="eastAsia" w:ascii="仿宋_GB2312" w:hAnsi="宋体" w:eastAsia="仿宋_GB2312" w:cs="宋体"/>
          <w:color w:val="000000"/>
          <w:kern w:val="0"/>
          <w:szCs w:val="32"/>
          <w:shd w:val="clear" w:color="auto" w:fill="FFFFFF"/>
          <w:lang w:val="zh-CN"/>
        </w:rPr>
        <w:t>G245线小修保养、江沟料场租用经费、县乡村道养护经费、汛期公路巡检经费。</w:t>
      </w:r>
      <w:r>
        <w:rPr>
          <w:rFonts w:hint="eastAsia" w:ascii="仿宋_GB2312" w:hAnsi="宋体" w:eastAsia="仿宋_GB2312" w:cs="宋体"/>
          <w:color w:val="000000"/>
          <w:kern w:val="0"/>
          <w:szCs w:val="32"/>
          <w:shd w:val="clear" w:color="auto" w:fill="FFFFFF"/>
          <w:lang w:val="en-US" w:eastAsia="zh-CN"/>
        </w:rPr>
        <w:t>实现了</w:t>
      </w:r>
      <w:r>
        <w:rPr>
          <w:rFonts w:hint="eastAsia" w:ascii="仿宋" w:hAnsi="仿宋" w:eastAsia="仿宋" w:cs="宋体"/>
          <w:color w:val="000000"/>
          <w:kern w:val="0"/>
          <w:sz w:val="32"/>
          <w:szCs w:val="32"/>
          <w:lang w:val="zh-CN"/>
        </w:rPr>
        <w:t>对金口河区国道干线G245线降尘作业，每天对27.69公里公路进行洒水降尘工作，按时足额发放聘用人员工资，对G245线公路整治全面覆盖，维修保养全面达标保障群众出行安全，全覆盖排查率达到100%，对共安彝族乡文店村原2组林地及土地租金进行补偿，降低项目建设弃土堆放，提高空气质量与环境。</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2.</w:t>
      </w:r>
      <w:r>
        <w:rPr>
          <w:rFonts w:hint="eastAsia" w:ascii="仿宋_GB2312" w:hAnsi="宋体" w:eastAsia="仿宋_GB2312" w:cs="宋体"/>
          <w:color w:val="000000"/>
          <w:kern w:val="0"/>
          <w:szCs w:val="32"/>
          <w:shd w:val="clear" w:color="auto" w:fill="FFFFFF"/>
          <w:lang w:val="en-US" w:eastAsia="zh-CN"/>
        </w:rPr>
        <w:t>50</w:t>
      </w:r>
      <w:r>
        <w:rPr>
          <w:rFonts w:hint="eastAsia" w:ascii="仿宋_GB2312" w:hAnsi="宋体" w:eastAsia="仿宋_GB2312" w:cs="宋体"/>
          <w:color w:val="000000"/>
          <w:kern w:val="0"/>
          <w:szCs w:val="32"/>
          <w:shd w:val="clear" w:color="auto" w:fill="FFFFFF"/>
          <w:lang w:val="zh-CN"/>
        </w:rPr>
        <w:t>万以上项目：</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项目1：G245线小修保养。</w:t>
      </w:r>
      <w:r>
        <w:rPr>
          <w:rFonts w:hint="eastAsia" w:ascii="仿宋_GB2312" w:hAnsi="宋体" w:eastAsia="仿宋_GB2312" w:cs="宋体"/>
          <w:color w:val="000000"/>
          <w:kern w:val="0"/>
          <w:szCs w:val="32"/>
          <w:shd w:val="clear" w:color="auto" w:fill="FFFFFF"/>
          <w:lang w:val="en-US" w:eastAsia="zh-CN"/>
        </w:rPr>
        <w:t>预算金额71.4万元，全年执行数71.4万元，预算执行率100%。每天按时对国道27公里进行保通保洁，包括卫生打扫，障碍清理等，并及时足额发放人员工资，使公路通行服务水平达到了最优，群众满意度达99%。</w:t>
      </w:r>
      <w:r>
        <w:rPr>
          <w:rFonts w:hint="eastAsia" w:ascii="仿宋_GB2312" w:hAnsi="宋体" w:eastAsia="仿宋_GB2312" w:cs="宋体"/>
          <w:color w:val="000000"/>
          <w:kern w:val="0"/>
          <w:szCs w:val="32"/>
          <w:shd w:val="clear" w:color="auto" w:fill="FFFFFF"/>
          <w:lang w:val="zh-CN"/>
        </w:rPr>
        <w:t xml:space="preserve"> </w:t>
      </w:r>
    </w:p>
    <w:p>
      <w:pPr>
        <w:widowControl/>
        <w:adjustRightInd w:val="0"/>
        <w:snapToGrid w:val="0"/>
        <w:spacing w:line="580" w:lineRule="exact"/>
        <w:ind w:firstLine="640" w:firstLineChars="200"/>
        <w:contextualSpacing/>
        <w:jc w:val="left"/>
        <w:rPr>
          <w:rFonts w:hint="default" w:ascii="仿宋_GB2312" w:hAnsi="宋体" w:eastAsia="仿宋_GB2312" w:cs="宋体"/>
          <w:color w:val="000000"/>
          <w:kern w:val="0"/>
          <w:szCs w:val="32"/>
          <w:shd w:val="clear" w:color="auto" w:fill="FFFFFF"/>
          <w:lang w:val="en-US"/>
        </w:rPr>
      </w:pPr>
      <w:r>
        <w:rPr>
          <w:rFonts w:hint="eastAsia" w:ascii="仿宋_GB2312" w:hAnsi="宋体" w:eastAsia="仿宋_GB2312" w:cs="宋体"/>
          <w:color w:val="000000"/>
          <w:kern w:val="0"/>
          <w:szCs w:val="32"/>
          <w:shd w:val="clear" w:color="auto" w:fill="FFFFFF"/>
          <w:lang w:val="zh-CN"/>
        </w:rPr>
        <w:t>项目2：江沟料场租用经费。</w:t>
      </w:r>
      <w:r>
        <w:rPr>
          <w:rFonts w:hint="eastAsia" w:ascii="仿宋_GB2312" w:hAnsi="宋体" w:eastAsia="仿宋_GB2312" w:cs="宋体"/>
          <w:color w:val="000000"/>
          <w:kern w:val="0"/>
          <w:szCs w:val="32"/>
          <w:shd w:val="clear" w:color="auto" w:fill="FFFFFF"/>
          <w:lang w:val="en-US" w:eastAsia="zh-CN"/>
        </w:rPr>
        <w:t>预算金额60万元，全年执行数47.89万元，预算执行率79.82%。该项目实际使用单位为乐山市金口河区共安彝族乡人民政府，已将该指标调剂至共安乡政府使用，已对共安彝族乡文店村原二组林地及土地租用398.2364亩进行补偿。</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项目</w:t>
      </w:r>
      <w:r>
        <w:rPr>
          <w:rFonts w:hint="eastAsia" w:ascii="仿宋_GB2312" w:hAnsi="宋体" w:eastAsia="仿宋_GB2312" w:cs="宋体"/>
          <w:color w:val="000000"/>
          <w:kern w:val="0"/>
          <w:szCs w:val="32"/>
          <w:shd w:val="clear" w:color="auto" w:fill="FFFFFF"/>
          <w:lang w:val="en-US" w:eastAsia="zh-CN"/>
        </w:rPr>
        <w:t>3</w:t>
      </w:r>
      <w:r>
        <w:rPr>
          <w:rFonts w:hint="eastAsia" w:ascii="仿宋_GB2312" w:hAnsi="宋体" w:eastAsia="仿宋_GB2312" w:cs="宋体"/>
          <w:color w:val="000000"/>
          <w:kern w:val="0"/>
          <w:szCs w:val="32"/>
          <w:shd w:val="clear" w:color="auto" w:fill="FFFFFF"/>
          <w:lang w:val="zh-CN"/>
        </w:rPr>
        <w:t>：县乡村道养护经费。</w:t>
      </w:r>
      <w:r>
        <w:rPr>
          <w:rFonts w:hint="eastAsia" w:ascii="仿宋_GB2312" w:hAnsi="宋体" w:eastAsia="仿宋_GB2312" w:cs="宋体"/>
          <w:color w:val="000000"/>
          <w:kern w:val="0"/>
          <w:szCs w:val="32"/>
          <w:shd w:val="clear" w:color="auto" w:fill="FFFFFF"/>
          <w:lang w:val="en-US" w:eastAsia="zh-CN"/>
        </w:rPr>
        <w:t>预算金额130.64万元，全年执行数130.64万元，预算执行率100%。对金口河区447.502公里农村公路进行养护管理，县道124.817公里，乡道79.606公里，村道243.079公里，桥梁0.9公里，隧道0.7公里，并对编外养护人员按时发放工资。</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（三）结果应用情况。</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en-US" w:eastAsia="zh-CN"/>
        </w:rPr>
        <w:t>本单位决算及绩效信息，确保按时准确公开，及时整改。</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（一）评价结论。</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en-US" w:eastAsia="zh-CN"/>
        </w:rPr>
        <w:t xml:space="preserve">2024年，按照国家的法律法规加强预算管理，不断完善内控 </w:t>
      </w:r>
    </w:p>
    <w:p>
      <w:pPr>
        <w:widowControl/>
        <w:adjustRightInd w:val="0"/>
        <w:snapToGrid w:val="0"/>
        <w:spacing w:line="580" w:lineRule="exact"/>
        <w:contextualSpacing/>
        <w:jc w:val="left"/>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en-US" w:eastAsia="zh-CN"/>
        </w:rPr>
        <w:t xml:space="preserve">制度，认真地完成了 2024年部门预算和决算汇总工作，能够按照 </w:t>
      </w:r>
    </w:p>
    <w:p>
      <w:pPr>
        <w:widowControl/>
        <w:adjustRightInd w:val="0"/>
        <w:snapToGrid w:val="0"/>
        <w:spacing w:line="580" w:lineRule="exact"/>
        <w:contextualSpacing/>
        <w:jc w:val="left"/>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en-US" w:eastAsia="zh-CN"/>
        </w:rPr>
        <w:t xml:space="preserve">财政部门批复的预算组织实施。通过项目资金的分配使用。综合以 </w:t>
      </w:r>
    </w:p>
    <w:p>
      <w:pPr>
        <w:widowControl/>
        <w:adjustRightInd w:val="0"/>
        <w:snapToGrid w:val="0"/>
        <w:spacing w:line="580" w:lineRule="exact"/>
        <w:contextualSpacing/>
        <w:jc w:val="left"/>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en-US" w:eastAsia="zh-CN"/>
        </w:rPr>
        <w:t>上各项指标，财务管理健全规范，没有发生违法违规现象，2024</w:t>
      </w:r>
      <w:bookmarkStart w:id="0" w:name="_GoBack"/>
      <w:bookmarkEnd w:id="0"/>
      <w:r>
        <w:rPr>
          <w:rFonts w:hint="eastAsia" w:ascii="仿宋_GB2312" w:hAnsi="宋体" w:eastAsia="仿宋_GB2312" w:cs="宋体"/>
          <w:color w:val="000000"/>
          <w:kern w:val="0"/>
          <w:szCs w:val="32"/>
          <w:shd w:val="clear" w:color="auto" w:fill="FFFFFF"/>
          <w:lang w:val="en-US" w:eastAsia="zh-CN"/>
        </w:rPr>
        <w:t xml:space="preserve">年的部门整体支出做到了使用规范、程序透明、达到预期绩效目标确保了机关的正常运行和各部门职能的正常履行，保证了目标任务 </w:t>
      </w:r>
    </w:p>
    <w:p>
      <w:pPr>
        <w:widowControl/>
        <w:adjustRightInd w:val="0"/>
        <w:snapToGrid w:val="0"/>
        <w:spacing w:line="580" w:lineRule="exact"/>
        <w:contextualSpacing/>
        <w:jc w:val="left"/>
        <w:rPr>
          <w:rFonts w:hint="eastAsia" w:ascii="楷体_GB2312" w:hAnsi="宋体" w:eastAsia="楷体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en-US" w:eastAsia="zh-CN"/>
        </w:rPr>
        <w:t>的圆满完成。</w:t>
      </w:r>
    </w:p>
    <w:p>
      <w:pPr>
        <w:widowControl/>
        <w:numPr>
          <w:ilvl w:val="0"/>
          <w:numId w:val="3"/>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存在问题。</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 xml:space="preserve">个别项目推进不及时，造成资金结转结余数额较大。下一步改 </w:t>
      </w:r>
    </w:p>
    <w:p>
      <w:pPr>
        <w:widowControl/>
        <w:adjustRightInd w:val="0"/>
        <w:snapToGrid w:val="0"/>
        <w:spacing w:line="580" w:lineRule="exact"/>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 xml:space="preserve">进措施：一是进一步加强项目资金管理，加强项目预算的计划性、 </w:t>
      </w:r>
    </w:p>
    <w:p>
      <w:pPr>
        <w:widowControl/>
        <w:adjustRightInd w:val="0"/>
        <w:snapToGrid w:val="0"/>
        <w:spacing w:line="580" w:lineRule="exact"/>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 xml:space="preserve">科学性、确保专项资金使用公开、公平、公正；二是加强财政资金 </w:t>
      </w:r>
    </w:p>
    <w:p>
      <w:pPr>
        <w:widowControl/>
        <w:adjustRightInd w:val="0"/>
        <w:snapToGrid w:val="0"/>
        <w:spacing w:line="580" w:lineRule="exact"/>
        <w:contextualSpacing/>
        <w:jc w:val="left"/>
        <w:rPr>
          <w:rFonts w:hint="eastAsia" w:ascii="楷体_GB2312" w:hAnsi="宋体" w:eastAsia="楷体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en-US" w:eastAsia="zh-CN"/>
        </w:rPr>
        <w:t>绩效管理，实现财政资金使用安全、高效、透明。</w:t>
      </w:r>
    </w:p>
    <w:p>
      <w:pPr>
        <w:widowControl/>
        <w:numPr>
          <w:ilvl w:val="0"/>
          <w:numId w:val="3"/>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改进建议。</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 xml:space="preserve">进一步健全和完善财务管理制度及内部控制制度，科学合理编 </w:t>
      </w:r>
    </w:p>
    <w:p>
      <w:pPr>
        <w:widowControl/>
        <w:adjustRightInd w:val="0"/>
        <w:snapToGrid w:val="0"/>
        <w:spacing w:line="580" w:lineRule="exact"/>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 xml:space="preserve">制预算，严格执行预算。在规范财务收支和控制经费增长上，创新 </w:t>
      </w:r>
    </w:p>
    <w:p>
      <w:pPr>
        <w:widowControl/>
        <w:adjustRightInd w:val="0"/>
        <w:snapToGrid w:val="0"/>
        <w:spacing w:line="580" w:lineRule="exact"/>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 xml:space="preserve">管理手段，用新思路、新方法，改进完善财务管理方法。按照财政 </w:t>
      </w:r>
    </w:p>
    <w:p>
      <w:pPr>
        <w:widowControl/>
        <w:adjustRightInd w:val="0"/>
        <w:snapToGrid w:val="0"/>
        <w:spacing w:line="580" w:lineRule="exact"/>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 xml:space="preserve">支出绩效管理的要求，建立科学的财政资金效益考评制度体系，牢 </w:t>
      </w:r>
    </w:p>
    <w:p>
      <w:pPr>
        <w:widowControl/>
        <w:adjustRightInd w:val="0"/>
        <w:snapToGrid w:val="0"/>
        <w:spacing w:line="580" w:lineRule="exact"/>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固树立行政成本意识，不断提高财政资金使用管理的水平和效率。</w:t>
      </w:r>
    </w:p>
    <w:p>
      <w:pPr>
        <w:widowControl/>
        <w:numPr>
          <w:ilvl w:val="0"/>
          <w:numId w:val="0"/>
        </w:numPr>
        <w:adjustRightInd w:val="0"/>
        <w:snapToGrid w:val="0"/>
        <w:spacing w:line="580" w:lineRule="exact"/>
        <w:contextualSpacing/>
        <w:jc w:val="left"/>
        <w:rPr>
          <w:rFonts w:hint="eastAsia" w:ascii="楷体_GB2312" w:hAnsi="宋体" w:eastAsia="楷体_GB2312" w:cs="宋体"/>
          <w:color w:val="000000"/>
          <w:kern w:val="0"/>
          <w:szCs w:val="32"/>
          <w:shd w:val="clear" w:color="auto" w:fill="FFFFFF"/>
          <w:lang w:val="zh-CN"/>
        </w:rPr>
      </w:pP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0000000000000000000"/>
    <w:charset w:val="86"/>
    <w:family w:val="auto"/>
    <w:pitch w:val="default"/>
    <w:sig w:usb0="00000000" w:usb1="00000000" w:usb2="00082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82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4"/>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EE073F"/>
    <w:multiLevelType w:val="singleLevel"/>
    <w:tmpl w:val="F6EE073F"/>
    <w:lvl w:ilvl="0" w:tentative="0">
      <w:start w:val="2"/>
      <w:numFmt w:val="chineseCounting"/>
      <w:suff w:val="nothing"/>
      <w:lvlText w:val="（%1）"/>
      <w:lvlJc w:val="left"/>
      <w:rPr>
        <w:rFonts w:hint="eastAsia"/>
      </w:rPr>
    </w:lvl>
  </w:abstractNum>
  <w:abstractNum w:abstractNumId="1">
    <w:nsid w:val="17EF3AA0"/>
    <w:multiLevelType w:val="singleLevel"/>
    <w:tmpl w:val="17EF3AA0"/>
    <w:lvl w:ilvl="0" w:tentative="0">
      <w:start w:val="2"/>
      <w:numFmt w:val="chineseCounting"/>
      <w:suff w:val="nothing"/>
      <w:lvlText w:val="（%1）"/>
      <w:lvlJc w:val="left"/>
      <w:rPr>
        <w:rFonts w:hint="eastAsia"/>
      </w:rPr>
    </w:lvl>
  </w:abstractNum>
  <w:abstractNum w:abstractNumId="2">
    <w:nsid w:val="203A0EB7"/>
    <w:multiLevelType w:val="singleLevel"/>
    <w:tmpl w:val="203A0EB7"/>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TA2NjRiNjI3MmI0Y2JiYzUzZjgzNWRiM2U4NTY4YWU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0BFE1F69"/>
    <w:rsid w:val="19927F78"/>
    <w:rsid w:val="1ED106CD"/>
    <w:rsid w:val="21AE59D8"/>
    <w:rsid w:val="286F56EA"/>
    <w:rsid w:val="2D527252"/>
    <w:rsid w:val="329102D6"/>
    <w:rsid w:val="383D154F"/>
    <w:rsid w:val="3A9520B3"/>
    <w:rsid w:val="3DE562B7"/>
    <w:rsid w:val="3E6507EA"/>
    <w:rsid w:val="4087208A"/>
    <w:rsid w:val="47550EBA"/>
    <w:rsid w:val="4D587BF8"/>
    <w:rsid w:val="50BB3388"/>
    <w:rsid w:val="5B1142D2"/>
    <w:rsid w:val="5FBD6144"/>
    <w:rsid w:val="6636451A"/>
    <w:rsid w:val="6BE94116"/>
    <w:rsid w:val="78916378"/>
    <w:rsid w:val="7BC20073"/>
    <w:rsid w:val="7C631402"/>
    <w:rsid w:val="7DCC0F6E"/>
    <w:rsid w:val="7E14077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0"/>
    <w:qFormat/>
    <w:uiPriority w:val="99"/>
    <w:rPr>
      <w:rFonts w:ascii="宋体"/>
      <w:sz w:val="18"/>
      <w:szCs w:val="18"/>
    </w:rPr>
  </w:style>
  <w:style w:type="paragraph" w:styleId="3">
    <w:name w:val="Balloon Text"/>
    <w:basedOn w:val="1"/>
    <w:link w:val="11"/>
    <w:autoRedefine/>
    <w:semiHidden/>
    <w:qFormat/>
    <w:uiPriority w:val="99"/>
    <w:rPr>
      <w:sz w:val="18"/>
      <w:szCs w:val="18"/>
    </w:rPr>
  </w:style>
  <w:style w:type="paragraph" w:styleId="4">
    <w:name w:val="footer"/>
    <w:basedOn w:val="1"/>
    <w:link w:val="12"/>
    <w:autoRedefine/>
    <w:qFormat/>
    <w:uiPriority w:val="99"/>
    <w:pPr>
      <w:tabs>
        <w:tab w:val="center" w:pos="4153"/>
        <w:tab w:val="right" w:pos="8306"/>
      </w:tabs>
      <w:snapToGrid w:val="0"/>
      <w:jc w:val="left"/>
    </w:pPr>
    <w:rPr>
      <w:sz w:val="18"/>
      <w:szCs w:val="18"/>
    </w:rPr>
  </w:style>
  <w:style w:type="paragraph" w:styleId="5">
    <w:name w:val="header"/>
    <w:basedOn w:val="1"/>
    <w:link w:val="13"/>
    <w:autoRedefine/>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autoRedefine/>
    <w:qFormat/>
    <w:uiPriority w:val="99"/>
    <w:rPr>
      <w:rFonts w:cs="Times New Roman"/>
    </w:rPr>
  </w:style>
  <w:style w:type="character" w:customStyle="1" w:styleId="10">
    <w:name w:val="文档结构图 Char"/>
    <w:link w:val="2"/>
    <w:autoRedefine/>
    <w:qFormat/>
    <w:locked/>
    <w:uiPriority w:val="99"/>
    <w:rPr>
      <w:rFonts w:ascii="宋体" w:cs="Times New Roman"/>
      <w:kern w:val="2"/>
      <w:sz w:val="18"/>
      <w:szCs w:val="18"/>
    </w:rPr>
  </w:style>
  <w:style w:type="character" w:customStyle="1" w:styleId="11">
    <w:name w:val="批注框文本 Char"/>
    <w:link w:val="3"/>
    <w:autoRedefine/>
    <w:semiHidden/>
    <w:qFormat/>
    <w:locked/>
    <w:uiPriority w:val="99"/>
    <w:rPr>
      <w:rFonts w:cs="Times New Roman"/>
      <w:sz w:val="2"/>
    </w:rPr>
  </w:style>
  <w:style w:type="character" w:customStyle="1" w:styleId="12">
    <w:name w:val="页脚 Char"/>
    <w:link w:val="4"/>
    <w:autoRedefine/>
    <w:qFormat/>
    <w:locked/>
    <w:uiPriority w:val="99"/>
    <w:rPr>
      <w:rFonts w:cs="Times New Roman"/>
      <w:kern w:val="2"/>
      <w:sz w:val="18"/>
      <w:szCs w:val="18"/>
    </w:rPr>
  </w:style>
  <w:style w:type="character" w:customStyle="1" w:styleId="13">
    <w:name w:val="页眉 Char"/>
    <w:link w:val="5"/>
    <w:autoRedefine/>
    <w:semiHidden/>
    <w:qFormat/>
    <w:locked/>
    <w:uiPriority w:val="99"/>
    <w:rPr>
      <w:rFonts w:cs="Times New Roman"/>
      <w:sz w:val="18"/>
      <w:szCs w:val="18"/>
    </w:rPr>
  </w:style>
  <w:style w:type="paragraph" w:customStyle="1" w:styleId="14">
    <w:name w:val="四号正文"/>
    <w:basedOn w:val="1"/>
    <w:link w:val="15"/>
    <w:autoRedefine/>
    <w:qFormat/>
    <w:uiPriority w:val="99"/>
    <w:pPr>
      <w:spacing w:line="360" w:lineRule="auto"/>
    </w:pPr>
    <w:rPr>
      <w:rFonts w:ascii="??" w:hAnsi="??" w:cs="宋体"/>
      <w:color w:val="000000"/>
      <w:kern w:val="0"/>
      <w:sz w:val="28"/>
      <w:szCs w:val="21"/>
    </w:rPr>
  </w:style>
  <w:style w:type="character" w:customStyle="1" w:styleId="15">
    <w:name w:val="四号正文 Char"/>
    <w:link w:val="14"/>
    <w:autoRedefine/>
    <w:qFormat/>
    <w:locked/>
    <w:uiPriority w:val="99"/>
    <w:rPr>
      <w:rFonts w:ascii="??" w:hAnsi="??" w:eastAsia="宋体" w:cs="宋体"/>
      <w:color w:val="000000"/>
      <w:sz w:val="21"/>
      <w:szCs w:val="21"/>
      <w:lang w:val="en-US" w:eastAsia="zh-CN" w:bidi="ar-SA"/>
    </w:rPr>
  </w:style>
  <w:style w:type="paragraph" w:customStyle="1" w:styleId="16">
    <w:name w:val="a"/>
    <w:basedOn w:val="1"/>
    <w:autoRedefine/>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2</Pages>
  <Words>63</Words>
  <Characters>361</Characters>
  <Lines>3</Lines>
  <Paragraphs>1</Paragraphs>
  <TotalTime>25</TotalTime>
  <ScaleCrop>false</ScaleCrop>
  <LinksUpToDate>false</LinksUpToDate>
  <CharactersWithSpaces>423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dell</cp:lastModifiedBy>
  <cp:lastPrinted>2022-03-15T02:17:00Z</cp:lastPrinted>
  <dcterms:modified xsi:type="dcterms:W3CDTF">2025-03-26T08:21:39Z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1E690E9129F4437E84EDFD26E277E13C_12</vt:lpwstr>
  </property>
</Properties>
</file>