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598"/>
      <w:bookmarkStart w:id="2" w:name="_Toc15396476"/>
      <w:bookmarkStart w:id="3" w:name="_Toc15377426"/>
      <w:bookmarkStart w:id="4" w:name="_Toc15378442"/>
      <w:bookmarkStart w:id="5" w:name="_Toc15377194"/>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乐山市金口河区工商业联合会</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8"/>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8"/>
        <w:tabs>
          <w:tab w:val="right" w:leader="dot" w:pos="9240"/>
        </w:tabs>
        <w:rPr>
          <w:rFonts w:hint="eastAsia" w:eastAsia="宋体"/>
          <w:sz w:val="28"/>
          <w:szCs w:val="28"/>
          <w:lang w:val="en-US" w:eastAsia="zh-CN"/>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eastAsia="zh-CN"/>
        </w:rPr>
        <w:t>单位</w:t>
      </w:r>
      <w:r>
        <w:rPr>
          <w:rFonts w:hint="eastAsia"/>
          <w:b/>
          <w:bCs/>
          <w:sz w:val="28"/>
          <w:szCs w:val="28"/>
        </w:rPr>
        <w:t>决算情况说明</w:t>
      </w:r>
      <w:r>
        <w:rPr>
          <w:b/>
          <w:bCs/>
          <w:sz w:val="28"/>
          <w:szCs w:val="28"/>
        </w:rPr>
        <w:tab/>
      </w:r>
      <w:r>
        <w:rPr>
          <w:b/>
          <w:bCs/>
          <w:sz w:val="28"/>
          <w:szCs w:val="28"/>
        </w:rPr>
        <w:fldChar w:fldCharType="end"/>
      </w:r>
      <w:r>
        <w:rPr>
          <w:rFonts w:hint="eastAsia"/>
          <w:b/>
          <w:bCs/>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9</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9</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11</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0" w:name="_Toc27246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9"/>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1" w:name="_Toc2558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8"/>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2" w:name="_Toc20400_WPSOffice_Level1Page"/>
      <w:r>
        <w:rPr>
          <w:b/>
          <w:bCs/>
          <w:sz w:val="28"/>
          <w:szCs w:val="28"/>
        </w:rPr>
        <w:t>1</w:t>
      </w:r>
      <w:bookmarkEnd w:id="12"/>
      <w:r>
        <w:rPr>
          <w:b/>
          <w:bCs/>
          <w:sz w:val="28"/>
          <w:szCs w:val="28"/>
        </w:rPr>
        <w:fldChar w:fldCharType="end"/>
      </w:r>
      <w:r>
        <w:rPr>
          <w:rFonts w:hint="eastAsia"/>
          <w:b/>
          <w:bCs/>
          <w:sz w:val="28"/>
          <w:szCs w:val="28"/>
          <w:lang w:val="en-US" w:eastAsia="zh-CN"/>
        </w:rPr>
        <w:t>3</w:t>
      </w:r>
    </w:p>
    <w:p>
      <w:pPr>
        <w:pStyle w:val="38"/>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3" w:name="_Toc2946_WPSOffice_Level1Page"/>
      <w:r>
        <w:rPr>
          <w:b/>
          <w:bCs/>
          <w:sz w:val="28"/>
          <w:szCs w:val="28"/>
        </w:rPr>
        <w:t>1</w:t>
      </w:r>
      <w:bookmarkEnd w:id="13"/>
      <w:r>
        <w:rPr>
          <w:b/>
          <w:bCs/>
          <w:sz w:val="28"/>
          <w:szCs w:val="28"/>
        </w:rPr>
        <w:fldChar w:fldCharType="end"/>
      </w:r>
      <w:r>
        <w:rPr>
          <w:rFonts w:hint="eastAsia"/>
          <w:b/>
          <w:bCs/>
          <w:sz w:val="28"/>
          <w:szCs w:val="28"/>
          <w:lang w:val="en-US" w:eastAsia="zh-CN"/>
        </w:rPr>
        <w:t>6</w:t>
      </w:r>
    </w:p>
    <w:p>
      <w:pPr>
        <w:pStyle w:val="38"/>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bookmarkEnd w:id="7"/>
    <w:p>
      <w:pPr>
        <w:pStyle w:val="39"/>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4" w:name="_Toc15377196"/>
      <w:bookmarkStart w:id="15" w:name="_Toc15396599"/>
      <w:r>
        <w:rPr>
          <w:rFonts w:hint="eastAsia" w:ascii="仿宋" w:hAnsi="仿宋" w:eastAsia="仿宋" w:cs="仿宋"/>
          <w:sz w:val="32"/>
          <w:szCs w:val="32"/>
        </w:rPr>
        <w:br w:type="page"/>
      </w:r>
    </w:p>
    <w:p>
      <w:pPr>
        <w:pStyle w:val="5"/>
        <w:jc w:val="center"/>
      </w:pPr>
      <w:bookmarkStart w:id="16"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lang w:eastAsia="zh-CN"/>
        </w:rPr>
        <w:t>单位</w:t>
      </w:r>
      <w:r>
        <w:rPr>
          <w:rFonts w:hint="eastAsia" w:ascii="黑体" w:hAnsi="黑体" w:eastAsia="黑体" w:cs="黑体"/>
          <w:b w:val="0"/>
          <w:bCs w:val="0"/>
        </w:rPr>
        <w:t>概况</w:t>
      </w:r>
      <w:bookmarkEnd w:id="14"/>
      <w:bookmarkEnd w:id="15"/>
      <w:bookmarkEnd w:id="16"/>
    </w:p>
    <w:p>
      <w:pPr>
        <w:pStyle w:val="6"/>
        <w:jc w:val="left"/>
        <w:rPr>
          <w:rFonts w:ascii="黑体" w:hAnsi="黑体" w:eastAsia="黑体" w:cs="黑体"/>
          <w:b w:val="0"/>
          <w:bCs w:val="0"/>
        </w:rPr>
      </w:pPr>
      <w:bookmarkStart w:id="17" w:name="_Toc4287_WPSOffice_Level2"/>
      <w:bookmarkStart w:id="18" w:name="_Toc15396600"/>
      <w:bookmarkStart w:id="19" w:name="_Toc15377197"/>
      <w:r>
        <w:rPr>
          <w:rFonts w:hint="eastAsia" w:ascii="黑体" w:hAnsi="黑体" w:eastAsia="黑体" w:cs="黑体"/>
          <w:b w:val="0"/>
          <w:bCs w:val="0"/>
        </w:rPr>
        <w:t>一、</w:t>
      </w:r>
      <w:bookmarkEnd w:id="17"/>
      <w:bookmarkEnd w:id="18"/>
      <w:bookmarkEnd w:id="19"/>
      <w:r>
        <w:rPr>
          <w:rFonts w:hint="eastAsia" w:ascii="黑体" w:hAnsi="黑体" w:eastAsia="黑体" w:cs="黑体"/>
          <w:b w:val="0"/>
          <w:bCs w:val="0"/>
          <w:lang w:val="en-US" w:eastAsia="zh-CN"/>
        </w:rPr>
        <w:t>主要职责</w:t>
      </w:r>
    </w:p>
    <w:p>
      <w:pPr>
        <w:ind w:firstLine="640" w:firstLineChars="200"/>
        <w:rPr>
          <w:rFonts w:hint="eastAsia" w:ascii="仿宋" w:hAnsi="仿宋" w:eastAsia="仿宋" w:cs="仿宋"/>
          <w:kern w:val="2"/>
          <w:sz w:val="32"/>
          <w:szCs w:val="32"/>
          <w:lang w:val="en-US" w:eastAsia="zh-CN" w:bidi="ar-SA"/>
        </w:rPr>
      </w:pPr>
      <w:bookmarkStart w:id="20" w:name="_Toc15396601"/>
      <w:bookmarkStart w:id="21" w:name="_Toc20400_WPSOffice_Level2"/>
      <w:bookmarkStart w:id="22" w:name="_Toc15377200"/>
      <w:r>
        <w:rPr>
          <w:rFonts w:hint="eastAsia" w:ascii="仿宋" w:hAnsi="仿宋" w:eastAsia="仿宋" w:cs="仿宋"/>
          <w:kern w:val="2"/>
          <w:sz w:val="32"/>
          <w:szCs w:val="32"/>
          <w:lang w:val="en-US" w:eastAsia="zh-CN" w:bidi="ar-SA"/>
        </w:rPr>
        <w:t>一是参与国家大政方针及政治、经济、社会生活中的重要问题的政治协商，参政议政，民主监督。二是引导会员积极参加国家经济建设，推动社会主义市场经济体制逐步完善，促进社会全面进步。三是做工商界代表人士政治安排的推荐工作。四是在非公有制经济人士中，宣传、贯彻党和国家的方针政策，加强思想政治工作，推动企业文化建设，引导会员做中国特色社会主义事业的建设者。五是代表并维护会员的合法权益，反映会员的意见、要求和建议。六是引导会员积极参与“光彩事业”。七是为会员提供信息和科技、管理、法律、会计、审计、融资、咨询等服务。八是开展工商专业培训，帮助会员改进经营管理，完善财会管理，提高生产技术和产品质量。九是组织会员举办和参加各种对内对外展销会、交易会，组织会员出国、出境考察访问，帮助会员开拓国内、国际市场。十是增进与香港特别行政区、澳门特别行政区及台湾地区和世界各国工商社团及工商经济界人士的联系和友谊，促进经济、技术和贸易合作。十一是办好会办企业、事业。十二是承办政府和有关部门的委托事项。</w:t>
      </w:r>
    </w:p>
    <w:p>
      <w:pPr>
        <w:pStyle w:val="6"/>
        <w:jc w:val="left"/>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rPr>
        <w:t>二、机构设置</w:t>
      </w:r>
      <w:bookmarkEnd w:id="20"/>
      <w:bookmarkEnd w:id="21"/>
      <w:bookmarkEnd w:id="22"/>
    </w:p>
    <w:p>
      <w:pPr>
        <w:ind w:firstLine="640" w:firstLineChars="200"/>
        <w:rPr>
          <w:rFonts w:hint="eastAsia"/>
        </w:rPr>
      </w:pPr>
      <w:r>
        <w:rPr>
          <w:rFonts w:hint="eastAsia" w:ascii="仿宋" w:hAnsi="仿宋" w:eastAsia="仿宋" w:cs="仿宋"/>
          <w:sz w:val="32"/>
          <w:szCs w:val="32"/>
          <w:lang w:val="en-US" w:eastAsia="zh-CN"/>
        </w:rPr>
        <w:t>乐山市金口河区工商业联合会</w:t>
      </w:r>
      <w:r>
        <w:rPr>
          <w:rFonts w:hint="eastAsia" w:ascii="仿宋" w:hAnsi="仿宋" w:eastAsia="仿宋" w:cs="仿宋"/>
          <w:kern w:val="2"/>
          <w:sz w:val="32"/>
          <w:szCs w:val="32"/>
          <w:lang w:val="en-US" w:eastAsia="zh-CN" w:bidi="ar-SA"/>
        </w:rPr>
        <w:t>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bookmarkStart w:id="23" w:name="_Toc4287_WPSOffice_Level1"/>
      <w:bookmarkStart w:id="24" w:name="_Toc15377204"/>
      <w:bookmarkStart w:id="25" w:name="_Toc15396602"/>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eastAsia="zh-CN"/>
        </w:rPr>
        <w:t>单位</w:t>
      </w:r>
      <w:r>
        <w:rPr>
          <w:rFonts w:hint="eastAsia" w:ascii="黑体" w:hAnsi="黑体" w:eastAsia="黑体" w:cs="黑体"/>
          <w:b w:val="0"/>
          <w:bCs w:val="0"/>
          <w:kern w:val="44"/>
          <w:sz w:val="44"/>
          <w:szCs w:val="44"/>
        </w:rPr>
        <w:t>决算情况说明</w:t>
      </w:r>
      <w:bookmarkEnd w:id="23"/>
      <w:bookmarkEnd w:id="24"/>
      <w:bookmarkEnd w:id="25"/>
    </w:p>
    <w:p>
      <w:pPr>
        <w:jc w:val="center"/>
        <w:outlineLvl w:val="0"/>
        <w:rPr>
          <w:rFonts w:hint="eastAsia"/>
          <w:b/>
          <w:bCs/>
          <w:kern w:val="44"/>
          <w:sz w:val="44"/>
          <w:szCs w:val="44"/>
        </w:rPr>
      </w:pPr>
    </w:p>
    <w:p>
      <w:pPr>
        <w:pStyle w:val="6"/>
        <w:rPr>
          <w:rFonts w:ascii="黑体" w:hAnsi="黑体" w:eastAsia="黑体" w:cs="黑体"/>
          <w:b w:val="0"/>
          <w:bCs w:val="0"/>
        </w:rPr>
      </w:pPr>
      <w:bookmarkStart w:id="26" w:name="_Toc15396603"/>
      <w:bookmarkStart w:id="27" w:name="_Toc15377205"/>
      <w:bookmarkStart w:id="28" w:name="_Toc2946_WPSOffice_Level2"/>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6"/>
      <w:bookmarkEnd w:id="27"/>
      <w:bookmarkEnd w:id="28"/>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150.58</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减少48.05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下降31.9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5pt;width:193.95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29" w:name="_Toc15396604"/>
      <w:bookmarkStart w:id="30" w:name="_Toc4876_WPSOffice_Level2"/>
      <w:bookmarkStart w:id="31" w:name="_Toc15377206"/>
      <w:r>
        <w:rPr>
          <w:rFonts w:hint="eastAsia" w:ascii="黑体" w:hAnsi="黑体" w:eastAsia="黑体" w:cs="黑体"/>
          <w:b w:val="0"/>
          <w:bCs w:val="0"/>
          <w:lang w:eastAsia="zh-CN"/>
        </w:rPr>
        <w:t>二、收入决算情况说明</w:t>
      </w:r>
      <w:bookmarkEnd w:id="29"/>
      <w:bookmarkEnd w:id="30"/>
      <w:bookmarkEnd w:id="31"/>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3pt;width:270.1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102.51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102.51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2" w:name="_Toc7319_WPSOffice_Level2"/>
      <w:bookmarkStart w:id="33" w:name="_Toc15396605"/>
      <w:bookmarkStart w:id="34" w:name="_Toc15377207"/>
      <w:r>
        <w:rPr>
          <w:rFonts w:hint="eastAsia" w:ascii="黑体" w:hAnsi="黑体" w:eastAsia="黑体" w:cs="黑体"/>
          <w:b w:val="0"/>
          <w:bCs w:val="0"/>
          <w:lang w:eastAsia="zh-CN"/>
        </w:rPr>
        <w:t>三、支出决算情况说明</w:t>
      </w:r>
      <w:bookmarkEnd w:id="32"/>
      <w:bookmarkEnd w:id="33"/>
      <w:bookmarkEnd w:id="34"/>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6pt;width:234.3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96.92</w:t>
      </w:r>
      <w:r>
        <w:rPr>
          <w:rFonts w:hint="eastAsia" w:ascii="仿宋" w:hAnsi="仿宋" w:eastAsia="仿宋" w:cs="仿宋"/>
          <w:sz w:val="32"/>
          <w:szCs w:val="32"/>
        </w:rPr>
        <w:t>万元，占</w:t>
      </w:r>
      <w:r>
        <w:rPr>
          <w:rFonts w:hint="eastAsia" w:ascii="仿宋" w:hAnsi="仿宋" w:eastAsia="仿宋" w:cs="仿宋"/>
          <w:sz w:val="32"/>
          <w:szCs w:val="32"/>
          <w:lang w:val="en-US" w:eastAsia="zh-CN"/>
        </w:rPr>
        <w:t>94.5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5.61</w:t>
      </w:r>
      <w:r>
        <w:rPr>
          <w:rFonts w:hint="eastAsia" w:ascii="仿宋" w:hAnsi="仿宋" w:eastAsia="仿宋" w:cs="仿宋"/>
          <w:sz w:val="32"/>
          <w:szCs w:val="32"/>
        </w:rPr>
        <w:t>万元，占</w:t>
      </w:r>
      <w:r>
        <w:rPr>
          <w:rFonts w:hint="eastAsia" w:ascii="仿宋" w:hAnsi="仿宋" w:eastAsia="仿宋" w:cs="仿宋"/>
          <w:sz w:val="32"/>
          <w:szCs w:val="32"/>
          <w:lang w:val="en-US" w:eastAsia="zh-CN"/>
        </w:rPr>
        <w:t>5.5</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5" w:name="_Toc15396606"/>
      <w:bookmarkStart w:id="36" w:name="_Toc15377208"/>
      <w:bookmarkStart w:id="37" w:name="_Toc27630_WPSOffice_Level2"/>
      <w:r>
        <w:rPr>
          <w:rFonts w:hint="eastAsia" w:ascii="黑体" w:hAnsi="黑体" w:eastAsia="黑体" w:cs="黑体"/>
          <w:b w:val="0"/>
          <w:bCs w:val="0"/>
          <w:lang w:eastAsia="zh-CN"/>
        </w:rPr>
        <w:t>财政拨款收入支出决算总体情况说明</w:t>
      </w:r>
      <w:bookmarkEnd w:id="35"/>
      <w:bookmarkEnd w:id="36"/>
      <w:bookmarkEnd w:id="37"/>
    </w:p>
    <w:p>
      <w:pPr>
        <w:jc w:val="center"/>
      </w:pPr>
      <w:r>
        <w:rPr>
          <w:rFonts w:hint="eastAsia" w:ascii="仿宋" w:hAnsi="仿宋" w:eastAsia="仿宋" w:cs="仿宋"/>
          <w:sz w:val="32"/>
          <w:szCs w:val="32"/>
        </w:rPr>
        <w:object>
          <v:shape id="_x0000_i1028" o:spt="75" type="#_x0000_t75" style="height:114.45pt;width:222.4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万元相比，财政拨款收、支总计</w:t>
      </w:r>
      <w:r>
        <w:rPr>
          <w:rFonts w:hint="eastAsia" w:ascii="仿宋" w:hAnsi="仿宋" w:eastAsia="仿宋" w:cs="仿宋"/>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pStyle w:val="6"/>
        <w:rPr>
          <w:rFonts w:ascii="黑体" w:hAnsi="黑体" w:eastAsia="黑体" w:cs="黑体"/>
          <w:b w:val="0"/>
          <w:bCs w:val="0"/>
        </w:rPr>
      </w:pPr>
      <w:bookmarkStart w:id="38" w:name="_Toc15396607"/>
      <w:bookmarkStart w:id="39" w:name="_Toc15377209"/>
      <w:bookmarkStart w:id="40" w:name="_Toc5302_WPSOffice_Level2"/>
      <w:r>
        <w:rPr>
          <w:rFonts w:hint="eastAsia" w:ascii="黑体" w:hAnsi="黑体" w:eastAsia="黑体" w:cs="黑体"/>
          <w:b w:val="0"/>
          <w:bCs w:val="0"/>
          <w:lang w:eastAsia="zh-CN"/>
        </w:rPr>
        <w:t>五、一般公共预算财政拨款支出决算情况说明</w:t>
      </w:r>
      <w:bookmarkEnd w:id="38"/>
      <w:bookmarkEnd w:id="39"/>
      <w:bookmarkEnd w:id="40"/>
    </w:p>
    <w:p>
      <w:pPr>
        <w:ind w:firstLine="643" w:firstLineChars="200"/>
        <w:rPr>
          <w:rFonts w:ascii="仿宋" w:hAnsi="仿宋" w:eastAsia="仿宋" w:cs="仿宋"/>
          <w:b/>
          <w:bCs/>
          <w:sz w:val="32"/>
          <w:szCs w:val="32"/>
        </w:rPr>
      </w:pPr>
      <w:bookmarkStart w:id="41" w:name="_Toc15377210"/>
      <w:r>
        <w:rPr>
          <w:rFonts w:hint="eastAsia" w:ascii="仿宋" w:hAnsi="仿宋" w:eastAsia="仿宋" w:cs="仿宋"/>
          <w:b/>
          <w:bCs/>
          <w:sz w:val="32"/>
          <w:szCs w:val="32"/>
        </w:rPr>
        <w:t>（一）一般公共预算财政拨款支出决算总体情况</w:t>
      </w:r>
      <w:bookmarkEnd w:id="41"/>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%。主要变动原因</w:t>
      </w:r>
      <w:bookmarkStart w:id="42" w:name="_Toc15377211"/>
      <w:r>
        <w:rPr>
          <w:rFonts w:hint="eastAsia" w:ascii="仿宋_GB2312" w:eastAsia="仿宋_GB2312" w:cs="宋体"/>
          <w:color w:val="000000"/>
          <w:kern w:val="0"/>
          <w:sz w:val="32"/>
          <w:szCs w:val="32"/>
        </w:rPr>
        <w:t>是</w:t>
      </w:r>
      <w:r>
        <w:rPr>
          <w:rFonts w:hint="eastAsia" w:ascii="仿宋_GB2312" w:eastAsia="仿宋_GB2312" w:cs="宋体"/>
          <w:color w:val="000000"/>
          <w:kern w:val="0"/>
          <w:sz w:val="32"/>
          <w:szCs w:val="32"/>
          <w:lang w:eastAsia="zh-CN"/>
        </w:rPr>
        <w:t>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2"/>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45pt;width:369.1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73.83</w:t>
      </w:r>
      <w:r>
        <w:rPr>
          <w:rFonts w:hint="eastAsia" w:ascii="仿宋" w:hAnsi="仿宋" w:eastAsia="仿宋" w:cs="仿宋"/>
          <w:sz w:val="32"/>
          <w:szCs w:val="32"/>
        </w:rPr>
        <w:t>万元，占</w:t>
      </w:r>
      <w:r>
        <w:rPr>
          <w:rFonts w:hint="eastAsia" w:ascii="仿宋" w:hAnsi="仿宋" w:eastAsia="仿宋" w:cs="仿宋"/>
          <w:sz w:val="32"/>
          <w:szCs w:val="32"/>
          <w:lang w:val="en-US" w:eastAsia="zh-CN"/>
        </w:rPr>
        <w:t>72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19.23</w:t>
      </w:r>
      <w:r>
        <w:rPr>
          <w:rFonts w:hint="eastAsia" w:ascii="仿宋" w:hAnsi="仿宋" w:eastAsia="仿宋" w:cs="仿宋"/>
          <w:sz w:val="32"/>
          <w:szCs w:val="32"/>
        </w:rPr>
        <w:t>万元，占</w:t>
      </w:r>
      <w:r>
        <w:rPr>
          <w:rFonts w:hint="eastAsia" w:ascii="仿宋" w:hAnsi="仿宋" w:eastAsia="仿宋" w:cs="仿宋"/>
          <w:sz w:val="32"/>
          <w:szCs w:val="32"/>
          <w:lang w:val="en-US" w:eastAsia="zh-CN"/>
        </w:rPr>
        <w:t>18.8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2.67</w:t>
      </w:r>
      <w:r>
        <w:rPr>
          <w:rFonts w:hint="eastAsia" w:ascii="仿宋" w:hAnsi="仿宋" w:eastAsia="仿宋" w:cs="仿宋"/>
          <w:sz w:val="32"/>
          <w:szCs w:val="32"/>
        </w:rPr>
        <w:t>万元，占</w:t>
      </w:r>
      <w:r>
        <w:rPr>
          <w:rFonts w:hint="eastAsia" w:ascii="仿宋" w:hAnsi="仿宋" w:eastAsia="仿宋" w:cs="仿宋"/>
          <w:sz w:val="32"/>
          <w:szCs w:val="32"/>
          <w:lang w:val="en-US" w:eastAsia="zh-CN"/>
        </w:rPr>
        <w:t>2.6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6.8</w:t>
      </w:r>
      <w:r>
        <w:rPr>
          <w:rFonts w:hint="eastAsia" w:ascii="仿宋" w:hAnsi="仿宋" w:eastAsia="仿宋" w:cs="仿宋"/>
          <w:sz w:val="32"/>
          <w:szCs w:val="32"/>
        </w:rPr>
        <w:t>万元，占</w:t>
      </w:r>
      <w:r>
        <w:rPr>
          <w:rFonts w:hint="eastAsia" w:ascii="仿宋" w:hAnsi="仿宋" w:eastAsia="仿宋" w:cs="仿宋"/>
          <w:sz w:val="32"/>
          <w:szCs w:val="32"/>
          <w:lang w:val="en-US" w:eastAsia="zh-CN"/>
        </w:rPr>
        <w:t>6.6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3" w:name="_Toc15377212"/>
      <w:r>
        <w:rPr>
          <w:rFonts w:hint="eastAsia" w:ascii="仿宋" w:hAnsi="仿宋" w:eastAsia="仿宋" w:cs="仿宋"/>
          <w:b/>
          <w:bCs/>
          <w:sz w:val="32"/>
          <w:szCs w:val="32"/>
        </w:rPr>
        <w:t>（三）一般公共预算财政拨款支出决算具体情况</w:t>
      </w:r>
      <w:bookmarkEnd w:id="4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4" w:name="_Toc15377444"/>
      <w:bookmarkStart w:id="45" w:name="_Toc15378460"/>
      <w:bookmarkStart w:id="46" w:name="_Toc15377213"/>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102.53</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4"/>
      <w:bookmarkEnd w:id="45"/>
      <w:bookmarkEnd w:id="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7" w:name="_Toc1516_WPSOffice_Level2"/>
      <w:bookmarkStart w:id="48" w:name="_Toc15377214"/>
      <w:bookmarkStart w:id="49" w:name="_Toc15396608"/>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70.82</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参政议政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3.01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8.23</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6.52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0.7</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1.1</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2.68</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2.25</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0.42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6.8</w:t>
      </w:r>
      <w:r>
        <w:rPr>
          <w:rFonts w:hint="eastAsia" w:ascii="仿宋" w:hAnsi="仿宋" w:eastAsia="仿宋" w:cs="仿宋"/>
          <w:sz w:val="32"/>
          <w:szCs w:val="32"/>
        </w:rPr>
        <w:t>万元，完成预算100%。</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六、一般公共预算财政拨款基本支出决算情况说明</w:t>
      </w:r>
      <w:bookmarkEnd w:id="47"/>
      <w:bookmarkEnd w:id="48"/>
      <w:bookmarkEnd w:id="49"/>
      <w:r>
        <w:rPr>
          <w:rFonts w:hint="eastAsia" w:ascii="黑体" w:hAnsi="黑体" w:eastAsia="黑体" w:cs="黑体"/>
          <w:b w:val="0"/>
          <w:bCs w:val="0"/>
          <w:lang w:eastAsia="zh-CN"/>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96.91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50" w:name="_Toc15377215"/>
      <w:bookmarkStart w:id="51" w:name="_Toc15396609"/>
      <w:bookmarkStart w:id="52" w:name="_Toc8143_WPSOffice_Level2"/>
      <w:r>
        <w:rPr>
          <w:rFonts w:hint="eastAsia" w:ascii="仿宋" w:hAnsi="仿宋" w:eastAsia="仿宋" w:cs="仿宋"/>
          <w:sz w:val="32"/>
          <w:szCs w:val="32"/>
        </w:rPr>
        <w:t>人员经费</w:t>
      </w:r>
      <w:r>
        <w:rPr>
          <w:rFonts w:hint="eastAsia" w:ascii="仿宋" w:hAnsi="仿宋" w:eastAsia="仿宋" w:cs="仿宋"/>
          <w:sz w:val="32"/>
          <w:szCs w:val="32"/>
          <w:lang w:val="en-US" w:eastAsia="zh-CN"/>
        </w:rPr>
        <w:t>86.89</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、其他个人和家庭的补助支出</w:t>
      </w:r>
      <w:r>
        <w:rPr>
          <w:rFonts w:hint="eastAsia" w:ascii="仿宋" w:hAnsi="仿宋" w:eastAsia="仿宋" w:cs="仿宋"/>
          <w:sz w:val="32"/>
          <w:szCs w:val="32"/>
        </w:rPr>
        <w:t>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10.02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会议费、公务接待费、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、其他商品和服务支出</w:t>
      </w:r>
      <w:r>
        <w:rPr>
          <w:rFonts w:hint="eastAsia" w:ascii="仿宋" w:hAnsi="仿宋" w:eastAsia="仿宋" w:cs="仿宋"/>
          <w:sz w:val="32"/>
          <w:szCs w:val="32"/>
        </w:rPr>
        <w:t>等。</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0"/>
      <w:bookmarkEnd w:id="51"/>
      <w:bookmarkEnd w:id="52"/>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3" w:name="_Toc15377217"/>
      <w:bookmarkStart w:id="54" w:name="_Toc15396610"/>
      <w:bookmarkStart w:id="55" w:name="_Toc14598_WPSOffice_Level2"/>
      <w:bookmarkStart w:id="56" w:name="_Toc15377218"/>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2024年度“三公经费财政拨款支出决算为0.51万元，完成预算100%，较上年0.48万元增加0.03万元，增长6.3%。主要原因是公务接待人次增多。</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05pt;width:311.7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0.48增加0.03</w:t>
      </w:r>
      <w:r>
        <w:rPr>
          <w:rFonts w:hint="eastAsia" w:ascii="仿宋" w:hAnsi="仿宋" w:eastAsia="仿宋" w:cs="仿宋"/>
          <w:sz w:val="32"/>
          <w:szCs w:val="32"/>
        </w:rPr>
        <w:t>万元</w:t>
      </w:r>
      <w:r>
        <w:rPr>
          <w:rFonts w:hint="eastAsia" w:ascii="仿宋" w:hAnsi="仿宋" w:eastAsia="仿宋" w:cs="仿宋"/>
          <w:b w:val="0"/>
          <w:bCs w:val="0"/>
          <w:sz w:val="32"/>
          <w:szCs w:val="32"/>
          <w:lang w:val="en-US" w:eastAsia="zh-CN"/>
        </w:rPr>
        <w:t>，增长6.3%</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主要原因是公务接待人次增多。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65</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4"/>
      <w:bookmarkEnd w:id="55"/>
      <w:bookmarkEnd w:id="56"/>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7" w:name="_Toc15396611"/>
      <w:bookmarkStart w:id="58" w:name="_Toc15377219"/>
      <w:bookmarkStart w:id="59" w:name="_Toc27246_WPSOffice_Level2"/>
      <w:r>
        <w:rPr>
          <w:rFonts w:hint="eastAsia" w:ascii="黑体" w:hAnsi="黑体" w:eastAsia="黑体" w:cs="黑体"/>
          <w:b w:val="0"/>
          <w:bCs w:val="0"/>
          <w:lang w:eastAsia="zh-CN"/>
        </w:rPr>
        <w:t>九、国有资本经营预算支出决算情况说明</w:t>
      </w:r>
      <w:bookmarkEnd w:id="57"/>
      <w:bookmarkEnd w:id="58"/>
      <w:bookmarkEnd w:id="59"/>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0" w:name="_Toc15377221"/>
      <w:bookmarkStart w:id="61" w:name="_Toc2558_WPSOffice_Level2"/>
      <w:bookmarkStart w:id="62" w:name="_Toc15396612"/>
      <w:r>
        <w:rPr>
          <w:rFonts w:hint="eastAsia" w:ascii="黑体" w:hAnsi="黑体" w:eastAsia="黑体" w:cs="黑体"/>
          <w:b w:val="0"/>
          <w:bCs w:val="0"/>
          <w:lang w:eastAsia="zh-CN"/>
        </w:rPr>
        <w:t>十、其他重要事项的情况说明</w:t>
      </w:r>
      <w:bookmarkEnd w:id="60"/>
      <w:bookmarkEnd w:id="61"/>
      <w:bookmarkEnd w:id="62"/>
    </w:p>
    <w:p>
      <w:pPr>
        <w:ind w:firstLine="643" w:firstLineChars="200"/>
        <w:outlineLvl w:val="2"/>
        <w:rPr>
          <w:rFonts w:ascii="仿宋" w:hAnsi="仿宋" w:eastAsia="仿宋" w:cs="仿宋"/>
          <w:b/>
          <w:bCs/>
          <w:sz w:val="32"/>
          <w:szCs w:val="32"/>
        </w:rPr>
      </w:pPr>
      <w:bookmarkStart w:id="63" w:name="_Toc15377222"/>
      <w:r>
        <w:rPr>
          <w:rFonts w:hint="eastAsia" w:ascii="仿宋" w:hAnsi="仿宋" w:eastAsia="仿宋" w:cs="仿宋"/>
          <w:b/>
          <w:bCs/>
          <w:sz w:val="32"/>
          <w:szCs w:val="32"/>
        </w:rPr>
        <w:t>（一）机关运行经费支出情况</w:t>
      </w:r>
      <w:bookmarkEnd w:id="63"/>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10.02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14.35</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减少4.33万元，下降30.174%。主要原因是人员减少。</w:t>
      </w:r>
    </w:p>
    <w:p>
      <w:pPr>
        <w:ind w:firstLine="643" w:firstLineChars="200"/>
        <w:outlineLvl w:val="2"/>
        <w:rPr>
          <w:rFonts w:ascii="仿宋" w:hAnsi="仿宋" w:eastAsia="仿宋" w:cs="仿宋"/>
          <w:b/>
          <w:bCs/>
          <w:sz w:val="32"/>
          <w:szCs w:val="32"/>
        </w:rPr>
      </w:pPr>
      <w:bookmarkStart w:id="64" w:name="_Toc15377223"/>
      <w:r>
        <w:rPr>
          <w:rFonts w:hint="eastAsia" w:ascii="仿宋" w:hAnsi="仿宋" w:eastAsia="仿宋" w:cs="仿宋"/>
          <w:b/>
          <w:bCs/>
          <w:sz w:val="32"/>
          <w:szCs w:val="32"/>
        </w:rPr>
        <w:t>（二）政府采购支出情况</w:t>
      </w:r>
      <w:bookmarkEnd w:id="6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5" w:name="_Toc15377224"/>
      <w:r>
        <w:rPr>
          <w:rFonts w:hint="eastAsia" w:ascii="仿宋" w:hAnsi="仿宋" w:eastAsia="仿宋" w:cs="仿宋"/>
          <w:b/>
          <w:bCs/>
          <w:sz w:val="32"/>
          <w:szCs w:val="32"/>
        </w:rPr>
        <w:t>（三）国有资产占有使用情况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w:t>
      </w:r>
      <w:r>
        <w:rPr>
          <w:rFonts w:hint="eastAsia" w:ascii="仿宋" w:hAnsi="仿宋" w:eastAsia="仿宋" w:cs="仿宋"/>
          <w:sz w:val="32"/>
          <w:szCs w:val="32"/>
          <w:lang w:val="en-US" w:eastAsia="zh-CN"/>
        </w:rPr>
        <w:t>单位</w:t>
      </w:r>
      <w:bookmarkStart w:id="100" w:name="_GoBack"/>
      <w:bookmarkEnd w:id="100"/>
      <w:r>
        <w:rPr>
          <w:rFonts w:hint="eastAsia" w:ascii="仿宋" w:hAnsi="仿宋" w:eastAsia="仿宋" w:cs="仿宋"/>
          <w:sz w:val="32"/>
          <w:szCs w:val="32"/>
        </w:rPr>
        <w:t>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预算编制阶段，组织对考察调研非公企业经费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w:t>
      </w:r>
      <w:r>
        <w:rPr>
          <w:rFonts w:hint="eastAsia" w:ascii="仿宋" w:hAnsi="仿宋" w:eastAsia="仿宋" w:cs="仿宋"/>
          <w:sz w:val="32"/>
          <w:szCs w:val="32"/>
        </w:rPr>
        <w:t>对</w:t>
      </w:r>
      <w:r>
        <w:rPr>
          <w:rFonts w:hint="eastAsia" w:ascii="仿宋" w:hAnsi="仿宋" w:eastAsia="仿宋" w:cs="仿宋"/>
          <w:sz w:val="32"/>
          <w:szCs w:val="32"/>
          <w:lang w:val="en-US" w:eastAsia="zh-CN"/>
        </w:rPr>
        <w:t>1个项目开展绩效自评，绩效自评表详见</w:t>
      </w:r>
      <w:r>
        <w:rPr>
          <w:rFonts w:hint="eastAsia" w:ascii="仿宋" w:hAnsi="仿宋" w:eastAsia="仿宋" w:cs="仿宋"/>
          <w:sz w:val="32"/>
          <w:szCs w:val="32"/>
        </w:rPr>
        <w:t>第四部分</w:t>
      </w:r>
      <w:r>
        <w:rPr>
          <w:rFonts w:hint="eastAsia" w:ascii="仿宋" w:hAnsi="仿宋" w:eastAsia="仿宋" w:cs="仿宋"/>
          <w:sz w:val="32"/>
          <w:szCs w:val="32"/>
          <w:lang w:val="en-US" w:eastAsia="zh-CN"/>
        </w:rPr>
        <w:t>附件</w:t>
      </w:r>
      <w:r>
        <w:rPr>
          <w:rFonts w:hint="eastAsia" w:ascii="仿宋" w:hAnsi="仿宋" w:eastAsia="仿宋" w:cs="仿宋"/>
          <w:sz w:val="32"/>
          <w:szCs w:val="32"/>
        </w:rPr>
        <w:t>。</w:t>
      </w:r>
      <w:bookmarkStart w:id="66" w:name="_Toc15377225"/>
      <w:bookmarkStart w:id="67" w:name="_Toc15396613"/>
      <w:bookmarkStart w:id="68" w:name="_Toc20400_WPSOffice_Level1"/>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rPr>
          <w:rFonts w:hint="eastAsia"/>
          <w:b/>
          <w:bCs/>
          <w:kern w:val="44"/>
          <w:sz w:val="44"/>
          <w:szCs w:val="44"/>
        </w:rPr>
      </w:pPr>
    </w:p>
    <w:p>
      <w:pPr>
        <w:jc w:val="center"/>
        <w:outlineLvl w:val="0"/>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rPr>
      </w:pPr>
    </w:p>
    <w:p>
      <w:pPr>
        <w:jc w:val="center"/>
        <w:outlineLvl w:val="0"/>
        <w:rPr>
          <w:rFonts w:hint="eastAsia" w:ascii="黑体" w:hAnsi="黑体" w:eastAsia="黑体" w:cs="黑体"/>
          <w:b w:val="0"/>
          <w:bCs w:val="0"/>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6"/>
      <w:bookmarkEnd w:id="67"/>
      <w:bookmarkEnd w:id="68"/>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 一般公共服务支出民主党派及工商联事务行政运行: </w:t>
      </w:r>
      <w:r>
        <w:rPr>
          <w:rFonts w:hint="eastAsia" w:ascii="仿宋" w:hAnsi="仿宋" w:eastAsia="仿宋" w:cs="仿宋"/>
          <w:sz w:val="32"/>
          <w:szCs w:val="32"/>
          <w:lang w:val="en-US" w:eastAsia="zh-CN"/>
        </w:rPr>
        <w:t>指民主党派及工商联行政单位的基本支出。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一般公共服务支出民主党派及工商联事务一般行政管理事务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指民主党派及工商联行政单位未单独设置项级科目的其他项目支出。</w:t>
      </w:r>
    </w:p>
    <w:p>
      <w:pPr>
        <w:ind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w:t>
      </w:r>
      <w:r>
        <w:rPr>
          <w:rFonts w:hint="eastAsia" w:ascii="仿宋" w:hAnsi="仿宋" w:eastAsia="仿宋" w:cs="仿宋"/>
          <w:sz w:val="32"/>
          <w:szCs w:val="32"/>
        </w:rPr>
        <w:t>一般公共服务支出民主党派及工商联事务</w:t>
      </w:r>
      <w:r>
        <w:rPr>
          <w:rFonts w:hint="eastAsia" w:ascii="仿宋" w:hAnsi="仿宋" w:eastAsia="仿宋" w:cs="仿宋"/>
          <w:sz w:val="32"/>
          <w:szCs w:val="32"/>
          <w:lang w:val="en-US" w:eastAsia="zh-CN"/>
        </w:rPr>
        <w:t>参政议政：民主党派为参政议政进行的调研、会议、检查等方面的支出。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69" w:name="_Toc15396614"/>
      <w:bookmarkStart w:id="70"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1"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69"/>
      <w:bookmarkEnd w:id="71"/>
    </w:p>
    <w:p>
      <w:pPr>
        <w:spacing w:line="600" w:lineRule="exact"/>
        <w:jc w:val="center"/>
        <w:outlineLvl w:val="0"/>
        <w:rPr>
          <w:rFonts w:hint="eastAsia" w:asciiTheme="minorEastAsia" w:hAnsiTheme="minorEastAsia" w:eastAsiaTheme="minorEastAsia" w:cstheme="minorEastAsia"/>
          <w:sz w:val="32"/>
          <w:szCs w:val="32"/>
          <w:highlight w:val="none"/>
          <w:lang w:val="en-US" w:eastAsia="zh-CN"/>
        </w:rPr>
      </w:pPr>
      <w:bookmarkStart w:id="72" w:name="_Toc4876_WPSOffice_Level1"/>
      <w:bookmarkStart w:id="73" w:name="_Toc15396618"/>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0"/>
      <w:bookmarkEnd w:id="72"/>
      <w:bookmarkEnd w:id="73"/>
      <w:bookmarkStart w:id="74"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5" w:name="_Toc4166_WPSOffice_Level2"/>
      <w:r>
        <w:rPr>
          <w:rFonts w:hint="eastAsia" w:ascii="仿宋" w:hAnsi="仿宋" w:eastAsia="仿宋" w:cs="仿宋"/>
          <w:sz w:val="32"/>
          <w:szCs w:val="32"/>
        </w:rPr>
        <w:t>一、收入支出决算总表</w:t>
      </w:r>
      <w:bookmarkEnd w:id="74"/>
      <w:bookmarkEnd w:id="75"/>
    </w:p>
    <w:p>
      <w:pPr>
        <w:ind w:firstLine="640" w:firstLineChars="200"/>
        <w:outlineLvl w:val="1"/>
        <w:rPr>
          <w:rFonts w:ascii="仿宋" w:hAnsi="仿宋" w:eastAsia="仿宋" w:cs="仿宋"/>
          <w:sz w:val="32"/>
          <w:szCs w:val="32"/>
        </w:rPr>
      </w:pPr>
      <w:bookmarkStart w:id="76" w:name="_Toc15396620"/>
      <w:bookmarkStart w:id="77" w:name="_Toc12757_WPSOffice_Level2"/>
      <w:r>
        <w:rPr>
          <w:rFonts w:hint="eastAsia" w:ascii="仿宋" w:hAnsi="仿宋" w:eastAsia="仿宋" w:cs="仿宋"/>
          <w:sz w:val="32"/>
          <w:szCs w:val="32"/>
        </w:rPr>
        <w:t>二、收入决算表</w:t>
      </w:r>
      <w:bookmarkEnd w:id="76"/>
      <w:bookmarkEnd w:id="77"/>
    </w:p>
    <w:p>
      <w:pPr>
        <w:ind w:firstLine="640" w:firstLineChars="200"/>
        <w:outlineLvl w:val="1"/>
        <w:rPr>
          <w:rFonts w:ascii="仿宋" w:hAnsi="仿宋" w:eastAsia="仿宋" w:cs="仿宋"/>
          <w:sz w:val="32"/>
          <w:szCs w:val="32"/>
        </w:rPr>
      </w:pPr>
      <w:bookmarkStart w:id="78" w:name="_Toc16324_WPSOffice_Level2"/>
      <w:bookmarkStart w:id="79" w:name="_Toc15396621"/>
      <w:r>
        <w:rPr>
          <w:rFonts w:hint="eastAsia" w:ascii="仿宋" w:hAnsi="仿宋" w:eastAsia="仿宋" w:cs="仿宋"/>
          <w:sz w:val="32"/>
          <w:szCs w:val="32"/>
        </w:rPr>
        <w:t>三、支出决算表</w:t>
      </w:r>
      <w:bookmarkEnd w:id="78"/>
      <w:bookmarkEnd w:id="79"/>
    </w:p>
    <w:p>
      <w:pPr>
        <w:ind w:firstLine="640" w:firstLineChars="200"/>
        <w:outlineLvl w:val="1"/>
        <w:rPr>
          <w:rFonts w:ascii="仿宋" w:hAnsi="仿宋" w:eastAsia="仿宋" w:cs="仿宋"/>
          <w:sz w:val="32"/>
          <w:szCs w:val="32"/>
        </w:rPr>
      </w:pPr>
      <w:bookmarkStart w:id="80" w:name="_Toc28558_WPSOffice_Level2"/>
      <w:bookmarkStart w:id="81" w:name="_Toc15396622"/>
      <w:r>
        <w:rPr>
          <w:rFonts w:hint="eastAsia" w:ascii="仿宋" w:hAnsi="仿宋" w:eastAsia="仿宋" w:cs="仿宋"/>
          <w:sz w:val="32"/>
          <w:szCs w:val="32"/>
        </w:rPr>
        <w:t>四、财政拨款收入支出决算总表</w:t>
      </w:r>
      <w:bookmarkEnd w:id="80"/>
      <w:bookmarkEnd w:id="81"/>
    </w:p>
    <w:p>
      <w:pPr>
        <w:ind w:firstLine="640" w:firstLineChars="200"/>
        <w:outlineLvl w:val="1"/>
        <w:rPr>
          <w:rFonts w:ascii="仿宋" w:hAnsi="仿宋" w:eastAsia="仿宋" w:cs="仿宋"/>
          <w:sz w:val="32"/>
          <w:szCs w:val="32"/>
        </w:rPr>
      </w:pPr>
      <w:bookmarkStart w:id="82" w:name="_Toc32540_WPSOffice_Level2"/>
      <w:bookmarkStart w:id="83" w:name="_Toc15396623"/>
      <w:r>
        <w:rPr>
          <w:rFonts w:hint="eastAsia" w:ascii="仿宋" w:hAnsi="仿宋" w:eastAsia="仿宋" w:cs="仿宋"/>
          <w:sz w:val="32"/>
          <w:szCs w:val="32"/>
        </w:rPr>
        <w:t>五、财政拨款支出决算明细表</w:t>
      </w:r>
      <w:bookmarkEnd w:id="82"/>
      <w:bookmarkEnd w:id="83"/>
      <w:bookmarkStart w:id="84" w:name="_Toc15396624"/>
    </w:p>
    <w:p>
      <w:pPr>
        <w:ind w:firstLine="640" w:firstLineChars="200"/>
        <w:outlineLvl w:val="1"/>
        <w:rPr>
          <w:rFonts w:ascii="仿宋" w:hAnsi="仿宋" w:eastAsia="仿宋" w:cs="仿宋"/>
          <w:sz w:val="32"/>
          <w:szCs w:val="32"/>
        </w:rPr>
      </w:pPr>
      <w:bookmarkStart w:id="85" w:name="_Toc12450_WPSOffice_Level2"/>
      <w:r>
        <w:rPr>
          <w:rFonts w:hint="eastAsia" w:ascii="仿宋" w:hAnsi="仿宋" w:eastAsia="仿宋" w:cs="仿宋"/>
          <w:sz w:val="32"/>
          <w:szCs w:val="32"/>
        </w:rPr>
        <w:t>六、一般公共预算财政拨款支出决算表</w:t>
      </w:r>
      <w:bookmarkEnd w:id="84"/>
      <w:bookmarkEnd w:id="85"/>
    </w:p>
    <w:p>
      <w:pPr>
        <w:ind w:firstLine="640" w:firstLineChars="200"/>
        <w:outlineLvl w:val="1"/>
        <w:rPr>
          <w:rFonts w:ascii="仿宋" w:hAnsi="仿宋" w:eastAsia="仿宋" w:cs="仿宋"/>
          <w:sz w:val="32"/>
          <w:szCs w:val="32"/>
        </w:rPr>
      </w:pPr>
      <w:bookmarkStart w:id="86" w:name="_Toc15396625"/>
      <w:bookmarkStart w:id="87" w:name="_Toc1200_WPSOffice_Level2"/>
      <w:r>
        <w:rPr>
          <w:rFonts w:hint="eastAsia" w:ascii="仿宋" w:hAnsi="仿宋" w:eastAsia="仿宋" w:cs="仿宋"/>
          <w:sz w:val="32"/>
          <w:szCs w:val="32"/>
        </w:rPr>
        <w:t>七、一般公共预算财政拨款支出决算明细表</w:t>
      </w:r>
      <w:bookmarkEnd w:id="86"/>
      <w:bookmarkEnd w:id="87"/>
    </w:p>
    <w:p>
      <w:pPr>
        <w:ind w:firstLine="640" w:firstLineChars="200"/>
        <w:outlineLvl w:val="1"/>
        <w:rPr>
          <w:rFonts w:ascii="仿宋" w:hAnsi="仿宋" w:eastAsia="仿宋" w:cs="仿宋"/>
          <w:sz w:val="32"/>
          <w:szCs w:val="32"/>
        </w:rPr>
      </w:pPr>
      <w:bookmarkStart w:id="88" w:name="_Toc29467_WPSOffice_Level2"/>
      <w:bookmarkStart w:id="89" w:name="_Toc15396626"/>
      <w:r>
        <w:rPr>
          <w:rFonts w:hint="eastAsia" w:ascii="仿宋" w:hAnsi="仿宋" w:eastAsia="仿宋" w:cs="仿宋"/>
          <w:sz w:val="32"/>
          <w:szCs w:val="32"/>
        </w:rPr>
        <w:t>八、一般公共预算财政拨款基本支出决算表</w:t>
      </w:r>
      <w:bookmarkEnd w:id="88"/>
      <w:bookmarkEnd w:id="89"/>
    </w:p>
    <w:p>
      <w:pPr>
        <w:ind w:firstLine="640" w:firstLineChars="200"/>
        <w:outlineLvl w:val="1"/>
        <w:rPr>
          <w:rFonts w:ascii="仿宋" w:hAnsi="仿宋" w:eastAsia="仿宋" w:cs="仿宋"/>
          <w:sz w:val="32"/>
          <w:szCs w:val="32"/>
        </w:rPr>
      </w:pPr>
      <w:bookmarkStart w:id="90" w:name="_Toc15050_WPSOffice_Level2"/>
      <w:bookmarkStart w:id="91" w:name="_Toc15396627"/>
      <w:r>
        <w:rPr>
          <w:rFonts w:hint="eastAsia" w:ascii="仿宋" w:hAnsi="仿宋" w:eastAsia="仿宋" w:cs="仿宋"/>
          <w:sz w:val="32"/>
          <w:szCs w:val="32"/>
        </w:rPr>
        <w:t>九、一般公共预算财政拨款项目支出决算表</w:t>
      </w:r>
      <w:bookmarkEnd w:id="90"/>
      <w:bookmarkEnd w:id="91"/>
    </w:p>
    <w:p>
      <w:pPr>
        <w:ind w:firstLine="640" w:firstLineChars="200"/>
        <w:outlineLvl w:val="1"/>
        <w:rPr>
          <w:rFonts w:ascii="仿宋" w:hAnsi="仿宋" w:eastAsia="仿宋" w:cs="仿宋"/>
          <w:sz w:val="32"/>
          <w:szCs w:val="32"/>
        </w:rPr>
      </w:pPr>
      <w:bookmarkStart w:id="92" w:name="_Toc15396628"/>
      <w:bookmarkStart w:id="93" w:name="_Toc29400_WPSOffice_Level2"/>
      <w:r>
        <w:rPr>
          <w:rFonts w:hint="eastAsia" w:ascii="仿宋" w:hAnsi="仿宋" w:eastAsia="仿宋" w:cs="仿宋"/>
          <w:sz w:val="32"/>
          <w:szCs w:val="32"/>
        </w:rPr>
        <w:t>十、</w:t>
      </w:r>
      <w:bookmarkEnd w:id="92"/>
      <w:bookmarkEnd w:id="93"/>
      <w:bookmarkStart w:id="94" w:name="_Toc15396629"/>
      <w:bookmarkStart w:id="95"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4"/>
      <w:bookmarkEnd w:id="95"/>
      <w:bookmarkStart w:id="96" w:name="_Toc9297_WPSOffice_Level2"/>
      <w:bookmarkStart w:id="97" w:name="_Toc15396630"/>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6"/>
      <w:bookmarkEnd w:id="97"/>
      <w:bookmarkStart w:id="98" w:name="_Toc27923_WPSOffice_Level2"/>
      <w:bookmarkStart w:id="99"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8"/>
      <w:bookmarkEnd w:id="99"/>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2057391"/>
    <w:rsid w:val="047A4742"/>
    <w:rsid w:val="04B1787A"/>
    <w:rsid w:val="058B72D8"/>
    <w:rsid w:val="05A8179C"/>
    <w:rsid w:val="05D0338C"/>
    <w:rsid w:val="069E4C5C"/>
    <w:rsid w:val="07A07535"/>
    <w:rsid w:val="08174968"/>
    <w:rsid w:val="096B3651"/>
    <w:rsid w:val="097055DD"/>
    <w:rsid w:val="09E2734A"/>
    <w:rsid w:val="09EA5E20"/>
    <w:rsid w:val="0A2032A3"/>
    <w:rsid w:val="0A2C24F5"/>
    <w:rsid w:val="0CF5458D"/>
    <w:rsid w:val="0DEB68D9"/>
    <w:rsid w:val="0E3E4510"/>
    <w:rsid w:val="0E700967"/>
    <w:rsid w:val="0E8054ED"/>
    <w:rsid w:val="0F2A4EE3"/>
    <w:rsid w:val="0F44375B"/>
    <w:rsid w:val="101C5F43"/>
    <w:rsid w:val="10305D80"/>
    <w:rsid w:val="10C055FF"/>
    <w:rsid w:val="111560FF"/>
    <w:rsid w:val="114B0258"/>
    <w:rsid w:val="118107EC"/>
    <w:rsid w:val="11FC7715"/>
    <w:rsid w:val="13193434"/>
    <w:rsid w:val="13B17BC1"/>
    <w:rsid w:val="144B41EF"/>
    <w:rsid w:val="144C0BB0"/>
    <w:rsid w:val="15A87F17"/>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34881"/>
    <w:rsid w:val="222744B4"/>
    <w:rsid w:val="22413C59"/>
    <w:rsid w:val="22565EC4"/>
    <w:rsid w:val="22682B68"/>
    <w:rsid w:val="237125A8"/>
    <w:rsid w:val="23E8580F"/>
    <w:rsid w:val="240371BF"/>
    <w:rsid w:val="26C00F7E"/>
    <w:rsid w:val="2708541C"/>
    <w:rsid w:val="270E33F4"/>
    <w:rsid w:val="27196536"/>
    <w:rsid w:val="27800E62"/>
    <w:rsid w:val="28980C18"/>
    <w:rsid w:val="28996797"/>
    <w:rsid w:val="2903434E"/>
    <w:rsid w:val="295E5A41"/>
    <w:rsid w:val="29FD04D3"/>
    <w:rsid w:val="2A062B14"/>
    <w:rsid w:val="2AA507AC"/>
    <w:rsid w:val="2BB55F91"/>
    <w:rsid w:val="2BDF34AA"/>
    <w:rsid w:val="2C3F3A6A"/>
    <w:rsid w:val="2D2B7D52"/>
    <w:rsid w:val="2D501D51"/>
    <w:rsid w:val="2D812426"/>
    <w:rsid w:val="307619E1"/>
    <w:rsid w:val="30A27F1C"/>
    <w:rsid w:val="30D24DE5"/>
    <w:rsid w:val="319F7F4E"/>
    <w:rsid w:val="32DB11F0"/>
    <w:rsid w:val="32F453C9"/>
    <w:rsid w:val="33001A64"/>
    <w:rsid w:val="33667180"/>
    <w:rsid w:val="33FC35A4"/>
    <w:rsid w:val="364A2324"/>
    <w:rsid w:val="36B63A87"/>
    <w:rsid w:val="37B132FA"/>
    <w:rsid w:val="38CA2DD0"/>
    <w:rsid w:val="397363D0"/>
    <w:rsid w:val="3A05253C"/>
    <w:rsid w:val="3A411ED8"/>
    <w:rsid w:val="3A8563F8"/>
    <w:rsid w:val="3B6A5948"/>
    <w:rsid w:val="3CCB2C8C"/>
    <w:rsid w:val="3D7452D2"/>
    <w:rsid w:val="3E225A09"/>
    <w:rsid w:val="3E7B7FBA"/>
    <w:rsid w:val="3EAA36BD"/>
    <w:rsid w:val="3FEC448D"/>
    <w:rsid w:val="400F10AC"/>
    <w:rsid w:val="40E81083"/>
    <w:rsid w:val="419D23DD"/>
    <w:rsid w:val="430B6055"/>
    <w:rsid w:val="43B536DB"/>
    <w:rsid w:val="441E1760"/>
    <w:rsid w:val="44564E69"/>
    <w:rsid w:val="44751EFA"/>
    <w:rsid w:val="44CE29A6"/>
    <w:rsid w:val="458C32EB"/>
    <w:rsid w:val="45911E86"/>
    <w:rsid w:val="45F63D87"/>
    <w:rsid w:val="46B97DE2"/>
    <w:rsid w:val="46CE2905"/>
    <w:rsid w:val="47D155E3"/>
    <w:rsid w:val="47DB724D"/>
    <w:rsid w:val="486271DE"/>
    <w:rsid w:val="48AD52CC"/>
    <w:rsid w:val="48EC433E"/>
    <w:rsid w:val="49813F21"/>
    <w:rsid w:val="4AEE3EC0"/>
    <w:rsid w:val="4BAF11B0"/>
    <w:rsid w:val="4C234366"/>
    <w:rsid w:val="4CEB1B22"/>
    <w:rsid w:val="4EB3535F"/>
    <w:rsid w:val="4ECE2238"/>
    <w:rsid w:val="4F603BFA"/>
    <w:rsid w:val="4FC07671"/>
    <w:rsid w:val="504B2338"/>
    <w:rsid w:val="51466070"/>
    <w:rsid w:val="51620E80"/>
    <w:rsid w:val="524B0766"/>
    <w:rsid w:val="52554EE7"/>
    <w:rsid w:val="52AC13DE"/>
    <w:rsid w:val="535775A3"/>
    <w:rsid w:val="53E47676"/>
    <w:rsid w:val="548E768D"/>
    <w:rsid w:val="54FE6700"/>
    <w:rsid w:val="550A4E33"/>
    <w:rsid w:val="55D30DF6"/>
    <w:rsid w:val="562211A8"/>
    <w:rsid w:val="580E2FC4"/>
    <w:rsid w:val="58A15CA7"/>
    <w:rsid w:val="594677CF"/>
    <w:rsid w:val="5969289B"/>
    <w:rsid w:val="5B917B93"/>
    <w:rsid w:val="5C082C91"/>
    <w:rsid w:val="5DA85E41"/>
    <w:rsid w:val="5E0A5040"/>
    <w:rsid w:val="5E0C060A"/>
    <w:rsid w:val="5F6C3A22"/>
    <w:rsid w:val="5F874B93"/>
    <w:rsid w:val="62F71D37"/>
    <w:rsid w:val="63120583"/>
    <w:rsid w:val="64045B21"/>
    <w:rsid w:val="664219AE"/>
    <w:rsid w:val="66461321"/>
    <w:rsid w:val="6647679F"/>
    <w:rsid w:val="67AC484F"/>
    <w:rsid w:val="687F389F"/>
    <w:rsid w:val="69AF5329"/>
    <w:rsid w:val="6A2B5E6F"/>
    <w:rsid w:val="6B686FCE"/>
    <w:rsid w:val="6C4A05C8"/>
    <w:rsid w:val="6DC40310"/>
    <w:rsid w:val="6DE90137"/>
    <w:rsid w:val="6FB42D2A"/>
    <w:rsid w:val="6FFE518E"/>
    <w:rsid w:val="70340661"/>
    <w:rsid w:val="72623C43"/>
    <w:rsid w:val="72734D90"/>
    <w:rsid w:val="72B20375"/>
    <w:rsid w:val="74112472"/>
    <w:rsid w:val="749F2CCA"/>
    <w:rsid w:val="762D761E"/>
    <w:rsid w:val="76E50571"/>
    <w:rsid w:val="77572B84"/>
    <w:rsid w:val="78672274"/>
    <w:rsid w:val="78D91262"/>
    <w:rsid w:val="793951EC"/>
    <w:rsid w:val="79C16C07"/>
    <w:rsid w:val="79C40005"/>
    <w:rsid w:val="79E66E62"/>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5"/>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31"/>
    <w:qFormat/>
    <w:uiPriority w:val="99"/>
    <w:pPr>
      <w:spacing w:beforeLines="30"/>
    </w:pPr>
    <w:rPr>
      <w:rFonts w:ascii="仿宋_GB2312" w:eastAsia="仿宋_GB2312"/>
      <w:kern w:val="0"/>
      <w:sz w:val="24"/>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kern w:val="0"/>
      <w:sz w:val="18"/>
      <w:szCs w:val="20"/>
    </w:rPr>
  </w:style>
  <w:style w:type="paragraph" w:styleId="12">
    <w:name w:val="header"/>
    <w:basedOn w:val="1"/>
    <w:link w:val="3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Arial" w:hAnsi="Arial" w:cs="Arial"/>
      <w:b/>
      <w:bCs/>
      <w:sz w:val="32"/>
      <w:szCs w:val="32"/>
    </w:rPr>
  </w:style>
  <w:style w:type="character" w:styleId="19">
    <w:name w:val="Strong"/>
    <w:qFormat/>
    <w:uiPriority w:val="99"/>
    <w:rPr>
      <w:rFonts w:cs="Times New Roman"/>
      <w:b/>
    </w:rPr>
  </w:style>
  <w:style w:type="character" w:styleId="20">
    <w:name w:val="page number"/>
    <w:basedOn w:val="18"/>
    <w:qFormat/>
    <w:uiPriority w:val="0"/>
    <w:rPr>
      <w:rFonts w:cs="Times New Roman"/>
    </w:rPr>
  </w:style>
  <w:style w:type="character" w:styleId="21">
    <w:name w:val="Hyperlink"/>
    <w:unhideWhenUsed/>
    <w:qFormat/>
    <w:uiPriority w:val="99"/>
    <w:rPr>
      <w:rFonts w:cs="Times New Roman"/>
      <w:color w:val="0000FF"/>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3">
    <w:name w:val="List Paragraph1"/>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style>
  <w:style w:type="paragraph" w:customStyle="1" w:styleId="27">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8">
    <w:name w:val="Header Char"/>
    <w:semiHidden/>
    <w:qFormat/>
    <w:uiPriority w:val="99"/>
    <w:rPr>
      <w:rFonts w:ascii="Times New Roman" w:hAnsi="Times New Roman" w:cs="Times New Roman"/>
      <w:sz w:val="18"/>
      <w:szCs w:val="18"/>
    </w:rPr>
  </w:style>
  <w:style w:type="character" w:customStyle="1" w:styleId="29">
    <w:name w:val="Body Text Char"/>
    <w:semiHidden/>
    <w:qFormat/>
    <w:uiPriority w:val="99"/>
    <w:rPr>
      <w:rFonts w:ascii="Times New Roman" w:hAnsi="Times New Roman" w:cs="Times New Roman"/>
      <w:sz w:val="24"/>
      <w:szCs w:val="24"/>
    </w:rPr>
  </w:style>
  <w:style w:type="character" w:customStyle="1" w:styleId="30">
    <w:name w:val="标题 2 Char"/>
    <w:link w:val="6"/>
    <w:qFormat/>
    <w:locked/>
    <w:uiPriority w:val="9"/>
    <w:rPr>
      <w:rFonts w:ascii="Cambria" w:hAnsi="Cambria" w:eastAsia="宋体" w:cs="Times New Roman"/>
      <w:b/>
      <w:bCs/>
      <w:kern w:val="2"/>
      <w:sz w:val="32"/>
      <w:szCs w:val="32"/>
    </w:rPr>
  </w:style>
  <w:style w:type="character" w:customStyle="1" w:styleId="31">
    <w:name w:val="正文文本 Char"/>
    <w:link w:val="8"/>
    <w:qFormat/>
    <w:locked/>
    <w:uiPriority w:val="99"/>
    <w:rPr>
      <w:rFonts w:ascii="仿宋_GB2312" w:hAnsi="Times New Roman" w:eastAsia="仿宋_GB2312"/>
      <w:sz w:val="24"/>
    </w:rPr>
  </w:style>
  <w:style w:type="character" w:customStyle="1" w:styleId="32">
    <w:name w:val="批注框文本 Char"/>
    <w:link w:val="10"/>
    <w:semiHidden/>
    <w:qFormat/>
    <w:locked/>
    <w:uiPriority w:val="99"/>
    <w:rPr>
      <w:rFonts w:ascii="Times New Roman" w:hAnsi="Times New Roman" w:cs="Times New Roman"/>
      <w:kern w:val="2"/>
      <w:sz w:val="18"/>
      <w:szCs w:val="18"/>
    </w:rPr>
  </w:style>
  <w:style w:type="character" w:customStyle="1" w:styleId="33">
    <w:name w:val="页脚 Char"/>
    <w:link w:val="11"/>
    <w:qFormat/>
    <w:locked/>
    <w:uiPriority w:val="99"/>
    <w:rPr>
      <w:sz w:val="18"/>
    </w:rPr>
  </w:style>
  <w:style w:type="character" w:customStyle="1" w:styleId="34">
    <w:name w:val="Footer Char"/>
    <w:semiHidden/>
    <w:qFormat/>
    <w:uiPriority w:val="99"/>
    <w:rPr>
      <w:rFonts w:ascii="Times New Roman" w:hAnsi="Times New Roman" w:cs="Times New Roman"/>
      <w:sz w:val="18"/>
      <w:szCs w:val="18"/>
    </w:rPr>
  </w:style>
  <w:style w:type="character" w:customStyle="1" w:styleId="35">
    <w:name w:val="标题 3 Char"/>
    <w:link w:val="7"/>
    <w:qFormat/>
    <w:locked/>
    <w:uiPriority w:val="9"/>
    <w:rPr>
      <w:rFonts w:ascii="Times New Roman" w:hAnsi="Times New Roman" w:cs="Times New Roman"/>
      <w:b/>
      <w:bCs/>
      <w:kern w:val="2"/>
      <w:sz w:val="32"/>
      <w:szCs w:val="32"/>
    </w:rPr>
  </w:style>
  <w:style w:type="character" w:customStyle="1" w:styleId="36">
    <w:name w:val="标题 1 Char"/>
    <w:link w:val="5"/>
    <w:qFormat/>
    <w:locked/>
    <w:uiPriority w:val="9"/>
    <w:rPr>
      <w:rFonts w:ascii="Times New Roman" w:hAnsi="Times New Roman" w:cs="Times New Roman"/>
      <w:b/>
      <w:bCs/>
      <w:kern w:val="44"/>
      <w:sz w:val="44"/>
      <w:szCs w:val="44"/>
    </w:rPr>
  </w:style>
  <w:style w:type="character" w:customStyle="1" w:styleId="37">
    <w:name w:val="页眉 Char"/>
    <w:link w:val="12"/>
    <w:semiHidden/>
    <w:qFormat/>
    <w:locked/>
    <w:uiPriority w:val="99"/>
    <w:rPr>
      <w:sz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8703</Words>
  <Characters>9225</Characters>
  <Lines>173</Lines>
  <Paragraphs>48</Paragraphs>
  <TotalTime>0</TotalTime>
  <ScaleCrop>false</ScaleCrop>
  <LinksUpToDate>false</LinksUpToDate>
  <CharactersWithSpaces>9283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2025-09-19T05:12:19Z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AFBE118B563444FA908E9FF07495F40E</vt:lpwstr>
  </property>
</Properties>
</file>