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D36D" w14:textId="77777777" w:rsidR="00334829" w:rsidRDefault="00000000">
      <w:pPr>
        <w:spacing w:line="580" w:lineRule="exact"/>
        <w:contextualSpacing/>
        <w:rPr>
          <w:rFonts w:ascii="方正黑体_GBK" w:eastAsia="方正黑体_GBK" w:hAnsi="宋体" w:hint="eastAsia"/>
          <w:sz w:val="33"/>
          <w:szCs w:val="33"/>
          <w:lang w:val="zh-CN"/>
        </w:rPr>
      </w:pPr>
      <w:r>
        <w:rPr>
          <w:rFonts w:ascii="方正黑体_GBK" w:eastAsia="方正黑体_GBK" w:hAnsi="宋体" w:hint="eastAsia"/>
          <w:sz w:val="33"/>
          <w:szCs w:val="33"/>
          <w:lang w:val="zh-CN"/>
        </w:rPr>
        <w:t>附件</w:t>
      </w:r>
      <w:r>
        <w:rPr>
          <w:rFonts w:eastAsia="方正黑体_GBK" w:hint="eastAsia"/>
          <w:sz w:val="33"/>
          <w:szCs w:val="33"/>
        </w:rPr>
        <w:t>1</w:t>
      </w:r>
    </w:p>
    <w:p w14:paraId="63BE05F0" w14:textId="77777777" w:rsidR="00334829" w:rsidRDefault="00334829">
      <w:pPr>
        <w:widowControl/>
        <w:spacing w:line="580" w:lineRule="exact"/>
        <w:ind w:firstLineChars="200" w:firstLine="883"/>
        <w:contextualSpacing/>
        <w:jc w:val="center"/>
        <w:rPr>
          <w:rFonts w:ascii="宋体"/>
          <w:b/>
          <w:sz w:val="44"/>
          <w:szCs w:val="44"/>
          <w:shd w:val="clear" w:color="auto" w:fill="FFFFFF"/>
        </w:rPr>
      </w:pPr>
    </w:p>
    <w:p w14:paraId="1527B95E" w14:textId="700236BF" w:rsidR="00334829" w:rsidRDefault="00000000">
      <w:pPr>
        <w:widowControl/>
        <w:spacing w:line="580" w:lineRule="exact"/>
        <w:contextualSpacing/>
        <w:jc w:val="center"/>
        <w:rPr>
          <w:rFonts w:ascii="方正小标宋简体" w:eastAsia="方正小标宋简体"/>
          <w:sz w:val="44"/>
          <w:szCs w:val="44"/>
          <w:shd w:val="clear" w:color="auto" w:fill="FFFFFF"/>
        </w:rPr>
      </w:pPr>
      <w:r>
        <w:rPr>
          <w:rFonts w:ascii="方正小标宋简体" w:eastAsia="方正小标宋简体" w:hAnsi="宋体" w:hint="eastAsia"/>
          <w:sz w:val="44"/>
          <w:szCs w:val="44"/>
          <w:shd w:val="clear" w:color="auto" w:fill="FFFFFF"/>
        </w:rPr>
        <w:t>区机关事务服务中心2024年部门整体绩效自评报告</w:t>
      </w:r>
    </w:p>
    <w:p w14:paraId="2FFEF63C" w14:textId="77777777" w:rsidR="00334829" w:rsidRDefault="00000000">
      <w:pPr>
        <w:widowControl/>
        <w:spacing w:line="580" w:lineRule="exact"/>
        <w:contextualSpacing/>
        <w:jc w:val="center"/>
        <w:rPr>
          <w:rFonts w:ascii="方正小标宋简体" w:eastAsia="方正小标宋简体"/>
          <w:sz w:val="44"/>
          <w:szCs w:val="44"/>
          <w:shd w:val="clear" w:color="auto" w:fill="FFFFFF"/>
        </w:rPr>
      </w:pPr>
      <w:r>
        <w:rPr>
          <w:rFonts w:ascii="仿宋_GB2312" w:eastAsia="仿宋_GB2312" w:hAnsi="宋体" w:hint="eastAsia"/>
          <w:szCs w:val="32"/>
          <w:shd w:val="clear" w:color="auto" w:fill="FFFFFF"/>
        </w:rPr>
        <w:t>（报告范围包括机关和下属单位）</w:t>
      </w:r>
    </w:p>
    <w:p w14:paraId="63392048" w14:textId="77777777" w:rsidR="00334829" w:rsidRDefault="00334829">
      <w:pPr>
        <w:widowControl/>
        <w:adjustRightInd w:val="0"/>
        <w:snapToGrid w:val="0"/>
        <w:spacing w:line="580" w:lineRule="exact"/>
        <w:ind w:firstLineChars="200" w:firstLine="660"/>
        <w:contextualSpacing/>
        <w:jc w:val="left"/>
        <w:rPr>
          <w:rFonts w:ascii="方正仿宋_GBK" w:eastAsia="方正仿宋_GBK" w:hAnsi="宋体" w:cs="宋体" w:hint="eastAsia"/>
          <w:color w:val="000000"/>
          <w:kern w:val="0"/>
          <w:sz w:val="33"/>
          <w:szCs w:val="33"/>
          <w:shd w:val="clear" w:color="auto" w:fill="FFFFFF"/>
        </w:rPr>
      </w:pPr>
    </w:p>
    <w:p w14:paraId="219844BF" w14:textId="77777777" w:rsidR="00334829" w:rsidRDefault="00000000">
      <w:pPr>
        <w:widowControl/>
        <w:adjustRightInd w:val="0"/>
        <w:snapToGrid w:val="0"/>
        <w:spacing w:line="580" w:lineRule="exact"/>
        <w:ind w:firstLineChars="200" w:firstLine="640"/>
        <w:contextualSpacing/>
        <w:jc w:val="left"/>
        <w:rPr>
          <w:rFonts w:ascii="黑体" w:eastAsia="黑体" w:hAnsi="黑体" w:cs="宋体" w:hint="eastAsia"/>
          <w:color w:val="000000"/>
          <w:kern w:val="0"/>
          <w:szCs w:val="32"/>
          <w:shd w:val="clear" w:color="auto" w:fill="FFFFFF"/>
          <w:lang w:val="zh-CN"/>
        </w:rPr>
      </w:pPr>
      <w:r>
        <w:rPr>
          <w:rFonts w:ascii="黑体" w:eastAsia="黑体" w:hAnsi="黑体" w:cs="宋体" w:hint="eastAsia"/>
          <w:color w:val="000000"/>
          <w:kern w:val="0"/>
          <w:szCs w:val="32"/>
          <w:shd w:val="clear" w:color="auto" w:fill="FFFFFF"/>
        </w:rPr>
        <w:t>一、</w:t>
      </w:r>
      <w:r>
        <w:rPr>
          <w:rFonts w:ascii="黑体" w:eastAsia="黑体" w:hAnsi="黑体" w:cs="宋体" w:hint="eastAsia"/>
          <w:color w:val="000000"/>
          <w:kern w:val="0"/>
          <w:szCs w:val="32"/>
          <w:shd w:val="clear" w:color="auto" w:fill="FFFFFF"/>
          <w:lang w:val="zh-CN"/>
        </w:rPr>
        <w:t>部门基本情况</w:t>
      </w:r>
    </w:p>
    <w:p w14:paraId="69921E03" w14:textId="77777777" w:rsidR="00334829" w:rsidRDefault="00000000">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（一）机构组成。</w:t>
      </w:r>
    </w:p>
    <w:p w14:paraId="259655FF" w14:textId="77777777" w:rsidR="00334829" w:rsidRDefault="00000000">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Pr>
          <w:rFonts w:ascii="仿宋_GB2312" w:eastAsia="仿宋_GB2312" w:hAnsi="仿宋" w:hint="eastAsia"/>
          <w:szCs w:val="32"/>
          <w:lang w:val="zh-CN"/>
        </w:rPr>
        <w:t>乐山市金口河区机关事务服务中心为区委直属公益一类事业单位，成立于</w:t>
      </w:r>
      <w:r>
        <w:rPr>
          <w:rFonts w:ascii="仿宋_GB2312" w:eastAsia="仿宋_GB2312" w:hAnsi="仿宋" w:hint="eastAsia"/>
          <w:szCs w:val="32"/>
        </w:rPr>
        <w:t>2016</w:t>
      </w:r>
      <w:r>
        <w:rPr>
          <w:rFonts w:ascii="仿宋_GB2312" w:eastAsia="仿宋_GB2312" w:hAnsi="仿宋" w:hint="eastAsia"/>
          <w:szCs w:val="32"/>
          <w:lang w:val="zh-CN"/>
        </w:rPr>
        <w:t>年，当年无变动。</w:t>
      </w:r>
    </w:p>
    <w:p w14:paraId="136DE99C" w14:textId="77777777" w:rsidR="00334829" w:rsidRDefault="00000000">
      <w:pPr>
        <w:widowControl/>
        <w:numPr>
          <w:ilvl w:val="0"/>
          <w:numId w:val="1"/>
        </w:numPr>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机构职能和人员概况。</w:t>
      </w:r>
    </w:p>
    <w:p w14:paraId="7AA7D491" w14:textId="77777777" w:rsidR="00334829" w:rsidRDefault="00000000">
      <w:pPr>
        <w:widowControl/>
        <w:adjustRightInd w:val="0"/>
        <w:snapToGrid w:val="0"/>
        <w:spacing w:line="580" w:lineRule="exact"/>
        <w:ind w:firstLineChars="200" w:firstLine="640"/>
        <w:contextualSpacing/>
        <w:jc w:val="left"/>
        <w:rPr>
          <w:rFonts w:ascii="仿宋_GB2312" w:eastAsia="仿宋_GB2312" w:hAnsi="仿宋" w:hint="eastAsia"/>
          <w:szCs w:val="32"/>
        </w:rPr>
      </w:pPr>
      <w:r>
        <w:rPr>
          <w:rFonts w:ascii="仿宋_GB2312" w:eastAsia="仿宋_GB2312" w:hAnsi="仿宋" w:hint="eastAsia"/>
          <w:szCs w:val="32"/>
        </w:rPr>
        <w:t>负责全区机关事务的管理、保障工作;负责全区行政事业单位国有资产管理，承担产权界定、清查登记、资产处置工作，负责制定行政事业单位国有资产管理具体规章制度并组织实施;承担全区办公用房和办公区建设的规划编制、项目审核、建设监管、使用调配、维修审核及监督管理;负责全区公务车辆的处置、管理和公共机构节能等工作;负责区本级政务接待工作，并指导各乡镇、各部门的政务接待工作。</w:t>
      </w:r>
    </w:p>
    <w:p w14:paraId="1392C925" w14:textId="77777777" w:rsidR="00334829" w:rsidRDefault="00000000">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Pr>
          <w:rFonts w:ascii="仿宋_GB2312" w:eastAsia="仿宋_GB2312" w:hAnsi="仿宋" w:hint="eastAsia"/>
          <w:szCs w:val="32"/>
        </w:rPr>
        <w:t>年末在编在职人员7人，其中：行政人员0人，参照公务员法管理事业人员0人，事业人员7人，较上年无变化。</w:t>
      </w:r>
    </w:p>
    <w:p w14:paraId="013B5DB2" w14:textId="77777777" w:rsidR="00334829" w:rsidRDefault="00000000">
      <w:pPr>
        <w:widowControl/>
        <w:numPr>
          <w:ilvl w:val="0"/>
          <w:numId w:val="1"/>
        </w:numPr>
        <w:adjustRightInd w:val="0"/>
        <w:snapToGrid w:val="0"/>
        <w:spacing w:line="580" w:lineRule="exact"/>
        <w:ind w:firstLineChars="200" w:firstLine="640"/>
        <w:contextualSpacing/>
        <w:jc w:val="left"/>
        <w:rPr>
          <w:rFonts w:ascii="楷体_GB2312" w:eastAsia="楷体_GB2312" w:hAnsi="宋体" w:cs="宋体" w:hint="eastAsia"/>
          <w:kern w:val="0"/>
          <w:szCs w:val="32"/>
          <w:shd w:val="clear" w:color="auto" w:fill="FFFFFF"/>
          <w:lang w:val="zh-CN"/>
        </w:rPr>
      </w:pPr>
      <w:r>
        <w:rPr>
          <w:rFonts w:ascii="楷体_GB2312" w:eastAsia="楷体_GB2312" w:hAnsi="宋体" w:cs="宋体" w:hint="eastAsia"/>
          <w:kern w:val="0"/>
          <w:szCs w:val="32"/>
          <w:shd w:val="clear" w:color="auto" w:fill="FFFFFF"/>
          <w:lang w:val="zh-CN"/>
        </w:rPr>
        <w:t>年度主要工作任务。</w:t>
      </w:r>
    </w:p>
    <w:p w14:paraId="5D86338E" w14:textId="77777777" w:rsidR="00334829" w:rsidRDefault="00000000">
      <w:pPr>
        <w:widowControl/>
        <w:spacing w:line="560" w:lineRule="exact"/>
        <w:ind w:firstLineChars="200" w:firstLine="640"/>
        <w:jc w:val="left"/>
        <w:rPr>
          <w:color w:val="0000FF"/>
          <w:lang w:val="zh-CN"/>
        </w:rPr>
      </w:pPr>
      <w:r>
        <w:rPr>
          <w:rFonts w:ascii="仿宋_GB2312" w:eastAsia="仿宋_GB2312" w:hAnsi="仿宋_GB2312" w:cs="仿宋_GB2312" w:hint="eastAsia"/>
          <w:color w:val="000000"/>
          <w:szCs w:val="32"/>
        </w:rPr>
        <w:t>机关食堂管理方面：强化制度建设，制定机关食堂管理制度，厉行节约开展光盘行动。严格执行食品安全相关规定，加强对供货商</w:t>
      </w:r>
      <w:proofErr w:type="gramStart"/>
      <w:r>
        <w:rPr>
          <w:rFonts w:ascii="仿宋_GB2312" w:eastAsia="仿宋_GB2312" w:hAnsi="仿宋_GB2312" w:cs="仿宋_GB2312" w:hint="eastAsia"/>
          <w:color w:val="000000"/>
          <w:szCs w:val="32"/>
        </w:rPr>
        <w:t>的食材安全检查</w:t>
      </w:r>
      <w:proofErr w:type="gramEnd"/>
      <w:r>
        <w:rPr>
          <w:rFonts w:ascii="仿宋_GB2312" w:eastAsia="仿宋_GB2312" w:hAnsi="仿宋_GB2312" w:cs="仿宋_GB2312" w:hint="eastAsia"/>
          <w:color w:val="000000"/>
          <w:szCs w:val="32"/>
        </w:rPr>
        <w:t>；后勤保障方面：严格按照公务接待管理制度执行，从简、从细、</w:t>
      </w:r>
      <w:proofErr w:type="gramStart"/>
      <w:r>
        <w:rPr>
          <w:rFonts w:ascii="仿宋_GB2312" w:eastAsia="仿宋_GB2312" w:hAnsi="仿宋_GB2312" w:cs="仿宋_GB2312" w:hint="eastAsia"/>
          <w:color w:val="000000"/>
          <w:szCs w:val="32"/>
        </w:rPr>
        <w:t>从严搞好</w:t>
      </w:r>
      <w:proofErr w:type="gramEnd"/>
      <w:r>
        <w:rPr>
          <w:rFonts w:ascii="仿宋_GB2312" w:eastAsia="仿宋_GB2312" w:hAnsi="仿宋_GB2312" w:cs="仿宋_GB2312" w:hint="eastAsia"/>
          <w:color w:val="000000"/>
          <w:szCs w:val="32"/>
        </w:rPr>
        <w:t>接待工作，热情周到，礼貌待客，厉行</w:t>
      </w:r>
      <w:r>
        <w:rPr>
          <w:rFonts w:ascii="仿宋_GB2312" w:eastAsia="仿宋_GB2312" w:hAnsi="仿宋_GB2312" w:cs="仿宋_GB2312" w:hint="eastAsia"/>
          <w:color w:val="000000"/>
          <w:szCs w:val="32"/>
        </w:rPr>
        <w:lastRenderedPageBreak/>
        <w:t>节约，严格做到规格不超标，经费不超支，同时积极探索机关食堂、宾馆餐厅相结合的就餐模式，使金口河区接待服务保障水平进一步提升；公共机构节能方面：延</w:t>
      </w:r>
      <w:proofErr w:type="gramStart"/>
      <w:r>
        <w:rPr>
          <w:rFonts w:ascii="仿宋_GB2312" w:eastAsia="仿宋_GB2312" w:hAnsi="仿宋_GB2312" w:cs="仿宋_GB2312" w:hint="eastAsia"/>
          <w:color w:val="000000"/>
          <w:szCs w:val="32"/>
        </w:rPr>
        <w:t>风中学</w:t>
      </w:r>
      <w:proofErr w:type="gramEnd"/>
      <w:r>
        <w:rPr>
          <w:rFonts w:ascii="仿宋_GB2312" w:eastAsia="仿宋_GB2312" w:hAnsi="仿宋_GB2312" w:cs="仿宋_GB2312" w:hint="eastAsia"/>
          <w:color w:val="000000"/>
          <w:szCs w:val="32"/>
        </w:rPr>
        <w:t>成功创建为国家级节约型公共机构示范单位。积极开展新能源汽车推广应用和充电桩建设，更新配备新能源公务用车2台；公务用车管理方面：加强公车平台管理，不断完善平台各项管理制度，严格规范公车加油、维修、保险的程序，全年安全出行零事故。用好公务用车管理信息平台及GPS车载定位系统。根据车辆编制情况，通过政府采购统一购置公务用车2台，组织开展公务用车驾驶员培训2次，完善了公务用车使用事前审批制度，全区5</w:t>
      </w:r>
      <w:r>
        <w:rPr>
          <w:rFonts w:ascii="仿宋_GB2312" w:eastAsia="仿宋_GB2312" w:hAnsi="仿宋_GB2312" w:cs="仿宋_GB2312"/>
          <w:color w:val="000000"/>
          <w:szCs w:val="32"/>
          <w:lang w:val="en"/>
        </w:rPr>
        <w:t>4</w:t>
      </w:r>
      <w:r>
        <w:rPr>
          <w:rFonts w:ascii="仿宋_GB2312" w:eastAsia="仿宋_GB2312" w:hAnsi="仿宋_GB2312" w:cs="仿宋_GB2312" w:hint="eastAsia"/>
          <w:color w:val="000000"/>
          <w:szCs w:val="32"/>
        </w:rPr>
        <w:t>台公务用车全面实现平台实时监管、统一调度，通过政府采购，确定公务用车定点加油、定点维修保养、定点洗车等服务点（公司），公务用车实现“一车一卡”、“一车</w:t>
      </w:r>
      <w:proofErr w:type="gramStart"/>
      <w:r>
        <w:rPr>
          <w:rFonts w:ascii="仿宋_GB2312" w:eastAsia="仿宋_GB2312" w:hAnsi="仿宋_GB2312" w:cs="仿宋_GB2312" w:hint="eastAsia"/>
          <w:color w:val="000000"/>
          <w:szCs w:val="32"/>
        </w:rPr>
        <w:t>一</w:t>
      </w:r>
      <w:proofErr w:type="gramEnd"/>
      <w:r>
        <w:rPr>
          <w:rFonts w:ascii="仿宋_GB2312" w:eastAsia="仿宋_GB2312" w:hAnsi="仿宋_GB2312" w:cs="仿宋_GB2312" w:hint="eastAsia"/>
          <w:color w:val="000000"/>
          <w:szCs w:val="32"/>
        </w:rPr>
        <w:t>驾驶员”全过程管理，有效提升了公务用车运行效率；固定资产管理方面：充分利用国有资产信息系统和办公用房信息管理系统，确定专人管理、专人负责，实现了资产配置、使用、处置的“全生命”周期信息化管理，被市局确立为机关事业单位国有资产管理县级试点单位。组织开展行政事业单位国有资产信息管理培训2次，全区共203人次参加。建立了“单位申请—资产（区机关事务中心）审核查验—政府审批—资产处置—收益收缴”的资产处置业务流程，有效提高了国有资产使用效益。</w:t>
      </w:r>
    </w:p>
    <w:p w14:paraId="0074A9C7" w14:textId="77777777" w:rsidR="00334829" w:rsidRDefault="00000000">
      <w:pPr>
        <w:widowControl/>
        <w:numPr>
          <w:ilvl w:val="0"/>
          <w:numId w:val="1"/>
        </w:numPr>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部门整体支出绩效目标。</w:t>
      </w:r>
    </w:p>
    <w:p w14:paraId="16A1F869" w14:textId="77777777" w:rsidR="00334829" w:rsidRDefault="00000000">
      <w:pPr>
        <w:widowControl/>
        <w:adjustRightInd w:val="0"/>
        <w:snapToGrid w:val="0"/>
        <w:spacing w:line="580" w:lineRule="exact"/>
        <w:ind w:firstLineChars="200" w:firstLine="640"/>
        <w:contextualSpacing/>
        <w:jc w:val="left"/>
        <w:rPr>
          <w:lang w:val="zh-CN"/>
        </w:rPr>
      </w:pPr>
      <w:r>
        <w:rPr>
          <w:rFonts w:ascii="仿宋_GB2312" w:eastAsia="仿宋_GB2312" w:hAnsi="仿宋" w:hint="eastAsia"/>
          <w:szCs w:val="32"/>
          <w:lang w:val="zh-CN"/>
        </w:rPr>
        <w:t>做好全区机关事务的管理、保障工作;做好全区行政事业单位国有资产管理，制定行政事业单位国有资产管理具体规章制度并组织实施，做好清查登记、资产处置工作。做好全区办公用房使用调配、维修审核及监督管理;做好全区公务车辆的处置、管理和公共</w:t>
      </w:r>
      <w:r>
        <w:rPr>
          <w:rFonts w:ascii="仿宋_GB2312" w:eastAsia="仿宋_GB2312" w:hAnsi="仿宋" w:hint="eastAsia"/>
          <w:szCs w:val="32"/>
          <w:lang w:val="zh-CN"/>
        </w:rPr>
        <w:lastRenderedPageBreak/>
        <w:t>机构节能等工作;做好区本级政务接待工作，并指导各乡镇、各部门的政务接待工作；加强政府机关食堂日常管理，厉行节约，</w:t>
      </w:r>
      <w:r>
        <w:rPr>
          <w:rFonts w:ascii="仿宋_GB2312" w:eastAsia="仿宋_GB2312" w:hAnsi="仿宋" w:hint="eastAsia"/>
          <w:szCs w:val="32"/>
        </w:rPr>
        <w:t>严格执行食品安全相关规定，确保机关食堂正常运转。</w:t>
      </w:r>
    </w:p>
    <w:p w14:paraId="5EC381B3" w14:textId="77777777" w:rsidR="00334829" w:rsidRDefault="00000000">
      <w:pPr>
        <w:widowControl/>
        <w:adjustRightInd w:val="0"/>
        <w:snapToGrid w:val="0"/>
        <w:spacing w:line="580" w:lineRule="exact"/>
        <w:ind w:firstLineChars="200" w:firstLine="640"/>
        <w:contextualSpacing/>
        <w:jc w:val="left"/>
        <w:rPr>
          <w:rFonts w:ascii="黑体" w:eastAsia="黑体" w:hAnsi="黑体" w:cs="宋体" w:hint="eastAsia"/>
          <w:color w:val="000000"/>
          <w:kern w:val="0"/>
          <w:szCs w:val="32"/>
          <w:shd w:val="clear" w:color="auto" w:fill="FFFFFF"/>
        </w:rPr>
      </w:pPr>
      <w:r>
        <w:rPr>
          <w:rFonts w:ascii="黑体" w:eastAsia="黑体" w:hAnsi="黑体" w:cs="宋体" w:hint="eastAsia"/>
          <w:color w:val="000000"/>
          <w:kern w:val="0"/>
          <w:szCs w:val="32"/>
          <w:shd w:val="clear" w:color="auto" w:fill="FFFFFF"/>
        </w:rPr>
        <w:t>二、部门财政资金收支情况</w:t>
      </w:r>
    </w:p>
    <w:p w14:paraId="0D53A628" w14:textId="77777777" w:rsidR="00334829" w:rsidRDefault="00000000">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（一）部门财政资金收入情况。</w:t>
      </w:r>
    </w:p>
    <w:p w14:paraId="5D19FA89" w14:textId="77777777" w:rsidR="00334829" w:rsidRDefault="00000000">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Pr>
          <w:rFonts w:ascii="仿宋_GB2312" w:eastAsia="仿宋_GB2312" w:hAnsi="仿宋" w:hint="eastAsia"/>
          <w:szCs w:val="32"/>
        </w:rPr>
        <w:t>2024年财政拨款收入</w:t>
      </w:r>
      <w:r>
        <w:rPr>
          <w:rFonts w:ascii="仿宋_GB2312" w:eastAsia="仿宋_GB2312" w:hAnsi="仿宋" w:hint="eastAsia"/>
          <w:szCs w:val="32"/>
          <w:lang w:val="zh-CN"/>
        </w:rPr>
        <w:t>总额</w:t>
      </w:r>
      <w:r>
        <w:rPr>
          <w:rFonts w:ascii="仿宋_GB2312" w:eastAsia="仿宋_GB2312" w:hAnsi="仿宋" w:hint="eastAsia"/>
          <w:szCs w:val="32"/>
        </w:rPr>
        <w:t>424.51</w:t>
      </w:r>
      <w:r>
        <w:rPr>
          <w:rFonts w:ascii="仿宋_GB2312" w:eastAsia="仿宋_GB2312" w:hAnsi="仿宋" w:hint="eastAsia"/>
          <w:szCs w:val="32"/>
          <w:lang w:val="zh-CN"/>
        </w:rPr>
        <w:t>万元，</w:t>
      </w:r>
      <w:r>
        <w:rPr>
          <w:rFonts w:ascii="仿宋_GB2312" w:eastAsia="仿宋_GB2312" w:hAnsi="仿宋" w:hint="eastAsia"/>
          <w:szCs w:val="32"/>
        </w:rPr>
        <w:t>年初结转和结余0万元，</w:t>
      </w:r>
      <w:r>
        <w:rPr>
          <w:rFonts w:ascii="仿宋_GB2312" w:eastAsia="仿宋_GB2312" w:hAnsi="仿宋" w:hint="eastAsia"/>
          <w:szCs w:val="32"/>
          <w:lang w:val="zh-CN"/>
        </w:rPr>
        <w:t>占本年收入总额</w:t>
      </w:r>
      <w:r>
        <w:rPr>
          <w:rFonts w:ascii="仿宋_GB2312" w:eastAsia="仿宋_GB2312" w:hAnsi="仿宋" w:hint="eastAsia"/>
          <w:szCs w:val="32"/>
        </w:rPr>
        <w:t>93.28</w:t>
      </w:r>
      <w:r>
        <w:rPr>
          <w:rFonts w:ascii="仿宋_GB2312" w:eastAsia="仿宋_GB2312" w:hAnsi="仿宋" w:hint="eastAsia"/>
          <w:szCs w:val="32"/>
          <w:lang w:val="zh-CN"/>
        </w:rPr>
        <w:t>%，</w:t>
      </w:r>
      <w:r>
        <w:rPr>
          <w:rFonts w:ascii="仿宋_GB2312" w:eastAsia="仿宋_GB2312" w:hAnsi="仿宋"/>
          <w:szCs w:val="32"/>
        </w:rPr>
        <w:t>202</w:t>
      </w:r>
      <w:r>
        <w:rPr>
          <w:rFonts w:ascii="仿宋_GB2312" w:eastAsia="仿宋_GB2312" w:hAnsi="仿宋" w:hint="eastAsia"/>
          <w:szCs w:val="32"/>
        </w:rPr>
        <w:t>4年非财政拨款收入30.40万元，其中银行利息收入0.03万元，政府食堂伙食费30.37万元。</w:t>
      </w:r>
    </w:p>
    <w:p w14:paraId="48AD47D7" w14:textId="77777777" w:rsidR="00334829" w:rsidRDefault="00000000">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（二）部门财政资金支出情况。</w:t>
      </w:r>
    </w:p>
    <w:p w14:paraId="3AA9D66D" w14:textId="77777777" w:rsidR="00334829" w:rsidRDefault="00000000">
      <w:pPr>
        <w:snapToGrid w:val="0"/>
        <w:spacing w:line="520" w:lineRule="exact"/>
        <w:ind w:firstLineChars="200" w:firstLine="640"/>
        <w:rPr>
          <w:rFonts w:ascii="仿宋_GB2312" w:eastAsia="仿宋_GB2312" w:hAnsi="仿宋" w:hint="eastAsia"/>
          <w:szCs w:val="32"/>
        </w:rPr>
      </w:pPr>
      <w:r>
        <w:rPr>
          <w:rFonts w:ascii="仿宋_GB2312" w:eastAsia="仿宋_GB2312" w:hAnsi="仿宋" w:hint="eastAsia"/>
          <w:szCs w:val="32"/>
        </w:rPr>
        <w:t>2024年财政拨款支出总额424.51万元，其中基本支出264.39万元，占总支出62.28%，基本支出中人员支出148.33万元，公用支出116.07万元；项目支出160.12万元，占总支出37.72%。</w:t>
      </w:r>
    </w:p>
    <w:p w14:paraId="2093ECD7" w14:textId="77777777" w:rsidR="00334829" w:rsidRDefault="00000000">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（三）部门财政资金结转结余情况。</w:t>
      </w:r>
    </w:p>
    <w:p w14:paraId="65F1B464" w14:textId="77777777" w:rsidR="00334829" w:rsidRDefault="00000000">
      <w:pPr>
        <w:pStyle w:val="a0"/>
        <w:ind w:firstLineChars="200" w:firstLine="640"/>
        <w:jc w:val="both"/>
        <w:rPr>
          <w:rFonts w:ascii="黑体" w:eastAsia="黑体" w:hAnsi="黑体" w:cs="宋体" w:hint="eastAsia"/>
          <w:color w:val="000000"/>
          <w:kern w:val="0"/>
          <w:shd w:val="clear" w:color="auto" w:fill="FFFFFF"/>
        </w:rPr>
      </w:pPr>
      <w:r>
        <w:rPr>
          <w:rFonts w:ascii="仿宋_GB2312" w:eastAsia="仿宋_GB2312" w:hAnsi="仿宋_GB2312" w:cs="仿宋_GB2312" w:hint="eastAsia"/>
          <w:b w:val="0"/>
          <w:bCs w:val="0"/>
          <w:color w:val="000000"/>
        </w:rPr>
        <w:t>2024年本部门财政资金无结转结余。</w:t>
      </w:r>
    </w:p>
    <w:p w14:paraId="04A25AB1" w14:textId="77777777" w:rsidR="00334829" w:rsidRDefault="00000000">
      <w:pPr>
        <w:widowControl/>
        <w:adjustRightInd w:val="0"/>
        <w:snapToGrid w:val="0"/>
        <w:spacing w:line="580" w:lineRule="exact"/>
        <w:ind w:firstLineChars="200" w:firstLine="640"/>
        <w:contextualSpacing/>
        <w:jc w:val="left"/>
        <w:rPr>
          <w:rFonts w:ascii="黑体" w:eastAsia="黑体" w:hAnsi="黑体" w:cs="宋体" w:hint="eastAsia"/>
          <w:color w:val="000000"/>
          <w:kern w:val="0"/>
          <w:szCs w:val="32"/>
          <w:shd w:val="clear" w:color="auto" w:fill="FFFFFF"/>
        </w:rPr>
      </w:pPr>
      <w:r>
        <w:rPr>
          <w:rFonts w:ascii="黑体" w:eastAsia="黑体" w:hAnsi="黑体" w:cs="宋体" w:hint="eastAsia"/>
          <w:color w:val="000000"/>
          <w:kern w:val="0"/>
          <w:szCs w:val="32"/>
          <w:shd w:val="clear" w:color="auto" w:fill="FFFFFF"/>
        </w:rPr>
        <w:t>三、部门整体绩效管理情况</w:t>
      </w:r>
    </w:p>
    <w:p w14:paraId="637DDD2A" w14:textId="77777777" w:rsidR="00334829" w:rsidRDefault="00000000">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（一）部门整体履职绩效分析。</w:t>
      </w:r>
    </w:p>
    <w:p w14:paraId="6E9A7C2E" w14:textId="77777777" w:rsidR="00334829" w:rsidRDefault="00000000">
      <w:pPr>
        <w:autoSpaceDE w:val="0"/>
        <w:spacing w:line="560" w:lineRule="exact"/>
        <w:ind w:firstLineChars="200" w:firstLine="640"/>
        <w:rPr>
          <w:rFonts w:ascii="仿宋_GB2312" w:eastAsia="仿宋_GB2312" w:hAnsi="仿宋_GB2312" w:cs="仿宋_GB2312" w:hint="eastAsia"/>
          <w:color w:val="000000"/>
          <w:szCs w:val="32"/>
        </w:rPr>
      </w:pPr>
      <w:r>
        <w:rPr>
          <w:rFonts w:ascii="仿宋_GB2312" w:eastAsia="仿宋_GB2312" w:hAnsi="仿宋_GB2312" w:cs="仿宋_GB2312" w:hint="eastAsia"/>
          <w:color w:val="000000"/>
          <w:szCs w:val="32"/>
        </w:rPr>
        <w:t>一、目标实现情况</w:t>
      </w:r>
    </w:p>
    <w:p w14:paraId="379AEE71" w14:textId="77777777" w:rsidR="00334829" w:rsidRDefault="00000000">
      <w:pPr>
        <w:autoSpaceDE w:val="0"/>
        <w:spacing w:line="600" w:lineRule="exact"/>
        <w:ind w:firstLineChars="200" w:firstLine="640"/>
        <w:rPr>
          <w:rFonts w:ascii="仿宋_GB2312" w:eastAsia="仿宋_GB2312" w:hAnsi="仿宋_GB2312" w:cs="仿宋_GB2312" w:hint="eastAsia"/>
          <w:color w:val="000000"/>
          <w:szCs w:val="32"/>
        </w:rPr>
      </w:pPr>
      <w:r>
        <w:rPr>
          <w:rFonts w:ascii="仿宋_GB2312" w:eastAsia="仿宋_GB2312" w:hAnsi="仿宋_GB2312" w:cs="仿宋_GB2312" w:hint="eastAsia"/>
          <w:color w:val="000000"/>
          <w:szCs w:val="32"/>
        </w:rPr>
        <w:t>（一）国有资产管理进一步规范</w:t>
      </w:r>
    </w:p>
    <w:p w14:paraId="4DBA3719" w14:textId="77777777" w:rsidR="00334829" w:rsidRDefault="00000000">
      <w:pPr>
        <w:autoSpaceDE w:val="0"/>
        <w:spacing w:line="600" w:lineRule="exact"/>
        <w:ind w:firstLineChars="200" w:firstLine="640"/>
        <w:rPr>
          <w:rFonts w:ascii="仿宋_GB2312" w:eastAsia="仿宋_GB2312" w:hAnsi="仿宋_GB2312" w:cs="仿宋_GB2312" w:hint="eastAsia"/>
          <w:color w:val="000000"/>
          <w:szCs w:val="32"/>
        </w:rPr>
      </w:pPr>
      <w:r>
        <w:rPr>
          <w:rFonts w:ascii="仿宋_GB2312" w:eastAsia="仿宋_GB2312" w:hAnsi="仿宋_GB2312" w:cs="仿宋_GB2312" w:hint="eastAsia"/>
          <w:color w:val="000000"/>
          <w:szCs w:val="32"/>
        </w:rPr>
        <w:t>一是充分利用国有资产信息系统和办公用房信息管理系统，全年共配置通用办公设备和办公家具等35批次，配置金额共计649.22万元。二是印发了《关于区级机关事业单位固定资产处置相关事宜的通知》，明确了资产处置管理的审批权限和流程。年内全区行政事业单位共处置资产账面价值843.38万元，报废处置车辆21辆（其</w:t>
      </w:r>
      <w:r>
        <w:rPr>
          <w:rFonts w:ascii="仿宋_GB2312" w:eastAsia="仿宋_GB2312" w:hAnsi="仿宋_GB2312" w:cs="仿宋_GB2312" w:hint="eastAsia"/>
          <w:color w:val="000000"/>
          <w:szCs w:val="32"/>
        </w:rPr>
        <w:lastRenderedPageBreak/>
        <w:t>中公务用车4辆，其它车辆17辆），处置残值3.24万元全部上缴国库。同时，通过区级“公物仓”对闲置、低效运转的资产加强调剂，年内共调剂使用5批次60余件。三是建立金口河区办公用房调剂制度，对全区26个单位20处办公用房开展排查、统计、调剂，同时强化办公用房管理，年内调剂办公用房2处335平方米，拆除D级危房1处479.9平方米。</w:t>
      </w:r>
    </w:p>
    <w:p w14:paraId="7BE08FF2" w14:textId="77777777" w:rsidR="00334829" w:rsidRDefault="00000000">
      <w:pPr>
        <w:numPr>
          <w:ilvl w:val="0"/>
          <w:numId w:val="2"/>
        </w:numPr>
        <w:autoSpaceDE w:val="0"/>
        <w:spacing w:line="600" w:lineRule="exact"/>
        <w:ind w:firstLineChars="200" w:firstLine="640"/>
        <w:rPr>
          <w:rFonts w:ascii="仿宋_GB2312" w:eastAsia="仿宋_GB2312" w:hAnsi="仿宋_GB2312" w:cs="仿宋_GB2312" w:hint="eastAsia"/>
          <w:color w:val="000000"/>
          <w:szCs w:val="32"/>
        </w:rPr>
      </w:pPr>
      <w:r>
        <w:rPr>
          <w:rFonts w:ascii="仿宋_GB2312" w:eastAsia="仿宋_GB2312" w:hAnsi="仿宋_GB2312" w:cs="仿宋_GB2312" w:hint="eastAsia"/>
          <w:color w:val="000000"/>
          <w:szCs w:val="32"/>
        </w:rPr>
        <w:t>公务用车监管进一步加强</w:t>
      </w:r>
    </w:p>
    <w:p w14:paraId="70FF3D42" w14:textId="77777777" w:rsidR="00334829" w:rsidRDefault="00000000">
      <w:pPr>
        <w:autoSpaceDE w:val="0"/>
        <w:spacing w:line="600" w:lineRule="exact"/>
        <w:ind w:firstLineChars="200" w:firstLine="640"/>
        <w:rPr>
          <w:rFonts w:ascii="仿宋_GB2312" w:eastAsia="仿宋_GB2312" w:hAnsi="仿宋_GB2312" w:cs="仿宋_GB2312" w:hint="eastAsia"/>
          <w:color w:val="0000FF"/>
          <w:szCs w:val="32"/>
        </w:rPr>
      </w:pPr>
      <w:r>
        <w:rPr>
          <w:rFonts w:ascii="仿宋_GB2312" w:eastAsia="仿宋_GB2312" w:hAnsi="仿宋_GB2312" w:cs="仿宋_GB2312" w:hint="eastAsia"/>
          <w:color w:val="000000"/>
          <w:szCs w:val="32"/>
        </w:rPr>
        <w:t>公务用车实现省、市、区三级信息互联互通，形成“全省一张网”。根据车辆编制情况，通过政府采购统一购置应急公务用车2台，组织开展了公务用车驾驶员培训2次，完善了公务用车使用事前审批制度，全区50台应急公务用车全面实现平台实时监管、统一调度。</w:t>
      </w:r>
    </w:p>
    <w:p w14:paraId="0ADE010B" w14:textId="77777777" w:rsidR="00334829" w:rsidRDefault="00000000">
      <w:pPr>
        <w:autoSpaceDE w:val="0"/>
        <w:spacing w:line="600" w:lineRule="exact"/>
        <w:ind w:firstLineChars="200" w:firstLine="640"/>
        <w:rPr>
          <w:rFonts w:ascii="仿宋_GB2312" w:eastAsia="仿宋_GB2312" w:hAnsi="仿宋_GB2312" w:cs="仿宋_GB2312" w:hint="eastAsia"/>
          <w:color w:val="000000"/>
          <w:szCs w:val="32"/>
        </w:rPr>
      </w:pPr>
      <w:r>
        <w:rPr>
          <w:rFonts w:ascii="仿宋_GB2312" w:eastAsia="仿宋_GB2312" w:hAnsi="仿宋_GB2312" w:cs="仿宋_GB2312" w:hint="eastAsia"/>
          <w:color w:val="000000"/>
          <w:szCs w:val="32"/>
        </w:rPr>
        <w:t>（三）公共机构节能管理成效显著</w:t>
      </w:r>
    </w:p>
    <w:p w14:paraId="01DAC46A" w14:textId="77777777" w:rsidR="00334829" w:rsidRDefault="00000000">
      <w:pPr>
        <w:widowControl/>
        <w:adjustRightInd w:val="0"/>
        <w:snapToGrid w:val="0"/>
        <w:spacing w:line="580" w:lineRule="exact"/>
        <w:ind w:firstLineChars="200" w:firstLine="640"/>
        <w:contextualSpacing/>
        <w:jc w:val="left"/>
        <w:rPr>
          <w:rFonts w:ascii="仿宋_GB2312" w:eastAsia="仿宋_GB2312" w:hAnsi="仿宋_GB2312" w:cs="仿宋_GB2312" w:hint="eastAsia"/>
          <w:color w:val="000000"/>
          <w:szCs w:val="32"/>
        </w:rPr>
      </w:pPr>
      <w:r>
        <w:rPr>
          <w:rFonts w:ascii="仿宋_GB2312" w:eastAsia="仿宋_GB2312" w:hAnsi="仿宋_GB2312" w:cs="仿宋_GB2312" w:hint="eastAsia"/>
          <w:color w:val="000000"/>
          <w:szCs w:val="32"/>
        </w:rPr>
        <w:t>充分利用全国生活垃圾分类宣传周、节能宣传周等契机开展宣传教育活动，累计发放节能减排标识宣传资料440份，基本实现全区党政机关分类设施覆盖率达到100%。按季度对全区各单位进行节能工作常态化抽查，2024年累计抽查12个单位，发现问题34个，已督促相关单位全面完成整改。积极开展新能源汽车推广应用和充电桩建设，更新配备新能源公务用车2台，公共机构新建新能源汽车配套充电桩41个。指导协助延</w:t>
      </w:r>
      <w:proofErr w:type="gramStart"/>
      <w:r>
        <w:rPr>
          <w:rFonts w:ascii="仿宋_GB2312" w:eastAsia="仿宋_GB2312" w:hAnsi="仿宋_GB2312" w:cs="仿宋_GB2312" w:hint="eastAsia"/>
          <w:color w:val="000000"/>
          <w:szCs w:val="32"/>
        </w:rPr>
        <w:t>风中学</w:t>
      </w:r>
      <w:proofErr w:type="gramEnd"/>
      <w:r>
        <w:rPr>
          <w:rFonts w:ascii="仿宋_GB2312" w:eastAsia="仿宋_GB2312" w:hAnsi="仿宋_GB2312" w:cs="仿宋_GB2312" w:hint="eastAsia"/>
          <w:color w:val="000000"/>
          <w:szCs w:val="32"/>
        </w:rPr>
        <w:t>完成国家级节约型公共机构示范单位创建工作，指导区检察院、区水务局、区住建局、区综合</w:t>
      </w:r>
      <w:proofErr w:type="gramStart"/>
      <w:r>
        <w:rPr>
          <w:rFonts w:ascii="仿宋_GB2312" w:eastAsia="仿宋_GB2312" w:hAnsi="仿宋_GB2312" w:cs="仿宋_GB2312" w:hint="eastAsia"/>
          <w:color w:val="000000"/>
          <w:szCs w:val="32"/>
        </w:rPr>
        <w:t>执法执法</w:t>
      </w:r>
      <w:proofErr w:type="gramEnd"/>
      <w:r>
        <w:rPr>
          <w:rFonts w:ascii="仿宋_GB2312" w:eastAsia="仿宋_GB2312" w:hAnsi="仿宋_GB2312" w:cs="仿宋_GB2312" w:hint="eastAsia"/>
          <w:color w:val="000000"/>
          <w:szCs w:val="32"/>
        </w:rPr>
        <w:t>局完成乐山市2024年度“无废机关”创建工作。</w:t>
      </w:r>
    </w:p>
    <w:p w14:paraId="40ADB993" w14:textId="77777777" w:rsidR="00334829" w:rsidRDefault="00000000">
      <w:pPr>
        <w:autoSpaceDE w:val="0"/>
        <w:spacing w:line="600" w:lineRule="exact"/>
        <w:ind w:firstLineChars="200" w:firstLine="640"/>
        <w:rPr>
          <w:rFonts w:ascii="仿宋_GB2312" w:eastAsia="仿宋_GB2312" w:hAnsi="仿宋_GB2312" w:cs="仿宋_GB2312" w:hint="eastAsia"/>
          <w:color w:val="000000"/>
          <w:szCs w:val="32"/>
        </w:rPr>
      </w:pPr>
      <w:r>
        <w:rPr>
          <w:rFonts w:ascii="仿宋_GB2312" w:eastAsia="仿宋_GB2312" w:hAnsi="仿宋_GB2312" w:cs="仿宋_GB2312" w:hint="eastAsia"/>
          <w:color w:val="000000"/>
          <w:szCs w:val="32"/>
        </w:rPr>
        <w:t>（四）抓服务后勤保障新提升</w:t>
      </w:r>
    </w:p>
    <w:p w14:paraId="63B5168B" w14:textId="77777777" w:rsidR="00334829" w:rsidRDefault="00000000">
      <w:pPr>
        <w:widowControl/>
        <w:adjustRightInd w:val="0"/>
        <w:snapToGrid w:val="0"/>
        <w:spacing w:line="580" w:lineRule="exact"/>
        <w:ind w:firstLineChars="200" w:firstLine="640"/>
        <w:contextualSpacing/>
        <w:jc w:val="left"/>
        <w:rPr>
          <w:rFonts w:ascii="仿宋_GB2312" w:eastAsia="仿宋_GB2312" w:hAnsi="仿宋_GB2312" w:cs="仿宋_GB2312" w:hint="eastAsia"/>
          <w:color w:val="000000"/>
          <w:szCs w:val="32"/>
        </w:rPr>
      </w:pPr>
      <w:r>
        <w:rPr>
          <w:rFonts w:ascii="仿宋_GB2312" w:eastAsia="仿宋_GB2312" w:hAnsi="仿宋_GB2312" w:cs="仿宋_GB2312" w:hint="eastAsia"/>
          <w:color w:val="000000"/>
          <w:szCs w:val="32"/>
        </w:rPr>
        <w:lastRenderedPageBreak/>
        <w:t>2024年，中心先后接待省委巡视组在金为期一个月的巡视工作、绍兴市代表团来</w:t>
      </w:r>
      <w:proofErr w:type="gramStart"/>
      <w:r>
        <w:rPr>
          <w:rFonts w:ascii="仿宋_GB2312" w:eastAsia="仿宋_GB2312" w:hAnsi="仿宋_GB2312" w:cs="仿宋_GB2312" w:hint="eastAsia"/>
          <w:color w:val="000000"/>
          <w:szCs w:val="32"/>
        </w:rPr>
        <w:t>金考察</w:t>
      </w:r>
      <w:proofErr w:type="gramEnd"/>
      <w:r>
        <w:rPr>
          <w:rFonts w:ascii="仿宋_GB2312" w:eastAsia="仿宋_GB2312" w:hAnsi="仿宋_GB2312" w:cs="仿宋_GB2312" w:hint="eastAsia"/>
          <w:color w:val="000000"/>
          <w:szCs w:val="32"/>
        </w:rPr>
        <w:t>对接东西部协作工作、2024一带</w:t>
      </w:r>
      <w:proofErr w:type="gramStart"/>
      <w:r>
        <w:rPr>
          <w:rFonts w:ascii="仿宋_GB2312" w:eastAsia="仿宋_GB2312" w:hAnsi="仿宋_GB2312" w:cs="仿宋_GB2312" w:hint="eastAsia"/>
          <w:color w:val="000000"/>
          <w:szCs w:val="32"/>
        </w:rPr>
        <w:t>一路国家</w:t>
      </w:r>
      <w:proofErr w:type="gramEnd"/>
      <w:r>
        <w:rPr>
          <w:rFonts w:ascii="仿宋_GB2312" w:eastAsia="仿宋_GB2312" w:hAnsi="仿宋_GB2312" w:cs="仿宋_GB2312" w:hint="eastAsia"/>
          <w:color w:val="000000"/>
          <w:szCs w:val="32"/>
        </w:rPr>
        <w:t>驻华使节自行车系列赛、</w:t>
      </w:r>
      <w:proofErr w:type="gramStart"/>
      <w:r>
        <w:rPr>
          <w:rFonts w:ascii="仿宋_GB2312" w:eastAsia="仿宋_GB2312" w:hAnsi="仿宋_GB2312" w:cs="仿宋_GB2312" w:hint="eastAsia"/>
          <w:color w:val="000000"/>
          <w:szCs w:val="32"/>
        </w:rPr>
        <w:t>2024年彝历新年</w:t>
      </w:r>
      <w:proofErr w:type="gramEnd"/>
      <w:r>
        <w:rPr>
          <w:rFonts w:ascii="仿宋_GB2312" w:eastAsia="仿宋_GB2312" w:hAnsi="仿宋_GB2312" w:cs="仿宋_GB2312" w:hint="eastAsia"/>
          <w:color w:val="000000"/>
          <w:szCs w:val="32"/>
        </w:rPr>
        <w:t>活动等大型活动后勤服务保障工作;高质量保障各类公务、政务、商务活动43批次1000余人次，其中国家级、部级领导5批次120余人次,累计指导区级部门开展“扫码付”对口各类接待40余批次。会同区纪委、区财政局联合制定《乐山市金口河区“扫码用车”管理办法（试行） 》的通知、《乐山市金口河区“扫码用车”管理办法（试行） 》的通知，确保全区接待服务工作节约高效。</w:t>
      </w:r>
    </w:p>
    <w:p w14:paraId="352EB0AF" w14:textId="77777777" w:rsidR="00334829" w:rsidRDefault="00000000">
      <w:pPr>
        <w:spacing w:line="580" w:lineRule="exact"/>
        <w:ind w:firstLineChars="200" w:firstLine="640"/>
        <w:rPr>
          <w:rFonts w:ascii="仿宋_GB2312" w:eastAsia="仿宋_GB2312" w:hAnsi="仿宋_GB2312" w:cs="仿宋_GB2312" w:hint="eastAsia"/>
        </w:rPr>
      </w:pPr>
      <w:r>
        <w:rPr>
          <w:rFonts w:ascii="仿宋_GB2312" w:eastAsia="仿宋_GB2312" w:hAnsi="仿宋_GB2312" w:cs="仿宋_GB2312" w:hint="eastAsia"/>
        </w:rPr>
        <w:t>二、预算编制、支出、调整和执行情况</w:t>
      </w:r>
    </w:p>
    <w:p w14:paraId="5B3CE969" w14:textId="77777777" w:rsidR="00334829" w:rsidRDefault="00000000">
      <w:pPr>
        <w:pStyle w:val="2"/>
        <w:spacing w:line="580" w:lineRule="exact"/>
        <w:rPr>
          <w:lang w:val="zh-CN"/>
        </w:rPr>
      </w:pPr>
      <w:r>
        <w:rPr>
          <w:rFonts w:ascii="仿宋_GB2312" w:eastAsia="仿宋_GB2312" w:hAnsi="仿宋_GB2312" w:cs="仿宋_GB2312" w:hint="eastAsia"/>
        </w:rPr>
        <w:t>预算编制准确，结合实战需要适时调整了预算，强力推进各项后勤服务工作。经费预算包括人员经费预算、公用经费预算和项目经费预算等。人员经费预算按编报日期实有在编人数编报，公用经费按照批复标准额度据实编报，项目经费按照要求向区财政局提供预算依据和绩效目标，并办理相关申报手续后编报，没有提供预算依据和绩效目标的项目，不纳入年度预算。按照工作部署，结合工作职能，我中心全面执行2024年部门预算。在预算执行过程中及时对预算进行调整优化，年末基本完成了年初预算，无违规违纪行为。</w:t>
      </w:r>
    </w:p>
    <w:p w14:paraId="4AD3580E" w14:textId="77777777" w:rsidR="00334829" w:rsidRDefault="00000000">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（二）特定目标类项目绩效分析。</w:t>
      </w:r>
    </w:p>
    <w:p w14:paraId="28E5F50B" w14:textId="77777777" w:rsidR="00334829" w:rsidRDefault="00000000">
      <w:pPr>
        <w:widowControl/>
        <w:adjustRightInd w:val="0"/>
        <w:snapToGrid w:val="0"/>
        <w:spacing w:line="580" w:lineRule="exact"/>
        <w:ind w:firstLineChars="200" w:firstLine="640"/>
        <w:contextualSpacing/>
        <w:jc w:val="left"/>
        <w:rPr>
          <w:rFonts w:ascii="仿宋_GB2312" w:eastAsia="仿宋_GB2312" w:hAnsi="宋体" w:cs="宋体" w:hint="eastAsia"/>
          <w:color w:val="000000"/>
          <w:kern w:val="0"/>
          <w:szCs w:val="32"/>
          <w:shd w:val="clear" w:color="auto" w:fill="FFFFFF"/>
          <w:lang w:val="zh-CN"/>
        </w:rPr>
      </w:pPr>
      <w:r>
        <w:rPr>
          <w:rFonts w:ascii="仿宋_GB2312" w:eastAsia="仿宋_GB2312" w:hAnsi="宋体" w:cs="宋体" w:hint="eastAsia"/>
          <w:color w:val="000000"/>
          <w:kern w:val="0"/>
          <w:szCs w:val="32"/>
          <w:shd w:val="clear" w:color="auto" w:fill="FFFFFF"/>
        </w:rPr>
        <w:t>1.</w:t>
      </w:r>
      <w:r>
        <w:rPr>
          <w:rFonts w:ascii="仿宋_GB2312" w:eastAsia="仿宋_GB2312" w:hAnsi="宋体" w:cs="宋体" w:hint="eastAsia"/>
          <w:color w:val="000000"/>
          <w:kern w:val="0"/>
          <w:szCs w:val="32"/>
          <w:shd w:val="clear" w:color="auto" w:fill="FFFFFF"/>
          <w:lang w:val="zh-CN"/>
        </w:rPr>
        <w:t>整体情况</w:t>
      </w:r>
    </w:p>
    <w:p w14:paraId="18F66650" w14:textId="77777777" w:rsidR="00334829" w:rsidRDefault="00000000">
      <w:pPr>
        <w:widowControl/>
        <w:adjustRightInd w:val="0"/>
        <w:snapToGrid w:val="0"/>
        <w:spacing w:line="580" w:lineRule="exact"/>
        <w:ind w:firstLineChars="200" w:firstLine="640"/>
        <w:contextualSpacing/>
        <w:jc w:val="left"/>
        <w:rPr>
          <w:lang w:val="zh-CN"/>
        </w:rPr>
      </w:pPr>
      <w:r>
        <w:rPr>
          <w:rFonts w:ascii="仿宋_GB2312" w:eastAsia="仿宋_GB2312" w:hAnsi="仿宋_GB2312" w:cs="仿宋_GB2312" w:hint="eastAsia"/>
          <w:color w:val="000000"/>
          <w:szCs w:val="32"/>
        </w:rPr>
        <w:t>区机关事务服务中心年初预算1个项目为日常运转维修经费，根据预算绩效管理要求，本部门在年初预算编制阶段，组织对项目开展了预算事前绩效评估，编制了绩效目标，预算执行过程中，对</w:t>
      </w:r>
      <w:r>
        <w:rPr>
          <w:rFonts w:ascii="仿宋_GB2312" w:eastAsia="仿宋_GB2312" w:hAnsi="仿宋_GB2312" w:cs="仿宋_GB2312" w:hint="eastAsia"/>
          <w:color w:val="000000"/>
          <w:szCs w:val="32"/>
        </w:rPr>
        <w:lastRenderedPageBreak/>
        <w:t>项目开展绩效监控，年终执行完毕后，对项目开展了绩效目标完成情况自评。通过项目运行保障了本单位日常工作正常运转，绩效目标设置合理，绩效目标全面完成，无违规违纪事件。通过对项目的有效预算管理为次年编制年初预算及资金安排和使用提供了有力依据。</w:t>
      </w:r>
    </w:p>
    <w:p w14:paraId="3FBFD132" w14:textId="77777777" w:rsidR="00334829" w:rsidRDefault="00000000">
      <w:pPr>
        <w:widowControl/>
        <w:adjustRightInd w:val="0"/>
        <w:snapToGrid w:val="0"/>
        <w:spacing w:line="580" w:lineRule="exact"/>
        <w:ind w:firstLineChars="200" w:firstLine="640"/>
        <w:contextualSpacing/>
        <w:jc w:val="left"/>
        <w:rPr>
          <w:rFonts w:ascii="仿宋_GB2312" w:eastAsia="仿宋_GB2312" w:hAnsi="仿宋_GB2312" w:cs="仿宋_GB2312" w:hint="eastAsia"/>
          <w:color w:val="000000"/>
          <w:szCs w:val="32"/>
        </w:rPr>
      </w:pPr>
      <w:r>
        <w:rPr>
          <w:rFonts w:ascii="仿宋_GB2312" w:eastAsia="仿宋_GB2312" w:hAnsi="宋体" w:cs="宋体" w:hint="eastAsia"/>
          <w:color w:val="000000"/>
          <w:kern w:val="0"/>
          <w:szCs w:val="32"/>
          <w:shd w:val="clear" w:color="auto" w:fill="FFFFFF"/>
          <w:lang w:val="zh-CN"/>
        </w:rPr>
        <w:t>2.</w:t>
      </w:r>
      <w:r>
        <w:rPr>
          <w:rFonts w:ascii="仿宋_GB2312" w:eastAsia="仿宋_GB2312" w:hAnsi="宋体" w:cs="宋体" w:hint="eastAsia"/>
          <w:color w:val="000000"/>
          <w:kern w:val="0"/>
          <w:szCs w:val="32"/>
          <w:shd w:val="clear" w:color="auto" w:fill="FFFFFF"/>
        </w:rPr>
        <w:t>50</w:t>
      </w:r>
      <w:r>
        <w:rPr>
          <w:rFonts w:ascii="仿宋_GB2312" w:eastAsia="仿宋_GB2312" w:hAnsi="宋体" w:cs="宋体" w:hint="eastAsia"/>
          <w:color w:val="000000"/>
          <w:kern w:val="0"/>
          <w:szCs w:val="32"/>
          <w:shd w:val="clear" w:color="auto" w:fill="FFFFFF"/>
          <w:lang w:val="zh-CN"/>
        </w:rPr>
        <w:t>万以上项目：</w:t>
      </w:r>
      <w:r>
        <w:rPr>
          <w:rFonts w:ascii="仿宋_GB2312" w:eastAsia="仿宋_GB2312" w:hAnsi="仿宋_GB2312" w:cs="仿宋_GB2312" w:hint="eastAsia"/>
          <w:color w:val="000000"/>
          <w:szCs w:val="32"/>
        </w:rPr>
        <w:t>日常运转维修经费项目。</w:t>
      </w:r>
    </w:p>
    <w:p w14:paraId="3CC9459A" w14:textId="77777777" w:rsidR="00334829" w:rsidRDefault="00000000">
      <w:pPr>
        <w:adjustRightInd w:val="0"/>
        <w:snapToGrid w:val="0"/>
        <w:spacing w:line="520" w:lineRule="exact"/>
        <w:ind w:firstLineChars="200" w:firstLine="640"/>
        <w:rPr>
          <w:rFonts w:ascii="仿宋_GB2312" w:eastAsia="仿宋_GB2312" w:hAnsi="宋体" w:hint="eastAsia"/>
          <w:szCs w:val="32"/>
        </w:rPr>
      </w:pPr>
      <w:r>
        <w:rPr>
          <w:rFonts w:ascii="仿宋_GB2312" w:eastAsia="仿宋_GB2312" w:hAnsi="宋体" w:hint="eastAsia"/>
          <w:szCs w:val="32"/>
        </w:rPr>
        <w:t>该项目的重点是后勤保障和后勤服务，是单位正常运转的重要支撑，该项目是依据机关事务服务中心职能设立。用于保障全区重大公务接待、公车运行、办公用房、机构节能等方面的正常运转。</w:t>
      </w:r>
    </w:p>
    <w:p w14:paraId="10800801" w14:textId="77777777" w:rsidR="00334829" w:rsidRDefault="00000000">
      <w:pPr>
        <w:adjustRightInd w:val="0"/>
        <w:snapToGrid w:val="0"/>
        <w:spacing w:line="520" w:lineRule="exact"/>
        <w:ind w:firstLineChars="200" w:firstLine="640"/>
        <w:rPr>
          <w:rFonts w:ascii="仿宋_GB2312" w:eastAsia="仿宋_GB2312" w:hAnsi="宋体" w:hint="eastAsia"/>
          <w:szCs w:val="32"/>
        </w:rPr>
      </w:pPr>
      <w:r>
        <w:rPr>
          <w:rFonts w:ascii="仿宋_GB2312" w:eastAsia="仿宋_GB2312" w:hAnsi="宋体" w:hint="eastAsia"/>
          <w:szCs w:val="32"/>
        </w:rPr>
        <w:t>绩效目标为</w:t>
      </w:r>
      <w:proofErr w:type="gramStart"/>
      <w:r>
        <w:rPr>
          <w:rFonts w:ascii="仿宋_GB2312" w:eastAsia="仿宋_GB2312" w:hAnsi="宋体" w:hint="eastAsia"/>
          <w:szCs w:val="32"/>
        </w:rPr>
        <w:t>为</w:t>
      </w:r>
      <w:proofErr w:type="gramEnd"/>
      <w:r>
        <w:rPr>
          <w:rFonts w:ascii="仿宋_GB2312" w:eastAsia="仿宋_GB2312" w:hAnsi="宋体" w:hint="eastAsia"/>
          <w:szCs w:val="32"/>
        </w:rPr>
        <w:t>全区机关单位提供优质后勤服务和后勤保障。绩效目标和绩效指标可以量化、考核，绩效目标和绩效指标相匹配，绩效目标和绩效指标全面完整，契合政策和项目实质，与机关事务服务中心的长期规划目标、年度工作目标相一致，产出和效果相关联，满意度指标达90%。</w:t>
      </w:r>
    </w:p>
    <w:p w14:paraId="1ABFC6C9" w14:textId="77777777" w:rsidR="00334829" w:rsidRDefault="00000000">
      <w:pPr>
        <w:adjustRightInd w:val="0"/>
        <w:snapToGrid w:val="0"/>
        <w:spacing w:line="520" w:lineRule="exact"/>
        <w:ind w:firstLineChars="200" w:firstLine="640"/>
        <w:rPr>
          <w:rFonts w:ascii="仿宋_GB2312" w:eastAsia="仿宋_GB2312" w:hAnsi="宋体" w:hint="eastAsia"/>
          <w:szCs w:val="32"/>
        </w:rPr>
      </w:pPr>
      <w:r>
        <w:rPr>
          <w:rFonts w:ascii="仿宋_GB2312" w:eastAsia="仿宋_GB2312" w:hAnsi="宋体" w:hint="eastAsia"/>
          <w:szCs w:val="32"/>
        </w:rPr>
        <w:t>该项目组织机构健全，职责分工明确，有具体的实施时间，有明确的工作程序，基础设施条件能够有效保障，资金为财政资金足额保证。</w:t>
      </w:r>
    </w:p>
    <w:p w14:paraId="4A39DE3E" w14:textId="77777777" w:rsidR="00334829" w:rsidRDefault="00000000">
      <w:pPr>
        <w:adjustRightInd w:val="0"/>
        <w:snapToGrid w:val="0"/>
        <w:spacing w:line="520" w:lineRule="exact"/>
        <w:ind w:firstLineChars="200" w:firstLine="640"/>
        <w:rPr>
          <w:lang w:val="zh-CN"/>
        </w:rPr>
      </w:pPr>
      <w:r>
        <w:rPr>
          <w:rFonts w:ascii="仿宋_GB2312" w:eastAsia="仿宋_GB2312" w:hAnsi="宋体" w:hint="eastAsia"/>
          <w:szCs w:val="32"/>
        </w:rPr>
        <w:t>项目评估总得分94分、评估等级优、实施本项目是实现单位正常运转的基础保障，产出和效果达到预期目标。</w:t>
      </w:r>
    </w:p>
    <w:p w14:paraId="290FC678" w14:textId="77777777" w:rsidR="00334829" w:rsidRDefault="00000000">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（三）结果应用情况。</w:t>
      </w:r>
    </w:p>
    <w:p w14:paraId="5D3DAA2E" w14:textId="77777777" w:rsidR="00334829" w:rsidRDefault="00000000">
      <w:pPr>
        <w:widowControl/>
        <w:adjustRightInd w:val="0"/>
        <w:snapToGrid w:val="0"/>
        <w:spacing w:line="580" w:lineRule="exact"/>
        <w:ind w:firstLineChars="200" w:firstLine="640"/>
        <w:contextualSpacing/>
        <w:jc w:val="left"/>
        <w:rPr>
          <w:rFonts w:ascii="黑体" w:eastAsia="黑体" w:hAnsi="黑体" w:cs="宋体" w:hint="eastAsia"/>
          <w:color w:val="000000"/>
          <w:kern w:val="0"/>
          <w:szCs w:val="32"/>
          <w:shd w:val="clear" w:color="auto" w:fill="FFFFFF"/>
        </w:rPr>
      </w:pPr>
      <w:r>
        <w:rPr>
          <w:rFonts w:ascii="仿宋_GB2312" w:eastAsia="仿宋_GB2312" w:hAnsi="宋体" w:cs="宋体" w:hint="eastAsia"/>
          <w:color w:val="000000"/>
          <w:kern w:val="0"/>
          <w:szCs w:val="32"/>
          <w:shd w:val="clear" w:color="auto" w:fill="FFFFFF"/>
        </w:rPr>
        <w:t>重视预算执行工作，能够按照国家的法律法规加强预算管理，不断完善内控制度，取得了较好的预算执行效果，认真地完成了2024年部门预算和决算编制工</w:t>
      </w:r>
      <w:r>
        <w:rPr>
          <w:rFonts w:ascii="仿宋_GB2312" w:eastAsia="仿宋_GB2312" w:hAnsi="仿宋_GB2312" w:cs="仿宋_GB2312" w:hint="eastAsia"/>
          <w:color w:val="000000"/>
          <w:szCs w:val="32"/>
        </w:rPr>
        <w:t>作，按照财政部门批复的预算组织实施。单位的财务管理和会计基础工作日益完善。加强对公用支出中重点费用的管理。规范会议费、差旅费、办公费等费用开支标准，</w:t>
      </w:r>
      <w:r>
        <w:rPr>
          <w:rFonts w:ascii="仿宋_GB2312" w:eastAsia="仿宋_GB2312" w:hAnsi="仿宋_GB2312" w:cs="仿宋_GB2312" w:hint="eastAsia"/>
          <w:color w:val="000000"/>
          <w:szCs w:val="32"/>
        </w:rPr>
        <w:lastRenderedPageBreak/>
        <w:t>按照国家规定的标准和范围列支，控制差旅活动的人数和天数，不安排无明确目的的公务考察活动;坚持厉行节约的原则，控制和压缩办公经费支出，各项费用严格控制在预算额度内使用。重视对项目支出的管理。牢固树立"先预算，后支出"的观念，项目支出严格纳入经费预算，统筹安排使用专项资金。规范大宗商品的购置管理。大宗商品购置执行预算管理制度，达到政府采购标准的商品购置，按照政府采购的要求和程序，依法实行政府采购。我中心的政府采购项目均编制了政府采购预算。规范资金结算管理，各项支出按照批准的预算和有关规定审核办理，各项费用严格按照经费审批程序审批后才能报销，杜绝不合理的开支。资金支付执行国库集中支付制度和公务卡结算有关规定，尽量采用银行转账或者公务卡结算方式，规范公务支出中的现金提取和使用，保证资金支付的安全、透明、规范。</w:t>
      </w:r>
      <w:r>
        <w:rPr>
          <w:rFonts w:ascii="仿宋_GB2312" w:eastAsia="仿宋_GB2312" w:hAnsi="仿宋_GB2312" w:cs="仿宋_GB2312" w:hint="eastAsia"/>
          <w:color w:val="000000"/>
          <w:szCs w:val="32"/>
        </w:rPr>
        <w:br/>
      </w:r>
      <w:r>
        <w:rPr>
          <w:rFonts w:ascii="黑体" w:eastAsia="黑体" w:hAnsi="黑体" w:cs="宋体" w:hint="eastAsia"/>
          <w:color w:val="000000"/>
          <w:kern w:val="0"/>
          <w:szCs w:val="32"/>
          <w:shd w:val="clear" w:color="auto" w:fill="FFFFFF"/>
        </w:rPr>
        <w:t>四、评价结论及建议</w:t>
      </w:r>
    </w:p>
    <w:p w14:paraId="21B69695" w14:textId="77777777" w:rsidR="00334829" w:rsidRDefault="00000000">
      <w:pPr>
        <w:widowControl/>
        <w:numPr>
          <w:ilvl w:val="0"/>
          <w:numId w:val="3"/>
        </w:numPr>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评价结论。</w:t>
      </w:r>
    </w:p>
    <w:p w14:paraId="74BB8CDF" w14:textId="77777777" w:rsidR="00334829" w:rsidRDefault="00000000">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Pr>
          <w:rFonts w:ascii="仿宋_GB2312" w:eastAsia="仿宋_GB2312" w:hAnsi="仿宋_GB2312" w:cs="仿宋_GB2312" w:hint="eastAsia"/>
          <w:color w:val="000000"/>
          <w:szCs w:val="32"/>
        </w:rPr>
        <w:t>2024年各项年初绩效目标基本实现，经济和社会效益有所提高，项目组织管理和财务管理基本健全规范，未发生违法违规问题。</w:t>
      </w:r>
    </w:p>
    <w:p w14:paraId="5A18306F" w14:textId="77777777" w:rsidR="00334829" w:rsidRDefault="00000000">
      <w:pPr>
        <w:widowControl/>
        <w:numPr>
          <w:ilvl w:val="0"/>
          <w:numId w:val="3"/>
        </w:numPr>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存在问题。</w:t>
      </w:r>
    </w:p>
    <w:p w14:paraId="6D07020A" w14:textId="77777777" w:rsidR="00334829" w:rsidRDefault="00000000">
      <w:pPr>
        <w:widowControl/>
        <w:adjustRightInd w:val="0"/>
        <w:snapToGrid w:val="0"/>
        <w:spacing w:line="580" w:lineRule="exact"/>
        <w:ind w:leftChars="200" w:left="640"/>
        <w:contextualSpacing/>
        <w:jc w:val="left"/>
        <w:rPr>
          <w:rFonts w:ascii="楷体_GB2312" w:eastAsia="楷体_GB2312" w:hAnsi="宋体" w:cs="宋体" w:hint="eastAsia"/>
          <w:color w:val="000000"/>
          <w:kern w:val="0"/>
          <w:szCs w:val="32"/>
          <w:shd w:val="clear" w:color="auto" w:fill="FFFFFF"/>
          <w:lang w:val="zh-CN"/>
        </w:rPr>
      </w:pPr>
      <w:r>
        <w:rPr>
          <w:rFonts w:ascii="仿宋_GB2312" w:eastAsia="仿宋_GB2312" w:hAnsi="仿宋_GB2312" w:cs="仿宋_GB2312" w:hint="eastAsia"/>
          <w:color w:val="000000"/>
          <w:szCs w:val="32"/>
          <w:lang w:val="zh-CN"/>
        </w:rPr>
        <w:t>无</w:t>
      </w:r>
    </w:p>
    <w:p w14:paraId="40E6332B" w14:textId="77777777" w:rsidR="00334829" w:rsidRDefault="00000000">
      <w:pPr>
        <w:widowControl/>
        <w:numPr>
          <w:ilvl w:val="0"/>
          <w:numId w:val="3"/>
        </w:numPr>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改进建议。</w:t>
      </w:r>
    </w:p>
    <w:p w14:paraId="5A45C413" w14:textId="77777777" w:rsidR="00334829" w:rsidRDefault="00000000">
      <w:pPr>
        <w:widowControl/>
        <w:adjustRightInd w:val="0"/>
        <w:snapToGrid w:val="0"/>
        <w:spacing w:line="580" w:lineRule="exact"/>
        <w:ind w:leftChars="200" w:left="640"/>
        <w:contextualSpacing/>
        <w:jc w:val="left"/>
        <w:rPr>
          <w:rFonts w:ascii="楷体_GB2312" w:eastAsia="楷体_GB2312" w:hAnsi="宋体" w:cs="宋体" w:hint="eastAsia"/>
          <w:color w:val="000000"/>
          <w:kern w:val="0"/>
          <w:szCs w:val="32"/>
          <w:shd w:val="clear" w:color="auto" w:fill="FFFFFF"/>
          <w:lang w:val="zh-CN"/>
        </w:rPr>
      </w:pPr>
      <w:r>
        <w:rPr>
          <w:rFonts w:ascii="仿宋_GB2312" w:eastAsia="仿宋_GB2312" w:hAnsi="仿宋_GB2312" w:cs="仿宋_GB2312" w:hint="eastAsia"/>
          <w:color w:val="000000"/>
          <w:szCs w:val="32"/>
          <w:lang w:val="zh-CN"/>
        </w:rPr>
        <w:t>无</w:t>
      </w:r>
    </w:p>
    <w:sectPr w:rsidR="00334829">
      <w:headerReference w:type="default" r:id="rId8"/>
      <w:footerReference w:type="even" r:id="rId9"/>
      <w:pgSz w:w="11906" w:h="16838"/>
      <w:pgMar w:top="907" w:right="1361" w:bottom="851" w:left="1361" w:header="851" w:footer="992" w:gutter="0"/>
      <w:pgNumType w:fmt="numberInDash" w:start="12"/>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E039" w14:textId="77777777" w:rsidR="00B36B75" w:rsidRDefault="00B36B75">
      <w:pPr>
        <w:spacing w:after="0" w:line="240" w:lineRule="auto"/>
      </w:pPr>
      <w:r>
        <w:separator/>
      </w:r>
    </w:p>
  </w:endnote>
  <w:endnote w:type="continuationSeparator" w:id="0">
    <w:p w14:paraId="7C9774A1" w14:textId="77777777" w:rsidR="00B36B75" w:rsidRDefault="00B3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汉仪仿宋S"/>
    <w:charset w:val="00"/>
    <w:family w:val="roman"/>
    <w:pitch w:val="default"/>
  </w:font>
  <w:font w:name="方正黑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方正仿宋_GBK"/>
    <w:charset w:val="00"/>
    <w:family w:val="modern"/>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charset w:val="86"/>
    <w:family w:val="modern"/>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1E72" w14:textId="77777777" w:rsidR="00334829" w:rsidRDefault="00000000">
    <w:pPr>
      <w:pStyle w:val="a8"/>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470BAAB2" w14:textId="77777777" w:rsidR="00334829" w:rsidRDefault="00334829">
    <w:pPr>
      <w:pStyle w:val="a8"/>
      <w:tabs>
        <w:tab w:val="clear" w:pos="4153"/>
        <w:tab w:val="clear" w:pos="8306"/>
        <w:tab w:val="right" w:pos="9184"/>
      </w:tabs>
      <w:rPr>
        <w:rFonts w:asci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18C13" w14:textId="77777777" w:rsidR="00B36B75" w:rsidRDefault="00B36B75">
      <w:pPr>
        <w:spacing w:after="0" w:line="240" w:lineRule="auto"/>
      </w:pPr>
      <w:r>
        <w:separator/>
      </w:r>
    </w:p>
  </w:footnote>
  <w:footnote w:type="continuationSeparator" w:id="0">
    <w:p w14:paraId="14A0EE26" w14:textId="77777777" w:rsidR="00B36B75" w:rsidRDefault="00B36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2E43" w14:textId="77777777" w:rsidR="00334829" w:rsidRDefault="00334829">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4FF4B9"/>
    <w:multiLevelType w:val="singleLevel"/>
    <w:tmpl w:val="964FF4B9"/>
    <w:lvl w:ilvl="0">
      <w:start w:val="2"/>
      <w:numFmt w:val="chineseCounting"/>
      <w:suff w:val="nothing"/>
      <w:lvlText w:val="（%1）"/>
      <w:lvlJc w:val="left"/>
      <w:rPr>
        <w:rFonts w:hint="eastAsia"/>
      </w:rPr>
    </w:lvl>
  </w:abstractNum>
  <w:abstractNum w:abstractNumId="1" w15:restartNumberingAfterBreak="0">
    <w:nsid w:val="D6764ECA"/>
    <w:multiLevelType w:val="singleLevel"/>
    <w:tmpl w:val="D6764ECA"/>
    <w:lvl w:ilvl="0">
      <w:start w:val="1"/>
      <w:numFmt w:val="chineseCounting"/>
      <w:suff w:val="nothing"/>
      <w:lvlText w:val="（%1）"/>
      <w:lvlJc w:val="left"/>
      <w:rPr>
        <w:rFonts w:hint="eastAsia"/>
      </w:rPr>
    </w:lvl>
  </w:abstractNum>
  <w:abstractNum w:abstractNumId="2" w15:restartNumberingAfterBreak="0">
    <w:nsid w:val="F3960F3A"/>
    <w:multiLevelType w:val="singleLevel"/>
    <w:tmpl w:val="F3960F3A"/>
    <w:lvl w:ilvl="0">
      <w:start w:val="2"/>
      <w:numFmt w:val="chineseCounting"/>
      <w:suff w:val="nothing"/>
      <w:lvlText w:val="（%1）"/>
      <w:lvlJc w:val="left"/>
      <w:rPr>
        <w:rFonts w:hint="eastAsia"/>
      </w:rPr>
    </w:lvl>
  </w:abstractNum>
  <w:num w:numId="1" w16cid:durableId="111362472">
    <w:abstractNumId w:val="0"/>
  </w:num>
  <w:num w:numId="2" w16cid:durableId="2121489264">
    <w:abstractNumId w:val="2"/>
  </w:num>
  <w:num w:numId="3" w16cid:durableId="1139030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oNotTrackMoves/>
  <w:defaultTabStop w:val="420"/>
  <w:drawingGridHorizontalSpacing w:val="160"/>
  <w:drawingGridVerticalSpacing w:val="435"/>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C0174"/>
    <w:rsid w:val="9BFF62CB"/>
    <w:rsid w:val="9EF2A305"/>
    <w:rsid w:val="BE7E5BD9"/>
    <w:rsid w:val="D79B65DA"/>
    <w:rsid w:val="EEFBAD39"/>
    <w:rsid w:val="F9DB56E0"/>
    <w:rsid w:val="FDF781C3"/>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4829"/>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48D3"/>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36B75"/>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439AF"/>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0A403F"/>
    <w:rsid w:val="03946B2A"/>
    <w:rsid w:val="0E492A8B"/>
    <w:rsid w:val="17FA5899"/>
    <w:rsid w:val="18DF3B90"/>
    <w:rsid w:val="19927F78"/>
    <w:rsid w:val="21AE59D8"/>
    <w:rsid w:val="22FB01A1"/>
    <w:rsid w:val="255E4099"/>
    <w:rsid w:val="286F56EA"/>
    <w:rsid w:val="2BB92149"/>
    <w:rsid w:val="2BC26D9E"/>
    <w:rsid w:val="2D4C26B1"/>
    <w:rsid w:val="2D527252"/>
    <w:rsid w:val="329102D6"/>
    <w:rsid w:val="3A9520B3"/>
    <w:rsid w:val="3D8714FB"/>
    <w:rsid w:val="3DE562B7"/>
    <w:rsid w:val="3E6507EA"/>
    <w:rsid w:val="407D28DD"/>
    <w:rsid w:val="4087208A"/>
    <w:rsid w:val="47550EBA"/>
    <w:rsid w:val="4A8C3685"/>
    <w:rsid w:val="4B600314"/>
    <w:rsid w:val="4CF96C9E"/>
    <w:rsid w:val="50BB3388"/>
    <w:rsid w:val="54E63A41"/>
    <w:rsid w:val="54F413F2"/>
    <w:rsid w:val="584645E3"/>
    <w:rsid w:val="5C9E5FE5"/>
    <w:rsid w:val="63754E3A"/>
    <w:rsid w:val="64D92503"/>
    <w:rsid w:val="6636451A"/>
    <w:rsid w:val="6BE94116"/>
    <w:rsid w:val="6D022FB7"/>
    <w:rsid w:val="6D1055FB"/>
    <w:rsid w:val="6D683FC5"/>
    <w:rsid w:val="7168781F"/>
    <w:rsid w:val="75982A7C"/>
    <w:rsid w:val="76255B97"/>
    <w:rsid w:val="76ED5903"/>
    <w:rsid w:val="78916378"/>
    <w:rsid w:val="793F707A"/>
    <w:rsid w:val="7B683207"/>
    <w:rsid w:val="7BC20073"/>
    <w:rsid w:val="7C631402"/>
    <w:rsid w:val="7DCC0F6E"/>
    <w:rsid w:val="7E1407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CB62E"/>
  <w15:docId w15:val="{3211DA71-CE83-46AD-A878-BBA3FC56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uiPriority="0"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locked/>
    <w:pPr>
      <w:spacing w:before="240" w:after="60"/>
      <w:jc w:val="center"/>
      <w:outlineLvl w:val="0"/>
    </w:pPr>
    <w:rPr>
      <w:rFonts w:ascii="Arial" w:hAnsi="Arial" w:cs="Arial"/>
      <w:b/>
      <w:bCs/>
      <w:szCs w:val="32"/>
    </w:rPr>
  </w:style>
  <w:style w:type="paragraph" w:styleId="a4">
    <w:name w:val="Document Map"/>
    <w:basedOn w:val="a"/>
    <w:link w:val="a5"/>
    <w:uiPriority w:val="99"/>
    <w:qFormat/>
    <w:rPr>
      <w:rFonts w:ascii="宋体"/>
      <w:sz w:val="18"/>
      <w:szCs w:val="18"/>
    </w:rPr>
  </w:style>
  <w:style w:type="paragraph" w:styleId="a6">
    <w:name w:val="Body Text Indent"/>
    <w:basedOn w:val="a"/>
    <w:next w:val="a7"/>
    <w:qFormat/>
    <w:locked/>
    <w:pPr>
      <w:ind w:firstLine="630"/>
    </w:pPr>
    <w:rPr>
      <w:szCs w:val="20"/>
    </w:rPr>
  </w:style>
  <w:style w:type="paragraph" w:styleId="a7">
    <w:name w:val="header"/>
    <w:basedOn w:val="a"/>
    <w:next w:val="a8"/>
    <w:link w:val="a9"/>
    <w:uiPriority w:val="99"/>
    <w:qFormat/>
    <w:pPr>
      <w:pBdr>
        <w:bottom w:val="single" w:sz="6" w:space="1" w:color="auto"/>
      </w:pBdr>
      <w:tabs>
        <w:tab w:val="center" w:pos="4153"/>
        <w:tab w:val="right" w:pos="8306"/>
      </w:tabs>
      <w:snapToGrid w:val="0"/>
      <w:jc w:val="center"/>
    </w:pPr>
    <w:rPr>
      <w:sz w:val="18"/>
      <w:szCs w:val="18"/>
    </w:rPr>
  </w:style>
  <w:style w:type="paragraph" w:styleId="a8">
    <w:name w:val="footer"/>
    <w:basedOn w:val="a"/>
    <w:next w:val="a"/>
    <w:link w:val="aa"/>
    <w:uiPriority w:val="99"/>
    <w:qFormat/>
    <w:pPr>
      <w:tabs>
        <w:tab w:val="center" w:pos="4153"/>
        <w:tab w:val="right" w:pos="8306"/>
      </w:tabs>
      <w:snapToGrid w:val="0"/>
      <w:jc w:val="left"/>
    </w:pPr>
    <w:rPr>
      <w:sz w:val="18"/>
      <w:szCs w:val="18"/>
    </w:rPr>
  </w:style>
  <w:style w:type="paragraph" w:styleId="ab">
    <w:name w:val="Balloon Text"/>
    <w:basedOn w:val="a"/>
    <w:link w:val="ac"/>
    <w:uiPriority w:val="99"/>
    <w:semiHidden/>
    <w:qFormat/>
    <w:rPr>
      <w:sz w:val="18"/>
      <w:szCs w:val="18"/>
    </w:rPr>
  </w:style>
  <w:style w:type="paragraph" w:styleId="2">
    <w:name w:val="Body Text First Indent 2"/>
    <w:basedOn w:val="a"/>
    <w:next w:val="a"/>
    <w:qFormat/>
    <w:locked/>
    <w:pPr>
      <w:ind w:firstLine="420"/>
    </w:pPr>
  </w:style>
  <w:style w:type="table" w:styleId="ad">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uiPriority w:val="99"/>
    <w:qFormat/>
    <w:rPr>
      <w:rFonts w:cs="Times New Roman"/>
    </w:rPr>
  </w:style>
  <w:style w:type="character" w:customStyle="1" w:styleId="a5">
    <w:name w:val="文档结构图 字符"/>
    <w:link w:val="a4"/>
    <w:uiPriority w:val="99"/>
    <w:qFormat/>
    <w:locked/>
    <w:rPr>
      <w:rFonts w:ascii="宋体" w:cs="Times New Roman"/>
      <w:kern w:val="2"/>
      <w:sz w:val="18"/>
      <w:szCs w:val="18"/>
    </w:rPr>
  </w:style>
  <w:style w:type="character" w:customStyle="1" w:styleId="ac">
    <w:name w:val="批注框文本 字符"/>
    <w:link w:val="ab"/>
    <w:uiPriority w:val="99"/>
    <w:semiHidden/>
    <w:qFormat/>
    <w:locked/>
    <w:rPr>
      <w:rFonts w:cs="Times New Roman"/>
      <w:sz w:val="2"/>
    </w:rPr>
  </w:style>
  <w:style w:type="character" w:customStyle="1" w:styleId="aa">
    <w:name w:val="页脚 字符"/>
    <w:link w:val="a8"/>
    <w:uiPriority w:val="99"/>
    <w:qFormat/>
    <w:locked/>
    <w:rPr>
      <w:rFonts w:cs="Times New Roman"/>
      <w:kern w:val="2"/>
      <w:sz w:val="18"/>
      <w:szCs w:val="18"/>
    </w:rPr>
  </w:style>
  <w:style w:type="character" w:customStyle="1" w:styleId="a9">
    <w:name w:val="页眉 字符"/>
    <w:link w:val="a7"/>
    <w:uiPriority w:val="99"/>
    <w:semiHidden/>
    <w:qFormat/>
    <w:locked/>
    <w:rPr>
      <w:rFonts w:cs="Times New Roman"/>
      <w:sz w:val="18"/>
      <w:szCs w:val="18"/>
    </w:rPr>
  </w:style>
  <w:style w:type="paragraph" w:customStyle="1" w:styleId="af">
    <w:name w:val="四号正文"/>
    <w:basedOn w:val="a"/>
    <w:link w:val="Char"/>
    <w:uiPriority w:val="99"/>
    <w:qFormat/>
    <w:pPr>
      <w:spacing w:line="360" w:lineRule="auto"/>
    </w:pPr>
    <w:rPr>
      <w:rFonts w:ascii="??" w:hAnsi="??" w:cs="宋体"/>
      <w:color w:val="000000"/>
      <w:kern w:val="0"/>
      <w:sz w:val="28"/>
      <w:szCs w:val="21"/>
    </w:rPr>
  </w:style>
  <w:style w:type="character" w:customStyle="1" w:styleId="Char">
    <w:name w:val="四号正文 Char"/>
    <w:link w:val="af"/>
    <w:uiPriority w:val="99"/>
    <w:qFormat/>
    <w:locked/>
    <w:rPr>
      <w:rFonts w:ascii="??" w:eastAsia="宋体" w:hAnsi="??" w:cs="宋体"/>
      <w:color w:val="000000"/>
      <w:sz w:val="21"/>
      <w:szCs w:val="21"/>
      <w:lang w:val="en-US" w:eastAsia="zh-CN" w:bidi="ar-SA"/>
    </w:rPr>
  </w:style>
  <w:style w:type="paragraph" w:customStyle="1" w:styleId="af0">
    <w:name w:val="a"/>
    <w:basedOn w:val="a"/>
    <w:uiPriority w:val="99"/>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599</Words>
  <Characters>3416</Characters>
  <Application>Microsoft Office Word</Application>
  <DocSecurity>0</DocSecurity>
  <Lines>28</Lines>
  <Paragraphs>8</Paragraphs>
  <ScaleCrop>false</ScaleCrop>
  <Company>PSZX</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区域性就业培训基地建设项目</dc:title>
  <dc:creator>陈萍</dc:creator>
  <cp:lastModifiedBy>zhong xue</cp:lastModifiedBy>
  <cp:revision>15</cp:revision>
  <cp:lastPrinted>2022-03-15T18:17:00Z</cp:lastPrinted>
  <dcterms:created xsi:type="dcterms:W3CDTF">2020-05-29T01:28:00Z</dcterms:created>
  <dcterms:modified xsi:type="dcterms:W3CDTF">2025-04-14T16:21:00Z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115649D1B0994C33AAE42CA9F0CF27BA</vt:lpwstr>
  </property>
</Properties>
</file>