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8442"/>
      <w:bookmarkStart w:id="2" w:name="_Toc15396598"/>
      <w:bookmarkStart w:id="3" w:name="_Toc15377194"/>
      <w:bookmarkStart w:id="4" w:name="_Toc15396476"/>
      <w:bookmarkStart w:id="5" w:name="_Toc15377426"/>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乐山市金口河区工商业联合会部门决算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5"/>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第一部分 部门概况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部门</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5"/>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年度部门决算情况说明</w:t>
      </w:r>
      <w:r>
        <w:rPr>
          <w:b/>
          <w:bCs/>
          <w:sz w:val="28"/>
          <w:szCs w:val="28"/>
        </w:rPr>
        <w:tab/>
      </w:r>
      <w:r>
        <w:rPr>
          <w:rFonts w:hint="eastAsia"/>
          <w:b/>
          <w:bCs/>
          <w:sz w:val="28"/>
          <w:szCs w:val="28"/>
          <w:lang w:val="en-US" w:eastAsia="zh-CN"/>
        </w:rPr>
        <w:t>6</w:t>
      </w:r>
      <w:r>
        <w:rPr>
          <w:b/>
          <w:bCs/>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fldChar w:fldCharType="end"/>
      </w:r>
      <w:bookmarkStart w:id="107" w:name="_GoBack"/>
      <w:bookmarkEnd w:id="107"/>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8</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10</w:t>
      </w:r>
    </w:p>
    <w:p>
      <w:pPr>
        <w:pStyle w:val="36"/>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fldChar w:fldCharType="end"/>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6"/>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5"/>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4</w:t>
      </w:r>
    </w:p>
    <w:p>
      <w:pPr>
        <w:pStyle w:val="35"/>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7</w:t>
      </w:r>
    </w:p>
    <w:p>
      <w:pPr>
        <w:pStyle w:val="35"/>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24</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4</w:t>
      </w:r>
    </w:p>
    <w:p>
      <w:pPr>
        <w:pStyle w:val="36"/>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24</w:t>
      </w:r>
    </w:p>
    <w:p>
      <w:pPr>
        <w:pStyle w:val="36"/>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24</w:t>
      </w:r>
    </w:p>
    <w:bookmarkEnd w:id="7"/>
    <w:p>
      <w:pPr>
        <w:pStyle w:val="36"/>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77196"/>
      <w:bookmarkStart w:id="16" w:name="_Toc15396599"/>
      <w:r>
        <w:rPr>
          <w:rFonts w:hint="eastAsia" w:ascii="仿宋" w:hAnsi="仿宋" w:eastAsia="仿宋" w:cs="仿宋"/>
          <w:sz w:val="32"/>
          <w:szCs w:val="32"/>
        </w:rPr>
        <w:br w:type="page"/>
      </w:r>
    </w:p>
    <w:p>
      <w:pPr>
        <w:pStyle w:val="3"/>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部门概况</w:t>
      </w:r>
      <w:bookmarkEnd w:id="15"/>
      <w:bookmarkEnd w:id="16"/>
      <w:bookmarkEnd w:id="17"/>
    </w:p>
    <w:p>
      <w:pPr>
        <w:pStyle w:val="4"/>
        <w:jc w:val="left"/>
        <w:rPr>
          <w:rFonts w:ascii="黑体" w:hAnsi="黑体" w:eastAsia="黑体" w:cs="黑体"/>
          <w:b w:val="0"/>
          <w:bCs w:val="0"/>
        </w:rPr>
      </w:pPr>
      <w:bookmarkStart w:id="18" w:name="_Toc15377197"/>
      <w:bookmarkStart w:id="19" w:name="_Toc15396600"/>
      <w:bookmarkStart w:id="20" w:name="_Toc4287_WPSOffice_Level2"/>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部门职责</w:t>
      </w:r>
    </w:p>
    <w:p>
      <w:pPr>
        <w:ind w:firstLine="640" w:firstLineChars="200"/>
        <w:rPr>
          <w:rFonts w:hint="eastAsia" w:ascii="仿宋" w:hAnsi="仿宋" w:eastAsia="仿宋" w:cs="仿宋"/>
          <w:kern w:val="2"/>
          <w:sz w:val="32"/>
          <w:szCs w:val="32"/>
          <w:lang w:val="en-US" w:eastAsia="zh-CN" w:bidi="ar-SA"/>
        </w:rPr>
      </w:pPr>
      <w:bookmarkStart w:id="21" w:name="_Toc20400_WPSOffice_Level2"/>
      <w:bookmarkStart w:id="22" w:name="_Toc15377200"/>
      <w:bookmarkStart w:id="23" w:name="_Toc15396601"/>
      <w:r>
        <w:rPr>
          <w:rFonts w:hint="eastAsia" w:ascii="仿宋" w:hAnsi="仿宋" w:eastAsia="仿宋" w:cs="仿宋"/>
          <w:kern w:val="2"/>
          <w:sz w:val="32"/>
          <w:szCs w:val="32"/>
          <w:lang w:val="en-US" w:eastAsia="zh-CN" w:bidi="ar-SA"/>
        </w:rPr>
        <w:t>一是参与国家大政方针及政治、经济、社会生活中的重要问题的政治协商，参政议政，民主监督。二是引导会员积极参加国家经济建设，推动社会主义市场经济体制逐步完善，促进社会全面进步。三是做工商界代表人士政治安排的推荐工作。四是在非公有制经济人士中，宣传、贯彻党和国家的方针政策，加强思想政治工作，推动企业文化建设，引导会员做中国特色社会主义事业的建设者。五是代表并维护会员的合法权益，反映会员的意见、要求和建议。六是引导会员积极参与“光彩事业”。七是为会员提供信息和科技、管理、法律、会计、审计、融资、咨询等服务。八是开展工商专业培训，帮助会员改进经营管理，完善财会管理，提高生产技术和产品质量。九是组织会员举办和参加各种对内对外展销会、交易会，组织会员出国、出境考察访问，帮助会员开拓国内、国际市场。十是增进与香港特别行政区、澳门特别行政区及台湾地区和世界各国工商社团及工商经济界人士的联系和友谊，促进经济、技术和贸易合作。十一是办好会办企业、事业。十二是承办政府和有关部门的委托事项。</w:t>
      </w:r>
    </w:p>
    <w:p>
      <w:pPr>
        <w:pStyle w:val="4"/>
        <w:jc w:val="left"/>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乐山市金口河区工商业联合会</w:t>
      </w:r>
      <w:r>
        <w:rPr>
          <w:rFonts w:hint="eastAsia" w:ascii="仿宋" w:hAnsi="仿宋" w:eastAsia="仿宋" w:cs="仿宋"/>
          <w:kern w:val="2"/>
          <w:sz w:val="32"/>
          <w:szCs w:val="32"/>
          <w:lang w:val="en-US" w:eastAsia="zh-CN" w:bidi="ar-SA"/>
        </w:rPr>
        <w:t>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乐山市金口河区工商业联合会下属</w:t>
      </w:r>
      <w:r>
        <w:rPr>
          <w:rFonts w:hint="eastAsia" w:ascii="仿宋" w:hAnsi="仿宋" w:eastAsia="仿宋" w:cs="仿宋"/>
          <w:sz w:val="32"/>
          <w:szCs w:val="32"/>
        </w:rPr>
        <w:t>二级</w:t>
      </w:r>
      <w:r>
        <w:rPr>
          <w:rFonts w:hint="eastAsia" w:ascii="仿宋" w:hAnsi="仿宋" w:eastAsia="仿宋" w:cs="仿宋"/>
          <w:sz w:val="32"/>
          <w:szCs w:val="32"/>
          <w:lang w:val="en-US" w:eastAsia="zh-CN"/>
        </w:rPr>
        <w:t>预算</w:t>
      </w:r>
      <w:r>
        <w:rPr>
          <w:rFonts w:hint="eastAsia" w:ascii="仿宋" w:hAnsi="仿宋" w:eastAsia="仿宋" w:cs="仿宋"/>
          <w:sz w:val="32"/>
          <w:szCs w:val="32"/>
        </w:rPr>
        <w:t>单位0个，其中行政单位0个，参照公务员法管理的事业单位0个，其他事业单位0个。</w:t>
      </w:r>
    </w:p>
    <w:p>
      <w:pPr>
        <w:jc w:val="center"/>
        <w:outlineLvl w:val="0"/>
        <w:rPr>
          <w:rFonts w:hint="eastAsia"/>
          <w:b/>
          <w:bCs/>
          <w:kern w:val="44"/>
          <w:sz w:val="44"/>
          <w:szCs w:val="44"/>
        </w:rPr>
      </w:pPr>
      <w:bookmarkStart w:id="24" w:name="_Toc15396602"/>
      <w:bookmarkStart w:id="25" w:name="_Toc15377204"/>
      <w:bookmarkStart w:id="26" w:name="_Toc4287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pStyle w:val="2"/>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rPr>
          <w:rFonts w:hint="eastAsia"/>
        </w:rPr>
      </w:pPr>
    </w:p>
    <w:p>
      <w:pPr>
        <w:rPr>
          <w:rFonts w:hint="eastAsia"/>
          <w:b/>
          <w:bCs/>
          <w:kern w:val="44"/>
          <w:sz w:val="44"/>
          <w:szCs w:val="44"/>
        </w:rPr>
      </w:pPr>
    </w:p>
    <w:p>
      <w:pPr>
        <w:pStyle w:val="2"/>
        <w:rPr>
          <w:rFonts w:hint="eastAsia"/>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年度部门决算情况说明</w:t>
      </w:r>
      <w:bookmarkEnd w:id="24"/>
      <w:bookmarkEnd w:id="25"/>
      <w:bookmarkEnd w:id="26"/>
    </w:p>
    <w:p>
      <w:pPr>
        <w:jc w:val="center"/>
        <w:outlineLvl w:val="0"/>
        <w:rPr>
          <w:rFonts w:hint="eastAsia"/>
          <w:b/>
          <w:bCs/>
          <w:kern w:val="44"/>
          <w:sz w:val="44"/>
          <w:szCs w:val="44"/>
        </w:rPr>
      </w:pPr>
    </w:p>
    <w:p>
      <w:pPr>
        <w:pStyle w:val="4"/>
        <w:rPr>
          <w:rFonts w:ascii="黑体" w:hAnsi="黑体" w:eastAsia="黑体" w:cs="黑体"/>
          <w:b w:val="0"/>
          <w:bCs w:val="0"/>
        </w:rPr>
      </w:pPr>
      <w:bookmarkStart w:id="27" w:name="_Toc15396603"/>
      <w:bookmarkStart w:id="28" w:name="_Toc15377205"/>
      <w:bookmarkStart w:id="29" w:name="_Toc2946_WPSOffice_Level2"/>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150.58</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减少48.05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下降31.9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5pt;width:193.95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4"/>
        <w:rPr>
          <w:rFonts w:ascii="黑体" w:hAnsi="黑体" w:eastAsia="黑体" w:cs="黑体"/>
          <w:b w:val="0"/>
          <w:bCs w:val="0"/>
        </w:rPr>
      </w:pPr>
      <w:bookmarkStart w:id="30" w:name="_Toc4876_WPSOffice_Level2"/>
      <w:bookmarkStart w:id="31" w:name="_Toc15377206"/>
      <w:bookmarkStart w:id="32" w:name="_Toc15396604"/>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3pt;width:270.1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102.51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102.51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rPr>
          <w:rFonts w:ascii="黑体" w:hAnsi="黑体" w:eastAsia="黑体" w:cs="黑体"/>
          <w:b w:val="0"/>
          <w:bCs w:val="0"/>
        </w:rPr>
      </w:pPr>
      <w:bookmarkStart w:id="33" w:name="_Toc7319_WPSOffice_Level2"/>
      <w:bookmarkStart w:id="34" w:name="_Toc15377207"/>
      <w:bookmarkStart w:id="35" w:name="_Toc15396605"/>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6pt;width:234.3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96.92</w:t>
      </w:r>
      <w:r>
        <w:rPr>
          <w:rFonts w:hint="eastAsia" w:ascii="仿宋" w:hAnsi="仿宋" w:eastAsia="仿宋" w:cs="仿宋"/>
          <w:sz w:val="32"/>
          <w:szCs w:val="32"/>
        </w:rPr>
        <w:t>万元，占</w:t>
      </w:r>
      <w:r>
        <w:rPr>
          <w:rFonts w:hint="eastAsia" w:ascii="仿宋" w:hAnsi="仿宋" w:eastAsia="仿宋" w:cs="仿宋"/>
          <w:sz w:val="32"/>
          <w:szCs w:val="32"/>
          <w:lang w:val="en-US" w:eastAsia="zh-CN"/>
        </w:rPr>
        <w:t>94.5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5.61</w:t>
      </w:r>
      <w:r>
        <w:rPr>
          <w:rFonts w:hint="eastAsia" w:ascii="仿宋" w:hAnsi="仿宋" w:eastAsia="仿宋" w:cs="仿宋"/>
          <w:sz w:val="32"/>
          <w:szCs w:val="32"/>
        </w:rPr>
        <w:t>万元，占</w:t>
      </w:r>
      <w:r>
        <w:rPr>
          <w:rFonts w:hint="eastAsia" w:ascii="仿宋" w:hAnsi="仿宋" w:eastAsia="仿宋" w:cs="仿宋"/>
          <w:sz w:val="32"/>
          <w:szCs w:val="32"/>
          <w:lang w:val="en-US" w:eastAsia="zh-CN"/>
        </w:rPr>
        <w:t>5.5</w:t>
      </w:r>
      <w:r>
        <w:rPr>
          <w:rFonts w:hint="eastAsia" w:ascii="仿宋" w:hAnsi="仿宋" w:eastAsia="仿宋" w:cs="仿宋"/>
          <w:sz w:val="32"/>
          <w:szCs w:val="32"/>
        </w:rPr>
        <w:t>%；上缴上级支出0万元，占0%；经营支出0万元，占0%；对附属单位补助支出0万元，占0%。</w:t>
      </w:r>
    </w:p>
    <w:p>
      <w:pPr>
        <w:pStyle w:val="4"/>
        <w:numPr>
          <w:ilvl w:val="0"/>
          <w:numId w:val="1"/>
        </w:numPr>
        <w:rPr>
          <w:rFonts w:ascii="黑体" w:hAnsi="黑体" w:eastAsia="黑体" w:cs="黑体"/>
          <w:b w:val="0"/>
          <w:bCs w:val="0"/>
        </w:rPr>
      </w:pPr>
      <w:bookmarkStart w:id="36" w:name="_Toc27630_WPSOffice_Level2"/>
      <w:bookmarkStart w:id="37" w:name="_Toc15396606"/>
      <w:bookmarkStart w:id="38" w:name="_Toc15377208"/>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45pt;width:222.4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万元相比，财政拨款收、支总计</w:t>
      </w:r>
      <w:r>
        <w:rPr>
          <w:rFonts w:hint="eastAsia" w:ascii="仿宋" w:hAnsi="仿宋" w:eastAsia="仿宋" w:cs="仿宋"/>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pStyle w:val="4"/>
        <w:rPr>
          <w:rFonts w:ascii="黑体" w:hAnsi="黑体" w:eastAsia="黑体" w:cs="黑体"/>
          <w:b w:val="0"/>
          <w:bCs w:val="0"/>
        </w:rPr>
      </w:pPr>
      <w:bookmarkStart w:id="39" w:name="_Toc5302_WPSOffice_Level2"/>
      <w:bookmarkStart w:id="40" w:name="_Toc15396607"/>
      <w:bookmarkStart w:id="41" w:name="_Toc15377209"/>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%。主要变动原因</w:t>
      </w:r>
      <w:bookmarkStart w:id="43" w:name="_Toc15377211"/>
      <w:r>
        <w:rPr>
          <w:rFonts w:hint="eastAsia" w:ascii="仿宋_GB2312" w:eastAsia="仿宋_GB2312" w:cs="宋体"/>
          <w:color w:val="000000"/>
          <w:kern w:val="0"/>
          <w:sz w:val="32"/>
          <w:szCs w:val="32"/>
        </w:rPr>
        <w:t>是</w:t>
      </w:r>
      <w:r>
        <w:rPr>
          <w:rFonts w:hint="eastAsia" w:ascii="仿宋_GB2312" w:eastAsia="仿宋_GB2312" w:cs="宋体"/>
          <w:color w:val="000000"/>
          <w:kern w:val="0"/>
          <w:sz w:val="32"/>
          <w:szCs w:val="32"/>
          <w:lang w:eastAsia="zh-CN"/>
        </w:rPr>
        <w:t>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45pt;width:369.1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73.83</w:t>
      </w:r>
      <w:r>
        <w:rPr>
          <w:rFonts w:hint="eastAsia" w:ascii="仿宋" w:hAnsi="仿宋" w:eastAsia="仿宋" w:cs="仿宋"/>
          <w:sz w:val="32"/>
          <w:szCs w:val="32"/>
        </w:rPr>
        <w:t>万元，占</w:t>
      </w:r>
      <w:r>
        <w:rPr>
          <w:rFonts w:hint="eastAsia" w:ascii="仿宋" w:hAnsi="仿宋" w:eastAsia="仿宋" w:cs="仿宋"/>
          <w:sz w:val="32"/>
          <w:szCs w:val="32"/>
          <w:lang w:val="en-US" w:eastAsia="zh-CN"/>
        </w:rPr>
        <w:t>72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19.23</w:t>
      </w:r>
      <w:r>
        <w:rPr>
          <w:rFonts w:hint="eastAsia" w:ascii="仿宋" w:hAnsi="仿宋" w:eastAsia="仿宋" w:cs="仿宋"/>
          <w:sz w:val="32"/>
          <w:szCs w:val="32"/>
        </w:rPr>
        <w:t>万元，占</w:t>
      </w:r>
      <w:r>
        <w:rPr>
          <w:rFonts w:hint="eastAsia" w:ascii="仿宋" w:hAnsi="仿宋" w:eastAsia="仿宋" w:cs="仿宋"/>
          <w:sz w:val="32"/>
          <w:szCs w:val="32"/>
          <w:lang w:val="en-US" w:eastAsia="zh-CN"/>
        </w:rPr>
        <w:t>18.8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2.67</w:t>
      </w:r>
      <w:r>
        <w:rPr>
          <w:rFonts w:hint="eastAsia" w:ascii="仿宋" w:hAnsi="仿宋" w:eastAsia="仿宋" w:cs="仿宋"/>
          <w:sz w:val="32"/>
          <w:szCs w:val="32"/>
        </w:rPr>
        <w:t>万元，占</w:t>
      </w:r>
      <w:r>
        <w:rPr>
          <w:rFonts w:hint="eastAsia" w:ascii="仿宋" w:hAnsi="仿宋" w:eastAsia="仿宋" w:cs="仿宋"/>
          <w:sz w:val="32"/>
          <w:szCs w:val="32"/>
          <w:lang w:val="en-US" w:eastAsia="zh-CN"/>
        </w:rPr>
        <w:t>2.6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6.8</w:t>
      </w:r>
      <w:r>
        <w:rPr>
          <w:rFonts w:hint="eastAsia" w:ascii="仿宋" w:hAnsi="仿宋" w:eastAsia="仿宋" w:cs="仿宋"/>
          <w:sz w:val="32"/>
          <w:szCs w:val="32"/>
        </w:rPr>
        <w:t>万元，占</w:t>
      </w:r>
      <w:r>
        <w:rPr>
          <w:rFonts w:hint="eastAsia" w:ascii="仿宋" w:hAnsi="仿宋" w:eastAsia="仿宋" w:cs="仿宋"/>
          <w:sz w:val="32"/>
          <w:szCs w:val="32"/>
          <w:lang w:val="en-US" w:eastAsia="zh-CN"/>
        </w:rPr>
        <w:t>6.6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5" w:name="_Toc15377444"/>
      <w:bookmarkStart w:id="46" w:name="_Toc15378460"/>
      <w:bookmarkStart w:id="47" w:name="_Toc15377213"/>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102.53</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5"/>
      <w:bookmarkEnd w:id="46"/>
      <w:bookmarkEnd w:id="4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8" w:name="_Toc15396608"/>
      <w:bookmarkStart w:id="49" w:name="_Toc1516_WPSOffice_Level2"/>
      <w:bookmarkStart w:id="50" w:name="_Toc15377214"/>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70.82</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参政议政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3.01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8.23</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6.52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0.7</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1.1</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2.68</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2.25</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0.42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6.8</w:t>
      </w:r>
      <w:r>
        <w:rPr>
          <w:rFonts w:hint="eastAsia" w:ascii="仿宋" w:hAnsi="仿宋" w:eastAsia="仿宋" w:cs="仿宋"/>
          <w:sz w:val="32"/>
          <w:szCs w:val="32"/>
        </w:rPr>
        <w:t>万元，完成预算100%。</w:t>
      </w:r>
    </w:p>
    <w:p>
      <w:pPr>
        <w:pStyle w:val="4"/>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96.91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51" w:name="_Toc15377215"/>
      <w:bookmarkStart w:id="52" w:name="_Toc8143_WPSOffice_Level2"/>
      <w:bookmarkStart w:id="53" w:name="_Toc15396609"/>
      <w:r>
        <w:rPr>
          <w:rFonts w:hint="eastAsia" w:ascii="仿宋" w:hAnsi="仿宋" w:eastAsia="仿宋" w:cs="仿宋"/>
          <w:sz w:val="32"/>
          <w:szCs w:val="32"/>
        </w:rPr>
        <w:t>人员经费</w:t>
      </w:r>
      <w:r>
        <w:rPr>
          <w:rFonts w:hint="eastAsia" w:ascii="仿宋" w:hAnsi="仿宋" w:eastAsia="仿宋" w:cs="仿宋"/>
          <w:sz w:val="32"/>
          <w:szCs w:val="32"/>
          <w:lang w:val="en-US" w:eastAsia="zh-CN"/>
        </w:rPr>
        <w:t>86.89</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、其他个人和家庭的补助支出</w:t>
      </w:r>
      <w:r>
        <w:rPr>
          <w:rFonts w:hint="eastAsia" w:ascii="仿宋" w:hAnsi="仿宋" w:eastAsia="仿宋" w:cs="仿宋"/>
          <w:sz w:val="32"/>
          <w:szCs w:val="32"/>
        </w:rPr>
        <w:t>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10.02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会议费、公务接待费、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、其他商品和服务支出</w:t>
      </w:r>
      <w:r>
        <w:rPr>
          <w:rFonts w:hint="eastAsia" w:ascii="仿宋" w:hAnsi="仿宋" w:eastAsia="仿宋" w:cs="仿宋"/>
          <w:sz w:val="32"/>
          <w:szCs w:val="32"/>
        </w:rPr>
        <w:t>等。</w:t>
      </w:r>
    </w:p>
    <w:p>
      <w:pPr>
        <w:pStyle w:val="4"/>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4" w:name="_Toc15377217"/>
      <w:bookmarkStart w:id="55" w:name="_Toc14598_WPSOffice_Level2"/>
      <w:bookmarkStart w:id="56" w:name="_Toc15396610"/>
      <w:bookmarkStart w:id="57" w:name="_Toc15377218"/>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2024年度“三公经费财政拨款支出决算为0.51万元，完成预算100%，较上年0.48万元增加0.03万元，增长6.3%。主要原因是公务接待人次增多。</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05pt;width:311.7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0.48增加0.03</w:t>
      </w:r>
      <w:r>
        <w:rPr>
          <w:rFonts w:hint="eastAsia" w:ascii="仿宋" w:hAnsi="仿宋" w:eastAsia="仿宋" w:cs="仿宋"/>
          <w:sz w:val="32"/>
          <w:szCs w:val="32"/>
        </w:rPr>
        <w:t>万元</w:t>
      </w:r>
      <w:r>
        <w:rPr>
          <w:rFonts w:hint="eastAsia" w:ascii="仿宋" w:hAnsi="仿宋" w:eastAsia="仿宋" w:cs="仿宋"/>
          <w:b w:val="0"/>
          <w:bCs w:val="0"/>
          <w:sz w:val="32"/>
          <w:szCs w:val="32"/>
          <w:lang w:val="en-US" w:eastAsia="zh-CN"/>
        </w:rPr>
        <w:t>，增长6.3%</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主要原因是公务接待人次增多。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65</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4"/>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4"/>
        <w:rPr>
          <w:rFonts w:ascii="黑体" w:hAnsi="黑体" w:eastAsia="黑体" w:cs="黑体"/>
          <w:b w:val="0"/>
          <w:bCs w:val="0"/>
        </w:rPr>
      </w:pPr>
      <w:bookmarkStart w:id="58" w:name="_Toc15377219"/>
      <w:bookmarkStart w:id="59" w:name="_Toc15396611"/>
      <w:bookmarkStart w:id="60" w:name="_Toc27246_WPSOffice_Level2"/>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4"/>
        <w:rPr>
          <w:rFonts w:ascii="黑体" w:hAnsi="黑体" w:eastAsia="黑体" w:cs="黑体"/>
          <w:b w:val="0"/>
          <w:bCs w:val="0"/>
        </w:rPr>
      </w:pPr>
      <w:bookmarkStart w:id="61" w:name="_Toc15396612"/>
      <w:bookmarkStart w:id="62" w:name="_Toc15377221"/>
      <w:bookmarkStart w:id="63" w:name="_Toc2558_WPSOffice_Level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10.02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14.35</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减少4.33万元，下降30.174%。主要原因是人员减少。</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预算编制阶段，组织对考察调研非公企业经费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度一般公共预算、政府性基金预算、国有资本经营预算、社会保险基金预算以及资本资产、债券资金等全面开展绩效自评，形成乐山市金口河区工商业联合会</w:t>
      </w:r>
      <w:r>
        <w:rPr>
          <w:rFonts w:hint="eastAsia" w:ascii="仿宋" w:hAnsi="仿宋" w:eastAsia="仿宋" w:cs="仿宋"/>
          <w:sz w:val="32"/>
          <w:szCs w:val="32"/>
        </w:rPr>
        <w:t>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区关工委工作经费专项预算项目绩效自评报告。其中，乐山市金口河区工商业联合会部门整体（含部门预算项目）绩效自评得分为100分，绩效自评综述：</w:t>
      </w:r>
      <w:r>
        <w:rPr>
          <w:rFonts w:hint="eastAsia" w:ascii="仿宋_GB2312" w:hAnsi="仿宋" w:eastAsia="仿宋_GB2312" w:cs="Times New Roman"/>
          <w:sz w:val="32"/>
          <w:szCs w:val="32"/>
        </w:rPr>
        <w:t>加强</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政治引领，凝聚发展共识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服务</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中心大局，促进“两个健康”。夯实</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党建基础，提升工商联基层组织建设水平。强化</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责任落实，提升工作质效。</w:t>
      </w:r>
      <w:r>
        <w:rPr>
          <w:rFonts w:hint="eastAsia" w:ascii="仿宋" w:hAnsi="仿宋" w:eastAsia="仿宋" w:cs="仿宋"/>
          <w:sz w:val="32"/>
          <w:szCs w:val="32"/>
        </w:rPr>
        <w:t>考察调研非公企业经费</w:t>
      </w:r>
      <w:r>
        <w:rPr>
          <w:rFonts w:hint="eastAsia" w:ascii="仿宋" w:hAnsi="仿宋" w:eastAsia="仿宋" w:cs="仿宋"/>
          <w:sz w:val="32"/>
          <w:szCs w:val="32"/>
          <w:lang w:val="en-US" w:eastAsia="zh-CN"/>
        </w:rPr>
        <w:t>专项预算项目绩效自评得分为分100分，绩效自评综述：</w:t>
      </w:r>
      <w:r>
        <w:rPr>
          <w:rFonts w:hint="eastAsia" w:ascii="仿宋_GB2312" w:hAnsi="仿宋" w:eastAsia="仿宋_GB2312"/>
          <w:sz w:val="32"/>
          <w:szCs w:val="32"/>
          <w:lang w:val="en-US" w:eastAsia="zh-CN"/>
        </w:rPr>
        <w:t>积极搭建平台，促进了</w:t>
      </w:r>
      <w:r>
        <w:rPr>
          <w:rFonts w:hint="eastAsia" w:ascii="仿宋_GB2312" w:eastAsia="仿宋_GB2312" w:cs="宋体"/>
          <w:color w:val="000000"/>
          <w:kern w:val="0"/>
          <w:sz w:val="32"/>
          <w:szCs w:val="32"/>
          <w:lang w:eastAsia="zh-CN"/>
        </w:rPr>
        <w:t>政企沟通活动，</w:t>
      </w:r>
      <w:r>
        <w:rPr>
          <w:rFonts w:hint="eastAsia" w:ascii="仿宋_GB2312" w:eastAsia="仿宋_GB2312" w:cs="宋体"/>
          <w:color w:val="000000"/>
          <w:kern w:val="0"/>
          <w:sz w:val="32"/>
          <w:szCs w:val="32"/>
          <w:lang w:val="en-US" w:eastAsia="zh-CN"/>
        </w:rPr>
        <w:t>有效</w:t>
      </w:r>
      <w:r>
        <w:rPr>
          <w:rFonts w:hint="eastAsia" w:ascii="仿宋_GB2312" w:eastAsia="仿宋_GB2312" w:cs="宋体"/>
          <w:color w:val="000000"/>
          <w:kern w:val="0"/>
          <w:sz w:val="32"/>
          <w:szCs w:val="32"/>
          <w:lang w:eastAsia="zh-CN"/>
        </w:rPr>
        <w:t>收集、解决</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企业面临的困难和问题</w:t>
      </w:r>
      <w:r>
        <w:rPr>
          <w:rFonts w:hint="eastAsia" w:ascii="仿宋_GB2312" w:hAnsi="仿宋_GB2312" w:eastAsia="仿宋_GB2312" w:cs="仿宋_GB2312"/>
          <w:bCs/>
          <w:sz w:val="32"/>
          <w:szCs w:val="32"/>
        </w:rPr>
        <w:t>。</w:t>
      </w:r>
      <w:r>
        <w:rPr>
          <w:rFonts w:hint="eastAsia" w:ascii="仿宋" w:hAnsi="仿宋" w:eastAsia="仿宋" w:cs="仿宋"/>
          <w:sz w:val="32"/>
          <w:szCs w:val="32"/>
          <w:lang w:val="en-US" w:eastAsia="zh-CN"/>
        </w:rPr>
        <w:t>绩效自评报告详见附件</w:t>
      </w:r>
      <w:r>
        <w:rPr>
          <w:rFonts w:hint="eastAsia" w:ascii="仿宋" w:hAnsi="仿宋" w:eastAsia="仿宋" w:cs="仿宋"/>
          <w:sz w:val="32"/>
          <w:szCs w:val="32"/>
        </w:rPr>
        <w:t>（第四部分）。</w:t>
      </w:r>
      <w:bookmarkStart w:id="67" w:name="_Toc20400_WPSOffice_Level1"/>
      <w:bookmarkStart w:id="68" w:name="_Toc15396613"/>
      <w:bookmarkStart w:id="69" w:name="_Toc15377225"/>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rPr>
          <w:rFonts w:hint="eastAsia"/>
          <w:b/>
          <w:bCs/>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 一般公共服务支出民主党派及工商联事务行政运行: </w:t>
      </w:r>
      <w:r>
        <w:rPr>
          <w:rFonts w:hint="eastAsia" w:ascii="仿宋" w:hAnsi="仿宋" w:eastAsia="仿宋" w:cs="仿宋"/>
          <w:sz w:val="32"/>
          <w:szCs w:val="32"/>
          <w:lang w:val="en-US" w:eastAsia="zh-CN"/>
        </w:rPr>
        <w:t>指民主党派及工商联行政单位的基本支出。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一般公共服务支出民主党派及工商联事务一般行政管理事务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指民主党派及工商联行政单位未单独设置项级科目的其他项目支出。</w:t>
      </w:r>
    </w:p>
    <w:p>
      <w:pPr>
        <w:ind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w:t>
      </w:r>
      <w:r>
        <w:rPr>
          <w:rFonts w:hint="eastAsia" w:ascii="仿宋" w:hAnsi="仿宋" w:eastAsia="仿宋" w:cs="仿宋"/>
          <w:sz w:val="32"/>
          <w:szCs w:val="32"/>
        </w:rPr>
        <w:t>一般公共服务支出民主党派及工商联事务</w:t>
      </w:r>
      <w:r>
        <w:rPr>
          <w:rFonts w:hint="eastAsia" w:ascii="仿宋" w:hAnsi="仿宋" w:eastAsia="仿宋" w:cs="仿宋"/>
          <w:sz w:val="32"/>
          <w:szCs w:val="32"/>
          <w:lang w:val="en-US" w:eastAsia="zh-CN"/>
        </w:rPr>
        <w:t>参政议政：民主党派为参政议政进行的调研、会议、检查等方面的支出。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rPr>
          <w:rFonts w:ascii="仿宋" w:hAnsi="仿宋" w:eastAsia="仿宋" w:cs="仿宋"/>
          <w:b/>
          <w:bCs/>
          <w:sz w:val="32"/>
          <w:szCs w:val="32"/>
        </w:rPr>
      </w:pPr>
      <w:r>
        <w:rPr>
          <w:rFonts w:hint="eastAsia" w:ascii="仿宋" w:hAnsi="仿宋" w:eastAsia="仿宋" w:cs="仿宋"/>
          <w:b/>
          <w:bCs/>
          <w:sz w:val="32"/>
          <w:szCs w:val="32"/>
        </w:rPr>
        <w:t>附件1</w:t>
      </w:r>
    </w:p>
    <w:p>
      <w:pPr>
        <w:ind w:firstLine="640" w:firstLineChars="200"/>
        <w:rPr>
          <w:rFonts w:ascii="仿宋" w:hAnsi="仿宋" w:eastAsia="仿宋" w:cs="仿宋"/>
          <w:sz w:val="32"/>
          <w:szCs w:val="32"/>
        </w:rPr>
      </w:pPr>
    </w:p>
    <w:p>
      <w:pPr>
        <w:jc w:val="center"/>
        <w:outlineLvl w:val="1"/>
        <w:rPr>
          <w:rFonts w:ascii="黑体" w:hAnsi="黑体" w:eastAsia="黑体" w:cs="黑体"/>
          <w:w w:val="90"/>
          <w:sz w:val="44"/>
          <w:szCs w:val="44"/>
          <w:lang w:val="zh-CN"/>
        </w:rPr>
      </w:pPr>
      <w:bookmarkStart w:id="73" w:name="_Toc5754_WPSOffice_Level2"/>
      <w:r>
        <w:rPr>
          <w:rFonts w:hint="eastAsia" w:ascii="黑体" w:hAnsi="黑体" w:eastAsia="黑体" w:cs="黑体"/>
          <w:w w:val="90"/>
          <w:sz w:val="44"/>
          <w:szCs w:val="44"/>
          <w:lang w:val="zh-CN"/>
        </w:rPr>
        <w:t>部门</w:t>
      </w:r>
      <w:r>
        <w:rPr>
          <w:rFonts w:hint="eastAsia" w:ascii="黑体" w:hAnsi="黑体" w:eastAsia="黑体" w:cs="黑体"/>
          <w:w w:val="90"/>
          <w:sz w:val="44"/>
          <w:szCs w:val="44"/>
          <w:lang w:val="en-US" w:eastAsia="zh-CN"/>
        </w:rPr>
        <w:t>预算</w:t>
      </w:r>
      <w:r>
        <w:rPr>
          <w:rFonts w:hint="eastAsia" w:ascii="黑体" w:hAnsi="黑体" w:eastAsia="黑体" w:cs="黑体"/>
          <w:w w:val="90"/>
          <w:sz w:val="44"/>
          <w:szCs w:val="44"/>
          <w:lang w:val="zh-CN"/>
        </w:rPr>
        <w:t>绩效评价报告</w:t>
      </w:r>
      <w:bookmarkEnd w:id="73"/>
    </w:p>
    <w:p>
      <w:pPr>
        <w:ind w:firstLine="640" w:firstLineChars="200"/>
        <w:rPr>
          <w:rFonts w:ascii="仿宋" w:hAnsi="仿宋" w:eastAsia="仿宋" w:cs="仿宋"/>
          <w:sz w:val="32"/>
          <w:szCs w:val="32"/>
        </w:rPr>
      </w:pPr>
    </w:p>
    <w:p>
      <w:pPr>
        <w:outlineLvl w:val="1"/>
        <w:rPr>
          <w:rFonts w:hint="default" w:ascii="黑体" w:hAnsi="黑体" w:eastAsia="黑体" w:cs="黑体"/>
          <w:sz w:val="32"/>
          <w:szCs w:val="32"/>
          <w:lang w:val="en-US" w:eastAsia="zh-CN"/>
        </w:rPr>
      </w:pPr>
      <w:bookmarkStart w:id="74" w:name="_Toc13497_WPSOffice_Level2"/>
      <w:r>
        <w:rPr>
          <w:rFonts w:hint="eastAsia" w:ascii="黑体" w:hAnsi="黑体" w:eastAsia="黑体" w:cs="黑体"/>
          <w:sz w:val="32"/>
          <w:szCs w:val="32"/>
        </w:rPr>
        <w:t>一、</w:t>
      </w:r>
      <w:r>
        <w:rPr>
          <w:rFonts w:hint="eastAsia" w:ascii="黑体" w:hAnsi="黑体" w:eastAsia="黑体" w:cs="黑体"/>
          <w:sz w:val="32"/>
          <w:szCs w:val="32"/>
          <w:lang w:val="zh-CN"/>
        </w:rPr>
        <w:t>部门</w:t>
      </w:r>
      <w:bookmarkEnd w:id="74"/>
      <w:r>
        <w:rPr>
          <w:rFonts w:hint="eastAsia" w:ascii="黑体" w:hAnsi="黑体" w:eastAsia="黑体" w:cs="黑体"/>
          <w:sz w:val="32"/>
          <w:szCs w:val="32"/>
          <w:lang w:val="zh-CN"/>
        </w:rPr>
        <w:t>（</w:t>
      </w:r>
      <w:r>
        <w:rPr>
          <w:rFonts w:hint="eastAsia" w:ascii="黑体" w:hAnsi="黑体" w:eastAsia="黑体" w:cs="黑体"/>
          <w:sz w:val="32"/>
          <w:szCs w:val="32"/>
          <w:lang w:val="en-US" w:eastAsia="zh-CN"/>
        </w:rPr>
        <w:t>单位）基本情况</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（一）机构组成。</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部门（单位）独立编制（核算）机构1个。</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（二）机构职能。</w:t>
      </w:r>
      <w:r>
        <w:rPr>
          <w:rFonts w:hint="eastAsia" w:ascii="仿宋_GB2312" w:hAnsi="仿宋_GB2312" w:eastAsia="仿宋_GB2312" w:cs="仿宋_GB2312"/>
          <w:sz w:val="32"/>
          <w:szCs w:val="32"/>
        </w:rPr>
        <w:t>一</w:t>
      </w:r>
      <w:r>
        <w:rPr>
          <w:rFonts w:hint="eastAsia" w:ascii="仿宋_GB2312" w:eastAsia="仿宋_GB2312" w:cs="宋体"/>
          <w:color w:val="000000"/>
          <w:kern w:val="0"/>
          <w:sz w:val="32"/>
          <w:szCs w:val="32"/>
          <w:lang w:val="en-US" w:eastAsia="zh-CN"/>
        </w:rPr>
        <w:t>是参与国家大政方针及政治、经济、社会生活中的重要问题的政治协商，参政议政，民主监督。二是引导会员积极参加国家经济建设，推动社会主义市场经济体制逐步完善，促进社会全面进步。三是做工商界代表人士政治安排的推荐工作。四是在非公有制经济人士中，宣传、贯彻党和国家的方针政策，加强思想政治工作，推动企业文化建设，引导会员做中国特色社会主义事业的建设者。五是代表并维护会员的合法权益，反映会员的意见、要求和建议。六是引导会员积极参与“光彩事业”。七是为会员提供信息和科技、管理、法律、会计、审计、融资、咨询等服务。八是开展工商专业培训，帮助会员改进经营管理，完善财会管理，提高生产技术和产品质量。九是组织会员举办和参加各种对内对外展销会、交易会，组织会员出国、出境考察访问，帮助会员开拓国内、国际市场。十是增进与香港特别行政区、澳门特别行政区及台湾地区和世界各国工商社团及工商经济界人士的联系和友谊，促进经济、技术和贸易合作。十一是办好会办企业、事业。十二是承办政府和有关部门的委托事项。</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人员概况。</w:t>
      </w:r>
      <w:r>
        <w:rPr>
          <w:rFonts w:hint="eastAsia" w:ascii="仿宋_GB2312" w:eastAsia="仿宋_GB2312" w:cs="宋体"/>
          <w:color w:val="000000"/>
          <w:kern w:val="0"/>
          <w:sz w:val="32"/>
          <w:szCs w:val="32"/>
          <w:lang w:val="en-US" w:eastAsia="zh-CN"/>
        </w:rPr>
        <w:t>截至2024年末，</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部门（单位）编制3人，实有3人。</w:t>
      </w:r>
    </w:p>
    <w:p>
      <w:pPr>
        <w:ind w:firstLine="640" w:firstLineChars="200"/>
        <w:outlineLvl w:val="1"/>
        <w:rPr>
          <w:rFonts w:hint="eastAsia" w:ascii="黑体" w:hAnsi="黑体" w:eastAsia="黑体" w:cs="黑体"/>
          <w:sz w:val="32"/>
          <w:szCs w:val="32"/>
        </w:rPr>
      </w:pPr>
      <w:bookmarkStart w:id="75" w:name="_Toc4966_WPSOffice_Level2"/>
      <w:r>
        <w:rPr>
          <w:rFonts w:hint="eastAsia" w:ascii="黑体" w:hAnsi="黑体" w:eastAsia="黑体" w:cs="黑体"/>
          <w:sz w:val="32"/>
          <w:szCs w:val="32"/>
        </w:rPr>
        <w:t>二、部门资金收支情况</w:t>
      </w:r>
      <w:bookmarkEnd w:id="75"/>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w:t>
      </w:r>
      <w:r>
        <w:rPr>
          <w:rFonts w:hint="eastAsia" w:ascii="仿宋" w:hAnsi="仿宋" w:eastAsia="仿宋" w:cs="仿宋"/>
          <w:b/>
          <w:bCs/>
          <w:sz w:val="32"/>
          <w:szCs w:val="32"/>
          <w:lang w:val="en-US" w:eastAsia="zh-CN"/>
        </w:rPr>
        <w:t>收入</w:t>
      </w:r>
      <w:r>
        <w:rPr>
          <w:rFonts w:hint="eastAsia" w:ascii="仿宋" w:hAnsi="仿宋" w:eastAsia="仿宋" w:cs="仿宋"/>
          <w:b/>
          <w:bCs/>
          <w:sz w:val="32"/>
          <w:szCs w:val="32"/>
          <w:lang w:val="zh-CN"/>
        </w:rPr>
        <w:t>情况。</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部门（单位）2024年年初预算收入119.63万元，决算报表收入102.53万元（其中：本年收入102.51万元、年初结转和结余0.02万元）。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（二）支出</w:t>
      </w:r>
      <w:r>
        <w:rPr>
          <w:rFonts w:hint="eastAsia" w:ascii="仿宋" w:hAnsi="仿宋" w:eastAsia="仿宋" w:cs="仿宋"/>
          <w:b/>
          <w:bCs/>
          <w:sz w:val="32"/>
          <w:szCs w:val="32"/>
          <w:lang w:val="zh-CN"/>
        </w:rPr>
        <w:t>情况。</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部门（单位）2024年年初预算支出119.63万元，决算报表支出102.53万元。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（三）结余分配和结转结余</w:t>
      </w:r>
      <w:r>
        <w:rPr>
          <w:rFonts w:hint="eastAsia" w:ascii="仿宋" w:hAnsi="仿宋" w:eastAsia="仿宋" w:cs="仿宋"/>
          <w:b/>
          <w:bCs/>
          <w:sz w:val="32"/>
          <w:szCs w:val="32"/>
          <w:lang w:val="zh-CN" w:eastAsia="zh-CN"/>
        </w:rPr>
        <w:t>情况。</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部门（单位）2024年决算报表结转结余0万元。</w:t>
      </w:r>
    </w:p>
    <w:p>
      <w:pPr>
        <w:ind w:firstLine="640" w:firstLineChars="200"/>
        <w:outlineLvl w:val="2"/>
        <w:rPr>
          <w:rFonts w:hint="eastAsia" w:ascii="黑体" w:hAnsi="黑体" w:eastAsia="黑体" w:cs="黑体"/>
          <w:sz w:val="32"/>
          <w:szCs w:val="32"/>
          <w:lang w:val="en-US" w:eastAsia="zh-CN"/>
        </w:rPr>
      </w:pPr>
      <w:bookmarkStart w:id="76" w:name="_Toc18769_WPSOffice_Level2"/>
      <w:r>
        <w:rPr>
          <w:rFonts w:hint="eastAsia" w:ascii="黑体" w:hAnsi="黑体" w:eastAsia="黑体" w:cs="黑体"/>
          <w:sz w:val="32"/>
          <w:szCs w:val="32"/>
        </w:rPr>
        <w:t>三、部门整体绩效</w:t>
      </w:r>
      <w:bookmarkEnd w:id="76"/>
      <w:r>
        <w:rPr>
          <w:rFonts w:hint="eastAsia" w:ascii="黑体" w:hAnsi="黑体" w:eastAsia="黑体" w:cs="黑体"/>
          <w:sz w:val="32"/>
          <w:szCs w:val="32"/>
          <w:lang w:val="en-US" w:eastAsia="zh-CN"/>
        </w:rPr>
        <w:t>分析</w:t>
      </w:r>
    </w:p>
    <w:p>
      <w:pPr>
        <w:spacing w:line="576" w:lineRule="exact"/>
        <w:ind w:firstLine="643" w:firstLineChars="200"/>
        <w:rPr>
          <w:rFonts w:hint="default" w:ascii="仿宋_GB2312" w:hAnsi="仿宋" w:eastAsia="仿宋_GB2312"/>
          <w:sz w:val="32"/>
          <w:szCs w:val="32"/>
          <w:lang w:val="en-US"/>
        </w:rPr>
      </w:pPr>
      <w:r>
        <w:rPr>
          <w:rFonts w:hint="eastAsia" w:ascii="仿宋" w:hAnsi="仿宋" w:eastAsia="仿宋" w:cs="仿宋"/>
          <w:b/>
          <w:bCs/>
          <w:sz w:val="32"/>
          <w:szCs w:val="32"/>
          <w:lang w:val="zh-CN"/>
        </w:rPr>
        <w:t>（一）部门预算</w:t>
      </w:r>
      <w:r>
        <w:rPr>
          <w:rFonts w:hint="eastAsia" w:ascii="仿宋" w:hAnsi="仿宋" w:eastAsia="仿宋" w:cs="仿宋"/>
          <w:b/>
          <w:bCs/>
          <w:sz w:val="32"/>
          <w:szCs w:val="32"/>
          <w:lang w:val="en-US" w:eastAsia="zh-CN"/>
        </w:rPr>
        <w:t>总体</w:t>
      </w:r>
      <w:r>
        <w:rPr>
          <w:rFonts w:hint="eastAsia" w:ascii="仿宋" w:hAnsi="仿宋" w:eastAsia="仿宋" w:cs="仿宋"/>
          <w:b/>
          <w:bCs/>
          <w:sz w:val="32"/>
          <w:szCs w:val="32"/>
        </w:rPr>
        <w:t>绩效</w:t>
      </w:r>
      <w:r>
        <w:rPr>
          <w:rFonts w:hint="eastAsia" w:ascii="仿宋" w:hAnsi="仿宋" w:eastAsia="仿宋" w:cs="仿宋"/>
          <w:b/>
          <w:bCs/>
          <w:sz w:val="32"/>
          <w:szCs w:val="32"/>
          <w:lang w:val="en-US" w:eastAsia="zh-CN"/>
        </w:rPr>
        <w:t>分析</w:t>
      </w:r>
      <w:r>
        <w:rPr>
          <w:rFonts w:hint="eastAsia" w:ascii="仿宋" w:hAnsi="仿宋" w:eastAsia="仿宋" w:cs="仿宋"/>
          <w:b/>
          <w:bCs/>
          <w:sz w:val="32"/>
          <w:szCs w:val="32"/>
          <w:lang w:val="zh-CN"/>
        </w:rPr>
        <w:t>。</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部门</w:t>
      </w:r>
      <w:r>
        <w:rPr>
          <w:rFonts w:hint="eastAsia" w:ascii="仿宋_GB2312" w:hAnsi="仿宋" w:eastAsia="仿宋_GB2312"/>
          <w:sz w:val="32"/>
          <w:szCs w:val="32"/>
        </w:rPr>
        <w:t>全面有效的经费</w:t>
      </w:r>
      <w:r>
        <w:rPr>
          <w:rFonts w:hint="eastAsia" w:ascii="仿宋_GB2312" w:hAnsi="仿宋" w:eastAsia="仿宋_GB2312" w:cs="Times New Roman"/>
          <w:sz w:val="32"/>
          <w:szCs w:val="32"/>
        </w:rPr>
        <w:t>保障，加强</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政治引领，凝聚发展共识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服务</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中心大局，促进“两个健康”。夯实</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党建基础，提升工商联基层组织建设水平。强化</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责任落实，提升工作质效。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eastAsia="仿宋_GB2312" w:cs="宋体"/>
          <w:color w:val="000000"/>
          <w:kern w:val="0"/>
          <w:sz w:val="32"/>
          <w:szCs w:val="32"/>
          <w:lang w:val="en-US" w:eastAsia="zh-CN"/>
        </w:rPr>
        <w:t>1.履职效能。</w:t>
      </w:r>
      <w:r>
        <w:rPr>
          <w:rFonts w:hint="eastAsia" w:ascii="仿宋_GB2312" w:hAnsi="仿宋" w:eastAsia="仿宋_GB2312"/>
          <w:sz w:val="32"/>
          <w:szCs w:val="32"/>
          <w:lang w:val="en-US" w:eastAsia="zh-CN"/>
        </w:rPr>
        <w:t>非公企业考察调研经费的保障，积极搭建平台，促进了</w:t>
      </w:r>
      <w:r>
        <w:rPr>
          <w:rFonts w:hint="eastAsia" w:ascii="仿宋_GB2312" w:eastAsia="仿宋_GB2312" w:cs="宋体"/>
          <w:color w:val="000000"/>
          <w:kern w:val="0"/>
          <w:sz w:val="32"/>
          <w:szCs w:val="32"/>
          <w:lang w:eastAsia="zh-CN"/>
        </w:rPr>
        <w:t>政企沟通活动，</w:t>
      </w:r>
      <w:r>
        <w:rPr>
          <w:rFonts w:hint="eastAsia" w:ascii="仿宋_GB2312" w:eastAsia="仿宋_GB2312" w:cs="宋体"/>
          <w:color w:val="000000"/>
          <w:kern w:val="0"/>
          <w:sz w:val="32"/>
          <w:szCs w:val="32"/>
          <w:lang w:val="en-US" w:eastAsia="zh-CN"/>
        </w:rPr>
        <w:t>有效</w:t>
      </w:r>
      <w:r>
        <w:rPr>
          <w:rFonts w:hint="eastAsia" w:ascii="仿宋_GB2312" w:eastAsia="仿宋_GB2312" w:cs="宋体"/>
          <w:color w:val="000000"/>
          <w:kern w:val="0"/>
          <w:sz w:val="32"/>
          <w:szCs w:val="32"/>
          <w:lang w:eastAsia="zh-CN"/>
        </w:rPr>
        <w:t>收集、解决</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企业面临的困难和问题。</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2.预算管理。结合工商联工作需要编制预算，</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强力推进工商联工作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预算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3.财务管理。严格执行财务管理制度，坚持“依法管理，注重效益；保证重点，统筹兼顾；严格收支，科学规范；量入为出，厉行节约”的财务管理基本原则, 实行“集体研究，授权审批”，建立“正职监管、副职分管、集体领导、民主决策”的工作机制，做到 “保刚需、保运转、保福利、保建设”的基本要求。财务活动在单位负责人的领导下，由办公室管理。主动公开，接受监督。</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4.资产管理。紧紧围绕工作需要，按照需求依计划开展办公设备采购，为各项工作的开展提供后盾保障。截至2024年度，固定资产28.18万元（均为在用）。无闲置盘活资产。</w:t>
      </w:r>
    </w:p>
    <w:p>
      <w:pPr>
        <w:keepNext w:val="0"/>
        <w:keepLines w:val="0"/>
        <w:pageBreakBefore w:val="0"/>
        <w:kinsoku/>
        <w:wordWrap/>
        <w:overflowPunct/>
        <w:topLinePunct w:val="0"/>
        <w:autoSpaceDE/>
        <w:autoSpaceDN/>
        <w:bidi w:val="0"/>
        <w:spacing w:line="600" w:lineRule="exact"/>
        <w:ind w:firstLine="640" w:firstLineChars="200"/>
        <w:textAlignment w:val="auto"/>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5.采购管理。严格按照采购管理办法和采购流程依法采购。2024年度政府采购支出总额0万元，其中：授予小微企业合同金额0万元，占政府采购支出总额的0%。采购执行率0%。</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二）部门预算项目绩效分析。</w:t>
      </w:r>
      <w:r>
        <w:rPr>
          <w:rFonts w:hint="eastAsia" w:ascii="仿宋_GB2312" w:eastAsia="仿宋_GB2312" w:cs="宋体"/>
          <w:color w:val="000000"/>
          <w:kern w:val="0"/>
          <w:sz w:val="32"/>
          <w:szCs w:val="32"/>
          <w:lang w:val="en-US" w:eastAsia="zh-CN"/>
        </w:rPr>
        <w:t>项目</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强力推进各项工商联工作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项目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非公企业考察调研经费的保障，积极搭建平台，促进了政企沟通活动，有效收集、解决了企业面临的困难和问题</w:t>
      </w:r>
      <w:r>
        <w:rPr>
          <w:rFonts w:hint="eastAsia" w:ascii="仿宋_GB2312" w:eastAsia="仿宋_GB2312" w:cs="宋体"/>
          <w:color w:val="000000"/>
          <w:kern w:val="0"/>
          <w:sz w:val="32"/>
          <w:szCs w:val="32"/>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（三）重点领域绩效分析。</w:t>
      </w:r>
      <w:r>
        <w:rPr>
          <w:rFonts w:hint="eastAsia" w:ascii="仿宋_GB2312" w:eastAsia="仿宋_GB2312" w:cs="宋体"/>
          <w:color w:val="000000"/>
          <w:kern w:val="0"/>
          <w:sz w:val="32"/>
          <w:szCs w:val="32"/>
          <w:lang w:val="en-US" w:eastAsia="zh-CN"/>
        </w:rPr>
        <w:t>2024年度，</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政府采购支出总额0万元，其中：政府采购货物支出0万元、政府采购工程支出0万元、政府采购服务支出0万元。主要用于工商联办公设备采购。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contextualSpacing/>
        <w:jc w:val="left"/>
        <w:textAlignment w:val="auto"/>
        <w:rPr>
          <w:rFonts w:ascii="仿宋" w:hAnsi="仿宋" w:eastAsia="仿宋" w:cs="仿宋"/>
          <w:sz w:val="32"/>
          <w:szCs w:val="32"/>
          <w:lang w:val="zh-CN"/>
        </w:rPr>
      </w:pP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绩效结果应用情况。</w:t>
      </w:r>
      <w:r>
        <w:rPr>
          <w:rFonts w:hint="eastAsia" w:ascii="仿宋_GB2312" w:eastAsia="仿宋_GB2312" w:cs="宋体"/>
          <w:color w:val="000000"/>
          <w:kern w:val="0"/>
          <w:sz w:val="32"/>
          <w:szCs w:val="32"/>
          <w:lang w:val="en-US" w:eastAsia="zh-CN"/>
        </w:rPr>
        <w:t>一是继续规范财务行为，加强财务管理和监督，提高资金使用效益，保障工商联办依法履行职能。二是</w:t>
      </w:r>
      <w:r>
        <w:rPr>
          <w:rFonts w:hint="eastAsia" w:ascii="仿宋_GB2312" w:eastAsia="仿宋_GB2312" w:cs="宋体"/>
          <w:color w:val="000000"/>
          <w:kern w:val="0"/>
          <w:sz w:val="32"/>
          <w:szCs w:val="32"/>
          <w:lang w:eastAsia="zh-CN"/>
        </w:rPr>
        <w:t>严格按照相关规定和要求，</w:t>
      </w:r>
      <w:r>
        <w:rPr>
          <w:rFonts w:hint="eastAsia" w:ascii="仿宋_GB2312" w:eastAsia="仿宋_GB2312" w:cs="宋体"/>
          <w:color w:val="000000"/>
          <w:kern w:val="0"/>
          <w:sz w:val="32"/>
          <w:szCs w:val="32"/>
          <w:lang w:val="en-US" w:eastAsia="zh-CN"/>
        </w:rPr>
        <w:t>依法对</w:t>
      </w:r>
      <w:r>
        <w:rPr>
          <w:rFonts w:hint="eastAsia" w:ascii="仿宋_GB2312" w:eastAsia="仿宋_GB2312" w:cs="宋体"/>
          <w:color w:val="000000"/>
          <w:kern w:val="0"/>
          <w:sz w:val="32"/>
          <w:szCs w:val="32"/>
          <w:lang w:eastAsia="zh-CN"/>
        </w:rPr>
        <w:t>需要公开的信息做到及时全面公开。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zh-CN"/>
        </w:rPr>
      </w:pPr>
      <w:bookmarkStart w:id="77" w:name="_Toc30505_WPSOffice_Level2"/>
      <w:r>
        <w:rPr>
          <w:rFonts w:hint="eastAsia" w:ascii="黑体" w:hAnsi="黑体" w:eastAsia="黑体" w:cs="黑体"/>
          <w:sz w:val="32"/>
          <w:szCs w:val="32"/>
          <w:lang w:val="zh-CN"/>
        </w:rPr>
        <w:t>四、评价结论及建议</w:t>
      </w:r>
      <w:bookmarkEnd w:id="77"/>
    </w:p>
    <w:p>
      <w:pPr>
        <w:keepNext w:val="0"/>
        <w:keepLines w:val="0"/>
        <w:pageBreakBefore w:val="0"/>
        <w:widowControl/>
        <w:kinsoku/>
        <w:wordWrap/>
        <w:overflowPunct/>
        <w:topLinePunct w:val="0"/>
        <w:autoSpaceDE/>
        <w:autoSpaceDN/>
        <w:bidi w:val="0"/>
        <w:spacing w:line="600" w:lineRule="exact"/>
        <w:ind w:firstLine="643" w:firstLineChars="200"/>
        <w:jc w:val="left"/>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rPr>
        <w:t>（一）评价结论。</w:t>
      </w:r>
      <w:r>
        <w:rPr>
          <w:rFonts w:hint="eastAsia" w:ascii="仿宋" w:hAnsi="仿宋" w:eastAsia="仿宋" w:cs="仿宋"/>
          <w:sz w:val="32"/>
          <w:szCs w:val="32"/>
          <w:lang w:val="en-US" w:eastAsia="zh-CN"/>
        </w:rPr>
        <w:t>2024年度的部门整体支出做到了使用规范、程序透明、达到预期绩效目标确保了机关的正常运行和工商联职能的正常履行，保证了目标任务的圆满完成。评价得分98分（详见2024年度部门整体绩效自评表体系）。</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ascii="仿宋" w:hAnsi="仿宋" w:eastAsia="仿宋" w:cs="仿宋"/>
          <w:sz w:val="32"/>
          <w:szCs w:val="32"/>
          <w:lang w:val="zh-CN"/>
        </w:rPr>
      </w:pPr>
      <w:r>
        <w:rPr>
          <w:rFonts w:hint="eastAsia" w:ascii="仿宋" w:hAnsi="仿宋" w:eastAsia="仿宋" w:cs="仿宋"/>
          <w:b/>
          <w:bCs/>
          <w:sz w:val="32"/>
          <w:szCs w:val="32"/>
          <w:lang w:val="zh-CN"/>
        </w:rPr>
        <w:t>（二）存在问题。</w:t>
      </w:r>
      <w:r>
        <w:rPr>
          <w:rFonts w:hint="eastAsia" w:ascii="仿宋" w:hAnsi="仿宋" w:eastAsia="仿宋" w:cs="仿宋"/>
          <w:sz w:val="32"/>
          <w:szCs w:val="32"/>
        </w:rPr>
        <w:t>财务人员预算绩效意识和财经素养有待进一步增强，财务核算管理水平和监督水平有待进一步提升。</w:t>
      </w:r>
    </w:p>
    <w:p>
      <w:pPr>
        <w:keepNext w:val="0"/>
        <w:keepLines w:val="0"/>
        <w:pageBreakBefore w:val="0"/>
        <w:kinsoku/>
        <w:wordWrap/>
        <w:overflowPunct/>
        <w:topLinePunct w:val="0"/>
        <w:autoSpaceDE/>
        <w:autoSpaceDN/>
        <w:bidi w:val="0"/>
        <w:spacing w:line="600" w:lineRule="exact"/>
        <w:ind w:firstLine="643" w:firstLineChars="200"/>
        <w:textAlignment w:val="auto"/>
        <w:outlineLvl w:val="2"/>
        <w:rPr>
          <w:rFonts w:hint="eastAsia" w:ascii="仿宋" w:hAnsi="仿宋" w:eastAsia="仿宋" w:cs="仿宋"/>
          <w:sz w:val="32"/>
          <w:szCs w:val="32"/>
        </w:rPr>
      </w:pPr>
      <w:r>
        <w:rPr>
          <w:rFonts w:hint="eastAsia" w:ascii="仿宋" w:hAnsi="仿宋" w:eastAsia="仿宋" w:cs="仿宋"/>
          <w:b/>
          <w:bCs/>
          <w:sz w:val="32"/>
          <w:szCs w:val="32"/>
          <w:lang w:val="zh-CN"/>
        </w:rPr>
        <w:t>（三）改进建议。</w:t>
      </w:r>
      <w:r>
        <w:rPr>
          <w:rFonts w:hint="eastAsia" w:ascii="仿宋" w:hAnsi="仿宋" w:eastAsia="仿宋" w:cs="仿宋"/>
          <w:sz w:val="32"/>
          <w:szCs w:val="32"/>
        </w:rPr>
        <w:t>继续按照“预算编制有目标、预算执行有监控、预算完成有评价、评价结果有反馈、反馈结果有应用”的预算绩效管理模式，进一步增强财务人员预算绩效意识和财经素养，提升财务核算管理水平和监督水平，强力推进预算绩效管理工作。</w:t>
      </w:r>
    </w:p>
    <w:p>
      <w:pPr>
        <w:ind w:firstLine="640" w:firstLineChars="200"/>
        <w:outlineLvl w:val="2"/>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附表：部门预算项目支出绩效自评表（2024年度）</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附件2</w:t>
      </w:r>
    </w:p>
    <w:p>
      <w:pPr>
        <w:ind w:firstLine="640" w:firstLineChars="200"/>
        <w:rPr>
          <w:rFonts w:ascii="仿宋" w:hAnsi="仿宋" w:eastAsia="仿宋" w:cs="仿宋"/>
          <w:sz w:val="32"/>
          <w:szCs w:val="32"/>
        </w:rPr>
      </w:pPr>
    </w:p>
    <w:p>
      <w:pPr>
        <w:jc w:val="center"/>
        <w:outlineLvl w:val="1"/>
        <w:rPr>
          <w:rFonts w:ascii="黑体" w:hAnsi="黑体" w:eastAsia="黑体" w:cs="黑体"/>
          <w:sz w:val="44"/>
          <w:szCs w:val="44"/>
        </w:rPr>
      </w:pPr>
      <w:bookmarkStart w:id="78" w:name="_Toc28297_WPSOffice_Level2"/>
      <w:r>
        <w:rPr>
          <w:rFonts w:hint="eastAsia" w:ascii="黑体" w:hAnsi="黑体" w:eastAsia="黑体" w:cs="黑体"/>
          <w:sz w:val="44"/>
          <w:szCs w:val="44"/>
          <w:lang w:val="en-US" w:eastAsia="zh-CN"/>
        </w:rPr>
        <w:t>非公企业考察调研经费</w:t>
      </w:r>
      <w:r>
        <w:rPr>
          <w:rFonts w:hint="eastAsia" w:ascii="黑体" w:hAnsi="黑体" w:eastAsia="黑体" w:cs="黑体"/>
          <w:sz w:val="44"/>
          <w:szCs w:val="44"/>
        </w:rPr>
        <w:t>预算项目绩效</w:t>
      </w:r>
      <w:r>
        <w:rPr>
          <w:rFonts w:hint="eastAsia" w:ascii="黑体" w:hAnsi="黑体" w:eastAsia="黑体" w:cs="黑体"/>
          <w:sz w:val="44"/>
          <w:szCs w:val="44"/>
          <w:lang w:val="en-US" w:eastAsia="zh-CN"/>
        </w:rPr>
        <w:t>评价</w:t>
      </w:r>
      <w:r>
        <w:rPr>
          <w:rFonts w:hint="eastAsia" w:ascii="黑体" w:hAnsi="黑体" w:eastAsia="黑体" w:cs="黑体"/>
          <w:sz w:val="44"/>
          <w:szCs w:val="44"/>
        </w:rPr>
        <w:t>报告</w:t>
      </w:r>
      <w:bookmarkEnd w:id="78"/>
    </w:p>
    <w:p>
      <w:pPr>
        <w:pStyle w:val="37"/>
        <w:spacing w:line="360" w:lineRule="exact"/>
        <w:jc w:val="center"/>
        <w:rPr>
          <w:rFonts w:ascii="宋体"/>
          <w:color w:val="auto"/>
          <w:kern w:val="2"/>
          <w:sz w:val="32"/>
          <w:szCs w:val="32"/>
        </w:rPr>
      </w:pPr>
      <w:bookmarkStart w:id="79" w:name="_Toc15396618"/>
    </w:p>
    <w:p>
      <w:pPr>
        <w:pStyle w:val="37"/>
        <w:spacing w:line="360" w:lineRule="exact"/>
        <w:jc w:val="center"/>
        <w:rPr>
          <w:rFonts w:ascii="宋体"/>
          <w:color w:val="auto"/>
          <w:kern w:val="2"/>
          <w:sz w:val="32"/>
          <w:szCs w:val="32"/>
        </w:rPr>
      </w:pP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lang w:val="zh-CN" w:eastAsia="zh-CN"/>
        </w:rPr>
        <w:t>项目概况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sz w:val="32"/>
          <w:szCs w:val="32"/>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设立背景及基本情况。</w:t>
      </w:r>
      <w:r>
        <w:rPr>
          <w:rFonts w:hint="eastAsia" w:ascii="仿宋_GB2312" w:eastAsia="仿宋_GB2312" w:cs="宋体"/>
          <w:color w:val="000000"/>
          <w:kern w:val="0"/>
          <w:sz w:val="32"/>
          <w:szCs w:val="32"/>
          <w:lang w:val="en-US" w:eastAsia="zh-CN"/>
        </w:rPr>
        <w:t>非公企业考察调研经费为本级财政资金，区政府同意批复实施的工商联活动经费，有效</w:t>
      </w:r>
      <w:r>
        <w:rPr>
          <w:rFonts w:hint="eastAsia" w:ascii="仿宋_GB2312" w:hAnsi="仿宋" w:eastAsia="仿宋_GB2312"/>
          <w:sz w:val="32"/>
          <w:szCs w:val="32"/>
          <w:lang w:val="en-US" w:eastAsia="zh-CN"/>
        </w:rPr>
        <w:t>搭建平台，促进</w:t>
      </w:r>
      <w:r>
        <w:rPr>
          <w:rFonts w:hint="eastAsia" w:ascii="仿宋_GB2312" w:eastAsia="仿宋_GB2312" w:cs="宋体"/>
          <w:color w:val="000000"/>
          <w:kern w:val="0"/>
          <w:sz w:val="32"/>
          <w:szCs w:val="32"/>
          <w:lang w:eastAsia="zh-CN"/>
        </w:rPr>
        <w:t>政企沟通活动，</w:t>
      </w:r>
      <w:r>
        <w:rPr>
          <w:rFonts w:hint="eastAsia" w:ascii="仿宋_GB2312" w:eastAsia="仿宋_GB2312" w:cs="宋体"/>
          <w:color w:val="000000"/>
          <w:kern w:val="0"/>
          <w:sz w:val="32"/>
          <w:szCs w:val="32"/>
          <w:lang w:val="en-US" w:eastAsia="zh-CN"/>
        </w:rPr>
        <w:t>有效</w:t>
      </w:r>
      <w:r>
        <w:rPr>
          <w:rFonts w:hint="eastAsia" w:ascii="仿宋_GB2312" w:eastAsia="仿宋_GB2312" w:cs="宋体"/>
          <w:color w:val="000000"/>
          <w:kern w:val="0"/>
          <w:sz w:val="32"/>
          <w:szCs w:val="32"/>
          <w:lang w:eastAsia="zh-CN"/>
        </w:rPr>
        <w:t>收集、解决企业面临的困难和问题。</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实施目的及支持方向</w:t>
      </w:r>
      <w:r>
        <w:rPr>
          <w:rFonts w:hint="eastAsia" w:ascii="仿宋_GB2312" w:eastAsia="仿宋_GB2312" w:cs="宋体"/>
          <w:b/>
          <w:bCs/>
          <w:color w:val="000000"/>
          <w:kern w:val="0"/>
          <w:sz w:val="32"/>
          <w:szCs w:val="32"/>
          <w:lang w:val="zh-CN"/>
        </w:rPr>
        <w:t>。</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rPr>
        <w:t>财务活动在单位负责人的领导下，由</w:t>
      </w:r>
      <w:r>
        <w:rPr>
          <w:rFonts w:hint="eastAsia" w:ascii="仿宋_GB2312" w:eastAsia="仿宋_GB2312" w:cs="宋体"/>
          <w:color w:val="000000"/>
          <w:kern w:val="0"/>
          <w:sz w:val="32"/>
          <w:szCs w:val="32"/>
          <w:lang w:val="en-US" w:eastAsia="zh-CN"/>
        </w:rPr>
        <w:t>办公室</w:t>
      </w:r>
      <w:r>
        <w:rPr>
          <w:rFonts w:hint="eastAsia" w:ascii="仿宋_GB2312" w:eastAsia="仿宋_GB2312" w:cs="宋体"/>
          <w:color w:val="000000"/>
          <w:kern w:val="0"/>
          <w:sz w:val="32"/>
          <w:szCs w:val="32"/>
        </w:rPr>
        <w:t>管理。项目经费按照规定用途和程序，经部门负责人、分管领导签字同意后制单报销</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按照</w:t>
      </w:r>
      <w:r>
        <w:rPr>
          <w:rFonts w:hint="eastAsia" w:ascii="仿宋_GB2312" w:eastAsia="仿宋_GB2312" w:cs="宋体"/>
          <w:color w:val="000000"/>
          <w:kern w:val="0"/>
          <w:sz w:val="32"/>
          <w:szCs w:val="32"/>
          <w:lang w:val="zh-CN"/>
        </w:rPr>
        <w:t>《</w:t>
      </w: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zh-CN"/>
        </w:rPr>
        <w:t>财务管理内控办法》、《政府采购内部控制制度》等，规范财务行为，加强财务管理和监督，提高资金使用效益，保障</w:t>
      </w:r>
      <w:r>
        <w:rPr>
          <w:rFonts w:hint="eastAsia" w:ascii="仿宋_GB2312" w:eastAsia="仿宋_GB2312" w:cs="宋体"/>
          <w:color w:val="000000"/>
          <w:kern w:val="0"/>
          <w:sz w:val="32"/>
          <w:szCs w:val="32"/>
          <w:lang w:val="en-US" w:eastAsia="zh-CN"/>
        </w:rPr>
        <w:t>工商联</w:t>
      </w:r>
      <w:r>
        <w:rPr>
          <w:rFonts w:hint="eastAsia" w:ascii="仿宋_GB2312" w:eastAsia="仿宋_GB2312" w:cs="宋体"/>
          <w:color w:val="000000"/>
          <w:kern w:val="0"/>
          <w:sz w:val="32"/>
          <w:szCs w:val="32"/>
          <w:lang w:val="zh-CN"/>
        </w:rPr>
        <w:t>依法履行职能。</w:t>
      </w:r>
    </w:p>
    <w:p>
      <w:pPr>
        <w:ind w:firstLine="643" w:firstLineChars="200"/>
        <w:rPr>
          <w:rFonts w:hint="eastAsia"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预算安排及分配管理</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非公企业考察调研经费为本级财政资金，区政府同意批复实施的，为工商联工作相关经费，按照规定按进度推进相关各项业务。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四）项目绩效目标设置。</w:t>
      </w:r>
      <w:r>
        <w:rPr>
          <w:rFonts w:hint="eastAsia" w:ascii="仿宋_GB2312" w:eastAsia="仿宋_GB2312" w:cs="宋体"/>
          <w:color w:val="000000"/>
          <w:kern w:val="0"/>
          <w:sz w:val="32"/>
          <w:szCs w:val="32"/>
          <w:lang w:eastAsia="zh-CN"/>
        </w:rPr>
        <w:t>及时协调解决通过走访、座谈等形式收集企业反馈</w:t>
      </w:r>
      <w:r>
        <w:rPr>
          <w:rFonts w:hint="eastAsia" w:ascii="仿宋_GB2312" w:eastAsia="仿宋_GB2312" w:cs="宋体"/>
          <w:color w:val="000000"/>
          <w:kern w:val="0"/>
          <w:sz w:val="32"/>
          <w:szCs w:val="32"/>
          <w:lang w:val="en-US" w:eastAsia="zh-CN"/>
        </w:rPr>
        <w:t>困难和</w:t>
      </w:r>
      <w:r>
        <w:rPr>
          <w:rFonts w:hint="eastAsia" w:ascii="仿宋_GB2312" w:eastAsia="仿宋_GB2312" w:cs="宋体"/>
          <w:color w:val="000000"/>
          <w:kern w:val="0"/>
          <w:sz w:val="32"/>
          <w:szCs w:val="32"/>
          <w:lang w:eastAsia="zh-CN"/>
        </w:rPr>
        <w:t>问题，</w:t>
      </w:r>
      <w:r>
        <w:rPr>
          <w:rFonts w:hint="eastAsia" w:ascii="仿宋_GB2312" w:eastAsia="仿宋_GB2312" w:cs="宋体"/>
          <w:color w:val="000000"/>
          <w:kern w:val="0"/>
          <w:sz w:val="32"/>
          <w:szCs w:val="32"/>
          <w:lang w:val="en-US" w:eastAsia="zh-CN"/>
        </w:rPr>
        <w:t>其中，</w:t>
      </w:r>
      <w:r>
        <w:rPr>
          <w:rFonts w:hint="eastAsia" w:ascii="仿宋_GB2312" w:eastAsia="仿宋_GB2312" w:cs="宋体"/>
          <w:color w:val="000000"/>
          <w:kern w:val="0"/>
          <w:sz w:val="32"/>
          <w:szCs w:val="32"/>
          <w:lang w:val="zh-CN" w:eastAsia="zh-CN"/>
        </w:rPr>
        <w:t>数量指标：形成调研文章</w:t>
      </w:r>
      <w:r>
        <w:rPr>
          <w:rFonts w:hint="eastAsia" w:ascii="仿宋_GB2312" w:eastAsia="仿宋_GB2312" w:cs="宋体"/>
          <w:color w:val="000000"/>
          <w:kern w:val="0"/>
          <w:sz w:val="32"/>
          <w:szCs w:val="32"/>
          <w:lang w:val="en-US" w:eastAsia="zh-CN"/>
        </w:rPr>
        <w:t>1篇，开展调研活动</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2次。质量指标：</w:t>
      </w:r>
      <w:r>
        <w:rPr>
          <w:rFonts w:hint="eastAsia" w:ascii="仿宋_GB2312" w:eastAsia="仿宋_GB2312" w:cs="宋体"/>
          <w:color w:val="000000"/>
          <w:kern w:val="0"/>
          <w:sz w:val="32"/>
          <w:szCs w:val="32"/>
          <w:lang w:eastAsia="zh-CN"/>
        </w:rPr>
        <w:t>完成考察调研非公企业工作任务</w:t>
      </w:r>
      <w:r>
        <w:rPr>
          <w:rFonts w:hint="eastAsia" w:ascii="仿宋_GB2312" w:eastAsia="仿宋_GB2312" w:cs="宋体"/>
          <w:color w:val="000000"/>
          <w:kern w:val="0"/>
          <w:sz w:val="32"/>
          <w:szCs w:val="32"/>
          <w:lang w:val="en-US" w:eastAsia="zh-CN"/>
        </w:rPr>
        <w:t>。</w:t>
      </w: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2024年底前完成工作任务。可持续影响指标：</w:t>
      </w:r>
      <w:r>
        <w:rPr>
          <w:rFonts w:hint="eastAsia" w:ascii="仿宋_GB2312" w:eastAsia="仿宋_GB2312" w:cs="宋体"/>
          <w:color w:val="000000"/>
          <w:kern w:val="0"/>
          <w:sz w:val="32"/>
          <w:szCs w:val="32"/>
          <w:lang w:eastAsia="zh-CN"/>
        </w:rPr>
        <w:t>促进民营企业健康发展，提升经济人士满意度和认同感</w:t>
      </w:r>
      <w:r>
        <w:rPr>
          <w:rFonts w:hint="eastAsia" w:ascii="仿宋_GB2312" w:eastAsia="仿宋_GB2312" w:cs="宋体"/>
          <w:color w:val="000000"/>
          <w:kern w:val="0"/>
          <w:sz w:val="32"/>
          <w:szCs w:val="32"/>
          <w:lang w:val="en-US" w:eastAsia="zh-CN"/>
        </w:rPr>
        <w:t>。社会效益</w:t>
      </w:r>
      <w:r>
        <w:rPr>
          <w:rFonts w:hint="eastAsia" w:ascii="仿宋_GB2312" w:eastAsia="仿宋_GB2312" w:cs="宋体"/>
          <w:color w:val="000000"/>
          <w:kern w:val="0"/>
          <w:sz w:val="32"/>
          <w:szCs w:val="32"/>
          <w:lang w:val="zh-CN" w:eastAsia="zh-CN"/>
        </w:rPr>
        <w:t>指标</w:t>
      </w:r>
      <w:r>
        <w:rPr>
          <w:rFonts w:hint="eastAsia" w:ascii="仿宋_GB2312" w:eastAsia="仿宋_GB2312" w:cs="宋体"/>
          <w:color w:val="000000"/>
          <w:kern w:val="0"/>
          <w:sz w:val="32"/>
          <w:szCs w:val="32"/>
          <w:lang w:val="en-US" w:eastAsia="zh-CN"/>
        </w:rPr>
        <w:t>：</w:t>
      </w:r>
      <w:r>
        <w:rPr>
          <w:rFonts w:hint="eastAsia" w:ascii="仿宋_GB2312" w:eastAsia="仿宋_GB2312" w:cs="宋体"/>
          <w:color w:val="000000"/>
          <w:kern w:val="0"/>
          <w:sz w:val="32"/>
          <w:szCs w:val="32"/>
          <w:lang w:eastAsia="zh-CN"/>
        </w:rPr>
        <w:t>推动商会迅猛发展、突出商会职能，提升经济人士的认同感。</w:t>
      </w:r>
      <w:r>
        <w:rPr>
          <w:rFonts w:hint="eastAsia" w:ascii="仿宋_GB2312" w:eastAsia="仿宋_GB2312" w:cs="宋体"/>
          <w:color w:val="000000"/>
          <w:kern w:val="0"/>
          <w:sz w:val="32"/>
          <w:szCs w:val="32"/>
          <w:lang w:val="en-US" w:eastAsia="zh-CN"/>
        </w:rPr>
        <w:t>服务对象满意度指标：民营经济人士满意度≥90%。</w:t>
      </w:r>
      <w:r>
        <w:rPr>
          <w:rFonts w:hint="eastAsia" w:ascii="仿宋_GB2312" w:eastAsia="仿宋_GB2312" w:cs="宋体"/>
          <w:color w:val="000000"/>
          <w:kern w:val="0"/>
          <w:sz w:val="32"/>
          <w:szCs w:val="32"/>
          <w:lang w:eastAsia="zh-CN"/>
        </w:rPr>
        <w:t>经济成本指标：开展调研经费≤</w:t>
      </w:r>
      <w:r>
        <w:rPr>
          <w:rFonts w:hint="eastAsia" w:ascii="仿宋_GB2312" w:eastAsia="仿宋_GB2312" w:cs="宋体"/>
          <w:color w:val="000000"/>
          <w:kern w:val="0"/>
          <w:sz w:val="32"/>
          <w:szCs w:val="32"/>
          <w:lang w:val="en-US" w:eastAsia="zh-CN"/>
        </w:rPr>
        <w:t>5万元。</w:t>
      </w:r>
    </w:p>
    <w:p>
      <w:pPr>
        <w:ind w:firstLine="640" w:firstLineChars="200"/>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二、评价实施</w:t>
      </w:r>
    </w:p>
    <w:p>
      <w:pPr>
        <w:ind w:firstLine="643" w:firstLineChars="200"/>
        <w:rPr>
          <w:rFonts w:hint="eastAsia" w:ascii="仿宋_GB2312" w:eastAsia="仿宋_GB2312" w:cs="宋体"/>
          <w:b/>
          <w:bCs/>
          <w:color w:val="000000"/>
          <w:kern w:val="0"/>
          <w:sz w:val="32"/>
          <w:szCs w:val="32"/>
          <w:lang w:val="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评价目的</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通过项目绩效自评，评价</w:t>
      </w:r>
      <w:r>
        <w:rPr>
          <w:rFonts w:hint="eastAsia" w:ascii="仿宋_GB2312" w:eastAsia="仿宋_GB2312" w:cs="宋体"/>
          <w:color w:val="000000"/>
          <w:kern w:val="0"/>
          <w:sz w:val="32"/>
          <w:szCs w:val="32"/>
          <w:lang w:val="zh-CN"/>
        </w:rPr>
        <w:t>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健全</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，执行财务管理制度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严格</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，账务处理</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及时</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，会计核算</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规范</w:t>
      </w:r>
      <w:r>
        <w:rPr>
          <w:rFonts w:hint="eastAsia" w:ascii="仿宋_GB2312" w:eastAsia="仿宋_GB2312" w:cs="宋体"/>
          <w:color w:val="000000"/>
          <w:kern w:val="0"/>
          <w:sz w:val="32"/>
          <w:szCs w:val="32"/>
          <w:lang w:val="en-US" w:eastAsia="zh-CN"/>
        </w:rPr>
        <w:t>性，目标的实现性</w:t>
      </w:r>
      <w:r>
        <w:rPr>
          <w:rFonts w:hint="eastAsia" w:ascii="仿宋_GB2312" w:eastAsia="仿宋_GB2312" w:cs="宋体"/>
          <w:color w:val="000000"/>
          <w:kern w:val="0"/>
          <w:sz w:val="32"/>
          <w:szCs w:val="32"/>
          <w:lang w:val="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预设问题及评价重点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按照绩效评价指标体系，对该项目资金支出使用全过程及其实施效果进行综合评价和判断。</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评价选点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采用全面检查评价。</w:t>
      </w:r>
    </w:p>
    <w:p>
      <w:pPr>
        <w:ind w:firstLine="643" w:firstLineChars="200"/>
        <w:rPr>
          <w:rFonts w:hint="default" w:ascii="仿宋_GB2312" w:eastAsia="仿宋_GB2312" w:cs="宋体"/>
          <w:b/>
          <w:bCs/>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四）评价方法。</w:t>
      </w:r>
      <w:r>
        <w:rPr>
          <w:rFonts w:hint="eastAsia" w:ascii="仿宋_GB2312" w:eastAsia="仿宋_GB2312" w:cs="宋体"/>
          <w:color w:val="000000"/>
          <w:kern w:val="0"/>
          <w:sz w:val="32"/>
          <w:szCs w:val="32"/>
          <w:lang w:val="zh-CN"/>
        </w:rPr>
        <w:t>召开专题工作会，全面动员部署，安排专人负责，相关部门配合，采取调看账务、翻阅资料、询问座谈和实地查看的方式开展项目自评工作。</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en-US" w:eastAsia="zh-CN"/>
        </w:rPr>
        <w:t>（五）评价组织。</w:t>
      </w:r>
      <w:r>
        <w:rPr>
          <w:rFonts w:hint="eastAsia" w:ascii="仿宋_GB2312" w:eastAsia="仿宋_GB2312" w:cs="宋体"/>
          <w:color w:val="000000"/>
          <w:kern w:val="0"/>
          <w:sz w:val="32"/>
          <w:szCs w:val="32"/>
          <w:lang w:val="en-US" w:eastAsia="zh-CN"/>
        </w:rPr>
        <w:t>由办公室安排专人负责，有序推进。</w:t>
      </w: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三、绩效分析</w:t>
      </w:r>
      <w:r>
        <w:rPr>
          <w:rFonts w:hint="eastAsia" w:ascii="黑体" w:hAnsi="黑体" w:eastAsia="黑体" w:cs="黑体"/>
          <w:color w:val="000000"/>
          <w:kern w:val="0"/>
          <w:sz w:val="32"/>
          <w:szCs w:val="32"/>
          <w:lang w:val="zh-CN" w:eastAsia="zh-CN"/>
        </w:rPr>
        <w:tab/>
      </w:r>
    </w:p>
    <w:p>
      <w:pPr>
        <w:ind w:firstLine="640" w:firstLineChars="200"/>
        <w:rPr>
          <w:rFonts w:hint="eastAsia" w:ascii="仿宋" w:hAnsi="仿宋" w:eastAsia="仿宋" w:cs="仿宋"/>
          <w:kern w:val="2"/>
          <w:sz w:val="32"/>
          <w:szCs w:val="32"/>
          <w:lang w:val="en-US" w:eastAsia="zh-CN" w:bidi="ar-SA"/>
        </w:rPr>
      </w:pPr>
      <w:r>
        <w:rPr>
          <w:rFonts w:hint="eastAsia" w:ascii="仿宋_GB2312" w:eastAsia="仿宋_GB2312" w:cs="宋体"/>
          <w:color w:val="000000"/>
          <w:kern w:val="0"/>
          <w:sz w:val="32"/>
          <w:szCs w:val="32"/>
          <w:lang w:val="en-US" w:eastAsia="zh-CN"/>
        </w:rPr>
        <w:t>有效</w:t>
      </w:r>
      <w:r>
        <w:rPr>
          <w:rFonts w:hint="eastAsia" w:ascii="仿宋_GB2312" w:hAnsi="仿宋" w:eastAsia="仿宋_GB2312"/>
          <w:sz w:val="32"/>
          <w:szCs w:val="32"/>
          <w:lang w:val="en-US" w:eastAsia="zh-CN"/>
        </w:rPr>
        <w:t>搭建了平台，</w:t>
      </w:r>
      <w:r>
        <w:rPr>
          <w:rFonts w:hint="eastAsia" w:ascii="仿宋_GB2312" w:eastAsia="仿宋_GB2312" w:cs="宋体"/>
          <w:color w:val="000000"/>
          <w:kern w:val="0"/>
          <w:sz w:val="32"/>
          <w:szCs w:val="32"/>
          <w:lang w:eastAsia="zh-CN"/>
        </w:rPr>
        <w:t>通过走访、座谈等形式收集企业反馈</w:t>
      </w:r>
      <w:r>
        <w:rPr>
          <w:rFonts w:hint="eastAsia" w:ascii="仿宋_GB2312" w:eastAsia="仿宋_GB2312" w:cs="宋体"/>
          <w:color w:val="000000"/>
          <w:kern w:val="0"/>
          <w:sz w:val="32"/>
          <w:szCs w:val="32"/>
          <w:lang w:val="en-US" w:eastAsia="zh-CN"/>
        </w:rPr>
        <w:t>存在的困难和</w:t>
      </w:r>
      <w:r>
        <w:rPr>
          <w:rFonts w:hint="eastAsia" w:ascii="仿宋_GB2312" w:eastAsia="仿宋_GB2312" w:cs="宋体"/>
          <w:color w:val="000000"/>
          <w:kern w:val="0"/>
          <w:sz w:val="32"/>
          <w:szCs w:val="32"/>
          <w:lang w:eastAsia="zh-CN"/>
        </w:rPr>
        <w:t>问题，</w:t>
      </w:r>
      <w:r>
        <w:rPr>
          <w:rFonts w:hint="eastAsia" w:ascii="仿宋_GB2312" w:eastAsia="仿宋_GB2312" w:cs="宋体"/>
          <w:color w:val="000000"/>
          <w:kern w:val="0"/>
          <w:sz w:val="32"/>
          <w:szCs w:val="32"/>
          <w:lang w:val="en-US" w:eastAsia="zh-CN"/>
        </w:rPr>
        <w:t>采取积极措施</w:t>
      </w:r>
      <w:r>
        <w:rPr>
          <w:rFonts w:hint="eastAsia" w:ascii="仿宋_GB2312" w:eastAsia="仿宋_GB2312" w:cs="宋体"/>
          <w:color w:val="000000"/>
          <w:kern w:val="0"/>
          <w:sz w:val="32"/>
          <w:szCs w:val="32"/>
          <w:lang w:eastAsia="zh-CN"/>
        </w:rPr>
        <w:t>及时协调解决，形成</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调研报告</w:t>
      </w:r>
      <w:r>
        <w:rPr>
          <w:rFonts w:hint="eastAsia" w:ascii="仿宋_GB2312" w:eastAsia="仿宋_GB2312" w:cs="宋体"/>
          <w:color w:val="000000"/>
          <w:kern w:val="0"/>
          <w:sz w:val="32"/>
          <w:szCs w:val="32"/>
          <w:lang w:val="en-US" w:eastAsia="zh-CN"/>
        </w:rPr>
        <w:t>并</w:t>
      </w:r>
      <w:r>
        <w:rPr>
          <w:rFonts w:hint="eastAsia" w:ascii="仿宋_GB2312" w:eastAsia="仿宋_GB2312" w:cs="宋体"/>
          <w:color w:val="000000"/>
          <w:kern w:val="0"/>
          <w:sz w:val="32"/>
          <w:szCs w:val="32"/>
          <w:lang w:eastAsia="zh-CN"/>
        </w:rPr>
        <w:t>上报区委区政府，</w:t>
      </w:r>
      <w:r>
        <w:rPr>
          <w:rFonts w:hint="eastAsia" w:ascii="仿宋_GB2312" w:hAnsi="仿宋" w:eastAsia="仿宋_GB2312"/>
          <w:sz w:val="32"/>
          <w:szCs w:val="32"/>
          <w:lang w:val="en-US" w:eastAsia="zh-CN"/>
        </w:rPr>
        <w:t>促进了</w:t>
      </w:r>
      <w:r>
        <w:rPr>
          <w:rFonts w:hint="eastAsia" w:ascii="仿宋_GB2312" w:eastAsia="仿宋_GB2312" w:cs="宋体"/>
          <w:color w:val="000000"/>
          <w:kern w:val="0"/>
          <w:sz w:val="32"/>
          <w:szCs w:val="32"/>
          <w:lang w:eastAsia="zh-CN"/>
        </w:rPr>
        <w:t>政企沟通活动，</w:t>
      </w:r>
      <w:r>
        <w:rPr>
          <w:rFonts w:hint="eastAsia" w:ascii="仿宋_GB2312" w:eastAsia="仿宋_GB2312" w:cs="宋体"/>
          <w:color w:val="000000"/>
          <w:kern w:val="0"/>
          <w:sz w:val="32"/>
          <w:szCs w:val="32"/>
          <w:lang w:val="en-US" w:eastAsia="zh-CN"/>
        </w:rPr>
        <w:t>有效</w:t>
      </w:r>
      <w:r>
        <w:rPr>
          <w:rFonts w:hint="eastAsia" w:ascii="仿宋_GB2312" w:eastAsia="仿宋_GB2312" w:cs="宋体"/>
          <w:color w:val="000000"/>
          <w:kern w:val="0"/>
          <w:sz w:val="32"/>
          <w:szCs w:val="32"/>
          <w:lang w:eastAsia="zh-CN"/>
        </w:rPr>
        <w:t>收集、解决</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企业面临的困难和问题，</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数量指标：形成调研文章</w:t>
      </w:r>
      <w:r>
        <w:rPr>
          <w:rFonts w:hint="eastAsia" w:ascii="仿宋_GB2312" w:eastAsia="仿宋_GB2312" w:cs="宋体"/>
          <w:color w:val="000000"/>
          <w:kern w:val="0"/>
          <w:sz w:val="32"/>
          <w:szCs w:val="32"/>
          <w:lang w:val="en-US" w:eastAsia="zh-CN"/>
        </w:rPr>
        <w:t>1篇，开展调研活动2次。</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质量指标：保质保量</w:t>
      </w:r>
      <w:r>
        <w:rPr>
          <w:rFonts w:hint="eastAsia" w:ascii="仿宋_GB2312" w:eastAsia="仿宋_GB2312" w:cs="宋体"/>
          <w:color w:val="000000"/>
          <w:kern w:val="0"/>
          <w:sz w:val="32"/>
          <w:szCs w:val="32"/>
          <w:lang w:eastAsia="zh-CN"/>
        </w:rPr>
        <w:t>完成</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考察调研非公企业工作任务</w:t>
      </w:r>
      <w:r>
        <w:rPr>
          <w:rFonts w:hint="eastAsia" w:ascii="仿宋_GB2312" w:eastAsia="仿宋_GB2312" w:cs="宋体"/>
          <w:color w:val="000000"/>
          <w:kern w:val="0"/>
          <w:sz w:val="32"/>
          <w:szCs w:val="32"/>
          <w:lang w:val="en-US" w:eastAsia="zh-CN"/>
        </w:rPr>
        <w:t>。</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2024年底前全面完成时各项工作。</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可持续影响指标：</w:t>
      </w:r>
      <w:r>
        <w:rPr>
          <w:rFonts w:hint="eastAsia" w:ascii="仿宋_GB2312" w:eastAsia="仿宋_GB2312" w:cs="宋体"/>
          <w:color w:val="000000"/>
          <w:kern w:val="0"/>
          <w:sz w:val="32"/>
          <w:szCs w:val="32"/>
          <w:lang w:eastAsia="zh-CN"/>
        </w:rPr>
        <w:t>促进</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民营企业健康发展，提升</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经济人士满意度和认同感</w:t>
      </w:r>
      <w:r>
        <w:rPr>
          <w:rFonts w:hint="eastAsia" w:ascii="仿宋_GB2312" w:eastAsia="仿宋_GB2312" w:cs="宋体"/>
          <w:color w:val="000000"/>
          <w:kern w:val="0"/>
          <w:sz w:val="32"/>
          <w:szCs w:val="32"/>
          <w:lang w:val="en-US" w:eastAsia="zh-CN"/>
        </w:rPr>
        <w:t>。</w:t>
      </w:r>
    </w:p>
    <w:p>
      <w:pPr>
        <w:ind w:firstLine="640" w:firstLineChars="200"/>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lang w:val="en-US" w:eastAsia="zh-CN"/>
        </w:rPr>
        <w:t>社会效益</w:t>
      </w:r>
      <w:r>
        <w:rPr>
          <w:rFonts w:hint="eastAsia" w:ascii="仿宋_GB2312" w:eastAsia="仿宋_GB2312" w:cs="宋体"/>
          <w:color w:val="000000"/>
          <w:kern w:val="0"/>
          <w:sz w:val="32"/>
          <w:szCs w:val="32"/>
          <w:lang w:val="zh-CN" w:eastAsia="zh-CN"/>
        </w:rPr>
        <w:t>指标</w:t>
      </w:r>
      <w:r>
        <w:rPr>
          <w:rFonts w:hint="eastAsia" w:ascii="仿宋_GB2312" w:eastAsia="仿宋_GB2312" w:cs="宋体"/>
          <w:color w:val="000000"/>
          <w:kern w:val="0"/>
          <w:sz w:val="32"/>
          <w:szCs w:val="32"/>
          <w:lang w:val="en-US" w:eastAsia="zh-CN"/>
        </w:rPr>
        <w:t>：</w:t>
      </w:r>
      <w:r>
        <w:rPr>
          <w:rFonts w:hint="eastAsia" w:ascii="仿宋_GB2312" w:eastAsia="仿宋_GB2312" w:cs="宋体"/>
          <w:color w:val="000000"/>
          <w:kern w:val="0"/>
          <w:sz w:val="32"/>
          <w:szCs w:val="32"/>
          <w:lang w:eastAsia="zh-CN"/>
        </w:rPr>
        <w:t>推动</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商会迅猛发展、突出</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商会职能，提升</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经济人士的认同感。</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可持续影响指标：民营经济人士理想信念良好。</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服务对象满意度指标：民营经济人士满意度≥95%。</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成本指标：</w:t>
      </w:r>
      <w:r>
        <w:rPr>
          <w:rFonts w:hint="eastAsia" w:ascii="仿宋_GB2312" w:eastAsia="仿宋_GB2312" w:cs="宋体"/>
          <w:color w:val="000000"/>
          <w:kern w:val="0"/>
          <w:sz w:val="32"/>
          <w:szCs w:val="32"/>
          <w:lang w:eastAsia="zh-CN"/>
        </w:rPr>
        <w:t>开展调研经费</w:t>
      </w:r>
      <w:r>
        <w:rPr>
          <w:rFonts w:hint="eastAsia" w:ascii="仿宋_GB2312" w:eastAsia="仿宋_GB2312" w:cs="宋体"/>
          <w:color w:val="000000"/>
          <w:kern w:val="0"/>
          <w:sz w:val="32"/>
          <w:szCs w:val="32"/>
          <w:lang w:val="en-US" w:eastAsia="zh-CN"/>
        </w:rPr>
        <w:t>3万元。</w:t>
      </w:r>
    </w:p>
    <w:p>
      <w:pPr>
        <w:ind w:firstLine="640" w:firstLineChars="200"/>
        <w:rPr>
          <w:rFonts w:hint="eastAsia" w:ascii="仿宋_GB2312"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四、评价结论</w:t>
      </w:r>
    </w:p>
    <w:p>
      <w:pPr>
        <w:ind w:firstLine="640" w:firstLineChars="200"/>
        <w:rPr>
          <w:rFonts w:hint="eastAsia" w:ascii="仿宋_GB2312" w:eastAsia="仿宋_GB2312" w:cs="宋体"/>
          <w:b w:val="0"/>
          <w:bCs w:val="0"/>
          <w:color w:val="000000"/>
          <w:kern w:val="0"/>
          <w:sz w:val="32"/>
          <w:szCs w:val="32"/>
          <w:lang w:val="en-US" w:eastAsia="zh-CN"/>
        </w:rPr>
      </w:pPr>
      <w:r>
        <w:rPr>
          <w:rFonts w:hint="eastAsia" w:ascii="仿宋" w:hAnsi="仿宋" w:eastAsia="仿宋" w:cs="仿宋"/>
          <w:sz w:val="32"/>
          <w:szCs w:val="32"/>
          <w:lang w:val="en-US" w:eastAsia="zh-CN"/>
        </w:rPr>
        <w:t>乐山市金口河区工商业联合会</w:t>
      </w:r>
      <w:r>
        <w:rPr>
          <w:rFonts w:hint="eastAsia" w:ascii="仿宋_GB2312" w:eastAsia="仿宋_GB2312" w:cs="宋体"/>
          <w:color w:val="000000"/>
          <w:kern w:val="0"/>
          <w:sz w:val="32"/>
          <w:szCs w:val="32"/>
          <w:lang w:val="en-US" w:eastAsia="zh-CN"/>
        </w:rPr>
        <w:t>严格执行财务管理制度及相关管理规定，通过加强执行管理提高资金使用效率，严格按照批复的预算，用款计划的要求以及工作进度申请支付资金，严格按照规定程序，有效保障了工商联相关工作的顺利开展，</w:t>
      </w:r>
      <w:r>
        <w:rPr>
          <w:rFonts w:hint="eastAsia" w:ascii="仿宋_GB2312" w:eastAsia="仿宋_GB2312" w:cs="宋体"/>
          <w:color w:val="000000"/>
          <w:kern w:val="0"/>
          <w:sz w:val="32"/>
          <w:szCs w:val="32"/>
          <w:lang w:eastAsia="zh-CN"/>
        </w:rPr>
        <w:t>推动</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商会迅猛发展、突出</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商会职能，提升</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经济人士的认同感。</w:t>
      </w:r>
      <w:r>
        <w:rPr>
          <w:rFonts w:hint="eastAsia" w:ascii="仿宋_GB2312" w:eastAsia="仿宋_GB2312" w:cs="宋体"/>
          <w:color w:val="000000"/>
          <w:kern w:val="0"/>
          <w:sz w:val="32"/>
          <w:szCs w:val="32"/>
          <w:lang w:val="en-US" w:eastAsia="zh-CN"/>
        </w:rPr>
        <w:t>经自评，经费使用管理规范，会计原始资料真实、完整，账务处理及时，会计核算规范且清楚有序，资产管理安全，工作成效显著，达到了预计绩效</w:t>
      </w:r>
      <w:r>
        <w:rPr>
          <w:rFonts w:hint="eastAsia" w:ascii="仿宋_GB2312" w:eastAsia="仿宋_GB2312" w:cs="宋体"/>
          <w:b w:val="0"/>
          <w:bCs w:val="0"/>
          <w:color w:val="000000"/>
          <w:kern w:val="0"/>
          <w:sz w:val="32"/>
          <w:szCs w:val="32"/>
          <w:lang w:val="en-US" w:eastAsia="zh-CN"/>
        </w:rPr>
        <w:t>目标。</w:t>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五、</w:t>
      </w:r>
      <w:r>
        <w:rPr>
          <w:rFonts w:hint="eastAsia" w:ascii="仿宋_GB2312" w:eastAsia="仿宋_GB2312" w:cs="宋体"/>
          <w:b/>
          <w:bCs/>
          <w:color w:val="000000"/>
          <w:kern w:val="0"/>
          <w:sz w:val="32"/>
          <w:szCs w:val="32"/>
          <w:lang w:val="zh-CN" w:eastAsia="zh-CN"/>
        </w:rPr>
        <w:t>存在的</w:t>
      </w:r>
      <w:r>
        <w:rPr>
          <w:rFonts w:hint="eastAsia" w:ascii="仿宋_GB2312" w:eastAsia="仿宋_GB2312" w:cs="宋体"/>
          <w:b/>
          <w:bCs/>
          <w:color w:val="000000"/>
          <w:kern w:val="0"/>
          <w:sz w:val="32"/>
          <w:szCs w:val="32"/>
          <w:lang w:val="en-US" w:eastAsia="zh-CN"/>
        </w:rPr>
        <w:t>主要</w:t>
      </w:r>
      <w:r>
        <w:rPr>
          <w:rFonts w:hint="eastAsia" w:ascii="仿宋_GB2312" w:eastAsia="仿宋_GB2312" w:cs="宋体"/>
          <w:b/>
          <w:bCs/>
          <w:color w:val="000000"/>
          <w:kern w:val="0"/>
          <w:sz w:val="32"/>
          <w:szCs w:val="32"/>
          <w:lang w:val="zh-CN" w:eastAsia="zh-CN"/>
        </w:rPr>
        <w:t>问题。</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en-US" w:eastAsia="zh-CN"/>
        </w:rPr>
        <w:t>无</w:t>
      </w:r>
      <w:r>
        <w:rPr>
          <w:rFonts w:hint="eastAsia" w:ascii="仿宋_GB2312" w:eastAsia="仿宋_GB2312" w:cs="宋体"/>
          <w:color w:val="000000"/>
          <w:kern w:val="0"/>
          <w:sz w:val="32"/>
          <w:szCs w:val="32"/>
          <w:lang w:val="zh-CN" w:eastAsia="zh-CN"/>
        </w:rPr>
        <w:tab/>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六、改进</w:t>
      </w:r>
      <w:r>
        <w:rPr>
          <w:rFonts w:hint="eastAsia" w:ascii="仿宋_GB2312" w:eastAsia="仿宋_GB2312" w:cs="宋体"/>
          <w:b/>
          <w:bCs/>
          <w:color w:val="000000"/>
          <w:kern w:val="0"/>
          <w:sz w:val="32"/>
          <w:szCs w:val="32"/>
          <w:lang w:val="zh-CN" w:eastAsia="zh-CN"/>
        </w:rPr>
        <w:t>建议。</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下一步，我</w:t>
      </w:r>
      <w:r>
        <w:rPr>
          <w:rFonts w:hint="eastAsia" w:ascii="仿宋_GB2312" w:eastAsia="仿宋_GB2312" w:cs="宋体"/>
          <w:color w:val="000000"/>
          <w:kern w:val="0"/>
          <w:sz w:val="32"/>
          <w:szCs w:val="32"/>
          <w:lang w:val="en-US" w:eastAsia="zh-CN"/>
        </w:rPr>
        <w:t>单位</w:t>
      </w:r>
      <w:r>
        <w:rPr>
          <w:rFonts w:hint="eastAsia" w:ascii="仿宋_GB2312" w:eastAsia="仿宋_GB2312" w:cs="宋体"/>
          <w:color w:val="000000"/>
          <w:kern w:val="0"/>
          <w:sz w:val="32"/>
          <w:szCs w:val="32"/>
          <w:lang w:val="zh-CN" w:eastAsia="zh-CN"/>
        </w:rPr>
        <w:t>将</w:t>
      </w:r>
      <w:r>
        <w:rPr>
          <w:rFonts w:hint="eastAsia" w:ascii="仿宋_GB2312" w:eastAsia="仿宋_GB2312" w:cs="宋体"/>
          <w:color w:val="000000"/>
          <w:kern w:val="0"/>
          <w:sz w:val="32"/>
          <w:szCs w:val="32"/>
          <w:lang w:val="en-US" w:eastAsia="zh-CN"/>
        </w:rPr>
        <w:t>继续</w:t>
      </w:r>
      <w:r>
        <w:rPr>
          <w:rFonts w:hint="eastAsia" w:ascii="仿宋_GB2312" w:eastAsia="仿宋_GB2312" w:cs="宋体"/>
          <w:color w:val="000000"/>
          <w:kern w:val="0"/>
          <w:sz w:val="32"/>
          <w:szCs w:val="32"/>
          <w:lang w:val="zh-CN" w:eastAsia="zh-CN"/>
        </w:rPr>
        <w:t>积极沟通，争取各方支持，</w:t>
      </w:r>
      <w:r>
        <w:rPr>
          <w:rFonts w:hint="eastAsia" w:ascii="仿宋_GB2312" w:eastAsia="仿宋_GB2312" w:cs="宋体"/>
          <w:color w:val="000000"/>
          <w:kern w:val="0"/>
          <w:sz w:val="32"/>
          <w:szCs w:val="32"/>
          <w:lang w:val="en-US" w:eastAsia="zh-CN"/>
        </w:rPr>
        <w:t>及时</w:t>
      </w:r>
      <w:r>
        <w:rPr>
          <w:rFonts w:hint="eastAsia" w:ascii="仿宋_GB2312" w:eastAsia="仿宋_GB2312" w:cs="宋体"/>
          <w:color w:val="000000"/>
          <w:kern w:val="0"/>
          <w:sz w:val="32"/>
          <w:szCs w:val="32"/>
          <w:lang w:val="zh-CN" w:eastAsia="zh-CN"/>
        </w:rPr>
        <w:t>保障推进</w:t>
      </w:r>
      <w:r>
        <w:rPr>
          <w:rFonts w:hint="eastAsia" w:ascii="仿宋_GB2312" w:eastAsia="仿宋_GB2312" w:cs="宋体"/>
          <w:color w:val="000000"/>
          <w:kern w:val="0"/>
          <w:sz w:val="32"/>
          <w:szCs w:val="32"/>
          <w:lang w:val="en-US" w:eastAsia="zh-CN"/>
        </w:rPr>
        <w:t>相关</w:t>
      </w:r>
      <w:r>
        <w:rPr>
          <w:rFonts w:hint="eastAsia" w:ascii="仿宋_GB2312" w:eastAsia="仿宋_GB2312" w:cs="宋体"/>
          <w:color w:val="000000"/>
          <w:kern w:val="0"/>
          <w:sz w:val="32"/>
          <w:szCs w:val="32"/>
          <w:lang w:val="zh-CN" w:eastAsia="zh-CN"/>
        </w:rPr>
        <w:t>工作的顺利开展，达到预期目标。</w:t>
      </w:r>
    </w:p>
    <w:p>
      <w:pPr>
        <w:jc w:val="both"/>
        <w:rPr>
          <w:b/>
          <w:bCs/>
          <w:kern w:val="44"/>
          <w:sz w:val="44"/>
          <w:szCs w:val="44"/>
        </w:rPr>
      </w:pPr>
    </w:p>
    <w:p>
      <w:pPr>
        <w:pStyle w:val="2"/>
        <w:rPr>
          <w:b/>
          <w:bCs/>
          <w:kern w:val="44"/>
          <w:sz w:val="44"/>
          <w:szCs w:val="44"/>
        </w:rPr>
      </w:pPr>
    </w:p>
    <w:p>
      <w:pPr>
        <w:pStyle w:val="2"/>
        <w:rPr>
          <w:b/>
          <w:bCs/>
          <w:kern w:val="44"/>
          <w:sz w:val="44"/>
          <w:szCs w:val="44"/>
        </w:rPr>
      </w:pPr>
    </w:p>
    <w:p>
      <w:pPr>
        <w:jc w:val="center"/>
        <w:outlineLvl w:val="0"/>
        <w:rPr>
          <w:b/>
          <w:bCs/>
          <w:kern w:val="44"/>
          <w:sz w:val="44"/>
          <w:szCs w:val="44"/>
        </w:rPr>
      </w:pPr>
      <w:bookmarkStart w:id="80" w:name="_Toc4876_WPSOffice_Level1"/>
      <w:r>
        <w:rPr>
          <w:rFonts w:hint="eastAsia" w:ascii="黑体" w:hAnsi="黑体" w:eastAsia="黑体" w:cs="黑体"/>
          <w:b w:val="0"/>
          <w:bCs w:val="0"/>
          <w:kern w:val="44"/>
          <w:sz w:val="44"/>
          <w:szCs w:val="44"/>
        </w:rPr>
        <w:t>第五部分 附表</w:t>
      </w:r>
      <w:bookmarkEnd w:id="71"/>
      <w:bookmarkEnd w:id="79"/>
      <w:bookmarkEnd w:id="80"/>
      <w:bookmarkStart w:id="81"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82" w:name="_Toc4166_WPSOffice_Level2"/>
      <w:r>
        <w:rPr>
          <w:rFonts w:hint="eastAsia" w:ascii="仿宋" w:hAnsi="仿宋" w:eastAsia="仿宋" w:cs="仿宋"/>
          <w:sz w:val="32"/>
          <w:szCs w:val="32"/>
        </w:rPr>
        <w:t>一、收入支出决算总表</w:t>
      </w:r>
      <w:bookmarkEnd w:id="81"/>
      <w:bookmarkEnd w:id="82"/>
    </w:p>
    <w:p>
      <w:pPr>
        <w:ind w:firstLine="640" w:firstLineChars="200"/>
        <w:outlineLvl w:val="1"/>
        <w:rPr>
          <w:rFonts w:ascii="仿宋" w:hAnsi="仿宋" w:eastAsia="仿宋" w:cs="仿宋"/>
          <w:sz w:val="32"/>
          <w:szCs w:val="32"/>
        </w:rPr>
      </w:pPr>
      <w:bookmarkStart w:id="83" w:name="_Toc12757_WPSOffice_Level2"/>
      <w:bookmarkStart w:id="84" w:name="_Toc15396620"/>
      <w:r>
        <w:rPr>
          <w:rFonts w:hint="eastAsia" w:ascii="仿宋" w:hAnsi="仿宋" w:eastAsia="仿宋" w:cs="仿宋"/>
          <w:sz w:val="32"/>
          <w:szCs w:val="32"/>
        </w:rPr>
        <w:t>二、收入决算表</w:t>
      </w:r>
      <w:bookmarkEnd w:id="83"/>
      <w:bookmarkEnd w:id="84"/>
    </w:p>
    <w:p>
      <w:pPr>
        <w:ind w:firstLine="640" w:firstLineChars="200"/>
        <w:outlineLvl w:val="1"/>
        <w:rPr>
          <w:rFonts w:ascii="仿宋" w:hAnsi="仿宋" w:eastAsia="仿宋" w:cs="仿宋"/>
          <w:sz w:val="32"/>
          <w:szCs w:val="32"/>
        </w:rPr>
      </w:pPr>
      <w:bookmarkStart w:id="85" w:name="_Toc15396621"/>
      <w:bookmarkStart w:id="86" w:name="_Toc16324_WPSOffice_Level2"/>
      <w:r>
        <w:rPr>
          <w:rFonts w:hint="eastAsia" w:ascii="仿宋" w:hAnsi="仿宋" w:eastAsia="仿宋" w:cs="仿宋"/>
          <w:sz w:val="32"/>
          <w:szCs w:val="32"/>
        </w:rPr>
        <w:t>三、支出决算表</w:t>
      </w:r>
      <w:bookmarkEnd w:id="85"/>
      <w:bookmarkEnd w:id="86"/>
    </w:p>
    <w:p>
      <w:pPr>
        <w:ind w:firstLine="640" w:firstLineChars="200"/>
        <w:outlineLvl w:val="1"/>
        <w:rPr>
          <w:rFonts w:ascii="仿宋" w:hAnsi="仿宋" w:eastAsia="仿宋" w:cs="仿宋"/>
          <w:sz w:val="32"/>
          <w:szCs w:val="32"/>
        </w:rPr>
      </w:pPr>
      <w:bookmarkStart w:id="87" w:name="_Toc15396622"/>
      <w:bookmarkStart w:id="88" w:name="_Toc28558_WPSOffice_Level2"/>
      <w:r>
        <w:rPr>
          <w:rFonts w:hint="eastAsia" w:ascii="仿宋" w:hAnsi="仿宋" w:eastAsia="仿宋" w:cs="仿宋"/>
          <w:sz w:val="32"/>
          <w:szCs w:val="32"/>
        </w:rPr>
        <w:t>四、财政拨款收入支出决算总表</w:t>
      </w:r>
      <w:bookmarkEnd w:id="87"/>
      <w:bookmarkEnd w:id="88"/>
    </w:p>
    <w:p>
      <w:pPr>
        <w:ind w:firstLine="640" w:firstLineChars="200"/>
        <w:outlineLvl w:val="1"/>
        <w:rPr>
          <w:rFonts w:ascii="仿宋" w:hAnsi="仿宋" w:eastAsia="仿宋" w:cs="仿宋"/>
          <w:sz w:val="32"/>
          <w:szCs w:val="32"/>
        </w:rPr>
      </w:pPr>
      <w:bookmarkStart w:id="89" w:name="_Toc32540_WPSOffice_Level2"/>
      <w:bookmarkStart w:id="90" w:name="_Toc15396623"/>
      <w:r>
        <w:rPr>
          <w:rFonts w:hint="eastAsia" w:ascii="仿宋" w:hAnsi="仿宋" w:eastAsia="仿宋" w:cs="仿宋"/>
          <w:sz w:val="32"/>
          <w:szCs w:val="32"/>
        </w:rPr>
        <w:t>五、财政拨款支出决算明细表</w:t>
      </w:r>
      <w:bookmarkEnd w:id="89"/>
      <w:bookmarkEnd w:id="90"/>
      <w:bookmarkStart w:id="91" w:name="_Toc15396624"/>
    </w:p>
    <w:p>
      <w:pPr>
        <w:ind w:firstLine="640" w:firstLineChars="200"/>
        <w:outlineLvl w:val="1"/>
        <w:rPr>
          <w:rFonts w:ascii="仿宋" w:hAnsi="仿宋" w:eastAsia="仿宋" w:cs="仿宋"/>
          <w:sz w:val="32"/>
          <w:szCs w:val="32"/>
        </w:rPr>
      </w:pPr>
      <w:bookmarkStart w:id="92" w:name="_Toc12450_WPSOffice_Level2"/>
      <w:r>
        <w:rPr>
          <w:rFonts w:hint="eastAsia" w:ascii="仿宋" w:hAnsi="仿宋" w:eastAsia="仿宋" w:cs="仿宋"/>
          <w:sz w:val="32"/>
          <w:szCs w:val="32"/>
        </w:rPr>
        <w:t>六、一般公共预算财政拨款支出决算表</w:t>
      </w:r>
      <w:bookmarkEnd w:id="91"/>
      <w:bookmarkEnd w:id="92"/>
    </w:p>
    <w:p>
      <w:pPr>
        <w:ind w:firstLine="640" w:firstLineChars="200"/>
        <w:outlineLvl w:val="1"/>
        <w:rPr>
          <w:rFonts w:ascii="仿宋" w:hAnsi="仿宋" w:eastAsia="仿宋" w:cs="仿宋"/>
          <w:sz w:val="32"/>
          <w:szCs w:val="32"/>
        </w:rPr>
      </w:pPr>
      <w:bookmarkStart w:id="93" w:name="_Toc15396625"/>
      <w:bookmarkStart w:id="94" w:name="_Toc1200_WPSOffice_Level2"/>
      <w:r>
        <w:rPr>
          <w:rFonts w:hint="eastAsia" w:ascii="仿宋" w:hAnsi="仿宋" w:eastAsia="仿宋" w:cs="仿宋"/>
          <w:sz w:val="32"/>
          <w:szCs w:val="32"/>
        </w:rPr>
        <w:t>七、一般公共预算财政拨款支出决算明细表</w:t>
      </w:r>
      <w:bookmarkEnd w:id="93"/>
      <w:bookmarkEnd w:id="94"/>
    </w:p>
    <w:p>
      <w:pPr>
        <w:ind w:firstLine="640" w:firstLineChars="200"/>
        <w:outlineLvl w:val="1"/>
        <w:rPr>
          <w:rFonts w:ascii="仿宋" w:hAnsi="仿宋" w:eastAsia="仿宋" w:cs="仿宋"/>
          <w:sz w:val="32"/>
          <w:szCs w:val="32"/>
        </w:rPr>
      </w:pPr>
      <w:bookmarkStart w:id="95" w:name="_Toc29467_WPSOffice_Level2"/>
      <w:bookmarkStart w:id="96" w:name="_Toc15396626"/>
      <w:r>
        <w:rPr>
          <w:rFonts w:hint="eastAsia" w:ascii="仿宋" w:hAnsi="仿宋" w:eastAsia="仿宋" w:cs="仿宋"/>
          <w:sz w:val="32"/>
          <w:szCs w:val="32"/>
        </w:rPr>
        <w:t>八、一般公共预算财政拨款基本支出决算表</w:t>
      </w:r>
      <w:bookmarkEnd w:id="95"/>
      <w:bookmarkEnd w:id="96"/>
    </w:p>
    <w:p>
      <w:pPr>
        <w:ind w:firstLine="640" w:firstLineChars="200"/>
        <w:outlineLvl w:val="1"/>
        <w:rPr>
          <w:rFonts w:ascii="仿宋" w:hAnsi="仿宋" w:eastAsia="仿宋" w:cs="仿宋"/>
          <w:sz w:val="32"/>
          <w:szCs w:val="32"/>
        </w:rPr>
      </w:pPr>
      <w:bookmarkStart w:id="97" w:name="_Toc15396627"/>
      <w:bookmarkStart w:id="98" w:name="_Toc15050_WPSOffice_Level2"/>
      <w:r>
        <w:rPr>
          <w:rFonts w:hint="eastAsia" w:ascii="仿宋" w:hAnsi="仿宋" w:eastAsia="仿宋" w:cs="仿宋"/>
          <w:sz w:val="32"/>
          <w:szCs w:val="32"/>
        </w:rPr>
        <w:t>九、一般公共预算财政拨款项目支出决算表</w:t>
      </w:r>
      <w:bookmarkEnd w:id="97"/>
      <w:bookmarkEnd w:id="98"/>
    </w:p>
    <w:p>
      <w:pPr>
        <w:ind w:firstLine="640" w:firstLineChars="200"/>
        <w:outlineLvl w:val="1"/>
        <w:rPr>
          <w:rFonts w:ascii="仿宋" w:hAnsi="仿宋" w:eastAsia="仿宋" w:cs="仿宋"/>
          <w:sz w:val="32"/>
          <w:szCs w:val="32"/>
        </w:rPr>
      </w:pPr>
      <w:bookmarkStart w:id="99" w:name="_Toc15396628"/>
      <w:bookmarkStart w:id="100" w:name="_Toc29400_WPSOffice_Level2"/>
      <w:r>
        <w:rPr>
          <w:rFonts w:hint="eastAsia" w:ascii="仿宋" w:hAnsi="仿宋" w:eastAsia="仿宋" w:cs="仿宋"/>
          <w:sz w:val="32"/>
          <w:szCs w:val="32"/>
        </w:rPr>
        <w:t>十、</w:t>
      </w:r>
      <w:bookmarkEnd w:id="99"/>
      <w:bookmarkEnd w:id="100"/>
      <w:bookmarkStart w:id="101" w:name="_Toc1419_WPSOffice_Level2"/>
      <w:bookmarkStart w:id="102" w:name="_Toc15396629"/>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101"/>
      <w:bookmarkEnd w:id="102"/>
      <w:bookmarkStart w:id="103" w:name="_Toc15396630"/>
      <w:bookmarkStart w:id="104" w:name="_Toc9297_WPSOffice_Level2"/>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103"/>
      <w:bookmarkEnd w:id="104"/>
      <w:bookmarkStart w:id="105" w:name="_Toc27923_WPSOffice_Level2"/>
      <w:bookmarkStart w:id="106"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105"/>
      <w:bookmarkEnd w:id="106"/>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174968"/>
    <w:rsid w:val="096B3651"/>
    <w:rsid w:val="097055DD"/>
    <w:rsid w:val="09E2734A"/>
    <w:rsid w:val="09EA5E20"/>
    <w:rsid w:val="0A2032A3"/>
    <w:rsid w:val="0A2C24F5"/>
    <w:rsid w:val="0CF5458D"/>
    <w:rsid w:val="0DEB68D9"/>
    <w:rsid w:val="0E3E4510"/>
    <w:rsid w:val="0E700967"/>
    <w:rsid w:val="0E8054ED"/>
    <w:rsid w:val="0F2A4EE3"/>
    <w:rsid w:val="0F44375B"/>
    <w:rsid w:val="101C5F43"/>
    <w:rsid w:val="10305D80"/>
    <w:rsid w:val="10C055FF"/>
    <w:rsid w:val="111560FF"/>
    <w:rsid w:val="114B0258"/>
    <w:rsid w:val="118107EC"/>
    <w:rsid w:val="11FC7715"/>
    <w:rsid w:val="13193434"/>
    <w:rsid w:val="13B17BC1"/>
    <w:rsid w:val="144B41EF"/>
    <w:rsid w:val="144C0BB0"/>
    <w:rsid w:val="15A87F17"/>
    <w:rsid w:val="16194798"/>
    <w:rsid w:val="16BB723D"/>
    <w:rsid w:val="186F4E69"/>
    <w:rsid w:val="18846D4D"/>
    <w:rsid w:val="18AD3CA1"/>
    <w:rsid w:val="197916EC"/>
    <w:rsid w:val="19AB44ED"/>
    <w:rsid w:val="19C159EC"/>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34881"/>
    <w:rsid w:val="222744B4"/>
    <w:rsid w:val="22413C59"/>
    <w:rsid w:val="22565EC4"/>
    <w:rsid w:val="22682B68"/>
    <w:rsid w:val="237125A8"/>
    <w:rsid w:val="23E8580F"/>
    <w:rsid w:val="240371BF"/>
    <w:rsid w:val="26C00F7E"/>
    <w:rsid w:val="2708541C"/>
    <w:rsid w:val="270E33F4"/>
    <w:rsid w:val="27196536"/>
    <w:rsid w:val="27800E62"/>
    <w:rsid w:val="28980C18"/>
    <w:rsid w:val="28996797"/>
    <w:rsid w:val="2903434E"/>
    <w:rsid w:val="295E5A41"/>
    <w:rsid w:val="29FD04D3"/>
    <w:rsid w:val="2A062B14"/>
    <w:rsid w:val="2AA507AC"/>
    <w:rsid w:val="2BB55F91"/>
    <w:rsid w:val="2BDF34AA"/>
    <w:rsid w:val="2C3F3A6A"/>
    <w:rsid w:val="2D2B7D52"/>
    <w:rsid w:val="2D501D51"/>
    <w:rsid w:val="2D812426"/>
    <w:rsid w:val="307619E1"/>
    <w:rsid w:val="30A27F1C"/>
    <w:rsid w:val="30D24DE5"/>
    <w:rsid w:val="319F7F4E"/>
    <w:rsid w:val="32DB11F0"/>
    <w:rsid w:val="32F453C9"/>
    <w:rsid w:val="33001A64"/>
    <w:rsid w:val="33667180"/>
    <w:rsid w:val="33FC35A4"/>
    <w:rsid w:val="364A2324"/>
    <w:rsid w:val="36B63A87"/>
    <w:rsid w:val="37B132FA"/>
    <w:rsid w:val="38CA2DD0"/>
    <w:rsid w:val="397363D0"/>
    <w:rsid w:val="3A05253C"/>
    <w:rsid w:val="3A411ED8"/>
    <w:rsid w:val="3A8563F8"/>
    <w:rsid w:val="3B6A5948"/>
    <w:rsid w:val="3CCB2C8C"/>
    <w:rsid w:val="3D7452D2"/>
    <w:rsid w:val="3E225A09"/>
    <w:rsid w:val="3E7B7FBA"/>
    <w:rsid w:val="3FEC448D"/>
    <w:rsid w:val="400F10AC"/>
    <w:rsid w:val="40E81083"/>
    <w:rsid w:val="419D23DD"/>
    <w:rsid w:val="430B6055"/>
    <w:rsid w:val="43B536DB"/>
    <w:rsid w:val="441E1760"/>
    <w:rsid w:val="44564E69"/>
    <w:rsid w:val="44751EFA"/>
    <w:rsid w:val="44CE29A6"/>
    <w:rsid w:val="458C32EB"/>
    <w:rsid w:val="45911E86"/>
    <w:rsid w:val="45F63D87"/>
    <w:rsid w:val="46B97DE2"/>
    <w:rsid w:val="46CE2905"/>
    <w:rsid w:val="47D155E3"/>
    <w:rsid w:val="47DB724D"/>
    <w:rsid w:val="486271DE"/>
    <w:rsid w:val="48AD52CC"/>
    <w:rsid w:val="48EC433E"/>
    <w:rsid w:val="49813F21"/>
    <w:rsid w:val="4AEE3EC0"/>
    <w:rsid w:val="4BAF11B0"/>
    <w:rsid w:val="4C234366"/>
    <w:rsid w:val="4CEB1B22"/>
    <w:rsid w:val="4EB3535F"/>
    <w:rsid w:val="4ECE2238"/>
    <w:rsid w:val="4F603BFA"/>
    <w:rsid w:val="4FC07671"/>
    <w:rsid w:val="504B2338"/>
    <w:rsid w:val="51466070"/>
    <w:rsid w:val="524B0766"/>
    <w:rsid w:val="52554EE7"/>
    <w:rsid w:val="52AC13DE"/>
    <w:rsid w:val="535775A3"/>
    <w:rsid w:val="53E47676"/>
    <w:rsid w:val="548E768D"/>
    <w:rsid w:val="54FE6700"/>
    <w:rsid w:val="550A4E33"/>
    <w:rsid w:val="55D30DF6"/>
    <w:rsid w:val="562211A8"/>
    <w:rsid w:val="580E2FC4"/>
    <w:rsid w:val="58A15CA7"/>
    <w:rsid w:val="594677CF"/>
    <w:rsid w:val="5969289B"/>
    <w:rsid w:val="5B917B93"/>
    <w:rsid w:val="5C082C91"/>
    <w:rsid w:val="5E0A5040"/>
    <w:rsid w:val="5E0C060A"/>
    <w:rsid w:val="5F6C3A22"/>
    <w:rsid w:val="5F874B93"/>
    <w:rsid w:val="62F71D37"/>
    <w:rsid w:val="63120583"/>
    <w:rsid w:val="64045B21"/>
    <w:rsid w:val="664219AE"/>
    <w:rsid w:val="66461321"/>
    <w:rsid w:val="6647679F"/>
    <w:rsid w:val="67AC484F"/>
    <w:rsid w:val="687F389F"/>
    <w:rsid w:val="69AF5329"/>
    <w:rsid w:val="6A2B5E6F"/>
    <w:rsid w:val="6B686FCE"/>
    <w:rsid w:val="6C4A05C8"/>
    <w:rsid w:val="6DC40310"/>
    <w:rsid w:val="6DE90137"/>
    <w:rsid w:val="6FB42D2A"/>
    <w:rsid w:val="6FFE518E"/>
    <w:rsid w:val="70340661"/>
    <w:rsid w:val="72623C43"/>
    <w:rsid w:val="72734D90"/>
    <w:rsid w:val="72B20375"/>
    <w:rsid w:val="74112472"/>
    <w:rsid w:val="749F2CCA"/>
    <w:rsid w:val="762D761E"/>
    <w:rsid w:val="76E50571"/>
    <w:rsid w:val="77572B84"/>
    <w:rsid w:val="78672274"/>
    <w:rsid w:val="78D91262"/>
    <w:rsid w:val="793951EC"/>
    <w:rsid w:val="79C16C07"/>
    <w:rsid w:val="79C40005"/>
    <w:rsid w:val="79E66E62"/>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6">
    <w:name w:val="Body Text"/>
    <w:basedOn w:val="1"/>
    <w:link w:val="28"/>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kern w:val="0"/>
      <w:sz w:val="18"/>
      <w:szCs w:val="20"/>
    </w:rPr>
  </w:style>
  <w:style w:type="paragraph" w:styleId="10">
    <w:name w:val="header"/>
    <w:basedOn w:val="1"/>
    <w:link w:val="3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99"/>
    <w:rPr>
      <w:rFonts w:cs="Times New Roman"/>
      <w:b/>
    </w:rPr>
  </w:style>
  <w:style w:type="character" w:styleId="17">
    <w:name w:val="page number"/>
    <w:basedOn w:val="15"/>
    <w:qFormat/>
    <w:uiPriority w:val="0"/>
    <w:rPr>
      <w:rFonts w:cs="Times New Roman"/>
    </w:rPr>
  </w:style>
  <w:style w:type="character" w:styleId="18">
    <w:name w:val="Hyperlink"/>
    <w:unhideWhenUsed/>
    <w:qFormat/>
    <w:uiPriority w:val="99"/>
    <w:rPr>
      <w:rFonts w:cs="Times New Roman"/>
      <w:color w:val="0000FF"/>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0">
    <w:name w:val="List Paragraph1"/>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3">
    <w:name w:val="List Paragraph"/>
    <w:basedOn w:val="1"/>
    <w:qFormat/>
    <w:uiPriority w:val="34"/>
    <w:pPr>
      <w:ind w:firstLine="420" w:firstLineChars="200"/>
    </w:pPr>
  </w:style>
  <w:style w:type="paragraph" w:customStyle="1" w:styleId="24">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5">
    <w:name w:val="Header Char"/>
    <w:semiHidden/>
    <w:qFormat/>
    <w:uiPriority w:val="99"/>
    <w:rPr>
      <w:rFonts w:ascii="Times New Roman" w:hAnsi="Times New Roman" w:cs="Times New Roman"/>
      <w:sz w:val="18"/>
      <w:szCs w:val="18"/>
    </w:rPr>
  </w:style>
  <w:style w:type="character" w:customStyle="1" w:styleId="26">
    <w:name w:val="Body Text Char"/>
    <w:semiHidden/>
    <w:qFormat/>
    <w:uiPriority w:val="99"/>
    <w:rPr>
      <w:rFonts w:ascii="Times New Roman" w:hAnsi="Times New Roman" w:cs="Times New Roman"/>
      <w:sz w:val="24"/>
      <w:szCs w:val="24"/>
    </w:rPr>
  </w:style>
  <w:style w:type="character" w:customStyle="1" w:styleId="27">
    <w:name w:val="标题 2 Char"/>
    <w:link w:val="4"/>
    <w:qFormat/>
    <w:locked/>
    <w:uiPriority w:val="9"/>
    <w:rPr>
      <w:rFonts w:ascii="Cambria" w:hAnsi="Cambria" w:eastAsia="宋体" w:cs="Times New Roman"/>
      <w:b/>
      <w:bCs/>
      <w:kern w:val="2"/>
      <w:sz w:val="32"/>
      <w:szCs w:val="32"/>
    </w:rPr>
  </w:style>
  <w:style w:type="character" w:customStyle="1" w:styleId="28">
    <w:name w:val="正文文本 Char"/>
    <w:link w:val="6"/>
    <w:qFormat/>
    <w:locked/>
    <w:uiPriority w:val="99"/>
    <w:rPr>
      <w:rFonts w:ascii="仿宋_GB2312" w:hAnsi="Times New Roman" w:eastAsia="仿宋_GB2312"/>
      <w:sz w:val="24"/>
    </w:rPr>
  </w:style>
  <w:style w:type="character" w:customStyle="1" w:styleId="29">
    <w:name w:val="批注框文本 Char"/>
    <w:link w:val="8"/>
    <w:semiHidden/>
    <w:qFormat/>
    <w:locked/>
    <w:uiPriority w:val="99"/>
    <w:rPr>
      <w:rFonts w:ascii="Times New Roman" w:hAnsi="Times New Roman" w:cs="Times New Roman"/>
      <w:kern w:val="2"/>
      <w:sz w:val="18"/>
      <w:szCs w:val="18"/>
    </w:rPr>
  </w:style>
  <w:style w:type="character" w:customStyle="1" w:styleId="30">
    <w:name w:val="页脚 Char"/>
    <w:link w:val="9"/>
    <w:qFormat/>
    <w:locked/>
    <w:uiPriority w:val="99"/>
    <w:rPr>
      <w:sz w:val="18"/>
    </w:rPr>
  </w:style>
  <w:style w:type="character" w:customStyle="1" w:styleId="31">
    <w:name w:val="Footer Char"/>
    <w:semiHidden/>
    <w:qFormat/>
    <w:uiPriority w:val="99"/>
    <w:rPr>
      <w:rFonts w:ascii="Times New Roman" w:hAnsi="Times New Roman" w:cs="Times New Roman"/>
      <w:sz w:val="18"/>
      <w:szCs w:val="18"/>
    </w:rPr>
  </w:style>
  <w:style w:type="character" w:customStyle="1" w:styleId="32">
    <w:name w:val="标题 3 Char"/>
    <w:link w:val="5"/>
    <w:qFormat/>
    <w:locked/>
    <w:uiPriority w:val="9"/>
    <w:rPr>
      <w:rFonts w:ascii="Times New Roman" w:hAnsi="Times New Roman" w:cs="Times New Roman"/>
      <w:b/>
      <w:bCs/>
      <w:kern w:val="2"/>
      <w:sz w:val="32"/>
      <w:szCs w:val="32"/>
    </w:rPr>
  </w:style>
  <w:style w:type="character" w:customStyle="1" w:styleId="33">
    <w:name w:val="标题 1 Char"/>
    <w:link w:val="3"/>
    <w:qFormat/>
    <w:locked/>
    <w:uiPriority w:val="9"/>
    <w:rPr>
      <w:rFonts w:ascii="Times New Roman" w:hAnsi="Times New Roman" w:cs="Times New Roman"/>
      <w:b/>
      <w:bCs/>
      <w:kern w:val="44"/>
      <w:sz w:val="44"/>
      <w:szCs w:val="44"/>
    </w:rPr>
  </w:style>
  <w:style w:type="character" w:customStyle="1" w:styleId="34">
    <w:name w:val="页眉 Char"/>
    <w:link w:val="10"/>
    <w:semiHidden/>
    <w:qFormat/>
    <w:locked/>
    <w:uiPriority w:val="99"/>
    <w:rPr>
      <w:sz w:val="1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8703</Words>
  <Characters>9225</Characters>
  <Lines>173</Lines>
  <Paragraphs>48</Paragraphs>
  <TotalTime>14</TotalTime>
  <ScaleCrop>false</ScaleCrop>
  <LinksUpToDate>false</LinksUpToDate>
  <CharactersWithSpaces>9283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admin</cp:lastModifiedBy>
  <cp:lastPrinted>2023-09-15T02:41:00Z</cp:lastPrinted>
  <dcterms:modified xsi:type="dcterms:W3CDTF">2025-09-17T14:11:44Z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26BEC523008F4FCF940973393DED705C</vt:lpwstr>
  </property>
</Properties>
</file>