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6"/>
      <w:bookmarkStart w:id="2" w:name="_Toc15377194"/>
      <w:bookmarkStart w:id="3" w:name="_Toc15396476"/>
      <w:bookmarkStart w:id="4" w:name="_Toc15396598"/>
      <w:bookmarkStart w:id="5" w:name="_Toc15378442"/>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中国共产主义青年团乐山市金口河区委员会</w:t>
      </w:r>
      <w:r>
        <w:rPr>
          <w:rFonts w:hint="eastAsia" w:ascii="方正小标宋简体" w:hAnsi="方正小标宋简体" w:eastAsia="方正小标宋简体" w:cs="方正小标宋简体"/>
          <w:sz w:val="72"/>
          <w:szCs w:val="72"/>
          <w:lang w:val="en-US" w:eastAsia="zh-CN"/>
        </w:rPr>
        <w:t>单位</w:t>
      </w:r>
      <w:r>
        <w:rPr>
          <w:rFonts w:hint="eastAsia" w:ascii="方正小标宋简体" w:hAnsi="方正小标宋简体" w:eastAsia="方正小标宋简体" w:cs="方正小标宋简体"/>
          <w:sz w:val="72"/>
          <w:szCs w:val="72"/>
        </w:rPr>
        <w:t>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9"/>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 xml:space="preserve">第一部分 </w:t>
      </w:r>
      <w:r>
        <w:rPr>
          <w:rFonts w:hint="eastAsia"/>
          <w:b/>
          <w:bCs/>
          <w:sz w:val="28"/>
          <w:szCs w:val="28"/>
          <w:lang w:val="en-US" w:eastAsia="zh-CN"/>
        </w:rPr>
        <w:t>单位</w:t>
      </w:r>
      <w:r>
        <w:rPr>
          <w:rFonts w:hint="eastAsia"/>
          <w:b/>
          <w:bCs/>
          <w:sz w:val="28"/>
          <w:szCs w:val="28"/>
        </w:rPr>
        <w:t>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主要</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9"/>
        <w:tabs>
          <w:tab w:val="right" w:leader="dot" w:pos="9240"/>
        </w:tabs>
        <w:rPr>
          <w:sz w:val="28"/>
          <w:szCs w:val="28"/>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w:t>
      </w:r>
      <w:r>
        <w:rPr>
          <w:rFonts w:hint="eastAsia"/>
          <w:b/>
          <w:bCs/>
          <w:sz w:val="28"/>
          <w:szCs w:val="28"/>
          <w:lang w:val="en-US" w:eastAsia="zh-CN"/>
        </w:rPr>
        <w:t>单位</w:t>
      </w:r>
      <w:r>
        <w:rPr>
          <w:rFonts w:hint="eastAsia"/>
          <w:b/>
          <w:bCs/>
          <w:sz w:val="28"/>
          <w:szCs w:val="28"/>
        </w:rPr>
        <w:t>决算情况说明</w:t>
      </w:r>
      <w:r>
        <w:rPr>
          <w:b/>
          <w:bCs/>
          <w:sz w:val="28"/>
          <w:szCs w:val="28"/>
        </w:rPr>
        <w:tab/>
      </w:r>
      <w:r>
        <w:rPr>
          <w:rFonts w:hint="eastAsia"/>
          <w:b/>
          <w:bCs/>
          <w:sz w:val="28"/>
          <w:szCs w:val="28"/>
          <w:lang w:val="en-US" w:eastAsia="zh-CN"/>
        </w:rPr>
        <w:t>6</w:t>
      </w:r>
      <w:r>
        <w:rPr>
          <w:b/>
          <w:bCs/>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6</w:t>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7</w:t>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0</w:t>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bookmarkStart w:id="10" w:name="_Toc14598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40"/>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1" w:name="_Toc27246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fldChar w:fldCharType="end"/>
      </w:r>
    </w:p>
    <w:p>
      <w:pPr>
        <w:pStyle w:val="40"/>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2" w:name="_Toc2558_WPSOffice_Level2Page"/>
      <w:r>
        <w:rPr>
          <w:rFonts w:hint="eastAsia" w:asciiTheme="majorEastAsia" w:hAnsiTheme="majorEastAsia" w:eastAsiaTheme="majorEastAsia" w:cstheme="majorEastAsia"/>
          <w:sz w:val="28"/>
          <w:szCs w:val="28"/>
        </w:rPr>
        <w:t>1</w:t>
      </w:r>
      <w:bookmarkEnd w:id="12"/>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2</w:t>
      </w:r>
    </w:p>
    <w:p>
      <w:pPr>
        <w:pStyle w:val="39"/>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3" w:name="_Toc20400_WPSOffice_Level1Page"/>
      <w:r>
        <w:rPr>
          <w:b/>
          <w:bCs/>
          <w:sz w:val="28"/>
          <w:szCs w:val="28"/>
        </w:rPr>
        <w:t>1</w:t>
      </w:r>
      <w:bookmarkEnd w:id="13"/>
      <w:r>
        <w:rPr>
          <w:b/>
          <w:bCs/>
          <w:sz w:val="28"/>
          <w:szCs w:val="28"/>
        </w:rPr>
        <w:fldChar w:fldCharType="end"/>
      </w:r>
      <w:r>
        <w:rPr>
          <w:rFonts w:hint="eastAsia"/>
          <w:b/>
          <w:bCs/>
          <w:sz w:val="28"/>
          <w:szCs w:val="28"/>
          <w:lang w:val="en-US" w:eastAsia="zh-CN"/>
        </w:rPr>
        <w:t>5</w:t>
      </w:r>
    </w:p>
    <w:p>
      <w:pPr>
        <w:pStyle w:val="39"/>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4" w:name="_Toc2946_WPSOffice_Level1Page"/>
      <w:r>
        <w:rPr>
          <w:b/>
          <w:bCs/>
          <w:sz w:val="28"/>
          <w:szCs w:val="28"/>
        </w:rPr>
        <w:t>1</w:t>
      </w:r>
      <w:bookmarkEnd w:id="14"/>
      <w:r>
        <w:rPr>
          <w:b/>
          <w:bCs/>
          <w:sz w:val="28"/>
          <w:szCs w:val="28"/>
        </w:rPr>
        <w:fldChar w:fldCharType="end"/>
      </w:r>
      <w:r>
        <w:rPr>
          <w:rFonts w:hint="eastAsia"/>
          <w:b/>
          <w:bCs/>
          <w:sz w:val="28"/>
          <w:szCs w:val="28"/>
          <w:lang w:val="en-US" w:eastAsia="zh-CN"/>
        </w:rPr>
        <w:t>8</w:t>
      </w:r>
    </w:p>
    <w:p>
      <w:pPr>
        <w:pStyle w:val="39"/>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19</w:t>
      </w:r>
    </w:p>
    <w:p>
      <w:pPr>
        <w:pStyle w:val="40"/>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19</w:t>
      </w:r>
    </w:p>
    <w:bookmarkEnd w:id="7"/>
    <w:p>
      <w:pPr>
        <w:pStyle w:val="40"/>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5" w:name="_Toc15396599"/>
      <w:bookmarkStart w:id="16" w:name="_Toc15377196"/>
      <w:r>
        <w:rPr>
          <w:rFonts w:hint="eastAsia" w:ascii="仿宋" w:hAnsi="仿宋" w:eastAsia="仿宋" w:cs="仿宋"/>
          <w:sz w:val="32"/>
          <w:szCs w:val="32"/>
        </w:rPr>
        <w:br w:type="page"/>
      </w:r>
    </w:p>
    <w:p>
      <w:pPr>
        <w:pStyle w:val="5"/>
        <w:jc w:val="center"/>
      </w:pPr>
      <w:bookmarkStart w:id="17" w:name="_Toc20678_WPSOffice_Level1"/>
      <w:r>
        <w:rPr>
          <w:rFonts w:hint="eastAsia" w:ascii="黑体" w:hAnsi="黑体" w:eastAsia="黑体" w:cs="黑体"/>
          <w:b w:val="0"/>
          <w:bCs w:val="0"/>
        </w:rPr>
        <w:t>第一部分</w:t>
      </w:r>
      <w:r>
        <w:rPr>
          <w:rFonts w:hint="eastAsia" w:ascii="黑体" w:hAnsi="黑体" w:eastAsia="黑体" w:cs="黑体"/>
          <w:b w:val="0"/>
          <w:bCs w:val="0"/>
          <w:lang w:val="en-US" w:eastAsia="zh-CN"/>
        </w:rPr>
        <w:t xml:space="preserve"> 单位</w:t>
      </w:r>
      <w:r>
        <w:rPr>
          <w:rFonts w:hint="eastAsia" w:ascii="黑体" w:hAnsi="黑体" w:eastAsia="黑体" w:cs="黑体"/>
          <w:b w:val="0"/>
          <w:bCs w:val="0"/>
        </w:rPr>
        <w:t>概况</w:t>
      </w:r>
      <w:bookmarkEnd w:id="15"/>
      <w:bookmarkEnd w:id="16"/>
      <w:bookmarkEnd w:id="17"/>
    </w:p>
    <w:p>
      <w:pPr>
        <w:pStyle w:val="6"/>
        <w:jc w:val="left"/>
        <w:rPr>
          <w:rFonts w:ascii="黑体" w:hAnsi="黑体" w:eastAsia="黑体" w:cs="黑体"/>
          <w:b w:val="0"/>
          <w:bCs w:val="0"/>
        </w:rPr>
      </w:pPr>
      <w:bookmarkStart w:id="18" w:name="_Toc4287_WPSOffice_Level2"/>
      <w:bookmarkStart w:id="19" w:name="_Toc15377197"/>
      <w:bookmarkStart w:id="20" w:name="_Toc15396600"/>
      <w:r>
        <w:rPr>
          <w:rFonts w:hint="eastAsia" w:ascii="黑体" w:hAnsi="黑体" w:eastAsia="黑体" w:cs="黑体"/>
          <w:b w:val="0"/>
          <w:bCs w:val="0"/>
        </w:rPr>
        <w:t>一、</w:t>
      </w:r>
      <w:bookmarkEnd w:id="18"/>
      <w:bookmarkEnd w:id="19"/>
      <w:bookmarkEnd w:id="20"/>
      <w:r>
        <w:rPr>
          <w:rFonts w:hint="eastAsia" w:ascii="黑体" w:hAnsi="黑体" w:eastAsia="黑体" w:cs="黑体"/>
          <w:b w:val="0"/>
          <w:bCs w:val="0"/>
          <w:lang w:val="en-US" w:eastAsia="zh-CN"/>
        </w:rPr>
        <w:t>主要职责</w:t>
      </w:r>
    </w:p>
    <w:p>
      <w:pPr>
        <w:pStyle w:val="16"/>
        <w:spacing w:before="0" w:beforeAutospacing="0" w:after="0" w:afterAutospacing="0" w:line="600" w:lineRule="exact"/>
        <w:ind w:firstLine="640" w:firstLineChars="200"/>
        <w:jc w:val="both"/>
        <w:rPr>
          <w:rFonts w:hint="eastAsia" w:ascii="仿宋" w:hAnsi="仿宋" w:eastAsia="仿宋" w:cs="仿宋"/>
          <w:kern w:val="2"/>
          <w:sz w:val="32"/>
          <w:szCs w:val="32"/>
          <w:lang w:val="en-US" w:eastAsia="zh-CN" w:bidi="ar-SA"/>
        </w:rPr>
      </w:pPr>
      <w:bookmarkStart w:id="21" w:name="_Toc15396601"/>
      <w:bookmarkStart w:id="22" w:name="_Toc15377200"/>
      <w:bookmarkStart w:id="23" w:name="_Toc20400_WPSOffice_Level2"/>
      <w:r>
        <w:rPr>
          <w:rFonts w:hint="eastAsia" w:ascii="仿宋" w:hAnsi="仿宋" w:eastAsia="仿宋" w:cs="仿宋"/>
          <w:kern w:val="2"/>
          <w:sz w:val="32"/>
          <w:szCs w:val="32"/>
          <w:lang w:val="en-US" w:eastAsia="zh-CN" w:bidi="ar-SA"/>
        </w:rPr>
        <w:t>领导全区共青团工作；在区青联中发挥核心作用；指导区学联工作；受党的委托领导本区少先队工作；依法对区级青年社团和青少年教育、活动、服务阵地等进行归口管理或业务指导。教育、引导本区团员青年高举邓小平理论伟大旗帜，贯彻党在社会主义初级阶段的基本路线；按照“三个代表”的要求，在金口河两个文明建设中培养和造就一代有理想、有道德、有文化、有纪律的社会主义事业建设者和接班人；积极为党输送新鲜血液。适应金口河经济和社会发展的需要，围绕党的中心任务，组织开展形式多样、适合青少年特点、健康有益的活动；充分发挥青少年在两个文明建设中的生力军和突击队作用，满足青少年成长成才的需要。调查研究本区青少年生存发展和青少年工作状况；参与制定并实施本区青少年工作和青少年事业发展规划；参与制定并实施本区有关青年和青年工作的政策；配合政府处理、协调和督办与本区青少年权益相关有事务；积极发挥共青团在政府和社会事务管理中的民主参与、民主监督作用。协助党和政府做好本区在校学生、职业青年的教育、引导工作；以社区为依托，整合各种资源，为社区各类青少年群体提供服务和帮助，切实维护社会的安定团结。开展青年统战工作，建立广泛的青年爱国统一战线，做好青年统战对象的团结、教育工作，维护、促进祖国统一和民族团结。坚持以党建带团建，按照群众化、社会化、民主化和法制化的要求，加强本区基层团组织的建设，增强共青团组织的感召力、凝聚力和吸引力；积极运用信息技术，推动本区青少年工作手段的现代化。加强机关建设，提高机关管理的科学化、规范化、制度化和信息化水平；大力选拔、培养和输送年轻干部。承办区委、区政府交办的其他事项。</w:t>
      </w:r>
    </w:p>
    <w:p>
      <w:pPr>
        <w:pStyle w:val="6"/>
        <w:jc w:val="left"/>
        <w:rPr>
          <w:rFonts w:ascii="黑体" w:hAnsi="黑体" w:eastAsia="黑体" w:cs="黑体"/>
          <w:b w:val="0"/>
          <w:bCs w:val="0"/>
        </w:rPr>
      </w:pPr>
      <w:r>
        <w:rPr>
          <w:rFonts w:hint="eastAsia" w:ascii="黑体" w:hAnsi="黑体" w:eastAsia="黑体" w:cs="黑体"/>
          <w:b w:val="0"/>
          <w:bCs w:val="0"/>
        </w:rPr>
        <w:t>二、机构设置</w:t>
      </w:r>
      <w:bookmarkEnd w:id="21"/>
      <w:bookmarkEnd w:id="22"/>
      <w:bookmarkEnd w:id="23"/>
    </w:p>
    <w:p>
      <w:pPr>
        <w:ind w:firstLine="640" w:firstLineChars="200"/>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中国共产主义青年团乐山市金口河区委员会部</w:t>
      </w:r>
      <w:r>
        <w:rPr>
          <w:rFonts w:hint="eastAsia" w:ascii="仿宋" w:hAnsi="仿宋" w:eastAsia="仿宋" w:cs="仿宋"/>
          <w:sz w:val="32"/>
          <w:szCs w:val="32"/>
          <w:lang w:val="en-US" w:eastAsia="zh-CN"/>
        </w:rPr>
        <w:t>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内设办公室</w:t>
      </w:r>
      <w:r>
        <w:rPr>
          <w:rFonts w:hint="eastAsia" w:ascii="仿宋" w:hAnsi="仿宋" w:eastAsia="仿宋" w:cs="仿宋"/>
          <w:sz w:val="32"/>
          <w:szCs w:val="32"/>
          <w:lang w:eastAsia="zh-CN"/>
        </w:rPr>
        <w:t>。</w:t>
      </w:r>
    </w:p>
    <w:p>
      <w:pPr>
        <w:jc w:val="center"/>
        <w:outlineLvl w:val="0"/>
        <w:rPr>
          <w:rFonts w:hint="eastAsia"/>
          <w:b/>
          <w:bCs/>
          <w:kern w:val="44"/>
          <w:sz w:val="44"/>
          <w:szCs w:val="44"/>
        </w:rPr>
      </w:pPr>
      <w:bookmarkStart w:id="24" w:name="_Toc4287_WPSOffice_Level1"/>
      <w:bookmarkStart w:id="25" w:name="_Toc15396602"/>
      <w:bookmarkStart w:id="26" w:name="_Toc15377204"/>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7"/>
        <w:rPr>
          <w:rFonts w:hint="eastAsia"/>
          <w:b/>
          <w:bCs/>
          <w:kern w:val="44"/>
          <w:sz w:val="44"/>
          <w:szCs w:val="44"/>
        </w:rPr>
      </w:pPr>
    </w:p>
    <w:p>
      <w:pPr>
        <w:rPr>
          <w:rFonts w:hint="eastAsia"/>
          <w:b/>
          <w:bCs/>
          <w:kern w:val="44"/>
          <w:sz w:val="44"/>
          <w:szCs w:val="44"/>
        </w:rPr>
      </w:pPr>
    </w:p>
    <w:p>
      <w:pPr>
        <w:pStyle w:val="17"/>
        <w:rPr>
          <w:rFonts w:hint="eastAsia"/>
          <w:b/>
          <w:bCs/>
          <w:kern w:val="44"/>
          <w:sz w:val="44"/>
          <w:szCs w:val="44"/>
        </w:rPr>
      </w:pPr>
    </w:p>
    <w:p>
      <w:pPr>
        <w:rPr>
          <w:rFonts w:hint="eastAsia"/>
          <w:b/>
          <w:bCs/>
          <w:kern w:val="44"/>
          <w:sz w:val="44"/>
          <w:szCs w:val="44"/>
        </w:rPr>
      </w:pPr>
    </w:p>
    <w:p>
      <w:pPr>
        <w:pStyle w:val="17"/>
        <w:rPr>
          <w:rFonts w:hint="eastAsia"/>
          <w:b/>
          <w:bCs/>
          <w:kern w:val="44"/>
          <w:sz w:val="44"/>
          <w:szCs w:val="44"/>
        </w:rPr>
      </w:pPr>
    </w:p>
    <w:p>
      <w:pPr>
        <w:rPr>
          <w:rFonts w:hint="eastAsia"/>
          <w:b/>
          <w:bCs/>
          <w:kern w:val="44"/>
          <w:sz w:val="44"/>
          <w:szCs w:val="44"/>
        </w:rPr>
      </w:pPr>
    </w:p>
    <w:p>
      <w:pPr>
        <w:pStyle w:val="17"/>
        <w:rPr>
          <w:rFonts w:hint="eastAsia"/>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w:t>
      </w:r>
      <w:r>
        <w:rPr>
          <w:rFonts w:hint="eastAsia" w:ascii="黑体" w:hAnsi="黑体" w:eastAsia="黑体" w:cs="黑体"/>
          <w:b w:val="0"/>
          <w:bCs w:val="0"/>
          <w:kern w:val="44"/>
          <w:sz w:val="44"/>
          <w:szCs w:val="44"/>
          <w:lang w:val="en-US" w:eastAsia="zh-CN"/>
        </w:rPr>
        <w:t>单位</w:t>
      </w:r>
      <w:r>
        <w:rPr>
          <w:rFonts w:hint="eastAsia" w:ascii="黑体" w:hAnsi="黑体" w:eastAsia="黑体" w:cs="黑体"/>
          <w:b w:val="0"/>
          <w:bCs w:val="0"/>
          <w:kern w:val="44"/>
          <w:sz w:val="44"/>
          <w:szCs w:val="44"/>
        </w:rPr>
        <w:t>决算情况说明</w:t>
      </w:r>
      <w:bookmarkEnd w:id="24"/>
      <w:bookmarkEnd w:id="25"/>
      <w:bookmarkEnd w:id="26"/>
    </w:p>
    <w:p>
      <w:pPr>
        <w:jc w:val="center"/>
        <w:outlineLvl w:val="0"/>
        <w:rPr>
          <w:rFonts w:hint="eastAsia"/>
          <w:b/>
          <w:bCs/>
          <w:kern w:val="44"/>
          <w:sz w:val="44"/>
          <w:szCs w:val="44"/>
        </w:rPr>
      </w:pPr>
    </w:p>
    <w:p>
      <w:pPr>
        <w:pStyle w:val="6"/>
        <w:rPr>
          <w:rFonts w:ascii="黑体" w:hAnsi="黑体" w:eastAsia="黑体" w:cs="黑体"/>
          <w:b w:val="0"/>
          <w:bCs w:val="0"/>
        </w:rPr>
      </w:pPr>
      <w:bookmarkStart w:id="27" w:name="_Toc2946_WPSOffice_Level2"/>
      <w:bookmarkStart w:id="28" w:name="_Toc15377205"/>
      <w:bookmarkStart w:id="29" w:name="_Toc15396603"/>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7"/>
      <w:bookmarkEnd w:id="28"/>
      <w:bookmarkEnd w:id="29"/>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271.54</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223.69</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增加</w:t>
      </w:r>
      <w:r>
        <w:rPr>
          <w:rFonts w:hint="eastAsia" w:ascii="仿宋_GB2312" w:hAnsi="仿宋" w:eastAsia="仿宋_GB2312"/>
          <w:sz w:val="32"/>
          <w:szCs w:val="32"/>
          <w:lang w:val="en-US" w:eastAsia="zh-CN"/>
        </w:rPr>
        <w:t>47.85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增长21.4</w:t>
      </w:r>
      <w:r>
        <w:rPr>
          <w:rFonts w:hint="eastAsia" w:ascii="仿宋_GB2312" w:hAnsi="仿宋" w:eastAsia="仿宋_GB2312"/>
          <w:sz w:val="32"/>
          <w:szCs w:val="32"/>
        </w:rPr>
        <w:t>%，</w:t>
      </w:r>
      <w:r>
        <w:rPr>
          <w:rFonts w:hint="eastAsia" w:ascii="仿宋" w:hAnsi="仿宋" w:eastAsia="仿宋" w:cs="仿宋"/>
          <w:sz w:val="32"/>
          <w:szCs w:val="32"/>
        </w:rPr>
        <w:t>主要原因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alt="" type="#_x0000_t75" style="height:120.9pt;width:193.9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6"/>
        <w:rPr>
          <w:rFonts w:ascii="黑体" w:hAnsi="黑体" w:eastAsia="黑体" w:cs="黑体"/>
          <w:b w:val="0"/>
          <w:bCs w:val="0"/>
        </w:rPr>
      </w:pPr>
      <w:bookmarkStart w:id="30" w:name="_Toc15396604"/>
      <w:bookmarkStart w:id="31" w:name="_Toc15377206"/>
      <w:bookmarkStart w:id="32" w:name="_Toc4876_WPSOffice_Level2"/>
      <w:r>
        <w:rPr>
          <w:rFonts w:hint="eastAsia" w:ascii="黑体" w:hAnsi="黑体" w:eastAsia="黑体" w:cs="黑体"/>
          <w:b w:val="0"/>
          <w:bCs w:val="0"/>
          <w:lang w:eastAsia="zh-CN"/>
        </w:rPr>
        <w:t>二、收入决算情况说明</w:t>
      </w:r>
      <w:bookmarkEnd w:id="30"/>
      <w:bookmarkEnd w:id="31"/>
      <w:bookmarkEnd w:id="3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alt="" type="#_x0000_t75" style="height:176.25pt;width:270.1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271.11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271.08</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约0.03</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6"/>
        <w:rPr>
          <w:rFonts w:ascii="黑体" w:hAnsi="黑体" w:eastAsia="黑体" w:cs="黑体"/>
          <w:b w:val="0"/>
          <w:bCs w:val="0"/>
        </w:rPr>
      </w:pPr>
      <w:bookmarkStart w:id="33" w:name="_Toc15377207"/>
      <w:bookmarkStart w:id="34" w:name="_Toc15396605"/>
      <w:bookmarkStart w:id="35" w:name="_Toc7319_WPSOffice_Level2"/>
      <w:r>
        <w:rPr>
          <w:rFonts w:hint="eastAsia" w:ascii="黑体" w:hAnsi="黑体" w:eastAsia="黑体" w:cs="黑体"/>
          <w:b w:val="0"/>
          <w:bCs w:val="0"/>
          <w:lang w:eastAsia="zh-CN"/>
        </w:rPr>
        <w:t>三、支出决算情况说明</w:t>
      </w:r>
      <w:bookmarkEnd w:id="33"/>
      <w:bookmarkEnd w:id="34"/>
      <w:bookmarkEnd w:id="35"/>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alt="" type="#_x0000_t75" style="height:142.55pt;width:234.3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271.13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239.01</w:t>
      </w:r>
      <w:r>
        <w:rPr>
          <w:rFonts w:hint="eastAsia" w:ascii="仿宋" w:hAnsi="仿宋" w:eastAsia="仿宋" w:cs="仿宋"/>
          <w:sz w:val="32"/>
          <w:szCs w:val="32"/>
        </w:rPr>
        <w:t>万元，占</w:t>
      </w:r>
      <w:r>
        <w:rPr>
          <w:rFonts w:hint="eastAsia" w:ascii="仿宋" w:hAnsi="仿宋" w:eastAsia="仿宋" w:cs="仿宋"/>
          <w:sz w:val="32"/>
          <w:szCs w:val="32"/>
          <w:lang w:val="en-US" w:eastAsia="zh-CN"/>
        </w:rPr>
        <w:t>88.2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32.12</w:t>
      </w:r>
      <w:r>
        <w:rPr>
          <w:rFonts w:hint="eastAsia" w:ascii="仿宋" w:hAnsi="仿宋" w:eastAsia="仿宋" w:cs="仿宋"/>
          <w:sz w:val="32"/>
          <w:szCs w:val="32"/>
        </w:rPr>
        <w:t>万元，占</w:t>
      </w:r>
      <w:r>
        <w:rPr>
          <w:rFonts w:hint="eastAsia" w:ascii="仿宋" w:hAnsi="仿宋" w:eastAsia="仿宋" w:cs="仿宋"/>
          <w:sz w:val="32"/>
          <w:szCs w:val="32"/>
          <w:lang w:val="en-US" w:eastAsia="zh-CN"/>
        </w:rPr>
        <w:t>11.8</w:t>
      </w:r>
      <w:r>
        <w:rPr>
          <w:rFonts w:hint="eastAsia" w:ascii="仿宋" w:hAnsi="仿宋" w:eastAsia="仿宋" w:cs="仿宋"/>
          <w:sz w:val="32"/>
          <w:szCs w:val="32"/>
        </w:rPr>
        <w:t>%；上缴上级支出0万元，占0%；经营支出0万元，占0%；对附属单位补助支出0万元，占0%。</w:t>
      </w:r>
    </w:p>
    <w:p>
      <w:pPr>
        <w:pStyle w:val="6"/>
        <w:numPr>
          <w:ilvl w:val="0"/>
          <w:numId w:val="1"/>
        </w:numPr>
        <w:rPr>
          <w:rFonts w:ascii="黑体" w:hAnsi="黑体" w:eastAsia="黑体" w:cs="黑体"/>
          <w:b w:val="0"/>
          <w:bCs w:val="0"/>
        </w:rPr>
      </w:pPr>
      <w:bookmarkStart w:id="36" w:name="_Toc27630_WPSOffice_Level2"/>
      <w:bookmarkStart w:id="37" w:name="_Toc15396606"/>
      <w:bookmarkStart w:id="38" w:name="_Toc15377208"/>
      <w:r>
        <w:rPr>
          <w:rFonts w:hint="eastAsia" w:ascii="黑体" w:hAnsi="黑体" w:eastAsia="黑体" w:cs="黑体"/>
          <w:b w:val="0"/>
          <w:bCs w:val="0"/>
          <w:lang w:eastAsia="zh-CN"/>
        </w:rPr>
        <w:t>财政拨款收入支出决算总体情况说明</w:t>
      </w:r>
      <w:bookmarkEnd w:id="36"/>
      <w:bookmarkEnd w:id="37"/>
      <w:bookmarkEnd w:id="38"/>
    </w:p>
    <w:p>
      <w:pPr>
        <w:jc w:val="center"/>
      </w:pPr>
      <w:r>
        <w:rPr>
          <w:rFonts w:hint="eastAsia" w:ascii="仿宋" w:hAnsi="仿宋" w:eastAsia="仿宋" w:cs="仿宋"/>
          <w:sz w:val="32"/>
          <w:szCs w:val="32"/>
        </w:rPr>
        <w:object>
          <v:shape id="_x0000_i1028" o:spt="75" alt="" type="#_x0000_t75" style="height:114.25pt;width:222.2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271.18</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223.27</w:t>
      </w:r>
      <w:r>
        <w:rPr>
          <w:rFonts w:hint="eastAsia" w:ascii="仿宋" w:hAnsi="仿宋" w:eastAsia="仿宋" w:cs="仿宋"/>
          <w:sz w:val="32"/>
          <w:szCs w:val="32"/>
        </w:rPr>
        <w:t>万元相比，财政拨款收、支总计</w:t>
      </w:r>
      <w:r>
        <w:rPr>
          <w:rFonts w:hint="eastAsia" w:ascii="仿宋_GB2312" w:hAnsi="仿宋" w:eastAsia="仿宋_GB2312"/>
          <w:sz w:val="32"/>
          <w:szCs w:val="32"/>
          <w:lang w:val="en-US" w:eastAsia="zh-CN"/>
        </w:rPr>
        <w:t>增加</w:t>
      </w:r>
      <w:r>
        <w:rPr>
          <w:rFonts w:hint="eastAsia" w:ascii="仿宋" w:hAnsi="仿宋" w:eastAsia="仿宋" w:cs="仿宋"/>
          <w:sz w:val="32"/>
          <w:szCs w:val="32"/>
          <w:lang w:val="en-US" w:eastAsia="zh-CN"/>
        </w:rPr>
        <w:t>47.91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增长21.5</w:t>
      </w:r>
      <w:r>
        <w:rPr>
          <w:rFonts w:hint="eastAsia" w:ascii="仿宋" w:hAnsi="仿宋" w:eastAsia="仿宋" w:cs="仿宋"/>
          <w:sz w:val="32"/>
          <w:szCs w:val="32"/>
        </w:rPr>
        <w:t>%。主要</w:t>
      </w:r>
      <w:r>
        <w:rPr>
          <w:rFonts w:hint="eastAsia" w:ascii="仿宋" w:hAnsi="仿宋" w:eastAsia="仿宋" w:cs="仿宋"/>
          <w:sz w:val="32"/>
          <w:szCs w:val="32"/>
          <w:lang w:val="en-US" w:eastAsia="zh-CN"/>
        </w:rPr>
        <w:t>变动</w:t>
      </w:r>
      <w:r>
        <w:rPr>
          <w:rFonts w:hint="eastAsia" w:ascii="仿宋" w:hAnsi="仿宋" w:eastAsia="仿宋" w:cs="仿宋"/>
          <w:sz w:val="32"/>
          <w:szCs w:val="32"/>
        </w:rPr>
        <w:t>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pStyle w:val="6"/>
        <w:rPr>
          <w:rFonts w:ascii="黑体" w:hAnsi="黑体" w:eastAsia="黑体" w:cs="黑体"/>
          <w:b w:val="0"/>
          <w:bCs w:val="0"/>
        </w:rPr>
      </w:pPr>
      <w:bookmarkStart w:id="39" w:name="_Toc15377209"/>
      <w:bookmarkStart w:id="40" w:name="_Toc5302_WPSOffice_Level2"/>
      <w:bookmarkStart w:id="41" w:name="_Toc15396607"/>
      <w:r>
        <w:rPr>
          <w:rFonts w:hint="eastAsia" w:ascii="黑体" w:hAnsi="黑体" w:eastAsia="黑体" w:cs="黑体"/>
          <w:b w:val="0"/>
          <w:bCs w:val="0"/>
          <w:lang w:eastAsia="zh-CN"/>
        </w:rPr>
        <w:t>五、一般公共预算财政拨款支出决算情况说明</w:t>
      </w:r>
      <w:bookmarkEnd w:id="39"/>
      <w:bookmarkEnd w:id="40"/>
      <w:bookmarkEnd w:id="41"/>
    </w:p>
    <w:p>
      <w:pPr>
        <w:ind w:firstLine="643" w:firstLineChars="200"/>
        <w:rPr>
          <w:rFonts w:ascii="仿宋" w:hAnsi="仿宋" w:eastAsia="仿宋" w:cs="仿宋"/>
          <w:b/>
          <w:bCs/>
          <w:sz w:val="32"/>
          <w:szCs w:val="32"/>
        </w:rPr>
      </w:pPr>
      <w:bookmarkStart w:id="42" w:name="_Toc15377210"/>
      <w:r>
        <w:rPr>
          <w:rFonts w:hint="eastAsia" w:ascii="仿宋" w:hAnsi="仿宋" w:eastAsia="仿宋" w:cs="仿宋"/>
          <w:b/>
          <w:bCs/>
          <w:sz w:val="32"/>
          <w:szCs w:val="32"/>
        </w:rPr>
        <w:t>（一）一般公共预算财政拨款支出决算总体情况</w:t>
      </w:r>
      <w:bookmarkEnd w:id="4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alt="" type="#_x0000_t75" style="height:127.8pt;width:197.6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271.08</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223.17</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增加47.91</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增长21.5</w:t>
      </w:r>
      <w:r>
        <w:rPr>
          <w:rFonts w:hint="eastAsia" w:ascii="仿宋" w:hAnsi="仿宋" w:eastAsia="仿宋" w:cs="仿宋"/>
          <w:sz w:val="32"/>
          <w:szCs w:val="32"/>
        </w:rPr>
        <w:t>%。</w:t>
      </w:r>
      <w:bookmarkStart w:id="43" w:name="_Toc15377211"/>
      <w:r>
        <w:rPr>
          <w:rFonts w:hint="eastAsia" w:ascii="仿宋" w:hAnsi="仿宋" w:eastAsia="仿宋" w:cs="仿宋"/>
          <w:sz w:val="32"/>
          <w:szCs w:val="32"/>
        </w:rPr>
        <w:t>主要</w:t>
      </w:r>
      <w:r>
        <w:rPr>
          <w:rFonts w:hint="eastAsia" w:ascii="仿宋" w:hAnsi="仿宋" w:eastAsia="仿宋" w:cs="仿宋"/>
          <w:sz w:val="32"/>
          <w:szCs w:val="32"/>
          <w:lang w:val="en-US" w:eastAsia="zh-CN"/>
        </w:rPr>
        <w:t>变动</w:t>
      </w:r>
      <w:r>
        <w:rPr>
          <w:rFonts w:hint="eastAsia" w:ascii="仿宋" w:hAnsi="仿宋" w:eastAsia="仿宋" w:cs="仿宋"/>
          <w:sz w:val="32"/>
          <w:szCs w:val="32"/>
        </w:rPr>
        <w:t>原因</w:t>
      </w:r>
      <w:r>
        <w:rPr>
          <w:rFonts w:hint="eastAsia" w:ascii="仿宋" w:hAnsi="仿宋" w:eastAsia="仿宋" w:cs="仿宋"/>
          <w:sz w:val="32"/>
          <w:szCs w:val="32"/>
          <w:lang w:eastAsia="zh-CN"/>
        </w:rPr>
        <w:t>：</w:t>
      </w:r>
      <w:r>
        <w:rPr>
          <w:rFonts w:hint="eastAsia" w:ascii="仿宋" w:hAnsi="仿宋" w:eastAsia="仿宋" w:cs="仿宋"/>
          <w:sz w:val="32"/>
          <w:szCs w:val="32"/>
        </w:rPr>
        <w:t>一是公务员增加；二是志愿者增加；三是人员工资福利增长。</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3"/>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2" o:spt="75" alt="" type="#_x0000_t75" style="height:199.4pt;width:369.05pt;" o:ole="t" filled="f" o:preferrelative="t" stroked="f" coordsize="21600,21600">
            <v:path/>
            <v:fill on="f" focussize="0,0"/>
            <v:stroke on="f"/>
            <v:imagedata r:id="rId17" o:title=""/>
            <o:lock v:ext="edit" aspectratio="t"/>
            <w10:wrap type="none"/>
            <w10:anchorlock/>
          </v:shape>
          <o:OLEObject Type="Embed" ProgID="Excel.Chart.8" ShapeID="_x0000_i1032"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271.08</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124.51</w:t>
      </w:r>
      <w:r>
        <w:rPr>
          <w:rFonts w:hint="eastAsia" w:ascii="仿宋" w:hAnsi="仿宋" w:eastAsia="仿宋" w:cs="仿宋"/>
          <w:sz w:val="32"/>
          <w:szCs w:val="32"/>
        </w:rPr>
        <w:t>万元，占</w:t>
      </w:r>
      <w:r>
        <w:rPr>
          <w:rFonts w:hint="eastAsia" w:ascii="仿宋" w:hAnsi="仿宋" w:eastAsia="仿宋" w:cs="仿宋"/>
          <w:sz w:val="32"/>
          <w:szCs w:val="32"/>
          <w:lang w:val="en-US" w:eastAsia="zh-CN"/>
        </w:rPr>
        <w:t>45.9</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141.1</w:t>
      </w:r>
      <w:r>
        <w:rPr>
          <w:rFonts w:hint="eastAsia" w:ascii="仿宋" w:hAnsi="仿宋" w:eastAsia="仿宋" w:cs="仿宋"/>
          <w:sz w:val="32"/>
          <w:szCs w:val="32"/>
        </w:rPr>
        <w:t>万元，占</w:t>
      </w:r>
      <w:r>
        <w:rPr>
          <w:rFonts w:hint="eastAsia" w:ascii="仿宋" w:hAnsi="仿宋" w:eastAsia="仿宋" w:cs="仿宋"/>
          <w:sz w:val="32"/>
          <w:szCs w:val="32"/>
          <w:lang w:val="en-US" w:eastAsia="zh-CN"/>
        </w:rPr>
        <w:t>52.1</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1.65</w:t>
      </w:r>
      <w:r>
        <w:rPr>
          <w:rFonts w:hint="eastAsia" w:ascii="仿宋" w:hAnsi="仿宋" w:eastAsia="仿宋" w:cs="仿宋"/>
          <w:sz w:val="32"/>
          <w:szCs w:val="32"/>
        </w:rPr>
        <w:t>万元，占</w:t>
      </w:r>
      <w:r>
        <w:rPr>
          <w:rFonts w:hint="eastAsia" w:ascii="仿宋" w:hAnsi="仿宋" w:eastAsia="仿宋" w:cs="仿宋"/>
          <w:sz w:val="32"/>
          <w:szCs w:val="32"/>
          <w:lang w:val="en-US" w:eastAsia="zh-CN"/>
        </w:rPr>
        <w:t>0.6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3.82</w:t>
      </w:r>
      <w:r>
        <w:rPr>
          <w:rFonts w:hint="eastAsia" w:ascii="仿宋" w:hAnsi="仿宋" w:eastAsia="仿宋" w:cs="仿宋"/>
          <w:sz w:val="32"/>
          <w:szCs w:val="32"/>
        </w:rPr>
        <w:t>万元，占</w:t>
      </w:r>
      <w:r>
        <w:rPr>
          <w:rFonts w:hint="eastAsia" w:ascii="仿宋" w:hAnsi="仿宋" w:eastAsia="仿宋" w:cs="仿宋"/>
          <w:sz w:val="32"/>
          <w:szCs w:val="32"/>
          <w:lang w:val="en-US" w:eastAsia="zh-CN"/>
        </w:rPr>
        <w:t>1.4</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4" w:name="_Toc15377212"/>
      <w:r>
        <w:rPr>
          <w:rFonts w:hint="eastAsia" w:ascii="仿宋" w:hAnsi="仿宋" w:eastAsia="仿宋" w:cs="仿宋"/>
          <w:b/>
          <w:bCs/>
          <w:sz w:val="32"/>
          <w:szCs w:val="32"/>
        </w:rPr>
        <w:t>（三）一般公共预算财政拨款支出决算具体情况</w:t>
      </w:r>
      <w:bookmarkEnd w:id="44"/>
    </w:p>
    <w:p>
      <w:pPr>
        <w:ind w:firstLine="640" w:firstLineChars="200"/>
        <w:rPr>
          <w:rFonts w:ascii="仿宋" w:hAnsi="仿宋" w:eastAsia="仿宋" w:cs="仿宋"/>
          <w:sz w:val="32"/>
          <w:szCs w:val="32"/>
        </w:rPr>
      </w:pPr>
      <w:bookmarkStart w:id="45" w:name="_Toc15377444"/>
      <w:bookmarkStart w:id="46" w:name="_Toc15378460"/>
      <w:bookmarkStart w:id="47" w:name="_Toc15377213"/>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271.08</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约100</w:t>
      </w:r>
      <w:r>
        <w:rPr>
          <w:rFonts w:hint="eastAsia" w:ascii="仿宋" w:hAnsi="仿宋" w:eastAsia="仿宋" w:cs="仿宋"/>
          <w:sz w:val="32"/>
          <w:szCs w:val="32"/>
        </w:rPr>
        <w:t>%。其中：</w:t>
      </w:r>
      <w:bookmarkEnd w:id="45"/>
      <w:bookmarkEnd w:id="46"/>
      <w:bookmarkEnd w:id="47"/>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群众团体事务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39.51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群众团体事务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其他群众团体事务支出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99.8</w:t>
      </w:r>
      <w:r>
        <w:rPr>
          <w:rFonts w:hint="eastAsia" w:ascii="仿宋" w:hAnsi="仿宋" w:eastAsia="仿宋" w:cs="仿宋"/>
          <w:sz w:val="32"/>
          <w:szCs w:val="32"/>
        </w:rPr>
        <w:t>%。</w:t>
      </w:r>
      <w:r>
        <w:rPr>
          <w:rFonts w:hint="eastAsia" w:ascii="仿宋" w:hAnsi="仿宋" w:eastAsia="仿宋" w:cs="仿宋"/>
          <w:sz w:val="32"/>
          <w:szCs w:val="32"/>
          <w:lang w:val="en-US" w:eastAsia="zh-CN"/>
        </w:rPr>
        <w:t>主要原因是支出未结算。</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4.14</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2.06</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0.52</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134.37</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1.53</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0.12</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3.82</w:t>
      </w:r>
      <w:r>
        <w:rPr>
          <w:rFonts w:hint="eastAsia" w:ascii="仿宋" w:hAnsi="仿宋" w:eastAsia="仿宋" w:cs="仿宋"/>
          <w:sz w:val="32"/>
          <w:szCs w:val="32"/>
        </w:rPr>
        <w:t>万元，完成预算100%。</w:t>
      </w:r>
    </w:p>
    <w:p>
      <w:pPr>
        <w:pStyle w:val="6"/>
        <w:rPr>
          <w:rFonts w:ascii="黑体" w:hAnsi="黑体" w:eastAsia="黑体" w:cs="黑体"/>
          <w:b w:val="0"/>
          <w:bCs w:val="0"/>
        </w:rPr>
      </w:pPr>
      <w:bookmarkStart w:id="48" w:name="_Toc1516_WPSOffice_Level2"/>
      <w:bookmarkStart w:id="49" w:name="_Toc15396608"/>
      <w:bookmarkStart w:id="50" w:name="_Toc15377214"/>
      <w:r>
        <w:rPr>
          <w:rFonts w:hint="eastAsia" w:ascii="黑体" w:hAnsi="黑体" w:eastAsia="黑体" w:cs="黑体"/>
          <w:b w:val="0"/>
          <w:bCs w:val="0"/>
          <w:lang w:eastAsia="zh-CN"/>
        </w:rPr>
        <w:t>六、一般公共预算财政拨款基本支出决算情况说明</w:t>
      </w:r>
      <w:bookmarkEnd w:id="48"/>
      <w:bookmarkEnd w:id="49"/>
      <w:bookmarkEnd w:id="50"/>
      <w:r>
        <w:rPr>
          <w:rFonts w:hint="eastAsia" w:ascii="黑体" w:hAnsi="黑体" w:eastAsia="黑体" w:cs="黑体"/>
          <w:b w:val="0"/>
          <w:bCs w:val="0"/>
          <w:lang w:eastAsia="zh-CN"/>
        </w:rPr>
        <w:tab/>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238.96</w:t>
      </w:r>
      <w:r>
        <w:rPr>
          <w:rFonts w:hint="eastAsia" w:ascii="仿宋" w:hAnsi="仿宋" w:eastAsia="仿宋" w:cs="仿宋"/>
          <w:sz w:val="32"/>
          <w:szCs w:val="32"/>
        </w:rPr>
        <w:t>万元，其中：</w:t>
      </w:r>
    </w:p>
    <w:p>
      <w:pPr>
        <w:ind w:firstLine="640" w:firstLineChars="200"/>
        <w:rPr>
          <w:rFonts w:ascii="仿宋" w:hAnsi="仿宋" w:eastAsia="仿宋" w:cs="仿宋"/>
          <w:sz w:val="32"/>
          <w:szCs w:val="32"/>
        </w:rPr>
      </w:pPr>
      <w:bookmarkStart w:id="51" w:name="_Toc8143_WPSOffice_Level2"/>
      <w:bookmarkStart w:id="52" w:name="_Toc15396609"/>
      <w:bookmarkStart w:id="53" w:name="_Toc15377215"/>
      <w:r>
        <w:rPr>
          <w:rFonts w:hint="eastAsia" w:ascii="仿宋" w:hAnsi="仿宋" w:eastAsia="仿宋" w:cs="仿宋"/>
          <w:sz w:val="32"/>
          <w:szCs w:val="32"/>
        </w:rPr>
        <w:t>人员经费</w:t>
      </w:r>
      <w:r>
        <w:rPr>
          <w:rFonts w:hint="eastAsia" w:ascii="仿宋" w:hAnsi="仿宋" w:eastAsia="仿宋" w:cs="仿宋"/>
          <w:sz w:val="32"/>
          <w:szCs w:val="32"/>
          <w:lang w:val="en-US" w:eastAsia="zh-CN"/>
        </w:rPr>
        <w:t>229.76</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生活补助、其他个人和家庭的补助支出</w:t>
      </w:r>
      <w:r>
        <w:rPr>
          <w:rFonts w:hint="eastAsia" w:ascii="仿宋" w:hAnsi="仿宋" w:eastAsia="仿宋" w:cs="仿宋"/>
          <w:sz w:val="32"/>
          <w:szCs w:val="32"/>
        </w:rPr>
        <w:t>等。</w:t>
      </w:r>
    </w:p>
    <w:p>
      <w:pPr>
        <w:ind w:firstLine="640" w:firstLineChars="200"/>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9.2</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印刷费、水费、电费、</w:t>
      </w:r>
      <w:r>
        <w:rPr>
          <w:rFonts w:hint="eastAsia" w:ascii="仿宋" w:hAnsi="仿宋" w:eastAsia="仿宋" w:cs="仿宋"/>
          <w:sz w:val="32"/>
          <w:szCs w:val="32"/>
        </w:rPr>
        <w:t>邮电费、差旅费、维修（护）费、</w:t>
      </w:r>
      <w:r>
        <w:rPr>
          <w:rFonts w:hint="eastAsia" w:ascii="仿宋" w:hAnsi="仿宋" w:eastAsia="仿宋" w:cs="仿宋"/>
          <w:sz w:val="32"/>
          <w:szCs w:val="32"/>
          <w:lang w:val="en-US" w:eastAsia="zh-CN"/>
        </w:rPr>
        <w:t>租赁费、培训费、公务接待费、</w:t>
      </w:r>
      <w:r>
        <w:rPr>
          <w:rFonts w:hint="eastAsia" w:ascii="仿宋" w:hAnsi="仿宋" w:eastAsia="仿宋" w:cs="仿宋"/>
          <w:sz w:val="32"/>
          <w:szCs w:val="32"/>
        </w:rPr>
        <w:t>劳务费、</w:t>
      </w:r>
      <w:r>
        <w:rPr>
          <w:rFonts w:hint="eastAsia" w:ascii="仿宋" w:hAnsi="仿宋" w:eastAsia="仿宋" w:cs="仿宋"/>
          <w:sz w:val="32"/>
          <w:szCs w:val="32"/>
          <w:lang w:val="en-US" w:eastAsia="zh-CN"/>
        </w:rPr>
        <w:t>委托业务费、</w:t>
      </w:r>
      <w:r>
        <w:rPr>
          <w:rFonts w:hint="eastAsia" w:ascii="仿宋" w:hAnsi="仿宋" w:eastAsia="仿宋" w:cs="仿宋"/>
          <w:sz w:val="32"/>
          <w:szCs w:val="32"/>
        </w:rPr>
        <w:t>工会经费、福利费、其他交通费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其他商品和服务支出</w:t>
      </w:r>
      <w:r>
        <w:rPr>
          <w:rFonts w:hint="eastAsia" w:ascii="仿宋" w:hAnsi="仿宋" w:eastAsia="仿宋" w:cs="仿宋"/>
          <w:sz w:val="32"/>
          <w:szCs w:val="32"/>
        </w:rPr>
        <w:t>等。</w:t>
      </w:r>
    </w:p>
    <w:p>
      <w:pPr>
        <w:pStyle w:val="6"/>
        <w:rPr>
          <w:rFonts w:ascii="黑体" w:hAnsi="黑体" w:eastAsia="黑体" w:cs="黑体"/>
          <w:b w:val="0"/>
          <w:bCs w:val="0"/>
        </w:rPr>
      </w:pPr>
      <w:r>
        <w:rPr>
          <w:rFonts w:hint="eastAsia" w:ascii="黑体" w:hAnsi="黑体" w:eastAsia="黑体" w:cs="黑体"/>
          <w:b w:val="0"/>
          <w:bCs w:val="0"/>
          <w:lang w:eastAsia="zh-CN"/>
        </w:rPr>
        <w:t>七、财政拨款“三公”经费支出决算情况说明</w:t>
      </w:r>
      <w:bookmarkEnd w:id="51"/>
      <w:bookmarkEnd w:id="52"/>
      <w:bookmarkEnd w:id="53"/>
    </w:p>
    <w:p>
      <w:pPr>
        <w:ind w:firstLine="643" w:firstLineChars="200"/>
        <w:outlineLvl w:val="2"/>
        <w:rPr>
          <w:rFonts w:hint="eastAsia" w:ascii="仿宋" w:hAnsi="仿宋" w:eastAsia="仿宋" w:cs="仿宋"/>
          <w:b/>
          <w:bCs/>
          <w:sz w:val="32"/>
          <w:szCs w:val="32"/>
        </w:rPr>
      </w:pPr>
      <w:bookmarkStart w:id="54" w:name="_Toc15377217"/>
      <w:bookmarkStart w:id="55" w:name="_Toc15377218"/>
      <w:bookmarkStart w:id="56" w:name="_Toc14598_WPSOffice_Level2"/>
      <w:bookmarkStart w:id="57" w:name="_Toc15396610"/>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ind w:firstLine="640" w:firstLineChars="200"/>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2024年度“三公经费财政拨款支出决算为0.56万元，完成预算100%，较上年0.49万元增加0.07万元，增长14.3%。主要原因是接待人次增多。</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4"/>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0.56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alt="" type="#_x0000_t75" style="height:137pt;width:311.65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0.49增加0.07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增长14.3%</w:t>
      </w:r>
      <w:r>
        <w:rPr>
          <w:rFonts w:hint="eastAsia" w:ascii="仿宋" w:hAnsi="仿宋" w:eastAsia="仿宋" w:cs="仿宋"/>
          <w:sz w:val="32"/>
          <w:szCs w:val="32"/>
        </w:rPr>
        <w:t>。</w:t>
      </w:r>
      <w:r>
        <w:rPr>
          <w:rFonts w:hint="eastAsia" w:ascii="仿宋" w:hAnsi="仿宋" w:eastAsia="仿宋" w:cs="仿宋"/>
          <w:sz w:val="32"/>
          <w:szCs w:val="32"/>
          <w:lang w:val="en-US" w:eastAsia="zh-CN"/>
        </w:rPr>
        <w:t>主要原因</w:t>
      </w:r>
      <w:r>
        <w:rPr>
          <w:rFonts w:hint="eastAsia" w:ascii="仿宋" w:hAnsi="仿宋" w:eastAsia="仿宋" w:cs="仿宋"/>
          <w:sz w:val="32"/>
          <w:szCs w:val="32"/>
        </w:rPr>
        <w:t>是接待人次增多。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5</w:t>
      </w:r>
      <w:r>
        <w:rPr>
          <w:rFonts w:hint="eastAsia" w:ascii="仿宋" w:hAnsi="仿宋" w:eastAsia="仿宋" w:cs="仿宋"/>
          <w:sz w:val="32"/>
          <w:szCs w:val="32"/>
        </w:rPr>
        <w:t>批次，</w:t>
      </w:r>
      <w:r>
        <w:rPr>
          <w:rFonts w:hint="eastAsia" w:ascii="仿宋" w:hAnsi="仿宋" w:eastAsia="仿宋" w:cs="仿宋"/>
          <w:sz w:val="32"/>
          <w:szCs w:val="32"/>
          <w:lang w:val="en-US" w:eastAsia="zh-CN"/>
        </w:rPr>
        <w:t>72</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0.56</w:t>
      </w:r>
      <w:r>
        <w:rPr>
          <w:rFonts w:hint="eastAsia" w:ascii="仿宋" w:hAnsi="仿宋" w:eastAsia="仿宋" w:cs="仿宋"/>
          <w:sz w:val="32"/>
          <w:szCs w:val="32"/>
        </w:rPr>
        <w:t>万元。</w:t>
      </w:r>
      <w:r>
        <w:rPr>
          <w:rFonts w:hint="eastAsia" w:ascii="仿宋" w:hAnsi="仿宋" w:eastAsia="仿宋" w:cs="仿宋"/>
          <w:sz w:val="32"/>
          <w:szCs w:val="32"/>
          <w:lang w:val="en-US" w:eastAsia="zh-CN"/>
        </w:rPr>
        <w:t>主要用于检查指导接待支出。</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6"/>
        <w:rPr>
          <w:rFonts w:ascii="黑体" w:hAnsi="黑体" w:eastAsia="黑体" w:cs="黑体"/>
          <w:b w:val="0"/>
          <w:bCs w:val="0"/>
        </w:rPr>
      </w:pPr>
      <w:r>
        <w:rPr>
          <w:rFonts w:hint="eastAsia" w:ascii="黑体" w:hAnsi="黑体" w:eastAsia="黑体" w:cs="黑体"/>
          <w:b w:val="0"/>
          <w:bCs w:val="0"/>
          <w:lang w:eastAsia="zh-CN"/>
        </w:rPr>
        <w:t>八、政府性基金预算支出决算情况说明</w:t>
      </w:r>
      <w:bookmarkEnd w:id="55"/>
      <w:bookmarkEnd w:id="56"/>
      <w:bookmarkEnd w:id="57"/>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6"/>
        <w:rPr>
          <w:rFonts w:ascii="黑体" w:hAnsi="黑体" w:eastAsia="黑体" w:cs="黑体"/>
          <w:b w:val="0"/>
          <w:bCs w:val="0"/>
        </w:rPr>
      </w:pPr>
      <w:bookmarkStart w:id="58" w:name="_Toc27246_WPSOffice_Level2"/>
      <w:bookmarkStart w:id="59" w:name="_Toc15396611"/>
      <w:bookmarkStart w:id="60" w:name="_Toc15377219"/>
      <w:r>
        <w:rPr>
          <w:rFonts w:hint="eastAsia" w:ascii="黑体" w:hAnsi="黑体" w:eastAsia="黑体" w:cs="黑体"/>
          <w:b w:val="0"/>
          <w:bCs w:val="0"/>
          <w:lang w:eastAsia="zh-CN"/>
        </w:rPr>
        <w:t>九、国有资本经营预算支出决算情况说明</w:t>
      </w:r>
      <w:bookmarkEnd w:id="58"/>
      <w:bookmarkEnd w:id="59"/>
      <w:bookmarkEnd w:id="60"/>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6"/>
        <w:rPr>
          <w:rFonts w:ascii="黑体" w:hAnsi="黑体" w:eastAsia="黑体" w:cs="黑体"/>
          <w:b w:val="0"/>
          <w:bCs w:val="0"/>
        </w:rPr>
      </w:pPr>
      <w:bookmarkStart w:id="61" w:name="_Toc15377221"/>
      <w:bookmarkStart w:id="62" w:name="_Toc2558_WPSOffice_Level2"/>
      <w:bookmarkStart w:id="63" w:name="_Toc15396612"/>
      <w:r>
        <w:rPr>
          <w:rFonts w:hint="eastAsia" w:ascii="黑体" w:hAnsi="黑体" w:eastAsia="黑体" w:cs="黑体"/>
          <w:b w:val="0"/>
          <w:bCs w:val="0"/>
          <w:lang w:eastAsia="zh-CN"/>
        </w:rPr>
        <w:t>十、其他重要事项的情况说明</w:t>
      </w:r>
      <w:bookmarkEnd w:id="61"/>
      <w:bookmarkEnd w:id="62"/>
      <w:bookmarkEnd w:id="63"/>
    </w:p>
    <w:p>
      <w:pPr>
        <w:ind w:firstLine="643" w:firstLineChars="200"/>
        <w:outlineLvl w:val="2"/>
        <w:rPr>
          <w:rFonts w:ascii="仿宋" w:hAnsi="仿宋" w:eastAsia="仿宋" w:cs="仿宋"/>
          <w:b/>
          <w:bCs/>
          <w:sz w:val="32"/>
          <w:szCs w:val="32"/>
        </w:rPr>
      </w:pPr>
      <w:bookmarkStart w:id="64" w:name="_Toc15377222"/>
      <w:r>
        <w:rPr>
          <w:rFonts w:hint="eastAsia" w:ascii="仿宋" w:hAnsi="仿宋" w:eastAsia="仿宋" w:cs="仿宋"/>
          <w:b/>
          <w:bCs/>
          <w:sz w:val="32"/>
          <w:szCs w:val="32"/>
        </w:rPr>
        <w:t>（一）机关运行经费支出情况</w:t>
      </w:r>
      <w:bookmarkEnd w:id="64"/>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机关运行经费支出</w:t>
      </w:r>
      <w:r>
        <w:rPr>
          <w:rFonts w:hint="eastAsia" w:ascii="仿宋" w:hAnsi="仿宋" w:eastAsia="仿宋" w:cs="仿宋"/>
          <w:sz w:val="32"/>
          <w:szCs w:val="32"/>
          <w:lang w:val="en-US" w:eastAsia="zh-CN"/>
        </w:rPr>
        <w:t>9.2</w:t>
      </w:r>
      <w:r>
        <w:rPr>
          <w:rFonts w:hint="eastAsia" w:ascii="仿宋" w:hAnsi="仿宋" w:eastAsia="仿宋" w:cs="仿宋"/>
          <w:sz w:val="32"/>
          <w:szCs w:val="32"/>
        </w:rPr>
        <w:t>万元，比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8.04</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增加1.16万元，增长14.43%。主要原因：一</w:t>
      </w:r>
      <w:r>
        <w:rPr>
          <w:rFonts w:hint="eastAsia" w:ascii="仿宋" w:hAnsi="仿宋" w:eastAsia="仿宋" w:cs="仿宋"/>
          <w:sz w:val="32"/>
          <w:szCs w:val="32"/>
          <w:lang w:eastAsia="zh-CN"/>
        </w:rPr>
        <w:t>是公务员增加；二是志愿者增加。</w:t>
      </w:r>
    </w:p>
    <w:p>
      <w:pPr>
        <w:ind w:firstLine="643" w:firstLineChars="200"/>
        <w:outlineLvl w:val="2"/>
        <w:rPr>
          <w:rFonts w:ascii="仿宋" w:hAnsi="仿宋" w:eastAsia="仿宋" w:cs="仿宋"/>
          <w:b/>
          <w:bCs/>
          <w:sz w:val="32"/>
          <w:szCs w:val="32"/>
        </w:rPr>
      </w:pPr>
      <w:bookmarkStart w:id="65" w:name="_Toc15377223"/>
      <w:r>
        <w:rPr>
          <w:rFonts w:hint="eastAsia" w:ascii="仿宋" w:hAnsi="仿宋" w:eastAsia="仿宋" w:cs="仿宋"/>
          <w:b/>
          <w:bCs/>
          <w:sz w:val="32"/>
          <w:szCs w:val="32"/>
        </w:rPr>
        <w:t>（二）政府采购支出情况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6" w:name="_Toc15377224"/>
      <w:r>
        <w:rPr>
          <w:rFonts w:hint="eastAsia" w:ascii="仿宋" w:hAnsi="仿宋" w:eastAsia="仿宋" w:cs="仿宋"/>
          <w:b/>
          <w:bCs/>
          <w:sz w:val="32"/>
          <w:szCs w:val="32"/>
        </w:rPr>
        <w:t>（三）国有资产占有使用情况</w:t>
      </w:r>
      <w:bookmarkEnd w:id="66"/>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预算编制阶段，组织对区关工委工作经费</w:t>
      </w:r>
      <w:r>
        <w:rPr>
          <w:rFonts w:hint="eastAsia" w:ascii="仿宋" w:hAnsi="仿宋" w:eastAsia="仿宋" w:cs="仿宋"/>
          <w:sz w:val="32"/>
          <w:szCs w:val="32"/>
          <w:lang w:val="en-US" w:eastAsia="zh-CN"/>
        </w:rPr>
        <w:t>7个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7</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对7</w:t>
      </w:r>
      <w:r>
        <w:rPr>
          <w:rFonts w:hint="eastAsia" w:ascii="仿宋" w:hAnsi="仿宋" w:eastAsia="仿宋" w:cs="仿宋"/>
          <w:sz w:val="32"/>
          <w:szCs w:val="32"/>
        </w:rPr>
        <w:t>个项目开展绩效监控。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组织</w:t>
      </w:r>
      <w:r>
        <w:rPr>
          <w:rFonts w:hint="eastAsia" w:ascii="仿宋" w:hAnsi="仿宋" w:eastAsia="仿宋" w:cs="仿宋"/>
          <w:sz w:val="32"/>
          <w:szCs w:val="32"/>
        </w:rPr>
        <w:t>对202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度一般公共预算、政府性基金预算、国有资本经营预算、社会保险基金预算以及资本资产、债券资金等全面开展绩效自评，形成</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rPr>
        <w:t>部门整体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含部门预算项目）</w:t>
      </w:r>
      <w:r>
        <w:rPr>
          <w:rFonts w:hint="eastAsia" w:ascii="仿宋" w:hAnsi="仿宋" w:eastAsia="仿宋" w:cs="仿宋"/>
          <w:sz w:val="32"/>
          <w:szCs w:val="32"/>
        </w:rPr>
        <w:t>绩效自评</w:t>
      </w:r>
      <w:r>
        <w:rPr>
          <w:rFonts w:hint="eastAsia" w:ascii="仿宋" w:hAnsi="仿宋" w:eastAsia="仿宋" w:cs="仿宋"/>
          <w:sz w:val="32"/>
          <w:szCs w:val="32"/>
          <w:lang w:val="en-US" w:eastAsia="zh-CN"/>
        </w:rPr>
        <w:t>报告</w:t>
      </w:r>
      <w:r>
        <w:rPr>
          <w:rFonts w:hint="eastAsia" w:ascii="仿宋" w:hAnsi="仿宋" w:eastAsia="仿宋" w:cs="仿宋"/>
          <w:sz w:val="32"/>
          <w:szCs w:val="32"/>
        </w:rPr>
        <w:t>，</w:t>
      </w:r>
      <w:r>
        <w:rPr>
          <w:rFonts w:hint="eastAsia" w:ascii="仿宋" w:hAnsi="仿宋" w:eastAsia="仿宋" w:cs="仿宋"/>
          <w:sz w:val="32"/>
          <w:szCs w:val="32"/>
          <w:lang w:val="en-US" w:eastAsia="zh-CN"/>
        </w:rPr>
        <w:t>区关工委工作经费专项预算项目绩效自评报告。其中，</w:t>
      </w:r>
      <w:r>
        <w:rPr>
          <w:rFonts w:hint="eastAsia" w:ascii="仿宋" w:hAnsi="仿宋" w:eastAsia="仿宋" w:cs="仿宋"/>
          <w:kern w:val="2"/>
          <w:sz w:val="32"/>
          <w:szCs w:val="32"/>
          <w:lang w:val="en-US" w:eastAsia="zh-CN" w:bidi="ar-SA"/>
        </w:rPr>
        <w:t>中国共产主义青年团乐山市金口河区委员会</w:t>
      </w:r>
      <w:r>
        <w:rPr>
          <w:rFonts w:hint="eastAsia" w:ascii="仿宋" w:hAnsi="仿宋" w:eastAsia="仿宋" w:cs="仿宋"/>
          <w:sz w:val="32"/>
          <w:szCs w:val="32"/>
          <w:lang w:val="en-US" w:eastAsia="zh-CN"/>
        </w:rPr>
        <w:t>部门整体（含部门预算项目）绩效自评得分为100分，绩效自评综述：</w:t>
      </w:r>
      <w:r>
        <w:rPr>
          <w:rFonts w:hint="eastAsia" w:ascii="仿宋_GB2312" w:hAnsi="仿宋" w:eastAsia="仿宋_GB2312" w:cs="Times New Roman"/>
          <w:sz w:val="32"/>
          <w:szCs w:val="32"/>
          <w:lang w:val="en-US" w:eastAsia="zh-CN"/>
        </w:rPr>
        <w:t>夯实了组织建设，引导了广大青少年勇担当、善作为，关注了青年需求，服务广大青年既成长、又成才，引领广大青年当表率、作贡献，献爱心、送温暖，高质量完成了2024年团区委工作</w:t>
      </w:r>
      <w:r>
        <w:rPr>
          <w:rFonts w:hint="eastAsia" w:ascii="仿宋_GB2312" w:hAnsi="仿宋" w:eastAsia="仿宋_GB2312"/>
          <w:sz w:val="32"/>
          <w:szCs w:val="32"/>
          <w:lang w:val="en-US" w:eastAsia="zh-CN"/>
        </w:rPr>
        <w:t>及</w:t>
      </w:r>
      <w:r>
        <w:rPr>
          <w:rFonts w:hint="eastAsia" w:ascii="仿宋_GB2312" w:hAnsi="Times New Roman" w:eastAsia="仿宋_GB2312" w:cs="Times New Roman"/>
          <w:color w:val="000000"/>
          <w:spacing w:val="0"/>
          <w:sz w:val="32"/>
          <w:szCs w:val="32"/>
        </w:rPr>
        <w:t>区委、区政府和团市委交办的其他工作</w:t>
      </w:r>
      <w:r>
        <w:rPr>
          <w:rFonts w:hint="eastAsia" w:ascii="仿宋_GB2312" w:hAnsi="仿宋" w:eastAsia="仿宋_GB2312"/>
          <w:sz w:val="32"/>
          <w:szCs w:val="32"/>
          <w:lang w:val="en-US" w:eastAsia="zh-CN"/>
        </w:rPr>
        <w:t>。</w:t>
      </w:r>
      <w:r>
        <w:rPr>
          <w:rFonts w:hint="eastAsia" w:ascii="仿宋" w:hAnsi="仿宋" w:eastAsia="仿宋" w:cs="仿宋"/>
          <w:sz w:val="32"/>
          <w:szCs w:val="32"/>
          <w:lang w:val="en-US" w:eastAsia="zh-CN"/>
        </w:rPr>
        <w:t>区关工委工作经费专项预算项目绩效自评得分为分100分，绩效自评综述：</w:t>
      </w:r>
      <w:r>
        <w:rPr>
          <w:rFonts w:hint="eastAsia" w:ascii="仿宋_GB2312" w:hAnsi="仿宋" w:eastAsia="仿宋_GB2312" w:cs="Times New Roman"/>
          <w:sz w:val="32"/>
          <w:szCs w:val="32"/>
          <w:lang w:val="en-US" w:eastAsia="zh-CN"/>
        </w:rPr>
        <w:t>区关工委工作经费、青年志愿服务事业工作经费、地方项目志愿者经费、区党建带团建工作经费、区少先队工作经费、五四活动经费、西部计划志愿者工作经费、团代会经费、研究生支教团住宿交通补贴等经费的保障，积极开展各类活动，深化了志愿服务，凝聚了社会力量，为广大青少年，</w:t>
      </w:r>
      <w:r>
        <w:rPr>
          <w:rFonts w:hint="eastAsia" w:ascii="仿宋_GB2312" w:hAnsi="仿宋" w:eastAsia="仿宋_GB2312"/>
          <w:sz w:val="32"/>
          <w:szCs w:val="32"/>
          <w:lang w:val="en-US" w:eastAsia="zh-CN"/>
        </w:rPr>
        <w:t>全面有效</w:t>
      </w:r>
      <w:r>
        <w:rPr>
          <w:rFonts w:hint="eastAsia" w:ascii="仿宋_GB2312" w:hAnsi="Times New Roman" w:eastAsia="仿宋_GB2312" w:cs="Times New Roman"/>
          <w:color w:val="000000"/>
          <w:spacing w:val="0"/>
          <w:sz w:val="32"/>
          <w:szCs w:val="32"/>
        </w:rPr>
        <w:t>落实</w:t>
      </w:r>
      <w:r>
        <w:rPr>
          <w:rFonts w:hint="eastAsia" w:ascii="仿宋_GB2312" w:hAnsi="Times New Roman" w:eastAsia="仿宋_GB2312" w:cs="Times New Roman"/>
          <w:color w:val="000000"/>
          <w:spacing w:val="0"/>
          <w:sz w:val="32"/>
          <w:szCs w:val="32"/>
          <w:lang w:val="en-US" w:eastAsia="zh-CN"/>
        </w:rPr>
        <w:t>了</w:t>
      </w:r>
      <w:r>
        <w:rPr>
          <w:rFonts w:hint="eastAsia" w:ascii="仿宋_GB2312" w:hAnsi="Times New Roman" w:eastAsia="仿宋_GB2312" w:cs="Times New Roman"/>
          <w:color w:val="000000"/>
          <w:spacing w:val="0"/>
          <w:sz w:val="32"/>
          <w:szCs w:val="32"/>
        </w:rPr>
        <w:t>领导全区共青团和少先队工作的职能</w:t>
      </w:r>
      <w:r>
        <w:rPr>
          <w:rFonts w:hint="eastAsia" w:ascii="仿宋_GB2312" w:hAnsi="仿宋" w:eastAsia="仿宋_GB2312" w:cs="Times New Roman"/>
          <w:sz w:val="32"/>
          <w:szCs w:val="32"/>
          <w:lang w:val="en-US" w:eastAsia="zh-CN"/>
        </w:rPr>
        <w:t>。</w:t>
      </w:r>
      <w:r>
        <w:rPr>
          <w:rFonts w:hint="eastAsia" w:ascii="仿宋" w:hAnsi="仿宋" w:eastAsia="仿宋" w:cs="仿宋"/>
          <w:sz w:val="32"/>
          <w:szCs w:val="32"/>
          <w:lang w:val="en-US" w:eastAsia="zh-CN"/>
        </w:rPr>
        <w:t>绩效自评表详见附件</w:t>
      </w:r>
      <w:r>
        <w:rPr>
          <w:rFonts w:hint="eastAsia" w:ascii="仿宋" w:hAnsi="仿宋" w:eastAsia="仿宋" w:cs="仿宋"/>
          <w:sz w:val="32"/>
          <w:szCs w:val="32"/>
        </w:rPr>
        <w:t>（第四部分）。</w:t>
      </w:r>
      <w:bookmarkStart w:id="67" w:name="_Toc15377225"/>
      <w:bookmarkStart w:id="68" w:name="_Toc20400_WPSOffice_Level1"/>
      <w:bookmarkStart w:id="69" w:name="_Toc15396613"/>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7"/>
        <w:rPr>
          <w:rFonts w:hint="eastAsia"/>
          <w:b/>
          <w:bCs/>
          <w:kern w:val="44"/>
          <w:sz w:val="44"/>
          <w:szCs w:val="44"/>
        </w:rPr>
      </w:pPr>
    </w:p>
    <w:p>
      <w:pPr>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rPr>
          <w:rFonts w:hint="eastAsia"/>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7"/>
      <w:bookmarkEnd w:id="68"/>
      <w:bookmarkEnd w:id="69"/>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5.一般公共服务支出群众团体事务行政运行: </w:t>
      </w:r>
      <w:r>
        <w:rPr>
          <w:rFonts w:hint="eastAsia" w:ascii="仿宋" w:hAnsi="仿宋" w:eastAsia="仿宋" w:cs="仿宋"/>
          <w:sz w:val="32"/>
          <w:szCs w:val="32"/>
          <w:lang w:val="en-US" w:eastAsia="zh-CN"/>
        </w:rPr>
        <w:t>指群众团体行政单位的基本支出。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.一般公共服务支出群众团体事务其他群众团体事务支出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指其他群众团体事务方面的支出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70" w:name="_Toc15396614"/>
      <w:bookmarkStart w:id="71"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2"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7"/>
        <w:rPr>
          <w:rFonts w:hint="eastAsia"/>
          <w:b/>
          <w:bCs/>
          <w:kern w:val="44"/>
          <w:sz w:val="44"/>
          <w:szCs w:val="44"/>
        </w:rPr>
      </w:pPr>
    </w:p>
    <w:p>
      <w:pPr>
        <w:pStyle w:val="17"/>
        <w:rPr>
          <w:rFonts w:hint="eastAsia"/>
          <w:b/>
          <w:bCs/>
          <w:kern w:val="44"/>
          <w:sz w:val="44"/>
          <w:szCs w:val="44"/>
        </w:rPr>
      </w:pPr>
    </w:p>
    <w:p>
      <w:pPr>
        <w:pStyle w:val="17"/>
        <w:jc w:val="both"/>
        <w:rPr>
          <w:rFonts w:hint="eastAsia"/>
          <w:b/>
          <w:bCs/>
          <w:kern w:val="44"/>
          <w:sz w:val="44"/>
          <w:szCs w:val="44"/>
        </w:rPr>
      </w:pPr>
    </w:p>
    <w:p>
      <w:pPr>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pStyle w:val="15"/>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70"/>
      <w:bookmarkEnd w:id="72"/>
    </w:p>
    <w:p>
      <w:pPr>
        <w:pStyle w:val="17"/>
        <w:rPr>
          <w:b/>
          <w:bCs/>
          <w:kern w:val="44"/>
          <w:sz w:val="44"/>
          <w:szCs w:val="44"/>
        </w:rPr>
      </w:pPr>
      <w:bookmarkStart w:id="73" w:name="_Toc15396618"/>
    </w:p>
    <w:p>
      <w:pPr>
        <w:spacing w:line="600" w:lineRule="exact"/>
        <w:jc w:val="center"/>
        <w:outlineLvl w:val="0"/>
        <w:rPr>
          <w:rFonts w:hint="eastAsia" w:asciiTheme="minorEastAsia" w:hAnsiTheme="minorEastAsia" w:eastAsiaTheme="minorEastAsia" w:cstheme="minorEastAsia"/>
          <w:color w:val="FF0000"/>
          <w:sz w:val="32"/>
          <w:szCs w:val="32"/>
          <w:highlight w:val="none"/>
        </w:rPr>
      </w:pPr>
      <w:r>
        <w:rPr>
          <w:rFonts w:hint="eastAsia" w:asciiTheme="minorEastAsia" w:hAnsiTheme="minorEastAsia" w:eastAsiaTheme="minorEastAsia" w:cstheme="minorEastAsia"/>
          <w:sz w:val="32"/>
          <w:szCs w:val="32"/>
          <w:highlight w:val="none"/>
          <w:lang w:val="en-US" w:eastAsia="zh-CN"/>
        </w:rPr>
        <w:t>部门预算项目支出绩效自评表（2024年度）</w:t>
      </w:r>
    </w:p>
    <w:p/>
    <w:p>
      <w:pPr>
        <w:pStyle w:val="17"/>
        <w:rPr>
          <w:b/>
          <w:bCs/>
          <w:kern w:val="44"/>
          <w:sz w:val="44"/>
          <w:szCs w:val="44"/>
        </w:rPr>
      </w:pPr>
    </w:p>
    <w:p>
      <w:pPr>
        <w:pStyle w:val="17"/>
        <w:rPr>
          <w:b/>
          <w:bCs/>
          <w:kern w:val="44"/>
          <w:sz w:val="44"/>
          <w:szCs w:val="44"/>
        </w:rPr>
      </w:pPr>
    </w:p>
    <w:p>
      <w:pPr>
        <w:pStyle w:val="17"/>
        <w:rPr>
          <w:b/>
          <w:bCs/>
          <w:kern w:val="44"/>
          <w:sz w:val="44"/>
          <w:szCs w:val="44"/>
        </w:rPr>
      </w:pPr>
    </w:p>
    <w:p>
      <w:pPr>
        <w:pStyle w:val="17"/>
        <w:rPr>
          <w:b/>
          <w:bCs/>
          <w:kern w:val="44"/>
          <w:sz w:val="44"/>
          <w:szCs w:val="44"/>
        </w:rPr>
      </w:pPr>
    </w:p>
    <w:p>
      <w:pPr>
        <w:jc w:val="both"/>
        <w:rPr>
          <w:b/>
          <w:bCs/>
          <w:kern w:val="44"/>
          <w:sz w:val="44"/>
          <w:szCs w:val="44"/>
        </w:rPr>
      </w:pPr>
    </w:p>
    <w:p>
      <w:pPr>
        <w:jc w:val="center"/>
        <w:outlineLvl w:val="0"/>
        <w:rPr>
          <w:rFonts w:hint="eastAsia" w:ascii="黑体" w:hAnsi="黑体" w:eastAsia="黑体" w:cs="黑体"/>
          <w:b w:val="0"/>
          <w:bCs w:val="0"/>
          <w:kern w:val="44"/>
          <w:sz w:val="44"/>
          <w:szCs w:val="44"/>
        </w:rPr>
      </w:pPr>
      <w:bookmarkStart w:id="74" w:name="_Toc4876_WPSOffice_Level1"/>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bookmarkStart w:id="101" w:name="_GoBack"/>
      <w:bookmarkEnd w:id="101"/>
    </w:p>
    <w:p>
      <w:pPr>
        <w:jc w:val="center"/>
        <w:outlineLvl w:val="0"/>
        <w:rPr>
          <w:b/>
          <w:bCs/>
          <w:kern w:val="44"/>
          <w:sz w:val="44"/>
          <w:szCs w:val="44"/>
        </w:rPr>
      </w:pPr>
      <w:r>
        <w:rPr>
          <w:rFonts w:hint="eastAsia" w:ascii="黑体" w:hAnsi="黑体" w:eastAsia="黑体" w:cs="黑体"/>
          <w:b w:val="0"/>
          <w:bCs w:val="0"/>
          <w:kern w:val="44"/>
          <w:sz w:val="44"/>
          <w:szCs w:val="44"/>
        </w:rPr>
        <w:t>第五部分 附表</w:t>
      </w:r>
      <w:bookmarkEnd w:id="71"/>
      <w:bookmarkEnd w:id="73"/>
      <w:bookmarkEnd w:id="74"/>
      <w:bookmarkStart w:id="75"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76" w:name="_Toc4166_WPSOffice_Level2"/>
      <w:r>
        <w:rPr>
          <w:rFonts w:hint="eastAsia" w:ascii="仿宋" w:hAnsi="仿宋" w:eastAsia="仿宋" w:cs="仿宋"/>
          <w:sz w:val="32"/>
          <w:szCs w:val="32"/>
        </w:rPr>
        <w:t>一、收入支出决算总表</w:t>
      </w:r>
      <w:bookmarkEnd w:id="75"/>
      <w:bookmarkEnd w:id="76"/>
    </w:p>
    <w:p>
      <w:pPr>
        <w:ind w:firstLine="640" w:firstLineChars="200"/>
        <w:outlineLvl w:val="1"/>
        <w:rPr>
          <w:rFonts w:ascii="仿宋" w:hAnsi="仿宋" w:eastAsia="仿宋" w:cs="仿宋"/>
          <w:sz w:val="32"/>
          <w:szCs w:val="32"/>
        </w:rPr>
      </w:pPr>
      <w:bookmarkStart w:id="77" w:name="_Toc15396620"/>
      <w:bookmarkStart w:id="78" w:name="_Toc12757_WPSOffice_Level2"/>
      <w:r>
        <w:rPr>
          <w:rFonts w:hint="eastAsia" w:ascii="仿宋" w:hAnsi="仿宋" w:eastAsia="仿宋" w:cs="仿宋"/>
          <w:sz w:val="32"/>
          <w:szCs w:val="32"/>
        </w:rPr>
        <w:t>二、收入决算表</w:t>
      </w:r>
      <w:bookmarkEnd w:id="77"/>
      <w:bookmarkEnd w:id="78"/>
    </w:p>
    <w:p>
      <w:pPr>
        <w:ind w:firstLine="640" w:firstLineChars="200"/>
        <w:outlineLvl w:val="1"/>
        <w:rPr>
          <w:rFonts w:ascii="仿宋" w:hAnsi="仿宋" w:eastAsia="仿宋" w:cs="仿宋"/>
          <w:sz w:val="32"/>
          <w:szCs w:val="32"/>
        </w:rPr>
      </w:pPr>
      <w:bookmarkStart w:id="79" w:name="_Toc15396621"/>
      <w:bookmarkStart w:id="80" w:name="_Toc16324_WPSOffice_Level2"/>
      <w:r>
        <w:rPr>
          <w:rFonts w:hint="eastAsia" w:ascii="仿宋" w:hAnsi="仿宋" w:eastAsia="仿宋" w:cs="仿宋"/>
          <w:sz w:val="32"/>
          <w:szCs w:val="32"/>
        </w:rPr>
        <w:t>三、支出决算表</w:t>
      </w:r>
      <w:bookmarkEnd w:id="79"/>
      <w:bookmarkEnd w:id="80"/>
    </w:p>
    <w:p>
      <w:pPr>
        <w:ind w:firstLine="640" w:firstLineChars="200"/>
        <w:outlineLvl w:val="1"/>
        <w:rPr>
          <w:rFonts w:ascii="仿宋" w:hAnsi="仿宋" w:eastAsia="仿宋" w:cs="仿宋"/>
          <w:sz w:val="32"/>
          <w:szCs w:val="32"/>
        </w:rPr>
      </w:pPr>
      <w:bookmarkStart w:id="81" w:name="_Toc28558_WPSOffice_Level2"/>
      <w:bookmarkStart w:id="82" w:name="_Toc15396622"/>
      <w:r>
        <w:rPr>
          <w:rFonts w:hint="eastAsia" w:ascii="仿宋" w:hAnsi="仿宋" w:eastAsia="仿宋" w:cs="仿宋"/>
          <w:sz w:val="32"/>
          <w:szCs w:val="32"/>
        </w:rPr>
        <w:t>四、财政拨款收入支出决算总表</w:t>
      </w:r>
      <w:bookmarkEnd w:id="81"/>
      <w:bookmarkEnd w:id="82"/>
    </w:p>
    <w:p>
      <w:pPr>
        <w:ind w:firstLine="640" w:firstLineChars="200"/>
        <w:outlineLvl w:val="1"/>
        <w:rPr>
          <w:rFonts w:ascii="仿宋" w:hAnsi="仿宋" w:eastAsia="仿宋" w:cs="仿宋"/>
          <w:sz w:val="32"/>
          <w:szCs w:val="32"/>
        </w:rPr>
      </w:pPr>
      <w:bookmarkStart w:id="83" w:name="_Toc15396623"/>
      <w:bookmarkStart w:id="84" w:name="_Toc32540_WPSOffice_Level2"/>
      <w:r>
        <w:rPr>
          <w:rFonts w:hint="eastAsia" w:ascii="仿宋" w:hAnsi="仿宋" w:eastAsia="仿宋" w:cs="仿宋"/>
          <w:sz w:val="32"/>
          <w:szCs w:val="32"/>
        </w:rPr>
        <w:t>五、财政拨款支出决算明细表</w:t>
      </w:r>
      <w:bookmarkEnd w:id="83"/>
      <w:bookmarkEnd w:id="84"/>
      <w:bookmarkStart w:id="85" w:name="_Toc15396624"/>
    </w:p>
    <w:p>
      <w:pPr>
        <w:ind w:firstLine="640" w:firstLineChars="200"/>
        <w:outlineLvl w:val="1"/>
        <w:rPr>
          <w:rFonts w:ascii="仿宋" w:hAnsi="仿宋" w:eastAsia="仿宋" w:cs="仿宋"/>
          <w:sz w:val="32"/>
          <w:szCs w:val="32"/>
        </w:rPr>
      </w:pPr>
      <w:bookmarkStart w:id="86" w:name="_Toc12450_WPSOffice_Level2"/>
      <w:r>
        <w:rPr>
          <w:rFonts w:hint="eastAsia" w:ascii="仿宋" w:hAnsi="仿宋" w:eastAsia="仿宋" w:cs="仿宋"/>
          <w:sz w:val="32"/>
          <w:szCs w:val="32"/>
        </w:rPr>
        <w:t>六、一般公共预算财政拨款支出决算表</w:t>
      </w:r>
      <w:bookmarkEnd w:id="85"/>
      <w:bookmarkEnd w:id="86"/>
    </w:p>
    <w:p>
      <w:pPr>
        <w:ind w:firstLine="640" w:firstLineChars="200"/>
        <w:outlineLvl w:val="1"/>
        <w:rPr>
          <w:rFonts w:ascii="仿宋" w:hAnsi="仿宋" w:eastAsia="仿宋" w:cs="仿宋"/>
          <w:sz w:val="32"/>
          <w:szCs w:val="32"/>
        </w:rPr>
      </w:pPr>
      <w:bookmarkStart w:id="87" w:name="_Toc1200_WPSOffice_Level2"/>
      <w:bookmarkStart w:id="88" w:name="_Toc15396625"/>
      <w:r>
        <w:rPr>
          <w:rFonts w:hint="eastAsia" w:ascii="仿宋" w:hAnsi="仿宋" w:eastAsia="仿宋" w:cs="仿宋"/>
          <w:sz w:val="32"/>
          <w:szCs w:val="32"/>
        </w:rPr>
        <w:t>七、一般公共预算财政拨款支出决算明细表</w:t>
      </w:r>
      <w:bookmarkEnd w:id="87"/>
      <w:bookmarkEnd w:id="88"/>
    </w:p>
    <w:p>
      <w:pPr>
        <w:ind w:firstLine="640" w:firstLineChars="200"/>
        <w:outlineLvl w:val="1"/>
        <w:rPr>
          <w:rFonts w:ascii="仿宋" w:hAnsi="仿宋" w:eastAsia="仿宋" w:cs="仿宋"/>
          <w:sz w:val="32"/>
          <w:szCs w:val="32"/>
        </w:rPr>
      </w:pPr>
      <w:bookmarkStart w:id="89" w:name="_Toc15396626"/>
      <w:bookmarkStart w:id="90" w:name="_Toc29467_WPSOffice_Level2"/>
      <w:r>
        <w:rPr>
          <w:rFonts w:hint="eastAsia" w:ascii="仿宋" w:hAnsi="仿宋" w:eastAsia="仿宋" w:cs="仿宋"/>
          <w:sz w:val="32"/>
          <w:szCs w:val="32"/>
        </w:rPr>
        <w:t>八、一般公共预算财政拨款基本支出决算表</w:t>
      </w:r>
      <w:bookmarkEnd w:id="89"/>
      <w:bookmarkEnd w:id="90"/>
    </w:p>
    <w:p>
      <w:pPr>
        <w:ind w:firstLine="640" w:firstLineChars="200"/>
        <w:outlineLvl w:val="1"/>
        <w:rPr>
          <w:rFonts w:ascii="仿宋" w:hAnsi="仿宋" w:eastAsia="仿宋" w:cs="仿宋"/>
          <w:sz w:val="32"/>
          <w:szCs w:val="32"/>
        </w:rPr>
      </w:pPr>
      <w:bookmarkStart w:id="91" w:name="_Toc15050_WPSOffice_Level2"/>
      <w:bookmarkStart w:id="92" w:name="_Toc15396627"/>
      <w:r>
        <w:rPr>
          <w:rFonts w:hint="eastAsia" w:ascii="仿宋" w:hAnsi="仿宋" w:eastAsia="仿宋" w:cs="仿宋"/>
          <w:sz w:val="32"/>
          <w:szCs w:val="32"/>
        </w:rPr>
        <w:t>九、一般公共预算财政拨款项目支出决算表</w:t>
      </w:r>
      <w:bookmarkEnd w:id="91"/>
      <w:bookmarkEnd w:id="92"/>
    </w:p>
    <w:p>
      <w:pPr>
        <w:ind w:firstLine="640" w:firstLineChars="200"/>
        <w:outlineLvl w:val="1"/>
        <w:rPr>
          <w:rFonts w:ascii="仿宋" w:hAnsi="仿宋" w:eastAsia="仿宋" w:cs="仿宋"/>
          <w:sz w:val="32"/>
          <w:szCs w:val="32"/>
        </w:rPr>
      </w:pPr>
      <w:bookmarkStart w:id="93" w:name="_Toc15396628"/>
      <w:bookmarkStart w:id="94" w:name="_Toc29400_WPSOffice_Level2"/>
      <w:r>
        <w:rPr>
          <w:rFonts w:hint="eastAsia" w:ascii="仿宋" w:hAnsi="仿宋" w:eastAsia="仿宋" w:cs="仿宋"/>
          <w:sz w:val="32"/>
          <w:szCs w:val="32"/>
        </w:rPr>
        <w:t>十、</w:t>
      </w:r>
      <w:bookmarkEnd w:id="93"/>
      <w:bookmarkEnd w:id="94"/>
      <w:bookmarkStart w:id="95" w:name="_Toc15396629"/>
      <w:bookmarkStart w:id="96" w:name="_Toc1419_WPSOffice_Level2"/>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95"/>
      <w:bookmarkEnd w:id="96"/>
      <w:bookmarkStart w:id="97" w:name="_Toc15396630"/>
      <w:bookmarkStart w:id="98" w:name="_Toc9297_WPSOffice_Level2"/>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97"/>
      <w:bookmarkEnd w:id="98"/>
      <w:bookmarkStart w:id="99" w:name="_Toc15396631"/>
      <w:bookmarkStart w:id="100" w:name="_Toc27923_WPSOffice_Level2"/>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99"/>
      <w:bookmarkEnd w:id="100"/>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8</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47A4742"/>
    <w:rsid w:val="04B1787A"/>
    <w:rsid w:val="058B72D8"/>
    <w:rsid w:val="05A8179C"/>
    <w:rsid w:val="05D0338C"/>
    <w:rsid w:val="069E4C5C"/>
    <w:rsid w:val="07A07535"/>
    <w:rsid w:val="08174968"/>
    <w:rsid w:val="08A544FC"/>
    <w:rsid w:val="096B3651"/>
    <w:rsid w:val="097055DD"/>
    <w:rsid w:val="09E2734A"/>
    <w:rsid w:val="09EA5E20"/>
    <w:rsid w:val="0A2032A3"/>
    <w:rsid w:val="0A2C24F5"/>
    <w:rsid w:val="0DEB68D9"/>
    <w:rsid w:val="0E654E42"/>
    <w:rsid w:val="0E700967"/>
    <w:rsid w:val="0E8054ED"/>
    <w:rsid w:val="0F2A4EE3"/>
    <w:rsid w:val="0F44375B"/>
    <w:rsid w:val="101C5F43"/>
    <w:rsid w:val="10305D80"/>
    <w:rsid w:val="10C055FF"/>
    <w:rsid w:val="111560FF"/>
    <w:rsid w:val="114B0258"/>
    <w:rsid w:val="118107EC"/>
    <w:rsid w:val="11FC7715"/>
    <w:rsid w:val="144B41EF"/>
    <w:rsid w:val="144C0BB0"/>
    <w:rsid w:val="16194798"/>
    <w:rsid w:val="16BB723D"/>
    <w:rsid w:val="186F4E69"/>
    <w:rsid w:val="18846D4D"/>
    <w:rsid w:val="18AD3CA1"/>
    <w:rsid w:val="197916EC"/>
    <w:rsid w:val="19AB44ED"/>
    <w:rsid w:val="1A3F0BC1"/>
    <w:rsid w:val="1ADA60C0"/>
    <w:rsid w:val="1B340B1F"/>
    <w:rsid w:val="1B682C9D"/>
    <w:rsid w:val="1D007F70"/>
    <w:rsid w:val="1D155CEE"/>
    <w:rsid w:val="1DFA0B4E"/>
    <w:rsid w:val="1E8C1082"/>
    <w:rsid w:val="1E9C7DAB"/>
    <w:rsid w:val="203D1BE5"/>
    <w:rsid w:val="20C709AA"/>
    <w:rsid w:val="20F872FC"/>
    <w:rsid w:val="212945C1"/>
    <w:rsid w:val="21C7231B"/>
    <w:rsid w:val="220A09F7"/>
    <w:rsid w:val="222744B4"/>
    <w:rsid w:val="22413C59"/>
    <w:rsid w:val="22682B68"/>
    <w:rsid w:val="237125A8"/>
    <w:rsid w:val="23E8580F"/>
    <w:rsid w:val="240371BF"/>
    <w:rsid w:val="26C00F7E"/>
    <w:rsid w:val="2708541C"/>
    <w:rsid w:val="270E33F4"/>
    <w:rsid w:val="27800E62"/>
    <w:rsid w:val="28996797"/>
    <w:rsid w:val="295E5A41"/>
    <w:rsid w:val="29FD04D3"/>
    <w:rsid w:val="2A062B14"/>
    <w:rsid w:val="2AA507AC"/>
    <w:rsid w:val="2BB55F91"/>
    <w:rsid w:val="2BDF34AA"/>
    <w:rsid w:val="2C3F3A6A"/>
    <w:rsid w:val="2D501D51"/>
    <w:rsid w:val="2D812426"/>
    <w:rsid w:val="307619E1"/>
    <w:rsid w:val="30A27F1C"/>
    <w:rsid w:val="30D24DE5"/>
    <w:rsid w:val="319F7F4E"/>
    <w:rsid w:val="32DB11F0"/>
    <w:rsid w:val="32F453C9"/>
    <w:rsid w:val="33001A64"/>
    <w:rsid w:val="33667180"/>
    <w:rsid w:val="33FC35A4"/>
    <w:rsid w:val="364A2324"/>
    <w:rsid w:val="36B63A87"/>
    <w:rsid w:val="38CA2DD0"/>
    <w:rsid w:val="397363D0"/>
    <w:rsid w:val="3A05253C"/>
    <w:rsid w:val="3A411ED8"/>
    <w:rsid w:val="3A8563F8"/>
    <w:rsid w:val="3B6A5948"/>
    <w:rsid w:val="3CCB2C8C"/>
    <w:rsid w:val="3D7452D2"/>
    <w:rsid w:val="3E225A09"/>
    <w:rsid w:val="3E7B7FBA"/>
    <w:rsid w:val="3FEC448D"/>
    <w:rsid w:val="40E81083"/>
    <w:rsid w:val="419D23DD"/>
    <w:rsid w:val="430B6055"/>
    <w:rsid w:val="441E1760"/>
    <w:rsid w:val="44564E69"/>
    <w:rsid w:val="44751EFA"/>
    <w:rsid w:val="44CE29A6"/>
    <w:rsid w:val="458C32EB"/>
    <w:rsid w:val="45911E86"/>
    <w:rsid w:val="46B97DE2"/>
    <w:rsid w:val="46CE2905"/>
    <w:rsid w:val="47D155E3"/>
    <w:rsid w:val="47DB724D"/>
    <w:rsid w:val="486271DE"/>
    <w:rsid w:val="48EC433E"/>
    <w:rsid w:val="4AEE3EC0"/>
    <w:rsid w:val="4C234366"/>
    <w:rsid w:val="4CEB1B22"/>
    <w:rsid w:val="4E5F4CA0"/>
    <w:rsid w:val="4EB3535F"/>
    <w:rsid w:val="4ECE2238"/>
    <w:rsid w:val="4F603BFA"/>
    <w:rsid w:val="4FC07671"/>
    <w:rsid w:val="504B2338"/>
    <w:rsid w:val="51466070"/>
    <w:rsid w:val="524B0766"/>
    <w:rsid w:val="52554EE7"/>
    <w:rsid w:val="527E6346"/>
    <w:rsid w:val="52AC13DE"/>
    <w:rsid w:val="535775A3"/>
    <w:rsid w:val="53E47676"/>
    <w:rsid w:val="54FE6700"/>
    <w:rsid w:val="550A4E33"/>
    <w:rsid w:val="562211A8"/>
    <w:rsid w:val="580E2FC4"/>
    <w:rsid w:val="58A15CA7"/>
    <w:rsid w:val="594677CF"/>
    <w:rsid w:val="5969289B"/>
    <w:rsid w:val="5A182D99"/>
    <w:rsid w:val="5B917B93"/>
    <w:rsid w:val="5C082C91"/>
    <w:rsid w:val="5DE17CDD"/>
    <w:rsid w:val="5E0A5040"/>
    <w:rsid w:val="5E0C060A"/>
    <w:rsid w:val="61AA21F3"/>
    <w:rsid w:val="62F71D37"/>
    <w:rsid w:val="63120583"/>
    <w:rsid w:val="64045B21"/>
    <w:rsid w:val="64114C44"/>
    <w:rsid w:val="66461321"/>
    <w:rsid w:val="6647679F"/>
    <w:rsid w:val="67AC484F"/>
    <w:rsid w:val="687F389F"/>
    <w:rsid w:val="69AF5329"/>
    <w:rsid w:val="6AE02FAC"/>
    <w:rsid w:val="6B686FCE"/>
    <w:rsid w:val="6C4A05C8"/>
    <w:rsid w:val="6DC40310"/>
    <w:rsid w:val="6DE90137"/>
    <w:rsid w:val="6FB42D2A"/>
    <w:rsid w:val="6FFE518E"/>
    <w:rsid w:val="70340661"/>
    <w:rsid w:val="72623C43"/>
    <w:rsid w:val="72734D90"/>
    <w:rsid w:val="72B20375"/>
    <w:rsid w:val="734E1484"/>
    <w:rsid w:val="74112472"/>
    <w:rsid w:val="749F2CCA"/>
    <w:rsid w:val="762D761E"/>
    <w:rsid w:val="76E50571"/>
    <w:rsid w:val="77572B84"/>
    <w:rsid w:val="78D91262"/>
    <w:rsid w:val="793951EC"/>
    <w:rsid w:val="79C16C07"/>
    <w:rsid w:val="79C40005"/>
    <w:rsid w:val="79E66E62"/>
    <w:rsid w:val="7B3160B7"/>
    <w:rsid w:val="7BDF3B6C"/>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6"/>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32"/>
    <w:qFormat/>
    <w:uiPriority w:val="99"/>
    <w:pPr>
      <w:spacing w:beforeLines="30"/>
    </w:pPr>
    <w:rPr>
      <w:rFonts w:ascii="仿宋_GB2312" w:eastAsia="仿宋_GB2312"/>
      <w:kern w:val="0"/>
      <w:sz w:val="24"/>
      <w:szCs w:val="2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unhideWhenUsed/>
    <w:qFormat/>
    <w:uiPriority w:val="99"/>
    <w:rPr>
      <w:sz w:val="18"/>
      <w:szCs w:val="18"/>
    </w:rPr>
  </w:style>
  <w:style w:type="paragraph" w:styleId="11">
    <w:name w:val="footer"/>
    <w:basedOn w:val="1"/>
    <w:link w:val="34"/>
    <w:qFormat/>
    <w:uiPriority w:val="99"/>
    <w:pPr>
      <w:tabs>
        <w:tab w:val="center" w:pos="4153"/>
        <w:tab w:val="right" w:pos="8306"/>
      </w:tabs>
      <w:snapToGrid w:val="0"/>
      <w:jc w:val="left"/>
    </w:pPr>
    <w:rPr>
      <w:kern w:val="0"/>
      <w:sz w:val="18"/>
      <w:szCs w:val="20"/>
    </w:rPr>
  </w:style>
  <w:style w:type="paragraph" w:styleId="12">
    <w:name w:val="header"/>
    <w:basedOn w:val="1"/>
    <w:link w:val="38"/>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List 4"/>
    <w:basedOn w:val="1"/>
    <w:qFormat/>
    <w:uiPriority w:val="99"/>
    <w:pPr>
      <w:ind w:left="100" w:leftChars="600" w:hanging="200" w:hangingChars="200"/>
    </w:pPr>
    <w:rPr>
      <w:rFonts w:ascii="Calibri" w:hAnsi="Calibri"/>
      <w:szCs w:val="22"/>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99"/>
    <w:pPr>
      <w:spacing w:before="240" w:after="60"/>
      <w:jc w:val="center"/>
      <w:outlineLvl w:val="0"/>
    </w:pPr>
    <w:rPr>
      <w:rFonts w:ascii="Arial" w:hAnsi="Arial" w:cs="Arial"/>
      <w:b/>
      <w:bCs/>
      <w:sz w:val="32"/>
      <w:szCs w:val="32"/>
    </w:rPr>
  </w:style>
  <w:style w:type="character" w:styleId="20">
    <w:name w:val="Strong"/>
    <w:qFormat/>
    <w:uiPriority w:val="99"/>
    <w:rPr>
      <w:rFonts w:cs="Times New Roman"/>
      <w:b/>
    </w:rPr>
  </w:style>
  <w:style w:type="character" w:styleId="21">
    <w:name w:val="page number"/>
    <w:basedOn w:val="19"/>
    <w:qFormat/>
    <w:uiPriority w:val="0"/>
    <w:rPr>
      <w:rFonts w:cs="Times New Roman"/>
    </w:rPr>
  </w:style>
  <w:style w:type="character" w:styleId="22">
    <w:name w:val="Hyperlink"/>
    <w:unhideWhenUsed/>
    <w:qFormat/>
    <w:uiPriority w:val="99"/>
    <w:rPr>
      <w:rFonts w:cs="Times New Roman"/>
      <w:color w:val="0000FF"/>
      <w:u w:val="single"/>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4">
    <w:name w:val="List Paragraph1"/>
    <w:basedOn w:val="1"/>
    <w:qFormat/>
    <w:uiPriority w:val="34"/>
    <w:pPr>
      <w:ind w:firstLine="420" w:firstLineChars="200"/>
    </w:pPr>
  </w:style>
  <w:style w:type="paragraph" w:customStyle="1" w:styleId="25">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6">
    <w:name w:val="TOC 标题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7">
    <w:name w:val="List Paragraph"/>
    <w:basedOn w:val="1"/>
    <w:qFormat/>
    <w:uiPriority w:val="34"/>
    <w:pPr>
      <w:ind w:firstLine="420" w:firstLineChars="200"/>
    </w:pPr>
  </w:style>
  <w:style w:type="paragraph" w:customStyle="1" w:styleId="28">
    <w:name w:val="TOC Heading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9">
    <w:name w:val="Header Char"/>
    <w:semiHidden/>
    <w:qFormat/>
    <w:uiPriority w:val="99"/>
    <w:rPr>
      <w:rFonts w:ascii="Times New Roman" w:hAnsi="Times New Roman" w:cs="Times New Roman"/>
      <w:sz w:val="18"/>
      <w:szCs w:val="18"/>
    </w:rPr>
  </w:style>
  <w:style w:type="character" w:customStyle="1" w:styleId="30">
    <w:name w:val="Body Text Char"/>
    <w:semiHidden/>
    <w:qFormat/>
    <w:uiPriority w:val="99"/>
    <w:rPr>
      <w:rFonts w:ascii="Times New Roman" w:hAnsi="Times New Roman" w:cs="Times New Roman"/>
      <w:sz w:val="24"/>
      <w:szCs w:val="24"/>
    </w:rPr>
  </w:style>
  <w:style w:type="character" w:customStyle="1" w:styleId="31">
    <w:name w:val="标题 2 Char"/>
    <w:link w:val="6"/>
    <w:qFormat/>
    <w:locked/>
    <w:uiPriority w:val="9"/>
    <w:rPr>
      <w:rFonts w:ascii="Cambria" w:hAnsi="Cambria" w:eastAsia="宋体" w:cs="Times New Roman"/>
      <w:b/>
      <w:bCs/>
      <w:kern w:val="2"/>
      <w:sz w:val="32"/>
      <w:szCs w:val="32"/>
    </w:rPr>
  </w:style>
  <w:style w:type="character" w:customStyle="1" w:styleId="32">
    <w:name w:val="正文文本 Char"/>
    <w:link w:val="8"/>
    <w:qFormat/>
    <w:locked/>
    <w:uiPriority w:val="99"/>
    <w:rPr>
      <w:rFonts w:ascii="仿宋_GB2312" w:hAnsi="Times New Roman" w:eastAsia="仿宋_GB2312"/>
      <w:sz w:val="24"/>
    </w:rPr>
  </w:style>
  <w:style w:type="character" w:customStyle="1" w:styleId="33">
    <w:name w:val="批注框文本 Char"/>
    <w:link w:val="10"/>
    <w:semiHidden/>
    <w:qFormat/>
    <w:locked/>
    <w:uiPriority w:val="99"/>
    <w:rPr>
      <w:rFonts w:ascii="Times New Roman" w:hAnsi="Times New Roman" w:cs="Times New Roman"/>
      <w:kern w:val="2"/>
      <w:sz w:val="18"/>
      <w:szCs w:val="18"/>
    </w:rPr>
  </w:style>
  <w:style w:type="character" w:customStyle="1" w:styleId="34">
    <w:name w:val="页脚 Char"/>
    <w:link w:val="11"/>
    <w:qFormat/>
    <w:locked/>
    <w:uiPriority w:val="99"/>
    <w:rPr>
      <w:sz w:val="18"/>
    </w:rPr>
  </w:style>
  <w:style w:type="character" w:customStyle="1" w:styleId="35">
    <w:name w:val="Footer Char"/>
    <w:semiHidden/>
    <w:qFormat/>
    <w:uiPriority w:val="99"/>
    <w:rPr>
      <w:rFonts w:ascii="Times New Roman" w:hAnsi="Times New Roman" w:cs="Times New Roman"/>
      <w:sz w:val="18"/>
      <w:szCs w:val="18"/>
    </w:rPr>
  </w:style>
  <w:style w:type="character" w:customStyle="1" w:styleId="36">
    <w:name w:val="标题 3 Char"/>
    <w:link w:val="7"/>
    <w:qFormat/>
    <w:locked/>
    <w:uiPriority w:val="9"/>
    <w:rPr>
      <w:rFonts w:ascii="Times New Roman" w:hAnsi="Times New Roman" w:cs="Times New Roman"/>
      <w:b/>
      <w:bCs/>
      <w:kern w:val="2"/>
      <w:sz w:val="32"/>
      <w:szCs w:val="32"/>
    </w:rPr>
  </w:style>
  <w:style w:type="character" w:customStyle="1" w:styleId="37">
    <w:name w:val="标题 1 Char"/>
    <w:link w:val="5"/>
    <w:qFormat/>
    <w:locked/>
    <w:uiPriority w:val="9"/>
    <w:rPr>
      <w:rFonts w:ascii="Times New Roman" w:hAnsi="Times New Roman" w:cs="Times New Roman"/>
      <w:b/>
      <w:bCs/>
      <w:kern w:val="44"/>
      <w:sz w:val="44"/>
      <w:szCs w:val="44"/>
    </w:rPr>
  </w:style>
  <w:style w:type="character" w:customStyle="1" w:styleId="38">
    <w:name w:val="页眉 Char"/>
    <w:link w:val="12"/>
    <w:semiHidden/>
    <w:qFormat/>
    <w:locked/>
    <w:uiPriority w:val="99"/>
    <w:rPr>
      <w:sz w:val="18"/>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3643</Words>
  <Characters>20766</Characters>
  <Lines>173</Lines>
  <Paragraphs>48</Paragraphs>
  <TotalTime>1</TotalTime>
  <ScaleCrop>false</ScaleCrop>
  <LinksUpToDate>false</LinksUpToDate>
  <CharactersWithSpaces>24361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pc</cp:lastModifiedBy>
  <cp:lastPrinted>2023-09-15T02:41:00Z</cp:lastPrinted>
  <dcterms:modified xsi:type="dcterms:W3CDTF">2025-09-18T02:37:36Z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