
<file path=[Content_Types].xml><?xml version="1.0" encoding="utf-8"?>
<Types xmlns="http://schemas.openxmlformats.org/package/2006/content-types">
  <Default Extension="xlsx" ContentType="application/vnd.openxmlformats-officedocument.spreadsheetml.shee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outlineLvl w:val="0"/>
        <w:rPr>
          <w:rFonts w:ascii="方正小标宋简体" w:hAnsi="宋体" w:eastAsia="方正小标宋简体"/>
          <w:szCs w:val="21"/>
        </w:rPr>
      </w:pPr>
      <w:bookmarkStart w:id="0" w:name="_Toc15306267"/>
    </w:p>
    <w:p>
      <w:pPr>
        <w:pStyle w:val="6"/>
        <w:spacing w:before="93"/>
      </w:pPr>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p>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1" w:name="_Toc15378441"/>
      <w:bookmarkStart w:id="2" w:name="_Toc15396475"/>
      <w:bookmarkStart w:id="3" w:name="_Toc15377425"/>
      <w:bookmarkStart w:id="4" w:name="_Toc15396597"/>
      <w:bookmarkStart w:id="5" w:name="_Toc15377193"/>
      <w:r>
        <w:rPr>
          <w:rFonts w:hint="eastAsia" w:ascii="方正小标宋简体" w:hAnsi="方正小标宋简体" w:eastAsia="方正小标宋简体" w:cs="方正小标宋简体"/>
          <w:sz w:val="72"/>
          <w:szCs w:val="72"/>
        </w:rPr>
        <w:t>2023年度</w:t>
      </w:r>
      <w:bookmarkEnd w:id="1"/>
      <w:bookmarkEnd w:id="2"/>
      <w:bookmarkEnd w:id="3"/>
      <w:bookmarkEnd w:id="4"/>
      <w:bookmarkEnd w:id="5"/>
    </w:p>
    <w:bookmarkEnd w:id="0"/>
    <w:p>
      <w:pPr>
        <w:adjustRightInd w:val="0"/>
        <w:snapToGrid w:val="0"/>
        <w:spacing w:line="360" w:lineRule="auto"/>
        <w:jc w:val="center"/>
        <w:outlineLvl w:val="0"/>
        <w:rPr>
          <w:rFonts w:ascii="方正小标宋简体" w:hAnsi="方正小标宋简体" w:eastAsia="方正小标宋简体" w:cs="方正小标宋简体"/>
          <w:spacing w:val="-20"/>
          <w:sz w:val="72"/>
          <w:szCs w:val="72"/>
        </w:rPr>
      </w:pPr>
      <w:bookmarkStart w:id="6" w:name="_Toc15396476"/>
      <w:bookmarkStart w:id="7" w:name="_Toc15306268"/>
      <w:bookmarkStart w:id="8" w:name="_Toc15378442"/>
      <w:bookmarkStart w:id="9" w:name="_Toc15377194"/>
      <w:bookmarkStart w:id="10" w:name="_Toc15396598"/>
      <w:bookmarkStart w:id="11" w:name="_Toc15377426"/>
      <w:bookmarkStart w:id="12" w:name="OLE_LINK25"/>
      <w:r>
        <w:rPr>
          <w:rFonts w:hint="eastAsia" w:ascii="方正小标宋简体" w:hAnsi="方正小标宋简体" w:eastAsia="方正小标宋简体" w:cs="方正小标宋简体"/>
          <w:spacing w:val="-20"/>
          <w:sz w:val="72"/>
          <w:szCs w:val="72"/>
        </w:rPr>
        <w:t>乐山市金口河区信访局</w:t>
      </w:r>
      <w:r>
        <w:rPr>
          <w:rFonts w:hint="eastAsia" w:ascii="方正小标宋简体" w:hAnsi="方正小标宋简体" w:eastAsia="方正小标宋简体" w:cs="方正小标宋简体"/>
          <w:spacing w:val="-20"/>
          <w:sz w:val="72"/>
          <w:szCs w:val="72"/>
          <w:lang w:val="en-US" w:eastAsia="zh-CN"/>
        </w:rPr>
        <w:t>单位</w:t>
      </w:r>
      <w:r>
        <w:rPr>
          <w:rFonts w:hint="eastAsia" w:ascii="方正小标宋简体" w:hAnsi="方正小标宋简体" w:eastAsia="方正小标宋简体" w:cs="方正小标宋简体"/>
          <w:spacing w:val="-20"/>
          <w:sz w:val="72"/>
          <w:szCs w:val="72"/>
        </w:rPr>
        <w:t>决算</w:t>
      </w:r>
      <w:bookmarkEnd w:id="6"/>
      <w:bookmarkEnd w:id="7"/>
      <w:bookmarkEnd w:id="8"/>
      <w:bookmarkEnd w:id="9"/>
      <w:bookmarkEnd w:id="10"/>
      <w:bookmarkEnd w:id="11"/>
    </w:p>
    <w:bookmarkEnd w:id="12"/>
    <w:p>
      <w:pPr>
        <w:widowControl/>
        <w:jc w:val="center"/>
        <w:rPr>
          <w:rFonts w:ascii="黑体" w:hAnsi="黑体" w:eastAsia="黑体"/>
          <w:sz w:val="48"/>
          <w:szCs w:val="48"/>
        </w:rPr>
      </w:pPr>
      <w:r>
        <w:rPr>
          <w:rFonts w:ascii="方正小标宋简体" w:hAnsi="宋体" w:eastAsia="方正小标宋简体"/>
          <w:sz w:val="36"/>
          <w:szCs w:val="36"/>
        </w:rPr>
        <w:br w:type="page"/>
      </w:r>
      <w:r>
        <w:rPr>
          <w:rFonts w:hint="eastAsia" w:ascii="黑体" w:hAnsi="黑体" w:eastAsia="黑体"/>
          <w:sz w:val="48"/>
          <w:szCs w:val="48"/>
        </w:rPr>
        <w:t>目录</w:t>
      </w:r>
    </w:p>
    <w:p>
      <w:pPr>
        <w:widowControl/>
        <w:jc w:val="center"/>
        <w:rPr>
          <w:rFonts w:ascii="黑体" w:hAnsi="黑体" w:eastAsia="黑体" w:cstheme="minorBidi"/>
          <w:sz w:val="28"/>
          <w:szCs w:val="28"/>
        </w:rPr>
      </w:pPr>
    </w:p>
    <w:p>
      <w:pPr>
        <w:pStyle w:val="12"/>
      </w:pPr>
      <w:r>
        <w:rPr>
          <w:rFonts w:hint="eastAsia"/>
        </w:rPr>
        <w:t>公开时间：2023年</w:t>
      </w:r>
      <w:r>
        <w:rPr>
          <w:rFonts w:hint="eastAsia"/>
          <w:lang w:val="en-US" w:eastAsia="zh-CN"/>
        </w:rPr>
        <w:t>9</w:t>
      </w:r>
      <w:r>
        <w:rPr>
          <w:rFonts w:hint="eastAsia"/>
        </w:rPr>
        <w:t>月</w:t>
      </w:r>
      <w:r>
        <w:rPr>
          <w:rFonts w:hint="eastAsia"/>
          <w:lang w:val="en-US" w:eastAsia="zh-CN"/>
        </w:rPr>
        <w:t>25</w:t>
      </w:r>
      <w:r>
        <w:rPr>
          <w:rFonts w:hint="eastAsia"/>
        </w:rPr>
        <w:t>日</w:t>
      </w:r>
    </w:p>
    <w:p/>
    <w:p>
      <w:pPr>
        <w:pStyle w:val="12"/>
        <w:adjustRightInd w:val="0"/>
        <w:snapToGrid w:val="0"/>
        <w:spacing w:before="0" w:line="440" w:lineRule="exact"/>
        <w:jc w:val="left"/>
        <w:rPr>
          <w:rFonts w:hint="default" w:eastAsia="仿宋" w:cstheme="minorBidi"/>
          <w:sz w:val="24"/>
          <w:szCs w:val="24"/>
          <w:lang w:val="en-US" w:eastAsia="zh-CN"/>
        </w:rPr>
      </w:pPr>
      <w:bookmarkStart w:id="13" w:name="OLE_LINK29"/>
      <w:r>
        <w:rPr>
          <w:rFonts w:hint="eastAsia"/>
          <w:sz w:val="24"/>
        </w:rPr>
        <w:t>第一部分</w:t>
      </w:r>
      <w:r>
        <w:rPr>
          <w:sz w:val="24"/>
        </w:rPr>
        <w:t xml:space="preserve"> </w:t>
      </w:r>
      <w:r>
        <w:rPr>
          <w:rFonts w:hint="eastAsia"/>
          <w:sz w:val="24"/>
        </w:rPr>
        <w:t>单位概况</w:t>
      </w:r>
      <w:r>
        <w:rPr>
          <w:rFonts w:hint="eastAsia"/>
          <w:sz w:val="24"/>
          <w:lang w:val="en-US" w:eastAsia="zh-CN"/>
        </w:rPr>
        <w:t>························4</w:t>
      </w:r>
    </w:p>
    <w:p>
      <w:pPr>
        <w:pStyle w:val="13"/>
        <w:adjustRightInd w:val="0"/>
        <w:snapToGrid w:val="0"/>
        <w:spacing w:line="440" w:lineRule="exact"/>
        <w:jc w:val="left"/>
        <w:rPr>
          <w:rFonts w:hint="default" w:eastAsia="宋体"/>
          <w:sz w:val="24"/>
          <w:lang w:val="en-US" w:eastAsia="zh-CN"/>
        </w:rPr>
      </w:pPr>
      <w:r>
        <w:rPr>
          <w:rFonts w:hint="eastAsia"/>
          <w:sz w:val="24"/>
        </w:rPr>
        <w:t>一、主要职责</w:t>
      </w:r>
      <w:r>
        <w:rPr>
          <w:rFonts w:hint="eastAsia"/>
          <w:sz w:val="24"/>
          <w:lang w:val="en-US" w:eastAsia="zh-CN"/>
        </w:rPr>
        <w:t>·························4</w:t>
      </w:r>
    </w:p>
    <w:p>
      <w:pPr>
        <w:pStyle w:val="13"/>
        <w:adjustRightInd w:val="0"/>
        <w:snapToGrid w:val="0"/>
        <w:spacing w:line="440" w:lineRule="exact"/>
        <w:jc w:val="left"/>
        <w:rPr>
          <w:rFonts w:hint="default" w:eastAsia="宋体"/>
          <w:lang w:val="en-US" w:eastAsia="zh-CN"/>
        </w:rPr>
      </w:pPr>
      <w:r>
        <w:rPr>
          <w:rFonts w:hint="eastAsia"/>
          <w:sz w:val="24"/>
        </w:rPr>
        <w:t>二、机构设置</w:t>
      </w:r>
      <w:r>
        <w:rPr>
          <w:rFonts w:hint="eastAsia"/>
          <w:sz w:val="24"/>
          <w:lang w:val="en-US" w:eastAsia="zh-CN"/>
        </w:rPr>
        <w:t>·························5</w:t>
      </w:r>
      <w:bookmarkEnd w:id="13"/>
    </w:p>
    <w:p>
      <w:pPr>
        <w:pStyle w:val="12"/>
        <w:adjustRightInd w:val="0"/>
        <w:snapToGrid w:val="0"/>
        <w:spacing w:before="0" w:line="440" w:lineRule="exact"/>
        <w:jc w:val="left"/>
        <w:rPr>
          <w:rFonts w:hint="default" w:eastAsia="仿宋"/>
          <w:sz w:val="24"/>
          <w:szCs w:val="24"/>
          <w:lang w:val="en-US" w:eastAsia="zh-CN"/>
        </w:rPr>
      </w:pPr>
      <w:r>
        <w:rPr>
          <w:rFonts w:hint="eastAsia"/>
          <w:sz w:val="24"/>
        </w:rPr>
        <w:t>第二部分 2023年度单位决算情况说明</w:t>
      </w:r>
      <w:r>
        <w:rPr>
          <w:rFonts w:hint="eastAsia"/>
          <w:sz w:val="24"/>
          <w:lang w:val="en-US" w:eastAsia="zh-CN"/>
        </w:rPr>
        <w:t>················6</w:t>
      </w:r>
    </w:p>
    <w:p>
      <w:pPr>
        <w:pStyle w:val="13"/>
        <w:adjustRightInd w:val="0"/>
        <w:snapToGrid w:val="0"/>
        <w:spacing w:line="440" w:lineRule="exact"/>
        <w:jc w:val="left"/>
        <w:rPr>
          <w:rFonts w:hint="default" w:ascii="仿宋" w:hAnsi="仿宋" w:eastAsia="宋体" w:cstheme="minorBidi"/>
          <w:sz w:val="24"/>
          <w:lang w:val="en-US" w:eastAsia="zh-CN"/>
        </w:rPr>
      </w:pPr>
      <w:bookmarkStart w:id="14" w:name="OLE_LINK11"/>
      <w:r>
        <w:rPr>
          <w:rFonts w:hint="eastAsia"/>
          <w:sz w:val="24"/>
        </w:rPr>
        <w:t>一、收入支出决算总体情况说明</w:t>
      </w:r>
      <w:r>
        <w:rPr>
          <w:rFonts w:hint="eastAsia"/>
          <w:sz w:val="24"/>
          <w:lang w:val="en-US" w:eastAsia="zh-CN"/>
        </w:rPr>
        <w:t>·················6</w:t>
      </w:r>
    </w:p>
    <w:p>
      <w:pPr>
        <w:pStyle w:val="13"/>
        <w:adjustRightInd w:val="0"/>
        <w:snapToGrid w:val="0"/>
        <w:spacing w:line="440" w:lineRule="exact"/>
        <w:jc w:val="left"/>
        <w:rPr>
          <w:rFonts w:hint="default" w:ascii="仿宋" w:hAnsi="仿宋" w:eastAsia="宋体" w:cstheme="minorBidi"/>
          <w:sz w:val="24"/>
          <w:lang w:val="en-US" w:eastAsia="zh-CN"/>
        </w:rPr>
      </w:pPr>
      <w:r>
        <w:rPr>
          <w:rFonts w:hint="eastAsia"/>
          <w:sz w:val="24"/>
        </w:rPr>
        <w:t>二、收入决算情况说明</w:t>
      </w:r>
      <w:r>
        <w:rPr>
          <w:rFonts w:hint="eastAsia"/>
          <w:sz w:val="24"/>
          <w:lang w:val="en-US" w:eastAsia="zh-CN"/>
        </w:rPr>
        <w:t>·····················6</w:t>
      </w:r>
    </w:p>
    <w:p>
      <w:pPr>
        <w:pStyle w:val="13"/>
        <w:adjustRightInd w:val="0"/>
        <w:snapToGrid w:val="0"/>
        <w:spacing w:line="440" w:lineRule="exact"/>
        <w:jc w:val="left"/>
        <w:rPr>
          <w:rFonts w:hint="default" w:ascii="仿宋" w:hAnsi="仿宋" w:eastAsia="宋体" w:cstheme="minorBidi"/>
          <w:sz w:val="24"/>
          <w:lang w:val="en-US" w:eastAsia="zh-CN"/>
        </w:rPr>
      </w:pPr>
      <w:r>
        <w:rPr>
          <w:rFonts w:hint="eastAsia"/>
          <w:sz w:val="24"/>
        </w:rPr>
        <w:t>三、支出决算情况说明</w:t>
      </w:r>
      <w:r>
        <w:rPr>
          <w:rFonts w:hint="eastAsia"/>
          <w:sz w:val="24"/>
          <w:lang w:val="en-US" w:eastAsia="zh-CN"/>
        </w:rPr>
        <w:t>·····················7</w:t>
      </w:r>
    </w:p>
    <w:p>
      <w:pPr>
        <w:pStyle w:val="13"/>
        <w:adjustRightInd w:val="0"/>
        <w:snapToGrid w:val="0"/>
        <w:spacing w:line="440" w:lineRule="exact"/>
        <w:jc w:val="left"/>
        <w:rPr>
          <w:rFonts w:hint="default" w:ascii="仿宋" w:hAnsi="仿宋" w:eastAsia="宋体" w:cstheme="minorBidi"/>
          <w:sz w:val="24"/>
          <w:lang w:val="en-US" w:eastAsia="zh-CN"/>
        </w:rPr>
      </w:pPr>
      <w:r>
        <w:rPr>
          <w:rFonts w:hint="eastAsia"/>
          <w:sz w:val="24"/>
        </w:rPr>
        <w:t>四、财政拨款收入支出决算总体情况说明</w:t>
      </w:r>
      <w:r>
        <w:rPr>
          <w:rFonts w:hint="eastAsia"/>
          <w:sz w:val="24"/>
          <w:lang w:val="en-US" w:eastAsia="zh-CN"/>
        </w:rPr>
        <w:t>·············8</w:t>
      </w:r>
    </w:p>
    <w:p>
      <w:pPr>
        <w:pStyle w:val="13"/>
        <w:adjustRightInd w:val="0"/>
        <w:snapToGrid w:val="0"/>
        <w:spacing w:line="440" w:lineRule="exact"/>
        <w:jc w:val="left"/>
        <w:rPr>
          <w:rFonts w:hint="default" w:ascii="仿宋" w:hAnsi="仿宋" w:eastAsia="宋体" w:cstheme="minorBidi"/>
          <w:sz w:val="24"/>
          <w:lang w:val="en-US" w:eastAsia="zh-CN"/>
        </w:rPr>
      </w:pPr>
      <w:r>
        <w:rPr>
          <w:rFonts w:hint="eastAsia"/>
          <w:sz w:val="24"/>
        </w:rPr>
        <w:t>五、一般公共预算财政拨款支出决算情况说明</w:t>
      </w:r>
      <w:r>
        <w:rPr>
          <w:rFonts w:hint="eastAsia"/>
          <w:sz w:val="24"/>
          <w:lang w:val="en-US" w:eastAsia="zh-CN"/>
        </w:rPr>
        <w:t>···········8</w:t>
      </w:r>
    </w:p>
    <w:p>
      <w:pPr>
        <w:pStyle w:val="13"/>
        <w:adjustRightInd w:val="0"/>
        <w:snapToGrid w:val="0"/>
        <w:spacing w:line="440" w:lineRule="exact"/>
        <w:jc w:val="left"/>
        <w:rPr>
          <w:rFonts w:hint="default" w:ascii="仿宋" w:hAnsi="仿宋" w:eastAsia="宋体" w:cstheme="minorBidi"/>
          <w:sz w:val="24"/>
          <w:lang w:val="en-US" w:eastAsia="zh-CN"/>
        </w:rPr>
      </w:pPr>
      <w:r>
        <w:rPr>
          <w:rFonts w:hint="eastAsia"/>
          <w:sz w:val="24"/>
        </w:rPr>
        <w:t>六、一般公共预算财政拨款基本支出决算情况说明</w:t>
      </w:r>
      <w:r>
        <w:rPr>
          <w:rFonts w:hint="eastAsia"/>
          <w:sz w:val="24"/>
          <w:lang w:val="en-US" w:eastAsia="zh-CN"/>
        </w:rPr>
        <w:t>·········13</w:t>
      </w:r>
    </w:p>
    <w:p>
      <w:pPr>
        <w:pStyle w:val="13"/>
        <w:adjustRightInd w:val="0"/>
        <w:snapToGrid w:val="0"/>
        <w:spacing w:line="440" w:lineRule="exact"/>
        <w:jc w:val="left"/>
        <w:rPr>
          <w:rFonts w:hint="default" w:ascii="仿宋" w:hAnsi="仿宋" w:eastAsia="宋体" w:cstheme="minorBidi"/>
          <w:sz w:val="24"/>
          <w:lang w:val="en-US" w:eastAsia="zh-CN"/>
        </w:rPr>
      </w:pPr>
      <w:r>
        <w:rPr>
          <w:rFonts w:hint="eastAsia"/>
          <w:sz w:val="24"/>
        </w:rPr>
        <w:t>七、财政拨款“三公”经费支出决算情况说明</w:t>
      </w:r>
      <w:r>
        <w:rPr>
          <w:rFonts w:hint="eastAsia"/>
          <w:sz w:val="24"/>
          <w:lang w:val="en-US" w:eastAsia="zh-CN"/>
        </w:rPr>
        <w:t>···········13</w:t>
      </w:r>
    </w:p>
    <w:p>
      <w:pPr>
        <w:pStyle w:val="13"/>
        <w:adjustRightInd w:val="0"/>
        <w:snapToGrid w:val="0"/>
        <w:spacing w:line="440" w:lineRule="exact"/>
        <w:jc w:val="left"/>
        <w:rPr>
          <w:rFonts w:hint="default" w:ascii="仿宋" w:hAnsi="仿宋" w:eastAsia="宋体" w:cstheme="minorBidi"/>
          <w:sz w:val="24"/>
          <w:lang w:val="en-US" w:eastAsia="zh-CN"/>
        </w:rPr>
      </w:pPr>
      <w:r>
        <w:rPr>
          <w:rFonts w:hint="eastAsia"/>
          <w:sz w:val="24"/>
        </w:rPr>
        <w:t>八、政府性基金预算支出决算情况说明</w:t>
      </w:r>
      <w:r>
        <w:rPr>
          <w:rFonts w:hint="eastAsia"/>
          <w:sz w:val="24"/>
          <w:lang w:val="en-US" w:eastAsia="zh-CN"/>
        </w:rPr>
        <w:t>··············15</w:t>
      </w:r>
    </w:p>
    <w:p>
      <w:pPr>
        <w:pStyle w:val="13"/>
        <w:adjustRightInd w:val="0"/>
        <w:snapToGrid w:val="0"/>
        <w:spacing w:line="440" w:lineRule="exact"/>
        <w:jc w:val="left"/>
        <w:rPr>
          <w:rFonts w:hint="default" w:eastAsia="宋体"/>
          <w:sz w:val="24"/>
          <w:lang w:val="en-US" w:eastAsia="zh-CN"/>
        </w:rPr>
      </w:pPr>
      <w:r>
        <w:rPr>
          <w:rFonts w:hint="eastAsia"/>
          <w:sz w:val="24"/>
        </w:rPr>
        <w:t>九、国有资本经营预算支出决算情况说明</w:t>
      </w:r>
      <w:r>
        <w:rPr>
          <w:rFonts w:hint="eastAsia"/>
          <w:sz w:val="24"/>
          <w:lang w:val="en-US" w:eastAsia="zh-CN"/>
        </w:rPr>
        <w:t>·············15</w:t>
      </w:r>
    </w:p>
    <w:p>
      <w:pPr>
        <w:pStyle w:val="13"/>
        <w:adjustRightInd w:val="0"/>
        <w:snapToGrid w:val="0"/>
        <w:spacing w:line="440" w:lineRule="exact"/>
        <w:jc w:val="left"/>
        <w:rPr>
          <w:rFonts w:hint="default" w:eastAsia="宋体"/>
          <w:sz w:val="24"/>
          <w:lang w:val="en-US" w:eastAsia="zh-CN"/>
        </w:rPr>
      </w:pPr>
      <w:r>
        <w:rPr>
          <w:rFonts w:hint="eastAsia"/>
          <w:sz w:val="24"/>
        </w:rPr>
        <w:t>十、其他重要事项的情况说明</w:t>
      </w:r>
      <w:r>
        <w:rPr>
          <w:rFonts w:hint="eastAsia"/>
          <w:sz w:val="24"/>
          <w:lang w:val="en-US" w:eastAsia="zh-CN"/>
        </w:rPr>
        <w:t>··················1</w:t>
      </w:r>
      <w:bookmarkEnd w:id="14"/>
      <w:r>
        <w:rPr>
          <w:rFonts w:hint="eastAsia"/>
          <w:sz w:val="24"/>
          <w:lang w:val="en-US" w:eastAsia="zh-CN"/>
        </w:rPr>
        <w:t>5</w:t>
      </w:r>
    </w:p>
    <w:p>
      <w:pPr>
        <w:pStyle w:val="12"/>
        <w:adjustRightInd w:val="0"/>
        <w:snapToGrid w:val="0"/>
        <w:spacing w:before="0" w:line="440" w:lineRule="exact"/>
        <w:jc w:val="left"/>
        <w:rPr>
          <w:rFonts w:hint="default" w:eastAsia="仿宋" w:cstheme="minorBidi"/>
          <w:sz w:val="24"/>
          <w:szCs w:val="24"/>
          <w:lang w:val="en-US" w:eastAsia="zh-CN"/>
        </w:rPr>
      </w:pPr>
      <w:r>
        <w:rPr>
          <w:rFonts w:hint="eastAsia"/>
          <w:sz w:val="24"/>
        </w:rPr>
        <w:t>第三部分</w:t>
      </w:r>
      <w:r>
        <w:rPr>
          <w:sz w:val="24"/>
        </w:rPr>
        <w:t xml:space="preserve"> </w:t>
      </w:r>
      <w:r>
        <w:rPr>
          <w:rFonts w:hint="eastAsia"/>
          <w:sz w:val="24"/>
        </w:rPr>
        <w:t>名词解释</w:t>
      </w:r>
      <w:r>
        <w:rPr>
          <w:rFonts w:hint="eastAsia"/>
          <w:sz w:val="24"/>
          <w:lang w:val="en-US" w:eastAsia="zh-CN"/>
        </w:rPr>
        <w:t>························18</w:t>
      </w:r>
    </w:p>
    <w:p>
      <w:pPr>
        <w:pStyle w:val="12"/>
        <w:adjustRightInd w:val="0"/>
        <w:snapToGrid w:val="0"/>
        <w:spacing w:before="0" w:line="440" w:lineRule="exact"/>
        <w:jc w:val="left"/>
        <w:rPr>
          <w:rFonts w:hint="default" w:eastAsia="仿宋" w:cstheme="minorBidi"/>
          <w:sz w:val="24"/>
          <w:szCs w:val="24"/>
          <w:lang w:val="en-US" w:eastAsia="zh-CN"/>
        </w:rPr>
      </w:pPr>
      <w:r>
        <w:rPr>
          <w:rFonts w:hint="eastAsia"/>
          <w:sz w:val="24"/>
        </w:rPr>
        <w:t>第四部分</w:t>
      </w:r>
      <w:r>
        <w:rPr>
          <w:sz w:val="24"/>
        </w:rPr>
        <w:t xml:space="preserve"> </w:t>
      </w:r>
      <w:r>
        <w:rPr>
          <w:rFonts w:hint="eastAsia"/>
          <w:sz w:val="24"/>
        </w:rPr>
        <w:t>附件</w:t>
      </w:r>
      <w:r>
        <w:rPr>
          <w:rFonts w:hint="eastAsia"/>
          <w:sz w:val="24"/>
          <w:lang w:val="en-US" w:eastAsia="zh-CN"/>
        </w:rPr>
        <w:t>··························21</w:t>
      </w:r>
    </w:p>
    <w:p>
      <w:pPr>
        <w:pStyle w:val="12"/>
        <w:adjustRightInd w:val="0"/>
        <w:snapToGrid w:val="0"/>
        <w:spacing w:before="0" w:line="440" w:lineRule="exact"/>
        <w:jc w:val="left"/>
        <w:rPr>
          <w:rFonts w:hint="default" w:eastAsia="仿宋" w:cstheme="minorBidi"/>
          <w:sz w:val="24"/>
          <w:szCs w:val="24"/>
          <w:lang w:val="en-US" w:eastAsia="zh-CN"/>
        </w:rPr>
      </w:pPr>
      <w:r>
        <w:rPr>
          <w:rFonts w:hint="eastAsia"/>
          <w:sz w:val="24"/>
        </w:rPr>
        <w:t>第五部分</w:t>
      </w:r>
      <w:r>
        <w:rPr>
          <w:sz w:val="24"/>
        </w:rPr>
        <w:t xml:space="preserve"> </w:t>
      </w:r>
      <w:r>
        <w:rPr>
          <w:rFonts w:hint="eastAsia"/>
          <w:sz w:val="24"/>
        </w:rPr>
        <w:t>附表</w:t>
      </w:r>
      <w:r>
        <w:rPr>
          <w:rFonts w:hint="eastAsia"/>
          <w:sz w:val="24"/>
          <w:lang w:val="en-US" w:eastAsia="zh-CN"/>
        </w:rPr>
        <w:t>··························24</w:t>
      </w:r>
    </w:p>
    <w:p>
      <w:pPr>
        <w:pStyle w:val="13"/>
        <w:adjustRightInd w:val="0"/>
        <w:snapToGrid w:val="0"/>
        <w:spacing w:line="440" w:lineRule="exact"/>
        <w:jc w:val="left"/>
        <w:rPr>
          <w:sz w:val="24"/>
        </w:rPr>
      </w:pPr>
      <w:r>
        <w:rPr>
          <w:rFonts w:hint="eastAsia"/>
          <w:sz w:val="24"/>
        </w:rPr>
        <w:t>一、收入支出决算总表</w:t>
      </w:r>
    </w:p>
    <w:p>
      <w:pPr>
        <w:pStyle w:val="13"/>
        <w:adjustRightInd w:val="0"/>
        <w:snapToGrid w:val="0"/>
        <w:spacing w:line="440" w:lineRule="exact"/>
        <w:jc w:val="left"/>
        <w:rPr>
          <w:sz w:val="24"/>
        </w:rPr>
      </w:pPr>
      <w:r>
        <w:rPr>
          <w:rFonts w:hint="eastAsia"/>
          <w:sz w:val="24"/>
        </w:rPr>
        <w:t>二、收入决算表</w:t>
      </w:r>
    </w:p>
    <w:p>
      <w:pPr>
        <w:pStyle w:val="13"/>
        <w:adjustRightInd w:val="0"/>
        <w:snapToGrid w:val="0"/>
        <w:spacing w:line="440" w:lineRule="exact"/>
        <w:jc w:val="left"/>
        <w:rPr>
          <w:sz w:val="24"/>
        </w:rPr>
      </w:pPr>
      <w:r>
        <w:rPr>
          <w:rFonts w:hint="eastAsia"/>
          <w:sz w:val="24"/>
        </w:rPr>
        <w:t>三、支出决算表</w:t>
      </w:r>
    </w:p>
    <w:p>
      <w:pPr>
        <w:pStyle w:val="13"/>
        <w:adjustRightInd w:val="0"/>
        <w:snapToGrid w:val="0"/>
        <w:spacing w:line="440" w:lineRule="exact"/>
        <w:jc w:val="left"/>
        <w:rPr>
          <w:sz w:val="24"/>
        </w:rPr>
      </w:pPr>
      <w:r>
        <w:rPr>
          <w:rFonts w:hint="eastAsia"/>
          <w:sz w:val="24"/>
        </w:rPr>
        <w:t>四、财政拨款收入支出决算总表</w:t>
      </w:r>
    </w:p>
    <w:p>
      <w:pPr>
        <w:pStyle w:val="13"/>
        <w:adjustRightInd w:val="0"/>
        <w:snapToGrid w:val="0"/>
        <w:spacing w:line="440" w:lineRule="exact"/>
        <w:jc w:val="left"/>
        <w:rPr>
          <w:sz w:val="24"/>
        </w:rPr>
      </w:pPr>
      <w:r>
        <w:rPr>
          <w:rFonts w:hint="eastAsia"/>
          <w:sz w:val="24"/>
        </w:rPr>
        <w:t>五、财政拨款支出决算明细表</w:t>
      </w:r>
    </w:p>
    <w:p>
      <w:pPr>
        <w:pStyle w:val="13"/>
        <w:adjustRightInd w:val="0"/>
        <w:snapToGrid w:val="0"/>
        <w:spacing w:line="440" w:lineRule="exact"/>
        <w:jc w:val="left"/>
        <w:rPr>
          <w:sz w:val="24"/>
        </w:rPr>
      </w:pPr>
      <w:r>
        <w:rPr>
          <w:rFonts w:hint="eastAsia"/>
          <w:sz w:val="24"/>
        </w:rPr>
        <w:t>六、一般公共预算财政拨款支出决算表</w:t>
      </w:r>
    </w:p>
    <w:p>
      <w:pPr>
        <w:pStyle w:val="13"/>
        <w:adjustRightInd w:val="0"/>
        <w:snapToGrid w:val="0"/>
        <w:spacing w:line="440" w:lineRule="exact"/>
        <w:jc w:val="left"/>
        <w:rPr>
          <w:sz w:val="24"/>
        </w:rPr>
      </w:pPr>
      <w:r>
        <w:rPr>
          <w:rFonts w:hint="eastAsia"/>
          <w:sz w:val="24"/>
        </w:rPr>
        <w:t>七、一般公共预算财政拨款支出决算明细表</w:t>
      </w:r>
    </w:p>
    <w:p>
      <w:pPr>
        <w:pStyle w:val="13"/>
        <w:adjustRightInd w:val="0"/>
        <w:snapToGrid w:val="0"/>
        <w:spacing w:line="440" w:lineRule="exact"/>
        <w:jc w:val="left"/>
        <w:rPr>
          <w:sz w:val="24"/>
        </w:rPr>
      </w:pPr>
      <w:r>
        <w:rPr>
          <w:rFonts w:hint="eastAsia"/>
          <w:sz w:val="24"/>
        </w:rPr>
        <w:t>八、一般公共预算财政拨款基本支出决算明细表</w:t>
      </w:r>
    </w:p>
    <w:p>
      <w:pPr>
        <w:pStyle w:val="13"/>
        <w:adjustRightInd w:val="0"/>
        <w:snapToGrid w:val="0"/>
        <w:spacing w:line="440" w:lineRule="exact"/>
        <w:jc w:val="left"/>
        <w:rPr>
          <w:sz w:val="24"/>
        </w:rPr>
      </w:pPr>
      <w:r>
        <w:rPr>
          <w:rFonts w:hint="eastAsia"/>
          <w:sz w:val="24"/>
        </w:rPr>
        <w:t>九、一般公共预算财政拨款项目支出决算表</w:t>
      </w:r>
    </w:p>
    <w:p>
      <w:pPr>
        <w:pStyle w:val="13"/>
        <w:adjustRightInd w:val="0"/>
        <w:snapToGrid w:val="0"/>
        <w:spacing w:line="440" w:lineRule="exact"/>
        <w:jc w:val="left"/>
        <w:rPr>
          <w:sz w:val="24"/>
        </w:rPr>
      </w:pPr>
      <w:r>
        <w:rPr>
          <w:rFonts w:hint="eastAsia"/>
          <w:sz w:val="24"/>
        </w:rPr>
        <w:t>十、政府性基金预算财政拨款收入支出决算表</w:t>
      </w:r>
    </w:p>
    <w:p>
      <w:pPr>
        <w:pStyle w:val="13"/>
        <w:adjustRightInd w:val="0"/>
        <w:snapToGrid w:val="0"/>
        <w:spacing w:line="440" w:lineRule="exact"/>
        <w:jc w:val="left"/>
        <w:rPr>
          <w:sz w:val="24"/>
        </w:rPr>
      </w:pPr>
      <w:r>
        <w:rPr>
          <w:rFonts w:hint="eastAsia"/>
          <w:sz w:val="24"/>
        </w:rPr>
        <w:t>十一、国有资本经营预算财政拨款收入支出决算表</w:t>
      </w:r>
    </w:p>
    <w:p>
      <w:pPr>
        <w:pStyle w:val="13"/>
        <w:adjustRightInd w:val="0"/>
        <w:snapToGrid w:val="0"/>
        <w:spacing w:line="440" w:lineRule="exact"/>
        <w:jc w:val="left"/>
        <w:rPr>
          <w:sz w:val="24"/>
        </w:rPr>
      </w:pPr>
      <w:r>
        <w:rPr>
          <w:rFonts w:hint="eastAsia"/>
          <w:sz w:val="24"/>
        </w:rPr>
        <w:t>十二、国有资本经营预算财政拨款支出决算表</w:t>
      </w:r>
    </w:p>
    <w:p>
      <w:pPr>
        <w:pStyle w:val="13"/>
        <w:adjustRightInd w:val="0"/>
        <w:snapToGrid w:val="0"/>
        <w:spacing w:line="440" w:lineRule="exact"/>
        <w:jc w:val="left"/>
        <w:rPr>
          <w:sz w:val="24"/>
        </w:rPr>
      </w:pPr>
      <w:r>
        <w:rPr>
          <w:rFonts w:hint="eastAsia"/>
          <w:sz w:val="24"/>
        </w:rPr>
        <w:t>十三、财政拨款“三公”经费支出决算表</w:t>
      </w:r>
    </w:p>
    <w:p>
      <w:pPr>
        <w:widowControl/>
        <w:spacing w:line="440" w:lineRule="exact"/>
        <w:jc w:val="left"/>
        <w:rPr>
          <w:rFonts w:ascii="仿宋" w:hAnsi="仿宋" w:eastAsia="仿宋"/>
          <w:bCs/>
          <w:kern w:val="44"/>
          <w:sz w:val="24"/>
        </w:rPr>
      </w:pPr>
      <w:bookmarkStart w:id="15" w:name="_Toc15396599"/>
      <w:bookmarkStart w:id="16" w:name="_Toc15377196"/>
      <w:r>
        <w:rPr>
          <w:rFonts w:ascii="仿宋" w:hAnsi="仿宋" w:eastAsia="仿宋"/>
          <w:b/>
          <w:sz w:val="24"/>
        </w:rPr>
        <w:br w:type="page"/>
      </w:r>
    </w:p>
    <w:p>
      <w:pPr>
        <w:pStyle w:val="3"/>
        <w:jc w:val="center"/>
        <w:rPr>
          <w:rStyle w:val="29"/>
          <w:rFonts w:ascii="黑体" w:hAnsi="黑体" w:eastAsia="黑体"/>
          <w:b/>
          <w:bCs w:val="0"/>
        </w:rPr>
      </w:pPr>
      <w:bookmarkStart w:id="17" w:name="OLE_LINK26"/>
      <w:r>
        <w:rPr>
          <w:rFonts w:hint="eastAsia" w:ascii="黑体" w:hAnsi="黑体" w:eastAsia="黑体"/>
          <w:b w:val="0"/>
        </w:rPr>
        <w:t>第一部分 单位</w:t>
      </w:r>
      <w:r>
        <w:rPr>
          <w:rStyle w:val="29"/>
          <w:rFonts w:hint="eastAsia" w:ascii="黑体" w:hAnsi="黑体" w:eastAsia="黑体"/>
          <w:b w:val="0"/>
          <w:bCs w:val="0"/>
        </w:rPr>
        <w:t>概况</w:t>
      </w:r>
      <w:bookmarkEnd w:id="15"/>
      <w:bookmarkEnd w:id="16"/>
    </w:p>
    <w:p>
      <w:pPr>
        <w:widowControl/>
        <w:jc w:val="left"/>
        <w:rPr>
          <w:rFonts w:ascii="黑体" w:eastAsia="黑体"/>
          <w:sz w:val="32"/>
          <w:szCs w:val="32"/>
        </w:rPr>
      </w:pPr>
    </w:p>
    <w:p>
      <w:pPr>
        <w:pStyle w:val="4"/>
        <w:numPr>
          <w:ilvl w:val="0"/>
          <w:numId w:val="1"/>
        </w:numPr>
        <w:rPr>
          <w:rStyle w:val="30"/>
          <w:rFonts w:ascii="黑体" w:hAnsi="黑体" w:eastAsia="黑体"/>
          <w:b w:val="0"/>
          <w:bCs w:val="0"/>
        </w:rPr>
      </w:pPr>
      <w:bookmarkStart w:id="18" w:name="_Toc15396600"/>
      <w:bookmarkStart w:id="19" w:name="_Toc15377197"/>
      <w:r>
        <w:rPr>
          <w:rStyle w:val="30"/>
          <w:rFonts w:hint="eastAsia" w:ascii="黑体" w:hAnsi="黑体" w:eastAsia="黑体"/>
          <w:b w:val="0"/>
          <w:bCs w:val="0"/>
        </w:rPr>
        <w:t>主要职责</w:t>
      </w:r>
    </w:p>
    <w:p>
      <w:pPr>
        <w:pStyle w:val="14"/>
        <w:widowControl/>
        <w:spacing w:before="150" w:after="150" w:line="600" w:lineRule="atLeast"/>
        <w:ind w:firstLine="645"/>
      </w:pPr>
      <w:bookmarkStart w:id="20" w:name="_Toc15377199"/>
      <w:bookmarkStart w:id="21" w:name="_Toc15378446"/>
      <w:r>
        <w:rPr>
          <w:rFonts w:hint="eastAsia" w:ascii="仿宋_GB2312" w:hAnsi="仿宋" w:eastAsia="仿宋_GB2312"/>
          <w:kern w:val="2"/>
          <w:sz w:val="32"/>
          <w:szCs w:val="32"/>
        </w:rPr>
        <w:t>负责处理金口河区内外群众给金口河区委、区人民政府的来信，接待群众来访，保证信访渠道畅通，及时、准确地向金口河区委、区人民政府领导反映来信来访中提出的重要建议、意见和问题，综合分析信访信息，开展调查研究，提出完善政策的建议；承办上级党委、政府和金口河区委、区政府交办的信访事项，督促检查指导有关信访指示的落实情况，向各乡（彝族乡）、镇和区级各部门交办信访事项，督促检查重要信访事项的处理和落实；协调处理跨乡、镇和部门的重要信访问题，协调处理群众集体到京、省、市、区及有关部门的上访和异常、突发信访事件，检查、指导、协调区级各部门和乡（彝族乡）、镇党政机关的信访工作；总结推广各乡（彝族乡）、镇、各部门信访工作的经验，提出改进和加强信访工作的意见和建议，通报重大信访问题和信访事件；了解掌握金口河区信访工作队伍建设情况，组织信访干部的培训，指导做好全区信访办公自动化建设；负责信访工作的宣传和信息发布，协调信访工作对外交流和联络。完成区委、区政府交办的其他任务</w:t>
      </w:r>
      <w:r>
        <w:rPr>
          <w:rFonts w:hint="eastAsia" w:ascii="宋体" w:hAnsi="宋体" w:cs="宋体"/>
          <w:color w:val="000000"/>
        </w:rPr>
        <w:t>。</w:t>
      </w:r>
    </w:p>
    <w:bookmarkEnd w:id="20"/>
    <w:bookmarkEnd w:id="21"/>
    <w:p>
      <w:pPr>
        <w:numPr>
          <w:ilvl w:val="0"/>
          <w:numId w:val="0"/>
        </w:numPr>
        <w:rPr>
          <w:rFonts w:hint="eastAsia"/>
          <w:lang w:eastAsia="zh-CN"/>
        </w:rPr>
      </w:pPr>
    </w:p>
    <w:p/>
    <w:p>
      <w:pPr>
        <w:pStyle w:val="4"/>
        <w:rPr>
          <w:rFonts w:hint="eastAsia" w:ascii="黑体" w:hAnsi="黑体" w:eastAsia="黑体"/>
          <w:b w:val="0"/>
        </w:rPr>
      </w:pPr>
      <w:r>
        <w:rPr>
          <w:rFonts w:hint="eastAsia" w:ascii="黑体" w:hAnsi="黑体" w:eastAsia="黑体"/>
          <w:b w:val="0"/>
        </w:rPr>
        <w:t>二、机构设置</w:t>
      </w:r>
    </w:p>
    <w:p>
      <w:pPr>
        <w:ind w:firstLine="800" w:firstLineChars="250"/>
        <w:rPr>
          <w:rFonts w:ascii="仿宋" w:hAnsi="仿宋" w:eastAsia="仿宋"/>
          <w:color w:val="auto"/>
          <w:sz w:val="32"/>
          <w:szCs w:val="32"/>
          <w:highlight w:val="none"/>
        </w:rPr>
      </w:pPr>
      <w:r>
        <w:rPr>
          <w:rFonts w:hint="eastAsia" w:ascii="仿宋" w:hAnsi="仿宋" w:eastAsia="仿宋"/>
          <w:color w:val="auto"/>
          <w:sz w:val="32"/>
          <w:szCs w:val="32"/>
          <w:highlight w:val="none"/>
          <w:lang w:val="en-US" w:eastAsia="zh-CN"/>
        </w:rPr>
        <w:t>区信访局</w:t>
      </w:r>
      <w:r>
        <w:rPr>
          <w:rFonts w:hint="eastAsia" w:ascii="仿宋" w:hAnsi="仿宋" w:eastAsia="仿宋"/>
          <w:color w:val="auto"/>
          <w:sz w:val="32"/>
          <w:szCs w:val="32"/>
          <w:highlight w:val="none"/>
        </w:rPr>
        <w:t>下属二级</w:t>
      </w:r>
      <w:r>
        <w:rPr>
          <w:rFonts w:hint="eastAsia" w:ascii="仿宋" w:hAnsi="仿宋" w:eastAsia="仿宋"/>
          <w:color w:val="auto"/>
          <w:sz w:val="32"/>
          <w:szCs w:val="32"/>
          <w:highlight w:val="none"/>
          <w:lang w:eastAsia="zh-CN"/>
        </w:rPr>
        <w:t>预算</w:t>
      </w:r>
      <w:r>
        <w:rPr>
          <w:rFonts w:hint="eastAsia" w:ascii="仿宋" w:hAnsi="仿宋" w:eastAsia="仿宋"/>
          <w:color w:val="auto"/>
          <w:sz w:val="32"/>
          <w:szCs w:val="32"/>
          <w:highlight w:val="none"/>
        </w:rPr>
        <w:t>单位</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个，其中行政单位</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个，参照公务员法管理的事业单位</w:t>
      </w:r>
      <w:r>
        <w:rPr>
          <w:rFonts w:hint="eastAsia" w:ascii="仿宋" w:hAnsi="仿宋" w:eastAsia="仿宋"/>
          <w:bCs/>
          <w:color w:val="auto"/>
          <w:sz w:val="32"/>
          <w:szCs w:val="32"/>
          <w:highlight w:val="none"/>
          <w:lang w:val="en-US" w:eastAsia="zh-CN"/>
        </w:rPr>
        <w:t>0</w:t>
      </w:r>
      <w:r>
        <w:rPr>
          <w:rFonts w:hint="eastAsia" w:ascii="仿宋" w:hAnsi="仿宋" w:eastAsia="仿宋"/>
          <w:color w:val="auto"/>
          <w:sz w:val="32"/>
          <w:szCs w:val="32"/>
          <w:highlight w:val="none"/>
        </w:rPr>
        <w:t>个，其他事业单位</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个。</w:t>
      </w:r>
    </w:p>
    <w:p>
      <w:pPr>
        <w:pStyle w:val="6"/>
        <w:adjustRightInd w:val="0"/>
        <w:snapToGrid w:val="0"/>
        <w:spacing w:before="93" w:line="600" w:lineRule="exact"/>
        <w:ind w:firstLine="672" w:firstLineChars="210"/>
        <w:rPr>
          <w:rFonts w:hint="eastAsia" w:ascii="仿宋" w:hAnsi="仿宋" w:eastAsia="仿宋"/>
          <w:color w:val="auto"/>
          <w:sz w:val="32"/>
          <w:szCs w:val="32"/>
          <w:highlight w:val="none"/>
          <w:lang w:val="en-US" w:eastAsia="zh-CN"/>
        </w:rPr>
      </w:pPr>
      <w:r>
        <w:rPr>
          <w:rFonts w:hint="eastAsia" w:ascii="仿宋" w:hAnsi="仿宋" w:eastAsia="仿宋"/>
          <w:color w:val="auto"/>
          <w:sz w:val="32"/>
          <w:szCs w:val="32"/>
          <w:highlight w:val="none"/>
        </w:rPr>
        <w:t>纳入</w:t>
      </w:r>
      <w:r>
        <w:rPr>
          <w:rFonts w:hint="eastAsia" w:ascii="仿宋" w:hAnsi="仿宋" w:eastAsia="仿宋"/>
          <w:color w:val="auto"/>
          <w:sz w:val="32"/>
          <w:szCs w:val="32"/>
          <w:highlight w:val="none"/>
          <w:lang w:val="en-US" w:eastAsia="zh-CN"/>
        </w:rPr>
        <w:t>区信访局</w:t>
      </w:r>
      <w:r>
        <w:rPr>
          <w:rFonts w:hint="eastAsia"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23</w:t>
      </w:r>
      <w:r>
        <w:rPr>
          <w:rFonts w:hint="eastAsia" w:ascii="仿宋" w:hAnsi="仿宋" w:eastAsia="仿宋"/>
          <w:color w:val="auto"/>
          <w:sz w:val="32"/>
          <w:szCs w:val="32"/>
          <w:highlight w:val="none"/>
        </w:rPr>
        <w:t>年度部门决算编制范围的二级预算单位包括：</w:t>
      </w:r>
      <w:r>
        <w:rPr>
          <w:rFonts w:hint="eastAsia" w:ascii="仿宋" w:hAnsi="仿宋" w:eastAsia="仿宋"/>
          <w:color w:val="auto"/>
          <w:sz w:val="32"/>
          <w:szCs w:val="32"/>
          <w:highlight w:val="none"/>
          <w:lang w:val="en-US" w:eastAsia="zh-CN"/>
        </w:rPr>
        <w:t>无。</w:t>
      </w:r>
    </w:p>
    <w:p/>
    <w:bookmarkEnd w:id="18"/>
    <w:bookmarkEnd w:id="19"/>
    <w:p>
      <w:pPr>
        <w:widowControl/>
        <w:jc w:val="left"/>
        <w:rPr>
          <w:rFonts w:ascii="仿宋" w:hAnsi="仿宋" w:eastAsia="仿宋"/>
          <w:kern w:val="0"/>
          <w:sz w:val="32"/>
          <w:szCs w:val="32"/>
        </w:rPr>
      </w:pPr>
      <w:r>
        <w:rPr>
          <w:rFonts w:ascii="仿宋" w:hAnsi="仿宋" w:eastAsia="仿宋"/>
          <w:sz w:val="32"/>
          <w:szCs w:val="32"/>
        </w:rPr>
        <w:br w:type="page"/>
      </w:r>
    </w:p>
    <w:p>
      <w:pPr>
        <w:pStyle w:val="3"/>
        <w:ind w:right="440"/>
        <w:jc w:val="center"/>
        <w:rPr>
          <w:rStyle w:val="29"/>
          <w:rFonts w:ascii="黑体" w:hAnsi="黑体" w:eastAsia="黑体"/>
          <w:b w:val="0"/>
          <w:bCs/>
        </w:rPr>
      </w:pPr>
      <w:bookmarkStart w:id="22" w:name="_Toc15377204"/>
      <w:bookmarkStart w:id="23" w:name="_Toc15396602"/>
      <w:r>
        <w:rPr>
          <w:rFonts w:hint="eastAsia" w:ascii="黑体" w:hAnsi="黑体" w:eastAsia="黑体"/>
          <w:b w:val="0"/>
        </w:rPr>
        <w:t>第二部分 2023年度</w:t>
      </w:r>
      <w:r>
        <w:rPr>
          <w:rStyle w:val="29"/>
          <w:rFonts w:hint="eastAsia" w:ascii="黑体" w:hAnsi="黑体" w:eastAsia="黑体"/>
          <w:b w:val="0"/>
          <w:bCs/>
        </w:rPr>
        <w:t>单位决算情况说明</w:t>
      </w:r>
      <w:bookmarkEnd w:id="22"/>
      <w:bookmarkEnd w:id="23"/>
    </w:p>
    <w:p/>
    <w:p>
      <w:pPr>
        <w:pStyle w:val="28"/>
        <w:numPr>
          <w:ilvl w:val="0"/>
          <w:numId w:val="2"/>
        </w:numPr>
        <w:spacing w:line="600" w:lineRule="exact"/>
        <w:ind w:firstLineChars="0"/>
        <w:outlineLvl w:val="1"/>
        <w:rPr>
          <w:rStyle w:val="30"/>
          <w:rFonts w:ascii="黑体" w:hAnsi="黑体" w:eastAsia="黑体"/>
          <w:b w:val="0"/>
        </w:rPr>
      </w:pPr>
      <w:bookmarkStart w:id="24" w:name="_Toc15377205"/>
      <w:bookmarkStart w:id="25" w:name="_Toc15396603"/>
      <w:r>
        <w:rPr>
          <w:rFonts w:hint="eastAsia" w:ascii="黑体" w:hAnsi="黑体" w:eastAsia="黑体"/>
          <w:sz w:val="32"/>
          <w:szCs w:val="32"/>
        </w:rPr>
        <w:t>收</w:t>
      </w:r>
      <w:r>
        <w:rPr>
          <w:rStyle w:val="30"/>
          <w:rFonts w:hint="eastAsia" w:ascii="黑体" w:hAnsi="黑体" w:eastAsia="黑体"/>
          <w:b w:val="0"/>
        </w:rPr>
        <w:t>入支出决算总体情况说明</w:t>
      </w:r>
      <w:bookmarkEnd w:id="24"/>
      <w:bookmarkEnd w:id="25"/>
    </w:p>
    <w:p>
      <w:pPr>
        <w:spacing w:line="600" w:lineRule="exact"/>
        <w:ind w:firstLine="640" w:firstLineChars="200"/>
        <w:rPr>
          <w:rFonts w:hint="eastAsia" w:ascii="仿宋" w:hAnsi="仿宋" w:eastAsia="仿宋"/>
          <w:color w:val="auto"/>
          <w:sz w:val="32"/>
          <w:szCs w:val="32"/>
          <w:highlight w:val="none"/>
          <w:lang w:eastAsia="zh-CN"/>
        </w:rPr>
      </w:pPr>
      <w:r>
        <w:rPr>
          <w:rFonts w:hint="eastAsia" w:ascii="仿宋" w:hAnsi="仿宋" w:eastAsia="仿宋"/>
          <w:sz w:val="32"/>
          <w:szCs w:val="32"/>
        </w:rPr>
        <w:t>2023年度收、支总计均为</w:t>
      </w:r>
      <w:r>
        <w:rPr>
          <w:rFonts w:hint="eastAsia" w:ascii="仿宋" w:hAnsi="仿宋" w:eastAsia="仿宋"/>
          <w:b/>
          <w:sz w:val="32"/>
          <w:szCs w:val="32"/>
        </w:rPr>
        <w:t>296.7</w:t>
      </w:r>
      <w:r>
        <w:rPr>
          <w:rFonts w:hint="eastAsia" w:ascii="仿宋" w:hAnsi="仿宋" w:eastAsia="仿宋"/>
          <w:sz w:val="32"/>
          <w:szCs w:val="32"/>
        </w:rPr>
        <w:t>万元。与2022年度相比，收、支总计各增加</w:t>
      </w:r>
      <w:r>
        <w:rPr>
          <w:rFonts w:hint="eastAsia" w:ascii="仿宋" w:hAnsi="仿宋" w:eastAsia="仿宋"/>
          <w:sz w:val="32"/>
          <w:szCs w:val="32"/>
          <w:lang w:val="en-US" w:eastAsia="zh-CN"/>
        </w:rPr>
        <w:t>44.9</w:t>
      </w:r>
      <w:r>
        <w:rPr>
          <w:rFonts w:hint="eastAsia" w:ascii="仿宋" w:hAnsi="仿宋" w:eastAsia="仿宋"/>
          <w:sz w:val="32"/>
          <w:szCs w:val="32"/>
        </w:rPr>
        <w:t>万元，增长</w:t>
      </w:r>
      <w:r>
        <w:rPr>
          <w:rFonts w:hint="eastAsia" w:ascii="仿宋" w:hAnsi="仿宋" w:eastAsia="仿宋"/>
          <w:sz w:val="32"/>
          <w:szCs w:val="32"/>
          <w:lang w:val="en-US" w:eastAsia="zh-CN"/>
        </w:rPr>
        <w:t>17.83</w:t>
      </w:r>
      <w:r>
        <w:rPr>
          <w:rFonts w:ascii="仿宋" w:hAnsi="仿宋" w:eastAsia="仿宋"/>
          <w:sz w:val="32"/>
          <w:szCs w:val="32"/>
        </w:rPr>
        <w:t>%</w:t>
      </w:r>
      <w:r>
        <w:rPr>
          <w:rFonts w:hint="eastAsia" w:ascii="仿宋" w:hAnsi="仿宋" w:eastAsia="仿宋"/>
          <w:sz w:val="32"/>
          <w:szCs w:val="32"/>
        </w:rPr>
        <w:t>。主要变动原因是</w:t>
      </w:r>
      <w:bookmarkStart w:id="26" w:name="OLE_LINK1"/>
      <w:r>
        <w:rPr>
          <w:rFonts w:hint="eastAsia" w:ascii="仿宋" w:hAnsi="仿宋" w:eastAsia="仿宋"/>
          <w:color w:val="auto"/>
          <w:sz w:val="32"/>
          <w:szCs w:val="32"/>
          <w:highlight w:val="none"/>
          <w:lang w:val="en-US" w:eastAsia="zh-CN"/>
        </w:rPr>
        <w:t>项目经费支出较上年增加,2023年新增巩固脱贫攻坚驻村工作队经费、抽调干部驻京开展信访保障工作经费、第31界世界大学生夏季运动会期间信访安全保障工作费用、新办公场所设备经费项目支出</w:t>
      </w:r>
      <w:r>
        <w:rPr>
          <w:rFonts w:hint="eastAsia" w:ascii="仿宋" w:hAnsi="仿宋" w:eastAsia="仿宋"/>
          <w:color w:val="auto"/>
          <w:sz w:val="32"/>
          <w:szCs w:val="32"/>
          <w:highlight w:val="none"/>
          <w:lang w:eastAsia="zh-CN"/>
        </w:rPr>
        <w:t>。</w:t>
      </w:r>
    </w:p>
    <w:bookmarkEnd w:id="26"/>
    <w:p>
      <w:pPr>
        <w:spacing w:line="600" w:lineRule="exact"/>
        <w:ind w:firstLine="640" w:firstLineChars="200"/>
        <w:rPr>
          <w:rFonts w:ascii="仿宋" w:hAnsi="仿宋" w:eastAsia="仿宋"/>
          <w:sz w:val="32"/>
          <w:szCs w:val="32"/>
        </w:rPr>
      </w:pPr>
      <w:r>
        <w:rPr>
          <w:rFonts w:hint="eastAsia" w:ascii="仿宋" w:hAnsi="仿宋" w:eastAsia="仿宋"/>
          <w:sz w:val="32"/>
          <w:szCs w:val="32"/>
        </w:rPr>
        <w:t>（图</w:t>
      </w:r>
      <w:r>
        <w:rPr>
          <w:rFonts w:ascii="仿宋" w:hAnsi="仿宋" w:eastAsia="仿宋"/>
          <w:sz w:val="32"/>
          <w:szCs w:val="32"/>
        </w:rPr>
        <w:t>1</w:t>
      </w:r>
      <w:r>
        <w:rPr>
          <w:rFonts w:hint="eastAsia" w:ascii="仿宋" w:hAnsi="仿宋" w:eastAsia="仿宋"/>
          <w:sz w:val="32"/>
          <w:szCs w:val="32"/>
        </w:rPr>
        <w:t>：收、支决算总计变动情况图）（柱状图）</w:t>
      </w:r>
    </w:p>
    <w:p>
      <w:pPr>
        <w:spacing w:line="600" w:lineRule="exact"/>
        <w:ind w:firstLine="420" w:firstLineChars="200"/>
        <w:jc w:val="left"/>
        <w:rPr>
          <w:rFonts w:ascii="仿宋_GB2312" w:eastAsia="仿宋_GB2312"/>
          <w:sz w:val="32"/>
          <w:szCs w:val="32"/>
        </w:rPr>
      </w:pPr>
      <w:r>
        <w:rPr>
          <w:rFonts w:hint="eastAsia" w:eastAsia="仿宋_GB2312"/>
          <w:lang w:eastAsia="zh-CN"/>
        </w:rPr>
        <w:drawing>
          <wp:anchor distT="0" distB="0" distL="114300" distR="114300" simplePos="0" relativeHeight="251659264" behindDoc="1" locked="0" layoutInCell="1" allowOverlap="1">
            <wp:simplePos x="0" y="0"/>
            <wp:positionH relativeFrom="column">
              <wp:posOffset>95250</wp:posOffset>
            </wp:positionH>
            <wp:positionV relativeFrom="paragraph">
              <wp:posOffset>134620</wp:posOffset>
            </wp:positionV>
            <wp:extent cx="4657725" cy="2196465"/>
            <wp:effectExtent l="4445" t="5080" r="5080" b="8255"/>
            <wp:wrapNone/>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p>
    <w:p>
      <w:pPr>
        <w:pStyle w:val="2"/>
        <w:rPr>
          <w:rFonts w:ascii="仿宋_GB2312" w:eastAsia="仿宋_GB2312"/>
          <w:sz w:val="32"/>
          <w:szCs w:val="32"/>
        </w:rPr>
      </w:pPr>
    </w:p>
    <w:p>
      <w:pPr>
        <w:rPr>
          <w:rFonts w:ascii="仿宋_GB2312" w:eastAsia="仿宋_GB2312"/>
          <w:sz w:val="32"/>
          <w:szCs w:val="32"/>
        </w:rPr>
      </w:pPr>
    </w:p>
    <w:p>
      <w:pPr>
        <w:pStyle w:val="2"/>
        <w:rPr>
          <w:rFonts w:ascii="仿宋_GB2312" w:eastAsia="仿宋_GB2312"/>
          <w:sz w:val="32"/>
          <w:szCs w:val="32"/>
        </w:rPr>
      </w:pPr>
    </w:p>
    <w:p>
      <w:pPr>
        <w:rPr>
          <w:rFonts w:ascii="仿宋_GB2312" w:eastAsia="仿宋_GB2312"/>
          <w:sz w:val="32"/>
          <w:szCs w:val="32"/>
        </w:rPr>
      </w:pPr>
    </w:p>
    <w:p>
      <w:pPr>
        <w:pStyle w:val="2"/>
      </w:pPr>
    </w:p>
    <w:p>
      <w:pPr>
        <w:pStyle w:val="28"/>
        <w:numPr>
          <w:ilvl w:val="0"/>
          <w:numId w:val="2"/>
        </w:numPr>
        <w:spacing w:line="600" w:lineRule="exact"/>
        <w:ind w:firstLineChars="0"/>
        <w:outlineLvl w:val="1"/>
        <w:rPr>
          <w:rStyle w:val="30"/>
          <w:rFonts w:ascii="黑体" w:hAnsi="黑体" w:eastAsia="黑体"/>
          <w:b w:val="0"/>
        </w:rPr>
      </w:pPr>
      <w:bookmarkStart w:id="27" w:name="_Toc15377206"/>
      <w:bookmarkStart w:id="28" w:name="_Toc15396604"/>
      <w:r>
        <w:rPr>
          <w:rFonts w:hint="eastAsia" w:ascii="黑体" w:hAnsi="黑体" w:eastAsia="黑体"/>
          <w:sz w:val="32"/>
          <w:szCs w:val="32"/>
        </w:rPr>
        <w:t>收</w:t>
      </w:r>
      <w:r>
        <w:rPr>
          <w:rStyle w:val="30"/>
          <w:rFonts w:hint="eastAsia" w:ascii="黑体" w:hAnsi="黑体" w:eastAsia="黑体"/>
          <w:b w:val="0"/>
        </w:rPr>
        <w:t>入决算情况说明</w:t>
      </w:r>
      <w:bookmarkEnd w:id="27"/>
      <w:bookmarkEnd w:id="28"/>
    </w:p>
    <w:p>
      <w:pPr>
        <w:spacing w:line="600" w:lineRule="exact"/>
        <w:ind w:firstLine="640" w:firstLineChars="200"/>
        <w:outlineLvl w:val="1"/>
        <w:rPr>
          <w:rFonts w:ascii="仿宋" w:hAnsi="仿宋" w:eastAsia="仿宋"/>
          <w:sz w:val="32"/>
          <w:szCs w:val="32"/>
        </w:rPr>
      </w:pPr>
      <w:r>
        <w:rPr>
          <w:rFonts w:hint="eastAsia" w:ascii="仿宋" w:hAnsi="仿宋" w:eastAsia="仿宋"/>
          <w:sz w:val="32"/>
          <w:szCs w:val="32"/>
        </w:rPr>
        <w:t>2023年度本年收入合计</w:t>
      </w:r>
      <w:r>
        <w:rPr>
          <w:rFonts w:ascii="仿宋" w:hAnsi="仿宋" w:eastAsia="仿宋"/>
          <w:b/>
          <w:sz w:val="32"/>
          <w:szCs w:val="32"/>
        </w:rPr>
        <w:t>283.05</w:t>
      </w:r>
      <w:r>
        <w:rPr>
          <w:rFonts w:hint="eastAsia" w:ascii="仿宋" w:hAnsi="仿宋" w:eastAsia="仿宋"/>
          <w:sz w:val="32"/>
          <w:szCs w:val="32"/>
        </w:rPr>
        <w:t>万元，其中：一般公共预算财政拨款收入</w:t>
      </w:r>
      <w:r>
        <w:rPr>
          <w:rFonts w:ascii="仿宋" w:hAnsi="仿宋" w:eastAsia="仿宋"/>
          <w:b/>
          <w:sz w:val="32"/>
          <w:szCs w:val="32"/>
        </w:rPr>
        <w:t>283</w:t>
      </w:r>
      <w:r>
        <w:rPr>
          <w:rFonts w:hint="eastAsia" w:ascii="仿宋" w:hAnsi="仿宋" w:eastAsia="仿宋"/>
          <w:sz w:val="32"/>
          <w:szCs w:val="32"/>
        </w:rPr>
        <w:t>万元，占</w:t>
      </w:r>
      <w:r>
        <w:rPr>
          <w:rFonts w:ascii="仿宋" w:hAnsi="仿宋" w:eastAsia="仿宋"/>
          <w:b/>
          <w:sz w:val="32"/>
          <w:szCs w:val="32"/>
        </w:rPr>
        <w:t>99.9</w:t>
      </w:r>
      <w:r>
        <w:rPr>
          <w:rFonts w:hint="eastAsia" w:ascii="仿宋" w:hAnsi="仿宋" w:eastAsia="仿宋"/>
          <w:b/>
          <w:sz w:val="32"/>
          <w:szCs w:val="32"/>
          <w:lang w:val="en-US" w:eastAsia="zh-CN"/>
        </w:rPr>
        <w:t>8</w:t>
      </w:r>
      <w:r>
        <w:rPr>
          <w:rFonts w:ascii="仿宋" w:hAnsi="仿宋" w:eastAsia="仿宋"/>
          <w:b/>
          <w:sz w:val="32"/>
          <w:szCs w:val="32"/>
        </w:rPr>
        <w:t>%</w:t>
      </w:r>
      <w:r>
        <w:rPr>
          <w:rFonts w:hint="eastAsia" w:ascii="仿宋" w:hAnsi="仿宋" w:eastAsia="仿宋"/>
          <w:sz w:val="32"/>
          <w:szCs w:val="32"/>
        </w:rPr>
        <w:t>；政府性基金预算财政拨款收入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；国有资本经营预算财政拨款收入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；上级补助收入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sz w:val="32"/>
          <w:szCs w:val="32"/>
        </w:rPr>
        <w:t>0%</w:t>
      </w:r>
      <w:r>
        <w:rPr>
          <w:rFonts w:hint="eastAsia" w:ascii="仿宋" w:hAnsi="仿宋" w:eastAsia="仿宋"/>
          <w:sz w:val="32"/>
          <w:szCs w:val="32"/>
        </w:rPr>
        <w:t>；事业收入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；经营收入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；附属单位上缴收入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；其他收入</w:t>
      </w:r>
      <w:r>
        <w:rPr>
          <w:rFonts w:ascii="仿宋" w:hAnsi="仿宋" w:eastAsia="仿宋"/>
          <w:b/>
          <w:sz w:val="32"/>
          <w:szCs w:val="32"/>
        </w:rPr>
        <w:t>0.05</w:t>
      </w:r>
      <w:r>
        <w:rPr>
          <w:rFonts w:hint="eastAsia" w:ascii="仿宋" w:hAnsi="仿宋" w:eastAsia="仿宋"/>
          <w:sz w:val="32"/>
          <w:szCs w:val="32"/>
        </w:rPr>
        <w:t>万元，占</w:t>
      </w:r>
      <w:r>
        <w:rPr>
          <w:rFonts w:ascii="仿宋" w:hAnsi="仿宋" w:eastAsia="仿宋"/>
          <w:b/>
          <w:sz w:val="32"/>
          <w:szCs w:val="32"/>
        </w:rPr>
        <w:t>0.01</w:t>
      </w:r>
      <w:r>
        <w:rPr>
          <w:rFonts w:ascii="仿宋" w:hAnsi="仿宋" w:eastAsia="仿宋"/>
          <w:sz w:val="32"/>
          <w:szCs w:val="32"/>
        </w:rPr>
        <w:t>%</w:t>
      </w:r>
    </w:p>
    <w:p>
      <w:pPr>
        <w:spacing w:line="600" w:lineRule="exact"/>
        <w:ind w:firstLine="643" w:firstLineChars="200"/>
        <w:outlineLvl w:val="1"/>
        <w:rPr>
          <w:rFonts w:ascii="仿宋" w:hAnsi="仿宋" w:eastAsia="仿宋"/>
          <w:sz w:val="32"/>
          <w:szCs w:val="32"/>
        </w:rPr>
      </w:pPr>
      <w:r>
        <w:rPr>
          <w:rFonts w:hint="eastAsia" w:ascii="仿宋" w:hAnsi="仿宋" w:eastAsia="仿宋"/>
          <w:b/>
          <w:sz w:val="32"/>
          <w:szCs w:val="32"/>
        </w:rPr>
        <w:t>（注：数据来源于财决</w:t>
      </w:r>
      <w:r>
        <w:rPr>
          <w:rFonts w:ascii="仿宋" w:hAnsi="仿宋" w:eastAsia="仿宋"/>
          <w:b/>
          <w:sz w:val="32"/>
          <w:szCs w:val="32"/>
        </w:rPr>
        <w:t>01表</w:t>
      </w:r>
      <w:r>
        <w:rPr>
          <w:rFonts w:hint="eastAsia" w:ascii="仿宋" w:hAnsi="仿宋" w:eastAsia="仿宋"/>
          <w:b/>
          <w:sz w:val="32"/>
          <w:szCs w:val="32"/>
        </w:rPr>
        <w:t>，仅罗列本单位涉及的收入。</w:t>
      </w:r>
      <w:r>
        <w:rPr>
          <w:rFonts w:ascii="仿宋" w:hAnsi="仿宋" w:eastAsia="仿宋"/>
          <w:b/>
          <w:sz w:val="32"/>
          <w:szCs w:val="32"/>
        </w:rPr>
        <w:t>）</w:t>
      </w:r>
    </w:p>
    <w:p>
      <w:pPr>
        <w:spacing w:line="600" w:lineRule="exact"/>
        <w:ind w:firstLine="640" w:firstLineChars="200"/>
      </w:pPr>
      <w:r>
        <w:rPr>
          <w:rFonts w:hint="eastAsia" w:ascii="仿宋" w:hAnsi="仿宋" w:eastAsia="仿宋"/>
          <w:sz w:val="32"/>
          <w:szCs w:val="32"/>
        </w:rPr>
        <w:t>（图2：收入决算结构图）（饼状图）</w:t>
      </w:r>
    </w:p>
    <w:p>
      <w:pPr>
        <w:pStyle w:val="2"/>
        <w:rPr>
          <w:rFonts w:hint="eastAsia" w:eastAsia="仿宋_GB2312"/>
          <w:lang w:eastAsia="zh-CN"/>
        </w:rPr>
      </w:pPr>
      <w:r>
        <w:rPr>
          <w:rFonts w:hint="eastAsia" w:eastAsia="仿宋_GB2312"/>
          <w:lang w:eastAsia="zh-CN"/>
        </w:rPr>
        <w:drawing>
          <wp:inline distT="0" distB="0" distL="114300" distR="114300">
            <wp:extent cx="5080000" cy="2300605"/>
            <wp:effectExtent l="4445" t="4445" r="20955" b="19050"/>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
      <w:pPr>
        <w:pStyle w:val="28"/>
        <w:numPr>
          <w:ilvl w:val="0"/>
          <w:numId w:val="2"/>
        </w:numPr>
        <w:spacing w:line="600" w:lineRule="exact"/>
        <w:ind w:firstLineChars="0"/>
        <w:outlineLvl w:val="1"/>
        <w:rPr>
          <w:rStyle w:val="30"/>
          <w:rFonts w:ascii="黑体" w:hAnsi="黑体" w:eastAsia="黑体"/>
          <w:b w:val="0"/>
        </w:rPr>
      </w:pPr>
      <w:bookmarkStart w:id="29" w:name="_Toc15396605"/>
      <w:bookmarkStart w:id="30" w:name="_Toc15377207"/>
      <w:r>
        <w:rPr>
          <w:rFonts w:hint="eastAsia" w:ascii="黑体" w:hAnsi="黑体" w:eastAsia="黑体"/>
          <w:sz w:val="32"/>
          <w:szCs w:val="32"/>
        </w:rPr>
        <w:t>支</w:t>
      </w:r>
      <w:r>
        <w:rPr>
          <w:rStyle w:val="30"/>
          <w:rFonts w:hint="eastAsia" w:ascii="黑体" w:hAnsi="黑体" w:eastAsia="黑体"/>
          <w:b w:val="0"/>
        </w:rPr>
        <w:t>出决算情况说明</w:t>
      </w:r>
      <w:bookmarkEnd w:id="29"/>
      <w:bookmarkEnd w:id="30"/>
    </w:p>
    <w:p>
      <w:pPr>
        <w:spacing w:line="600" w:lineRule="exact"/>
        <w:ind w:firstLine="640" w:firstLineChars="200"/>
        <w:outlineLvl w:val="1"/>
        <w:rPr>
          <w:rFonts w:ascii="仿宋" w:hAnsi="仿宋" w:eastAsia="仿宋"/>
          <w:sz w:val="32"/>
          <w:szCs w:val="32"/>
        </w:rPr>
      </w:pPr>
      <w:r>
        <w:rPr>
          <w:rFonts w:hint="eastAsia" w:ascii="仿宋" w:hAnsi="仿宋" w:eastAsia="仿宋"/>
          <w:sz w:val="32"/>
          <w:szCs w:val="32"/>
        </w:rPr>
        <w:t>2023年度本年支出合计</w:t>
      </w:r>
      <w:r>
        <w:rPr>
          <w:rFonts w:ascii="仿宋" w:hAnsi="仿宋" w:eastAsia="仿宋"/>
          <w:b/>
          <w:sz w:val="32"/>
          <w:szCs w:val="32"/>
        </w:rPr>
        <w:t>296.64</w:t>
      </w:r>
      <w:r>
        <w:rPr>
          <w:rFonts w:hint="eastAsia" w:ascii="仿宋" w:hAnsi="仿宋" w:eastAsia="仿宋"/>
          <w:sz w:val="32"/>
          <w:szCs w:val="32"/>
        </w:rPr>
        <w:t>万元，其中：基本支出</w:t>
      </w:r>
      <w:r>
        <w:rPr>
          <w:rFonts w:ascii="仿宋" w:hAnsi="仿宋" w:eastAsia="仿宋"/>
          <w:b/>
          <w:sz w:val="32"/>
          <w:szCs w:val="32"/>
        </w:rPr>
        <w:t>227.14</w:t>
      </w:r>
      <w:r>
        <w:rPr>
          <w:rFonts w:hint="eastAsia" w:ascii="仿宋" w:hAnsi="仿宋" w:eastAsia="仿宋"/>
          <w:sz w:val="32"/>
          <w:szCs w:val="32"/>
        </w:rPr>
        <w:t>万元，占</w:t>
      </w:r>
      <w:r>
        <w:rPr>
          <w:rFonts w:ascii="仿宋" w:hAnsi="仿宋" w:eastAsia="仿宋"/>
          <w:b/>
          <w:sz w:val="32"/>
          <w:szCs w:val="32"/>
        </w:rPr>
        <w:t>76.56</w:t>
      </w:r>
      <w:r>
        <w:rPr>
          <w:rFonts w:ascii="仿宋" w:hAnsi="仿宋" w:eastAsia="仿宋"/>
          <w:sz w:val="32"/>
          <w:szCs w:val="32"/>
        </w:rPr>
        <w:t>%</w:t>
      </w:r>
      <w:r>
        <w:rPr>
          <w:rFonts w:hint="eastAsia" w:ascii="仿宋" w:hAnsi="仿宋" w:eastAsia="仿宋"/>
          <w:sz w:val="32"/>
          <w:szCs w:val="32"/>
        </w:rPr>
        <w:t>；项目支出</w:t>
      </w:r>
      <w:r>
        <w:rPr>
          <w:rFonts w:ascii="仿宋" w:hAnsi="仿宋" w:eastAsia="仿宋"/>
          <w:b/>
          <w:sz w:val="32"/>
          <w:szCs w:val="32"/>
        </w:rPr>
        <w:t>69.5</w:t>
      </w:r>
      <w:r>
        <w:rPr>
          <w:rFonts w:hint="eastAsia" w:ascii="仿宋" w:hAnsi="仿宋" w:eastAsia="仿宋"/>
          <w:sz w:val="32"/>
          <w:szCs w:val="32"/>
        </w:rPr>
        <w:t>万元，占</w:t>
      </w:r>
      <w:r>
        <w:rPr>
          <w:rFonts w:ascii="仿宋" w:hAnsi="仿宋" w:eastAsia="仿宋"/>
          <w:b/>
          <w:sz w:val="32"/>
          <w:szCs w:val="32"/>
        </w:rPr>
        <w:t>23.43</w:t>
      </w:r>
      <w:r>
        <w:rPr>
          <w:rFonts w:ascii="仿宋" w:hAnsi="仿宋" w:eastAsia="仿宋"/>
          <w:sz w:val="32"/>
          <w:szCs w:val="32"/>
        </w:rPr>
        <w:t>%</w:t>
      </w:r>
      <w:r>
        <w:rPr>
          <w:rFonts w:hint="eastAsia" w:ascii="仿宋" w:hAnsi="仿宋" w:eastAsia="仿宋"/>
          <w:sz w:val="32"/>
          <w:szCs w:val="32"/>
        </w:rPr>
        <w:t>；上缴上级支出</w:t>
      </w:r>
      <w:r>
        <w:rPr>
          <w:rFonts w:ascii="仿宋" w:hAnsi="仿宋" w:eastAsia="仿宋"/>
          <w:b/>
          <w:sz w:val="32"/>
          <w:szCs w:val="32"/>
        </w:rPr>
        <w:t>0</w:t>
      </w:r>
      <w:r>
        <w:rPr>
          <w:rFonts w:hint="eastAsia" w:ascii="仿宋" w:hAnsi="仿宋" w:eastAsia="仿宋"/>
          <w:sz w:val="32"/>
          <w:szCs w:val="32"/>
        </w:rPr>
        <w:t>万元，占</w:t>
      </w:r>
      <w:r>
        <w:rPr>
          <w:rFonts w:hint="eastAsia"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；经营支出</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；对附属单位补助支出</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w:t>
      </w:r>
    </w:p>
    <w:p>
      <w:pPr>
        <w:spacing w:line="600" w:lineRule="exact"/>
        <w:ind w:firstLine="643" w:firstLineChars="200"/>
        <w:outlineLvl w:val="1"/>
        <w:rPr>
          <w:rFonts w:hint="eastAsia" w:ascii="仿宋" w:hAnsi="仿宋" w:eastAsia="仿宋"/>
          <w:b/>
          <w:sz w:val="32"/>
          <w:szCs w:val="32"/>
        </w:rPr>
      </w:pPr>
      <w:r>
        <w:rPr>
          <w:rFonts w:hint="eastAsia" w:ascii="仿宋" w:hAnsi="仿宋" w:eastAsia="仿宋"/>
          <w:b/>
          <w:sz w:val="32"/>
          <w:szCs w:val="32"/>
        </w:rPr>
        <w:t>（注：数据来源于财决</w:t>
      </w:r>
      <w:r>
        <w:rPr>
          <w:rFonts w:ascii="仿宋" w:hAnsi="仿宋" w:eastAsia="仿宋"/>
          <w:b/>
          <w:sz w:val="32"/>
          <w:szCs w:val="32"/>
        </w:rPr>
        <w:t>04</w:t>
      </w:r>
      <w:r>
        <w:rPr>
          <w:rFonts w:hint="eastAsia" w:ascii="仿宋" w:hAnsi="仿宋" w:eastAsia="仿宋"/>
          <w:b/>
          <w:sz w:val="32"/>
          <w:szCs w:val="32"/>
        </w:rPr>
        <w:t>表，仅罗列本单位涉及的支出。）</w:t>
      </w:r>
    </w:p>
    <w:p>
      <w:pPr>
        <w:spacing w:line="600" w:lineRule="exact"/>
        <w:ind w:firstLine="640" w:firstLineChars="200"/>
        <w:outlineLvl w:val="1"/>
        <w:rPr>
          <w:rFonts w:ascii="仿宋" w:hAnsi="仿宋" w:eastAsia="仿宋"/>
          <w:sz w:val="32"/>
          <w:szCs w:val="32"/>
        </w:rPr>
      </w:pPr>
      <w:r>
        <w:rPr>
          <w:rFonts w:hint="eastAsia" w:ascii="仿宋" w:hAnsi="仿宋" w:eastAsia="仿宋"/>
          <w:sz w:val="32"/>
          <w:szCs w:val="32"/>
        </w:rPr>
        <w:t>（图3：支出决算结构图）（饼状图）</w:t>
      </w:r>
    </w:p>
    <w:p>
      <w:pPr>
        <w:pStyle w:val="2"/>
        <w:jc w:val="both"/>
      </w:pPr>
      <w:r>
        <w:rPr>
          <w:rFonts w:hint="eastAsia" w:ascii="仿宋" w:hAnsi="仿宋" w:eastAsia="仿宋"/>
          <w:sz w:val="32"/>
          <w:szCs w:val="32"/>
          <w:lang w:eastAsia="zh-CN"/>
        </w:rPr>
        <w:drawing>
          <wp:inline distT="0" distB="0" distL="114300" distR="114300">
            <wp:extent cx="5080000" cy="2169160"/>
            <wp:effectExtent l="4445" t="4445" r="20955" b="17145"/>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spacing w:line="600" w:lineRule="exact"/>
        <w:ind w:firstLine="640" w:firstLineChars="200"/>
        <w:outlineLvl w:val="1"/>
        <w:rPr>
          <w:rStyle w:val="30"/>
          <w:rFonts w:ascii="黑体" w:hAnsi="黑体" w:eastAsia="黑体"/>
          <w:b w:val="0"/>
        </w:rPr>
      </w:pPr>
      <w:bookmarkStart w:id="31" w:name="_Toc15396606"/>
      <w:bookmarkStart w:id="32" w:name="_Toc15377208"/>
      <w:r>
        <w:rPr>
          <w:rFonts w:hint="eastAsia" w:ascii="黑体" w:hAnsi="黑体" w:eastAsia="黑体"/>
          <w:sz w:val="32"/>
          <w:szCs w:val="32"/>
        </w:rPr>
        <w:t>四、财</w:t>
      </w:r>
      <w:r>
        <w:rPr>
          <w:rStyle w:val="30"/>
          <w:rFonts w:hint="eastAsia" w:ascii="黑体" w:hAnsi="黑体" w:eastAsia="黑体"/>
          <w:b w:val="0"/>
        </w:rPr>
        <w:t>政拨款收入支出决算总体情况说明</w:t>
      </w:r>
      <w:bookmarkEnd w:id="31"/>
      <w:bookmarkEnd w:id="32"/>
    </w:p>
    <w:p>
      <w:pPr>
        <w:spacing w:line="600" w:lineRule="exact"/>
        <w:ind w:firstLine="640" w:firstLineChars="200"/>
        <w:rPr>
          <w:rFonts w:hint="eastAsia" w:ascii="仿宋" w:hAnsi="仿宋" w:eastAsia="仿宋"/>
          <w:color w:val="auto"/>
          <w:sz w:val="32"/>
          <w:szCs w:val="32"/>
          <w:highlight w:val="none"/>
          <w:lang w:eastAsia="zh-CN"/>
        </w:rPr>
      </w:pPr>
      <w:r>
        <w:rPr>
          <w:rFonts w:hint="eastAsia" w:ascii="仿宋" w:hAnsi="仿宋" w:eastAsia="仿宋"/>
          <w:sz w:val="32"/>
          <w:szCs w:val="32"/>
        </w:rPr>
        <w:t>2023年度财政拨款收、支总计均为</w:t>
      </w:r>
      <w:r>
        <w:rPr>
          <w:rFonts w:ascii="仿宋" w:hAnsi="仿宋" w:eastAsia="仿宋"/>
          <w:b/>
          <w:sz w:val="32"/>
          <w:szCs w:val="32"/>
        </w:rPr>
        <w:t>296.58</w:t>
      </w:r>
      <w:r>
        <w:rPr>
          <w:rFonts w:hint="eastAsia" w:ascii="仿宋" w:hAnsi="仿宋" w:eastAsia="仿宋"/>
          <w:sz w:val="32"/>
          <w:szCs w:val="32"/>
        </w:rPr>
        <w:t>万元。与2022年度相比，财政拨款收、支总计各增加</w:t>
      </w:r>
      <w:r>
        <w:rPr>
          <w:rFonts w:hint="eastAsia" w:ascii="仿宋" w:hAnsi="仿宋" w:eastAsia="仿宋"/>
          <w:sz w:val="32"/>
          <w:szCs w:val="32"/>
          <w:lang w:val="en-US" w:eastAsia="zh-CN"/>
        </w:rPr>
        <w:t>44.87</w:t>
      </w:r>
      <w:r>
        <w:rPr>
          <w:rFonts w:hint="eastAsia" w:ascii="仿宋" w:hAnsi="仿宋" w:eastAsia="仿宋"/>
          <w:sz w:val="32"/>
          <w:szCs w:val="32"/>
        </w:rPr>
        <w:t>万元，增长</w:t>
      </w:r>
      <w:r>
        <w:rPr>
          <w:rFonts w:hint="eastAsia" w:ascii="仿宋" w:hAnsi="仿宋" w:eastAsia="仿宋"/>
          <w:sz w:val="32"/>
          <w:szCs w:val="32"/>
          <w:lang w:val="en-US" w:eastAsia="zh-CN"/>
        </w:rPr>
        <w:t>17.83</w:t>
      </w:r>
      <w:r>
        <w:rPr>
          <w:rFonts w:ascii="仿宋" w:hAnsi="仿宋" w:eastAsia="仿宋"/>
          <w:sz w:val="32"/>
          <w:szCs w:val="32"/>
        </w:rPr>
        <w:t>%</w:t>
      </w:r>
      <w:r>
        <w:rPr>
          <w:rFonts w:hint="eastAsia" w:ascii="仿宋" w:hAnsi="仿宋" w:eastAsia="仿宋"/>
          <w:sz w:val="32"/>
          <w:szCs w:val="32"/>
        </w:rPr>
        <w:t>。主要变动原因</w:t>
      </w:r>
      <w:bookmarkStart w:id="33" w:name="OLE_LINK2"/>
      <w:r>
        <w:rPr>
          <w:rFonts w:hint="eastAsia" w:ascii="仿宋" w:hAnsi="仿宋" w:eastAsia="仿宋"/>
          <w:sz w:val="32"/>
          <w:szCs w:val="32"/>
        </w:rPr>
        <w:t>是</w:t>
      </w:r>
      <w:r>
        <w:rPr>
          <w:rFonts w:hint="eastAsia" w:ascii="仿宋" w:hAnsi="仿宋" w:eastAsia="仿宋"/>
          <w:color w:val="auto"/>
          <w:sz w:val="32"/>
          <w:szCs w:val="32"/>
          <w:highlight w:val="none"/>
          <w:lang w:val="en-US" w:eastAsia="zh-CN"/>
        </w:rPr>
        <w:t>项目经费支出较上年增加,2023年新增巩固脱贫攻坚驻村工作队经费、抽调干部驻京开展信访保障工作经费、第31界世界大学生夏季运动会期间信访安全保障工作费用、新办公场所设备经费项目支出</w:t>
      </w:r>
      <w:r>
        <w:rPr>
          <w:rFonts w:hint="eastAsia" w:ascii="仿宋" w:hAnsi="仿宋" w:eastAsia="仿宋"/>
          <w:color w:val="auto"/>
          <w:sz w:val="32"/>
          <w:szCs w:val="32"/>
          <w:highlight w:val="none"/>
          <w:lang w:eastAsia="zh-CN"/>
        </w:rPr>
        <w:t>。</w:t>
      </w:r>
      <w:bookmarkEnd w:id="33"/>
    </w:p>
    <w:p>
      <w:pPr>
        <w:spacing w:line="600" w:lineRule="exact"/>
        <w:ind w:firstLine="640"/>
        <w:rPr>
          <w:rFonts w:ascii="仿宋" w:hAnsi="仿宋" w:eastAsia="仿宋"/>
          <w:sz w:val="32"/>
          <w:szCs w:val="32"/>
        </w:rPr>
      </w:pPr>
      <w:r>
        <w:rPr>
          <w:rFonts w:hint="eastAsia" w:ascii="仿宋" w:hAnsi="仿宋" w:eastAsia="仿宋"/>
          <w:b/>
          <w:sz w:val="32"/>
          <w:szCs w:val="32"/>
        </w:rPr>
        <w:t>（注：数据来源于财决</w:t>
      </w:r>
      <w:r>
        <w:rPr>
          <w:rFonts w:ascii="仿宋" w:hAnsi="仿宋" w:eastAsia="仿宋"/>
          <w:b/>
          <w:sz w:val="32"/>
          <w:szCs w:val="32"/>
        </w:rPr>
        <w:t>01-1</w:t>
      </w:r>
      <w:r>
        <w:rPr>
          <w:rFonts w:hint="eastAsia" w:ascii="仿宋" w:hAnsi="仿宋" w:eastAsia="仿宋"/>
          <w:b/>
          <w:sz w:val="32"/>
          <w:szCs w:val="32"/>
        </w:rPr>
        <w:t>表</w:t>
      </w:r>
      <w:r>
        <w:rPr>
          <w:rFonts w:ascii="仿宋" w:hAnsi="仿宋" w:eastAsia="仿宋"/>
          <w:b/>
          <w:sz w:val="32"/>
          <w:szCs w:val="32"/>
        </w:rPr>
        <w:t>）</w:t>
      </w:r>
    </w:p>
    <w:p>
      <w:pPr>
        <w:spacing w:line="600" w:lineRule="exact"/>
        <w:ind w:firstLine="640" w:firstLineChars="200"/>
        <w:rPr>
          <w:rFonts w:ascii="仿宋" w:hAnsi="仿宋" w:eastAsia="仿宋"/>
          <w:b/>
          <w:sz w:val="32"/>
          <w:szCs w:val="32"/>
        </w:rPr>
      </w:pPr>
      <w:r>
        <w:rPr>
          <w:rFonts w:hint="eastAsia" w:ascii="仿宋" w:hAnsi="仿宋" w:eastAsia="仿宋"/>
          <w:sz w:val="32"/>
          <w:szCs w:val="32"/>
        </w:rPr>
        <w:t>（图4：财政拨款收、支决算总计变动情况）（柱状图）</w:t>
      </w:r>
    </w:p>
    <w:p>
      <w:pPr>
        <w:pStyle w:val="2"/>
        <w:rPr>
          <w:rFonts w:ascii="仿宋" w:hAnsi="仿宋" w:eastAsia="仿宋"/>
          <w:b/>
          <w:sz w:val="32"/>
          <w:szCs w:val="32"/>
        </w:rPr>
      </w:pPr>
      <w:r>
        <w:rPr>
          <w:rFonts w:hint="eastAsia" w:eastAsia="仿宋_GB2312"/>
          <w:lang w:eastAsia="zh-CN"/>
        </w:rPr>
        <w:drawing>
          <wp:inline distT="0" distB="0" distL="114300" distR="114300">
            <wp:extent cx="4657725" cy="1805305"/>
            <wp:effectExtent l="4445" t="5080" r="5080" b="18415"/>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
      <w:pPr>
        <w:spacing w:line="600" w:lineRule="exact"/>
        <w:ind w:firstLine="640" w:firstLineChars="200"/>
        <w:outlineLvl w:val="1"/>
        <w:rPr>
          <w:rStyle w:val="30"/>
          <w:rFonts w:ascii="黑体" w:hAnsi="黑体" w:eastAsia="黑体"/>
          <w:b w:val="0"/>
        </w:rPr>
      </w:pPr>
      <w:bookmarkStart w:id="34" w:name="_Toc15377209"/>
      <w:bookmarkStart w:id="35" w:name="_Toc15396607"/>
      <w:r>
        <w:rPr>
          <w:rFonts w:hint="eastAsia" w:ascii="黑体" w:hAnsi="黑体" w:eastAsia="黑体"/>
          <w:sz w:val="32"/>
          <w:szCs w:val="32"/>
        </w:rPr>
        <w:t>五、</w:t>
      </w:r>
      <w:r>
        <w:rPr>
          <w:rFonts w:hint="eastAsia" w:ascii="黑体" w:hAnsi="黑体" w:eastAsia="黑体"/>
          <w:b/>
          <w:sz w:val="32"/>
          <w:szCs w:val="32"/>
        </w:rPr>
        <w:t>一</w:t>
      </w:r>
      <w:r>
        <w:rPr>
          <w:rStyle w:val="30"/>
          <w:rFonts w:hint="eastAsia" w:ascii="黑体" w:hAnsi="黑体" w:eastAsia="黑体"/>
          <w:b w:val="0"/>
        </w:rPr>
        <w:t>般公共预算财政拨款支出决算情况说明</w:t>
      </w:r>
      <w:bookmarkEnd w:id="34"/>
      <w:bookmarkEnd w:id="35"/>
    </w:p>
    <w:p>
      <w:pPr>
        <w:spacing w:line="600" w:lineRule="exact"/>
        <w:ind w:firstLine="643" w:firstLineChars="200"/>
        <w:outlineLvl w:val="2"/>
        <w:rPr>
          <w:rFonts w:ascii="仿宋" w:hAnsi="仿宋" w:eastAsia="仿宋"/>
          <w:b/>
          <w:sz w:val="32"/>
          <w:szCs w:val="32"/>
        </w:rPr>
      </w:pPr>
      <w:bookmarkStart w:id="36" w:name="_Toc15377210"/>
      <w:r>
        <w:rPr>
          <w:rFonts w:hint="eastAsia" w:ascii="仿宋" w:hAnsi="仿宋" w:eastAsia="仿宋"/>
          <w:b/>
          <w:sz w:val="32"/>
          <w:szCs w:val="32"/>
        </w:rPr>
        <w:t>（一）一般公共预算财政拨款支出决算总体情况</w:t>
      </w:r>
      <w:bookmarkEnd w:id="36"/>
    </w:p>
    <w:p>
      <w:pPr>
        <w:spacing w:line="600" w:lineRule="exact"/>
        <w:ind w:firstLine="640" w:firstLineChars="200"/>
        <w:rPr>
          <w:rFonts w:ascii="仿宋" w:hAnsi="仿宋" w:eastAsia="仿宋"/>
          <w:sz w:val="32"/>
          <w:szCs w:val="32"/>
        </w:rPr>
      </w:pPr>
      <w:r>
        <w:rPr>
          <w:rFonts w:hint="eastAsia" w:ascii="仿宋" w:hAnsi="仿宋" w:eastAsia="仿宋"/>
          <w:sz w:val="32"/>
          <w:szCs w:val="32"/>
        </w:rPr>
        <w:t>2023年度一般公共预算财政拨款支出</w:t>
      </w:r>
      <w:r>
        <w:rPr>
          <w:rFonts w:ascii="仿宋" w:hAnsi="仿宋" w:eastAsia="仿宋"/>
          <w:b/>
          <w:sz w:val="32"/>
          <w:szCs w:val="32"/>
        </w:rPr>
        <w:t>296.58</w:t>
      </w:r>
      <w:r>
        <w:rPr>
          <w:rFonts w:hint="eastAsia" w:ascii="仿宋" w:hAnsi="仿宋" w:eastAsia="仿宋"/>
          <w:sz w:val="32"/>
          <w:szCs w:val="32"/>
        </w:rPr>
        <w:t>万元，占本年支出合计的</w:t>
      </w:r>
      <w:r>
        <w:rPr>
          <w:rFonts w:ascii="仿宋" w:hAnsi="仿宋" w:eastAsia="仿宋"/>
          <w:b/>
          <w:sz w:val="32"/>
          <w:szCs w:val="32"/>
        </w:rPr>
        <w:t>99.98</w:t>
      </w:r>
      <w:r>
        <w:rPr>
          <w:rFonts w:ascii="仿宋" w:hAnsi="仿宋" w:eastAsia="仿宋"/>
          <w:sz w:val="32"/>
          <w:szCs w:val="32"/>
        </w:rPr>
        <w:t>%</w:t>
      </w:r>
      <w:r>
        <w:rPr>
          <w:rFonts w:hint="eastAsia" w:ascii="仿宋" w:hAnsi="仿宋" w:eastAsia="仿宋"/>
          <w:sz w:val="32"/>
          <w:szCs w:val="32"/>
        </w:rPr>
        <w:t>。与2022年度相比，一般公共预算财政拨款支出增加</w:t>
      </w:r>
      <w:r>
        <w:rPr>
          <w:rFonts w:hint="eastAsia" w:ascii="仿宋" w:hAnsi="仿宋" w:eastAsia="仿宋"/>
          <w:sz w:val="32"/>
          <w:szCs w:val="32"/>
          <w:lang w:val="en-US" w:eastAsia="zh-CN"/>
        </w:rPr>
        <w:t>44.87</w:t>
      </w:r>
      <w:r>
        <w:rPr>
          <w:rFonts w:hint="eastAsia" w:ascii="仿宋" w:hAnsi="仿宋" w:eastAsia="仿宋"/>
          <w:sz w:val="32"/>
          <w:szCs w:val="32"/>
        </w:rPr>
        <w:t>万元，增长</w:t>
      </w:r>
      <w:r>
        <w:rPr>
          <w:rFonts w:hint="eastAsia" w:ascii="仿宋" w:hAnsi="仿宋" w:eastAsia="仿宋"/>
          <w:sz w:val="32"/>
          <w:szCs w:val="32"/>
          <w:lang w:val="en-US" w:eastAsia="zh-CN"/>
        </w:rPr>
        <w:t>17.83</w:t>
      </w:r>
      <w:r>
        <w:rPr>
          <w:rFonts w:ascii="仿宋" w:hAnsi="仿宋" w:eastAsia="仿宋"/>
          <w:sz w:val="32"/>
          <w:szCs w:val="32"/>
        </w:rPr>
        <w:t>%</w:t>
      </w:r>
      <w:r>
        <w:rPr>
          <w:rFonts w:hint="eastAsia" w:ascii="仿宋" w:hAnsi="仿宋" w:eastAsia="仿宋"/>
          <w:sz w:val="32"/>
          <w:szCs w:val="32"/>
        </w:rPr>
        <w:t>。主要变动原因是</w:t>
      </w:r>
      <w:r>
        <w:rPr>
          <w:rFonts w:hint="eastAsia" w:ascii="仿宋" w:hAnsi="仿宋" w:eastAsia="仿宋"/>
          <w:color w:val="auto"/>
          <w:sz w:val="32"/>
          <w:szCs w:val="32"/>
          <w:highlight w:val="none"/>
          <w:lang w:val="en-US" w:eastAsia="zh-CN"/>
        </w:rPr>
        <w:t>项目经费支出较上年增加,2023年新增巩固脱贫攻坚驻村工作队经费、抽调干部驻京开展信访保障工作经费、第31界世界大学生夏季运动会期间信访安全保障工作费用、新办公场所设备经费项目支出</w:t>
      </w:r>
      <w:r>
        <w:rPr>
          <w:rFonts w:hint="eastAsia" w:ascii="仿宋" w:hAnsi="仿宋" w:eastAsia="仿宋"/>
          <w:color w:val="auto"/>
          <w:sz w:val="32"/>
          <w:szCs w:val="32"/>
          <w:highlight w:val="none"/>
          <w:lang w:eastAsia="zh-CN"/>
        </w:rPr>
        <w:t>。</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（图5：一般公共预算财政拨款支出决算变动情况）（柱状图）</w:t>
      </w:r>
    </w:p>
    <w:p>
      <w:pPr>
        <w:pStyle w:val="2"/>
      </w:pPr>
      <w:r>
        <w:rPr>
          <w:rFonts w:hint="eastAsia" w:eastAsia="仿宋_GB2312"/>
          <w:lang w:eastAsia="zh-CN"/>
        </w:rPr>
        <w:drawing>
          <wp:inline distT="0" distB="0" distL="114300" distR="114300">
            <wp:extent cx="4657725" cy="1517650"/>
            <wp:effectExtent l="4445" t="5080" r="5080" b="20320"/>
            <wp:docPr id="10"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spacing w:line="600" w:lineRule="exact"/>
        <w:ind w:firstLine="643" w:firstLineChars="200"/>
        <w:outlineLvl w:val="2"/>
        <w:rPr>
          <w:rFonts w:ascii="仿宋" w:hAnsi="仿宋" w:eastAsia="仿宋"/>
          <w:b/>
          <w:sz w:val="32"/>
          <w:szCs w:val="32"/>
        </w:rPr>
      </w:pPr>
      <w:bookmarkStart w:id="37" w:name="_Toc15377211"/>
      <w:bookmarkStart w:id="38" w:name="OLE_LINK17"/>
      <w:r>
        <w:rPr>
          <w:rFonts w:hint="eastAsia" w:ascii="仿宋" w:hAnsi="仿宋" w:eastAsia="仿宋"/>
          <w:b/>
          <w:sz w:val="32"/>
          <w:szCs w:val="32"/>
        </w:rPr>
        <w:t>（二）一般公共预算财政拨款支出决算结构情况</w:t>
      </w:r>
      <w:bookmarkEnd w:id="37"/>
    </w:p>
    <w:p>
      <w:pPr>
        <w:spacing w:line="600" w:lineRule="exact"/>
        <w:ind w:firstLine="640"/>
        <w:rPr>
          <w:rFonts w:ascii="仿宋" w:hAnsi="仿宋" w:eastAsia="仿宋"/>
          <w:b/>
          <w:sz w:val="32"/>
          <w:szCs w:val="32"/>
        </w:rPr>
      </w:pPr>
      <w:r>
        <w:rPr>
          <w:rFonts w:hint="eastAsia" w:ascii="仿宋" w:hAnsi="仿宋" w:eastAsia="仿宋"/>
          <w:sz w:val="32"/>
          <w:szCs w:val="32"/>
        </w:rPr>
        <w:t>2023年度一般公共预算财政拨款支出</w:t>
      </w:r>
      <w:r>
        <w:rPr>
          <w:rFonts w:ascii="仿宋" w:hAnsi="仿宋" w:eastAsia="仿宋"/>
          <w:b/>
          <w:sz w:val="32"/>
          <w:szCs w:val="32"/>
        </w:rPr>
        <w:t>296.58</w:t>
      </w:r>
      <w:r>
        <w:rPr>
          <w:rFonts w:hint="eastAsia" w:ascii="仿宋" w:hAnsi="仿宋" w:eastAsia="仿宋"/>
          <w:sz w:val="32"/>
          <w:szCs w:val="32"/>
        </w:rPr>
        <w:t>万元，主要用于以下方面</w:t>
      </w:r>
      <w:r>
        <w:rPr>
          <w:rFonts w:ascii="仿宋" w:hAnsi="仿宋" w:eastAsia="仿宋"/>
          <w:sz w:val="32"/>
          <w:szCs w:val="32"/>
        </w:rPr>
        <w:t>:</w:t>
      </w:r>
      <w:bookmarkStart w:id="39" w:name="OLE_LINK4"/>
      <w:r>
        <w:rPr>
          <w:rFonts w:hint="eastAsia" w:ascii="仿宋" w:hAnsi="仿宋" w:eastAsia="仿宋"/>
          <w:b/>
          <w:sz w:val="32"/>
          <w:szCs w:val="32"/>
        </w:rPr>
        <w:t>一般公共服务</w:t>
      </w:r>
      <w:r>
        <w:rPr>
          <w:rFonts w:hint="eastAsia" w:ascii="仿宋" w:hAnsi="仿宋" w:eastAsia="仿宋"/>
          <w:b/>
          <w:bCs/>
          <w:sz w:val="32"/>
          <w:szCs w:val="32"/>
        </w:rPr>
        <w:t>支出</w:t>
      </w:r>
      <w:r>
        <w:rPr>
          <w:rFonts w:hint="eastAsia" w:ascii="仿宋" w:hAnsi="仿宋" w:eastAsia="仿宋"/>
          <w:sz w:val="32"/>
          <w:szCs w:val="32"/>
          <w:lang w:val="en-US" w:eastAsia="zh-CN"/>
        </w:rPr>
        <w:t>230.75</w:t>
      </w:r>
      <w:r>
        <w:rPr>
          <w:rFonts w:hint="eastAsia" w:ascii="仿宋" w:hAnsi="仿宋" w:eastAsia="仿宋"/>
          <w:sz w:val="32"/>
          <w:szCs w:val="32"/>
        </w:rPr>
        <w:t>万元，占</w:t>
      </w:r>
      <w:r>
        <w:rPr>
          <w:rFonts w:hint="eastAsia" w:ascii="仿宋" w:hAnsi="仿宋" w:eastAsia="仿宋"/>
          <w:sz w:val="32"/>
          <w:szCs w:val="32"/>
          <w:lang w:val="en-US" w:eastAsia="zh-CN"/>
        </w:rPr>
        <w:t>77.80</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sz w:val="32"/>
          <w:szCs w:val="32"/>
        </w:rPr>
        <w:t>社会保障和就业</w:t>
      </w:r>
      <w:r>
        <w:rPr>
          <w:rFonts w:hint="eastAsia" w:ascii="仿宋" w:hAnsi="仿宋" w:eastAsia="仿宋"/>
          <w:b/>
          <w:bCs/>
          <w:sz w:val="32"/>
          <w:szCs w:val="32"/>
        </w:rPr>
        <w:t>支出</w:t>
      </w:r>
      <w:r>
        <w:rPr>
          <w:rFonts w:hint="eastAsia" w:ascii="仿宋" w:hAnsi="仿宋" w:eastAsia="仿宋"/>
          <w:sz w:val="32"/>
          <w:szCs w:val="32"/>
          <w:lang w:val="en-US" w:eastAsia="zh-CN"/>
        </w:rPr>
        <w:t>42.34</w:t>
      </w:r>
      <w:r>
        <w:rPr>
          <w:rFonts w:hint="eastAsia" w:ascii="仿宋" w:hAnsi="仿宋" w:eastAsia="仿宋"/>
          <w:sz w:val="32"/>
          <w:szCs w:val="32"/>
        </w:rPr>
        <w:t>万元，占</w:t>
      </w:r>
      <w:r>
        <w:rPr>
          <w:rFonts w:hint="eastAsia" w:ascii="仿宋" w:hAnsi="仿宋" w:eastAsia="仿宋"/>
          <w:sz w:val="32"/>
          <w:szCs w:val="32"/>
          <w:lang w:val="en-US" w:eastAsia="zh-CN"/>
        </w:rPr>
        <w:t>14.28</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卫生健康支出</w:t>
      </w:r>
      <w:r>
        <w:rPr>
          <w:rFonts w:hint="eastAsia" w:ascii="仿宋" w:hAnsi="仿宋" w:eastAsia="仿宋"/>
          <w:sz w:val="32"/>
          <w:szCs w:val="32"/>
          <w:lang w:val="en-US" w:eastAsia="zh-CN"/>
        </w:rPr>
        <w:t>6.02</w:t>
      </w:r>
      <w:r>
        <w:rPr>
          <w:rFonts w:hint="eastAsia" w:ascii="仿宋" w:hAnsi="仿宋" w:eastAsia="仿宋"/>
          <w:sz w:val="32"/>
          <w:szCs w:val="32"/>
        </w:rPr>
        <w:t>万元，</w:t>
      </w:r>
      <w:bookmarkStart w:id="40" w:name="OLE_LINK3"/>
      <w:r>
        <w:rPr>
          <w:rFonts w:hint="eastAsia" w:ascii="仿宋" w:hAnsi="仿宋" w:eastAsia="仿宋"/>
          <w:sz w:val="32"/>
          <w:szCs w:val="32"/>
        </w:rPr>
        <w:t>占</w:t>
      </w:r>
      <w:r>
        <w:rPr>
          <w:rFonts w:hint="eastAsia" w:ascii="仿宋" w:hAnsi="仿宋" w:eastAsia="仿宋"/>
          <w:sz w:val="32"/>
          <w:szCs w:val="32"/>
          <w:lang w:val="en-US" w:eastAsia="zh-CN"/>
        </w:rPr>
        <w:t>2.03</w:t>
      </w:r>
      <w:r>
        <w:rPr>
          <w:rFonts w:ascii="仿宋" w:hAnsi="仿宋" w:eastAsia="仿宋"/>
          <w:sz w:val="32"/>
          <w:szCs w:val="32"/>
        </w:rPr>
        <w:t>%</w:t>
      </w:r>
      <w:r>
        <w:rPr>
          <w:rFonts w:hint="eastAsia" w:ascii="仿宋" w:hAnsi="仿宋" w:eastAsia="仿宋"/>
          <w:sz w:val="32"/>
          <w:szCs w:val="32"/>
        </w:rPr>
        <w:t>；</w:t>
      </w:r>
      <w:bookmarkEnd w:id="40"/>
      <w:r>
        <w:rPr>
          <w:rFonts w:hint="eastAsia" w:ascii="仿宋" w:hAnsi="仿宋" w:eastAsia="仿宋" w:cs="Times New Roman"/>
          <w:b/>
          <w:bCs/>
          <w:sz w:val="32"/>
          <w:szCs w:val="32"/>
          <w:lang w:eastAsia="zh-CN"/>
        </w:rPr>
        <w:t>农林水支出</w:t>
      </w:r>
      <w:r>
        <w:rPr>
          <w:rFonts w:hint="eastAsia" w:ascii="仿宋" w:hAnsi="仿宋" w:eastAsia="仿宋"/>
          <w:sz w:val="32"/>
          <w:szCs w:val="32"/>
          <w:lang w:val="en-US" w:eastAsia="zh-CN"/>
        </w:rPr>
        <w:t>1万元，</w:t>
      </w:r>
      <w:r>
        <w:rPr>
          <w:rFonts w:hint="eastAsia" w:ascii="仿宋" w:hAnsi="仿宋" w:eastAsia="仿宋"/>
          <w:sz w:val="32"/>
          <w:szCs w:val="32"/>
        </w:rPr>
        <w:t>占</w:t>
      </w:r>
      <w:r>
        <w:rPr>
          <w:rFonts w:hint="eastAsia" w:ascii="仿宋" w:hAnsi="仿宋" w:eastAsia="仿宋"/>
          <w:sz w:val="32"/>
          <w:szCs w:val="32"/>
          <w:lang w:val="en-US" w:eastAsia="zh-CN"/>
        </w:rPr>
        <w:t>0.34</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住房保障支出</w:t>
      </w:r>
      <w:r>
        <w:rPr>
          <w:rFonts w:hint="eastAsia" w:ascii="仿宋" w:hAnsi="仿宋" w:eastAsia="仿宋"/>
          <w:sz w:val="32"/>
          <w:szCs w:val="32"/>
          <w:lang w:val="en-US" w:eastAsia="zh-CN"/>
        </w:rPr>
        <w:t>16.47</w:t>
      </w:r>
      <w:r>
        <w:rPr>
          <w:rFonts w:hint="eastAsia" w:ascii="仿宋" w:hAnsi="仿宋" w:eastAsia="仿宋"/>
          <w:sz w:val="32"/>
          <w:szCs w:val="32"/>
        </w:rPr>
        <w:t>万元，占</w:t>
      </w:r>
      <w:r>
        <w:rPr>
          <w:rFonts w:hint="eastAsia" w:ascii="仿宋" w:hAnsi="仿宋" w:eastAsia="仿宋"/>
          <w:sz w:val="32"/>
          <w:szCs w:val="32"/>
          <w:lang w:val="en-US" w:eastAsia="zh-CN"/>
        </w:rPr>
        <w:t>5.55</w:t>
      </w:r>
      <w:r>
        <w:rPr>
          <w:rFonts w:ascii="仿宋" w:hAnsi="仿宋" w:eastAsia="仿宋"/>
          <w:sz w:val="32"/>
          <w:szCs w:val="32"/>
        </w:rPr>
        <w:t>%</w:t>
      </w:r>
      <w:r>
        <w:rPr>
          <w:rFonts w:hint="eastAsia" w:ascii="仿宋" w:hAnsi="仿宋" w:eastAsia="仿宋"/>
          <w:sz w:val="32"/>
          <w:szCs w:val="32"/>
        </w:rPr>
        <w:t>。</w:t>
      </w:r>
    </w:p>
    <w:bookmarkEnd w:id="39"/>
    <w:p>
      <w:pPr>
        <w:spacing w:line="600" w:lineRule="exact"/>
        <w:ind w:firstLine="640"/>
        <w:rPr>
          <w:rFonts w:ascii="仿宋" w:hAnsi="仿宋" w:eastAsia="仿宋"/>
          <w:sz w:val="32"/>
          <w:szCs w:val="32"/>
        </w:rPr>
      </w:pPr>
      <w:r>
        <w:rPr>
          <w:rFonts w:hint="eastAsia" w:ascii="仿宋" w:hAnsi="仿宋" w:eastAsia="仿宋"/>
          <w:b/>
          <w:sz w:val="32"/>
          <w:szCs w:val="32"/>
        </w:rPr>
        <w:t>（注：数据来源于财决01-1表，仅罗列本单位涉及的全部功能分类科目，至类级。）</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（图6：一般公共预算财政拨款支出决算结构）（饼状图）</w:t>
      </w:r>
    </w:p>
    <w:p>
      <w:pPr>
        <w:pStyle w:val="2"/>
        <w:rPr>
          <w:rFonts w:ascii="仿宋" w:hAnsi="仿宋" w:eastAsia="仿宋"/>
          <w:sz w:val="32"/>
          <w:szCs w:val="32"/>
        </w:rPr>
      </w:pPr>
      <w:r>
        <w:rPr>
          <w:rFonts w:hint="eastAsia" w:ascii="仿宋" w:hAnsi="仿宋" w:eastAsia="仿宋"/>
          <w:sz w:val="32"/>
          <w:szCs w:val="32"/>
          <w:lang w:eastAsia="zh-CN"/>
        </w:rPr>
        <w:drawing>
          <wp:inline distT="0" distB="0" distL="114300" distR="114300">
            <wp:extent cx="4908550" cy="2105660"/>
            <wp:effectExtent l="5080" t="4445" r="20320" b="23495"/>
            <wp:docPr id="11"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
      <w:pPr>
        <w:spacing w:line="600" w:lineRule="exact"/>
        <w:ind w:firstLine="643" w:firstLineChars="200"/>
        <w:outlineLvl w:val="2"/>
        <w:rPr>
          <w:rFonts w:ascii="仿宋" w:hAnsi="仿宋" w:eastAsia="仿宋"/>
          <w:b/>
          <w:sz w:val="32"/>
          <w:szCs w:val="32"/>
        </w:rPr>
      </w:pPr>
      <w:bookmarkStart w:id="41" w:name="_Toc15377212"/>
      <w:r>
        <w:rPr>
          <w:rFonts w:hint="eastAsia" w:ascii="仿宋" w:hAnsi="仿宋" w:eastAsia="仿宋"/>
          <w:b/>
          <w:sz w:val="32"/>
          <w:szCs w:val="32"/>
        </w:rPr>
        <w:t>（三）一般公共预算财政拨款支出决算具体情况</w:t>
      </w:r>
      <w:bookmarkEnd w:id="41"/>
    </w:p>
    <w:p>
      <w:pPr>
        <w:spacing w:line="600" w:lineRule="exact"/>
        <w:ind w:firstLine="643" w:firstLineChars="200"/>
        <w:outlineLvl w:val="2"/>
        <w:rPr>
          <w:rFonts w:ascii="仿宋" w:hAnsi="仿宋" w:eastAsia="仿宋"/>
          <w:sz w:val="32"/>
          <w:szCs w:val="32"/>
        </w:rPr>
      </w:pPr>
      <w:bookmarkStart w:id="42" w:name="_Toc15377444"/>
      <w:bookmarkStart w:id="43" w:name="_Toc15378460"/>
      <w:bookmarkStart w:id="44" w:name="_Toc15377213"/>
      <w:bookmarkStart w:id="45" w:name="OLE_LINK6"/>
      <w:r>
        <w:rPr>
          <w:rFonts w:hint="eastAsia" w:ascii="仿宋" w:hAnsi="仿宋" w:eastAsia="仿宋"/>
          <w:b/>
          <w:sz w:val="32"/>
          <w:szCs w:val="32"/>
        </w:rPr>
        <w:t>2023年度一般公共预算支出决算数为</w:t>
      </w:r>
      <w:r>
        <w:rPr>
          <w:rFonts w:ascii="仿宋" w:hAnsi="仿宋" w:eastAsia="仿宋"/>
          <w:b/>
          <w:sz w:val="32"/>
          <w:szCs w:val="32"/>
        </w:rPr>
        <w:t>296.58</w:t>
      </w:r>
      <w:r>
        <w:rPr>
          <w:rFonts w:hint="eastAsia" w:ascii="仿宋" w:hAnsi="仿宋" w:eastAsia="仿宋"/>
          <w:sz w:val="32"/>
          <w:szCs w:val="32"/>
        </w:rPr>
        <w:t>，</w:t>
      </w:r>
      <w:r>
        <w:rPr>
          <w:rStyle w:val="18"/>
          <w:rFonts w:hint="eastAsia" w:ascii="仿宋" w:hAnsi="仿宋" w:eastAsia="仿宋"/>
          <w:bCs/>
          <w:sz w:val="32"/>
          <w:szCs w:val="32"/>
        </w:rPr>
        <w:t>完成预算</w:t>
      </w:r>
      <w:r>
        <w:rPr>
          <w:rStyle w:val="18"/>
          <w:rFonts w:hint="eastAsia" w:ascii="仿宋" w:hAnsi="仿宋" w:eastAsia="仿宋"/>
          <w:bCs/>
          <w:sz w:val="32"/>
          <w:szCs w:val="32"/>
          <w:lang w:val="en-US" w:eastAsia="zh-CN"/>
        </w:rPr>
        <w:t>100</w:t>
      </w:r>
      <w:r>
        <w:rPr>
          <w:rStyle w:val="18"/>
          <w:rFonts w:ascii="仿宋" w:hAnsi="仿宋" w:eastAsia="仿宋"/>
          <w:bCs/>
          <w:sz w:val="32"/>
          <w:szCs w:val="32"/>
        </w:rPr>
        <w:t>%</w:t>
      </w:r>
      <w:r>
        <w:rPr>
          <w:rStyle w:val="18"/>
          <w:rFonts w:hint="eastAsia" w:ascii="仿宋" w:hAnsi="仿宋" w:eastAsia="仿宋"/>
          <w:bCs/>
          <w:sz w:val="32"/>
          <w:szCs w:val="32"/>
        </w:rPr>
        <w:t>。其中：</w:t>
      </w:r>
      <w:bookmarkEnd w:id="42"/>
      <w:bookmarkEnd w:id="43"/>
      <w:bookmarkEnd w:id="44"/>
    </w:p>
    <w:p>
      <w:pPr>
        <w:numPr>
          <w:numId w:val="0"/>
        </w:numPr>
        <w:spacing w:line="600" w:lineRule="exact"/>
        <w:ind w:firstLine="643" w:firstLineChars="200"/>
        <w:rPr>
          <w:rStyle w:val="18"/>
          <w:rFonts w:hint="eastAsia" w:ascii="仿宋" w:hAnsi="仿宋" w:eastAsia="仿宋"/>
          <w:b w:val="0"/>
          <w:bCs/>
          <w:sz w:val="32"/>
          <w:szCs w:val="32"/>
        </w:rPr>
      </w:pPr>
      <w:r>
        <w:rPr>
          <w:rStyle w:val="18"/>
          <w:rFonts w:hint="eastAsia" w:ascii="仿宋" w:hAnsi="仿宋" w:eastAsia="仿宋"/>
          <w:bCs/>
          <w:sz w:val="32"/>
          <w:szCs w:val="32"/>
          <w:lang w:val="en-US" w:eastAsia="zh-CN"/>
        </w:rPr>
        <w:t>1.</w:t>
      </w:r>
      <w:r>
        <w:rPr>
          <w:rStyle w:val="18"/>
          <w:rFonts w:hint="eastAsia" w:ascii="仿宋" w:hAnsi="仿宋" w:eastAsia="仿宋"/>
          <w:bCs/>
          <w:sz w:val="32"/>
          <w:szCs w:val="32"/>
        </w:rPr>
        <w:t>一般公共服务（类）政府办公厅（室）及相关机构事务（款）行政运行（项）</w:t>
      </w:r>
      <w:r>
        <w:rPr>
          <w:rStyle w:val="18"/>
          <w:rFonts w:ascii="仿宋" w:hAnsi="仿宋" w:eastAsia="仿宋"/>
          <w:bCs/>
          <w:sz w:val="32"/>
          <w:szCs w:val="32"/>
        </w:rPr>
        <w:t>:</w:t>
      </w:r>
      <w:r>
        <w:rPr>
          <w:rStyle w:val="18"/>
          <w:rFonts w:ascii="仿宋" w:hAnsi="仿宋" w:eastAsia="仿宋"/>
          <w:b w:val="0"/>
          <w:bCs/>
          <w:sz w:val="32"/>
          <w:szCs w:val="32"/>
        </w:rPr>
        <w:t xml:space="preserve"> </w:t>
      </w:r>
      <w:r>
        <w:rPr>
          <w:rStyle w:val="18"/>
          <w:rFonts w:hint="eastAsia" w:ascii="仿宋" w:hAnsi="仿宋" w:eastAsia="仿宋"/>
          <w:b w:val="0"/>
          <w:bCs/>
          <w:sz w:val="32"/>
          <w:szCs w:val="32"/>
        </w:rPr>
        <w:t>支出决算为</w:t>
      </w:r>
      <w:r>
        <w:rPr>
          <w:rStyle w:val="18"/>
          <w:rFonts w:hint="eastAsia" w:ascii="仿宋" w:hAnsi="仿宋" w:eastAsia="仿宋"/>
          <w:b w:val="0"/>
          <w:bCs/>
          <w:sz w:val="32"/>
          <w:szCs w:val="32"/>
          <w:lang w:val="en-US" w:eastAsia="zh-CN"/>
        </w:rPr>
        <w:t>111.17</w:t>
      </w:r>
      <w:r>
        <w:rPr>
          <w:rStyle w:val="18"/>
          <w:rFonts w:hint="eastAsia" w:ascii="仿宋" w:hAnsi="仿宋" w:eastAsia="仿宋"/>
          <w:b w:val="0"/>
          <w:bCs/>
          <w:sz w:val="32"/>
          <w:szCs w:val="32"/>
        </w:rPr>
        <w:t>万元，完成预算100</w:t>
      </w:r>
      <w:r>
        <w:rPr>
          <w:rStyle w:val="18"/>
          <w:rFonts w:ascii="仿宋" w:hAnsi="仿宋" w:eastAsia="仿宋"/>
          <w:b w:val="0"/>
          <w:bCs/>
          <w:sz w:val="32"/>
          <w:szCs w:val="32"/>
        </w:rPr>
        <w:t>%</w:t>
      </w:r>
      <w:r>
        <w:rPr>
          <w:rStyle w:val="18"/>
          <w:rFonts w:hint="eastAsia" w:ascii="仿宋" w:hAnsi="仿宋" w:eastAsia="仿宋"/>
          <w:b w:val="0"/>
          <w:bCs/>
          <w:sz w:val="32"/>
          <w:szCs w:val="32"/>
        </w:rPr>
        <w:t>，决算数等于预算数的主要原因是合理规划年初预算并严格执行</w:t>
      </w:r>
      <w:r>
        <w:rPr>
          <w:rStyle w:val="18"/>
          <w:rFonts w:hint="eastAsia" w:ascii="仿宋" w:hAnsi="仿宋" w:eastAsia="仿宋"/>
          <w:b w:val="0"/>
          <w:bCs/>
          <w:sz w:val="32"/>
          <w:szCs w:val="32"/>
          <w:lang w:eastAsia="zh-CN"/>
        </w:rPr>
        <w:t>。</w:t>
      </w:r>
    </w:p>
    <w:p>
      <w:pPr>
        <w:pStyle w:val="2"/>
        <w:numPr>
          <w:ilvl w:val="0"/>
          <w:numId w:val="0"/>
        </w:numPr>
        <w:ind w:firstLine="643" w:firstLineChars="200"/>
        <w:jc w:val="both"/>
        <w:rPr>
          <w:rStyle w:val="18"/>
          <w:rFonts w:hint="eastAsia" w:ascii="仿宋" w:hAnsi="仿宋" w:eastAsia="仿宋"/>
          <w:b w:val="0"/>
          <w:bCs/>
          <w:sz w:val="32"/>
          <w:szCs w:val="32"/>
          <w:lang w:eastAsia="zh-CN"/>
        </w:rPr>
      </w:pPr>
      <w:bookmarkStart w:id="46" w:name="OLE_LINK13"/>
      <w:r>
        <w:rPr>
          <w:rStyle w:val="18"/>
          <w:rFonts w:hint="eastAsia" w:ascii="仿宋" w:hAnsi="仿宋" w:eastAsia="仿宋"/>
          <w:bCs/>
          <w:sz w:val="32"/>
          <w:szCs w:val="32"/>
          <w:lang w:val="en-US" w:eastAsia="zh-CN"/>
        </w:rPr>
        <w:t>2.</w:t>
      </w:r>
      <w:r>
        <w:rPr>
          <w:rStyle w:val="18"/>
          <w:rFonts w:hint="eastAsia" w:ascii="仿宋" w:hAnsi="仿宋" w:eastAsia="仿宋"/>
          <w:bCs/>
          <w:sz w:val="32"/>
          <w:szCs w:val="32"/>
        </w:rPr>
        <w:t>一般公共服务（类）政府办公厅（室）及相关机构事务（款）</w:t>
      </w:r>
      <w:bookmarkEnd w:id="46"/>
      <w:r>
        <w:rPr>
          <w:rStyle w:val="18"/>
          <w:rFonts w:hint="eastAsia" w:ascii="仿宋" w:hAnsi="仿宋" w:eastAsia="仿宋" w:cstheme="minorBidi"/>
          <w:b/>
          <w:bCs w:val="0"/>
          <w:sz w:val="32"/>
          <w:szCs w:val="32"/>
          <w:lang w:eastAsia="zh-CN"/>
        </w:rPr>
        <w:t>一般行政管理事务</w:t>
      </w:r>
      <w:r>
        <w:rPr>
          <w:rStyle w:val="18"/>
          <w:rFonts w:hint="eastAsia" w:ascii="仿宋" w:hAnsi="仿宋" w:eastAsia="仿宋" w:cstheme="minorBidi"/>
          <w:b/>
          <w:bCs w:val="0"/>
          <w:sz w:val="32"/>
          <w:szCs w:val="32"/>
        </w:rPr>
        <w:t>（项）</w:t>
      </w:r>
      <w:r>
        <w:rPr>
          <w:rStyle w:val="18"/>
          <w:rFonts w:hint="eastAsia" w:ascii="仿宋" w:hAnsi="仿宋" w:eastAsia="仿宋"/>
          <w:b w:val="0"/>
          <w:bCs/>
          <w:sz w:val="32"/>
          <w:szCs w:val="32"/>
        </w:rPr>
        <w:t>：支出决算为</w:t>
      </w:r>
      <w:r>
        <w:rPr>
          <w:rStyle w:val="18"/>
          <w:rFonts w:hint="eastAsia" w:ascii="仿宋" w:hAnsi="仿宋" w:eastAsia="仿宋"/>
          <w:b w:val="0"/>
          <w:bCs/>
          <w:sz w:val="32"/>
          <w:szCs w:val="32"/>
          <w:lang w:val="en-US" w:eastAsia="zh-CN"/>
        </w:rPr>
        <w:t>17.18</w:t>
      </w:r>
      <w:r>
        <w:rPr>
          <w:rStyle w:val="18"/>
          <w:rFonts w:hint="eastAsia" w:ascii="仿宋" w:hAnsi="仿宋" w:eastAsia="仿宋"/>
          <w:b w:val="0"/>
          <w:bCs/>
          <w:sz w:val="32"/>
          <w:szCs w:val="32"/>
        </w:rPr>
        <w:t>万元，完成预算100</w:t>
      </w:r>
      <w:r>
        <w:rPr>
          <w:rStyle w:val="18"/>
          <w:rFonts w:ascii="仿宋" w:hAnsi="仿宋" w:eastAsia="仿宋"/>
          <w:b w:val="0"/>
          <w:bCs/>
          <w:sz w:val="32"/>
          <w:szCs w:val="32"/>
        </w:rPr>
        <w:t>%</w:t>
      </w:r>
      <w:r>
        <w:rPr>
          <w:rStyle w:val="18"/>
          <w:rFonts w:hint="eastAsia" w:ascii="仿宋" w:hAnsi="仿宋" w:eastAsia="仿宋"/>
          <w:b w:val="0"/>
          <w:bCs/>
          <w:sz w:val="32"/>
          <w:szCs w:val="32"/>
        </w:rPr>
        <w:t>，决算数等于预算数的主要原因是合理规划年初预算并严格执行</w:t>
      </w:r>
      <w:r>
        <w:rPr>
          <w:rStyle w:val="18"/>
          <w:rFonts w:hint="eastAsia" w:ascii="仿宋" w:hAnsi="仿宋" w:eastAsia="仿宋"/>
          <w:b w:val="0"/>
          <w:bCs/>
          <w:sz w:val="32"/>
          <w:szCs w:val="32"/>
          <w:lang w:eastAsia="zh-CN"/>
        </w:rPr>
        <w:t>。</w:t>
      </w:r>
    </w:p>
    <w:p>
      <w:pPr>
        <w:ind w:firstLine="643" w:firstLineChars="200"/>
        <w:rPr>
          <w:rStyle w:val="18"/>
          <w:rFonts w:hint="eastAsia" w:ascii="仿宋" w:hAnsi="仿宋" w:eastAsia="仿宋"/>
          <w:bCs/>
          <w:sz w:val="32"/>
          <w:szCs w:val="32"/>
          <w:lang w:eastAsia="zh-CN"/>
        </w:rPr>
      </w:pPr>
      <w:r>
        <w:rPr>
          <w:rStyle w:val="18"/>
          <w:rFonts w:hint="eastAsia" w:ascii="仿宋" w:hAnsi="仿宋" w:eastAsia="仿宋"/>
          <w:bCs/>
          <w:sz w:val="32"/>
          <w:szCs w:val="32"/>
          <w:lang w:val="en-US" w:eastAsia="zh-CN"/>
        </w:rPr>
        <w:t>3.</w:t>
      </w:r>
      <w:r>
        <w:rPr>
          <w:rStyle w:val="18"/>
          <w:rFonts w:hint="eastAsia" w:ascii="仿宋" w:hAnsi="仿宋" w:eastAsia="仿宋"/>
          <w:bCs/>
          <w:sz w:val="32"/>
          <w:szCs w:val="32"/>
        </w:rPr>
        <w:t>一般公共服务（类）政府办公厅（室）及相关机构事务（款）</w:t>
      </w:r>
      <w:r>
        <w:rPr>
          <w:rStyle w:val="18"/>
          <w:rFonts w:hint="eastAsia" w:ascii="仿宋" w:hAnsi="仿宋" w:eastAsia="仿宋"/>
          <w:b/>
          <w:bCs w:val="0"/>
          <w:sz w:val="32"/>
          <w:szCs w:val="32"/>
        </w:rPr>
        <w:t>信访事务（</w:t>
      </w:r>
      <w:bookmarkStart w:id="47" w:name="OLE_LINK5"/>
      <w:r>
        <w:rPr>
          <w:rStyle w:val="18"/>
          <w:rFonts w:hint="eastAsia" w:ascii="仿宋" w:hAnsi="仿宋" w:eastAsia="仿宋"/>
          <w:b/>
          <w:bCs w:val="0"/>
          <w:sz w:val="32"/>
          <w:szCs w:val="32"/>
        </w:rPr>
        <w:t>项）</w:t>
      </w:r>
      <w:r>
        <w:rPr>
          <w:rStyle w:val="18"/>
          <w:rFonts w:hint="eastAsia" w:ascii="仿宋" w:hAnsi="仿宋" w:eastAsia="仿宋"/>
          <w:b w:val="0"/>
          <w:bCs/>
          <w:sz w:val="32"/>
          <w:szCs w:val="32"/>
        </w:rPr>
        <w:t>：支出决算为</w:t>
      </w:r>
      <w:r>
        <w:rPr>
          <w:rStyle w:val="18"/>
          <w:rFonts w:hint="eastAsia" w:ascii="仿宋" w:hAnsi="仿宋" w:eastAsia="仿宋"/>
          <w:b w:val="0"/>
          <w:bCs/>
          <w:sz w:val="32"/>
          <w:szCs w:val="32"/>
          <w:lang w:val="en-US" w:eastAsia="zh-CN"/>
        </w:rPr>
        <w:t>51.32</w:t>
      </w:r>
      <w:r>
        <w:rPr>
          <w:rStyle w:val="18"/>
          <w:rFonts w:hint="eastAsia" w:ascii="仿宋" w:hAnsi="仿宋" w:eastAsia="仿宋"/>
          <w:b w:val="0"/>
          <w:bCs/>
          <w:sz w:val="32"/>
          <w:szCs w:val="32"/>
        </w:rPr>
        <w:t>万元，完成预算100</w:t>
      </w:r>
      <w:r>
        <w:rPr>
          <w:rStyle w:val="18"/>
          <w:rFonts w:ascii="仿宋" w:hAnsi="仿宋" w:eastAsia="仿宋"/>
          <w:b w:val="0"/>
          <w:bCs/>
          <w:sz w:val="32"/>
          <w:szCs w:val="32"/>
        </w:rPr>
        <w:t>%</w:t>
      </w:r>
      <w:r>
        <w:rPr>
          <w:rStyle w:val="18"/>
          <w:rFonts w:hint="eastAsia" w:ascii="仿宋" w:hAnsi="仿宋" w:eastAsia="仿宋"/>
          <w:b w:val="0"/>
          <w:bCs/>
          <w:sz w:val="32"/>
          <w:szCs w:val="32"/>
        </w:rPr>
        <w:t>，决算数等于预算数的主要原因是合理规划年初预算并严格执行</w:t>
      </w:r>
      <w:bookmarkEnd w:id="47"/>
      <w:r>
        <w:rPr>
          <w:rStyle w:val="18"/>
          <w:rFonts w:hint="eastAsia" w:ascii="仿宋" w:hAnsi="仿宋" w:eastAsia="仿宋"/>
          <w:b w:val="0"/>
          <w:bCs/>
          <w:sz w:val="32"/>
          <w:szCs w:val="32"/>
          <w:lang w:eastAsia="zh-CN"/>
        </w:rPr>
        <w:t>。</w:t>
      </w:r>
    </w:p>
    <w:p>
      <w:pPr>
        <w:numPr>
          <w:ilvl w:val="0"/>
          <w:numId w:val="0"/>
        </w:numPr>
        <w:spacing w:line="600" w:lineRule="exact"/>
        <w:ind w:firstLine="643" w:firstLineChars="200"/>
        <w:rPr>
          <w:rFonts w:hint="eastAsia"/>
          <w:lang w:eastAsia="zh-CN"/>
        </w:rPr>
      </w:pPr>
      <w:r>
        <w:rPr>
          <w:rStyle w:val="18"/>
          <w:rFonts w:hint="eastAsia" w:ascii="仿宋" w:hAnsi="仿宋" w:eastAsia="仿宋"/>
          <w:bCs/>
          <w:sz w:val="32"/>
          <w:szCs w:val="32"/>
          <w:lang w:val="en-US" w:eastAsia="zh-CN"/>
        </w:rPr>
        <w:t>4.</w:t>
      </w:r>
      <w:r>
        <w:rPr>
          <w:rStyle w:val="18"/>
          <w:rFonts w:hint="eastAsia" w:ascii="仿宋" w:hAnsi="仿宋" w:eastAsia="仿宋"/>
          <w:bCs/>
          <w:sz w:val="32"/>
          <w:szCs w:val="32"/>
        </w:rPr>
        <w:t>一般公共服务（类）政府办公厅（室）及相关机构事务（款）</w:t>
      </w:r>
      <w:r>
        <w:rPr>
          <w:rStyle w:val="18"/>
          <w:rFonts w:hint="eastAsia" w:ascii="仿宋" w:hAnsi="仿宋" w:eastAsia="仿宋"/>
          <w:b/>
          <w:bCs w:val="0"/>
          <w:sz w:val="32"/>
          <w:szCs w:val="32"/>
        </w:rPr>
        <w:t>事业运行（项）：</w:t>
      </w:r>
      <w:r>
        <w:rPr>
          <w:rStyle w:val="18"/>
          <w:rFonts w:hint="eastAsia" w:ascii="仿宋" w:hAnsi="仿宋" w:eastAsia="仿宋"/>
          <w:b w:val="0"/>
          <w:bCs/>
          <w:sz w:val="32"/>
          <w:szCs w:val="32"/>
        </w:rPr>
        <w:t>支出决算为</w:t>
      </w:r>
      <w:r>
        <w:rPr>
          <w:rStyle w:val="18"/>
          <w:rFonts w:hint="eastAsia" w:ascii="仿宋" w:hAnsi="仿宋" w:eastAsia="仿宋"/>
          <w:b w:val="0"/>
          <w:bCs/>
          <w:sz w:val="32"/>
          <w:szCs w:val="32"/>
          <w:lang w:val="en-US" w:eastAsia="zh-CN"/>
        </w:rPr>
        <w:t>51.08</w:t>
      </w:r>
      <w:r>
        <w:rPr>
          <w:rStyle w:val="18"/>
          <w:rFonts w:hint="eastAsia" w:ascii="仿宋" w:hAnsi="仿宋" w:eastAsia="仿宋"/>
          <w:b w:val="0"/>
          <w:bCs/>
          <w:sz w:val="32"/>
          <w:szCs w:val="32"/>
        </w:rPr>
        <w:t>万元，完成预算100</w:t>
      </w:r>
      <w:r>
        <w:rPr>
          <w:rStyle w:val="18"/>
          <w:rFonts w:ascii="仿宋" w:hAnsi="仿宋" w:eastAsia="仿宋"/>
          <w:b w:val="0"/>
          <w:bCs/>
          <w:sz w:val="32"/>
          <w:szCs w:val="32"/>
        </w:rPr>
        <w:t>%</w:t>
      </w:r>
      <w:r>
        <w:rPr>
          <w:rStyle w:val="18"/>
          <w:rFonts w:hint="eastAsia" w:ascii="仿宋" w:hAnsi="仿宋" w:eastAsia="仿宋"/>
          <w:b w:val="0"/>
          <w:bCs/>
          <w:sz w:val="32"/>
          <w:szCs w:val="32"/>
        </w:rPr>
        <w:t>，决算数等于预算数的主要原因是合理规划年初预算并严格执行。</w:t>
      </w:r>
    </w:p>
    <w:p>
      <w:pPr>
        <w:spacing w:line="600" w:lineRule="exact"/>
        <w:ind w:firstLine="643" w:firstLineChars="200"/>
        <w:rPr>
          <w:rStyle w:val="18"/>
          <w:rFonts w:hint="eastAsia" w:ascii="仿宋" w:hAnsi="仿宋" w:eastAsia="仿宋"/>
          <w:b w:val="0"/>
          <w:bCs/>
          <w:sz w:val="32"/>
          <w:szCs w:val="32"/>
          <w:lang w:eastAsia="zh-CN"/>
        </w:rPr>
      </w:pPr>
      <w:r>
        <w:rPr>
          <w:rStyle w:val="18"/>
          <w:rFonts w:hint="eastAsia" w:ascii="仿宋" w:hAnsi="仿宋" w:eastAsia="仿宋"/>
          <w:bCs/>
          <w:sz w:val="32"/>
          <w:szCs w:val="32"/>
          <w:lang w:val="en-US" w:eastAsia="zh-CN"/>
        </w:rPr>
        <w:t>5</w:t>
      </w:r>
      <w:r>
        <w:rPr>
          <w:rStyle w:val="18"/>
          <w:rFonts w:ascii="仿宋" w:hAnsi="仿宋" w:eastAsia="仿宋"/>
          <w:bCs/>
          <w:sz w:val="32"/>
          <w:szCs w:val="32"/>
        </w:rPr>
        <w:t>.</w:t>
      </w:r>
      <w:bookmarkStart w:id="48" w:name="OLE_LINK14"/>
      <w:r>
        <w:rPr>
          <w:rStyle w:val="18"/>
          <w:rFonts w:hint="eastAsia" w:ascii="仿宋" w:hAnsi="仿宋" w:eastAsia="仿宋"/>
          <w:bCs/>
          <w:sz w:val="32"/>
          <w:szCs w:val="32"/>
        </w:rPr>
        <w:t>社会保障和就业（类）行政事业单位养老支出（款）</w:t>
      </w:r>
      <w:bookmarkEnd w:id="48"/>
      <w:r>
        <w:rPr>
          <w:rStyle w:val="18"/>
          <w:rFonts w:hint="eastAsia" w:ascii="仿宋" w:hAnsi="仿宋" w:eastAsia="仿宋"/>
          <w:bCs/>
          <w:sz w:val="32"/>
          <w:szCs w:val="32"/>
        </w:rPr>
        <w:t xml:space="preserve">  机关事业单位基本养老保险缴费支出（项）</w:t>
      </w:r>
      <w:r>
        <w:rPr>
          <w:rStyle w:val="18"/>
          <w:rFonts w:ascii="仿宋" w:hAnsi="仿宋" w:eastAsia="仿宋"/>
          <w:bCs/>
          <w:sz w:val="32"/>
          <w:szCs w:val="32"/>
        </w:rPr>
        <w:t>:</w:t>
      </w:r>
      <w:r>
        <w:rPr>
          <w:rStyle w:val="18"/>
          <w:rFonts w:ascii="仿宋" w:hAnsi="仿宋" w:eastAsia="仿宋"/>
          <w:b w:val="0"/>
          <w:bCs/>
          <w:sz w:val="32"/>
          <w:szCs w:val="32"/>
        </w:rPr>
        <w:t xml:space="preserve"> </w:t>
      </w:r>
      <w:r>
        <w:rPr>
          <w:rStyle w:val="18"/>
          <w:rFonts w:hint="eastAsia" w:ascii="仿宋" w:hAnsi="仿宋" w:eastAsia="仿宋"/>
          <w:b w:val="0"/>
          <w:bCs/>
          <w:sz w:val="32"/>
          <w:szCs w:val="32"/>
        </w:rPr>
        <w:t>支出决算为</w:t>
      </w:r>
      <w:r>
        <w:rPr>
          <w:rStyle w:val="18"/>
          <w:rFonts w:hint="eastAsia" w:ascii="仿宋" w:hAnsi="仿宋" w:eastAsia="仿宋"/>
          <w:b w:val="0"/>
          <w:bCs/>
          <w:sz w:val="32"/>
          <w:szCs w:val="32"/>
          <w:lang w:val="en-US" w:eastAsia="zh-CN"/>
        </w:rPr>
        <w:t>22.58</w:t>
      </w:r>
      <w:r>
        <w:rPr>
          <w:rStyle w:val="18"/>
          <w:rFonts w:hint="eastAsia" w:ascii="仿宋" w:hAnsi="仿宋" w:eastAsia="仿宋"/>
          <w:b w:val="0"/>
          <w:bCs/>
          <w:sz w:val="32"/>
          <w:szCs w:val="32"/>
        </w:rPr>
        <w:t>万元，完成预算100</w:t>
      </w:r>
      <w:r>
        <w:rPr>
          <w:rStyle w:val="18"/>
          <w:rFonts w:ascii="仿宋" w:hAnsi="仿宋" w:eastAsia="仿宋"/>
          <w:b w:val="0"/>
          <w:bCs/>
          <w:sz w:val="32"/>
          <w:szCs w:val="32"/>
        </w:rPr>
        <w:t>%</w:t>
      </w:r>
      <w:r>
        <w:rPr>
          <w:rStyle w:val="18"/>
          <w:rFonts w:hint="eastAsia" w:ascii="仿宋" w:hAnsi="仿宋" w:eastAsia="仿宋"/>
          <w:b w:val="0"/>
          <w:bCs/>
          <w:sz w:val="32"/>
          <w:szCs w:val="32"/>
        </w:rPr>
        <w:t>，决算数等于预算数的主要原因是合理规划年初预算并严格执行</w:t>
      </w:r>
      <w:bookmarkStart w:id="49" w:name="OLE_LINK31"/>
      <w:r>
        <w:rPr>
          <w:rStyle w:val="18"/>
          <w:rFonts w:hint="eastAsia" w:ascii="仿宋" w:hAnsi="仿宋" w:eastAsia="仿宋"/>
          <w:b w:val="0"/>
          <w:bCs/>
          <w:sz w:val="32"/>
          <w:szCs w:val="32"/>
          <w:lang w:eastAsia="zh-CN"/>
        </w:rPr>
        <w:t>。</w:t>
      </w:r>
    </w:p>
    <w:p>
      <w:pPr>
        <w:spacing w:line="600" w:lineRule="exact"/>
        <w:ind w:firstLine="643" w:firstLineChars="200"/>
        <w:rPr>
          <w:rStyle w:val="18"/>
          <w:rFonts w:hint="eastAsia" w:ascii="仿宋" w:hAnsi="仿宋" w:eastAsia="仿宋"/>
          <w:bCs/>
          <w:sz w:val="32"/>
          <w:szCs w:val="32"/>
          <w:lang w:eastAsia="zh-CN"/>
        </w:rPr>
      </w:pPr>
      <w:r>
        <w:rPr>
          <w:rStyle w:val="18"/>
          <w:rFonts w:hint="eastAsia" w:ascii="仿宋" w:hAnsi="仿宋" w:eastAsia="仿宋"/>
          <w:bCs/>
          <w:sz w:val="32"/>
          <w:szCs w:val="32"/>
          <w:lang w:val="en-US" w:eastAsia="zh-CN"/>
        </w:rPr>
        <w:t>6.</w:t>
      </w:r>
      <w:r>
        <w:rPr>
          <w:rStyle w:val="18"/>
          <w:rFonts w:hint="eastAsia" w:ascii="仿宋" w:hAnsi="仿宋" w:eastAsia="仿宋"/>
          <w:bCs/>
          <w:sz w:val="32"/>
          <w:szCs w:val="32"/>
        </w:rPr>
        <w:t>社会保障和就业（类）行政事业单位养老支出（款）</w:t>
      </w:r>
      <w:r>
        <w:rPr>
          <w:rStyle w:val="18"/>
          <w:rFonts w:hint="eastAsia" w:ascii="仿宋" w:hAnsi="仿宋" w:eastAsia="仿宋"/>
          <w:b/>
          <w:bCs w:val="0"/>
          <w:sz w:val="32"/>
          <w:szCs w:val="32"/>
        </w:rPr>
        <w:t>机关事业单位职业年金缴费支出（项）</w:t>
      </w:r>
      <w:r>
        <w:rPr>
          <w:rStyle w:val="18"/>
          <w:rFonts w:ascii="仿宋" w:hAnsi="仿宋" w:eastAsia="仿宋"/>
          <w:b/>
          <w:bCs w:val="0"/>
          <w:sz w:val="32"/>
          <w:szCs w:val="32"/>
        </w:rPr>
        <w:t>:</w:t>
      </w:r>
      <w:r>
        <w:rPr>
          <w:rStyle w:val="18"/>
          <w:rFonts w:ascii="仿宋" w:hAnsi="仿宋" w:eastAsia="仿宋"/>
          <w:b w:val="0"/>
          <w:bCs/>
          <w:sz w:val="32"/>
          <w:szCs w:val="32"/>
        </w:rPr>
        <w:t xml:space="preserve"> </w:t>
      </w:r>
      <w:r>
        <w:rPr>
          <w:rStyle w:val="18"/>
          <w:rFonts w:hint="eastAsia" w:ascii="仿宋" w:hAnsi="仿宋" w:eastAsia="仿宋"/>
          <w:b w:val="0"/>
          <w:bCs/>
          <w:sz w:val="32"/>
          <w:szCs w:val="32"/>
        </w:rPr>
        <w:t>支出决算为</w:t>
      </w:r>
      <w:r>
        <w:rPr>
          <w:rStyle w:val="18"/>
          <w:rFonts w:hint="eastAsia" w:ascii="仿宋" w:hAnsi="仿宋" w:eastAsia="仿宋"/>
          <w:b w:val="0"/>
          <w:bCs/>
          <w:sz w:val="32"/>
          <w:szCs w:val="32"/>
          <w:lang w:val="en-US" w:eastAsia="zh-CN"/>
        </w:rPr>
        <w:t>16.29</w:t>
      </w:r>
      <w:r>
        <w:rPr>
          <w:rStyle w:val="18"/>
          <w:rFonts w:hint="eastAsia" w:ascii="仿宋" w:hAnsi="仿宋" w:eastAsia="仿宋"/>
          <w:b w:val="0"/>
          <w:bCs/>
          <w:sz w:val="32"/>
          <w:szCs w:val="32"/>
        </w:rPr>
        <w:t>万元，完成预算100</w:t>
      </w:r>
      <w:r>
        <w:rPr>
          <w:rStyle w:val="18"/>
          <w:rFonts w:ascii="仿宋" w:hAnsi="仿宋" w:eastAsia="仿宋"/>
          <w:b w:val="0"/>
          <w:bCs/>
          <w:sz w:val="32"/>
          <w:szCs w:val="32"/>
        </w:rPr>
        <w:t>%</w:t>
      </w:r>
      <w:r>
        <w:rPr>
          <w:rStyle w:val="18"/>
          <w:rFonts w:hint="eastAsia" w:ascii="仿宋" w:hAnsi="仿宋" w:eastAsia="仿宋"/>
          <w:b w:val="0"/>
          <w:bCs/>
          <w:sz w:val="32"/>
          <w:szCs w:val="32"/>
        </w:rPr>
        <w:t>，决算数等于预算数的主要原因是合理规划年初预算并严格执行</w:t>
      </w:r>
      <w:r>
        <w:rPr>
          <w:rStyle w:val="18"/>
          <w:rFonts w:hint="eastAsia" w:ascii="仿宋" w:hAnsi="仿宋" w:eastAsia="仿宋"/>
          <w:b w:val="0"/>
          <w:bCs/>
          <w:sz w:val="32"/>
          <w:szCs w:val="32"/>
          <w:lang w:eastAsia="zh-CN"/>
        </w:rPr>
        <w:t>。</w:t>
      </w:r>
    </w:p>
    <w:p>
      <w:pPr>
        <w:ind w:firstLine="643" w:firstLineChars="200"/>
        <w:rPr>
          <w:rStyle w:val="18"/>
          <w:rFonts w:hint="eastAsia" w:ascii="仿宋" w:hAnsi="仿宋" w:eastAsia="仿宋"/>
          <w:bCs/>
          <w:sz w:val="32"/>
          <w:szCs w:val="32"/>
          <w:lang w:eastAsia="zh-CN"/>
        </w:rPr>
      </w:pPr>
      <w:r>
        <w:rPr>
          <w:rStyle w:val="18"/>
          <w:rFonts w:hint="eastAsia" w:ascii="仿宋" w:hAnsi="仿宋" w:eastAsia="仿宋"/>
          <w:bCs/>
          <w:sz w:val="32"/>
          <w:szCs w:val="32"/>
          <w:lang w:val="en-US" w:eastAsia="zh-CN"/>
        </w:rPr>
        <w:t>7.</w:t>
      </w:r>
      <w:r>
        <w:rPr>
          <w:rStyle w:val="18"/>
          <w:rFonts w:hint="eastAsia" w:ascii="仿宋" w:hAnsi="仿宋" w:eastAsia="仿宋"/>
          <w:bCs/>
          <w:sz w:val="32"/>
          <w:szCs w:val="32"/>
        </w:rPr>
        <w:t>社会保障和就业（类）行政事业单位养老支出（款）</w:t>
      </w:r>
      <w:r>
        <w:rPr>
          <w:rStyle w:val="18"/>
          <w:rFonts w:hint="eastAsia" w:ascii="仿宋" w:hAnsi="仿宋" w:eastAsia="仿宋"/>
          <w:b/>
          <w:bCs w:val="0"/>
          <w:sz w:val="32"/>
          <w:szCs w:val="32"/>
        </w:rPr>
        <w:t>机关事业单位职业年金缴费支出（项）</w:t>
      </w:r>
      <w:r>
        <w:rPr>
          <w:rStyle w:val="18"/>
          <w:rFonts w:ascii="仿宋" w:hAnsi="仿宋" w:eastAsia="仿宋"/>
          <w:b/>
          <w:bCs w:val="0"/>
          <w:sz w:val="32"/>
          <w:szCs w:val="32"/>
        </w:rPr>
        <w:t>:</w:t>
      </w:r>
      <w:r>
        <w:rPr>
          <w:rStyle w:val="18"/>
          <w:rFonts w:ascii="仿宋" w:hAnsi="仿宋" w:eastAsia="仿宋"/>
          <w:b w:val="0"/>
          <w:bCs/>
          <w:sz w:val="32"/>
          <w:szCs w:val="32"/>
        </w:rPr>
        <w:t xml:space="preserve"> </w:t>
      </w:r>
      <w:r>
        <w:rPr>
          <w:rStyle w:val="18"/>
          <w:rFonts w:hint="eastAsia" w:ascii="仿宋" w:hAnsi="仿宋" w:eastAsia="仿宋"/>
          <w:b w:val="0"/>
          <w:bCs/>
          <w:sz w:val="32"/>
          <w:szCs w:val="32"/>
        </w:rPr>
        <w:t>支出决算为</w:t>
      </w:r>
      <w:r>
        <w:rPr>
          <w:rStyle w:val="18"/>
          <w:rFonts w:hint="eastAsia" w:ascii="仿宋" w:hAnsi="仿宋" w:eastAsia="仿宋"/>
          <w:b w:val="0"/>
          <w:bCs/>
          <w:sz w:val="32"/>
          <w:szCs w:val="32"/>
          <w:lang w:val="en-US" w:eastAsia="zh-CN"/>
        </w:rPr>
        <w:t>16.29</w:t>
      </w:r>
      <w:r>
        <w:rPr>
          <w:rStyle w:val="18"/>
          <w:rFonts w:hint="eastAsia" w:ascii="仿宋" w:hAnsi="仿宋" w:eastAsia="仿宋"/>
          <w:b w:val="0"/>
          <w:bCs/>
          <w:sz w:val="32"/>
          <w:szCs w:val="32"/>
        </w:rPr>
        <w:t>万元，完成预算100</w:t>
      </w:r>
      <w:r>
        <w:rPr>
          <w:rStyle w:val="18"/>
          <w:rFonts w:ascii="仿宋" w:hAnsi="仿宋" w:eastAsia="仿宋"/>
          <w:b w:val="0"/>
          <w:bCs/>
          <w:sz w:val="32"/>
          <w:szCs w:val="32"/>
        </w:rPr>
        <w:t>%</w:t>
      </w:r>
      <w:r>
        <w:rPr>
          <w:rStyle w:val="18"/>
          <w:rFonts w:hint="eastAsia" w:ascii="仿宋" w:hAnsi="仿宋" w:eastAsia="仿宋"/>
          <w:b w:val="0"/>
          <w:bCs/>
          <w:sz w:val="32"/>
          <w:szCs w:val="32"/>
        </w:rPr>
        <w:t>，决算数等于预算数的主要原因是合理规划年初预算并严格执行</w:t>
      </w:r>
      <w:r>
        <w:rPr>
          <w:rStyle w:val="18"/>
          <w:rFonts w:hint="eastAsia" w:ascii="仿宋" w:hAnsi="仿宋" w:eastAsia="仿宋"/>
          <w:b w:val="0"/>
          <w:bCs/>
          <w:sz w:val="32"/>
          <w:szCs w:val="32"/>
          <w:lang w:eastAsia="zh-CN"/>
        </w:rPr>
        <w:t>。</w:t>
      </w:r>
    </w:p>
    <w:p>
      <w:pPr>
        <w:spacing w:line="600" w:lineRule="exact"/>
        <w:ind w:firstLine="643" w:firstLineChars="200"/>
        <w:rPr>
          <w:rStyle w:val="18"/>
          <w:rFonts w:hint="eastAsia" w:ascii="仿宋" w:hAnsi="仿宋" w:eastAsia="仿宋"/>
          <w:b w:val="0"/>
          <w:bCs/>
          <w:sz w:val="32"/>
          <w:szCs w:val="32"/>
          <w:lang w:eastAsia="zh-CN"/>
        </w:rPr>
      </w:pPr>
      <w:r>
        <w:rPr>
          <w:rStyle w:val="18"/>
          <w:rFonts w:hint="eastAsia" w:ascii="仿宋" w:hAnsi="仿宋" w:eastAsia="仿宋"/>
          <w:bCs/>
          <w:sz w:val="32"/>
          <w:szCs w:val="32"/>
          <w:lang w:val="en-US" w:eastAsia="zh-CN"/>
        </w:rPr>
        <w:t>8.</w:t>
      </w:r>
      <w:r>
        <w:rPr>
          <w:rStyle w:val="18"/>
          <w:rFonts w:hint="eastAsia" w:ascii="仿宋" w:hAnsi="仿宋" w:eastAsia="仿宋"/>
          <w:bCs/>
          <w:sz w:val="32"/>
          <w:szCs w:val="32"/>
        </w:rPr>
        <w:t>社会保障和就业（类）</w:t>
      </w:r>
      <w:r>
        <w:rPr>
          <w:rStyle w:val="18"/>
          <w:rFonts w:hint="eastAsia" w:ascii="仿宋" w:hAnsi="仿宋" w:eastAsia="仿宋"/>
          <w:bCs/>
          <w:sz w:val="32"/>
          <w:szCs w:val="32"/>
          <w:lang w:val="en-US" w:eastAsia="zh-CN"/>
        </w:rPr>
        <w:t>残疾人事业</w:t>
      </w:r>
      <w:r>
        <w:rPr>
          <w:rStyle w:val="18"/>
          <w:rFonts w:hint="eastAsia" w:ascii="仿宋" w:hAnsi="仿宋" w:eastAsia="仿宋"/>
          <w:bCs/>
          <w:sz w:val="32"/>
          <w:szCs w:val="32"/>
        </w:rPr>
        <w:t>（款）</w:t>
      </w:r>
      <w:r>
        <w:rPr>
          <w:rStyle w:val="18"/>
          <w:rFonts w:hint="eastAsia" w:ascii="仿宋" w:hAnsi="仿宋" w:eastAsia="仿宋"/>
          <w:bCs/>
          <w:sz w:val="32"/>
          <w:szCs w:val="32"/>
          <w:lang w:val="en-US" w:eastAsia="zh-CN"/>
        </w:rPr>
        <w:t>残疾人就业</w:t>
      </w:r>
      <w:r>
        <w:rPr>
          <w:rStyle w:val="18"/>
          <w:rFonts w:hint="eastAsia" w:ascii="仿宋" w:hAnsi="仿宋" w:eastAsia="仿宋"/>
          <w:bCs/>
          <w:sz w:val="32"/>
          <w:szCs w:val="32"/>
        </w:rPr>
        <w:t>（项）</w:t>
      </w:r>
      <w:r>
        <w:rPr>
          <w:rStyle w:val="18"/>
          <w:rFonts w:ascii="仿宋" w:hAnsi="仿宋" w:eastAsia="仿宋"/>
          <w:bCs/>
          <w:sz w:val="32"/>
          <w:szCs w:val="32"/>
        </w:rPr>
        <w:t>:</w:t>
      </w:r>
      <w:r>
        <w:rPr>
          <w:rStyle w:val="18"/>
          <w:rFonts w:ascii="仿宋" w:hAnsi="仿宋" w:eastAsia="仿宋"/>
          <w:b w:val="0"/>
          <w:bCs/>
          <w:sz w:val="32"/>
          <w:szCs w:val="32"/>
        </w:rPr>
        <w:t xml:space="preserve"> </w:t>
      </w:r>
      <w:r>
        <w:rPr>
          <w:rStyle w:val="18"/>
          <w:rFonts w:hint="eastAsia" w:ascii="仿宋" w:hAnsi="仿宋" w:eastAsia="仿宋"/>
          <w:b w:val="0"/>
          <w:bCs/>
          <w:sz w:val="32"/>
          <w:szCs w:val="32"/>
        </w:rPr>
        <w:t>支出决算为</w:t>
      </w:r>
      <w:r>
        <w:rPr>
          <w:rStyle w:val="18"/>
          <w:rFonts w:hint="eastAsia" w:ascii="仿宋" w:hAnsi="仿宋" w:eastAsia="仿宋"/>
          <w:b w:val="0"/>
          <w:bCs/>
          <w:sz w:val="32"/>
          <w:szCs w:val="32"/>
          <w:lang w:val="en-US" w:eastAsia="zh-CN"/>
        </w:rPr>
        <w:t>1.99</w:t>
      </w:r>
      <w:r>
        <w:rPr>
          <w:rStyle w:val="18"/>
          <w:rFonts w:hint="eastAsia" w:ascii="仿宋" w:hAnsi="仿宋" w:eastAsia="仿宋"/>
          <w:b w:val="0"/>
          <w:bCs/>
          <w:sz w:val="32"/>
          <w:szCs w:val="32"/>
        </w:rPr>
        <w:t>万元，完成预算100</w:t>
      </w:r>
      <w:r>
        <w:rPr>
          <w:rStyle w:val="18"/>
          <w:rFonts w:ascii="仿宋" w:hAnsi="仿宋" w:eastAsia="仿宋"/>
          <w:b w:val="0"/>
          <w:bCs/>
          <w:sz w:val="32"/>
          <w:szCs w:val="32"/>
        </w:rPr>
        <w:t>%</w:t>
      </w:r>
      <w:r>
        <w:rPr>
          <w:rStyle w:val="18"/>
          <w:rFonts w:hint="eastAsia" w:ascii="仿宋" w:hAnsi="仿宋" w:eastAsia="仿宋"/>
          <w:b w:val="0"/>
          <w:bCs/>
          <w:sz w:val="32"/>
          <w:szCs w:val="32"/>
        </w:rPr>
        <w:t>，决算数等于预算数的主要原因是合理规划年初预算并严格执行</w:t>
      </w:r>
      <w:bookmarkEnd w:id="49"/>
      <w:bookmarkStart w:id="50" w:name="OLE_LINK7"/>
      <w:r>
        <w:rPr>
          <w:rStyle w:val="18"/>
          <w:rFonts w:hint="eastAsia" w:ascii="仿宋" w:hAnsi="仿宋" w:eastAsia="仿宋"/>
          <w:b w:val="0"/>
          <w:bCs/>
          <w:sz w:val="32"/>
          <w:szCs w:val="32"/>
          <w:lang w:eastAsia="zh-CN"/>
        </w:rPr>
        <w:t>。</w:t>
      </w:r>
    </w:p>
    <w:p>
      <w:pPr>
        <w:spacing w:line="600" w:lineRule="exact"/>
        <w:ind w:firstLine="643" w:firstLineChars="200"/>
        <w:rPr>
          <w:rStyle w:val="18"/>
          <w:rFonts w:hint="eastAsia" w:ascii="仿宋" w:hAnsi="仿宋" w:eastAsia="仿宋"/>
          <w:b w:val="0"/>
          <w:bCs/>
          <w:sz w:val="32"/>
          <w:szCs w:val="32"/>
          <w:lang w:eastAsia="zh-CN"/>
        </w:rPr>
      </w:pPr>
      <w:r>
        <w:rPr>
          <w:rStyle w:val="18"/>
          <w:rFonts w:hint="eastAsia" w:ascii="仿宋" w:hAnsi="仿宋" w:eastAsia="仿宋"/>
          <w:bCs/>
          <w:sz w:val="32"/>
          <w:szCs w:val="32"/>
          <w:lang w:val="en-US" w:eastAsia="zh-CN"/>
        </w:rPr>
        <w:t>9.</w:t>
      </w:r>
      <w:r>
        <w:rPr>
          <w:rStyle w:val="18"/>
          <w:rFonts w:hint="eastAsia" w:ascii="仿宋" w:hAnsi="仿宋" w:eastAsia="仿宋"/>
          <w:bCs/>
          <w:sz w:val="32"/>
          <w:szCs w:val="32"/>
        </w:rPr>
        <w:t>社会保障和就业（类）</w:t>
      </w:r>
      <w:r>
        <w:rPr>
          <w:rStyle w:val="18"/>
          <w:rFonts w:hint="eastAsia" w:ascii="仿宋" w:hAnsi="仿宋" w:eastAsia="仿宋"/>
          <w:bCs/>
          <w:sz w:val="32"/>
          <w:szCs w:val="32"/>
          <w:lang w:val="en-US" w:eastAsia="zh-CN"/>
        </w:rPr>
        <w:t>其他社会保障和就业支出</w:t>
      </w:r>
      <w:r>
        <w:rPr>
          <w:rStyle w:val="18"/>
          <w:rFonts w:hint="eastAsia" w:ascii="仿宋" w:hAnsi="仿宋" w:eastAsia="仿宋"/>
          <w:bCs/>
          <w:sz w:val="32"/>
          <w:szCs w:val="32"/>
        </w:rPr>
        <w:t>（款）</w:t>
      </w:r>
      <w:r>
        <w:rPr>
          <w:rStyle w:val="18"/>
          <w:rFonts w:hint="eastAsia" w:ascii="仿宋" w:hAnsi="仿宋" w:eastAsia="仿宋"/>
          <w:bCs/>
          <w:sz w:val="32"/>
          <w:szCs w:val="32"/>
          <w:lang w:val="en-US" w:eastAsia="zh-CN"/>
        </w:rPr>
        <w:t>其他社会保障和就业支出</w:t>
      </w:r>
      <w:r>
        <w:rPr>
          <w:rStyle w:val="18"/>
          <w:rFonts w:hint="eastAsia" w:ascii="仿宋" w:hAnsi="仿宋" w:eastAsia="仿宋"/>
          <w:bCs/>
          <w:sz w:val="32"/>
          <w:szCs w:val="32"/>
        </w:rPr>
        <w:t>（项）</w:t>
      </w:r>
      <w:r>
        <w:rPr>
          <w:rStyle w:val="18"/>
          <w:rFonts w:ascii="仿宋" w:hAnsi="仿宋" w:eastAsia="仿宋"/>
          <w:bCs/>
          <w:sz w:val="32"/>
          <w:szCs w:val="32"/>
        </w:rPr>
        <w:t>:</w:t>
      </w:r>
      <w:r>
        <w:rPr>
          <w:rStyle w:val="18"/>
          <w:rFonts w:ascii="仿宋" w:hAnsi="仿宋" w:eastAsia="仿宋"/>
          <w:b w:val="0"/>
          <w:bCs/>
          <w:sz w:val="32"/>
          <w:szCs w:val="32"/>
        </w:rPr>
        <w:t xml:space="preserve"> </w:t>
      </w:r>
      <w:r>
        <w:rPr>
          <w:rStyle w:val="18"/>
          <w:rFonts w:hint="eastAsia" w:ascii="仿宋" w:hAnsi="仿宋" w:eastAsia="仿宋"/>
          <w:b w:val="0"/>
          <w:bCs/>
          <w:sz w:val="32"/>
          <w:szCs w:val="32"/>
        </w:rPr>
        <w:t>支出决算为</w:t>
      </w:r>
      <w:r>
        <w:rPr>
          <w:rStyle w:val="18"/>
          <w:rFonts w:hint="eastAsia" w:ascii="仿宋" w:hAnsi="仿宋" w:eastAsia="仿宋"/>
          <w:b w:val="0"/>
          <w:bCs/>
          <w:sz w:val="32"/>
          <w:szCs w:val="32"/>
          <w:lang w:val="en-US" w:eastAsia="zh-CN"/>
        </w:rPr>
        <w:t>0.49</w:t>
      </w:r>
      <w:r>
        <w:rPr>
          <w:rStyle w:val="18"/>
          <w:rFonts w:hint="eastAsia" w:ascii="仿宋" w:hAnsi="仿宋" w:eastAsia="仿宋"/>
          <w:b w:val="0"/>
          <w:bCs/>
          <w:sz w:val="32"/>
          <w:szCs w:val="32"/>
        </w:rPr>
        <w:t>万元，完成预算100</w:t>
      </w:r>
      <w:r>
        <w:rPr>
          <w:rStyle w:val="18"/>
          <w:rFonts w:ascii="仿宋" w:hAnsi="仿宋" w:eastAsia="仿宋"/>
          <w:b w:val="0"/>
          <w:bCs/>
          <w:sz w:val="32"/>
          <w:szCs w:val="32"/>
        </w:rPr>
        <w:t>%</w:t>
      </w:r>
      <w:r>
        <w:rPr>
          <w:rStyle w:val="18"/>
          <w:rFonts w:hint="eastAsia" w:ascii="仿宋" w:hAnsi="仿宋" w:eastAsia="仿宋"/>
          <w:b w:val="0"/>
          <w:bCs/>
          <w:sz w:val="32"/>
          <w:szCs w:val="32"/>
        </w:rPr>
        <w:t>，</w:t>
      </w:r>
      <w:bookmarkStart w:id="51" w:name="OLE_LINK8"/>
      <w:r>
        <w:rPr>
          <w:rStyle w:val="18"/>
          <w:rFonts w:hint="eastAsia" w:ascii="仿宋" w:hAnsi="仿宋" w:eastAsia="仿宋"/>
          <w:b w:val="0"/>
          <w:bCs/>
          <w:sz w:val="32"/>
          <w:szCs w:val="32"/>
        </w:rPr>
        <w:t>决算数等于预算数的主要原因是合理规划年初预算并严格执行</w:t>
      </w:r>
      <w:r>
        <w:rPr>
          <w:rStyle w:val="18"/>
          <w:rFonts w:hint="eastAsia" w:ascii="仿宋" w:hAnsi="仿宋" w:eastAsia="仿宋"/>
          <w:b w:val="0"/>
          <w:bCs/>
          <w:sz w:val="32"/>
          <w:szCs w:val="32"/>
          <w:lang w:eastAsia="zh-CN"/>
        </w:rPr>
        <w:t>。</w:t>
      </w:r>
      <w:bookmarkEnd w:id="50"/>
      <w:bookmarkEnd w:id="51"/>
      <w:bookmarkStart w:id="52" w:name="OLE_LINK15"/>
    </w:p>
    <w:p>
      <w:pPr>
        <w:spacing w:line="600" w:lineRule="exact"/>
        <w:ind w:firstLine="643" w:firstLineChars="200"/>
        <w:rPr>
          <w:rStyle w:val="18"/>
          <w:rFonts w:hint="eastAsia" w:ascii="仿宋" w:hAnsi="仿宋" w:eastAsia="仿宋"/>
          <w:b w:val="0"/>
          <w:bCs/>
          <w:sz w:val="32"/>
          <w:szCs w:val="32"/>
          <w:lang w:eastAsia="zh-CN"/>
        </w:rPr>
      </w:pPr>
      <w:r>
        <w:rPr>
          <w:rStyle w:val="18"/>
          <w:rFonts w:hint="eastAsia" w:ascii="仿宋" w:hAnsi="仿宋" w:eastAsia="仿宋"/>
          <w:bCs/>
          <w:sz w:val="32"/>
          <w:szCs w:val="32"/>
          <w:lang w:val="en-US" w:eastAsia="zh-CN"/>
        </w:rPr>
        <w:t>10.</w:t>
      </w:r>
      <w:r>
        <w:rPr>
          <w:rFonts w:hint="eastAsia" w:ascii="仿宋" w:hAnsi="仿宋" w:eastAsia="仿宋"/>
          <w:b/>
          <w:bCs/>
          <w:sz w:val="32"/>
          <w:szCs w:val="32"/>
        </w:rPr>
        <w:t>卫生健康</w:t>
      </w:r>
      <w:r>
        <w:rPr>
          <w:rStyle w:val="18"/>
          <w:rFonts w:hint="eastAsia" w:ascii="仿宋" w:hAnsi="仿宋" w:eastAsia="仿宋"/>
          <w:bCs/>
          <w:sz w:val="32"/>
          <w:szCs w:val="32"/>
        </w:rPr>
        <w:t>（类）行政事业单位医疗（款）</w:t>
      </w:r>
      <w:bookmarkEnd w:id="52"/>
      <w:r>
        <w:rPr>
          <w:rStyle w:val="18"/>
          <w:rFonts w:hint="eastAsia" w:ascii="仿宋" w:hAnsi="仿宋" w:eastAsia="仿宋"/>
          <w:bCs/>
          <w:sz w:val="32"/>
          <w:szCs w:val="32"/>
        </w:rPr>
        <w:t>行政单位医疗（项）</w:t>
      </w:r>
      <w:r>
        <w:rPr>
          <w:rStyle w:val="18"/>
          <w:rFonts w:ascii="仿宋" w:hAnsi="仿宋" w:eastAsia="仿宋"/>
          <w:bCs/>
          <w:sz w:val="32"/>
          <w:szCs w:val="32"/>
        </w:rPr>
        <w:t>:</w:t>
      </w:r>
      <w:r>
        <w:rPr>
          <w:rStyle w:val="18"/>
          <w:rFonts w:hint="eastAsia" w:ascii="仿宋" w:hAnsi="仿宋" w:eastAsia="仿宋"/>
          <w:b w:val="0"/>
          <w:bCs/>
          <w:sz w:val="32"/>
          <w:szCs w:val="32"/>
        </w:rPr>
        <w:t>支出决算为</w:t>
      </w:r>
      <w:r>
        <w:rPr>
          <w:rStyle w:val="18"/>
          <w:rFonts w:hint="eastAsia" w:ascii="仿宋" w:hAnsi="仿宋" w:eastAsia="仿宋"/>
          <w:b w:val="0"/>
          <w:bCs/>
          <w:sz w:val="32"/>
          <w:szCs w:val="32"/>
          <w:lang w:val="en-US" w:eastAsia="zh-CN"/>
        </w:rPr>
        <w:t>3.29</w:t>
      </w:r>
      <w:r>
        <w:rPr>
          <w:rStyle w:val="18"/>
          <w:rFonts w:hint="eastAsia" w:ascii="仿宋" w:hAnsi="仿宋" w:eastAsia="仿宋"/>
          <w:b w:val="0"/>
          <w:bCs/>
          <w:sz w:val="32"/>
          <w:szCs w:val="32"/>
        </w:rPr>
        <w:t>万元，完成预算100</w:t>
      </w:r>
      <w:r>
        <w:rPr>
          <w:rStyle w:val="18"/>
          <w:rFonts w:ascii="仿宋" w:hAnsi="仿宋" w:eastAsia="仿宋"/>
          <w:b w:val="0"/>
          <w:bCs/>
          <w:sz w:val="32"/>
          <w:szCs w:val="32"/>
        </w:rPr>
        <w:t>%</w:t>
      </w:r>
      <w:r>
        <w:rPr>
          <w:rStyle w:val="18"/>
          <w:rFonts w:hint="eastAsia" w:ascii="仿宋" w:hAnsi="仿宋" w:eastAsia="仿宋"/>
          <w:b w:val="0"/>
          <w:bCs/>
          <w:sz w:val="32"/>
          <w:szCs w:val="32"/>
        </w:rPr>
        <w:t>，决算数等于预算数的主要原因是合理规划年初预算并严格执行</w:t>
      </w:r>
      <w:bookmarkStart w:id="53" w:name="OLE_LINK9"/>
      <w:r>
        <w:rPr>
          <w:rStyle w:val="18"/>
          <w:rFonts w:hint="eastAsia" w:ascii="仿宋" w:hAnsi="仿宋" w:eastAsia="仿宋"/>
          <w:b w:val="0"/>
          <w:bCs/>
          <w:sz w:val="32"/>
          <w:szCs w:val="32"/>
          <w:lang w:eastAsia="zh-CN"/>
        </w:rPr>
        <w:t>。</w:t>
      </w:r>
    </w:p>
    <w:p>
      <w:pPr>
        <w:pStyle w:val="2"/>
        <w:widowControl w:val="0"/>
        <w:numPr>
          <w:ilvl w:val="0"/>
          <w:numId w:val="0"/>
        </w:numPr>
        <w:spacing w:before="240" w:after="60"/>
        <w:ind w:firstLine="643" w:firstLineChars="200"/>
        <w:jc w:val="left"/>
        <w:outlineLvl w:val="0"/>
        <w:rPr>
          <w:rStyle w:val="18"/>
          <w:rFonts w:hint="eastAsia" w:ascii="仿宋" w:hAnsi="仿宋" w:eastAsia="仿宋"/>
          <w:bCs/>
          <w:sz w:val="32"/>
          <w:szCs w:val="32"/>
          <w:lang w:eastAsia="zh-CN"/>
        </w:rPr>
      </w:pPr>
      <w:r>
        <w:rPr>
          <w:rFonts w:hint="eastAsia" w:ascii="仿宋" w:hAnsi="仿宋" w:eastAsia="仿宋"/>
          <w:b/>
          <w:bCs/>
          <w:sz w:val="32"/>
          <w:szCs w:val="32"/>
          <w:lang w:val="en-US" w:eastAsia="zh-CN"/>
        </w:rPr>
        <w:t>11.</w:t>
      </w:r>
      <w:r>
        <w:rPr>
          <w:rFonts w:hint="eastAsia" w:ascii="仿宋" w:hAnsi="仿宋" w:eastAsia="仿宋"/>
          <w:b/>
          <w:bCs/>
          <w:sz w:val="32"/>
          <w:szCs w:val="32"/>
        </w:rPr>
        <w:t>卫生健康</w:t>
      </w:r>
      <w:r>
        <w:rPr>
          <w:rStyle w:val="18"/>
          <w:rFonts w:hint="eastAsia" w:ascii="仿宋" w:hAnsi="仿宋" w:eastAsia="仿宋"/>
          <w:bCs/>
          <w:sz w:val="32"/>
          <w:szCs w:val="32"/>
        </w:rPr>
        <w:t>（类）行政事业单位医疗（款）事业单位医疗（项）</w:t>
      </w:r>
      <w:r>
        <w:rPr>
          <w:rStyle w:val="18"/>
          <w:rFonts w:ascii="仿宋" w:hAnsi="仿宋" w:eastAsia="仿宋"/>
          <w:bCs/>
          <w:sz w:val="32"/>
          <w:szCs w:val="32"/>
        </w:rPr>
        <w:t>:</w:t>
      </w:r>
      <w:r>
        <w:rPr>
          <w:rStyle w:val="18"/>
          <w:rFonts w:hint="eastAsia" w:ascii="仿宋" w:hAnsi="仿宋" w:eastAsia="仿宋"/>
          <w:b w:val="0"/>
          <w:bCs/>
          <w:sz w:val="32"/>
          <w:szCs w:val="32"/>
        </w:rPr>
        <w:t>支出决算为</w:t>
      </w:r>
      <w:r>
        <w:rPr>
          <w:rStyle w:val="18"/>
          <w:rFonts w:hint="eastAsia" w:ascii="仿宋" w:hAnsi="仿宋" w:eastAsia="仿宋"/>
          <w:b w:val="0"/>
          <w:bCs/>
          <w:sz w:val="32"/>
          <w:szCs w:val="32"/>
          <w:lang w:val="en-US" w:eastAsia="zh-CN"/>
        </w:rPr>
        <w:t>1.95</w:t>
      </w:r>
      <w:r>
        <w:rPr>
          <w:rStyle w:val="18"/>
          <w:rFonts w:hint="eastAsia" w:ascii="仿宋" w:hAnsi="仿宋" w:eastAsia="仿宋"/>
          <w:b w:val="0"/>
          <w:bCs/>
          <w:sz w:val="32"/>
          <w:szCs w:val="32"/>
        </w:rPr>
        <w:t>万元，完成预算100</w:t>
      </w:r>
      <w:r>
        <w:rPr>
          <w:rStyle w:val="18"/>
          <w:rFonts w:ascii="仿宋" w:hAnsi="仿宋" w:eastAsia="仿宋"/>
          <w:b w:val="0"/>
          <w:bCs/>
          <w:sz w:val="32"/>
          <w:szCs w:val="32"/>
        </w:rPr>
        <w:t>%</w:t>
      </w:r>
      <w:r>
        <w:rPr>
          <w:rStyle w:val="18"/>
          <w:rFonts w:hint="eastAsia" w:ascii="仿宋" w:hAnsi="仿宋" w:eastAsia="仿宋"/>
          <w:b w:val="0"/>
          <w:bCs/>
          <w:sz w:val="32"/>
          <w:szCs w:val="32"/>
        </w:rPr>
        <w:t>，决算数等于预算数的主要原因是合理规划年初预算并严格执行</w:t>
      </w:r>
      <w:r>
        <w:rPr>
          <w:rStyle w:val="18"/>
          <w:rFonts w:hint="eastAsia" w:ascii="仿宋" w:hAnsi="仿宋" w:eastAsia="仿宋"/>
          <w:b w:val="0"/>
          <w:bCs/>
          <w:sz w:val="32"/>
          <w:szCs w:val="32"/>
          <w:lang w:eastAsia="zh-CN"/>
        </w:rPr>
        <w:t>。</w:t>
      </w:r>
    </w:p>
    <w:p>
      <w:pPr>
        <w:ind w:firstLine="643" w:firstLineChars="200"/>
        <w:rPr>
          <w:rFonts w:hint="eastAsia"/>
          <w:lang w:eastAsia="zh-CN"/>
        </w:rPr>
      </w:pPr>
      <w:r>
        <w:rPr>
          <w:rFonts w:hint="eastAsia" w:ascii="仿宋" w:hAnsi="仿宋" w:eastAsia="仿宋"/>
          <w:b/>
          <w:bCs/>
          <w:sz w:val="32"/>
          <w:szCs w:val="32"/>
          <w:lang w:val="en-US" w:eastAsia="zh-CN"/>
        </w:rPr>
        <w:t>12.</w:t>
      </w:r>
      <w:r>
        <w:rPr>
          <w:rFonts w:hint="eastAsia" w:ascii="仿宋" w:hAnsi="仿宋" w:eastAsia="仿宋"/>
          <w:b/>
          <w:bCs/>
          <w:sz w:val="32"/>
          <w:szCs w:val="32"/>
        </w:rPr>
        <w:t>卫生健康</w:t>
      </w:r>
      <w:r>
        <w:rPr>
          <w:rStyle w:val="18"/>
          <w:rFonts w:hint="eastAsia" w:ascii="仿宋" w:hAnsi="仿宋" w:eastAsia="仿宋"/>
          <w:bCs/>
          <w:sz w:val="32"/>
          <w:szCs w:val="32"/>
        </w:rPr>
        <w:t>（类）行政事业单位医疗（款）事业单位医疗（项）</w:t>
      </w:r>
      <w:r>
        <w:rPr>
          <w:rStyle w:val="18"/>
          <w:rFonts w:ascii="仿宋" w:hAnsi="仿宋" w:eastAsia="仿宋"/>
          <w:bCs/>
          <w:sz w:val="32"/>
          <w:szCs w:val="32"/>
        </w:rPr>
        <w:t>:</w:t>
      </w:r>
      <w:r>
        <w:rPr>
          <w:rStyle w:val="18"/>
          <w:rFonts w:hint="eastAsia" w:ascii="仿宋" w:hAnsi="仿宋" w:eastAsia="仿宋"/>
          <w:b w:val="0"/>
          <w:bCs/>
          <w:sz w:val="32"/>
          <w:szCs w:val="32"/>
        </w:rPr>
        <w:t>支出决算为</w:t>
      </w:r>
      <w:r>
        <w:rPr>
          <w:rStyle w:val="18"/>
          <w:rFonts w:hint="eastAsia" w:ascii="仿宋" w:hAnsi="仿宋" w:eastAsia="仿宋"/>
          <w:b w:val="0"/>
          <w:bCs/>
          <w:sz w:val="32"/>
          <w:szCs w:val="32"/>
          <w:lang w:val="en-US" w:eastAsia="zh-CN"/>
        </w:rPr>
        <w:t>1.95</w:t>
      </w:r>
      <w:r>
        <w:rPr>
          <w:rStyle w:val="18"/>
          <w:rFonts w:hint="eastAsia" w:ascii="仿宋" w:hAnsi="仿宋" w:eastAsia="仿宋"/>
          <w:b w:val="0"/>
          <w:bCs/>
          <w:sz w:val="32"/>
          <w:szCs w:val="32"/>
        </w:rPr>
        <w:t>万元，完成预算100</w:t>
      </w:r>
      <w:r>
        <w:rPr>
          <w:rStyle w:val="18"/>
          <w:rFonts w:ascii="仿宋" w:hAnsi="仿宋" w:eastAsia="仿宋"/>
          <w:b w:val="0"/>
          <w:bCs/>
          <w:sz w:val="32"/>
          <w:szCs w:val="32"/>
        </w:rPr>
        <w:t>%</w:t>
      </w:r>
      <w:r>
        <w:rPr>
          <w:rStyle w:val="18"/>
          <w:rFonts w:hint="eastAsia" w:ascii="仿宋" w:hAnsi="仿宋" w:eastAsia="仿宋"/>
          <w:b w:val="0"/>
          <w:bCs/>
          <w:sz w:val="32"/>
          <w:szCs w:val="32"/>
        </w:rPr>
        <w:t>，决算数等于预算数的主要原因是合理规划年初预算并严格执行</w:t>
      </w:r>
      <w:r>
        <w:rPr>
          <w:rStyle w:val="18"/>
          <w:rFonts w:hint="eastAsia" w:ascii="仿宋" w:hAnsi="仿宋" w:eastAsia="仿宋"/>
          <w:b w:val="0"/>
          <w:bCs/>
          <w:sz w:val="32"/>
          <w:szCs w:val="32"/>
          <w:lang w:eastAsia="zh-CN"/>
        </w:rPr>
        <w:t>。</w:t>
      </w:r>
    </w:p>
    <w:bookmarkEnd w:id="53"/>
    <w:p>
      <w:pPr>
        <w:shd w:val="clear"/>
        <w:spacing w:line="600" w:lineRule="exact"/>
        <w:ind w:firstLine="643" w:firstLineChars="200"/>
        <w:rPr>
          <w:rFonts w:hint="default" w:ascii="仿宋" w:hAnsi="仿宋" w:eastAsia="仿宋"/>
          <w:b/>
          <w:bCs/>
          <w:sz w:val="32"/>
          <w:szCs w:val="32"/>
          <w:lang w:val="en-US" w:eastAsia="zh-CN"/>
        </w:rPr>
      </w:pPr>
      <w:r>
        <w:rPr>
          <w:rFonts w:hint="eastAsia" w:ascii="仿宋" w:hAnsi="仿宋" w:eastAsia="仿宋"/>
          <w:b/>
          <w:bCs/>
          <w:sz w:val="32"/>
          <w:szCs w:val="32"/>
          <w:lang w:val="en-US" w:eastAsia="zh-CN"/>
        </w:rPr>
        <w:t>13.</w:t>
      </w:r>
      <w:r>
        <w:rPr>
          <w:rFonts w:hint="eastAsia" w:ascii="仿宋_GB2312" w:hAnsi="Times New Roman" w:eastAsia="仿宋_GB2312" w:cs="仿宋_GB2312"/>
          <w:b/>
          <w:bCs/>
          <w:i w:val="0"/>
          <w:iCs w:val="0"/>
          <w:caps w:val="0"/>
          <w:color w:val="000000"/>
          <w:spacing w:val="0"/>
          <w:sz w:val="32"/>
          <w:szCs w:val="32"/>
          <w:shd w:val="clear" w:fill="FFFFFF"/>
        </w:rPr>
        <w:t>农林水支出（类）</w:t>
      </w:r>
      <w:r>
        <w:rPr>
          <w:rFonts w:hint="eastAsia" w:ascii="仿宋_GB2312" w:eastAsia="仿宋_GB2312" w:cs="仿宋_GB2312"/>
          <w:b/>
          <w:bCs/>
          <w:i w:val="0"/>
          <w:iCs w:val="0"/>
          <w:caps w:val="0"/>
          <w:color w:val="000000"/>
          <w:spacing w:val="0"/>
          <w:sz w:val="32"/>
          <w:szCs w:val="32"/>
          <w:shd w:val="clear" w:fill="FFFFFF"/>
          <w:lang w:val="en-US" w:eastAsia="zh-CN"/>
        </w:rPr>
        <w:t>巩固拓展脱贫</w:t>
      </w:r>
      <w:bookmarkStart w:id="54" w:name="OLE_LINK10"/>
      <w:r>
        <w:rPr>
          <w:rFonts w:hint="eastAsia" w:ascii="仿宋_GB2312" w:eastAsia="仿宋_GB2312" w:cs="仿宋_GB2312"/>
          <w:b/>
          <w:bCs/>
          <w:i w:val="0"/>
          <w:iCs w:val="0"/>
          <w:caps w:val="0"/>
          <w:color w:val="000000"/>
          <w:spacing w:val="0"/>
          <w:sz w:val="32"/>
          <w:szCs w:val="32"/>
          <w:shd w:val="clear" w:fill="FFFFFF"/>
          <w:lang w:val="en-US" w:eastAsia="zh-CN"/>
        </w:rPr>
        <w:t>攻坚成果衔接乡村振兴</w:t>
      </w:r>
      <w:bookmarkEnd w:id="54"/>
      <w:r>
        <w:rPr>
          <w:rFonts w:hint="eastAsia" w:ascii="仿宋_GB2312" w:hAnsi="Times New Roman" w:eastAsia="仿宋_GB2312" w:cs="仿宋_GB2312"/>
          <w:b/>
          <w:bCs/>
          <w:i w:val="0"/>
          <w:iCs w:val="0"/>
          <w:caps w:val="0"/>
          <w:color w:val="000000"/>
          <w:spacing w:val="0"/>
          <w:sz w:val="32"/>
          <w:szCs w:val="32"/>
          <w:shd w:val="clear" w:fill="FFFFFF"/>
        </w:rPr>
        <w:t>（款）其它</w:t>
      </w:r>
      <w:r>
        <w:rPr>
          <w:rFonts w:hint="eastAsia" w:ascii="仿宋_GB2312" w:eastAsia="仿宋_GB2312" w:cs="仿宋_GB2312"/>
          <w:b/>
          <w:bCs/>
          <w:i w:val="0"/>
          <w:iCs w:val="0"/>
          <w:caps w:val="0"/>
          <w:color w:val="000000"/>
          <w:spacing w:val="0"/>
          <w:sz w:val="32"/>
          <w:szCs w:val="32"/>
          <w:shd w:val="clear" w:fill="FFFFFF"/>
          <w:lang w:val="en-US" w:eastAsia="zh-CN"/>
        </w:rPr>
        <w:t>巩固拓展脱贫攻坚成果衔接乡村振兴支出</w:t>
      </w:r>
      <w:r>
        <w:rPr>
          <w:rFonts w:hint="eastAsia" w:ascii="仿宋_GB2312" w:hAnsi="Times New Roman" w:eastAsia="仿宋_GB2312" w:cs="仿宋_GB2312"/>
          <w:b/>
          <w:bCs/>
          <w:i w:val="0"/>
          <w:iCs w:val="0"/>
          <w:caps w:val="0"/>
          <w:color w:val="000000"/>
          <w:spacing w:val="0"/>
          <w:sz w:val="32"/>
          <w:szCs w:val="32"/>
          <w:shd w:val="clear" w:fill="FFFFFF"/>
        </w:rPr>
        <w:t>（项）:</w:t>
      </w:r>
      <w:r>
        <w:rPr>
          <w:rFonts w:hint="eastAsia" w:ascii="仿宋_GB2312" w:hAnsi="Times New Roman" w:eastAsia="仿宋_GB2312" w:cs="仿宋_GB2312"/>
          <w:b w:val="0"/>
          <w:bCs w:val="0"/>
          <w:i w:val="0"/>
          <w:iCs w:val="0"/>
          <w:caps w:val="0"/>
          <w:color w:val="000000"/>
          <w:spacing w:val="0"/>
          <w:sz w:val="32"/>
          <w:szCs w:val="32"/>
          <w:shd w:val="clear" w:fill="FFFFFF"/>
        </w:rPr>
        <w:t>支出决算为</w:t>
      </w:r>
      <w:r>
        <w:rPr>
          <w:rFonts w:hint="eastAsia" w:ascii="仿宋_GB2312" w:eastAsia="仿宋_GB2312" w:cs="仿宋_GB2312"/>
          <w:b w:val="0"/>
          <w:bCs w:val="0"/>
          <w:i w:val="0"/>
          <w:iCs w:val="0"/>
          <w:caps w:val="0"/>
          <w:color w:val="000000"/>
          <w:spacing w:val="0"/>
          <w:sz w:val="32"/>
          <w:szCs w:val="32"/>
          <w:shd w:val="clear" w:fill="FFFFFF"/>
          <w:lang w:val="en-US" w:eastAsia="zh-CN"/>
        </w:rPr>
        <w:t>1</w:t>
      </w:r>
      <w:r>
        <w:rPr>
          <w:rFonts w:hint="eastAsia" w:ascii="仿宋_GB2312" w:hAnsi="Times New Roman" w:eastAsia="仿宋_GB2312" w:cs="仿宋_GB2312"/>
          <w:b w:val="0"/>
          <w:bCs w:val="0"/>
          <w:i w:val="0"/>
          <w:iCs w:val="0"/>
          <w:caps w:val="0"/>
          <w:color w:val="000000"/>
          <w:spacing w:val="0"/>
          <w:sz w:val="32"/>
          <w:szCs w:val="32"/>
          <w:shd w:val="clear" w:fill="FFFFFF"/>
        </w:rPr>
        <w:t>万元，完成预算100%</w:t>
      </w:r>
      <w:r>
        <w:rPr>
          <w:rFonts w:hint="eastAsia" w:ascii="仿宋_GB2312" w:eastAsia="仿宋_GB2312" w:cs="仿宋_GB2312"/>
          <w:b w:val="0"/>
          <w:bCs w:val="0"/>
          <w:i w:val="0"/>
          <w:iCs w:val="0"/>
          <w:caps w:val="0"/>
          <w:color w:val="000000"/>
          <w:spacing w:val="0"/>
          <w:sz w:val="32"/>
          <w:szCs w:val="32"/>
          <w:shd w:val="clear" w:fill="FFFFFF"/>
          <w:lang w:eastAsia="zh-CN"/>
        </w:rPr>
        <w:t>，</w:t>
      </w:r>
      <w:r>
        <w:rPr>
          <w:rStyle w:val="18"/>
          <w:rFonts w:hint="eastAsia" w:ascii="仿宋" w:hAnsi="仿宋" w:eastAsia="仿宋"/>
          <w:b w:val="0"/>
          <w:bCs/>
          <w:sz w:val="32"/>
          <w:szCs w:val="32"/>
        </w:rPr>
        <w:t>决算数等于预算数的主要原因是合理规划年初预算并严格执行</w:t>
      </w:r>
      <w:r>
        <w:rPr>
          <w:rStyle w:val="18"/>
          <w:rFonts w:hint="eastAsia" w:ascii="仿宋" w:hAnsi="仿宋" w:eastAsia="仿宋"/>
          <w:b w:val="0"/>
          <w:bCs/>
          <w:sz w:val="32"/>
          <w:szCs w:val="32"/>
          <w:lang w:eastAsia="zh-CN"/>
        </w:rPr>
        <w:t>。</w:t>
      </w:r>
    </w:p>
    <w:p>
      <w:pPr>
        <w:spacing w:line="600" w:lineRule="exact"/>
        <w:ind w:firstLine="643" w:firstLineChars="200"/>
        <w:rPr>
          <w:rFonts w:ascii="仿宋" w:hAnsi="仿宋" w:eastAsia="仿宋"/>
          <w:sz w:val="32"/>
          <w:szCs w:val="32"/>
        </w:rPr>
      </w:pPr>
      <w:r>
        <w:rPr>
          <w:rFonts w:hint="eastAsia" w:ascii="仿宋" w:hAnsi="仿宋" w:eastAsia="仿宋"/>
          <w:b/>
          <w:bCs/>
          <w:sz w:val="32"/>
          <w:szCs w:val="32"/>
          <w:lang w:val="en-US" w:eastAsia="zh-CN"/>
        </w:rPr>
        <w:t>14.</w:t>
      </w:r>
      <w:r>
        <w:rPr>
          <w:rFonts w:hint="eastAsia" w:ascii="仿宋" w:hAnsi="仿宋" w:eastAsia="仿宋"/>
          <w:b/>
          <w:bCs/>
          <w:sz w:val="32"/>
          <w:szCs w:val="32"/>
        </w:rPr>
        <w:t>住房保障支出</w:t>
      </w:r>
      <w:r>
        <w:rPr>
          <w:rStyle w:val="18"/>
          <w:rFonts w:hint="eastAsia" w:ascii="仿宋" w:hAnsi="仿宋" w:eastAsia="仿宋"/>
          <w:bCs/>
          <w:sz w:val="32"/>
          <w:szCs w:val="32"/>
        </w:rPr>
        <w:t>（类）住房改革支出（款）住房公积金（项）</w:t>
      </w:r>
      <w:r>
        <w:rPr>
          <w:rStyle w:val="18"/>
          <w:rFonts w:ascii="仿宋" w:hAnsi="仿宋" w:eastAsia="仿宋"/>
          <w:bCs/>
          <w:sz w:val="32"/>
          <w:szCs w:val="32"/>
        </w:rPr>
        <w:t>:</w:t>
      </w:r>
      <w:r>
        <w:rPr>
          <w:rStyle w:val="18"/>
          <w:rFonts w:hint="eastAsia" w:ascii="仿宋" w:hAnsi="仿宋" w:eastAsia="仿宋"/>
          <w:b w:val="0"/>
          <w:bCs/>
          <w:sz w:val="32"/>
          <w:szCs w:val="32"/>
        </w:rPr>
        <w:t>支出决算为</w:t>
      </w:r>
      <w:r>
        <w:rPr>
          <w:rStyle w:val="18"/>
          <w:rFonts w:hint="eastAsia" w:ascii="仿宋" w:hAnsi="仿宋" w:eastAsia="仿宋"/>
          <w:b w:val="0"/>
          <w:bCs/>
          <w:sz w:val="32"/>
          <w:szCs w:val="32"/>
          <w:lang w:val="en-US" w:eastAsia="zh-CN"/>
        </w:rPr>
        <w:t>16.47</w:t>
      </w:r>
      <w:r>
        <w:rPr>
          <w:rStyle w:val="18"/>
          <w:rFonts w:hint="eastAsia" w:ascii="仿宋" w:hAnsi="仿宋" w:eastAsia="仿宋"/>
          <w:b w:val="0"/>
          <w:bCs/>
          <w:sz w:val="32"/>
          <w:szCs w:val="32"/>
        </w:rPr>
        <w:t>万元，完成预算100</w:t>
      </w:r>
      <w:r>
        <w:rPr>
          <w:rStyle w:val="18"/>
          <w:rFonts w:ascii="仿宋" w:hAnsi="仿宋" w:eastAsia="仿宋"/>
          <w:b w:val="0"/>
          <w:bCs/>
          <w:sz w:val="32"/>
          <w:szCs w:val="32"/>
        </w:rPr>
        <w:t>%</w:t>
      </w:r>
      <w:r>
        <w:rPr>
          <w:rStyle w:val="18"/>
          <w:rFonts w:hint="eastAsia" w:ascii="仿宋" w:hAnsi="仿宋" w:eastAsia="仿宋"/>
          <w:b w:val="0"/>
          <w:bCs/>
          <w:sz w:val="32"/>
          <w:szCs w:val="32"/>
        </w:rPr>
        <w:t>，决算数等于预算数的主要原因是</w:t>
      </w:r>
      <w:bookmarkStart w:id="55" w:name="OLE_LINK12"/>
      <w:r>
        <w:rPr>
          <w:rStyle w:val="18"/>
          <w:rFonts w:hint="eastAsia" w:ascii="仿宋" w:hAnsi="仿宋" w:eastAsia="仿宋"/>
          <w:b w:val="0"/>
          <w:bCs/>
          <w:sz w:val="32"/>
          <w:szCs w:val="32"/>
        </w:rPr>
        <w:t>合理规划年初预算并严格执行</w:t>
      </w:r>
      <w:bookmarkEnd w:id="55"/>
      <w:r>
        <w:rPr>
          <w:rStyle w:val="18"/>
          <w:rFonts w:hint="eastAsia" w:ascii="仿宋" w:hAnsi="仿宋" w:eastAsia="仿宋"/>
          <w:b w:val="0"/>
          <w:bCs/>
          <w:sz w:val="32"/>
          <w:szCs w:val="32"/>
          <w:lang w:eastAsia="zh-CN"/>
        </w:rPr>
        <w:t>。</w:t>
      </w:r>
    </w:p>
    <w:p>
      <w:pPr>
        <w:spacing w:line="600" w:lineRule="exact"/>
        <w:ind w:firstLine="643" w:firstLineChars="200"/>
        <w:rPr>
          <w:rFonts w:ascii="仿宋" w:hAnsi="仿宋" w:eastAsia="仿宋"/>
          <w:b/>
          <w:sz w:val="32"/>
          <w:szCs w:val="32"/>
        </w:rPr>
      </w:pPr>
      <w:r>
        <w:rPr>
          <w:rFonts w:hint="eastAsia" w:ascii="仿宋" w:hAnsi="仿宋" w:eastAsia="仿宋"/>
          <w:b/>
          <w:sz w:val="32"/>
          <w:szCs w:val="32"/>
        </w:rPr>
        <w:t>（注：数据来源于财决</w:t>
      </w:r>
      <w:r>
        <w:rPr>
          <w:rFonts w:ascii="仿宋" w:hAnsi="仿宋" w:eastAsia="仿宋"/>
          <w:b/>
          <w:sz w:val="32"/>
          <w:szCs w:val="32"/>
        </w:rPr>
        <w:t>0</w:t>
      </w:r>
      <w:r>
        <w:rPr>
          <w:rFonts w:hint="eastAsia" w:ascii="仿宋" w:hAnsi="仿宋" w:eastAsia="仿宋"/>
          <w:b/>
          <w:sz w:val="32"/>
          <w:szCs w:val="32"/>
        </w:rPr>
        <w:t>1-1表和财决08表，仅罗列本单位涉及的全部功能分类科目，至项级。上</w:t>
      </w:r>
      <w:bookmarkStart w:id="94" w:name="_GoBack"/>
      <w:bookmarkEnd w:id="94"/>
      <w:r>
        <w:rPr>
          <w:rFonts w:hint="eastAsia" w:ascii="仿宋" w:hAnsi="仿宋" w:eastAsia="仿宋"/>
          <w:b/>
          <w:sz w:val="32"/>
          <w:szCs w:val="32"/>
        </w:rPr>
        <w:t>述“预算”口径为全年预算数。增减变动原因为决算数</w:t>
      </w:r>
      <w:r>
        <w:rPr>
          <w:rFonts w:ascii="仿宋" w:hAnsi="仿宋" w:eastAsia="仿宋"/>
          <w:b/>
          <w:sz w:val="32"/>
          <w:szCs w:val="32"/>
        </w:rPr>
        <w:t>&lt;</w:t>
      </w:r>
      <w:r>
        <w:rPr>
          <w:rFonts w:hint="eastAsia" w:ascii="仿宋" w:hAnsi="仿宋" w:eastAsia="仿宋"/>
          <w:b/>
          <w:sz w:val="32"/>
          <w:szCs w:val="32"/>
        </w:rPr>
        <w:t>项级</w:t>
      </w:r>
      <w:r>
        <w:rPr>
          <w:rFonts w:ascii="仿宋" w:hAnsi="仿宋" w:eastAsia="仿宋"/>
          <w:b/>
          <w:sz w:val="32"/>
          <w:szCs w:val="32"/>
        </w:rPr>
        <w:t>&gt;</w:t>
      </w:r>
      <w:r>
        <w:rPr>
          <w:rFonts w:hint="eastAsia" w:ascii="仿宋" w:hAnsi="仿宋" w:eastAsia="仿宋"/>
          <w:b/>
          <w:sz w:val="32"/>
          <w:szCs w:val="32"/>
        </w:rPr>
        <w:t>和全年预算数</w:t>
      </w:r>
      <w:r>
        <w:rPr>
          <w:rFonts w:ascii="仿宋" w:hAnsi="仿宋" w:eastAsia="仿宋"/>
          <w:b/>
          <w:sz w:val="32"/>
          <w:szCs w:val="32"/>
        </w:rPr>
        <w:t>&lt;</w:t>
      </w:r>
      <w:r>
        <w:rPr>
          <w:rFonts w:hint="eastAsia" w:ascii="仿宋" w:hAnsi="仿宋" w:eastAsia="仿宋"/>
          <w:b/>
          <w:sz w:val="32"/>
          <w:szCs w:val="32"/>
        </w:rPr>
        <w:t>项级</w:t>
      </w:r>
      <w:r>
        <w:rPr>
          <w:rFonts w:ascii="仿宋" w:hAnsi="仿宋" w:eastAsia="仿宋"/>
          <w:b/>
          <w:sz w:val="32"/>
          <w:szCs w:val="32"/>
        </w:rPr>
        <w:t>&gt;</w:t>
      </w:r>
      <w:r>
        <w:rPr>
          <w:rFonts w:hint="eastAsia" w:ascii="仿宋" w:hAnsi="仿宋" w:eastAsia="仿宋"/>
          <w:b/>
          <w:sz w:val="32"/>
          <w:szCs w:val="32"/>
        </w:rPr>
        <w:t>比较，与预算数持平可以不写原因。）</w:t>
      </w:r>
    </w:p>
    <w:bookmarkEnd w:id="38"/>
    <w:bookmarkEnd w:id="45"/>
    <w:p>
      <w:pPr>
        <w:tabs>
          <w:tab w:val="right" w:pos="8306"/>
        </w:tabs>
        <w:spacing w:line="600" w:lineRule="exact"/>
        <w:ind w:firstLine="640"/>
        <w:outlineLvl w:val="1"/>
        <w:rPr>
          <w:rStyle w:val="30"/>
        </w:rPr>
      </w:pPr>
      <w:bookmarkStart w:id="56" w:name="_Toc15377214"/>
      <w:bookmarkStart w:id="57" w:name="_Toc15396608"/>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30"/>
          <w:rFonts w:hint="eastAsia" w:ascii="黑体" w:hAnsi="黑体" w:eastAsia="黑体"/>
          <w:b w:val="0"/>
        </w:rPr>
        <w:t>般公共预算财政拨款基本支出决算情况说明</w:t>
      </w:r>
      <w:bookmarkEnd w:id="56"/>
      <w:bookmarkEnd w:id="57"/>
      <w:r>
        <w:rPr>
          <w:rStyle w:val="30"/>
          <w:rFonts w:ascii="黑体" w:hAnsi="黑体" w:eastAsia="黑体"/>
          <w:b w:val="0"/>
        </w:rPr>
        <w:tab/>
      </w:r>
    </w:p>
    <w:p>
      <w:pPr>
        <w:spacing w:line="600" w:lineRule="exact"/>
        <w:ind w:firstLine="645"/>
        <w:rPr>
          <w:rFonts w:ascii="仿宋" w:hAnsi="仿宋" w:eastAsia="仿宋"/>
          <w:sz w:val="32"/>
          <w:szCs w:val="32"/>
        </w:rPr>
      </w:pPr>
      <w:r>
        <w:rPr>
          <w:rFonts w:hint="eastAsia" w:ascii="仿宋" w:hAnsi="仿宋" w:eastAsia="仿宋"/>
          <w:sz w:val="32"/>
          <w:szCs w:val="32"/>
        </w:rPr>
        <w:t>2023年度一般公共预算财政拨款基本支出</w:t>
      </w:r>
      <w:r>
        <w:rPr>
          <w:rFonts w:ascii="仿宋" w:hAnsi="仿宋" w:eastAsia="仿宋"/>
          <w:b/>
          <w:sz w:val="32"/>
          <w:szCs w:val="32"/>
        </w:rPr>
        <w:t>227.08</w:t>
      </w:r>
      <w:r>
        <w:rPr>
          <w:rFonts w:hint="eastAsia" w:ascii="仿宋" w:hAnsi="仿宋" w:eastAsia="仿宋"/>
          <w:sz w:val="32"/>
          <w:szCs w:val="32"/>
        </w:rPr>
        <w:t>万元，其中：</w:t>
      </w:r>
    </w:p>
    <w:p>
      <w:pPr>
        <w:spacing w:line="600" w:lineRule="exact"/>
        <w:ind w:firstLine="645"/>
        <w:rPr>
          <w:rFonts w:hint="eastAsia" w:ascii="仿宋" w:hAnsi="仿宋" w:eastAsia="仿宋"/>
          <w:sz w:val="32"/>
          <w:szCs w:val="32"/>
          <w:lang w:eastAsia="zh-CN"/>
        </w:rPr>
      </w:pPr>
      <w:r>
        <w:rPr>
          <w:rFonts w:hint="eastAsia" w:ascii="仿宋" w:hAnsi="仿宋" w:eastAsia="仿宋"/>
          <w:sz w:val="32"/>
          <w:szCs w:val="32"/>
        </w:rPr>
        <w:t>人员经费</w:t>
      </w:r>
      <w:r>
        <w:rPr>
          <w:rFonts w:ascii="仿宋" w:hAnsi="仿宋" w:eastAsia="仿宋"/>
          <w:b/>
          <w:sz w:val="32"/>
          <w:szCs w:val="32"/>
        </w:rPr>
        <w:t>205.34</w:t>
      </w:r>
      <w:r>
        <w:rPr>
          <w:rFonts w:hint="eastAsia" w:ascii="仿宋" w:hAnsi="仿宋" w:eastAsia="仿宋"/>
          <w:sz w:val="32"/>
          <w:szCs w:val="32"/>
        </w:rPr>
        <w:t>万元，主要包括：基本工资、津贴补贴、奖金、伙食补助费、绩效工资、机关事业单位基本养老保险缴费、职业年金缴费、其他社会保障缴费、奖励金、住房公积金、其他对个人和家庭的补助支出等。</w:t>
      </w:r>
      <w:r>
        <w:rPr>
          <w:rFonts w:ascii="仿宋" w:hAnsi="仿宋" w:eastAsia="仿宋"/>
          <w:sz w:val="32"/>
          <w:szCs w:val="32"/>
        </w:rPr>
        <w:br w:type="textWrapping"/>
      </w:r>
      <w:r>
        <w:rPr>
          <w:rFonts w:hint="eastAsia" w:ascii="仿宋" w:hAnsi="仿宋" w:eastAsia="仿宋"/>
          <w:sz w:val="32"/>
          <w:szCs w:val="32"/>
        </w:rPr>
        <w:t>　　公用经费</w:t>
      </w:r>
      <w:r>
        <w:rPr>
          <w:rFonts w:ascii="仿宋" w:hAnsi="仿宋" w:eastAsia="仿宋"/>
          <w:b/>
          <w:sz w:val="32"/>
          <w:szCs w:val="32"/>
        </w:rPr>
        <w:t>21.75</w:t>
      </w:r>
      <w:r>
        <w:rPr>
          <w:rFonts w:hint="eastAsia" w:ascii="仿宋" w:hAnsi="仿宋" w:eastAsia="仿宋"/>
          <w:sz w:val="32"/>
          <w:szCs w:val="32"/>
        </w:rPr>
        <w:t>万元，主要包括：办公费、水费、电费、邮电费、差旅费、公务接待费、劳务费、工会经费、福利费、其他交通费、其他商品和服务支出</w:t>
      </w:r>
      <w:r>
        <w:rPr>
          <w:rFonts w:hint="eastAsia" w:ascii="仿宋" w:hAnsi="仿宋" w:eastAsia="仿宋"/>
          <w:sz w:val="32"/>
          <w:szCs w:val="32"/>
          <w:lang w:eastAsia="zh-CN"/>
        </w:rPr>
        <w:t>。</w:t>
      </w:r>
    </w:p>
    <w:p>
      <w:pPr>
        <w:spacing w:line="600" w:lineRule="exact"/>
        <w:ind w:firstLine="645"/>
        <w:rPr>
          <w:rFonts w:ascii="仿宋" w:hAnsi="仿宋" w:eastAsia="仿宋"/>
          <w:b/>
          <w:sz w:val="32"/>
          <w:szCs w:val="32"/>
        </w:rPr>
      </w:pPr>
      <w:r>
        <w:rPr>
          <w:rFonts w:hint="eastAsia" w:ascii="仿宋" w:hAnsi="仿宋" w:eastAsia="仿宋"/>
          <w:b/>
          <w:sz w:val="32"/>
          <w:szCs w:val="32"/>
        </w:rPr>
        <w:t>（注：数据来源于财决</w:t>
      </w:r>
      <w:r>
        <w:rPr>
          <w:rFonts w:ascii="仿宋" w:hAnsi="仿宋" w:eastAsia="仿宋"/>
          <w:b/>
          <w:sz w:val="32"/>
          <w:szCs w:val="32"/>
        </w:rPr>
        <w:t>0</w:t>
      </w:r>
      <w:r>
        <w:rPr>
          <w:rFonts w:hint="eastAsia" w:ascii="仿宋" w:hAnsi="仿宋" w:eastAsia="仿宋"/>
          <w:b/>
          <w:sz w:val="32"/>
          <w:szCs w:val="32"/>
        </w:rPr>
        <w:t>7表和财决08-1表，仅罗列本单位实际支出涉及的经济分类科目。）</w:t>
      </w:r>
    </w:p>
    <w:p>
      <w:pPr>
        <w:spacing w:line="600" w:lineRule="exact"/>
        <w:ind w:firstLine="640"/>
        <w:rPr>
          <w:rFonts w:ascii="仿宋" w:hAnsi="仿宋" w:eastAsia="仿宋"/>
          <w:b/>
          <w:sz w:val="32"/>
          <w:szCs w:val="32"/>
        </w:rPr>
      </w:pPr>
    </w:p>
    <w:p>
      <w:pPr>
        <w:spacing w:line="600" w:lineRule="exact"/>
        <w:ind w:firstLine="640"/>
        <w:outlineLvl w:val="1"/>
        <w:rPr>
          <w:rStyle w:val="30"/>
          <w:rFonts w:ascii="黑体" w:hAnsi="黑体" w:eastAsia="黑体"/>
          <w:b w:val="0"/>
        </w:rPr>
      </w:pPr>
      <w:bookmarkStart w:id="58" w:name="_Toc15396609"/>
      <w:bookmarkStart w:id="59" w:name="_Toc15377215"/>
      <w:r>
        <w:rPr>
          <w:rFonts w:hint="eastAsia" w:ascii="黑体" w:eastAsia="黑体"/>
          <w:sz w:val="32"/>
          <w:szCs w:val="32"/>
        </w:rPr>
        <w:t>七、</w:t>
      </w:r>
      <w:r>
        <w:rPr>
          <w:rStyle w:val="30"/>
          <w:rFonts w:hint="eastAsia" w:ascii="黑体" w:hAnsi="黑体" w:eastAsia="黑体"/>
          <w:b w:val="0"/>
        </w:rPr>
        <w:t>财政拨款</w:t>
      </w:r>
      <w:r>
        <w:rPr>
          <w:rStyle w:val="30"/>
          <w:rFonts w:hint="eastAsia" w:ascii="黑体" w:hAnsi="黑体" w:eastAsia="黑体"/>
        </w:rPr>
        <w:t>“</w:t>
      </w:r>
      <w:r>
        <w:rPr>
          <w:rStyle w:val="30"/>
          <w:rFonts w:hint="eastAsia" w:ascii="黑体" w:hAnsi="黑体" w:eastAsia="黑体"/>
          <w:b w:val="0"/>
        </w:rPr>
        <w:t>三公”经费支出决算情况说明</w:t>
      </w:r>
      <w:bookmarkEnd w:id="58"/>
      <w:bookmarkEnd w:id="59"/>
    </w:p>
    <w:p>
      <w:pPr>
        <w:spacing w:line="600" w:lineRule="exact"/>
        <w:ind w:firstLine="640"/>
        <w:outlineLvl w:val="2"/>
        <w:rPr>
          <w:rFonts w:ascii="仿宋" w:hAnsi="仿宋" w:eastAsia="仿宋"/>
          <w:b/>
          <w:sz w:val="32"/>
          <w:szCs w:val="32"/>
        </w:rPr>
      </w:pPr>
      <w:bookmarkStart w:id="60" w:name="_Toc15377216"/>
      <w:r>
        <w:rPr>
          <w:rFonts w:hint="eastAsia" w:ascii="仿宋" w:hAnsi="仿宋" w:eastAsia="仿宋"/>
          <w:b/>
          <w:sz w:val="32"/>
          <w:szCs w:val="32"/>
        </w:rPr>
        <w:t>（一）“三公”经费财政拨款支出决算总体情况说明</w:t>
      </w:r>
      <w:bookmarkEnd w:id="60"/>
    </w:p>
    <w:p>
      <w:pPr>
        <w:spacing w:line="600" w:lineRule="exact"/>
        <w:ind w:firstLine="640"/>
        <w:rPr>
          <w:rFonts w:ascii="仿宋" w:hAnsi="仿宋" w:eastAsia="仿宋"/>
          <w:sz w:val="32"/>
          <w:szCs w:val="32"/>
        </w:rPr>
      </w:pPr>
      <w:r>
        <w:rPr>
          <w:rFonts w:hint="eastAsia" w:ascii="仿宋" w:hAnsi="仿宋" w:eastAsia="仿宋"/>
          <w:sz w:val="32"/>
          <w:szCs w:val="32"/>
        </w:rPr>
        <w:t>2023年度“三公”经费财政拨款支出决算为</w:t>
      </w:r>
      <w:r>
        <w:rPr>
          <w:rFonts w:ascii="仿宋" w:hAnsi="仿宋" w:eastAsia="仿宋"/>
          <w:b/>
          <w:sz w:val="32"/>
          <w:szCs w:val="32"/>
        </w:rPr>
        <w:t>0.71</w:t>
      </w:r>
      <w:r>
        <w:rPr>
          <w:rFonts w:hint="eastAsia" w:ascii="仿宋" w:hAnsi="仿宋" w:eastAsia="仿宋"/>
          <w:sz w:val="32"/>
          <w:szCs w:val="32"/>
        </w:rPr>
        <w:t>万元，完成预算</w:t>
      </w:r>
      <w:r>
        <w:rPr>
          <w:rFonts w:ascii="仿宋" w:hAnsi="仿宋" w:eastAsia="仿宋"/>
          <w:b/>
          <w:sz w:val="32"/>
          <w:szCs w:val="32"/>
        </w:rPr>
        <w:t>100</w:t>
      </w:r>
      <w:r>
        <w:rPr>
          <w:rFonts w:ascii="仿宋" w:hAnsi="仿宋" w:eastAsia="仿宋"/>
          <w:sz w:val="32"/>
          <w:szCs w:val="32"/>
        </w:rPr>
        <w:t>%</w:t>
      </w:r>
      <w:r>
        <w:rPr>
          <w:rFonts w:hint="eastAsia" w:ascii="仿宋" w:hAnsi="仿宋" w:eastAsia="仿宋"/>
          <w:sz w:val="32"/>
          <w:szCs w:val="32"/>
        </w:rPr>
        <w:t>，较上年度增加</w:t>
      </w:r>
      <w:r>
        <w:rPr>
          <w:rFonts w:hint="eastAsia" w:ascii="仿宋" w:hAnsi="仿宋" w:eastAsia="仿宋"/>
          <w:sz w:val="32"/>
          <w:szCs w:val="32"/>
          <w:lang w:val="en-US" w:eastAsia="zh-CN"/>
        </w:rPr>
        <w:t>0.61</w:t>
      </w:r>
      <w:r>
        <w:rPr>
          <w:rFonts w:hint="eastAsia" w:ascii="仿宋" w:hAnsi="仿宋" w:eastAsia="仿宋"/>
          <w:sz w:val="32"/>
          <w:szCs w:val="32"/>
        </w:rPr>
        <w:t>万元，增长</w:t>
      </w:r>
      <w:r>
        <w:rPr>
          <w:rFonts w:hint="eastAsia" w:ascii="仿宋" w:hAnsi="仿宋" w:eastAsia="仿宋"/>
          <w:sz w:val="32"/>
          <w:szCs w:val="32"/>
          <w:lang w:val="en-US" w:eastAsia="zh-CN"/>
        </w:rPr>
        <w:t>600.1</w:t>
      </w:r>
      <w:r>
        <w:rPr>
          <w:rFonts w:hint="eastAsia" w:ascii="仿宋" w:hAnsi="仿宋" w:eastAsia="仿宋"/>
          <w:sz w:val="32"/>
          <w:szCs w:val="32"/>
        </w:rPr>
        <w:t>%。决算数与预算数持平的主要原因是</w:t>
      </w:r>
      <w:r>
        <w:rPr>
          <w:rStyle w:val="18"/>
          <w:rFonts w:hint="eastAsia" w:ascii="仿宋" w:hAnsi="仿宋" w:eastAsia="仿宋"/>
          <w:b w:val="0"/>
          <w:bCs/>
          <w:sz w:val="32"/>
          <w:szCs w:val="32"/>
        </w:rPr>
        <w:t>合理规划年初预算并严格执行</w:t>
      </w:r>
      <w:r>
        <w:rPr>
          <w:rFonts w:hint="eastAsia" w:ascii="仿宋" w:hAnsi="仿宋" w:eastAsia="仿宋"/>
          <w:sz w:val="32"/>
          <w:szCs w:val="32"/>
        </w:rPr>
        <w:t>。</w:t>
      </w:r>
    </w:p>
    <w:p>
      <w:pPr>
        <w:spacing w:line="600" w:lineRule="exact"/>
        <w:ind w:firstLine="640"/>
        <w:rPr>
          <w:rFonts w:ascii="仿宋" w:hAnsi="仿宋" w:eastAsia="仿宋"/>
          <w:b/>
          <w:sz w:val="32"/>
          <w:szCs w:val="32"/>
        </w:rPr>
      </w:pPr>
      <w:r>
        <w:rPr>
          <w:rFonts w:hint="eastAsia" w:ascii="仿宋" w:hAnsi="仿宋" w:eastAsia="仿宋"/>
          <w:b/>
          <w:sz w:val="32"/>
          <w:szCs w:val="32"/>
        </w:rPr>
        <w:t>（注：上述“预算”口径为全年预算数，包括一般公共预算和政府性基金预算财政拨款支出决算情况。）</w:t>
      </w:r>
    </w:p>
    <w:p>
      <w:pPr>
        <w:spacing w:line="600" w:lineRule="exact"/>
        <w:ind w:firstLine="640"/>
        <w:outlineLvl w:val="2"/>
        <w:rPr>
          <w:rFonts w:ascii="仿宋" w:hAnsi="仿宋" w:eastAsia="仿宋"/>
          <w:b/>
          <w:sz w:val="32"/>
          <w:szCs w:val="32"/>
        </w:rPr>
      </w:pPr>
      <w:bookmarkStart w:id="61" w:name="_Toc15377217"/>
      <w:r>
        <w:rPr>
          <w:rFonts w:hint="eastAsia" w:ascii="仿宋" w:hAnsi="仿宋" w:eastAsia="仿宋"/>
          <w:b/>
          <w:sz w:val="32"/>
          <w:szCs w:val="32"/>
        </w:rPr>
        <w:t>（二）“三公”经费财政拨款支出决算具体情况说明</w:t>
      </w:r>
      <w:bookmarkEnd w:id="61"/>
    </w:p>
    <w:p>
      <w:pPr>
        <w:spacing w:line="600" w:lineRule="exact"/>
        <w:ind w:firstLine="640"/>
        <w:rPr>
          <w:rFonts w:ascii="仿宋" w:hAnsi="仿宋" w:eastAsia="仿宋"/>
          <w:sz w:val="32"/>
          <w:szCs w:val="32"/>
        </w:rPr>
      </w:pPr>
      <w:r>
        <w:rPr>
          <w:rFonts w:hint="eastAsia" w:ascii="仿宋" w:hAnsi="仿宋" w:eastAsia="仿宋"/>
          <w:sz w:val="32"/>
          <w:szCs w:val="32"/>
        </w:rPr>
        <w:t>2023年度“三公”经费财政拨款支出决算中，因公出国（境）费支出决算</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；公务用车购置及运行维护费支出决算</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；公务接待费支出决算</w:t>
      </w:r>
      <w:r>
        <w:rPr>
          <w:rFonts w:ascii="仿宋" w:hAnsi="仿宋" w:eastAsia="仿宋"/>
          <w:b/>
          <w:sz w:val="32"/>
          <w:szCs w:val="32"/>
        </w:rPr>
        <w:t>0.71</w:t>
      </w:r>
      <w:r>
        <w:rPr>
          <w:rFonts w:hint="eastAsia" w:ascii="仿宋" w:hAnsi="仿宋" w:eastAsia="仿宋"/>
          <w:sz w:val="32"/>
          <w:szCs w:val="32"/>
        </w:rPr>
        <w:t>万元，占</w:t>
      </w:r>
      <w:r>
        <w:rPr>
          <w:rFonts w:ascii="仿宋" w:hAnsi="仿宋" w:eastAsia="仿宋"/>
          <w:b/>
          <w:sz w:val="32"/>
          <w:szCs w:val="32"/>
        </w:rPr>
        <w:t>100</w:t>
      </w:r>
      <w:r>
        <w:rPr>
          <w:rFonts w:ascii="仿宋" w:hAnsi="仿宋" w:eastAsia="仿宋"/>
          <w:sz w:val="32"/>
          <w:szCs w:val="32"/>
        </w:rPr>
        <w:t>%</w:t>
      </w:r>
      <w:r>
        <w:rPr>
          <w:rFonts w:hint="eastAsia" w:ascii="仿宋" w:hAnsi="仿宋" w:eastAsia="仿宋"/>
          <w:sz w:val="32"/>
          <w:szCs w:val="32"/>
        </w:rPr>
        <w:t>。具体情况如下：</w:t>
      </w:r>
    </w:p>
    <w:p>
      <w:pPr>
        <w:spacing w:line="600" w:lineRule="exact"/>
        <w:ind w:firstLine="640"/>
        <w:rPr>
          <w:rFonts w:hint="eastAsia" w:ascii="仿宋" w:hAnsi="仿宋" w:eastAsia="仿宋"/>
          <w:sz w:val="32"/>
          <w:szCs w:val="32"/>
        </w:rPr>
      </w:pPr>
      <w:r>
        <w:rPr>
          <w:rFonts w:hint="eastAsia" w:ascii="仿宋" w:hAnsi="仿宋" w:eastAsia="仿宋"/>
          <w:sz w:val="32"/>
          <w:szCs w:val="32"/>
        </w:rPr>
        <w:t>（图7：“三公”经费财政拨款支出结构）（饼状图）</w:t>
      </w:r>
    </w:p>
    <w:p>
      <w:pPr>
        <w:pStyle w:val="2"/>
      </w:pPr>
      <w:r>
        <w:rPr>
          <w:rFonts w:hint="eastAsia" w:ascii="仿宋" w:hAnsi="仿宋" w:eastAsia="仿宋"/>
          <w:sz w:val="32"/>
          <w:szCs w:val="32"/>
          <w:lang w:eastAsia="zh-CN"/>
        </w:rPr>
        <w:drawing>
          <wp:inline distT="0" distB="0" distL="114300" distR="114300">
            <wp:extent cx="5080000" cy="2206625"/>
            <wp:effectExtent l="4445" t="4445" r="20955" b="17780"/>
            <wp:docPr id="12" name="图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spacing w:line="600" w:lineRule="exact"/>
        <w:ind w:firstLine="640"/>
        <w:rPr>
          <w:rFonts w:ascii="仿宋_GB2312" w:eastAsia="仿宋_GB2312"/>
          <w:b/>
          <w:sz w:val="32"/>
          <w:szCs w:val="32"/>
        </w:rPr>
      </w:pPr>
      <w:bookmarkStart w:id="62" w:name="_Toc15396610"/>
      <w:bookmarkStart w:id="63" w:name="_Toc15377218"/>
      <w:r>
        <w:rPr>
          <w:rFonts w:ascii="仿宋_GB2312" w:eastAsia="仿宋_GB2312"/>
          <w:b/>
          <w:sz w:val="32"/>
          <w:szCs w:val="32"/>
        </w:rPr>
        <w:t>1.</w:t>
      </w:r>
      <w:r>
        <w:rPr>
          <w:rFonts w:hint="eastAsia" w:ascii="仿宋_GB2312" w:eastAsia="仿宋_GB2312"/>
          <w:b/>
          <w:sz w:val="32"/>
          <w:szCs w:val="32"/>
        </w:rPr>
        <w:t>因公出国（境）经费支出</w:t>
      </w:r>
      <w:r>
        <w:rPr>
          <w:rFonts w:ascii="仿宋" w:hAnsi="仿宋" w:eastAsia="仿宋"/>
          <w:b/>
          <w:sz w:val="32"/>
          <w:szCs w:val="32"/>
        </w:rPr>
        <w:t>0</w:t>
      </w:r>
      <w:r>
        <w:rPr>
          <w:rFonts w:hint="eastAsia" w:ascii="仿宋_GB2312" w:eastAsia="仿宋_GB2312"/>
          <w:sz w:val="32"/>
          <w:szCs w:val="32"/>
        </w:rPr>
        <w:t>万元，</w:t>
      </w:r>
      <w:r>
        <w:rPr>
          <w:rStyle w:val="18"/>
          <w:rFonts w:hint="eastAsia" w:ascii="仿宋" w:hAnsi="仿宋" w:eastAsia="仿宋"/>
          <w:b w:val="0"/>
          <w:bCs/>
          <w:sz w:val="32"/>
          <w:szCs w:val="32"/>
        </w:rPr>
        <w:t>完成预算</w:t>
      </w:r>
      <w:r>
        <w:rPr>
          <w:rStyle w:val="18"/>
          <w:rFonts w:ascii="仿宋" w:hAnsi="仿宋" w:eastAsia="仿宋"/>
          <w:bCs/>
          <w:sz w:val="32"/>
          <w:szCs w:val="32"/>
        </w:rPr>
        <w:t>0</w:t>
      </w:r>
      <w:r>
        <w:rPr>
          <w:rStyle w:val="18"/>
          <w:rFonts w:ascii="仿宋" w:hAnsi="仿宋" w:eastAsia="仿宋"/>
          <w:b w:val="0"/>
          <w:bCs/>
          <w:sz w:val="32"/>
          <w:szCs w:val="32"/>
        </w:rPr>
        <w:t>%</w:t>
      </w:r>
      <w:r>
        <w:rPr>
          <w:rStyle w:val="18"/>
          <w:rFonts w:hint="eastAsia" w:ascii="仿宋" w:hAnsi="仿宋" w:eastAsia="仿宋"/>
          <w:b w:val="0"/>
          <w:bCs/>
          <w:sz w:val="32"/>
          <w:szCs w:val="32"/>
        </w:rPr>
        <w:t>。</w:t>
      </w:r>
      <w:r>
        <w:rPr>
          <w:rFonts w:hint="eastAsia" w:ascii="仿宋_GB2312" w:eastAsia="仿宋_GB2312"/>
          <w:sz w:val="32"/>
          <w:szCs w:val="32"/>
        </w:rPr>
        <w:t>全年安排因公出国（境）团组</w:t>
      </w:r>
      <w:r>
        <w:rPr>
          <w:rFonts w:ascii="仿宋_GB2312" w:eastAsia="仿宋_GB2312"/>
          <w:b/>
          <w:sz w:val="32"/>
          <w:szCs w:val="32"/>
        </w:rPr>
        <w:t>0</w:t>
      </w:r>
      <w:r>
        <w:rPr>
          <w:rFonts w:hint="eastAsia" w:ascii="仿宋_GB2312" w:eastAsia="仿宋_GB2312"/>
          <w:sz w:val="32"/>
          <w:szCs w:val="32"/>
        </w:rPr>
        <w:t>次，出国（境）</w:t>
      </w:r>
      <w:r>
        <w:rPr>
          <w:rFonts w:ascii="仿宋_GB2312" w:eastAsia="仿宋_GB2312"/>
          <w:b/>
          <w:sz w:val="32"/>
          <w:szCs w:val="32"/>
        </w:rPr>
        <w:t>0</w:t>
      </w:r>
      <w:r>
        <w:rPr>
          <w:rFonts w:hint="eastAsia" w:ascii="仿宋_GB2312" w:eastAsia="仿宋_GB2312"/>
          <w:sz w:val="32"/>
          <w:szCs w:val="32"/>
        </w:rPr>
        <w:t>人。因公出国（境）支出决算比2022年增加</w:t>
      </w:r>
      <w:r>
        <w:rPr>
          <w:rFonts w:ascii="仿宋_GB2312" w:eastAsia="仿宋_GB2312"/>
          <w:sz w:val="32"/>
          <w:szCs w:val="32"/>
        </w:rPr>
        <w:t>/</w:t>
      </w:r>
      <w:r>
        <w:rPr>
          <w:rFonts w:hint="eastAsia" w:ascii="仿宋_GB2312" w:eastAsia="仿宋_GB2312"/>
          <w:sz w:val="32"/>
          <w:szCs w:val="32"/>
        </w:rPr>
        <w:t>减少</w:t>
      </w:r>
      <w:r>
        <w:rPr>
          <w:rFonts w:hint="eastAsia" w:ascii="仿宋_GB2312" w:eastAsia="仿宋_GB2312"/>
          <w:sz w:val="32"/>
          <w:szCs w:val="32"/>
          <w:lang w:val="en-US" w:eastAsia="zh-CN"/>
        </w:rPr>
        <w:t>0</w:t>
      </w:r>
      <w:r>
        <w:rPr>
          <w:rFonts w:hint="eastAsia" w:ascii="仿宋_GB2312" w:eastAsia="仿宋_GB2312"/>
          <w:sz w:val="32"/>
          <w:szCs w:val="32"/>
        </w:rPr>
        <w:t>万元，增长</w:t>
      </w:r>
      <w:r>
        <w:rPr>
          <w:rFonts w:ascii="仿宋_GB2312" w:eastAsia="仿宋_GB2312"/>
          <w:sz w:val="32"/>
          <w:szCs w:val="32"/>
        </w:rPr>
        <w:t>/</w:t>
      </w:r>
      <w:r>
        <w:rPr>
          <w:rFonts w:hint="eastAsia" w:ascii="仿宋_GB2312" w:eastAsia="仿宋_GB2312"/>
          <w:sz w:val="32"/>
          <w:szCs w:val="32"/>
        </w:rPr>
        <w:t>下降</w:t>
      </w:r>
      <w:r>
        <w:rPr>
          <w:rFonts w:hint="eastAsia" w:ascii="仿宋_GB2312" w:eastAsia="仿宋_GB2312"/>
          <w:sz w:val="32"/>
          <w:szCs w:val="32"/>
          <w:lang w:val="en-US" w:eastAsia="zh-CN"/>
        </w:rPr>
        <w:t>0</w:t>
      </w:r>
      <w:r>
        <w:rPr>
          <w:rFonts w:ascii="仿宋_GB2312" w:eastAsia="仿宋_GB2312"/>
          <w:sz w:val="32"/>
          <w:szCs w:val="32"/>
        </w:rPr>
        <w:t>%</w:t>
      </w:r>
      <w:r>
        <w:rPr>
          <w:rFonts w:hint="eastAsia" w:ascii="仿宋_GB2312" w:eastAsia="仿宋_GB2312"/>
          <w:sz w:val="32"/>
          <w:szCs w:val="32"/>
        </w:rPr>
        <w:t>。主要原因是</w:t>
      </w:r>
      <w:r>
        <w:rPr>
          <w:rFonts w:hint="eastAsia" w:ascii="仿宋_GB2312" w:eastAsia="仿宋_GB2312"/>
          <w:color w:val="auto"/>
          <w:sz w:val="32"/>
          <w:szCs w:val="32"/>
          <w:highlight w:val="none"/>
          <w:lang w:val="en-US" w:eastAsia="zh-CN"/>
        </w:rPr>
        <w:t>未安排因公出境</w:t>
      </w:r>
      <w:r>
        <w:rPr>
          <w:rFonts w:hint="eastAsia" w:ascii="仿宋_GB2312" w:eastAsia="仿宋_GB2312"/>
          <w:sz w:val="32"/>
          <w:szCs w:val="32"/>
        </w:rPr>
        <w:t>。</w:t>
      </w:r>
    </w:p>
    <w:p>
      <w:pPr>
        <w:spacing w:line="600" w:lineRule="exact"/>
        <w:ind w:firstLine="640"/>
        <w:rPr>
          <w:rFonts w:hint="eastAsia" w:ascii="仿宋_GB2312" w:eastAsia="仿宋_GB2312"/>
          <w:color w:val="auto"/>
          <w:sz w:val="32"/>
          <w:szCs w:val="32"/>
          <w:highlight w:val="none"/>
          <w:lang w:val="en-US" w:eastAsia="zh-CN"/>
        </w:rPr>
      </w:pPr>
      <w:r>
        <w:rPr>
          <w:rFonts w:hint="eastAsia" w:ascii="仿宋_GB2312" w:eastAsia="仿宋_GB2312"/>
          <w:sz w:val="32"/>
          <w:szCs w:val="32"/>
        </w:rPr>
        <w:t>开支内容包括：</w:t>
      </w:r>
      <w:r>
        <w:rPr>
          <w:rFonts w:hint="eastAsia" w:ascii="仿宋_GB2312" w:eastAsia="仿宋_GB2312"/>
          <w:color w:val="auto"/>
          <w:sz w:val="32"/>
          <w:szCs w:val="32"/>
          <w:highlight w:val="none"/>
          <w:lang w:val="en-US" w:eastAsia="zh-CN"/>
        </w:rPr>
        <w:t>无</w:t>
      </w:r>
    </w:p>
    <w:p>
      <w:pPr>
        <w:spacing w:line="600" w:lineRule="exact"/>
        <w:ind w:firstLine="640"/>
        <w:rPr>
          <w:rFonts w:ascii="仿宋_GB2312" w:eastAsia="仿宋_GB2312"/>
          <w:b/>
          <w:sz w:val="32"/>
          <w:szCs w:val="32"/>
        </w:rPr>
      </w:pPr>
      <w:r>
        <w:rPr>
          <w:rFonts w:ascii="仿宋_GB2312" w:eastAsia="仿宋_GB2312"/>
          <w:b/>
          <w:sz w:val="32"/>
          <w:szCs w:val="32"/>
        </w:rPr>
        <w:t>2.</w:t>
      </w:r>
      <w:r>
        <w:rPr>
          <w:rFonts w:hint="eastAsia" w:ascii="仿宋_GB2312" w:eastAsia="仿宋_GB2312"/>
          <w:b/>
          <w:sz w:val="32"/>
          <w:szCs w:val="32"/>
        </w:rPr>
        <w:t>公务用车购置及运行维护费支出</w:t>
      </w:r>
      <w:r>
        <w:rPr>
          <w:rFonts w:ascii="仿宋" w:hAnsi="仿宋" w:eastAsia="仿宋"/>
          <w:b/>
          <w:sz w:val="32"/>
          <w:szCs w:val="32"/>
        </w:rPr>
        <w:t>0</w:t>
      </w:r>
      <w:r>
        <w:rPr>
          <w:rFonts w:hint="eastAsia" w:ascii="仿宋_GB2312" w:eastAsia="仿宋_GB2312"/>
          <w:sz w:val="32"/>
          <w:szCs w:val="32"/>
        </w:rPr>
        <w:t>万元,</w:t>
      </w:r>
      <w:r>
        <w:rPr>
          <w:rStyle w:val="18"/>
          <w:rFonts w:hint="eastAsia" w:ascii="仿宋" w:hAnsi="仿宋" w:eastAsia="仿宋"/>
          <w:b w:val="0"/>
          <w:bCs/>
          <w:sz w:val="32"/>
          <w:szCs w:val="32"/>
        </w:rPr>
        <w:t>完成预算</w:t>
      </w:r>
      <w:r>
        <w:rPr>
          <w:rStyle w:val="18"/>
          <w:rFonts w:ascii="仿宋" w:hAnsi="仿宋" w:eastAsia="仿宋"/>
          <w:bCs/>
          <w:sz w:val="32"/>
          <w:szCs w:val="32"/>
        </w:rPr>
        <w:t>0</w:t>
      </w:r>
      <w:r>
        <w:rPr>
          <w:rStyle w:val="18"/>
          <w:rFonts w:ascii="仿宋" w:hAnsi="仿宋" w:eastAsia="仿宋"/>
          <w:b w:val="0"/>
          <w:bCs/>
          <w:sz w:val="32"/>
          <w:szCs w:val="32"/>
        </w:rPr>
        <w:t>%</w:t>
      </w:r>
      <w:r>
        <w:rPr>
          <w:rStyle w:val="18"/>
          <w:rFonts w:hint="eastAsia" w:ascii="仿宋" w:hAnsi="仿宋" w:eastAsia="仿宋"/>
          <w:b w:val="0"/>
          <w:bCs/>
          <w:sz w:val="32"/>
          <w:szCs w:val="32"/>
        </w:rPr>
        <w:t>。</w:t>
      </w:r>
      <w:r>
        <w:rPr>
          <w:rFonts w:hint="eastAsia" w:ascii="仿宋_GB2312" w:eastAsia="仿宋_GB2312"/>
          <w:sz w:val="32"/>
          <w:szCs w:val="32"/>
        </w:rPr>
        <w:t>公务用车购置及运行维护费支出决算比2022年度增加</w:t>
      </w:r>
      <w:r>
        <w:rPr>
          <w:rFonts w:ascii="仿宋_GB2312" w:eastAsia="仿宋_GB2312"/>
          <w:sz w:val="32"/>
          <w:szCs w:val="32"/>
        </w:rPr>
        <w:t>/</w:t>
      </w:r>
      <w:r>
        <w:rPr>
          <w:rFonts w:hint="eastAsia" w:ascii="仿宋_GB2312" w:eastAsia="仿宋_GB2312"/>
          <w:sz w:val="32"/>
          <w:szCs w:val="32"/>
        </w:rPr>
        <w:t>减少</w:t>
      </w:r>
      <w:r>
        <w:rPr>
          <w:rFonts w:hint="eastAsia" w:ascii="仿宋_GB2312" w:eastAsia="仿宋_GB2312"/>
          <w:sz w:val="32"/>
          <w:szCs w:val="32"/>
          <w:lang w:val="en-US" w:eastAsia="zh-CN"/>
        </w:rPr>
        <w:t>0</w:t>
      </w:r>
      <w:r>
        <w:rPr>
          <w:rFonts w:hint="eastAsia" w:ascii="仿宋_GB2312" w:eastAsia="仿宋_GB2312"/>
          <w:sz w:val="32"/>
          <w:szCs w:val="32"/>
        </w:rPr>
        <w:t>万元，增长</w:t>
      </w:r>
      <w:r>
        <w:rPr>
          <w:rFonts w:ascii="仿宋_GB2312" w:eastAsia="仿宋_GB2312"/>
          <w:sz w:val="32"/>
          <w:szCs w:val="32"/>
        </w:rPr>
        <w:t>/</w:t>
      </w:r>
      <w:r>
        <w:rPr>
          <w:rFonts w:hint="eastAsia" w:ascii="仿宋_GB2312" w:eastAsia="仿宋_GB2312"/>
          <w:sz w:val="32"/>
          <w:szCs w:val="32"/>
        </w:rPr>
        <w:t>下降</w:t>
      </w:r>
      <w:r>
        <w:rPr>
          <w:rFonts w:hint="eastAsia" w:ascii="仿宋_GB2312" w:eastAsia="仿宋_GB2312"/>
          <w:sz w:val="32"/>
          <w:szCs w:val="32"/>
          <w:lang w:val="en-US" w:eastAsia="zh-CN"/>
        </w:rPr>
        <w:t>0</w:t>
      </w:r>
      <w:r>
        <w:rPr>
          <w:rFonts w:ascii="仿宋_GB2312" w:eastAsia="仿宋_GB2312"/>
          <w:sz w:val="32"/>
          <w:szCs w:val="32"/>
        </w:rPr>
        <w:t>%</w:t>
      </w:r>
      <w:r>
        <w:rPr>
          <w:rFonts w:hint="eastAsia" w:ascii="仿宋_GB2312" w:eastAsia="仿宋_GB2312"/>
          <w:sz w:val="32"/>
          <w:szCs w:val="32"/>
        </w:rPr>
        <w:t>。主要原因是</w:t>
      </w:r>
      <w:r>
        <w:rPr>
          <w:rFonts w:hint="eastAsia" w:ascii="仿宋_GB2312" w:eastAsia="仿宋_GB2312"/>
          <w:color w:val="auto"/>
          <w:sz w:val="32"/>
          <w:szCs w:val="32"/>
          <w:highlight w:val="none"/>
          <w:lang w:val="en-US" w:eastAsia="zh-CN"/>
        </w:rPr>
        <w:t>无公务用车</w:t>
      </w:r>
      <w:r>
        <w:rPr>
          <w:rFonts w:hint="eastAsia" w:ascii="仿宋_GB2312" w:eastAsia="仿宋_GB2312"/>
          <w:sz w:val="32"/>
          <w:szCs w:val="32"/>
        </w:rPr>
        <w:t>。</w:t>
      </w:r>
    </w:p>
    <w:p>
      <w:pPr>
        <w:spacing w:line="600" w:lineRule="exact"/>
        <w:ind w:firstLine="640" w:firstLineChars="200"/>
        <w:rPr>
          <w:rFonts w:ascii="仿宋_GB2312" w:eastAsia="仿宋_GB2312"/>
          <w:b/>
          <w:sz w:val="32"/>
          <w:szCs w:val="32"/>
        </w:rPr>
      </w:pPr>
      <w:r>
        <w:rPr>
          <w:rFonts w:hint="eastAsia" w:ascii="仿宋_GB2312" w:eastAsia="仿宋_GB2312"/>
          <w:sz w:val="32"/>
          <w:szCs w:val="32"/>
        </w:rPr>
        <w:t>其中：</w:t>
      </w:r>
      <w:r>
        <w:rPr>
          <w:rFonts w:hint="eastAsia" w:ascii="仿宋_GB2312" w:eastAsia="仿宋_GB2312"/>
          <w:b/>
          <w:sz w:val="32"/>
          <w:szCs w:val="32"/>
        </w:rPr>
        <w:t>公务用车购置支出</w:t>
      </w:r>
      <w:r>
        <w:rPr>
          <w:rFonts w:ascii="仿宋" w:hAnsi="仿宋" w:eastAsia="仿宋"/>
          <w:b/>
          <w:sz w:val="32"/>
          <w:szCs w:val="32"/>
        </w:rPr>
        <w:t>0</w:t>
      </w:r>
      <w:r>
        <w:rPr>
          <w:rFonts w:hint="eastAsia" w:ascii="仿宋_GB2312" w:eastAsia="仿宋_GB2312"/>
          <w:sz w:val="32"/>
          <w:szCs w:val="32"/>
        </w:rPr>
        <w:t>万元。全年按规定更新购置公务用车</w:t>
      </w:r>
      <w:r>
        <w:rPr>
          <w:rFonts w:hint="eastAsia" w:ascii="仿宋_GB2312" w:eastAsia="仿宋_GB2312"/>
          <w:sz w:val="32"/>
          <w:szCs w:val="32"/>
          <w:lang w:val="en-US" w:eastAsia="zh-CN"/>
        </w:rPr>
        <w:t>0</w:t>
      </w:r>
      <w:r>
        <w:rPr>
          <w:rFonts w:hint="eastAsia" w:ascii="仿宋_GB2312" w:eastAsia="仿宋_GB2312"/>
          <w:sz w:val="32"/>
          <w:szCs w:val="32"/>
        </w:rPr>
        <w:t>辆，其中：轿车</w:t>
      </w:r>
      <w:r>
        <w:rPr>
          <w:rFonts w:hint="eastAsia" w:ascii="仿宋_GB2312" w:eastAsia="仿宋_GB2312"/>
          <w:sz w:val="32"/>
          <w:szCs w:val="32"/>
          <w:lang w:val="en-US" w:eastAsia="zh-CN"/>
        </w:rPr>
        <w:t>0</w:t>
      </w:r>
      <w:r>
        <w:rPr>
          <w:rFonts w:hint="eastAsia" w:ascii="仿宋_GB2312" w:eastAsia="仿宋_GB2312"/>
          <w:sz w:val="32"/>
          <w:szCs w:val="32"/>
        </w:rPr>
        <w:t>辆、金额</w:t>
      </w:r>
      <w:r>
        <w:rPr>
          <w:rFonts w:hint="eastAsia" w:ascii="仿宋_GB2312" w:eastAsia="仿宋_GB2312"/>
          <w:sz w:val="32"/>
          <w:szCs w:val="32"/>
          <w:lang w:val="en-US" w:eastAsia="zh-CN"/>
        </w:rPr>
        <w:t>0</w:t>
      </w:r>
      <w:r>
        <w:rPr>
          <w:rFonts w:hint="eastAsia" w:ascii="仿宋_GB2312" w:eastAsia="仿宋_GB2312"/>
          <w:sz w:val="32"/>
          <w:szCs w:val="32"/>
        </w:rPr>
        <w:t>万元，越野车</w:t>
      </w:r>
      <w:r>
        <w:rPr>
          <w:rFonts w:hint="eastAsia" w:ascii="仿宋_GB2312" w:eastAsia="仿宋_GB2312"/>
          <w:sz w:val="32"/>
          <w:szCs w:val="32"/>
          <w:lang w:val="en-US" w:eastAsia="zh-CN"/>
        </w:rPr>
        <w:t>0</w:t>
      </w:r>
      <w:r>
        <w:rPr>
          <w:rFonts w:hint="eastAsia" w:ascii="仿宋_GB2312" w:eastAsia="仿宋_GB2312"/>
          <w:sz w:val="32"/>
          <w:szCs w:val="32"/>
        </w:rPr>
        <w:t>辆、金额</w:t>
      </w:r>
      <w:r>
        <w:rPr>
          <w:rFonts w:hint="eastAsia" w:ascii="仿宋_GB2312" w:eastAsia="仿宋_GB2312"/>
          <w:sz w:val="32"/>
          <w:szCs w:val="32"/>
          <w:lang w:val="en-US" w:eastAsia="zh-CN"/>
        </w:rPr>
        <w:t>0</w:t>
      </w:r>
      <w:r>
        <w:rPr>
          <w:rFonts w:hint="eastAsia" w:ascii="仿宋_GB2312" w:eastAsia="仿宋_GB2312"/>
          <w:sz w:val="32"/>
          <w:szCs w:val="32"/>
        </w:rPr>
        <w:t>万元，载客汽车</w:t>
      </w:r>
      <w:r>
        <w:rPr>
          <w:rFonts w:hint="eastAsia" w:ascii="仿宋_GB2312" w:eastAsia="仿宋_GB2312"/>
          <w:sz w:val="32"/>
          <w:szCs w:val="32"/>
          <w:lang w:val="en-US" w:eastAsia="zh-CN"/>
        </w:rPr>
        <w:t>0</w:t>
      </w:r>
      <w:r>
        <w:rPr>
          <w:rFonts w:hint="eastAsia" w:ascii="仿宋_GB2312" w:eastAsia="仿宋_GB2312"/>
          <w:sz w:val="32"/>
          <w:szCs w:val="32"/>
        </w:rPr>
        <w:t>辆、金额</w:t>
      </w:r>
      <w:r>
        <w:rPr>
          <w:rFonts w:hint="eastAsia" w:ascii="仿宋_GB2312" w:eastAsia="仿宋_GB2312"/>
          <w:sz w:val="32"/>
          <w:szCs w:val="32"/>
          <w:lang w:val="en-US" w:eastAsia="zh-CN"/>
        </w:rPr>
        <w:t>0</w:t>
      </w:r>
      <w:r>
        <w:rPr>
          <w:rFonts w:hint="eastAsia" w:ascii="仿宋_GB2312" w:eastAsia="仿宋_GB2312"/>
          <w:sz w:val="32"/>
          <w:szCs w:val="32"/>
        </w:rPr>
        <w:t>万元，主要用于</w:t>
      </w:r>
      <w:r>
        <w:rPr>
          <w:rFonts w:hint="eastAsia" w:ascii="仿宋_GB2312" w:eastAsia="仿宋_GB2312"/>
          <w:sz w:val="32"/>
          <w:szCs w:val="32"/>
          <w:lang w:eastAsia="zh-CN"/>
        </w:rPr>
        <w:t>无</w:t>
      </w:r>
      <w:r>
        <w:rPr>
          <w:rFonts w:hint="eastAsia" w:ascii="仿宋_GB2312" w:eastAsia="仿宋_GB2312"/>
          <w:sz w:val="32"/>
          <w:szCs w:val="32"/>
        </w:rPr>
        <w:t>。截至2023年</w:t>
      </w:r>
      <w:r>
        <w:rPr>
          <w:rFonts w:ascii="仿宋_GB2312" w:eastAsia="仿宋_GB2312"/>
          <w:sz w:val="32"/>
          <w:szCs w:val="32"/>
        </w:rPr>
        <w:t>12</w:t>
      </w:r>
      <w:r>
        <w:rPr>
          <w:rFonts w:hint="eastAsia" w:ascii="仿宋_GB2312" w:eastAsia="仿宋_GB2312"/>
          <w:sz w:val="32"/>
          <w:szCs w:val="32"/>
        </w:rPr>
        <w:t>月31日，单位共有公务用车</w:t>
      </w:r>
      <w:r>
        <w:rPr>
          <w:rFonts w:hint="eastAsia" w:ascii="仿宋_GB2312" w:eastAsia="仿宋_GB2312"/>
          <w:sz w:val="32"/>
          <w:szCs w:val="32"/>
          <w:lang w:val="en-US" w:eastAsia="zh-CN"/>
        </w:rPr>
        <w:t>0</w:t>
      </w:r>
      <w:r>
        <w:rPr>
          <w:rFonts w:hint="eastAsia" w:ascii="仿宋_GB2312" w:eastAsia="仿宋_GB2312"/>
          <w:sz w:val="32"/>
          <w:szCs w:val="32"/>
        </w:rPr>
        <w:t>辆，其中：轿车</w:t>
      </w:r>
      <w:r>
        <w:rPr>
          <w:rFonts w:hint="eastAsia" w:ascii="仿宋_GB2312" w:eastAsia="仿宋_GB2312"/>
          <w:sz w:val="32"/>
          <w:szCs w:val="32"/>
          <w:lang w:val="en-US" w:eastAsia="zh-CN"/>
        </w:rPr>
        <w:t>0</w:t>
      </w:r>
      <w:r>
        <w:rPr>
          <w:rFonts w:hint="eastAsia" w:ascii="仿宋_GB2312" w:eastAsia="仿宋_GB2312"/>
          <w:sz w:val="32"/>
          <w:szCs w:val="32"/>
        </w:rPr>
        <w:t>辆、越野车</w:t>
      </w:r>
      <w:r>
        <w:rPr>
          <w:rFonts w:hint="eastAsia" w:ascii="仿宋_GB2312" w:eastAsia="仿宋_GB2312"/>
          <w:sz w:val="32"/>
          <w:szCs w:val="32"/>
          <w:lang w:val="en-US" w:eastAsia="zh-CN"/>
        </w:rPr>
        <w:t>0</w:t>
      </w:r>
      <w:r>
        <w:rPr>
          <w:rFonts w:hint="eastAsia" w:ascii="仿宋_GB2312" w:eastAsia="仿宋_GB2312"/>
          <w:sz w:val="32"/>
          <w:szCs w:val="32"/>
        </w:rPr>
        <w:t>辆、载客汽车</w:t>
      </w:r>
      <w:r>
        <w:rPr>
          <w:rFonts w:hint="eastAsia" w:ascii="仿宋_GB2312" w:eastAsia="仿宋_GB2312"/>
          <w:sz w:val="32"/>
          <w:szCs w:val="32"/>
          <w:lang w:val="en-US" w:eastAsia="zh-CN"/>
        </w:rPr>
        <w:t>0</w:t>
      </w:r>
      <w:r>
        <w:rPr>
          <w:rFonts w:hint="eastAsia" w:ascii="仿宋_GB2312" w:eastAsia="仿宋_GB2312"/>
          <w:sz w:val="32"/>
          <w:szCs w:val="32"/>
        </w:rPr>
        <w:t>辆。</w:t>
      </w:r>
    </w:p>
    <w:p>
      <w:pPr>
        <w:spacing w:line="600" w:lineRule="exact"/>
        <w:ind w:firstLine="640"/>
        <w:rPr>
          <w:rFonts w:hint="eastAsia" w:ascii="仿宋_GB2312" w:eastAsia="仿宋_GB2312"/>
          <w:sz w:val="32"/>
          <w:szCs w:val="32"/>
          <w:lang w:eastAsia="zh-CN"/>
        </w:rPr>
      </w:pPr>
      <w:r>
        <w:rPr>
          <w:rFonts w:hint="eastAsia" w:ascii="仿宋_GB2312" w:eastAsia="仿宋_GB2312"/>
          <w:b/>
          <w:sz w:val="32"/>
          <w:szCs w:val="32"/>
        </w:rPr>
        <w:t>公务用车运行维护费支出</w:t>
      </w:r>
      <w:r>
        <w:rPr>
          <w:rFonts w:ascii="仿宋" w:hAnsi="仿宋" w:eastAsia="仿宋"/>
          <w:b/>
          <w:sz w:val="32"/>
          <w:szCs w:val="32"/>
        </w:rPr>
        <w:t>0</w:t>
      </w:r>
      <w:r>
        <w:rPr>
          <w:rFonts w:hint="eastAsia" w:ascii="仿宋_GB2312" w:eastAsia="仿宋_GB2312"/>
          <w:sz w:val="32"/>
          <w:szCs w:val="32"/>
        </w:rPr>
        <w:t>万元。主要用于</w:t>
      </w:r>
      <w:r>
        <w:rPr>
          <w:rFonts w:hint="eastAsia" w:ascii="仿宋_GB2312" w:eastAsia="仿宋_GB2312"/>
          <w:sz w:val="32"/>
          <w:szCs w:val="32"/>
          <w:lang w:eastAsia="zh-CN"/>
        </w:rPr>
        <w:t>：无</w:t>
      </w:r>
    </w:p>
    <w:p>
      <w:pPr>
        <w:spacing w:line="600" w:lineRule="exact"/>
        <w:ind w:firstLine="640"/>
        <w:rPr>
          <w:rFonts w:ascii="仿宋_GB2312" w:eastAsia="仿宋_GB2312"/>
          <w:sz w:val="32"/>
          <w:szCs w:val="32"/>
        </w:rPr>
      </w:pPr>
      <w:r>
        <w:rPr>
          <w:rFonts w:ascii="仿宋_GB2312" w:eastAsia="仿宋_GB2312"/>
          <w:b/>
          <w:sz w:val="32"/>
          <w:szCs w:val="32"/>
        </w:rPr>
        <w:t>3.</w:t>
      </w:r>
      <w:r>
        <w:rPr>
          <w:rFonts w:hint="eastAsia" w:ascii="仿宋_GB2312" w:eastAsia="仿宋_GB2312"/>
          <w:b/>
          <w:sz w:val="32"/>
          <w:szCs w:val="32"/>
        </w:rPr>
        <w:t>公务接待费支出</w:t>
      </w:r>
      <w:r>
        <w:rPr>
          <w:rFonts w:ascii="仿宋" w:hAnsi="仿宋" w:eastAsia="仿宋"/>
          <w:b/>
          <w:sz w:val="32"/>
          <w:szCs w:val="32"/>
        </w:rPr>
        <w:t>0.71</w:t>
      </w:r>
      <w:r>
        <w:rPr>
          <w:rFonts w:hint="eastAsia" w:ascii="仿宋_GB2312" w:eastAsia="仿宋_GB2312"/>
          <w:sz w:val="32"/>
          <w:szCs w:val="32"/>
        </w:rPr>
        <w:t>万元，</w:t>
      </w:r>
      <w:r>
        <w:rPr>
          <w:rStyle w:val="18"/>
          <w:rFonts w:hint="eastAsia" w:ascii="仿宋" w:hAnsi="仿宋" w:eastAsia="仿宋"/>
          <w:b w:val="0"/>
          <w:bCs/>
          <w:sz w:val="32"/>
          <w:szCs w:val="32"/>
        </w:rPr>
        <w:t>完成预算</w:t>
      </w:r>
      <w:r>
        <w:rPr>
          <w:rStyle w:val="18"/>
          <w:rFonts w:ascii="仿宋" w:hAnsi="仿宋" w:eastAsia="仿宋"/>
          <w:b w:val="0"/>
          <w:bCs/>
          <w:sz w:val="32"/>
          <w:szCs w:val="32"/>
        </w:rPr>
        <w:t>100%</w:t>
      </w:r>
      <w:r>
        <w:rPr>
          <w:rStyle w:val="18"/>
          <w:rFonts w:hint="eastAsia" w:ascii="仿宋" w:hAnsi="仿宋" w:eastAsia="仿宋"/>
          <w:b w:val="0"/>
          <w:bCs/>
          <w:sz w:val="32"/>
          <w:szCs w:val="32"/>
        </w:rPr>
        <w:t>。</w:t>
      </w:r>
      <w:r>
        <w:rPr>
          <w:rFonts w:hint="eastAsia" w:ascii="仿宋_GB2312" w:eastAsia="仿宋_GB2312"/>
          <w:sz w:val="32"/>
          <w:szCs w:val="32"/>
        </w:rPr>
        <w:t>公务接待费支出决算比2022年度增加</w:t>
      </w:r>
      <w:r>
        <w:rPr>
          <w:rFonts w:hint="eastAsia" w:ascii="仿宋_GB2312" w:eastAsia="仿宋_GB2312"/>
          <w:sz w:val="32"/>
          <w:szCs w:val="32"/>
          <w:lang w:val="en-US" w:eastAsia="zh-CN"/>
        </w:rPr>
        <w:t>0.61</w:t>
      </w:r>
      <w:r>
        <w:rPr>
          <w:rFonts w:hint="eastAsia" w:ascii="仿宋_GB2312" w:eastAsia="仿宋_GB2312"/>
          <w:sz w:val="32"/>
          <w:szCs w:val="32"/>
        </w:rPr>
        <w:t>万元，增长</w:t>
      </w:r>
      <w:r>
        <w:rPr>
          <w:rFonts w:hint="eastAsia" w:ascii="仿宋_GB2312" w:eastAsia="仿宋_GB2312"/>
          <w:sz w:val="32"/>
          <w:szCs w:val="32"/>
          <w:lang w:val="en-US" w:eastAsia="zh-CN"/>
        </w:rPr>
        <w:t>600.1</w:t>
      </w:r>
      <w:r>
        <w:rPr>
          <w:rFonts w:ascii="仿宋_GB2312" w:eastAsia="仿宋_GB2312"/>
          <w:sz w:val="32"/>
          <w:szCs w:val="32"/>
        </w:rPr>
        <w:t>%</w:t>
      </w:r>
      <w:r>
        <w:rPr>
          <w:rFonts w:hint="eastAsia" w:ascii="仿宋_GB2312" w:eastAsia="仿宋_GB2312"/>
          <w:sz w:val="32"/>
          <w:szCs w:val="32"/>
        </w:rPr>
        <w:t>。主要原因是</w:t>
      </w:r>
      <w:r>
        <w:rPr>
          <w:rFonts w:hint="eastAsia" w:ascii="仿宋_GB2312" w:eastAsia="仿宋_GB2312"/>
          <w:sz w:val="32"/>
          <w:szCs w:val="32"/>
          <w:lang w:val="en-US" w:eastAsia="zh-CN"/>
        </w:rPr>
        <w:t>2023年为保障业务工作顺利开展省市领导来金指导工作次数增多</w:t>
      </w:r>
      <w:r>
        <w:rPr>
          <w:rFonts w:hint="eastAsia" w:ascii="仿宋_GB2312" w:eastAsia="仿宋_GB2312"/>
          <w:sz w:val="32"/>
          <w:szCs w:val="32"/>
        </w:rPr>
        <w:t>。其中：</w:t>
      </w:r>
    </w:p>
    <w:p>
      <w:pPr>
        <w:spacing w:line="600" w:lineRule="exact"/>
        <w:ind w:firstLine="640"/>
        <w:rPr>
          <w:rFonts w:ascii="仿宋_GB2312" w:eastAsia="仿宋_GB2312"/>
          <w:color w:val="C00000"/>
          <w:sz w:val="32"/>
          <w:szCs w:val="32"/>
        </w:rPr>
      </w:pPr>
      <w:r>
        <w:rPr>
          <w:rFonts w:hint="eastAsia" w:ascii="仿宋" w:hAnsi="仿宋" w:eastAsia="仿宋"/>
          <w:b/>
          <w:sz w:val="32"/>
          <w:szCs w:val="32"/>
        </w:rPr>
        <w:t>国内公务接待支出</w:t>
      </w:r>
      <w:r>
        <w:rPr>
          <w:rFonts w:ascii="仿宋" w:hAnsi="仿宋" w:eastAsia="仿宋"/>
          <w:b/>
          <w:sz w:val="32"/>
          <w:szCs w:val="32"/>
        </w:rPr>
        <w:t>0.71</w:t>
      </w:r>
      <w:r>
        <w:rPr>
          <w:rFonts w:hint="eastAsia" w:ascii="仿宋_GB2312" w:eastAsia="仿宋_GB2312"/>
          <w:sz w:val="32"/>
          <w:szCs w:val="32"/>
        </w:rPr>
        <w:t>万元，主要用于</w:t>
      </w:r>
      <w:r>
        <w:rPr>
          <w:rFonts w:hint="eastAsia" w:ascii="仿宋_GB2312" w:eastAsia="仿宋_GB2312"/>
          <w:color w:val="auto"/>
          <w:sz w:val="32"/>
          <w:szCs w:val="32"/>
          <w:highlight w:val="none"/>
        </w:rPr>
        <w:t>执行公务、开展业务活动开支的用餐费等。</w:t>
      </w:r>
      <w:r>
        <w:rPr>
          <w:rFonts w:hint="eastAsia" w:ascii="仿宋_GB2312" w:eastAsia="仿宋_GB2312"/>
          <w:color w:val="auto"/>
          <w:sz w:val="32"/>
          <w:szCs w:val="32"/>
        </w:rPr>
        <w:t>国内公务接待5批次，49人次，共计支出 0.71万元，具体内容包括:1、峨边县信访局:交流学习党建、信访事项办理等工作，1165元;2、沙湾区信访局:开展对口结对帮扶工作，800元;3、沙湾区信访局:开展对口结对帮扶工作，720元;4、省信访局:金口河区调研信访工作，2470元;5、省信访局:金口河区调研信访工作，1900元。</w:t>
      </w:r>
    </w:p>
    <w:p>
      <w:pPr>
        <w:spacing w:line="600" w:lineRule="exact"/>
        <w:ind w:firstLine="643" w:firstLineChars="200"/>
        <w:rPr>
          <w:rFonts w:ascii="仿宋_GB2312" w:eastAsia="仿宋_GB2312"/>
          <w:sz w:val="32"/>
          <w:szCs w:val="32"/>
        </w:rPr>
      </w:pPr>
      <w:r>
        <w:rPr>
          <w:rFonts w:hint="eastAsia" w:ascii="仿宋" w:hAnsi="仿宋" w:eastAsia="仿宋"/>
          <w:b/>
          <w:sz w:val="32"/>
          <w:szCs w:val="32"/>
        </w:rPr>
        <w:t>外事接待支出</w:t>
      </w:r>
      <w:r>
        <w:rPr>
          <w:rFonts w:ascii="仿宋" w:hAnsi="仿宋" w:eastAsia="仿宋"/>
          <w:b/>
          <w:sz w:val="32"/>
          <w:szCs w:val="32"/>
        </w:rPr>
        <w:t>0</w:t>
      </w:r>
      <w:r>
        <w:rPr>
          <w:rFonts w:hint="eastAsia" w:ascii="仿宋_GB2312" w:eastAsia="仿宋_GB2312"/>
          <w:sz w:val="32"/>
          <w:szCs w:val="32"/>
        </w:rPr>
        <w:t>万元，主要用于接待</w:t>
      </w:r>
      <w:r>
        <w:rPr>
          <w:rFonts w:hint="eastAsia" w:ascii="仿宋_GB2312" w:eastAsia="仿宋_GB2312"/>
          <w:sz w:val="32"/>
          <w:szCs w:val="32"/>
          <w:lang w:eastAsia="zh-CN"/>
        </w:rPr>
        <w:t>：无</w:t>
      </w:r>
      <w:r>
        <w:rPr>
          <w:rFonts w:hint="eastAsia" w:ascii="仿宋_GB2312" w:eastAsia="仿宋_GB2312"/>
          <w:sz w:val="32"/>
          <w:szCs w:val="32"/>
        </w:rPr>
        <w:t>。外事接待</w:t>
      </w:r>
      <w:r>
        <w:rPr>
          <w:rFonts w:hint="eastAsia" w:ascii="仿宋_GB2312" w:eastAsia="仿宋_GB2312"/>
          <w:sz w:val="32"/>
          <w:szCs w:val="32"/>
          <w:lang w:val="en-US" w:eastAsia="zh-CN"/>
        </w:rPr>
        <w:t>0</w:t>
      </w:r>
      <w:r>
        <w:rPr>
          <w:rFonts w:hint="eastAsia" w:ascii="仿宋_GB2312" w:eastAsia="仿宋_GB2312"/>
          <w:sz w:val="32"/>
          <w:szCs w:val="32"/>
        </w:rPr>
        <w:t>批次，</w:t>
      </w:r>
      <w:r>
        <w:rPr>
          <w:rFonts w:hint="eastAsia" w:ascii="仿宋_GB2312" w:eastAsia="仿宋_GB2312"/>
          <w:sz w:val="32"/>
          <w:szCs w:val="32"/>
          <w:lang w:val="en-US" w:eastAsia="zh-CN"/>
        </w:rPr>
        <w:t>0</w:t>
      </w:r>
      <w:r>
        <w:rPr>
          <w:rFonts w:hint="eastAsia" w:ascii="仿宋_GB2312" w:eastAsia="仿宋_GB2312"/>
          <w:sz w:val="32"/>
          <w:szCs w:val="32"/>
        </w:rPr>
        <w:t>人次（不包括陪同人员），共计支出</w:t>
      </w:r>
      <w:r>
        <w:rPr>
          <w:rFonts w:hint="eastAsia" w:ascii="仿宋_GB2312" w:eastAsia="仿宋_GB2312"/>
          <w:sz w:val="32"/>
          <w:szCs w:val="32"/>
          <w:lang w:val="en-US" w:eastAsia="zh-CN"/>
        </w:rPr>
        <w:t>0</w:t>
      </w:r>
      <w:r>
        <w:rPr>
          <w:rFonts w:hint="eastAsia" w:ascii="仿宋_GB2312" w:eastAsia="仿宋_GB2312"/>
          <w:sz w:val="32"/>
          <w:szCs w:val="32"/>
        </w:rPr>
        <w:t>万元。</w:t>
      </w:r>
    </w:p>
    <w:p>
      <w:pPr>
        <w:spacing w:line="600" w:lineRule="exact"/>
        <w:ind w:firstLine="640"/>
        <w:outlineLvl w:val="1"/>
        <w:rPr>
          <w:rFonts w:ascii="黑体" w:eastAsia="黑体"/>
          <w:sz w:val="32"/>
          <w:szCs w:val="32"/>
        </w:rPr>
      </w:pPr>
    </w:p>
    <w:p>
      <w:pPr>
        <w:spacing w:line="600" w:lineRule="exact"/>
        <w:ind w:firstLine="640"/>
        <w:outlineLvl w:val="1"/>
        <w:rPr>
          <w:rStyle w:val="30"/>
          <w:rFonts w:ascii="黑体" w:hAnsi="黑体" w:eastAsia="黑体"/>
        </w:rPr>
      </w:pPr>
      <w:r>
        <w:rPr>
          <w:rFonts w:hint="eastAsia" w:ascii="黑体" w:eastAsia="黑体"/>
          <w:sz w:val="32"/>
          <w:szCs w:val="32"/>
        </w:rPr>
        <w:t>八、</w:t>
      </w:r>
      <w:r>
        <w:rPr>
          <w:rStyle w:val="30"/>
          <w:rFonts w:hint="eastAsia" w:ascii="黑体" w:hAnsi="黑体" w:eastAsia="黑体"/>
          <w:b w:val="0"/>
        </w:rPr>
        <w:t>政府性基金预算支出决算情况说明</w:t>
      </w:r>
      <w:bookmarkEnd w:id="62"/>
      <w:bookmarkEnd w:id="63"/>
    </w:p>
    <w:p>
      <w:pPr>
        <w:spacing w:line="600" w:lineRule="exact"/>
        <w:ind w:firstLine="640"/>
        <w:rPr>
          <w:rFonts w:ascii="仿宋_GB2312" w:eastAsia="仿宋_GB2312"/>
          <w:sz w:val="32"/>
          <w:szCs w:val="32"/>
        </w:rPr>
      </w:pPr>
      <w:r>
        <w:rPr>
          <w:rFonts w:hint="eastAsia" w:ascii="仿宋_GB2312" w:eastAsia="仿宋_GB2312"/>
          <w:sz w:val="32"/>
          <w:szCs w:val="32"/>
        </w:rPr>
        <w:t>2023年度政府性基金预算财政拨款支出</w:t>
      </w:r>
      <w:r>
        <w:rPr>
          <w:rFonts w:ascii="仿宋" w:hAnsi="仿宋" w:eastAsia="仿宋"/>
          <w:b/>
          <w:sz w:val="32"/>
          <w:szCs w:val="32"/>
        </w:rPr>
        <w:t>0</w:t>
      </w:r>
      <w:r>
        <w:rPr>
          <w:rFonts w:hint="eastAsia" w:ascii="仿宋_GB2312" w:eastAsia="仿宋_GB2312"/>
          <w:sz w:val="32"/>
          <w:szCs w:val="32"/>
        </w:rPr>
        <w:t>万元。</w:t>
      </w:r>
    </w:p>
    <w:p>
      <w:pPr>
        <w:spacing w:line="600" w:lineRule="exact"/>
        <w:ind w:firstLine="640"/>
        <w:rPr>
          <w:rFonts w:ascii="仿宋_GB2312" w:eastAsia="仿宋_GB2312"/>
          <w:sz w:val="32"/>
          <w:szCs w:val="32"/>
        </w:rPr>
      </w:pPr>
    </w:p>
    <w:p>
      <w:pPr>
        <w:numPr>
          <w:ilvl w:val="0"/>
          <w:numId w:val="3"/>
        </w:numPr>
        <w:spacing w:line="600" w:lineRule="exact"/>
        <w:ind w:firstLine="640"/>
        <w:outlineLvl w:val="1"/>
        <w:rPr>
          <w:rStyle w:val="30"/>
          <w:rFonts w:ascii="黑体" w:hAnsi="黑体" w:eastAsia="黑体"/>
          <w:b w:val="0"/>
        </w:rPr>
      </w:pPr>
      <w:bookmarkStart w:id="64" w:name="_Toc15377219"/>
      <w:bookmarkStart w:id="65" w:name="_Toc15396611"/>
      <w:r>
        <w:rPr>
          <w:rStyle w:val="30"/>
          <w:rFonts w:hint="eastAsia" w:ascii="黑体" w:hAnsi="黑体" w:eastAsia="黑体"/>
          <w:b w:val="0"/>
        </w:rPr>
        <w:t>国有资本经营预算支出决算情况说明</w:t>
      </w:r>
      <w:bookmarkEnd w:id="64"/>
      <w:bookmarkEnd w:id="65"/>
    </w:p>
    <w:p>
      <w:pPr>
        <w:spacing w:line="600" w:lineRule="exact"/>
        <w:ind w:firstLine="640"/>
        <w:rPr>
          <w:rFonts w:ascii="仿宋_GB2312" w:eastAsia="仿宋_GB2312"/>
          <w:sz w:val="32"/>
          <w:szCs w:val="32"/>
        </w:rPr>
      </w:pPr>
      <w:r>
        <w:rPr>
          <w:rFonts w:hint="eastAsia" w:ascii="仿宋_GB2312" w:eastAsia="仿宋_GB2312"/>
          <w:sz w:val="32"/>
          <w:szCs w:val="32"/>
        </w:rPr>
        <w:t>2023年度国有资本经营预算财政拨款支出</w:t>
      </w:r>
      <w:r>
        <w:rPr>
          <w:rFonts w:ascii="仿宋" w:hAnsi="仿宋" w:eastAsia="仿宋"/>
          <w:b/>
          <w:sz w:val="32"/>
          <w:szCs w:val="32"/>
        </w:rPr>
        <w:t>0</w:t>
      </w:r>
      <w:r>
        <w:rPr>
          <w:rFonts w:hint="eastAsia" w:ascii="仿宋_GB2312" w:eastAsia="仿宋_GB2312"/>
          <w:sz w:val="32"/>
          <w:szCs w:val="32"/>
        </w:rPr>
        <w:t>万元。</w:t>
      </w:r>
    </w:p>
    <w:p>
      <w:pPr>
        <w:spacing w:line="580" w:lineRule="exact"/>
        <w:jc w:val="center"/>
        <w:rPr>
          <w:rFonts w:ascii="方正小标宋简体" w:hAnsi="方正小标宋简体" w:eastAsia="方正小标宋简体" w:cs="方正小标宋简体"/>
          <w:sz w:val="44"/>
          <w:szCs w:val="44"/>
        </w:rPr>
      </w:pPr>
    </w:p>
    <w:p>
      <w:pPr>
        <w:numPr>
          <w:ilvl w:val="0"/>
          <w:numId w:val="3"/>
        </w:numPr>
        <w:spacing w:line="600" w:lineRule="exact"/>
        <w:ind w:firstLine="640"/>
        <w:outlineLvl w:val="1"/>
        <w:rPr>
          <w:rStyle w:val="30"/>
          <w:rFonts w:ascii="黑体" w:hAnsi="黑体" w:eastAsia="黑体"/>
          <w:b w:val="0"/>
        </w:rPr>
      </w:pPr>
      <w:bookmarkStart w:id="66" w:name="_Toc15377221"/>
      <w:bookmarkStart w:id="67" w:name="_Toc15396612"/>
      <w:r>
        <w:rPr>
          <w:rStyle w:val="30"/>
          <w:rFonts w:hint="eastAsia" w:ascii="黑体" w:hAnsi="黑体" w:eastAsia="黑体"/>
          <w:b w:val="0"/>
        </w:rPr>
        <w:t>其他重要事项的情况说明</w:t>
      </w:r>
      <w:bookmarkEnd w:id="66"/>
      <w:bookmarkEnd w:id="67"/>
    </w:p>
    <w:p>
      <w:pPr>
        <w:spacing w:line="600" w:lineRule="exact"/>
        <w:ind w:firstLine="643" w:firstLineChars="200"/>
        <w:outlineLvl w:val="2"/>
        <w:rPr>
          <w:rFonts w:ascii="仿宋" w:hAnsi="仿宋" w:eastAsia="仿宋"/>
          <w:sz w:val="32"/>
          <w:szCs w:val="32"/>
        </w:rPr>
      </w:pPr>
      <w:bookmarkStart w:id="68" w:name="_Toc15377222"/>
      <w:r>
        <w:rPr>
          <w:rFonts w:hint="eastAsia" w:ascii="仿宋" w:hAnsi="仿宋" w:eastAsia="仿宋"/>
          <w:b/>
          <w:sz w:val="32"/>
          <w:szCs w:val="32"/>
        </w:rPr>
        <w:t>（一）机关运行经费支出情况</w:t>
      </w:r>
      <w:bookmarkEnd w:id="68"/>
    </w:p>
    <w:p>
      <w:pPr>
        <w:spacing w:line="600" w:lineRule="exact"/>
        <w:ind w:firstLine="640" w:firstLineChars="200"/>
        <w:rPr>
          <w:rFonts w:ascii="仿宋_GB2312" w:eastAsia="仿宋_GB2312"/>
          <w:sz w:val="32"/>
          <w:szCs w:val="32"/>
        </w:rPr>
      </w:pPr>
      <w:r>
        <w:rPr>
          <w:rFonts w:hint="eastAsia" w:ascii="仿宋_GB2312" w:eastAsia="仿宋_GB2312"/>
          <w:sz w:val="32"/>
          <w:szCs w:val="32"/>
        </w:rPr>
        <w:t>2023年度，</w:t>
      </w:r>
      <w:r>
        <w:rPr>
          <w:rFonts w:ascii="仿宋_GB2312" w:eastAsia="仿宋_GB2312"/>
          <w:b/>
          <w:sz w:val="32"/>
          <w:szCs w:val="32"/>
        </w:rPr>
        <w:t>乐山市金口河区信访局</w:t>
      </w:r>
      <w:r>
        <w:rPr>
          <w:rFonts w:hint="eastAsia" w:ascii="仿宋_GB2312" w:eastAsia="仿宋_GB2312"/>
          <w:sz w:val="32"/>
          <w:szCs w:val="32"/>
        </w:rPr>
        <w:t>机关运行经费支出</w:t>
      </w:r>
      <w:r>
        <w:rPr>
          <w:rFonts w:ascii="仿宋" w:hAnsi="仿宋" w:eastAsia="仿宋"/>
          <w:b/>
          <w:sz w:val="32"/>
          <w:szCs w:val="32"/>
        </w:rPr>
        <w:t>21.75</w:t>
      </w:r>
      <w:r>
        <w:rPr>
          <w:rFonts w:hint="eastAsia" w:ascii="仿宋_GB2312" w:eastAsia="仿宋_GB2312"/>
          <w:sz w:val="32"/>
          <w:szCs w:val="32"/>
        </w:rPr>
        <w:t>万元，比2022年度减少</w:t>
      </w:r>
      <w:r>
        <w:rPr>
          <w:rFonts w:hint="eastAsia" w:ascii="仿宋_GB2312" w:eastAsia="仿宋_GB2312"/>
          <w:sz w:val="32"/>
          <w:szCs w:val="32"/>
          <w:lang w:val="en-US" w:eastAsia="zh-CN"/>
        </w:rPr>
        <w:t>0.5</w:t>
      </w:r>
      <w:r>
        <w:rPr>
          <w:rFonts w:hint="eastAsia" w:ascii="仿宋_GB2312" w:eastAsia="仿宋_GB2312"/>
          <w:sz w:val="32"/>
          <w:szCs w:val="32"/>
        </w:rPr>
        <w:t>万元，下降</w:t>
      </w:r>
      <w:r>
        <w:rPr>
          <w:rFonts w:hint="eastAsia" w:ascii="仿宋_GB2312" w:eastAsia="仿宋_GB2312"/>
          <w:sz w:val="32"/>
          <w:szCs w:val="32"/>
          <w:lang w:val="en-US" w:eastAsia="zh-CN"/>
        </w:rPr>
        <w:t>2.25</w:t>
      </w:r>
      <w:r>
        <w:rPr>
          <w:rFonts w:ascii="仿宋_GB2312" w:eastAsia="仿宋_GB2312"/>
          <w:sz w:val="32"/>
          <w:szCs w:val="32"/>
        </w:rPr>
        <w:t>%</w:t>
      </w:r>
      <w:r>
        <w:rPr>
          <w:rFonts w:hint="eastAsia" w:ascii="仿宋_GB2312" w:eastAsia="仿宋_GB2312"/>
          <w:sz w:val="32"/>
          <w:szCs w:val="32"/>
        </w:rPr>
        <w:t>。主要原因是</w:t>
      </w:r>
      <w:r>
        <w:rPr>
          <w:rFonts w:hint="eastAsia" w:ascii="仿宋_GB2312" w:eastAsia="仿宋_GB2312"/>
          <w:sz w:val="32"/>
          <w:szCs w:val="32"/>
          <w:lang w:eastAsia="zh-CN"/>
        </w:rPr>
        <w:t>严格执行厉行节约规定，控制经费使用</w:t>
      </w:r>
      <w:r>
        <w:rPr>
          <w:rFonts w:hint="eastAsia" w:ascii="仿宋_GB2312" w:eastAsia="仿宋_GB2312"/>
          <w:sz w:val="32"/>
          <w:szCs w:val="32"/>
        </w:rPr>
        <w:t>。</w:t>
      </w:r>
    </w:p>
    <w:p>
      <w:pPr>
        <w:spacing w:line="600" w:lineRule="exact"/>
        <w:ind w:firstLine="643" w:firstLineChars="200"/>
        <w:rPr>
          <w:rFonts w:ascii="仿宋" w:hAnsi="仿宋" w:eastAsia="仿宋"/>
          <w:b/>
          <w:sz w:val="32"/>
          <w:szCs w:val="32"/>
        </w:rPr>
      </w:pPr>
      <w:r>
        <w:rPr>
          <w:rFonts w:hint="eastAsia" w:ascii="仿宋" w:hAnsi="仿宋" w:eastAsia="仿宋"/>
          <w:b/>
          <w:sz w:val="32"/>
          <w:szCs w:val="32"/>
        </w:rPr>
        <w:t>（注：数据来源于财决附</w:t>
      </w:r>
      <w:r>
        <w:rPr>
          <w:rFonts w:ascii="仿宋" w:hAnsi="仿宋" w:eastAsia="仿宋"/>
          <w:b/>
          <w:sz w:val="32"/>
          <w:szCs w:val="32"/>
        </w:rPr>
        <w:t>03</w:t>
      </w:r>
      <w:r>
        <w:rPr>
          <w:rFonts w:hint="eastAsia" w:ascii="仿宋" w:hAnsi="仿宋" w:eastAsia="仿宋"/>
          <w:b/>
          <w:sz w:val="32"/>
          <w:szCs w:val="32"/>
        </w:rPr>
        <w:t>表）</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69" w:name="_Toc15377223"/>
      <w:r>
        <w:rPr>
          <w:rFonts w:hint="eastAsia" w:ascii="仿宋" w:hAnsi="仿宋" w:eastAsia="仿宋"/>
          <w:b/>
          <w:sz w:val="32"/>
          <w:szCs w:val="32"/>
        </w:rPr>
        <w:t>（二）政府采购支出情况</w:t>
      </w:r>
      <w:bookmarkEnd w:id="69"/>
    </w:p>
    <w:p>
      <w:pPr>
        <w:spacing w:line="600" w:lineRule="exact"/>
        <w:ind w:firstLine="640" w:firstLineChars="200"/>
        <w:rPr>
          <w:rFonts w:ascii="仿宋_GB2312" w:eastAsia="仿宋_GB2312"/>
          <w:sz w:val="32"/>
          <w:szCs w:val="32"/>
        </w:rPr>
      </w:pPr>
      <w:r>
        <w:rPr>
          <w:rFonts w:hint="eastAsia" w:ascii="仿宋_GB2312" w:eastAsia="仿宋_GB2312"/>
          <w:sz w:val="32"/>
          <w:szCs w:val="32"/>
        </w:rPr>
        <w:t>2023年度，</w:t>
      </w:r>
      <w:r>
        <w:rPr>
          <w:rFonts w:ascii="仿宋_GB2312" w:eastAsia="仿宋_GB2312"/>
          <w:b/>
          <w:sz w:val="32"/>
          <w:szCs w:val="32"/>
        </w:rPr>
        <w:t>乐山市金口河区信访局</w:t>
      </w:r>
      <w:r>
        <w:rPr>
          <w:rFonts w:hint="eastAsia" w:ascii="仿宋_GB2312" w:eastAsia="仿宋_GB2312"/>
          <w:sz w:val="32"/>
          <w:szCs w:val="32"/>
        </w:rPr>
        <w:t>政府采购支出总额</w:t>
      </w:r>
      <w:r>
        <w:rPr>
          <w:rFonts w:ascii="仿宋" w:hAnsi="仿宋" w:eastAsia="仿宋"/>
          <w:b/>
          <w:sz w:val="32"/>
          <w:szCs w:val="32"/>
        </w:rPr>
        <w:t>0</w:t>
      </w:r>
      <w:r>
        <w:rPr>
          <w:rFonts w:hint="eastAsia" w:ascii="仿宋_GB2312" w:eastAsia="仿宋_GB2312"/>
          <w:sz w:val="32"/>
          <w:szCs w:val="32"/>
        </w:rPr>
        <w:t>万元，其中：政府采购货物支出</w:t>
      </w:r>
      <w:r>
        <w:rPr>
          <w:rFonts w:ascii="仿宋" w:hAnsi="仿宋" w:eastAsia="仿宋"/>
          <w:b/>
          <w:sz w:val="32"/>
          <w:szCs w:val="32"/>
        </w:rPr>
        <w:t>0</w:t>
      </w:r>
      <w:r>
        <w:rPr>
          <w:rFonts w:hint="eastAsia" w:ascii="仿宋_GB2312" w:eastAsia="仿宋_GB2312"/>
          <w:sz w:val="32"/>
          <w:szCs w:val="32"/>
        </w:rPr>
        <w:t>万元、政府采购工程支出</w:t>
      </w:r>
      <w:r>
        <w:rPr>
          <w:rFonts w:ascii="仿宋" w:hAnsi="仿宋" w:eastAsia="仿宋"/>
          <w:b/>
          <w:sz w:val="32"/>
          <w:szCs w:val="32"/>
        </w:rPr>
        <w:t>0</w:t>
      </w:r>
      <w:r>
        <w:rPr>
          <w:rFonts w:hint="eastAsia" w:ascii="仿宋_GB2312" w:eastAsia="仿宋_GB2312"/>
          <w:sz w:val="32"/>
          <w:szCs w:val="32"/>
        </w:rPr>
        <w:t>万元、政府采购服务支出</w:t>
      </w:r>
      <w:r>
        <w:rPr>
          <w:rFonts w:ascii="仿宋" w:hAnsi="仿宋" w:eastAsia="仿宋"/>
          <w:b/>
          <w:sz w:val="32"/>
          <w:szCs w:val="32"/>
        </w:rPr>
        <w:t>0</w:t>
      </w:r>
      <w:r>
        <w:rPr>
          <w:rFonts w:hint="eastAsia" w:ascii="仿宋_GB2312" w:eastAsia="仿宋_GB2312"/>
          <w:sz w:val="32"/>
          <w:szCs w:val="32"/>
        </w:rPr>
        <w:t>万元。主要用于</w:t>
      </w:r>
      <w:r>
        <w:rPr>
          <w:rFonts w:hint="eastAsia" w:ascii="仿宋_GB2312" w:eastAsia="仿宋_GB2312"/>
          <w:sz w:val="32"/>
          <w:szCs w:val="32"/>
          <w:lang w:eastAsia="zh-CN"/>
        </w:rPr>
        <w:t>：无</w:t>
      </w:r>
      <w:r>
        <w:rPr>
          <w:rFonts w:hint="eastAsia" w:ascii="仿宋_GB2312" w:eastAsia="仿宋_GB2312"/>
          <w:sz w:val="32"/>
          <w:szCs w:val="32"/>
        </w:rPr>
        <w:t>。授予中小企业合同金额</w:t>
      </w:r>
      <w:r>
        <w:rPr>
          <w:rFonts w:ascii="仿宋" w:hAnsi="仿宋" w:eastAsia="仿宋"/>
          <w:b/>
          <w:sz w:val="32"/>
          <w:szCs w:val="32"/>
        </w:rPr>
        <w:t>0</w:t>
      </w:r>
      <w:r>
        <w:rPr>
          <w:rFonts w:hint="eastAsia" w:ascii="仿宋_GB2312" w:eastAsia="仿宋_GB2312"/>
          <w:sz w:val="32"/>
          <w:szCs w:val="32"/>
        </w:rPr>
        <w:t>万元，占政府采购支出总额的</w:t>
      </w:r>
      <w:r>
        <w:rPr>
          <w:rFonts w:ascii="仿宋_GB2312" w:eastAsia="仿宋_GB2312"/>
          <w:sz w:val="32"/>
          <w:szCs w:val="32"/>
        </w:rPr>
        <w:t>0%</w:t>
      </w:r>
      <w:r>
        <w:rPr>
          <w:rFonts w:hint="eastAsia" w:ascii="仿宋_GB2312" w:eastAsia="仿宋_GB2312"/>
          <w:sz w:val="32"/>
          <w:szCs w:val="32"/>
        </w:rPr>
        <w:t>，其中：授予小微企业合同金额</w:t>
      </w:r>
      <w:r>
        <w:rPr>
          <w:rFonts w:ascii="仿宋" w:hAnsi="仿宋" w:eastAsia="仿宋"/>
          <w:b/>
          <w:sz w:val="32"/>
          <w:szCs w:val="32"/>
        </w:rPr>
        <w:t>0</w:t>
      </w:r>
      <w:r>
        <w:rPr>
          <w:rFonts w:hint="eastAsia" w:ascii="仿宋_GB2312" w:eastAsia="仿宋_GB2312"/>
          <w:sz w:val="32"/>
          <w:szCs w:val="32"/>
        </w:rPr>
        <w:t>万元，占政府采购支出总额的</w:t>
      </w:r>
      <w:r>
        <w:rPr>
          <w:rFonts w:ascii="仿宋_GB2312" w:eastAsia="仿宋_GB2312"/>
          <w:b/>
          <w:sz w:val="32"/>
          <w:szCs w:val="32"/>
        </w:rPr>
        <w:t>0</w:t>
      </w:r>
      <w:r>
        <w:rPr>
          <w:rFonts w:ascii="仿宋_GB2312" w:eastAsia="仿宋_GB2312"/>
          <w:sz w:val="32"/>
          <w:szCs w:val="32"/>
        </w:rPr>
        <w:t>%</w:t>
      </w:r>
      <w:r>
        <w:rPr>
          <w:rFonts w:hint="eastAsia" w:ascii="仿宋_GB2312" w:eastAsia="仿宋_GB2312"/>
          <w:sz w:val="32"/>
          <w:szCs w:val="32"/>
        </w:rPr>
        <w:t>。</w:t>
      </w:r>
    </w:p>
    <w:p>
      <w:pPr>
        <w:spacing w:line="600" w:lineRule="exact"/>
        <w:ind w:firstLine="643" w:firstLineChars="200"/>
        <w:rPr>
          <w:rFonts w:ascii="仿宋" w:hAnsi="仿宋" w:eastAsia="仿宋"/>
          <w:b/>
          <w:sz w:val="32"/>
          <w:szCs w:val="32"/>
        </w:rPr>
      </w:pPr>
      <w:r>
        <w:rPr>
          <w:rFonts w:hint="eastAsia" w:ascii="仿宋" w:hAnsi="仿宋" w:eastAsia="仿宋"/>
          <w:b/>
          <w:sz w:val="32"/>
          <w:szCs w:val="32"/>
        </w:rPr>
        <w:t>（注：数据来源于财决附</w:t>
      </w:r>
      <w:r>
        <w:rPr>
          <w:rFonts w:ascii="仿宋" w:hAnsi="仿宋" w:eastAsia="仿宋"/>
          <w:b/>
          <w:sz w:val="32"/>
          <w:szCs w:val="32"/>
        </w:rPr>
        <w:t>03</w:t>
      </w:r>
      <w:r>
        <w:rPr>
          <w:rFonts w:hint="eastAsia" w:ascii="仿宋" w:hAnsi="仿宋" w:eastAsia="仿宋"/>
          <w:b/>
          <w:sz w:val="32"/>
          <w:szCs w:val="32"/>
        </w:rPr>
        <w:t>表）</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70" w:name="_Toc15377224"/>
      <w:r>
        <w:rPr>
          <w:rFonts w:hint="eastAsia" w:ascii="仿宋" w:hAnsi="仿宋" w:eastAsia="仿宋"/>
          <w:b/>
          <w:sz w:val="32"/>
          <w:szCs w:val="32"/>
        </w:rPr>
        <w:t>（三）国有资产占有使用情况</w:t>
      </w:r>
      <w:bookmarkEnd w:id="70"/>
    </w:p>
    <w:p>
      <w:pPr>
        <w:autoSpaceDE w:val="0"/>
        <w:autoSpaceDN w:val="0"/>
        <w:adjustRightInd w:val="0"/>
        <w:spacing w:line="600" w:lineRule="exact"/>
        <w:ind w:firstLine="640" w:firstLineChars="200"/>
        <w:jc w:val="left"/>
        <w:rPr>
          <w:rFonts w:ascii="仿宋_GB2312" w:eastAsia="仿宋_GB2312"/>
          <w:sz w:val="32"/>
          <w:szCs w:val="32"/>
        </w:rPr>
      </w:pPr>
      <w:r>
        <w:rPr>
          <w:rFonts w:hint="eastAsia" w:ascii="仿宋_GB2312" w:eastAsia="仿宋_GB2312"/>
          <w:sz w:val="32"/>
          <w:szCs w:val="32"/>
        </w:rPr>
        <w:t>截至2023年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w:t>
      </w:r>
      <w:r>
        <w:rPr>
          <w:rFonts w:ascii="仿宋_GB2312" w:eastAsia="仿宋_GB2312"/>
          <w:b/>
          <w:sz w:val="32"/>
          <w:szCs w:val="32"/>
        </w:rPr>
        <w:t>乐山市金口河区信访局</w:t>
      </w:r>
      <w:r>
        <w:rPr>
          <w:rFonts w:hint="eastAsia" w:ascii="仿宋_GB2312" w:eastAsia="仿宋_GB2312"/>
          <w:sz w:val="32"/>
          <w:szCs w:val="32"/>
        </w:rPr>
        <w:t>共有车辆</w:t>
      </w:r>
      <w:r>
        <w:rPr>
          <w:rFonts w:hint="eastAsia" w:ascii="仿宋_GB2312" w:eastAsia="仿宋_GB2312"/>
          <w:b/>
          <w:sz w:val="32"/>
          <w:szCs w:val="32"/>
        </w:rPr>
        <w:t>0</w:t>
      </w:r>
      <w:r>
        <w:rPr>
          <w:rFonts w:hint="eastAsia" w:ascii="仿宋_GB2312" w:eastAsia="仿宋_GB2312"/>
          <w:sz w:val="32"/>
          <w:szCs w:val="32"/>
        </w:rPr>
        <w:t>辆，其中：主要领导干部用车</w:t>
      </w:r>
      <w:r>
        <w:rPr>
          <w:rFonts w:hint="eastAsia" w:ascii="仿宋_GB2312" w:eastAsia="仿宋_GB2312"/>
          <w:sz w:val="32"/>
          <w:szCs w:val="32"/>
          <w:lang w:val="en-US" w:eastAsia="zh-CN"/>
        </w:rPr>
        <w:t>0</w:t>
      </w:r>
      <w:r>
        <w:rPr>
          <w:rFonts w:hint="eastAsia" w:ascii="仿宋_GB2312" w:eastAsia="仿宋_GB2312"/>
          <w:sz w:val="32"/>
          <w:szCs w:val="32"/>
        </w:rPr>
        <w:t>辆、机要通信用车</w:t>
      </w:r>
      <w:r>
        <w:rPr>
          <w:rFonts w:hint="eastAsia" w:ascii="仿宋_GB2312" w:eastAsia="仿宋_GB2312"/>
          <w:sz w:val="32"/>
          <w:szCs w:val="32"/>
          <w:lang w:val="en-US" w:eastAsia="zh-CN"/>
        </w:rPr>
        <w:t>0</w:t>
      </w:r>
      <w:r>
        <w:rPr>
          <w:rFonts w:hint="eastAsia" w:ascii="仿宋_GB2312" w:eastAsia="仿宋_GB2312"/>
          <w:sz w:val="32"/>
          <w:szCs w:val="32"/>
        </w:rPr>
        <w:t>辆、应急保障用车</w:t>
      </w:r>
      <w:r>
        <w:rPr>
          <w:rFonts w:hint="eastAsia" w:ascii="仿宋_GB2312" w:eastAsia="仿宋_GB2312"/>
          <w:sz w:val="32"/>
          <w:szCs w:val="32"/>
          <w:lang w:val="en-US" w:eastAsia="zh-CN"/>
        </w:rPr>
        <w:t>0</w:t>
      </w:r>
      <w:r>
        <w:rPr>
          <w:rFonts w:hint="eastAsia" w:ascii="仿宋_GB2312" w:eastAsia="仿宋_GB2312"/>
          <w:sz w:val="32"/>
          <w:szCs w:val="32"/>
        </w:rPr>
        <w:t>辆、其他用车</w:t>
      </w:r>
      <w:r>
        <w:rPr>
          <w:rFonts w:hint="eastAsia" w:ascii="仿宋_GB2312" w:eastAsia="仿宋_GB2312"/>
          <w:sz w:val="32"/>
          <w:szCs w:val="32"/>
          <w:lang w:val="en-US" w:eastAsia="zh-CN"/>
        </w:rPr>
        <w:t>0</w:t>
      </w:r>
      <w:r>
        <w:rPr>
          <w:rFonts w:hint="eastAsia" w:ascii="仿宋_GB2312" w:eastAsia="仿宋_GB2312"/>
          <w:sz w:val="32"/>
          <w:szCs w:val="32"/>
        </w:rPr>
        <w:t>辆，其他用车主要是用于</w:t>
      </w:r>
      <w:r>
        <w:rPr>
          <w:rFonts w:hint="eastAsia" w:ascii="仿宋_GB2312" w:eastAsia="仿宋_GB2312"/>
          <w:sz w:val="32"/>
          <w:szCs w:val="32"/>
          <w:lang w:eastAsia="zh-CN"/>
        </w:rPr>
        <w:t>：无</w:t>
      </w:r>
      <w:r>
        <w:rPr>
          <w:rFonts w:hint="eastAsia" w:ascii="仿宋_GB2312" w:eastAsia="仿宋_GB2312"/>
          <w:sz w:val="32"/>
          <w:szCs w:val="32"/>
        </w:rPr>
        <w:t>。</w:t>
      </w:r>
      <w:bookmarkStart w:id="71" w:name="OLE_LINK18"/>
      <w:r>
        <w:rPr>
          <w:rFonts w:hint="eastAsia" w:ascii="仿宋_GB2312" w:eastAsia="仿宋_GB2312"/>
          <w:sz w:val="32"/>
          <w:szCs w:val="32"/>
        </w:rPr>
        <w:t>单价</w:t>
      </w:r>
      <w:r>
        <w:rPr>
          <w:rFonts w:hint="eastAsia" w:ascii="仿宋_GB2312" w:eastAsia="仿宋_GB2312"/>
          <w:sz w:val="32"/>
          <w:szCs w:val="32"/>
          <w:lang w:val="en-US" w:eastAsia="zh-CN"/>
        </w:rPr>
        <w:t>50</w:t>
      </w:r>
      <w:r>
        <w:rPr>
          <w:rFonts w:hint="eastAsia" w:ascii="仿宋_GB2312" w:eastAsia="仿宋_GB2312"/>
          <w:sz w:val="32"/>
          <w:szCs w:val="32"/>
        </w:rPr>
        <w:t>万元以上</w:t>
      </w:r>
      <w:r>
        <w:rPr>
          <w:rFonts w:hint="eastAsia" w:ascii="仿宋_GB2312" w:eastAsia="仿宋_GB2312"/>
          <w:sz w:val="32"/>
          <w:szCs w:val="32"/>
          <w:lang w:eastAsia="zh-CN"/>
        </w:rPr>
        <w:t>通用</w:t>
      </w:r>
      <w:r>
        <w:rPr>
          <w:rFonts w:hint="eastAsia" w:ascii="仿宋_GB2312" w:eastAsia="仿宋_GB2312"/>
          <w:sz w:val="32"/>
          <w:szCs w:val="32"/>
        </w:rPr>
        <w:t>设备</w:t>
      </w:r>
      <w:r>
        <w:rPr>
          <w:rFonts w:ascii="仿宋_GB2312" w:eastAsia="仿宋_GB2312"/>
          <w:sz w:val="32"/>
          <w:szCs w:val="32"/>
        </w:rPr>
        <w:t>0</w:t>
      </w:r>
      <w:r>
        <w:rPr>
          <w:rFonts w:hint="eastAsia" w:ascii="仿宋_GB2312" w:eastAsia="仿宋_GB2312"/>
          <w:sz w:val="32"/>
          <w:szCs w:val="32"/>
        </w:rPr>
        <w:t>台（套）</w:t>
      </w:r>
      <w:bookmarkStart w:id="72" w:name="OLE_LINK27"/>
      <w:r>
        <w:rPr>
          <w:rFonts w:hint="eastAsia" w:ascii="仿宋_GB2312" w:eastAsia="仿宋_GB2312"/>
          <w:sz w:val="32"/>
          <w:szCs w:val="32"/>
          <w:lang w:eastAsia="zh-CN"/>
        </w:rPr>
        <w:t>，</w:t>
      </w:r>
      <w:bookmarkEnd w:id="71"/>
      <w:r>
        <w:rPr>
          <w:rFonts w:hint="eastAsia" w:ascii="仿宋_GB2312" w:eastAsia="仿宋_GB2312"/>
          <w:sz w:val="32"/>
          <w:szCs w:val="32"/>
        </w:rPr>
        <w:t>单价</w:t>
      </w:r>
      <w:r>
        <w:rPr>
          <w:rFonts w:ascii="仿宋_GB2312" w:eastAsia="仿宋_GB2312"/>
          <w:sz w:val="32"/>
          <w:szCs w:val="32"/>
        </w:rPr>
        <w:t>100</w:t>
      </w:r>
      <w:r>
        <w:rPr>
          <w:rFonts w:hint="eastAsia" w:ascii="仿宋_GB2312" w:eastAsia="仿宋_GB2312"/>
          <w:sz w:val="32"/>
          <w:szCs w:val="32"/>
        </w:rPr>
        <w:t>万元以上</w:t>
      </w:r>
      <w:r>
        <w:rPr>
          <w:rFonts w:hint="eastAsia" w:ascii="仿宋_GB2312" w:eastAsia="仿宋_GB2312"/>
          <w:sz w:val="32"/>
          <w:szCs w:val="32"/>
          <w:lang w:eastAsia="zh-CN"/>
        </w:rPr>
        <w:t>专用</w:t>
      </w:r>
      <w:r>
        <w:rPr>
          <w:rFonts w:hint="eastAsia" w:ascii="仿宋_GB2312" w:eastAsia="仿宋_GB2312"/>
          <w:sz w:val="32"/>
          <w:szCs w:val="32"/>
        </w:rPr>
        <w:t>设备（不含车辆）</w:t>
      </w:r>
      <w:r>
        <w:rPr>
          <w:rFonts w:ascii="仿宋_GB2312" w:eastAsia="仿宋_GB2312"/>
          <w:sz w:val="32"/>
          <w:szCs w:val="32"/>
        </w:rPr>
        <w:t>0</w:t>
      </w:r>
      <w:r>
        <w:rPr>
          <w:rFonts w:hint="eastAsia" w:ascii="仿宋_GB2312" w:eastAsia="仿宋_GB2312"/>
          <w:sz w:val="32"/>
          <w:szCs w:val="32"/>
        </w:rPr>
        <w:t>台（套）</w:t>
      </w:r>
      <w:bookmarkEnd w:id="72"/>
      <w:r>
        <w:rPr>
          <w:rFonts w:hint="eastAsia" w:ascii="仿宋_GB2312" w:eastAsia="仿宋_GB2312"/>
          <w:sz w:val="32"/>
          <w:szCs w:val="32"/>
        </w:rPr>
        <w:t>。</w:t>
      </w:r>
    </w:p>
    <w:p>
      <w:pPr>
        <w:autoSpaceDE w:val="0"/>
        <w:autoSpaceDN w:val="0"/>
        <w:adjustRightInd w:val="0"/>
        <w:spacing w:line="600" w:lineRule="exact"/>
        <w:ind w:firstLine="643" w:firstLineChars="200"/>
        <w:jc w:val="left"/>
        <w:rPr>
          <w:rFonts w:ascii="仿宋" w:hAnsi="仿宋" w:eastAsia="仿宋"/>
          <w:b/>
          <w:sz w:val="32"/>
          <w:szCs w:val="32"/>
        </w:rPr>
      </w:pPr>
      <w:r>
        <w:rPr>
          <w:rFonts w:hint="eastAsia" w:ascii="仿宋" w:hAnsi="仿宋" w:eastAsia="仿宋"/>
          <w:b/>
          <w:sz w:val="32"/>
          <w:szCs w:val="32"/>
        </w:rPr>
        <w:t>（注：数据来源于财决附</w:t>
      </w:r>
      <w:r>
        <w:rPr>
          <w:rFonts w:ascii="仿宋" w:hAnsi="仿宋" w:eastAsia="仿宋"/>
          <w:b/>
          <w:sz w:val="32"/>
          <w:szCs w:val="32"/>
        </w:rPr>
        <w:t>03</w:t>
      </w:r>
      <w:r>
        <w:rPr>
          <w:rFonts w:hint="eastAsia" w:ascii="仿宋" w:hAnsi="仿宋" w:eastAsia="仿宋"/>
          <w:b/>
          <w:sz w:val="32"/>
          <w:szCs w:val="32"/>
        </w:rPr>
        <w:t>表，按单位决算报表填报数据罗列车辆情况。）</w:t>
      </w:r>
    </w:p>
    <w:bookmarkEnd w:id="17"/>
    <w:p>
      <w:pPr>
        <w:autoSpaceDE w:val="0"/>
        <w:autoSpaceDN w:val="0"/>
        <w:adjustRightInd w:val="0"/>
        <w:spacing w:line="600" w:lineRule="exact"/>
        <w:ind w:firstLine="643" w:firstLineChars="200"/>
        <w:jc w:val="left"/>
        <w:outlineLvl w:val="2"/>
        <w:rPr>
          <w:rFonts w:ascii="仿宋" w:hAnsi="仿宋" w:eastAsia="仿宋"/>
          <w:b/>
          <w:sz w:val="32"/>
          <w:szCs w:val="32"/>
        </w:rPr>
      </w:pPr>
      <w:r>
        <w:rPr>
          <w:rFonts w:hint="eastAsia" w:ascii="仿宋" w:hAnsi="仿宋" w:eastAsia="仿宋"/>
          <w:b/>
          <w:sz w:val="32"/>
          <w:szCs w:val="32"/>
        </w:rPr>
        <w:t>（四）预算绩效管理情况</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根据预算绩效管理要求，本单位在2023年度预算编制阶段，组织对</w:t>
      </w:r>
      <w:bookmarkStart w:id="73" w:name="OLE_LINK28"/>
      <w:r>
        <w:rPr>
          <w:rFonts w:hint="eastAsia" w:ascii="仿宋_GB2312" w:eastAsia="仿宋_GB2312"/>
          <w:sz w:val="32"/>
          <w:szCs w:val="32"/>
          <w:lang w:eastAsia="zh-CN"/>
        </w:rPr>
        <w:t>疑难信访经费项目、信访维稳工作经费项目、巩固脱贫攻坚驻村工作队经费</w:t>
      </w:r>
      <w:r>
        <w:rPr>
          <w:rFonts w:hint="eastAsia" w:ascii="仿宋_GB2312" w:eastAsia="仿宋_GB2312"/>
          <w:sz w:val="32"/>
          <w:szCs w:val="32"/>
        </w:rPr>
        <w:t>项目</w:t>
      </w:r>
      <w:r>
        <w:rPr>
          <w:rFonts w:hint="eastAsia" w:ascii="仿宋_GB2312" w:eastAsia="仿宋_GB2312"/>
          <w:sz w:val="32"/>
          <w:szCs w:val="32"/>
          <w:lang w:val="en-US" w:eastAsia="zh-CN"/>
        </w:rPr>
        <w:t>3</w:t>
      </w:r>
      <w:r>
        <w:rPr>
          <w:rFonts w:hint="eastAsia" w:ascii="仿宋_GB2312" w:eastAsia="仿宋_GB2312"/>
          <w:sz w:val="32"/>
          <w:szCs w:val="32"/>
        </w:rPr>
        <w:t>个项目</w:t>
      </w:r>
      <w:bookmarkEnd w:id="73"/>
      <w:r>
        <w:rPr>
          <w:rFonts w:hint="eastAsia" w:ascii="仿宋_GB2312" w:eastAsia="仿宋_GB2312"/>
          <w:sz w:val="32"/>
          <w:szCs w:val="32"/>
        </w:rPr>
        <w:t>开展了预算事前绩效评估，对</w:t>
      </w:r>
      <w:r>
        <w:rPr>
          <w:rFonts w:hint="eastAsia" w:ascii="仿宋_GB2312" w:eastAsia="仿宋_GB2312"/>
          <w:sz w:val="32"/>
          <w:szCs w:val="32"/>
          <w:lang w:val="en-US" w:eastAsia="zh-CN"/>
        </w:rPr>
        <w:t>3</w:t>
      </w:r>
      <w:r>
        <w:rPr>
          <w:rFonts w:hint="eastAsia" w:ascii="仿宋_GB2312" w:eastAsia="仿宋_GB2312"/>
          <w:sz w:val="32"/>
          <w:szCs w:val="32"/>
        </w:rPr>
        <w:t>个项目编制了绩效目标，预算执行过程中，选取</w:t>
      </w:r>
      <w:r>
        <w:rPr>
          <w:rFonts w:hint="eastAsia" w:ascii="仿宋_GB2312" w:eastAsia="仿宋_GB2312"/>
          <w:sz w:val="32"/>
          <w:szCs w:val="32"/>
          <w:lang w:val="en-US" w:eastAsia="zh-CN"/>
        </w:rPr>
        <w:t>3</w:t>
      </w:r>
      <w:r>
        <w:rPr>
          <w:rFonts w:hint="eastAsia" w:ascii="仿宋_GB2312" w:eastAsia="仿宋_GB2312"/>
          <w:sz w:val="32"/>
          <w:szCs w:val="32"/>
        </w:rPr>
        <w:t>个项目开展绩效监控，组织对</w:t>
      </w:r>
      <w:r>
        <w:rPr>
          <w:rFonts w:hint="eastAsia" w:ascii="仿宋_GB2312" w:eastAsia="仿宋_GB2312"/>
          <w:sz w:val="32"/>
          <w:szCs w:val="32"/>
          <w:lang w:val="en-US" w:eastAsia="zh-CN"/>
        </w:rPr>
        <w:t>3</w:t>
      </w:r>
      <w:r>
        <w:rPr>
          <w:rFonts w:hint="eastAsia" w:ascii="仿宋_GB2312" w:eastAsia="仿宋_GB2312"/>
          <w:sz w:val="32"/>
          <w:szCs w:val="32"/>
        </w:rPr>
        <w:t>个项目开展绩效自评，绩效自评表详见第四部分附件。</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br w:type="page"/>
      </w:r>
    </w:p>
    <w:p>
      <w:pPr>
        <w:numPr>
          <w:ilvl w:val="0"/>
          <w:numId w:val="4"/>
        </w:numPr>
        <w:spacing w:line="600" w:lineRule="exact"/>
        <w:ind w:firstLine="883" w:firstLineChars="200"/>
        <w:jc w:val="center"/>
        <w:outlineLvl w:val="0"/>
        <w:rPr>
          <w:rFonts w:hint="eastAsia"/>
          <w:lang w:val="en-US" w:eastAsia="zh-CN"/>
        </w:rPr>
      </w:pPr>
      <w:bookmarkStart w:id="74" w:name="_Toc15396613"/>
      <w:bookmarkStart w:id="75" w:name="_Toc15377225"/>
      <w:r>
        <w:rPr>
          <w:rFonts w:hint="eastAsia" w:ascii="黑体" w:hAnsi="黑体" w:eastAsia="黑体" w:cs="黑体"/>
          <w:b/>
          <w:bCs/>
          <w:sz w:val="44"/>
          <w:szCs w:val="44"/>
        </w:rPr>
        <w:t>名词解释</w:t>
      </w:r>
      <w:bookmarkEnd w:id="74"/>
      <w:bookmarkEnd w:id="75"/>
    </w:p>
    <w:p>
      <w:pPr>
        <w:bidi w:val="0"/>
        <w:rPr>
          <w:rFonts w:hint="eastAsia"/>
          <w:lang w:val="en-US" w:eastAsia="zh-CN"/>
        </w:rPr>
      </w:pPr>
    </w:p>
    <w:p>
      <w:pPr>
        <w:pStyle w:val="27"/>
        <w:spacing w:line="560" w:lineRule="exact"/>
        <w:ind w:firstLine="640" w:firstLineChars="200"/>
        <w:rPr>
          <w:rFonts w:hint="eastAsia" w:ascii="仿宋_GB2312" w:eastAsia="仿宋_GB2312"/>
          <w:color w:val="auto"/>
          <w:sz w:val="32"/>
          <w:szCs w:val="32"/>
          <w:lang w:val="zh-CN" w:eastAsia="zh-CN"/>
        </w:rPr>
      </w:pPr>
      <w:bookmarkStart w:id="76" w:name="OLE_LINK19"/>
      <w:r>
        <w:rPr>
          <w:rFonts w:hint="eastAsia" w:ascii="仿宋_GB2312" w:eastAsia="仿宋_GB2312"/>
          <w:color w:val="auto"/>
          <w:sz w:val="32"/>
          <w:szCs w:val="32"/>
          <w:lang w:val="en-US" w:eastAsia="zh-CN"/>
        </w:rPr>
        <w:t>1.</w:t>
      </w:r>
      <w:r>
        <w:rPr>
          <w:rFonts w:hint="eastAsia" w:ascii="仿宋_GB2312" w:eastAsia="仿宋_GB2312"/>
          <w:color w:val="auto"/>
          <w:sz w:val="32"/>
          <w:szCs w:val="32"/>
          <w:lang w:val="zh-CN" w:eastAsia="zh-CN"/>
        </w:rPr>
        <w:t>财政拨款收入：指单位从同级财政部门取得的财政预算资金。</w:t>
      </w:r>
    </w:p>
    <w:p>
      <w:pPr>
        <w:pStyle w:val="27"/>
        <w:spacing w:line="560" w:lineRule="exact"/>
        <w:ind w:firstLine="640" w:firstLineChars="200"/>
        <w:rPr>
          <w:rFonts w:hint="eastAsia" w:ascii="仿宋_GB2312" w:eastAsia="仿宋_GB2312"/>
          <w:color w:val="auto"/>
          <w:sz w:val="32"/>
          <w:szCs w:val="32"/>
          <w:lang w:val="zh-CN" w:eastAsia="zh-CN"/>
        </w:rPr>
      </w:pPr>
      <w:r>
        <w:rPr>
          <w:rFonts w:hint="eastAsia" w:ascii="仿宋_GB2312" w:eastAsia="仿宋_GB2312"/>
          <w:color w:val="auto"/>
          <w:sz w:val="32"/>
          <w:szCs w:val="32"/>
          <w:lang w:val="zh-CN" w:eastAsia="zh-CN"/>
        </w:rPr>
        <w:t xml:space="preserve">2.其他收入：指单位取得的除上述收入以外的各项收入。主要是银行利息等。 </w:t>
      </w:r>
    </w:p>
    <w:p>
      <w:pPr>
        <w:pStyle w:val="27"/>
        <w:spacing w:line="560" w:lineRule="exact"/>
        <w:ind w:firstLine="640" w:firstLineChars="200"/>
        <w:rPr>
          <w:rFonts w:hint="eastAsia" w:ascii="仿宋_GB2312" w:eastAsia="仿宋_GB2312"/>
          <w:color w:val="auto"/>
          <w:sz w:val="32"/>
          <w:szCs w:val="32"/>
          <w:lang w:val="zh-CN" w:eastAsia="zh-CN"/>
        </w:rPr>
      </w:pPr>
      <w:r>
        <w:rPr>
          <w:rFonts w:hint="eastAsia" w:ascii="仿宋_GB2312" w:eastAsia="仿宋_GB2312"/>
          <w:color w:val="auto"/>
          <w:sz w:val="32"/>
          <w:szCs w:val="32"/>
          <w:lang w:val="zh-CN" w:eastAsia="zh-CN"/>
        </w:rPr>
        <w:t xml:space="preserve">3.年初结转和结余：指以前年度尚未完成、结转到本年按有关规定继续使用的资金。 </w:t>
      </w:r>
    </w:p>
    <w:p>
      <w:pPr>
        <w:pStyle w:val="27"/>
        <w:spacing w:line="560" w:lineRule="exact"/>
        <w:ind w:firstLine="640" w:firstLineChars="200"/>
        <w:rPr>
          <w:rFonts w:hint="eastAsia" w:ascii="仿宋_GB2312" w:eastAsia="仿宋_GB2312"/>
          <w:color w:val="auto"/>
          <w:sz w:val="32"/>
          <w:szCs w:val="32"/>
          <w:lang w:val="zh-CN" w:eastAsia="zh-CN"/>
        </w:rPr>
      </w:pPr>
      <w:r>
        <w:rPr>
          <w:rFonts w:hint="eastAsia" w:ascii="仿宋_GB2312" w:eastAsia="仿宋_GB2312"/>
          <w:color w:val="auto"/>
          <w:sz w:val="32"/>
          <w:szCs w:val="32"/>
          <w:lang w:val="zh-CN" w:eastAsia="zh-CN"/>
        </w:rPr>
        <w:t>4.年末结转和结余：指单位按有关规定结转到下年或以后年度继续使用的资金。</w:t>
      </w:r>
    </w:p>
    <w:p>
      <w:pPr>
        <w:pStyle w:val="27"/>
        <w:spacing w:line="560" w:lineRule="exact"/>
        <w:ind w:firstLine="640" w:firstLineChars="200"/>
        <w:rPr>
          <w:rFonts w:hint="eastAsia" w:ascii="仿宋_GB2312" w:eastAsia="仿宋_GB2312"/>
          <w:color w:val="auto"/>
          <w:sz w:val="32"/>
          <w:szCs w:val="32"/>
          <w:lang w:val="zh-CN" w:eastAsia="zh-CN"/>
        </w:rPr>
      </w:pPr>
      <w:r>
        <w:rPr>
          <w:rFonts w:hint="eastAsia" w:ascii="仿宋_GB2312" w:eastAsia="仿宋_GB2312"/>
          <w:color w:val="auto"/>
          <w:sz w:val="32"/>
          <w:szCs w:val="32"/>
          <w:lang w:val="zh-CN" w:eastAsia="zh-CN"/>
        </w:rPr>
        <w:t>5.一般公共服务（类）政府办公厅（室）及相关机构事务（款）行政运行（项）：反映行政单位的基本支出。</w:t>
      </w:r>
    </w:p>
    <w:p>
      <w:pPr>
        <w:pStyle w:val="27"/>
        <w:spacing w:line="560" w:lineRule="exact"/>
        <w:ind w:firstLine="640" w:firstLineChars="200"/>
        <w:rPr>
          <w:rFonts w:hint="eastAsia" w:ascii="仿宋_GB2312" w:eastAsia="仿宋_GB2312"/>
          <w:color w:val="auto"/>
          <w:sz w:val="32"/>
          <w:szCs w:val="32"/>
          <w:lang w:val="zh-CN" w:eastAsia="zh-CN"/>
        </w:rPr>
      </w:pPr>
      <w:r>
        <w:rPr>
          <w:rFonts w:hint="eastAsia" w:ascii="仿宋_GB2312" w:eastAsia="仿宋_GB2312"/>
          <w:color w:val="auto"/>
          <w:sz w:val="32"/>
          <w:szCs w:val="32"/>
          <w:lang w:val="en-US" w:eastAsia="zh-CN"/>
        </w:rPr>
        <w:t>6.</w:t>
      </w:r>
      <w:r>
        <w:rPr>
          <w:rFonts w:hint="eastAsia" w:ascii="仿宋_GB2312" w:eastAsia="仿宋_GB2312"/>
          <w:color w:val="auto"/>
          <w:sz w:val="32"/>
          <w:szCs w:val="32"/>
          <w:lang w:val="zh-CN" w:eastAsia="zh-CN"/>
        </w:rPr>
        <w:t>一般公共服务（类）政府办公厅（室）及相关机构事务（款）一般行政管理事务（项）：反映行政单位未单独设置项级科目的其他项目支出。</w:t>
      </w:r>
    </w:p>
    <w:p>
      <w:pPr>
        <w:pStyle w:val="27"/>
        <w:spacing w:line="560" w:lineRule="exact"/>
        <w:ind w:firstLine="640" w:firstLineChars="200"/>
        <w:rPr>
          <w:rFonts w:hint="eastAsia" w:ascii="仿宋_GB2312" w:eastAsia="仿宋_GB2312"/>
          <w:color w:val="auto"/>
          <w:sz w:val="32"/>
          <w:szCs w:val="32"/>
          <w:lang w:val="zh-CN" w:eastAsia="zh-CN"/>
        </w:rPr>
      </w:pPr>
      <w:r>
        <w:rPr>
          <w:rFonts w:hint="eastAsia" w:ascii="仿宋_GB2312" w:eastAsia="仿宋_GB2312"/>
          <w:color w:val="auto"/>
          <w:sz w:val="32"/>
          <w:szCs w:val="32"/>
          <w:lang w:val="en-US" w:eastAsia="zh-CN"/>
        </w:rPr>
        <w:t>7.</w:t>
      </w:r>
      <w:r>
        <w:rPr>
          <w:rFonts w:hint="eastAsia" w:ascii="仿宋_GB2312" w:eastAsia="仿宋_GB2312"/>
          <w:color w:val="auto"/>
          <w:sz w:val="32"/>
          <w:szCs w:val="32"/>
          <w:lang w:val="zh-CN" w:eastAsia="zh-CN"/>
        </w:rPr>
        <w:t>一般公共服务（类）政府办公厅（室）及相关机构事务（款）信访事务（项）：反映各级政府用于接待群众来信来访方面的支出。</w:t>
      </w:r>
    </w:p>
    <w:p>
      <w:pPr>
        <w:pStyle w:val="27"/>
        <w:spacing w:line="560" w:lineRule="exact"/>
        <w:ind w:firstLine="640" w:firstLineChars="200"/>
        <w:rPr>
          <w:rFonts w:hint="eastAsia" w:ascii="仿宋_GB2312" w:eastAsia="仿宋_GB2312"/>
          <w:color w:val="auto"/>
          <w:sz w:val="32"/>
          <w:szCs w:val="32"/>
          <w:lang w:val="zh-CN" w:eastAsia="zh-CN"/>
        </w:rPr>
      </w:pPr>
      <w:r>
        <w:rPr>
          <w:rFonts w:hint="eastAsia" w:ascii="仿宋_GB2312" w:eastAsia="仿宋_GB2312"/>
          <w:color w:val="auto"/>
          <w:sz w:val="32"/>
          <w:szCs w:val="32"/>
          <w:lang w:val="en-US" w:eastAsia="zh-CN"/>
        </w:rPr>
        <w:t>8.</w:t>
      </w:r>
      <w:r>
        <w:rPr>
          <w:rFonts w:hint="eastAsia" w:ascii="仿宋_GB2312" w:eastAsia="仿宋_GB2312"/>
          <w:color w:val="auto"/>
          <w:sz w:val="32"/>
          <w:szCs w:val="32"/>
          <w:lang w:val="zh-CN" w:eastAsia="zh-CN"/>
        </w:rPr>
        <w:t>一般公共服务（类）政府办公厅（室）及相关机构事务（款）事业运行（项）：反映事业单位的基本支出，不包括行政单位后勤服务中心、医疗室等附属事业单位。</w:t>
      </w:r>
    </w:p>
    <w:p>
      <w:pPr>
        <w:pStyle w:val="27"/>
        <w:spacing w:line="560" w:lineRule="exact"/>
        <w:ind w:firstLine="640" w:firstLineChars="200"/>
        <w:rPr>
          <w:rFonts w:hint="eastAsia" w:ascii="仿宋_GB2312" w:eastAsia="仿宋_GB2312"/>
          <w:color w:val="auto"/>
          <w:sz w:val="32"/>
          <w:szCs w:val="32"/>
          <w:lang w:val="zh-CN" w:eastAsia="zh-CN"/>
        </w:rPr>
      </w:pPr>
      <w:r>
        <w:rPr>
          <w:rFonts w:hint="eastAsia" w:ascii="仿宋_GB2312" w:eastAsia="仿宋_GB2312"/>
          <w:color w:val="auto"/>
          <w:sz w:val="32"/>
          <w:szCs w:val="32"/>
          <w:lang w:val="en-US" w:eastAsia="zh-CN"/>
        </w:rPr>
        <w:t>9</w:t>
      </w:r>
      <w:r>
        <w:rPr>
          <w:rFonts w:hint="eastAsia" w:ascii="仿宋_GB2312" w:eastAsia="仿宋_GB2312"/>
          <w:color w:val="auto"/>
          <w:sz w:val="32"/>
          <w:szCs w:val="32"/>
          <w:lang w:val="zh-CN" w:eastAsia="zh-CN"/>
        </w:rPr>
        <w:t>.社会保障和就业（类）行政事业单位养老支出（款）机关事业单位基本养老保险缴费（项）：指机关事业单位实施养老保险制度由单位缴纳的基本养老保险费支出。</w:t>
      </w:r>
    </w:p>
    <w:p>
      <w:pPr>
        <w:pStyle w:val="27"/>
        <w:spacing w:line="560" w:lineRule="exact"/>
        <w:ind w:firstLine="640" w:firstLineChars="200"/>
        <w:rPr>
          <w:rFonts w:hint="eastAsia" w:ascii="仿宋_GB2312" w:eastAsia="仿宋_GB2312"/>
          <w:color w:val="auto"/>
          <w:sz w:val="32"/>
          <w:szCs w:val="32"/>
          <w:lang w:val="zh-CN" w:eastAsia="zh-CN"/>
        </w:rPr>
      </w:pPr>
      <w:r>
        <w:rPr>
          <w:rFonts w:hint="eastAsia" w:ascii="仿宋_GB2312" w:eastAsia="仿宋_GB2312"/>
          <w:color w:val="auto"/>
          <w:sz w:val="32"/>
          <w:szCs w:val="32"/>
          <w:lang w:val="en-US" w:eastAsia="zh-CN"/>
        </w:rPr>
        <w:t>10.</w:t>
      </w:r>
      <w:r>
        <w:rPr>
          <w:rFonts w:hint="eastAsia" w:ascii="仿宋_GB2312" w:eastAsia="仿宋_GB2312"/>
          <w:color w:val="auto"/>
          <w:sz w:val="32"/>
          <w:szCs w:val="32"/>
          <w:lang w:val="zh-CN" w:eastAsia="zh-CN"/>
        </w:rPr>
        <w:t>社会保障和就业（类）行政事业单位养老支出（款）机关事业单位职业年金缴费（项）：指机关事业单位实施养老保险制度由单位实际缴纳的职业年金支出。</w:t>
      </w:r>
    </w:p>
    <w:p>
      <w:pPr>
        <w:pStyle w:val="27"/>
        <w:spacing w:line="560" w:lineRule="exact"/>
        <w:ind w:firstLine="640" w:firstLineChars="200"/>
        <w:rPr>
          <w:rFonts w:hint="eastAsia" w:ascii="仿宋_GB2312" w:eastAsia="仿宋_GB2312"/>
          <w:color w:val="auto"/>
          <w:sz w:val="32"/>
          <w:szCs w:val="32"/>
          <w:lang w:val="zh-CN" w:eastAsia="zh-CN"/>
        </w:rPr>
      </w:pPr>
      <w:r>
        <w:rPr>
          <w:rFonts w:hint="eastAsia" w:ascii="仿宋_GB2312" w:eastAsia="仿宋_GB2312"/>
          <w:color w:val="auto"/>
          <w:sz w:val="32"/>
          <w:szCs w:val="32"/>
          <w:lang w:val="en-US" w:eastAsia="zh-CN"/>
        </w:rPr>
        <w:t>11.</w:t>
      </w:r>
      <w:r>
        <w:rPr>
          <w:rFonts w:hint="eastAsia" w:ascii="仿宋_GB2312" w:eastAsia="仿宋_GB2312"/>
          <w:color w:val="auto"/>
          <w:sz w:val="32"/>
          <w:szCs w:val="32"/>
          <w:lang w:val="zh-CN" w:eastAsia="zh-CN"/>
        </w:rPr>
        <w:t>社会保障和就业（类）行政事业单位养老支出（款）其他行政事业单位养老支出（项）：指其他用于行政事业单位养老方面的支出。</w:t>
      </w:r>
    </w:p>
    <w:p>
      <w:pPr>
        <w:pStyle w:val="27"/>
        <w:spacing w:line="560" w:lineRule="exact"/>
        <w:ind w:firstLine="640" w:firstLineChars="200"/>
        <w:rPr>
          <w:rFonts w:hint="eastAsia" w:ascii="仿宋_GB2312" w:eastAsia="仿宋_GB2312"/>
          <w:color w:val="auto"/>
          <w:sz w:val="32"/>
          <w:szCs w:val="32"/>
          <w:lang w:val="zh-CN" w:eastAsia="zh-CN"/>
        </w:rPr>
      </w:pPr>
      <w:r>
        <w:rPr>
          <w:rFonts w:hint="eastAsia" w:ascii="仿宋_GB2312" w:eastAsia="仿宋_GB2312"/>
          <w:color w:val="auto"/>
          <w:sz w:val="32"/>
          <w:szCs w:val="32"/>
          <w:lang w:val="en-US" w:eastAsia="zh-CN"/>
        </w:rPr>
        <w:t>12.</w:t>
      </w:r>
      <w:r>
        <w:rPr>
          <w:rFonts w:hint="eastAsia" w:ascii="仿宋_GB2312" w:eastAsia="仿宋_GB2312"/>
          <w:color w:val="auto"/>
          <w:sz w:val="32"/>
          <w:szCs w:val="32"/>
          <w:lang w:val="zh-CN" w:eastAsia="zh-CN"/>
        </w:rPr>
        <w:t>社会保障和就业（类）残疾人事业（款）残疾人就业（项）：指残疾人联合会用于残疾人就业方面的支出。</w:t>
      </w:r>
    </w:p>
    <w:p>
      <w:pPr>
        <w:pStyle w:val="27"/>
        <w:spacing w:line="560" w:lineRule="exact"/>
        <w:ind w:firstLine="640" w:firstLineChars="200"/>
        <w:rPr>
          <w:rFonts w:hint="eastAsia" w:ascii="仿宋_GB2312" w:eastAsia="仿宋_GB2312"/>
          <w:color w:val="auto"/>
          <w:sz w:val="32"/>
          <w:szCs w:val="32"/>
          <w:lang w:val="zh-CN" w:eastAsia="zh-CN"/>
        </w:rPr>
      </w:pPr>
      <w:r>
        <w:rPr>
          <w:rFonts w:hint="eastAsia" w:ascii="仿宋_GB2312" w:eastAsia="仿宋_GB2312"/>
          <w:color w:val="auto"/>
          <w:sz w:val="32"/>
          <w:szCs w:val="32"/>
          <w:lang w:val="en-US" w:eastAsia="zh-CN"/>
        </w:rPr>
        <w:t>13.</w:t>
      </w:r>
      <w:r>
        <w:rPr>
          <w:rFonts w:hint="eastAsia" w:ascii="仿宋_GB2312" w:eastAsia="仿宋_GB2312"/>
          <w:color w:val="auto"/>
          <w:sz w:val="32"/>
          <w:szCs w:val="32"/>
          <w:lang w:val="zh-CN" w:eastAsia="zh-CN"/>
        </w:rPr>
        <w:t>社会保障和就业（类）其他社会保障和就业支出（款）其他社会保障和就业支出（项）: 指其他用于社会保障和就业方面的支出。</w:t>
      </w:r>
    </w:p>
    <w:p>
      <w:pPr>
        <w:pStyle w:val="27"/>
        <w:spacing w:line="560" w:lineRule="exact"/>
        <w:ind w:firstLine="640" w:firstLineChars="200"/>
        <w:rPr>
          <w:rFonts w:hint="eastAsia" w:ascii="仿宋_GB2312" w:eastAsia="仿宋_GB2312"/>
          <w:color w:val="auto"/>
          <w:sz w:val="32"/>
          <w:szCs w:val="32"/>
          <w:lang w:val="zh-CN" w:eastAsia="zh-CN"/>
        </w:rPr>
      </w:pPr>
      <w:r>
        <w:rPr>
          <w:rFonts w:hint="eastAsia" w:ascii="仿宋_GB2312" w:eastAsia="仿宋_GB2312"/>
          <w:color w:val="auto"/>
          <w:sz w:val="32"/>
          <w:szCs w:val="32"/>
          <w:lang w:val="en-US" w:eastAsia="zh-CN"/>
        </w:rPr>
        <w:t>14</w:t>
      </w:r>
      <w:r>
        <w:rPr>
          <w:rFonts w:hint="eastAsia" w:ascii="仿宋_GB2312" w:eastAsia="仿宋_GB2312"/>
          <w:color w:val="auto"/>
          <w:sz w:val="32"/>
          <w:szCs w:val="32"/>
          <w:lang w:val="zh-CN" w:eastAsia="zh-CN"/>
        </w:rPr>
        <w:t xml:space="preserve">.医疗卫生与计划生育（类）行政事业单位医疗（款）行政单位医疗（项）: 指财政部门安排的行政单位基本医疗保险缴费经费，未参加医疗保险的行政单位的公费医疗经费，按国家规定享受离休人员、红军老战士待遇人员的医疗经费。  </w:t>
      </w:r>
    </w:p>
    <w:p>
      <w:pPr>
        <w:pStyle w:val="27"/>
        <w:spacing w:line="560" w:lineRule="exact"/>
        <w:ind w:firstLine="640" w:firstLineChars="200"/>
        <w:rPr>
          <w:rFonts w:hint="eastAsia" w:ascii="仿宋_GB2312" w:eastAsia="仿宋_GB2312"/>
          <w:color w:val="auto"/>
          <w:sz w:val="32"/>
          <w:szCs w:val="32"/>
          <w:lang w:val="zh-CN" w:eastAsia="zh-CN"/>
        </w:rPr>
      </w:pPr>
      <w:r>
        <w:rPr>
          <w:rFonts w:hint="eastAsia" w:ascii="仿宋_GB2312" w:eastAsia="仿宋_GB2312"/>
          <w:color w:val="auto"/>
          <w:sz w:val="32"/>
          <w:szCs w:val="32"/>
          <w:lang w:val="en-US" w:eastAsia="zh-CN"/>
        </w:rPr>
        <w:t>15.</w:t>
      </w:r>
      <w:r>
        <w:rPr>
          <w:rFonts w:hint="eastAsia" w:ascii="仿宋_GB2312" w:eastAsia="仿宋_GB2312"/>
          <w:color w:val="auto"/>
          <w:sz w:val="32"/>
          <w:szCs w:val="32"/>
          <w:lang w:val="zh-CN" w:eastAsia="zh-CN"/>
        </w:rPr>
        <w:t xml:space="preserve">医疗卫生与计划生育（类）行政事业单位医疗（款）事业单位医疗（项）: 指财政部门集中安排的事业单位基本医疗保险缴费经费，未参加医疗保险的事业单位的公费医疗经费，按国家规定享受离休人员待遇的医疗经费。    </w:t>
      </w:r>
    </w:p>
    <w:p>
      <w:pPr>
        <w:pStyle w:val="27"/>
        <w:spacing w:line="560" w:lineRule="exact"/>
        <w:ind w:firstLine="640" w:firstLineChars="200"/>
        <w:rPr>
          <w:rFonts w:hint="eastAsia" w:ascii="仿宋_GB2312" w:eastAsia="仿宋_GB2312"/>
          <w:color w:val="auto"/>
          <w:sz w:val="32"/>
          <w:szCs w:val="32"/>
          <w:lang w:val="zh-CN" w:eastAsia="zh-CN"/>
        </w:rPr>
      </w:pPr>
      <w:r>
        <w:rPr>
          <w:rFonts w:hint="eastAsia" w:ascii="仿宋_GB2312" w:eastAsia="仿宋_GB2312"/>
          <w:color w:val="auto"/>
          <w:sz w:val="32"/>
          <w:szCs w:val="32"/>
          <w:lang w:val="en-US" w:eastAsia="zh-CN"/>
        </w:rPr>
        <w:t>16.</w:t>
      </w:r>
      <w:r>
        <w:rPr>
          <w:rFonts w:hint="eastAsia" w:ascii="仿宋_GB2312" w:eastAsia="仿宋_GB2312"/>
          <w:color w:val="auto"/>
          <w:sz w:val="32"/>
          <w:szCs w:val="32"/>
          <w:lang w:val="zh-CN" w:eastAsia="zh-CN"/>
        </w:rPr>
        <w:t>医疗卫生与计划生育（类）行政事业单位医疗（款）公务员医疗补助（项）: 指财政部门安排的公务员医疗补助。</w:t>
      </w:r>
    </w:p>
    <w:p>
      <w:pPr>
        <w:pStyle w:val="27"/>
        <w:spacing w:line="560" w:lineRule="exact"/>
        <w:ind w:firstLine="640" w:firstLineChars="200"/>
        <w:rPr>
          <w:rFonts w:hint="eastAsia" w:ascii="仿宋_GB2312" w:eastAsia="仿宋_GB2312"/>
          <w:color w:val="auto"/>
          <w:sz w:val="32"/>
          <w:szCs w:val="32"/>
          <w:lang w:val="zh-CN" w:eastAsia="zh-CN"/>
        </w:rPr>
      </w:pPr>
      <w:r>
        <w:rPr>
          <w:rFonts w:hint="eastAsia" w:ascii="仿宋_GB2312" w:eastAsia="仿宋_GB2312"/>
          <w:color w:val="auto"/>
          <w:sz w:val="32"/>
          <w:szCs w:val="32"/>
          <w:lang w:val="en-US" w:eastAsia="zh-CN"/>
        </w:rPr>
        <w:t>17</w:t>
      </w:r>
      <w:r>
        <w:rPr>
          <w:rFonts w:hint="eastAsia" w:ascii="仿宋_GB2312" w:eastAsia="仿宋_GB2312"/>
          <w:color w:val="auto"/>
          <w:sz w:val="32"/>
          <w:szCs w:val="32"/>
          <w:lang w:val="zh-CN" w:eastAsia="zh-CN"/>
        </w:rPr>
        <w:t>.农林水（类）巩固拓展脱贫攻坚成果衔接乡村振兴（款）其他巩固拓展脱贫攻坚成果衔接乡村振兴支出（项）: 反映其他用于巩固拓展脱贫攻坚成果同乡村振兴有效衔接方面的支出。</w:t>
      </w:r>
    </w:p>
    <w:p>
      <w:pPr>
        <w:pStyle w:val="27"/>
        <w:spacing w:line="560" w:lineRule="exact"/>
        <w:ind w:firstLine="640" w:firstLineChars="200"/>
        <w:rPr>
          <w:rFonts w:hint="eastAsia" w:ascii="仿宋_GB2312" w:eastAsia="仿宋_GB2312"/>
          <w:color w:val="auto"/>
          <w:sz w:val="32"/>
          <w:szCs w:val="32"/>
          <w:lang w:val="zh-CN" w:eastAsia="zh-CN"/>
        </w:rPr>
      </w:pPr>
      <w:r>
        <w:rPr>
          <w:rFonts w:hint="eastAsia" w:ascii="仿宋_GB2312" w:eastAsia="仿宋_GB2312"/>
          <w:color w:val="auto"/>
          <w:sz w:val="32"/>
          <w:szCs w:val="32"/>
          <w:lang w:val="en-US" w:eastAsia="zh-CN"/>
        </w:rPr>
        <w:t>18</w:t>
      </w:r>
      <w:r>
        <w:rPr>
          <w:rFonts w:hint="eastAsia" w:ascii="仿宋_GB2312" w:eastAsia="仿宋_GB2312"/>
          <w:color w:val="auto"/>
          <w:sz w:val="32"/>
          <w:szCs w:val="32"/>
          <w:lang w:val="zh-CN" w:eastAsia="zh-CN"/>
        </w:rPr>
        <w:t>.住房保障（类）住房改革支出（款）住房公积金（项）: 指行政事业单位按人力资源和社会保障部、财政部规定的基本工资和津贴补贴以及规定比例为职工缴纳的住房公积金。</w:t>
      </w:r>
    </w:p>
    <w:p>
      <w:pPr>
        <w:pStyle w:val="27"/>
        <w:spacing w:line="560" w:lineRule="exact"/>
        <w:ind w:firstLine="640" w:firstLineChars="200"/>
        <w:rPr>
          <w:rFonts w:hint="eastAsia" w:ascii="仿宋_GB2312" w:eastAsia="仿宋_GB2312"/>
          <w:color w:val="auto"/>
          <w:sz w:val="32"/>
          <w:szCs w:val="32"/>
          <w:lang w:val="zh-CN" w:eastAsia="zh-CN"/>
        </w:rPr>
      </w:pPr>
      <w:r>
        <w:rPr>
          <w:rFonts w:hint="eastAsia" w:ascii="仿宋_GB2312" w:eastAsia="仿宋_GB2312"/>
          <w:color w:val="auto"/>
          <w:sz w:val="32"/>
          <w:szCs w:val="32"/>
          <w:lang w:val="zh-CN" w:eastAsia="zh-CN"/>
        </w:rPr>
        <w:t>1</w:t>
      </w:r>
      <w:r>
        <w:rPr>
          <w:rFonts w:hint="eastAsia" w:ascii="仿宋_GB2312" w:eastAsia="仿宋_GB2312"/>
          <w:color w:val="auto"/>
          <w:sz w:val="32"/>
          <w:szCs w:val="32"/>
          <w:lang w:val="en-US" w:eastAsia="zh-CN"/>
        </w:rPr>
        <w:t>9</w:t>
      </w:r>
      <w:r>
        <w:rPr>
          <w:rFonts w:hint="eastAsia" w:ascii="仿宋_GB2312" w:eastAsia="仿宋_GB2312"/>
          <w:color w:val="auto"/>
          <w:sz w:val="32"/>
          <w:szCs w:val="32"/>
          <w:lang w:val="zh-CN" w:eastAsia="zh-CN"/>
        </w:rPr>
        <w:t>.基本支出：指为保障机构正常运转、完成日常工作任务而发生的人员支出和公用支出。</w:t>
      </w:r>
    </w:p>
    <w:p>
      <w:pPr>
        <w:pStyle w:val="27"/>
        <w:spacing w:line="560" w:lineRule="exact"/>
        <w:ind w:firstLine="640" w:firstLineChars="200"/>
        <w:rPr>
          <w:rFonts w:hint="eastAsia" w:ascii="仿宋_GB2312" w:eastAsia="仿宋_GB2312"/>
          <w:color w:val="auto"/>
          <w:sz w:val="32"/>
          <w:szCs w:val="32"/>
          <w:lang w:val="zh-CN" w:eastAsia="zh-CN"/>
        </w:rPr>
      </w:pPr>
      <w:r>
        <w:rPr>
          <w:rFonts w:hint="eastAsia" w:ascii="仿宋_GB2312" w:eastAsia="仿宋_GB2312"/>
          <w:color w:val="auto"/>
          <w:sz w:val="32"/>
          <w:szCs w:val="32"/>
          <w:lang w:val="en-US" w:eastAsia="zh-CN"/>
        </w:rPr>
        <w:t>20</w:t>
      </w:r>
      <w:r>
        <w:rPr>
          <w:rFonts w:hint="eastAsia" w:ascii="仿宋_GB2312" w:eastAsia="仿宋_GB2312"/>
          <w:color w:val="auto"/>
          <w:sz w:val="32"/>
          <w:szCs w:val="32"/>
          <w:lang w:val="zh-CN" w:eastAsia="zh-CN"/>
        </w:rPr>
        <w:t xml:space="preserve">.项目支出：指在基本支出之外为完成特定行政任务和事业发展目标所发生的支出。 </w:t>
      </w:r>
    </w:p>
    <w:p>
      <w:pPr>
        <w:pStyle w:val="27"/>
        <w:spacing w:line="560" w:lineRule="exact"/>
        <w:ind w:firstLine="640" w:firstLineChars="200"/>
        <w:rPr>
          <w:rFonts w:hint="eastAsia" w:ascii="仿宋_GB2312" w:eastAsia="仿宋_GB2312"/>
          <w:color w:val="auto"/>
          <w:sz w:val="32"/>
          <w:szCs w:val="32"/>
          <w:lang w:val="zh-CN" w:eastAsia="zh-CN"/>
        </w:rPr>
      </w:pPr>
      <w:r>
        <w:rPr>
          <w:rFonts w:hint="eastAsia" w:ascii="仿宋_GB2312" w:eastAsia="仿宋_GB2312"/>
          <w:color w:val="auto"/>
          <w:sz w:val="32"/>
          <w:szCs w:val="32"/>
          <w:lang w:val="en-US" w:eastAsia="zh-CN"/>
        </w:rPr>
        <w:t>21</w:t>
      </w:r>
      <w:r>
        <w:rPr>
          <w:rFonts w:hint="eastAsia" w:ascii="仿宋_GB2312" w:eastAsia="仿宋_GB2312"/>
          <w:color w:val="auto"/>
          <w:sz w:val="32"/>
          <w:szCs w:val="32"/>
          <w:lang w:val="zh-CN" w:eastAsia="zh-CN"/>
        </w:rPr>
        <w:t>.“三公”经费：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7"/>
        <w:spacing w:line="560" w:lineRule="exact"/>
        <w:ind w:firstLine="640" w:firstLineChars="200"/>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22</w:t>
      </w:r>
      <w:r>
        <w:rPr>
          <w:rFonts w:hint="eastAsia" w:ascii="仿宋_GB2312" w:eastAsia="仿宋_GB2312"/>
          <w:color w:val="auto"/>
          <w:sz w:val="32"/>
          <w:szCs w:val="32"/>
          <w:lang w:val="zh-CN" w:eastAsia="zh-CN"/>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r>
        <w:rPr>
          <w:rFonts w:hint="eastAsia" w:ascii="仿宋_GB2312" w:eastAsia="仿宋_GB2312"/>
          <w:color w:val="auto"/>
          <w:sz w:val="32"/>
          <w:szCs w:val="32"/>
          <w:lang w:val="en-US" w:eastAsia="zh-CN"/>
        </w:rPr>
        <w:t>。</w:t>
      </w:r>
      <w:bookmarkStart w:id="77" w:name="_Toc15396614"/>
      <w:bookmarkStart w:id="78" w:name="_Toc15377226"/>
    </w:p>
    <w:p>
      <w:pPr>
        <w:pStyle w:val="27"/>
        <w:spacing w:line="560" w:lineRule="exact"/>
        <w:ind w:firstLine="640" w:firstLineChars="200"/>
        <w:rPr>
          <w:rFonts w:hint="eastAsia" w:ascii="仿宋_GB2312" w:eastAsia="仿宋_GB2312"/>
          <w:color w:val="auto"/>
          <w:sz w:val="32"/>
          <w:szCs w:val="32"/>
          <w:lang w:val="en-US" w:eastAsia="zh-CN"/>
        </w:rPr>
      </w:pPr>
    </w:p>
    <w:bookmarkEnd w:id="76"/>
    <w:p>
      <w:pPr>
        <w:pStyle w:val="27"/>
        <w:spacing w:line="560" w:lineRule="exact"/>
        <w:ind w:firstLine="640" w:firstLineChars="200"/>
        <w:rPr>
          <w:rFonts w:hint="eastAsia" w:ascii="仿宋_GB2312" w:eastAsia="仿宋_GB2312"/>
          <w:color w:val="auto"/>
          <w:sz w:val="32"/>
          <w:szCs w:val="32"/>
          <w:lang w:val="en-US" w:eastAsia="zh-CN"/>
        </w:rPr>
      </w:pPr>
    </w:p>
    <w:p>
      <w:pPr>
        <w:pStyle w:val="27"/>
        <w:spacing w:line="560" w:lineRule="exact"/>
        <w:ind w:firstLine="640" w:firstLineChars="200"/>
        <w:rPr>
          <w:rFonts w:hint="eastAsia" w:ascii="仿宋_GB2312" w:eastAsia="仿宋_GB2312"/>
          <w:color w:val="auto"/>
          <w:sz w:val="32"/>
          <w:szCs w:val="32"/>
          <w:lang w:val="en-US" w:eastAsia="zh-CN"/>
        </w:rPr>
      </w:pPr>
    </w:p>
    <w:p>
      <w:pPr>
        <w:spacing w:line="600" w:lineRule="exact"/>
        <w:jc w:val="center"/>
        <w:outlineLvl w:val="0"/>
        <w:rPr>
          <w:rFonts w:ascii="仿宋_GB2312" w:hAnsi="仿宋_GB2312" w:eastAsia="仿宋_GB2312" w:cs="仿宋_GB2312"/>
          <w:sz w:val="32"/>
          <w:szCs w:val="32"/>
        </w:rPr>
      </w:pPr>
      <w:r>
        <w:rPr>
          <w:rFonts w:hint="eastAsia" w:ascii="黑体" w:hAnsi="黑体" w:eastAsia="黑体"/>
          <w:sz w:val="44"/>
          <w:szCs w:val="44"/>
        </w:rPr>
        <w:t>第</w:t>
      </w:r>
      <w:r>
        <w:rPr>
          <w:rStyle w:val="29"/>
          <w:rFonts w:hint="eastAsia" w:ascii="黑体" w:hAnsi="黑体" w:eastAsia="黑体"/>
          <w:b w:val="0"/>
        </w:rPr>
        <w:t>四部分 附件</w:t>
      </w:r>
      <w:bookmarkEnd w:id="77"/>
    </w:p>
    <w:p>
      <w:pPr>
        <w:spacing w:line="600" w:lineRule="exact"/>
        <w:jc w:val="center"/>
        <w:outlineLvl w:val="0"/>
        <w:rPr>
          <w:rFonts w:ascii="黑体" w:hAnsi="黑体" w:eastAsia="黑体"/>
          <w:color w:val="FF0000"/>
          <w:sz w:val="44"/>
          <w:szCs w:val="44"/>
        </w:rPr>
      </w:pPr>
      <w:bookmarkStart w:id="79" w:name="OLE_LINK24"/>
      <w:bookmarkStart w:id="80" w:name="_Toc15396618"/>
      <w:r>
        <w:rPr>
          <w:rFonts w:hint="eastAsia"/>
          <w:sz w:val="32"/>
          <w:szCs w:val="32"/>
        </w:rPr>
        <w:t>部门预算项目支出绩效自评表（2023年度）</w:t>
      </w:r>
    </w:p>
    <w:bookmarkEnd w:id="79"/>
    <w:tbl>
      <w:tblPr>
        <w:tblStyle w:val="16"/>
        <w:tblW w:w="842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30"/>
        <w:gridCol w:w="751"/>
        <w:gridCol w:w="531"/>
        <w:gridCol w:w="2001"/>
        <w:gridCol w:w="1346"/>
        <w:gridCol w:w="711"/>
        <w:gridCol w:w="918"/>
        <w:gridCol w:w="659"/>
        <w:gridCol w:w="7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328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巩固</w:t>
            </w:r>
            <w:r>
              <w:rPr>
                <w:rFonts w:hint="eastAsia" w:ascii="宋体" w:hAnsi="宋体" w:eastAsia="宋体" w:cs="宋体"/>
                <w:i w:val="0"/>
                <w:iCs w:val="0"/>
                <w:color w:val="000000"/>
                <w:kern w:val="0"/>
                <w:sz w:val="20"/>
                <w:szCs w:val="20"/>
                <w:u w:val="none"/>
                <w:lang w:val="en-US" w:eastAsia="zh-CN" w:bidi="ar"/>
              </w:rPr>
              <w:t>脱贫攻坚驻村工作队经费</w:t>
            </w:r>
          </w:p>
        </w:tc>
        <w:tc>
          <w:tcPr>
            <w:tcW w:w="1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w:t>
            </w:r>
          </w:p>
        </w:tc>
        <w:tc>
          <w:tcPr>
            <w:tcW w:w="305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w:t>
            </w:r>
          </w:p>
        </w:tc>
        <w:tc>
          <w:tcPr>
            <w:tcW w:w="328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乐山市金口河区信访局</w:t>
            </w:r>
          </w:p>
        </w:tc>
        <w:tc>
          <w:tcPr>
            <w:tcW w:w="1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306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乐山市金口河区信访局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842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1492" w:type="dxa"/>
            <w:gridSpan w:val="2"/>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53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全年预算数</w:t>
            </w:r>
          </w:p>
        </w:tc>
        <w:tc>
          <w:tcPr>
            <w:tcW w:w="205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全年执行数</w:t>
            </w:r>
          </w:p>
        </w:tc>
        <w:tc>
          <w:tcPr>
            <w:tcW w:w="235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预算执行率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14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年度资金总额</w:t>
            </w:r>
          </w:p>
        </w:tc>
        <w:tc>
          <w:tcPr>
            <w:tcW w:w="253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05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5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14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其中：财政拨款</w:t>
            </w:r>
          </w:p>
        </w:tc>
        <w:tc>
          <w:tcPr>
            <w:tcW w:w="253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05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5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14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其他资金</w:t>
            </w:r>
          </w:p>
        </w:tc>
        <w:tc>
          <w:tcPr>
            <w:tcW w:w="253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205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235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7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年度总体目标</w:t>
            </w:r>
          </w:p>
        </w:tc>
        <w:tc>
          <w:tcPr>
            <w:tcW w:w="462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预期目标</w:t>
            </w:r>
          </w:p>
        </w:tc>
        <w:tc>
          <w:tcPr>
            <w:tcW w:w="306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4629" w:type="dxa"/>
            <w:gridSpan w:val="4"/>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为驻村工作队提供资金支持，保障驻村帮扶工作顺利开展</w:t>
            </w:r>
          </w:p>
        </w:tc>
        <w:tc>
          <w:tcPr>
            <w:tcW w:w="305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为驻村工作队提供资金支持，保障驻村帮扶工作顺利开展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12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2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年度指标值</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实际完成值</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分值/权重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（百分制）</w:t>
            </w:r>
          </w:p>
        </w:tc>
        <w:tc>
          <w:tcPr>
            <w:tcW w:w="65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扣分原因分析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607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    分</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少数群众满意度低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402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预算执行率（10分）</w:t>
            </w:r>
          </w:p>
        </w:tc>
        <w:tc>
          <w:tcPr>
            <w:tcW w:w="13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100%</w:t>
            </w:r>
          </w:p>
        </w:tc>
        <w:tc>
          <w:tcPr>
            <w:tcW w:w="7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100%</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5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74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产出指标</w:t>
            </w:r>
          </w:p>
        </w:tc>
        <w:tc>
          <w:tcPr>
            <w:tcW w:w="1282" w:type="dxa"/>
            <w:gridSpan w:val="2"/>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数量指标</w:t>
            </w:r>
          </w:p>
        </w:tc>
        <w:tc>
          <w:tcPr>
            <w:tcW w:w="20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驻村工作队员</w:t>
            </w:r>
          </w:p>
        </w:tc>
        <w:tc>
          <w:tcPr>
            <w:tcW w:w="13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ascii="微软雅黑" w:hAnsi="微软雅黑" w:eastAsia="微软雅黑" w:cs="微软雅黑"/>
                <w:i w:val="0"/>
                <w:iCs w:val="0"/>
                <w:color w:val="333333"/>
                <w:sz w:val="18"/>
                <w:szCs w:val="18"/>
                <w:u w:val="none"/>
              </w:rPr>
            </w:pPr>
            <w:r>
              <w:rPr>
                <w:rStyle w:val="35"/>
                <w:lang w:val="en-US" w:eastAsia="zh-CN" w:bidi="ar"/>
              </w:rPr>
              <w:t>≧</w:t>
            </w:r>
            <w:r>
              <w:rPr>
                <w:rStyle w:val="36"/>
                <w:lang w:val="en-US" w:eastAsia="zh-CN" w:bidi="ar"/>
              </w:rPr>
              <w:t>1人</w:t>
            </w:r>
          </w:p>
        </w:tc>
        <w:tc>
          <w:tcPr>
            <w:tcW w:w="7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1人</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65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333333"/>
                <w:sz w:val="18"/>
                <w:szCs w:val="18"/>
                <w:u w:val="none"/>
              </w:rPr>
            </w:pPr>
          </w:p>
        </w:tc>
        <w:tc>
          <w:tcPr>
            <w:tcW w:w="1282" w:type="dxa"/>
            <w:gridSpan w:val="2"/>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质量指标</w:t>
            </w:r>
          </w:p>
        </w:tc>
        <w:tc>
          <w:tcPr>
            <w:tcW w:w="20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帮扶工作成效性</w:t>
            </w:r>
          </w:p>
        </w:tc>
        <w:tc>
          <w:tcPr>
            <w:tcW w:w="13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优良差</w:t>
            </w:r>
          </w:p>
        </w:tc>
        <w:tc>
          <w:tcPr>
            <w:tcW w:w="7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优</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65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333333"/>
                <w:sz w:val="18"/>
                <w:szCs w:val="18"/>
                <w:u w:val="none"/>
              </w:rPr>
            </w:pPr>
          </w:p>
        </w:tc>
        <w:tc>
          <w:tcPr>
            <w:tcW w:w="1282" w:type="dxa"/>
            <w:gridSpan w:val="2"/>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时效指标</w:t>
            </w:r>
          </w:p>
        </w:tc>
        <w:tc>
          <w:tcPr>
            <w:tcW w:w="20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13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659" w:type="dxa"/>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333333"/>
                <w:sz w:val="18"/>
                <w:szCs w:val="18"/>
                <w:u w:val="none"/>
              </w:rPr>
            </w:pPr>
          </w:p>
        </w:tc>
        <w:tc>
          <w:tcPr>
            <w:tcW w:w="1282" w:type="dxa"/>
            <w:gridSpan w:val="2"/>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成本指标</w:t>
            </w:r>
          </w:p>
        </w:tc>
        <w:tc>
          <w:tcPr>
            <w:tcW w:w="20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驻村成本</w:t>
            </w:r>
          </w:p>
        </w:tc>
        <w:tc>
          <w:tcPr>
            <w:tcW w:w="13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18"/>
                <w:szCs w:val="18"/>
                <w:u w:val="none"/>
              </w:rPr>
            </w:pPr>
            <w:r>
              <w:rPr>
                <w:rStyle w:val="35"/>
                <w:lang w:val="en-US" w:eastAsia="zh-CN" w:bidi="ar"/>
              </w:rPr>
              <w:t>≦</w:t>
            </w:r>
            <w:r>
              <w:rPr>
                <w:rStyle w:val="36"/>
                <w:lang w:val="en-US" w:eastAsia="zh-CN" w:bidi="ar"/>
              </w:rPr>
              <w:t>1万元</w:t>
            </w:r>
          </w:p>
        </w:tc>
        <w:tc>
          <w:tcPr>
            <w:tcW w:w="7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1万元</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5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74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效益指标</w:t>
            </w:r>
          </w:p>
        </w:tc>
        <w:tc>
          <w:tcPr>
            <w:tcW w:w="1282" w:type="dxa"/>
            <w:gridSpan w:val="2"/>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经济效益指标</w:t>
            </w:r>
          </w:p>
        </w:tc>
        <w:tc>
          <w:tcPr>
            <w:tcW w:w="20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13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659" w:type="dxa"/>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333333"/>
                <w:sz w:val="18"/>
                <w:szCs w:val="18"/>
                <w:u w:val="none"/>
              </w:rPr>
            </w:pPr>
          </w:p>
        </w:tc>
        <w:tc>
          <w:tcPr>
            <w:tcW w:w="1282" w:type="dxa"/>
            <w:gridSpan w:val="2"/>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社会效益指标</w:t>
            </w:r>
          </w:p>
        </w:tc>
        <w:tc>
          <w:tcPr>
            <w:tcW w:w="20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对经济社会影响性</w:t>
            </w:r>
          </w:p>
        </w:tc>
        <w:tc>
          <w:tcPr>
            <w:tcW w:w="13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优良中差</w:t>
            </w:r>
          </w:p>
        </w:tc>
        <w:tc>
          <w:tcPr>
            <w:tcW w:w="7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优</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65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333333"/>
                <w:sz w:val="18"/>
                <w:szCs w:val="18"/>
                <w:u w:val="none"/>
              </w:rPr>
            </w:pPr>
          </w:p>
        </w:tc>
        <w:tc>
          <w:tcPr>
            <w:tcW w:w="1282" w:type="dxa"/>
            <w:gridSpan w:val="2"/>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生态效益指标</w:t>
            </w:r>
          </w:p>
        </w:tc>
        <w:tc>
          <w:tcPr>
            <w:tcW w:w="20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13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659" w:type="dxa"/>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333333"/>
                <w:sz w:val="18"/>
                <w:szCs w:val="18"/>
                <w:u w:val="none"/>
              </w:rPr>
            </w:pPr>
          </w:p>
        </w:tc>
        <w:tc>
          <w:tcPr>
            <w:tcW w:w="1282" w:type="dxa"/>
            <w:gridSpan w:val="2"/>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可持续影响指标</w:t>
            </w:r>
          </w:p>
        </w:tc>
        <w:tc>
          <w:tcPr>
            <w:tcW w:w="20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13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659" w:type="dxa"/>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7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满意度指标</w:t>
            </w:r>
          </w:p>
        </w:tc>
        <w:tc>
          <w:tcPr>
            <w:tcW w:w="1282" w:type="dxa"/>
            <w:gridSpan w:val="2"/>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满意度指标</w:t>
            </w:r>
          </w:p>
        </w:tc>
        <w:tc>
          <w:tcPr>
            <w:tcW w:w="20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帮扶对象满意度</w:t>
            </w:r>
          </w:p>
        </w:tc>
        <w:tc>
          <w:tcPr>
            <w:tcW w:w="13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100%</w:t>
            </w:r>
          </w:p>
        </w:tc>
        <w:tc>
          <w:tcPr>
            <w:tcW w:w="7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90%</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5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少数群众满意度低</w:t>
            </w:r>
          </w:p>
        </w:tc>
      </w:tr>
    </w:tbl>
    <w:p>
      <w:pPr>
        <w:spacing w:line="600" w:lineRule="exact"/>
        <w:jc w:val="center"/>
        <w:outlineLvl w:val="0"/>
        <w:rPr>
          <w:rFonts w:hAnsi="Calibri" w:cs="仿宋"/>
          <w:sz w:val="32"/>
          <w:szCs w:val="32"/>
        </w:rPr>
      </w:pPr>
      <w:r>
        <w:rPr>
          <w:rFonts w:hint="eastAsia"/>
          <w:sz w:val="32"/>
          <w:szCs w:val="32"/>
        </w:rPr>
        <w:t>部门预算项目支出绩效自评表（2023年度）</w:t>
      </w:r>
    </w:p>
    <w:tbl>
      <w:tblPr>
        <w:tblStyle w:val="16"/>
        <w:tblW w:w="844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69"/>
        <w:gridCol w:w="826"/>
        <w:gridCol w:w="741"/>
        <w:gridCol w:w="1164"/>
        <w:gridCol w:w="1065"/>
        <w:gridCol w:w="1005"/>
        <w:gridCol w:w="1071"/>
        <w:gridCol w:w="774"/>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27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信访维稳工作经费</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w:t>
            </w:r>
          </w:p>
        </w:tc>
        <w:tc>
          <w:tcPr>
            <w:tcW w:w="37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w:t>
            </w:r>
          </w:p>
        </w:tc>
        <w:tc>
          <w:tcPr>
            <w:tcW w:w="27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乐山市金口河区信访局</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37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乐山市金口河区信访局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844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1695" w:type="dxa"/>
            <w:gridSpan w:val="2"/>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全年预算数</w:t>
            </w:r>
          </w:p>
        </w:tc>
        <w:tc>
          <w:tcPr>
            <w:tcW w:w="20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全年执行数</w:t>
            </w:r>
          </w:p>
        </w:tc>
        <w:tc>
          <w:tcPr>
            <w:tcW w:w="2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预算执行率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16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年度资金总额</w:t>
            </w:r>
          </w:p>
        </w:tc>
        <w:tc>
          <w:tcPr>
            <w:tcW w:w="19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20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2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16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其中：财政拨款</w:t>
            </w:r>
          </w:p>
        </w:tc>
        <w:tc>
          <w:tcPr>
            <w:tcW w:w="19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20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2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16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其他资金</w:t>
            </w:r>
          </w:p>
        </w:tc>
        <w:tc>
          <w:tcPr>
            <w:tcW w:w="19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20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2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8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年度总体目标</w:t>
            </w:r>
          </w:p>
        </w:tc>
        <w:tc>
          <w:tcPr>
            <w:tcW w:w="37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预期目标</w:t>
            </w:r>
          </w:p>
        </w:tc>
        <w:tc>
          <w:tcPr>
            <w:tcW w:w="37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8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3796" w:type="dxa"/>
            <w:gridSpan w:val="4"/>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进一步畅通信访渠道，规范初信初访办理，化解信访积案。</w:t>
            </w:r>
          </w:p>
        </w:tc>
        <w:tc>
          <w:tcPr>
            <w:tcW w:w="37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进一步畅通信访渠道，规范初信初访办理，化解信访积案。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3"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15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年度指标值</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实际完成值</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分值/权重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（百分制）</w:t>
            </w:r>
          </w:p>
        </w:tc>
        <w:tc>
          <w:tcPr>
            <w:tcW w:w="77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扣分原因分析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567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    分</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部分历史遗留问题未能解决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360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预算执行率（10分）</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100%</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100%</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7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86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产出指标</w:t>
            </w:r>
          </w:p>
        </w:tc>
        <w:tc>
          <w:tcPr>
            <w:tcW w:w="1567" w:type="dxa"/>
            <w:gridSpan w:val="2"/>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数量指标</w:t>
            </w:r>
          </w:p>
        </w:tc>
        <w:tc>
          <w:tcPr>
            <w:tcW w:w="11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333333"/>
                <w:sz w:val="18"/>
                <w:szCs w:val="18"/>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333333"/>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333333"/>
                <w:sz w:val="18"/>
                <w:szCs w:val="18"/>
                <w:u w:val="none"/>
              </w:rPr>
            </w:pP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74"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86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333333"/>
                <w:sz w:val="18"/>
                <w:szCs w:val="18"/>
                <w:u w:val="none"/>
              </w:rPr>
            </w:pPr>
          </w:p>
        </w:tc>
        <w:tc>
          <w:tcPr>
            <w:tcW w:w="1567" w:type="dxa"/>
            <w:gridSpan w:val="2"/>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质量指标</w:t>
            </w:r>
          </w:p>
        </w:tc>
        <w:tc>
          <w:tcPr>
            <w:tcW w:w="11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网上信访办理质量</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优良中差</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优</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77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86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333333"/>
                <w:sz w:val="18"/>
                <w:szCs w:val="18"/>
                <w:u w:val="none"/>
              </w:rPr>
            </w:pPr>
          </w:p>
        </w:tc>
        <w:tc>
          <w:tcPr>
            <w:tcW w:w="1567" w:type="dxa"/>
            <w:gridSpan w:val="2"/>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时效指标</w:t>
            </w:r>
          </w:p>
        </w:tc>
        <w:tc>
          <w:tcPr>
            <w:tcW w:w="11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信访维稳时效性</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100%</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100%</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77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86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333333"/>
                <w:sz w:val="18"/>
                <w:szCs w:val="18"/>
                <w:u w:val="none"/>
              </w:rPr>
            </w:pPr>
          </w:p>
        </w:tc>
        <w:tc>
          <w:tcPr>
            <w:tcW w:w="1567" w:type="dxa"/>
            <w:gridSpan w:val="2"/>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成本指标</w:t>
            </w:r>
          </w:p>
        </w:tc>
        <w:tc>
          <w:tcPr>
            <w:tcW w:w="11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333333"/>
                <w:sz w:val="18"/>
                <w:szCs w:val="18"/>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333333"/>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333333"/>
                <w:sz w:val="18"/>
                <w:szCs w:val="18"/>
                <w:u w:val="none"/>
              </w:rPr>
            </w:pP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74"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3" w:hRule="atLeast"/>
        </w:trPr>
        <w:tc>
          <w:tcPr>
            <w:tcW w:w="86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效益指标</w:t>
            </w:r>
          </w:p>
        </w:tc>
        <w:tc>
          <w:tcPr>
            <w:tcW w:w="1567" w:type="dxa"/>
            <w:gridSpan w:val="2"/>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经济效益指标</w:t>
            </w:r>
          </w:p>
        </w:tc>
        <w:tc>
          <w:tcPr>
            <w:tcW w:w="11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333333"/>
                <w:sz w:val="18"/>
                <w:szCs w:val="18"/>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333333"/>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333333"/>
                <w:sz w:val="18"/>
                <w:szCs w:val="18"/>
                <w:u w:val="none"/>
              </w:rPr>
            </w:pP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74"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86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333333"/>
                <w:sz w:val="18"/>
                <w:szCs w:val="18"/>
                <w:u w:val="none"/>
              </w:rPr>
            </w:pPr>
          </w:p>
        </w:tc>
        <w:tc>
          <w:tcPr>
            <w:tcW w:w="1567" w:type="dxa"/>
            <w:gridSpan w:val="2"/>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社会效益指标</w:t>
            </w:r>
          </w:p>
        </w:tc>
        <w:tc>
          <w:tcPr>
            <w:tcW w:w="11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社会评价</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优良中差</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优</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77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6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333333"/>
                <w:sz w:val="18"/>
                <w:szCs w:val="18"/>
                <w:u w:val="none"/>
              </w:rPr>
            </w:pPr>
          </w:p>
        </w:tc>
        <w:tc>
          <w:tcPr>
            <w:tcW w:w="1567" w:type="dxa"/>
            <w:gridSpan w:val="2"/>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生态效益指标</w:t>
            </w:r>
          </w:p>
        </w:tc>
        <w:tc>
          <w:tcPr>
            <w:tcW w:w="11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333333"/>
                <w:sz w:val="18"/>
                <w:szCs w:val="18"/>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333333"/>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333333"/>
                <w:sz w:val="18"/>
                <w:szCs w:val="18"/>
                <w:u w:val="none"/>
              </w:rPr>
            </w:pP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74"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9" w:hRule="atLeast"/>
        </w:trPr>
        <w:tc>
          <w:tcPr>
            <w:tcW w:w="86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333333"/>
                <w:sz w:val="18"/>
                <w:szCs w:val="18"/>
                <w:u w:val="none"/>
              </w:rPr>
            </w:pPr>
          </w:p>
        </w:tc>
        <w:tc>
          <w:tcPr>
            <w:tcW w:w="1567" w:type="dxa"/>
            <w:gridSpan w:val="2"/>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可持续影响指标</w:t>
            </w:r>
          </w:p>
        </w:tc>
        <w:tc>
          <w:tcPr>
            <w:tcW w:w="11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333333"/>
                <w:sz w:val="18"/>
                <w:szCs w:val="18"/>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333333"/>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333333"/>
                <w:sz w:val="18"/>
                <w:szCs w:val="18"/>
                <w:u w:val="none"/>
              </w:rPr>
            </w:pP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74"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5" w:hRule="atLeast"/>
        </w:trPr>
        <w:tc>
          <w:tcPr>
            <w:tcW w:w="8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满意度指标</w:t>
            </w:r>
          </w:p>
        </w:tc>
        <w:tc>
          <w:tcPr>
            <w:tcW w:w="1567" w:type="dxa"/>
            <w:gridSpan w:val="2"/>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满意度指标</w:t>
            </w:r>
          </w:p>
        </w:tc>
        <w:tc>
          <w:tcPr>
            <w:tcW w:w="11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来访对象满意度</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100%</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90%</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7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部分历史遗留问题未能解决</w:t>
            </w:r>
          </w:p>
        </w:tc>
      </w:tr>
    </w:tbl>
    <w:p>
      <w:pPr>
        <w:pStyle w:val="6"/>
        <w:spacing w:before="93"/>
        <w:rPr>
          <w:rFonts w:hAnsi="Calibri" w:cs="仿宋"/>
          <w:sz w:val="32"/>
          <w:szCs w:val="32"/>
        </w:rPr>
      </w:pPr>
    </w:p>
    <w:p>
      <w:pPr>
        <w:pStyle w:val="6"/>
        <w:spacing w:before="93"/>
        <w:rPr>
          <w:rFonts w:hAnsi="Calibri" w:cs="仿宋"/>
          <w:sz w:val="32"/>
          <w:szCs w:val="32"/>
        </w:rPr>
      </w:pPr>
    </w:p>
    <w:p>
      <w:pPr>
        <w:spacing w:line="600" w:lineRule="exact"/>
        <w:jc w:val="center"/>
        <w:outlineLvl w:val="0"/>
        <w:rPr>
          <w:rFonts w:hAnsi="Calibri" w:cs="仿宋"/>
          <w:sz w:val="32"/>
          <w:szCs w:val="32"/>
        </w:rPr>
      </w:pPr>
      <w:r>
        <w:rPr>
          <w:rFonts w:hint="eastAsia"/>
          <w:sz w:val="32"/>
          <w:szCs w:val="32"/>
        </w:rPr>
        <w:t>部门预算项目支出绩效自评表（2023年度）</w:t>
      </w:r>
    </w:p>
    <w:tbl>
      <w:tblPr>
        <w:tblStyle w:val="16"/>
        <w:tblW w:w="863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65"/>
        <w:gridCol w:w="555"/>
        <w:gridCol w:w="780"/>
        <w:gridCol w:w="1266"/>
        <w:gridCol w:w="1065"/>
        <w:gridCol w:w="975"/>
        <w:gridCol w:w="1050"/>
        <w:gridCol w:w="705"/>
        <w:gridCol w:w="11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26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疑难信访专项经费</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w:t>
            </w:r>
          </w:p>
        </w:tc>
        <w:tc>
          <w:tcPr>
            <w:tcW w:w="39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w:t>
            </w:r>
          </w:p>
        </w:tc>
        <w:tc>
          <w:tcPr>
            <w:tcW w:w="26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乐山市金口河区信访局</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39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乐山市金口河区信访局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863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1620" w:type="dxa"/>
            <w:gridSpan w:val="2"/>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全年预算数</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全年执行数</w:t>
            </w:r>
          </w:p>
        </w:tc>
        <w:tc>
          <w:tcPr>
            <w:tcW w:w="29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预算执行率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年度资金总额</w:t>
            </w:r>
          </w:p>
        </w:tc>
        <w:tc>
          <w:tcPr>
            <w:tcW w:w="20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17.96</w:t>
            </w:r>
          </w:p>
        </w:tc>
        <w:tc>
          <w:tcPr>
            <w:tcW w:w="29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其中：财政拨款</w:t>
            </w:r>
          </w:p>
        </w:tc>
        <w:tc>
          <w:tcPr>
            <w:tcW w:w="20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17.96</w:t>
            </w:r>
          </w:p>
        </w:tc>
        <w:tc>
          <w:tcPr>
            <w:tcW w:w="29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其他资金</w:t>
            </w:r>
          </w:p>
        </w:tc>
        <w:tc>
          <w:tcPr>
            <w:tcW w:w="20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29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年度总体目标</w:t>
            </w:r>
          </w:p>
        </w:tc>
        <w:tc>
          <w:tcPr>
            <w:tcW w:w="366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预期目标</w:t>
            </w:r>
          </w:p>
        </w:tc>
        <w:tc>
          <w:tcPr>
            <w:tcW w:w="39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0" w:hRule="atLeast"/>
        </w:trPr>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3666" w:type="dxa"/>
            <w:gridSpan w:val="4"/>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协调处理跨乡、镇和部门的重要信访问题，协调处理群众集体到京、省、市、区及有关部门的上访和异常、突发信访事件，处理历史遗留疑难信访问题。</w:t>
            </w:r>
          </w:p>
        </w:tc>
        <w:tc>
          <w:tcPr>
            <w:tcW w:w="39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协调处理跨乡、镇和部门的重要信访问题，协调处理群众集体到京、省、市、区及有关部门的上访和异常、突发信访事件，处理历史遗留疑难信访问题。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13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年度指标值</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实际完成值</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分值/权重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（百分制）</w:t>
            </w:r>
          </w:p>
        </w:tc>
        <w:tc>
          <w:tcPr>
            <w:tcW w:w="70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扣分原因分析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570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    分</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97.48</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部分资金未及时支付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366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预算执行率（10分）</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100%</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89.80%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0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8.98</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部分资金未及时支付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106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产出指标</w:t>
            </w:r>
          </w:p>
        </w:tc>
        <w:tc>
          <w:tcPr>
            <w:tcW w:w="1335" w:type="dxa"/>
            <w:gridSpan w:val="2"/>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数量指标</w:t>
            </w:r>
          </w:p>
        </w:tc>
        <w:tc>
          <w:tcPr>
            <w:tcW w:w="1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接待群众批次</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333333"/>
                <w:sz w:val="18"/>
                <w:szCs w:val="18"/>
                <w:u w:val="none"/>
              </w:rPr>
            </w:pPr>
            <w:r>
              <w:rPr>
                <w:rFonts w:ascii="宋体" w:hAnsi="宋体" w:eastAsia="宋体" w:cs="宋体"/>
                <w:i w:val="0"/>
                <w:iCs w:val="0"/>
                <w:color w:val="333333"/>
                <w:kern w:val="0"/>
                <w:sz w:val="18"/>
                <w:szCs w:val="18"/>
                <w:u w:val="none"/>
                <w:lang w:val="en-US" w:eastAsia="zh-CN" w:bidi="ar"/>
              </w:rPr>
              <w:t>≧100批次</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116批次</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70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333333"/>
                <w:sz w:val="18"/>
                <w:szCs w:val="18"/>
                <w:u w:val="none"/>
              </w:rPr>
            </w:pPr>
          </w:p>
        </w:tc>
        <w:tc>
          <w:tcPr>
            <w:tcW w:w="1335" w:type="dxa"/>
            <w:gridSpan w:val="2"/>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质量指标</w:t>
            </w:r>
          </w:p>
        </w:tc>
        <w:tc>
          <w:tcPr>
            <w:tcW w:w="1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333333"/>
                <w:sz w:val="18"/>
                <w:szCs w:val="18"/>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333333"/>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333333"/>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05"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333333"/>
                <w:sz w:val="18"/>
                <w:szCs w:val="18"/>
                <w:u w:val="none"/>
              </w:rPr>
            </w:pPr>
          </w:p>
        </w:tc>
        <w:tc>
          <w:tcPr>
            <w:tcW w:w="1335" w:type="dxa"/>
            <w:gridSpan w:val="2"/>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时效指标</w:t>
            </w:r>
          </w:p>
        </w:tc>
        <w:tc>
          <w:tcPr>
            <w:tcW w:w="1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疑难信访维稳时效性</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100%</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100%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70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333333"/>
                <w:sz w:val="18"/>
                <w:szCs w:val="18"/>
                <w:u w:val="none"/>
              </w:rPr>
            </w:pPr>
          </w:p>
        </w:tc>
        <w:tc>
          <w:tcPr>
            <w:tcW w:w="1335" w:type="dxa"/>
            <w:gridSpan w:val="2"/>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成本指标</w:t>
            </w:r>
          </w:p>
        </w:tc>
        <w:tc>
          <w:tcPr>
            <w:tcW w:w="1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333333"/>
                <w:sz w:val="18"/>
                <w:szCs w:val="18"/>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333333"/>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333333"/>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05"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106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效益指标</w:t>
            </w:r>
          </w:p>
        </w:tc>
        <w:tc>
          <w:tcPr>
            <w:tcW w:w="1335" w:type="dxa"/>
            <w:gridSpan w:val="2"/>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经济效益指标</w:t>
            </w:r>
          </w:p>
        </w:tc>
        <w:tc>
          <w:tcPr>
            <w:tcW w:w="1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333333"/>
                <w:sz w:val="18"/>
                <w:szCs w:val="18"/>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333333"/>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333333"/>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05"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333333"/>
                <w:sz w:val="18"/>
                <w:szCs w:val="18"/>
                <w:u w:val="none"/>
              </w:rPr>
            </w:pPr>
          </w:p>
        </w:tc>
        <w:tc>
          <w:tcPr>
            <w:tcW w:w="1335" w:type="dxa"/>
            <w:gridSpan w:val="2"/>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社会效益指标</w:t>
            </w:r>
          </w:p>
        </w:tc>
        <w:tc>
          <w:tcPr>
            <w:tcW w:w="1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社会评价</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优良中差</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优</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70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333333"/>
                <w:sz w:val="18"/>
                <w:szCs w:val="18"/>
                <w:u w:val="none"/>
              </w:rPr>
            </w:pPr>
          </w:p>
        </w:tc>
        <w:tc>
          <w:tcPr>
            <w:tcW w:w="1335" w:type="dxa"/>
            <w:gridSpan w:val="2"/>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生态效益指标</w:t>
            </w:r>
          </w:p>
        </w:tc>
        <w:tc>
          <w:tcPr>
            <w:tcW w:w="1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333333"/>
                <w:sz w:val="18"/>
                <w:szCs w:val="18"/>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333333"/>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333333"/>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05"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333333"/>
                <w:sz w:val="18"/>
                <w:szCs w:val="18"/>
                <w:u w:val="none"/>
              </w:rPr>
            </w:pPr>
          </w:p>
        </w:tc>
        <w:tc>
          <w:tcPr>
            <w:tcW w:w="1335" w:type="dxa"/>
            <w:gridSpan w:val="2"/>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可持续影响指标</w:t>
            </w:r>
          </w:p>
        </w:tc>
        <w:tc>
          <w:tcPr>
            <w:tcW w:w="1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333333"/>
                <w:sz w:val="18"/>
                <w:szCs w:val="18"/>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333333"/>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333333"/>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05"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满意度指标</w:t>
            </w:r>
          </w:p>
        </w:tc>
        <w:tc>
          <w:tcPr>
            <w:tcW w:w="1335" w:type="dxa"/>
            <w:gridSpan w:val="2"/>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满意度指标</w:t>
            </w:r>
          </w:p>
        </w:tc>
        <w:tc>
          <w:tcPr>
            <w:tcW w:w="1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来访对象满意度</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100%</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85%</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0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部分历史遗留问题未能解决</w:t>
            </w:r>
          </w:p>
        </w:tc>
      </w:tr>
    </w:tbl>
    <w:p>
      <w:pPr>
        <w:pStyle w:val="6"/>
        <w:spacing w:before="93"/>
        <w:rPr>
          <w:rFonts w:hAnsi="Calibri" w:cs="仿宋"/>
          <w:sz w:val="32"/>
          <w:szCs w:val="32"/>
        </w:rPr>
      </w:pPr>
    </w:p>
    <w:p>
      <w:pPr>
        <w:spacing w:line="600" w:lineRule="exact"/>
        <w:jc w:val="center"/>
        <w:outlineLvl w:val="0"/>
        <w:rPr>
          <w:rFonts w:ascii="仿宋" w:hAnsi="仿宋" w:eastAsia="仿宋"/>
        </w:rPr>
      </w:pPr>
      <w:r>
        <w:rPr>
          <w:rFonts w:hint="eastAsia" w:ascii="黑体" w:hAnsi="黑体" w:eastAsia="黑体"/>
          <w:sz w:val="44"/>
          <w:szCs w:val="44"/>
        </w:rPr>
        <w:t>第</w:t>
      </w:r>
      <w:r>
        <w:rPr>
          <w:rStyle w:val="29"/>
          <w:rFonts w:hint="eastAsia" w:ascii="黑体" w:hAnsi="黑体" w:eastAsia="黑体"/>
          <w:b w:val="0"/>
        </w:rPr>
        <w:t>五部分 附表</w:t>
      </w:r>
      <w:bookmarkEnd w:id="78"/>
      <w:bookmarkEnd w:id="80"/>
      <w:bookmarkStart w:id="81" w:name="_Toc15396619"/>
    </w:p>
    <w:p>
      <w:pPr>
        <w:pStyle w:val="4"/>
        <w:rPr>
          <w:rFonts w:ascii="仿宋" w:hAnsi="仿宋" w:eastAsia="仿宋"/>
        </w:rPr>
      </w:pPr>
      <w:r>
        <w:rPr>
          <w:rFonts w:hint="eastAsia" w:ascii="仿宋" w:hAnsi="仿宋" w:eastAsia="仿宋"/>
          <w:b w:val="0"/>
        </w:rPr>
        <w:t>一、收</w:t>
      </w:r>
      <w:r>
        <w:rPr>
          <w:rStyle w:val="30"/>
          <w:rFonts w:hint="eastAsia" w:ascii="仿宋" w:hAnsi="仿宋" w:eastAsia="仿宋"/>
          <w:b w:val="0"/>
          <w:bCs w:val="0"/>
        </w:rPr>
        <w:t>入支出决算总表</w:t>
      </w:r>
      <w:bookmarkEnd w:id="81"/>
    </w:p>
    <w:p>
      <w:pPr>
        <w:pStyle w:val="4"/>
        <w:rPr>
          <w:rFonts w:ascii="仿宋" w:hAnsi="仿宋" w:eastAsia="仿宋"/>
        </w:rPr>
      </w:pPr>
      <w:bookmarkStart w:id="82" w:name="_Toc15396620"/>
      <w:r>
        <w:rPr>
          <w:rFonts w:hint="eastAsia" w:ascii="仿宋" w:hAnsi="仿宋" w:eastAsia="仿宋"/>
          <w:b w:val="0"/>
        </w:rPr>
        <w:t>二、收</w:t>
      </w:r>
      <w:r>
        <w:rPr>
          <w:rStyle w:val="30"/>
          <w:rFonts w:hint="eastAsia" w:ascii="仿宋" w:hAnsi="仿宋" w:eastAsia="仿宋"/>
          <w:b w:val="0"/>
          <w:bCs w:val="0"/>
        </w:rPr>
        <w:t>入决算表</w:t>
      </w:r>
      <w:bookmarkEnd w:id="82"/>
    </w:p>
    <w:p>
      <w:pPr>
        <w:pStyle w:val="4"/>
        <w:rPr>
          <w:rFonts w:ascii="仿宋" w:hAnsi="仿宋" w:eastAsia="仿宋"/>
        </w:rPr>
      </w:pPr>
      <w:bookmarkStart w:id="83" w:name="_Toc15396621"/>
      <w:r>
        <w:rPr>
          <w:rStyle w:val="30"/>
          <w:rFonts w:hint="eastAsia" w:ascii="仿宋" w:hAnsi="仿宋" w:eastAsia="仿宋"/>
          <w:b w:val="0"/>
          <w:bCs w:val="0"/>
        </w:rPr>
        <w:t>三、</w:t>
      </w:r>
      <w:r>
        <w:rPr>
          <w:rFonts w:hint="eastAsia" w:ascii="仿宋" w:hAnsi="仿宋" w:eastAsia="仿宋"/>
          <w:b w:val="0"/>
        </w:rPr>
        <w:t>支</w:t>
      </w:r>
      <w:r>
        <w:rPr>
          <w:rStyle w:val="30"/>
          <w:rFonts w:hint="eastAsia" w:ascii="仿宋" w:hAnsi="仿宋" w:eastAsia="仿宋"/>
          <w:b w:val="0"/>
          <w:bCs w:val="0"/>
        </w:rPr>
        <w:t>出决算表</w:t>
      </w:r>
      <w:bookmarkEnd w:id="83"/>
    </w:p>
    <w:p>
      <w:pPr>
        <w:pStyle w:val="4"/>
        <w:rPr>
          <w:rFonts w:ascii="仿宋" w:hAnsi="仿宋" w:eastAsia="仿宋"/>
          <w:b w:val="0"/>
        </w:rPr>
      </w:pPr>
      <w:bookmarkStart w:id="84" w:name="_Toc15396622"/>
      <w:r>
        <w:rPr>
          <w:rStyle w:val="30"/>
          <w:rFonts w:hint="eastAsia" w:ascii="仿宋" w:hAnsi="仿宋" w:eastAsia="仿宋"/>
          <w:b w:val="0"/>
          <w:bCs w:val="0"/>
        </w:rPr>
        <w:t>四、</w:t>
      </w:r>
      <w:r>
        <w:rPr>
          <w:rFonts w:hint="eastAsia" w:ascii="仿宋" w:hAnsi="仿宋" w:eastAsia="仿宋"/>
          <w:b w:val="0"/>
        </w:rPr>
        <w:t>财</w:t>
      </w:r>
      <w:r>
        <w:rPr>
          <w:rStyle w:val="30"/>
          <w:rFonts w:hint="eastAsia" w:ascii="仿宋" w:hAnsi="仿宋" w:eastAsia="仿宋"/>
          <w:b w:val="0"/>
          <w:bCs w:val="0"/>
        </w:rPr>
        <w:t>政拨款收入支出决算总表</w:t>
      </w:r>
      <w:bookmarkEnd w:id="84"/>
    </w:p>
    <w:p>
      <w:pPr>
        <w:pStyle w:val="4"/>
        <w:rPr>
          <w:rStyle w:val="30"/>
          <w:rFonts w:ascii="仿宋" w:hAnsi="仿宋" w:eastAsia="仿宋"/>
          <w:b w:val="0"/>
          <w:bCs w:val="0"/>
        </w:rPr>
      </w:pPr>
      <w:bookmarkStart w:id="85" w:name="_Toc15396623"/>
      <w:r>
        <w:rPr>
          <w:rStyle w:val="30"/>
          <w:rFonts w:hint="eastAsia" w:ascii="仿宋" w:hAnsi="仿宋" w:eastAsia="仿宋"/>
          <w:b w:val="0"/>
          <w:bCs w:val="0"/>
        </w:rPr>
        <w:t>五、</w:t>
      </w:r>
      <w:r>
        <w:rPr>
          <w:rFonts w:hint="eastAsia" w:ascii="仿宋" w:hAnsi="仿宋" w:eastAsia="仿宋"/>
          <w:b w:val="0"/>
        </w:rPr>
        <w:t>财</w:t>
      </w:r>
      <w:r>
        <w:rPr>
          <w:rStyle w:val="30"/>
          <w:rFonts w:hint="eastAsia" w:ascii="仿宋" w:hAnsi="仿宋" w:eastAsia="仿宋"/>
          <w:b w:val="0"/>
          <w:bCs w:val="0"/>
        </w:rPr>
        <w:t>政拨款支出决算明细表</w:t>
      </w:r>
      <w:bookmarkEnd w:id="85"/>
      <w:bookmarkStart w:id="86" w:name="_Toc15396624"/>
    </w:p>
    <w:p>
      <w:pPr>
        <w:pStyle w:val="4"/>
        <w:rPr>
          <w:rFonts w:ascii="仿宋" w:hAnsi="仿宋" w:eastAsia="仿宋"/>
        </w:rPr>
      </w:pPr>
      <w:r>
        <w:rPr>
          <w:rStyle w:val="30"/>
          <w:rFonts w:hint="eastAsia" w:ascii="仿宋" w:hAnsi="仿宋" w:eastAsia="仿宋"/>
          <w:b w:val="0"/>
          <w:bCs w:val="0"/>
        </w:rPr>
        <w:t>六、</w:t>
      </w:r>
      <w:r>
        <w:rPr>
          <w:rFonts w:hint="eastAsia" w:ascii="仿宋" w:hAnsi="仿宋" w:eastAsia="仿宋"/>
          <w:b w:val="0"/>
        </w:rPr>
        <w:t>一</w:t>
      </w:r>
      <w:r>
        <w:rPr>
          <w:rStyle w:val="30"/>
          <w:rFonts w:hint="eastAsia" w:ascii="仿宋" w:hAnsi="仿宋" w:eastAsia="仿宋"/>
          <w:b w:val="0"/>
          <w:bCs w:val="0"/>
        </w:rPr>
        <w:t>般公共预算财政拨款支出决算表</w:t>
      </w:r>
      <w:bookmarkEnd w:id="86"/>
    </w:p>
    <w:p>
      <w:pPr>
        <w:pStyle w:val="4"/>
        <w:rPr>
          <w:rFonts w:ascii="仿宋" w:hAnsi="仿宋" w:eastAsia="仿宋"/>
        </w:rPr>
      </w:pPr>
      <w:bookmarkStart w:id="87" w:name="_Toc15396625"/>
      <w:r>
        <w:rPr>
          <w:rStyle w:val="30"/>
          <w:rFonts w:hint="eastAsia" w:ascii="仿宋" w:hAnsi="仿宋" w:eastAsia="仿宋"/>
          <w:b w:val="0"/>
          <w:bCs w:val="0"/>
        </w:rPr>
        <w:t>七、</w:t>
      </w:r>
      <w:r>
        <w:rPr>
          <w:rFonts w:hint="eastAsia" w:ascii="仿宋" w:hAnsi="仿宋" w:eastAsia="仿宋"/>
          <w:b w:val="0"/>
        </w:rPr>
        <w:t>一</w:t>
      </w:r>
      <w:r>
        <w:rPr>
          <w:rStyle w:val="30"/>
          <w:rFonts w:hint="eastAsia" w:ascii="仿宋" w:hAnsi="仿宋" w:eastAsia="仿宋"/>
          <w:b w:val="0"/>
          <w:bCs w:val="0"/>
        </w:rPr>
        <w:t>般公共预算财政拨款支出决算明细表</w:t>
      </w:r>
      <w:bookmarkEnd w:id="87"/>
    </w:p>
    <w:p>
      <w:pPr>
        <w:pStyle w:val="4"/>
        <w:rPr>
          <w:rFonts w:ascii="仿宋" w:hAnsi="仿宋" w:eastAsia="仿宋"/>
        </w:rPr>
      </w:pPr>
      <w:bookmarkStart w:id="88" w:name="_Toc15396626"/>
      <w:r>
        <w:rPr>
          <w:rStyle w:val="30"/>
          <w:rFonts w:hint="eastAsia" w:ascii="仿宋" w:hAnsi="仿宋" w:eastAsia="仿宋"/>
          <w:b w:val="0"/>
          <w:bCs w:val="0"/>
        </w:rPr>
        <w:t>八、</w:t>
      </w:r>
      <w:r>
        <w:rPr>
          <w:rFonts w:hint="eastAsia" w:ascii="仿宋" w:hAnsi="仿宋" w:eastAsia="仿宋"/>
          <w:b w:val="0"/>
        </w:rPr>
        <w:t>一</w:t>
      </w:r>
      <w:r>
        <w:rPr>
          <w:rStyle w:val="30"/>
          <w:rFonts w:hint="eastAsia" w:ascii="仿宋" w:hAnsi="仿宋" w:eastAsia="仿宋"/>
          <w:b w:val="0"/>
          <w:bCs w:val="0"/>
        </w:rPr>
        <w:t>般公共预算财政拨款基本支出决算表</w:t>
      </w:r>
      <w:bookmarkEnd w:id="88"/>
    </w:p>
    <w:p>
      <w:pPr>
        <w:pStyle w:val="4"/>
        <w:rPr>
          <w:rFonts w:ascii="仿宋" w:hAnsi="仿宋" w:eastAsia="仿宋"/>
        </w:rPr>
      </w:pPr>
      <w:bookmarkStart w:id="89" w:name="_Toc15396627"/>
      <w:r>
        <w:rPr>
          <w:rStyle w:val="30"/>
          <w:rFonts w:hint="eastAsia" w:ascii="仿宋" w:hAnsi="仿宋" w:eastAsia="仿宋"/>
          <w:b w:val="0"/>
          <w:bCs w:val="0"/>
        </w:rPr>
        <w:t>九、</w:t>
      </w:r>
      <w:r>
        <w:rPr>
          <w:rFonts w:hint="eastAsia" w:ascii="仿宋" w:hAnsi="仿宋" w:eastAsia="仿宋"/>
          <w:b w:val="0"/>
        </w:rPr>
        <w:t>一</w:t>
      </w:r>
      <w:r>
        <w:rPr>
          <w:rStyle w:val="30"/>
          <w:rFonts w:hint="eastAsia" w:ascii="仿宋" w:hAnsi="仿宋" w:eastAsia="仿宋"/>
          <w:b w:val="0"/>
          <w:bCs w:val="0"/>
        </w:rPr>
        <w:t>般公共预算财政拨款项目支出决算表</w:t>
      </w:r>
      <w:bookmarkEnd w:id="89"/>
    </w:p>
    <w:p>
      <w:pPr>
        <w:pStyle w:val="4"/>
        <w:rPr>
          <w:rFonts w:ascii="仿宋" w:hAnsi="仿宋" w:eastAsia="仿宋"/>
        </w:rPr>
      </w:pPr>
      <w:bookmarkStart w:id="90" w:name="_Toc15396628"/>
      <w:r>
        <w:rPr>
          <w:rStyle w:val="30"/>
          <w:rFonts w:hint="eastAsia" w:ascii="仿宋" w:hAnsi="仿宋" w:eastAsia="仿宋"/>
          <w:b w:val="0"/>
          <w:bCs w:val="0"/>
        </w:rPr>
        <w:t>十、</w:t>
      </w:r>
      <w:bookmarkEnd w:id="90"/>
      <w:r>
        <w:rPr>
          <w:rFonts w:hint="eastAsia" w:ascii="仿宋" w:hAnsi="仿宋" w:eastAsia="仿宋"/>
          <w:b w:val="0"/>
        </w:rPr>
        <w:t>政</w:t>
      </w:r>
      <w:r>
        <w:rPr>
          <w:rStyle w:val="30"/>
          <w:rFonts w:hint="eastAsia" w:ascii="仿宋" w:hAnsi="仿宋" w:eastAsia="仿宋"/>
          <w:b w:val="0"/>
          <w:bCs w:val="0"/>
        </w:rPr>
        <w:t>府性基金预算财政拨款收入支出决算表</w:t>
      </w:r>
    </w:p>
    <w:p>
      <w:pPr>
        <w:pStyle w:val="4"/>
        <w:rPr>
          <w:rFonts w:ascii="仿宋" w:hAnsi="仿宋" w:eastAsia="仿宋"/>
        </w:rPr>
      </w:pPr>
      <w:bookmarkStart w:id="91" w:name="_Toc15396629"/>
      <w:r>
        <w:rPr>
          <w:rStyle w:val="30"/>
          <w:rFonts w:hint="eastAsia" w:ascii="仿宋" w:hAnsi="仿宋" w:eastAsia="仿宋"/>
          <w:b w:val="0"/>
          <w:bCs w:val="0"/>
        </w:rPr>
        <w:t>十一、</w:t>
      </w:r>
      <w:bookmarkEnd w:id="91"/>
      <w:r>
        <w:rPr>
          <w:rFonts w:hint="eastAsia" w:ascii="仿宋" w:hAnsi="仿宋" w:eastAsia="仿宋"/>
          <w:b w:val="0"/>
        </w:rPr>
        <w:t>国</w:t>
      </w:r>
      <w:r>
        <w:rPr>
          <w:rStyle w:val="30"/>
          <w:rFonts w:hint="eastAsia" w:ascii="仿宋" w:hAnsi="仿宋" w:eastAsia="仿宋"/>
          <w:b w:val="0"/>
          <w:bCs w:val="0"/>
        </w:rPr>
        <w:t>有资本经营预算财政拨款收入支出决算表</w:t>
      </w:r>
    </w:p>
    <w:p>
      <w:pPr>
        <w:pStyle w:val="4"/>
        <w:rPr>
          <w:rFonts w:ascii="仿宋" w:hAnsi="仿宋" w:eastAsia="仿宋"/>
        </w:rPr>
      </w:pPr>
      <w:bookmarkStart w:id="92" w:name="_Toc15396630"/>
      <w:r>
        <w:rPr>
          <w:rStyle w:val="30"/>
          <w:rFonts w:hint="eastAsia" w:ascii="仿宋" w:hAnsi="仿宋" w:eastAsia="仿宋"/>
          <w:b w:val="0"/>
          <w:bCs w:val="0"/>
        </w:rPr>
        <w:t>十二、</w:t>
      </w:r>
      <w:bookmarkEnd w:id="92"/>
      <w:r>
        <w:rPr>
          <w:rStyle w:val="30"/>
          <w:rFonts w:hint="eastAsia" w:ascii="仿宋" w:hAnsi="仿宋" w:eastAsia="仿宋"/>
          <w:b w:val="0"/>
          <w:bCs w:val="0"/>
        </w:rPr>
        <w:t>国有资本经营预算财政拨款支出决算表</w:t>
      </w:r>
    </w:p>
    <w:p>
      <w:pPr>
        <w:pStyle w:val="4"/>
        <w:rPr>
          <w:rFonts w:eastAsia="仿宋"/>
        </w:rPr>
      </w:pPr>
      <w:bookmarkStart w:id="93" w:name="_Toc15396631"/>
      <w:r>
        <w:rPr>
          <w:rStyle w:val="30"/>
          <w:rFonts w:hint="eastAsia" w:ascii="仿宋" w:hAnsi="仿宋" w:eastAsia="仿宋"/>
          <w:b w:val="0"/>
          <w:bCs w:val="0"/>
        </w:rPr>
        <w:t>十三、</w:t>
      </w:r>
      <w:bookmarkEnd w:id="93"/>
      <w:r>
        <w:rPr>
          <w:rStyle w:val="30"/>
          <w:rFonts w:hint="eastAsia" w:ascii="仿宋" w:hAnsi="仿宋" w:eastAsia="仿宋"/>
          <w:b w:val="0"/>
          <w:bCs w:val="0"/>
        </w:rPr>
        <w:t>财政拨款“三公”经费支出决算表</w:t>
      </w: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小标宋简体">
    <w:panose1 w:val="02000000000000000000"/>
    <w:charset w:val="86"/>
    <w:family w:val="script"/>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10"/>
          <w:jc w:val="center"/>
        </w:pPr>
        <w:r>
          <w:fldChar w:fldCharType="begin"/>
        </w:r>
        <w:r>
          <w:instrText xml:space="preserve">PAGE   \* MERGEFORMAT</w:instrText>
        </w:r>
        <w:r>
          <w:fldChar w:fldCharType="separate"/>
        </w:r>
        <w:r>
          <w:rPr>
            <w:lang w:val="zh-CN"/>
          </w:rPr>
          <w:t>15</w:t>
        </w:r>
        <w:r>
          <w:fldChar w:fldCharType="end"/>
        </w:r>
      </w:p>
    </w:sdtContent>
  </w:sdt>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3818A09A"/>
    <w:multiLevelType w:val="singleLevel"/>
    <w:tmpl w:val="3818A09A"/>
    <w:lvl w:ilvl="0" w:tentative="0">
      <w:start w:val="1"/>
      <w:numFmt w:val="chineseCounting"/>
      <w:suff w:val="nothing"/>
      <w:lvlText w:val="%1、"/>
      <w:lvlJc w:val="left"/>
      <w:rPr>
        <w:rFonts w:hint="eastAsi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A1DAD"/>
    <w:rsid w:val="001C0962"/>
    <w:rsid w:val="001D7531"/>
    <w:rsid w:val="001E737D"/>
    <w:rsid w:val="001F0592"/>
    <w:rsid w:val="001F7506"/>
    <w:rsid w:val="002006CD"/>
    <w:rsid w:val="00202B36"/>
    <w:rsid w:val="00204B7A"/>
    <w:rsid w:val="00204CDE"/>
    <w:rsid w:val="00206907"/>
    <w:rsid w:val="0021101A"/>
    <w:rsid w:val="00212B4A"/>
    <w:rsid w:val="00220536"/>
    <w:rsid w:val="00235629"/>
    <w:rsid w:val="00260C38"/>
    <w:rsid w:val="002616C0"/>
    <w:rsid w:val="00265372"/>
    <w:rsid w:val="002662AA"/>
    <w:rsid w:val="00280496"/>
    <w:rsid w:val="00294DC9"/>
    <w:rsid w:val="00295495"/>
    <w:rsid w:val="002A31DE"/>
    <w:rsid w:val="002B2613"/>
    <w:rsid w:val="002C5004"/>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25C50"/>
    <w:rsid w:val="0043177C"/>
    <w:rsid w:val="00434489"/>
    <w:rsid w:val="00437085"/>
    <w:rsid w:val="00443880"/>
    <w:rsid w:val="004464F4"/>
    <w:rsid w:val="0046049C"/>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533CF"/>
    <w:rsid w:val="005664BB"/>
    <w:rsid w:val="00566FFA"/>
    <w:rsid w:val="0057481D"/>
    <w:rsid w:val="0058486E"/>
    <w:rsid w:val="00585B33"/>
    <w:rsid w:val="0059014D"/>
    <w:rsid w:val="005B5C64"/>
    <w:rsid w:val="005B6E8A"/>
    <w:rsid w:val="005C5337"/>
    <w:rsid w:val="005C6BD0"/>
    <w:rsid w:val="005D1C8B"/>
    <w:rsid w:val="005D468D"/>
    <w:rsid w:val="005D5CED"/>
    <w:rsid w:val="005F10BC"/>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55FC5"/>
    <w:rsid w:val="0066343B"/>
    <w:rsid w:val="00664777"/>
    <w:rsid w:val="006748A4"/>
    <w:rsid w:val="00681A31"/>
    <w:rsid w:val="00683E73"/>
    <w:rsid w:val="006A3141"/>
    <w:rsid w:val="006A5E34"/>
    <w:rsid w:val="006B2422"/>
    <w:rsid w:val="006B2B9A"/>
    <w:rsid w:val="006C1937"/>
    <w:rsid w:val="006F020C"/>
    <w:rsid w:val="0071021A"/>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10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C7FD8"/>
    <w:rsid w:val="008E1DE7"/>
    <w:rsid w:val="008E707C"/>
    <w:rsid w:val="00900B08"/>
    <w:rsid w:val="00902155"/>
    <w:rsid w:val="00902FA3"/>
    <w:rsid w:val="00923564"/>
    <w:rsid w:val="0092392E"/>
    <w:rsid w:val="009315F9"/>
    <w:rsid w:val="00933499"/>
    <w:rsid w:val="00935C98"/>
    <w:rsid w:val="00940792"/>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1E6F"/>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002534"/>
    <w:rsid w:val="012D42FD"/>
    <w:rsid w:val="019726A7"/>
    <w:rsid w:val="01C744FB"/>
    <w:rsid w:val="024B6CD3"/>
    <w:rsid w:val="032B053F"/>
    <w:rsid w:val="03B81428"/>
    <w:rsid w:val="03DC2831"/>
    <w:rsid w:val="050C0A55"/>
    <w:rsid w:val="06E27F59"/>
    <w:rsid w:val="076631B2"/>
    <w:rsid w:val="07705B28"/>
    <w:rsid w:val="07C763C4"/>
    <w:rsid w:val="081B5E94"/>
    <w:rsid w:val="083E7612"/>
    <w:rsid w:val="088035B8"/>
    <w:rsid w:val="09522CD3"/>
    <w:rsid w:val="09B6397C"/>
    <w:rsid w:val="09BC1108"/>
    <w:rsid w:val="0A062F31"/>
    <w:rsid w:val="0A2032A3"/>
    <w:rsid w:val="0ACD69C7"/>
    <w:rsid w:val="0AEE277F"/>
    <w:rsid w:val="0B801695"/>
    <w:rsid w:val="0B8A37D8"/>
    <w:rsid w:val="0C597B17"/>
    <w:rsid w:val="0C7C1D20"/>
    <w:rsid w:val="0C842F9E"/>
    <w:rsid w:val="0D3061B1"/>
    <w:rsid w:val="0DA315B8"/>
    <w:rsid w:val="0DB20D09"/>
    <w:rsid w:val="0E53178C"/>
    <w:rsid w:val="0F483F12"/>
    <w:rsid w:val="0F5FFB2F"/>
    <w:rsid w:val="0FA05850"/>
    <w:rsid w:val="0FFFCF60"/>
    <w:rsid w:val="10C055FF"/>
    <w:rsid w:val="115C2C2E"/>
    <w:rsid w:val="118107EC"/>
    <w:rsid w:val="118F3A89"/>
    <w:rsid w:val="11DD6519"/>
    <w:rsid w:val="11F363FF"/>
    <w:rsid w:val="129D494E"/>
    <w:rsid w:val="12D51841"/>
    <w:rsid w:val="13AD6A55"/>
    <w:rsid w:val="15966195"/>
    <w:rsid w:val="16005A38"/>
    <w:rsid w:val="161C7E8E"/>
    <w:rsid w:val="16BB723D"/>
    <w:rsid w:val="16C36A96"/>
    <w:rsid w:val="17142269"/>
    <w:rsid w:val="175B343A"/>
    <w:rsid w:val="18015F3F"/>
    <w:rsid w:val="184738E0"/>
    <w:rsid w:val="187B2F9C"/>
    <w:rsid w:val="19CD6175"/>
    <w:rsid w:val="19E7558B"/>
    <w:rsid w:val="1A5F2D7D"/>
    <w:rsid w:val="1A6F28E8"/>
    <w:rsid w:val="1BE8440E"/>
    <w:rsid w:val="1D155CEE"/>
    <w:rsid w:val="1D9E200C"/>
    <w:rsid w:val="1DBB1753"/>
    <w:rsid w:val="1E910E51"/>
    <w:rsid w:val="1ECF260B"/>
    <w:rsid w:val="1EE324BA"/>
    <w:rsid w:val="1F7E26B9"/>
    <w:rsid w:val="1F990591"/>
    <w:rsid w:val="1FC42E2D"/>
    <w:rsid w:val="1FDBBF84"/>
    <w:rsid w:val="20F57F95"/>
    <w:rsid w:val="21C604CA"/>
    <w:rsid w:val="220416E7"/>
    <w:rsid w:val="22137F08"/>
    <w:rsid w:val="224B5CCF"/>
    <w:rsid w:val="23103946"/>
    <w:rsid w:val="240371BF"/>
    <w:rsid w:val="241672DD"/>
    <w:rsid w:val="251B089E"/>
    <w:rsid w:val="25367FC9"/>
    <w:rsid w:val="25711CC6"/>
    <w:rsid w:val="25C741E6"/>
    <w:rsid w:val="263465BA"/>
    <w:rsid w:val="27411C54"/>
    <w:rsid w:val="276F80C0"/>
    <w:rsid w:val="27842671"/>
    <w:rsid w:val="279C5F0C"/>
    <w:rsid w:val="29763213"/>
    <w:rsid w:val="299B7BD0"/>
    <w:rsid w:val="29FD04D3"/>
    <w:rsid w:val="2ABE7A3E"/>
    <w:rsid w:val="2AFF09B6"/>
    <w:rsid w:val="2C0D21B1"/>
    <w:rsid w:val="2C9937CB"/>
    <w:rsid w:val="2CA234A8"/>
    <w:rsid w:val="2D10491E"/>
    <w:rsid w:val="2D936EB0"/>
    <w:rsid w:val="2DDA6FC9"/>
    <w:rsid w:val="2DDD1A9B"/>
    <w:rsid w:val="2E2D4DD5"/>
    <w:rsid w:val="2E2F09E6"/>
    <w:rsid w:val="2EFA178C"/>
    <w:rsid w:val="2EFDF86C"/>
    <w:rsid w:val="2F9D17E1"/>
    <w:rsid w:val="306E3B3E"/>
    <w:rsid w:val="30B46D73"/>
    <w:rsid w:val="30C600D9"/>
    <w:rsid w:val="30D96334"/>
    <w:rsid w:val="319F7F4E"/>
    <w:rsid w:val="32734016"/>
    <w:rsid w:val="33712774"/>
    <w:rsid w:val="33FB23A5"/>
    <w:rsid w:val="3553070C"/>
    <w:rsid w:val="356A28F1"/>
    <w:rsid w:val="357C035A"/>
    <w:rsid w:val="368C536B"/>
    <w:rsid w:val="368E000D"/>
    <w:rsid w:val="368E138D"/>
    <w:rsid w:val="36CD2176"/>
    <w:rsid w:val="383D272C"/>
    <w:rsid w:val="389E210A"/>
    <w:rsid w:val="39AE70AB"/>
    <w:rsid w:val="39D85288"/>
    <w:rsid w:val="3A4DCE41"/>
    <w:rsid w:val="3A671F7F"/>
    <w:rsid w:val="3A82388C"/>
    <w:rsid w:val="3BCB56FA"/>
    <w:rsid w:val="3BF227E9"/>
    <w:rsid w:val="3C0C0783"/>
    <w:rsid w:val="3D983332"/>
    <w:rsid w:val="3DD4297E"/>
    <w:rsid w:val="3DFE0A9C"/>
    <w:rsid w:val="3EE7C2F4"/>
    <w:rsid w:val="3F371B56"/>
    <w:rsid w:val="3F792ED8"/>
    <w:rsid w:val="3F9F3A96"/>
    <w:rsid w:val="3FECA4B2"/>
    <w:rsid w:val="3FF58C48"/>
    <w:rsid w:val="401F4AC2"/>
    <w:rsid w:val="410E1D82"/>
    <w:rsid w:val="41402124"/>
    <w:rsid w:val="41761169"/>
    <w:rsid w:val="42EB1132"/>
    <w:rsid w:val="42FF6694"/>
    <w:rsid w:val="43FD4086"/>
    <w:rsid w:val="443F49F2"/>
    <w:rsid w:val="446469FC"/>
    <w:rsid w:val="458F1527"/>
    <w:rsid w:val="45E87FC7"/>
    <w:rsid w:val="46E22257"/>
    <w:rsid w:val="47DA0270"/>
    <w:rsid w:val="48031435"/>
    <w:rsid w:val="48BF60AB"/>
    <w:rsid w:val="48DE4596"/>
    <w:rsid w:val="493C27E9"/>
    <w:rsid w:val="494A394A"/>
    <w:rsid w:val="496F39ED"/>
    <w:rsid w:val="49DF1C3F"/>
    <w:rsid w:val="49FE24F4"/>
    <w:rsid w:val="49FF41D3"/>
    <w:rsid w:val="4ACE6F96"/>
    <w:rsid w:val="4AD3631F"/>
    <w:rsid w:val="4BE068DB"/>
    <w:rsid w:val="4BF6002B"/>
    <w:rsid w:val="4BFFC6BE"/>
    <w:rsid w:val="4CB45EE5"/>
    <w:rsid w:val="4CEA311D"/>
    <w:rsid w:val="4CFD75DE"/>
    <w:rsid w:val="4E7169AA"/>
    <w:rsid w:val="4ECE2238"/>
    <w:rsid w:val="4EF656CA"/>
    <w:rsid w:val="512E60BF"/>
    <w:rsid w:val="51DB4B86"/>
    <w:rsid w:val="51F64DB0"/>
    <w:rsid w:val="52264FD2"/>
    <w:rsid w:val="5250430D"/>
    <w:rsid w:val="53FE2659"/>
    <w:rsid w:val="55333C3E"/>
    <w:rsid w:val="553D2817"/>
    <w:rsid w:val="56A74CEF"/>
    <w:rsid w:val="58774DB2"/>
    <w:rsid w:val="5883018A"/>
    <w:rsid w:val="598361E9"/>
    <w:rsid w:val="5A575276"/>
    <w:rsid w:val="5A6C2C3E"/>
    <w:rsid w:val="5AD6472C"/>
    <w:rsid w:val="5AE34EAB"/>
    <w:rsid w:val="5AF869C4"/>
    <w:rsid w:val="5CC81E6A"/>
    <w:rsid w:val="5D2A080E"/>
    <w:rsid w:val="5D664BCA"/>
    <w:rsid w:val="5D882B80"/>
    <w:rsid w:val="5E007347"/>
    <w:rsid w:val="5E025894"/>
    <w:rsid w:val="5E314B8A"/>
    <w:rsid w:val="5EDD2BD8"/>
    <w:rsid w:val="5F67802D"/>
    <w:rsid w:val="5F6A65B5"/>
    <w:rsid w:val="5F7DC4F2"/>
    <w:rsid w:val="5FB36814"/>
    <w:rsid w:val="5FBB8E56"/>
    <w:rsid w:val="5FFB5535"/>
    <w:rsid w:val="61230512"/>
    <w:rsid w:val="614B102D"/>
    <w:rsid w:val="61F96E11"/>
    <w:rsid w:val="62701EEE"/>
    <w:rsid w:val="63755E78"/>
    <w:rsid w:val="63A85F74"/>
    <w:rsid w:val="64C228DE"/>
    <w:rsid w:val="64CA39A1"/>
    <w:rsid w:val="64D02FED"/>
    <w:rsid w:val="65E12D35"/>
    <w:rsid w:val="667C658D"/>
    <w:rsid w:val="66806281"/>
    <w:rsid w:val="66D222BD"/>
    <w:rsid w:val="66F53C3F"/>
    <w:rsid w:val="69630ADE"/>
    <w:rsid w:val="69BD5F13"/>
    <w:rsid w:val="69FB0B4B"/>
    <w:rsid w:val="6A7F2F04"/>
    <w:rsid w:val="6AD3024F"/>
    <w:rsid w:val="6B9F679B"/>
    <w:rsid w:val="6BFFE1FB"/>
    <w:rsid w:val="6C4A05C8"/>
    <w:rsid w:val="6D3B1A89"/>
    <w:rsid w:val="6DA031D0"/>
    <w:rsid w:val="6DB7D8A3"/>
    <w:rsid w:val="6DED7568"/>
    <w:rsid w:val="6E6275B0"/>
    <w:rsid w:val="6EC78701"/>
    <w:rsid w:val="6F165894"/>
    <w:rsid w:val="6F593B75"/>
    <w:rsid w:val="6F7A5481"/>
    <w:rsid w:val="6FFE07A9"/>
    <w:rsid w:val="70E40350"/>
    <w:rsid w:val="716F13A8"/>
    <w:rsid w:val="71BF4EC2"/>
    <w:rsid w:val="724A7E11"/>
    <w:rsid w:val="72734D90"/>
    <w:rsid w:val="73BA332F"/>
    <w:rsid w:val="73E75B71"/>
    <w:rsid w:val="7412278C"/>
    <w:rsid w:val="74855DAB"/>
    <w:rsid w:val="74975458"/>
    <w:rsid w:val="749D1D57"/>
    <w:rsid w:val="74DE3FE1"/>
    <w:rsid w:val="75DDCDA9"/>
    <w:rsid w:val="75FF44B1"/>
    <w:rsid w:val="76E063E5"/>
    <w:rsid w:val="76F661B5"/>
    <w:rsid w:val="77670518"/>
    <w:rsid w:val="777FA627"/>
    <w:rsid w:val="77DF1B5F"/>
    <w:rsid w:val="77EF2D9D"/>
    <w:rsid w:val="79516D09"/>
    <w:rsid w:val="79D95265"/>
    <w:rsid w:val="79E7B28D"/>
    <w:rsid w:val="7ACFF0C2"/>
    <w:rsid w:val="7AF144E1"/>
    <w:rsid w:val="7AFB9108"/>
    <w:rsid w:val="7AFD4458"/>
    <w:rsid w:val="7B850985"/>
    <w:rsid w:val="7BA14C84"/>
    <w:rsid w:val="7BD5340C"/>
    <w:rsid w:val="7BFB19D2"/>
    <w:rsid w:val="7BFD1750"/>
    <w:rsid w:val="7BFDAA1B"/>
    <w:rsid w:val="7C67538F"/>
    <w:rsid w:val="7CDF9A82"/>
    <w:rsid w:val="7CFFA1BD"/>
    <w:rsid w:val="7D2E3F7A"/>
    <w:rsid w:val="7D3768FA"/>
    <w:rsid w:val="7D4C3528"/>
    <w:rsid w:val="7DD87740"/>
    <w:rsid w:val="7DED9490"/>
    <w:rsid w:val="7DFF4872"/>
    <w:rsid w:val="7E7487E6"/>
    <w:rsid w:val="7E7C2A54"/>
    <w:rsid w:val="7E8A2FE6"/>
    <w:rsid w:val="7EEEFD72"/>
    <w:rsid w:val="7F1D517C"/>
    <w:rsid w:val="7F5DA057"/>
    <w:rsid w:val="7F6C2237"/>
    <w:rsid w:val="7F7F319B"/>
    <w:rsid w:val="7F9F20EE"/>
    <w:rsid w:val="7FBBE890"/>
    <w:rsid w:val="7FBC2ABD"/>
    <w:rsid w:val="7FBF5D48"/>
    <w:rsid w:val="7FCCFC01"/>
    <w:rsid w:val="7FDD1748"/>
    <w:rsid w:val="7FE769C6"/>
    <w:rsid w:val="7FFD083E"/>
    <w:rsid w:val="7FFF9372"/>
    <w:rsid w:val="84BF1F3B"/>
    <w:rsid w:val="8F55B106"/>
    <w:rsid w:val="95DF317D"/>
    <w:rsid w:val="97E77C70"/>
    <w:rsid w:val="9E3A10E2"/>
    <w:rsid w:val="9FB91FBD"/>
    <w:rsid w:val="9FD54998"/>
    <w:rsid w:val="A671883B"/>
    <w:rsid w:val="A7EFD17F"/>
    <w:rsid w:val="A7FFE43F"/>
    <w:rsid w:val="BDFEA317"/>
    <w:rsid w:val="CD9BBABB"/>
    <w:rsid w:val="CF99F292"/>
    <w:rsid w:val="D5DA60B3"/>
    <w:rsid w:val="D7C6F579"/>
    <w:rsid w:val="D8FECA92"/>
    <w:rsid w:val="DAFFBE66"/>
    <w:rsid w:val="DD2C0BFE"/>
    <w:rsid w:val="DE3F332B"/>
    <w:rsid w:val="DE6F4A3D"/>
    <w:rsid w:val="DF69F8B0"/>
    <w:rsid w:val="DFC71555"/>
    <w:rsid w:val="DFFC559C"/>
    <w:rsid w:val="DFFEDFAE"/>
    <w:rsid w:val="DFFFB5EB"/>
    <w:rsid w:val="E4B33E57"/>
    <w:rsid w:val="E5BF946A"/>
    <w:rsid w:val="EB39BD45"/>
    <w:rsid w:val="EBCF1FC2"/>
    <w:rsid w:val="EBD18F66"/>
    <w:rsid w:val="ED17392C"/>
    <w:rsid w:val="ED9FFD9A"/>
    <w:rsid w:val="EDB7968B"/>
    <w:rsid w:val="EEF73F60"/>
    <w:rsid w:val="EFED9E42"/>
    <w:rsid w:val="EFFFB194"/>
    <w:rsid w:val="F2E1F9D4"/>
    <w:rsid w:val="F5FF7449"/>
    <w:rsid w:val="F7880819"/>
    <w:rsid w:val="F7AF180D"/>
    <w:rsid w:val="F7BDBFA7"/>
    <w:rsid w:val="F7FAD68F"/>
    <w:rsid w:val="F7FB14CF"/>
    <w:rsid w:val="FB3FC69C"/>
    <w:rsid w:val="FBDFF225"/>
    <w:rsid w:val="FBF7AB63"/>
    <w:rsid w:val="FC2F3373"/>
    <w:rsid w:val="FCF51535"/>
    <w:rsid w:val="FD77F6B8"/>
    <w:rsid w:val="FDD69328"/>
    <w:rsid w:val="FDDFEC0E"/>
    <w:rsid w:val="FDE58BDD"/>
    <w:rsid w:val="FDEC7001"/>
    <w:rsid w:val="FEDFE87F"/>
    <w:rsid w:val="FEF1D25B"/>
    <w:rsid w:val="FF3EF90F"/>
    <w:rsid w:val="FFAF6081"/>
    <w:rsid w:val="FFECCD8C"/>
    <w:rsid w:val="FFED60BD"/>
    <w:rsid w:val="FFEE08F0"/>
    <w:rsid w:val="FFEE7F9F"/>
    <w:rsid w:val="FFFF319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9"/>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30"/>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3"/>
    <w:unhideWhenUsed/>
    <w:qFormat/>
    <w:uiPriority w:val="9"/>
    <w:pPr>
      <w:keepNext/>
      <w:keepLines/>
      <w:spacing w:before="260" w:after="260" w:line="416" w:lineRule="auto"/>
      <w:outlineLvl w:val="2"/>
    </w:pPr>
    <w:rPr>
      <w:b/>
      <w:bCs/>
      <w:sz w:val="32"/>
      <w:szCs w:val="32"/>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qFormat/>
    <w:uiPriority w:val="99"/>
    <w:pPr>
      <w:widowControl w:val="0"/>
      <w:spacing w:before="240" w:after="60"/>
      <w:jc w:val="center"/>
      <w:outlineLvl w:val="0"/>
    </w:pPr>
    <w:rPr>
      <w:rFonts w:ascii="Arial" w:hAnsi="Arial" w:eastAsia="宋体" w:cs="Arial"/>
      <w:bCs/>
      <w:kern w:val="2"/>
      <w:sz w:val="21"/>
      <w:szCs w:val="21"/>
      <w:lang w:val="en-US" w:eastAsia="zh-CN" w:bidi="ar-SA"/>
    </w:rPr>
  </w:style>
  <w:style w:type="paragraph" w:styleId="6">
    <w:name w:val="Body Text"/>
    <w:basedOn w:val="1"/>
    <w:link w:val="26"/>
    <w:qFormat/>
    <w:uiPriority w:val="99"/>
    <w:pPr>
      <w:spacing w:beforeLines="30"/>
    </w:pPr>
    <w:rPr>
      <w:rFonts w:ascii="仿宋_GB2312" w:eastAsia="仿宋_GB2312"/>
      <w:kern w:val="0"/>
      <w:sz w:val="30"/>
    </w:rPr>
  </w:style>
  <w:style w:type="paragraph" w:styleId="7">
    <w:name w:val="Body Text Indent"/>
    <w:basedOn w:val="1"/>
    <w:qFormat/>
    <w:uiPriority w:val="0"/>
    <w:pPr>
      <w:spacing w:after="120"/>
      <w:ind w:left="200" w:leftChars="200"/>
    </w:pPr>
    <w:rPr>
      <w:rFonts w:ascii="仿宋_GB2312"/>
      <w:szCs w:val="32"/>
    </w:rPr>
  </w:style>
  <w:style w:type="paragraph" w:styleId="8">
    <w:name w:val="toc 3"/>
    <w:basedOn w:val="1"/>
    <w:next w:val="1"/>
    <w:unhideWhenUsed/>
    <w:qFormat/>
    <w:uiPriority w:val="39"/>
    <w:pPr>
      <w:tabs>
        <w:tab w:val="right" w:leader="dot" w:pos="8296"/>
      </w:tabs>
      <w:ind w:left="840" w:leftChars="400"/>
    </w:pPr>
  </w:style>
  <w:style w:type="paragraph" w:styleId="9">
    <w:name w:val="Balloon Text"/>
    <w:basedOn w:val="1"/>
    <w:link w:val="32"/>
    <w:semiHidden/>
    <w:unhideWhenUsed/>
    <w:qFormat/>
    <w:uiPriority w:val="99"/>
    <w:rPr>
      <w:sz w:val="18"/>
      <w:szCs w:val="18"/>
    </w:rPr>
  </w:style>
  <w:style w:type="paragraph" w:styleId="10">
    <w:name w:val="footer"/>
    <w:basedOn w:val="1"/>
    <w:link w:val="24"/>
    <w:qFormat/>
    <w:uiPriority w:val="99"/>
    <w:pPr>
      <w:tabs>
        <w:tab w:val="center" w:pos="4153"/>
        <w:tab w:val="right" w:pos="8306"/>
      </w:tabs>
      <w:snapToGrid w:val="0"/>
      <w:jc w:val="left"/>
    </w:pPr>
    <w:rPr>
      <w:rFonts w:ascii="Calibri" w:hAnsi="Calibri"/>
      <w:kern w:val="0"/>
      <w:sz w:val="18"/>
      <w:szCs w:val="18"/>
    </w:rPr>
  </w:style>
  <w:style w:type="paragraph" w:styleId="11">
    <w:name w:val="header"/>
    <w:basedOn w:val="1"/>
    <w:link w:val="22"/>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3">
    <w:name w:val="toc 2"/>
    <w:basedOn w:val="1"/>
    <w:next w:val="1"/>
    <w:unhideWhenUsed/>
    <w:qFormat/>
    <w:uiPriority w:val="39"/>
    <w:pPr>
      <w:tabs>
        <w:tab w:val="right" w:leader="dot" w:pos="8296"/>
      </w:tabs>
      <w:ind w:left="420" w:leftChars="200"/>
    </w:pPr>
  </w:style>
  <w:style w:type="paragraph" w:styleId="14">
    <w:name w:val="Normal (Web)"/>
    <w:basedOn w:val="1"/>
    <w:qFormat/>
    <w:uiPriority w:val="0"/>
    <w:pPr>
      <w:jc w:val="left"/>
    </w:pPr>
    <w:rPr>
      <w:rFonts w:ascii="Calibri" w:hAnsi="Calibri"/>
      <w:kern w:val="0"/>
      <w:sz w:val="24"/>
    </w:rPr>
  </w:style>
  <w:style w:type="paragraph" w:styleId="15">
    <w:name w:val="Body Text First Indent 2"/>
    <w:basedOn w:val="7"/>
    <w:unhideWhenUsed/>
    <w:qFormat/>
    <w:uiPriority w:val="99"/>
    <w:pPr>
      <w:ind w:firstLine="420" w:firstLineChars="200"/>
    </w:pPr>
  </w:style>
  <w:style w:type="character" w:styleId="18">
    <w:name w:val="Strong"/>
    <w:basedOn w:val="17"/>
    <w:qFormat/>
    <w:uiPriority w:val="99"/>
    <w:rPr>
      <w:b/>
    </w:rPr>
  </w:style>
  <w:style w:type="character" w:styleId="19">
    <w:name w:val="Hyperlink"/>
    <w:basedOn w:val="17"/>
    <w:unhideWhenUsed/>
    <w:qFormat/>
    <w:uiPriority w:val="99"/>
    <w:rPr>
      <w:color w:val="0000FF" w:themeColor="hyperlink"/>
      <w:u w:val="single"/>
      <w14:textFill>
        <w14:solidFill>
          <w14:schemeClr w14:val="hlink"/>
        </w14:solidFill>
      </w14:textFill>
    </w:rPr>
  </w:style>
  <w:style w:type="paragraph" w:customStyle="1" w:styleId="20">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character" w:customStyle="1" w:styleId="21">
    <w:name w:val="Header Char"/>
    <w:basedOn w:val="17"/>
    <w:semiHidden/>
    <w:qFormat/>
    <w:uiPriority w:val="99"/>
    <w:rPr>
      <w:rFonts w:ascii="Times New Roman" w:hAnsi="Times New Roman"/>
      <w:sz w:val="18"/>
      <w:szCs w:val="18"/>
    </w:rPr>
  </w:style>
  <w:style w:type="character" w:customStyle="1" w:styleId="22">
    <w:name w:val="页眉 字符"/>
    <w:link w:val="11"/>
    <w:semiHidden/>
    <w:qFormat/>
    <w:locked/>
    <w:uiPriority w:val="99"/>
    <w:rPr>
      <w:sz w:val="18"/>
    </w:rPr>
  </w:style>
  <w:style w:type="character" w:customStyle="1" w:styleId="23">
    <w:name w:val="Footer Char"/>
    <w:basedOn w:val="17"/>
    <w:semiHidden/>
    <w:qFormat/>
    <w:uiPriority w:val="99"/>
    <w:rPr>
      <w:rFonts w:ascii="Times New Roman" w:hAnsi="Times New Roman"/>
      <w:sz w:val="18"/>
      <w:szCs w:val="18"/>
    </w:rPr>
  </w:style>
  <w:style w:type="character" w:customStyle="1" w:styleId="24">
    <w:name w:val="页脚 字符"/>
    <w:link w:val="10"/>
    <w:qFormat/>
    <w:locked/>
    <w:uiPriority w:val="99"/>
    <w:rPr>
      <w:sz w:val="18"/>
    </w:rPr>
  </w:style>
  <w:style w:type="character" w:customStyle="1" w:styleId="25">
    <w:name w:val="Body Text Char"/>
    <w:basedOn w:val="17"/>
    <w:semiHidden/>
    <w:qFormat/>
    <w:uiPriority w:val="99"/>
    <w:rPr>
      <w:rFonts w:ascii="Times New Roman" w:hAnsi="Times New Roman"/>
      <w:szCs w:val="24"/>
    </w:rPr>
  </w:style>
  <w:style w:type="character" w:customStyle="1" w:styleId="26">
    <w:name w:val="正文文本 字符"/>
    <w:link w:val="6"/>
    <w:qFormat/>
    <w:locked/>
    <w:uiPriority w:val="99"/>
    <w:rPr>
      <w:rFonts w:ascii="仿宋_GB2312" w:hAnsi="Times New Roman" w:eastAsia="仿宋_GB2312"/>
      <w:sz w:val="24"/>
    </w:rPr>
  </w:style>
  <w:style w:type="paragraph" w:customStyle="1" w:styleId="27">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8">
    <w:name w:val="List Paragraph"/>
    <w:basedOn w:val="1"/>
    <w:qFormat/>
    <w:uiPriority w:val="34"/>
    <w:pPr>
      <w:ind w:firstLine="420" w:firstLineChars="200"/>
    </w:pPr>
  </w:style>
  <w:style w:type="character" w:customStyle="1" w:styleId="29">
    <w:name w:val="标题 1 字符"/>
    <w:basedOn w:val="17"/>
    <w:link w:val="3"/>
    <w:qFormat/>
    <w:uiPriority w:val="9"/>
    <w:rPr>
      <w:rFonts w:ascii="Times New Roman" w:hAnsi="Times New Roman"/>
      <w:b/>
      <w:bCs/>
      <w:kern w:val="44"/>
      <w:sz w:val="44"/>
      <w:szCs w:val="44"/>
    </w:rPr>
  </w:style>
  <w:style w:type="character" w:customStyle="1" w:styleId="30">
    <w:name w:val="标题 2 字符"/>
    <w:basedOn w:val="17"/>
    <w:link w:val="4"/>
    <w:qFormat/>
    <w:uiPriority w:val="9"/>
    <w:rPr>
      <w:rFonts w:asciiTheme="majorHAnsi" w:hAnsiTheme="majorHAnsi" w:eastAsiaTheme="majorEastAsia" w:cstheme="majorBidi"/>
      <w:b/>
      <w:bCs/>
      <w:kern w:val="2"/>
      <w:sz w:val="32"/>
      <w:szCs w:val="32"/>
    </w:rPr>
  </w:style>
  <w:style w:type="paragraph" w:customStyle="1" w:styleId="31">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2">
    <w:name w:val="批注框文本 字符"/>
    <w:basedOn w:val="17"/>
    <w:link w:val="9"/>
    <w:semiHidden/>
    <w:qFormat/>
    <w:uiPriority w:val="99"/>
    <w:rPr>
      <w:rFonts w:ascii="Times New Roman" w:hAnsi="Times New Roman"/>
      <w:kern w:val="2"/>
      <w:sz w:val="18"/>
      <w:szCs w:val="18"/>
    </w:rPr>
  </w:style>
  <w:style w:type="character" w:customStyle="1" w:styleId="33">
    <w:name w:val="标题 3 字符"/>
    <w:basedOn w:val="17"/>
    <w:link w:val="5"/>
    <w:qFormat/>
    <w:uiPriority w:val="9"/>
    <w:rPr>
      <w:rFonts w:ascii="Times New Roman" w:hAnsi="Times New Roman"/>
      <w:b/>
      <w:bCs/>
      <w:kern w:val="2"/>
      <w:sz w:val="32"/>
      <w:szCs w:val="32"/>
    </w:rPr>
  </w:style>
  <w:style w:type="paragraph" w:customStyle="1" w:styleId="34">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5">
    <w:name w:val="font61"/>
    <w:basedOn w:val="17"/>
    <w:qFormat/>
    <w:uiPriority w:val="0"/>
    <w:rPr>
      <w:rFonts w:hint="eastAsia" w:ascii="微软雅黑" w:hAnsi="微软雅黑" w:eastAsia="微软雅黑" w:cs="微软雅黑"/>
      <w:color w:val="333333"/>
      <w:sz w:val="18"/>
      <w:szCs w:val="18"/>
      <w:u w:val="none"/>
    </w:rPr>
  </w:style>
  <w:style w:type="character" w:customStyle="1" w:styleId="36">
    <w:name w:val="font41"/>
    <w:basedOn w:val="17"/>
    <w:qFormat/>
    <w:uiPriority w:val="0"/>
    <w:rPr>
      <w:rFonts w:hint="eastAsia" w:ascii="宋体" w:hAnsi="宋体" w:eastAsia="宋体" w:cs="宋体"/>
      <w:color w:val="333333"/>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2.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6.xlsx"/></Relationships>
</file>

<file path=word/charts/_rels/chart3.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4.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_rels/chart5.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6.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package" Target="../embeddings/Workbook7.xlsx"/></Relationships>
</file>

<file path=word/charts/_rels/chart7.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收支总计变动情况图</a:t>
            </a:r>
          </a:p>
        </c:rich>
      </c:tx>
      <c:layout>
        <c:manualLayout>
          <c:xMode val="edge"/>
          <c:yMode val="edge"/>
          <c:x val="0.326721199727335"/>
          <c:y val="0.0627348944781729"/>
        </c:manualLayout>
      </c:layout>
      <c:overlay val="0"/>
      <c:spPr>
        <a:noFill/>
        <a:ln>
          <a:noFill/>
        </a:ln>
        <a:effectLst/>
      </c:spPr>
    </c:title>
    <c:autoTitleDeleted val="0"/>
    <c:plotArea>
      <c:layout>
        <c:manualLayout>
          <c:layoutTarget val="inner"/>
          <c:xMode val="edge"/>
          <c:yMode val="edge"/>
          <c:x val="0.0310838445807771"/>
          <c:y val="0.306895680727456"/>
          <c:w val="0.940013633265167"/>
          <c:h val="0.570952260671887"/>
        </c:manualLayout>
      </c:layout>
      <c:barChart>
        <c:barDir val="col"/>
        <c:grouping val="clustered"/>
        <c:varyColors val="0"/>
        <c:ser>
          <c:idx val="0"/>
          <c:order val="0"/>
          <c:tx>
            <c:strRef>
              <c:f>Sheet1!$B$1</c:f>
              <c:strCache>
                <c:ptCount val="1"/>
                <c:pt idx="0">
                  <c:v>收、支总计变化图（万元）</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2022年收支总计</c:v>
                </c:pt>
                <c:pt idx="1">
                  <c:v>2023年收支总计</c:v>
                </c:pt>
              </c:strCache>
            </c:strRef>
          </c:cat>
          <c:val>
            <c:numRef>
              <c:f>Sheet1!$B$2:$B$3</c:f>
              <c:numCache>
                <c:formatCode>General</c:formatCode>
                <c:ptCount val="2"/>
                <c:pt idx="0">
                  <c:v>251.8</c:v>
                </c:pt>
                <c:pt idx="1">
                  <c:v>296.7</c:v>
                </c:pt>
              </c:numCache>
            </c:numRef>
          </c:val>
        </c:ser>
        <c:dLbls>
          <c:showLegendKey val="0"/>
          <c:showVal val="1"/>
          <c:showCatName val="0"/>
          <c:showSerName val="0"/>
          <c:showPercent val="0"/>
          <c:showBubbleSize val="0"/>
        </c:dLbls>
        <c:gapWidth val="150"/>
        <c:overlap val="-25"/>
        <c:axId val="872367025"/>
        <c:axId val="682583531"/>
      </c:barChart>
      <c:catAx>
        <c:axId val="872367025"/>
        <c:scaling>
          <c:orientation val="minMax"/>
        </c:scaling>
        <c:delete val="0"/>
        <c:axPos val="b"/>
        <c:numFmt formatCode="yyyy&quot;年&quot;m&quot;月&quot;d&quot;日&quot;;@"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82583531"/>
        <c:crosses val="autoZero"/>
        <c:auto val="1"/>
        <c:lblAlgn val="ctr"/>
        <c:lblOffset val="100"/>
        <c:noMultiLvlLbl val="0"/>
      </c:catAx>
      <c:valAx>
        <c:axId val="682583531"/>
        <c:scaling>
          <c:orientation val="minMax"/>
        </c:scaling>
        <c:delete val="1"/>
        <c:axPos val="l"/>
        <c:numFmt formatCode="General" sourceLinked="1"/>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72367025"/>
        <c:crosses val="autoZero"/>
        <c:crossBetween val="between"/>
      </c:valAx>
      <c:spPr>
        <a:noFill/>
        <a:ln>
          <a:noFill/>
        </a:ln>
        <a:effectLst/>
      </c:spPr>
    </c:plotArea>
    <c:legend>
      <c:legendPos val="t"/>
      <c:layout>
        <c:manualLayout>
          <c:xMode val="edge"/>
          <c:yMode val="edge"/>
          <c:x val="0.314587593728698"/>
          <c:y val="0.201214223764094"/>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收入决算结构图</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Pt>
            <c:idx val="7"/>
            <c:bubble3D val="0"/>
            <c:spPr>
              <a:solidFill>
                <a:schemeClr val="accent2">
                  <a:lumMod val="60000"/>
                </a:schemeClr>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Sheet1!$A$2:$A$9</c:f>
              <c:strCache>
                <c:ptCount val="8"/>
                <c:pt idx="0">
                  <c:v>一般公共预算财政拨款收入</c:v>
                </c:pt>
                <c:pt idx="1">
                  <c:v>政府性基金预算财政拨款收入</c:v>
                </c:pt>
                <c:pt idx="2">
                  <c:v>国有资本经营预算财政拨款收入</c:v>
                </c:pt>
                <c:pt idx="3">
                  <c:v>上级补助收入</c:v>
                </c:pt>
                <c:pt idx="4">
                  <c:v>事业收入</c:v>
                </c:pt>
                <c:pt idx="5">
                  <c:v>经营收入</c:v>
                </c:pt>
                <c:pt idx="6">
                  <c:v>其他收入</c:v>
                </c:pt>
                <c:pt idx="7">
                  <c:v>附属单位上缴收入</c:v>
                </c:pt>
              </c:strCache>
            </c:strRef>
          </c:cat>
          <c:val>
            <c:numRef>
              <c:f>Sheet1!$B$2:$B$9</c:f>
              <c:numCache>
                <c:formatCode>General</c:formatCode>
                <c:ptCount val="8"/>
                <c:pt idx="0">
                  <c:v>100</c:v>
                </c:pt>
                <c:pt idx="1">
                  <c:v>0</c:v>
                </c:pt>
                <c:pt idx="2">
                  <c:v>0</c:v>
                </c:pt>
                <c:pt idx="3">
                  <c:v>0</c:v>
                </c:pt>
                <c:pt idx="4">
                  <c:v>0</c:v>
                </c:pt>
                <c:pt idx="5">
                  <c:v>0</c:v>
                </c:pt>
                <c:pt idx="6">
                  <c:v>0</c:v>
                </c:pt>
                <c:pt idx="7">
                  <c:v>0</c:v>
                </c:pt>
              </c:numCache>
            </c:numRef>
          </c:val>
        </c:ser>
        <c:ser>
          <c:idx val="1"/>
          <c:order val="1"/>
          <c:tx>
            <c:strRef>
              <c:f>Sheet1!$C$1</c:f>
              <c:strCache>
                <c:ptCount val="1"/>
                <c:pt idx="0">
                  <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Lbls>
            <c:delete val="1"/>
          </c:dLbls>
          <c:cat>
            <c:strRef>
              <c:f>Sheet1!$A$2:$A$9</c:f>
              <c:strCache>
                <c:ptCount val="8"/>
                <c:pt idx="0">
                  <c:v>一般公共预算财政拨款收入</c:v>
                </c:pt>
                <c:pt idx="1">
                  <c:v>政府性基金预算财政拨款收入</c:v>
                </c:pt>
                <c:pt idx="2">
                  <c:v>国有资本经营预算财政拨款收入</c:v>
                </c:pt>
                <c:pt idx="3">
                  <c:v>上级补助收入</c:v>
                </c:pt>
                <c:pt idx="4">
                  <c:v>事业收入</c:v>
                </c:pt>
                <c:pt idx="5">
                  <c:v>经营收入</c:v>
                </c:pt>
                <c:pt idx="6">
                  <c:v>其他收入</c:v>
                </c:pt>
                <c:pt idx="7">
                  <c:v>附属单位上缴收入</c:v>
                </c:pt>
              </c:strCache>
            </c:strRef>
          </c:cat>
          <c:val>
            <c:numRef>
              <c:f>Sheet1!$C$2:$C$8</c:f>
              <c:numCache>
                <c:formatCode>General</c:formatCode>
                <c:ptCount val="7"/>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支出决算结构图</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基本支出</c:v>
                </c:pt>
                <c:pt idx="1">
                  <c:v>项目支出</c:v>
                </c:pt>
                <c:pt idx="2">
                  <c:v>上缴上级支出</c:v>
                </c:pt>
                <c:pt idx="3">
                  <c:v>经营支出</c:v>
                </c:pt>
                <c:pt idx="4">
                  <c:v>对附属单位补助支出</c:v>
                </c:pt>
              </c:strCache>
            </c:strRef>
          </c:cat>
          <c:val>
            <c:numRef>
              <c:f>Sheet1!$B$2:$B$6</c:f>
              <c:numCache>
                <c:formatCode>General</c:formatCode>
                <c:ptCount val="5"/>
                <c:pt idx="0">
                  <c:v>76.56</c:v>
                </c:pt>
                <c:pt idx="1">
                  <c:v>23.43</c:v>
                </c:pt>
                <c:pt idx="2">
                  <c:v>0</c:v>
                </c:pt>
                <c:pt idx="3">
                  <c:v>0</c:v>
                </c:pt>
                <c:pt idx="4">
                  <c:v>0</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财政拨款收、支总计变化图（万元）</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2022年财政拨款收支总计</c:v>
                </c:pt>
                <c:pt idx="1">
                  <c:v>2023年财政拨款收支总计</c:v>
                </c:pt>
              </c:strCache>
            </c:strRef>
          </c:cat>
          <c:val>
            <c:numRef>
              <c:f>Sheet1!$B$2:$B$3</c:f>
              <c:numCache>
                <c:formatCode>General</c:formatCode>
                <c:ptCount val="2"/>
                <c:pt idx="0">
                  <c:v>251.71</c:v>
                </c:pt>
                <c:pt idx="1">
                  <c:v>296.58</c:v>
                </c:pt>
              </c:numCache>
            </c:numRef>
          </c:val>
        </c:ser>
        <c:dLbls>
          <c:showLegendKey val="0"/>
          <c:showVal val="1"/>
          <c:showCatName val="0"/>
          <c:showSerName val="0"/>
          <c:showPercent val="0"/>
          <c:showBubbleSize val="0"/>
        </c:dLbls>
        <c:gapWidth val="150"/>
        <c:overlap val="-25"/>
        <c:axId val="872367025"/>
        <c:axId val="682583531"/>
      </c:barChart>
      <c:catAx>
        <c:axId val="872367025"/>
        <c:scaling>
          <c:orientation val="minMax"/>
        </c:scaling>
        <c:delete val="0"/>
        <c:axPos val="b"/>
        <c:numFmt formatCode="yyyy&quot;年&quot;m&quot;月&quot;d&quot;日&quot;;@"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82583531"/>
        <c:crosses val="autoZero"/>
        <c:auto val="1"/>
        <c:lblAlgn val="ctr"/>
        <c:lblOffset val="100"/>
        <c:noMultiLvlLbl val="0"/>
      </c:catAx>
      <c:valAx>
        <c:axId val="682583531"/>
        <c:scaling>
          <c:orientation val="minMax"/>
        </c:scaling>
        <c:delete val="1"/>
        <c:axPos val="l"/>
        <c:numFmt formatCode="General" sourceLinked="1"/>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72367025"/>
        <c:crosses val="autoZero"/>
        <c:crossBetween val="between"/>
      </c:valAx>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一般公共预算财政拨款支出变化图（万元）</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2022年一般公共预算财政拨款收支总计</c:v>
                </c:pt>
                <c:pt idx="1">
                  <c:v>2023年一般公共预算财政拨款收支总计</c:v>
                </c:pt>
              </c:strCache>
            </c:strRef>
          </c:cat>
          <c:val>
            <c:numRef>
              <c:f>Sheet1!$B$2:$B$3</c:f>
              <c:numCache>
                <c:formatCode>General</c:formatCode>
                <c:ptCount val="2"/>
                <c:pt idx="0">
                  <c:v>251.71</c:v>
                </c:pt>
                <c:pt idx="1">
                  <c:v>296.58</c:v>
                </c:pt>
              </c:numCache>
            </c:numRef>
          </c:val>
        </c:ser>
        <c:dLbls>
          <c:showLegendKey val="0"/>
          <c:showVal val="1"/>
          <c:showCatName val="0"/>
          <c:showSerName val="0"/>
          <c:showPercent val="0"/>
          <c:showBubbleSize val="0"/>
        </c:dLbls>
        <c:gapWidth val="150"/>
        <c:overlap val="-25"/>
        <c:axId val="872367025"/>
        <c:axId val="682583531"/>
      </c:barChart>
      <c:catAx>
        <c:axId val="872367025"/>
        <c:scaling>
          <c:orientation val="minMax"/>
        </c:scaling>
        <c:delete val="0"/>
        <c:axPos val="b"/>
        <c:numFmt formatCode="yyyy&quot;年&quot;m&quot;月&quot;d&quot;日&quot;;@"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82583531"/>
        <c:crosses val="autoZero"/>
        <c:auto val="1"/>
        <c:lblAlgn val="ctr"/>
        <c:lblOffset val="100"/>
        <c:noMultiLvlLbl val="0"/>
      </c:catAx>
      <c:valAx>
        <c:axId val="682583531"/>
        <c:scaling>
          <c:orientation val="minMax"/>
        </c:scaling>
        <c:delete val="1"/>
        <c:axPos val="l"/>
        <c:numFmt formatCode="General" sourceLinked="1"/>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72367025"/>
        <c:crosses val="autoZero"/>
        <c:crossBetween val="between"/>
      </c:valAx>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134799482535576"/>
          <c:y val="0.0361881785283474"/>
        </c:manualLayout>
      </c:layout>
      <c:overlay val="0"/>
      <c:spPr>
        <a:noFill/>
        <a:ln>
          <a:noFill/>
        </a:ln>
        <a:effectLst/>
      </c:spPr>
      <c:txPr>
        <a:bodyPr rot="0" spcFirstLastPara="0" vertOverflow="ellipsis" vert="horz" wrap="square" anchor="ctr" anchorCtr="1"/>
        <a:lstStyle/>
        <a:p>
          <a:pPr>
            <a:defRPr lang="zh-CN" sz="1600" b="1" i="0" u="none" strike="noStrike" kern="1200" cap="all"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一般公共预算财政拨款支出决算结构图</c:v>
                </c:pt>
              </c:strCache>
            </c:strRef>
          </c:tx>
          <c:spPr/>
          <c:explosion val="0"/>
          <c:dPt>
            <c:idx val="0"/>
            <c:bubble3D val="0"/>
            <c:spPr>
              <a:solidFill>
                <a:schemeClr val="accent1"/>
              </a:solidFill>
              <a:ln>
                <a:noFill/>
              </a:ln>
              <a:effectLst>
                <a:outerShdw blurRad="63500" sx="102000" sy="102000" algn="ctr" rotWithShape="0">
                  <a:prstClr val="black">
                    <a:alpha val="20000"/>
                  </a:prstClr>
                </a:outerShdw>
              </a:effectLst>
            </c:spPr>
          </c:dPt>
          <c:dPt>
            <c:idx val="1"/>
            <c:bubble3D val="0"/>
            <c:spPr>
              <a:solidFill>
                <a:schemeClr val="accent2"/>
              </a:solidFill>
              <a:ln>
                <a:noFill/>
              </a:ln>
              <a:effectLst>
                <a:outerShdw blurRad="63500" sx="102000" sy="102000" algn="ctr" rotWithShape="0">
                  <a:prstClr val="black">
                    <a:alpha val="20000"/>
                  </a:prstClr>
                </a:outerShdw>
              </a:effectLst>
            </c:spPr>
          </c:dPt>
          <c:dPt>
            <c:idx val="2"/>
            <c:bubble3D val="0"/>
            <c:spPr>
              <a:solidFill>
                <a:schemeClr val="accent3"/>
              </a:solidFill>
              <a:ln>
                <a:noFill/>
              </a:ln>
              <a:effectLst>
                <a:outerShdw blurRad="63500" sx="102000" sy="102000" algn="ctr" rotWithShape="0">
                  <a:prstClr val="black">
                    <a:alpha val="20000"/>
                  </a:prstClr>
                </a:outerShdw>
              </a:effectLst>
            </c:spPr>
          </c:dPt>
          <c:dPt>
            <c:idx val="3"/>
            <c:bubble3D val="0"/>
            <c:spPr>
              <a:solidFill>
                <a:schemeClr val="accent4"/>
              </a:solidFill>
              <a:ln>
                <a:noFill/>
              </a:ln>
              <a:effectLst>
                <a:outerShdw blurRad="63500" sx="102000" sy="102000" algn="ctr" rotWithShape="0">
                  <a:prstClr val="black">
                    <a:alpha val="20000"/>
                  </a:prstClr>
                </a:outerShdw>
              </a:effectLst>
            </c:spPr>
          </c:dPt>
          <c:dPt>
            <c:idx val="4"/>
            <c:bubble3D val="0"/>
            <c:spPr>
              <a:solidFill>
                <a:schemeClr val="accent5"/>
              </a:solidFill>
              <a:ln>
                <a:noFill/>
              </a:ln>
              <a:effectLst>
                <a:outerShdw blurRad="63500" sx="102000" sy="102000" algn="ctr" rotWithShape="0">
                  <a:prstClr val="black">
                    <a:alpha val="20000"/>
                  </a:prstClr>
                </a:outerShdw>
              </a:effectLst>
            </c:spPr>
          </c:dPt>
          <c:dLbls>
            <c:dLbl>
              <c:idx val="0"/>
              <c:layout/>
              <c:numFmt formatCode="General" sourceLinked="1"/>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1"/>
                      </a:solidFill>
                      <a:latin typeface="+mn-lt"/>
                      <a:ea typeface="+mn-ea"/>
                      <a:cs typeface="+mn-cs"/>
                    </a:defRPr>
                  </a:pPr>
                </a:p>
              </c:txPr>
              <c:dLblPos val="outEnd"/>
              <c:showLegendKey val="0"/>
              <c:showVal val="0"/>
              <c:showCatName val="1"/>
              <c:showSerName val="0"/>
              <c:showPercent val="1"/>
              <c:showBubbleSize val="0"/>
              <c:separator>
</c:separator>
              <c:extLst>
                <c:ext xmlns:c15="http://schemas.microsoft.com/office/drawing/2012/chart" uri="{CE6537A1-D6FC-4f65-9D91-7224C49458BB}"/>
              </c:extLst>
            </c:dLbl>
            <c:dLbl>
              <c:idx val="1"/>
              <c:layout>
                <c:manualLayout>
                  <c:x val="-0.0446313065976714"/>
                  <c:y val="0.248793727382388"/>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2"/>
                      </a:solidFill>
                      <a:latin typeface="+mn-lt"/>
                      <a:ea typeface="+mn-ea"/>
                      <a:cs typeface="+mn-cs"/>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2"/>
              <c:layout>
                <c:manualLayout>
                  <c:x val="-0.0679172056921087"/>
                  <c:y val="0.117611580217129"/>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3"/>
                      </a:solidFill>
                      <a:latin typeface="+mn-lt"/>
                      <a:ea typeface="+mn-ea"/>
                      <a:cs typeface="+mn-cs"/>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3"/>
              <c:layout/>
              <c:numFmt formatCode="General" sourceLinked="1"/>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4"/>
                      </a:solidFill>
                      <a:latin typeface="+mn-lt"/>
                      <a:ea typeface="+mn-ea"/>
                      <a:cs typeface="+mn-cs"/>
                    </a:defRPr>
                  </a:pPr>
                </a:p>
              </c:txPr>
              <c:dLblPos val="outEnd"/>
              <c:showLegendKey val="0"/>
              <c:showVal val="0"/>
              <c:showCatName val="1"/>
              <c:showSerName val="0"/>
              <c:showPercent val="1"/>
              <c:showBubbleSize val="0"/>
              <c:separator>
</c:separator>
              <c:extLst>
                <c:ext xmlns:c15="http://schemas.microsoft.com/office/drawing/2012/chart" uri="{CE6537A1-D6FC-4f65-9D91-7224C49458BB}"/>
              </c:extLst>
            </c:dLbl>
            <c:dLbl>
              <c:idx val="4"/>
              <c:layout>
                <c:manualLayout>
                  <c:x val="0.116429495472186"/>
                  <c:y val="0.0452352231604343"/>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1"/>
                      </a:solidFill>
                      <a:latin typeface="+mn-lt"/>
                      <a:ea typeface="+mn-ea"/>
                      <a:cs typeface="+mn-cs"/>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1"/>
                    </a:solidFill>
                    <a:latin typeface="+mn-lt"/>
                    <a:ea typeface="+mn-ea"/>
                    <a:cs typeface="+mn-cs"/>
                  </a:defRPr>
                </a:pPr>
              </a:p>
            </c:txPr>
            <c:dLblPos val="out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一般公共服务（类）支出</c:v>
                </c:pt>
                <c:pt idx="1">
                  <c:v>社会保障和就业（类）支出</c:v>
                </c:pt>
                <c:pt idx="2">
                  <c:v>卫生健康支出</c:v>
                </c:pt>
                <c:pt idx="3">
                  <c:v>农林水支出</c:v>
                </c:pt>
                <c:pt idx="4">
                  <c:v>住房保障支出</c:v>
                </c:pt>
              </c:strCache>
            </c:strRef>
          </c:cat>
          <c:val>
            <c:numRef>
              <c:f>Sheet1!$B$2:$B$6</c:f>
              <c:numCache>
                <c:formatCode>General</c:formatCode>
                <c:ptCount val="5"/>
                <c:pt idx="0">
                  <c:v>77.8</c:v>
                </c:pt>
                <c:pt idx="1">
                  <c:v>14.28</c:v>
                </c:pt>
                <c:pt idx="2">
                  <c:v>2.03</c:v>
                </c:pt>
                <c:pt idx="3">
                  <c:v>0.34</c:v>
                </c:pt>
                <c:pt idx="4">
                  <c:v>5.55</c:v>
                </c:pt>
              </c:numCache>
            </c:numRef>
          </c:val>
        </c:ser>
        <c:dLbls>
          <c:showLegendKey val="0"/>
          <c:showVal val="0"/>
          <c:showCatName val="0"/>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3"/>
    </mc:Choice>
    <mc:Fallback>
      <c:style val="3"/>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“三公”经费财政拨款支出结构图</c:v>
                </c:pt>
              </c:strCache>
            </c:strRef>
          </c:tx>
          <c:spPr/>
          <c:explosion val="0"/>
          <c:dPt>
            <c:idx val="0"/>
            <c:bubble3D val="0"/>
            <c:spPr>
              <a:solidFill>
                <a:schemeClr val="accent1">
                  <a:shade val="65000"/>
                </a:schemeClr>
              </a:solidFill>
              <a:ln w="19050">
                <a:solidFill>
                  <a:schemeClr val="lt1"/>
                </a:solidFill>
              </a:ln>
              <a:effectLst/>
            </c:spPr>
          </c:dPt>
          <c:dPt>
            <c:idx val="1"/>
            <c:bubble3D val="0"/>
            <c:spPr>
              <a:solidFill>
                <a:schemeClr val="accent1"/>
              </a:solidFill>
              <a:ln w="19050">
                <a:solidFill>
                  <a:schemeClr val="lt1"/>
                </a:solidFill>
              </a:ln>
              <a:effectLst/>
            </c:spPr>
          </c:dPt>
          <c:dPt>
            <c:idx val="2"/>
            <c:bubble3D val="0"/>
            <c:spPr>
              <a:solidFill>
                <a:schemeClr val="accent1">
                  <a:tint val="65000"/>
                </a:schemeClr>
              </a:solidFill>
              <a:ln w="19050">
                <a:solidFill>
                  <a:schemeClr val="lt1"/>
                </a:solidFill>
              </a:ln>
              <a:effectLst/>
            </c:spPr>
          </c:dPt>
          <c:dLbls>
            <c:dLbl>
              <c:idx val="0"/>
              <c:layout>
                <c:manualLayout>
                  <c:x val="-0.0918756719807471"/>
                  <c:y val="0.130031654677456"/>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1"/>
              <c:layout>
                <c:manualLayout>
                  <c:x val="0.125624328019253"/>
                  <c:y val="0.121398561152276"/>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因公出国（境）费支出</c:v>
                </c:pt>
                <c:pt idx="1">
                  <c:v>公务用车购置及运行维护费支出</c:v>
                </c:pt>
                <c:pt idx="2">
                  <c:v>公务接待费支出</c:v>
                </c:pt>
              </c:strCache>
            </c:strRef>
          </c:cat>
          <c:val>
            <c:numRef>
              <c:f>Sheet1!$B$2:$B$4</c:f>
              <c:numCache>
                <c:formatCode>General</c:formatCode>
                <c:ptCount val="3"/>
                <c:pt idx="0">
                  <c:v>0</c:v>
                </c:pt>
                <c:pt idx="1">
                  <c:v>0</c:v>
                </c:pt>
                <c:pt idx="2">
                  <c:v>100</c:v>
                </c:pt>
              </c:numCache>
            </c:numRef>
          </c:val>
        </c:ser>
        <c:dLbls>
          <c:showLegendKey val="0"/>
          <c:showVal val="0"/>
          <c:showCatName val="0"/>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withinLinear" id="14">
  <a:schemeClr val="accent1"/>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四川省财政厅</Company>
  <Pages>19</Pages>
  <Words>1142</Words>
  <Characters>6514</Characters>
  <Lines>54</Lines>
  <Paragraphs>15</Paragraphs>
  <TotalTime>144</TotalTime>
  <ScaleCrop>false</ScaleCrop>
  <LinksUpToDate>false</LinksUpToDate>
  <CharactersWithSpaces>7641</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2020-08-08T09:49:00Z</dcterms:created>
  <dc:creator>曹颖</dc:creator>
  <cp:lastModifiedBy>易小琴</cp:lastModifiedBy>
  <cp:lastPrinted>2024-09-23T08:06:00Z</cp:lastPrinted>
  <dcterms:modified xsi:type="dcterms:W3CDTF">2024-09-26T06:22:11Z</dcterms:modified>
  <dc:title>四川省***</dc:title>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2EA0530FFA2C4D7BBD74DDBF90C89D46</vt:lpwstr>
  </property>
</Properties>
</file>