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8441"/>
      <w:bookmarkStart w:id="2" w:name="_Toc15377425"/>
      <w:bookmarkStart w:id="3" w:name="_Toc15396597"/>
      <w:bookmarkStart w:id="4" w:name="_Toc15377193"/>
      <w:bookmarkStart w:id="5" w:name="_Toc15306267"/>
    </w:p>
    <w:p>
      <w:pPr>
        <w:pStyle w:val="8"/>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194"/>
      <w:bookmarkStart w:id="9" w:name="_Toc15378442"/>
      <w:bookmarkStart w:id="10" w:name="_Toc15377426"/>
      <w:r>
        <w:rPr>
          <w:rFonts w:hint="eastAsia" w:ascii="方正小标宋简体" w:hAnsi="方正小标宋简体" w:eastAsia="方正小标宋简体" w:cs="方正小标宋简体"/>
          <w:sz w:val="72"/>
          <w:szCs w:val="72"/>
          <w:lang w:eastAsia="zh-CN"/>
        </w:rPr>
        <w:t>中共乐山市金口河区委</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lang w:eastAsia="zh-CN"/>
        </w:rPr>
        <w:t>宣传部</w:t>
      </w:r>
      <w:bookmarkEnd w:id="5"/>
      <w:bookmarkStart w:id="11" w:name="_Toc15306268"/>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4"/>
          <w:szCs w:val="44"/>
        </w:rPr>
      </w:pPr>
      <w:r>
        <w:rPr>
          <w:rFonts w:ascii="方正小标宋简体" w:hAnsi="宋体" w:eastAsia="方正小标宋简体"/>
          <w:sz w:val="36"/>
          <w:szCs w:val="36"/>
        </w:rPr>
        <w:br w:type="page"/>
      </w:r>
      <w:r>
        <w:rPr>
          <w:rFonts w:hint="eastAsia" w:ascii="黑体" w:hAnsi="黑体" w:eastAsia="黑体"/>
          <w:sz w:val="44"/>
          <w:szCs w:val="44"/>
        </w:rPr>
        <w:t>目录</w:t>
      </w:r>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cstheme="minorBidi"/>
          <w:sz w:val="28"/>
          <w:szCs w:val="28"/>
        </w:rPr>
      </w:pPr>
    </w:p>
    <w:p>
      <w:pPr>
        <w:pStyle w:val="13"/>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公开时间：2023年</w:t>
      </w:r>
      <w:r>
        <w:rPr>
          <w:rFonts w:hint="eastAsia" w:ascii="仿宋_GB2312" w:hAnsi="仿宋_GB2312" w:eastAsia="仿宋_GB2312" w:cs="仿宋_GB2312"/>
          <w:sz w:val="32"/>
          <w:szCs w:val="32"/>
          <w:lang w:val="en-US" w:eastAsia="zh-CN"/>
        </w:rPr>
        <w:t>9月19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2023年度部门决算情况说明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4"/>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Style w:val="19"/>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3"/>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pPr>
        <w:widowControl/>
        <w:adjustRightInd w:val="0"/>
        <w:snapToGrid w:val="0"/>
        <w:spacing w:line="440" w:lineRule="exact"/>
        <w:ind w:firstLine="1760" w:firstLineChars="550"/>
        <w:jc w:val="left"/>
        <w:rPr>
          <w:rFonts w:hint="eastAsia" w:ascii="仿宋_GB2312" w:hAnsi="仿宋_GB2312" w:eastAsia="仿宋_GB2312" w:cs="仿宋_GB2312"/>
          <w:sz w:val="32"/>
          <w:szCs w:val="32"/>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pageBreakBefore w:val="0"/>
        <w:kinsoku/>
        <w:wordWrap/>
        <w:overflowPunct/>
        <w:topLinePunct w:val="0"/>
        <w:autoSpaceDE/>
        <w:autoSpaceDN/>
        <w:bidi w:val="0"/>
        <w:spacing w:line="600" w:lineRule="exact"/>
        <w:jc w:val="center"/>
        <w:textAlignment w:val="auto"/>
        <w:rPr>
          <w:rFonts w:ascii="黑体" w:eastAsia="黑体"/>
          <w:sz w:val="32"/>
          <w:szCs w:val="32"/>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Style w:val="6"/>
        <w:pageBreakBefore w:val="0"/>
        <w:kinsoku/>
        <w:wordWrap/>
        <w:overflowPunct/>
        <w:topLinePunct w:val="0"/>
        <w:autoSpaceDE/>
        <w:autoSpaceDN/>
        <w:bidi w:val="0"/>
        <w:spacing w:line="600" w:lineRule="exact"/>
        <w:textAlignment w:val="auto"/>
        <w:rPr>
          <w:rFonts w:hint="eastAsia" w:ascii="黑体" w:hAnsi="黑体" w:eastAsia="黑体"/>
          <w:b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pPr>
        <w:pStyle w:val="8"/>
        <w:pageBreakBefore w:val="0"/>
        <w:kinsoku/>
        <w:wordWrap/>
        <w:overflowPunct/>
        <w:topLinePunct w:val="0"/>
        <w:autoSpaceDE/>
        <w:autoSpaceDN/>
        <w:bidi w:val="0"/>
        <w:adjustRightInd w:val="0"/>
        <w:snapToGrid w:val="0"/>
        <w:spacing w:before="93" w:line="600" w:lineRule="exact"/>
        <w:ind w:firstLine="672" w:firstLineChars="210"/>
        <w:textAlignment w:val="auto"/>
        <w:outlineLvl w:val="2"/>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lang w:val="en-US" w:eastAsia="zh-CN"/>
        </w:rPr>
        <w:t>1.</w:t>
      </w:r>
      <w:r>
        <w:rPr>
          <w:rFonts w:hint="eastAsia" w:ascii="仿宋_GB2312" w:hAnsi="仿宋" w:eastAsia="仿宋_GB2312" w:cs="Times New Roman"/>
          <w:kern w:val="2"/>
          <w:sz w:val="32"/>
          <w:szCs w:val="32"/>
        </w:rPr>
        <w:t>负责组织、引导全区的理论研究、理论学习和理论宣传工作。</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2.</w:t>
      </w:r>
      <w:r>
        <w:rPr>
          <w:rFonts w:hint="eastAsia" w:ascii="仿宋_GB2312" w:hAnsi="仿宋" w:eastAsia="仿宋_GB2312" w:cs="Times New Roman"/>
          <w:kern w:val="2"/>
          <w:sz w:val="32"/>
          <w:szCs w:val="32"/>
        </w:rPr>
        <w:t>负责引导社会舆论，指导、协调全区新闻宣传工作，对区广电宣传中心的工作实施政治方向、方针、政策的指导。</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3.</w:t>
      </w:r>
      <w:r>
        <w:rPr>
          <w:rFonts w:hint="eastAsia" w:ascii="仿宋_GB2312" w:hAnsi="仿宋" w:eastAsia="仿宋_GB2312" w:cs="Times New Roman"/>
          <w:kern w:val="2"/>
          <w:sz w:val="32"/>
          <w:szCs w:val="32"/>
        </w:rPr>
        <w:t>负责规划、部署全局性的思想政治工作任务。配合区委组织部做好党员教育工作，会同有关部门研究和改进群众思想教育工作。</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4.</w:t>
      </w:r>
      <w:r>
        <w:rPr>
          <w:rFonts w:hint="eastAsia" w:ascii="仿宋_GB2312" w:hAnsi="仿宋" w:eastAsia="仿宋_GB2312" w:cs="Times New Roman"/>
          <w:kern w:val="2"/>
          <w:sz w:val="32"/>
          <w:szCs w:val="32"/>
        </w:rPr>
        <w:t>负责全区群众性精神文明创建工作的规划和组织实施，协调、指导和监督全区文明单位、行业、村镇、社区、未成年人思想道德建设等各类群众性精神文明创建活动。</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5.</w:t>
      </w:r>
      <w:r>
        <w:rPr>
          <w:rFonts w:hint="eastAsia" w:ascii="仿宋_GB2312" w:hAnsi="仿宋" w:eastAsia="仿宋_GB2312" w:cs="Times New Roman"/>
          <w:kern w:val="2"/>
          <w:sz w:val="32"/>
          <w:szCs w:val="32"/>
        </w:rPr>
        <w:t>负责指导精神产品的生产和文化市场的管理。对区文广新局的工作实施宏观指导与协调。</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6.</w:t>
      </w:r>
      <w:r>
        <w:rPr>
          <w:rFonts w:hint="eastAsia" w:ascii="仿宋_GB2312" w:hAnsi="仿宋" w:eastAsia="仿宋_GB2312" w:cs="Times New Roman"/>
          <w:kern w:val="2"/>
          <w:sz w:val="32"/>
          <w:szCs w:val="32"/>
        </w:rPr>
        <w:t>负责从宏观上指导全区中小学校的德育、政治理论课教学和思想政治工作。</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7.</w:t>
      </w:r>
      <w:r>
        <w:rPr>
          <w:rFonts w:hint="eastAsia" w:ascii="仿宋_GB2312" w:hAnsi="仿宋" w:eastAsia="仿宋_GB2312" w:cs="Times New Roman"/>
          <w:kern w:val="2"/>
          <w:sz w:val="32"/>
          <w:szCs w:val="32"/>
        </w:rPr>
        <w:t>负责全区对外宣传工作的总体规划，组织协调，指导和管理全区的外宣工作。</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8.</w:t>
      </w:r>
      <w:r>
        <w:rPr>
          <w:rFonts w:hint="eastAsia" w:ascii="仿宋_GB2312" w:hAnsi="仿宋" w:eastAsia="仿宋_GB2312" w:cs="Times New Roman"/>
          <w:kern w:val="2"/>
          <w:sz w:val="32"/>
          <w:szCs w:val="32"/>
        </w:rPr>
        <w:t>负责制定全区宣传干部的培训规划并组织实施。</w:t>
      </w:r>
    </w:p>
    <w:p>
      <w:pPr>
        <w:pStyle w:val="15"/>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 w:eastAsia="仿宋_GB2312" w:cs="Times New Roman"/>
          <w:kern w:val="2"/>
          <w:sz w:val="32"/>
          <w:szCs w:val="32"/>
        </w:rPr>
      </w:pPr>
      <w:r>
        <w:rPr>
          <w:rFonts w:hint="eastAsia" w:ascii="仿宋" w:hAnsi="仿宋" w:eastAsia="仿宋"/>
          <w:color w:val="333333"/>
          <w:sz w:val="32"/>
          <w:szCs w:val="32"/>
          <w:lang w:val="en-US" w:eastAsia="zh-CN"/>
        </w:rPr>
        <w:t>9.</w:t>
      </w:r>
      <w:r>
        <w:rPr>
          <w:rFonts w:hint="eastAsia" w:ascii="仿宋_GB2312" w:hAnsi="仿宋" w:eastAsia="仿宋_GB2312" w:cs="Times New Roman"/>
          <w:kern w:val="2"/>
          <w:sz w:val="32"/>
          <w:szCs w:val="32"/>
        </w:rPr>
        <w:t>负责提出宣传思想文化事业发展的指导意见，指导文化系统制定政策、法规，按照区委的工作部署，对宣传文化系统各部门之间的工作进行协调。</w:t>
      </w:r>
    </w:p>
    <w:p>
      <w:pPr>
        <w:pageBreakBefore w:val="0"/>
        <w:numPr>
          <w:ilvl w:val="0"/>
          <w:numId w:val="0"/>
        </w:numPr>
        <w:kinsoku/>
        <w:wordWrap/>
        <w:overflowPunct/>
        <w:topLinePunct w:val="0"/>
        <w:autoSpaceDE/>
        <w:autoSpaceDN/>
        <w:bidi w:val="0"/>
        <w:spacing w:line="600" w:lineRule="exact"/>
        <w:ind w:firstLine="640" w:firstLineChars="200"/>
        <w:textAlignment w:val="auto"/>
      </w:pPr>
      <w:r>
        <w:rPr>
          <w:rFonts w:hint="eastAsia" w:ascii="仿宋" w:hAnsi="仿宋" w:eastAsia="仿宋"/>
          <w:color w:val="333333"/>
          <w:sz w:val="32"/>
          <w:szCs w:val="32"/>
          <w:lang w:val="en-US" w:eastAsia="zh-CN"/>
        </w:rPr>
        <w:t>10.</w:t>
      </w:r>
      <w:r>
        <w:rPr>
          <w:rFonts w:hint="eastAsia" w:ascii="仿宋_GB2312" w:hAnsi="仿宋" w:eastAsia="仿宋_GB2312" w:cs="Times New Roman"/>
          <w:kern w:val="2"/>
          <w:sz w:val="32"/>
          <w:szCs w:val="32"/>
        </w:rPr>
        <w:t>完成区委和市委宣传部交办的其他任务。</w:t>
      </w:r>
      <w:bookmarkEnd w:id="16"/>
      <w:bookmarkEnd w:id="17"/>
    </w:p>
    <w:p>
      <w:pPr>
        <w:pStyle w:val="6"/>
        <w:pageBreakBefore w:val="0"/>
        <w:kinsoku/>
        <w:wordWrap/>
        <w:overflowPunct/>
        <w:topLinePunct w:val="0"/>
        <w:autoSpaceDE/>
        <w:autoSpaceDN/>
        <w:bidi w:val="0"/>
        <w:spacing w:line="600" w:lineRule="exact"/>
        <w:textAlignment w:val="auto"/>
        <w:rPr>
          <w:rStyle w:val="30"/>
          <w:b w:val="0"/>
          <w:bCs w:val="0"/>
        </w:rPr>
      </w:pPr>
      <w:bookmarkStart w:id="18" w:name="_Toc15377200"/>
      <w:bookmarkStart w:id="19"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8"/>
      <w:bookmarkEnd w:id="19"/>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中共乐山市金口河区委宣传部下属二级预算单位2个，其中行政单位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bookmarkStart w:id="20" w:name="_Toc15396602"/>
      <w:bookmarkStart w:id="21" w:name="_Toc15377204"/>
    </w:p>
    <w:p>
      <w:pPr>
        <w:pageBreakBefore w:val="0"/>
        <w:kinsoku/>
        <w:wordWrap/>
        <w:overflowPunct/>
        <w:topLinePunct w:val="0"/>
        <w:autoSpaceDE/>
        <w:autoSpaceDN/>
        <w:bidi w:val="0"/>
        <w:spacing w:line="6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lang w:eastAsia="zh-CN"/>
        </w:rPr>
        <w:t>区委宣传部无纳入</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年度部门决算编制范围的二级预算单位</w:t>
      </w:r>
      <w:r>
        <w:rPr>
          <w:rFonts w:hint="eastAsia" w:ascii="仿宋" w:hAnsi="仿宋" w:eastAsia="仿宋"/>
          <w:sz w:val="32"/>
          <w:szCs w:val="32"/>
          <w:lang w:eastAsia="zh-CN"/>
        </w:rPr>
        <w:t>。</w:t>
      </w:r>
    </w:p>
    <w:p>
      <w:pPr>
        <w:pStyle w:val="5"/>
        <w:pageBreakBefore w:val="0"/>
        <w:kinsoku/>
        <w:wordWrap/>
        <w:overflowPunct/>
        <w:topLinePunct w:val="0"/>
        <w:autoSpaceDE/>
        <w:autoSpaceDN/>
        <w:bidi w:val="0"/>
        <w:spacing w:line="600" w:lineRule="exact"/>
        <w:ind w:right="440"/>
        <w:jc w:val="center"/>
        <w:textAlignment w:val="auto"/>
        <w:rPr>
          <w:rFonts w:hint="eastAsia" w:ascii="黑体" w:hAnsi="黑体" w:eastAsia="黑体"/>
          <w:b w:val="0"/>
        </w:rPr>
      </w:pPr>
    </w:p>
    <w:p>
      <w:pPr>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5"/>
        <w:ind w:right="440"/>
        <w:jc w:val="center"/>
        <w:rPr>
          <w:rFonts w:hint="eastAsia" w:ascii="黑体" w:hAnsi="黑体" w:eastAsia="黑体"/>
          <w:b w:val="0"/>
        </w:rPr>
      </w:pPr>
    </w:p>
    <w:p>
      <w:pPr>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11"/>
        <w:rPr>
          <w:rFonts w:hint="eastAsia" w:ascii="黑体" w:hAnsi="黑体" w:eastAsia="黑体"/>
          <w:b w:val="0"/>
        </w:rPr>
      </w:pPr>
    </w:p>
    <w:p>
      <w:pPr>
        <w:pStyle w:val="5"/>
        <w:ind w:right="440"/>
        <w:jc w:val="center"/>
        <w:rPr>
          <w:rStyle w:val="29"/>
          <w:rFonts w:ascii="黑体" w:hAnsi="黑体" w:eastAsia="黑体"/>
          <w:b w:val="0"/>
          <w:bCs/>
        </w:rPr>
      </w:pPr>
      <w:r>
        <w:rPr>
          <w:rFonts w:hint="eastAsia" w:ascii="黑体" w:hAnsi="黑体" w:eastAsia="黑体"/>
          <w:b w:val="0"/>
        </w:rPr>
        <w:t>第二部分 2023年度</w:t>
      </w:r>
      <w:r>
        <w:rPr>
          <w:rStyle w:val="29"/>
          <w:rFonts w:hint="eastAsia" w:ascii="黑体" w:hAnsi="黑体" w:eastAsia="黑体"/>
          <w:b w:val="0"/>
          <w:bCs/>
        </w:rPr>
        <w:t>部门决算情况说明</w:t>
      </w:r>
      <w:bookmarkEnd w:id="20"/>
      <w:bookmarkEnd w:id="21"/>
    </w:p>
    <w:p/>
    <w:p>
      <w:pPr>
        <w:pStyle w:val="28"/>
        <w:numPr>
          <w:ilvl w:val="0"/>
          <w:numId w:val="1"/>
        </w:numPr>
        <w:spacing w:line="600" w:lineRule="exact"/>
        <w:ind w:firstLineChars="0"/>
        <w:outlineLvl w:val="1"/>
        <w:rPr>
          <w:rStyle w:val="30"/>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2"/>
      <w:bookmarkEnd w:id="23"/>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w:t>
      </w:r>
      <w:r>
        <w:rPr>
          <w:rFonts w:hint="eastAsia" w:ascii="仿宋" w:hAnsi="仿宋" w:eastAsia="仿宋"/>
          <w:sz w:val="32"/>
          <w:szCs w:val="32"/>
          <w:lang w:eastAsia="zh-CN"/>
        </w:rPr>
        <w:t>收入</w:t>
      </w:r>
      <w:r>
        <w:rPr>
          <w:rFonts w:hint="eastAsia" w:ascii="仿宋" w:hAnsi="仿宋" w:eastAsia="仿宋"/>
          <w:sz w:val="32"/>
          <w:szCs w:val="32"/>
          <w:lang w:val="en-US" w:eastAsia="zh-CN"/>
        </w:rPr>
        <w:t>1073.29万元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sz w:val="32"/>
          <w:szCs w:val="32"/>
        </w:rPr>
        <w:t>1211.6</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w:t>
      </w:r>
      <w:r>
        <w:rPr>
          <w:rFonts w:hint="eastAsia" w:ascii="仿宋" w:hAnsi="仿宋" w:eastAsia="仿宋"/>
          <w:sz w:val="32"/>
          <w:szCs w:val="32"/>
          <w:lang w:eastAsia="zh-CN"/>
        </w:rPr>
        <w:t>收入增加</w:t>
      </w:r>
      <w:r>
        <w:rPr>
          <w:rFonts w:hint="eastAsia" w:ascii="仿宋" w:hAnsi="仿宋" w:eastAsia="仿宋"/>
          <w:sz w:val="32"/>
          <w:szCs w:val="32"/>
          <w:lang w:val="en-US" w:eastAsia="zh-CN"/>
        </w:rPr>
        <w:t>179.35</w:t>
      </w:r>
      <w:r>
        <w:rPr>
          <w:rFonts w:hint="eastAsia" w:ascii="仿宋" w:hAnsi="仿宋" w:eastAsia="仿宋"/>
          <w:sz w:val="32"/>
          <w:szCs w:val="32"/>
          <w:lang w:eastAsia="zh-CN"/>
        </w:rPr>
        <w:t>万元</w:t>
      </w:r>
      <w:r>
        <w:rPr>
          <w:rFonts w:hint="eastAsia" w:ascii="仿宋" w:hAnsi="仿宋" w:eastAsia="仿宋"/>
          <w:sz w:val="32"/>
          <w:szCs w:val="32"/>
        </w:rPr>
        <w:t>、</w:t>
      </w:r>
      <w:r>
        <w:rPr>
          <w:rFonts w:hint="eastAsia" w:ascii="仿宋" w:hAnsi="仿宋" w:eastAsia="仿宋"/>
          <w:sz w:val="32"/>
          <w:szCs w:val="32"/>
          <w:lang w:eastAsia="zh-CN"/>
        </w:rPr>
        <w:t>支出增加</w:t>
      </w:r>
      <w:r>
        <w:rPr>
          <w:rFonts w:hint="eastAsia" w:ascii="仿宋" w:hAnsi="仿宋" w:eastAsia="仿宋"/>
          <w:sz w:val="32"/>
          <w:szCs w:val="32"/>
          <w:lang w:val="en-US" w:eastAsia="zh-CN"/>
        </w:rPr>
        <w:t>327.06</w:t>
      </w:r>
      <w:r>
        <w:rPr>
          <w:rFonts w:hint="eastAsia" w:ascii="仿宋" w:hAnsi="仿宋" w:eastAsia="仿宋"/>
          <w:sz w:val="32"/>
          <w:szCs w:val="32"/>
        </w:rPr>
        <w:t>万元，</w:t>
      </w:r>
      <w:r>
        <w:rPr>
          <w:rFonts w:hint="eastAsia" w:ascii="仿宋" w:hAnsi="仿宋" w:eastAsia="仿宋"/>
          <w:sz w:val="32"/>
          <w:szCs w:val="32"/>
          <w:lang w:eastAsia="zh-CN"/>
        </w:rPr>
        <w:t>收入增长</w:t>
      </w:r>
      <w:r>
        <w:rPr>
          <w:rFonts w:hint="eastAsia" w:ascii="仿宋" w:hAnsi="仿宋" w:eastAsia="仿宋"/>
          <w:sz w:val="32"/>
          <w:szCs w:val="32"/>
          <w:lang w:val="en-US" w:eastAsia="zh-CN"/>
        </w:rPr>
        <w:t>20</w:t>
      </w:r>
      <w:r>
        <w:rPr>
          <w:rFonts w:ascii="仿宋" w:hAnsi="仿宋" w:eastAsia="仿宋"/>
          <w:sz w:val="32"/>
          <w:szCs w:val="32"/>
        </w:rPr>
        <w:t>%</w:t>
      </w:r>
      <w:r>
        <w:rPr>
          <w:rFonts w:hint="eastAsia" w:ascii="仿宋" w:hAnsi="仿宋" w:eastAsia="仿宋"/>
          <w:sz w:val="32"/>
          <w:szCs w:val="32"/>
          <w:lang w:eastAsia="zh-CN"/>
        </w:rPr>
        <w:t>，支出增长</w:t>
      </w:r>
      <w:r>
        <w:rPr>
          <w:rFonts w:hint="eastAsia" w:ascii="仿宋" w:hAnsi="仿宋" w:eastAsia="仿宋"/>
          <w:sz w:val="32"/>
          <w:szCs w:val="32"/>
          <w:lang w:val="en-US" w:eastAsia="zh-CN"/>
        </w:rPr>
        <w:t>37%</w:t>
      </w:r>
      <w:r>
        <w:rPr>
          <w:rFonts w:hint="eastAsia" w:ascii="仿宋" w:hAnsi="仿宋" w:eastAsia="仿宋"/>
          <w:sz w:val="32"/>
          <w:szCs w:val="32"/>
        </w:rPr>
        <w:t>。主要变动原因是</w:t>
      </w:r>
      <w:r>
        <w:rPr>
          <w:rFonts w:hint="eastAsia" w:ascii="仿宋" w:hAnsi="仿宋" w:eastAsia="仿宋"/>
          <w:sz w:val="32"/>
          <w:szCs w:val="32"/>
          <w:lang w:eastAsia="zh-CN"/>
        </w:rPr>
        <w:t>拨付往年账务，本年度对往年融媒体中心账务结算较多</w:t>
      </w:r>
      <w:r>
        <w:rPr>
          <w:rFonts w:hint="eastAsia" w:ascii="仿宋" w:hAnsi="仿宋" w:eastAsia="仿宋"/>
          <w:sz w:val="32"/>
          <w:szCs w:val="32"/>
        </w:rPr>
        <w:t>。</w:t>
      </w:r>
    </w:p>
    <w:p>
      <w:pPr>
        <w:pStyle w:val="11"/>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numPr>
          <w:ilvl w:val="0"/>
          <w:numId w:val="1"/>
        </w:numPr>
        <w:spacing w:line="600" w:lineRule="exact"/>
        <w:ind w:firstLineChars="0"/>
        <w:outlineLvl w:val="1"/>
        <w:rPr>
          <w:rStyle w:val="30"/>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30"/>
          <w:rFonts w:hint="eastAsia" w:ascii="黑体" w:hAnsi="黑体" w:eastAsia="黑体"/>
          <w:b w:val="0"/>
        </w:rPr>
        <w:t>入决算情况说明</w:t>
      </w:r>
      <w:bookmarkEnd w:id="24"/>
      <w:bookmarkEnd w:id="25"/>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2023年度本年收入合计</w:t>
      </w:r>
      <w:r>
        <w:rPr>
          <w:sz w:val="32"/>
          <w:szCs w:val="32"/>
        </w:rPr>
        <w:t>1073.29</w:t>
      </w:r>
      <w:r>
        <w:rPr>
          <w:rFonts w:hint="eastAsia" w:ascii="仿宋" w:hAnsi="仿宋" w:eastAsia="仿宋"/>
          <w:sz w:val="32"/>
          <w:szCs w:val="32"/>
        </w:rPr>
        <w:t>万元，其中：一般公共预算财政拨款收入</w:t>
      </w:r>
      <w:r>
        <w:rPr>
          <w:sz w:val="32"/>
          <w:szCs w:val="32"/>
        </w:rPr>
        <w:t>1073.19</w:t>
      </w:r>
      <w:r>
        <w:rPr>
          <w:rFonts w:hint="eastAsia" w:ascii="仿宋" w:hAnsi="仿宋" w:eastAsia="仿宋"/>
          <w:sz w:val="32"/>
          <w:szCs w:val="32"/>
        </w:rPr>
        <w:t>万元，占</w:t>
      </w:r>
      <w:r>
        <w:rPr>
          <w:sz w:val="32"/>
          <w:szCs w:val="32"/>
        </w:rPr>
        <w:t>99.99</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0.1</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pPr>
        <w:spacing w:line="600" w:lineRule="exact"/>
        <w:ind w:firstLine="640" w:firstLineChars="200"/>
        <w:jc w:val="left"/>
        <w:outlineLvl w:val="1"/>
        <w:rPr>
          <w:rFonts w:hint="eastAsia" w:ascii="仿宋" w:hAnsi="仿宋" w:eastAsia="仿宋"/>
          <w:sz w:val="32"/>
          <w:szCs w:val="32"/>
        </w:rPr>
      </w:pPr>
    </w:p>
    <w:p>
      <w:pPr>
        <w:pStyle w:val="11"/>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numPr>
          <w:ilvl w:val="0"/>
          <w:numId w:val="1"/>
        </w:numPr>
        <w:spacing w:line="600" w:lineRule="exact"/>
        <w:ind w:firstLineChars="0"/>
        <w:outlineLvl w:val="1"/>
        <w:rPr>
          <w:rStyle w:val="30"/>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30"/>
          <w:rFonts w:hint="eastAsia" w:ascii="黑体" w:hAnsi="黑体" w:eastAsia="黑体"/>
          <w:b w:val="0"/>
        </w:rPr>
        <w:t>出决算情况说明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sz w:val="32"/>
          <w:szCs w:val="32"/>
        </w:rPr>
        <w:t>1210.67</w:t>
      </w:r>
      <w:r>
        <w:rPr>
          <w:rFonts w:hint="eastAsia" w:ascii="仿宋" w:hAnsi="仿宋" w:eastAsia="仿宋"/>
          <w:sz w:val="32"/>
          <w:szCs w:val="32"/>
        </w:rPr>
        <w:t>万元，其中：基本支出</w:t>
      </w:r>
      <w:r>
        <w:rPr>
          <w:sz w:val="32"/>
          <w:szCs w:val="32"/>
        </w:rPr>
        <w:t>509.77</w:t>
      </w:r>
      <w:r>
        <w:rPr>
          <w:rFonts w:hint="eastAsia" w:ascii="仿宋" w:hAnsi="仿宋" w:eastAsia="仿宋"/>
          <w:sz w:val="32"/>
          <w:szCs w:val="32"/>
        </w:rPr>
        <w:t>万元，占</w:t>
      </w:r>
      <w:r>
        <w:rPr>
          <w:sz w:val="32"/>
          <w:szCs w:val="32"/>
        </w:rPr>
        <w:t>42.1</w:t>
      </w:r>
      <w:r>
        <w:rPr>
          <w:rFonts w:ascii="仿宋" w:hAnsi="仿宋" w:eastAsia="仿宋"/>
          <w:sz w:val="32"/>
          <w:szCs w:val="32"/>
        </w:rPr>
        <w:t>%</w:t>
      </w:r>
      <w:r>
        <w:rPr>
          <w:rFonts w:hint="eastAsia" w:ascii="仿宋" w:hAnsi="仿宋" w:eastAsia="仿宋"/>
          <w:sz w:val="32"/>
          <w:szCs w:val="32"/>
        </w:rPr>
        <w:t>；项目支出</w:t>
      </w:r>
      <w:r>
        <w:rPr>
          <w:sz w:val="32"/>
          <w:szCs w:val="32"/>
        </w:rPr>
        <w:t>700.91</w:t>
      </w:r>
      <w:r>
        <w:rPr>
          <w:rFonts w:hint="eastAsia" w:ascii="仿宋" w:hAnsi="仿宋" w:eastAsia="仿宋"/>
          <w:sz w:val="32"/>
          <w:szCs w:val="32"/>
        </w:rPr>
        <w:t>万元，占</w:t>
      </w:r>
      <w:r>
        <w:rPr>
          <w:sz w:val="32"/>
          <w:szCs w:val="32"/>
        </w:rPr>
        <w:t>57.89</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pPr>
        <w:spacing w:line="600" w:lineRule="exact"/>
        <w:ind w:firstLine="640" w:firstLineChars="200"/>
        <w:outlineLvl w:val="1"/>
        <w:rPr>
          <w:rFonts w:hint="eastAsia" w:ascii="仿宋" w:hAnsi="仿宋" w:eastAsia="仿宋"/>
          <w:sz w:val="32"/>
          <w:szCs w:val="32"/>
        </w:rPr>
      </w:pPr>
    </w:p>
    <w:p>
      <w:pPr>
        <w:pStyle w:val="11"/>
        <w:rPr>
          <w:rFonts w:hint="eastAsia" w:eastAsia="仿宋"/>
          <w:lang w:eastAsia="zh-CN"/>
        </w:rPr>
      </w:pPr>
      <w:r>
        <w:rPr>
          <w:rFonts w:hint="eastAsia" w:eastAsia="仿宋"/>
          <w:lang w:eastAsia="zh-CN"/>
        </w:rPr>
        <w:drawing>
          <wp:inline distT="0" distB="0" distL="114300" distR="114300">
            <wp:extent cx="5080000" cy="2193290"/>
            <wp:effectExtent l="5080" t="4445" r="2032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0"/>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8"/>
      <w:bookmarkEnd w:id="29"/>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w:t>
      </w:r>
      <w:r>
        <w:rPr>
          <w:rFonts w:hint="eastAsia" w:ascii="仿宋" w:hAnsi="仿宋" w:eastAsia="仿宋"/>
          <w:sz w:val="32"/>
          <w:szCs w:val="32"/>
          <w:lang w:eastAsia="zh-CN"/>
        </w:rPr>
        <w:t>收入</w:t>
      </w:r>
      <w:r>
        <w:rPr>
          <w:rFonts w:hint="eastAsia" w:ascii="仿宋" w:hAnsi="仿宋" w:eastAsia="仿宋"/>
          <w:sz w:val="32"/>
          <w:szCs w:val="32"/>
          <w:lang w:val="en-US" w:eastAsia="zh-CN"/>
        </w:rPr>
        <w:t>1073.29万元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sz w:val="32"/>
          <w:szCs w:val="32"/>
        </w:rPr>
        <w:t>1211.6</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w:t>
      </w:r>
      <w:r>
        <w:rPr>
          <w:rFonts w:hint="eastAsia" w:ascii="仿宋" w:hAnsi="仿宋" w:eastAsia="仿宋"/>
          <w:sz w:val="32"/>
          <w:szCs w:val="32"/>
          <w:lang w:eastAsia="zh-CN"/>
        </w:rPr>
        <w:t>收入增加</w:t>
      </w:r>
      <w:r>
        <w:rPr>
          <w:rFonts w:hint="eastAsia" w:ascii="仿宋" w:hAnsi="仿宋" w:eastAsia="仿宋"/>
          <w:sz w:val="32"/>
          <w:szCs w:val="32"/>
          <w:lang w:val="en-US" w:eastAsia="zh-CN"/>
        </w:rPr>
        <w:t>179.35</w:t>
      </w:r>
      <w:r>
        <w:rPr>
          <w:rFonts w:hint="eastAsia" w:ascii="仿宋" w:hAnsi="仿宋" w:eastAsia="仿宋"/>
          <w:sz w:val="32"/>
          <w:szCs w:val="32"/>
          <w:lang w:eastAsia="zh-CN"/>
        </w:rPr>
        <w:t>万元</w:t>
      </w:r>
      <w:r>
        <w:rPr>
          <w:rFonts w:hint="eastAsia" w:ascii="仿宋" w:hAnsi="仿宋" w:eastAsia="仿宋"/>
          <w:sz w:val="32"/>
          <w:szCs w:val="32"/>
        </w:rPr>
        <w:t>、</w:t>
      </w:r>
      <w:r>
        <w:rPr>
          <w:rFonts w:hint="eastAsia" w:ascii="仿宋" w:hAnsi="仿宋" w:eastAsia="仿宋"/>
          <w:sz w:val="32"/>
          <w:szCs w:val="32"/>
          <w:lang w:eastAsia="zh-CN"/>
        </w:rPr>
        <w:t>支出增加</w:t>
      </w:r>
      <w:r>
        <w:rPr>
          <w:rFonts w:hint="eastAsia" w:ascii="仿宋" w:hAnsi="仿宋" w:eastAsia="仿宋"/>
          <w:sz w:val="32"/>
          <w:szCs w:val="32"/>
          <w:lang w:val="en-US" w:eastAsia="zh-CN"/>
        </w:rPr>
        <w:t>327.06</w:t>
      </w:r>
      <w:r>
        <w:rPr>
          <w:rFonts w:hint="eastAsia" w:ascii="仿宋" w:hAnsi="仿宋" w:eastAsia="仿宋"/>
          <w:sz w:val="32"/>
          <w:szCs w:val="32"/>
        </w:rPr>
        <w:t>万元，</w:t>
      </w:r>
      <w:r>
        <w:rPr>
          <w:rFonts w:hint="eastAsia" w:ascii="仿宋" w:hAnsi="仿宋" w:eastAsia="仿宋"/>
          <w:sz w:val="32"/>
          <w:szCs w:val="32"/>
          <w:lang w:eastAsia="zh-CN"/>
        </w:rPr>
        <w:t>收入增长</w:t>
      </w:r>
      <w:r>
        <w:rPr>
          <w:rFonts w:hint="eastAsia" w:ascii="仿宋" w:hAnsi="仿宋" w:eastAsia="仿宋"/>
          <w:sz w:val="32"/>
          <w:szCs w:val="32"/>
          <w:lang w:val="en-US" w:eastAsia="zh-CN"/>
        </w:rPr>
        <w:t>20</w:t>
      </w:r>
      <w:r>
        <w:rPr>
          <w:rFonts w:ascii="仿宋" w:hAnsi="仿宋" w:eastAsia="仿宋"/>
          <w:sz w:val="32"/>
          <w:szCs w:val="32"/>
        </w:rPr>
        <w:t>%</w:t>
      </w:r>
      <w:r>
        <w:rPr>
          <w:rFonts w:hint="eastAsia" w:ascii="仿宋" w:hAnsi="仿宋" w:eastAsia="仿宋"/>
          <w:sz w:val="32"/>
          <w:szCs w:val="32"/>
          <w:lang w:eastAsia="zh-CN"/>
        </w:rPr>
        <w:t>，支出增长</w:t>
      </w:r>
      <w:r>
        <w:rPr>
          <w:rFonts w:hint="eastAsia" w:ascii="仿宋" w:hAnsi="仿宋" w:eastAsia="仿宋"/>
          <w:sz w:val="32"/>
          <w:szCs w:val="32"/>
          <w:lang w:val="en-US" w:eastAsia="zh-CN"/>
        </w:rPr>
        <w:t>37%</w:t>
      </w:r>
      <w:r>
        <w:rPr>
          <w:rFonts w:hint="eastAsia" w:ascii="仿宋" w:hAnsi="仿宋" w:eastAsia="仿宋"/>
          <w:sz w:val="32"/>
          <w:szCs w:val="32"/>
        </w:rPr>
        <w:t>。主要变动原因是</w:t>
      </w:r>
      <w:r>
        <w:rPr>
          <w:rFonts w:hint="eastAsia" w:ascii="仿宋" w:hAnsi="仿宋" w:eastAsia="仿宋"/>
          <w:sz w:val="32"/>
          <w:szCs w:val="32"/>
          <w:lang w:eastAsia="zh-CN"/>
        </w:rPr>
        <w:t>项目资金拨付较多，本年度对往年融媒体中心账务结算较多</w:t>
      </w:r>
      <w:r>
        <w:rPr>
          <w:rFonts w:hint="eastAsia" w:ascii="仿宋" w:hAnsi="仿宋" w:eastAsia="仿宋"/>
          <w:sz w:val="32"/>
          <w:szCs w:val="32"/>
        </w:rPr>
        <w:t>。</w:t>
      </w:r>
    </w:p>
    <w:p>
      <w:pPr>
        <w:spacing w:line="600" w:lineRule="exact"/>
        <w:ind w:firstLine="640"/>
        <w:rPr>
          <w:rFonts w:hint="eastAsia" w:ascii="仿宋" w:hAnsi="仿宋" w:eastAsia="仿宋"/>
          <w:sz w:val="32"/>
          <w:szCs w:val="32"/>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pStyle w:val="11"/>
      </w:pPr>
      <w:r>
        <w:rPr>
          <w:rFonts w:hint="eastAsia" w:eastAsia="仿宋"/>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30"/>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2023年度一般公共预算财政拨款支出</w:t>
      </w:r>
      <w:r>
        <w:rPr>
          <w:sz w:val="32"/>
          <w:szCs w:val="32"/>
        </w:rPr>
        <w:t>1210.57</w:t>
      </w:r>
      <w:r>
        <w:rPr>
          <w:rFonts w:hint="eastAsia" w:ascii="仿宋" w:hAnsi="仿宋" w:eastAsia="仿宋"/>
          <w:sz w:val="32"/>
          <w:szCs w:val="32"/>
        </w:rPr>
        <w:t>万元，占本年支出合计的</w:t>
      </w:r>
      <w:r>
        <w:rPr>
          <w:sz w:val="32"/>
          <w:szCs w:val="32"/>
        </w:rPr>
        <w:t>99.99</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326.1</w:t>
      </w:r>
      <w:r>
        <w:rPr>
          <w:rFonts w:hint="eastAsia" w:ascii="仿宋" w:hAnsi="仿宋" w:eastAsia="仿宋"/>
          <w:sz w:val="32"/>
          <w:szCs w:val="32"/>
        </w:rPr>
        <w:t>万元，增长</w:t>
      </w:r>
      <w:r>
        <w:rPr>
          <w:rFonts w:hint="eastAsia" w:ascii="仿宋" w:hAnsi="仿宋" w:eastAsia="仿宋"/>
          <w:sz w:val="32"/>
          <w:szCs w:val="32"/>
          <w:lang w:val="en-US" w:eastAsia="zh-CN"/>
        </w:rPr>
        <w:t>26.9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项目资金拨付较多，本年度对往年融媒体中心账务结算较多</w:t>
      </w:r>
      <w:r>
        <w:rPr>
          <w:rFonts w:hint="eastAsia" w:ascii="仿宋" w:hAnsi="仿宋" w:eastAsia="仿宋"/>
          <w:sz w:val="32"/>
          <w:szCs w:val="32"/>
        </w:rPr>
        <w:t>。</w:t>
      </w:r>
    </w:p>
    <w:p>
      <w:pPr>
        <w:pStyle w:val="11"/>
        <w:rPr>
          <w:rFonts w:hint="eastAsia"/>
          <w:lang w:eastAsia="zh-CN"/>
        </w:rPr>
      </w:pPr>
      <w:r>
        <w:rPr>
          <w:rFonts w:hint="eastAsia" w:eastAsia="仿宋"/>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sz w:val="32"/>
          <w:szCs w:val="32"/>
        </w:rPr>
        <w:t>1210.57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1057.87</w:t>
      </w:r>
      <w:r>
        <w:rPr>
          <w:rFonts w:hint="eastAsia" w:ascii="仿宋" w:hAnsi="仿宋" w:eastAsia="仿宋"/>
          <w:sz w:val="32"/>
          <w:szCs w:val="32"/>
        </w:rPr>
        <w:t>万元，占</w:t>
      </w:r>
      <w:r>
        <w:rPr>
          <w:rFonts w:hint="eastAsia" w:ascii="仿宋" w:hAnsi="仿宋" w:eastAsia="仿宋"/>
          <w:sz w:val="32"/>
          <w:szCs w:val="32"/>
          <w:lang w:val="en-US" w:eastAsia="zh-CN"/>
        </w:rPr>
        <w:t>87.38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lang w:val="en-US" w:eastAsia="zh-CN"/>
        </w:rPr>
        <w:t>27.34万元，占2.26%；</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77.07万元，</w:t>
      </w:r>
      <w:r>
        <w:rPr>
          <w:rFonts w:hint="eastAsia" w:ascii="仿宋" w:hAnsi="仿宋" w:eastAsia="仿宋"/>
          <w:sz w:val="32"/>
          <w:szCs w:val="32"/>
        </w:rPr>
        <w:t>占</w:t>
      </w:r>
      <w:r>
        <w:rPr>
          <w:rFonts w:hint="eastAsia" w:ascii="仿宋" w:hAnsi="仿宋" w:eastAsia="仿宋"/>
          <w:sz w:val="32"/>
          <w:szCs w:val="32"/>
          <w:lang w:val="en-US" w:eastAsia="zh-CN"/>
        </w:rPr>
        <w:t>6.37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11.99</w:t>
      </w:r>
      <w:r>
        <w:rPr>
          <w:rFonts w:hint="eastAsia" w:ascii="仿宋" w:hAnsi="仿宋" w:eastAsia="仿宋"/>
          <w:sz w:val="32"/>
          <w:szCs w:val="32"/>
        </w:rPr>
        <w:t>万元，占</w:t>
      </w:r>
      <w:r>
        <w:rPr>
          <w:rFonts w:hint="eastAsia" w:ascii="仿宋" w:hAnsi="仿宋" w:eastAsia="仿宋"/>
          <w:sz w:val="32"/>
          <w:szCs w:val="32"/>
          <w:lang w:val="en-US" w:eastAsia="zh-CN"/>
        </w:rPr>
        <w:t>0.99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33.91</w:t>
      </w:r>
      <w:r>
        <w:rPr>
          <w:rFonts w:hint="eastAsia" w:ascii="仿宋" w:hAnsi="仿宋" w:eastAsia="仿宋"/>
          <w:sz w:val="32"/>
          <w:szCs w:val="32"/>
        </w:rPr>
        <w:t>万元，占</w:t>
      </w:r>
      <w:r>
        <w:rPr>
          <w:rFonts w:hint="eastAsia" w:ascii="仿宋" w:hAnsi="仿宋" w:eastAsia="仿宋"/>
          <w:sz w:val="32"/>
          <w:szCs w:val="32"/>
          <w:lang w:val="en-US" w:eastAsia="zh-CN"/>
        </w:rPr>
        <w:t>2.80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sz w:val="32"/>
          <w:szCs w:val="32"/>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pPr>
        <w:pStyle w:val="11"/>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600" w:lineRule="exact"/>
        <w:ind w:firstLine="643" w:firstLineChars="200"/>
        <w:outlineLvl w:val="2"/>
        <w:rPr>
          <w:rFonts w:ascii="仿宋" w:hAnsi="仿宋" w:eastAsia="仿宋"/>
          <w:sz w:val="32"/>
          <w:szCs w:val="32"/>
        </w:rPr>
      </w:pPr>
      <w:bookmarkStart w:id="35" w:name="_Toc15377444"/>
      <w:bookmarkStart w:id="36" w:name="_Toc15378460"/>
      <w:bookmarkStart w:id="37" w:name="_Toc15377213"/>
      <w:r>
        <w:rPr>
          <w:rFonts w:hint="eastAsia" w:ascii="仿宋" w:hAnsi="仿宋" w:eastAsia="仿宋"/>
          <w:b/>
          <w:sz w:val="32"/>
          <w:szCs w:val="32"/>
        </w:rPr>
        <w:t>2023年度一般公共预算支出决算数为</w:t>
      </w:r>
      <w:r>
        <w:rPr>
          <w:sz w:val="32"/>
          <w:szCs w:val="32"/>
        </w:rPr>
        <w:t>1210.57</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5"/>
      <w:bookmarkEnd w:id="36"/>
      <w:bookmarkEnd w:id="37"/>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组织事务（款）</w:t>
      </w:r>
      <w:r>
        <w:rPr>
          <w:rStyle w:val="18"/>
          <w:rFonts w:hint="eastAsia" w:ascii="仿宋" w:hAnsi="仿宋" w:eastAsia="仿宋"/>
          <w:bCs/>
          <w:sz w:val="32"/>
          <w:szCs w:val="32"/>
          <w:lang w:eastAsia="zh-CN"/>
        </w:rPr>
        <w:t>其他组织事务支出（项）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决算数</w:t>
      </w:r>
      <w:r>
        <w:rPr>
          <w:rStyle w:val="18"/>
          <w:rFonts w:hint="eastAsia" w:ascii="仿宋" w:hAnsi="仿宋" w:eastAsia="仿宋"/>
          <w:b w:val="0"/>
          <w:bCs/>
          <w:sz w:val="32"/>
          <w:szCs w:val="32"/>
        </w:rPr>
        <w:t>等于预算数。</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宣传事务（款）</w:t>
      </w:r>
      <w:r>
        <w:rPr>
          <w:rStyle w:val="18"/>
          <w:rFonts w:hint="eastAsia" w:ascii="仿宋" w:hAnsi="仿宋" w:eastAsia="仿宋"/>
          <w:bCs/>
          <w:sz w:val="32"/>
          <w:szCs w:val="32"/>
          <w:lang w:eastAsia="zh-CN"/>
        </w:rPr>
        <w:t>行政运行（项）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229.28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宣传事务（款）</w:t>
      </w:r>
      <w:r>
        <w:rPr>
          <w:rStyle w:val="18"/>
          <w:rFonts w:hint="eastAsia" w:ascii="仿宋" w:hAnsi="仿宋" w:eastAsia="仿宋"/>
          <w:bCs/>
          <w:sz w:val="32"/>
          <w:szCs w:val="32"/>
          <w:lang w:eastAsia="zh-CN"/>
        </w:rPr>
        <w:t>一般行政管理事务（项）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230.44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宣传事务（款）</w:t>
      </w:r>
      <w:r>
        <w:rPr>
          <w:rStyle w:val="18"/>
          <w:rFonts w:hint="eastAsia" w:ascii="仿宋" w:hAnsi="仿宋" w:eastAsia="仿宋"/>
          <w:bCs/>
          <w:sz w:val="32"/>
          <w:szCs w:val="32"/>
          <w:lang w:eastAsia="zh-CN"/>
        </w:rPr>
        <w:t>事业运行（项）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157.51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Cs/>
          <w:sz w:val="32"/>
          <w:szCs w:val="32"/>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宣传事务（款）</w:t>
      </w:r>
      <w:r>
        <w:rPr>
          <w:rStyle w:val="18"/>
          <w:rFonts w:hint="eastAsia" w:ascii="仿宋" w:hAnsi="仿宋" w:eastAsia="仿宋"/>
          <w:bCs/>
          <w:sz w:val="32"/>
          <w:szCs w:val="32"/>
          <w:lang w:eastAsia="zh-CN"/>
        </w:rPr>
        <w:t>其他宣传事务支出（项）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440.53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Style w:val="18"/>
          <w:rFonts w:hint="eastAsia" w:ascii="仿宋" w:hAnsi="仿宋" w:eastAsia="仿宋"/>
          <w:bCs/>
          <w:sz w:val="32"/>
          <w:szCs w:val="32"/>
        </w:rPr>
        <w:t>文化旅游体育与传媒</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文化和旅游（款）其他文化和旅游支出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10.53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Cs/>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文化旅游体育与传媒</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其他文化旅游体育与传媒支出（款）宣传文化发展专线支出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6.21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文化旅游体育与传媒</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其他文化旅游体育与传媒支出（款）其他文化旅游体育与传媒支出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10.50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行政事业单位养老支出（款）机关事业单位基本养老保险缴费支出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45.95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行政事业单位养老支出（款）机关事业单位职业年金缴费支出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24.25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11</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行政事业单位养老支出（款）其他行政事业单位养老支出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残疾人事业（款）残疾人就业</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13</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其他社会保障和就业支出（款）其他社会保障和就业支出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14</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行政事业单位医疗（款）行政单位医疗</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15</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行政事业单位医疗（款）行政单位医疗</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16</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行政事业单位医疗（款）事业单位医疗</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5.76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17</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行政事业单位医疗（款）公务员医疗补助</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1.44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18</w:t>
      </w:r>
      <w:r>
        <w:rPr>
          <w:rStyle w:val="18"/>
          <w:rFonts w:ascii="仿宋" w:hAnsi="仿宋" w:eastAsia="仿宋"/>
          <w:bCs/>
          <w:sz w:val="32"/>
          <w:szCs w:val="32"/>
        </w:rPr>
        <w:t>.</w:t>
      </w:r>
      <w:r>
        <w:rPr>
          <w:rFonts w:hint="eastAsia" w:ascii="仿宋" w:hAnsi="仿宋" w:eastAsia="仿宋"/>
          <w:b/>
          <w:bCs/>
          <w:sz w:val="32"/>
          <w:szCs w:val="32"/>
          <w:lang w:eastAsia="zh-CN"/>
        </w:rPr>
        <w:t>农林水支出</w:t>
      </w:r>
      <w:r>
        <w:rPr>
          <w:rStyle w:val="18"/>
          <w:rFonts w:hint="eastAsia" w:ascii="仿宋" w:hAnsi="仿宋" w:eastAsia="仿宋"/>
          <w:bCs/>
          <w:sz w:val="32"/>
          <w:szCs w:val="32"/>
          <w:lang w:eastAsia="zh-CN"/>
        </w:rPr>
        <w:t>（类）</w:t>
      </w:r>
      <w:r>
        <w:rPr>
          <w:rStyle w:val="18"/>
          <w:rFonts w:hint="eastAsia" w:ascii="仿宋" w:hAnsi="仿宋" w:eastAsia="仿宋"/>
          <w:bCs/>
          <w:sz w:val="32"/>
          <w:szCs w:val="32"/>
          <w:lang w:val="en-US" w:eastAsia="zh-CN"/>
        </w:rPr>
        <w:t>巩固脱贫攻坚成果衔接乡村振兴（款）其他巩固脱贫攻坚成果衔接乡村振兴支出</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19</w:t>
      </w:r>
      <w:r>
        <w:rPr>
          <w:rStyle w:val="18"/>
          <w:rFonts w:ascii="仿宋" w:hAnsi="仿宋" w:eastAsia="仿宋"/>
          <w:bCs/>
          <w:sz w:val="32"/>
          <w:szCs w:val="32"/>
        </w:rPr>
        <w:t>.</w:t>
      </w:r>
      <w:r>
        <w:rPr>
          <w:rFonts w:hint="eastAsia" w:ascii="仿宋" w:hAnsi="仿宋" w:eastAsia="仿宋"/>
          <w:b/>
          <w:bCs/>
          <w:sz w:val="32"/>
          <w:szCs w:val="32"/>
          <w:lang w:eastAsia="zh-CN"/>
        </w:rPr>
        <w:t>住房保障支出</w:t>
      </w:r>
      <w:r>
        <w:rPr>
          <w:rStyle w:val="18"/>
          <w:rFonts w:hint="eastAsia" w:ascii="仿宋" w:hAnsi="仿宋" w:eastAsia="仿宋"/>
          <w:bCs/>
          <w:sz w:val="32"/>
          <w:szCs w:val="32"/>
          <w:lang w:val="en-US" w:eastAsia="zh-CN"/>
        </w:rPr>
        <w:t>（款）住房改革支出（款）住房公积金</w:t>
      </w:r>
      <w:r>
        <w:rPr>
          <w:rStyle w:val="18"/>
          <w:rFonts w:hint="eastAsia" w:ascii="仿宋" w:hAnsi="仿宋" w:eastAsia="仿宋"/>
          <w:bCs/>
          <w:sz w:val="32"/>
          <w:szCs w:val="32"/>
          <w:lang w:eastAsia="zh-CN"/>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33.91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hint="eastAsia" w:ascii="仿宋" w:hAnsi="仿宋" w:eastAsia="仿宋"/>
          <w:b/>
          <w:sz w:val="32"/>
          <w:szCs w:val="32"/>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outlineLvl w:val="1"/>
        <w:rPr>
          <w:rStyle w:val="30"/>
        </w:rPr>
      </w:pPr>
      <w:bookmarkStart w:id="38" w:name="_Toc15377214"/>
      <w:bookmarkStart w:id="39"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8"/>
      <w:bookmarkEnd w:id="39"/>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509.77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sz w:val="32"/>
          <w:szCs w:val="32"/>
        </w:rPr>
        <w:t>422.04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87.73</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sz w:val="32"/>
          <w:szCs w:val="32"/>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outlineLvl w:val="1"/>
        <w:rPr>
          <w:rStyle w:val="30"/>
          <w:rFonts w:ascii="黑体" w:hAnsi="黑体" w:eastAsia="黑体"/>
          <w:b w:val="0"/>
        </w:rPr>
      </w:pPr>
      <w:bookmarkStart w:id="40" w:name="_Toc15396609"/>
      <w:bookmarkStart w:id="41"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2023年度“三公”经费财政拨款支出决算为</w:t>
      </w:r>
      <w:r>
        <w:rPr>
          <w:sz w:val="32"/>
          <w:szCs w:val="32"/>
        </w:rPr>
        <w:t>5.76</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4.96</w:t>
      </w:r>
      <w:r>
        <w:rPr>
          <w:rFonts w:hint="eastAsia" w:ascii="仿宋" w:hAnsi="仿宋" w:eastAsia="仿宋"/>
          <w:sz w:val="32"/>
          <w:szCs w:val="32"/>
        </w:rPr>
        <w:t>万元，增长</w:t>
      </w:r>
      <w:r>
        <w:rPr>
          <w:rFonts w:hint="eastAsia" w:ascii="仿宋" w:hAnsi="仿宋" w:eastAsia="仿宋"/>
          <w:sz w:val="32"/>
          <w:szCs w:val="32"/>
          <w:lang w:val="en-US" w:eastAsia="zh-CN"/>
        </w:rPr>
        <w:t>86</w:t>
      </w:r>
      <w:r>
        <w:rPr>
          <w:rFonts w:hint="eastAsia" w:ascii="仿宋" w:hAnsi="仿宋" w:eastAsia="仿宋"/>
          <w:sz w:val="32"/>
          <w:szCs w:val="32"/>
        </w:rPr>
        <w:t>%。决算数小于预算数（或与预算数持平）的主要原因是</w:t>
      </w:r>
      <w:r>
        <w:rPr>
          <w:rFonts w:hint="eastAsia" w:ascii="仿宋" w:hAnsi="仿宋" w:eastAsia="仿宋"/>
          <w:sz w:val="32"/>
          <w:szCs w:val="32"/>
          <w:lang w:eastAsia="zh-CN"/>
        </w:rPr>
        <w:t>支付往年账务结算</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5.76</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sz w:val="32"/>
          <w:szCs w:val="32"/>
          <w:lang w:eastAsia="zh-CN"/>
        </w:rPr>
        <w:t>无</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5.76</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4.96</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86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支付往年账务结算</w:t>
      </w:r>
      <w:r>
        <w:rPr>
          <w:rFonts w:hint="eastAsia" w:ascii="仿宋" w:hAnsi="仿宋" w:eastAsia="仿宋"/>
          <w:sz w:val="32"/>
          <w:szCs w:val="32"/>
        </w:rPr>
        <w:t>。</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5.76</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13</w:t>
      </w:r>
      <w:r>
        <w:rPr>
          <w:rFonts w:hint="eastAsia" w:ascii="仿宋_GB2312" w:eastAsia="仿宋_GB2312"/>
          <w:sz w:val="32"/>
          <w:szCs w:val="32"/>
        </w:rPr>
        <w:t>批次，</w:t>
      </w:r>
      <w:r>
        <w:rPr>
          <w:rFonts w:hint="eastAsia" w:ascii="仿宋_GB2312" w:eastAsia="仿宋_GB2312"/>
          <w:sz w:val="32"/>
          <w:szCs w:val="32"/>
          <w:lang w:val="en-US" w:eastAsia="zh-CN"/>
        </w:rPr>
        <w:t>140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5.76</w:t>
      </w:r>
      <w:r>
        <w:rPr>
          <w:rFonts w:hint="eastAsia" w:ascii="仿宋_GB2312" w:eastAsia="仿宋_GB2312"/>
          <w:sz w:val="32"/>
          <w:szCs w:val="32"/>
        </w:rPr>
        <w:t>万元，具体内容包括：</w:t>
      </w:r>
      <w:r>
        <w:rPr>
          <w:rFonts w:hint="eastAsia" w:ascii="仿宋_GB2312" w:eastAsia="仿宋_GB2312"/>
          <w:sz w:val="32"/>
          <w:szCs w:val="32"/>
          <w:lang w:eastAsia="zh-CN"/>
        </w:rPr>
        <w:t>接待成都转转花旅游季客商领导等费用</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4" w:name="_Toc15377218"/>
      <w:bookmarkStart w:id="45"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0.1</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6" w:name="_Toc15396611"/>
      <w:bookmarkStart w:id="47" w:name="_Toc15377219"/>
      <w:r>
        <w:rPr>
          <w:rStyle w:val="30"/>
          <w:rFonts w:hint="eastAsia" w:ascii="黑体" w:hAnsi="黑体" w:eastAsia="黑体"/>
          <w:b w:val="0"/>
        </w:rPr>
        <w:t>国有资本经营预算支出决算情况说明</w:t>
      </w:r>
      <w:bookmarkEnd w:id="46"/>
      <w:bookmarkEnd w:id="47"/>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30"/>
          <w:rFonts w:ascii="黑体" w:hAnsi="黑体" w:eastAsia="黑体"/>
          <w:b w:val="0"/>
        </w:rPr>
      </w:pPr>
      <w:bookmarkStart w:id="48" w:name="_Toc15396612"/>
      <w:bookmarkStart w:id="49" w:name="_Toc15377221"/>
      <w:r>
        <w:rPr>
          <w:rStyle w:val="30"/>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2023年度，中共乐山市金口河区委宣传部机关运行经费支出87.73万元，比2022年度减少</w:t>
      </w:r>
      <w:r>
        <w:rPr>
          <w:rFonts w:hint="eastAsia" w:ascii="仿宋_GB2312" w:hAnsi="仿宋_GB2312" w:eastAsia="仿宋_GB2312" w:cs="仿宋_GB2312"/>
          <w:sz w:val="32"/>
          <w:szCs w:val="32"/>
          <w:lang w:val="en-US" w:eastAsia="zh-CN"/>
        </w:rPr>
        <w:t>17.66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%（或与2022年度决算数持平）。主要原因是</w:t>
      </w:r>
      <w:r>
        <w:rPr>
          <w:rFonts w:hint="eastAsia" w:ascii="仿宋_GB2312" w:hAnsi="仿宋_GB2312" w:eastAsia="仿宋_GB2312" w:cs="仿宋_GB2312"/>
          <w:sz w:val="32"/>
          <w:szCs w:val="32"/>
          <w:lang w:eastAsia="zh-CN"/>
        </w:rPr>
        <w:t>例行节约和部分票据未支付</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sz w:val="32"/>
          <w:szCs w:val="32"/>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中共乐山市金口河区委宣传部</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hint="eastAsia" w:ascii="仿宋" w:hAnsi="仿宋" w:eastAsia="仿宋"/>
          <w:b/>
          <w:sz w:val="32"/>
          <w:szCs w:val="32"/>
        </w:rPr>
      </w:pPr>
      <w:bookmarkStart w:id="52" w:name="_Toc15377224"/>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截至2023年12月31日，中共乐山市金口河区委宣传部共有车辆1辆，其中：主要领导干部用车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辆，其他用车主要是用于</w:t>
      </w:r>
      <w:r>
        <w:rPr>
          <w:rFonts w:hint="eastAsia" w:ascii="仿宋_GB2312" w:eastAsia="仿宋_GB2312"/>
          <w:color w:val="auto"/>
          <w:sz w:val="32"/>
          <w:szCs w:val="32"/>
          <w:highlight w:val="none"/>
          <w:lang w:eastAsia="zh-CN"/>
        </w:rPr>
        <w:t>机关单位公务出行</w:t>
      </w:r>
      <w:r>
        <w:rPr>
          <w:rFonts w:hint="eastAsia" w:ascii="仿宋_GB2312" w:hAnsi="仿宋_GB2312" w:eastAsia="仿宋_GB2312" w:cs="仿宋_GB2312"/>
          <w:sz w:val="32"/>
          <w:szCs w:val="32"/>
        </w:rPr>
        <w:t>。单价100万元以上设备（不含车辆）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仿宋_GB2312" w:eastAsia="仿宋_GB2312" w:cs="仿宋_GB2312"/>
          <w:sz w:val="32"/>
          <w:szCs w:val="32"/>
          <w:lang w:eastAsia="zh-CN"/>
        </w:rPr>
        <w:t>中心组学习经费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w:t>
      </w:r>
      <w:r>
        <w:rPr>
          <w:rFonts w:hint="eastAsia" w:ascii="仿宋_GB2312" w:hAnsi="仿宋_GB2312" w:eastAsia="仿宋_GB2312" w:cs="仿宋_GB2312"/>
          <w:color w:val="auto"/>
          <w:sz w:val="32"/>
          <w:szCs w:val="32"/>
          <w:highlight w:val="none"/>
        </w:rPr>
        <w:t>形成</w:t>
      </w:r>
      <w:r>
        <w:rPr>
          <w:rFonts w:hint="eastAsia" w:ascii="仿宋_GB2312" w:hAnsi="仿宋_GB2312" w:eastAsia="仿宋_GB2312" w:cs="仿宋_GB2312"/>
          <w:color w:val="auto"/>
          <w:sz w:val="32"/>
          <w:szCs w:val="32"/>
          <w:highlight w:val="none"/>
          <w:lang w:eastAsia="zh-CN"/>
        </w:rPr>
        <w:t>区委宣传部</w:t>
      </w:r>
      <w:r>
        <w:rPr>
          <w:rFonts w:hint="eastAsia" w:ascii="仿宋_GB2312" w:hAnsi="仿宋_GB2312" w:eastAsia="仿宋_GB2312" w:cs="仿宋_GB2312"/>
          <w:color w:val="auto"/>
          <w:sz w:val="32"/>
          <w:szCs w:val="32"/>
          <w:highlight w:val="none"/>
        </w:rPr>
        <w:t>部门整体（含部门预算项目）绩效自评报告专项预算项目绩效自评报告，其中，</w:t>
      </w:r>
      <w:r>
        <w:rPr>
          <w:rFonts w:hint="eastAsia" w:ascii="仿宋_GB2312" w:hAnsi="仿宋_GB2312" w:eastAsia="仿宋_GB2312" w:cs="仿宋_GB2312"/>
          <w:color w:val="auto"/>
          <w:sz w:val="32"/>
          <w:szCs w:val="32"/>
          <w:highlight w:val="none"/>
          <w:lang w:val="en-US" w:eastAsia="zh-CN"/>
        </w:rPr>
        <w:t>2023年中共乐山市金口河</w:t>
      </w:r>
      <w:r>
        <w:rPr>
          <w:rFonts w:hint="eastAsia" w:ascii="仿宋_GB2312" w:hAnsi="仿宋_GB2312" w:eastAsia="仿宋_GB2312" w:cs="仿宋_GB2312"/>
          <w:color w:val="auto"/>
          <w:sz w:val="32"/>
          <w:szCs w:val="32"/>
          <w:highlight w:val="none"/>
          <w:lang w:eastAsia="zh-CN"/>
        </w:rPr>
        <w:t>区委宣传部</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91</w:t>
      </w:r>
      <w:r>
        <w:rPr>
          <w:rFonts w:hint="eastAsia" w:ascii="仿宋_GB2312" w:hAnsi="仿宋_GB2312" w:eastAsia="仿宋_GB2312" w:cs="仿宋_GB2312"/>
          <w:color w:val="auto"/>
          <w:sz w:val="32"/>
          <w:szCs w:val="32"/>
          <w:highlight w:val="none"/>
        </w:rPr>
        <w:t>分。绩效自评报告详见附件。</w:t>
      </w:r>
    </w:p>
    <w:p>
      <w:pPr>
        <w:rPr>
          <w:rFonts w:hint="eastAsia"/>
        </w:rPr>
      </w:pPr>
    </w:p>
    <w:p>
      <w:pPr>
        <w:pStyle w:val="5"/>
        <w:jc w:val="center"/>
        <w:rPr>
          <w:rFonts w:hint="eastAsia" w:ascii="仿宋_GB2312" w:eastAsia="仿宋_GB2312"/>
          <w:sz w:val="32"/>
          <w:szCs w:val="32"/>
        </w:rPr>
      </w:pPr>
      <w:r>
        <w:rPr>
          <w:rFonts w:hint="eastAsia"/>
        </w:rPr>
        <w:t>第三部分 名词解释</w:t>
      </w:r>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4</w:t>
      </w:r>
      <w:r>
        <w:rPr>
          <w:rFonts w:ascii="仿宋_GB2312" w:hAnsi="Calibri" w:eastAsia="仿宋_GB2312" w:cs="仿宋"/>
          <w:color w:val="000000"/>
          <w:kern w:val="0"/>
          <w:sz w:val="32"/>
          <w:szCs w:val="32"/>
        </w:rPr>
        <w:t>.</w:t>
      </w:r>
      <w:r>
        <w:rPr>
          <w:rFonts w:hint="eastAsia" w:ascii="仿宋_GB2312" w:hAnsi="Calibri" w:eastAsia="仿宋_GB2312" w:cs="仿宋"/>
          <w:b/>
          <w:kern w:val="0"/>
        </w:rPr>
        <w:t xml:space="preserve"> </w:t>
      </w:r>
      <w:r>
        <w:rPr>
          <w:rFonts w:hint="eastAsia" w:ascii="仿宋_GB2312" w:hAnsi="Calibri" w:eastAsia="仿宋_GB2312" w:cs="仿宋"/>
          <w:color w:val="000000"/>
          <w:kern w:val="0"/>
          <w:sz w:val="32"/>
          <w:szCs w:val="32"/>
        </w:rPr>
        <w:t>一般公共服务（类）宣传事务（款）行政运行（项）：</w:t>
      </w:r>
      <w:r>
        <w:rPr>
          <w:rFonts w:ascii="仿宋_GB2312" w:hAnsi="Calibri" w:eastAsia="仿宋_GB2312" w:cs="仿宋"/>
          <w:color w:val="000000"/>
          <w:kern w:val="0"/>
          <w:sz w:val="32"/>
          <w:szCs w:val="32"/>
        </w:rPr>
        <w:t>指行政单位的基本支出。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5.</w:t>
      </w:r>
      <w:r>
        <w:rPr>
          <w:rFonts w:hint="eastAsia" w:ascii="仿宋_GB2312" w:hAnsi="Calibri" w:eastAsia="仿宋_GB2312" w:cs="仿宋"/>
          <w:color w:val="000000"/>
          <w:kern w:val="0"/>
          <w:sz w:val="32"/>
          <w:szCs w:val="32"/>
        </w:rPr>
        <w:t>一般公共服务（类）宣传事务（款）</w:t>
      </w:r>
      <w:r>
        <w:rPr>
          <w:rFonts w:hint="eastAsia" w:ascii="仿宋_GB2312" w:hAnsi="Calibri" w:eastAsia="仿宋_GB2312" w:cs="仿宋"/>
          <w:color w:val="000000"/>
          <w:kern w:val="0"/>
          <w:sz w:val="32"/>
          <w:szCs w:val="32"/>
          <w:lang w:eastAsia="zh-CN"/>
        </w:rPr>
        <w:t>民族工作专项</w:t>
      </w:r>
      <w:r>
        <w:rPr>
          <w:rFonts w:hint="eastAsia" w:ascii="仿宋_GB2312" w:hAnsi="Calibri" w:eastAsia="仿宋_GB2312" w:cs="仿宋"/>
          <w:color w:val="000000"/>
          <w:kern w:val="0"/>
          <w:sz w:val="32"/>
          <w:szCs w:val="32"/>
        </w:rPr>
        <w:t>（项）：</w:t>
      </w:r>
      <w:r>
        <w:rPr>
          <w:rFonts w:ascii="仿宋_GB2312" w:hAnsi="Calibri" w:eastAsia="仿宋_GB2312" w:cs="仿宋"/>
          <w:color w:val="000000"/>
          <w:kern w:val="0"/>
          <w:sz w:val="32"/>
          <w:szCs w:val="32"/>
        </w:rPr>
        <w:t>指</w:t>
      </w:r>
      <w:r>
        <w:rPr>
          <w:rFonts w:hint="eastAsia" w:ascii="仿宋_GB2312" w:hAnsi="Calibri" w:eastAsia="仿宋_GB2312" w:cs="仿宋"/>
          <w:color w:val="000000"/>
          <w:kern w:val="0"/>
          <w:sz w:val="32"/>
          <w:szCs w:val="32"/>
          <w:lang w:eastAsia="zh-CN"/>
        </w:rPr>
        <w:t>民族地区补助支出</w:t>
      </w:r>
      <w:r>
        <w:rPr>
          <w:rFonts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6</w:t>
      </w:r>
      <w:r>
        <w:rPr>
          <w:rFonts w:hint="eastAsia" w:ascii="仿宋_GB2312" w:hAnsi="Calibri" w:eastAsia="仿宋_GB2312" w:cs="仿宋"/>
          <w:color w:val="000000"/>
          <w:kern w:val="0"/>
          <w:sz w:val="32"/>
          <w:szCs w:val="32"/>
        </w:rPr>
        <w:t>.一般公共服务（类）宣传事务（款）一般行政管理事务（项）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w:t>
      </w:r>
      <w:r>
        <w:rPr>
          <w:rFonts w:ascii="仿宋_GB2312" w:hAnsi="Calibri" w:eastAsia="仿宋_GB2312" w:cs="仿宋"/>
          <w:color w:val="000000"/>
          <w:kern w:val="0"/>
          <w:sz w:val="32"/>
          <w:szCs w:val="32"/>
        </w:rPr>
        <w:t>行政单位（包括实行公务员管理的事业单位）未单独设置项级科目的其他项目支出</w:t>
      </w:r>
      <w:r>
        <w:rPr>
          <w:rFonts w:hint="eastAsia" w:ascii="仿宋_GB2312" w:hAnsi="Calibri" w:eastAsia="仿宋_GB2312" w:cs="仿宋"/>
          <w:color w:val="000000"/>
          <w:kern w:val="0"/>
          <w:sz w:val="32"/>
          <w:szCs w:val="32"/>
        </w:rPr>
        <w:t>。</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7</w:t>
      </w:r>
      <w:r>
        <w:rPr>
          <w:rFonts w:hint="eastAsia" w:ascii="仿宋_GB2312" w:hAnsi="Calibri" w:eastAsia="仿宋_GB2312" w:cs="仿宋"/>
          <w:color w:val="000000"/>
          <w:kern w:val="0"/>
          <w:sz w:val="32"/>
          <w:szCs w:val="32"/>
        </w:rPr>
        <w:t>.一般公共服务（类）宣传事务（款）</w:t>
      </w:r>
      <w:r>
        <w:rPr>
          <w:rFonts w:hint="eastAsia" w:ascii="仿宋_GB2312" w:hAnsi="Calibri" w:eastAsia="仿宋_GB2312" w:cs="仿宋"/>
          <w:color w:val="000000"/>
          <w:kern w:val="0"/>
          <w:sz w:val="32"/>
          <w:szCs w:val="32"/>
          <w:lang w:eastAsia="zh-CN"/>
        </w:rPr>
        <w:t>事业运行</w:t>
      </w:r>
      <w:r>
        <w:rPr>
          <w:rFonts w:hint="eastAsia" w:ascii="仿宋_GB2312" w:hAnsi="Calibri" w:eastAsia="仿宋_GB2312" w:cs="仿宋"/>
          <w:color w:val="000000"/>
          <w:kern w:val="0"/>
          <w:sz w:val="32"/>
          <w:szCs w:val="32"/>
        </w:rPr>
        <w:t>（项）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指事业单位基本支出。</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8.</w:t>
      </w:r>
      <w:r>
        <w:rPr>
          <w:rFonts w:hint="eastAsia" w:ascii="仿宋_GB2312" w:hAnsi="Calibri" w:eastAsia="仿宋_GB2312" w:cs="仿宋"/>
          <w:color w:val="000000"/>
          <w:kern w:val="0"/>
          <w:sz w:val="32"/>
          <w:szCs w:val="32"/>
        </w:rPr>
        <w:t>一般公共服务（类）宣传事务（款）其他宣传事务支出（项）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指事业单位基本支出。</w:t>
      </w:r>
    </w:p>
    <w:p>
      <w:pPr>
        <w:spacing w:line="600" w:lineRule="exact"/>
        <w:ind w:firstLine="640" w:firstLineChars="200"/>
        <w:rPr>
          <w:rStyle w:val="18"/>
          <w:rFonts w:hint="eastAsia" w:ascii="仿宋" w:hAnsi="仿宋" w:eastAsia="仿宋"/>
          <w:b w:val="0"/>
          <w:bCs w:val="0"/>
          <w:color w:val="000000"/>
          <w:sz w:val="32"/>
          <w:szCs w:val="32"/>
          <w:lang w:val="en-US" w:eastAsia="zh-CN"/>
        </w:rPr>
      </w:pPr>
      <w:r>
        <w:rPr>
          <w:rFonts w:hint="eastAsia" w:ascii="仿宋_GB2312" w:hAnsi="Calibri" w:eastAsia="仿宋_GB2312" w:cs="仿宋"/>
          <w:color w:val="000000"/>
          <w:kern w:val="0"/>
          <w:sz w:val="32"/>
          <w:szCs w:val="32"/>
          <w:lang w:val="en-US" w:eastAsia="zh-CN"/>
        </w:rPr>
        <w:t>9.</w:t>
      </w:r>
      <w:r>
        <w:rPr>
          <w:rStyle w:val="18"/>
          <w:rFonts w:hint="eastAsia" w:ascii="仿宋" w:hAnsi="仿宋" w:eastAsia="仿宋"/>
          <w:b w:val="0"/>
          <w:bCs w:val="0"/>
          <w:color w:val="000000"/>
          <w:sz w:val="32"/>
          <w:szCs w:val="32"/>
          <w:lang w:val="en-US" w:eastAsia="zh-CN"/>
        </w:rPr>
        <w:t>教育支出（类）进修及培训（款）培训支出（乡）：指行政单位培训支出。</w:t>
      </w:r>
    </w:p>
    <w:p>
      <w:pPr>
        <w:spacing w:line="600" w:lineRule="exact"/>
        <w:ind w:firstLine="640" w:firstLineChars="200"/>
        <w:rPr>
          <w:rFonts w:hint="eastAsia" w:ascii="ˎ̥" w:hAnsi="ˎ̥" w:cs="Arial"/>
          <w:kern w:val="0"/>
          <w:sz w:val="18"/>
          <w:szCs w:val="18"/>
        </w:rPr>
      </w:pPr>
      <w:r>
        <w:rPr>
          <w:rStyle w:val="18"/>
          <w:rFonts w:hint="eastAsia" w:ascii="仿宋" w:hAnsi="仿宋" w:eastAsia="仿宋"/>
          <w:b w:val="0"/>
          <w:bCs w:val="0"/>
          <w:color w:val="000000"/>
          <w:sz w:val="32"/>
          <w:szCs w:val="32"/>
          <w:lang w:val="en-US" w:eastAsia="zh-CN"/>
        </w:rPr>
        <w:t>10.</w:t>
      </w:r>
      <w:r>
        <w:rPr>
          <w:rFonts w:hint="eastAsia" w:ascii="仿宋_GB2312" w:hAnsi="Calibri" w:eastAsia="仿宋_GB2312" w:cs="仿宋"/>
          <w:color w:val="000000"/>
          <w:kern w:val="0"/>
          <w:sz w:val="32"/>
          <w:szCs w:val="32"/>
        </w:rPr>
        <w:t>文化旅游体育与传媒支出（类）文化和旅游（款）其他文化和旅游支出（项）</w:t>
      </w:r>
      <w:r>
        <w:rPr>
          <w:rFonts w:ascii="仿宋_GB2312" w:hAnsi="Calibri" w:eastAsia="仿宋_GB2312" w:cs="仿宋"/>
          <w:color w:val="000000"/>
          <w:kern w:val="0"/>
          <w:sz w:val="32"/>
          <w:szCs w:val="32"/>
        </w:rPr>
        <w:t>: 指用于文化体育传媒方面的支出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11.</w:t>
      </w:r>
      <w:r>
        <w:rPr>
          <w:rFonts w:hint="eastAsia" w:ascii="仿宋_GB2312" w:hAnsi="Calibri" w:eastAsia="仿宋_GB2312" w:cs="仿宋"/>
          <w:color w:val="000000"/>
          <w:kern w:val="0"/>
          <w:sz w:val="32"/>
          <w:szCs w:val="32"/>
        </w:rPr>
        <w:t>文化旅游体育与传媒支出（类）新闻出版电影（款）电影（项）</w:t>
      </w:r>
      <w:r>
        <w:rPr>
          <w:rFonts w:ascii="仿宋_GB2312" w:hAnsi="Calibri" w:eastAsia="仿宋_GB2312" w:cs="仿宋"/>
          <w:color w:val="000000"/>
          <w:kern w:val="0"/>
          <w:sz w:val="32"/>
          <w:szCs w:val="32"/>
        </w:rPr>
        <w:t>: 指用于新闻出版广播影视方面的支出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lang w:val="en-US" w:eastAsia="zh-CN"/>
        </w:rPr>
        <w:t>12.</w:t>
      </w:r>
      <w:r>
        <w:rPr>
          <w:rFonts w:hint="eastAsia" w:ascii="仿宋_GB2312" w:hAnsi="Calibri" w:eastAsia="仿宋_GB2312" w:cs="仿宋"/>
          <w:color w:val="000000"/>
          <w:kern w:val="0"/>
          <w:sz w:val="32"/>
          <w:szCs w:val="32"/>
        </w:rPr>
        <w:t>文化旅游体育与传媒支出（类）新闻出版电影（款）其他新闻出版电影支出（项）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lang w:eastAsia="zh-CN"/>
        </w:rPr>
        <w:t>其他</w:t>
      </w:r>
      <w:r>
        <w:rPr>
          <w:rFonts w:ascii="仿宋_GB2312" w:hAnsi="Calibri" w:eastAsia="仿宋_GB2312" w:cs="仿宋"/>
          <w:color w:val="000000"/>
          <w:kern w:val="0"/>
          <w:sz w:val="32"/>
          <w:szCs w:val="32"/>
        </w:rPr>
        <w:t>新闻出版广播影视方面的支出</w:t>
      </w:r>
      <w:r>
        <w:rPr>
          <w:rFonts w:hint="eastAsia" w:ascii="仿宋_GB2312" w:hAnsi="Calibri" w:eastAsia="仿宋_GB2312" w:cs="仿宋"/>
          <w:color w:val="000000"/>
          <w:kern w:val="0"/>
          <w:sz w:val="32"/>
          <w:szCs w:val="32"/>
          <w:lang w:eastAsia="zh-CN"/>
        </w:rPr>
        <w:t>。</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13.</w:t>
      </w:r>
      <w:r>
        <w:rPr>
          <w:rFonts w:hint="eastAsia" w:ascii="仿宋_GB2312" w:hAnsi="Calibri" w:eastAsia="仿宋_GB2312" w:cs="仿宋"/>
          <w:color w:val="000000"/>
          <w:kern w:val="0"/>
          <w:sz w:val="32"/>
          <w:szCs w:val="32"/>
        </w:rPr>
        <w:t>文化旅游体育与传媒支出（类）其他文化旅游体育与传媒支出（款）其他文化旅游体育与传媒支出（项）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lang w:eastAsia="zh-CN"/>
        </w:rPr>
        <w:t>其他</w:t>
      </w:r>
      <w:r>
        <w:rPr>
          <w:rFonts w:ascii="仿宋_GB2312" w:hAnsi="Calibri" w:eastAsia="仿宋_GB2312" w:cs="仿宋"/>
          <w:color w:val="000000"/>
          <w:kern w:val="0"/>
          <w:sz w:val="32"/>
          <w:szCs w:val="32"/>
        </w:rPr>
        <w:t>文化体育传媒方面的支出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14.</w:t>
      </w:r>
      <w:r>
        <w:rPr>
          <w:rFonts w:hint="eastAsia" w:ascii="仿宋_GB2312" w:hAnsi="Calibri" w:eastAsia="仿宋_GB2312" w:cs="仿宋"/>
          <w:color w:val="000000"/>
          <w:kern w:val="0"/>
          <w:sz w:val="32"/>
          <w:szCs w:val="32"/>
        </w:rPr>
        <w:t>社会保障和就业支出（类）行政事业单位养老支出（款）机关事业单位基本养老保险缴费支出（项）</w:t>
      </w:r>
      <w:r>
        <w:rPr>
          <w:rFonts w:ascii="仿宋_GB2312" w:hAnsi="Calibri" w:eastAsia="仿宋_GB2312" w:cs="仿宋"/>
          <w:color w:val="000000"/>
          <w:kern w:val="0"/>
          <w:sz w:val="32"/>
          <w:szCs w:val="32"/>
        </w:rPr>
        <w:t>: 指机关事业单位实施养老保险制度由单位缴纳的基本养老保险费支出。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15.</w:t>
      </w:r>
      <w:r>
        <w:rPr>
          <w:rFonts w:hint="eastAsia" w:ascii="仿宋_GB2312" w:hAnsi="Calibri" w:eastAsia="仿宋_GB2312" w:cs="仿宋"/>
          <w:color w:val="000000"/>
          <w:kern w:val="0"/>
          <w:sz w:val="32"/>
          <w:szCs w:val="32"/>
        </w:rPr>
        <w:t>社会保障和就业支出（类）行政事业单位养老支出（款）机关事业单位职业年金缴费支出（项）</w:t>
      </w:r>
      <w:r>
        <w:rPr>
          <w:rFonts w:ascii="仿宋_GB2312" w:hAnsi="Calibri" w:eastAsia="仿宋_GB2312" w:cs="仿宋"/>
          <w:color w:val="000000"/>
          <w:kern w:val="0"/>
          <w:sz w:val="32"/>
          <w:szCs w:val="32"/>
        </w:rPr>
        <w:t>: 指机关事业单位</w:t>
      </w:r>
      <w:r>
        <w:rPr>
          <w:rFonts w:hint="eastAsia" w:ascii="仿宋_GB2312" w:hAnsi="Calibri" w:eastAsia="仿宋_GB2312" w:cs="仿宋"/>
          <w:color w:val="000000"/>
          <w:kern w:val="0"/>
          <w:sz w:val="32"/>
          <w:szCs w:val="32"/>
        </w:rPr>
        <w:t>职业年金缴费</w:t>
      </w:r>
      <w:r>
        <w:rPr>
          <w:rFonts w:ascii="仿宋_GB2312" w:hAnsi="Calibri" w:eastAsia="仿宋_GB2312" w:cs="仿宋"/>
          <w:color w:val="000000"/>
          <w:kern w:val="0"/>
          <w:sz w:val="32"/>
          <w:szCs w:val="32"/>
        </w:rPr>
        <w:t>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16</w:t>
      </w:r>
      <w:r>
        <w:rPr>
          <w:rFonts w:hint="eastAsia" w:ascii="仿宋_GB2312" w:hAnsi="Calibri" w:eastAsia="仿宋_GB2312" w:cs="仿宋"/>
          <w:color w:val="000000"/>
          <w:kern w:val="0"/>
          <w:sz w:val="32"/>
          <w:szCs w:val="32"/>
        </w:rPr>
        <w:t>.社会保障和就业支出（类）行政事业单位养老支出（款）其他行政事业单位养老支出（项）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lang w:eastAsia="zh-CN"/>
        </w:rPr>
        <w:t>其他事业单位</w:t>
      </w:r>
      <w:r>
        <w:rPr>
          <w:rFonts w:ascii="仿宋_GB2312" w:hAnsi="Calibri" w:eastAsia="仿宋_GB2312" w:cs="仿宋"/>
          <w:color w:val="000000"/>
          <w:kern w:val="0"/>
          <w:sz w:val="32"/>
          <w:szCs w:val="32"/>
        </w:rPr>
        <w:t>实施养老保险制度由单位缴纳的基本养老保险费支出。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17.</w:t>
      </w:r>
      <w:r>
        <w:rPr>
          <w:rFonts w:hint="eastAsia" w:ascii="仿宋_GB2312" w:hAnsi="Calibri" w:eastAsia="仿宋_GB2312" w:cs="仿宋"/>
          <w:color w:val="000000"/>
          <w:kern w:val="0"/>
          <w:sz w:val="32"/>
          <w:szCs w:val="32"/>
        </w:rPr>
        <w:t>社会保障和就业支出（类）其他社会保障和就业支出（款）其他社会保障和就业支出（项）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lang w:eastAsia="zh-CN"/>
        </w:rPr>
        <w:t>其他事业单位社会保障和就业</w:t>
      </w:r>
      <w:r>
        <w:rPr>
          <w:rFonts w:ascii="仿宋_GB2312" w:hAnsi="Calibri" w:eastAsia="仿宋_GB2312" w:cs="仿宋"/>
          <w:color w:val="000000"/>
          <w:kern w:val="0"/>
          <w:sz w:val="32"/>
          <w:szCs w:val="32"/>
        </w:rPr>
        <w:t>支出。</w:t>
      </w:r>
    </w:p>
    <w:p>
      <w:pPr>
        <w:spacing w:line="600" w:lineRule="exact"/>
        <w:ind w:firstLine="640" w:firstLineChars="200"/>
        <w:rPr>
          <w:rFonts w:hint="eastAsia" w:ascii="ˎ̥" w:hAnsi="ˎ̥" w:cs="Arial"/>
          <w:kern w:val="0"/>
          <w:sz w:val="18"/>
          <w:szCs w:val="18"/>
        </w:rPr>
      </w:pPr>
      <w:r>
        <w:rPr>
          <w:rFonts w:hint="eastAsia" w:ascii="仿宋_GB2312" w:hAnsi="Calibri" w:eastAsia="仿宋_GB2312" w:cs="仿宋"/>
          <w:color w:val="000000"/>
          <w:kern w:val="0"/>
          <w:sz w:val="32"/>
          <w:szCs w:val="32"/>
          <w:lang w:val="en-US" w:eastAsia="zh-CN"/>
        </w:rPr>
        <w:t>18</w:t>
      </w:r>
      <w:r>
        <w:rPr>
          <w:rFonts w:hint="eastAsia" w:ascii="仿宋_GB2312" w:hAnsi="Calibri" w:eastAsia="仿宋_GB2312" w:cs="仿宋"/>
          <w:color w:val="000000"/>
          <w:kern w:val="0"/>
          <w:sz w:val="32"/>
          <w:szCs w:val="32"/>
        </w:rPr>
        <w:t>.卫生健康支出（类）行政事业单位医疗（款）行政单位医疗（项）</w:t>
      </w:r>
      <w:r>
        <w:rPr>
          <w:rFonts w:ascii="仿宋_GB2312" w:hAnsi="Calibri" w:eastAsia="仿宋_GB2312" w:cs="仿宋"/>
          <w:color w:val="000000"/>
          <w:kern w:val="0"/>
          <w:sz w:val="32"/>
          <w:szCs w:val="32"/>
        </w:rPr>
        <w:t>:</w:t>
      </w:r>
      <w:r>
        <w:rPr>
          <w:rFonts w:ascii="ˎ̥" w:hAnsi="ˎ̥" w:cs="Arial"/>
          <w:kern w:val="0"/>
          <w:sz w:val="18"/>
          <w:szCs w:val="18"/>
        </w:rPr>
        <w:t xml:space="preserve"> </w:t>
      </w:r>
      <w:r>
        <w:rPr>
          <w:rFonts w:ascii="仿宋_GB2312" w:hAnsi="Calibri" w:eastAsia="仿宋_GB2312" w:cs="仿宋"/>
          <w:color w:val="000000"/>
          <w:kern w:val="0"/>
          <w:sz w:val="32"/>
          <w:szCs w:val="32"/>
        </w:rPr>
        <w:t>指财政部门集中安排的行政单位基本医疗保险缴费</w:t>
      </w:r>
      <w:r>
        <w:rPr>
          <w:rFonts w:hint="eastAsia" w:ascii="仿宋_GB2312" w:hAnsi="Calibri" w:eastAsia="仿宋_GB2312" w:cs="仿宋"/>
          <w:color w:val="000000"/>
          <w:kern w:val="0"/>
          <w:sz w:val="32"/>
          <w:szCs w:val="32"/>
        </w:rPr>
        <w:t>支出。</w:t>
      </w:r>
    </w:p>
    <w:p>
      <w:pPr>
        <w:spacing w:line="600" w:lineRule="exact"/>
        <w:ind w:firstLine="640" w:firstLineChars="200"/>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en-US" w:eastAsia="zh-CN"/>
        </w:rPr>
        <w:t>19</w:t>
      </w:r>
      <w:r>
        <w:rPr>
          <w:rFonts w:hint="eastAsia" w:ascii="仿宋_GB2312" w:hAnsi="Calibri" w:eastAsia="仿宋_GB2312" w:cs="仿宋"/>
          <w:color w:val="000000"/>
          <w:kern w:val="0"/>
          <w:sz w:val="32"/>
          <w:szCs w:val="32"/>
        </w:rPr>
        <w:t>.卫生健康支出（类）行政事业单位医疗（款）事业单位医疗（项）</w:t>
      </w:r>
      <w:r>
        <w:rPr>
          <w:rFonts w:ascii="仿宋_GB2312" w:hAnsi="Calibri" w:eastAsia="仿宋_GB2312" w:cs="仿宋"/>
          <w:color w:val="000000"/>
          <w:kern w:val="0"/>
          <w:sz w:val="32"/>
          <w:szCs w:val="32"/>
        </w:rPr>
        <w:t>: 指财政部门集中安排的</w:t>
      </w:r>
      <w:r>
        <w:rPr>
          <w:rFonts w:hint="eastAsia" w:ascii="仿宋_GB2312" w:hAnsi="Calibri" w:eastAsia="仿宋_GB2312" w:cs="仿宋"/>
          <w:color w:val="000000"/>
          <w:kern w:val="0"/>
          <w:sz w:val="32"/>
          <w:szCs w:val="32"/>
        </w:rPr>
        <w:t>事业</w:t>
      </w:r>
      <w:r>
        <w:rPr>
          <w:rFonts w:ascii="仿宋_GB2312" w:hAnsi="Calibri" w:eastAsia="仿宋_GB2312" w:cs="仿宋"/>
          <w:color w:val="000000"/>
          <w:kern w:val="0"/>
          <w:sz w:val="32"/>
          <w:szCs w:val="32"/>
        </w:rPr>
        <w:t>单位基本医疗保险缴费</w:t>
      </w:r>
      <w:r>
        <w:rPr>
          <w:rFonts w:hint="eastAsia" w:ascii="仿宋_GB2312" w:hAnsi="Calibri" w:eastAsia="仿宋_GB2312" w:cs="仿宋"/>
          <w:color w:val="000000"/>
          <w:kern w:val="0"/>
          <w:sz w:val="32"/>
          <w:szCs w:val="32"/>
        </w:rPr>
        <w:t>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 农林水</w:t>
      </w:r>
      <w:r>
        <w:rPr>
          <w:rFonts w:hint="eastAsia" w:ascii="仿宋_GB2312" w:eastAsia="仿宋_GB2312"/>
          <w:sz w:val="32"/>
          <w:szCs w:val="32"/>
          <w:lang w:eastAsia="zh-CN"/>
        </w:rPr>
        <w:t>（类）</w:t>
      </w:r>
      <w:r>
        <w:rPr>
          <w:rFonts w:hint="eastAsia" w:ascii="仿宋_GB2312" w:eastAsia="仿宋_GB2312"/>
          <w:sz w:val="32"/>
          <w:szCs w:val="32"/>
          <w:lang w:val="en-US" w:eastAsia="zh-CN"/>
        </w:rPr>
        <w:t>巩固脱贫攻坚成果衔接乡村振兴（款）其他巩固脱贫攻坚成果衔接乡村振兴支出</w:t>
      </w:r>
      <w:r>
        <w:rPr>
          <w:rFonts w:hint="eastAsia" w:ascii="仿宋_GB2312" w:eastAsia="仿宋_GB2312"/>
          <w:sz w:val="32"/>
          <w:szCs w:val="32"/>
          <w:lang w:eastAsia="zh-CN"/>
        </w:rPr>
        <w:t>（项）</w:t>
      </w:r>
      <w:r>
        <w:rPr>
          <w:rFonts w:hint="eastAsia" w:ascii="仿宋_GB2312" w:eastAsia="仿宋_GB2312"/>
          <w:sz w:val="32"/>
          <w:szCs w:val="32"/>
        </w:rPr>
        <w:t>反映除上述项目以外其他用于</w:t>
      </w:r>
      <w:r>
        <w:rPr>
          <w:rFonts w:hint="eastAsia" w:ascii="仿宋_GB2312" w:eastAsia="仿宋_GB2312"/>
          <w:sz w:val="32"/>
          <w:szCs w:val="32"/>
          <w:lang w:val="en-US" w:eastAsia="zh-CN"/>
        </w:rPr>
        <w:t>巩固脱贫攻坚成果衔接乡村振兴支出</w:t>
      </w:r>
      <w:r>
        <w:rPr>
          <w:rFonts w:hint="eastAsia" w:ascii="仿宋_GB2312" w:eastAsia="仿宋_GB2312"/>
          <w:sz w:val="32"/>
          <w:szCs w:val="32"/>
        </w:rPr>
        <w:t>方面的支出。</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 住房保障：（类）指住房保障支出（款）住房改革支出（项）指住房公积金：反映行政事业单位按人力资源和社会保障部、财政部规定的基本工资和津贴补贴以及规定比例为职工缴纳的住房公积金。</w:t>
      </w:r>
    </w:p>
    <w:p>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eastAsia"/>
        </w:rPr>
      </w:pPr>
    </w:p>
    <w:p>
      <w:pPr>
        <w:pStyle w:val="5"/>
        <w:jc w:val="center"/>
      </w:pPr>
      <w:r>
        <w:rPr>
          <w:rFonts w:hint="eastAsia" w:ascii="黑体" w:hAnsi="黑体" w:eastAsia="黑体"/>
          <w:b w:val="0"/>
        </w:rPr>
        <w:t>第四部分 附件</w:t>
      </w:r>
    </w:p>
    <w:p>
      <w:pPr>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sz w:val="44"/>
          <w:szCs w:val="44"/>
          <w:highlight w:val="none"/>
          <w:shd w:val="clear" w:color="auto" w:fill="FFFFFF"/>
        </w:rPr>
      </w:pP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color w:val="auto"/>
          <w:sz w:val="44"/>
          <w:szCs w:val="44"/>
          <w:highlight w:val="none"/>
          <w:shd w:val="clear" w:color="auto" w:fill="FFFFFF"/>
        </w:rPr>
        <w:t>年</w:t>
      </w:r>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区委宣传部</w:t>
      </w:r>
      <w:r>
        <w:rPr>
          <w:rFonts w:hint="eastAsia" w:ascii="方正小标宋简体" w:hAnsi="方正小标宋简体" w:eastAsia="方正小标宋简体" w:cs="方正小标宋简体"/>
          <w:b w:val="0"/>
          <w:bCs/>
          <w:color w:val="auto"/>
          <w:sz w:val="44"/>
          <w:szCs w:val="44"/>
          <w:highlight w:val="none"/>
          <w:shd w:val="clear" w:color="auto" w:fill="FFFFFF"/>
        </w:rPr>
        <w:t>部门整体绩效评价报告</w:t>
      </w:r>
    </w:p>
    <w:p>
      <w:pPr>
        <w:jc w:val="center"/>
        <w:rPr>
          <w:rFonts w:ascii="仿宋_GB2312" w:eastAsia="仿宋_GB2312"/>
          <w:sz w:val="32"/>
          <w:szCs w:val="32"/>
        </w:rPr>
      </w:pPr>
    </w:p>
    <w:p/>
    <w:p>
      <w:pPr>
        <w:ind w:firstLine="640" w:firstLineChars="200"/>
        <w:rPr>
          <w:rFonts w:ascii="黑体" w:hAnsi="黑体" w:eastAsia="黑体"/>
          <w:sz w:val="32"/>
          <w:szCs w:val="32"/>
        </w:rPr>
      </w:pPr>
      <w:r>
        <w:rPr>
          <w:rFonts w:hint="eastAsia" w:ascii="黑体" w:hAnsi="黑体" w:eastAsia="黑体"/>
          <w:sz w:val="32"/>
          <w:szCs w:val="32"/>
        </w:rPr>
        <w:t>一、部门（单位）基本情况</w:t>
      </w:r>
    </w:p>
    <w:p>
      <w:pPr>
        <w:ind w:firstLine="643" w:firstLineChars="200"/>
        <w:rPr>
          <w:rFonts w:hint="eastAsia" w:ascii="楷体_GB2312" w:eastAsia="楷体_GB2312"/>
          <w:b/>
          <w:sz w:val="32"/>
          <w:szCs w:val="32"/>
        </w:rPr>
      </w:pPr>
      <w:r>
        <w:rPr>
          <w:rFonts w:hint="eastAsia" w:ascii="楷体_GB2312" w:eastAsia="楷体_GB2312"/>
          <w:b/>
          <w:sz w:val="32"/>
          <w:szCs w:val="32"/>
        </w:rPr>
        <w:t>（一）机构组成。</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rPr>
      </w:pPr>
      <w:r>
        <w:rPr>
          <w:rFonts w:hint="eastAsia" w:ascii="仿宋_GB2312" w:hAnsi="宋体" w:eastAsia="仿宋_GB2312" w:cs="宋体"/>
          <w:color w:val="000000"/>
          <w:kern w:val="0"/>
          <w:sz w:val="32"/>
          <w:szCs w:val="32"/>
          <w:shd w:val="clear" w:color="auto" w:fill="FFFFFF"/>
          <w:lang w:val="zh-CN"/>
        </w:rPr>
        <w:t>中共乐山市金口河区委宣传部属独立核算的一级预算单位，执行行政单位会计制度，内设办公室、理论科等2个科室。挂乐山市金口河区精神文明建设活动办公室、区委对外宣传办公室（区政府新闻办公室）、区新闻出版局（区版权局）牌子等牌子。下属金口河区融媒体中心和金口河区文学艺术联合会两个事业单位。</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楷体_GB2312" w:eastAsia="楷体_GB2312"/>
          <w:b/>
          <w:sz w:val="32"/>
          <w:szCs w:val="32"/>
        </w:rPr>
      </w:pPr>
      <w:r>
        <w:rPr>
          <w:rFonts w:hint="eastAsia" w:ascii="楷体_GB2312" w:eastAsia="楷体_GB2312"/>
          <w:b/>
          <w:sz w:val="32"/>
          <w:szCs w:val="32"/>
        </w:rPr>
        <w:t>（二）机构职能。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1.负责组织、引导全区的理论研究、理论学习和理论宣传工作。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2.负责引导社会舆论，指导、协调全区新闻宣传工作，对区广电宣传中心的工作实施政治方向、方针、政策的指导。</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3.负责规划、部署全局性的思想政治工作任务。配合区委组织部做好党员教育工作，会同有关部门研究和改进群众思想教育工作。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4.负责全区群众性精神文明创建工作的规划和组织实施，协调、指导和监督全区文明单位、行业、村镇、社区、未成年人思想道德建设等各类群众性精神文明创建活动。</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5.负责指导精神产品的生产和文化市场的管理。对区文广新局的工作实施宏观指导与协调。</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6.负责从宏观上指导全区中小学校的德育、政治理论课教学和思想政治工作。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7.负责全区对外宣传工作的总体规划，组织协调，指导和管理全区的外宣工作。</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8.负责制定全区宣传干部的培训规划并组织实施。</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9.负责提出宣传思想文化事业发展的指导意见，指导文化系统制定政策、法规，按照区委的工作部署，对宣传文化系统各部门之间的工作进行协调。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10.完成区委和市委宣传部交办的其他任务。</w:t>
      </w:r>
    </w:p>
    <w:p>
      <w:pPr>
        <w:ind w:firstLine="643" w:firstLineChars="200"/>
        <w:rPr>
          <w:rFonts w:hint="eastAsia" w:ascii="楷体_GB2312" w:eastAsia="楷体_GB2312"/>
          <w:b/>
          <w:sz w:val="32"/>
          <w:szCs w:val="32"/>
        </w:rPr>
      </w:pPr>
      <w:r>
        <w:rPr>
          <w:rFonts w:hint="eastAsia" w:ascii="楷体_GB2312" w:eastAsia="楷体_GB2312"/>
          <w:b/>
          <w:sz w:val="32"/>
          <w:szCs w:val="32"/>
        </w:rPr>
        <w:t>（三）人员概况。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eastAsia="仿宋_GB2312"/>
          <w:sz w:val="32"/>
          <w:szCs w:val="32"/>
        </w:rPr>
        <w:t>截至2023年末，</w:t>
      </w:r>
      <w:r>
        <w:rPr>
          <w:rFonts w:hint="eastAsia" w:ascii="仿宋_GB2312" w:hAnsi="宋体" w:eastAsia="仿宋_GB2312" w:cs="宋体"/>
          <w:color w:val="000000"/>
          <w:kern w:val="0"/>
          <w:sz w:val="32"/>
          <w:szCs w:val="32"/>
          <w:shd w:val="clear" w:color="auto" w:fill="FFFFFF"/>
          <w:lang w:val="zh-CN"/>
        </w:rPr>
        <w:t>本部门共有在编人员</w:t>
      </w:r>
      <w:r>
        <w:rPr>
          <w:rFonts w:hint="eastAsia" w:ascii="仿宋_GB2312" w:hAnsi="宋体" w:eastAsia="仿宋_GB2312" w:cs="宋体"/>
          <w:color w:val="000000"/>
          <w:kern w:val="0"/>
          <w:sz w:val="32"/>
          <w:szCs w:val="32"/>
          <w:shd w:val="clear" w:color="auto" w:fill="FFFFFF"/>
          <w:lang w:val="en-US" w:eastAsia="zh-CN"/>
        </w:rPr>
        <w:t>21人，其中行政人员6人，参照公务员管理的事业人员1人，事业人员13人。</w:t>
      </w:r>
    </w:p>
    <w:p>
      <w:pPr>
        <w:ind w:firstLine="643" w:firstLineChars="200"/>
        <w:rPr>
          <w:rFonts w:hint="eastAsia" w:ascii="楷体_GB2312" w:eastAsia="楷体_GB2312"/>
          <w:b/>
          <w:sz w:val="32"/>
          <w:szCs w:val="32"/>
          <w:lang w:val="zh-CN"/>
        </w:rPr>
      </w:pPr>
      <w:r>
        <w:rPr>
          <w:rFonts w:hint="eastAsia" w:ascii="楷体_GB2312" w:eastAsia="楷体_GB2312"/>
          <w:b/>
          <w:sz w:val="32"/>
          <w:szCs w:val="32"/>
          <w:lang w:val="en-US" w:eastAsia="zh-CN"/>
        </w:rPr>
        <w:t>（四）</w:t>
      </w:r>
      <w:r>
        <w:rPr>
          <w:rFonts w:hint="eastAsia" w:ascii="楷体_GB2312" w:eastAsia="楷体_GB2312"/>
          <w:b/>
          <w:sz w:val="32"/>
          <w:szCs w:val="32"/>
          <w:lang w:val="zh-CN"/>
        </w:rPr>
        <w:t>年度主要工作任务。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（一）思想引领“固本”，理论武装“走心”又“出新”。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始终以习近平新时代中国特色社会主义思想“飞入寻常百姓家”为目标，推动党的创新理论入脑入心。严格落实“第一议题”制度，健全学习制度，创新学习形式，抓好成果转化，组织开展区委中心组理论学习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次，</w:t>
      </w:r>
      <w:r>
        <w:rPr>
          <w:rFonts w:hint="eastAsia" w:ascii="仿宋_GB2312" w:eastAsia="仿宋_GB2312"/>
          <w:sz w:val="32"/>
          <w:szCs w:val="32"/>
          <w:lang w:val="en-US" w:eastAsia="zh-CN"/>
        </w:rPr>
        <w:t>多次组织我部干部前往峨边、峨眉、五通桥等地开展“走出去学”，</w:t>
      </w:r>
      <w:r>
        <w:rPr>
          <w:rFonts w:hint="eastAsia" w:ascii="仿宋_GB2312" w:hAnsi="仿宋_GB2312" w:eastAsia="仿宋_GB2312" w:cs="仿宋_GB2312"/>
          <w:sz w:val="32"/>
          <w:szCs w:val="32"/>
          <w:lang w:eastAsia="zh-CN"/>
        </w:rPr>
        <w:t>定期开展“周夜学”“月讲座”“季培训”，邀请专业技术人才进行授课，2023年完成“周夜学”16次，“月讲座”8次，“季培训”5次。示范带动</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各级党委（党组）共开展中心组学习</w:t>
      </w:r>
      <w:r>
        <w:rPr>
          <w:rFonts w:hint="eastAsia" w:ascii="仿宋_GB2312" w:hAnsi="仿宋_GB2312" w:eastAsia="仿宋_GB2312" w:cs="仿宋_GB2312"/>
          <w:sz w:val="32"/>
          <w:szCs w:val="32"/>
          <w:lang w:val="en-US" w:eastAsia="zh-CN"/>
        </w:rPr>
        <w:t>600余</w:t>
      </w:r>
      <w:r>
        <w:rPr>
          <w:rFonts w:hint="eastAsia" w:ascii="仿宋_GB2312" w:hAnsi="仿宋_GB2312" w:eastAsia="仿宋_GB2312" w:cs="仿宋_GB2312"/>
          <w:sz w:val="32"/>
          <w:szCs w:val="32"/>
        </w:rPr>
        <w:t>场，开展列席旁听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，利用“三会一课”、主题党日、“学习强国”等方式全覆盖开展理论学习，其中“学习强国”平台按各区县“参与度”排名，排名</w:t>
      </w:r>
      <w:r>
        <w:rPr>
          <w:rFonts w:hint="eastAsia" w:ascii="仿宋_GB2312" w:hAnsi="仿宋_GB2312" w:eastAsia="仿宋_GB2312" w:cs="仿宋_GB2312"/>
          <w:sz w:val="32"/>
          <w:szCs w:val="32"/>
          <w:lang w:val="en-US" w:eastAsia="zh-CN"/>
        </w:rPr>
        <w:t>全市</w:t>
      </w:r>
      <w:r>
        <w:rPr>
          <w:rFonts w:hint="eastAsia" w:ascii="仿宋_GB2312" w:hAnsi="仿宋_GB2312" w:eastAsia="仿宋_GB2312" w:cs="仿宋_GB2312"/>
          <w:sz w:val="32"/>
          <w:szCs w:val="32"/>
          <w:lang w:eastAsia="zh-CN"/>
        </w:rPr>
        <w:t>第一</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lang w:val="en-US" w:eastAsia="zh-CN" w:bidi="ar-SA"/>
        </w:rPr>
        <w:t>开展</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百日攻坚</w:t>
      </w:r>
      <w:r>
        <w:rPr>
          <w:rFonts w:hint="eastAsia" w:ascii="仿宋_GB2312" w:hAnsi="仿宋_GB2312" w:eastAsia="仿宋_GB2312" w:cs="仿宋_GB2312"/>
          <w:sz w:val="32"/>
          <w:szCs w:val="32"/>
        </w:rPr>
        <w:t>专项巡察，将理论武装纳入意识形态专项巡察，发现并督促整改问题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。常态化依托</w:t>
      </w:r>
      <w:r>
        <w:rPr>
          <w:rFonts w:hint="eastAsia" w:ascii="仿宋_GB2312" w:hAnsi="仿宋_GB2312" w:eastAsia="仿宋_GB2312" w:cs="仿宋_GB2312"/>
          <w:sz w:val="32"/>
          <w:szCs w:val="32"/>
        </w:rPr>
        <w:t>乐山市“鸽鸽讲堂”宣讲队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“拉吉时不”工作室</w:t>
      </w:r>
      <w:r>
        <w:rPr>
          <w:rFonts w:hint="eastAsia" w:ascii="仿宋_GB2312" w:hAnsi="仿宋_GB2312" w:eastAsia="仿宋_GB2312" w:cs="仿宋_GB2312"/>
          <w:sz w:val="32"/>
          <w:szCs w:val="32"/>
          <w:lang w:eastAsia="zh-CN"/>
        </w:rPr>
        <w:t>、县级领导讲党课，构建“1+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9”覆盖区乡村三级的大宣讲格局，</w:t>
      </w:r>
      <w:r>
        <w:rPr>
          <w:rFonts w:hint="eastAsia" w:ascii="仿宋_GB2312" w:hAnsi="仿宋_GB2312" w:eastAsia="仿宋_GB2312" w:cs="仿宋_GB2312"/>
          <w:sz w:val="32"/>
          <w:szCs w:val="32"/>
        </w:rPr>
        <w:t>围绕党的</w:t>
      </w:r>
      <w:r>
        <w:rPr>
          <w:rFonts w:hint="eastAsia" w:ascii="仿宋_GB2312" w:hAnsi="仿宋_GB2312" w:eastAsia="仿宋_GB2312" w:cs="仿宋_GB2312"/>
          <w:sz w:val="32"/>
          <w:szCs w:val="32"/>
          <w:lang w:eastAsia="zh-CN"/>
        </w:rPr>
        <w:t>二十大精神</w:t>
      </w:r>
      <w:r>
        <w:rPr>
          <w:rFonts w:hint="eastAsia" w:ascii="仿宋_GB2312" w:hAnsi="仿宋_GB2312" w:eastAsia="仿宋_GB2312" w:cs="仿宋_GB2312"/>
          <w:sz w:val="32"/>
          <w:szCs w:val="32"/>
        </w:rPr>
        <w:t>、习近平总书记来川视察重要指示精神</w:t>
      </w:r>
      <w:r>
        <w:rPr>
          <w:rFonts w:hint="eastAsia" w:ascii="仿宋_GB2312" w:hAnsi="仿宋_GB2312" w:eastAsia="仿宋_GB2312" w:cs="仿宋_GB2312"/>
          <w:sz w:val="32"/>
          <w:szCs w:val="32"/>
          <w:lang w:eastAsia="zh-CN"/>
        </w:rPr>
        <w:t>等通过“沾泥土”的“本地话”、“短时新”的“微宣讲”、“具体化”的“小切口”，组织开展对象化、分众化、互动化宣讲活动</w:t>
      </w:r>
      <w:r>
        <w:rPr>
          <w:rFonts w:hint="eastAsia" w:ascii="仿宋_GB2312" w:hAnsi="仿宋_GB2312" w:eastAsia="仿宋_GB2312" w:cs="仿宋_GB2312"/>
          <w:sz w:val="32"/>
          <w:szCs w:val="32"/>
          <w:lang w:val="en-US" w:eastAsia="zh-CN"/>
        </w:rPr>
        <w:t>360余场次，覆盖群众3万余人次。积极参与“理响巴蜀”宣讲短视频，其中县级领导宣讲党的二十大精神短视频《全力以赴、实干担当，点燃乐山市高质量发展“多引擎”》，在学习强国、川观新闻、四川观察等平台展播，点击量达811.98万次，位居全省第一，让党的“好声音”传遍巴山蜀水，为干部群众思想上解“惑”、政策上解“渴”、精神上解“压”，也为实际困难解“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（二）意识形态“强基”，网络空间“清朗”又“清风”。</w:t>
      </w:r>
    </w:p>
    <w:p>
      <w:pPr>
        <w:pStyle w:val="11"/>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年来，我们认真贯彻落实习近平总书记关于意识形态工作的系列重要论述，把握意识形态引领作用，全区意识形态领域形势基本面和总态势向上向好。对全区60个部门开展2023年意识形态工作责任制全覆盖督查，已完成问题整改91个；扎实推荐扫黄打非工作，开展出版物市场版权执法检查12次，指导全区各部门安装使用正版软件1000余次。妥善处置6.4高位山体垮塌自然灾害舆情，区委网信办会同区级有关部门处置遇难者家属在抖音平台发布的虚假信息，检测收集发表不实言论的违规自媒体账号29个，妥善处置有害信息260条，开展正面评论引导2500余次，未让网上舆论干扰到线下处置，受到了马波书记肯定性批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b w:val="0"/>
          <w:bCs w:val="0"/>
          <w:color w:val="000000"/>
          <w:kern w:val="0"/>
          <w:sz w:val="32"/>
          <w:szCs w:val="32"/>
          <w:lang w:val="en-US" w:eastAsia="zh-CN"/>
        </w:rPr>
        <w:t>正面宣传“强音”，</w:t>
      </w:r>
      <w:bookmarkStart w:id="53" w:name="_GoBack"/>
      <w:bookmarkEnd w:id="53"/>
      <w:r>
        <w:rPr>
          <w:rFonts w:hint="eastAsia" w:ascii="楷体_GB2312" w:hAnsi="楷体_GB2312" w:eastAsia="楷体_GB2312" w:cs="楷体_GB2312"/>
          <w:b w:val="0"/>
          <w:bCs w:val="0"/>
          <w:color w:val="000000"/>
          <w:kern w:val="0"/>
          <w:sz w:val="32"/>
          <w:szCs w:val="32"/>
          <w:lang w:val="en-US" w:eastAsia="zh-CN"/>
        </w:rPr>
        <w:t>引导“有力”又“有度”。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区委、区政府的重点中心工作开展时政新闻报道，同时聚焦民生新闻，以主题教育、习近平文化思想、重大项目建设、东西协作、乡村振兴、产业发展等为抓手，积极策划宣传报道。今年，共采写新闻报道1700余篇，原创海报66张，拍摄编辑短视频77个，制作专题片6个，制播《健康面对面》栏目17期。在中央、省、市级媒体刊登外宣稿件500余条（篇）。《“蜀中三绝”探寻四川金口河云端上的好风光》《“高山农业”加速输出》《罕见!“鸟中大熊猫“黑颈鹤接连两次现身四川乐山》《“高山农业”加速输出》等50余（篇）稿件在人民网、新华社、中国网等中央级主流媒体刊登。短视频《以花为媒 以果为介 赋能乡村振兴 奏响顺河农旅“交响曲”》成为新媒体“爆款”产品，全网点击量超10万+，广泛获得群众好评。《连夜转战、这群金口河人好样的！》获得2022年度四川省县级融媒新闻三等奖，《金口河区百年传承 匠心坚守 传统手工麻糖正飘香》被评为2023年度宣传乐山“好新闻”作品。制作短视频《篇章-盛世华诞》在成都地铁广播电视上滚动播放，受到一致好评。制定了《“金口融媒”APP推广工作方案》，立足全区，划分责任清单，落实推广任务，目前，“金口融媒”APP进一步完善了民生服务项目，新增水气缴费服务，深受百姓喜爱。</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（四）文明实践“培元”，弘扬新风“正气”又“育人”。</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习近平总书记指出，实现中国梦，是物质文明和精神文明均衡发展、相互促进的结果。一年来，我们突出价值引领，积极培育和践行社会主义核心价值观，深入挖掘、选树先进典型，用社会主义核心价值观引领社会思潮、凝聚社会共识。王帮华，郑代华被评为一季度“乐山好人”、二季度“四川好人”，王琦被评为四季度“乐山好人”、四季度“四川好人”，王帮华被推荐为“中国好人”候选人，王帮华、郑代华、拉吉时不被推荐为“四川省道德模范”候选人，永和二小简颖被评为四川省“新时代好少年”，鲁克丫喜，杨兴茹荣获2023年乐山市“新时代好少年”，评选表扬2023年度区级“新时代好少年”10名；“小凉山拉吉时不工作室”被评为首批“四川省学雷锋示范点”；区税务局创建省级最佳文明单位、和平彝族乡解放村创省级文明村通过检查验收，区司法局等5个单位创市级文明单位、桠溪村等4个村创市级文明村均通过检查验收，和平彝族乡成功创建全省乡村文化振兴样板村镇。对全区新时代文明实践所站进行规范提升，整合各行业资源，成立法律、环保、巾帼、青年、医疗等志愿服务队126支，注册志愿者7046人，5个乡镇均建立志愿服务队，打造“转转花开 志愿金彩”“小金灵”等志愿服务品牌，每周五定期开展“五清行动”和爱国卫生运动，共开展志愿服务1000余场次。通过打造大型广告、景观小品、投放宣传牌等方式，深入推进文明城市创建工作，印发《金口河市民文明手册》5000册，</w:t>
      </w:r>
      <w:r>
        <w:rPr>
          <w:rFonts w:hint="eastAsia" w:ascii="仿宋_GB2312" w:hAnsi="仿宋" w:eastAsia="仿宋_GB2312"/>
          <w:color w:val="000000" w:themeColor="text1"/>
          <w:sz w:val="32"/>
          <w:szCs w:val="32"/>
          <w:lang w:val="en-US" w:eastAsia="zh-CN"/>
          <w14:textFill>
            <w14:solidFill>
              <w14:schemeClr w14:val="tx1"/>
            </w14:solidFill>
          </w14:textFill>
        </w:rPr>
        <w:t>在微信公众号、金口融媒APP开设专题专栏，发布《创建全国文明城倡议书》、刊登创文典型经验20余条，创文曝光台12期，刊播公益广告20余个，报道道德模范先进事迹8个，组织移动、电信运营商定期向全区用户推送创文短信1.2万余条；开展创文宣传“敲门”行动，用“零距离”的方式耐心地向居民普及创</w:t>
      </w:r>
      <w:r>
        <w:rPr>
          <w:rFonts w:hint="eastAsia" w:ascii="仿宋_GB2312" w:hAnsi="仿宋" w:eastAsia="仿宋_GB2312"/>
          <w:color w:val="FF0000"/>
          <w:sz w:val="32"/>
          <w:szCs w:val="32"/>
          <w:lang w:val="en-US" w:eastAsia="zh-CN"/>
        </w:rPr>
        <w:t>全</w:t>
      </w:r>
      <w:r>
        <w:rPr>
          <w:rFonts w:hint="eastAsia" w:ascii="仿宋_GB2312" w:hAnsi="仿宋" w:eastAsia="仿宋_GB2312"/>
          <w:color w:val="000000" w:themeColor="text1"/>
          <w:sz w:val="32"/>
          <w:szCs w:val="32"/>
          <w:lang w:val="en-US" w:eastAsia="zh-CN"/>
          <w14:textFill>
            <w14:solidFill>
              <w14:schemeClr w14:val="tx1"/>
            </w14:solidFill>
          </w14:textFill>
        </w:rPr>
        <w:t>知识，开展“文润金口·文明实践进万家”志愿服务，围绕创文宣传、群众文化活动、群众需求等开展志愿服务活动近20余场次。</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left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（五）文旅融合“破圈”，文化旅游“出圈”又“出彩”。</w:t>
      </w:r>
    </w:p>
    <w:p>
      <w:pPr>
        <w:pStyle w:val="11"/>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lang w:val="zh-CN"/>
        </w:rPr>
      </w:pPr>
      <w:r>
        <w:rPr>
          <w:rFonts w:hint="eastAsia" w:ascii="仿宋_GB2312" w:hAnsi="仿宋" w:eastAsia="仿宋_GB2312"/>
          <w:color w:val="000000" w:themeColor="text1"/>
          <w:sz w:val="32"/>
          <w:szCs w:val="32"/>
          <w:lang w:val="en-US" w:eastAsia="zh-CN"/>
          <w14:textFill>
            <w14:solidFill>
              <w14:schemeClr w14:val="tx1"/>
            </w14:solidFill>
          </w14:textFill>
        </w:rPr>
        <w:t>今年以来，我们紧扣“生态立区、产业强区、旅游兴区”发展主线，全区文旅活动精彩纷呈。聚焦“一山一峡一馆一街”文旅品牌打造，全面完成铁道兵博物馆提档升级，新征集文物1100余件，永和镇创成天府旅游名镇。</w:t>
      </w:r>
      <w:r>
        <w:rPr>
          <w:rFonts w:hint="eastAsia" w:ascii="仿宋_GB2312" w:eastAsia="仿宋_GB2312"/>
          <w:color w:val="000000"/>
          <w:sz w:val="32"/>
          <w:szCs w:val="32"/>
          <w:lang w:val="en-US" w:eastAsia="zh-CN"/>
        </w:rPr>
        <w:t>成功举办4届</w:t>
      </w:r>
      <w:r>
        <w:rPr>
          <w:rFonts w:hint="eastAsia" w:ascii="仿宋_GB2312" w:hAnsi="仿宋_GB2312" w:eastAsia="仿宋_GB2312" w:cs="仿宋_GB2312"/>
          <w:sz w:val="32"/>
          <w:szCs w:val="32"/>
          <w:lang w:val="en-US" w:eastAsia="zh-CN"/>
        </w:rPr>
        <w:t>金口河区转转花文化旅游节，相继</w:t>
      </w:r>
      <w:r>
        <w:rPr>
          <w:rFonts w:hint="eastAsia" w:ascii="仿宋_GB2312" w:hAnsi="仿宋_GB2312" w:eastAsia="仿宋_GB2312" w:cs="仿宋_GB2312"/>
          <w:sz w:val="32"/>
          <w:szCs w:val="32"/>
        </w:rPr>
        <w:t>推出“你好大峡谷！大峡谷红色研学游”</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三条金口河精品旅游线路，发布以金口河特有的“转转花”为原型的旅游IP“金灵儿”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金口河文旅热度不断</w:t>
      </w:r>
      <w:r>
        <w:rPr>
          <w:rFonts w:hint="eastAsia" w:ascii="仿宋_GB2312" w:hAnsi="仿宋_GB2312" w:eastAsia="仿宋_GB2312" w:cs="仿宋_GB2312"/>
          <w:sz w:val="32"/>
          <w:szCs w:val="32"/>
        </w:rPr>
        <w:t>。</w:t>
      </w:r>
      <w:r>
        <w:rPr>
          <w:rFonts w:hint="eastAsia" w:ascii="仿宋_GB2312" w:hAnsi="仿宋" w:eastAsia="仿宋_GB2312"/>
          <w:color w:val="000000" w:themeColor="text1"/>
          <w:sz w:val="32"/>
          <w:szCs w:val="32"/>
          <w:lang w:val="en-US" w:eastAsia="zh-CN"/>
          <w14:textFill>
            <w14:solidFill>
              <w14:schemeClr w14:val="tx1"/>
            </w14:solidFill>
          </w14:textFill>
        </w:rPr>
        <w:t>持续推进三馆一站免费开放工作，积极做好国家公共文化示范区创新发展工作；区图书馆成功评估定级为全国三级馆。创建“云上瓦山”文化乡村行品牌，积极开展送文化（戏曲）下乡、虞金文化走亲等线上线下主题活动30余场次，活动参与人数近1万余人次；编创《万疆》《美丽中国》《七月火把节》《五清行动就是好》等节目进行全区推广赢得好评；虞金联创歌曲《全家福》荣登绍兴、乐山春晚舞台，成功入围四川省群星奖复赛。深入挖掘非遗文保，完成4项县级非遗项目、2名市级非遗传承人申报，认定县级非遗传承人4名，县级非遗工坊1家，1名非遗传承人当选金口河区首届瓦山工匠，1名非遗传承人入围全省100名文化能人，金口河区老鹰茶制作技艺体验基地成功入选省厅公布的第八届中国成都国际非遗节体验基地名单；实行属地管理原则和巡查制，1-12月开展文物安全检查30余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（五）部门整体支出绩效目标。</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60" w:firstLineChars="200"/>
        <w:textAlignment w:val="auto"/>
        <w:rPr>
          <w:rFonts w:ascii="仿宋_GB2312" w:eastAsia="仿宋_GB2312"/>
          <w:sz w:val="32"/>
          <w:szCs w:val="32"/>
        </w:rPr>
      </w:pPr>
      <w:r>
        <w:rPr>
          <w:rFonts w:hint="eastAsia" w:ascii="仿宋_GB2312" w:hAnsi="仿宋_GB2312" w:eastAsia="仿宋_GB2312" w:cs="仿宋_GB2312"/>
          <w:color w:val="000000"/>
          <w:spacing w:val="5"/>
          <w:kern w:val="2"/>
          <w:sz w:val="32"/>
          <w:szCs w:val="32"/>
          <w:lang w:val="zh-CN" w:eastAsia="zh-CN" w:bidi="ar-SA"/>
        </w:rPr>
        <w:t>宣传部部门目标围绕全区宣传重点中心工作，按照区委、区政府目标制定、主要目标是为了传达中央省市重要指示精神和宣传金口河，预算编制准确、支出在八项规定下严格控制，杜绝浪费，在区财政局财评中心和我部监督职能的控制下更好的完成了项目的目标。</w:t>
      </w:r>
    </w:p>
    <w:p>
      <w:pPr>
        <w:ind w:firstLine="640" w:firstLineChars="200"/>
        <w:rPr>
          <w:rFonts w:ascii="黑体" w:hAnsi="黑体" w:eastAsia="黑体"/>
          <w:sz w:val="32"/>
          <w:szCs w:val="32"/>
        </w:rPr>
      </w:pPr>
      <w:r>
        <w:rPr>
          <w:rFonts w:hint="eastAsia" w:ascii="黑体" w:hAnsi="黑体" w:eastAsia="黑体"/>
          <w:sz w:val="32"/>
          <w:szCs w:val="32"/>
        </w:rPr>
        <w:t>二、部门资金收支情况</w:t>
      </w:r>
    </w:p>
    <w:p>
      <w:pPr>
        <w:ind w:firstLine="643" w:firstLineChars="200"/>
        <w:rPr>
          <w:rFonts w:hint="eastAsia" w:ascii="仿宋_GB2312" w:eastAsia="仿宋_GB2312"/>
          <w:sz w:val="32"/>
          <w:szCs w:val="32"/>
          <w:lang w:eastAsia="zh-CN"/>
        </w:rPr>
      </w:pPr>
      <w:r>
        <w:rPr>
          <w:rFonts w:hint="eastAsia" w:ascii="楷体_GB2312" w:eastAsia="楷体_GB2312"/>
          <w:b/>
          <w:sz w:val="32"/>
          <w:szCs w:val="32"/>
        </w:rPr>
        <w:t>（一）收入情况。</w:t>
      </w:r>
      <w:r>
        <w:rPr>
          <w:rFonts w:hint="eastAsia" w:ascii="仿宋_GB2312" w:eastAsia="仿宋_GB2312"/>
          <w:sz w:val="32"/>
          <w:szCs w:val="32"/>
        </w:rPr>
        <w:t>部门2023年年初预算收入</w:t>
      </w:r>
      <w:r>
        <w:rPr>
          <w:rFonts w:hint="eastAsia" w:ascii="仿宋_GB2312" w:eastAsia="仿宋_GB2312"/>
          <w:sz w:val="32"/>
          <w:szCs w:val="32"/>
          <w:lang w:eastAsia="zh-CN"/>
        </w:rPr>
        <w:t>情况、决算报表收入情况。</w:t>
      </w:r>
    </w:p>
    <w:p>
      <w:pPr>
        <w:ind w:firstLine="960" w:firstLineChars="300"/>
        <w:rPr>
          <w:rFonts w:hint="eastAsia" w:ascii="仿宋_GB2312" w:eastAsia="仿宋_GB2312"/>
          <w:sz w:val="32"/>
          <w:szCs w:val="32"/>
          <w:lang w:val="en-US" w:eastAsia="zh-CN"/>
        </w:rPr>
      </w:pPr>
      <w:r>
        <w:rPr>
          <w:rFonts w:hint="eastAsia" w:ascii="仿宋_GB2312" w:hAnsi="宋体" w:eastAsia="仿宋_GB2312" w:cs="宋体"/>
          <w:color w:val="000000"/>
          <w:kern w:val="0"/>
          <w:sz w:val="32"/>
          <w:szCs w:val="32"/>
          <w:shd w:val="clear" w:color="auto" w:fill="FFFFFF"/>
          <w:lang w:val="zh-CN"/>
        </w:rPr>
        <w:t>本部门</w:t>
      </w:r>
      <w:r>
        <w:rPr>
          <w:rFonts w:hint="eastAsia" w:ascii="仿宋_GB2312" w:hAnsi="宋体" w:eastAsia="仿宋_GB2312" w:cs="宋体"/>
          <w:color w:val="000000"/>
          <w:kern w:val="0"/>
          <w:sz w:val="32"/>
          <w:szCs w:val="32"/>
          <w:shd w:val="clear" w:color="auto" w:fill="FFFFFF"/>
          <w:lang w:val="en-US" w:eastAsia="zh-CN"/>
        </w:rPr>
        <w:t>2023年度财政收入</w:t>
      </w:r>
      <w:r>
        <w:rPr>
          <w:rFonts w:hint="eastAsia" w:ascii="仿宋_GB2312" w:eastAsia="仿宋_GB2312"/>
          <w:sz w:val="32"/>
          <w:szCs w:val="32"/>
          <w:lang w:val="en-US" w:eastAsia="zh-CN"/>
        </w:rPr>
        <w:t>1073.29万元。</w:t>
      </w:r>
    </w:p>
    <w:p>
      <w:pPr>
        <w:ind w:firstLine="643" w:firstLineChars="200"/>
        <w:rPr>
          <w:rFonts w:hint="eastAsia" w:ascii="仿宋_GB2312" w:eastAsia="仿宋_GB2312"/>
          <w:sz w:val="32"/>
          <w:szCs w:val="32"/>
        </w:rPr>
      </w:pPr>
      <w:r>
        <w:rPr>
          <w:rFonts w:hint="eastAsia" w:ascii="楷体_GB2312" w:eastAsia="楷体_GB2312"/>
          <w:b/>
          <w:sz w:val="32"/>
          <w:szCs w:val="32"/>
        </w:rPr>
        <w:t>（二）支出情况。</w:t>
      </w:r>
      <w:r>
        <w:rPr>
          <w:rFonts w:hint="eastAsia" w:ascii="仿宋_GB2312" w:eastAsia="仿宋_GB2312"/>
          <w:sz w:val="32"/>
          <w:szCs w:val="32"/>
        </w:rPr>
        <w:t>部门2023年年初预算支出情况、决算报表支出情况。</w:t>
      </w:r>
    </w:p>
    <w:p>
      <w:pPr>
        <w:pStyle w:val="11"/>
        <w:numPr>
          <w:ilvl w:val="0"/>
          <w:numId w:val="0"/>
        </w:numPr>
        <w:rPr>
          <w:rFonts w:hint="default" w:eastAsia="宋体"/>
          <w:lang w:val="en-US" w:eastAsia="zh-CN"/>
        </w:rPr>
      </w:pPr>
      <w:r>
        <w:rPr>
          <w:rFonts w:hint="eastAsia"/>
          <w:lang w:val="en-US" w:eastAsia="zh-CN"/>
        </w:rPr>
        <w:t xml:space="preserve">          </w:t>
      </w:r>
      <w:r>
        <w:rPr>
          <w:rFonts w:hint="eastAsia" w:ascii="仿宋_GB2312" w:hAnsi="宋体" w:eastAsia="仿宋_GB2312" w:cs="宋体"/>
          <w:color w:val="000000"/>
          <w:kern w:val="0"/>
          <w:sz w:val="32"/>
          <w:szCs w:val="32"/>
          <w:shd w:val="clear" w:color="auto" w:fill="FFFFFF"/>
          <w:lang w:val="en-US" w:eastAsia="zh-CN" w:bidi="ar-SA"/>
        </w:rPr>
        <w:t>本部门2023年度财政总体支出1210.67万元。</w:t>
      </w:r>
    </w:p>
    <w:p>
      <w:pPr>
        <w:ind w:firstLine="643" w:firstLineChars="200"/>
        <w:rPr>
          <w:rFonts w:hint="eastAsia" w:ascii="仿宋_GB2312" w:eastAsia="仿宋_GB2312"/>
          <w:sz w:val="32"/>
          <w:szCs w:val="32"/>
        </w:rPr>
      </w:pPr>
      <w:r>
        <w:rPr>
          <w:rFonts w:hint="eastAsia" w:ascii="楷体_GB2312" w:eastAsia="楷体_GB2312"/>
          <w:b/>
          <w:sz w:val="32"/>
          <w:szCs w:val="32"/>
        </w:rPr>
        <w:t>（三）结余分配和结转结余情况。</w:t>
      </w:r>
      <w:r>
        <w:rPr>
          <w:rFonts w:hint="eastAsia" w:ascii="仿宋_GB2312" w:eastAsia="仿宋_GB2312"/>
          <w:sz w:val="32"/>
          <w:szCs w:val="32"/>
        </w:rPr>
        <w:t>部门2023年决算报表结转结余情况。</w:t>
      </w:r>
    </w:p>
    <w:p>
      <w:pPr>
        <w:pStyle w:val="11"/>
        <w:numPr>
          <w:ilvl w:val="0"/>
          <w:numId w:val="0"/>
        </w:numPr>
        <w:rPr>
          <w:rFonts w:hint="default" w:ascii="仿宋_GB2312" w:hAnsi="宋体" w:eastAsia="仿宋_GB2312" w:cs="宋体"/>
          <w:color w:val="000000"/>
          <w:kern w:val="0"/>
          <w:sz w:val="32"/>
          <w:szCs w:val="32"/>
          <w:shd w:val="clear" w:color="auto" w:fill="FFFFFF"/>
          <w:lang w:val="en-US" w:eastAsia="zh-CN" w:bidi="ar-SA"/>
        </w:rPr>
      </w:pPr>
      <w:r>
        <w:rPr>
          <w:rFonts w:hint="eastAsia"/>
          <w:lang w:val="en-US" w:eastAsia="zh-CN"/>
        </w:rPr>
        <w:t xml:space="preserve">         </w:t>
      </w:r>
      <w:r>
        <w:rPr>
          <w:rFonts w:hint="eastAsia" w:ascii="仿宋_GB2312" w:hAnsi="宋体" w:eastAsia="仿宋_GB2312" w:cs="宋体"/>
          <w:color w:val="000000"/>
          <w:kern w:val="0"/>
          <w:sz w:val="32"/>
          <w:szCs w:val="32"/>
          <w:shd w:val="clear" w:color="auto" w:fill="FFFFFF"/>
          <w:lang w:val="en-US" w:eastAsia="zh-CN" w:bidi="ar-SA"/>
        </w:rPr>
        <w:t>本部门总体结转结余0.93万元。</w:t>
      </w:r>
    </w:p>
    <w:p>
      <w:pPr>
        <w:pStyle w:val="11"/>
        <w:rPr>
          <w:rFonts w:hint="default" w:eastAsia="宋体"/>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三、部门预算绩效分析</w:t>
      </w:r>
    </w:p>
    <w:p>
      <w:pPr>
        <w:ind w:firstLine="643" w:firstLineChars="200"/>
        <w:rPr>
          <w:rFonts w:ascii="仿宋_GB2312" w:eastAsia="仿宋_GB2312"/>
          <w:sz w:val="32"/>
          <w:szCs w:val="32"/>
        </w:rPr>
      </w:pPr>
      <w:r>
        <w:rPr>
          <w:rFonts w:hint="eastAsia" w:ascii="楷体_GB2312" w:eastAsia="楷体_GB2312"/>
          <w:b/>
          <w:sz w:val="32"/>
          <w:szCs w:val="32"/>
        </w:rPr>
        <w:t>（一）部门预算总体绩效分析。</w:t>
      </w:r>
      <w:r>
        <w:rPr>
          <w:rFonts w:hint="eastAsia" w:ascii="仿宋_GB2312" w:eastAsia="仿宋_GB2312"/>
          <w:sz w:val="32"/>
          <w:szCs w:val="32"/>
        </w:rPr>
        <w:t>根据部门预算绩效评价指标体系“总体绩效”涉及二、三级指标进行逐项绩效分析并评分，依次包括履职效能、预算管理、财务管理、资产管理、采购管理等情况。</w:t>
      </w:r>
    </w:p>
    <w:p>
      <w:pPr>
        <w:adjustRightInd w:val="0"/>
        <w:snapToGrid w:val="0"/>
        <w:spacing w:line="578" w:lineRule="exact"/>
        <w:ind w:firstLine="640" w:firstLineChars="200"/>
        <w:jc w:val="left"/>
        <w:rPr>
          <w:rFonts w:hint="eastAsia" w:eastAsia="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w:t>
      </w:r>
      <w:r>
        <w:rPr>
          <w:rFonts w:hint="eastAsia" w:ascii="楷体_GB2312" w:hAnsi="楷体_GB2312" w:eastAsia="楷体_GB2312" w:cs="楷体_GB2312"/>
          <w:color w:val="000000"/>
          <w:kern w:val="0"/>
          <w:sz w:val="32"/>
          <w:szCs w:val="32"/>
          <w:shd w:val="clear" w:color="auto" w:fill="FFFFFF"/>
        </w:rPr>
        <w:t>效能</w:t>
      </w:r>
      <w:r>
        <w:rPr>
          <w:rFonts w:hint="eastAsia" w:ascii="楷体_GB2312" w:hAnsi="楷体_GB2312" w:eastAsia="楷体_GB2312" w:cs="楷体_GB2312"/>
          <w:color w:val="000000"/>
          <w:kern w:val="0"/>
          <w:sz w:val="32"/>
          <w:szCs w:val="32"/>
          <w:shd w:val="clear" w:color="auto" w:fill="FFFFFF"/>
          <w:lang w:val="zh-CN"/>
        </w:rPr>
        <w:t>。</w:t>
      </w:r>
      <w:r>
        <w:rPr>
          <w:rFonts w:hint="eastAsia" w:eastAsia="仿宋_GB2312"/>
          <w:sz w:val="32"/>
          <w:szCs w:val="32"/>
          <w:lang w:val="zh-CN"/>
        </w:rPr>
        <w:t>部门整体绩效目标中选定</w:t>
      </w:r>
      <w:r>
        <w:rPr>
          <w:rFonts w:eastAsia="仿宋_GB2312"/>
          <w:sz w:val="32"/>
          <w:szCs w:val="32"/>
          <w:lang w:val="zh-CN"/>
        </w:rPr>
        <w:t>3-5</w:t>
      </w:r>
      <w:r>
        <w:rPr>
          <w:rFonts w:hint="eastAsia" w:eastAsia="仿宋_GB2312"/>
          <w:sz w:val="32"/>
          <w:szCs w:val="32"/>
          <w:lang w:val="zh-CN"/>
        </w:rPr>
        <w:t>个核心职能目标，对职能目标完成效果情况绩效分析。严格按照财务管理制度落实</w:t>
      </w:r>
      <w:r>
        <w:rPr>
          <w:rFonts w:hint="eastAsia" w:eastAsia="仿宋_GB2312"/>
          <w:sz w:val="32"/>
          <w:szCs w:val="32"/>
          <w:lang w:val="zh-CN" w:eastAsia="zh-CN"/>
        </w:rPr>
        <w:t>。</w:t>
      </w:r>
    </w:p>
    <w:p>
      <w:pPr>
        <w:keepNext w:val="0"/>
        <w:keepLines w:val="0"/>
        <w:widowControl/>
        <w:suppressLineNumbers w:val="0"/>
        <w:ind w:firstLine="640" w:firstLineChars="200"/>
        <w:jc w:val="left"/>
        <w:rPr>
          <w:rFonts w:hint="eastAsia"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r>
        <w:rPr>
          <w:rFonts w:hint="eastAsia" w:eastAsia="仿宋_GB2312"/>
          <w:sz w:val="32"/>
          <w:szCs w:val="32"/>
          <w:lang w:val="zh-CN"/>
        </w:rPr>
        <w:t>围绕预算编制质量、单位收入统筹、支出执行进度、预算年终结余、严控一般性支出进行绩效分析。</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lang w:val="en-US" w:eastAsia="zh-CN" w:bidi="ar"/>
        </w:rPr>
        <w:t>强化预算管理意识，实行部门综合预算管理，使预算编制的科学性、合理性不断提高，以保证预算编制质量，加强会计基础工作规范化建设，建立健全财务工作制度，建立自我激励约束机制，提高资金使用效益，确保资金安全。</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r>
        <w:rPr>
          <w:rFonts w:hint="eastAsia" w:eastAsia="仿宋_GB2312"/>
          <w:sz w:val="32"/>
          <w:szCs w:val="32"/>
          <w:lang w:val="zh-CN"/>
        </w:rPr>
        <w:t>围绕财务管理制度、财务岗位设置、资金使用规范进行绩效分析。</w:t>
      </w:r>
      <w:r>
        <w:rPr>
          <w:rFonts w:hint="eastAsia" w:ascii="仿宋_GB2312" w:hAnsi="仿宋_GB2312" w:eastAsia="仿宋_GB2312" w:cs="仿宋_GB2312"/>
          <w:color w:val="000000"/>
          <w:kern w:val="0"/>
          <w:sz w:val="32"/>
          <w:szCs w:val="32"/>
          <w:lang w:val="en-US" w:eastAsia="zh-CN" w:bidi="ar"/>
        </w:rPr>
        <w:t>加强学习，提高工作水平。规范财务核算工作，保证原始凭证完整性和填制凭证规范性、提供科学决策数据的及时性和准确性，通过预算管理一体化系统平台的实施准备和部分模块的实施，有效地提高财务工作效率；巩固学习政府会计准则，确保政府会计制度的严格实施；关注新政策的出台，及时调整财政管理办法。参加会计继续教育和相关部门组织的业务培训会议，保证财务知识不断更新，提高单位财务核算和财务管理的工作水平。</w:t>
      </w:r>
    </w:p>
    <w:p>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r>
        <w:rPr>
          <w:rFonts w:hint="eastAsia" w:eastAsia="仿宋_GB2312"/>
          <w:sz w:val="32"/>
          <w:szCs w:val="32"/>
          <w:lang w:val="zh-CN"/>
        </w:rPr>
        <w:t>围绕人均资产变化率、资产利用率、资产盘活率进行绩效分析。</w:t>
      </w:r>
      <w:r>
        <w:rPr>
          <w:rFonts w:hint="eastAsia" w:ascii="仿宋_GB2312" w:hAnsi="仿宋_GB2312" w:eastAsia="仿宋_GB2312" w:cs="仿宋_GB2312"/>
          <w:color w:val="000000"/>
          <w:kern w:val="0"/>
          <w:sz w:val="32"/>
          <w:szCs w:val="32"/>
          <w:lang w:val="en-US" w:eastAsia="zh-CN" w:bidi="ar"/>
        </w:rPr>
        <w:t>严格执行政府会计准则，结合现行固定资产相关政策和本单位管理制度，对购入的固定资产及时入账，并按照数量、金额登记明细账，编制固定资产卡片，确保账面上能真实、完整的反映单位的固定资产情况，并结合本单位的实际情况，完善固定资产管理制度。</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5.</w:t>
      </w:r>
      <w:r>
        <w:rPr>
          <w:rFonts w:hint="eastAsia" w:ascii="楷体_GB2312" w:hAnsi="楷体_GB2312" w:eastAsia="楷体_GB2312" w:cs="楷体_GB2312"/>
          <w:color w:val="000000"/>
          <w:kern w:val="0"/>
          <w:sz w:val="32"/>
          <w:szCs w:val="32"/>
          <w:shd w:val="clear" w:color="auto" w:fill="FFFFFF"/>
          <w:lang w:val="zh-CN"/>
        </w:rPr>
        <w:t>采购管理。</w:t>
      </w:r>
      <w:r>
        <w:rPr>
          <w:rFonts w:hint="eastAsia" w:eastAsia="仿宋_GB2312"/>
          <w:sz w:val="32"/>
          <w:szCs w:val="32"/>
          <w:lang w:val="zh-CN"/>
        </w:rPr>
        <w:t>围绕支持中小企业发展、采购执行率进行绩效分析。本年度无采购。</w:t>
      </w:r>
    </w:p>
    <w:p>
      <w:pPr>
        <w:ind w:firstLine="643" w:firstLineChars="200"/>
        <w:rPr>
          <w:rFonts w:eastAsia="仿宋_GB2312"/>
          <w:sz w:val="32"/>
          <w:szCs w:val="32"/>
          <w:lang w:val="zh-CN"/>
        </w:rPr>
      </w:pPr>
      <w:r>
        <w:rPr>
          <w:rFonts w:hint="eastAsia" w:ascii="楷体_GB2312" w:eastAsia="楷体_GB2312"/>
          <w:b/>
          <w:sz w:val="32"/>
          <w:szCs w:val="32"/>
        </w:rPr>
        <w:t>（二）部门预算项目绩效分析。</w:t>
      </w:r>
      <w:r>
        <w:rPr>
          <w:rFonts w:hint="eastAsia" w:eastAsia="仿宋_GB2312"/>
          <w:sz w:val="32"/>
          <w:szCs w:val="32"/>
          <w:lang w:val="zh-CN"/>
        </w:rPr>
        <w:t>填报以下数据，并根据部门预算绩效评价指标体系“项目绩效”涉及二、三级指标进行逐项绩效分析并评分，依次包括项目决策、项目执行、目标实现等情况。</w:t>
      </w:r>
    </w:p>
    <w:p>
      <w:pPr>
        <w:keepNext w:val="0"/>
        <w:keepLines w:val="0"/>
        <w:widowControl/>
        <w:suppressLineNumbers w:val="0"/>
        <w:ind w:firstLine="640" w:firstLineChars="200"/>
        <w:jc w:val="left"/>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1.项目决策。</w:t>
      </w:r>
      <w:r>
        <w:rPr>
          <w:rFonts w:hint="eastAsia" w:eastAsia="仿宋_GB2312"/>
          <w:sz w:val="32"/>
          <w:szCs w:val="32"/>
          <w:lang w:val="zh-CN"/>
        </w:rPr>
        <w:t>围绕决策程序、目标设置、项目入库进行绩效分析。</w:t>
      </w:r>
      <w:r>
        <w:rPr>
          <w:rFonts w:hint="eastAsia" w:ascii="仿宋_GB2312" w:hAnsi="仿宋_GB2312" w:eastAsia="仿宋_GB2312" w:cs="仿宋_GB2312"/>
          <w:color w:val="000000"/>
          <w:kern w:val="0"/>
          <w:sz w:val="32"/>
          <w:szCs w:val="32"/>
          <w:lang w:val="en-US" w:eastAsia="zh-CN" w:bidi="ar"/>
        </w:rPr>
        <w:t>结合上一年度预算执行情况和本年度预算收支变化因素，科学、合理地编制本年预算，划分项目支出与基本支出或预算支出与实际执行出现较大偏差的情况。</w:t>
      </w:r>
      <w:r>
        <w:rPr>
          <w:rFonts w:hint="eastAsia" w:ascii="仿宋" w:hAnsi="仿宋" w:eastAsia="仿宋" w:cs="仿宋"/>
          <w:color w:val="000000"/>
          <w:kern w:val="0"/>
          <w:sz w:val="30"/>
          <w:szCs w:val="30"/>
          <w:lang w:val="en-US" w:eastAsia="zh-CN" w:bidi="ar"/>
        </w:rPr>
        <w:t xml:space="preserve"> </w:t>
      </w:r>
    </w:p>
    <w:p>
      <w:pPr>
        <w:keepNext w:val="0"/>
        <w:keepLines w:val="0"/>
        <w:widowControl/>
        <w:suppressLineNumbers w:val="0"/>
        <w:ind w:firstLine="640" w:firstLineChars="200"/>
        <w:jc w:val="left"/>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sz w:val="32"/>
          <w:szCs w:val="32"/>
          <w:lang w:val="zh-CN"/>
        </w:rPr>
        <w:t>围绕资金执行同向、项目调整、执行结果进行绩效分析。</w:t>
      </w:r>
      <w:r>
        <w:rPr>
          <w:rFonts w:hint="eastAsia" w:ascii="仿宋_GB2312" w:hAnsi="仿宋_GB2312" w:eastAsia="仿宋_GB2312" w:cs="仿宋_GB2312"/>
          <w:color w:val="000000"/>
          <w:kern w:val="0"/>
          <w:sz w:val="32"/>
          <w:szCs w:val="32"/>
          <w:lang w:val="en-US" w:eastAsia="zh-CN" w:bidi="ar"/>
        </w:rPr>
        <w:t>严格执行资金支出，执行中确需调剂预算的，按规定程序报经批准。</w:t>
      </w:r>
    </w:p>
    <w:p>
      <w:pPr>
        <w:keepNext w:val="0"/>
        <w:keepLines w:val="0"/>
        <w:widowControl/>
        <w:suppressLineNumbers w:val="0"/>
        <w:ind w:firstLine="640" w:firstLineChars="200"/>
        <w:jc w:val="left"/>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3.目标实现。</w:t>
      </w:r>
      <w:r>
        <w:rPr>
          <w:rFonts w:hint="eastAsia" w:eastAsia="仿宋_GB2312"/>
          <w:sz w:val="32"/>
          <w:szCs w:val="32"/>
          <w:lang w:val="zh-CN"/>
        </w:rPr>
        <w:t>围绕目标完成、目标偏离、实现效果进行绩效分析。</w:t>
      </w:r>
      <w:r>
        <w:rPr>
          <w:rFonts w:hint="eastAsia" w:ascii="仿宋_GB2312" w:hAnsi="仿宋_GB2312" w:eastAsia="仿宋_GB2312" w:cs="仿宋_GB2312"/>
          <w:color w:val="000000"/>
          <w:kern w:val="0"/>
          <w:sz w:val="32"/>
          <w:szCs w:val="32"/>
          <w:lang w:val="en-US" w:eastAsia="zh-CN" w:bidi="ar"/>
        </w:rPr>
        <w:t>提高预算绩效管理认识，加强预算绩效管理的培训工作，进一步提高预算绩效管理工作水平。</w:t>
      </w:r>
    </w:p>
    <w:p>
      <w:pPr>
        <w:ind w:firstLine="643" w:firstLineChars="200"/>
        <w:rPr>
          <w:rFonts w:eastAsia="仿宋_GB2312"/>
          <w:sz w:val="32"/>
          <w:szCs w:val="32"/>
          <w:lang w:val="zh-CN"/>
        </w:rPr>
      </w:pPr>
      <w:r>
        <w:rPr>
          <w:rFonts w:hint="eastAsia" w:ascii="楷体_GB2312" w:eastAsia="楷体_GB2312"/>
          <w:b/>
          <w:sz w:val="32"/>
          <w:szCs w:val="32"/>
        </w:rPr>
        <w:t>（三）重点领域绩效分析。</w:t>
      </w:r>
      <w:r>
        <w:rPr>
          <w:rFonts w:hint="eastAsia" w:eastAsia="仿宋_GB2312"/>
          <w:sz w:val="32"/>
          <w:szCs w:val="32"/>
          <w:lang w:val="zh-CN"/>
        </w:rPr>
        <w:t>省级部门2023年度若涉及国有资本、行政事业性国有资产、债券资金、政府采购和政府购买服务等重点领域的，应在部门预算绩效自评报告中对完成情况进行梳理阐述。</w:t>
      </w:r>
    </w:p>
    <w:p>
      <w:pPr>
        <w:ind w:firstLine="643" w:firstLineChars="200"/>
        <w:rPr>
          <w:rFonts w:eastAsia="仿宋_GB2312"/>
          <w:sz w:val="32"/>
          <w:szCs w:val="32"/>
          <w:lang w:val="zh-CN"/>
        </w:rPr>
      </w:pPr>
      <w:r>
        <w:rPr>
          <w:rFonts w:hint="eastAsia" w:ascii="楷体_GB2312" w:eastAsia="楷体_GB2312"/>
          <w:b/>
          <w:sz w:val="32"/>
          <w:szCs w:val="32"/>
        </w:rPr>
        <w:t>（四）绩效结果应用情况。</w:t>
      </w:r>
      <w:r>
        <w:rPr>
          <w:rFonts w:hint="eastAsia" w:eastAsia="仿宋_GB2312"/>
          <w:sz w:val="32"/>
          <w:szCs w:val="32"/>
          <w:lang w:val="zh-CN"/>
        </w:rPr>
        <w:t>围绕内部应用情况、信息公开情况、整改反馈情况进行分析。</w:t>
      </w:r>
    </w:p>
    <w:p>
      <w:pPr>
        <w:ind w:firstLine="640" w:firstLineChars="200"/>
        <w:rPr>
          <w:rFonts w:ascii="黑体" w:hAnsi="黑体" w:eastAsia="黑体"/>
          <w:sz w:val="32"/>
          <w:szCs w:val="32"/>
        </w:rPr>
      </w:pPr>
      <w:r>
        <w:rPr>
          <w:rFonts w:hint="eastAsia" w:ascii="黑体" w:hAnsi="黑体" w:eastAsia="黑体"/>
          <w:sz w:val="32"/>
          <w:szCs w:val="32"/>
        </w:rPr>
        <w:t>四、评价结论及建议</w:t>
      </w:r>
    </w:p>
    <w:p>
      <w:pPr>
        <w:ind w:firstLine="643" w:firstLineChars="200"/>
        <w:rPr>
          <w:rFonts w:hint="eastAsia" w:eastAsia="仿宋_GB2312"/>
          <w:sz w:val="32"/>
          <w:szCs w:val="32"/>
          <w:lang w:val="zh-CN"/>
        </w:rPr>
      </w:pPr>
      <w:r>
        <w:rPr>
          <w:rFonts w:hint="eastAsia" w:ascii="楷体_GB2312" w:eastAsia="楷体_GB2312"/>
          <w:b/>
          <w:sz w:val="32"/>
          <w:szCs w:val="32"/>
        </w:rPr>
        <w:t>（一）评价结论。</w:t>
      </w:r>
    </w:p>
    <w:p>
      <w:pPr>
        <w:pStyle w:val="15"/>
        <w:keepNext w:val="0"/>
        <w:keepLines w:val="0"/>
        <w:widowControl/>
        <w:suppressLineNumbers w:val="0"/>
        <w:autoSpaceDE w:val="0"/>
        <w:autoSpaceDN/>
        <w:spacing w:before="0" w:beforeAutospacing="0" w:after="0" w:afterAutospacing="0" w:line="560" w:lineRule="atLeast"/>
        <w:ind w:left="0" w:right="0" w:firstLine="640"/>
        <w:jc w:val="left"/>
        <w:rPr>
          <w:rFonts w:hint="default" w:ascii="Times New Roman" w:hAnsi="Times New Roman" w:cs="Times New Roman"/>
          <w:sz w:val="21"/>
          <w:szCs w:val="21"/>
        </w:rPr>
      </w:pPr>
      <w:r>
        <w:rPr>
          <w:rFonts w:ascii="仿宋_GB2312" w:hAnsi="Times New Roman" w:eastAsia="仿宋_GB2312" w:cs="仿宋_GB2312"/>
          <w:color w:val="333333"/>
          <w:sz w:val="32"/>
          <w:szCs w:val="32"/>
        </w:rPr>
        <w:t>通过对</w:t>
      </w:r>
      <w:r>
        <w:rPr>
          <w:rFonts w:hint="default" w:ascii="仿宋_GB2312" w:hAnsi="Times New Roman" w:eastAsia="仿宋_GB2312" w:cs="仿宋_GB2312"/>
          <w:color w:val="333333"/>
          <w:sz w:val="32"/>
          <w:szCs w:val="32"/>
        </w:rPr>
        <w:t>202</w:t>
      </w:r>
      <w:r>
        <w:rPr>
          <w:rFonts w:hint="eastAsia" w:ascii="仿宋_GB2312" w:hAnsi="Times New Roman" w:eastAsia="仿宋_GB2312" w:cs="仿宋_GB2312"/>
          <w:color w:val="333333"/>
          <w:sz w:val="32"/>
          <w:szCs w:val="32"/>
          <w:lang w:val="en-US" w:eastAsia="zh-CN"/>
        </w:rPr>
        <w:t>3</w:t>
      </w:r>
      <w:r>
        <w:rPr>
          <w:rFonts w:hint="default" w:ascii="仿宋_GB2312" w:hAnsi="Times New Roman" w:eastAsia="仿宋_GB2312" w:cs="仿宋_GB2312"/>
          <w:color w:val="333333"/>
          <w:sz w:val="32"/>
          <w:szCs w:val="32"/>
        </w:rPr>
        <w:t>年度部门整体支出绩效自评，我们认识到，要加强对本单位整体支出绩效管理，强化支出责任，提高财政的资金使用效益，更好的促进我们履行职责。编制预算时要结合本部门的职责、规划和任务进行测算，要确保部门预算编制真实、准确、完整，切合单位实际。</w:t>
      </w:r>
    </w:p>
    <w:p>
      <w:pPr>
        <w:pStyle w:val="15"/>
        <w:keepNext w:val="0"/>
        <w:keepLines w:val="0"/>
        <w:widowControl/>
        <w:suppressLineNumbers w:val="0"/>
        <w:autoSpaceDE w:val="0"/>
        <w:autoSpaceDN/>
        <w:spacing w:before="0" w:beforeAutospacing="0" w:after="0" w:afterAutospacing="0" w:line="560" w:lineRule="atLeast"/>
        <w:ind w:left="0" w:right="0" w:firstLine="640"/>
        <w:jc w:val="left"/>
        <w:rPr>
          <w:rFonts w:hint="eastAsia"/>
          <w:lang w:val="zh-CN"/>
        </w:rPr>
      </w:pPr>
      <w:r>
        <w:rPr>
          <w:rFonts w:hint="default" w:ascii="仿宋_GB2312" w:hAnsi="Times New Roman" w:eastAsia="仿宋_GB2312" w:cs="仿宋_GB2312"/>
          <w:color w:val="333333"/>
          <w:sz w:val="32"/>
          <w:szCs w:val="32"/>
        </w:rPr>
        <w:t>综合以上各项指标，财务管理健全规范，没有发生违法违规现象，我</w:t>
      </w:r>
      <w:r>
        <w:rPr>
          <w:rFonts w:hint="eastAsia" w:ascii="仿宋_GB2312" w:hAnsi="Times New Roman" w:eastAsia="仿宋_GB2312" w:cs="仿宋_GB2312"/>
          <w:color w:val="333333"/>
          <w:sz w:val="32"/>
          <w:szCs w:val="32"/>
          <w:lang w:eastAsia="zh-CN"/>
        </w:rPr>
        <w:t>部</w:t>
      </w:r>
      <w:r>
        <w:rPr>
          <w:rFonts w:hint="default" w:ascii="仿宋_GB2312" w:hAnsi="Times New Roman" w:eastAsia="仿宋_GB2312" w:cs="仿宋_GB2312"/>
          <w:color w:val="333333"/>
          <w:sz w:val="32"/>
          <w:szCs w:val="32"/>
        </w:rPr>
        <w:t>202</w:t>
      </w:r>
      <w:r>
        <w:rPr>
          <w:rFonts w:hint="eastAsia" w:ascii="仿宋_GB2312" w:hAnsi="Times New Roman" w:eastAsia="仿宋_GB2312" w:cs="仿宋_GB2312"/>
          <w:color w:val="333333"/>
          <w:sz w:val="32"/>
          <w:szCs w:val="32"/>
          <w:lang w:val="en-US" w:eastAsia="zh-CN"/>
        </w:rPr>
        <w:t>3</w:t>
      </w:r>
      <w:r>
        <w:rPr>
          <w:rFonts w:hint="default" w:ascii="仿宋_GB2312" w:hAnsi="Times New Roman" w:eastAsia="仿宋_GB2312" w:cs="仿宋_GB2312"/>
          <w:color w:val="333333"/>
          <w:sz w:val="32"/>
          <w:szCs w:val="32"/>
        </w:rPr>
        <w:t>年的部门整体支出做到了使用规范、程序透明、达到预期绩效目标确保了机关的正常运行和股室职能的正常履行，保证了目标任务的圆满完成。评价得分9</w:t>
      </w:r>
      <w:r>
        <w:rPr>
          <w:rFonts w:hint="eastAsia" w:ascii="仿宋_GB2312" w:hAnsi="Times New Roman" w:eastAsia="仿宋_GB2312" w:cs="仿宋_GB2312"/>
          <w:color w:val="333333"/>
          <w:sz w:val="32"/>
          <w:szCs w:val="32"/>
          <w:lang w:val="en-US" w:eastAsia="zh-CN"/>
        </w:rPr>
        <w:t>1</w:t>
      </w:r>
      <w:r>
        <w:rPr>
          <w:rFonts w:hint="default" w:ascii="仿宋_GB2312" w:hAnsi="Times New Roman" w:eastAsia="仿宋_GB2312" w:cs="仿宋_GB2312"/>
          <w:color w:val="333333"/>
          <w:sz w:val="32"/>
          <w:szCs w:val="32"/>
        </w:rPr>
        <w:t>分。</w:t>
      </w:r>
    </w:p>
    <w:p>
      <w:pPr>
        <w:pStyle w:val="11"/>
        <w:rPr>
          <w:lang w:val="zh-CN"/>
        </w:rPr>
      </w:pPr>
    </w:p>
    <w:p>
      <w:pPr>
        <w:ind w:firstLine="643" w:firstLineChars="200"/>
        <w:rPr>
          <w:rFonts w:hint="eastAsia" w:eastAsia="仿宋_GB2312"/>
          <w:sz w:val="32"/>
          <w:szCs w:val="32"/>
          <w:lang w:val="zh-CN"/>
        </w:rPr>
      </w:pPr>
      <w:r>
        <w:rPr>
          <w:rFonts w:hint="eastAsia" w:ascii="楷体_GB2312" w:eastAsia="楷体_GB2312"/>
          <w:b/>
          <w:sz w:val="32"/>
          <w:szCs w:val="32"/>
        </w:rPr>
        <w:t>（二）存在问题。</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left"/>
        <w:textAlignment w:val="auto"/>
        <w:rPr>
          <w:rFonts w:ascii="仿宋_GB2312" w:hAnsi="Times New Roman" w:eastAsia="仿宋_GB2312" w:cs="仿宋_GB2312"/>
          <w:color w:val="333333"/>
          <w:sz w:val="32"/>
          <w:szCs w:val="32"/>
          <w:lang w:val="zh-CN"/>
        </w:rPr>
      </w:pPr>
      <w:r>
        <w:rPr>
          <w:rFonts w:hint="eastAsia" w:ascii="仿宋_GB2312" w:hAnsi="Times New Roman" w:eastAsia="仿宋_GB2312" w:cs="仿宋_GB2312"/>
          <w:color w:val="333333"/>
          <w:sz w:val="32"/>
          <w:szCs w:val="32"/>
          <w:lang w:val="zh-CN" w:eastAsia="zh-CN"/>
        </w:rPr>
        <w:t>因部分工作不可预见性，有些支出无法纳入预算，导致预算执行存在偏差。有些项目经费的使用效率不高。</w:t>
      </w:r>
    </w:p>
    <w:p>
      <w:pPr>
        <w:ind w:firstLine="643" w:firstLineChars="200"/>
        <w:rPr>
          <w:rFonts w:eastAsia="仿宋_GB2312"/>
          <w:sz w:val="32"/>
          <w:szCs w:val="32"/>
          <w:lang w:val="zh-CN"/>
        </w:rPr>
      </w:pPr>
      <w:r>
        <w:rPr>
          <w:rFonts w:hint="eastAsia" w:ascii="楷体_GB2312" w:eastAsia="楷体_GB2312"/>
          <w:b/>
          <w:sz w:val="32"/>
          <w:szCs w:val="32"/>
        </w:rPr>
        <w:t>（三）改进建议。</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atLeast"/>
        <w:ind w:left="0" w:right="0" w:firstLine="640" w:firstLineChars="200"/>
        <w:jc w:val="left"/>
        <w:textAlignment w:val="auto"/>
        <w:rPr>
          <w:rFonts w:hint="default" w:ascii="Times New Roman" w:hAnsi="Times New Roman" w:cs="Times New Roman"/>
          <w:sz w:val="21"/>
          <w:szCs w:val="21"/>
        </w:rPr>
      </w:pPr>
      <w:r>
        <w:rPr>
          <w:rFonts w:ascii="仿宋_GB2312" w:hAnsi="Times New Roman" w:eastAsia="仿宋_GB2312" w:cs="仿宋_GB2312"/>
          <w:color w:val="333333"/>
          <w:sz w:val="32"/>
          <w:szCs w:val="32"/>
        </w:rPr>
        <w:t>一是加强</w:t>
      </w:r>
      <w:r>
        <w:rPr>
          <w:rFonts w:hint="default" w:ascii="仿宋_GB2312" w:hAnsi="Times New Roman" w:eastAsia="仿宋_GB2312" w:cs="仿宋_GB2312"/>
          <w:color w:val="333333"/>
          <w:sz w:val="32"/>
          <w:szCs w:val="32"/>
        </w:rPr>
        <w:t>财会理论知识学习，提高思想认识。组织单位分管财务的领导和财务人员认真学习《中华人民共和国预算法》等相关法规、制度，提高领导对全面预算管理的重视程度，增强财务人员的预算意识，坚持先有预算、后有支出，没有预算不得支出的理念。</w:t>
      </w:r>
    </w:p>
    <w:p>
      <w:pPr>
        <w:pStyle w:val="15"/>
        <w:keepNext w:val="0"/>
        <w:keepLines w:val="0"/>
        <w:widowControl/>
        <w:suppressLineNumbers w:val="0"/>
        <w:autoSpaceDE w:val="0"/>
        <w:autoSpaceDN/>
        <w:spacing w:before="0" w:beforeAutospacing="0" w:after="0" w:afterAutospacing="0" w:line="56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color w:val="333333"/>
          <w:sz w:val="32"/>
          <w:szCs w:val="32"/>
        </w:rPr>
        <w:t>二是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力度，及时找出预算时间执行情况与预算目标之间存在的差距，纠正偏差，为下一次科学、准确地编制部门预算积累经验。</w:t>
      </w:r>
    </w:p>
    <w:p>
      <w:pPr>
        <w:rPr>
          <w:rFonts w:eastAsia="仿宋_GB2312"/>
          <w:sz w:val="32"/>
          <w:szCs w:val="32"/>
          <w:lang w:val="zh-CN"/>
        </w:rPr>
      </w:pPr>
    </w:p>
    <w:p>
      <w:pPr>
        <w:rPr>
          <w:rFonts w:hint="eastAsia" w:ascii="黑体" w:hAnsi="黑体" w:eastAsia="黑体"/>
          <w:sz w:val="32"/>
          <w:szCs w:val="32"/>
        </w:rPr>
      </w:pPr>
    </w:p>
    <w:p>
      <w:pPr>
        <w:pStyle w:val="11"/>
        <w:rPr>
          <w:rFonts w:hint="eastAsia" w:ascii="黑体" w:hAnsi="黑体" w:eastAsia="黑体"/>
          <w:sz w:val="32"/>
          <w:szCs w:val="32"/>
        </w:rPr>
      </w:pPr>
    </w:p>
    <w:p>
      <w:pPr>
        <w:pStyle w:val="11"/>
        <w:rPr>
          <w:rFonts w:hint="eastAsia" w:ascii="黑体" w:hAnsi="黑体" w:eastAsia="黑体"/>
          <w:sz w:val="32"/>
          <w:szCs w:val="32"/>
        </w:rPr>
      </w:pPr>
    </w:p>
    <w:p>
      <w:pPr>
        <w:pStyle w:val="11"/>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附件2</w:t>
      </w:r>
    </w:p>
    <w:p>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2023年金口常开大数据平台运行管理经费项目绩效自评报告</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lang w:val="en-US" w:eastAsia="zh-CN"/>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pPr>
        <w:ind w:firstLine="643" w:firstLineChars="200"/>
        <w:rPr>
          <w:rFonts w:hint="eastAsia"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项目设立原因及背景，项目立项、资金申报的依据，项目主要内容。主管部门职能。</w:t>
      </w:r>
    </w:p>
    <w:p>
      <w:pPr>
        <w:adjustRightInd w:val="0"/>
        <w:snapToGrid w:val="0"/>
        <w:spacing w:line="600" w:lineRule="exact"/>
        <w:ind w:firstLine="720"/>
        <w:rPr>
          <w:lang w:val="zh-CN"/>
        </w:rPr>
      </w:pPr>
      <w:r>
        <w:rPr>
          <w:rFonts w:hint="eastAsia" w:ascii="仿宋_GB2312" w:eastAsia="仿宋_GB2312" w:cs="Times New Roman" w:hAnsiTheme="minorEastAsia"/>
          <w:sz w:val="32"/>
          <w:szCs w:val="32"/>
        </w:rPr>
        <w:t>区“金口常开”大数据平台建设工作2018年9月已完成建设，并投入运行。该平台已运行两年，运行效果良好，及时的将我区党务、政务工作和各项惠民政策传播到农户家中。</w:t>
      </w:r>
      <w:r>
        <w:rPr>
          <w:rFonts w:hint="eastAsia" w:ascii="仿宋_GB2312" w:eastAsia="仿宋_GB2312" w:cs="Times New Roman" w:hAnsiTheme="minorEastAsia"/>
          <w:sz w:val="32"/>
          <w:szCs w:val="32"/>
          <w:lang w:eastAsia="zh-CN"/>
        </w:rPr>
        <w:t>根据乐山市金口河区人民政府关于《解决“金口常开”大数据平台运行管理经费的请示》的批复（金府复</w:t>
      </w:r>
      <w:r>
        <w:rPr>
          <w:rFonts w:hint="eastAsia" w:ascii="仿宋_GB2312" w:eastAsia="仿宋_GB2312" w:cs="Times New Roman" w:hAnsiTheme="minorEastAsia"/>
          <w:sz w:val="32"/>
          <w:szCs w:val="32"/>
          <w:lang w:val="en-US" w:eastAsia="zh-CN"/>
        </w:rPr>
        <w:t>[2020]230号</w:t>
      </w:r>
      <w:r>
        <w:rPr>
          <w:rFonts w:hint="eastAsia" w:ascii="仿宋_GB2312" w:eastAsia="仿宋_GB2312" w:cs="Times New Roman" w:hAnsiTheme="minorEastAsia"/>
          <w:sz w:val="32"/>
          <w:szCs w:val="32"/>
          <w:lang w:eastAsia="zh-CN"/>
        </w:rPr>
        <w:t>）文件立项。</w:t>
      </w:r>
    </w:p>
    <w:p>
      <w:pPr>
        <w:ind w:firstLine="643" w:firstLineChars="200"/>
        <w:rPr>
          <w:rFonts w:hint="eastAsia"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项目资金管理办法制定情况，项目实施目的和主要工作任务，项目支持方向。</w:t>
      </w:r>
    </w:p>
    <w:p>
      <w:pPr>
        <w:pStyle w:val="11"/>
        <w:keepNext w:val="0"/>
        <w:keepLines w:val="0"/>
        <w:pageBreakBefore w:val="0"/>
        <w:numPr>
          <w:ilvl w:val="0"/>
          <w:numId w:val="0"/>
        </w:numPr>
        <w:kinsoku/>
        <w:wordWrap/>
        <w:overflowPunct/>
        <w:topLinePunct w:val="0"/>
        <w:autoSpaceDE/>
        <w:autoSpaceDN/>
        <w:bidi w:val="0"/>
        <w:snapToGrid w:val="0"/>
        <w:spacing w:line="600" w:lineRule="exact"/>
        <w:ind w:firstLine="640" w:firstLineChars="200"/>
        <w:textAlignment w:val="auto"/>
        <w:rPr>
          <w:lang w:val="zh-CN"/>
        </w:rPr>
      </w:pPr>
      <w:r>
        <w:rPr>
          <w:rFonts w:hint="eastAsia" w:ascii="仿宋_GB2312" w:eastAsia="仿宋_GB2312" w:cs="Times New Roman" w:hAnsiTheme="minorEastAsia"/>
          <w:kern w:val="2"/>
          <w:sz w:val="32"/>
          <w:szCs w:val="32"/>
          <w:lang w:val="en-US" w:eastAsia="zh-CN" w:bidi="ar-SA"/>
        </w:rPr>
        <w:t>资金由平台运行管理采集制作技术人员服务费40万；平台租用费10万元/年；平台日常运行办公经费5万/年。</w:t>
      </w:r>
    </w:p>
    <w:p>
      <w:pPr>
        <w:ind w:firstLine="643" w:firstLineChars="200"/>
        <w:rPr>
          <w:rFonts w:hint="eastAsia"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项目预算安排情况，项目资金分配原则及考虑因素，项目资金分配情况。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此项资是金口河区本级财政资金，属于一般公共预算资金。资金是金口河区本级财政资金，技术服务人员服务费按月向财政申请，平台网络信息服务费和平台日常运行办公费视财政资金情况申请。资金支付严格按照项目请示内容进行支付，符合法律规定，与年初预算相符。</w:t>
      </w:r>
    </w:p>
    <w:p>
      <w:pPr>
        <w:ind w:firstLine="643" w:firstLineChars="200"/>
        <w:rPr>
          <w:rFonts w:hint="eastAsia"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项目整体、区域和具体绩效目标设置情况，项目自评工作开展情况。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项目已经建成实施，后期需要具体包括技术人员</w:t>
      </w:r>
      <w:r>
        <w:rPr>
          <w:rFonts w:hint="eastAsia" w:ascii="仿宋_GB2312" w:hAnsi="仿宋_GB2312" w:eastAsia="仿宋_GB2312" w:cs="仿宋_GB2312"/>
          <w:color w:val="auto"/>
          <w:kern w:val="0"/>
          <w:sz w:val="32"/>
          <w:szCs w:val="32"/>
          <w:highlight w:val="none"/>
          <w:u w:val="none"/>
          <w:shd w:val="clear" w:color="auto" w:fill="FFFFFF"/>
          <w:lang w:val="en-US" w:eastAsia="zh-CN"/>
        </w:rPr>
        <w:t>7名服务费，平台上传信息网络服务费10万元/年和平台运行管理费5万元/年运营维护。</w:t>
      </w:r>
    </w:p>
    <w:p>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通过项目绩效自评要实现的目的。</w:t>
      </w:r>
    </w:p>
    <w:p>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项目绩效自评所抽样点位情况。</w:t>
      </w:r>
    </w:p>
    <w:p>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评价组人员构成和职责分工。</w:t>
      </w:r>
    </w:p>
    <w:p>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pPr>
        <w:ind w:firstLine="640" w:firstLineChars="200"/>
        <w:rPr>
          <w:rFonts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围绕决策程序、规划论证、资金投向进行绩效分析。按照批复文件，严格按程序做好项目工作。</w:t>
      </w:r>
    </w:p>
    <w:p>
      <w:pPr>
        <w:ind w:firstLine="640" w:firstLineChars="200"/>
        <w:rPr>
          <w:rFonts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围绕制度办法、分配管理、绩效监管进行绩效分析。区委宣传部按照下达的年初目标任务，结合实际需求进行预算、项目绩效目标制定，确保项目达到预期绩效目标。</w:t>
      </w:r>
    </w:p>
    <w:p>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围绕预算执行、资金使用进行绩效分析。严格按照要求制定绩效目标，结合项目资金管理办法，确保实现预期绩效目标。</w:t>
      </w:r>
    </w:p>
    <w:p>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围绕目标完成、完成时效进行绩效分析。严格按照批复预算，用款计划要求以及工作进度申请支付资金，确保项目预算目标及时有效完成。</w:t>
      </w:r>
    </w:p>
    <w:p>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围绕符合性、成长性、经济性进行绩效分析。无</w:t>
      </w:r>
    </w:p>
    <w:p>
      <w:pPr>
        <w:ind w:firstLine="640" w:firstLineChars="200"/>
        <w:rPr>
          <w:rFonts w:eastAsia="仿宋_GB2312"/>
          <w:sz w:val="32"/>
          <w:szCs w:val="32"/>
          <w:lang w:val="zh-CN"/>
        </w:rPr>
      </w:pPr>
      <w:r>
        <w:rPr>
          <w:rFonts w:hint="eastAsia" w:ascii="楷体_GB2312" w:eastAsia="楷体_GB2312"/>
          <w:sz w:val="32"/>
          <w:szCs w:val="32"/>
          <w:lang w:val="zh-CN"/>
        </w:rPr>
        <w:t>2.民生保障。</w:t>
      </w:r>
      <w:r>
        <w:rPr>
          <w:rFonts w:hint="eastAsia" w:eastAsia="仿宋_GB2312"/>
          <w:sz w:val="32"/>
          <w:szCs w:val="32"/>
          <w:lang w:val="zh-CN"/>
        </w:rPr>
        <w:t>围绕区域均衡性、对象精准性、标准合理性、群众满意度进行绩效分析。无</w:t>
      </w:r>
    </w:p>
    <w:p>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在建项目围绕工程进度和资金拨付进行绩效分析；建成项目围绕项目验收、功能实现、后续管护进行绩效分析。无</w:t>
      </w:r>
    </w:p>
    <w:p>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围绕用途合规性、程序合规性、标准合规性进行绩效分析。无</w:t>
      </w:r>
    </w:p>
    <w:p>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根据项目个性自行设定部分指标，反映该项指标执行完成情况。无</w:t>
      </w: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项目应长期试行，我部将加大对金口河党务、政务和惠民政策的传播，加强全区特色亮点的拍摄，更好的在各大媒体展现金口河风采。</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主要存在的问题就是资金拨付不能及时。</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及时拨付相关费用，让“金口常开”大平台更好的服务金口河。</w:t>
      </w:r>
    </w:p>
    <w:p>
      <w:pPr>
        <w:ind w:firstLine="420" w:firstLineChars="200"/>
      </w:pPr>
    </w:p>
    <w:p>
      <w:pPr>
        <w:rPr>
          <w:rFonts w:hint="eastAsia" w:ascii="黑体" w:hAnsi="黑体" w:eastAsia="黑体"/>
        </w:rPr>
      </w:pPr>
      <w:r>
        <w:rPr>
          <w:rFonts w:hint="eastAsia" w:ascii="黑体" w:hAnsi="黑体" w:eastAsia="黑体"/>
        </w:rPr>
        <w:br w:type="page"/>
      </w:r>
    </w:p>
    <w:p>
      <w:pPr>
        <w:pStyle w:val="5"/>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283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677A41"/>
    <w:rsid w:val="02FEBE30"/>
    <w:rsid w:val="036F8141"/>
    <w:rsid w:val="066E0107"/>
    <w:rsid w:val="07996F6E"/>
    <w:rsid w:val="07DFD8BA"/>
    <w:rsid w:val="0A2032A3"/>
    <w:rsid w:val="0D35B1ED"/>
    <w:rsid w:val="0E7ED1F5"/>
    <w:rsid w:val="0F5457E9"/>
    <w:rsid w:val="0F98263C"/>
    <w:rsid w:val="101860EC"/>
    <w:rsid w:val="10C055FF"/>
    <w:rsid w:val="118107EC"/>
    <w:rsid w:val="125513CF"/>
    <w:rsid w:val="13D50BC4"/>
    <w:rsid w:val="13F5616D"/>
    <w:rsid w:val="15E10F46"/>
    <w:rsid w:val="16BB723D"/>
    <w:rsid w:val="17F9714D"/>
    <w:rsid w:val="1918F934"/>
    <w:rsid w:val="1BE6147A"/>
    <w:rsid w:val="1BE8440E"/>
    <w:rsid w:val="1D155CEE"/>
    <w:rsid w:val="1DFBC4B3"/>
    <w:rsid w:val="1E507EFE"/>
    <w:rsid w:val="1E740ACF"/>
    <w:rsid w:val="1F19C781"/>
    <w:rsid w:val="1F33FCE5"/>
    <w:rsid w:val="1F7F7398"/>
    <w:rsid w:val="1FD2DB6F"/>
    <w:rsid w:val="1FF35744"/>
    <w:rsid w:val="1FF6BC77"/>
    <w:rsid w:val="1FF9236D"/>
    <w:rsid w:val="2333840E"/>
    <w:rsid w:val="23860B96"/>
    <w:rsid w:val="238927D2"/>
    <w:rsid w:val="240371BF"/>
    <w:rsid w:val="257C638F"/>
    <w:rsid w:val="29FD04D3"/>
    <w:rsid w:val="2BFF7BC6"/>
    <w:rsid w:val="2C7B0549"/>
    <w:rsid w:val="2C8A61B5"/>
    <w:rsid w:val="2CD59C95"/>
    <w:rsid w:val="2DF04E50"/>
    <w:rsid w:val="2EFD05E5"/>
    <w:rsid w:val="2F040D46"/>
    <w:rsid w:val="2F4F95CE"/>
    <w:rsid w:val="2FACAFDD"/>
    <w:rsid w:val="2FAE5751"/>
    <w:rsid w:val="2FB1A395"/>
    <w:rsid w:val="2FCF0B76"/>
    <w:rsid w:val="2FD9A7D8"/>
    <w:rsid w:val="319F7F4E"/>
    <w:rsid w:val="3304709D"/>
    <w:rsid w:val="33923341"/>
    <w:rsid w:val="359E17D2"/>
    <w:rsid w:val="36AA5135"/>
    <w:rsid w:val="36BE0DA7"/>
    <w:rsid w:val="376B6AA6"/>
    <w:rsid w:val="376D39B2"/>
    <w:rsid w:val="37E16F03"/>
    <w:rsid w:val="37F53A3B"/>
    <w:rsid w:val="38D469F0"/>
    <w:rsid w:val="38F78389"/>
    <w:rsid w:val="397BAF1F"/>
    <w:rsid w:val="39E7B272"/>
    <w:rsid w:val="39F607F9"/>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19133B1"/>
    <w:rsid w:val="44E268DA"/>
    <w:rsid w:val="457F4F6B"/>
    <w:rsid w:val="4737FB58"/>
    <w:rsid w:val="477C4878"/>
    <w:rsid w:val="47ECCB02"/>
    <w:rsid w:val="47FA6A3F"/>
    <w:rsid w:val="49D7AE48"/>
    <w:rsid w:val="4A1070E6"/>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02D5DBD"/>
    <w:rsid w:val="519E7D26"/>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8DA4B09"/>
    <w:rsid w:val="6AFFCEAF"/>
    <w:rsid w:val="6B3A35EB"/>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835B6F"/>
    <w:rsid w:val="76E3355F"/>
    <w:rsid w:val="76F742AF"/>
    <w:rsid w:val="76F7BE7D"/>
    <w:rsid w:val="76FF5125"/>
    <w:rsid w:val="773570D3"/>
    <w:rsid w:val="77597F31"/>
    <w:rsid w:val="776F6FFA"/>
    <w:rsid w:val="7777A522"/>
    <w:rsid w:val="77858688"/>
    <w:rsid w:val="778769C8"/>
    <w:rsid w:val="77CB741A"/>
    <w:rsid w:val="77D7BE3A"/>
    <w:rsid w:val="77DC22F5"/>
    <w:rsid w:val="78EF10E1"/>
    <w:rsid w:val="797E3A6C"/>
    <w:rsid w:val="799F1AD0"/>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2059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收、支变化图（万元）</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893.94</c:v>
                </c:pt>
                <c:pt idx="1">
                  <c:v>1073.29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884.54</c:v>
                </c:pt>
                <c:pt idx="1">
                  <c:v>1211.6</c:v>
                </c:pt>
              </c:numCache>
            </c:numRef>
          </c:val>
        </c:ser>
        <c:dLbls>
          <c:showLegendKey val="0"/>
          <c:showVal val="1"/>
          <c:showCatName val="0"/>
          <c:showSerName val="0"/>
          <c:showPercent val="0"/>
          <c:showBubbleSize val="0"/>
        </c:dLbls>
        <c:gapWidth val="219"/>
        <c:overlap val="-27"/>
        <c:axId val="876743309"/>
        <c:axId val="952728674"/>
      </c:barChart>
      <c:catAx>
        <c:axId val="87674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728674"/>
        <c:crosses val="autoZero"/>
        <c:auto val="1"/>
        <c:lblAlgn val="ctr"/>
        <c:lblOffset val="100"/>
        <c:noMultiLvlLbl val="0"/>
      </c:catAx>
      <c:valAx>
        <c:axId val="9527286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743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收入决算情况说明</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0.9999</c:v>
                </c:pt>
                <c:pt idx="1">
                  <c:v>0.0001</c:v>
                </c:pt>
                <c:pt idx="2" c:formatCode="General">
                  <c:v>0</c:v>
                </c:pt>
                <c:pt idx="3" c:formatCode="General">
                  <c:v>0</c:v>
                </c:pt>
                <c:pt idx="4" c:formatCode="General">
                  <c:v>0</c:v>
                </c:pt>
                <c:pt idx="5" c:formatCode="General">
                  <c:v>0</c:v>
                </c:pt>
                <c:pt idx="6" c:formatCode="General">
                  <c:v>0</c:v>
                </c:pt>
                <c:pt idx="7"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2023年度本年支出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0.421</c:v>
                </c:pt>
                <c:pt idx="1">
                  <c:v>0.5789</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财政拨款收、支决算总计变动情况（万元）</a:t>
            </a:r>
            <a:endParaRPr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893.94</c:v>
                </c:pt>
                <c:pt idx="1">
                  <c:v>1073.29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884.54</c:v>
                </c:pt>
                <c:pt idx="1">
                  <c:v>1211.6</c:v>
                </c:pt>
              </c:numCache>
            </c:numRef>
          </c:val>
        </c:ser>
        <c:dLbls>
          <c:showLegendKey val="0"/>
          <c:showVal val="1"/>
          <c:showCatName val="0"/>
          <c:showSerName val="0"/>
          <c:showPercent val="0"/>
          <c:showBubbleSize val="0"/>
        </c:dLbls>
        <c:gapWidth val="219"/>
        <c:overlap val="-27"/>
        <c:axId val="876743309"/>
        <c:axId val="952728674"/>
      </c:barChart>
      <c:catAx>
        <c:axId val="87674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728674"/>
        <c:crosses val="autoZero"/>
        <c:auto val="1"/>
        <c:lblAlgn val="ctr"/>
        <c:lblOffset val="100"/>
        <c:noMultiLvlLbl val="0"/>
      </c:catAx>
      <c:valAx>
        <c:axId val="9527286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743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zh-CN"/>
              <a:t>一般公共预算财政拨款支出决算变化情况（万元）</a:t>
            </a:r>
            <a:endParaRPr altLang="zh-CN"/>
          </a:p>
        </c:rich>
      </c:tx>
      <c:layout>
        <c:manualLayout>
          <c:xMode val="edge"/>
          <c:yMode val="edge"/>
          <c:x val="0.1605"/>
          <c:y val="0.0166666666666667"/>
        </c:manualLayout>
      </c:layout>
      <c:overlay val="0"/>
      <c:spPr>
        <a:noFill/>
        <a:ln>
          <a:noFill/>
        </a:ln>
        <a:effectLst/>
      </c:spPr>
    </c:title>
    <c:autoTitleDeleted val="0"/>
    <c:plotArea>
      <c:layout/>
      <c:barChart>
        <c:barDir val="col"/>
        <c:grouping val="clustered"/>
        <c:varyColors val="0"/>
        <c:ser>
          <c:idx val="1"/>
          <c:order val="0"/>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884.47</c:v>
                </c:pt>
                <c:pt idx="1">
                  <c:v>1210.57</c:v>
                </c:pt>
              </c:numCache>
            </c:numRef>
          </c:val>
        </c:ser>
        <c:dLbls>
          <c:showLegendKey val="0"/>
          <c:showVal val="1"/>
          <c:showCatName val="0"/>
          <c:showSerName val="0"/>
          <c:showPercent val="0"/>
          <c:showBubbleSize val="0"/>
        </c:dLbls>
        <c:gapWidth val="219"/>
        <c:overlap val="-27"/>
        <c:axId val="876743309"/>
        <c:axId val="952728674"/>
      </c:barChart>
      <c:catAx>
        <c:axId val="8767433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728674"/>
        <c:crosses val="autoZero"/>
        <c:auto val="1"/>
        <c:lblAlgn val="ctr"/>
        <c:lblOffset val="100"/>
        <c:noMultiLvlLbl val="0"/>
      </c:catAx>
      <c:valAx>
        <c:axId val="95272867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67433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manualLayout>
          <c:xMode val="edge"/>
          <c:yMode val="edge"/>
          <c:x val="0.165875"/>
          <c:y val="0.0228333333333333"/>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0.00%</c:formatCode>
                <c:ptCount val="7"/>
                <c:pt idx="0">
                  <c:v>0.8738</c:v>
                </c:pt>
                <c:pt idx="1" c:formatCode="General">
                  <c:v>0</c:v>
                </c:pt>
                <c:pt idx="2" c:formatCode="General">
                  <c:v>0</c:v>
                </c:pt>
                <c:pt idx="3">
                  <c:v>0.0226</c:v>
                </c:pt>
                <c:pt idx="4">
                  <c:v>0.0637</c:v>
                </c:pt>
                <c:pt idx="5">
                  <c:v>0.0099</c:v>
                </c:pt>
                <c:pt idx="6">
                  <c:v>0.028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3416</Words>
  <Characters>3836</Characters>
  <Lines>72</Lines>
  <Paragraphs>20</Paragraphs>
  <TotalTime>14</TotalTime>
  <ScaleCrop>false</ScaleCrop>
  <LinksUpToDate>false</LinksUpToDate>
  <CharactersWithSpaces>3862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帅洪丹</cp:lastModifiedBy>
  <cp:lastPrinted>2023-08-03T10:35:00Z</cp:lastPrinted>
  <dcterms:modified xsi:type="dcterms:W3CDTF">2026-06-24T07:52:16Z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BE5F581219DB4E4D8B495C2D1E646CE3</vt:lpwstr>
  </property>
</Properties>
</file>