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pStyle w:val="6"/>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597"/>
      <w:bookmarkStart w:id="2" w:name="_Toc15377193"/>
      <w:bookmarkStart w:id="3" w:name="_Toc15396475"/>
      <w:bookmarkStart w:id="4" w:name="_Toc15377425"/>
      <w:bookmarkStart w:id="5" w:name="_Toc15378441"/>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598"/>
      <w:bookmarkStart w:id="7" w:name="_Toc15396476"/>
      <w:bookmarkStart w:id="8" w:name="_Toc15377194"/>
      <w:bookmarkStart w:id="9" w:name="_Toc15377426"/>
      <w:bookmarkStart w:id="10" w:name="_Toc15378442"/>
      <w:bookmarkStart w:id="11" w:name="_Toc15306268"/>
      <w:bookmarkStart w:id="12" w:name="OLE_LINK25"/>
      <w:r>
        <w:rPr>
          <w:rFonts w:hint="eastAsia" w:ascii="方正小标宋简体" w:hAnsi="方正小标宋简体" w:eastAsia="方正小标宋简体" w:cs="方正小标宋简体"/>
          <w:sz w:val="72"/>
          <w:szCs w:val="72"/>
          <w:lang w:eastAsia="zh-CN"/>
        </w:rPr>
        <w:t>乐山市金口河区机关事务服务中心单位</w:t>
      </w:r>
      <w:r>
        <w:rPr>
          <w:rFonts w:hint="eastAsia" w:ascii="方正小标宋简体" w:hAnsi="方正小标宋简体" w:eastAsia="方正小标宋简体" w:cs="方正小标宋简体"/>
          <w:sz w:val="72"/>
          <w:szCs w:val="72"/>
        </w:rPr>
        <w:t>决算</w:t>
      </w:r>
      <w:bookmarkEnd w:id="6"/>
      <w:bookmarkEnd w:id="7"/>
      <w:bookmarkEnd w:id="8"/>
      <w:bookmarkEnd w:id="9"/>
      <w:bookmarkEnd w:id="10"/>
      <w:bookmarkEnd w:id="11"/>
    </w:p>
    <w:bookmarkEnd w:id="12"/>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pPr>
      <w:r>
        <w:rPr>
          <w:rFonts w:hint="eastAsia"/>
        </w:rPr>
        <w:t>公开时间：202</w:t>
      </w:r>
      <w:r>
        <w:rPr>
          <w:rFonts w:hint="eastAsia"/>
          <w:lang w:val="en-US" w:eastAsia="zh-CN"/>
        </w:rPr>
        <w:t>4</w:t>
      </w:r>
      <w:r>
        <w:rPr>
          <w:rFonts w:hint="eastAsia"/>
        </w:rPr>
        <w:t>年9月</w:t>
      </w:r>
      <w:r>
        <w:rPr>
          <w:rFonts w:hint="eastAsia"/>
          <w:lang w:val="en-US" w:eastAsia="zh-CN"/>
        </w:rPr>
        <w:t>25</w:t>
      </w:r>
      <w:r>
        <w:rPr>
          <w:rFonts w:hint="eastAsia"/>
        </w:rPr>
        <w:t>日</w:t>
      </w:r>
    </w:p>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第一部分</w:t>
      </w:r>
      <w:r>
        <w:rPr>
          <w:sz w:val="24"/>
        </w:rPr>
        <w:t xml:space="preserve"> </w:t>
      </w:r>
      <w:r>
        <w:rPr>
          <w:rFonts w:hint="eastAsia"/>
          <w:sz w:val="24"/>
        </w:rPr>
        <w:t>单位概况</w:t>
      </w:r>
      <w:r>
        <w:rPr>
          <w:rFonts w:hint="eastAsia"/>
          <w:sz w:val="24"/>
          <w:lang w:val="en-US" w:eastAsia="zh-CN"/>
        </w:rPr>
        <w:t>························4</w:t>
      </w:r>
    </w:p>
    <w:p>
      <w:pPr>
        <w:pStyle w:val="13"/>
        <w:adjustRightInd w:val="0"/>
        <w:snapToGrid w:val="0"/>
        <w:spacing w:line="440" w:lineRule="exact"/>
        <w:jc w:val="left"/>
        <w:rPr>
          <w:rFonts w:hint="default" w:eastAsia="宋体"/>
          <w:sz w:val="24"/>
          <w:lang w:val="en-US" w:eastAsia="zh-CN"/>
        </w:rPr>
      </w:pPr>
      <w:r>
        <w:rPr>
          <w:rFonts w:hint="eastAsia"/>
          <w:sz w:val="24"/>
        </w:rPr>
        <w:t>一、主要职责</w:t>
      </w:r>
      <w:r>
        <w:rPr>
          <w:rFonts w:hint="eastAsia"/>
          <w:sz w:val="24"/>
          <w:lang w:val="en-US" w:eastAsia="zh-CN"/>
        </w:rPr>
        <w:t>·························4</w:t>
      </w:r>
    </w:p>
    <w:p>
      <w:pPr>
        <w:pStyle w:val="13"/>
        <w:adjustRightInd w:val="0"/>
        <w:snapToGrid w:val="0"/>
        <w:spacing w:line="440" w:lineRule="exact"/>
        <w:jc w:val="left"/>
        <w:rPr>
          <w:rFonts w:hint="default" w:eastAsia="宋体"/>
          <w:lang w:val="en-US" w:eastAsia="zh-CN"/>
        </w:rPr>
      </w:pPr>
      <w:r>
        <w:rPr>
          <w:rFonts w:hint="eastAsia"/>
          <w:sz w:val="24"/>
        </w:rPr>
        <w:t>二、机构设置</w:t>
      </w:r>
      <w:r>
        <w:rPr>
          <w:rFonts w:hint="eastAsia"/>
          <w:sz w:val="24"/>
          <w:lang w:val="en-US" w:eastAsia="zh-CN"/>
        </w:rPr>
        <w:t>·························4</w:t>
      </w:r>
    </w:p>
    <w:p>
      <w:pPr>
        <w:pStyle w:val="12"/>
        <w:adjustRightInd w:val="0"/>
        <w:snapToGrid w:val="0"/>
        <w:spacing w:before="0" w:line="440" w:lineRule="exact"/>
        <w:jc w:val="left"/>
        <w:rPr>
          <w:rFonts w:hint="default" w:eastAsia="仿宋"/>
          <w:sz w:val="24"/>
          <w:szCs w:val="24"/>
          <w:lang w:val="en-US" w:eastAsia="zh-CN"/>
        </w:rPr>
      </w:pPr>
      <w:r>
        <w:rPr>
          <w:rFonts w:hint="eastAsia"/>
          <w:sz w:val="24"/>
        </w:rPr>
        <w:t>第二部分 2023年度单位决算情况说明</w:t>
      </w:r>
      <w:r>
        <w:rPr>
          <w:rFonts w:hint="eastAsia"/>
          <w:sz w:val="24"/>
          <w:lang w:val="en-US" w:eastAsia="zh-CN"/>
        </w:rPr>
        <w:t>················4</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一、收入支出决算总体情况说明</w:t>
      </w:r>
      <w:r>
        <w:rPr>
          <w:rFonts w:hint="eastAsia"/>
          <w:sz w:val="24"/>
          <w:lang w:val="en-US" w:eastAsia="zh-CN"/>
        </w:rPr>
        <w:t>·················4</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二、收入决算情况说明</w:t>
      </w:r>
      <w:r>
        <w:rPr>
          <w:rFonts w:hint="eastAsia"/>
          <w:sz w:val="24"/>
          <w:lang w:val="en-US" w:eastAsia="zh-CN"/>
        </w:rPr>
        <w:t>·····················5</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三、支出决算情况说明</w:t>
      </w:r>
      <w:r>
        <w:rPr>
          <w:rFonts w:hint="eastAsia"/>
          <w:sz w:val="24"/>
          <w:lang w:val="en-US" w:eastAsia="zh-CN"/>
        </w:rPr>
        <w:t>·····················6</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四、财政拨款收入支出决算总体情况说明</w:t>
      </w:r>
      <w:r>
        <w:rPr>
          <w:rFonts w:hint="eastAsia"/>
          <w:sz w:val="24"/>
          <w:lang w:val="en-US" w:eastAsia="zh-CN"/>
        </w:rPr>
        <w:t>·············6</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五、一般公共预算财政拨款支出决算情况说明</w:t>
      </w:r>
      <w:r>
        <w:rPr>
          <w:rFonts w:hint="eastAsia"/>
          <w:sz w:val="24"/>
          <w:lang w:val="en-US" w:eastAsia="zh-CN"/>
        </w:rPr>
        <w:t>···········7</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hint="eastAsia"/>
          <w:sz w:val="24"/>
          <w:lang w:val="en-US" w:eastAsia="zh-CN"/>
        </w:rPr>
        <w:t>·········10</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七、财政拨款“三公”经费支出决算情况说明</w:t>
      </w:r>
      <w:r>
        <w:rPr>
          <w:rFonts w:hint="eastAsia"/>
          <w:sz w:val="24"/>
          <w:lang w:val="en-US" w:eastAsia="zh-CN"/>
        </w:rPr>
        <w:t>···········10</w:t>
      </w:r>
      <w:bookmarkStart w:id="99" w:name="_GoBack"/>
      <w:bookmarkEnd w:id="99"/>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hint="eastAsia"/>
          <w:sz w:val="24"/>
          <w:lang w:val="en-US" w:eastAsia="zh-CN"/>
        </w:rPr>
        <w:t>··············13</w:t>
      </w:r>
    </w:p>
    <w:p>
      <w:pPr>
        <w:pStyle w:val="13"/>
        <w:adjustRightInd w:val="0"/>
        <w:snapToGrid w:val="0"/>
        <w:spacing w:line="440" w:lineRule="exact"/>
        <w:jc w:val="left"/>
        <w:rPr>
          <w:rFonts w:hint="default" w:eastAsia="宋体"/>
          <w:sz w:val="24"/>
          <w:lang w:val="en-US" w:eastAsia="zh-CN"/>
        </w:rPr>
      </w:pPr>
      <w:r>
        <w:rPr>
          <w:rFonts w:hint="eastAsia"/>
          <w:sz w:val="24"/>
        </w:rPr>
        <w:t>九、国有资本经营预算支出决算情况说明</w:t>
      </w:r>
      <w:r>
        <w:rPr>
          <w:rFonts w:hint="eastAsia"/>
          <w:sz w:val="24"/>
          <w:lang w:val="en-US" w:eastAsia="zh-CN"/>
        </w:rPr>
        <w:t>·············13</w:t>
      </w:r>
    </w:p>
    <w:p>
      <w:pPr>
        <w:pStyle w:val="13"/>
        <w:adjustRightInd w:val="0"/>
        <w:snapToGrid w:val="0"/>
        <w:spacing w:line="440" w:lineRule="exact"/>
        <w:jc w:val="left"/>
        <w:rPr>
          <w:rFonts w:hint="default" w:eastAsia="宋体"/>
          <w:sz w:val="24"/>
          <w:lang w:val="en-US" w:eastAsia="zh-CN"/>
        </w:rPr>
      </w:pPr>
      <w:r>
        <w:rPr>
          <w:rFonts w:hint="eastAsia"/>
          <w:sz w:val="24"/>
        </w:rPr>
        <w:t>十、其他重要事项的情况说明</w:t>
      </w:r>
      <w:r>
        <w:rPr>
          <w:rFonts w:hint="eastAsia"/>
          <w:sz w:val="24"/>
          <w:lang w:val="en-US" w:eastAsia="zh-CN"/>
        </w:rPr>
        <w:t>··················13</w:t>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hint="eastAsia"/>
          <w:sz w:val="24"/>
          <w:lang w:val="en-US" w:eastAsia="zh-CN"/>
        </w:rPr>
        <w:t>························16</w:t>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hint="eastAsia"/>
          <w:sz w:val="24"/>
          <w:lang w:val="en-US" w:eastAsia="zh-CN"/>
        </w:rPr>
        <w:t>··························19</w:t>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hint="eastAsia"/>
          <w:sz w:val="24"/>
          <w:lang w:val="en-US" w:eastAsia="zh-CN"/>
        </w:rPr>
        <w:t>··························20</w:t>
      </w:r>
    </w:p>
    <w:p>
      <w:pPr>
        <w:pStyle w:val="13"/>
        <w:adjustRightInd w:val="0"/>
        <w:snapToGrid w:val="0"/>
        <w:spacing w:line="440" w:lineRule="exact"/>
        <w:jc w:val="left"/>
        <w:rPr>
          <w:sz w:val="24"/>
        </w:rPr>
      </w:pPr>
      <w:r>
        <w:rPr>
          <w:rFonts w:hint="eastAsia"/>
          <w:sz w:val="24"/>
        </w:rPr>
        <w:t>一、收入支出决算总表</w:t>
      </w:r>
    </w:p>
    <w:p>
      <w:pPr>
        <w:pStyle w:val="13"/>
        <w:adjustRightInd w:val="0"/>
        <w:snapToGrid w:val="0"/>
        <w:spacing w:line="440" w:lineRule="exact"/>
        <w:jc w:val="left"/>
        <w:rPr>
          <w:sz w:val="24"/>
        </w:rPr>
      </w:pPr>
      <w:r>
        <w:rPr>
          <w:rFonts w:hint="eastAsia"/>
          <w:sz w:val="24"/>
        </w:rPr>
        <w:t>二、收入决算表</w:t>
      </w:r>
    </w:p>
    <w:p>
      <w:pPr>
        <w:pStyle w:val="13"/>
        <w:adjustRightInd w:val="0"/>
        <w:snapToGrid w:val="0"/>
        <w:spacing w:line="440" w:lineRule="exact"/>
        <w:jc w:val="left"/>
        <w:rPr>
          <w:sz w:val="24"/>
        </w:rPr>
      </w:pPr>
      <w:r>
        <w:rPr>
          <w:rFonts w:hint="eastAsia"/>
          <w:sz w:val="24"/>
        </w:rPr>
        <w:t>三、支出决算表</w:t>
      </w:r>
    </w:p>
    <w:p>
      <w:pPr>
        <w:pStyle w:val="13"/>
        <w:adjustRightInd w:val="0"/>
        <w:snapToGrid w:val="0"/>
        <w:spacing w:line="440" w:lineRule="exact"/>
        <w:jc w:val="left"/>
        <w:rPr>
          <w:sz w:val="24"/>
        </w:rPr>
      </w:pPr>
      <w:r>
        <w:rPr>
          <w:rFonts w:hint="eastAsia"/>
          <w:sz w:val="24"/>
        </w:rPr>
        <w:t>四、财政拨款收入支出决算总表</w:t>
      </w:r>
    </w:p>
    <w:p>
      <w:pPr>
        <w:pStyle w:val="13"/>
        <w:adjustRightInd w:val="0"/>
        <w:snapToGrid w:val="0"/>
        <w:spacing w:line="440" w:lineRule="exact"/>
        <w:jc w:val="left"/>
        <w:rPr>
          <w:sz w:val="24"/>
        </w:rPr>
      </w:pPr>
      <w:r>
        <w:rPr>
          <w:rFonts w:hint="eastAsia"/>
          <w:sz w:val="24"/>
        </w:rPr>
        <w:t>五、财政拨款支出决算明细表</w:t>
      </w:r>
    </w:p>
    <w:p>
      <w:pPr>
        <w:pStyle w:val="13"/>
        <w:adjustRightInd w:val="0"/>
        <w:snapToGrid w:val="0"/>
        <w:spacing w:line="440" w:lineRule="exact"/>
        <w:jc w:val="left"/>
        <w:rPr>
          <w:sz w:val="24"/>
        </w:rPr>
      </w:pPr>
      <w:r>
        <w:rPr>
          <w:rFonts w:hint="eastAsia"/>
          <w:sz w:val="24"/>
        </w:rPr>
        <w:t>六、一般公共预算财政拨款支出决算表</w:t>
      </w:r>
    </w:p>
    <w:p>
      <w:pPr>
        <w:pStyle w:val="13"/>
        <w:adjustRightInd w:val="0"/>
        <w:snapToGrid w:val="0"/>
        <w:spacing w:line="440" w:lineRule="exact"/>
        <w:jc w:val="left"/>
        <w:rPr>
          <w:sz w:val="24"/>
        </w:rPr>
      </w:pPr>
      <w:r>
        <w:rPr>
          <w:rFonts w:hint="eastAsia"/>
          <w:sz w:val="24"/>
        </w:rPr>
        <w:t>七、一般公共预算财政拨款支出决算明细表</w:t>
      </w:r>
    </w:p>
    <w:p>
      <w:pPr>
        <w:pStyle w:val="13"/>
        <w:adjustRightInd w:val="0"/>
        <w:snapToGrid w:val="0"/>
        <w:spacing w:line="440" w:lineRule="exact"/>
        <w:jc w:val="left"/>
        <w:rPr>
          <w:sz w:val="24"/>
        </w:rPr>
      </w:pPr>
      <w:r>
        <w:rPr>
          <w:rFonts w:hint="eastAsia"/>
          <w:sz w:val="24"/>
        </w:rPr>
        <w:t>八、一般公共预算财政拨款基本支出决算明细表</w:t>
      </w:r>
    </w:p>
    <w:p>
      <w:pPr>
        <w:pStyle w:val="13"/>
        <w:adjustRightInd w:val="0"/>
        <w:snapToGrid w:val="0"/>
        <w:spacing w:line="440" w:lineRule="exact"/>
        <w:jc w:val="left"/>
        <w:rPr>
          <w:sz w:val="24"/>
        </w:rPr>
      </w:pPr>
      <w:r>
        <w:rPr>
          <w:rFonts w:hint="eastAsia"/>
          <w:sz w:val="24"/>
        </w:rPr>
        <w:t>九、一般公共预算财政拨款项目支出决算表</w:t>
      </w:r>
    </w:p>
    <w:p>
      <w:pPr>
        <w:pStyle w:val="13"/>
        <w:adjustRightInd w:val="0"/>
        <w:snapToGrid w:val="0"/>
        <w:spacing w:line="440" w:lineRule="exact"/>
        <w:jc w:val="left"/>
        <w:rPr>
          <w:sz w:val="24"/>
        </w:rPr>
      </w:pPr>
      <w:r>
        <w:rPr>
          <w:rFonts w:hint="eastAsia"/>
          <w:sz w:val="24"/>
        </w:rPr>
        <w:t>十、政府性基金预算财政拨款收入支出决算表</w:t>
      </w:r>
    </w:p>
    <w:p>
      <w:pPr>
        <w:pStyle w:val="13"/>
        <w:adjustRightInd w:val="0"/>
        <w:snapToGrid w:val="0"/>
        <w:spacing w:line="440" w:lineRule="exact"/>
        <w:jc w:val="left"/>
        <w:rPr>
          <w:sz w:val="24"/>
        </w:rPr>
      </w:pPr>
      <w:r>
        <w:rPr>
          <w:rFonts w:hint="eastAsia"/>
          <w:sz w:val="24"/>
        </w:rPr>
        <w:t>十一、国有资本经营预算财政拨款收入支出决算表</w:t>
      </w:r>
    </w:p>
    <w:p>
      <w:pPr>
        <w:pStyle w:val="13"/>
        <w:adjustRightInd w:val="0"/>
        <w:snapToGrid w:val="0"/>
        <w:spacing w:line="440" w:lineRule="exact"/>
        <w:jc w:val="left"/>
        <w:rPr>
          <w:sz w:val="24"/>
        </w:rPr>
      </w:pPr>
      <w:r>
        <w:rPr>
          <w:rFonts w:hint="eastAsia"/>
          <w:sz w:val="24"/>
        </w:rPr>
        <w:t>十二、国有资本经营预算财政拨款支出决算表</w:t>
      </w:r>
    </w:p>
    <w:p>
      <w:pPr>
        <w:pStyle w:val="13"/>
        <w:adjustRightInd w:val="0"/>
        <w:snapToGrid w:val="0"/>
        <w:spacing w:line="440" w:lineRule="exact"/>
        <w:jc w:val="left"/>
        <w:rPr>
          <w:sz w:val="24"/>
        </w:rPr>
      </w:pPr>
      <w:r>
        <w:rPr>
          <w:rFonts w:hint="eastAsia"/>
          <w:sz w:val="24"/>
        </w:rPr>
        <w:t>十三、财政拨款“三公”经费支出决算表</w:t>
      </w:r>
    </w:p>
    <w:p>
      <w:pPr>
        <w:widowControl/>
        <w:spacing w:line="440" w:lineRule="exact"/>
        <w:jc w:val="left"/>
        <w:rPr>
          <w:rFonts w:ascii="仿宋" w:hAnsi="仿宋" w:eastAsia="仿宋"/>
          <w:bCs/>
          <w:kern w:val="44"/>
          <w:sz w:val="24"/>
        </w:rPr>
      </w:pPr>
      <w:bookmarkStart w:id="13" w:name="_Toc15377196"/>
      <w:bookmarkStart w:id="14" w:name="_Toc15396599"/>
      <w:r>
        <w:rPr>
          <w:rFonts w:ascii="仿宋" w:hAnsi="仿宋" w:eastAsia="仿宋"/>
          <w:b/>
          <w:sz w:val="24"/>
        </w:rPr>
        <w:br w:type="page"/>
      </w:r>
    </w:p>
    <w:p>
      <w:pPr>
        <w:pStyle w:val="3"/>
        <w:jc w:val="center"/>
        <w:rPr>
          <w:rFonts w:ascii="黑体" w:eastAsia="黑体"/>
          <w:sz w:val="32"/>
          <w:szCs w:val="32"/>
        </w:rPr>
      </w:pPr>
      <w:r>
        <w:rPr>
          <w:rFonts w:hint="eastAsia" w:ascii="黑体" w:hAnsi="黑体" w:eastAsia="黑体"/>
          <w:b w:val="0"/>
        </w:rPr>
        <w:t>第一部分 单位</w:t>
      </w:r>
      <w:r>
        <w:rPr>
          <w:rStyle w:val="28"/>
          <w:rFonts w:hint="eastAsia" w:ascii="黑体" w:hAnsi="黑体" w:eastAsia="黑体"/>
          <w:b w:val="0"/>
          <w:bCs w:val="0"/>
        </w:rPr>
        <w:t>概况</w:t>
      </w:r>
      <w:bookmarkEnd w:id="13"/>
      <w:bookmarkEnd w:id="14"/>
    </w:p>
    <w:p>
      <w:pPr>
        <w:pStyle w:val="4"/>
        <w:numPr>
          <w:ilvl w:val="0"/>
          <w:numId w:val="1"/>
        </w:numPr>
        <w:rPr>
          <w:rStyle w:val="29"/>
          <w:rFonts w:ascii="黑体" w:hAnsi="黑体" w:eastAsia="黑体"/>
          <w:b w:val="0"/>
          <w:bCs w:val="0"/>
        </w:rPr>
      </w:pPr>
      <w:bookmarkStart w:id="15" w:name="_Toc15377197"/>
      <w:bookmarkStart w:id="16" w:name="_Toc15396600"/>
      <w:r>
        <w:rPr>
          <w:rStyle w:val="29"/>
          <w:rFonts w:hint="eastAsia" w:ascii="黑体" w:hAnsi="黑体" w:eastAsia="黑体"/>
          <w:b w:val="0"/>
          <w:bCs w:val="0"/>
        </w:rPr>
        <w:t>主要职责</w:t>
      </w:r>
    </w:p>
    <w:p>
      <w:pPr>
        <w:spacing w:line="600" w:lineRule="exact"/>
        <w:ind w:firstLine="640" w:firstLineChars="200"/>
      </w:pPr>
      <w:bookmarkStart w:id="17" w:name="OLE_LINK1"/>
      <w:bookmarkStart w:id="18" w:name="OLE_LINK26"/>
      <w:r>
        <w:rPr>
          <w:rFonts w:ascii="仿宋_GB2312" w:hAnsi="仿宋" w:eastAsia="仿宋_GB2312"/>
          <w:sz w:val="32"/>
          <w:szCs w:val="32"/>
        </w:rPr>
        <w:t>负责全区机关事务的管理、保障工作;负责全区行政事业单位国有资产管理，承担产权界定、清查登记、资产处置工作，</w:t>
      </w:r>
      <w:r>
        <w:rPr>
          <w:rFonts w:hint="eastAsia" w:ascii="仿宋_GB2312" w:hAnsi="仿宋" w:eastAsia="仿宋_GB2312"/>
          <w:sz w:val="32"/>
          <w:szCs w:val="32"/>
        </w:rPr>
        <w:t>负责</w:t>
      </w:r>
      <w:r>
        <w:rPr>
          <w:rFonts w:ascii="仿宋_GB2312" w:hAnsi="仿宋" w:eastAsia="仿宋_GB2312"/>
          <w:sz w:val="32"/>
          <w:szCs w:val="32"/>
        </w:rPr>
        <w:t>制定行政事业单位国有资产管理具体规章制度并组织实施;承担全区办公用房和办公区建设的规划编制、项目审核、建设监管、使用调配、维修审核及监督管理;负责全区公务车辆的处置、管理和公共机构节能等工作;负责区本级政务接待工作，并指导各乡镇、各部门的政务接待工作。</w:t>
      </w:r>
      <w:bookmarkEnd w:id="17"/>
    </w:p>
    <w:bookmarkEnd w:id="18"/>
    <w:p>
      <w:pPr>
        <w:pStyle w:val="4"/>
        <w:rPr>
          <w:rFonts w:ascii="黑体" w:hAnsi="黑体" w:eastAsia="黑体"/>
          <w:b w:val="0"/>
        </w:rPr>
      </w:pPr>
      <w:r>
        <w:rPr>
          <w:rFonts w:hint="eastAsia" w:ascii="黑体" w:hAnsi="黑体" w:eastAsia="黑体"/>
          <w:b w:val="0"/>
        </w:rPr>
        <w:t>二、机构设置</w:t>
      </w:r>
    </w:p>
    <w:bookmarkEnd w:id="15"/>
    <w:bookmarkEnd w:id="16"/>
    <w:p>
      <w:pPr>
        <w:ind w:firstLine="640" w:firstLineChars="200"/>
        <w:rPr>
          <w:rFonts w:ascii="仿宋" w:hAnsi="仿宋" w:eastAsia="仿宋"/>
          <w:kern w:val="0"/>
          <w:sz w:val="32"/>
          <w:szCs w:val="32"/>
        </w:rPr>
      </w:pPr>
      <w:bookmarkStart w:id="19" w:name="OLE_LINK2"/>
      <w:r>
        <w:rPr>
          <w:rFonts w:hint="eastAsia" w:ascii="仿宋" w:hAnsi="仿宋" w:eastAsia="仿宋"/>
          <w:sz w:val="32"/>
          <w:szCs w:val="32"/>
        </w:rPr>
        <w:t>区</w:t>
      </w:r>
      <w:r>
        <w:rPr>
          <w:rFonts w:hint="eastAsia" w:ascii="仿宋" w:hAnsi="仿宋" w:eastAsia="仿宋"/>
          <w:sz w:val="32"/>
          <w:szCs w:val="32"/>
          <w:lang w:eastAsia="zh-CN"/>
        </w:rPr>
        <w:t>机关事务中心为区委直属公益一类事业单位，无</w:t>
      </w:r>
      <w:r>
        <w:rPr>
          <w:rFonts w:hint="eastAsia" w:ascii="仿宋" w:hAnsi="仿宋" w:eastAsia="仿宋"/>
          <w:sz w:val="32"/>
          <w:szCs w:val="32"/>
        </w:rPr>
        <w:t>下属二级预算</w:t>
      </w:r>
      <w:r>
        <w:rPr>
          <w:rFonts w:hint="eastAsia" w:ascii="仿宋" w:hAnsi="仿宋" w:eastAsia="仿宋"/>
          <w:sz w:val="32"/>
          <w:szCs w:val="32"/>
          <w:lang w:eastAsia="zh-CN"/>
        </w:rPr>
        <w:t>单位</w:t>
      </w:r>
      <w:r>
        <w:rPr>
          <w:rFonts w:hint="eastAsia" w:ascii="仿宋" w:hAnsi="仿宋" w:eastAsia="仿宋"/>
          <w:sz w:val="32"/>
          <w:szCs w:val="32"/>
        </w:rPr>
        <w:t>。</w:t>
      </w:r>
      <w:r>
        <w:rPr>
          <w:rFonts w:hint="eastAsia" w:ascii="仿宋" w:hAnsi="仿宋" w:eastAsia="仿宋"/>
          <w:sz w:val="32"/>
          <w:szCs w:val="32"/>
          <w:lang w:eastAsia="zh-CN"/>
        </w:rPr>
        <w:t>中心非参公事业编制</w:t>
      </w:r>
      <w:r>
        <w:rPr>
          <w:rFonts w:hint="eastAsia" w:ascii="仿宋" w:hAnsi="仿宋" w:eastAsia="仿宋"/>
          <w:sz w:val="32"/>
          <w:szCs w:val="32"/>
          <w:lang w:val="en-US" w:eastAsia="zh-CN"/>
        </w:rPr>
        <w:t>7名，实有在编在岗人员7名。</w:t>
      </w:r>
      <w:bookmarkEnd w:id="19"/>
    </w:p>
    <w:p>
      <w:pPr>
        <w:pStyle w:val="3"/>
        <w:ind w:right="440"/>
        <w:jc w:val="both"/>
        <w:rPr>
          <w:rStyle w:val="28"/>
          <w:rFonts w:ascii="黑体" w:hAnsi="黑体" w:eastAsia="黑体"/>
          <w:b w:val="0"/>
          <w:bCs/>
        </w:rPr>
      </w:pPr>
      <w:bookmarkStart w:id="20" w:name="_Toc15377204"/>
      <w:bookmarkStart w:id="21" w:name="_Toc15396602"/>
      <w:bookmarkStart w:id="22" w:name="OLE_LINK28"/>
      <w:r>
        <w:rPr>
          <w:rFonts w:hint="eastAsia" w:ascii="黑体" w:hAnsi="黑体" w:eastAsia="黑体"/>
          <w:b w:val="0"/>
        </w:rPr>
        <w:t>第二部分 2023年度</w:t>
      </w:r>
      <w:r>
        <w:rPr>
          <w:rStyle w:val="28"/>
          <w:rFonts w:hint="eastAsia" w:ascii="黑体" w:hAnsi="黑体" w:eastAsia="黑体"/>
          <w:b w:val="0"/>
          <w:bCs/>
        </w:rPr>
        <w:t>单位决算情况说明</w:t>
      </w:r>
      <w:bookmarkEnd w:id="20"/>
      <w:bookmarkEnd w:id="21"/>
    </w:p>
    <w:p/>
    <w:p>
      <w:pPr>
        <w:pStyle w:val="27"/>
        <w:numPr>
          <w:ilvl w:val="0"/>
          <w:numId w:val="2"/>
        </w:numPr>
        <w:spacing w:line="600" w:lineRule="exact"/>
        <w:ind w:firstLineChars="0"/>
        <w:outlineLvl w:val="1"/>
        <w:rPr>
          <w:rStyle w:val="29"/>
          <w:rFonts w:ascii="黑体" w:hAnsi="黑体" w:eastAsia="黑体"/>
          <w:b w:val="0"/>
        </w:rPr>
      </w:pPr>
      <w:bookmarkStart w:id="23" w:name="_Toc15396603"/>
      <w:bookmarkStart w:id="24" w:name="_Toc15377205"/>
      <w:r>
        <w:rPr>
          <w:rFonts w:hint="eastAsia" w:ascii="黑体" w:hAnsi="黑体" w:eastAsia="黑体"/>
          <w:sz w:val="32"/>
          <w:szCs w:val="32"/>
        </w:rPr>
        <w:t>收</w:t>
      </w:r>
      <w:r>
        <w:rPr>
          <w:rStyle w:val="29"/>
          <w:rFonts w:hint="eastAsia" w:ascii="黑体" w:hAnsi="黑体" w:eastAsia="黑体"/>
          <w:b w:val="0"/>
        </w:rPr>
        <w:t>入支出决算总体情况说明</w:t>
      </w:r>
      <w:bookmarkEnd w:id="23"/>
      <w:bookmarkEnd w:id="24"/>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472.78</w:t>
      </w:r>
      <w:r>
        <w:rPr>
          <w:rFonts w:hint="eastAsia" w:ascii="仿宋" w:hAnsi="仿宋" w:eastAsia="仿宋"/>
          <w:sz w:val="32"/>
          <w:szCs w:val="32"/>
        </w:rPr>
        <w:t>万元。</w:t>
      </w:r>
      <w:bookmarkStart w:id="25" w:name="OLE_LINK3"/>
      <w:r>
        <w:rPr>
          <w:rFonts w:hint="eastAsia" w:ascii="仿宋" w:hAnsi="仿宋" w:eastAsia="仿宋"/>
          <w:sz w:val="32"/>
          <w:szCs w:val="32"/>
          <w:lang w:eastAsia="zh-CN"/>
        </w:rPr>
        <w:t>无法</w:t>
      </w:r>
      <w:r>
        <w:rPr>
          <w:rFonts w:hint="eastAsia" w:ascii="仿宋" w:hAnsi="仿宋" w:eastAsia="仿宋"/>
          <w:sz w:val="32"/>
          <w:szCs w:val="32"/>
        </w:rPr>
        <w:t>与2022年度</w:t>
      </w:r>
      <w:r>
        <w:rPr>
          <w:rFonts w:hint="eastAsia" w:ascii="仿宋" w:hAnsi="仿宋" w:eastAsia="仿宋"/>
          <w:sz w:val="32"/>
          <w:szCs w:val="32"/>
          <w:lang w:eastAsia="zh-CN"/>
        </w:rPr>
        <w:t>收、支数据</w:t>
      </w:r>
      <w:r>
        <w:rPr>
          <w:rFonts w:hint="eastAsia" w:ascii="仿宋" w:hAnsi="仿宋" w:eastAsia="仿宋"/>
          <w:sz w:val="32"/>
          <w:szCs w:val="32"/>
        </w:rPr>
        <w:t>相比，主要原因是</w:t>
      </w:r>
      <w:r>
        <w:rPr>
          <w:rFonts w:hint="eastAsia" w:ascii="仿宋" w:hAnsi="仿宋" w:eastAsia="仿宋"/>
          <w:sz w:val="32"/>
          <w:szCs w:val="32"/>
          <w:lang w:val="en-US" w:eastAsia="zh-CN"/>
        </w:rPr>
        <w:t>2022年区机关事务中心与区委办共用一个账套未独立核算，无法取得相关数据</w:t>
      </w:r>
      <w:r>
        <w:rPr>
          <w:rFonts w:hint="eastAsia" w:ascii="仿宋" w:hAnsi="仿宋" w:eastAsia="仿宋"/>
          <w:sz w:val="32"/>
          <w:szCs w:val="32"/>
        </w:rPr>
        <w:t>。</w:t>
      </w:r>
    </w:p>
    <w:bookmarkEnd w:id="25"/>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420" w:firstLineChars="200"/>
        <w:jc w:val="left"/>
        <w:rPr>
          <w:rFonts w:ascii="仿宋_GB2312" w:eastAsia="仿宋_GB2312"/>
          <w:sz w:val="32"/>
          <w:szCs w:val="32"/>
        </w:rPr>
      </w:pPr>
      <w:r>
        <w:rPr>
          <w:rFonts w:hint="eastAsia" w:eastAsia="仿宋_GB2312"/>
        </w:rPr>
        <w:drawing>
          <wp:anchor distT="0" distB="0" distL="114300" distR="114300" simplePos="0" relativeHeight="251659264" behindDoc="1" locked="0" layoutInCell="1" allowOverlap="1">
            <wp:simplePos x="0" y="0"/>
            <wp:positionH relativeFrom="column">
              <wp:posOffset>133350</wp:posOffset>
            </wp:positionH>
            <wp:positionV relativeFrom="paragraph">
              <wp:posOffset>219075</wp:posOffset>
            </wp:positionV>
            <wp:extent cx="4657725" cy="2196465"/>
            <wp:effectExtent l="4445" t="5080" r="5080" b="825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19"/>
        <w:rPr>
          <w:rFonts w:ascii="仿宋_GB2312" w:eastAsia="仿宋_GB2312"/>
          <w:sz w:val="32"/>
          <w:szCs w:val="32"/>
        </w:rPr>
      </w:pPr>
    </w:p>
    <w:p>
      <w:pPr>
        <w:rPr>
          <w:rFonts w:ascii="仿宋_GB2312" w:eastAsia="仿宋_GB2312"/>
          <w:sz w:val="32"/>
          <w:szCs w:val="32"/>
        </w:rPr>
      </w:pPr>
    </w:p>
    <w:p>
      <w:pPr>
        <w:pStyle w:val="19"/>
        <w:rPr>
          <w:rFonts w:ascii="仿宋_GB2312" w:eastAsia="仿宋_GB2312"/>
          <w:sz w:val="32"/>
          <w:szCs w:val="32"/>
        </w:rPr>
      </w:pPr>
    </w:p>
    <w:p>
      <w:pPr>
        <w:pStyle w:val="19"/>
      </w:pPr>
    </w:p>
    <w:p>
      <w:pPr>
        <w:pStyle w:val="27"/>
        <w:numPr>
          <w:ilvl w:val="0"/>
          <w:numId w:val="2"/>
        </w:numPr>
        <w:spacing w:line="600" w:lineRule="exact"/>
        <w:ind w:firstLineChars="0"/>
        <w:outlineLvl w:val="1"/>
        <w:rPr>
          <w:rStyle w:val="29"/>
          <w:rFonts w:ascii="黑体" w:hAnsi="黑体" w:eastAsia="黑体"/>
          <w:b w:val="0"/>
        </w:rPr>
      </w:pPr>
      <w:bookmarkStart w:id="26" w:name="_Toc15396604"/>
      <w:bookmarkStart w:id="27" w:name="_Toc15377206"/>
      <w:r>
        <w:rPr>
          <w:rFonts w:hint="eastAsia" w:ascii="黑体" w:hAnsi="黑体" w:eastAsia="黑体"/>
          <w:sz w:val="32"/>
          <w:szCs w:val="32"/>
        </w:rPr>
        <w:t>收</w:t>
      </w:r>
      <w:r>
        <w:rPr>
          <w:rStyle w:val="29"/>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472.61</w:t>
      </w:r>
      <w:r>
        <w:rPr>
          <w:rFonts w:hint="eastAsia" w:ascii="仿宋" w:hAnsi="仿宋" w:eastAsia="仿宋"/>
          <w:sz w:val="32"/>
          <w:szCs w:val="32"/>
        </w:rPr>
        <w:t>万元，其中：一般公共预算财政拨款收入</w:t>
      </w:r>
      <w:r>
        <w:rPr>
          <w:rFonts w:ascii="仿宋" w:hAnsi="仿宋" w:eastAsia="仿宋"/>
          <w:b/>
          <w:sz w:val="32"/>
          <w:szCs w:val="32"/>
        </w:rPr>
        <w:t>472.55</w:t>
      </w:r>
      <w:r>
        <w:rPr>
          <w:rFonts w:hint="eastAsia" w:ascii="仿宋" w:hAnsi="仿宋" w:eastAsia="仿宋"/>
          <w:sz w:val="32"/>
          <w:szCs w:val="32"/>
        </w:rPr>
        <w:t>万元，占</w:t>
      </w:r>
      <w:r>
        <w:rPr>
          <w:rFonts w:hint="eastAsia" w:ascii="仿宋" w:hAnsi="仿宋" w:eastAsia="仿宋"/>
          <w:b/>
          <w:sz w:val="32"/>
          <w:szCs w:val="32"/>
          <w:lang w:val="en-US" w:eastAsia="zh-CN"/>
        </w:rPr>
        <w:t>100</w:t>
      </w:r>
      <w:r>
        <w:rPr>
          <w:rFonts w:ascii="仿宋" w:hAnsi="仿宋" w:eastAsia="仿宋"/>
          <w:b/>
          <w:sz w:val="32"/>
          <w:szCs w:val="32"/>
        </w:rPr>
        <w:t>%</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0.06</w:t>
      </w:r>
      <w:r>
        <w:rPr>
          <w:rFonts w:hint="eastAsia" w:ascii="仿宋" w:hAnsi="仿宋" w:eastAsia="仿宋"/>
          <w:sz w:val="32"/>
          <w:szCs w:val="32"/>
        </w:rPr>
        <w:t>万元，占</w:t>
      </w:r>
      <w:r>
        <w:rPr>
          <w:rFonts w:hint="eastAsia" w:ascii="仿宋" w:hAnsi="仿宋" w:eastAsia="仿宋"/>
          <w:b/>
          <w:sz w:val="32"/>
          <w:szCs w:val="32"/>
          <w:lang w:val="en-US" w:eastAsia="zh-CN"/>
        </w:rPr>
        <w:t>0</w:t>
      </w:r>
      <w:r>
        <w:rPr>
          <w:rFonts w:ascii="仿宋" w:hAnsi="仿宋" w:eastAsia="仿宋"/>
          <w:sz w:val="32"/>
          <w:szCs w:val="32"/>
        </w:rPr>
        <w:t>%</w:t>
      </w:r>
    </w:p>
    <w:p>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，仅罗列本单位涉及的收入。</w:t>
      </w:r>
      <w:r>
        <w:rPr>
          <w:rFonts w:ascii="仿宋" w:hAnsi="仿宋" w:eastAsia="仿宋"/>
          <w:b/>
          <w:sz w:val="32"/>
          <w:szCs w:val="32"/>
        </w:rPr>
        <w:t>）</w:t>
      </w:r>
    </w:p>
    <w:p>
      <w:pPr>
        <w:spacing w:line="600" w:lineRule="exact"/>
        <w:ind w:firstLine="640" w:firstLineChars="200"/>
        <w:outlineLvl w:val="1"/>
        <w:rPr>
          <w:rFonts w:ascii="仿宋_GB2312" w:eastAsia="仿宋_GB2312"/>
          <w:sz w:val="32"/>
          <w:szCs w:val="32"/>
        </w:rPr>
      </w:pPr>
      <w:r>
        <w:rPr>
          <w:rFonts w:hint="eastAsia" w:ascii="仿宋" w:hAnsi="仿宋" w:eastAsia="仿宋"/>
          <w:sz w:val="32"/>
          <w:szCs w:val="32"/>
        </w:rPr>
        <w:t>（图2：收入决算结构图）（饼状图）</w:t>
      </w:r>
    </w:p>
    <w:p>
      <w:pPr>
        <w:rPr>
          <w:rFonts w:ascii="仿宋_GB2312" w:eastAsia="仿宋_GB2312"/>
          <w:sz w:val="32"/>
          <w:szCs w:val="32"/>
        </w:rPr>
      </w:pPr>
      <w:r>
        <w:rPr>
          <w:rFonts w:hint="eastAsia"/>
        </w:rPr>
        <w:drawing>
          <wp:inline distT="0" distB="0" distL="114300" distR="114300">
            <wp:extent cx="4822825" cy="2054225"/>
            <wp:effectExtent l="4445" t="5080" r="11430" b="1714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19"/>
        <w:rPr>
          <w:rFonts w:ascii="仿宋_GB2312" w:eastAsia="仿宋_GB2312"/>
          <w:sz w:val="32"/>
          <w:szCs w:val="32"/>
        </w:rPr>
      </w:pPr>
    </w:p>
    <w:p/>
    <w:p>
      <w:pPr>
        <w:pStyle w:val="27"/>
        <w:numPr>
          <w:ilvl w:val="0"/>
          <w:numId w:val="2"/>
        </w:numPr>
        <w:spacing w:line="600" w:lineRule="exact"/>
        <w:ind w:firstLineChars="0"/>
        <w:outlineLvl w:val="1"/>
        <w:rPr>
          <w:rStyle w:val="29"/>
          <w:rFonts w:ascii="黑体" w:hAnsi="黑体" w:eastAsia="黑体"/>
          <w:b w:val="0"/>
        </w:rPr>
      </w:pPr>
      <w:bookmarkStart w:id="28" w:name="_Toc15377207"/>
      <w:bookmarkStart w:id="29" w:name="_Toc15396605"/>
      <w:r>
        <w:rPr>
          <w:rFonts w:hint="eastAsia" w:ascii="黑体" w:hAnsi="黑体" w:eastAsia="黑体"/>
          <w:sz w:val="32"/>
          <w:szCs w:val="32"/>
        </w:rPr>
        <w:t>支</w:t>
      </w:r>
      <w:r>
        <w:rPr>
          <w:rStyle w:val="29"/>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472.6</w:t>
      </w:r>
      <w:r>
        <w:rPr>
          <w:rFonts w:hint="eastAsia" w:ascii="仿宋" w:hAnsi="仿宋" w:eastAsia="仿宋"/>
          <w:sz w:val="32"/>
          <w:szCs w:val="32"/>
        </w:rPr>
        <w:t>万元，其中：基本支出</w:t>
      </w:r>
      <w:r>
        <w:rPr>
          <w:rFonts w:ascii="仿宋" w:hAnsi="仿宋" w:eastAsia="仿宋"/>
          <w:b/>
          <w:sz w:val="32"/>
          <w:szCs w:val="32"/>
        </w:rPr>
        <w:t>257.84</w:t>
      </w:r>
      <w:r>
        <w:rPr>
          <w:rFonts w:hint="eastAsia" w:ascii="仿宋" w:hAnsi="仿宋" w:eastAsia="仿宋"/>
          <w:sz w:val="32"/>
          <w:szCs w:val="32"/>
        </w:rPr>
        <w:t>万元，占</w:t>
      </w:r>
      <w:r>
        <w:rPr>
          <w:rFonts w:ascii="仿宋" w:hAnsi="仿宋" w:eastAsia="仿宋"/>
          <w:b/>
          <w:sz w:val="32"/>
          <w:szCs w:val="32"/>
        </w:rPr>
        <w:t>54.</w:t>
      </w:r>
      <w:r>
        <w:rPr>
          <w:rFonts w:hint="eastAsia" w:ascii="仿宋" w:hAnsi="仿宋" w:eastAsia="仿宋"/>
          <w:b/>
          <w:sz w:val="32"/>
          <w:szCs w:val="32"/>
          <w:lang w:val="en-US" w:eastAsia="zh-CN"/>
        </w:rPr>
        <w:t>6</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214.76</w:t>
      </w:r>
      <w:r>
        <w:rPr>
          <w:rFonts w:hint="eastAsia" w:ascii="仿宋" w:hAnsi="仿宋" w:eastAsia="仿宋"/>
          <w:sz w:val="32"/>
          <w:szCs w:val="32"/>
        </w:rPr>
        <w:t>万元，占</w:t>
      </w:r>
      <w:r>
        <w:rPr>
          <w:rFonts w:ascii="仿宋" w:hAnsi="仿宋" w:eastAsia="仿宋"/>
          <w:b/>
          <w:sz w:val="32"/>
          <w:szCs w:val="32"/>
        </w:rPr>
        <w:t>45.4</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3" w:firstLineChars="200"/>
        <w:outlineLvl w:val="1"/>
        <w:rPr>
          <w:rFonts w:ascii="仿宋" w:hAnsi="仿宋" w:eastAsia="仿宋"/>
          <w:sz w:val="32"/>
          <w:szCs w:val="32"/>
          <w:shd w:val="pct10" w:color="auto" w:fill="FFFFFF"/>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表，仅罗列本单位涉及的支出。）</w:t>
      </w:r>
    </w:p>
    <w:p>
      <w:pPr>
        <w:spacing w:line="600" w:lineRule="exact"/>
        <w:ind w:firstLine="640" w:firstLineChars="200"/>
      </w:pPr>
      <w:r>
        <w:rPr>
          <w:rFonts w:hint="eastAsia" w:ascii="仿宋" w:hAnsi="仿宋" w:eastAsia="仿宋"/>
          <w:sz w:val="32"/>
          <w:szCs w:val="32"/>
        </w:rPr>
        <w:t>（图3：支出决算结构图）（饼状图）</w:t>
      </w:r>
    </w:p>
    <w:p>
      <w:r>
        <w:rPr>
          <w:rFonts w:hint="eastAsia" w:ascii="仿宋" w:hAnsi="仿宋" w:eastAsia="仿宋"/>
          <w:sz w:val="32"/>
          <w:szCs w:val="32"/>
        </w:rPr>
        <w:drawing>
          <wp:inline distT="0" distB="0" distL="114300" distR="114300">
            <wp:extent cx="4870450" cy="2225675"/>
            <wp:effectExtent l="4445" t="5080" r="20955" b="171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29"/>
          <w:rFonts w:ascii="黑体" w:hAnsi="黑体" w:eastAsia="黑体"/>
          <w:b w:val="0"/>
        </w:rPr>
      </w:pPr>
      <w:bookmarkStart w:id="30" w:name="_Toc15396606"/>
      <w:bookmarkStart w:id="31" w:name="_Toc15377208"/>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w:t>
      </w:r>
      <w:bookmarkStart w:id="32" w:name="OLE_LINK4"/>
      <w:r>
        <w:rPr>
          <w:rFonts w:hint="eastAsia" w:ascii="仿宋" w:hAnsi="仿宋" w:eastAsia="仿宋"/>
          <w:sz w:val="32"/>
          <w:szCs w:val="32"/>
        </w:rPr>
        <w:t>财政拨款收、支</w:t>
      </w:r>
      <w:bookmarkEnd w:id="32"/>
      <w:r>
        <w:rPr>
          <w:rFonts w:hint="eastAsia" w:ascii="仿宋" w:hAnsi="仿宋" w:eastAsia="仿宋"/>
          <w:sz w:val="32"/>
          <w:szCs w:val="32"/>
        </w:rPr>
        <w:t>总计均为</w:t>
      </w:r>
      <w:r>
        <w:rPr>
          <w:rFonts w:ascii="仿宋" w:hAnsi="仿宋" w:eastAsia="仿宋"/>
          <w:b/>
          <w:sz w:val="32"/>
          <w:szCs w:val="32"/>
        </w:rPr>
        <w:t>472.55</w:t>
      </w:r>
      <w:r>
        <w:rPr>
          <w:rFonts w:hint="eastAsia" w:ascii="仿宋" w:hAnsi="仿宋" w:eastAsia="仿宋"/>
          <w:sz w:val="32"/>
          <w:szCs w:val="32"/>
        </w:rPr>
        <w:t>万元。</w:t>
      </w:r>
      <w:bookmarkStart w:id="33" w:name="OLE_LINK5"/>
      <w:r>
        <w:rPr>
          <w:rFonts w:hint="eastAsia" w:ascii="仿宋" w:hAnsi="仿宋" w:eastAsia="仿宋"/>
          <w:sz w:val="32"/>
          <w:szCs w:val="32"/>
          <w:lang w:eastAsia="zh-CN"/>
        </w:rPr>
        <w:t>无法</w:t>
      </w:r>
      <w:r>
        <w:rPr>
          <w:rFonts w:hint="eastAsia" w:ascii="仿宋" w:hAnsi="仿宋" w:eastAsia="仿宋"/>
          <w:sz w:val="32"/>
          <w:szCs w:val="32"/>
        </w:rPr>
        <w:t>与2022年度财政拨款收、支</w:t>
      </w:r>
      <w:r>
        <w:rPr>
          <w:rFonts w:hint="eastAsia" w:ascii="仿宋" w:hAnsi="仿宋" w:eastAsia="仿宋"/>
          <w:sz w:val="32"/>
          <w:szCs w:val="32"/>
          <w:lang w:eastAsia="zh-CN"/>
        </w:rPr>
        <w:t>数据</w:t>
      </w:r>
      <w:r>
        <w:rPr>
          <w:rFonts w:hint="eastAsia" w:ascii="仿宋" w:hAnsi="仿宋" w:eastAsia="仿宋"/>
          <w:sz w:val="32"/>
          <w:szCs w:val="32"/>
        </w:rPr>
        <w:t>相比，主要原因是</w:t>
      </w:r>
      <w:r>
        <w:rPr>
          <w:rFonts w:hint="eastAsia" w:ascii="仿宋" w:hAnsi="仿宋" w:eastAsia="仿宋"/>
          <w:sz w:val="32"/>
          <w:szCs w:val="32"/>
          <w:lang w:val="en-US" w:eastAsia="zh-CN"/>
        </w:rPr>
        <w:t>2022年区机关事务中心与区委办共用一个账套未独立核算，无法取得相关数据</w:t>
      </w:r>
      <w:r>
        <w:rPr>
          <w:rFonts w:hint="eastAsia" w:ascii="仿宋" w:hAnsi="仿宋" w:eastAsia="仿宋"/>
          <w:sz w:val="32"/>
          <w:szCs w:val="32"/>
        </w:rPr>
        <w:t>。</w:t>
      </w:r>
    </w:p>
    <w:bookmarkEnd w:id="33"/>
    <w:p>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pPr>
        <w:spacing w:line="600" w:lineRule="exact"/>
        <w:rPr>
          <w:rFonts w:ascii="仿宋" w:hAnsi="仿宋" w:eastAsia="仿宋"/>
          <w:sz w:val="32"/>
          <w:szCs w:val="32"/>
        </w:rPr>
      </w:pPr>
    </w:p>
    <w:p>
      <w:pPr>
        <w:spacing w:line="600" w:lineRule="exact"/>
        <w:ind w:firstLine="640" w:firstLineChars="200"/>
        <w:rPr>
          <w:rFonts w:ascii="仿宋" w:hAnsi="仿宋" w:eastAsia="仿宋"/>
          <w:b/>
          <w:sz w:val="32"/>
          <w:szCs w:val="32"/>
        </w:rPr>
      </w:pPr>
      <w:r>
        <w:rPr>
          <w:rFonts w:hint="eastAsia" w:ascii="仿宋" w:hAnsi="仿宋" w:eastAsia="仿宋"/>
          <w:sz w:val="32"/>
          <w:szCs w:val="32"/>
        </w:rPr>
        <w:t>（图4：财政拨款收、支决算总计变动情况）（柱状图）</w:t>
      </w:r>
    </w:p>
    <w:p>
      <w:pPr>
        <w:pStyle w:val="19"/>
      </w:pPr>
      <w:r>
        <w:rPr>
          <w:rFonts w:hint="eastAsia"/>
        </w:rPr>
        <w:drawing>
          <wp:inline distT="0" distB="0" distL="114300" distR="114300">
            <wp:extent cx="4657725" cy="1805305"/>
            <wp:effectExtent l="4445" t="5080" r="5080" b="1841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9"/>
          <w:rFonts w:ascii="黑体" w:hAnsi="黑体" w:eastAsia="黑体"/>
          <w:b w:val="0"/>
        </w:rPr>
      </w:pPr>
      <w:bookmarkStart w:id="34" w:name="_Toc15377209"/>
      <w:bookmarkStart w:id="35" w:name="_Toc15396607"/>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34"/>
      <w:bookmarkEnd w:id="35"/>
    </w:p>
    <w:p>
      <w:pPr>
        <w:spacing w:line="600" w:lineRule="exact"/>
        <w:ind w:firstLine="643" w:firstLineChars="200"/>
        <w:outlineLvl w:val="2"/>
        <w:rPr>
          <w:rFonts w:ascii="仿宋" w:hAnsi="仿宋" w:eastAsia="仿宋"/>
          <w:b/>
          <w:sz w:val="32"/>
          <w:szCs w:val="32"/>
        </w:rPr>
      </w:pPr>
      <w:bookmarkStart w:id="36" w:name="_Toc15377210"/>
      <w:r>
        <w:rPr>
          <w:rFonts w:hint="eastAsia" w:ascii="仿宋" w:hAnsi="仿宋" w:eastAsia="仿宋"/>
          <w:b/>
          <w:sz w:val="32"/>
          <w:szCs w:val="32"/>
        </w:rPr>
        <w:t>（一）一般公共预算财政拨款支出决算总体情况</w:t>
      </w:r>
      <w:bookmarkEnd w:id="36"/>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w:t>
      </w:r>
      <w:bookmarkStart w:id="37" w:name="OLE_LINK6"/>
      <w:r>
        <w:rPr>
          <w:rFonts w:hint="eastAsia" w:ascii="仿宋" w:hAnsi="仿宋" w:eastAsia="仿宋"/>
          <w:sz w:val="32"/>
          <w:szCs w:val="32"/>
        </w:rPr>
        <w:t>一般公共预算财政拨款</w:t>
      </w:r>
      <w:bookmarkEnd w:id="37"/>
      <w:r>
        <w:rPr>
          <w:rFonts w:hint="eastAsia" w:ascii="仿宋" w:hAnsi="仿宋" w:eastAsia="仿宋"/>
          <w:sz w:val="32"/>
          <w:szCs w:val="32"/>
        </w:rPr>
        <w:t>支出</w:t>
      </w:r>
      <w:r>
        <w:rPr>
          <w:rFonts w:ascii="仿宋" w:hAnsi="仿宋" w:eastAsia="仿宋"/>
          <w:b/>
          <w:sz w:val="32"/>
          <w:szCs w:val="32"/>
        </w:rPr>
        <w:t>472.55</w:t>
      </w:r>
      <w:r>
        <w:rPr>
          <w:rFonts w:hint="eastAsia" w:ascii="仿宋" w:hAnsi="仿宋" w:eastAsia="仿宋"/>
          <w:sz w:val="32"/>
          <w:szCs w:val="32"/>
        </w:rPr>
        <w:t>万元，占本年支出合计的</w:t>
      </w:r>
      <w:r>
        <w:rPr>
          <w:rFonts w:hint="eastAsia" w:ascii="仿宋" w:hAnsi="仿宋" w:eastAsia="仿宋"/>
          <w:b/>
          <w:sz w:val="32"/>
          <w:szCs w:val="32"/>
          <w:lang w:val="en-US" w:eastAsia="zh-CN"/>
        </w:rPr>
        <w:t>100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eastAsia="zh-CN"/>
        </w:rPr>
        <w:t>无法</w:t>
      </w:r>
      <w:r>
        <w:rPr>
          <w:rFonts w:hint="eastAsia" w:ascii="仿宋" w:hAnsi="仿宋" w:eastAsia="仿宋"/>
          <w:sz w:val="32"/>
          <w:szCs w:val="32"/>
        </w:rPr>
        <w:t>与2022年度一般公共预算财政拨款</w:t>
      </w:r>
      <w:r>
        <w:rPr>
          <w:rFonts w:hint="eastAsia" w:ascii="仿宋" w:hAnsi="仿宋" w:eastAsia="仿宋"/>
          <w:sz w:val="32"/>
          <w:szCs w:val="32"/>
          <w:lang w:eastAsia="zh-CN"/>
        </w:rPr>
        <w:t>支出数据</w:t>
      </w:r>
      <w:r>
        <w:rPr>
          <w:rFonts w:hint="eastAsia" w:ascii="仿宋" w:hAnsi="仿宋" w:eastAsia="仿宋"/>
          <w:sz w:val="32"/>
          <w:szCs w:val="32"/>
        </w:rPr>
        <w:t>相比，主要原因是</w:t>
      </w:r>
      <w:r>
        <w:rPr>
          <w:rFonts w:hint="eastAsia" w:ascii="仿宋" w:hAnsi="仿宋" w:eastAsia="仿宋"/>
          <w:sz w:val="32"/>
          <w:szCs w:val="32"/>
          <w:lang w:val="en-US" w:eastAsia="zh-CN"/>
        </w:rPr>
        <w:t>2022年区机关事务中心与区委办共用一个账套未独立核算，无法取得相关数据</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r>
        <w:rPr>
          <w:rFonts w:hint="eastAsia"/>
        </w:rPr>
        <w:drawing>
          <wp:inline distT="0" distB="0" distL="114300" distR="114300">
            <wp:extent cx="4657725" cy="1517650"/>
            <wp:effectExtent l="4445" t="5080" r="5080" b="2032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3" w:firstLineChars="200"/>
        <w:outlineLvl w:val="2"/>
        <w:rPr>
          <w:rFonts w:ascii="仿宋" w:hAnsi="仿宋" w:eastAsia="仿宋"/>
          <w:b/>
          <w:sz w:val="32"/>
          <w:szCs w:val="32"/>
        </w:rPr>
      </w:pPr>
      <w:bookmarkStart w:id="38" w:name="_Toc15377211"/>
      <w:r>
        <w:rPr>
          <w:rFonts w:hint="eastAsia" w:ascii="仿宋" w:hAnsi="仿宋" w:eastAsia="仿宋"/>
          <w:b/>
          <w:sz w:val="32"/>
          <w:szCs w:val="32"/>
        </w:rPr>
        <w:t>（二）一般公共预算财政拨款支出决算结构情况</w:t>
      </w:r>
      <w:bookmarkEnd w:id="38"/>
    </w:p>
    <w:p>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472.55</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417.98</w:t>
      </w:r>
      <w:r>
        <w:rPr>
          <w:rFonts w:hint="eastAsia" w:ascii="仿宋" w:hAnsi="仿宋" w:eastAsia="仿宋"/>
          <w:sz w:val="32"/>
          <w:szCs w:val="32"/>
        </w:rPr>
        <w:t>万元，占</w:t>
      </w:r>
      <w:r>
        <w:rPr>
          <w:rFonts w:hint="eastAsia" w:ascii="仿宋" w:hAnsi="仿宋" w:eastAsia="仿宋"/>
          <w:sz w:val="32"/>
          <w:szCs w:val="32"/>
          <w:lang w:val="en-US" w:eastAsia="zh-CN"/>
        </w:rPr>
        <w:t>88.5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40.37</w:t>
      </w:r>
      <w:r>
        <w:rPr>
          <w:rFonts w:hint="eastAsia" w:ascii="仿宋" w:hAnsi="仿宋" w:eastAsia="仿宋"/>
          <w:sz w:val="32"/>
          <w:szCs w:val="32"/>
        </w:rPr>
        <w:t>万元，占</w:t>
      </w:r>
      <w:r>
        <w:rPr>
          <w:rFonts w:hint="eastAsia" w:ascii="仿宋" w:hAnsi="仿宋" w:eastAsia="仿宋"/>
          <w:sz w:val="32"/>
          <w:szCs w:val="32"/>
          <w:lang w:val="en-US" w:eastAsia="zh-CN"/>
        </w:rPr>
        <w:t>8.5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3.62</w:t>
      </w:r>
      <w:r>
        <w:rPr>
          <w:rFonts w:hint="eastAsia" w:ascii="仿宋" w:hAnsi="仿宋" w:eastAsia="仿宋"/>
          <w:sz w:val="32"/>
          <w:szCs w:val="32"/>
        </w:rPr>
        <w:t>万元，占</w:t>
      </w:r>
      <w:r>
        <w:rPr>
          <w:rFonts w:hint="eastAsia" w:ascii="仿宋" w:hAnsi="仿宋" w:eastAsia="仿宋"/>
          <w:sz w:val="32"/>
          <w:szCs w:val="32"/>
          <w:lang w:val="en-US" w:eastAsia="zh-CN"/>
        </w:rPr>
        <w:t>0.8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10.59</w:t>
      </w:r>
      <w:r>
        <w:rPr>
          <w:rFonts w:hint="eastAsia" w:ascii="仿宋" w:hAnsi="仿宋" w:eastAsia="仿宋"/>
          <w:sz w:val="32"/>
          <w:szCs w:val="32"/>
        </w:rPr>
        <w:t>万元，占</w:t>
      </w:r>
      <w:r>
        <w:rPr>
          <w:rFonts w:hint="eastAsia" w:ascii="仿宋" w:hAnsi="仿宋" w:eastAsia="仿宋"/>
          <w:sz w:val="32"/>
          <w:szCs w:val="32"/>
          <w:lang w:val="en-US" w:eastAsia="zh-CN"/>
        </w:rPr>
        <w:t>2.2</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sz w:val="32"/>
          <w:szCs w:val="32"/>
        </w:rPr>
      </w:pPr>
      <w:r>
        <w:rPr>
          <w:rFonts w:hint="eastAsia" w:ascii="仿宋" w:hAnsi="仿宋" w:eastAsia="仿宋"/>
          <w:b/>
          <w:sz w:val="32"/>
          <w:szCs w:val="32"/>
        </w:rPr>
        <w:t>（注：数据来源于财决01-1表，仅罗列本单位涉及的全部功能分类科目，至类级。）</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pStyle w:val="19"/>
      </w:pPr>
      <w:r>
        <w:rPr>
          <w:rFonts w:hint="eastAsia" w:ascii="仿宋" w:hAnsi="仿宋" w:eastAsia="仿宋"/>
          <w:sz w:val="32"/>
          <w:szCs w:val="32"/>
        </w:rPr>
        <w:drawing>
          <wp:inline distT="0" distB="0" distL="114300" distR="114300">
            <wp:extent cx="4793615" cy="2249805"/>
            <wp:effectExtent l="4445" t="4445" r="21590" b="1270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outlineLvl w:val="2"/>
        <w:rPr>
          <w:rFonts w:ascii="仿宋" w:hAnsi="仿宋" w:eastAsia="仿宋"/>
          <w:b/>
          <w:sz w:val="32"/>
          <w:szCs w:val="32"/>
        </w:rPr>
      </w:pPr>
      <w:bookmarkStart w:id="39" w:name="_Toc15377212"/>
      <w:r>
        <w:rPr>
          <w:rFonts w:hint="eastAsia" w:ascii="仿宋" w:hAnsi="仿宋" w:eastAsia="仿宋"/>
          <w:b/>
          <w:sz w:val="32"/>
          <w:szCs w:val="32"/>
        </w:rPr>
        <w:t>（三）一般公共预算财政拨款支出决算具体情况</w:t>
      </w:r>
      <w:bookmarkEnd w:id="39"/>
    </w:p>
    <w:p>
      <w:pPr>
        <w:spacing w:line="600" w:lineRule="exact"/>
        <w:ind w:firstLine="643" w:firstLineChars="200"/>
        <w:outlineLvl w:val="2"/>
        <w:rPr>
          <w:rFonts w:ascii="仿宋" w:hAnsi="仿宋" w:eastAsia="仿宋"/>
          <w:sz w:val="32"/>
          <w:szCs w:val="32"/>
        </w:rPr>
      </w:pPr>
      <w:bookmarkStart w:id="40" w:name="_Toc15378460"/>
      <w:bookmarkStart w:id="41" w:name="_Toc15377213"/>
      <w:bookmarkStart w:id="42" w:name="_Toc15377444"/>
      <w:r>
        <w:rPr>
          <w:rFonts w:hint="eastAsia" w:ascii="仿宋" w:hAnsi="仿宋" w:eastAsia="仿宋"/>
          <w:b/>
          <w:sz w:val="32"/>
          <w:szCs w:val="32"/>
        </w:rPr>
        <w:t>2023年度一般公共预算支出决算数为</w:t>
      </w:r>
      <w:r>
        <w:rPr>
          <w:rFonts w:ascii="仿宋" w:hAnsi="仿宋" w:eastAsia="仿宋"/>
          <w:b/>
          <w:sz w:val="32"/>
          <w:szCs w:val="32"/>
        </w:rPr>
        <w:t>472.55</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hint="eastAsia" w:ascii="仿宋" w:hAnsi="仿宋" w:eastAsia="仿宋"/>
          <w:bCs/>
          <w:sz w:val="32"/>
          <w:szCs w:val="32"/>
          <w:lang w:val="en-US" w:eastAsia="zh-CN"/>
        </w:rPr>
        <w:t>100</w:t>
      </w:r>
      <w:r>
        <w:rPr>
          <w:rStyle w:val="17"/>
          <w:rFonts w:ascii="仿宋" w:hAnsi="仿宋" w:eastAsia="仿宋"/>
          <w:bCs/>
          <w:sz w:val="32"/>
          <w:szCs w:val="32"/>
        </w:rPr>
        <w:t>%</w:t>
      </w:r>
      <w:r>
        <w:rPr>
          <w:rStyle w:val="17"/>
          <w:rFonts w:hint="eastAsia" w:ascii="仿宋" w:hAnsi="仿宋" w:eastAsia="仿宋"/>
          <w:bCs/>
          <w:sz w:val="32"/>
          <w:szCs w:val="32"/>
        </w:rPr>
        <w:t>。其中：</w:t>
      </w:r>
      <w:bookmarkEnd w:id="40"/>
      <w:bookmarkEnd w:id="41"/>
      <w:bookmarkEnd w:id="42"/>
    </w:p>
    <w:p>
      <w:pPr>
        <w:spacing w:line="600" w:lineRule="exact"/>
        <w:ind w:firstLine="643" w:firstLineChars="200"/>
        <w:rPr>
          <w:rStyle w:val="17"/>
          <w:rFonts w:hint="eastAsia" w:ascii="仿宋" w:hAnsi="仿宋" w:eastAsia="仿宋"/>
          <w:b w:val="0"/>
          <w:bCs/>
          <w:sz w:val="32"/>
          <w:szCs w:val="32"/>
          <w:lang w:eastAsia="zh-CN"/>
        </w:rPr>
      </w:pPr>
      <w:bookmarkStart w:id="43" w:name="OLE_LINK16"/>
      <w:r>
        <w:rPr>
          <w:rStyle w:val="17"/>
          <w:rFonts w:hint="eastAsia" w:ascii="仿宋" w:hAnsi="仿宋" w:eastAsia="仿宋"/>
          <w:bCs/>
          <w:sz w:val="32"/>
          <w:szCs w:val="32"/>
          <w:lang w:val="en-US" w:eastAsia="zh-CN"/>
        </w:rPr>
        <w:t>1.</w:t>
      </w:r>
      <w:r>
        <w:rPr>
          <w:rStyle w:val="17"/>
          <w:rFonts w:hint="eastAsia" w:ascii="仿宋" w:hAnsi="仿宋" w:eastAsia="仿宋"/>
          <w:bCs/>
          <w:sz w:val="32"/>
          <w:szCs w:val="32"/>
        </w:rPr>
        <w:t>一般公共服务（类）</w:t>
      </w:r>
      <w:r>
        <w:rPr>
          <w:rStyle w:val="17"/>
          <w:rFonts w:hint="eastAsia" w:ascii="仿宋" w:hAnsi="仿宋" w:eastAsia="仿宋" w:cstheme="minorBidi"/>
          <w:bCs/>
          <w:sz w:val="32"/>
          <w:szCs w:val="32"/>
        </w:rPr>
        <w:t>党委办公厅（室）及相关机构事务（款）</w:t>
      </w:r>
      <w:r>
        <w:rPr>
          <w:rStyle w:val="17"/>
          <w:rFonts w:hint="eastAsia" w:ascii="仿宋" w:hAnsi="仿宋" w:eastAsia="仿宋" w:cstheme="minorBidi"/>
          <w:bCs/>
          <w:sz w:val="32"/>
          <w:szCs w:val="32"/>
          <w:lang w:val="en-US" w:eastAsia="zh-CN"/>
        </w:rPr>
        <w:t>机关服务</w:t>
      </w:r>
      <w:r>
        <w:rPr>
          <w:rStyle w:val="17"/>
          <w:rFonts w:hint="eastAsia" w:ascii="仿宋" w:hAnsi="仿宋" w:eastAsia="仿宋" w:cstheme="minorBidi"/>
          <w:bCs/>
          <w:sz w:val="32"/>
          <w:szCs w:val="32"/>
        </w:rPr>
        <w:t>（项）</w:t>
      </w:r>
      <w:r>
        <w:rPr>
          <w:rStyle w:val="17"/>
          <w:rFonts w:ascii="仿宋" w:hAnsi="仿宋" w:eastAsia="仿宋"/>
          <w:bCs/>
          <w:sz w:val="32"/>
          <w:szCs w:val="32"/>
        </w:rPr>
        <w:t>:</w:t>
      </w:r>
      <w:r>
        <w:rPr>
          <w:rStyle w:val="17"/>
          <w:rFonts w:ascii="仿宋" w:hAnsi="仿宋" w:eastAsia="仿宋"/>
          <w:b w:val="0"/>
          <w:bCs/>
          <w:sz w:val="32"/>
          <w:szCs w:val="32"/>
        </w:rPr>
        <w:t xml:space="preserve"> </w:t>
      </w:r>
      <w:bookmarkStart w:id="44" w:name="OLE_LINK7"/>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164.25</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，决算数等于预算数的主要原因是合理规划年初预算并严格执行</w:t>
      </w:r>
      <w:r>
        <w:rPr>
          <w:rStyle w:val="17"/>
          <w:rFonts w:hint="eastAsia" w:ascii="仿宋" w:hAnsi="仿宋" w:eastAsia="仿宋"/>
          <w:b w:val="0"/>
          <w:bCs/>
          <w:sz w:val="32"/>
          <w:szCs w:val="32"/>
          <w:lang w:eastAsia="zh-CN"/>
        </w:rPr>
        <w:t>。</w:t>
      </w:r>
    </w:p>
    <w:bookmarkEnd w:id="44"/>
    <w:p>
      <w:pPr>
        <w:spacing w:line="600" w:lineRule="exact"/>
        <w:ind w:firstLine="643" w:firstLineChars="200"/>
      </w:pPr>
      <w:r>
        <w:rPr>
          <w:rStyle w:val="17"/>
          <w:rFonts w:hint="eastAsia" w:ascii="仿宋" w:hAnsi="仿宋" w:eastAsia="仿宋"/>
          <w:bCs/>
          <w:sz w:val="32"/>
          <w:szCs w:val="32"/>
          <w:lang w:val="en-US" w:eastAsia="zh-CN"/>
        </w:rPr>
        <w:t>2.</w:t>
      </w:r>
      <w:r>
        <w:rPr>
          <w:rStyle w:val="17"/>
          <w:rFonts w:hint="eastAsia" w:ascii="仿宋" w:hAnsi="仿宋" w:eastAsia="仿宋"/>
          <w:bCs/>
          <w:sz w:val="32"/>
          <w:szCs w:val="32"/>
        </w:rPr>
        <w:t>一般公共服务（类）</w:t>
      </w:r>
      <w:r>
        <w:rPr>
          <w:rStyle w:val="17"/>
          <w:rFonts w:hint="eastAsia" w:ascii="仿宋" w:hAnsi="仿宋" w:eastAsia="仿宋" w:cstheme="minorBidi"/>
          <w:bCs/>
          <w:sz w:val="32"/>
          <w:szCs w:val="32"/>
        </w:rPr>
        <w:t>党委办公厅（室）及相关机构事务（款）</w:t>
      </w:r>
      <w:r>
        <w:rPr>
          <w:rStyle w:val="17"/>
          <w:rFonts w:hint="eastAsia" w:ascii="仿宋" w:hAnsi="仿宋" w:eastAsia="仿宋" w:cstheme="minorBidi"/>
          <w:bCs/>
          <w:sz w:val="32"/>
          <w:szCs w:val="32"/>
          <w:lang w:val="en-US" w:eastAsia="zh-CN"/>
        </w:rPr>
        <w:t>事业运行</w:t>
      </w:r>
      <w:r>
        <w:rPr>
          <w:rStyle w:val="17"/>
          <w:rFonts w:hint="eastAsia" w:ascii="仿宋" w:hAnsi="仿宋" w:eastAsia="仿宋" w:cstheme="minorBidi"/>
          <w:bCs/>
          <w:sz w:val="32"/>
          <w:szCs w:val="32"/>
        </w:rPr>
        <w:t>（项）</w:t>
      </w:r>
      <w:r>
        <w:rPr>
          <w:rStyle w:val="17"/>
          <w:rFonts w:ascii="仿宋" w:hAnsi="仿宋" w:eastAsia="仿宋"/>
          <w:bCs/>
          <w:sz w:val="32"/>
          <w:szCs w:val="32"/>
        </w:rPr>
        <w:t>:</w:t>
      </w:r>
      <w:bookmarkStart w:id="45" w:name="OLE_LINK8"/>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203.21</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，决算数等于预算数的主要原因是合理规划年初预算并严格执行</w:t>
      </w:r>
      <w:r>
        <w:rPr>
          <w:rStyle w:val="17"/>
          <w:rFonts w:hint="eastAsia" w:ascii="仿宋" w:hAnsi="仿宋" w:eastAsia="仿宋"/>
          <w:b w:val="0"/>
          <w:bCs/>
          <w:sz w:val="32"/>
          <w:szCs w:val="32"/>
          <w:lang w:eastAsia="zh-CN"/>
        </w:rPr>
        <w:t>。</w:t>
      </w:r>
    </w:p>
    <w:bookmarkEnd w:id="45"/>
    <w:p>
      <w:pPr>
        <w:spacing w:line="600" w:lineRule="exact"/>
        <w:ind w:firstLine="643" w:firstLineChars="200"/>
      </w:pPr>
      <w:r>
        <w:rPr>
          <w:rStyle w:val="17"/>
          <w:rFonts w:hint="eastAsia" w:ascii="仿宋" w:hAnsi="仿宋" w:eastAsia="仿宋"/>
          <w:bCs/>
          <w:sz w:val="32"/>
          <w:szCs w:val="32"/>
          <w:lang w:val="en-US" w:eastAsia="zh-CN"/>
        </w:rPr>
        <w:t>3.</w:t>
      </w:r>
      <w:r>
        <w:rPr>
          <w:rStyle w:val="17"/>
          <w:rFonts w:hint="eastAsia" w:ascii="仿宋" w:hAnsi="仿宋" w:eastAsia="仿宋"/>
          <w:bCs/>
          <w:sz w:val="32"/>
          <w:szCs w:val="32"/>
        </w:rPr>
        <w:t>一般公共服务（类）</w:t>
      </w:r>
      <w:r>
        <w:rPr>
          <w:rStyle w:val="17"/>
          <w:rFonts w:hint="eastAsia" w:ascii="仿宋" w:hAnsi="仿宋" w:eastAsia="仿宋" w:cstheme="minorBidi"/>
          <w:bCs/>
          <w:sz w:val="32"/>
          <w:szCs w:val="32"/>
        </w:rPr>
        <w:t>党委办公厅（室）及相关机构事务（款）</w:t>
      </w:r>
      <w:r>
        <w:rPr>
          <w:rStyle w:val="17"/>
          <w:rFonts w:hint="eastAsia" w:ascii="仿宋" w:hAnsi="仿宋" w:eastAsia="仿宋" w:cstheme="minorBidi"/>
          <w:bCs/>
          <w:sz w:val="32"/>
          <w:szCs w:val="32"/>
          <w:lang w:val="en-US" w:eastAsia="zh-CN"/>
        </w:rPr>
        <w:t>其他</w:t>
      </w:r>
      <w:r>
        <w:rPr>
          <w:rStyle w:val="17"/>
          <w:rFonts w:hint="eastAsia" w:ascii="仿宋" w:hAnsi="仿宋" w:eastAsia="仿宋" w:cstheme="minorBidi"/>
          <w:bCs/>
          <w:sz w:val="32"/>
          <w:szCs w:val="32"/>
        </w:rPr>
        <w:t>党委办公厅（室）及相关机构事务</w:t>
      </w:r>
      <w:r>
        <w:rPr>
          <w:rStyle w:val="17"/>
          <w:rFonts w:hint="eastAsia" w:ascii="仿宋" w:hAnsi="仿宋" w:eastAsia="仿宋" w:cstheme="minorBidi"/>
          <w:bCs/>
          <w:sz w:val="32"/>
          <w:szCs w:val="32"/>
          <w:lang w:eastAsia="zh-CN"/>
        </w:rPr>
        <w:t>支出</w:t>
      </w:r>
      <w:r>
        <w:rPr>
          <w:rStyle w:val="17"/>
          <w:rFonts w:hint="eastAsia" w:ascii="仿宋" w:hAnsi="仿宋" w:eastAsia="仿宋" w:cstheme="minorBidi"/>
          <w:bCs/>
          <w:sz w:val="32"/>
          <w:szCs w:val="32"/>
        </w:rPr>
        <w:t>（项）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50.52</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，决算数等于预算数的主要原因是合理规划年初预算并严格执行</w:t>
      </w:r>
      <w:r>
        <w:rPr>
          <w:rStyle w:val="17"/>
          <w:rFonts w:hint="eastAsia" w:ascii="仿宋" w:hAnsi="仿宋" w:eastAsia="仿宋"/>
          <w:b w:val="0"/>
          <w:bCs/>
          <w:sz w:val="32"/>
          <w:szCs w:val="32"/>
          <w:lang w:eastAsia="zh-CN"/>
        </w:rPr>
        <w:t>。</w:t>
      </w:r>
    </w:p>
    <w:p>
      <w:pPr>
        <w:spacing w:line="600" w:lineRule="exact"/>
        <w:ind w:firstLine="803" w:firstLineChars="250"/>
        <w:rPr>
          <w:rStyle w:val="17"/>
          <w:rFonts w:hint="eastAsia" w:ascii="仿宋" w:hAnsi="仿宋" w:eastAsia="仿宋"/>
          <w:b w:val="0"/>
          <w:bCs/>
          <w:sz w:val="32"/>
          <w:szCs w:val="32"/>
        </w:rPr>
      </w:pPr>
      <w:r>
        <w:rPr>
          <w:rStyle w:val="17"/>
          <w:rFonts w:hint="eastAsia" w:ascii="仿宋" w:hAnsi="仿宋" w:eastAsia="仿宋"/>
          <w:bCs/>
          <w:sz w:val="32"/>
          <w:szCs w:val="32"/>
          <w:lang w:val="en-US" w:eastAsia="zh-CN"/>
        </w:rPr>
        <w:t>4</w:t>
      </w:r>
      <w:r>
        <w:rPr>
          <w:rStyle w:val="17"/>
          <w:rFonts w:ascii="仿宋" w:hAnsi="仿宋" w:eastAsia="仿宋"/>
          <w:bCs/>
          <w:sz w:val="32"/>
          <w:szCs w:val="32"/>
        </w:rPr>
        <w:t>.</w:t>
      </w:r>
      <w:r>
        <w:rPr>
          <w:rStyle w:val="17"/>
          <w:rFonts w:hint="eastAsia" w:ascii="仿宋" w:hAnsi="仿宋" w:eastAsia="仿宋" w:cstheme="minorBidi"/>
          <w:bCs/>
          <w:sz w:val="32"/>
          <w:szCs w:val="32"/>
        </w:rPr>
        <w:t xml:space="preserve">社会保障和就业（类）行政事业单位养老支出（款）机关事业单位基本养老保险缴费支出（项）: </w:t>
      </w:r>
      <w:r>
        <w:rPr>
          <w:rStyle w:val="17"/>
          <w:rFonts w:hint="eastAsia" w:ascii="仿宋" w:hAnsi="仿宋" w:eastAsia="仿宋" w:cstheme="minorBidi"/>
          <w:b w:val="0"/>
          <w:bCs/>
          <w:sz w:val="32"/>
          <w:szCs w:val="32"/>
        </w:rPr>
        <w:t>支出决算为</w:t>
      </w:r>
      <w:r>
        <w:rPr>
          <w:rStyle w:val="17"/>
          <w:rFonts w:hint="eastAsia" w:ascii="仿宋" w:hAnsi="仿宋" w:eastAsia="仿宋" w:cstheme="minorBidi"/>
          <w:b w:val="0"/>
          <w:bCs/>
          <w:sz w:val="32"/>
          <w:szCs w:val="32"/>
          <w:lang w:val="en-US" w:eastAsia="zh-CN"/>
        </w:rPr>
        <w:t>13.57</w:t>
      </w:r>
      <w:r>
        <w:rPr>
          <w:rStyle w:val="17"/>
          <w:rFonts w:hint="eastAsia" w:ascii="仿宋" w:hAnsi="仿宋" w:eastAsia="仿宋" w:cstheme="minorBidi"/>
          <w:b w:val="0"/>
          <w:bCs/>
          <w:sz w:val="32"/>
          <w:szCs w:val="32"/>
        </w:rPr>
        <w:t>万元，完成预算100%，</w:t>
      </w:r>
      <w:r>
        <w:rPr>
          <w:rStyle w:val="17"/>
          <w:rFonts w:hint="eastAsia" w:ascii="仿宋" w:hAnsi="仿宋" w:eastAsia="仿宋"/>
          <w:b w:val="0"/>
          <w:bCs/>
          <w:sz w:val="32"/>
          <w:szCs w:val="32"/>
        </w:rPr>
        <w:t>决算数等于预算数的主要原因是合理规划年初预算并严格执行。</w:t>
      </w:r>
    </w:p>
    <w:p>
      <w:pPr>
        <w:spacing w:line="600" w:lineRule="exact"/>
        <w:ind w:firstLine="803" w:firstLineChars="250"/>
        <w:rPr>
          <w:rStyle w:val="17"/>
          <w:rFonts w:hint="eastAsia" w:ascii="仿宋" w:hAnsi="仿宋" w:eastAsia="仿宋"/>
          <w:b w:val="0"/>
          <w:bCs/>
          <w:sz w:val="32"/>
          <w:szCs w:val="32"/>
        </w:rPr>
      </w:pPr>
      <w:r>
        <w:rPr>
          <w:rStyle w:val="17"/>
          <w:rFonts w:hint="eastAsia" w:ascii="仿宋" w:hAnsi="仿宋" w:eastAsia="仿宋" w:cstheme="minorBidi"/>
          <w:bCs/>
          <w:sz w:val="32"/>
          <w:szCs w:val="32"/>
          <w:lang w:val="en-US" w:eastAsia="zh-CN"/>
        </w:rPr>
        <w:t>5.</w:t>
      </w:r>
      <w:r>
        <w:rPr>
          <w:rStyle w:val="17"/>
          <w:rFonts w:hint="eastAsia" w:ascii="仿宋" w:hAnsi="仿宋" w:eastAsia="仿宋" w:cstheme="minorBidi"/>
          <w:bCs/>
          <w:sz w:val="32"/>
          <w:szCs w:val="32"/>
        </w:rPr>
        <w:t>社会保障和就业（类）行政事业单位养老支出（款）机关事业单位职业年金缴费支出（项）:</w:t>
      </w:r>
      <w:r>
        <w:rPr>
          <w:rStyle w:val="17"/>
          <w:rFonts w:ascii="仿宋" w:hAnsi="仿宋" w:eastAsia="仿宋"/>
          <w:bCs/>
          <w:color w:val="000000"/>
          <w:sz w:val="32"/>
          <w:szCs w:val="32"/>
        </w:rPr>
        <w:t xml:space="preserve"> </w:t>
      </w:r>
      <w:r>
        <w:rPr>
          <w:rStyle w:val="17"/>
          <w:rFonts w:hint="eastAsia" w:ascii="仿宋" w:hAnsi="仿宋" w:eastAsia="仿宋" w:cstheme="minorBidi"/>
          <w:b w:val="0"/>
          <w:bCs/>
          <w:sz w:val="32"/>
          <w:szCs w:val="32"/>
        </w:rPr>
        <w:t>支出决算为</w:t>
      </w:r>
      <w:r>
        <w:rPr>
          <w:rStyle w:val="17"/>
          <w:rFonts w:hint="eastAsia" w:ascii="仿宋" w:hAnsi="仿宋" w:eastAsia="仿宋" w:cstheme="minorBidi"/>
          <w:b w:val="0"/>
          <w:bCs/>
          <w:sz w:val="32"/>
          <w:szCs w:val="32"/>
          <w:lang w:val="en-US" w:eastAsia="zh-CN"/>
        </w:rPr>
        <w:t>6.79</w:t>
      </w:r>
      <w:r>
        <w:rPr>
          <w:rStyle w:val="17"/>
          <w:rFonts w:hint="eastAsia" w:ascii="仿宋" w:hAnsi="仿宋" w:eastAsia="仿宋" w:cstheme="minorBidi"/>
          <w:b w:val="0"/>
          <w:bCs/>
          <w:sz w:val="32"/>
          <w:szCs w:val="32"/>
        </w:rPr>
        <w:t>万元，完成预算100%，</w:t>
      </w:r>
      <w:r>
        <w:rPr>
          <w:rStyle w:val="17"/>
          <w:rFonts w:hint="eastAsia" w:ascii="仿宋" w:hAnsi="仿宋" w:eastAsia="仿宋"/>
          <w:b w:val="0"/>
          <w:bCs/>
          <w:sz w:val="32"/>
          <w:szCs w:val="32"/>
        </w:rPr>
        <w:t>决算数等于预算数的主要原因是合理规划年初预算并严格执行。</w:t>
      </w:r>
    </w:p>
    <w:p>
      <w:pPr>
        <w:spacing w:line="600" w:lineRule="exact"/>
        <w:ind w:firstLine="803" w:firstLineChars="250"/>
        <w:rPr>
          <w:rStyle w:val="17"/>
          <w:rFonts w:ascii="仿宋" w:hAnsi="仿宋" w:eastAsia="仿宋" w:cstheme="minorBidi"/>
          <w:b w:val="0"/>
          <w:bCs/>
          <w:sz w:val="32"/>
          <w:szCs w:val="32"/>
        </w:rPr>
      </w:pPr>
      <w:r>
        <w:rPr>
          <w:rStyle w:val="17"/>
          <w:rFonts w:hint="eastAsia" w:ascii="仿宋" w:hAnsi="仿宋" w:eastAsia="仿宋" w:cstheme="minorBidi"/>
          <w:bCs/>
          <w:sz w:val="32"/>
          <w:szCs w:val="32"/>
          <w:lang w:val="en-US" w:eastAsia="zh-CN"/>
        </w:rPr>
        <w:t>6.</w:t>
      </w:r>
      <w:r>
        <w:rPr>
          <w:rStyle w:val="17"/>
          <w:rFonts w:hint="eastAsia" w:ascii="仿宋" w:hAnsi="仿宋" w:eastAsia="仿宋" w:cstheme="minorBidi"/>
          <w:bCs/>
          <w:sz w:val="32"/>
          <w:szCs w:val="32"/>
        </w:rPr>
        <w:t>社会保障和就业（类）</w:t>
      </w:r>
      <w:r>
        <w:rPr>
          <w:rStyle w:val="17"/>
          <w:rFonts w:hint="eastAsia" w:ascii="仿宋" w:hAnsi="仿宋" w:eastAsia="仿宋" w:cstheme="minorBidi"/>
          <w:bCs/>
          <w:sz w:val="32"/>
          <w:szCs w:val="32"/>
          <w:lang w:val="en-US" w:eastAsia="zh-CN"/>
        </w:rPr>
        <w:t>残疾人事业</w:t>
      </w:r>
      <w:r>
        <w:rPr>
          <w:rStyle w:val="17"/>
          <w:rFonts w:hint="eastAsia" w:ascii="仿宋" w:hAnsi="仿宋" w:eastAsia="仿宋" w:cstheme="minorBidi"/>
          <w:bCs/>
          <w:sz w:val="32"/>
          <w:szCs w:val="32"/>
        </w:rPr>
        <w:t>（款）</w:t>
      </w:r>
      <w:r>
        <w:rPr>
          <w:rStyle w:val="17"/>
          <w:rFonts w:hint="eastAsia" w:ascii="仿宋" w:hAnsi="仿宋" w:eastAsia="仿宋" w:cstheme="minorBidi"/>
          <w:bCs/>
          <w:sz w:val="32"/>
          <w:szCs w:val="32"/>
          <w:lang w:val="en-US" w:eastAsia="zh-CN"/>
        </w:rPr>
        <w:t>残疾人就业</w:t>
      </w:r>
      <w:r>
        <w:rPr>
          <w:rStyle w:val="17"/>
          <w:rFonts w:hint="eastAsia" w:ascii="仿宋" w:hAnsi="仿宋" w:eastAsia="仿宋" w:cstheme="minorBidi"/>
          <w:bCs/>
          <w:sz w:val="32"/>
          <w:szCs w:val="32"/>
        </w:rPr>
        <w:t>（项）:</w:t>
      </w:r>
      <w:r>
        <w:rPr>
          <w:rStyle w:val="17"/>
          <w:rFonts w:hint="eastAsia" w:ascii="仿宋_GB2312" w:eastAsia="仿宋_GB2312"/>
          <w:color w:val="000000"/>
          <w:sz w:val="32"/>
          <w:szCs w:val="32"/>
        </w:rPr>
        <w:t xml:space="preserve"> </w:t>
      </w:r>
      <w:r>
        <w:rPr>
          <w:rStyle w:val="17"/>
          <w:rFonts w:hint="eastAsia" w:ascii="仿宋" w:hAnsi="仿宋" w:eastAsia="仿宋" w:cstheme="minorBidi"/>
          <w:b w:val="0"/>
          <w:bCs/>
          <w:sz w:val="32"/>
          <w:szCs w:val="32"/>
        </w:rPr>
        <w:t>支出决算为</w:t>
      </w:r>
      <w:r>
        <w:rPr>
          <w:rStyle w:val="17"/>
          <w:rFonts w:hint="eastAsia" w:ascii="仿宋" w:hAnsi="仿宋" w:eastAsia="仿宋" w:cstheme="minorBidi"/>
          <w:b w:val="0"/>
          <w:bCs/>
          <w:sz w:val="32"/>
          <w:szCs w:val="32"/>
          <w:lang w:val="en-US" w:eastAsia="zh-CN"/>
        </w:rPr>
        <w:t>1.11</w:t>
      </w:r>
      <w:r>
        <w:rPr>
          <w:rStyle w:val="17"/>
          <w:rFonts w:hint="eastAsia" w:ascii="仿宋" w:hAnsi="仿宋" w:eastAsia="仿宋" w:cstheme="minorBidi"/>
          <w:b w:val="0"/>
          <w:bCs/>
          <w:sz w:val="32"/>
          <w:szCs w:val="32"/>
        </w:rPr>
        <w:t>万元，完成预算100%，</w:t>
      </w:r>
      <w:r>
        <w:rPr>
          <w:rStyle w:val="17"/>
          <w:rFonts w:hint="eastAsia" w:ascii="仿宋" w:hAnsi="仿宋" w:eastAsia="仿宋"/>
          <w:b w:val="0"/>
          <w:bCs/>
          <w:sz w:val="32"/>
          <w:szCs w:val="32"/>
        </w:rPr>
        <w:t>决算数等于预算数的主要原因是合理规划年初预算并严格执行。</w:t>
      </w:r>
    </w:p>
    <w:p>
      <w:pPr>
        <w:spacing w:line="600" w:lineRule="exact"/>
        <w:ind w:firstLine="803" w:firstLineChars="250"/>
      </w:pPr>
      <w:r>
        <w:rPr>
          <w:rStyle w:val="17"/>
          <w:rFonts w:hint="eastAsia" w:ascii="仿宋" w:hAnsi="仿宋" w:eastAsia="仿宋" w:cstheme="minorBidi"/>
          <w:bCs/>
          <w:sz w:val="32"/>
          <w:szCs w:val="32"/>
          <w:lang w:val="en-US" w:eastAsia="zh-CN"/>
        </w:rPr>
        <w:t>7.</w:t>
      </w:r>
      <w:r>
        <w:rPr>
          <w:rStyle w:val="17"/>
          <w:rFonts w:hint="eastAsia" w:ascii="仿宋" w:hAnsi="仿宋" w:eastAsia="仿宋" w:cstheme="minorBidi"/>
          <w:bCs/>
          <w:sz w:val="32"/>
          <w:szCs w:val="32"/>
        </w:rPr>
        <w:t>社会保障和就业（类）其他社会保障和就业支出（款）其他社会保障和就业支出（项）:</w:t>
      </w:r>
      <w:r>
        <w:rPr>
          <w:rStyle w:val="17"/>
          <w:rFonts w:hint="eastAsia" w:ascii="仿宋_GB2312" w:eastAsia="仿宋_GB2312"/>
          <w:color w:val="000000"/>
          <w:sz w:val="32"/>
          <w:szCs w:val="32"/>
        </w:rPr>
        <w:t xml:space="preserve"> </w:t>
      </w:r>
      <w:r>
        <w:rPr>
          <w:rStyle w:val="17"/>
          <w:rFonts w:hint="eastAsia" w:ascii="仿宋" w:hAnsi="仿宋" w:eastAsia="仿宋" w:cstheme="minorBidi"/>
          <w:b w:val="0"/>
          <w:bCs/>
          <w:sz w:val="32"/>
          <w:szCs w:val="32"/>
        </w:rPr>
        <w:t>支出决算为</w:t>
      </w:r>
      <w:r>
        <w:rPr>
          <w:rStyle w:val="17"/>
          <w:rFonts w:hint="eastAsia" w:ascii="仿宋" w:hAnsi="仿宋" w:eastAsia="仿宋" w:cstheme="minorBidi"/>
          <w:b w:val="0"/>
          <w:bCs/>
          <w:sz w:val="32"/>
          <w:szCs w:val="32"/>
          <w:lang w:val="en-US" w:eastAsia="zh-CN"/>
        </w:rPr>
        <w:t>18.9</w:t>
      </w:r>
      <w:r>
        <w:rPr>
          <w:rStyle w:val="17"/>
          <w:rFonts w:hint="eastAsia" w:ascii="仿宋" w:hAnsi="仿宋" w:eastAsia="仿宋" w:cstheme="minorBidi"/>
          <w:b w:val="0"/>
          <w:bCs/>
          <w:sz w:val="32"/>
          <w:szCs w:val="32"/>
        </w:rPr>
        <w:t>万元，完成预算100%，</w:t>
      </w:r>
      <w:bookmarkStart w:id="46" w:name="OLE_LINK15"/>
      <w:r>
        <w:rPr>
          <w:rStyle w:val="17"/>
          <w:rFonts w:hint="eastAsia" w:ascii="仿宋" w:hAnsi="仿宋" w:eastAsia="仿宋"/>
          <w:b w:val="0"/>
          <w:bCs/>
          <w:sz w:val="32"/>
          <w:szCs w:val="32"/>
        </w:rPr>
        <w:t>决算数等于预算数的主要原因是合理规划年初预算并严格执行。</w:t>
      </w:r>
    </w:p>
    <w:bookmarkEnd w:id="46"/>
    <w:p>
      <w:pPr>
        <w:spacing w:line="600" w:lineRule="exact"/>
        <w:ind w:firstLine="643" w:firstLineChars="200"/>
        <w:rPr>
          <w:rStyle w:val="17"/>
          <w:rFonts w:ascii="仿宋" w:hAnsi="仿宋" w:eastAsia="仿宋"/>
          <w:b w:val="0"/>
          <w:bCs/>
          <w:sz w:val="32"/>
          <w:szCs w:val="32"/>
        </w:rPr>
      </w:pPr>
      <w:r>
        <w:rPr>
          <w:rStyle w:val="17"/>
          <w:rFonts w:hint="eastAsia" w:ascii="仿宋" w:hAnsi="仿宋" w:eastAsia="仿宋"/>
          <w:bCs/>
          <w:sz w:val="32"/>
          <w:szCs w:val="32"/>
          <w:lang w:val="en-US" w:eastAsia="zh-CN"/>
        </w:rPr>
        <w:t>8</w:t>
      </w:r>
      <w:r>
        <w:rPr>
          <w:rStyle w:val="17"/>
          <w:rFonts w:ascii="仿宋" w:hAnsi="仿宋" w:eastAsia="仿宋"/>
          <w:bCs/>
          <w:sz w:val="32"/>
          <w:szCs w:val="32"/>
        </w:rPr>
        <w:t>.</w:t>
      </w:r>
      <w:r>
        <w:rPr>
          <w:rFonts w:hint="eastAsia" w:ascii="仿宋" w:hAnsi="仿宋" w:eastAsia="仿宋"/>
          <w:b/>
          <w:bCs/>
          <w:sz w:val="32"/>
          <w:szCs w:val="32"/>
        </w:rPr>
        <w:t>卫生健康（类）行政事业单位医疗（款）事业单位医疗（项）:</w:t>
      </w:r>
      <w:r>
        <w:rPr>
          <w:rStyle w:val="17"/>
          <w:rFonts w:hint="eastAsia" w:ascii="仿宋" w:hAnsi="仿宋" w:eastAsia="仿宋" w:cstheme="minorBidi"/>
          <w:b w:val="0"/>
          <w:bCs/>
          <w:sz w:val="32"/>
          <w:szCs w:val="32"/>
        </w:rPr>
        <w:t>支出决算为</w:t>
      </w:r>
      <w:r>
        <w:rPr>
          <w:rStyle w:val="17"/>
          <w:rFonts w:hint="eastAsia" w:ascii="仿宋" w:hAnsi="仿宋" w:eastAsia="仿宋" w:cstheme="minorBidi"/>
          <w:b w:val="0"/>
          <w:bCs/>
          <w:sz w:val="32"/>
          <w:szCs w:val="32"/>
          <w:lang w:val="en-US" w:eastAsia="zh-CN"/>
        </w:rPr>
        <w:t>3.2</w:t>
      </w:r>
      <w:r>
        <w:rPr>
          <w:rStyle w:val="17"/>
          <w:rFonts w:hint="eastAsia" w:ascii="仿宋" w:hAnsi="仿宋" w:eastAsia="仿宋" w:cstheme="minorBidi"/>
          <w:b w:val="0"/>
          <w:bCs/>
          <w:sz w:val="32"/>
          <w:szCs w:val="32"/>
        </w:rPr>
        <w:t>万元，完成预算100%，</w:t>
      </w:r>
      <w:r>
        <w:rPr>
          <w:rStyle w:val="17"/>
          <w:rFonts w:hint="eastAsia" w:ascii="仿宋" w:hAnsi="仿宋" w:eastAsia="仿宋"/>
          <w:b w:val="0"/>
          <w:bCs/>
          <w:sz w:val="32"/>
          <w:szCs w:val="32"/>
        </w:rPr>
        <w:t>决算数等于预算数的主要原因是合理规划年初预算并严格执行。</w:t>
      </w:r>
    </w:p>
    <w:p>
      <w:pPr>
        <w:spacing w:line="600" w:lineRule="exact"/>
        <w:ind w:firstLine="643" w:firstLineChars="200"/>
      </w:pPr>
      <w:r>
        <w:rPr>
          <w:rFonts w:hint="eastAsia" w:ascii="仿宋" w:hAnsi="仿宋" w:eastAsia="仿宋"/>
          <w:b/>
          <w:bCs/>
          <w:sz w:val="32"/>
          <w:szCs w:val="32"/>
          <w:lang w:val="en-US" w:eastAsia="zh-CN"/>
        </w:rPr>
        <w:t>9.</w:t>
      </w:r>
      <w:r>
        <w:rPr>
          <w:rFonts w:hint="eastAsia" w:ascii="仿宋" w:hAnsi="仿宋" w:eastAsia="仿宋"/>
          <w:b/>
          <w:bCs/>
          <w:sz w:val="32"/>
          <w:szCs w:val="32"/>
        </w:rPr>
        <w:t>卫生健康（类）行政事业单位医疗（款）公务员医疗补助（项）:</w:t>
      </w:r>
      <w:r>
        <w:rPr>
          <w:rStyle w:val="17"/>
          <w:rFonts w:hint="eastAsia" w:ascii="仿宋" w:hAnsi="仿宋" w:eastAsia="仿宋" w:cstheme="minorBidi"/>
          <w:b w:val="0"/>
          <w:bCs/>
          <w:sz w:val="32"/>
          <w:szCs w:val="32"/>
        </w:rPr>
        <w:t>支出决算为</w:t>
      </w:r>
      <w:r>
        <w:rPr>
          <w:rStyle w:val="17"/>
          <w:rFonts w:hint="eastAsia" w:ascii="仿宋" w:hAnsi="仿宋" w:eastAsia="仿宋" w:cstheme="minorBidi"/>
          <w:b w:val="0"/>
          <w:bCs/>
          <w:sz w:val="32"/>
          <w:szCs w:val="32"/>
          <w:lang w:val="en-US" w:eastAsia="zh-CN"/>
        </w:rPr>
        <w:t>0.42</w:t>
      </w:r>
      <w:r>
        <w:rPr>
          <w:rStyle w:val="17"/>
          <w:rFonts w:hint="eastAsia" w:ascii="仿宋" w:hAnsi="仿宋" w:eastAsia="仿宋" w:cstheme="minorBidi"/>
          <w:b w:val="0"/>
          <w:bCs/>
          <w:sz w:val="32"/>
          <w:szCs w:val="32"/>
        </w:rPr>
        <w:t>万元，完成预算100%，</w:t>
      </w:r>
      <w:r>
        <w:rPr>
          <w:rStyle w:val="17"/>
          <w:rFonts w:hint="eastAsia" w:ascii="仿宋" w:hAnsi="仿宋" w:eastAsia="仿宋"/>
          <w:b w:val="0"/>
          <w:bCs/>
          <w:sz w:val="32"/>
          <w:szCs w:val="32"/>
        </w:rPr>
        <w:t>决算数等于预算数的主要原因是合理规划年初预算并严格执行。</w:t>
      </w:r>
    </w:p>
    <w:p>
      <w:pPr>
        <w:spacing w:line="600" w:lineRule="exact"/>
        <w:ind w:firstLine="643" w:firstLineChars="200"/>
        <w:rPr>
          <w:rFonts w:ascii="仿宋" w:hAnsi="仿宋" w:eastAsia="仿宋"/>
          <w:sz w:val="32"/>
          <w:szCs w:val="32"/>
        </w:rPr>
      </w:pPr>
      <w:r>
        <w:rPr>
          <w:rFonts w:hint="eastAsia" w:ascii="仿宋_GB2312" w:eastAsia="仿宋_GB2312"/>
          <w:b/>
          <w:color w:val="000000"/>
          <w:sz w:val="32"/>
          <w:szCs w:val="32"/>
          <w:lang w:val="en-US" w:eastAsia="zh-CN"/>
        </w:rPr>
        <w:t>10.</w:t>
      </w:r>
      <w:r>
        <w:rPr>
          <w:rFonts w:hint="eastAsia" w:ascii="仿宋" w:hAnsi="仿宋" w:eastAsia="仿宋"/>
          <w:b/>
          <w:bCs/>
          <w:sz w:val="32"/>
          <w:szCs w:val="32"/>
        </w:rPr>
        <w:t>住房保障支出（类）住房改革支出（款）住房公积金（项）:</w:t>
      </w:r>
      <w:r>
        <w:rPr>
          <w:rStyle w:val="17"/>
          <w:rFonts w:hint="eastAsia" w:ascii="仿宋" w:hAnsi="仿宋" w:eastAsia="仿宋" w:cstheme="minorBidi"/>
          <w:b w:val="0"/>
          <w:bCs/>
          <w:sz w:val="32"/>
          <w:szCs w:val="32"/>
        </w:rPr>
        <w:t>支出决算为</w:t>
      </w:r>
      <w:r>
        <w:rPr>
          <w:rStyle w:val="17"/>
          <w:rFonts w:hint="eastAsia" w:ascii="仿宋" w:hAnsi="仿宋" w:eastAsia="仿宋" w:cstheme="minorBidi"/>
          <w:b w:val="0"/>
          <w:bCs/>
          <w:sz w:val="32"/>
          <w:szCs w:val="32"/>
          <w:lang w:val="en-US" w:eastAsia="zh-CN"/>
        </w:rPr>
        <w:t>10.59</w:t>
      </w:r>
      <w:r>
        <w:rPr>
          <w:rStyle w:val="17"/>
          <w:rFonts w:hint="eastAsia" w:ascii="仿宋" w:hAnsi="仿宋" w:eastAsia="仿宋" w:cstheme="minorBidi"/>
          <w:b w:val="0"/>
          <w:bCs/>
          <w:sz w:val="32"/>
          <w:szCs w:val="32"/>
        </w:rPr>
        <w:t>万元，完成预算100%，</w:t>
      </w:r>
      <w:r>
        <w:rPr>
          <w:rStyle w:val="17"/>
          <w:rFonts w:hint="eastAsia" w:ascii="仿宋" w:hAnsi="仿宋" w:eastAsia="仿宋"/>
          <w:b w:val="0"/>
          <w:bCs/>
          <w:sz w:val="32"/>
          <w:szCs w:val="32"/>
        </w:rPr>
        <w:t>决算数等于预算数的主要原因是合理规划年初预算并严格执行。</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1-1表和财决08表，仅罗列本单位涉及的全部功能分类科目，至项级。上述“预算”口径为全年预算数。增减变动原因为决算数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和全年预算数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bookmarkEnd w:id="43"/>
    <w:p>
      <w:pPr>
        <w:spacing w:line="600" w:lineRule="exact"/>
        <w:ind w:firstLine="640"/>
        <w:rPr>
          <w:rFonts w:ascii="仿宋" w:hAnsi="仿宋" w:eastAsia="仿宋"/>
          <w:b/>
          <w:sz w:val="32"/>
          <w:szCs w:val="32"/>
        </w:rPr>
      </w:pPr>
    </w:p>
    <w:p>
      <w:pPr>
        <w:tabs>
          <w:tab w:val="right" w:pos="8306"/>
        </w:tabs>
        <w:spacing w:line="600" w:lineRule="exact"/>
        <w:ind w:firstLine="640"/>
        <w:outlineLvl w:val="1"/>
        <w:rPr>
          <w:rStyle w:val="29"/>
        </w:rPr>
      </w:pPr>
      <w:bookmarkStart w:id="47" w:name="_Toc15396608"/>
      <w:bookmarkStart w:id="48"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47"/>
      <w:bookmarkEnd w:id="48"/>
      <w:r>
        <w:rPr>
          <w:rStyle w:val="29"/>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257.79</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bookmarkStart w:id="49" w:name="OLE_LINK31"/>
      <w:r>
        <w:rPr>
          <w:rFonts w:hint="eastAsia" w:ascii="仿宋" w:hAnsi="仿宋" w:eastAsia="仿宋"/>
          <w:sz w:val="32"/>
          <w:szCs w:val="32"/>
        </w:rPr>
        <w:t>人员经费</w:t>
      </w:r>
      <w:r>
        <w:rPr>
          <w:rFonts w:ascii="仿宋" w:hAnsi="仿宋" w:eastAsia="仿宋"/>
          <w:b/>
          <w:sz w:val="32"/>
          <w:szCs w:val="32"/>
        </w:rPr>
        <w:t>142.55</w:t>
      </w:r>
      <w:r>
        <w:rPr>
          <w:rFonts w:hint="eastAsia" w:ascii="仿宋" w:hAnsi="仿宋" w:eastAsia="仿宋"/>
          <w:sz w:val="32"/>
          <w:szCs w:val="32"/>
        </w:rPr>
        <w:t>万元，主要包括：基本工资、津贴补贴、伙食补助费、绩效工资、机关事业单位基本养老保险缴费、职业年金缴费、其他社会保障缴费、住房公积金。</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115.24</w:t>
      </w:r>
      <w:r>
        <w:rPr>
          <w:rFonts w:hint="eastAsia" w:ascii="仿宋" w:hAnsi="仿宋" w:eastAsia="仿宋"/>
          <w:sz w:val="32"/>
          <w:szCs w:val="32"/>
        </w:rPr>
        <w:t>万元，主要包括：办公费、差旅费、工会经费、福利费、公务用车运行维护费、其他交通费。</w:t>
      </w:r>
      <w:bookmarkEnd w:id="49"/>
    </w:p>
    <w:p>
      <w:pPr>
        <w:spacing w:line="600" w:lineRule="exact"/>
        <w:ind w:firstLine="645"/>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7表和财决08-1表，仅罗列本单位实际支出涉及的经济分类科目。）</w:t>
      </w:r>
    </w:p>
    <w:p>
      <w:pPr>
        <w:spacing w:line="600" w:lineRule="exact"/>
        <w:ind w:firstLine="640"/>
        <w:outlineLvl w:val="1"/>
        <w:rPr>
          <w:rStyle w:val="29"/>
          <w:rFonts w:ascii="黑体" w:hAnsi="黑体" w:eastAsia="黑体"/>
          <w:b w:val="0"/>
        </w:rPr>
      </w:pPr>
      <w:bookmarkStart w:id="50" w:name="_Toc15377215"/>
      <w:bookmarkStart w:id="51" w:name="_Toc15396609"/>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50"/>
      <w:bookmarkEnd w:id="51"/>
    </w:p>
    <w:p>
      <w:pPr>
        <w:spacing w:line="600" w:lineRule="exact"/>
        <w:ind w:firstLine="640"/>
        <w:outlineLvl w:val="2"/>
        <w:rPr>
          <w:rFonts w:ascii="仿宋" w:hAnsi="仿宋" w:eastAsia="仿宋"/>
          <w:b/>
          <w:sz w:val="32"/>
          <w:szCs w:val="32"/>
        </w:rPr>
      </w:pPr>
      <w:bookmarkStart w:id="52" w:name="_Toc15377216"/>
      <w:r>
        <w:rPr>
          <w:rFonts w:hint="eastAsia" w:ascii="仿宋" w:hAnsi="仿宋" w:eastAsia="仿宋"/>
          <w:b/>
          <w:sz w:val="32"/>
          <w:szCs w:val="32"/>
        </w:rPr>
        <w:t>（一）“三公”经费财政拨款支出决算总体情况说明</w:t>
      </w:r>
      <w:bookmarkEnd w:id="52"/>
    </w:p>
    <w:p>
      <w:pPr>
        <w:spacing w:line="600" w:lineRule="exact"/>
        <w:ind w:firstLine="640"/>
        <w:rPr>
          <w:rFonts w:ascii="仿宋" w:hAnsi="仿宋" w:eastAsia="仿宋"/>
          <w:sz w:val="32"/>
          <w:szCs w:val="32"/>
        </w:rPr>
      </w:pPr>
      <w:r>
        <w:rPr>
          <w:rFonts w:hint="eastAsia" w:ascii="仿宋" w:hAnsi="仿宋" w:eastAsia="仿宋"/>
          <w:sz w:val="32"/>
          <w:szCs w:val="32"/>
        </w:rPr>
        <w:t>2023年度</w:t>
      </w:r>
      <w:bookmarkStart w:id="53" w:name="OLE_LINK9"/>
      <w:r>
        <w:rPr>
          <w:rFonts w:hint="eastAsia" w:ascii="仿宋" w:hAnsi="仿宋" w:eastAsia="仿宋"/>
          <w:sz w:val="32"/>
          <w:szCs w:val="32"/>
        </w:rPr>
        <w:t>“三公”经费财政拨款支出</w:t>
      </w:r>
      <w:bookmarkEnd w:id="53"/>
      <w:r>
        <w:rPr>
          <w:rFonts w:hint="eastAsia" w:ascii="仿宋" w:hAnsi="仿宋" w:eastAsia="仿宋"/>
          <w:sz w:val="32"/>
          <w:szCs w:val="32"/>
        </w:rPr>
        <w:t>决算为</w:t>
      </w:r>
      <w:r>
        <w:rPr>
          <w:rFonts w:ascii="仿宋" w:hAnsi="仿宋" w:eastAsia="仿宋"/>
          <w:b/>
          <w:sz w:val="32"/>
          <w:szCs w:val="32"/>
        </w:rPr>
        <w:t>138.9</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w:t>
      </w:r>
      <w:bookmarkStart w:id="54" w:name="OLE_LINK10"/>
      <w:r>
        <w:rPr>
          <w:rFonts w:hint="eastAsia" w:ascii="仿宋" w:hAnsi="仿宋" w:eastAsia="仿宋"/>
          <w:sz w:val="32"/>
          <w:szCs w:val="32"/>
          <w:lang w:eastAsia="zh-CN"/>
        </w:rPr>
        <w:t>无法</w:t>
      </w:r>
      <w:r>
        <w:rPr>
          <w:rFonts w:hint="eastAsia" w:ascii="仿宋" w:hAnsi="仿宋" w:eastAsia="仿宋"/>
          <w:sz w:val="32"/>
          <w:szCs w:val="32"/>
        </w:rPr>
        <w:t>与2022年度“三公”经费财政拨款支出</w:t>
      </w:r>
      <w:r>
        <w:rPr>
          <w:rFonts w:hint="eastAsia" w:ascii="仿宋" w:hAnsi="仿宋" w:eastAsia="仿宋"/>
          <w:sz w:val="32"/>
          <w:szCs w:val="32"/>
          <w:lang w:eastAsia="zh-CN"/>
        </w:rPr>
        <w:t>数据</w:t>
      </w:r>
      <w:r>
        <w:rPr>
          <w:rFonts w:hint="eastAsia" w:ascii="仿宋" w:hAnsi="仿宋" w:eastAsia="仿宋"/>
          <w:sz w:val="32"/>
          <w:szCs w:val="32"/>
        </w:rPr>
        <w:t>相比，主要原因是</w:t>
      </w:r>
      <w:r>
        <w:rPr>
          <w:rFonts w:hint="eastAsia" w:ascii="仿宋" w:hAnsi="仿宋" w:eastAsia="仿宋"/>
          <w:sz w:val="32"/>
          <w:szCs w:val="32"/>
          <w:lang w:val="en-US" w:eastAsia="zh-CN"/>
        </w:rPr>
        <w:t>2022年区机关事务中心与区委办共用一个账套未独立核算，无法取得相关数据</w:t>
      </w:r>
      <w:r>
        <w:rPr>
          <w:rFonts w:hint="eastAsia" w:ascii="仿宋" w:hAnsi="仿宋" w:eastAsia="仿宋"/>
          <w:sz w:val="32"/>
          <w:szCs w:val="32"/>
        </w:rPr>
        <w:t>。决算数与预算数持平的主要原因是</w:t>
      </w:r>
      <w:r>
        <w:rPr>
          <w:rStyle w:val="17"/>
          <w:rFonts w:hint="eastAsia" w:ascii="仿宋" w:hAnsi="仿宋" w:eastAsia="仿宋"/>
          <w:b w:val="0"/>
          <w:bCs/>
          <w:sz w:val="32"/>
          <w:szCs w:val="32"/>
        </w:rPr>
        <w:t>合理规划年初预算并严格执行</w:t>
      </w:r>
      <w:r>
        <w:rPr>
          <w:rFonts w:hint="eastAsia" w:ascii="仿宋" w:hAnsi="仿宋" w:eastAsia="仿宋"/>
          <w:sz w:val="32"/>
          <w:szCs w:val="32"/>
        </w:rPr>
        <w:t>。</w:t>
      </w:r>
    </w:p>
    <w:bookmarkEnd w:id="54"/>
    <w:p>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pPr>
        <w:spacing w:line="600" w:lineRule="exact"/>
        <w:ind w:firstLine="640"/>
        <w:outlineLvl w:val="2"/>
        <w:rPr>
          <w:rFonts w:ascii="仿宋" w:hAnsi="仿宋" w:eastAsia="仿宋"/>
          <w:b/>
          <w:sz w:val="32"/>
          <w:szCs w:val="32"/>
        </w:rPr>
      </w:pPr>
      <w:bookmarkStart w:id="55" w:name="_Toc15377217"/>
      <w:r>
        <w:rPr>
          <w:rFonts w:hint="eastAsia" w:ascii="仿宋" w:hAnsi="仿宋" w:eastAsia="仿宋"/>
          <w:b/>
          <w:sz w:val="32"/>
          <w:szCs w:val="32"/>
        </w:rPr>
        <w:t>（二）“三公”经费财政拨款支出决算具体情况说明</w:t>
      </w:r>
      <w:bookmarkEnd w:id="55"/>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111.4</w:t>
      </w:r>
      <w:r>
        <w:rPr>
          <w:rFonts w:hint="eastAsia" w:ascii="仿宋" w:hAnsi="仿宋" w:eastAsia="仿宋"/>
          <w:sz w:val="32"/>
          <w:szCs w:val="32"/>
        </w:rPr>
        <w:t>万元，占</w:t>
      </w:r>
      <w:r>
        <w:rPr>
          <w:rFonts w:ascii="仿宋" w:hAnsi="仿宋" w:eastAsia="仿宋"/>
          <w:b/>
          <w:sz w:val="32"/>
          <w:szCs w:val="32"/>
        </w:rPr>
        <w:t>80.2</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27.5</w:t>
      </w:r>
      <w:r>
        <w:rPr>
          <w:rFonts w:hint="eastAsia" w:ascii="仿宋" w:hAnsi="仿宋" w:eastAsia="仿宋"/>
          <w:sz w:val="32"/>
          <w:szCs w:val="32"/>
        </w:rPr>
        <w:t>万元，占</w:t>
      </w:r>
      <w:r>
        <w:rPr>
          <w:rFonts w:ascii="仿宋" w:hAnsi="仿宋" w:eastAsia="仿宋"/>
          <w:b/>
          <w:sz w:val="32"/>
          <w:szCs w:val="32"/>
        </w:rPr>
        <w:t>19.</w:t>
      </w:r>
      <w:r>
        <w:rPr>
          <w:rFonts w:hint="eastAsia" w:ascii="仿宋" w:hAnsi="仿宋" w:eastAsia="仿宋"/>
          <w:b/>
          <w:sz w:val="32"/>
          <w:szCs w:val="32"/>
          <w:lang w:val="en-US" w:eastAsia="zh-CN"/>
        </w:rPr>
        <w:t>8</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hint="eastAsia" w:ascii="仿宋" w:hAnsi="仿宋" w:eastAsia="仿宋"/>
          <w:sz w:val="32"/>
          <w:szCs w:val="32"/>
        </w:rPr>
      </w:pPr>
      <w:r>
        <w:rPr>
          <w:rFonts w:hint="eastAsia" w:ascii="仿宋" w:hAnsi="仿宋" w:eastAsia="仿宋"/>
          <w:sz w:val="32"/>
          <w:szCs w:val="32"/>
        </w:rPr>
        <w:t>（图7：“三公”经费财政拨款支出结构）（饼状图）</w:t>
      </w:r>
    </w:p>
    <w:p>
      <w:pPr>
        <w:rPr>
          <w:rFonts w:hint="eastAsia" w:ascii="仿宋" w:hAnsi="仿宋" w:eastAsia="仿宋"/>
          <w:sz w:val="32"/>
          <w:szCs w:val="32"/>
        </w:rPr>
      </w:pPr>
      <w:r>
        <w:rPr>
          <w:rFonts w:hint="eastAsia" w:ascii="仿宋" w:hAnsi="仿宋" w:eastAsia="仿宋"/>
          <w:sz w:val="32"/>
          <w:szCs w:val="32"/>
        </w:rPr>
        <w:drawing>
          <wp:inline distT="0" distB="0" distL="114300" distR="114300">
            <wp:extent cx="5080000" cy="2206625"/>
            <wp:effectExtent l="4445" t="4445" r="20955" b="1778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
      <w:pPr>
        <w:spacing w:line="600" w:lineRule="exact"/>
        <w:ind w:firstLine="643" w:firstLineChars="200"/>
        <w:rPr>
          <w:rFonts w:ascii="仿宋" w:hAnsi="仿宋" w:eastAsia="仿宋"/>
          <w:sz w:val="32"/>
          <w:szCs w:val="32"/>
        </w:rPr>
      </w:pPr>
      <w:bookmarkStart w:id="56" w:name="_Toc15396610"/>
      <w:bookmarkStart w:id="57" w:name="_Toc15377218"/>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w:t>
      </w:r>
      <w:r>
        <w:rPr>
          <w:rFonts w:hint="eastAsia" w:ascii="仿宋" w:hAnsi="仿宋" w:eastAsia="仿宋"/>
          <w:sz w:val="32"/>
          <w:szCs w:val="32"/>
          <w:lang w:eastAsia="zh-CN"/>
        </w:rPr>
        <w:t>无法</w:t>
      </w:r>
      <w:r>
        <w:rPr>
          <w:rFonts w:hint="eastAsia" w:ascii="仿宋" w:hAnsi="仿宋" w:eastAsia="仿宋"/>
          <w:sz w:val="32"/>
          <w:szCs w:val="32"/>
        </w:rPr>
        <w:t>与2022年度支出</w:t>
      </w:r>
      <w:r>
        <w:rPr>
          <w:rFonts w:hint="eastAsia" w:ascii="仿宋" w:hAnsi="仿宋" w:eastAsia="仿宋"/>
          <w:sz w:val="32"/>
          <w:szCs w:val="32"/>
          <w:lang w:eastAsia="zh-CN"/>
        </w:rPr>
        <w:t>数据</w:t>
      </w:r>
      <w:r>
        <w:rPr>
          <w:rFonts w:hint="eastAsia" w:ascii="仿宋" w:hAnsi="仿宋" w:eastAsia="仿宋"/>
          <w:sz w:val="32"/>
          <w:szCs w:val="32"/>
        </w:rPr>
        <w:t>相比，主要原因是</w:t>
      </w:r>
      <w:r>
        <w:rPr>
          <w:rFonts w:hint="eastAsia" w:ascii="仿宋" w:hAnsi="仿宋" w:eastAsia="仿宋"/>
          <w:sz w:val="32"/>
          <w:szCs w:val="32"/>
          <w:lang w:val="en-US" w:eastAsia="zh-CN"/>
        </w:rPr>
        <w:t>2022年区机关事务中心与区委办共用一个账套未独立核算，无法取得相关数据</w:t>
      </w:r>
      <w:r>
        <w:rPr>
          <w:rFonts w:hint="eastAsia" w:ascii="仿宋" w:hAnsi="仿宋" w:eastAsia="仿宋"/>
          <w:sz w:val="32"/>
          <w:szCs w:val="32"/>
        </w:rPr>
        <w:t>。</w:t>
      </w:r>
    </w:p>
    <w:p>
      <w:pPr>
        <w:spacing w:line="600" w:lineRule="exact"/>
        <w:ind w:firstLine="640"/>
        <w:rPr>
          <w:rFonts w:hint="eastAsia" w:ascii="仿宋_GB2312" w:eastAsia="仿宋_GB2312"/>
          <w:sz w:val="32"/>
          <w:szCs w:val="32"/>
          <w:lang w:eastAsia="zh-CN"/>
        </w:rPr>
      </w:pPr>
      <w:r>
        <w:rPr>
          <w:rFonts w:hint="eastAsia" w:ascii="仿宋_GB2312" w:eastAsia="仿宋_GB2312"/>
          <w:sz w:val="32"/>
          <w:szCs w:val="32"/>
        </w:rPr>
        <w:t>开支内容包括：</w:t>
      </w:r>
      <w:r>
        <w:rPr>
          <w:rFonts w:hint="eastAsia" w:ascii="仿宋_GB2312" w:eastAsia="仿宋_GB2312"/>
          <w:sz w:val="32"/>
          <w:szCs w:val="32"/>
          <w:lang w:eastAsia="zh-CN"/>
        </w:rPr>
        <w:t>无</w:t>
      </w:r>
    </w:p>
    <w:p>
      <w:pPr>
        <w:spacing w:line="600" w:lineRule="exact"/>
        <w:ind w:firstLine="643" w:firstLineChars="200"/>
        <w:rPr>
          <w:rFonts w:ascii="仿宋_GB2312" w:eastAsia="仿宋_GB2312"/>
          <w:b/>
          <w:sz w:val="32"/>
          <w:szCs w:val="32"/>
        </w:rPr>
      </w:pPr>
      <w:r>
        <w:rPr>
          <w:rFonts w:ascii="仿宋_GB2312" w:eastAsia="仿宋_GB2312"/>
          <w:b/>
          <w:sz w:val="32"/>
          <w:szCs w:val="32"/>
        </w:rPr>
        <w:t>2.</w:t>
      </w:r>
      <w:bookmarkStart w:id="58" w:name="OLE_LINK11"/>
      <w:r>
        <w:rPr>
          <w:rFonts w:hint="eastAsia" w:ascii="仿宋_GB2312" w:eastAsia="仿宋_GB2312"/>
          <w:b/>
          <w:sz w:val="32"/>
          <w:szCs w:val="32"/>
        </w:rPr>
        <w:t>公务用车购置及运行维护费</w:t>
      </w:r>
      <w:bookmarkEnd w:id="58"/>
      <w:r>
        <w:rPr>
          <w:rFonts w:hint="eastAsia" w:ascii="仿宋_GB2312" w:eastAsia="仿宋_GB2312"/>
          <w:b/>
          <w:sz w:val="32"/>
          <w:szCs w:val="32"/>
        </w:rPr>
        <w:t>支出</w:t>
      </w:r>
      <w:r>
        <w:rPr>
          <w:rFonts w:ascii="仿宋" w:hAnsi="仿宋" w:eastAsia="仿宋"/>
          <w:b/>
          <w:sz w:val="32"/>
          <w:szCs w:val="32"/>
        </w:rPr>
        <w:t>111.4</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bookmarkStart w:id="59" w:name="OLE_LINK12"/>
      <w:bookmarkStart w:id="60" w:name="OLE_LINK13"/>
      <w:r>
        <w:rPr>
          <w:rFonts w:hint="eastAsia" w:ascii="仿宋" w:hAnsi="仿宋" w:eastAsia="仿宋"/>
          <w:sz w:val="32"/>
          <w:szCs w:val="32"/>
          <w:lang w:eastAsia="zh-CN"/>
        </w:rPr>
        <w:t>无法</w:t>
      </w:r>
      <w:r>
        <w:rPr>
          <w:rFonts w:hint="eastAsia" w:ascii="仿宋" w:hAnsi="仿宋" w:eastAsia="仿宋"/>
          <w:sz w:val="32"/>
          <w:szCs w:val="32"/>
        </w:rPr>
        <w:t>与2022年</w:t>
      </w:r>
      <w:r>
        <w:rPr>
          <w:rFonts w:hint="eastAsia" w:ascii="仿宋" w:hAnsi="仿宋" w:eastAsia="仿宋"/>
          <w:sz w:val="32"/>
          <w:szCs w:val="32"/>
          <w:lang w:val="en-US" w:eastAsia="zh-CN"/>
        </w:rPr>
        <w:t>度公务用车购置及运行维护费支出数据相比，主要原因是2022年区机关事务中心与区委办共用一个账套未独立核算，无法取得相关数据</w:t>
      </w:r>
      <w:r>
        <w:rPr>
          <w:rFonts w:hint="eastAsia" w:ascii="仿宋" w:hAnsi="仿宋" w:eastAsia="仿宋"/>
          <w:sz w:val="32"/>
          <w:szCs w:val="32"/>
        </w:rPr>
        <w:t>。</w:t>
      </w:r>
      <w:bookmarkEnd w:id="59"/>
      <w:bookmarkEnd w:id="60"/>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万元，主要用于</w:t>
      </w:r>
      <w:r>
        <w:rPr>
          <w:rFonts w:hint="eastAsia" w:ascii="仿宋_GB2312" w:eastAsia="仿宋_GB2312"/>
          <w:sz w:val="32"/>
          <w:szCs w:val="32"/>
          <w:lang w:val="en-US" w:eastAsia="zh-CN"/>
        </w:rPr>
        <w:t>:无</w:t>
      </w: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sz w:val="32"/>
          <w:szCs w:val="32"/>
        </w:rPr>
        <w:t>公务用车运行维护费支出</w:t>
      </w:r>
      <w:r>
        <w:rPr>
          <w:rFonts w:ascii="仿宋" w:hAnsi="仿宋" w:eastAsia="仿宋"/>
          <w:b/>
          <w:sz w:val="32"/>
          <w:szCs w:val="32"/>
        </w:rPr>
        <w:t>111.4</w:t>
      </w:r>
      <w:r>
        <w:rPr>
          <w:rFonts w:hint="eastAsia" w:ascii="仿宋_GB2312" w:eastAsia="仿宋_GB2312"/>
          <w:sz w:val="32"/>
          <w:szCs w:val="32"/>
        </w:rPr>
        <w:t>万元。主要用于</w:t>
      </w:r>
      <w:r>
        <w:rPr>
          <w:rFonts w:hint="eastAsia" w:ascii="仿宋_GB2312" w:eastAsia="仿宋_GB2312"/>
          <w:color w:val="000000"/>
          <w:sz w:val="32"/>
          <w:szCs w:val="32"/>
        </w:rPr>
        <w:t>开展业务活动、下乡、执行公务等所需的公务用车燃料费、维修费、过路过桥费、保险费等支出。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27.5</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 w:val="0"/>
          <w:bCs/>
          <w:sz w:val="32"/>
          <w:szCs w:val="32"/>
        </w:rPr>
        <w:t>100%</w:t>
      </w:r>
      <w:r>
        <w:rPr>
          <w:rStyle w:val="17"/>
          <w:rFonts w:hint="eastAsia" w:ascii="仿宋" w:hAnsi="仿宋" w:eastAsia="仿宋"/>
          <w:b w:val="0"/>
          <w:bCs/>
          <w:sz w:val="32"/>
          <w:szCs w:val="32"/>
        </w:rPr>
        <w:t>。</w:t>
      </w:r>
      <w:r>
        <w:rPr>
          <w:rFonts w:hint="eastAsia" w:ascii="仿宋_GB2312" w:eastAsia="仿宋_GB2312"/>
          <w:sz w:val="32"/>
          <w:szCs w:val="32"/>
        </w:rPr>
        <w:t>公务接待费</w:t>
      </w:r>
      <w:r>
        <w:rPr>
          <w:rFonts w:hint="eastAsia" w:ascii="仿宋" w:hAnsi="仿宋" w:eastAsia="仿宋"/>
          <w:sz w:val="32"/>
          <w:szCs w:val="32"/>
          <w:lang w:eastAsia="zh-CN"/>
        </w:rPr>
        <w:t>无法</w:t>
      </w:r>
      <w:r>
        <w:rPr>
          <w:rFonts w:hint="eastAsia" w:ascii="仿宋" w:hAnsi="仿宋" w:eastAsia="仿宋"/>
          <w:sz w:val="32"/>
          <w:szCs w:val="32"/>
        </w:rPr>
        <w:t>与2022年</w:t>
      </w:r>
      <w:r>
        <w:rPr>
          <w:rFonts w:hint="eastAsia" w:ascii="仿宋" w:hAnsi="仿宋" w:eastAsia="仿宋"/>
          <w:sz w:val="32"/>
          <w:szCs w:val="32"/>
          <w:lang w:val="en-US" w:eastAsia="zh-CN"/>
        </w:rPr>
        <w:t>度支出数据相比，主要原因是2022年区机关事务中心与区委办共用一个账套未独立核算，无法取得相关数据</w:t>
      </w:r>
      <w:r>
        <w:rPr>
          <w:rFonts w:hint="eastAsia" w:ascii="仿宋" w:hAnsi="仿宋" w:eastAsia="仿宋"/>
          <w:sz w:val="32"/>
          <w:szCs w:val="32"/>
        </w:rPr>
        <w:t>。</w:t>
      </w:r>
      <w:r>
        <w:rPr>
          <w:rFonts w:hint="eastAsia" w:ascii="仿宋_GB2312" w:eastAsia="仿宋_GB2312"/>
          <w:sz w:val="32"/>
          <w:szCs w:val="32"/>
        </w:rPr>
        <w:t>其中：</w:t>
      </w:r>
    </w:p>
    <w:p>
      <w:pPr>
        <w:spacing w:line="600" w:lineRule="exact"/>
        <w:ind w:firstLine="640"/>
        <w:rPr>
          <w:rFonts w:hint="eastAsia" w:ascii="仿宋_GB2312" w:eastAsia="仿宋_GB2312"/>
          <w:sz w:val="32"/>
          <w:szCs w:val="32"/>
          <w:lang w:eastAsia="zh-CN"/>
        </w:rPr>
      </w:pPr>
      <w:r>
        <w:rPr>
          <w:rFonts w:hint="eastAsia" w:ascii="仿宋" w:hAnsi="仿宋" w:eastAsia="仿宋"/>
          <w:b/>
          <w:sz w:val="32"/>
          <w:szCs w:val="32"/>
        </w:rPr>
        <w:t>国内公务接待支出</w:t>
      </w:r>
      <w:r>
        <w:rPr>
          <w:rFonts w:ascii="仿宋" w:hAnsi="仿宋" w:eastAsia="仿宋"/>
          <w:b/>
          <w:sz w:val="32"/>
          <w:szCs w:val="32"/>
        </w:rPr>
        <w:t>27.5</w:t>
      </w:r>
      <w:r>
        <w:rPr>
          <w:rFonts w:hint="eastAsia" w:ascii="仿宋_GB2312" w:eastAsia="仿宋_GB2312"/>
          <w:sz w:val="32"/>
          <w:szCs w:val="32"/>
        </w:rPr>
        <w:t>万元，主要用于</w:t>
      </w:r>
      <w:r>
        <w:rPr>
          <w:rFonts w:hint="eastAsia" w:ascii="仿宋_GB2312" w:eastAsia="仿宋_GB2312"/>
          <w:color w:val="000000"/>
          <w:sz w:val="32"/>
          <w:szCs w:val="32"/>
        </w:rPr>
        <w:t>执行公务、开展业务活动开支的交通费、住宿费、用餐费等</w:t>
      </w:r>
      <w:r>
        <w:rPr>
          <w:rFonts w:hint="eastAsia" w:ascii="仿宋_GB2312" w:eastAsia="仿宋_GB2312"/>
          <w:sz w:val="32"/>
          <w:szCs w:val="32"/>
        </w:rPr>
        <w:t>。国内公务接待</w:t>
      </w:r>
      <w:r>
        <w:rPr>
          <w:rFonts w:hint="eastAsia" w:ascii="仿宋_GB2312" w:eastAsia="仿宋_GB2312"/>
          <w:sz w:val="32"/>
          <w:szCs w:val="32"/>
          <w:lang w:val="en-US" w:eastAsia="zh-CN"/>
        </w:rPr>
        <w:t>80</w:t>
      </w:r>
      <w:r>
        <w:rPr>
          <w:rFonts w:hint="eastAsia" w:ascii="仿宋_GB2312" w:eastAsia="仿宋_GB2312"/>
          <w:sz w:val="32"/>
          <w:szCs w:val="32"/>
        </w:rPr>
        <w:t>批次，</w:t>
      </w:r>
      <w:r>
        <w:rPr>
          <w:rFonts w:hint="eastAsia" w:ascii="仿宋_GB2312" w:eastAsia="仿宋_GB2312"/>
          <w:sz w:val="32"/>
          <w:szCs w:val="32"/>
          <w:lang w:val="en-US" w:eastAsia="zh-CN"/>
        </w:rPr>
        <w:t>1200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27.5</w:t>
      </w:r>
      <w:r>
        <w:rPr>
          <w:rFonts w:hint="eastAsia" w:ascii="仿宋_GB2312" w:eastAsia="仿宋_GB2312"/>
          <w:sz w:val="32"/>
          <w:szCs w:val="32"/>
        </w:rPr>
        <w:t>万元，具体内容包括：202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月6日接待北京浩翔、中国电建赴金投资考察</w:t>
      </w:r>
      <w:r>
        <w:rPr>
          <w:rFonts w:hint="eastAsia" w:ascii="仿宋_GB2312" w:eastAsia="仿宋_GB2312"/>
          <w:sz w:val="32"/>
          <w:szCs w:val="32"/>
          <w:lang w:val="en-US" w:eastAsia="zh-CN"/>
        </w:rPr>
        <w:t>9635</w:t>
      </w:r>
      <w:r>
        <w:rPr>
          <w:rFonts w:hint="eastAsia" w:ascii="仿宋_GB2312" w:eastAsia="仿宋_GB2312"/>
          <w:sz w:val="32"/>
          <w:szCs w:val="32"/>
        </w:rPr>
        <w:t>元</w:t>
      </w:r>
      <w:r>
        <w:rPr>
          <w:rFonts w:hint="eastAsia" w:ascii="仿宋_GB2312" w:eastAsia="仿宋_GB2312"/>
          <w:sz w:val="32"/>
          <w:szCs w:val="32"/>
          <w:lang w:eastAsia="zh-CN"/>
        </w:rPr>
        <w:t>；</w:t>
      </w:r>
      <w:bookmarkStart w:id="61" w:name="OLE_LINK19"/>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9</w:t>
      </w:r>
      <w:r>
        <w:rPr>
          <w:rFonts w:hint="eastAsia" w:ascii="仿宋_GB2312" w:eastAsia="仿宋_GB2312"/>
          <w:sz w:val="32"/>
          <w:szCs w:val="32"/>
        </w:rPr>
        <w:t>日接待四川金杯半山集团董事局一行来金考察</w:t>
      </w:r>
      <w:r>
        <w:rPr>
          <w:rFonts w:hint="eastAsia" w:ascii="仿宋_GB2312" w:eastAsia="仿宋_GB2312"/>
          <w:sz w:val="32"/>
          <w:szCs w:val="32"/>
          <w:lang w:val="en-US" w:eastAsia="zh-CN"/>
        </w:rPr>
        <w:t>5080</w:t>
      </w:r>
      <w:r>
        <w:rPr>
          <w:rFonts w:hint="eastAsia" w:ascii="仿宋_GB2312" w:eastAsia="仿宋_GB2312"/>
          <w:sz w:val="32"/>
          <w:szCs w:val="32"/>
        </w:rPr>
        <w:t>元</w:t>
      </w:r>
      <w:r>
        <w:rPr>
          <w:rFonts w:hint="eastAsia" w:ascii="仿宋_GB2312" w:eastAsia="仿宋_GB2312"/>
          <w:sz w:val="32"/>
          <w:szCs w:val="32"/>
          <w:lang w:eastAsia="zh-CN"/>
        </w:rPr>
        <w:t>；</w:t>
      </w:r>
      <w:bookmarkEnd w:id="61"/>
      <w:bookmarkStart w:id="62" w:name="OLE_LINK20"/>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23</w:t>
      </w:r>
      <w:r>
        <w:rPr>
          <w:rFonts w:hint="eastAsia" w:ascii="仿宋_GB2312" w:eastAsia="仿宋_GB2312"/>
          <w:sz w:val="32"/>
          <w:szCs w:val="32"/>
        </w:rPr>
        <w:t>日接待</w:t>
      </w:r>
      <w:bookmarkEnd w:id="62"/>
      <w:r>
        <w:rPr>
          <w:rFonts w:hint="eastAsia" w:ascii="仿宋_GB2312" w:eastAsia="仿宋_GB2312"/>
          <w:sz w:val="32"/>
          <w:szCs w:val="32"/>
        </w:rPr>
        <w:t>中国乡村发展志愿服务促进会学前学普项目组赴金调研</w:t>
      </w:r>
      <w:r>
        <w:rPr>
          <w:rFonts w:hint="eastAsia" w:ascii="仿宋_GB2312" w:eastAsia="仿宋_GB2312"/>
          <w:sz w:val="32"/>
          <w:szCs w:val="32"/>
          <w:lang w:val="en-US" w:eastAsia="zh-CN"/>
        </w:rPr>
        <w:t>7115</w:t>
      </w:r>
      <w:bookmarkStart w:id="63" w:name="OLE_LINK21"/>
      <w:r>
        <w:rPr>
          <w:rFonts w:hint="eastAsia" w:ascii="仿宋_GB2312" w:eastAsia="仿宋_GB2312"/>
          <w:sz w:val="32"/>
          <w:szCs w:val="32"/>
        </w:rPr>
        <w:t>元</w:t>
      </w:r>
      <w:bookmarkEnd w:id="63"/>
      <w:r>
        <w:rPr>
          <w:rFonts w:hint="eastAsia" w:ascii="仿宋_GB2312" w:eastAsia="仿宋_GB2312"/>
          <w:sz w:val="32"/>
          <w:szCs w:val="32"/>
          <w:lang w:eastAsia="zh-CN"/>
        </w:rPr>
        <w:t>；</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27</w:t>
      </w:r>
      <w:r>
        <w:rPr>
          <w:rFonts w:hint="eastAsia" w:ascii="仿宋_GB2312" w:eastAsia="仿宋_GB2312"/>
          <w:sz w:val="32"/>
          <w:szCs w:val="32"/>
        </w:rPr>
        <w:t>日接待</w:t>
      </w:r>
      <w:r>
        <w:rPr>
          <w:rFonts w:hint="eastAsia" w:ascii="仿宋_GB2312" w:eastAsia="仿宋_GB2312"/>
          <w:sz w:val="32"/>
          <w:szCs w:val="32"/>
          <w:lang w:eastAsia="zh-CN"/>
        </w:rPr>
        <w:t>四川省委原书记一行赴金调研</w:t>
      </w:r>
      <w:r>
        <w:rPr>
          <w:rFonts w:hint="eastAsia" w:ascii="仿宋_GB2312" w:eastAsia="仿宋_GB2312"/>
          <w:sz w:val="32"/>
          <w:szCs w:val="32"/>
          <w:lang w:val="en-US" w:eastAsia="zh-CN"/>
        </w:rPr>
        <w:t>4375</w:t>
      </w:r>
      <w:r>
        <w:rPr>
          <w:rFonts w:hint="eastAsia" w:ascii="仿宋_GB2312" w:eastAsia="仿宋_GB2312"/>
          <w:sz w:val="32"/>
          <w:szCs w:val="32"/>
        </w:rPr>
        <w:t>元</w:t>
      </w:r>
      <w:r>
        <w:rPr>
          <w:rFonts w:hint="eastAsia" w:ascii="仿宋_GB2312" w:eastAsia="仿宋_GB2312"/>
          <w:sz w:val="32"/>
          <w:szCs w:val="32"/>
          <w:lang w:eastAsia="zh-CN"/>
        </w:rPr>
        <w:t>；</w:t>
      </w:r>
      <w:bookmarkStart w:id="64" w:name="OLE_LINK22"/>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10</w:t>
      </w:r>
      <w:r>
        <w:rPr>
          <w:rFonts w:hint="eastAsia" w:ascii="仿宋_GB2312" w:eastAsia="仿宋_GB2312"/>
          <w:sz w:val="32"/>
          <w:szCs w:val="32"/>
        </w:rPr>
        <w:t>日接待</w:t>
      </w:r>
      <w:r>
        <w:rPr>
          <w:rFonts w:hint="eastAsia" w:ascii="仿宋_GB2312" w:eastAsia="仿宋_GB2312"/>
          <w:sz w:val="32"/>
          <w:szCs w:val="32"/>
          <w:lang w:eastAsia="zh-CN"/>
        </w:rPr>
        <w:t>省委组织部机关党委书记一行赴金调研</w:t>
      </w:r>
      <w:r>
        <w:rPr>
          <w:rFonts w:hint="eastAsia" w:ascii="仿宋_GB2312" w:eastAsia="仿宋_GB2312"/>
          <w:sz w:val="32"/>
          <w:szCs w:val="32"/>
          <w:lang w:val="en-US" w:eastAsia="zh-CN"/>
        </w:rPr>
        <w:t>5790</w:t>
      </w:r>
      <w:r>
        <w:rPr>
          <w:rFonts w:hint="eastAsia" w:ascii="仿宋_GB2312" w:eastAsia="仿宋_GB2312"/>
          <w:sz w:val="32"/>
          <w:szCs w:val="32"/>
        </w:rPr>
        <w:t>元</w:t>
      </w:r>
      <w:r>
        <w:rPr>
          <w:rFonts w:hint="eastAsia" w:ascii="仿宋_GB2312" w:eastAsia="仿宋_GB2312"/>
          <w:sz w:val="32"/>
          <w:szCs w:val="32"/>
          <w:lang w:eastAsia="zh-CN"/>
        </w:rPr>
        <w:t>；</w:t>
      </w:r>
      <w:bookmarkEnd w:id="64"/>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18</w:t>
      </w:r>
      <w:r>
        <w:rPr>
          <w:rFonts w:hint="eastAsia" w:ascii="仿宋_GB2312" w:eastAsia="仿宋_GB2312"/>
          <w:sz w:val="32"/>
          <w:szCs w:val="32"/>
        </w:rPr>
        <w:t>日接待</w:t>
      </w:r>
      <w:r>
        <w:rPr>
          <w:rFonts w:hint="eastAsia" w:ascii="仿宋_GB2312" w:eastAsia="仿宋_GB2312"/>
          <w:sz w:val="32"/>
          <w:szCs w:val="32"/>
          <w:lang w:eastAsia="zh-CN"/>
        </w:rPr>
        <w:t>省级节约型公共机构示范单位创建组来金开展实地评价</w:t>
      </w:r>
      <w:r>
        <w:rPr>
          <w:rFonts w:hint="eastAsia" w:ascii="仿宋_GB2312" w:eastAsia="仿宋_GB2312"/>
          <w:sz w:val="32"/>
          <w:szCs w:val="32"/>
          <w:lang w:val="en-US" w:eastAsia="zh-CN"/>
        </w:rPr>
        <w:t>5900</w:t>
      </w:r>
      <w:r>
        <w:rPr>
          <w:rFonts w:hint="eastAsia" w:ascii="仿宋_GB2312" w:eastAsia="仿宋_GB2312"/>
          <w:sz w:val="32"/>
          <w:szCs w:val="32"/>
        </w:rPr>
        <w:t>元</w:t>
      </w:r>
      <w:r>
        <w:rPr>
          <w:rFonts w:hint="eastAsia" w:ascii="仿宋_GB2312" w:eastAsia="仿宋_GB2312"/>
          <w:sz w:val="32"/>
          <w:szCs w:val="32"/>
          <w:lang w:eastAsia="zh-CN"/>
        </w:rPr>
        <w:t>；</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6</w:t>
      </w:r>
      <w:r>
        <w:rPr>
          <w:rFonts w:hint="eastAsia" w:ascii="仿宋_GB2312" w:eastAsia="仿宋_GB2312"/>
          <w:sz w:val="32"/>
          <w:szCs w:val="32"/>
        </w:rPr>
        <w:t>日接待</w:t>
      </w:r>
      <w:r>
        <w:rPr>
          <w:rFonts w:hint="eastAsia" w:ascii="仿宋_GB2312" w:eastAsia="仿宋_GB2312"/>
          <w:sz w:val="32"/>
          <w:szCs w:val="32"/>
          <w:lang w:eastAsia="zh-CN"/>
        </w:rPr>
        <w:t>成都大运会期间保安全防灾害第十综合督导组赴金督导</w:t>
      </w:r>
      <w:r>
        <w:rPr>
          <w:rFonts w:hint="eastAsia" w:ascii="仿宋_GB2312" w:eastAsia="仿宋_GB2312"/>
          <w:sz w:val="32"/>
          <w:szCs w:val="32"/>
          <w:lang w:val="en-US" w:eastAsia="zh-CN"/>
        </w:rPr>
        <w:t>3950</w:t>
      </w:r>
      <w:r>
        <w:rPr>
          <w:rFonts w:hint="eastAsia" w:ascii="仿宋_GB2312" w:eastAsia="仿宋_GB2312"/>
          <w:sz w:val="32"/>
          <w:szCs w:val="32"/>
        </w:rPr>
        <w:t>元</w:t>
      </w:r>
      <w:r>
        <w:rPr>
          <w:rFonts w:hint="eastAsia" w:ascii="仿宋_GB2312" w:eastAsia="仿宋_GB2312"/>
          <w:sz w:val="32"/>
          <w:szCs w:val="32"/>
          <w:lang w:eastAsia="zh-CN"/>
        </w:rPr>
        <w:t>；</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7</w:t>
      </w:r>
      <w:r>
        <w:rPr>
          <w:rFonts w:hint="eastAsia" w:ascii="仿宋_GB2312" w:eastAsia="仿宋_GB2312"/>
          <w:sz w:val="32"/>
          <w:szCs w:val="32"/>
        </w:rPr>
        <w:t>日接待</w:t>
      </w:r>
      <w:r>
        <w:rPr>
          <w:rFonts w:hint="eastAsia" w:ascii="仿宋_GB2312" w:eastAsia="仿宋_GB2312"/>
          <w:sz w:val="32"/>
          <w:szCs w:val="32"/>
          <w:lang w:eastAsia="zh-CN"/>
        </w:rPr>
        <w:t>四川锦弘集团来金座谈</w:t>
      </w:r>
      <w:r>
        <w:rPr>
          <w:rFonts w:hint="eastAsia" w:ascii="仿宋_GB2312" w:eastAsia="仿宋_GB2312"/>
          <w:sz w:val="32"/>
          <w:szCs w:val="32"/>
          <w:lang w:val="en-US" w:eastAsia="zh-CN"/>
        </w:rPr>
        <w:t>8000</w:t>
      </w:r>
      <w:r>
        <w:rPr>
          <w:rFonts w:hint="eastAsia" w:ascii="仿宋_GB2312" w:eastAsia="仿宋_GB2312"/>
          <w:sz w:val="32"/>
          <w:szCs w:val="32"/>
        </w:rPr>
        <w:t>元</w:t>
      </w:r>
      <w:r>
        <w:rPr>
          <w:rFonts w:hint="eastAsia" w:ascii="仿宋_GB2312" w:eastAsia="仿宋_GB2312"/>
          <w:sz w:val="32"/>
          <w:szCs w:val="32"/>
          <w:lang w:eastAsia="zh-CN"/>
        </w:rPr>
        <w:t>；</w:t>
      </w:r>
      <w:bookmarkStart w:id="65" w:name="OLE_LINK23"/>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20</w:t>
      </w:r>
      <w:r>
        <w:rPr>
          <w:rFonts w:hint="eastAsia" w:ascii="仿宋_GB2312" w:eastAsia="仿宋_GB2312"/>
          <w:sz w:val="32"/>
          <w:szCs w:val="32"/>
        </w:rPr>
        <w:t>日接待</w:t>
      </w:r>
      <w:r>
        <w:rPr>
          <w:rFonts w:hint="eastAsia" w:ascii="仿宋_GB2312" w:eastAsia="仿宋_GB2312"/>
          <w:sz w:val="32"/>
          <w:szCs w:val="32"/>
          <w:lang w:eastAsia="zh-CN"/>
        </w:rPr>
        <w:t>美姑县常委、县委副书记一行赴金考察</w:t>
      </w:r>
      <w:r>
        <w:rPr>
          <w:rFonts w:hint="eastAsia" w:ascii="仿宋_GB2312" w:eastAsia="仿宋_GB2312"/>
          <w:sz w:val="32"/>
          <w:szCs w:val="32"/>
          <w:lang w:val="en-US" w:eastAsia="zh-CN"/>
        </w:rPr>
        <w:t>9868</w:t>
      </w:r>
      <w:r>
        <w:rPr>
          <w:rFonts w:hint="eastAsia" w:ascii="仿宋_GB2312" w:eastAsia="仿宋_GB2312"/>
          <w:sz w:val="32"/>
          <w:szCs w:val="32"/>
        </w:rPr>
        <w:t>元</w:t>
      </w:r>
      <w:r>
        <w:rPr>
          <w:rFonts w:hint="eastAsia" w:ascii="仿宋_GB2312" w:eastAsia="仿宋_GB2312"/>
          <w:sz w:val="32"/>
          <w:szCs w:val="32"/>
          <w:lang w:eastAsia="zh-CN"/>
        </w:rPr>
        <w:t>；</w:t>
      </w:r>
      <w:bookmarkEnd w:id="65"/>
      <w:bookmarkStart w:id="66" w:name="OLE_LINK24"/>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13</w:t>
      </w:r>
      <w:r>
        <w:rPr>
          <w:rFonts w:hint="eastAsia" w:ascii="仿宋_GB2312" w:eastAsia="仿宋_GB2312"/>
          <w:sz w:val="32"/>
          <w:szCs w:val="32"/>
        </w:rPr>
        <w:t>日接待</w:t>
      </w:r>
      <w:r>
        <w:rPr>
          <w:rFonts w:hint="eastAsia" w:ascii="仿宋_GB2312" w:eastAsia="仿宋_GB2312"/>
          <w:sz w:val="32"/>
          <w:szCs w:val="32"/>
          <w:lang w:eastAsia="zh-CN"/>
        </w:rPr>
        <w:t>省交通运输厅一行到金调研定点帮扶和交通安全工作</w:t>
      </w:r>
      <w:r>
        <w:rPr>
          <w:rFonts w:hint="eastAsia" w:ascii="仿宋_GB2312" w:eastAsia="仿宋_GB2312"/>
          <w:sz w:val="32"/>
          <w:szCs w:val="32"/>
          <w:lang w:val="en-US" w:eastAsia="zh-CN"/>
        </w:rPr>
        <w:t>4440</w:t>
      </w:r>
      <w:r>
        <w:rPr>
          <w:rFonts w:hint="eastAsia" w:ascii="仿宋_GB2312" w:eastAsia="仿宋_GB2312"/>
          <w:sz w:val="32"/>
          <w:szCs w:val="32"/>
        </w:rPr>
        <w:t>元</w:t>
      </w:r>
      <w:r>
        <w:rPr>
          <w:rFonts w:hint="eastAsia" w:ascii="仿宋_GB2312" w:eastAsia="仿宋_GB2312"/>
          <w:sz w:val="32"/>
          <w:szCs w:val="32"/>
          <w:lang w:eastAsia="zh-CN"/>
        </w:rPr>
        <w:t>；</w:t>
      </w:r>
      <w:bookmarkEnd w:id="66"/>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13</w:t>
      </w:r>
      <w:r>
        <w:rPr>
          <w:rFonts w:hint="eastAsia" w:ascii="仿宋_GB2312" w:eastAsia="仿宋_GB2312"/>
          <w:sz w:val="32"/>
          <w:szCs w:val="32"/>
        </w:rPr>
        <w:t>日接待</w:t>
      </w:r>
      <w:r>
        <w:rPr>
          <w:rFonts w:hint="eastAsia" w:ascii="仿宋_GB2312" w:eastAsia="仿宋_GB2312"/>
          <w:sz w:val="32"/>
          <w:szCs w:val="32"/>
          <w:lang w:eastAsia="zh-CN"/>
        </w:rPr>
        <w:t>省委第二巡回督导组组长一行到金开展主题教育工作巡回督导</w:t>
      </w:r>
      <w:r>
        <w:rPr>
          <w:rFonts w:hint="eastAsia" w:ascii="仿宋_GB2312" w:eastAsia="仿宋_GB2312"/>
          <w:sz w:val="32"/>
          <w:szCs w:val="32"/>
          <w:lang w:val="en-US" w:eastAsia="zh-CN"/>
        </w:rPr>
        <w:t>7860</w:t>
      </w:r>
      <w:r>
        <w:rPr>
          <w:rFonts w:hint="eastAsia" w:ascii="仿宋_GB2312" w:eastAsia="仿宋_GB2312"/>
          <w:sz w:val="32"/>
          <w:szCs w:val="32"/>
        </w:rPr>
        <w:t>元</w:t>
      </w:r>
      <w:r>
        <w:rPr>
          <w:rFonts w:hint="eastAsia" w:ascii="仿宋_GB2312" w:eastAsia="仿宋_GB2312"/>
          <w:sz w:val="32"/>
          <w:szCs w:val="32"/>
          <w:lang w:eastAsia="zh-CN"/>
        </w:rPr>
        <w:t>。</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万元，主要用于接待：无。外事接待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outlineLvl w:val="1"/>
        <w:rPr>
          <w:rStyle w:val="29"/>
          <w:rFonts w:ascii="黑体" w:hAnsi="黑体" w:eastAsia="黑体"/>
        </w:rPr>
      </w:pPr>
      <w:r>
        <w:rPr>
          <w:rFonts w:hint="eastAsia" w:ascii="黑体" w:eastAsia="黑体"/>
          <w:sz w:val="32"/>
          <w:szCs w:val="32"/>
        </w:rPr>
        <w:t>八、</w:t>
      </w:r>
      <w:r>
        <w:rPr>
          <w:rStyle w:val="29"/>
          <w:rFonts w:hint="eastAsia" w:ascii="黑体" w:hAnsi="黑体" w:eastAsia="黑体"/>
          <w:b w:val="0"/>
        </w:rPr>
        <w:t>政府性基金预算支出决算情况说明</w:t>
      </w:r>
      <w:bookmarkEnd w:id="56"/>
      <w:bookmarkEnd w:id="57"/>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3"/>
        </w:numPr>
        <w:spacing w:line="600" w:lineRule="exact"/>
        <w:ind w:firstLine="640"/>
        <w:outlineLvl w:val="1"/>
        <w:rPr>
          <w:rStyle w:val="29"/>
          <w:rFonts w:ascii="黑体" w:hAnsi="黑体" w:eastAsia="黑体"/>
          <w:b w:val="0"/>
        </w:rPr>
      </w:pPr>
      <w:bookmarkStart w:id="67" w:name="_Toc15396611"/>
      <w:bookmarkStart w:id="68" w:name="_Toc15377219"/>
      <w:r>
        <w:rPr>
          <w:rStyle w:val="29"/>
          <w:rFonts w:hint="eastAsia" w:ascii="黑体" w:hAnsi="黑体" w:eastAsia="黑体"/>
          <w:b w:val="0"/>
        </w:rPr>
        <w:t>国有资本经营预算支出决算情况说明</w:t>
      </w:r>
      <w:bookmarkEnd w:id="67"/>
      <w:bookmarkEnd w:id="68"/>
    </w:p>
    <w:p>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3"/>
        </w:numPr>
        <w:spacing w:line="600" w:lineRule="exact"/>
        <w:ind w:firstLine="640"/>
        <w:outlineLvl w:val="1"/>
        <w:rPr>
          <w:rStyle w:val="29"/>
          <w:rFonts w:ascii="黑体" w:hAnsi="黑体" w:eastAsia="黑体"/>
          <w:b w:val="0"/>
        </w:rPr>
      </w:pPr>
      <w:bookmarkStart w:id="69" w:name="_Toc15396612"/>
      <w:bookmarkStart w:id="70" w:name="_Toc15377221"/>
      <w:r>
        <w:rPr>
          <w:rStyle w:val="29"/>
          <w:rFonts w:hint="eastAsia" w:ascii="黑体" w:hAnsi="黑体" w:eastAsia="黑体"/>
          <w:b w:val="0"/>
        </w:rPr>
        <w:t>其他重要事项的情况说明</w:t>
      </w:r>
      <w:bookmarkEnd w:id="69"/>
      <w:bookmarkEnd w:id="70"/>
    </w:p>
    <w:p>
      <w:pPr>
        <w:spacing w:line="600" w:lineRule="exact"/>
        <w:ind w:firstLine="643" w:firstLineChars="200"/>
        <w:outlineLvl w:val="2"/>
        <w:rPr>
          <w:rFonts w:ascii="仿宋" w:hAnsi="仿宋" w:eastAsia="仿宋"/>
          <w:sz w:val="32"/>
          <w:szCs w:val="32"/>
        </w:rPr>
      </w:pPr>
      <w:bookmarkStart w:id="71" w:name="_Toc15377222"/>
      <w:r>
        <w:rPr>
          <w:rFonts w:hint="eastAsia" w:ascii="仿宋" w:hAnsi="仿宋" w:eastAsia="仿宋"/>
          <w:b/>
          <w:sz w:val="32"/>
          <w:szCs w:val="32"/>
        </w:rPr>
        <w:t>（一）机关运行经费支出情况</w:t>
      </w:r>
      <w:bookmarkEnd w:id="71"/>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乐山市金口河区机关事务服务中心</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w:t>
      </w:r>
      <w:r>
        <w:rPr>
          <w:rFonts w:hint="eastAsia" w:ascii="仿宋" w:hAnsi="仿宋" w:eastAsia="仿宋"/>
          <w:sz w:val="32"/>
          <w:szCs w:val="32"/>
          <w:lang w:eastAsia="zh-CN"/>
        </w:rPr>
        <w:t>无法</w:t>
      </w:r>
      <w:r>
        <w:rPr>
          <w:rFonts w:hint="eastAsia" w:ascii="仿宋" w:hAnsi="仿宋" w:eastAsia="仿宋"/>
          <w:sz w:val="32"/>
          <w:szCs w:val="32"/>
        </w:rPr>
        <w:t>与2022年</w:t>
      </w:r>
      <w:r>
        <w:rPr>
          <w:rFonts w:hint="eastAsia" w:ascii="仿宋" w:hAnsi="仿宋" w:eastAsia="仿宋"/>
          <w:sz w:val="32"/>
          <w:szCs w:val="32"/>
          <w:lang w:val="en-US" w:eastAsia="zh-CN"/>
        </w:rPr>
        <w:t>度机关运行经费数据相比，主要原因是2022年区机关事务中心与区委办共用一个账套未独立核算，无法取得决算数据</w:t>
      </w:r>
      <w:r>
        <w:rPr>
          <w:rFonts w:hint="eastAsia" w:ascii="仿宋" w:hAnsi="仿宋" w:eastAsia="仿宋"/>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2" w:name="_Toc15377223"/>
      <w:r>
        <w:rPr>
          <w:rFonts w:hint="eastAsia" w:ascii="仿宋" w:hAnsi="仿宋" w:eastAsia="仿宋"/>
          <w:b/>
          <w:sz w:val="32"/>
          <w:szCs w:val="32"/>
        </w:rPr>
        <w:t>（二）政府采购支出情况</w:t>
      </w:r>
      <w:bookmarkEnd w:id="72"/>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乐山市金口河区机关事务服务中心</w:t>
      </w:r>
      <w:r>
        <w:rPr>
          <w:rFonts w:hint="eastAsia" w:ascii="仿宋_GB2312" w:eastAsia="仿宋_GB2312"/>
          <w:sz w:val="32"/>
          <w:szCs w:val="32"/>
        </w:rPr>
        <w:t>政府采购支出总额</w:t>
      </w:r>
      <w:r>
        <w:rPr>
          <w:rFonts w:ascii="仿宋" w:hAnsi="仿宋" w:eastAsia="仿宋"/>
          <w:b/>
          <w:sz w:val="32"/>
          <w:szCs w:val="32"/>
        </w:rPr>
        <w:t>48.86</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48.86</w:t>
      </w:r>
      <w:r>
        <w:rPr>
          <w:rFonts w:hint="eastAsia" w:ascii="仿宋_GB2312" w:eastAsia="仿宋_GB2312"/>
          <w:sz w:val="32"/>
          <w:szCs w:val="32"/>
        </w:rPr>
        <w:t>万元。主要用于政府食堂劳务服务采购。授予中小企业合同金额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3" w:name="_Toc15377224"/>
      <w:r>
        <w:rPr>
          <w:rFonts w:hint="eastAsia" w:ascii="仿宋" w:hAnsi="仿宋" w:eastAsia="仿宋"/>
          <w:b/>
          <w:sz w:val="32"/>
          <w:szCs w:val="32"/>
        </w:rPr>
        <w:t>（三）国有资产占有使用情况</w:t>
      </w:r>
      <w:bookmarkEnd w:id="73"/>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sz w:val="32"/>
          <w:szCs w:val="32"/>
        </w:rPr>
        <w:t>乐山市金口河区机关事务服务中心</w:t>
      </w:r>
      <w:r>
        <w:rPr>
          <w:rFonts w:hint="eastAsia" w:ascii="仿宋_GB2312" w:eastAsia="仿宋_GB2312"/>
          <w:sz w:val="32"/>
          <w:szCs w:val="32"/>
        </w:rPr>
        <w:t>共有车辆0辆，其中：主要领导干部用车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辆，其他用车主要是用于</w:t>
      </w:r>
      <w:r>
        <w:rPr>
          <w:rFonts w:hint="eastAsia" w:ascii="仿宋_GB2312" w:eastAsia="仿宋_GB2312"/>
          <w:sz w:val="32"/>
          <w:szCs w:val="32"/>
          <w:lang w:eastAsia="zh-CN"/>
        </w:rPr>
        <w:t>：无</w:t>
      </w:r>
      <w:r>
        <w:rPr>
          <w:rFonts w:hint="eastAsia" w:ascii="仿宋_GB2312" w:eastAsia="仿宋_GB2312"/>
          <w:sz w:val="32"/>
          <w:szCs w:val="32"/>
        </w:rPr>
        <w:t>。</w:t>
      </w:r>
      <w:bookmarkEnd w:id="22"/>
      <w:r>
        <w:rPr>
          <w:rFonts w:hint="eastAsia" w:ascii="仿宋_GB2312" w:eastAsia="仿宋_GB2312"/>
          <w:sz w:val="32"/>
          <w:szCs w:val="32"/>
        </w:rPr>
        <w:t>单价</w:t>
      </w:r>
      <w:r>
        <w:rPr>
          <w:rFonts w:hint="eastAsia" w:ascii="仿宋_GB2312" w:eastAsia="仿宋_GB2312"/>
          <w:sz w:val="32"/>
          <w:szCs w:val="32"/>
          <w:lang w:val="en-US" w:eastAsia="zh-CN"/>
        </w:rPr>
        <w:t>50</w:t>
      </w:r>
      <w:r>
        <w:rPr>
          <w:rFonts w:hint="eastAsia" w:ascii="仿宋_GB2312" w:eastAsia="仿宋_GB2312"/>
          <w:sz w:val="32"/>
          <w:szCs w:val="32"/>
        </w:rPr>
        <w:t>万元以上</w:t>
      </w:r>
      <w:r>
        <w:rPr>
          <w:rFonts w:hint="eastAsia" w:ascii="仿宋_GB2312" w:eastAsia="仿宋_GB2312"/>
          <w:sz w:val="32"/>
          <w:szCs w:val="32"/>
          <w:lang w:eastAsia="zh-CN"/>
        </w:rPr>
        <w:t>通用</w:t>
      </w:r>
      <w:r>
        <w:rPr>
          <w:rFonts w:hint="eastAsia" w:ascii="仿宋_GB2312" w:eastAsia="仿宋_GB2312"/>
          <w:sz w:val="32"/>
          <w:szCs w:val="32"/>
        </w:rPr>
        <w:t>设备</w:t>
      </w:r>
      <w:r>
        <w:rPr>
          <w:rFonts w:ascii="仿宋_GB2312" w:eastAsia="仿宋_GB2312"/>
          <w:sz w:val="32"/>
          <w:szCs w:val="32"/>
        </w:rPr>
        <w:t>0</w:t>
      </w:r>
      <w:r>
        <w:rPr>
          <w:rFonts w:hint="eastAsia" w:ascii="仿宋_GB2312" w:eastAsia="仿宋_GB2312"/>
          <w:sz w:val="32"/>
          <w:szCs w:val="32"/>
        </w:rPr>
        <w:t>台（套）</w:t>
      </w:r>
      <w:bookmarkStart w:id="74" w:name="OLE_LINK27"/>
      <w:r>
        <w:rPr>
          <w:rFonts w:hint="eastAsia" w:ascii="仿宋_GB2312" w:eastAsia="仿宋_GB2312"/>
          <w:sz w:val="32"/>
          <w:szCs w:val="32"/>
          <w:lang w:eastAsia="zh-CN"/>
        </w:rPr>
        <w:t>，</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w:t>
      </w:r>
      <w:r>
        <w:rPr>
          <w:rFonts w:hint="eastAsia" w:ascii="仿宋_GB2312" w:eastAsia="仿宋_GB2312"/>
          <w:sz w:val="32"/>
          <w:szCs w:val="32"/>
          <w:lang w:eastAsia="zh-CN"/>
        </w:rPr>
        <w:t>专用</w:t>
      </w:r>
      <w:r>
        <w:rPr>
          <w:rFonts w:hint="eastAsia" w:ascii="仿宋_GB2312" w:eastAsia="仿宋_GB2312"/>
          <w:sz w:val="32"/>
          <w:szCs w:val="32"/>
        </w:rPr>
        <w:t>设备（不含车辆）</w:t>
      </w:r>
      <w:r>
        <w:rPr>
          <w:rFonts w:ascii="仿宋_GB2312" w:eastAsia="仿宋_GB2312"/>
          <w:sz w:val="32"/>
          <w:szCs w:val="32"/>
        </w:rPr>
        <w:t>0</w:t>
      </w:r>
      <w:r>
        <w:rPr>
          <w:rFonts w:hint="eastAsia" w:ascii="仿宋_GB2312" w:eastAsia="仿宋_GB2312"/>
          <w:sz w:val="32"/>
          <w:szCs w:val="32"/>
        </w:rPr>
        <w:t>台（套）</w:t>
      </w:r>
      <w:bookmarkEnd w:id="74"/>
      <w:r>
        <w:rPr>
          <w:rFonts w:hint="eastAsia" w:ascii="仿宋_GB2312" w:eastAsia="仿宋_GB2312"/>
          <w:sz w:val="32"/>
          <w:szCs w:val="32"/>
        </w:rPr>
        <w:t>。</w:t>
      </w:r>
    </w:p>
    <w:p>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表，按单位决算报表填报数据罗列车辆情况。）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bookmarkStart w:id="75" w:name="OLE_LINK29"/>
      <w:r>
        <w:rPr>
          <w:rFonts w:hint="eastAsia" w:ascii="仿宋_GB2312" w:eastAsia="仿宋_GB2312"/>
          <w:sz w:val="32"/>
          <w:szCs w:val="32"/>
          <w:lang w:eastAsia="zh-CN"/>
        </w:rPr>
        <w:t>日常运转维修经费</w:t>
      </w:r>
      <w:r>
        <w:rPr>
          <w:rFonts w:hint="eastAsia" w:ascii="仿宋_GB2312" w:eastAsia="仿宋_GB2312"/>
          <w:sz w:val="32"/>
          <w:szCs w:val="32"/>
          <w:lang w:val="en-US" w:eastAsia="zh-CN"/>
        </w:rPr>
        <w:t>1</w:t>
      </w:r>
      <w:r>
        <w:rPr>
          <w:rFonts w:hint="eastAsia" w:ascii="仿宋_GB2312" w:eastAsia="仿宋_GB2312"/>
          <w:sz w:val="32"/>
          <w:szCs w:val="32"/>
        </w:rPr>
        <w:t>个项</w:t>
      </w:r>
      <w:bookmarkEnd w:id="75"/>
      <w:r>
        <w:rPr>
          <w:rFonts w:hint="eastAsia" w:ascii="仿宋_GB2312" w:eastAsia="仿宋_GB2312"/>
          <w:sz w:val="32"/>
          <w:szCs w:val="32"/>
        </w:rPr>
        <w:t>目开展了预算事前绩效评估，对</w:t>
      </w:r>
      <w:r>
        <w:rPr>
          <w:rFonts w:hint="eastAsia" w:ascii="仿宋_GB2312" w:eastAsia="仿宋_GB2312"/>
          <w:sz w:val="32"/>
          <w:szCs w:val="32"/>
          <w:lang w:val="en-US" w:eastAsia="zh-CN"/>
        </w:rPr>
        <w:t>1</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1</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1</w:t>
      </w:r>
      <w:r>
        <w:rPr>
          <w:rFonts w:hint="eastAsia" w:ascii="仿宋_GB2312" w:eastAsia="仿宋_GB2312"/>
          <w:sz w:val="32"/>
          <w:szCs w:val="32"/>
        </w:rPr>
        <w:t>个项目开展绩效自评，绩效自评表详见第四部分附件。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numPr>
          <w:ilvl w:val="0"/>
          <w:numId w:val="4"/>
        </w:numPr>
        <w:spacing w:line="600" w:lineRule="exact"/>
        <w:ind w:firstLine="660" w:firstLineChars="150"/>
        <w:jc w:val="center"/>
        <w:outlineLvl w:val="0"/>
        <w:rPr>
          <w:rStyle w:val="28"/>
          <w:rFonts w:ascii="黑体" w:hAnsi="黑体" w:eastAsia="黑体"/>
          <w:b w:val="0"/>
        </w:rPr>
      </w:pPr>
      <w:bookmarkStart w:id="76" w:name="_Toc15396613"/>
      <w:bookmarkStart w:id="77" w:name="_Toc15377225"/>
      <w:r>
        <w:rPr>
          <w:rFonts w:hint="eastAsia" w:ascii="黑体" w:hAnsi="黑体" w:eastAsia="黑体"/>
          <w:sz w:val="44"/>
          <w:szCs w:val="44"/>
        </w:rPr>
        <w:t>名</w:t>
      </w:r>
      <w:r>
        <w:rPr>
          <w:rStyle w:val="28"/>
          <w:rFonts w:hint="eastAsia" w:ascii="黑体" w:hAnsi="黑体" w:eastAsia="黑体"/>
          <w:b w:val="0"/>
        </w:rPr>
        <w:t>词解释</w:t>
      </w:r>
      <w:bookmarkEnd w:id="76"/>
      <w:bookmarkEnd w:id="77"/>
    </w:p>
    <w:p>
      <w:pPr>
        <w:spacing w:line="600" w:lineRule="exact"/>
        <w:jc w:val="left"/>
        <w:rPr>
          <w:rFonts w:ascii="宋体"/>
          <w:b/>
          <w:sz w:val="44"/>
          <w:szCs w:val="44"/>
        </w:rPr>
      </w:pPr>
    </w:p>
    <w:p>
      <w:pPr>
        <w:pStyle w:val="26"/>
        <w:spacing w:line="560" w:lineRule="exact"/>
        <w:ind w:firstLine="640" w:firstLineChars="200"/>
        <w:rPr>
          <w:rFonts w:ascii="仿宋_GB2312" w:eastAsia="仿宋_GB2312"/>
          <w:color w:val="auto"/>
          <w:sz w:val="32"/>
          <w:szCs w:val="32"/>
        </w:rPr>
      </w:pPr>
      <w:bookmarkStart w:id="78" w:name="OLE_LINK32"/>
      <w:bookmarkStart w:id="79" w:name="OLE_LINK30"/>
      <w:bookmarkStart w:id="80" w:name="OLE_LINK17"/>
      <w:bookmarkStart w:id="81" w:name="OLE_LINK18"/>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其他收入：指单位取得的除上述收入以外的各项收入。主要是银行利息等。</w:t>
      </w:r>
      <w:r>
        <w:rPr>
          <w:rFonts w:ascii="仿宋_GB2312" w:eastAsia="仿宋_GB2312"/>
          <w:color w:val="auto"/>
          <w:sz w:val="32"/>
          <w:szCs w:val="32"/>
        </w:rPr>
        <w:t xml:space="preserve"> </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hAnsi="Calibri" w:eastAsia="仿宋_GB2312" w:cs="仿宋"/>
          <w:kern w:val="0"/>
          <w:sz w:val="32"/>
          <w:szCs w:val="32"/>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hAnsi="Calibri" w:eastAsia="仿宋_GB2312" w:cs="仿宋"/>
          <w:kern w:val="0"/>
          <w:sz w:val="32"/>
          <w:szCs w:val="32"/>
        </w:rPr>
        <w:t>一般公共服务（类）党委办公厅（室）及相关机构事务（款）机关服务（项）：指为行政单位提供后勤服务的各类后勤服务中心、医务室等附属事业单位的支出。其他事业单位的支出，凡单独设置了项级科目的，在单独设置的项级科目中反映。未单设项级科目的，在“其他”项级科目中反映。</w:t>
      </w:r>
    </w:p>
    <w:p>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lang w:val="en-US" w:eastAsia="zh-CN"/>
        </w:rPr>
        <w:t>6.</w:t>
      </w:r>
      <w:r>
        <w:rPr>
          <w:rFonts w:hint="eastAsia" w:ascii="仿宋_GB2312" w:hAnsi="Calibri" w:eastAsia="仿宋_GB2312" w:cs="仿宋"/>
          <w:kern w:val="0"/>
          <w:sz w:val="32"/>
          <w:szCs w:val="32"/>
        </w:rPr>
        <w:t>一般公共服务（类）党委办公厅（室）及相关机构事务（款）事业运行（项）：指事业单位的基本支出，不包括行政单位(包括实行公务员管理的事业单位)后勤服务中心、医务室等附属事业单位。</w:t>
      </w:r>
    </w:p>
    <w:p>
      <w:pPr>
        <w:pStyle w:val="6"/>
        <w:spacing w:before="93"/>
        <w:ind w:firstLine="640" w:firstLineChars="200"/>
        <w:rPr>
          <w:sz w:val="32"/>
          <w:szCs w:val="32"/>
        </w:rPr>
      </w:pPr>
      <w:r>
        <w:rPr>
          <w:rFonts w:hint="eastAsia" w:hAnsi="Calibri" w:cs="仿宋"/>
          <w:sz w:val="32"/>
          <w:szCs w:val="32"/>
          <w:lang w:val="en-US" w:eastAsia="zh-CN"/>
        </w:rPr>
        <w:t>7.</w:t>
      </w:r>
      <w:r>
        <w:rPr>
          <w:rFonts w:hint="eastAsia" w:hAnsi="Calibri" w:cs="仿宋"/>
          <w:sz w:val="32"/>
          <w:szCs w:val="32"/>
        </w:rPr>
        <w:t>一般公共服务（类）党委办公厅（室）及相关机构事务（款）其他党委办公厅（室）及相关机构事务支出（项）:指其他用于党委办公厅（室）及相关机构事务支出。</w:t>
      </w:r>
    </w:p>
    <w:p>
      <w:pPr>
        <w:ind w:firstLine="640" w:firstLineChars="200"/>
        <w:rPr>
          <w:rFonts w:ascii="仿宋_GB2312" w:eastAsia="仿宋_GB2312"/>
          <w:sz w:val="32"/>
          <w:szCs w:val="32"/>
        </w:rPr>
      </w:pPr>
    </w:p>
    <w:p>
      <w:pPr>
        <w:ind w:firstLine="640" w:firstLineChars="200"/>
        <w:rPr>
          <w:rFonts w:ascii="仿宋_GB2312" w:eastAsia="仿宋_GB2312"/>
          <w:color w:val="000000"/>
          <w:sz w:val="32"/>
          <w:szCs w:val="32"/>
        </w:rPr>
      </w:pPr>
      <w:r>
        <w:rPr>
          <w:rFonts w:hint="eastAsia" w:ascii="仿宋_GB2312" w:eastAsia="仿宋_GB2312"/>
          <w:sz w:val="32"/>
          <w:szCs w:val="32"/>
          <w:lang w:val="en-US" w:eastAsia="zh-CN"/>
        </w:rPr>
        <w:t>8</w:t>
      </w:r>
      <w:r>
        <w:rPr>
          <w:rFonts w:ascii="仿宋_GB2312" w:eastAsia="仿宋_GB2312"/>
          <w:sz w:val="32"/>
          <w:szCs w:val="32"/>
        </w:rPr>
        <w:t>.</w:t>
      </w:r>
      <w:r>
        <w:rPr>
          <w:rFonts w:hint="eastAsia" w:ascii="仿宋_GB2312" w:eastAsia="仿宋_GB2312"/>
          <w:sz w:val="32"/>
          <w:szCs w:val="32"/>
        </w:rPr>
        <w:t>社会保障和就业（类）</w:t>
      </w:r>
      <w:r>
        <w:rPr>
          <w:rFonts w:hint="eastAsia" w:ascii="仿宋_GB2312" w:eastAsia="仿宋_GB2312"/>
          <w:color w:val="000000"/>
          <w:sz w:val="32"/>
          <w:szCs w:val="32"/>
        </w:rPr>
        <w:t>行政事业单位养老支出（款）机关事业单位基本养老保险缴费（项）：指机关事业单位实施养老保险制度由单位缴纳的基本养老保险费支出。</w:t>
      </w:r>
    </w:p>
    <w:p>
      <w:pPr>
        <w:ind w:firstLine="640" w:firstLineChars="200"/>
        <w:rPr>
          <w:rFonts w:hint="eastAsia" w:ascii="仿宋_GB2312" w:eastAsia="仿宋_GB2312"/>
          <w:color w:val="000000"/>
          <w:sz w:val="32"/>
          <w:szCs w:val="32"/>
        </w:rPr>
      </w:pPr>
      <w:bookmarkStart w:id="82" w:name="OLE_LINK14"/>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社会保障和就业（类）</w:t>
      </w:r>
      <w:bookmarkEnd w:id="82"/>
      <w:r>
        <w:rPr>
          <w:rFonts w:hint="eastAsia" w:ascii="仿宋_GB2312" w:eastAsia="仿宋_GB2312"/>
          <w:color w:val="000000"/>
          <w:sz w:val="32"/>
          <w:szCs w:val="32"/>
        </w:rPr>
        <w:t>行政事业单位养老支出（款）机关事业单位职业年金缴费（项）：指机关事业单位实施养老保险制度由单位实际缴纳的职业年金支出。</w:t>
      </w:r>
    </w:p>
    <w:p>
      <w:pPr>
        <w:ind w:firstLine="640" w:firstLineChars="200"/>
        <w:rPr>
          <w:rFonts w:hint="eastAsia" w:eastAsia="仿宋_GB2312"/>
          <w:lang w:eastAsia="zh-CN"/>
        </w:rPr>
      </w:pP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val="en-US" w:eastAsia="zh-CN"/>
        </w:rPr>
        <w:t>残疾人事业</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残疾人就业</w:t>
      </w:r>
      <w:r>
        <w:rPr>
          <w:rFonts w:hint="eastAsia" w:ascii="仿宋_GB2312" w:eastAsia="仿宋_GB2312"/>
          <w:color w:val="000000"/>
          <w:sz w:val="32"/>
          <w:szCs w:val="32"/>
        </w:rPr>
        <w:t>（项）：</w:t>
      </w:r>
      <w:r>
        <w:rPr>
          <w:rFonts w:hint="eastAsia" w:ascii="仿宋_GB2312" w:eastAsia="仿宋_GB2312"/>
          <w:color w:val="000000"/>
          <w:sz w:val="32"/>
          <w:szCs w:val="32"/>
          <w:lang w:eastAsia="zh-CN"/>
        </w:rPr>
        <w:t>指残疾人联合会用于残疾人就业方面的支出。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社会保障和就业（类）其他社会保障和就业支出（款）其他社会保障和就业支出（项）: 指其他用于社会保障和就业方面的支出。</w:t>
      </w:r>
    </w:p>
    <w:p>
      <w:pPr>
        <w:numPr>
          <w:ilvl w:val="0"/>
          <w:numId w:val="0"/>
        </w:num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12.</w:t>
      </w:r>
      <w:r>
        <w:rPr>
          <w:rFonts w:hint="eastAsia" w:ascii="仿宋_GB2312" w:eastAsia="仿宋_GB2312"/>
          <w:color w:val="000000"/>
          <w:sz w:val="32"/>
          <w:szCs w:val="32"/>
        </w:rPr>
        <w:t>医疗卫生与计划生育（类）行政事业单位医疗（款）事业单位医疗（项）: 指财政部门集中安排的事业单位基本医疗保险缴费经费，未参加医疗保险的事业单位的公费医疗经费，按国家规定享受离休人员待遇的医疗经费。</w:t>
      </w:r>
      <w:r>
        <w:rPr>
          <w:rFonts w:hint="eastAsia" w:ascii="仿宋_GB2312" w:eastAsia="仿宋_GB2312"/>
          <w:color w:val="000000"/>
          <w:sz w:val="32"/>
          <w:szCs w:val="32"/>
          <w:lang w:val="en-US" w:eastAsia="zh-CN"/>
        </w:rPr>
        <w:t xml:space="preserve">    </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13.</w:t>
      </w:r>
      <w:r>
        <w:rPr>
          <w:rFonts w:hint="eastAsia" w:ascii="仿宋_GB2312" w:eastAsia="仿宋_GB2312"/>
          <w:color w:val="000000"/>
          <w:sz w:val="32"/>
          <w:szCs w:val="32"/>
        </w:rPr>
        <w:t>医疗卫生与计划生育（类）行政事业单位医疗（款）</w:t>
      </w:r>
      <w:r>
        <w:rPr>
          <w:rFonts w:hint="eastAsia" w:ascii="仿宋_GB2312" w:eastAsia="仿宋_GB2312"/>
          <w:color w:val="000000"/>
          <w:sz w:val="32"/>
          <w:szCs w:val="32"/>
          <w:lang w:val="en-US" w:eastAsia="zh-CN"/>
        </w:rPr>
        <w:t>公务员医疗补助</w:t>
      </w:r>
      <w:r>
        <w:rPr>
          <w:rFonts w:hint="eastAsia" w:ascii="仿宋_GB2312" w:eastAsia="仿宋_GB2312"/>
          <w:color w:val="000000"/>
          <w:sz w:val="32"/>
          <w:szCs w:val="32"/>
        </w:rPr>
        <w:t>（项）: 指财政部门</w:t>
      </w:r>
      <w:r>
        <w:rPr>
          <w:rFonts w:hint="eastAsia" w:ascii="仿宋_GB2312" w:eastAsia="仿宋_GB2312"/>
          <w:color w:val="000000"/>
          <w:sz w:val="32"/>
          <w:szCs w:val="32"/>
          <w:lang w:eastAsia="zh-CN"/>
        </w:rPr>
        <w:t>安排的公务员医疗补助。</w:t>
      </w:r>
    </w:p>
    <w:p>
      <w:pPr>
        <w:ind w:firstLine="640" w:firstLineChars="200"/>
        <w:rPr>
          <w:rFonts w:ascii="仿宋_GB2312" w:eastAsia="仿宋_GB2312"/>
          <w:color w:val="000000"/>
          <w:sz w:val="32"/>
          <w:szCs w:val="32"/>
        </w:rPr>
      </w:pPr>
      <w:r>
        <w:rPr>
          <w:rFonts w:hint="eastAsia" w:ascii="仿宋_GB2312" w:eastAsia="仿宋_GB2312"/>
          <w:sz w:val="32"/>
          <w:szCs w:val="32"/>
          <w:lang w:val="en-US" w:eastAsia="zh-CN"/>
        </w:rPr>
        <w:t>14</w:t>
      </w:r>
      <w:r>
        <w:rPr>
          <w:rFonts w:ascii="仿宋_GB2312" w:eastAsia="仿宋_GB2312"/>
          <w:sz w:val="32"/>
          <w:szCs w:val="32"/>
        </w:rPr>
        <w:t>.</w:t>
      </w:r>
      <w:r>
        <w:rPr>
          <w:rFonts w:hint="eastAsia" w:ascii="仿宋_GB2312" w:eastAsia="仿宋_GB2312"/>
          <w:sz w:val="32"/>
          <w:szCs w:val="32"/>
        </w:rPr>
        <w:t>住房保障（类）</w:t>
      </w:r>
      <w:r>
        <w:rPr>
          <w:rFonts w:hint="eastAsia" w:ascii="仿宋_GB2312" w:eastAsia="仿宋_GB2312"/>
          <w:color w:val="000000"/>
          <w:sz w:val="32"/>
          <w:szCs w:val="32"/>
        </w:rPr>
        <w:t>住房改革支出（款）住房公积金（项）: 指行政事业单位按人力资源和社会保障部、财政部规定的基本工资和津贴补贴以及规定比例为职工缴纳的住房公积金。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lang w:val="en-US" w:eastAsia="zh-CN"/>
        </w:rPr>
        <w:t>15</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16</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17</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18</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End w:id="78"/>
      <w:bookmarkEnd w:id="79"/>
    </w:p>
    <w:bookmarkEnd w:id="80"/>
    <w:p>
      <w:pPr>
        <w:spacing w:line="600" w:lineRule="exact"/>
        <w:jc w:val="center"/>
        <w:outlineLvl w:val="0"/>
        <w:rPr>
          <w:rStyle w:val="28"/>
          <w:rFonts w:hint="eastAsia" w:ascii="黑体" w:hAnsi="黑体" w:eastAsia="黑体"/>
          <w:b w:val="0"/>
        </w:rPr>
      </w:pPr>
      <w:bookmarkStart w:id="83" w:name="_Toc15377226"/>
      <w:r>
        <w:rPr>
          <w:rFonts w:ascii="宋体"/>
          <w:b/>
          <w:sz w:val="44"/>
          <w:szCs w:val="44"/>
        </w:rPr>
        <w:br w:type="page"/>
      </w:r>
      <w:bookmarkEnd w:id="81"/>
      <w:bookmarkStart w:id="84" w:name="_Toc15396614"/>
      <w:r>
        <w:rPr>
          <w:rFonts w:hint="eastAsia" w:ascii="黑体" w:hAnsi="黑体" w:eastAsia="黑体"/>
          <w:sz w:val="44"/>
          <w:szCs w:val="44"/>
        </w:rPr>
        <w:t>第</w:t>
      </w:r>
      <w:r>
        <w:rPr>
          <w:rStyle w:val="28"/>
          <w:rFonts w:hint="eastAsia" w:ascii="黑体" w:hAnsi="黑体" w:eastAsia="黑体"/>
          <w:b w:val="0"/>
        </w:rPr>
        <w:t>四部分 附件</w:t>
      </w:r>
      <w:bookmarkEnd w:id="84"/>
    </w:p>
    <w:p>
      <w:pPr>
        <w:spacing w:line="600" w:lineRule="exact"/>
        <w:jc w:val="center"/>
        <w:outlineLvl w:val="0"/>
        <w:rPr>
          <w:rFonts w:ascii="黑体" w:hAnsi="黑体" w:eastAsia="黑体"/>
          <w:color w:val="FF0000"/>
          <w:sz w:val="44"/>
          <w:szCs w:val="44"/>
        </w:rPr>
      </w:pPr>
      <w:r>
        <w:rPr>
          <w:rFonts w:hint="eastAsia"/>
          <w:sz w:val="32"/>
          <w:szCs w:val="32"/>
        </w:rPr>
        <w:t>部门预算项目支出绩效自评表（2023年度）</w:t>
      </w:r>
    </w:p>
    <w:tbl>
      <w:tblPr>
        <w:tblStyle w:val="15"/>
        <w:tblpPr w:leftFromText="180" w:rightFromText="180" w:vertAnchor="text" w:horzAnchor="page" w:tblpX="986" w:tblpY="207"/>
        <w:tblOverlap w:val="never"/>
        <w:tblW w:w="104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6"/>
        <w:gridCol w:w="1483"/>
        <w:gridCol w:w="1665"/>
        <w:gridCol w:w="1335"/>
        <w:gridCol w:w="1410"/>
        <w:gridCol w:w="1065"/>
        <w:gridCol w:w="1080"/>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日常运转维修经费</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w:t>
            </w:r>
          </w:p>
        </w:tc>
        <w:tc>
          <w:tcPr>
            <w:tcW w:w="47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乐山市金口河区机关事务服务中心</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47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乐山市金口河区机关事务服务中心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040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2699"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w:t>
            </w:r>
          </w:p>
        </w:tc>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26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164.25</w:t>
            </w:r>
          </w:p>
        </w:tc>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0.82125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26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164.25</w:t>
            </w:r>
          </w:p>
        </w:tc>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0.82125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26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44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预期目标</w:t>
            </w:r>
          </w:p>
        </w:tc>
        <w:tc>
          <w:tcPr>
            <w:tcW w:w="47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483"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做好区本级政务接待工作，并指导各乡镇、各部门的政务接待工作；做好全区机关事务的管理、保障工作;做好全区行政事业单位国有资产管理，负责制定行政事业单位国有资产管理具体规章制度并组织实施;做好全区办公用房使用调配、维修审核及监督管理;做好全区公务车辆的处置、管理和公共机构节能等工作。</w:t>
            </w:r>
          </w:p>
        </w:tc>
        <w:tc>
          <w:tcPr>
            <w:tcW w:w="47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做好区本级政务接待工作，并指导各乡镇、各部门的政务接待工作；做好全区机关事务的管理、保障工作;做好全区行政事业单位国有资产管理，负责制定行政事业单位国有资产管理具体规章制度并组织实施;做好全区办公用房使用调配、维修审核及监督管理;做好全区公务车辆的处置、管理和公共机构节能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分值/权重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（百分制）</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710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    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部分资金未及时支付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36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预算执行率（10分）</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82.13%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部分资金未及时支付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21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产出指标</w:t>
            </w:r>
          </w:p>
        </w:tc>
        <w:tc>
          <w:tcPr>
            <w:tcW w:w="1483"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数量指标</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保障公务接待批次</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≧50场次</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80场次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483"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质量指标</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483"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时效指标</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项目完成时效</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2023年12月31日前</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已完成</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483"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成本指标</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机关食堂运行成本</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微软雅黑" w:hAnsi="微软雅黑" w:eastAsia="微软雅黑" w:cs="微软雅黑"/>
                <w:i w:val="0"/>
                <w:color w:val="333333"/>
                <w:sz w:val="18"/>
                <w:szCs w:val="18"/>
                <w:u w:val="none"/>
              </w:rPr>
            </w:pPr>
            <w:r>
              <w:rPr>
                <w:rStyle w:val="34"/>
                <w:lang w:val="en-US" w:eastAsia="zh-CN" w:bidi="ar"/>
              </w:rPr>
              <w:t>≦200</w:t>
            </w:r>
            <w:r>
              <w:rPr>
                <w:rStyle w:val="35"/>
                <w:lang w:val="en-US" w:eastAsia="zh-CN" w:bidi="ar"/>
              </w:rPr>
              <w:t>万元</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164.25万元</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部分资金未及时支付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21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效益指标</w:t>
            </w:r>
          </w:p>
        </w:tc>
        <w:tc>
          <w:tcPr>
            <w:tcW w:w="1483"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经济效益指标</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483"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社会效益指标</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机关后勤服务水平</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持续提升</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持续提升</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483"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生态效益指标</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483"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可持续影响指标</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满意度指标</w:t>
            </w:r>
          </w:p>
        </w:tc>
        <w:tc>
          <w:tcPr>
            <w:tcW w:w="1483"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满意度指标</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受益群体满意度</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≧85%</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90%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bl>
    <w:p>
      <w:pPr>
        <w:spacing w:line="600" w:lineRule="exact"/>
        <w:jc w:val="both"/>
        <w:outlineLvl w:val="0"/>
        <w:rPr>
          <w:rFonts w:hint="eastAsia" w:ascii="黑体" w:hAnsi="黑体" w:eastAsia="黑体"/>
          <w:sz w:val="44"/>
          <w:szCs w:val="44"/>
        </w:rPr>
      </w:pPr>
      <w:bookmarkStart w:id="85" w:name="_Toc15396618"/>
    </w:p>
    <w:p>
      <w:pPr>
        <w:spacing w:line="600" w:lineRule="exact"/>
        <w:ind w:firstLine="3080" w:firstLineChars="700"/>
        <w:jc w:val="both"/>
        <w:outlineLvl w:val="0"/>
        <w:rPr>
          <w:rFonts w:ascii="仿宋" w:hAnsi="仿宋" w:eastAsia="仿宋"/>
        </w:rPr>
      </w:pPr>
      <w:r>
        <w:rPr>
          <w:rFonts w:hint="eastAsia" w:ascii="黑体" w:hAnsi="黑体" w:eastAsia="黑体"/>
          <w:sz w:val="44"/>
          <w:szCs w:val="44"/>
        </w:rPr>
        <w:t>第</w:t>
      </w:r>
      <w:r>
        <w:rPr>
          <w:rStyle w:val="28"/>
          <w:rFonts w:hint="eastAsia" w:ascii="黑体" w:hAnsi="黑体" w:eastAsia="黑体"/>
          <w:b w:val="0"/>
        </w:rPr>
        <w:t>五部分 附表</w:t>
      </w:r>
      <w:bookmarkEnd w:id="83"/>
      <w:bookmarkEnd w:id="85"/>
      <w:bookmarkStart w:id="86" w:name="_Toc15396619"/>
    </w:p>
    <w:p>
      <w:pPr>
        <w:pStyle w:val="4"/>
        <w:rPr>
          <w:rFonts w:ascii="仿宋" w:hAnsi="仿宋" w:eastAsia="仿宋"/>
        </w:rPr>
      </w:pPr>
      <w:r>
        <w:rPr>
          <w:rFonts w:hint="eastAsia" w:ascii="仿宋" w:hAnsi="仿宋" w:eastAsia="仿宋"/>
          <w:b w:val="0"/>
        </w:rPr>
        <w:t>一、收</w:t>
      </w:r>
      <w:r>
        <w:rPr>
          <w:rStyle w:val="29"/>
          <w:rFonts w:hint="eastAsia" w:ascii="仿宋" w:hAnsi="仿宋" w:eastAsia="仿宋"/>
          <w:b w:val="0"/>
          <w:bCs w:val="0"/>
        </w:rPr>
        <w:t>入支出决算总表</w:t>
      </w:r>
      <w:bookmarkEnd w:id="86"/>
    </w:p>
    <w:p>
      <w:pPr>
        <w:pStyle w:val="4"/>
        <w:rPr>
          <w:rFonts w:ascii="仿宋" w:hAnsi="仿宋" w:eastAsia="仿宋"/>
        </w:rPr>
      </w:pPr>
      <w:bookmarkStart w:id="87" w:name="_Toc15396620"/>
      <w:r>
        <w:rPr>
          <w:rFonts w:hint="eastAsia" w:ascii="仿宋" w:hAnsi="仿宋" w:eastAsia="仿宋"/>
          <w:b w:val="0"/>
        </w:rPr>
        <w:t>二、收</w:t>
      </w:r>
      <w:r>
        <w:rPr>
          <w:rStyle w:val="29"/>
          <w:rFonts w:hint="eastAsia" w:ascii="仿宋" w:hAnsi="仿宋" w:eastAsia="仿宋"/>
          <w:b w:val="0"/>
          <w:bCs w:val="0"/>
        </w:rPr>
        <w:t>入决算表</w:t>
      </w:r>
      <w:bookmarkEnd w:id="87"/>
    </w:p>
    <w:p>
      <w:pPr>
        <w:pStyle w:val="4"/>
        <w:rPr>
          <w:rFonts w:ascii="仿宋" w:hAnsi="仿宋" w:eastAsia="仿宋"/>
        </w:rPr>
      </w:pPr>
      <w:bookmarkStart w:id="88" w:name="_Toc15396621"/>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88"/>
    </w:p>
    <w:p>
      <w:pPr>
        <w:pStyle w:val="4"/>
        <w:rPr>
          <w:rFonts w:ascii="仿宋" w:hAnsi="仿宋" w:eastAsia="仿宋"/>
          <w:b w:val="0"/>
        </w:rPr>
      </w:pPr>
      <w:bookmarkStart w:id="89" w:name="_Toc15396622"/>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89"/>
    </w:p>
    <w:p>
      <w:pPr>
        <w:pStyle w:val="4"/>
        <w:rPr>
          <w:rStyle w:val="29"/>
          <w:rFonts w:ascii="仿宋" w:hAnsi="仿宋" w:eastAsia="仿宋"/>
          <w:b w:val="0"/>
          <w:bCs w:val="0"/>
        </w:rPr>
      </w:pPr>
      <w:bookmarkStart w:id="90" w:name="_Toc15396623"/>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90"/>
      <w:bookmarkStart w:id="91" w:name="_Toc15396624"/>
    </w:p>
    <w:p>
      <w:pPr>
        <w:pStyle w:val="4"/>
        <w:rPr>
          <w:rFonts w:ascii="仿宋" w:hAnsi="仿宋" w:eastAsia="仿宋"/>
        </w:rPr>
      </w:pPr>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91"/>
    </w:p>
    <w:p>
      <w:pPr>
        <w:pStyle w:val="4"/>
        <w:rPr>
          <w:rFonts w:ascii="仿宋" w:hAnsi="仿宋" w:eastAsia="仿宋"/>
        </w:rPr>
      </w:pPr>
      <w:bookmarkStart w:id="92" w:name="_Toc15396625"/>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92"/>
    </w:p>
    <w:p>
      <w:pPr>
        <w:pStyle w:val="4"/>
        <w:rPr>
          <w:rFonts w:ascii="仿宋" w:hAnsi="仿宋" w:eastAsia="仿宋"/>
        </w:rPr>
      </w:pPr>
      <w:bookmarkStart w:id="93" w:name="_Toc15396626"/>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93"/>
    </w:p>
    <w:p>
      <w:pPr>
        <w:pStyle w:val="4"/>
        <w:rPr>
          <w:rFonts w:ascii="仿宋" w:hAnsi="仿宋" w:eastAsia="仿宋"/>
        </w:rPr>
      </w:pPr>
      <w:bookmarkStart w:id="94" w:name="_Toc15396627"/>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94"/>
    </w:p>
    <w:p>
      <w:pPr>
        <w:pStyle w:val="4"/>
        <w:rPr>
          <w:rFonts w:ascii="仿宋" w:hAnsi="仿宋" w:eastAsia="仿宋"/>
        </w:rPr>
      </w:pPr>
      <w:bookmarkStart w:id="95" w:name="_Toc15396628"/>
      <w:r>
        <w:rPr>
          <w:rStyle w:val="29"/>
          <w:rFonts w:hint="eastAsia" w:ascii="仿宋" w:hAnsi="仿宋" w:eastAsia="仿宋"/>
          <w:b w:val="0"/>
          <w:bCs w:val="0"/>
        </w:rPr>
        <w:t>十、</w:t>
      </w:r>
      <w:bookmarkEnd w:id="95"/>
      <w:r>
        <w:rPr>
          <w:rFonts w:hint="eastAsia" w:ascii="仿宋" w:hAnsi="仿宋" w:eastAsia="仿宋"/>
          <w:b w:val="0"/>
        </w:rPr>
        <w:t>政</w:t>
      </w:r>
      <w:r>
        <w:rPr>
          <w:rStyle w:val="29"/>
          <w:rFonts w:hint="eastAsia" w:ascii="仿宋" w:hAnsi="仿宋" w:eastAsia="仿宋"/>
          <w:b w:val="0"/>
          <w:bCs w:val="0"/>
        </w:rPr>
        <w:t>府性基金预算财政拨款收入支出决算表</w:t>
      </w:r>
    </w:p>
    <w:p>
      <w:pPr>
        <w:pStyle w:val="4"/>
        <w:rPr>
          <w:rFonts w:ascii="仿宋" w:hAnsi="仿宋" w:eastAsia="仿宋"/>
        </w:rPr>
      </w:pPr>
      <w:bookmarkStart w:id="96" w:name="_Toc15396629"/>
      <w:r>
        <w:rPr>
          <w:rStyle w:val="29"/>
          <w:rFonts w:hint="eastAsia" w:ascii="仿宋" w:hAnsi="仿宋" w:eastAsia="仿宋"/>
          <w:b w:val="0"/>
          <w:bCs w:val="0"/>
        </w:rPr>
        <w:t>十一、</w:t>
      </w:r>
      <w:bookmarkEnd w:id="96"/>
      <w:r>
        <w:rPr>
          <w:rFonts w:hint="eastAsia" w:ascii="仿宋" w:hAnsi="仿宋" w:eastAsia="仿宋"/>
          <w:b w:val="0"/>
        </w:rPr>
        <w:t>国</w:t>
      </w:r>
      <w:r>
        <w:rPr>
          <w:rStyle w:val="29"/>
          <w:rFonts w:hint="eastAsia" w:ascii="仿宋" w:hAnsi="仿宋" w:eastAsia="仿宋"/>
          <w:b w:val="0"/>
          <w:bCs w:val="0"/>
        </w:rPr>
        <w:t>有资本经营预算财政拨款收入支出决算表</w:t>
      </w:r>
    </w:p>
    <w:p>
      <w:pPr>
        <w:pStyle w:val="4"/>
        <w:rPr>
          <w:rFonts w:ascii="仿宋" w:hAnsi="仿宋" w:eastAsia="仿宋"/>
        </w:rPr>
      </w:pPr>
      <w:bookmarkStart w:id="97" w:name="_Toc15396630"/>
      <w:r>
        <w:rPr>
          <w:rStyle w:val="29"/>
          <w:rFonts w:hint="eastAsia" w:ascii="仿宋" w:hAnsi="仿宋" w:eastAsia="仿宋"/>
          <w:b w:val="0"/>
          <w:bCs w:val="0"/>
        </w:rPr>
        <w:t>十二、</w:t>
      </w:r>
      <w:bookmarkEnd w:id="97"/>
      <w:r>
        <w:rPr>
          <w:rStyle w:val="29"/>
          <w:rFonts w:hint="eastAsia" w:ascii="仿宋" w:hAnsi="仿宋" w:eastAsia="仿宋"/>
          <w:b w:val="0"/>
          <w:bCs w:val="0"/>
        </w:rPr>
        <w:t>国有资本经营预算财政拨款支出决算表</w:t>
      </w:r>
    </w:p>
    <w:p>
      <w:pPr>
        <w:pStyle w:val="4"/>
        <w:rPr>
          <w:rFonts w:eastAsia="仿宋"/>
        </w:rPr>
      </w:pPr>
      <w:bookmarkStart w:id="98" w:name="_Toc15396631"/>
      <w:r>
        <w:rPr>
          <w:rStyle w:val="29"/>
          <w:rFonts w:hint="eastAsia" w:ascii="仿宋" w:hAnsi="仿宋" w:eastAsia="仿宋"/>
          <w:b w:val="0"/>
          <w:bCs w:val="0"/>
        </w:rPr>
        <w:t>十三、</w:t>
      </w:r>
      <w:bookmarkEnd w:id="98"/>
      <w:r>
        <w:rPr>
          <w:rStyle w:val="29"/>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15</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549F"/>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E499B"/>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776A6"/>
    <w:rsid w:val="00F81FD9"/>
    <w:rsid w:val="00F841AA"/>
    <w:rsid w:val="00F84A94"/>
    <w:rsid w:val="00F87E96"/>
    <w:rsid w:val="00FA23E8"/>
    <w:rsid w:val="00FD3CC1"/>
    <w:rsid w:val="00FF1E02"/>
    <w:rsid w:val="00FF30B4"/>
    <w:rsid w:val="01263401"/>
    <w:rsid w:val="01CD2B81"/>
    <w:rsid w:val="01DC4D47"/>
    <w:rsid w:val="02125665"/>
    <w:rsid w:val="02316129"/>
    <w:rsid w:val="02387E50"/>
    <w:rsid w:val="02426056"/>
    <w:rsid w:val="034F527C"/>
    <w:rsid w:val="03DC2831"/>
    <w:rsid w:val="048F5C08"/>
    <w:rsid w:val="06A35673"/>
    <w:rsid w:val="06C8202F"/>
    <w:rsid w:val="06D96F7C"/>
    <w:rsid w:val="078528B4"/>
    <w:rsid w:val="07F45654"/>
    <w:rsid w:val="081B5E94"/>
    <w:rsid w:val="08475D24"/>
    <w:rsid w:val="084D31AF"/>
    <w:rsid w:val="090B60B0"/>
    <w:rsid w:val="09385C0D"/>
    <w:rsid w:val="09F77C68"/>
    <w:rsid w:val="0A2032A3"/>
    <w:rsid w:val="0B33548B"/>
    <w:rsid w:val="0B512B5B"/>
    <w:rsid w:val="0B8A37D8"/>
    <w:rsid w:val="0B8D3582"/>
    <w:rsid w:val="0BF01FA1"/>
    <w:rsid w:val="0D0F5C7C"/>
    <w:rsid w:val="0E773F4A"/>
    <w:rsid w:val="0F5FFB2F"/>
    <w:rsid w:val="0FFFCF60"/>
    <w:rsid w:val="10440623"/>
    <w:rsid w:val="10C055FF"/>
    <w:rsid w:val="11520B4F"/>
    <w:rsid w:val="117E4242"/>
    <w:rsid w:val="118107EC"/>
    <w:rsid w:val="119463E5"/>
    <w:rsid w:val="11DD6519"/>
    <w:rsid w:val="11EE6DF4"/>
    <w:rsid w:val="12011292"/>
    <w:rsid w:val="141C6857"/>
    <w:rsid w:val="14640782"/>
    <w:rsid w:val="14961FA7"/>
    <w:rsid w:val="14D20DB6"/>
    <w:rsid w:val="15356C6D"/>
    <w:rsid w:val="16B079F9"/>
    <w:rsid w:val="16BB723D"/>
    <w:rsid w:val="17573FD8"/>
    <w:rsid w:val="17681825"/>
    <w:rsid w:val="17B07EE9"/>
    <w:rsid w:val="17B44371"/>
    <w:rsid w:val="18015F3F"/>
    <w:rsid w:val="183103F7"/>
    <w:rsid w:val="183D5A6D"/>
    <w:rsid w:val="185B61EF"/>
    <w:rsid w:val="18737F1D"/>
    <w:rsid w:val="189F3152"/>
    <w:rsid w:val="1940737B"/>
    <w:rsid w:val="19C00A2E"/>
    <w:rsid w:val="1B6E7990"/>
    <w:rsid w:val="1B8575B5"/>
    <w:rsid w:val="1B8B120E"/>
    <w:rsid w:val="1BD206AC"/>
    <w:rsid w:val="1BE8440E"/>
    <w:rsid w:val="1C0D0793"/>
    <w:rsid w:val="1C4A4D75"/>
    <w:rsid w:val="1C7A43B4"/>
    <w:rsid w:val="1D155CEE"/>
    <w:rsid w:val="1D174C3C"/>
    <w:rsid w:val="1DD76777"/>
    <w:rsid w:val="1DDD7EE7"/>
    <w:rsid w:val="1DF715B8"/>
    <w:rsid w:val="1E6A1C1B"/>
    <w:rsid w:val="1EAF54E3"/>
    <w:rsid w:val="1F7F7B5C"/>
    <w:rsid w:val="1F936DDB"/>
    <w:rsid w:val="1FDBBF84"/>
    <w:rsid w:val="20920EFC"/>
    <w:rsid w:val="2093697E"/>
    <w:rsid w:val="20F57F95"/>
    <w:rsid w:val="21D2117A"/>
    <w:rsid w:val="221F5DBA"/>
    <w:rsid w:val="22AC2870"/>
    <w:rsid w:val="23CA19C3"/>
    <w:rsid w:val="240371BF"/>
    <w:rsid w:val="24215C55"/>
    <w:rsid w:val="24A64B21"/>
    <w:rsid w:val="24FC303A"/>
    <w:rsid w:val="250C23F4"/>
    <w:rsid w:val="25711CC6"/>
    <w:rsid w:val="25C741E6"/>
    <w:rsid w:val="25E13362"/>
    <w:rsid w:val="26920BFA"/>
    <w:rsid w:val="276F80C0"/>
    <w:rsid w:val="27815117"/>
    <w:rsid w:val="27842671"/>
    <w:rsid w:val="28190D59"/>
    <w:rsid w:val="281954D5"/>
    <w:rsid w:val="28990A03"/>
    <w:rsid w:val="28C90F35"/>
    <w:rsid w:val="28CF5F26"/>
    <w:rsid w:val="29125018"/>
    <w:rsid w:val="297E68BD"/>
    <w:rsid w:val="29A52FE4"/>
    <w:rsid w:val="29BA0485"/>
    <w:rsid w:val="29FD04D3"/>
    <w:rsid w:val="2A4A577B"/>
    <w:rsid w:val="2ABE7A3E"/>
    <w:rsid w:val="2AFF09B6"/>
    <w:rsid w:val="2B9C2F28"/>
    <w:rsid w:val="2BB52973"/>
    <w:rsid w:val="2BE0029F"/>
    <w:rsid w:val="2BF81D2B"/>
    <w:rsid w:val="2CA234A8"/>
    <w:rsid w:val="2CC644FA"/>
    <w:rsid w:val="2CD418C9"/>
    <w:rsid w:val="2CFF2119"/>
    <w:rsid w:val="2D244711"/>
    <w:rsid w:val="2EA84447"/>
    <w:rsid w:val="2ED21935"/>
    <w:rsid w:val="2EFA178C"/>
    <w:rsid w:val="2EFDF86C"/>
    <w:rsid w:val="2F9D17E1"/>
    <w:rsid w:val="30524031"/>
    <w:rsid w:val="305331A8"/>
    <w:rsid w:val="30B46D73"/>
    <w:rsid w:val="31962C0E"/>
    <w:rsid w:val="319F7F4E"/>
    <w:rsid w:val="31AA504A"/>
    <w:rsid w:val="320944A7"/>
    <w:rsid w:val="32136FB5"/>
    <w:rsid w:val="32CF7DD0"/>
    <w:rsid w:val="33067842"/>
    <w:rsid w:val="33AE48CC"/>
    <w:rsid w:val="33C61854"/>
    <w:rsid w:val="33EC463C"/>
    <w:rsid w:val="343018AE"/>
    <w:rsid w:val="343C0AE1"/>
    <w:rsid w:val="34A918BA"/>
    <w:rsid w:val="356A28F1"/>
    <w:rsid w:val="357C035A"/>
    <w:rsid w:val="358D3D69"/>
    <w:rsid w:val="35DF674B"/>
    <w:rsid w:val="362C03EF"/>
    <w:rsid w:val="368E000D"/>
    <w:rsid w:val="36937DF8"/>
    <w:rsid w:val="37005440"/>
    <w:rsid w:val="374C2A45"/>
    <w:rsid w:val="383D272C"/>
    <w:rsid w:val="385876FF"/>
    <w:rsid w:val="38D00642"/>
    <w:rsid w:val="39623434"/>
    <w:rsid w:val="39AE70AB"/>
    <w:rsid w:val="3A261C68"/>
    <w:rsid w:val="3A4DCE41"/>
    <w:rsid w:val="3A6D5B11"/>
    <w:rsid w:val="3A790AE6"/>
    <w:rsid w:val="3BCB56FA"/>
    <w:rsid w:val="3BD27085"/>
    <w:rsid w:val="3C0C0783"/>
    <w:rsid w:val="3C207DCE"/>
    <w:rsid w:val="3D091FB1"/>
    <w:rsid w:val="3DDD580C"/>
    <w:rsid w:val="3E4978AB"/>
    <w:rsid w:val="3EB576E5"/>
    <w:rsid w:val="3EE7C2F4"/>
    <w:rsid w:val="3EFF7FE8"/>
    <w:rsid w:val="3F307438"/>
    <w:rsid w:val="3F371B56"/>
    <w:rsid w:val="3F792ED8"/>
    <w:rsid w:val="3F9F3A96"/>
    <w:rsid w:val="3FCA3D33"/>
    <w:rsid w:val="3FECA4B2"/>
    <w:rsid w:val="3FF58C48"/>
    <w:rsid w:val="3FFF8FEF"/>
    <w:rsid w:val="4017739A"/>
    <w:rsid w:val="403E0019"/>
    <w:rsid w:val="40620A2E"/>
    <w:rsid w:val="40921ADE"/>
    <w:rsid w:val="40C142CB"/>
    <w:rsid w:val="40C235E2"/>
    <w:rsid w:val="42006BC5"/>
    <w:rsid w:val="42741713"/>
    <w:rsid w:val="42F02361"/>
    <w:rsid w:val="42FF6694"/>
    <w:rsid w:val="43A85972"/>
    <w:rsid w:val="446C184E"/>
    <w:rsid w:val="44BA6822"/>
    <w:rsid w:val="459A7D41"/>
    <w:rsid w:val="45B47047"/>
    <w:rsid w:val="463E4FCC"/>
    <w:rsid w:val="464C2F23"/>
    <w:rsid w:val="469A1E62"/>
    <w:rsid w:val="47207059"/>
    <w:rsid w:val="48BF60AB"/>
    <w:rsid w:val="48D56FCF"/>
    <w:rsid w:val="493C27E9"/>
    <w:rsid w:val="496F39ED"/>
    <w:rsid w:val="49D14A46"/>
    <w:rsid w:val="49FF41D3"/>
    <w:rsid w:val="4A6766A0"/>
    <w:rsid w:val="4A6D0622"/>
    <w:rsid w:val="4B722056"/>
    <w:rsid w:val="4BE068DB"/>
    <w:rsid w:val="4BF6002B"/>
    <w:rsid w:val="4BFFC6BE"/>
    <w:rsid w:val="4C9E28D1"/>
    <w:rsid w:val="4CE433EB"/>
    <w:rsid w:val="4CE7543A"/>
    <w:rsid w:val="4D1A3B8E"/>
    <w:rsid w:val="4D385038"/>
    <w:rsid w:val="4E013989"/>
    <w:rsid w:val="4E081F7D"/>
    <w:rsid w:val="4E104E28"/>
    <w:rsid w:val="4ECE2238"/>
    <w:rsid w:val="4EEE230C"/>
    <w:rsid w:val="4F27457A"/>
    <w:rsid w:val="4F8D69FD"/>
    <w:rsid w:val="506378EF"/>
    <w:rsid w:val="512B413D"/>
    <w:rsid w:val="514946EA"/>
    <w:rsid w:val="519B2E6F"/>
    <w:rsid w:val="51C44034"/>
    <w:rsid w:val="51DB4B86"/>
    <w:rsid w:val="51E51FEA"/>
    <w:rsid w:val="51F64DB0"/>
    <w:rsid w:val="524808BE"/>
    <w:rsid w:val="525C0D2F"/>
    <w:rsid w:val="53C25F6F"/>
    <w:rsid w:val="55333C3E"/>
    <w:rsid w:val="5556188A"/>
    <w:rsid w:val="556C60B3"/>
    <w:rsid w:val="55F96049"/>
    <w:rsid w:val="56AB21F8"/>
    <w:rsid w:val="56AC3733"/>
    <w:rsid w:val="57B12A6A"/>
    <w:rsid w:val="583A0626"/>
    <w:rsid w:val="583F4C58"/>
    <w:rsid w:val="58A110F2"/>
    <w:rsid w:val="58AD035B"/>
    <w:rsid w:val="58F133F6"/>
    <w:rsid w:val="599B1691"/>
    <w:rsid w:val="59FC4BAE"/>
    <w:rsid w:val="5B524EB2"/>
    <w:rsid w:val="5B7B4AB3"/>
    <w:rsid w:val="5B820DF4"/>
    <w:rsid w:val="5BB64494"/>
    <w:rsid w:val="5C1C1C2D"/>
    <w:rsid w:val="5C232223"/>
    <w:rsid w:val="5C472574"/>
    <w:rsid w:val="5D1E753E"/>
    <w:rsid w:val="5D846DCB"/>
    <w:rsid w:val="5DD5596C"/>
    <w:rsid w:val="5E426366"/>
    <w:rsid w:val="5F121FCF"/>
    <w:rsid w:val="5F5C6189"/>
    <w:rsid w:val="5F67802D"/>
    <w:rsid w:val="5F7DC4F2"/>
    <w:rsid w:val="5FB36814"/>
    <w:rsid w:val="5FBB8E56"/>
    <w:rsid w:val="5FFB5535"/>
    <w:rsid w:val="61FD68D2"/>
    <w:rsid w:val="625F5CF9"/>
    <w:rsid w:val="62C83A1C"/>
    <w:rsid w:val="63716434"/>
    <w:rsid w:val="63A04EAB"/>
    <w:rsid w:val="64281519"/>
    <w:rsid w:val="649F1AD6"/>
    <w:rsid w:val="64CA39A1"/>
    <w:rsid w:val="655E275C"/>
    <w:rsid w:val="65DB01A4"/>
    <w:rsid w:val="65F71656"/>
    <w:rsid w:val="66565483"/>
    <w:rsid w:val="66736A21"/>
    <w:rsid w:val="667D39EF"/>
    <w:rsid w:val="66A9783B"/>
    <w:rsid w:val="6753700F"/>
    <w:rsid w:val="677D408C"/>
    <w:rsid w:val="67F323F9"/>
    <w:rsid w:val="69630ADE"/>
    <w:rsid w:val="69AF699D"/>
    <w:rsid w:val="69B45BF9"/>
    <w:rsid w:val="69BD5F13"/>
    <w:rsid w:val="69FB0B4B"/>
    <w:rsid w:val="6A7FFC7A"/>
    <w:rsid w:val="6A8900F0"/>
    <w:rsid w:val="6BE7ECEA"/>
    <w:rsid w:val="6BFFE1FB"/>
    <w:rsid w:val="6C1A06BB"/>
    <w:rsid w:val="6C340216"/>
    <w:rsid w:val="6C4A05C8"/>
    <w:rsid w:val="6C4B45B8"/>
    <w:rsid w:val="6CB542C8"/>
    <w:rsid w:val="6CDA5121"/>
    <w:rsid w:val="6D3B1A89"/>
    <w:rsid w:val="6D621222"/>
    <w:rsid w:val="6D660588"/>
    <w:rsid w:val="6D891A42"/>
    <w:rsid w:val="6DB7D8A3"/>
    <w:rsid w:val="6DC24EEE"/>
    <w:rsid w:val="6EC78701"/>
    <w:rsid w:val="6F44559B"/>
    <w:rsid w:val="6F6F870C"/>
    <w:rsid w:val="6F7A5481"/>
    <w:rsid w:val="6FCB0175"/>
    <w:rsid w:val="6FFE07A9"/>
    <w:rsid w:val="70C41A1A"/>
    <w:rsid w:val="719F7979"/>
    <w:rsid w:val="71A066FC"/>
    <w:rsid w:val="71BF4EC2"/>
    <w:rsid w:val="720E5A2E"/>
    <w:rsid w:val="72734D90"/>
    <w:rsid w:val="73181763"/>
    <w:rsid w:val="732F1389"/>
    <w:rsid w:val="737F08DC"/>
    <w:rsid w:val="73C53689"/>
    <w:rsid w:val="73E75B71"/>
    <w:rsid w:val="73F75A2C"/>
    <w:rsid w:val="7412278C"/>
    <w:rsid w:val="74BF09CF"/>
    <w:rsid w:val="74CE00D6"/>
    <w:rsid w:val="756C6735"/>
    <w:rsid w:val="75DDCDA9"/>
    <w:rsid w:val="75FF44B1"/>
    <w:rsid w:val="76FB48C2"/>
    <w:rsid w:val="772C0914"/>
    <w:rsid w:val="77670518"/>
    <w:rsid w:val="777FA627"/>
    <w:rsid w:val="77DF1B5F"/>
    <w:rsid w:val="77ED5903"/>
    <w:rsid w:val="77EF2D9D"/>
    <w:rsid w:val="78391D6E"/>
    <w:rsid w:val="788778CC"/>
    <w:rsid w:val="796D68C4"/>
    <w:rsid w:val="79E7B28D"/>
    <w:rsid w:val="7AAC17CF"/>
    <w:rsid w:val="7AB349DD"/>
    <w:rsid w:val="7ACFF0C2"/>
    <w:rsid w:val="7AFB9108"/>
    <w:rsid w:val="7B1E17EE"/>
    <w:rsid w:val="7B245F96"/>
    <w:rsid w:val="7BB36DAB"/>
    <w:rsid w:val="7BC05E14"/>
    <w:rsid w:val="7BD5340C"/>
    <w:rsid w:val="7BFA6EF3"/>
    <w:rsid w:val="7BFB19D2"/>
    <w:rsid w:val="7BFD1750"/>
    <w:rsid w:val="7BFDAA1B"/>
    <w:rsid w:val="7C225B25"/>
    <w:rsid w:val="7C95642B"/>
    <w:rsid w:val="7CCF3A53"/>
    <w:rsid w:val="7CDF9A82"/>
    <w:rsid w:val="7CFFA1BD"/>
    <w:rsid w:val="7D2E3F7A"/>
    <w:rsid w:val="7D4D666A"/>
    <w:rsid w:val="7D9F6A11"/>
    <w:rsid w:val="7DED9490"/>
    <w:rsid w:val="7DFF4872"/>
    <w:rsid w:val="7E1F664A"/>
    <w:rsid w:val="7E4F51C9"/>
    <w:rsid w:val="7E7487E6"/>
    <w:rsid w:val="7E7C2A54"/>
    <w:rsid w:val="7E9B65DC"/>
    <w:rsid w:val="7EEEFD72"/>
    <w:rsid w:val="7F1D517C"/>
    <w:rsid w:val="7F5DA057"/>
    <w:rsid w:val="7F6777E2"/>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A8FFDDD3"/>
    <w:rsid w:val="BBDE5AE3"/>
    <w:rsid w:val="BDFEA317"/>
    <w:rsid w:val="CD9BBABB"/>
    <w:rsid w:val="CF99F292"/>
    <w:rsid w:val="D5DA60B3"/>
    <w:rsid w:val="D7C6F579"/>
    <w:rsid w:val="D7DD53DD"/>
    <w:rsid w:val="D8FECA92"/>
    <w:rsid w:val="DAFFBE66"/>
    <w:rsid w:val="DD2C0BFE"/>
    <w:rsid w:val="DE3F332B"/>
    <w:rsid w:val="DE6F4A3D"/>
    <w:rsid w:val="DF69F8B0"/>
    <w:rsid w:val="DFC71555"/>
    <w:rsid w:val="DFDF6961"/>
    <w:rsid w:val="DFFC559C"/>
    <w:rsid w:val="DFFEDFAE"/>
    <w:rsid w:val="DFFFB5EB"/>
    <w:rsid w:val="E4B33E57"/>
    <w:rsid w:val="E5BF946A"/>
    <w:rsid w:val="E65F73B5"/>
    <w:rsid w:val="EB39BD45"/>
    <w:rsid w:val="EBCF1FC2"/>
    <w:rsid w:val="EBD18F66"/>
    <w:rsid w:val="ED17392C"/>
    <w:rsid w:val="ED9FFD9A"/>
    <w:rsid w:val="EDB7968B"/>
    <w:rsid w:val="EEBD7C17"/>
    <w:rsid w:val="EEF73F60"/>
    <w:rsid w:val="EEFECBD2"/>
    <w:rsid w:val="EFED9E42"/>
    <w:rsid w:val="EFFFB194"/>
    <w:rsid w:val="F2E1F9D4"/>
    <w:rsid w:val="F5FF5AC7"/>
    <w:rsid w:val="F5FF7449"/>
    <w:rsid w:val="F7880819"/>
    <w:rsid w:val="F78EFFEF"/>
    <w:rsid w:val="F7AF180D"/>
    <w:rsid w:val="F7BDBFA7"/>
    <w:rsid w:val="F7FAD68F"/>
    <w:rsid w:val="F7FB14CF"/>
    <w:rsid w:val="F9DF89DC"/>
    <w:rsid w:val="FB3FC69C"/>
    <w:rsid w:val="FBDFF225"/>
    <w:rsid w:val="FBF7AB63"/>
    <w:rsid w:val="FC2F3373"/>
    <w:rsid w:val="FC6D0FA0"/>
    <w:rsid w:val="FCF51535"/>
    <w:rsid w:val="FD77F6B8"/>
    <w:rsid w:val="FDD69328"/>
    <w:rsid w:val="FDDFEC0E"/>
    <w:rsid w:val="FDE58BDD"/>
    <w:rsid w:val="FDEC7001"/>
    <w:rsid w:val="FE2F624E"/>
    <w:rsid w:val="FEDFE87F"/>
    <w:rsid w:val="FEF1D25B"/>
    <w:rsid w:val="FF3EF90F"/>
    <w:rsid w:val="FFAF6081"/>
    <w:rsid w:val="FFAFCC7E"/>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Arial" w:hAnsi="Arial" w:cs="Arial"/>
      <w:bCs/>
      <w:szCs w:val="21"/>
    </w:r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字符"/>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字符"/>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字符"/>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6"/>
    <w:link w:val="3"/>
    <w:qFormat/>
    <w:uiPriority w:val="9"/>
    <w:rPr>
      <w:rFonts w:ascii="Times New Roman" w:hAnsi="Times New Roman"/>
      <w:b/>
      <w:bCs/>
      <w:kern w:val="44"/>
      <w:sz w:val="44"/>
      <w:szCs w:val="44"/>
    </w:rPr>
  </w:style>
  <w:style w:type="character" w:customStyle="1" w:styleId="29">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6"/>
    <w:link w:val="9"/>
    <w:semiHidden/>
    <w:qFormat/>
    <w:uiPriority w:val="99"/>
    <w:rPr>
      <w:rFonts w:ascii="Times New Roman" w:hAnsi="Times New Roman"/>
      <w:kern w:val="2"/>
      <w:sz w:val="18"/>
      <w:szCs w:val="18"/>
    </w:rPr>
  </w:style>
  <w:style w:type="character" w:customStyle="1" w:styleId="32">
    <w:name w:val="标题 3 字符"/>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font11"/>
    <w:basedOn w:val="16"/>
    <w:qFormat/>
    <w:uiPriority w:val="0"/>
    <w:rPr>
      <w:rFonts w:hint="default" w:ascii="微软雅黑" w:hAnsi="微软雅黑" w:eastAsia="微软雅黑" w:cs="微软雅黑"/>
      <w:color w:val="333333"/>
      <w:sz w:val="18"/>
      <w:szCs w:val="18"/>
      <w:u w:val="none"/>
    </w:rPr>
  </w:style>
  <w:style w:type="character" w:customStyle="1" w:styleId="35">
    <w:name w:val="font01"/>
    <w:basedOn w:val="16"/>
    <w:qFormat/>
    <w:uiPriority w:val="0"/>
    <w:rPr>
      <w:rFonts w:hint="eastAsia" w:ascii="宋体" w:hAnsi="宋体" w:eastAsia="宋体" w:cs="宋体"/>
      <w:color w:val="333333"/>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收支总计变动情况图</a:t>
            </a:r>
          </a:p>
        </c:rich>
      </c:tx>
      <c:layout>
        <c:manualLayout>
          <c:xMode val="edge"/>
          <c:yMode val="edge"/>
          <c:x val="0.324676209952284"/>
          <c:y val="0.0390286209887251"/>
        </c:manualLayout>
      </c:layout>
      <c:overlay val="0"/>
      <c:spPr>
        <a:noFill/>
        <a:ln>
          <a:noFill/>
        </a:ln>
        <a:effectLst/>
      </c:spPr>
    </c:title>
    <c:autoTitleDeleted val="0"/>
    <c:plotArea>
      <c:layout>
        <c:manualLayout>
          <c:layoutTarget val="inner"/>
          <c:xMode val="edge"/>
          <c:yMode val="edge"/>
          <c:x val="0.0638854805725971"/>
          <c:y val="0.211492384977239"/>
          <c:w val="0.940013633265167"/>
          <c:h val="0.570952260671887"/>
        </c:manualLayout>
      </c:layout>
      <c:barChart>
        <c:barDir val="col"/>
        <c:grouping val="clustered"/>
        <c:varyColors val="0"/>
        <c:ser>
          <c:idx val="0"/>
          <c:order val="0"/>
          <c:tx>
            <c:strRef>
              <c:f>Sheet1!$B$1</c:f>
              <c:strCache>
                <c:ptCount val="1"/>
                <c:pt idx="0">
                  <c:v>收、支总计变化图（万元）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2023年收支总计</c:v>
                </c:pt>
              </c:strCache>
            </c:strRef>
          </c:cat>
          <c:val>
            <c:numRef>
              <c:f>Sheet1!$B$2</c:f>
              <c:numCache>
                <c:formatCode>General</c:formatCode>
                <c:ptCount val="1"/>
                <c:pt idx="0">
                  <c:v>472.78</c:v>
                </c:pt>
              </c:numCache>
            </c:numRef>
          </c:val>
        </c:ser>
        <c:dLbls>
          <c:showLegendKey val="0"/>
          <c:showVal val="1"/>
          <c:showCatName val="0"/>
          <c:showSerName val="0"/>
          <c:showPercent val="0"/>
          <c:showBubbleSize val="0"/>
        </c:dLbls>
        <c:gapWidth val="219"/>
        <c:overlap val="-27"/>
        <c:axId val="872367025"/>
        <c:axId val="682583531"/>
      </c:barChart>
      <c:catAx>
        <c:axId val="872367025"/>
        <c:scaling>
          <c:orientation val="minMax"/>
        </c:scaling>
        <c:delete val="0"/>
        <c:axPos val="b"/>
        <c:numFmt formatCode="yyyy&quot;年&quot;m&quot;月&quot;d&quot;日&quot;;@"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2583531"/>
        <c:crosses val="autoZero"/>
        <c:auto val="1"/>
        <c:lblAlgn val="ctr"/>
        <c:lblOffset val="100"/>
        <c:noMultiLvlLbl val="0"/>
      </c:catAx>
      <c:valAx>
        <c:axId val="6825835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236702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其他收入</c:v>
                </c:pt>
                <c:pt idx="7">
                  <c:v>附属单位上缴收入</c:v>
                </c:pt>
              </c:strCache>
            </c:strRef>
          </c:cat>
          <c:val>
            <c:numRef>
              <c:f>Sheet1!$B$2:$B$9</c:f>
              <c:numCache>
                <c:formatCode>General</c:formatCode>
                <c:ptCount val="8"/>
                <c:pt idx="0">
                  <c:v>100</c:v>
                </c:pt>
                <c:pt idx="1">
                  <c:v>0</c:v>
                </c:pt>
                <c:pt idx="2">
                  <c:v>0</c:v>
                </c:pt>
                <c:pt idx="3">
                  <c:v>0</c:v>
                </c:pt>
                <c:pt idx="4">
                  <c:v>0</c:v>
                </c:pt>
                <c:pt idx="5">
                  <c:v>0</c:v>
                </c:pt>
                <c:pt idx="6">
                  <c:v>0</c:v>
                </c:pt>
                <c:pt idx="7">
                  <c:v>0</c:v>
                </c:pt>
              </c:numCache>
            </c:numRef>
          </c:val>
        </c:ser>
        <c:ser>
          <c:idx val="1"/>
          <c:order val="1"/>
          <c:tx>
            <c:strRef>
              <c:f>Sheet1!$C$1</c:f>
              <c:strCache>
                <c:ptCount val="1"/>
                <c:pt idx="0">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elete val="1"/>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其他收入</c:v>
                </c:pt>
                <c:pt idx="7">
                  <c:v>附属单位上缴收入</c:v>
                </c:pt>
              </c:strCache>
            </c:strRef>
          </c:cat>
          <c:val>
            <c:numRef>
              <c:f>Sheet1!$C$2:$C$8</c:f>
              <c:numCache>
                <c:formatCode>General</c:formatCode>
                <c:ptCount val="7"/>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0.00_ </c:formatCode>
                <c:ptCount val="5"/>
                <c:pt idx="0">
                  <c:v>257.84</c:v>
                </c:pt>
                <c:pt idx="1">
                  <c:v>214.76</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财政拨款收、支总计变化图（万元）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2023年财政拨款收支总计</c:v>
                </c:pt>
              </c:strCache>
            </c:strRef>
          </c:cat>
          <c:val>
            <c:numRef>
              <c:f>Sheet1!$B$2</c:f>
              <c:numCache>
                <c:formatCode>General</c:formatCode>
                <c:ptCount val="1"/>
                <c:pt idx="0">
                  <c:v>472.55</c:v>
                </c:pt>
              </c:numCache>
            </c:numRef>
          </c:val>
        </c:ser>
        <c:dLbls>
          <c:showLegendKey val="0"/>
          <c:showVal val="1"/>
          <c:showCatName val="0"/>
          <c:showSerName val="0"/>
          <c:showPercent val="0"/>
          <c:showBubbleSize val="0"/>
        </c:dLbls>
        <c:gapWidth val="219"/>
        <c:overlap val="-27"/>
        <c:axId val="872367025"/>
        <c:axId val="682583531"/>
      </c:barChart>
      <c:catAx>
        <c:axId val="872367025"/>
        <c:scaling>
          <c:orientation val="minMax"/>
        </c:scaling>
        <c:delete val="0"/>
        <c:axPos val="b"/>
        <c:numFmt formatCode="yyyy&quot;年&quot;m&quot;月&quot;d&quot;日&quot;;@"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2583531"/>
        <c:crosses val="autoZero"/>
        <c:auto val="1"/>
        <c:lblAlgn val="ctr"/>
        <c:lblOffset val="100"/>
        <c:noMultiLvlLbl val="0"/>
      </c:catAx>
      <c:valAx>
        <c:axId val="6825835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236702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一般公共预算财政拨款支出变化图（万元）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2023年一般公共预算财政拨款支出总计</c:v>
                </c:pt>
              </c:strCache>
            </c:strRef>
          </c:cat>
          <c:val>
            <c:numRef>
              <c:f>Sheet1!$B$2</c:f>
              <c:numCache>
                <c:formatCode>General</c:formatCode>
                <c:ptCount val="1"/>
                <c:pt idx="0">
                  <c:v>472.55</c:v>
                </c:pt>
              </c:numCache>
            </c:numRef>
          </c:val>
        </c:ser>
        <c:dLbls>
          <c:showLegendKey val="0"/>
          <c:showVal val="1"/>
          <c:showCatName val="0"/>
          <c:showSerName val="0"/>
          <c:showPercent val="0"/>
          <c:showBubbleSize val="0"/>
        </c:dLbls>
        <c:gapWidth val="219"/>
        <c:overlap val="-27"/>
        <c:axId val="872367025"/>
        <c:axId val="682583531"/>
      </c:barChart>
      <c:catAx>
        <c:axId val="872367025"/>
        <c:scaling>
          <c:orientation val="minMax"/>
        </c:scaling>
        <c:delete val="0"/>
        <c:axPos val="b"/>
        <c:numFmt formatCode="yyyy&quot;年&quot;m&quot;月&quot;d&quot;日&quot;;@"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2583531"/>
        <c:crosses val="autoZero"/>
        <c:auto val="1"/>
        <c:lblAlgn val="ctr"/>
        <c:lblOffset val="100"/>
        <c:noMultiLvlLbl val="0"/>
      </c:catAx>
      <c:valAx>
        <c:axId val="6825835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236702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14160033514872"/>
          <c:y val="0.0323430761859128"/>
        </c:manualLayout>
      </c:layout>
      <c:overlay val="0"/>
      <c:spPr>
        <a:noFill/>
        <a:ln>
          <a:noFill/>
        </a:ln>
        <a:effectLst/>
      </c:spPr>
      <c:txPr>
        <a:bodyPr rot="0" spcFirstLastPara="0" vertOverflow="ellipsis" vert="horz" wrap="square" anchor="ctr" anchorCtr="1"/>
        <a:lstStyle/>
        <a:p>
          <a:pPr>
            <a:defRPr lang="zh-CN" sz="1600" b="1" i="0" u="none" strike="noStrike" kern="1200" cap="all"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277355756791721"/>
          <c:y val="0.282846363445818"/>
          <c:w val="0.425883570504528"/>
          <c:h val="0.690018863969818"/>
        </c:manualLayout>
      </c:layout>
      <c:pieChart>
        <c:varyColors val="1"/>
        <c:ser>
          <c:idx val="0"/>
          <c:order val="0"/>
          <c:tx>
            <c:strRef>
              <c:f>Sheet1!$B$1</c:f>
              <c:strCache>
                <c:ptCount val="1"/>
                <c:pt idx="0">
                  <c:v>一般公共预算财政拨款支出决算结构图</c:v>
                </c:pt>
              </c:strCache>
            </c:strRef>
          </c:tx>
          <c:spPr/>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Lbls>
            <c:dLbl>
              <c:idx val="0"/>
              <c:layout>
                <c:manualLayout>
                  <c:x val="0.130012936610608"/>
                  <c:y val="0"/>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698576972833118"/>
                  <c:y val="0.0723118843009851"/>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232858990944373"/>
                  <c:y val="-0.0062879899392161"/>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10608020698577"/>
                  <c:y val="0.0251519597568644"/>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4"/>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一般公共服务（类）支出</c:v>
                </c:pt>
                <c:pt idx="1">
                  <c:v>社会保障和就业（类）支出</c:v>
                </c:pt>
                <c:pt idx="2">
                  <c:v>卫生健康支出</c:v>
                </c:pt>
                <c:pt idx="3">
                  <c:v>住房保障支出</c:v>
                </c:pt>
              </c:strCache>
            </c:strRef>
          </c:cat>
          <c:val>
            <c:numRef>
              <c:f>Sheet1!$B$2:$B$5</c:f>
              <c:numCache>
                <c:formatCode>General</c:formatCode>
                <c:ptCount val="4"/>
                <c:pt idx="0">
                  <c:v>417.98</c:v>
                </c:pt>
                <c:pt idx="1">
                  <c:v>40.37</c:v>
                </c:pt>
                <c:pt idx="2">
                  <c:v>3.62</c:v>
                </c:pt>
                <c:pt idx="3">
                  <c:v>10.59</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layout>
        <c:manualLayout>
          <c:xMode val="edge"/>
          <c:yMode val="edge"/>
          <c:x val="0.2305"/>
          <c:y val="0.0258992805755396"/>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“三公”经费财政拨款支出结构图</c:v>
                </c:pt>
              </c:strCache>
            </c:strRef>
          </c:tx>
          <c:spPr/>
          <c:explosion val="0"/>
          <c:dPt>
            <c:idx val="0"/>
            <c:bubble3D val="0"/>
            <c:spPr>
              <a:solidFill>
                <a:schemeClr val="accent1">
                  <a:shade val="65000"/>
                </a:schemeClr>
              </a:solidFill>
              <a:ln w="19050">
                <a:solidFill>
                  <a:schemeClr val="lt1"/>
                </a:solidFill>
              </a:ln>
              <a:effectLst/>
            </c:spPr>
          </c:dPt>
          <c:dPt>
            <c:idx val="1"/>
            <c:bubble3D val="0"/>
            <c:spPr>
              <a:solidFill>
                <a:schemeClr val="accent1"/>
              </a:solidFill>
              <a:ln w="19050">
                <a:solidFill>
                  <a:schemeClr val="lt1"/>
                </a:solidFill>
              </a:ln>
              <a:effectLst/>
            </c:spPr>
          </c:dPt>
          <c:dPt>
            <c:idx val="2"/>
            <c:bubble3D val="0"/>
            <c:spPr>
              <a:solidFill>
                <a:schemeClr val="accent1">
                  <a:tint val="65000"/>
                </a:schemeClr>
              </a:solidFill>
              <a:ln w="19050">
                <a:solidFill>
                  <a:schemeClr val="lt1"/>
                </a:solidFill>
              </a:ln>
              <a:effectLst/>
            </c:spPr>
          </c:dPt>
          <c:dLbls>
            <c:dLbl>
              <c:idx val="0"/>
              <c:layout>
                <c:manualLayout>
                  <c:x val="-0.0112506719807471"/>
                  <c:y val="0.099815827339326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141222791550171"/>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0994034393252295"/>
                  <c:y val="0.20029690067701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111.4</c:v>
                </c:pt>
                <c:pt idx="2">
                  <c:v>27.5</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1142</Words>
  <Characters>6514</Characters>
  <Lines>54</Lines>
  <Paragraphs>15</Paragraphs>
  <TotalTime>28</TotalTime>
  <ScaleCrop>false</ScaleCrop>
  <LinksUpToDate>false</LinksUpToDate>
  <CharactersWithSpaces>7641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2020-08-10T01:49:00Z</dcterms:created>
  <dc:creator>曹颖</dc:creator>
  <cp:lastModifiedBy>易小琴</cp:lastModifiedBy>
  <cp:lastPrinted>2023-08-05T02:35:00Z</cp:lastPrinted>
  <dcterms:modified xsi:type="dcterms:W3CDTF">2024-09-26T06:56:35Z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2CFBC24C65F646EF8C12403A06213600</vt:lpwstr>
  </property>
</Properties>
</file>