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15396597"/>
      <w:bookmarkStart w:id="4" w:name="_Toc15396475"/>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78442"/>
      <w:bookmarkStart w:id="8" w:name="_Toc15377194"/>
      <w:bookmarkStart w:id="9" w:name="_Toc15377426"/>
      <w:bookmarkStart w:id="10" w:name="_Toc15396476"/>
      <w:bookmarkStart w:id="11" w:name="_Toc15396598"/>
      <w:r>
        <w:rPr>
          <w:rFonts w:hint="eastAsia" w:ascii="方正小标宋简体" w:hAnsi="方正小标宋简体" w:eastAsia="方正小标宋简体" w:cs="方正小标宋简体"/>
          <w:sz w:val="72"/>
          <w:szCs w:val="72"/>
        </w:rPr>
        <w:t>中共乐山市金口河区纪委 乐山市金口河区监委</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年9月</w:t>
      </w:r>
      <w:r>
        <w:rPr>
          <w:rFonts w:hint="eastAsia"/>
          <w:lang w:val="en-US" w:eastAsia="zh-CN"/>
        </w:rPr>
        <w:t>25</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3"/>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·············································4</w:t>
      </w:r>
    </w:p>
    <w:p>
      <w:pPr>
        <w:pStyle w:val="13"/>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·············································5</w:t>
      </w:r>
    </w:p>
    <w:p>
      <w:pPr>
        <w:pStyle w:val="12"/>
        <w:adjustRightInd w:val="0"/>
        <w:snapToGrid w:val="0"/>
        <w:spacing w:before="0" w:line="440" w:lineRule="exact"/>
        <w:jc w:val="left"/>
        <w:rPr>
          <w:sz w:val="24"/>
          <w:szCs w:val="24"/>
        </w:rPr>
      </w:pPr>
      <w:r>
        <w:rPr>
          <w:rFonts w:hint="eastAsia"/>
          <w:sz w:val="24"/>
        </w:rPr>
        <w:t>第二部分 2023年度单位决算情况说明</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·············12</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·······················15</w:t>
      </w:r>
    </w:p>
    <w:p>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·····················15</w:t>
      </w:r>
    </w:p>
    <w:p>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·······························15</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············································17</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················································21</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w:t>
      </w:r>
      <w:bookmarkStart w:id="49" w:name="_GoBack"/>
      <w:bookmarkEnd w:id="49"/>
      <w:r>
        <w:rPr>
          <w:rFonts w:hint="eastAsia"/>
          <w:sz w:val="24"/>
          <w:lang w:val="en-US" w:eastAsia="zh-CN"/>
        </w:rPr>
        <w:t>····21</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pPr>
        <w:ind w:firstLine="640" w:firstLineChars="200"/>
        <w:rPr>
          <w:sz w:val="32"/>
          <w:szCs w:val="32"/>
        </w:rPr>
      </w:pPr>
      <w:r>
        <w:rPr>
          <w:rFonts w:hint="eastAsia"/>
          <w:sz w:val="32"/>
          <w:szCs w:val="32"/>
        </w:rPr>
        <w:t>1.维护党的章程和其他党内法规，检查党的路线、方针、政策和决议的执行情况；贯彻落实党中央、国务院、中央纪委和省委、省政府、省纪委、市委、市政府以及区委、区政府关于加强党风廉政建设和有关行政监察工作的决定。</w:t>
      </w:r>
    </w:p>
    <w:p>
      <w:pPr>
        <w:ind w:firstLine="640" w:firstLineChars="200"/>
        <w:rPr>
          <w:sz w:val="32"/>
          <w:szCs w:val="32"/>
        </w:rPr>
      </w:pPr>
      <w:r>
        <w:rPr>
          <w:rFonts w:hint="eastAsia"/>
          <w:sz w:val="32"/>
          <w:szCs w:val="32"/>
        </w:rPr>
        <w:t>2.负责检查并处理区委、区政府各部门，各乡（镇）党组织和区管党员领导干部违反党的章程及其他党内法规的案件，决定或取消对这些案件中的党员处分。</w:t>
      </w:r>
    </w:p>
    <w:p>
      <w:pPr>
        <w:ind w:firstLine="640" w:firstLineChars="200"/>
        <w:rPr>
          <w:sz w:val="32"/>
          <w:szCs w:val="32"/>
        </w:rPr>
      </w:pPr>
      <w:r>
        <w:rPr>
          <w:rFonts w:hint="eastAsia"/>
          <w:sz w:val="32"/>
          <w:szCs w:val="32"/>
        </w:rPr>
        <w:t>3.负责查处区政府各部门及其工作人员、各乡（镇）政府及其领导成员违反国家法律法规、政策以及行政纪律的行为；受理监察对象不服行政纪律处分的申诉和个人或单位对监察对象违纪行为的检举、控告。</w:t>
      </w:r>
    </w:p>
    <w:p>
      <w:pPr>
        <w:ind w:firstLine="640" w:firstLineChars="200"/>
        <w:rPr>
          <w:sz w:val="32"/>
          <w:szCs w:val="32"/>
        </w:rPr>
      </w:pPr>
      <w:r>
        <w:rPr>
          <w:rFonts w:hint="eastAsia"/>
          <w:sz w:val="32"/>
          <w:szCs w:val="32"/>
        </w:rPr>
        <w:t>4.负责作出维护党纪的决定，制定党风党纪政纪教育规划；会同有关部门做好纪律检查、行政监察工作方针、政策的宣传工作和对党员、国家工作人员遵纪守法、为政清廉的教育工作。</w:t>
      </w:r>
    </w:p>
    <w:p>
      <w:pPr>
        <w:ind w:firstLine="640" w:firstLineChars="200"/>
        <w:rPr>
          <w:sz w:val="32"/>
          <w:szCs w:val="32"/>
        </w:rPr>
      </w:pPr>
      <w:r>
        <w:rPr>
          <w:rFonts w:hint="eastAsia"/>
          <w:sz w:val="32"/>
          <w:szCs w:val="32"/>
        </w:rPr>
        <w:t>5.负责党风政风监督检查和综合协调工作，会同有关部门抓好纠正部门和行业不正之风工作、执法监察工作以及综合治理工作。</w:t>
      </w:r>
    </w:p>
    <w:p>
      <w:pPr>
        <w:ind w:firstLine="640" w:firstLineChars="200"/>
        <w:rPr>
          <w:sz w:val="32"/>
          <w:szCs w:val="32"/>
        </w:rPr>
      </w:pPr>
      <w:r>
        <w:rPr>
          <w:rFonts w:hint="eastAsia"/>
          <w:sz w:val="32"/>
          <w:szCs w:val="32"/>
        </w:rPr>
        <w:t>6.负责拟订全区预防腐败工作规划、政策、方案并组织实施，推动全区惩治和预防腐败体系建设。</w:t>
      </w:r>
    </w:p>
    <w:p>
      <w:pPr>
        <w:ind w:firstLine="640" w:firstLineChars="200"/>
        <w:rPr>
          <w:sz w:val="32"/>
          <w:szCs w:val="32"/>
        </w:rPr>
      </w:pPr>
      <w:r>
        <w:rPr>
          <w:rFonts w:hint="eastAsia"/>
          <w:sz w:val="32"/>
          <w:szCs w:val="32"/>
        </w:rPr>
        <w:t>7.负责监督检查全区纪检监察系统干部遵守和执行党章以及其他党内法规、政策、决议和国家法律法规等情况。</w:t>
      </w:r>
    </w:p>
    <w:p>
      <w:r>
        <w:rPr>
          <w:rFonts w:hint="eastAsia"/>
          <w:sz w:val="32"/>
          <w:szCs w:val="32"/>
        </w:rPr>
        <w:t>8.会同市直各有关部门以及各乡（镇）党委、政府管理纪检监察干部，以区纪委会同区委组织部为主做好各乡（镇）纪委书记、副书记的提名和考察工作，按干部管理权限统一管理区纪委、区监察委各派驻机构的干部；组织和指导纪检监察干部的培训工作。</w:t>
      </w:r>
    </w:p>
    <w:p>
      <w:pPr>
        <w:pStyle w:val="4"/>
        <w:rPr>
          <w:rFonts w:hint="eastAsia" w:ascii="黑体" w:hAnsi="黑体" w:eastAsia="黑体"/>
          <w:b w:val="0"/>
        </w:rPr>
      </w:pPr>
      <w:r>
        <w:rPr>
          <w:rFonts w:hint="eastAsia" w:ascii="黑体" w:hAnsi="黑体" w:eastAsia="黑体"/>
          <w:b w:val="0"/>
        </w:rPr>
        <w:t>二、机构设置</w:t>
      </w:r>
    </w:p>
    <w:p>
      <w:pPr>
        <w:ind w:firstLine="800" w:firstLineChars="250"/>
        <w:rPr>
          <w:sz w:val="32"/>
          <w:szCs w:val="32"/>
        </w:rPr>
      </w:pPr>
      <w:r>
        <w:rPr>
          <w:sz w:val="32"/>
          <w:szCs w:val="32"/>
        </w:rPr>
        <w:t>乐山市金口河区</w:t>
      </w:r>
      <w:r>
        <w:rPr>
          <w:rFonts w:hint="eastAsia"/>
          <w:sz w:val="32"/>
          <w:szCs w:val="32"/>
        </w:rPr>
        <w:t>纪委监委</w:t>
      </w:r>
      <w:r>
        <w:rPr>
          <w:sz w:val="32"/>
          <w:szCs w:val="32"/>
        </w:rPr>
        <w:t>会</w:t>
      </w:r>
      <w:r>
        <w:rPr>
          <w:rFonts w:hint="eastAsia"/>
          <w:sz w:val="32"/>
          <w:szCs w:val="32"/>
        </w:rPr>
        <w:t>无下属二级机构</w:t>
      </w:r>
    </w:p>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left="1350" w:leftChars="0" w:firstLineChars="0"/>
        <w:outlineLvl w:val="1"/>
        <w:rPr>
          <w:rStyle w:val="33"/>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3"/>
          <w:rFonts w:hint="eastAsia" w:ascii="黑体" w:hAnsi="黑体" w:eastAsia="黑体"/>
          <w:b w:val="0"/>
        </w:rPr>
        <w:t>入支出决算总体情况说明</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2023年度收、支总计均为</w:t>
      </w:r>
      <w:r>
        <w:rPr>
          <w:rFonts w:hint="eastAsia"/>
          <w:sz w:val="32"/>
          <w:szCs w:val="32"/>
        </w:rPr>
        <w:t>849.14</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与2022年度相比，收、支总计各增加65.7万元，增长8.4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人员增加、收支增长</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rPr>
          <w:rFonts w:hint="eastAsia"/>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pPr>
      <w:r>
        <w:drawing>
          <wp:inline distT="0" distB="0" distL="0" distR="0">
            <wp:extent cx="4572000" cy="2743200"/>
            <wp:effectExtent l="4445" t="4445" r="14605" b="1460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6"/>
        <w:numPr>
          <w:ilvl w:val="0"/>
          <w:numId w:val="2"/>
        </w:numPr>
        <w:spacing w:line="600" w:lineRule="exact"/>
        <w:ind w:left="1350" w:leftChars="0" w:firstLineChars="0"/>
        <w:outlineLvl w:val="1"/>
        <w:rPr>
          <w:rStyle w:val="33"/>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3"/>
          <w:rFonts w:hint="eastAsia" w:ascii="黑体" w:hAnsi="黑体" w:eastAsia="黑体"/>
          <w:b w:val="0"/>
        </w:rPr>
        <w:t>入决算情况说明</w:t>
      </w:r>
      <w:bookmarkEnd w:id="20"/>
      <w:bookmarkEnd w:id="21"/>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790.76</w:t>
      </w:r>
      <w:r>
        <w:rPr>
          <w:rFonts w:hint="eastAsia" w:ascii="仿宋" w:hAnsi="仿宋" w:eastAsia="仿宋"/>
          <w:sz w:val="32"/>
          <w:szCs w:val="32"/>
        </w:rPr>
        <w:t>万元，其中：一般公共预算财政拨款收入</w:t>
      </w:r>
      <w:r>
        <w:rPr>
          <w:sz w:val="32"/>
          <w:szCs w:val="32"/>
        </w:rPr>
        <w:t>790.71</w:t>
      </w:r>
      <w:r>
        <w:rPr>
          <w:rFonts w:hint="eastAsia" w:ascii="仿宋" w:hAnsi="仿宋" w:eastAsia="仿宋"/>
          <w:sz w:val="32"/>
          <w:szCs w:val="32"/>
        </w:rPr>
        <w:t>万元，占</w:t>
      </w:r>
      <w:r>
        <w:rPr>
          <w:sz w:val="32"/>
          <w:szCs w:val="32"/>
        </w:rPr>
        <w:t>99.99</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0.04</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r>
        <w:drawing>
          <wp:inline distT="0" distB="0" distL="114300" distR="114300">
            <wp:extent cx="4572000" cy="2743200"/>
            <wp:effectExtent l="4445" t="4445" r="14605" b="1460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6"/>
        <w:numPr>
          <w:ilvl w:val="0"/>
          <w:numId w:val="2"/>
        </w:numPr>
        <w:spacing w:line="600" w:lineRule="exact"/>
        <w:ind w:left="1350" w:leftChars="0" w:firstLineChars="0"/>
        <w:outlineLvl w:val="1"/>
        <w:rPr>
          <w:rStyle w:val="33"/>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3"/>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849.14</w:t>
      </w:r>
      <w:r>
        <w:rPr>
          <w:rFonts w:hint="eastAsia" w:ascii="仿宋" w:hAnsi="仿宋" w:eastAsia="仿宋"/>
          <w:sz w:val="32"/>
          <w:szCs w:val="32"/>
        </w:rPr>
        <w:t>万元，其中：基本支出</w:t>
      </w:r>
      <w:r>
        <w:rPr>
          <w:sz w:val="32"/>
          <w:szCs w:val="32"/>
        </w:rPr>
        <w:t>732.41</w:t>
      </w:r>
      <w:r>
        <w:rPr>
          <w:rFonts w:hint="eastAsia" w:ascii="仿宋" w:hAnsi="仿宋" w:eastAsia="仿宋"/>
          <w:sz w:val="32"/>
          <w:szCs w:val="32"/>
        </w:rPr>
        <w:t>万元，占</w:t>
      </w:r>
      <w:r>
        <w:rPr>
          <w:sz w:val="32"/>
          <w:szCs w:val="32"/>
        </w:rPr>
        <w:t>86.25</w:t>
      </w:r>
      <w:r>
        <w:rPr>
          <w:rFonts w:ascii="仿宋" w:hAnsi="仿宋" w:eastAsia="仿宋"/>
          <w:sz w:val="32"/>
          <w:szCs w:val="32"/>
        </w:rPr>
        <w:t>%</w:t>
      </w:r>
      <w:r>
        <w:rPr>
          <w:rFonts w:hint="eastAsia" w:ascii="仿宋" w:hAnsi="仿宋" w:eastAsia="仿宋"/>
          <w:sz w:val="32"/>
          <w:szCs w:val="32"/>
        </w:rPr>
        <w:t>；项目支出</w:t>
      </w:r>
      <w:r>
        <w:rPr>
          <w:sz w:val="32"/>
          <w:szCs w:val="32"/>
        </w:rPr>
        <w:t>116.73</w:t>
      </w:r>
      <w:r>
        <w:rPr>
          <w:rFonts w:hint="eastAsia" w:ascii="仿宋" w:hAnsi="仿宋" w:eastAsia="仿宋"/>
          <w:sz w:val="32"/>
          <w:szCs w:val="32"/>
        </w:rPr>
        <w:t>万元，占</w:t>
      </w:r>
      <w:r>
        <w:rPr>
          <w:sz w:val="32"/>
          <w:szCs w:val="32"/>
        </w:rPr>
        <w:t>13.74</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pStyle w:val="2"/>
      </w:pPr>
      <w:r>
        <w:drawing>
          <wp:inline distT="0" distB="0" distL="114300" distR="114300">
            <wp:extent cx="4572000" cy="2743200"/>
            <wp:effectExtent l="4445" t="4445" r="14605" b="1460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3"/>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color w:val="0000FF"/>
          <w:sz w:val="32"/>
          <w:szCs w:val="32"/>
          <w:lang w:eastAsia="zh-CN"/>
        </w:rPr>
      </w:pPr>
      <w:r>
        <w:rPr>
          <w:rFonts w:hint="eastAsia" w:ascii="仿宋" w:hAnsi="仿宋" w:eastAsia="仿宋"/>
          <w:sz w:val="32"/>
          <w:szCs w:val="32"/>
        </w:rPr>
        <w:t>2023年度财政拨款收、支总计均为</w:t>
      </w:r>
      <w:r>
        <w:rPr>
          <w:sz w:val="32"/>
          <w:szCs w:val="32"/>
        </w:rPr>
        <w:t>849.09</w:t>
      </w:r>
      <w:r>
        <w:rPr>
          <w:rFonts w:hint="eastAsia" w:ascii="仿宋" w:hAnsi="仿宋" w:eastAsia="仿宋"/>
          <w:sz w:val="32"/>
          <w:szCs w:val="32"/>
        </w:rPr>
        <w:t>万元。与2022年度相比，财政拨款收、支总计各增加65.65万元，增长8.38%。主要变动原因是</w:t>
      </w:r>
      <w:r>
        <w:rPr>
          <w:rFonts w:hint="eastAsia" w:ascii="仿宋" w:hAnsi="仿宋" w:eastAsia="仿宋"/>
          <w:sz w:val="32"/>
          <w:szCs w:val="32"/>
          <w:lang w:eastAsia="zh-CN"/>
        </w:rPr>
        <w:t>人员增加，经费增长。</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pStyle w:val="2"/>
      </w:pPr>
      <w:r>
        <w:drawing>
          <wp:inline distT="0" distB="0" distL="114300" distR="114300">
            <wp:extent cx="4572000" cy="2353310"/>
            <wp:effectExtent l="4445" t="4445" r="14605" b="23495"/>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3"/>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sz w:val="32"/>
          <w:szCs w:val="32"/>
        </w:rPr>
        <w:t>849.09</w:t>
      </w:r>
      <w:r>
        <w:rPr>
          <w:rFonts w:hint="eastAsia" w:ascii="仿宋" w:hAnsi="仿宋" w:eastAsia="仿宋"/>
          <w:sz w:val="32"/>
          <w:szCs w:val="32"/>
        </w:rPr>
        <w:t>万元，占本年支出合计的</w:t>
      </w:r>
      <w:r>
        <w:rPr>
          <w:sz w:val="32"/>
          <w:szCs w:val="32"/>
        </w:rPr>
        <w:t>99.99</w:t>
      </w:r>
      <w:r>
        <w:rPr>
          <w:rFonts w:ascii="仿宋" w:hAnsi="仿宋" w:eastAsia="仿宋"/>
          <w:sz w:val="32"/>
          <w:szCs w:val="32"/>
        </w:rPr>
        <w:t>%</w:t>
      </w:r>
      <w:r>
        <w:rPr>
          <w:rFonts w:hint="eastAsia" w:ascii="仿宋" w:hAnsi="仿宋" w:eastAsia="仿宋"/>
          <w:sz w:val="32"/>
          <w:szCs w:val="32"/>
        </w:rPr>
        <w:t>。与2022年度相比，一般公共预算财政拨款支出增加66.93万元，增长8.56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人员增加，经费增长。</w:t>
      </w:r>
    </w:p>
    <w:p>
      <w:pPr>
        <w:spacing w:line="600" w:lineRule="exact"/>
        <w:ind w:firstLine="640" w:firstLineChars="200"/>
        <w:rPr>
          <w:rFonts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2"/>
        <w:rPr>
          <w:rFonts w:ascii="仿宋" w:hAnsi="仿宋" w:eastAsia="仿宋"/>
          <w:sz w:val="32"/>
          <w:szCs w:val="32"/>
        </w:rPr>
      </w:pPr>
      <w:r>
        <w:drawing>
          <wp:inline distT="0" distB="0" distL="114300" distR="114300">
            <wp:extent cx="4572000" cy="2286000"/>
            <wp:effectExtent l="4445" t="4445" r="14605" b="14605"/>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849.09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650.7万元，占76.63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127.27万元，占14.99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17.17万元，占2.02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51.77万元，占6.1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2.18，占0.26%。</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r>
        <w:drawing>
          <wp:inline distT="0" distB="0" distL="114300" distR="114300">
            <wp:extent cx="4572000" cy="2400300"/>
            <wp:effectExtent l="4445" t="4445" r="14605" b="14605"/>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sz w:val="32"/>
          <w:szCs w:val="32"/>
        </w:rPr>
        <w:t>849.09</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1.一般公共服务（类）纪检监察事务（款）行政运行（项）：</w:t>
      </w:r>
      <w:r>
        <w:rPr>
          <w:rStyle w:val="17"/>
          <w:rFonts w:hint="eastAsia" w:ascii="仿宋" w:hAnsi="仿宋" w:eastAsia="仿宋"/>
          <w:b w:val="0"/>
          <w:bCs/>
          <w:sz w:val="32"/>
          <w:szCs w:val="32"/>
        </w:rPr>
        <w:t>支出决算为540.39万元，完成预算100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2.一般公共服务（类）纪检监察事务（款）一般行政管理事务（项）：</w:t>
      </w:r>
      <w:r>
        <w:rPr>
          <w:rStyle w:val="17"/>
          <w:rFonts w:hint="eastAsia" w:ascii="仿宋" w:hAnsi="仿宋" w:eastAsia="仿宋"/>
          <w:b w:val="0"/>
          <w:bCs/>
          <w:sz w:val="32"/>
          <w:szCs w:val="32"/>
        </w:rPr>
        <w:t>支出决算为4.68万元，完成预算100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3.一般公共服务（类）纪检监察事务（款）大案要案查处（项）：</w:t>
      </w:r>
      <w:r>
        <w:rPr>
          <w:rStyle w:val="17"/>
          <w:rFonts w:hint="eastAsia" w:ascii="仿宋" w:hAnsi="仿宋" w:eastAsia="仿宋"/>
          <w:b w:val="0"/>
          <w:bCs/>
          <w:sz w:val="32"/>
          <w:szCs w:val="32"/>
        </w:rPr>
        <w:t>支出决算为83.28万元，完成预算100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4.一般公共服务（类）纪检监察事务（款）其他纪检监察事务支出（项）</w:t>
      </w:r>
      <w:r>
        <w:rPr>
          <w:rStyle w:val="17"/>
          <w:rFonts w:ascii="仿宋" w:hAnsi="仿宋" w:eastAsia="仿宋"/>
          <w:bCs/>
          <w:sz w:val="32"/>
          <w:szCs w:val="32"/>
        </w:rPr>
        <w:t>:</w:t>
      </w:r>
      <w:r>
        <w:rPr>
          <w:rStyle w:val="17"/>
          <w:rFonts w:hint="eastAsia" w:ascii="仿宋" w:hAnsi="仿宋" w:eastAsia="仿宋"/>
          <w:b w:val="0"/>
          <w:bCs/>
          <w:sz w:val="32"/>
          <w:szCs w:val="32"/>
        </w:rPr>
        <w:t>支出决算为22.36万元，完成预算100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rPr>
        <w:t>5.社会保障和就业（类）行政事业单位养老支出（款）机关事业单位基本养老保险缴费支出（项）：</w:t>
      </w:r>
      <w:r>
        <w:rPr>
          <w:rStyle w:val="17"/>
          <w:rFonts w:hint="eastAsia" w:ascii="仿宋" w:hAnsi="仿宋" w:eastAsia="仿宋"/>
          <w:b w:val="0"/>
          <w:bCs/>
          <w:sz w:val="32"/>
          <w:szCs w:val="32"/>
        </w:rPr>
        <w:t>支出决算为71.05万元，完成预算100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6.社会保障和就业（类）行政事业单位养老支出（款）机关事业单位职业年金支出（项）：</w:t>
      </w:r>
      <w:r>
        <w:rPr>
          <w:rStyle w:val="17"/>
          <w:rFonts w:hint="eastAsia" w:ascii="仿宋" w:hAnsi="仿宋" w:eastAsia="仿宋"/>
          <w:b w:val="0"/>
          <w:bCs/>
          <w:sz w:val="32"/>
          <w:szCs w:val="32"/>
        </w:rPr>
        <w:t>支出决算为44.9万元，完成预算100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7.社会保障和就业（类）行政事业单位养老支出（款）其他行政事业单位养老支出（项）</w:t>
      </w:r>
      <w:r>
        <w:rPr>
          <w:rStyle w:val="17"/>
          <w:rFonts w:ascii="仿宋" w:hAnsi="仿宋" w:eastAsia="仿宋"/>
          <w:bCs/>
          <w:sz w:val="32"/>
          <w:szCs w:val="32"/>
        </w:rPr>
        <w:t>:</w:t>
      </w:r>
      <w:r>
        <w:rPr>
          <w:rStyle w:val="17"/>
          <w:rFonts w:hint="eastAsia" w:ascii="仿宋" w:hAnsi="仿宋" w:eastAsia="仿宋"/>
          <w:b w:val="0"/>
          <w:bCs/>
          <w:sz w:val="32"/>
          <w:szCs w:val="32"/>
        </w:rPr>
        <w:t>支出决算为1.2万元，完成预算100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8.社会保障和就业（类）残疾人事业（款）残疾人就业（项）：</w:t>
      </w:r>
      <w:r>
        <w:rPr>
          <w:rStyle w:val="17"/>
          <w:rFonts w:hint="eastAsia" w:ascii="仿宋" w:hAnsi="仿宋" w:eastAsia="仿宋"/>
          <w:b w:val="0"/>
          <w:bCs/>
          <w:sz w:val="32"/>
          <w:szCs w:val="32"/>
        </w:rPr>
        <w:t>支出决算为5.49万元，完成预算100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9.社会保障和就业（类）其他社会保障和就业支出（款）其他社会保障和就业支出（项）：</w:t>
      </w:r>
      <w:r>
        <w:rPr>
          <w:rStyle w:val="17"/>
          <w:rFonts w:hint="eastAsia" w:ascii="仿宋" w:hAnsi="仿宋" w:eastAsia="仿宋"/>
          <w:b w:val="0"/>
          <w:bCs/>
          <w:sz w:val="32"/>
          <w:szCs w:val="32"/>
        </w:rPr>
        <w:t>支出决算为4.64万元，完成预算100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ind w:firstLine="643" w:firstLineChars="200"/>
        <w:rPr>
          <w:rStyle w:val="17"/>
          <w:rFonts w:ascii="仿宋" w:hAnsi="仿宋" w:eastAsia="仿宋"/>
          <w:b w:val="0"/>
          <w:bCs/>
          <w:sz w:val="32"/>
          <w:szCs w:val="32"/>
        </w:rPr>
      </w:pPr>
      <w:r>
        <w:rPr>
          <w:rStyle w:val="17"/>
          <w:rFonts w:hint="eastAsia" w:ascii="仿宋" w:hAnsi="仿宋" w:eastAsia="仿宋"/>
          <w:b/>
          <w:bCs/>
          <w:sz w:val="32"/>
          <w:szCs w:val="32"/>
        </w:rPr>
        <w:t>10.卫生健康（类）行政事业单位医疗（款）行政单位医疗（项）</w:t>
      </w:r>
      <w:r>
        <w:rPr>
          <w:rStyle w:val="17"/>
          <w:rFonts w:ascii="仿宋" w:hAnsi="仿宋" w:eastAsia="仿宋"/>
          <w:b/>
          <w:bCs/>
          <w:sz w:val="32"/>
          <w:szCs w:val="32"/>
        </w:rPr>
        <w:t>:</w:t>
      </w:r>
      <w:r>
        <w:rPr>
          <w:rStyle w:val="17"/>
          <w:rFonts w:hint="eastAsia" w:ascii="仿宋" w:hAnsi="仿宋" w:eastAsia="仿宋"/>
          <w:b w:val="0"/>
          <w:bCs/>
          <w:sz w:val="32"/>
          <w:szCs w:val="32"/>
        </w:rPr>
        <w:t>支出决算为15.07万元，完成预算100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ind w:firstLine="643" w:firstLineChars="200"/>
        <w:rPr>
          <w:rStyle w:val="17"/>
          <w:rFonts w:ascii="仿宋" w:hAnsi="仿宋" w:eastAsia="仿宋"/>
          <w:b w:val="0"/>
          <w:bCs/>
          <w:sz w:val="32"/>
          <w:szCs w:val="32"/>
        </w:rPr>
      </w:pPr>
      <w:r>
        <w:rPr>
          <w:rStyle w:val="17"/>
          <w:rFonts w:hint="eastAsia" w:ascii="仿宋" w:hAnsi="仿宋" w:eastAsia="仿宋"/>
          <w:b/>
          <w:bCs/>
          <w:sz w:val="32"/>
          <w:szCs w:val="32"/>
        </w:rPr>
        <w:t>11.卫生健康（类）行政事业单位医疗（款）公务员医疗补助（项）</w:t>
      </w:r>
      <w:r>
        <w:rPr>
          <w:rStyle w:val="17"/>
          <w:rFonts w:ascii="仿宋" w:hAnsi="仿宋" w:eastAsia="仿宋"/>
          <w:b/>
          <w:bCs/>
          <w:sz w:val="32"/>
          <w:szCs w:val="32"/>
        </w:rPr>
        <w:t>:</w:t>
      </w:r>
      <w:r>
        <w:rPr>
          <w:rStyle w:val="17"/>
          <w:rFonts w:hint="eastAsia" w:ascii="仿宋" w:hAnsi="仿宋" w:eastAsia="仿宋"/>
          <w:b w:val="0"/>
          <w:bCs/>
          <w:sz w:val="32"/>
          <w:szCs w:val="32"/>
        </w:rPr>
        <w:t>支出决算为2.1万元，完成预算100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ind w:firstLine="643" w:firstLineChars="200"/>
        <w:rPr>
          <w:rStyle w:val="17"/>
          <w:rFonts w:ascii="仿宋" w:hAnsi="仿宋" w:eastAsia="仿宋"/>
          <w:b w:val="0"/>
          <w:bCs/>
          <w:sz w:val="32"/>
          <w:szCs w:val="32"/>
        </w:rPr>
      </w:pPr>
      <w:r>
        <w:rPr>
          <w:rStyle w:val="17"/>
          <w:rFonts w:hint="eastAsia" w:ascii="仿宋" w:hAnsi="仿宋" w:eastAsia="仿宋"/>
          <w:b/>
          <w:bCs/>
          <w:sz w:val="32"/>
          <w:szCs w:val="32"/>
        </w:rPr>
        <w:t>12.农林水（类）巩固拓展脱贫攻坚成果衔接乡村振兴（款）其他巩固拓展脱贫攻坚成果衔接乡村振兴支出（项）</w:t>
      </w:r>
      <w:r>
        <w:rPr>
          <w:rStyle w:val="17"/>
          <w:rFonts w:ascii="仿宋" w:hAnsi="仿宋" w:eastAsia="仿宋"/>
          <w:b/>
          <w:bCs/>
          <w:sz w:val="32"/>
          <w:szCs w:val="32"/>
        </w:rPr>
        <w:t>:</w:t>
      </w:r>
      <w:r>
        <w:rPr>
          <w:rStyle w:val="17"/>
          <w:rFonts w:hint="eastAsia" w:ascii="仿宋" w:hAnsi="仿宋" w:eastAsia="仿宋"/>
          <w:b w:val="0"/>
          <w:bCs/>
          <w:sz w:val="32"/>
          <w:szCs w:val="32"/>
        </w:rPr>
        <w:t>支出决算为2.18万元，完成预算100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ind w:firstLine="643" w:firstLineChars="200"/>
      </w:pPr>
      <w:r>
        <w:rPr>
          <w:rStyle w:val="17"/>
          <w:rFonts w:hint="eastAsia" w:ascii="仿宋" w:hAnsi="仿宋" w:eastAsia="仿宋"/>
          <w:bCs/>
          <w:sz w:val="32"/>
          <w:szCs w:val="32"/>
        </w:rPr>
        <w:t>13.住房保障（类）住房改革支出（款）住房公积金（项）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支出决算为51.77万元，完成预算100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tabs>
          <w:tab w:val="right" w:pos="8306"/>
        </w:tabs>
        <w:spacing w:line="600" w:lineRule="exact"/>
        <w:ind w:firstLine="640"/>
        <w:outlineLvl w:val="1"/>
        <w:rPr>
          <w:rStyle w:val="33"/>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34"/>
      <w:bookmarkEnd w:id="35"/>
      <w:r>
        <w:rPr>
          <w:rStyle w:val="33"/>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732.36</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637.79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94.57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33"/>
          <w:rFonts w:ascii="黑体" w:hAnsi="黑体" w:eastAsia="黑体"/>
          <w:b w:val="0"/>
        </w:rPr>
      </w:pPr>
      <w:bookmarkStart w:id="36" w:name="_Toc15396609"/>
      <w:bookmarkStart w:id="37" w:name="_Toc15377215"/>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3.35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%，较上年度减少31.13万元，下降90.28%。决算数与预算数持平。</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3.19</w:t>
      </w:r>
      <w:r>
        <w:rPr>
          <w:rFonts w:hint="eastAsia" w:ascii="仿宋" w:hAnsi="仿宋" w:eastAsia="仿宋"/>
          <w:sz w:val="32"/>
          <w:szCs w:val="32"/>
        </w:rPr>
        <w:t>万元，占</w:t>
      </w:r>
      <w:r>
        <w:rPr>
          <w:sz w:val="32"/>
          <w:szCs w:val="32"/>
        </w:rPr>
        <w:t>95.3</w:t>
      </w:r>
      <w:r>
        <w:rPr>
          <w:rFonts w:ascii="仿宋" w:hAnsi="仿宋" w:eastAsia="仿宋"/>
          <w:sz w:val="32"/>
          <w:szCs w:val="32"/>
        </w:rPr>
        <w:t>%</w:t>
      </w:r>
      <w:r>
        <w:rPr>
          <w:rFonts w:hint="eastAsia" w:ascii="仿宋" w:hAnsi="仿宋" w:eastAsia="仿宋"/>
          <w:sz w:val="32"/>
          <w:szCs w:val="32"/>
        </w:rPr>
        <w:t>；公务接待费支出决算</w:t>
      </w:r>
      <w:r>
        <w:rPr>
          <w:sz w:val="32"/>
          <w:szCs w:val="32"/>
        </w:rPr>
        <w:t>0.16</w:t>
      </w:r>
      <w:r>
        <w:rPr>
          <w:rFonts w:hint="eastAsia" w:ascii="仿宋" w:hAnsi="仿宋" w:eastAsia="仿宋"/>
          <w:sz w:val="32"/>
          <w:szCs w:val="32"/>
        </w:rPr>
        <w:t>万元，占</w:t>
      </w:r>
      <w:r>
        <w:rPr>
          <w:sz w:val="32"/>
          <w:szCs w:val="32"/>
        </w:rPr>
        <w:t>4.69</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eastAsia"/>
        </w:rPr>
      </w:pPr>
      <w:r>
        <w:drawing>
          <wp:inline distT="0" distB="0" distL="114300" distR="114300">
            <wp:extent cx="4572000" cy="2476500"/>
            <wp:effectExtent l="4445" t="4445" r="14605" b="14605"/>
            <wp:docPr id="1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r>
        <w:rPr>
          <w:rFonts w:hint="eastAsia" w:ascii="仿宋_GB2312" w:eastAsia="仿宋_GB2312"/>
          <w:sz w:val="32"/>
          <w:szCs w:val="32"/>
        </w:rPr>
        <w:t>（团组名称、出访地点、取得成效）等。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3.19</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公务用车购置及运行维护费支出决算比2022年度减少30.14万元，下降90.43%。主要原因是</w:t>
      </w:r>
      <w:r>
        <w:rPr>
          <w:rFonts w:hint="eastAsia" w:ascii="仿宋_GB2312" w:eastAsia="仿宋_GB2312"/>
          <w:sz w:val="32"/>
          <w:szCs w:val="32"/>
          <w:lang w:eastAsia="zh-CN"/>
        </w:rPr>
        <w:t>公车购置减少</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3.19</w:t>
      </w:r>
      <w:r>
        <w:rPr>
          <w:rFonts w:hint="eastAsia" w:ascii="仿宋_GB2312" w:eastAsia="仿宋_GB2312"/>
          <w:sz w:val="32"/>
          <w:szCs w:val="32"/>
        </w:rPr>
        <w:t>万元。主要用于案件查办和监督检查等所需的公务用车燃料费、维修费、过路过桥费、保险费等支出。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0.16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2.71%</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公务接待费支出决算比2022年度减少0.99万元，下降86.09</w:t>
      </w:r>
      <w:r>
        <w:rPr>
          <w:rFonts w:ascii="仿宋_GB2312" w:eastAsia="仿宋_GB2312"/>
          <w:sz w:val="32"/>
          <w:szCs w:val="32"/>
        </w:rPr>
        <w:t>%</w:t>
      </w:r>
      <w:r>
        <w:rPr>
          <w:rFonts w:hint="eastAsia" w:ascii="仿宋_GB2312" w:eastAsia="仿宋_GB2312"/>
          <w:sz w:val="32"/>
          <w:szCs w:val="32"/>
        </w:rPr>
        <w:t>。主要原因是公务接待减少。其中：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国内公务接待支出0.16</w:t>
      </w:r>
      <w:r>
        <w:rPr>
          <w:rFonts w:hint="eastAsia" w:ascii="仿宋_GB2312" w:eastAsia="仿宋_GB2312"/>
          <w:sz w:val="32"/>
          <w:szCs w:val="32"/>
        </w:rPr>
        <w:t>万元，主要用于执行公务、开展业务活动开支的用餐费。国内公务接待</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9</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0.16</w:t>
      </w:r>
      <w:r>
        <w:rPr>
          <w:rFonts w:hint="eastAsia" w:ascii="仿宋_GB2312" w:eastAsia="仿宋_GB2312"/>
          <w:sz w:val="32"/>
          <w:szCs w:val="32"/>
        </w:rPr>
        <w:t>万元，具体内容包括接待市纪委开展检查工作及办案加班用餐共计</w:t>
      </w:r>
      <w:r>
        <w:rPr>
          <w:rFonts w:hint="eastAsia" w:ascii="仿宋_GB2312" w:eastAsia="仿宋_GB2312"/>
          <w:sz w:val="32"/>
          <w:szCs w:val="32"/>
          <w:lang w:val="en-US" w:eastAsia="zh-CN"/>
        </w:rPr>
        <w:t>0</w:t>
      </w:r>
      <w:r>
        <w:rPr>
          <w:rFonts w:hint="eastAsia" w:ascii="仿宋_GB2312" w:hAnsi="宋体" w:eastAsia="仿宋_GB2312" w:cs="仿宋_GB2312"/>
          <w:i w:val="0"/>
          <w:iCs w:val="0"/>
          <w:caps w:val="0"/>
          <w:color w:val="333333"/>
          <w:spacing w:val="0"/>
          <w:sz w:val="32"/>
          <w:szCs w:val="32"/>
          <w:shd w:val="clear" w:fill="FFFFFF"/>
          <w:lang w:val="en-US" w:eastAsia="zh-CN"/>
        </w:rPr>
        <w:t>.16</w:t>
      </w:r>
      <w:r>
        <w:rPr>
          <w:rFonts w:hint="eastAsia" w:ascii="仿宋_GB2312" w:hAnsi="宋体" w:eastAsia="仿宋_GB2312" w:cs="仿宋_GB2312"/>
          <w:i w:val="0"/>
          <w:iCs w:val="0"/>
          <w:caps w:val="0"/>
          <w:color w:val="333333"/>
          <w:spacing w:val="0"/>
          <w:sz w:val="32"/>
          <w:szCs w:val="32"/>
          <w:shd w:val="clear" w:fill="FFFFFF"/>
        </w:rPr>
        <w:t>万元</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万元，主要用于接待</w:t>
      </w:r>
      <w:r>
        <w:rPr>
          <w:rFonts w:hint="eastAsia" w:ascii="仿宋_GB2312" w:eastAsia="仿宋_GB2312"/>
          <w:sz w:val="32"/>
          <w:szCs w:val="32"/>
          <w:lang w:eastAsia="zh-CN"/>
        </w:rPr>
        <w:t>无</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0" w:name="_Toc15396610"/>
      <w:bookmarkStart w:id="41" w:name="_Toc15377218"/>
    </w:p>
    <w:p>
      <w:pPr>
        <w:spacing w:line="600" w:lineRule="exact"/>
        <w:ind w:firstLine="640"/>
        <w:outlineLvl w:val="1"/>
        <w:rPr>
          <w:rStyle w:val="33"/>
          <w:rFonts w:ascii="黑体" w:hAnsi="黑体" w:eastAsia="黑体"/>
        </w:rPr>
      </w:pPr>
      <w:r>
        <w:rPr>
          <w:rFonts w:hint="eastAsia" w:ascii="黑体" w:eastAsia="黑体"/>
          <w:sz w:val="32"/>
          <w:szCs w:val="32"/>
        </w:rPr>
        <w:t>八、</w:t>
      </w:r>
      <w:r>
        <w:rPr>
          <w:rStyle w:val="33"/>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33"/>
          <w:rFonts w:ascii="黑体" w:hAnsi="黑体" w:eastAsia="黑体"/>
          <w:b w:val="0"/>
        </w:rPr>
      </w:pPr>
      <w:bookmarkStart w:id="42" w:name="_Toc15396611"/>
      <w:bookmarkStart w:id="43" w:name="_Toc15377219"/>
      <w:r>
        <w:rPr>
          <w:rStyle w:val="33"/>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33"/>
          <w:rFonts w:ascii="黑体" w:hAnsi="黑体" w:eastAsia="黑体"/>
          <w:b w:val="0"/>
        </w:rPr>
      </w:pPr>
      <w:bookmarkStart w:id="44" w:name="_Toc15396612"/>
      <w:bookmarkStart w:id="45" w:name="_Toc15377221"/>
      <w:r>
        <w:rPr>
          <w:rStyle w:val="33"/>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中共乐山市金口河区纪律检查委员会</w:t>
      </w:r>
      <w:r>
        <w:rPr>
          <w:rFonts w:hint="eastAsia" w:ascii="仿宋_GB2312" w:eastAsia="仿宋_GB2312"/>
          <w:sz w:val="32"/>
          <w:szCs w:val="32"/>
        </w:rPr>
        <w:t>机关运行经费支出</w:t>
      </w:r>
      <w:r>
        <w:rPr>
          <w:sz w:val="32"/>
          <w:szCs w:val="32"/>
        </w:rPr>
        <w:t>94.57</w:t>
      </w:r>
      <w:r>
        <w:rPr>
          <w:rFonts w:hint="eastAsia" w:ascii="仿宋_GB2312" w:eastAsia="仿宋_GB2312"/>
          <w:sz w:val="32"/>
          <w:szCs w:val="32"/>
        </w:rPr>
        <w:t>万元，比2022年度增加4.06万元，增长4.29</w:t>
      </w:r>
      <w:r>
        <w:rPr>
          <w:rFonts w:ascii="仿宋_GB2312" w:eastAsia="仿宋_GB2312"/>
          <w:sz w:val="32"/>
          <w:szCs w:val="32"/>
        </w:rPr>
        <w:t>%</w:t>
      </w:r>
      <w:r>
        <w:rPr>
          <w:rFonts w:hint="eastAsia" w:ascii="仿宋_GB2312" w:eastAsia="仿宋_GB2312"/>
          <w:sz w:val="32"/>
          <w:szCs w:val="32"/>
        </w:rPr>
        <w:t>。主要原因是</w:t>
      </w:r>
      <w:r>
        <w:rPr>
          <w:rFonts w:ascii="仿宋_GB2312" w:hAnsi="宋体" w:eastAsia="仿宋_GB2312" w:cs="仿宋_GB2312"/>
          <w:color w:val="333333"/>
          <w:sz w:val="32"/>
          <w:szCs w:val="32"/>
          <w:shd w:val="clear" w:color="auto" w:fill="FFFFFF"/>
        </w:rPr>
        <w:t>人员增加，机关运行成本增加</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中共乐山市金口河区纪律检查委员会</w:t>
      </w:r>
      <w:r>
        <w:rPr>
          <w:rFonts w:hint="eastAsia" w:ascii="仿宋_GB2312" w:eastAsia="仿宋_GB2312"/>
          <w:sz w:val="32"/>
          <w:szCs w:val="32"/>
        </w:rPr>
        <w:t>政府采购支出总额</w:t>
      </w:r>
      <w:r>
        <w:rPr>
          <w:sz w:val="32"/>
          <w:szCs w:val="32"/>
        </w:rPr>
        <w:t>25.7</w:t>
      </w:r>
      <w:r>
        <w:rPr>
          <w:rFonts w:hint="eastAsia" w:ascii="仿宋_GB2312" w:eastAsia="仿宋_GB2312"/>
          <w:sz w:val="32"/>
          <w:szCs w:val="32"/>
        </w:rPr>
        <w:t>万元，其中：政府采购货物支出</w:t>
      </w:r>
      <w:r>
        <w:rPr>
          <w:sz w:val="32"/>
          <w:szCs w:val="32"/>
        </w:rPr>
        <w:t>25.7</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办公设备采购</w:t>
      </w:r>
      <w:r>
        <w:rPr>
          <w:rFonts w:hint="eastAsia" w:ascii="仿宋_GB2312" w:eastAsia="仿宋_GB2312"/>
          <w:sz w:val="32"/>
          <w:szCs w:val="32"/>
        </w:rPr>
        <w:t>。授予中小企业合同金额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中共乐山市金口河区纪律检查委员会</w:t>
      </w:r>
      <w:r>
        <w:rPr>
          <w:rFonts w:hint="eastAsia" w:ascii="仿宋_GB2312" w:eastAsia="仿宋_GB2312"/>
          <w:sz w:val="32"/>
          <w:szCs w:val="32"/>
        </w:rPr>
        <w:t>共有车辆</w:t>
      </w:r>
      <w:r>
        <w:rPr>
          <w:rFonts w:ascii="仿宋_GB2312" w:eastAsia="仿宋_GB2312"/>
          <w:sz w:val="32"/>
          <w:szCs w:val="32"/>
        </w:rPr>
        <w:t>3</w:t>
      </w:r>
      <w:r>
        <w:rPr>
          <w:rFonts w:hint="eastAsia" w:ascii="仿宋_GB2312" w:eastAsia="仿宋_GB2312"/>
          <w:sz w:val="32"/>
          <w:szCs w:val="32"/>
        </w:rPr>
        <w:t>辆，其中：</w:t>
      </w:r>
      <w:r>
        <w:rPr>
          <w:rFonts w:ascii="仿宋_GB2312" w:hAnsi="宋体" w:eastAsia="仿宋_GB2312" w:cs="仿宋_GB2312"/>
          <w:color w:val="333333"/>
          <w:sz w:val="32"/>
          <w:szCs w:val="32"/>
          <w:shd w:val="clear" w:color="auto" w:fill="FFFFFF"/>
        </w:rPr>
        <w:t>一般公务用车</w:t>
      </w:r>
      <w:r>
        <w:rPr>
          <w:rFonts w:hint="eastAsia" w:ascii="仿宋_GB2312" w:hAnsi="宋体" w:eastAsia="仿宋_GB2312" w:cs="仿宋_GB2312"/>
          <w:color w:val="333333"/>
          <w:sz w:val="32"/>
          <w:szCs w:val="32"/>
          <w:shd w:val="clear" w:color="auto" w:fill="FFFFFF"/>
        </w:rPr>
        <w:t>1辆，执法执勤用车2辆。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根据预算绩效管理要求，本部门在2023年度预算编制阶段，组织对办案经费项目等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金口河区纪委监委</w:t>
      </w:r>
      <w:r>
        <w:rPr>
          <w:rFonts w:hint="eastAsia" w:ascii="仿宋_GB2312" w:hAnsi="仿宋_GB2312" w:eastAsia="仿宋_GB2312" w:cs="仿宋_GB2312"/>
          <w:sz w:val="32"/>
          <w:szCs w:val="32"/>
        </w:rPr>
        <w:t>部门整体绩效自评报告。绩效自评报告详见附件。</w:t>
      </w:r>
    </w:p>
    <w:p>
      <w:pPr>
        <w:pStyle w:val="3"/>
        <w:jc w:val="center"/>
      </w:pPr>
      <w:r>
        <w:rPr>
          <w:rFonts w:hint="eastAsia"/>
        </w:rPr>
        <w:t>第三部分 名词解释</w:t>
      </w:r>
    </w:p>
    <w:p/>
    <w:p>
      <w:pPr>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 </w:t>
      </w:r>
    </w:p>
    <w:p>
      <w:pPr>
        <w:ind w:firstLine="640" w:firstLineChars="200"/>
        <w:rPr>
          <w:rFonts w:ascii="仿宋_GB2312" w:eastAsia="仿宋_GB2312"/>
          <w:sz w:val="32"/>
          <w:szCs w:val="32"/>
        </w:rPr>
      </w:pPr>
      <w:r>
        <w:rPr>
          <w:rFonts w:hint="eastAsia" w:ascii="仿宋_GB2312" w:eastAsia="仿宋_GB2312"/>
          <w:sz w:val="32"/>
          <w:szCs w:val="32"/>
        </w:rPr>
        <w:t xml:space="preserve">5.使用非财政拨款结余：指事业单位使用以前年度积累的非财政拨款结余弥补当年收支差额的金额。 </w:t>
      </w:r>
    </w:p>
    <w:p>
      <w:pPr>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pPr>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9.一般公共服务（类）</w:t>
      </w:r>
      <w:r>
        <w:rPr>
          <w:rFonts w:hint="eastAsia" w:ascii="仿宋_GB2312" w:eastAsia="仿宋_GB2312"/>
          <w:sz w:val="32"/>
          <w:szCs w:val="32"/>
          <w:lang w:eastAsia="zh-CN"/>
        </w:rPr>
        <w:t>纪检监察事务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（项）：指</w:t>
      </w:r>
      <w:r>
        <w:rPr>
          <w:rFonts w:hint="eastAsia" w:ascii="仿宋_GB2312" w:eastAsia="仿宋_GB2312"/>
          <w:sz w:val="32"/>
          <w:szCs w:val="32"/>
          <w:lang w:eastAsia="zh-CN"/>
        </w:rPr>
        <w:t>行政单位的基本支出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.一般公共服务（类）纪检监察事务（款）一般行政管理事务（项）：指</w:t>
      </w:r>
      <w:r>
        <w:rPr>
          <w:rFonts w:hint="eastAsia" w:ascii="仿宋_GB2312" w:eastAsia="仿宋_GB2312"/>
          <w:sz w:val="32"/>
          <w:szCs w:val="32"/>
          <w:lang w:eastAsia="zh-CN"/>
        </w:rPr>
        <w:t>行政单位专项支出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.一般公共服务（类）纪检监察事务（款）大案要案查处（项）：</w:t>
      </w:r>
      <w:r>
        <w:rPr>
          <w:rFonts w:hint="eastAsia" w:ascii="仿宋_GB2312" w:eastAsia="仿宋_GB2312"/>
          <w:sz w:val="32"/>
          <w:szCs w:val="32"/>
          <w:lang w:eastAsia="zh-CN"/>
        </w:rPr>
        <w:t>指专案经费支出</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12</w:t>
      </w:r>
      <w:r>
        <w:rPr>
          <w:rFonts w:hint="eastAsia" w:ascii="仿宋_GB2312" w:eastAsia="仿宋_GB2312"/>
          <w:sz w:val="32"/>
          <w:szCs w:val="32"/>
        </w:rPr>
        <w:t>.一般公共服务（类）纪检监察事务（款）其他纪检监察事务支出（项）:</w:t>
      </w:r>
      <w:r>
        <w:rPr>
          <w:rFonts w:hint="eastAsia" w:ascii="仿宋_GB2312" w:eastAsia="仿宋_GB2312"/>
          <w:sz w:val="32"/>
          <w:szCs w:val="32"/>
          <w:lang w:eastAsia="zh-CN"/>
        </w:rPr>
        <w:t>指行政单位其他支出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.社会保障和就业（类）行政事业单位养老支出（款）机关事业单位基本养老保险缴费支出（项）：</w:t>
      </w:r>
      <w:r>
        <w:rPr>
          <w:rFonts w:hint="eastAsia" w:ascii="仿宋_GB2312" w:eastAsia="仿宋_GB2312"/>
          <w:sz w:val="32"/>
          <w:szCs w:val="32"/>
          <w:lang w:eastAsia="zh-CN"/>
        </w:rPr>
        <w:t>指机关事业单位实施养老保险制度由单位实际缴纳的养老保险支出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.社会保障和就业（类）行政事业单位养老支出（款）机关事业单位职业年金支出（项）：</w:t>
      </w:r>
      <w:r>
        <w:rPr>
          <w:rFonts w:hint="eastAsia" w:ascii="仿宋_GB2312" w:eastAsia="仿宋_GB2312"/>
          <w:sz w:val="32"/>
          <w:szCs w:val="32"/>
          <w:lang w:eastAsia="zh-CN"/>
        </w:rPr>
        <w:t>指机关事业单位实施养老保险制度由单位实际缴纳的职业年金支出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.社会保障和就业（类）行政事业单位养老支出（款）其他行政事业单位养老支出（项）:</w:t>
      </w:r>
      <w:r>
        <w:rPr>
          <w:rFonts w:hint="eastAsia" w:ascii="仿宋_GB2312" w:eastAsia="仿宋_GB2312"/>
          <w:sz w:val="32"/>
          <w:szCs w:val="32"/>
          <w:lang w:eastAsia="zh-CN"/>
        </w:rPr>
        <w:t>指机关事业单位实施养老保险制度由单位实际缴纳的其他养老支出。</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16</w:t>
      </w:r>
      <w:r>
        <w:rPr>
          <w:rFonts w:hint="eastAsia" w:ascii="仿宋_GB2312" w:eastAsia="仿宋_GB2312"/>
          <w:sz w:val="32"/>
          <w:szCs w:val="32"/>
        </w:rPr>
        <w:t>.社会保障和就业（类）残疾人事业（款）残疾人就业（项）：</w:t>
      </w:r>
      <w:r>
        <w:rPr>
          <w:rFonts w:hint="eastAsia" w:ascii="仿宋_GB2312" w:eastAsia="仿宋_GB2312"/>
          <w:sz w:val="32"/>
          <w:szCs w:val="32"/>
          <w:lang w:eastAsia="zh-CN"/>
        </w:rPr>
        <w:t>指单位缴纳的残疾人保证金支出。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17</w:t>
      </w:r>
      <w:r>
        <w:rPr>
          <w:rFonts w:hint="eastAsia" w:ascii="仿宋_GB2312" w:eastAsia="仿宋_GB2312"/>
          <w:sz w:val="32"/>
          <w:szCs w:val="32"/>
        </w:rPr>
        <w:t>.社会保障和就业（类）其他社会保障和就业支出（款）其他社会保障和就业支出（项）：</w:t>
      </w:r>
      <w:r>
        <w:rPr>
          <w:rFonts w:hint="eastAsia" w:ascii="仿宋_GB2312" w:eastAsia="仿宋_GB2312"/>
          <w:sz w:val="32"/>
          <w:szCs w:val="32"/>
          <w:lang w:eastAsia="zh-CN"/>
        </w:rPr>
        <w:t>除上述项目以外其他用于社会保障和就业方面的支出。</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.卫生健康（类）行政事业单位医疗（款）行政单位医疗（项）:</w:t>
      </w:r>
      <w:r>
        <w:rPr>
          <w:rFonts w:hint="eastAsia" w:ascii="仿宋_GB2312" w:eastAsia="仿宋_GB2312"/>
          <w:sz w:val="32"/>
          <w:szCs w:val="32"/>
          <w:lang w:eastAsia="zh-CN"/>
        </w:rPr>
        <w:t>指集中安排的行政单位基本医疗保险缴费经费，未参加医疗保险缴费的行政单位的公费医疗经费，按国家规定享受离休人员，红军老战士待遇的医疗经费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.卫生健康（类）行政事业单位医疗（款）公务员医疗补助（项）:</w:t>
      </w:r>
      <w:r>
        <w:rPr>
          <w:rFonts w:hint="eastAsia" w:ascii="仿宋_GB2312" w:eastAsia="仿宋_GB2312"/>
          <w:sz w:val="32"/>
          <w:szCs w:val="32"/>
          <w:lang w:eastAsia="zh-CN"/>
        </w:rPr>
        <w:t>指财政部门安排的公务员医疗补助经费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.农林水（类）巩固拓展脱贫攻坚成果衔接乡村振兴（款）其他巩固拓展脱贫攻坚成果衔接乡村振兴支出（项）:</w:t>
      </w:r>
      <w:r>
        <w:rPr>
          <w:rFonts w:hint="eastAsia" w:ascii="仿宋_GB2312" w:eastAsia="仿宋_GB2312"/>
          <w:sz w:val="32"/>
          <w:szCs w:val="32"/>
          <w:lang w:eastAsia="zh-CN"/>
        </w:rPr>
        <w:t>指为巩固拓展脱贫攻坚有效衔接乡村振兴安排的经费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rPr>
        <w:t>.住房保障（类）住房改革支出（款）住房公积金（项）:</w:t>
      </w:r>
      <w:r>
        <w:rPr>
          <w:rFonts w:hint="eastAsia" w:ascii="仿宋_GB2312" w:eastAsia="仿宋_GB2312"/>
          <w:sz w:val="32"/>
          <w:szCs w:val="32"/>
          <w:lang w:eastAsia="zh-CN"/>
        </w:rPr>
        <w:t>指按规定匹配的住房公积金支出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 xml:space="preserve">.项目支出：指在基本支出之外为完成特定行政任务和事业发展目标所发生的支出。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200"/>
      </w:pPr>
    </w:p>
    <w:p>
      <w:pPr>
        <w:ind w:firstLine="643" w:firstLineChars="200"/>
        <w:rPr>
          <w:rFonts w:ascii="仿宋" w:hAnsi="仿宋" w:eastAsia="仿宋"/>
          <w:b/>
          <w:sz w:val="32"/>
          <w:szCs w:val="32"/>
        </w:rPr>
      </w:pPr>
      <w:r>
        <w:rPr>
          <w:rFonts w:ascii="仿宋" w:hAnsi="仿宋" w:eastAsia="仿宋"/>
          <w:b/>
          <w:sz w:val="32"/>
          <w:szCs w:val="32"/>
        </w:rPr>
        <w:br w:type="page"/>
      </w:r>
    </w:p>
    <w:p>
      <w:pPr>
        <w:pStyle w:val="3"/>
        <w:numPr>
          <w:ilvl w:val="0"/>
          <w:numId w:val="4"/>
        </w:numPr>
        <w:jc w:val="center"/>
        <w:rPr>
          <w:rFonts w:hint="eastAsia" w:ascii="黑体" w:hAnsi="黑体" w:eastAsia="黑体"/>
          <w:b w:val="0"/>
        </w:rPr>
      </w:pPr>
      <w:r>
        <w:rPr>
          <w:rFonts w:hint="eastAsia" w:ascii="黑体" w:hAnsi="黑体" w:eastAsia="黑体"/>
          <w:b w:val="0"/>
        </w:rPr>
        <w:t>附件</w:t>
      </w:r>
    </w:p>
    <w:p>
      <w:pPr>
        <w:rPr>
          <w:rFonts w:hint="eastAsia" w:ascii="仿宋" w:hAnsi="仿宋" w:eastAsia="仿宋"/>
          <w:sz w:val="32"/>
          <w:szCs w:val="32"/>
          <w:lang w:eastAsia="zh-CN"/>
        </w:rPr>
      </w:pPr>
      <w:r>
        <w:rPr>
          <w:rFonts w:hint="eastAsia" w:ascii="仿宋" w:hAnsi="仿宋" w:eastAsia="仿宋"/>
          <w:sz w:val="32"/>
          <w:szCs w:val="32"/>
          <w:lang w:eastAsia="zh-CN"/>
        </w:rPr>
        <w:t>备注：绩效自评见附件</w:t>
      </w:r>
    </w:p>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bookmarkEnd w:id="18"/>
    <w:bookmarkEnd w:id="19"/>
    <w:p>
      <w:pPr>
        <w:pStyle w:val="4"/>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878601"/>
    <w:multiLevelType w:val="singleLevel"/>
    <w:tmpl w:val="EC878601"/>
    <w:lvl w:ilvl="0" w:tentative="0">
      <w:start w:val="4"/>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191714"/>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5C84A73"/>
    <w:rsid w:val="368E000D"/>
    <w:rsid w:val="38296A9F"/>
    <w:rsid w:val="383D272C"/>
    <w:rsid w:val="39AE70AB"/>
    <w:rsid w:val="3A0A5BEA"/>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6A72353"/>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0A0986"/>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6"/>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3&#24180;&#20915;&#31639;&#20844;&#24320;\2023-303-&#21306;&#32426;&#22996;&#37096;&#38376;&#20915;&#31639;&#20844;&#24320;&#34920;\2023-303001-&#32426;&#22996;&#21150;&#20844;&#23460;&#20915;&#31639;&#20844;&#24320;&#25253;&#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barChart>
        <c:barDir val="col"/>
        <c:grouping val="clustered"/>
        <c:varyColors val="0"/>
        <c:ser>
          <c:idx val="0"/>
          <c:order val="0"/>
          <c:tx>
            <c:strRef>
              <c:f>Sheet1!$R$7</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Sheet1!$S$6:$T$6</c:f>
              <c:strCache>
                <c:ptCount val="2"/>
                <c:pt idx="0">
                  <c:v>收入</c:v>
                </c:pt>
                <c:pt idx="1">
                  <c:v>支出</c:v>
                </c:pt>
              </c:strCache>
            </c:strRef>
          </c:cat>
          <c:val>
            <c:numRef>
              <c:f>Sheet1!$S$7:$T$7</c:f>
              <c:numCache>
                <c:formatCode>General</c:formatCode>
                <c:ptCount val="2"/>
                <c:pt idx="0">
                  <c:v>783.44</c:v>
                </c:pt>
                <c:pt idx="1">
                  <c:v>783.44</c:v>
                </c:pt>
              </c:numCache>
            </c:numRef>
          </c:val>
        </c:ser>
        <c:ser>
          <c:idx val="1"/>
          <c:order val="1"/>
          <c:tx>
            <c:strRef>
              <c:f>Sheet1!$R$8</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Sheet1!$S$6:$T$6</c:f>
              <c:strCache>
                <c:ptCount val="2"/>
                <c:pt idx="0">
                  <c:v>收入</c:v>
                </c:pt>
                <c:pt idx="1">
                  <c:v>支出</c:v>
                </c:pt>
              </c:strCache>
            </c:strRef>
          </c:cat>
          <c:val>
            <c:numRef>
              <c:f>Sheet1!$S$8:$T$8</c:f>
              <c:numCache>
                <c:formatCode>General</c:formatCode>
                <c:ptCount val="2"/>
                <c:pt idx="0">
                  <c:v>849.14</c:v>
                </c:pt>
                <c:pt idx="1">
                  <c:v>849.14</c:v>
                </c:pt>
              </c:numCache>
            </c:numRef>
          </c:val>
        </c:ser>
        <c:dLbls>
          <c:showLegendKey val="0"/>
          <c:showVal val="1"/>
          <c:showCatName val="0"/>
          <c:showSerName val="0"/>
          <c:showPercent val="0"/>
          <c:showBubbleSize val="0"/>
        </c:dLbls>
        <c:gapWidth val="150"/>
        <c:axId val="217550848"/>
        <c:axId val="217552384"/>
      </c:barChart>
      <c:catAx>
        <c:axId val="217550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7552384"/>
        <c:crosses val="autoZero"/>
        <c:auto val="1"/>
        <c:lblAlgn val="ctr"/>
        <c:lblOffset val="100"/>
        <c:noMultiLvlLbl val="0"/>
      </c:catAx>
      <c:valAx>
        <c:axId val="217552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755084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[工作簿2]Sheet1!$I$11:$I$12</c:f>
              <c:strCache>
                <c:ptCount val="2"/>
                <c:pt idx="0">
                  <c:v>一般公共预算财政拨款收入</c:v>
                </c:pt>
                <c:pt idx="1">
                  <c:v>其他收入</c:v>
                </c:pt>
              </c:strCache>
            </c:strRef>
          </c:cat>
          <c:val>
            <c:numRef>
              <c:f>[工作簿2]Sheet1!$J$11:$J$12</c:f>
              <c:numCache>
                <c:formatCode>0.00%</c:formatCode>
                <c:ptCount val="2"/>
                <c:pt idx="0">
                  <c:v>0.9999</c:v>
                </c:pt>
                <c:pt idx="1">
                  <c:v>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[工作簿2]Sheet1!$I$11:$I$12</c:f>
              <c:strCache>
                <c:ptCount val="2"/>
                <c:pt idx="0">
                  <c:v>基本支出</c:v>
                </c:pt>
                <c:pt idx="1">
                  <c:v>项目支出</c:v>
                </c:pt>
              </c:strCache>
            </c:strRef>
          </c:cat>
          <c:val>
            <c:numRef>
              <c:f>[工作簿2]Sheet1!$J$11:$J$12</c:f>
              <c:numCache>
                <c:formatCode>0.00%</c:formatCode>
                <c:ptCount val="2"/>
                <c:pt idx="0">
                  <c:v>0.8625</c:v>
                </c:pt>
                <c:pt idx="1">
                  <c:v>0.1375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[工作簿2]Sheet1!$H$11</c:f>
              <c:strCache>
                <c:ptCount val="1"/>
                <c:pt idx="0">
                  <c:v>2022年</c:v>
                </c:pt>
              </c:strCache>
            </c:strRef>
          </c:tx>
          <c:spPr>
            <a:solidFill>
              <a:schemeClr val="accent1"/>
            </a:solidFill>
            <a:ln>
              <a:noFill/>
            </a:ln>
            <a:effectLst/>
          </c:spPr>
          <c:invertIfNegative val="0"/>
          <c:dLbls>
            <c:delete val="1"/>
          </c:dLbls>
          <c:cat>
            <c:strRef>
              <c:f>[工作簿2]Sheet1!$I$10:$J$10</c:f>
              <c:strCache>
                <c:ptCount val="2"/>
                <c:pt idx="0">
                  <c:v>收入</c:v>
                </c:pt>
                <c:pt idx="1">
                  <c:v>支出</c:v>
                </c:pt>
              </c:strCache>
            </c:strRef>
          </c:cat>
          <c:val>
            <c:numRef>
              <c:f>[工作簿2]Sheet1!$I$11:$J$11</c:f>
              <c:numCache>
                <c:formatCode>General</c:formatCode>
                <c:ptCount val="2"/>
                <c:pt idx="0">
                  <c:v>783.44</c:v>
                </c:pt>
                <c:pt idx="1">
                  <c:v>783.44</c:v>
                </c:pt>
              </c:numCache>
            </c:numRef>
          </c:val>
        </c:ser>
        <c:ser>
          <c:idx val="1"/>
          <c:order val="1"/>
          <c:tx>
            <c:strRef>
              <c:f>[工作簿2]Sheet1!$H$12</c:f>
              <c:strCache>
                <c:ptCount val="1"/>
                <c:pt idx="0">
                  <c:v>2023年</c:v>
                </c:pt>
              </c:strCache>
            </c:strRef>
          </c:tx>
          <c:spPr>
            <a:solidFill>
              <a:schemeClr val="accent2"/>
            </a:solidFill>
            <a:ln>
              <a:noFill/>
            </a:ln>
            <a:effectLst/>
          </c:spPr>
          <c:invertIfNegative val="0"/>
          <c:dLbls>
            <c:delete val="1"/>
          </c:dLbls>
          <c:cat>
            <c:strRef>
              <c:f>[工作簿2]Sheet1!$I$10:$J$10</c:f>
              <c:strCache>
                <c:ptCount val="2"/>
                <c:pt idx="0">
                  <c:v>收入</c:v>
                </c:pt>
                <c:pt idx="1">
                  <c:v>支出</c:v>
                </c:pt>
              </c:strCache>
            </c:strRef>
          </c:cat>
          <c:val>
            <c:numRef>
              <c:f>[工作簿2]Sheet1!$I$12:$J$12</c:f>
              <c:numCache>
                <c:formatCode>General</c:formatCode>
                <c:ptCount val="2"/>
                <c:pt idx="0">
                  <c:v>849.09</c:v>
                </c:pt>
                <c:pt idx="1">
                  <c:v>849.09</c:v>
                </c:pt>
              </c:numCache>
            </c:numRef>
          </c:val>
        </c:ser>
        <c:dLbls>
          <c:showLegendKey val="0"/>
          <c:showVal val="0"/>
          <c:showCatName val="0"/>
          <c:showSerName val="0"/>
          <c:showPercent val="0"/>
          <c:showBubbleSize val="0"/>
        </c:dLbls>
        <c:gapWidth val="219"/>
        <c:overlap val="-27"/>
        <c:axId val="88666766"/>
        <c:axId val="430889843"/>
      </c:barChart>
      <c:catAx>
        <c:axId val="886667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889843"/>
        <c:crosses val="autoZero"/>
        <c:auto val="1"/>
        <c:lblAlgn val="ctr"/>
        <c:lblOffset val="100"/>
        <c:noMultiLvlLbl val="0"/>
      </c:catAx>
      <c:valAx>
        <c:axId val="4308898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6676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[工作簿2]Sheet1!$H$11</c:f>
              <c:strCache>
                <c:ptCount val="1"/>
                <c:pt idx="0">
                  <c:v>2022年</c:v>
                </c:pt>
              </c:strCache>
            </c:strRef>
          </c:tx>
          <c:spPr>
            <a:solidFill>
              <a:schemeClr val="accent1"/>
            </a:solidFill>
            <a:ln>
              <a:noFill/>
            </a:ln>
            <a:effectLst/>
          </c:spPr>
          <c:invertIfNegative val="0"/>
          <c:dLbls>
            <c:delete val="1"/>
          </c:dLbls>
          <c:cat>
            <c:strRef>
              <c:f>[工作簿2]Sheet1!$I$10:$J$10</c:f>
              <c:strCache>
                <c:ptCount val="2"/>
                <c:pt idx="0">
                  <c:v>收入</c:v>
                </c:pt>
                <c:pt idx="1">
                  <c:v>支出</c:v>
                </c:pt>
              </c:strCache>
            </c:strRef>
          </c:cat>
          <c:val>
            <c:numRef>
              <c:f>[工作簿2]Sheet1!$I$11:$J$11</c:f>
              <c:numCache>
                <c:formatCode>General</c:formatCode>
                <c:ptCount val="2"/>
                <c:pt idx="0">
                  <c:v>782.16</c:v>
                </c:pt>
                <c:pt idx="1">
                  <c:v>782.16</c:v>
                </c:pt>
              </c:numCache>
            </c:numRef>
          </c:val>
        </c:ser>
        <c:ser>
          <c:idx val="1"/>
          <c:order val="1"/>
          <c:tx>
            <c:strRef>
              <c:f>[工作簿2]Sheet1!$H$12</c:f>
              <c:strCache>
                <c:ptCount val="1"/>
                <c:pt idx="0">
                  <c:v>2023年</c:v>
                </c:pt>
              </c:strCache>
            </c:strRef>
          </c:tx>
          <c:spPr>
            <a:solidFill>
              <a:schemeClr val="accent2"/>
            </a:solidFill>
            <a:ln>
              <a:noFill/>
            </a:ln>
            <a:effectLst/>
          </c:spPr>
          <c:invertIfNegative val="0"/>
          <c:dLbls>
            <c:delete val="1"/>
          </c:dLbls>
          <c:cat>
            <c:strRef>
              <c:f>[工作簿2]Sheet1!$I$10:$J$10</c:f>
              <c:strCache>
                <c:ptCount val="2"/>
                <c:pt idx="0">
                  <c:v>收入</c:v>
                </c:pt>
                <c:pt idx="1">
                  <c:v>支出</c:v>
                </c:pt>
              </c:strCache>
            </c:strRef>
          </c:cat>
          <c:val>
            <c:numRef>
              <c:f>[工作簿2]Sheet1!$I$12:$J$12</c:f>
              <c:numCache>
                <c:formatCode>General</c:formatCode>
                <c:ptCount val="2"/>
                <c:pt idx="0">
                  <c:v>849.09</c:v>
                </c:pt>
                <c:pt idx="1">
                  <c:v>849.09</c:v>
                </c:pt>
              </c:numCache>
            </c:numRef>
          </c:val>
        </c:ser>
        <c:dLbls>
          <c:showLegendKey val="0"/>
          <c:showVal val="0"/>
          <c:showCatName val="0"/>
          <c:showSerName val="0"/>
          <c:showPercent val="0"/>
          <c:showBubbleSize val="0"/>
        </c:dLbls>
        <c:gapWidth val="219"/>
        <c:overlap val="-27"/>
        <c:axId val="98016333"/>
        <c:axId val="430919515"/>
      </c:barChart>
      <c:catAx>
        <c:axId val="980163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919515"/>
        <c:crosses val="autoZero"/>
        <c:auto val="1"/>
        <c:lblAlgn val="ctr"/>
        <c:lblOffset val="100"/>
        <c:noMultiLvlLbl val="0"/>
      </c:catAx>
      <c:valAx>
        <c:axId val="4309195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63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0353946433361747"/>
                  <c:y val="0.017920993849787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0661764352055"/>
                  <c:y val="-0.03004202609072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5933654835547"/>
                  <c:y val="-0.006794113711962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32145118102401"/>
                  <c:y val="0.008419186312308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[工作簿2]Sheet1!$I$12:$I$16</c:f>
              <c:strCache>
                <c:ptCount val="5"/>
                <c:pt idx="0">
                  <c:v>一般公共服务支出</c:v>
                </c:pt>
                <c:pt idx="1">
                  <c:v>社会保障和就业支出</c:v>
                </c:pt>
                <c:pt idx="2">
                  <c:v>卫生健康支出</c:v>
                </c:pt>
                <c:pt idx="3">
                  <c:v>住房保障支出</c:v>
                </c:pt>
                <c:pt idx="4">
                  <c:v>农林水支出</c:v>
                </c:pt>
              </c:strCache>
            </c:strRef>
          </c:cat>
          <c:val>
            <c:numRef>
              <c:f>[工作簿2]Sheet1!$J$12:$J$16</c:f>
              <c:numCache>
                <c:formatCode>0.00%</c:formatCode>
                <c:ptCount val="5"/>
                <c:pt idx="0">
                  <c:v>0.7663</c:v>
                </c:pt>
                <c:pt idx="1">
                  <c:v>0.1499</c:v>
                </c:pt>
                <c:pt idx="2">
                  <c:v>0.0202</c:v>
                </c:pt>
                <c:pt idx="3">
                  <c:v>0.061</c:v>
                </c:pt>
                <c:pt idx="4">
                  <c:v>0.0026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[工作簿2]Sheet1!$I$23:$I$24</c:f>
              <c:strCache>
                <c:ptCount val="2"/>
                <c:pt idx="0">
                  <c:v>公务用车购置及运行维护费支出</c:v>
                </c:pt>
                <c:pt idx="1">
                  <c:v>公务接待费支出</c:v>
                </c:pt>
              </c:strCache>
            </c:strRef>
          </c:cat>
          <c:val>
            <c:numRef>
              <c:f>[工作簿2]Sheet1!$J$23:$J$24</c:f>
              <c:numCache>
                <c:formatCode>0.00%</c:formatCode>
                <c:ptCount val="2"/>
                <c:pt idx="0">
                  <c:v>0.953</c:v>
                </c:pt>
                <c:pt idx="1">
                  <c:v>0.047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4</TotalTime>
  <ScaleCrop>false</ScaleCrop>
  <LinksUpToDate>false</LinksUpToDate>
  <CharactersWithSpaces>7641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祝杨</cp:lastModifiedBy>
  <cp:lastPrinted>2023-08-03T02:35:00Z</cp:lastPrinted>
  <dcterms:modified xsi:type="dcterms:W3CDTF">2024-10-17T02:53:26Z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A1142CF302C5474891226D88DC9B852B</vt:lpwstr>
  </property>
</Properties>
</file>