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77425"/>
      <w:bookmarkStart w:id="2" w:name="_Toc15396475"/>
      <w:bookmarkStart w:id="3" w:name="_Toc15396597"/>
      <w:bookmarkStart w:id="4" w:name="_Toc15377193"/>
      <w:bookmarkStart w:id="5"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96476"/>
      <w:bookmarkStart w:id="8" w:name="_Toc15377194"/>
      <w:bookmarkStart w:id="9" w:name="_Toc15306268"/>
      <w:bookmarkStart w:id="10" w:name="_Toc15378442"/>
      <w:bookmarkStart w:id="11" w:name="_Toc15377426"/>
      <w:r>
        <w:rPr>
          <w:rFonts w:hint="eastAsia" w:ascii="方正小标宋简体" w:hAnsi="方正小标宋简体" w:eastAsia="方正小标宋简体" w:cs="方正小标宋简体"/>
          <w:sz w:val="72"/>
          <w:szCs w:val="72"/>
          <w:lang w:eastAsia="zh-CN"/>
        </w:rPr>
        <w:t>乐山市金口河区机关事务服务中心部门</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25</w:t>
      </w:r>
      <w:r>
        <w:rPr>
          <w:rFonts w:hint="eastAsia"/>
        </w:rPr>
        <w:t xml:space="preserve"> 日</w:t>
      </w:r>
    </w:p>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hint="eastAsia"/>
          <w:sz w:val="24"/>
          <w:lang w:val="en-US" w:eastAsia="zh-CN"/>
        </w:rPr>
        <w:t>·······················4</w:t>
      </w:r>
    </w:p>
    <w:p>
      <w:pPr>
        <w:pStyle w:val="13"/>
        <w:adjustRightInd w:val="0"/>
        <w:snapToGrid w:val="0"/>
        <w:spacing w:line="440" w:lineRule="exact"/>
        <w:jc w:val="left"/>
        <w:rPr>
          <w:rFonts w:hint="default" w:ascii="仿宋" w:hAnsi="仿宋" w:eastAsia="宋体"/>
          <w:sz w:val="24"/>
          <w:lang w:val="en-US" w:eastAsia="zh-CN"/>
        </w:rPr>
      </w:pPr>
      <w:r>
        <w:rPr>
          <w:rFonts w:hint="eastAsia"/>
          <w:sz w:val="24"/>
        </w:rPr>
        <w:t>一、部门职责</w:t>
      </w:r>
      <w:r>
        <w:rPr>
          <w:rFonts w:hint="eastAsia"/>
          <w:sz w:val="24"/>
          <w:lang w:val="en-US" w:eastAsia="zh-CN"/>
        </w:rPr>
        <w:t>························4</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二、机构设置</w:t>
      </w:r>
      <w:r>
        <w:rPr>
          <w:rFonts w:hint="eastAsia"/>
          <w:sz w:val="24"/>
          <w:lang w:val="en-US" w:eastAsia="zh-CN"/>
        </w:rPr>
        <w:t>························4</w:t>
      </w:r>
    </w:p>
    <w:p>
      <w:pPr>
        <w:pStyle w:val="12"/>
        <w:adjustRightInd w:val="0"/>
        <w:snapToGrid w:val="0"/>
        <w:spacing w:before="0" w:line="440" w:lineRule="exact"/>
        <w:jc w:val="left"/>
        <w:rPr>
          <w:rFonts w:hint="default" w:eastAsia="仿宋"/>
          <w:sz w:val="24"/>
          <w:szCs w:val="24"/>
          <w:lang w:val="en-US" w:eastAsia="zh-CN"/>
        </w:rPr>
      </w:pPr>
      <w:r>
        <w:rPr>
          <w:rFonts w:hint="eastAsia"/>
          <w:sz w:val="24"/>
        </w:rPr>
        <w:t>第二部分 2023年度部门决算情况说明</w:t>
      </w:r>
      <w:r>
        <w:rPr>
          <w:rFonts w:hint="eastAsia"/>
          <w:sz w:val="24"/>
          <w:lang w:val="en-US" w:eastAsia="zh-CN"/>
        </w:rPr>
        <w:t>···············5</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················5</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····················5</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····················6</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············6</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··········7</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········10</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··········11</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·············14</w:t>
      </w:r>
    </w:p>
    <w:p>
      <w:pPr>
        <w:pStyle w:val="13"/>
        <w:adjustRightInd w:val="0"/>
        <w:snapToGrid w:val="0"/>
        <w:spacing w:line="440" w:lineRule="exact"/>
        <w:ind w:leftChars="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rFonts w:hint="eastAsia" w:asciiTheme="minorEastAsia" w:hAnsiTheme="minorEastAsia" w:eastAsiaTheme="minorEastAsia" w:cstheme="minorEastAsia"/>
          <w:sz w:val="24"/>
          <w:lang w:val="en-US" w:eastAsia="zh-CN"/>
        </w:rPr>
        <w:t>············14</w:t>
      </w:r>
    </w:p>
    <w:p>
      <w:pPr>
        <w:adjustRightInd w:val="0"/>
        <w:snapToGrid w:val="0"/>
        <w:spacing w:line="440" w:lineRule="exact"/>
        <w:ind w:firstLine="420" w:firstLineChars="175"/>
        <w:jc w:val="left"/>
        <w:rPr>
          <w:rFonts w:hint="default" w:asciiTheme="minorEastAsia" w:hAnsiTheme="minorEastAsia" w:eastAsiaTheme="minorEastAsia" w:cstheme="minorEastAsia"/>
          <w:sz w:val="24"/>
          <w:lang w:val="en-US" w:eastAsia="zh-CN"/>
        </w:rPr>
      </w:pPr>
      <w:r>
        <w:rPr>
          <w:rStyle w:val="19"/>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················14</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·······················17</w:t>
      </w:r>
      <w:bookmarkStart w:id="86" w:name="_GoBack"/>
      <w:bookmarkEnd w:id="86"/>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·························20</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·························29</w:t>
      </w:r>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sz w:val="24"/>
        </w:rPr>
      </w:pPr>
      <w:r>
        <w:rPr>
          <w:rFonts w:hint="eastAsia"/>
          <w:sz w:val="24"/>
        </w:rPr>
        <w:t>十一、国有资本经营预算财政拨款收入支出决算表</w:t>
      </w:r>
    </w:p>
    <w:p>
      <w:pPr>
        <w:pStyle w:val="13"/>
        <w:adjustRightInd w:val="0"/>
        <w:snapToGrid w:val="0"/>
        <w:spacing w:line="440" w:lineRule="exact"/>
        <w:jc w:val="left"/>
        <w:rPr>
          <w:sz w:val="24"/>
        </w:rPr>
      </w:pPr>
      <w:r>
        <w:rPr>
          <w:rFonts w:hint="eastAsia"/>
          <w:sz w:val="24"/>
        </w:rPr>
        <w:t>十二、国有资本经营预算财政拨款支出决算表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9"/>
          <w:rFonts w:ascii="黑体" w:hAnsi="黑体" w:eastAsia="黑体"/>
          <w:b/>
          <w:bCs w:val="0"/>
        </w:rPr>
      </w:pPr>
      <w:r>
        <w:rPr>
          <w:rFonts w:hint="eastAsia" w:ascii="黑体" w:hAnsi="黑体" w:eastAsia="黑体"/>
          <w:b w:val="0"/>
        </w:rPr>
        <w:t xml:space="preserve">第一部分 </w:t>
      </w:r>
      <w:r>
        <w:rPr>
          <w:rStyle w:val="29"/>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numPr>
          <w:ilvl w:val="0"/>
          <w:numId w:val="2"/>
        </w:numPr>
        <w:rPr>
          <w:rFonts w:hint="eastAsia" w:ascii="黑体" w:hAnsi="黑体" w:eastAsia="黑体"/>
          <w:b w:val="0"/>
        </w:rPr>
      </w:pPr>
      <w:r>
        <w:rPr>
          <w:rFonts w:hint="eastAsia" w:ascii="黑体" w:hAnsi="黑体" w:eastAsia="黑体"/>
          <w:b w:val="0"/>
        </w:rPr>
        <w:t>部门职责</w:t>
      </w:r>
    </w:p>
    <w:p>
      <w:pPr>
        <w:spacing w:line="600" w:lineRule="exact"/>
        <w:ind w:firstLine="640" w:firstLineChars="200"/>
      </w:pPr>
      <w:bookmarkStart w:id="14" w:name="OLE_LINK1"/>
      <w:r>
        <w:rPr>
          <w:rFonts w:ascii="仿宋_GB2312" w:hAnsi="仿宋" w:eastAsia="仿宋_GB2312"/>
          <w:sz w:val="32"/>
          <w:szCs w:val="32"/>
        </w:rPr>
        <w:t>负责全区机关事务的管理、保障工作;负责全区行政事业单位国有资产管理，承担产权界定、清查登记、资产处置工作，</w:t>
      </w:r>
      <w:r>
        <w:rPr>
          <w:rFonts w:hint="eastAsia" w:ascii="仿宋_GB2312" w:hAnsi="仿宋" w:eastAsia="仿宋_GB2312"/>
          <w:sz w:val="32"/>
          <w:szCs w:val="32"/>
        </w:rPr>
        <w:t>负责</w:t>
      </w:r>
      <w:r>
        <w:rPr>
          <w:rFonts w:ascii="仿宋_GB2312" w:hAnsi="仿宋" w:eastAsia="仿宋_GB2312"/>
          <w:sz w:val="32"/>
          <w:szCs w:val="32"/>
        </w:rPr>
        <w:t>制定行政事业单位国有资产管理具体规章制度并组织实施;承担全区办公用房和办公区建设的规划编制、项目审核、建设监管、使用调配、维修审核及监督管理;负责全区公务车辆的处置、管理和公共机构节能等工作;负责区本级政务接待工作，并指导各乡镇、各部门的政务接待工作。</w:t>
      </w:r>
      <w:bookmarkEnd w:id="14"/>
    </w:p>
    <w:p>
      <w:pPr>
        <w:pStyle w:val="4"/>
        <w:rPr>
          <w:rStyle w:val="30"/>
          <w:b w:val="0"/>
          <w:bCs w:val="0"/>
        </w:rPr>
      </w:pPr>
      <w:bookmarkStart w:id="15" w:name="_Toc15396601"/>
      <w:bookmarkStart w:id="16" w:name="_Toc15377200"/>
      <w:r>
        <w:rPr>
          <w:rFonts w:hint="eastAsia" w:ascii="黑体" w:eastAsia="黑体"/>
          <w:b w:val="0"/>
        </w:rPr>
        <w:t>二、</w:t>
      </w:r>
      <w:r>
        <w:rPr>
          <w:rFonts w:hint="eastAsia" w:ascii="黑体" w:hAnsi="黑体" w:eastAsia="黑体"/>
          <w:b w:val="0"/>
        </w:rPr>
        <w:t>机</w:t>
      </w:r>
      <w:r>
        <w:rPr>
          <w:rStyle w:val="30"/>
          <w:rFonts w:hint="eastAsia" w:ascii="黑体" w:hAnsi="黑体" w:eastAsia="黑体"/>
          <w:b w:val="0"/>
          <w:bCs w:val="0"/>
        </w:rPr>
        <w:t>构设置</w:t>
      </w:r>
      <w:bookmarkEnd w:id="15"/>
      <w:bookmarkEnd w:id="16"/>
    </w:p>
    <w:p>
      <w:pPr>
        <w:ind w:firstLine="800" w:firstLineChars="250"/>
        <w:rPr>
          <w:rFonts w:ascii="仿宋" w:hAnsi="仿宋" w:eastAsia="仿宋"/>
          <w:sz w:val="32"/>
          <w:szCs w:val="32"/>
        </w:rPr>
      </w:pPr>
      <w:r>
        <w:rPr>
          <w:sz w:val="32"/>
          <w:szCs w:val="32"/>
        </w:rPr>
        <w:t>乐山市金口河区机关事务服务中心</w:t>
      </w:r>
      <w:r>
        <w:rPr>
          <w:rFonts w:hint="eastAsia" w:ascii="仿宋" w:hAnsi="仿宋" w:eastAsia="仿宋"/>
          <w:sz w:val="32"/>
          <w:szCs w:val="32"/>
        </w:rPr>
        <w:t>下属二级预算单位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6"/>
        <w:adjustRightInd w:val="0"/>
        <w:snapToGrid w:val="0"/>
        <w:spacing w:before="93" w:line="600" w:lineRule="exact"/>
        <w:ind w:firstLine="672" w:firstLineChars="210"/>
        <w:rPr>
          <w:rFonts w:hint="eastAsia" w:ascii="仿宋" w:hAnsi="仿宋" w:eastAsia="仿宋"/>
          <w:sz w:val="32"/>
          <w:szCs w:val="32"/>
          <w:lang w:val="en-US" w:eastAsia="zh-CN"/>
        </w:rPr>
      </w:pPr>
      <w:r>
        <w:rPr>
          <w:rFonts w:hint="eastAsia" w:ascii="仿宋" w:hAnsi="仿宋" w:eastAsia="仿宋"/>
          <w:sz w:val="32"/>
          <w:szCs w:val="32"/>
        </w:rPr>
        <w:t>纳入</w:t>
      </w:r>
      <w:r>
        <w:rPr>
          <w:rFonts w:ascii="Times New Roman" w:eastAsia="宋体"/>
          <w:kern w:val="2"/>
          <w:sz w:val="32"/>
          <w:szCs w:val="32"/>
        </w:rPr>
        <w:t>乐山市金口河区机关事务服务中心</w:t>
      </w:r>
      <w:r>
        <w:rPr>
          <w:rFonts w:hint="eastAsia" w:ascii="仿宋" w:hAnsi="仿宋" w:eastAsia="仿宋"/>
          <w:sz w:val="32"/>
          <w:szCs w:val="32"/>
        </w:rPr>
        <w:t>2023年度部门决算编制范围的二级预算单位包括：</w:t>
      </w:r>
      <w:r>
        <w:rPr>
          <w:rFonts w:hint="eastAsia" w:ascii="仿宋" w:hAnsi="仿宋" w:eastAsia="仿宋"/>
          <w:sz w:val="32"/>
          <w:szCs w:val="32"/>
          <w:lang w:eastAsia="zh-CN"/>
        </w:rPr>
        <w:t>无。</w:t>
      </w:r>
    </w:p>
    <w:p>
      <w:pPr>
        <w:widowControl/>
        <w:ind w:firstLine="640" w:firstLineChars="200"/>
        <w:jc w:val="left"/>
        <w:rPr>
          <w:rFonts w:ascii="仿宋" w:hAnsi="仿宋" w:eastAsia="仿宋"/>
          <w:kern w:val="0"/>
          <w:sz w:val="32"/>
          <w:szCs w:val="32"/>
        </w:rPr>
      </w:pPr>
      <w:r>
        <w:rPr>
          <w:rFonts w:ascii="仿宋" w:hAnsi="仿宋" w:eastAsia="仿宋"/>
          <w:sz w:val="32"/>
          <w:szCs w:val="32"/>
        </w:rPr>
        <w:br w:type="page"/>
      </w:r>
    </w:p>
    <w:p>
      <w:pPr>
        <w:pStyle w:val="3"/>
        <w:ind w:right="440"/>
        <w:jc w:val="center"/>
      </w:pPr>
      <w:bookmarkStart w:id="17" w:name="_Toc15377204"/>
      <w:bookmarkStart w:id="18" w:name="_Toc15396602"/>
      <w:r>
        <w:rPr>
          <w:rFonts w:hint="eastAsia" w:ascii="黑体" w:hAnsi="黑体" w:eastAsia="黑体"/>
          <w:b w:val="0"/>
        </w:rPr>
        <w:t>第二部分 2023年度</w:t>
      </w:r>
      <w:r>
        <w:rPr>
          <w:rStyle w:val="29"/>
          <w:rFonts w:hint="eastAsia" w:ascii="黑体" w:hAnsi="黑体" w:eastAsia="黑体"/>
          <w:b w:val="0"/>
          <w:bCs/>
        </w:rPr>
        <w:t>部门决算情况说明</w:t>
      </w:r>
      <w:bookmarkEnd w:id="17"/>
      <w:bookmarkEnd w:id="18"/>
    </w:p>
    <w:p>
      <w:pPr>
        <w:pStyle w:val="28"/>
        <w:numPr>
          <w:ilvl w:val="0"/>
          <w:numId w:val="3"/>
        </w:numPr>
        <w:spacing w:line="600" w:lineRule="exact"/>
        <w:ind w:firstLineChars="0"/>
        <w:outlineLvl w:val="1"/>
        <w:rPr>
          <w:rStyle w:val="30"/>
          <w:rFonts w:ascii="黑体" w:hAnsi="黑体" w:eastAsia="黑体"/>
          <w:b w:val="0"/>
        </w:rPr>
      </w:pPr>
      <w:bookmarkStart w:id="19" w:name="_Toc15396603"/>
      <w:bookmarkStart w:id="20" w:name="_Toc15377205"/>
      <w:r>
        <w:rPr>
          <w:rFonts w:hint="eastAsia" w:ascii="黑体" w:hAnsi="黑体" w:eastAsia="黑体"/>
          <w:sz w:val="32"/>
          <w:szCs w:val="32"/>
        </w:rPr>
        <w:t>收</w:t>
      </w:r>
      <w:r>
        <w:rPr>
          <w:rStyle w:val="30"/>
          <w:rFonts w:hint="eastAsia" w:ascii="黑体" w:hAnsi="黑体" w:eastAsia="黑体"/>
          <w:b w:val="0"/>
        </w:rPr>
        <w:t>入支出决算总体情况说明</w:t>
      </w:r>
      <w:bookmarkEnd w:id="19"/>
      <w:bookmarkEnd w:id="20"/>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472.78</w:t>
      </w:r>
      <w:r>
        <w:rPr>
          <w:rFonts w:hint="eastAsia" w:ascii="仿宋" w:hAnsi="仿宋" w:eastAsia="仿宋"/>
          <w:sz w:val="32"/>
          <w:szCs w:val="32"/>
        </w:rPr>
        <w:t>万元。</w:t>
      </w:r>
      <w:bookmarkStart w:id="21" w:name="OLE_LINK3"/>
      <w:r>
        <w:rPr>
          <w:rFonts w:hint="eastAsia" w:ascii="仿宋" w:hAnsi="仿宋" w:eastAsia="仿宋"/>
          <w:sz w:val="32"/>
          <w:szCs w:val="32"/>
          <w:lang w:eastAsia="zh-CN"/>
        </w:rPr>
        <w:t>无法</w:t>
      </w:r>
      <w:r>
        <w:rPr>
          <w:rFonts w:hint="eastAsia" w:ascii="仿宋" w:hAnsi="仿宋" w:eastAsia="仿宋"/>
          <w:sz w:val="32"/>
          <w:szCs w:val="32"/>
        </w:rPr>
        <w:t>与2022年度</w:t>
      </w:r>
      <w:r>
        <w:rPr>
          <w:rFonts w:hint="eastAsia" w:ascii="仿宋" w:hAnsi="仿宋" w:eastAsia="仿宋"/>
          <w:sz w:val="32"/>
          <w:szCs w:val="32"/>
          <w:lang w:eastAsia="zh-CN"/>
        </w:rPr>
        <w:t>收、支数据</w:t>
      </w:r>
      <w:r>
        <w:rPr>
          <w:rFonts w:hint="eastAsia" w:ascii="仿宋" w:hAnsi="仿宋" w:eastAsia="仿宋"/>
          <w:sz w:val="32"/>
          <w:szCs w:val="32"/>
        </w:rPr>
        <w:t>相比，主要原因是</w:t>
      </w:r>
      <w:r>
        <w:rPr>
          <w:rFonts w:hint="eastAsia" w:ascii="仿宋" w:hAnsi="仿宋" w:eastAsia="仿宋"/>
          <w:sz w:val="32"/>
          <w:szCs w:val="32"/>
          <w:lang w:val="en-US" w:eastAsia="zh-CN"/>
        </w:rPr>
        <w:t>2022年区机关事务中心与区委办共用一个账套未独立核算，无法取得相关数据</w:t>
      </w:r>
      <w:r>
        <w:rPr>
          <w:rFonts w:hint="eastAsia" w:ascii="仿宋" w:hAnsi="仿宋" w:eastAsia="仿宋"/>
          <w:sz w:val="32"/>
          <w:szCs w:val="32"/>
        </w:rPr>
        <w:t>。</w:t>
      </w:r>
    </w:p>
    <w:bookmarkEnd w:id="21"/>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420" w:firstLineChars="200"/>
        <w:jc w:val="left"/>
        <w:rPr>
          <w:rFonts w:ascii="仿宋_GB2312" w:eastAsia="仿宋_GB2312"/>
          <w:sz w:val="32"/>
          <w:szCs w:val="32"/>
        </w:rPr>
      </w:pPr>
      <w:r>
        <w:rPr>
          <w:rFonts w:hint="eastAsia" w:eastAsia="仿宋_GB2312"/>
        </w:rPr>
        <w:drawing>
          <wp:anchor distT="0" distB="0" distL="114300" distR="114300" simplePos="0" relativeHeight="251659264" behindDoc="1" locked="0" layoutInCell="1" allowOverlap="1">
            <wp:simplePos x="0" y="0"/>
            <wp:positionH relativeFrom="column">
              <wp:posOffset>133350</wp:posOffset>
            </wp:positionH>
            <wp:positionV relativeFrom="paragraph">
              <wp:posOffset>219075</wp:posOffset>
            </wp:positionV>
            <wp:extent cx="4657725" cy="2196465"/>
            <wp:effectExtent l="4445" t="5080" r="5080" b="825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0"/>
        <w:rPr>
          <w:rFonts w:ascii="仿宋_GB2312" w:eastAsia="仿宋_GB2312"/>
          <w:sz w:val="32"/>
          <w:szCs w:val="32"/>
        </w:rPr>
      </w:pPr>
    </w:p>
    <w:p>
      <w:pPr>
        <w:rPr>
          <w:rFonts w:ascii="仿宋_GB2312" w:eastAsia="仿宋_GB2312"/>
          <w:sz w:val="32"/>
          <w:szCs w:val="32"/>
        </w:rPr>
      </w:pPr>
    </w:p>
    <w:p>
      <w:pPr>
        <w:pStyle w:val="20"/>
        <w:rPr>
          <w:rFonts w:ascii="仿宋_GB2312" w:eastAsia="仿宋_GB2312"/>
          <w:sz w:val="32"/>
          <w:szCs w:val="32"/>
        </w:rPr>
      </w:pPr>
    </w:p>
    <w:p>
      <w:pPr>
        <w:pStyle w:val="20"/>
      </w:pPr>
    </w:p>
    <w:p>
      <w:pPr>
        <w:pStyle w:val="28"/>
        <w:numPr>
          <w:ilvl w:val="0"/>
          <w:numId w:val="3"/>
        </w:numPr>
        <w:spacing w:line="600" w:lineRule="exact"/>
        <w:ind w:firstLineChars="0"/>
        <w:outlineLvl w:val="1"/>
        <w:rPr>
          <w:rStyle w:val="30"/>
          <w:rFonts w:ascii="黑体" w:hAnsi="黑体" w:eastAsia="黑体"/>
          <w:b w:val="0"/>
        </w:rPr>
      </w:pPr>
      <w:bookmarkStart w:id="22" w:name="_Toc15396604"/>
      <w:bookmarkStart w:id="23" w:name="_Toc15377206"/>
      <w:r>
        <w:rPr>
          <w:rFonts w:hint="eastAsia" w:ascii="黑体" w:hAnsi="黑体" w:eastAsia="黑体"/>
          <w:sz w:val="32"/>
          <w:szCs w:val="32"/>
        </w:rPr>
        <w:t>收</w:t>
      </w:r>
      <w:r>
        <w:rPr>
          <w:rStyle w:val="30"/>
          <w:rFonts w:hint="eastAsia" w:ascii="黑体" w:hAnsi="黑体" w:eastAsia="黑体"/>
          <w:b w:val="0"/>
        </w:rPr>
        <w:t>入决算情况说明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472.61</w:t>
      </w:r>
      <w:r>
        <w:rPr>
          <w:rFonts w:hint="eastAsia" w:ascii="仿宋" w:hAnsi="仿宋" w:eastAsia="仿宋"/>
          <w:sz w:val="32"/>
          <w:szCs w:val="32"/>
        </w:rPr>
        <w:t>万元，其中：一般公共预算财政拨款收入</w:t>
      </w:r>
      <w:r>
        <w:rPr>
          <w:rFonts w:ascii="仿宋" w:hAnsi="仿宋" w:eastAsia="仿宋"/>
          <w:b/>
          <w:sz w:val="32"/>
          <w:szCs w:val="32"/>
        </w:rPr>
        <w:t>472.55</w:t>
      </w:r>
      <w:r>
        <w:rPr>
          <w:rFonts w:hint="eastAsia" w:ascii="仿宋" w:hAnsi="仿宋" w:eastAsia="仿宋"/>
          <w:sz w:val="32"/>
          <w:szCs w:val="32"/>
        </w:rPr>
        <w:t>万元，占</w:t>
      </w:r>
      <w:r>
        <w:rPr>
          <w:rFonts w:hint="eastAsia" w:ascii="仿宋" w:hAnsi="仿宋" w:eastAsia="仿宋"/>
          <w:b/>
          <w:sz w:val="32"/>
          <w:szCs w:val="32"/>
          <w:lang w:val="en-US" w:eastAsia="zh-CN"/>
        </w:rPr>
        <w:t>100</w:t>
      </w:r>
      <w:r>
        <w:rPr>
          <w:rFonts w:ascii="仿宋" w:hAnsi="仿宋" w:eastAsia="仿宋"/>
          <w:b/>
          <w:sz w:val="32"/>
          <w:szCs w:val="32"/>
        </w:rPr>
        <w:t>%</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0.06</w:t>
      </w:r>
      <w:r>
        <w:rPr>
          <w:rFonts w:hint="eastAsia" w:ascii="仿宋" w:hAnsi="仿宋" w:eastAsia="仿宋"/>
          <w:sz w:val="32"/>
          <w:szCs w:val="32"/>
        </w:rPr>
        <w:t>万元，占</w:t>
      </w:r>
      <w:r>
        <w:rPr>
          <w:rFonts w:hint="eastAsia" w:ascii="仿宋" w:hAnsi="仿宋" w:eastAsia="仿宋"/>
          <w:b/>
          <w:sz w:val="32"/>
          <w:szCs w:val="32"/>
          <w:lang w:val="en-US" w:eastAsia="zh-CN"/>
        </w:rPr>
        <w:t>0</w:t>
      </w:r>
      <w:r>
        <w:rPr>
          <w:rFonts w:ascii="仿宋" w:hAnsi="仿宋" w:eastAsia="仿宋"/>
          <w:sz w:val="32"/>
          <w:szCs w:val="32"/>
        </w:rPr>
        <w:t>%</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spacing w:line="600" w:lineRule="exact"/>
        <w:ind w:firstLine="640" w:firstLineChars="200"/>
        <w:outlineLvl w:val="1"/>
        <w:rPr>
          <w:rFonts w:ascii="仿宋_GB2312" w:eastAsia="仿宋_GB2312"/>
          <w:sz w:val="32"/>
          <w:szCs w:val="32"/>
        </w:rPr>
      </w:pPr>
      <w:r>
        <w:rPr>
          <w:rFonts w:hint="eastAsia" w:ascii="仿宋" w:hAnsi="仿宋" w:eastAsia="仿宋"/>
          <w:sz w:val="32"/>
          <w:szCs w:val="32"/>
        </w:rPr>
        <w:t>（图2：收入决算结构图）（饼状图）</w:t>
      </w:r>
    </w:p>
    <w:p>
      <w:pPr>
        <w:rPr>
          <w:rFonts w:ascii="仿宋_GB2312" w:eastAsia="仿宋_GB2312"/>
          <w:sz w:val="32"/>
          <w:szCs w:val="32"/>
        </w:rPr>
      </w:pPr>
      <w:r>
        <w:rPr>
          <w:rFonts w:hint="eastAsia"/>
        </w:rPr>
        <w:drawing>
          <wp:inline distT="0" distB="0" distL="114300" distR="114300">
            <wp:extent cx="4822825" cy="2054225"/>
            <wp:effectExtent l="4445" t="5080" r="1143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
      <w:pPr>
        <w:pStyle w:val="28"/>
        <w:numPr>
          <w:ilvl w:val="0"/>
          <w:numId w:val="3"/>
        </w:numPr>
        <w:spacing w:line="600" w:lineRule="exact"/>
        <w:ind w:firstLineChars="0"/>
        <w:outlineLvl w:val="1"/>
        <w:rPr>
          <w:rStyle w:val="30"/>
          <w:rFonts w:ascii="黑体" w:hAnsi="黑体" w:eastAsia="黑体"/>
          <w:b w:val="0"/>
        </w:rPr>
      </w:pPr>
      <w:bookmarkStart w:id="24" w:name="_Toc15377207"/>
      <w:bookmarkStart w:id="25" w:name="_Toc15396605"/>
      <w:r>
        <w:rPr>
          <w:rFonts w:hint="eastAsia" w:ascii="黑体" w:hAnsi="黑体" w:eastAsia="黑体"/>
          <w:sz w:val="32"/>
          <w:szCs w:val="32"/>
        </w:rPr>
        <w:t>支</w:t>
      </w:r>
      <w:r>
        <w:rPr>
          <w:rStyle w:val="30"/>
          <w:rFonts w:hint="eastAsia" w:ascii="黑体" w:hAnsi="黑体" w:eastAsia="黑体"/>
          <w:b w:val="0"/>
        </w:rPr>
        <w:t>出决算情况说明</w:t>
      </w:r>
      <w:bookmarkEnd w:id="24"/>
      <w:bookmarkEnd w:id="25"/>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472.6</w:t>
      </w:r>
      <w:r>
        <w:rPr>
          <w:rFonts w:hint="eastAsia" w:ascii="仿宋" w:hAnsi="仿宋" w:eastAsia="仿宋"/>
          <w:sz w:val="32"/>
          <w:szCs w:val="32"/>
        </w:rPr>
        <w:t>万元，其中：基本支出</w:t>
      </w:r>
      <w:r>
        <w:rPr>
          <w:rFonts w:ascii="仿宋" w:hAnsi="仿宋" w:eastAsia="仿宋"/>
          <w:b/>
          <w:sz w:val="32"/>
          <w:szCs w:val="32"/>
        </w:rPr>
        <w:t>257.84</w:t>
      </w:r>
      <w:r>
        <w:rPr>
          <w:rFonts w:hint="eastAsia" w:ascii="仿宋" w:hAnsi="仿宋" w:eastAsia="仿宋"/>
          <w:sz w:val="32"/>
          <w:szCs w:val="32"/>
        </w:rPr>
        <w:t>万元，占</w:t>
      </w:r>
      <w:r>
        <w:rPr>
          <w:rFonts w:ascii="仿宋" w:hAnsi="仿宋" w:eastAsia="仿宋"/>
          <w:b/>
          <w:sz w:val="32"/>
          <w:szCs w:val="32"/>
        </w:rPr>
        <w:t>54.</w:t>
      </w:r>
      <w:r>
        <w:rPr>
          <w:rFonts w:hint="eastAsia" w:ascii="仿宋" w:hAnsi="仿宋" w:eastAsia="仿宋"/>
          <w:b/>
          <w:sz w:val="32"/>
          <w:szCs w:val="32"/>
          <w:lang w:val="en-US" w:eastAsia="zh-CN"/>
        </w:rPr>
        <w:t>6</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214.76</w:t>
      </w:r>
      <w:r>
        <w:rPr>
          <w:rFonts w:hint="eastAsia" w:ascii="仿宋" w:hAnsi="仿宋" w:eastAsia="仿宋"/>
          <w:sz w:val="32"/>
          <w:szCs w:val="32"/>
        </w:rPr>
        <w:t>万元，占</w:t>
      </w:r>
      <w:r>
        <w:rPr>
          <w:rFonts w:ascii="仿宋" w:hAnsi="仿宋" w:eastAsia="仿宋"/>
          <w:b/>
          <w:sz w:val="32"/>
          <w:szCs w:val="32"/>
        </w:rPr>
        <w:t>45.4</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sz w:val="32"/>
          <w:szCs w:val="32"/>
          <w:shd w:val="pct10" w:color="auto" w:fill="FFFFFF"/>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pPr>
        <w:spacing w:line="600" w:lineRule="exact"/>
        <w:ind w:firstLine="640" w:firstLineChars="200"/>
      </w:pPr>
      <w:r>
        <w:rPr>
          <w:rFonts w:hint="eastAsia" w:ascii="仿宋" w:hAnsi="仿宋" w:eastAsia="仿宋"/>
          <w:sz w:val="32"/>
          <w:szCs w:val="32"/>
        </w:rPr>
        <w:t>（图3：支出决算结构图）（饼状图）</w:t>
      </w:r>
    </w:p>
    <w:p>
      <w:r>
        <w:rPr>
          <w:rFonts w:hint="eastAsia" w:ascii="仿宋" w:hAnsi="仿宋" w:eastAsia="仿宋"/>
          <w:sz w:val="32"/>
          <w:szCs w:val="32"/>
        </w:rPr>
        <w:drawing>
          <wp:inline distT="0" distB="0" distL="114300" distR="114300">
            <wp:extent cx="4870450" cy="2225675"/>
            <wp:effectExtent l="4445" t="5080" r="20955"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30"/>
          <w:rFonts w:ascii="黑体" w:hAnsi="黑体" w:eastAsia="黑体"/>
          <w:b w:val="0"/>
        </w:rPr>
      </w:pPr>
      <w:bookmarkStart w:id="26" w:name="_Toc15396606"/>
      <w:bookmarkStart w:id="27" w:name="_Toc15377208"/>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26"/>
      <w:bookmarkEnd w:id="27"/>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w:t>
      </w:r>
      <w:bookmarkStart w:id="28" w:name="OLE_LINK4"/>
      <w:r>
        <w:rPr>
          <w:rFonts w:hint="eastAsia" w:ascii="仿宋" w:hAnsi="仿宋" w:eastAsia="仿宋"/>
          <w:sz w:val="32"/>
          <w:szCs w:val="32"/>
        </w:rPr>
        <w:t>财政拨款收、支</w:t>
      </w:r>
      <w:bookmarkEnd w:id="28"/>
      <w:r>
        <w:rPr>
          <w:rFonts w:hint="eastAsia" w:ascii="仿宋" w:hAnsi="仿宋" w:eastAsia="仿宋"/>
          <w:sz w:val="32"/>
          <w:szCs w:val="32"/>
        </w:rPr>
        <w:t>总计均为</w:t>
      </w:r>
      <w:r>
        <w:rPr>
          <w:rFonts w:ascii="仿宋" w:hAnsi="仿宋" w:eastAsia="仿宋"/>
          <w:b/>
          <w:sz w:val="32"/>
          <w:szCs w:val="32"/>
        </w:rPr>
        <w:t>472.55</w:t>
      </w:r>
      <w:r>
        <w:rPr>
          <w:rFonts w:hint="eastAsia" w:ascii="仿宋" w:hAnsi="仿宋" w:eastAsia="仿宋"/>
          <w:sz w:val="32"/>
          <w:szCs w:val="32"/>
        </w:rPr>
        <w:t>万元。</w:t>
      </w:r>
      <w:bookmarkStart w:id="29" w:name="OLE_LINK5"/>
      <w:r>
        <w:rPr>
          <w:rFonts w:hint="eastAsia" w:ascii="仿宋" w:hAnsi="仿宋" w:eastAsia="仿宋"/>
          <w:sz w:val="32"/>
          <w:szCs w:val="32"/>
          <w:lang w:eastAsia="zh-CN"/>
        </w:rPr>
        <w:t>无法</w:t>
      </w:r>
      <w:r>
        <w:rPr>
          <w:rFonts w:hint="eastAsia" w:ascii="仿宋" w:hAnsi="仿宋" w:eastAsia="仿宋"/>
          <w:sz w:val="32"/>
          <w:szCs w:val="32"/>
        </w:rPr>
        <w:t>与2022年度财政拨款收、支</w:t>
      </w:r>
      <w:r>
        <w:rPr>
          <w:rFonts w:hint="eastAsia" w:ascii="仿宋" w:hAnsi="仿宋" w:eastAsia="仿宋"/>
          <w:sz w:val="32"/>
          <w:szCs w:val="32"/>
          <w:lang w:eastAsia="zh-CN"/>
        </w:rPr>
        <w:t>数据</w:t>
      </w:r>
      <w:r>
        <w:rPr>
          <w:rFonts w:hint="eastAsia" w:ascii="仿宋" w:hAnsi="仿宋" w:eastAsia="仿宋"/>
          <w:sz w:val="32"/>
          <w:szCs w:val="32"/>
        </w:rPr>
        <w:t>相比，主要原因是</w:t>
      </w:r>
      <w:r>
        <w:rPr>
          <w:rFonts w:hint="eastAsia" w:ascii="仿宋" w:hAnsi="仿宋" w:eastAsia="仿宋"/>
          <w:sz w:val="32"/>
          <w:szCs w:val="32"/>
          <w:lang w:val="en-US" w:eastAsia="zh-CN"/>
        </w:rPr>
        <w:t>2022年区机关事务中心与区委办共用一个账套未独立核算，无法取得相关数据</w:t>
      </w:r>
      <w:r>
        <w:rPr>
          <w:rFonts w:hint="eastAsia" w:ascii="仿宋" w:hAnsi="仿宋" w:eastAsia="仿宋"/>
          <w:sz w:val="32"/>
          <w:szCs w:val="32"/>
        </w:rPr>
        <w:t>。</w:t>
      </w:r>
    </w:p>
    <w:bookmarkEnd w:id="29"/>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rPr>
          <w:rFonts w:ascii="仿宋" w:hAnsi="仿宋" w:eastAsia="仿宋"/>
          <w:sz w:val="32"/>
          <w:szCs w:val="32"/>
        </w:rPr>
      </w:pP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pPr>
        <w:pStyle w:val="20"/>
      </w:pPr>
      <w:r>
        <w:rPr>
          <w:rFonts w:hint="eastAsia"/>
        </w:rPr>
        <w:drawing>
          <wp:inline distT="0" distB="0" distL="114300" distR="114300">
            <wp:extent cx="4657725" cy="1805305"/>
            <wp:effectExtent l="4445" t="5080" r="5080" b="184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30"/>
          <w:rFonts w:ascii="黑体" w:hAnsi="黑体" w:eastAsia="黑体"/>
          <w:b w:val="0"/>
        </w:rPr>
      </w:pPr>
      <w:bookmarkStart w:id="30" w:name="_Toc15396607"/>
      <w:bookmarkStart w:id="31" w:name="_Toc15377209"/>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sz w:val="32"/>
          <w:szCs w:val="32"/>
        </w:rPr>
      </w:pPr>
      <w:bookmarkStart w:id="32" w:name="_Toc15377210"/>
      <w:r>
        <w:rPr>
          <w:rFonts w:hint="eastAsia" w:ascii="仿宋" w:hAnsi="仿宋" w:eastAsia="仿宋"/>
          <w:b/>
          <w:sz w:val="32"/>
          <w:szCs w:val="32"/>
        </w:rPr>
        <w:t>（一）一般公共预算财政拨款支出决算总体情况</w:t>
      </w:r>
      <w:bookmarkEnd w:id="32"/>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w:t>
      </w:r>
      <w:bookmarkStart w:id="33" w:name="OLE_LINK6"/>
      <w:r>
        <w:rPr>
          <w:rFonts w:hint="eastAsia" w:ascii="仿宋" w:hAnsi="仿宋" w:eastAsia="仿宋"/>
          <w:sz w:val="32"/>
          <w:szCs w:val="32"/>
        </w:rPr>
        <w:t>一般公共预算财政拨款</w:t>
      </w:r>
      <w:bookmarkEnd w:id="33"/>
      <w:r>
        <w:rPr>
          <w:rFonts w:hint="eastAsia" w:ascii="仿宋" w:hAnsi="仿宋" w:eastAsia="仿宋"/>
          <w:sz w:val="32"/>
          <w:szCs w:val="32"/>
        </w:rPr>
        <w:t>支出</w:t>
      </w:r>
      <w:r>
        <w:rPr>
          <w:rFonts w:ascii="仿宋" w:hAnsi="仿宋" w:eastAsia="仿宋"/>
          <w:b/>
          <w:sz w:val="32"/>
          <w:szCs w:val="32"/>
        </w:rPr>
        <w:t>472.55</w:t>
      </w:r>
      <w:r>
        <w:rPr>
          <w:rFonts w:hint="eastAsia" w:ascii="仿宋" w:hAnsi="仿宋" w:eastAsia="仿宋"/>
          <w:sz w:val="32"/>
          <w:szCs w:val="32"/>
        </w:rPr>
        <w:t>万元，占本年支出合计的</w:t>
      </w:r>
      <w:r>
        <w:rPr>
          <w:rFonts w:hint="eastAsia" w:ascii="仿宋" w:hAnsi="仿宋" w:eastAsia="仿宋"/>
          <w:b/>
          <w:sz w:val="32"/>
          <w:szCs w:val="32"/>
          <w:lang w:val="en-US" w:eastAsia="zh-CN"/>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无法</w:t>
      </w:r>
      <w:r>
        <w:rPr>
          <w:rFonts w:hint="eastAsia" w:ascii="仿宋" w:hAnsi="仿宋" w:eastAsia="仿宋"/>
          <w:sz w:val="32"/>
          <w:szCs w:val="32"/>
        </w:rPr>
        <w:t>与2022年度一般公共预算财政拨款</w:t>
      </w:r>
      <w:r>
        <w:rPr>
          <w:rFonts w:hint="eastAsia" w:ascii="仿宋" w:hAnsi="仿宋" w:eastAsia="仿宋"/>
          <w:sz w:val="32"/>
          <w:szCs w:val="32"/>
          <w:lang w:eastAsia="zh-CN"/>
        </w:rPr>
        <w:t>支出数据</w:t>
      </w:r>
      <w:r>
        <w:rPr>
          <w:rFonts w:hint="eastAsia" w:ascii="仿宋" w:hAnsi="仿宋" w:eastAsia="仿宋"/>
          <w:sz w:val="32"/>
          <w:szCs w:val="32"/>
        </w:rPr>
        <w:t>相比，主要原因是</w:t>
      </w:r>
      <w:r>
        <w:rPr>
          <w:rFonts w:hint="eastAsia" w:ascii="仿宋" w:hAnsi="仿宋" w:eastAsia="仿宋"/>
          <w:sz w:val="32"/>
          <w:szCs w:val="32"/>
          <w:lang w:val="en-US" w:eastAsia="zh-CN"/>
        </w:rPr>
        <w:t>2022年区机关事务中心与区委办共用一个账套未独立核算，无法取得相关数据</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r>
        <w:rPr>
          <w:rFonts w:hint="eastAsia"/>
        </w:rPr>
        <w:drawing>
          <wp:inline distT="0" distB="0" distL="114300" distR="114300">
            <wp:extent cx="4657725" cy="1517650"/>
            <wp:effectExtent l="4445" t="5080" r="5080" b="2032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34" w:name="_Toc15377211"/>
      <w:r>
        <w:rPr>
          <w:rFonts w:hint="eastAsia" w:ascii="仿宋" w:hAnsi="仿宋" w:eastAsia="仿宋"/>
          <w:b/>
          <w:sz w:val="32"/>
          <w:szCs w:val="32"/>
        </w:rPr>
        <w:t>（二）一般公共预算财政拨款支出决算结构情况</w:t>
      </w:r>
      <w:bookmarkEnd w:id="34"/>
    </w:p>
    <w:p>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472.55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417.98</w:t>
      </w:r>
      <w:r>
        <w:rPr>
          <w:rFonts w:hint="eastAsia" w:ascii="仿宋" w:hAnsi="仿宋" w:eastAsia="仿宋"/>
          <w:sz w:val="32"/>
          <w:szCs w:val="32"/>
        </w:rPr>
        <w:t>万元，占</w:t>
      </w:r>
      <w:r>
        <w:rPr>
          <w:rFonts w:hint="eastAsia" w:ascii="仿宋" w:hAnsi="仿宋" w:eastAsia="仿宋"/>
          <w:sz w:val="32"/>
          <w:szCs w:val="32"/>
          <w:lang w:val="en-US" w:eastAsia="zh-CN"/>
        </w:rPr>
        <w:t>88.5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40.37</w:t>
      </w:r>
      <w:r>
        <w:rPr>
          <w:rFonts w:hint="eastAsia" w:ascii="仿宋" w:hAnsi="仿宋" w:eastAsia="仿宋"/>
          <w:sz w:val="32"/>
          <w:szCs w:val="32"/>
        </w:rPr>
        <w:t>万元，占</w:t>
      </w:r>
      <w:r>
        <w:rPr>
          <w:rFonts w:hint="eastAsia" w:ascii="仿宋" w:hAnsi="仿宋" w:eastAsia="仿宋"/>
          <w:sz w:val="32"/>
          <w:szCs w:val="32"/>
          <w:lang w:val="en-US" w:eastAsia="zh-CN"/>
        </w:rPr>
        <w:t>8.5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3.62</w:t>
      </w:r>
      <w:r>
        <w:rPr>
          <w:rFonts w:hint="eastAsia" w:ascii="仿宋" w:hAnsi="仿宋" w:eastAsia="仿宋"/>
          <w:sz w:val="32"/>
          <w:szCs w:val="32"/>
        </w:rPr>
        <w:t>万元，占</w:t>
      </w:r>
      <w:r>
        <w:rPr>
          <w:rFonts w:hint="eastAsia" w:ascii="仿宋" w:hAnsi="仿宋" w:eastAsia="仿宋"/>
          <w:sz w:val="32"/>
          <w:szCs w:val="32"/>
          <w:lang w:val="en-US" w:eastAsia="zh-CN"/>
        </w:rPr>
        <w:t>0.8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10.59</w:t>
      </w:r>
      <w:r>
        <w:rPr>
          <w:rFonts w:hint="eastAsia" w:ascii="仿宋" w:hAnsi="仿宋" w:eastAsia="仿宋"/>
          <w:sz w:val="32"/>
          <w:szCs w:val="32"/>
        </w:rPr>
        <w:t>万元，占</w:t>
      </w:r>
      <w:r>
        <w:rPr>
          <w:rFonts w:hint="eastAsia" w:ascii="仿宋" w:hAnsi="仿宋" w:eastAsia="仿宋"/>
          <w:sz w:val="32"/>
          <w:szCs w:val="32"/>
          <w:lang w:val="en-US" w:eastAsia="zh-CN"/>
        </w:rPr>
        <w:t>2.2</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hint="eastAsia" w:ascii="仿宋" w:hAnsi="仿宋" w:eastAsia="仿宋"/>
          <w:b/>
          <w:sz w:val="32"/>
          <w:szCs w:val="32"/>
        </w:rPr>
        <w:t>（注：数据来源于财决01-1表，仅罗列本单位涉及的全部功能分类科目，至类级。）</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20"/>
      </w:pPr>
      <w:r>
        <w:rPr>
          <w:rFonts w:hint="eastAsia" w:ascii="仿宋" w:hAnsi="仿宋" w:eastAsia="仿宋"/>
          <w:sz w:val="32"/>
          <w:szCs w:val="32"/>
        </w:rPr>
        <w:drawing>
          <wp:inline distT="0" distB="0" distL="114300" distR="114300">
            <wp:extent cx="4793615" cy="2249805"/>
            <wp:effectExtent l="4445" t="4445" r="21590" b="1270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35" w:name="_Toc15377212"/>
      <w:r>
        <w:rPr>
          <w:rFonts w:hint="eastAsia" w:ascii="仿宋" w:hAnsi="仿宋" w:eastAsia="仿宋"/>
          <w:b/>
          <w:sz w:val="32"/>
          <w:szCs w:val="32"/>
        </w:rPr>
        <w:t>（三）一般公共预算财政拨款支出决算具体情况</w:t>
      </w:r>
      <w:bookmarkEnd w:id="35"/>
    </w:p>
    <w:p>
      <w:pPr>
        <w:spacing w:line="600" w:lineRule="exact"/>
        <w:ind w:firstLine="643" w:firstLineChars="200"/>
        <w:outlineLvl w:val="2"/>
        <w:rPr>
          <w:rFonts w:ascii="仿宋" w:hAnsi="仿宋" w:eastAsia="仿宋"/>
          <w:sz w:val="32"/>
          <w:szCs w:val="32"/>
        </w:rPr>
      </w:pPr>
      <w:bookmarkStart w:id="36" w:name="_Toc15378460"/>
      <w:bookmarkStart w:id="37" w:name="_Toc15377444"/>
      <w:bookmarkStart w:id="38" w:name="_Toc15377213"/>
      <w:r>
        <w:rPr>
          <w:rFonts w:hint="eastAsia" w:ascii="仿宋" w:hAnsi="仿宋" w:eastAsia="仿宋"/>
          <w:b/>
          <w:sz w:val="32"/>
          <w:szCs w:val="32"/>
        </w:rPr>
        <w:t>2023年度一般公共预算支出决算数为</w:t>
      </w:r>
      <w:r>
        <w:rPr>
          <w:rFonts w:ascii="仿宋" w:hAnsi="仿宋" w:eastAsia="仿宋"/>
          <w:b/>
          <w:sz w:val="32"/>
          <w:szCs w:val="32"/>
        </w:rPr>
        <w:t>472.55</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36"/>
      <w:bookmarkEnd w:id="37"/>
      <w:bookmarkEnd w:id="38"/>
    </w:p>
    <w:p>
      <w:pPr>
        <w:spacing w:line="600" w:lineRule="exact"/>
        <w:ind w:firstLine="643" w:firstLineChars="200"/>
        <w:rPr>
          <w:rStyle w:val="18"/>
          <w:rFonts w:hint="eastAsia" w:ascii="仿宋" w:hAnsi="仿宋" w:eastAsia="仿宋"/>
          <w:b w:val="0"/>
          <w:bCs/>
          <w:sz w:val="32"/>
          <w:szCs w:val="32"/>
          <w:lang w:eastAsia="zh-CN"/>
        </w:rPr>
      </w:pPr>
      <w:r>
        <w:rPr>
          <w:rStyle w:val="18"/>
          <w:rFonts w:hint="eastAsia" w:ascii="仿宋" w:hAnsi="仿宋" w:eastAsia="仿宋"/>
          <w:bCs/>
          <w:sz w:val="32"/>
          <w:szCs w:val="32"/>
          <w:lang w:val="en-US" w:eastAsia="zh-CN"/>
        </w:rPr>
        <w:t>1.</w:t>
      </w:r>
      <w:r>
        <w:rPr>
          <w:rStyle w:val="18"/>
          <w:rFonts w:hint="eastAsia" w:ascii="仿宋" w:hAnsi="仿宋" w:eastAsia="仿宋"/>
          <w:bCs/>
          <w:sz w:val="32"/>
          <w:szCs w:val="32"/>
        </w:rPr>
        <w:t>一般公共服务（类）</w:t>
      </w:r>
      <w:r>
        <w:rPr>
          <w:rStyle w:val="18"/>
          <w:rFonts w:hint="eastAsia" w:ascii="仿宋" w:hAnsi="仿宋" w:eastAsia="仿宋" w:cstheme="minorBidi"/>
          <w:bCs/>
          <w:sz w:val="32"/>
          <w:szCs w:val="32"/>
        </w:rPr>
        <w:t>党委办公厅（室）及相关机构事务（款）</w:t>
      </w:r>
      <w:r>
        <w:rPr>
          <w:rStyle w:val="18"/>
          <w:rFonts w:hint="eastAsia" w:ascii="仿宋" w:hAnsi="仿宋" w:eastAsia="仿宋" w:cstheme="minorBidi"/>
          <w:bCs/>
          <w:sz w:val="32"/>
          <w:szCs w:val="32"/>
          <w:lang w:val="en-US" w:eastAsia="zh-CN"/>
        </w:rPr>
        <w:t>机关服务</w:t>
      </w:r>
      <w:r>
        <w:rPr>
          <w:rStyle w:val="18"/>
          <w:rFonts w:hint="eastAsia" w:ascii="仿宋" w:hAnsi="仿宋" w:eastAsia="仿宋" w:cstheme="minorBidi"/>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bookmarkStart w:id="39" w:name="OLE_LINK7"/>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164.25</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r>
        <w:rPr>
          <w:rStyle w:val="18"/>
          <w:rFonts w:hint="eastAsia" w:ascii="仿宋" w:hAnsi="仿宋" w:eastAsia="仿宋"/>
          <w:b w:val="0"/>
          <w:bCs/>
          <w:sz w:val="32"/>
          <w:szCs w:val="32"/>
          <w:lang w:eastAsia="zh-CN"/>
        </w:rPr>
        <w:t>。</w:t>
      </w:r>
    </w:p>
    <w:bookmarkEnd w:id="39"/>
    <w:p>
      <w:pPr>
        <w:spacing w:line="600" w:lineRule="exact"/>
        <w:ind w:firstLine="643" w:firstLineChars="200"/>
      </w:pPr>
      <w:r>
        <w:rPr>
          <w:rStyle w:val="18"/>
          <w:rFonts w:hint="eastAsia" w:ascii="仿宋" w:hAnsi="仿宋" w:eastAsia="仿宋"/>
          <w:bCs/>
          <w:sz w:val="32"/>
          <w:szCs w:val="32"/>
          <w:lang w:val="en-US" w:eastAsia="zh-CN"/>
        </w:rPr>
        <w:t>2.</w:t>
      </w:r>
      <w:r>
        <w:rPr>
          <w:rStyle w:val="18"/>
          <w:rFonts w:hint="eastAsia" w:ascii="仿宋" w:hAnsi="仿宋" w:eastAsia="仿宋"/>
          <w:bCs/>
          <w:sz w:val="32"/>
          <w:szCs w:val="32"/>
        </w:rPr>
        <w:t>一般公共服务（类）</w:t>
      </w:r>
      <w:r>
        <w:rPr>
          <w:rStyle w:val="18"/>
          <w:rFonts w:hint="eastAsia" w:ascii="仿宋" w:hAnsi="仿宋" w:eastAsia="仿宋" w:cstheme="minorBidi"/>
          <w:bCs/>
          <w:sz w:val="32"/>
          <w:szCs w:val="32"/>
        </w:rPr>
        <w:t>党委办公厅（室）及相关机构事务（款）</w:t>
      </w:r>
      <w:r>
        <w:rPr>
          <w:rStyle w:val="18"/>
          <w:rFonts w:hint="eastAsia" w:ascii="仿宋" w:hAnsi="仿宋" w:eastAsia="仿宋" w:cstheme="minorBidi"/>
          <w:bCs/>
          <w:sz w:val="32"/>
          <w:szCs w:val="32"/>
          <w:lang w:val="en-US" w:eastAsia="zh-CN"/>
        </w:rPr>
        <w:t>事业运行</w:t>
      </w:r>
      <w:r>
        <w:rPr>
          <w:rStyle w:val="18"/>
          <w:rFonts w:hint="eastAsia" w:ascii="仿宋" w:hAnsi="仿宋" w:eastAsia="仿宋" w:cstheme="minorBidi"/>
          <w:bCs/>
          <w:sz w:val="32"/>
          <w:szCs w:val="32"/>
        </w:rPr>
        <w:t>（项）</w:t>
      </w:r>
      <w:r>
        <w:rPr>
          <w:rStyle w:val="18"/>
          <w:rFonts w:ascii="仿宋" w:hAnsi="仿宋" w:eastAsia="仿宋"/>
          <w:bCs/>
          <w:sz w:val="32"/>
          <w:szCs w:val="32"/>
        </w:rPr>
        <w:t>:</w:t>
      </w:r>
      <w:bookmarkStart w:id="40" w:name="OLE_LINK8"/>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203.21</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r>
        <w:rPr>
          <w:rStyle w:val="18"/>
          <w:rFonts w:hint="eastAsia" w:ascii="仿宋" w:hAnsi="仿宋" w:eastAsia="仿宋"/>
          <w:b w:val="0"/>
          <w:bCs/>
          <w:sz w:val="32"/>
          <w:szCs w:val="32"/>
          <w:lang w:eastAsia="zh-CN"/>
        </w:rPr>
        <w:t>。</w:t>
      </w:r>
    </w:p>
    <w:bookmarkEnd w:id="40"/>
    <w:p>
      <w:pPr>
        <w:spacing w:line="600" w:lineRule="exact"/>
        <w:ind w:firstLine="643" w:firstLineChars="200"/>
      </w:pPr>
      <w:r>
        <w:rPr>
          <w:rStyle w:val="18"/>
          <w:rFonts w:hint="eastAsia" w:ascii="仿宋" w:hAnsi="仿宋" w:eastAsia="仿宋"/>
          <w:bCs/>
          <w:sz w:val="32"/>
          <w:szCs w:val="32"/>
          <w:lang w:val="en-US" w:eastAsia="zh-CN"/>
        </w:rPr>
        <w:t>3.</w:t>
      </w:r>
      <w:r>
        <w:rPr>
          <w:rStyle w:val="18"/>
          <w:rFonts w:hint="eastAsia" w:ascii="仿宋" w:hAnsi="仿宋" w:eastAsia="仿宋"/>
          <w:bCs/>
          <w:sz w:val="32"/>
          <w:szCs w:val="32"/>
        </w:rPr>
        <w:t>一般公共服务（类）</w:t>
      </w:r>
      <w:r>
        <w:rPr>
          <w:rStyle w:val="18"/>
          <w:rFonts w:hint="eastAsia" w:ascii="仿宋" w:hAnsi="仿宋" w:eastAsia="仿宋" w:cstheme="minorBidi"/>
          <w:bCs/>
          <w:sz w:val="32"/>
          <w:szCs w:val="32"/>
        </w:rPr>
        <w:t>党委办公厅（室）及相关机构事务（款）</w:t>
      </w:r>
      <w:r>
        <w:rPr>
          <w:rStyle w:val="18"/>
          <w:rFonts w:hint="eastAsia" w:ascii="仿宋" w:hAnsi="仿宋" w:eastAsia="仿宋" w:cstheme="minorBidi"/>
          <w:bCs/>
          <w:sz w:val="32"/>
          <w:szCs w:val="32"/>
          <w:lang w:val="en-US" w:eastAsia="zh-CN"/>
        </w:rPr>
        <w:t>其他</w:t>
      </w:r>
      <w:r>
        <w:rPr>
          <w:rStyle w:val="18"/>
          <w:rFonts w:hint="eastAsia" w:ascii="仿宋" w:hAnsi="仿宋" w:eastAsia="仿宋" w:cstheme="minorBidi"/>
          <w:bCs/>
          <w:sz w:val="32"/>
          <w:szCs w:val="32"/>
        </w:rPr>
        <w:t>党委办公厅（室）及相关机构事务</w:t>
      </w:r>
      <w:r>
        <w:rPr>
          <w:rStyle w:val="18"/>
          <w:rFonts w:hint="eastAsia" w:ascii="仿宋" w:hAnsi="仿宋" w:eastAsia="仿宋" w:cstheme="minorBidi"/>
          <w:bCs/>
          <w:sz w:val="32"/>
          <w:szCs w:val="32"/>
          <w:lang w:eastAsia="zh-CN"/>
        </w:rPr>
        <w:t>支出</w:t>
      </w:r>
      <w:r>
        <w:rPr>
          <w:rStyle w:val="18"/>
          <w:rFonts w:hint="eastAsia" w:ascii="仿宋" w:hAnsi="仿宋" w:eastAsia="仿宋" w:cstheme="minorBidi"/>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50.52</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r>
        <w:rPr>
          <w:rStyle w:val="18"/>
          <w:rFonts w:hint="eastAsia" w:ascii="仿宋" w:hAnsi="仿宋" w:eastAsia="仿宋"/>
          <w:b w:val="0"/>
          <w:bCs/>
          <w:sz w:val="32"/>
          <w:szCs w:val="32"/>
          <w:lang w:eastAsia="zh-CN"/>
        </w:rPr>
        <w:t>。</w:t>
      </w:r>
    </w:p>
    <w:p>
      <w:pPr>
        <w:spacing w:line="600" w:lineRule="exact"/>
        <w:ind w:firstLine="803" w:firstLineChars="250"/>
        <w:rPr>
          <w:rStyle w:val="18"/>
          <w:rFonts w:hint="eastAsia" w:ascii="仿宋" w:hAnsi="仿宋" w:eastAsia="仿宋"/>
          <w:b w:val="0"/>
          <w:bCs/>
          <w:sz w:val="32"/>
          <w:szCs w:val="32"/>
        </w:rPr>
      </w:pPr>
      <w:r>
        <w:rPr>
          <w:rStyle w:val="18"/>
          <w:rFonts w:hint="eastAsia" w:ascii="仿宋" w:hAnsi="仿宋" w:eastAsia="仿宋"/>
          <w:bCs/>
          <w:sz w:val="32"/>
          <w:szCs w:val="32"/>
          <w:lang w:val="en-US" w:eastAsia="zh-CN"/>
        </w:rPr>
        <w:t>4</w:t>
      </w:r>
      <w:r>
        <w:rPr>
          <w:rStyle w:val="18"/>
          <w:rFonts w:ascii="仿宋" w:hAnsi="仿宋" w:eastAsia="仿宋"/>
          <w:bCs/>
          <w:sz w:val="32"/>
          <w:szCs w:val="32"/>
        </w:rPr>
        <w:t>.</w:t>
      </w:r>
      <w:r>
        <w:rPr>
          <w:rStyle w:val="18"/>
          <w:rFonts w:hint="eastAsia" w:ascii="仿宋" w:hAnsi="仿宋" w:eastAsia="仿宋" w:cstheme="minorBidi"/>
          <w:bCs/>
          <w:sz w:val="32"/>
          <w:szCs w:val="32"/>
        </w:rPr>
        <w:t xml:space="preserve">社会保障和就业（类）行政事业单位养老支出（款）机关事业单位基本养老保险缴费支出（项）: </w:t>
      </w:r>
      <w:r>
        <w:rPr>
          <w:rStyle w:val="18"/>
          <w:rFonts w:hint="eastAsia" w:ascii="仿宋" w:hAnsi="仿宋" w:eastAsia="仿宋" w:cstheme="minorBidi"/>
          <w:b w:val="0"/>
          <w:bCs/>
          <w:sz w:val="32"/>
          <w:szCs w:val="32"/>
        </w:rPr>
        <w:t>支出决算为</w:t>
      </w:r>
      <w:r>
        <w:rPr>
          <w:rStyle w:val="18"/>
          <w:rFonts w:hint="eastAsia" w:ascii="仿宋" w:hAnsi="仿宋" w:eastAsia="仿宋" w:cstheme="minorBidi"/>
          <w:b w:val="0"/>
          <w:bCs/>
          <w:sz w:val="32"/>
          <w:szCs w:val="32"/>
          <w:lang w:val="en-US" w:eastAsia="zh-CN"/>
        </w:rPr>
        <w:t>13.57</w:t>
      </w:r>
      <w:r>
        <w:rPr>
          <w:rStyle w:val="18"/>
          <w:rFonts w:hint="eastAsia" w:ascii="仿宋" w:hAnsi="仿宋" w:eastAsia="仿宋" w:cstheme="minorBidi"/>
          <w:b w:val="0"/>
          <w:bCs/>
          <w:sz w:val="32"/>
          <w:szCs w:val="32"/>
        </w:rPr>
        <w:t>万元，完成预算100%，</w:t>
      </w:r>
      <w:r>
        <w:rPr>
          <w:rStyle w:val="18"/>
          <w:rFonts w:hint="eastAsia" w:ascii="仿宋" w:hAnsi="仿宋" w:eastAsia="仿宋"/>
          <w:b w:val="0"/>
          <w:bCs/>
          <w:sz w:val="32"/>
          <w:szCs w:val="32"/>
        </w:rPr>
        <w:t>决算数等于预算数的主要原因是合理规划年初预算并严格执行。</w:t>
      </w:r>
    </w:p>
    <w:p>
      <w:pPr>
        <w:spacing w:line="600" w:lineRule="exact"/>
        <w:ind w:firstLine="803" w:firstLineChars="250"/>
        <w:rPr>
          <w:rStyle w:val="18"/>
          <w:rFonts w:hint="eastAsia" w:ascii="仿宋" w:hAnsi="仿宋" w:eastAsia="仿宋"/>
          <w:b w:val="0"/>
          <w:bCs/>
          <w:sz w:val="32"/>
          <w:szCs w:val="32"/>
        </w:rPr>
      </w:pPr>
      <w:r>
        <w:rPr>
          <w:rStyle w:val="18"/>
          <w:rFonts w:hint="eastAsia" w:ascii="仿宋" w:hAnsi="仿宋" w:eastAsia="仿宋" w:cstheme="minorBidi"/>
          <w:bCs/>
          <w:sz w:val="32"/>
          <w:szCs w:val="32"/>
          <w:lang w:val="en-US" w:eastAsia="zh-CN"/>
        </w:rPr>
        <w:t>5.</w:t>
      </w:r>
      <w:r>
        <w:rPr>
          <w:rStyle w:val="18"/>
          <w:rFonts w:hint="eastAsia" w:ascii="仿宋" w:hAnsi="仿宋" w:eastAsia="仿宋" w:cstheme="minorBidi"/>
          <w:bCs/>
          <w:sz w:val="32"/>
          <w:szCs w:val="32"/>
        </w:rPr>
        <w:t>社会保障和就业（类）行政事业单位养老支出（款）机关事业单位职业年金缴费支出（项）:</w:t>
      </w:r>
      <w:r>
        <w:rPr>
          <w:rStyle w:val="18"/>
          <w:rFonts w:ascii="仿宋" w:hAnsi="仿宋" w:eastAsia="仿宋"/>
          <w:bCs/>
          <w:color w:val="000000"/>
          <w:sz w:val="32"/>
          <w:szCs w:val="32"/>
        </w:rPr>
        <w:t xml:space="preserve"> </w:t>
      </w:r>
      <w:r>
        <w:rPr>
          <w:rStyle w:val="18"/>
          <w:rFonts w:hint="eastAsia" w:ascii="仿宋" w:hAnsi="仿宋" w:eastAsia="仿宋" w:cstheme="minorBidi"/>
          <w:b w:val="0"/>
          <w:bCs/>
          <w:sz w:val="32"/>
          <w:szCs w:val="32"/>
        </w:rPr>
        <w:t>支出决算为</w:t>
      </w:r>
      <w:r>
        <w:rPr>
          <w:rStyle w:val="18"/>
          <w:rFonts w:hint="eastAsia" w:ascii="仿宋" w:hAnsi="仿宋" w:eastAsia="仿宋" w:cstheme="minorBidi"/>
          <w:b w:val="0"/>
          <w:bCs/>
          <w:sz w:val="32"/>
          <w:szCs w:val="32"/>
          <w:lang w:val="en-US" w:eastAsia="zh-CN"/>
        </w:rPr>
        <w:t>6.79</w:t>
      </w:r>
      <w:r>
        <w:rPr>
          <w:rStyle w:val="18"/>
          <w:rFonts w:hint="eastAsia" w:ascii="仿宋" w:hAnsi="仿宋" w:eastAsia="仿宋" w:cstheme="minorBidi"/>
          <w:b w:val="0"/>
          <w:bCs/>
          <w:sz w:val="32"/>
          <w:szCs w:val="32"/>
        </w:rPr>
        <w:t>万元，完成预算100%，</w:t>
      </w:r>
      <w:r>
        <w:rPr>
          <w:rStyle w:val="18"/>
          <w:rFonts w:hint="eastAsia" w:ascii="仿宋" w:hAnsi="仿宋" w:eastAsia="仿宋"/>
          <w:b w:val="0"/>
          <w:bCs/>
          <w:sz w:val="32"/>
          <w:szCs w:val="32"/>
        </w:rPr>
        <w:t>决算数等于预算数的主要原因是合理规划年初预算并严格执行。</w:t>
      </w:r>
    </w:p>
    <w:p>
      <w:pPr>
        <w:spacing w:line="600" w:lineRule="exact"/>
        <w:ind w:firstLine="803" w:firstLineChars="250"/>
        <w:rPr>
          <w:rStyle w:val="18"/>
          <w:rFonts w:ascii="仿宋" w:hAnsi="仿宋" w:eastAsia="仿宋" w:cstheme="minorBidi"/>
          <w:b w:val="0"/>
          <w:bCs/>
          <w:sz w:val="32"/>
          <w:szCs w:val="32"/>
        </w:rPr>
      </w:pPr>
      <w:r>
        <w:rPr>
          <w:rStyle w:val="18"/>
          <w:rFonts w:hint="eastAsia" w:ascii="仿宋" w:hAnsi="仿宋" w:eastAsia="仿宋" w:cstheme="minorBidi"/>
          <w:bCs/>
          <w:sz w:val="32"/>
          <w:szCs w:val="32"/>
          <w:lang w:val="en-US" w:eastAsia="zh-CN"/>
        </w:rPr>
        <w:t>6.</w:t>
      </w:r>
      <w:r>
        <w:rPr>
          <w:rStyle w:val="18"/>
          <w:rFonts w:hint="eastAsia" w:ascii="仿宋" w:hAnsi="仿宋" w:eastAsia="仿宋" w:cstheme="minorBidi"/>
          <w:bCs/>
          <w:sz w:val="32"/>
          <w:szCs w:val="32"/>
        </w:rPr>
        <w:t>社会保障和就业（类）</w:t>
      </w:r>
      <w:r>
        <w:rPr>
          <w:rStyle w:val="18"/>
          <w:rFonts w:hint="eastAsia" w:ascii="仿宋" w:hAnsi="仿宋" w:eastAsia="仿宋" w:cstheme="minorBidi"/>
          <w:bCs/>
          <w:sz w:val="32"/>
          <w:szCs w:val="32"/>
          <w:lang w:val="en-US" w:eastAsia="zh-CN"/>
        </w:rPr>
        <w:t>残疾人事业</w:t>
      </w:r>
      <w:r>
        <w:rPr>
          <w:rStyle w:val="18"/>
          <w:rFonts w:hint="eastAsia" w:ascii="仿宋" w:hAnsi="仿宋" w:eastAsia="仿宋" w:cstheme="minorBidi"/>
          <w:bCs/>
          <w:sz w:val="32"/>
          <w:szCs w:val="32"/>
        </w:rPr>
        <w:t>（款）</w:t>
      </w:r>
      <w:r>
        <w:rPr>
          <w:rStyle w:val="18"/>
          <w:rFonts w:hint="eastAsia" w:ascii="仿宋" w:hAnsi="仿宋" w:eastAsia="仿宋" w:cstheme="minorBidi"/>
          <w:bCs/>
          <w:sz w:val="32"/>
          <w:szCs w:val="32"/>
          <w:lang w:val="en-US" w:eastAsia="zh-CN"/>
        </w:rPr>
        <w:t>残疾人就业</w:t>
      </w:r>
      <w:r>
        <w:rPr>
          <w:rStyle w:val="18"/>
          <w:rFonts w:hint="eastAsia" w:ascii="仿宋" w:hAnsi="仿宋" w:eastAsia="仿宋" w:cstheme="minorBidi"/>
          <w:bCs/>
          <w:sz w:val="32"/>
          <w:szCs w:val="32"/>
        </w:rPr>
        <w:t>（项）:</w:t>
      </w:r>
      <w:r>
        <w:rPr>
          <w:rStyle w:val="18"/>
          <w:rFonts w:hint="eastAsia" w:ascii="仿宋_GB2312" w:eastAsia="仿宋_GB2312"/>
          <w:color w:val="000000"/>
          <w:sz w:val="32"/>
          <w:szCs w:val="32"/>
        </w:rPr>
        <w:t xml:space="preserve"> </w:t>
      </w:r>
      <w:r>
        <w:rPr>
          <w:rStyle w:val="18"/>
          <w:rFonts w:hint="eastAsia" w:ascii="仿宋" w:hAnsi="仿宋" w:eastAsia="仿宋" w:cstheme="minorBidi"/>
          <w:b w:val="0"/>
          <w:bCs/>
          <w:sz w:val="32"/>
          <w:szCs w:val="32"/>
        </w:rPr>
        <w:t>支出决算为</w:t>
      </w:r>
      <w:r>
        <w:rPr>
          <w:rStyle w:val="18"/>
          <w:rFonts w:hint="eastAsia" w:ascii="仿宋" w:hAnsi="仿宋" w:eastAsia="仿宋" w:cstheme="minorBidi"/>
          <w:b w:val="0"/>
          <w:bCs/>
          <w:sz w:val="32"/>
          <w:szCs w:val="32"/>
          <w:lang w:val="en-US" w:eastAsia="zh-CN"/>
        </w:rPr>
        <w:t>1.11</w:t>
      </w:r>
      <w:r>
        <w:rPr>
          <w:rStyle w:val="18"/>
          <w:rFonts w:hint="eastAsia" w:ascii="仿宋" w:hAnsi="仿宋" w:eastAsia="仿宋" w:cstheme="minorBidi"/>
          <w:b w:val="0"/>
          <w:bCs/>
          <w:sz w:val="32"/>
          <w:szCs w:val="32"/>
        </w:rPr>
        <w:t>万元，完成预算100%，</w:t>
      </w:r>
      <w:r>
        <w:rPr>
          <w:rStyle w:val="18"/>
          <w:rFonts w:hint="eastAsia" w:ascii="仿宋" w:hAnsi="仿宋" w:eastAsia="仿宋"/>
          <w:b w:val="0"/>
          <w:bCs/>
          <w:sz w:val="32"/>
          <w:szCs w:val="32"/>
        </w:rPr>
        <w:t>决算数等于预算数的主要原因是合理规划年初预算并严格执行。</w:t>
      </w:r>
    </w:p>
    <w:p>
      <w:pPr>
        <w:spacing w:line="600" w:lineRule="exact"/>
        <w:ind w:firstLine="803" w:firstLineChars="250"/>
      </w:pPr>
      <w:r>
        <w:rPr>
          <w:rStyle w:val="18"/>
          <w:rFonts w:hint="eastAsia" w:ascii="仿宋" w:hAnsi="仿宋" w:eastAsia="仿宋" w:cstheme="minorBidi"/>
          <w:bCs/>
          <w:sz w:val="32"/>
          <w:szCs w:val="32"/>
          <w:lang w:val="en-US" w:eastAsia="zh-CN"/>
        </w:rPr>
        <w:t>7.</w:t>
      </w:r>
      <w:r>
        <w:rPr>
          <w:rStyle w:val="18"/>
          <w:rFonts w:hint="eastAsia" w:ascii="仿宋" w:hAnsi="仿宋" w:eastAsia="仿宋" w:cstheme="minorBidi"/>
          <w:bCs/>
          <w:sz w:val="32"/>
          <w:szCs w:val="32"/>
        </w:rPr>
        <w:t>社会保障和就业（类）其他社会保障和就业支出（款）其他社会保障和就业支出（项）:</w:t>
      </w:r>
      <w:r>
        <w:rPr>
          <w:rStyle w:val="18"/>
          <w:rFonts w:hint="eastAsia" w:ascii="仿宋_GB2312" w:eastAsia="仿宋_GB2312"/>
          <w:color w:val="000000"/>
          <w:sz w:val="32"/>
          <w:szCs w:val="32"/>
        </w:rPr>
        <w:t xml:space="preserve"> </w:t>
      </w:r>
      <w:r>
        <w:rPr>
          <w:rStyle w:val="18"/>
          <w:rFonts w:hint="eastAsia" w:ascii="仿宋" w:hAnsi="仿宋" w:eastAsia="仿宋" w:cstheme="minorBidi"/>
          <w:b w:val="0"/>
          <w:bCs/>
          <w:sz w:val="32"/>
          <w:szCs w:val="32"/>
        </w:rPr>
        <w:t>支出决算为</w:t>
      </w:r>
      <w:r>
        <w:rPr>
          <w:rStyle w:val="18"/>
          <w:rFonts w:hint="eastAsia" w:ascii="仿宋" w:hAnsi="仿宋" w:eastAsia="仿宋" w:cstheme="minorBidi"/>
          <w:b w:val="0"/>
          <w:bCs/>
          <w:sz w:val="32"/>
          <w:szCs w:val="32"/>
          <w:lang w:val="en-US" w:eastAsia="zh-CN"/>
        </w:rPr>
        <w:t>18.9</w:t>
      </w:r>
      <w:r>
        <w:rPr>
          <w:rStyle w:val="18"/>
          <w:rFonts w:hint="eastAsia" w:ascii="仿宋" w:hAnsi="仿宋" w:eastAsia="仿宋" w:cstheme="minorBidi"/>
          <w:b w:val="0"/>
          <w:bCs/>
          <w:sz w:val="32"/>
          <w:szCs w:val="32"/>
        </w:rPr>
        <w:t>万元，完成预算100%，</w:t>
      </w:r>
      <w:r>
        <w:rPr>
          <w:rStyle w:val="18"/>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lang w:val="en-US" w:eastAsia="zh-CN"/>
        </w:rPr>
        <w:t>8</w:t>
      </w:r>
      <w:r>
        <w:rPr>
          <w:rStyle w:val="18"/>
          <w:rFonts w:ascii="仿宋" w:hAnsi="仿宋" w:eastAsia="仿宋"/>
          <w:bCs/>
          <w:sz w:val="32"/>
          <w:szCs w:val="32"/>
        </w:rPr>
        <w:t>.</w:t>
      </w:r>
      <w:r>
        <w:rPr>
          <w:rFonts w:hint="eastAsia" w:ascii="仿宋" w:hAnsi="仿宋" w:eastAsia="仿宋"/>
          <w:b/>
          <w:bCs/>
          <w:sz w:val="32"/>
          <w:szCs w:val="32"/>
        </w:rPr>
        <w:t>卫生健康（类）行政事业单位医疗（款）事业单位医疗（项）:</w:t>
      </w:r>
      <w:r>
        <w:rPr>
          <w:rStyle w:val="18"/>
          <w:rFonts w:hint="eastAsia" w:ascii="仿宋" w:hAnsi="仿宋" w:eastAsia="仿宋" w:cstheme="minorBidi"/>
          <w:b w:val="0"/>
          <w:bCs/>
          <w:sz w:val="32"/>
          <w:szCs w:val="32"/>
        </w:rPr>
        <w:t>支出决算为</w:t>
      </w:r>
      <w:r>
        <w:rPr>
          <w:rStyle w:val="18"/>
          <w:rFonts w:hint="eastAsia" w:ascii="仿宋" w:hAnsi="仿宋" w:eastAsia="仿宋" w:cstheme="minorBidi"/>
          <w:b w:val="0"/>
          <w:bCs/>
          <w:sz w:val="32"/>
          <w:szCs w:val="32"/>
          <w:lang w:val="en-US" w:eastAsia="zh-CN"/>
        </w:rPr>
        <w:t>3.2</w:t>
      </w:r>
      <w:r>
        <w:rPr>
          <w:rStyle w:val="18"/>
          <w:rFonts w:hint="eastAsia" w:ascii="仿宋" w:hAnsi="仿宋" w:eastAsia="仿宋" w:cstheme="minorBidi"/>
          <w:b w:val="0"/>
          <w:bCs/>
          <w:sz w:val="32"/>
          <w:szCs w:val="32"/>
        </w:rPr>
        <w:t>万元，完成预算100%，</w:t>
      </w:r>
      <w:r>
        <w:rPr>
          <w:rStyle w:val="18"/>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pPr>
      <w:r>
        <w:rPr>
          <w:rFonts w:hint="eastAsia" w:ascii="仿宋" w:hAnsi="仿宋" w:eastAsia="仿宋"/>
          <w:b/>
          <w:bCs/>
          <w:sz w:val="32"/>
          <w:szCs w:val="32"/>
          <w:lang w:val="en-US" w:eastAsia="zh-CN"/>
        </w:rPr>
        <w:t>9.</w:t>
      </w:r>
      <w:r>
        <w:rPr>
          <w:rFonts w:hint="eastAsia" w:ascii="仿宋" w:hAnsi="仿宋" w:eastAsia="仿宋"/>
          <w:b/>
          <w:bCs/>
          <w:sz w:val="32"/>
          <w:szCs w:val="32"/>
        </w:rPr>
        <w:t>卫生健康（类）行政事业单位医疗（款）公务员医疗补助（项）:</w:t>
      </w:r>
      <w:r>
        <w:rPr>
          <w:rStyle w:val="18"/>
          <w:rFonts w:hint="eastAsia" w:ascii="仿宋" w:hAnsi="仿宋" w:eastAsia="仿宋" w:cstheme="minorBidi"/>
          <w:b w:val="0"/>
          <w:bCs/>
          <w:sz w:val="32"/>
          <w:szCs w:val="32"/>
        </w:rPr>
        <w:t>支出决算为</w:t>
      </w:r>
      <w:r>
        <w:rPr>
          <w:rStyle w:val="18"/>
          <w:rFonts w:hint="eastAsia" w:ascii="仿宋" w:hAnsi="仿宋" w:eastAsia="仿宋" w:cstheme="minorBidi"/>
          <w:b w:val="0"/>
          <w:bCs/>
          <w:sz w:val="32"/>
          <w:szCs w:val="32"/>
          <w:lang w:val="en-US" w:eastAsia="zh-CN"/>
        </w:rPr>
        <w:t>0.42</w:t>
      </w:r>
      <w:r>
        <w:rPr>
          <w:rStyle w:val="18"/>
          <w:rFonts w:hint="eastAsia" w:ascii="仿宋" w:hAnsi="仿宋" w:eastAsia="仿宋" w:cstheme="minorBidi"/>
          <w:b w:val="0"/>
          <w:bCs/>
          <w:sz w:val="32"/>
          <w:szCs w:val="32"/>
        </w:rPr>
        <w:t>万元，完成预算100%，</w:t>
      </w:r>
      <w:r>
        <w:rPr>
          <w:rStyle w:val="18"/>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rPr>
          <w:rFonts w:ascii="仿宋" w:hAnsi="仿宋" w:eastAsia="仿宋"/>
          <w:sz w:val="32"/>
          <w:szCs w:val="32"/>
        </w:rPr>
      </w:pPr>
      <w:r>
        <w:rPr>
          <w:rFonts w:hint="eastAsia" w:ascii="仿宋_GB2312" w:eastAsia="仿宋_GB2312"/>
          <w:b/>
          <w:color w:val="000000"/>
          <w:sz w:val="32"/>
          <w:szCs w:val="32"/>
          <w:lang w:val="en-US" w:eastAsia="zh-CN"/>
        </w:rPr>
        <w:t>10.</w:t>
      </w:r>
      <w:r>
        <w:rPr>
          <w:rFonts w:hint="eastAsia" w:ascii="仿宋" w:hAnsi="仿宋" w:eastAsia="仿宋"/>
          <w:b/>
          <w:bCs/>
          <w:sz w:val="32"/>
          <w:szCs w:val="32"/>
        </w:rPr>
        <w:t>住房保障支出（类）住房改革支出（款）住房公积金（项）:</w:t>
      </w:r>
      <w:r>
        <w:rPr>
          <w:rStyle w:val="18"/>
          <w:rFonts w:hint="eastAsia" w:ascii="仿宋" w:hAnsi="仿宋" w:eastAsia="仿宋" w:cstheme="minorBidi"/>
          <w:b w:val="0"/>
          <w:bCs/>
          <w:sz w:val="32"/>
          <w:szCs w:val="32"/>
        </w:rPr>
        <w:t>支出决算为</w:t>
      </w:r>
      <w:r>
        <w:rPr>
          <w:rStyle w:val="18"/>
          <w:rFonts w:hint="eastAsia" w:ascii="仿宋" w:hAnsi="仿宋" w:eastAsia="仿宋" w:cstheme="minorBidi"/>
          <w:b w:val="0"/>
          <w:bCs/>
          <w:sz w:val="32"/>
          <w:szCs w:val="32"/>
          <w:lang w:val="en-US" w:eastAsia="zh-CN"/>
        </w:rPr>
        <w:t>10.59</w:t>
      </w:r>
      <w:r>
        <w:rPr>
          <w:rStyle w:val="18"/>
          <w:rFonts w:hint="eastAsia" w:ascii="仿宋" w:hAnsi="仿宋" w:eastAsia="仿宋" w:cstheme="minorBidi"/>
          <w:b w:val="0"/>
          <w:bCs/>
          <w:sz w:val="32"/>
          <w:szCs w:val="32"/>
        </w:rPr>
        <w:t>万元，完成预算100%，</w:t>
      </w:r>
      <w:r>
        <w:rPr>
          <w:rStyle w:val="18"/>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30"/>
        </w:rPr>
      </w:pPr>
      <w:bookmarkStart w:id="41" w:name="_Toc15377214"/>
      <w:bookmarkStart w:id="42"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41"/>
      <w:bookmarkEnd w:id="42"/>
      <w:r>
        <w:rPr>
          <w:rStyle w:val="30"/>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257.79</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142.55</w:t>
      </w:r>
      <w:r>
        <w:rPr>
          <w:rFonts w:hint="eastAsia" w:ascii="仿宋" w:hAnsi="仿宋" w:eastAsia="仿宋"/>
          <w:sz w:val="32"/>
          <w:szCs w:val="32"/>
        </w:rPr>
        <w:t>万元，主要包括：基本工资、津贴补贴、伙食补助费、绩效工资、机关事业单位基本养老保险缴费、职业年金缴费、其他社会保障缴费、住房公积金。</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115.24</w:t>
      </w:r>
      <w:r>
        <w:rPr>
          <w:rFonts w:hint="eastAsia" w:ascii="仿宋" w:hAnsi="仿宋" w:eastAsia="仿宋"/>
          <w:sz w:val="32"/>
          <w:szCs w:val="32"/>
        </w:rPr>
        <w:t>万元，主要包括：办公费、差旅费、工会经费、福利费、公务用车运行维护费、其他交通费。</w:t>
      </w:r>
    </w:p>
    <w:p>
      <w:pPr>
        <w:spacing w:line="600" w:lineRule="exact"/>
        <w:ind w:firstLine="645"/>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outlineLvl w:val="1"/>
        <w:rPr>
          <w:rStyle w:val="30"/>
          <w:rFonts w:ascii="黑体" w:hAnsi="黑体" w:eastAsia="黑体"/>
          <w:b w:val="0"/>
        </w:rPr>
      </w:pPr>
      <w:bookmarkStart w:id="43" w:name="_Toc15396609"/>
      <w:bookmarkStart w:id="44" w:name="_Toc15377215"/>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43"/>
      <w:bookmarkEnd w:id="44"/>
    </w:p>
    <w:p>
      <w:pPr>
        <w:spacing w:line="600" w:lineRule="exact"/>
        <w:ind w:firstLine="640"/>
        <w:outlineLvl w:val="2"/>
        <w:rPr>
          <w:rFonts w:ascii="仿宋" w:hAnsi="仿宋" w:eastAsia="仿宋"/>
          <w:b/>
          <w:sz w:val="32"/>
          <w:szCs w:val="32"/>
        </w:rPr>
      </w:pPr>
      <w:bookmarkStart w:id="45" w:name="_Toc15377216"/>
      <w:r>
        <w:rPr>
          <w:rFonts w:hint="eastAsia" w:ascii="仿宋" w:hAnsi="仿宋" w:eastAsia="仿宋"/>
          <w:b/>
          <w:sz w:val="32"/>
          <w:szCs w:val="32"/>
        </w:rPr>
        <w:t>（一）“三公”经费财政拨款支出决算总体情况说明</w:t>
      </w:r>
      <w:bookmarkEnd w:id="45"/>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w:t>
      </w:r>
      <w:bookmarkStart w:id="46" w:name="OLE_LINK9"/>
      <w:r>
        <w:rPr>
          <w:rFonts w:hint="eastAsia" w:ascii="仿宋" w:hAnsi="仿宋" w:eastAsia="仿宋"/>
          <w:sz w:val="32"/>
          <w:szCs w:val="32"/>
        </w:rPr>
        <w:t>“三公”经费财政拨款支出</w:t>
      </w:r>
      <w:bookmarkEnd w:id="46"/>
      <w:r>
        <w:rPr>
          <w:rFonts w:hint="eastAsia" w:ascii="仿宋" w:hAnsi="仿宋" w:eastAsia="仿宋"/>
          <w:sz w:val="32"/>
          <w:szCs w:val="32"/>
        </w:rPr>
        <w:t>决算为</w:t>
      </w:r>
      <w:r>
        <w:rPr>
          <w:rFonts w:ascii="仿宋" w:hAnsi="仿宋" w:eastAsia="仿宋"/>
          <w:b/>
          <w:sz w:val="32"/>
          <w:szCs w:val="32"/>
        </w:rPr>
        <w:t>138.9</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bookmarkStart w:id="47" w:name="OLE_LINK10"/>
      <w:r>
        <w:rPr>
          <w:rFonts w:hint="eastAsia" w:ascii="仿宋" w:hAnsi="仿宋" w:eastAsia="仿宋"/>
          <w:sz w:val="32"/>
          <w:szCs w:val="32"/>
          <w:lang w:eastAsia="zh-CN"/>
        </w:rPr>
        <w:t>无法</w:t>
      </w:r>
      <w:r>
        <w:rPr>
          <w:rFonts w:hint="eastAsia" w:ascii="仿宋" w:hAnsi="仿宋" w:eastAsia="仿宋"/>
          <w:sz w:val="32"/>
          <w:szCs w:val="32"/>
        </w:rPr>
        <w:t>与2022年度“三公”经费财政拨款支出</w:t>
      </w:r>
      <w:r>
        <w:rPr>
          <w:rFonts w:hint="eastAsia" w:ascii="仿宋" w:hAnsi="仿宋" w:eastAsia="仿宋"/>
          <w:sz w:val="32"/>
          <w:szCs w:val="32"/>
          <w:lang w:eastAsia="zh-CN"/>
        </w:rPr>
        <w:t>数据</w:t>
      </w:r>
      <w:r>
        <w:rPr>
          <w:rFonts w:hint="eastAsia" w:ascii="仿宋" w:hAnsi="仿宋" w:eastAsia="仿宋"/>
          <w:sz w:val="32"/>
          <w:szCs w:val="32"/>
        </w:rPr>
        <w:t>相比，主要原因是</w:t>
      </w:r>
      <w:r>
        <w:rPr>
          <w:rFonts w:hint="eastAsia" w:ascii="仿宋" w:hAnsi="仿宋" w:eastAsia="仿宋"/>
          <w:sz w:val="32"/>
          <w:szCs w:val="32"/>
          <w:lang w:val="en-US" w:eastAsia="zh-CN"/>
        </w:rPr>
        <w:t>2022年区机关事务中心与区委办共用一个账套未独立核算，无法取得相关数据</w:t>
      </w:r>
      <w:r>
        <w:rPr>
          <w:rFonts w:hint="eastAsia" w:ascii="仿宋" w:hAnsi="仿宋" w:eastAsia="仿宋"/>
          <w:sz w:val="32"/>
          <w:szCs w:val="32"/>
        </w:rPr>
        <w:t>。</w:t>
      </w:r>
    </w:p>
    <w:bookmarkEnd w:id="47"/>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48" w:name="_Toc15377217"/>
      <w:r>
        <w:rPr>
          <w:rFonts w:hint="eastAsia" w:ascii="仿宋" w:hAnsi="仿宋" w:eastAsia="仿宋"/>
          <w:b/>
          <w:sz w:val="32"/>
          <w:szCs w:val="32"/>
        </w:rPr>
        <w:t>（二）“三公”经费财政拨款支出决算具体情况说明</w:t>
      </w:r>
      <w:bookmarkEnd w:id="4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111.4</w:t>
      </w:r>
      <w:r>
        <w:rPr>
          <w:rFonts w:hint="eastAsia" w:ascii="仿宋" w:hAnsi="仿宋" w:eastAsia="仿宋"/>
          <w:sz w:val="32"/>
          <w:szCs w:val="32"/>
        </w:rPr>
        <w:t>万元，占</w:t>
      </w:r>
      <w:r>
        <w:rPr>
          <w:rFonts w:ascii="仿宋" w:hAnsi="仿宋" w:eastAsia="仿宋"/>
          <w:b/>
          <w:sz w:val="32"/>
          <w:szCs w:val="32"/>
        </w:rPr>
        <w:t>80.2</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27.5</w:t>
      </w:r>
      <w:r>
        <w:rPr>
          <w:rFonts w:hint="eastAsia" w:ascii="仿宋" w:hAnsi="仿宋" w:eastAsia="仿宋"/>
          <w:sz w:val="32"/>
          <w:szCs w:val="32"/>
        </w:rPr>
        <w:t>万元，占</w:t>
      </w:r>
      <w:r>
        <w:rPr>
          <w:rFonts w:ascii="仿宋" w:hAnsi="仿宋" w:eastAsia="仿宋"/>
          <w:b/>
          <w:sz w:val="32"/>
          <w:szCs w:val="32"/>
        </w:rPr>
        <w:t>19.</w:t>
      </w:r>
      <w:r>
        <w:rPr>
          <w:rFonts w:hint="eastAsia" w:ascii="仿宋" w:hAnsi="仿宋" w:eastAsia="仿宋"/>
          <w:b/>
          <w:sz w:val="32"/>
          <w:szCs w:val="32"/>
          <w:lang w:val="en-US" w:eastAsia="zh-CN"/>
        </w:rPr>
        <w:t>8</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rPr>
          <w:rFonts w:hint="eastAsia" w:ascii="仿宋" w:hAnsi="仿宋" w:eastAsia="仿宋"/>
          <w:sz w:val="32"/>
          <w:szCs w:val="32"/>
        </w:rPr>
      </w:pPr>
      <w:r>
        <w:rPr>
          <w:rFonts w:hint="eastAsia" w:ascii="仿宋" w:hAnsi="仿宋" w:eastAsia="仿宋"/>
          <w:sz w:val="32"/>
          <w:szCs w:val="32"/>
        </w:rPr>
        <w:drawing>
          <wp:inline distT="0" distB="0" distL="114300" distR="114300">
            <wp:extent cx="5080000" cy="2206625"/>
            <wp:effectExtent l="4445" t="4445" r="20955" b="177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
      <w:pPr>
        <w:spacing w:line="600" w:lineRule="exact"/>
        <w:ind w:firstLine="643" w:firstLineChars="200"/>
        <w:rPr>
          <w:rFonts w:ascii="仿宋" w:hAnsi="仿宋" w:eastAsia="仿宋"/>
          <w:sz w:val="32"/>
          <w:szCs w:val="32"/>
        </w:rPr>
      </w:pPr>
      <w:bookmarkStart w:id="49" w:name="_Toc15377218"/>
      <w:bookmarkStart w:id="50"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w:t>
      </w:r>
      <w:r>
        <w:rPr>
          <w:rFonts w:hint="eastAsia" w:ascii="仿宋" w:hAnsi="仿宋" w:eastAsia="仿宋"/>
          <w:sz w:val="32"/>
          <w:szCs w:val="32"/>
          <w:lang w:eastAsia="zh-CN"/>
        </w:rPr>
        <w:t>无法</w:t>
      </w:r>
      <w:r>
        <w:rPr>
          <w:rFonts w:hint="eastAsia" w:ascii="仿宋" w:hAnsi="仿宋" w:eastAsia="仿宋"/>
          <w:sz w:val="32"/>
          <w:szCs w:val="32"/>
        </w:rPr>
        <w:t>与2022年度支出</w:t>
      </w:r>
      <w:r>
        <w:rPr>
          <w:rFonts w:hint="eastAsia" w:ascii="仿宋" w:hAnsi="仿宋" w:eastAsia="仿宋"/>
          <w:sz w:val="32"/>
          <w:szCs w:val="32"/>
          <w:lang w:eastAsia="zh-CN"/>
        </w:rPr>
        <w:t>数据</w:t>
      </w:r>
      <w:r>
        <w:rPr>
          <w:rFonts w:hint="eastAsia" w:ascii="仿宋" w:hAnsi="仿宋" w:eastAsia="仿宋"/>
          <w:sz w:val="32"/>
          <w:szCs w:val="32"/>
        </w:rPr>
        <w:t>相比，主要原因是</w:t>
      </w:r>
      <w:r>
        <w:rPr>
          <w:rFonts w:hint="eastAsia" w:ascii="仿宋" w:hAnsi="仿宋" w:eastAsia="仿宋"/>
          <w:sz w:val="32"/>
          <w:szCs w:val="32"/>
          <w:lang w:val="en-US" w:eastAsia="zh-CN"/>
        </w:rPr>
        <w:t>2022年区机关事务中心与区委办共用一个账套未独立核算，无法取得相关数据</w:t>
      </w:r>
      <w:r>
        <w:rPr>
          <w:rFonts w:hint="eastAsia" w:ascii="仿宋" w:hAnsi="仿宋" w:eastAsia="仿宋"/>
          <w:sz w:val="32"/>
          <w:szCs w:val="32"/>
        </w:rPr>
        <w:t>。</w:t>
      </w:r>
    </w:p>
    <w:p>
      <w:pPr>
        <w:spacing w:line="600" w:lineRule="exact"/>
        <w:ind w:firstLine="640"/>
        <w:rPr>
          <w:rFonts w:hint="eastAsia" w:ascii="仿宋_GB2312" w:eastAsia="仿宋_GB2312"/>
          <w:sz w:val="32"/>
          <w:szCs w:val="32"/>
          <w:lang w:eastAsia="zh-CN"/>
        </w:rPr>
      </w:pPr>
      <w:r>
        <w:rPr>
          <w:rFonts w:hint="eastAsia" w:ascii="仿宋_GB2312" w:eastAsia="仿宋_GB2312"/>
          <w:sz w:val="32"/>
          <w:szCs w:val="32"/>
        </w:rPr>
        <w:t>开支内容包括：</w:t>
      </w:r>
      <w:r>
        <w:rPr>
          <w:rFonts w:hint="eastAsia" w:ascii="仿宋_GB2312" w:eastAsia="仿宋_GB2312"/>
          <w:sz w:val="32"/>
          <w:szCs w:val="32"/>
          <w:lang w:eastAsia="zh-CN"/>
        </w:rPr>
        <w:t>无</w:t>
      </w:r>
    </w:p>
    <w:p>
      <w:pPr>
        <w:spacing w:line="600" w:lineRule="exact"/>
        <w:ind w:firstLine="643" w:firstLineChars="200"/>
        <w:rPr>
          <w:rFonts w:ascii="仿宋" w:hAnsi="仿宋" w:eastAsia="仿宋"/>
          <w:sz w:val="32"/>
          <w:szCs w:val="32"/>
        </w:rPr>
      </w:pPr>
      <w:r>
        <w:rPr>
          <w:rFonts w:ascii="仿宋_GB2312" w:eastAsia="仿宋_GB2312"/>
          <w:b/>
          <w:sz w:val="32"/>
          <w:szCs w:val="32"/>
        </w:rPr>
        <w:t>2.</w:t>
      </w:r>
      <w:bookmarkStart w:id="51" w:name="OLE_LINK11"/>
      <w:r>
        <w:rPr>
          <w:rFonts w:hint="eastAsia" w:ascii="仿宋_GB2312" w:eastAsia="仿宋_GB2312"/>
          <w:b/>
          <w:sz w:val="32"/>
          <w:szCs w:val="32"/>
        </w:rPr>
        <w:t>公务用车购置及运行维护费</w:t>
      </w:r>
      <w:bookmarkEnd w:id="51"/>
      <w:r>
        <w:rPr>
          <w:rFonts w:hint="eastAsia" w:ascii="仿宋_GB2312" w:eastAsia="仿宋_GB2312"/>
          <w:b/>
          <w:sz w:val="32"/>
          <w:szCs w:val="32"/>
        </w:rPr>
        <w:t>支出</w:t>
      </w:r>
      <w:r>
        <w:rPr>
          <w:rFonts w:ascii="仿宋" w:hAnsi="仿宋" w:eastAsia="仿宋"/>
          <w:b/>
          <w:sz w:val="32"/>
          <w:szCs w:val="32"/>
        </w:rPr>
        <w:t>111.4</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bookmarkStart w:id="52" w:name="OLE_LINK12"/>
      <w:bookmarkStart w:id="53" w:name="OLE_LINK13"/>
      <w:r>
        <w:rPr>
          <w:rFonts w:hint="eastAsia" w:ascii="仿宋" w:hAnsi="仿宋" w:eastAsia="仿宋"/>
          <w:sz w:val="32"/>
          <w:szCs w:val="32"/>
          <w:lang w:eastAsia="zh-CN"/>
        </w:rPr>
        <w:t>无法</w:t>
      </w:r>
      <w:r>
        <w:rPr>
          <w:rFonts w:hint="eastAsia" w:ascii="仿宋" w:hAnsi="仿宋" w:eastAsia="仿宋"/>
          <w:sz w:val="32"/>
          <w:szCs w:val="32"/>
        </w:rPr>
        <w:t>与2022年</w:t>
      </w:r>
      <w:r>
        <w:rPr>
          <w:rFonts w:hint="eastAsia" w:ascii="仿宋" w:hAnsi="仿宋" w:eastAsia="仿宋"/>
          <w:sz w:val="32"/>
          <w:szCs w:val="32"/>
          <w:lang w:val="en-US" w:eastAsia="zh-CN"/>
        </w:rPr>
        <w:t>度公务用车购置及运行维护费支出数据相比，主要原因是2022年区机关事务中心与区委办共用一个账套未独立核算，无法取得相关数据</w:t>
      </w:r>
      <w:r>
        <w:rPr>
          <w:rFonts w:hint="eastAsia" w:ascii="仿宋" w:hAnsi="仿宋" w:eastAsia="仿宋"/>
          <w:sz w:val="32"/>
          <w:szCs w:val="32"/>
        </w:rPr>
        <w:t>。</w:t>
      </w:r>
      <w:bookmarkEnd w:id="52"/>
    </w:p>
    <w:bookmarkEnd w:id="53"/>
    <w:p>
      <w:pPr>
        <w:spacing w:line="600" w:lineRule="exact"/>
        <w:ind w:firstLine="640"/>
        <w:rPr>
          <w:rFonts w:ascii="仿宋_GB2312" w:eastAsia="仿宋_GB2312"/>
          <w:b/>
          <w:sz w:val="32"/>
          <w:szCs w:val="32"/>
        </w:rPr>
      </w:pP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val="en-US" w:eastAsia="zh-CN"/>
        </w:rPr>
        <w:t>:无</w:t>
      </w: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sz w:val="32"/>
          <w:szCs w:val="32"/>
        </w:rPr>
        <w:t>公务用车运行维护费支出</w:t>
      </w:r>
      <w:r>
        <w:rPr>
          <w:rFonts w:ascii="仿宋" w:hAnsi="仿宋" w:eastAsia="仿宋"/>
          <w:b/>
          <w:sz w:val="32"/>
          <w:szCs w:val="32"/>
        </w:rPr>
        <w:t>111.4</w:t>
      </w:r>
      <w:r>
        <w:rPr>
          <w:rFonts w:hint="eastAsia" w:ascii="仿宋_GB2312" w:eastAsia="仿宋_GB2312"/>
          <w:sz w:val="32"/>
          <w:szCs w:val="32"/>
        </w:rPr>
        <w:t>万元。主要用于</w:t>
      </w:r>
      <w:r>
        <w:rPr>
          <w:rFonts w:hint="eastAsia" w:ascii="仿宋_GB2312" w:eastAsia="仿宋_GB2312"/>
          <w:color w:val="000000"/>
          <w:sz w:val="32"/>
          <w:szCs w:val="32"/>
        </w:rPr>
        <w:t>开展业务活动、下乡、执行公务等所需的公务用车燃料费、维修费、过路过桥费、保险费等支出。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27.5</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Fonts w:hint="eastAsia" w:ascii="仿宋_GB2312" w:eastAsia="仿宋_GB2312"/>
          <w:sz w:val="32"/>
          <w:szCs w:val="32"/>
        </w:rPr>
        <w:t>公务接待费</w:t>
      </w:r>
      <w:r>
        <w:rPr>
          <w:rFonts w:hint="eastAsia" w:ascii="仿宋" w:hAnsi="仿宋" w:eastAsia="仿宋"/>
          <w:sz w:val="32"/>
          <w:szCs w:val="32"/>
          <w:lang w:eastAsia="zh-CN"/>
        </w:rPr>
        <w:t>无法</w:t>
      </w:r>
      <w:r>
        <w:rPr>
          <w:rFonts w:hint="eastAsia" w:ascii="仿宋" w:hAnsi="仿宋" w:eastAsia="仿宋"/>
          <w:sz w:val="32"/>
          <w:szCs w:val="32"/>
        </w:rPr>
        <w:t>与2022年</w:t>
      </w:r>
      <w:r>
        <w:rPr>
          <w:rFonts w:hint="eastAsia" w:ascii="仿宋" w:hAnsi="仿宋" w:eastAsia="仿宋"/>
          <w:sz w:val="32"/>
          <w:szCs w:val="32"/>
          <w:lang w:val="en-US" w:eastAsia="zh-CN"/>
        </w:rPr>
        <w:t>度支出数据相比，主要原因是2022年区机关事务中心与区委办共用一个账套未独立核算，无法取得相关数据</w:t>
      </w:r>
      <w:r>
        <w:rPr>
          <w:rFonts w:hint="eastAsia" w:ascii="仿宋" w:hAnsi="仿宋" w:eastAsia="仿宋"/>
          <w:sz w:val="32"/>
          <w:szCs w:val="32"/>
        </w:rPr>
        <w:t>。</w:t>
      </w:r>
      <w:r>
        <w:rPr>
          <w:rFonts w:hint="eastAsia" w:ascii="仿宋_GB2312" w:eastAsia="仿宋_GB2312"/>
          <w:sz w:val="32"/>
          <w:szCs w:val="32"/>
        </w:rPr>
        <w:t>其中：</w:t>
      </w:r>
    </w:p>
    <w:p>
      <w:pPr>
        <w:spacing w:line="600" w:lineRule="exact"/>
        <w:ind w:firstLine="640"/>
        <w:rPr>
          <w:rFonts w:hint="eastAsia" w:ascii="仿宋_GB2312" w:eastAsia="仿宋_GB2312"/>
          <w:sz w:val="32"/>
          <w:szCs w:val="32"/>
          <w:lang w:eastAsia="zh-CN"/>
        </w:rPr>
      </w:pPr>
      <w:r>
        <w:rPr>
          <w:rFonts w:hint="eastAsia" w:ascii="仿宋" w:hAnsi="仿宋" w:eastAsia="仿宋"/>
          <w:b/>
          <w:sz w:val="32"/>
          <w:szCs w:val="32"/>
        </w:rPr>
        <w:t>国内公务接待支出</w:t>
      </w:r>
      <w:r>
        <w:rPr>
          <w:rFonts w:ascii="仿宋" w:hAnsi="仿宋" w:eastAsia="仿宋"/>
          <w:b/>
          <w:sz w:val="32"/>
          <w:szCs w:val="32"/>
        </w:rPr>
        <w:t>27.5</w:t>
      </w:r>
      <w:r>
        <w:rPr>
          <w:rFonts w:hint="eastAsia" w:ascii="仿宋_GB2312" w:eastAsia="仿宋_GB2312"/>
          <w:sz w:val="32"/>
          <w:szCs w:val="32"/>
        </w:rPr>
        <w:t>万元，主要用于</w:t>
      </w:r>
      <w:r>
        <w:rPr>
          <w:rFonts w:hint="eastAsia" w:ascii="仿宋_GB2312" w:eastAsia="仿宋_GB2312"/>
          <w:color w:val="000000"/>
          <w:sz w:val="32"/>
          <w:szCs w:val="32"/>
        </w:rPr>
        <w:t>执行公务、开展业务活动开支的交通费、住宿费、用餐费等</w:t>
      </w:r>
      <w:r>
        <w:rPr>
          <w:rFonts w:hint="eastAsia" w:ascii="仿宋_GB2312" w:eastAsia="仿宋_GB2312"/>
          <w:sz w:val="32"/>
          <w:szCs w:val="32"/>
        </w:rPr>
        <w:t>。国内公务接待</w:t>
      </w:r>
      <w:r>
        <w:rPr>
          <w:rFonts w:hint="eastAsia" w:ascii="仿宋_GB2312" w:eastAsia="仿宋_GB2312"/>
          <w:sz w:val="32"/>
          <w:szCs w:val="32"/>
          <w:lang w:val="en-US" w:eastAsia="zh-CN"/>
        </w:rPr>
        <w:t>80</w:t>
      </w:r>
      <w:r>
        <w:rPr>
          <w:rFonts w:hint="eastAsia" w:ascii="仿宋_GB2312" w:eastAsia="仿宋_GB2312"/>
          <w:sz w:val="32"/>
          <w:szCs w:val="32"/>
        </w:rPr>
        <w:t>批次，</w:t>
      </w:r>
      <w:r>
        <w:rPr>
          <w:rFonts w:hint="eastAsia" w:ascii="仿宋_GB2312" w:eastAsia="仿宋_GB2312"/>
          <w:sz w:val="32"/>
          <w:szCs w:val="32"/>
          <w:lang w:val="en-US" w:eastAsia="zh-CN"/>
        </w:rPr>
        <w:t>1200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27.5</w:t>
      </w:r>
      <w:r>
        <w:rPr>
          <w:rFonts w:hint="eastAsia" w:ascii="仿宋_GB2312" w:eastAsia="仿宋_GB2312"/>
          <w:sz w:val="32"/>
          <w:szCs w:val="32"/>
        </w:rPr>
        <w:t>万元，具体内容包括：202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月6日接待北京浩翔、中国电建赴金投资考察</w:t>
      </w:r>
      <w:r>
        <w:rPr>
          <w:rFonts w:hint="eastAsia" w:ascii="仿宋_GB2312" w:eastAsia="仿宋_GB2312"/>
          <w:sz w:val="32"/>
          <w:szCs w:val="32"/>
          <w:lang w:val="en-US" w:eastAsia="zh-CN"/>
        </w:rPr>
        <w:t>9635</w:t>
      </w:r>
      <w:r>
        <w:rPr>
          <w:rFonts w:hint="eastAsia" w:ascii="仿宋_GB2312" w:eastAsia="仿宋_GB2312"/>
          <w:sz w:val="32"/>
          <w:szCs w:val="32"/>
        </w:rPr>
        <w:t>元</w:t>
      </w:r>
      <w:r>
        <w:rPr>
          <w:rFonts w:hint="eastAsia" w:ascii="仿宋_GB2312" w:eastAsia="仿宋_GB2312"/>
          <w:sz w:val="32"/>
          <w:szCs w:val="32"/>
          <w:lang w:eastAsia="zh-CN"/>
        </w:rPr>
        <w:t>；</w:t>
      </w:r>
      <w:bookmarkStart w:id="54" w:name="OLE_LINK19"/>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日接待四川金杯半山集团董事局一行来金考察</w:t>
      </w:r>
      <w:r>
        <w:rPr>
          <w:rFonts w:hint="eastAsia" w:ascii="仿宋_GB2312" w:eastAsia="仿宋_GB2312"/>
          <w:sz w:val="32"/>
          <w:szCs w:val="32"/>
          <w:lang w:val="en-US" w:eastAsia="zh-CN"/>
        </w:rPr>
        <w:t>5080</w:t>
      </w:r>
      <w:r>
        <w:rPr>
          <w:rFonts w:hint="eastAsia" w:ascii="仿宋_GB2312" w:eastAsia="仿宋_GB2312"/>
          <w:sz w:val="32"/>
          <w:szCs w:val="32"/>
        </w:rPr>
        <w:t>元</w:t>
      </w:r>
      <w:r>
        <w:rPr>
          <w:rFonts w:hint="eastAsia" w:ascii="仿宋_GB2312" w:eastAsia="仿宋_GB2312"/>
          <w:sz w:val="32"/>
          <w:szCs w:val="32"/>
          <w:lang w:eastAsia="zh-CN"/>
        </w:rPr>
        <w:t>；</w:t>
      </w:r>
      <w:bookmarkEnd w:id="54"/>
      <w:bookmarkStart w:id="55" w:name="OLE_LINK20"/>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日接待</w:t>
      </w:r>
      <w:bookmarkEnd w:id="55"/>
      <w:r>
        <w:rPr>
          <w:rFonts w:hint="eastAsia" w:ascii="仿宋_GB2312" w:eastAsia="仿宋_GB2312"/>
          <w:sz w:val="32"/>
          <w:szCs w:val="32"/>
        </w:rPr>
        <w:t>中国乡村发展志愿服务促进会学前学普项目组赴金调研</w:t>
      </w:r>
      <w:r>
        <w:rPr>
          <w:rFonts w:hint="eastAsia" w:ascii="仿宋_GB2312" w:eastAsia="仿宋_GB2312"/>
          <w:sz w:val="32"/>
          <w:szCs w:val="32"/>
          <w:lang w:val="en-US" w:eastAsia="zh-CN"/>
        </w:rPr>
        <w:t>7115</w:t>
      </w:r>
      <w:bookmarkStart w:id="56" w:name="OLE_LINK21"/>
      <w:r>
        <w:rPr>
          <w:rFonts w:hint="eastAsia" w:ascii="仿宋_GB2312" w:eastAsia="仿宋_GB2312"/>
          <w:sz w:val="32"/>
          <w:szCs w:val="32"/>
        </w:rPr>
        <w:t>元</w:t>
      </w:r>
      <w:bookmarkEnd w:id="56"/>
      <w:r>
        <w:rPr>
          <w:rFonts w:hint="eastAsia" w:ascii="仿宋_GB2312" w:eastAsia="仿宋_GB2312"/>
          <w:sz w:val="32"/>
          <w:szCs w:val="32"/>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日接待</w:t>
      </w:r>
      <w:r>
        <w:rPr>
          <w:rFonts w:hint="eastAsia" w:ascii="仿宋_GB2312" w:eastAsia="仿宋_GB2312"/>
          <w:sz w:val="32"/>
          <w:szCs w:val="32"/>
          <w:lang w:eastAsia="zh-CN"/>
        </w:rPr>
        <w:t>四川省委原书记一行赴金调研</w:t>
      </w:r>
      <w:r>
        <w:rPr>
          <w:rFonts w:hint="eastAsia" w:ascii="仿宋_GB2312" w:eastAsia="仿宋_GB2312"/>
          <w:sz w:val="32"/>
          <w:szCs w:val="32"/>
          <w:lang w:val="en-US" w:eastAsia="zh-CN"/>
        </w:rPr>
        <w:t>4375</w:t>
      </w:r>
      <w:r>
        <w:rPr>
          <w:rFonts w:hint="eastAsia" w:ascii="仿宋_GB2312" w:eastAsia="仿宋_GB2312"/>
          <w:sz w:val="32"/>
          <w:szCs w:val="32"/>
        </w:rPr>
        <w:t>元</w:t>
      </w:r>
      <w:r>
        <w:rPr>
          <w:rFonts w:hint="eastAsia" w:ascii="仿宋_GB2312" w:eastAsia="仿宋_GB2312"/>
          <w:sz w:val="32"/>
          <w:szCs w:val="32"/>
          <w:lang w:eastAsia="zh-CN"/>
        </w:rPr>
        <w:t>；</w:t>
      </w:r>
      <w:bookmarkStart w:id="57" w:name="OLE_LINK22"/>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日接待</w:t>
      </w:r>
      <w:r>
        <w:rPr>
          <w:rFonts w:hint="eastAsia" w:ascii="仿宋_GB2312" w:eastAsia="仿宋_GB2312"/>
          <w:sz w:val="32"/>
          <w:szCs w:val="32"/>
          <w:lang w:eastAsia="zh-CN"/>
        </w:rPr>
        <w:t>省委组织部机关党委书记一行赴金调研</w:t>
      </w:r>
      <w:r>
        <w:rPr>
          <w:rFonts w:hint="eastAsia" w:ascii="仿宋_GB2312" w:eastAsia="仿宋_GB2312"/>
          <w:sz w:val="32"/>
          <w:szCs w:val="32"/>
          <w:lang w:val="en-US" w:eastAsia="zh-CN"/>
        </w:rPr>
        <w:t>5790</w:t>
      </w:r>
      <w:r>
        <w:rPr>
          <w:rFonts w:hint="eastAsia" w:ascii="仿宋_GB2312" w:eastAsia="仿宋_GB2312"/>
          <w:sz w:val="32"/>
          <w:szCs w:val="32"/>
        </w:rPr>
        <w:t>元</w:t>
      </w:r>
      <w:r>
        <w:rPr>
          <w:rFonts w:hint="eastAsia" w:ascii="仿宋_GB2312" w:eastAsia="仿宋_GB2312"/>
          <w:sz w:val="32"/>
          <w:szCs w:val="32"/>
          <w:lang w:eastAsia="zh-CN"/>
        </w:rPr>
        <w:t>；</w:t>
      </w:r>
      <w:bookmarkEnd w:id="57"/>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日接待</w:t>
      </w:r>
      <w:r>
        <w:rPr>
          <w:rFonts w:hint="eastAsia" w:ascii="仿宋_GB2312" w:eastAsia="仿宋_GB2312"/>
          <w:sz w:val="32"/>
          <w:szCs w:val="32"/>
          <w:lang w:eastAsia="zh-CN"/>
        </w:rPr>
        <w:t>省级节约型公共机构示范单位创建组来金开展实地评价</w:t>
      </w:r>
      <w:r>
        <w:rPr>
          <w:rFonts w:hint="eastAsia" w:ascii="仿宋_GB2312" w:eastAsia="仿宋_GB2312"/>
          <w:sz w:val="32"/>
          <w:szCs w:val="32"/>
          <w:lang w:val="en-US" w:eastAsia="zh-CN"/>
        </w:rPr>
        <w:t>5900</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日接待</w:t>
      </w:r>
      <w:r>
        <w:rPr>
          <w:rFonts w:hint="eastAsia" w:ascii="仿宋_GB2312" w:eastAsia="仿宋_GB2312"/>
          <w:sz w:val="32"/>
          <w:szCs w:val="32"/>
          <w:lang w:eastAsia="zh-CN"/>
        </w:rPr>
        <w:t>成都大运会期间保安全防灾害第十综合督导组赴金督导</w:t>
      </w:r>
      <w:r>
        <w:rPr>
          <w:rFonts w:hint="eastAsia" w:ascii="仿宋_GB2312" w:eastAsia="仿宋_GB2312"/>
          <w:sz w:val="32"/>
          <w:szCs w:val="32"/>
          <w:lang w:val="en-US" w:eastAsia="zh-CN"/>
        </w:rPr>
        <w:t>3950</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日接待</w:t>
      </w:r>
      <w:r>
        <w:rPr>
          <w:rFonts w:hint="eastAsia" w:ascii="仿宋_GB2312" w:eastAsia="仿宋_GB2312"/>
          <w:sz w:val="32"/>
          <w:szCs w:val="32"/>
          <w:lang w:eastAsia="zh-CN"/>
        </w:rPr>
        <w:t>四川锦弘集团来金座谈</w:t>
      </w:r>
      <w:r>
        <w:rPr>
          <w:rFonts w:hint="eastAsia" w:ascii="仿宋_GB2312" w:eastAsia="仿宋_GB2312"/>
          <w:sz w:val="32"/>
          <w:szCs w:val="32"/>
          <w:lang w:val="en-US" w:eastAsia="zh-CN"/>
        </w:rPr>
        <w:t>8000</w:t>
      </w:r>
      <w:r>
        <w:rPr>
          <w:rFonts w:hint="eastAsia" w:ascii="仿宋_GB2312" w:eastAsia="仿宋_GB2312"/>
          <w:sz w:val="32"/>
          <w:szCs w:val="32"/>
        </w:rPr>
        <w:t>元</w:t>
      </w:r>
      <w:r>
        <w:rPr>
          <w:rFonts w:hint="eastAsia" w:ascii="仿宋_GB2312" w:eastAsia="仿宋_GB2312"/>
          <w:sz w:val="32"/>
          <w:szCs w:val="32"/>
          <w:lang w:eastAsia="zh-CN"/>
        </w:rPr>
        <w:t>；</w:t>
      </w:r>
      <w:bookmarkStart w:id="58" w:name="OLE_LINK23"/>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日接待</w:t>
      </w:r>
      <w:r>
        <w:rPr>
          <w:rFonts w:hint="eastAsia" w:ascii="仿宋_GB2312" w:eastAsia="仿宋_GB2312"/>
          <w:sz w:val="32"/>
          <w:szCs w:val="32"/>
          <w:lang w:eastAsia="zh-CN"/>
        </w:rPr>
        <w:t>美姑县常委、县委副书记一行赴金考察</w:t>
      </w:r>
      <w:r>
        <w:rPr>
          <w:rFonts w:hint="eastAsia" w:ascii="仿宋_GB2312" w:eastAsia="仿宋_GB2312"/>
          <w:sz w:val="32"/>
          <w:szCs w:val="32"/>
          <w:lang w:val="en-US" w:eastAsia="zh-CN"/>
        </w:rPr>
        <w:t>9868</w:t>
      </w:r>
      <w:r>
        <w:rPr>
          <w:rFonts w:hint="eastAsia" w:ascii="仿宋_GB2312" w:eastAsia="仿宋_GB2312"/>
          <w:sz w:val="32"/>
          <w:szCs w:val="32"/>
        </w:rPr>
        <w:t>元</w:t>
      </w:r>
      <w:r>
        <w:rPr>
          <w:rFonts w:hint="eastAsia" w:ascii="仿宋_GB2312" w:eastAsia="仿宋_GB2312"/>
          <w:sz w:val="32"/>
          <w:szCs w:val="32"/>
          <w:lang w:eastAsia="zh-CN"/>
        </w:rPr>
        <w:t>；</w:t>
      </w:r>
      <w:bookmarkEnd w:id="58"/>
      <w:bookmarkStart w:id="59" w:name="OLE_LINK24"/>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日接待</w:t>
      </w:r>
      <w:r>
        <w:rPr>
          <w:rFonts w:hint="eastAsia" w:ascii="仿宋_GB2312" w:eastAsia="仿宋_GB2312"/>
          <w:sz w:val="32"/>
          <w:szCs w:val="32"/>
          <w:lang w:eastAsia="zh-CN"/>
        </w:rPr>
        <w:t>省交通运输厅一行到金调研定点帮扶和交通安全工作</w:t>
      </w:r>
      <w:r>
        <w:rPr>
          <w:rFonts w:hint="eastAsia" w:ascii="仿宋_GB2312" w:eastAsia="仿宋_GB2312"/>
          <w:sz w:val="32"/>
          <w:szCs w:val="32"/>
          <w:lang w:val="en-US" w:eastAsia="zh-CN"/>
        </w:rPr>
        <w:t>4440</w:t>
      </w:r>
      <w:r>
        <w:rPr>
          <w:rFonts w:hint="eastAsia" w:ascii="仿宋_GB2312" w:eastAsia="仿宋_GB2312"/>
          <w:sz w:val="32"/>
          <w:szCs w:val="32"/>
        </w:rPr>
        <w:t>元</w:t>
      </w:r>
      <w:r>
        <w:rPr>
          <w:rFonts w:hint="eastAsia" w:ascii="仿宋_GB2312" w:eastAsia="仿宋_GB2312"/>
          <w:sz w:val="32"/>
          <w:szCs w:val="32"/>
          <w:lang w:eastAsia="zh-CN"/>
        </w:rPr>
        <w:t>；</w:t>
      </w:r>
      <w:bookmarkEnd w:id="59"/>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日接待</w:t>
      </w:r>
      <w:r>
        <w:rPr>
          <w:rFonts w:hint="eastAsia" w:ascii="仿宋_GB2312" w:eastAsia="仿宋_GB2312"/>
          <w:sz w:val="32"/>
          <w:szCs w:val="32"/>
          <w:lang w:eastAsia="zh-CN"/>
        </w:rPr>
        <w:t>省委第二巡回督导组组长一行到金开展主题教育工作巡回督导</w:t>
      </w:r>
      <w:r>
        <w:rPr>
          <w:rFonts w:hint="eastAsia" w:ascii="仿宋_GB2312" w:eastAsia="仿宋_GB2312"/>
          <w:sz w:val="32"/>
          <w:szCs w:val="32"/>
          <w:lang w:val="en-US" w:eastAsia="zh-CN"/>
        </w:rPr>
        <w:t>7860</w:t>
      </w:r>
      <w:r>
        <w:rPr>
          <w:rFonts w:hint="eastAsia" w:ascii="仿宋_GB2312" w:eastAsia="仿宋_GB2312"/>
          <w:sz w:val="32"/>
          <w:szCs w:val="32"/>
        </w:rPr>
        <w:t>元</w:t>
      </w:r>
      <w:r>
        <w:rPr>
          <w:rFonts w:hint="eastAsia" w:ascii="仿宋_GB2312" w:eastAsia="仿宋_GB2312"/>
          <w:sz w:val="32"/>
          <w:szCs w:val="32"/>
          <w:lang w:eastAsia="zh-CN"/>
        </w:rPr>
        <w:t>。</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万元，主要用于接待：无。外事接待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30"/>
          <w:rFonts w:ascii="黑体" w:hAnsi="黑体" w:eastAsia="黑体"/>
        </w:rPr>
      </w:pPr>
      <w:r>
        <w:rPr>
          <w:rFonts w:hint="eastAsia" w:ascii="黑体" w:eastAsia="黑体"/>
          <w:sz w:val="32"/>
          <w:szCs w:val="32"/>
        </w:rPr>
        <w:t>八、</w:t>
      </w:r>
      <w:r>
        <w:rPr>
          <w:rStyle w:val="30"/>
          <w:rFonts w:hint="eastAsia" w:ascii="黑体" w:hAnsi="黑体" w:eastAsia="黑体"/>
          <w:b w:val="0"/>
        </w:rPr>
        <w:t>政府性基金预算支出决算情况说明</w:t>
      </w:r>
      <w:bookmarkEnd w:id="49"/>
      <w:bookmarkEnd w:id="50"/>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4"/>
        </w:numPr>
        <w:spacing w:line="600" w:lineRule="exact"/>
        <w:ind w:firstLine="640"/>
        <w:outlineLvl w:val="1"/>
        <w:rPr>
          <w:rStyle w:val="30"/>
          <w:rFonts w:ascii="黑体" w:hAnsi="黑体" w:eastAsia="黑体"/>
          <w:b w:val="0"/>
        </w:rPr>
      </w:pPr>
      <w:bookmarkStart w:id="60" w:name="_Toc15377219"/>
      <w:bookmarkStart w:id="61" w:name="_Toc15396611"/>
      <w:r>
        <w:rPr>
          <w:rStyle w:val="30"/>
          <w:rFonts w:hint="eastAsia" w:ascii="黑体" w:hAnsi="黑体" w:eastAsia="黑体"/>
          <w:b w:val="0"/>
        </w:rPr>
        <w:t>国有资本经营预算支出决算情况说明</w:t>
      </w:r>
      <w:bookmarkEnd w:id="60"/>
      <w:bookmarkEnd w:id="61"/>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4"/>
        </w:numPr>
        <w:spacing w:line="600" w:lineRule="exact"/>
        <w:ind w:firstLine="640"/>
        <w:outlineLvl w:val="1"/>
        <w:rPr>
          <w:rStyle w:val="30"/>
          <w:rFonts w:ascii="黑体" w:hAnsi="黑体" w:eastAsia="黑体"/>
          <w:b w:val="0"/>
        </w:rPr>
      </w:pPr>
      <w:bookmarkStart w:id="62" w:name="_Toc15377221"/>
      <w:bookmarkStart w:id="63" w:name="_Toc15396612"/>
      <w:r>
        <w:rPr>
          <w:rStyle w:val="30"/>
          <w:rFonts w:hint="eastAsia" w:ascii="黑体" w:hAnsi="黑体" w:eastAsia="黑体"/>
          <w:b w:val="0"/>
        </w:rPr>
        <w:t>其他重要事项的情况说明</w:t>
      </w:r>
      <w:bookmarkEnd w:id="62"/>
      <w:bookmarkEnd w:id="63"/>
    </w:p>
    <w:p>
      <w:pPr>
        <w:spacing w:line="600" w:lineRule="exact"/>
        <w:ind w:firstLine="643" w:firstLineChars="200"/>
        <w:outlineLvl w:val="2"/>
        <w:rPr>
          <w:rFonts w:ascii="仿宋" w:hAnsi="仿宋" w:eastAsia="仿宋"/>
          <w:sz w:val="32"/>
          <w:szCs w:val="32"/>
        </w:rPr>
      </w:pPr>
      <w:bookmarkStart w:id="64" w:name="_Toc15377222"/>
      <w:r>
        <w:rPr>
          <w:rFonts w:hint="eastAsia" w:ascii="仿宋" w:hAnsi="仿宋" w:eastAsia="仿宋"/>
          <w:b/>
          <w:sz w:val="32"/>
          <w:szCs w:val="32"/>
        </w:rPr>
        <w:t>（一）机关运行经费支出情况</w:t>
      </w:r>
      <w:bookmarkEnd w:id="64"/>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乐山市金口河区机关事务服务中心</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r>
        <w:rPr>
          <w:rFonts w:hint="eastAsia" w:ascii="仿宋" w:hAnsi="仿宋" w:eastAsia="仿宋"/>
          <w:sz w:val="32"/>
          <w:szCs w:val="32"/>
          <w:lang w:eastAsia="zh-CN"/>
        </w:rPr>
        <w:t>无法</w:t>
      </w:r>
      <w:r>
        <w:rPr>
          <w:rFonts w:hint="eastAsia" w:ascii="仿宋" w:hAnsi="仿宋" w:eastAsia="仿宋"/>
          <w:sz w:val="32"/>
          <w:szCs w:val="32"/>
        </w:rPr>
        <w:t>与2022年</w:t>
      </w:r>
      <w:r>
        <w:rPr>
          <w:rFonts w:hint="eastAsia" w:ascii="仿宋" w:hAnsi="仿宋" w:eastAsia="仿宋"/>
          <w:sz w:val="32"/>
          <w:szCs w:val="32"/>
          <w:lang w:val="en-US" w:eastAsia="zh-CN"/>
        </w:rPr>
        <w:t>度机关运行经费数据相比，主要原因是2022年区机关事务中心与区委办共用一个账套未独立核算，无法取得决算数据</w:t>
      </w:r>
      <w:r>
        <w:rPr>
          <w:rFonts w:hint="eastAsia" w:ascii="仿宋" w:hAnsi="仿宋" w:eastAsia="仿宋"/>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3"/>
      <w:r>
        <w:rPr>
          <w:rFonts w:hint="eastAsia" w:ascii="仿宋" w:hAnsi="仿宋" w:eastAsia="仿宋"/>
          <w:b/>
          <w:sz w:val="32"/>
          <w:szCs w:val="32"/>
        </w:rPr>
        <w:t>（二）政府采购支出情况</w:t>
      </w:r>
      <w:bookmarkEnd w:id="65"/>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乐山市金口河区机关事务服务中心</w:t>
      </w:r>
      <w:r>
        <w:rPr>
          <w:rFonts w:hint="eastAsia" w:ascii="仿宋_GB2312" w:eastAsia="仿宋_GB2312"/>
          <w:sz w:val="32"/>
          <w:szCs w:val="32"/>
        </w:rPr>
        <w:t>政府采购支出总额</w:t>
      </w:r>
      <w:r>
        <w:rPr>
          <w:rFonts w:ascii="仿宋" w:hAnsi="仿宋" w:eastAsia="仿宋"/>
          <w:b/>
          <w:sz w:val="32"/>
          <w:szCs w:val="32"/>
        </w:rPr>
        <w:t>48.86</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48.86</w:t>
      </w:r>
      <w:r>
        <w:rPr>
          <w:rFonts w:hint="eastAsia" w:ascii="仿宋_GB2312" w:eastAsia="仿宋_GB2312"/>
          <w:sz w:val="32"/>
          <w:szCs w:val="32"/>
        </w:rPr>
        <w:t>万元。主要用于政府食堂劳务服务采购。授予中小企业合同金额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4"/>
      <w:r>
        <w:rPr>
          <w:rFonts w:hint="eastAsia" w:ascii="仿宋" w:hAnsi="仿宋" w:eastAsia="仿宋"/>
          <w:b/>
          <w:sz w:val="32"/>
          <w:szCs w:val="32"/>
        </w:rPr>
        <w:t>（三）国有资产占有使用情况</w:t>
      </w:r>
      <w:bookmarkEnd w:id="66"/>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sz w:val="32"/>
          <w:szCs w:val="32"/>
        </w:rPr>
        <w:t>乐山市金口河区机关事务服务中心</w:t>
      </w:r>
      <w:r>
        <w:rPr>
          <w:rFonts w:hint="eastAsia" w:ascii="仿宋_GB2312" w:eastAsia="仿宋_GB2312"/>
          <w:sz w:val="32"/>
          <w:szCs w:val="32"/>
        </w:rPr>
        <w:t>共有车辆0辆，其中：主要领导干部用车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辆，其他用车主要是用于</w:t>
      </w:r>
      <w:r>
        <w:rPr>
          <w:rFonts w:hint="eastAsia" w:ascii="仿宋_GB2312" w:eastAsia="仿宋_GB2312"/>
          <w:sz w:val="32"/>
          <w:szCs w:val="32"/>
          <w:lang w:eastAsia="zh-CN"/>
        </w:rPr>
        <w:t>：无</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根据预算绩效管理要求，本部门在2023年度预算编制阶段，组织对</w:t>
      </w:r>
      <w:bookmarkStart w:id="67" w:name="OLE_LINK2"/>
      <w:r>
        <w:rPr>
          <w:rFonts w:hint="eastAsia" w:ascii="仿宋_GB2312" w:eastAsia="仿宋_GB2312"/>
          <w:sz w:val="32"/>
          <w:szCs w:val="32"/>
          <w:lang w:eastAsia="zh-CN"/>
        </w:rPr>
        <w:t>日常运转维修经费</w:t>
      </w:r>
      <w:bookmarkEnd w:id="67"/>
      <w:r>
        <w:rPr>
          <w:rFonts w:hint="eastAsia" w:ascii="仿宋_GB2312" w:eastAsia="仿宋_GB2312"/>
          <w:sz w:val="32"/>
          <w:szCs w:val="32"/>
          <w:lang w:val="en-US" w:eastAsia="zh-CN"/>
        </w:rPr>
        <w:t>1</w:t>
      </w:r>
      <w:r>
        <w:rPr>
          <w:rFonts w:hint="eastAsia" w:ascii="仿宋_GB2312" w:eastAsia="仿宋_GB2312"/>
          <w:sz w:val="32"/>
          <w:szCs w:val="32"/>
          <w:lang w:eastAsia="zh-CN"/>
        </w:rPr>
        <w:t>个项目编制了绩效目标，预算执行过程中，选取</w:t>
      </w:r>
      <w:r>
        <w:rPr>
          <w:rFonts w:hint="eastAsia" w:ascii="仿宋_GB2312" w:eastAsia="仿宋_GB2312"/>
          <w:sz w:val="32"/>
          <w:szCs w:val="32"/>
          <w:lang w:val="en-US" w:eastAsia="zh-CN"/>
        </w:rPr>
        <w:t>1</w:t>
      </w:r>
      <w:r>
        <w:rPr>
          <w:rFonts w:hint="eastAsia" w:ascii="仿宋_GB2312" w:hAnsi="仿宋_GB2312" w:eastAsia="仿宋_GB2312" w:cs="仿宋_GB2312"/>
          <w:sz w:val="32"/>
          <w:szCs w:val="32"/>
        </w:rPr>
        <w:t>个项目开展绩效监控。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组织对2023年度一般公共预算、政府性基金预算、国有资本经营预算、社会保险基金预算以及资本资产、债券资金等全面开展绩效自评，形成</w:t>
      </w:r>
      <w:bookmarkStart w:id="68" w:name="OLE_LINK14"/>
      <w:r>
        <w:rPr>
          <w:rFonts w:hint="eastAsia" w:ascii="仿宋_GB2312" w:hAnsi="仿宋_GB2312" w:eastAsia="仿宋_GB2312" w:cs="仿宋_GB2312"/>
          <w:sz w:val="32"/>
          <w:szCs w:val="32"/>
          <w:lang w:eastAsia="zh-CN"/>
        </w:rPr>
        <w:t>乐山市金口河区机关事务服务中心</w:t>
      </w:r>
      <w:bookmarkEnd w:id="68"/>
      <w:r>
        <w:rPr>
          <w:rFonts w:hint="eastAsia" w:ascii="仿宋_GB2312" w:hAnsi="仿宋_GB2312" w:eastAsia="仿宋_GB2312" w:cs="仿宋_GB2312"/>
          <w:sz w:val="32"/>
          <w:szCs w:val="32"/>
        </w:rPr>
        <w:t>部门整体（含部门预算项目）绩效自评报告、</w:t>
      </w:r>
      <w:bookmarkStart w:id="69" w:name="OLE_LINK15"/>
      <w:r>
        <w:rPr>
          <w:rFonts w:hint="eastAsia" w:ascii="仿宋_GB2312" w:eastAsia="仿宋_GB2312"/>
          <w:sz w:val="32"/>
          <w:szCs w:val="32"/>
          <w:lang w:eastAsia="zh-CN"/>
        </w:rPr>
        <w:t>日常运转维修经费</w:t>
      </w:r>
      <w:bookmarkEnd w:id="69"/>
      <w:r>
        <w:rPr>
          <w:rFonts w:hint="eastAsia" w:ascii="仿宋_GB2312" w:hAnsi="仿宋_GB2312" w:eastAsia="仿宋_GB2312" w:cs="仿宋_GB2312"/>
          <w:sz w:val="32"/>
          <w:szCs w:val="32"/>
        </w:rPr>
        <w:t>专项预算项目绩效自评报告，其中，</w:t>
      </w:r>
      <w:r>
        <w:rPr>
          <w:rFonts w:hint="eastAsia" w:ascii="仿宋_GB2312" w:hAnsi="仿宋_GB2312" w:eastAsia="仿宋_GB2312" w:cs="仿宋_GB2312"/>
          <w:sz w:val="32"/>
          <w:szCs w:val="32"/>
          <w:lang w:eastAsia="zh-CN"/>
        </w:rPr>
        <w:t>乐山市金口河区机关事务服务中心</w:t>
      </w:r>
      <w:r>
        <w:rPr>
          <w:rFonts w:hint="eastAsia" w:ascii="仿宋_GB2312" w:hAnsi="仿宋_GB2312" w:eastAsia="仿宋_GB2312" w:cs="仿宋_GB2312"/>
          <w:sz w:val="32"/>
          <w:szCs w:val="32"/>
        </w:rPr>
        <w:t>部门整体（含部门预算项目）绩效自评得分为</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分，绩效自评综述：</w:t>
      </w:r>
      <w:r>
        <w:rPr>
          <w:rFonts w:hint="eastAsia" w:ascii="仿宋_GB2312" w:hAnsi="仿宋_GB2312" w:eastAsia="仿宋_GB2312" w:cs="仿宋_GB2312"/>
          <w:sz w:val="32"/>
          <w:szCs w:val="32"/>
          <w:lang w:eastAsia="zh-CN"/>
        </w:rPr>
        <w:t>区</w:t>
      </w:r>
      <w:r>
        <w:rPr>
          <w:rFonts w:hint="eastAsia" w:ascii="仿宋_GB2312" w:hAnsi="Calibri" w:eastAsia="仿宋_GB2312"/>
          <w:sz w:val="32"/>
          <w:szCs w:val="21"/>
          <w:lang w:val="zh-CN"/>
        </w:rPr>
        <w:t>机关事务中心</w:t>
      </w:r>
      <w:r>
        <w:rPr>
          <w:rFonts w:hint="eastAsia" w:ascii="仿宋_GB2312" w:hAnsi="Calibri" w:eastAsia="仿宋_GB2312"/>
          <w:sz w:val="32"/>
          <w:szCs w:val="21"/>
        </w:rPr>
        <w:t>202</w:t>
      </w:r>
      <w:r>
        <w:rPr>
          <w:rFonts w:hint="eastAsia" w:ascii="仿宋_GB2312" w:hAnsi="Calibri" w:eastAsia="仿宋_GB2312"/>
          <w:sz w:val="32"/>
          <w:szCs w:val="21"/>
          <w:lang w:val="en-US" w:eastAsia="zh-CN"/>
        </w:rPr>
        <w:t>3</w:t>
      </w:r>
      <w:r>
        <w:rPr>
          <w:rFonts w:hint="eastAsia" w:ascii="仿宋_GB2312" w:hAnsi="Calibri" w:eastAsia="仿宋_GB2312"/>
          <w:sz w:val="32"/>
          <w:szCs w:val="21"/>
          <w:lang w:val="zh-CN"/>
        </w:rPr>
        <w:t>年的部门整体支出做到了使用规范、程序透明、达到预期绩效目标确保了机关的正常运行，财务管理健全规范，没有发生违法违规现象，保证了目标任务的圆满完成。</w:t>
      </w:r>
      <w:r>
        <w:rPr>
          <w:rFonts w:hint="eastAsia" w:ascii="仿宋_GB2312" w:eastAsia="仿宋_GB2312"/>
          <w:sz w:val="32"/>
          <w:szCs w:val="32"/>
          <w:lang w:eastAsia="zh-CN"/>
        </w:rPr>
        <w:t>日常运转维修经费</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94.6</w:t>
      </w:r>
      <w:r>
        <w:rPr>
          <w:rFonts w:hint="eastAsia" w:ascii="仿宋_GB2312" w:hAnsi="仿宋_GB2312" w:eastAsia="仿宋_GB2312" w:cs="仿宋_GB2312"/>
          <w:sz w:val="32"/>
          <w:szCs w:val="32"/>
        </w:rPr>
        <w:t>分，绩效自评综述：保障了全区办公用房、固定资产、公车运行、公务接待、公共机构节能等各项工作顺利开展。绩效自评报告详见附件。</w:t>
      </w:r>
    </w:p>
    <w:p>
      <w:pPr>
        <w:pStyle w:val="3"/>
        <w:spacing w:before="0" w:after="0" w:line="240" w:lineRule="auto"/>
        <w:jc w:val="both"/>
        <w:rPr>
          <w:rFonts w:hint="eastAsia"/>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6"/>
      </w:pPr>
    </w:p>
    <w:p>
      <w:pPr>
        <w:pStyle w:val="6"/>
      </w:pPr>
    </w:p>
    <w:p>
      <w:pPr>
        <w:pStyle w:val="3"/>
        <w:spacing w:before="0" w:after="0" w:line="240" w:lineRule="auto"/>
        <w:jc w:val="center"/>
      </w:pPr>
      <w:r>
        <w:rPr>
          <w:rFonts w:hint="eastAsia"/>
        </w:rPr>
        <w:t>第三部分 名词解释</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其他收入：指单位取得的除上述收入以外的各项收入。主要是银行利息等。</w:t>
      </w:r>
      <w:r>
        <w:rPr>
          <w:rFonts w:ascii="仿宋_GB2312" w:eastAsia="仿宋_GB2312"/>
          <w:color w:val="auto"/>
          <w:sz w:val="32"/>
          <w:szCs w:val="32"/>
        </w:rPr>
        <w:t xml:space="preserve"> </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hAnsi="Calibri" w:eastAsia="仿宋_GB2312" w:cs="仿宋"/>
          <w:kern w:val="0"/>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hAnsi="Calibri" w:eastAsia="仿宋_GB2312" w:cs="仿宋"/>
          <w:kern w:val="0"/>
          <w:sz w:val="32"/>
          <w:szCs w:val="32"/>
        </w:rPr>
        <w:t>一般公共服务（类）党委办公厅（室）及相关机构事务（款）机关服务（项）：指为行政单位提供后勤服务的各类后勤服务中心、医务室等附属事业单位的支出。其他事业单位的支出，凡单独设置了项级科目的，在单独设置的项级科目中反映。未单设项级科目的，在“其他”项级科目中反映。</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6.</w:t>
      </w:r>
      <w:r>
        <w:rPr>
          <w:rFonts w:hint="eastAsia" w:ascii="仿宋_GB2312" w:hAnsi="Calibri" w:eastAsia="仿宋_GB2312" w:cs="仿宋"/>
          <w:kern w:val="0"/>
          <w:sz w:val="32"/>
          <w:szCs w:val="32"/>
        </w:rPr>
        <w:t>一般公共服务（类）党委办公厅（室）及相关机构事务（款）事业运行（项）：指事业单位的基本支出，不包括行政单位(包括实行公务员管理的事业单位)后勤服务中心、医务室等附属事业单位。</w:t>
      </w:r>
    </w:p>
    <w:p>
      <w:pPr>
        <w:pStyle w:val="6"/>
        <w:spacing w:before="93"/>
        <w:ind w:firstLine="640" w:firstLineChars="200"/>
        <w:rPr>
          <w:sz w:val="32"/>
          <w:szCs w:val="32"/>
        </w:rPr>
      </w:pPr>
      <w:r>
        <w:rPr>
          <w:rFonts w:hint="eastAsia" w:hAnsi="Calibri" w:cs="仿宋"/>
          <w:sz w:val="32"/>
          <w:szCs w:val="32"/>
          <w:lang w:val="en-US" w:eastAsia="zh-CN"/>
        </w:rPr>
        <w:t>7.</w:t>
      </w:r>
      <w:r>
        <w:rPr>
          <w:rFonts w:hint="eastAsia" w:hAnsi="Calibri" w:cs="仿宋"/>
          <w:sz w:val="32"/>
          <w:szCs w:val="32"/>
        </w:rPr>
        <w:t>一般公共服务（类）党委办公厅（室）及相关机构事务（款）其他党委办公厅（室）及相关机构事务支出（项）:指其他用于党委办公厅（室）及相关机构事务支出。</w:t>
      </w:r>
    </w:p>
    <w:p>
      <w:pPr>
        <w:ind w:firstLine="640" w:firstLineChars="200"/>
        <w:rPr>
          <w:rFonts w:ascii="仿宋_GB2312" w:eastAsia="仿宋_GB2312"/>
          <w:sz w:val="32"/>
          <w:szCs w:val="32"/>
        </w:rPr>
      </w:pPr>
    </w:p>
    <w:p>
      <w:pPr>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社会保障和就业（类）</w:t>
      </w:r>
      <w:r>
        <w:rPr>
          <w:rFonts w:hint="eastAsia" w:ascii="仿宋_GB2312" w:eastAsia="仿宋_GB2312"/>
          <w:color w:val="000000"/>
          <w:sz w:val="32"/>
          <w:szCs w:val="32"/>
        </w:rPr>
        <w:t>行政事业单位养老支出（款）机关事业单位基本养老保险缴费（项）：指机关事业单位实施养老保险制度由单位缴纳的基本养老保险费支出。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社会保障和就业（类）行政事业单位养老支出（款）机关事业单位职业年金缴费（项）：指机关事业单位实施养老保险制度由单位实际缴纳的职业年金支出。</w:t>
      </w:r>
    </w:p>
    <w:p>
      <w:pPr>
        <w:ind w:firstLine="640" w:firstLineChars="200"/>
        <w:rPr>
          <w:rFonts w:hint="eastAsia" w:eastAsia="仿宋_GB2312"/>
          <w:lang w:eastAsia="zh-CN"/>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残疾人事业</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残疾人就业</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指残疾人联合会用于残疾人就业方面的支出。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社会保障和就业（类）其他社会保障和就业支出（款）其他社会保障和就业支出（项）: 指其他用于社会保障和就业方面的支出。</w:t>
      </w:r>
    </w:p>
    <w:p>
      <w:pPr>
        <w:numPr>
          <w:ilvl w:val="0"/>
          <w:numId w:val="0"/>
        </w:num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医疗卫生与计划生育（类）行政事业单位医疗（款）事业单位医疗（项）: 指财政部门集中安排的事业单位基本医疗保险缴费经费，未参加医疗保险的事业单位的公费医疗经费，按国家规定享受离休人员待遇的医疗经费。</w:t>
      </w:r>
      <w:r>
        <w:rPr>
          <w:rFonts w:hint="eastAsia" w:ascii="仿宋_GB2312" w:eastAsia="仿宋_GB2312"/>
          <w:color w:val="000000"/>
          <w:sz w:val="32"/>
          <w:szCs w:val="32"/>
          <w:lang w:val="en-US" w:eastAsia="zh-CN"/>
        </w:rPr>
        <w:t xml:space="preserve">    </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医疗卫生与计划生育（类）行政事业单位医疗（款）</w:t>
      </w:r>
      <w:r>
        <w:rPr>
          <w:rFonts w:hint="eastAsia" w:ascii="仿宋_GB2312" w:eastAsia="仿宋_GB2312"/>
          <w:color w:val="000000"/>
          <w:sz w:val="32"/>
          <w:szCs w:val="32"/>
          <w:lang w:val="en-US" w:eastAsia="zh-CN"/>
        </w:rPr>
        <w:t>公务员医疗补助</w:t>
      </w:r>
      <w:r>
        <w:rPr>
          <w:rFonts w:hint="eastAsia" w:ascii="仿宋_GB2312" w:eastAsia="仿宋_GB2312"/>
          <w:color w:val="000000"/>
          <w:sz w:val="32"/>
          <w:szCs w:val="32"/>
        </w:rPr>
        <w:t>（项）: 指财政部门</w:t>
      </w:r>
      <w:r>
        <w:rPr>
          <w:rFonts w:hint="eastAsia" w:ascii="仿宋_GB2312" w:eastAsia="仿宋_GB2312"/>
          <w:color w:val="000000"/>
          <w:sz w:val="32"/>
          <w:szCs w:val="32"/>
          <w:lang w:eastAsia="zh-CN"/>
        </w:rPr>
        <w:t>安排的公务员医疗补助。</w:t>
      </w:r>
    </w:p>
    <w:p>
      <w:pPr>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住房保障（类）</w:t>
      </w:r>
      <w:r>
        <w:rPr>
          <w:rFonts w:hint="eastAsia" w:ascii="仿宋_GB2312" w:eastAsia="仿宋_GB2312"/>
          <w:color w:val="000000"/>
          <w:sz w:val="32"/>
          <w:szCs w:val="32"/>
        </w:rPr>
        <w:t>住房改革支出（款）住房公积金（项）: 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18</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bidi w:val="0"/>
        <w:rPr>
          <w:rFonts w:hint="eastAsia"/>
          <w:lang w:eastAsia="zh-CN"/>
        </w:rPr>
      </w:pPr>
    </w:p>
    <w:p>
      <w:pPr>
        <w:pStyle w:val="3"/>
        <w:jc w:val="both"/>
        <w:rPr>
          <w:rFonts w:hint="eastAsia" w:ascii="黑体" w:hAnsi="黑体" w:eastAsia="黑体"/>
          <w:b w:val="0"/>
          <w:sz w:val="32"/>
          <w:szCs w:val="32"/>
        </w:rPr>
      </w:pPr>
    </w:p>
    <w:p>
      <w:pPr>
        <w:rPr>
          <w:rFonts w:hint="eastAsia" w:ascii="黑体" w:hAnsi="黑体" w:eastAsia="黑体"/>
          <w:b w:val="0"/>
          <w:sz w:val="32"/>
          <w:szCs w:val="32"/>
        </w:rPr>
      </w:pPr>
    </w:p>
    <w:p>
      <w:pPr>
        <w:pStyle w:val="2"/>
        <w:rPr>
          <w:rFonts w:hint="eastAsia"/>
        </w:rPr>
      </w:pPr>
    </w:p>
    <w:p>
      <w:pPr>
        <w:rPr>
          <w:rFonts w:hint="eastAsia"/>
        </w:rPr>
      </w:pPr>
    </w:p>
    <w:p>
      <w:pPr>
        <w:pStyle w:val="3"/>
        <w:jc w:val="center"/>
        <w:rPr>
          <w:rFonts w:ascii="黑体" w:hAnsi="黑体" w:eastAsia="黑体"/>
          <w:b w:val="0"/>
        </w:rPr>
      </w:pPr>
      <w:r>
        <w:rPr>
          <w:rFonts w:hint="eastAsia" w:ascii="黑体" w:hAnsi="黑体" w:eastAsia="黑体"/>
          <w:b w:val="0"/>
        </w:rPr>
        <w:t>第四部分 附件</w:t>
      </w:r>
    </w:p>
    <w:p/>
    <w:p>
      <w:pPr>
        <w:rPr>
          <w:rFonts w:ascii="黑体" w:hAnsi="黑体" w:eastAsia="黑体"/>
          <w:sz w:val="32"/>
          <w:szCs w:val="32"/>
        </w:rPr>
      </w:pPr>
      <w:r>
        <w:rPr>
          <w:rFonts w:hint="eastAsia" w:ascii="黑体" w:hAnsi="黑体" w:eastAsia="黑体"/>
          <w:sz w:val="32"/>
          <w:szCs w:val="32"/>
        </w:rPr>
        <w:t>附件1</w:t>
      </w:r>
    </w:p>
    <w:p>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lang w:eastAsia="zh-CN"/>
        </w:rPr>
        <w:t>区机关事务中心</w:t>
      </w:r>
      <w:r>
        <w:rPr>
          <w:rFonts w:hint="eastAsia" w:ascii="方正小标宋简体" w:hAnsi="方正小标宋简体" w:eastAsia="方正小标宋简体"/>
          <w:sz w:val="44"/>
          <w:szCs w:val="44"/>
        </w:rPr>
        <w:t>部门预算绩效评价报告</w:t>
      </w:r>
    </w:p>
    <w:p>
      <w:pPr>
        <w:jc w:val="center"/>
        <w:rPr>
          <w:rFonts w:ascii="仿宋_GB2312" w:eastAsia="仿宋_GB2312"/>
          <w:sz w:val="32"/>
          <w:szCs w:val="32"/>
        </w:rPr>
      </w:pPr>
      <w:r>
        <w:rPr>
          <w:rFonts w:hint="eastAsia" w:ascii="仿宋_GB2312" w:eastAsia="仿宋_GB2312"/>
          <w:sz w:val="32"/>
          <w:szCs w:val="32"/>
        </w:rPr>
        <w:t>（报告范围包括机关和下属单位）</w:t>
      </w:r>
    </w:p>
    <w:p/>
    <w:p>
      <w:pPr>
        <w:rPr>
          <w:rFonts w:ascii="黑体" w:hAnsi="黑体" w:eastAsia="黑体"/>
          <w:sz w:val="32"/>
          <w:szCs w:val="32"/>
        </w:rPr>
      </w:pPr>
      <w:r>
        <w:rPr>
          <w:rFonts w:hint="eastAsia" w:ascii="黑体" w:hAnsi="黑体" w:eastAsia="黑体"/>
          <w:sz w:val="32"/>
          <w:szCs w:val="32"/>
        </w:rPr>
        <w:t>一、部门（单位）基本情况</w:t>
      </w:r>
    </w:p>
    <w:p>
      <w:pPr>
        <w:widowControl/>
        <w:numPr>
          <w:ilvl w:val="0"/>
          <w:numId w:val="0"/>
        </w:numPr>
        <w:adjustRightInd w:val="0"/>
        <w:snapToGrid w:val="0"/>
        <w:spacing w:line="580" w:lineRule="exact"/>
        <w:ind w:firstLine="643" w:firstLineChars="200"/>
        <w:contextualSpacing/>
        <w:jc w:val="left"/>
        <w:rPr>
          <w:rFonts w:hint="eastAsia" w:ascii="仿宋_GB2312" w:hAnsi="仿宋" w:eastAsia="仿宋_GB2312"/>
          <w:kern w:val="2"/>
          <w:sz w:val="32"/>
          <w:szCs w:val="32"/>
          <w:lang w:val="zh-CN"/>
        </w:rPr>
      </w:pPr>
      <w:r>
        <w:rPr>
          <w:rFonts w:hint="eastAsia" w:ascii="楷体_GB2312" w:eastAsia="楷体_GB2312"/>
          <w:b/>
          <w:sz w:val="32"/>
          <w:szCs w:val="32"/>
        </w:rPr>
        <w:t>（一）机构组成。</w:t>
      </w:r>
      <w:r>
        <w:rPr>
          <w:rFonts w:hint="eastAsia" w:ascii="仿宋_GB2312" w:hAnsi="仿宋" w:eastAsia="仿宋_GB2312"/>
          <w:kern w:val="2"/>
          <w:sz w:val="32"/>
          <w:szCs w:val="32"/>
          <w:lang w:val="zh-CN" w:eastAsia="zh-CN"/>
        </w:rPr>
        <w:t>乐山市金口河区机关事务服务中心</w:t>
      </w:r>
      <w:r>
        <w:rPr>
          <w:rFonts w:hint="eastAsia" w:ascii="仿宋_GB2312" w:hAnsi="仿宋" w:eastAsia="仿宋_GB2312"/>
          <w:kern w:val="2"/>
          <w:sz w:val="32"/>
          <w:szCs w:val="32"/>
          <w:lang w:val="zh-CN"/>
        </w:rPr>
        <w:t>为</w:t>
      </w:r>
      <w:r>
        <w:rPr>
          <w:rFonts w:hint="eastAsia" w:ascii="仿宋_GB2312" w:hAnsi="仿宋" w:eastAsia="仿宋_GB2312"/>
          <w:kern w:val="2"/>
          <w:sz w:val="32"/>
          <w:szCs w:val="32"/>
          <w:lang w:val="zh-CN" w:eastAsia="zh-CN"/>
        </w:rPr>
        <w:t>区委直属公益一类事业单位</w:t>
      </w:r>
      <w:r>
        <w:rPr>
          <w:rFonts w:hint="eastAsia" w:ascii="仿宋_GB2312" w:hAnsi="仿宋" w:eastAsia="仿宋_GB2312"/>
          <w:kern w:val="2"/>
          <w:sz w:val="32"/>
          <w:szCs w:val="32"/>
          <w:lang w:val="zh-CN"/>
        </w:rPr>
        <w:t>，成立于</w:t>
      </w:r>
      <w:r>
        <w:rPr>
          <w:rFonts w:hint="eastAsia" w:ascii="仿宋_GB2312" w:hAnsi="仿宋" w:eastAsia="仿宋_GB2312"/>
          <w:kern w:val="2"/>
          <w:sz w:val="32"/>
          <w:szCs w:val="32"/>
          <w:lang w:val="en-US" w:eastAsia="zh-CN"/>
        </w:rPr>
        <w:t>2016</w:t>
      </w:r>
      <w:r>
        <w:rPr>
          <w:rFonts w:hint="eastAsia" w:ascii="仿宋_GB2312" w:hAnsi="仿宋" w:eastAsia="仿宋_GB2312"/>
          <w:kern w:val="2"/>
          <w:sz w:val="32"/>
          <w:szCs w:val="32"/>
          <w:lang w:val="zh-CN"/>
        </w:rPr>
        <w:t>年</w:t>
      </w:r>
      <w:r>
        <w:rPr>
          <w:rFonts w:hint="eastAsia" w:ascii="仿宋_GB2312" w:hAnsi="仿宋" w:eastAsia="仿宋_GB2312"/>
          <w:kern w:val="2"/>
          <w:sz w:val="32"/>
          <w:szCs w:val="32"/>
          <w:lang w:val="zh-CN" w:eastAsia="zh-CN"/>
        </w:rPr>
        <w:t>，</w:t>
      </w:r>
      <w:r>
        <w:rPr>
          <w:rFonts w:hint="eastAsia" w:ascii="仿宋_GB2312" w:hAnsi="仿宋" w:eastAsia="仿宋_GB2312"/>
          <w:kern w:val="2"/>
          <w:sz w:val="32"/>
          <w:szCs w:val="32"/>
          <w:lang w:val="zh-CN"/>
        </w:rPr>
        <w:t>当年无变动。</w:t>
      </w:r>
    </w:p>
    <w:p>
      <w:pPr>
        <w:widowControl/>
        <w:numPr>
          <w:ilvl w:val="0"/>
          <w:numId w:val="0"/>
        </w:numPr>
        <w:adjustRightInd w:val="0"/>
        <w:snapToGrid w:val="0"/>
        <w:spacing w:line="580" w:lineRule="exact"/>
        <w:ind w:firstLine="643" w:firstLineChars="200"/>
        <w:contextualSpacing/>
        <w:jc w:val="left"/>
        <w:rPr>
          <w:rFonts w:hint="eastAsia" w:ascii="仿宋_GB2312" w:hAnsi="仿宋" w:eastAsia="仿宋_GB2312"/>
          <w:sz w:val="32"/>
          <w:szCs w:val="32"/>
        </w:rPr>
      </w:pPr>
      <w:r>
        <w:rPr>
          <w:rFonts w:hint="eastAsia" w:ascii="楷体_GB2312" w:eastAsia="楷体_GB2312"/>
          <w:b/>
          <w:sz w:val="32"/>
          <w:szCs w:val="32"/>
        </w:rPr>
        <w:t>（二）机构职能。</w:t>
      </w:r>
      <w:r>
        <w:rPr>
          <w:rFonts w:hint="eastAsia" w:ascii="仿宋_GB2312" w:hAnsi="仿宋" w:eastAsia="仿宋_GB2312"/>
          <w:kern w:val="2"/>
          <w:sz w:val="32"/>
          <w:szCs w:val="32"/>
        </w:rPr>
        <w:t>负责全区</w:t>
      </w:r>
      <w:r>
        <w:rPr>
          <w:rFonts w:hint="eastAsia" w:ascii="仿宋_GB2312" w:hAnsi="仿宋" w:eastAsia="仿宋_GB2312" w:cs="Times New Roman"/>
          <w:kern w:val="2"/>
          <w:sz w:val="32"/>
          <w:szCs w:val="32"/>
        </w:rPr>
        <w:t>机关事务的管理、保障工作;负责全区行政事业单位国有资产管理，承担产权界定、清查登记、资产处置工作，负责制定行政事业单位国</w:t>
      </w:r>
      <w:r>
        <w:rPr>
          <w:rFonts w:hint="eastAsia" w:ascii="仿宋_GB2312" w:hAnsi="仿宋" w:eastAsia="仿宋_GB2312"/>
          <w:kern w:val="2"/>
          <w:sz w:val="32"/>
          <w:szCs w:val="32"/>
        </w:rPr>
        <w:t>有资产管理具体规章制度并组织实施;承担全区办公用房和办公区建设的规划编制、项目审核、建设监管、使用调配、维修审核及监督管理;负责全区公务车辆的处置、管理和公共机构节能等工作;负责区本级政务接待工作，并指导各乡镇、各部门的政务接待工作。</w:t>
      </w:r>
    </w:p>
    <w:p>
      <w:pPr>
        <w:snapToGrid w:val="0"/>
        <w:spacing w:line="520" w:lineRule="exact"/>
        <w:ind w:firstLine="643" w:firstLineChars="200"/>
        <w:rPr>
          <w:rFonts w:ascii="仿宋_GB2312" w:eastAsia="仿宋_GB2312"/>
          <w:sz w:val="32"/>
          <w:szCs w:val="32"/>
        </w:rPr>
      </w:pPr>
      <w:r>
        <w:rPr>
          <w:rFonts w:hint="eastAsia" w:ascii="楷体_GB2312" w:eastAsia="楷体_GB2312"/>
          <w:b/>
          <w:sz w:val="32"/>
          <w:szCs w:val="32"/>
        </w:rPr>
        <w:t>（三）人员概况。</w:t>
      </w:r>
      <w:r>
        <w:rPr>
          <w:rFonts w:hint="eastAsia" w:ascii="仿宋_GB2312" w:hAnsi="仿宋" w:eastAsia="仿宋_GB2312"/>
          <w:sz w:val="32"/>
          <w:szCs w:val="32"/>
        </w:rPr>
        <w:t>年末在编在职人员</w:t>
      </w:r>
      <w:r>
        <w:rPr>
          <w:rFonts w:hint="eastAsia" w:ascii="仿宋_GB2312" w:hAnsi="仿宋" w:eastAsia="仿宋_GB2312"/>
          <w:sz w:val="32"/>
          <w:szCs w:val="32"/>
          <w:lang w:val="en-US" w:eastAsia="zh-CN"/>
        </w:rPr>
        <w:t>7</w:t>
      </w:r>
      <w:r>
        <w:rPr>
          <w:rFonts w:hint="eastAsia" w:ascii="仿宋_GB2312" w:hAnsi="仿宋" w:eastAsia="仿宋_GB2312"/>
          <w:sz w:val="32"/>
          <w:szCs w:val="32"/>
        </w:rPr>
        <w:t>人，其中：行政人员</w:t>
      </w:r>
      <w:r>
        <w:rPr>
          <w:rFonts w:hint="eastAsia" w:ascii="仿宋_GB2312" w:hAnsi="仿宋" w:eastAsia="仿宋_GB2312"/>
          <w:sz w:val="32"/>
          <w:szCs w:val="32"/>
          <w:lang w:val="en-US" w:eastAsia="zh-CN"/>
        </w:rPr>
        <w:t>0</w:t>
      </w:r>
      <w:r>
        <w:rPr>
          <w:rFonts w:hint="eastAsia" w:ascii="仿宋_GB2312" w:hAnsi="仿宋" w:eastAsia="仿宋_GB2312"/>
          <w:sz w:val="32"/>
          <w:szCs w:val="32"/>
        </w:rPr>
        <w:t>人，参照公务员法管理事业人员</w:t>
      </w:r>
      <w:r>
        <w:rPr>
          <w:rFonts w:hint="eastAsia" w:ascii="仿宋_GB2312" w:hAnsi="仿宋" w:eastAsia="仿宋_GB2312"/>
          <w:sz w:val="32"/>
          <w:szCs w:val="32"/>
          <w:lang w:val="en-US" w:eastAsia="zh-CN"/>
        </w:rPr>
        <w:t>0</w:t>
      </w:r>
      <w:r>
        <w:rPr>
          <w:rFonts w:hint="eastAsia" w:ascii="仿宋_GB2312" w:hAnsi="仿宋" w:eastAsia="仿宋_GB2312"/>
          <w:sz w:val="32"/>
          <w:szCs w:val="32"/>
        </w:rPr>
        <w:t>人，</w:t>
      </w:r>
      <w:r>
        <w:rPr>
          <w:rFonts w:hint="eastAsia" w:ascii="仿宋_GB2312" w:hAnsi="仿宋" w:eastAsia="仿宋_GB2312"/>
          <w:sz w:val="32"/>
          <w:szCs w:val="32"/>
          <w:lang w:eastAsia="zh-CN"/>
        </w:rPr>
        <w:t>事业人员</w:t>
      </w:r>
      <w:r>
        <w:rPr>
          <w:rFonts w:hint="eastAsia" w:ascii="仿宋_GB2312" w:hAnsi="仿宋" w:eastAsia="仿宋_GB2312"/>
          <w:sz w:val="32"/>
          <w:szCs w:val="32"/>
          <w:lang w:val="en-US" w:eastAsia="zh-CN"/>
        </w:rPr>
        <w:t>7人，较上年无变化。</w:t>
      </w:r>
    </w:p>
    <w:p>
      <w:pPr>
        <w:rPr>
          <w:rFonts w:ascii="黑体" w:hAnsi="黑体" w:eastAsia="黑体"/>
          <w:sz w:val="32"/>
          <w:szCs w:val="32"/>
        </w:rPr>
      </w:pPr>
      <w:r>
        <w:rPr>
          <w:rFonts w:hint="eastAsia" w:ascii="黑体" w:hAnsi="黑体" w:eastAsia="黑体"/>
          <w:sz w:val="32"/>
          <w:szCs w:val="32"/>
        </w:rPr>
        <w:t>二、部门资金收支情况</w:t>
      </w:r>
    </w:p>
    <w:p>
      <w:pPr>
        <w:widowControl/>
        <w:adjustRightInd w:val="0"/>
        <w:snapToGrid w:val="0"/>
        <w:spacing w:line="580" w:lineRule="exact"/>
        <w:ind w:firstLine="643" w:firstLineChars="200"/>
        <w:contextualSpacing/>
        <w:jc w:val="left"/>
        <w:rPr>
          <w:rFonts w:hint="eastAsia" w:ascii="仿宋_GB2312" w:hAnsi="仿宋" w:eastAsia="仿宋_GB2312" w:cs="Times New Roman"/>
          <w:kern w:val="2"/>
          <w:sz w:val="32"/>
          <w:szCs w:val="32"/>
          <w:lang w:val="en-US" w:eastAsia="zh-CN"/>
        </w:rPr>
      </w:pPr>
      <w:r>
        <w:rPr>
          <w:rFonts w:hint="eastAsia" w:ascii="楷体_GB2312" w:eastAsia="楷体_GB2312"/>
          <w:b/>
          <w:sz w:val="32"/>
          <w:szCs w:val="32"/>
        </w:rPr>
        <w:t>（一）收入情况。</w:t>
      </w:r>
      <w:r>
        <w:rPr>
          <w:rFonts w:hint="eastAsia" w:ascii="仿宋_GB2312" w:hAnsi="仿宋" w:eastAsia="仿宋_GB2312" w:cs="Times New Roman"/>
          <w:kern w:val="2"/>
          <w:sz w:val="32"/>
          <w:szCs w:val="32"/>
          <w:lang w:val="en-US" w:eastAsia="zh-CN"/>
        </w:rPr>
        <w:t>2023</w:t>
      </w:r>
      <w:r>
        <w:rPr>
          <w:rFonts w:hint="eastAsia" w:ascii="仿宋_GB2312" w:hAnsi="仿宋" w:eastAsia="仿宋_GB2312" w:cs="Times New Roman"/>
          <w:kern w:val="2"/>
          <w:sz w:val="32"/>
          <w:szCs w:val="32"/>
          <w:lang w:val="zh-CN" w:eastAsia="zh-CN"/>
        </w:rPr>
        <w:t>收入总额</w:t>
      </w:r>
      <w:r>
        <w:rPr>
          <w:rFonts w:hint="eastAsia" w:ascii="仿宋_GB2312" w:hAnsi="仿宋" w:eastAsia="仿宋_GB2312" w:cs="Times New Roman"/>
          <w:kern w:val="2"/>
          <w:sz w:val="32"/>
          <w:szCs w:val="32"/>
          <w:lang w:val="en-US" w:eastAsia="zh-CN"/>
        </w:rPr>
        <w:t>472.78</w:t>
      </w:r>
      <w:r>
        <w:rPr>
          <w:rFonts w:hint="eastAsia" w:ascii="仿宋_GB2312" w:hAnsi="仿宋" w:eastAsia="仿宋_GB2312" w:cs="Times New Roman"/>
          <w:kern w:val="2"/>
          <w:sz w:val="32"/>
          <w:szCs w:val="32"/>
          <w:lang w:val="zh-CN" w:eastAsia="zh-CN"/>
        </w:rPr>
        <w:t>万元，其中</w:t>
      </w:r>
      <w:r>
        <w:rPr>
          <w:rFonts w:hint="eastAsia" w:ascii="仿宋_GB2312" w:hAnsi="仿宋" w:eastAsia="仿宋_GB2312" w:cs="Times New Roman"/>
          <w:kern w:val="2"/>
          <w:sz w:val="32"/>
          <w:szCs w:val="32"/>
          <w:lang w:val="en-US" w:eastAsia="zh-CN"/>
        </w:rPr>
        <w:t>一般公共预算财政拨款收入</w:t>
      </w:r>
      <w:r>
        <w:rPr>
          <w:rFonts w:hint="eastAsia" w:ascii="仿宋_GB2312" w:hAnsi="仿宋" w:eastAsia="仿宋_GB2312" w:cs="Times New Roman"/>
          <w:kern w:val="2"/>
          <w:sz w:val="32"/>
          <w:szCs w:val="32"/>
          <w:lang w:val="zh-CN" w:eastAsia="zh-CN"/>
        </w:rPr>
        <w:t>为</w:t>
      </w:r>
      <w:r>
        <w:rPr>
          <w:rFonts w:hint="eastAsia" w:ascii="仿宋_GB2312" w:hAnsi="仿宋" w:eastAsia="仿宋_GB2312" w:cs="Times New Roman"/>
          <w:kern w:val="2"/>
          <w:sz w:val="32"/>
          <w:szCs w:val="32"/>
          <w:lang w:val="en-US" w:eastAsia="zh-CN"/>
        </w:rPr>
        <w:t>472.55</w:t>
      </w:r>
      <w:r>
        <w:rPr>
          <w:rFonts w:hint="eastAsia" w:ascii="仿宋_GB2312" w:hAnsi="仿宋" w:eastAsia="仿宋_GB2312" w:cs="Times New Roman"/>
          <w:kern w:val="2"/>
          <w:sz w:val="32"/>
          <w:szCs w:val="32"/>
          <w:lang w:val="zh-CN" w:eastAsia="zh-CN"/>
        </w:rPr>
        <w:t>万元，占本年收入总额</w:t>
      </w:r>
      <w:r>
        <w:rPr>
          <w:rFonts w:hint="eastAsia" w:ascii="仿宋_GB2312" w:hAnsi="仿宋" w:eastAsia="仿宋_GB2312" w:cs="Times New Roman"/>
          <w:kern w:val="2"/>
          <w:sz w:val="32"/>
          <w:szCs w:val="32"/>
          <w:lang w:val="en-US" w:eastAsia="zh-CN"/>
        </w:rPr>
        <w:t>100</w:t>
      </w:r>
      <w:r>
        <w:rPr>
          <w:rFonts w:hint="eastAsia" w:ascii="仿宋_GB2312" w:hAnsi="仿宋" w:eastAsia="仿宋_GB2312" w:cs="Times New Roman"/>
          <w:kern w:val="2"/>
          <w:sz w:val="32"/>
          <w:szCs w:val="32"/>
          <w:lang w:val="zh-CN" w:eastAsia="zh-CN"/>
        </w:rPr>
        <w:t>%，</w:t>
      </w:r>
      <w:r>
        <w:rPr>
          <w:rFonts w:hint="eastAsia" w:ascii="仿宋_GB2312" w:hAnsi="仿宋" w:eastAsia="仿宋_GB2312" w:cs="Times New Roman"/>
          <w:kern w:val="2"/>
          <w:sz w:val="32"/>
          <w:szCs w:val="32"/>
          <w:lang w:val="en-US" w:eastAsia="zh-CN"/>
        </w:rPr>
        <w:t>其他收入（银行利息）0.23万元，年初结转和结余0万元。区机关事务中心2023年为第一年独立财务核算，2022年及以前年度无财务数据，因此无法与上年度数据做比较。</w:t>
      </w:r>
    </w:p>
    <w:p>
      <w:pPr>
        <w:widowControl/>
        <w:adjustRightInd w:val="0"/>
        <w:snapToGrid w:val="0"/>
        <w:spacing w:line="580" w:lineRule="exact"/>
        <w:ind w:firstLine="643" w:firstLineChars="200"/>
        <w:contextualSpacing/>
        <w:jc w:val="left"/>
        <w:rPr>
          <w:rFonts w:hint="eastAsia" w:ascii="仿宋_GB2312" w:hAnsi="仿宋" w:eastAsia="仿宋_GB2312" w:cs="Times New Roman"/>
          <w:kern w:val="2"/>
          <w:sz w:val="32"/>
          <w:szCs w:val="32"/>
          <w:lang w:val="en-US" w:eastAsia="zh-CN"/>
        </w:rPr>
      </w:pPr>
      <w:r>
        <w:rPr>
          <w:rFonts w:hint="eastAsia" w:ascii="楷体_GB2312" w:eastAsia="楷体_GB2312"/>
          <w:b/>
          <w:sz w:val="32"/>
          <w:szCs w:val="32"/>
        </w:rPr>
        <w:t>（二）支出情况。</w:t>
      </w:r>
      <w:r>
        <w:rPr>
          <w:rFonts w:hint="eastAsia" w:ascii="仿宋_GB2312" w:hAnsi="仿宋" w:eastAsia="仿宋_GB2312" w:cs="Times New Roman"/>
          <w:kern w:val="2"/>
          <w:sz w:val="32"/>
          <w:szCs w:val="32"/>
          <w:lang w:val="en-US" w:eastAsia="zh-CN"/>
        </w:rPr>
        <w:t>2023年财政拨款支出总额472.55万元，其中基本支出257.79万元，占总支出54.6%，基本支出中人员支出142.55万元，公用支出115.24万元；项目支出214.76万元，占总支出45.4%。</w:t>
      </w:r>
    </w:p>
    <w:p>
      <w:pPr>
        <w:pStyle w:val="2"/>
        <w:numPr>
          <w:ilvl w:val="0"/>
          <w:numId w:val="0"/>
        </w:numPr>
        <w:ind w:firstLine="643" w:firstLineChars="200"/>
        <w:jc w:val="both"/>
        <w:rPr>
          <w:rFonts w:ascii="仿宋_GB2312" w:eastAsia="仿宋_GB2312"/>
          <w:sz w:val="32"/>
          <w:szCs w:val="32"/>
        </w:rPr>
      </w:pPr>
      <w:r>
        <w:rPr>
          <w:rFonts w:hint="eastAsia" w:ascii="楷体_GB2312" w:eastAsia="楷体_GB2312"/>
          <w:b/>
          <w:sz w:val="32"/>
          <w:szCs w:val="32"/>
        </w:rPr>
        <w:t>（三）结余分配和结转结余情况。</w:t>
      </w:r>
      <w:r>
        <w:rPr>
          <w:rFonts w:hint="eastAsia" w:ascii="仿宋_GB2312" w:hAnsi="仿宋_GB2312" w:eastAsia="仿宋_GB2312" w:cs="仿宋_GB2312"/>
          <w:b w:val="0"/>
          <w:bCs w:val="0"/>
          <w:i w:val="0"/>
          <w:iCs w:val="0"/>
          <w:caps w:val="0"/>
          <w:color w:val="000000"/>
          <w:spacing w:val="0"/>
          <w:kern w:val="2"/>
          <w:sz w:val="32"/>
          <w:szCs w:val="32"/>
          <w:lang w:val="en-US" w:eastAsia="zh-CN" w:bidi="ar-SA"/>
        </w:rPr>
        <w:t>2023年本部门财政资金无结转结余。</w:t>
      </w:r>
    </w:p>
    <w:p>
      <w:pPr>
        <w:rPr>
          <w:rFonts w:ascii="黑体" w:hAnsi="黑体" w:eastAsia="黑体"/>
          <w:sz w:val="32"/>
          <w:szCs w:val="32"/>
        </w:rPr>
      </w:pPr>
      <w:r>
        <w:rPr>
          <w:rFonts w:hint="eastAsia" w:ascii="黑体" w:hAnsi="黑体" w:eastAsia="黑体"/>
          <w:sz w:val="32"/>
          <w:szCs w:val="32"/>
        </w:rPr>
        <w:t>三、部门预算绩效分析</w:t>
      </w:r>
    </w:p>
    <w:p>
      <w:pPr>
        <w:rPr>
          <w:rFonts w:ascii="仿宋_GB2312" w:eastAsia="仿宋_GB2312"/>
          <w:sz w:val="32"/>
          <w:szCs w:val="32"/>
        </w:rPr>
      </w:pPr>
      <w:r>
        <w:rPr>
          <w:rFonts w:hint="eastAsia" w:ascii="楷体_GB2312" w:eastAsia="楷体_GB2312"/>
          <w:b/>
          <w:sz w:val="32"/>
          <w:szCs w:val="32"/>
        </w:rPr>
        <w:t>（一）部门预算总体绩效分析。</w:t>
      </w:r>
      <w:r>
        <w:rPr>
          <w:rFonts w:hint="eastAsia" w:ascii="仿宋_GB2312" w:eastAsia="仿宋_GB2312"/>
          <w:sz w:val="32"/>
          <w:szCs w:val="32"/>
        </w:rPr>
        <w:t>根据部门预算绩效评价指标体系“总体绩效”涉及二、三级指标进行逐项绩效分析并评分，依次包括履职效能、预算管理、财务管理、资产管理、采购管理等情况。</w:t>
      </w:r>
    </w:p>
    <w:p>
      <w:pPr>
        <w:adjustRightInd w:val="0"/>
        <w:snapToGrid w:val="0"/>
        <w:spacing w:line="578" w:lineRule="exact"/>
        <w:ind w:firstLine="640" w:firstLineChars="200"/>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1.</w:t>
      </w:r>
      <w:r>
        <w:rPr>
          <w:rFonts w:hint="eastAsia" w:ascii="楷体_GB2312" w:hAnsi="楷体_GB2312" w:eastAsia="楷体_GB2312" w:cs="楷体_GB2312"/>
          <w:color w:val="000000"/>
          <w:kern w:val="0"/>
          <w:sz w:val="32"/>
          <w:szCs w:val="32"/>
          <w:shd w:val="clear" w:color="auto" w:fill="FFFFFF"/>
          <w:lang w:val="zh-CN"/>
        </w:rPr>
        <w:t>履职</w:t>
      </w:r>
      <w:r>
        <w:rPr>
          <w:rFonts w:hint="eastAsia" w:ascii="楷体_GB2312" w:hAnsi="楷体_GB2312" w:eastAsia="楷体_GB2312" w:cs="楷体_GB2312"/>
          <w:color w:val="000000"/>
          <w:kern w:val="0"/>
          <w:sz w:val="32"/>
          <w:szCs w:val="32"/>
          <w:shd w:val="clear" w:color="auto" w:fill="FFFFFF"/>
        </w:rPr>
        <w:t>效能</w:t>
      </w:r>
      <w:r>
        <w:rPr>
          <w:rFonts w:hint="eastAsia" w:ascii="楷体_GB2312" w:hAnsi="楷体_GB2312" w:eastAsia="楷体_GB2312" w:cs="楷体_GB2312"/>
          <w:color w:val="000000"/>
          <w:kern w:val="0"/>
          <w:sz w:val="32"/>
          <w:szCs w:val="32"/>
          <w:shd w:val="clear" w:color="auto" w:fill="FFFFFF"/>
          <w:lang w:val="zh-CN"/>
        </w:rPr>
        <w:t>。</w:t>
      </w:r>
    </w:p>
    <w:p>
      <w:pPr>
        <w:adjustRightInd w:val="0"/>
        <w:snapToGrid w:val="0"/>
        <w:spacing w:line="578" w:lineRule="exact"/>
        <w:ind w:firstLine="640" w:firstLineChars="200"/>
        <w:jc w:val="left"/>
        <w:rPr>
          <w:rFonts w:hint="eastAsia" w:ascii="楷体_GB2312" w:hAnsi="楷体_GB2312" w:eastAsia="楷体_GB2312" w:cs="楷体_GB2312"/>
          <w:color w:val="000000"/>
          <w:kern w:val="0"/>
          <w:sz w:val="32"/>
          <w:szCs w:val="32"/>
          <w:shd w:val="clear" w:color="auto" w:fill="FFFFFF"/>
        </w:rPr>
      </w:pPr>
      <w:r>
        <w:rPr>
          <w:rFonts w:hint="eastAsia" w:ascii="仿宋_GB2312" w:hAnsi="仿宋_GB2312" w:eastAsia="仿宋_GB2312" w:cs="仿宋_GB2312"/>
          <w:i w:val="0"/>
          <w:iCs w:val="0"/>
          <w:caps w:val="0"/>
          <w:color w:val="000000"/>
          <w:spacing w:val="0"/>
          <w:sz w:val="32"/>
          <w:szCs w:val="32"/>
          <w:lang w:val="en-US" w:eastAsia="zh-CN"/>
        </w:rPr>
        <w:t>（一）、国有资产管理进一步规范。充分利用国有资产信息系统和办公用房信息管理系统，实现了资产配置、使用、处置的“全生命”周期信息化管理，被市局确立为机关事业单位国有资产管理县级试点单位。同时，对于闲置、低效运转的资产，建立区级“公物仓”1个，有效提高了国有资产使用效益。（二）、公共机构节能管理成效显著。延风中学成功创建为2022-2023年省级节约型公共机构示范单位。（三）、接待服务保障水平进一步提升。2023年，中心高质量保障各类公务、政务、商务活动近80批次1200余人次。（四）、机关食堂服务持续向好。完成机关食堂扩容升级改造，新增就餐面积120平方米50个餐位。强化制度建设，从食堂工作人员管理、物资采购、用具管理、厨房餐厅卫生五大模块各个细节进行了强化和细化，从源头上和过程上制止了各种浪费行为的发生，让厉行节约“有章可循”。</w:t>
      </w:r>
    </w:p>
    <w:p>
      <w:pPr>
        <w:pStyle w:val="15"/>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color w:val="000000"/>
          <w:kern w:val="0"/>
          <w:sz w:val="32"/>
          <w:szCs w:val="32"/>
          <w:shd w:val="clear" w:color="auto" w:fill="FFFFFF"/>
        </w:rPr>
        <w:t>2.</w:t>
      </w:r>
      <w:r>
        <w:rPr>
          <w:rFonts w:hint="eastAsia" w:ascii="楷体_GB2312" w:hAnsi="楷体_GB2312" w:eastAsia="楷体_GB2312" w:cs="楷体_GB2312"/>
          <w:color w:val="000000"/>
          <w:kern w:val="0"/>
          <w:sz w:val="32"/>
          <w:szCs w:val="32"/>
          <w:shd w:val="clear" w:color="auto" w:fill="FFFFFF"/>
          <w:lang w:val="zh-CN"/>
        </w:rPr>
        <w:t>预算管理。</w:t>
      </w:r>
      <w:r>
        <w:rPr>
          <w:rFonts w:hint="eastAsia" w:ascii="Times New Roman" w:hAnsi="Times New Roman" w:eastAsia="仿宋_GB2312" w:cs="Times New Roman"/>
          <w:sz w:val="32"/>
          <w:szCs w:val="32"/>
          <w:lang w:val="en-US" w:eastAsia="zh-CN"/>
        </w:rPr>
        <w:t>预算编制准确，强力推进各项后勤服务工作。经费预算包括人员经费预算、公用经费预算和项目经费预算等。人员经费预算按编报日期实有在编人数编报，公用经费按照批复标准额度据实编报，项目经费按照要求向区财政局提供预算依据和绩效目标，并办理相关申报手续后编报，没有提供预算依据和绩效目标的项目，不纳入年度预算。按照工作部署，结合工作职能，我中心全面执行2023年部门预算。在预算执行过程中及时对预算进行调整优化，年末基本完成了年初预算，无违规违纪行为。</w:t>
      </w:r>
    </w:p>
    <w:p>
      <w:pPr>
        <w:adjustRightInd w:val="0"/>
        <w:snapToGrid w:val="0"/>
        <w:spacing w:line="600" w:lineRule="exact"/>
        <w:ind w:firstLine="720"/>
        <w:rPr>
          <w:rFonts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3.</w:t>
      </w:r>
      <w:r>
        <w:rPr>
          <w:rFonts w:hint="eastAsia" w:ascii="楷体_GB2312" w:hAnsi="楷体_GB2312" w:eastAsia="楷体_GB2312" w:cs="楷体_GB2312"/>
          <w:color w:val="000000"/>
          <w:kern w:val="0"/>
          <w:sz w:val="32"/>
          <w:szCs w:val="32"/>
          <w:shd w:val="clear" w:color="auto" w:fill="FFFFFF"/>
          <w:lang w:val="zh-CN"/>
        </w:rPr>
        <w:t>财务管理。</w:t>
      </w:r>
      <w:r>
        <w:rPr>
          <w:rFonts w:hint="eastAsia" w:ascii="仿宋_GB2312" w:hAnsi="Times New Roman" w:eastAsia="仿宋_GB2312" w:cs="仿宋_GB2312"/>
          <w:color w:val="333333"/>
          <w:sz w:val="32"/>
          <w:szCs w:val="32"/>
          <w:shd w:val="clear" w:color="auto" w:fill="FFFFFF"/>
          <w:lang w:val="zh-CN"/>
        </w:rPr>
        <w:t>我中心</w:t>
      </w:r>
      <w:r>
        <w:rPr>
          <w:rFonts w:hint="eastAsia" w:ascii="仿宋_GB2312" w:eastAsia="仿宋_GB2312" w:cs="仿宋_GB2312"/>
          <w:color w:val="333333"/>
          <w:sz w:val="32"/>
          <w:szCs w:val="32"/>
          <w:shd w:val="clear" w:color="auto" w:fill="FFFFFF"/>
        </w:rPr>
        <w:t>严格执行财务管理制度、财务处理及时、会计核算规范。</w:t>
      </w:r>
    </w:p>
    <w:p>
      <w:pPr>
        <w:spacing w:before="0" w:after="0"/>
        <w:ind w:firstLine="510"/>
        <w:jc w:val="both"/>
        <w:rPr>
          <w:rFonts w:hint="eastAsia" w:ascii="仿宋_GB2312" w:hAnsi="Times New Roman" w:eastAsia="仿宋_GB2312" w:cs="仿宋_GB2312"/>
          <w:color w:val="333333"/>
          <w:sz w:val="32"/>
          <w:szCs w:val="32"/>
          <w:shd w:val="clear" w:color="auto" w:fill="FFFFFF"/>
          <w:lang w:val="en-US" w:eastAsia="zh-CN"/>
        </w:rPr>
      </w:pPr>
      <w:r>
        <w:rPr>
          <w:rFonts w:hint="eastAsia" w:ascii="楷体_GB2312" w:hAnsi="楷体_GB2312" w:eastAsia="楷体_GB2312" w:cs="楷体_GB2312"/>
          <w:color w:val="000000"/>
          <w:kern w:val="0"/>
          <w:sz w:val="32"/>
          <w:szCs w:val="32"/>
          <w:shd w:val="clear" w:color="auto" w:fill="FFFFFF"/>
        </w:rPr>
        <w:t>4.</w:t>
      </w:r>
      <w:r>
        <w:rPr>
          <w:rFonts w:hint="eastAsia" w:ascii="楷体_GB2312" w:hAnsi="楷体_GB2312" w:eastAsia="楷体_GB2312" w:cs="楷体_GB2312"/>
          <w:color w:val="000000"/>
          <w:kern w:val="0"/>
          <w:sz w:val="32"/>
          <w:szCs w:val="32"/>
          <w:shd w:val="clear" w:color="auto" w:fill="FFFFFF"/>
          <w:lang w:val="zh-CN"/>
        </w:rPr>
        <w:t>资产管理。</w:t>
      </w:r>
      <w:r>
        <w:rPr>
          <w:rFonts w:hint="eastAsia" w:ascii="仿宋_GB2312" w:hAnsi="Times New Roman" w:eastAsia="仿宋_GB2312" w:cs="仿宋_GB2312"/>
          <w:color w:val="333333"/>
          <w:sz w:val="32"/>
          <w:szCs w:val="32"/>
          <w:shd w:val="clear" w:color="auto" w:fill="FFFFFF"/>
          <w:lang w:val="en-US" w:eastAsia="zh-CN"/>
        </w:rPr>
        <w:t>我单位在2023年切实加强日常资产管理，规范管理程序。实施单位资产动态管理，对新增财产及时入账，落实定期和不定期检查制度，加强安全措施，确保资产的使用性能及安全。截至2023年12月31日，我单位资产总额（账面净值，下同）18.84万元，负债总额8.26万元，净资产10.58万元。截至2023年12月31日，我单位固定资产成新率为29.89%。</w:t>
      </w:r>
    </w:p>
    <w:p>
      <w:pPr>
        <w:adjustRightInd w:val="0"/>
        <w:snapToGrid w:val="0"/>
        <w:spacing w:line="578" w:lineRule="exact"/>
        <w:ind w:firstLine="640" w:firstLineChars="200"/>
        <w:jc w:val="left"/>
        <w:rPr>
          <w:rFonts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5.</w:t>
      </w:r>
      <w:r>
        <w:rPr>
          <w:rFonts w:hint="eastAsia" w:ascii="楷体_GB2312" w:hAnsi="楷体_GB2312" w:eastAsia="楷体_GB2312" w:cs="楷体_GB2312"/>
          <w:color w:val="000000"/>
          <w:kern w:val="0"/>
          <w:sz w:val="32"/>
          <w:szCs w:val="32"/>
          <w:shd w:val="clear" w:color="auto" w:fill="FFFFFF"/>
          <w:lang w:val="zh-CN"/>
        </w:rPr>
        <w:t>采购管理。</w:t>
      </w:r>
      <w:r>
        <w:rPr>
          <w:rFonts w:hint="eastAsia" w:ascii="Times New Roman" w:hAnsi="Times New Roman" w:eastAsia="仿宋_GB2312" w:cs="Times New Roman"/>
          <w:sz w:val="32"/>
          <w:szCs w:val="32"/>
          <w:lang w:val="zh-CN" w:eastAsia="zh-CN"/>
        </w:rPr>
        <w:t>我中心</w:t>
      </w:r>
      <w:r>
        <w:rPr>
          <w:rFonts w:hint="eastAsia" w:ascii="Times New Roman" w:hAnsi="Times New Roman" w:eastAsia="仿宋_GB2312" w:cs="Times New Roman"/>
          <w:sz w:val="32"/>
          <w:szCs w:val="32"/>
          <w:lang w:val="en-US" w:eastAsia="zh-CN"/>
        </w:rPr>
        <w:t>2023年仅有一笔政府采购，采购内容为政府食堂劳务服务采购，年初预算时编入预算并及时进行采购，</w:t>
      </w:r>
      <w:r>
        <w:rPr>
          <w:rFonts w:hint="eastAsia" w:ascii="Times New Roman" w:hAnsi="Times New Roman" w:eastAsia="仿宋_GB2312" w:cs="Times New Roman"/>
          <w:sz w:val="32"/>
          <w:szCs w:val="32"/>
          <w:lang w:val="zh-CN" w:eastAsia="zh-CN"/>
        </w:rPr>
        <w:t>采购执行率为</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val="zh-CN" w:eastAsia="zh-CN"/>
        </w:rPr>
        <w:t>。</w:t>
      </w:r>
    </w:p>
    <w:p>
      <w:pPr>
        <w:ind w:firstLine="643" w:firstLineChars="200"/>
        <w:rPr>
          <w:rFonts w:eastAsia="仿宋_GB2312"/>
          <w:sz w:val="32"/>
          <w:szCs w:val="32"/>
          <w:lang w:val="zh-CN"/>
        </w:rPr>
      </w:pPr>
      <w:r>
        <w:rPr>
          <w:rFonts w:hint="eastAsia" w:ascii="楷体_GB2312" w:eastAsia="楷体_GB2312"/>
          <w:b/>
          <w:sz w:val="32"/>
          <w:szCs w:val="32"/>
        </w:rPr>
        <w:t>（二）部门预算项目绩效分析。</w:t>
      </w:r>
      <w:r>
        <w:rPr>
          <w:rFonts w:hint="eastAsia" w:eastAsia="仿宋_GB2312"/>
          <w:sz w:val="32"/>
          <w:szCs w:val="32"/>
          <w:lang w:val="zh-CN"/>
        </w:rPr>
        <w:t>填报以下数据，并根据部门预算绩效评价指标体系“项目绩效”涉及二、三级指标进行逐项绩效分析并评分，依次包括项目决策、项目执行、目标实现等情况。</w:t>
      </w:r>
    </w:p>
    <w:p>
      <w:pPr>
        <w:ind w:firstLine="640" w:firstLineChars="200"/>
        <w:rPr>
          <w:rFonts w:eastAsia="仿宋_GB2312"/>
          <w:sz w:val="32"/>
          <w:szCs w:val="32"/>
          <w:lang w:val="zh-CN"/>
        </w:rPr>
      </w:pPr>
      <w:r>
        <w:rPr>
          <w:rFonts w:hint="eastAsia" w:eastAsia="仿宋_GB2312"/>
          <w:sz w:val="32"/>
          <w:szCs w:val="32"/>
          <w:lang w:val="zh-CN"/>
        </w:rPr>
        <w:t>常年项目绩效分析。该类项目总数</w:t>
      </w:r>
      <w:r>
        <w:rPr>
          <w:rFonts w:hint="eastAsia" w:eastAsia="仿宋_GB2312"/>
          <w:sz w:val="32"/>
          <w:szCs w:val="32"/>
          <w:lang w:val="en-US" w:eastAsia="zh-CN"/>
        </w:rPr>
        <w:t>1</w:t>
      </w:r>
      <w:r>
        <w:rPr>
          <w:rFonts w:hint="eastAsia" w:eastAsia="仿宋_GB2312"/>
          <w:sz w:val="32"/>
          <w:szCs w:val="32"/>
          <w:lang w:val="zh-CN"/>
        </w:rPr>
        <w:t>个，涉及预算总金额</w:t>
      </w:r>
      <w:r>
        <w:rPr>
          <w:rFonts w:hint="eastAsia" w:eastAsia="仿宋_GB2312"/>
          <w:sz w:val="32"/>
          <w:szCs w:val="32"/>
          <w:lang w:val="en-US" w:eastAsia="zh-CN"/>
        </w:rPr>
        <w:t>164.25</w:t>
      </w:r>
      <w:r>
        <w:rPr>
          <w:rFonts w:hint="eastAsia" w:eastAsia="仿宋_GB2312"/>
          <w:sz w:val="32"/>
          <w:szCs w:val="32"/>
          <w:lang w:val="zh-CN"/>
        </w:rPr>
        <w:t>万元，1—12月预算执行总体进度为</w:t>
      </w:r>
      <w:r>
        <w:rPr>
          <w:rFonts w:hint="eastAsia" w:eastAsia="仿宋_GB2312"/>
          <w:sz w:val="32"/>
          <w:szCs w:val="32"/>
          <w:lang w:val="en-US" w:eastAsia="zh-CN"/>
        </w:rPr>
        <w:t>91</w:t>
      </w:r>
      <w:r>
        <w:rPr>
          <w:rFonts w:hint="eastAsia" w:eastAsia="仿宋_GB2312"/>
          <w:sz w:val="32"/>
          <w:szCs w:val="32"/>
          <w:lang w:val="zh-CN"/>
        </w:rPr>
        <w:t>%，其中：预算结余率大于10%的项目共计</w:t>
      </w:r>
      <w:r>
        <w:rPr>
          <w:rFonts w:hint="eastAsia" w:eastAsia="仿宋_GB2312"/>
          <w:sz w:val="32"/>
          <w:szCs w:val="32"/>
          <w:lang w:val="en-US" w:eastAsia="zh-CN"/>
        </w:rPr>
        <w:t>0</w:t>
      </w:r>
      <w:r>
        <w:rPr>
          <w:rFonts w:hint="eastAsia" w:eastAsia="仿宋_GB2312"/>
          <w:sz w:val="32"/>
          <w:szCs w:val="32"/>
          <w:lang w:val="zh-CN"/>
        </w:rPr>
        <w:t>个。</w:t>
      </w:r>
    </w:p>
    <w:p>
      <w:pPr>
        <w:ind w:firstLine="640" w:firstLineChars="200"/>
        <w:rPr>
          <w:rFonts w:eastAsia="仿宋_GB2312"/>
          <w:sz w:val="32"/>
          <w:szCs w:val="32"/>
          <w:lang w:val="zh-CN"/>
        </w:rPr>
      </w:pPr>
      <w:r>
        <w:rPr>
          <w:rFonts w:hint="eastAsia" w:eastAsia="仿宋_GB2312"/>
          <w:sz w:val="32"/>
          <w:szCs w:val="32"/>
          <w:lang w:val="zh-CN"/>
        </w:rPr>
        <w:t>阶段（一次性）项目绩效分析。该类项目总数</w:t>
      </w:r>
      <w:r>
        <w:rPr>
          <w:rFonts w:hint="eastAsia" w:eastAsia="仿宋_GB2312"/>
          <w:sz w:val="32"/>
          <w:szCs w:val="32"/>
          <w:lang w:val="en-US" w:eastAsia="zh-CN"/>
        </w:rPr>
        <w:t>1</w:t>
      </w:r>
      <w:r>
        <w:rPr>
          <w:rFonts w:hint="eastAsia" w:eastAsia="仿宋_GB2312"/>
          <w:sz w:val="32"/>
          <w:szCs w:val="32"/>
          <w:lang w:val="zh-CN"/>
        </w:rPr>
        <w:t>个，涉及预算总金额</w:t>
      </w:r>
      <w:r>
        <w:rPr>
          <w:rFonts w:hint="eastAsia" w:eastAsia="仿宋_GB2312"/>
          <w:sz w:val="32"/>
          <w:szCs w:val="32"/>
          <w:lang w:val="en-US" w:eastAsia="zh-CN"/>
        </w:rPr>
        <w:t>50.52</w:t>
      </w:r>
      <w:r>
        <w:rPr>
          <w:rFonts w:hint="eastAsia" w:eastAsia="仿宋_GB2312"/>
          <w:sz w:val="32"/>
          <w:szCs w:val="32"/>
          <w:lang w:val="zh-CN"/>
        </w:rPr>
        <w:t>万元，1—12月预算执行总体进度为</w:t>
      </w:r>
      <w:r>
        <w:rPr>
          <w:rFonts w:hint="eastAsia" w:eastAsia="仿宋_GB2312"/>
          <w:sz w:val="32"/>
          <w:szCs w:val="32"/>
          <w:lang w:val="en-US" w:eastAsia="zh-CN"/>
        </w:rPr>
        <w:t>100</w:t>
      </w:r>
      <w:r>
        <w:rPr>
          <w:rFonts w:hint="eastAsia" w:eastAsia="仿宋_GB2312"/>
          <w:sz w:val="32"/>
          <w:szCs w:val="32"/>
          <w:lang w:val="zh-CN"/>
        </w:rPr>
        <w:t>%，其中：预算结余率大于10%的项目共计</w:t>
      </w:r>
      <w:r>
        <w:rPr>
          <w:rFonts w:hint="eastAsia" w:eastAsia="仿宋_GB2312"/>
          <w:sz w:val="32"/>
          <w:szCs w:val="32"/>
          <w:lang w:val="en-US" w:eastAsia="zh-CN"/>
        </w:rPr>
        <w:t>0</w:t>
      </w:r>
      <w:r>
        <w:rPr>
          <w:rFonts w:hint="eastAsia" w:eastAsia="仿宋_GB2312"/>
          <w:sz w:val="32"/>
          <w:szCs w:val="32"/>
          <w:lang w:val="zh-CN"/>
        </w:rPr>
        <w:t>个。</w:t>
      </w:r>
    </w:p>
    <w:p>
      <w:pPr>
        <w:numPr>
          <w:ilvl w:val="0"/>
          <w:numId w:val="5"/>
        </w:numPr>
        <w:ind w:firstLine="640" w:firstLineChars="200"/>
        <w:rPr>
          <w:rFonts w:hint="eastAsia" w:ascii="仿宋_GB2312" w:hAnsi="仿宋" w:eastAsia="仿宋_GB2312"/>
          <w:sz w:val="32"/>
          <w:szCs w:val="32"/>
          <w:lang w:eastAsia="zh-CN"/>
        </w:rPr>
      </w:pPr>
      <w:r>
        <w:rPr>
          <w:rFonts w:hint="eastAsia" w:ascii="楷体_GB2312" w:hAnsi="楷体_GB2312" w:eastAsia="楷体_GB2312" w:cs="楷体_GB2312"/>
          <w:color w:val="000000"/>
          <w:kern w:val="0"/>
          <w:sz w:val="32"/>
          <w:szCs w:val="32"/>
          <w:shd w:val="clear" w:color="auto" w:fill="FFFFFF"/>
        </w:rPr>
        <w:t>项目决策。</w:t>
      </w:r>
      <w:r>
        <w:rPr>
          <w:rFonts w:hint="eastAsia" w:ascii="仿宋_GB2312" w:hAnsi="仿宋" w:eastAsia="仿宋_GB2312"/>
          <w:sz w:val="32"/>
          <w:szCs w:val="32"/>
        </w:rPr>
        <w:t>根据预算绩效管理要求，本部门在年初预算编制阶段，组织对全部项目开展了预算事前绩效评估，编制了绩效目标</w:t>
      </w:r>
      <w:r>
        <w:rPr>
          <w:rFonts w:hint="eastAsia" w:ascii="仿宋_GB2312" w:hAnsi="仿宋" w:eastAsia="仿宋_GB2312"/>
          <w:sz w:val="32"/>
          <w:szCs w:val="32"/>
          <w:lang w:eastAsia="zh-CN"/>
        </w:rPr>
        <w:t>。</w:t>
      </w:r>
    </w:p>
    <w:p>
      <w:pPr>
        <w:numPr>
          <w:ilvl w:val="0"/>
          <w:numId w:val="5"/>
        </w:numPr>
        <w:ind w:left="0" w:leftChars="0" w:firstLine="640" w:firstLineChars="200"/>
        <w:rPr>
          <w:rFonts w:hint="eastAsia" w:ascii="仿宋_GB2312" w:hAnsi="仿宋" w:eastAsia="仿宋_GB2312"/>
          <w:sz w:val="32"/>
          <w:szCs w:val="32"/>
        </w:rPr>
      </w:pPr>
      <w:r>
        <w:rPr>
          <w:rFonts w:hint="eastAsia" w:ascii="楷体_GB2312" w:hAnsi="楷体_GB2312" w:eastAsia="楷体_GB2312" w:cs="楷体_GB2312"/>
          <w:color w:val="000000"/>
          <w:kern w:val="0"/>
          <w:sz w:val="32"/>
          <w:szCs w:val="32"/>
          <w:shd w:val="clear" w:color="auto" w:fill="FFFFFF"/>
        </w:rPr>
        <w:t>项目执行。</w:t>
      </w:r>
      <w:r>
        <w:rPr>
          <w:rFonts w:hint="eastAsia" w:ascii="仿宋_GB2312" w:hAnsi="仿宋" w:eastAsia="仿宋_GB2312"/>
          <w:sz w:val="32"/>
          <w:szCs w:val="32"/>
        </w:rPr>
        <w:t>预算执行过程中，对项目开展绩效监控，年终执行完毕后，对项目开展了绩效自评。</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i w:val="0"/>
          <w:iCs w:val="0"/>
          <w:caps w:val="0"/>
          <w:color w:val="000000"/>
          <w:spacing w:val="0"/>
          <w:sz w:val="32"/>
          <w:szCs w:val="32"/>
          <w:lang w:val="zh-CN" w:eastAsia="zh-CN"/>
        </w:rPr>
      </w:pPr>
      <w:r>
        <w:rPr>
          <w:rFonts w:hint="eastAsia" w:ascii="楷体_GB2312" w:hAnsi="楷体_GB2312" w:eastAsia="楷体_GB2312" w:cs="楷体_GB2312"/>
          <w:color w:val="000000"/>
          <w:kern w:val="0"/>
          <w:sz w:val="32"/>
          <w:szCs w:val="32"/>
          <w:shd w:val="clear" w:color="auto" w:fill="FFFFFF"/>
        </w:rPr>
        <w:t>3.目标实现。</w:t>
      </w:r>
      <w:r>
        <w:rPr>
          <w:rFonts w:hint="eastAsia" w:ascii="仿宋_GB2312" w:hAnsi="仿宋_GB2312" w:eastAsia="仿宋_GB2312" w:cs="仿宋_GB2312"/>
          <w:i w:val="0"/>
          <w:iCs w:val="0"/>
          <w:caps w:val="0"/>
          <w:color w:val="000000"/>
          <w:spacing w:val="0"/>
          <w:sz w:val="32"/>
          <w:szCs w:val="32"/>
          <w:lang w:val="en-US" w:eastAsia="zh-CN"/>
        </w:rPr>
        <w:t>通过项目运行保障了本单位日常工作正常开展，绩效目标设置合理，绩效目标全面完成，无违规违纪事件。通过对项目的有效预算管理为次年编制年初预算及资金安排和使用提供了有力依据。</w:t>
      </w:r>
    </w:p>
    <w:p>
      <w:pPr>
        <w:ind w:firstLine="643" w:firstLineChars="200"/>
        <w:rPr>
          <w:rFonts w:hint="eastAsia" w:eastAsia="仿宋_GB2312"/>
          <w:sz w:val="32"/>
          <w:szCs w:val="32"/>
          <w:lang w:val="zh-CN"/>
        </w:rPr>
      </w:pPr>
      <w:r>
        <w:rPr>
          <w:rFonts w:hint="eastAsia" w:ascii="楷体_GB2312" w:eastAsia="楷体_GB2312"/>
          <w:b/>
          <w:sz w:val="32"/>
          <w:szCs w:val="32"/>
        </w:rPr>
        <w:t>（三）重点领域绩效分析。</w:t>
      </w:r>
      <w:r>
        <w:rPr>
          <w:rFonts w:hint="eastAsia" w:eastAsia="仿宋_GB2312"/>
          <w:sz w:val="32"/>
          <w:szCs w:val="32"/>
          <w:lang w:val="zh-CN"/>
        </w:rPr>
        <w:t>无</w:t>
      </w:r>
    </w:p>
    <w:p>
      <w:pPr>
        <w:widowControl/>
        <w:adjustRightInd w:val="0"/>
        <w:snapToGrid w:val="0"/>
        <w:spacing w:line="580" w:lineRule="exact"/>
        <w:ind w:firstLine="643" w:firstLineChars="200"/>
        <w:contextualSpacing/>
        <w:jc w:val="left"/>
        <w:rPr>
          <w:rFonts w:eastAsia="仿宋_GB2312"/>
          <w:sz w:val="32"/>
          <w:szCs w:val="32"/>
          <w:lang w:val="zh-CN"/>
        </w:rPr>
      </w:pPr>
      <w:r>
        <w:rPr>
          <w:rFonts w:hint="eastAsia" w:ascii="楷体_GB2312" w:eastAsia="楷体_GB2312"/>
          <w:b/>
          <w:sz w:val="32"/>
          <w:szCs w:val="32"/>
        </w:rPr>
        <w:t>（四）绩效结果应用情况。</w:t>
      </w:r>
      <w:r>
        <w:rPr>
          <w:rFonts w:hint="eastAsia" w:ascii="仿宋_GB2312" w:hAnsi="仿宋" w:eastAsia="仿宋_GB2312"/>
          <w:sz w:val="32"/>
          <w:szCs w:val="32"/>
        </w:rPr>
        <w:t>按照区财政局关于单位预决算信息公开及绩效评价公开的时间规定，我</w:t>
      </w:r>
      <w:r>
        <w:rPr>
          <w:rFonts w:hint="eastAsia" w:ascii="仿宋_GB2312" w:hAnsi="仿宋" w:eastAsia="仿宋_GB2312"/>
          <w:sz w:val="32"/>
          <w:szCs w:val="32"/>
          <w:lang w:eastAsia="zh-CN"/>
        </w:rPr>
        <w:t>中心</w:t>
      </w:r>
      <w:r>
        <w:rPr>
          <w:rFonts w:hint="eastAsia" w:ascii="仿宋_GB2312" w:hAnsi="仿宋" w:eastAsia="仿宋_GB2312"/>
          <w:sz w:val="32"/>
          <w:szCs w:val="32"/>
        </w:rPr>
        <w:t>在规定时间内完成本单位的信息公开。我</w:t>
      </w:r>
      <w:r>
        <w:rPr>
          <w:rFonts w:hint="eastAsia" w:ascii="仿宋_GB2312" w:hAnsi="仿宋" w:eastAsia="仿宋_GB2312"/>
          <w:sz w:val="32"/>
          <w:szCs w:val="32"/>
          <w:lang w:eastAsia="zh-CN"/>
        </w:rPr>
        <w:t>中心</w:t>
      </w:r>
      <w:r>
        <w:rPr>
          <w:rFonts w:hint="eastAsia" w:ascii="仿宋_GB2312" w:hAnsi="仿宋" w:eastAsia="仿宋_GB2312"/>
          <w:sz w:val="32"/>
          <w:szCs w:val="32"/>
        </w:rPr>
        <w:t>建立健全有效的内控制度，采取定期公开的财务管理制度，严格执行财务管理规定，强化项目资金管理和使用。同时严格遵守国家、省、市财务管理法律法规，本着勤俭节约原则，管理好每笔资金。杜绝违规违纪事件的发生。财务活动接受审计、财政、纪检监察等部门的监督检查。我</w:t>
      </w:r>
      <w:r>
        <w:rPr>
          <w:rFonts w:hint="eastAsia" w:ascii="仿宋_GB2312" w:hAnsi="仿宋" w:eastAsia="仿宋_GB2312"/>
          <w:sz w:val="32"/>
          <w:szCs w:val="32"/>
          <w:lang w:eastAsia="zh-CN"/>
        </w:rPr>
        <w:t>中心</w:t>
      </w:r>
      <w:r>
        <w:rPr>
          <w:rFonts w:hint="eastAsia" w:ascii="仿宋_GB2312" w:hAnsi="仿宋" w:eastAsia="仿宋_GB2312"/>
          <w:sz w:val="32"/>
          <w:szCs w:val="32"/>
        </w:rPr>
        <w:t>所有资产明确使用责任，细化到人，每年对资产进行清查盘点，对账实不符的情况及时进行处理并严格按照规定处置资产。</w:t>
      </w:r>
    </w:p>
    <w:p>
      <w:pPr>
        <w:ind w:firstLine="640" w:firstLineChars="200"/>
        <w:rPr>
          <w:rFonts w:ascii="黑体" w:hAnsi="黑体" w:eastAsia="黑体"/>
          <w:sz w:val="32"/>
          <w:szCs w:val="32"/>
        </w:rPr>
      </w:pPr>
      <w:r>
        <w:rPr>
          <w:rFonts w:hint="eastAsia" w:ascii="黑体" w:hAnsi="黑体" w:eastAsia="黑体"/>
          <w:sz w:val="32"/>
          <w:szCs w:val="32"/>
        </w:rPr>
        <w:t>四、评价结论及建议</w:t>
      </w:r>
    </w:p>
    <w:p>
      <w:pPr>
        <w:widowControl/>
        <w:numPr>
          <w:ilvl w:val="0"/>
          <w:numId w:val="0"/>
        </w:numPr>
        <w:adjustRightInd w:val="0"/>
        <w:snapToGrid w:val="0"/>
        <w:spacing w:line="580" w:lineRule="exact"/>
        <w:ind w:firstLine="643" w:firstLineChars="200"/>
        <w:contextualSpacing/>
        <w:jc w:val="left"/>
        <w:rPr>
          <w:rFonts w:hint="default" w:ascii="仿宋_GB2312" w:hAnsi="仿宋_GB2312" w:eastAsia="仿宋_GB2312" w:cs="仿宋_GB2312"/>
          <w:i w:val="0"/>
          <w:iCs w:val="0"/>
          <w:caps w:val="0"/>
          <w:color w:val="000000"/>
          <w:spacing w:val="0"/>
          <w:sz w:val="32"/>
          <w:szCs w:val="32"/>
          <w:lang w:val="en-US" w:eastAsia="zh-CN"/>
        </w:rPr>
      </w:pPr>
      <w:r>
        <w:rPr>
          <w:rFonts w:hint="eastAsia" w:ascii="楷体_GB2312" w:eastAsia="楷体_GB2312"/>
          <w:b/>
          <w:sz w:val="32"/>
          <w:szCs w:val="32"/>
        </w:rPr>
        <w:t>（一）评价结论。</w:t>
      </w:r>
      <w:r>
        <w:rPr>
          <w:rFonts w:hint="eastAsia" w:ascii="仿宋_GB2312" w:hAnsi="仿宋_GB2312" w:eastAsia="仿宋_GB2312" w:cs="仿宋_GB2312"/>
          <w:i w:val="0"/>
          <w:iCs w:val="0"/>
          <w:caps w:val="0"/>
          <w:color w:val="000000"/>
          <w:spacing w:val="0"/>
          <w:sz w:val="32"/>
          <w:szCs w:val="32"/>
          <w:lang w:val="en-US" w:eastAsia="zh-CN"/>
        </w:rPr>
        <w:t>2023年各项年初绩效目标基本实现，经济和社会效益有所提高，项目组织管理和财务管理基本健全规范，未发生违法违规问题，自评得分94分。</w:t>
      </w:r>
    </w:p>
    <w:p>
      <w:pPr>
        <w:pStyle w:val="36"/>
        <w:numPr>
          <w:ilvl w:val="0"/>
          <w:numId w:val="0"/>
        </w:numPr>
        <w:ind w:firstLine="630" w:firstLineChars="196"/>
      </w:pPr>
      <w:r>
        <w:rPr>
          <w:rFonts w:hint="eastAsia" w:ascii="楷体_GB2312" w:eastAsia="楷体_GB2312"/>
          <w:b/>
          <w:sz w:val="32"/>
          <w:szCs w:val="32"/>
        </w:rPr>
        <w:t>（二）存在问题。</w:t>
      </w:r>
      <w:r>
        <w:rPr>
          <w:rFonts w:hint="eastAsia" w:ascii="仿宋_GB2312" w:eastAsia="仿宋_GB2312"/>
          <w:shd w:val="clear" w:color="auto" w:fill="FFFFFF"/>
        </w:rPr>
        <w:t>一是资金存在结余情况；二是内控管理有待进一步完善；三是财务人员业务水平有待提高。</w:t>
      </w:r>
    </w:p>
    <w:p>
      <w:pPr>
        <w:pStyle w:val="36"/>
        <w:numPr>
          <w:ilvl w:val="0"/>
          <w:numId w:val="0"/>
        </w:numPr>
        <w:ind w:left="640"/>
        <w:rPr>
          <w:rFonts w:ascii="仿宋_GB2312" w:eastAsia="仿宋_GB2312"/>
          <w:shd w:val="clear" w:color="auto" w:fill="FFFFFF"/>
        </w:rPr>
      </w:pPr>
      <w:r>
        <w:rPr>
          <w:rFonts w:hint="eastAsia" w:ascii="楷体_GB2312" w:eastAsia="楷体_GB2312"/>
          <w:b/>
          <w:sz w:val="32"/>
          <w:szCs w:val="32"/>
        </w:rPr>
        <w:t>（三）改进建议。</w:t>
      </w:r>
      <w:r>
        <w:rPr>
          <w:rFonts w:hint="eastAsia" w:ascii="仿宋_GB2312" w:eastAsia="仿宋_GB2312"/>
          <w:shd w:val="clear" w:color="auto" w:fill="FFFFFF"/>
        </w:rPr>
        <w:t>一是进一步规范和完善内控制度。</w:t>
      </w:r>
    </w:p>
    <w:p>
      <w:pPr>
        <w:pStyle w:val="36"/>
        <w:numPr>
          <w:ilvl w:val="0"/>
          <w:numId w:val="0"/>
        </w:numPr>
        <w:ind w:left="640"/>
        <w:rPr>
          <w:rFonts w:ascii="仿宋_GB2312" w:eastAsia="仿宋_GB2312"/>
          <w:shd w:val="clear" w:color="auto" w:fill="FFFFFF"/>
        </w:rPr>
      </w:pPr>
      <w:r>
        <w:rPr>
          <w:rFonts w:hint="eastAsia" w:ascii="仿宋_GB2312" w:eastAsia="仿宋_GB2312"/>
          <w:shd w:val="clear" w:color="auto" w:fill="FFFFFF"/>
        </w:rPr>
        <w:t>二是加大财务人员相关法律规章和业务知识的学习培训力度。</w:t>
      </w:r>
    </w:p>
    <w:p>
      <w:pPr>
        <w:rPr>
          <w:rFonts w:hint="eastAsia" w:asciiTheme="minorEastAsia" w:hAnsiTheme="minorEastAsia" w:eastAsiaTheme="minorEastAsia"/>
          <w:sz w:val="32"/>
          <w:szCs w:val="32"/>
          <w:lang w:val="zh-CN"/>
        </w:rPr>
      </w:pPr>
    </w:p>
    <w:p>
      <w:pPr>
        <w:keepNext w:val="0"/>
        <w:keepLines w:val="0"/>
        <w:pageBreakBefore w:val="0"/>
        <w:kinsoku/>
        <w:wordWrap/>
        <w:overflowPunct/>
        <w:topLinePunct w:val="0"/>
        <w:autoSpaceDE/>
        <w:autoSpaceDN/>
        <w:bidi w:val="0"/>
        <w:adjustRightInd/>
        <w:snapToGrid/>
        <w:spacing w:line="240" w:lineRule="exact"/>
        <w:ind w:firstLine="0" w:firstLineChars="0"/>
        <w:rPr>
          <w:rFonts w:hint="eastAsia" w:asciiTheme="minorEastAsia" w:hAnsiTheme="minorEastAsia" w:eastAsiaTheme="minorEastAsia"/>
          <w:sz w:val="32"/>
          <w:szCs w:val="32"/>
          <w:lang w:val="zh-CN"/>
        </w:rPr>
      </w:pPr>
    </w:p>
    <w:p>
      <w:pPr>
        <w:keepNext w:val="0"/>
        <w:keepLines w:val="0"/>
        <w:pageBreakBefore w:val="0"/>
        <w:kinsoku/>
        <w:wordWrap/>
        <w:overflowPunct/>
        <w:topLinePunct w:val="0"/>
        <w:autoSpaceDE/>
        <w:autoSpaceDN/>
        <w:bidi w:val="0"/>
        <w:adjustRightInd/>
        <w:snapToGrid/>
        <w:spacing w:line="400" w:lineRule="exact"/>
        <w:ind w:firstLine="0" w:firstLineChars="0"/>
        <w:jc w:val="center"/>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附表：</w:t>
      </w:r>
      <w:r>
        <w:rPr>
          <w:rFonts w:hint="eastAsia" w:asciiTheme="minorEastAsia" w:hAnsiTheme="minorEastAsia" w:eastAsiaTheme="minorEastAsia"/>
          <w:sz w:val="32"/>
          <w:szCs w:val="32"/>
        </w:rPr>
        <w:t>部门</w:t>
      </w:r>
      <w:r>
        <w:rPr>
          <w:rFonts w:hint="eastAsia" w:asciiTheme="minorEastAsia" w:hAnsiTheme="minorEastAsia" w:eastAsiaTheme="minorEastAsia"/>
          <w:sz w:val="32"/>
          <w:szCs w:val="32"/>
          <w:lang w:val="zh-CN"/>
        </w:rPr>
        <w:t>预算项目支出绩效自评表（2023年度）</w:t>
      </w:r>
    </w:p>
    <w:tbl>
      <w:tblPr>
        <w:tblStyle w:val="16"/>
        <w:tblpPr w:leftFromText="180" w:rightFromText="180" w:vertAnchor="text" w:horzAnchor="page" w:tblpX="1267" w:tblpY="658"/>
        <w:tblOverlap w:val="never"/>
        <w:tblW w:w="9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8"/>
        <w:gridCol w:w="1335"/>
        <w:gridCol w:w="1560"/>
        <w:gridCol w:w="1275"/>
        <w:gridCol w:w="1185"/>
        <w:gridCol w:w="1080"/>
        <w:gridCol w:w="75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日常运转维修经费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乐山市金口河区机关事务服务中心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乐山市金口河区机关事务服务中心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952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463"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164.25</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164.25</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7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做好区本级政务接待工作，并指导各乡镇、各部门的政务接待工作；做好全区机关事务的管理、保障工作;做好全区行政事业单位国有资产管理，负责制定行政事业单位国有资产管理具体规章制度并组织实施;做好全区办公用房使用调配、维修审核及监督管理;做好全区公务车辆的处置、管理和公共机构节能等工作。</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做好区本级政务接待工作，并指导各乡镇、各部门的政务接待工作；做好全区机关事务的管理、保障工作;做好全区行政事业单位国有资产管理，负责制定行政事业单位国有资产管理具体规章制度并组织实施;做好全区办公用房使用调配、维修审核及监督管理;做好全区公务车辆的处置、管理和公共机构节能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分值/权重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（百分制）</w:t>
            </w:r>
          </w:p>
        </w:tc>
        <w:tc>
          <w:tcPr>
            <w:tcW w:w="7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4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    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部分资金未及时支付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02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预算执行率（10分）</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82.13%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部分资金未及时支付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133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保障公务接待批次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≧50场次</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80场次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33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7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33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项目完成时效</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2023年12月31日前</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已完成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33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机关食堂运行成本</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i w:val="0"/>
                <w:color w:val="333333"/>
                <w:sz w:val="18"/>
                <w:szCs w:val="18"/>
                <w:u w:val="none"/>
              </w:rPr>
            </w:pPr>
            <w:r>
              <w:rPr>
                <w:rStyle w:val="37"/>
                <w:lang w:val="en-US" w:eastAsia="zh-CN" w:bidi="ar"/>
              </w:rPr>
              <w:t>≦200</w:t>
            </w:r>
            <w:r>
              <w:rPr>
                <w:rStyle w:val="38"/>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164.25万元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部分资金未及时支付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效益指标</w:t>
            </w:r>
          </w:p>
        </w:tc>
        <w:tc>
          <w:tcPr>
            <w:tcW w:w="133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7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33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机关后勤服务水平</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持续提升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持续提升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33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生态效益指标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7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33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可持续影响指标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7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133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受益群体满意度</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≧85%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bl>
    <w:p/>
    <w:p>
      <w:pPr>
        <w:rPr>
          <w:rFonts w:ascii="黑体" w:hAnsi="黑体" w:eastAsia="黑体"/>
          <w:sz w:val="32"/>
          <w:szCs w:val="32"/>
        </w:rPr>
      </w:pPr>
      <w:r>
        <w:rPr>
          <w:rFonts w:hint="eastAsia" w:ascii="黑体" w:hAnsi="黑体" w:eastAsia="黑体"/>
          <w:sz w:val="32"/>
          <w:szCs w:val="32"/>
        </w:rPr>
        <w:t>附件2</w:t>
      </w:r>
    </w:p>
    <w:p>
      <w:pPr>
        <w:jc w:val="center"/>
        <w:rPr>
          <w:rFonts w:eastAsia="仿宋_GB2312"/>
          <w:sz w:val="32"/>
          <w:szCs w:val="32"/>
          <w:lang w:val="zh-CN"/>
        </w:rPr>
      </w:pPr>
      <w:r>
        <w:rPr>
          <w:rFonts w:hint="eastAsia" w:ascii="方正小标宋简体" w:hAnsi="方正小标宋简体" w:eastAsia="方正小标宋简体" w:cs="Times New Roman"/>
          <w:sz w:val="44"/>
          <w:szCs w:val="44"/>
        </w:rPr>
        <w:t>日常运转维修费</w:t>
      </w:r>
      <w:r>
        <w:rPr>
          <w:rFonts w:hint="eastAsia" w:ascii="方正小标宋简体" w:hAnsi="方正小标宋简体" w:eastAsia="方正小标宋简体"/>
          <w:sz w:val="44"/>
          <w:szCs w:val="44"/>
        </w:rPr>
        <w:t>项目绩效评价报告</w:t>
      </w:r>
    </w:p>
    <w:p>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pPr>
        <w:adjustRightInd w:val="0"/>
        <w:snapToGrid w:val="0"/>
        <w:spacing w:line="600" w:lineRule="exact"/>
        <w:ind w:firstLine="720"/>
        <w:rPr>
          <w:rFonts w:eastAsia="仿宋_GB2312"/>
          <w:sz w:val="32"/>
          <w:szCs w:val="32"/>
          <w:lang w:val="zh-CN"/>
        </w:rPr>
      </w:pPr>
      <w:r>
        <w:rPr>
          <w:rFonts w:hint="eastAsia" w:ascii="楷体_GB2312" w:eastAsia="楷体_GB2312"/>
          <w:b/>
          <w:sz w:val="32"/>
          <w:szCs w:val="32"/>
          <w:lang w:val="zh-CN"/>
        </w:rPr>
        <w:t>（一）设立背景及基本情况。</w:t>
      </w:r>
      <w:bookmarkStart w:id="70" w:name="OLE_LINK33"/>
      <w:r>
        <w:rPr>
          <w:rFonts w:hint="eastAsia" w:ascii="仿宋_GB2312" w:hAnsi="宋体" w:eastAsia="仿宋_GB2312"/>
          <w:sz w:val="32"/>
          <w:szCs w:val="32"/>
          <w:lang w:val="zh-CN"/>
        </w:rPr>
        <w:t>机关事务日常运转维修费项目为区机关事务中心管理项目，主要职</w:t>
      </w:r>
      <w:r>
        <w:rPr>
          <w:rFonts w:hint="eastAsia" w:ascii="仿宋_GB2312" w:hAnsi="宋体" w:eastAsia="仿宋_GB2312"/>
          <w:sz w:val="32"/>
          <w:szCs w:val="32"/>
        </w:rPr>
        <w:t>责是为保障全区公务接待、公车运行、行政事业单位资产管理、</w:t>
      </w:r>
      <w:r>
        <w:rPr>
          <w:rFonts w:hint="eastAsia" w:ascii="仿宋_GB2312" w:hAnsi="宋体" w:eastAsia="仿宋_GB2312"/>
          <w:sz w:val="32"/>
          <w:szCs w:val="32"/>
          <w:lang w:eastAsia="zh-CN"/>
        </w:rPr>
        <w:t>政府机关食堂运转等工作顺利开展</w:t>
      </w:r>
      <w:r>
        <w:rPr>
          <w:rFonts w:hint="eastAsia" w:ascii="仿宋_GB2312" w:hAnsi="宋体" w:eastAsia="仿宋_GB2312"/>
          <w:sz w:val="32"/>
          <w:szCs w:val="32"/>
        </w:rPr>
        <w:t>。</w:t>
      </w:r>
    </w:p>
    <w:bookmarkEnd w:id="70"/>
    <w:p>
      <w:pPr>
        <w:ind w:firstLine="643" w:firstLineChars="200"/>
        <w:rPr>
          <w:rFonts w:eastAsia="仿宋_GB2312"/>
          <w:sz w:val="32"/>
          <w:szCs w:val="32"/>
          <w:lang w:val="zh-CN"/>
        </w:rPr>
      </w:pPr>
      <w:r>
        <w:rPr>
          <w:rFonts w:hint="eastAsia" w:ascii="楷体_GB2312" w:eastAsia="楷体_GB2312"/>
          <w:b/>
          <w:sz w:val="32"/>
          <w:szCs w:val="32"/>
          <w:lang w:val="zh-CN"/>
        </w:rPr>
        <w:t>（二）实施目的及支持方向。</w:t>
      </w:r>
      <w:bookmarkStart w:id="71" w:name="OLE_LINK34"/>
      <w:r>
        <w:rPr>
          <w:rFonts w:hint="eastAsia" w:eastAsia="仿宋_GB2312"/>
          <w:sz w:val="32"/>
          <w:szCs w:val="32"/>
          <w:lang w:val="zh-CN"/>
        </w:rPr>
        <w:t>项目实施目的和主要工作任务</w:t>
      </w:r>
      <w:r>
        <w:rPr>
          <w:rFonts w:hint="eastAsia" w:ascii="仿宋_GB2312" w:hAnsi="宋体" w:eastAsia="仿宋_GB2312"/>
          <w:sz w:val="32"/>
          <w:szCs w:val="32"/>
        </w:rPr>
        <w:t>主要职责是</w:t>
      </w:r>
      <w:bookmarkStart w:id="72" w:name="OLE_LINK25"/>
      <w:r>
        <w:rPr>
          <w:rFonts w:hint="eastAsia" w:ascii="仿宋_GB2312" w:hAnsi="宋体" w:eastAsia="仿宋_GB2312"/>
          <w:sz w:val="32"/>
          <w:szCs w:val="32"/>
        </w:rPr>
        <w:t>为职工提供优质、卫生、安全工作餐，保障全区公务接待、公车运行、行政事业单位资产管理</w:t>
      </w:r>
      <w:r>
        <w:rPr>
          <w:rFonts w:hint="eastAsia" w:ascii="仿宋_GB2312" w:hAnsi="宋体" w:eastAsia="仿宋_GB2312"/>
          <w:sz w:val="32"/>
          <w:szCs w:val="32"/>
          <w:lang w:eastAsia="zh-CN"/>
        </w:rPr>
        <w:t>工作正常开展</w:t>
      </w:r>
      <w:r>
        <w:rPr>
          <w:rFonts w:hint="eastAsia" w:ascii="仿宋_GB2312" w:hAnsi="宋体" w:eastAsia="仿宋_GB2312"/>
          <w:sz w:val="32"/>
          <w:szCs w:val="32"/>
        </w:rPr>
        <w:t>。</w:t>
      </w:r>
      <w:bookmarkEnd w:id="72"/>
    </w:p>
    <w:bookmarkEnd w:id="71"/>
    <w:p>
      <w:pPr>
        <w:adjustRightInd w:val="0"/>
        <w:snapToGrid w:val="0"/>
        <w:spacing w:line="600" w:lineRule="exact"/>
        <w:ind w:firstLine="720"/>
        <w:rPr>
          <w:rFonts w:ascii="仿宋_GB2312" w:hAnsi="仿宋_GB2312" w:eastAsia="仿宋_GB2312" w:cs="仿宋_GB2312"/>
          <w:kern w:val="0"/>
          <w:sz w:val="32"/>
          <w:szCs w:val="32"/>
          <w:shd w:val="clear" w:color="auto" w:fill="FFFFFF"/>
          <w:lang w:val="zh-CN"/>
        </w:rPr>
      </w:pPr>
      <w:r>
        <w:rPr>
          <w:rFonts w:hint="eastAsia" w:ascii="楷体_GB2312" w:eastAsia="楷体_GB2312"/>
          <w:b/>
          <w:sz w:val="32"/>
          <w:szCs w:val="32"/>
          <w:lang w:val="zh-CN"/>
        </w:rPr>
        <w:t>（三）预算安排及分配管理。</w:t>
      </w:r>
      <w:bookmarkStart w:id="73" w:name="OLE_LINK16"/>
      <w:bookmarkStart w:id="74" w:name="OLE_LINK35"/>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万元，批复数为</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万元，无预算调整。</w:t>
      </w:r>
      <w:r>
        <w:rPr>
          <w:rFonts w:hint="eastAsia" w:ascii="仿宋_GB2312" w:eastAsia="仿宋_GB2312" w:cs="仿宋_GB2312"/>
          <w:color w:val="333333"/>
          <w:sz w:val="32"/>
          <w:szCs w:val="32"/>
          <w:shd w:val="clear" w:color="auto" w:fill="FFFFFF"/>
        </w:rPr>
        <w:t>资金开支范围主要为</w:t>
      </w:r>
      <w:bookmarkEnd w:id="73"/>
      <w:r>
        <w:rPr>
          <w:rFonts w:hint="eastAsia" w:ascii="仿宋_GB2312" w:eastAsia="仿宋_GB2312" w:cs="仿宋_GB2312"/>
          <w:color w:val="333333"/>
          <w:sz w:val="32"/>
          <w:szCs w:val="32"/>
          <w:shd w:val="clear" w:color="auto" w:fill="FFFFFF"/>
        </w:rPr>
        <w:t>水电费、机关食堂运行服务费、劳务费、接待费</w:t>
      </w:r>
      <w:r>
        <w:rPr>
          <w:rFonts w:hint="eastAsia" w:ascii="仿宋_GB2312" w:eastAsia="仿宋_GB2312" w:cs="仿宋_GB2312"/>
          <w:color w:val="333333"/>
          <w:sz w:val="32"/>
          <w:szCs w:val="32"/>
          <w:shd w:val="clear" w:color="auto" w:fill="FFFFFF"/>
          <w:lang w:eastAsia="zh-CN"/>
        </w:rPr>
        <w:t>餐费、住宿</w:t>
      </w:r>
      <w:r>
        <w:rPr>
          <w:rFonts w:hint="eastAsia" w:ascii="仿宋_GB2312" w:eastAsia="仿宋_GB2312" w:cs="仿宋_GB2312"/>
          <w:color w:val="333333"/>
          <w:sz w:val="32"/>
          <w:szCs w:val="32"/>
          <w:shd w:val="clear" w:color="auto" w:fill="FFFFFF"/>
        </w:rPr>
        <w:t>费等。资金支付范围、支付标准、支付进度、支付依据等严格按照上级部门要求发放，未人为提高标准</w:t>
      </w:r>
      <w:r>
        <w:rPr>
          <w:rFonts w:hint="eastAsia" w:ascii="仿宋_GB2312" w:eastAsia="仿宋_GB2312" w:cs="仿宋_GB2312"/>
          <w:color w:val="333333"/>
          <w:sz w:val="32"/>
          <w:szCs w:val="32"/>
          <w:shd w:val="clear" w:color="auto" w:fill="FFFFFF"/>
          <w:lang w:eastAsia="zh-CN"/>
        </w:rPr>
        <w:t>，</w:t>
      </w:r>
      <w:r>
        <w:rPr>
          <w:rFonts w:hint="eastAsia" w:ascii="仿宋_GB2312" w:eastAsia="仿宋_GB2312" w:cs="仿宋_GB2312"/>
          <w:color w:val="333333"/>
          <w:sz w:val="32"/>
          <w:szCs w:val="32"/>
          <w:shd w:val="clear" w:color="auto" w:fill="FFFFFF"/>
        </w:rPr>
        <w:t>资金支付与预算相符。</w:t>
      </w:r>
    </w:p>
    <w:bookmarkEnd w:id="74"/>
    <w:p>
      <w:pPr>
        <w:adjustRightInd w:val="0"/>
        <w:snapToGrid w:val="0"/>
        <w:spacing w:line="600" w:lineRule="exact"/>
        <w:ind w:firstLine="720"/>
        <w:rPr>
          <w:rFonts w:eastAsia="仿宋_GB2312"/>
          <w:sz w:val="32"/>
          <w:szCs w:val="32"/>
          <w:lang w:val="zh-CN"/>
        </w:rPr>
      </w:pPr>
      <w:r>
        <w:rPr>
          <w:rFonts w:hint="eastAsia" w:ascii="楷体_GB2312" w:eastAsia="楷体_GB2312"/>
          <w:b/>
          <w:sz w:val="32"/>
          <w:szCs w:val="32"/>
          <w:lang w:val="zh-CN"/>
        </w:rPr>
        <w:t>（四）项目绩效目标设置。</w:t>
      </w:r>
      <w:bookmarkStart w:id="75" w:name="OLE_LINK17"/>
      <w:bookmarkStart w:id="76" w:name="OLE_LINK36"/>
      <w:r>
        <w:rPr>
          <w:rFonts w:hint="eastAsia" w:ascii="仿宋_GB2312" w:hAnsi="宋体" w:eastAsia="仿宋_GB2312" w:cs="Times New Roman"/>
          <w:sz w:val="32"/>
          <w:szCs w:val="32"/>
          <w:lang w:val="zh-CN"/>
        </w:rPr>
        <w:t>该项目为年初预算项目，每年根据上一年度资金使用情况合理规划下一年度绩效目标，</w:t>
      </w:r>
      <w:bookmarkEnd w:id="75"/>
      <w:r>
        <w:rPr>
          <w:rFonts w:hint="eastAsia" w:ascii="仿宋_GB2312" w:hAnsi="宋体" w:eastAsia="仿宋_GB2312" w:cs="Times New Roman"/>
          <w:sz w:val="32"/>
          <w:szCs w:val="32"/>
          <w:lang w:val="en-US" w:eastAsia="zh-CN"/>
        </w:rPr>
        <w:t>2023年度绩效目标为</w:t>
      </w:r>
      <w:r>
        <w:rPr>
          <w:rFonts w:hint="eastAsia" w:ascii="仿宋_GB2312" w:hAnsi="宋体" w:eastAsia="仿宋_GB2312" w:cs="Times New Roman"/>
          <w:sz w:val="32"/>
          <w:szCs w:val="32"/>
        </w:rPr>
        <w:t>为职工提供优质、卫生、安全工作</w:t>
      </w:r>
      <w:r>
        <w:rPr>
          <w:rFonts w:hint="eastAsia" w:ascii="仿宋_GB2312" w:hAnsi="宋体" w:eastAsia="仿宋_GB2312"/>
          <w:sz w:val="32"/>
          <w:szCs w:val="32"/>
        </w:rPr>
        <w:t>餐，保障全区公务接待、公车运行、行政事业单位资产管理。</w:t>
      </w:r>
      <w:bookmarkEnd w:id="76"/>
    </w:p>
    <w:p>
      <w:pPr>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pPr>
        <w:ind w:firstLine="643" w:firstLineChars="200"/>
        <w:rPr>
          <w:rFonts w:eastAsia="仿宋_GB2312"/>
          <w:sz w:val="32"/>
          <w:szCs w:val="32"/>
          <w:lang w:val="zh-CN"/>
        </w:rPr>
      </w:pPr>
      <w:r>
        <w:rPr>
          <w:rFonts w:hint="eastAsia" w:ascii="楷体_GB2312" w:eastAsia="楷体_GB2312"/>
          <w:b/>
          <w:sz w:val="32"/>
          <w:szCs w:val="32"/>
          <w:lang w:val="zh-CN"/>
        </w:rPr>
        <w:t>（一）评价目的。</w:t>
      </w:r>
      <w:bookmarkStart w:id="77" w:name="OLE_LINK18"/>
      <w:bookmarkStart w:id="78" w:name="OLE_LINK37"/>
      <w:r>
        <w:rPr>
          <w:rFonts w:hint="eastAsia" w:eastAsia="仿宋_GB2312"/>
          <w:sz w:val="32"/>
          <w:szCs w:val="32"/>
          <w:lang w:val="zh-CN"/>
        </w:rPr>
        <w:t>通过项目绩效自评实现</w:t>
      </w:r>
      <w:bookmarkEnd w:id="77"/>
      <w:r>
        <w:rPr>
          <w:rFonts w:hint="eastAsia" w:eastAsia="仿宋_GB2312"/>
          <w:sz w:val="32"/>
          <w:szCs w:val="32"/>
          <w:lang w:val="zh-CN"/>
        </w:rPr>
        <w:t>服务质量提升，具体表现为</w:t>
      </w:r>
      <w:r>
        <w:rPr>
          <w:rFonts w:hint="eastAsia" w:ascii="仿宋_GB2312" w:hAnsi="宋体" w:eastAsia="仿宋_GB2312"/>
          <w:sz w:val="32"/>
          <w:szCs w:val="32"/>
        </w:rPr>
        <w:t>为职工提供优质、卫生、安全工作餐，保障全区公务接待、公车运行、行政事业单位资产管理。</w:t>
      </w:r>
    </w:p>
    <w:bookmarkEnd w:id="78"/>
    <w:p>
      <w:pPr>
        <w:ind w:firstLine="643" w:firstLineChars="200"/>
        <w:rPr>
          <w:rFonts w:eastAsia="仿宋_GB2312"/>
          <w:sz w:val="32"/>
          <w:szCs w:val="32"/>
          <w:lang w:val="zh-CN"/>
        </w:rPr>
      </w:pPr>
      <w:r>
        <w:rPr>
          <w:rFonts w:hint="eastAsia" w:ascii="楷体_GB2312" w:eastAsia="楷体_GB2312"/>
          <w:b/>
          <w:sz w:val="32"/>
          <w:szCs w:val="32"/>
          <w:lang w:val="zh-CN"/>
        </w:rPr>
        <w:t>（二）预设问题及评价重点。</w:t>
      </w:r>
      <w:r>
        <w:rPr>
          <w:rFonts w:hint="eastAsia" w:eastAsia="仿宋_GB2312"/>
          <w:sz w:val="32"/>
          <w:szCs w:val="32"/>
          <w:lang w:val="zh-CN"/>
        </w:rPr>
        <w:t>按照绩效评价指标体系，对资金支出使用全过程及其实施效果进行综合评价和判断。</w:t>
      </w:r>
    </w:p>
    <w:p>
      <w:pPr>
        <w:ind w:firstLine="643" w:firstLineChars="200"/>
        <w:rPr>
          <w:rFonts w:eastAsia="仿宋_GB2312"/>
          <w:sz w:val="32"/>
          <w:szCs w:val="32"/>
          <w:lang w:val="zh-CN"/>
        </w:rPr>
      </w:pPr>
      <w:r>
        <w:rPr>
          <w:rFonts w:hint="eastAsia" w:ascii="楷体_GB2312" w:eastAsia="楷体_GB2312"/>
          <w:b/>
          <w:sz w:val="32"/>
          <w:szCs w:val="32"/>
          <w:lang w:val="zh-CN"/>
        </w:rPr>
        <w:t>（三）评价选点。</w:t>
      </w:r>
      <w:bookmarkStart w:id="79" w:name="OLE_LINK26"/>
      <w:r>
        <w:rPr>
          <w:rFonts w:hint="eastAsia" w:ascii="Times New Roman" w:hAnsi="Times New Roman" w:eastAsia="仿宋_GB2312" w:cs="Times New Roman"/>
          <w:sz w:val="32"/>
          <w:szCs w:val="32"/>
          <w:lang w:val="zh-CN"/>
        </w:rPr>
        <w:t>本</w:t>
      </w:r>
      <w:r>
        <w:rPr>
          <w:rFonts w:hint="eastAsia" w:eastAsia="仿宋_GB2312"/>
          <w:sz w:val="32"/>
          <w:szCs w:val="32"/>
          <w:lang w:val="zh-CN"/>
        </w:rPr>
        <w:t>项目绩效自评抽样点位有</w:t>
      </w:r>
      <w:bookmarkEnd w:id="79"/>
      <w:r>
        <w:rPr>
          <w:rFonts w:hint="eastAsia" w:eastAsia="仿宋_GB2312"/>
          <w:sz w:val="32"/>
          <w:szCs w:val="32"/>
          <w:lang w:val="zh-CN"/>
        </w:rPr>
        <w:t>政府机关食堂、公务仓等。</w:t>
      </w:r>
    </w:p>
    <w:p>
      <w:pPr>
        <w:ind w:firstLine="643" w:firstLineChars="200"/>
        <w:rPr>
          <w:rFonts w:eastAsia="仿宋_GB2312"/>
          <w:sz w:val="32"/>
          <w:szCs w:val="32"/>
          <w:lang w:val="zh-CN"/>
        </w:rPr>
      </w:pPr>
      <w:r>
        <w:rPr>
          <w:rFonts w:hint="eastAsia" w:ascii="楷体_GB2312" w:eastAsia="楷体_GB2312"/>
          <w:b/>
          <w:sz w:val="32"/>
          <w:szCs w:val="32"/>
          <w:lang w:val="zh-CN"/>
        </w:rPr>
        <w:t>（四）评价方法。</w:t>
      </w:r>
      <w:bookmarkStart w:id="80" w:name="OLE_LINK27"/>
      <w:r>
        <w:rPr>
          <w:rFonts w:hint="eastAsia" w:ascii="Times New Roman" w:hAnsi="Times New Roman" w:eastAsia="仿宋_GB2312" w:cs="Times New Roman"/>
          <w:sz w:val="32"/>
          <w:szCs w:val="32"/>
          <w:lang w:val="zh-CN"/>
        </w:rPr>
        <w:t>本项目采用单位</w:t>
      </w:r>
      <w:r>
        <w:rPr>
          <w:rFonts w:hint="eastAsia" w:eastAsia="仿宋_GB2312"/>
          <w:sz w:val="32"/>
          <w:szCs w:val="32"/>
          <w:lang w:val="zh-CN"/>
        </w:rPr>
        <w:t>自评法进行绩效自评。</w:t>
      </w:r>
    </w:p>
    <w:bookmarkEnd w:id="80"/>
    <w:p>
      <w:pPr>
        <w:ind w:firstLine="643" w:firstLineChars="200"/>
        <w:rPr>
          <w:rFonts w:eastAsia="仿宋_GB2312"/>
          <w:sz w:val="32"/>
          <w:szCs w:val="32"/>
          <w:lang w:val="zh-CN"/>
        </w:rPr>
      </w:pPr>
      <w:r>
        <w:rPr>
          <w:rFonts w:hint="eastAsia" w:ascii="楷体_GB2312" w:eastAsia="楷体_GB2312"/>
          <w:b/>
          <w:sz w:val="32"/>
          <w:szCs w:val="32"/>
          <w:lang w:val="zh-CN"/>
        </w:rPr>
        <w:t>（五）评价组织。</w:t>
      </w:r>
      <w:bookmarkStart w:id="81" w:name="OLE_LINK28"/>
      <w:r>
        <w:rPr>
          <w:rFonts w:hint="eastAsia" w:ascii="仿宋_GB2312" w:hAnsi="仿宋_GB2312" w:eastAsia="仿宋_GB2312" w:cs="仿宋_GB2312"/>
          <w:i w:val="0"/>
          <w:caps w:val="0"/>
          <w:color w:val="191919"/>
          <w:spacing w:val="0"/>
          <w:sz w:val="32"/>
          <w:szCs w:val="32"/>
          <w:shd w:val="clear" w:color="auto" w:fill="FFFFFF"/>
          <w:lang w:val="en-US" w:eastAsia="zh-CN"/>
        </w:rPr>
        <w:t>为确保绩效评价工作取得实效，成立以中心主任为组长，副主任为副组长，中层干部为成员的评价工作领导小组。领导小组下设办公室，由中心副主任任办公室主任，负责推进绩效自评工作，组长负责绩效自评工作的统筹协调和督促检查，压实绩效自评工作责任。</w:t>
      </w:r>
      <w:bookmarkEnd w:id="81"/>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0" w:firstLineChars="200"/>
        <w:rPr>
          <w:rFonts w:eastAsia="仿宋_GB2312"/>
          <w:sz w:val="32"/>
          <w:szCs w:val="32"/>
          <w:lang w:val="zh-CN"/>
        </w:rPr>
      </w:pPr>
      <w:r>
        <w:rPr>
          <w:rFonts w:hint="eastAsia" w:eastAsia="仿宋_GB2312"/>
          <w:sz w:val="32"/>
          <w:szCs w:val="32"/>
          <w:lang w:val="zh-CN"/>
        </w:rPr>
        <w:t>根据项目预算绩效评价指标体系“通用指标”“专用指标”“个性指标”涉及二、三级指标进行逐项绩效分析并评分。</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楷体_GB2312" w:eastAsia="楷体_GB2312"/>
          <w:sz w:val="32"/>
          <w:szCs w:val="32"/>
          <w:lang w:val="zh-CN"/>
        </w:rPr>
        <w:t>1.项目决策。</w:t>
      </w:r>
      <w:bookmarkStart w:id="82" w:name="OLE_LINK29"/>
      <w:r>
        <w:rPr>
          <w:rFonts w:hint="eastAsia" w:ascii="仿宋_GB2312" w:hAnsi="宋体" w:eastAsia="仿宋_GB2312"/>
          <w:sz w:val="32"/>
          <w:szCs w:val="32"/>
          <w:lang w:val="zh-CN"/>
        </w:rPr>
        <w:t>该项目为区委常委会审议通过项目</w:t>
      </w:r>
      <w:r>
        <w:rPr>
          <w:rFonts w:hint="eastAsia" w:ascii="仿宋_GB2312" w:hAnsi="仿宋_GB2312" w:eastAsia="仿宋_GB2312" w:cs="仿宋_GB2312"/>
          <w:sz w:val="32"/>
          <w:szCs w:val="32"/>
        </w:rPr>
        <w:t>，符合当前经济社会发展需要，可行性论证充分，项目预期提供的效益可衡量，目标绩效设定符合实际需求</w:t>
      </w:r>
      <w:r>
        <w:rPr>
          <w:rFonts w:hint="eastAsia" w:ascii="仿宋_GB2312" w:hAnsi="仿宋_GB2312" w:eastAsia="仿宋_GB2312" w:cs="仿宋_GB2312"/>
          <w:sz w:val="32"/>
          <w:szCs w:val="32"/>
          <w:lang w:eastAsia="zh-CN"/>
        </w:rPr>
        <w:t>。</w:t>
      </w:r>
    </w:p>
    <w:bookmarkEnd w:id="82"/>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right="0" w:rightChars="0" w:firstLine="640" w:firstLineChars="200"/>
        <w:jc w:val="left"/>
        <w:rPr>
          <w:rFonts w:eastAsia="仿宋_GB2312"/>
          <w:sz w:val="32"/>
          <w:szCs w:val="32"/>
          <w:lang w:val="zh-CN"/>
        </w:rPr>
      </w:pPr>
      <w:r>
        <w:rPr>
          <w:rFonts w:hint="eastAsia" w:ascii="楷体_GB2312" w:eastAsia="楷体_GB2312"/>
          <w:sz w:val="32"/>
          <w:szCs w:val="32"/>
          <w:lang w:val="zh-CN"/>
        </w:rPr>
        <w:t>2.项目管理。</w:t>
      </w:r>
      <w:bookmarkStart w:id="83" w:name="OLE_LINK30"/>
      <w:r>
        <w:rPr>
          <w:rFonts w:hint="eastAsia" w:ascii="仿宋_GB2312" w:hAnsi="Times New Roman" w:eastAsia="仿宋_GB2312" w:cs="仿宋_GB2312"/>
          <w:i w:val="0"/>
          <w:iCs w:val="0"/>
          <w:caps w:val="0"/>
          <w:color w:val="000000"/>
          <w:spacing w:val="0"/>
          <w:sz w:val="32"/>
          <w:szCs w:val="32"/>
          <w:shd w:val="clear" w:fill="FFFFFF"/>
        </w:rPr>
        <w:t>为保证项目的顺利实施，</w:t>
      </w:r>
      <w:r>
        <w:rPr>
          <w:rFonts w:hint="eastAsia" w:ascii="仿宋_GB2312" w:hAnsi="Times New Roman" w:eastAsia="仿宋_GB2312" w:cs="仿宋_GB2312"/>
          <w:i w:val="0"/>
          <w:iCs w:val="0"/>
          <w:caps w:val="0"/>
          <w:color w:val="000000"/>
          <w:spacing w:val="0"/>
          <w:sz w:val="32"/>
          <w:szCs w:val="32"/>
          <w:shd w:val="clear" w:fill="FFFFFF"/>
          <w:lang w:eastAsia="zh-CN"/>
        </w:rPr>
        <w:t>我中心各股室</w:t>
      </w:r>
      <w:r>
        <w:rPr>
          <w:rFonts w:hint="eastAsia" w:ascii="仿宋_GB2312" w:hAnsi="Times New Roman" w:eastAsia="仿宋_GB2312" w:cs="仿宋_GB2312"/>
          <w:i w:val="0"/>
          <w:iCs w:val="0"/>
          <w:caps w:val="0"/>
          <w:color w:val="000000"/>
          <w:spacing w:val="0"/>
          <w:sz w:val="32"/>
          <w:szCs w:val="32"/>
          <w:shd w:val="clear" w:fill="FFFFFF"/>
        </w:rPr>
        <w:t>密切配合</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建立健全</w:t>
      </w:r>
      <w:r>
        <w:rPr>
          <w:rFonts w:hint="eastAsia" w:ascii="仿宋_GB2312" w:hAnsi="Times New Roman" w:eastAsia="仿宋_GB2312" w:cs="仿宋_GB2312"/>
          <w:i w:val="0"/>
          <w:iCs w:val="0"/>
          <w:caps w:val="0"/>
          <w:color w:val="000000"/>
          <w:spacing w:val="0"/>
          <w:sz w:val="32"/>
          <w:szCs w:val="32"/>
          <w:shd w:val="clear" w:fill="FFFFFF"/>
          <w:lang w:eastAsia="zh-CN"/>
        </w:rPr>
        <w:t>了</w:t>
      </w:r>
      <w:r>
        <w:rPr>
          <w:rFonts w:hint="eastAsia" w:ascii="仿宋_GB2312" w:hAnsi="Times New Roman" w:eastAsia="仿宋_GB2312" w:cs="仿宋_GB2312"/>
          <w:i w:val="0"/>
          <w:iCs w:val="0"/>
          <w:caps w:val="0"/>
          <w:color w:val="000000"/>
          <w:spacing w:val="0"/>
          <w:sz w:val="32"/>
          <w:szCs w:val="32"/>
          <w:shd w:val="clear" w:fill="FFFFFF"/>
        </w:rPr>
        <w:t>责任机制，落实任务分工</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严格按照会计制度进行财务核算和财务管理，做到财务处理及时、会计核算规范。</w:t>
      </w:r>
    </w:p>
    <w:bookmarkEnd w:id="83"/>
    <w:p>
      <w:pPr>
        <w:adjustRightInd w:val="0"/>
        <w:snapToGrid w:val="0"/>
        <w:spacing w:line="600" w:lineRule="exact"/>
        <w:ind w:firstLine="720"/>
        <w:rPr>
          <w:rFonts w:ascii="楷体_GB2312" w:hAnsi="宋体" w:eastAsia="楷体_GB2312"/>
          <w:b/>
          <w:sz w:val="32"/>
          <w:szCs w:val="32"/>
          <w:lang w:val="zh-CN"/>
        </w:rPr>
      </w:pPr>
      <w:r>
        <w:rPr>
          <w:rFonts w:hint="eastAsia" w:ascii="楷体_GB2312" w:eastAsia="楷体_GB2312"/>
          <w:sz w:val="32"/>
          <w:szCs w:val="32"/>
          <w:lang w:val="zh-CN"/>
        </w:rPr>
        <w:t>3.项目实施。</w:t>
      </w:r>
      <w:bookmarkStart w:id="84" w:name="OLE_LINK31"/>
      <w:r>
        <w:rPr>
          <w:rFonts w:hint="eastAsia" w:ascii="仿宋_GB2312" w:hAnsi="仿宋_GB2312" w:eastAsia="仿宋_GB2312" w:cs="仿宋_GB2312"/>
          <w:sz w:val="32"/>
          <w:szCs w:val="32"/>
        </w:rPr>
        <w:t>该项目为全年持续性项目，按月实施。</w:t>
      </w:r>
      <w:r>
        <w:rPr>
          <w:rFonts w:hint="eastAsia" w:ascii="仿宋_GB2312" w:hAnsi="宋体" w:eastAsia="仿宋_GB2312"/>
          <w:sz w:val="32"/>
          <w:szCs w:val="32"/>
          <w:lang w:val="zh-CN"/>
        </w:rPr>
        <w:t>该项目在20</w:t>
      </w:r>
      <w:r>
        <w:rPr>
          <w:rFonts w:hint="eastAsia" w:ascii="仿宋_GB2312" w:hAnsi="宋体" w:eastAsia="仿宋_GB2312"/>
          <w:sz w:val="32"/>
          <w:szCs w:val="32"/>
          <w:lang w:val="en-US" w:eastAsia="zh-CN"/>
        </w:rPr>
        <w:t>23</w:t>
      </w:r>
      <w:r>
        <w:rPr>
          <w:rFonts w:hint="eastAsia" w:ascii="仿宋_GB2312" w:hAnsi="宋体" w:eastAsia="仿宋_GB2312"/>
          <w:sz w:val="32"/>
          <w:szCs w:val="32"/>
          <w:lang w:val="zh-CN"/>
        </w:rPr>
        <w:t>年度全面完成，在该项目的实施过程中严格控制运行成本的同时保证了服务质量。</w:t>
      </w:r>
    </w:p>
    <w:bookmarkEnd w:id="84"/>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720"/>
        <w:jc w:val="both"/>
        <w:rPr>
          <w:rFonts w:hint="eastAsia" w:ascii="仿宋_GB2312" w:hAnsi="宋体" w:eastAsia="仿宋_GB2312"/>
          <w:sz w:val="32"/>
          <w:szCs w:val="32"/>
          <w:lang w:eastAsia="zh-CN"/>
        </w:rPr>
      </w:pPr>
      <w:r>
        <w:rPr>
          <w:rFonts w:hint="eastAsia" w:ascii="楷体_GB2312" w:eastAsia="楷体_GB2312"/>
          <w:sz w:val="32"/>
          <w:szCs w:val="32"/>
          <w:lang w:val="zh-CN"/>
        </w:rPr>
        <w:t>4.项目结果。</w:t>
      </w:r>
      <w:bookmarkStart w:id="85" w:name="OLE_LINK32"/>
      <w:r>
        <w:rPr>
          <w:rFonts w:hint="eastAsia" w:ascii="仿宋_GB2312" w:hAnsi="Times New Roman" w:eastAsia="仿宋_GB2312" w:cs="仿宋_GB2312"/>
          <w:i w:val="0"/>
          <w:iCs w:val="0"/>
          <w:caps w:val="0"/>
          <w:color w:val="000000"/>
          <w:spacing w:val="0"/>
          <w:sz w:val="32"/>
          <w:szCs w:val="32"/>
          <w:shd w:val="clear" w:fill="FFFFFF"/>
        </w:rPr>
        <w:t>社会效益方面</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通过</w:t>
      </w:r>
      <w:r>
        <w:rPr>
          <w:rFonts w:hint="eastAsia" w:ascii="仿宋_GB2312" w:hAnsi="Times New Roman" w:eastAsia="仿宋_GB2312" w:cs="仿宋_GB2312"/>
          <w:i w:val="0"/>
          <w:iCs w:val="0"/>
          <w:caps w:val="0"/>
          <w:color w:val="000000"/>
          <w:spacing w:val="0"/>
          <w:sz w:val="32"/>
          <w:szCs w:val="32"/>
          <w:shd w:val="clear" w:fill="FFFFFF"/>
          <w:lang w:eastAsia="zh-CN"/>
        </w:rPr>
        <w:t>项目实施</w:t>
      </w:r>
      <w:r>
        <w:rPr>
          <w:rFonts w:hint="eastAsia" w:ascii="仿宋_GB2312" w:hAnsi="宋体" w:eastAsia="仿宋_GB2312"/>
          <w:sz w:val="32"/>
          <w:szCs w:val="32"/>
          <w:lang w:eastAsia="zh-CN"/>
        </w:rPr>
        <w:t>保障了全区重要公务接待、公车运行、行政事业单位资产管理工作的正常开展。</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720"/>
        <w:jc w:val="both"/>
        <w:rPr>
          <w:rFonts w:hint="eastAsia" w:ascii="仿宋_GB2312" w:hAnsi="Times New Roman" w:eastAsia="仿宋_GB2312" w:cs="仿宋_GB2312"/>
          <w:i w:val="0"/>
          <w:iCs w:val="0"/>
          <w:caps w:val="0"/>
          <w:color w:val="000000"/>
          <w:spacing w:val="0"/>
          <w:sz w:val="32"/>
          <w:szCs w:val="32"/>
          <w:shd w:val="clear" w:fill="FFFFFF"/>
          <w:lang w:eastAsia="zh-CN"/>
        </w:rPr>
      </w:pPr>
      <w:r>
        <w:rPr>
          <w:rFonts w:hint="eastAsia" w:ascii="仿宋_GB2312" w:hAnsi="Times New Roman" w:eastAsia="仿宋_GB2312" w:cs="仿宋_GB2312"/>
          <w:i w:val="0"/>
          <w:iCs w:val="0"/>
          <w:caps w:val="0"/>
          <w:color w:val="000000"/>
          <w:spacing w:val="0"/>
          <w:sz w:val="32"/>
          <w:szCs w:val="32"/>
          <w:shd w:val="clear" w:fill="FFFFFF"/>
        </w:rPr>
        <w:t>经济效益方面</w:t>
      </w:r>
      <w:r>
        <w:rPr>
          <w:rFonts w:hint="eastAsia" w:ascii="仿宋_GB2312" w:hAnsi="Times New Roman" w:eastAsia="仿宋_GB2312" w:cs="仿宋_GB2312"/>
          <w:i w:val="0"/>
          <w:iCs w:val="0"/>
          <w:caps w:val="0"/>
          <w:color w:val="000000"/>
          <w:spacing w:val="0"/>
          <w:sz w:val="32"/>
          <w:szCs w:val="32"/>
          <w:shd w:val="clear" w:fill="FFFFFF"/>
          <w:lang w:eastAsia="zh-CN"/>
        </w:rPr>
        <w:t>：提高了资金使用效率，节约成本。</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720"/>
        <w:jc w:val="both"/>
        <w:rPr>
          <w:rFonts w:eastAsia="仿宋_GB2312"/>
          <w:sz w:val="32"/>
          <w:szCs w:val="32"/>
          <w:lang w:val="zh-CN"/>
        </w:rPr>
      </w:pPr>
      <w:r>
        <w:rPr>
          <w:rFonts w:hint="eastAsia" w:ascii="仿宋_GB2312" w:hAnsi="Times New Roman" w:eastAsia="仿宋_GB2312" w:cs="仿宋_GB2312"/>
          <w:i w:val="0"/>
          <w:iCs w:val="0"/>
          <w:caps w:val="0"/>
          <w:color w:val="000000"/>
          <w:spacing w:val="0"/>
          <w:sz w:val="32"/>
          <w:szCs w:val="32"/>
          <w:shd w:val="clear" w:fill="FFFFFF"/>
        </w:rPr>
        <w:t>满意度方面</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sz w:val="32"/>
          <w:szCs w:val="32"/>
        </w:rPr>
        <w:t>障了</w:t>
      </w:r>
      <w:r>
        <w:rPr>
          <w:rFonts w:hint="eastAsia" w:ascii="仿宋_GB2312" w:hAnsi="仿宋_GB2312" w:eastAsia="仿宋_GB2312" w:cs="仿宋_GB2312"/>
          <w:sz w:val="32"/>
          <w:szCs w:val="32"/>
          <w:lang w:eastAsia="zh-CN"/>
        </w:rPr>
        <w:t>公共机构节能、</w:t>
      </w:r>
      <w:r>
        <w:rPr>
          <w:rFonts w:hint="eastAsia" w:ascii="仿宋_GB2312" w:hAnsi="仿宋_GB2312" w:eastAsia="仿宋_GB2312" w:cs="仿宋_GB2312"/>
          <w:sz w:val="32"/>
          <w:szCs w:val="32"/>
        </w:rPr>
        <w:t>机关食堂</w:t>
      </w:r>
      <w:r>
        <w:rPr>
          <w:rFonts w:hint="eastAsia" w:ascii="仿宋_GB2312" w:hAnsi="仿宋_GB2312" w:eastAsia="仿宋_GB2312" w:cs="仿宋_GB2312"/>
          <w:sz w:val="32"/>
          <w:szCs w:val="32"/>
          <w:lang w:eastAsia="zh-CN"/>
        </w:rPr>
        <w:t>、公务用车、办公用房、行政事业单位资产管理等工作</w:t>
      </w:r>
      <w:r>
        <w:rPr>
          <w:rFonts w:hint="eastAsia" w:ascii="仿宋_GB2312" w:hAnsi="仿宋_GB2312" w:eastAsia="仿宋_GB2312" w:cs="仿宋_GB2312"/>
          <w:sz w:val="32"/>
          <w:szCs w:val="32"/>
        </w:rPr>
        <w:t>的正常运转，</w:t>
      </w:r>
      <w:r>
        <w:rPr>
          <w:rFonts w:hint="eastAsia" w:ascii="仿宋_GB2312" w:hAnsi="仿宋_GB2312" w:eastAsia="仿宋_GB2312" w:cs="仿宋_GB2312"/>
          <w:sz w:val="32"/>
          <w:szCs w:val="32"/>
          <w:lang w:eastAsia="zh-CN"/>
        </w:rPr>
        <w:t>干部职工</w:t>
      </w:r>
      <w:r>
        <w:rPr>
          <w:rFonts w:hint="eastAsia" w:ascii="仿宋_GB2312" w:hAnsi="仿宋_GB2312" w:eastAsia="仿宋_GB2312" w:cs="仿宋_GB2312"/>
          <w:sz w:val="32"/>
          <w:szCs w:val="32"/>
        </w:rPr>
        <w:t>满意度高。</w:t>
      </w:r>
    </w:p>
    <w:bookmarkEnd w:id="85"/>
    <w:p>
      <w:pPr>
        <w:ind w:firstLine="643" w:firstLineChars="200"/>
        <w:rPr>
          <w:rFonts w:hint="eastAsia" w:ascii="Times New Roman" w:hAnsi="Times New Roman" w:eastAsia="仿宋_GB2312" w:cs="Times New Roman"/>
          <w:sz w:val="32"/>
          <w:szCs w:val="32"/>
          <w:lang w:val="zh-CN"/>
        </w:rPr>
      </w:pPr>
      <w:r>
        <w:rPr>
          <w:rFonts w:hint="eastAsia" w:ascii="楷体_GB2312" w:eastAsia="楷体_GB2312"/>
          <w:b/>
          <w:sz w:val="32"/>
          <w:szCs w:val="32"/>
          <w:lang w:val="zh-CN"/>
        </w:rPr>
        <w:t>（二）专用指标绩效分析。</w:t>
      </w:r>
      <w:r>
        <w:rPr>
          <w:rFonts w:hint="eastAsia" w:ascii="Times New Roman" w:hAnsi="Times New Roman" w:eastAsia="仿宋_GB2312" w:cs="Times New Roman"/>
          <w:sz w:val="32"/>
          <w:szCs w:val="32"/>
          <w:lang w:val="zh-CN"/>
        </w:rPr>
        <w:t>无</w:t>
      </w:r>
    </w:p>
    <w:p>
      <w:pPr>
        <w:ind w:firstLine="643" w:firstLineChars="200"/>
        <w:rPr>
          <w:rFonts w:eastAsia="仿宋_GB2312"/>
          <w:sz w:val="32"/>
          <w:szCs w:val="32"/>
          <w:lang w:val="zh-CN"/>
        </w:rPr>
      </w:pPr>
      <w:r>
        <w:rPr>
          <w:rFonts w:hint="eastAsia" w:ascii="楷体_GB2312" w:eastAsia="楷体_GB2312"/>
          <w:b/>
          <w:sz w:val="32"/>
          <w:szCs w:val="32"/>
          <w:lang w:val="zh-CN"/>
        </w:rPr>
        <w:t>（三）个性指标绩效分析。</w:t>
      </w:r>
      <w:r>
        <w:rPr>
          <w:rFonts w:hint="eastAsia" w:eastAsia="仿宋_GB2312"/>
          <w:sz w:val="32"/>
          <w:szCs w:val="32"/>
          <w:lang w:val="zh-CN"/>
        </w:rPr>
        <w:t>无</w:t>
      </w:r>
    </w:p>
    <w:p>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pPr>
        <w:spacing w:line="600" w:lineRule="exact"/>
        <w:ind w:firstLine="640" w:firstLineChars="200"/>
        <w:rPr>
          <w:rFonts w:hint="default" w:eastAsia="仿宋_GB2312"/>
          <w:sz w:val="32"/>
          <w:szCs w:val="32"/>
          <w:lang w:val="en-US" w:eastAsia="zh-CN"/>
        </w:rPr>
      </w:pPr>
      <w:r>
        <w:rPr>
          <w:rFonts w:hint="eastAsia" w:ascii="仿宋_GB2312" w:hAnsi="仿宋" w:eastAsia="仿宋_GB2312"/>
          <w:sz w:val="32"/>
          <w:szCs w:val="32"/>
        </w:rPr>
        <w:t>该项目做到了资金使用规范、程序透明、达到</w:t>
      </w:r>
      <w:r>
        <w:rPr>
          <w:rFonts w:hint="eastAsia" w:ascii="仿宋_GB2312" w:hAnsi="仿宋" w:eastAsia="仿宋_GB2312"/>
          <w:sz w:val="32"/>
          <w:szCs w:val="32"/>
          <w:lang w:eastAsia="zh-CN"/>
        </w:rPr>
        <w:t>了</w:t>
      </w:r>
      <w:r>
        <w:rPr>
          <w:rFonts w:hint="eastAsia" w:ascii="仿宋_GB2312" w:hAnsi="仿宋" w:eastAsia="仿宋_GB2312"/>
          <w:sz w:val="32"/>
          <w:szCs w:val="32"/>
        </w:rPr>
        <w:t>预期绩效目标，确保了</w:t>
      </w:r>
      <w:r>
        <w:rPr>
          <w:rFonts w:hint="eastAsia" w:ascii="仿宋_GB2312" w:hAnsi="仿宋" w:eastAsia="仿宋_GB2312"/>
          <w:sz w:val="32"/>
          <w:szCs w:val="32"/>
          <w:lang w:eastAsia="zh-CN"/>
        </w:rPr>
        <w:t>机关事务服务中心各项工作</w:t>
      </w:r>
      <w:r>
        <w:rPr>
          <w:rFonts w:hint="eastAsia" w:ascii="仿宋_GB2312" w:hAnsi="仿宋" w:eastAsia="仿宋_GB2312"/>
          <w:sz w:val="32"/>
          <w:szCs w:val="32"/>
        </w:rPr>
        <w:t>的正常运行，保证了目标任务的圆满完成。</w:t>
      </w:r>
      <w:r>
        <w:rPr>
          <w:rFonts w:hint="eastAsia" w:ascii="仿宋_GB2312" w:hAnsi="仿宋" w:eastAsia="仿宋_GB2312"/>
          <w:sz w:val="32"/>
          <w:szCs w:val="32"/>
          <w:lang w:eastAsia="zh-CN"/>
        </w:rPr>
        <w:t>项目自评得分</w:t>
      </w:r>
      <w:r>
        <w:rPr>
          <w:rFonts w:hint="eastAsia" w:ascii="仿宋_GB2312" w:hAnsi="仿宋" w:eastAsia="仿宋_GB2312"/>
          <w:sz w:val="32"/>
          <w:szCs w:val="32"/>
          <w:lang w:val="en-US" w:eastAsia="zh-CN"/>
        </w:rPr>
        <w:t>94.1分。</w:t>
      </w:r>
    </w:p>
    <w:p>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pPr>
        <w:ind w:firstLine="640" w:firstLineChars="200"/>
        <w:rPr>
          <w:rFonts w:hint="eastAsia" w:eastAsia="仿宋_GB2312"/>
          <w:sz w:val="32"/>
          <w:szCs w:val="32"/>
          <w:lang w:val="zh-CN"/>
        </w:rPr>
      </w:pPr>
      <w:r>
        <w:rPr>
          <w:rFonts w:hint="eastAsia" w:eastAsia="仿宋_GB2312"/>
          <w:sz w:val="32"/>
          <w:szCs w:val="32"/>
          <w:lang w:val="zh-CN"/>
        </w:rPr>
        <w:t>无</w:t>
      </w:r>
    </w:p>
    <w:p>
      <w:pPr>
        <w:ind w:firstLine="640" w:firstLineChars="200"/>
        <w:rPr>
          <w:rFonts w:ascii="黑体" w:hAnsi="黑体" w:eastAsia="黑体"/>
          <w:sz w:val="32"/>
          <w:szCs w:val="32"/>
          <w:lang w:val="zh-CN"/>
        </w:rPr>
      </w:pPr>
      <w:r>
        <w:rPr>
          <w:rFonts w:hint="eastAsia" w:ascii="黑体" w:hAnsi="黑体" w:eastAsia="黑体"/>
          <w:sz w:val="32"/>
          <w:szCs w:val="32"/>
          <w:lang w:val="zh-CN"/>
        </w:rPr>
        <w:t>六、改进建议</w:t>
      </w:r>
    </w:p>
    <w:p>
      <w:pPr>
        <w:ind w:firstLine="640" w:firstLineChars="200"/>
        <w:rPr>
          <w:rFonts w:hint="eastAsia" w:ascii="黑体" w:hAnsi="黑体" w:eastAsia="黑体"/>
        </w:rPr>
      </w:pPr>
      <w:r>
        <w:rPr>
          <w:rFonts w:hint="eastAsia" w:eastAsia="仿宋_GB2312"/>
          <w:sz w:val="32"/>
          <w:szCs w:val="32"/>
          <w:lang w:val="zh-CN"/>
        </w:rPr>
        <w:t>无</w:t>
      </w:r>
    </w:p>
    <w:p>
      <w:pPr>
        <w:rPr>
          <w:rFonts w:hint="eastAsia"/>
        </w:rPr>
      </w:pPr>
    </w:p>
    <w:p>
      <w:pPr>
        <w:pStyle w:val="3"/>
        <w:jc w:val="center"/>
        <w:rPr>
          <w:rFonts w:ascii="黑体" w:hAnsi="黑体" w:eastAsia="黑体"/>
        </w:rPr>
      </w:pPr>
      <w:r>
        <w:rPr>
          <w:rFonts w:hint="eastAsia" w:ascii="黑体" w:hAnsi="黑体" w:eastAsia="黑体"/>
        </w:rPr>
        <w:t>第五部分 附表</w:t>
      </w:r>
    </w:p>
    <w:p>
      <w:pPr>
        <w:rPr>
          <w:rFonts w:ascii="仿宋" w:hAnsi="仿宋" w:eastAsia="仿宋"/>
          <w:sz w:val="32"/>
          <w:szCs w:val="32"/>
        </w:rPr>
      </w:pPr>
      <w:r>
        <w:rPr>
          <w:rFonts w:hint="eastAsia" w:ascii="仿宋" w:hAnsi="仿宋" w:eastAsia="仿宋"/>
          <w:sz w:val="32"/>
          <w:szCs w:val="32"/>
        </w:rPr>
        <w:t>一、收入支出决算总表</w:t>
      </w:r>
    </w:p>
    <w:p>
      <w:pPr>
        <w:rPr>
          <w:rFonts w:ascii="仿宋" w:hAnsi="仿宋" w:eastAsia="仿宋"/>
          <w:sz w:val="32"/>
          <w:szCs w:val="32"/>
        </w:rPr>
      </w:pPr>
      <w:r>
        <w:rPr>
          <w:rFonts w:hint="eastAsia" w:ascii="仿宋" w:hAnsi="仿宋" w:eastAsia="仿宋"/>
          <w:sz w:val="32"/>
          <w:szCs w:val="32"/>
        </w:rPr>
        <w:t>二、收入决算表</w:t>
      </w:r>
    </w:p>
    <w:p>
      <w:pPr>
        <w:rPr>
          <w:rFonts w:ascii="仿宋" w:hAnsi="仿宋" w:eastAsia="仿宋"/>
          <w:sz w:val="32"/>
          <w:szCs w:val="32"/>
        </w:rPr>
      </w:pPr>
      <w:r>
        <w:rPr>
          <w:rFonts w:hint="eastAsia" w:ascii="仿宋" w:hAnsi="仿宋" w:eastAsia="仿宋"/>
          <w:sz w:val="32"/>
          <w:szCs w:val="32"/>
        </w:rPr>
        <w:t>三、支出决算表</w:t>
      </w:r>
    </w:p>
    <w:p>
      <w:pPr>
        <w:rPr>
          <w:rFonts w:ascii="仿宋" w:hAnsi="仿宋" w:eastAsia="仿宋"/>
          <w:sz w:val="32"/>
          <w:szCs w:val="32"/>
        </w:rPr>
      </w:pPr>
      <w:r>
        <w:rPr>
          <w:rFonts w:hint="eastAsia" w:ascii="仿宋" w:hAnsi="仿宋" w:eastAsia="仿宋"/>
          <w:sz w:val="32"/>
          <w:szCs w:val="32"/>
        </w:rPr>
        <w:t>四、财政拨款收入支出决算总表</w:t>
      </w:r>
    </w:p>
    <w:p>
      <w:pPr>
        <w:rPr>
          <w:rFonts w:ascii="仿宋" w:hAnsi="仿宋" w:eastAsia="仿宋"/>
          <w:sz w:val="32"/>
          <w:szCs w:val="32"/>
        </w:rPr>
      </w:pPr>
      <w:r>
        <w:rPr>
          <w:rFonts w:hint="eastAsia" w:ascii="仿宋" w:hAnsi="仿宋" w:eastAsia="仿宋"/>
          <w:sz w:val="32"/>
          <w:szCs w:val="32"/>
        </w:rPr>
        <w:t>五、财政拨款支出决算明细表</w:t>
      </w:r>
    </w:p>
    <w:p>
      <w:pPr>
        <w:rPr>
          <w:rFonts w:ascii="仿宋" w:hAnsi="仿宋" w:eastAsia="仿宋"/>
          <w:sz w:val="32"/>
          <w:szCs w:val="32"/>
        </w:rPr>
      </w:pPr>
      <w:r>
        <w:rPr>
          <w:rFonts w:hint="eastAsia" w:ascii="仿宋" w:hAnsi="仿宋" w:eastAsia="仿宋"/>
          <w:sz w:val="32"/>
          <w:szCs w:val="32"/>
        </w:rPr>
        <w:t>六、一般公共预算财政拨款支出决算表</w:t>
      </w:r>
    </w:p>
    <w:p>
      <w:pPr>
        <w:rPr>
          <w:rFonts w:ascii="仿宋" w:hAnsi="仿宋" w:eastAsia="仿宋"/>
          <w:sz w:val="32"/>
          <w:szCs w:val="32"/>
        </w:rPr>
      </w:pPr>
      <w:r>
        <w:rPr>
          <w:rFonts w:hint="eastAsia" w:ascii="仿宋" w:hAnsi="仿宋" w:eastAsia="仿宋"/>
          <w:sz w:val="32"/>
          <w:szCs w:val="32"/>
        </w:rPr>
        <w:t>七、一般公共预算财政拨款支出决算明细表</w:t>
      </w:r>
    </w:p>
    <w:p>
      <w:pPr>
        <w:rPr>
          <w:rFonts w:ascii="仿宋" w:hAnsi="仿宋" w:eastAsia="仿宋"/>
          <w:sz w:val="32"/>
          <w:szCs w:val="32"/>
        </w:rPr>
      </w:pPr>
      <w:r>
        <w:rPr>
          <w:rFonts w:hint="eastAsia" w:ascii="仿宋" w:hAnsi="仿宋" w:eastAsia="仿宋"/>
          <w:sz w:val="32"/>
          <w:szCs w:val="32"/>
        </w:rPr>
        <w:t>八、一般公共预算财政拨款基本支出决算表</w:t>
      </w:r>
    </w:p>
    <w:p>
      <w:pPr>
        <w:rPr>
          <w:rFonts w:ascii="仿宋" w:hAnsi="仿宋" w:eastAsia="仿宋"/>
          <w:sz w:val="32"/>
          <w:szCs w:val="32"/>
        </w:rPr>
      </w:pPr>
      <w:r>
        <w:rPr>
          <w:rFonts w:hint="eastAsia" w:ascii="仿宋" w:hAnsi="仿宋" w:eastAsia="仿宋"/>
          <w:sz w:val="32"/>
          <w:szCs w:val="32"/>
        </w:rPr>
        <w:t>九、一般公共预算财政拨款项目支出决算表</w:t>
      </w:r>
    </w:p>
    <w:p>
      <w:pPr>
        <w:rPr>
          <w:rFonts w:ascii="仿宋" w:hAnsi="仿宋" w:eastAsia="仿宋"/>
          <w:sz w:val="32"/>
          <w:szCs w:val="32"/>
        </w:rPr>
      </w:pPr>
      <w:r>
        <w:rPr>
          <w:rFonts w:hint="eastAsia" w:ascii="仿宋" w:hAnsi="仿宋" w:eastAsia="仿宋"/>
          <w:sz w:val="32"/>
          <w:szCs w:val="32"/>
        </w:rPr>
        <w:t>十、政府性基金预算财政拨款收入支出决算表</w:t>
      </w:r>
    </w:p>
    <w:p>
      <w:pPr>
        <w:rPr>
          <w:rFonts w:ascii="仿宋" w:hAnsi="仿宋" w:eastAsia="仿宋"/>
          <w:sz w:val="32"/>
          <w:szCs w:val="32"/>
        </w:rPr>
      </w:pPr>
      <w:r>
        <w:rPr>
          <w:rFonts w:hint="eastAsia" w:ascii="仿宋" w:hAnsi="仿宋" w:eastAsia="仿宋"/>
          <w:sz w:val="32"/>
          <w:szCs w:val="32"/>
        </w:rPr>
        <w:t>十一、国有资本经营预算财政拨款收入支出决算表</w:t>
      </w:r>
    </w:p>
    <w:p>
      <w:pPr>
        <w:rPr>
          <w:rFonts w:ascii="仿宋" w:hAnsi="仿宋" w:eastAsia="仿宋"/>
          <w:sz w:val="32"/>
          <w:szCs w:val="32"/>
        </w:rPr>
      </w:pPr>
      <w:r>
        <w:rPr>
          <w:rFonts w:hint="eastAsia" w:ascii="仿宋" w:hAnsi="仿宋" w:eastAsia="仿宋"/>
          <w:sz w:val="32"/>
          <w:szCs w:val="32"/>
        </w:rPr>
        <w:t>十二、国有资本经营预算财政拨款支出决算表</w:t>
      </w:r>
    </w:p>
    <w:p>
      <w:pPr>
        <w:rPr>
          <w:rFonts w:ascii="仿宋" w:hAnsi="仿宋" w:eastAsia="仿宋"/>
          <w:sz w:val="32"/>
          <w:szCs w:val="32"/>
        </w:rPr>
      </w:pPr>
      <w:r>
        <w:rPr>
          <w:rFonts w:hint="eastAsia" w:ascii="仿宋" w:hAnsi="仿宋" w:eastAsia="仿宋"/>
          <w:sz w:val="32"/>
          <w:szCs w:val="32"/>
        </w:rPr>
        <w:t>十三、财政拨款“三公”经费支出决算表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23</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978C33F"/>
    <w:multiLevelType w:val="singleLevel"/>
    <w:tmpl w:val="3978C33F"/>
    <w:lvl w:ilvl="0" w:tentative="0">
      <w:start w:val="1"/>
      <w:numFmt w:val="chineseCounting"/>
      <w:suff w:val="nothing"/>
      <w:lvlText w:val="%1、"/>
      <w:lvlJc w:val="left"/>
      <w:rPr>
        <w:rFonts w:hint="eastAsia"/>
      </w:rPr>
    </w:lvl>
  </w:abstractNum>
  <w:abstractNum w:abstractNumId="3">
    <w:nsid w:val="7AAB7124"/>
    <w:multiLevelType w:val="singleLevel"/>
    <w:tmpl w:val="7AAB7124"/>
    <w:lvl w:ilvl="0" w:tentative="0">
      <w:start w:val="1"/>
      <w:numFmt w:val="decimal"/>
      <w:lvlText w:val="%1."/>
      <w:lvlJc w:val="left"/>
      <w:pPr>
        <w:tabs>
          <w:tab w:val="left" w:pos="312"/>
        </w:tabs>
      </w:pPr>
    </w:lvl>
  </w:abstractNum>
  <w:abstractNum w:abstractNumId="4">
    <w:nsid w:val="7EE55BF3"/>
    <w:multiLevelType w:val="multilevel"/>
    <w:tmpl w:val="7EE55BF3"/>
    <w:lvl w:ilvl="0" w:tentative="0">
      <w:start w:val="1"/>
      <w:numFmt w:val="chineseCountingThousand"/>
      <w:pStyle w:val="36"/>
      <w:suff w:val="nothing"/>
      <w:lvlText w:val="（%1）"/>
      <w:lvlJc w:val="left"/>
      <w:pPr>
        <w:ind w:left="5" w:firstLine="635"/>
      </w:pPr>
      <w:rPr>
        <w:rFonts w:hint="eastAsia"/>
        <w:b/>
      </w:rPr>
    </w:lvl>
    <w:lvl w:ilvl="1" w:tentative="0">
      <w:start w:val="1"/>
      <w:numFmt w:val="decimal"/>
      <w:lvlText w:val="%2."/>
      <w:lvlJc w:val="left"/>
      <w:pPr>
        <w:ind w:left="985" w:hanging="360"/>
      </w:pPr>
      <w:rPr>
        <w:rFonts w:hint="default"/>
      </w:rPr>
    </w:lvl>
    <w:lvl w:ilvl="2" w:tentative="0">
      <w:start w:val="1"/>
      <w:numFmt w:val="lowerRoman"/>
      <w:lvlText w:val="%3."/>
      <w:lvlJc w:val="right"/>
      <w:pPr>
        <w:ind w:left="1465" w:hanging="420"/>
      </w:pPr>
    </w:lvl>
    <w:lvl w:ilvl="3" w:tentative="0">
      <w:start w:val="1"/>
      <w:numFmt w:val="decimal"/>
      <w:lvlText w:val="%4."/>
      <w:lvlJc w:val="left"/>
      <w:pPr>
        <w:ind w:left="1885" w:hanging="420"/>
      </w:pPr>
    </w:lvl>
    <w:lvl w:ilvl="4" w:tentative="0">
      <w:start w:val="1"/>
      <w:numFmt w:val="lowerLetter"/>
      <w:lvlText w:val="%5)"/>
      <w:lvlJc w:val="left"/>
      <w:pPr>
        <w:ind w:left="2305" w:hanging="420"/>
      </w:pPr>
    </w:lvl>
    <w:lvl w:ilvl="5" w:tentative="0">
      <w:start w:val="1"/>
      <w:numFmt w:val="lowerRoman"/>
      <w:lvlText w:val="%6."/>
      <w:lvlJc w:val="right"/>
      <w:pPr>
        <w:ind w:left="2725" w:hanging="420"/>
      </w:pPr>
    </w:lvl>
    <w:lvl w:ilvl="6" w:tentative="0">
      <w:start w:val="1"/>
      <w:numFmt w:val="decimal"/>
      <w:lvlText w:val="%7."/>
      <w:lvlJc w:val="left"/>
      <w:pPr>
        <w:ind w:left="3145" w:hanging="420"/>
      </w:pPr>
    </w:lvl>
    <w:lvl w:ilvl="7" w:tentative="0">
      <w:start w:val="1"/>
      <w:numFmt w:val="lowerLetter"/>
      <w:lvlText w:val="%8)"/>
      <w:lvlJc w:val="left"/>
      <w:pPr>
        <w:ind w:left="3565" w:hanging="420"/>
      </w:pPr>
    </w:lvl>
    <w:lvl w:ilvl="8" w:tentative="0">
      <w:start w:val="1"/>
      <w:numFmt w:val="lowerRoman"/>
      <w:lvlText w:val="%9."/>
      <w:lvlJc w:val="right"/>
      <w:pPr>
        <w:ind w:left="3985"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15F5DD0"/>
    <w:rsid w:val="01F0200C"/>
    <w:rsid w:val="02BB136B"/>
    <w:rsid w:val="02FEBE30"/>
    <w:rsid w:val="030218C4"/>
    <w:rsid w:val="031A6F97"/>
    <w:rsid w:val="032121AE"/>
    <w:rsid w:val="036F8141"/>
    <w:rsid w:val="038753D5"/>
    <w:rsid w:val="0445718F"/>
    <w:rsid w:val="0524197F"/>
    <w:rsid w:val="0550006B"/>
    <w:rsid w:val="05B71B10"/>
    <w:rsid w:val="064F2365"/>
    <w:rsid w:val="066E0107"/>
    <w:rsid w:val="072C42D2"/>
    <w:rsid w:val="07996F6E"/>
    <w:rsid w:val="07DFD8BA"/>
    <w:rsid w:val="07EF1DD2"/>
    <w:rsid w:val="08E9498D"/>
    <w:rsid w:val="09C51A18"/>
    <w:rsid w:val="0A2032A3"/>
    <w:rsid w:val="0B131D8D"/>
    <w:rsid w:val="0BD433DA"/>
    <w:rsid w:val="0C5B5B11"/>
    <w:rsid w:val="0CC066D9"/>
    <w:rsid w:val="0CF31BCF"/>
    <w:rsid w:val="0D35B1ED"/>
    <w:rsid w:val="0E6104FB"/>
    <w:rsid w:val="0E6D01B4"/>
    <w:rsid w:val="0E7ED1F5"/>
    <w:rsid w:val="0F98263C"/>
    <w:rsid w:val="101860EC"/>
    <w:rsid w:val="10875725"/>
    <w:rsid w:val="10C055FF"/>
    <w:rsid w:val="10FB55F1"/>
    <w:rsid w:val="118107EC"/>
    <w:rsid w:val="128D6A75"/>
    <w:rsid w:val="13D50BC4"/>
    <w:rsid w:val="13F5616D"/>
    <w:rsid w:val="144F072D"/>
    <w:rsid w:val="149D5BBD"/>
    <w:rsid w:val="150141A2"/>
    <w:rsid w:val="157440D9"/>
    <w:rsid w:val="16297AE2"/>
    <w:rsid w:val="16BB723D"/>
    <w:rsid w:val="16C709B8"/>
    <w:rsid w:val="17A625D6"/>
    <w:rsid w:val="17AE5DD2"/>
    <w:rsid w:val="17F9714D"/>
    <w:rsid w:val="18FF79C5"/>
    <w:rsid w:val="1918F934"/>
    <w:rsid w:val="19F43619"/>
    <w:rsid w:val="1A1E30A1"/>
    <w:rsid w:val="1A2A4D7A"/>
    <w:rsid w:val="1A5204BD"/>
    <w:rsid w:val="1AC90FAA"/>
    <w:rsid w:val="1B2376AD"/>
    <w:rsid w:val="1B9B3D54"/>
    <w:rsid w:val="1BDC4741"/>
    <w:rsid w:val="1BE8440E"/>
    <w:rsid w:val="1C266FD1"/>
    <w:rsid w:val="1C5C4774"/>
    <w:rsid w:val="1D155CEE"/>
    <w:rsid w:val="1D290EB7"/>
    <w:rsid w:val="1DE640FF"/>
    <w:rsid w:val="1DFBC4B3"/>
    <w:rsid w:val="1E740ACF"/>
    <w:rsid w:val="1F19C781"/>
    <w:rsid w:val="1F2D7C1D"/>
    <w:rsid w:val="1F33FCE5"/>
    <w:rsid w:val="1F7F7398"/>
    <w:rsid w:val="1FD2DB6F"/>
    <w:rsid w:val="1FF35744"/>
    <w:rsid w:val="1FF6BC77"/>
    <w:rsid w:val="1FF9236D"/>
    <w:rsid w:val="203565E4"/>
    <w:rsid w:val="20920EFC"/>
    <w:rsid w:val="2251345B"/>
    <w:rsid w:val="22BC1FF4"/>
    <w:rsid w:val="22D514B6"/>
    <w:rsid w:val="2333840E"/>
    <w:rsid w:val="23860B96"/>
    <w:rsid w:val="240371BF"/>
    <w:rsid w:val="25132A72"/>
    <w:rsid w:val="257C638F"/>
    <w:rsid w:val="25F933EC"/>
    <w:rsid w:val="267947AD"/>
    <w:rsid w:val="27A36BE8"/>
    <w:rsid w:val="284665D3"/>
    <w:rsid w:val="28ED45B4"/>
    <w:rsid w:val="296960FC"/>
    <w:rsid w:val="29FD04D3"/>
    <w:rsid w:val="2A191EF8"/>
    <w:rsid w:val="2B104E04"/>
    <w:rsid w:val="2B146082"/>
    <w:rsid w:val="2BFF7BC6"/>
    <w:rsid w:val="2C8A61B5"/>
    <w:rsid w:val="2CD06E35"/>
    <w:rsid w:val="2CD59C95"/>
    <w:rsid w:val="2D5C7999"/>
    <w:rsid w:val="2DF04E50"/>
    <w:rsid w:val="2EF50388"/>
    <w:rsid w:val="2EFD05E5"/>
    <w:rsid w:val="2F040D46"/>
    <w:rsid w:val="2F4F95CE"/>
    <w:rsid w:val="2FACAFDD"/>
    <w:rsid w:val="2FAE5751"/>
    <w:rsid w:val="2FB1A395"/>
    <w:rsid w:val="2FCF0B76"/>
    <w:rsid w:val="2FD9A7D8"/>
    <w:rsid w:val="30C16364"/>
    <w:rsid w:val="319F7F4E"/>
    <w:rsid w:val="325A127C"/>
    <w:rsid w:val="3304709D"/>
    <w:rsid w:val="343A1645"/>
    <w:rsid w:val="35D16D51"/>
    <w:rsid w:val="36AA5135"/>
    <w:rsid w:val="36AD1C42"/>
    <w:rsid w:val="36BE0DA7"/>
    <w:rsid w:val="376B6AA6"/>
    <w:rsid w:val="376D39B2"/>
    <w:rsid w:val="37E16F03"/>
    <w:rsid w:val="37F53A3B"/>
    <w:rsid w:val="38917D69"/>
    <w:rsid w:val="38D469F0"/>
    <w:rsid w:val="38F78389"/>
    <w:rsid w:val="396E7247"/>
    <w:rsid w:val="397BAF1F"/>
    <w:rsid w:val="39E6FA9B"/>
    <w:rsid w:val="39E7B272"/>
    <w:rsid w:val="39F7642F"/>
    <w:rsid w:val="39FF7B37"/>
    <w:rsid w:val="3A523949"/>
    <w:rsid w:val="3AB79AF3"/>
    <w:rsid w:val="3AFDCB77"/>
    <w:rsid w:val="3B7BC94C"/>
    <w:rsid w:val="3B7EF35A"/>
    <w:rsid w:val="3B9FDB6C"/>
    <w:rsid w:val="3BAD4824"/>
    <w:rsid w:val="3BF5BC2F"/>
    <w:rsid w:val="3BF7C23A"/>
    <w:rsid w:val="3BFF223E"/>
    <w:rsid w:val="3C5D74B8"/>
    <w:rsid w:val="3C6EC0A1"/>
    <w:rsid w:val="3C930CED"/>
    <w:rsid w:val="3CDB0824"/>
    <w:rsid w:val="3CEBA265"/>
    <w:rsid w:val="3D026DA3"/>
    <w:rsid w:val="3D6A7F9F"/>
    <w:rsid w:val="3D7E7F4D"/>
    <w:rsid w:val="3D98207C"/>
    <w:rsid w:val="3D9CF30A"/>
    <w:rsid w:val="3DFF5A3E"/>
    <w:rsid w:val="3E3B459E"/>
    <w:rsid w:val="3E78745D"/>
    <w:rsid w:val="3EB17CED"/>
    <w:rsid w:val="3EEE77E9"/>
    <w:rsid w:val="3F394AF5"/>
    <w:rsid w:val="3FA47376"/>
    <w:rsid w:val="3FBE5714"/>
    <w:rsid w:val="3FDD8615"/>
    <w:rsid w:val="3FDFB2FF"/>
    <w:rsid w:val="3FF4CAE0"/>
    <w:rsid w:val="3FF70957"/>
    <w:rsid w:val="3FF75FAF"/>
    <w:rsid w:val="3FF7B227"/>
    <w:rsid w:val="400C0D96"/>
    <w:rsid w:val="411858B8"/>
    <w:rsid w:val="41E03C34"/>
    <w:rsid w:val="423F253E"/>
    <w:rsid w:val="44AB2637"/>
    <w:rsid w:val="44E268DA"/>
    <w:rsid w:val="44F829EA"/>
    <w:rsid w:val="457F4F6B"/>
    <w:rsid w:val="46A24CF0"/>
    <w:rsid w:val="4737FB58"/>
    <w:rsid w:val="47ECCB02"/>
    <w:rsid w:val="47FA6A3F"/>
    <w:rsid w:val="48067AAD"/>
    <w:rsid w:val="48300895"/>
    <w:rsid w:val="48405A16"/>
    <w:rsid w:val="48811D03"/>
    <w:rsid w:val="48A81B93"/>
    <w:rsid w:val="48B91996"/>
    <w:rsid w:val="49D7AE48"/>
    <w:rsid w:val="49FB376E"/>
    <w:rsid w:val="4A1F4546"/>
    <w:rsid w:val="4A3F6C7E"/>
    <w:rsid w:val="4A627F82"/>
    <w:rsid w:val="4B0E749A"/>
    <w:rsid w:val="4B4F25DA"/>
    <w:rsid w:val="4B722056"/>
    <w:rsid w:val="4BBB4781"/>
    <w:rsid w:val="4BD709A5"/>
    <w:rsid w:val="4BDD9BFF"/>
    <w:rsid w:val="4BE068DB"/>
    <w:rsid w:val="4D577224"/>
    <w:rsid w:val="4DBF1CEB"/>
    <w:rsid w:val="4DBF6A6B"/>
    <w:rsid w:val="4DF6A672"/>
    <w:rsid w:val="4EAB630A"/>
    <w:rsid w:val="4ECE2238"/>
    <w:rsid w:val="4F7EA413"/>
    <w:rsid w:val="4FAB812F"/>
    <w:rsid w:val="4FB54976"/>
    <w:rsid w:val="4FE9BD67"/>
    <w:rsid w:val="4FEE4C07"/>
    <w:rsid w:val="4FFB052F"/>
    <w:rsid w:val="5266163F"/>
    <w:rsid w:val="53117559"/>
    <w:rsid w:val="531D0A88"/>
    <w:rsid w:val="537E6D0A"/>
    <w:rsid w:val="53987432"/>
    <w:rsid w:val="53AB6B88"/>
    <w:rsid w:val="53B400FB"/>
    <w:rsid w:val="53F74C96"/>
    <w:rsid w:val="54586EBE"/>
    <w:rsid w:val="54FB4406"/>
    <w:rsid w:val="5583522D"/>
    <w:rsid w:val="559E14B5"/>
    <w:rsid w:val="55AB4F32"/>
    <w:rsid w:val="56607C45"/>
    <w:rsid w:val="56F0350D"/>
    <w:rsid w:val="57213F32"/>
    <w:rsid w:val="57BD3DD4"/>
    <w:rsid w:val="57E62512"/>
    <w:rsid w:val="57F9CD1E"/>
    <w:rsid w:val="57FFCD18"/>
    <w:rsid w:val="5AAD8CC8"/>
    <w:rsid w:val="5AEA0966"/>
    <w:rsid w:val="5AF92295"/>
    <w:rsid w:val="5AF9D8E9"/>
    <w:rsid w:val="5B3C7E30"/>
    <w:rsid w:val="5BDD38BD"/>
    <w:rsid w:val="5BDD79E6"/>
    <w:rsid w:val="5BEFC772"/>
    <w:rsid w:val="5BFF5DFC"/>
    <w:rsid w:val="5CD71FC4"/>
    <w:rsid w:val="5D1F11B5"/>
    <w:rsid w:val="5D1F2257"/>
    <w:rsid w:val="5D3566BE"/>
    <w:rsid w:val="5D3647F9"/>
    <w:rsid w:val="5D450E12"/>
    <w:rsid w:val="5D612CC1"/>
    <w:rsid w:val="5DA644D4"/>
    <w:rsid w:val="5DAE1B18"/>
    <w:rsid w:val="5DAE2DC0"/>
    <w:rsid w:val="5DE7D9E5"/>
    <w:rsid w:val="5ECEC941"/>
    <w:rsid w:val="5EFF8FC6"/>
    <w:rsid w:val="5F192375"/>
    <w:rsid w:val="5F5BA39A"/>
    <w:rsid w:val="5F7D3B79"/>
    <w:rsid w:val="5F7F4610"/>
    <w:rsid w:val="5FBF9FF3"/>
    <w:rsid w:val="5FCD4E2C"/>
    <w:rsid w:val="5FEF394A"/>
    <w:rsid w:val="5FF67715"/>
    <w:rsid w:val="5FFF4CDA"/>
    <w:rsid w:val="60FC1414"/>
    <w:rsid w:val="612358EA"/>
    <w:rsid w:val="61CA71D5"/>
    <w:rsid w:val="627EE9EA"/>
    <w:rsid w:val="62DA5A20"/>
    <w:rsid w:val="63B23AA5"/>
    <w:rsid w:val="6458542D"/>
    <w:rsid w:val="647F5392"/>
    <w:rsid w:val="64AD75EB"/>
    <w:rsid w:val="64B64B65"/>
    <w:rsid w:val="64E322C4"/>
    <w:rsid w:val="65044794"/>
    <w:rsid w:val="651741EB"/>
    <w:rsid w:val="652006F9"/>
    <w:rsid w:val="65BF238C"/>
    <w:rsid w:val="65FB93B9"/>
    <w:rsid w:val="6633C463"/>
    <w:rsid w:val="670B6A64"/>
    <w:rsid w:val="675F1955"/>
    <w:rsid w:val="677D2756"/>
    <w:rsid w:val="677E3A5B"/>
    <w:rsid w:val="67D55B77"/>
    <w:rsid w:val="67EE7F84"/>
    <w:rsid w:val="686F5F53"/>
    <w:rsid w:val="68D8170E"/>
    <w:rsid w:val="693E5E6E"/>
    <w:rsid w:val="697411F3"/>
    <w:rsid w:val="69753EF9"/>
    <w:rsid w:val="69AC07ED"/>
    <w:rsid w:val="69C67753"/>
    <w:rsid w:val="6AFFCEAF"/>
    <w:rsid w:val="6B96E9E6"/>
    <w:rsid w:val="6BCC6269"/>
    <w:rsid w:val="6BCE57B5"/>
    <w:rsid w:val="6BDB0A81"/>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EFECBED"/>
    <w:rsid w:val="6F196054"/>
    <w:rsid w:val="6F6F90A8"/>
    <w:rsid w:val="6F6FB3EB"/>
    <w:rsid w:val="6F8731EA"/>
    <w:rsid w:val="6FBA5DE8"/>
    <w:rsid w:val="6FBC2ADD"/>
    <w:rsid w:val="6FD57C00"/>
    <w:rsid w:val="6FEFFFD8"/>
    <w:rsid w:val="6FF5CC65"/>
    <w:rsid w:val="6FFB47EC"/>
    <w:rsid w:val="6FFF034A"/>
    <w:rsid w:val="70EC7A43"/>
    <w:rsid w:val="712212A8"/>
    <w:rsid w:val="712A28F1"/>
    <w:rsid w:val="715C0E4B"/>
    <w:rsid w:val="71891F52"/>
    <w:rsid w:val="719B72F0"/>
    <w:rsid w:val="71FFD401"/>
    <w:rsid w:val="7205731D"/>
    <w:rsid w:val="72233669"/>
    <w:rsid w:val="72734D90"/>
    <w:rsid w:val="7332FE48"/>
    <w:rsid w:val="73AD73D5"/>
    <w:rsid w:val="73B370BC"/>
    <w:rsid w:val="73B6EB34"/>
    <w:rsid w:val="73FA497D"/>
    <w:rsid w:val="740D14E5"/>
    <w:rsid w:val="74224211"/>
    <w:rsid w:val="744731E5"/>
    <w:rsid w:val="7484187C"/>
    <w:rsid w:val="74BBD01D"/>
    <w:rsid w:val="74ED5379"/>
    <w:rsid w:val="753529D7"/>
    <w:rsid w:val="754677D4"/>
    <w:rsid w:val="75DEEEC2"/>
    <w:rsid w:val="767F479D"/>
    <w:rsid w:val="76826E7D"/>
    <w:rsid w:val="76E3355F"/>
    <w:rsid w:val="76F742AF"/>
    <w:rsid w:val="76F7BE7D"/>
    <w:rsid w:val="76FF5125"/>
    <w:rsid w:val="77297A12"/>
    <w:rsid w:val="773570D3"/>
    <w:rsid w:val="77597F31"/>
    <w:rsid w:val="7767D501"/>
    <w:rsid w:val="776A61FA"/>
    <w:rsid w:val="776F6FFA"/>
    <w:rsid w:val="7777A522"/>
    <w:rsid w:val="77858688"/>
    <w:rsid w:val="778769C8"/>
    <w:rsid w:val="77CB741A"/>
    <w:rsid w:val="77D7BE3A"/>
    <w:rsid w:val="77DC22F5"/>
    <w:rsid w:val="78986C7F"/>
    <w:rsid w:val="79500D88"/>
    <w:rsid w:val="797E3A6C"/>
    <w:rsid w:val="79B570B6"/>
    <w:rsid w:val="79CF70E2"/>
    <w:rsid w:val="79D7FD79"/>
    <w:rsid w:val="79E75806"/>
    <w:rsid w:val="79EE5BA4"/>
    <w:rsid w:val="7A641148"/>
    <w:rsid w:val="7A6F8BF5"/>
    <w:rsid w:val="7A7CD31D"/>
    <w:rsid w:val="7A894339"/>
    <w:rsid w:val="7ACF82B5"/>
    <w:rsid w:val="7AFF28C9"/>
    <w:rsid w:val="7AFF72A0"/>
    <w:rsid w:val="7AFF7572"/>
    <w:rsid w:val="7B690C89"/>
    <w:rsid w:val="7B6C7DFB"/>
    <w:rsid w:val="7B7D76A7"/>
    <w:rsid w:val="7BAE2FE2"/>
    <w:rsid w:val="7BAF6951"/>
    <w:rsid w:val="7BBFBED0"/>
    <w:rsid w:val="7BC3E394"/>
    <w:rsid w:val="7BE054BA"/>
    <w:rsid w:val="7BF3FE4C"/>
    <w:rsid w:val="7BFB5035"/>
    <w:rsid w:val="7BFD5059"/>
    <w:rsid w:val="7BFDE17E"/>
    <w:rsid w:val="7C4B01B3"/>
    <w:rsid w:val="7CBFC87B"/>
    <w:rsid w:val="7CFE0F48"/>
    <w:rsid w:val="7D3DE31C"/>
    <w:rsid w:val="7D7EC23E"/>
    <w:rsid w:val="7D7F1F72"/>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A441B"/>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B73087D"/>
    <w:rsid w:val="9E59F895"/>
    <w:rsid w:val="9E7DEDC1"/>
    <w:rsid w:val="9EEF2B0D"/>
    <w:rsid w:val="9FF6F2A6"/>
    <w:rsid w:val="9FFE4AD9"/>
    <w:rsid w:val="9FFF61B9"/>
    <w:rsid w:val="A6DD0D7F"/>
    <w:rsid w:val="A7955197"/>
    <w:rsid w:val="A7FE5E0E"/>
    <w:rsid w:val="ADC6F725"/>
    <w:rsid w:val="AF0FFA84"/>
    <w:rsid w:val="AF9F0A5E"/>
    <w:rsid w:val="AFAF3E58"/>
    <w:rsid w:val="AFEF7964"/>
    <w:rsid w:val="B27A6F28"/>
    <w:rsid w:val="B35F0D5A"/>
    <w:rsid w:val="B3F7F693"/>
    <w:rsid w:val="B3FBBB6C"/>
    <w:rsid w:val="B5FFE407"/>
    <w:rsid w:val="B7CF06AB"/>
    <w:rsid w:val="B7CFA926"/>
    <w:rsid w:val="B7F8786B"/>
    <w:rsid w:val="B9EF5647"/>
    <w:rsid w:val="BABB6AA1"/>
    <w:rsid w:val="BAFCD398"/>
    <w:rsid w:val="BAFFDA0F"/>
    <w:rsid w:val="BB2F4199"/>
    <w:rsid w:val="BB312ED0"/>
    <w:rsid w:val="BBFBD24E"/>
    <w:rsid w:val="BD079C78"/>
    <w:rsid w:val="BD2DD278"/>
    <w:rsid w:val="BD733540"/>
    <w:rsid w:val="BD9F0B07"/>
    <w:rsid w:val="BDF7970E"/>
    <w:rsid w:val="BDFE68BD"/>
    <w:rsid w:val="BE6FC990"/>
    <w:rsid w:val="BEBE9537"/>
    <w:rsid w:val="BEFF0D62"/>
    <w:rsid w:val="BEFF90EF"/>
    <w:rsid w:val="BF3735D5"/>
    <w:rsid w:val="BF7F09AC"/>
    <w:rsid w:val="BFB3380D"/>
    <w:rsid w:val="BFB7E7A2"/>
    <w:rsid w:val="BFC2F103"/>
    <w:rsid w:val="BFD475C3"/>
    <w:rsid w:val="BFDE5EA6"/>
    <w:rsid w:val="BFEF324E"/>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AFF6B8"/>
    <w:rsid w:val="DDCB2E5E"/>
    <w:rsid w:val="DDFE75CA"/>
    <w:rsid w:val="DE891485"/>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7250D"/>
    <w:rsid w:val="EBBF924C"/>
    <w:rsid w:val="ECFED1BC"/>
    <w:rsid w:val="ED1D69BB"/>
    <w:rsid w:val="ED2C2584"/>
    <w:rsid w:val="ED7FD312"/>
    <w:rsid w:val="EDAF1DA6"/>
    <w:rsid w:val="EDBE03E0"/>
    <w:rsid w:val="EDD1A84A"/>
    <w:rsid w:val="EDFF8263"/>
    <w:rsid w:val="EE1FA0C7"/>
    <w:rsid w:val="EF53993F"/>
    <w:rsid w:val="EF69EDF9"/>
    <w:rsid w:val="EF7B8152"/>
    <w:rsid w:val="EF8E27E2"/>
    <w:rsid w:val="EFBFB2F4"/>
    <w:rsid w:val="EFBFFA21"/>
    <w:rsid w:val="EFDF4337"/>
    <w:rsid w:val="EFF7097E"/>
    <w:rsid w:val="F2BEBCB8"/>
    <w:rsid w:val="F36B9682"/>
    <w:rsid w:val="F36FB518"/>
    <w:rsid w:val="F3DE1A04"/>
    <w:rsid w:val="F3E244FA"/>
    <w:rsid w:val="F3EFB7CA"/>
    <w:rsid w:val="F3F722E5"/>
    <w:rsid w:val="F5FFCC4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BFC37A"/>
    <w:rsid w:val="FDEB412A"/>
    <w:rsid w:val="FDEE196B"/>
    <w:rsid w:val="FDEF50BC"/>
    <w:rsid w:val="FDFD5EC3"/>
    <w:rsid w:val="FDFE6575"/>
    <w:rsid w:val="FE2F7D1A"/>
    <w:rsid w:val="FE9E11AB"/>
    <w:rsid w:val="FEBF38CD"/>
    <w:rsid w:val="FEDFDDC2"/>
    <w:rsid w:val="FEEB4E4D"/>
    <w:rsid w:val="FEED32F6"/>
    <w:rsid w:val="FEF781DD"/>
    <w:rsid w:val="FEF9D8C4"/>
    <w:rsid w:val="FEFF0267"/>
    <w:rsid w:val="FF3F7E3F"/>
    <w:rsid w:val="FF3FF759"/>
    <w:rsid w:val="FF4749A3"/>
    <w:rsid w:val="FF4D3A28"/>
    <w:rsid w:val="FF5913BC"/>
    <w:rsid w:val="FF767DA0"/>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cs="Arial"/>
      <w:bCs/>
      <w:szCs w:val="21"/>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Autospacing="1" w:afterAutospacing="1"/>
      <w:jc w:val="left"/>
    </w:pPr>
    <w:rPr>
      <w:rFonts w:ascii="Calibri" w:hAnsi="Calibri"/>
      <w:kern w:val="0"/>
      <w:sz w:val="24"/>
    </w:rPr>
  </w:style>
  <w:style w:type="paragraph" w:styleId="15">
    <w:name w:val="Body Text First Indent 2"/>
    <w:basedOn w:val="1"/>
    <w:next w:val="1"/>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3"/>
    <w:qFormat/>
    <w:uiPriority w:val="9"/>
    <w:rPr>
      <w:rFonts w:ascii="Times New Roman" w:hAnsi="Times New Roman"/>
      <w:b/>
      <w:bCs/>
      <w:kern w:val="44"/>
      <w:sz w:val="44"/>
      <w:szCs w:val="44"/>
    </w:rPr>
  </w:style>
  <w:style w:type="character" w:customStyle="1" w:styleId="30">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9"/>
    <w:semiHidden/>
    <w:qFormat/>
    <w:uiPriority w:val="99"/>
    <w:rPr>
      <w:rFonts w:ascii="Times New Roman" w:hAnsi="Times New Roman"/>
      <w:kern w:val="2"/>
      <w:sz w:val="18"/>
      <w:szCs w:val="18"/>
    </w:rPr>
  </w:style>
  <w:style w:type="character" w:customStyle="1" w:styleId="33">
    <w:name w:val="标题 3 字符"/>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B02〗二级标题"/>
    <w:next w:val="1"/>
    <w:qFormat/>
    <w:uiPriority w:val="0"/>
    <w:pPr>
      <w:widowControl w:val="0"/>
      <w:numPr>
        <w:ilvl w:val="0"/>
        <w:numId w:val="1"/>
      </w:numPr>
      <w:spacing w:line="600" w:lineRule="exact"/>
      <w:outlineLvl w:val="1"/>
    </w:pPr>
    <w:rPr>
      <w:rFonts w:ascii="楷体_GB2312" w:hAnsi="Calibri" w:eastAsia="楷体_GB2312" w:cs="Times New Roman"/>
      <w:kern w:val="2"/>
      <w:sz w:val="32"/>
      <w:szCs w:val="21"/>
      <w:lang w:val="zh-CN" w:eastAsia="zh-CN" w:bidi="ar-SA"/>
    </w:rPr>
  </w:style>
  <w:style w:type="character" w:customStyle="1" w:styleId="37">
    <w:name w:val="font11"/>
    <w:basedOn w:val="17"/>
    <w:qFormat/>
    <w:uiPriority w:val="0"/>
    <w:rPr>
      <w:rFonts w:hint="default" w:ascii="微软雅黑" w:hAnsi="微软雅黑" w:eastAsia="微软雅黑" w:cs="微软雅黑"/>
      <w:color w:val="333333"/>
      <w:sz w:val="18"/>
      <w:szCs w:val="18"/>
      <w:u w:val="none"/>
    </w:rPr>
  </w:style>
  <w:style w:type="character" w:customStyle="1" w:styleId="38">
    <w:name w:val="font01"/>
    <w:basedOn w:val="17"/>
    <w:qFormat/>
    <w:uiPriority w:val="0"/>
    <w:rPr>
      <w:rFonts w:hint="eastAsia" w:ascii="宋体" w:hAnsi="宋体" w:eastAsia="宋体" w:cs="宋体"/>
      <w:color w:val="333333"/>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收支总计变动情况图</a:t>
            </a:r>
          </a:p>
        </c:rich>
      </c:tx>
      <c:layout>
        <c:manualLayout>
          <c:xMode val="edge"/>
          <c:yMode val="edge"/>
          <c:x val="0.324676209952284"/>
          <c:y val="0.0390286209887251"/>
        </c:manualLayout>
      </c:layout>
      <c:overlay val="0"/>
      <c:spPr>
        <a:noFill/>
        <a:ln>
          <a:noFill/>
        </a:ln>
        <a:effectLst/>
      </c:spPr>
    </c:title>
    <c:autoTitleDeleted val="0"/>
    <c:plotArea>
      <c:layout>
        <c:manualLayout>
          <c:layoutTarget val="inner"/>
          <c:xMode val="edge"/>
          <c:yMode val="edge"/>
          <c:x val="0.0638854805725971"/>
          <c:y val="0.211492384977239"/>
          <c:w val="0.940013633265167"/>
          <c:h val="0.570952260671887"/>
        </c:manualLayout>
      </c:layout>
      <c:barChart>
        <c:barDir val="col"/>
        <c:grouping val="clustered"/>
        <c:varyColors val="0"/>
        <c:ser>
          <c:idx val="0"/>
          <c:order val="0"/>
          <c:tx>
            <c:strRef>
              <c:f>Sheet1!$B$1</c:f>
              <c:strCache>
                <c:ptCount val="1"/>
                <c:pt idx="0">
                  <c:v>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2023年收支总计</c:v>
                </c:pt>
              </c:strCache>
            </c:strRef>
          </c:cat>
          <c:val>
            <c:numRef>
              <c:f>Sheet1!$B$2</c:f>
              <c:numCache>
                <c:formatCode>General</c:formatCode>
                <c:ptCount val="1"/>
                <c:pt idx="0">
                  <c:v>472.78</c:v>
                </c:pt>
              </c:numCache>
            </c:numRef>
          </c:val>
        </c:ser>
        <c:dLbls>
          <c:showLegendKey val="0"/>
          <c:showVal val="1"/>
          <c:showCatName val="0"/>
          <c:showSerName val="0"/>
          <c:showPercent val="0"/>
          <c:showBubbleSize val="0"/>
        </c:dLbls>
        <c:gapWidth val="219"/>
        <c:overlap val="-27"/>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Sheet1!$B$2:$B$9</c:f>
              <c:numCache>
                <c:formatCode>General</c:formatCode>
                <c:ptCount val="8"/>
                <c:pt idx="0">
                  <c:v>100</c:v>
                </c:pt>
                <c:pt idx="1">
                  <c:v>0</c:v>
                </c:pt>
                <c:pt idx="2">
                  <c:v>0</c:v>
                </c:pt>
                <c:pt idx="3">
                  <c:v>0</c:v>
                </c:pt>
                <c:pt idx="4">
                  <c:v>0</c:v>
                </c:pt>
                <c:pt idx="5">
                  <c:v>0</c:v>
                </c:pt>
                <c:pt idx="6">
                  <c:v>0</c:v>
                </c:pt>
                <c:pt idx="7">
                  <c:v>0</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Sheet1!$C$2:$C$8</c:f>
              <c:numCache>
                <c:formatCode>General</c:formatCode>
                <c:ptCount val="7"/>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0.00_ </c:formatCode>
                <c:ptCount val="5"/>
                <c:pt idx="0">
                  <c:v>257.84</c:v>
                </c:pt>
                <c:pt idx="1">
                  <c:v>214.76</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2023年财政拨款收支总计</c:v>
                </c:pt>
              </c:strCache>
            </c:strRef>
          </c:cat>
          <c:val>
            <c:numRef>
              <c:f>Sheet1!$B$2</c:f>
              <c:numCache>
                <c:formatCode>General</c:formatCode>
                <c:ptCount val="1"/>
                <c:pt idx="0">
                  <c:v>472.55</c:v>
                </c:pt>
              </c:numCache>
            </c:numRef>
          </c:val>
        </c:ser>
        <c:dLbls>
          <c:showLegendKey val="0"/>
          <c:showVal val="1"/>
          <c:showCatName val="0"/>
          <c:showSerName val="0"/>
          <c:showPercent val="0"/>
          <c:showBubbleSize val="0"/>
        </c:dLbls>
        <c:gapWidth val="219"/>
        <c:overlap val="-27"/>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2023年一般公共预算财政拨款支出总计</c:v>
                </c:pt>
              </c:strCache>
            </c:strRef>
          </c:cat>
          <c:val>
            <c:numRef>
              <c:f>Sheet1!$B$2</c:f>
              <c:numCache>
                <c:formatCode>General</c:formatCode>
                <c:ptCount val="1"/>
                <c:pt idx="0">
                  <c:v>472.55</c:v>
                </c:pt>
              </c:numCache>
            </c:numRef>
          </c:val>
        </c:ser>
        <c:dLbls>
          <c:showLegendKey val="0"/>
          <c:showVal val="1"/>
          <c:showCatName val="0"/>
          <c:showSerName val="0"/>
          <c:showPercent val="0"/>
          <c:showBubbleSize val="0"/>
        </c:dLbls>
        <c:gapWidth val="219"/>
        <c:overlap val="-27"/>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4160033514872"/>
          <c:y val="0.0323430761859128"/>
        </c:manualLayout>
      </c:layout>
      <c:overlay val="0"/>
      <c:spPr>
        <a:noFill/>
        <a:ln>
          <a:noFill/>
        </a:ln>
        <a:effectLst/>
      </c:spPr>
      <c:txPr>
        <a:bodyPr rot="0" spcFirstLastPara="0"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277355756791721"/>
          <c:y val="0.282846363445818"/>
          <c:w val="0.425883570504528"/>
          <c:h val="0.690018863969818"/>
        </c:manualLayout>
      </c:layout>
      <c:pieChart>
        <c:varyColors val="1"/>
        <c:ser>
          <c:idx val="0"/>
          <c:order val="0"/>
          <c:tx>
            <c:strRef>
              <c:f>Sheet1!$B$1</c:f>
              <c:strCache>
                <c:ptCount val="1"/>
                <c:pt idx="0">
                  <c:v>一般公共预算财政拨款支出决算结构图</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manualLayout>
                  <c:x val="0.130012936610608"/>
                  <c:y val="0"/>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698576972833118"/>
                  <c:y val="0.072311884300985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232858990944373"/>
                  <c:y val="-0.006287989939216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10608020698577"/>
                  <c:y val="0.025151959756864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一般公共服务（类）支出</c:v>
                </c:pt>
                <c:pt idx="1">
                  <c:v>社会保障和就业（类）支出</c:v>
                </c:pt>
                <c:pt idx="2">
                  <c:v>卫生健康支出</c:v>
                </c:pt>
                <c:pt idx="3">
                  <c:v>住房保障支出</c:v>
                </c:pt>
              </c:strCache>
            </c:strRef>
          </c:cat>
          <c:val>
            <c:numRef>
              <c:f>Sheet1!$B$2:$B$5</c:f>
              <c:numCache>
                <c:formatCode>General</c:formatCode>
                <c:ptCount val="4"/>
                <c:pt idx="0">
                  <c:v>417.98</c:v>
                </c:pt>
                <c:pt idx="1">
                  <c:v>40.37</c:v>
                </c:pt>
                <c:pt idx="2">
                  <c:v>3.62</c:v>
                </c:pt>
                <c:pt idx="3">
                  <c:v>10.59</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manualLayout>
          <c:xMode val="edge"/>
          <c:yMode val="edge"/>
          <c:x val="0.2305"/>
          <c:y val="0.0258992805755396"/>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“三公”经费财政拨款支出结构图</c:v>
                </c:pt>
              </c:strCache>
            </c:strRef>
          </c:tx>
          <c:spPr/>
          <c:explosion val="0"/>
          <c:dPt>
            <c:idx val="0"/>
            <c:bubble3D val="0"/>
            <c:spPr>
              <a:solidFill>
                <a:schemeClr val="accent1">
                  <a:shade val="65000"/>
                </a:schemeClr>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1">
                  <a:tint val="65000"/>
                </a:schemeClr>
              </a:solidFill>
              <a:ln w="19050">
                <a:solidFill>
                  <a:schemeClr val="lt1"/>
                </a:solidFill>
              </a:ln>
              <a:effectLst/>
            </c:spPr>
          </c:dPt>
          <c:dLbls>
            <c:dLbl>
              <c:idx val="0"/>
              <c:layout>
                <c:manualLayout>
                  <c:x val="-0.0112506719807471"/>
                  <c:y val="0.099815827339326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141222791550171"/>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0994034393252295"/>
                  <c:y val="0.20029690067701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111.4</c:v>
                </c:pt>
                <c:pt idx="2">
                  <c:v>27.5</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1535</Words>
  <Characters>8751</Characters>
  <Lines>72</Lines>
  <Paragraphs>20</Paragraphs>
  <TotalTime>3</TotalTime>
  <ScaleCrop>false</ScaleCrop>
  <LinksUpToDate>false</LinksUpToDate>
  <CharactersWithSpaces>10266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2024-08-06T15:12:00Z</dcterms:created>
  <dc:creator>曹颖</dc:creator>
  <cp:lastModifiedBy>易小琴</cp:lastModifiedBy>
  <cp:lastPrinted>2023-08-04T18:35:00Z</cp:lastPrinted>
  <dcterms:modified xsi:type="dcterms:W3CDTF">2024-09-26T06:59:04Z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C994F84396FA46D0AB345A44ED86F4F7</vt:lpwstr>
  </property>
</Properties>
</file>