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96475"/>
      <w:bookmarkStart w:id="3" w:name="_Toc15377193"/>
      <w:bookmarkStart w:id="4" w:name="_Toc15396597"/>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06268"/>
      <w:bookmarkStart w:id="8" w:name="_Toc15396598"/>
      <w:bookmarkStart w:id="9" w:name="_Toc15377426"/>
      <w:bookmarkStart w:id="10" w:name="_Toc15396476"/>
      <w:bookmarkStart w:id="11" w:name="_Toc15377194"/>
      <w:r>
        <w:rPr>
          <w:rFonts w:hint="eastAsia" w:ascii="方正小标宋简体" w:hAnsi="方正小标宋简体" w:eastAsia="方正小标宋简体" w:cs="方正小标宋简体"/>
          <w:sz w:val="72"/>
          <w:szCs w:val="72"/>
        </w:rPr>
        <w:t>乐山市金口河区驻乐</w:t>
      </w:r>
      <w:r>
        <w:rPr>
          <w:rFonts w:hint="eastAsia" w:ascii="方正小标宋简体" w:hAnsi="方正小标宋简体" w:eastAsia="方正小标宋简体" w:cs="方正小标宋简体"/>
          <w:sz w:val="72"/>
          <w:szCs w:val="72"/>
          <w:lang w:eastAsia="zh-CN"/>
        </w:rPr>
        <w:t>山</w:t>
      </w:r>
      <w:r>
        <w:rPr>
          <w:rFonts w:hint="eastAsia" w:ascii="方正小标宋简体" w:hAnsi="方正小标宋简体" w:eastAsia="方正小标宋简体" w:cs="方正小标宋简体"/>
          <w:sz w:val="72"/>
          <w:szCs w:val="72"/>
        </w:rPr>
        <w:t>事务服务中心部门决算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 xml:space="preserve">月 </w:t>
      </w:r>
      <w:r>
        <w:rPr>
          <w:rFonts w:hint="eastAsia"/>
          <w:lang w:val="en-US" w:eastAsia="zh-CN"/>
        </w:rPr>
        <w:t>25</w:t>
      </w:r>
      <w:r>
        <w:rPr>
          <w:rFonts w:hint="eastAsia"/>
        </w:rPr>
        <w:t xml:space="preserve"> 日</w:t>
      </w:r>
    </w:p>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一、部门职责</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·················································4</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2023年度部门决算情况说明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···························13</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·························13</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·································13</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················································16</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····················································19</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w:t>
      </w:r>
      <w:bookmarkStart w:id="69" w:name="_GoBack"/>
      <w:bookmarkEnd w:id="69"/>
      <w:r>
        <w:rPr>
          <w:rFonts w:hint="eastAsia"/>
          <w:sz w:val="24"/>
          <w:lang w:val="en-US" w:eastAsia="zh-CN"/>
        </w:rPr>
        <w:t>·28</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hint="eastAsia" w:ascii="黑体" w:hAnsi="黑体" w:eastAsia="黑体"/>
          <w:b w:val="0"/>
        </w:rPr>
      </w:pPr>
      <w:r>
        <w:rPr>
          <w:rFonts w:hint="eastAsia" w:ascii="黑体" w:hAnsi="黑体" w:eastAsia="黑体"/>
          <w:b w:val="0"/>
        </w:rPr>
        <w:t>部门职责</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负责全区机关、后勤，乡镇工作人员出差到乐山办事提供服务，完成区委、区人大、区政府、区政协领导交办的任务，为“四大家”领导到乐山办事提供服务。</w:t>
      </w:r>
    </w:p>
    <w:p>
      <w:pPr>
        <w:numPr>
          <w:ilvl w:val="0"/>
          <w:numId w:val="0"/>
        </w:numPr>
      </w:pPr>
    </w:p>
    <w:p>
      <w:pPr>
        <w:pStyle w:val="4"/>
        <w:rPr>
          <w:rStyle w:val="30"/>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sz w:val="32"/>
          <w:szCs w:val="32"/>
        </w:rPr>
        <w:t>乐山市金口河区驻乐山事务服务中心</w:t>
      </w:r>
      <w:r>
        <w:rPr>
          <w:rFonts w:hint="eastAsia" w:ascii="仿宋" w:hAnsi="仿宋" w:eastAsia="仿宋"/>
          <w:sz w:val="32"/>
          <w:szCs w:val="32"/>
        </w:rPr>
        <w:t>下属二级预算单位</w:t>
      </w:r>
      <w:r>
        <w:rPr>
          <w:rFonts w:hint="eastAsia"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kern w:val="0"/>
          <w:sz w:val="32"/>
          <w:szCs w:val="32"/>
        </w:rPr>
      </w:pPr>
      <w:r>
        <w:rPr>
          <w:rFonts w:hint="eastAsia" w:ascii="仿宋" w:hAnsi="仿宋" w:eastAsia="仿宋"/>
          <w:sz w:val="32"/>
          <w:szCs w:val="32"/>
        </w:rPr>
        <w:t>纳入</w:t>
      </w:r>
      <w:r>
        <w:rPr>
          <w:rFonts w:ascii="Times New Roman" w:eastAsia="宋体"/>
          <w:kern w:val="2"/>
          <w:sz w:val="32"/>
          <w:szCs w:val="32"/>
        </w:rPr>
        <w:t>乐山市金口河区驻乐山事务服务中心</w:t>
      </w:r>
      <w:r>
        <w:rPr>
          <w:rFonts w:hint="eastAsia" w:ascii="仿宋" w:hAnsi="仿宋" w:eastAsia="仿宋"/>
          <w:sz w:val="32"/>
          <w:szCs w:val="32"/>
        </w:rPr>
        <w:t>2023年度部门决算编制范围的二级预算单位包括</w:t>
      </w:r>
      <w:r>
        <w:rPr>
          <w:rFonts w:hint="eastAsia" w:ascii="仿宋" w:hAnsi="仿宋" w:eastAsia="仿宋"/>
          <w:sz w:val="32"/>
          <w:szCs w:val="32"/>
          <w:lang w:eastAsia="zh-CN"/>
        </w:rPr>
        <w:t>：无。</w:t>
      </w:r>
      <w:r>
        <w:rPr>
          <w:rFonts w:ascii="仿宋" w:hAnsi="仿宋" w:eastAsia="仿宋"/>
          <w:sz w:val="32"/>
          <w:szCs w:val="32"/>
        </w:rPr>
        <w:br w:type="page"/>
      </w:r>
    </w:p>
    <w:p>
      <w:pPr>
        <w:pStyle w:val="3"/>
        <w:ind w:right="440"/>
        <w:jc w:val="center"/>
        <w:rPr>
          <w:rStyle w:val="29"/>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9"/>
          <w:rFonts w:hint="eastAsia" w:ascii="黑体" w:hAnsi="黑体" w:eastAsia="黑体"/>
          <w:b w:val="0"/>
          <w:bCs/>
        </w:rPr>
        <w:t>部门决算情况说明</w:t>
      </w:r>
      <w:bookmarkEnd w:id="16"/>
      <w:bookmarkEnd w:id="17"/>
    </w:p>
    <w:p/>
    <w:p>
      <w:pPr>
        <w:pStyle w:val="28"/>
        <w:numPr>
          <w:ilvl w:val="0"/>
          <w:numId w:val="2"/>
        </w:numPr>
        <w:spacing w:line="600" w:lineRule="exact"/>
        <w:ind w:firstLineChars="0"/>
        <w:outlineLvl w:val="1"/>
        <w:rPr>
          <w:rStyle w:val="30"/>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41.5</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9.93</w:t>
      </w:r>
      <w:r>
        <w:rPr>
          <w:rFonts w:hint="eastAsia" w:ascii="仿宋" w:hAnsi="仿宋" w:eastAsia="仿宋"/>
          <w:sz w:val="32"/>
          <w:szCs w:val="32"/>
        </w:rPr>
        <w:t>万元，下降</w:t>
      </w:r>
      <w:r>
        <w:rPr>
          <w:rFonts w:hint="eastAsia" w:ascii="仿宋" w:hAnsi="仿宋" w:eastAsia="仿宋"/>
          <w:sz w:val="32"/>
          <w:szCs w:val="32"/>
          <w:lang w:val="en-US" w:eastAsia="zh-CN"/>
        </w:rPr>
        <w:t>19.31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2023年项目支出减少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rPr>
        <w:drawing>
          <wp:anchor distT="0" distB="0" distL="114300" distR="114300" simplePos="0" relativeHeight="251659264" behindDoc="1" locked="0" layoutInCell="1" allowOverlap="1">
            <wp:simplePos x="0" y="0"/>
            <wp:positionH relativeFrom="column">
              <wp:posOffset>238125</wp:posOffset>
            </wp:positionH>
            <wp:positionV relativeFrom="paragraph">
              <wp:posOffset>125095</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
      <w:pPr>
        <w:pStyle w:val="2"/>
      </w:pPr>
    </w:p>
    <w:p>
      <w:pPr>
        <w:pStyle w:val="28"/>
        <w:numPr>
          <w:ilvl w:val="0"/>
          <w:numId w:val="2"/>
        </w:numPr>
        <w:spacing w:line="600" w:lineRule="exact"/>
        <w:ind w:firstLineChars="0"/>
        <w:outlineLvl w:val="1"/>
        <w:rPr>
          <w:rStyle w:val="30"/>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41.5</w:t>
      </w:r>
      <w:r>
        <w:rPr>
          <w:rFonts w:hint="eastAsia" w:ascii="仿宋" w:hAnsi="仿宋" w:eastAsia="仿宋"/>
          <w:sz w:val="32"/>
          <w:szCs w:val="32"/>
        </w:rPr>
        <w:t>万元，其中：一般公共预算财政拨款收入</w:t>
      </w:r>
      <w:r>
        <w:rPr>
          <w:rFonts w:ascii="仿宋" w:hAnsi="仿宋" w:eastAsia="仿宋"/>
          <w:b/>
          <w:sz w:val="32"/>
          <w:szCs w:val="32"/>
        </w:rPr>
        <w:t>41.49</w:t>
      </w:r>
      <w:r>
        <w:rPr>
          <w:rFonts w:hint="eastAsia" w:ascii="仿宋" w:hAnsi="仿宋" w:eastAsia="仿宋"/>
          <w:sz w:val="32"/>
          <w:szCs w:val="32"/>
        </w:rPr>
        <w:t>万元，占</w:t>
      </w:r>
      <w:r>
        <w:rPr>
          <w:rFonts w:ascii="仿宋" w:hAnsi="仿宋" w:eastAsia="仿宋"/>
          <w:b/>
          <w:sz w:val="32"/>
          <w:szCs w:val="32"/>
        </w:rPr>
        <w:t>99.97%</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0.01</w:t>
      </w:r>
      <w:r>
        <w:rPr>
          <w:rFonts w:hint="eastAsia" w:ascii="仿宋" w:hAnsi="仿宋" w:eastAsia="仿宋"/>
          <w:sz w:val="32"/>
          <w:szCs w:val="32"/>
        </w:rPr>
        <w:t>万元，占</w:t>
      </w:r>
      <w:r>
        <w:rPr>
          <w:rFonts w:ascii="仿宋" w:hAnsi="仿宋" w:eastAsia="仿宋"/>
          <w:b/>
          <w:sz w:val="32"/>
          <w:szCs w:val="32"/>
        </w:rPr>
        <w:t>0.02</w:t>
      </w:r>
      <w:r>
        <w:rPr>
          <w:rFonts w:ascii="仿宋" w:hAnsi="仿宋" w:eastAsia="仿宋"/>
          <w:sz w:val="32"/>
          <w:szCs w:val="32"/>
        </w:rPr>
        <w:t>%</w:t>
      </w:r>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r>
        <w:rPr>
          <w:rFonts w:hint="eastAsia"/>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2"/>
        </w:numPr>
        <w:spacing w:line="600" w:lineRule="exact"/>
        <w:ind w:firstLineChars="0"/>
        <w:outlineLvl w:val="1"/>
        <w:rPr>
          <w:rStyle w:val="30"/>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41.5</w:t>
      </w:r>
      <w:r>
        <w:rPr>
          <w:rFonts w:hint="eastAsia" w:ascii="仿宋" w:hAnsi="仿宋" w:eastAsia="仿宋"/>
          <w:sz w:val="32"/>
          <w:szCs w:val="32"/>
        </w:rPr>
        <w:t>万元，其中：基本支出</w:t>
      </w:r>
      <w:r>
        <w:rPr>
          <w:rFonts w:ascii="仿宋" w:hAnsi="仿宋" w:eastAsia="仿宋"/>
          <w:b/>
          <w:sz w:val="32"/>
          <w:szCs w:val="32"/>
        </w:rPr>
        <w:t>20.54</w:t>
      </w:r>
      <w:r>
        <w:rPr>
          <w:rFonts w:hint="eastAsia" w:ascii="仿宋" w:hAnsi="仿宋" w:eastAsia="仿宋"/>
          <w:sz w:val="32"/>
          <w:szCs w:val="32"/>
        </w:rPr>
        <w:t>万元，占</w:t>
      </w:r>
      <w:r>
        <w:rPr>
          <w:rFonts w:ascii="仿宋" w:hAnsi="仿宋" w:eastAsia="仿宋"/>
          <w:b/>
          <w:sz w:val="32"/>
          <w:szCs w:val="32"/>
        </w:rPr>
        <w:t>49.48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20.96</w:t>
      </w:r>
      <w:r>
        <w:rPr>
          <w:rFonts w:hint="eastAsia" w:ascii="仿宋" w:hAnsi="仿宋" w:eastAsia="仿宋"/>
          <w:sz w:val="32"/>
          <w:szCs w:val="32"/>
        </w:rPr>
        <w:t>万元，占</w:t>
      </w:r>
      <w:r>
        <w:rPr>
          <w:rFonts w:ascii="仿宋" w:hAnsi="仿宋" w:eastAsia="仿宋"/>
          <w:b/>
          <w:sz w:val="32"/>
          <w:szCs w:val="32"/>
        </w:rPr>
        <w:t>50.51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pStyle w:val="2"/>
      </w:pPr>
      <w:r>
        <w:rPr>
          <w:rFonts w:hint="eastAsia" w:ascii="仿宋" w:hAnsi="仿宋" w:eastAsia="仿宋"/>
          <w:sz w:val="32"/>
          <w:szCs w:val="32"/>
        </w:rPr>
        <w:drawing>
          <wp:inline distT="0" distB="0" distL="114300" distR="114300">
            <wp:extent cx="4984750" cy="2055495"/>
            <wp:effectExtent l="4445" t="4445" r="2095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41.49</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9.94</w:t>
      </w:r>
      <w:r>
        <w:rPr>
          <w:rFonts w:hint="eastAsia" w:ascii="仿宋" w:hAnsi="仿宋" w:eastAsia="仿宋"/>
          <w:sz w:val="32"/>
          <w:szCs w:val="32"/>
        </w:rPr>
        <w:t>万元，下降</w:t>
      </w:r>
      <w:r>
        <w:rPr>
          <w:rFonts w:hint="eastAsia" w:ascii="仿宋" w:hAnsi="仿宋" w:eastAsia="仿宋"/>
          <w:sz w:val="32"/>
          <w:szCs w:val="32"/>
          <w:lang w:val="en-US" w:eastAsia="zh-CN"/>
        </w:rPr>
        <w:t>19.33</w:t>
      </w:r>
      <w:r>
        <w:rPr>
          <w:rFonts w:ascii="仿宋" w:hAnsi="仿宋" w:eastAsia="仿宋"/>
          <w:sz w:val="32"/>
          <w:szCs w:val="32"/>
        </w:rPr>
        <w:t>%</w:t>
      </w:r>
      <w:r>
        <w:rPr>
          <w:rFonts w:hint="eastAsia" w:ascii="仿宋" w:hAnsi="仿宋" w:eastAsia="仿宋"/>
          <w:sz w:val="32"/>
          <w:szCs w:val="32"/>
        </w:rPr>
        <w:t>。主要变动原因是</w:t>
      </w:r>
      <w:bookmarkStart w:id="26" w:name="OLE_LINK1"/>
      <w:r>
        <w:rPr>
          <w:rFonts w:hint="eastAsia" w:ascii="仿宋" w:hAnsi="仿宋" w:eastAsia="仿宋"/>
          <w:sz w:val="32"/>
          <w:szCs w:val="32"/>
          <w:lang w:val="en-US" w:eastAsia="zh-CN"/>
        </w:rPr>
        <w:t>2023年项目支出减少</w:t>
      </w:r>
      <w:bookmarkEnd w:id="26"/>
      <w:r>
        <w:rPr>
          <w:rFonts w:hint="eastAsia" w:ascii="仿宋" w:hAnsi="仿宋" w:eastAsia="仿宋"/>
          <w:sz w:val="32"/>
          <w:szCs w:val="32"/>
          <w:lang w:val="en-US" w:eastAsia="zh-CN"/>
        </w:rPr>
        <w:t>。</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rPr>
          <w:rFonts w:ascii="仿宋" w:hAnsi="仿宋" w:eastAsia="仿宋"/>
          <w:b/>
          <w:sz w:val="32"/>
          <w:szCs w:val="32"/>
        </w:rPr>
      </w:pPr>
      <w:r>
        <w:rPr>
          <w:rFonts w:hint="eastAsia"/>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spacing w:line="600" w:lineRule="exact"/>
        <w:ind w:firstLine="640" w:firstLineChars="200"/>
        <w:outlineLvl w:val="1"/>
        <w:rPr>
          <w:rStyle w:val="30"/>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41.49</w:t>
      </w:r>
      <w:r>
        <w:rPr>
          <w:rFonts w:hint="eastAsia" w:ascii="仿宋" w:hAnsi="仿宋" w:eastAsia="仿宋"/>
          <w:sz w:val="32"/>
          <w:szCs w:val="32"/>
        </w:rPr>
        <w:t>万元，占本年支出合计的</w:t>
      </w:r>
      <w:r>
        <w:rPr>
          <w:rFonts w:ascii="仿宋" w:hAnsi="仿宋" w:eastAsia="仿宋"/>
          <w:b/>
          <w:sz w:val="32"/>
          <w:szCs w:val="32"/>
        </w:rPr>
        <w:t>99.97</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9.94</w:t>
      </w:r>
      <w:r>
        <w:rPr>
          <w:rFonts w:hint="eastAsia" w:ascii="仿宋" w:hAnsi="仿宋" w:eastAsia="仿宋"/>
          <w:sz w:val="32"/>
          <w:szCs w:val="32"/>
        </w:rPr>
        <w:t>万元，下降</w:t>
      </w:r>
      <w:r>
        <w:rPr>
          <w:rFonts w:hint="eastAsia" w:ascii="仿宋" w:hAnsi="仿宋" w:eastAsia="仿宋"/>
          <w:sz w:val="32"/>
          <w:szCs w:val="32"/>
          <w:lang w:val="en-US" w:eastAsia="zh-CN"/>
        </w:rPr>
        <w:t>19.33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2023年项目支出减少。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ascii="仿宋" w:hAnsi="仿宋" w:eastAsia="仿宋"/>
          <w:sz w:val="32"/>
          <w:szCs w:val="32"/>
        </w:rPr>
      </w:pPr>
      <w:r>
        <w:rPr>
          <w:rFonts w:hint="eastAsia"/>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33.63</w:t>
      </w:r>
      <w:r>
        <w:rPr>
          <w:rFonts w:hint="eastAsia" w:ascii="仿宋" w:hAnsi="仿宋" w:eastAsia="仿宋"/>
          <w:sz w:val="32"/>
          <w:szCs w:val="32"/>
        </w:rPr>
        <w:t>万元，占</w:t>
      </w:r>
      <w:r>
        <w:rPr>
          <w:rFonts w:hint="eastAsia" w:ascii="仿宋" w:hAnsi="仿宋" w:eastAsia="仿宋"/>
          <w:sz w:val="32"/>
          <w:szCs w:val="32"/>
          <w:lang w:val="en-US" w:eastAsia="zh-CN"/>
        </w:rPr>
        <w:t>81.06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5.76</w:t>
      </w:r>
      <w:r>
        <w:rPr>
          <w:rFonts w:hint="eastAsia" w:ascii="仿宋" w:hAnsi="仿宋" w:eastAsia="仿宋"/>
          <w:sz w:val="32"/>
          <w:szCs w:val="32"/>
        </w:rPr>
        <w:t>万元，占</w:t>
      </w:r>
      <w:r>
        <w:rPr>
          <w:rFonts w:hint="eastAsia" w:ascii="仿宋" w:hAnsi="仿宋" w:eastAsia="仿宋"/>
          <w:sz w:val="32"/>
          <w:szCs w:val="32"/>
          <w:lang w:val="en-US" w:eastAsia="zh-CN"/>
        </w:rPr>
        <w:t>13.88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0.63</w:t>
      </w:r>
      <w:r>
        <w:rPr>
          <w:rFonts w:hint="eastAsia" w:ascii="仿宋" w:hAnsi="仿宋" w:eastAsia="仿宋"/>
          <w:sz w:val="32"/>
          <w:szCs w:val="32"/>
        </w:rPr>
        <w:t>万元，占</w:t>
      </w:r>
      <w:r>
        <w:rPr>
          <w:rFonts w:hint="eastAsia" w:ascii="仿宋" w:hAnsi="仿宋" w:eastAsia="仿宋"/>
          <w:sz w:val="32"/>
          <w:szCs w:val="32"/>
          <w:lang w:val="en-US" w:eastAsia="zh-CN"/>
        </w:rPr>
        <w:t>1.52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1.47</w:t>
      </w:r>
      <w:r>
        <w:rPr>
          <w:rFonts w:hint="eastAsia" w:ascii="仿宋" w:hAnsi="仿宋" w:eastAsia="仿宋"/>
          <w:sz w:val="32"/>
          <w:szCs w:val="32"/>
        </w:rPr>
        <w:t>万元，占</w:t>
      </w:r>
      <w:r>
        <w:rPr>
          <w:rFonts w:hint="eastAsia" w:ascii="仿宋" w:hAnsi="仿宋" w:eastAsia="仿宋"/>
          <w:sz w:val="32"/>
          <w:szCs w:val="32"/>
          <w:lang w:val="en-US" w:eastAsia="zh-CN"/>
        </w:rPr>
        <w:t>3.54</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r>
        <w:rPr>
          <w:rFonts w:hint="eastAsia" w:ascii="仿宋" w:hAnsi="仿宋" w:eastAsia="仿宋"/>
          <w:sz w:val="32"/>
          <w:szCs w:val="32"/>
          <w:lang w:eastAsia="zh-CN"/>
        </w:rPr>
        <w:drawing>
          <wp:inline distT="0" distB="0" distL="114300" distR="114300">
            <wp:extent cx="5022215" cy="2172335"/>
            <wp:effectExtent l="5080" t="4445" r="20955"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7213"/>
      <w:bookmarkStart w:id="33" w:name="_Toc15377444"/>
      <w:bookmarkStart w:id="34" w:name="_Toc15378460"/>
      <w:r>
        <w:rPr>
          <w:rFonts w:hint="eastAsia" w:ascii="仿宋" w:hAnsi="仿宋" w:eastAsia="仿宋"/>
          <w:b/>
          <w:sz w:val="32"/>
          <w:szCs w:val="32"/>
        </w:rPr>
        <w:t>2023年度一般公共预算支出决算数为</w:t>
      </w:r>
      <w:r>
        <w:rPr>
          <w:rFonts w:ascii="仿宋" w:hAnsi="仿宋" w:eastAsia="仿宋"/>
          <w:b/>
          <w:sz w:val="32"/>
          <w:szCs w:val="32"/>
        </w:rPr>
        <w:t>41.49</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2"/>
      <w:bookmarkEnd w:id="33"/>
      <w:bookmarkEnd w:id="34"/>
    </w:p>
    <w:p>
      <w:pPr>
        <w:spacing w:line="600" w:lineRule="exact"/>
        <w:ind w:firstLine="643" w:firstLineChars="200"/>
        <w:rPr>
          <w:rFonts w:ascii="仿宋" w:hAnsi="仿宋" w:eastAsia="仿宋"/>
          <w:b/>
          <w:sz w:val="32"/>
          <w:szCs w:val="32"/>
        </w:rPr>
      </w:pPr>
      <w:bookmarkStart w:id="35" w:name="_Toc15396608"/>
      <w:bookmarkStart w:id="36" w:name="_Toc15377214"/>
      <w:r>
        <w:rPr>
          <w:rStyle w:val="18"/>
          <w:rFonts w:ascii="仿宋" w:hAnsi="仿宋" w:eastAsia="仿宋"/>
          <w:bCs/>
          <w:sz w:val="32"/>
          <w:szCs w:val="32"/>
        </w:rPr>
        <w:t>1.</w:t>
      </w:r>
      <w:r>
        <w:rPr>
          <w:rStyle w:val="18"/>
          <w:rFonts w:hint="eastAsia" w:ascii="仿宋" w:hAnsi="仿宋" w:eastAsia="仿宋"/>
          <w:bCs/>
          <w:color w:val="000000"/>
          <w:sz w:val="32"/>
          <w:szCs w:val="32"/>
        </w:rPr>
        <w:t>一般公共服务（</w:t>
      </w:r>
      <w:r>
        <w:rPr>
          <w:rStyle w:val="18"/>
          <w:rFonts w:hint="eastAsia" w:ascii="仿宋" w:hAnsi="仿宋" w:eastAsia="仿宋"/>
          <w:bCs/>
          <w:color w:val="000000"/>
          <w:sz w:val="32"/>
          <w:szCs w:val="32"/>
          <w:lang w:eastAsia="zh-CN"/>
        </w:rPr>
        <w:t>类</w:t>
      </w:r>
      <w:r>
        <w:rPr>
          <w:rStyle w:val="18"/>
          <w:rFonts w:hint="eastAsia" w:ascii="仿宋" w:hAnsi="仿宋" w:eastAsia="仿宋"/>
          <w:bCs/>
          <w:color w:val="000000"/>
          <w:sz w:val="32"/>
          <w:szCs w:val="32"/>
        </w:rPr>
        <w:t>）政府办公厅（室）及相关机构事务（</w:t>
      </w:r>
      <w:r>
        <w:rPr>
          <w:rStyle w:val="18"/>
          <w:rFonts w:hint="eastAsia" w:ascii="仿宋" w:hAnsi="仿宋" w:eastAsia="仿宋"/>
          <w:bCs/>
          <w:color w:val="000000"/>
          <w:sz w:val="32"/>
          <w:szCs w:val="32"/>
          <w:lang w:eastAsia="zh-CN"/>
        </w:rPr>
        <w:t>款</w:t>
      </w:r>
      <w:r>
        <w:rPr>
          <w:rStyle w:val="18"/>
          <w:rFonts w:hint="eastAsia" w:ascii="仿宋" w:hAnsi="仿宋" w:eastAsia="仿宋"/>
          <w:bCs/>
          <w:color w:val="000000"/>
          <w:sz w:val="32"/>
          <w:szCs w:val="32"/>
        </w:rPr>
        <w:t>）机关服务（</w:t>
      </w:r>
      <w:r>
        <w:rPr>
          <w:rStyle w:val="18"/>
          <w:rFonts w:hint="eastAsia" w:ascii="仿宋" w:hAnsi="仿宋" w:eastAsia="仿宋"/>
          <w:bCs/>
          <w:color w:val="000000"/>
          <w:sz w:val="32"/>
          <w:szCs w:val="32"/>
          <w:lang w:eastAsia="zh-CN"/>
        </w:rPr>
        <w:t>项</w:t>
      </w:r>
      <w:r>
        <w:rPr>
          <w:rStyle w:val="18"/>
          <w:rFonts w:hint="eastAsia" w:ascii="仿宋" w:hAnsi="仿宋" w:eastAsia="仿宋"/>
          <w:bCs/>
          <w:color w:val="000000"/>
          <w:sz w:val="32"/>
          <w:szCs w:val="32"/>
        </w:rPr>
        <w:t>）</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33.63</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bookmarkStart w:id="37" w:name="OLE_LINK6"/>
      <w:r>
        <w:rPr>
          <w:rStyle w:val="18"/>
          <w:rFonts w:hint="eastAsia" w:ascii="仿宋" w:hAnsi="仿宋" w:eastAsia="仿宋"/>
          <w:b w:val="0"/>
          <w:bCs/>
          <w:sz w:val="32"/>
          <w:szCs w:val="32"/>
          <w:lang w:eastAsia="zh-CN"/>
        </w:rPr>
        <w:t>，</w:t>
      </w:r>
      <w:r>
        <w:rPr>
          <w:rStyle w:val="18"/>
          <w:rFonts w:hint="eastAsia" w:ascii="仿宋" w:hAnsi="仿宋" w:eastAsia="仿宋"/>
          <w:b w:val="0"/>
          <w:bCs/>
          <w:sz w:val="32"/>
          <w:szCs w:val="32"/>
        </w:rPr>
        <w:t>决算数等于预算数的主要原因是合理规划年初预算并严格执行。</w:t>
      </w:r>
      <w:bookmarkEnd w:id="37"/>
    </w:p>
    <w:p>
      <w:pPr>
        <w:spacing w:line="600" w:lineRule="exact"/>
        <w:ind w:firstLine="643" w:firstLineChars="200"/>
        <w:rPr>
          <w:rStyle w:val="18"/>
          <w:rFonts w:ascii="仿宋" w:hAnsi="仿宋" w:eastAsia="仿宋" w:cstheme="minorBidi"/>
          <w:b w:val="0"/>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bookmarkStart w:id="38" w:name="OLE_LINK9"/>
      <w:r>
        <w:rPr>
          <w:rStyle w:val="18"/>
          <w:rFonts w:hint="eastAsia" w:ascii="仿宋" w:hAnsi="仿宋" w:eastAsia="仿宋" w:cstheme="minorBidi"/>
          <w:bCs/>
          <w:sz w:val="32"/>
          <w:szCs w:val="32"/>
        </w:rPr>
        <w:t>社会保障和就业（类）行政事业单位养老支出（款）机关事业单位基本养老保险缴费支出（项）: 支</w:t>
      </w:r>
      <w:r>
        <w:rPr>
          <w:rStyle w:val="18"/>
          <w:rFonts w:hint="eastAsia" w:ascii="仿宋" w:hAnsi="仿宋" w:eastAsia="仿宋" w:cstheme="minorBidi"/>
          <w:b w:val="0"/>
          <w:bCs/>
          <w:sz w:val="32"/>
          <w:szCs w:val="32"/>
        </w:rPr>
        <w:t>出决算为</w:t>
      </w:r>
      <w:r>
        <w:rPr>
          <w:rStyle w:val="18"/>
          <w:rFonts w:hint="eastAsia" w:ascii="仿宋" w:hAnsi="仿宋" w:eastAsia="仿宋" w:cstheme="minorBidi"/>
          <w:b w:val="0"/>
          <w:bCs/>
          <w:sz w:val="32"/>
          <w:szCs w:val="32"/>
          <w:lang w:val="en-US" w:eastAsia="zh-CN"/>
        </w:rPr>
        <w:t>2</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bookmarkEnd w:id="38"/>
    <w:p>
      <w:pPr>
        <w:spacing w:line="600" w:lineRule="exact"/>
        <w:ind w:firstLine="803" w:firstLineChars="250"/>
        <w:rPr>
          <w:rStyle w:val="18"/>
          <w:rFonts w:ascii="仿宋" w:hAnsi="仿宋" w:eastAsia="仿宋" w:cstheme="minorBidi"/>
          <w:b w:val="0"/>
          <w:bCs/>
          <w:sz w:val="32"/>
          <w:szCs w:val="32"/>
        </w:rPr>
      </w:pPr>
      <w:bookmarkStart w:id="39" w:name="OLE_LINK10"/>
      <w:r>
        <w:rPr>
          <w:rStyle w:val="18"/>
          <w:rFonts w:hint="eastAsia" w:ascii="仿宋" w:hAnsi="仿宋" w:eastAsia="仿宋" w:cstheme="minorBidi"/>
          <w:bCs/>
          <w:sz w:val="32"/>
          <w:szCs w:val="32"/>
          <w:lang w:val="en-US" w:eastAsia="zh-CN"/>
        </w:rPr>
        <w:t>3.</w:t>
      </w:r>
      <w:r>
        <w:rPr>
          <w:rStyle w:val="18"/>
          <w:rFonts w:hint="eastAsia" w:ascii="仿宋" w:hAnsi="仿宋" w:eastAsia="仿宋" w:cstheme="minorBidi"/>
          <w:bCs/>
          <w:sz w:val="32"/>
          <w:szCs w:val="32"/>
        </w:rPr>
        <w:t>社会保障和就业（类）行政事业单位养老支出（款）机关事业单位职业年金缴费支出（项）:</w:t>
      </w:r>
      <w:r>
        <w:rPr>
          <w:rStyle w:val="18"/>
          <w:rFonts w:ascii="仿宋" w:hAnsi="仿宋" w:eastAsia="仿宋"/>
          <w:bCs/>
          <w:color w:val="000000"/>
          <w:sz w:val="32"/>
          <w:szCs w:val="32"/>
        </w:rPr>
        <w:t xml:space="preserve"> </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1</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bookmarkEnd w:id="39"/>
    <w:p>
      <w:pPr>
        <w:spacing w:line="600" w:lineRule="exact"/>
        <w:ind w:firstLine="803" w:firstLineChars="250"/>
        <w:rPr>
          <w:rStyle w:val="18"/>
          <w:rFonts w:hint="eastAsia" w:ascii="仿宋" w:hAnsi="仿宋" w:eastAsia="仿宋"/>
          <w:b w:val="0"/>
          <w:bCs/>
          <w:sz w:val="32"/>
          <w:szCs w:val="32"/>
        </w:rPr>
      </w:pPr>
      <w:bookmarkStart w:id="40" w:name="OLE_LINK3"/>
      <w:r>
        <w:rPr>
          <w:rStyle w:val="18"/>
          <w:rFonts w:hint="eastAsia" w:ascii="仿宋" w:hAnsi="仿宋" w:eastAsia="仿宋" w:cstheme="minorBidi"/>
          <w:bCs/>
          <w:sz w:val="32"/>
          <w:szCs w:val="32"/>
          <w:lang w:val="en-US" w:eastAsia="zh-CN"/>
        </w:rPr>
        <w:t>4.</w:t>
      </w:r>
      <w:r>
        <w:rPr>
          <w:rStyle w:val="18"/>
          <w:rFonts w:hint="eastAsia" w:ascii="仿宋" w:hAnsi="仿宋" w:eastAsia="仿宋" w:cstheme="minorBidi"/>
          <w:bCs/>
          <w:sz w:val="32"/>
          <w:szCs w:val="32"/>
        </w:rPr>
        <w:t>社会保障和就业（类）行政事业单位养老支出（款）其他行政事业单位养老支出（项）:</w:t>
      </w:r>
      <w:r>
        <w:rPr>
          <w:rStyle w:val="18"/>
          <w:rFonts w:hint="eastAsia" w:ascii="仿宋_GB2312" w:eastAsia="仿宋_GB2312"/>
          <w:color w:val="000000"/>
          <w:sz w:val="32"/>
          <w:szCs w:val="32"/>
        </w:rPr>
        <w:t xml:space="preserve"> </w:t>
      </w:r>
      <w:bookmarkEnd w:id="40"/>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0.7</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Fonts w:hint="eastAsia" w:eastAsia="仿宋"/>
          <w:lang w:eastAsia="zh-CN"/>
        </w:rPr>
      </w:pPr>
      <w:r>
        <w:rPr>
          <w:rStyle w:val="18"/>
          <w:rFonts w:hint="eastAsia" w:ascii="仿宋" w:hAnsi="仿宋" w:eastAsia="仿宋"/>
          <w:bCs/>
          <w:sz w:val="32"/>
          <w:szCs w:val="32"/>
          <w:lang w:val="en-US" w:eastAsia="zh-CN"/>
        </w:rPr>
        <w:t>5.</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残疾人事业</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残疾人就业</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0.15</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803" w:firstLineChars="250"/>
        <w:rPr>
          <w:rStyle w:val="18"/>
          <w:rFonts w:ascii="仿宋" w:hAnsi="仿宋" w:eastAsia="仿宋" w:cstheme="minorBidi"/>
          <w:b w:val="0"/>
          <w:bCs/>
          <w:sz w:val="32"/>
          <w:szCs w:val="32"/>
        </w:rPr>
      </w:pPr>
      <w:bookmarkStart w:id="41" w:name="OLE_LINK11"/>
      <w:r>
        <w:rPr>
          <w:rStyle w:val="18"/>
          <w:rFonts w:hint="eastAsia" w:ascii="仿宋" w:hAnsi="仿宋" w:eastAsia="仿宋" w:cstheme="minorBidi"/>
          <w:bCs/>
          <w:sz w:val="32"/>
          <w:szCs w:val="32"/>
          <w:lang w:val="en-US" w:eastAsia="zh-CN"/>
        </w:rPr>
        <w:t>6.</w:t>
      </w:r>
      <w:r>
        <w:rPr>
          <w:rStyle w:val="18"/>
          <w:rFonts w:hint="eastAsia" w:ascii="仿宋" w:hAnsi="仿宋" w:eastAsia="仿宋" w:cstheme="minorBidi"/>
          <w:bCs/>
          <w:sz w:val="32"/>
          <w:szCs w:val="32"/>
        </w:rPr>
        <w:t>社会保障和就业（类）其他社会保障和就业支出（款）其他社会保障和就业支出（项）:</w:t>
      </w:r>
      <w:r>
        <w:rPr>
          <w:rStyle w:val="18"/>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1.9</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bookmarkEnd w:id="41"/>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lang w:val="en-US" w:eastAsia="zh-CN"/>
        </w:rPr>
        <w:t>7</w:t>
      </w:r>
      <w:r>
        <w:rPr>
          <w:rStyle w:val="18"/>
          <w:rFonts w:ascii="仿宋" w:hAnsi="仿宋" w:eastAsia="仿宋"/>
          <w:bCs/>
          <w:sz w:val="32"/>
          <w:szCs w:val="32"/>
        </w:rPr>
        <w:t>.</w:t>
      </w:r>
      <w:r>
        <w:rPr>
          <w:rFonts w:hint="eastAsia" w:ascii="仿宋" w:hAnsi="仿宋" w:eastAsia="仿宋"/>
          <w:b/>
          <w:bCs/>
          <w:sz w:val="32"/>
          <w:szCs w:val="32"/>
        </w:rPr>
        <w:t>卫生健康（类）行政事业单位医疗（款）事业单位医疗（项）:</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0.45</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卫生健康（类）行政事业单位医疗（款）公务员医疗补助（项）:</w:t>
      </w:r>
      <w:r>
        <w:rPr>
          <w:rStyle w:val="18"/>
          <w:rFonts w:hint="eastAsia" w:ascii="仿宋" w:hAnsi="仿宋" w:eastAsia="仿宋" w:cstheme="minorBidi"/>
          <w:b w:val="0"/>
          <w:bCs/>
          <w:sz w:val="32"/>
          <w:szCs w:val="32"/>
        </w:rPr>
        <w:t>支出决算为</w:t>
      </w:r>
      <w:r>
        <w:rPr>
          <w:rStyle w:val="18"/>
          <w:rFonts w:hint="eastAsia" w:ascii="仿宋" w:hAnsi="仿宋" w:eastAsia="仿宋" w:cstheme="minorBidi"/>
          <w:b w:val="0"/>
          <w:bCs/>
          <w:sz w:val="32"/>
          <w:szCs w:val="32"/>
          <w:lang w:val="en-US" w:eastAsia="zh-CN"/>
        </w:rPr>
        <w:t>0.18</w:t>
      </w:r>
      <w:r>
        <w:rPr>
          <w:rStyle w:val="18"/>
          <w:rFonts w:hint="eastAsia" w:ascii="仿宋" w:hAnsi="仿宋" w:eastAsia="仿宋" w:cstheme="minorBidi"/>
          <w:b w:val="0"/>
          <w:bCs/>
          <w:sz w:val="32"/>
          <w:szCs w:val="32"/>
        </w:rPr>
        <w:t>万元，完成预算100%，</w:t>
      </w:r>
      <w:r>
        <w:rPr>
          <w:rStyle w:val="18"/>
          <w:rFonts w:hint="eastAsia" w:ascii="仿宋" w:hAnsi="仿宋" w:eastAsia="仿宋"/>
          <w:b w:val="0"/>
          <w:bCs/>
          <w:sz w:val="32"/>
          <w:szCs w:val="32"/>
        </w:rPr>
        <w:t>决算数等于预算数的主要原因是合理规划年初预算并严格执行。</w:t>
      </w:r>
    </w:p>
    <w:p>
      <w:pPr>
        <w:pStyle w:val="2"/>
        <w:rPr>
          <w:rFonts w:hint="default" w:eastAsia="仿宋"/>
          <w:lang w:val="en-US" w:eastAsia="zh-CN"/>
        </w:rPr>
      </w:pPr>
      <w:r>
        <w:rPr>
          <w:rStyle w:val="18"/>
          <w:rFonts w:hint="eastAsia" w:ascii="仿宋" w:hAnsi="仿宋" w:eastAsia="仿宋"/>
          <w:b w:val="0"/>
          <w:bCs/>
          <w:sz w:val="32"/>
          <w:szCs w:val="32"/>
          <w:lang w:val="en-US" w:eastAsia="zh-CN"/>
        </w:rPr>
        <w:t xml:space="preserve">  </w:t>
      </w:r>
      <w:r>
        <w:rPr>
          <w:rFonts w:hint="eastAsia" w:ascii="仿宋" w:hAnsi="仿宋" w:eastAsia="仿宋"/>
          <w:b/>
          <w:bCs/>
          <w:sz w:val="32"/>
          <w:szCs w:val="32"/>
          <w:lang w:val="en-US" w:eastAsia="zh-CN"/>
        </w:rPr>
        <w:t xml:space="preserve">  9.</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1.47</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r>
        <w:rPr>
          <w:rStyle w:val="18"/>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5"/>
      <w:bookmarkEnd w:id="36"/>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20.53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18.53</w:t>
      </w:r>
      <w:r>
        <w:rPr>
          <w:rFonts w:hint="eastAsia" w:ascii="仿宋" w:hAnsi="仿宋" w:eastAsia="仿宋"/>
          <w:sz w:val="32"/>
          <w:szCs w:val="32"/>
        </w:rPr>
        <w:t>万元，主要包括：基本工资、津贴补贴、伙食补助费、绩效工资、机关事业单位基本养老保险缴费、职业年金缴费、其他社会保障缴费</w:t>
      </w:r>
      <w:r>
        <w:rPr>
          <w:rFonts w:hint="eastAsia" w:ascii="仿宋" w:hAnsi="仿宋" w:eastAsia="仿宋"/>
          <w:sz w:val="32"/>
          <w:szCs w:val="32"/>
          <w:lang w:eastAsia="zh-CN"/>
        </w:rPr>
        <w:t>、</w:t>
      </w:r>
      <w:r>
        <w:rPr>
          <w:rFonts w:hint="eastAsia" w:ascii="仿宋" w:hAnsi="仿宋" w:eastAsia="仿宋"/>
          <w:sz w:val="32"/>
          <w:szCs w:val="32"/>
        </w:rPr>
        <w:t>住房公积金、其他对个人和家庭的补助支出。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w:t>
      </w:r>
      <w:r>
        <w:rPr>
          <w:rFonts w:hint="eastAsia" w:ascii="仿宋" w:hAnsi="仿宋" w:eastAsia="仿宋"/>
          <w:sz w:val="32"/>
          <w:szCs w:val="32"/>
        </w:rPr>
        <w:t>万元，主要包括：办公费、邮电费、差旅费、维修（护）费、福利费。</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30"/>
          <w:rFonts w:ascii="黑体" w:hAnsi="黑体" w:eastAsia="黑体"/>
          <w:b w:val="0"/>
        </w:rPr>
      </w:pPr>
      <w:bookmarkStart w:id="42" w:name="_Toc15396609"/>
      <w:bookmarkStart w:id="43"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3.1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2.33</w:t>
      </w:r>
      <w:r>
        <w:rPr>
          <w:rFonts w:hint="eastAsia" w:ascii="仿宋" w:hAnsi="仿宋" w:eastAsia="仿宋"/>
          <w:sz w:val="32"/>
          <w:szCs w:val="32"/>
        </w:rPr>
        <w:t>万元，增长</w:t>
      </w:r>
      <w:r>
        <w:rPr>
          <w:rFonts w:hint="eastAsia" w:ascii="仿宋" w:hAnsi="仿宋" w:eastAsia="仿宋"/>
          <w:sz w:val="32"/>
          <w:szCs w:val="32"/>
          <w:lang w:val="en-US" w:eastAsia="zh-CN"/>
        </w:rPr>
        <w:t>302.59</w:t>
      </w:r>
      <w:r>
        <w:rPr>
          <w:rFonts w:hint="eastAsia" w:ascii="仿宋" w:hAnsi="仿宋" w:eastAsia="仿宋"/>
          <w:sz w:val="32"/>
          <w:szCs w:val="32"/>
        </w:rPr>
        <w:t>%。决算数与预算数）的主要原因是</w:t>
      </w:r>
      <w:r>
        <w:rPr>
          <w:rStyle w:val="18"/>
          <w:rFonts w:hint="eastAsia" w:ascii="仿宋" w:hAnsi="仿宋" w:eastAsia="仿宋"/>
          <w:b w:val="0"/>
          <w:bCs/>
          <w:sz w:val="32"/>
          <w:szCs w:val="32"/>
        </w:rPr>
        <w:t>合理规划年初预算并严格执行</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3.1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rPr>
          <w:rFonts w:ascii="仿宋_GB2312" w:eastAsia="仿宋_GB2312"/>
          <w:b/>
          <w:sz w:val="32"/>
          <w:szCs w:val="32"/>
        </w:rPr>
      </w:pPr>
      <w:bookmarkStart w:id="46" w:name="_Toc15396610"/>
      <w:bookmarkStart w:id="47"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未安排因公出境</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公务用车运维费由区机关事务中心统一支付</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3.1</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2.33</w:t>
      </w:r>
      <w:r>
        <w:rPr>
          <w:rFonts w:hint="eastAsia" w:ascii="仿宋_GB2312" w:eastAsia="仿宋_GB2312"/>
          <w:sz w:val="32"/>
          <w:szCs w:val="32"/>
        </w:rPr>
        <w:t>万元，增长</w:t>
      </w:r>
      <w:r>
        <w:rPr>
          <w:rFonts w:hint="eastAsia" w:ascii="仿宋_GB2312" w:eastAsia="仿宋_GB2312"/>
          <w:sz w:val="32"/>
          <w:szCs w:val="32"/>
          <w:lang w:val="en-US" w:eastAsia="zh-CN"/>
        </w:rPr>
        <w:t>302.59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2022年产生的部分公务接待费由于商家送票不及时，2023年才予以支付，此外2023年接待人数较2022年有所增长导致2023年接待费较多</w:t>
      </w:r>
      <w:r>
        <w:rPr>
          <w:rFonts w:hint="eastAsia" w:ascii="仿宋_GB2312" w:eastAsia="仿宋_GB2312"/>
          <w:sz w:val="32"/>
          <w:szCs w:val="32"/>
        </w:rPr>
        <w:t>。其中：</w:t>
      </w:r>
    </w:p>
    <w:p>
      <w:pPr>
        <w:spacing w:line="600" w:lineRule="exact"/>
        <w:ind w:firstLine="640"/>
        <w:rPr>
          <w:rFonts w:ascii="仿宋_GB2312" w:eastAsia="仿宋_GB2312"/>
          <w:color w:val="auto"/>
          <w:sz w:val="32"/>
          <w:szCs w:val="32"/>
        </w:rPr>
      </w:pPr>
      <w:r>
        <w:rPr>
          <w:rFonts w:hint="eastAsia" w:ascii="仿宋" w:hAnsi="仿宋" w:eastAsia="仿宋"/>
          <w:b/>
          <w:sz w:val="32"/>
          <w:szCs w:val="32"/>
        </w:rPr>
        <w:t>国内公务接待支出</w:t>
      </w:r>
      <w:r>
        <w:rPr>
          <w:rFonts w:ascii="仿宋" w:hAnsi="仿宋" w:eastAsia="仿宋"/>
          <w:b/>
          <w:sz w:val="32"/>
          <w:szCs w:val="32"/>
        </w:rPr>
        <w:t>3.1</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20</w:t>
      </w:r>
      <w:r>
        <w:rPr>
          <w:rFonts w:hint="eastAsia" w:ascii="仿宋_GB2312" w:eastAsia="仿宋_GB2312"/>
          <w:sz w:val="32"/>
          <w:szCs w:val="32"/>
        </w:rPr>
        <w:t>批次，</w:t>
      </w:r>
      <w:r>
        <w:rPr>
          <w:rFonts w:hint="eastAsia" w:ascii="仿宋_GB2312" w:eastAsia="仿宋_GB2312"/>
          <w:sz w:val="32"/>
          <w:szCs w:val="32"/>
          <w:lang w:val="en-US" w:eastAsia="zh-CN"/>
        </w:rPr>
        <w:t>600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3.1</w:t>
      </w:r>
      <w:r>
        <w:rPr>
          <w:rFonts w:hint="eastAsia" w:ascii="仿宋_GB2312" w:eastAsia="仿宋_GB2312"/>
          <w:sz w:val="32"/>
          <w:szCs w:val="32"/>
        </w:rPr>
        <w:t>万元，</w:t>
      </w:r>
      <w:r>
        <w:rPr>
          <w:rFonts w:hint="eastAsia" w:ascii="仿宋_GB2312" w:eastAsia="仿宋_GB2312"/>
          <w:color w:val="auto"/>
          <w:sz w:val="32"/>
          <w:szCs w:val="32"/>
        </w:rPr>
        <w:t>具体内容包括：</w:t>
      </w:r>
      <w:bookmarkStart w:id="48" w:name="OLE_LINK15"/>
      <w:r>
        <w:rPr>
          <w:rFonts w:hint="eastAsia" w:ascii="仿宋_GB2312" w:eastAsia="仿宋_GB2312"/>
          <w:color w:val="auto"/>
          <w:sz w:val="32"/>
          <w:szCs w:val="32"/>
          <w:lang w:val="en-US" w:eastAsia="zh-CN"/>
        </w:rPr>
        <w:t>2022年7月29日区委常委会会议服务费1508元；2022年8月12日研究金口河区鑫河系公司破产重整会议服务费3345元；2022年8月25日接待四川锦弘集团赴乐座谈会7075元；2023年3月6日接待北京浩翔、中国电建赴金口河考察1400元；2023年5月23日接待绍兴市上虞区化妆品包装行业协会2600元等</w:t>
      </w:r>
      <w:r>
        <w:rPr>
          <w:rFonts w:hint="eastAsia" w:ascii="仿宋_GB2312" w:eastAsia="仿宋_GB2312"/>
          <w:color w:val="auto"/>
          <w:sz w:val="32"/>
          <w:szCs w:val="32"/>
        </w:rPr>
        <w:t>。</w:t>
      </w:r>
    </w:p>
    <w:bookmarkEnd w:id="48"/>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49" w:name="_Toc15396611"/>
      <w:bookmarkStart w:id="50" w:name="_Toc15377219"/>
      <w:r>
        <w:rPr>
          <w:rStyle w:val="30"/>
          <w:rFonts w:hint="eastAsia" w:ascii="黑体" w:hAnsi="黑体" w:eastAsia="黑体"/>
          <w:b w:val="0"/>
        </w:rPr>
        <w:t>国有资本经营预算支出决算情况说明</w:t>
      </w:r>
      <w:bookmarkEnd w:id="49"/>
      <w:bookmarkEnd w:id="50"/>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51" w:name="_Toc15377221"/>
      <w:bookmarkStart w:id="52" w:name="_Toc15396612"/>
      <w:r>
        <w:rPr>
          <w:rStyle w:val="30"/>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sz w:val="32"/>
          <w:szCs w:val="32"/>
        </w:rPr>
      </w:pPr>
      <w:bookmarkStart w:id="53" w:name="_Toc15377222"/>
      <w:r>
        <w:rPr>
          <w:rFonts w:hint="eastAsia" w:ascii="仿宋" w:hAnsi="仿宋" w:eastAsia="仿宋"/>
          <w:b/>
          <w:sz w:val="32"/>
          <w:szCs w:val="32"/>
        </w:rPr>
        <w:t>（一）机关运行经费支出情况</w:t>
      </w:r>
      <w:bookmarkEnd w:id="53"/>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乐山市金口河区驻乐山事务服务中心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（或与2022年度决算数持平）。主要原因是</w:t>
      </w:r>
      <w:r>
        <w:rPr>
          <w:rFonts w:hint="eastAsia" w:ascii="仿宋_GB2312" w:eastAsia="仿宋_GB2312"/>
          <w:sz w:val="32"/>
          <w:szCs w:val="32"/>
          <w:lang w:eastAsia="zh-CN"/>
        </w:rPr>
        <w:t>驻乐事务服务中心为非参公事业单位</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3"/>
      <w:r>
        <w:rPr>
          <w:rFonts w:hint="eastAsia" w:ascii="仿宋" w:hAnsi="仿宋" w:eastAsia="仿宋"/>
          <w:b/>
          <w:sz w:val="32"/>
          <w:szCs w:val="32"/>
        </w:rPr>
        <w:t>（二）政府采购支出情况</w:t>
      </w:r>
      <w:bookmarkEnd w:id="5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乐山市金口河区驻乐山事务服务中心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5" w:name="_Toc15377224"/>
      <w:r>
        <w:rPr>
          <w:rFonts w:hint="eastAsia" w:ascii="仿宋" w:hAnsi="仿宋" w:eastAsia="仿宋"/>
          <w:b/>
          <w:sz w:val="32"/>
          <w:szCs w:val="32"/>
        </w:rPr>
        <w:t>（三）国有资产占有使用情况</w:t>
      </w:r>
      <w:bookmarkEnd w:id="5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乐山市金口河区驻乐山事务服务中心</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eastAsia="仿宋_GB2312"/>
          <w:sz w:val="32"/>
          <w:szCs w:val="32"/>
        </w:rPr>
        <w:t>驻乐办运行费</w:t>
      </w:r>
      <w:r>
        <w:rPr>
          <w:rFonts w:hint="eastAsia" w:ascii="仿宋_GB2312" w:eastAsia="仿宋_GB2312"/>
          <w:sz w:val="32"/>
          <w:szCs w:val="32"/>
          <w:lang w:eastAsia="zh-CN"/>
        </w:rPr>
        <w:t>、接待工作经费、临工费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w:t>
      </w: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bookmarkStart w:id="56" w:name="OLE_LINK2"/>
      <w:r>
        <w:rPr>
          <w:rFonts w:hint="eastAsia" w:ascii="仿宋_GB2312" w:hAnsi="仿宋_GB2312" w:eastAsia="仿宋_GB2312" w:cs="仿宋_GB2312"/>
          <w:sz w:val="32"/>
          <w:szCs w:val="32"/>
          <w:lang w:eastAsia="zh-CN"/>
        </w:rPr>
        <w:t>乐山市金口河区驻乐山事务服务中心</w:t>
      </w:r>
      <w:bookmarkEnd w:id="56"/>
      <w:r>
        <w:rPr>
          <w:rFonts w:hint="eastAsia" w:ascii="仿宋_GB2312" w:hAnsi="仿宋_GB2312" w:eastAsia="仿宋_GB2312" w:cs="仿宋_GB2312"/>
          <w:sz w:val="32"/>
          <w:szCs w:val="32"/>
        </w:rPr>
        <w:t>部门整体（含部门预算项目）绩效自评报告、</w:t>
      </w:r>
      <w:bookmarkStart w:id="57" w:name="OLE_LINK4"/>
      <w:r>
        <w:rPr>
          <w:rFonts w:hint="eastAsia" w:ascii="仿宋_GB2312" w:hAnsi="仿宋_GB2312" w:eastAsia="仿宋_GB2312" w:cs="仿宋_GB2312"/>
          <w:sz w:val="32"/>
          <w:szCs w:val="32"/>
          <w:lang w:eastAsia="zh-CN"/>
        </w:rPr>
        <w:t>驻乐办运行费</w:t>
      </w:r>
      <w:bookmarkEnd w:id="57"/>
      <w:r>
        <w:rPr>
          <w:rFonts w:hint="eastAsia" w:ascii="仿宋_GB2312" w:hAnsi="仿宋_GB2312" w:eastAsia="仿宋_GB2312" w:cs="仿宋_GB2312"/>
          <w:sz w:val="32"/>
          <w:szCs w:val="32"/>
        </w:rPr>
        <w:t>专项预算项目绩效自评报告，其中，</w:t>
      </w:r>
      <w:r>
        <w:rPr>
          <w:rFonts w:hint="eastAsia" w:ascii="仿宋_GB2312" w:hAnsi="仿宋_GB2312" w:eastAsia="仿宋_GB2312" w:cs="仿宋_GB2312"/>
          <w:sz w:val="32"/>
          <w:szCs w:val="32"/>
          <w:lang w:eastAsia="zh-CN"/>
        </w:rPr>
        <w:t>乐山市金口河区驻乐山事务服务中心</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综述：2023年我单位按照国家的法律法规加强预算管理，不断完善内控制度，取得了较好的预算执行效果。认真地完成了2023年部门预算和决算编制工作，能够按照财政部门批复的预算组织实施。我单位2023年的部门整体支出做到了使用规范、程序透明、达到预期绩效目标确保了机关的正常运行和各部室职能的正常履行，保证了目标任务的圆满完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驻乐办运行费</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98.4</w:t>
      </w:r>
      <w:r>
        <w:rPr>
          <w:rFonts w:hint="eastAsia" w:ascii="仿宋_GB2312" w:hAnsi="仿宋_GB2312" w:eastAsia="仿宋_GB2312" w:cs="仿宋_GB2312"/>
          <w:sz w:val="32"/>
          <w:szCs w:val="32"/>
        </w:rPr>
        <w:t>分，绩效自评综述：</w:t>
      </w:r>
      <w:r>
        <w:rPr>
          <w:rFonts w:hint="eastAsia" w:ascii="仿宋_GB2312" w:eastAsia="仿宋_GB2312" w:cs="仿宋_GB2312"/>
          <w:color w:val="000000"/>
          <w:sz w:val="32"/>
          <w:szCs w:val="32"/>
          <w:shd w:val="clear" w:color="auto" w:fill="FFFFFF"/>
        </w:rPr>
        <w:t>202</w:t>
      </w:r>
      <w:r>
        <w:rPr>
          <w:rFonts w:hint="eastAsia" w:ascii="仿宋_GB2312" w:eastAsia="仿宋_GB2312" w:cs="仿宋_GB2312"/>
          <w:color w:val="000000"/>
          <w:sz w:val="32"/>
          <w:szCs w:val="32"/>
          <w:shd w:val="clear" w:color="auto" w:fill="FFFFFF"/>
          <w:lang w:val="en-US" w:eastAsia="zh-CN"/>
        </w:rPr>
        <w:t>3</w:t>
      </w:r>
      <w:r>
        <w:rPr>
          <w:rFonts w:hint="eastAsia" w:ascii="仿宋_GB2312" w:eastAsia="仿宋_GB2312" w:cs="仿宋_GB2312"/>
          <w:color w:val="000000"/>
          <w:sz w:val="32"/>
          <w:szCs w:val="32"/>
          <w:shd w:val="clear" w:color="auto" w:fill="FFFFFF"/>
        </w:rPr>
        <w:t>年我单位按照国家的法律法规加强预算管理，不断完善内控制度，取得了较好的预算执行效果。认真地完成了202</w:t>
      </w:r>
      <w:r>
        <w:rPr>
          <w:rFonts w:hint="eastAsia" w:ascii="仿宋_GB2312" w:eastAsia="仿宋_GB2312" w:cs="仿宋_GB2312"/>
          <w:color w:val="000000"/>
          <w:sz w:val="32"/>
          <w:szCs w:val="32"/>
          <w:shd w:val="clear" w:color="auto" w:fill="FFFFFF"/>
          <w:lang w:val="en-US" w:eastAsia="zh-CN"/>
        </w:rPr>
        <w:t>3</w:t>
      </w:r>
      <w:r>
        <w:rPr>
          <w:rFonts w:hint="eastAsia" w:ascii="仿宋_GB2312" w:eastAsia="仿宋_GB2312" w:cs="仿宋_GB2312"/>
          <w:color w:val="000000"/>
          <w:sz w:val="32"/>
          <w:szCs w:val="32"/>
          <w:shd w:val="clear" w:color="auto" w:fill="FFFFFF"/>
        </w:rPr>
        <w:t>年部门预算和决算编制工作，能够按照财政部门批复的预算组织实施</w:t>
      </w:r>
      <w:r>
        <w:rPr>
          <w:rFonts w:hint="eastAsia" w:ascii="仿宋_GB2312" w:eastAsia="仿宋_GB2312" w:cs="仿宋_GB2312"/>
          <w:color w:val="000000"/>
          <w:sz w:val="32"/>
          <w:szCs w:val="32"/>
          <w:shd w:val="clear" w:color="auto" w:fill="FFFFFF"/>
          <w:lang w:eastAsia="zh-CN"/>
        </w:rPr>
        <w:t>，</w:t>
      </w:r>
      <w:r>
        <w:rPr>
          <w:rFonts w:hint="eastAsia" w:ascii="仿宋_GB2312" w:eastAsia="仿宋_GB2312" w:cs="仿宋_GB2312"/>
          <w:color w:val="000000"/>
          <w:sz w:val="32"/>
          <w:szCs w:val="32"/>
          <w:shd w:val="clear" w:color="auto" w:fill="FFFFFF"/>
        </w:rPr>
        <w:t>资金的分配使用规范、程序透明、达到预期绩效目标</w:t>
      </w:r>
      <w:r>
        <w:rPr>
          <w:rFonts w:hint="eastAsia" w:ascii="仿宋_GB2312" w:eastAsia="仿宋_GB2312" w:cs="仿宋_GB2312"/>
          <w:color w:val="000000"/>
          <w:sz w:val="32"/>
          <w:szCs w:val="32"/>
          <w:shd w:val="clear" w:color="auto" w:fill="FFFFFF"/>
          <w:lang w:eastAsia="zh-CN"/>
        </w:rPr>
        <w:t>，</w:t>
      </w:r>
      <w:r>
        <w:rPr>
          <w:rFonts w:hint="eastAsia" w:ascii="仿宋_GB2312" w:eastAsia="仿宋_GB2312" w:cs="仿宋_GB2312"/>
          <w:color w:val="000000"/>
          <w:sz w:val="32"/>
          <w:szCs w:val="32"/>
          <w:shd w:val="clear" w:color="auto" w:fill="FFFFFF"/>
        </w:rPr>
        <w:t>确保了</w:t>
      </w:r>
      <w:r>
        <w:rPr>
          <w:rFonts w:hint="eastAsia" w:ascii="仿宋_GB2312" w:eastAsia="仿宋_GB2312" w:cs="仿宋_GB2312"/>
          <w:color w:val="000000"/>
          <w:sz w:val="32"/>
          <w:szCs w:val="32"/>
          <w:shd w:val="clear" w:color="auto" w:fill="FFFFFF"/>
          <w:lang w:eastAsia="zh-CN"/>
        </w:rPr>
        <w:t>单位</w:t>
      </w:r>
      <w:r>
        <w:rPr>
          <w:rFonts w:hint="eastAsia" w:ascii="仿宋_GB2312" w:eastAsia="仿宋_GB2312" w:cs="仿宋_GB2312"/>
          <w:color w:val="000000"/>
          <w:sz w:val="32"/>
          <w:szCs w:val="32"/>
          <w:shd w:val="clear" w:color="auto" w:fill="FFFFFF"/>
        </w:rPr>
        <w:t>的正常运行保证了目标任务的圆满完成。</w:t>
      </w:r>
      <w:r>
        <w:rPr>
          <w:rFonts w:hint="eastAsia" w:ascii="仿宋_GB2312" w:hAnsi="仿宋_GB2312" w:eastAsia="仿宋_GB2312" w:cs="仿宋_GB2312"/>
          <w:sz w:val="32"/>
          <w:szCs w:val="32"/>
        </w:rPr>
        <w:t>绩效自评报告详见附件</w:t>
      </w:r>
      <w:r>
        <w:rPr>
          <w:rFonts w:hint="eastAsia" w:ascii="仿宋_GB2312" w:hAnsi="仿宋_GB2312" w:eastAsia="仿宋_GB2312" w:cs="仿宋_GB2312"/>
          <w:sz w:val="32"/>
          <w:szCs w:val="32"/>
          <w:lang w:eastAsia="zh-CN"/>
        </w:rPr>
        <w:t>。</w:t>
      </w: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pStyle w:val="14"/>
        <w:widowControl/>
        <w:shd w:val="clear" w:color="auto" w:fill="FFFFFF"/>
        <w:spacing w:before="0" w:beforeAutospacing="0" w:after="0" w:afterAutospacing="0" w:line="520" w:lineRule="atLeast"/>
        <w:ind w:firstLine="640"/>
        <w:rPr>
          <w:rFonts w:hint="eastAsia" w:ascii="仿宋_GB2312" w:hAnsi="仿宋_GB2312" w:eastAsia="仿宋_GB2312" w:cs="仿宋_GB2312"/>
          <w:sz w:val="32"/>
          <w:szCs w:val="32"/>
          <w:lang w:eastAsia="zh-CN"/>
        </w:rPr>
      </w:pPr>
    </w:p>
    <w:p>
      <w:pPr>
        <w:rPr>
          <w:rFonts w:hint="eastAsia"/>
        </w:rPr>
      </w:pPr>
    </w:p>
    <w:p>
      <w:pPr>
        <w:pStyle w:val="3"/>
        <w:jc w:val="center"/>
      </w:pPr>
      <w:r>
        <w:rPr>
          <w:rFonts w:hint="eastAsia"/>
        </w:rPr>
        <w:t>第三部分 名词解释</w:t>
      </w:r>
    </w:p>
    <w:p>
      <w:pPr>
        <w:pStyle w:val="27"/>
        <w:spacing w:line="560" w:lineRule="exact"/>
        <w:ind w:firstLine="640" w:firstLineChars="200"/>
        <w:rPr>
          <w:rFonts w:ascii="仿宋_GB2312" w:eastAsia="仿宋_GB2312"/>
          <w:color w:val="auto"/>
          <w:sz w:val="32"/>
          <w:szCs w:val="32"/>
        </w:rPr>
      </w:pPr>
      <w:bookmarkStart w:id="58" w:name="OLE_LINK30"/>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一</w:t>
      </w:r>
      <w:r>
        <w:rPr>
          <w:rFonts w:hint="eastAsia" w:ascii="仿宋_GB2312" w:eastAsia="仿宋_GB2312"/>
          <w:color w:val="auto"/>
          <w:sz w:val="32"/>
          <w:szCs w:val="32"/>
        </w:rPr>
        <w:t>般公共服务（类）政府办公厅（室）及相关机构事务</w:t>
      </w:r>
      <w:r>
        <w:rPr>
          <w:rFonts w:hint="eastAsia" w:ascii="仿宋_GB2312" w:eastAsia="仿宋_GB2312"/>
          <w:color w:val="000000"/>
          <w:sz w:val="32"/>
          <w:szCs w:val="32"/>
        </w:rPr>
        <w:t>（款）</w:t>
      </w:r>
      <w:r>
        <w:rPr>
          <w:rFonts w:hint="eastAsia" w:ascii="仿宋_GB2312" w:eastAsia="仿宋_GB2312"/>
          <w:color w:val="auto"/>
          <w:sz w:val="32"/>
          <w:szCs w:val="32"/>
          <w:lang w:val="en-US" w:eastAsia="zh-CN"/>
        </w:rPr>
        <w:t>机关服务</w:t>
      </w:r>
      <w:r>
        <w:rPr>
          <w:rFonts w:hint="eastAsia" w:ascii="仿宋_GB2312" w:eastAsia="仿宋_GB2312"/>
          <w:color w:val="000000"/>
          <w:sz w:val="32"/>
          <w:szCs w:val="32"/>
        </w:rPr>
        <w:t>（项）</w:t>
      </w:r>
      <w:r>
        <w:rPr>
          <w:rFonts w:hint="eastAsia" w:ascii="仿宋_GB2312" w:eastAsia="仿宋_GB2312"/>
          <w:color w:val="auto"/>
          <w:sz w:val="32"/>
          <w:szCs w:val="32"/>
        </w:rPr>
        <w:t>：反映</w:t>
      </w:r>
      <w:r>
        <w:rPr>
          <w:rFonts w:hint="eastAsia" w:ascii="仿宋_GB2312" w:eastAsia="仿宋_GB2312"/>
          <w:color w:val="000000"/>
          <w:sz w:val="32"/>
          <w:szCs w:val="32"/>
        </w:rPr>
        <w:t>指反映行政单位（包括实行公务员管理的事业单位）</w:t>
      </w:r>
      <w:r>
        <w:rPr>
          <w:rFonts w:hint="eastAsia" w:ascii="仿宋_GB2312" w:eastAsia="仿宋_GB2312"/>
          <w:color w:val="000000"/>
          <w:sz w:val="32"/>
          <w:szCs w:val="32"/>
          <w:lang w:eastAsia="zh-CN"/>
        </w:rPr>
        <w:t>的各类后勤服务中心、医务室等附属事业单位的支出。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社会保障和就业（类）</w:t>
      </w:r>
      <w:r>
        <w:rPr>
          <w:rFonts w:hint="eastAsia" w:ascii="仿宋_GB2312" w:eastAsia="仿宋_GB2312"/>
          <w:color w:val="000000"/>
          <w:sz w:val="32"/>
          <w:szCs w:val="32"/>
        </w:rPr>
        <w:t>行政事业单位养老支出（款）机关事业单位基本养老保险缴费（项）：指机关事业单位实施养老保险制度由单位缴纳的基本养老保险费支出。</w:t>
      </w:r>
    </w:p>
    <w:p>
      <w:pPr>
        <w:ind w:firstLine="640" w:firstLineChars="200"/>
        <w:rPr>
          <w:rFonts w:hint="eastAsia" w:ascii="仿宋_GB2312" w:eastAsia="仿宋_GB2312"/>
          <w:color w:val="000000"/>
          <w:sz w:val="32"/>
          <w:szCs w:val="32"/>
        </w:rPr>
      </w:pPr>
      <w:bookmarkStart w:id="59" w:name="OLE_LINK14"/>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社会保障和就业（类）</w:t>
      </w:r>
      <w:bookmarkEnd w:id="59"/>
      <w:r>
        <w:rPr>
          <w:rFonts w:hint="eastAsia" w:ascii="仿宋_GB2312" w:eastAsia="仿宋_GB2312"/>
          <w:color w:val="000000"/>
          <w:sz w:val="32"/>
          <w:szCs w:val="32"/>
        </w:rPr>
        <w:t>行政事业单位养老支出（款）机关事业单位职业年金缴费（项）：指机关事业单位实施养老保险制度由单位实际缴纳的职业年金支出。</w:t>
      </w:r>
    </w:p>
    <w:p>
      <w:pPr>
        <w:pStyle w:val="2"/>
        <w:ind w:firstLine="640" w:firstLineChars="200"/>
        <w:jc w:val="left"/>
        <w:rPr>
          <w:rFonts w:hint="eastAsia" w:ascii="仿宋_GB2312" w:hAnsi="Times New Roman" w:eastAsia="仿宋_GB2312" w:cs="Times New Roman"/>
          <w:bCs w:val="0"/>
          <w:color w:val="000000"/>
          <w:kern w:val="2"/>
          <w:sz w:val="32"/>
          <w:szCs w:val="32"/>
          <w:lang w:val="en-US" w:eastAsia="zh-CN" w:bidi="ar-SA"/>
        </w:rPr>
      </w:pPr>
      <w:r>
        <w:rPr>
          <w:rFonts w:hint="eastAsia" w:ascii="仿宋_GB2312" w:hAnsi="Times New Roman" w:eastAsia="仿宋_GB2312" w:cs="Times New Roman"/>
          <w:bCs w:val="0"/>
          <w:color w:val="000000"/>
          <w:kern w:val="2"/>
          <w:sz w:val="32"/>
          <w:szCs w:val="32"/>
          <w:lang w:val="en-US" w:eastAsia="zh-CN" w:bidi="ar-SA"/>
        </w:rPr>
        <w:t>8.社会保障和就业（类）行政事业单位养老支出（款）其他行政事业单位养老支出（项）: 其他用于行政事业单位养老方面的支出。</w:t>
      </w:r>
    </w:p>
    <w:p>
      <w:pPr>
        <w:ind w:firstLine="640" w:firstLineChars="200"/>
        <w:rPr>
          <w:rFonts w:hint="eastAsia" w:eastAsia="仿宋_GB231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残疾人事业</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残疾人就业</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指残疾人联合会用于残疾人就业方面的支出。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社会保障和就业（类）其他社会保障和就业支出（款）其他社会保障和就业支出（项）: 指其他用于社会保障和就业方面的支出。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医疗卫生与计划生育（类）行政事业单位医疗（款）事业单位医疗（项）: 指财政部门集中安排的事业单位基本医疗保险缴费经费，未参加医疗保险的事业单位的公费医疗经费，按国家规定享受离休人员待遇的医疗经费。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lang w:val="en-US" w:eastAsia="zh-CN"/>
        </w:rPr>
        <w:t xml:space="preserve">    </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医疗卫生与计划生育（类）行政事业单位医疗（款）</w:t>
      </w:r>
      <w:r>
        <w:rPr>
          <w:rFonts w:hint="eastAsia" w:ascii="仿宋_GB2312" w:eastAsia="仿宋_GB2312"/>
          <w:color w:val="000000"/>
          <w:sz w:val="32"/>
          <w:szCs w:val="32"/>
          <w:lang w:val="en-US" w:eastAsia="zh-CN"/>
        </w:rPr>
        <w:t>公务员医疗补助</w:t>
      </w:r>
      <w:r>
        <w:rPr>
          <w:rFonts w:hint="eastAsia" w:ascii="仿宋_GB2312" w:eastAsia="仿宋_GB2312"/>
          <w:color w:val="000000"/>
          <w:sz w:val="32"/>
          <w:szCs w:val="32"/>
        </w:rPr>
        <w:t>（项）: 指财政部门</w:t>
      </w:r>
      <w:r>
        <w:rPr>
          <w:rFonts w:hint="eastAsia" w:ascii="仿宋_GB2312" w:eastAsia="仿宋_GB2312"/>
          <w:color w:val="000000"/>
          <w:sz w:val="32"/>
          <w:szCs w:val="32"/>
          <w:lang w:eastAsia="zh-CN"/>
        </w:rPr>
        <w:t>安排的公务员医疗补助。</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color w:val="000000"/>
          <w:sz w:val="32"/>
          <w:szCs w:val="32"/>
        </w:rPr>
        <w:t>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58"/>
    </w:p>
    <w:p>
      <w:pPr>
        <w:pStyle w:val="27"/>
        <w:spacing w:line="560" w:lineRule="exact"/>
        <w:ind w:firstLine="883" w:firstLineChars="200"/>
        <w:rPr>
          <w:rFonts w:hint="eastAsia" w:ascii="仿宋_GB2312" w:eastAsia="仿宋_GB2312"/>
          <w:color w:val="auto"/>
          <w:sz w:val="32"/>
          <w:szCs w:val="32"/>
        </w:rPr>
      </w:pPr>
      <w:r>
        <w:rPr>
          <w:rFonts w:ascii="宋体"/>
          <w:b/>
          <w:sz w:val="44"/>
          <w:szCs w:val="44"/>
        </w:rPr>
        <w:br w:type="page"/>
      </w: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乐山市金口河区驻乐</w:t>
      </w:r>
      <w:r>
        <w:rPr>
          <w:rFonts w:hint="eastAsia" w:ascii="方正小标宋简体" w:hAnsi="方正小标宋简体" w:eastAsia="方正小标宋简体" w:cs="Times New Roman"/>
          <w:sz w:val="44"/>
          <w:szCs w:val="44"/>
          <w:lang w:eastAsia="zh-CN"/>
        </w:rPr>
        <w:t>山</w:t>
      </w:r>
      <w:r>
        <w:rPr>
          <w:rFonts w:hint="eastAsia" w:ascii="方正小标宋简体" w:hAnsi="方正小标宋简体" w:eastAsia="方正小标宋简体" w:cs="Times New Roman"/>
          <w:sz w:val="44"/>
          <w:szCs w:val="44"/>
        </w:rPr>
        <w:t>事务服务中心</w:t>
      </w:r>
    </w:p>
    <w:p>
      <w:pPr>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2023年度部门整体支出绩效自评报告</w:t>
      </w:r>
    </w:p>
    <w:p>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rPr>
      </w:pP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我单位是区财政全额拨款的正科级事业单位，事业编制人数3人，目前实际在岗人数1人、自聘人员3人，主管部门为金口河区委。</w:t>
      </w:r>
    </w:p>
    <w:p>
      <w:pPr>
        <w:widowControl/>
        <w:numPr>
          <w:ilvl w:val="0"/>
          <w:numId w:val="4"/>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机构职能。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我单位主要承担金口河区有关部门对外招商引资在乐山、成都的接待工作，承担各部门工作人员出差到乐山的住宿工作，承担了到乐信访人员的安抚工作。</w:t>
      </w:r>
    </w:p>
    <w:p>
      <w:pPr>
        <w:widowControl/>
        <w:numPr>
          <w:ilvl w:val="0"/>
          <w:numId w:val="4"/>
        </w:numPr>
        <w:tabs>
          <w:tab w:val="left" w:pos="3840"/>
        </w:tabs>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人员概况。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区驻乐山事务服务中心现有编制数3个，均为事业编制。截止2023年末财政实际供养人数在职1人，均为事业人员。</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（一）部门财政资金收入情况。</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全年财政决算总收入为41.50万元，占本年收入总额为100%。其中基本收入20.54万元,占总收入的49.49%；项目收入20.96万元,占总收入的50.51%。</w:t>
      </w:r>
    </w:p>
    <w:p>
      <w:pPr>
        <w:widowControl/>
        <w:numPr>
          <w:ilvl w:val="0"/>
          <w:numId w:val="5"/>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部门财政资金支出情况。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财政决算总支出为41.50万元，其中基本支出20.54万元，占总支出的49.49%；项目支出20.96万元，占总支出的50.51%。其中：一般公共服务支出33.64万元，社会保障和就业支出5.76万元，卫生健康支出0.63万元，住房保障支出1.47万元。</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sz w:val="32"/>
          <w:szCs w:val="32"/>
        </w:rPr>
        <w:t>按照预算绩效管理要求，本部门对2023年一般公共预算整体支出开展了绩效目标管理，全部编制绩效目标，涉及财政资金</w:t>
      </w:r>
      <w:r>
        <w:rPr>
          <w:rFonts w:hint="eastAsia" w:ascii="仿宋_GB2312" w:hAnsi="仿宋_GB2312" w:eastAsia="仿宋_GB2312" w:cs="仿宋_GB2312"/>
          <w:sz w:val="32"/>
          <w:szCs w:val="32"/>
        </w:rPr>
        <w:t>41.50</w:t>
      </w:r>
      <w:r>
        <w:rPr>
          <w:rFonts w:hint="eastAsia" w:ascii="仿宋_GB2312" w:hAnsi="仿宋_GB2312" w:eastAsia="仿宋_GB2312" w:cs="仿宋_GB2312"/>
          <w:color w:val="000000"/>
          <w:sz w:val="32"/>
          <w:szCs w:val="32"/>
        </w:rPr>
        <w:t>万元，覆盖率达到100%。</w:t>
      </w:r>
    </w:p>
    <w:p>
      <w:pPr>
        <w:widowControl/>
        <w:numPr>
          <w:ilvl w:val="0"/>
          <w:numId w:val="5"/>
        </w:numPr>
        <w:adjustRightInd w:val="0"/>
        <w:snapToGrid w:val="0"/>
        <w:spacing w:line="580" w:lineRule="exact"/>
        <w:ind w:left="0" w:leftChars="0"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项目预算管理。</w:t>
      </w:r>
    </w:p>
    <w:p>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加强对项目资金的管理，严格按照资金的使用范围专款专用，支付有依据，严格开支标准。无截留、挤占、挪用专项资金和虚列资金及大额度现金支出现象。</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w:t>
      </w:r>
      <w:r>
        <w:rPr>
          <w:rFonts w:hint="eastAsia" w:ascii="楷体_GB2312" w:hAnsi="楷体_GB2312" w:eastAsia="楷体_GB2312" w:cs="楷体_GB2312"/>
          <w:color w:val="000000"/>
          <w:kern w:val="0"/>
          <w:sz w:val="32"/>
          <w:szCs w:val="32"/>
          <w:shd w:val="clear" w:color="auto" w:fill="FFFFFF"/>
          <w:lang w:val="zh-CN"/>
        </w:rPr>
        <w:t>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我单位按照预算支出，以节约为目的，严格控制成本支出，根据《部门整体支出绩效评价指标表》，</w:t>
      </w:r>
      <w:r>
        <w:rPr>
          <w:rFonts w:hint="eastAsia" w:ascii="仿宋_GB2312" w:hAnsi="仿宋_GB2312" w:eastAsia="仿宋_GB2312" w:cs="仿宋_GB2312"/>
          <w:color w:val="000000"/>
          <w:kern w:val="0"/>
          <w:sz w:val="32"/>
          <w:szCs w:val="32"/>
          <w:shd w:val="clear" w:color="auto" w:fill="FFFFFF"/>
        </w:rPr>
        <w:t>2023年度部门整体支出绩效评价得分98分</w:t>
      </w:r>
      <w:r>
        <w:rPr>
          <w:rFonts w:hint="eastAsia" w:ascii="仿宋_GB2312" w:hAnsi="仿宋_GB2312" w:eastAsia="仿宋_GB2312" w:cs="仿宋_GB2312"/>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（一）评价结论。</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bookmarkStart w:id="60" w:name="OLE_LINK5"/>
      <w:r>
        <w:rPr>
          <w:rFonts w:hint="eastAsia" w:ascii="仿宋_GB2312" w:hAnsi="仿宋_GB2312" w:eastAsia="仿宋_GB2312" w:cs="仿宋_GB2312"/>
          <w:sz w:val="32"/>
          <w:szCs w:val="32"/>
        </w:rPr>
        <w:t>2023年，我单位按照国家的法律法规加强预算管理，不断完善内控制度，取得了较好的预算执行效果。认真地完成了2023年部门预算和决算编制工作，能够按照财政部门批复的预算组织实施。通过项目资金的分配使用。综合以上各项指标，财务管理健全规范，没有发生违法违规现象，我单位2023年的部门整体支出做到了使用规范、程序透明、达到预期绩效目标确保了机关的正常运行和各部室职能的正常履行，保证了目标任务的圆满完成。评价得分</w:t>
      </w:r>
      <w:r>
        <w:rPr>
          <w:rFonts w:hint="eastAsia" w:ascii="仿宋_GB2312" w:hAnsi="仿宋_GB2312" w:eastAsia="仿宋_GB2312" w:cs="仿宋_GB2312"/>
          <w:color w:val="000000"/>
          <w:sz w:val="32"/>
          <w:szCs w:val="32"/>
        </w:rPr>
        <w:t>98分</w:t>
      </w:r>
      <w:r>
        <w:rPr>
          <w:rFonts w:hint="eastAsia" w:ascii="仿宋_GB2312" w:hAnsi="仿宋_GB2312" w:eastAsia="仿宋_GB2312" w:cs="仿宋_GB2312"/>
          <w:sz w:val="32"/>
          <w:szCs w:val="32"/>
        </w:rPr>
        <w:t>。</w:t>
      </w:r>
    </w:p>
    <w:bookmarkEnd w:id="60"/>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个别项目推进不及时。</w:t>
      </w:r>
    </w:p>
    <w:p>
      <w:pPr>
        <w:widowControl/>
        <w:numPr>
          <w:ilvl w:val="0"/>
          <w:numId w:val="0"/>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（三）改进建议。</w:t>
      </w:r>
    </w:p>
    <w:p>
      <w:pPr>
        <w:pStyle w:val="36"/>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加强项目资金管理，加强项目预算的计划性、科学性，确保专项资金使用公开、公平、公正。</w:t>
      </w:r>
    </w:p>
    <w:p>
      <w:pPr>
        <w:pStyle w:val="36"/>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按照财政支出绩效管理的要求，建立科学的财政资金效益考评制度体系，牢固树立行政成本意识，不断提高财政资金使用管理的水平和效率。</w:t>
      </w:r>
    </w:p>
    <w:p>
      <w:pPr>
        <w:ind w:firstLine="640" w:firstLineChars="200"/>
        <w:rPr>
          <w:rFonts w:eastAsia="仿宋_GB2312"/>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hint="eastAsia" w:asciiTheme="minorEastAsia" w:hAnsiTheme="minorEastAsia" w:eastAsiaTheme="minorEastAsia"/>
          <w:sz w:val="32"/>
          <w:szCs w:val="32"/>
          <w:lang w:val="zh-CN"/>
        </w:rPr>
      </w:pPr>
    </w:p>
    <w:p>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tbl>
      <w:tblPr>
        <w:tblStyle w:val="16"/>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125"/>
        <w:gridCol w:w="285"/>
        <w:gridCol w:w="1275"/>
        <w:gridCol w:w="1275"/>
        <w:gridCol w:w="1155"/>
        <w:gridCol w:w="1080"/>
        <w:gridCol w:w="69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临工费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乐山市金口河区驻乐山事务服务中心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7"/>
                <w:lang w:val="en-US" w:eastAsia="zh-CN" w:bidi="ar"/>
              </w:rPr>
              <w:t>完成2023年自聘人员3人工资发放</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完成3人工资发放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发放临时工资</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12个月</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8"/>
                <w:lang w:val="en-US" w:eastAsia="zh-CN" w:bidi="ar"/>
              </w:rPr>
              <w:t>12个月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临时工工资月标准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2600元/人/月</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2600元/人/月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41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600" w:lineRule="exact"/>
        <w:jc w:val="center"/>
        <w:outlineLvl w:val="0"/>
        <w:rPr>
          <w:rFonts w:hint="eastAsia"/>
          <w:sz w:val="32"/>
          <w:szCs w:val="32"/>
        </w:rPr>
      </w:pPr>
    </w:p>
    <w:p>
      <w:pPr>
        <w:pStyle w:val="2"/>
        <w:rPr>
          <w:rFonts w:hint="eastAsia"/>
        </w:rPr>
      </w:pPr>
    </w:p>
    <w:p>
      <w:pPr>
        <w:spacing w:line="600" w:lineRule="exact"/>
        <w:jc w:val="center"/>
        <w:outlineLvl w:val="0"/>
        <w:rPr>
          <w:sz w:val="32"/>
        </w:rPr>
      </w:pPr>
      <w:r>
        <w:rPr>
          <w:rFonts w:hint="eastAsia"/>
          <w:sz w:val="32"/>
          <w:szCs w:val="32"/>
        </w:rPr>
        <w:t>部门预算项目支出绩效自评表（2023年度）</w:t>
      </w:r>
    </w:p>
    <w:tbl>
      <w:tblPr>
        <w:tblStyle w:val="16"/>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1095"/>
        <w:gridCol w:w="1635"/>
        <w:gridCol w:w="975"/>
        <w:gridCol w:w="645"/>
        <w:gridCol w:w="1005"/>
        <w:gridCol w:w="67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驻乐办运行费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乐山市金口河区驻乐山事务服务中心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完成日用品购买及办公楼维护，缴纳物业管理及停车费、水电气费等</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完成12个月缴费等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按照节约原则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bookmarkStart w:id="61" w:name="OLE_LINK12" w:colFirst="2" w:colLast="2"/>
            <w:r>
              <w:rPr>
                <w:rFonts w:hint="eastAsia" w:ascii="宋体" w:hAnsi="宋体" w:eastAsia="宋体" w:cs="宋体"/>
                <w:i w:val="0"/>
                <w:iCs w:val="0"/>
                <w:color w:val="333333"/>
                <w:kern w:val="0"/>
                <w:sz w:val="18"/>
                <w:szCs w:val="18"/>
                <w:u w:val="none"/>
                <w:lang w:val="en-US" w:eastAsia="zh-CN" w:bidi="ar"/>
              </w:rPr>
              <w:t>产出指标</w:t>
            </w:r>
          </w:p>
        </w:tc>
        <w:tc>
          <w:tcPr>
            <w:tcW w:w="1095"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完成日用品购买及办公楼维护等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62" w:name="OLE_LINK8"/>
            <w:r>
              <w:rPr>
                <w:rFonts w:hint="eastAsia" w:ascii="宋体" w:hAnsi="宋体" w:eastAsia="宋体" w:cs="宋体"/>
                <w:i w:val="0"/>
                <w:iCs w:val="0"/>
                <w:color w:val="000000"/>
                <w:kern w:val="0"/>
                <w:sz w:val="18"/>
                <w:szCs w:val="18"/>
                <w:u w:val="none"/>
                <w:lang w:val="en-US" w:eastAsia="zh-CN" w:bidi="ar"/>
              </w:rPr>
              <w:t>缴纳物业管理及停车费</w:t>
            </w:r>
            <w:bookmarkEnd w:id="62"/>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完成水电气缴纳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2023年内</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39"/>
                <w:lang w:val="en-US" w:eastAsia="zh-CN" w:bidi="ar"/>
              </w:rPr>
              <w:t>12个月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bookmarkEnd w:id="61"/>
    </w:tbl>
    <w:p>
      <w:pPr>
        <w:spacing w:line="600" w:lineRule="exact"/>
        <w:jc w:val="center"/>
        <w:outlineLvl w:val="0"/>
        <w:rPr>
          <w:sz w:val="32"/>
        </w:rPr>
      </w:pPr>
      <w:r>
        <w:rPr>
          <w:rFonts w:hint="eastAsia"/>
          <w:sz w:val="32"/>
          <w:szCs w:val="32"/>
        </w:rPr>
        <w:t>部门预算项目支出绩效自评表（2023年度）</w:t>
      </w:r>
    </w:p>
    <w:tbl>
      <w:tblPr>
        <w:tblStyle w:val="16"/>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570"/>
        <w:gridCol w:w="885"/>
        <w:gridCol w:w="1320"/>
        <w:gridCol w:w="990"/>
        <w:gridCol w:w="1050"/>
        <w:gridCol w:w="1005"/>
        <w:gridCol w:w="70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乐山市金口河区驻乐山事务服务中心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5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6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完成2023年接待工作10次</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0"/>
                <w:lang w:val="en-US" w:eastAsia="zh-CN" w:bidi="ar"/>
              </w:rPr>
              <w:t>实际完成2023年接待工作8次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9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按照节约原则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接待次数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41"/>
                <w:lang w:val="en-US" w:eastAsia="zh-CN" w:bidi="ar"/>
              </w:rPr>
              <w:t>10次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完成时限</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41"/>
                <w:lang w:val="en-US" w:eastAsia="zh-CN" w:bidi="ar"/>
              </w:rPr>
              <w:t>2023年内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接待工作所需经费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Style w:val="41"/>
                <w:lang w:val="en-US" w:eastAsia="zh-CN" w:bidi="ar"/>
              </w:rPr>
              <w:t>3.1万元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45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服务对象满意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Pr>
        <w:pStyle w:val="2"/>
      </w:pPr>
    </w:p>
    <w:p>
      <w:pPr>
        <w:pStyle w:val="2"/>
        <w:jc w:val="both"/>
      </w:pPr>
    </w:p>
    <w:p/>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驻乐办运行费</w:t>
      </w:r>
      <w:r>
        <w:rPr>
          <w:rFonts w:hint="eastAsia" w:ascii="方正小标宋简体" w:hAnsi="方正小标宋简体" w:eastAsia="方正小标宋简体"/>
          <w:sz w:val="44"/>
          <w:szCs w:val="44"/>
        </w:rPr>
        <w:t>预算项目绩效评价报告</w:t>
      </w:r>
    </w:p>
    <w:p>
      <w:pPr>
        <w:rPr>
          <w:rFonts w:eastAsia="仿宋_GB2312"/>
          <w:sz w:val="32"/>
          <w:szCs w:val="32"/>
          <w:lang w:val="zh-CN"/>
        </w:rPr>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adjustRightInd w:val="0"/>
        <w:snapToGrid w:val="0"/>
        <w:spacing w:line="600" w:lineRule="exact"/>
        <w:ind w:firstLine="720"/>
        <w:rPr>
          <w:rFonts w:eastAsia="仿宋_GB2312"/>
          <w:sz w:val="32"/>
          <w:szCs w:val="32"/>
          <w:lang w:val="zh-CN"/>
        </w:rPr>
      </w:pPr>
      <w:r>
        <w:rPr>
          <w:rFonts w:hint="eastAsia" w:ascii="楷体_GB2312" w:eastAsia="楷体_GB2312"/>
          <w:b/>
          <w:sz w:val="32"/>
          <w:szCs w:val="32"/>
          <w:lang w:val="zh-CN"/>
        </w:rPr>
        <w:t>（一）设立背景及基本情况。</w:t>
      </w:r>
      <w:r>
        <w:rPr>
          <w:rFonts w:hint="eastAsia" w:ascii="仿宋_GB2312" w:hAnsi="宋体" w:eastAsia="仿宋_GB2312"/>
          <w:sz w:val="32"/>
          <w:szCs w:val="32"/>
          <w:lang w:val="zh-CN"/>
        </w:rPr>
        <w:t>驻乐办运行费项目为区驻乐事务中心管理项目，主要职</w:t>
      </w:r>
      <w:r>
        <w:rPr>
          <w:rFonts w:hint="eastAsia" w:ascii="仿宋_GB2312" w:hAnsi="宋体" w:eastAsia="仿宋_GB2312"/>
          <w:sz w:val="32"/>
          <w:szCs w:val="32"/>
        </w:rPr>
        <w:t>责是保障</w:t>
      </w:r>
      <w:r>
        <w:rPr>
          <w:rFonts w:hint="eastAsia" w:ascii="仿宋_GB2312" w:hAnsi="宋体" w:eastAsia="仿宋_GB2312"/>
          <w:sz w:val="32"/>
          <w:szCs w:val="32"/>
          <w:lang w:eastAsia="zh-CN"/>
        </w:rPr>
        <w:t>驻乐办正常运转，主要用于驻乐办水电气费、物业费、办公用品费等支出。</w:t>
      </w:r>
    </w:p>
    <w:p>
      <w:pPr>
        <w:ind w:firstLine="643" w:firstLineChars="200"/>
        <w:rPr>
          <w:rFonts w:eastAsia="仿宋_GB2312"/>
          <w:sz w:val="32"/>
          <w:szCs w:val="32"/>
          <w:lang w:val="zh-CN"/>
        </w:rPr>
      </w:pPr>
      <w:r>
        <w:rPr>
          <w:rFonts w:hint="eastAsia" w:ascii="楷体_GB2312" w:eastAsia="楷体_GB2312"/>
          <w:b/>
          <w:sz w:val="32"/>
          <w:szCs w:val="32"/>
          <w:lang w:val="zh-CN"/>
        </w:rPr>
        <w:t>（二）实施目的及支持方向。</w:t>
      </w:r>
      <w:r>
        <w:rPr>
          <w:rFonts w:hint="eastAsia" w:eastAsia="仿宋_GB2312"/>
          <w:sz w:val="32"/>
          <w:szCs w:val="32"/>
          <w:lang w:val="zh-CN"/>
        </w:rPr>
        <w:t>项目实施目的和主要工作任务</w:t>
      </w:r>
      <w:r>
        <w:rPr>
          <w:rFonts w:hint="eastAsia" w:ascii="仿宋_GB2312" w:hAnsi="宋体" w:eastAsia="仿宋_GB2312"/>
          <w:sz w:val="32"/>
          <w:szCs w:val="32"/>
        </w:rPr>
        <w:t>主要职责是</w:t>
      </w:r>
      <w:bookmarkStart w:id="63" w:name="OLE_LINK25"/>
      <w:r>
        <w:rPr>
          <w:rFonts w:hint="eastAsia" w:ascii="仿宋_GB2312" w:hAnsi="宋体" w:eastAsia="仿宋_GB2312"/>
          <w:sz w:val="32"/>
          <w:szCs w:val="32"/>
        </w:rPr>
        <w:t>为职工提供卫生、安全</w:t>
      </w:r>
      <w:r>
        <w:rPr>
          <w:rFonts w:hint="eastAsia" w:ascii="仿宋_GB2312" w:hAnsi="宋体" w:eastAsia="仿宋_GB2312"/>
          <w:sz w:val="32"/>
          <w:szCs w:val="32"/>
          <w:lang w:eastAsia="zh-CN"/>
        </w:rPr>
        <w:t>工作条件</w:t>
      </w:r>
      <w:r>
        <w:rPr>
          <w:rFonts w:hint="eastAsia" w:ascii="仿宋_GB2312" w:hAnsi="宋体" w:eastAsia="仿宋_GB2312"/>
          <w:sz w:val="32"/>
          <w:szCs w:val="32"/>
        </w:rPr>
        <w:t>，</w:t>
      </w:r>
      <w:bookmarkStart w:id="64" w:name="OLE_LINK7"/>
      <w:r>
        <w:rPr>
          <w:rFonts w:hint="eastAsia" w:ascii="仿宋_GB2312" w:hAnsi="宋体" w:eastAsia="仿宋_GB2312"/>
          <w:sz w:val="32"/>
          <w:szCs w:val="32"/>
        </w:rPr>
        <w:t>保障</w:t>
      </w:r>
      <w:r>
        <w:rPr>
          <w:rFonts w:hint="eastAsia" w:ascii="仿宋_GB2312" w:hAnsi="宋体" w:eastAsia="仿宋_GB2312"/>
          <w:sz w:val="32"/>
          <w:szCs w:val="32"/>
          <w:lang w:eastAsia="zh-CN"/>
        </w:rPr>
        <w:t>驻乐办各项工作顺利开展</w:t>
      </w:r>
      <w:bookmarkEnd w:id="63"/>
      <w:r>
        <w:rPr>
          <w:rFonts w:hint="eastAsia" w:ascii="仿宋_GB2312" w:hAnsi="宋体" w:eastAsia="仿宋_GB2312"/>
          <w:sz w:val="32"/>
          <w:szCs w:val="32"/>
          <w:lang w:eastAsia="zh-CN"/>
        </w:rPr>
        <w:t>，为来访对象提供优质服务质量。</w:t>
      </w:r>
    </w:p>
    <w:bookmarkEnd w:id="64"/>
    <w:p>
      <w:pPr>
        <w:adjustRightInd w:val="0"/>
        <w:snapToGrid w:val="0"/>
        <w:spacing w:line="600" w:lineRule="exact"/>
        <w:ind w:firstLine="720"/>
        <w:rPr>
          <w:rFonts w:ascii="仿宋_GB2312" w:hAnsi="仿宋_GB2312" w:eastAsia="仿宋_GB2312" w:cs="仿宋_GB2312"/>
          <w:kern w:val="0"/>
          <w:sz w:val="32"/>
          <w:szCs w:val="32"/>
          <w:shd w:val="clear" w:color="auto" w:fill="FFFFFF"/>
          <w:lang w:val="zh-CN"/>
        </w:rPr>
      </w:pPr>
      <w:r>
        <w:rPr>
          <w:rFonts w:hint="eastAsia" w:ascii="楷体_GB2312" w:eastAsia="楷体_GB2312"/>
          <w:b/>
          <w:sz w:val="32"/>
          <w:szCs w:val="32"/>
          <w:lang w:val="zh-CN"/>
        </w:rPr>
        <w:t>（三）预算安排及分配管理。</w:t>
      </w:r>
      <w:bookmarkStart w:id="65" w:name="OLE_LINK16"/>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万元，批复数为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万元，无预算调整。</w:t>
      </w:r>
      <w:r>
        <w:rPr>
          <w:rFonts w:hint="eastAsia" w:ascii="仿宋_GB2312" w:eastAsia="仿宋_GB2312" w:cs="仿宋_GB2312"/>
          <w:color w:val="333333"/>
          <w:sz w:val="32"/>
          <w:szCs w:val="32"/>
          <w:shd w:val="clear" w:color="auto" w:fill="FFFFFF"/>
        </w:rPr>
        <w:t>资金开支范围主要为</w:t>
      </w:r>
      <w:bookmarkEnd w:id="65"/>
      <w:r>
        <w:rPr>
          <w:rFonts w:hint="eastAsia" w:ascii="仿宋_GB2312" w:eastAsia="仿宋_GB2312" w:cs="仿宋_GB2312"/>
          <w:color w:val="333333"/>
          <w:sz w:val="32"/>
          <w:szCs w:val="32"/>
          <w:shd w:val="clear" w:color="auto" w:fill="FFFFFF"/>
        </w:rPr>
        <w:t>水电</w:t>
      </w:r>
      <w:r>
        <w:rPr>
          <w:rFonts w:hint="eastAsia" w:ascii="仿宋_GB2312" w:eastAsia="仿宋_GB2312" w:cs="仿宋_GB2312"/>
          <w:color w:val="333333"/>
          <w:sz w:val="32"/>
          <w:szCs w:val="32"/>
          <w:shd w:val="clear" w:color="auto" w:fill="FFFFFF"/>
          <w:lang w:eastAsia="zh-CN"/>
        </w:rPr>
        <w:t>气</w:t>
      </w:r>
      <w:r>
        <w:rPr>
          <w:rFonts w:hint="eastAsia" w:ascii="仿宋_GB2312" w:eastAsia="仿宋_GB2312" w:cs="仿宋_GB2312"/>
          <w:color w:val="333333"/>
          <w:sz w:val="32"/>
          <w:szCs w:val="32"/>
          <w:shd w:val="clear" w:color="auto" w:fill="FFFFFF"/>
        </w:rPr>
        <w:t>费、</w:t>
      </w:r>
      <w:r>
        <w:rPr>
          <w:rFonts w:hint="eastAsia" w:ascii="仿宋_GB2312" w:eastAsia="仿宋_GB2312" w:cs="仿宋_GB2312"/>
          <w:color w:val="333333"/>
          <w:sz w:val="32"/>
          <w:szCs w:val="32"/>
          <w:shd w:val="clear" w:color="auto" w:fill="FFFFFF"/>
          <w:lang w:eastAsia="zh-CN"/>
        </w:rPr>
        <w:t>物业服务</w:t>
      </w:r>
      <w:r>
        <w:rPr>
          <w:rFonts w:hint="eastAsia" w:ascii="仿宋_GB2312" w:eastAsia="仿宋_GB2312" w:cs="仿宋_GB2312"/>
          <w:color w:val="333333"/>
          <w:sz w:val="32"/>
          <w:szCs w:val="32"/>
          <w:shd w:val="clear" w:color="auto" w:fill="FFFFFF"/>
        </w:rPr>
        <w:t>费等。资金支付范围、支付标准、支付进度、支付依据等严格按照上级部门要求发放，未人为提高标准</w:t>
      </w:r>
      <w:r>
        <w:rPr>
          <w:rFonts w:hint="eastAsia" w:ascii="仿宋_GB2312" w:eastAsia="仿宋_GB2312" w:cs="仿宋_GB2312"/>
          <w:color w:val="333333"/>
          <w:sz w:val="32"/>
          <w:szCs w:val="32"/>
          <w:shd w:val="clear" w:color="auto" w:fill="FFFFFF"/>
          <w:lang w:eastAsia="zh-CN"/>
        </w:rPr>
        <w:t>，</w:t>
      </w:r>
      <w:r>
        <w:rPr>
          <w:rFonts w:hint="eastAsia" w:ascii="仿宋_GB2312" w:eastAsia="仿宋_GB2312" w:cs="仿宋_GB2312"/>
          <w:color w:val="333333"/>
          <w:sz w:val="32"/>
          <w:szCs w:val="32"/>
          <w:shd w:val="clear" w:color="auto" w:fill="FFFFFF"/>
        </w:rPr>
        <w:t>资金支付与预算相符。</w:t>
      </w:r>
    </w:p>
    <w:p>
      <w:pPr>
        <w:ind w:firstLine="643" w:firstLineChars="200"/>
        <w:rPr>
          <w:rFonts w:eastAsia="仿宋_GB2312"/>
          <w:sz w:val="32"/>
          <w:szCs w:val="32"/>
          <w:lang w:val="zh-CN"/>
        </w:rPr>
      </w:pPr>
      <w:r>
        <w:rPr>
          <w:rFonts w:hint="eastAsia" w:ascii="楷体_GB2312" w:eastAsia="楷体_GB2312"/>
          <w:b/>
          <w:sz w:val="32"/>
          <w:szCs w:val="32"/>
          <w:lang w:val="zh-CN"/>
        </w:rPr>
        <w:t>（四）项目绩效目标设置。</w:t>
      </w:r>
      <w:bookmarkStart w:id="66" w:name="OLE_LINK17"/>
      <w:r>
        <w:rPr>
          <w:rFonts w:hint="eastAsia" w:ascii="仿宋_GB2312" w:hAnsi="宋体" w:eastAsia="仿宋_GB2312" w:cs="Times New Roman"/>
          <w:sz w:val="32"/>
          <w:szCs w:val="32"/>
          <w:lang w:val="zh-CN"/>
        </w:rPr>
        <w:t>该项目为年初预算项目，每年根据上一年度资金使用情况合理规划下一年度绩效目标，</w:t>
      </w:r>
      <w:bookmarkEnd w:id="66"/>
      <w:r>
        <w:rPr>
          <w:rFonts w:hint="eastAsia" w:ascii="仿宋_GB2312" w:hAnsi="宋体" w:eastAsia="仿宋_GB2312" w:cs="Times New Roman"/>
          <w:sz w:val="32"/>
          <w:szCs w:val="32"/>
          <w:lang w:val="en-US" w:eastAsia="zh-CN"/>
        </w:rPr>
        <w:t>2023年度绩效目标为</w:t>
      </w:r>
      <w:r>
        <w:rPr>
          <w:rFonts w:hint="eastAsia" w:ascii="仿宋_GB2312" w:hAnsi="宋体" w:eastAsia="仿宋_GB2312" w:cs="Times New Roman"/>
          <w:sz w:val="32"/>
          <w:szCs w:val="32"/>
        </w:rPr>
        <w:t>为职工提供</w:t>
      </w:r>
      <w:r>
        <w:rPr>
          <w:rFonts w:hint="eastAsia" w:ascii="仿宋_GB2312" w:hAnsi="宋体" w:eastAsia="仿宋_GB2312" w:cs="Times New Roman"/>
          <w:sz w:val="32"/>
          <w:szCs w:val="32"/>
          <w:lang w:eastAsia="zh-CN"/>
        </w:rPr>
        <w:t>安全、卫生的工作环境</w:t>
      </w:r>
      <w:r>
        <w:rPr>
          <w:rFonts w:hint="eastAsia" w:ascii="仿宋_GB2312" w:hAnsi="宋体" w:eastAsia="仿宋_GB2312"/>
          <w:sz w:val="32"/>
          <w:szCs w:val="32"/>
        </w:rPr>
        <w:t>，保障</w:t>
      </w:r>
      <w:r>
        <w:rPr>
          <w:rFonts w:hint="eastAsia" w:ascii="仿宋_GB2312" w:hAnsi="宋体" w:eastAsia="仿宋_GB2312"/>
          <w:sz w:val="32"/>
          <w:szCs w:val="32"/>
          <w:lang w:eastAsia="zh-CN"/>
        </w:rPr>
        <w:t>驻乐办各项工作顺利开展，为来访对象提供优质服务质量。</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ind w:firstLine="643" w:firstLineChars="200"/>
        <w:rPr>
          <w:rFonts w:eastAsia="仿宋_GB2312"/>
          <w:sz w:val="32"/>
          <w:szCs w:val="32"/>
          <w:lang w:val="zh-CN"/>
        </w:rPr>
      </w:pPr>
      <w:r>
        <w:rPr>
          <w:rFonts w:hint="eastAsia" w:ascii="楷体_GB2312" w:eastAsia="楷体_GB2312"/>
          <w:b/>
          <w:sz w:val="32"/>
          <w:szCs w:val="32"/>
          <w:lang w:val="zh-CN"/>
        </w:rPr>
        <w:t>（一）评价目的。</w:t>
      </w:r>
      <w:bookmarkStart w:id="67" w:name="OLE_LINK18"/>
      <w:r>
        <w:rPr>
          <w:rFonts w:hint="eastAsia" w:eastAsia="仿宋_GB2312"/>
          <w:sz w:val="32"/>
          <w:szCs w:val="32"/>
          <w:lang w:val="zh-CN"/>
        </w:rPr>
        <w:t>通过项目绩效自评实现</w:t>
      </w:r>
      <w:bookmarkEnd w:id="67"/>
      <w:r>
        <w:rPr>
          <w:rFonts w:hint="eastAsia" w:eastAsia="仿宋_GB2312"/>
          <w:sz w:val="32"/>
          <w:szCs w:val="32"/>
          <w:lang w:val="zh-CN"/>
        </w:rPr>
        <w:t>服务质量提升，同时探索资金优化合理使用方法，使财政资金发挥最大效益。</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ascii="Times New Roman" w:hAnsi="Times New Roman" w:eastAsia="仿宋_GB2312" w:cs="Times New Roman"/>
          <w:sz w:val="32"/>
          <w:szCs w:val="32"/>
          <w:lang w:val="zh-CN"/>
        </w:rPr>
        <w:t>预设问题为：</w:t>
      </w:r>
      <w:r>
        <w:rPr>
          <w:rFonts w:hint="eastAsia" w:ascii="Times New Roman" w:hAnsi="Times New Roman" w:eastAsia="仿宋_GB2312" w:cs="Times New Roman"/>
          <w:sz w:val="32"/>
          <w:szCs w:val="32"/>
          <w:lang w:val="en-US" w:eastAsia="zh-CN"/>
        </w:rPr>
        <w:t>日用品购买及办公楼维护、缴纳物业管理及停车费、完成水电气缴纳、服务对象满意度。评价重点为服务对象满意度。</w:t>
      </w:r>
    </w:p>
    <w:p>
      <w:pPr>
        <w:ind w:firstLine="643" w:firstLineChars="200"/>
        <w:rPr>
          <w:rFonts w:eastAsia="仿宋_GB2312"/>
          <w:sz w:val="32"/>
          <w:szCs w:val="32"/>
          <w:lang w:val="zh-CN"/>
        </w:rPr>
      </w:pPr>
      <w:r>
        <w:rPr>
          <w:rFonts w:hint="eastAsia" w:ascii="楷体_GB2312" w:eastAsia="楷体_GB2312"/>
          <w:b/>
          <w:sz w:val="32"/>
          <w:szCs w:val="32"/>
          <w:lang w:val="zh-CN"/>
        </w:rPr>
        <w:t>（三）评价选点。</w:t>
      </w:r>
      <w:r>
        <w:rPr>
          <w:rFonts w:hint="eastAsia" w:ascii="Times New Roman" w:hAnsi="Times New Roman" w:eastAsia="仿宋_GB2312" w:cs="Times New Roman"/>
          <w:sz w:val="32"/>
          <w:szCs w:val="32"/>
          <w:lang w:val="zh-CN"/>
        </w:rPr>
        <w:t>本</w:t>
      </w:r>
      <w:r>
        <w:rPr>
          <w:rFonts w:hint="eastAsia" w:eastAsia="仿宋_GB2312"/>
          <w:sz w:val="32"/>
          <w:szCs w:val="32"/>
          <w:lang w:val="zh-CN"/>
        </w:rPr>
        <w:t>项目绩效自评抽样点位为区委办。</w:t>
      </w:r>
    </w:p>
    <w:p>
      <w:pPr>
        <w:ind w:left="638" w:leftChars="304" w:firstLine="0" w:firstLineChars="0"/>
        <w:rPr>
          <w:rFonts w:hint="eastAsia" w:eastAsia="仿宋_GB2312"/>
          <w:sz w:val="32"/>
          <w:szCs w:val="32"/>
          <w:lang w:val="zh-CN"/>
        </w:rPr>
      </w:pPr>
      <w:r>
        <w:rPr>
          <w:rFonts w:hint="eastAsia" w:ascii="楷体_GB2312" w:eastAsia="楷体_GB2312"/>
          <w:b/>
          <w:sz w:val="32"/>
          <w:szCs w:val="32"/>
          <w:lang w:val="zh-CN"/>
        </w:rPr>
        <w:t>（四）评价方法。</w:t>
      </w:r>
      <w:r>
        <w:rPr>
          <w:rFonts w:hint="eastAsia" w:ascii="Times New Roman" w:hAnsi="Times New Roman" w:eastAsia="仿宋_GB2312" w:cs="Times New Roman"/>
          <w:sz w:val="32"/>
          <w:szCs w:val="32"/>
          <w:lang w:val="zh-CN"/>
        </w:rPr>
        <w:t>本项目采用单位</w:t>
      </w:r>
      <w:r>
        <w:rPr>
          <w:rFonts w:hint="eastAsia" w:eastAsia="仿宋_GB2312"/>
          <w:sz w:val="32"/>
          <w:szCs w:val="32"/>
          <w:lang w:val="zh-CN"/>
        </w:rPr>
        <w:t>自评法进行绩效自</w:t>
      </w:r>
    </w:p>
    <w:p>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（五）评价组织。</w:t>
      </w:r>
      <w:r>
        <w:rPr>
          <w:rFonts w:hint="eastAsia" w:ascii="仿宋_GB2312" w:hAnsi="仿宋_GB2312" w:eastAsia="仿宋_GB2312" w:cs="仿宋_GB2312"/>
          <w:i w:val="0"/>
          <w:caps w:val="0"/>
          <w:color w:val="191919"/>
          <w:spacing w:val="0"/>
          <w:sz w:val="32"/>
          <w:szCs w:val="32"/>
          <w:shd w:val="clear" w:color="auto" w:fill="FFFFFF"/>
          <w:lang w:val="en-US" w:eastAsia="zh-CN"/>
        </w:rPr>
        <w:t>为确保绩效评价工作取得实效，成立以主任为组长，股长为成员的评价工作领导小组。领导小组下设办公室，股长任办公室主任，负责推进绩效自评工作，组长负责绩效自评工作的统筹协调和督促检查，压实绩效自评工作责任。</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sz w:val="32"/>
          <w:szCs w:val="32"/>
          <w:lang w:val="zh-CN"/>
        </w:rPr>
        <w:t>1.项目决策。</w:t>
      </w:r>
      <w:r>
        <w:rPr>
          <w:rFonts w:hint="eastAsia" w:ascii="仿宋_GB2312" w:hAnsi="宋体" w:eastAsia="仿宋_GB2312"/>
          <w:sz w:val="32"/>
          <w:szCs w:val="32"/>
          <w:lang w:val="zh-CN"/>
        </w:rPr>
        <w:t>该项目为区驻乐办常规项目</w:t>
      </w:r>
      <w:r>
        <w:rPr>
          <w:rFonts w:hint="eastAsia" w:ascii="仿宋_GB2312" w:hAnsi="仿宋_GB2312" w:eastAsia="仿宋_GB2312" w:cs="仿宋_GB2312"/>
          <w:sz w:val="32"/>
          <w:szCs w:val="32"/>
        </w:rPr>
        <w:t>，符合当前经济社会发展需要，可行性论证充分，项目预期提供的效益可衡量，目标绩效设定符合实际需求</w:t>
      </w:r>
      <w:r>
        <w:rPr>
          <w:rFonts w:hint="eastAsia" w:ascii="仿宋_GB2312" w:hAnsi="仿宋_GB2312" w:eastAsia="仿宋_GB2312" w:cs="仿宋_GB2312"/>
          <w:sz w:val="32"/>
          <w:szCs w:val="32"/>
          <w:lang w:eastAsia="zh-CN"/>
        </w:rPr>
        <w:t>。</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rightChars="0" w:firstLine="640" w:firstLineChars="200"/>
        <w:jc w:val="left"/>
        <w:rPr>
          <w:rFonts w:eastAsia="仿宋_GB2312"/>
          <w:sz w:val="32"/>
          <w:szCs w:val="32"/>
          <w:lang w:val="zh-CN"/>
        </w:rPr>
      </w:pPr>
      <w:r>
        <w:rPr>
          <w:rFonts w:hint="eastAsia" w:ascii="楷体_GB2312" w:eastAsia="楷体_GB2312"/>
          <w:sz w:val="32"/>
          <w:szCs w:val="32"/>
          <w:lang w:val="zh-CN"/>
        </w:rPr>
        <w:t>2.项目管理。</w:t>
      </w:r>
      <w:r>
        <w:rPr>
          <w:rFonts w:hint="eastAsia" w:ascii="仿宋_GB2312" w:hAnsi="Times New Roman" w:eastAsia="仿宋_GB2312" w:cs="仿宋_GB2312"/>
          <w:i w:val="0"/>
          <w:iCs w:val="0"/>
          <w:caps w:val="0"/>
          <w:color w:val="000000"/>
          <w:spacing w:val="0"/>
          <w:sz w:val="32"/>
          <w:szCs w:val="32"/>
          <w:shd w:val="clear" w:fill="FFFFFF"/>
        </w:rPr>
        <w:t>为保证项目的顺利实施，</w:t>
      </w:r>
      <w:r>
        <w:rPr>
          <w:rFonts w:hint="eastAsia" w:ascii="仿宋_GB2312" w:hAnsi="Times New Roman" w:eastAsia="仿宋_GB2312" w:cs="仿宋_GB2312"/>
          <w:i w:val="0"/>
          <w:iCs w:val="0"/>
          <w:caps w:val="0"/>
          <w:color w:val="000000"/>
          <w:spacing w:val="0"/>
          <w:sz w:val="32"/>
          <w:szCs w:val="32"/>
          <w:shd w:val="clear" w:fill="FFFFFF"/>
          <w:lang w:eastAsia="zh-CN"/>
        </w:rPr>
        <w:t>我中心</w:t>
      </w:r>
      <w:r>
        <w:rPr>
          <w:rFonts w:hint="eastAsia" w:ascii="仿宋_GB2312" w:hAnsi="Times New Roman" w:eastAsia="仿宋_GB2312" w:cs="仿宋_GB2312"/>
          <w:i w:val="0"/>
          <w:iCs w:val="0"/>
          <w:caps w:val="0"/>
          <w:color w:val="000000"/>
          <w:spacing w:val="0"/>
          <w:sz w:val="32"/>
          <w:szCs w:val="32"/>
          <w:shd w:val="clear" w:fill="FFFFFF"/>
        </w:rPr>
        <w:t>建立健全</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责任机制，落实任务分工</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严格按照会计制度进行财务核算和财务管理，做到财务处理及时、会计核算规范。</w:t>
      </w:r>
    </w:p>
    <w:p>
      <w:pPr>
        <w:ind w:firstLine="640" w:firstLineChars="200"/>
        <w:rPr>
          <w:rFonts w:hint="eastAsia" w:ascii="仿宋_GB2312" w:hAnsi="宋体" w:eastAsia="仿宋_GB2312"/>
          <w:sz w:val="32"/>
          <w:szCs w:val="32"/>
          <w:lang w:val="zh-CN"/>
        </w:rPr>
      </w:pPr>
      <w:r>
        <w:rPr>
          <w:rFonts w:hint="eastAsia" w:ascii="楷体_GB2312" w:eastAsia="楷体_GB2312"/>
          <w:sz w:val="32"/>
          <w:szCs w:val="32"/>
          <w:lang w:val="zh-CN"/>
        </w:rPr>
        <w:t>3.项目实施。</w:t>
      </w:r>
      <w:r>
        <w:rPr>
          <w:rFonts w:hint="eastAsia" w:ascii="仿宋_GB2312" w:hAnsi="仿宋_GB2312" w:eastAsia="仿宋_GB2312" w:cs="仿宋_GB2312"/>
          <w:sz w:val="32"/>
          <w:szCs w:val="32"/>
        </w:rPr>
        <w:t>该项目为全年持续性项目，按月实施。</w:t>
      </w:r>
      <w:r>
        <w:rPr>
          <w:rFonts w:hint="eastAsia" w:ascii="仿宋_GB2312" w:hAnsi="宋体" w:eastAsia="仿宋_GB2312"/>
          <w:sz w:val="32"/>
          <w:szCs w:val="32"/>
          <w:lang w:val="zh-CN"/>
        </w:rPr>
        <w:t>该项目在20</w:t>
      </w:r>
      <w:r>
        <w:rPr>
          <w:rFonts w:hint="eastAsia" w:ascii="仿宋_GB2312" w:hAnsi="宋体" w:eastAsia="仿宋_GB2312"/>
          <w:sz w:val="32"/>
          <w:szCs w:val="32"/>
          <w:lang w:val="en-US" w:eastAsia="zh-CN"/>
        </w:rPr>
        <w:t>23</w:t>
      </w:r>
      <w:r>
        <w:rPr>
          <w:rFonts w:hint="eastAsia" w:ascii="仿宋_GB2312" w:hAnsi="宋体" w:eastAsia="仿宋_GB2312"/>
          <w:sz w:val="32"/>
          <w:szCs w:val="32"/>
          <w:lang w:val="zh-CN"/>
        </w:rPr>
        <w:t>年度全面完成，在该项目的实施过程中严格控制运行成本的同时保证了服务质量。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eastAsia="仿宋_GB2312"/>
          <w:sz w:val="32"/>
          <w:szCs w:val="32"/>
          <w:lang w:val="zh-CN"/>
        </w:rPr>
      </w:pPr>
      <w:r>
        <w:rPr>
          <w:rFonts w:hint="eastAsia" w:ascii="楷体_GB2312" w:eastAsia="楷体_GB2312"/>
          <w:sz w:val="32"/>
          <w:szCs w:val="32"/>
          <w:lang w:val="zh-CN"/>
        </w:rPr>
        <w:t>4.项目结果。</w:t>
      </w:r>
      <w:r>
        <w:rPr>
          <w:rFonts w:hint="eastAsia" w:ascii="仿宋_GB2312" w:hAnsi="Times New Roman" w:eastAsia="仿宋_GB2312" w:cs="仿宋_GB2312"/>
          <w:i w:val="0"/>
          <w:iCs w:val="0"/>
          <w:caps w:val="0"/>
          <w:color w:val="000000"/>
          <w:spacing w:val="0"/>
          <w:sz w:val="32"/>
          <w:szCs w:val="32"/>
          <w:shd w:val="clear" w:fill="FFFFFF"/>
        </w:rPr>
        <w:t>通过</w:t>
      </w:r>
      <w:r>
        <w:rPr>
          <w:rFonts w:hint="eastAsia" w:ascii="仿宋_GB2312" w:hAnsi="Times New Roman" w:eastAsia="仿宋_GB2312" w:cs="仿宋_GB2312"/>
          <w:i w:val="0"/>
          <w:iCs w:val="0"/>
          <w:caps w:val="0"/>
          <w:color w:val="000000"/>
          <w:spacing w:val="0"/>
          <w:sz w:val="32"/>
          <w:szCs w:val="32"/>
          <w:shd w:val="clear" w:fill="FFFFFF"/>
          <w:lang w:eastAsia="zh-CN"/>
        </w:rPr>
        <w:t>项目实施</w:t>
      </w:r>
      <w:r>
        <w:rPr>
          <w:rFonts w:hint="eastAsia" w:ascii="仿宋_GB2312" w:eastAsia="仿宋_GB2312" w:cs="仿宋_GB2312"/>
          <w:i w:val="0"/>
          <w:iCs w:val="0"/>
          <w:caps w:val="0"/>
          <w:color w:val="000000"/>
          <w:spacing w:val="0"/>
          <w:sz w:val="32"/>
          <w:szCs w:val="32"/>
          <w:shd w:val="clear" w:fill="FFFFFF"/>
          <w:lang w:eastAsia="zh-CN"/>
        </w:rPr>
        <w:t>保障了服务质量，</w:t>
      </w:r>
      <w:r>
        <w:rPr>
          <w:rFonts w:hint="eastAsia" w:ascii="仿宋_GB2312" w:hAnsi="Times New Roman" w:eastAsia="仿宋_GB2312" w:cs="仿宋_GB2312"/>
          <w:i w:val="0"/>
          <w:iCs w:val="0"/>
          <w:caps w:val="0"/>
          <w:color w:val="000000"/>
          <w:spacing w:val="0"/>
          <w:sz w:val="32"/>
          <w:szCs w:val="32"/>
          <w:shd w:val="clear" w:fill="FFFFFF"/>
          <w:lang w:eastAsia="zh-CN"/>
        </w:rPr>
        <w:t>提高了资金使用效率，</w:t>
      </w:r>
      <w:r>
        <w:rPr>
          <w:rFonts w:hint="eastAsia" w:ascii="仿宋_GB2312" w:hAnsi="仿宋_GB2312" w:eastAsia="仿宋_GB2312" w:cs="仿宋_GB2312"/>
          <w:sz w:val="32"/>
          <w:szCs w:val="32"/>
          <w:lang w:eastAsia="zh-CN"/>
        </w:rPr>
        <w:t>保障了区驻乐办各项工作顺利开展，服务对象满意度高。</w:t>
      </w:r>
    </w:p>
    <w:p>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r>
        <w:rPr>
          <w:rFonts w:hint="eastAsia" w:eastAsia="仿宋_GB2312"/>
          <w:sz w:val="32"/>
          <w:szCs w:val="32"/>
          <w:lang w:val="zh-CN"/>
        </w:rPr>
        <w:t>无</w:t>
      </w:r>
    </w:p>
    <w:p>
      <w:pPr>
        <w:ind w:firstLine="643" w:firstLineChars="200"/>
        <w:rPr>
          <w:rFonts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pStyle w:val="14"/>
        <w:widowControl/>
        <w:shd w:val="clear" w:color="auto" w:fill="FFFFFF"/>
        <w:spacing w:before="0" w:beforeAutospacing="0" w:after="0" w:afterAutospacing="0" w:line="520" w:lineRule="atLeast"/>
        <w:ind w:firstLine="640"/>
        <w:rPr>
          <w:color w:val="333333"/>
          <w:sz w:val="21"/>
          <w:szCs w:val="21"/>
        </w:rPr>
      </w:pPr>
      <w:bookmarkStart w:id="68" w:name="OLE_LINK13"/>
      <w:r>
        <w:rPr>
          <w:rFonts w:hint="eastAsia" w:ascii="仿宋_GB2312" w:eastAsia="仿宋_GB2312" w:cs="仿宋_GB2312"/>
          <w:color w:val="000000"/>
          <w:sz w:val="32"/>
          <w:szCs w:val="32"/>
          <w:shd w:val="clear" w:color="auto" w:fill="FFFFFF"/>
        </w:rPr>
        <w:t>202</w:t>
      </w:r>
      <w:r>
        <w:rPr>
          <w:rFonts w:hint="eastAsia" w:ascii="仿宋_GB2312" w:eastAsia="仿宋_GB2312" w:cs="仿宋_GB2312"/>
          <w:color w:val="000000"/>
          <w:sz w:val="32"/>
          <w:szCs w:val="32"/>
          <w:shd w:val="clear" w:color="auto" w:fill="FFFFFF"/>
          <w:lang w:val="en-US" w:eastAsia="zh-CN"/>
        </w:rPr>
        <w:t>3</w:t>
      </w:r>
      <w:r>
        <w:rPr>
          <w:rFonts w:hint="eastAsia" w:ascii="仿宋_GB2312" w:eastAsia="仿宋_GB2312" w:cs="仿宋_GB2312"/>
          <w:color w:val="000000"/>
          <w:sz w:val="32"/>
          <w:szCs w:val="32"/>
          <w:shd w:val="clear" w:color="auto" w:fill="FFFFFF"/>
        </w:rPr>
        <w:t>年，我单位按照国家的法律法规加强预算管理，不断完善内控制度，取得了较好的预算执行效果。认真地完成了202</w:t>
      </w:r>
      <w:r>
        <w:rPr>
          <w:rFonts w:hint="eastAsia" w:ascii="仿宋_GB2312" w:eastAsia="仿宋_GB2312" w:cs="仿宋_GB2312"/>
          <w:color w:val="000000"/>
          <w:sz w:val="32"/>
          <w:szCs w:val="32"/>
          <w:shd w:val="clear" w:color="auto" w:fill="FFFFFF"/>
          <w:lang w:val="en-US" w:eastAsia="zh-CN"/>
        </w:rPr>
        <w:t>3</w:t>
      </w:r>
      <w:r>
        <w:rPr>
          <w:rFonts w:hint="eastAsia" w:ascii="仿宋_GB2312" w:eastAsia="仿宋_GB2312" w:cs="仿宋_GB2312"/>
          <w:color w:val="000000"/>
          <w:sz w:val="32"/>
          <w:szCs w:val="32"/>
          <w:shd w:val="clear" w:color="auto" w:fill="FFFFFF"/>
        </w:rPr>
        <w:t>年部门预算和决算编制工作，能够按照财政部门批复的预算组织实施</w:t>
      </w:r>
      <w:r>
        <w:rPr>
          <w:rFonts w:hint="eastAsia" w:ascii="仿宋_GB2312" w:eastAsia="仿宋_GB2312" w:cs="仿宋_GB2312"/>
          <w:color w:val="000000"/>
          <w:sz w:val="32"/>
          <w:szCs w:val="32"/>
          <w:shd w:val="clear" w:color="auto" w:fill="FFFFFF"/>
          <w:lang w:eastAsia="zh-CN"/>
        </w:rPr>
        <w:t>，</w:t>
      </w:r>
      <w:r>
        <w:rPr>
          <w:rFonts w:hint="eastAsia" w:ascii="仿宋_GB2312" w:eastAsia="仿宋_GB2312" w:cs="仿宋_GB2312"/>
          <w:color w:val="000000"/>
          <w:sz w:val="32"/>
          <w:szCs w:val="32"/>
          <w:shd w:val="clear" w:color="auto" w:fill="FFFFFF"/>
        </w:rPr>
        <w:t>资金的分配使用规范、程序透明、达到预期绩效目标</w:t>
      </w:r>
      <w:r>
        <w:rPr>
          <w:rFonts w:hint="eastAsia" w:ascii="仿宋_GB2312" w:eastAsia="仿宋_GB2312" w:cs="仿宋_GB2312"/>
          <w:color w:val="000000"/>
          <w:sz w:val="32"/>
          <w:szCs w:val="32"/>
          <w:shd w:val="clear" w:color="auto" w:fill="FFFFFF"/>
          <w:lang w:eastAsia="zh-CN"/>
        </w:rPr>
        <w:t>，</w:t>
      </w:r>
      <w:r>
        <w:rPr>
          <w:rFonts w:hint="eastAsia" w:ascii="仿宋_GB2312" w:eastAsia="仿宋_GB2312" w:cs="仿宋_GB2312"/>
          <w:color w:val="000000"/>
          <w:sz w:val="32"/>
          <w:szCs w:val="32"/>
          <w:shd w:val="clear" w:color="auto" w:fill="FFFFFF"/>
        </w:rPr>
        <w:t>确保了</w:t>
      </w:r>
      <w:r>
        <w:rPr>
          <w:rFonts w:hint="eastAsia" w:ascii="仿宋_GB2312" w:eastAsia="仿宋_GB2312" w:cs="仿宋_GB2312"/>
          <w:color w:val="000000"/>
          <w:sz w:val="32"/>
          <w:szCs w:val="32"/>
          <w:shd w:val="clear" w:color="auto" w:fill="FFFFFF"/>
          <w:lang w:eastAsia="zh-CN"/>
        </w:rPr>
        <w:t>单位</w:t>
      </w:r>
      <w:r>
        <w:rPr>
          <w:rFonts w:hint="eastAsia" w:ascii="仿宋_GB2312" w:eastAsia="仿宋_GB2312" w:cs="仿宋_GB2312"/>
          <w:color w:val="000000"/>
          <w:sz w:val="32"/>
          <w:szCs w:val="32"/>
          <w:shd w:val="clear" w:color="auto" w:fill="FFFFFF"/>
        </w:rPr>
        <w:t>的正常运行保证了目标任务的圆满完成。</w:t>
      </w:r>
    </w:p>
    <w:bookmarkEnd w:id="68"/>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ascii="仿宋_GB2312" w:eastAsia="仿宋_GB2312" w:cs="仿宋_GB2312"/>
          <w:color w:val="000000"/>
          <w:sz w:val="32"/>
          <w:szCs w:val="32"/>
          <w:shd w:val="clear" w:color="auto" w:fill="FFFFFF"/>
          <w:lang w:eastAsia="zh-CN"/>
        </w:rPr>
      </w:pPr>
      <w:r>
        <w:rPr>
          <w:rFonts w:hint="eastAsia" w:ascii="仿宋_GB2312" w:eastAsia="仿宋_GB2312" w:cs="仿宋_GB2312"/>
          <w:color w:val="000000"/>
          <w:sz w:val="32"/>
          <w:szCs w:val="32"/>
          <w:shd w:val="clear" w:color="auto" w:fill="FFFFFF"/>
        </w:rPr>
        <w:t>项目推进不及时</w:t>
      </w:r>
      <w:r>
        <w:rPr>
          <w:rFonts w:hint="eastAsia" w:ascii="仿宋_GB2312" w:eastAsia="仿宋_GB2312" w:cs="仿宋_GB2312"/>
          <w:color w:val="000000"/>
          <w:sz w:val="32"/>
          <w:szCs w:val="32"/>
          <w:shd w:val="clear" w:color="auto" w:fill="FFFFFF"/>
          <w:lang w:eastAsia="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pStyle w:val="14"/>
        <w:widowControl/>
        <w:shd w:val="clear" w:color="auto" w:fill="FFFFFF"/>
        <w:spacing w:before="0" w:beforeAutospacing="0" w:after="0" w:afterAutospacing="0" w:line="520" w:lineRule="atLeast"/>
        <w:ind w:firstLine="640"/>
        <w:rPr>
          <w:rFonts w:ascii="仿宋_GB2312" w:eastAsia="仿宋_GB2312" w:cs="仿宋_GB2312"/>
          <w:color w:val="333333"/>
          <w:sz w:val="32"/>
          <w:szCs w:val="32"/>
        </w:rPr>
      </w:pPr>
      <w:r>
        <w:rPr>
          <w:rFonts w:hint="eastAsia" w:ascii="仿宋_GB2312" w:eastAsia="仿宋_GB2312" w:cs="仿宋_GB2312"/>
          <w:color w:val="000000"/>
          <w:sz w:val="32"/>
          <w:szCs w:val="32"/>
          <w:shd w:val="clear" w:color="auto" w:fill="FFFFFF"/>
        </w:rPr>
        <w:t>进一步加强资金管理，加强预算的计划性、科学性，确保专项资金使用公开、公平、公正。</w:t>
      </w:r>
    </w:p>
    <w:p>
      <w:pPr>
        <w:ind w:firstLine="640" w:firstLineChars="200"/>
        <w:rPr>
          <w:rFonts w:eastAsia="仿宋_GB2312"/>
          <w:sz w:val="32"/>
          <w:szCs w:val="32"/>
          <w:lang w:val="zh-CN"/>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A3CF5"/>
    <w:multiLevelType w:val="singleLevel"/>
    <w:tmpl w:val="C8DA3CF5"/>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1841C70"/>
    <w:multiLevelType w:val="singleLevel"/>
    <w:tmpl w:val="31841C70"/>
    <w:lvl w:ilvl="0" w:tentative="0">
      <w:start w:val="2"/>
      <w:numFmt w:val="chineseCounting"/>
      <w:suff w:val="nothing"/>
      <w:lvlText w:val="（%1）"/>
      <w:lvlJc w:val="left"/>
      <w:rPr>
        <w:rFonts w:hint="eastAsia"/>
      </w:rPr>
    </w:lvl>
  </w:abstractNum>
  <w:abstractNum w:abstractNumId="4">
    <w:nsid w:val="67B695BA"/>
    <w:multiLevelType w:val="singleLevel"/>
    <w:tmpl w:val="67B695BA"/>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3414"/>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275A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5362DD"/>
    <w:rsid w:val="02FEBE30"/>
    <w:rsid w:val="03120F15"/>
    <w:rsid w:val="03137F71"/>
    <w:rsid w:val="032A2ABD"/>
    <w:rsid w:val="036F8141"/>
    <w:rsid w:val="04AC7874"/>
    <w:rsid w:val="04C3735B"/>
    <w:rsid w:val="0552468B"/>
    <w:rsid w:val="059F49E1"/>
    <w:rsid w:val="066E0107"/>
    <w:rsid w:val="07044413"/>
    <w:rsid w:val="07996F6E"/>
    <w:rsid w:val="07DFD8BA"/>
    <w:rsid w:val="092E2537"/>
    <w:rsid w:val="09503FD7"/>
    <w:rsid w:val="09CB009E"/>
    <w:rsid w:val="0A2032A3"/>
    <w:rsid w:val="0D35B1ED"/>
    <w:rsid w:val="0E7ED1F5"/>
    <w:rsid w:val="0F98263C"/>
    <w:rsid w:val="101860EC"/>
    <w:rsid w:val="101C207C"/>
    <w:rsid w:val="10C055FF"/>
    <w:rsid w:val="10E62DCA"/>
    <w:rsid w:val="10ED1397"/>
    <w:rsid w:val="118107EC"/>
    <w:rsid w:val="11B52504"/>
    <w:rsid w:val="12834932"/>
    <w:rsid w:val="12922A85"/>
    <w:rsid w:val="13D50BC4"/>
    <w:rsid w:val="13F5616D"/>
    <w:rsid w:val="15B10424"/>
    <w:rsid w:val="16BB723D"/>
    <w:rsid w:val="17EFFC1E"/>
    <w:rsid w:val="17F9714D"/>
    <w:rsid w:val="18566C19"/>
    <w:rsid w:val="1918F934"/>
    <w:rsid w:val="19B33E37"/>
    <w:rsid w:val="19D914ED"/>
    <w:rsid w:val="1A173B5B"/>
    <w:rsid w:val="1A1F0F68"/>
    <w:rsid w:val="1B2F6BA7"/>
    <w:rsid w:val="1BE8440E"/>
    <w:rsid w:val="1C857FF6"/>
    <w:rsid w:val="1CBE1EBD"/>
    <w:rsid w:val="1D155CEE"/>
    <w:rsid w:val="1DE60019"/>
    <w:rsid w:val="1DFBC4B3"/>
    <w:rsid w:val="1E180E7A"/>
    <w:rsid w:val="1E740ACF"/>
    <w:rsid w:val="1F19C781"/>
    <w:rsid w:val="1F33FCE5"/>
    <w:rsid w:val="1F7F7398"/>
    <w:rsid w:val="1FD2DB6F"/>
    <w:rsid w:val="1FF35744"/>
    <w:rsid w:val="1FF6BC77"/>
    <w:rsid w:val="1FF9236D"/>
    <w:rsid w:val="20282B52"/>
    <w:rsid w:val="21ED1206"/>
    <w:rsid w:val="2333840E"/>
    <w:rsid w:val="23860B96"/>
    <w:rsid w:val="240371BF"/>
    <w:rsid w:val="2449349F"/>
    <w:rsid w:val="257C638F"/>
    <w:rsid w:val="25A62BD1"/>
    <w:rsid w:val="278665E0"/>
    <w:rsid w:val="27DC78FF"/>
    <w:rsid w:val="28175856"/>
    <w:rsid w:val="289E776C"/>
    <w:rsid w:val="28D043D2"/>
    <w:rsid w:val="29FD04D3"/>
    <w:rsid w:val="2B8973FB"/>
    <w:rsid w:val="2BDC1404"/>
    <w:rsid w:val="2BFF7BC6"/>
    <w:rsid w:val="2C8763E0"/>
    <w:rsid w:val="2C8A61B5"/>
    <w:rsid w:val="2CD59C95"/>
    <w:rsid w:val="2DF04E50"/>
    <w:rsid w:val="2ED173BC"/>
    <w:rsid w:val="2ED21461"/>
    <w:rsid w:val="2EFD05E5"/>
    <w:rsid w:val="2F040D46"/>
    <w:rsid w:val="2F4F95CE"/>
    <w:rsid w:val="2FACAFDD"/>
    <w:rsid w:val="2FAE5751"/>
    <w:rsid w:val="2FB1A395"/>
    <w:rsid w:val="2FBE2364"/>
    <w:rsid w:val="2FCF0B76"/>
    <w:rsid w:val="2FD9A7D8"/>
    <w:rsid w:val="319F7F4E"/>
    <w:rsid w:val="31C0752B"/>
    <w:rsid w:val="323507EE"/>
    <w:rsid w:val="3304709D"/>
    <w:rsid w:val="358A2463"/>
    <w:rsid w:val="36AA5135"/>
    <w:rsid w:val="36BE0DA7"/>
    <w:rsid w:val="376B6AA6"/>
    <w:rsid w:val="376D39B2"/>
    <w:rsid w:val="37945641"/>
    <w:rsid w:val="37E16F03"/>
    <w:rsid w:val="37F53A3B"/>
    <w:rsid w:val="38D469F0"/>
    <w:rsid w:val="38F78389"/>
    <w:rsid w:val="397BAF1F"/>
    <w:rsid w:val="39E7B272"/>
    <w:rsid w:val="39F7642F"/>
    <w:rsid w:val="39FF7B37"/>
    <w:rsid w:val="3A1E5D66"/>
    <w:rsid w:val="3A561743"/>
    <w:rsid w:val="3AB79AF3"/>
    <w:rsid w:val="3AFDCB77"/>
    <w:rsid w:val="3B7EF35A"/>
    <w:rsid w:val="3B9FDB6C"/>
    <w:rsid w:val="3BF5BC2F"/>
    <w:rsid w:val="3BF7C23A"/>
    <w:rsid w:val="3BFF223E"/>
    <w:rsid w:val="3C5C33E5"/>
    <w:rsid w:val="3C6EC0A1"/>
    <w:rsid w:val="3C8C1362"/>
    <w:rsid w:val="3CDB0824"/>
    <w:rsid w:val="3CEBA265"/>
    <w:rsid w:val="3D2C346A"/>
    <w:rsid w:val="3D6A7F9F"/>
    <w:rsid w:val="3D7E7F4D"/>
    <w:rsid w:val="3D98207C"/>
    <w:rsid w:val="3D9CF30A"/>
    <w:rsid w:val="3DBC52D8"/>
    <w:rsid w:val="3DFF5A3E"/>
    <w:rsid w:val="3E012549"/>
    <w:rsid w:val="3E78745D"/>
    <w:rsid w:val="3EEE77E9"/>
    <w:rsid w:val="3F105341"/>
    <w:rsid w:val="3F394AF5"/>
    <w:rsid w:val="3F636373"/>
    <w:rsid w:val="3FBE5714"/>
    <w:rsid w:val="3FDD8615"/>
    <w:rsid w:val="3FDFB2FF"/>
    <w:rsid w:val="3FF4CAE0"/>
    <w:rsid w:val="3FF75FAF"/>
    <w:rsid w:val="3FF7B227"/>
    <w:rsid w:val="400E4D80"/>
    <w:rsid w:val="403455C6"/>
    <w:rsid w:val="433E2DF2"/>
    <w:rsid w:val="43845019"/>
    <w:rsid w:val="43A24383"/>
    <w:rsid w:val="44A7469E"/>
    <w:rsid w:val="44E268DA"/>
    <w:rsid w:val="457F4F6B"/>
    <w:rsid w:val="45ED740B"/>
    <w:rsid w:val="4737FB58"/>
    <w:rsid w:val="47ECCB02"/>
    <w:rsid w:val="47FA6A3F"/>
    <w:rsid w:val="48B37F53"/>
    <w:rsid w:val="48C01D73"/>
    <w:rsid w:val="49640FB8"/>
    <w:rsid w:val="49D7AE48"/>
    <w:rsid w:val="4A1414DB"/>
    <w:rsid w:val="4A3F6C7E"/>
    <w:rsid w:val="4A562B83"/>
    <w:rsid w:val="4A627F82"/>
    <w:rsid w:val="4ACF0D42"/>
    <w:rsid w:val="4B0E749A"/>
    <w:rsid w:val="4B4F25DA"/>
    <w:rsid w:val="4BBB4781"/>
    <w:rsid w:val="4BD709A5"/>
    <w:rsid w:val="4BDD9BFF"/>
    <w:rsid w:val="4BE068DB"/>
    <w:rsid w:val="4C3C7B3F"/>
    <w:rsid w:val="4D577224"/>
    <w:rsid w:val="4DBF1CEB"/>
    <w:rsid w:val="4DBF6A6B"/>
    <w:rsid w:val="4DF6A672"/>
    <w:rsid w:val="4E283CFF"/>
    <w:rsid w:val="4EAB630A"/>
    <w:rsid w:val="4ECE2238"/>
    <w:rsid w:val="4F7EA413"/>
    <w:rsid w:val="4FAB812F"/>
    <w:rsid w:val="4FE9BD67"/>
    <w:rsid w:val="4FEE4C07"/>
    <w:rsid w:val="4FFB052F"/>
    <w:rsid w:val="500A48D3"/>
    <w:rsid w:val="52016741"/>
    <w:rsid w:val="52B4393C"/>
    <w:rsid w:val="537E6D0A"/>
    <w:rsid w:val="53A40CC6"/>
    <w:rsid w:val="53AB6B88"/>
    <w:rsid w:val="53F74C96"/>
    <w:rsid w:val="54600201"/>
    <w:rsid w:val="5583522D"/>
    <w:rsid w:val="56755DC2"/>
    <w:rsid w:val="572B0FB2"/>
    <w:rsid w:val="57632AF2"/>
    <w:rsid w:val="57BD3DD4"/>
    <w:rsid w:val="57F9CD1E"/>
    <w:rsid w:val="59B84428"/>
    <w:rsid w:val="5AF92295"/>
    <w:rsid w:val="5AF9D8E9"/>
    <w:rsid w:val="5BDD38BD"/>
    <w:rsid w:val="5BDD79E6"/>
    <w:rsid w:val="5BEFC772"/>
    <w:rsid w:val="5BFF5DFC"/>
    <w:rsid w:val="5CD71FC4"/>
    <w:rsid w:val="5D07741D"/>
    <w:rsid w:val="5D1F11B5"/>
    <w:rsid w:val="5D3647F9"/>
    <w:rsid w:val="5DA644D4"/>
    <w:rsid w:val="5DAD533E"/>
    <w:rsid w:val="5DAE1B18"/>
    <w:rsid w:val="5DE7D9E5"/>
    <w:rsid w:val="5ECEC941"/>
    <w:rsid w:val="5EFF8FC6"/>
    <w:rsid w:val="5F087B79"/>
    <w:rsid w:val="5F111F5F"/>
    <w:rsid w:val="5F5BA39A"/>
    <w:rsid w:val="5F7D3B79"/>
    <w:rsid w:val="5F7F4610"/>
    <w:rsid w:val="5FBF9FF3"/>
    <w:rsid w:val="5FCD4E2C"/>
    <w:rsid w:val="5FE53CE4"/>
    <w:rsid w:val="5FEF394A"/>
    <w:rsid w:val="5FF67715"/>
    <w:rsid w:val="60DC1E35"/>
    <w:rsid w:val="610A0F2C"/>
    <w:rsid w:val="61CA71D5"/>
    <w:rsid w:val="627EE9EA"/>
    <w:rsid w:val="637020C5"/>
    <w:rsid w:val="63B23AA5"/>
    <w:rsid w:val="647F5392"/>
    <w:rsid w:val="64E322C4"/>
    <w:rsid w:val="65691A31"/>
    <w:rsid w:val="65FB93B9"/>
    <w:rsid w:val="6633C463"/>
    <w:rsid w:val="66B968D6"/>
    <w:rsid w:val="674525FC"/>
    <w:rsid w:val="67B47B05"/>
    <w:rsid w:val="67D55B77"/>
    <w:rsid w:val="67EE7F84"/>
    <w:rsid w:val="683B2101"/>
    <w:rsid w:val="686F5F53"/>
    <w:rsid w:val="695123D0"/>
    <w:rsid w:val="6AFFCEAF"/>
    <w:rsid w:val="6B96E9E6"/>
    <w:rsid w:val="6BCE57B5"/>
    <w:rsid w:val="6BFEA4DB"/>
    <w:rsid w:val="6BFFB662"/>
    <w:rsid w:val="6C4A05C8"/>
    <w:rsid w:val="6C956329"/>
    <w:rsid w:val="6CFF4FB8"/>
    <w:rsid w:val="6D23209D"/>
    <w:rsid w:val="6D6BD6E0"/>
    <w:rsid w:val="6D77E73C"/>
    <w:rsid w:val="6DBF5E93"/>
    <w:rsid w:val="6DFF077E"/>
    <w:rsid w:val="6E7E3605"/>
    <w:rsid w:val="6E7FDCC7"/>
    <w:rsid w:val="6ED6A62E"/>
    <w:rsid w:val="6EE00B15"/>
    <w:rsid w:val="6EE737B2"/>
    <w:rsid w:val="6EEB2329"/>
    <w:rsid w:val="6EECE67A"/>
    <w:rsid w:val="6F1C4611"/>
    <w:rsid w:val="6F6F90A8"/>
    <w:rsid w:val="6F6FB3EB"/>
    <w:rsid w:val="6F8731EA"/>
    <w:rsid w:val="6FBC2ADD"/>
    <w:rsid w:val="6FD57C00"/>
    <w:rsid w:val="6FEFFFD8"/>
    <w:rsid w:val="6FF5CC65"/>
    <w:rsid w:val="6FFB47EC"/>
    <w:rsid w:val="6FFF034A"/>
    <w:rsid w:val="70AE6C72"/>
    <w:rsid w:val="70FD5830"/>
    <w:rsid w:val="71163298"/>
    <w:rsid w:val="712A28F1"/>
    <w:rsid w:val="715C0E4B"/>
    <w:rsid w:val="71FFD401"/>
    <w:rsid w:val="72233669"/>
    <w:rsid w:val="72734D90"/>
    <w:rsid w:val="7332FE48"/>
    <w:rsid w:val="734170A4"/>
    <w:rsid w:val="73651863"/>
    <w:rsid w:val="73AD73D5"/>
    <w:rsid w:val="73B6EB34"/>
    <w:rsid w:val="73FA497D"/>
    <w:rsid w:val="744731E5"/>
    <w:rsid w:val="74BA2805"/>
    <w:rsid w:val="74BBD01D"/>
    <w:rsid w:val="74ED5379"/>
    <w:rsid w:val="751637A7"/>
    <w:rsid w:val="75512308"/>
    <w:rsid w:val="75DEEEC2"/>
    <w:rsid w:val="767F479D"/>
    <w:rsid w:val="76E3355F"/>
    <w:rsid w:val="76F742AF"/>
    <w:rsid w:val="76F7BE7D"/>
    <w:rsid w:val="76FF5125"/>
    <w:rsid w:val="773570D3"/>
    <w:rsid w:val="77597F31"/>
    <w:rsid w:val="776F354E"/>
    <w:rsid w:val="776F6FFA"/>
    <w:rsid w:val="7777A522"/>
    <w:rsid w:val="77858688"/>
    <w:rsid w:val="778769C8"/>
    <w:rsid w:val="77CB741A"/>
    <w:rsid w:val="77D7BE3A"/>
    <w:rsid w:val="77DC22F5"/>
    <w:rsid w:val="782F723D"/>
    <w:rsid w:val="797E3A6C"/>
    <w:rsid w:val="79CF70E2"/>
    <w:rsid w:val="79D7FD79"/>
    <w:rsid w:val="79E75806"/>
    <w:rsid w:val="79EE5BA4"/>
    <w:rsid w:val="7A194FDF"/>
    <w:rsid w:val="7A641148"/>
    <w:rsid w:val="7A6F8BF5"/>
    <w:rsid w:val="7A894339"/>
    <w:rsid w:val="7A962EAF"/>
    <w:rsid w:val="7ACF82B5"/>
    <w:rsid w:val="7AFF28C9"/>
    <w:rsid w:val="7AFF72A0"/>
    <w:rsid w:val="7AFF7572"/>
    <w:rsid w:val="7B6C7DFB"/>
    <w:rsid w:val="7B7D76A7"/>
    <w:rsid w:val="7BAE2FE2"/>
    <w:rsid w:val="7BAF6951"/>
    <w:rsid w:val="7BBFBED0"/>
    <w:rsid w:val="7BC3E394"/>
    <w:rsid w:val="7BF3FE4C"/>
    <w:rsid w:val="7BFB5035"/>
    <w:rsid w:val="7BFDE17E"/>
    <w:rsid w:val="7C52408F"/>
    <w:rsid w:val="7CBFC87B"/>
    <w:rsid w:val="7CFE0F48"/>
    <w:rsid w:val="7D051408"/>
    <w:rsid w:val="7D305742"/>
    <w:rsid w:val="7D3DE31C"/>
    <w:rsid w:val="7D7EC23E"/>
    <w:rsid w:val="7D7F8A13"/>
    <w:rsid w:val="7DA932F4"/>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Cs/>
      <w:szCs w:val="21"/>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rFonts w:ascii="Calibri" w:hAnsi="Calibri"/>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character" w:customStyle="1" w:styleId="37">
    <w:name w:val="font01"/>
    <w:basedOn w:val="17"/>
    <w:qFormat/>
    <w:uiPriority w:val="0"/>
    <w:rPr>
      <w:rFonts w:hint="eastAsia" w:ascii="宋体" w:hAnsi="宋体" w:eastAsia="宋体" w:cs="宋体"/>
      <w:color w:val="000000"/>
      <w:sz w:val="20"/>
      <w:szCs w:val="20"/>
      <w:u w:val="none"/>
    </w:rPr>
  </w:style>
  <w:style w:type="character" w:customStyle="1" w:styleId="38">
    <w:name w:val="font61"/>
    <w:basedOn w:val="17"/>
    <w:qFormat/>
    <w:uiPriority w:val="0"/>
    <w:rPr>
      <w:rFonts w:hint="eastAsia" w:ascii="宋体" w:hAnsi="宋体" w:eastAsia="宋体" w:cs="宋体"/>
      <w:color w:val="333333"/>
      <w:sz w:val="18"/>
      <w:szCs w:val="18"/>
      <w:u w:val="none"/>
    </w:rPr>
  </w:style>
  <w:style w:type="character" w:customStyle="1" w:styleId="39">
    <w:name w:val="font51"/>
    <w:basedOn w:val="17"/>
    <w:qFormat/>
    <w:uiPriority w:val="0"/>
    <w:rPr>
      <w:rFonts w:hint="eastAsia" w:ascii="宋体" w:hAnsi="宋体" w:eastAsia="宋体" w:cs="宋体"/>
      <w:color w:val="333333"/>
      <w:sz w:val="18"/>
      <w:szCs w:val="18"/>
      <w:u w:val="none"/>
    </w:rPr>
  </w:style>
  <w:style w:type="character" w:customStyle="1" w:styleId="40">
    <w:name w:val="font11"/>
    <w:basedOn w:val="17"/>
    <w:qFormat/>
    <w:uiPriority w:val="0"/>
    <w:rPr>
      <w:rFonts w:hint="eastAsia" w:ascii="宋体" w:hAnsi="宋体" w:eastAsia="宋体" w:cs="宋体"/>
      <w:color w:val="000000"/>
      <w:sz w:val="20"/>
      <w:szCs w:val="20"/>
      <w:u w:val="none"/>
    </w:rPr>
  </w:style>
  <w:style w:type="character" w:customStyle="1" w:styleId="41">
    <w:name w:val="font81"/>
    <w:basedOn w:val="17"/>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收支总计变动情况图</a:t>
            </a:r>
            <a:endParaRPr lang="zh-CN" altLang="en-US"/>
          </a:p>
        </c:rich>
      </c:tx>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51.43</c:v>
                </c:pt>
                <c:pt idx="1">
                  <c:v>41.5</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20.54</c:v>
                </c:pt>
                <c:pt idx="1">
                  <c:v>20.96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51.43</c:v>
                </c:pt>
                <c:pt idx="1">
                  <c:v>41.49</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2022年一般公共预算财政拨款支出总计</c:v>
                </c:pt>
                <c:pt idx="1">
                  <c:v>2023年一般公共预算财政拨款支出总计</c:v>
                </c:pt>
              </c:strCache>
            </c:strRef>
          </c:cat>
          <c:val>
            <c:numRef>
              <c:f>Sheet1!$B$2:$B$3</c:f>
              <c:numCache>
                <c:formatCode>General</c:formatCode>
                <c:ptCount val="2"/>
                <c:pt idx="0">
                  <c:v>51.43</c:v>
                </c:pt>
                <c:pt idx="1">
                  <c:v>41.49</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210020449897751"/>
          <c:y val="0.04435146443514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117587558477684"/>
                  <c:y val="-0.008769365682548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79073212645067"/>
                  <c:y val="0.2268703131760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55034997874431"/>
                  <c:y val="0.05622602043928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50006321911746"/>
                  <c:y val="0.03069277988892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33.63</c:v>
                </c:pt>
                <c:pt idx="1">
                  <c:v>5.76</c:v>
                </c:pt>
                <c:pt idx="2">
                  <c:v>0.63</c:v>
                </c:pt>
                <c:pt idx="3">
                  <c:v>1.47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236125"/>
          <c:y val="0.034532374100719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148125671980747"/>
                  <c:y val="0.1688805755407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76249328019253"/>
                  <c:y val="0.1510791366906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3416706675805"/>
                  <c:y val="0.05419884667029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3.1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2</TotalTime>
  <ScaleCrop>false</ScaleCrop>
  <LinksUpToDate>false</LinksUpToDate>
  <CharactersWithSpaces>10266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2024-08-05T15:12:00Z</dcterms:created>
  <dc:creator>曹颖</dc:creator>
  <cp:lastModifiedBy>易小琴</cp:lastModifiedBy>
  <cp:lastPrinted>2023-08-03T18:35:00Z</cp:lastPrinted>
  <dcterms:modified xsi:type="dcterms:W3CDTF">2024-09-26T06:35:01Z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27973E613F454802AA1BE6560B847C81</vt:lpwstr>
  </property>
</Properties>
</file>