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方正黑体_GBK" w:hAnsi="宋体" w:eastAsia="方正黑体_GBK"/>
          <w:sz w:val="33"/>
          <w:szCs w:val="33"/>
          <w:lang w:val="en-US" w:eastAsia="zh-CN"/>
        </w:rPr>
      </w:pPr>
      <w:r>
        <w:rPr>
          <w:rFonts w:hint="eastAsia" w:ascii="方正黑体_GBK" w:hAnsi="宋体" w:eastAsia="方正黑体_GBK"/>
          <w:sz w:val="33"/>
          <w:szCs w:val="33"/>
          <w:lang w:val="zh-CN"/>
        </w:rPr>
        <w:t>附件</w:t>
      </w:r>
      <w:r>
        <w:rPr>
          <w:rFonts w:hint="eastAsia" w:ascii="方正黑体_GBK" w:hAnsi="宋体" w:eastAsia="方正黑体_GBK"/>
          <w:sz w:val="33"/>
          <w:szCs w:val="33"/>
          <w:lang w:val="en-US" w:eastAsia="zh-CN"/>
        </w:rPr>
        <w:t>1</w:t>
      </w:r>
    </w:p>
    <w:p>
      <w:pPr>
        <w:widowControl/>
        <w:spacing w:line="580" w:lineRule="exact"/>
        <w:ind w:firstLine="883" w:firstLineChars="200"/>
        <w:contextualSpacing/>
        <w:jc w:val="center"/>
        <w:rPr>
          <w:rFonts w:ascii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ascii="方正小标宋简体" w:hAnsi="宋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  <w:lang w:val="en-US" w:eastAsia="zh-CN"/>
        </w:rPr>
        <w:t>乐山市金口河区人民政府办公室</w:t>
      </w:r>
    </w:p>
    <w:p>
      <w:pPr>
        <w:widowControl/>
        <w:spacing w:line="580" w:lineRule="exact"/>
        <w:contextualSpacing/>
        <w:jc w:val="center"/>
        <w:rPr>
          <w:rFonts w:hint="eastAsia" w:ascii="方正小标宋简体" w:hAnsi="宋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</w:rPr>
        <w:t>部门整体支出绩效自评报告</w:t>
      </w:r>
    </w:p>
    <w:p>
      <w:pPr>
        <w:pStyle w:val="2"/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一、</w:t>
      </w:r>
      <w:r>
        <w:rPr>
          <w:rStyle w:val="11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部门（单位）概况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机构组成。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乐山市金口河区人民政府办公室是一个独立核算的行政单位，包含2个事业单位（区公共资源交易中心和区地方志办）。内设机构：秘书股、综合股、信息调研股、政务督查股和行政股。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（二）机构职能。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⑴负责区政府会议的准备和组织工作，协助区政府领导同志落实会议决定事项。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⑵协助区政府领导同志组织起草或审核以区政府、区政府办公室名义发布的公文。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⑶审核各乡、镇、彝族乡政府和区政府各部门请示、报告区政府的事项，提出办理意见，报区政府领导同志审批。办理省、市政府和省、市各部门及各方面的来文来电。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⑷督促检查各乡、镇、彝族乡政府和政府各部门，对上级政府和区政府决定事项，以及区政府领导同志指示的贯彻落实情况，及时向区政府领导同志报告；根据区政府领导同志的指示，对区政府工作部门间争议问题提出处理意见和建议，报区政府领导决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⑸负责区政府值班工作，及时报告重要情况，传达和督促落实区政府领导同志指示。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⑹对区政府的重要工作、重大政策，在事前、事中、事后进行调查研究，为区政府决策提供参考建议。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⑺负责政务信息搜集、整理、报送工作，指导、监督全区政府信息公开工作，指导政务信息公开网站建设。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⑻组织办理涉及区政府工作的人大代表议案、批评、建议和政协委员提案、建议案工作。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⑼协同做好区级机关公务用车改革工作。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⑽负责督办全区民生工作。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⑾牵头做好规范性文件的备案工作。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⑿负责职责范围内的安全生产和职业健康、生态环境保护等工作。按照行政审批等方面的相关要求，做好有关工作。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⒀完成区委、区政府和领导同志交办的其他事项。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（三）人员概况。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2022年末在职在编人员38人，其中行政人员26人，事业人员12人。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二、</w:t>
      </w:r>
      <w:r>
        <w:rPr>
          <w:rStyle w:val="11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部门财政资金收支情况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（一）部门财政资金收入情况。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2022年决算中收入1316.61万元，其中：一般公共预算财政拨款收入1214.37万元，占92.23%；其他收入0.14万元，占0.01%；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年初结转和结余102.10万元，占7.76%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与2021年相比，收入总计增加172.31万元，上升13.09%。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（二）部门财政资金支出情况。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2022年决算中支出1316.61万元，其中：基本支出774.61万元，占58.83%；项目支出528.84万元，占40.17%；年末结转结余13.17万元，占1%。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支出总计与2021年相比，支出总计增加172.31万元，上升13.09%。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三、</w:t>
      </w:r>
      <w:r>
        <w:rPr>
          <w:rStyle w:val="11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部门整体预算绩效管理情况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（一）部门预算管理。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本部门按要求对2022年部门整体支出开展绩效自评,从评价情况来看,我办按照国家的法律法规加强预算管理,不断完善内控制度,取得了较好的预算执行效果。认真地完成部门预算和决算汇总工作,能够按照财政部门批复的预算组织实施。通过项目资金的分配使用。综合以上各项指标,财务管理健全规范,没有发生违法违规现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（二）项目预算管理。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br w:type="textWrapping"/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    本部门在2022年度部门决算中反映“日常业务经费”、“驻村工作队经费”、“县级领导基金经费”、“金口河区年鉴编纂与印刷费”等4个项目绩效目标实际完成情况。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（1）日常业务经费项目主要用于对政府办日常工作运转，项目全年预算数130万元，执行数为123.92万元，完成预算的95.32%。通过项目实施，保障了政府办日常工作运转。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（2）驻村工作队项目经费主要用于驻村工作人员开展乡村振兴工作。项目年初预算1.5万元，执行数为1.13万元，完成预算的75.33%。通过项目实施，为驻村工作队的工作提供保障。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（3）县级领导基金项目主要用于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慰问、解决群众困难等相关问题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。项目年初预算5万元，执行数为2.95万元，完成预算的59%。通过项目实施，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有效解决群众困难等相关问题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（4）金口河区年鉴编纂与印刷经费项目主要用于2022年金口河区年鉴编纂与印刷。项目年初预算6.35万元，执行数为6.35万元，完成预算的100%。通过项目实施，为2022年金口河区年鉴编纂与印刷提供保障。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（三）结果应用情况。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按照区财政局关于单位预决算信息公开及绩效评价公开的时间规定，我办在规定时间内完成本单位的信息公开。我办建立健全有效的内控制度，采取定期公开的财务管理制度，严格执行财务管理规定，强化项目资金管理和使用。同时严格遵守国家、省、市财务管理法律法规，本着勤俭节约原则，管理好每笔资金。杜绝违规违纪事件的发生。财务活动接受审计、财政、纪检监察等部门的监督检查。我办所有资产明确使用责任，细化到人，每年对资产进行清查盘点，对账实不符的情况及时进行处理并严格按照规定处置资产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1"/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四、评价结论及建议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（一）评价结论。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本部门按要求对2022年部门整体支出开展绩效自评,从评价情况来看,我办按照国家的法律法规加强预算管理,不断完善内控制度,取得了较好的预算执行效果。认真地完成了2021年部门预算和决算汇总工作,能够按照财政部门批复的预算组织实施。通过项目资金的分配使用。综合以上各项指标,财务管理健全规范,没有发生违法违规现象。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br w:type="textWrapping"/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 （二）存在问题。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由于预算与实际存在一定差异，项目预算考虑不周全，超前谋划意识不强需进一步提高。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(三）改进建议。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一是科学合理编制预算，严格执行预算。下一年度，我办将进一步加强预算编制的前瞻性，认真学习《中华人民共和国预算法》及相关实施条例的规定，根据本部门的全年工作安排，结合上一年度预算执行情况和本年度预算收支变化因素，科学合理地编制本年度预算草案，提高年初预算编制的准确率。二是严格按照预算安排进行开支。一是制定和完善基本支出、项目支出等各项支出标准，严格按项目和标准执行预算。二是加强新《中华人民共和国预算法》、《行政单位会计制度》等学习培训，提高会计人员业务水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widowControl/>
        <w:adjustRightInd w:val="0"/>
        <w:snapToGrid w:val="0"/>
        <w:spacing w:line="580" w:lineRule="exact"/>
        <w:ind w:firstLine="660" w:firstLineChars="200"/>
        <w:contextualSpacing/>
        <w:jc w:val="left"/>
        <w:rPr>
          <w:rFonts w:ascii="方正仿宋_GBK" w:hAnsi="宋体" w:eastAsia="方正仿宋_GBK" w:cs="宋体"/>
          <w:color w:val="000000"/>
          <w:kern w:val="0"/>
          <w:sz w:val="33"/>
          <w:szCs w:val="33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right" w:pos="9184"/>
        <w:tab w:val="clear" w:pos="4153"/>
        <w:tab w:val="clear" w:pos="8306"/>
      </w:tabs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0NDlkZjczZmExNzkwNmQ5NjNmNDNmMzVmMDE4MDEifQ=="/>
  </w:docVars>
  <w:rsids>
    <w:rsidRoot w:val="00EC0174"/>
    <w:rsid w:val="00006E4D"/>
    <w:rsid w:val="00021652"/>
    <w:rsid w:val="00030311"/>
    <w:rsid w:val="00030782"/>
    <w:rsid w:val="00030B66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37E4E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52BEA"/>
    <w:rsid w:val="00865915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8F6536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946B2A"/>
    <w:rsid w:val="061A6A13"/>
    <w:rsid w:val="07D740D8"/>
    <w:rsid w:val="13560B54"/>
    <w:rsid w:val="19927F78"/>
    <w:rsid w:val="1E441E5C"/>
    <w:rsid w:val="21AE59D8"/>
    <w:rsid w:val="22FF4EC8"/>
    <w:rsid w:val="271436A9"/>
    <w:rsid w:val="277E52D7"/>
    <w:rsid w:val="286F56EA"/>
    <w:rsid w:val="2D527252"/>
    <w:rsid w:val="329102D6"/>
    <w:rsid w:val="3A9520B3"/>
    <w:rsid w:val="3DE562B7"/>
    <w:rsid w:val="3E6507EA"/>
    <w:rsid w:val="44322100"/>
    <w:rsid w:val="47550EBA"/>
    <w:rsid w:val="482843E5"/>
    <w:rsid w:val="4BC507DB"/>
    <w:rsid w:val="4DFBCB12"/>
    <w:rsid w:val="5027550C"/>
    <w:rsid w:val="50BB3388"/>
    <w:rsid w:val="50DA51B4"/>
    <w:rsid w:val="52443688"/>
    <w:rsid w:val="570C5B60"/>
    <w:rsid w:val="5ADC7204"/>
    <w:rsid w:val="5B0B05EE"/>
    <w:rsid w:val="5C224533"/>
    <w:rsid w:val="636A48AB"/>
    <w:rsid w:val="6636451A"/>
    <w:rsid w:val="68E1201D"/>
    <w:rsid w:val="6BE94116"/>
    <w:rsid w:val="78916378"/>
    <w:rsid w:val="7BC20073"/>
    <w:rsid w:val="7C631402"/>
    <w:rsid w:val="7D9F5025"/>
    <w:rsid w:val="7DCC0F6E"/>
    <w:rsid w:val="7E140770"/>
    <w:rsid w:val="7F352B9E"/>
    <w:rsid w:val="9B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Arial"/>
      <w:bCs/>
      <w:kern w:val="2"/>
      <w:sz w:val="21"/>
      <w:szCs w:val="21"/>
      <w:lang w:val="en-US" w:eastAsia="zh-CN" w:bidi="ar-SA"/>
    </w:rPr>
  </w:style>
  <w:style w:type="paragraph" w:styleId="3">
    <w:name w:val="Document Map"/>
    <w:basedOn w:val="1"/>
    <w:link w:val="13"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4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文档结构图 Char"/>
    <w:link w:val="3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四号正文"/>
    <w:basedOn w:val="1"/>
    <w:link w:val="18"/>
    <w:qFormat/>
    <w:uiPriority w:val="99"/>
    <w:pPr>
      <w:spacing w:line="360" w:lineRule="auto"/>
    </w:pPr>
    <w:rPr>
      <w:rFonts w:ascii="??" w:hAnsi="??" w:cs="宋体"/>
      <w:color w:val="000000"/>
      <w:kern w:val="0"/>
      <w:sz w:val="21"/>
      <w:szCs w:val="21"/>
    </w:rPr>
  </w:style>
  <w:style w:type="character" w:customStyle="1" w:styleId="18">
    <w:name w:val="四号正文 Char"/>
    <w:link w:val="17"/>
    <w:qFormat/>
    <w:locked/>
    <w:uiPriority w:val="99"/>
    <w:rPr>
      <w:rFonts w:ascii="??" w:hAnsi="??" w:eastAsia="宋体" w:cs="宋体"/>
      <w:color w:val="000000"/>
      <w:sz w:val="21"/>
      <w:szCs w:val="21"/>
      <w:lang w:val="en-US" w:eastAsia="zh-CN" w:bidi="ar-SA"/>
    </w:rPr>
  </w:style>
  <w:style w:type="paragraph" w:customStyle="1" w:styleId="19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</Pages>
  <Words>305</Words>
  <Characters>305</Characters>
  <Lines>2</Lines>
  <Paragraphs>1</Paragraphs>
  <TotalTime>15</TotalTime>
  <ScaleCrop>false</ScaleCrop>
  <LinksUpToDate>false</LinksUpToDate>
  <CharactersWithSpaces>306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2020-05-28T17:28:00Z</dcterms:created>
  <dc:creator>陈萍</dc:creator>
  <cp:lastModifiedBy>user</cp:lastModifiedBy>
  <cp:lastPrinted>2023-05-16T15:37:00Z</cp:lastPrinted>
  <dcterms:modified xsi:type="dcterms:W3CDTF">2023-05-17T15:06:26Z</dcterms:modified>
  <dc:title>区域性就业培训基地建设项目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58E846006ADD4501A27CA8329A45D0B6</vt:lpwstr>
  </property>
</Properties>
</file>