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附表：</w:t>
      </w:r>
    </w:p>
    <w:tbl>
      <w:tblPr>
        <w:tblStyle w:val="4"/>
        <w:tblW w:w="82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718"/>
        <w:gridCol w:w="583"/>
        <w:gridCol w:w="913"/>
        <w:gridCol w:w="1078"/>
        <w:gridCol w:w="868"/>
        <w:gridCol w:w="720"/>
        <w:gridCol w:w="1168"/>
        <w:gridCol w:w="11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项目名称：</w:t>
            </w:r>
          </w:p>
        </w:tc>
        <w:tc>
          <w:tcPr>
            <w:tcW w:w="222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疑难信访专项经费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年度：</w:t>
            </w:r>
          </w:p>
        </w:tc>
        <w:tc>
          <w:tcPr>
            <w:tcW w:w="391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主管部门：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乐山市金口河区信访局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实施单位：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乐山市金口河区信访局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235" w:type="dxa"/>
            <w:gridSpan w:val="9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项目资金（万元）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全年预算数</w:t>
            </w:r>
          </w:p>
        </w:tc>
        <w:tc>
          <w:tcPr>
            <w:tcW w:w="19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全年执行数</w:t>
            </w:r>
          </w:p>
        </w:tc>
        <w:tc>
          <w:tcPr>
            <w:tcW w:w="30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预算执行率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年度资金总额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11.37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0.5685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其中：财政拨款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20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11.37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0.5685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74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其他资金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0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#DIV/0!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年度总体目标</w:t>
            </w:r>
          </w:p>
        </w:tc>
        <w:tc>
          <w:tcPr>
            <w:tcW w:w="330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预期目标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协调处理跨乡、镇和部门的重要信访问题，协调处理群众集体到京、省、市、区及有关部门的上访和异常、突发信访事件，处理历史遗留疑难信访问题。</w:t>
            </w:r>
          </w:p>
        </w:tc>
        <w:tc>
          <w:tcPr>
            <w:tcW w:w="3915" w:type="dxa"/>
            <w:gridSpan w:val="4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</w:rPr>
              <w:t>协调处理跨乡、镇和部门的重要信访问题，协调处理群众集体到京、省、市、区及有关部门的上访和异常、突发信访事件，处理历史遗留疑难信访问题。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一级指标</w:t>
            </w:r>
          </w:p>
        </w:tc>
        <w:tc>
          <w:tcPr>
            <w:tcW w:w="13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二级指标</w:t>
            </w:r>
          </w:p>
        </w:tc>
        <w:tc>
          <w:tcPr>
            <w:tcW w:w="9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三级指标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年度指标值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实际完成值</w:t>
            </w:r>
          </w:p>
        </w:tc>
        <w:tc>
          <w:tcPr>
            <w:tcW w:w="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分值/权重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（百分制）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得分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扣分原因分析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17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得    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90.44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部分资金未及时支付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240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预算执行率（10分）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100%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56.85%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10</w:t>
            </w: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5.69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部分资金未及时支付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产出指标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数量指标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质量指标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时效指标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强化疑难信访维稳时效性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100%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成本指标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效益指标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经济效益指标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社会效益指标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社会评价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优良中差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优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生态效益指标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0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可持续影响指标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满意度指标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满意度指标</w:t>
            </w:r>
          </w:p>
        </w:tc>
        <w:tc>
          <w:tcPr>
            <w:tcW w:w="91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来访对象满意度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100%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85%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35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29.75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>部分历史遗留问题未能解决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说明：1.预算执行率得分=全年执行数/全年预算数*10分；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      2.“产出指标、效益指标、满意度指标”一共90分，对应的是一体化系统中单位编制的项目绩效目标。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E1E3D"/>
    <w:rsid w:val="477D0C32"/>
    <w:rsid w:val="730D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widowControl w:val="0"/>
      <w:spacing w:before="240" w:after="60"/>
      <w:jc w:val="center"/>
      <w:outlineLvl w:val="0"/>
    </w:pPr>
    <w:rPr>
      <w:rFonts w:ascii="Arial" w:hAnsi="Arial" w:eastAsia="宋体" w:cs="Arial"/>
      <w:bCs/>
      <w:kern w:val="2"/>
      <w:sz w:val="21"/>
      <w:szCs w:val="21"/>
      <w:lang w:val="en-US" w:eastAsia="zh-CN" w:bidi="ar-SA"/>
    </w:rPr>
  </w:style>
  <w:style w:type="paragraph" w:styleId="3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character" w:styleId="6">
    <w:name w:val="Strong"/>
    <w:basedOn w:val="5"/>
    <w:qFormat/>
    <w:uiPriority w:val="99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2023-09-27T09:23:00Z</dcterms:created>
  <dc:creator>123</dc:creator>
  <cp:lastModifiedBy>123</cp:lastModifiedBy>
  <dcterms:modified xsi:type="dcterms:W3CDTF">2023-09-27T09:26:11Z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