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仿宋" w:hAnsi="仿宋" w:eastAsia="仿宋" w:cs="仿宋"/>
          <w:color w:val="auto"/>
          <w:sz w:val="72"/>
          <w:szCs w:val="72"/>
          <w:highlight w:val="none"/>
        </w:rPr>
      </w:pPr>
      <w:bookmarkStart w:id="0" w:name="_Toc15396597"/>
      <w:bookmarkStart w:id="1" w:name="_Toc15377425"/>
      <w:bookmarkStart w:id="2" w:name="_Toc15396475"/>
      <w:bookmarkStart w:id="3" w:name="_Toc15378441"/>
      <w:bookmarkStart w:id="4" w:name="_Toc15377193"/>
      <w:bookmarkStart w:id="5" w:name="_Toc15306267"/>
    </w:p>
    <w:p>
      <w:pPr>
        <w:spacing w:line="600" w:lineRule="exact"/>
        <w:jc w:val="center"/>
        <w:outlineLvl w:val="0"/>
        <w:rPr>
          <w:rFonts w:hint="eastAsia" w:ascii="方正小标宋简体" w:hAnsi="宋体" w:eastAsia="方正小标宋简体"/>
          <w:color w:val="auto"/>
          <w:sz w:val="72"/>
          <w:szCs w:val="72"/>
          <w:highlight w:val="none"/>
          <w:lang w:eastAsia="zh-CN"/>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pPr>
        <w:adjustRightInd w:val="0"/>
        <w:snapToGrid w:val="0"/>
        <w:spacing w:line="360" w:lineRule="auto"/>
        <w:jc w:val="center"/>
        <w:outlineLvl w:val="0"/>
        <w:rPr>
          <w:rFonts w:hint="eastAsia" w:ascii="方正小标宋简体" w:hAnsi="方正小标宋简体" w:eastAsia="方正小标宋简体" w:cs="方正小标宋简体"/>
          <w:color w:val="auto"/>
          <w:sz w:val="48"/>
          <w:szCs w:val="48"/>
          <w:highlight w:val="none"/>
        </w:rPr>
      </w:pPr>
      <w:bookmarkStart w:id="6" w:name="_Toc15306268"/>
      <w:bookmarkStart w:id="7" w:name="_Toc15378442"/>
      <w:bookmarkStart w:id="8" w:name="_Toc15396476"/>
      <w:bookmarkStart w:id="9" w:name="_Toc15377194"/>
      <w:bookmarkStart w:id="10" w:name="_Toc15396598"/>
      <w:bookmarkStart w:id="11" w:name="_Toc15377426"/>
      <w:r>
        <w:rPr>
          <w:rFonts w:hint="eastAsia" w:ascii="方正小标宋简体" w:hAnsi="方正小标宋简体" w:eastAsia="方正小标宋简体" w:cs="方正小标宋简体"/>
          <w:color w:val="auto"/>
          <w:sz w:val="48"/>
          <w:szCs w:val="48"/>
          <w:highlight w:val="none"/>
        </w:rPr>
        <w:t>中共乐山市金口河区委统一战线工作部</w:t>
      </w: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48"/>
          <w:szCs w:val="48"/>
          <w:highlight w:val="none"/>
        </w:rPr>
      </w:pPr>
    </w:p>
    <w:p>
      <w:pPr>
        <w:adjustRightInd w:val="0"/>
        <w:snapToGrid w:val="0"/>
        <w:spacing w:line="360" w:lineRule="auto"/>
        <w:jc w:val="center"/>
        <w:outlineLvl w:val="0"/>
        <w:rPr>
          <w:rFonts w:ascii="黑体" w:hAnsi="黑体" w:eastAsia="黑体"/>
          <w:color w:val="auto"/>
          <w:sz w:val="48"/>
          <w:szCs w:val="48"/>
          <w:highlight w:val="none"/>
        </w:rPr>
      </w:pPr>
      <w:r>
        <w:rPr>
          <w:rFonts w:hint="eastAsia" w:ascii="方正小标宋简体" w:hAnsi="方正小标宋简体" w:eastAsia="方正小标宋简体" w:cs="方正小标宋简体"/>
          <w:color w:val="auto"/>
          <w:sz w:val="72"/>
          <w:szCs w:val="72"/>
          <w:highlight w:val="none"/>
        </w:rPr>
        <w:t>部门决算</w:t>
      </w:r>
      <w:bookmarkEnd w:id="6"/>
      <w:bookmarkEnd w:id="7"/>
      <w:bookmarkEnd w:id="8"/>
      <w:bookmarkEnd w:id="9"/>
      <w:bookmarkEnd w:id="10"/>
      <w:bookmarkEnd w:id="11"/>
      <w:r>
        <w:rPr>
          <w:rFonts w:hint="eastAsia" w:ascii="方正小标宋简体" w:hAnsi="方正小标宋简体" w:eastAsia="方正小标宋简体" w:cs="方正小标宋简体"/>
          <w:color w:val="auto"/>
          <w:sz w:val="72"/>
          <w:szCs w:val="72"/>
          <w:highlight w:val="none"/>
          <w:lang w:val="en-US" w:eastAsia="zh-CN"/>
        </w:rPr>
        <w:t>公开</w:t>
      </w:r>
      <w:r>
        <w:rPr>
          <w:rFonts w:ascii="方正小标宋简体" w:hAnsi="宋体" w:eastAsia="方正小标宋简体"/>
          <w:color w:val="auto"/>
          <w:sz w:val="36"/>
          <w:szCs w:val="36"/>
          <w:highlight w:val="none"/>
        </w:rPr>
        <w:br w:type="page"/>
      </w:r>
      <w:bookmarkStart w:id="12" w:name="_Toc15377196"/>
      <w:bookmarkStart w:id="13" w:name="_Toc15396599"/>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sz w:val="32"/>
          <w:szCs w:val="32"/>
          <w:highlight w:val="none"/>
        </w:rPr>
      </w:pPr>
      <w:r>
        <w:rPr>
          <w:rFonts w:hint="eastAsia"/>
          <w:color w:val="auto"/>
          <w:sz w:val="32"/>
          <w:szCs w:val="32"/>
          <w:highlight w:val="none"/>
        </w:rPr>
        <w:t>公开时间：20</w:t>
      </w:r>
      <w:r>
        <w:rPr>
          <w:rFonts w:hint="eastAsia"/>
          <w:color w:val="auto"/>
          <w:sz w:val="32"/>
          <w:szCs w:val="32"/>
          <w:highlight w:val="none"/>
          <w:lang w:val="en-US" w:eastAsia="zh-CN"/>
        </w:rPr>
        <w:t>23</w:t>
      </w:r>
      <w:r>
        <w:rPr>
          <w:rFonts w:hint="eastAsia"/>
          <w:color w:val="auto"/>
          <w:sz w:val="32"/>
          <w:szCs w:val="32"/>
          <w:highlight w:val="none"/>
        </w:rPr>
        <w:t>年</w:t>
      </w:r>
      <w:r>
        <w:rPr>
          <w:rFonts w:hint="eastAsia"/>
          <w:color w:val="auto"/>
          <w:sz w:val="32"/>
          <w:szCs w:val="32"/>
          <w:highlight w:val="none"/>
          <w:lang w:val="en-US" w:eastAsia="zh-CN"/>
        </w:rPr>
        <w:t>10</w:t>
      </w:r>
      <w:r>
        <w:rPr>
          <w:rFonts w:hint="eastAsia"/>
          <w:color w:val="auto"/>
          <w:sz w:val="32"/>
          <w:szCs w:val="32"/>
          <w:highlight w:val="none"/>
        </w:rPr>
        <w:t>月</w:t>
      </w:r>
      <w:r>
        <w:rPr>
          <w:rFonts w:hint="eastAsia"/>
          <w:color w:val="auto"/>
          <w:sz w:val="32"/>
          <w:szCs w:val="32"/>
          <w:highlight w:val="none"/>
          <w:lang w:val="en-US" w:eastAsia="zh-CN"/>
        </w:rPr>
        <w:t>7</w:t>
      </w:r>
      <w:bookmarkStart w:id="45" w:name="_GoBack"/>
      <w:bookmarkEnd w:id="45"/>
      <w:r>
        <w:rPr>
          <w:rFonts w:hint="eastAsia"/>
          <w:color w:val="auto"/>
          <w:sz w:val="32"/>
          <w:szCs w:val="32"/>
          <w:highlight w:val="none"/>
        </w:rPr>
        <w:t>日</w:t>
      </w:r>
    </w:p>
    <w:p>
      <w:pPr>
        <w:rPr>
          <w:color w:val="auto"/>
          <w:highlight w:val="none"/>
        </w:rPr>
      </w:pPr>
    </w:p>
    <w:p>
      <w:pPr>
        <w:pStyle w:val="12"/>
        <w:adjustRightInd w:val="0"/>
        <w:snapToGrid w:val="0"/>
        <w:spacing w:line="440" w:lineRule="exact"/>
        <w:ind w:left="0" w:leftChars="0" w:firstLine="0" w:firstLineChars="0"/>
        <w:jc w:val="left"/>
        <w:rPr>
          <w:rFonts w:hint="eastAsia"/>
          <w:color w:val="auto"/>
          <w:sz w:val="24"/>
          <w:highlight w:val="none"/>
        </w:rPr>
      </w:pPr>
      <w:r>
        <w:rPr>
          <w:rFonts w:hint="eastAsia"/>
          <w:color w:val="auto"/>
          <w:sz w:val="24"/>
          <w:highlight w:val="none"/>
        </w:rPr>
        <w:t>第一部分 部门概况</w:t>
      </w:r>
    </w:p>
    <w:p>
      <w:pPr>
        <w:pStyle w:val="12"/>
        <w:adjustRightInd w:val="0"/>
        <w:snapToGrid w:val="0"/>
        <w:spacing w:line="440" w:lineRule="exact"/>
        <w:jc w:val="left"/>
        <w:rPr>
          <w:rFonts w:hint="default" w:ascii="仿宋" w:hAnsi="仿宋" w:eastAsia="仿宋"/>
          <w:color w:val="auto"/>
          <w:sz w:val="24"/>
          <w:highlight w:val="none"/>
          <w:lang w:val="en-US"/>
        </w:rPr>
      </w:pPr>
      <w:r>
        <w:rPr>
          <w:rFonts w:hint="eastAsia"/>
          <w:color w:val="auto"/>
          <w:sz w:val="24"/>
          <w:highlight w:val="none"/>
        </w:rPr>
        <w:t>一、</w:t>
      </w:r>
      <w:r>
        <w:rPr>
          <w:rFonts w:hint="eastAsia"/>
          <w:color w:val="auto"/>
          <w:sz w:val="24"/>
          <w:highlight w:val="none"/>
          <w:lang w:eastAsia="zh-CN"/>
        </w:rPr>
        <w:t>部门职责</w:t>
      </w:r>
      <w:r>
        <w:rPr>
          <w:rFonts w:hint="eastAsia"/>
          <w:color w:val="auto"/>
          <w:sz w:val="24"/>
          <w:highlight w:val="none"/>
          <w:lang w:val="en-US" w:eastAsia="zh-CN"/>
        </w:rPr>
        <w:t xml:space="preserve">  </w:t>
      </w:r>
      <w:r>
        <w:rPr>
          <w:rFonts w:hint="eastAsia"/>
          <w:sz w:val="24"/>
          <w:lang w:eastAsia="zh-CN"/>
        </w:rPr>
        <w:t>………………………………………………………………</w:t>
      </w:r>
      <w:r>
        <w:rPr>
          <w:rFonts w:hint="default"/>
          <w:sz w:val="24"/>
          <w:lang w:val="en-US" w:eastAsia="zh-CN"/>
        </w:rPr>
        <w:t>4</w:t>
      </w:r>
    </w:p>
    <w:p>
      <w:pPr>
        <w:pStyle w:val="12"/>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二、机构设置</w:t>
      </w:r>
      <w:r>
        <w:rPr>
          <w:rFonts w:hint="default"/>
          <w:color w:val="auto"/>
          <w:sz w:val="24"/>
          <w:highlight w:val="none"/>
          <w:lang w:val="en-US"/>
        </w:rPr>
        <w:t xml:space="preserve">  </w:t>
      </w:r>
      <w:r>
        <w:rPr>
          <w:rFonts w:hint="eastAsia"/>
          <w:sz w:val="24"/>
          <w:lang w:eastAsia="zh-CN"/>
        </w:rPr>
        <w:t>………………………………………………………………</w:t>
      </w:r>
      <w:r>
        <w:rPr>
          <w:rFonts w:hint="default" w:ascii="仿宋" w:hAnsi="仿宋" w:eastAsia="仿宋" w:cstheme="minorBidi"/>
          <w:color w:val="auto"/>
          <w:sz w:val="24"/>
          <w:highlight w:val="none"/>
          <w:lang w:val="en-US"/>
        </w:rPr>
        <w:t>5</w:t>
      </w:r>
    </w:p>
    <w:p>
      <w:pPr>
        <w:pStyle w:val="12"/>
        <w:adjustRightInd w:val="0"/>
        <w:snapToGrid w:val="0"/>
        <w:spacing w:line="440" w:lineRule="exact"/>
        <w:ind w:left="0" w:leftChars="0" w:firstLine="0" w:firstLineChars="0"/>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rPr>
        <w:t>部门决算情况说明</w:t>
      </w:r>
    </w:p>
    <w:p>
      <w:pPr>
        <w:pStyle w:val="12"/>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一、收入支出决算总体情况说明</w:t>
      </w:r>
      <w:r>
        <w:rPr>
          <w:rFonts w:hint="eastAsia"/>
          <w:color w:val="auto"/>
          <w:sz w:val="24"/>
          <w:highlight w:val="none"/>
          <w:lang w:val="en-US" w:eastAsia="zh-CN"/>
        </w:rPr>
        <w:t xml:space="preserve">  </w:t>
      </w:r>
      <w:r>
        <w:rPr>
          <w:rFonts w:hint="eastAsia"/>
          <w:sz w:val="24"/>
          <w:lang w:eastAsia="zh-CN"/>
        </w:rPr>
        <w:t>…………………………………………</w:t>
      </w:r>
      <w:r>
        <w:rPr>
          <w:rFonts w:hint="default"/>
          <w:sz w:val="24"/>
          <w:lang w:val="en-US" w:eastAsia="zh-CN"/>
        </w:rPr>
        <w:t>6</w:t>
      </w:r>
    </w:p>
    <w:p>
      <w:pPr>
        <w:pStyle w:val="12"/>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二、收入决算情况说明</w:t>
      </w:r>
      <w:r>
        <w:rPr>
          <w:rFonts w:hint="default"/>
          <w:color w:val="auto"/>
          <w:sz w:val="24"/>
          <w:highlight w:val="none"/>
          <w:lang w:val="en-US"/>
        </w:rPr>
        <w:t xml:space="preserve"> </w:t>
      </w:r>
      <w:r>
        <w:rPr>
          <w:rFonts w:hint="eastAsia"/>
          <w:color w:val="auto"/>
          <w:sz w:val="24"/>
          <w:highlight w:val="none"/>
          <w:lang w:val="en-US" w:eastAsia="zh-CN"/>
        </w:rPr>
        <w:t xml:space="preserve"> </w:t>
      </w:r>
      <w:r>
        <w:rPr>
          <w:rFonts w:hint="default"/>
          <w:color w:val="auto"/>
          <w:sz w:val="24"/>
          <w:highlight w:val="none"/>
          <w:lang w:val="en-US"/>
        </w:rPr>
        <w:t xml:space="preserve"> </w:t>
      </w:r>
      <w:r>
        <w:rPr>
          <w:rFonts w:hint="eastAsia"/>
          <w:sz w:val="24"/>
          <w:lang w:eastAsia="zh-CN"/>
        </w:rPr>
        <w:t>………………………………………………</w:t>
      </w:r>
      <w:r>
        <w:rPr>
          <w:rFonts w:hint="default"/>
          <w:color w:val="auto"/>
          <w:sz w:val="24"/>
          <w:highlight w:val="none"/>
          <w:lang w:val="en-US"/>
        </w:rPr>
        <w:t xml:space="preserve"> 6-7</w:t>
      </w:r>
    </w:p>
    <w:p>
      <w:pPr>
        <w:pStyle w:val="12"/>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三、支出决算情况说明</w:t>
      </w:r>
      <w:r>
        <w:rPr>
          <w:rFonts w:hint="default"/>
          <w:color w:val="auto"/>
          <w:sz w:val="24"/>
          <w:highlight w:val="none"/>
          <w:lang w:val="en-US"/>
        </w:rPr>
        <w:t xml:space="preserve">  </w:t>
      </w:r>
      <w:r>
        <w:rPr>
          <w:rFonts w:hint="eastAsia"/>
          <w:sz w:val="24"/>
          <w:lang w:eastAsia="zh-CN"/>
        </w:rPr>
        <w:t>………………………………………………</w:t>
      </w:r>
      <w:r>
        <w:rPr>
          <w:rFonts w:hint="default"/>
          <w:color w:val="auto"/>
          <w:sz w:val="24"/>
          <w:highlight w:val="none"/>
          <w:lang w:val="en-US"/>
        </w:rPr>
        <w:t xml:space="preserve">  7-8</w:t>
      </w:r>
    </w:p>
    <w:p>
      <w:pPr>
        <w:pStyle w:val="12"/>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四、财政拨款收入支出决算总体情况说明</w:t>
      </w:r>
      <w:r>
        <w:rPr>
          <w:rFonts w:hint="default"/>
          <w:color w:val="auto"/>
          <w:sz w:val="24"/>
          <w:highlight w:val="none"/>
          <w:lang w:val="en-US"/>
        </w:rPr>
        <w:t xml:space="preserve"> </w:t>
      </w:r>
      <w:r>
        <w:rPr>
          <w:rFonts w:hint="eastAsia"/>
          <w:color w:val="auto"/>
          <w:sz w:val="24"/>
          <w:highlight w:val="none"/>
          <w:lang w:val="en-US" w:eastAsia="zh-CN"/>
        </w:rPr>
        <w:t xml:space="preserve"> </w:t>
      </w:r>
      <w:r>
        <w:rPr>
          <w:rFonts w:hint="eastAsia"/>
          <w:sz w:val="24"/>
          <w:lang w:eastAsia="zh-CN"/>
        </w:rPr>
        <w:t>…………………………</w:t>
      </w:r>
      <w:r>
        <w:rPr>
          <w:rFonts w:hint="default"/>
          <w:color w:val="auto"/>
          <w:sz w:val="24"/>
          <w:highlight w:val="none"/>
          <w:lang w:val="en-US"/>
        </w:rPr>
        <w:t xml:space="preserve">  8-9</w:t>
      </w:r>
    </w:p>
    <w:p>
      <w:pPr>
        <w:pStyle w:val="12"/>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五、一般公共预算财政拨款支出决算情况说明</w:t>
      </w:r>
      <w:r>
        <w:rPr>
          <w:rFonts w:hint="default"/>
          <w:color w:val="auto"/>
          <w:sz w:val="24"/>
          <w:highlight w:val="none"/>
          <w:lang w:val="en-US"/>
        </w:rPr>
        <w:t xml:space="preserve">  </w:t>
      </w:r>
      <w:r>
        <w:rPr>
          <w:rFonts w:hint="eastAsia"/>
          <w:sz w:val="24"/>
          <w:lang w:eastAsia="zh-CN"/>
        </w:rPr>
        <w:t>……………………</w:t>
      </w:r>
      <w:r>
        <w:rPr>
          <w:rFonts w:hint="default"/>
          <w:color w:val="auto"/>
          <w:sz w:val="24"/>
          <w:highlight w:val="none"/>
          <w:lang w:val="en-US"/>
        </w:rPr>
        <w:t xml:space="preserve"> 9-12</w:t>
      </w:r>
    </w:p>
    <w:p>
      <w:pPr>
        <w:pStyle w:val="12"/>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六、一般公共预算财政拨款基本支出决算情况说明</w:t>
      </w:r>
      <w:r>
        <w:rPr>
          <w:rFonts w:hint="default"/>
          <w:color w:val="auto"/>
          <w:sz w:val="24"/>
          <w:highlight w:val="none"/>
          <w:lang w:val="en-US"/>
        </w:rPr>
        <w:t xml:space="preserve"> </w:t>
      </w:r>
      <w:r>
        <w:rPr>
          <w:rFonts w:hint="eastAsia"/>
          <w:sz w:val="24"/>
          <w:lang w:eastAsia="zh-CN"/>
        </w:rPr>
        <w:t>………………</w:t>
      </w:r>
      <w:r>
        <w:rPr>
          <w:rFonts w:hint="default"/>
          <w:color w:val="auto"/>
          <w:sz w:val="24"/>
          <w:highlight w:val="none"/>
          <w:lang w:val="en-US"/>
        </w:rPr>
        <w:t xml:space="preserve"> 12-13</w:t>
      </w:r>
    </w:p>
    <w:p>
      <w:pPr>
        <w:pStyle w:val="12"/>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r>
        <w:rPr>
          <w:rFonts w:hint="default"/>
          <w:color w:val="auto"/>
          <w:sz w:val="24"/>
          <w:highlight w:val="none"/>
          <w:lang w:val="en-US"/>
        </w:rPr>
        <w:t xml:space="preserve"> </w:t>
      </w:r>
      <w:r>
        <w:rPr>
          <w:rFonts w:hint="eastAsia"/>
          <w:sz w:val="24"/>
          <w:lang w:eastAsia="zh-CN"/>
        </w:rPr>
        <w:t>……………………</w:t>
      </w:r>
      <w:r>
        <w:rPr>
          <w:rFonts w:hint="default"/>
          <w:color w:val="auto"/>
          <w:sz w:val="24"/>
          <w:highlight w:val="none"/>
          <w:lang w:val="en-US"/>
        </w:rPr>
        <w:t xml:space="preserve"> 1</w:t>
      </w:r>
      <w:r>
        <w:rPr>
          <w:rFonts w:hint="eastAsia"/>
          <w:color w:val="auto"/>
          <w:sz w:val="24"/>
          <w:highlight w:val="none"/>
          <w:lang w:val="en-US" w:eastAsia="zh-CN"/>
        </w:rPr>
        <w:t>2</w:t>
      </w:r>
      <w:r>
        <w:rPr>
          <w:rFonts w:hint="default"/>
          <w:color w:val="auto"/>
          <w:sz w:val="24"/>
          <w:highlight w:val="none"/>
          <w:lang w:val="en-US"/>
        </w:rPr>
        <w:t>-1</w:t>
      </w:r>
      <w:r>
        <w:rPr>
          <w:rFonts w:hint="eastAsia"/>
          <w:color w:val="auto"/>
          <w:sz w:val="24"/>
          <w:highlight w:val="none"/>
          <w:lang w:val="en-US" w:eastAsia="zh-CN"/>
        </w:rPr>
        <w:t>4</w:t>
      </w:r>
    </w:p>
    <w:p>
      <w:pPr>
        <w:pStyle w:val="12"/>
        <w:adjustRightInd w:val="0"/>
        <w:snapToGrid w:val="0"/>
        <w:spacing w:line="440" w:lineRule="exact"/>
        <w:jc w:val="left"/>
        <w:rPr>
          <w:rFonts w:hint="eastAsia"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r>
        <w:rPr>
          <w:rFonts w:hint="default"/>
          <w:color w:val="auto"/>
          <w:sz w:val="24"/>
          <w:highlight w:val="none"/>
          <w:lang w:val="en-US"/>
        </w:rPr>
        <w:t xml:space="preserve"> </w:t>
      </w:r>
      <w:r>
        <w:rPr>
          <w:rFonts w:hint="eastAsia"/>
          <w:color w:val="auto"/>
          <w:sz w:val="24"/>
          <w:highlight w:val="none"/>
          <w:lang w:val="en-US" w:eastAsia="zh-CN"/>
        </w:rPr>
        <w:t xml:space="preserve"> </w:t>
      </w:r>
      <w:r>
        <w:rPr>
          <w:rFonts w:hint="eastAsia"/>
          <w:sz w:val="24"/>
          <w:lang w:eastAsia="zh-CN"/>
        </w:rPr>
        <w:t>………………………………</w:t>
      </w:r>
      <w:r>
        <w:rPr>
          <w:rFonts w:hint="default"/>
          <w:color w:val="auto"/>
          <w:sz w:val="24"/>
          <w:highlight w:val="none"/>
          <w:lang w:val="en-US"/>
        </w:rPr>
        <w:t xml:space="preserve"> 1</w:t>
      </w:r>
      <w:r>
        <w:rPr>
          <w:rFonts w:hint="eastAsia"/>
          <w:color w:val="auto"/>
          <w:sz w:val="24"/>
          <w:highlight w:val="none"/>
          <w:lang w:val="en-US" w:eastAsia="zh-CN"/>
        </w:rPr>
        <w:t>4</w:t>
      </w:r>
    </w:p>
    <w:p>
      <w:pPr>
        <w:pStyle w:val="12"/>
        <w:adjustRightInd w:val="0"/>
        <w:snapToGrid w:val="0"/>
        <w:spacing w:line="440" w:lineRule="exact"/>
        <w:ind w:leftChars="0"/>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r>
        <w:rPr>
          <w:rFonts w:hint="eastAsia" w:asciiTheme="minorEastAsia" w:hAnsiTheme="minorEastAsia" w:eastAsiaTheme="minorEastAsia" w:cstheme="minorEastAsia"/>
          <w:color w:val="auto"/>
          <w:sz w:val="24"/>
          <w:highlight w:val="none"/>
          <w:lang w:val="en-US" w:eastAsia="zh-CN"/>
        </w:rPr>
        <w:t xml:space="preserve"> </w:t>
      </w:r>
      <w:r>
        <w:rPr>
          <w:rFonts w:hint="default" w:asciiTheme="minorEastAsia" w:hAnsiTheme="minorEastAsia" w:eastAsiaTheme="minorEastAsia" w:cstheme="minorEastAsia"/>
          <w:color w:val="auto"/>
          <w:sz w:val="24"/>
          <w:highlight w:val="none"/>
          <w:lang w:val="en-US"/>
        </w:rPr>
        <w:t xml:space="preserve"> </w:t>
      </w:r>
      <w:r>
        <w:rPr>
          <w:rFonts w:hint="eastAsia"/>
          <w:sz w:val="24"/>
          <w:lang w:eastAsia="zh-CN"/>
        </w:rPr>
        <w:t>……………………………</w:t>
      </w:r>
      <w:r>
        <w:rPr>
          <w:rFonts w:hint="default" w:asciiTheme="minorEastAsia" w:hAnsiTheme="minorEastAsia" w:eastAsiaTheme="minorEastAsia" w:cstheme="minorEastAsia"/>
          <w:color w:val="auto"/>
          <w:sz w:val="24"/>
          <w:highlight w:val="none"/>
          <w:lang w:val="en-US"/>
        </w:rPr>
        <w:t xml:space="preserve"> 1</w:t>
      </w:r>
      <w:r>
        <w:rPr>
          <w:rFonts w:hint="eastAsia" w:asciiTheme="minorEastAsia" w:hAnsiTheme="minorEastAsia" w:eastAsiaTheme="minorEastAsia" w:cstheme="minorEastAsia"/>
          <w:color w:val="auto"/>
          <w:sz w:val="24"/>
          <w:highlight w:val="none"/>
          <w:lang w:val="en-US" w:eastAsia="zh-CN"/>
        </w:rPr>
        <w:t>5</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default" w:asciiTheme="minorEastAsia" w:hAnsiTheme="minorEastAsia" w:eastAsiaTheme="minorEastAsia" w:cstheme="minorEastAsia"/>
          <w:color w:val="auto"/>
          <w:sz w:val="24"/>
          <w:highlight w:val="none"/>
          <w:lang w:val="en-US"/>
        </w:rPr>
      </w:pPr>
      <w:r>
        <w:rPr>
          <w:rStyle w:val="19"/>
          <w:rFonts w:hint="eastAsia" w:asciiTheme="minorEastAsia" w:hAnsiTheme="minorEastAsia" w:eastAsiaTheme="minorEastAsia" w:cstheme="minorEastAsia"/>
          <w:color w:val="auto"/>
          <w:sz w:val="24"/>
          <w:highlight w:val="none"/>
          <w:u w:val="none"/>
          <w:lang w:eastAsia="zh-CN"/>
        </w:rPr>
        <w:t>十</w:t>
      </w:r>
      <w:r>
        <w:rPr>
          <w:rStyle w:val="19"/>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rPr>
        <w:tab/>
      </w:r>
      <w:r>
        <w:rPr>
          <w:rFonts w:hint="eastAsia"/>
          <w:sz w:val="24"/>
          <w:lang w:eastAsia="zh-CN"/>
        </w:rPr>
        <w:t>………………………………………</w:t>
      </w:r>
      <w:r>
        <w:rPr>
          <w:rFonts w:hint="default" w:asciiTheme="minorEastAsia" w:hAnsiTheme="minorEastAsia" w:eastAsiaTheme="minorEastAsia" w:cstheme="minorEastAsia"/>
          <w:color w:val="auto"/>
          <w:sz w:val="24"/>
          <w:highlight w:val="none"/>
          <w:lang w:val="en-US"/>
        </w:rPr>
        <w:t>1</w:t>
      </w:r>
      <w:r>
        <w:rPr>
          <w:rFonts w:hint="eastAsia" w:asciiTheme="minorEastAsia" w:hAnsiTheme="minorEastAsia" w:eastAsiaTheme="minorEastAsia" w:cstheme="minorEastAsia"/>
          <w:color w:val="auto"/>
          <w:sz w:val="24"/>
          <w:highlight w:val="none"/>
          <w:lang w:val="en-US" w:eastAsia="zh-CN"/>
        </w:rPr>
        <w:t>5</w:t>
      </w:r>
      <w:r>
        <w:rPr>
          <w:rFonts w:hint="default" w:asciiTheme="minorEastAsia" w:hAnsiTheme="minorEastAsia" w:eastAsiaTheme="minorEastAsia" w:cstheme="minorEastAsia"/>
          <w:color w:val="auto"/>
          <w:sz w:val="24"/>
          <w:highlight w:val="none"/>
          <w:lang w:val="en-US"/>
        </w:rPr>
        <w:t>-16</w:t>
      </w:r>
    </w:p>
    <w:p>
      <w:pPr>
        <w:pStyle w:val="12"/>
        <w:adjustRightInd w:val="0"/>
        <w:snapToGrid w:val="0"/>
        <w:spacing w:line="440" w:lineRule="exact"/>
        <w:ind w:left="0" w:leftChars="0" w:firstLine="0" w:firstLineChars="0"/>
        <w:jc w:val="left"/>
        <w:rPr>
          <w:rFonts w:hint="default"/>
          <w:color w:val="auto"/>
          <w:sz w:val="24"/>
          <w:highlight w:val="none"/>
          <w:lang w:val="en-US"/>
        </w:rPr>
      </w:pPr>
      <w:r>
        <w:rPr>
          <w:rFonts w:hint="eastAsia"/>
          <w:color w:val="auto"/>
          <w:sz w:val="24"/>
          <w:highlight w:val="none"/>
        </w:rPr>
        <w:t>第三部分 名词解释</w:t>
      </w:r>
      <w:r>
        <w:rPr>
          <w:rFonts w:hint="default"/>
          <w:color w:val="auto"/>
          <w:sz w:val="24"/>
          <w:highlight w:val="none"/>
          <w:lang w:val="en-US"/>
        </w:rPr>
        <w:t xml:space="preserve">  </w:t>
      </w:r>
      <w:r>
        <w:rPr>
          <w:rFonts w:hint="eastAsia"/>
          <w:color w:val="auto"/>
          <w:sz w:val="24"/>
          <w:highlight w:val="none"/>
          <w:lang w:eastAsia="zh-CN"/>
        </w:rPr>
        <w:t>………………………………………………………</w:t>
      </w:r>
      <w:r>
        <w:rPr>
          <w:rFonts w:hint="default"/>
          <w:color w:val="auto"/>
          <w:sz w:val="24"/>
          <w:highlight w:val="none"/>
          <w:lang w:val="en-US"/>
        </w:rPr>
        <w:t xml:space="preserve"> 17-19</w:t>
      </w:r>
    </w:p>
    <w:p>
      <w:pPr>
        <w:pStyle w:val="12"/>
        <w:adjustRightInd w:val="0"/>
        <w:snapToGrid w:val="0"/>
        <w:spacing w:line="440" w:lineRule="exact"/>
        <w:ind w:left="0" w:leftChars="0" w:firstLine="0" w:firstLineChars="0"/>
        <w:jc w:val="left"/>
        <w:rPr>
          <w:rFonts w:hint="default"/>
          <w:color w:val="auto"/>
          <w:sz w:val="24"/>
          <w:highlight w:val="none"/>
          <w:lang w:val="en-US"/>
        </w:rPr>
      </w:pPr>
      <w:r>
        <w:rPr>
          <w:rFonts w:hint="eastAsia"/>
          <w:color w:val="auto"/>
          <w:sz w:val="24"/>
          <w:highlight w:val="none"/>
        </w:rPr>
        <w:t>第四部分 附件</w:t>
      </w:r>
      <w:r>
        <w:rPr>
          <w:rFonts w:hint="default"/>
          <w:color w:val="auto"/>
          <w:sz w:val="24"/>
          <w:highlight w:val="none"/>
          <w:lang w:val="en-US"/>
        </w:rPr>
        <w:t xml:space="preserve"> </w:t>
      </w:r>
      <w:r>
        <w:rPr>
          <w:rFonts w:hint="eastAsia"/>
          <w:color w:val="auto"/>
          <w:sz w:val="24"/>
          <w:highlight w:val="none"/>
          <w:lang w:val="en-US" w:eastAsia="zh-CN"/>
        </w:rPr>
        <w:t xml:space="preserve"> </w:t>
      </w:r>
      <w:r>
        <w:rPr>
          <w:rFonts w:hint="eastAsia"/>
          <w:color w:val="auto"/>
          <w:sz w:val="24"/>
          <w:highlight w:val="none"/>
          <w:lang w:eastAsia="zh-CN"/>
        </w:rPr>
        <w:t>……………………………………………………………</w:t>
      </w:r>
      <w:r>
        <w:rPr>
          <w:rFonts w:hint="default"/>
          <w:color w:val="auto"/>
          <w:sz w:val="24"/>
          <w:highlight w:val="none"/>
          <w:lang w:val="en-US"/>
        </w:rPr>
        <w:t xml:space="preserve"> 20-39</w:t>
      </w:r>
    </w:p>
    <w:p>
      <w:pPr>
        <w:pStyle w:val="12"/>
        <w:adjustRightInd w:val="0"/>
        <w:snapToGrid w:val="0"/>
        <w:spacing w:line="440" w:lineRule="exact"/>
        <w:ind w:left="0" w:leftChars="0" w:firstLine="0" w:firstLineChars="0"/>
        <w:jc w:val="left"/>
        <w:rPr>
          <w:rFonts w:hint="default"/>
          <w:color w:val="auto"/>
          <w:sz w:val="24"/>
          <w:highlight w:val="none"/>
          <w:lang w:val="en-US"/>
        </w:rPr>
      </w:pPr>
      <w:r>
        <w:rPr>
          <w:rFonts w:hint="eastAsia"/>
          <w:color w:val="auto"/>
          <w:sz w:val="24"/>
          <w:highlight w:val="none"/>
        </w:rPr>
        <w:t>第五部分 附表</w:t>
      </w:r>
      <w:r>
        <w:rPr>
          <w:rFonts w:hint="default"/>
          <w:color w:val="auto"/>
          <w:sz w:val="24"/>
          <w:highlight w:val="none"/>
          <w:lang w:val="en-US"/>
        </w:rPr>
        <w:t xml:space="preserve"> </w:t>
      </w:r>
      <w:r>
        <w:rPr>
          <w:rFonts w:hint="eastAsia"/>
          <w:color w:val="auto"/>
          <w:sz w:val="24"/>
          <w:highlight w:val="none"/>
          <w:lang w:val="en-US" w:eastAsia="zh-CN"/>
        </w:rPr>
        <w:t xml:space="preserve"> </w:t>
      </w:r>
      <w:r>
        <w:rPr>
          <w:rFonts w:hint="eastAsia"/>
          <w:color w:val="auto"/>
          <w:sz w:val="24"/>
          <w:highlight w:val="none"/>
          <w:lang w:eastAsia="zh-CN"/>
        </w:rPr>
        <w:t>………………………………………………………………</w:t>
      </w:r>
      <w:r>
        <w:rPr>
          <w:rFonts w:hint="default"/>
          <w:color w:val="auto"/>
          <w:sz w:val="24"/>
          <w:highlight w:val="none"/>
          <w:lang w:val="en-US"/>
        </w:rPr>
        <w:t xml:space="preserve">  40</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2"/>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2"/>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color w:val="auto"/>
          <w:sz w:val="24"/>
          <w:highlight w:val="none"/>
        </w:rPr>
        <w:t>十三、财政拨款“三公”经费支出决算表</w:t>
      </w:r>
    </w:p>
    <w:p>
      <w:pPr>
        <w:widowControl/>
        <w:spacing w:line="440" w:lineRule="exact"/>
        <w:jc w:val="left"/>
        <w:rPr>
          <w:rFonts w:ascii="仿宋" w:hAnsi="仿宋" w:eastAsia="仿宋"/>
          <w:bCs/>
          <w:color w:val="auto"/>
          <w:kern w:val="44"/>
          <w:sz w:val="24"/>
          <w:highlight w:val="none"/>
        </w:rPr>
      </w:pPr>
    </w:p>
    <w:p>
      <w:pPr>
        <w:pStyle w:val="3"/>
        <w:jc w:val="both"/>
        <w:rPr>
          <w:rFonts w:hint="eastAsia" w:ascii="黑体" w:hAnsi="黑体" w:eastAsia="黑体"/>
          <w:b w:val="0"/>
          <w:color w:val="auto"/>
          <w:highlight w:val="none"/>
        </w:rPr>
      </w:pPr>
    </w:p>
    <w:p>
      <w:pPr>
        <w:pStyle w:val="3"/>
        <w:jc w:val="both"/>
        <w:rPr>
          <w:rFonts w:hint="eastAsia" w:ascii="黑体" w:hAnsi="黑体" w:eastAsia="黑体"/>
          <w:b w:val="0"/>
          <w:color w:val="auto"/>
          <w:highlight w:val="none"/>
        </w:rPr>
      </w:pPr>
    </w:p>
    <w:p>
      <w:pPr>
        <w:pStyle w:val="3"/>
        <w:jc w:val="both"/>
        <w:rPr>
          <w:rFonts w:hint="eastAsia" w:ascii="黑体" w:hAnsi="黑体" w:eastAsia="黑体"/>
          <w:b w:val="0"/>
          <w:color w:val="auto"/>
          <w:highlight w:val="none"/>
        </w:rPr>
      </w:pPr>
    </w:p>
    <w:p>
      <w:pPr>
        <w:pStyle w:val="3"/>
        <w:jc w:val="both"/>
        <w:rPr>
          <w:rFonts w:hint="eastAsia" w:ascii="黑体" w:hAnsi="黑体" w:eastAsia="黑体"/>
          <w:b w:val="0"/>
          <w:color w:val="auto"/>
          <w:highlight w:val="none"/>
        </w:rPr>
      </w:pPr>
    </w:p>
    <w:p>
      <w:pPr>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3"/>
        <w:jc w:val="both"/>
        <w:rPr>
          <w:rFonts w:hint="eastAsia" w:ascii="黑体" w:hAnsi="黑体" w:eastAsia="黑体"/>
          <w:b w:val="0"/>
          <w:color w:val="auto"/>
          <w:highlight w:val="none"/>
        </w:rPr>
      </w:pPr>
    </w:p>
    <w:p>
      <w:pPr>
        <w:rPr>
          <w:rFonts w:hint="eastAsia"/>
        </w:rPr>
      </w:pPr>
    </w:p>
    <w:p>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29"/>
          <w:rFonts w:hint="eastAsia" w:ascii="黑体" w:hAnsi="黑体" w:eastAsia="黑体"/>
          <w:b w:val="0"/>
          <w:bCs w:val="0"/>
          <w:color w:val="auto"/>
          <w:highlight w:val="none"/>
        </w:rPr>
        <w:t>部门概况</w:t>
      </w:r>
      <w:bookmarkEnd w:id="12"/>
      <w:bookmarkEnd w:id="13"/>
    </w:p>
    <w:p>
      <w:pPr>
        <w:pStyle w:val="4"/>
        <w:numPr>
          <w:ilvl w:val="0"/>
          <w:numId w:val="1"/>
        </w:numPr>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部门职责</w:t>
      </w:r>
    </w:p>
    <w:p>
      <w:pPr>
        <w:snapToGrid w:val="0"/>
        <w:spacing w:line="520" w:lineRule="exact"/>
        <w:ind w:firstLine="640" w:firstLineChars="200"/>
        <w:rPr>
          <w:rFonts w:hint="eastAsia" w:ascii="仿宋" w:hAnsi="仿宋" w:eastAsia="仿宋"/>
          <w:bCs/>
          <w:sz w:val="32"/>
          <w:szCs w:val="32"/>
        </w:rPr>
      </w:pPr>
      <w:r>
        <w:rPr>
          <w:rFonts w:eastAsia="仿宋_GB2312"/>
          <w:kern w:val="0"/>
          <w:sz w:val="32"/>
          <w:szCs w:val="32"/>
        </w:rPr>
        <w:t>中共乐山市金口河区委统战部是中共乐山市金口河区委主管统一战线工作的重要职能部门。其主要职责：</w:t>
      </w:r>
      <w:r>
        <w:rPr>
          <w:rFonts w:hint="eastAsia" w:eastAsia="仿宋_GB2312"/>
          <w:kern w:val="0"/>
          <w:sz w:val="32"/>
          <w:szCs w:val="32"/>
        </w:rPr>
        <w:t>一是在</w:t>
      </w:r>
      <w:r>
        <w:rPr>
          <w:rFonts w:eastAsia="仿宋_GB2312"/>
          <w:kern w:val="0"/>
          <w:sz w:val="32"/>
          <w:szCs w:val="32"/>
        </w:rPr>
        <w:t>区委的领导和市委统战部的指导下，宣传贯彻落实党的统一战线方针、政策。结合全区实际，向区委提出开展统战工作的意见和建议。</w:t>
      </w:r>
      <w:r>
        <w:rPr>
          <w:rFonts w:hint="eastAsia" w:eastAsia="仿宋_GB2312"/>
          <w:kern w:val="0"/>
          <w:sz w:val="32"/>
          <w:szCs w:val="32"/>
        </w:rPr>
        <w:t>二是加</w:t>
      </w:r>
      <w:r>
        <w:rPr>
          <w:rFonts w:eastAsia="仿宋_GB2312"/>
          <w:kern w:val="0"/>
          <w:sz w:val="32"/>
          <w:szCs w:val="32"/>
        </w:rPr>
        <w:t>强同各族各界人士的联系，了解反映他们的意见、建议，发挥他们在政治协商、民主监督、参政议政中的作用，支持他们积极工作。</w:t>
      </w:r>
      <w:r>
        <w:rPr>
          <w:rFonts w:hint="eastAsia" w:eastAsia="仿宋_GB2312"/>
          <w:kern w:val="0"/>
          <w:sz w:val="32"/>
          <w:szCs w:val="32"/>
        </w:rPr>
        <w:t>三是</w:t>
      </w:r>
      <w:r>
        <w:rPr>
          <w:rFonts w:eastAsia="仿宋_GB2312"/>
          <w:kern w:val="0"/>
          <w:sz w:val="32"/>
          <w:szCs w:val="32"/>
        </w:rPr>
        <w:t>调查研究我区党外知识分子情况，联系并培养党外知识分子代表人物，帮助他们反映意见、建议和要求，协调好关系，提出合理化建议。</w:t>
      </w:r>
      <w:r>
        <w:rPr>
          <w:rFonts w:hint="eastAsia" w:eastAsia="仿宋_GB2312"/>
          <w:kern w:val="0"/>
          <w:sz w:val="32"/>
          <w:szCs w:val="32"/>
        </w:rPr>
        <w:t>四</w:t>
      </w:r>
      <w:r>
        <w:rPr>
          <w:rFonts w:hint="eastAsia" w:eastAsia="仿宋_GB2312"/>
          <w:kern w:val="0"/>
          <w:sz w:val="32"/>
          <w:szCs w:val="32"/>
          <w:lang w:eastAsia="zh-CN"/>
        </w:rPr>
        <w:t>是</w:t>
      </w:r>
      <w:r>
        <w:rPr>
          <w:rFonts w:eastAsia="仿宋_GB2312"/>
          <w:kern w:val="0"/>
          <w:sz w:val="32"/>
          <w:szCs w:val="32"/>
        </w:rPr>
        <w:t>宣传党的民族、宗教政策，按照“民族宗教无小事”的精神，检查督促党的民族、宗教政策的贯彻执行情况，联系少数民族和宗教代表人物，同有关部门一道做好少数民族干部的培养、举荐工作。</w:t>
      </w:r>
      <w:r>
        <w:rPr>
          <w:rFonts w:hint="eastAsia" w:eastAsia="仿宋_GB2312"/>
          <w:kern w:val="0"/>
          <w:sz w:val="32"/>
          <w:szCs w:val="32"/>
        </w:rPr>
        <w:t>五是</w:t>
      </w:r>
      <w:r>
        <w:rPr>
          <w:rFonts w:eastAsia="仿宋_GB2312"/>
          <w:kern w:val="0"/>
          <w:sz w:val="32"/>
          <w:szCs w:val="32"/>
        </w:rPr>
        <w:t>调查研究并反映我区非公有制经济及代表人士的情况，协调关系，提出有利于非公有制经济健康发展的意见、建议，大力宣传党的非公有制经济政策，引导非公有制经济健康发展。</w:t>
      </w:r>
      <w:r>
        <w:rPr>
          <w:rFonts w:hint="eastAsia" w:eastAsia="仿宋_GB2312"/>
          <w:kern w:val="0"/>
          <w:sz w:val="32"/>
          <w:szCs w:val="32"/>
        </w:rPr>
        <w:t>六是</w:t>
      </w:r>
      <w:r>
        <w:rPr>
          <w:rFonts w:eastAsia="仿宋_GB2312"/>
          <w:kern w:val="0"/>
          <w:sz w:val="32"/>
          <w:szCs w:val="32"/>
        </w:rPr>
        <w:t>负责开展以祖国统一为重点的海内外统战工作，联系港澳和海外有关社团及代表人士，协调指导做好台胞、台属的有关工作。</w:t>
      </w:r>
      <w:r>
        <w:rPr>
          <w:rFonts w:hint="eastAsia" w:eastAsia="仿宋_GB2312"/>
          <w:kern w:val="0"/>
          <w:sz w:val="32"/>
          <w:szCs w:val="32"/>
        </w:rPr>
        <w:t>七是</w:t>
      </w:r>
      <w:r>
        <w:rPr>
          <w:rFonts w:eastAsia="仿宋_GB2312"/>
          <w:kern w:val="0"/>
          <w:sz w:val="32"/>
          <w:szCs w:val="32"/>
        </w:rPr>
        <w:t>负责我区党外人士的政治安排，做好人大党外代表、政协党外委员等党外人士的安排工作及党外行政领导干部的选拔、培养、推荐工作。</w:t>
      </w:r>
      <w:r>
        <w:rPr>
          <w:rFonts w:hint="eastAsia" w:eastAsia="仿宋_GB2312"/>
          <w:kern w:val="0"/>
          <w:sz w:val="32"/>
          <w:szCs w:val="32"/>
        </w:rPr>
        <w:t>八是</w:t>
      </w:r>
      <w:r>
        <w:rPr>
          <w:rFonts w:eastAsia="仿宋_GB2312"/>
          <w:kern w:val="0"/>
          <w:sz w:val="32"/>
          <w:szCs w:val="32"/>
        </w:rPr>
        <w:t>负责开展统一战线的理论研究和宣传工作。</w:t>
      </w:r>
      <w:r>
        <w:rPr>
          <w:rFonts w:hint="eastAsia" w:eastAsia="仿宋_GB2312"/>
          <w:kern w:val="0"/>
          <w:sz w:val="32"/>
          <w:szCs w:val="32"/>
        </w:rPr>
        <w:t>九是</w:t>
      </w:r>
      <w:r>
        <w:rPr>
          <w:rFonts w:eastAsia="仿宋_GB2312"/>
          <w:kern w:val="0"/>
          <w:sz w:val="32"/>
          <w:szCs w:val="32"/>
        </w:rPr>
        <w:t>完成区委和市委统战部交办的其他工作任务。</w:t>
      </w:r>
    </w:p>
    <w:p>
      <w:pPr>
        <w:numPr>
          <w:ilvl w:val="0"/>
          <w:numId w:val="0"/>
        </w:numPr>
        <w:rPr>
          <w:rFonts w:hint="eastAsia"/>
          <w:lang w:eastAsia="zh-CN"/>
        </w:rPr>
      </w:pPr>
    </w:p>
    <w:p>
      <w:pPr>
        <w:pStyle w:val="4"/>
        <w:rPr>
          <w:rStyle w:val="30"/>
          <w:b w:val="0"/>
          <w:bCs w:val="0"/>
          <w:color w:val="auto"/>
          <w:highlight w:val="none"/>
        </w:rPr>
      </w:pPr>
      <w:bookmarkStart w:id="14" w:name="_Toc15396601"/>
      <w:bookmarkStart w:id="15"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30"/>
          <w:rFonts w:hint="eastAsia" w:ascii="黑体" w:hAnsi="黑体" w:eastAsia="黑体"/>
          <w:b w:val="0"/>
          <w:bCs w:val="0"/>
          <w:color w:val="auto"/>
          <w:highlight w:val="none"/>
        </w:rPr>
        <w:t>构设置</w:t>
      </w:r>
      <w:bookmarkEnd w:id="14"/>
      <w:bookmarkEnd w:id="15"/>
    </w:p>
    <w:p>
      <w:pPr>
        <w:snapToGrid w:val="0"/>
        <w:spacing w:line="520" w:lineRule="exact"/>
        <w:ind w:firstLine="640" w:firstLineChars="200"/>
        <w:jc w:val="both"/>
        <w:rPr>
          <w:rFonts w:ascii="仿宋_GB2312" w:hAnsi="仿宋" w:eastAsia="仿宋_GB2312"/>
          <w:kern w:val="2"/>
          <w:sz w:val="32"/>
          <w:szCs w:val="32"/>
        </w:rPr>
      </w:pPr>
      <w:r>
        <w:rPr>
          <w:rFonts w:hint="eastAsia" w:ascii="仿宋_GB2312" w:hAnsi="仿宋" w:eastAsia="仿宋_GB2312"/>
          <w:kern w:val="2"/>
          <w:sz w:val="32"/>
          <w:szCs w:val="32"/>
        </w:rPr>
        <w:t>区</w:t>
      </w:r>
      <w:r>
        <w:rPr>
          <w:rFonts w:hint="eastAsia" w:ascii="仿宋_GB2312" w:hAnsi="仿宋" w:eastAsia="仿宋_GB2312"/>
          <w:kern w:val="2"/>
          <w:sz w:val="32"/>
          <w:szCs w:val="32"/>
          <w:lang w:eastAsia="zh-CN"/>
        </w:rPr>
        <w:t>委统战部</w:t>
      </w:r>
      <w:r>
        <w:rPr>
          <w:rFonts w:hint="eastAsia" w:ascii="仿宋_GB2312" w:hAnsi="仿宋" w:eastAsia="仿宋_GB2312"/>
          <w:kern w:val="2"/>
          <w:sz w:val="32"/>
          <w:szCs w:val="32"/>
        </w:rPr>
        <w:t>属区</w:t>
      </w:r>
      <w:r>
        <w:rPr>
          <w:rFonts w:hint="eastAsia" w:ascii="仿宋_GB2312" w:hAnsi="仿宋" w:eastAsia="仿宋_GB2312"/>
          <w:kern w:val="2"/>
          <w:sz w:val="32"/>
          <w:szCs w:val="32"/>
          <w:lang w:eastAsia="zh-CN"/>
        </w:rPr>
        <w:t>委</w:t>
      </w:r>
      <w:r>
        <w:rPr>
          <w:rFonts w:hint="eastAsia" w:ascii="仿宋_GB2312" w:hAnsi="仿宋" w:eastAsia="仿宋_GB2312"/>
          <w:kern w:val="2"/>
          <w:sz w:val="32"/>
          <w:szCs w:val="32"/>
        </w:rPr>
        <w:t>序列正科级工作部门，行政编制5名，下属二级预算单位0个，</w:t>
      </w:r>
      <w:r>
        <w:rPr>
          <w:rFonts w:hint="eastAsia" w:ascii="仿宋_GB2312" w:hAnsi="仿宋" w:eastAsia="仿宋_GB2312"/>
          <w:kern w:val="2"/>
          <w:sz w:val="32"/>
          <w:szCs w:val="32"/>
          <w:lang w:eastAsia="zh-CN"/>
        </w:rPr>
        <w:t>代管区侨联</w:t>
      </w:r>
      <w:r>
        <w:rPr>
          <w:rFonts w:hint="eastAsia" w:ascii="仿宋_GB2312" w:hAnsi="仿宋" w:eastAsia="仿宋_GB2312"/>
          <w:kern w:val="2"/>
          <w:sz w:val="32"/>
          <w:szCs w:val="32"/>
        </w:rPr>
        <w:t>为财政全额拨款</w:t>
      </w:r>
      <w:r>
        <w:rPr>
          <w:rFonts w:hint="eastAsia" w:ascii="仿宋_GB2312" w:hAnsi="仿宋" w:eastAsia="仿宋_GB2312"/>
          <w:kern w:val="2"/>
          <w:sz w:val="32"/>
          <w:szCs w:val="32"/>
          <w:lang w:eastAsia="zh-CN"/>
        </w:rPr>
        <w:t>正科级</w:t>
      </w:r>
      <w:r>
        <w:rPr>
          <w:rFonts w:hint="eastAsia" w:ascii="仿宋_GB2312" w:hAnsi="仿宋" w:eastAsia="仿宋_GB2312"/>
          <w:kern w:val="2"/>
          <w:sz w:val="32"/>
          <w:szCs w:val="32"/>
        </w:rPr>
        <w:t>事业单位1个，事业编制</w:t>
      </w:r>
      <w:r>
        <w:rPr>
          <w:rFonts w:hint="eastAsia" w:ascii="仿宋_GB2312" w:hAnsi="仿宋" w:eastAsia="仿宋_GB2312"/>
          <w:kern w:val="2"/>
          <w:sz w:val="32"/>
          <w:szCs w:val="32"/>
          <w:lang w:val="en-US" w:eastAsia="zh-CN"/>
        </w:rPr>
        <w:t>3</w:t>
      </w:r>
      <w:r>
        <w:rPr>
          <w:rFonts w:hint="eastAsia" w:ascii="仿宋_GB2312" w:hAnsi="仿宋" w:eastAsia="仿宋_GB2312"/>
          <w:kern w:val="2"/>
          <w:sz w:val="32"/>
          <w:szCs w:val="32"/>
        </w:rPr>
        <w:t>名。我</w:t>
      </w:r>
      <w:r>
        <w:rPr>
          <w:rFonts w:hint="eastAsia" w:ascii="仿宋_GB2312" w:hAnsi="仿宋" w:eastAsia="仿宋_GB2312"/>
          <w:kern w:val="2"/>
          <w:sz w:val="32"/>
          <w:szCs w:val="32"/>
          <w:lang w:eastAsia="zh-CN"/>
        </w:rPr>
        <w:t>部</w:t>
      </w:r>
      <w:r>
        <w:rPr>
          <w:rFonts w:hint="eastAsia" w:ascii="仿宋_GB2312" w:hAnsi="仿宋" w:eastAsia="仿宋_GB2312"/>
          <w:kern w:val="2"/>
          <w:sz w:val="32"/>
          <w:szCs w:val="32"/>
        </w:rPr>
        <w:t>内设2个职能部门，分别是</w:t>
      </w:r>
      <w:r>
        <w:rPr>
          <w:rFonts w:hint="eastAsia" w:ascii="仿宋_GB2312" w:hAnsi="仿宋" w:eastAsia="仿宋_GB2312"/>
          <w:kern w:val="2"/>
          <w:sz w:val="32"/>
          <w:szCs w:val="32"/>
          <w:lang w:eastAsia="zh-CN"/>
        </w:rPr>
        <w:t>综合</w:t>
      </w:r>
      <w:r>
        <w:rPr>
          <w:rFonts w:hint="eastAsia" w:ascii="仿宋_GB2312" w:hAnsi="仿宋" w:eastAsia="仿宋_GB2312"/>
          <w:kern w:val="2"/>
          <w:sz w:val="32"/>
          <w:szCs w:val="32"/>
        </w:rPr>
        <w:t>办公室、</w:t>
      </w:r>
      <w:r>
        <w:rPr>
          <w:rFonts w:hint="eastAsia" w:ascii="仿宋_GB2312" w:eastAsia="仿宋_GB2312" w:cs="宋体"/>
          <w:color w:val="000000"/>
          <w:kern w:val="0"/>
          <w:sz w:val="32"/>
          <w:szCs w:val="32"/>
        </w:rPr>
        <w:t>侨联综合办公室。</w:t>
      </w:r>
    </w:p>
    <w:p>
      <w:pPr>
        <w:pStyle w:val="2"/>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ascii="仿宋" w:hAnsi="仿宋" w:eastAsia="仿宋"/>
          <w:sz w:val="32"/>
          <w:szCs w:val="32"/>
          <w:lang w:eastAsia="zh-CN"/>
        </w:rPr>
        <w:t>区委统战部</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w:t>
      </w:r>
      <w:r>
        <w:rPr>
          <w:rFonts w:hint="eastAsia" w:ascii="仿宋" w:hAnsi="仿宋" w:eastAsia="仿宋"/>
          <w:sz w:val="32"/>
          <w:szCs w:val="32"/>
        </w:rPr>
        <w:t>度部门决算编制范围的二级预算单位0个。</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9"/>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9"/>
          <w:rFonts w:hint="eastAsia" w:ascii="黑体" w:hAnsi="黑体" w:eastAsia="黑体"/>
          <w:b w:val="0"/>
          <w:bCs/>
          <w:color w:val="auto"/>
          <w:highlight w:val="none"/>
        </w:rPr>
        <w:t>部门决算情况说明</w:t>
      </w:r>
      <w:bookmarkEnd w:id="16"/>
      <w:bookmarkEnd w:id="17"/>
    </w:p>
    <w:p>
      <w:pPr>
        <w:rPr>
          <w:color w:val="auto"/>
          <w:highlight w:val="none"/>
        </w:rPr>
      </w:pP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228.31</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26.07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12.89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一是人员增加及调整基本工资，增加了人员经费；二是追加了统战社团项目工作经费。</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220345</wp:posOffset>
            </wp:positionH>
            <wp:positionV relativeFrom="page">
              <wp:posOffset>3965575</wp:posOffset>
            </wp:positionV>
            <wp:extent cx="5080000" cy="381000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640" w:firstLineChars="200"/>
        <w:jc w:val="left"/>
        <w:rPr>
          <w:rFonts w:ascii="仿宋_GB2312" w:eastAsia="仿宋_GB2312"/>
          <w:color w:val="auto"/>
          <w:sz w:val="32"/>
          <w:szCs w:val="32"/>
          <w:highlight w:val="none"/>
        </w:rPr>
      </w:pP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rPr>
        <w:t>收</w:t>
      </w:r>
      <w:r>
        <w:rPr>
          <w:rStyle w:val="30"/>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223.30</w:t>
      </w:r>
      <w:r>
        <w:rPr>
          <w:rFonts w:hint="eastAsia" w:ascii="仿宋" w:hAnsi="仿宋" w:eastAsia="仿宋"/>
          <w:color w:val="auto"/>
          <w:sz w:val="32"/>
          <w:szCs w:val="32"/>
          <w:highlight w:val="none"/>
        </w:rPr>
        <w:t>万元，其中：</w:t>
      </w:r>
      <w:bookmarkStart w:id="22" w:name="OLE_LINK1"/>
      <w:r>
        <w:rPr>
          <w:rFonts w:hint="eastAsia" w:ascii="仿宋" w:hAnsi="仿宋" w:eastAsia="仿宋"/>
          <w:color w:val="auto"/>
          <w:sz w:val="32"/>
          <w:szCs w:val="32"/>
          <w:highlight w:val="none"/>
        </w:rPr>
        <w:t>一般公共预算财政拨款收入</w:t>
      </w:r>
      <w:bookmarkEnd w:id="22"/>
      <w:r>
        <w:rPr>
          <w:rFonts w:hint="eastAsia" w:ascii="仿宋" w:hAnsi="仿宋" w:eastAsia="仿宋"/>
          <w:color w:val="auto"/>
          <w:sz w:val="32"/>
          <w:szCs w:val="32"/>
          <w:highlight w:val="none"/>
          <w:lang w:val="en-US" w:eastAsia="zh-CN"/>
        </w:rPr>
        <w:t>223.29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Start w:id="23" w:name="OLE_LINK2"/>
      <w:r>
        <w:rPr>
          <w:rFonts w:hint="eastAsia" w:ascii="仿宋" w:hAnsi="仿宋" w:eastAsia="仿宋"/>
          <w:color w:val="auto"/>
          <w:sz w:val="32"/>
          <w:szCs w:val="32"/>
          <w:highlight w:val="none"/>
        </w:rPr>
        <w:t>政府性基金预算财政拨款收入</w:t>
      </w:r>
      <w:bookmarkEnd w:id="23"/>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0.01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hint="eastAsia"/>
        </w:rPr>
      </w:pPr>
      <w:r>
        <w:rPr>
          <w:rFonts w:hint="eastAsia" w:eastAsia="仿宋_GB2312"/>
          <w:lang w:eastAsia="zh-CN"/>
        </w:rPr>
        <w:drawing>
          <wp:anchor distT="0" distB="0" distL="114300" distR="114300" simplePos="0" relativeHeight="251660288" behindDoc="0" locked="0" layoutInCell="1" allowOverlap="1">
            <wp:simplePos x="0" y="0"/>
            <wp:positionH relativeFrom="column">
              <wp:posOffset>128270</wp:posOffset>
            </wp:positionH>
            <wp:positionV relativeFrom="page">
              <wp:posOffset>2962910</wp:posOffset>
            </wp:positionV>
            <wp:extent cx="5080000" cy="3810000"/>
            <wp:effectExtent l="4445" t="4445" r="20955" b="1460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spacing w:line="600" w:lineRule="exact"/>
        <w:ind w:firstLine="640" w:firstLineChars="200"/>
        <w:outlineLvl w:val="1"/>
        <w:rPr>
          <w:rFonts w:ascii="仿宋" w:hAnsi="仿宋" w:eastAsia="仿宋"/>
          <w:color w:val="auto"/>
          <w:sz w:val="32"/>
          <w:szCs w:val="32"/>
          <w:highlight w:val="none"/>
        </w:rPr>
      </w:pPr>
    </w:p>
    <w:p>
      <w:pPr>
        <w:pStyle w:val="2"/>
        <w:rPr>
          <w:rFonts w:hint="eastAsia" w:eastAsia="仿宋_GB2312"/>
          <w:lang w:eastAsia="zh-CN"/>
        </w:rPr>
      </w:pPr>
    </w:p>
    <w:p>
      <w:pPr>
        <w:pStyle w:val="2"/>
      </w:pPr>
    </w:p>
    <w:p>
      <w:pPr>
        <w:spacing w:line="600" w:lineRule="exact"/>
        <w:jc w:val="both"/>
        <w:rPr>
          <w:rFonts w:hint="eastAsia" w:ascii="仿宋" w:hAnsi="仿宋" w:eastAsia="仿宋"/>
          <w:color w:val="auto"/>
          <w:sz w:val="32"/>
          <w:szCs w:val="32"/>
          <w:highlight w:val="none"/>
        </w:rPr>
      </w:pPr>
    </w:p>
    <w:p>
      <w:pPr>
        <w:spacing w:line="600" w:lineRule="exact"/>
        <w:ind w:firstLine="640" w:firstLineChars="20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pPr>
        <w:pStyle w:val="28"/>
        <w:numPr>
          <w:ilvl w:val="0"/>
          <w:numId w:val="2"/>
        </w:numPr>
        <w:spacing w:line="600" w:lineRule="exact"/>
        <w:ind w:firstLineChars="0"/>
        <w:outlineLvl w:val="1"/>
        <w:rPr>
          <w:rStyle w:val="30"/>
          <w:rFonts w:ascii="黑体" w:hAnsi="黑体" w:eastAsia="黑体"/>
          <w:b w:val="0"/>
          <w:color w:val="auto"/>
          <w:highlight w:val="none"/>
        </w:rPr>
      </w:pPr>
      <w:bookmarkStart w:id="24" w:name="_Toc15396605"/>
      <w:bookmarkStart w:id="25" w:name="_Toc15377207"/>
      <w:r>
        <w:rPr>
          <w:rFonts w:hint="eastAsia" w:ascii="黑体" w:hAnsi="黑体" w:eastAsia="黑体"/>
          <w:color w:val="auto"/>
          <w:sz w:val="32"/>
          <w:szCs w:val="32"/>
          <w:highlight w:val="none"/>
        </w:rPr>
        <w:t>支</w:t>
      </w:r>
      <w:r>
        <w:rPr>
          <w:rStyle w:val="30"/>
          <w:rFonts w:hint="eastAsia" w:ascii="黑体" w:hAnsi="黑体" w:eastAsia="黑体"/>
          <w:b w:val="0"/>
          <w:color w:val="auto"/>
          <w:highlight w:val="none"/>
        </w:rPr>
        <w:t>出决算情况说明</w:t>
      </w:r>
      <w:bookmarkEnd w:id="24"/>
      <w:bookmarkEnd w:id="25"/>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228.31</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205.81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90.14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22.50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9.86</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hint="eastAsia" w:ascii="仿宋" w:hAnsi="仿宋" w:eastAsia="仿宋"/>
          <w:color w:val="auto"/>
          <w:sz w:val="32"/>
          <w:szCs w:val="32"/>
          <w:highlight w:val="none"/>
          <w:shd w:val="pct10" w:color="auto" w:fill="FFFFFF"/>
          <w:lang w:eastAsia="zh-CN"/>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shd w:val="pct10" w:color="auto" w:fill="FFFFFF"/>
          <w:lang w:eastAsia="zh-CN"/>
        </w:rPr>
        <w:drawing>
          <wp:anchor distT="0" distB="0" distL="114300" distR="114300" simplePos="0" relativeHeight="251661312" behindDoc="0" locked="0" layoutInCell="1" allowOverlap="1">
            <wp:simplePos x="0" y="0"/>
            <wp:positionH relativeFrom="column">
              <wp:posOffset>252730</wp:posOffset>
            </wp:positionH>
            <wp:positionV relativeFrom="page">
              <wp:posOffset>861695</wp:posOffset>
            </wp:positionV>
            <wp:extent cx="5080000" cy="3810000"/>
            <wp:effectExtent l="4445" t="4445" r="20955" b="1460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640" w:firstLineChars="200"/>
        <w:jc w:val="center"/>
        <w:rPr>
          <w:rFonts w:hint="eastAsia" w:ascii="仿宋" w:hAnsi="仿宋" w:eastAsia="仿宋"/>
          <w:color w:val="auto"/>
          <w:sz w:val="32"/>
          <w:szCs w:val="32"/>
          <w:highlight w:val="none"/>
        </w:rPr>
      </w:pPr>
    </w:p>
    <w:p>
      <w:pPr>
        <w:spacing w:line="600" w:lineRule="exact"/>
        <w:ind w:firstLine="640" w:firstLineChars="200"/>
        <w:jc w:val="center"/>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30"/>
          <w:rFonts w:ascii="黑体" w:hAnsi="黑体" w:eastAsia="黑体"/>
          <w:b w:val="0"/>
          <w:color w:val="auto"/>
          <w:highlight w:val="none"/>
        </w:rPr>
      </w:pPr>
      <w:bookmarkStart w:id="26" w:name="_Toc15396606"/>
      <w:bookmarkStart w:id="27" w:name="_Toc15377208"/>
      <w:r>
        <w:rPr>
          <w:rFonts w:hint="eastAsia" w:ascii="黑体" w:hAnsi="黑体" w:eastAsia="黑体"/>
          <w:color w:val="auto"/>
          <w:sz w:val="32"/>
          <w:szCs w:val="32"/>
          <w:highlight w:val="none"/>
        </w:rPr>
        <w:t>四、财</w:t>
      </w:r>
      <w:r>
        <w:rPr>
          <w:rStyle w:val="30"/>
          <w:rFonts w:hint="eastAsia" w:ascii="黑体" w:hAnsi="黑体" w:eastAsia="黑体"/>
          <w:b w:val="0"/>
          <w:color w:val="auto"/>
          <w:highlight w:val="none"/>
        </w:rPr>
        <w:t>政拨款收入支出决算总体情况说明</w:t>
      </w:r>
      <w:bookmarkEnd w:id="26"/>
      <w:bookmarkEnd w:id="27"/>
    </w:p>
    <w:p>
      <w:pPr>
        <w:spacing w:line="6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000000" w:themeColor="text1"/>
          <w:sz w:val="32"/>
          <w:szCs w:val="32"/>
          <w:highlight w:val="none"/>
          <w:lang w:val="en-US" w:eastAsia="zh-CN"/>
          <w14:textFill>
            <w14:solidFill>
              <w14:schemeClr w14:val="tx1"/>
            </w14:solidFill>
          </w14:textFill>
        </w:rPr>
        <w:t>22</w:t>
      </w:r>
      <w:r>
        <w:rPr>
          <w:rFonts w:hint="default" w:ascii="仿宋" w:hAnsi="仿宋" w:eastAsia="仿宋"/>
          <w:color w:val="000000" w:themeColor="text1"/>
          <w:sz w:val="32"/>
          <w:szCs w:val="32"/>
          <w:highlight w:val="none"/>
          <w:lang w:val="en-US" w:eastAsia="zh-CN"/>
          <w14:textFill>
            <w14:solidFill>
              <w14:schemeClr w14:val="tx1"/>
            </w14:solidFill>
          </w14:textFill>
        </w:rPr>
        <w:t>8</w:t>
      </w:r>
      <w:r>
        <w:rPr>
          <w:rFonts w:hint="eastAsia" w:ascii="仿宋" w:hAnsi="仿宋" w:eastAsia="仿宋"/>
          <w:color w:val="000000" w:themeColor="text1"/>
          <w:sz w:val="32"/>
          <w:szCs w:val="32"/>
          <w:highlight w:val="none"/>
          <w:lang w:val="en-US" w:eastAsia="zh-CN"/>
          <w14:textFill>
            <w14:solidFill>
              <w14:schemeClr w14:val="tx1"/>
            </w14:solidFill>
          </w14:textFill>
        </w:rPr>
        <w:t>.</w:t>
      </w:r>
      <w:r>
        <w:rPr>
          <w:rFonts w:hint="default" w:ascii="仿宋" w:hAnsi="仿宋" w:eastAsia="仿宋"/>
          <w:color w:val="000000" w:themeColor="text1"/>
          <w:sz w:val="32"/>
          <w:szCs w:val="32"/>
          <w:highlight w:val="none"/>
          <w:lang w:val="en-US" w:eastAsia="zh-CN"/>
          <w14:textFill>
            <w14:solidFill>
              <w14:schemeClr w14:val="tx1"/>
            </w14:solidFill>
          </w14:textFill>
        </w:rPr>
        <w:t>30</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default" w:ascii="仿宋" w:hAnsi="仿宋" w:eastAsia="仿宋"/>
          <w:color w:val="auto"/>
          <w:sz w:val="32"/>
          <w:szCs w:val="32"/>
          <w:highlight w:val="none"/>
          <w:lang w:val="en-US" w:eastAsia="zh-CN"/>
        </w:rPr>
        <w:t>25.90</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w:t>
      </w:r>
      <w:r>
        <w:rPr>
          <w:rFonts w:hint="default" w:ascii="仿宋" w:hAnsi="仿宋" w:eastAsia="仿宋"/>
          <w:color w:val="auto"/>
          <w:sz w:val="32"/>
          <w:szCs w:val="32"/>
          <w:highlight w:val="none"/>
          <w:lang w:val="en-US" w:eastAsia="zh-CN"/>
        </w:rPr>
        <w:t>2.79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一是人员增加及调整基本工资，增加了人员经费；二是追加了统战社团项目工作经费。</w:t>
      </w:r>
    </w:p>
    <w:p>
      <w:pPr>
        <w:spacing w:line="600" w:lineRule="exact"/>
        <w:ind w:firstLine="64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296545</wp:posOffset>
            </wp:positionH>
            <wp:positionV relativeFrom="page">
              <wp:posOffset>7109460</wp:posOffset>
            </wp:positionV>
            <wp:extent cx="4851400" cy="2877185"/>
            <wp:effectExtent l="4445" t="4445" r="20955" b="1397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pStyle w:val="2"/>
        <w:rPr>
          <w:rFonts w:ascii="仿宋" w:hAnsi="仿宋" w:eastAsia="仿宋"/>
          <w:b/>
          <w:color w:val="auto"/>
          <w:sz w:val="32"/>
          <w:szCs w:val="32"/>
          <w:highlight w:val="none"/>
        </w:rPr>
      </w:pPr>
    </w:p>
    <w:p>
      <w:pPr>
        <w:spacing w:line="600" w:lineRule="exact"/>
        <w:rPr>
          <w:rFonts w:ascii="仿宋" w:hAnsi="仿宋" w:eastAsia="仿宋"/>
          <w:color w:val="auto"/>
          <w:sz w:val="32"/>
          <w:szCs w:val="32"/>
          <w:highlight w:val="none"/>
        </w:rPr>
      </w:pP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30"/>
          <w:rFonts w:ascii="黑体" w:hAnsi="黑体" w:eastAsia="黑体"/>
          <w:b w:val="0"/>
          <w:color w:val="auto"/>
          <w:highlight w:val="none"/>
        </w:rPr>
      </w:pPr>
      <w:bookmarkStart w:id="28" w:name="_Toc15396607"/>
      <w:bookmarkStart w:id="29"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般公共预算财政拨款支出决算情况说明</w:t>
      </w:r>
      <w:bookmarkEnd w:id="28"/>
      <w:bookmarkEnd w:id="29"/>
    </w:p>
    <w:p>
      <w:pPr>
        <w:spacing w:line="600" w:lineRule="exact"/>
        <w:ind w:firstLine="643" w:firstLineChars="200"/>
        <w:outlineLvl w:val="2"/>
        <w:rPr>
          <w:rFonts w:ascii="仿宋" w:hAnsi="仿宋" w:eastAsia="仿宋"/>
          <w:b/>
          <w:color w:val="auto"/>
          <w:sz w:val="32"/>
          <w:szCs w:val="32"/>
          <w:highlight w:val="none"/>
        </w:rPr>
      </w:pPr>
      <w:bookmarkStart w:id="30" w:name="_Toc15377210"/>
      <w:r>
        <w:rPr>
          <w:rFonts w:hint="eastAsia" w:ascii="仿宋" w:hAnsi="仿宋" w:eastAsia="仿宋"/>
          <w:b/>
          <w:color w:val="auto"/>
          <w:sz w:val="32"/>
          <w:szCs w:val="32"/>
          <w:highlight w:val="none"/>
        </w:rPr>
        <w:t>（一）一般公共预算财政拨款支出决算总体情况</w:t>
      </w:r>
      <w:bookmarkEnd w:id="30"/>
    </w:p>
    <w:p>
      <w:pPr>
        <w:spacing w:line="6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228.30</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99.99</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25.9</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12.79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一是人员增加及调整基本工资，增加了人员经费；二是追加了统战社团项目工作经费。</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258445</wp:posOffset>
            </wp:positionH>
            <wp:positionV relativeFrom="page">
              <wp:posOffset>4557395</wp:posOffset>
            </wp:positionV>
            <wp:extent cx="5080000" cy="3810000"/>
            <wp:effectExtent l="4445" t="4445" r="20955" b="1460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auto"/>
          <w:sz w:val="32"/>
          <w:szCs w:val="32"/>
          <w:highlight w:val="none"/>
          <w:lang w:eastAsia="zh-CN"/>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p>
    <w:p>
      <w:pPr>
        <w:spacing w:line="600" w:lineRule="exact"/>
        <w:rPr>
          <w:rFonts w:hint="eastAsia" w:ascii="仿宋" w:hAnsi="仿宋" w:eastAsia="仿宋"/>
          <w:color w:val="auto"/>
          <w:sz w:val="32"/>
          <w:szCs w:val="32"/>
          <w:highlight w:val="none"/>
        </w:rPr>
      </w:pP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0" w:firstLineChars="20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（柱状图）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1" w:name="_Toc15377211"/>
      <w:r>
        <w:rPr>
          <w:rFonts w:hint="eastAsia" w:ascii="仿宋" w:hAnsi="仿宋" w:eastAsia="仿宋"/>
          <w:b/>
          <w:color w:val="auto"/>
          <w:sz w:val="32"/>
          <w:szCs w:val="32"/>
          <w:highlight w:val="none"/>
        </w:rPr>
        <w:t>（二）一般公共预算财政拨款支出决算结构情况</w:t>
      </w:r>
      <w:bookmarkEnd w:id="3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228.30万</w:t>
      </w:r>
      <w:r>
        <w:rPr>
          <w:rFonts w:hint="eastAsia" w:ascii="仿宋" w:hAnsi="仿宋" w:eastAsia="仿宋"/>
          <w:color w:val="auto"/>
          <w:sz w:val="32"/>
          <w:szCs w:val="32"/>
          <w:highlight w:val="none"/>
        </w:rPr>
        <w:t>元，主要用于以下方面</w:t>
      </w:r>
      <w:r>
        <w:rPr>
          <w:rFonts w:ascii="仿宋" w:hAnsi="仿宋" w:eastAsia="仿宋"/>
          <w:color w:val="auto"/>
          <w:sz w:val="32"/>
          <w:szCs w:val="32"/>
          <w:highlight w:val="none"/>
        </w:rPr>
        <w:t>:</w:t>
      </w:r>
      <w:bookmarkStart w:id="32" w:name="OLE_LINK3"/>
      <w:r>
        <w:rPr>
          <w:rFonts w:hint="eastAsia" w:ascii="仿宋" w:hAnsi="仿宋" w:eastAsia="仿宋"/>
          <w:b/>
          <w:color w:val="auto"/>
          <w:sz w:val="32"/>
          <w:szCs w:val="32"/>
          <w:highlight w:val="none"/>
        </w:rPr>
        <w:t>一般公共服务</w:t>
      </w:r>
      <w:r>
        <w:rPr>
          <w:rFonts w:hint="eastAsia" w:ascii="仿宋" w:hAnsi="仿宋" w:eastAsia="仿宋"/>
          <w:b/>
          <w:bCs/>
          <w:color w:val="auto"/>
          <w:sz w:val="32"/>
          <w:szCs w:val="32"/>
          <w:highlight w:val="none"/>
        </w:rPr>
        <w:t>支出</w:t>
      </w:r>
      <w:bookmarkEnd w:id="32"/>
      <w:r>
        <w:rPr>
          <w:rFonts w:hint="eastAsia" w:ascii="仿宋" w:hAnsi="仿宋" w:eastAsia="仿宋"/>
          <w:color w:val="auto"/>
          <w:sz w:val="32"/>
          <w:szCs w:val="32"/>
          <w:highlight w:val="none"/>
          <w:lang w:val="en-US" w:eastAsia="zh-CN"/>
        </w:rPr>
        <w:t>184.41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80.77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20.6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5.79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2.54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16.01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农林水支出</w:t>
      </w:r>
      <w:r>
        <w:rPr>
          <w:rFonts w:hint="eastAsia" w:ascii="仿宋" w:hAnsi="仿宋" w:eastAsia="仿宋"/>
          <w:b w:val="0"/>
          <w:bCs w:val="0"/>
          <w:color w:val="auto"/>
          <w:sz w:val="32"/>
          <w:szCs w:val="32"/>
          <w:highlight w:val="none"/>
          <w:lang w:val="en-US" w:eastAsia="zh-CN"/>
        </w:rPr>
        <w:t>1.5万元，占0.66%</w:t>
      </w:r>
      <w:r>
        <w:rPr>
          <w:rFonts w:hint="eastAsia" w:ascii="仿宋" w:hAnsi="仿宋" w:eastAsia="仿宋"/>
          <w:color w:val="auto"/>
          <w:sz w:val="32"/>
          <w:szCs w:val="32"/>
          <w:highlight w:val="none"/>
        </w:rPr>
        <w:t>。</w:t>
      </w:r>
    </w:p>
    <w:p>
      <w:pPr>
        <w:pStyle w:val="2"/>
        <w:rPr>
          <w:rFonts w:hint="eastAsia" w:eastAsia="仿宋_GB2312"/>
          <w:lang w:eastAsia="zh-CN"/>
        </w:rPr>
      </w:pPr>
      <w:r>
        <w:rPr>
          <w:rFonts w:hint="eastAsia" w:eastAsia="仿宋_GB2312"/>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3" w:name="_Toc15377212"/>
      <w:r>
        <w:rPr>
          <w:rFonts w:hint="eastAsia" w:ascii="仿宋" w:hAnsi="仿宋" w:eastAsia="仿宋"/>
          <w:b/>
          <w:color w:val="auto"/>
          <w:sz w:val="32"/>
          <w:szCs w:val="32"/>
          <w:highlight w:val="none"/>
        </w:rPr>
        <w:t>（三）一般公共预算财政拨款支出决算具体情况</w:t>
      </w:r>
      <w:bookmarkEnd w:id="33"/>
    </w:p>
    <w:p>
      <w:pPr>
        <w:spacing w:line="600" w:lineRule="exact"/>
        <w:ind w:firstLine="643" w:firstLineChars="200"/>
        <w:outlineLvl w:val="2"/>
        <w:rPr>
          <w:rFonts w:hint="default" w:ascii="仿宋" w:hAnsi="仿宋" w:eastAsia="仿宋"/>
          <w:color w:val="auto"/>
          <w:sz w:val="32"/>
          <w:szCs w:val="32"/>
          <w:highlight w:val="none"/>
          <w:lang w:val="en-US"/>
        </w:rPr>
      </w:pPr>
      <w:bookmarkStart w:id="34" w:name="_Toc15377213"/>
      <w:bookmarkStart w:id="35" w:name="_Toc15378460"/>
      <w:bookmarkStart w:id="36"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228.30万元</w:t>
      </w:r>
      <w:r>
        <w:rPr>
          <w:rFonts w:hint="eastAsia" w:ascii="仿宋" w:hAnsi="仿宋" w:eastAsia="仿宋"/>
          <w:color w:val="auto"/>
          <w:sz w:val="32"/>
          <w:szCs w:val="32"/>
          <w:highlight w:val="none"/>
        </w:rPr>
        <w:t>，</w:t>
      </w:r>
      <w:r>
        <w:rPr>
          <w:rStyle w:val="18"/>
          <w:rFonts w:hint="eastAsia" w:ascii="仿宋" w:hAnsi="仿宋" w:eastAsia="仿宋"/>
          <w:bCs/>
          <w:color w:val="auto"/>
          <w:sz w:val="32"/>
          <w:szCs w:val="32"/>
          <w:highlight w:val="none"/>
        </w:rPr>
        <w:t>完成预算</w:t>
      </w:r>
      <w:r>
        <w:rPr>
          <w:rStyle w:val="18"/>
          <w:rFonts w:hint="default" w:ascii="仿宋" w:hAnsi="仿宋" w:eastAsia="仿宋"/>
          <w:bCs/>
          <w:color w:val="auto"/>
          <w:sz w:val="32"/>
          <w:szCs w:val="32"/>
          <w:highlight w:val="none"/>
          <w:lang w:val="en-US" w:eastAsia="zh-CN"/>
        </w:rPr>
        <w:t>100</w:t>
      </w:r>
      <w:r>
        <w:rPr>
          <w:rStyle w:val="18"/>
          <w:rFonts w:ascii="仿宋" w:hAnsi="仿宋" w:eastAsia="仿宋"/>
          <w:bCs/>
          <w:color w:val="000000" w:themeColor="text1"/>
          <w:sz w:val="32"/>
          <w:szCs w:val="32"/>
          <w:highlight w:val="none"/>
          <w14:textFill>
            <w14:solidFill>
              <w14:schemeClr w14:val="tx1"/>
            </w14:solidFill>
          </w14:textFill>
        </w:rPr>
        <w:t>%</w:t>
      </w:r>
      <w:r>
        <w:rPr>
          <w:rStyle w:val="18"/>
          <w:rFonts w:hint="eastAsia" w:ascii="仿宋" w:hAnsi="仿宋" w:eastAsia="仿宋"/>
          <w:bCs/>
          <w:color w:val="auto"/>
          <w:sz w:val="32"/>
          <w:szCs w:val="32"/>
          <w:highlight w:val="none"/>
        </w:rPr>
        <w:t>。其中：</w:t>
      </w:r>
      <w:bookmarkEnd w:id="34"/>
      <w:bookmarkEnd w:id="35"/>
      <w:bookmarkEnd w:id="36"/>
    </w:p>
    <w:p>
      <w:pPr>
        <w:spacing w:line="60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1.</w:t>
      </w:r>
      <w:r>
        <w:rPr>
          <w:rStyle w:val="18"/>
          <w:rFonts w:hint="eastAsia" w:ascii="仿宋" w:hAnsi="仿宋" w:eastAsia="仿宋"/>
          <w:bCs/>
          <w:color w:val="auto"/>
          <w:sz w:val="32"/>
          <w:szCs w:val="32"/>
          <w:highlight w:val="none"/>
        </w:rPr>
        <w:t>一般公共服务支出</w:t>
      </w:r>
      <w:r>
        <w:rPr>
          <w:rStyle w:val="18"/>
          <w:rFonts w:hint="eastAsia" w:ascii="仿宋" w:hAnsi="仿宋" w:eastAsia="仿宋"/>
          <w:bCs/>
          <w:color w:val="auto"/>
          <w:sz w:val="32"/>
          <w:szCs w:val="32"/>
          <w:highlight w:val="none"/>
          <w:lang w:val="en-US" w:eastAsia="zh-CN"/>
        </w:rPr>
        <w:t>统战事务201</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34</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01</w:t>
      </w:r>
      <w:r>
        <w:rPr>
          <w:rStyle w:val="18"/>
          <w:rFonts w:hint="eastAsia" w:ascii="仿宋" w:hAnsi="仿宋" w:eastAsia="仿宋"/>
          <w:bCs/>
          <w:color w:val="auto"/>
          <w:sz w:val="32"/>
          <w:szCs w:val="32"/>
          <w:highlight w:val="none"/>
        </w:rPr>
        <w:t>（项）</w:t>
      </w:r>
      <w:r>
        <w:rPr>
          <w:rStyle w:val="18"/>
          <w:rFonts w:hint="eastAsia" w:ascii="仿宋" w:hAnsi="仿宋" w:eastAsia="仿宋"/>
          <w:b w:val="0"/>
          <w:bCs/>
          <w:color w:val="auto"/>
          <w:sz w:val="32"/>
          <w:szCs w:val="32"/>
          <w:highlight w:val="none"/>
        </w:rPr>
        <w:t>行政运行支出决算为</w:t>
      </w:r>
      <w:r>
        <w:rPr>
          <w:rStyle w:val="18"/>
          <w:rFonts w:hint="eastAsia" w:ascii="仿宋" w:hAnsi="仿宋" w:eastAsia="仿宋"/>
          <w:b w:val="0"/>
          <w:bCs/>
          <w:color w:val="auto"/>
          <w:sz w:val="32"/>
          <w:szCs w:val="32"/>
          <w:highlight w:val="none"/>
          <w:lang w:val="en-US" w:eastAsia="zh-CN"/>
        </w:rPr>
        <w:t>122.91</w:t>
      </w:r>
      <w:r>
        <w:rPr>
          <w:rStyle w:val="18"/>
          <w:rFonts w:hint="eastAsia" w:ascii="仿宋" w:hAnsi="仿宋" w:eastAsia="仿宋"/>
          <w:b w:val="0"/>
          <w:bCs/>
          <w:color w:val="auto"/>
          <w:sz w:val="32"/>
          <w:szCs w:val="32"/>
          <w:highlight w:val="none"/>
        </w:rPr>
        <w:t>万元，完成预算</w:t>
      </w:r>
      <w:r>
        <w:rPr>
          <w:rStyle w:val="18"/>
          <w:rFonts w:hint="default" w:ascii="仿宋" w:hAnsi="仿宋" w:eastAsia="仿宋"/>
          <w:b w:val="0"/>
          <w:bCs/>
          <w:color w:val="auto"/>
          <w:sz w:val="32"/>
          <w:szCs w:val="32"/>
          <w:highlight w:val="none"/>
          <w:lang w:val="en-US"/>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r>
        <w:rPr>
          <w:rStyle w:val="18"/>
          <w:rFonts w:hint="eastAsia" w:ascii="仿宋" w:hAnsi="仿宋" w:eastAsia="仿宋"/>
          <w:b/>
          <w:bCs w:val="0"/>
          <w:color w:val="auto"/>
          <w:sz w:val="32"/>
          <w:szCs w:val="32"/>
          <w:highlight w:val="none"/>
          <w:lang w:eastAsia="zh-CN"/>
        </w:rPr>
        <w:t>一般公共服务支出</w:t>
      </w:r>
      <w:r>
        <w:rPr>
          <w:rStyle w:val="18"/>
          <w:rFonts w:hint="eastAsia" w:ascii="仿宋" w:hAnsi="仿宋" w:eastAsia="仿宋"/>
          <w:bCs/>
          <w:color w:val="auto"/>
          <w:sz w:val="32"/>
          <w:szCs w:val="32"/>
          <w:highlight w:val="none"/>
          <w:lang w:val="en-US" w:eastAsia="zh-CN"/>
        </w:rPr>
        <w:t>统战事务201</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34</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02</w:t>
      </w:r>
      <w:r>
        <w:rPr>
          <w:rStyle w:val="18"/>
          <w:rFonts w:hint="eastAsia" w:ascii="仿宋" w:hAnsi="仿宋" w:eastAsia="仿宋"/>
          <w:bCs/>
          <w:color w:val="auto"/>
          <w:sz w:val="32"/>
          <w:szCs w:val="32"/>
          <w:highlight w:val="none"/>
        </w:rPr>
        <w:t>（项）</w:t>
      </w:r>
      <w:r>
        <w:rPr>
          <w:rStyle w:val="18"/>
          <w:rFonts w:hint="eastAsia" w:ascii="仿宋" w:hAnsi="仿宋" w:eastAsia="仿宋"/>
          <w:b w:val="0"/>
          <w:bCs/>
          <w:color w:val="auto"/>
          <w:sz w:val="32"/>
          <w:szCs w:val="32"/>
          <w:highlight w:val="none"/>
        </w:rPr>
        <w:t>一般行政管理事务支出决算为</w:t>
      </w:r>
      <w:r>
        <w:rPr>
          <w:rStyle w:val="18"/>
          <w:rFonts w:hint="eastAsia" w:ascii="仿宋" w:hAnsi="仿宋" w:eastAsia="仿宋"/>
          <w:b w:val="0"/>
          <w:bCs/>
          <w:color w:val="auto"/>
          <w:sz w:val="32"/>
          <w:szCs w:val="32"/>
          <w:highlight w:val="none"/>
          <w:lang w:val="en-US" w:eastAsia="zh-CN"/>
        </w:rPr>
        <w:t>21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val="en-US" w:eastAsia="zh-CN"/>
        </w:rPr>
        <w:t>；</w:t>
      </w:r>
      <w:r>
        <w:rPr>
          <w:rStyle w:val="18"/>
          <w:rFonts w:hint="eastAsia" w:ascii="仿宋" w:hAnsi="仿宋" w:eastAsia="仿宋"/>
          <w:b/>
          <w:bCs w:val="0"/>
          <w:color w:val="auto"/>
          <w:sz w:val="32"/>
          <w:szCs w:val="32"/>
          <w:highlight w:val="none"/>
          <w:lang w:eastAsia="zh-CN"/>
        </w:rPr>
        <w:t>一般公共服务支出</w:t>
      </w:r>
      <w:r>
        <w:rPr>
          <w:rStyle w:val="18"/>
          <w:rFonts w:hint="eastAsia" w:ascii="仿宋" w:hAnsi="仿宋" w:eastAsia="仿宋"/>
          <w:bCs/>
          <w:color w:val="auto"/>
          <w:sz w:val="32"/>
          <w:szCs w:val="32"/>
          <w:highlight w:val="none"/>
          <w:lang w:val="en-US" w:eastAsia="zh-CN"/>
        </w:rPr>
        <w:t>统战事务201</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34</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50</w:t>
      </w:r>
      <w:r>
        <w:rPr>
          <w:rStyle w:val="18"/>
          <w:rFonts w:hint="eastAsia" w:ascii="仿宋" w:hAnsi="仿宋" w:eastAsia="仿宋"/>
          <w:bCs/>
          <w:color w:val="auto"/>
          <w:sz w:val="32"/>
          <w:szCs w:val="32"/>
          <w:highlight w:val="none"/>
        </w:rPr>
        <w:t>（项）</w:t>
      </w:r>
      <w:r>
        <w:rPr>
          <w:rStyle w:val="18"/>
          <w:rFonts w:hint="eastAsia" w:ascii="仿宋" w:hAnsi="仿宋" w:eastAsia="仿宋"/>
          <w:b w:val="0"/>
          <w:bCs/>
          <w:color w:val="auto"/>
          <w:sz w:val="32"/>
          <w:szCs w:val="32"/>
          <w:highlight w:val="none"/>
        </w:rPr>
        <w:t>事业运行支出决算为</w:t>
      </w:r>
      <w:r>
        <w:rPr>
          <w:rStyle w:val="18"/>
          <w:rFonts w:hint="eastAsia" w:ascii="仿宋" w:hAnsi="仿宋" w:eastAsia="仿宋"/>
          <w:b w:val="0"/>
          <w:bCs/>
          <w:color w:val="auto"/>
          <w:sz w:val="32"/>
          <w:szCs w:val="32"/>
          <w:highlight w:val="none"/>
          <w:lang w:val="en-US" w:eastAsia="zh-CN"/>
        </w:rPr>
        <w:t>40.50</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8"/>
          <w:rFonts w:ascii="仿宋" w:hAnsi="仿宋" w:eastAsia="仿宋"/>
          <w:bCs/>
          <w:color w:val="auto"/>
          <w:sz w:val="32"/>
          <w:szCs w:val="32"/>
          <w:highlight w:val="none"/>
        </w:rPr>
        <w:t>2.</w:t>
      </w:r>
      <w:r>
        <w:rPr>
          <w:rStyle w:val="18"/>
          <w:rFonts w:hint="eastAsia" w:ascii="仿宋" w:hAnsi="仿宋" w:eastAsia="仿宋"/>
          <w:bCs/>
          <w:color w:val="auto"/>
          <w:sz w:val="32"/>
          <w:szCs w:val="32"/>
          <w:highlight w:val="none"/>
        </w:rPr>
        <w:t>社会保障和就业</w:t>
      </w:r>
      <w:r>
        <w:rPr>
          <w:rStyle w:val="18"/>
          <w:rFonts w:hint="eastAsia" w:ascii="仿宋" w:hAnsi="仿宋" w:eastAsia="仿宋"/>
          <w:bCs/>
          <w:color w:val="auto"/>
          <w:sz w:val="32"/>
          <w:szCs w:val="32"/>
          <w:highlight w:val="none"/>
          <w:lang w:val="en-US" w:eastAsia="zh-CN"/>
        </w:rPr>
        <w:t>208</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05</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05</w:t>
      </w:r>
      <w:r>
        <w:rPr>
          <w:rStyle w:val="18"/>
          <w:rFonts w:hint="eastAsia" w:ascii="仿宋" w:hAnsi="仿宋" w:eastAsia="仿宋"/>
          <w:bCs/>
          <w:color w:val="auto"/>
          <w:sz w:val="32"/>
          <w:szCs w:val="32"/>
          <w:highlight w:val="none"/>
        </w:rPr>
        <w:t>（项）</w:t>
      </w:r>
      <w:r>
        <w:rPr>
          <w:rStyle w:val="18"/>
          <w:rFonts w:hint="eastAsia" w:ascii="仿宋" w:hAnsi="仿宋" w:eastAsia="仿宋"/>
          <w:b w:val="0"/>
          <w:bCs w:val="0"/>
          <w:color w:val="auto"/>
          <w:sz w:val="32"/>
          <w:szCs w:val="32"/>
          <w:highlight w:val="none"/>
        </w:rPr>
        <w:t>机关事业单位基本养老保险缴费</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12.92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r>
        <w:rPr>
          <w:rStyle w:val="18"/>
          <w:rFonts w:hint="eastAsia" w:ascii="仿宋" w:hAnsi="仿宋" w:eastAsia="仿宋"/>
          <w:bCs/>
          <w:color w:val="auto"/>
          <w:sz w:val="32"/>
          <w:szCs w:val="32"/>
          <w:highlight w:val="none"/>
        </w:rPr>
        <w:t>社会保障和就业</w:t>
      </w:r>
      <w:r>
        <w:rPr>
          <w:rStyle w:val="18"/>
          <w:rFonts w:hint="eastAsia" w:ascii="仿宋" w:hAnsi="仿宋" w:eastAsia="仿宋"/>
          <w:bCs/>
          <w:color w:val="auto"/>
          <w:sz w:val="32"/>
          <w:szCs w:val="32"/>
          <w:highlight w:val="none"/>
          <w:lang w:val="en-US" w:eastAsia="zh-CN"/>
        </w:rPr>
        <w:t>208</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05</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06</w:t>
      </w:r>
      <w:r>
        <w:rPr>
          <w:rStyle w:val="18"/>
          <w:rFonts w:hint="eastAsia" w:ascii="仿宋" w:hAnsi="仿宋" w:eastAsia="仿宋"/>
          <w:bCs/>
          <w:color w:val="auto"/>
          <w:sz w:val="32"/>
          <w:szCs w:val="32"/>
          <w:highlight w:val="none"/>
        </w:rPr>
        <w:t>（项）</w:t>
      </w:r>
      <w:r>
        <w:rPr>
          <w:rStyle w:val="18"/>
          <w:rFonts w:hint="eastAsia" w:ascii="仿宋" w:hAnsi="仿宋" w:eastAsia="仿宋"/>
          <w:b w:val="0"/>
          <w:bCs w:val="0"/>
          <w:color w:val="auto"/>
          <w:sz w:val="32"/>
          <w:szCs w:val="32"/>
          <w:highlight w:val="none"/>
        </w:rPr>
        <w:t>机关事业单位职业年金缴费</w:t>
      </w:r>
      <w:r>
        <w:rPr>
          <w:rStyle w:val="18"/>
          <w:rFonts w:hint="eastAsia" w:ascii="仿宋" w:hAnsi="仿宋" w:eastAsia="仿宋"/>
          <w:b w:val="0"/>
          <w:bCs/>
          <w:color w:val="auto"/>
          <w:sz w:val="32"/>
          <w:szCs w:val="32"/>
          <w:highlight w:val="none"/>
        </w:rPr>
        <w:t>支出决算为</w:t>
      </w:r>
      <w:r>
        <w:rPr>
          <w:rStyle w:val="18"/>
          <w:rFonts w:hint="eastAsia" w:ascii="仿宋" w:hAnsi="仿宋" w:eastAsia="仿宋"/>
          <w:b w:val="0"/>
          <w:bCs/>
          <w:color w:val="auto"/>
          <w:sz w:val="32"/>
          <w:szCs w:val="32"/>
          <w:highlight w:val="none"/>
          <w:lang w:val="en-US" w:eastAsia="zh-CN"/>
        </w:rPr>
        <w:t>6.46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r>
        <w:rPr>
          <w:rStyle w:val="18"/>
          <w:rFonts w:hint="eastAsia" w:ascii="仿宋" w:hAnsi="仿宋" w:eastAsia="仿宋"/>
          <w:bCs/>
          <w:color w:val="auto"/>
          <w:sz w:val="32"/>
          <w:szCs w:val="32"/>
          <w:highlight w:val="none"/>
        </w:rPr>
        <w:t>社会保障和就业</w:t>
      </w:r>
      <w:r>
        <w:rPr>
          <w:rStyle w:val="18"/>
          <w:rFonts w:hint="eastAsia" w:ascii="仿宋" w:hAnsi="仿宋" w:eastAsia="仿宋"/>
          <w:bCs/>
          <w:color w:val="auto"/>
          <w:sz w:val="32"/>
          <w:szCs w:val="32"/>
          <w:highlight w:val="none"/>
          <w:lang w:val="en-US" w:eastAsia="zh-CN"/>
        </w:rPr>
        <w:t>208</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05</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99</w:t>
      </w:r>
      <w:r>
        <w:rPr>
          <w:rStyle w:val="18"/>
          <w:rFonts w:hint="eastAsia" w:ascii="仿宋" w:hAnsi="仿宋" w:eastAsia="仿宋"/>
          <w:bCs/>
          <w:color w:val="auto"/>
          <w:sz w:val="32"/>
          <w:szCs w:val="32"/>
          <w:highlight w:val="none"/>
        </w:rPr>
        <w:t>（项）</w:t>
      </w:r>
      <w:r>
        <w:rPr>
          <w:rStyle w:val="18"/>
          <w:rFonts w:hint="eastAsia" w:ascii="仿宋" w:hAnsi="仿宋" w:eastAsia="仿宋"/>
          <w:b w:val="0"/>
          <w:bCs w:val="0"/>
          <w:color w:val="auto"/>
          <w:sz w:val="32"/>
          <w:szCs w:val="32"/>
          <w:highlight w:val="none"/>
        </w:rPr>
        <w:t>其他行政事业单位养老支出</w:t>
      </w:r>
      <w:r>
        <w:rPr>
          <w:rStyle w:val="18"/>
          <w:rFonts w:hint="eastAsia" w:ascii="仿宋" w:hAnsi="仿宋" w:eastAsia="仿宋"/>
          <w:b w:val="0"/>
          <w:bCs/>
          <w:color w:val="auto"/>
          <w:sz w:val="32"/>
          <w:szCs w:val="32"/>
          <w:highlight w:val="none"/>
        </w:rPr>
        <w:t>决算为</w:t>
      </w:r>
      <w:r>
        <w:rPr>
          <w:rStyle w:val="18"/>
          <w:rFonts w:hint="eastAsia" w:ascii="仿宋" w:hAnsi="仿宋" w:eastAsia="仿宋"/>
          <w:b w:val="0"/>
          <w:bCs/>
          <w:color w:val="auto"/>
          <w:sz w:val="32"/>
          <w:szCs w:val="32"/>
          <w:highlight w:val="none"/>
          <w:lang w:val="en-US" w:eastAsia="zh-CN"/>
        </w:rPr>
        <w:t>0.4</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r>
        <w:rPr>
          <w:rStyle w:val="18"/>
          <w:rFonts w:hint="eastAsia" w:ascii="仿宋" w:hAnsi="仿宋" w:eastAsia="仿宋"/>
          <w:bCs/>
          <w:color w:val="auto"/>
          <w:sz w:val="32"/>
          <w:szCs w:val="32"/>
          <w:highlight w:val="none"/>
        </w:rPr>
        <w:t>社会保障和就业</w:t>
      </w:r>
      <w:r>
        <w:rPr>
          <w:rStyle w:val="18"/>
          <w:rFonts w:hint="eastAsia" w:ascii="仿宋" w:hAnsi="仿宋" w:eastAsia="仿宋"/>
          <w:bCs/>
          <w:color w:val="auto"/>
          <w:sz w:val="32"/>
          <w:szCs w:val="32"/>
          <w:highlight w:val="none"/>
          <w:lang w:val="en-US" w:eastAsia="zh-CN"/>
        </w:rPr>
        <w:t>208</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99</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99</w:t>
      </w:r>
      <w:r>
        <w:rPr>
          <w:rStyle w:val="18"/>
          <w:rFonts w:hint="eastAsia" w:ascii="仿宋" w:hAnsi="仿宋" w:eastAsia="仿宋"/>
          <w:bCs/>
          <w:color w:val="auto"/>
          <w:sz w:val="32"/>
          <w:szCs w:val="32"/>
          <w:highlight w:val="none"/>
        </w:rPr>
        <w:t>（项）</w:t>
      </w:r>
      <w:r>
        <w:rPr>
          <w:rStyle w:val="18"/>
          <w:rFonts w:hint="eastAsia" w:ascii="仿宋" w:hAnsi="仿宋" w:eastAsia="仿宋"/>
          <w:b w:val="0"/>
          <w:bCs w:val="0"/>
          <w:color w:val="auto"/>
          <w:sz w:val="32"/>
          <w:szCs w:val="32"/>
          <w:highlight w:val="none"/>
        </w:rPr>
        <w:t>其他社会保障和就业支出</w:t>
      </w:r>
      <w:r>
        <w:rPr>
          <w:rStyle w:val="18"/>
          <w:rFonts w:hint="eastAsia" w:ascii="仿宋" w:hAnsi="仿宋" w:eastAsia="仿宋"/>
          <w:b w:val="0"/>
          <w:bCs/>
          <w:color w:val="auto"/>
          <w:sz w:val="32"/>
          <w:szCs w:val="32"/>
          <w:highlight w:val="none"/>
        </w:rPr>
        <w:t>决算为</w:t>
      </w:r>
      <w:r>
        <w:rPr>
          <w:rStyle w:val="18"/>
          <w:rFonts w:hint="eastAsia" w:ascii="仿宋" w:hAnsi="仿宋" w:eastAsia="仿宋"/>
          <w:b w:val="0"/>
          <w:bCs/>
          <w:color w:val="auto"/>
          <w:sz w:val="32"/>
          <w:szCs w:val="32"/>
          <w:highlight w:val="none"/>
          <w:lang w:val="en-US" w:eastAsia="zh-CN"/>
        </w:rPr>
        <w:t>0.82</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3</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val="en-US" w:eastAsia="zh-CN"/>
        </w:rPr>
        <w:t>210</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11</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01</w:t>
      </w:r>
      <w:r>
        <w:rPr>
          <w:rStyle w:val="18"/>
          <w:rFonts w:hint="eastAsia" w:ascii="仿宋" w:hAnsi="仿宋" w:eastAsia="仿宋"/>
          <w:bCs/>
          <w:color w:val="auto"/>
          <w:sz w:val="32"/>
          <w:szCs w:val="32"/>
          <w:highlight w:val="none"/>
        </w:rPr>
        <w:t>（项）</w:t>
      </w:r>
      <w:r>
        <w:rPr>
          <w:rStyle w:val="18"/>
          <w:rFonts w:hint="eastAsia" w:ascii="仿宋" w:hAnsi="仿宋" w:eastAsia="仿宋"/>
          <w:b w:val="0"/>
          <w:bCs w:val="0"/>
          <w:color w:val="auto"/>
          <w:sz w:val="32"/>
          <w:szCs w:val="32"/>
          <w:highlight w:val="none"/>
        </w:rPr>
        <w:t>行政单位医疗</w:t>
      </w:r>
      <w:r>
        <w:rPr>
          <w:rStyle w:val="18"/>
          <w:rFonts w:hint="eastAsia" w:ascii="仿宋" w:hAnsi="仿宋" w:eastAsia="仿宋"/>
          <w:b w:val="0"/>
          <w:bCs w:val="0"/>
          <w:color w:val="auto"/>
          <w:sz w:val="32"/>
          <w:szCs w:val="32"/>
          <w:highlight w:val="none"/>
          <w:lang w:val="en-US" w:eastAsia="zh-CN"/>
        </w:rPr>
        <w:t>支出</w:t>
      </w:r>
      <w:r>
        <w:rPr>
          <w:rStyle w:val="18"/>
          <w:rFonts w:hint="eastAsia" w:ascii="仿宋" w:hAnsi="仿宋" w:eastAsia="仿宋"/>
          <w:b w:val="0"/>
          <w:bCs/>
          <w:color w:val="auto"/>
          <w:sz w:val="32"/>
          <w:szCs w:val="32"/>
          <w:highlight w:val="none"/>
        </w:rPr>
        <w:t>决算为</w:t>
      </w:r>
      <w:r>
        <w:rPr>
          <w:rStyle w:val="18"/>
          <w:rFonts w:hint="eastAsia" w:ascii="仿宋" w:hAnsi="仿宋" w:eastAsia="仿宋"/>
          <w:b w:val="0"/>
          <w:bCs/>
          <w:color w:val="auto"/>
          <w:sz w:val="32"/>
          <w:szCs w:val="32"/>
          <w:highlight w:val="none"/>
          <w:lang w:val="en-US" w:eastAsia="zh-CN"/>
        </w:rPr>
        <w:t>3.85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val="en-US" w:eastAsia="zh-CN"/>
        </w:rPr>
        <w:t>210</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11</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02</w:t>
      </w:r>
      <w:r>
        <w:rPr>
          <w:rStyle w:val="18"/>
          <w:rFonts w:hint="eastAsia" w:ascii="仿宋" w:hAnsi="仿宋" w:eastAsia="仿宋"/>
          <w:bCs/>
          <w:color w:val="auto"/>
          <w:sz w:val="32"/>
          <w:szCs w:val="32"/>
          <w:highlight w:val="none"/>
        </w:rPr>
        <w:t>（项）</w:t>
      </w:r>
      <w:r>
        <w:rPr>
          <w:rStyle w:val="18"/>
          <w:rFonts w:hint="eastAsia" w:ascii="仿宋" w:hAnsi="仿宋" w:eastAsia="仿宋"/>
          <w:b w:val="0"/>
          <w:bCs w:val="0"/>
          <w:color w:val="auto"/>
          <w:sz w:val="32"/>
          <w:szCs w:val="32"/>
          <w:highlight w:val="none"/>
        </w:rPr>
        <w:t>事业单位医疗</w:t>
      </w:r>
      <w:r>
        <w:rPr>
          <w:rStyle w:val="18"/>
          <w:rFonts w:hint="eastAsia" w:ascii="仿宋" w:hAnsi="仿宋" w:eastAsia="仿宋"/>
          <w:b w:val="0"/>
          <w:bCs w:val="0"/>
          <w:color w:val="auto"/>
          <w:sz w:val="32"/>
          <w:szCs w:val="32"/>
          <w:highlight w:val="none"/>
          <w:lang w:val="en-US" w:eastAsia="zh-CN"/>
        </w:rPr>
        <w:t>支出</w:t>
      </w:r>
      <w:r>
        <w:rPr>
          <w:rStyle w:val="18"/>
          <w:rFonts w:hint="eastAsia" w:ascii="仿宋" w:hAnsi="仿宋" w:eastAsia="仿宋"/>
          <w:b w:val="0"/>
          <w:bCs/>
          <w:color w:val="auto"/>
          <w:sz w:val="32"/>
          <w:szCs w:val="32"/>
          <w:highlight w:val="none"/>
        </w:rPr>
        <w:t>决算为</w:t>
      </w:r>
      <w:r>
        <w:rPr>
          <w:rStyle w:val="18"/>
          <w:rFonts w:hint="eastAsia" w:ascii="仿宋" w:hAnsi="仿宋" w:eastAsia="仿宋"/>
          <w:b w:val="0"/>
          <w:bCs/>
          <w:color w:val="auto"/>
          <w:sz w:val="32"/>
          <w:szCs w:val="32"/>
          <w:highlight w:val="none"/>
          <w:lang w:val="en-US" w:eastAsia="zh-CN"/>
        </w:rPr>
        <w:t>1.28</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lang w:eastAsia="zh-CN"/>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val="en-US" w:eastAsia="zh-CN"/>
        </w:rPr>
        <w:t>210</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11</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03</w:t>
      </w:r>
      <w:r>
        <w:rPr>
          <w:rStyle w:val="18"/>
          <w:rFonts w:hint="eastAsia" w:ascii="仿宋" w:hAnsi="仿宋" w:eastAsia="仿宋"/>
          <w:bCs/>
          <w:color w:val="auto"/>
          <w:sz w:val="32"/>
          <w:szCs w:val="32"/>
          <w:highlight w:val="none"/>
        </w:rPr>
        <w:t>（项）</w:t>
      </w:r>
      <w:r>
        <w:rPr>
          <w:rStyle w:val="18"/>
          <w:rFonts w:hint="eastAsia" w:ascii="仿宋" w:hAnsi="仿宋" w:eastAsia="仿宋"/>
          <w:b w:val="0"/>
          <w:bCs w:val="0"/>
          <w:color w:val="auto"/>
          <w:sz w:val="32"/>
          <w:szCs w:val="32"/>
          <w:highlight w:val="none"/>
        </w:rPr>
        <w:t>公务员医疗补助</w:t>
      </w:r>
      <w:r>
        <w:rPr>
          <w:rStyle w:val="18"/>
          <w:rFonts w:hint="eastAsia" w:ascii="仿宋" w:hAnsi="仿宋" w:eastAsia="仿宋"/>
          <w:b w:val="0"/>
          <w:bCs w:val="0"/>
          <w:color w:val="auto"/>
          <w:sz w:val="32"/>
          <w:szCs w:val="32"/>
          <w:highlight w:val="none"/>
          <w:lang w:val="en-US" w:eastAsia="zh-CN"/>
        </w:rPr>
        <w:t>支出</w:t>
      </w:r>
      <w:r>
        <w:rPr>
          <w:rStyle w:val="18"/>
          <w:rFonts w:hint="eastAsia" w:ascii="仿宋" w:hAnsi="仿宋" w:eastAsia="仿宋"/>
          <w:b w:val="0"/>
          <w:bCs/>
          <w:color w:val="auto"/>
          <w:sz w:val="32"/>
          <w:szCs w:val="32"/>
          <w:highlight w:val="none"/>
        </w:rPr>
        <w:t>决算为</w:t>
      </w:r>
      <w:r>
        <w:rPr>
          <w:rStyle w:val="18"/>
          <w:rFonts w:hint="eastAsia" w:ascii="仿宋" w:hAnsi="仿宋" w:eastAsia="仿宋"/>
          <w:b w:val="0"/>
          <w:bCs/>
          <w:color w:val="auto"/>
          <w:sz w:val="32"/>
          <w:szCs w:val="32"/>
          <w:highlight w:val="none"/>
          <w:lang w:val="en-US" w:eastAsia="zh-CN"/>
        </w:rPr>
        <w:t>0.66</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w:t>
      </w:r>
    </w:p>
    <w:p>
      <w:pPr>
        <w:spacing w:line="600" w:lineRule="exact"/>
        <w:ind w:firstLine="643" w:firstLineChars="200"/>
        <w:rPr>
          <w:rStyle w:val="18"/>
          <w:rFonts w:hint="eastAsia" w:ascii="仿宋" w:hAnsi="仿宋" w:eastAsia="仿宋"/>
          <w:b w:val="0"/>
          <w:bCs/>
          <w:color w:val="auto"/>
          <w:sz w:val="32"/>
          <w:szCs w:val="32"/>
          <w:highlight w:val="none"/>
        </w:rPr>
      </w:pPr>
      <w:r>
        <w:rPr>
          <w:rStyle w:val="18"/>
          <w:rFonts w:hint="eastAsia" w:ascii="仿宋" w:hAnsi="仿宋" w:eastAsia="仿宋"/>
          <w:bCs/>
          <w:color w:val="auto"/>
          <w:sz w:val="32"/>
          <w:szCs w:val="32"/>
          <w:highlight w:val="none"/>
          <w:lang w:val="en-US" w:eastAsia="zh-CN"/>
        </w:rPr>
        <w:t>4</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农林水支出</w:t>
      </w:r>
      <w:r>
        <w:rPr>
          <w:rFonts w:hint="eastAsia" w:ascii="仿宋" w:hAnsi="仿宋" w:eastAsia="仿宋"/>
          <w:b/>
          <w:bCs/>
          <w:color w:val="auto"/>
          <w:sz w:val="32"/>
          <w:szCs w:val="32"/>
          <w:highlight w:val="none"/>
          <w:lang w:val="en-US" w:eastAsia="zh-CN"/>
        </w:rPr>
        <w:t>213</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05</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99</w:t>
      </w:r>
      <w:r>
        <w:rPr>
          <w:rStyle w:val="18"/>
          <w:rFonts w:hint="eastAsia" w:ascii="仿宋" w:hAnsi="仿宋" w:eastAsia="仿宋"/>
          <w:bCs/>
          <w:color w:val="auto"/>
          <w:sz w:val="32"/>
          <w:szCs w:val="32"/>
          <w:highlight w:val="none"/>
        </w:rPr>
        <w:t>（项）</w:t>
      </w:r>
      <w:r>
        <w:rPr>
          <w:rStyle w:val="18"/>
          <w:rFonts w:hint="eastAsia" w:ascii="仿宋" w:hAnsi="仿宋" w:eastAsia="仿宋"/>
          <w:b w:val="0"/>
          <w:bCs w:val="0"/>
          <w:color w:val="auto"/>
          <w:sz w:val="32"/>
          <w:szCs w:val="32"/>
          <w:highlight w:val="none"/>
        </w:rPr>
        <w:t>其他巩固脱贫衔接乡村振兴</w:t>
      </w:r>
      <w:r>
        <w:rPr>
          <w:rStyle w:val="18"/>
          <w:rFonts w:hint="eastAsia" w:ascii="仿宋" w:hAnsi="仿宋" w:eastAsia="仿宋"/>
          <w:b w:val="0"/>
          <w:bCs w:val="0"/>
          <w:color w:val="auto"/>
          <w:sz w:val="32"/>
          <w:szCs w:val="32"/>
          <w:highlight w:val="none"/>
          <w:lang w:val="en-US" w:eastAsia="zh-CN"/>
        </w:rPr>
        <w:t>支出</w:t>
      </w:r>
      <w:r>
        <w:rPr>
          <w:rStyle w:val="18"/>
          <w:rFonts w:hint="eastAsia" w:ascii="仿宋" w:hAnsi="仿宋" w:eastAsia="仿宋"/>
          <w:b w:val="0"/>
          <w:bCs/>
          <w:color w:val="auto"/>
          <w:sz w:val="32"/>
          <w:szCs w:val="32"/>
          <w:highlight w:val="none"/>
        </w:rPr>
        <w:t>决算为</w:t>
      </w:r>
      <w:r>
        <w:rPr>
          <w:rStyle w:val="18"/>
          <w:rFonts w:hint="eastAsia" w:ascii="仿宋" w:hAnsi="仿宋" w:eastAsia="仿宋"/>
          <w:b w:val="0"/>
          <w:bCs/>
          <w:color w:val="auto"/>
          <w:sz w:val="32"/>
          <w:szCs w:val="32"/>
          <w:highlight w:val="none"/>
          <w:lang w:val="en-US" w:eastAsia="zh-CN"/>
        </w:rPr>
        <w:t>1.5</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ascii="仿宋" w:hAnsi="仿宋" w:eastAsia="仿宋"/>
          <w:b w:val="0"/>
          <w:bCs/>
          <w:color w:val="auto"/>
          <w:sz w:val="32"/>
          <w:szCs w:val="32"/>
          <w:highlight w:val="none"/>
        </w:rPr>
        <w:t>%</w:t>
      </w:r>
      <w:r>
        <w:rPr>
          <w:rStyle w:val="18"/>
          <w:rFonts w:hint="eastAsia" w:ascii="仿宋" w:hAnsi="仿宋" w:eastAsia="仿宋"/>
          <w:b w:val="0"/>
          <w:bCs/>
          <w:color w:val="auto"/>
          <w:sz w:val="32"/>
          <w:szCs w:val="32"/>
          <w:highlight w:val="none"/>
        </w:rPr>
        <w:t>，决算数</w:t>
      </w:r>
      <w:r>
        <w:rPr>
          <w:rStyle w:val="18"/>
          <w:rFonts w:hint="eastAsia" w:ascii="仿宋" w:hAnsi="仿宋" w:eastAsia="仿宋"/>
          <w:b w:val="0"/>
          <w:bCs/>
          <w:color w:val="auto"/>
          <w:sz w:val="32"/>
          <w:szCs w:val="32"/>
          <w:highlight w:val="none"/>
          <w:lang w:val="en-US" w:eastAsia="zh-CN"/>
        </w:rPr>
        <w:t>与</w:t>
      </w:r>
      <w:r>
        <w:rPr>
          <w:rStyle w:val="18"/>
          <w:rFonts w:hint="eastAsia" w:ascii="仿宋" w:hAnsi="仿宋" w:eastAsia="仿宋"/>
          <w:b w:val="0"/>
          <w:bCs/>
          <w:color w:val="auto"/>
          <w:sz w:val="32"/>
          <w:szCs w:val="32"/>
          <w:highlight w:val="none"/>
        </w:rPr>
        <w:t>预算数</w:t>
      </w:r>
      <w:r>
        <w:rPr>
          <w:rStyle w:val="18"/>
          <w:rFonts w:hint="eastAsia" w:ascii="仿宋" w:hAnsi="仿宋" w:eastAsia="仿宋"/>
          <w:b w:val="0"/>
          <w:bCs/>
          <w:color w:val="auto"/>
          <w:sz w:val="32"/>
          <w:szCs w:val="32"/>
          <w:highlight w:val="none"/>
          <w:lang w:val="en-US" w:eastAsia="zh-CN"/>
        </w:rPr>
        <w:t>持平</w:t>
      </w:r>
      <w:r>
        <w:rPr>
          <w:rStyle w:val="18"/>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8"/>
          <w:rFonts w:hint="eastAsia" w:ascii="仿宋" w:hAnsi="仿宋" w:eastAsia="仿宋"/>
          <w:bCs/>
          <w:color w:val="auto"/>
          <w:sz w:val="32"/>
          <w:szCs w:val="32"/>
          <w:highlight w:val="none"/>
          <w:lang w:val="en-US" w:eastAsia="zh-CN"/>
        </w:rPr>
        <w:t>5</w:t>
      </w:r>
      <w:r>
        <w:rPr>
          <w:rStyle w:val="18"/>
          <w:rFonts w:ascii="仿宋" w:hAnsi="仿宋" w:eastAsia="仿宋"/>
          <w:bCs/>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b/>
          <w:bCs/>
          <w:color w:val="auto"/>
          <w:sz w:val="32"/>
          <w:szCs w:val="32"/>
          <w:highlight w:val="none"/>
          <w:lang w:val="en-US" w:eastAsia="zh-CN"/>
        </w:rPr>
        <w:t>221</w:t>
      </w:r>
      <w:r>
        <w:rPr>
          <w:rStyle w:val="18"/>
          <w:rFonts w:hint="eastAsia" w:ascii="仿宋" w:hAnsi="仿宋" w:eastAsia="仿宋"/>
          <w:bCs/>
          <w:color w:val="auto"/>
          <w:sz w:val="32"/>
          <w:szCs w:val="32"/>
          <w:highlight w:val="none"/>
        </w:rPr>
        <w:t>（类）</w:t>
      </w:r>
      <w:r>
        <w:rPr>
          <w:rStyle w:val="18"/>
          <w:rFonts w:hint="eastAsia" w:ascii="仿宋" w:hAnsi="仿宋" w:eastAsia="仿宋"/>
          <w:bCs/>
          <w:color w:val="auto"/>
          <w:sz w:val="32"/>
          <w:szCs w:val="32"/>
          <w:highlight w:val="none"/>
          <w:lang w:val="en-US" w:eastAsia="zh-CN"/>
        </w:rPr>
        <w:t>02</w:t>
      </w:r>
      <w:r>
        <w:rPr>
          <w:rStyle w:val="18"/>
          <w:rFonts w:hint="eastAsia" w:ascii="仿宋" w:hAnsi="仿宋" w:eastAsia="仿宋"/>
          <w:bCs/>
          <w:color w:val="auto"/>
          <w:sz w:val="32"/>
          <w:szCs w:val="32"/>
          <w:highlight w:val="none"/>
        </w:rPr>
        <w:t>（款）</w:t>
      </w:r>
      <w:r>
        <w:rPr>
          <w:rStyle w:val="18"/>
          <w:rFonts w:hint="eastAsia" w:ascii="仿宋" w:hAnsi="仿宋" w:eastAsia="仿宋"/>
          <w:bCs/>
          <w:color w:val="auto"/>
          <w:sz w:val="32"/>
          <w:szCs w:val="32"/>
          <w:highlight w:val="none"/>
          <w:lang w:val="en-US" w:eastAsia="zh-CN"/>
        </w:rPr>
        <w:t>01</w:t>
      </w:r>
      <w:r>
        <w:rPr>
          <w:rStyle w:val="18"/>
          <w:rFonts w:hint="eastAsia" w:ascii="仿宋" w:hAnsi="仿宋" w:eastAsia="仿宋"/>
          <w:bCs/>
          <w:color w:val="auto"/>
          <w:sz w:val="32"/>
          <w:szCs w:val="32"/>
          <w:highlight w:val="none"/>
        </w:rPr>
        <w:t>（项）</w:t>
      </w:r>
      <w:r>
        <w:rPr>
          <w:rStyle w:val="18"/>
          <w:rFonts w:hint="eastAsia" w:ascii="仿宋" w:hAnsi="仿宋" w:eastAsia="仿宋"/>
          <w:b w:val="0"/>
          <w:bCs w:val="0"/>
          <w:color w:val="auto"/>
          <w:sz w:val="32"/>
          <w:szCs w:val="32"/>
          <w:highlight w:val="none"/>
        </w:rPr>
        <w:t>住房公积金</w:t>
      </w:r>
      <w:r>
        <w:rPr>
          <w:rStyle w:val="18"/>
          <w:rFonts w:hint="eastAsia" w:ascii="仿宋" w:hAnsi="仿宋" w:eastAsia="仿宋"/>
          <w:b w:val="0"/>
          <w:bCs w:val="0"/>
          <w:color w:val="auto"/>
          <w:sz w:val="32"/>
          <w:szCs w:val="32"/>
          <w:highlight w:val="none"/>
          <w:lang w:val="en-US" w:eastAsia="zh-CN"/>
        </w:rPr>
        <w:t>支出</w:t>
      </w:r>
      <w:r>
        <w:rPr>
          <w:rStyle w:val="18"/>
          <w:rFonts w:hint="eastAsia" w:ascii="仿宋" w:hAnsi="仿宋" w:eastAsia="仿宋"/>
          <w:b w:val="0"/>
          <w:bCs/>
          <w:color w:val="auto"/>
          <w:sz w:val="32"/>
          <w:szCs w:val="32"/>
          <w:highlight w:val="none"/>
        </w:rPr>
        <w:t>决算为</w:t>
      </w:r>
      <w:r>
        <w:rPr>
          <w:rStyle w:val="18"/>
          <w:rFonts w:hint="eastAsia" w:ascii="仿宋" w:hAnsi="仿宋" w:eastAsia="仿宋"/>
          <w:b w:val="0"/>
          <w:bCs/>
          <w:color w:val="auto"/>
          <w:sz w:val="32"/>
          <w:szCs w:val="32"/>
          <w:highlight w:val="none"/>
          <w:lang w:val="en-US" w:eastAsia="zh-CN"/>
        </w:rPr>
        <w:t>16.01</w:t>
      </w:r>
      <w:r>
        <w:rPr>
          <w:rStyle w:val="18"/>
          <w:rFonts w:hint="eastAsia" w:ascii="仿宋" w:hAnsi="仿宋" w:eastAsia="仿宋"/>
          <w:b w:val="0"/>
          <w:bCs/>
          <w:color w:val="auto"/>
          <w:sz w:val="32"/>
          <w:szCs w:val="32"/>
          <w:highlight w:val="none"/>
        </w:rPr>
        <w:t>万元，完成预算</w:t>
      </w:r>
      <w:r>
        <w:rPr>
          <w:rStyle w:val="18"/>
          <w:rFonts w:hint="eastAsia" w:ascii="仿宋" w:hAnsi="仿宋" w:eastAsia="仿宋"/>
          <w:b w:val="0"/>
          <w:bCs/>
          <w:color w:val="auto"/>
          <w:sz w:val="32"/>
          <w:szCs w:val="32"/>
          <w:highlight w:val="none"/>
          <w:lang w:val="en-US" w:eastAsia="zh-CN"/>
        </w:rPr>
        <w:t>100%</w:t>
      </w:r>
      <w:r>
        <w:rPr>
          <w:rStyle w:val="18"/>
          <w:rFonts w:hint="eastAsia" w:ascii="仿宋" w:hAnsi="仿宋" w:eastAsia="仿宋"/>
          <w:b w:val="0"/>
          <w:bCs/>
          <w:color w:val="auto"/>
          <w:sz w:val="32"/>
          <w:szCs w:val="32"/>
          <w:highlight w:val="none"/>
        </w:rPr>
        <w:t>。</w:t>
      </w:r>
    </w:p>
    <w:p>
      <w:pPr>
        <w:spacing w:line="600" w:lineRule="exact"/>
        <w:ind w:firstLine="640"/>
        <w:rPr>
          <w:rFonts w:ascii="仿宋" w:hAnsi="仿宋" w:eastAsia="仿宋"/>
          <w:b/>
          <w:color w:val="auto"/>
          <w:sz w:val="32"/>
          <w:szCs w:val="32"/>
          <w:highlight w:val="none"/>
        </w:rPr>
      </w:pPr>
    </w:p>
    <w:p>
      <w:pPr>
        <w:tabs>
          <w:tab w:val="right" w:pos="8306"/>
        </w:tabs>
        <w:spacing w:line="600" w:lineRule="exact"/>
        <w:ind w:firstLine="640"/>
        <w:outlineLvl w:val="1"/>
        <w:rPr>
          <w:rStyle w:val="30"/>
          <w:color w:val="auto"/>
          <w:highlight w:val="none"/>
        </w:rPr>
      </w:pPr>
      <w:bookmarkStart w:id="37" w:name="_Toc15377214"/>
      <w:bookmarkStart w:id="38"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0"/>
          <w:rFonts w:hint="eastAsia" w:ascii="黑体" w:hAnsi="黑体" w:eastAsia="黑体"/>
          <w:b w:val="0"/>
          <w:color w:val="auto"/>
          <w:highlight w:val="none"/>
        </w:rPr>
        <w:t>般公共预算财政拨款基本支出决算情况说明</w:t>
      </w:r>
      <w:bookmarkEnd w:id="37"/>
      <w:bookmarkEnd w:id="38"/>
      <w:r>
        <w:rPr>
          <w:rStyle w:val="30"/>
          <w:rFonts w:ascii="黑体" w:hAnsi="黑体" w:eastAsia="黑体"/>
          <w:b w:val="0"/>
          <w:color w:val="auto"/>
          <w:highlight w:val="none"/>
        </w:rPr>
        <w:tab/>
      </w:r>
    </w:p>
    <w:p>
      <w:pPr>
        <w:spacing w:line="600" w:lineRule="exact"/>
        <w:ind w:firstLine="645"/>
        <w:rPr>
          <w:rFonts w:hint="eastAsia" w:ascii="仿宋_GB2312" w:hAnsi="仿宋_GB2312" w:eastAsia="仿宋_GB2312" w:cs="仿宋_GB2312"/>
          <w:color w:val="auto"/>
          <w:sz w:val="32"/>
          <w:szCs w:val="32"/>
          <w:highlight w:val="none"/>
        </w:rPr>
      </w:pPr>
    </w:p>
    <w:p>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年一般公共预算财政拨款基本支出</w:t>
      </w:r>
      <w:r>
        <w:rPr>
          <w:rFonts w:hint="eastAsia" w:ascii="仿宋_GB2312" w:hAnsi="仿宋_GB2312" w:eastAsia="仿宋_GB2312" w:cs="仿宋_GB2312"/>
          <w:color w:val="auto"/>
          <w:sz w:val="32"/>
          <w:szCs w:val="32"/>
          <w:highlight w:val="none"/>
          <w:lang w:val="en-US" w:eastAsia="zh-CN"/>
        </w:rPr>
        <w:t>205.8</w:t>
      </w:r>
      <w:r>
        <w:rPr>
          <w:rFonts w:hint="eastAsia" w:ascii="仿宋_GB2312" w:hAnsi="仿宋_GB2312" w:eastAsia="仿宋_GB2312" w:cs="仿宋_GB2312"/>
          <w:color w:val="auto"/>
          <w:sz w:val="32"/>
          <w:szCs w:val="32"/>
          <w:highlight w:val="none"/>
        </w:rPr>
        <w:t>万元，其中：</w:t>
      </w:r>
    </w:p>
    <w:p>
      <w:pPr>
        <w:spacing w:line="600" w:lineRule="exact"/>
        <w:ind w:firstLine="64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人员经费</w:t>
      </w:r>
      <w:r>
        <w:rPr>
          <w:rFonts w:hint="eastAsia" w:ascii="仿宋_GB2312" w:hAnsi="仿宋_GB2312" w:eastAsia="仿宋_GB2312" w:cs="仿宋_GB2312"/>
          <w:color w:val="auto"/>
          <w:sz w:val="32"/>
          <w:szCs w:val="32"/>
          <w:highlight w:val="none"/>
          <w:lang w:val="en-US" w:eastAsia="zh-CN"/>
        </w:rPr>
        <w:t>185.05</w:t>
      </w:r>
      <w:r>
        <w:rPr>
          <w:rFonts w:hint="eastAsia" w:ascii="仿宋_GB2312" w:hAnsi="仿宋_GB2312" w:eastAsia="仿宋_GB2312" w:cs="仿宋_GB2312"/>
          <w:color w:val="auto"/>
          <w:sz w:val="32"/>
          <w:szCs w:val="32"/>
          <w:highlight w:val="none"/>
        </w:rPr>
        <w:t>万元，主要包括：基本工资</w:t>
      </w:r>
      <w:r>
        <w:rPr>
          <w:rFonts w:hint="eastAsia" w:ascii="仿宋_GB2312" w:hAnsi="仿宋_GB2312" w:eastAsia="仿宋_GB2312" w:cs="仿宋_GB2312"/>
          <w:color w:val="auto"/>
          <w:sz w:val="32"/>
          <w:szCs w:val="32"/>
          <w:highlight w:val="none"/>
          <w:lang w:val="en-US" w:eastAsia="zh-CN"/>
        </w:rPr>
        <w:t>48.75万元</w:t>
      </w:r>
      <w:r>
        <w:rPr>
          <w:rFonts w:hint="eastAsia" w:ascii="仿宋_GB2312" w:hAnsi="仿宋_GB2312" w:eastAsia="仿宋_GB2312" w:cs="仿宋_GB2312"/>
          <w:color w:val="auto"/>
          <w:sz w:val="32"/>
          <w:szCs w:val="32"/>
          <w:highlight w:val="none"/>
        </w:rPr>
        <w:t>、津贴补贴</w:t>
      </w:r>
      <w:r>
        <w:rPr>
          <w:rFonts w:hint="eastAsia" w:ascii="仿宋_GB2312" w:hAnsi="仿宋_GB2312" w:eastAsia="仿宋_GB2312" w:cs="仿宋_GB2312"/>
          <w:color w:val="auto"/>
          <w:sz w:val="32"/>
          <w:szCs w:val="32"/>
          <w:highlight w:val="none"/>
          <w:lang w:val="en-US" w:eastAsia="zh-CN"/>
        </w:rPr>
        <w:t>28.17万元</w:t>
      </w:r>
      <w:r>
        <w:rPr>
          <w:rFonts w:hint="eastAsia" w:ascii="仿宋_GB2312" w:hAnsi="仿宋_GB2312" w:eastAsia="仿宋_GB2312" w:cs="仿宋_GB2312"/>
          <w:color w:val="auto"/>
          <w:sz w:val="32"/>
          <w:szCs w:val="32"/>
          <w:highlight w:val="none"/>
        </w:rPr>
        <w:t>、奖金</w:t>
      </w:r>
      <w:r>
        <w:rPr>
          <w:rFonts w:hint="eastAsia" w:ascii="仿宋_GB2312" w:hAnsi="仿宋_GB2312" w:eastAsia="仿宋_GB2312" w:cs="仿宋_GB2312"/>
          <w:color w:val="auto"/>
          <w:sz w:val="32"/>
          <w:szCs w:val="32"/>
          <w:highlight w:val="none"/>
          <w:lang w:val="en-US" w:eastAsia="zh-CN"/>
        </w:rPr>
        <w:t>34.64万元</w:t>
      </w:r>
      <w:r>
        <w:rPr>
          <w:rFonts w:hint="eastAsia" w:ascii="仿宋_GB2312" w:hAnsi="仿宋_GB2312" w:eastAsia="仿宋_GB2312" w:cs="仿宋_GB2312"/>
          <w:color w:val="auto"/>
          <w:sz w:val="32"/>
          <w:szCs w:val="32"/>
          <w:highlight w:val="none"/>
        </w:rPr>
        <w:t>、伙食补助费</w:t>
      </w:r>
      <w:r>
        <w:rPr>
          <w:rFonts w:hint="eastAsia" w:ascii="仿宋_GB2312" w:hAnsi="仿宋_GB2312" w:eastAsia="仿宋_GB2312" w:cs="仿宋_GB2312"/>
          <w:color w:val="auto"/>
          <w:sz w:val="32"/>
          <w:szCs w:val="32"/>
          <w:highlight w:val="none"/>
          <w:lang w:val="en-US" w:eastAsia="zh-CN"/>
        </w:rPr>
        <w:t>3.76万元</w:t>
      </w:r>
      <w:r>
        <w:rPr>
          <w:rFonts w:hint="eastAsia" w:ascii="仿宋_GB2312" w:hAnsi="仿宋_GB2312" w:eastAsia="仿宋_GB2312" w:cs="仿宋_GB2312"/>
          <w:color w:val="auto"/>
          <w:sz w:val="32"/>
          <w:szCs w:val="32"/>
          <w:highlight w:val="none"/>
        </w:rPr>
        <w:t>、绩效工资</w:t>
      </w:r>
      <w:r>
        <w:rPr>
          <w:rFonts w:hint="eastAsia" w:ascii="仿宋_GB2312" w:hAnsi="仿宋_GB2312" w:eastAsia="仿宋_GB2312" w:cs="仿宋_GB2312"/>
          <w:color w:val="auto"/>
          <w:sz w:val="32"/>
          <w:szCs w:val="32"/>
          <w:highlight w:val="none"/>
          <w:lang w:val="en-US" w:eastAsia="zh-CN"/>
        </w:rPr>
        <w:t>8.22万元</w:t>
      </w:r>
      <w:r>
        <w:rPr>
          <w:rFonts w:hint="eastAsia" w:ascii="仿宋_GB2312" w:hAnsi="仿宋_GB2312" w:eastAsia="仿宋_GB2312" w:cs="仿宋_GB2312"/>
          <w:color w:val="auto"/>
          <w:sz w:val="32"/>
          <w:szCs w:val="32"/>
          <w:highlight w:val="none"/>
        </w:rPr>
        <w:t>、机关事业单位基本养老保险缴费</w:t>
      </w:r>
      <w:r>
        <w:rPr>
          <w:rFonts w:hint="eastAsia" w:ascii="仿宋_GB2312" w:hAnsi="仿宋_GB2312" w:eastAsia="仿宋_GB2312" w:cs="仿宋_GB2312"/>
          <w:color w:val="auto"/>
          <w:sz w:val="32"/>
          <w:szCs w:val="32"/>
          <w:highlight w:val="none"/>
          <w:lang w:val="en-US" w:eastAsia="zh-CN"/>
        </w:rPr>
        <w:t>12.92万元</w:t>
      </w:r>
      <w:r>
        <w:rPr>
          <w:rFonts w:hint="eastAsia" w:ascii="仿宋_GB2312" w:hAnsi="仿宋_GB2312" w:eastAsia="仿宋_GB2312" w:cs="仿宋_GB2312"/>
          <w:color w:val="auto"/>
          <w:sz w:val="32"/>
          <w:szCs w:val="32"/>
          <w:highlight w:val="none"/>
        </w:rPr>
        <w:t>、职业年金缴费</w:t>
      </w:r>
      <w:r>
        <w:rPr>
          <w:rFonts w:hint="eastAsia" w:ascii="仿宋_GB2312" w:hAnsi="仿宋_GB2312" w:eastAsia="仿宋_GB2312" w:cs="仿宋_GB2312"/>
          <w:color w:val="auto"/>
          <w:sz w:val="32"/>
          <w:szCs w:val="32"/>
          <w:highlight w:val="none"/>
          <w:lang w:val="en-US" w:eastAsia="zh-CN"/>
        </w:rPr>
        <w:t>6.45万元</w:t>
      </w:r>
      <w:r>
        <w:rPr>
          <w:rFonts w:hint="eastAsia" w:ascii="仿宋_GB2312" w:hAnsi="仿宋_GB2312" w:eastAsia="仿宋_GB2312" w:cs="仿宋_GB2312"/>
          <w:color w:val="auto"/>
          <w:sz w:val="32"/>
          <w:szCs w:val="32"/>
          <w:highlight w:val="none"/>
        </w:rPr>
        <w:t>、其他社会保障缴费</w:t>
      </w:r>
      <w:r>
        <w:rPr>
          <w:rFonts w:hint="eastAsia" w:ascii="仿宋_GB2312" w:hAnsi="仿宋_GB2312" w:eastAsia="仿宋_GB2312" w:cs="仿宋_GB2312"/>
          <w:color w:val="auto"/>
          <w:sz w:val="32"/>
          <w:szCs w:val="32"/>
          <w:highlight w:val="none"/>
          <w:lang w:val="en-US" w:eastAsia="zh-CN"/>
        </w:rPr>
        <w:t>0.82万元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职工基本</w:t>
      </w:r>
      <w:r>
        <w:rPr>
          <w:rFonts w:hint="eastAsia" w:ascii="仿宋_GB2312" w:hAnsi="仿宋_GB2312" w:eastAsia="仿宋_GB2312" w:cs="仿宋_GB2312"/>
          <w:color w:val="auto"/>
          <w:sz w:val="32"/>
          <w:szCs w:val="32"/>
          <w:highlight w:val="none"/>
        </w:rPr>
        <w:t>医疗</w:t>
      </w:r>
      <w:r>
        <w:rPr>
          <w:rFonts w:hint="eastAsia" w:ascii="仿宋_GB2312" w:hAnsi="仿宋_GB2312" w:eastAsia="仿宋_GB2312" w:cs="仿宋_GB2312"/>
          <w:color w:val="auto"/>
          <w:sz w:val="32"/>
          <w:szCs w:val="32"/>
          <w:highlight w:val="none"/>
          <w:lang w:val="en-US" w:eastAsia="zh-CN"/>
        </w:rPr>
        <w:t>保险缴费5.12万元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公务员医疗补助缴费0.66万元、</w:t>
      </w:r>
      <w:r>
        <w:rPr>
          <w:rFonts w:hint="eastAsia" w:ascii="仿宋_GB2312" w:hAnsi="仿宋_GB2312" w:eastAsia="仿宋_GB2312" w:cs="仿宋_GB2312"/>
          <w:color w:val="auto"/>
          <w:sz w:val="32"/>
          <w:szCs w:val="32"/>
          <w:highlight w:val="none"/>
        </w:rPr>
        <w:t>住房公积金</w:t>
      </w:r>
      <w:r>
        <w:rPr>
          <w:rFonts w:hint="eastAsia" w:ascii="仿宋_GB2312" w:hAnsi="仿宋_GB2312" w:eastAsia="仿宋_GB2312" w:cs="仿宋_GB2312"/>
          <w:color w:val="auto"/>
          <w:sz w:val="32"/>
          <w:szCs w:val="32"/>
          <w:highlight w:val="none"/>
          <w:lang w:val="en-US" w:eastAsia="zh-CN"/>
        </w:rPr>
        <w:t>16.01万元</w:t>
      </w:r>
      <w:r>
        <w:rPr>
          <w:rFonts w:hint="eastAsia" w:ascii="仿宋_GB2312" w:hAnsi="仿宋_GB2312" w:eastAsia="仿宋_GB2312" w:cs="仿宋_GB2312"/>
          <w:color w:val="auto"/>
          <w:sz w:val="32"/>
          <w:szCs w:val="32"/>
          <w:highlight w:val="none"/>
        </w:rPr>
        <w:t>、其他工资福利支出</w:t>
      </w:r>
      <w:r>
        <w:rPr>
          <w:rFonts w:hint="eastAsia" w:ascii="仿宋_GB2312" w:hAnsi="仿宋_GB2312" w:eastAsia="仿宋_GB2312" w:cs="仿宋_GB2312"/>
          <w:color w:val="auto"/>
          <w:sz w:val="32"/>
          <w:szCs w:val="32"/>
          <w:highlight w:val="none"/>
          <w:lang w:val="en-US" w:eastAsia="zh-CN"/>
        </w:rPr>
        <w:t>19.12万元</w:t>
      </w:r>
      <w:r>
        <w:rPr>
          <w:rFonts w:hint="eastAsia" w:ascii="仿宋_GB2312" w:hAnsi="仿宋_GB2312" w:eastAsia="仿宋_GB2312" w:cs="仿宋_GB2312"/>
          <w:color w:val="auto"/>
          <w:sz w:val="32"/>
          <w:szCs w:val="32"/>
          <w:highlight w:val="none"/>
        </w:rPr>
        <w:t>、奖励金</w:t>
      </w:r>
      <w:r>
        <w:rPr>
          <w:rFonts w:hint="eastAsia" w:ascii="仿宋_GB2312" w:hAnsi="仿宋_GB2312" w:eastAsia="仿宋_GB2312" w:cs="仿宋_GB2312"/>
          <w:color w:val="auto"/>
          <w:sz w:val="32"/>
          <w:szCs w:val="32"/>
          <w:highlight w:val="none"/>
          <w:lang w:val="en-US" w:eastAsia="zh-CN"/>
        </w:rPr>
        <w:t>0.01万元</w:t>
      </w:r>
      <w:r>
        <w:rPr>
          <w:rFonts w:hint="eastAsia" w:ascii="仿宋_GB2312" w:hAnsi="仿宋_GB2312" w:eastAsia="仿宋_GB2312" w:cs="仿宋_GB2312"/>
          <w:color w:val="auto"/>
          <w:sz w:val="32"/>
          <w:szCs w:val="32"/>
          <w:highlight w:val="none"/>
        </w:rPr>
        <w:t>、其他对个人和家庭的补助支出</w:t>
      </w:r>
      <w:r>
        <w:rPr>
          <w:rFonts w:hint="eastAsia" w:ascii="仿宋_GB2312" w:hAnsi="仿宋_GB2312" w:eastAsia="仿宋_GB2312" w:cs="仿宋_GB2312"/>
          <w:color w:val="auto"/>
          <w:sz w:val="32"/>
          <w:szCs w:val="32"/>
          <w:highlight w:val="none"/>
          <w:lang w:val="en-US" w:eastAsia="zh-CN"/>
        </w:rPr>
        <w:t>0.4万元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公用经费</w:t>
      </w:r>
      <w:r>
        <w:rPr>
          <w:rFonts w:hint="eastAsia" w:ascii="仿宋_GB2312" w:hAnsi="仿宋_GB2312" w:eastAsia="仿宋_GB2312" w:cs="仿宋_GB2312"/>
          <w:color w:val="auto"/>
          <w:sz w:val="32"/>
          <w:szCs w:val="32"/>
          <w:highlight w:val="none"/>
          <w:lang w:val="en-US" w:eastAsia="zh-CN"/>
        </w:rPr>
        <w:t>20.75</w:t>
      </w:r>
      <w:r>
        <w:rPr>
          <w:rFonts w:hint="eastAsia" w:ascii="仿宋_GB2312" w:hAnsi="仿宋_GB2312" w:eastAsia="仿宋_GB2312" w:cs="仿宋_GB2312"/>
          <w:color w:val="auto"/>
          <w:sz w:val="32"/>
          <w:szCs w:val="32"/>
          <w:highlight w:val="none"/>
        </w:rPr>
        <w:t>万元，主要包括：办公费</w:t>
      </w:r>
      <w:r>
        <w:rPr>
          <w:rFonts w:hint="eastAsia" w:ascii="仿宋_GB2312" w:hAnsi="仿宋_GB2312" w:eastAsia="仿宋_GB2312" w:cs="仿宋_GB2312"/>
          <w:color w:val="auto"/>
          <w:sz w:val="32"/>
          <w:szCs w:val="32"/>
          <w:highlight w:val="none"/>
          <w:lang w:val="en-US" w:eastAsia="zh-CN"/>
        </w:rPr>
        <w:t>2.65万元</w:t>
      </w:r>
      <w:r>
        <w:rPr>
          <w:rFonts w:hint="eastAsia" w:ascii="仿宋_GB2312" w:hAnsi="仿宋_GB2312" w:eastAsia="仿宋_GB2312" w:cs="仿宋_GB2312"/>
          <w:color w:val="auto"/>
          <w:sz w:val="32"/>
          <w:szCs w:val="32"/>
          <w:highlight w:val="none"/>
        </w:rPr>
        <w:t>、印刷费</w:t>
      </w:r>
      <w:r>
        <w:rPr>
          <w:rFonts w:hint="eastAsia" w:ascii="仿宋_GB2312" w:hAnsi="仿宋_GB2312" w:eastAsia="仿宋_GB2312" w:cs="仿宋_GB2312"/>
          <w:color w:val="auto"/>
          <w:sz w:val="32"/>
          <w:szCs w:val="32"/>
          <w:highlight w:val="none"/>
          <w:lang w:val="en-US" w:eastAsia="zh-CN"/>
        </w:rPr>
        <w:t>0.25万元</w:t>
      </w:r>
      <w:r>
        <w:rPr>
          <w:rFonts w:hint="eastAsia" w:ascii="仿宋_GB2312" w:hAnsi="仿宋_GB2312" w:eastAsia="仿宋_GB2312" w:cs="仿宋_GB2312"/>
          <w:color w:val="auto"/>
          <w:sz w:val="32"/>
          <w:szCs w:val="32"/>
          <w:highlight w:val="none"/>
        </w:rPr>
        <w:t>、邮电费</w:t>
      </w:r>
      <w:r>
        <w:rPr>
          <w:rFonts w:hint="eastAsia" w:ascii="仿宋_GB2312" w:hAnsi="仿宋_GB2312" w:eastAsia="仿宋_GB2312" w:cs="仿宋_GB2312"/>
          <w:color w:val="auto"/>
          <w:sz w:val="32"/>
          <w:szCs w:val="32"/>
          <w:highlight w:val="none"/>
          <w:lang w:val="en-US" w:eastAsia="zh-CN"/>
        </w:rPr>
        <w:t>0.42万元</w:t>
      </w:r>
      <w:r>
        <w:rPr>
          <w:rFonts w:hint="eastAsia" w:ascii="仿宋_GB2312" w:hAnsi="仿宋_GB2312" w:eastAsia="仿宋_GB2312" w:cs="仿宋_GB2312"/>
          <w:color w:val="auto"/>
          <w:sz w:val="32"/>
          <w:szCs w:val="32"/>
          <w:highlight w:val="none"/>
        </w:rPr>
        <w:t>、差旅费</w:t>
      </w:r>
      <w:r>
        <w:rPr>
          <w:rFonts w:hint="eastAsia" w:ascii="仿宋_GB2312" w:hAnsi="仿宋_GB2312" w:eastAsia="仿宋_GB2312" w:cs="仿宋_GB2312"/>
          <w:color w:val="auto"/>
          <w:sz w:val="32"/>
          <w:szCs w:val="32"/>
          <w:highlight w:val="none"/>
          <w:lang w:val="en-US" w:eastAsia="zh-CN"/>
        </w:rPr>
        <w:t>3.67万元</w:t>
      </w:r>
      <w:r>
        <w:rPr>
          <w:rFonts w:hint="eastAsia" w:ascii="仿宋_GB2312" w:hAnsi="仿宋_GB2312" w:eastAsia="仿宋_GB2312" w:cs="仿宋_GB2312"/>
          <w:color w:val="auto"/>
          <w:sz w:val="32"/>
          <w:szCs w:val="32"/>
          <w:highlight w:val="none"/>
        </w:rPr>
        <w:t>、维修（护）费</w:t>
      </w:r>
      <w:r>
        <w:rPr>
          <w:rFonts w:hint="eastAsia" w:ascii="仿宋_GB2312" w:hAnsi="仿宋_GB2312" w:eastAsia="仿宋_GB2312" w:cs="仿宋_GB2312"/>
          <w:color w:val="auto"/>
          <w:sz w:val="32"/>
          <w:szCs w:val="32"/>
          <w:highlight w:val="none"/>
          <w:lang w:val="en-US" w:eastAsia="zh-CN"/>
        </w:rPr>
        <w:t>0.03万元</w:t>
      </w:r>
      <w:r>
        <w:rPr>
          <w:rFonts w:hint="eastAsia" w:ascii="仿宋_GB2312" w:hAnsi="仿宋_GB2312" w:eastAsia="仿宋_GB2312" w:cs="仿宋_GB2312"/>
          <w:color w:val="auto"/>
          <w:sz w:val="32"/>
          <w:szCs w:val="32"/>
          <w:highlight w:val="none"/>
        </w:rPr>
        <w:t>、培训费</w:t>
      </w:r>
      <w:r>
        <w:rPr>
          <w:rFonts w:hint="eastAsia" w:ascii="仿宋_GB2312" w:hAnsi="仿宋_GB2312" w:eastAsia="仿宋_GB2312" w:cs="仿宋_GB2312"/>
          <w:color w:val="auto"/>
          <w:sz w:val="32"/>
          <w:szCs w:val="32"/>
          <w:highlight w:val="none"/>
          <w:lang w:val="en-US" w:eastAsia="zh-CN"/>
        </w:rPr>
        <w:t>0.33万元</w:t>
      </w:r>
      <w:r>
        <w:rPr>
          <w:rFonts w:hint="eastAsia" w:ascii="仿宋_GB2312" w:hAnsi="仿宋_GB2312" w:eastAsia="仿宋_GB2312" w:cs="仿宋_GB2312"/>
          <w:color w:val="auto"/>
          <w:sz w:val="32"/>
          <w:szCs w:val="32"/>
          <w:highlight w:val="none"/>
        </w:rPr>
        <w:t>、公务接待费</w:t>
      </w:r>
      <w:r>
        <w:rPr>
          <w:rFonts w:hint="eastAsia" w:ascii="仿宋_GB2312" w:hAnsi="仿宋_GB2312" w:eastAsia="仿宋_GB2312" w:cs="仿宋_GB2312"/>
          <w:color w:val="auto"/>
          <w:sz w:val="32"/>
          <w:szCs w:val="32"/>
          <w:highlight w:val="none"/>
          <w:lang w:val="en-US" w:eastAsia="zh-CN"/>
        </w:rPr>
        <w:t>0.45万元</w:t>
      </w:r>
      <w:r>
        <w:rPr>
          <w:rFonts w:hint="eastAsia" w:ascii="仿宋_GB2312" w:hAnsi="仿宋_GB2312" w:eastAsia="仿宋_GB2312" w:cs="仿宋_GB2312"/>
          <w:color w:val="auto"/>
          <w:sz w:val="32"/>
          <w:szCs w:val="32"/>
          <w:highlight w:val="none"/>
        </w:rPr>
        <w:t>、劳务费</w:t>
      </w:r>
      <w:r>
        <w:rPr>
          <w:rFonts w:hint="eastAsia" w:ascii="仿宋_GB2312" w:hAnsi="仿宋_GB2312" w:eastAsia="仿宋_GB2312" w:cs="仿宋_GB2312"/>
          <w:color w:val="auto"/>
          <w:sz w:val="32"/>
          <w:szCs w:val="32"/>
          <w:highlight w:val="none"/>
          <w:lang w:val="en-US" w:eastAsia="zh-CN"/>
        </w:rPr>
        <w:t>1.2万元</w:t>
      </w:r>
      <w:r>
        <w:rPr>
          <w:rFonts w:hint="eastAsia" w:ascii="仿宋_GB2312" w:hAnsi="仿宋_GB2312" w:eastAsia="仿宋_GB2312" w:cs="仿宋_GB2312"/>
          <w:color w:val="auto"/>
          <w:sz w:val="32"/>
          <w:szCs w:val="32"/>
          <w:highlight w:val="none"/>
        </w:rPr>
        <w:t>、工会经费</w:t>
      </w:r>
      <w:r>
        <w:rPr>
          <w:rFonts w:hint="eastAsia" w:ascii="仿宋_GB2312" w:hAnsi="仿宋_GB2312" w:eastAsia="仿宋_GB2312" w:cs="仿宋_GB2312"/>
          <w:color w:val="auto"/>
          <w:sz w:val="32"/>
          <w:szCs w:val="32"/>
          <w:highlight w:val="none"/>
          <w:lang w:val="en-US" w:eastAsia="zh-CN"/>
        </w:rPr>
        <w:t>1.96万元</w:t>
      </w:r>
      <w:r>
        <w:rPr>
          <w:rFonts w:hint="eastAsia" w:ascii="仿宋_GB2312" w:hAnsi="仿宋_GB2312" w:eastAsia="仿宋_GB2312" w:cs="仿宋_GB2312"/>
          <w:color w:val="auto"/>
          <w:sz w:val="32"/>
          <w:szCs w:val="32"/>
          <w:highlight w:val="none"/>
        </w:rPr>
        <w:t>、福利费</w:t>
      </w:r>
      <w:r>
        <w:rPr>
          <w:rFonts w:hint="eastAsia" w:ascii="仿宋_GB2312" w:hAnsi="仿宋_GB2312" w:eastAsia="仿宋_GB2312" w:cs="仿宋_GB2312"/>
          <w:color w:val="auto"/>
          <w:sz w:val="32"/>
          <w:szCs w:val="32"/>
          <w:highlight w:val="none"/>
          <w:lang w:val="en-US" w:eastAsia="zh-CN"/>
        </w:rPr>
        <w:t>0.86万元</w:t>
      </w:r>
      <w:r>
        <w:rPr>
          <w:rFonts w:hint="eastAsia" w:ascii="仿宋_GB2312" w:hAnsi="仿宋_GB2312" w:eastAsia="仿宋_GB2312" w:cs="仿宋_GB2312"/>
          <w:color w:val="auto"/>
          <w:sz w:val="32"/>
          <w:szCs w:val="32"/>
          <w:highlight w:val="none"/>
        </w:rPr>
        <w:t>、其他交通费</w:t>
      </w:r>
      <w:r>
        <w:rPr>
          <w:rFonts w:hint="eastAsia" w:ascii="仿宋_GB2312" w:hAnsi="仿宋_GB2312" w:eastAsia="仿宋_GB2312" w:cs="仿宋_GB2312"/>
          <w:color w:val="auto"/>
          <w:sz w:val="32"/>
          <w:szCs w:val="32"/>
          <w:highlight w:val="none"/>
          <w:lang w:val="en-US" w:eastAsia="zh-CN"/>
        </w:rPr>
        <w:t>7.16万元</w:t>
      </w:r>
      <w:r>
        <w:rPr>
          <w:rFonts w:hint="eastAsia" w:ascii="仿宋_GB2312" w:hAnsi="仿宋_GB2312" w:eastAsia="仿宋_GB2312" w:cs="仿宋_GB2312"/>
          <w:color w:val="auto"/>
          <w:sz w:val="32"/>
          <w:szCs w:val="32"/>
          <w:highlight w:val="none"/>
        </w:rPr>
        <w:t>、其他商品和服务支出</w:t>
      </w:r>
      <w:r>
        <w:rPr>
          <w:rFonts w:hint="eastAsia" w:ascii="仿宋_GB2312" w:hAnsi="仿宋_GB2312" w:eastAsia="仿宋_GB2312" w:cs="仿宋_GB2312"/>
          <w:color w:val="auto"/>
          <w:sz w:val="32"/>
          <w:szCs w:val="32"/>
          <w:highlight w:val="none"/>
          <w:lang w:val="en-US" w:eastAsia="zh-CN"/>
        </w:rPr>
        <w:t>1.77万元</w:t>
      </w:r>
      <w:r>
        <w:rPr>
          <w:rFonts w:hint="eastAsia" w:ascii="仿宋_GB2312" w:hAnsi="仿宋_GB2312" w:eastAsia="仿宋_GB2312" w:cs="仿宋_GB2312"/>
          <w:color w:val="auto"/>
          <w:sz w:val="32"/>
          <w:szCs w:val="32"/>
          <w:highlight w:val="none"/>
        </w:rPr>
        <w:t>。</w:t>
      </w:r>
    </w:p>
    <w:p>
      <w:pPr>
        <w:spacing w:line="600" w:lineRule="exact"/>
        <w:ind w:firstLine="640"/>
        <w:outlineLvl w:val="1"/>
        <w:rPr>
          <w:rStyle w:val="30"/>
          <w:rFonts w:ascii="黑体" w:hAnsi="黑体" w:eastAsia="黑体"/>
          <w:b w:val="0"/>
          <w:color w:val="auto"/>
          <w:highlight w:val="none"/>
        </w:rPr>
      </w:pPr>
      <w:bookmarkStart w:id="39" w:name="_Toc15377215"/>
      <w:bookmarkStart w:id="40" w:name="_Toc15396609"/>
      <w:r>
        <w:rPr>
          <w:rFonts w:hint="eastAsia" w:ascii="黑体" w:eastAsia="黑体"/>
          <w:color w:val="auto"/>
          <w:sz w:val="32"/>
          <w:szCs w:val="32"/>
          <w:highlight w:val="none"/>
        </w:rPr>
        <w:t>七、</w:t>
      </w:r>
      <w:r>
        <w:rPr>
          <w:rStyle w:val="30"/>
          <w:rFonts w:hint="eastAsia" w:ascii="黑体" w:hAnsi="黑体" w:eastAsia="黑体"/>
          <w:b w:val="0"/>
          <w:color w:val="auto"/>
          <w:highlight w:val="none"/>
        </w:rPr>
        <w:t>财政拨款</w:t>
      </w:r>
      <w:r>
        <w:rPr>
          <w:rStyle w:val="30"/>
          <w:rFonts w:hint="eastAsia" w:ascii="黑体" w:hAnsi="黑体" w:eastAsia="黑体"/>
          <w:color w:val="auto"/>
          <w:highlight w:val="none"/>
        </w:rPr>
        <w:t>“</w:t>
      </w:r>
      <w:r>
        <w:rPr>
          <w:rStyle w:val="30"/>
          <w:rFonts w:hint="eastAsia" w:ascii="黑体" w:hAnsi="黑体" w:eastAsia="黑体"/>
          <w:b w:val="0"/>
          <w:color w:val="auto"/>
          <w:highlight w:val="none"/>
        </w:rPr>
        <w:t>三公”经费支出决算情况说明</w:t>
      </w:r>
      <w:bookmarkEnd w:id="39"/>
      <w:bookmarkEnd w:id="40"/>
    </w:p>
    <w:p>
      <w:pPr>
        <w:spacing w:line="600" w:lineRule="exact"/>
        <w:ind w:firstLine="640"/>
        <w:outlineLvl w:val="2"/>
        <w:rPr>
          <w:rFonts w:ascii="仿宋" w:hAnsi="仿宋" w:eastAsia="仿宋"/>
          <w:b/>
          <w:color w:val="auto"/>
          <w:sz w:val="32"/>
          <w:szCs w:val="32"/>
          <w:highlight w:val="none"/>
        </w:rPr>
      </w:pPr>
      <w:bookmarkStart w:id="41" w:name="_Toc15377216"/>
      <w:r>
        <w:rPr>
          <w:rFonts w:hint="eastAsia" w:ascii="仿宋" w:hAnsi="仿宋" w:eastAsia="仿宋"/>
          <w:b/>
          <w:color w:val="auto"/>
          <w:sz w:val="32"/>
          <w:szCs w:val="32"/>
          <w:highlight w:val="none"/>
        </w:rPr>
        <w:t>（一）“三公”经费财政拨款支出决算总体情况说明</w:t>
      </w:r>
      <w:bookmarkEnd w:id="4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0.45</w:t>
      </w:r>
      <w:r>
        <w:rPr>
          <w:rFonts w:hint="eastAsia" w:ascii="仿宋" w:hAnsi="仿宋" w:eastAsia="仿宋"/>
          <w:color w:val="auto"/>
          <w:sz w:val="32"/>
          <w:szCs w:val="32"/>
          <w:highlight w:val="none"/>
        </w:rPr>
        <w:t>万元，完成预算</w:t>
      </w:r>
      <w:r>
        <w:rPr>
          <w:rFonts w:hint="eastAsia" w:ascii="仿宋" w:hAnsi="仿宋" w:eastAsia="仿宋"/>
          <w:color w:val="000000" w:themeColor="text1"/>
          <w:sz w:val="32"/>
          <w:szCs w:val="32"/>
          <w:highlight w:val="none"/>
          <w:lang w:val="en-US" w:eastAsia="zh-CN"/>
          <w14:textFill>
            <w14:solidFill>
              <w14:schemeClr w14:val="tx1"/>
            </w14:solidFill>
          </w14:textFill>
        </w:rPr>
        <w:t>64.29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减少1.43万元，下降76.06%。</w:t>
      </w:r>
      <w:r>
        <w:rPr>
          <w:rFonts w:hint="eastAsia" w:ascii="仿宋" w:hAnsi="仿宋" w:eastAsia="仿宋"/>
          <w:color w:val="auto"/>
          <w:sz w:val="32"/>
          <w:szCs w:val="32"/>
          <w:highlight w:val="none"/>
        </w:rPr>
        <w:t>决算数小于预算数的</w:t>
      </w:r>
      <w:r>
        <w:rPr>
          <w:rFonts w:hint="eastAsia" w:ascii="仿宋" w:hAnsi="仿宋" w:eastAsia="仿宋"/>
          <w:color w:val="auto"/>
          <w:sz w:val="32"/>
          <w:szCs w:val="32"/>
          <w:highlight w:val="none"/>
          <w:lang w:val="en-US" w:eastAsia="zh-CN"/>
        </w:rPr>
        <w:t>原因主要</w:t>
      </w:r>
      <w:r>
        <w:rPr>
          <w:rFonts w:hint="eastAsia" w:ascii="仿宋" w:hAnsi="仿宋" w:eastAsia="仿宋"/>
          <w:color w:val="auto"/>
          <w:sz w:val="32"/>
          <w:szCs w:val="32"/>
          <w:highlight w:val="none"/>
        </w:rPr>
        <w:t>是</w:t>
      </w:r>
      <w:r>
        <w:rPr>
          <w:rFonts w:hint="eastAsia" w:ascii="仿宋" w:hAnsi="仿宋" w:eastAsia="仿宋"/>
          <w:color w:val="auto"/>
          <w:sz w:val="32"/>
          <w:szCs w:val="32"/>
          <w:highlight w:val="none"/>
          <w:lang w:val="en-US" w:eastAsia="zh-CN"/>
        </w:rPr>
        <w:t>因疫情等省、市、民主党派等到金口河区考察调研批次和人次减少</w:t>
      </w:r>
      <w:r>
        <w:rPr>
          <w:rFonts w:hint="eastAsia" w:ascii="仿宋" w:hAnsi="仿宋" w:eastAsia="仿宋"/>
          <w:color w:val="auto"/>
          <w:sz w:val="32"/>
          <w:szCs w:val="32"/>
          <w:highlight w:val="none"/>
        </w:rPr>
        <w:t>。</w:t>
      </w:r>
    </w:p>
    <w:p>
      <w:pPr>
        <w:spacing w:line="600" w:lineRule="exact"/>
        <w:ind w:firstLine="640"/>
        <w:rPr>
          <w:rFonts w:ascii="仿宋" w:hAnsi="仿宋" w:eastAsia="仿宋"/>
          <w:b/>
          <w:color w:val="auto"/>
          <w:sz w:val="32"/>
          <w:szCs w:val="32"/>
          <w:highlight w:val="none"/>
        </w:rPr>
      </w:pPr>
      <w:r>
        <w:rPr>
          <w:rFonts w:hint="eastAsia" w:ascii="仿宋" w:hAnsi="仿宋" w:eastAsia="仿宋"/>
          <w:b/>
          <w:color w:val="auto"/>
          <w:sz w:val="32"/>
          <w:szCs w:val="32"/>
          <w:highlight w:val="none"/>
        </w:rPr>
        <w:t>（注：上述“预算”口径为</w:t>
      </w:r>
      <w:r>
        <w:rPr>
          <w:rFonts w:hint="eastAsia" w:ascii="仿宋" w:hAnsi="仿宋" w:eastAsia="仿宋"/>
          <w:b/>
          <w:color w:val="auto"/>
          <w:sz w:val="32"/>
          <w:szCs w:val="32"/>
          <w:highlight w:val="none"/>
          <w:lang w:eastAsia="zh-CN"/>
        </w:rPr>
        <w:t>全年预算</w:t>
      </w:r>
      <w:r>
        <w:rPr>
          <w:rFonts w:hint="eastAsia" w:ascii="仿宋" w:hAnsi="仿宋" w:eastAsia="仿宋"/>
          <w:b/>
          <w:color w:val="auto"/>
          <w:sz w:val="32"/>
          <w:szCs w:val="32"/>
          <w:highlight w:val="none"/>
        </w:rPr>
        <w:t>数，包括</w:t>
      </w:r>
      <w:r>
        <w:rPr>
          <w:rFonts w:hint="eastAsia" w:ascii="仿宋" w:hAnsi="仿宋" w:eastAsia="仿宋"/>
          <w:b/>
          <w:color w:val="auto"/>
          <w:sz w:val="32"/>
          <w:szCs w:val="32"/>
          <w:highlight w:val="none"/>
          <w:lang w:eastAsia="zh-CN"/>
        </w:rPr>
        <w:t>一般公共预算和</w:t>
      </w:r>
      <w:r>
        <w:rPr>
          <w:rFonts w:hint="eastAsia" w:ascii="仿宋" w:hAnsi="仿宋" w:eastAsia="仿宋"/>
          <w:b/>
          <w:color w:val="auto"/>
          <w:sz w:val="32"/>
          <w:szCs w:val="32"/>
          <w:highlight w:val="none"/>
        </w:rPr>
        <w:t>政府性基金</w:t>
      </w:r>
      <w:r>
        <w:rPr>
          <w:rFonts w:hint="eastAsia" w:ascii="仿宋" w:hAnsi="仿宋" w:eastAsia="仿宋"/>
          <w:b/>
          <w:color w:val="auto"/>
          <w:sz w:val="32"/>
          <w:szCs w:val="32"/>
          <w:highlight w:val="none"/>
          <w:lang w:eastAsia="zh-CN"/>
        </w:rPr>
        <w:t>预算财政拨款</w:t>
      </w:r>
      <w:r>
        <w:rPr>
          <w:rFonts w:hint="eastAsia" w:ascii="仿宋" w:hAnsi="仿宋" w:eastAsia="仿宋"/>
          <w:b/>
          <w:color w:val="auto"/>
          <w:sz w:val="32"/>
          <w:szCs w:val="32"/>
          <w:highlight w:val="none"/>
        </w:rPr>
        <w:t>支出决算情况。）</w:t>
      </w:r>
    </w:p>
    <w:p>
      <w:pPr>
        <w:spacing w:line="600" w:lineRule="exact"/>
        <w:ind w:firstLine="640"/>
        <w:outlineLvl w:val="2"/>
        <w:rPr>
          <w:rFonts w:ascii="仿宋" w:hAnsi="仿宋" w:eastAsia="仿宋"/>
          <w:b/>
          <w:color w:val="auto"/>
          <w:sz w:val="32"/>
          <w:szCs w:val="32"/>
          <w:highlight w:val="none"/>
        </w:rPr>
      </w:pPr>
      <w:bookmarkStart w:id="42" w:name="_Toc15377217"/>
      <w:r>
        <w:rPr>
          <w:rFonts w:hint="eastAsia" w:ascii="仿宋" w:hAnsi="仿宋" w:eastAsia="仿宋"/>
          <w:b/>
          <w:color w:val="auto"/>
          <w:sz w:val="32"/>
          <w:szCs w:val="32"/>
          <w:highlight w:val="none"/>
        </w:rPr>
        <w:t>（二）“三公”经费财政拨款支出决算具体情况说明</w:t>
      </w:r>
      <w:bookmarkEnd w:id="42"/>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w:t>
      </w:r>
      <w:bookmarkStart w:id="43" w:name="OLE_LINK4"/>
      <w:r>
        <w:rPr>
          <w:rFonts w:hint="eastAsia" w:ascii="仿宋" w:hAnsi="仿宋" w:eastAsia="仿宋"/>
          <w:color w:val="auto"/>
          <w:sz w:val="32"/>
          <w:szCs w:val="32"/>
          <w:highlight w:val="none"/>
        </w:rPr>
        <w:t>因公出国（境）费支出</w:t>
      </w:r>
      <w:bookmarkEnd w:id="43"/>
      <w:r>
        <w:rPr>
          <w:rFonts w:hint="eastAsia" w:ascii="仿宋" w:hAnsi="仿宋" w:eastAsia="仿宋"/>
          <w:color w:val="auto"/>
          <w:sz w:val="32"/>
          <w:szCs w:val="32"/>
          <w:highlight w:val="none"/>
        </w:rPr>
        <w:t>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242570</wp:posOffset>
            </wp:positionH>
            <wp:positionV relativeFrom="page">
              <wp:posOffset>5568315</wp:posOffset>
            </wp:positionV>
            <wp:extent cx="5080000" cy="3514725"/>
            <wp:effectExtent l="4445" t="4445" r="20955" b="508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lang w:eastAsia="zh-CN"/>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p>
    <w:p>
      <w:pPr>
        <w:spacing w:line="6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7"/>
        <w:gridCol w:w="1149"/>
        <w:gridCol w:w="389"/>
        <w:gridCol w:w="910"/>
        <w:gridCol w:w="704"/>
        <w:gridCol w:w="430"/>
        <w:gridCol w:w="545"/>
        <w:gridCol w:w="770"/>
        <w:gridCol w:w="140"/>
        <w:gridCol w:w="952"/>
        <w:gridCol w:w="550"/>
        <w:gridCol w:w="233"/>
        <w:gridCol w:w="6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13"/>
            <w:tcBorders>
              <w:top w:val="nil"/>
              <w:left w:val="nil"/>
              <w:bottom w:val="nil"/>
              <w:right w:val="nil"/>
            </w:tcBorders>
            <w:shd w:val="clear" w:color="auto" w:fill="auto"/>
            <w:noWrap/>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ascii="微软雅黑" w:hAnsi="微软雅黑" w:eastAsia="微软雅黑" w:cs="微软雅黑"/>
                <w:i w:val="0"/>
                <w:iCs w:val="0"/>
                <w:caps w:val="0"/>
                <w:color w:val="000000"/>
                <w:spacing w:val="0"/>
                <w:sz w:val="24"/>
                <w:szCs w:val="24"/>
              </w:rPr>
            </w:pPr>
            <w:bookmarkStart w:id="44" w:name="_Toc15377226"/>
            <w:r>
              <w:rPr>
                <w:rStyle w:val="18"/>
                <w:rFonts w:ascii="仿宋_GB2312" w:hAnsi="微软雅黑" w:eastAsia="仿宋_GB2312" w:cs="仿宋_GB2312"/>
                <w:i w:val="0"/>
                <w:iCs w:val="0"/>
                <w:caps w:val="0"/>
                <w:color w:val="000000"/>
                <w:spacing w:val="0"/>
                <w:sz w:val="31"/>
                <w:szCs w:val="31"/>
              </w:rPr>
              <w:t>1.</w:t>
            </w:r>
            <w:r>
              <w:rPr>
                <w:rStyle w:val="18"/>
                <w:rFonts w:hint="eastAsia" w:ascii="仿宋_GB2312" w:hAnsi="微软雅黑" w:eastAsia="仿宋_GB2312" w:cs="仿宋_GB2312"/>
                <w:i w:val="0"/>
                <w:iCs w:val="0"/>
                <w:caps w:val="0"/>
                <w:color w:val="000000"/>
                <w:spacing w:val="0"/>
                <w:sz w:val="31"/>
                <w:szCs w:val="31"/>
              </w:rPr>
              <w:t>因公出国（境）经费支出</w:t>
            </w:r>
            <w:r>
              <w:rPr>
                <w:rFonts w:hint="eastAsia" w:ascii="仿宋_GB2312" w:hAnsi="微软雅黑" w:eastAsia="仿宋_GB2312" w:cs="仿宋_GB2312"/>
                <w:i w:val="0"/>
                <w:iCs w:val="0"/>
                <w:caps w:val="0"/>
                <w:color w:val="000000"/>
                <w:spacing w:val="0"/>
                <w:sz w:val="31"/>
                <w:szCs w:val="31"/>
              </w:rPr>
              <w:t>0万元，</w:t>
            </w:r>
            <w:r>
              <w:rPr>
                <w:rFonts w:ascii="仿宋" w:hAnsi="仿宋" w:eastAsia="仿宋" w:cs="仿宋"/>
                <w:i w:val="0"/>
                <w:iCs w:val="0"/>
                <w:caps w:val="0"/>
                <w:color w:val="000000"/>
                <w:spacing w:val="0"/>
                <w:sz w:val="31"/>
                <w:szCs w:val="31"/>
              </w:rPr>
              <w:t>完成预算</w:t>
            </w:r>
            <w:r>
              <w:rPr>
                <w:rFonts w:hint="eastAsia" w:ascii="仿宋" w:hAnsi="仿宋" w:eastAsia="仿宋" w:cs="仿宋"/>
                <w:i w:val="0"/>
                <w:iCs w:val="0"/>
                <w:caps w:val="0"/>
                <w:color w:val="000000"/>
                <w:spacing w:val="0"/>
                <w:sz w:val="31"/>
                <w:szCs w:val="31"/>
              </w:rPr>
              <w:t>0%。</w:t>
            </w:r>
            <w:r>
              <w:rPr>
                <w:rFonts w:hint="eastAsia" w:ascii="仿宋_GB2312" w:hAnsi="微软雅黑" w:eastAsia="仿宋_GB2312" w:cs="仿宋_GB2312"/>
                <w:i w:val="0"/>
                <w:iCs w:val="0"/>
                <w:caps w:val="0"/>
                <w:color w:val="000000"/>
                <w:spacing w:val="0"/>
                <w:sz w:val="31"/>
                <w:szCs w:val="31"/>
              </w:rPr>
              <w:t>全年安排因公出国（境）团组0次，出国（境）0人。因公出国（境）支出决算与2021年相比无变化。</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仿宋_GB2312" w:hAnsi="微软雅黑" w:eastAsia="仿宋_GB2312" w:cs="仿宋_GB2312"/>
                <w:i w:val="0"/>
                <w:iCs w:val="0"/>
                <w:caps w:val="0"/>
                <w:color w:val="000000"/>
                <w:spacing w:val="0"/>
                <w:sz w:val="31"/>
                <w:szCs w:val="31"/>
              </w:rPr>
              <w:t>2.公务用车购置及运行维护费支出</w:t>
            </w:r>
            <w:r>
              <w:rPr>
                <w:rFonts w:hint="eastAsia" w:ascii="仿宋_GB2312" w:hAnsi="微软雅黑" w:eastAsia="仿宋_GB2312" w:cs="仿宋_GB2312"/>
                <w:i w:val="0"/>
                <w:iCs w:val="0"/>
                <w:caps w:val="0"/>
                <w:color w:val="000000"/>
                <w:spacing w:val="0"/>
                <w:sz w:val="31"/>
                <w:szCs w:val="31"/>
              </w:rPr>
              <w:t>0万元,</w:t>
            </w:r>
            <w:r>
              <w:rPr>
                <w:rFonts w:hint="eastAsia" w:ascii="仿宋" w:hAnsi="仿宋" w:eastAsia="仿宋" w:cs="仿宋"/>
                <w:i w:val="0"/>
                <w:iCs w:val="0"/>
                <w:caps w:val="0"/>
                <w:color w:val="000000"/>
                <w:spacing w:val="0"/>
                <w:sz w:val="31"/>
                <w:szCs w:val="31"/>
              </w:rPr>
              <w:t>完成预算0%。</w:t>
            </w:r>
            <w:r>
              <w:rPr>
                <w:rFonts w:hint="eastAsia" w:ascii="仿宋_GB2312" w:hAnsi="微软雅黑" w:eastAsia="仿宋_GB2312" w:cs="仿宋_GB2312"/>
                <w:i w:val="0"/>
                <w:iCs w:val="0"/>
                <w:caps w:val="0"/>
                <w:color w:val="000000"/>
                <w:spacing w:val="0"/>
                <w:sz w:val="31"/>
                <w:szCs w:val="31"/>
              </w:rPr>
              <w:t>公务用车购置及运行维护费支出决算比2021年减少0.11万元，下降100%。主要原因是2022年车辆已调整到机关事务中心统一调度使用。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其中：</w:t>
            </w:r>
            <w:r>
              <w:rPr>
                <w:rStyle w:val="18"/>
                <w:rFonts w:hint="eastAsia" w:ascii="仿宋_GB2312" w:hAnsi="微软雅黑" w:eastAsia="仿宋_GB2312" w:cs="仿宋_GB2312"/>
                <w:i w:val="0"/>
                <w:iCs w:val="0"/>
                <w:caps w:val="0"/>
                <w:color w:val="000000"/>
                <w:spacing w:val="0"/>
                <w:sz w:val="31"/>
                <w:szCs w:val="31"/>
              </w:rPr>
              <w:t>公务用车购置支出</w:t>
            </w:r>
            <w:r>
              <w:rPr>
                <w:rFonts w:hint="eastAsia" w:ascii="仿宋_GB2312" w:hAnsi="微软雅黑" w:eastAsia="仿宋_GB2312" w:cs="仿宋_GB2312"/>
                <w:i w:val="0"/>
                <w:iCs w:val="0"/>
                <w:caps w:val="0"/>
                <w:color w:val="000000"/>
                <w:spacing w:val="0"/>
                <w:sz w:val="31"/>
                <w:szCs w:val="31"/>
              </w:rPr>
              <w:t>0万元。全年按规定更新购置公务用车0辆，其中：轿车0辆、金额0万元，越野车0辆、金额0万元，载客汽车0辆、金额0万元。截至2022年12月底，单位共有公务用车0辆，其中：轿车0辆、越野车0辆、载客汽车0辆。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仿宋_GB2312" w:hAnsi="微软雅黑" w:eastAsia="仿宋_GB2312" w:cs="仿宋_GB2312"/>
                <w:i w:val="0"/>
                <w:iCs w:val="0"/>
                <w:caps w:val="0"/>
                <w:color w:val="000000"/>
                <w:spacing w:val="0"/>
                <w:sz w:val="31"/>
                <w:szCs w:val="31"/>
              </w:rPr>
              <w:t>公务用车运行维护费支出</w:t>
            </w:r>
            <w:r>
              <w:rPr>
                <w:rFonts w:hint="eastAsia" w:ascii="仿宋_GB2312" w:hAnsi="微软雅黑" w:eastAsia="仿宋_GB2312" w:cs="仿宋_GB2312"/>
                <w:i w:val="0"/>
                <w:iCs w:val="0"/>
                <w:caps w:val="0"/>
                <w:color w:val="000000"/>
                <w:spacing w:val="0"/>
                <w:sz w:val="31"/>
                <w:szCs w:val="31"/>
              </w:rPr>
              <w:t>0万元。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仿宋_GB2312" w:hAnsi="微软雅黑" w:eastAsia="仿宋_GB2312" w:cs="仿宋_GB2312"/>
                <w:i w:val="0"/>
                <w:iCs w:val="0"/>
                <w:caps w:val="0"/>
                <w:color w:val="000000"/>
                <w:spacing w:val="0"/>
                <w:sz w:val="31"/>
                <w:szCs w:val="31"/>
              </w:rPr>
              <w:t>3.公务接待费支出</w:t>
            </w:r>
            <w:r>
              <w:rPr>
                <w:rFonts w:hint="eastAsia" w:ascii="仿宋_GB2312" w:hAnsi="微软雅黑" w:eastAsia="仿宋_GB2312" w:cs="仿宋_GB2312"/>
                <w:i w:val="0"/>
                <w:iCs w:val="0"/>
                <w:caps w:val="0"/>
                <w:color w:val="000000"/>
                <w:spacing w:val="0"/>
                <w:sz w:val="31"/>
                <w:szCs w:val="31"/>
              </w:rPr>
              <w:t>0.45万元，</w:t>
            </w:r>
            <w:r>
              <w:rPr>
                <w:rFonts w:hint="eastAsia" w:ascii="仿宋" w:hAnsi="仿宋" w:eastAsia="仿宋" w:cs="仿宋"/>
                <w:i w:val="0"/>
                <w:iCs w:val="0"/>
                <w:caps w:val="0"/>
                <w:color w:val="000000"/>
                <w:spacing w:val="0"/>
                <w:sz w:val="31"/>
                <w:szCs w:val="31"/>
              </w:rPr>
              <w:t>完成预算64.29%。</w:t>
            </w:r>
            <w:r>
              <w:rPr>
                <w:rFonts w:hint="eastAsia" w:ascii="仿宋_GB2312" w:hAnsi="微软雅黑" w:eastAsia="仿宋_GB2312" w:cs="仿宋_GB2312"/>
                <w:i w:val="0"/>
                <w:iCs w:val="0"/>
                <w:caps w:val="0"/>
                <w:color w:val="000000"/>
                <w:spacing w:val="0"/>
                <w:sz w:val="31"/>
                <w:szCs w:val="31"/>
              </w:rPr>
              <w:t>公务接待费支出决算比2021年减少1.43万元，下降76.06%。主要是因疫情等原因省、市、民主党派等到金口河区考察调研批次和人次减少。其中：</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仿宋" w:hAnsi="仿宋" w:eastAsia="仿宋" w:cs="仿宋"/>
                <w:i w:val="0"/>
                <w:iCs w:val="0"/>
                <w:caps w:val="0"/>
                <w:color w:val="000000"/>
                <w:spacing w:val="0"/>
                <w:sz w:val="31"/>
                <w:szCs w:val="31"/>
              </w:rPr>
              <w:t>国内公务接待支出</w:t>
            </w:r>
            <w:r>
              <w:rPr>
                <w:rFonts w:hint="eastAsia" w:ascii="仿宋" w:hAnsi="仿宋" w:eastAsia="仿宋" w:cs="仿宋"/>
                <w:i w:val="0"/>
                <w:iCs w:val="0"/>
                <w:caps w:val="0"/>
                <w:color w:val="000000"/>
                <w:spacing w:val="0"/>
                <w:sz w:val="31"/>
                <w:szCs w:val="31"/>
              </w:rPr>
              <w:t>0.45</w:t>
            </w:r>
            <w:r>
              <w:rPr>
                <w:rFonts w:hint="eastAsia" w:ascii="仿宋_GB2312" w:hAnsi="微软雅黑" w:eastAsia="仿宋_GB2312" w:cs="仿宋_GB2312"/>
                <w:i w:val="0"/>
                <w:iCs w:val="0"/>
                <w:caps w:val="0"/>
                <w:color w:val="000000"/>
                <w:spacing w:val="0"/>
                <w:sz w:val="31"/>
                <w:szCs w:val="31"/>
              </w:rPr>
              <w:t>万元，主要用于开展业务活动所需开支用餐费。国内公务接待4批次，36人次（不包括陪同人员），共计支出0.45万元，具体内容包括：调研金口河区党外干部工作接待餐费0.07万元；开展2022年全市侨联重点工作大走访大调研接待餐费0.08万元；兄弟区</w:t>
            </w:r>
            <w:r>
              <w:rPr>
                <w:rFonts w:hint="eastAsia" w:ascii="仿宋_GB2312" w:hAnsi="微软雅黑" w:eastAsia="仿宋_GB2312" w:cs="仿宋_GB2312"/>
                <w:i w:val="0"/>
                <w:iCs w:val="0"/>
                <w:caps w:val="0"/>
                <w:color w:val="000000"/>
                <w:spacing w:val="0"/>
                <w:sz w:val="31"/>
                <w:szCs w:val="31"/>
                <w:lang w:eastAsia="zh-CN"/>
              </w:rPr>
              <w:t>（</w:t>
            </w:r>
            <w:r>
              <w:rPr>
                <w:rFonts w:hint="eastAsia" w:ascii="仿宋_GB2312" w:hAnsi="微软雅黑" w:eastAsia="仿宋_GB2312" w:cs="仿宋_GB2312"/>
                <w:i w:val="0"/>
                <w:iCs w:val="0"/>
                <w:caps w:val="0"/>
                <w:color w:val="000000"/>
                <w:spacing w:val="0"/>
                <w:sz w:val="31"/>
                <w:szCs w:val="31"/>
              </w:rPr>
              <w:t>县</w:t>
            </w:r>
            <w:r>
              <w:rPr>
                <w:rFonts w:hint="eastAsia" w:ascii="仿宋_GB2312" w:hAnsi="微软雅黑" w:eastAsia="仿宋_GB2312" w:cs="仿宋_GB2312"/>
                <w:i w:val="0"/>
                <w:iCs w:val="0"/>
                <w:caps w:val="0"/>
                <w:color w:val="000000"/>
                <w:spacing w:val="0"/>
                <w:sz w:val="31"/>
                <w:szCs w:val="31"/>
                <w:lang w:eastAsia="zh-CN"/>
              </w:rPr>
              <w:t>）</w:t>
            </w:r>
            <w:r>
              <w:rPr>
                <w:rFonts w:hint="eastAsia" w:ascii="仿宋_GB2312" w:hAnsi="微软雅黑" w:eastAsia="仿宋_GB2312" w:cs="仿宋_GB2312"/>
                <w:i w:val="0"/>
                <w:iCs w:val="0"/>
                <w:caps w:val="0"/>
                <w:color w:val="000000"/>
                <w:spacing w:val="0"/>
                <w:sz w:val="31"/>
                <w:szCs w:val="31"/>
              </w:rPr>
              <w:t>到我区学习考察接待餐费0.24万元等。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仿宋" w:hAnsi="仿宋" w:eastAsia="仿宋" w:cs="仿宋"/>
                <w:i w:val="0"/>
                <w:iCs w:val="0"/>
                <w:caps w:val="0"/>
                <w:color w:val="000000"/>
                <w:spacing w:val="0"/>
                <w:sz w:val="31"/>
                <w:szCs w:val="31"/>
              </w:rPr>
              <w:t>外事接待支出</w:t>
            </w:r>
            <w:r>
              <w:rPr>
                <w:rFonts w:hint="eastAsia" w:ascii="仿宋" w:hAnsi="仿宋" w:eastAsia="仿宋" w:cs="仿宋"/>
                <w:i w:val="0"/>
                <w:iCs w:val="0"/>
                <w:caps w:val="0"/>
                <w:color w:val="000000"/>
                <w:spacing w:val="0"/>
                <w:sz w:val="31"/>
                <w:szCs w:val="31"/>
              </w:rPr>
              <w:t>0</w:t>
            </w:r>
            <w:r>
              <w:rPr>
                <w:rFonts w:hint="eastAsia" w:ascii="仿宋_GB2312" w:hAnsi="微软雅黑" w:eastAsia="仿宋_GB2312" w:cs="仿宋_GB2312"/>
                <w:i w:val="0"/>
                <w:iCs w:val="0"/>
                <w:caps w:val="0"/>
                <w:color w:val="000000"/>
                <w:spacing w:val="0"/>
                <w:sz w:val="31"/>
                <w:szCs w:val="31"/>
              </w:rPr>
              <w:t>万元。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八、政府性基金预算支出决算情况说明</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2022年政府性基金预算财政拨款支出0万元。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九、国有资本经营预算支出决算情况说明</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2022年国有资本经营预算财政拨款支出0万元。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43"/>
                <w:szCs w:val="43"/>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十、其他重要事项的情况说明</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仿宋" w:hAnsi="仿宋" w:eastAsia="仿宋" w:cs="仿宋"/>
                <w:i w:val="0"/>
                <w:iCs w:val="0"/>
                <w:caps w:val="0"/>
                <w:color w:val="000000"/>
                <w:spacing w:val="0"/>
                <w:sz w:val="31"/>
                <w:szCs w:val="31"/>
              </w:rPr>
              <w:t>（一）机关运行经费支出情况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2022年，区委统战部机关运行经费支出20.75万元，比2021年增加2.40万元，增长13.07%。主要原因是人员增加。</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仿宋" w:hAnsi="仿宋" w:eastAsia="仿宋" w:cs="仿宋"/>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仿宋" w:hAnsi="仿宋" w:eastAsia="仿宋" w:cs="仿宋"/>
                <w:i w:val="0"/>
                <w:iCs w:val="0"/>
                <w:caps w:val="0"/>
                <w:color w:val="000000"/>
                <w:spacing w:val="0"/>
                <w:sz w:val="31"/>
                <w:szCs w:val="31"/>
              </w:rPr>
              <w:t>（二）政府采购支出情况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2022年，区委统战部政府采购支出总额1.29万元，其中：政府采购货物支出1.9万元、政府采购工程支出0万元、政府采购服务支出0万元。主要用于采购打印复印一体机和电脑。授予中小企业合同金额1.29万元，占政府采购支出总额的100%，其中：授予小微企业合同金额1.29万元，占政府采购支出总额的100%。</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仿宋" w:hAnsi="仿宋" w:eastAsia="仿宋" w:cs="仿宋"/>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仿宋" w:hAnsi="仿宋" w:eastAsia="仿宋" w:cs="仿宋"/>
                <w:i w:val="0"/>
                <w:iCs w:val="0"/>
                <w:caps w:val="0"/>
                <w:color w:val="000000"/>
                <w:spacing w:val="0"/>
                <w:sz w:val="31"/>
                <w:szCs w:val="31"/>
              </w:rPr>
              <w:t>（三）国有资产占有使用情况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截至2022年12月31日，区委统战部共有车辆0辆，其中：主要领导干部用车0辆、机要通信用车0辆、应急保障用车0辆、其他用车0辆。单价100万元以上专用设备0台（套）。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仿宋" w:hAnsi="仿宋" w:eastAsia="仿宋" w:cs="仿宋"/>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仿宋" w:hAnsi="仿宋" w:eastAsia="仿宋" w:cs="仿宋"/>
                <w:i w:val="0"/>
                <w:iCs w:val="0"/>
                <w:caps w:val="0"/>
                <w:color w:val="000000"/>
                <w:spacing w:val="0"/>
                <w:sz w:val="31"/>
                <w:szCs w:val="31"/>
              </w:rPr>
              <w:t>（四）预算绩效管理情况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根据预算绩效管理要求，本部门在2022年度预算编制阶段，组织对统战特需经费项目等6个项目开展了预算事前绩效评估，对6个项目编制了绩效目标，预算执行过程中，选取“统战特需经费”和“在外成功人士联络经费”2个项目开展绩效监控，年终执行完毕后，对2个项目开展了绩效自评。同时，本部门对2022年部门整体开展绩效自评，《2022年乐山市金口河区委统战部部门整体绩效评价报告》见附件（第四部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仿宋_GB2312" w:hAnsi="微软雅黑" w:eastAsia="仿宋_GB2312" w:cs="仿宋_GB2312"/>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Style w:val="18"/>
                <w:rFonts w:hint="eastAsia" w:ascii="仿宋_GB2312" w:hAnsi="微软雅黑" w:eastAsia="仿宋_GB2312" w:cs="仿宋_GB2312"/>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6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43"/>
                <w:szCs w:val="43"/>
              </w:rPr>
              <w:t>第三部分 名词解释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Style w:val="18"/>
                <w:rFonts w:hint="eastAsia" w:ascii="宋体" w:hAnsi="宋体" w:eastAsia="宋体" w:cs="宋体"/>
                <w:i w:val="0"/>
                <w:iCs w:val="0"/>
                <w:caps w:val="0"/>
                <w:color w:val="000000"/>
                <w:spacing w:val="0"/>
                <w:sz w:val="43"/>
                <w:szCs w:val="43"/>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1.财政拨款收入：指单位从同级财政部门取得的财政预算资金。</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2.事业收入：指事业单位开展专业业务活动及辅助活动取得的收入。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3.经营收入：指事业单位在专业业务活动及其辅助活动之外开展非独立核算经营活动取得的收入。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4.其他收入：指单位取得的除上述收入以外的各项收入。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5.使用非财政拨款结余：指事业单位使用以前年度积累的非财政拨款结余弥补当年收支差额的金额。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6.年初结转和结余：指以前年度尚未完成、结转到本年按有关规定继续使用的资金。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7.结余分配：指事业单位按照会计制度规定缴纳的所得税、提取的专用结余以及转入非财政拨款结余的金额等。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8.年末结转和结余：指单位按有关规定结转到下年或以后年度继续使用的资金。</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9.一般公共服务201（类）34（款）01（项）指统战事务行政运行支出；201（类）34（款）02（项）指统战事务一般行政管理事务支出；一般公共服务201（类）34（款）50（项）指统战事务事业运行支出。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10.社会保障和就业社会保障和就业208（类）05（款）05（项）指机关事业单位基本养老保险缴费支出；208（类）05（款）06（项）指机关事业单位职业年金缴费支出；208（类）05（款）09（项）指其他行政事业单位养老支出；208（类）99（款）99（项）指其他社会保障和就业支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11.卫生健康210（类）11（款）01（项）指行政单位医疗支出；210（类）11（款）02（项）指事业单位医疗支出；210（类）11（款）03（项）指公务员医疗补助支出。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12.农林水213（类）05（款）99（项）指其他巩固脱贫衔接乡村振兴支出。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13.住房保障210（类）02（款）01（项）指住房公积金支出。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14.基本支出：指为保障机构正常运转、完成日常工作任务而发生的人员支出和公用支出。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15.项目支出：指在基本支出之外为完成特定行政任务和事业发展目标所发生的支出。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16.经营支出：指事业单位在专业业务活动及其辅助活动之外开展非独立核算经营活动发生的支出。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17.“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18.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18"/>
                <w:rFonts w:hint="eastAsia" w:ascii="宋体" w:hAnsi="宋体" w:eastAsia="宋体" w:cs="宋体"/>
                <w:i w:val="0"/>
                <w:iCs w:val="0"/>
                <w:caps w:val="0"/>
                <w:color w:val="000000"/>
                <w:spacing w:val="0"/>
                <w:sz w:val="43"/>
                <w:szCs w:val="43"/>
              </w:rPr>
              <w:br w:type="textWrapping"/>
            </w:r>
            <w:r>
              <w:rPr>
                <w:rFonts w:hint="eastAsia" w:ascii="黑体" w:hAnsi="宋体" w:eastAsia="黑体" w:cs="黑体"/>
                <w:i w:val="0"/>
                <w:iCs w:val="0"/>
                <w:caps w:val="0"/>
                <w:color w:val="000000"/>
                <w:spacing w:val="0"/>
                <w:sz w:val="43"/>
                <w:szCs w:val="43"/>
              </w:rPr>
              <w:t>第四部分 附件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附件1</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810"/>
              <w:jc w:val="center"/>
              <w:rPr>
                <w:rFonts w:hint="eastAsia" w:ascii="微软雅黑" w:hAnsi="微软雅黑" w:eastAsia="微软雅黑" w:cs="微软雅黑"/>
                <w:i w:val="0"/>
                <w:iCs w:val="0"/>
                <w:caps w:val="0"/>
                <w:color w:val="000000"/>
                <w:spacing w:val="0"/>
                <w:sz w:val="24"/>
                <w:szCs w:val="24"/>
              </w:rPr>
            </w:pPr>
            <w:r>
              <w:rPr>
                <w:rStyle w:val="18"/>
                <w:rFonts w:hint="eastAsia" w:ascii="宋体" w:hAnsi="宋体" w:eastAsia="宋体" w:cs="宋体"/>
                <w:i w:val="0"/>
                <w:iCs w:val="0"/>
                <w:caps w:val="0"/>
                <w:color w:val="000000"/>
                <w:spacing w:val="0"/>
                <w:sz w:val="40"/>
                <w:szCs w:val="40"/>
              </w:rPr>
              <w:t>2022年乐山市金口河区委统战部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810"/>
              <w:jc w:val="center"/>
              <w:rPr>
                <w:rFonts w:hint="eastAsia" w:ascii="微软雅黑" w:hAnsi="微软雅黑" w:eastAsia="微软雅黑" w:cs="微软雅黑"/>
                <w:i w:val="0"/>
                <w:iCs w:val="0"/>
                <w:caps w:val="0"/>
                <w:color w:val="000000"/>
                <w:spacing w:val="0"/>
                <w:sz w:val="24"/>
                <w:szCs w:val="24"/>
              </w:rPr>
            </w:pPr>
            <w:r>
              <w:rPr>
                <w:rStyle w:val="18"/>
                <w:rFonts w:hint="eastAsia" w:ascii="宋体" w:hAnsi="宋体" w:eastAsia="宋体" w:cs="宋体"/>
                <w:i w:val="0"/>
                <w:iCs w:val="0"/>
                <w:caps w:val="0"/>
                <w:color w:val="000000"/>
                <w:spacing w:val="0"/>
                <w:sz w:val="40"/>
                <w:szCs w:val="40"/>
              </w:rPr>
              <w:t>部门整体绩效评价报告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一、部门（单位）基本情况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ascii="楷体_GB2312" w:hAnsi="微软雅黑" w:eastAsia="楷体_GB2312" w:cs="楷体_GB2312"/>
                <w:i w:val="0"/>
                <w:iCs w:val="0"/>
                <w:caps w:val="0"/>
                <w:color w:val="000000"/>
                <w:spacing w:val="0"/>
                <w:sz w:val="31"/>
                <w:szCs w:val="31"/>
              </w:rPr>
              <w:t>（一）机构组成。</w:t>
            </w:r>
            <w:r>
              <w:rPr>
                <w:rFonts w:hint="eastAsia" w:ascii="仿宋_GB2312" w:hAnsi="微软雅黑" w:eastAsia="仿宋_GB2312" w:cs="仿宋_GB2312"/>
                <w:i w:val="0"/>
                <w:iCs w:val="0"/>
                <w:caps w:val="0"/>
                <w:color w:val="000000"/>
                <w:spacing w:val="0"/>
                <w:sz w:val="31"/>
                <w:szCs w:val="31"/>
              </w:rPr>
              <w:t>乐山市金口河区委统战部独立编制（核算）机构1个，内设机构2个，包括统战部综合办公室、侨联综合办公室。下属二级单位0个，其中行政单位0个，参照公务员法管理的事业单位0个，其他事业单位0个。</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楷体_GB2312" w:hAnsi="微软雅黑" w:eastAsia="楷体_GB2312" w:cs="楷体_GB2312"/>
                <w:i w:val="0"/>
                <w:iCs w:val="0"/>
                <w:caps w:val="0"/>
                <w:color w:val="000000"/>
                <w:spacing w:val="0"/>
                <w:sz w:val="31"/>
                <w:szCs w:val="31"/>
              </w:rPr>
              <w:t>（二）机构职能和人员概况。</w:t>
            </w:r>
            <w:r>
              <w:rPr>
                <w:rFonts w:hint="eastAsia" w:ascii="仿宋_GB2312" w:hAnsi="微软雅黑" w:eastAsia="仿宋_GB2312" w:cs="仿宋_GB2312"/>
                <w:i w:val="0"/>
                <w:iCs w:val="0"/>
                <w:caps w:val="0"/>
                <w:color w:val="000000"/>
                <w:spacing w:val="0"/>
                <w:sz w:val="31"/>
                <w:szCs w:val="31"/>
              </w:rPr>
              <w:t>一是在区委的领导和市委统战部的指导下，宣传贯彻落实党的统一战线方针、政策。结合全区实际，向区委提出开展统战工作的意见和建议。二是加强同各族各界人士的联系，了解反映他们的意见、建议，发挥他们在政治协商、民主监督、参政议政中的作用，支持他们积极工作。三是调查研究我区党外知识分子情况，联系并培养党外知识分子代表人物，帮助他们反映意见、建议和要求，协调好关系，提出合理化建议。四是宣传党的民族、宗教政策，按照“民族宗教无小事”的精神，检查督促党的民族、宗教政策的贯彻执行情况，联系少数民族和宗教代表人物，同有关部门一道做好少数民族干部的培养、举荐工作。五是调查研究并反映我区非公有制经济及代表人士的情况，协调关系，提出有利于非公有制经济健康发展的意见、建议，大力宣传党的非公有制经济政策，引导非公有制经济健康发展。六是负责开展以祖国统一为重点的海内外统战工作，联系港澳和海外有关社团及代表人士，协调指导做好台胞、台属的有关工作。七是负责我区党外人士的政治安排，做好人大党外代表、政协党外委员等党外人士的安排工作及党外行政领导干部的选拔、培养、推荐工作。八是负责开展统一战线的理论研究和宣传工作。九是完成区委和市委统战部交办的其他工作任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1"/>
                <w:szCs w:val="31"/>
              </w:rPr>
              <w:t>我部现有行政编制4名、工勤编制1名，事业编制3名。2022年末，共有财政供养人数10人，其中行政6名，工勤1名，事业3名。与上年末相比无变化。</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b/>
                <w:bCs/>
                <w:i w:val="0"/>
                <w:iCs w:val="0"/>
                <w:caps w:val="0"/>
                <w:color w:val="000000"/>
                <w:spacing w:val="0"/>
                <w:sz w:val="31"/>
                <w:szCs w:val="31"/>
              </w:rPr>
              <w:t>（三）</w:t>
            </w:r>
            <w:r>
              <w:rPr>
                <w:rStyle w:val="18"/>
                <w:rFonts w:hint="eastAsia" w:ascii="楷体_GB2312" w:hAnsi="微软雅黑" w:eastAsia="楷体_GB2312" w:cs="楷体_GB2312"/>
                <w:i w:val="0"/>
                <w:iCs w:val="0"/>
                <w:caps w:val="0"/>
                <w:color w:val="000000"/>
                <w:spacing w:val="0"/>
                <w:sz w:val="31"/>
                <w:szCs w:val="31"/>
              </w:rPr>
              <w:t>年度主要工作任务。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实施“同心聚力”行动。以习近平总书记关于加强和改进统一战线工作的重要论述为指导，团结引领新联会、知联会等全区统战成员围绕区委、区政府决策部署，发挥建言献策、参政议政的作用，积极参与全区乡村振兴、基层治理、项目建设等重点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2、实施“同心实践”行动。以铸牢中华民族共同体意识为主线，继续开展全国民族团结示范区创建工作，加快成立金口河区乡贤文化研究会，打造金口河区新的社会阶层人士统战工作实践创新基地，努力推动新的社会阶层人士统战工作不断迈上新的台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3、实施“同心文化”行动。加强统战信息宣传工作，深入挖掘提炼金口河区统战、民族、工商联、新联会、知联会、乡镇统战等工作信息，推出《金口河统战工作》月刊，讲好金口河统战故事，发出金口河统战声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4、构建大统战工作格局。统筹推进党外知识分子、民族宗教、非公经济、港澳台侨等工作，加强统战部门自身建设，将统战工作向村（社区）延伸，努力构建大统战工作格局，实现统战工作全覆盖。</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楷体_GB2312" w:hAnsi="微软雅黑" w:eastAsia="楷体_GB2312" w:cs="楷体_GB2312"/>
                <w:i w:val="0"/>
                <w:iCs w:val="0"/>
                <w:caps w:val="0"/>
                <w:color w:val="000000"/>
                <w:spacing w:val="0"/>
                <w:sz w:val="31"/>
                <w:szCs w:val="31"/>
              </w:rPr>
              <w:t>（四）部门整体支出绩效目标。</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二、部门资金收支情况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楷体_GB2312" w:hAnsi="微软雅黑" w:eastAsia="楷体_GB2312" w:cs="楷体_GB2312"/>
                <w:i w:val="0"/>
                <w:iCs w:val="0"/>
                <w:caps w:val="0"/>
                <w:color w:val="000000"/>
                <w:spacing w:val="0"/>
                <w:sz w:val="31"/>
                <w:szCs w:val="31"/>
              </w:rPr>
              <w:t>（一）部门总体收支情况。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1.部门总体收入情况：本年度收入总额228.31万元（本年度预算收入总额223.30万元，上年结余结转经费收入5.01万元）。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2.部门总体支出情况：本年度支出总额228.30万元。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3.部门总体结转结余情况：本年度年末结转结余资金0.01万元，为单位基本户利息收入。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楷体_GB2312" w:hAnsi="微软雅黑" w:eastAsia="楷体_GB2312" w:cs="楷体_GB2312"/>
                <w:i w:val="0"/>
                <w:iCs w:val="0"/>
                <w:caps w:val="0"/>
                <w:color w:val="000000"/>
                <w:spacing w:val="0"/>
                <w:sz w:val="31"/>
                <w:szCs w:val="31"/>
              </w:rPr>
              <w:t>（二）部门财政拨款收支情况。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1.部门财政拨款收入情况：本年度财政拨款收入总额228.30万元（本年度预算收入总额223.29万元，上年结余结转经费收入5.01万元）。</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2.部门财政拨款支出情况：本年度财政拨款支出总额228.30万元，其中：基本经费支出205.8万元，占总支出的90.14%；项目经费支出22.5万元，占总支出的9.86%。项目资金主要包括：统战特需费、在外成功人士联络经费、县级领导基金、统战社团工作经费、统战示范点建设工作经费和脱贫攻坚驻村工作组专项经费等。</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3.部门财政拨款结转结余情况：本年度无财政拨款结转结余。</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三、部门整体绩效分析</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楷体_GB2312" w:hAnsi="微软雅黑" w:eastAsia="楷体_GB2312" w:cs="楷体_GB2312"/>
                <w:i w:val="0"/>
                <w:iCs w:val="0"/>
                <w:caps w:val="0"/>
                <w:color w:val="000000"/>
                <w:spacing w:val="0"/>
                <w:sz w:val="31"/>
                <w:szCs w:val="31"/>
              </w:rPr>
              <w:t>（一）部门预算项目绩效分析。</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1、人员类项目绩效分析</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区委统战部经费预算包括人员经费预算、公用经费预算和项目经费预算等。人员经费预算按实有在编人数编报，公用经费按照批复标准额度据实编报，项目经费按照要求向区财政局提供预算依据和绩效目标，并办理相关申报手续后编报，没有提供预算依据和绩效目标的项目，不纳入年度预算。上级年度内下达的经费，区财政局按规定程序完善手续后以追加经费的方式纳入年度预算，年度末没有财政资金结转结余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2、运转类项目绩效分析</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本部门在2022年度部门决算中反映的统战特需经费、统战示范点建设工作经费、统战社团工作经费的使用，完善了全区党外代表人士数据库，动态调整县级层面党外代表人士名单，积极推荐8名党外干部任市政协委员；推荐3名党外干部参加省、市相关培训，提升其综合素质，增强履职能力；积极推动商会建设，成立我区首个行业商会，选举产生新一届理事9名，商会会长1名，副会长4名，秘书长1名。区委统战部牵头在区为农服务中心建设金口河区“统战之家”，将“统战之家”打造为统战工作实践创新基地、新的社会阶层人士统战工作实践创新基地、民族团结进步实践创新基地。</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3、特定目标类项目绩效分析</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在外成功人士联络经费的保障，积极调动了党外代表人士、少数民族代表人士、新的社会阶层人士等统战成员的积极性，圆满完成工商联换届工作。顺利完成区政协委员协商推荐工作。协助完成市人大代表和市政协委员推荐提名工作。聚焦主责主业，大幅提升了工作实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县级领导经费、脱贫攻坚和乡村振兴工作专项经费的保障，为金口河区脱贫攻坚乡村振兴工作</w:t>
            </w:r>
            <w:r>
              <w:rPr>
                <w:rFonts w:hint="eastAsia" w:ascii="仿宋_GB2312" w:hAnsi="微软雅黑" w:eastAsia="仿宋_GB2312" w:cs="仿宋_GB2312"/>
                <w:i w:val="0"/>
                <w:iCs w:val="0"/>
                <w:caps w:val="0"/>
                <w:color w:val="000000"/>
                <w:spacing w:val="0"/>
                <w:sz w:val="31"/>
                <w:szCs w:val="31"/>
                <w:lang w:eastAsia="zh-CN"/>
              </w:rPr>
              <w:t>，</w:t>
            </w:r>
            <w:r>
              <w:rPr>
                <w:rFonts w:hint="eastAsia" w:ascii="仿宋_GB2312" w:hAnsi="微软雅黑" w:eastAsia="仿宋_GB2312" w:cs="仿宋_GB2312"/>
                <w:i w:val="0"/>
                <w:iCs w:val="0"/>
                <w:caps w:val="0"/>
                <w:color w:val="000000"/>
                <w:spacing w:val="0"/>
                <w:sz w:val="31"/>
                <w:szCs w:val="31"/>
              </w:rPr>
              <w:t>贡献了统战部应有的力量，有效巩固了脱贫工作成效。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楷体_GB2312" w:hAnsi="微软雅黑" w:eastAsia="楷体_GB2312" w:cs="楷体_GB2312"/>
                <w:i w:val="0"/>
                <w:iCs w:val="0"/>
                <w:caps w:val="0"/>
                <w:color w:val="000000"/>
                <w:spacing w:val="0"/>
                <w:sz w:val="31"/>
                <w:szCs w:val="31"/>
              </w:rPr>
              <w:t>（二）部门整体履职绩效分析。</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区委统战部严格遵守国家财经法律法规，严格按照内控制度、资产管理、政府采购等方面管理规定，依照经费开支范围、相关规定和程序进行开支，项目资金做到了挂辅助进行单独核算，信息做到了及时全面公开，按要求开展了绩效评价工作，积极配合依法接受了财政监督。2022年，区委统战部积极调动了党外代表人士、少数民族代表人士、新的社会阶层人士等统战成员的积极性，为全面建成小康社会和奋力谱写金口河高质量发展新篇章贡献统一战线智慧力量，发出了金口河统战声音。我单位支出绩效总体良好，各项目标达到了相应时期执行进度，各项目经费按预算实施，使财政收支预算执行都得到了良好的制度保障和实施效果。</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楷体_GB2312" w:hAnsi="微软雅黑" w:eastAsia="楷体_GB2312" w:cs="楷体_GB2312"/>
                <w:i w:val="0"/>
                <w:iCs w:val="0"/>
                <w:caps w:val="0"/>
                <w:color w:val="000000"/>
                <w:spacing w:val="0"/>
                <w:sz w:val="31"/>
                <w:szCs w:val="31"/>
              </w:rPr>
              <w:t>（三）结果应用情况。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2022年区委统战部项目绩效自评质量高，绩效目标公开，自评公开、评价结果、应用结果良好。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仿宋_GB2312" w:hAnsi="微软雅黑" w:eastAsia="仿宋_GB2312" w:cs="仿宋_GB2312"/>
                <w:i w:val="0"/>
                <w:iCs w:val="0"/>
                <w:caps w:val="0"/>
                <w:color w:val="000000"/>
                <w:spacing w:val="0"/>
                <w:sz w:val="31"/>
                <w:szCs w:val="31"/>
              </w:rPr>
              <w:t>（四）</w:t>
            </w:r>
            <w:r>
              <w:rPr>
                <w:rStyle w:val="18"/>
                <w:rFonts w:hint="eastAsia" w:ascii="楷体_GB2312" w:hAnsi="微软雅黑" w:eastAsia="楷体_GB2312" w:cs="楷体_GB2312"/>
                <w:i w:val="0"/>
                <w:iCs w:val="0"/>
                <w:caps w:val="0"/>
                <w:color w:val="000000"/>
                <w:spacing w:val="0"/>
                <w:sz w:val="31"/>
                <w:szCs w:val="31"/>
              </w:rPr>
              <w:t>自评质量。</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2022年区委统战部项目绩效自评质量提高。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1"/>
                <w:szCs w:val="31"/>
              </w:rPr>
              <w:t>四、评价结论及建议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楷体_GB2312" w:hAnsi="微软雅黑" w:eastAsia="楷体_GB2312" w:cs="楷体_GB2312"/>
                <w:i w:val="0"/>
                <w:iCs w:val="0"/>
                <w:caps w:val="0"/>
                <w:color w:val="000000"/>
                <w:spacing w:val="0"/>
                <w:sz w:val="31"/>
                <w:szCs w:val="31"/>
              </w:rPr>
              <w:t>（一）评价结论。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2022年区委统战部部门整体预算合理，项目实施结果与规划一致，项目资金按规定及时申请，及时支付，使用规范、程序透明、达到预期绩效目标确保了机关的正常运行和统战职能的正常履行，财务管理健全规范，没有发生违法违规现象，保证了目标任务的圆满完成。评价得分94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b/>
                <w:bCs/>
                <w:i w:val="0"/>
                <w:iCs w:val="0"/>
                <w:caps w:val="0"/>
                <w:color w:val="000000"/>
                <w:spacing w:val="0"/>
                <w:sz w:val="31"/>
                <w:szCs w:val="31"/>
              </w:rPr>
              <w:t>（二）</w:t>
            </w:r>
            <w:r>
              <w:rPr>
                <w:rStyle w:val="18"/>
                <w:rFonts w:hint="eastAsia" w:ascii="楷体_GB2312" w:hAnsi="微软雅黑" w:eastAsia="楷体_GB2312" w:cs="楷体_GB2312"/>
                <w:i w:val="0"/>
                <w:iCs w:val="0"/>
                <w:caps w:val="0"/>
                <w:color w:val="000000"/>
                <w:spacing w:val="0"/>
                <w:sz w:val="31"/>
                <w:szCs w:val="31"/>
              </w:rPr>
              <w:t>存在问题。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rPr>
              <w:t>    一是</w:t>
            </w:r>
            <w:r>
              <w:rPr>
                <w:rFonts w:hint="eastAsia" w:ascii="仿宋_GB2312" w:hAnsi="微软雅黑" w:eastAsia="仿宋_GB2312" w:cs="仿宋_GB2312"/>
                <w:i w:val="0"/>
                <w:iCs w:val="0"/>
                <w:caps w:val="0"/>
                <w:color w:val="000000"/>
                <w:spacing w:val="0"/>
                <w:sz w:val="31"/>
                <w:szCs w:val="31"/>
              </w:rPr>
              <w:t>部分项目资金预算不够细化；二是内控管理有待进一步完善、财务人员政策和业务水平有待提高。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Style w:val="18"/>
                <w:rFonts w:hint="eastAsia" w:ascii="楷体_GB2312" w:hAnsi="微软雅黑" w:eastAsia="楷体_GB2312" w:cs="楷体_GB2312"/>
                <w:i w:val="0"/>
                <w:iCs w:val="0"/>
                <w:caps w:val="0"/>
                <w:color w:val="000000"/>
                <w:spacing w:val="0"/>
                <w:sz w:val="31"/>
                <w:szCs w:val="31"/>
              </w:rPr>
              <w:t>（三）改进建议。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一是进一步规范和完善内控制度；二是加大财务人员相关法律规章和业务知识的学习培训力度。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附表：部门预算项目支出绩效自评表（2022年度）</w:t>
            </w:r>
          </w:p>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6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统战特需费</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212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6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乐山市金口河区财政局</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212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中共乐山市金口河区委统一战线工作部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17" w:type="pct"/>
            <w:gridSpan w:val="3"/>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3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54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4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54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4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41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212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413" w:type="pct"/>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对党外知识分子、新的社会阶层人士、非公经济人士进行培养、选拔使用等。</w:t>
            </w:r>
          </w:p>
        </w:tc>
        <w:tc>
          <w:tcPr>
            <w:tcW w:w="2128"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了全区党外代表人士数据库，动态调整县级层面党外代表人士名单，积极推荐8名党外干部任市政协委员；推荐3名党外干部参加省、市相关培训，提升其综合素质，增强履职能力；积极推动商会建设，成立我区首个行业商会，选举产生新一届理事9名，商会会长1名，副会长4名，秘书长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0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5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448"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3455"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1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8"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1059" w:type="pct"/>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培养选拔党外干部</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≥2人</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11</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48"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059" w:type="pct"/>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059" w:type="pct"/>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059" w:type="pct"/>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5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1059" w:type="pct"/>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059" w:type="pct"/>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059" w:type="pct"/>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5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8" w:type="pct"/>
            <w:gridSpan w:val="2"/>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1059" w:type="pct"/>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找出最大公约数，画出最大同心圆</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定性</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48"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4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059" w:type="pct"/>
            <w:gridSpan w:val="2"/>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59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提升服务对象满意度</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83"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48" w:type="pct"/>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5000" w:type="pct"/>
            <w:gridSpan w:val="13"/>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8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统战示范点建设工作经费</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75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8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乐山市金口河区财政局</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5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中共乐山市金口河区委统一战线工作部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33" w:type="pct"/>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23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3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6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49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753"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495" w:type="pct"/>
            <w:gridSpan w:val="6"/>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建设统战创新示范基地、新的社会阶层人士创新示范基地1个。</w:t>
            </w:r>
          </w:p>
        </w:tc>
        <w:tc>
          <w:tcPr>
            <w:tcW w:w="175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区委统战部牵头在区为农服务中心建设金口河区“统战之家”，将“统战之家”打造为统战工作实践创新基地、新的社会阶层人士统战工作实践创新基地、民族团结进步实践创新基地。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30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3838"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602"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9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783"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建设统战创新示范基地</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1个</w:t>
            </w:r>
          </w:p>
        </w:tc>
        <w:tc>
          <w:tcPr>
            <w:tcW w:w="59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1个</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0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3"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3"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3"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50"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783"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3"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333333"/>
                <w:sz w:val="18"/>
                <w:szCs w:val="18"/>
                <w:u w:val="none"/>
              </w:rPr>
            </w:pP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3"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50"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3"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找出最大公约数、画出最大同心圆，不断提升统战成员认可度。</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定性</w:t>
            </w:r>
          </w:p>
        </w:tc>
        <w:tc>
          <w:tcPr>
            <w:tcW w:w="59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0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783"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统战成员满意度提升</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91"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5000" w:type="pct"/>
            <w:gridSpan w:val="13"/>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7"/>
        <w:gridCol w:w="1309"/>
        <w:gridCol w:w="1621"/>
        <w:gridCol w:w="1083"/>
        <w:gridCol w:w="1089"/>
        <w:gridCol w:w="874"/>
        <w:gridCol w:w="574"/>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脱贫攻坚乡村振兴工作经费</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7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乐山市金口河区财政局</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中共乐山市金口河区委统一战线工作部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47" w:type="pct"/>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2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1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2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4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7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471"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全面完成帮扶任务，协助开展乡村振兴工作。</w:t>
            </w:r>
          </w:p>
        </w:tc>
        <w:tc>
          <w:tcPr>
            <w:tcW w:w="177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区委统战部联系永和镇新乐村，涉及农户568户,其中已脱贫建档立卡贫困户20户，低保户38户。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3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57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脱贫攻坚帮扶人数</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提升帮扶对象满意度</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结对帮扶农户满意度</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5000" w:type="pct"/>
            <w:gridSpan w:val="8"/>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7"/>
        <w:gridCol w:w="1309"/>
        <w:gridCol w:w="1621"/>
        <w:gridCol w:w="1083"/>
        <w:gridCol w:w="1089"/>
        <w:gridCol w:w="874"/>
        <w:gridCol w:w="574"/>
        <w:gridCol w:w="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县级领导基金</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7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乐山市金口河区财政局</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中共乐山市金口河区委统一战线工作部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47" w:type="pct"/>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12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1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1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5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4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7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471"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对党外知识分子、新的社会阶层人士、非公经济人士进行培养、选拔使用等。</w:t>
            </w:r>
          </w:p>
        </w:tc>
        <w:tc>
          <w:tcPr>
            <w:tcW w:w="177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了全区党外代表人士数据库，动态调整县级层面党外代表人士名单，积极推荐8名党外干部任市政协委员；推荐3名党外干部参加省、市相关培训，提升其综合素质，增强履职能力；积极推动商会建设，成立我区首个行业商会，选举产生新一届理事9名，商会会长1名，副会长4名，秘书长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0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382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578"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引导统战成员积极建言献策，参政议政，提出好的建议</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≥2条</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03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引导重点统战成员积极建言献策、参政议政。</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≥2条</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8</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0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5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789"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0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提升统战成员满意度</w:t>
            </w:r>
          </w:p>
        </w:tc>
        <w:tc>
          <w:tcPr>
            <w:tcW w:w="6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5000" w:type="pct"/>
            <w:gridSpan w:val="8"/>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US" w:eastAsia="zh-CN"/>
        </w:rPr>
      </w:pPr>
    </w:p>
    <w:tbl>
      <w:tblPr>
        <w:tblStyle w:val="1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2"/>
        <w:gridCol w:w="1043"/>
        <w:gridCol w:w="2933"/>
        <w:gridCol w:w="871"/>
        <w:gridCol w:w="808"/>
        <w:gridCol w:w="868"/>
        <w:gridCol w:w="452"/>
        <w:gridCol w:w="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区级项目支出绩效自评表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在外成功人士联络经费</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p>
        </w:tc>
        <w:tc>
          <w:tcPr>
            <w:tcW w:w="15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23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乐山市金口河区财政局</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5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中共乐山市金口河区委统一战线工作部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99" w:type="pct"/>
            <w:gridSpan w:val="2"/>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w:t>
            </w:r>
          </w:p>
        </w:tc>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w:t>
            </w:r>
          </w:p>
        </w:tc>
        <w:tc>
          <w:tcPr>
            <w:tcW w:w="10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11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9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9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#DIV/0!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28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w:t>
            </w:r>
          </w:p>
        </w:tc>
        <w:tc>
          <w:tcPr>
            <w:tcW w:w="15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2843"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建立乡贤会，联络金口河籍或在金口河生活工作过的在外成功人士，为金口河经济建设、社会发展持续</w:t>
            </w:r>
            <w:r>
              <w:rPr>
                <w:rFonts w:hint="eastAsia" w:ascii="宋体" w:hAnsi="宋体" w:cs="宋体"/>
                <w:i w:val="0"/>
                <w:iCs w:val="0"/>
                <w:color w:val="000000"/>
                <w:kern w:val="0"/>
                <w:sz w:val="20"/>
                <w:szCs w:val="20"/>
                <w:u w:val="none"/>
                <w:lang w:val="en-US" w:eastAsia="zh-CN" w:bidi="ar"/>
              </w:rPr>
              <w:t>做</w:t>
            </w:r>
            <w:r>
              <w:rPr>
                <w:rFonts w:hint="eastAsia" w:ascii="宋体" w:hAnsi="宋体" w:eastAsia="宋体" w:cs="宋体"/>
                <w:i w:val="0"/>
                <w:iCs w:val="0"/>
                <w:color w:val="000000"/>
                <w:kern w:val="0"/>
                <w:sz w:val="20"/>
                <w:szCs w:val="20"/>
                <w:u w:val="none"/>
                <w:lang w:val="en-US" w:eastAsia="zh-CN" w:bidi="ar"/>
              </w:rPr>
              <w:t>贡献。</w:t>
            </w:r>
          </w:p>
        </w:tc>
        <w:tc>
          <w:tcPr>
            <w:tcW w:w="156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联络金口河籍或在金口河生活工作过的乡贤会员51名，名誉会员12名。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分值/权重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（百分制）</w:t>
            </w:r>
          </w:p>
        </w:tc>
        <w:tc>
          <w:tcPr>
            <w:tcW w:w="26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扣分原因分析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3905"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    分</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920"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预算执行率（10分）</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58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产出指标</w:t>
            </w:r>
          </w:p>
        </w:tc>
        <w:tc>
          <w:tcPr>
            <w:tcW w:w="611"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数量指标</w:t>
            </w:r>
          </w:p>
        </w:tc>
        <w:tc>
          <w:tcPr>
            <w:tcW w:w="1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联络金口河籍或在金口河生活工作过的在外成功人士</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≥20人</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63</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26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11"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质量指标</w:t>
            </w:r>
          </w:p>
        </w:tc>
        <w:tc>
          <w:tcPr>
            <w:tcW w:w="1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6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11"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时效指标</w:t>
            </w:r>
          </w:p>
        </w:tc>
        <w:tc>
          <w:tcPr>
            <w:tcW w:w="1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6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11"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成本指标</w:t>
            </w:r>
          </w:p>
        </w:tc>
        <w:tc>
          <w:tcPr>
            <w:tcW w:w="1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6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效益指标</w:t>
            </w:r>
          </w:p>
        </w:tc>
        <w:tc>
          <w:tcPr>
            <w:tcW w:w="611"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经济效益指标</w:t>
            </w:r>
          </w:p>
        </w:tc>
        <w:tc>
          <w:tcPr>
            <w:tcW w:w="1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6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11"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社会效益指标</w:t>
            </w:r>
          </w:p>
        </w:tc>
        <w:tc>
          <w:tcPr>
            <w:tcW w:w="17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引导在外成功人士关注金口河，为金口河经济建设、社会发展持续</w:t>
            </w:r>
            <w:r>
              <w:rPr>
                <w:rFonts w:hint="eastAsia" w:ascii="宋体" w:hAnsi="宋体" w:cs="宋体"/>
                <w:i w:val="0"/>
                <w:iCs w:val="0"/>
                <w:color w:val="333333"/>
                <w:kern w:val="0"/>
                <w:sz w:val="18"/>
                <w:szCs w:val="18"/>
                <w:u w:val="none"/>
                <w:lang w:val="en-US" w:eastAsia="zh-CN" w:bidi="ar"/>
              </w:rPr>
              <w:t>做</w:t>
            </w:r>
            <w:r>
              <w:rPr>
                <w:rFonts w:hint="eastAsia" w:ascii="宋体" w:hAnsi="宋体" w:eastAsia="宋体" w:cs="宋体"/>
                <w:i w:val="0"/>
                <w:iCs w:val="0"/>
                <w:color w:val="333333"/>
                <w:kern w:val="0"/>
                <w:sz w:val="18"/>
                <w:szCs w:val="18"/>
                <w:u w:val="none"/>
                <w:lang w:val="en-US" w:eastAsia="zh-CN" w:bidi="ar"/>
              </w:rPr>
              <w:t>贡献。</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定性</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11"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生态效益指标</w:t>
            </w:r>
          </w:p>
        </w:tc>
        <w:tc>
          <w:tcPr>
            <w:tcW w:w="1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265" w:type="pc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333333"/>
                <w:sz w:val="18"/>
                <w:szCs w:val="18"/>
                <w:u w:val="none"/>
              </w:rPr>
            </w:pPr>
          </w:p>
        </w:tc>
        <w:tc>
          <w:tcPr>
            <w:tcW w:w="611"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可持续影响指标</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找出最大公约数，画出最大同心圆，凝聚最强正能量</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定性</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优</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611" w:type="pct"/>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满意度指标</w:t>
            </w:r>
          </w:p>
        </w:tc>
        <w:tc>
          <w:tcPr>
            <w:tcW w:w="17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提升服务对象满意度</w:t>
            </w:r>
          </w:p>
        </w:tc>
        <w:tc>
          <w:tcPr>
            <w:tcW w:w="51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47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333333"/>
                <w:sz w:val="18"/>
                <w:szCs w:val="18"/>
                <w:u w:val="none"/>
              </w:rPr>
            </w:pPr>
            <w:r>
              <w:rPr>
                <w:rFonts w:hint="eastAsia" w:ascii="宋体" w:hAnsi="宋体" w:eastAsia="宋体" w:cs="宋体"/>
                <w:i w:val="0"/>
                <w:iCs w:val="0"/>
                <w:color w:val="333333"/>
                <w:kern w:val="0"/>
                <w:sz w:val="18"/>
                <w:szCs w:val="18"/>
                <w:u w:val="none"/>
                <w:lang w:val="en-US" w:eastAsia="zh-CN" w:bidi="ar"/>
              </w:rPr>
              <w:t>100%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5"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5000" w:type="pct"/>
            <w:gridSpan w:val="8"/>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说明：1.预算执行率得分=全年执行数/全年预算数*10分；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2.“产出指标、效益指标、满意度指标”一共90分，对应的是一体化系统中单位编制的项目绩效目标。</w:t>
            </w:r>
          </w:p>
        </w:tc>
      </w:tr>
    </w:tbl>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color w:val="auto"/>
          <w:sz w:val="32"/>
          <w:szCs w:val="32"/>
          <w:highlight w:val="none"/>
          <w:lang w:val="en-US" w:eastAsia="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pStyle w:val="15"/>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p>
      <w:pPr>
        <w:pStyle w:val="2"/>
        <w:rPr>
          <w:rFonts w:hint="eastAsia" w:hAnsi="宋体" w:cs="宋体"/>
          <w:color w:val="auto"/>
          <w:kern w:val="0"/>
          <w:sz w:val="32"/>
          <w:szCs w:val="32"/>
          <w:highlight w:val="none"/>
          <w:shd w:val="clear" w:color="auto" w:fill="FFFFFF"/>
          <w:lang w:val="zh-CN"/>
        </w:rPr>
      </w:pPr>
    </w:p>
    <w:bookmarkEnd w:id="44"/>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仿宋_GB2312" w:eastAsia="仿宋_GB2312" w:cs="仿宋_GB2312"/>
          <w:sz w:val="31"/>
          <w:szCs w:val="31"/>
        </w:rPr>
        <w:t>附件</w:t>
      </w:r>
      <w:r>
        <w:rPr>
          <w:rFonts w:hint="eastAsia" w:ascii="仿宋_GB2312" w:eastAsia="仿宋_GB2312" w:cs="仿宋_GB2312"/>
          <w:sz w:val="31"/>
          <w:szCs w:val="31"/>
        </w:rPr>
        <w:t>2</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ascii="方正小标宋简体" w:hAnsi="方正小标宋简体" w:eastAsia="方正小标宋简体" w:cs="方正小标宋简体"/>
          <w:sz w:val="40"/>
          <w:szCs w:val="40"/>
        </w:rPr>
        <w:t>202</w:t>
      </w:r>
      <w:r>
        <w:rPr>
          <w:rFonts w:hint="eastAsia" w:ascii="方正小标宋简体" w:hAnsi="方正小标宋简体" w:eastAsia="方正小标宋简体" w:cs="方正小标宋简体"/>
          <w:sz w:val="40"/>
          <w:szCs w:val="40"/>
        </w:rPr>
        <w:t>2年统战特需经费项目支出绩效自评报告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center"/>
      </w:pPr>
      <w:r>
        <w:rPr>
          <w:rFonts w:hint="eastAsia" w:ascii="宋体" w:hAnsi="宋体" w:eastAsia="宋体" w:cs="宋体"/>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ascii="黑体" w:hAnsi="宋体" w:eastAsia="黑体" w:cs="黑体"/>
          <w:sz w:val="31"/>
          <w:szCs w:val="31"/>
        </w:rPr>
        <w:t>一、</w:t>
      </w:r>
      <w:r>
        <w:rPr>
          <w:rFonts w:hint="eastAsia" w:ascii="黑体" w:hAnsi="宋体" w:eastAsia="黑体" w:cs="黑体"/>
          <w:sz w:val="31"/>
          <w:szCs w:val="31"/>
        </w:rPr>
        <w:t>项目概况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ascii="楷体_GB2312" w:eastAsia="楷体_GB2312" w:cs="楷体_GB2312"/>
          <w:sz w:val="31"/>
          <w:szCs w:val="31"/>
        </w:rPr>
        <w:t>（一）项目基本情况。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1．中共乐山市金口河区委统战部在该项目管理中的职能：开展培训，通过培养选拔和政治安排，引导广大统战成员积极建言献策，并投身全区的经济建设、社会发展。</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2．项目立项、资金申报的依据。统战特需经费系金口河区委统战部履行职责所必需的经费，报经区委、区政府同意后纳入预算。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3．资金管理办法制定情况，资金支持具体项目的条件、范围与支持方式概况。按照《乐山市金口河区委统战部财务管理内控办法》，规范管理该资金。</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4．资金分配的原则及考虑因素。紧贴统战特需工作，保障统一战线工作的顺利推进。</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（二）项目绩效目标。</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1．项目主要内容。搞好党外代表人士、非公经济代表人士、新的社会阶层人士、民族宗教界代表人士的培训、培养、选拔和政治安排。引导广大统战成员积极建言献策，并投身全区的经济建设、社会发展。</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rPr>
        <w:t>2．项目应实现的具体绩效目标，包括目标的量化、细化情况以及项目实施进度计划等。完善了全区党外代表人士数据库，动态调整县级层面党外代表人士名单，积极推荐8名党外干部任市政协委员；推荐3名党外干部参加省、市相关培训，提升其综合素质，增强履职能力；积极推动商会建设，成立我区首个行业商会，选举产生新一届理事9名，商会会长1名，副会长4名，秘书长1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3．申报内容与实际相符，申报目标合理可行。</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（三）项目自评步骤及方法。</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仿宋_GB2312" w:eastAsia="仿宋_GB2312" w:cs="仿宋_GB2312"/>
          <w:sz w:val="31"/>
          <w:szCs w:val="31"/>
        </w:rPr>
        <w:t>成立自评小组，安排专人，在确定的自评时间内，采用询问、翻阅凭证、查看资料、实地查看等方式，从收入、使用、支付和成效等环节入手开展全面自评，查找评价分析存在的问题，形成评价报告。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黑体" w:hAnsi="宋体" w:eastAsia="黑体" w:cs="黑体"/>
          <w:sz w:val="31"/>
          <w:szCs w:val="31"/>
        </w:rPr>
        <w:t>二、项目资金申报及使用情况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（一）项目资金申报及批复情况。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统战特需工作经费纳入财政预算，我单位按照申请事项和具体工作开展确定，根据使用进度向财政申请相应资金及时支付。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楷体_GB2312" w:eastAsia="楷体_GB2312" w:cs="楷体_GB2312"/>
          <w:sz w:val="31"/>
          <w:szCs w:val="31"/>
        </w:rPr>
        <w:t>（二）资金计划、到位及使用情况（可用表格形式反映）。</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楷体_GB2312" w:eastAsia="楷体_GB2312" w:cs="楷体_GB2312"/>
          <w:sz w:val="31"/>
          <w:szCs w:val="31"/>
        </w:rPr>
        <w:t>1．资金计划。</w:t>
      </w:r>
      <w:r>
        <w:rPr>
          <w:rFonts w:hint="eastAsia" w:ascii="仿宋_GB2312" w:eastAsia="仿宋_GB2312" w:cs="仿宋_GB2312"/>
          <w:sz w:val="31"/>
          <w:szCs w:val="31"/>
        </w:rPr>
        <w:t>统战特需经费是本级财政资金。</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楷体_GB2312" w:eastAsia="楷体_GB2312" w:cs="楷体_GB2312"/>
          <w:sz w:val="31"/>
          <w:szCs w:val="31"/>
        </w:rPr>
        <w:t>2．资金到位。</w:t>
      </w:r>
      <w:r>
        <w:rPr>
          <w:rFonts w:hint="eastAsia" w:ascii="仿宋_GB2312" w:eastAsia="仿宋_GB2312" w:cs="仿宋_GB2312"/>
          <w:sz w:val="31"/>
          <w:szCs w:val="31"/>
        </w:rPr>
        <w:t>2022年到位统战特需经费5万元。到位率为100%。以前年度的结转结余资金0.01万元，本级财政调整预算到本年度继续使用。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楷体_GB2312" w:eastAsia="楷体_GB2312" w:cs="楷体_GB2312"/>
          <w:sz w:val="31"/>
          <w:szCs w:val="31"/>
        </w:rPr>
        <w:t>3．资金使用。</w:t>
      </w:r>
      <w:r>
        <w:rPr>
          <w:rFonts w:hint="eastAsia" w:ascii="仿宋_GB2312" w:eastAsia="仿宋_GB2312" w:cs="仿宋_GB2312"/>
          <w:sz w:val="31"/>
          <w:szCs w:val="31"/>
        </w:rPr>
        <w:t>2022年，乐山市金口河区委统战部执行统战特需经费5.01万元，执行率为99.80%。结转0.01万元到下年使用。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楷体_GB2312" w:eastAsia="楷体_GB2312" w:cs="楷体_GB2312"/>
          <w:sz w:val="31"/>
          <w:szCs w:val="31"/>
        </w:rPr>
        <w:t>4．</w:t>
      </w:r>
      <w:r>
        <w:rPr>
          <w:rStyle w:val="18"/>
          <w:rFonts w:hint="eastAsia" w:ascii="楷体_GB2312" w:eastAsia="楷体_GB2312" w:cs="楷体_GB2312"/>
          <w:sz w:val="31"/>
          <w:szCs w:val="31"/>
        </w:rPr>
        <w:t>（三）项目财务管理情况。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按照《乐山市金口河区委统战部财务管理内控办法》，通过挂项目辅助进行核算，严格执行财务管理制度，按照规范的支付程序支付结算。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黑体" w:hAnsi="宋体" w:eastAsia="黑体" w:cs="黑体"/>
          <w:sz w:val="31"/>
          <w:szCs w:val="31"/>
        </w:rPr>
        <w:t>三、项目实施及管理情况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紧贴统战实战，按照《乐山市金口河区委统战部财务管理内控办法》，严格执行财务管理制度，根据实际需要，保障统战特需工作相关支出，搞好党外代表人士、非经济代表人士、新的社会阶层人士、民族宗教代表人士的培训、培养选拔和政治安排等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（一）项目组织架构及实施流程。</w:t>
      </w:r>
      <w:r>
        <w:rPr>
          <w:rFonts w:hint="eastAsia" w:ascii="仿宋_GB2312" w:eastAsia="仿宋_GB2312" w:cs="仿宋_GB2312"/>
          <w:sz w:val="31"/>
          <w:szCs w:val="31"/>
        </w:rPr>
        <w:t>统战特需经费是本级财政经费，纳入财政预算。我部按照财政要求程序申报，本级财政及时下达至我部，我部根据实战实际需要和进度向财政申请相应资金并及时支付。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（二）项目管理情况。</w:t>
      </w:r>
      <w:r>
        <w:rPr>
          <w:rFonts w:hint="eastAsia" w:ascii="仿宋_GB2312" w:eastAsia="仿宋_GB2312" w:cs="仿宋_GB2312"/>
          <w:sz w:val="31"/>
          <w:szCs w:val="31"/>
        </w:rPr>
        <w:t>紧贴统战实战，按照《乐山市金口河区委统战部财务管理内控办法》，严格执行财务管理制度，根据实际需要，保障统战特需工作相关支出，搞好党外代表人士、非经济代表人士、新的社会阶层人士、民族宗教代表人士的培训、培养选拔和政治安排等工作。</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（三）项目监管情况。</w:t>
      </w:r>
      <w:r>
        <w:rPr>
          <w:rFonts w:hint="eastAsia" w:ascii="仿宋_GB2312" w:eastAsia="仿宋_GB2312" w:cs="仿宋_GB2312"/>
          <w:sz w:val="31"/>
          <w:szCs w:val="31"/>
        </w:rPr>
        <w:t>按照《乐山市金口河区委统战部财务管理内控办法》，有效实施了项目管理所采取的监管手段、监管程序、监管工作，确保了相关工作依规依程序顺利推进。</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黑体" w:hAnsi="宋体" w:eastAsia="黑体" w:cs="黑体"/>
          <w:sz w:val="31"/>
          <w:szCs w:val="31"/>
        </w:rPr>
        <w:t>四、项目绩效情况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（一）项目完成情况。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召开会议5次，组织培训5次，提出</w:t>
      </w:r>
      <w:r>
        <w:rPr>
          <w:rFonts w:hint="eastAsia" w:ascii="仿宋_GB2312" w:eastAsia="仿宋_GB2312" w:cs="仿宋_GB2312"/>
          <w:sz w:val="31"/>
          <w:szCs w:val="31"/>
          <w:lang w:eastAsia="zh-CN"/>
        </w:rPr>
        <w:t>建议，</w:t>
      </w:r>
      <w:r>
        <w:rPr>
          <w:rFonts w:hint="eastAsia" w:ascii="仿宋_GB2312" w:eastAsia="仿宋_GB2312" w:cs="仿宋_GB2312"/>
          <w:sz w:val="31"/>
          <w:szCs w:val="31"/>
        </w:rPr>
        <w:t>献策7条，引导广大统战成员积极参与经济建设和社会发展，促进了地方经济发展，提高了广泛积极性，统一了战线工作者整体素质提高，实现了民族和睦，确保了宗教和顺，提升了实效，提高了工作水平，满意度达100%。策7条，引导广大统战成员积极参与经济建设和社会发展，促进了地方经济发展，提高了广泛积极性，统一了战线工作者整体素质提高，实现了民族和睦，确保了宗教和顺，提升了实效，提高了工作水平，满意度达100%。</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（二）项目效益情况。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我们引导广大统战成员积极提出建议和意见，并投身到经济建设和社会发展中，促进了地方经济的发展。</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黑体" w:hAnsi="宋体" w:eastAsia="黑体" w:cs="黑体"/>
          <w:sz w:val="31"/>
          <w:szCs w:val="31"/>
        </w:rPr>
        <w:t>五、评价结论及建议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（一）评价结论。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经自查，统战特需经费预算合理，资金管理较好，资金使用总体规范，整体工作发展态势良好，达到预期目标。</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（二）存在的问题。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rPr>
        <w:t>无。</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（三）相关建议。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firstLine="645"/>
      </w:pPr>
      <w:r>
        <w:rPr>
          <w:rFonts w:hint="eastAsia" w:ascii="仿宋_GB2312" w:eastAsia="仿宋_GB2312" w:cs="仿宋_GB2312"/>
          <w:sz w:val="31"/>
          <w:szCs w:val="31"/>
        </w:rPr>
        <w:t>无。</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pPr>
      <w:r>
        <w:rPr>
          <w:rFonts w:hint="eastAsia" w:ascii="仿宋_GB2312" w:eastAsia="仿宋_GB2312" w:cs="仿宋_GB2312"/>
          <w:sz w:val="30"/>
          <w:szCs w:val="30"/>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pPr>
      <w:r>
        <w:rPr>
          <w:rFonts w:hint="eastAsia" w:ascii="方正小标宋简体" w:hAnsi="方正小标宋简体" w:eastAsia="方正小标宋简体" w:cs="方正小标宋简体"/>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pPr>
      <w:r>
        <w:rPr>
          <w:rFonts w:hint="eastAsia" w:ascii="方正小标宋简体" w:hAnsi="方正小标宋简体" w:eastAsia="方正小标宋简体" w:cs="方正小标宋简体"/>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jc w:val="center"/>
      </w:pPr>
      <w:r>
        <w:rPr>
          <w:rFonts w:hint="eastAsia" w:ascii="方正小标宋简体" w:hAnsi="方正小标宋简体" w:eastAsia="方正小标宋简体" w:cs="方正小标宋简体"/>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方正小标宋简体" w:hAnsi="方正小标宋简体" w:eastAsia="方正小标宋简体" w:cs="方正小标宋简体"/>
          <w:sz w:val="40"/>
          <w:szCs w:val="40"/>
        </w:rPr>
        <w:t>2022年</w:t>
      </w:r>
      <w:r>
        <w:rPr>
          <w:rFonts w:hint="eastAsia" w:ascii="方正小标宋简体" w:hAnsi="方正小标宋简体" w:eastAsia="方正小标宋简体" w:cs="方正小标宋简体"/>
          <w:sz w:val="43"/>
          <w:szCs w:val="43"/>
        </w:rPr>
        <w:t>在外成功人士联络经费</w:t>
      </w:r>
      <w:r>
        <w:rPr>
          <w:rFonts w:hint="eastAsia" w:ascii="方正小标宋简体" w:hAnsi="方正小标宋简体" w:eastAsia="方正小标宋简体" w:cs="方正小标宋简体"/>
          <w:sz w:val="40"/>
          <w:szCs w:val="40"/>
        </w:rPr>
        <w:t>项目支出绩效自评报告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center"/>
      </w:pPr>
      <w:r>
        <w:rPr>
          <w:rFonts w:hint="eastAsia" w:ascii="宋体" w:hAnsi="宋体" w:eastAsia="宋体" w:cs="宋体"/>
          <w:sz w:val="31"/>
          <w:szCs w:val="31"/>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黑体" w:hAnsi="宋体" w:eastAsia="黑体" w:cs="黑体"/>
          <w:sz w:val="31"/>
          <w:szCs w:val="31"/>
        </w:rPr>
        <w:t>一、项目概况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（一）项目基本情况。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仿宋_GB2312" w:eastAsia="仿宋_GB2312" w:cs="仿宋_GB2312"/>
          <w:sz w:val="31"/>
          <w:szCs w:val="31"/>
        </w:rPr>
        <w:t>1．中共乐山市金口河区委统战部在该项目管理中的职能：</w:t>
      </w:r>
      <w:r>
        <w:rPr>
          <w:rFonts w:ascii="仿宋" w:hAnsi="仿宋" w:eastAsia="仿宋" w:cs="仿宋"/>
          <w:sz w:val="31"/>
          <w:szCs w:val="31"/>
        </w:rPr>
        <w:t>联络金口河籍或在金口河工作生活过的在外成功人士，为金口河的经济发展作出贡献。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2．项目立项、资金申报的依据。统战特需经费系金口河区委统战部履行职责所必需的经费，报经区委、区政府同意后纳入预算。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3．资金管理办法制定情况，资金支持具体项目的条件、范围与支持方式概况。按照《乐山市金口河区委统战部财务管理内控办法》，规范管理该资金。</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仿宋_GB2312" w:eastAsia="仿宋_GB2312" w:cs="仿宋_GB2312"/>
          <w:sz w:val="31"/>
          <w:szCs w:val="31"/>
        </w:rPr>
        <w:t>4．资金分配的原则及考虑因素。</w:t>
      </w:r>
      <w:r>
        <w:rPr>
          <w:rFonts w:hint="eastAsia" w:ascii="仿宋" w:hAnsi="仿宋" w:eastAsia="仿宋" w:cs="仿宋"/>
          <w:sz w:val="31"/>
          <w:szCs w:val="31"/>
        </w:rPr>
        <w:t>紧贴相关工作，发挥统战优势。</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（二）项目绩效目标。</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1．项目主要内容。</w:t>
      </w:r>
      <w:r>
        <w:rPr>
          <w:rFonts w:hint="eastAsia" w:ascii="仿宋" w:hAnsi="仿宋" w:eastAsia="仿宋" w:cs="仿宋"/>
          <w:sz w:val="31"/>
          <w:szCs w:val="31"/>
        </w:rPr>
        <w:t>联络金口河籍或在金口河工作生活过的在外成功人士，为金口河的经济发展作出贡献。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_GB2312" w:eastAsia="仿宋_GB2312" w:cs="仿宋_GB2312"/>
          <w:sz w:val="31"/>
          <w:szCs w:val="31"/>
        </w:rPr>
        <w:t>2．项目应实现的具体绩效目标。</w:t>
      </w:r>
      <w:r>
        <w:rPr>
          <w:rFonts w:hint="eastAsia" w:ascii="仿宋" w:hAnsi="仿宋" w:eastAsia="仿宋" w:cs="仿宋"/>
          <w:sz w:val="31"/>
          <w:szCs w:val="31"/>
        </w:rPr>
        <w:t>广泛宣传协调，积极开展捐助活动，正确引导，把握好方向，促进非公经济，推动“两个健康”，支持民营经济健康发展，发挥各阶层人士作用。建立乡贤会，联络金口河籍或在金口河生活工作过的在外成功人士，为金口河经济建设和社会发展持续作出贡献，满意度达到100%。</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3．申报内容与实际相符，申报目标合理可行。</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（三）项目自评步骤及方法。</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仿宋_GB2312" w:eastAsia="仿宋_GB2312" w:cs="仿宋_GB2312"/>
          <w:sz w:val="31"/>
          <w:szCs w:val="31"/>
        </w:rPr>
        <w:t>成立自评小组，安排专人，在确定的自评时间内，采用询问、翻阅凭证、查看资料、实地查看等方式，从收入、使用、支付和成效等环节入手开展全面自评，查找评价分析存在的问题，形成评价报告。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黑体" w:hAnsi="宋体" w:eastAsia="黑体" w:cs="黑体"/>
          <w:sz w:val="31"/>
          <w:szCs w:val="31"/>
        </w:rPr>
        <w:t>二、项目资金申报及使用情况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（一）项目资金申报及批复情况。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在外成功人士联络经费纳入财政预算，我单位按照申请事项和具体工作开展确定，根据使用进度向财政申请相应资金及时支付。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楷体_GB2312" w:eastAsia="楷体_GB2312" w:cs="楷体_GB2312"/>
          <w:sz w:val="31"/>
          <w:szCs w:val="31"/>
        </w:rPr>
        <w:t>（二）资金计划、到位及使用情况。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楷体_GB2312" w:eastAsia="楷体_GB2312" w:cs="楷体_GB2312"/>
          <w:sz w:val="31"/>
          <w:szCs w:val="31"/>
        </w:rPr>
        <w:t>1.资金计划。</w:t>
      </w:r>
      <w:r>
        <w:rPr>
          <w:rFonts w:hint="eastAsia" w:ascii="仿宋_GB2312" w:eastAsia="仿宋_GB2312" w:cs="仿宋_GB2312"/>
          <w:sz w:val="31"/>
          <w:szCs w:val="31"/>
        </w:rPr>
        <w:t>在外成功人士联络经费是本级财政资金。</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楷体_GB2312" w:eastAsia="楷体_GB2312" w:cs="楷体_GB2312"/>
          <w:sz w:val="31"/>
          <w:szCs w:val="31"/>
        </w:rPr>
        <w:t>2.资金到位。</w:t>
      </w:r>
      <w:r>
        <w:rPr>
          <w:rFonts w:hint="eastAsia" w:ascii="仿宋_GB2312" w:eastAsia="仿宋_GB2312" w:cs="仿宋_GB2312"/>
          <w:sz w:val="31"/>
          <w:szCs w:val="31"/>
        </w:rPr>
        <w:t>2022年到位在外成功人士联络经费4万元。到位率为100%。</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楷体_GB2312" w:eastAsia="楷体_GB2312" w:cs="楷体_GB2312"/>
          <w:sz w:val="31"/>
          <w:szCs w:val="31"/>
        </w:rPr>
        <w:t>3.资金使用。</w:t>
      </w:r>
      <w:r>
        <w:rPr>
          <w:rFonts w:hint="eastAsia" w:ascii="仿宋_GB2312" w:eastAsia="仿宋_GB2312" w:cs="仿宋_GB2312"/>
          <w:sz w:val="31"/>
          <w:szCs w:val="31"/>
        </w:rPr>
        <w:t>2022年，乐山市金口河区委统战部执行在外成功人士联络经费4万元，执行率为100%。</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Style w:val="18"/>
          <w:rFonts w:hint="eastAsia" w:ascii="楷体_GB2312" w:eastAsia="楷体_GB2312" w:cs="楷体_GB2312"/>
          <w:sz w:val="31"/>
          <w:szCs w:val="31"/>
        </w:rPr>
        <w:t>（三）项目财务管理情况。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按照《乐山市金口河区委统战部财务管理内控办法》，通过挂项目辅助进行核算，严格执行财务管理制度，按照规范的支付程序支付结算。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黑体" w:hAnsi="宋体" w:eastAsia="黑体" w:cs="黑体"/>
          <w:sz w:val="31"/>
          <w:szCs w:val="31"/>
        </w:rPr>
        <w:t>三、项目实施及管理情况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 w:hAnsi="仿宋" w:eastAsia="仿宋" w:cs="仿宋"/>
          <w:sz w:val="31"/>
          <w:szCs w:val="31"/>
        </w:rPr>
        <w:t>紧贴全区统一战线实际，按照《中共乐山市金口河区委统战部财务管理内控办法》，严格执行财务管理制度，根据实际需要，引导发挥和各阶层人士投入到了统战工作中相关支出，达到预期目标。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黑体" w:hAnsi="宋体" w:eastAsia="黑体" w:cs="黑体"/>
          <w:sz w:val="31"/>
          <w:szCs w:val="31"/>
        </w:rPr>
        <w:t>四、项目绩效情况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（一）项目完成情况。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联络金口河籍或在金口河生活工作过的乡贤会员51名，名誉会员12名。发挥了统战优势，把握好了工作方向，有效促进了非公经济，推动了“两个健康”，支持引导了民营经济的健康发展，引导社会和各阶层人士投入到了统战工作中，满意度达100%。</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（二）项目效益情况。</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 w:hAnsi="仿宋" w:eastAsia="仿宋" w:cs="仿宋"/>
          <w:sz w:val="31"/>
          <w:szCs w:val="31"/>
        </w:rPr>
        <w:t>有效促进了非公经济，推动了“两个健康”，支持引导了民营经济的健康发展，引导社会和各阶层人士投入到了统战工作中。</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黑体" w:hAnsi="宋体" w:eastAsia="黑体" w:cs="黑体"/>
          <w:sz w:val="31"/>
          <w:szCs w:val="31"/>
        </w:rPr>
        <w:t>五、评价结论及建议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（一）评价结论。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Fonts w:hint="eastAsia" w:ascii="仿宋_GB2312" w:eastAsia="仿宋_GB2312" w:cs="仿宋_GB2312"/>
          <w:sz w:val="31"/>
          <w:szCs w:val="31"/>
        </w:rPr>
        <w:t>经自查，在外成功人士联络经费预算合理，资金管理较好，资金使用总体规范，整体工作发展态势良好，达到预期目标。</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720"/>
      </w:pPr>
      <w:r>
        <w:rPr>
          <w:rStyle w:val="18"/>
          <w:rFonts w:hint="eastAsia" w:ascii="楷体_GB2312" w:eastAsia="楷体_GB2312" w:cs="楷体_GB2312"/>
          <w:sz w:val="31"/>
          <w:szCs w:val="31"/>
        </w:rPr>
        <w:t>（二）存在的问题。</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pPr>
      <w:r>
        <w:rPr>
          <w:rFonts w:hint="eastAsia" w:ascii="仿宋" w:hAnsi="仿宋" w:eastAsia="仿宋" w:cs="仿宋"/>
          <w:sz w:val="31"/>
          <w:szCs w:val="31"/>
        </w:rPr>
        <w:t>方法简单，有待进一步细化措施。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楷体_GB2312" w:eastAsia="楷体_GB2312" w:cs="楷体_GB2312"/>
          <w:sz w:val="31"/>
          <w:szCs w:val="31"/>
        </w:rPr>
        <w:t>（二）</w:t>
      </w:r>
      <w:r>
        <w:rPr>
          <w:rStyle w:val="18"/>
          <w:rFonts w:hint="eastAsia" w:ascii="楷体_GB2312" w:eastAsia="楷体_GB2312" w:cs="楷体_GB2312"/>
          <w:sz w:val="31"/>
          <w:szCs w:val="31"/>
        </w:rPr>
        <w:t>相关建议。</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eastAsia="仿宋_GB2312" w:cs="仿宋_GB2312"/>
          <w:sz w:val="30"/>
          <w:szCs w:val="30"/>
        </w:rPr>
        <w:t>  无。</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r>
        <w:rPr>
          <w:rFonts w:hint="eastAsia" w:ascii="黑体" w:hAnsi="宋体" w:eastAsia="黑体" w:cs="黑体"/>
          <w:sz w:val="43"/>
          <w:szCs w:val="43"/>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sz w:val="43"/>
          <w:szCs w:val="43"/>
        </w:rPr>
        <w:t>第五部分 附表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9"/>
          <w:szCs w:val="39"/>
        </w:rPr>
      </w:pPr>
      <w:r>
        <w:rPr>
          <w:rFonts w:hint="eastAsia" w:ascii="仿宋" w:hAnsi="仿宋" w:eastAsia="仿宋" w:cs="仿宋"/>
          <w:b/>
          <w:bCs/>
          <w:sz w:val="31"/>
          <w:szCs w:val="31"/>
        </w:rPr>
        <w:t>一、收</w:t>
      </w:r>
      <w:r>
        <w:rPr>
          <w:rFonts w:hint="eastAsia" w:ascii="仿宋" w:hAnsi="仿宋" w:eastAsia="仿宋" w:cs="仿宋"/>
          <w:b w:val="0"/>
          <w:bCs w:val="0"/>
          <w:sz w:val="31"/>
          <w:szCs w:val="31"/>
        </w:rPr>
        <w:t>入支出决算总表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9"/>
          <w:szCs w:val="39"/>
        </w:rPr>
      </w:pPr>
      <w:r>
        <w:rPr>
          <w:rFonts w:hint="eastAsia" w:ascii="仿宋" w:hAnsi="仿宋" w:eastAsia="仿宋" w:cs="仿宋"/>
          <w:b/>
          <w:bCs/>
          <w:sz w:val="31"/>
          <w:szCs w:val="31"/>
        </w:rPr>
        <w:t>二、收</w:t>
      </w:r>
      <w:r>
        <w:rPr>
          <w:rFonts w:hint="eastAsia" w:ascii="仿宋" w:hAnsi="仿宋" w:eastAsia="仿宋" w:cs="仿宋"/>
          <w:b w:val="0"/>
          <w:bCs w:val="0"/>
          <w:sz w:val="31"/>
          <w:szCs w:val="31"/>
        </w:rPr>
        <w:t>入决算表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9"/>
          <w:szCs w:val="39"/>
        </w:rPr>
      </w:pPr>
      <w:r>
        <w:rPr>
          <w:rFonts w:hint="eastAsia" w:ascii="仿宋" w:hAnsi="仿宋" w:eastAsia="仿宋" w:cs="仿宋"/>
          <w:b w:val="0"/>
          <w:bCs w:val="0"/>
          <w:sz w:val="31"/>
          <w:szCs w:val="31"/>
        </w:rPr>
        <w:t>三、</w:t>
      </w:r>
      <w:r>
        <w:rPr>
          <w:rFonts w:hint="eastAsia" w:ascii="仿宋" w:hAnsi="仿宋" w:eastAsia="仿宋" w:cs="仿宋"/>
          <w:b/>
          <w:bCs/>
          <w:sz w:val="31"/>
          <w:szCs w:val="31"/>
        </w:rPr>
        <w:t>支</w:t>
      </w:r>
      <w:r>
        <w:rPr>
          <w:rFonts w:hint="eastAsia" w:ascii="仿宋" w:hAnsi="仿宋" w:eastAsia="仿宋" w:cs="仿宋"/>
          <w:b w:val="0"/>
          <w:bCs w:val="0"/>
          <w:sz w:val="31"/>
          <w:szCs w:val="31"/>
        </w:rPr>
        <w:t>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9"/>
          <w:szCs w:val="39"/>
        </w:rPr>
      </w:pPr>
      <w:r>
        <w:rPr>
          <w:rFonts w:hint="eastAsia" w:ascii="仿宋" w:hAnsi="仿宋" w:eastAsia="仿宋" w:cs="仿宋"/>
          <w:b w:val="0"/>
          <w:bCs w:val="0"/>
          <w:sz w:val="31"/>
          <w:szCs w:val="31"/>
        </w:rPr>
        <w:t>四、</w:t>
      </w:r>
      <w:r>
        <w:rPr>
          <w:rFonts w:hint="eastAsia" w:ascii="仿宋" w:hAnsi="仿宋" w:eastAsia="仿宋" w:cs="仿宋"/>
          <w:b/>
          <w:bCs/>
          <w:sz w:val="31"/>
          <w:szCs w:val="31"/>
        </w:rPr>
        <w:t>财</w:t>
      </w:r>
      <w:r>
        <w:rPr>
          <w:rFonts w:hint="eastAsia" w:ascii="仿宋" w:hAnsi="仿宋" w:eastAsia="仿宋" w:cs="仿宋"/>
          <w:b w:val="0"/>
          <w:bCs w:val="0"/>
          <w:sz w:val="31"/>
          <w:szCs w:val="31"/>
        </w:rPr>
        <w:t>政拨款收入支出决算总表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9"/>
          <w:szCs w:val="39"/>
        </w:rPr>
      </w:pPr>
      <w:r>
        <w:rPr>
          <w:rFonts w:hint="eastAsia" w:ascii="仿宋" w:hAnsi="仿宋" w:eastAsia="仿宋" w:cs="仿宋"/>
          <w:b w:val="0"/>
          <w:bCs w:val="0"/>
          <w:sz w:val="31"/>
          <w:szCs w:val="31"/>
        </w:rPr>
        <w:t>五、</w:t>
      </w:r>
      <w:r>
        <w:rPr>
          <w:rFonts w:hint="eastAsia" w:ascii="仿宋" w:hAnsi="仿宋" w:eastAsia="仿宋" w:cs="仿宋"/>
          <w:b/>
          <w:bCs/>
          <w:sz w:val="31"/>
          <w:szCs w:val="31"/>
        </w:rPr>
        <w:t>财</w:t>
      </w:r>
      <w:r>
        <w:rPr>
          <w:rFonts w:hint="eastAsia" w:ascii="仿宋" w:hAnsi="仿宋" w:eastAsia="仿宋" w:cs="仿宋"/>
          <w:b w:val="0"/>
          <w:bCs w:val="0"/>
          <w:sz w:val="31"/>
          <w:szCs w:val="31"/>
        </w:rPr>
        <w:t>政拨款支出决算明细表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9"/>
          <w:szCs w:val="39"/>
        </w:rPr>
      </w:pPr>
      <w:r>
        <w:rPr>
          <w:rFonts w:hint="eastAsia" w:ascii="仿宋" w:hAnsi="仿宋" w:eastAsia="仿宋" w:cs="仿宋"/>
          <w:b w:val="0"/>
          <w:bCs w:val="0"/>
          <w:sz w:val="31"/>
          <w:szCs w:val="31"/>
        </w:rPr>
        <w:t>六、</w:t>
      </w:r>
      <w:r>
        <w:rPr>
          <w:rFonts w:hint="eastAsia" w:ascii="仿宋" w:hAnsi="仿宋" w:eastAsia="仿宋" w:cs="仿宋"/>
          <w:b/>
          <w:bCs/>
          <w:sz w:val="31"/>
          <w:szCs w:val="31"/>
        </w:rPr>
        <w:t>一</w:t>
      </w:r>
      <w:r>
        <w:rPr>
          <w:rFonts w:hint="eastAsia" w:ascii="仿宋" w:hAnsi="仿宋" w:eastAsia="仿宋" w:cs="仿宋"/>
          <w:b w:val="0"/>
          <w:bCs w:val="0"/>
          <w:sz w:val="31"/>
          <w:szCs w:val="31"/>
        </w:rPr>
        <w:t>般公共预算财政拨款支出决算表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9"/>
          <w:szCs w:val="39"/>
        </w:rPr>
      </w:pPr>
      <w:r>
        <w:rPr>
          <w:rFonts w:hint="eastAsia" w:ascii="仿宋" w:hAnsi="仿宋" w:eastAsia="仿宋" w:cs="仿宋"/>
          <w:b w:val="0"/>
          <w:bCs w:val="0"/>
          <w:sz w:val="31"/>
          <w:szCs w:val="31"/>
        </w:rPr>
        <w:t>七、</w:t>
      </w:r>
      <w:r>
        <w:rPr>
          <w:rFonts w:hint="eastAsia" w:ascii="仿宋" w:hAnsi="仿宋" w:eastAsia="仿宋" w:cs="仿宋"/>
          <w:b/>
          <w:bCs/>
          <w:sz w:val="31"/>
          <w:szCs w:val="31"/>
        </w:rPr>
        <w:t>一</w:t>
      </w:r>
      <w:r>
        <w:rPr>
          <w:rFonts w:hint="eastAsia" w:ascii="仿宋" w:hAnsi="仿宋" w:eastAsia="仿宋" w:cs="仿宋"/>
          <w:b w:val="0"/>
          <w:bCs w:val="0"/>
          <w:sz w:val="31"/>
          <w:szCs w:val="31"/>
        </w:rPr>
        <w:t>般公共预算财政拨款支出决算明细表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9"/>
          <w:szCs w:val="39"/>
        </w:rPr>
      </w:pPr>
      <w:r>
        <w:rPr>
          <w:rFonts w:hint="eastAsia" w:ascii="仿宋" w:hAnsi="仿宋" w:eastAsia="仿宋" w:cs="仿宋"/>
          <w:b w:val="0"/>
          <w:bCs w:val="0"/>
          <w:sz w:val="31"/>
          <w:szCs w:val="31"/>
        </w:rPr>
        <w:t>八、</w:t>
      </w:r>
      <w:r>
        <w:rPr>
          <w:rFonts w:hint="eastAsia" w:ascii="仿宋" w:hAnsi="仿宋" w:eastAsia="仿宋" w:cs="仿宋"/>
          <w:b/>
          <w:bCs/>
          <w:sz w:val="31"/>
          <w:szCs w:val="31"/>
        </w:rPr>
        <w:t>一</w:t>
      </w:r>
      <w:r>
        <w:rPr>
          <w:rFonts w:hint="eastAsia" w:ascii="仿宋" w:hAnsi="仿宋" w:eastAsia="仿宋" w:cs="仿宋"/>
          <w:b w:val="0"/>
          <w:bCs w:val="0"/>
          <w:sz w:val="31"/>
          <w:szCs w:val="31"/>
        </w:rPr>
        <w:t>般公共预算财政拨款基本支出决算表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9"/>
          <w:szCs w:val="39"/>
        </w:rPr>
      </w:pPr>
      <w:r>
        <w:rPr>
          <w:rFonts w:hint="eastAsia" w:ascii="仿宋" w:hAnsi="仿宋" w:eastAsia="仿宋" w:cs="仿宋"/>
          <w:b w:val="0"/>
          <w:bCs w:val="0"/>
          <w:sz w:val="31"/>
          <w:szCs w:val="31"/>
        </w:rPr>
        <w:t>九、</w:t>
      </w:r>
      <w:r>
        <w:rPr>
          <w:rFonts w:hint="eastAsia" w:ascii="仿宋" w:hAnsi="仿宋" w:eastAsia="仿宋" w:cs="仿宋"/>
          <w:b/>
          <w:bCs/>
          <w:sz w:val="31"/>
          <w:szCs w:val="31"/>
        </w:rPr>
        <w:t>一</w:t>
      </w:r>
      <w:r>
        <w:rPr>
          <w:rFonts w:hint="eastAsia" w:ascii="仿宋" w:hAnsi="仿宋" w:eastAsia="仿宋" w:cs="仿宋"/>
          <w:b w:val="0"/>
          <w:bCs w:val="0"/>
          <w:sz w:val="31"/>
          <w:szCs w:val="31"/>
        </w:rPr>
        <w:t>般公共预算财政拨款项目支出决算表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9"/>
          <w:szCs w:val="39"/>
        </w:rPr>
      </w:pPr>
      <w:r>
        <w:rPr>
          <w:rFonts w:hint="eastAsia" w:ascii="仿宋" w:hAnsi="仿宋" w:eastAsia="仿宋" w:cs="仿宋"/>
          <w:b w:val="0"/>
          <w:bCs w:val="0"/>
          <w:sz w:val="31"/>
          <w:szCs w:val="31"/>
        </w:rPr>
        <w:t>十、</w:t>
      </w:r>
      <w:r>
        <w:rPr>
          <w:rFonts w:hint="eastAsia" w:ascii="仿宋" w:hAnsi="仿宋" w:eastAsia="仿宋" w:cs="仿宋"/>
          <w:b/>
          <w:bCs/>
          <w:sz w:val="31"/>
          <w:szCs w:val="31"/>
        </w:rPr>
        <w:t>政</w:t>
      </w:r>
      <w:r>
        <w:rPr>
          <w:rFonts w:hint="eastAsia" w:ascii="仿宋" w:hAnsi="仿宋" w:eastAsia="仿宋" w:cs="仿宋"/>
          <w:b w:val="0"/>
          <w:bCs w:val="0"/>
          <w:sz w:val="31"/>
          <w:szCs w:val="31"/>
        </w:rPr>
        <w:t>府性基金预算财政拨款收入支出决算表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9"/>
          <w:szCs w:val="39"/>
        </w:rPr>
      </w:pPr>
      <w:r>
        <w:rPr>
          <w:rFonts w:hint="eastAsia" w:ascii="仿宋" w:hAnsi="仿宋" w:eastAsia="仿宋" w:cs="仿宋"/>
          <w:b w:val="0"/>
          <w:bCs w:val="0"/>
          <w:sz w:val="31"/>
          <w:szCs w:val="31"/>
        </w:rPr>
        <w:t>十一、</w:t>
      </w:r>
      <w:r>
        <w:rPr>
          <w:rFonts w:hint="eastAsia" w:ascii="仿宋" w:hAnsi="仿宋" w:eastAsia="仿宋" w:cs="仿宋"/>
          <w:b/>
          <w:bCs/>
          <w:sz w:val="31"/>
          <w:szCs w:val="31"/>
        </w:rPr>
        <w:t>国</w:t>
      </w:r>
      <w:r>
        <w:rPr>
          <w:rFonts w:hint="eastAsia" w:ascii="仿宋" w:hAnsi="仿宋" w:eastAsia="仿宋" w:cs="仿宋"/>
          <w:b w:val="0"/>
          <w:bCs w:val="0"/>
          <w:sz w:val="31"/>
          <w:szCs w:val="31"/>
        </w:rPr>
        <w:t>有资本经营预算财政拨款收入支出决算表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39"/>
          <w:szCs w:val="39"/>
        </w:rPr>
      </w:pPr>
      <w:r>
        <w:rPr>
          <w:rFonts w:hint="eastAsia" w:ascii="仿宋" w:hAnsi="仿宋" w:eastAsia="仿宋" w:cs="仿宋"/>
          <w:b w:val="0"/>
          <w:bCs w:val="0"/>
          <w:sz w:val="31"/>
          <w:szCs w:val="31"/>
        </w:rPr>
        <w:t>十二、国有资本经营预算财政拨款支出决算表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仿宋"/>
          <w:color w:val="auto"/>
          <w:highlight w:val="none"/>
          <w:lang w:eastAsia="zh-CN"/>
        </w:rPr>
      </w:pPr>
      <w:r>
        <w:rPr>
          <w:rFonts w:hint="eastAsia" w:ascii="仿宋" w:hAnsi="仿宋" w:eastAsia="仿宋" w:cs="仿宋"/>
          <w:b w:val="0"/>
          <w:bCs w:val="0"/>
          <w:sz w:val="31"/>
          <w:szCs w:val="31"/>
        </w:rPr>
        <w:t>十三、财政拨款“三公”经费支出决算表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CD653C4"/>
    <w:multiLevelType w:val="singleLevel"/>
    <w:tmpl w:val="2CD653C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0OWExZDNiNzA1NzRlY2Y0MWZmOGIwNGI1NTk5OD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1DC2"/>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2714553"/>
    <w:rsid w:val="066E0107"/>
    <w:rsid w:val="07996F6E"/>
    <w:rsid w:val="0A2032A3"/>
    <w:rsid w:val="0E3C42C8"/>
    <w:rsid w:val="0F98263C"/>
    <w:rsid w:val="101860EC"/>
    <w:rsid w:val="10C055FF"/>
    <w:rsid w:val="10C66467"/>
    <w:rsid w:val="118107EC"/>
    <w:rsid w:val="13D50BC4"/>
    <w:rsid w:val="165D3C1E"/>
    <w:rsid w:val="16BB723D"/>
    <w:rsid w:val="1A1D4135"/>
    <w:rsid w:val="1A820F38"/>
    <w:rsid w:val="1BE8440E"/>
    <w:rsid w:val="1C827473"/>
    <w:rsid w:val="1D155CEE"/>
    <w:rsid w:val="1FF35744"/>
    <w:rsid w:val="212A46EB"/>
    <w:rsid w:val="226118D9"/>
    <w:rsid w:val="23860B96"/>
    <w:rsid w:val="240371BF"/>
    <w:rsid w:val="24512305"/>
    <w:rsid w:val="251D242F"/>
    <w:rsid w:val="29FD04D3"/>
    <w:rsid w:val="2AE24E66"/>
    <w:rsid w:val="2C8A61B5"/>
    <w:rsid w:val="2CF237CA"/>
    <w:rsid w:val="2DF04E50"/>
    <w:rsid w:val="2E541A78"/>
    <w:rsid w:val="2E6409B8"/>
    <w:rsid w:val="2F040D46"/>
    <w:rsid w:val="319F7F4E"/>
    <w:rsid w:val="32911E02"/>
    <w:rsid w:val="3304709D"/>
    <w:rsid w:val="36AA5135"/>
    <w:rsid w:val="36C52924"/>
    <w:rsid w:val="376D39B2"/>
    <w:rsid w:val="37E16F03"/>
    <w:rsid w:val="38D469F0"/>
    <w:rsid w:val="3C594E1D"/>
    <w:rsid w:val="3D98207C"/>
    <w:rsid w:val="3DD27E02"/>
    <w:rsid w:val="3E78745D"/>
    <w:rsid w:val="401D1615"/>
    <w:rsid w:val="41BD6D6D"/>
    <w:rsid w:val="43811983"/>
    <w:rsid w:val="43A70AF2"/>
    <w:rsid w:val="44E268DA"/>
    <w:rsid w:val="47352EF5"/>
    <w:rsid w:val="48AA548E"/>
    <w:rsid w:val="4A627F82"/>
    <w:rsid w:val="4B0E749A"/>
    <w:rsid w:val="4B2257F9"/>
    <w:rsid w:val="4B4F25DA"/>
    <w:rsid w:val="4BE068DB"/>
    <w:rsid w:val="4C710F14"/>
    <w:rsid w:val="4D577224"/>
    <w:rsid w:val="4DED1A19"/>
    <w:rsid w:val="4EAB630A"/>
    <w:rsid w:val="4ECE2238"/>
    <w:rsid w:val="51157F5A"/>
    <w:rsid w:val="53411BD9"/>
    <w:rsid w:val="537E6D0A"/>
    <w:rsid w:val="59623B62"/>
    <w:rsid w:val="59644A3A"/>
    <w:rsid w:val="59B63A4F"/>
    <w:rsid w:val="5AF92295"/>
    <w:rsid w:val="5CD71FC4"/>
    <w:rsid w:val="5D32060B"/>
    <w:rsid w:val="5DCF41F5"/>
    <w:rsid w:val="5E37443E"/>
    <w:rsid w:val="670047E9"/>
    <w:rsid w:val="68DF307B"/>
    <w:rsid w:val="6C4A05C8"/>
    <w:rsid w:val="6D541D96"/>
    <w:rsid w:val="6E7E3605"/>
    <w:rsid w:val="6FF5CC65"/>
    <w:rsid w:val="715C0E4B"/>
    <w:rsid w:val="72734D90"/>
    <w:rsid w:val="73AD73D5"/>
    <w:rsid w:val="73B6EB34"/>
    <w:rsid w:val="744731E5"/>
    <w:rsid w:val="76E3355F"/>
    <w:rsid w:val="778769C8"/>
    <w:rsid w:val="79B47DA9"/>
    <w:rsid w:val="79EE5BA4"/>
    <w:rsid w:val="7A894339"/>
    <w:rsid w:val="7BC93335"/>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6"/>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2"/>
    <w:semiHidden/>
    <w:unhideWhenUsed/>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Title"/>
    <w:basedOn w:val="1"/>
    <w:next w:val="1"/>
    <w:qFormat/>
    <w:uiPriority w:val="99"/>
    <w:pPr>
      <w:widowControl w:val="0"/>
      <w:spacing w:before="240" w:after="60"/>
      <w:jc w:val="center"/>
      <w:outlineLvl w:val="0"/>
    </w:pPr>
    <w:rPr>
      <w:rFonts w:ascii="Arial" w:hAnsi="Arial" w:eastAsia="宋体" w:cs="Arial"/>
      <w:bCs/>
      <w:kern w:val="2"/>
      <w:sz w:val="21"/>
      <w:szCs w:val="21"/>
      <w:lang w:val="en-US" w:eastAsia="zh-CN" w:bidi="ar-SA"/>
    </w:rPr>
  </w:style>
  <w:style w:type="paragraph" w:styleId="15">
    <w:name w:val="Body Text First Indent 2"/>
    <w:basedOn w:val="6"/>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0"/>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9"/>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2"/>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3"/>
    <w:qFormat/>
    <w:uiPriority w:val="9"/>
    <w:rPr>
      <w:rFonts w:ascii="Times New Roman" w:hAnsi="Times New Roman"/>
      <w:b/>
      <w:bCs/>
      <w:kern w:val="44"/>
      <w:sz w:val="44"/>
      <w:szCs w:val="44"/>
    </w:rPr>
  </w:style>
  <w:style w:type="character" w:customStyle="1" w:styleId="30">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1">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8"/>
    <w:semiHidden/>
    <w:qFormat/>
    <w:uiPriority w:val="99"/>
    <w:rPr>
      <w:rFonts w:ascii="Times New Roman" w:hAnsi="Times New Roman"/>
      <w:kern w:val="2"/>
      <w:sz w:val="18"/>
      <w:szCs w:val="18"/>
    </w:rPr>
  </w:style>
  <w:style w:type="character" w:customStyle="1" w:styleId="33">
    <w:name w:val="标题 3 Char"/>
    <w:basedOn w:val="17"/>
    <w:link w:val="5"/>
    <w:qFormat/>
    <w:uiPriority w:val="9"/>
    <w:rPr>
      <w:rFonts w:ascii="Times New Roman" w:hAnsi="Times New Roman"/>
      <w:b/>
      <w:bCs/>
      <w:kern w:val="2"/>
      <w:sz w:val="32"/>
      <w:szCs w:val="32"/>
    </w:rPr>
  </w:style>
  <w:style w:type="paragraph" w:customStyle="1" w:styleId="34">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年统战部收入支出变动情况表（单位：万元）</a:t>
            </a:r>
            <a:endParaRPr lang="en-US" altLang="zh-CN"/>
          </a:p>
        </c:rich>
      </c:tx>
      <c:layout/>
      <c:overlay val="0"/>
      <c:spPr>
        <a:noFill/>
        <a:ln>
          <a:noFill/>
        </a:ln>
        <a:effectLst/>
      </c:spPr>
    </c:title>
    <c:autoTitleDeleted val="0"/>
    <c:plotArea>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strRef>
              <c:f>Sheet1!$A$1:$A$2</c:f>
              <c:strCache>
                <c:ptCount val="2"/>
                <c:pt idx="0">
                  <c:v>2021年</c:v>
                </c:pt>
                <c:pt idx="1">
                  <c:v>2022年</c:v>
                </c:pt>
              </c:strCache>
            </c:strRef>
          </c:cat>
          <c:val>
            <c:numRef>
              <c:f>Sheet1!$B$1:$B$2</c:f>
              <c:numCache>
                <c:formatCode>General</c:formatCode>
                <c:ptCount val="2"/>
                <c:pt idx="0">
                  <c:v>202.46</c:v>
                </c:pt>
                <c:pt idx="1">
                  <c:v>228.31</c:v>
                </c:pt>
              </c:numCache>
            </c:numRef>
          </c:val>
        </c:ser>
        <c:dLbls>
          <c:showLegendKey val="0"/>
          <c:showVal val="0"/>
          <c:showCatName val="0"/>
          <c:showSerName val="0"/>
          <c:showPercent val="0"/>
          <c:showBubbleSize val="0"/>
        </c:dLbls>
        <c:gapWidth val="150"/>
        <c:overlap val="100"/>
        <c:axId val="974874702"/>
        <c:axId val="273115634"/>
      </c:barChart>
      <c:catAx>
        <c:axId val="9748747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3115634"/>
        <c:crosses val="autoZero"/>
        <c:auto val="1"/>
        <c:lblAlgn val="ctr"/>
        <c:lblOffset val="100"/>
        <c:noMultiLvlLbl val="0"/>
      </c:catAx>
      <c:valAx>
        <c:axId val="27311563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487470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年统战部收入决算情况表</a:t>
            </a:r>
            <a:endParaRPr lang="en-US" altLang="zh-CN"/>
          </a:p>
        </c:rich>
      </c:tx>
      <c:layout/>
      <c:overlay val="0"/>
      <c:spPr>
        <a:noFill/>
        <a:ln>
          <a:noFill/>
        </a:ln>
        <a:effectLst/>
      </c:spPr>
    </c:title>
    <c:autoTitleDeleted val="0"/>
    <c:plotArea>
      <c:layout>
        <c:manualLayout>
          <c:layoutTarget val="inner"/>
          <c:xMode val="edge"/>
          <c:yMode val="edge"/>
          <c:x val="0.2184375"/>
          <c:y val="0.132"/>
          <c:w val="0.570625"/>
          <c:h val="0.760833333333333"/>
        </c:manualLayout>
      </c:layout>
      <c:pieChart>
        <c:varyColors val="1"/>
        <c:ser>
          <c:idx val="0"/>
          <c:order val="0"/>
          <c:tx>
            <c:strRef>
              <c:f>Sheet1!$B$1</c:f>
              <c:strCache>
                <c:ptCount val="1"/>
                <c:pt idx="0">
                  <c:v>列2</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elete val="1"/>
          </c:dLbls>
          <c:cat>
            <c:strRef>
              <c:f>Sheet1!$A$2:$A$9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Sheet1!$B$2:$B$9</c:f>
              <c:numCache>
                <c:formatCode>General</c:formatCode>
                <c:ptCount val="8"/>
                <c:pt idx="0">
                  <c:v>223.29</c:v>
                </c:pt>
                <c:pt idx="1">
                  <c:v>0</c:v>
                </c:pt>
                <c:pt idx="2">
                  <c:v>0</c:v>
                </c:pt>
                <c:pt idx="3">
                  <c:v>0</c:v>
                </c:pt>
                <c:pt idx="4">
                  <c:v>0</c:v>
                </c:pt>
                <c:pt idx="5">
                  <c:v>0</c:v>
                </c:pt>
                <c:pt idx="6">
                  <c:v>0</c:v>
                </c:pt>
                <c:pt idx="7">
                  <c:v>0.01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年统战部支出决算情况表</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205.8</c:v>
                </c:pt>
                <c:pt idx="1">
                  <c:v>22.5</c:v>
                </c:pt>
                <c:pt idx="2">
                  <c:v>0</c:v>
                </c:pt>
                <c:pt idx="3">
                  <c:v>0</c:v>
                </c:pt>
                <c:pt idx="4">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13350785340314"/>
          <c:y val="0.039947031560362"/>
          <c:w val="0.927931937172775"/>
          <c:h val="0.868770690796734"/>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202.4</c:v>
                </c:pt>
                <c:pt idx="1">
                  <c:v>228.3</c:v>
                </c:pt>
              </c:numCache>
            </c:numRef>
          </c:val>
        </c:ser>
        <c:dLbls>
          <c:showLegendKey val="0"/>
          <c:showVal val="0"/>
          <c:showCatName val="0"/>
          <c:showSerName val="0"/>
          <c:showPercent val="0"/>
          <c:showBubbleSize val="0"/>
        </c:dLbls>
        <c:gapWidth val="150"/>
        <c:overlap val="0"/>
        <c:axId val="758025570"/>
        <c:axId val="181853420"/>
      </c:barChart>
      <c:catAx>
        <c:axId val="75802557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1853420"/>
        <c:crosses val="autoZero"/>
        <c:auto val="1"/>
        <c:lblAlgn val="ctr"/>
        <c:lblOffset val="100"/>
        <c:noMultiLvlLbl val="0"/>
      </c:catAx>
      <c:valAx>
        <c:axId val="1818534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802557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年统战部一般公共财政预算拨款支出决算情况表（单位：万元）</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Sheet1!$A$2:$A$3</c:f>
              <c:strCache>
                <c:ptCount val="2"/>
                <c:pt idx="0">
                  <c:v>2021年</c:v>
                </c:pt>
                <c:pt idx="1">
                  <c:v>2022年</c:v>
                </c:pt>
              </c:strCache>
            </c:strRef>
          </c:cat>
          <c:val>
            <c:numRef>
              <c:f>Sheet1!$B$2:$B$3</c:f>
              <c:numCache>
                <c:formatCode>General</c:formatCode>
                <c:ptCount val="2"/>
                <c:pt idx="0">
                  <c:v>202.4</c:v>
                </c:pt>
                <c:pt idx="1">
                  <c:v>228.3</c:v>
                </c:pt>
              </c:numCache>
            </c:numRef>
          </c:val>
        </c:ser>
        <c:dLbls>
          <c:showLegendKey val="0"/>
          <c:showVal val="0"/>
          <c:showCatName val="0"/>
          <c:showSerName val="0"/>
          <c:showPercent val="0"/>
          <c:showBubbleSize val="0"/>
        </c:dLbls>
        <c:gapWidth val="219"/>
        <c:overlap val="-27"/>
        <c:axId val="870927113"/>
        <c:axId val="396451919"/>
      </c:barChart>
      <c:catAx>
        <c:axId val="8709271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6451919"/>
        <c:crosses val="autoZero"/>
        <c:auto val="1"/>
        <c:lblAlgn val="ctr"/>
        <c:lblOffset val="100"/>
        <c:noMultiLvlLbl val="0"/>
      </c:catAx>
      <c:valAx>
        <c:axId val="3964519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09271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年统战部一般公共预算财政拨款支出决算结构图</a:t>
            </a:r>
            <a:endParaRPr lang="en-US" altLang="zh-CN"/>
          </a:p>
        </c:rich>
      </c:tx>
      <c:layout>
        <c:manualLayout>
          <c:xMode val="edge"/>
          <c:yMode val="edge"/>
          <c:x val="0.11125"/>
          <c:y val="0.025"/>
        </c:manualLayout>
      </c:layout>
      <c:overlay val="0"/>
      <c:spPr>
        <a:noFill/>
        <a:ln>
          <a:noFill/>
        </a:ln>
        <a:effectLst/>
      </c:spPr>
    </c:title>
    <c:autoTitleDeleted val="0"/>
    <c:plotArea>
      <c:layout/>
      <c:pieChart>
        <c:varyColors val="1"/>
        <c:ser>
          <c:idx val="0"/>
          <c:order val="0"/>
          <c:tx>
            <c:strRef>
              <c:f>Sheet1!$B$1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elete val="1"/>
          </c:dLbls>
          <c:cat>
            <c:strRef>
              <c:f>Sheet1!$A$2:$A$9</c:f>
              <c:strCache>
                <c:ptCount val="8"/>
                <c:pt idx="0">
                  <c:v>教育支出</c:v>
                </c:pt>
                <c:pt idx="1">
                  <c:v>科学技术支出</c:v>
                </c:pt>
                <c:pt idx="2">
                  <c:v>文化旅游体育与传媒支出</c:v>
                </c:pt>
                <c:pt idx="3">
                  <c:v>社会保障和就业支出</c:v>
                </c:pt>
                <c:pt idx="4">
                  <c:v>卫生健康支出</c:v>
                </c:pt>
                <c:pt idx="5">
                  <c:v>住房保障支出</c:v>
                </c:pt>
                <c:pt idx="6">
                  <c:v>农林水支出</c:v>
                </c:pt>
                <c:pt idx="7">
                  <c:v>一般公共服务支出</c:v>
                </c:pt>
              </c:strCache>
            </c:strRef>
          </c:cat>
          <c:val>
            <c:numRef>
              <c:f>Sheet1!$B$2:$B$9</c:f>
              <c:numCache>
                <c:formatCode>General</c:formatCode>
                <c:ptCount val="8"/>
                <c:pt idx="3">
                  <c:v>20.6</c:v>
                </c:pt>
                <c:pt idx="4">
                  <c:v>5.79</c:v>
                </c:pt>
                <c:pt idx="5">
                  <c:v>16.01</c:v>
                </c:pt>
                <c:pt idx="6">
                  <c:v>1.5</c:v>
                </c:pt>
                <c:pt idx="7">
                  <c:v>184.41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年统战部</a:t>
            </a:r>
            <a:r>
              <a:rPr lang="en-US" altLang="zh-CN"/>
              <a:t>“</a:t>
            </a:r>
            <a:r>
              <a:rPr altLang="en-US"/>
              <a:t>三公</a:t>
            </a:r>
            <a:r>
              <a:rPr lang="en-US" altLang="zh-CN"/>
              <a:t>”</a:t>
            </a:r>
            <a:r>
              <a:rPr altLang="en-US"/>
              <a:t>经费财政拨款支出决算情况</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0</c:v>
                </c:pt>
                <c:pt idx="2">
                  <c:v>0.45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35</Pages>
  <Words>10844</Words>
  <Characters>11625</Characters>
  <Lines>61</Lines>
  <Paragraphs>17</Paragraphs>
  <TotalTime>0</TotalTime>
  <ScaleCrop>false</ScaleCrop>
  <LinksUpToDate>false</LinksUpToDate>
  <CharactersWithSpaces>12051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王偲</cp:lastModifiedBy>
  <cp:lastPrinted>2023-07-31T02:35:00Z</cp:lastPrinted>
  <dcterms:modified xsi:type="dcterms:W3CDTF">2023-10-26T03:07:44Z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C4CE9DC81BF04875B9337A39BBEA79D7_12</vt:lpwstr>
  </property>
</Properties>
</file>