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77425"/>
      <w:bookmarkStart w:id="2" w:name="_Toc15396597"/>
      <w:bookmarkStart w:id="3" w:name="_Toc15396475"/>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426"/>
      <w:bookmarkStart w:id="8" w:name="_Toc15377194"/>
      <w:bookmarkStart w:id="9" w:name="_Toc15396598"/>
      <w:bookmarkStart w:id="10" w:name="_Toc15378442"/>
      <w:r>
        <w:rPr>
          <w:rFonts w:hint="eastAsia" w:ascii="方正小标宋简体" w:hAnsi="方正小标宋简体" w:eastAsia="方正小标宋简体" w:cs="方正小标宋简体"/>
          <w:sz w:val="72"/>
          <w:szCs w:val="72"/>
        </w:rPr>
        <w:t>中共四川省</w:t>
      </w:r>
      <w:bookmarkEnd w:id="5"/>
      <w:bookmarkStart w:id="11" w:name="_Toc15306268"/>
      <w:r>
        <w:rPr>
          <w:rFonts w:hint="eastAsia" w:ascii="方正小标宋简体" w:hAnsi="方正小标宋简体" w:eastAsia="方正小标宋简体" w:cs="方正小标宋简体"/>
          <w:sz w:val="72"/>
          <w:szCs w:val="72"/>
        </w:rPr>
        <w:t>乐山市金口河区委宣传部部门决算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公开时间：2023年8月25日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2"/>
        <w:adjustRightInd w:val="0"/>
        <w:snapToGrid w:val="0"/>
        <w:spacing w:line="440" w:lineRule="exact"/>
        <w:jc w:val="left"/>
        <w:rPr>
          <w:rFonts w:ascii="仿宋" w:hAnsi="仿宋" w:eastAsia="仿宋"/>
          <w:sz w:val="24"/>
        </w:rPr>
      </w:pPr>
      <w:r>
        <w:rPr>
          <w:rFonts w:hint="eastAsia"/>
          <w:sz w:val="24"/>
        </w:rPr>
        <w:t>一、部门职责</w:t>
      </w:r>
    </w:p>
    <w:p>
      <w:pPr>
        <w:pStyle w:val="12"/>
        <w:adjustRightInd w:val="0"/>
        <w:snapToGrid w:val="0"/>
        <w:spacing w:line="440" w:lineRule="exact"/>
        <w:jc w:val="left"/>
        <w:rPr>
          <w:rFonts w:ascii="仿宋" w:hAnsi="仿宋" w:eastAsia="仿宋" w:cstheme="minorBidi"/>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 2022年度部门决算情况说明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20"/>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numPr>
          <w:ilvl w:val="0"/>
          <w:numId w:val="1"/>
        </w:numPr>
        <w:rPr>
          <w:rFonts w:ascii="黑体" w:hAnsi="黑体" w:eastAsia="黑体"/>
          <w:b w:val="0"/>
        </w:rPr>
      </w:pPr>
      <w:r>
        <w:rPr>
          <w:rFonts w:hint="eastAsia" w:ascii="黑体" w:hAnsi="黑体" w:eastAsia="黑体"/>
          <w:b w:val="0"/>
        </w:rPr>
        <w:t>部门职责</w:t>
      </w:r>
    </w:p>
    <w:p>
      <w:pPr>
        <w:pStyle w:val="6"/>
        <w:adjustRightInd w:val="0"/>
        <w:snapToGrid w:val="0"/>
        <w:spacing w:before="93" w:line="600" w:lineRule="exact"/>
        <w:ind w:firstLine="672" w:firstLineChars="210"/>
        <w:outlineLvl w:val="2"/>
        <w:rPr>
          <w:rFonts w:ascii="仿宋" w:hAnsi="仿宋" w:eastAsia="仿宋"/>
          <w:bCs/>
          <w:sz w:val="32"/>
          <w:szCs w:val="32"/>
        </w:rPr>
      </w:pPr>
      <w:bookmarkStart w:id="14" w:name="_Toc15378445"/>
      <w:bookmarkStart w:id="15" w:name="_Toc15377198"/>
      <w:r>
        <w:rPr>
          <w:rFonts w:hint="eastAsia" w:ascii="仿宋" w:hAnsi="仿宋" w:eastAsia="仿宋"/>
          <w:bCs/>
          <w:sz w:val="32"/>
          <w:szCs w:val="32"/>
        </w:rPr>
        <w:t>（一）主要职能。</w:t>
      </w:r>
    </w:p>
    <w:p>
      <w:pPr>
        <w:pStyle w:val="13"/>
        <w:spacing w:before="0" w:beforeAutospacing="0" w:after="0" w:afterAutospacing="0" w:line="56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1.负责组织、引导全区的理论研究、理论学习和理论宣传工作。</w:t>
      </w:r>
    </w:p>
    <w:p>
      <w:pPr>
        <w:pStyle w:val="13"/>
        <w:spacing w:before="0" w:beforeAutospacing="0" w:after="0" w:afterAutospacing="0" w:line="560" w:lineRule="exact"/>
        <w:ind w:firstLine="640" w:firstLineChars="200"/>
        <w:rPr>
          <w:rFonts w:ascii="仿宋_GB2312" w:hAnsi="仿宋" w:eastAsia="仿宋_GB2312" w:cs="Times New Roman"/>
          <w:kern w:val="2"/>
          <w:sz w:val="32"/>
          <w:szCs w:val="32"/>
        </w:rPr>
      </w:pPr>
      <w:r>
        <w:rPr>
          <w:rFonts w:hint="eastAsia" w:ascii="仿宋" w:hAnsi="仿宋" w:eastAsia="仿宋"/>
          <w:color w:val="333333"/>
          <w:sz w:val="32"/>
          <w:szCs w:val="32"/>
        </w:rPr>
        <w:t>2.</w:t>
      </w:r>
      <w:r>
        <w:rPr>
          <w:rFonts w:hint="eastAsia" w:ascii="仿宋_GB2312" w:hAnsi="仿宋" w:eastAsia="仿宋_GB2312" w:cs="Times New Roman"/>
          <w:kern w:val="2"/>
          <w:sz w:val="32"/>
          <w:szCs w:val="32"/>
        </w:rPr>
        <w:t>负责引导社会舆论，指导、协调全区新闻宣传工作，对区广电宣传中心的工作实施政治方向、方针、政策的指导。</w:t>
      </w:r>
    </w:p>
    <w:p>
      <w:pPr>
        <w:pStyle w:val="13"/>
        <w:spacing w:before="0" w:beforeAutospacing="0" w:after="0" w:afterAutospacing="0" w:line="560" w:lineRule="exact"/>
        <w:ind w:firstLine="640" w:firstLineChars="200"/>
        <w:rPr>
          <w:rFonts w:ascii="仿宋_GB2312" w:hAnsi="仿宋" w:eastAsia="仿宋_GB2312" w:cs="Times New Roman"/>
          <w:kern w:val="2"/>
          <w:sz w:val="32"/>
          <w:szCs w:val="32"/>
        </w:rPr>
      </w:pPr>
      <w:r>
        <w:rPr>
          <w:rFonts w:hint="eastAsia" w:ascii="仿宋" w:hAnsi="仿宋" w:eastAsia="仿宋"/>
          <w:color w:val="333333"/>
          <w:sz w:val="32"/>
          <w:szCs w:val="32"/>
        </w:rPr>
        <w:t>3.</w:t>
      </w:r>
      <w:r>
        <w:rPr>
          <w:rFonts w:hint="eastAsia" w:ascii="仿宋_GB2312" w:hAnsi="仿宋" w:eastAsia="仿宋_GB2312" w:cs="Times New Roman"/>
          <w:kern w:val="2"/>
          <w:sz w:val="32"/>
          <w:szCs w:val="32"/>
        </w:rPr>
        <w:t>负责规划、部署全局性的思想政治工作任务。配合区委组织部做好党员教育工作，会同有关部门研究和改进群众思想教育工作。</w:t>
      </w:r>
    </w:p>
    <w:p>
      <w:pPr>
        <w:pStyle w:val="13"/>
        <w:spacing w:before="0" w:beforeAutospacing="0" w:after="0" w:afterAutospacing="0" w:line="560" w:lineRule="exact"/>
        <w:ind w:firstLine="640" w:firstLineChars="200"/>
        <w:rPr>
          <w:rFonts w:ascii="仿宋_GB2312" w:hAnsi="仿宋" w:eastAsia="仿宋_GB2312" w:cs="Times New Roman"/>
          <w:kern w:val="2"/>
          <w:sz w:val="32"/>
          <w:szCs w:val="32"/>
        </w:rPr>
      </w:pPr>
      <w:r>
        <w:rPr>
          <w:rFonts w:hint="eastAsia" w:ascii="仿宋" w:hAnsi="仿宋" w:eastAsia="仿宋"/>
          <w:color w:val="333333"/>
          <w:sz w:val="32"/>
          <w:szCs w:val="32"/>
        </w:rPr>
        <w:t>4.</w:t>
      </w:r>
      <w:r>
        <w:rPr>
          <w:rFonts w:hint="eastAsia" w:ascii="仿宋_GB2312" w:hAnsi="仿宋" w:eastAsia="仿宋_GB2312" w:cs="Times New Roman"/>
          <w:kern w:val="2"/>
          <w:sz w:val="32"/>
          <w:szCs w:val="32"/>
        </w:rPr>
        <w:t>负责全区群众性精神文明创建工作的规划和组织实施，协调、指导和监督全区文明单位、行业、村镇、社区、未成年人思想道德建设等各类群众性精神文明创建活动。</w:t>
      </w:r>
    </w:p>
    <w:p>
      <w:pPr>
        <w:pStyle w:val="13"/>
        <w:spacing w:before="0" w:beforeAutospacing="0" w:after="0" w:afterAutospacing="0" w:line="560" w:lineRule="exact"/>
        <w:ind w:firstLine="640" w:firstLineChars="200"/>
        <w:rPr>
          <w:rFonts w:ascii="仿宋_GB2312" w:hAnsi="仿宋" w:eastAsia="仿宋_GB2312" w:cs="Times New Roman"/>
          <w:kern w:val="2"/>
          <w:sz w:val="32"/>
          <w:szCs w:val="32"/>
        </w:rPr>
      </w:pPr>
      <w:r>
        <w:rPr>
          <w:rFonts w:hint="eastAsia" w:ascii="仿宋" w:hAnsi="仿宋" w:eastAsia="仿宋"/>
          <w:color w:val="333333"/>
          <w:sz w:val="32"/>
          <w:szCs w:val="32"/>
        </w:rPr>
        <w:t>5.</w:t>
      </w:r>
      <w:r>
        <w:rPr>
          <w:rFonts w:hint="eastAsia" w:ascii="仿宋_GB2312" w:hAnsi="仿宋" w:eastAsia="仿宋_GB2312" w:cs="Times New Roman"/>
          <w:kern w:val="2"/>
          <w:sz w:val="32"/>
          <w:szCs w:val="32"/>
        </w:rPr>
        <w:t>负责指导精神产品的生产和文化市场的管理。对区文广新局的工作实施宏观指导与协调。</w:t>
      </w:r>
    </w:p>
    <w:p>
      <w:pPr>
        <w:pStyle w:val="13"/>
        <w:spacing w:before="0" w:beforeAutospacing="0" w:after="0" w:afterAutospacing="0" w:line="560" w:lineRule="exact"/>
        <w:ind w:firstLine="640" w:firstLineChars="200"/>
        <w:rPr>
          <w:rFonts w:ascii="仿宋_GB2312" w:hAnsi="仿宋" w:eastAsia="仿宋_GB2312" w:cs="Times New Roman"/>
          <w:kern w:val="2"/>
          <w:sz w:val="32"/>
          <w:szCs w:val="32"/>
        </w:rPr>
      </w:pPr>
      <w:r>
        <w:rPr>
          <w:rFonts w:hint="eastAsia" w:ascii="仿宋" w:hAnsi="仿宋" w:eastAsia="仿宋"/>
          <w:color w:val="333333"/>
          <w:sz w:val="32"/>
          <w:szCs w:val="32"/>
        </w:rPr>
        <w:t>6.</w:t>
      </w:r>
      <w:r>
        <w:rPr>
          <w:rFonts w:hint="eastAsia" w:ascii="仿宋_GB2312" w:hAnsi="仿宋" w:eastAsia="仿宋_GB2312" w:cs="Times New Roman"/>
          <w:kern w:val="2"/>
          <w:sz w:val="32"/>
          <w:szCs w:val="32"/>
        </w:rPr>
        <w:t>负责从宏观上指导全区中小学校的德育、政治理论课教学和思想政治工作。</w:t>
      </w:r>
    </w:p>
    <w:p>
      <w:pPr>
        <w:pStyle w:val="13"/>
        <w:spacing w:before="0" w:beforeAutospacing="0" w:after="0" w:afterAutospacing="0" w:line="560" w:lineRule="exact"/>
        <w:ind w:firstLine="640" w:firstLineChars="200"/>
        <w:rPr>
          <w:rFonts w:ascii="仿宋_GB2312" w:hAnsi="仿宋" w:eastAsia="仿宋_GB2312" w:cs="Times New Roman"/>
          <w:kern w:val="2"/>
          <w:sz w:val="32"/>
          <w:szCs w:val="32"/>
        </w:rPr>
      </w:pPr>
      <w:r>
        <w:rPr>
          <w:rFonts w:hint="eastAsia" w:ascii="仿宋" w:hAnsi="仿宋" w:eastAsia="仿宋"/>
          <w:color w:val="333333"/>
          <w:sz w:val="32"/>
          <w:szCs w:val="32"/>
        </w:rPr>
        <w:t>7.</w:t>
      </w:r>
      <w:r>
        <w:rPr>
          <w:rFonts w:hint="eastAsia" w:ascii="仿宋_GB2312" w:hAnsi="仿宋" w:eastAsia="仿宋_GB2312" w:cs="Times New Roman"/>
          <w:kern w:val="2"/>
          <w:sz w:val="32"/>
          <w:szCs w:val="32"/>
        </w:rPr>
        <w:t>负责全区对外宣传工作的总体规划，组织协调，指导和管理全区的外宣工作。</w:t>
      </w:r>
    </w:p>
    <w:p>
      <w:pPr>
        <w:pStyle w:val="13"/>
        <w:spacing w:before="0" w:beforeAutospacing="0" w:after="0" w:afterAutospacing="0" w:line="560" w:lineRule="exact"/>
        <w:ind w:firstLine="640" w:firstLineChars="200"/>
        <w:rPr>
          <w:rFonts w:ascii="仿宋_GB2312" w:hAnsi="仿宋" w:eastAsia="仿宋_GB2312" w:cs="Times New Roman"/>
          <w:kern w:val="2"/>
          <w:sz w:val="32"/>
          <w:szCs w:val="32"/>
        </w:rPr>
      </w:pPr>
      <w:r>
        <w:rPr>
          <w:rFonts w:hint="eastAsia" w:ascii="仿宋" w:hAnsi="仿宋" w:eastAsia="仿宋"/>
          <w:color w:val="333333"/>
          <w:sz w:val="32"/>
          <w:szCs w:val="32"/>
        </w:rPr>
        <w:t>8.</w:t>
      </w:r>
      <w:r>
        <w:rPr>
          <w:rFonts w:hint="eastAsia" w:ascii="仿宋_GB2312" w:hAnsi="仿宋" w:eastAsia="仿宋_GB2312" w:cs="Times New Roman"/>
          <w:kern w:val="2"/>
          <w:sz w:val="32"/>
          <w:szCs w:val="32"/>
        </w:rPr>
        <w:t>负责制定全区宣传干部的培训规划并组织实施。</w:t>
      </w:r>
    </w:p>
    <w:p>
      <w:pPr>
        <w:pStyle w:val="13"/>
        <w:spacing w:before="0" w:beforeAutospacing="0" w:after="0" w:afterAutospacing="0" w:line="560" w:lineRule="exact"/>
        <w:ind w:firstLine="640" w:firstLineChars="200"/>
        <w:rPr>
          <w:rFonts w:ascii="仿宋_GB2312" w:hAnsi="仿宋" w:eastAsia="仿宋_GB2312" w:cs="Times New Roman"/>
          <w:kern w:val="2"/>
          <w:sz w:val="32"/>
          <w:szCs w:val="32"/>
        </w:rPr>
      </w:pPr>
      <w:r>
        <w:rPr>
          <w:rFonts w:hint="eastAsia" w:ascii="仿宋" w:hAnsi="仿宋" w:eastAsia="仿宋"/>
          <w:color w:val="333333"/>
          <w:sz w:val="32"/>
          <w:szCs w:val="32"/>
        </w:rPr>
        <w:t>9.</w:t>
      </w:r>
      <w:r>
        <w:rPr>
          <w:rFonts w:hint="eastAsia" w:ascii="仿宋_GB2312" w:hAnsi="仿宋" w:eastAsia="仿宋_GB2312" w:cs="Times New Roman"/>
          <w:kern w:val="2"/>
          <w:sz w:val="32"/>
          <w:szCs w:val="32"/>
        </w:rPr>
        <w:t>负责提出宣传思想文化事业发展的指导意见，指导文化系统制定政策、法规，按照区委的工作部署，对宣传文化系统各部门之间的工作进行协调。</w:t>
      </w:r>
    </w:p>
    <w:p>
      <w:pPr>
        <w:ind w:firstLine="640" w:firstLineChars="200"/>
      </w:pPr>
      <w:r>
        <w:rPr>
          <w:rFonts w:hint="eastAsia" w:ascii="仿宋" w:hAnsi="仿宋" w:eastAsia="仿宋"/>
          <w:color w:val="333333"/>
          <w:sz w:val="32"/>
          <w:szCs w:val="32"/>
        </w:rPr>
        <w:t>10.</w:t>
      </w:r>
      <w:r>
        <w:rPr>
          <w:rFonts w:hint="eastAsia" w:ascii="仿宋_GB2312" w:hAnsi="仿宋" w:eastAsia="仿宋_GB2312"/>
          <w:sz w:val="32"/>
          <w:szCs w:val="32"/>
        </w:rPr>
        <w:t>完成区委和市委宣传部交办的其他任务。</w:t>
      </w:r>
      <w:bookmarkEnd w:id="14"/>
      <w:bookmarkEnd w:id="15"/>
    </w:p>
    <w:p>
      <w:pPr>
        <w:pStyle w:val="4"/>
        <w:rPr>
          <w:rStyle w:val="31"/>
          <w:b w:val="0"/>
          <w:bCs w:val="0"/>
        </w:rPr>
      </w:pPr>
      <w:bookmarkStart w:id="16" w:name="_Toc15396601"/>
      <w:bookmarkStart w:id="17" w:name="_Toc15377200"/>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6"/>
      <w:bookmarkEnd w:id="17"/>
    </w:p>
    <w:p>
      <w:pPr>
        <w:ind w:firstLine="800" w:firstLineChars="250"/>
        <w:rPr>
          <w:rFonts w:ascii="仿宋" w:hAnsi="仿宋" w:eastAsia="仿宋"/>
          <w:sz w:val="32"/>
          <w:szCs w:val="32"/>
        </w:rPr>
      </w:pPr>
      <w:r>
        <w:rPr>
          <w:rFonts w:hint="eastAsia" w:ascii="仿宋" w:hAnsi="仿宋" w:eastAsia="仿宋"/>
          <w:sz w:val="32"/>
          <w:szCs w:val="32"/>
        </w:rPr>
        <w:t>中共乐山市金口河区委宣传部下属二级单位2个，其中行政单位0个，参照公务员法管理的事业单位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个，其他事业单位2个。</w:t>
      </w:r>
    </w:p>
    <w:p>
      <w:pPr>
        <w:pStyle w:val="6"/>
        <w:adjustRightInd w:val="0"/>
        <w:snapToGrid w:val="0"/>
        <w:spacing w:before="93" w:line="600" w:lineRule="exact"/>
        <w:ind w:firstLine="640" w:firstLineChars="200"/>
        <w:outlineLvl w:val="2"/>
        <w:rPr>
          <w:rFonts w:ascii="仿宋" w:hAnsi="仿宋" w:eastAsia="仿宋"/>
          <w:sz w:val="32"/>
          <w:szCs w:val="32"/>
        </w:rPr>
      </w:pPr>
      <w:r>
        <w:rPr>
          <w:rFonts w:hint="eastAsia" w:ascii="仿宋" w:hAnsi="仿宋" w:eastAsia="仿宋"/>
          <w:sz w:val="32"/>
          <w:szCs w:val="32"/>
        </w:rPr>
        <w:t>区委宣传部无纳入2022年度部门决算编制范围的二级预算单位。</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30"/>
          <w:rFonts w:ascii="黑体" w:hAnsi="黑体" w:eastAsia="黑体"/>
          <w:b w:val="0"/>
          <w:bCs/>
        </w:rPr>
      </w:pPr>
      <w:bookmarkStart w:id="18" w:name="_Toc15396602"/>
      <w:bookmarkStart w:id="19" w:name="_Toc15377204"/>
      <w:r>
        <w:rPr>
          <w:rFonts w:hint="eastAsia" w:ascii="黑体" w:hAnsi="黑体" w:eastAsia="黑体"/>
          <w:b w:val="0"/>
        </w:rPr>
        <w:t>第二部分 2022年度</w:t>
      </w:r>
      <w:r>
        <w:rPr>
          <w:rStyle w:val="30"/>
          <w:rFonts w:hint="eastAsia" w:ascii="黑体" w:hAnsi="黑体" w:eastAsia="黑体"/>
          <w:b w:val="0"/>
          <w:bCs/>
        </w:rPr>
        <w:t>部门决算情况说明</w:t>
      </w:r>
      <w:bookmarkEnd w:id="18"/>
      <w:bookmarkEnd w:id="19"/>
    </w:p>
    <w:p/>
    <w:p>
      <w:pPr>
        <w:pStyle w:val="29"/>
        <w:numPr>
          <w:ilvl w:val="0"/>
          <w:numId w:val="2"/>
        </w:numPr>
        <w:spacing w:line="600" w:lineRule="exact"/>
        <w:ind w:firstLineChars="0"/>
        <w:outlineLvl w:val="1"/>
        <w:rPr>
          <w:rStyle w:val="31"/>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20"/>
      <w:bookmarkEnd w:id="21"/>
    </w:p>
    <w:p>
      <w:pPr>
        <w:spacing w:line="600" w:lineRule="exact"/>
        <w:ind w:firstLine="640" w:firstLineChars="200"/>
        <w:rPr>
          <w:rFonts w:ascii="仿宋_GB2312" w:eastAsia="仿宋_GB2312"/>
          <w:sz w:val="32"/>
          <w:szCs w:val="32"/>
        </w:rPr>
      </w:pPr>
      <w:r>
        <w:rPr>
          <w:rFonts w:hint="eastAsia" w:ascii="仿宋" w:hAnsi="仿宋" w:eastAsia="仿宋"/>
          <w:sz w:val="32"/>
          <w:szCs w:val="32"/>
        </w:rPr>
        <w:t>2022年度收入893.94万元、支出884.54万元。与2021年相比，收入增加40.02万元，增长4.7%；支出减少45.51万元，下降4.89</w:t>
      </w:r>
      <w:r>
        <w:rPr>
          <w:rFonts w:ascii="仿宋" w:hAnsi="仿宋" w:eastAsia="仿宋"/>
          <w:sz w:val="32"/>
          <w:szCs w:val="32"/>
        </w:rPr>
        <w:t>%</w:t>
      </w:r>
      <w:r>
        <w:rPr>
          <w:rFonts w:hint="eastAsia" w:ascii="仿宋" w:hAnsi="仿宋" w:eastAsia="仿宋"/>
          <w:sz w:val="32"/>
          <w:szCs w:val="32"/>
        </w:rPr>
        <w:t>。主要变动原因是财政资金紧张，拨付资金较少。</w:t>
      </w:r>
    </w:p>
    <w:p>
      <w:pPr>
        <w:pStyle w:val="29"/>
        <w:numPr>
          <w:ilvl w:val="0"/>
          <w:numId w:val="2"/>
        </w:numPr>
        <w:spacing w:line="600" w:lineRule="exact"/>
        <w:ind w:firstLineChars="0"/>
        <w:outlineLvl w:val="1"/>
        <w:rPr>
          <w:rStyle w:val="31"/>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31"/>
          <w:rFonts w:hint="eastAsia" w:ascii="黑体" w:hAnsi="黑体" w:eastAsia="黑体"/>
          <w:b w:val="0"/>
        </w:rPr>
        <w:t>入决算情况说明</w:t>
      </w:r>
      <w:bookmarkEnd w:id="22"/>
      <w:bookmarkEnd w:id="23"/>
    </w:p>
    <w:p>
      <w:pPr>
        <w:spacing w:line="600" w:lineRule="exact"/>
        <w:ind w:firstLine="640" w:firstLineChars="200"/>
        <w:outlineLvl w:val="1"/>
        <w:rPr>
          <w:rFonts w:ascii="仿宋_GB2312" w:eastAsia="仿宋_GB2312"/>
          <w:sz w:val="32"/>
          <w:szCs w:val="32"/>
        </w:rPr>
      </w:pPr>
      <w:r>
        <w:rPr>
          <w:rFonts w:ascii="仿宋" w:hAnsi="仿宋" w:eastAsia="仿宋"/>
          <w:sz w:val="32"/>
          <w:szCs w:val="32"/>
        </w:rPr>
        <w:t>20</w:t>
      </w:r>
      <w:r>
        <w:rPr>
          <w:rFonts w:hint="eastAsia" w:ascii="仿宋" w:hAnsi="仿宋" w:eastAsia="仿宋"/>
          <w:sz w:val="32"/>
          <w:szCs w:val="32"/>
        </w:rPr>
        <w:t>22年本年收入合计893.94万元，其中：一般公共预算财政拨款收入621.75万元，占69.46</w:t>
      </w:r>
      <w:r>
        <w:rPr>
          <w:rFonts w:ascii="仿宋" w:hAnsi="仿宋" w:eastAsia="仿宋"/>
          <w:sz w:val="32"/>
          <w:szCs w:val="32"/>
        </w:rPr>
        <w:t>%</w:t>
      </w:r>
      <w:r>
        <w:rPr>
          <w:rFonts w:hint="eastAsia" w:ascii="仿宋" w:hAnsi="仿宋" w:eastAsia="仿宋"/>
          <w:sz w:val="32"/>
          <w:szCs w:val="32"/>
        </w:rPr>
        <w:t>；政府性基金预算财政拨款收入0.07万元，占0.1</w:t>
      </w:r>
      <w:r>
        <w:rPr>
          <w:rFonts w:ascii="仿宋" w:hAnsi="仿宋" w:eastAsia="仿宋"/>
          <w:sz w:val="32"/>
          <w:szCs w:val="32"/>
        </w:rPr>
        <w:t>%</w:t>
      </w:r>
      <w:r>
        <w:rPr>
          <w:rFonts w:hint="eastAsia" w:ascii="仿宋" w:hAnsi="仿宋" w:eastAsia="仿宋"/>
          <w:sz w:val="32"/>
          <w:szCs w:val="32"/>
        </w:rPr>
        <w:t>；上年结转结余272.12万元，占30.44%；国有资本经营预算财政拨款收入0万元，占0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pStyle w:val="29"/>
        <w:numPr>
          <w:ilvl w:val="0"/>
          <w:numId w:val="2"/>
        </w:numPr>
        <w:spacing w:line="600" w:lineRule="exact"/>
        <w:ind w:firstLineChars="0"/>
        <w:outlineLvl w:val="1"/>
        <w:rPr>
          <w:rStyle w:val="31"/>
          <w:rFonts w:ascii="黑体" w:hAnsi="黑体" w:eastAsia="黑体"/>
          <w:b w:val="0"/>
        </w:rPr>
      </w:pPr>
      <w:bookmarkStart w:id="24" w:name="_Toc15377207"/>
      <w:bookmarkStart w:id="25" w:name="_Toc15396605"/>
      <w:r>
        <w:rPr>
          <w:rFonts w:hint="eastAsia" w:ascii="黑体" w:hAnsi="黑体" w:eastAsia="黑体"/>
          <w:sz w:val="32"/>
          <w:szCs w:val="32"/>
        </w:rPr>
        <w:t>支</w:t>
      </w:r>
      <w:r>
        <w:rPr>
          <w:rStyle w:val="31"/>
          <w:rFonts w:hint="eastAsia" w:ascii="黑体" w:hAnsi="黑体" w:eastAsia="黑体"/>
          <w:b w:val="0"/>
        </w:rPr>
        <w:t>出决算情况说明</w:t>
      </w:r>
      <w:bookmarkEnd w:id="24"/>
      <w:bookmarkEnd w:id="25"/>
    </w:p>
    <w:p>
      <w:pPr>
        <w:spacing w:line="600" w:lineRule="exact"/>
        <w:ind w:firstLine="640" w:firstLineChars="200"/>
        <w:outlineLvl w:val="1"/>
        <w:rPr>
          <w:rFonts w:ascii="仿宋_GB2312" w:eastAsia="仿宋_GB2312"/>
          <w:sz w:val="32"/>
          <w:szCs w:val="32"/>
        </w:rPr>
      </w:pPr>
      <w:r>
        <w:rPr>
          <w:rFonts w:ascii="仿宋" w:hAnsi="仿宋" w:eastAsia="仿宋"/>
          <w:sz w:val="32"/>
          <w:szCs w:val="32"/>
        </w:rPr>
        <w:t>20</w:t>
      </w:r>
      <w:r>
        <w:rPr>
          <w:rFonts w:hint="eastAsia" w:ascii="仿宋" w:hAnsi="仿宋" w:eastAsia="仿宋"/>
          <w:sz w:val="32"/>
          <w:szCs w:val="32"/>
        </w:rPr>
        <w:t>22年本年支出合计884.54万元，其中：基本支出478.33万元，占54.08</w:t>
      </w:r>
      <w:r>
        <w:rPr>
          <w:rFonts w:ascii="仿宋" w:hAnsi="仿宋" w:eastAsia="仿宋"/>
          <w:sz w:val="32"/>
          <w:szCs w:val="32"/>
        </w:rPr>
        <w:t>%</w:t>
      </w:r>
      <w:r>
        <w:rPr>
          <w:rFonts w:hint="eastAsia" w:ascii="仿宋" w:hAnsi="仿宋" w:eastAsia="仿宋"/>
          <w:sz w:val="32"/>
          <w:szCs w:val="32"/>
        </w:rPr>
        <w:t>；项目支出406.21万元，占45.92</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Style w:val="31"/>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6"/>
      <w:bookmarkEnd w:id="27"/>
    </w:p>
    <w:p>
      <w:pPr>
        <w:spacing w:line="600" w:lineRule="exact"/>
        <w:ind w:firstLine="640" w:firstLineChars="200"/>
        <w:rPr>
          <w:rFonts w:ascii="仿宋" w:hAnsi="仿宋" w:eastAsia="仿宋"/>
          <w:b/>
          <w:sz w:val="32"/>
          <w:szCs w:val="32"/>
        </w:rPr>
      </w:pPr>
      <w:r>
        <w:rPr>
          <w:rFonts w:hint="eastAsia" w:ascii="仿宋" w:hAnsi="仿宋" w:eastAsia="仿宋"/>
          <w:sz w:val="32"/>
          <w:szCs w:val="32"/>
        </w:rPr>
        <w:t>2022年财政拨款收入893.94万元、财政拨款支出884.54万元。与2021年相比，收入增加40.02万元，增长4.7%；支出减少45.51万元，下降4.89</w:t>
      </w:r>
      <w:r>
        <w:rPr>
          <w:rFonts w:ascii="仿宋" w:hAnsi="仿宋" w:eastAsia="仿宋"/>
          <w:sz w:val="32"/>
          <w:szCs w:val="32"/>
        </w:rPr>
        <w:t>%</w:t>
      </w:r>
      <w:r>
        <w:rPr>
          <w:rFonts w:hint="eastAsia" w:ascii="仿宋" w:hAnsi="仿宋" w:eastAsia="仿宋"/>
          <w:sz w:val="32"/>
          <w:szCs w:val="32"/>
        </w:rPr>
        <w:t>。主要变动原因是财政资金紧张，拨付资金较少，本年度相对往年融媒体中心账务结算较多。</w:t>
      </w:r>
    </w:p>
    <w:p>
      <w:pPr>
        <w:spacing w:line="600" w:lineRule="exact"/>
        <w:ind w:firstLine="640" w:firstLineChars="200"/>
        <w:outlineLvl w:val="1"/>
        <w:rPr>
          <w:rStyle w:val="31"/>
          <w:rFonts w:ascii="黑体" w:hAnsi="黑体" w:eastAsia="黑体"/>
          <w:b w:val="0"/>
        </w:rPr>
      </w:pPr>
      <w:bookmarkStart w:id="28" w:name="_Toc15396607"/>
      <w:bookmarkStart w:id="29"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22年一般公共预算财政拨款支出884.47万元，占本年支出合计的100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21年相比，一般公共预算财政拨款支出减少43.77万元，下降49</w:t>
      </w:r>
      <w:r>
        <w:rPr>
          <w:rFonts w:ascii="仿宋" w:hAnsi="仿宋" w:eastAsia="仿宋"/>
          <w:sz w:val="32"/>
          <w:szCs w:val="32"/>
        </w:rPr>
        <w:t>%</w:t>
      </w:r>
      <w:r>
        <w:rPr>
          <w:rFonts w:hint="eastAsia" w:ascii="仿宋" w:hAnsi="仿宋" w:eastAsia="仿宋"/>
          <w:sz w:val="32"/>
          <w:szCs w:val="32"/>
        </w:rPr>
        <w:t>。主要变动原因是财政资金紧张，拨付资金较少，本年度相对往年融媒体中心账务结算较多。</w:t>
      </w: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22年一般公共预算财政拨款支出884.47万元，主要用于以下方面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747.97万元，占84.56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文化旅游体育与传媒支出29.51万元，占3.34</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44.1万元，占4.98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11.04万元，占1.25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30.37万元，占3.43</w:t>
      </w:r>
      <w:r>
        <w:rPr>
          <w:rFonts w:ascii="仿宋" w:hAnsi="仿宋" w:eastAsia="仿宋"/>
          <w:sz w:val="32"/>
          <w:szCs w:val="32"/>
        </w:rPr>
        <w:t>%</w:t>
      </w:r>
      <w:r>
        <w:rPr>
          <w:rFonts w:hint="eastAsia" w:ascii="仿宋" w:hAnsi="仿宋" w:eastAsia="仿宋"/>
          <w:sz w:val="32"/>
          <w:szCs w:val="32"/>
        </w:rPr>
        <w:t>；农林水支出21.48万元，占2.44%。</w:t>
      </w:r>
    </w:p>
    <w:p>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3" w:firstLineChars="200"/>
        <w:outlineLvl w:val="2"/>
        <w:rPr>
          <w:rFonts w:ascii="仿宋" w:hAnsi="仿宋" w:eastAsia="仿宋"/>
          <w:sz w:val="32"/>
          <w:szCs w:val="32"/>
        </w:rPr>
      </w:pPr>
      <w:bookmarkStart w:id="33" w:name="_Toc15377213"/>
      <w:bookmarkStart w:id="34" w:name="_Toc15378460"/>
      <w:bookmarkStart w:id="35" w:name="_Toc15377444"/>
      <w:r>
        <w:rPr>
          <w:rFonts w:hint="eastAsia" w:ascii="仿宋" w:hAnsi="仿宋" w:eastAsia="仿宋"/>
          <w:b/>
          <w:sz w:val="32"/>
          <w:szCs w:val="32"/>
        </w:rPr>
        <w:t>2022年一般公共预算支出决算数为884.47万元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3"/>
      <w:bookmarkEnd w:id="34"/>
      <w:bookmarkEnd w:id="35"/>
    </w:p>
    <w:p>
      <w:pPr>
        <w:spacing w:line="600" w:lineRule="exact"/>
        <w:ind w:firstLine="640" w:firstLineChars="200"/>
        <w:rPr>
          <w:rFonts w:ascii="仿宋" w:hAnsi="仿宋" w:eastAsia="仿宋"/>
          <w:b/>
          <w:sz w:val="32"/>
          <w:szCs w:val="32"/>
        </w:rPr>
      </w:pPr>
      <w:r>
        <w:rPr>
          <w:rStyle w:val="17"/>
          <w:rFonts w:ascii="仿宋" w:hAnsi="仿宋" w:eastAsia="仿宋"/>
          <w:b w:val="0"/>
          <w:sz w:val="32"/>
          <w:szCs w:val="32"/>
        </w:rPr>
        <w:t>1.</w:t>
      </w:r>
      <w:r>
        <w:rPr>
          <w:rStyle w:val="17"/>
          <w:rFonts w:hint="eastAsia" w:ascii="仿宋" w:hAnsi="仿宋" w:eastAsia="仿宋"/>
          <w:b w:val="0"/>
          <w:sz w:val="32"/>
          <w:szCs w:val="32"/>
        </w:rPr>
        <w:t>一般公共服务-宣传事务-行政运行</w:t>
      </w:r>
      <w:r>
        <w:rPr>
          <w:rStyle w:val="17"/>
          <w:rFonts w:ascii="仿宋" w:hAnsi="仿宋" w:eastAsia="仿宋"/>
          <w:b w:val="0"/>
          <w:sz w:val="32"/>
          <w:szCs w:val="32"/>
        </w:rPr>
        <w:t xml:space="preserve">: </w:t>
      </w:r>
      <w:r>
        <w:rPr>
          <w:rStyle w:val="17"/>
          <w:rFonts w:hint="eastAsia" w:ascii="仿宋" w:hAnsi="仿宋" w:eastAsia="仿宋"/>
          <w:b w:val="0"/>
          <w:sz w:val="32"/>
          <w:szCs w:val="32"/>
        </w:rPr>
        <w:t>支</w:t>
      </w:r>
      <w:r>
        <w:rPr>
          <w:rStyle w:val="17"/>
          <w:rFonts w:hint="eastAsia" w:ascii="仿宋" w:hAnsi="仿宋" w:eastAsia="仿宋"/>
          <w:b w:val="0"/>
          <w:bCs/>
          <w:sz w:val="32"/>
          <w:szCs w:val="32"/>
        </w:rPr>
        <w:t>出决算为235.28万元，完成预算100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640" w:firstLineChars="200"/>
        <w:rPr>
          <w:rStyle w:val="17"/>
          <w:rFonts w:ascii="仿宋" w:hAnsi="仿宋" w:eastAsia="仿宋"/>
          <w:b w:val="0"/>
          <w:sz w:val="32"/>
          <w:szCs w:val="32"/>
        </w:rPr>
      </w:pPr>
      <w:r>
        <w:rPr>
          <w:rStyle w:val="17"/>
          <w:rFonts w:ascii="仿宋" w:hAnsi="仿宋" w:eastAsia="仿宋"/>
          <w:b w:val="0"/>
          <w:sz w:val="32"/>
          <w:szCs w:val="32"/>
        </w:rPr>
        <w:t>2.</w:t>
      </w:r>
      <w:r>
        <w:rPr>
          <w:rStyle w:val="17"/>
          <w:rFonts w:hint="eastAsia" w:ascii="仿宋" w:hAnsi="仿宋" w:eastAsia="仿宋"/>
          <w:b w:val="0"/>
          <w:sz w:val="32"/>
          <w:szCs w:val="32"/>
        </w:rPr>
        <w:t>一般公共服务-宣传事务-一般行政管理事务</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支出决算为141.6万元，完成预算100</w:t>
      </w:r>
      <w:r>
        <w:rPr>
          <w:rStyle w:val="17"/>
          <w:rFonts w:ascii="仿宋" w:hAnsi="仿宋" w:eastAsia="仿宋"/>
          <w:b w:val="0"/>
          <w:sz w:val="32"/>
          <w:szCs w:val="32"/>
        </w:rPr>
        <w:t>%</w:t>
      </w:r>
      <w:r>
        <w:rPr>
          <w:rStyle w:val="17"/>
          <w:rFonts w:hint="eastAsia" w:ascii="仿宋" w:hAnsi="仿宋" w:eastAsia="仿宋"/>
          <w:b w:val="0"/>
          <w:sz w:val="32"/>
          <w:szCs w:val="32"/>
        </w:rPr>
        <w:t>，决算数等于预算数。</w:t>
      </w:r>
    </w:p>
    <w:p>
      <w:pPr>
        <w:spacing w:line="600" w:lineRule="exact"/>
        <w:ind w:firstLine="640" w:firstLineChars="200"/>
        <w:rPr>
          <w:rStyle w:val="17"/>
          <w:rFonts w:ascii="仿宋" w:hAnsi="仿宋" w:eastAsia="仿宋"/>
          <w:b w:val="0"/>
          <w:sz w:val="32"/>
          <w:szCs w:val="32"/>
        </w:rPr>
      </w:pPr>
      <w:r>
        <w:rPr>
          <w:rStyle w:val="17"/>
          <w:rFonts w:hint="eastAsia" w:ascii="仿宋" w:hAnsi="仿宋" w:eastAsia="仿宋"/>
          <w:b w:val="0"/>
          <w:sz w:val="32"/>
          <w:szCs w:val="32"/>
        </w:rPr>
        <w:t>3.一般公共服务-宣传事务-事业运行</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支出决算为157.55万元，完成预算100</w:t>
      </w:r>
      <w:r>
        <w:rPr>
          <w:rStyle w:val="17"/>
          <w:rFonts w:ascii="仿宋" w:hAnsi="仿宋" w:eastAsia="仿宋"/>
          <w:b w:val="0"/>
          <w:sz w:val="32"/>
          <w:szCs w:val="32"/>
        </w:rPr>
        <w:t>%</w:t>
      </w:r>
      <w:r>
        <w:rPr>
          <w:rStyle w:val="17"/>
          <w:rFonts w:hint="eastAsia" w:ascii="仿宋" w:hAnsi="仿宋" w:eastAsia="仿宋"/>
          <w:b w:val="0"/>
          <w:sz w:val="32"/>
          <w:szCs w:val="32"/>
        </w:rPr>
        <w:t>，决算数等于预算数。</w:t>
      </w:r>
    </w:p>
    <w:p>
      <w:pPr>
        <w:spacing w:line="600" w:lineRule="exact"/>
        <w:ind w:firstLine="640" w:firstLineChars="200"/>
        <w:rPr>
          <w:rStyle w:val="17"/>
          <w:rFonts w:ascii="仿宋" w:hAnsi="仿宋" w:eastAsia="仿宋"/>
          <w:b w:val="0"/>
          <w:sz w:val="32"/>
          <w:szCs w:val="32"/>
        </w:rPr>
      </w:pPr>
      <w:r>
        <w:rPr>
          <w:rStyle w:val="17"/>
          <w:rFonts w:hint="eastAsia" w:ascii="仿宋" w:hAnsi="仿宋" w:eastAsia="仿宋"/>
          <w:b w:val="0"/>
          <w:sz w:val="32"/>
          <w:szCs w:val="32"/>
        </w:rPr>
        <w:t>4.一般公共服务-宣传事务-其他宣传事务支出</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支出决算为213.55万元，完成预算100</w:t>
      </w:r>
      <w:r>
        <w:rPr>
          <w:rStyle w:val="17"/>
          <w:rFonts w:ascii="仿宋" w:hAnsi="仿宋" w:eastAsia="仿宋"/>
          <w:b w:val="0"/>
          <w:sz w:val="32"/>
          <w:szCs w:val="32"/>
        </w:rPr>
        <w:t>%</w:t>
      </w:r>
      <w:r>
        <w:rPr>
          <w:rStyle w:val="17"/>
          <w:rFonts w:hint="eastAsia" w:ascii="仿宋" w:hAnsi="仿宋" w:eastAsia="仿宋"/>
          <w:b w:val="0"/>
          <w:sz w:val="32"/>
          <w:szCs w:val="32"/>
        </w:rPr>
        <w:t>，决算数等于预算数。</w:t>
      </w:r>
    </w:p>
    <w:p>
      <w:pPr>
        <w:spacing w:line="600" w:lineRule="exact"/>
        <w:ind w:firstLine="640" w:firstLineChars="200"/>
        <w:rPr>
          <w:rStyle w:val="17"/>
          <w:rFonts w:ascii="仿宋" w:hAnsi="仿宋" w:eastAsia="仿宋"/>
          <w:b w:val="0"/>
          <w:sz w:val="32"/>
          <w:szCs w:val="32"/>
        </w:rPr>
      </w:pPr>
      <w:r>
        <w:rPr>
          <w:rStyle w:val="17"/>
          <w:rFonts w:hint="eastAsia" w:ascii="仿宋" w:hAnsi="仿宋" w:eastAsia="仿宋"/>
          <w:b w:val="0"/>
          <w:sz w:val="32"/>
          <w:szCs w:val="32"/>
        </w:rPr>
        <w:t>5</w:t>
      </w:r>
      <w:r>
        <w:rPr>
          <w:rStyle w:val="17"/>
          <w:rFonts w:ascii="仿宋" w:hAnsi="仿宋" w:eastAsia="仿宋"/>
          <w:b w:val="0"/>
          <w:sz w:val="32"/>
          <w:szCs w:val="32"/>
        </w:rPr>
        <w:t>.</w:t>
      </w:r>
      <w:r>
        <w:rPr>
          <w:rStyle w:val="17"/>
          <w:rFonts w:hint="eastAsia" w:ascii="仿宋" w:hAnsi="仿宋" w:eastAsia="仿宋"/>
          <w:b w:val="0"/>
          <w:sz w:val="32"/>
          <w:szCs w:val="32"/>
        </w:rPr>
        <w:t>文化体育与传媒支出-文物-博物馆</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支出决算为5.42万元，完成预算100</w:t>
      </w:r>
      <w:r>
        <w:rPr>
          <w:rStyle w:val="17"/>
          <w:rFonts w:ascii="仿宋" w:hAnsi="仿宋" w:eastAsia="仿宋"/>
          <w:b w:val="0"/>
          <w:sz w:val="32"/>
          <w:szCs w:val="32"/>
        </w:rPr>
        <w:t>%</w:t>
      </w:r>
      <w:r>
        <w:rPr>
          <w:rStyle w:val="17"/>
          <w:rFonts w:hint="eastAsia" w:ascii="仿宋" w:hAnsi="仿宋" w:eastAsia="仿宋"/>
          <w:b w:val="0"/>
          <w:sz w:val="32"/>
          <w:szCs w:val="32"/>
        </w:rPr>
        <w:t>，决算数等于预算数。</w:t>
      </w:r>
    </w:p>
    <w:p>
      <w:pPr>
        <w:spacing w:line="600" w:lineRule="exact"/>
        <w:ind w:firstLine="640" w:firstLineChars="200"/>
        <w:rPr>
          <w:rStyle w:val="17"/>
          <w:rFonts w:ascii="仿宋" w:hAnsi="仿宋" w:eastAsia="仿宋" w:cstheme="minorBidi"/>
          <w:b w:val="0"/>
          <w:sz w:val="32"/>
          <w:szCs w:val="32"/>
        </w:rPr>
      </w:pPr>
      <w:r>
        <w:rPr>
          <w:rStyle w:val="17"/>
          <w:rFonts w:hint="eastAsia" w:ascii="仿宋" w:hAnsi="仿宋" w:eastAsia="仿宋" w:cstheme="minorBidi"/>
          <w:b w:val="0"/>
          <w:sz w:val="32"/>
          <w:szCs w:val="32"/>
        </w:rPr>
        <w:t>6.文化体育与传媒支出-其他文化体育与传媒支出-宣传文化发展专项支出: 支出决算为13.59万元，完成预算100%，决算数等于预算数。</w:t>
      </w:r>
    </w:p>
    <w:p>
      <w:pPr>
        <w:spacing w:line="600" w:lineRule="exact"/>
        <w:ind w:firstLine="640" w:firstLineChars="200"/>
        <w:rPr>
          <w:rStyle w:val="17"/>
          <w:rFonts w:ascii="仿宋" w:hAnsi="仿宋" w:eastAsia="仿宋" w:cstheme="minorBidi"/>
          <w:b w:val="0"/>
          <w:sz w:val="32"/>
          <w:szCs w:val="32"/>
        </w:rPr>
      </w:pPr>
      <w:r>
        <w:rPr>
          <w:rStyle w:val="17"/>
          <w:rFonts w:hint="eastAsia" w:ascii="仿宋" w:hAnsi="仿宋" w:eastAsia="仿宋" w:cstheme="minorBidi"/>
          <w:b w:val="0"/>
          <w:sz w:val="32"/>
          <w:szCs w:val="32"/>
        </w:rPr>
        <w:t>7.文化体育与传媒支出-其他文化体育与传媒支出-其他文化旅游体育与传媒支出: 支出决算为10.5万元，完成预算100%，决算数等于预算数。</w:t>
      </w:r>
    </w:p>
    <w:p>
      <w:pPr>
        <w:spacing w:line="600" w:lineRule="exact"/>
        <w:ind w:firstLine="640" w:firstLineChars="200"/>
        <w:rPr>
          <w:rFonts w:ascii="仿宋" w:hAnsi="仿宋" w:eastAsia="仿宋"/>
          <w:sz w:val="32"/>
          <w:szCs w:val="32"/>
        </w:rPr>
      </w:pPr>
      <w:r>
        <w:rPr>
          <w:rStyle w:val="17"/>
          <w:rFonts w:hint="eastAsia" w:ascii="仿宋" w:hAnsi="仿宋" w:eastAsia="仿宋"/>
          <w:b w:val="0"/>
          <w:sz w:val="32"/>
          <w:szCs w:val="32"/>
        </w:rPr>
        <w:t>8</w:t>
      </w:r>
      <w:r>
        <w:rPr>
          <w:rStyle w:val="17"/>
          <w:rFonts w:ascii="仿宋" w:hAnsi="仿宋" w:eastAsia="仿宋"/>
          <w:b w:val="0"/>
          <w:sz w:val="32"/>
          <w:szCs w:val="32"/>
        </w:rPr>
        <w:t>.</w:t>
      </w:r>
      <w:r>
        <w:rPr>
          <w:rStyle w:val="17"/>
          <w:rFonts w:hint="eastAsia" w:ascii="仿宋" w:hAnsi="仿宋" w:eastAsia="仿宋"/>
          <w:b w:val="0"/>
          <w:sz w:val="32"/>
          <w:szCs w:val="32"/>
        </w:rPr>
        <w:t>社会保障和就业-行政事业单位养老支出-机关事业单位基本养老保险缴费支出</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支出决算为24.65万元，完成预算100</w:t>
      </w:r>
      <w:r>
        <w:rPr>
          <w:rStyle w:val="17"/>
          <w:rFonts w:ascii="仿宋" w:hAnsi="仿宋" w:eastAsia="仿宋"/>
          <w:b w:val="0"/>
          <w:sz w:val="32"/>
          <w:szCs w:val="32"/>
        </w:rPr>
        <w:t>%</w:t>
      </w:r>
      <w:r>
        <w:rPr>
          <w:rStyle w:val="17"/>
          <w:rFonts w:hint="eastAsia" w:ascii="仿宋" w:hAnsi="仿宋" w:eastAsia="仿宋"/>
          <w:b w:val="0"/>
          <w:sz w:val="32"/>
          <w:szCs w:val="32"/>
        </w:rPr>
        <w:t>，决算数等于预算数。</w:t>
      </w:r>
    </w:p>
    <w:p>
      <w:pPr>
        <w:spacing w:line="600" w:lineRule="exact"/>
        <w:ind w:firstLine="640" w:firstLineChars="200"/>
        <w:rPr>
          <w:rFonts w:ascii="仿宋" w:hAnsi="仿宋" w:eastAsia="仿宋"/>
          <w:sz w:val="32"/>
          <w:szCs w:val="32"/>
        </w:rPr>
      </w:pPr>
      <w:r>
        <w:rPr>
          <w:rStyle w:val="17"/>
          <w:rFonts w:hint="eastAsia" w:ascii="仿宋" w:hAnsi="仿宋" w:eastAsia="仿宋"/>
          <w:b w:val="0"/>
          <w:sz w:val="32"/>
          <w:szCs w:val="32"/>
        </w:rPr>
        <w:t>9</w:t>
      </w:r>
      <w:r>
        <w:rPr>
          <w:rStyle w:val="17"/>
          <w:rFonts w:ascii="仿宋" w:hAnsi="仿宋" w:eastAsia="仿宋"/>
          <w:b w:val="0"/>
          <w:sz w:val="32"/>
          <w:szCs w:val="32"/>
        </w:rPr>
        <w:t>.</w:t>
      </w:r>
      <w:r>
        <w:rPr>
          <w:rStyle w:val="17"/>
          <w:rFonts w:hint="eastAsia" w:ascii="仿宋" w:hAnsi="仿宋" w:eastAsia="仿宋"/>
          <w:b w:val="0"/>
          <w:sz w:val="32"/>
          <w:szCs w:val="32"/>
        </w:rPr>
        <w:t>社会保障和就业-行政事业单位养老支出-机关事业单位职业年金缴费支出</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支出决算为16.76万元，完成预算100</w:t>
      </w:r>
      <w:r>
        <w:rPr>
          <w:rStyle w:val="17"/>
          <w:rFonts w:ascii="仿宋" w:hAnsi="仿宋" w:eastAsia="仿宋"/>
          <w:b w:val="0"/>
          <w:sz w:val="32"/>
          <w:szCs w:val="32"/>
        </w:rPr>
        <w:t>%</w:t>
      </w:r>
      <w:r>
        <w:rPr>
          <w:rStyle w:val="17"/>
          <w:rFonts w:hint="eastAsia" w:ascii="仿宋" w:hAnsi="仿宋" w:eastAsia="仿宋"/>
          <w:b w:val="0"/>
          <w:sz w:val="32"/>
          <w:szCs w:val="32"/>
        </w:rPr>
        <w:t>，决算数等于预算数。</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10.</w:t>
      </w:r>
      <w:r>
        <w:rPr>
          <w:rStyle w:val="17"/>
          <w:rFonts w:hint="eastAsia" w:ascii="仿宋" w:hAnsi="仿宋" w:eastAsia="仿宋"/>
          <w:b w:val="0"/>
          <w:sz w:val="32"/>
          <w:szCs w:val="32"/>
        </w:rPr>
        <w:t>社会保障和就业-行政事业单位养老支出-其他行政事业单位养老支出</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支出决算为0.9万元，完成预算100</w:t>
      </w:r>
      <w:r>
        <w:rPr>
          <w:rStyle w:val="17"/>
          <w:rFonts w:ascii="仿宋" w:hAnsi="仿宋" w:eastAsia="仿宋"/>
          <w:b w:val="0"/>
          <w:sz w:val="32"/>
          <w:szCs w:val="32"/>
        </w:rPr>
        <w:t>%</w:t>
      </w:r>
      <w:r>
        <w:rPr>
          <w:rStyle w:val="17"/>
          <w:rFonts w:hint="eastAsia" w:ascii="仿宋" w:hAnsi="仿宋" w:eastAsia="仿宋"/>
          <w:b w:val="0"/>
          <w:sz w:val="32"/>
          <w:szCs w:val="32"/>
        </w:rPr>
        <w:t>，决算数等于预算数。</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11.</w:t>
      </w:r>
      <w:r>
        <w:rPr>
          <w:rStyle w:val="17"/>
          <w:rFonts w:hint="eastAsia" w:ascii="仿宋" w:hAnsi="仿宋" w:eastAsia="仿宋"/>
          <w:b w:val="0"/>
          <w:sz w:val="32"/>
          <w:szCs w:val="32"/>
        </w:rPr>
        <w:t>社会保障和就业-其他社会保障和就业支出-其他社会保障和就业支出</w:t>
      </w:r>
      <w:r>
        <w:rPr>
          <w:rStyle w:val="17"/>
          <w:rFonts w:ascii="仿宋" w:hAnsi="仿宋" w:eastAsia="仿宋"/>
          <w:b w:val="0"/>
          <w:sz w:val="32"/>
          <w:szCs w:val="32"/>
        </w:rPr>
        <w:t xml:space="preserve">: </w:t>
      </w:r>
      <w:r>
        <w:rPr>
          <w:rStyle w:val="17"/>
          <w:rFonts w:hint="eastAsia" w:ascii="仿宋" w:hAnsi="仿宋" w:eastAsia="仿宋"/>
          <w:b w:val="0"/>
          <w:sz w:val="32"/>
          <w:szCs w:val="32"/>
        </w:rPr>
        <w:t>支出决算为1.78万元，完成预算100</w:t>
      </w:r>
      <w:r>
        <w:rPr>
          <w:rStyle w:val="17"/>
          <w:rFonts w:ascii="仿宋" w:hAnsi="仿宋" w:eastAsia="仿宋"/>
          <w:b w:val="0"/>
          <w:sz w:val="32"/>
          <w:szCs w:val="32"/>
        </w:rPr>
        <w:t>%</w:t>
      </w:r>
      <w:r>
        <w:rPr>
          <w:rStyle w:val="17"/>
          <w:rFonts w:hint="eastAsia" w:ascii="仿宋" w:hAnsi="仿宋" w:eastAsia="仿宋"/>
          <w:b w:val="0"/>
          <w:sz w:val="32"/>
          <w:szCs w:val="32"/>
        </w:rPr>
        <w:t>，决算数等于预算数。</w:t>
      </w:r>
    </w:p>
    <w:p>
      <w:pPr>
        <w:spacing w:line="600" w:lineRule="exact"/>
        <w:ind w:firstLine="640" w:firstLineChars="200"/>
      </w:pPr>
      <w:r>
        <w:rPr>
          <w:rFonts w:hint="eastAsia" w:ascii="仿宋" w:hAnsi="仿宋" w:eastAsia="仿宋"/>
          <w:sz w:val="32"/>
          <w:szCs w:val="32"/>
        </w:rPr>
        <w:t>12.卫生健康</w:t>
      </w:r>
      <w:r>
        <w:rPr>
          <w:rStyle w:val="17"/>
          <w:rFonts w:hint="eastAsia" w:ascii="仿宋" w:hAnsi="仿宋" w:eastAsia="仿宋"/>
          <w:b w:val="0"/>
          <w:sz w:val="32"/>
          <w:szCs w:val="32"/>
        </w:rPr>
        <w:t>-行政事业单位医疗-行政单位医疗</w:t>
      </w:r>
      <w:r>
        <w:rPr>
          <w:rStyle w:val="17"/>
          <w:rFonts w:ascii="仿宋" w:hAnsi="仿宋" w:eastAsia="仿宋"/>
          <w:b w:val="0"/>
          <w:sz w:val="32"/>
          <w:szCs w:val="32"/>
        </w:rPr>
        <w:t>:</w:t>
      </w:r>
      <w:r>
        <w:rPr>
          <w:rStyle w:val="17"/>
          <w:rFonts w:hint="eastAsia" w:ascii="仿宋" w:hAnsi="仿宋" w:eastAsia="仿宋"/>
          <w:b w:val="0"/>
          <w:sz w:val="32"/>
          <w:szCs w:val="32"/>
        </w:rPr>
        <w:t>支出决算为4.1万元，完成预算100</w:t>
      </w:r>
      <w:r>
        <w:rPr>
          <w:rStyle w:val="17"/>
          <w:rFonts w:ascii="仿宋" w:hAnsi="仿宋" w:eastAsia="仿宋"/>
          <w:b w:val="0"/>
          <w:sz w:val="32"/>
          <w:szCs w:val="32"/>
        </w:rPr>
        <w:t>%</w:t>
      </w:r>
      <w:r>
        <w:rPr>
          <w:rStyle w:val="17"/>
          <w:rFonts w:hint="eastAsia" w:ascii="仿宋" w:hAnsi="仿宋" w:eastAsia="仿宋"/>
          <w:b w:val="0"/>
          <w:sz w:val="32"/>
          <w:szCs w:val="32"/>
        </w:rPr>
        <w:t>，决算数等于预算数。</w:t>
      </w:r>
    </w:p>
    <w:p>
      <w:pPr>
        <w:spacing w:line="600" w:lineRule="exact"/>
        <w:ind w:firstLine="640" w:firstLineChars="200"/>
        <w:rPr>
          <w:rStyle w:val="17"/>
          <w:rFonts w:ascii="仿宋" w:hAnsi="仿宋" w:eastAsia="仿宋"/>
          <w:b w:val="0"/>
          <w:sz w:val="32"/>
          <w:szCs w:val="32"/>
        </w:rPr>
      </w:pPr>
      <w:r>
        <w:rPr>
          <w:rFonts w:hint="eastAsia" w:ascii="仿宋" w:hAnsi="仿宋" w:eastAsia="仿宋"/>
          <w:sz w:val="32"/>
          <w:szCs w:val="32"/>
        </w:rPr>
        <w:t>13.卫生健康</w:t>
      </w:r>
      <w:r>
        <w:rPr>
          <w:rStyle w:val="17"/>
          <w:rFonts w:hint="eastAsia" w:ascii="仿宋" w:hAnsi="仿宋" w:eastAsia="仿宋"/>
          <w:b w:val="0"/>
          <w:sz w:val="32"/>
          <w:szCs w:val="32"/>
        </w:rPr>
        <w:t>-行政事业单位医疗-事业单位医疗</w:t>
      </w:r>
      <w:r>
        <w:rPr>
          <w:rStyle w:val="17"/>
          <w:rFonts w:ascii="仿宋" w:hAnsi="仿宋" w:eastAsia="仿宋"/>
          <w:b w:val="0"/>
          <w:sz w:val="32"/>
          <w:szCs w:val="32"/>
        </w:rPr>
        <w:t>:</w:t>
      </w:r>
      <w:r>
        <w:rPr>
          <w:rStyle w:val="17"/>
          <w:rFonts w:hint="eastAsia" w:ascii="仿宋" w:hAnsi="仿宋" w:eastAsia="仿宋"/>
          <w:b w:val="0"/>
          <w:sz w:val="32"/>
          <w:szCs w:val="32"/>
        </w:rPr>
        <w:t>支出决算为5.62万元，完成预算100</w:t>
      </w:r>
      <w:r>
        <w:rPr>
          <w:rStyle w:val="17"/>
          <w:rFonts w:ascii="仿宋" w:hAnsi="仿宋" w:eastAsia="仿宋"/>
          <w:b w:val="0"/>
          <w:sz w:val="32"/>
          <w:szCs w:val="32"/>
        </w:rPr>
        <w:t>%</w:t>
      </w:r>
      <w:r>
        <w:rPr>
          <w:rStyle w:val="17"/>
          <w:rFonts w:hint="eastAsia" w:ascii="仿宋" w:hAnsi="仿宋" w:eastAsia="仿宋"/>
          <w:b w:val="0"/>
          <w:sz w:val="32"/>
          <w:szCs w:val="32"/>
        </w:rPr>
        <w:t>，决算数等于预算数。</w:t>
      </w:r>
    </w:p>
    <w:p>
      <w:pPr>
        <w:spacing w:line="600" w:lineRule="exact"/>
        <w:ind w:firstLine="640" w:firstLineChars="200"/>
        <w:rPr>
          <w:rStyle w:val="17"/>
          <w:rFonts w:ascii="仿宋" w:hAnsi="仿宋" w:eastAsia="仿宋"/>
          <w:b w:val="0"/>
          <w:sz w:val="32"/>
          <w:szCs w:val="32"/>
        </w:rPr>
      </w:pPr>
      <w:r>
        <w:rPr>
          <w:rStyle w:val="17"/>
          <w:rFonts w:hint="eastAsia" w:ascii="仿宋" w:hAnsi="仿宋" w:eastAsia="仿宋"/>
          <w:b w:val="0"/>
          <w:sz w:val="32"/>
          <w:szCs w:val="32"/>
        </w:rPr>
        <w:t>14.</w:t>
      </w:r>
      <w:r>
        <w:rPr>
          <w:rFonts w:hint="eastAsia" w:ascii="仿宋" w:hAnsi="仿宋" w:eastAsia="仿宋"/>
          <w:sz w:val="32"/>
          <w:szCs w:val="32"/>
        </w:rPr>
        <w:t>卫生健康</w:t>
      </w:r>
      <w:r>
        <w:rPr>
          <w:rStyle w:val="17"/>
          <w:rFonts w:hint="eastAsia" w:ascii="仿宋" w:hAnsi="仿宋" w:eastAsia="仿宋"/>
          <w:b w:val="0"/>
          <w:sz w:val="32"/>
          <w:szCs w:val="32"/>
        </w:rPr>
        <w:t>-行政事业单位医疗-公务员医疗补助</w:t>
      </w:r>
      <w:r>
        <w:rPr>
          <w:rStyle w:val="17"/>
          <w:rFonts w:ascii="仿宋" w:hAnsi="仿宋" w:eastAsia="仿宋"/>
          <w:b w:val="0"/>
          <w:sz w:val="32"/>
          <w:szCs w:val="32"/>
        </w:rPr>
        <w:t>:</w:t>
      </w:r>
      <w:r>
        <w:rPr>
          <w:rStyle w:val="17"/>
          <w:rFonts w:hint="eastAsia" w:ascii="仿宋" w:hAnsi="仿宋" w:eastAsia="仿宋"/>
          <w:b w:val="0"/>
          <w:sz w:val="32"/>
          <w:szCs w:val="32"/>
        </w:rPr>
        <w:t>支出决算为1.32万元，完成预算100</w:t>
      </w:r>
      <w:r>
        <w:rPr>
          <w:rStyle w:val="17"/>
          <w:rFonts w:ascii="仿宋" w:hAnsi="仿宋" w:eastAsia="仿宋"/>
          <w:b w:val="0"/>
          <w:sz w:val="32"/>
          <w:szCs w:val="32"/>
        </w:rPr>
        <w:t>%</w:t>
      </w:r>
      <w:r>
        <w:rPr>
          <w:rStyle w:val="17"/>
          <w:rFonts w:hint="eastAsia" w:ascii="仿宋" w:hAnsi="仿宋" w:eastAsia="仿宋"/>
          <w:b w:val="0"/>
          <w:sz w:val="32"/>
          <w:szCs w:val="32"/>
        </w:rPr>
        <w:t>，决算数等于预算数。</w:t>
      </w:r>
    </w:p>
    <w:p>
      <w:pPr>
        <w:spacing w:line="600" w:lineRule="exact"/>
        <w:ind w:firstLine="640" w:firstLineChars="200"/>
      </w:pPr>
      <w:r>
        <w:rPr>
          <w:rStyle w:val="17"/>
          <w:rFonts w:hint="eastAsia" w:ascii="仿宋" w:hAnsi="仿宋" w:eastAsia="仿宋"/>
          <w:b w:val="0"/>
          <w:bCs/>
          <w:sz w:val="32"/>
          <w:szCs w:val="32"/>
        </w:rPr>
        <w:t>15.农林水支出-巩固脱贫衔接乡村振兴-其他巩固脱贫衔接乡村振兴支出：支出决算数为21.48万元，完成预算100%，决算数等于预算数。</w:t>
      </w:r>
    </w:p>
    <w:p>
      <w:pPr>
        <w:spacing w:line="600" w:lineRule="exact"/>
        <w:ind w:firstLine="640" w:firstLineChars="200"/>
        <w:rPr>
          <w:rFonts w:ascii="仿宋" w:hAnsi="仿宋" w:eastAsia="仿宋"/>
          <w:b/>
          <w:sz w:val="32"/>
          <w:szCs w:val="32"/>
        </w:rPr>
      </w:pPr>
      <w:r>
        <w:rPr>
          <w:rStyle w:val="17"/>
          <w:rFonts w:hint="eastAsia" w:ascii="仿宋" w:hAnsi="仿宋" w:eastAsia="仿宋"/>
          <w:b w:val="0"/>
          <w:bCs/>
          <w:sz w:val="32"/>
          <w:szCs w:val="32"/>
        </w:rPr>
        <w:t>16.住房保障支出-住房改革支出-住房公积金：决算数为30.37万元，完成预算100%，决算数等于预算数。</w:t>
      </w:r>
    </w:p>
    <w:p>
      <w:pPr>
        <w:tabs>
          <w:tab w:val="right" w:pos="8306"/>
        </w:tabs>
        <w:spacing w:line="600" w:lineRule="exact"/>
        <w:ind w:firstLine="640"/>
        <w:outlineLvl w:val="1"/>
        <w:rPr>
          <w:rStyle w:val="31"/>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6"/>
      <w:bookmarkEnd w:id="37"/>
      <w:r>
        <w:rPr>
          <w:rStyle w:val="31"/>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22年一般公共预算财政拨款基本支出478.33万元，其中：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372.94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105.39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1"/>
          <w:rFonts w:ascii="黑体" w:hAnsi="黑体" w:eastAsia="黑体"/>
          <w:b w:val="0"/>
        </w:rPr>
      </w:pPr>
      <w:bookmarkStart w:id="38" w:name="_Toc15396609"/>
      <w:bookmarkStart w:id="39" w:name="_Toc15377215"/>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22年“三公”经费财政拨款支出决算为0.8万元，完成预算80</w:t>
      </w:r>
      <w:r>
        <w:rPr>
          <w:rFonts w:ascii="仿宋" w:hAnsi="仿宋" w:eastAsia="仿宋"/>
          <w:sz w:val="32"/>
          <w:szCs w:val="32"/>
        </w:rPr>
        <w:t>%</w:t>
      </w:r>
      <w:r>
        <w:rPr>
          <w:rFonts w:hint="eastAsia" w:ascii="仿宋" w:hAnsi="仿宋" w:eastAsia="仿宋"/>
          <w:sz w:val="32"/>
          <w:szCs w:val="32"/>
        </w:rPr>
        <w:t>，较上年减少4.98万元，下降90%。决算数小于预算数（或与预算数持平）的主要原因是厉行节约和部分票据未支付。</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；公务接待费支出决算0.8万元，占100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。主要原因无。</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月底，单位共有公务用车1辆，其中：轿车1辆、越野车0辆、载客汽车0辆。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0.8万元，</w:t>
      </w:r>
      <w:r>
        <w:rPr>
          <w:rStyle w:val="17"/>
          <w:rFonts w:hint="eastAsia" w:ascii="仿宋" w:hAnsi="仿宋" w:eastAsia="仿宋"/>
          <w:b w:val="0"/>
          <w:bCs/>
          <w:sz w:val="32"/>
          <w:szCs w:val="32"/>
        </w:rPr>
        <w:t>完成预算80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减少4.98万元，增长</w:t>
      </w:r>
      <w:r>
        <w:rPr>
          <w:rFonts w:ascii="仿宋_GB2312" w:eastAsia="仿宋_GB2312"/>
          <w:sz w:val="32"/>
          <w:szCs w:val="32"/>
        </w:rPr>
        <w:t>/</w:t>
      </w:r>
      <w:r>
        <w:rPr>
          <w:rFonts w:hint="eastAsia" w:ascii="仿宋_GB2312" w:eastAsia="仿宋_GB2312"/>
          <w:sz w:val="32"/>
          <w:szCs w:val="32"/>
        </w:rPr>
        <w:t>下降90</w:t>
      </w:r>
      <w:r>
        <w:rPr>
          <w:rFonts w:ascii="仿宋_GB2312" w:eastAsia="仿宋_GB2312"/>
          <w:sz w:val="32"/>
          <w:szCs w:val="32"/>
        </w:rPr>
        <w:t>%</w:t>
      </w:r>
      <w:r>
        <w:rPr>
          <w:rFonts w:hint="eastAsia" w:ascii="仿宋_GB2312" w:eastAsia="仿宋_GB2312"/>
          <w:sz w:val="32"/>
          <w:szCs w:val="32"/>
        </w:rPr>
        <w:t>。主要原因是厉行节约和部分票据暂未支付。其中：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0.8</w:t>
      </w:r>
      <w:r>
        <w:rPr>
          <w:rFonts w:hint="eastAsia" w:ascii="仿宋_GB2312" w:eastAsia="仿宋_GB2312"/>
          <w:sz w:val="32"/>
          <w:szCs w:val="32"/>
        </w:rPr>
        <w:t>万元，主要用于成都转转花旅游季接待费用等。国内公务接待12批次，130人次，共计支出0.8万元，具体内容包括：接待成都转转花旅游季客商领导等费用。</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（具体项目）。外事接待0批次，0人次（不包括陪同人员），共计支出0万元。</w:t>
      </w:r>
      <w:bookmarkStart w:id="42" w:name="_Toc15396610"/>
      <w:bookmarkStart w:id="43" w:name="_Toc15377218"/>
    </w:p>
    <w:p>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22年政府性基金预算财政拨款支出0.07万元。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31"/>
          <w:rFonts w:ascii="黑体" w:hAnsi="黑体" w:eastAsia="黑体"/>
          <w:b w:val="0"/>
        </w:rPr>
      </w:pPr>
      <w:bookmarkStart w:id="44" w:name="_Toc15396611"/>
      <w:bookmarkStart w:id="45" w:name="_Toc15377219"/>
      <w:r>
        <w:rPr>
          <w:rStyle w:val="31"/>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31"/>
          <w:rFonts w:ascii="黑体" w:hAnsi="黑体" w:eastAsia="黑体"/>
          <w:b w:val="0"/>
        </w:rPr>
      </w:pPr>
      <w:bookmarkStart w:id="46" w:name="_Toc15396612"/>
      <w:bookmarkStart w:id="47" w:name="_Toc15377221"/>
      <w:r>
        <w:rPr>
          <w:rStyle w:val="31"/>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22年，区委宣传部机关运行经费支出105.39万元，比</w:t>
      </w:r>
      <w:r>
        <w:rPr>
          <w:rFonts w:ascii="仿宋_GB2312" w:eastAsia="仿宋_GB2312"/>
          <w:sz w:val="32"/>
          <w:szCs w:val="32"/>
        </w:rPr>
        <w:t>20</w:t>
      </w:r>
      <w:r>
        <w:rPr>
          <w:rFonts w:hint="eastAsia" w:ascii="仿宋_GB2312" w:eastAsia="仿宋_GB2312"/>
          <w:sz w:val="32"/>
          <w:szCs w:val="32"/>
        </w:rPr>
        <w:t>21年增加99.61万元，增长98</w:t>
      </w:r>
      <w:r>
        <w:rPr>
          <w:rFonts w:ascii="仿宋_GB2312" w:eastAsia="仿宋_GB2312"/>
          <w:sz w:val="32"/>
          <w:szCs w:val="32"/>
        </w:rPr>
        <w:t>%</w:t>
      </w:r>
      <w:r>
        <w:rPr>
          <w:rFonts w:hint="eastAsia" w:ascii="仿宋_GB2312" w:eastAsia="仿宋_GB2312"/>
          <w:sz w:val="32"/>
          <w:szCs w:val="32"/>
        </w:rPr>
        <w:t>。主要原因是本年度机关运行经费包含了机关职工工资和运行经费。</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22年，0政府采购支出总额0万元，其中：政府采购货物支出0万元、政府采购工程支出0万元、政府采购服务支出0万元。授予中小企业合同金额0万元，占政府采购支出总额的0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日，区委宣传部共有车辆1辆，其中：主要领导干部用车0辆、机要通信用车0辆、应急保障用车1辆、其他用车0辆，其他用车主要是用于机关单位公务出行。单价</w:t>
      </w:r>
      <w:r>
        <w:rPr>
          <w:rFonts w:ascii="仿宋_GB2312" w:eastAsia="仿宋_GB2312"/>
          <w:sz w:val="32"/>
          <w:szCs w:val="32"/>
        </w:rPr>
        <w:t>100</w:t>
      </w:r>
      <w:r>
        <w:rPr>
          <w:rFonts w:hint="eastAsia" w:ascii="仿宋_GB2312" w:eastAsia="仿宋_GB2312"/>
          <w:sz w:val="32"/>
          <w:szCs w:val="32"/>
        </w:rPr>
        <w:t>万元以上专用设备1台（套）。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根据预算绩效管理要求，本部门在2022年度预算编制阶段，组织对中心组学习经费等20个项目开展了预算事前绩效评估，对20个项目编制了绩效目标，预算执行过程中，选取2个项目开展绩效监控。</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区委宣传部部门整体（含部门预算项目）绩效自评报告专项预算项目绩效自评报告，其中，2022年中共乐山市金口河区委宣传部部门整体（含部门预算项目）绩效自评得分为91分。绩效自评报告详见附件。</w:t>
      </w: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numPr>
          <w:ilvl w:val="0"/>
          <w:numId w:val="4"/>
        </w:numPr>
        <w:spacing w:line="600" w:lineRule="exact"/>
        <w:ind w:firstLine="660" w:firstLineChars="150"/>
        <w:jc w:val="center"/>
        <w:outlineLvl w:val="0"/>
        <w:rPr>
          <w:rStyle w:val="30"/>
          <w:rFonts w:ascii="黑体" w:hAnsi="黑体" w:eastAsia="黑体"/>
          <w:b w:val="0"/>
        </w:rPr>
      </w:pPr>
      <w:bookmarkStart w:id="51" w:name="_Toc15396613"/>
      <w:bookmarkStart w:id="52" w:name="_Toc15377225"/>
      <w:r>
        <w:rPr>
          <w:rFonts w:hint="eastAsia" w:ascii="黑体" w:hAnsi="黑体" w:eastAsia="黑体"/>
          <w:sz w:val="44"/>
          <w:szCs w:val="44"/>
        </w:rPr>
        <w:t>名</w:t>
      </w:r>
      <w:r>
        <w:rPr>
          <w:rStyle w:val="30"/>
          <w:rFonts w:hint="eastAsia" w:ascii="黑体" w:hAnsi="黑体" w:eastAsia="黑体"/>
          <w:b w:val="0"/>
        </w:rPr>
        <w:t>词解释</w:t>
      </w:r>
      <w:bookmarkEnd w:id="51"/>
      <w:bookmarkEnd w:id="52"/>
    </w:p>
    <w:p>
      <w:pPr>
        <w:spacing w:line="600" w:lineRule="exact"/>
        <w:jc w:val="left"/>
        <w:rPr>
          <w:rFonts w:ascii="宋体"/>
          <w:b/>
          <w:sz w:val="44"/>
          <w:szCs w:val="44"/>
        </w:rPr>
      </w:pP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9.</w:t>
      </w:r>
      <w:r>
        <w:rPr>
          <w:rFonts w:hint="eastAsia" w:ascii="仿宋_GB2312" w:hAnsi="Calibri" w:eastAsia="仿宋_GB2312" w:cs="仿宋"/>
          <w:b/>
          <w:kern w:val="0"/>
        </w:rPr>
        <w:t xml:space="preserve"> </w:t>
      </w:r>
      <w:r>
        <w:rPr>
          <w:rFonts w:hint="eastAsia" w:ascii="仿宋_GB2312" w:hAnsi="Calibri" w:eastAsia="仿宋_GB2312" w:cs="仿宋"/>
          <w:color w:val="000000"/>
          <w:kern w:val="0"/>
          <w:sz w:val="32"/>
          <w:szCs w:val="32"/>
        </w:rPr>
        <w:t>一般公共服务（类）宣传事务（款）行政运行（项）：</w:t>
      </w:r>
      <w:r>
        <w:rPr>
          <w:rFonts w:ascii="仿宋_GB2312" w:hAnsi="Calibri" w:eastAsia="仿宋_GB2312" w:cs="仿宋"/>
          <w:color w:val="000000"/>
          <w:kern w:val="0"/>
          <w:sz w:val="32"/>
          <w:szCs w:val="32"/>
        </w:rPr>
        <w:t>指行政单位的基本支出。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10.一般公共服务（类）宣传事务（款）民族工作专项（项）：</w:t>
      </w:r>
      <w:r>
        <w:rPr>
          <w:rFonts w:ascii="仿宋_GB2312" w:hAnsi="Calibri" w:eastAsia="仿宋_GB2312" w:cs="仿宋"/>
          <w:color w:val="000000"/>
          <w:kern w:val="0"/>
          <w:sz w:val="32"/>
          <w:szCs w:val="32"/>
        </w:rPr>
        <w:t>指</w:t>
      </w:r>
      <w:r>
        <w:rPr>
          <w:rFonts w:hint="eastAsia" w:ascii="仿宋_GB2312" w:hAnsi="Calibri" w:eastAsia="仿宋_GB2312" w:cs="仿宋"/>
          <w:color w:val="000000"/>
          <w:kern w:val="0"/>
          <w:sz w:val="32"/>
          <w:szCs w:val="32"/>
        </w:rPr>
        <w:t>民族地区补助支出</w:t>
      </w:r>
      <w:r>
        <w:rPr>
          <w:rFonts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11.一般公共服务（类）宣传事务（款）一般行政管理事务（项）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w:t>
      </w:r>
      <w:r>
        <w:rPr>
          <w:rFonts w:ascii="仿宋_GB2312" w:hAnsi="Calibri" w:eastAsia="仿宋_GB2312" w:cs="仿宋"/>
          <w:color w:val="000000"/>
          <w:kern w:val="0"/>
          <w:sz w:val="32"/>
          <w:szCs w:val="32"/>
        </w:rPr>
        <w:t>行政单位（包括实行公务员管理的事业单位）未单独设置项级科目的其他项目支出</w:t>
      </w:r>
      <w:r>
        <w:rPr>
          <w:rFonts w:hint="eastAsia"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12.一般公共服务（类）宣传事务（款）事业运行（项）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指事业单位基本支出。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13.一般公共服务（类）宣传事务（款）其他宣传事务支出（项）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指事业单位基本支出。</w:t>
      </w:r>
    </w:p>
    <w:p>
      <w:pPr>
        <w:spacing w:line="600" w:lineRule="exact"/>
        <w:ind w:firstLine="640" w:firstLineChars="200"/>
        <w:rPr>
          <w:rStyle w:val="17"/>
          <w:rFonts w:ascii="仿宋" w:hAnsi="仿宋" w:eastAsia="仿宋"/>
          <w:b w:val="0"/>
          <w:color w:val="000000"/>
          <w:sz w:val="32"/>
          <w:szCs w:val="32"/>
        </w:rPr>
      </w:pPr>
      <w:r>
        <w:rPr>
          <w:rFonts w:hint="eastAsia" w:ascii="仿宋_GB2312" w:hAnsi="Calibri" w:eastAsia="仿宋_GB2312" w:cs="仿宋"/>
          <w:color w:val="000000"/>
          <w:kern w:val="0"/>
          <w:sz w:val="32"/>
          <w:szCs w:val="32"/>
        </w:rPr>
        <w:t>14.</w:t>
      </w:r>
      <w:r>
        <w:rPr>
          <w:rStyle w:val="17"/>
          <w:rFonts w:hint="eastAsia" w:ascii="仿宋" w:hAnsi="仿宋" w:eastAsia="仿宋"/>
          <w:b w:val="0"/>
          <w:color w:val="000000"/>
          <w:sz w:val="32"/>
          <w:szCs w:val="32"/>
        </w:rPr>
        <w:t>教育支出（类）进修及培训（款）培训支出（乡）：指行政单位培训支出。</w:t>
      </w:r>
    </w:p>
    <w:p>
      <w:pPr>
        <w:spacing w:line="600" w:lineRule="exact"/>
        <w:ind w:firstLine="640" w:firstLineChars="200"/>
        <w:rPr>
          <w:rFonts w:ascii="ˎ̥" w:hAnsi="ˎ̥" w:cs="Arial"/>
          <w:kern w:val="0"/>
          <w:sz w:val="18"/>
          <w:szCs w:val="18"/>
        </w:rPr>
      </w:pPr>
      <w:r>
        <w:rPr>
          <w:rStyle w:val="17"/>
          <w:rFonts w:hint="eastAsia" w:ascii="仿宋" w:hAnsi="仿宋" w:eastAsia="仿宋"/>
          <w:b w:val="0"/>
          <w:color w:val="000000"/>
          <w:sz w:val="32"/>
          <w:szCs w:val="32"/>
        </w:rPr>
        <w:t>15.</w:t>
      </w:r>
      <w:r>
        <w:rPr>
          <w:rFonts w:hint="eastAsia" w:ascii="仿宋_GB2312" w:hAnsi="Calibri" w:eastAsia="仿宋_GB2312" w:cs="仿宋"/>
          <w:color w:val="000000"/>
          <w:kern w:val="0"/>
          <w:sz w:val="32"/>
          <w:szCs w:val="32"/>
        </w:rPr>
        <w:t>文化旅游体育与传媒支出（类）文化和旅游（款）其他文化和旅游支出（项）</w:t>
      </w:r>
      <w:r>
        <w:rPr>
          <w:rFonts w:ascii="仿宋_GB2312" w:hAnsi="Calibri" w:eastAsia="仿宋_GB2312" w:cs="仿宋"/>
          <w:color w:val="000000"/>
          <w:kern w:val="0"/>
          <w:sz w:val="32"/>
          <w:szCs w:val="32"/>
        </w:rPr>
        <w:t>: 指用于文化体育传媒方面的支出</w:t>
      </w:r>
      <w:r>
        <w:rPr>
          <w:rFonts w:hint="eastAsia"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16.文化旅游体育与传媒支出（类）新闻出版电影（款）电影（项）</w:t>
      </w:r>
      <w:r>
        <w:rPr>
          <w:rFonts w:ascii="仿宋_GB2312" w:hAnsi="Calibri" w:eastAsia="仿宋_GB2312" w:cs="仿宋"/>
          <w:color w:val="000000"/>
          <w:kern w:val="0"/>
          <w:sz w:val="32"/>
          <w:szCs w:val="32"/>
        </w:rPr>
        <w:t>: 指用于新闻出版广播影视方面的支出</w:t>
      </w:r>
      <w:r>
        <w:rPr>
          <w:rFonts w:hint="eastAsia"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17.文化旅游体育与传媒支出（类）新闻出版电影（款）其他新闻出版电影支出（项）</w:t>
      </w:r>
      <w:r>
        <w:rPr>
          <w:rFonts w:ascii="仿宋_GB2312" w:hAnsi="Calibri" w:eastAsia="仿宋_GB2312" w:cs="仿宋"/>
          <w:color w:val="000000"/>
          <w:kern w:val="0"/>
          <w:sz w:val="32"/>
          <w:szCs w:val="32"/>
        </w:rPr>
        <w:t>: 指用于</w:t>
      </w:r>
      <w:r>
        <w:rPr>
          <w:rFonts w:hint="eastAsia" w:ascii="仿宋_GB2312" w:hAnsi="Calibri" w:eastAsia="仿宋_GB2312" w:cs="仿宋"/>
          <w:color w:val="000000"/>
          <w:kern w:val="0"/>
          <w:sz w:val="32"/>
          <w:szCs w:val="32"/>
        </w:rPr>
        <w:t>其他</w:t>
      </w:r>
      <w:r>
        <w:rPr>
          <w:rFonts w:ascii="仿宋_GB2312" w:hAnsi="Calibri" w:eastAsia="仿宋_GB2312" w:cs="仿宋"/>
          <w:color w:val="000000"/>
          <w:kern w:val="0"/>
          <w:sz w:val="32"/>
          <w:szCs w:val="32"/>
        </w:rPr>
        <w:t>新闻出版广播影视方面的支出</w:t>
      </w:r>
      <w:r>
        <w:rPr>
          <w:rFonts w:hint="eastAsia"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18.文化旅游体育与传媒支出（类）其他文化旅游体育与传媒支出（款）其他文化旅游体育与传媒支出（项）</w:t>
      </w:r>
      <w:r>
        <w:rPr>
          <w:rFonts w:ascii="仿宋_GB2312" w:hAnsi="Calibri" w:eastAsia="仿宋_GB2312" w:cs="仿宋"/>
          <w:color w:val="000000"/>
          <w:kern w:val="0"/>
          <w:sz w:val="32"/>
          <w:szCs w:val="32"/>
        </w:rPr>
        <w:t>: 指用于</w:t>
      </w:r>
      <w:r>
        <w:rPr>
          <w:rFonts w:hint="eastAsia" w:ascii="仿宋_GB2312" w:hAnsi="Calibri" w:eastAsia="仿宋_GB2312" w:cs="仿宋"/>
          <w:color w:val="000000"/>
          <w:kern w:val="0"/>
          <w:sz w:val="32"/>
          <w:szCs w:val="32"/>
        </w:rPr>
        <w:t>其他</w:t>
      </w:r>
      <w:r>
        <w:rPr>
          <w:rFonts w:ascii="仿宋_GB2312" w:hAnsi="Calibri" w:eastAsia="仿宋_GB2312" w:cs="仿宋"/>
          <w:color w:val="000000"/>
          <w:kern w:val="0"/>
          <w:sz w:val="32"/>
          <w:szCs w:val="32"/>
        </w:rPr>
        <w:t>文化体育传媒方面的支出</w:t>
      </w:r>
      <w:r>
        <w:rPr>
          <w:rFonts w:hint="eastAsia" w:ascii="仿宋_GB2312" w:hAnsi="Calibri" w:eastAsia="仿宋_GB2312" w:cs="仿宋"/>
          <w:color w:val="000000"/>
          <w:kern w:val="0"/>
          <w:sz w:val="32"/>
          <w:szCs w:val="32"/>
        </w:rPr>
        <w:t>。</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19.社会保障和就业支出（类）行政事业单位养老支出（款）机关事业单位基本养老保险缴费支出（项）</w:t>
      </w:r>
      <w:r>
        <w:rPr>
          <w:rFonts w:ascii="仿宋_GB2312" w:hAnsi="Calibri" w:eastAsia="仿宋_GB2312" w:cs="仿宋"/>
          <w:color w:val="000000"/>
          <w:kern w:val="0"/>
          <w:sz w:val="32"/>
          <w:szCs w:val="32"/>
        </w:rPr>
        <w:t>: 指机关事业单位实施养老保险制度由单位缴纳的基本养老保险费支出。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20.社会保障和就业支出（类）行政事业单位养老支出（款）机关事业单位职业年金缴费支出（项）</w:t>
      </w:r>
      <w:r>
        <w:rPr>
          <w:rFonts w:ascii="仿宋_GB2312" w:hAnsi="Calibri" w:eastAsia="仿宋_GB2312" w:cs="仿宋"/>
          <w:color w:val="000000"/>
          <w:kern w:val="0"/>
          <w:sz w:val="32"/>
          <w:szCs w:val="32"/>
        </w:rPr>
        <w:t>: 指机关事业单位</w:t>
      </w:r>
      <w:r>
        <w:rPr>
          <w:rFonts w:hint="eastAsia" w:ascii="仿宋_GB2312" w:hAnsi="Calibri" w:eastAsia="仿宋_GB2312" w:cs="仿宋"/>
          <w:color w:val="000000"/>
          <w:kern w:val="0"/>
          <w:sz w:val="32"/>
          <w:szCs w:val="32"/>
        </w:rPr>
        <w:t>职业年金缴费</w:t>
      </w:r>
      <w:r>
        <w:rPr>
          <w:rFonts w:ascii="仿宋_GB2312" w:hAnsi="Calibri" w:eastAsia="仿宋_GB2312" w:cs="仿宋"/>
          <w:color w:val="000000"/>
          <w:kern w:val="0"/>
          <w:sz w:val="32"/>
          <w:szCs w:val="32"/>
        </w:rPr>
        <w:t>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21.社会保障和就业支出（类）行政事业单位养老支出（款）其他行政事业单位养老支出（项）</w:t>
      </w:r>
      <w:r>
        <w:rPr>
          <w:rFonts w:ascii="仿宋_GB2312" w:hAnsi="Calibri" w:eastAsia="仿宋_GB2312" w:cs="仿宋"/>
          <w:color w:val="000000"/>
          <w:kern w:val="0"/>
          <w:sz w:val="32"/>
          <w:szCs w:val="32"/>
        </w:rPr>
        <w:t>: 指用于</w:t>
      </w:r>
      <w:r>
        <w:rPr>
          <w:rFonts w:hint="eastAsia" w:ascii="仿宋_GB2312" w:hAnsi="Calibri" w:eastAsia="仿宋_GB2312" w:cs="仿宋"/>
          <w:color w:val="000000"/>
          <w:kern w:val="0"/>
          <w:sz w:val="32"/>
          <w:szCs w:val="32"/>
        </w:rPr>
        <w:t>其他事业单位</w:t>
      </w:r>
      <w:r>
        <w:rPr>
          <w:rFonts w:ascii="仿宋_GB2312" w:hAnsi="Calibri" w:eastAsia="仿宋_GB2312" w:cs="仿宋"/>
          <w:color w:val="000000"/>
          <w:kern w:val="0"/>
          <w:sz w:val="32"/>
          <w:szCs w:val="32"/>
        </w:rPr>
        <w:t>实施养老保险制度由单位缴纳的基本养老保险费支出。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23.社会保障和就业支出（类）其他社会保障和就业支出（款）其他社会保障和就业支出（项）</w:t>
      </w:r>
      <w:r>
        <w:rPr>
          <w:rFonts w:ascii="仿宋_GB2312" w:hAnsi="Calibri" w:eastAsia="仿宋_GB2312" w:cs="仿宋"/>
          <w:color w:val="000000"/>
          <w:kern w:val="0"/>
          <w:sz w:val="32"/>
          <w:szCs w:val="32"/>
        </w:rPr>
        <w:t>: 指用于</w:t>
      </w:r>
      <w:r>
        <w:rPr>
          <w:rFonts w:hint="eastAsia" w:ascii="仿宋_GB2312" w:hAnsi="Calibri" w:eastAsia="仿宋_GB2312" w:cs="仿宋"/>
          <w:color w:val="000000"/>
          <w:kern w:val="0"/>
          <w:sz w:val="32"/>
          <w:szCs w:val="32"/>
        </w:rPr>
        <w:t>其他事业单位社会保障和就业</w:t>
      </w:r>
      <w:r>
        <w:rPr>
          <w:rFonts w:ascii="仿宋_GB2312" w:hAnsi="Calibri" w:eastAsia="仿宋_GB2312" w:cs="仿宋"/>
          <w:color w:val="000000"/>
          <w:kern w:val="0"/>
          <w:sz w:val="32"/>
          <w:szCs w:val="32"/>
        </w:rPr>
        <w:t>支出。</w:t>
      </w:r>
    </w:p>
    <w:p>
      <w:pPr>
        <w:spacing w:line="600" w:lineRule="exact"/>
        <w:ind w:firstLine="640" w:firstLineChars="200"/>
        <w:rPr>
          <w:rFonts w:ascii="ˎ̥" w:hAnsi="ˎ̥" w:cs="Arial"/>
          <w:kern w:val="0"/>
          <w:sz w:val="18"/>
          <w:szCs w:val="18"/>
        </w:rPr>
      </w:pPr>
      <w:r>
        <w:rPr>
          <w:rFonts w:hint="eastAsia" w:ascii="仿宋_GB2312" w:hAnsi="Calibri" w:eastAsia="仿宋_GB2312" w:cs="仿宋"/>
          <w:color w:val="000000"/>
          <w:kern w:val="0"/>
          <w:sz w:val="32"/>
          <w:szCs w:val="32"/>
        </w:rPr>
        <w:t>24.卫生健康支出（类）行政事业单位医疗（款）行政单位医疗（项）</w:t>
      </w:r>
      <w:r>
        <w:rPr>
          <w:rFonts w:ascii="仿宋_GB2312" w:hAnsi="Calibri" w:eastAsia="仿宋_GB2312" w:cs="仿宋"/>
          <w:color w:val="000000"/>
          <w:kern w:val="0"/>
          <w:sz w:val="32"/>
          <w:szCs w:val="32"/>
        </w:rPr>
        <w:t>:</w:t>
      </w:r>
      <w:r>
        <w:rPr>
          <w:rFonts w:ascii="ˎ̥" w:hAnsi="ˎ̥" w:cs="Arial"/>
          <w:kern w:val="0"/>
          <w:sz w:val="18"/>
          <w:szCs w:val="18"/>
        </w:rPr>
        <w:t xml:space="preserve"> </w:t>
      </w:r>
      <w:r>
        <w:rPr>
          <w:rFonts w:ascii="仿宋_GB2312" w:hAnsi="Calibri" w:eastAsia="仿宋_GB2312" w:cs="仿宋"/>
          <w:color w:val="000000"/>
          <w:kern w:val="0"/>
          <w:sz w:val="32"/>
          <w:szCs w:val="32"/>
        </w:rPr>
        <w:t>指财政部门集中安排的行政单位基本医疗保险缴费</w:t>
      </w:r>
      <w:r>
        <w:rPr>
          <w:rFonts w:hint="eastAsia" w:ascii="仿宋_GB2312" w:hAnsi="Calibri" w:eastAsia="仿宋_GB2312" w:cs="仿宋"/>
          <w:color w:val="000000"/>
          <w:kern w:val="0"/>
          <w:sz w:val="32"/>
          <w:szCs w:val="32"/>
        </w:rPr>
        <w:t>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25.卫生健康支出（类）行政事业单位医疗（款）事业单位医疗（项）</w:t>
      </w:r>
      <w:r>
        <w:rPr>
          <w:rFonts w:ascii="仿宋_GB2312" w:hAnsi="Calibri" w:eastAsia="仿宋_GB2312" w:cs="仿宋"/>
          <w:color w:val="000000"/>
          <w:kern w:val="0"/>
          <w:sz w:val="32"/>
          <w:szCs w:val="32"/>
        </w:rPr>
        <w:t>: 指财政部门集中安排的</w:t>
      </w:r>
      <w:r>
        <w:rPr>
          <w:rFonts w:hint="eastAsia" w:ascii="仿宋_GB2312" w:hAnsi="Calibri" w:eastAsia="仿宋_GB2312" w:cs="仿宋"/>
          <w:color w:val="000000"/>
          <w:kern w:val="0"/>
          <w:sz w:val="32"/>
          <w:szCs w:val="32"/>
        </w:rPr>
        <w:t>事业</w:t>
      </w:r>
      <w:r>
        <w:rPr>
          <w:rFonts w:ascii="仿宋_GB2312" w:hAnsi="Calibri" w:eastAsia="仿宋_GB2312" w:cs="仿宋"/>
          <w:color w:val="000000"/>
          <w:kern w:val="0"/>
          <w:sz w:val="32"/>
          <w:szCs w:val="32"/>
        </w:rPr>
        <w:t>单位基本医疗保险缴费</w:t>
      </w:r>
      <w:r>
        <w:rPr>
          <w:rFonts w:hint="eastAsia" w:ascii="仿宋_GB2312" w:hAnsi="Calibri" w:eastAsia="仿宋_GB2312" w:cs="仿宋"/>
          <w:color w:val="000000"/>
          <w:kern w:val="0"/>
          <w:sz w:val="32"/>
          <w:szCs w:val="32"/>
        </w:rPr>
        <w:t>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26. 农林水（类）扶贫（款）其他扶贫（项）反映除上述项目以外其他用于扶贫方面的支出。</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27. 住房保障：（类）指住房保障支出（款）住房改革支出（项）指住房公积金：反映行政事业单位按人力资源和社会保障部、财政部规定的基本工资和津贴补贴以及规定比例为职工缴纳的住房公积金。</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28.结余分配：指事业单位按规定提取的职工福利基金、事业基金和缴纳的所得税，以及建设单位按规定应交回的基本建设竣工项目结余资金。</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rPr>
        <w:t>29.年末结转和结余：指本年度或以前年度预算安排、因客观条件发生变化无法按原计划实施，需延迟到以后年度按有关规定继续使用的资金。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32</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 w:hAnsi="仿宋" w:eastAsia="仿宋"/>
          <w:b/>
          <w:sz w:val="32"/>
          <w:szCs w:val="32"/>
        </w:rPr>
      </w:pPr>
      <w:r>
        <w:rPr>
          <w:rFonts w:ascii="仿宋_GB2312" w:eastAsia="仿宋_GB2312"/>
          <w:sz w:val="32"/>
          <w:szCs w:val="32"/>
        </w:rPr>
        <w:t>3</w:t>
      </w: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0"/>
          <w:rFonts w:ascii="黑体" w:hAnsi="黑体" w:eastAsia="黑体"/>
          <w:b w:val="0"/>
        </w:rPr>
      </w:pPr>
      <w:bookmarkStart w:id="53" w:name="_Toc15377226"/>
      <w:r>
        <w:rPr>
          <w:rFonts w:ascii="宋体"/>
          <w:b/>
          <w:sz w:val="44"/>
          <w:szCs w:val="44"/>
        </w:rPr>
        <w:br w:type="page"/>
      </w:r>
      <w:bookmarkStart w:id="54" w:name="_Toc15396614"/>
      <w:r>
        <w:rPr>
          <w:rFonts w:hint="eastAsia" w:ascii="黑体" w:hAnsi="黑体" w:eastAsia="黑体"/>
          <w:sz w:val="44"/>
          <w:szCs w:val="44"/>
        </w:rPr>
        <w:t>第</w:t>
      </w:r>
      <w:r>
        <w:rPr>
          <w:rStyle w:val="30"/>
          <w:rFonts w:hint="eastAsia" w:ascii="黑体" w:hAnsi="黑体" w:eastAsia="黑体"/>
          <w:b w:val="0"/>
        </w:rPr>
        <w:t>四部分 附件</w:t>
      </w:r>
      <w:bookmarkEnd w:id="54"/>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2022年区委宣传部部门整体绩效评价报告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numPr>
          <w:ilvl w:val="0"/>
          <w:numId w:val="6"/>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中共乐山市金口河区委宣传部属独立核算的一级预算单位，执行行政单位会计制度，内设办公室、理论科等2个科室。挂乐山市金口河区精神文明建设活动办公室、区委对外宣传办公室（区政府新闻办公室）、区新闻出版局（区版权局）牌子等牌子。下属金口河区融媒体中心和金口河区文学艺术联合会两个事业单位。</w:t>
      </w:r>
    </w:p>
    <w:p>
      <w:pPr>
        <w:widowControl/>
        <w:numPr>
          <w:ilvl w:val="0"/>
          <w:numId w:val="6"/>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1.负责组织、引导全区的理论研究、理论学习和理论宣传工作。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2.负责引导社会舆论，指导、协调全区新闻宣传工作，对区广电宣传中心的工作实施政治方向、方针、政策的指导。</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3.负责规划、部署全局性的思想政治工作任务。配合区委组织部做好党员教育工作，会同有关部门研究和改进群众思想教育工作。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4.负责全区群众性精神文明创建工作的规划和组织实施，协调、指导和监督全区文明单位、行业、村镇、社区、未成年人思想道德建设等各类群众性精神文明创建活动。</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5.负责指导精神产品的生产和文化市场的管理。对区文广新局的工作实施宏观指导与协调。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6.负责从宏观上指导全区中小学校的德育、政治理论课教学和思想政治工作。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7.负责全区对外宣传工作的总体规划，组织协调，指导和管理全区的外宣工作。</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8.负责制定全区宣传干部的培训规划并组织实施。</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9.负责提出宣传思想文化事业发展的指导意见，指导文化系统制定政策、法规，按照区委的工作部署，对宣传文化系统各部门之间的工作进行协调。</w:t>
      </w:r>
    </w:p>
    <w:p>
      <w:pPr>
        <w:widowControl/>
        <w:adjustRightInd w:val="0"/>
        <w:snapToGrid w:val="0"/>
        <w:spacing w:line="560" w:lineRule="exact"/>
        <w:ind w:left="420" w:left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10.完成区委和市委宣传部交办的其他任务。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本部门共有在编人员</w:t>
      </w:r>
      <w:r>
        <w:rPr>
          <w:rFonts w:hint="eastAsia" w:ascii="仿宋_GB2312" w:hAnsi="宋体" w:eastAsia="仿宋_GB2312" w:cs="宋体"/>
          <w:color w:val="000000"/>
          <w:kern w:val="0"/>
          <w:sz w:val="32"/>
          <w:szCs w:val="32"/>
          <w:shd w:val="clear" w:color="auto" w:fill="FFFFFF"/>
        </w:rPr>
        <w:t>21人，其中行政人员6人，参照公务员管理的事业人员1人，事业人员13人。</w:t>
      </w:r>
    </w:p>
    <w:p>
      <w:pPr>
        <w:widowControl/>
        <w:numPr>
          <w:ilvl w:val="0"/>
          <w:numId w:val="6"/>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年度主要工作任务。</w:t>
      </w:r>
    </w:p>
    <w:p>
      <w:pPr>
        <w:spacing w:line="56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1.聚焦理论武装强信念，实施创新理论走心工程。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们始终把学习宣传贯彻习近平新时代中国特色社会主义思想作为首要政治任务，做好深化、转化两篇文章，推动党的创新理论入脑入心。开展2022年常规专项巡察，将理论武装纳入意识形态专项巡察，发现并督促整改问题29个推进全省一地一品示范项目乐山市“鸽鸽讲堂”宣讲队提档升级，围绕党的十九届六中全会精神、习近平总书记来川视察重要指示精神、省第十二次党代会精神创作《辉煌百年》《理想巴蜀》等理论宣讲短视频8个，围绕疫情防控、移风易俗、森林防火等主题制作“鸽鸽微视频”12期，开展线上线下专题宣讲994场，让党的创新理论飞入寻常百姓家。</w:t>
      </w:r>
    </w:p>
    <w:p>
      <w:pPr>
        <w:spacing w:line="560" w:lineRule="exact"/>
        <w:ind w:left="63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（二）聚焦社会稳定强管控，实施网络清朗瞭望哨工程。</w:t>
      </w:r>
    </w:p>
    <w:p>
      <w:pPr>
        <w:pStyle w:val="6"/>
        <w:spacing w:before="93" w:line="560" w:lineRule="exact"/>
        <w:ind w:right="17" w:firstLine="640" w:firstLineChars="200"/>
        <w:rPr>
          <w:rFonts w:hAnsi="仿宋_GB2312" w:cs="仿宋_GB2312"/>
          <w:sz w:val="32"/>
          <w:szCs w:val="32"/>
        </w:rPr>
      </w:pPr>
      <w:r>
        <w:rPr>
          <w:rFonts w:hint="eastAsia" w:hAnsi="仿宋_GB2312" w:cs="仿宋_GB2312"/>
          <w:sz w:val="32"/>
          <w:szCs w:val="32"/>
        </w:rPr>
        <w:t>着力加快网络综合治理体系建设，</w:t>
      </w:r>
      <w:r>
        <w:rPr>
          <w:rFonts w:hint="eastAsia" w:hAnsi="仿宋_GB2312" w:cs="仿宋_GB2312"/>
          <w:kern w:val="2"/>
          <w:sz w:val="32"/>
          <w:szCs w:val="32"/>
        </w:rPr>
        <w:t>开展服务保障党的二十大网络安全大排查，强化全区党政机关门户网站、重点新闻网站、网络平台和关键信息基础设施管控</w:t>
      </w:r>
      <w:r>
        <w:rPr>
          <w:rFonts w:hint="eastAsia" w:hAnsi="仿宋_GB2312" w:cs="仿宋_GB2312"/>
          <w:sz w:val="32"/>
          <w:szCs w:val="32"/>
        </w:rPr>
        <w:t>。</w:t>
      </w:r>
    </w:p>
    <w:p>
      <w:pPr>
        <w:spacing w:line="56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（三）聚焦文明建设提品质，实施道德风尚引领工程。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凝心聚力，离不开榜样的引领。这一年，我们用心用情讲述榜样故事、宣传先进事迹，在全社会厚植道德沃土、构筑文明高地，带动更多人不忘初心、砥砺前行。依托延风中学</w:t>
      </w:r>
      <w:r>
        <w:rPr>
          <w:rFonts w:hint="eastAsia" w:ascii="仿宋" w:hAnsi="仿宋" w:eastAsia="仿宋" w:cs="仿宋"/>
          <w:sz w:val="32"/>
          <w:szCs w:val="32"/>
        </w:rPr>
        <w:t>“点亮火把”金口河区青少年禁毒防艾教育基地，打造未成年人思想道德建设基地；</w:t>
      </w:r>
      <w:r>
        <w:rPr>
          <w:rFonts w:hint="eastAsia" w:ascii="仿宋_GB2312" w:hAnsi="仿宋_GB2312" w:eastAsia="仿宋_GB2312" w:cs="仿宋_GB2312"/>
          <w:sz w:val="32"/>
          <w:szCs w:val="32"/>
        </w:rPr>
        <w:t>深入开展“践行十爱 德耀嘉州”主题活动，推荐5个集体、4个推进“十爱”工作先进个人、17个践行“十爱”先进个人参加乐山市“践行十爱 德耀嘉州”先进集体和先进人个评选表彰活动。</w:t>
      </w:r>
    </w:p>
    <w:p>
      <w:pPr>
        <w:spacing w:line="560" w:lineRule="exact"/>
        <w:ind w:left="420" w:left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（四）聚焦文旅发展惠民生，实施文旅融合示范工程。</w:t>
      </w:r>
    </w:p>
    <w:p>
      <w:pPr>
        <w:pStyle w:val="6"/>
        <w:spacing w:before="93" w:line="560" w:lineRule="exact"/>
        <w:ind w:firstLine="640" w:firstLineChars="200"/>
        <w:rPr>
          <w:rFonts w:hAnsi="仿宋_GB2312" w:cs="仿宋_GB2312"/>
          <w:sz w:val="32"/>
          <w:szCs w:val="32"/>
        </w:rPr>
      </w:pPr>
      <w:r>
        <w:rPr>
          <w:rFonts w:hint="eastAsia" w:hAnsi="仿宋_GB2312" w:cs="仿宋_GB2312"/>
          <w:sz w:val="32"/>
          <w:szCs w:val="32"/>
        </w:rPr>
        <w:t>一条条“沾泥土、带露珠、冒热气”的精品力作，展现了广大干部群众团结一心建设现代化金口河的精神风貌；一部部贴近群众、贴近生活的文艺文化精品，讴歌了伟大时代，让全区的文化文艺传播实现新突破。围绕“一山一峡一馆一街”打造“一剧一舞一歌”，深入推进文旅融合发展，依托大峡谷景区扩容项目，加快铁道兵博物馆提档升级。</w:t>
      </w:r>
    </w:p>
    <w:p>
      <w:pPr>
        <w:spacing w:line="56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（五）聚焦中心工作促发展，实施宣传融合矩阵工程。</w:t>
      </w:r>
    </w:p>
    <w:p>
      <w:pPr>
        <w:pStyle w:val="6"/>
        <w:spacing w:before="93" w:line="560" w:lineRule="exact"/>
        <w:ind w:firstLine="640" w:firstLineChars="200"/>
        <w:rPr>
          <w:rFonts w:hAnsi="仿宋_GB2312" w:cs="仿宋_GB2312"/>
          <w:sz w:val="32"/>
          <w:szCs w:val="32"/>
        </w:rPr>
      </w:pPr>
      <w:bookmarkStart w:id="69" w:name="_GoBack"/>
      <w:bookmarkEnd w:id="69"/>
      <w:r>
        <w:rPr>
          <w:rFonts w:hint="eastAsia" w:hAnsi="仿宋_GB2312" w:cs="仿宋_GB2312"/>
          <w:sz w:val="32"/>
          <w:szCs w:val="32"/>
        </w:rPr>
        <w:t>对“金口融媒”APP进行提档升级，以“金口融媒”客户端为主阵地主渠道，不断拓展融媒体+政务+服务功能，积极搭建社会、群众、政府之间的桥梁。</w:t>
      </w:r>
    </w:p>
    <w:p>
      <w:pPr>
        <w:pStyle w:val="6"/>
        <w:spacing w:before="93"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（六）聚焦综合能力强素质，实施自身建设提升工程。</w:t>
      </w:r>
    </w:p>
    <w:p>
      <w:pPr>
        <w:spacing w:line="560" w:lineRule="exact"/>
        <w:ind w:firstLine="660" w:firstLineChars="200"/>
        <w:rPr>
          <w:rFonts w:ascii="仿宋_GB2312" w:hAnsi="仿宋_GB2312" w:eastAsia="仿宋_GB2312" w:cs="仿宋_GB2312"/>
          <w:color w:val="000000"/>
          <w:spacing w:val="5"/>
          <w:sz w:val="32"/>
          <w:szCs w:val="32"/>
        </w:rPr>
      </w:pPr>
      <w:r>
        <w:rPr>
          <w:rFonts w:hint="eastAsia" w:ascii="仿宋_GB2312" w:hAnsi="仿宋_GB2312" w:eastAsia="仿宋_GB2312" w:cs="仿宋_GB2312"/>
          <w:color w:val="000000"/>
          <w:spacing w:val="5"/>
          <w:sz w:val="32"/>
          <w:szCs w:val="32"/>
        </w:rPr>
        <w:t xml:space="preserve"> 为适应新时代宣传工作要求，结合宣传系统实际，以“强素质、转作风、提质效、显亮点”为主题，制定《区委宣传部（区融媒体中心）自身建设方案》，实施自身建设提升工程。一方面加强业务素质能力建设。</w:t>
      </w:r>
    </w:p>
    <w:p>
      <w:pPr>
        <w:pStyle w:val="2"/>
        <w:ind w:left="420" w:leftChars="200"/>
        <w:rPr>
          <w:lang w:val="zh-CN"/>
        </w:rPr>
      </w:pPr>
    </w:p>
    <w:p>
      <w:pPr>
        <w:widowControl/>
        <w:numPr>
          <w:ilvl w:val="0"/>
          <w:numId w:val="6"/>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部门整体支出绩效目标。</w:t>
      </w:r>
    </w:p>
    <w:p>
      <w:pPr>
        <w:pStyle w:val="2"/>
        <w:spacing w:line="560" w:lineRule="exact"/>
        <w:ind w:firstLine="660" w:firstLineChars="200"/>
        <w:rPr>
          <w:rFonts w:ascii="仿宋_GB2312" w:hAnsi="仿宋_GB2312" w:eastAsia="仿宋_GB2312" w:cs="仿宋_GB2312"/>
          <w:color w:val="000000"/>
          <w:spacing w:val="5"/>
          <w:kern w:val="2"/>
          <w:sz w:val="32"/>
          <w:szCs w:val="32"/>
          <w:lang w:val="zh-CN"/>
        </w:rPr>
      </w:pPr>
      <w:r>
        <w:rPr>
          <w:rFonts w:hint="eastAsia" w:ascii="仿宋_GB2312" w:hAnsi="仿宋_GB2312" w:eastAsia="仿宋_GB2312" w:cs="仿宋_GB2312"/>
          <w:color w:val="000000"/>
          <w:spacing w:val="5"/>
          <w:kern w:val="2"/>
          <w:sz w:val="32"/>
          <w:szCs w:val="32"/>
          <w:lang w:val="zh-CN"/>
        </w:rPr>
        <w:t>宣传部部门目标围绕全区宣传重点中心工作，按照区委、区政府目标制定、主要目标是为了传达中央省市重要指示精神和宣传金口河，预算编制准确、支出在八项规定下严格控制，杜绝浪费，在区财政局财评中心和我部监督职能的控制下更好的完成了项目的目标。</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widowControl/>
        <w:adjustRightInd w:val="0"/>
        <w:snapToGrid w:val="0"/>
        <w:spacing w:line="580" w:lineRule="exact"/>
        <w:contextualSpacing/>
        <w:jc w:val="left"/>
      </w:pPr>
      <w:r>
        <w:rPr>
          <w:rFonts w:hint="eastAsia" w:ascii="仿宋_GB2312" w:hAnsi="宋体" w:eastAsia="仿宋_GB2312" w:cs="宋体"/>
          <w:color w:val="000000"/>
          <w:kern w:val="0"/>
          <w:sz w:val="32"/>
          <w:szCs w:val="32"/>
          <w:shd w:val="clear" w:color="auto" w:fill="FFFFFF"/>
          <w:lang w:val="zh-CN"/>
        </w:rPr>
        <w:t>本部门</w:t>
      </w:r>
      <w:r>
        <w:rPr>
          <w:rFonts w:hint="eastAsia" w:ascii="仿宋_GB2312" w:hAnsi="宋体" w:eastAsia="仿宋_GB2312" w:cs="宋体"/>
          <w:color w:val="000000"/>
          <w:kern w:val="0"/>
          <w:sz w:val="32"/>
          <w:szCs w:val="32"/>
          <w:shd w:val="clear" w:color="auto" w:fill="FFFFFF"/>
        </w:rPr>
        <w:t>2022年度财政收入893.94万元。</w:t>
      </w:r>
    </w:p>
    <w:p>
      <w:pPr>
        <w:pStyle w:val="2"/>
      </w:pPr>
    </w:p>
    <w:p>
      <w:pPr>
        <w:widowControl/>
        <w:adjustRightInd w:val="0"/>
        <w:snapToGrid w:val="0"/>
        <w:spacing w:line="560" w:lineRule="exact"/>
        <w:ind w:left="63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2.部门总体支出情况</w:t>
      </w:r>
    </w:p>
    <w:p>
      <w:pPr>
        <w:pStyle w:val="2"/>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本部门2022年度财政总体支出884.54万元。</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3.部门总体结转结余情况</w:t>
      </w:r>
    </w:p>
    <w:p>
      <w:pPr>
        <w:pStyle w:val="2"/>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本部门总体结转结余9.4万元。</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pStyle w:val="2"/>
      </w:pPr>
      <w:r>
        <w:rPr>
          <w:rFonts w:hint="eastAsia" w:ascii="仿宋_GB2312" w:hAnsi="仿宋_GB2312" w:eastAsia="仿宋_GB2312" w:cs="仿宋_GB2312"/>
          <w:sz w:val="32"/>
          <w:szCs w:val="32"/>
          <w:shd w:val="clear" w:color="auto" w:fill="FFFFFF"/>
        </w:rPr>
        <w:t>2022年度财政拨款收入621.82万元。</w:t>
      </w:r>
    </w:p>
    <w:p>
      <w:pPr>
        <w:widowControl/>
        <w:adjustRightInd w:val="0"/>
        <w:snapToGrid w:val="0"/>
        <w:spacing w:line="560" w:lineRule="exact"/>
        <w:ind w:left="63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2.部门财政拨款支出情况</w:t>
      </w:r>
    </w:p>
    <w:p>
      <w:pPr>
        <w:pStyle w:val="2"/>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2022年度财政拨款支出884.54万元</w:t>
      </w:r>
    </w:p>
    <w:p>
      <w:pPr>
        <w:widowControl/>
        <w:numPr>
          <w:ilvl w:val="0"/>
          <w:numId w:val="7"/>
        </w:numPr>
        <w:adjustRightInd w:val="0"/>
        <w:snapToGrid w:val="0"/>
        <w:spacing w:line="560" w:lineRule="exact"/>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部门财政拨款结转结余情况</w:t>
      </w:r>
    </w:p>
    <w:p>
      <w:pPr>
        <w:pStyle w:val="2"/>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2022年度财政拨款结转结余资金9.4万元。</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三、部门整体绩效分析（根据适用指标体系进行调整，涉及到有专项资金预算项目的部门，专项资金预算项目自评报告作为本报告附件一并公开）</w:t>
      </w:r>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r>
        <w:rPr>
          <w:rFonts w:hint="eastAsia" w:ascii="仿宋_GB2312" w:hAnsi="仿宋_GB2312" w:eastAsia="仿宋_GB2312" w:cs="仿宋_GB2312"/>
          <w:kern w:val="0"/>
          <w:sz w:val="32"/>
          <w:szCs w:val="32"/>
          <w:shd w:val="clear" w:color="auto" w:fill="FFFFFF"/>
          <w:lang w:val="zh-CN"/>
        </w:rPr>
        <w:t>（分段表述人员类、运转类、特定目标类项目绩效情况和存在问题）</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本部门严格按照相关项目的财评制定项目预算，严格实行政府采购工作，所有支出控制在项目预算之内，在执行过程中对项目的完成情况进行登记，所有项目都没有出现违规等情况。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本部门严格按照相关项目的财评制定项目预算，严格实行政府采购工作，所有支出控制在项目预算之内，在执行过程中对项目的完成情况进行登记，所有项目都没有出现违规等情况。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本部门严格按照相关项目的财评制定项目预算，严格实行政府采购工作，所有支出控制在项目预算之内，在执行过程中对项目的完成情况进行登记，所有项目都没有出现违规等情况。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围绕部门整体绩效目标完成情况和部门履职情况进行绩效分析。</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ascii="仿宋_GB2312" w:eastAsia="仿宋_GB2312" w:cs="仿宋_GB2312"/>
          <w:color w:val="000000"/>
          <w:sz w:val="32"/>
          <w:szCs w:val="32"/>
          <w:shd w:val="clear" w:color="auto" w:fill="FFFFFF"/>
        </w:rPr>
        <w:t>2022年绩效目标全面完成，取得了一定经济和社会效益。单位财务制度健全，管理规范，得到有效执行。通过加强绩效预算，使用财政资金得到有效使用，行政效率得到提高，促进了各项工作顺得利开展。</w:t>
      </w:r>
    </w:p>
    <w:p>
      <w:pPr>
        <w:widowControl/>
        <w:numPr>
          <w:ilvl w:val="0"/>
          <w:numId w:val="8"/>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包括评价部门整体自评准确情况。</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pStyle w:val="13"/>
        <w:autoSpaceDE w:val="0"/>
        <w:spacing w:before="0" w:beforeAutospacing="0" w:after="0" w:afterAutospacing="0" w:line="560" w:lineRule="atLeast"/>
        <w:ind w:firstLine="640"/>
        <w:rPr>
          <w:rFonts w:ascii="Times New Roman" w:hAnsi="Times New Roman" w:cs="Times New Roman"/>
          <w:sz w:val="21"/>
          <w:szCs w:val="21"/>
        </w:rPr>
      </w:pPr>
      <w:r>
        <w:rPr>
          <w:rFonts w:ascii="仿宋_GB2312" w:hAnsi="Times New Roman" w:eastAsia="仿宋_GB2312" w:cs="仿宋_GB2312"/>
          <w:color w:val="333333"/>
          <w:sz w:val="32"/>
          <w:szCs w:val="32"/>
        </w:rPr>
        <w:t>通过对2022年度部门整体支出绩效自评，我们认识到，要加强对本单位整体支出绩效管理，强化支出责任，提高财政的资金使用效益，更好的促进我们履行职责。编制预算时要结合本部门的职责、规划和任务进行测算，要确保部门预算编制真实、准确、完整，切合单位实际。</w:t>
      </w:r>
    </w:p>
    <w:p>
      <w:pPr>
        <w:pStyle w:val="13"/>
        <w:autoSpaceDE w:val="0"/>
        <w:spacing w:before="0" w:beforeAutospacing="0" w:after="0" w:afterAutospacing="0" w:line="560" w:lineRule="atLeast"/>
        <w:ind w:firstLine="640"/>
        <w:rPr>
          <w:lang w:val="zh-CN"/>
        </w:rPr>
      </w:pPr>
      <w:r>
        <w:rPr>
          <w:rFonts w:ascii="仿宋_GB2312" w:hAnsi="Times New Roman" w:eastAsia="仿宋_GB2312" w:cs="仿宋_GB2312"/>
          <w:color w:val="333333"/>
          <w:sz w:val="32"/>
          <w:szCs w:val="32"/>
        </w:rPr>
        <w:t>综合以上各项指标，财务管理健全规范，没有发生违法违规现象，我</w:t>
      </w:r>
      <w:r>
        <w:rPr>
          <w:rFonts w:hint="eastAsia" w:ascii="仿宋_GB2312" w:hAnsi="Times New Roman" w:eastAsia="仿宋_GB2312" w:cs="仿宋_GB2312"/>
          <w:color w:val="333333"/>
          <w:sz w:val="32"/>
          <w:szCs w:val="32"/>
        </w:rPr>
        <w:t>部</w:t>
      </w:r>
      <w:r>
        <w:rPr>
          <w:rFonts w:ascii="仿宋_GB2312" w:hAnsi="Times New Roman" w:eastAsia="仿宋_GB2312" w:cs="仿宋_GB2312"/>
          <w:color w:val="333333"/>
          <w:sz w:val="32"/>
          <w:szCs w:val="32"/>
        </w:rPr>
        <w:t>2022年的部门整体支出做到了使用规范、程序透明、达到预期绩效目标确保了机关的正常运行和股室职能的正常履行，保证了目标任务的圆满完成。评价得分9</w:t>
      </w:r>
      <w:r>
        <w:rPr>
          <w:rFonts w:hint="eastAsia" w:ascii="仿宋_GB2312" w:hAnsi="Times New Roman" w:eastAsia="仿宋_GB2312" w:cs="仿宋_GB2312"/>
          <w:color w:val="333333"/>
          <w:sz w:val="32"/>
          <w:szCs w:val="32"/>
        </w:rPr>
        <w:t>1</w:t>
      </w:r>
      <w:r>
        <w:rPr>
          <w:rFonts w:ascii="仿宋_GB2312" w:hAnsi="Times New Roman" w:eastAsia="仿宋_GB2312" w:cs="仿宋_GB2312"/>
          <w:color w:val="333333"/>
          <w:sz w:val="32"/>
          <w:szCs w:val="32"/>
        </w:rPr>
        <w:t>分。</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pStyle w:val="2"/>
        <w:spacing w:line="560" w:lineRule="atLeast"/>
        <w:ind w:firstLine="640" w:firstLineChars="200"/>
        <w:rPr>
          <w:rFonts w:ascii="仿宋_GB2312" w:hAnsi="Times New Roman" w:eastAsia="仿宋_GB2312" w:cs="仿宋_GB2312"/>
          <w:color w:val="333333"/>
          <w:sz w:val="32"/>
          <w:szCs w:val="32"/>
          <w:lang w:val="zh-CN"/>
        </w:rPr>
      </w:pPr>
      <w:r>
        <w:rPr>
          <w:rFonts w:hint="eastAsia" w:ascii="仿宋_GB2312" w:hAnsi="Times New Roman" w:eastAsia="仿宋_GB2312" w:cs="仿宋_GB2312"/>
          <w:color w:val="333333"/>
          <w:sz w:val="32"/>
          <w:szCs w:val="32"/>
          <w:lang w:val="zh-CN"/>
        </w:rPr>
        <w:t>因部分工作不可预见性，有些支出无法纳入预算，导致预算执行存在偏差。有些项目经费的使用效率不高。</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pPr>
        <w:pStyle w:val="13"/>
        <w:autoSpaceDE w:val="0"/>
        <w:spacing w:before="0" w:beforeAutospacing="0" w:after="0" w:afterAutospacing="0" w:line="560" w:lineRule="atLeast"/>
        <w:ind w:firstLine="640"/>
        <w:rPr>
          <w:rFonts w:ascii="Times New Roman" w:hAnsi="Times New Roman" w:cs="Times New Roman"/>
          <w:sz w:val="21"/>
          <w:szCs w:val="21"/>
        </w:rPr>
      </w:pPr>
      <w:r>
        <w:rPr>
          <w:rFonts w:ascii="仿宋_GB2312" w:hAnsi="Times New Roman" w:eastAsia="仿宋_GB2312" w:cs="仿宋_GB2312"/>
          <w:color w:val="333333"/>
          <w:sz w:val="32"/>
          <w:szCs w:val="32"/>
        </w:rPr>
        <w:t>一是加强财会理论知识学习，提高思想认识。组织单位分管财务的领导和财务人员认真学习《中华人民共和国预算法》等相关法规、制度，提高领导对全面预算管理的重视程度，增强财务人员的预算意识，坚持先有预算、后有支出，没有预算不得支出的理念。</w:t>
      </w:r>
    </w:p>
    <w:p>
      <w:pPr>
        <w:pStyle w:val="13"/>
        <w:autoSpaceDE w:val="0"/>
        <w:spacing w:before="0" w:beforeAutospacing="0" w:after="0" w:afterAutospacing="0" w:line="560" w:lineRule="atLeast"/>
        <w:ind w:firstLine="640"/>
        <w:rPr>
          <w:rFonts w:ascii="Times New Roman" w:hAnsi="Times New Roman" w:cs="Times New Roman"/>
          <w:sz w:val="21"/>
          <w:szCs w:val="21"/>
        </w:rPr>
      </w:pPr>
      <w:r>
        <w:rPr>
          <w:rFonts w:ascii="仿宋_GB2312" w:hAnsi="Times New Roman" w:eastAsia="仿宋_GB2312" w:cs="仿宋_GB2312"/>
          <w:color w:val="333333"/>
          <w:sz w:val="32"/>
          <w:szCs w:val="32"/>
        </w:rPr>
        <w:t>二是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力度，及时找出预算时间执行情况与预算目标之间存在的差距，纠正偏差，为下一次科学、准确地编制部门预算积累经验。</w:t>
      </w:r>
    </w:p>
    <w:p>
      <w:pPr>
        <w:pStyle w:val="2"/>
        <w:rPr>
          <w:lang w:val="zh-CN"/>
        </w:rPr>
      </w:pPr>
    </w:p>
    <w:p>
      <w:pPr>
        <w:pStyle w:val="14"/>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tbl>
      <w:tblPr>
        <w:tblStyle w:val="15"/>
        <w:tblW w:w="518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0" w:type="dxa"/>
          <w:left w:w="150" w:type="dxa"/>
          <w:bottom w:w="150" w:type="dxa"/>
          <w:right w:w="150" w:type="dxa"/>
        </w:tblCellMar>
      </w:tblPr>
      <w:tblGrid>
        <w:gridCol w:w="800"/>
        <w:gridCol w:w="638"/>
        <w:gridCol w:w="489"/>
        <w:gridCol w:w="2755"/>
        <w:gridCol w:w="39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514" w:hRule="atLeast"/>
          <w:jc w:val="center"/>
        </w:trPr>
        <w:tc>
          <w:tcPr>
            <w:tcW w:w="1928"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ascii="仿宋" w:hAnsi="仿宋" w:eastAsia="仿宋" w:cs="仿宋"/>
                <w:b/>
                <w:bCs/>
                <w:color w:val="000000"/>
                <w:sz w:val="22"/>
                <w:szCs w:val="22"/>
              </w:rPr>
              <w:t>绩效指标</w:t>
            </w:r>
          </w:p>
        </w:tc>
        <w:tc>
          <w:tcPr>
            <w:tcW w:w="2755" w:type="dxa"/>
            <w:vMerge w:val="restart"/>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b/>
                <w:bCs/>
                <w:color w:val="000000"/>
                <w:sz w:val="22"/>
                <w:szCs w:val="22"/>
              </w:rPr>
              <w:t>指标分值</w:t>
            </w:r>
          </w:p>
        </w:tc>
        <w:tc>
          <w:tcPr>
            <w:tcW w:w="3962" w:type="dxa"/>
            <w:vMerge w:val="restart"/>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b/>
                <w:bCs/>
                <w:color w:val="000000"/>
                <w:sz w:val="22"/>
                <w:szCs w:val="22"/>
              </w:rPr>
              <w:t>部门打分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1122" w:hRule="atLeast"/>
          <w:jc w:val="center"/>
        </w:trPr>
        <w:tc>
          <w:tcPr>
            <w:tcW w:w="801"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b/>
                <w:bCs/>
                <w:color w:val="000000"/>
                <w:sz w:val="22"/>
                <w:szCs w:val="22"/>
              </w:rPr>
              <w:t>一级指标</w:t>
            </w:r>
          </w:p>
        </w:tc>
        <w:tc>
          <w:tcPr>
            <w:tcW w:w="638"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b/>
                <w:bCs/>
                <w:color w:val="000000"/>
                <w:sz w:val="22"/>
                <w:szCs w:val="22"/>
              </w:rPr>
              <w:t>二级指标</w:t>
            </w:r>
          </w:p>
        </w:tc>
        <w:tc>
          <w:tcPr>
            <w:tcW w:w="489"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b/>
                <w:bCs/>
                <w:color w:val="000000"/>
                <w:sz w:val="22"/>
                <w:szCs w:val="22"/>
              </w:rPr>
              <w:t>三级指标</w:t>
            </w:r>
          </w:p>
        </w:tc>
        <w:tc>
          <w:tcPr>
            <w:tcW w:w="2755" w:type="dxa"/>
            <w:vMerge w:val="continue"/>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tcPr>
          <w:p>
            <w:pPr>
              <w:rPr>
                <w:sz w:val="20"/>
                <w:szCs w:val="20"/>
              </w:rPr>
            </w:pPr>
          </w:p>
        </w:tc>
        <w:tc>
          <w:tcPr>
            <w:tcW w:w="3962" w:type="dxa"/>
            <w:vMerge w:val="continue"/>
            <w:tcBorders>
              <w:top w:val="single" w:color="auto" w:sz="8" w:space="0"/>
              <w:left w:val="single" w:color="auto" w:sz="8" w:space="0"/>
              <w:bottom w:val="single" w:color="auto" w:sz="8" w:space="0"/>
              <w:right w:val="single" w:color="auto" w:sz="8" w:space="0"/>
            </w:tcBorders>
            <w:shd w:val="clear" w:color="auto" w:fill="auto"/>
            <w:noWrap/>
            <w:tcMar>
              <w:top w:w="15" w:type="dxa"/>
              <w:left w:w="15" w:type="dxa"/>
              <w:bottom w:w="0" w:type="dxa"/>
              <w:right w:w="15" w:type="dxa"/>
            </w:tcMar>
            <w:vAlign w:val="center"/>
          </w:tcPr>
          <w:p>
            <w:pPr>
              <w:rPr>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1532" w:hRule="atLeast"/>
          <w:jc w:val="center"/>
        </w:trPr>
        <w:tc>
          <w:tcPr>
            <w:tcW w:w="801"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部门预算项目绩效管理（70分）</w:t>
            </w:r>
          </w:p>
        </w:tc>
        <w:tc>
          <w:tcPr>
            <w:tcW w:w="638"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目标管理（40分）</w:t>
            </w:r>
          </w:p>
        </w:tc>
        <w:tc>
          <w:tcPr>
            <w:tcW w:w="489"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目标制定</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10</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1207" w:hRule="atLeast"/>
          <w:jc w:val="center"/>
        </w:trPr>
        <w:tc>
          <w:tcPr>
            <w:tcW w:w="801"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638"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489"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10</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567" w:hRule="atLeast"/>
          <w:jc w:val="center"/>
        </w:trPr>
        <w:tc>
          <w:tcPr>
            <w:tcW w:w="801"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638"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489"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目标实现</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10</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567" w:hRule="atLeast"/>
          <w:jc w:val="center"/>
        </w:trPr>
        <w:tc>
          <w:tcPr>
            <w:tcW w:w="801"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638"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489"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10</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862" w:hRule="atLeast"/>
          <w:jc w:val="center"/>
        </w:trPr>
        <w:tc>
          <w:tcPr>
            <w:tcW w:w="801"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638"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动态调整（15分）</w:t>
            </w:r>
          </w:p>
        </w:tc>
        <w:tc>
          <w:tcPr>
            <w:tcW w:w="489"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支出控制</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10</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967" w:hRule="atLeast"/>
          <w:jc w:val="center"/>
        </w:trPr>
        <w:tc>
          <w:tcPr>
            <w:tcW w:w="801"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638"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489"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及时处置</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5</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937" w:hRule="atLeast"/>
          <w:jc w:val="center"/>
        </w:trPr>
        <w:tc>
          <w:tcPr>
            <w:tcW w:w="801"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638"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489"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执行进度</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5</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862" w:hRule="atLeast"/>
          <w:jc w:val="center"/>
        </w:trPr>
        <w:tc>
          <w:tcPr>
            <w:tcW w:w="801"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638"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完成结果（10分）</w:t>
            </w:r>
          </w:p>
        </w:tc>
        <w:tc>
          <w:tcPr>
            <w:tcW w:w="489"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资金结余率（低效无效率）</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5</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1007" w:hRule="atLeast"/>
          <w:jc w:val="center"/>
        </w:trPr>
        <w:tc>
          <w:tcPr>
            <w:tcW w:w="801"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638"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489"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违规记录</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5</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1247" w:hRule="atLeast"/>
          <w:jc w:val="center"/>
        </w:trPr>
        <w:tc>
          <w:tcPr>
            <w:tcW w:w="801"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绩效结果应用（30分）</w:t>
            </w:r>
          </w:p>
        </w:tc>
        <w:tc>
          <w:tcPr>
            <w:tcW w:w="638"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内部应用（10分）</w:t>
            </w:r>
          </w:p>
        </w:tc>
        <w:tc>
          <w:tcPr>
            <w:tcW w:w="489"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预算挂钩</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10</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992" w:hRule="atLeast"/>
          <w:jc w:val="center"/>
        </w:trPr>
        <w:tc>
          <w:tcPr>
            <w:tcW w:w="801"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638"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信息公开（5分)</w:t>
            </w:r>
          </w:p>
        </w:tc>
        <w:tc>
          <w:tcPr>
            <w:tcW w:w="489"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自评公开</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10</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902" w:hRule="atLeast"/>
          <w:jc w:val="center"/>
        </w:trPr>
        <w:tc>
          <w:tcPr>
            <w:tcW w:w="801"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638" w:type="dxa"/>
            <w:vMerge w:val="restar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整改反馈（10分）</w:t>
            </w:r>
          </w:p>
        </w:tc>
        <w:tc>
          <w:tcPr>
            <w:tcW w:w="489"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问题整改</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5</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997" w:hRule="atLeast"/>
          <w:jc w:val="center"/>
        </w:trPr>
        <w:tc>
          <w:tcPr>
            <w:tcW w:w="801"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638" w:type="dxa"/>
            <w:vMerge w:val="continue"/>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489"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应用反馈</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5</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567" w:hRule="atLeast"/>
          <w:jc w:val="center"/>
        </w:trPr>
        <w:tc>
          <w:tcPr>
            <w:tcW w:w="1928" w:type="dxa"/>
            <w:gridSpan w:val="3"/>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扣分项（10分）</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10</w:t>
            </w: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0" w:type="dxa"/>
            <w:left w:w="150" w:type="dxa"/>
            <w:bottom w:w="150" w:type="dxa"/>
            <w:right w:w="150" w:type="dxa"/>
          </w:tblCellMar>
        </w:tblPrEx>
        <w:trPr>
          <w:trHeight w:val="567" w:hRule="atLeast"/>
          <w:jc w:val="center"/>
        </w:trPr>
        <w:tc>
          <w:tcPr>
            <w:tcW w:w="1928" w:type="dxa"/>
            <w:gridSpan w:val="3"/>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部门整体自评得分</w:t>
            </w:r>
          </w:p>
        </w:tc>
        <w:tc>
          <w:tcPr>
            <w:tcW w:w="2755"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rPr>
                <w:sz w:val="20"/>
                <w:szCs w:val="20"/>
              </w:rPr>
            </w:pPr>
          </w:p>
        </w:tc>
        <w:tc>
          <w:tcPr>
            <w:tcW w:w="3962" w:type="dxa"/>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pPr>
              <w:pStyle w:val="13"/>
              <w:spacing w:before="0" w:beforeAutospacing="0" w:after="0" w:afterAutospacing="0"/>
              <w:jc w:val="center"/>
              <w:textAlignment w:val="center"/>
              <w:rPr>
                <w:rFonts w:ascii="Times New Roman" w:hAnsi="Times New Roman" w:cs="Times New Roman"/>
                <w:sz w:val="21"/>
                <w:szCs w:val="21"/>
              </w:rPr>
            </w:pPr>
            <w:r>
              <w:rPr>
                <w:rFonts w:hint="eastAsia" w:ascii="仿宋" w:hAnsi="仿宋" w:eastAsia="仿宋" w:cs="仿宋"/>
                <w:color w:val="000000"/>
                <w:sz w:val="22"/>
                <w:szCs w:val="22"/>
              </w:rPr>
              <w:t>91</w:t>
            </w:r>
          </w:p>
        </w:tc>
      </w:tr>
    </w:tbl>
    <w:p>
      <w:pPr>
        <w:pStyle w:val="14"/>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rPr>
        <w:t>（备注：按照绩效自评工作安排，各部门已在预算管理一体化系统绩效自评模块上传“部门预算项目支出绩效自评表（2022年度）”，该表格应作为附表予以公开。）</w:t>
      </w:r>
    </w:p>
    <w:p>
      <w:pPr>
        <w:pStyle w:val="14"/>
        <w:spacing w:line="560" w:lineRule="exact"/>
        <w:ind w:left="0" w:leftChars="0" w:firstLine="0" w:firstLineChars="0"/>
        <w:rPr>
          <w:sz w:val="32"/>
          <w:lang w:val="zh-CN"/>
        </w:rPr>
      </w:pPr>
    </w:p>
    <w:p>
      <w:pPr>
        <w:pStyle w:val="6"/>
        <w:spacing w:before="93"/>
        <w:rPr>
          <w:rFonts w:hAnsi="宋体" w:cs="宋体"/>
          <w:sz w:val="32"/>
          <w:szCs w:val="32"/>
          <w:shd w:val="clear" w:color="auto" w:fill="FFFFFF"/>
          <w:lang w:val="zh-CN"/>
        </w:rPr>
      </w:pPr>
    </w:p>
    <w:p>
      <w:pPr>
        <w:pStyle w:val="6"/>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6"/>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2022年金口常开大数据平台运行管理经费项目</w:t>
      </w:r>
    </w:p>
    <w:p>
      <w:pPr>
        <w:pStyle w:val="36"/>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绩效自评报告</w:t>
      </w:r>
    </w:p>
    <w:p>
      <w:pPr>
        <w:pStyle w:val="36"/>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widowControl/>
        <w:adjustRightInd w:val="0"/>
        <w:snapToGrid w:val="0"/>
        <w:spacing w:line="578" w:lineRule="exact"/>
        <w:ind w:firstLine="640" w:firstLineChars="200"/>
        <w:contextualSpacing/>
        <w:jc w:val="left"/>
        <w:rPr>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widowControl/>
        <w:numPr>
          <w:ilvl w:val="0"/>
          <w:numId w:val="9"/>
        </w:numPr>
        <w:adjustRightInd w:val="0"/>
        <w:snapToGrid w:val="0"/>
        <w:spacing w:line="578" w:lineRule="exact"/>
        <w:ind w:firstLine="64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项目涉及</w:t>
      </w:r>
      <w:r>
        <w:rPr>
          <w:rFonts w:hint="eastAsia" w:ascii="仿宋_GB2312" w:hAnsi="仿宋_GB2312" w:cs="仿宋_GB2312"/>
          <w:kern w:val="0"/>
          <w:sz w:val="32"/>
          <w:szCs w:val="32"/>
          <w:shd w:val="clear" w:color="auto" w:fill="FFFFFF"/>
        </w:rPr>
        <w:t>的中省</w:t>
      </w:r>
      <w:r>
        <w:rPr>
          <w:rFonts w:hint="eastAsia" w:ascii="仿宋_GB2312" w:hAnsi="仿宋_GB2312" w:eastAsia="仿宋_GB2312" w:cs="仿宋_GB2312"/>
          <w:kern w:val="0"/>
          <w:sz w:val="32"/>
          <w:szCs w:val="32"/>
          <w:shd w:val="clear" w:color="auto" w:fill="FFFFFF"/>
        </w:rPr>
        <w:t>相关政策文件</w:t>
      </w:r>
      <w:r>
        <w:rPr>
          <w:rFonts w:hint="eastAsia" w:ascii="仿宋_GB2312" w:hAnsi="仿宋_GB2312" w:cs="仿宋_GB2312"/>
          <w:kern w:val="0"/>
          <w:sz w:val="32"/>
          <w:szCs w:val="32"/>
          <w:shd w:val="clear" w:color="auto" w:fill="FFFFFF"/>
        </w:rPr>
        <w:t>和</w:t>
      </w:r>
      <w:r>
        <w:rPr>
          <w:rFonts w:hint="eastAsia" w:ascii="仿宋_GB2312" w:hAnsi="仿宋_GB2312" w:eastAsia="仿宋_GB2312" w:cs="仿宋_GB2312"/>
          <w:kern w:val="0"/>
          <w:sz w:val="32"/>
          <w:szCs w:val="32"/>
          <w:shd w:val="clear" w:color="auto" w:fill="FFFFFF"/>
        </w:rPr>
        <w:t>规划</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项目设立论证资料</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资金安排相关文件</w:t>
      </w:r>
      <w:r>
        <w:rPr>
          <w:rFonts w:hint="eastAsia" w:ascii="仿宋_GB2312" w:hAnsi="仿宋_GB2312" w:cs="仿宋_GB2312"/>
          <w:kern w:val="0"/>
          <w:sz w:val="32"/>
          <w:szCs w:val="32"/>
          <w:shd w:val="clear" w:color="auto" w:fill="FFFFFF"/>
        </w:rPr>
        <w:t>等</w:t>
      </w:r>
      <w:r>
        <w:rPr>
          <w:rFonts w:hint="eastAsia" w:ascii="仿宋_GB2312" w:hAnsi="仿宋_GB2312" w:eastAsia="仿宋_GB2312" w:cs="仿宋_GB2312"/>
          <w:kern w:val="0"/>
          <w:sz w:val="32"/>
          <w:szCs w:val="32"/>
          <w:shd w:val="clear" w:color="auto" w:fill="FFFFFF"/>
        </w:rPr>
        <w:t>。附相关文件资料</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600" w:lineRule="exact"/>
        <w:ind w:firstLine="720"/>
        <w:rPr>
          <w:lang w:val="zh-CN"/>
        </w:rPr>
      </w:pPr>
      <w:r>
        <w:rPr>
          <w:rFonts w:hint="eastAsia" w:ascii="仿宋_GB2312" w:eastAsia="仿宋_GB2312" w:hAnsiTheme="minorEastAsia"/>
          <w:sz w:val="32"/>
          <w:szCs w:val="32"/>
        </w:rPr>
        <w:t>区“金口常开”大数据平台建设工作2018年9月已完成建设，并投入运行。该平台已运行两年，运行效果良好，及时的将我区党务、政务工作和各项惠民政策传播到农户家中。根据乐山市金口河区人民政府关于《解决“金口常开”大数据平台运行管理经费的请示》的批复（金府复[2020]230号）文件立项。</w:t>
      </w:r>
    </w:p>
    <w:p>
      <w:pPr>
        <w:widowControl/>
        <w:numPr>
          <w:ilvl w:val="0"/>
          <w:numId w:val="9"/>
        </w:numPr>
        <w:adjustRightInd w:val="0"/>
        <w:snapToGrid w:val="0"/>
        <w:spacing w:line="600" w:lineRule="exact"/>
        <w:ind w:firstLine="64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附资金或项目管理办法。</w:t>
      </w:r>
    </w:p>
    <w:p>
      <w:pPr>
        <w:pStyle w:val="2"/>
        <w:spacing w:line="600" w:lineRule="exact"/>
        <w:ind w:firstLine="640" w:firstLineChars="200"/>
        <w:rPr>
          <w:rFonts w:ascii="仿宋_GB2312" w:eastAsia="仿宋_GB2312" w:hAnsiTheme="minorEastAsia"/>
          <w:kern w:val="2"/>
          <w:sz w:val="32"/>
          <w:szCs w:val="32"/>
          <w:lang w:val="zh-CN"/>
        </w:rPr>
      </w:pPr>
      <w:r>
        <w:rPr>
          <w:rFonts w:hint="eastAsia" w:ascii="仿宋_GB2312" w:eastAsia="仿宋_GB2312" w:hAnsiTheme="minorEastAsia"/>
          <w:kern w:val="2"/>
          <w:sz w:val="32"/>
          <w:szCs w:val="32"/>
        </w:rPr>
        <w:t>资金由平台运行管理采集制作技术人员服务费40万；平台租用费10万元/年；平台日常运行办公经费5万/年。</w:t>
      </w:r>
    </w:p>
    <w:p>
      <w:pPr>
        <w:widowControl/>
        <w:adjustRightInd w:val="0"/>
        <w:snapToGrid w:val="0"/>
        <w:spacing w:line="60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4．资金分配的原则及考虑因素。</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600" w:lineRule="exact"/>
        <w:ind w:firstLine="640" w:firstLineChars="200"/>
        <w:rPr>
          <w:rFonts w:ascii="仿宋_GB2312" w:eastAsia="仿宋_GB2312" w:hAnsiTheme="minorEastAsia"/>
          <w:sz w:val="32"/>
          <w:szCs w:val="32"/>
          <w:lang w:val="zh-CN"/>
        </w:rPr>
      </w:pPr>
      <w:r>
        <w:rPr>
          <w:rFonts w:hint="eastAsia" w:ascii="仿宋_GB2312" w:hAnsi="仿宋_GB2312" w:eastAsia="仿宋_GB2312" w:cs="仿宋_GB2312"/>
          <w:kern w:val="0"/>
          <w:sz w:val="32"/>
          <w:szCs w:val="32"/>
          <w:shd w:val="clear" w:color="auto" w:fill="FFFFFF"/>
          <w:lang w:val="zh-CN"/>
        </w:rPr>
        <w:t>1．项目主要内容。</w:t>
      </w:r>
      <w:r>
        <w:rPr>
          <w:rFonts w:hint="eastAsia" w:ascii="仿宋_GB2312" w:eastAsia="仿宋_GB2312" w:hAnsiTheme="minorEastAsia"/>
          <w:sz w:val="32"/>
          <w:szCs w:val="32"/>
        </w:rPr>
        <w:t>资金由平台运行管理采集制作技术人员服务费40万；平台租用费10万元/年；平台日常运行办公经费5万/年。</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项目实施进度计划等。项目已经建成实施，后期需要具体包括技术人员</w:t>
      </w:r>
      <w:r>
        <w:rPr>
          <w:rFonts w:hint="eastAsia" w:ascii="仿宋_GB2312" w:hAnsi="仿宋_GB2312" w:eastAsia="仿宋_GB2312" w:cs="仿宋_GB2312"/>
          <w:kern w:val="0"/>
          <w:sz w:val="32"/>
          <w:szCs w:val="32"/>
          <w:shd w:val="clear" w:color="auto" w:fill="FFFFFF"/>
        </w:rPr>
        <w:t>7名服务费，平台上传信息网络服务费10万元/年和平台运行管理费5万元/年运营维护。</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3．分析评价申报内容是否与实际相符，申报目标是否合理可行。</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说明项目绩效自评采用的组织实施步骤及方法。</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2020年区委宣传部向区政府请示，请求解决“金口常开”大数据平台运行管理经费，经过金口河区政府第71次常务会通过，并将此项目纳入年初预算。</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1．资金计划。在说明该项目全省资金计划的基础上，分项目大类或市（州）分别说明各类资金计划情况。此项资是金口河区本级财政资金，属于一般公共预算资金。</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2．资金到位。汇总统计截止评价时点该项目全省资金到位情况。资金是金口河区本级财政资金，技术服务人员服务费按月向财政申请，平台网络信息服务费和平台日常运行办公费视财政资金情况申请。</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3．资金使用。汇总统计截止评价时点该项目全省资金支出情况。资金支付严格按照项目请示内容进行支付，符合法律规定，与年初预算相符。</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区委宣传部财务管理制度健全，严格执行财务管理制度，账务处理及时，会计核算规范。</w:t>
      </w:r>
    </w:p>
    <w:p>
      <w:pPr>
        <w:widowControl/>
        <w:adjustRightInd w:val="0"/>
        <w:snapToGrid w:val="0"/>
        <w:spacing w:line="578" w:lineRule="exact"/>
        <w:ind w:firstLine="640" w:firstLineChars="200"/>
        <w:contextualSpacing/>
        <w:jc w:val="left"/>
        <w:rPr>
          <w:rFonts w:ascii="黑体" w:hAnsi="宋体" w:eastAsia="黑体"/>
          <w:sz w:val="32"/>
          <w:szCs w:val="32"/>
        </w:rPr>
      </w:pPr>
      <w:r>
        <w:rPr>
          <w:rFonts w:hint="eastAsia" w:ascii="黑体" w:hAnsi="宋体" w:eastAsia="黑体"/>
          <w:sz w:val="32"/>
          <w:szCs w:val="32"/>
          <w:lang w:val="zh-CN"/>
        </w:rPr>
        <w:t>三、项目</w:t>
      </w:r>
      <w:r>
        <w:rPr>
          <w:rFonts w:hint="eastAsia" w:ascii="黑体" w:hAnsi="宋体" w:eastAsia="黑体"/>
          <w:sz w:val="32"/>
          <w:szCs w:val="32"/>
        </w:rPr>
        <w:t>实施及管理情况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kern w:val="0"/>
          <w:sz w:val="32"/>
          <w:szCs w:val="32"/>
          <w:shd w:val="clear" w:color="auto" w:fill="FFFFFF"/>
          <w:lang w:val="zh-CN"/>
        </w:rPr>
        <w:t>结合项目特点，总体评价各项目实施单位执行相关法律法规</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项目管理制度等情况，如招投标、政府采购、项目公示制等相关规定。</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kern w:val="0"/>
          <w:sz w:val="32"/>
          <w:szCs w:val="32"/>
          <w:shd w:val="clear" w:color="auto" w:fill="FFFFFF"/>
          <w:lang w:val="zh-CN"/>
        </w:rPr>
        <w:t>说明项目主管部门为加强项目管理所采取的监管手段、监管程序、监管工作开展情况及实现的效果等。</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金口常开”大数据平台完成全区各类信息的发布，我部及时发放专业技术人员服务费，对于年底结余结转情况，主要是财政资金紧张，待资金宽裕，我部将及时申请网络服务费和平台运行办公室，及时结清各类费用。</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8" w:lineRule="exact"/>
        <w:ind w:firstLine="720"/>
        <w:rPr>
          <w:rFonts w:ascii="仿宋_GB2312" w:eastAsia="仿宋_GB2312" w:hAnsiTheme="minorEastAsia"/>
          <w:sz w:val="32"/>
          <w:szCs w:val="32"/>
        </w:rPr>
      </w:pPr>
      <w:r>
        <w:rPr>
          <w:rFonts w:hint="eastAsia" w:ascii="仿宋_GB2312" w:eastAsia="仿宋_GB2312" w:hAnsiTheme="minorEastAsia"/>
          <w:sz w:val="32"/>
          <w:szCs w:val="32"/>
        </w:rPr>
        <w:t>该平台已运行两年，运行效果良好，及时的将我区党务、政务工作和各项惠民政策传播到农户家中</w:t>
      </w:r>
      <w:r>
        <w:rPr>
          <w:rFonts w:hint="eastAsia" w:ascii="仿宋_GB2312" w:hAnsiTheme="minorEastAsia"/>
          <w:sz w:val="32"/>
          <w:szCs w:val="32"/>
        </w:rPr>
        <w:t>。</w:t>
      </w:r>
      <w:r>
        <w:rPr>
          <w:rFonts w:hint="eastAsia" w:ascii="仿宋_GB2312" w:eastAsia="仿宋_GB2312" w:hAnsiTheme="minorEastAsia"/>
          <w:sz w:val="32"/>
          <w:szCs w:val="32"/>
        </w:rPr>
        <w:t>群众满意度高，各方面评价都是有益于全区百姓。</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项目应长期试行，我部将加大对金口河党务、政务和惠民政策的传播，加强全区特色亮点的拍摄，更好的在各大媒体展现金口河风采。</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主要存在的问题就是资金拨付不能及时。</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及时拨付相关费用，让“金口常开”大平台更好的服务金口河。</w:t>
      </w:r>
    </w:p>
    <w:p>
      <w:pPr>
        <w:pStyle w:val="36"/>
        <w:spacing w:line="578" w:lineRule="exact"/>
        <w:jc w:val="center"/>
        <w:rPr>
          <w:rFonts w:ascii="方正小标宋简体" w:hAnsi="方正小标宋简体" w:eastAsia="方正小标宋简体" w:cs="方正小标宋简体"/>
          <w:color w:val="auto"/>
          <w:kern w:val="2"/>
          <w:sz w:val="32"/>
          <w:szCs w:val="32"/>
          <w:lang w:val="en-US"/>
        </w:rPr>
      </w:pPr>
      <w:r>
        <w:rPr>
          <w:rStyle w:val="30"/>
          <w:rFonts w:ascii="黑体" w:hAnsi="黑体" w:eastAsia="黑体"/>
          <w:b w:val="0"/>
          <w:color w:val="auto"/>
        </w:rPr>
        <w:br w:type="page"/>
      </w:r>
      <w:r>
        <w:rPr>
          <w:rFonts w:hint="eastAsia" w:ascii="方正小标宋简体" w:hAnsi="方正小标宋简体" w:eastAsia="方正小标宋简体" w:cs="方正小标宋简体"/>
          <w:color w:val="auto"/>
          <w:kern w:val="2"/>
          <w:sz w:val="32"/>
          <w:szCs w:val="32"/>
          <w:lang w:val="en-US"/>
        </w:rPr>
        <w:t>2022年创建文明城市建设经费项目绩效自评报告</w:t>
      </w:r>
    </w:p>
    <w:p>
      <w:pPr>
        <w:pStyle w:val="36"/>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创建全国文明城市提名城市区文明办牵头完成三年申报，区文明办设立在区委宣传部，所以我部门负责创建全国文明城市提名城市全部事宜。</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项目立项、资金申报的依据，</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项目涉及</w:t>
      </w:r>
      <w:r>
        <w:rPr>
          <w:rFonts w:hint="eastAsia" w:ascii="仿宋_GB2312" w:hAnsi="仿宋_GB2312" w:cs="仿宋_GB2312"/>
          <w:kern w:val="0"/>
          <w:sz w:val="32"/>
          <w:szCs w:val="32"/>
          <w:shd w:val="clear" w:color="auto" w:fill="FFFFFF"/>
        </w:rPr>
        <w:t>的中省</w:t>
      </w:r>
      <w:r>
        <w:rPr>
          <w:rFonts w:hint="eastAsia" w:ascii="仿宋_GB2312" w:hAnsi="仿宋_GB2312" w:eastAsia="仿宋_GB2312" w:cs="仿宋_GB2312"/>
          <w:kern w:val="0"/>
          <w:sz w:val="32"/>
          <w:szCs w:val="32"/>
          <w:shd w:val="clear" w:color="auto" w:fill="FFFFFF"/>
        </w:rPr>
        <w:t>相关政策文件</w:t>
      </w:r>
      <w:r>
        <w:rPr>
          <w:rFonts w:hint="eastAsia" w:ascii="仿宋_GB2312" w:hAnsi="仿宋_GB2312" w:cs="仿宋_GB2312"/>
          <w:kern w:val="0"/>
          <w:sz w:val="32"/>
          <w:szCs w:val="32"/>
          <w:shd w:val="clear" w:color="auto" w:fill="FFFFFF"/>
        </w:rPr>
        <w:t>和</w:t>
      </w:r>
      <w:r>
        <w:rPr>
          <w:rFonts w:hint="eastAsia" w:ascii="仿宋_GB2312" w:hAnsi="仿宋_GB2312" w:eastAsia="仿宋_GB2312" w:cs="仿宋_GB2312"/>
          <w:kern w:val="0"/>
          <w:sz w:val="32"/>
          <w:szCs w:val="32"/>
          <w:shd w:val="clear" w:color="auto" w:fill="FFFFFF"/>
        </w:rPr>
        <w:t>规划</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项目设立论证资料</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资金安排相关文件</w:t>
      </w:r>
      <w:r>
        <w:rPr>
          <w:rFonts w:hint="eastAsia" w:ascii="仿宋_GB2312" w:hAnsi="仿宋_GB2312" w:cs="仿宋_GB2312"/>
          <w:kern w:val="0"/>
          <w:sz w:val="32"/>
          <w:szCs w:val="32"/>
          <w:shd w:val="clear" w:color="auto" w:fill="FFFFFF"/>
        </w:rPr>
        <w:t>等</w:t>
      </w:r>
      <w:r>
        <w:rPr>
          <w:rFonts w:hint="eastAsia" w:ascii="仿宋_GB2312" w:hAnsi="仿宋_GB2312" w:eastAsia="仿宋_GB2312" w:cs="仿宋_GB2312"/>
          <w:kern w:val="0"/>
          <w:sz w:val="32"/>
          <w:szCs w:val="32"/>
          <w:shd w:val="clear" w:color="auto" w:fill="FFFFFF"/>
        </w:rPr>
        <w:t>。附相关文件资料</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600" w:lineRule="exact"/>
        <w:ind w:firstLine="720"/>
        <w:rPr>
          <w:lang w:val="zh-CN"/>
        </w:rPr>
      </w:pPr>
      <w:r>
        <w:rPr>
          <w:rFonts w:hint="eastAsia" w:ascii="仿宋_GB2312" w:hAnsi="仿宋_GB2312" w:eastAsia="仿宋_GB2312" w:cs="仿宋_GB2312"/>
          <w:sz w:val="32"/>
          <w:szCs w:val="32"/>
          <w:lang w:val="zh-TW"/>
        </w:rPr>
        <w:t>2022年是本轮文明城市创建届期（2021-2023年）的巩固提升之年，围绕乐山市争创全国文明城市提名城市工作任务，按照中央文明办《全国文明城市（地级以上）测评体系》指标要求和《全国文明城市（地级以上）测评体系操作手册（2022年版）》最新测评标准，实地考察工作共分为7个实地考察测评项目、25项测评内容、37条测评标准、52项测评要求，涉及33类实地考察点，实地考察成绩占年度测评成绩的40%。</w:t>
      </w:r>
    </w:p>
    <w:p>
      <w:pPr>
        <w:widowControl/>
        <w:adjustRightInd w:val="0"/>
        <w:snapToGrid w:val="0"/>
        <w:spacing w:line="600" w:lineRule="exact"/>
        <w:ind w:firstLine="640" w:firstLineChars="200"/>
        <w:contextualSpacing/>
        <w:jc w:val="left"/>
        <w:rPr>
          <w:rFonts w:ascii="仿宋_GB2312" w:eastAsia="仿宋_GB2312" w:hAnsiTheme="minorEastAsia"/>
          <w:sz w:val="32"/>
          <w:szCs w:val="32"/>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附资金或项目管理办法。</w:t>
      </w:r>
      <w:r>
        <w:rPr>
          <w:rFonts w:hint="eastAsia" w:ascii="仿宋_GB2312" w:eastAsia="仿宋_GB2312" w:hAnsiTheme="minorEastAsia"/>
          <w:sz w:val="32"/>
          <w:szCs w:val="32"/>
        </w:rPr>
        <w:t>创建文明城市资金年初预算10万元，用于文明城市创建过程中的氛围映照，宣传拍摄，宣传手册等范围。</w:t>
      </w:r>
    </w:p>
    <w:p>
      <w:pPr>
        <w:widowControl/>
        <w:adjustRightInd w:val="0"/>
        <w:snapToGrid w:val="0"/>
        <w:spacing w:line="600" w:lineRule="exact"/>
        <w:ind w:left="63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．资金分配的原则及考虑因素。</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600" w:lineRule="exact"/>
        <w:ind w:firstLine="640" w:firstLineChars="200"/>
        <w:rPr>
          <w:rFonts w:ascii="仿宋_GB2312" w:eastAsia="仿宋_GB2312" w:hAnsiTheme="minorEastAsia"/>
          <w:sz w:val="32"/>
          <w:szCs w:val="32"/>
          <w:lang w:val="zh-CN"/>
        </w:rPr>
      </w:pPr>
      <w:r>
        <w:rPr>
          <w:rFonts w:hint="eastAsia" w:ascii="仿宋_GB2312" w:hAnsi="仿宋_GB2312" w:eastAsia="仿宋_GB2312" w:cs="仿宋_GB2312"/>
          <w:kern w:val="0"/>
          <w:sz w:val="32"/>
          <w:szCs w:val="32"/>
          <w:shd w:val="clear" w:color="auto" w:fill="FFFFFF"/>
          <w:lang w:val="zh-CN"/>
        </w:rPr>
        <w:t>1．项目主要内容。</w:t>
      </w:r>
      <w:r>
        <w:rPr>
          <w:rFonts w:hint="eastAsia" w:ascii="仿宋_GB2312" w:eastAsia="仿宋_GB2312" w:hAnsiTheme="minorEastAsia"/>
          <w:sz w:val="32"/>
          <w:szCs w:val="32"/>
        </w:rPr>
        <w:t>创建文明城市资金年初预算10万元，用于文明城市创建过程中的氛围映照，宣传拍摄，宣传手册等范围。</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2．项目应实现的具体绩效目标，</w:t>
      </w:r>
      <w:r>
        <w:rPr>
          <w:rFonts w:hint="eastAsia" w:ascii="仿宋_GB2312" w:hAnsi="仿宋_GB2312" w:eastAsia="仿宋_GB2312" w:cs="仿宋_GB2312"/>
          <w:kern w:val="0"/>
          <w:sz w:val="32"/>
          <w:szCs w:val="32"/>
          <w:shd w:val="clear" w:color="auto" w:fill="FFFFFF"/>
        </w:rPr>
        <w:t>包括但不限于</w:t>
      </w:r>
      <w:r>
        <w:rPr>
          <w:rFonts w:hint="eastAsia" w:ascii="仿宋_GB2312" w:hAnsi="仿宋_GB2312" w:cs="仿宋_GB2312"/>
          <w:kern w:val="0"/>
          <w:sz w:val="32"/>
          <w:szCs w:val="32"/>
          <w:shd w:val="clear" w:color="auto" w:fill="FFFFFF"/>
        </w:rPr>
        <w:t>：绩效</w:t>
      </w:r>
      <w:r>
        <w:rPr>
          <w:rFonts w:hint="eastAsia" w:ascii="仿宋_GB2312" w:hAnsi="仿宋_GB2312" w:eastAsia="仿宋_GB2312" w:cs="仿宋_GB2312"/>
          <w:kern w:val="0"/>
          <w:sz w:val="32"/>
          <w:szCs w:val="32"/>
          <w:shd w:val="clear" w:color="auto" w:fill="FFFFFF"/>
          <w:lang w:val="zh-CN"/>
        </w:rPr>
        <w:t>目标的量化细化情况</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实施进度计划等。项目已经建成实施，公共场所公益广告制作：按照主要街道每隔200米至少有1处能够看到的公益广告，每2个公交车站设有不少于1处公益广告，学校、医院、社区（小区）、新时代文明实践中心（所、站）、宾馆饭店、银行网点、（邮政、移动、电信、联通）营业厅显著位置展示不少于1处公益广告，商场超市、农贸（集贸、批发）市场在显著位置展示不少于1处诚信建设公益广告的要求营造良好的氛围。</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3．分析评价申报内容是否与实际相符，申报目标是否合理可行。</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说明项目绩效自评采用的组织实施步骤及方法。</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lang w:val="zh-CN"/>
        </w:rPr>
      </w:pPr>
      <w:r>
        <w:rPr>
          <w:rFonts w:hint="eastAsia" w:ascii="仿宋_GB2312" w:hAnsi="仿宋_GB2312" w:eastAsia="仿宋_GB2312" w:cs="仿宋_GB2312"/>
          <w:sz w:val="32"/>
          <w:szCs w:val="32"/>
          <w:lang w:val="zh-TW"/>
        </w:rPr>
        <w:t>2022年是本轮文明城市创建届期（2021-2023年）的巩固提升之年，围绕乐山市争创全国文明城市提名城市工作任务，按照中央文明办《全国文明城市（地级以上）测评体系》指标要求和《全国文明城市（地级以上）测评体系操作手册（2022年版）》最新测评标准，实地考察工作共分为7个实地考察测评项目、25项测评内容、37条测评标准、52项测评要求，涉及33类实地考察点，实地考察成绩占年度测评成绩的40%。</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1．资金计划。在说明该项目全省资金计划的基础上，分项目大类或市（州）分别说明各类资金计划情况。此项资是金口河区本级财政资金，属于一般公共预算资金。</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2．资金到位。汇总统计截止评价时点该项目全省资金到位情况。资金是金口河区本级财政资金，截止目前根据财政资金情况进行审核报销。</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3．资金使用。汇总统计截止评价时点该项目全省资金支出情况。资金支付严格按照项目请示内容进行支付，符合法律规定，与年初预算相符。</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区委宣传部财务管理制度健全，严格执行财务管理制度，账务处理及时，会计核算规范。</w:t>
      </w:r>
    </w:p>
    <w:p>
      <w:pPr>
        <w:widowControl/>
        <w:adjustRightInd w:val="0"/>
        <w:snapToGrid w:val="0"/>
        <w:spacing w:line="578" w:lineRule="exact"/>
        <w:ind w:firstLine="640" w:firstLineChars="200"/>
        <w:contextualSpacing/>
        <w:jc w:val="left"/>
        <w:rPr>
          <w:rFonts w:ascii="黑体" w:hAnsi="宋体" w:eastAsia="黑体"/>
          <w:sz w:val="32"/>
          <w:szCs w:val="32"/>
        </w:rPr>
      </w:pPr>
      <w:r>
        <w:rPr>
          <w:rFonts w:hint="eastAsia" w:ascii="黑体" w:hAnsi="宋体" w:eastAsia="黑体"/>
          <w:sz w:val="32"/>
          <w:szCs w:val="32"/>
          <w:lang w:val="zh-CN"/>
        </w:rPr>
        <w:t>三、项目</w:t>
      </w:r>
      <w:r>
        <w:rPr>
          <w:rFonts w:hint="eastAsia" w:ascii="黑体" w:hAnsi="宋体" w:eastAsia="黑体"/>
          <w:sz w:val="32"/>
          <w:szCs w:val="32"/>
        </w:rPr>
        <w:t>实施及管理情况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（二）项目管理情况。</w:t>
      </w:r>
      <w:r>
        <w:rPr>
          <w:rFonts w:hint="eastAsia" w:ascii="仿宋_GB2312" w:hAnsi="仿宋_GB2312" w:eastAsia="仿宋_GB2312" w:cs="仿宋_GB2312"/>
          <w:kern w:val="0"/>
          <w:sz w:val="32"/>
          <w:szCs w:val="32"/>
          <w:shd w:val="clear" w:color="auto" w:fill="FFFFFF"/>
          <w:lang w:val="zh-CN"/>
        </w:rPr>
        <w:t>结合项目特点，总体评价各项目实施单位执行相关法律法规</w:t>
      </w:r>
      <w:r>
        <w:rPr>
          <w:rFonts w:hint="eastAsia" w:ascii="仿宋_GB2312" w:hAnsi="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项目管理制度等情况，如招投标、政府采购、项目公示制等相关规定。</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kern w:val="0"/>
          <w:sz w:val="32"/>
          <w:szCs w:val="32"/>
          <w:shd w:val="clear" w:color="auto" w:fill="FFFFFF"/>
          <w:lang w:val="zh-CN"/>
        </w:rPr>
        <w:t>说明项目主管部门为加强项目管理所采取的监管手段、监管程序、监管工作开展情况及实现的效果等。</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78" w:lineRule="exact"/>
        <w:ind w:firstLine="720"/>
        <w:rPr>
          <w:rFonts w:ascii="仿宋_GB2312" w:eastAsia="仿宋_GB2312" w:hAnsiTheme="minorEastAsia"/>
          <w:sz w:val="32"/>
          <w:szCs w:val="32"/>
          <w:lang w:val="zh-CN"/>
        </w:rPr>
      </w:pPr>
      <w:r>
        <w:rPr>
          <w:rFonts w:hint="eastAsia" w:ascii="仿宋_GB2312" w:eastAsia="仿宋_GB2312" w:hAnsiTheme="minorEastAsia"/>
          <w:sz w:val="32"/>
          <w:szCs w:val="32"/>
          <w:lang w:val="zh-CN"/>
        </w:rPr>
        <w:t>创建全国文明城市提名城市氛围营造、宣传手册和各路段景观小品等已经全部制作完毕，在市级验收中过关。</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8" w:lineRule="exact"/>
        <w:ind w:firstLine="720"/>
        <w:rPr>
          <w:rFonts w:ascii="仿宋_GB2312" w:eastAsia="仿宋_GB2312" w:hAnsiTheme="minorEastAsia"/>
          <w:sz w:val="32"/>
          <w:szCs w:val="32"/>
        </w:rPr>
      </w:pPr>
      <w:r>
        <w:rPr>
          <w:rFonts w:hint="eastAsia" w:ascii="仿宋_GB2312" w:eastAsia="仿宋_GB2312" w:hAnsiTheme="minorEastAsia"/>
          <w:sz w:val="32"/>
          <w:szCs w:val="32"/>
        </w:rPr>
        <w:t>在创建全国文明城市过程中，循序渐进带动全区人民共同爱护环境卫生，设置的社会主义核心价值观在群众心中深深植入，群众满意度较高。</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项目应长期试行，将进一步提升全区人民的文化素质，长期坚持，将为创建全国文明城市创造良好的基础。</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主要存在的问题就是资金拨付不能及时。</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及时拨付相关费用。</w:t>
      </w:r>
    </w:p>
    <w:p>
      <w:pPr>
        <w:widowControl/>
        <w:jc w:val="left"/>
        <w:rPr>
          <w:rStyle w:val="30"/>
          <w:rFonts w:ascii="黑体" w:hAnsi="黑体" w:eastAsia="黑体"/>
          <w:b w:val="0"/>
        </w:rPr>
      </w:pPr>
    </w:p>
    <w:p>
      <w:pPr>
        <w:pStyle w:val="2"/>
      </w:pPr>
    </w:p>
    <w:p>
      <w:pPr>
        <w:spacing w:line="600" w:lineRule="exact"/>
        <w:jc w:val="center"/>
        <w:outlineLvl w:val="0"/>
        <w:rPr>
          <w:rFonts w:ascii="黑体" w:hAnsi="黑体" w:eastAsia="黑体"/>
          <w:sz w:val="44"/>
          <w:szCs w:val="44"/>
        </w:rPr>
      </w:pPr>
      <w:bookmarkStart w:id="55" w:name="_Toc15396618"/>
    </w:p>
    <w:p>
      <w:pPr>
        <w:spacing w:line="600" w:lineRule="exact"/>
        <w:jc w:val="center"/>
        <w:outlineLvl w:val="0"/>
        <w:rPr>
          <w:rFonts w:ascii="仿宋" w:hAnsi="仿宋" w:eastAsia="仿宋"/>
        </w:rPr>
      </w:pPr>
      <w:r>
        <w:rPr>
          <w:rFonts w:hint="eastAsia" w:ascii="黑体" w:hAnsi="黑体" w:eastAsia="黑体"/>
          <w:sz w:val="44"/>
          <w:szCs w:val="44"/>
        </w:rPr>
        <w:t>第</w:t>
      </w:r>
      <w:r>
        <w:rPr>
          <w:rStyle w:val="30"/>
          <w:rFonts w:hint="eastAsia" w:ascii="黑体" w:hAnsi="黑体" w:eastAsia="黑体"/>
          <w:b w:val="0"/>
        </w:rPr>
        <w:t>五部分 附表</w:t>
      </w:r>
      <w:bookmarkEnd w:id="53"/>
      <w:bookmarkEnd w:id="55"/>
      <w:bookmarkStart w:id="56" w:name="_Toc15396619"/>
    </w:p>
    <w:p>
      <w:pPr>
        <w:pStyle w:val="4"/>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56"/>
    </w:p>
    <w:p>
      <w:pPr>
        <w:pStyle w:val="4"/>
        <w:rPr>
          <w:rFonts w:ascii="仿宋" w:hAnsi="仿宋" w:eastAsia="仿宋"/>
        </w:rPr>
      </w:pPr>
      <w:bookmarkStart w:id="57" w:name="_Toc15396620"/>
      <w:r>
        <w:rPr>
          <w:rFonts w:hint="eastAsia" w:ascii="仿宋" w:hAnsi="仿宋" w:eastAsia="仿宋"/>
          <w:b w:val="0"/>
        </w:rPr>
        <w:t>二、收</w:t>
      </w:r>
      <w:r>
        <w:rPr>
          <w:rStyle w:val="31"/>
          <w:rFonts w:hint="eastAsia" w:ascii="仿宋" w:hAnsi="仿宋" w:eastAsia="仿宋"/>
          <w:b w:val="0"/>
          <w:bCs w:val="0"/>
        </w:rPr>
        <w:t>入决算表</w:t>
      </w:r>
      <w:bookmarkEnd w:id="57"/>
    </w:p>
    <w:p>
      <w:pPr>
        <w:pStyle w:val="4"/>
        <w:rPr>
          <w:rFonts w:ascii="仿宋" w:hAnsi="仿宋" w:eastAsia="仿宋"/>
        </w:rPr>
      </w:pPr>
      <w:bookmarkStart w:id="58"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8"/>
    </w:p>
    <w:p>
      <w:pPr>
        <w:pStyle w:val="4"/>
        <w:rPr>
          <w:rFonts w:ascii="仿宋" w:hAnsi="仿宋" w:eastAsia="仿宋"/>
          <w:b w:val="0"/>
        </w:rPr>
      </w:pPr>
      <w:bookmarkStart w:id="59"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59"/>
    </w:p>
    <w:p>
      <w:pPr>
        <w:pStyle w:val="4"/>
        <w:rPr>
          <w:rStyle w:val="31"/>
          <w:rFonts w:ascii="仿宋" w:hAnsi="仿宋" w:eastAsia="仿宋"/>
          <w:b w:val="0"/>
          <w:bCs w:val="0"/>
        </w:rPr>
      </w:pPr>
      <w:bookmarkStart w:id="60"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60"/>
      <w:bookmarkStart w:id="61" w:name="_Toc15396624"/>
    </w:p>
    <w:p>
      <w:pPr>
        <w:pStyle w:val="4"/>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61"/>
    </w:p>
    <w:p>
      <w:pPr>
        <w:pStyle w:val="4"/>
        <w:rPr>
          <w:rFonts w:ascii="仿宋" w:hAnsi="仿宋" w:eastAsia="仿宋"/>
        </w:rPr>
      </w:pPr>
      <w:bookmarkStart w:id="62"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2"/>
    </w:p>
    <w:p>
      <w:pPr>
        <w:pStyle w:val="4"/>
        <w:rPr>
          <w:rFonts w:ascii="仿宋" w:hAnsi="仿宋" w:eastAsia="仿宋"/>
        </w:rPr>
      </w:pPr>
      <w:bookmarkStart w:id="63"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3"/>
    </w:p>
    <w:p>
      <w:pPr>
        <w:pStyle w:val="4"/>
        <w:rPr>
          <w:rFonts w:ascii="仿宋" w:hAnsi="仿宋" w:eastAsia="仿宋"/>
        </w:rPr>
      </w:pPr>
      <w:bookmarkStart w:id="64"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4"/>
    </w:p>
    <w:p>
      <w:pPr>
        <w:pStyle w:val="4"/>
        <w:rPr>
          <w:rFonts w:ascii="仿宋" w:hAnsi="仿宋" w:eastAsia="仿宋"/>
        </w:rPr>
      </w:pPr>
      <w:bookmarkStart w:id="65" w:name="_Toc15396628"/>
      <w:r>
        <w:rPr>
          <w:rStyle w:val="31"/>
          <w:rFonts w:hint="eastAsia" w:ascii="仿宋" w:hAnsi="仿宋" w:eastAsia="仿宋"/>
          <w:b w:val="0"/>
          <w:bCs w:val="0"/>
        </w:rPr>
        <w:t>十、</w:t>
      </w:r>
      <w:bookmarkEnd w:id="65"/>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4"/>
        <w:rPr>
          <w:rFonts w:ascii="仿宋" w:hAnsi="仿宋" w:eastAsia="仿宋"/>
        </w:rPr>
      </w:pPr>
      <w:bookmarkStart w:id="66" w:name="_Toc15396629"/>
      <w:r>
        <w:rPr>
          <w:rStyle w:val="31"/>
          <w:rFonts w:hint="eastAsia" w:ascii="仿宋" w:hAnsi="仿宋" w:eastAsia="仿宋"/>
          <w:b w:val="0"/>
          <w:bCs w:val="0"/>
        </w:rPr>
        <w:t>十一、</w:t>
      </w:r>
      <w:bookmarkEnd w:id="66"/>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4"/>
        <w:rPr>
          <w:rFonts w:ascii="仿宋" w:hAnsi="仿宋" w:eastAsia="仿宋"/>
        </w:rPr>
      </w:pPr>
      <w:bookmarkStart w:id="67" w:name="_Toc15396630"/>
      <w:r>
        <w:rPr>
          <w:rStyle w:val="31"/>
          <w:rFonts w:hint="eastAsia" w:ascii="仿宋" w:hAnsi="仿宋" w:eastAsia="仿宋"/>
          <w:b w:val="0"/>
          <w:bCs w:val="0"/>
        </w:rPr>
        <w:t>十二、</w:t>
      </w:r>
      <w:bookmarkEnd w:id="67"/>
      <w:r>
        <w:rPr>
          <w:rStyle w:val="31"/>
          <w:rFonts w:hint="eastAsia" w:ascii="仿宋" w:hAnsi="仿宋" w:eastAsia="仿宋"/>
          <w:b w:val="0"/>
          <w:bCs w:val="0"/>
        </w:rPr>
        <w:t>国有资本经营预算财政拨款支出决算表</w:t>
      </w:r>
    </w:p>
    <w:p>
      <w:pPr>
        <w:pStyle w:val="4"/>
        <w:rPr>
          <w:rFonts w:eastAsia="仿宋"/>
        </w:rPr>
      </w:pPr>
      <w:bookmarkStart w:id="68" w:name="_Toc15396631"/>
      <w:r>
        <w:rPr>
          <w:rStyle w:val="31"/>
          <w:rFonts w:hint="eastAsia" w:ascii="仿宋" w:hAnsi="仿宋" w:eastAsia="仿宋"/>
          <w:b w:val="0"/>
          <w:bCs w:val="0"/>
        </w:rPr>
        <w:t>十三、</w:t>
      </w:r>
      <w:bookmarkEnd w:id="68"/>
      <w:r>
        <w:rPr>
          <w:rStyle w:val="31"/>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2"/>
          <w:jc w:val="center"/>
        </w:pPr>
        <w:r>
          <w:fldChar w:fldCharType="begin"/>
        </w:r>
        <w:r>
          <w:instrText xml:space="preserve">PAGE   \* MERGEFORMAT</w:instrText>
        </w:r>
        <w:r>
          <w:fldChar w:fldCharType="separate"/>
        </w:r>
        <w:r>
          <w:rPr>
            <w:lang w:val="zh-CN"/>
          </w:rPr>
          <w:t>8</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66381"/>
    <w:multiLevelType w:val="singleLevel"/>
    <w:tmpl w:val="BDB66381"/>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794FFB7"/>
    <w:multiLevelType w:val="singleLevel"/>
    <w:tmpl w:val="E794FFB7"/>
    <w:lvl w:ilvl="0" w:tentative="0">
      <w:start w:val="1"/>
      <w:numFmt w:val="chineseCounting"/>
      <w:suff w:val="nothing"/>
      <w:lvlText w:val="（%1）"/>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7F08853"/>
    <w:multiLevelType w:val="singleLevel"/>
    <w:tmpl w:val="27F08853"/>
    <w:lvl w:ilvl="0" w:tentative="0">
      <w:start w:val="2"/>
      <w:numFmt w:val="decimal"/>
      <w:suff w:val="nothing"/>
      <w:lvlText w:val="%1．"/>
      <w:lvlJc w:val="left"/>
      <w:pPr>
        <w:ind w:left="-10"/>
      </w:pPr>
    </w:lvl>
  </w:abstractNum>
  <w:abstractNum w:abstractNumId="8">
    <w:nsid w:val="62621CDC"/>
    <w:multiLevelType w:val="multilevel"/>
    <w:tmpl w:val="62621CDC"/>
    <w:lvl w:ilvl="0" w:tentative="0">
      <w:start w:val="1"/>
      <w:numFmt w:val="decimal"/>
      <w:lvlText w:val="%1."/>
      <w:lvlJc w:val="left"/>
      <w:pPr>
        <w:ind w:left="1110"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 w:numId="2">
    <w:abstractNumId w:val="6"/>
  </w:num>
  <w:num w:numId="3">
    <w:abstractNumId w:val="1"/>
  </w:num>
  <w:num w:numId="4">
    <w:abstractNumId w:val="3"/>
  </w:num>
  <w:num w:numId="5">
    <w:abstractNumId w:val="5"/>
  </w:num>
  <w:num w:numId="6">
    <w:abstractNumId w:val="4"/>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364CE"/>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375BF"/>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42DF"/>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23D1F3B"/>
    <w:rsid w:val="02CF740F"/>
    <w:rsid w:val="066E0107"/>
    <w:rsid w:val="07996F6E"/>
    <w:rsid w:val="0A2032A3"/>
    <w:rsid w:val="0BD9565B"/>
    <w:rsid w:val="0D486C72"/>
    <w:rsid w:val="0E4852FB"/>
    <w:rsid w:val="0EF665E1"/>
    <w:rsid w:val="0F98263C"/>
    <w:rsid w:val="0FD75461"/>
    <w:rsid w:val="101860EC"/>
    <w:rsid w:val="10C055FF"/>
    <w:rsid w:val="118107EC"/>
    <w:rsid w:val="13D50BC4"/>
    <w:rsid w:val="16BB723D"/>
    <w:rsid w:val="1A5C1561"/>
    <w:rsid w:val="1AF91F50"/>
    <w:rsid w:val="1BE8440E"/>
    <w:rsid w:val="1D155CEE"/>
    <w:rsid w:val="1E4918EA"/>
    <w:rsid w:val="1FF35744"/>
    <w:rsid w:val="201F1BFD"/>
    <w:rsid w:val="23860B96"/>
    <w:rsid w:val="240371BF"/>
    <w:rsid w:val="25136414"/>
    <w:rsid w:val="27715FC1"/>
    <w:rsid w:val="29FD04D3"/>
    <w:rsid w:val="2C331E12"/>
    <w:rsid w:val="2C8A61B5"/>
    <w:rsid w:val="2DF04E50"/>
    <w:rsid w:val="2ECF4C5A"/>
    <w:rsid w:val="2F040D46"/>
    <w:rsid w:val="319F7F4E"/>
    <w:rsid w:val="3304709D"/>
    <w:rsid w:val="3408616B"/>
    <w:rsid w:val="36AA5135"/>
    <w:rsid w:val="376D39B2"/>
    <w:rsid w:val="37E16F03"/>
    <w:rsid w:val="38D469F0"/>
    <w:rsid w:val="3D98207C"/>
    <w:rsid w:val="3E78745D"/>
    <w:rsid w:val="41D3540D"/>
    <w:rsid w:val="44E268DA"/>
    <w:rsid w:val="45C43104"/>
    <w:rsid w:val="4A627F82"/>
    <w:rsid w:val="4B0E749A"/>
    <w:rsid w:val="4B4F25DA"/>
    <w:rsid w:val="4BE068DB"/>
    <w:rsid w:val="4D577224"/>
    <w:rsid w:val="4E125E21"/>
    <w:rsid w:val="4EAB630A"/>
    <w:rsid w:val="4ECE2238"/>
    <w:rsid w:val="52940917"/>
    <w:rsid w:val="537E6D0A"/>
    <w:rsid w:val="5AF92295"/>
    <w:rsid w:val="5CD71FC4"/>
    <w:rsid w:val="614B322B"/>
    <w:rsid w:val="65771107"/>
    <w:rsid w:val="6C4A05C8"/>
    <w:rsid w:val="6E7E3605"/>
    <w:rsid w:val="6FF5CC65"/>
    <w:rsid w:val="70AD0D67"/>
    <w:rsid w:val="70F22B5B"/>
    <w:rsid w:val="715C0E4B"/>
    <w:rsid w:val="72734D90"/>
    <w:rsid w:val="73AD73D5"/>
    <w:rsid w:val="73B6EB34"/>
    <w:rsid w:val="744731E5"/>
    <w:rsid w:val="76E3355F"/>
    <w:rsid w:val="778769C8"/>
    <w:rsid w:val="77F54AD9"/>
    <w:rsid w:val="79EE5BA4"/>
    <w:rsid w:val="7A894339"/>
    <w:rsid w:val="7BCE0E65"/>
    <w:rsid w:val="7E101E61"/>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FollowedHyperlink"/>
    <w:basedOn w:val="16"/>
    <w:semiHidden/>
    <w:unhideWhenUsed/>
    <w:uiPriority w:val="99"/>
    <w:rPr>
      <w:color w:val="222222"/>
      <w:u w:val="none"/>
    </w:rPr>
  </w:style>
  <w:style w:type="character" w:styleId="19">
    <w:name w:val="Emphasis"/>
    <w:basedOn w:val="16"/>
    <w:qFormat/>
    <w:uiPriority w:val="20"/>
  </w:style>
  <w:style w:type="character" w:styleId="20">
    <w:name w:val="Hyperlink"/>
    <w:basedOn w:val="16"/>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字符"/>
    <w:link w:val="10"/>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字符"/>
    <w:link w:val="2"/>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字符"/>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6"/>
    <w:link w:val="3"/>
    <w:qFormat/>
    <w:uiPriority w:val="9"/>
    <w:rPr>
      <w:rFonts w:ascii="Times New Roman" w:hAnsi="Times New Roman"/>
      <w:b/>
      <w:bCs/>
      <w:kern w:val="44"/>
      <w:sz w:val="44"/>
      <w:szCs w:val="44"/>
    </w:rPr>
  </w:style>
  <w:style w:type="character" w:customStyle="1" w:styleId="31">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6"/>
    <w:link w:val="9"/>
    <w:semiHidden/>
    <w:qFormat/>
    <w:uiPriority w:val="99"/>
    <w:rPr>
      <w:rFonts w:ascii="Times New Roman" w:hAnsi="Times New Roman"/>
      <w:kern w:val="2"/>
      <w:sz w:val="18"/>
      <w:szCs w:val="18"/>
    </w:rPr>
  </w:style>
  <w:style w:type="character" w:customStyle="1" w:styleId="34">
    <w:name w:val="标题 3 字符"/>
    <w:basedOn w:val="16"/>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2171</Words>
  <Characters>12375</Characters>
  <Lines>103</Lines>
  <Paragraphs>29</Paragraphs>
  <TotalTime>10</TotalTime>
  <ScaleCrop>false</ScaleCrop>
  <LinksUpToDate>false</LinksUpToDate>
  <CharactersWithSpaces>14517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帅洪丹</cp:lastModifiedBy>
  <cp:lastPrinted>2023-07-31T02:35:00Z</cp:lastPrinted>
  <dcterms:modified xsi:type="dcterms:W3CDTF">2026-06-24T02:49:57Z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FDA2B495976146DB8497EAEE85D191CA</vt:lpwstr>
  </property>
</Properties>
</file>